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57355402"/>
        <w:docPartObj>
          <w:docPartGallery w:val="Cover Pages"/>
          <w:docPartUnique/>
        </w:docPartObj>
      </w:sdtPr>
      <w:sdtEndPr>
        <w:rPr>
          <w:rFonts w:ascii="Arial" w:hAnsi="Arial" w:cs="Arial"/>
        </w:rPr>
      </w:sdtEndPr>
      <w:sdtContent>
        <w:p w14:paraId="7D4D4097" w14:textId="77777777" w:rsidR="00CD6352" w:rsidRPr="00EA7665" w:rsidRDefault="00CD6352" w:rsidP="007952BD">
          <w:pPr>
            <w:jc w:val="both"/>
          </w:pPr>
          <w:r w:rsidRPr="00EA7665">
            <w:rPr>
              <w:noProof/>
              <w:lang w:eastAsia="en-GB"/>
            </w:rPr>
            <w:drawing>
              <wp:inline distT="0" distB="0" distL="0" distR="0" wp14:anchorId="6DFBA684" wp14:editId="6A2FFF4D">
                <wp:extent cx="2347058" cy="11409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51" cy="1160996"/>
                        </a:xfrm>
                        <a:prstGeom prst="rect">
                          <a:avLst/>
                        </a:prstGeom>
                        <a:noFill/>
                      </pic:spPr>
                    </pic:pic>
                  </a:graphicData>
                </a:graphic>
              </wp:inline>
            </w:drawing>
          </w:r>
        </w:p>
        <w:sdt>
          <w:sdtPr>
            <w:rPr>
              <w:rFonts w:ascii="Arial" w:eastAsiaTheme="majorEastAsia" w:hAnsi="Arial" w:cs="Arial"/>
              <w:caps/>
              <w:color w:val="4472C4" w:themeColor="accent1"/>
              <w:sz w:val="48"/>
              <w:szCs w:val="48"/>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17B3E7F4" w14:textId="505BD431" w:rsidR="00CD6352" w:rsidRPr="00C7647C" w:rsidRDefault="00B06F5C" w:rsidP="00CD6352">
              <w:pPr>
                <w:pStyle w:val="NoSpacing"/>
                <w:pBdr>
                  <w:top w:val="single" w:sz="6" w:space="6" w:color="4472C4" w:themeColor="accent1"/>
                  <w:bottom w:val="single" w:sz="6" w:space="6" w:color="4472C4" w:themeColor="accent1"/>
                </w:pBdr>
                <w:spacing w:after="240"/>
                <w:jc w:val="center"/>
              </w:pPr>
              <w:r w:rsidRPr="00B06F5C">
                <w:rPr>
                  <w:rFonts w:ascii="Arial" w:eastAsiaTheme="majorEastAsia" w:hAnsi="Arial" w:cs="Arial"/>
                  <w:caps/>
                  <w:color w:val="4472C4" w:themeColor="accent1"/>
                  <w:sz w:val="48"/>
                  <w:szCs w:val="48"/>
                </w:rPr>
                <w:t>REAL ESTATE FINANCE &amp; ECONOMICS: A GUIDE TO SECURING FINANCE FOR REAL ESTATE PROJECT DEVELOPMENT IN DEVELOPED AND EMERGING ECONOMIES</w:t>
              </w:r>
            </w:p>
          </w:sdtContent>
        </w:sdt>
        <w:sdt>
          <w:sdtPr>
            <w:rPr>
              <w:rFonts w:ascii="Arial" w:hAnsi="Arial" w:cs="Arial"/>
              <w:color w:val="4472C4" w:themeColor="accent1"/>
              <w:sz w:val="48"/>
              <w:szCs w:val="4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6BD6424C" w14:textId="0685B454" w:rsidR="00CD6352" w:rsidRPr="00EA7665" w:rsidRDefault="00C73AD9" w:rsidP="00CD6352">
              <w:pPr>
                <w:pStyle w:val="NoSpacing"/>
                <w:jc w:val="center"/>
                <w:rPr>
                  <w:rFonts w:ascii="Arial" w:hAnsi="Arial" w:cs="Arial"/>
                  <w:color w:val="4472C4" w:themeColor="accent1"/>
                  <w:sz w:val="48"/>
                  <w:szCs w:val="48"/>
                </w:rPr>
              </w:pPr>
              <w:r w:rsidRPr="00EC1D53">
                <w:rPr>
                  <w:rFonts w:ascii="Arial" w:hAnsi="Arial" w:cs="Arial"/>
                  <w:color w:val="4472C4" w:themeColor="accent1"/>
                  <w:sz w:val="48"/>
                  <w:szCs w:val="48"/>
                </w:rPr>
                <w:t>Lucy</w:t>
              </w:r>
              <w:r w:rsidR="00B06F5C">
                <w:rPr>
                  <w:rFonts w:ascii="Arial" w:hAnsi="Arial" w:cs="Arial"/>
                  <w:color w:val="4472C4" w:themeColor="accent1"/>
                  <w:sz w:val="48"/>
                  <w:szCs w:val="48"/>
                </w:rPr>
                <w:t xml:space="preserve"> Amuda</w:t>
              </w:r>
              <w:r w:rsidRPr="00EC1D53">
                <w:rPr>
                  <w:rFonts w:ascii="Arial" w:hAnsi="Arial" w:cs="Arial"/>
                  <w:color w:val="4472C4" w:themeColor="accent1"/>
                  <w:sz w:val="48"/>
                  <w:szCs w:val="48"/>
                </w:rPr>
                <w:t xml:space="preserve"> Ogbenjuwa</w:t>
              </w:r>
            </w:p>
          </w:sdtContent>
        </w:sdt>
        <w:p w14:paraId="15BA4277" w14:textId="44129104" w:rsidR="00CD6352" w:rsidRPr="00EA7665" w:rsidRDefault="00CD6352" w:rsidP="00CD6352">
          <w:pPr>
            <w:pStyle w:val="NoSpacing"/>
            <w:spacing w:before="480"/>
            <w:jc w:val="center"/>
            <w:rPr>
              <w:rFonts w:ascii="Arial" w:hAnsi="Arial" w:cs="Arial"/>
              <w:color w:val="4472C4" w:themeColor="accent1"/>
              <w:sz w:val="24"/>
              <w:szCs w:val="24"/>
            </w:rPr>
          </w:pPr>
          <w:r w:rsidRPr="00EA7665">
            <w:rPr>
              <w:rFonts w:ascii="Arial" w:hAnsi="Arial" w:cs="Arial"/>
              <w:noProof/>
              <w:color w:val="4472C4" w:themeColor="accent1"/>
              <w:sz w:val="24"/>
              <w:szCs w:val="24"/>
              <w:lang w:val="en-GB" w:eastAsia="en-GB"/>
            </w:rPr>
            <mc:AlternateContent>
              <mc:Choice Requires="wps">
                <w:drawing>
                  <wp:anchor distT="0" distB="0" distL="114300" distR="114300" simplePos="0" relativeHeight="251661312" behindDoc="0" locked="0" layoutInCell="1" allowOverlap="1" wp14:anchorId="4E6215CC" wp14:editId="23EB115F">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ermStart w:id="1125259613" w:edGrp="everyone" w:displacedByCustomXml="next"/>
                              <w:sdt>
                                <w:sdtPr>
                                  <w:rPr>
                                    <w:rFonts w:ascii="Arial" w:hAnsi="Arial" w:cs="Arial"/>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9-08T00:00:00Z">
                                    <w:dateFormat w:val="MMMM d, yyyy"/>
                                    <w:lid w:val="en-US"/>
                                    <w:storeMappedDataAs w:val="dateTime"/>
                                    <w:calendar w:val="gregorian"/>
                                  </w:date>
                                </w:sdtPr>
                                <w:sdtEndPr/>
                                <w:sdtContent>
                                  <w:p w14:paraId="6936CADA" w14:textId="61D43E4C" w:rsidR="004F5D57" w:rsidRPr="007625E7" w:rsidRDefault="00002263" w:rsidP="00CD6352">
                                    <w:pPr>
                                      <w:pStyle w:val="NoSpacing"/>
                                      <w:spacing w:after="40"/>
                                      <w:jc w:val="center"/>
                                      <w:rPr>
                                        <w:rFonts w:ascii="Arial" w:hAnsi="Arial" w:cs="Arial"/>
                                        <w:caps/>
                                        <w:color w:val="4472C4" w:themeColor="accent1"/>
                                        <w:sz w:val="28"/>
                                        <w:szCs w:val="28"/>
                                      </w:rPr>
                                    </w:pPr>
                                    <w:r>
                                      <w:rPr>
                                        <w:rFonts w:ascii="Arial" w:hAnsi="Arial" w:cs="Arial"/>
                                        <w:caps/>
                                        <w:color w:val="4472C4" w:themeColor="accent1"/>
                                        <w:sz w:val="28"/>
                                        <w:szCs w:val="28"/>
                                      </w:rPr>
                                      <w:t>September 8, 2021</w:t>
                                    </w:r>
                                  </w:p>
                                </w:sdtContent>
                              </w:sdt>
                              <w:permEnd w:id="1125259613" w:displacedByCustomXml="prev"/>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E6215CC"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ermStart w:id="1125259613" w:edGrp="everyone" w:displacedByCustomXml="next"/>
                        <w:sdt>
                          <w:sdtPr>
                            <w:rPr>
                              <w:rFonts w:ascii="Arial" w:hAnsi="Arial" w:cs="Arial"/>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9-08T00:00:00Z">
                              <w:dateFormat w:val="MMMM d, yyyy"/>
                              <w:lid w:val="en-US"/>
                              <w:storeMappedDataAs w:val="dateTime"/>
                              <w:calendar w:val="gregorian"/>
                            </w:date>
                          </w:sdtPr>
                          <w:sdtEndPr/>
                          <w:sdtContent>
                            <w:p w14:paraId="6936CADA" w14:textId="61D43E4C" w:rsidR="004F5D57" w:rsidRPr="007625E7" w:rsidRDefault="00002263" w:rsidP="00CD6352">
                              <w:pPr>
                                <w:pStyle w:val="NoSpacing"/>
                                <w:spacing w:after="40"/>
                                <w:jc w:val="center"/>
                                <w:rPr>
                                  <w:rFonts w:ascii="Arial" w:hAnsi="Arial" w:cs="Arial"/>
                                  <w:caps/>
                                  <w:color w:val="4472C4" w:themeColor="accent1"/>
                                  <w:sz w:val="28"/>
                                  <w:szCs w:val="28"/>
                                </w:rPr>
                              </w:pPr>
                              <w:r>
                                <w:rPr>
                                  <w:rFonts w:ascii="Arial" w:hAnsi="Arial" w:cs="Arial"/>
                                  <w:caps/>
                                  <w:color w:val="4472C4" w:themeColor="accent1"/>
                                  <w:sz w:val="28"/>
                                  <w:szCs w:val="28"/>
                                </w:rPr>
                                <w:t>September 8, 2021</w:t>
                              </w:r>
                            </w:p>
                          </w:sdtContent>
                        </w:sdt>
                        <w:permEnd w:id="1125259613" w:displacedByCustomXml="prev"/>
                      </w:txbxContent>
                    </v:textbox>
                    <w10:wrap anchorx="margin" anchory="page"/>
                  </v:shape>
                </w:pict>
              </mc:Fallback>
            </mc:AlternateContent>
          </w:r>
          <w:r w:rsidRPr="00EA7665">
            <w:rPr>
              <w:rFonts w:ascii="Arial" w:hAnsi="Arial" w:cs="Arial"/>
              <w:noProof/>
              <w:color w:val="4472C4" w:themeColor="accent1"/>
              <w:sz w:val="24"/>
              <w:szCs w:val="24"/>
              <w:lang w:val="en-GB" w:eastAsia="en-GB"/>
            </w:rPr>
            <w:t xml:space="preserve">A thesis submitted in partial fulfilment of the requirements of London South Bank University for the </w:t>
          </w:r>
          <w:r w:rsidR="00882023">
            <w:rPr>
              <w:rFonts w:ascii="Arial" w:hAnsi="Arial" w:cs="Arial"/>
              <w:noProof/>
              <w:color w:val="4472C4" w:themeColor="accent1"/>
              <w:sz w:val="24"/>
              <w:szCs w:val="24"/>
              <w:lang w:val="en-GB" w:eastAsia="en-GB"/>
            </w:rPr>
            <w:t>D</w:t>
          </w:r>
          <w:r w:rsidRPr="00EA7665">
            <w:rPr>
              <w:rFonts w:ascii="Arial" w:hAnsi="Arial" w:cs="Arial"/>
              <w:noProof/>
              <w:color w:val="4472C4" w:themeColor="accent1"/>
              <w:sz w:val="24"/>
              <w:szCs w:val="24"/>
              <w:lang w:val="en-GB" w:eastAsia="en-GB"/>
            </w:rPr>
            <w:t xml:space="preserve">egree of Doctor of Philosophy </w:t>
          </w:r>
        </w:p>
        <w:p w14:paraId="25949597" w14:textId="77777777" w:rsidR="00CD6352" w:rsidRPr="00EA7665" w:rsidRDefault="00CD6352" w:rsidP="00CD6352">
          <w:pPr>
            <w:rPr>
              <w:rFonts w:ascii="Arial" w:hAnsi="Arial" w:cs="Arial"/>
            </w:rPr>
          </w:pPr>
          <w:r w:rsidRPr="00EA7665">
            <w:rPr>
              <w:rFonts w:ascii="Arial" w:hAnsi="Arial" w:cs="Arial"/>
            </w:rPr>
            <w:br w:type="page"/>
          </w:r>
        </w:p>
        <w:p w14:paraId="503B8AD6" w14:textId="77777777" w:rsidR="00CD6352" w:rsidRPr="00EA7665" w:rsidRDefault="00CD6352" w:rsidP="00CD6352">
          <w:pPr>
            <w:jc w:val="center"/>
            <w:rPr>
              <w:rStyle w:val="Strong"/>
              <w:rFonts w:ascii="Arial" w:hAnsi="Arial" w:cs="Arial"/>
            </w:rPr>
          </w:pPr>
          <w:r w:rsidRPr="00EA7665">
            <w:rPr>
              <w:rStyle w:val="Strong"/>
              <w:rFonts w:ascii="Arial" w:hAnsi="Arial" w:cs="Arial"/>
            </w:rPr>
            <w:lastRenderedPageBreak/>
            <w:t xml:space="preserve">Acknowledgement </w:t>
          </w:r>
        </w:p>
        <w:p w14:paraId="174A0A70" w14:textId="46DE35B3" w:rsidR="00CD6352" w:rsidRPr="00EA7665" w:rsidRDefault="00CD6352" w:rsidP="00CD6352">
          <w:pPr>
            <w:spacing w:line="360" w:lineRule="auto"/>
            <w:rPr>
              <w:rStyle w:val="Strong"/>
              <w:rFonts w:ascii="Arial" w:hAnsi="Arial" w:cs="Arial"/>
              <w:b w:val="0"/>
            </w:rPr>
          </w:pPr>
          <w:r w:rsidRPr="00EA7665">
            <w:rPr>
              <w:rStyle w:val="Strong"/>
              <w:rFonts w:ascii="Arial" w:hAnsi="Arial" w:cs="Arial"/>
              <w:b w:val="0"/>
            </w:rPr>
            <w:t>I want to acknowledge and thank all those who have contributed directly and indirectly to th</w:t>
          </w:r>
          <w:r w:rsidR="00882023">
            <w:rPr>
              <w:rStyle w:val="Strong"/>
              <w:rFonts w:ascii="Arial" w:hAnsi="Arial" w:cs="Arial"/>
              <w:b w:val="0"/>
            </w:rPr>
            <w:t>is study's success</w:t>
          </w:r>
          <w:r w:rsidRPr="00EA7665">
            <w:rPr>
              <w:rStyle w:val="Strong"/>
              <w:rFonts w:ascii="Arial" w:hAnsi="Arial" w:cs="Arial"/>
              <w:b w:val="0"/>
            </w:rPr>
            <w:t>.</w:t>
          </w:r>
        </w:p>
        <w:p w14:paraId="0E7F243C" w14:textId="08E0CB3D" w:rsidR="00CD6352" w:rsidRPr="00EA7665" w:rsidRDefault="00CD6352" w:rsidP="00CD6352">
          <w:pPr>
            <w:spacing w:line="360" w:lineRule="auto"/>
            <w:rPr>
              <w:rStyle w:val="Strong"/>
              <w:rFonts w:ascii="Arial" w:hAnsi="Arial" w:cs="Arial"/>
              <w:b w:val="0"/>
            </w:rPr>
          </w:pPr>
          <w:r w:rsidRPr="00EA7665">
            <w:rPr>
              <w:rStyle w:val="Strong"/>
              <w:rFonts w:ascii="Arial" w:hAnsi="Arial" w:cs="Arial"/>
              <w:b w:val="0"/>
            </w:rPr>
            <w:t xml:space="preserve">I </w:t>
          </w:r>
          <w:r w:rsidRPr="00EA7665">
            <w:rPr>
              <w:rFonts w:ascii="Arial" w:hAnsi="Arial" w:cs="Arial"/>
              <w:bCs/>
            </w:rPr>
            <w:t>want</w:t>
          </w:r>
          <w:r w:rsidRPr="00EA7665">
            <w:rPr>
              <w:rStyle w:val="Strong"/>
              <w:rFonts w:ascii="Arial" w:hAnsi="Arial" w:cs="Arial"/>
              <w:b w:val="0"/>
            </w:rPr>
            <w:t xml:space="preserve"> to thank the Lord Jesus Christ for giving me the strength to undertake this study</w:t>
          </w:r>
          <w:r w:rsidR="00882023">
            <w:rPr>
              <w:rStyle w:val="Strong"/>
              <w:rFonts w:ascii="Arial" w:hAnsi="Arial" w:cs="Arial"/>
              <w:b w:val="0"/>
            </w:rPr>
            <w:t>,</w:t>
          </w:r>
          <w:r w:rsidRPr="00EA7665">
            <w:rPr>
              <w:rStyle w:val="Strong"/>
              <w:rFonts w:ascii="Arial" w:hAnsi="Arial" w:cs="Arial"/>
              <w:b w:val="0"/>
            </w:rPr>
            <w:t xml:space="preserve"> and </w:t>
          </w:r>
          <w:r>
            <w:rPr>
              <w:rStyle w:val="Strong"/>
              <w:rFonts w:ascii="Arial" w:hAnsi="Arial" w:cs="Arial"/>
              <w:b w:val="0"/>
            </w:rPr>
            <w:t xml:space="preserve">I give </w:t>
          </w:r>
          <w:r w:rsidRPr="00EA7665">
            <w:rPr>
              <w:rStyle w:val="Strong"/>
              <w:rFonts w:ascii="Arial" w:hAnsi="Arial" w:cs="Arial"/>
              <w:b w:val="0"/>
            </w:rPr>
            <w:t xml:space="preserve">special thanks to my family. I </w:t>
          </w:r>
          <w:r>
            <w:rPr>
              <w:rStyle w:val="Strong"/>
              <w:rFonts w:ascii="Arial" w:hAnsi="Arial" w:cs="Arial"/>
              <w:b w:val="0"/>
            </w:rPr>
            <w:t>w</w:t>
          </w:r>
          <w:r w:rsidR="00882023">
            <w:rPr>
              <w:rStyle w:val="Strong"/>
              <w:rFonts w:ascii="Arial" w:hAnsi="Arial" w:cs="Arial"/>
              <w:b w:val="0"/>
            </w:rPr>
            <w:t>ant</w:t>
          </w:r>
          <w:r w:rsidRPr="00EA7665">
            <w:rPr>
              <w:rStyle w:val="Strong"/>
              <w:rFonts w:ascii="Arial" w:hAnsi="Arial" w:cs="Arial"/>
              <w:b w:val="0"/>
            </w:rPr>
            <w:t xml:space="preserve"> to </w:t>
          </w:r>
          <w:r>
            <w:rPr>
              <w:rStyle w:val="Strong"/>
              <w:rFonts w:ascii="Arial" w:hAnsi="Arial" w:cs="Arial"/>
              <w:b w:val="0"/>
            </w:rPr>
            <w:t>show</w:t>
          </w:r>
          <w:r w:rsidRPr="00EA7665">
            <w:rPr>
              <w:rStyle w:val="Strong"/>
              <w:rFonts w:ascii="Arial" w:hAnsi="Arial" w:cs="Arial"/>
              <w:b w:val="0"/>
            </w:rPr>
            <w:t xml:space="preserve"> </w:t>
          </w:r>
          <w:r>
            <w:rPr>
              <w:rStyle w:val="Strong"/>
              <w:rFonts w:ascii="Arial" w:hAnsi="Arial" w:cs="Arial"/>
              <w:b w:val="0"/>
            </w:rPr>
            <w:t xml:space="preserve">my </w:t>
          </w:r>
          <w:r w:rsidRPr="00EA7665">
            <w:rPr>
              <w:rStyle w:val="Strong"/>
              <w:rFonts w:ascii="Arial" w:hAnsi="Arial" w:cs="Arial"/>
              <w:b w:val="0"/>
            </w:rPr>
            <w:t>apprecia</w:t>
          </w:r>
          <w:r>
            <w:rPr>
              <w:rStyle w:val="Strong"/>
              <w:rFonts w:ascii="Arial" w:hAnsi="Arial" w:cs="Arial"/>
              <w:b w:val="0"/>
            </w:rPr>
            <w:t>tion of</w:t>
          </w:r>
          <w:r w:rsidRPr="00EA7665">
            <w:rPr>
              <w:rStyle w:val="Strong"/>
              <w:rFonts w:ascii="Arial" w:hAnsi="Arial" w:cs="Arial"/>
              <w:b w:val="0"/>
            </w:rPr>
            <w:t xml:space="preserve"> my father, </w:t>
          </w:r>
          <w:r>
            <w:rPr>
              <w:rStyle w:val="Strong"/>
              <w:rFonts w:ascii="Arial" w:hAnsi="Arial" w:cs="Arial"/>
              <w:b w:val="0"/>
            </w:rPr>
            <w:t xml:space="preserve">the </w:t>
          </w:r>
          <w:r w:rsidRPr="00EA7665">
            <w:rPr>
              <w:rStyle w:val="Strong"/>
              <w:rFonts w:ascii="Arial" w:hAnsi="Arial" w:cs="Arial"/>
              <w:b w:val="0"/>
            </w:rPr>
            <w:t>late Major E</w:t>
          </w:r>
          <w:r w:rsidR="00994E41">
            <w:rPr>
              <w:rStyle w:val="Strong"/>
              <w:rFonts w:ascii="Arial" w:hAnsi="Arial" w:cs="Arial"/>
              <w:b w:val="0"/>
            </w:rPr>
            <w:t xml:space="preserve">koja </w:t>
          </w:r>
          <w:r w:rsidRPr="00EA7665">
            <w:rPr>
              <w:rStyle w:val="Strong"/>
              <w:rFonts w:ascii="Arial" w:hAnsi="Arial" w:cs="Arial"/>
              <w:b w:val="0"/>
            </w:rPr>
            <w:t>C</w:t>
          </w:r>
          <w:r w:rsidR="00994E41">
            <w:rPr>
              <w:rStyle w:val="Strong"/>
              <w:rFonts w:ascii="Arial" w:hAnsi="Arial" w:cs="Arial"/>
              <w:b w:val="0"/>
            </w:rPr>
            <w:t>hristopher</w:t>
          </w:r>
          <w:r w:rsidRPr="00EA7665">
            <w:rPr>
              <w:rStyle w:val="Strong"/>
              <w:rFonts w:ascii="Arial" w:hAnsi="Arial" w:cs="Arial"/>
              <w:b w:val="0"/>
            </w:rPr>
            <w:t xml:space="preserve"> Ogbenjuwa</w:t>
          </w:r>
          <w:r w:rsidR="00882023">
            <w:rPr>
              <w:rStyle w:val="Strong"/>
              <w:rFonts w:ascii="Arial" w:hAnsi="Arial" w:cs="Arial"/>
              <w:b w:val="0"/>
            </w:rPr>
            <w:t>,</w:t>
          </w:r>
          <w:r w:rsidRPr="00EA7665">
            <w:rPr>
              <w:rStyle w:val="Strong"/>
              <w:rFonts w:ascii="Arial" w:hAnsi="Arial" w:cs="Arial"/>
              <w:b w:val="0"/>
            </w:rPr>
            <w:t xml:space="preserve"> who stirred up an interest in studying at an early age. </w:t>
          </w:r>
        </w:p>
        <w:p w14:paraId="3E9DD874" w14:textId="7A1B7DCA" w:rsidR="00CD6352" w:rsidRPr="00EA7665" w:rsidRDefault="00CD6352" w:rsidP="00CD6352">
          <w:pPr>
            <w:spacing w:line="360" w:lineRule="auto"/>
            <w:rPr>
              <w:rStyle w:val="Strong"/>
              <w:rFonts w:ascii="Arial" w:hAnsi="Arial" w:cs="Arial"/>
              <w:b w:val="0"/>
            </w:rPr>
          </w:pPr>
          <w:r w:rsidRPr="00EA7665">
            <w:rPr>
              <w:rStyle w:val="Strong"/>
              <w:rFonts w:ascii="Arial" w:hAnsi="Arial" w:cs="Arial"/>
              <w:b w:val="0"/>
            </w:rPr>
            <w:t xml:space="preserve">I </w:t>
          </w:r>
          <w:r w:rsidRPr="00EA7665">
            <w:rPr>
              <w:rFonts w:ascii="Arial" w:hAnsi="Arial" w:cs="Arial"/>
              <w:bCs/>
            </w:rPr>
            <w:t>w</w:t>
          </w:r>
          <w:r w:rsidR="00882023">
            <w:rPr>
              <w:rFonts w:ascii="Arial" w:hAnsi="Arial" w:cs="Arial"/>
              <w:bCs/>
            </w:rPr>
            <w:t>ant</w:t>
          </w:r>
          <w:r w:rsidRPr="00EA7665">
            <w:rPr>
              <w:rStyle w:val="Strong"/>
              <w:rFonts w:ascii="Arial" w:hAnsi="Arial" w:cs="Arial"/>
              <w:b w:val="0"/>
            </w:rPr>
            <w:t xml:space="preserve"> to express my gratitude to </w:t>
          </w:r>
          <w:r w:rsidR="00994E41">
            <w:rPr>
              <w:rStyle w:val="Strong"/>
              <w:rFonts w:ascii="Arial" w:hAnsi="Arial" w:cs="Arial"/>
              <w:b w:val="0"/>
            </w:rPr>
            <w:t xml:space="preserve">the </w:t>
          </w:r>
          <w:r w:rsidRPr="00EA7665">
            <w:rPr>
              <w:rStyle w:val="Strong"/>
              <w:rFonts w:ascii="Arial" w:hAnsi="Arial" w:cs="Arial"/>
              <w:b w:val="0"/>
            </w:rPr>
            <w:t>London South Bank University School of Built Environment and Architecture for granting me a full scholarship to undertake a PhD in Construction Management and Economics.</w:t>
          </w:r>
        </w:p>
        <w:p w14:paraId="4885BEFE" w14:textId="7696B247" w:rsidR="00CD6352" w:rsidRPr="00EA7665" w:rsidRDefault="00CD6352" w:rsidP="00CD6352">
          <w:pPr>
            <w:spacing w:line="360" w:lineRule="auto"/>
            <w:rPr>
              <w:rStyle w:val="Strong"/>
              <w:rFonts w:ascii="Arial" w:hAnsi="Arial" w:cs="Arial"/>
              <w:b w:val="0"/>
            </w:rPr>
          </w:pPr>
          <w:r w:rsidRPr="00EA7665">
            <w:rPr>
              <w:rStyle w:val="Strong"/>
              <w:rFonts w:ascii="Arial" w:hAnsi="Arial" w:cs="Arial"/>
              <w:b w:val="0"/>
            </w:rPr>
            <w:t>Special thanks to my lead supervisor and Dean of Studies</w:t>
          </w:r>
          <w:r w:rsidR="00882023">
            <w:rPr>
              <w:rStyle w:val="Strong"/>
              <w:rFonts w:ascii="Arial" w:hAnsi="Arial" w:cs="Arial"/>
              <w:b w:val="0"/>
            </w:rPr>
            <w:t>,</w:t>
          </w:r>
          <w:r w:rsidRPr="00EA7665">
            <w:rPr>
              <w:rStyle w:val="Strong"/>
              <w:rFonts w:ascii="Arial" w:hAnsi="Arial" w:cs="Arial"/>
              <w:b w:val="0"/>
            </w:rPr>
            <w:t xml:space="preserve"> Professor Charles Egbu, for his immense contributions and guidance all through this study. His consistent and persistent support helped immensely to enhance and fortify my outputs.</w:t>
          </w:r>
        </w:p>
        <w:p w14:paraId="4DFD02D8" w14:textId="77777777" w:rsidR="00CD6352" w:rsidRPr="00EA7665" w:rsidRDefault="00CD6352" w:rsidP="00CD6352">
          <w:pPr>
            <w:spacing w:line="360" w:lineRule="auto"/>
            <w:rPr>
              <w:rStyle w:val="Strong"/>
              <w:rFonts w:ascii="Arial" w:hAnsi="Arial" w:cs="Arial"/>
              <w:b w:val="0"/>
            </w:rPr>
          </w:pPr>
          <w:r w:rsidRPr="00EA7665">
            <w:rPr>
              <w:rStyle w:val="Strong"/>
              <w:rFonts w:ascii="Arial" w:hAnsi="Arial" w:cs="Arial"/>
              <w:b w:val="0"/>
            </w:rPr>
            <w:t xml:space="preserve">I </w:t>
          </w:r>
          <w:r w:rsidRPr="00EA7665">
            <w:rPr>
              <w:rFonts w:ascii="Arial" w:hAnsi="Arial" w:cs="Arial"/>
              <w:bCs/>
            </w:rPr>
            <w:t>would</w:t>
          </w:r>
          <w:r w:rsidRPr="00EA7665">
            <w:rPr>
              <w:rStyle w:val="Strong"/>
              <w:rFonts w:ascii="Arial" w:hAnsi="Arial" w:cs="Arial"/>
              <w:b w:val="0"/>
            </w:rPr>
            <w:t xml:space="preserve"> also like to thank my second supervisor, Professor Herbert Robinson, for his vast wealth of knowledge which he consistently shared in helping me through this study.</w:t>
          </w:r>
        </w:p>
        <w:p w14:paraId="7E62F9DF" w14:textId="625561A5" w:rsidR="00CD6352" w:rsidRPr="00EA7665" w:rsidRDefault="00CD6352" w:rsidP="00CD6352">
          <w:pPr>
            <w:spacing w:line="360" w:lineRule="auto"/>
            <w:rPr>
              <w:rStyle w:val="Strong"/>
              <w:rFonts w:ascii="Arial" w:hAnsi="Arial" w:cs="Arial"/>
              <w:b w:val="0"/>
            </w:rPr>
          </w:pPr>
          <w:r>
            <w:rPr>
              <w:rStyle w:val="Strong"/>
              <w:rFonts w:ascii="Arial" w:hAnsi="Arial" w:cs="Arial"/>
              <w:b w:val="0"/>
            </w:rPr>
            <w:t>Furthermore, I would like to thank my third supervisor</w:t>
          </w:r>
          <w:r w:rsidR="00E70A9C">
            <w:rPr>
              <w:rStyle w:val="Strong"/>
              <w:rFonts w:ascii="Arial" w:hAnsi="Arial" w:cs="Arial"/>
              <w:b w:val="0"/>
            </w:rPr>
            <w:t>, Dr Guowei Gu,</w:t>
          </w:r>
          <w:r>
            <w:rPr>
              <w:rStyle w:val="Strong"/>
              <w:rFonts w:ascii="Arial" w:hAnsi="Arial" w:cs="Arial"/>
              <w:b w:val="0"/>
            </w:rPr>
            <w:t xml:space="preserve"> for his support and contributions to my work.</w:t>
          </w:r>
        </w:p>
        <w:p w14:paraId="3618E54F" w14:textId="63AB0A11" w:rsidR="00CD6352" w:rsidRPr="00EA7665" w:rsidRDefault="00CD6352" w:rsidP="00CD6352">
          <w:pPr>
            <w:spacing w:line="360" w:lineRule="auto"/>
            <w:rPr>
              <w:rStyle w:val="Strong"/>
              <w:rFonts w:ascii="Arial" w:hAnsi="Arial" w:cs="Arial"/>
              <w:b w:val="0"/>
            </w:rPr>
          </w:pPr>
          <w:r w:rsidRPr="00EA7665">
            <w:rPr>
              <w:rStyle w:val="Strong"/>
              <w:rFonts w:ascii="Arial" w:hAnsi="Arial" w:cs="Arial"/>
              <w:b w:val="0"/>
            </w:rPr>
            <w:t xml:space="preserve">Finally, I </w:t>
          </w:r>
          <w:r w:rsidRPr="00EA7665">
            <w:rPr>
              <w:rFonts w:ascii="Arial" w:hAnsi="Arial" w:cs="Arial"/>
              <w:bCs/>
            </w:rPr>
            <w:t>would</w:t>
          </w:r>
          <w:r w:rsidRPr="00EA7665">
            <w:rPr>
              <w:rStyle w:val="Strong"/>
              <w:rFonts w:ascii="Arial" w:hAnsi="Arial" w:cs="Arial"/>
              <w:b w:val="0"/>
            </w:rPr>
            <w:t xml:space="preserve"> like to express my gratitude to Dr Yamuna Kaluarachchi, my colleagues, other academics and </w:t>
          </w:r>
          <w:r w:rsidR="00E70A9C">
            <w:rPr>
              <w:rStyle w:val="Strong"/>
              <w:rFonts w:ascii="Arial" w:hAnsi="Arial" w:cs="Arial"/>
              <w:b w:val="0"/>
            </w:rPr>
            <w:t xml:space="preserve">the </w:t>
          </w:r>
          <w:r w:rsidRPr="00EA7665">
            <w:rPr>
              <w:rStyle w:val="Strong"/>
              <w:rFonts w:ascii="Arial" w:hAnsi="Arial" w:cs="Arial"/>
              <w:b w:val="0"/>
            </w:rPr>
            <w:t>administrative staff of the School of Built Environment and Architecture, London South Bank University</w:t>
          </w:r>
          <w:r w:rsidR="00882023">
            <w:rPr>
              <w:rStyle w:val="Strong"/>
              <w:rFonts w:ascii="Arial" w:hAnsi="Arial" w:cs="Arial"/>
              <w:b w:val="0"/>
            </w:rPr>
            <w:t>,</w:t>
          </w:r>
          <w:r w:rsidRPr="00EA7665">
            <w:rPr>
              <w:rStyle w:val="Strong"/>
              <w:rFonts w:ascii="Arial" w:hAnsi="Arial" w:cs="Arial"/>
              <w:b w:val="0"/>
            </w:rPr>
            <w:t xml:space="preserve"> for their tremendous support all through this program.</w:t>
          </w:r>
          <w:r w:rsidRPr="00EA7665">
            <w:rPr>
              <w:rStyle w:val="Strong"/>
              <w:rFonts w:ascii="Arial" w:hAnsi="Arial" w:cs="Arial"/>
              <w:b w:val="0"/>
            </w:rPr>
            <w:br w:type="page"/>
          </w:r>
        </w:p>
        <w:p w14:paraId="7421E6EE" w14:textId="77777777" w:rsidR="00CD6352" w:rsidRPr="00EA7665" w:rsidRDefault="00257087" w:rsidP="00CD6352">
          <w:pPr>
            <w:spacing w:line="360" w:lineRule="auto"/>
            <w:rPr>
              <w:rFonts w:ascii="Arial" w:hAnsi="Arial" w:cs="Arial"/>
            </w:rPr>
          </w:pPr>
        </w:p>
      </w:sdtContent>
    </w:sdt>
    <w:sdt>
      <w:sdtPr>
        <w:rPr>
          <w:rFonts w:asciiTheme="minorHAnsi" w:eastAsiaTheme="minorHAnsi" w:hAnsiTheme="minorHAnsi" w:cstheme="minorBidi"/>
          <w:color w:val="auto"/>
          <w:sz w:val="22"/>
          <w:szCs w:val="22"/>
          <w:lang w:val="en-GB"/>
        </w:rPr>
        <w:id w:val="211702203"/>
        <w:docPartObj>
          <w:docPartGallery w:val="Table of Contents"/>
          <w:docPartUnique/>
        </w:docPartObj>
      </w:sdtPr>
      <w:sdtEndPr>
        <w:rPr>
          <w:b/>
          <w:bCs/>
          <w:noProof/>
        </w:rPr>
      </w:sdtEndPr>
      <w:sdtContent>
        <w:p w14:paraId="121F5AFC" w14:textId="1B2C1C88" w:rsidR="00C7647C" w:rsidRPr="007625E7" w:rsidRDefault="00C7647C">
          <w:pPr>
            <w:pStyle w:val="TOCHeading"/>
            <w:rPr>
              <w:rFonts w:ascii="Arial" w:hAnsi="Arial" w:cs="Arial"/>
            </w:rPr>
          </w:pPr>
          <w:r w:rsidRPr="007625E7">
            <w:rPr>
              <w:rFonts w:ascii="Arial" w:hAnsi="Arial" w:cs="Arial"/>
            </w:rPr>
            <w:t>Table of Contents</w:t>
          </w:r>
        </w:p>
        <w:p w14:paraId="3434F9C7" w14:textId="0BBFD91C" w:rsidR="00827CA9" w:rsidRPr="00827CA9" w:rsidRDefault="00C7647C">
          <w:pPr>
            <w:pStyle w:val="TOC1"/>
            <w:tabs>
              <w:tab w:val="left" w:pos="440"/>
              <w:tab w:val="right" w:leader="dot" w:pos="9016"/>
            </w:tabs>
            <w:rPr>
              <w:rFonts w:ascii="Arial" w:eastAsiaTheme="minorEastAsia" w:hAnsi="Arial" w:cs="Arial"/>
              <w:b w:val="0"/>
              <w:bCs w:val="0"/>
              <w:caps w:val="0"/>
              <w:noProof/>
              <w:sz w:val="22"/>
              <w:szCs w:val="22"/>
              <w:lang w:eastAsia="en-GB"/>
            </w:rPr>
          </w:pPr>
          <w:r w:rsidRPr="007625E7">
            <w:rPr>
              <w:rFonts w:ascii="Arial" w:hAnsi="Arial" w:cs="Arial"/>
            </w:rPr>
            <w:fldChar w:fldCharType="begin"/>
          </w:r>
          <w:r w:rsidRPr="007625E7">
            <w:rPr>
              <w:rFonts w:ascii="Arial" w:hAnsi="Arial" w:cs="Arial"/>
            </w:rPr>
            <w:instrText xml:space="preserve"> TOC \o "1-3" \h \z \u </w:instrText>
          </w:r>
          <w:r w:rsidRPr="007625E7">
            <w:rPr>
              <w:rFonts w:ascii="Arial" w:hAnsi="Arial" w:cs="Arial"/>
            </w:rPr>
            <w:fldChar w:fldCharType="separate"/>
          </w:r>
          <w:hyperlink w:anchor="_Toc78983762" w:history="1">
            <w:r w:rsidR="00827CA9" w:rsidRPr="00827CA9">
              <w:rPr>
                <w:rStyle w:val="Hyperlink"/>
                <w:rFonts w:ascii="Arial" w:hAnsi="Arial" w:cs="Arial"/>
                <w:noProof/>
                <w:sz w:val="22"/>
                <w:szCs w:val="22"/>
              </w:rPr>
              <w:t>1</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1-20</w:t>
            </w:r>
            <w:r w:rsidR="00827CA9" w:rsidRPr="00827CA9">
              <w:rPr>
                <w:rFonts w:ascii="Arial" w:hAnsi="Arial" w:cs="Arial"/>
                <w:noProof/>
                <w:webHidden/>
                <w:sz w:val="22"/>
                <w:szCs w:val="22"/>
              </w:rPr>
              <w:fldChar w:fldCharType="end"/>
            </w:r>
          </w:hyperlink>
        </w:p>
        <w:p w14:paraId="6F5F209B" w14:textId="10242D59"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63" w:history="1">
            <w:r w:rsidR="00827CA9" w:rsidRPr="00827CA9">
              <w:rPr>
                <w:rStyle w:val="Hyperlink"/>
                <w:rFonts w:ascii="Arial" w:hAnsi="Arial" w:cs="Arial"/>
                <w:noProof/>
                <w:sz w:val="22"/>
                <w:szCs w:val="22"/>
              </w:rPr>
              <w:t>1.1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Background of the study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1-20</w:t>
            </w:r>
            <w:r w:rsidR="00827CA9" w:rsidRPr="00827CA9">
              <w:rPr>
                <w:rFonts w:ascii="Arial" w:hAnsi="Arial" w:cs="Arial"/>
                <w:noProof/>
                <w:webHidden/>
                <w:sz w:val="22"/>
                <w:szCs w:val="22"/>
              </w:rPr>
              <w:fldChar w:fldCharType="end"/>
            </w:r>
          </w:hyperlink>
        </w:p>
        <w:p w14:paraId="2F72C7EE" w14:textId="45514B6A"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64" w:history="1">
            <w:r w:rsidR="00827CA9" w:rsidRPr="00827CA9">
              <w:rPr>
                <w:rStyle w:val="Hyperlink"/>
                <w:rFonts w:ascii="Arial" w:hAnsi="Arial" w:cs="Arial"/>
                <w:noProof/>
                <w:sz w:val="22"/>
                <w:szCs w:val="22"/>
              </w:rPr>
              <w:t>1.2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Research Aim and Objectives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1-23</w:t>
            </w:r>
            <w:r w:rsidR="00827CA9" w:rsidRPr="00827CA9">
              <w:rPr>
                <w:rFonts w:ascii="Arial" w:hAnsi="Arial" w:cs="Arial"/>
                <w:noProof/>
                <w:webHidden/>
                <w:sz w:val="22"/>
                <w:szCs w:val="22"/>
              </w:rPr>
              <w:fldChar w:fldCharType="end"/>
            </w:r>
          </w:hyperlink>
        </w:p>
        <w:p w14:paraId="616CC568" w14:textId="1200178A"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65" w:history="1">
            <w:r w:rsidR="00827CA9" w:rsidRPr="00827CA9">
              <w:rPr>
                <w:rStyle w:val="Hyperlink"/>
                <w:rFonts w:ascii="Arial" w:hAnsi="Arial" w:cs="Arial"/>
                <w:noProof/>
                <w:sz w:val="22"/>
                <w:szCs w:val="22"/>
              </w:rPr>
              <w:t>1.3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Research Rationale</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1-24</w:t>
            </w:r>
            <w:r w:rsidR="00827CA9" w:rsidRPr="00827CA9">
              <w:rPr>
                <w:rFonts w:ascii="Arial" w:hAnsi="Arial" w:cs="Arial"/>
                <w:noProof/>
                <w:webHidden/>
                <w:sz w:val="22"/>
                <w:szCs w:val="22"/>
              </w:rPr>
              <w:fldChar w:fldCharType="end"/>
            </w:r>
          </w:hyperlink>
        </w:p>
        <w:p w14:paraId="24DE1FB8" w14:textId="70BECDF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66" w:history="1">
            <w:r w:rsidR="00827CA9" w:rsidRPr="00827CA9">
              <w:rPr>
                <w:rStyle w:val="Hyperlink"/>
                <w:rFonts w:ascii="Arial" w:hAnsi="Arial" w:cs="Arial"/>
                <w:noProof/>
                <w:sz w:val="22"/>
                <w:szCs w:val="22"/>
              </w:rPr>
              <w:t>1.3.1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significance of a toolkit for securing finance for real estate project development in both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1-24</w:t>
            </w:r>
            <w:r w:rsidR="00827CA9" w:rsidRPr="00827CA9">
              <w:rPr>
                <w:rFonts w:ascii="Arial" w:hAnsi="Arial" w:cs="Arial"/>
                <w:noProof/>
                <w:webHidden/>
                <w:sz w:val="22"/>
                <w:szCs w:val="22"/>
              </w:rPr>
              <w:fldChar w:fldCharType="end"/>
            </w:r>
          </w:hyperlink>
        </w:p>
        <w:p w14:paraId="78738FC3" w14:textId="4729DBA0"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67" w:history="1">
            <w:r w:rsidR="00827CA9" w:rsidRPr="00827CA9">
              <w:rPr>
                <w:rStyle w:val="Hyperlink"/>
                <w:rFonts w:ascii="Arial" w:hAnsi="Arial" w:cs="Arial"/>
                <w:noProof/>
                <w:sz w:val="22"/>
                <w:szCs w:val="22"/>
              </w:rPr>
              <w:t>1.3.2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Development funding shortage</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1-25</w:t>
            </w:r>
            <w:r w:rsidR="00827CA9" w:rsidRPr="00827CA9">
              <w:rPr>
                <w:rFonts w:ascii="Arial" w:hAnsi="Arial" w:cs="Arial"/>
                <w:noProof/>
                <w:webHidden/>
                <w:sz w:val="22"/>
                <w:szCs w:val="22"/>
              </w:rPr>
              <w:fldChar w:fldCharType="end"/>
            </w:r>
          </w:hyperlink>
        </w:p>
        <w:p w14:paraId="045F1558" w14:textId="08DAD05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68" w:history="1">
            <w:r w:rsidR="00827CA9" w:rsidRPr="00827CA9">
              <w:rPr>
                <w:rStyle w:val="Hyperlink"/>
                <w:rFonts w:ascii="Arial" w:hAnsi="Arial" w:cs="Arial"/>
                <w:noProof/>
                <w:sz w:val="22"/>
                <w:szCs w:val="22"/>
              </w:rPr>
              <w:t>1.3.3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existing Research Gap.</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1-26</w:t>
            </w:r>
            <w:r w:rsidR="00827CA9" w:rsidRPr="00827CA9">
              <w:rPr>
                <w:rFonts w:ascii="Arial" w:hAnsi="Arial" w:cs="Arial"/>
                <w:noProof/>
                <w:webHidden/>
                <w:sz w:val="22"/>
                <w:szCs w:val="22"/>
              </w:rPr>
              <w:fldChar w:fldCharType="end"/>
            </w:r>
          </w:hyperlink>
        </w:p>
        <w:p w14:paraId="4EC27ADA" w14:textId="0FBE375A"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69" w:history="1">
            <w:r w:rsidR="00827CA9" w:rsidRPr="00827CA9">
              <w:rPr>
                <w:rStyle w:val="Hyperlink"/>
                <w:rFonts w:ascii="Arial" w:hAnsi="Arial" w:cs="Arial"/>
                <w:noProof/>
                <w:sz w:val="22"/>
                <w:szCs w:val="22"/>
              </w:rPr>
              <w:t>1.4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Statement of the research problem</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_Toc78983769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1-26</w:t>
            </w:r>
            <w:r w:rsidR="00827CA9" w:rsidRPr="00827CA9">
              <w:rPr>
                <w:rFonts w:ascii="Arial" w:hAnsi="Arial" w:cs="Arial"/>
                <w:noProof/>
                <w:webHidden/>
                <w:sz w:val="22"/>
                <w:szCs w:val="22"/>
              </w:rPr>
              <w:fldChar w:fldCharType="end"/>
            </w:r>
          </w:hyperlink>
        </w:p>
        <w:p w14:paraId="15EFEBA4" w14:textId="44B6084B"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0" w:history="1">
            <w:r w:rsidR="00827CA9" w:rsidRPr="00827CA9">
              <w:rPr>
                <w:rStyle w:val="Hyperlink"/>
                <w:rFonts w:ascii="Arial" w:hAnsi="Arial" w:cs="Arial"/>
                <w:noProof/>
                <w:sz w:val="22"/>
                <w:szCs w:val="22"/>
              </w:rPr>
              <w:t>1.5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Research Questions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1-28</w:t>
            </w:r>
            <w:r w:rsidR="00827CA9" w:rsidRPr="00827CA9">
              <w:rPr>
                <w:rFonts w:ascii="Arial" w:hAnsi="Arial" w:cs="Arial"/>
                <w:noProof/>
                <w:webHidden/>
                <w:sz w:val="22"/>
                <w:szCs w:val="22"/>
              </w:rPr>
              <w:fldChar w:fldCharType="end"/>
            </w:r>
          </w:hyperlink>
        </w:p>
        <w:p w14:paraId="302FC261" w14:textId="707613F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1" w:history="1">
            <w:r w:rsidR="00827CA9" w:rsidRPr="00827CA9">
              <w:rPr>
                <w:rStyle w:val="Hyperlink"/>
                <w:rFonts w:ascii="Arial" w:hAnsi="Arial" w:cs="Arial"/>
                <w:noProof/>
                <w:sz w:val="22"/>
                <w:szCs w:val="22"/>
              </w:rPr>
              <w:t>1.6</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Scope of the Research</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1-28</w:t>
            </w:r>
            <w:r w:rsidR="00827CA9" w:rsidRPr="00827CA9">
              <w:rPr>
                <w:rFonts w:ascii="Arial" w:hAnsi="Arial" w:cs="Arial"/>
                <w:noProof/>
                <w:webHidden/>
                <w:sz w:val="22"/>
                <w:szCs w:val="22"/>
              </w:rPr>
              <w:fldChar w:fldCharType="end"/>
            </w:r>
          </w:hyperlink>
        </w:p>
        <w:p w14:paraId="3340C7E0" w14:textId="2B6861B4"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2" w:history="1">
            <w:r w:rsidR="00827CA9" w:rsidRPr="00827CA9">
              <w:rPr>
                <w:rStyle w:val="Hyperlink"/>
                <w:rFonts w:ascii="Arial" w:hAnsi="Arial" w:cs="Arial"/>
                <w:noProof/>
                <w:sz w:val="22"/>
                <w:szCs w:val="22"/>
              </w:rPr>
              <w:t>1.7</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Outline of the research methodology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1-29</w:t>
            </w:r>
            <w:r w:rsidR="00827CA9" w:rsidRPr="00827CA9">
              <w:rPr>
                <w:rFonts w:ascii="Arial" w:hAnsi="Arial" w:cs="Arial"/>
                <w:noProof/>
                <w:webHidden/>
                <w:sz w:val="22"/>
                <w:szCs w:val="22"/>
              </w:rPr>
              <w:fldChar w:fldCharType="end"/>
            </w:r>
          </w:hyperlink>
        </w:p>
        <w:p w14:paraId="57409E89" w14:textId="17EFD5B8"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3" w:history="1">
            <w:r w:rsidR="00827CA9" w:rsidRPr="00827CA9">
              <w:rPr>
                <w:rStyle w:val="Hyperlink"/>
                <w:rFonts w:ascii="Arial" w:hAnsi="Arial" w:cs="Arial"/>
                <w:noProof/>
                <w:sz w:val="22"/>
                <w:szCs w:val="22"/>
              </w:rPr>
              <w:t>1.8</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structure of the Thesis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1-30</w:t>
            </w:r>
            <w:r w:rsidR="00827CA9" w:rsidRPr="00827CA9">
              <w:rPr>
                <w:rFonts w:ascii="Arial" w:hAnsi="Arial" w:cs="Arial"/>
                <w:noProof/>
                <w:webHidden/>
                <w:sz w:val="22"/>
                <w:szCs w:val="22"/>
              </w:rPr>
              <w:fldChar w:fldCharType="end"/>
            </w:r>
          </w:hyperlink>
        </w:p>
        <w:p w14:paraId="650ED684" w14:textId="21D32FEE"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4" w:history="1">
            <w:r w:rsidR="00827CA9" w:rsidRPr="00827CA9">
              <w:rPr>
                <w:rStyle w:val="Hyperlink"/>
                <w:rFonts w:ascii="Arial" w:hAnsi="Arial" w:cs="Arial"/>
                <w:noProof/>
                <w:sz w:val="22"/>
                <w:szCs w:val="22"/>
              </w:rPr>
              <w:t>1.9</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1-31</w:t>
            </w:r>
            <w:r w:rsidR="00827CA9" w:rsidRPr="00827CA9">
              <w:rPr>
                <w:rFonts w:ascii="Arial" w:hAnsi="Arial" w:cs="Arial"/>
                <w:noProof/>
                <w:webHidden/>
                <w:sz w:val="22"/>
                <w:szCs w:val="22"/>
              </w:rPr>
              <w:fldChar w:fldCharType="end"/>
            </w:r>
          </w:hyperlink>
        </w:p>
        <w:p w14:paraId="0548839D" w14:textId="5B0578D4"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775" w:history="1">
            <w:r w:rsidR="00827CA9" w:rsidRPr="00827CA9">
              <w:rPr>
                <w:rStyle w:val="Hyperlink"/>
                <w:rFonts w:ascii="Arial" w:hAnsi="Arial" w:cs="Arial"/>
                <w:noProof/>
                <w:sz w:val="22"/>
                <w:szCs w:val="22"/>
              </w:rPr>
              <w:t>2</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The Real Estate Market in Developed Economies and Emerging Economies- Literature review 1.</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2-32</w:t>
            </w:r>
            <w:r w:rsidR="00827CA9" w:rsidRPr="00827CA9">
              <w:rPr>
                <w:rFonts w:ascii="Arial" w:hAnsi="Arial" w:cs="Arial"/>
                <w:noProof/>
                <w:webHidden/>
                <w:sz w:val="22"/>
                <w:szCs w:val="22"/>
              </w:rPr>
              <w:fldChar w:fldCharType="end"/>
            </w:r>
          </w:hyperlink>
        </w:p>
        <w:p w14:paraId="49EDC29A" w14:textId="0D22C78E"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6" w:history="1">
            <w:r w:rsidR="00827CA9" w:rsidRPr="00827CA9">
              <w:rPr>
                <w:rStyle w:val="Hyperlink"/>
                <w:rFonts w:ascii="Arial" w:hAnsi="Arial" w:cs="Arial"/>
                <w:noProof/>
                <w:sz w:val="22"/>
                <w:szCs w:val="22"/>
              </w:rPr>
              <w:t>2.1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 / Research context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2-32</w:t>
            </w:r>
            <w:r w:rsidR="00827CA9" w:rsidRPr="00827CA9">
              <w:rPr>
                <w:rFonts w:ascii="Arial" w:hAnsi="Arial" w:cs="Arial"/>
                <w:noProof/>
                <w:webHidden/>
                <w:sz w:val="22"/>
                <w:szCs w:val="22"/>
              </w:rPr>
              <w:fldChar w:fldCharType="end"/>
            </w:r>
          </w:hyperlink>
        </w:p>
        <w:p w14:paraId="414F59FF" w14:textId="34AD02FB"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77" w:history="1">
            <w:r w:rsidR="00827CA9" w:rsidRPr="00827CA9">
              <w:rPr>
                <w:rStyle w:val="Hyperlink"/>
                <w:rFonts w:ascii="Arial" w:hAnsi="Arial" w:cs="Arial"/>
                <w:noProof/>
                <w:sz w:val="22"/>
                <w:szCs w:val="22"/>
              </w:rPr>
              <w:t>2.2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real estate market in developed/ matured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2-32</w:t>
            </w:r>
            <w:r w:rsidR="00827CA9" w:rsidRPr="00827CA9">
              <w:rPr>
                <w:rFonts w:ascii="Arial" w:hAnsi="Arial" w:cs="Arial"/>
                <w:noProof/>
                <w:webHidden/>
                <w:sz w:val="22"/>
                <w:szCs w:val="22"/>
              </w:rPr>
              <w:fldChar w:fldCharType="end"/>
            </w:r>
          </w:hyperlink>
        </w:p>
        <w:p w14:paraId="1C3C737D" w14:textId="4C7E9A1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78" w:history="1">
            <w:r w:rsidR="00827CA9" w:rsidRPr="00827CA9">
              <w:rPr>
                <w:rStyle w:val="Hyperlink"/>
                <w:rFonts w:ascii="Arial" w:hAnsi="Arial" w:cs="Arial"/>
                <w:noProof/>
                <w:sz w:val="22"/>
                <w:szCs w:val="22"/>
              </w:rPr>
              <w:t>2.2.1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review of literature focused on the German real estate market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2-33</w:t>
            </w:r>
            <w:r w:rsidR="00827CA9" w:rsidRPr="00827CA9">
              <w:rPr>
                <w:rFonts w:ascii="Arial" w:hAnsi="Arial" w:cs="Arial"/>
                <w:noProof/>
                <w:webHidden/>
                <w:sz w:val="22"/>
                <w:szCs w:val="22"/>
              </w:rPr>
              <w:fldChar w:fldCharType="end"/>
            </w:r>
          </w:hyperlink>
        </w:p>
        <w:p w14:paraId="562752CF" w14:textId="3363F9D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79" w:history="1">
            <w:r w:rsidR="00827CA9" w:rsidRPr="00827CA9">
              <w:rPr>
                <w:rStyle w:val="Hyperlink"/>
                <w:rFonts w:ascii="Arial" w:hAnsi="Arial" w:cs="Arial"/>
                <w:noProof/>
                <w:sz w:val="22"/>
                <w:szCs w:val="22"/>
              </w:rPr>
              <w:t>2.2.2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review of literature focused on the United Kingdom real estate market.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_Toc78983779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2-37</w:t>
            </w:r>
            <w:r w:rsidR="00827CA9" w:rsidRPr="00827CA9">
              <w:rPr>
                <w:rFonts w:ascii="Arial" w:hAnsi="Arial" w:cs="Arial"/>
                <w:noProof/>
                <w:webHidden/>
                <w:sz w:val="22"/>
                <w:szCs w:val="22"/>
              </w:rPr>
              <w:fldChar w:fldCharType="end"/>
            </w:r>
          </w:hyperlink>
        </w:p>
        <w:p w14:paraId="3DA0A538" w14:textId="4E5C346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80" w:history="1">
            <w:r w:rsidR="00827CA9" w:rsidRPr="00827CA9">
              <w:rPr>
                <w:rStyle w:val="Hyperlink"/>
                <w:rFonts w:ascii="Arial" w:hAnsi="Arial" w:cs="Arial"/>
                <w:noProof/>
                <w:sz w:val="22"/>
                <w:szCs w:val="22"/>
              </w:rPr>
              <w:t>2.2.3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review of literature focused on the United States real estate market.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2-42</w:t>
            </w:r>
            <w:r w:rsidR="00827CA9" w:rsidRPr="00827CA9">
              <w:rPr>
                <w:rFonts w:ascii="Arial" w:hAnsi="Arial" w:cs="Arial"/>
                <w:noProof/>
                <w:webHidden/>
                <w:sz w:val="22"/>
                <w:szCs w:val="22"/>
              </w:rPr>
              <w:fldChar w:fldCharType="end"/>
            </w:r>
          </w:hyperlink>
        </w:p>
        <w:p w14:paraId="56EF1CE6" w14:textId="245A2578"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81" w:history="1">
            <w:r w:rsidR="00827CA9" w:rsidRPr="00827CA9">
              <w:rPr>
                <w:rStyle w:val="Hyperlink"/>
                <w:rFonts w:ascii="Arial" w:hAnsi="Arial" w:cs="Arial"/>
                <w:noProof/>
                <w:sz w:val="22"/>
                <w:szCs w:val="22"/>
              </w:rPr>
              <w:t>2.3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real estate market in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2-46</w:t>
            </w:r>
            <w:r w:rsidR="00827CA9" w:rsidRPr="00827CA9">
              <w:rPr>
                <w:rFonts w:ascii="Arial" w:hAnsi="Arial" w:cs="Arial"/>
                <w:noProof/>
                <w:webHidden/>
                <w:sz w:val="22"/>
                <w:szCs w:val="22"/>
              </w:rPr>
              <w:fldChar w:fldCharType="end"/>
            </w:r>
          </w:hyperlink>
        </w:p>
        <w:p w14:paraId="2E348F4E" w14:textId="0FE2370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82" w:history="1">
            <w:r w:rsidR="00827CA9" w:rsidRPr="00827CA9">
              <w:rPr>
                <w:rStyle w:val="Hyperlink"/>
                <w:rFonts w:ascii="Arial" w:hAnsi="Arial" w:cs="Arial"/>
                <w:noProof/>
                <w:sz w:val="22"/>
                <w:szCs w:val="22"/>
              </w:rPr>
              <w:t>2.3.1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review of literature focused on China’s real estate market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2-46</w:t>
            </w:r>
            <w:r w:rsidR="00827CA9" w:rsidRPr="00827CA9">
              <w:rPr>
                <w:rFonts w:ascii="Arial" w:hAnsi="Arial" w:cs="Arial"/>
                <w:noProof/>
                <w:webHidden/>
                <w:sz w:val="22"/>
                <w:szCs w:val="22"/>
              </w:rPr>
              <w:fldChar w:fldCharType="end"/>
            </w:r>
          </w:hyperlink>
        </w:p>
        <w:p w14:paraId="316A5E75" w14:textId="33C3CF75"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83" w:history="1">
            <w:r w:rsidR="00827CA9" w:rsidRPr="00827CA9">
              <w:rPr>
                <w:rStyle w:val="Hyperlink"/>
                <w:rFonts w:ascii="Arial" w:hAnsi="Arial" w:cs="Arial"/>
                <w:noProof/>
                <w:sz w:val="22"/>
                <w:szCs w:val="22"/>
              </w:rPr>
              <w:t>2.3.2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review of literature focused on the Nigerian real estate market.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2-49</w:t>
            </w:r>
            <w:r w:rsidR="00827CA9" w:rsidRPr="00827CA9">
              <w:rPr>
                <w:rFonts w:ascii="Arial" w:hAnsi="Arial" w:cs="Arial"/>
                <w:noProof/>
                <w:webHidden/>
                <w:sz w:val="22"/>
                <w:szCs w:val="22"/>
              </w:rPr>
              <w:fldChar w:fldCharType="end"/>
            </w:r>
          </w:hyperlink>
        </w:p>
        <w:p w14:paraId="58B66E0B" w14:textId="0C4A8AA0"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84" w:history="1">
            <w:r w:rsidR="00827CA9" w:rsidRPr="00827CA9">
              <w:rPr>
                <w:rStyle w:val="Hyperlink"/>
                <w:rFonts w:ascii="Arial" w:hAnsi="Arial" w:cs="Arial"/>
                <w:noProof/>
                <w:sz w:val="22"/>
                <w:szCs w:val="22"/>
              </w:rPr>
              <w:t>2.3.3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review of literature focused on the South African real estate market.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2-56</w:t>
            </w:r>
            <w:r w:rsidR="00827CA9" w:rsidRPr="00827CA9">
              <w:rPr>
                <w:rFonts w:ascii="Arial" w:hAnsi="Arial" w:cs="Arial"/>
                <w:noProof/>
                <w:webHidden/>
                <w:sz w:val="22"/>
                <w:szCs w:val="22"/>
              </w:rPr>
              <w:fldChar w:fldCharType="end"/>
            </w:r>
          </w:hyperlink>
        </w:p>
        <w:p w14:paraId="69A87708" w14:textId="3D121E8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85" w:history="1">
            <w:r w:rsidR="00827CA9" w:rsidRPr="00827CA9">
              <w:rPr>
                <w:rStyle w:val="Hyperlink"/>
                <w:rFonts w:ascii="Arial" w:hAnsi="Arial" w:cs="Arial"/>
                <w:noProof/>
                <w:sz w:val="22"/>
                <w:szCs w:val="22"/>
              </w:rPr>
              <w:t>2.4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Comparison of the real estate markets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2-59</w:t>
            </w:r>
            <w:r w:rsidR="00827CA9" w:rsidRPr="00827CA9">
              <w:rPr>
                <w:rFonts w:ascii="Arial" w:hAnsi="Arial" w:cs="Arial"/>
                <w:noProof/>
                <w:webHidden/>
                <w:sz w:val="22"/>
                <w:szCs w:val="22"/>
              </w:rPr>
              <w:fldChar w:fldCharType="end"/>
            </w:r>
          </w:hyperlink>
        </w:p>
        <w:p w14:paraId="7EEB6257" w14:textId="4D1CA093"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86" w:history="1">
            <w:r w:rsidR="00827CA9" w:rsidRPr="00827CA9">
              <w:rPr>
                <w:rStyle w:val="Hyperlink"/>
                <w:rFonts w:ascii="Arial" w:hAnsi="Arial" w:cs="Arial"/>
                <w:noProof/>
                <w:sz w:val="22"/>
                <w:szCs w:val="22"/>
              </w:rPr>
              <w:t>2.5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Implications of the findings from the review of literature on the selected developed &amp;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2-60</w:t>
            </w:r>
            <w:r w:rsidR="00827CA9" w:rsidRPr="00827CA9">
              <w:rPr>
                <w:rFonts w:ascii="Arial" w:hAnsi="Arial" w:cs="Arial"/>
                <w:noProof/>
                <w:webHidden/>
                <w:sz w:val="22"/>
                <w:szCs w:val="22"/>
              </w:rPr>
              <w:fldChar w:fldCharType="end"/>
            </w:r>
          </w:hyperlink>
        </w:p>
        <w:p w14:paraId="2728AE26" w14:textId="47B5CEA8"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87" w:history="1">
            <w:r w:rsidR="00827CA9" w:rsidRPr="00827CA9">
              <w:rPr>
                <w:rStyle w:val="Hyperlink"/>
                <w:rFonts w:ascii="Arial" w:hAnsi="Arial" w:cs="Arial"/>
                <w:noProof/>
                <w:sz w:val="22"/>
                <w:szCs w:val="22"/>
              </w:rPr>
              <w:t>2.6</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2-61</w:t>
            </w:r>
            <w:r w:rsidR="00827CA9" w:rsidRPr="00827CA9">
              <w:rPr>
                <w:rFonts w:ascii="Arial" w:hAnsi="Arial" w:cs="Arial"/>
                <w:noProof/>
                <w:webHidden/>
                <w:sz w:val="22"/>
                <w:szCs w:val="22"/>
              </w:rPr>
              <w:fldChar w:fldCharType="end"/>
            </w:r>
          </w:hyperlink>
        </w:p>
        <w:p w14:paraId="5EADBC19" w14:textId="70054A71"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788" w:history="1">
            <w:r w:rsidR="00827CA9" w:rsidRPr="00827CA9">
              <w:rPr>
                <w:rStyle w:val="Hyperlink"/>
                <w:rFonts w:ascii="Arial" w:hAnsi="Arial" w:cs="Arial"/>
                <w:noProof/>
                <w:sz w:val="22"/>
                <w:szCs w:val="22"/>
              </w:rPr>
              <w:t>3</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Literature Review (2)</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3-63</w:t>
            </w:r>
            <w:r w:rsidR="00827CA9" w:rsidRPr="00827CA9">
              <w:rPr>
                <w:rFonts w:ascii="Arial" w:hAnsi="Arial" w:cs="Arial"/>
                <w:noProof/>
                <w:webHidden/>
                <w:sz w:val="22"/>
                <w:szCs w:val="22"/>
              </w:rPr>
              <w:fldChar w:fldCharType="end"/>
            </w:r>
          </w:hyperlink>
        </w:p>
        <w:p w14:paraId="4A15F22F" w14:textId="4C8ED38E"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89" w:history="1">
            <w:r w:rsidR="00827CA9" w:rsidRPr="00827CA9">
              <w:rPr>
                <w:rStyle w:val="Hyperlink"/>
                <w:rFonts w:ascii="Arial" w:hAnsi="Arial" w:cs="Arial"/>
                <w:noProof/>
                <w:sz w:val="22"/>
                <w:szCs w:val="22"/>
              </w:rPr>
              <w:t>3.1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_Toc78983789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3-63</w:t>
            </w:r>
            <w:r w:rsidR="00827CA9" w:rsidRPr="00827CA9">
              <w:rPr>
                <w:rFonts w:ascii="Arial" w:hAnsi="Arial" w:cs="Arial"/>
                <w:noProof/>
                <w:webHidden/>
                <w:sz w:val="22"/>
                <w:szCs w:val="22"/>
              </w:rPr>
              <w:fldChar w:fldCharType="end"/>
            </w:r>
          </w:hyperlink>
        </w:p>
        <w:p w14:paraId="46F8CC84" w14:textId="0EAB16C9"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0" w:history="1">
            <w:r w:rsidR="00827CA9" w:rsidRPr="00827CA9">
              <w:rPr>
                <w:rStyle w:val="Hyperlink"/>
                <w:rFonts w:ascii="Arial" w:hAnsi="Arial" w:cs="Arial"/>
                <w:noProof/>
                <w:sz w:val="22"/>
                <w:szCs w:val="22"/>
              </w:rPr>
              <w:t>3.2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Finance options for real estate project development – a review of theoretical literature</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3-63</w:t>
            </w:r>
            <w:r w:rsidR="00827CA9" w:rsidRPr="00827CA9">
              <w:rPr>
                <w:rFonts w:ascii="Arial" w:hAnsi="Arial" w:cs="Arial"/>
                <w:noProof/>
                <w:webHidden/>
                <w:sz w:val="22"/>
                <w:szCs w:val="22"/>
              </w:rPr>
              <w:fldChar w:fldCharType="end"/>
            </w:r>
          </w:hyperlink>
        </w:p>
        <w:p w14:paraId="51CABCD1" w14:textId="11F27682"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1" w:history="1">
            <w:r w:rsidR="00827CA9" w:rsidRPr="00827CA9">
              <w:rPr>
                <w:rStyle w:val="Hyperlink"/>
                <w:rFonts w:ascii="Arial" w:hAnsi="Arial" w:cs="Arial"/>
                <w:noProof/>
                <w:sz w:val="22"/>
                <w:szCs w:val="22"/>
              </w:rPr>
              <w:t>3.3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A review of literature on finance options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3-66</w:t>
            </w:r>
            <w:r w:rsidR="00827CA9" w:rsidRPr="00827CA9">
              <w:rPr>
                <w:rFonts w:ascii="Arial" w:hAnsi="Arial" w:cs="Arial"/>
                <w:noProof/>
                <w:webHidden/>
                <w:sz w:val="22"/>
                <w:szCs w:val="22"/>
              </w:rPr>
              <w:fldChar w:fldCharType="end"/>
            </w:r>
          </w:hyperlink>
        </w:p>
        <w:p w14:paraId="69BA8819" w14:textId="5B8A054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92" w:history="1">
            <w:r w:rsidR="00827CA9" w:rsidRPr="00827CA9">
              <w:rPr>
                <w:rStyle w:val="Hyperlink"/>
                <w:rFonts w:ascii="Arial" w:hAnsi="Arial" w:cs="Arial"/>
                <w:noProof/>
                <w:sz w:val="22"/>
                <w:szCs w:val="22"/>
              </w:rPr>
              <w:t>3.3.1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Equity financing</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3-66</w:t>
            </w:r>
            <w:r w:rsidR="00827CA9" w:rsidRPr="00827CA9">
              <w:rPr>
                <w:rFonts w:ascii="Arial" w:hAnsi="Arial" w:cs="Arial"/>
                <w:noProof/>
                <w:webHidden/>
                <w:sz w:val="22"/>
                <w:szCs w:val="22"/>
              </w:rPr>
              <w:fldChar w:fldCharType="end"/>
            </w:r>
          </w:hyperlink>
        </w:p>
        <w:p w14:paraId="34040FAF" w14:textId="2F2CA00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93" w:history="1">
            <w:r w:rsidR="00827CA9" w:rsidRPr="00827CA9">
              <w:rPr>
                <w:rStyle w:val="Hyperlink"/>
                <w:rFonts w:ascii="Arial" w:hAnsi="Arial" w:cs="Arial"/>
                <w:noProof/>
                <w:sz w:val="22"/>
                <w:szCs w:val="22"/>
              </w:rPr>
              <w:t>3.3.2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Debt financing</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3-67</w:t>
            </w:r>
            <w:r w:rsidR="00827CA9" w:rsidRPr="00827CA9">
              <w:rPr>
                <w:rFonts w:ascii="Arial" w:hAnsi="Arial" w:cs="Arial"/>
                <w:noProof/>
                <w:webHidden/>
                <w:sz w:val="22"/>
                <w:szCs w:val="22"/>
              </w:rPr>
              <w:fldChar w:fldCharType="end"/>
            </w:r>
          </w:hyperlink>
        </w:p>
        <w:p w14:paraId="1ADA75EE" w14:textId="2B741EB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794" w:history="1">
            <w:r w:rsidR="00827CA9" w:rsidRPr="00827CA9">
              <w:rPr>
                <w:rStyle w:val="Hyperlink"/>
                <w:rFonts w:ascii="Arial" w:hAnsi="Arial" w:cs="Arial"/>
                <w:noProof/>
                <w:sz w:val="22"/>
                <w:szCs w:val="22"/>
              </w:rPr>
              <w:t>3.3.3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Innovative real estate financing options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3-68</w:t>
            </w:r>
            <w:r w:rsidR="00827CA9" w:rsidRPr="00827CA9">
              <w:rPr>
                <w:rFonts w:ascii="Arial" w:hAnsi="Arial" w:cs="Arial"/>
                <w:noProof/>
                <w:webHidden/>
                <w:sz w:val="22"/>
                <w:szCs w:val="22"/>
              </w:rPr>
              <w:fldChar w:fldCharType="end"/>
            </w:r>
          </w:hyperlink>
        </w:p>
        <w:p w14:paraId="49EAFEA2" w14:textId="05CC9899"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5" w:history="1">
            <w:r w:rsidR="00827CA9" w:rsidRPr="00827CA9">
              <w:rPr>
                <w:rStyle w:val="Hyperlink"/>
                <w:rFonts w:ascii="Arial" w:hAnsi="Arial" w:cs="Arial"/>
                <w:noProof/>
                <w:sz w:val="22"/>
                <w:szCs w:val="22"/>
              </w:rPr>
              <w:t>3.4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A review of literature on the criteria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3-70</w:t>
            </w:r>
            <w:r w:rsidR="00827CA9" w:rsidRPr="00827CA9">
              <w:rPr>
                <w:rFonts w:ascii="Arial" w:hAnsi="Arial" w:cs="Arial"/>
                <w:noProof/>
                <w:webHidden/>
                <w:sz w:val="22"/>
                <w:szCs w:val="22"/>
              </w:rPr>
              <w:fldChar w:fldCharType="end"/>
            </w:r>
          </w:hyperlink>
        </w:p>
        <w:p w14:paraId="57375827" w14:textId="0B10690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6" w:history="1">
            <w:r w:rsidR="00827CA9" w:rsidRPr="00827CA9">
              <w:rPr>
                <w:rStyle w:val="Hyperlink"/>
                <w:rFonts w:ascii="Arial" w:hAnsi="Arial" w:cs="Arial"/>
                <w:noProof/>
                <w:sz w:val="22"/>
                <w:szCs w:val="22"/>
              </w:rPr>
              <w:t>3.5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A review of literature on the critical success factors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3-73</w:t>
            </w:r>
            <w:r w:rsidR="00827CA9" w:rsidRPr="00827CA9">
              <w:rPr>
                <w:rFonts w:ascii="Arial" w:hAnsi="Arial" w:cs="Arial"/>
                <w:noProof/>
                <w:webHidden/>
                <w:sz w:val="22"/>
                <w:szCs w:val="22"/>
              </w:rPr>
              <w:fldChar w:fldCharType="end"/>
            </w:r>
          </w:hyperlink>
        </w:p>
        <w:p w14:paraId="013DBF11" w14:textId="6D0DCE4B"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7" w:history="1">
            <w:r w:rsidR="00827CA9" w:rsidRPr="00827CA9">
              <w:rPr>
                <w:rStyle w:val="Hyperlink"/>
                <w:rFonts w:ascii="Arial" w:hAnsi="Arial" w:cs="Arial"/>
                <w:noProof/>
                <w:sz w:val="22"/>
                <w:szCs w:val="22"/>
              </w:rPr>
              <w:t>3.6</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A review of literature on opportunities and challenges associated with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3-76</w:t>
            </w:r>
            <w:r w:rsidR="00827CA9" w:rsidRPr="00827CA9">
              <w:rPr>
                <w:rFonts w:ascii="Arial" w:hAnsi="Arial" w:cs="Arial"/>
                <w:noProof/>
                <w:webHidden/>
                <w:sz w:val="22"/>
                <w:szCs w:val="22"/>
              </w:rPr>
              <w:fldChar w:fldCharType="end"/>
            </w:r>
          </w:hyperlink>
        </w:p>
        <w:p w14:paraId="38D79C0F" w14:textId="2B1C5E59"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8" w:history="1">
            <w:r w:rsidR="00827CA9" w:rsidRPr="00827CA9">
              <w:rPr>
                <w:rStyle w:val="Hyperlink"/>
                <w:rFonts w:ascii="Arial" w:hAnsi="Arial" w:cs="Arial"/>
                <w:noProof/>
                <w:sz w:val="22"/>
                <w:szCs w:val="22"/>
              </w:rPr>
              <w:t>3.7</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A review of literature on the key decisions and processes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3-82</w:t>
            </w:r>
            <w:r w:rsidR="00827CA9" w:rsidRPr="00827CA9">
              <w:rPr>
                <w:rFonts w:ascii="Arial" w:hAnsi="Arial" w:cs="Arial"/>
                <w:noProof/>
                <w:webHidden/>
                <w:sz w:val="22"/>
                <w:szCs w:val="22"/>
              </w:rPr>
              <w:fldChar w:fldCharType="end"/>
            </w:r>
          </w:hyperlink>
        </w:p>
        <w:p w14:paraId="428ABDB9" w14:textId="5705E1F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799" w:history="1">
            <w:r w:rsidR="00827CA9" w:rsidRPr="00827CA9">
              <w:rPr>
                <w:rStyle w:val="Hyperlink"/>
                <w:rFonts w:ascii="Arial" w:hAnsi="Arial" w:cs="Arial"/>
                <w:noProof/>
                <w:sz w:val="22"/>
                <w:szCs w:val="22"/>
              </w:rPr>
              <w:t>3.8</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A review of literature on management skills, knowledge, competences, career path, training and education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_Toc78983799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3-84</w:t>
            </w:r>
            <w:r w:rsidR="00827CA9" w:rsidRPr="00827CA9">
              <w:rPr>
                <w:rFonts w:ascii="Arial" w:hAnsi="Arial" w:cs="Arial"/>
                <w:noProof/>
                <w:webHidden/>
                <w:sz w:val="22"/>
                <w:szCs w:val="22"/>
              </w:rPr>
              <w:fldChar w:fldCharType="end"/>
            </w:r>
          </w:hyperlink>
        </w:p>
        <w:p w14:paraId="5F9D3214" w14:textId="538FF7C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0" w:history="1">
            <w:r w:rsidR="00827CA9" w:rsidRPr="00827CA9">
              <w:rPr>
                <w:rStyle w:val="Hyperlink"/>
                <w:rFonts w:ascii="Arial" w:eastAsia="Calibri" w:hAnsi="Arial" w:cs="Arial"/>
                <w:noProof/>
                <w:sz w:val="22"/>
                <w:szCs w:val="22"/>
                <w:lang w:val="en-US"/>
              </w:rPr>
              <w:t>3.8.1</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US"/>
              </w:rPr>
              <w:t>Management skills: Definition and Characteristics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3-84</w:t>
            </w:r>
            <w:r w:rsidR="00827CA9" w:rsidRPr="00827CA9">
              <w:rPr>
                <w:rFonts w:ascii="Arial" w:hAnsi="Arial" w:cs="Arial"/>
                <w:noProof/>
                <w:webHidden/>
                <w:sz w:val="22"/>
                <w:szCs w:val="22"/>
              </w:rPr>
              <w:fldChar w:fldCharType="end"/>
            </w:r>
          </w:hyperlink>
        </w:p>
        <w:p w14:paraId="2C971B3C" w14:textId="4EFFC19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1" w:history="1">
            <w:r w:rsidR="00827CA9" w:rsidRPr="00827CA9">
              <w:rPr>
                <w:rStyle w:val="Hyperlink"/>
                <w:rFonts w:ascii="Arial" w:hAnsi="Arial" w:cs="Arial"/>
                <w:noProof/>
                <w:sz w:val="22"/>
                <w:szCs w:val="22"/>
              </w:rPr>
              <w:t>3.8.2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 knowledge: definition and characteristics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3-89</w:t>
            </w:r>
            <w:r w:rsidR="00827CA9" w:rsidRPr="00827CA9">
              <w:rPr>
                <w:rFonts w:ascii="Arial" w:hAnsi="Arial" w:cs="Arial"/>
                <w:noProof/>
                <w:webHidden/>
                <w:sz w:val="22"/>
                <w:szCs w:val="22"/>
              </w:rPr>
              <w:fldChar w:fldCharType="end"/>
            </w:r>
          </w:hyperlink>
        </w:p>
        <w:p w14:paraId="3BFC8AD7" w14:textId="1C6F418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2" w:history="1">
            <w:r w:rsidR="00827CA9" w:rsidRPr="00827CA9">
              <w:rPr>
                <w:rStyle w:val="Hyperlink"/>
                <w:rFonts w:ascii="Arial" w:hAnsi="Arial" w:cs="Arial"/>
                <w:noProof/>
                <w:sz w:val="22"/>
                <w:szCs w:val="22"/>
              </w:rPr>
              <w:t>3.8.3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 competences: Definition and Characteristics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3-94</w:t>
            </w:r>
            <w:r w:rsidR="00827CA9" w:rsidRPr="00827CA9">
              <w:rPr>
                <w:rFonts w:ascii="Arial" w:hAnsi="Arial" w:cs="Arial"/>
                <w:noProof/>
                <w:webHidden/>
                <w:sz w:val="22"/>
                <w:szCs w:val="22"/>
              </w:rPr>
              <w:fldChar w:fldCharType="end"/>
            </w:r>
          </w:hyperlink>
        </w:p>
        <w:p w14:paraId="62671CDD" w14:textId="6EAF7A6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3" w:history="1">
            <w:r w:rsidR="00827CA9" w:rsidRPr="00827CA9">
              <w:rPr>
                <w:rStyle w:val="Hyperlink"/>
                <w:rFonts w:ascii="Arial" w:hAnsi="Arial" w:cs="Arial"/>
                <w:noProof/>
                <w:sz w:val="22"/>
                <w:szCs w:val="22"/>
              </w:rPr>
              <w:t>3.8.4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 Career path: Definition and Characteristics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3-98</w:t>
            </w:r>
            <w:r w:rsidR="00827CA9" w:rsidRPr="00827CA9">
              <w:rPr>
                <w:rFonts w:ascii="Arial" w:hAnsi="Arial" w:cs="Arial"/>
                <w:noProof/>
                <w:webHidden/>
                <w:sz w:val="22"/>
                <w:szCs w:val="22"/>
              </w:rPr>
              <w:fldChar w:fldCharType="end"/>
            </w:r>
          </w:hyperlink>
        </w:p>
        <w:p w14:paraId="28CB446C" w14:textId="68B20017"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4" w:history="1">
            <w:r w:rsidR="00827CA9" w:rsidRPr="00827CA9">
              <w:rPr>
                <w:rStyle w:val="Hyperlink"/>
                <w:rFonts w:ascii="Arial" w:hAnsi="Arial" w:cs="Arial"/>
                <w:noProof/>
                <w:sz w:val="22"/>
                <w:szCs w:val="22"/>
              </w:rPr>
              <w:t>3.8.5</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Manager’s training and education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3-101</w:t>
            </w:r>
            <w:r w:rsidR="00827CA9" w:rsidRPr="00827CA9">
              <w:rPr>
                <w:rFonts w:ascii="Arial" w:hAnsi="Arial" w:cs="Arial"/>
                <w:noProof/>
                <w:webHidden/>
                <w:sz w:val="22"/>
                <w:szCs w:val="22"/>
              </w:rPr>
              <w:fldChar w:fldCharType="end"/>
            </w:r>
          </w:hyperlink>
        </w:p>
        <w:p w14:paraId="190C998F" w14:textId="1FC9ABC0"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05" w:history="1">
            <w:r w:rsidR="00827CA9" w:rsidRPr="00827CA9">
              <w:rPr>
                <w:rStyle w:val="Hyperlink"/>
                <w:rFonts w:ascii="Arial" w:hAnsi="Arial" w:cs="Arial"/>
                <w:noProof/>
                <w:sz w:val="22"/>
                <w:szCs w:val="22"/>
              </w:rPr>
              <w:t>3.9</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conceptual model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3-108</w:t>
            </w:r>
            <w:r w:rsidR="00827CA9" w:rsidRPr="00827CA9">
              <w:rPr>
                <w:rFonts w:ascii="Arial" w:hAnsi="Arial" w:cs="Arial"/>
                <w:noProof/>
                <w:webHidden/>
                <w:sz w:val="22"/>
                <w:szCs w:val="22"/>
              </w:rPr>
              <w:fldChar w:fldCharType="end"/>
            </w:r>
          </w:hyperlink>
        </w:p>
        <w:p w14:paraId="136BD0E1" w14:textId="5E17818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6" w:history="1">
            <w:r w:rsidR="00827CA9" w:rsidRPr="00827CA9">
              <w:rPr>
                <w:rStyle w:val="Hyperlink"/>
                <w:rFonts w:ascii="Arial" w:hAnsi="Arial" w:cs="Arial"/>
                <w:noProof/>
                <w:sz w:val="22"/>
                <w:szCs w:val="22"/>
              </w:rPr>
              <w:t>3.9.1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development of the conceptual model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3-108</w:t>
            </w:r>
            <w:r w:rsidR="00827CA9" w:rsidRPr="00827CA9">
              <w:rPr>
                <w:rFonts w:ascii="Arial" w:hAnsi="Arial" w:cs="Arial"/>
                <w:noProof/>
                <w:webHidden/>
                <w:sz w:val="22"/>
                <w:szCs w:val="22"/>
              </w:rPr>
              <w:fldChar w:fldCharType="end"/>
            </w:r>
          </w:hyperlink>
        </w:p>
        <w:p w14:paraId="2A38F79E" w14:textId="242AD2F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7" w:history="1">
            <w:r w:rsidR="00827CA9" w:rsidRPr="00827CA9">
              <w:rPr>
                <w:rStyle w:val="Hyperlink"/>
                <w:rFonts w:ascii="Arial" w:hAnsi="Arial" w:cs="Arial"/>
                <w:noProof/>
                <w:sz w:val="22"/>
                <w:szCs w:val="22"/>
              </w:rPr>
              <w:t>3.9.2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What is a toolkit?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3-111</w:t>
            </w:r>
            <w:r w:rsidR="00827CA9" w:rsidRPr="00827CA9">
              <w:rPr>
                <w:rFonts w:ascii="Arial" w:hAnsi="Arial" w:cs="Arial"/>
                <w:noProof/>
                <w:webHidden/>
                <w:sz w:val="22"/>
                <w:szCs w:val="22"/>
              </w:rPr>
              <w:fldChar w:fldCharType="end"/>
            </w:r>
          </w:hyperlink>
        </w:p>
        <w:p w14:paraId="668044DC" w14:textId="1482CDC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08" w:history="1">
            <w:r w:rsidR="00827CA9" w:rsidRPr="00827CA9">
              <w:rPr>
                <w:rStyle w:val="Hyperlink"/>
                <w:rFonts w:ascii="Arial" w:hAnsi="Arial" w:cs="Arial"/>
                <w:noProof/>
                <w:sz w:val="22"/>
                <w:szCs w:val="22"/>
              </w:rPr>
              <w:t>3.9.3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Why is a toolkit needed?</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3-111</w:t>
            </w:r>
            <w:r w:rsidR="00827CA9" w:rsidRPr="00827CA9">
              <w:rPr>
                <w:rFonts w:ascii="Arial" w:hAnsi="Arial" w:cs="Arial"/>
                <w:noProof/>
                <w:webHidden/>
                <w:sz w:val="22"/>
                <w:szCs w:val="22"/>
              </w:rPr>
              <w:fldChar w:fldCharType="end"/>
            </w:r>
          </w:hyperlink>
        </w:p>
        <w:p w14:paraId="61DE8B4E" w14:textId="01CAC05B"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09" w:history="1">
            <w:r w:rsidR="00827CA9" w:rsidRPr="00827CA9">
              <w:rPr>
                <w:rStyle w:val="Hyperlink"/>
                <w:rFonts w:ascii="Arial" w:hAnsi="Arial" w:cs="Arial"/>
                <w:noProof/>
                <w:sz w:val="22"/>
                <w:szCs w:val="22"/>
              </w:rPr>
              <w:t>3.10</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Implications of the findings from the literature review &amp; the development of the initial conceptual model.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_Toc78983809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3-113</w:t>
            </w:r>
            <w:r w:rsidR="00827CA9" w:rsidRPr="00827CA9">
              <w:rPr>
                <w:rFonts w:ascii="Arial" w:hAnsi="Arial" w:cs="Arial"/>
                <w:noProof/>
                <w:webHidden/>
                <w:sz w:val="22"/>
                <w:szCs w:val="22"/>
              </w:rPr>
              <w:fldChar w:fldCharType="end"/>
            </w:r>
          </w:hyperlink>
        </w:p>
        <w:p w14:paraId="319311F1" w14:textId="4BD3F120"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10" w:history="1">
            <w:r w:rsidR="00827CA9" w:rsidRPr="00827CA9">
              <w:rPr>
                <w:rStyle w:val="Hyperlink"/>
                <w:rFonts w:ascii="Arial" w:hAnsi="Arial" w:cs="Arial"/>
                <w:noProof/>
                <w:sz w:val="22"/>
                <w:szCs w:val="22"/>
              </w:rPr>
              <w:t>3.11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3-114</w:t>
            </w:r>
            <w:r w:rsidR="00827CA9" w:rsidRPr="00827CA9">
              <w:rPr>
                <w:rFonts w:ascii="Arial" w:hAnsi="Arial" w:cs="Arial"/>
                <w:noProof/>
                <w:webHidden/>
                <w:sz w:val="22"/>
                <w:szCs w:val="22"/>
              </w:rPr>
              <w:fldChar w:fldCharType="end"/>
            </w:r>
          </w:hyperlink>
        </w:p>
        <w:p w14:paraId="722425E3" w14:textId="36273E88"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811" w:history="1">
            <w:r w:rsidR="00827CA9" w:rsidRPr="00827CA9">
              <w:rPr>
                <w:rStyle w:val="Hyperlink"/>
                <w:rFonts w:ascii="Arial" w:hAnsi="Arial" w:cs="Arial"/>
                <w:noProof/>
                <w:sz w:val="22"/>
                <w:szCs w:val="22"/>
              </w:rPr>
              <w:t>4</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Research Methodology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4-115</w:t>
            </w:r>
            <w:r w:rsidR="00827CA9" w:rsidRPr="00827CA9">
              <w:rPr>
                <w:rFonts w:ascii="Arial" w:hAnsi="Arial" w:cs="Arial"/>
                <w:noProof/>
                <w:webHidden/>
                <w:sz w:val="22"/>
                <w:szCs w:val="22"/>
              </w:rPr>
              <w:fldChar w:fldCharType="end"/>
            </w:r>
          </w:hyperlink>
        </w:p>
        <w:p w14:paraId="6FCE5F69" w14:textId="10B2AC74"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12" w:history="1">
            <w:r w:rsidR="00827CA9" w:rsidRPr="00827CA9">
              <w:rPr>
                <w:rStyle w:val="Hyperlink"/>
                <w:rFonts w:ascii="Arial" w:hAnsi="Arial" w:cs="Arial"/>
                <w:noProof/>
                <w:sz w:val="22"/>
                <w:szCs w:val="22"/>
              </w:rPr>
              <w:t>4.1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4-115</w:t>
            </w:r>
            <w:r w:rsidR="00827CA9" w:rsidRPr="00827CA9">
              <w:rPr>
                <w:rFonts w:ascii="Arial" w:hAnsi="Arial" w:cs="Arial"/>
                <w:noProof/>
                <w:webHidden/>
                <w:sz w:val="22"/>
                <w:szCs w:val="22"/>
              </w:rPr>
              <w:fldChar w:fldCharType="end"/>
            </w:r>
          </w:hyperlink>
        </w:p>
        <w:p w14:paraId="5B2F395A" w14:textId="0198EBD2"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13" w:history="1">
            <w:r w:rsidR="00827CA9" w:rsidRPr="00827CA9">
              <w:rPr>
                <w:rStyle w:val="Hyperlink"/>
                <w:rFonts w:ascii="Arial" w:hAnsi="Arial" w:cs="Arial"/>
                <w:noProof/>
                <w:sz w:val="22"/>
                <w:szCs w:val="22"/>
              </w:rPr>
              <w:t>4.2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Manager (The unit of study)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4-115</w:t>
            </w:r>
            <w:r w:rsidR="00827CA9" w:rsidRPr="00827CA9">
              <w:rPr>
                <w:rFonts w:ascii="Arial" w:hAnsi="Arial" w:cs="Arial"/>
                <w:noProof/>
                <w:webHidden/>
                <w:sz w:val="22"/>
                <w:szCs w:val="22"/>
              </w:rPr>
              <w:fldChar w:fldCharType="end"/>
            </w:r>
          </w:hyperlink>
        </w:p>
        <w:p w14:paraId="3DB8156D" w14:textId="17E36B07"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14" w:history="1">
            <w:r w:rsidR="00827CA9" w:rsidRPr="00827CA9">
              <w:rPr>
                <w:rStyle w:val="Hyperlink"/>
                <w:rFonts w:ascii="Arial" w:hAnsi="Arial" w:cs="Arial"/>
                <w:noProof/>
                <w:sz w:val="22"/>
                <w:szCs w:val="22"/>
              </w:rPr>
              <w:t>4.3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Overview of the research process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4-116</w:t>
            </w:r>
            <w:r w:rsidR="00827CA9" w:rsidRPr="00827CA9">
              <w:rPr>
                <w:rFonts w:ascii="Arial" w:hAnsi="Arial" w:cs="Arial"/>
                <w:noProof/>
                <w:webHidden/>
                <w:sz w:val="22"/>
                <w:szCs w:val="22"/>
              </w:rPr>
              <w:fldChar w:fldCharType="end"/>
            </w:r>
          </w:hyperlink>
        </w:p>
        <w:p w14:paraId="5A1AC75E" w14:textId="45C8C3D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15" w:history="1">
            <w:r w:rsidR="00827CA9" w:rsidRPr="00827CA9">
              <w:rPr>
                <w:rStyle w:val="Hyperlink"/>
                <w:rFonts w:ascii="Arial" w:hAnsi="Arial" w:cs="Arial"/>
                <w:noProof/>
                <w:sz w:val="22"/>
                <w:szCs w:val="22"/>
              </w:rPr>
              <w:t>4.3.1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Establishment of Research Problem</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4-117</w:t>
            </w:r>
            <w:r w:rsidR="00827CA9" w:rsidRPr="00827CA9">
              <w:rPr>
                <w:rFonts w:ascii="Arial" w:hAnsi="Arial" w:cs="Arial"/>
                <w:noProof/>
                <w:webHidden/>
                <w:sz w:val="22"/>
                <w:szCs w:val="22"/>
              </w:rPr>
              <w:fldChar w:fldCharType="end"/>
            </w:r>
          </w:hyperlink>
        </w:p>
        <w:p w14:paraId="505F5A02" w14:textId="27368FE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16" w:history="1">
            <w:r w:rsidR="00827CA9" w:rsidRPr="00827CA9">
              <w:rPr>
                <w:rStyle w:val="Hyperlink"/>
                <w:rFonts w:ascii="Arial" w:hAnsi="Arial" w:cs="Arial"/>
                <w:noProof/>
                <w:sz w:val="22"/>
                <w:szCs w:val="22"/>
              </w:rPr>
              <w:t>4.3.2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Review of literature/ gap in the literature</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4-117</w:t>
            </w:r>
            <w:r w:rsidR="00827CA9" w:rsidRPr="00827CA9">
              <w:rPr>
                <w:rFonts w:ascii="Arial" w:hAnsi="Arial" w:cs="Arial"/>
                <w:noProof/>
                <w:webHidden/>
                <w:sz w:val="22"/>
                <w:szCs w:val="22"/>
              </w:rPr>
              <w:fldChar w:fldCharType="end"/>
            </w:r>
          </w:hyperlink>
        </w:p>
        <w:p w14:paraId="750CD80A" w14:textId="17A9BC4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17" w:history="1">
            <w:r w:rsidR="00827CA9" w:rsidRPr="00827CA9">
              <w:rPr>
                <w:rStyle w:val="Hyperlink"/>
                <w:rFonts w:ascii="Arial" w:hAnsi="Arial" w:cs="Arial"/>
                <w:noProof/>
                <w:sz w:val="22"/>
                <w:szCs w:val="22"/>
              </w:rPr>
              <w:t>4.4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Pilot Study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4-118</w:t>
            </w:r>
            <w:r w:rsidR="00827CA9" w:rsidRPr="00827CA9">
              <w:rPr>
                <w:rFonts w:ascii="Arial" w:hAnsi="Arial" w:cs="Arial"/>
                <w:noProof/>
                <w:webHidden/>
                <w:sz w:val="22"/>
                <w:szCs w:val="22"/>
              </w:rPr>
              <w:fldChar w:fldCharType="end"/>
            </w:r>
          </w:hyperlink>
        </w:p>
        <w:p w14:paraId="08C8E542" w14:textId="71B681C0"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18" w:history="1">
            <w:r w:rsidR="00827CA9" w:rsidRPr="00827CA9">
              <w:rPr>
                <w:rStyle w:val="Hyperlink"/>
                <w:rFonts w:ascii="Arial" w:hAnsi="Arial" w:cs="Arial"/>
                <w:noProof/>
                <w:sz w:val="22"/>
                <w:szCs w:val="22"/>
              </w:rPr>
              <w:t>4.4.1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Findings from the pilot interviews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4-119</w:t>
            </w:r>
            <w:r w:rsidR="00827CA9" w:rsidRPr="00827CA9">
              <w:rPr>
                <w:rFonts w:ascii="Arial" w:hAnsi="Arial" w:cs="Arial"/>
                <w:noProof/>
                <w:webHidden/>
                <w:sz w:val="22"/>
                <w:szCs w:val="22"/>
              </w:rPr>
              <w:fldChar w:fldCharType="end"/>
            </w:r>
          </w:hyperlink>
        </w:p>
        <w:p w14:paraId="1E0FBE90" w14:textId="0FC5E527"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19" w:history="1">
            <w:r w:rsidR="00827CA9" w:rsidRPr="00827CA9">
              <w:rPr>
                <w:rStyle w:val="Hyperlink"/>
                <w:rFonts w:ascii="Arial" w:hAnsi="Arial" w:cs="Arial"/>
                <w:bCs/>
                <w:noProof/>
                <w:sz w:val="22"/>
                <w:szCs w:val="22"/>
              </w:rPr>
              <w:t>4.4.1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bCs/>
                <w:noProof/>
                <w:sz w:val="22"/>
                <w:szCs w:val="22"/>
              </w:rPr>
              <w:t>Findings from the pilot online survey questionnaires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_Toc78983819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4-120</w:t>
            </w:r>
            <w:r w:rsidR="00827CA9" w:rsidRPr="00827CA9">
              <w:rPr>
                <w:rFonts w:ascii="Arial" w:hAnsi="Arial" w:cs="Arial"/>
                <w:noProof/>
                <w:webHidden/>
                <w:sz w:val="22"/>
                <w:szCs w:val="22"/>
              </w:rPr>
              <w:fldChar w:fldCharType="end"/>
            </w:r>
          </w:hyperlink>
        </w:p>
        <w:p w14:paraId="5D0E6CE2" w14:textId="3D4F777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20" w:history="1">
            <w:r w:rsidR="00827CA9" w:rsidRPr="00827CA9">
              <w:rPr>
                <w:rStyle w:val="Hyperlink"/>
                <w:rFonts w:ascii="Arial" w:hAnsi="Arial" w:cs="Arial"/>
                <w:noProof/>
                <w:sz w:val="22"/>
                <w:szCs w:val="22"/>
                <w:lang w:val="en-US"/>
              </w:rPr>
              <w:t>4.5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lang w:val="en-US"/>
              </w:rPr>
              <w:t>Stage 2 – Research Methodological design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4-121</w:t>
            </w:r>
            <w:r w:rsidR="00827CA9" w:rsidRPr="00827CA9">
              <w:rPr>
                <w:rFonts w:ascii="Arial" w:hAnsi="Arial" w:cs="Arial"/>
                <w:noProof/>
                <w:webHidden/>
                <w:sz w:val="22"/>
                <w:szCs w:val="22"/>
              </w:rPr>
              <w:fldChar w:fldCharType="end"/>
            </w:r>
          </w:hyperlink>
        </w:p>
        <w:p w14:paraId="0D73FA63" w14:textId="0E22D02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1" w:history="1">
            <w:r w:rsidR="00827CA9" w:rsidRPr="00827CA9">
              <w:rPr>
                <w:rStyle w:val="Hyperlink"/>
                <w:rFonts w:ascii="Arial" w:hAnsi="Arial" w:cs="Arial"/>
                <w:noProof/>
                <w:sz w:val="22"/>
                <w:szCs w:val="22"/>
              </w:rPr>
              <w:t>4.5.1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Research Philosophy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4-121</w:t>
            </w:r>
            <w:r w:rsidR="00827CA9" w:rsidRPr="00827CA9">
              <w:rPr>
                <w:rFonts w:ascii="Arial" w:hAnsi="Arial" w:cs="Arial"/>
                <w:noProof/>
                <w:webHidden/>
                <w:sz w:val="22"/>
                <w:szCs w:val="22"/>
              </w:rPr>
              <w:fldChar w:fldCharType="end"/>
            </w:r>
          </w:hyperlink>
        </w:p>
        <w:p w14:paraId="35596B1A" w14:textId="325FFD0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2" w:history="1">
            <w:r w:rsidR="00827CA9" w:rsidRPr="00827CA9">
              <w:rPr>
                <w:rStyle w:val="Hyperlink"/>
                <w:rFonts w:ascii="Arial" w:eastAsia="Calibri" w:hAnsi="Arial" w:cs="Arial"/>
                <w:noProof/>
                <w:sz w:val="22"/>
                <w:szCs w:val="22"/>
                <w:lang w:val="en-NZ"/>
              </w:rPr>
              <w:t>4.5.2</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NZ"/>
              </w:rPr>
              <w:t>Research Approach</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4-123</w:t>
            </w:r>
            <w:r w:rsidR="00827CA9" w:rsidRPr="00827CA9">
              <w:rPr>
                <w:rFonts w:ascii="Arial" w:hAnsi="Arial" w:cs="Arial"/>
                <w:noProof/>
                <w:webHidden/>
                <w:sz w:val="22"/>
                <w:szCs w:val="22"/>
              </w:rPr>
              <w:fldChar w:fldCharType="end"/>
            </w:r>
          </w:hyperlink>
        </w:p>
        <w:p w14:paraId="426E94B2" w14:textId="6E992EC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3" w:history="1">
            <w:r w:rsidR="00827CA9" w:rsidRPr="00827CA9">
              <w:rPr>
                <w:rStyle w:val="Hyperlink"/>
                <w:rFonts w:ascii="Arial" w:eastAsia="Calibri" w:hAnsi="Arial" w:cs="Arial"/>
                <w:noProof/>
                <w:sz w:val="22"/>
                <w:szCs w:val="22"/>
                <w:lang w:val="en-NZ"/>
              </w:rPr>
              <w:t>4.5.3</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NZ"/>
              </w:rPr>
              <w:t>Research Strategy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4-123</w:t>
            </w:r>
            <w:r w:rsidR="00827CA9" w:rsidRPr="00827CA9">
              <w:rPr>
                <w:rFonts w:ascii="Arial" w:hAnsi="Arial" w:cs="Arial"/>
                <w:noProof/>
                <w:webHidden/>
                <w:sz w:val="22"/>
                <w:szCs w:val="22"/>
              </w:rPr>
              <w:fldChar w:fldCharType="end"/>
            </w:r>
          </w:hyperlink>
        </w:p>
        <w:p w14:paraId="274B38BF" w14:textId="6D60D4D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4" w:history="1">
            <w:r w:rsidR="00827CA9" w:rsidRPr="00827CA9">
              <w:rPr>
                <w:rStyle w:val="Hyperlink"/>
                <w:rFonts w:ascii="Arial" w:eastAsia="Calibri" w:hAnsi="Arial" w:cs="Arial"/>
                <w:noProof/>
                <w:sz w:val="22"/>
                <w:szCs w:val="22"/>
                <w:lang w:val="en-NZ"/>
              </w:rPr>
              <w:t>4.5.4</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NZ"/>
              </w:rPr>
              <w:t>Research Choice</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4-124</w:t>
            </w:r>
            <w:r w:rsidR="00827CA9" w:rsidRPr="00827CA9">
              <w:rPr>
                <w:rFonts w:ascii="Arial" w:hAnsi="Arial" w:cs="Arial"/>
                <w:noProof/>
                <w:webHidden/>
                <w:sz w:val="22"/>
                <w:szCs w:val="22"/>
              </w:rPr>
              <w:fldChar w:fldCharType="end"/>
            </w:r>
          </w:hyperlink>
        </w:p>
        <w:p w14:paraId="0BCCC730" w14:textId="435DCBA1"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5" w:history="1">
            <w:r w:rsidR="00827CA9" w:rsidRPr="00827CA9">
              <w:rPr>
                <w:rStyle w:val="Hyperlink"/>
                <w:rFonts w:ascii="Arial" w:eastAsia="Calibri" w:hAnsi="Arial" w:cs="Arial"/>
                <w:noProof/>
                <w:sz w:val="22"/>
                <w:szCs w:val="22"/>
                <w:lang w:val="en-NZ"/>
              </w:rPr>
              <w:t>4.5.5</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NZ"/>
              </w:rPr>
              <w:t>Time Horizon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4-125</w:t>
            </w:r>
            <w:r w:rsidR="00827CA9" w:rsidRPr="00827CA9">
              <w:rPr>
                <w:rFonts w:ascii="Arial" w:hAnsi="Arial" w:cs="Arial"/>
                <w:noProof/>
                <w:webHidden/>
                <w:sz w:val="22"/>
                <w:szCs w:val="22"/>
              </w:rPr>
              <w:fldChar w:fldCharType="end"/>
            </w:r>
          </w:hyperlink>
        </w:p>
        <w:p w14:paraId="4A024112" w14:textId="7282EAF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6" w:history="1">
            <w:r w:rsidR="00827CA9" w:rsidRPr="00827CA9">
              <w:rPr>
                <w:rStyle w:val="Hyperlink"/>
                <w:rFonts w:ascii="Arial" w:eastAsia="Calibri" w:hAnsi="Arial" w:cs="Arial"/>
                <w:noProof/>
                <w:sz w:val="22"/>
                <w:szCs w:val="22"/>
              </w:rPr>
              <w:t>4.5.6</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The summary of research design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4-125</w:t>
            </w:r>
            <w:r w:rsidR="00827CA9" w:rsidRPr="00827CA9">
              <w:rPr>
                <w:rFonts w:ascii="Arial" w:hAnsi="Arial" w:cs="Arial"/>
                <w:noProof/>
                <w:webHidden/>
                <w:sz w:val="22"/>
                <w:szCs w:val="22"/>
              </w:rPr>
              <w:fldChar w:fldCharType="end"/>
            </w:r>
          </w:hyperlink>
        </w:p>
        <w:p w14:paraId="53873810" w14:textId="04F9BD0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27" w:history="1">
            <w:r w:rsidR="00827CA9" w:rsidRPr="00827CA9">
              <w:rPr>
                <w:rStyle w:val="Hyperlink"/>
                <w:rFonts w:ascii="Arial" w:eastAsia="Calibri" w:hAnsi="Arial" w:cs="Arial"/>
                <w:noProof/>
                <w:sz w:val="22"/>
                <w:szCs w:val="22"/>
                <w:lang w:val="en-NZ"/>
              </w:rPr>
              <w:t>4.6</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eastAsia="Calibri" w:hAnsi="Arial" w:cs="Arial"/>
                <w:noProof/>
                <w:sz w:val="22"/>
                <w:szCs w:val="22"/>
                <w:lang w:val="en-NZ"/>
              </w:rPr>
              <w:t>Data collection techniques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4-126</w:t>
            </w:r>
            <w:r w:rsidR="00827CA9" w:rsidRPr="00827CA9">
              <w:rPr>
                <w:rFonts w:ascii="Arial" w:hAnsi="Arial" w:cs="Arial"/>
                <w:noProof/>
                <w:webHidden/>
                <w:sz w:val="22"/>
                <w:szCs w:val="22"/>
              </w:rPr>
              <w:fldChar w:fldCharType="end"/>
            </w:r>
          </w:hyperlink>
        </w:p>
        <w:p w14:paraId="057EA691" w14:textId="48A5754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8" w:history="1">
            <w:r w:rsidR="00827CA9" w:rsidRPr="00827CA9">
              <w:rPr>
                <w:rStyle w:val="Hyperlink"/>
                <w:rFonts w:ascii="Arial" w:eastAsia="Calibri" w:hAnsi="Arial" w:cs="Arial"/>
                <w:noProof/>
                <w:sz w:val="22"/>
                <w:szCs w:val="22"/>
                <w:lang w:val="en-NZ"/>
              </w:rPr>
              <w:t>4.6.1</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NZ"/>
              </w:rPr>
              <w:t>The Unit of analysis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4-127</w:t>
            </w:r>
            <w:r w:rsidR="00827CA9" w:rsidRPr="00827CA9">
              <w:rPr>
                <w:rFonts w:ascii="Arial" w:hAnsi="Arial" w:cs="Arial"/>
                <w:noProof/>
                <w:webHidden/>
                <w:sz w:val="22"/>
                <w:szCs w:val="22"/>
              </w:rPr>
              <w:fldChar w:fldCharType="end"/>
            </w:r>
          </w:hyperlink>
        </w:p>
        <w:p w14:paraId="66C8B99A" w14:textId="3D9A48A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29" w:history="1">
            <w:r w:rsidR="00827CA9" w:rsidRPr="00827CA9">
              <w:rPr>
                <w:rStyle w:val="Hyperlink"/>
                <w:rFonts w:ascii="Arial" w:eastAsia="Calibri" w:hAnsi="Arial" w:cs="Arial"/>
                <w:noProof/>
                <w:sz w:val="22"/>
                <w:szCs w:val="22"/>
                <w:lang w:val="en-NZ"/>
              </w:rPr>
              <w:t>4.6.2</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NZ"/>
              </w:rPr>
              <w:t>Data collection procedures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_Toc78983829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4-127</w:t>
            </w:r>
            <w:r w:rsidR="00827CA9" w:rsidRPr="00827CA9">
              <w:rPr>
                <w:rFonts w:ascii="Arial" w:hAnsi="Arial" w:cs="Arial"/>
                <w:noProof/>
                <w:webHidden/>
                <w:sz w:val="22"/>
                <w:szCs w:val="22"/>
              </w:rPr>
              <w:fldChar w:fldCharType="end"/>
            </w:r>
          </w:hyperlink>
        </w:p>
        <w:p w14:paraId="3D853A3D" w14:textId="519FBE1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30" w:history="1">
            <w:r w:rsidR="00827CA9" w:rsidRPr="00827CA9">
              <w:rPr>
                <w:rStyle w:val="Hyperlink"/>
                <w:rFonts w:ascii="Arial" w:eastAsia="Calibri" w:hAnsi="Arial" w:cs="Arial"/>
                <w:noProof/>
                <w:sz w:val="22"/>
                <w:szCs w:val="22"/>
                <w:lang w:val="en-US"/>
              </w:rPr>
              <w:t>4.7</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eastAsia="Calibri" w:hAnsi="Arial" w:cs="Arial"/>
                <w:noProof/>
                <w:sz w:val="22"/>
                <w:szCs w:val="22"/>
                <w:lang w:val="en-US"/>
              </w:rPr>
              <w:t>Data analysis techniques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4-139</w:t>
            </w:r>
            <w:r w:rsidR="00827CA9" w:rsidRPr="00827CA9">
              <w:rPr>
                <w:rFonts w:ascii="Arial" w:hAnsi="Arial" w:cs="Arial"/>
                <w:noProof/>
                <w:webHidden/>
                <w:sz w:val="22"/>
                <w:szCs w:val="22"/>
              </w:rPr>
              <w:fldChar w:fldCharType="end"/>
            </w:r>
          </w:hyperlink>
        </w:p>
        <w:p w14:paraId="3B180237" w14:textId="6A7FEE3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31" w:history="1">
            <w:r w:rsidR="00827CA9" w:rsidRPr="00827CA9">
              <w:rPr>
                <w:rStyle w:val="Hyperlink"/>
                <w:rFonts w:ascii="Arial" w:hAnsi="Arial" w:cs="Arial"/>
                <w:noProof/>
                <w:sz w:val="22"/>
                <w:szCs w:val="22"/>
              </w:rPr>
              <w:t>4.7.1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Qualitative data analysis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4-139</w:t>
            </w:r>
            <w:r w:rsidR="00827CA9" w:rsidRPr="00827CA9">
              <w:rPr>
                <w:rFonts w:ascii="Arial" w:hAnsi="Arial" w:cs="Arial"/>
                <w:noProof/>
                <w:webHidden/>
                <w:sz w:val="22"/>
                <w:szCs w:val="22"/>
              </w:rPr>
              <w:fldChar w:fldCharType="end"/>
            </w:r>
          </w:hyperlink>
        </w:p>
        <w:p w14:paraId="2319B978" w14:textId="37A879D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32" w:history="1">
            <w:r w:rsidR="00827CA9" w:rsidRPr="00827CA9">
              <w:rPr>
                <w:rStyle w:val="Hyperlink"/>
                <w:rFonts w:ascii="Arial" w:hAnsi="Arial" w:cs="Arial"/>
                <w:noProof/>
                <w:sz w:val="22"/>
                <w:szCs w:val="22"/>
                <w:lang w:val="en-US"/>
              </w:rPr>
              <w:t>4.7.2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lang w:val="en-US"/>
              </w:rPr>
              <w:t>Quantitative data analysis via statistical techniques of analysis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4-140</w:t>
            </w:r>
            <w:r w:rsidR="00827CA9" w:rsidRPr="00827CA9">
              <w:rPr>
                <w:rFonts w:ascii="Arial" w:hAnsi="Arial" w:cs="Arial"/>
                <w:noProof/>
                <w:webHidden/>
                <w:sz w:val="22"/>
                <w:szCs w:val="22"/>
              </w:rPr>
              <w:fldChar w:fldCharType="end"/>
            </w:r>
          </w:hyperlink>
        </w:p>
        <w:p w14:paraId="2CED00FE" w14:textId="2B3F6868"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33" w:history="1">
            <w:r w:rsidR="00827CA9" w:rsidRPr="00827CA9">
              <w:rPr>
                <w:rStyle w:val="Hyperlink"/>
                <w:rFonts w:ascii="Arial" w:hAnsi="Arial" w:cs="Arial"/>
                <w:noProof/>
                <w:sz w:val="22"/>
                <w:szCs w:val="22"/>
              </w:rPr>
              <w:t>4.8</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Validity and reliability of the study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4-142</w:t>
            </w:r>
            <w:r w:rsidR="00827CA9" w:rsidRPr="00827CA9">
              <w:rPr>
                <w:rFonts w:ascii="Arial" w:hAnsi="Arial" w:cs="Arial"/>
                <w:noProof/>
                <w:webHidden/>
                <w:sz w:val="22"/>
                <w:szCs w:val="22"/>
              </w:rPr>
              <w:fldChar w:fldCharType="end"/>
            </w:r>
          </w:hyperlink>
        </w:p>
        <w:p w14:paraId="1B4BE64B" w14:textId="6BA6DCE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34" w:history="1">
            <w:r w:rsidR="00827CA9" w:rsidRPr="00827CA9">
              <w:rPr>
                <w:rStyle w:val="Hyperlink"/>
                <w:rFonts w:ascii="Arial" w:hAnsi="Arial" w:cs="Arial"/>
                <w:noProof/>
                <w:sz w:val="22"/>
                <w:szCs w:val="22"/>
              </w:rPr>
              <w:t>4.8.1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Validity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4-142</w:t>
            </w:r>
            <w:r w:rsidR="00827CA9" w:rsidRPr="00827CA9">
              <w:rPr>
                <w:rFonts w:ascii="Arial" w:hAnsi="Arial" w:cs="Arial"/>
                <w:noProof/>
                <w:webHidden/>
                <w:sz w:val="22"/>
                <w:szCs w:val="22"/>
              </w:rPr>
              <w:fldChar w:fldCharType="end"/>
            </w:r>
          </w:hyperlink>
        </w:p>
        <w:p w14:paraId="49CE92CD" w14:textId="62EBE92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35" w:history="1">
            <w:r w:rsidR="00827CA9" w:rsidRPr="00827CA9">
              <w:rPr>
                <w:rStyle w:val="Hyperlink"/>
                <w:rFonts w:ascii="Arial" w:hAnsi="Arial" w:cs="Arial"/>
                <w:noProof/>
                <w:sz w:val="22"/>
                <w:szCs w:val="22"/>
              </w:rPr>
              <w:t>4.8.2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Reliability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4-142</w:t>
            </w:r>
            <w:r w:rsidR="00827CA9" w:rsidRPr="00827CA9">
              <w:rPr>
                <w:rFonts w:ascii="Arial" w:hAnsi="Arial" w:cs="Arial"/>
                <w:noProof/>
                <w:webHidden/>
                <w:sz w:val="22"/>
                <w:szCs w:val="22"/>
              </w:rPr>
              <w:fldChar w:fldCharType="end"/>
            </w:r>
          </w:hyperlink>
        </w:p>
        <w:p w14:paraId="14E2AE39" w14:textId="10C55C27"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36" w:history="1">
            <w:r w:rsidR="00827CA9" w:rsidRPr="00827CA9">
              <w:rPr>
                <w:rStyle w:val="Hyperlink"/>
                <w:rFonts w:ascii="Arial" w:hAnsi="Arial" w:cs="Arial"/>
                <w:noProof/>
                <w:sz w:val="22"/>
                <w:szCs w:val="22"/>
              </w:rPr>
              <w:t>4.9</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Research ethical consideration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4-144</w:t>
            </w:r>
            <w:r w:rsidR="00827CA9" w:rsidRPr="00827CA9">
              <w:rPr>
                <w:rFonts w:ascii="Arial" w:hAnsi="Arial" w:cs="Arial"/>
                <w:noProof/>
                <w:webHidden/>
                <w:sz w:val="22"/>
                <w:szCs w:val="22"/>
              </w:rPr>
              <w:fldChar w:fldCharType="end"/>
            </w:r>
          </w:hyperlink>
        </w:p>
        <w:p w14:paraId="57427BD3" w14:textId="1B06626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37" w:history="1">
            <w:r w:rsidR="00827CA9" w:rsidRPr="00827CA9">
              <w:rPr>
                <w:rStyle w:val="Hyperlink"/>
                <w:rFonts w:ascii="Arial" w:hAnsi="Arial" w:cs="Arial"/>
                <w:noProof/>
                <w:sz w:val="22"/>
                <w:szCs w:val="22"/>
              </w:rPr>
              <w:t>4.10</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4-145</w:t>
            </w:r>
            <w:r w:rsidR="00827CA9" w:rsidRPr="00827CA9">
              <w:rPr>
                <w:rFonts w:ascii="Arial" w:hAnsi="Arial" w:cs="Arial"/>
                <w:noProof/>
                <w:webHidden/>
                <w:sz w:val="22"/>
                <w:szCs w:val="22"/>
              </w:rPr>
              <w:fldChar w:fldCharType="end"/>
            </w:r>
          </w:hyperlink>
        </w:p>
        <w:p w14:paraId="2C95338E" w14:textId="43DAA64F"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838" w:history="1">
            <w:r w:rsidR="00827CA9" w:rsidRPr="00827CA9">
              <w:rPr>
                <w:rStyle w:val="Hyperlink"/>
                <w:rFonts w:ascii="Arial" w:hAnsi="Arial" w:cs="Arial"/>
                <w:noProof/>
                <w:sz w:val="22"/>
                <w:szCs w:val="22"/>
              </w:rPr>
              <w:t>5</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The Finance options &amp; criteria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5-146</w:t>
            </w:r>
            <w:r w:rsidR="00827CA9" w:rsidRPr="00827CA9">
              <w:rPr>
                <w:rFonts w:ascii="Arial" w:hAnsi="Arial" w:cs="Arial"/>
                <w:noProof/>
                <w:webHidden/>
                <w:sz w:val="22"/>
                <w:szCs w:val="22"/>
              </w:rPr>
              <w:fldChar w:fldCharType="end"/>
            </w:r>
          </w:hyperlink>
        </w:p>
        <w:p w14:paraId="72E7A99F" w14:textId="414C8BC0"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39" w:history="1">
            <w:r w:rsidR="00827CA9" w:rsidRPr="00827CA9">
              <w:rPr>
                <w:rStyle w:val="Hyperlink"/>
                <w:rFonts w:ascii="Arial" w:hAnsi="Arial" w:cs="Arial"/>
                <w:noProof/>
                <w:sz w:val="22"/>
                <w:szCs w:val="22"/>
              </w:rPr>
              <w:t>5.1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_Toc78983839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5-146</w:t>
            </w:r>
            <w:r w:rsidR="00827CA9" w:rsidRPr="00827CA9">
              <w:rPr>
                <w:rFonts w:ascii="Arial" w:hAnsi="Arial" w:cs="Arial"/>
                <w:noProof/>
                <w:webHidden/>
                <w:sz w:val="22"/>
                <w:szCs w:val="22"/>
              </w:rPr>
              <w:fldChar w:fldCharType="end"/>
            </w:r>
          </w:hyperlink>
        </w:p>
        <w:p w14:paraId="3C632D33" w14:textId="4D0B311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40" w:history="1">
            <w:r w:rsidR="00827CA9" w:rsidRPr="00827CA9">
              <w:rPr>
                <w:rStyle w:val="Hyperlink"/>
                <w:rFonts w:ascii="Arial" w:hAnsi="Arial" w:cs="Arial"/>
                <w:noProof/>
                <w:sz w:val="22"/>
                <w:szCs w:val="22"/>
              </w:rPr>
              <w:t>5.2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Finance options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5-146</w:t>
            </w:r>
            <w:r w:rsidR="00827CA9" w:rsidRPr="00827CA9">
              <w:rPr>
                <w:rFonts w:ascii="Arial" w:hAnsi="Arial" w:cs="Arial"/>
                <w:noProof/>
                <w:webHidden/>
                <w:sz w:val="22"/>
                <w:szCs w:val="22"/>
              </w:rPr>
              <w:fldChar w:fldCharType="end"/>
            </w:r>
          </w:hyperlink>
        </w:p>
        <w:p w14:paraId="43C9E1DB" w14:textId="023B7C0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1" w:history="1">
            <w:r w:rsidR="00827CA9" w:rsidRPr="00827CA9">
              <w:rPr>
                <w:rStyle w:val="Hyperlink"/>
                <w:rFonts w:ascii="Arial" w:hAnsi="Arial" w:cs="Arial"/>
                <w:noProof/>
                <w:sz w:val="22"/>
                <w:szCs w:val="22"/>
              </w:rPr>
              <w:t>5.2.1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5-146</w:t>
            </w:r>
            <w:r w:rsidR="00827CA9" w:rsidRPr="00827CA9">
              <w:rPr>
                <w:rFonts w:ascii="Arial" w:hAnsi="Arial" w:cs="Arial"/>
                <w:noProof/>
                <w:webHidden/>
                <w:sz w:val="22"/>
                <w:szCs w:val="22"/>
              </w:rPr>
              <w:fldChar w:fldCharType="end"/>
            </w:r>
          </w:hyperlink>
        </w:p>
        <w:p w14:paraId="32EA70B7" w14:textId="57D74ED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2" w:history="1">
            <w:r w:rsidR="00827CA9" w:rsidRPr="00827CA9">
              <w:rPr>
                <w:rStyle w:val="Hyperlink"/>
                <w:rFonts w:ascii="Arial" w:hAnsi="Arial" w:cs="Arial"/>
                <w:noProof/>
                <w:sz w:val="22"/>
                <w:szCs w:val="22"/>
              </w:rPr>
              <w:t>5.2.2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5-148</w:t>
            </w:r>
            <w:r w:rsidR="00827CA9" w:rsidRPr="00827CA9">
              <w:rPr>
                <w:rFonts w:ascii="Arial" w:hAnsi="Arial" w:cs="Arial"/>
                <w:noProof/>
                <w:webHidden/>
                <w:sz w:val="22"/>
                <w:szCs w:val="22"/>
              </w:rPr>
              <w:fldChar w:fldCharType="end"/>
            </w:r>
          </w:hyperlink>
        </w:p>
        <w:p w14:paraId="66F2F45F" w14:textId="7D95827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3" w:history="1">
            <w:r w:rsidR="00827CA9" w:rsidRPr="00827CA9">
              <w:rPr>
                <w:rStyle w:val="Hyperlink"/>
                <w:rFonts w:ascii="Arial" w:eastAsia="Calibri" w:hAnsi="Arial" w:cs="Arial"/>
                <w:noProof/>
                <w:sz w:val="22"/>
                <w:szCs w:val="22"/>
              </w:rPr>
              <w:t>5.2.3</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The relationship between the managerial levels and finance options used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5-151</w:t>
            </w:r>
            <w:r w:rsidR="00827CA9" w:rsidRPr="00827CA9">
              <w:rPr>
                <w:rFonts w:ascii="Arial" w:hAnsi="Arial" w:cs="Arial"/>
                <w:noProof/>
                <w:webHidden/>
                <w:sz w:val="22"/>
                <w:szCs w:val="22"/>
              </w:rPr>
              <w:fldChar w:fldCharType="end"/>
            </w:r>
          </w:hyperlink>
        </w:p>
        <w:p w14:paraId="1195BCD4" w14:textId="04B8113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4" w:history="1">
            <w:r w:rsidR="00827CA9" w:rsidRPr="00827CA9">
              <w:rPr>
                <w:rStyle w:val="Hyperlink"/>
                <w:rFonts w:ascii="Arial" w:hAnsi="Arial" w:cs="Arial"/>
                <w:noProof/>
                <w:sz w:val="22"/>
                <w:szCs w:val="22"/>
              </w:rPr>
              <w:t>5.2.4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Semi-structured interview analysis and discussion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5-151</w:t>
            </w:r>
            <w:r w:rsidR="00827CA9" w:rsidRPr="00827CA9">
              <w:rPr>
                <w:rFonts w:ascii="Arial" w:hAnsi="Arial" w:cs="Arial"/>
                <w:noProof/>
                <w:webHidden/>
                <w:sz w:val="22"/>
                <w:szCs w:val="22"/>
              </w:rPr>
              <w:fldChar w:fldCharType="end"/>
            </w:r>
          </w:hyperlink>
        </w:p>
        <w:p w14:paraId="3879BC1A" w14:textId="0BC27EFE"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5" w:history="1">
            <w:r w:rsidR="00827CA9" w:rsidRPr="00827CA9">
              <w:rPr>
                <w:rStyle w:val="Hyperlink"/>
                <w:rFonts w:ascii="Arial" w:hAnsi="Arial" w:cs="Arial"/>
                <w:noProof/>
                <w:sz w:val="22"/>
                <w:szCs w:val="22"/>
              </w:rPr>
              <w:t>5.2.5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Comparison of the finance options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5-155</w:t>
            </w:r>
            <w:r w:rsidR="00827CA9" w:rsidRPr="00827CA9">
              <w:rPr>
                <w:rFonts w:ascii="Arial" w:hAnsi="Arial" w:cs="Arial"/>
                <w:noProof/>
                <w:webHidden/>
                <w:sz w:val="22"/>
                <w:szCs w:val="22"/>
              </w:rPr>
              <w:fldChar w:fldCharType="end"/>
            </w:r>
          </w:hyperlink>
        </w:p>
        <w:p w14:paraId="3131F5EE" w14:textId="690BC2F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6" w:history="1">
            <w:r w:rsidR="00827CA9" w:rsidRPr="00827CA9">
              <w:rPr>
                <w:rStyle w:val="Hyperlink"/>
                <w:rFonts w:ascii="Arial" w:eastAsia="Calibri" w:hAnsi="Arial" w:cs="Arial"/>
                <w:noProof/>
                <w:sz w:val="22"/>
                <w:szCs w:val="22"/>
              </w:rPr>
              <w:t>5.2.6</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The implication of the findings on finance options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5-157</w:t>
            </w:r>
            <w:r w:rsidR="00827CA9" w:rsidRPr="00827CA9">
              <w:rPr>
                <w:rFonts w:ascii="Arial" w:hAnsi="Arial" w:cs="Arial"/>
                <w:noProof/>
                <w:webHidden/>
                <w:sz w:val="22"/>
                <w:szCs w:val="22"/>
              </w:rPr>
              <w:fldChar w:fldCharType="end"/>
            </w:r>
          </w:hyperlink>
        </w:p>
        <w:p w14:paraId="64B4860C" w14:textId="6EF9E57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47" w:history="1">
            <w:r w:rsidR="00827CA9" w:rsidRPr="00827CA9">
              <w:rPr>
                <w:rStyle w:val="Hyperlink"/>
                <w:rFonts w:ascii="Arial" w:eastAsia="Calibri" w:hAnsi="Arial" w:cs="Arial"/>
                <w:noProof/>
                <w:sz w:val="22"/>
                <w:szCs w:val="22"/>
              </w:rPr>
              <w:t>5.3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eastAsia="Calibri" w:hAnsi="Arial" w:cs="Arial"/>
                <w:noProof/>
                <w:sz w:val="22"/>
                <w:szCs w:val="22"/>
              </w:rPr>
              <w:t>The criteria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5-158</w:t>
            </w:r>
            <w:r w:rsidR="00827CA9" w:rsidRPr="00827CA9">
              <w:rPr>
                <w:rFonts w:ascii="Arial" w:hAnsi="Arial" w:cs="Arial"/>
                <w:noProof/>
                <w:webHidden/>
                <w:sz w:val="22"/>
                <w:szCs w:val="22"/>
              </w:rPr>
              <w:fldChar w:fldCharType="end"/>
            </w:r>
          </w:hyperlink>
        </w:p>
        <w:p w14:paraId="7C876B59" w14:textId="04FA8035"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8" w:history="1">
            <w:r w:rsidR="00827CA9" w:rsidRPr="00827CA9">
              <w:rPr>
                <w:rStyle w:val="Hyperlink"/>
                <w:rFonts w:ascii="Arial" w:eastAsia="Calibri" w:hAnsi="Arial" w:cs="Arial"/>
                <w:noProof/>
                <w:sz w:val="22"/>
                <w:szCs w:val="22"/>
              </w:rPr>
              <w:t>5.3.1</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Questionnaire survey analysis and discussion at the 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5-158</w:t>
            </w:r>
            <w:r w:rsidR="00827CA9" w:rsidRPr="00827CA9">
              <w:rPr>
                <w:rFonts w:ascii="Arial" w:hAnsi="Arial" w:cs="Arial"/>
                <w:noProof/>
                <w:webHidden/>
                <w:sz w:val="22"/>
                <w:szCs w:val="22"/>
              </w:rPr>
              <w:fldChar w:fldCharType="end"/>
            </w:r>
          </w:hyperlink>
        </w:p>
        <w:p w14:paraId="722E323C" w14:textId="3852B93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49" w:history="1">
            <w:r w:rsidR="00827CA9" w:rsidRPr="00827CA9">
              <w:rPr>
                <w:rStyle w:val="Hyperlink"/>
                <w:rFonts w:ascii="Arial" w:hAnsi="Arial" w:cs="Arial"/>
                <w:noProof/>
                <w:sz w:val="22"/>
                <w:szCs w:val="22"/>
              </w:rPr>
              <w:t>5.3.2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_Toc78983849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5-161</w:t>
            </w:r>
            <w:r w:rsidR="00827CA9" w:rsidRPr="00827CA9">
              <w:rPr>
                <w:rFonts w:ascii="Arial" w:hAnsi="Arial" w:cs="Arial"/>
                <w:noProof/>
                <w:webHidden/>
                <w:sz w:val="22"/>
                <w:szCs w:val="22"/>
              </w:rPr>
              <w:fldChar w:fldCharType="end"/>
            </w:r>
          </w:hyperlink>
        </w:p>
        <w:p w14:paraId="714A2034" w14:textId="1B24776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50" w:history="1">
            <w:r w:rsidR="00827CA9" w:rsidRPr="00827CA9">
              <w:rPr>
                <w:rStyle w:val="Hyperlink"/>
                <w:rFonts w:ascii="Arial" w:eastAsia="Calibri" w:hAnsi="Arial" w:cs="Arial"/>
                <w:noProof/>
                <w:sz w:val="22"/>
                <w:szCs w:val="22"/>
              </w:rPr>
              <w:t>5.3.3</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Relationship between the managerial level and the criteria requested by financiers.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5-163</w:t>
            </w:r>
            <w:r w:rsidR="00827CA9" w:rsidRPr="00827CA9">
              <w:rPr>
                <w:rFonts w:ascii="Arial" w:hAnsi="Arial" w:cs="Arial"/>
                <w:noProof/>
                <w:webHidden/>
                <w:sz w:val="22"/>
                <w:szCs w:val="22"/>
              </w:rPr>
              <w:fldChar w:fldCharType="end"/>
            </w:r>
          </w:hyperlink>
        </w:p>
        <w:p w14:paraId="43C26732" w14:textId="680E64B5"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51" w:history="1">
            <w:r w:rsidR="00827CA9" w:rsidRPr="00827CA9">
              <w:rPr>
                <w:rStyle w:val="Hyperlink"/>
                <w:rFonts w:ascii="Arial" w:eastAsia="Calibri" w:hAnsi="Arial" w:cs="Arial"/>
                <w:noProof/>
                <w:sz w:val="22"/>
                <w:szCs w:val="22"/>
              </w:rPr>
              <w:t>5.3.4</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Semi-structured interview analysis and discussion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5-164</w:t>
            </w:r>
            <w:r w:rsidR="00827CA9" w:rsidRPr="00827CA9">
              <w:rPr>
                <w:rFonts w:ascii="Arial" w:hAnsi="Arial" w:cs="Arial"/>
                <w:noProof/>
                <w:webHidden/>
                <w:sz w:val="22"/>
                <w:szCs w:val="22"/>
              </w:rPr>
              <w:fldChar w:fldCharType="end"/>
            </w:r>
          </w:hyperlink>
        </w:p>
        <w:p w14:paraId="13FDD032" w14:textId="2B7BAF6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52" w:history="1">
            <w:r w:rsidR="00827CA9" w:rsidRPr="00827CA9">
              <w:rPr>
                <w:rStyle w:val="Hyperlink"/>
                <w:rFonts w:ascii="Arial" w:hAnsi="Arial" w:cs="Arial"/>
                <w:noProof/>
                <w:sz w:val="22"/>
                <w:szCs w:val="22"/>
              </w:rPr>
              <w:t>5.3.5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Comparison of the criteria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5-166</w:t>
            </w:r>
            <w:r w:rsidR="00827CA9" w:rsidRPr="00827CA9">
              <w:rPr>
                <w:rFonts w:ascii="Arial" w:hAnsi="Arial" w:cs="Arial"/>
                <w:noProof/>
                <w:webHidden/>
                <w:sz w:val="22"/>
                <w:szCs w:val="22"/>
              </w:rPr>
              <w:fldChar w:fldCharType="end"/>
            </w:r>
          </w:hyperlink>
        </w:p>
        <w:p w14:paraId="0B28B847" w14:textId="4B833C41"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53" w:history="1">
            <w:r w:rsidR="00827CA9" w:rsidRPr="00827CA9">
              <w:rPr>
                <w:rStyle w:val="Hyperlink"/>
                <w:rFonts w:ascii="Arial" w:hAnsi="Arial" w:cs="Arial"/>
                <w:noProof/>
                <w:sz w:val="22"/>
                <w:szCs w:val="22"/>
              </w:rPr>
              <w:t>5.3.6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on criteria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5-168</w:t>
            </w:r>
            <w:r w:rsidR="00827CA9" w:rsidRPr="00827CA9">
              <w:rPr>
                <w:rFonts w:ascii="Arial" w:hAnsi="Arial" w:cs="Arial"/>
                <w:noProof/>
                <w:webHidden/>
                <w:sz w:val="22"/>
                <w:szCs w:val="22"/>
              </w:rPr>
              <w:fldChar w:fldCharType="end"/>
            </w:r>
          </w:hyperlink>
        </w:p>
        <w:p w14:paraId="3432326B" w14:textId="61D4DFDE"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54" w:history="1">
            <w:r w:rsidR="00827CA9" w:rsidRPr="00827CA9">
              <w:rPr>
                <w:rStyle w:val="Hyperlink"/>
                <w:rFonts w:ascii="Arial" w:hAnsi="Arial" w:cs="Arial"/>
                <w:noProof/>
                <w:sz w:val="22"/>
                <w:szCs w:val="22"/>
              </w:rPr>
              <w:t>5.4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Development of an inventory of options and criteria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5-168</w:t>
            </w:r>
            <w:r w:rsidR="00827CA9" w:rsidRPr="00827CA9">
              <w:rPr>
                <w:rFonts w:ascii="Arial" w:hAnsi="Arial" w:cs="Arial"/>
                <w:noProof/>
                <w:webHidden/>
                <w:sz w:val="22"/>
                <w:szCs w:val="22"/>
              </w:rPr>
              <w:fldChar w:fldCharType="end"/>
            </w:r>
          </w:hyperlink>
        </w:p>
        <w:p w14:paraId="04C4F64F" w14:textId="0824FD76"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55" w:history="1">
            <w:r w:rsidR="00827CA9" w:rsidRPr="00827CA9">
              <w:rPr>
                <w:rStyle w:val="Hyperlink"/>
                <w:rFonts w:ascii="Arial" w:hAnsi="Arial" w:cs="Arial"/>
                <w:noProof/>
                <w:sz w:val="22"/>
                <w:szCs w:val="22"/>
              </w:rPr>
              <w:t>5.5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5-170</w:t>
            </w:r>
            <w:r w:rsidR="00827CA9" w:rsidRPr="00827CA9">
              <w:rPr>
                <w:rFonts w:ascii="Arial" w:hAnsi="Arial" w:cs="Arial"/>
                <w:noProof/>
                <w:webHidden/>
                <w:sz w:val="22"/>
                <w:szCs w:val="22"/>
              </w:rPr>
              <w:fldChar w:fldCharType="end"/>
            </w:r>
          </w:hyperlink>
        </w:p>
        <w:p w14:paraId="1329FA76" w14:textId="73D20CB4"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856" w:history="1">
            <w:r w:rsidR="00827CA9" w:rsidRPr="00827CA9">
              <w:rPr>
                <w:rStyle w:val="Hyperlink"/>
                <w:rFonts w:ascii="Arial" w:hAnsi="Arial" w:cs="Arial"/>
                <w:noProof/>
                <w:sz w:val="22"/>
                <w:szCs w:val="22"/>
              </w:rPr>
              <w:t>6</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Critical Success factors, challenges &amp; opportunities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6-174</w:t>
            </w:r>
            <w:r w:rsidR="00827CA9" w:rsidRPr="00827CA9">
              <w:rPr>
                <w:rFonts w:ascii="Arial" w:hAnsi="Arial" w:cs="Arial"/>
                <w:noProof/>
                <w:webHidden/>
                <w:sz w:val="22"/>
                <w:szCs w:val="22"/>
              </w:rPr>
              <w:fldChar w:fldCharType="end"/>
            </w:r>
          </w:hyperlink>
        </w:p>
        <w:p w14:paraId="4C7A3877" w14:textId="367F0040"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57" w:history="1">
            <w:r w:rsidR="00827CA9" w:rsidRPr="00827CA9">
              <w:rPr>
                <w:rStyle w:val="Hyperlink"/>
                <w:rFonts w:ascii="Arial" w:hAnsi="Arial" w:cs="Arial"/>
                <w:noProof/>
                <w:sz w:val="22"/>
                <w:szCs w:val="22"/>
              </w:rPr>
              <w:t>6.1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6-174</w:t>
            </w:r>
            <w:r w:rsidR="00827CA9" w:rsidRPr="00827CA9">
              <w:rPr>
                <w:rFonts w:ascii="Arial" w:hAnsi="Arial" w:cs="Arial"/>
                <w:noProof/>
                <w:webHidden/>
                <w:sz w:val="22"/>
                <w:szCs w:val="22"/>
              </w:rPr>
              <w:fldChar w:fldCharType="end"/>
            </w:r>
          </w:hyperlink>
        </w:p>
        <w:p w14:paraId="07D4FE88" w14:textId="24900AE0"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58" w:history="1">
            <w:r w:rsidR="00827CA9" w:rsidRPr="00827CA9">
              <w:rPr>
                <w:rStyle w:val="Hyperlink"/>
                <w:rFonts w:ascii="Arial" w:eastAsia="Calibri" w:hAnsi="Arial" w:cs="Arial"/>
                <w:noProof/>
                <w:sz w:val="22"/>
                <w:szCs w:val="22"/>
              </w:rPr>
              <w:t>6.2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eastAsia="Calibri" w:hAnsi="Arial" w:cs="Arial"/>
                <w:noProof/>
                <w:sz w:val="22"/>
                <w:szCs w:val="22"/>
              </w:rPr>
              <w:t>Critical success factors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6-174</w:t>
            </w:r>
            <w:r w:rsidR="00827CA9" w:rsidRPr="00827CA9">
              <w:rPr>
                <w:rFonts w:ascii="Arial" w:hAnsi="Arial" w:cs="Arial"/>
                <w:noProof/>
                <w:webHidden/>
                <w:sz w:val="22"/>
                <w:szCs w:val="22"/>
              </w:rPr>
              <w:fldChar w:fldCharType="end"/>
            </w:r>
          </w:hyperlink>
        </w:p>
        <w:p w14:paraId="11355DF5" w14:textId="2B3CCEAE"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59" w:history="1">
            <w:r w:rsidR="00827CA9" w:rsidRPr="00827CA9">
              <w:rPr>
                <w:rStyle w:val="Hyperlink"/>
                <w:rFonts w:ascii="Arial" w:hAnsi="Arial" w:cs="Arial"/>
                <w:noProof/>
                <w:sz w:val="22"/>
                <w:szCs w:val="22"/>
              </w:rPr>
              <w:t>6.2.1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_Toc78983859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6-174</w:t>
            </w:r>
            <w:r w:rsidR="00827CA9" w:rsidRPr="00827CA9">
              <w:rPr>
                <w:rFonts w:ascii="Arial" w:hAnsi="Arial" w:cs="Arial"/>
                <w:noProof/>
                <w:webHidden/>
                <w:sz w:val="22"/>
                <w:szCs w:val="22"/>
              </w:rPr>
              <w:fldChar w:fldCharType="end"/>
            </w:r>
          </w:hyperlink>
        </w:p>
        <w:p w14:paraId="47623C79" w14:textId="665768D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0" w:history="1">
            <w:r w:rsidR="00827CA9" w:rsidRPr="00827CA9">
              <w:rPr>
                <w:rStyle w:val="Hyperlink"/>
                <w:rFonts w:ascii="Arial" w:hAnsi="Arial" w:cs="Arial"/>
                <w:noProof/>
                <w:sz w:val="22"/>
                <w:szCs w:val="22"/>
              </w:rPr>
              <w:t>6.2.2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6-176</w:t>
            </w:r>
            <w:r w:rsidR="00827CA9" w:rsidRPr="00827CA9">
              <w:rPr>
                <w:rFonts w:ascii="Arial" w:hAnsi="Arial" w:cs="Arial"/>
                <w:noProof/>
                <w:webHidden/>
                <w:sz w:val="22"/>
                <w:szCs w:val="22"/>
              </w:rPr>
              <w:fldChar w:fldCharType="end"/>
            </w:r>
          </w:hyperlink>
        </w:p>
        <w:p w14:paraId="1EB6B7D7" w14:textId="597DA7B0"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1" w:history="1">
            <w:r w:rsidR="00827CA9" w:rsidRPr="00827CA9">
              <w:rPr>
                <w:rStyle w:val="Hyperlink"/>
                <w:rFonts w:ascii="Arial" w:hAnsi="Arial" w:cs="Arial"/>
                <w:noProof/>
                <w:sz w:val="22"/>
                <w:szCs w:val="22"/>
              </w:rPr>
              <w:t>6.2.3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relationship between the management level and the critical success factors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6-179</w:t>
            </w:r>
            <w:r w:rsidR="00827CA9" w:rsidRPr="00827CA9">
              <w:rPr>
                <w:rFonts w:ascii="Arial" w:hAnsi="Arial" w:cs="Arial"/>
                <w:noProof/>
                <w:webHidden/>
                <w:sz w:val="22"/>
                <w:szCs w:val="22"/>
              </w:rPr>
              <w:fldChar w:fldCharType="end"/>
            </w:r>
          </w:hyperlink>
        </w:p>
        <w:p w14:paraId="62B76A53" w14:textId="0942D8E5"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2" w:history="1">
            <w:r w:rsidR="00827CA9" w:rsidRPr="00827CA9">
              <w:rPr>
                <w:rStyle w:val="Hyperlink"/>
                <w:rFonts w:ascii="Arial" w:hAnsi="Arial" w:cs="Arial"/>
                <w:noProof/>
                <w:sz w:val="22"/>
                <w:szCs w:val="22"/>
              </w:rPr>
              <w:t>6.2.4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Semi-structured interview analysis and discussion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6-180</w:t>
            </w:r>
            <w:r w:rsidR="00827CA9" w:rsidRPr="00827CA9">
              <w:rPr>
                <w:rFonts w:ascii="Arial" w:hAnsi="Arial" w:cs="Arial"/>
                <w:noProof/>
                <w:webHidden/>
                <w:sz w:val="22"/>
                <w:szCs w:val="22"/>
              </w:rPr>
              <w:fldChar w:fldCharType="end"/>
            </w:r>
          </w:hyperlink>
        </w:p>
        <w:p w14:paraId="3176ED56" w14:textId="1AD69DC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3" w:history="1">
            <w:r w:rsidR="00827CA9" w:rsidRPr="00827CA9">
              <w:rPr>
                <w:rStyle w:val="Hyperlink"/>
                <w:rFonts w:ascii="Arial" w:hAnsi="Arial" w:cs="Arial"/>
                <w:noProof/>
                <w:sz w:val="22"/>
                <w:szCs w:val="22"/>
              </w:rPr>
              <w:t>6.2.5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Comparison of the critical success factors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6-182</w:t>
            </w:r>
            <w:r w:rsidR="00827CA9" w:rsidRPr="00827CA9">
              <w:rPr>
                <w:rFonts w:ascii="Arial" w:hAnsi="Arial" w:cs="Arial"/>
                <w:noProof/>
                <w:webHidden/>
                <w:sz w:val="22"/>
                <w:szCs w:val="22"/>
              </w:rPr>
              <w:fldChar w:fldCharType="end"/>
            </w:r>
          </w:hyperlink>
        </w:p>
        <w:p w14:paraId="3A7BC765" w14:textId="1D947C1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4" w:history="1">
            <w:r w:rsidR="00827CA9" w:rsidRPr="00827CA9">
              <w:rPr>
                <w:rStyle w:val="Hyperlink"/>
                <w:rFonts w:ascii="Arial" w:hAnsi="Arial" w:cs="Arial"/>
                <w:noProof/>
                <w:sz w:val="22"/>
                <w:szCs w:val="22"/>
              </w:rPr>
              <w:t>6.2.6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on critical success factors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6-184</w:t>
            </w:r>
            <w:r w:rsidR="00827CA9" w:rsidRPr="00827CA9">
              <w:rPr>
                <w:rFonts w:ascii="Arial" w:hAnsi="Arial" w:cs="Arial"/>
                <w:noProof/>
                <w:webHidden/>
                <w:sz w:val="22"/>
                <w:szCs w:val="22"/>
              </w:rPr>
              <w:fldChar w:fldCharType="end"/>
            </w:r>
          </w:hyperlink>
        </w:p>
        <w:p w14:paraId="399D4EA6" w14:textId="2E8258EB"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65" w:history="1">
            <w:r w:rsidR="00827CA9" w:rsidRPr="00827CA9">
              <w:rPr>
                <w:rStyle w:val="Hyperlink"/>
                <w:rFonts w:ascii="Arial" w:hAnsi="Arial" w:cs="Arial"/>
                <w:noProof/>
                <w:sz w:val="22"/>
                <w:szCs w:val="22"/>
              </w:rPr>
              <w:t>6.3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Challenges associated with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6-184</w:t>
            </w:r>
            <w:r w:rsidR="00827CA9" w:rsidRPr="00827CA9">
              <w:rPr>
                <w:rFonts w:ascii="Arial" w:hAnsi="Arial" w:cs="Arial"/>
                <w:noProof/>
                <w:webHidden/>
                <w:sz w:val="22"/>
                <w:szCs w:val="22"/>
              </w:rPr>
              <w:fldChar w:fldCharType="end"/>
            </w:r>
          </w:hyperlink>
        </w:p>
        <w:p w14:paraId="62DF11CA" w14:textId="79F34AB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6" w:history="1">
            <w:r w:rsidR="00827CA9" w:rsidRPr="00827CA9">
              <w:rPr>
                <w:rStyle w:val="Hyperlink"/>
                <w:rFonts w:ascii="Arial" w:hAnsi="Arial" w:cs="Arial"/>
                <w:noProof/>
                <w:sz w:val="22"/>
                <w:szCs w:val="22"/>
              </w:rPr>
              <w:t>6.3.1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6-185</w:t>
            </w:r>
            <w:r w:rsidR="00827CA9" w:rsidRPr="00827CA9">
              <w:rPr>
                <w:rFonts w:ascii="Arial" w:hAnsi="Arial" w:cs="Arial"/>
                <w:noProof/>
                <w:webHidden/>
                <w:sz w:val="22"/>
                <w:szCs w:val="22"/>
              </w:rPr>
              <w:fldChar w:fldCharType="end"/>
            </w:r>
          </w:hyperlink>
        </w:p>
        <w:p w14:paraId="22BA6A45" w14:textId="7EFC0317"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7" w:history="1">
            <w:r w:rsidR="00827CA9" w:rsidRPr="00827CA9">
              <w:rPr>
                <w:rStyle w:val="Hyperlink"/>
                <w:rFonts w:ascii="Arial" w:hAnsi="Arial" w:cs="Arial"/>
                <w:noProof/>
                <w:sz w:val="22"/>
                <w:szCs w:val="22"/>
              </w:rPr>
              <w:t>6.3.2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6-187</w:t>
            </w:r>
            <w:r w:rsidR="00827CA9" w:rsidRPr="00827CA9">
              <w:rPr>
                <w:rFonts w:ascii="Arial" w:hAnsi="Arial" w:cs="Arial"/>
                <w:noProof/>
                <w:webHidden/>
                <w:sz w:val="22"/>
                <w:szCs w:val="22"/>
              </w:rPr>
              <w:fldChar w:fldCharType="end"/>
            </w:r>
          </w:hyperlink>
        </w:p>
        <w:p w14:paraId="648BA484" w14:textId="768855B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8" w:history="1">
            <w:r w:rsidR="00827CA9" w:rsidRPr="00827CA9">
              <w:rPr>
                <w:rStyle w:val="Hyperlink"/>
                <w:rFonts w:ascii="Arial" w:eastAsia="Calibri" w:hAnsi="Arial" w:cs="Arial"/>
                <w:noProof/>
                <w:sz w:val="22"/>
                <w:szCs w:val="22"/>
              </w:rPr>
              <w:t>6.3.3</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The relationship between the managerial level and the challenges associated with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6-190</w:t>
            </w:r>
            <w:r w:rsidR="00827CA9" w:rsidRPr="00827CA9">
              <w:rPr>
                <w:rFonts w:ascii="Arial" w:hAnsi="Arial" w:cs="Arial"/>
                <w:noProof/>
                <w:webHidden/>
                <w:sz w:val="22"/>
                <w:szCs w:val="22"/>
              </w:rPr>
              <w:fldChar w:fldCharType="end"/>
            </w:r>
          </w:hyperlink>
        </w:p>
        <w:p w14:paraId="5C3358C8" w14:textId="51F105C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69" w:history="1">
            <w:r w:rsidR="00827CA9" w:rsidRPr="00827CA9">
              <w:rPr>
                <w:rStyle w:val="Hyperlink"/>
                <w:rFonts w:ascii="Arial" w:hAnsi="Arial" w:cs="Arial"/>
                <w:noProof/>
                <w:sz w:val="22"/>
                <w:szCs w:val="22"/>
              </w:rPr>
              <w:t>6.3.4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Semi-structured interview analysis and discussion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_Toc78983869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6-191</w:t>
            </w:r>
            <w:r w:rsidR="00827CA9" w:rsidRPr="00827CA9">
              <w:rPr>
                <w:rFonts w:ascii="Arial" w:hAnsi="Arial" w:cs="Arial"/>
                <w:noProof/>
                <w:webHidden/>
                <w:sz w:val="22"/>
                <w:szCs w:val="22"/>
              </w:rPr>
              <w:fldChar w:fldCharType="end"/>
            </w:r>
          </w:hyperlink>
        </w:p>
        <w:p w14:paraId="38E1E206" w14:textId="534C87BE"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0" w:history="1">
            <w:r w:rsidR="00827CA9" w:rsidRPr="00827CA9">
              <w:rPr>
                <w:rStyle w:val="Hyperlink"/>
                <w:rFonts w:ascii="Arial" w:hAnsi="Arial" w:cs="Arial"/>
                <w:noProof/>
                <w:sz w:val="22"/>
                <w:szCs w:val="22"/>
              </w:rPr>
              <w:t>6.3.5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comparison of the challenges associated with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6-195</w:t>
            </w:r>
            <w:r w:rsidR="00827CA9" w:rsidRPr="00827CA9">
              <w:rPr>
                <w:rFonts w:ascii="Arial" w:hAnsi="Arial" w:cs="Arial"/>
                <w:noProof/>
                <w:webHidden/>
                <w:sz w:val="22"/>
                <w:szCs w:val="22"/>
              </w:rPr>
              <w:fldChar w:fldCharType="end"/>
            </w:r>
          </w:hyperlink>
        </w:p>
        <w:p w14:paraId="4CA8D333" w14:textId="6533D7D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1" w:history="1">
            <w:r w:rsidR="00827CA9" w:rsidRPr="00827CA9">
              <w:rPr>
                <w:rStyle w:val="Hyperlink"/>
                <w:rFonts w:ascii="Arial" w:hAnsi="Arial" w:cs="Arial"/>
                <w:noProof/>
                <w:sz w:val="22"/>
                <w:szCs w:val="22"/>
              </w:rPr>
              <w:t>6.3.6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on the challenges associated with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6-196</w:t>
            </w:r>
            <w:r w:rsidR="00827CA9" w:rsidRPr="00827CA9">
              <w:rPr>
                <w:rFonts w:ascii="Arial" w:hAnsi="Arial" w:cs="Arial"/>
                <w:noProof/>
                <w:webHidden/>
                <w:sz w:val="22"/>
                <w:szCs w:val="22"/>
              </w:rPr>
              <w:fldChar w:fldCharType="end"/>
            </w:r>
          </w:hyperlink>
        </w:p>
        <w:p w14:paraId="03BB2F43" w14:textId="7DDC9B76"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72" w:history="1">
            <w:r w:rsidR="00827CA9" w:rsidRPr="00827CA9">
              <w:rPr>
                <w:rStyle w:val="Hyperlink"/>
                <w:rFonts w:ascii="Arial" w:hAnsi="Arial" w:cs="Arial"/>
                <w:noProof/>
                <w:sz w:val="22"/>
                <w:szCs w:val="22"/>
              </w:rPr>
              <w:t>6.4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Opportunities associated with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6-197</w:t>
            </w:r>
            <w:r w:rsidR="00827CA9" w:rsidRPr="00827CA9">
              <w:rPr>
                <w:rFonts w:ascii="Arial" w:hAnsi="Arial" w:cs="Arial"/>
                <w:noProof/>
                <w:webHidden/>
                <w:sz w:val="22"/>
                <w:szCs w:val="22"/>
              </w:rPr>
              <w:fldChar w:fldCharType="end"/>
            </w:r>
          </w:hyperlink>
        </w:p>
        <w:p w14:paraId="3F10C7C0" w14:textId="6F4BE930"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3" w:history="1">
            <w:r w:rsidR="00827CA9" w:rsidRPr="00827CA9">
              <w:rPr>
                <w:rStyle w:val="Hyperlink"/>
                <w:rFonts w:ascii="Arial" w:hAnsi="Arial" w:cs="Arial"/>
                <w:noProof/>
                <w:sz w:val="22"/>
                <w:szCs w:val="22"/>
              </w:rPr>
              <w:t>6.4.1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6-197</w:t>
            </w:r>
            <w:r w:rsidR="00827CA9" w:rsidRPr="00827CA9">
              <w:rPr>
                <w:rFonts w:ascii="Arial" w:hAnsi="Arial" w:cs="Arial"/>
                <w:noProof/>
                <w:webHidden/>
                <w:sz w:val="22"/>
                <w:szCs w:val="22"/>
              </w:rPr>
              <w:fldChar w:fldCharType="end"/>
            </w:r>
          </w:hyperlink>
        </w:p>
        <w:p w14:paraId="01CBE340" w14:textId="5D64C5E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4" w:history="1">
            <w:r w:rsidR="00827CA9" w:rsidRPr="00827CA9">
              <w:rPr>
                <w:rStyle w:val="Hyperlink"/>
                <w:rFonts w:ascii="Arial" w:hAnsi="Arial" w:cs="Arial"/>
                <w:noProof/>
                <w:sz w:val="22"/>
                <w:szCs w:val="22"/>
              </w:rPr>
              <w:t>6.4.2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6-199</w:t>
            </w:r>
            <w:r w:rsidR="00827CA9" w:rsidRPr="00827CA9">
              <w:rPr>
                <w:rFonts w:ascii="Arial" w:hAnsi="Arial" w:cs="Arial"/>
                <w:noProof/>
                <w:webHidden/>
                <w:sz w:val="22"/>
                <w:szCs w:val="22"/>
              </w:rPr>
              <w:fldChar w:fldCharType="end"/>
            </w:r>
          </w:hyperlink>
        </w:p>
        <w:p w14:paraId="05D9C135" w14:textId="1214EF2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5" w:history="1">
            <w:r w:rsidR="00827CA9" w:rsidRPr="00827CA9">
              <w:rPr>
                <w:rStyle w:val="Hyperlink"/>
                <w:rFonts w:ascii="Arial" w:hAnsi="Arial" w:cs="Arial"/>
                <w:noProof/>
                <w:sz w:val="22"/>
                <w:szCs w:val="22"/>
              </w:rPr>
              <w:t>6.4.3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Relationship between the management level and the opportunities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6-202</w:t>
            </w:r>
            <w:r w:rsidR="00827CA9" w:rsidRPr="00827CA9">
              <w:rPr>
                <w:rFonts w:ascii="Arial" w:hAnsi="Arial" w:cs="Arial"/>
                <w:noProof/>
                <w:webHidden/>
                <w:sz w:val="22"/>
                <w:szCs w:val="22"/>
              </w:rPr>
              <w:fldChar w:fldCharType="end"/>
            </w:r>
          </w:hyperlink>
        </w:p>
        <w:p w14:paraId="0DD5AF27" w14:textId="149A942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6" w:history="1">
            <w:r w:rsidR="00827CA9" w:rsidRPr="00827CA9">
              <w:rPr>
                <w:rStyle w:val="Hyperlink"/>
                <w:rFonts w:ascii="Arial" w:hAnsi="Arial" w:cs="Arial"/>
                <w:noProof/>
                <w:sz w:val="22"/>
                <w:szCs w:val="22"/>
              </w:rPr>
              <w:t>6.4.4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Semi-structured interview analysis and discussion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6-203</w:t>
            </w:r>
            <w:r w:rsidR="00827CA9" w:rsidRPr="00827CA9">
              <w:rPr>
                <w:rFonts w:ascii="Arial" w:hAnsi="Arial" w:cs="Arial"/>
                <w:noProof/>
                <w:webHidden/>
                <w:sz w:val="22"/>
                <w:szCs w:val="22"/>
              </w:rPr>
              <w:fldChar w:fldCharType="end"/>
            </w:r>
          </w:hyperlink>
        </w:p>
        <w:p w14:paraId="59AD2BAC" w14:textId="0EC3B4A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7" w:history="1">
            <w:r w:rsidR="00827CA9" w:rsidRPr="00827CA9">
              <w:rPr>
                <w:rStyle w:val="Hyperlink"/>
                <w:rFonts w:ascii="Arial" w:hAnsi="Arial" w:cs="Arial"/>
                <w:noProof/>
                <w:sz w:val="22"/>
                <w:szCs w:val="22"/>
              </w:rPr>
              <w:t>6.4.5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A comparison of the opportunities associated with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6-207</w:t>
            </w:r>
            <w:r w:rsidR="00827CA9" w:rsidRPr="00827CA9">
              <w:rPr>
                <w:rFonts w:ascii="Arial" w:hAnsi="Arial" w:cs="Arial"/>
                <w:noProof/>
                <w:webHidden/>
                <w:sz w:val="22"/>
                <w:szCs w:val="22"/>
              </w:rPr>
              <w:fldChar w:fldCharType="end"/>
            </w:r>
          </w:hyperlink>
        </w:p>
        <w:p w14:paraId="63713F22" w14:textId="1704ED1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78" w:history="1">
            <w:r w:rsidR="00827CA9" w:rsidRPr="00827CA9">
              <w:rPr>
                <w:rStyle w:val="Hyperlink"/>
                <w:rFonts w:ascii="Arial" w:hAnsi="Arial" w:cs="Arial"/>
                <w:noProof/>
                <w:sz w:val="22"/>
                <w:szCs w:val="22"/>
              </w:rPr>
              <w:t>6.4.6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associated with opportunities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6-208</w:t>
            </w:r>
            <w:r w:rsidR="00827CA9" w:rsidRPr="00827CA9">
              <w:rPr>
                <w:rFonts w:ascii="Arial" w:hAnsi="Arial" w:cs="Arial"/>
                <w:noProof/>
                <w:webHidden/>
                <w:sz w:val="22"/>
                <w:szCs w:val="22"/>
              </w:rPr>
              <w:fldChar w:fldCharType="end"/>
            </w:r>
          </w:hyperlink>
        </w:p>
        <w:p w14:paraId="0A8FF530" w14:textId="41FB5A62"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79" w:history="1">
            <w:r w:rsidR="00827CA9" w:rsidRPr="00827CA9">
              <w:rPr>
                <w:rStyle w:val="Hyperlink"/>
                <w:rFonts w:ascii="Arial" w:hAnsi="Arial" w:cs="Arial"/>
                <w:noProof/>
                <w:sz w:val="22"/>
                <w:szCs w:val="22"/>
              </w:rPr>
              <w:t>6.5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Development of a conceptual framework for environmental scan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_Toc78983879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6-208</w:t>
            </w:r>
            <w:r w:rsidR="00827CA9" w:rsidRPr="00827CA9">
              <w:rPr>
                <w:rFonts w:ascii="Arial" w:hAnsi="Arial" w:cs="Arial"/>
                <w:noProof/>
                <w:webHidden/>
                <w:sz w:val="22"/>
                <w:szCs w:val="22"/>
              </w:rPr>
              <w:fldChar w:fldCharType="end"/>
            </w:r>
          </w:hyperlink>
        </w:p>
        <w:p w14:paraId="4FBDF340" w14:textId="071E1B1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0" w:history="1">
            <w:r w:rsidR="00827CA9" w:rsidRPr="00827CA9">
              <w:rPr>
                <w:rStyle w:val="Hyperlink"/>
                <w:rFonts w:ascii="Arial" w:hAnsi="Arial" w:cs="Arial"/>
                <w:noProof/>
                <w:sz w:val="22"/>
                <w:szCs w:val="22"/>
              </w:rPr>
              <w:t>6.6</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6-215</w:t>
            </w:r>
            <w:r w:rsidR="00827CA9" w:rsidRPr="00827CA9">
              <w:rPr>
                <w:rFonts w:ascii="Arial" w:hAnsi="Arial" w:cs="Arial"/>
                <w:noProof/>
                <w:webHidden/>
                <w:sz w:val="22"/>
                <w:szCs w:val="22"/>
              </w:rPr>
              <w:fldChar w:fldCharType="end"/>
            </w:r>
          </w:hyperlink>
        </w:p>
        <w:p w14:paraId="4529BCA9" w14:textId="5753FFA3"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881" w:history="1">
            <w:r w:rsidR="00827CA9" w:rsidRPr="00827CA9">
              <w:rPr>
                <w:rStyle w:val="Hyperlink"/>
                <w:rFonts w:ascii="Arial" w:hAnsi="Arial" w:cs="Arial"/>
                <w:noProof/>
                <w:sz w:val="22"/>
                <w:szCs w:val="22"/>
              </w:rPr>
              <w:t>7</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The key decisions and processes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7-218</w:t>
            </w:r>
            <w:r w:rsidR="00827CA9" w:rsidRPr="00827CA9">
              <w:rPr>
                <w:rFonts w:ascii="Arial" w:hAnsi="Arial" w:cs="Arial"/>
                <w:noProof/>
                <w:webHidden/>
                <w:sz w:val="22"/>
                <w:szCs w:val="22"/>
              </w:rPr>
              <w:fldChar w:fldCharType="end"/>
            </w:r>
          </w:hyperlink>
        </w:p>
        <w:p w14:paraId="6D377423" w14:textId="318E5424"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2" w:history="1">
            <w:r w:rsidR="00827CA9" w:rsidRPr="00827CA9">
              <w:rPr>
                <w:rStyle w:val="Hyperlink"/>
                <w:rFonts w:ascii="Arial" w:hAnsi="Arial" w:cs="Arial"/>
                <w:noProof/>
                <w:sz w:val="22"/>
                <w:szCs w:val="22"/>
              </w:rPr>
              <w:t>7.1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7-218</w:t>
            </w:r>
            <w:r w:rsidR="00827CA9" w:rsidRPr="00827CA9">
              <w:rPr>
                <w:rFonts w:ascii="Arial" w:hAnsi="Arial" w:cs="Arial"/>
                <w:noProof/>
                <w:webHidden/>
                <w:sz w:val="22"/>
                <w:szCs w:val="22"/>
              </w:rPr>
              <w:fldChar w:fldCharType="end"/>
            </w:r>
          </w:hyperlink>
        </w:p>
        <w:p w14:paraId="036F4D44" w14:textId="56FB7772"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3" w:history="1">
            <w:r w:rsidR="00827CA9" w:rsidRPr="00827CA9">
              <w:rPr>
                <w:rStyle w:val="Hyperlink"/>
                <w:rFonts w:ascii="Arial" w:hAnsi="Arial" w:cs="Arial"/>
                <w:noProof/>
                <w:sz w:val="22"/>
                <w:szCs w:val="22"/>
              </w:rPr>
              <w:t>7.2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Key decisions and processes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7-218</w:t>
            </w:r>
            <w:r w:rsidR="00827CA9" w:rsidRPr="00827CA9">
              <w:rPr>
                <w:rFonts w:ascii="Arial" w:hAnsi="Arial" w:cs="Arial"/>
                <w:noProof/>
                <w:webHidden/>
                <w:sz w:val="22"/>
                <w:szCs w:val="22"/>
              </w:rPr>
              <w:fldChar w:fldCharType="end"/>
            </w:r>
          </w:hyperlink>
        </w:p>
        <w:p w14:paraId="5FF3E891" w14:textId="5444A3F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84" w:history="1">
            <w:r w:rsidR="00827CA9" w:rsidRPr="00827CA9">
              <w:rPr>
                <w:rStyle w:val="Hyperlink"/>
                <w:rFonts w:ascii="Arial" w:hAnsi="Arial" w:cs="Arial"/>
                <w:noProof/>
                <w:sz w:val="22"/>
                <w:szCs w:val="22"/>
              </w:rPr>
              <w:t>7.2.1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Questionnaire survey analysis and discussion at the 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7-219</w:t>
            </w:r>
            <w:r w:rsidR="00827CA9" w:rsidRPr="00827CA9">
              <w:rPr>
                <w:rFonts w:ascii="Arial" w:hAnsi="Arial" w:cs="Arial"/>
                <w:noProof/>
                <w:webHidden/>
                <w:sz w:val="22"/>
                <w:szCs w:val="22"/>
              </w:rPr>
              <w:fldChar w:fldCharType="end"/>
            </w:r>
          </w:hyperlink>
        </w:p>
        <w:p w14:paraId="2B2DEBBA" w14:textId="5854CB4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85" w:history="1">
            <w:r w:rsidR="00827CA9" w:rsidRPr="00827CA9">
              <w:rPr>
                <w:rStyle w:val="Hyperlink"/>
                <w:rFonts w:ascii="Arial" w:hAnsi="Arial" w:cs="Arial"/>
                <w:noProof/>
                <w:sz w:val="22"/>
                <w:szCs w:val="22"/>
              </w:rPr>
              <w:t>7.2.2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Semi-structured interview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7-221</w:t>
            </w:r>
            <w:r w:rsidR="00827CA9" w:rsidRPr="00827CA9">
              <w:rPr>
                <w:rFonts w:ascii="Arial" w:hAnsi="Arial" w:cs="Arial"/>
                <w:noProof/>
                <w:webHidden/>
                <w:sz w:val="22"/>
                <w:szCs w:val="22"/>
              </w:rPr>
              <w:fldChar w:fldCharType="end"/>
            </w:r>
          </w:hyperlink>
        </w:p>
        <w:p w14:paraId="1BB90B60" w14:textId="0583244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6" w:history="1">
            <w:r w:rsidR="00827CA9" w:rsidRPr="00827CA9">
              <w:rPr>
                <w:rStyle w:val="Hyperlink"/>
                <w:rFonts w:ascii="Arial" w:hAnsi="Arial" w:cs="Arial"/>
                <w:noProof/>
                <w:sz w:val="22"/>
                <w:szCs w:val="22"/>
              </w:rPr>
              <w:t>7.3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Comparison of processes and key decisions in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7-225</w:t>
            </w:r>
            <w:r w:rsidR="00827CA9" w:rsidRPr="00827CA9">
              <w:rPr>
                <w:rFonts w:ascii="Arial" w:hAnsi="Arial" w:cs="Arial"/>
                <w:noProof/>
                <w:webHidden/>
                <w:sz w:val="22"/>
                <w:szCs w:val="22"/>
              </w:rPr>
              <w:fldChar w:fldCharType="end"/>
            </w:r>
          </w:hyperlink>
        </w:p>
        <w:p w14:paraId="24F61C52" w14:textId="6BBCA129"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7" w:history="1">
            <w:r w:rsidR="00827CA9" w:rsidRPr="00827CA9">
              <w:rPr>
                <w:rStyle w:val="Hyperlink"/>
                <w:rFonts w:ascii="Arial" w:hAnsi="Arial" w:cs="Arial"/>
                <w:noProof/>
                <w:sz w:val="22"/>
                <w:szCs w:val="22"/>
              </w:rPr>
              <w:t>7.4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implication of the findings on the key processes and decisions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7-225</w:t>
            </w:r>
            <w:r w:rsidR="00827CA9" w:rsidRPr="00827CA9">
              <w:rPr>
                <w:rFonts w:ascii="Arial" w:hAnsi="Arial" w:cs="Arial"/>
                <w:noProof/>
                <w:webHidden/>
                <w:sz w:val="22"/>
                <w:szCs w:val="22"/>
              </w:rPr>
              <w:fldChar w:fldCharType="end"/>
            </w:r>
          </w:hyperlink>
        </w:p>
        <w:p w14:paraId="10A94358" w14:textId="0305614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8" w:history="1">
            <w:r w:rsidR="00827CA9" w:rsidRPr="00827CA9">
              <w:rPr>
                <w:rStyle w:val="Hyperlink"/>
                <w:rFonts w:ascii="Arial" w:hAnsi="Arial" w:cs="Arial"/>
                <w:noProof/>
                <w:sz w:val="22"/>
                <w:szCs w:val="22"/>
              </w:rPr>
              <w:t>7.5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Development of a process map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7-225</w:t>
            </w:r>
            <w:r w:rsidR="00827CA9" w:rsidRPr="00827CA9">
              <w:rPr>
                <w:rFonts w:ascii="Arial" w:hAnsi="Arial" w:cs="Arial"/>
                <w:noProof/>
                <w:webHidden/>
                <w:sz w:val="22"/>
                <w:szCs w:val="22"/>
              </w:rPr>
              <w:fldChar w:fldCharType="end"/>
            </w:r>
          </w:hyperlink>
        </w:p>
        <w:p w14:paraId="48893A5F" w14:textId="3FD64C97"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89" w:history="1">
            <w:r w:rsidR="00827CA9" w:rsidRPr="00827CA9">
              <w:rPr>
                <w:rStyle w:val="Hyperlink"/>
                <w:rFonts w:ascii="Arial" w:hAnsi="Arial" w:cs="Arial"/>
                <w:noProof/>
                <w:sz w:val="22"/>
                <w:szCs w:val="22"/>
              </w:rPr>
              <w:t>7.6</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_Toc78983889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7-232</w:t>
            </w:r>
            <w:r w:rsidR="00827CA9" w:rsidRPr="00827CA9">
              <w:rPr>
                <w:rFonts w:ascii="Arial" w:hAnsi="Arial" w:cs="Arial"/>
                <w:noProof/>
                <w:webHidden/>
                <w:sz w:val="22"/>
                <w:szCs w:val="22"/>
              </w:rPr>
              <w:fldChar w:fldCharType="end"/>
            </w:r>
          </w:hyperlink>
        </w:p>
        <w:p w14:paraId="53911937" w14:textId="6F27AC5B"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890" w:history="1">
            <w:r w:rsidR="00827CA9" w:rsidRPr="00827CA9">
              <w:rPr>
                <w:rStyle w:val="Hyperlink"/>
                <w:rFonts w:ascii="Arial" w:hAnsi="Arial" w:cs="Arial"/>
                <w:noProof/>
                <w:sz w:val="22"/>
                <w:szCs w:val="22"/>
              </w:rPr>
              <w:t>8</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Skills, knowledge and competences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8-234</w:t>
            </w:r>
            <w:r w:rsidR="00827CA9" w:rsidRPr="00827CA9">
              <w:rPr>
                <w:rFonts w:ascii="Arial" w:hAnsi="Arial" w:cs="Arial"/>
                <w:noProof/>
                <w:webHidden/>
                <w:sz w:val="22"/>
                <w:szCs w:val="22"/>
              </w:rPr>
              <w:fldChar w:fldCharType="end"/>
            </w:r>
          </w:hyperlink>
        </w:p>
        <w:p w14:paraId="0081307F" w14:textId="0FDEE771"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91" w:history="1">
            <w:r w:rsidR="00827CA9" w:rsidRPr="00827CA9">
              <w:rPr>
                <w:rStyle w:val="Hyperlink"/>
                <w:rFonts w:ascii="Arial" w:hAnsi="Arial" w:cs="Arial"/>
                <w:noProof/>
                <w:sz w:val="22"/>
                <w:szCs w:val="22"/>
              </w:rPr>
              <w:t>8.1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8-234</w:t>
            </w:r>
            <w:r w:rsidR="00827CA9" w:rsidRPr="00827CA9">
              <w:rPr>
                <w:rFonts w:ascii="Arial" w:hAnsi="Arial" w:cs="Arial"/>
                <w:noProof/>
                <w:webHidden/>
                <w:sz w:val="22"/>
                <w:szCs w:val="22"/>
              </w:rPr>
              <w:fldChar w:fldCharType="end"/>
            </w:r>
          </w:hyperlink>
        </w:p>
        <w:p w14:paraId="772E1F9F" w14:textId="21061B5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892" w:history="1">
            <w:r w:rsidR="00827CA9" w:rsidRPr="00827CA9">
              <w:rPr>
                <w:rStyle w:val="Hyperlink"/>
                <w:rFonts w:ascii="Arial" w:hAnsi="Arial" w:cs="Arial"/>
                <w:noProof/>
                <w:sz w:val="22"/>
                <w:szCs w:val="22"/>
              </w:rPr>
              <w:t>8.2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Managers skills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8-234</w:t>
            </w:r>
            <w:r w:rsidR="00827CA9" w:rsidRPr="00827CA9">
              <w:rPr>
                <w:rFonts w:ascii="Arial" w:hAnsi="Arial" w:cs="Arial"/>
                <w:noProof/>
                <w:webHidden/>
                <w:sz w:val="22"/>
                <w:szCs w:val="22"/>
              </w:rPr>
              <w:fldChar w:fldCharType="end"/>
            </w:r>
          </w:hyperlink>
        </w:p>
        <w:p w14:paraId="3F800C67" w14:textId="257F044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3" w:history="1">
            <w:r w:rsidR="00827CA9" w:rsidRPr="00827CA9">
              <w:rPr>
                <w:rStyle w:val="Hyperlink"/>
                <w:rFonts w:ascii="Arial" w:hAnsi="Arial" w:cs="Arial"/>
                <w:noProof/>
                <w:sz w:val="22"/>
                <w:szCs w:val="22"/>
              </w:rPr>
              <w:t>8.2.1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Degree of importance of management skills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8-235</w:t>
            </w:r>
            <w:r w:rsidR="00827CA9" w:rsidRPr="00827CA9">
              <w:rPr>
                <w:rFonts w:ascii="Arial" w:hAnsi="Arial" w:cs="Arial"/>
                <w:noProof/>
                <w:webHidden/>
                <w:sz w:val="22"/>
                <w:szCs w:val="22"/>
              </w:rPr>
              <w:fldChar w:fldCharType="end"/>
            </w:r>
          </w:hyperlink>
        </w:p>
        <w:p w14:paraId="2E68912D" w14:textId="3B179FA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4" w:history="1">
            <w:r w:rsidR="00827CA9" w:rsidRPr="00827CA9">
              <w:rPr>
                <w:rStyle w:val="Hyperlink"/>
                <w:rFonts w:ascii="Arial" w:hAnsi="Arial" w:cs="Arial"/>
                <w:noProof/>
                <w:sz w:val="22"/>
                <w:szCs w:val="22"/>
              </w:rPr>
              <w:t>8.2.2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need for training and education for management skills for securing finance for the present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8-238</w:t>
            </w:r>
            <w:r w:rsidR="00827CA9" w:rsidRPr="00827CA9">
              <w:rPr>
                <w:rFonts w:ascii="Arial" w:hAnsi="Arial" w:cs="Arial"/>
                <w:noProof/>
                <w:webHidden/>
                <w:sz w:val="22"/>
                <w:szCs w:val="22"/>
              </w:rPr>
              <w:fldChar w:fldCharType="end"/>
            </w:r>
          </w:hyperlink>
        </w:p>
        <w:p w14:paraId="7C96494E" w14:textId="284E387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5" w:history="1">
            <w:r w:rsidR="00827CA9" w:rsidRPr="00827CA9">
              <w:rPr>
                <w:rStyle w:val="Hyperlink"/>
                <w:rFonts w:ascii="Arial" w:hAnsi="Arial" w:cs="Arial"/>
                <w:noProof/>
                <w:sz w:val="22"/>
                <w:szCs w:val="22"/>
              </w:rPr>
              <w:t>8.2.3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need for training and education for management skills for securing finance for the future (next five years)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8-241</w:t>
            </w:r>
            <w:r w:rsidR="00827CA9" w:rsidRPr="00827CA9">
              <w:rPr>
                <w:rFonts w:ascii="Arial" w:hAnsi="Arial" w:cs="Arial"/>
                <w:noProof/>
                <w:webHidden/>
                <w:sz w:val="22"/>
                <w:szCs w:val="22"/>
              </w:rPr>
              <w:fldChar w:fldCharType="end"/>
            </w:r>
          </w:hyperlink>
        </w:p>
        <w:p w14:paraId="2C872CFF" w14:textId="6E0D7CC0"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6" w:history="1">
            <w:r w:rsidR="00827CA9" w:rsidRPr="00827CA9">
              <w:rPr>
                <w:rStyle w:val="Hyperlink"/>
                <w:rFonts w:ascii="Arial" w:hAnsi="Arial" w:cs="Arial"/>
                <w:noProof/>
                <w:sz w:val="22"/>
                <w:szCs w:val="22"/>
              </w:rPr>
              <w:t>8.2.4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Relationship between the level of management and the degree of importance of management skills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8-244</w:t>
            </w:r>
            <w:r w:rsidR="00827CA9" w:rsidRPr="00827CA9">
              <w:rPr>
                <w:rFonts w:ascii="Arial" w:hAnsi="Arial" w:cs="Arial"/>
                <w:noProof/>
                <w:webHidden/>
                <w:sz w:val="22"/>
                <w:szCs w:val="22"/>
              </w:rPr>
              <w:fldChar w:fldCharType="end"/>
            </w:r>
          </w:hyperlink>
        </w:p>
        <w:p w14:paraId="58D60F9F" w14:textId="28EF8A0E"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7" w:history="1">
            <w:r w:rsidR="00827CA9" w:rsidRPr="00827CA9">
              <w:rPr>
                <w:rStyle w:val="Hyperlink"/>
                <w:rFonts w:ascii="Arial" w:hAnsi="Arial" w:cs="Arial"/>
                <w:noProof/>
                <w:sz w:val="22"/>
                <w:szCs w:val="22"/>
              </w:rPr>
              <w:t>8.2.5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Semi-structured interview analysis and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8-244</w:t>
            </w:r>
            <w:r w:rsidR="00827CA9" w:rsidRPr="00827CA9">
              <w:rPr>
                <w:rFonts w:ascii="Arial" w:hAnsi="Arial" w:cs="Arial"/>
                <w:noProof/>
                <w:webHidden/>
                <w:sz w:val="22"/>
                <w:szCs w:val="22"/>
              </w:rPr>
              <w:fldChar w:fldCharType="end"/>
            </w:r>
          </w:hyperlink>
        </w:p>
        <w:p w14:paraId="27223090" w14:textId="5A699097"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8" w:history="1">
            <w:r w:rsidR="00827CA9" w:rsidRPr="00827CA9">
              <w:rPr>
                <w:rStyle w:val="Hyperlink"/>
                <w:rFonts w:ascii="Arial" w:hAnsi="Arial" w:cs="Arial"/>
                <w:noProof/>
                <w:sz w:val="22"/>
                <w:szCs w:val="22"/>
              </w:rPr>
              <w:t>8.2.6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Comparison of skills for securing finance for real estate’s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8-249</w:t>
            </w:r>
            <w:r w:rsidR="00827CA9" w:rsidRPr="00827CA9">
              <w:rPr>
                <w:rFonts w:ascii="Arial" w:hAnsi="Arial" w:cs="Arial"/>
                <w:noProof/>
                <w:webHidden/>
                <w:sz w:val="22"/>
                <w:szCs w:val="22"/>
              </w:rPr>
              <w:fldChar w:fldCharType="end"/>
            </w:r>
          </w:hyperlink>
        </w:p>
        <w:p w14:paraId="65ADCA12" w14:textId="7A45AE4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899" w:history="1">
            <w:r w:rsidR="00827CA9" w:rsidRPr="00827CA9">
              <w:rPr>
                <w:rStyle w:val="Hyperlink"/>
                <w:rFonts w:ascii="Arial" w:hAnsi="Arial" w:cs="Arial"/>
                <w:noProof/>
                <w:sz w:val="22"/>
                <w:szCs w:val="22"/>
              </w:rPr>
              <w:t>8.2.7</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Implication the findings on skills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_Toc78983899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8-250</w:t>
            </w:r>
            <w:r w:rsidR="00827CA9" w:rsidRPr="00827CA9">
              <w:rPr>
                <w:rFonts w:ascii="Arial" w:hAnsi="Arial" w:cs="Arial"/>
                <w:noProof/>
                <w:webHidden/>
                <w:sz w:val="22"/>
                <w:szCs w:val="22"/>
              </w:rPr>
              <w:fldChar w:fldCharType="end"/>
            </w:r>
          </w:hyperlink>
        </w:p>
        <w:p w14:paraId="572DF280" w14:textId="394F83B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00" w:history="1">
            <w:r w:rsidR="00827CA9" w:rsidRPr="00827CA9">
              <w:rPr>
                <w:rStyle w:val="Hyperlink"/>
                <w:rFonts w:ascii="Arial" w:hAnsi="Arial" w:cs="Arial"/>
                <w:noProof/>
                <w:sz w:val="22"/>
                <w:szCs w:val="22"/>
              </w:rPr>
              <w:t>8.3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Management’s knowledge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8-252</w:t>
            </w:r>
            <w:r w:rsidR="00827CA9" w:rsidRPr="00827CA9">
              <w:rPr>
                <w:rFonts w:ascii="Arial" w:hAnsi="Arial" w:cs="Arial"/>
                <w:noProof/>
                <w:webHidden/>
                <w:sz w:val="22"/>
                <w:szCs w:val="22"/>
              </w:rPr>
              <w:fldChar w:fldCharType="end"/>
            </w:r>
          </w:hyperlink>
        </w:p>
        <w:p w14:paraId="18BCE9CD" w14:textId="57B7FF3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1" w:history="1">
            <w:r w:rsidR="00827CA9" w:rsidRPr="00827CA9">
              <w:rPr>
                <w:rStyle w:val="Hyperlink"/>
                <w:rFonts w:ascii="Arial" w:hAnsi="Arial" w:cs="Arial"/>
                <w:noProof/>
                <w:sz w:val="22"/>
                <w:szCs w:val="22"/>
              </w:rPr>
              <w:t>8.3.1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Degree of the importance of management knowledge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8-253</w:t>
            </w:r>
            <w:r w:rsidR="00827CA9" w:rsidRPr="00827CA9">
              <w:rPr>
                <w:rFonts w:ascii="Arial" w:hAnsi="Arial" w:cs="Arial"/>
                <w:noProof/>
                <w:webHidden/>
                <w:sz w:val="22"/>
                <w:szCs w:val="22"/>
              </w:rPr>
              <w:fldChar w:fldCharType="end"/>
            </w:r>
          </w:hyperlink>
        </w:p>
        <w:p w14:paraId="22621406" w14:textId="44D57FE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2" w:history="1">
            <w:r w:rsidR="00827CA9" w:rsidRPr="00827CA9">
              <w:rPr>
                <w:rStyle w:val="Hyperlink"/>
                <w:rFonts w:ascii="Arial" w:hAnsi="Arial" w:cs="Arial"/>
                <w:noProof/>
                <w:sz w:val="22"/>
                <w:szCs w:val="22"/>
              </w:rPr>
              <w:t>8.3.2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need for training and education for management knowledge for securing finance for real estate project development for the present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8-256</w:t>
            </w:r>
            <w:r w:rsidR="00827CA9" w:rsidRPr="00827CA9">
              <w:rPr>
                <w:rFonts w:ascii="Arial" w:hAnsi="Arial" w:cs="Arial"/>
                <w:noProof/>
                <w:webHidden/>
                <w:sz w:val="22"/>
                <w:szCs w:val="22"/>
              </w:rPr>
              <w:fldChar w:fldCharType="end"/>
            </w:r>
          </w:hyperlink>
        </w:p>
        <w:p w14:paraId="27A6E6A6" w14:textId="246D75F5"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3" w:history="1">
            <w:r w:rsidR="00827CA9" w:rsidRPr="00827CA9">
              <w:rPr>
                <w:rStyle w:val="Hyperlink"/>
                <w:rFonts w:ascii="Arial" w:hAnsi="Arial" w:cs="Arial"/>
                <w:noProof/>
                <w:sz w:val="22"/>
                <w:szCs w:val="22"/>
              </w:rPr>
              <w:t>8.3.3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need for training and education for management knowledge for securing finance for the future (next five years)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8-259</w:t>
            </w:r>
            <w:r w:rsidR="00827CA9" w:rsidRPr="00827CA9">
              <w:rPr>
                <w:rFonts w:ascii="Arial" w:hAnsi="Arial" w:cs="Arial"/>
                <w:noProof/>
                <w:webHidden/>
                <w:sz w:val="22"/>
                <w:szCs w:val="22"/>
              </w:rPr>
              <w:fldChar w:fldCharType="end"/>
            </w:r>
          </w:hyperlink>
        </w:p>
        <w:p w14:paraId="48EB382F" w14:textId="0069281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4" w:history="1">
            <w:r w:rsidR="00827CA9" w:rsidRPr="00827CA9">
              <w:rPr>
                <w:rStyle w:val="Hyperlink"/>
                <w:rFonts w:ascii="Arial" w:hAnsi="Arial" w:cs="Arial"/>
                <w:noProof/>
                <w:sz w:val="22"/>
                <w:szCs w:val="22"/>
              </w:rPr>
              <w:t>8.3.4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relationship between management level and the degree of importance of knowledge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8-261</w:t>
            </w:r>
            <w:r w:rsidR="00827CA9" w:rsidRPr="00827CA9">
              <w:rPr>
                <w:rFonts w:ascii="Arial" w:hAnsi="Arial" w:cs="Arial"/>
                <w:noProof/>
                <w:webHidden/>
                <w:sz w:val="22"/>
                <w:szCs w:val="22"/>
              </w:rPr>
              <w:fldChar w:fldCharType="end"/>
            </w:r>
          </w:hyperlink>
        </w:p>
        <w:p w14:paraId="02D740AA" w14:textId="1CF7E998"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5" w:history="1">
            <w:r w:rsidR="00827CA9" w:rsidRPr="00827CA9">
              <w:rPr>
                <w:rStyle w:val="Hyperlink"/>
                <w:rFonts w:ascii="Arial" w:hAnsi="Arial" w:cs="Arial"/>
                <w:noProof/>
                <w:sz w:val="22"/>
                <w:szCs w:val="22"/>
              </w:rPr>
              <w:t>8.3.5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 knowledge for securing finance for real estate project development: Semi-structured interview analysis &amp; discussion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8-262</w:t>
            </w:r>
            <w:r w:rsidR="00827CA9" w:rsidRPr="00827CA9">
              <w:rPr>
                <w:rFonts w:ascii="Arial" w:hAnsi="Arial" w:cs="Arial"/>
                <w:noProof/>
                <w:webHidden/>
                <w:sz w:val="22"/>
                <w:szCs w:val="22"/>
              </w:rPr>
              <w:fldChar w:fldCharType="end"/>
            </w:r>
          </w:hyperlink>
        </w:p>
        <w:p w14:paraId="16D86837" w14:textId="03AD3FA2"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6" w:history="1">
            <w:r w:rsidR="00827CA9" w:rsidRPr="00827CA9">
              <w:rPr>
                <w:rStyle w:val="Hyperlink"/>
                <w:rFonts w:ascii="Arial" w:hAnsi="Arial" w:cs="Arial"/>
                <w:noProof/>
                <w:sz w:val="22"/>
                <w:szCs w:val="22"/>
              </w:rPr>
              <w:t>8.3.6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Comparison of knowledge for securing finance for real estate project development for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8-265</w:t>
            </w:r>
            <w:r w:rsidR="00827CA9" w:rsidRPr="00827CA9">
              <w:rPr>
                <w:rFonts w:ascii="Arial" w:hAnsi="Arial" w:cs="Arial"/>
                <w:noProof/>
                <w:webHidden/>
                <w:sz w:val="22"/>
                <w:szCs w:val="22"/>
              </w:rPr>
              <w:fldChar w:fldCharType="end"/>
            </w:r>
          </w:hyperlink>
        </w:p>
        <w:p w14:paraId="0722D124" w14:textId="69FFC74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7" w:history="1">
            <w:r w:rsidR="00827CA9" w:rsidRPr="00827CA9">
              <w:rPr>
                <w:rStyle w:val="Hyperlink"/>
                <w:rFonts w:ascii="Arial" w:hAnsi="Arial" w:cs="Arial"/>
                <w:noProof/>
                <w:sz w:val="22"/>
                <w:szCs w:val="22"/>
              </w:rPr>
              <w:t>8.3.7</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on knowledge for securing finance for real estate project development for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8-266</w:t>
            </w:r>
            <w:r w:rsidR="00827CA9" w:rsidRPr="00827CA9">
              <w:rPr>
                <w:rFonts w:ascii="Arial" w:hAnsi="Arial" w:cs="Arial"/>
                <w:noProof/>
                <w:webHidden/>
                <w:sz w:val="22"/>
                <w:szCs w:val="22"/>
              </w:rPr>
              <w:fldChar w:fldCharType="end"/>
            </w:r>
          </w:hyperlink>
        </w:p>
        <w:p w14:paraId="5DBDFD4F" w14:textId="52392BE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08" w:history="1">
            <w:r w:rsidR="00827CA9" w:rsidRPr="00827CA9">
              <w:rPr>
                <w:rStyle w:val="Hyperlink"/>
                <w:rFonts w:ascii="Arial" w:hAnsi="Arial" w:cs="Arial"/>
                <w:noProof/>
                <w:sz w:val="22"/>
                <w:szCs w:val="22"/>
              </w:rPr>
              <w:t>8.4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Management competences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8-268</w:t>
            </w:r>
            <w:r w:rsidR="00827CA9" w:rsidRPr="00827CA9">
              <w:rPr>
                <w:rFonts w:ascii="Arial" w:hAnsi="Arial" w:cs="Arial"/>
                <w:noProof/>
                <w:webHidden/>
                <w:sz w:val="22"/>
                <w:szCs w:val="22"/>
              </w:rPr>
              <w:fldChar w:fldCharType="end"/>
            </w:r>
          </w:hyperlink>
        </w:p>
        <w:p w14:paraId="5CABB87B" w14:textId="4BDF9DB4"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09" w:history="1">
            <w:r w:rsidR="00827CA9" w:rsidRPr="00827CA9">
              <w:rPr>
                <w:rStyle w:val="Hyperlink"/>
                <w:rFonts w:ascii="Arial" w:hAnsi="Arial" w:cs="Arial"/>
                <w:noProof/>
                <w:sz w:val="22"/>
                <w:szCs w:val="22"/>
              </w:rPr>
              <w:t>8.4.1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importance of management competences for securing finance.</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_Toc78983909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8-269</w:t>
            </w:r>
            <w:r w:rsidR="00827CA9" w:rsidRPr="00827CA9">
              <w:rPr>
                <w:rFonts w:ascii="Arial" w:hAnsi="Arial" w:cs="Arial"/>
                <w:noProof/>
                <w:webHidden/>
                <w:sz w:val="22"/>
                <w:szCs w:val="22"/>
              </w:rPr>
              <w:fldChar w:fldCharType="end"/>
            </w:r>
          </w:hyperlink>
        </w:p>
        <w:p w14:paraId="42D13F65" w14:textId="25DA978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10" w:history="1">
            <w:r w:rsidR="00827CA9" w:rsidRPr="00827CA9">
              <w:rPr>
                <w:rStyle w:val="Hyperlink"/>
                <w:rFonts w:ascii="Arial" w:hAnsi="Arial" w:cs="Arial"/>
                <w:noProof/>
                <w:sz w:val="22"/>
                <w:szCs w:val="22"/>
              </w:rPr>
              <w:t>8.4.2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need for training and education for management Competences for securing finance for the present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8-272</w:t>
            </w:r>
            <w:r w:rsidR="00827CA9" w:rsidRPr="00827CA9">
              <w:rPr>
                <w:rFonts w:ascii="Arial" w:hAnsi="Arial" w:cs="Arial"/>
                <w:noProof/>
                <w:webHidden/>
                <w:sz w:val="22"/>
                <w:szCs w:val="22"/>
              </w:rPr>
              <w:fldChar w:fldCharType="end"/>
            </w:r>
          </w:hyperlink>
        </w:p>
        <w:p w14:paraId="7079D111" w14:textId="4057121C"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11" w:history="1">
            <w:r w:rsidR="00827CA9" w:rsidRPr="00827CA9">
              <w:rPr>
                <w:rStyle w:val="Hyperlink"/>
                <w:rFonts w:ascii="Arial" w:hAnsi="Arial" w:cs="Arial"/>
                <w:noProof/>
                <w:sz w:val="22"/>
                <w:szCs w:val="22"/>
              </w:rPr>
              <w:t>8.4.3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degree of need for training and education for management competences for securing finance for the future (next five years)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8-274</w:t>
            </w:r>
            <w:r w:rsidR="00827CA9" w:rsidRPr="00827CA9">
              <w:rPr>
                <w:rFonts w:ascii="Arial" w:hAnsi="Arial" w:cs="Arial"/>
                <w:noProof/>
                <w:webHidden/>
                <w:sz w:val="22"/>
                <w:szCs w:val="22"/>
              </w:rPr>
              <w:fldChar w:fldCharType="end"/>
            </w:r>
          </w:hyperlink>
        </w:p>
        <w:p w14:paraId="0C566F0B" w14:textId="1673FB2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12" w:history="1">
            <w:r w:rsidR="00827CA9" w:rsidRPr="00827CA9">
              <w:rPr>
                <w:rStyle w:val="Hyperlink"/>
                <w:rFonts w:ascii="Arial" w:hAnsi="Arial" w:cs="Arial"/>
                <w:noProof/>
                <w:sz w:val="22"/>
                <w:szCs w:val="22"/>
              </w:rPr>
              <w:t>8.4.4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relationship between management level and the degree of importance of management competences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8-277</w:t>
            </w:r>
            <w:r w:rsidR="00827CA9" w:rsidRPr="00827CA9">
              <w:rPr>
                <w:rFonts w:ascii="Arial" w:hAnsi="Arial" w:cs="Arial"/>
                <w:noProof/>
                <w:webHidden/>
                <w:sz w:val="22"/>
                <w:szCs w:val="22"/>
              </w:rPr>
              <w:fldChar w:fldCharType="end"/>
            </w:r>
          </w:hyperlink>
        </w:p>
        <w:p w14:paraId="6AEEA1D4" w14:textId="11A97E3B"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13" w:history="1">
            <w:r w:rsidR="00827CA9" w:rsidRPr="00827CA9">
              <w:rPr>
                <w:rStyle w:val="Hyperlink"/>
                <w:rFonts w:ascii="Arial" w:hAnsi="Arial" w:cs="Arial"/>
                <w:noProof/>
                <w:sz w:val="22"/>
                <w:szCs w:val="22"/>
              </w:rPr>
              <w:t>8.4.5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Manager’s competences for securing finance for real estate project development at the disaggregated level based on the semi-structured interview</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8-277</w:t>
            </w:r>
            <w:r w:rsidR="00827CA9" w:rsidRPr="00827CA9">
              <w:rPr>
                <w:rFonts w:ascii="Arial" w:hAnsi="Arial" w:cs="Arial"/>
                <w:noProof/>
                <w:webHidden/>
                <w:sz w:val="22"/>
                <w:szCs w:val="22"/>
              </w:rPr>
              <w:fldChar w:fldCharType="end"/>
            </w:r>
          </w:hyperlink>
        </w:p>
        <w:p w14:paraId="5FC341FE" w14:textId="754FF817"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14" w:history="1">
            <w:r w:rsidR="00827CA9" w:rsidRPr="00827CA9">
              <w:rPr>
                <w:rStyle w:val="Hyperlink"/>
                <w:rFonts w:ascii="Arial" w:eastAsia="Calibri" w:hAnsi="Arial" w:cs="Arial"/>
                <w:noProof/>
                <w:sz w:val="22"/>
                <w:szCs w:val="22"/>
                <w:lang w:val="en-US"/>
              </w:rPr>
              <w:t>8.4.6</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lang w:val="en-US"/>
              </w:rPr>
              <w:t>Comparison of competences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8-280</w:t>
            </w:r>
            <w:r w:rsidR="00827CA9" w:rsidRPr="00827CA9">
              <w:rPr>
                <w:rFonts w:ascii="Arial" w:hAnsi="Arial" w:cs="Arial"/>
                <w:noProof/>
                <w:webHidden/>
                <w:sz w:val="22"/>
                <w:szCs w:val="22"/>
              </w:rPr>
              <w:fldChar w:fldCharType="end"/>
            </w:r>
          </w:hyperlink>
        </w:p>
        <w:p w14:paraId="60C79067" w14:textId="6DCFA70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15" w:history="1">
            <w:r w:rsidR="00827CA9" w:rsidRPr="00827CA9">
              <w:rPr>
                <w:rStyle w:val="Hyperlink"/>
                <w:rFonts w:ascii="Arial" w:hAnsi="Arial" w:cs="Arial"/>
                <w:noProof/>
                <w:sz w:val="22"/>
                <w:szCs w:val="22"/>
              </w:rPr>
              <w:t>8.4.7</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on competences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8-281</w:t>
            </w:r>
            <w:r w:rsidR="00827CA9" w:rsidRPr="00827CA9">
              <w:rPr>
                <w:rFonts w:ascii="Arial" w:hAnsi="Arial" w:cs="Arial"/>
                <w:noProof/>
                <w:webHidden/>
                <w:sz w:val="22"/>
                <w:szCs w:val="22"/>
              </w:rPr>
              <w:fldChar w:fldCharType="end"/>
            </w:r>
          </w:hyperlink>
        </w:p>
        <w:p w14:paraId="62FBA52B" w14:textId="7FA19E31"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16" w:history="1">
            <w:r w:rsidR="00827CA9" w:rsidRPr="00827CA9">
              <w:rPr>
                <w:rStyle w:val="Hyperlink"/>
                <w:rFonts w:ascii="Arial" w:hAnsi="Arial" w:cs="Arial"/>
                <w:noProof/>
                <w:sz w:val="22"/>
                <w:szCs w:val="22"/>
              </w:rPr>
              <w:t>8.5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 of skills, knowledge and competences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8-282</w:t>
            </w:r>
            <w:r w:rsidR="00827CA9" w:rsidRPr="00827CA9">
              <w:rPr>
                <w:rFonts w:ascii="Arial" w:hAnsi="Arial" w:cs="Arial"/>
                <w:noProof/>
                <w:webHidden/>
                <w:sz w:val="22"/>
                <w:szCs w:val="22"/>
              </w:rPr>
              <w:fldChar w:fldCharType="end"/>
            </w:r>
          </w:hyperlink>
        </w:p>
        <w:p w14:paraId="6AFC5615" w14:textId="710AB339" w:rsidR="00827CA9" w:rsidRPr="00827CA9" w:rsidRDefault="00257087">
          <w:pPr>
            <w:pStyle w:val="TOC1"/>
            <w:tabs>
              <w:tab w:val="left" w:pos="440"/>
              <w:tab w:val="right" w:leader="dot" w:pos="9016"/>
            </w:tabs>
            <w:rPr>
              <w:rFonts w:ascii="Arial" w:eastAsiaTheme="minorEastAsia" w:hAnsi="Arial" w:cs="Arial"/>
              <w:b w:val="0"/>
              <w:bCs w:val="0"/>
              <w:caps w:val="0"/>
              <w:noProof/>
              <w:sz w:val="22"/>
              <w:szCs w:val="22"/>
              <w:lang w:eastAsia="en-GB"/>
            </w:rPr>
          </w:pPr>
          <w:hyperlink w:anchor="_Toc78983917" w:history="1">
            <w:r w:rsidR="00827CA9" w:rsidRPr="00827CA9">
              <w:rPr>
                <w:rStyle w:val="Hyperlink"/>
                <w:rFonts w:ascii="Arial" w:hAnsi="Arial" w:cs="Arial"/>
                <w:noProof/>
                <w:sz w:val="22"/>
                <w:szCs w:val="22"/>
              </w:rPr>
              <w:t>9</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Management career path, training, and education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9-286</w:t>
            </w:r>
            <w:r w:rsidR="00827CA9" w:rsidRPr="00827CA9">
              <w:rPr>
                <w:rFonts w:ascii="Arial" w:hAnsi="Arial" w:cs="Arial"/>
                <w:noProof/>
                <w:webHidden/>
                <w:sz w:val="22"/>
                <w:szCs w:val="22"/>
              </w:rPr>
              <w:fldChar w:fldCharType="end"/>
            </w:r>
          </w:hyperlink>
        </w:p>
        <w:p w14:paraId="6D7F604F" w14:textId="136E3B54"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18" w:history="1">
            <w:r w:rsidR="00827CA9" w:rsidRPr="00827CA9">
              <w:rPr>
                <w:rStyle w:val="Hyperlink"/>
                <w:rFonts w:ascii="Arial" w:hAnsi="Arial" w:cs="Arial"/>
                <w:noProof/>
                <w:sz w:val="22"/>
                <w:szCs w:val="22"/>
              </w:rPr>
              <w:t>9.1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9-286</w:t>
            </w:r>
            <w:r w:rsidR="00827CA9" w:rsidRPr="00827CA9">
              <w:rPr>
                <w:rFonts w:ascii="Arial" w:hAnsi="Arial" w:cs="Arial"/>
                <w:noProof/>
                <w:webHidden/>
                <w:sz w:val="22"/>
                <w:szCs w:val="22"/>
              </w:rPr>
              <w:fldChar w:fldCharType="end"/>
            </w:r>
          </w:hyperlink>
        </w:p>
        <w:p w14:paraId="4A9E9A21" w14:textId="1BD2122A"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19" w:history="1">
            <w:r w:rsidR="00827CA9" w:rsidRPr="00827CA9">
              <w:rPr>
                <w:rStyle w:val="Hyperlink"/>
                <w:rFonts w:ascii="Arial" w:hAnsi="Arial" w:cs="Arial"/>
                <w:noProof/>
                <w:sz w:val="22"/>
                <w:szCs w:val="22"/>
              </w:rPr>
              <w:t>9.2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Management career path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_Toc78983919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9-286</w:t>
            </w:r>
            <w:r w:rsidR="00827CA9" w:rsidRPr="00827CA9">
              <w:rPr>
                <w:rFonts w:ascii="Arial" w:hAnsi="Arial" w:cs="Arial"/>
                <w:noProof/>
                <w:webHidden/>
                <w:sz w:val="22"/>
                <w:szCs w:val="22"/>
              </w:rPr>
              <w:fldChar w:fldCharType="end"/>
            </w:r>
          </w:hyperlink>
        </w:p>
        <w:p w14:paraId="418BBF53" w14:textId="0C4AB11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0" w:history="1">
            <w:r w:rsidR="00827CA9" w:rsidRPr="00827CA9">
              <w:rPr>
                <w:rStyle w:val="Hyperlink"/>
                <w:rFonts w:ascii="Arial" w:hAnsi="Arial" w:cs="Arial"/>
                <w:noProof/>
                <w:sz w:val="22"/>
                <w:szCs w:val="22"/>
              </w:rPr>
              <w:t>9.2.1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 career path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9-286</w:t>
            </w:r>
            <w:r w:rsidR="00827CA9" w:rsidRPr="00827CA9">
              <w:rPr>
                <w:rFonts w:ascii="Arial" w:hAnsi="Arial" w:cs="Arial"/>
                <w:noProof/>
                <w:webHidden/>
                <w:sz w:val="22"/>
                <w:szCs w:val="22"/>
              </w:rPr>
              <w:fldChar w:fldCharType="end"/>
            </w:r>
          </w:hyperlink>
        </w:p>
        <w:p w14:paraId="2937BD1A" w14:textId="416573C9"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1" w:history="1">
            <w:r w:rsidR="00827CA9" w:rsidRPr="00827CA9">
              <w:rPr>
                <w:rStyle w:val="Hyperlink"/>
                <w:rFonts w:ascii="Arial" w:hAnsi="Arial" w:cs="Arial"/>
                <w:noProof/>
                <w:sz w:val="22"/>
                <w:szCs w:val="22"/>
              </w:rPr>
              <w:t>9.2.2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Career path for securing finance for real estate project development for both the developed and emerging economies at the disaggregate level.</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9-289</w:t>
            </w:r>
            <w:r w:rsidR="00827CA9" w:rsidRPr="00827CA9">
              <w:rPr>
                <w:rFonts w:ascii="Arial" w:hAnsi="Arial" w:cs="Arial"/>
                <w:noProof/>
                <w:webHidden/>
                <w:sz w:val="22"/>
                <w:szCs w:val="22"/>
              </w:rPr>
              <w:fldChar w:fldCharType="end"/>
            </w:r>
          </w:hyperlink>
        </w:p>
        <w:p w14:paraId="5A5E6224" w14:textId="32485CD6"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2" w:history="1">
            <w:r w:rsidR="00827CA9" w:rsidRPr="00827CA9">
              <w:rPr>
                <w:rStyle w:val="Hyperlink"/>
                <w:rFonts w:ascii="Arial" w:eastAsia="Calibri" w:hAnsi="Arial" w:cs="Arial"/>
                <w:noProof/>
                <w:sz w:val="22"/>
                <w:szCs w:val="22"/>
              </w:rPr>
              <w:t>9.2.3</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A comparison of the management’s career path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9-293</w:t>
            </w:r>
            <w:r w:rsidR="00827CA9" w:rsidRPr="00827CA9">
              <w:rPr>
                <w:rFonts w:ascii="Arial" w:hAnsi="Arial" w:cs="Arial"/>
                <w:noProof/>
                <w:webHidden/>
                <w:sz w:val="22"/>
                <w:szCs w:val="22"/>
              </w:rPr>
              <w:fldChar w:fldCharType="end"/>
            </w:r>
          </w:hyperlink>
        </w:p>
        <w:p w14:paraId="71E7D4CB" w14:textId="122A6B9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3" w:history="1">
            <w:r w:rsidR="00827CA9" w:rsidRPr="00827CA9">
              <w:rPr>
                <w:rStyle w:val="Hyperlink"/>
                <w:rFonts w:ascii="Arial" w:hAnsi="Arial" w:cs="Arial"/>
                <w:noProof/>
                <w:sz w:val="22"/>
                <w:szCs w:val="22"/>
              </w:rPr>
              <w:t>9.2.4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the findings on the career path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9-294</w:t>
            </w:r>
            <w:r w:rsidR="00827CA9" w:rsidRPr="00827CA9">
              <w:rPr>
                <w:rFonts w:ascii="Arial" w:hAnsi="Arial" w:cs="Arial"/>
                <w:noProof/>
                <w:webHidden/>
                <w:sz w:val="22"/>
                <w:szCs w:val="22"/>
              </w:rPr>
              <w:fldChar w:fldCharType="end"/>
            </w:r>
          </w:hyperlink>
        </w:p>
        <w:p w14:paraId="65DB6827" w14:textId="0A4A36ED"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4" w:history="1">
            <w:r w:rsidR="00827CA9" w:rsidRPr="00827CA9">
              <w:rPr>
                <w:rStyle w:val="Hyperlink"/>
                <w:rFonts w:ascii="Arial" w:hAnsi="Arial" w:cs="Arial"/>
                <w:noProof/>
                <w:sz w:val="22"/>
                <w:szCs w:val="22"/>
              </w:rPr>
              <w:t>9.2.5</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development of a conceptual framework for career path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9-294</w:t>
            </w:r>
            <w:r w:rsidR="00827CA9" w:rsidRPr="00827CA9">
              <w:rPr>
                <w:rFonts w:ascii="Arial" w:hAnsi="Arial" w:cs="Arial"/>
                <w:noProof/>
                <w:webHidden/>
                <w:sz w:val="22"/>
                <w:szCs w:val="22"/>
              </w:rPr>
              <w:fldChar w:fldCharType="end"/>
            </w:r>
          </w:hyperlink>
        </w:p>
        <w:p w14:paraId="2D379C7A" w14:textId="0CCB8F8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25" w:history="1">
            <w:r w:rsidR="00827CA9" w:rsidRPr="00827CA9">
              <w:rPr>
                <w:rStyle w:val="Hyperlink"/>
                <w:rFonts w:ascii="Arial" w:hAnsi="Arial" w:cs="Arial"/>
                <w:noProof/>
                <w:sz w:val="22"/>
                <w:szCs w:val="22"/>
              </w:rPr>
              <w:t>9.3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Manager’s education and training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9-298</w:t>
            </w:r>
            <w:r w:rsidR="00827CA9" w:rsidRPr="00827CA9">
              <w:rPr>
                <w:rFonts w:ascii="Arial" w:hAnsi="Arial" w:cs="Arial"/>
                <w:noProof/>
                <w:webHidden/>
                <w:sz w:val="22"/>
                <w:szCs w:val="22"/>
              </w:rPr>
              <w:fldChar w:fldCharType="end"/>
            </w:r>
          </w:hyperlink>
        </w:p>
        <w:p w14:paraId="497AB4E9" w14:textId="3D75B9F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6" w:history="1">
            <w:r w:rsidR="00827CA9" w:rsidRPr="00827CA9">
              <w:rPr>
                <w:rStyle w:val="Hyperlink"/>
                <w:rFonts w:ascii="Arial" w:hAnsi="Arial" w:cs="Arial"/>
                <w:noProof/>
                <w:sz w:val="22"/>
                <w:szCs w:val="22"/>
              </w:rPr>
              <w:t>9.3.1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Management’s qualifications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9-298</w:t>
            </w:r>
            <w:r w:rsidR="00827CA9" w:rsidRPr="00827CA9">
              <w:rPr>
                <w:rFonts w:ascii="Arial" w:hAnsi="Arial" w:cs="Arial"/>
                <w:noProof/>
                <w:webHidden/>
                <w:sz w:val="22"/>
                <w:szCs w:val="22"/>
              </w:rPr>
              <w:fldChar w:fldCharType="end"/>
            </w:r>
          </w:hyperlink>
        </w:p>
        <w:p w14:paraId="037B1827" w14:textId="1198A97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7" w:history="1">
            <w:r w:rsidR="00827CA9" w:rsidRPr="00827CA9">
              <w:rPr>
                <w:rStyle w:val="Hyperlink"/>
                <w:rFonts w:ascii="Arial" w:hAnsi="Arial" w:cs="Arial"/>
                <w:noProof/>
                <w:sz w:val="22"/>
                <w:szCs w:val="22"/>
              </w:rPr>
              <w:t>9.3.2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Management’s approaches for training and education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9-299</w:t>
            </w:r>
            <w:r w:rsidR="00827CA9" w:rsidRPr="00827CA9">
              <w:rPr>
                <w:rFonts w:ascii="Arial" w:hAnsi="Arial" w:cs="Arial"/>
                <w:noProof/>
                <w:webHidden/>
                <w:sz w:val="22"/>
                <w:szCs w:val="22"/>
              </w:rPr>
              <w:fldChar w:fldCharType="end"/>
            </w:r>
          </w:hyperlink>
        </w:p>
        <w:p w14:paraId="245A4AEA" w14:textId="19259482"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8" w:history="1">
            <w:r w:rsidR="00827CA9" w:rsidRPr="00827CA9">
              <w:rPr>
                <w:rStyle w:val="Hyperlink"/>
                <w:rFonts w:ascii="Arial" w:hAnsi="Arial" w:cs="Arial"/>
                <w:noProof/>
                <w:sz w:val="22"/>
                <w:szCs w:val="22"/>
              </w:rPr>
              <w:t>9.3.3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relationship between management level and the degree of use  of  management education &amp; training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9-310</w:t>
            </w:r>
            <w:r w:rsidR="00827CA9" w:rsidRPr="00827CA9">
              <w:rPr>
                <w:rFonts w:ascii="Arial" w:hAnsi="Arial" w:cs="Arial"/>
                <w:noProof/>
                <w:webHidden/>
                <w:sz w:val="22"/>
                <w:szCs w:val="22"/>
              </w:rPr>
              <w:fldChar w:fldCharType="end"/>
            </w:r>
          </w:hyperlink>
        </w:p>
        <w:p w14:paraId="36F8B612" w14:textId="0ADCE123"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29" w:history="1">
            <w:r w:rsidR="00827CA9" w:rsidRPr="00827CA9">
              <w:rPr>
                <w:rStyle w:val="Hyperlink"/>
                <w:rFonts w:ascii="Arial" w:hAnsi="Arial" w:cs="Arial"/>
                <w:noProof/>
                <w:sz w:val="22"/>
                <w:szCs w:val="22"/>
              </w:rPr>
              <w:t>9.3.4</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Management’s training and education for securing finance for real estate project development: discussion and analysis of semi-structured interviews.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_Toc78983929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9-310</w:t>
            </w:r>
            <w:r w:rsidR="00827CA9" w:rsidRPr="00827CA9">
              <w:rPr>
                <w:rFonts w:ascii="Arial" w:hAnsi="Arial" w:cs="Arial"/>
                <w:noProof/>
                <w:webHidden/>
                <w:sz w:val="22"/>
                <w:szCs w:val="22"/>
              </w:rPr>
              <w:fldChar w:fldCharType="end"/>
            </w:r>
          </w:hyperlink>
        </w:p>
        <w:p w14:paraId="7E6D99D1" w14:textId="7A5E79CA"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30" w:history="1">
            <w:r w:rsidR="00827CA9" w:rsidRPr="00827CA9">
              <w:rPr>
                <w:rStyle w:val="Hyperlink"/>
                <w:rFonts w:ascii="Arial" w:eastAsia="Calibri" w:hAnsi="Arial" w:cs="Arial"/>
                <w:noProof/>
                <w:sz w:val="22"/>
                <w:szCs w:val="22"/>
              </w:rPr>
              <w:t>9.3.5</w:t>
            </w:r>
            <w:r w:rsidR="00827CA9" w:rsidRPr="00827CA9">
              <w:rPr>
                <w:rFonts w:ascii="Arial" w:eastAsiaTheme="minorEastAsia" w:hAnsi="Arial" w:cs="Arial"/>
                <w:noProof/>
                <w:sz w:val="22"/>
                <w:szCs w:val="22"/>
                <w:lang w:eastAsia="en-GB"/>
              </w:rPr>
              <w:tab/>
            </w:r>
            <w:r w:rsidR="00827CA9" w:rsidRPr="00827CA9">
              <w:rPr>
                <w:rStyle w:val="Hyperlink"/>
                <w:rFonts w:ascii="Arial" w:eastAsia="Calibri" w:hAnsi="Arial" w:cs="Arial"/>
                <w:noProof/>
                <w:sz w:val="22"/>
                <w:szCs w:val="22"/>
              </w:rPr>
              <w:t>Comparison of education and training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9-313</w:t>
            </w:r>
            <w:r w:rsidR="00827CA9" w:rsidRPr="00827CA9">
              <w:rPr>
                <w:rFonts w:ascii="Arial" w:hAnsi="Arial" w:cs="Arial"/>
                <w:noProof/>
                <w:webHidden/>
                <w:sz w:val="22"/>
                <w:szCs w:val="22"/>
              </w:rPr>
              <w:fldChar w:fldCharType="end"/>
            </w:r>
          </w:hyperlink>
        </w:p>
        <w:p w14:paraId="4DB2D97E" w14:textId="151FB782"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31" w:history="1">
            <w:r w:rsidR="00827CA9" w:rsidRPr="00827CA9">
              <w:rPr>
                <w:rStyle w:val="Hyperlink"/>
                <w:rFonts w:ascii="Arial" w:hAnsi="Arial" w:cs="Arial"/>
                <w:noProof/>
                <w:sz w:val="22"/>
                <w:szCs w:val="22"/>
              </w:rPr>
              <w:t>9.3.6</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The implication of findings on education and training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9-315</w:t>
            </w:r>
            <w:r w:rsidR="00827CA9" w:rsidRPr="00827CA9">
              <w:rPr>
                <w:rFonts w:ascii="Arial" w:hAnsi="Arial" w:cs="Arial"/>
                <w:noProof/>
                <w:webHidden/>
                <w:sz w:val="22"/>
                <w:szCs w:val="22"/>
              </w:rPr>
              <w:fldChar w:fldCharType="end"/>
            </w:r>
          </w:hyperlink>
        </w:p>
        <w:p w14:paraId="614E8645" w14:textId="25C3FE4F" w:rsidR="00827CA9" w:rsidRPr="00827CA9" w:rsidRDefault="00257087">
          <w:pPr>
            <w:pStyle w:val="TOC3"/>
            <w:tabs>
              <w:tab w:val="left" w:pos="880"/>
              <w:tab w:val="right" w:leader="dot" w:pos="9016"/>
            </w:tabs>
            <w:rPr>
              <w:rFonts w:ascii="Arial" w:eastAsiaTheme="minorEastAsia" w:hAnsi="Arial" w:cs="Arial"/>
              <w:noProof/>
              <w:sz w:val="22"/>
              <w:szCs w:val="22"/>
              <w:lang w:eastAsia="en-GB"/>
            </w:rPr>
          </w:pPr>
          <w:hyperlink w:anchor="_Toc78983932" w:history="1">
            <w:r w:rsidR="00827CA9" w:rsidRPr="00827CA9">
              <w:rPr>
                <w:rStyle w:val="Hyperlink"/>
                <w:rFonts w:ascii="Arial" w:hAnsi="Arial" w:cs="Arial"/>
                <w:noProof/>
                <w:sz w:val="22"/>
                <w:szCs w:val="22"/>
              </w:rPr>
              <w:t>9.3.7</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Development of a conceptual framework for training and education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9-315</w:t>
            </w:r>
            <w:r w:rsidR="00827CA9" w:rsidRPr="00827CA9">
              <w:rPr>
                <w:rFonts w:ascii="Arial" w:hAnsi="Arial" w:cs="Arial"/>
                <w:noProof/>
                <w:webHidden/>
                <w:sz w:val="22"/>
                <w:szCs w:val="22"/>
              </w:rPr>
              <w:fldChar w:fldCharType="end"/>
            </w:r>
          </w:hyperlink>
        </w:p>
        <w:p w14:paraId="1C81FA8E" w14:textId="5323403C"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33" w:history="1">
            <w:r w:rsidR="00827CA9" w:rsidRPr="00827CA9">
              <w:rPr>
                <w:rStyle w:val="Hyperlink"/>
                <w:rFonts w:ascii="Arial" w:hAnsi="Arial" w:cs="Arial"/>
                <w:noProof/>
                <w:sz w:val="22"/>
                <w:szCs w:val="22"/>
              </w:rPr>
              <w:t>9.4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 of management career path, education and training for securing finance for real estate project development in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9-317</w:t>
            </w:r>
            <w:r w:rsidR="00827CA9" w:rsidRPr="00827CA9">
              <w:rPr>
                <w:rFonts w:ascii="Arial" w:hAnsi="Arial" w:cs="Arial"/>
                <w:noProof/>
                <w:webHidden/>
                <w:sz w:val="22"/>
                <w:szCs w:val="22"/>
              </w:rPr>
              <w:fldChar w:fldCharType="end"/>
            </w:r>
          </w:hyperlink>
        </w:p>
        <w:p w14:paraId="4175EC3B" w14:textId="0E8260A2" w:rsidR="00827CA9" w:rsidRPr="00827CA9" w:rsidRDefault="00257087">
          <w:pPr>
            <w:pStyle w:val="TOC1"/>
            <w:tabs>
              <w:tab w:val="left" w:pos="660"/>
              <w:tab w:val="right" w:leader="dot" w:pos="9016"/>
            </w:tabs>
            <w:rPr>
              <w:rFonts w:ascii="Arial" w:eastAsiaTheme="minorEastAsia" w:hAnsi="Arial" w:cs="Arial"/>
              <w:b w:val="0"/>
              <w:bCs w:val="0"/>
              <w:caps w:val="0"/>
              <w:noProof/>
              <w:sz w:val="22"/>
              <w:szCs w:val="22"/>
              <w:lang w:eastAsia="en-GB"/>
            </w:rPr>
          </w:pPr>
          <w:hyperlink w:anchor="_Toc78983934" w:history="1">
            <w:r w:rsidR="00827CA9" w:rsidRPr="00827CA9">
              <w:rPr>
                <w:rStyle w:val="Hyperlink"/>
                <w:rFonts w:ascii="Arial" w:hAnsi="Arial" w:cs="Arial"/>
                <w:noProof/>
                <w:sz w:val="22"/>
                <w:szCs w:val="22"/>
              </w:rPr>
              <w:t>10</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Development of a toolkit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10-321</w:t>
            </w:r>
            <w:r w:rsidR="00827CA9" w:rsidRPr="00827CA9">
              <w:rPr>
                <w:rFonts w:ascii="Arial" w:hAnsi="Arial" w:cs="Arial"/>
                <w:noProof/>
                <w:webHidden/>
                <w:sz w:val="22"/>
                <w:szCs w:val="22"/>
              </w:rPr>
              <w:fldChar w:fldCharType="end"/>
            </w:r>
          </w:hyperlink>
        </w:p>
        <w:p w14:paraId="63F47AAF" w14:textId="14E2D2AE"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35" w:history="1">
            <w:r w:rsidR="00827CA9" w:rsidRPr="00827CA9">
              <w:rPr>
                <w:rStyle w:val="Hyperlink"/>
                <w:rFonts w:ascii="Arial" w:hAnsi="Arial" w:cs="Arial"/>
                <w:noProof/>
                <w:sz w:val="22"/>
                <w:szCs w:val="22"/>
              </w:rPr>
              <w:t>10.1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10-321</w:t>
            </w:r>
            <w:r w:rsidR="00827CA9" w:rsidRPr="00827CA9">
              <w:rPr>
                <w:rFonts w:ascii="Arial" w:hAnsi="Arial" w:cs="Arial"/>
                <w:noProof/>
                <w:webHidden/>
                <w:sz w:val="22"/>
                <w:szCs w:val="22"/>
              </w:rPr>
              <w:fldChar w:fldCharType="end"/>
            </w:r>
          </w:hyperlink>
        </w:p>
        <w:p w14:paraId="351370F4" w14:textId="3B41C65D"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36" w:history="1">
            <w:r w:rsidR="00827CA9" w:rsidRPr="00827CA9">
              <w:rPr>
                <w:rStyle w:val="Hyperlink"/>
                <w:rFonts w:ascii="Arial" w:hAnsi="Arial" w:cs="Arial"/>
                <w:noProof/>
                <w:sz w:val="22"/>
                <w:szCs w:val="22"/>
              </w:rPr>
              <w:t>10.2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Development of the toolkit for securing finance for real estate project development/ key components of the toolkit for securing finance for real estate project development.</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10-321</w:t>
            </w:r>
            <w:r w:rsidR="00827CA9" w:rsidRPr="00827CA9">
              <w:rPr>
                <w:rFonts w:ascii="Arial" w:hAnsi="Arial" w:cs="Arial"/>
                <w:noProof/>
                <w:webHidden/>
                <w:sz w:val="22"/>
                <w:szCs w:val="22"/>
              </w:rPr>
              <w:fldChar w:fldCharType="end"/>
            </w:r>
          </w:hyperlink>
        </w:p>
        <w:p w14:paraId="45E11143" w14:textId="6F53A09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37" w:history="1">
            <w:r w:rsidR="00827CA9" w:rsidRPr="00827CA9">
              <w:rPr>
                <w:rStyle w:val="Hyperlink"/>
                <w:rFonts w:ascii="Arial" w:hAnsi="Arial" w:cs="Arial"/>
                <w:noProof/>
                <w:sz w:val="22"/>
                <w:szCs w:val="22"/>
              </w:rPr>
              <w:t>10.3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Recommendations on the usage of the toolkit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10-348</w:t>
            </w:r>
            <w:r w:rsidR="00827CA9" w:rsidRPr="00827CA9">
              <w:rPr>
                <w:rFonts w:ascii="Arial" w:hAnsi="Arial" w:cs="Arial"/>
                <w:noProof/>
                <w:webHidden/>
                <w:sz w:val="22"/>
                <w:szCs w:val="22"/>
              </w:rPr>
              <w:fldChar w:fldCharType="end"/>
            </w:r>
          </w:hyperlink>
        </w:p>
        <w:p w14:paraId="66602243" w14:textId="57DC825A"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38" w:history="1">
            <w:r w:rsidR="00827CA9" w:rsidRPr="00827CA9">
              <w:rPr>
                <w:rStyle w:val="Hyperlink"/>
                <w:rFonts w:ascii="Arial" w:hAnsi="Arial" w:cs="Arial"/>
                <w:noProof/>
                <w:sz w:val="22"/>
                <w:szCs w:val="22"/>
              </w:rPr>
              <w:t>10.4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The weakness of the toolkit for securing finance for real estate project development in the developed and emerging economies.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10-349</w:t>
            </w:r>
            <w:r w:rsidR="00827CA9" w:rsidRPr="00827CA9">
              <w:rPr>
                <w:rFonts w:ascii="Arial" w:hAnsi="Arial" w:cs="Arial"/>
                <w:noProof/>
                <w:webHidden/>
                <w:sz w:val="22"/>
                <w:szCs w:val="22"/>
              </w:rPr>
              <w:fldChar w:fldCharType="end"/>
            </w:r>
          </w:hyperlink>
        </w:p>
        <w:p w14:paraId="110F45E6" w14:textId="2E5ED03F"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39" w:history="1">
            <w:r w:rsidR="00827CA9" w:rsidRPr="00827CA9">
              <w:rPr>
                <w:rStyle w:val="Hyperlink"/>
                <w:rFonts w:ascii="Arial" w:hAnsi="Arial" w:cs="Arial"/>
                <w:noProof/>
                <w:sz w:val="22"/>
                <w:szCs w:val="22"/>
              </w:rPr>
              <w:t>10.5</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Summary</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_Toc78983939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10-349</w:t>
            </w:r>
            <w:r w:rsidR="00827CA9" w:rsidRPr="00827CA9">
              <w:rPr>
                <w:rFonts w:ascii="Arial" w:hAnsi="Arial" w:cs="Arial"/>
                <w:noProof/>
                <w:webHidden/>
                <w:sz w:val="22"/>
                <w:szCs w:val="22"/>
              </w:rPr>
              <w:fldChar w:fldCharType="end"/>
            </w:r>
          </w:hyperlink>
        </w:p>
        <w:p w14:paraId="11F94F11" w14:textId="3B69DE32" w:rsidR="00827CA9" w:rsidRPr="00827CA9" w:rsidRDefault="00257087">
          <w:pPr>
            <w:pStyle w:val="TOC1"/>
            <w:tabs>
              <w:tab w:val="left" w:pos="660"/>
              <w:tab w:val="right" w:leader="dot" w:pos="9016"/>
            </w:tabs>
            <w:rPr>
              <w:rFonts w:ascii="Arial" w:eastAsiaTheme="minorEastAsia" w:hAnsi="Arial" w:cs="Arial"/>
              <w:b w:val="0"/>
              <w:bCs w:val="0"/>
              <w:caps w:val="0"/>
              <w:noProof/>
              <w:sz w:val="22"/>
              <w:szCs w:val="22"/>
              <w:lang w:eastAsia="en-GB"/>
            </w:rPr>
          </w:pPr>
          <w:hyperlink w:anchor="_Toc78983940" w:history="1">
            <w:r w:rsidR="00827CA9" w:rsidRPr="00827CA9">
              <w:rPr>
                <w:rStyle w:val="Hyperlink"/>
                <w:rFonts w:ascii="Arial" w:hAnsi="Arial" w:cs="Arial"/>
                <w:noProof/>
                <w:sz w:val="22"/>
                <w:szCs w:val="22"/>
              </w:rPr>
              <w:t>11</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Conclusions and recommendation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_Toc78983940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11-350</w:t>
            </w:r>
            <w:r w:rsidR="00827CA9" w:rsidRPr="00827CA9">
              <w:rPr>
                <w:rFonts w:ascii="Arial" w:hAnsi="Arial" w:cs="Arial"/>
                <w:noProof/>
                <w:webHidden/>
                <w:sz w:val="22"/>
                <w:szCs w:val="22"/>
              </w:rPr>
              <w:fldChar w:fldCharType="end"/>
            </w:r>
          </w:hyperlink>
        </w:p>
        <w:p w14:paraId="245AEFBB" w14:textId="63F77D37"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41" w:history="1">
            <w:r w:rsidR="00827CA9" w:rsidRPr="00827CA9">
              <w:rPr>
                <w:rStyle w:val="Hyperlink"/>
                <w:rFonts w:ascii="Arial" w:hAnsi="Arial" w:cs="Arial"/>
                <w:noProof/>
                <w:sz w:val="22"/>
                <w:szCs w:val="22"/>
              </w:rPr>
              <w:t>11.1</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Introduction</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_Toc78983941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11-350</w:t>
            </w:r>
            <w:r w:rsidR="00827CA9" w:rsidRPr="00827CA9">
              <w:rPr>
                <w:rFonts w:ascii="Arial" w:hAnsi="Arial" w:cs="Arial"/>
                <w:noProof/>
                <w:webHidden/>
                <w:sz w:val="22"/>
                <w:szCs w:val="22"/>
              </w:rPr>
              <w:fldChar w:fldCharType="end"/>
            </w:r>
          </w:hyperlink>
        </w:p>
        <w:p w14:paraId="4FABA762" w14:textId="4377A831"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42" w:history="1">
            <w:r w:rsidR="00827CA9" w:rsidRPr="00827CA9">
              <w:rPr>
                <w:rStyle w:val="Hyperlink"/>
                <w:rFonts w:ascii="Arial" w:hAnsi="Arial" w:cs="Arial"/>
                <w:noProof/>
                <w:sz w:val="22"/>
                <w:szCs w:val="22"/>
              </w:rPr>
              <w:t>11.2</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Conclusions on Research Objectives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_Toc78983942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11-350</w:t>
            </w:r>
            <w:r w:rsidR="00827CA9" w:rsidRPr="00827CA9">
              <w:rPr>
                <w:rFonts w:ascii="Arial" w:hAnsi="Arial" w:cs="Arial"/>
                <w:noProof/>
                <w:webHidden/>
                <w:sz w:val="22"/>
                <w:szCs w:val="22"/>
              </w:rPr>
              <w:fldChar w:fldCharType="end"/>
            </w:r>
          </w:hyperlink>
        </w:p>
        <w:p w14:paraId="07413B43" w14:textId="66D160D3"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43" w:history="1">
            <w:r w:rsidR="00827CA9" w:rsidRPr="00827CA9">
              <w:rPr>
                <w:rStyle w:val="Hyperlink"/>
                <w:rFonts w:ascii="Arial" w:hAnsi="Arial" w:cs="Arial"/>
                <w:noProof/>
                <w:sz w:val="22"/>
                <w:szCs w:val="22"/>
              </w:rPr>
              <w:t>11.3</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Contribution of the research</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_Toc78983943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11-361</w:t>
            </w:r>
            <w:r w:rsidR="00827CA9" w:rsidRPr="00827CA9">
              <w:rPr>
                <w:rFonts w:ascii="Arial" w:hAnsi="Arial" w:cs="Arial"/>
                <w:noProof/>
                <w:webHidden/>
                <w:sz w:val="22"/>
                <w:szCs w:val="22"/>
              </w:rPr>
              <w:fldChar w:fldCharType="end"/>
            </w:r>
          </w:hyperlink>
        </w:p>
        <w:p w14:paraId="6C8B38F4" w14:textId="7A2589D5" w:rsidR="00827CA9" w:rsidRPr="00827CA9" w:rsidRDefault="00257087">
          <w:pPr>
            <w:pStyle w:val="TOC2"/>
            <w:tabs>
              <w:tab w:val="left" w:pos="660"/>
              <w:tab w:val="right" w:leader="dot" w:pos="9016"/>
            </w:tabs>
            <w:rPr>
              <w:rFonts w:ascii="Arial" w:eastAsiaTheme="minorEastAsia" w:hAnsi="Arial" w:cs="Arial"/>
              <w:b w:val="0"/>
              <w:bCs w:val="0"/>
              <w:noProof/>
              <w:sz w:val="22"/>
              <w:szCs w:val="22"/>
              <w:lang w:eastAsia="en-GB"/>
            </w:rPr>
          </w:pPr>
          <w:hyperlink w:anchor="_Toc78983944" w:history="1">
            <w:r w:rsidR="00827CA9" w:rsidRPr="00827CA9">
              <w:rPr>
                <w:rStyle w:val="Hyperlink"/>
                <w:rFonts w:ascii="Arial" w:hAnsi="Arial" w:cs="Arial"/>
                <w:noProof/>
                <w:sz w:val="22"/>
                <w:szCs w:val="22"/>
              </w:rPr>
              <w:t>11.4</w:t>
            </w:r>
            <w:r w:rsidR="00827CA9" w:rsidRPr="00827CA9">
              <w:rPr>
                <w:rFonts w:ascii="Arial" w:eastAsiaTheme="minorEastAsia" w:hAnsi="Arial" w:cs="Arial"/>
                <w:b w:val="0"/>
                <w:bCs w:val="0"/>
                <w:noProof/>
                <w:sz w:val="22"/>
                <w:szCs w:val="22"/>
                <w:lang w:eastAsia="en-GB"/>
              </w:rPr>
              <w:tab/>
            </w:r>
            <w:r w:rsidR="00827CA9" w:rsidRPr="00827CA9">
              <w:rPr>
                <w:rStyle w:val="Hyperlink"/>
                <w:rFonts w:ascii="Arial" w:hAnsi="Arial" w:cs="Arial"/>
                <w:noProof/>
                <w:sz w:val="22"/>
                <w:szCs w:val="22"/>
              </w:rPr>
              <w:t>Recommendation for future works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_Toc78983944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11-362</w:t>
            </w:r>
            <w:r w:rsidR="00827CA9" w:rsidRPr="00827CA9">
              <w:rPr>
                <w:rFonts w:ascii="Arial" w:hAnsi="Arial" w:cs="Arial"/>
                <w:noProof/>
                <w:webHidden/>
                <w:sz w:val="22"/>
                <w:szCs w:val="22"/>
              </w:rPr>
              <w:fldChar w:fldCharType="end"/>
            </w:r>
          </w:hyperlink>
        </w:p>
        <w:p w14:paraId="3414CAA6" w14:textId="3C2EC344" w:rsidR="00827CA9" w:rsidRPr="00827CA9" w:rsidRDefault="00257087">
          <w:pPr>
            <w:pStyle w:val="TOC3"/>
            <w:tabs>
              <w:tab w:val="left" w:pos="1100"/>
              <w:tab w:val="right" w:leader="dot" w:pos="9016"/>
            </w:tabs>
            <w:rPr>
              <w:rFonts w:ascii="Arial" w:eastAsiaTheme="minorEastAsia" w:hAnsi="Arial" w:cs="Arial"/>
              <w:noProof/>
              <w:sz w:val="22"/>
              <w:szCs w:val="22"/>
              <w:lang w:eastAsia="en-GB"/>
            </w:rPr>
          </w:pPr>
          <w:hyperlink w:anchor="_Toc78983945" w:history="1">
            <w:r w:rsidR="00827CA9" w:rsidRPr="00827CA9">
              <w:rPr>
                <w:rStyle w:val="Hyperlink"/>
                <w:rFonts w:ascii="Arial" w:hAnsi="Arial" w:cs="Arial"/>
                <w:noProof/>
                <w:sz w:val="22"/>
                <w:szCs w:val="22"/>
              </w:rPr>
              <w:t>11.4.1</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Recommendations for practitioners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_Toc78983945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11-362</w:t>
            </w:r>
            <w:r w:rsidR="00827CA9" w:rsidRPr="00827CA9">
              <w:rPr>
                <w:rFonts w:ascii="Arial" w:hAnsi="Arial" w:cs="Arial"/>
                <w:noProof/>
                <w:webHidden/>
                <w:sz w:val="22"/>
                <w:szCs w:val="22"/>
              </w:rPr>
              <w:fldChar w:fldCharType="end"/>
            </w:r>
          </w:hyperlink>
        </w:p>
        <w:p w14:paraId="1CAF0C43" w14:textId="53F15973" w:rsidR="00827CA9" w:rsidRPr="00827CA9" w:rsidRDefault="00257087">
          <w:pPr>
            <w:pStyle w:val="TOC3"/>
            <w:tabs>
              <w:tab w:val="left" w:pos="1100"/>
              <w:tab w:val="right" w:leader="dot" w:pos="9016"/>
            </w:tabs>
            <w:rPr>
              <w:rFonts w:ascii="Arial" w:eastAsiaTheme="minorEastAsia" w:hAnsi="Arial" w:cs="Arial"/>
              <w:noProof/>
              <w:sz w:val="22"/>
              <w:szCs w:val="22"/>
              <w:lang w:eastAsia="en-GB"/>
            </w:rPr>
          </w:pPr>
          <w:hyperlink w:anchor="_Toc78983946" w:history="1">
            <w:r w:rsidR="00827CA9" w:rsidRPr="00827CA9">
              <w:rPr>
                <w:rStyle w:val="Hyperlink"/>
                <w:rFonts w:ascii="Arial" w:hAnsi="Arial" w:cs="Arial"/>
                <w:noProof/>
                <w:sz w:val="22"/>
                <w:szCs w:val="22"/>
              </w:rPr>
              <w:t>11.4.2</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Recommendation for policymakers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_Toc78983946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11-363</w:t>
            </w:r>
            <w:r w:rsidR="00827CA9" w:rsidRPr="00827CA9">
              <w:rPr>
                <w:rFonts w:ascii="Arial" w:hAnsi="Arial" w:cs="Arial"/>
                <w:noProof/>
                <w:webHidden/>
                <w:sz w:val="22"/>
                <w:szCs w:val="22"/>
              </w:rPr>
              <w:fldChar w:fldCharType="end"/>
            </w:r>
          </w:hyperlink>
        </w:p>
        <w:p w14:paraId="02762489" w14:textId="5E719EC4" w:rsidR="00827CA9" w:rsidRPr="00827CA9" w:rsidRDefault="00257087">
          <w:pPr>
            <w:pStyle w:val="TOC3"/>
            <w:tabs>
              <w:tab w:val="left" w:pos="1100"/>
              <w:tab w:val="right" w:leader="dot" w:pos="9016"/>
            </w:tabs>
            <w:rPr>
              <w:rFonts w:ascii="Arial" w:eastAsiaTheme="minorEastAsia" w:hAnsi="Arial" w:cs="Arial"/>
              <w:noProof/>
              <w:sz w:val="22"/>
              <w:szCs w:val="22"/>
              <w:lang w:eastAsia="en-GB"/>
            </w:rPr>
          </w:pPr>
          <w:hyperlink w:anchor="_Toc78983947" w:history="1">
            <w:r w:rsidR="00827CA9" w:rsidRPr="00827CA9">
              <w:rPr>
                <w:rStyle w:val="Hyperlink"/>
                <w:rFonts w:ascii="Arial" w:hAnsi="Arial" w:cs="Arial"/>
                <w:noProof/>
                <w:sz w:val="22"/>
                <w:szCs w:val="22"/>
              </w:rPr>
              <w:t>11.4.3</w:t>
            </w:r>
            <w:r w:rsidR="00827CA9" w:rsidRPr="00827CA9">
              <w:rPr>
                <w:rFonts w:ascii="Arial" w:eastAsiaTheme="minorEastAsia" w:hAnsi="Arial" w:cs="Arial"/>
                <w:noProof/>
                <w:sz w:val="22"/>
                <w:szCs w:val="22"/>
                <w:lang w:eastAsia="en-GB"/>
              </w:rPr>
              <w:tab/>
            </w:r>
            <w:r w:rsidR="00827CA9" w:rsidRPr="00827CA9">
              <w:rPr>
                <w:rStyle w:val="Hyperlink"/>
                <w:rFonts w:ascii="Arial" w:hAnsi="Arial" w:cs="Arial"/>
                <w:noProof/>
                <w:sz w:val="22"/>
                <w:szCs w:val="22"/>
              </w:rPr>
              <w:t>Recommendation for the Academics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_Toc78983947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11-364</w:t>
            </w:r>
            <w:r w:rsidR="00827CA9" w:rsidRPr="00827CA9">
              <w:rPr>
                <w:rFonts w:ascii="Arial" w:hAnsi="Arial" w:cs="Arial"/>
                <w:noProof/>
                <w:webHidden/>
                <w:sz w:val="22"/>
                <w:szCs w:val="22"/>
              </w:rPr>
              <w:fldChar w:fldCharType="end"/>
            </w:r>
          </w:hyperlink>
        </w:p>
        <w:p w14:paraId="0964461C" w14:textId="009903FA" w:rsidR="00827CA9" w:rsidRPr="00827CA9" w:rsidRDefault="00257087">
          <w:pPr>
            <w:pStyle w:val="TOC1"/>
            <w:tabs>
              <w:tab w:val="left" w:pos="660"/>
              <w:tab w:val="right" w:leader="dot" w:pos="9016"/>
            </w:tabs>
            <w:rPr>
              <w:rFonts w:ascii="Arial" w:eastAsiaTheme="minorEastAsia" w:hAnsi="Arial" w:cs="Arial"/>
              <w:b w:val="0"/>
              <w:bCs w:val="0"/>
              <w:caps w:val="0"/>
              <w:noProof/>
              <w:sz w:val="22"/>
              <w:szCs w:val="22"/>
              <w:lang w:eastAsia="en-GB"/>
            </w:rPr>
          </w:pPr>
          <w:hyperlink w:anchor="_Toc78983948" w:history="1">
            <w:r w:rsidR="00827CA9" w:rsidRPr="00827CA9">
              <w:rPr>
                <w:rStyle w:val="Hyperlink"/>
                <w:rFonts w:ascii="Arial" w:hAnsi="Arial" w:cs="Arial"/>
                <w:noProof/>
                <w:sz w:val="22"/>
                <w:szCs w:val="22"/>
              </w:rPr>
              <w:t>12</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References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_Toc78983948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12-365</w:t>
            </w:r>
            <w:r w:rsidR="00827CA9" w:rsidRPr="00827CA9">
              <w:rPr>
                <w:rFonts w:ascii="Arial" w:hAnsi="Arial" w:cs="Arial"/>
                <w:noProof/>
                <w:webHidden/>
                <w:sz w:val="22"/>
                <w:szCs w:val="22"/>
              </w:rPr>
              <w:fldChar w:fldCharType="end"/>
            </w:r>
          </w:hyperlink>
        </w:p>
        <w:p w14:paraId="66E24556" w14:textId="4556A844" w:rsidR="00827CA9" w:rsidRPr="00827CA9" w:rsidRDefault="00257087">
          <w:pPr>
            <w:pStyle w:val="TOC1"/>
            <w:tabs>
              <w:tab w:val="left" w:pos="660"/>
              <w:tab w:val="right" w:leader="dot" w:pos="9016"/>
            </w:tabs>
            <w:rPr>
              <w:rFonts w:ascii="Arial" w:eastAsiaTheme="minorEastAsia" w:hAnsi="Arial" w:cs="Arial"/>
              <w:b w:val="0"/>
              <w:bCs w:val="0"/>
              <w:caps w:val="0"/>
              <w:noProof/>
              <w:sz w:val="22"/>
              <w:szCs w:val="22"/>
              <w:lang w:eastAsia="en-GB"/>
            </w:rPr>
          </w:pPr>
          <w:hyperlink w:anchor="_Toc78983949" w:history="1">
            <w:r w:rsidR="00827CA9" w:rsidRPr="00827CA9">
              <w:rPr>
                <w:rStyle w:val="Hyperlink"/>
                <w:rFonts w:ascii="Arial" w:hAnsi="Arial" w:cs="Arial"/>
                <w:noProof/>
                <w:sz w:val="22"/>
                <w:szCs w:val="22"/>
              </w:rPr>
              <w:t>13</w:t>
            </w:r>
            <w:r w:rsidR="00827CA9" w:rsidRPr="00827CA9">
              <w:rPr>
                <w:rFonts w:ascii="Arial" w:eastAsiaTheme="minorEastAsia" w:hAnsi="Arial" w:cs="Arial"/>
                <w:b w:val="0"/>
                <w:bCs w:val="0"/>
                <w:caps w:val="0"/>
                <w:noProof/>
                <w:sz w:val="22"/>
                <w:szCs w:val="22"/>
                <w:lang w:eastAsia="en-GB"/>
              </w:rPr>
              <w:tab/>
            </w:r>
            <w:r w:rsidR="00827CA9" w:rsidRPr="00827CA9">
              <w:rPr>
                <w:rStyle w:val="Hyperlink"/>
                <w:rFonts w:ascii="Arial" w:hAnsi="Arial" w:cs="Arial"/>
                <w:noProof/>
                <w:sz w:val="22"/>
                <w:szCs w:val="22"/>
              </w:rPr>
              <w:t>Appendices</w:t>
            </w:r>
            <w:r w:rsidR="00827CA9" w:rsidRPr="00827CA9">
              <w:rPr>
                <w:rFonts w:ascii="Arial" w:hAnsi="Arial" w:cs="Arial"/>
                <w:noProof/>
                <w:webHidden/>
                <w:sz w:val="22"/>
                <w:szCs w:val="22"/>
              </w:rPr>
              <w:tab/>
            </w:r>
            <w:r w:rsidR="00827CA9" w:rsidRPr="00827CA9">
              <w:rPr>
                <w:rFonts w:ascii="Arial" w:hAnsi="Arial" w:cs="Arial"/>
                <w:noProof/>
                <w:webHidden/>
                <w:sz w:val="22"/>
                <w:szCs w:val="22"/>
              </w:rPr>
              <w:fldChar w:fldCharType="begin"/>
            </w:r>
            <w:r w:rsidR="00827CA9" w:rsidRPr="00827CA9">
              <w:rPr>
                <w:rFonts w:ascii="Arial" w:hAnsi="Arial" w:cs="Arial"/>
                <w:noProof/>
                <w:webHidden/>
                <w:sz w:val="22"/>
                <w:szCs w:val="22"/>
              </w:rPr>
              <w:instrText xml:space="preserve"> PAGEREF _Toc78983949 \h </w:instrText>
            </w:r>
            <w:r w:rsidR="00827CA9" w:rsidRPr="00827CA9">
              <w:rPr>
                <w:rFonts w:ascii="Arial" w:hAnsi="Arial" w:cs="Arial"/>
                <w:noProof/>
                <w:webHidden/>
                <w:sz w:val="22"/>
                <w:szCs w:val="22"/>
              </w:rPr>
            </w:r>
            <w:r w:rsidR="00827CA9" w:rsidRPr="00827CA9">
              <w:rPr>
                <w:rFonts w:ascii="Arial" w:hAnsi="Arial" w:cs="Arial"/>
                <w:noProof/>
                <w:webHidden/>
                <w:sz w:val="22"/>
                <w:szCs w:val="22"/>
              </w:rPr>
              <w:fldChar w:fldCharType="separate"/>
            </w:r>
            <w:r w:rsidR="00827CA9" w:rsidRPr="00827CA9">
              <w:rPr>
                <w:rFonts w:ascii="Arial" w:hAnsi="Arial" w:cs="Arial"/>
                <w:noProof/>
                <w:webHidden/>
                <w:sz w:val="22"/>
                <w:szCs w:val="22"/>
              </w:rPr>
              <w:t>13-411</w:t>
            </w:r>
            <w:r w:rsidR="00827CA9" w:rsidRPr="00827CA9">
              <w:rPr>
                <w:rFonts w:ascii="Arial" w:hAnsi="Arial" w:cs="Arial"/>
                <w:noProof/>
                <w:webHidden/>
                <w:sz w:val="22"/>
                <w:szCs w:val="22"/>
              </w:rPr>
              <w:fldChar w:fldCharType="end"/>
            </w:r>
          </w:hyperlink>
        </w:p>
        <w:p w14:paraId="57F229D8" w14:textId="0E1C48BD" w:rsidR="00C7647C" w:rsidRDefault="00C7647C">
          <w:r w:rsidRPr="007625E7">
            <w:rPr>
              <w:rFonts w:ascii="Arial" w:hAnsi="Arial" w:cs="Arial"/>
              <w:b/>
              <w:bCs/>
              <w:noProof/>
            </w:rPr>
            <w:fldChar w:fldCharType="end"/>
          </w:r>
        </w:p>
      </w:sdtContent>
    </w:sdt>
    <w:p w14:paraId="1BDC22D4" w14:textId="6E340881" w:rsidR="000A4261" w:rsidRDefault="000A4261" w:rsidP="00CD6352">
      <w:pPr>
        <w:spacing w:line="360" w:lineRule="auto"/>
        <w:jc w:val="center"/>
        <w:rPr>
          <w:rFonts w:ascii="Arial" w:hAnsi="Arial" w:cs="Arial"/>
          <w:b/>
        </w:rPr>
      </w:pPr>
    </w:p>
    <w:p w14:paraId="5D373EA3" w14:textId="2B6AE422" w:rsidR="00F34740" w:rsidRDefault="00F34740" w:rsidP="00CD6352">
      <w:pPr>
        <w:spacing w:line="360" w:lineRule="auto"/>
        <w:jc w:val="center"/>
        <w:rPr>
          <w:rFonts w:ascii="Arial" w:hAnsi="Arial" w:cs="Arial"/>
          <w:b/>
        </w:rPr>
      </w:pPr>
    </w:p>
    <w:p w14:paraId="3EBEBBED" w14:textId="363C4931" w:rsidR="00F34740" w:rsidRDefault="00F34740" w:rsidP="00CD6352">
      <w:pPr>
        <w:spacing w:line="360" w:lineRule="auto"/>
        <w:jc w:val="center"/>
        <w:rPr>
          <w:rFonts w:ascii="Arial" w:hAnsi="Arial" w:cs="Arial"/>
          <w:b/>
        </w:rPr>
      </w:pPr>
    </w:p>
    <w:p w14:paraId="41D0AB53" w14:textId="7D4976C6" w:rsidR="00F34740" w:rsidRDefault="00F34740" w:rsidP="00CD6352">
      <w:pPr>
        <w:spacing w:line="360" w:lineRule="auto"/>
        <w:jc w:val="center"/>
        <w:rPr>
          <w:rFonts w:ascii="Arial" w:hAnsi="Arial" w:cs="Arial"/>
          <w:b/>
        </w:rPr>
      </w:pPr>
    </w:p>
    <w:p w14:paraId="065E9227" w14:textId="75199E55" w:rsidR="00F34740" w:rsidRDefault="00F34740" w:rsidP="00CD6352">
      <w:pPr>
        <w:spacing w:line="360" w:lineRule="auto"/>
        <w:jc w:val="center"/>
        <w:rPr>
          <w:rFonts w:ascii="Arial" w:hAnsi="Arial" w:cs="Arial"/>
          <w:b/>
        </w:rPr>
      </w:pPr>
    </w:p>
    <w:p w14:paraId="72DC1D9C" w14:textId="0168D7E5" w:rsidR="00F34740" w:rsidRDefault="00F34740" w:rsidP="00CD6352">
      <w:pPr>
        <w:spacing w:line="360" w:lineRule="auto"/>
        <w:jc w:val="center"/>
        <w:rPr>
          <w:rFonts w:ascii="Arial" w:hAnsi="Arial" w:cs="Arial"/>
          <w:b/>
        </w:rPr>
      </w:pPr>
    </w:p>
    <w:p w14:paraId="2E2F2729" w14:textId="61FE27DC" w:rsidR="00F34740" w:rsidRDefault="00F34740" w:rsidP="00CD6352">
      <w:pPr>
        <w:spacing w:line="360" w:lineRule="auto"/>
        <w:jc w:val="center"/>
        <w:rPr>
          <w:rFonts w:ascii="Arial" w:hAnsi="Arial" w:cs="Arial"/>
          <w:b/>
        </w:rPr>
      </w:pPr>
    </w:p>
    <w:p w14:paraId="6E4C11B3" w14:textId="77500266" w:rsidR="00F34740" w:rsidRDefault="00F34740" w:rsidP="00CD6352">
      <w:pPr>
        <w:spacing w:line="360" w:lineRule="auto"/>
        <w:jc w:val="center"/>
        <w:rPr>
          <w:rFonts w:ascii="Arial" w:hAnsi="Arial" w:cs="Arial"/>
          <w:b/>
        </w:rPr>
      </w:pPr>
    </w:p>
    <w:p w14:paraId="5379055B" w14:textId="64CF491A" w:rsidR="00F34740" w:rsidRDefault="00F34740" w:rsidP="00CD6352">
      <w:pPr>
        <w:spacing w:line="360" w:lineRule="auto"/>
        <w:jc w:val="center"/>
        <w:rPr>
          <w:rFonts w:ascii="Arial" w:hAnsi="Arial" w:cs="Arial"/>
          <w:b/>
        </w:rPr>
      </w:pPr>
    </w:p>
    <w:p w14:paraId="7F344A80" w14:textId="141B0B76" w:rsidR="00F34740" w:rsidRDefault="00F34740" w:rsidP="00CD6352">
      <w:pPr>
        <w:spacing w:line="360" w:lineRule="auto"/>
        <w:jc w:val="center"/>
        <w:rPr>
          <w:rFonts w:ascii="Arial" w:hAnsi="Arial" w:cs="Arial"/>
          <w:b/>
        </w:rPr>
      </w:pPr>
    </w:p>
    <w:p w14:paraId="6C936430" w14:textId="77777777" w:rsidR="00F34740" w:rsidRDefault="00F34740" w:rsidP="00CD6352">
      <w:pPr>
        <w:spacing w:line="360" w:lineRule="auto"/>
        <w:jc w:val="center"/>
        <w:rPr>
          <w:rFonts w:ascii="Arial" w:hAnsi="Arial" w:cs="Arial"/>
          <w:b/>
        </w:rPr>
      </w:pPr>
    </w:p>
    <w:p w14:paraId="49533E7A" w14:textId="38EA9ED5" w:rsidR="00CD6352" w:rsidRPr="00EA7665" w:rsidRDefault="00CD6352" w:rsidP="00CD6352">
      <w:pPr>
        <w:spacing w:line="360" w:lineRule="auto"/>
        <w:jc w:val="center"/>
        <w:rPr>
          <w:rFonts w:ascii="Arial" w:hAnsi="Arial" w:cs="Arial"/>
          <w:b/>
        </w:rPr>
      </w:pPr>
      <w:r w:rsidRPr="00EA7665">
        <w:rPr>
          <w:rFonts w:ascii="Arial" w:hAnsi="Arial" w:cs="Arial"/>
          <w:b/>
        </w:rPr>
        <w:lastRenderedPageBreak/>
        <w:t>List of figures</w:t>
      </w:r>
    </w:p>
    <w:p w14:paraId="1D00EA83" w14:textId="6704171C" w:rsidR="000A4261" w:rsidRPr="00B93A84" w:rsidRDefault="00CD6352">
      <w:pPr>
        <w:pStyle w:val="TableofFigures"/>
        <w:tabs>
          <w:tab w:val="right" w:leader="underscore" w:pos="9016"/>
        </w:tabs>
        <w:rPr>
          <w:rFonts w:ascii="Arial" w:eastAsiaTheme="minorEastAsia" w:hAnsi="Arial" w:cs="Arial"/>
          <w:i w:val="0"/>
          <w:iCs w:val="0"/>
          <w:noProof/>
          <w:sz w:val="22"/>
          <w:szCs w:val="22"/>
          <w:lang w:eastAsia="en-GB"/>
        </w:rPr>
      </w:pPr>
      <w:r w:rsidRPr="00B93A84">
        <w:rPr>
          <w:rFonts w:ascii="Arial" w:hAnsi="Arial" w:cs="Arial"/>
          <w:sz w:val="22"/>
          <w:szCs w:val="22"/>
        </w:rPr>
        <w:fldChar w:fldCharType="begin"/>
      </w:r>
      <w:r w:rsidRPr="00B93A84">
        <w:rPr>
          <w:rFonts w:ascii="Arial" w:hAnsi="Arial" w:cs="Arial"/>
          <w:sz w:val="22"/>
          <w:szCs w:val="22"/>
        </w:rPr>
        <w:instrText xml:space="preserve"> TOC \h \z \c "Figure" </w:instrText>
      </w:r>
      <w:r w:rsidRPr="00B93A84">
        <w:rPr>
          <w:rFonts w:ascii="Arial" w:hAnsi="Arial" w:cs="Arial"/>
          <w:sz w:val="22"/>
          <w:szCs w:val="22"/>
        </w:rPr>
        <w:fldChar w:fldCharType="separate"/>
      </w:r>
      <w:hyperlink w:anchor="_Toc78739564" w:history="1">
        <w:r w:rsidR="000A4261" w:rsidRPr="00B93A84">
          <w:rPr>
            <w:rStyle w:val="Hyperlink"/>
            <w:rFonts w:ascii="Arial" w:hAnsi="Arial" w:cs="Arial"/>
            <w:noProof/>
            <w:sz w:val="22"/>
            <w:szCs w:val="22"/>
          </w:rPr>
          <w:t>Figure 1.1</w:t>
        </w:r>
        <w:r w:rsidR="000A4261" w:rsidRPr="00B93A84">
          <w:rPr>
            <w:rStyle w:val="Hyperlink"/>
            <w:rFonts w:ascii="Arial" w:hAnsi="Arial" w:cs="Arial"/>
            <w:noProof/>
            <w:sz w:val="22"/>
            <w:szCs w:val="22"/>
          </w:rPr>
          <w:noBreakHyphen/>
          <w:t>1: Bloomberg housing affordability index</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_Toc78739564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1-20</w:t>
        </w:r>
        <w:r w:rsidR="000A4261" w:rsidRPr="00B93A84">
          <w:rPr>
            <w:rFonts w:ascii="Arial" w:hAnsi="Arial" w:cs="Arial"/>
            <w:noProof/>
            <w:webHidden/>
            <w:sz w:val="22"/>
            <w:szCs w:val="22"/>
          </w:rPr>
          <w:fldChar w:fldCharType="end"/>
        </w:r>
      </w:hyperlink>
    </w:p>
    <w:p w14:paraId="47316B99" w14:textId="165C9433"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65" w:history="1">
        <w:r w:rsidR="000A4261" w:rsidRPr="00B93A84">
          <w:rPr>
            <w:rStyle w:val="Hyperlink"/>
            <w:rFonts w:ascii="Arial" w:hAnsi="Arial" w:cs="Arial"/>
            <w:noProof/>
            <w:sz w:val="22"/>
            <w:szCs w:val="22"/>
          </w:rPr>
          <w:t>Figure 2.2</w:t>
        </w:r>
        <w:r w:rsidR="000A4261" w:rsidRPr="00B93A84">
          <w:rPr>
            <w:rStyle w:val="Hyperlink"/>
            <w:rFonts w:ascii="Arial" w:hAnsi="Arial" w:cs="Arial"/>
            <w:noProof/>
            <w:sz w:val="22"/>
            <w:szCs w:val="22"/>
          </w:rPr>
          <w:noBreakHyphen/>
          <w:t>1: Germany house price index</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_Toc78739565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2-31</w:t>
        </w:r>
        <w:r w:rsidR="000A4261" w:rsidRPr="00B93A84">
          <w:rPr>
            <w:rFonts w:ascii="Arial" w:hAnsi="Arial" w:cs="Arial"/>
            <w:noProof/>
            <w:webHidden/>
            <w:sz w:val="22"/>
            <w:szCs w:val="22"/>
          </w:rPr>
          <w:fldChar w:fldCharType="end"/>
        </w:r>
      </w:hyperlink>
    </w:p>
    <w:p w14:paraId="4DF99569" w14:textId="4C29A824"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66" w:history="1">
        <w:r w:rsidR="000A4261" w:rsidRPr="00B93A84">
          <w:rPr>
            <w:rStyle w:val="Hyperlink"/>
            <w:rFonts w:ascii="Arial" w:hAnsi="Arial" w:cs="Arial"/>
            <w:noProof/>
            <w:sz w:val="22"/>
            <w:szCs w:val="22"/>
          </w:rPr>
          <w:t>Figure 2.2</w:t>
        </w:r>
        <w:r w:rsidR="000A4261" w:rsidRPr="00B93A84">
          <w:rPr>
            <w:rStyle w:val="Hyperlink"/>
            <w:rFonts w:ascii="Arial" w:hAnsi="Arial" w:cs="Arial"/>
            <w:noProof/>
            <w:sz w:val="22"/>
            <w:szCs w:val="22"/>
          </w:rPr>
          <w:noBreakHyphen/>
          <w:t>2: Gross domestic product in Germany</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_Toc78739566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2-32</w:t>
        </w:r>
        <w:r w:rsidR="000A4261" w:rsidRPr="00B93A84">
          <w:rPr>
            <w:rFonts w:ascii="Arial" w:hAnsi="Arial" w:cs="Arial"/>
            <w:noProof/>
            <w:webHidden/>
            <w:sz w:val="22"/>
            <w:szCs w:val="22"/>
          </w:rPr>
          <w:fldChar w:fldCharType="end"/>
        </w:r>
      </w:hyperlink>
    </w:p>
    <w:p w14:paraId="7AE5CC43" w14:textId="6048BDEA"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67" w:history="1">
        <w:r w:rsidR="000A4261" w:rsidRPr="00B93A84">
          <w:rPr>
            <w:rStyle w:val="Hyperlink"/>
            <w:rFonts w:ascii="Arial" w:hAnsi="Arial" w:cs="Arial"/>
            <w:noProof/>
            <w:sz w:val="22"/>
            <w:szCs w:val="22"/>
          </w:rPr>
          <w:t>Figure 2.2</w:t>
        </w:r>
        <w:r w:rsidR="000A4261" w:rsidRPr="00B93A84">
          <w:rPr>
            <w:rStyle w:val="Hyperlink"/>
            <w:rFonts w:ascii="Arial" w:hAnsi="Arial" w:cs="Arial"/>
            <w:noProof/>
            <w:sz w:val="22"/>
            <w:szCs w:val="22"/>
          </w:rPr>
          <w:noBreakHyphen/>
          <w:t>3: Historical harmonised inflation Germany (HICP) by year</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_Toc78739567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2-33</w:t>
        </w:r>
        <w:r w:rsidR="000A4261" w:rsidRPr="00B93A84">
          <w:rPr>
            <w:rFonts w:ascii="Arial" w:hAnsi="Arial" w:cs="Arial"/>
            <w:noProof/>
            <w:webHidden/>
            <w:sz w:val="22"/>
            <w:szCs w:val="22"/>
          </w:rPr>
          <w:fldChar w:fldCharType="end"/>
        </w:r>
      </w:hyperlink>
    </w:p>
    <w:p w14:paraId="5CDA0E7D" w14:textId="18DFE070"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68" w:history="1">
        <w:r w:rsidR="000A4261" w:rsidRPr="00B93A84">
          <w:rPr>
            <w:rStyle w:val="Hyperlink"/>
            <w:rFonts w:ascii="Arial" w:hAnsi="Arial" w:cs="Arial"/>
            <w:noProof/>
            <w:sz w:val="22"/>
            <w:szCs w:val="22"/>
          </w:rPr>
          <w:t>Figure 2.2</w:t>
        </w:r>
        <w:r w:rsidR="000A4261" w:rsidRPr="00B93A84">
          <w:rPr>
            <w:rStyle w:val="Hyperlink"/>
            <w:rFonts w:ascii="Arial" w:hAnsi="Arial" w:cs="Arial"/>
            <w:noProof/>
            <w:sz w:val="22"/>
            <w:szCs w:val="22"/>
          </w:rPr>
          <w:noBreakHyphen/>
          <w:t>11: US Total population. Source: FRED (2019)</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_Toc78739568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2-42</w:t>
        </w:r>
        <w:r w:rsidR="000A4261" w:rsidRPr="00B93A84">
          <w:rPr>
            <w:rFonts w:ascii="Arial" w:hAnsi="Arial" w:cs="Arial"/>
            <w:noProof/>
            <w:webHidden/>
            <w:sz w:val="22"/>
            <w:szCs w:val="22"/>
          </w:rPr>
          <w:fldChar w:fldCharType="end"/>
        </w:r>
      </w:hyperlink>
    </w:p>
    <w:p w14:paraId="346ABDD5" w14:textId="73660CE4"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69" w:history="1">
        <w:r w:rsidR="000A4261" w:rsidRPr="00B93A84">
          <w:rPr>
            <w:rStyle w:val="Hyperlink"/>
            <w:rFonts w:ascii="Arial" w:hAnsi="Arial" w:cs="Arial"/>
            <w:noProof/>
            <w:sz w:val="22"/>
            <w:szCs w:val="22"/>
          </w:rPr>
          <w:t>Figure 2.3</w:t>
        </w:r>
        <w:r w:rsidR="000A4261" w:rsidRPr="00B93A84">
          <w:rPr>
            <w:rStyle w:val="Hyperlink"/>
            <w:rFonts w:ascii="Arial" w:hAnsi="Arial" w:cs="Arial"/>
            <w:noProof/>
            <w:sz w:val="22"/>
            <w:szCs w:val="22"/>
          </w:rPr>
          <w:noBreakHyphen/>
          <w:t>1: SA Annual changes in house price</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_Toc78739569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2-55</w:t>
        </w:r>
        <w:r w:rsidR="000A4261" w:rsidRPr="00B93A84">
          <w:rPr>
            <w:rFonts w:ascii="Arial" w:hAnsi="Arial" w:cs="Arial"/>
            <w:noProof/>
            <w:webHidden/>
            <w:sz w:val="22"/>
            <w:szCs w:val="22"/>
          </w:rPr>
          <w:fldChar w:fldCharType="end"/>
        </w:r>
      </w:hyperlink>
    </w:p>
    <w:p w14:paraId="7E0167D8" w14:textId="12D74699"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0" w:history="1">
        <w:r w:rsidR="000A4261" w:rsidRPr="00B93A84">
          <w:rPr>
            <w:rStyle w:val="Hyperlink"/>
            <w:rFonts w:ascii="Arial" w:hAnsi="Arial" w:cs="Arial"/>
            <w:noProof/>
            <w:sz w:val="22"/>
            <w:szCs w:val="22"/>
          </w:rPr>
          <w:t>Figure 9.3</w:t>
        </w:r>
        <w:r w:rsidR="000A4261" w:rsidRPr="00B93A84">
          <w:rPr>
            <w:rStyle w:val="Hyperlink"/>
            <w:rFonts w:ascii="Arial" w:hAnsi="Arial" w:cs="Arial"/>
            <w:noProof/>
            <w:sz w:val="22"/>
            <w:szCs w:val="22"/>
          </w:rPr>
          <w:noBreakHyphen/>
          <w:t>1: Kolb learning cycle ( Kolb 1976)</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_Toc78739570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3-103</w:t>
        </w:r>
        <w:r w:rsidR="000A4261" w:rsidRPr="00B93A84">
          <w:rPr>
            <w:rFonts w:ascii="Arial" w:hAnsi="Arial" w:cs="Arial"/>
            <w:noProof/>
            <w:webHidden/>
            <w:sz w:val="22"/>
            <w:szCs w:val="22"/>
          </w:rPr>
          <w:fldChar w:fldCharType="end"/>
        </w:r>
      </w:hyperlink>
    </w:p>
    <w:p w14:paraId="16F9D703" w14:textId="1744E7FF"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r:id="rId10" w:anchor="_Toc78739571" w:history="1">
        <w:r w:rsidR="000A4261" w:rsidRPr="00B93A84">
          <w:rPr>
            <w:rStyle w:val="Hyperlink"/>
            <w:rFonts w:ascii="Arial" w:hAnsi="Arial" w:cs="Arial"/>
            <w:noProof/>
            <w:sz w:val="22"/>
            <w:szCs w:val="22"/>
          </w:rPr>
          <w:t>Figure 3.9</w:t>
        </w:r>
        <w:r w:rsidR="000A4261" w:rsidRPr="00B93A84">
          <w:rPr>
            <w:rStyle w:val="Hyperlink"/>
            <w:rFonts w:ascii="Arial" w:hAnsi="Arial" w:cs="Arial"/>
            <w:noProof/>
            <w:sz w:val="22"/>
            <w:szCs w:val="22"/>
          </w:rPr>
          <w:noBreakHyphen/>
          <w:t>1: Developed Initial Conceptual Model from Present Study</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_Toc78739571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3-109</w:t>
        </w:r>
        <w:r w:rsidR="000A4261" w:rsidRPr="00B93A84">
          <w:rPr>
            <w:rFonts w:ascii="Arial" w:hAnsi="Arial" w:cs="Arial"/>
            <w:noProof/>
            <w:webHidden/>
            <w:sz w:val="22"/>
            <w:szCs w:val="22"/>
          </w:rPr>
          <w:fldChar w:fldCharType="end"/>
        </w:r>
      </w:hyperlink>
    </w:p>
    <w:p w14:paraId="09BA4637" w14:textId="26E93346"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2" w:history="1">
        <w:r w:rsidR="000A4261" w:rsidRPr="00B93A84">
          <w:rPr>
            <w:rStyle w:val="Hyperlink"/>
            <w:rFonts w:ascii="Arial" w:hAnsi="Arial" w:cs="Arial"/>
            <w:noProof/>
            <w:sz w:val="22"/>
            <w:szCs w:val="22"/>
          </w:rPr>
          <w:t>Figure 4.5</w:t>
        </w:r>
        <w:r w:rsidR="000A4261" w:rsidRPr="00B93A84">
          <w:rPr>
            <w:rStyle w:val="Hyperlink"/>
            <w:rFonts w:ascii="Arial" w:hAnsi="Arial" w:cs="Arial"/>
            <w:noProof/>
            <w:sz w:val="22"/>
            <w:szCs w:val="22"/>
          </w:rPr>
          <w:noBreakHyphen/>
          <w:t>1:</w:t>
        </w:r>
        <w:r w:rsidR="000A4261" w:rsidRPr="00B93A84">
          <w:rPr>
            <w:rStyle w:val="Hyperlink"/>
            <w:rFonts w:ascii="Arial" w:hAnsi="Arial" w:cs="Arial"/>
            <w:noProof/>
            <w:sz w:val="22"/>
            <w:szCs w:val="22"/>
            <w:lang w:val="en-US"/>
          </w:rPr>
          <w:t xml:space="preserve"> The research process onion by Saunders et al. (2016).</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_Toc78739572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4-120</w:t>
        </w:r>
        <w:r w:rsidR="000A4261" w:rsidRPr="00B93A84">
          <w:rPr>
            <w:rFonts w:ascii="Arial" w:hAnsi="Arial" w:cs="Arial"/>
            <w:noProof/>
            <w:webHidden/>
            <w:sz w:val="22"/>
            <w:szCs w:val="22"/>
          </w:rPr>
          <w:fldChar w:fldCharType="end"/>
        </w:r>
      </w:hyperlink>
    </w:p>
    <w:p w14:paraId="4A246154" w14:textId="0E93830F"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3" w:history="1">
        <w:r w:rsidR="000A4261" w:rsidRPr="00B93A84">
          <w:rPr>
            <w:rStyle w:val="Hyperlink"/>
            <w:rFonts w:ascii="Arial" w:hAnsi="Arial" w:cs="Arial"/>
            <w:noProof/>
            <w:sz w:val="22"/>
            <w:szCs w:val="22"/>
          </w:rPr>
          <w:t>Figure 4.5</w:t>
        </w:r>
        <w:r w:rsidR="000A4261" w:rsidRPr="00B93A84">
          <w:rPr>
            <w:rStyle w:val="Hyperlink"/>
            <w:rFonts w:ascii="Arial" w:hAnsi="Arial" w:cs="Arial"/>
            <w:noProof/>
            <w:sz w:val="22"/>
            <w:szCs w:val="22"/>
          </w:rPr>
          <w:noBreakHyphen/>
          <w:t>2</w:t>
        </w:r>
        <w:r w:rsidR="000A4261" w:rsidRPr="00B93A84">
          <w:rPr>
            <w:rStyle w:val="Hyperlink"/>
            <w:rFonts w:ascii="Arial" w:hAnsi="Arial" w:cs="Arial"/>
            <w:noProof/>
            <w:sz w:val="22"/>
            <w:szCs w:val="22"/>
            <w:lang w:val="en-NZ"/>
          </w:rPr>
          <w:t>: Research choices</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_Toc78739573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4-123</w:t>
        </w:r>
        <w:r w:rsidR="000A4261" w:rsidRPr="00B93A84">
          <w:rPr>
            <w:rFonts w:ascii="Arial" w:hAnsi="Arial" w:cs="Arial"/>
            <w:noProof/>
            <w:webHidden/>
            <w:sz w:val="22"/>
            <w:szCs w:val="22"/>
          </w:rPr>
          <w:fldChar w:fldCharType="end"/>
        </w:r>
      </w:hyperlink>
    </w:p>
    <w:p w14:paraId="70B6B9F1" w14:textId="4B0DB999"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4" w:history="1">
        <w:r w:rsidR="000A4261" w:rsidRPr="00B93A84">
          <w:rPr>
            <w:rStyle w:val="Hyperlink"/>
            <w:rFonts w:ascii="Arial" w:hAnsi="Arial" w:cs="Arial"/>
            <w:noProof/>
            <w:sz w:val="22"/>
            <w:szCs w:val="22"/>
          </w:rPr>
          <w:t>Figure 5.2</w:t>
        </w:r>
        <w:r w:rsidR="000A4261" w:rsidRPr="00B93A84">
          <w:rPr>
            <w:rStyle w:val="Hyperlink"/>
            <w:rFonts w:ascii="Arial" w:hAnsi="Arial" w:cs="Arial"/>
            <w:noProof/>
            <w:sz w:val="22"/>
            <w:szCs w:val="22"/>
          </w:rPr>
          <w:noBreakHyphen/>
          <w:t>1: Finance options for real estate project development</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_Toc78739574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5-146</w:t>
        </w:r>
        <w:r w:rsidR="000A4261" w:rsidRPr="00B93A84">
          <w:rPr>
            <w:rFonts w:ascii="Arial" w:hAnsi="Arial" w:cs="Arial"/>
            <w:noProof/>
            <w:webHidden/>
            <w:sz w:val="22"/>
            <w:szCs w:val="22"/>
          </w:rPr>
          <w:fldChar w:fldCharType="end"/>
        </w:r>
      </w:hyperlink>
    </w:p>
    <w:p w14:paraId="2D083801" w14:textId="0AFE891B"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5" w:history="1">
        <w:r w:rsidR="000A4261" w:rsidRPr="00B93A84">
          <w:rPr>
            <w:rStyle w:val="Hyperlink"/>
            <w:rFonts w:ascii="Arial" w:hAnsi="Arial" w:cs="Arial"/>
            <w:noProof/>
            <w:sz w:val="22"/>
            <w:szCs w:val="22"/>
          </w:rPr>
          <w:t>Figure 5.3</w:t>
        </w:r>
        <w:r w:rsidR="000A4261" w:rsidRPr="00B93A84">
          <w:rPr>
            <w:rStyle w:val="Hyperlink"/>
            <w:rFonts w:ascii="Arial" w:hAnsi="Arial" w:cs="Arial"/>
            <w:noProof/>
            <w:sz w:val="22"/>
            <w:szCs w:val="22"/>
          </w:rPr>
          <w:noBreakHyphen/>
          <w:t>1: Criteria always requested (%)</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_Toc78739575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5-158</w:t>
        </w:r>
        <w:r w:rsidR="000A4261" w:rsidRPr="00B93A84">
          <w:rPr>
            <w:rFonts w:ascii="Arial" w:hAnsi="Arial" w:cs="Arial"/>
            <w:noProof/>
            <w:webHidden/>
            <w:sz w:val="22"/>
            <w:szCs w:val="22"/>
          </w:rPr>
          <w:fldChar w:fldCharType="end"/>
        </w:r>
      </w:hyperlink>
    </w:p>
    <w:p w14:paraId="2F59561B" w14:textId="7B177D6C"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6" w:history="1">
        <w:r w:rsidR="000A4261" w:rsidRPr="00B93A84">
          <w:rPr>
            <w:rStyle w:val="Hyperlink"/>
            <w:rFonts w:ascii="Arial" w:hAnsi="Arial" w:cs="Arial"/>
            <w:noProof/>
            <w:sz w:val="22"/>
            <w:szCs w:val="22"/>
          </w:rPr>
          <w:t>Figure 7.5</w:t>
        </w:r>
        <w:r w:rsidR="000A4261" w:rsidRPr="00B93A84">
          <w:rPr>
            <w:rStyle w:val="Hyperlink"/>
            <w:rFonts w:ascii="Arial" w:hAnsi="Arial" w:cs="Arial"/>
            <w:noProof/>
            <w:sz w:val="22"/>
            <w:szCs w:val="22"/>
          </w:rPr>
          <w:noBreakHyphen/>
          <w:t>1:General model of the strategic decision process by Mintzberg et al (1976)</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_Toc78739576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7-225</w:t>
        </w:r>
        <w:r w:rsidR="000A4261" w:rsidRPr="00B93A84">
          <w:rPr>
            <w:rFonts w:ascii="Arial" w:hAnsi="Arial" w:cs="Arial"/>
            <w:noProof/>
            <w:webHidden/>
            <w:sz w:val="22"/>
            <w:szCs w:val="22"/>
          </w:rPr>
          <w:fldChar w:fldCharType="end"/>
        </w:r>
      </w:hyperlink>
    </w:p>
    <w:p w14:paraId="11491830" w14:textId="36E28849"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7" w:history="1">
        <w:r w:rsidR="000A4261" w:rsidRPr="00B93A84">
          <w:rPr>
            <w:rStyle w:val="Hyperlink"/>
            <w:rFonts w:ascii="Arial" w:hAnsi="Arial" w:cs="Arial"/>
            <w:noProof/>
            <w:sz w:val="22"/>
            <w:szCs w:val="22"/>
          </w:rPr>
          <w:t>Figure 10.3</w:t>
        </w:r>
        <w:r w:rsidR="000A4261" w:rsidRPr="00B93A84">
          <w:rPr>
            <w:rStyle w:val="Hyperlink"/>
            <w:rFonts w:ascii="Arial" w:hAnsi="Arial" w:cs="Arial"/>
            <w:noProof/>
            <w:sz w:val="22"/>
            <w:szCs w:val="22"/>
          </w:rPr>
          <w:noBreakHyphen/>
          <w:t>1: The Summary inventory of finance options for securing finance for real estate project development.</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_Toc78739577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10-321</w:t>
        </w:r>
        <w:r w:rsidR="000A4261" w:rsidRPr="00B93A84">
          <w:rPr>
            <w:rFonts w:ascii="Arial" w:hAnsi="Arial" w:cs="Arial"/>
            <w:noProof/>
            <w:webHidden/>
            <w:sz w:val="22"/>
            <w:szCs w:val="22"/>
          </w:rPr>
          <w:fldChar w:fldCharType="end"/>
        </w:r>
      </w:hyperlink>
    </w:p>
    <w:p w14:paraId="3C319CC4" w14:textId="48FCA4E6" w:rsidR="000A4261" w:rsidRPr="00B93A84" w:rsidRDefault="00257087">
      <w:pPr>
        <w:pStyle w:val="TableofFigures"/>
        <w:tabs>
          <w:tab w:val="right" w:leader="underscore" w:pos="9016"/>
        </w:tabs>
        <w:rPr>
          <w:rFonts w:ascii="Arial" w:eastAsiaTheme="minorEastAsia" w:hAnsi="Arial" w:cs="Arial"/>
          <w:i w:val="0"/>
          <w:iCs w:val="0"/>
          <w:noProof/>
          <w:sz w:val="22"/>
          <w:szCs w:val="22"/>
          <w:lang w:eastAsia="en-GB"/>
        </w:rPr>
      </w:pPr>
      <w:hyperlink w:anchor="_Toc78739578" w:history="1">
        <w:r w:rsidR="000A4261" w:rsidRPr="00B93A84">
          <w:rPr>
            <w:rStyle w:val="Hyperlink"/>
            <w:rFonts w:ascii="Arial" w:hAnsi="Arial" w:cs="Arial"/>
            <w:noProof/>
            <w:sz w:val="22"/>
            <w:szCs w:val="22"/>
          </w:rPr>
          <w:t>Figure 10.3</w:t>
        </w:r>
        <w:r w:rsidR="000A4261" w:rsidRPr="00B93A84">
          <w:rPr>
            <w:rStyle w:val="Hyperlink"/>
            <w:rFonts w:ascii="Arial" w:hAnsi="Arial" w:cs="Arial"/>
            <w:noProof/>
            <w:sz w:val="22"/>
            <w:szCs w:val="22"/>
          </w:rPr>
          <w:noBreakHyphen/>
          <w:t>3: Career path for securing finance for real estate project development</w:t>
        </w:r>
        <w:r w:rsidR="000A4261" w:rsidRPr="00B93A84">
          <w:rPr>
            <w:rFonts w:ascii="Arial" w:hAnsi="Arial" w:cs="Arial"/>
            <w:noProof/>
            <w:webHidden/>
            <w:sz w:val="22"/>
            <w:szCs w:val="22"/>
          </w:rPr>
          <w:tab/>
        </w:r>
        <w:r w:rsidR="000A4261" w:rsidRPr="00B93A84">
          <w:rPr>
            <w:rFonts w:ascii="Arial" w:hAnsi="Arial" w:cs="Arial"/>
            <w:noProof/>
            <w:webHidden/>
            <w:sz w:val="22"/>
            <w:szCs w:val="22"/>
          </w:rPr>
          <w:fldChar w:fldCharType="begin"/>
        </w:r>
        <w:r w:rsidR="000A4261" w:rsidRPr="00B93A84">
          <w:rPr>
            <w:rFonts w:ascii="Arial" w:hAnsi="Arial" w:cs="Arial"/>
            <w:noProof/>
            <w:webHidden/>
            <w:sz w:val="22"/>
            <w:szCs w:val="22"/>
          </w:rPr>
          <w:instrText xml:space="preserve"> PAGEREF _Toc78739578 \h </w:instrText>
        </w:r>
        <w:r w:rsidR="000A4261" w:rsidRPr="00B93A84">
          <w:rPr>
            <w:rFonts w:ascii="Arial" w:hAnsi="Arial" w:cs="Arial"/>
            <w:noProof/>
            <w:webHidden/>
            <w:sz w:val="22"/>
            <w:szCs w:val="22"/>
          </w:rPr>
        </w:r>
        <w:r w:rsidR="000A4261" w:rsidRPr="00B93A84">
          <w:rPr>
            <w:rFonts w:ascii="Arial" w:hAnsi="Arial" w:cs="Arial"/>
            <w:noProof/>
            <w:webHidden/>
            <w:sz w:val="22"/>
            <w:szCs w:val="22"/>
          </w:rPr>
          <w:fldChar w:fldCharType="separate"/>
        </w:r>
        <w:r w:rsidR="000A4261" w:rsidRPr="00B93A84">
          <w:rPr>
            <w:rFonts w:ascii="Arial" w:hAnsi="Arial" w:cs="Arial"/>
            <w:noProof/>
            <w:webHidden/>
            <w:sz w:val="22"/>
            <w:szCs w:val="22"/>
          </w:rPr>
          <w:t>10-343</w:t>
        </w:r>
        <w:r w:rsidR="000A4261" w:rsidRPr="00B93A84">
          <w:rPr>
            <w:rFonts w:ascii="Arial" w:hAnsi="Arial" w:cs="Arial"/>
            <w:noProof/>
            <w:webHidden/>
            <w:sz w:val="22"/>
            <w:szCs w:val="22"/>
          </w:rPr>
          <w:fldChar w:fldCharType="end"/>
        </w:r>
      </w:hyperlink>
    </w:p>
    <w:p w14:paraId="799A23FD" w14:textId="5657CEF0" w:rsidR="00CD6352" w:rsidRPr="00B93A84" w:rsidRDefault="00CD6352" w:rsidP="00EB1849">
      <w:pPr>
        <w:spacing w:line="360" w:lineRule="auto"/>
        <w:jc w:val="both"/>
        <w:rPr>
          <w:rStyle w:val="Strong"/>
          <w:rFonts w:ascii="Arial" w:hAnsi="Arial" w:cs="Arial"/>
        </w:rPr>
      </w:pPr>
      <w:r w:rsidRPr="00B93A84">
        <w:rPr>
          <w:rFonts w:ascii="Arial" w:hAnsi="Arial" w:cs="Arial"/>
        </w:rPr>
        <w:fldChar w:fldCharType="end"/>
      </w:r>
    </w:p>
    <w:p w14:paraId="610FFA14" w14:textId="77777777" w:rsidR="00CD6352" w:rsidRPr="00B93A84" w:rsidRDefault="00CD6352" w:rsidP="00CD6352">
      <w:pPr>
        <w:jc w:val="center"/>
        <w:rPr>
          <w:rStyle w:val="Strong"/>
          <w:rFonts w:ascii="Arial" w:hAnsi="Arial" w:cs="Arial"/>
        </w:rPr>
      </w:pPr>
      <w:r w:rsidRPr="00B93A84">
        <w:rPr>
          <w:rStyle w:val="Strong"/>
          <w:rFonts w:ascii="Arial" w:hAnsi="Arial" w:cs="Arial"/>
        </w:rPr>
        <w:t>List of tables</w:t>
      </w:r>
    </w:p>
    <w:p w14:paraId="4EBDE05A" w14:textId="21FE5275" w:rsidR="00983EAE" w:rsidRDefault="00CD6352">
      <w:pPr>
        <w:pStyle w:val="TableofFigures"/>
        <w:tabs>
          <w:tab w:val="right" w:leader="underscore" w:pos="9016"/>
        </w:tabs>
        <w:rPr>
          <w:rFonts w:eastAsiaTheme="minorEastAsia"/>
          <w:i w:val="0"/>
          <w:iCs w:val="0"/>
          <w:noProof/>
          <w:sz w:val="22"/>
          <w:szCs w:val="22"/>
          <w:lang w:eastAsia="en-GB"/>
        </w:rPr>
      </w:pPr>
      <w:r w:rsidRPr="00B93A84">
        <w:rPr>
          <w:rFonts w:ascii="Arial" w:hAnsi="Arial" w:cs="Arial"/>
          <w:b/>
          <w:sz w:val="22"/>
          <w:szCs w:val="22"/>
        </w:rPr>
        <w:fldChar w:fldCharType="begin"/>
      </w:r>
      <w:r w:rsidRPr="00B93A84">
        <w:rPr>
          <w:rFonts w:ascii="Arial" w:hAnsi="Arial" w:cs="Arial"/>
          <w:b/>
          <w:sz w:val="22"/>
          <w:szCs w:val="22"/>
        </w:rPr>
        <w:instrText xml:space="preserve"> TOC \h \z \c "Table" </w:instrText>
      </w:r>
      <w:r w:rsidRPr="00B93A84">
        <w:rPr>
          <w:rFonts w:ascii="Arial" w:hAnsi="Arial" w:cs="Arial"/>
          <w:b/>
          <w:sz w:val="22"/>
          <w:szCs w:val="22"/>
        </w:rPr>
        <w:fldChar w:fldCharType="separate"/>
      </w:r>
      <w:hyperlink w:anchor="_Toc78983950" w:history="1">
        <w:r w:rsidR="00983EAE" w:rsidRPr="007B3215">
          <w:rPr>
            <w:rStyle w:val="Hyperlink"/>
            <w:rFonts w:ascii="Arial" w:hAnsi="Arial" w:cs="Arial"/>
            <w:noProof/>
          </w:rPr>
          <w:t>Table 1.1</w:t>
        </w:r>
        <w:r w:rsidR="00983EAE" w:rsidRPr="007B3215">
          <w:rPr>
            <w:rStyle w:val="Hyperlink"/>
            <w:rFonts w:ascii="Arial" w:hAnsi="Arial" w:cs="Arial"/>
            <w:noProof/>
          </w:rPr>
          <w:noBreakHyphen/>
          <w:t>1: Housing affordability rating by nations: Major housing markets (1,000,000+ population</w:t>
        </w:r>
        <w:r w:rsidR="00983EAE">
          <w:rPr>
            <w:noProof/>
            <w:webHidden/>
          </w:rPr>
          <w:tab/>
        </w:r>
        <w:r w:rsidR="00983EAE">
          <w:rPr>
            <w:noProof/>
            <w:webHidden/>
          </w:rPr>
          <w:fldChar w:fldCharType="begin"/>
        </w:r>
        <w:r w:rsidR="00983EAE">
          <w:rPr>
            <w:noProof/>
            <w:webHidden/>
          </w:rPr>
          <w:instrText xml:space="preserve"> PAGEREF _Toc78983950 \h </w:instrText>
        </w:r>
        <w:r w:rsidR="00983EAE">
          <w:rPr>
            <w:noProof/>
            <w:webHidden/>
          </w:rPr>
        </w:r>
        <w:r w:rsidR="00983EAE">
          <w:rPr>
            <w:noProof/>
            <w:webHidden/>
          </w:rPr>
          <w:fldChar w:fldCharType="separate"/>
        </w:r>
        <w:r w:rsidR="00983EAE">
          <w:rPr>
            <w:noProof/>
            <w:webHidden/>
          </w:rPr>
          <w:t>1-21</w:t>
        </w:r>
        <w:r w:rsidR="00983EAE">
          <w:rPr>
            <w:noProof/>
            <w:webHidden/>
          </w:rPr>
          <w:fldChar w:fldCharType="end"/>
        </w:r>
      </w:hyperlink>
    </w:p>
    <w:p w14:paraId="6554B87B" w14:textId="424AE8D1" w:rsidR="00983EAE" w:rsidRDefault="00257087">
      <w:pPr>
        <w:pStyle w:val="TableofFigures"/>
        <w:tabs>
          <w:tab w:val="right" w:leader="underscore" w:pos="9016"/>
        </w:tabs>
        <w:rPr>
          <w:rFonts w:eastAsiaTheme="minorEastAsia"/>
          <w:i w:val="0"/>
          <w:iCs w:val="0"/>
          <w:noProof/>
          <w:sz w:val="22"/>
          <w:szCs w:val="22"/>
          <w:lang w:eastAsia="en-GB"/>
        </w:rPr>
      </w:pPr>
      <w:hyperlink w:anchor="_Toc78983951" w:history="1">
        <w:r w:rsidR="00983EAE" w:rsidRPr="007B3215">
          <w:rPr>
            <w:rStyle w:val="Hyperlink"/>
            <w:noProof/>
          </w:rPr>
          <w:t>Table 1.2</w:t>
        </w:r>
        <w:r w:rsidR="00983EAE" w:rsidRPr="007B3215">
          <w:rPr>
            <w:rStyle w:val="Hyperlink"/>
            <w:noProof/>
          </w:rPr>
          <w:noBreakHyphen/>
          <w:t>1: Components of the toolkit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_Toc78983951 \h </w:instrText>
        </w:r>
        <w:r w:rsidR="00983EAE">
          <w:rPr>
            <w:noProof/>
            <w:webHidden/>
          </w:rPr>
        </w:r>
        <w:r w:rsidR="00983EAE">
          <w:rPr>
            <w:noProof/>
            <w:webHidden/>
          </w:rPr>
          <w:fldChar w:fldCharType="separate"/>
        </w:r>
        <w:r w:rsidR="00983EAE">
          <w:rPr>
            <w:noProof/>
            <w:webHidden/>
          </w:rPr>
          <w:t>1-23</w:t>
        </w:r>
        <w:r w:rsidR="00983EAE">
          <w:rPr>
            <w:noProof/>
            <w:webHidden/>
          </w:rPr>
          <w:fldChar w:fldCharType="end"/>
        </w:r>
      </w:hyperlink>
    </w:p>
    <w:p w14:paraId="7E363413" w14:textId="5AE78C99" w:rsidR="00983EAE" w:rsidRDefault="00257087">
      <w:pPr>
        <w:pStyle w:val="TableofFigures"/>
        <w:tabs>
          <w:tab w:val="right" w:leader="underscore" w:pos="9016"/>
        </w:tabs>
        <w:rPr>
          <w:rFonts w:eastAsiaTheme="minorEastAsia"/>
          <w:i w:val="0"/>
          <w:iCs w:val="0"/>
          <w:noProof/>
          <w:sz w:val="22"/>
          <w:szCs w:val="22"/>
          <w:lang w:eastAsia="en-GB"/>
        </w:rPr>
      </w:pPr>
      <w:hyperlink w:anchor="_Toc78983952" w:history="1">
        <w:r w:rsidR="00983EAE" w:rsidRPr="007B3215">
          <w:rPr>
            <w:rStyle w:val="Hyperlink"/>
            <w:rFonts w:ascii="Arial" w:hAnsi="Arial" w:cs="Arial"/>
            <w:noProof/>
          </w:rPr>
          <w:t>Table 2.3</w:t>
        </w:r>
        <w:r w:rsidR="00983EAE" w:rsidRPr="007B3215">
          <w:rPr>
            <w:rStyle w:val="Hyperlink"/>
            <w:rFonts w:ascii="Arial" w:hAnsi="Arial" w:cs="Arial"/>
            <w:noProof/>
          </w:rPr>
          <w:noBreakHyphen/>
          <w:t>1: Summary of salient world economic rankings of China</w:t>
        </w:r>
        <w:r w:rsidR="00983EAE">
          <w:rPr>
            <w:noProof/>
            <w:webHidden/>
          </w:rPr>
          <w:tab/>
        </w:r>
        <w:r w:rsidR="00983EAE">
          <w:rPr>
            <w:noProof/>
            <w:webHidden/>
          </w:rPr>
          <w:fldChar w:fldCharType="begin"/>
        </w:r>
        <w:r w:rsidR="00983EAE">
          <w:rPr>
            <w:noProof/>
            <w:webHidden/>
          </w:rPr>
          <w:instrText xml:space="preserve"> PAGEREF _Toc78983952 \h </w:instrText>
        </w:r>
        <w:r w:rsidR="00983EAE">
          <w:rPr>
            <w:noProof/>
            <w:webHidden/>
          </w:rPr>
        </w:r>
        <w:r w:rsidR="00983EAE">
          <w:rPr>
            <w:noProof/>
            <w:webHidden/>
          </w:rPr>
          <w:fldChar w:fldCharType="separate"/>
        </w:r>
        <w:r w:rsidR="00983EAE">
          <w:rPr>
            <w:noProof/>
            <w:webHidden/>
          </w:rPr>
          <w:t>2-46</w:t>
        </w:r>
        <w:r w:rsidR="00983EAE">
          <w:rPr>
            <w:noProof/>
            <w:webHidden/>
          </w:rPr>
          <w:fldChar w:fldCharType="end"/>
        </w:r>
      </w:hyperlink>
    </w:p>
    <w:p w14:paraId="0078C49A" w14:textId="40CC9424" w:rsidR="00983EAE" w:rsidRDefault="00257087">
      <w:pPr>
        <w:pStyle w:val="TableofFigures"/>
        <w:tabs>
          <w:tab w:val="right" w:leader="underscore" w:pos="9016"/>
        </w:tabs>
        <w:rPr>
          <w:rFonts w:eastAsiaTheme="minorEastAsia"/>
          <w:i w:val="0"/>
          <w:iCs w:val="0"/>
          <w:noProof/>
          <w:sz w:val="22"/>
          <w:szCs w:val="22"/>
          <w:lang w:eastAsia="en-GB"/>
        </w:rPr>
      </w:pPr>
      <w:hyperlink w:anchor="_Toc78983953" w:history="1">
        <w:r w:rsidR="00983EAE" w:rsidRPr="007B3215">
          <w:rPr>
            <w:rStyle w:val="Hyperlink"/>
            <w:rFonts w:ascii="Arial" w:hAnsi="Arial" w:cs="Arial"/>
            <w:noProof/>
          </w:rPr>
          <w:t>Table 3.5</w:t>
        </w:r>
        <w:r w:rsidR="00983EAE" w:rsidRPr="007B3215">
          <w:rPr>
            <w:rStyle w:val="Hyperlink"/>
            <w:rFonts w:ascii="Arial" w:hAnsi="Arial" w:cs="Arial"/>
            <w:noProof/>
          </w:rPr>
          <w:noBreakHyphen/>
          <w:t xml:space="preserve">1: A list of </w:t>
        </w:r>
        <w:r w:rsidR="00983EAE" w:rsidRPr="00983EAE">
          <w:rPr>
            <w:rStyle w:val="Hyperlink"/>
            <w:rFonts w:ascii="Arial" w:hAnsi="Arial" w:cs="Arial"/>
            <w:noProof/>
            <w:sz w:val="22"/>
            <w:szCs w:val="22"/>
          </w:rPr>
          <w:t>critical</w:t>
        </w:r>
        <w:r w:rsidR="00983EAE" w:rsidRPr="007B3215">
          <w:rPr>
            <w:rStyle w:val="Hyperlink"/>
            <w:rFonts w:ascii="Arial" w:hAnsi="Arial" w:cs="Arial"/>
            <w:noProof/>
          </w:rPr>
          <w:t xml:space="preserve"> success factors for securing finance</w:t>
        </w:r>
        <w:r w:rsidR="00983EAE">
          <w:rPr>
            <w:noProof/>
            <w:webHidden/>
          </w:rPr>
          <w:tab/>
        </w:r>
        <w:r w:rsidR="00983EAE">
          <w:rPr>
            <w:noProof/>
            <w:webHidden/>
          </w:rPr>
          <w:fldChar w:fldCharType="begin"/>
        </w:r>
        <w:r w:rsidR="00983EAE">
          <w:rPr>
            <w:noProof/>
            <w:webHidden/>
          </w:rPr>
          <w:instrText xml:space="preserve"> PAGEREF _Toc78983953 \h </w:instrText>
        </w:r>
        <w:r w:rsidR="00983EAE">
          <w:rPr>
            <w:noProof/>
            <w:webHidden/>
          </w:rPr>
        </w:r>
        <w:r w:rsidR="00983EAE">
          <w:rPr>
            <w:noProof/>
            <w:webHidden/>
          </w:rPr>
          <w:fldChar w:fldCharType="separate"/>
        </w:r>
        <w:r w:rsidR="00983EAE">
          <w:rPr>
            <w:noProof/>
            <w:webHidden/>
          </w:rPr>
          <w:t>3-74</w:t>
        </w:r>
        <w:r w:rsidR="00983EAE">
          <w:rPr>
            <w:noProof/>
            <w:webHidden/>
          </w:rPr>
          <w:fldChar w:fldCharType="end"/>
        </w:r>
      </w:hyperlink>
    </w:p>
    <w:p w14:paraId="341AF9A0" w14:textId="746A6F2D" w:rsidR="00983EAE" w:rsidRDefault="00257087">
      <w:pPr>
        <w:pStyle w:val="TableofFigures"/>
        <w:tabs>
          <w:tab w:val="right" w:leader="underscore" w:pos="9016"/>
        </w:tabs>
        <w:rPr>
          <w:rFonts w:eastAsiaTheme="minorEastAsia"/>
          <w:i w:val="0"/>
          <w:iCs w:val="0"/>
          <w:noProof/>
          <w:sz w:val="22"/>
          <w:szCs w:val="22"/>
          <w:lang w:eastAsia="en-GB"/>
        </w:rPr>
      </w:pPr>
      <w:hyperlink w:anchor="_Toc78983954" w:history="1">
        <w:r w:rsidR="00983EAE" w:rsidRPr="007B3215">
          <w:rPr>
            <w:rStyle w:val="Hyperlink"/>
            <w:rFonts w:ascii="Arial" w:hAnsi="Arial" w:cs="Arial"/>
            <w:noProof/>
          </w:rPr>
          <w:t>Table 3.8</w:t>
        </w:r>
        <w:r w:rsidR="00983EAE" w:rsidRPr="007B3215">
          <w:rPr>
            <w:rStyle w:val="Hyperlink"/>
            <w:rFonts w:ascii="Arial" w:hAnsi="Arial" w:cs="Arial"/>
            <w:noProof/>
          </w:rPr>
          <w:noBreakHyphen/>
          <w:t>1:</w:t>
        </w:r>
        <w:r w:rsidR="00983EAE" w:rsidRPr="007B3215">
          <w:rPr>
            <w:rStyle w:val="Hyperlink"/>
            <w:rFonts w:ascii="Arial" w:eastAsia="Calibri" w:hAnsi="Arial" w:cs="Arial"/>
            <w:noProof/>
          </w:rPr>
          <w:t xml:space="preserve"> </w:t>
        </w:r>
        <w:r w:rsidR="00983EAE" w:rsidRPr="007B3215">
          <w:rPr>
            <w:rStyle w:val="Hyperlink"/>
            <w:rFonts w:ascii="Arial" w:hAnsi="Arial" w:cs="Arial"/>
            <w:noProof/>
          </w:rPr>
          <w:t>Management skills for securing finance</w:t>
        </w:r>
        <w:r w:rsidR="00983EAE">
          <w:rPr>
            <w:noProof/>
            <w:webHidden/>
          </w:rPr>
          <w:tab/>
        </w:r>
        <w:r w:rsidR="00983EAE">
          <w:rPr>
            <w:noProof/>
            <w:webHidden/>
          </w:rPr>
          <w:fldChar w:fldCharType="begin"/>
        </w:r>
        <w:r w:rsidR="00983EAE">
          <w:rPr>
            <w:noProof/>
            <w:webHidden/>
          </w:rPr>
          <w:instrText xml:space="preserve"> PAGEREF _Toc78983954 \h </w:instrText>
        </w:r>
        <w:r w:rsidR="00983EAE">
          <w:rPr>
            <w:noProof/>
            <w:webHidden/>
          </w:rPr>
        </w:r>
        <w:r w:rsidR="00983EAE">
          <w:rPr>
            <w:noProof/>
            <w:webHidden/>
          </w:rPr>
          <w:fldChar w:fldCharType="separate"/>
        </w:r>
        <w:r w:rsidR="00983EAE">
          <w:rPr>
            <w:noProof/>
            <w:webHidden/>
          </w:rPr>
          <w:t>3-88</w:t>
        </w:r>
        <w:r w:rsidR="00983EAE">
          <w:rPr>
            <w:noProof/>
            <w:webHidden/>
          </w:rPr>
          <w:fldChar w:fldCharType="end"/>
        </w:r>
      </w:hyperlink>
    </w:p>
    <w:p w14:paraId="09E73304" w14:textId="73F864BB" w:rsidR="00983EAE" w:rsidRDefault="00257087">
      <w:pPr>
        <w:pStyle w:val="TableofFigures"/>
        <w:tabs>
          <w:tab w:val="right" w:leader="underscore" w:pos="9016"/>
        </w:tabs>
        <w:rPr>
          <w:rFonts w:eastAsiaTheme="minorEastAsia"/>
          <w:i w:val="0"/>
          <w:iCs w:val="0"/>
          <w:noProof/>
          <w:sz w:val="22"/>
          <w:szCs w:val="22"/>
          <w:lang w:eastAsia="en-GB"/>
        </w:rPr>
      </w:pPr>
      <w:hyperlink w:anchor="_Toc78983955" w:history="1">
        <w:r w:rsidR="00983EAE" w:rsidRPr="007B3215">
          <w:rPr>
            <w:rStyle w:val="Hyperlink"/>
            <w:rFonts w:ascii="Arial" w:hAnsi="Arial" w:cs="Arial"/>
            <w:noProof/>
          </w:rPr>
          <w:t>Table 3.8</w:t>
        </w:r>
        <w:r w:rsidR="00983EAE" w:rsidRPr="007B3215">
          <w:rPr>
            <w:rStyle w:val="Hyperlink"/>
            <w:rFonts w:ascii="Arial" w:hAnsi="Arial" w:cs="Arial"/>
            <w:noProof/>
          </w:rPr>
          <w:noBreakHyphen/>
          <w:t>2: Summary of different types of financial knowledge from the review of literature</w:t>
        </w:r>
        <w:r w:rsidR="00983EAE">
          <w:rPr>
            <w:noProof/>
            <w:webHidden/>
          </w:rPr>
          <w:tab/>
        </w:r>
        <w:r w:rsidR="00983EAE">
          <w:rPr>
            <w:noProof/>
            <w:webHidden/>
          </w:rPr>
          <w:fldChar w:fldCharType="begin"/>
        </w:r>
        <w:r w:rsidR="00983EAE">
          <w:rPr>
            <w:noProof/>
            <w:webHidden/>
          </w:rPr>
          <w:instrText xml:space="preserve"> PAGEREF _Toc78983955 \h </w:instrText>
        </w:r>
        <w:r w:rsidR="00983EAE">
          <w:rPr>
            <w:noProof/>
            <w:webHidden/>
          </w:rPr>
        </w:r>
        <w:r w:rsidR="00983EAE">
          <w:rPr>
            <w:noProof/>
            <w:webHidden/>
          </w:rPr>
          <w:fldChar w:fldCharType="separate"/>
        </w:r>
        <w:r w:rsidR="00983EAE">
          <w:rPr>
            <w:noProof/>
            <w:webHidden/>
          </w:rPr>
          <w:t>3-93</w:t>
        </w:r>
        <w:r w:rsidR="00983EAE">
          <w:rPr>
            <w:noProof/>
            <w:webHidden/>
          </w:rPr>
          <w:fldChar w:fldCharType="end"/>
        </w:r>
      </w:hyperlink>
    </w:p>
    <w:p w14:paraId="059CCECD" w14:textId="571B9A41" w:rsidR="00983EAE" w:rsidRDefault="00257087">
      <w:pPr>
        <w:pStyle w:val="TableofFigures"/>
        <w:tabs>
          <w:tab w:val="right" w:leader="underscore" w:pos="9016"/>
        </w:tabs>
        <w:rPr>
          <w:rFonts w:eastAsiaTheme="minorEastAsia"/>
          <w:i w:val="0"/>
          <w:iCs w:val="0"/>
          <w:noProof/>
          <w:sz w:val="22"/>
          <w:szCs w:val="22"/>
          <w:lang w:eastAsia="en-GB"/>
        </w:rPr>
      </w:pPr>
      <w:hyperlink w:anchor="_Toc78983956" w:history="1">
        <w:r w:rsidR="00983EAE" w:rsidRPr="007B3215">
          <w:rPr>
            <w:rStyle w:val="Hyperlink"/>
            <w:noProof/>
          </w:rPr>
          <w:t>Table 3.8</w:t>
        </w:r>
        <w:r w:rsidR="00983EAE" w:rsidRPr="007B3215">
          <w:rPr>
            <w:rStyle w:val="Hyperlink"/>
            <w:noProof/>
          </w:rPr>
          <w:noBreakHyphen/>
          <w:t>3:</w:t>
        </w:r>
        <w:r w:rsidR="00983EAE" w:rsidRPr="007B3215">
          <w:rPr>
            <w:rStyle w:val="Hyperlink"/>
            <w:rFonts w:ascii="Arial" w:hAnsi="Arial" w:cs="Arial"/>
            <w:noProof/>
          </w:rPr>
          <w:t xml:space="preserve"> </w:t>
        </w:r>
        <w:r w:rsidR="00983EAE" w:rsidRPr="007B3215">
          <w:rPr>
            <w:rStyle w:val="Hyperlink"/>
            <w:noProof/>
          </w:rPr>
          <w:t>Management competences: Summary from the literature review</w:t>
        </w:r>
        <w:r w:rsidR="00983EAE">
          <w:rPr>
            <w:noProof/>
            <w:webHidden/>
          </w:rPr>
          <w:tab/>
        </w:r>
        <w:r w:rsidR="00983EAE">
          <w:rPr>
            <w:noProof/>
            <w:webHidden/>
          </w:rPr>
          <w:fldChar w:fldCharType="begin"/>
        </w:r>
        <w:r w:rsidR="00983EAE">
          <w:rPr>
            <w:noProof/>
            <w:webHidden/>
          </w:rPr>
          <w:instrText xml:space="preserve"> PAGEREF _Toc78983956 \h </w:instrText>
        </w:r>
        <w:r w:rsidR="00983EAE">
          <w:rPr>
            <w:noProof/>
            <w:webHidden/>
          </w:rPr>
        </w:r>
        <w:r w:rsidR="00983EAE">
          <w:rPr>
            <w:noProof/>
            <w:webHidden/>
          </w:rPr>
          <w:fldChar w:fldCharType="separate"/>
        </w:r>
        <w:r w:rsidR="00983EAE">
          <w:rPr>
            <w:noProof/>
            <w:webHidden/>
          </w:rPr>
          <w:t>3-96</w:t>
        </w:r>
        <w:r w:rsidR="00983EAE">
          <w:rPr>
            <w:noProof/>
            <w:webHidden/>
          </w:rPr>
          <w:fldChar w:fldCharType="end"/>
        </w:r>
      </w:hyperlink>
    </w:p>
    <w:p w14:paraId="6BB63BFD" w14:textId="0B7560C8" w:rsidR="00983EAE" w:rsidRDefault="00257087">
      <w:pPr>
        <w:pStyle w:val="TableofFigures"/>
        <w:tabs>
          <w:tab w:val="right" w:leader="underscore" w:pos="9016"/>
        </w:tabs>
        <w:rPr>
          <w:rFonts w:eastAsiaTheme="minorEastAsia"/>
          <w:i w:val="0"/>
          <w:iCs w:val="0"/>
          <w:noProof/>
          <w:sz w:val="22"/>
          <w:szCs w:val="22"/>
          <w:lang w:eastAsia="en-GB"/>
        </w:rPr>
      </w:pPr>
      <w:hyperlink w:anchor="_Toc78983957" w:history="1">
        <w:r w:rsidR="00983EAE" w:rsidRPr="007B3215">
          <w:rPr>
            <w:rStyle w:val="Hyperlink"/>
            <w:noProof/>
          </w:rPr>
          <w:t>Table 3.9</w:t>
        </w:r>
        <w:r w:rsidR="00983EAE" w:rsidRPr="007B3215">
          <w:rPr>
            <w:rStyle w:val="Hyperlink"/>
            <w:noProof/>
          </w:rPr>
          <w:noBreakHyphen/>
          <w:t>1: Examples of toolkit associated with finance</w:t>
        </w:r>
        <w:r w:rsidR="00983EAE">
          <w:rPr>
            <w:noProof/>
            <w:webHidden/>
          </w:rPr>
          <w:tab/>
        </w:r>
        <w:r w:rsidR="00983EAE">
          <w:rPr>
            <w:noProof/>
            <w:webHidden/>
          </w:rPr>
          <w:fldChar w:fldCharType="begin"/>
        </w:r>
        <w:r w:rsidR="00983EAE">
          <w:rPr>
            <w:noProof/>
            <w:webHidden/>
          </w:rPr>
          <w:instrText xml:space="preserve"> PAGEREF _Toc78983957 \h </w:instrText>
        </w:r>
        <w:r w:rsidR="00983EAE">
          <w:rPr>
            <w:noProof/>
            <w:webHidden/>
          </w:rPr>
        </w:r>
        <w:r w:rsidR="00983EAE">
          <w:rPr>
            <w:noProof/>
            <w:webHidden/>
          </w:rPr>
          <w:fldChar w:fldCharType="separate"/>
        </w:r>
        <w:r w:rsidR="00983EAE">
          <w:rPr>
            <w:noProof/>
            <w:webHidden/>
          </w:rPr>
          <w:t>3-112</w:t>
        </w:r>
        <w:r w:rsidR="00983EAE">
          <w:rPr>
            <w:noProof/>
            <w:webHidden/>
          </w:rPr>
          <w:fldChar w:fldCharType="end"/>
        </w:r>
      </w:hyperlink>
    </w:p>
    <w:p w14:paraId="4928533B" w14:textId="18B1404F" w:rsidR="00983EAE" w:rsidRDefault="00257087">
      <w:pPr>
        <w:pStyle w:val="TableofFigures"/>
        <w:tabs>
          <w:tab w:val="right" w:leader="underscore" w:pos="9016"/>
        </w:tabs>
        <w:rPr>
          <w:rFonts w:eastAsiaTheme="minorEastAsia"/>
          <w:i w:val="0"/>
          <w:iCs w:val="0"/>
          <w:noProof/>
          <w:sz w:val="22"/>
          <w:szCs w:val="22"/>
          <w:lang w:eastAsia="en-GB"/>
        </w:rPr>
      </w:pPr>
      <w:hyperlink w:anchor="_Toc78983958" w:history="1">
        <w:r w:rsidR="00983EAE" w:rsidRPr="007B3215">
          <w:rPr>
            <w:rStyle w:val="Hyperlink"/>
            <w:rFonts w:ascii="Arial" w:hAnsi="Arial" w:cs="Arial"/>
            <w:noProof/>
          </w:rPr>
          <w:t>Table 4.3</w:t>
        </w:r>
        <w:r w:rsidR="00983EAE" w:rsidRPr="007B3215">
          <w:rPr>
            <w:rStyle w:val="Hyperlink"/>
            <w:rFonts w:ascii="Arial" w:hAnsi="Arial" w:cs="Arial"/>
            <w:noProof/>
          </w:rPr>
          <w:noBreakHyphen/>
          <w:t>1: Overview of the research process</w:t>
        </w:r>
        <w:r w:rsidR="00983EAE">
          <w:rPr>
            <w:noProof/>
            <w:webHidden/>
          </w:rPr>
          <w:tab/>
        </w:r>
        <w:r w:rsidR="00983EAE">
          <w:rPr>
            <w:noProof/>
            <w:webHidden/>
          </w:rPr>
          <w:fldChar w:fldCharType="begin"/>
        </w:r>
        <w:r w:rsidR="00983EAE">
          <w:rPr>
            <w:noProof/>
            <w:webHidden/>
          </w:rPr>
          <w:instrText xml:space="preserve"> PAGEREF _Toc78983958 \h </w:instrText>
        </w:r>
        <w:r w:rsidR="00983EAE">
          <w:rPr>
            <w:noProof/>
            <w:webHidden/>
          </w:rPr>
        </w:r>
        <w:r w:rsidR="00983EAE">
          <w:rPr>
            <w:noProof/>
            <w:webHidden/>
          </w:rPr>
          <w:fldChar w:fldCharType="separate"/>
        </w:r>
        <w:r w:rsidR="00983EAE">
          <w:rPr>
            <w:noProof/>
            <w:webHidden/>
          </w:rPr>
          <w:t>4-116</w:t>
        </w:r>
        <w:r w:rsidR="00983EAE">
          <w:rPr>
            <w:noProof/>
            <w:webHidden/>
          </w:rPr>
          <w:fldChar w:fldCharType="end"/>
        </w:r>
      </w:hyperlink>
    </w:p>
    <w:p w14:paraId="2B0DD979" w14:textId="171D34A0" w:rsidR="00983EAE" w:rsidRDefault="00257087">
      <w:pPr>
        <w:pStyle w:val="TableofFigures"/>
        <w:tabs>
          <w:tab w:val="right" w:leader="underscore" w:pos="9016"/>
        </w:tabs>
        <w:rPr>
          <w:rFonts w:eastAsiaTheme="minorEastAsia"/>
          <w:i w:val="0"/>
          <w:iCs w:val="0"/>
          <w:noProof/>
          <w:sz w:val="22"/>
          <w:szCs w:val="22"/>
          <w:lang w:eastAsia="en-GB"/>
        </w:rPr>
      </w:pPr>
      <w:hyperlink w:anchor="_Toc78983959" w:history="1">
        <w:r w:rsidR="00983EAE" w:rsidRPr="007B3215">
          <w:rPr>
            <w:rStyle w:val="Hyperlink"/>
            <w:rFonts w:ascii="Arial" w:hAnsi="Arial" w:cs="Arial"/>
            <w:noProof/>
          </w:rPr>
          <w:t>Table 4.6</w:t>
        </w:r>
        <w:r w:rsidR="00983EAE" w:rsidRPr="007B3215">
          <w:rPr>
            <w:rStyle w:val="Hyperlink"/>
            <w:rFonts w:ascii="Arial" w:hAnsi="Arial" w:cs="Arial"/>
            <w:noProof/>
          </w:rPr>
          <w:noBreakHyphen/>
          <w:t>1:</w:t>
        </w:r>
        <w:r w:rsidR="00983EAE" w:rsidRPr="007B3215">
          <w:rPr>
            <w:rStyle w:val="Hyperlink"/>
            <w:rFonts w:ascii="Arial" w:eastAsia="Times New Roman" w:hAnsi="Arial" w:cs="Arial"/>
            <w:noProof/>
          </w:rPr>
          <w:t xml:space="preserve"> </w:t>
        </w:r>
        <w:r w:rsidR="00983EAE" w:rsidRPr="007B3215">
          <w:rPr>
            <w:rStyle w:val="Hyperlink"/>
            <w:rFonts w:ascii="Arial" w:hAnsi="Arial" w:cs="Arial"/>
            <w:noProof/>
          </w:rPr>
          <w:t>A summary profile of the managers that were involved in the interviews from both developed and emerging economies</w:t>
        </w:r>
        <w:r w:rsidR="00983EAE">
          <w:rPr>
            <w:noProof/>
            <w:webHidden/>
          </w:rPr>
          <w:tab/>
        </w:r>
        <w:r w:rsidR="00983EAE">
          <w:rPr>
            <w:noProof/>
            <w:webHidden/>
          </w:rPr>
          <w:fldChar w:fldCharType="begin"/>
        </w:r>
        <w:r w:rsidR="00983EAE">
          <w:rPr>
            <w:noProof/>
            <w:webHidden/>
          </w:rPr>
          <w:instrText xml:space="preserve"> PAGEREF _Toc78983959 \h </w:instrText>
        </w:r>
        <w:r w:rsidR="00983EAE">
          <w:rPr>
            <w:noProof/>
            <w:webHidden/>
          </w:rPr>
        </w:r>
        <w:r w:rsidR="00983EAE">
          <w:rPr>
            <w:noProof/>
            <w:webHidden/>
          </w:rPr>
          <w:fldChar w:fldCharType="separate"/>
        </w:r>
        <w:r w:rsidR="00983EAE">
          <w:rPr>
            <w:noProof/>
            <w:webHidden/>
          </w:rPr>
          <w:t>4-131</w:t>
        </w:r>
        <w:r w:rsidR="00983EAE">
          <w:rPr>
            <w:noProof/>
            <w:webHidden/>
          </w:rPr>
          <w:fldChar w:fldCharType="end"/>
        </w:r>
      </w:hyperlink>
    </w:p>
    <w:p w14:paraId="4D5CC508" w14:textId="309CA227" w:rsidR="00983EAE" w:rsidRDefault="00257087">
      <w:pPr>
        <w:pStyle w:val="TableofFigures"/>
        <w:tabs>
          <w:tab w:val="right" w:leader="underscore" w:pos="9016"/>
        </w:tabs>
        <w:rPr>
          <w:rFonts w:eastAsiaTheme="minorEastAsia"/>
          <w:i w:val="0"/>
          <w:iCs w:val="0"/>
          <w:noProof/>
          <w:sz w:val="22"/>
          <w:szCs w:val="22"/>
          <w:lang w:eastAsia="en-GB"/>
        </w:rPr>
      </w:pPr>
      <w:hyperlink w:anchor="_Toc78983960" w:history="1">
        <w:r w:rsidR="00983EAE" w:rsidRPr="007B3215">
          <w:rPr>
            <w:rStyle w:val="Hyperlink"/>
            <w:rFonts w:ascii="Arial" w:hAnsi="Arial" w:cs="Arial"/>
            <w:noProof/>
          </w:rPr>
          <w:t>Table 4.6</w:t>
        </w:r>
        <w:r w:rsidR="00983EAE" w:rsidRPr="007B3215">
          <w:rPr>
            <w:rStyle w:val="Hyperlink"/>
            <w:rFonts w:ascii="Arial" w:hAnsi="Arial" w:cs="Arial"/>
            <w:noProof/>
          </w:rPr>
          <w:noBreakHyphen/>
          <w:t>2:</w:t>
        </w:r>
        <w:r w:rsidR="00983EAE" w:rsidRPr="007B3215">
          <w:rPr>
            <w:rStyle w:val="Hyperlink"/>
            <w:rFonts w:ascii="Arial" w:eastAsia="Calibri" w:hAnsi="Arial" w:cs="Arial"/>
            <w:noProof/>
            <w:lang w:val="en-US"/>
          </w:rPr>
          <w:t xml:space="preserve"> </w:t>
        </w:r>
        <w:r w:rsidR="00983EAE" w:rsidRPr="007B3215">
          <w:rPr>
            <w:rStyle w:val="Hyperlink"/>
            <w:rFonts w:ascii="Arial" w:hAnsi="Arial" w:cs="Arial"/>
            <w:noProof/>
            <w:lang w:val="en-US"/>
          </w:rPr>
          <w:t>A rating system for the study</w:t>
        </w:r>
        <w:r w:rsidR="00983EAE">
          <w:rPr>
            <w:noProof/>
            <w:webHidden/>
          </w:rPr>
          <w:tab/>
        </w:r>
        <w:r w:rsidR="00983EAE">
          <w:rPr>
            <w:noProof/>
            <w:webHidden/>
          </w:rPr>
          <w:fldChar w:fldCharType="begin"/>
        </w:r>
        <w:r w:rsidR="00983EAE">
          <w:rPr>
            <w:noProof/>
            <w:webHidden/>
          </w:rPr>
          <w:instrText xml:space="preserve"> PAGEREF _Toc78983960 \h </w:instrText>
        </w:r>
        <w:r w:rsidR="00983EAE">
          <w:rPr>
            <w:noProof/>
            <w:webHidden/>
          </w:rPr>
        </w:r>
        <w:r w:rsidR="00983EAE">
          <w:rPr>
            <w:noProof/>
            <w:webHidden/>
          </w:rPr>
          <w:fldChar w:fldCharType="separate"/>
        </w:r>
        <w:r w:rsidR="00983EAE">
          <w:rPr>
            <w:noProof/>
            <w:webHidden/>
          </w:rPr>
          <w:t>4-134</w:t>
        </w:r>
        <w:r w:rsidR="00983EAE">
          <w:rPr>
            <w:noProof/>
            <w:webHidden/>
          </w:rPr>
          <w:fldChar w:fldCharType="end"/>
        </w:r>
      </w:hyperlink>
    </w:p>
    <w:p w14:paraId="7AFFA815" w14:textId="73A30461" w:rsidR="00983EAE" w:rsidRDefault="00257087">
      <w:pPr>
        <w:pStyle w:val="TableofFigures"/>
        <w:tabs>
          <w:tab w:val="right" w:leader="underscore" w:pos="9016"/>
        </w:tabs>
        <w:rPr>
          <w:rFonts w:eastAsiaTheme="minorEastAsia"/>
          <w:i w:val="0"/>
          <w:iCs w:val="0"/>
          <w:noProof/>
          <w:sz w:val="22"/>
          <w:szCs w:val="22"/>
          <w:lang w:eastAsia="en-GB"/>
        </w:rPr>
      </w:pPr>
      <w:hyperlink w:anchor="_Toc78983961" w:history="1">
        <w:r w:rsidR="00983EAE" w:rsidRPr="007B3215">
          <w:rPr>
            <w:rStyle w:val="Hyperlink"/>
            <w:rFonts w:ascii="Arial" w:hAnsi="Arial" w:cs="Arial"/>
            <w:noProof/>
          </w:rPr>
          <w:t>Table 4.6</w:t>
        </w:r>
        <w:r w:rsidR="00983EAE" w:rsidRPr="007B3215">
          <w:rPr>
            <w:rStyle w:val="Hyperlink"/>
            <w:rFonts w:ascii="Arial" w:hAnsi="Arial" w:cs="Arial"/>
            <w:noProof/>
          </w:rPr>
          <w:noBreakHyphen/>
          <w:t>3: Actions were taken to improve the response rate</w:t>
        </w:r>
        <w:r w:rsidR="00983EAE">
          <w:rPr>
            <w:noProof/>
            <w:webHidden/>
          </w:rPr>
          <w:tab/>
        </w:r>
        <w:r w:rsidR="00983EAE">
          <w:rPr>
            <w:noProof/>
            <w:webHidden/>
          </w:rPr>
          <w:fldChar w:fldCharType="begin"/>
        </w:r>
        <w:r w:rsidR="00983EAE">
          <w:rPr>
            <w:noProof/>
            <w:webHidden/>
          </w:rPr>
          <w:instrText xml:space="preserve"> PAGEREF _Toc78983961 \h </w:instrText>
        </w:r>
        <w:r w:rsidR="00983EAE">
          <w:rPr>
            <w:noProof/>
            <w:webHidden/>
          </w:rPr>
        </w:r>
        <w:r w:rsidR="00983EAE">
          <w:rPr>
            <w:noProof/>
            <w:webHidden/>
          </w:rPr>
          <w:fldChar w:fldCharType="separate"/>
        </w:r>
        <w:r w:rsidR="00983EAE">
          <w:rPr>
            <w:noProof/>
            <w:webHidden/>
          </w:rPr>
          <w:t>4-138</w:t>
        </w:r>
        <w:r w:rsidR="00983EAE">
          <w:rPr>
            <w:noProof/>
            <w:webHidden/>
          </w:rPr>
          <w:fldChar w:fldCharType="end"/>
        </w:r>
      </w:hyperlink>
    </w:p>
    <w:p w14:paraId="3CE02836" w14:textId="0B260653" w:rsidR="00983EAE" w:rsidRDefault="00257087">
      <w:pPr>
        <w:pStyle w:val="TableofFigures"/>
        <w:tabs>
          <w:tab w:val="right" w:leader="underscore" w:pos="9016"/>
        </w:tabs>
        <w:rPr>
          <w:rFonts w:eastAsiaTheme="minorEastAsia"/>
          <w:i w:val="0"/>
          <w:iCs w:val="0"/>
          <w:noProof/>
          <w:sz w:val="22"/>
          <w:szCs w:val="22"/>
          <w:lang w:eastAsia="en-GB"/>
        </w:rPr>
      </w:pPr>
      <w:hyperlink w:anchor="_Toc78983962" w:history="1">
        <w:r w:rsidR="00983EAE" w:rsidRPr="007B3215">
          <w:rPr>
            <w:rStyle w:val="Hyperlink"/>
            <w:rFonts w:ascii="Arial" w:hAnsi="Arial" w:cs="Arial"/>
            <w:noProof/>
          </w:rPr>
          <w:t>Table 4.6</w:t>
        </w:r>
        <w:r w:rsidR="00983EAE" w:rsidRPr="007B3215">
          <w:rPr>
            <w:rStyle w:val="Hyperlink"/>
            <w:rFonts w:ascii="Arial" w:hAnsi="Arial" w:cs="Arial"/>
            <w:noProof/>
          </w:rPr>
          <w:noBreakHyphen/>
          <w:t>4: Response rate</w:t>
        </w:r>
        <w:r w:rsidR="00983EAE">
          <w:rPr>
            <w:noProof/>
            <w:webHidden/>
          </w:rPr>
          <w:tab/>
        </w:r>
        <w:r w:rsidR="00983EAE">
          <w:rPr>
            <w:noProof/>
            <w:webHidden/>
          </w:rPr>
          <w:fldChar w:fldCharType="begin"/>
        </w:r>
        <w:r w:rsidR="00983EAE">
          <w:rPr>
            <w:noProof/>
            <w:webHidden/>
          </w:rPr>
          <w:instrText xml:space="preserve"> PAGEREF _Toc78983962 \h </w:instrText>
        </w:r>
        <w:r w:rsidR="00983EAE">
          <w:rPr>
            <w:noProof/>
            <w:webHidden/>
          </w:rPr>
        </w:r>
        <w:r w:rsidR="00983EAE">
          <w:rPr>
            <w:noProof/>
            <w:webHidden/>
          </w:rPr>
          <w:fldChar w:fldCharType="separate"/>
        </w:r>
        <w:r w:rsidR="00983EAE">
          <w:rPr>
            <w:noProof/>
            <w:webHidden/>
          </w:rPr>
          <w:t>4-138</w:t>
        </w:r>
        <w:r w:rsidR="00983EAE">
          <w:rPr>
            <w:noProof/>
            <w:webHidden/>
          </w:rPr>
          <w:fldChar w:fldCharType="end"/>
        </w:r>
      </w:hyperlink>
    </w:p>
    <w:p w14:paraId="7E737FBF" w14:textId="6D5A693A" w:rsidR="00983EAE" w:rsidRDefault="00257087">
      <w:pPr>
        <w:pStyle w:val="TableofFigures"/>
        <w:tabs>
          <w:tab w:val="right" w:leader="underscore" w:pos="9016"/>
        </w:tabs>
        <w:rPr>
          <w:rFonts w:eastAsiaTheme="minorEastAsia"/>
          <w:i w:val="0"/>
          <w:iCs w:val="0"/>
          <w:noProof/>
          <w:sz w:val="22"/>
          <w:szCs w:val="22"/>
          <w:lang w:eastAsia="en-GB"/>
        </w:rPr>
      </w:pPr>
      <w:hyperlink w:anchor="_Toc78983963" w:history="1">
        <w:r w:rsidR="00983EAE" w:rsidRPr="007B3215">
          <w:rPr>
            <w:rStyle w:val="Hyperlink"/>
            <w:noProof/>
          </w:rPr>
          <w:t>Table 4.7</w:t>
        </w:r>
        <w:r w:rsidR="00983EAE" w:rsidRPr="007B3215">
          <w:rPr>
            <w:rStyle w:val="Hyperlink"/>
            <w:noProof/>
          </w:rPr>
          <w:noBreakHyphen/>
          <w:t>1: Interpreting a correlation coefficient</w:t>
        </w:r>
        <w:r w:rsidR="00983EAE">
          <w:rPr>
            <w:noProof/>
            <w:webHidden/>
          </w:rPr>
          <w:tab/>
        </w:r>
        <w:r w:rsidR="00983EAE">
          <w:rPr>
            <w:noProof/>
            <w:webHidden/>
          </w:rPr>
          <w:fldChar w:fldCharType="begin"/>
        </w:r>
        <w:r w:rsidR="00983EAE">
          <w:rPr>
            <w:noProof/>
            <w:webHidden/>
          </w:rPr>
          <w:instrText xml:space="preserve"> PAGEREF _Toc78983963 \h </w:instrText>
        </w:r>
        <w:r w:rsidR="00983EAE">
          <w:rPr>
            <w:noProof/>
            <w:webHidden/>
          </w:rPr>
        </w:r>
        <w:r w:rsidR="00983EAE">
          <w:rPr>
            <w:noProof/>
            <w:webHidden/>
          </w:rPr>
          <w:fldChar w:fldCharType="separate"/>
        </w:r>
        <w:r w:rsidR="00983EAE">
          <w:rPr>
            <w:noProof/>
            <w:webHidden/>
          </w:rPr>
          <w:t>4-141</w:t>
        </w:r>
        <w:r w:rsidR="00983EAE">
          <w:rPr>
            <w:noProof/>
            <w:webHidden/>
          </w:rPr>
          <w:fldChar w:fldCharType="end"/>
        </w:r>
      </w:hyperlink>
    </w:p>
    <w:p w14:paraId="2FF8C450" w14:textId="11619FF1" w:rsidR="00983EAE" w:rsidRDefault="00257087">
      <w:pPr>
        <w:pStyle w:val="TableofFigures"/>
        <w:tabs>
          <w:tab w:val="right" w:leader="underscore" w:pos="9016"/>
        </w:tabs>
        <w:rPr>
          <w:rFonts w:eastAsiaTheme="minorEastAsia"/>
          <w:i w:val="0"/>
          <w:iCs w:val="0"/>
          <w:noProof/>
          <w:sz w:val="22"/>
          <w:szCs w:val="22"/>
          <w:lang w:eastAsia="en-GB"/>
        </w:rPr>
      </w:pPr>
      <w:hyperlink w:anchor="_Toc78983964" w:history="1">
        <w:r w:rsidR="00983EAE" w:rsidRPr="007B3215">
          <w:rPr>
            <w:rStyle w:val="Hyperlink"/>
            <w:rFonts w:ascii="Arial" w:hAnsi="Arial" w:cs="Arial"/>
            <w:noProof/>
          </w:rPr>
          <w:t>Table 4.7</w:t>
        </w:r>
        <w:r w:rsidR="00983EAE" w:rsidRPr="007B3215">
          <w:rPr>
            <w:rStyle w:val="Hyperlink"/>
            <w:rFonts w:ascii="Arial" w:hAnsi="Arial" w:cs="Arial"/>
            <w:noProof/>
          </w:rPr>
          <w:noBreakHyphen/>
          <w:t>2: Summary of the data analysis method used</w:t>
        </w:r>
        <w:r w:rsidR="00983EAE">
          <w:rPr>
            <w:noProof/>
            <w:webHidden/>
          </w:rPr>
          <w:tab/>
        </w:r>
        <w:r w:rsidR="00983EAE">
          <w:rPr>
            <w:noProof/>
            <w:webHidden/>
          </w:rPr>
          <w:fldChar w:fldCharType="begin"/>
        </w:r>
        <w:r w:rsidR="00983EAE">
          <w:rPr>
            <w:noProof/>
            <w:webHidden/>
          </w:rPr>
          <w:instrText xml:space="preserve"> PAGEREF _Toc78983964 \h </w:instrText>
        </w:r>
        <w:r w:rsidR="00983EAE">
          <w:rPr>
            <w:noProof/>
            <w:webHidden/>
          </w:rPr>
        </w:r>
        <w:r w:rsidR="00983EAE">
          <w:rPr>
            <w:noProof/>
            <w:webHidden/>
          </w:rPr>
          <w:fldChar w:fldCharType="separate"/>
        </w:r>
        <w:r w:rsidR="00983EAE">
          <w:rPr>
            <w:noProof/>
            <w:webHidden/>
          </w:rPr>
          <w:t>4-141</w:t>
        </w:r>
        <w:r w:rsidR="00983EAE">
          <w:rPr>
            <w:noProof/>
            <w:webHidden/>
          </w:rPr>
          <w:fldChar w:fldCharType="end"/>
        </w:r>
      </w:hyperlink>
    </w:p>
    <w:p w14:paraId="759009B3" w14:textId="05EE605A" w:rsidR="00983EAE" w:rsidRDefault="00257087">
      <w:pPr>
        <w:pStyle w:val="TableofFigures"/>
        <w:tabs>
          <w:tab w:val="right" w:leader="underscore" w:pos="9016"/>
        </w:tabs>
        <w:rPr>
          <w:rFonts w:eastAsiaTheme="minorEastAsia"/>
          <w:i w:val="0"/>
          <w:iCs w:val="0"/>
          <w:noProof/>
          <w:sz w:val="22"/>
          <w:szCs w:val="22"/>
          <w:lang w:eastAsia="en-GB"/>
        </w:rPr>
      </w:pPr>
      <w:hyperlink w:anchor="_Toc78983965" w:history="1">
        <w:r w:rsidR="00983EAE" w:rsidRPr="007B3215">
          <w:rPr>
            <w:rStyle w:val="Hyperlink"/>
            <w:rFonts w:ascii="Arial" w:hAnsi="Arial" w:cs="Arial"/>
            <w:noProof/>
          </w:rPr>
          <w:t>Table 4.7</w:t>
        </w:r>
        <w:r w:rsidR="00983EAE" w:rsidRPr="007B3215">
          <w:rPr>
            <w:rStyle w:val="Hyperlink"/>
            <w:rFonts w:ascii="Arial" w:hAnsi="Arial" w:cs="Arial"/>
            <w:noProof/>
          </w:rPr>
          <w:noBreakHyphen/>
          <w:t>3: Tests for normality:</w:t>
        </w:r>
        <w:r w:rsidR="00983EAE">
          <w:rPr>
            <w:noProof/>
            <w:webHidden/>
          </w:rPr>
          <w:tab/>
        </w:r>
        <w:r w:rsidR="00983EAE">
          <w:rPr>
            <w:noProof/>
            <w:webHidden/>
          </w:rPr>
          <w:fldChar w:fldCharType="begin"/>
        </w:r>
        <w:r w:rsidR="00983EAE">
          <w:rPr>
            <w:noProof/>
            <w:webHidden/>
          </w:rPr>
          <w:instrText xml:space="preserve"> PAGEREF _Toc78983965 \h </w:instrText>
        </w:r>
        <w:r w:rsidR="00983EAE">
          <w:rPr>
            <w:noProof/>
            <w:webHidden/>
          </w:rPr>
        </w:r>
        <w:r w:rsidR="00983EAE">
          <w:rPr>
            <w:noProof/>
            <w:webHidden/>
          </w:rPr>
          <w:fldChar w:fldCharType="separate"/>
        </w:r>
        <w:r w:rsidR="00983EAE">
          <w:rPr>
            <w:noProof/>
            <w:webHidden/>
          </w:rPr>
          <w:t>4-142</w:t>
        </w:r>
        <w:r w:rsidR="00983EAE">
          <w:rPr>
            <w:noProof/>
            <w:webHidden/>
          </w:rPr>
          <w:fldChar w:fldCharType="end"/>
        </w:r>
      </w:hyperlink>
    </w:p>
    <w:p w14:paraId="31D113A9" w14:textId="22EF87A3" w:rsidR="00983EAE" w:rsidRDefault="00257087">
      <w:pPr>
        <w:pStyle w:val="TableofFigures"/>
        <w:tabs>
          <w:tab w:val="right" w:leader="underscore" w:pos="9016"/>
        </w:tabs>
        <w:rPr>
          <w:rFonts w:eastAsiaTheme="minorEastAsia"/>
          <w:i w:val="0"/>
          <w:iCs w:val="0"/>
          <w:noProof/>
          <w:sz w:val="22"/>
          <w:szCs w:val="22"/>
          <w:lang w:eastAsia="en-GB"/>
        </w:rPr>
      </w:pPr>
      <w:hyperlink w:anchor="_Toc78983966" w:history="1">
        <w:r w:rsidR="00983EAE" w:rsidRPr="007B3215">
          <w:rPr>
            <w:rStyle w:val="Hyperlink"/>
            <w:rFonts w:ascii="Arial" w:hAnsi="Arial" w:cs="Arial"/>
            <w:noProof/>
          </w:rPr>
          <w:t>Table 4.8</w:t>
        </w:r>
        <w:r w:rsidR="00983EAE" w:rsidRPr="007B3215">
          <w:rPr>
            <w:rStyle w:val="Hyperlink"/>
            <w:rFonts w:ascii="Arial" w:hAnsi="Arial" w:cs="Arial"/>
            <w:noProof/>
          </w:rPr>
          <w:noBreakHyphen/>
          <w:t>1: Attributes of reliability</w:t>
        </w:r>
        <w:r w:rsidR="00983EAE">
          <w:rPr>
            <w:noProof/>
            <w:webHidden/>
          </w:rPr>
          <w:tab/>
        </w:r>
        <w:r w:rsidR="00983EAE">
          <w:rPr>
            <w:noProof/>
            <w:webHidden/>
          </w:rPr>
          <w:fldChar w:fldCharType="begin"/>
        </w:r>
        <w:r w:rsidR="00983EAE">
          <w:rPr>
            <w:noProof/>
            <w:webHidden/>
          </w:rPr>
          <w:instrText xml:space="preserve"> PAGEREF _Toc78983966 \h </w:instrText>
        </w:r>
        <w:r w:rsidR="00983EAE">
          <w:rPr>
            <w:noProof/>
            <w:webHidden/>
          </w:rPr>
        </w:r>
        <w:r w:rsidR="00983EAE">
          <w:rPr>
            <w:noProof/>
            <w:webHidden/>
          </w:rPr>
          <w:fldChar w:fldCharType="separate"/>
        </w:r>
        <w:r w:rsidR="00983EAE">
          <w:rPr>
            <w:noProof/>
            <w:webHidden/>
          </w:rPr>
          <w:t>4-142</w:t>
        </w:r>
        <w:r w:rsidR="00983EAE">
          <w:rPr>
            <w:noProof/>
            <w:webHidden/>
          </w:rPr>
          <w:fldChar w:fldCharType="end"/>
        </w:r>
      </w:hyperlink>
    </w:p>
    <w:p w14:paraId="3CEC0925" w14:textId="11A11142" w:rsidR="00983EAE" w:rsidRDefault="00257087">
      <w:pPr>
        <w:pStyle w:val="TableofFigures"/>
        <w:tabs>
          <w:tab w:val="right" w:leader="underscore" w:pos="9016"/>
        </w:tabs>
        <w:rPr>
          <w:rFonts w:eastAsiaTheme="minorEastAsia"/>
          <w:i w:val="0"/>
          <w:iCs w:val="0"/>
          <w:noProof/>
          <w:sz w:val="22"/>
          <w:szCs w:val="22"/>
          <w:lang w:eastAsia="en-GB"/>
        </w:rPr>
      </w:pPr>
      <w:hyperlink w:anchor="_Toc78983967" w:history="1">
        <w:r w:rsidR="00983EAE" w:rsidRPr="007B3215">
          <w:rPr>
            <w:rStyle w:val="Hyperlink"/>
            <w:rFonts w:ascii="Arial" w:hAnsi="Arial" w:cs="Arial"/>
            <w:noProof/>
          </w:rPr>
          <w:t>Table 5.2</w:t>
        </w:r>
        <w:r w:rsidR="00983EAE" w:rsidRPr="007B3215">
          <w:rPr>
            <w:rStyle w:val="Hyperlink"/>
            <w:rFonts w:ascii="Arial" w:hAnsi="Arial" w:cs="Arial"/>
            <w:noProof/>
          </w:rPr>
          <w:noBreakHyphen/>
          <w:t>1: Finance options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_Toc78983967 \h </w:instrText>
        </w:r>
        <w:r w:rsidR="00983EAE">
          <w:rPr>
            <w:noProof/>
            <w:webHidden/>
          </w:rPr>
        </w:r>
        <w:r w:rsidR="00983EAE">
          <w:rPr>
            <w:noProof/>
            <w:webHidden/>
          </w:rPr>
          <w:fldChar w:fldCharType="separate"/>
        </w:r>
        <w:r w:rsidR="00983EAE">
          <w:rPr>
            <w:noProof/>
            <w:webHidden/>
          </w:rPr>
          <w:t>5-147</w:t>
        </w:r>
        <w:r w:rsidR="00983EAE">
          <w:rPr>
            <w:noProof/>
            <w:webHidden/>
          </w:rPr>
          <w:fldChar w:fldCharType="end"/>
        </w:r>
      </w:hyperlink>
    </w:p>
    <w:p w14:paraId="4627A69C" w14:textId="0C8820C8" w:rsidR="00983EAE" w:rsidRDefault="00257087">
      <w:pPr>
        <w:pStyle w:val="TableofFigures"/>
        <w:tabs>
          <w:tab w:val="right" w:leader="underscore" w:pos="9016"/>
        </w:tabs>
        <w:rPr>
          <w:rFonts w:eastAsiaTheme="minorEastAsia"/>
          <w:i w:val="0"/>
          <w:iCs w:val="0"/>
          <w:noProof/>
          <w:sz w:val="22"/>
          <w:szCs w:val="22"/>
          <w:lang w:eastAsia="en-GB"/>
        </w:rPr>
      </w:pPr>
      <w:hyperlink w:anchor="_Toc78983968" w:history="1">
        <w:r w:rsidR="00983EAE" w:rsidRPr="007B3215">
          <w:rPr>
            <w:rStyle w:val="Hyperlink"/>
            <w:noProof/>
          </w:rPr>
          <w:t>Table 5.2</w:t>
        </w:r>
        <w:r w:rsidR="00983EAE" w:rsidRPr="007B3215">
          <w:rPr>
            <w:rStyle w:val="Hyperlink"/>
            <w:noProof/>
          </w:rPr>
          <w:noBreakHyphen/>
          <w:t xml:space="preserve">2: </w:t>
        </w:r>
        <w:r w:rsidR="00983EAE" w:rsidRPr="007B3215">
          <w:rPr>
            <w:rStyle w:val="Hyperlink"/>
            <w:rFonts w:ascii="Arial" w:hAnsi="Arial" w:cs="Arial"/>
            <w:noProof/>
          </w:rPr>
          <w:t>Finance options used at the dis-aggregate level based on findings from the questionnaire survey.</w:t>
        </w:r>
        <w:r w:rsidR="00983EAE">
          <w:rPr>
            <w:noProof/>
            <w:webHidden/>
          </w:rPr>
          <w:tab/>
        </w:r>
        <w:r w:rsidR="00983EAE">
          <w:rPr>
            <w:noProof/>
            <w:webHidden/>
          </w:rPr>
          <w:fldChar w:fldCharType="begin"/>
        </w:r>
        <w:r w:rsidR="00983EAE">
          <w:rPr>
            <w:noProof/>
            <w:webHidden/>
          </w:rPr>
          <w:instrText xml:space="preserve"> PAGEREF _Toc78983968 \h </w:instrText>
        </w:r>
        <w:r w:rsidR="00983EAE">
          <w:rPr>
            <w:noProof/>
            <w:webHidden/>
          </w:rPr>
        </w:r>
        <w:r w:rsidR="00983EAE">
          <w:rPr>
            <w:noProof/>
            <w:webHidden/>
          </w:rPr>
          <w:fldChar w:fldCharType="separate"/>
        </w:r>
        <w:r w:rsidR="00983EAE">
          <w:rPr>
            <w:noProof/>
            <w:webHidden/>
          </w:rPr>
          <w:t>5-149</w:t>
        </w:r>
        <w:r w:rsidR="00983EAE">
          <w:rPr>
            <w:noProof/>
            <w:webHidden/>
          </w:rPr>
          <w:fldChar w:fldCharType="end"/>
        </w:r>
      </w:hyperlink>
    </w:p>
    <w:p w14:paraId="7A2F8429" w14:textId="79112D2C" w:rsidR="00983EAE" w:rsidRDefault="00257087">
      <w:pPr>
        <w:pStyle w:val="TableofFigures"/>
        <w:tabs>
          <w:tab w:val="right" w:leader="underscore" w:pos="9016"/>
        </w:tabs>
        <w:rPr>
          <w:rFonts w:eastAsiaTheme="minorEastAsia"/>
          <w:i w:val="0"/>
          <w:iCs w:val="0"/>
          <w:noProof/>
          <w:sz w:val="22"/>
          <w:szCs w:val="22"/>
          <w:lang w:eastAsia="en-GB"/>
        </w:rPr>
      </w:pPr>
      <w:hyperlink w:anchor="_Toc78983969" w:history="1">
        <w:r w:rsidR="00983EAE" w:rsidRPr="007B3215">
          <w:rPr>
            <w:rStyle w:val="Hyperlink"/>
            <w:rFonts w:ascii="Arial" w:hAnsi="Arial" w:cs="Arial"/>
            <w:noProof/>
          </w:rPr>
          <w:t>Table 5.2</w:t>
        </w:r>
        <w:r w:rsidR="00983EAE" w:rsidRPr="007B3215">
          <w:rPr>
            <w:rStyle w:val="Hyperlink"/>
            <w:rFonts w:ascii="Arial" w:hAnsi="Arial" w:cs="Arial"/>
            <w:noProof/>
          </w:rPr>
          <w:noBreakHyphen/>
          <w:t>3: Spearman correlation coefficient test for the relationship between the managerial level and finance option</w:t>
        </w:r>
        <w:r w:rsidR="00983EAE">
          <w:rPr>
            <w:noProof/>
            <w:webHidden/>
          </w:rPr>
          <w:tab/>
        </w:r>
        <w:r w:rsidR="00983EAE">
          <w:rPr>
            <w:noProof/>
            <w:webHidden/>
          </w:rPr>
          <w:fldChar w:fldCharType="begin"/>
        </w:r>
        <w:r w:rsidR="00983EAE">
          <w:rPr>
            <w:noProof/>
            <w:webHidden/>
          </w:rPr>
          <w:instrText xml:space="preserve"> PAGEREF _Toc78983969 \h </w:instrText>
        </w:r>
        <w:r w:rsidR="00983EAE">
          <w:rPr>
            <w:noProof/>
            <w:webHidden/>
          </w:rPr>
        </w:r>
        <w:r w:rsidR="00983EAE">
          <w:rPr>
            <w:noProof/>
            <w:webHidden/>
          </w:rPr>
          <w:fldChar w:fldCharType="separate"/>
        </w:r>
        <w:r w:rsidR="00983EAE">
          <w:rPr>
            <w:noProof/>
            <w:webHidden/>
          </w:rPr>
          <w:t>5-151</w:t>
        </w:r>
        <w:r w:rsidR="00983EAE">
          <w:rPr>
            <w:noProof/>
            <w:webHidden/>
          </w:rPr>
          <w:fldChar w:fldCharType="end"/>
        </w:r>
      </w:hyperlink>
    </w:p>
    <w:p w14:paraId="0BEE22C4" w14:textId="5D459D44" w:rsidR="00983EAE" w:rsidRDefault="00257087">
      <w:pPr>
        <w:pStyle w:val="TableofFigures"/>
        <w:tabs>
          <w:tab w:val="right" w:leader="underscore" w:pos="9016"/>
        </w:tabs>
        <w:rPr>
          <w:rFonts w:eastAsiaTheme="minorEastAsia"/>
          <w:i w:val="0"/>
          <w:iCs w:val="0"/>
          <w:noProof/>
          <w:sz w:val="22"/>
          <w:szCs w:val="22"/>
          <w:lang w:eastAsia="en-GB"/>
        </w:rPr>
      </w:pPr>
      <w:hyperlink w:anchor="_Toc78983970" w:history="1">
        <w:r w:rsidR="00983EAE" w:rsidRPr="007B3215">
          <w:rPr>
            <w:rStyle w:val="Hyperlink"/>
            <w:rFonts w:ascii="Arial" w:hAnsi="Arial" w:cs="Arial"/>
            <w:noProof/>
          </w:rPr>
          <w:t>Table 5.2</w:t>
        </w:r>
        <w:r w:rsidR="00983EAE" w:rsidRPr="007B3215">
          <w:rPr>
            <w:rStyle w:val="Hyperlink"/>
            <w:rFonts w:ascii="Arial" w:hAnsi="Arial" w:cs="Arial"/>
            <w:noProof/>
          </w:rPr>
          <w:noBreakHyphen/>
          <w:t>4: Results relating to the finance options for real estate project development in developed economies.</w:t>
        </w:r>
        <w:r w:rsidR="00983EAE">
          <w:rPr>
            <w:noProof/>
            <w:webHidden/>
          </w:rPr>
          <w:tab/>
        </w:r>
        <w:r w:rsidR="00983EAE">
          <w:rPr>
            <w:noProof/>
            <w:webHidden/>
          </w:rPr>
          <w:fldChar w:fldCharType="begin"/>
        </w:r>
        <w:r w:rsidR="00983EAE">
          <w:rPr>
            <w:noProof/>
            <w:webHidden/>
          </w:rPr>
          <w:instrText xml:space="preserve"> PAGEREF _Toc78983970 \h </w:instrText>
        </w:r>
        <w:r w:rsidR="00983EAE">
          <w:rPr>
            <w:noProof/>
            <w:webHidden/>
          </w:rPr>
        </w:r>
        <w:r w:rsidR="00983EAE">
          <w:rPr>
            <w:noProof/>
            <w:webHidden/>
          </w:rPr>
          <w:fldChar w:fldCharType="separate"/>
        </w:r>
        <w:r w:rsidR="00983EAE">
          <w:rPr>
            <w:noProof/>
            <w:webHidden/>
          </w:rPr>
          <w:t>5-152</w:t>
        </w:r>
        <w:r w:rsidR="00983EAE">
          <w:rPr>
            <w:noProof/>
            <w:webHidden/>
          </w:rPr>
          <w:fldChar w:fldCharType="end"/>
        </w:r>
      </w:hyperlink>
    </w:p>
    <w:p w14:paraId="49B87512" w14:textId="56E365C3" w:rsidR="00983EAE" w:rsidRDefault="00257087">
      <w:pPr>
        <w:pStyle w:val="TableofFigures"/>
        <w:tabs>
          <w:tab w:val="right" w:leader="underscore" w:pos="9016"/>
        </w:tabs>
        <w:rPr>
          <w:rFonts w:eastAsiaTheme="minorEastAsia"/>
          <w:i w:val="0"/>
          <w:iCs w:val="0"/>
          <w:noProof/>
          <w:sz w:val="22"/>
          <w:szCs w:val="22"/>
          <w:lang w:eastAsia="en-GB"/>
        </w:rPr>
      </w:pPr>
      <w:hyperlink w:anchor="_Toc78983971" w:history="1">
        <w:r w:rsidR="00983EAE" w:rsidRPr="007B3215">
          <w:rPr>
            <w:rStyle w:val="Hyperlink"/>
            <w:rFonts w:ascii="Arial" w:hAnsi="Arial" w:cs="Arial"/>
            <w:noProof/>
          </w:rPr>
          <w:t>Table 5.2</w:t>
        </w:r>
        <w:r w:rsidR="00983EAE" w:rsidRPr="007B3215">
          <w:rPr>
            <w:rStyle w:val="Hyperlink"/>
            <w:rFonts w:ascii="Arial" w:hAnsi="Arial" w:cs="Arial"/>
            <w:noProof/>
          </w:rPr>
          <w:noBreakHyphen/>
          <w:t>5: Results relating to the finance options for real estate project development in emerging economies.</w:t>
        </w:r>
        <w:r w:rsidR="00983EAE">
          <w:rPr>
            <w:noProof/>
            <w:webHidden/>
          </w:rPr>
          <w:tab/>
        </w:r>
        <w:r w:rsidR="00983EAE">
          <w:rPr>
            <w:noProof/>
            <w:webHidden/>
          </w:rPr>
          <w:fldChar w:fldCharType="begin"/>
        </w:r>
        <w:r w:rsidR="00983EAE">
          <w:rPr>
            <w:noProof/>
            <w:webHidden/>
          </w:rPr>
          <w:instrText xml:space="preserve"> PAGEREF _Toc78983971 \h </w:instrText>
        </w:r>
        <w:r w:rsidR="00983EAE">
          <w:rPr>
            <w:noProof/>
            <w:webHidden/>
          </w:rPr>
        </w:r>
        <w:r w:rsidR="00983EAE">
          <w:rPr>
            <w:noProof/>
            <w:webHidden/>
          </w:rPr>
          <w:fldChar w:fldCharType="separate"/>
        </w:r>
        <w:r w:rsidR="00983EAE">
          <w:rPr>
            <w:noProof/>
            <w:webHidden/>
          </w:rPr>
          <w:t>5-152</w:t>
        </w:r>
        <w:r w:rsidR="00983EAE">
          <w:rPr>
            <w:noProof/>
            <w:webHidden/>
          </w:rPr>
          <w:fldChar w:fldCharType="end"/>
        </w:r>
      </w:hyperlink>
    </w:p>
    <w:p w14:paraId="44701266" w14:textId="0E45C5AC" w:rsidR="00983EAE" w:rsidRDefault="00257087">
      <w:pPr>
        <w:pStyle w:val="TableofFigures"/>
        <w:tabs>
          <w:tab w:val="right" w:leader="underscore" w:pos="9016"/>
        </w:tabs>
        <w:rPr>
          <w:rFonts w:eastAsiaTheme="minorEastAsia"/>
          <w:i w:val="0"/>
          <w:iCs w:val="0"/>
          <w:noProof/>
          <w:sz w:val="22"/>
          <w:szCs w:val="22"/>
          <w:lang w:eastAsia="en-GB"/>
        </w:rPr>
      </w:pPr>
      <w:hyperlink w:anchor="_Toc78983972" w:history="1">
        <w:r w:rsidR="00983EAE" w:rsidRPr="007B3215">
          <w:rPr>
            <w:rStyle w:val="Hyperlink"/>
            <w:rFonts w:ascii="Arial" w:hAnsi="Arial" w:cs="Arial"/>
            <w:noProof/>
          </w:rPr>
          <w:t>Table 5.3</w:t>
        </w:r>
        <w:r w:rsidR="00983EAE" w:rsidRPr="007B3215">
          <w:rPr>
            <w:rStyle w:val="Hyperlink"/>
            <w:rFonts w:ascii="Arial" w:hAnsi="Arial" w:cs="Arial"/>
            <w:noProof/>
          </w:rPr>
          <w:noBreakHyphen/>
          <w:t>1:</w:t>
        </w:r>
        <w:r w:rsidR="00983EAE" w:rsidRPr="007B3215">
          <w:rPr>
            <w:rStyle w:val="Hyperlink"/>
            <w:rFonts w:ascii="Arial" w:eastAsia="Calibri" w:hAnsi="Arial" w:cs="Arial"/>
            <w:noProof/>
          </w:rPr>
          <w:t xml:space="preserve"> Criteria that financing institutions use in lending for real estate project development.</w:t>
        </w:r>
        <w:r w:rsidR="00983EAE">
          <w:rPr>
            <w:noProof/>
            <w:webHidden/>
          </w:rPr>
          <w:tab/>
        </w:r>
        <w:r w:rsidR="00983EAE">
          <w:rPr>
            <w:noProof/>
            <w:webHidden/>
          </w:rPr>
          <w:fldChar w:fldCharType="begin"/>
        </w:r>
        <w:r w:rsidR="00983EAE">
          <w:rPr>
            <w:noProof/>
            <w:webHidden/>
          </w:rPr>
          <w:instrText xml:space="preserve"> PAGEREF _Toc78983972 \h </w:instrText>
        </w:r>
        <w:r w:rsidR="00983EAE">
          <w:rPr>
            <w:noProof/>
            <w:webHidden/>
          </w:rPr>
        </w:r>
        <w:r w:rsidR="00983EAE">
          <w:rPr>
            <w:noProof/>
            <w:webHidden/>
          </w:rPr>
          <w:fldChar w:fldCharType="separate"/>
        </w:r>
        <w:r w:rsidR="00983EAE">
          <w:rPr>
            <w:noProof/>
            <w:webHidden/>
          </w:rPr>
          <w:t>5-159</w:t>
        </w:r>
        <w:r w:rsidR="00983EAE">
          <w:rPr>
            <w:noProof/>
            <w:webHidden/>
          </w:rPr>
          <w:fldChar w:fldCharType="end"/>
        </w:r>
      </w:hyperlink>
    </w:p>
    <w:p w14:paraId="1A7EAB3F" w14:textId="3E1C9487" w:rsidR="00983EAE" w:rsidRDefault="00257087">
      <w:pPr>
        <w:pStyle w:val="TableofFigures"/>
        <w:tabs>
          <w:tab w:val="right" w:leader="underscore" w:pos="9016"/>
        </w:tabs>
        <w:rPr>
          <w:rFonts w:eastAsiaTheme="minorEastAsia"/>
          <w:i w:val="0"/>
          <w:iCs w:val="0"/>
          <w:noProof/>
          <w:sz w:val="22"/>
          <w:szCs w:val="22"/>
          <w:lang w:eastAsia="en-GB"/>
        </w:rPr>
      </w:pPr>
      <w:hyperlink w:anchor="_Toc78983973" w:history="1">
        <w:r w:rsidR="00983EAE" w:rsidRPr="007B3215">
          <w:rPr>
            <w:rStyle w:val="Hyperlink"/>
            <w:rFonts w:ascii="Arial" w:hAnsi="Arial" w:cs="Arial"/>
            <w:noProof/>
          </w:rPr>
          <w:t>Table 5.3</w:t>
        </w:r>
        <w:r w:rsidR="00983EAE" w:rsidRPr="007B3215">
          <w:rPr>
            <w:rStyle w:val="Hyperlink"/>
            <w:rFonts w:ascii="Arial" w:hAnsi="Arial" w:cs="Arial"/>
            <w:noProof/>
          </w:rPr>
          <w:noBreakHyphen/>
          <w:t>2: Mean score for criteria for securing real estate project development finance at the aggregate level.</w:t>
        </w:r>
        <w:r w:rsidR="00983EAE">
          <w:rPr>
            <w:noProof/>
            <w:webHidden/>
          </w:rPr>
          <w:tab/>
        </w:r>
        <w:r w:rsidR="00983EAE">
          <w:rPr>
            <w:noProof/>
            <w:webHidden/>
          </w:rPr>
          <w:fldChar w:fldCharType="begin"/>
        </w:r>
        <w:r w:rsidR="00983EAE">
          <w:rPr>
            <w:noProof/>
            <w:webHidden/>
          </w:rPr>
          <w:instrText xml:space="preserve"> PAGEREF _Toc78983973 \h </w:instrText>
        </w:r>
        <w:r w:rsidR="00983EAE">
          <w:rPr>
            <w:noProof/>
            <w:webHidden/>
          </w:rPr>
        </w:r>
        <w:r w:rsidR="00983EAE">
          <w:rPr>
            <w:noProof/>
            <w:webHidden/>
          </w:rPr>
          <w:fldChar w:fldCharType="separate"/>
        </w:r>
        <w:r w:rsidR="00983EAE">
          <w:rPr>
            <w:noProof/>
            <w:webHidden/>
          </w:rPr>
          <w:t>5-160</w:t>
        </w:r>
        <w:r w:rsidR="00983EAE">
          <w:rPr>
            <w:noProof/>
            <w:webHidden/>
          </w:rPr>
          <w:fldChar w:fldCharType="end"/>
        </w:r>
      </w:hyperlink>
    </w:p>
    <w:p w14:paraId="087C61B6" w14:textId="5C2D68EC" w:rsidR="00983EAE" w:rsidRDefault="00257087">
      <w:pPr>
        <w:pStyle w:val="TableofFigures"/>
        <w:tabs>
          <w:tab w:val="right" w:leader="underscore" w:pos="9016"/>
        </w:tabs>
        <w:rPr>
          <w:rFonts w:eastAsiaTheme="minorEastAsia"/>
          <w:i w:val="0"/>
          <w:iCs w:val="0"/>
          <w:noProof/>
          <w:sz w:val="22"/>
          <w:szCs w:val="22"/>
          <w:lang w:eastAsia="en-GB"/>
        </w:rPr>
      </w:pPr>
      <w:hyperlink w:anchor="_Toc78983974" w:history="1">
        <w:r w:rsidR="00983EAE" w:rsidRPr="007B3215">
          <w:rPr>
            <w:rStyle w:val="Hyperlink"/>
            <w:rFonts w:ascii="Arial" w:hAnsi="Arial" w:cs="Arial"/>
            <w:noProof/>
          </w:rPr>
          <w:t>Table 5.3</w:t>
        </w:r>
        <w:r w:rsidR="00983EAE" w:rsidRPr="007B3215">
          <w:rPr>
            <w:rStyle w:val="Hyperlink"/>
            <w:rFonts w:ascii="Arial" w:hAnsi="Arial" w:cs="Arial"/>
            <w:noProof/>
          </w:rPr>
          <w:noBreakHyphen/>
          <w:t>3: Criteria requested for securing finance for real estate project development at the disaggregate level</w:t>
        </w:r>
        <w:r w:rsidR="00983EAE">
          <w:rPr>
            <w:noProof/>
            <w:webHidden/>
          </w:rPr>
          <w:tab/>
        </w:r>
        <w:r w:rsidR="00983EAE">
          <w:rPr>
            <w:noProof/>
            <w:webHidden/>
          </w:rPr>
          <w:fldChar w:fldCharType="begin"/>
        </w:r>
        <w:r w:rsidR="00983EAE">
          <w:rPr>
            <w:noProof/>
            <w:webHidden/>
          </w:rPr>
          <w:instrText xml:space="preserve"> PAGEREF _Toc78983974 \h </w:instrText>
        </w:r>
        <w:r w:rsidR="00983EAE">
          <w:rPr>
            <w:noProof/>
            <w:webHidden/>
          </w:rPr>
        </w:r>
        <w:r w:rsidR="00983EAE">
          <w:rPr>
            <w:noProof/>
            <w:webHidden/>
          </w:rPr>
          <w:fldChar w:fldCharType="separate"/>
        </w:r>
        <w:r w:rsidR="00983EAE">
          <w:rPr>
            <w:noProof/>
            <w:webHidden/>
          </w:rPr>
          <w:t>5-161</w:t>
        </w:r>
        <w:r w:rsidR="00983EAE">
          <w:rPr>
            <w:noProof/>
            <w:webHidden/>
          </w:rPr>
          <w:fldChar w:fldCharType="end"/>
        </w:r>
      </w:hyperlink>
    </w:p>
    <w:p w14:paraId="26BD4415" w14:textId="77D60B7E" w:rsidR="00983EAE" w:rsidRDefault="00257087">
      <w:pPr>
        <w:pStyle w:val="TableofFigures"/>
        <w:tabs>
          <w:tab w:val="right" w:leader="underscore" w:pos="9016"/>
        </w:tabs>
        <w:rPr>
          <w:rFonts w:eastAsiaTheme="minorEastAsia"/>
          <w:i w:val="0"/>
          <w:iCs w:val="0"/>
          <w:noProof/>
          <w:sz w:val="22"/>
          <w:szCs w:val="22"/>
          <w:lang w:eastAsia="en-GB"/>
        </w:rPr>
      </w:pPr>
      <w:hyperlink w:anchor="_Toc78983975" w:history="1">
        <w:r w:rsidR="00983EAE" w:rsidRPr="007B3215">
          <w:rPr>
            <w:rStyle w:val="Hyperlink"/>
            <w:rFonts w:ascii="Arial" w:hAnsi="Arial" w:cs="Arial"/>
            <w:noProof/>
          </w:rPr>
          <w:t>Table 5.3</w:t>
        </w:r>
        <w:r w:rsidR="00983EAE" w:rsidRPr="007B3215">
          <w:rPr>
            <w:rStyle w:val="Hyperlink"/>
            <w:rFonts w:ascii="Arial" w:hAnsi="Arial" w:cs="Arial"/>
            <w:noProof/>
          </w:rPr>
          <w:noBreakHyphen/>
          <w:t>4: Spearman’s rank correlation on the relationship between management level &amp; the criteria requested by financiers</w:t>
        </w:r>
        <w:r w:rsidR="00983EAE">
          <w:rPr>
            <w:noProof/>
            <w:webHidden/>
          </w:rPr>
          <w:tab/>
        </w:r>
        <w:r w:rsidR="00983EAE">
          <w:rPr>
            <w:noProof/>
            <w:webHidden/>
          </w:rPr>
          <w:fldChar w:fldCharType="begin"/>
        </w:r>
        <w:r w:rsidR="00983EAE">
          <w:rPr>
            <w:noProof/>
            <w:webHidden/>
          </w:rPr>
          <w:instrText xml:space="preserve"> PAGEREF _Toc78983975 \h </w:instrText>
        </w:r>
        <w:r w:rsidR="00983EAE">
          <w:rPr>
            <w:noProof/>
            <w:webHidden/>
          </w:rPr>
        </w:r>
        <w:r w:rsidR="00983EAE">
          <w:rPr>
            <w:noProof/>
            <w:webHidden/>
          </w:rPr>
          <w:fldChar w:fldCharType="separate"/>
        </w:r>
        <w:r w:rsidR="00983EAE">
          <w:rPr>
            <w:noProof/>
            <w:webHidden/>
          </w:rPr>
          <w:t>5-164</w:t>
        </w:r>
        <w:r w:rsidR="00983EAE">
          <w:rPr>
            <w:noProof/>
            <w:webHidden/>
          </w:rPr>
          <w:fldChar w:fldCharType="end"/>
        </w:r>
      </w:hyperlink>
    </w:p>
    <w:p w14:paraId="45E99F9D" w14:textId="2C6A2175" w:rsidR="00983EAE" w:rsidRDefault="00257087">
      <w:pPr>
        <w:pStyle w:val="TableofFigures"/>
        <w:tabs>
          <w:tab w:val="right" w:leader="underscore" w:pos="9016"/>
        </w:tabs>
        <w:rPr>
          <w:rFonts w:eastAsiaTheme="minorEastAsia"/>
          <w:i w:val="0"/>
          <w:iCs w:val="0"/>
          <w:noProof/>
          <w:sz w:val="22"/>
          <w:szCs w:val="22"/>
          <w:lang w:eastAsia="en-GB"/>
        </w:rPr>
      </w:pPr>
      <w:hyperlink w:anchor="_Toc78983976" w:history="1">
        <w:r w:rsidR="00983EAE" w:rsidRPr="007B3215">
          <w:rPr>
            <w:rStyle w:val="Hyperlink"/>
            <w:noProof/>
          </w:rPr>
          <w:t>Table 5.4</w:t>
        </w:r>
        <w:r w:rsidR="00983EAE" w:rsidRPr="007B3215">
          <w:rPr>
            <w:rStyle w:val="Hyperlink"/>
            <w:noProof/>
          </w:rPr>
          <w:noBreakHyphen/>
          <w:t xml:space="preserve">1: </w:t>
        </w:r>
        <w:r w:rsidR="00983EAE" w:rsidRPr="007B3215">
          <w:rPr>
            <w:rStyle w:val="Hyperlink"/>
            <w:rFonts w:ascii="Arial" w:hAnsi="Arial" w:cs="Arial"/>
            <w:noProof/>
          </w:rPr>
          <w:t>Inventory of options and criteria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_Toc78983976 \h </w:instrText>
        </w:r>
        <w:r w:rsidR="00983EAE">
          <w:rPr>
            <w:noProof/>
            <w:webHidden/>
          </w:rPr>
        </w:r>
        <w:r w:rsidR="00983EAE">
          <w:rPr>
            <w:noProof/>
            <w:webHidden/>
          </w:rPr>
          <w:fldChar w:fldCharType="separate"/>
        </w:r>
        <w:r w:rsidR="00983EAE">
          <w:rPr>
            <w:noProof/>
            <w:webHidden/>
          </w:rPr>
          <w:t>5-170</w:t>
        </w:r>
        <w:r w:rsidR="00983EAE">
          <w:rPr>
            <w:noProof/>
            <w:webHidden/>
          </w:rPr>
          <w:fldChar w:fldCharType="end"/>
        </w:r>
      </w:hyperlink>
    </w:p>
    <w:p w14:paraId="2E9D168A" w14:textId="6DC799A9" w:rsidR="00983EAE" w:rsidRDefault="00257087">
      <w:pPr>
        <w:pStyle w:val="TableofFigures"/>
        <w:tabs>
          <w:tab w:val="right" w:leader="underscore" w:pos="9016"/>
        </w:tabs>
        <w:rPr>
          <w:rFonts w:eastAsiaTheme="minorEastAsia"/>
          <w:i w:val="0"/>
          <w:iCs w:val="0"/>
          <w:noProof/>
          <w:sz w:val="22"/>
          <w:szCs w:val="22"/>
          <w:lang w:eastAsia="en-GB"/>
        </w:rPr>
      </w:pPr>
      <w:hyperlink w:anchor="_Toc78983977" w:history="1">
        <w:r w:rsidR="00983EAE" w:rsidRPr="007B3215">
          <w:rPr>
            <w:rStyle w:val="Hyperlink"/>
            <w:rFonts w:ascii="Arial" w:hAnsi="Arial" w:cs="Arial"/>
            <w:noProof/>
          </w:rPr>
          <w:t>Table 6.2</w:t>
        </w:r>
        <w:r w:rsidR="00983EAE" w:rsidRPr="007B3215">
          <w:rPr>
            <w:rStyle w:val="Hyperlink"/>
            <w:rFonts w:ascii="Arial" w:hAnsi="Arial" w:cs="Arial"/>
            <w:noProof/>
          </w:rPr>
          <w:noBreakHyphen/>
          <w:t>1: Critical success factors for securing finance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_Toc78983977 \h </w:instrText>
        </w:r>
        <w:r w:rsidR="00983EAE">
          <w:rPr>
            <w:noProof/>
            <w:webHidden/>
          </w:rPr>
        </w:r>
        <w:r w:rsidR="00983EAE">
          <w:rPr>
            <w:noProof/>
            <w:webHidden/>
          </w:rPr>
          <w:fldChar w:fldCharType="separate"/>
        </w:r>
        <w:r w:rsidR="00983EAE">
          <w:rPr>
            <w:noProof/>
            <w:webHidden/>
          </w:rPr>
          <w:t>6-175</w:t>
        </w:r>
        <w:r w:rsidR="00983EAE">
          <w:rPr>
            <w:noProof/>
            <w:webHidden/>
          </w:rPr>
          <w:fldChar w:fldCharType="end"/>
        </w:r>
      </w:hyperlink>
    </w:p>
    <w:p w14:paraId="5B767111" w14:textId="10E6A9F0" w:rsidR="00983EAE" w:rsidRDefault="00257087">
      <w:pPr>
        <w:pStyle w:val="TableofFigures"/>
        <w:tabs>
          <w:tab w:val="right" w:leader="underscore" w:pos="9016"/>
        </w:tabs>
        <w:rPr>
          <w:rFonts w:eastAsiaTheme="minorEastAsia"/>
          <w:i w:val="0"/>
          <w:iCs w:val="0"/>
          <w:noProof/>
          <w:sz w:val="22"/>
          <w:szCs w:val="22"/>
          <w:lang w:eastAsia="en-GB"/>
        </w:rPr>
      </w:pPr>
      <w:hyperlink w:anchor="_Toc78983978" w:history="1">
        <w:r w:rsidR="00983EAE" w:rsidRPr="007B3215">
          <w:rPr>
            <w:rStyle w:val="Hyperlink"/>
            <w:rFonts w:ascii="Arial" w:hAnsi="Arial" w:cs="Arial"/>
            <w:noProof/>
          </w:rPr>
          <w:t>Table 6.2</w:t>
        </w:r>
        <w:r w:rsidR="00983EAE" w:rsidRPr="007B3215">
          <w:rPr>
            <w:rStyle w:val="Hyperlink"/>
            <w:rFonts w:ascii="Arial" w:hAnsi="Arial" w:cs="Arial"/>
            <w:noProof/>
          </w:rPr>
          <w:noBreakHyphen/>
          <w:t>2: mean score of critical success factors for securing real estate project development finance at the aggregate level.</w:t>
        </w:r>
        <w:r w:rsidR="00983EAE">
          <w:rPr>
            <w:noProof/>
            <w:webHidden/>
          </w:rPr>
          <w:tab/>
        </w:r>
        <w:r w:rsidR="00983EAE">
          <w:rPr>
            <w:noProof/>
            <w:webHidden/>
          </w:rPr>
          <w:fldChar w:fldCharType="begin"/>
        </w:r>
        <w:r w:rsidR="00983EAE">
          <w:rPr>
            <w:noProof/>
            <w:webHidden/>
          </w:rPr>
          <w:instrText xml:space="preserve"> PAGEREF _Toc78983978 \h </w:instrText>
        </w:r>
        <w:r w:rsidR="00983EAE">
          <w:rPr>
            <w:noProof/>
            <w:webHidden/>
          </w:rPr>
        </w:r>
        <w:r w:rsidR="00983EAE">
          <w:rPr>
            <w:noProof/>
            <w:webHidden/>
          </w:rPr>
          <w:fldChar w:fldCharType="separate"/>
        </w:r>
        <w:r w:rsidR="00983EAE">
          <w:rPr>
            <w:noProof/>
            <w:webHidden/>
          </w:rPr>
          <w:t>6-176</w:t>
        </w:r>
        <w:r w:rsidR="00983EAE">
          <w:rPr>
            <w:noProof/>
            <w:webHidden/>
          </w:rPr>
          <w:fldChar w:fldCharType="end"/>
        </w:r>
      </w:hyperlink>
    </w:p>
    <w:p w14:paraId="69DC7735" w14:textId="3D0BAB82" w:rsidR="00983EAE" w:rsidRDefault="00257087">
      <w:pPr>
        <w:pStyle w:val="TableofFigures"/>
        <w:tabs>
          <w:tab w:val="right" w:leader="underscore" w:pos="9016"/>
        </w:tabs>
        <w:rPr>
          <w:rFonts w:eastAsiaTheme="minorEastAsia"/>
          <w:i w:val="0"/>
          <w:iCs w:val="0"/>
          <w:noProof/>
          <w:sz w:val="22"/>
          <w:szCs w:val="22"/>
          <w:lang w:eastAsia="en-GB"/>
        </w:rPr>
      </w:pPr>
      <w:hyperlink w:anchor="_Toc78983979" w:history="1">
        <w:r w:rsidR="00983EAE" w:rsidRPr="007B3215">
          <w:rPr>
            <w:rStyle w:val="Hyperlink"/>
            <w:rFonts w:ascii="Arial" w:hAnsi="Arial" w:cs="Arial"/>
            <w:noProof/>
          </w:rPr>
          <w:t>Table 6.2</w:t>
        </w:r>
        <w:r w:rsidR="00983EAE" w:rsidRPr="007B3215">
          <w:rPr>
            <w:rStyle w:val="Hyperlink"/>
            <w:rFonts w:ascii="Arial" w:hAnsi="Arial" w:cs="Arial"/>
            <w:noProof/>
          </w:rPr>
          <w:noBreakHyphen/>
          <w:t>3: Critical success factors for securing finance for real estate project development at the dis-aggregate level</w:t>
        </w:r>
        <w:r w:rsidR="00983EAE">
          <w:rPr>
            <w:noProof/>
            <w:webHidden/>
          </w:rPr>
          <w:tab/>
        </w:r>
        <w:r w:rsidR="00983EAE">
          <w:rPr>
            <w:noProof/>
            <w:webHidden/>
          </w:rPr>
          <w:fldChar w:fldCharType="begin"/>
        </w:r>
        <w:r w:rsidR="00983EAE">
          <w:rPr>
            <w:noProof/>
            <w:webHidden/>
          </w:rPr>
          <w:instrText xml:space="preserve"> PAGEREF _Toc78983979 \h </w:instrText>
        </w:r>
        <w:r w:rsidR="00983EAE">
          <w:rPr>
            <w:noProof/>
            <w:webHidden/>
          </w:rPr>
        </w:r>
        <w:r w:rsidR="00983EAE">
          <w:rPr>
            <w:noProof/>
            <w:webHidden/>
          </w:rPr>
          <w:fldChar w:fldCharType="separate"/>
        </w:r>
        <w:r w:rsidR="00983EAE">
          <w:rPr>
            <w:noProof/>
            <w:webHidden/>
          </w:rPr>
          <w:t>6-176</w:t>
        </w:r>
        <w:r w:rsidR="00983EAE">
          <w:rPr>
            <w:noProof/>
            <w:webHidden/>
          </w:rPr>
          <w:fldChar w:fldCharType="end"/>
        </w:r>
      </w:hyperlink>
    </w:p>
    <w:p w14:paraId="49D62AE2" w14:textId="3DD25197" w:rsidR="00983EAE" w:rsidRDefault="00257087">
      <w:pPr>
        <w:pStyle w:val="TableofFigures"/>
        <w:tabs>
          <w:tab w:val="right" w:leader="underscore" w:pos="9016"/>
        </w:tabs>
        <w:rPr>
          <w:rFonts w:eastAsiaTheme="minorEastAsia"/>
          <w:i w:val="0"/>
          <w:iCs w:val="0"/>
          <w:noProof/>
          <w:sz w:val="22"/>
          <w:szCs w:val="22"/>
          <w:lang w:eastAsia="en-GB"/>
        </w:rPr>
      </w:pPr>
      <w:hyperlink w:anchor="_Toc78983980" w:history="1">
        <w:r w:rsidR="00983EAE" w:rsidRPr="007B3215">
          <w:rPr>
            <w:rStyle w:val="Hyperlink"/>
            <w:noProof/>
          </w:rPr>
          <w:t>Table 6.2</w:t>
        </w:r>
        <w:r w:rsidR="00983EAE" w:rsidRPr="007B3215">
          <w:rPr>
            <w:rStyle w:val="Hyperlink"/>
            <w:noProof/>
          </w:rPr>
          <w:noBreakHyphen/>
          <w:t xml:space="preserve">4: </w:t>
        </w:r>
        <w:r w:rsidR="00983EAE" w:rsidRPr="007B3215">
          <w:rPr>
            <w:rStyle w:val="Hyperlink"/>
            <w:rFonts w:ascii="Arial" w:hAnsi="Arial" w:cs="Arial"/>
            <w:noProof/>
          </w:rPr>
          <w:t>Spearman correlation test for the relationship between the critical success factors for securing finance for real estate project development and the level of management</w:t>
        </w:r>
        <w:r w:rsidR="00983EAE">
          <w:rPr>
            <w:noProof/>
            <w:webHidden/>
          </w:rPr>
          <w:tab/>
        </w:r>
        <w:r w:rsidR="00983EAE">
          <w:rPr>
            <w:noProof/>
            <w:webHidden/>
          </w:rPr>
          <w:fldChar w:fldCharType="begin"/>
        </w:r>
        <w:r w:rsidR="00983EAE">
          <w:rPr>
            <w:noProof/>
            <w:webHidden/>
          </w:rPr>
          <w:instrText xml:space="preserve"> PAGEREF _Toc78983980 \h </w:instrText>
        </w:r>
        <w:r w:rsidR="00983EAE">
          <w:rPr>
            <w:noProof/>
            <w:webHidden/>
          </w:rPr>
        </w:r>
        <w:r w:rsidR="00983EAE">
          <w:rPr>
            <w:noProof/>
            <w:webHidden/>
          </w:rPr>
          <w:fldChar w:fldCharType="separate"/>
        </w:r>
        <w:r w:rsidR="00983EAE">
          <w:rPr>
            <w:noProof/>
            <w:webHidden/>
          </w:rPr>
          <w:t>6-179</w:t>
        </w:r>
        <w:r w:rsidR="00983EAE">
          <w:rPr>
            <w:noProof/>
            <w:webHidden/>
          </w:rPr>
          <w:fldChar w:fldCharType="end"/>
        </w:r>
      </w:hyperlink>
    </w:p>
    <w:p w14:paraId="3837F8E4" w14:textId="04186A55" w:rsidR="00983EAE" w:rsidRDefault="00257087">
      <w:pPr>
        <w:pStyle w:val="TableofFigures"/>
        <w:tabs>
          <w:tab w:val="right" w:leader="underscore" w:pos="9016"/>
        </w:tabs>
        <w:rPr>
          <w:rFonts w:eastAsiaTheme="minorEastAsia"/>
          <w:i w:val="0"/>
          <w:iCs w:val="0"/>
          <w:noProof/>
          <w:sz w:val="22"/>
          <w:szCs w:val="22"/>
          <w:lang w:eastAsia="en-GB"/>
        </w:rPr>
      </w:pPr>
      <w:hyperlink w:anchor="_Toc78983981" w:history="1">
        <w:r w:rsidR="00983EAE" w:rsidRPr="007B3215">
          <w:rPr>
            <w:rStyle w:val="Hyperlink"/>
            <w:rFonts w:ascii="Arial" w:hAnsi="Arial" w:cs="Arial"/>
            <w:noProof/>
          </w:rPr>
          <w:t>Table 6.2</w:t>
        </w:r>
        <w:r w:rsidR="00983EAE" w:rsidRPr="007B3215">
          <w:rPr>
            <w:rStyle w:val="Hyperlink"/>
            <w:rFonts w:ascii="Arial" w:hAnsi="Arial" w:cs="Arial"/>
            <w:noProof/>
          </w:rPr>
          <w:noBreakHyphen/>
          <w:t>5: Critical success factors for securing finance for project development in the developed economies.</w:t>
        </w:r>
        <w:r w:rsidR="00983EAE">
          <w:rPr>
            <w:noProof/>
            <w:webHidden/>
          </w:rPr>
          <w:tab/>
        </w:r>
        <w:r w:rsidR="00983EAE">
          <w:rPr>
            <w:noProof/>
            <w:webHidden/>
          </w:rPr>
          <w:fldChar w:fldCharType="begin"/>
        </w:r>
        <w:r w:rsidR="00983EAE">
          <w:rPr>
            <w:noProof/>
            <w:webHidden/>
          </w:rPr>
          <w:instrText xml:space="preserve"> PAGEREF _Toc78983981 \h </w:instrText>
        </w:r>
        <w:r w:rsidR="00983EAE">
          <w:rPr>
            <w:noProof/>
            <w:webHidden/>
          </w:rPr>
        </w:r>
        <w:r w:rsidR="00983EAE">
          <w:rPr>
            <w:noProof/>
            <w:webHidden/>
          </w:rPr>
          <w:fldChar w:fldCharType="separate"/>
        </w:r>
        <w:r w:rsidR="00983EAE">
          <w:rPr>
            <w:noProof/>
            <w:webHidden/>
          </w:rPr>
          <w:t>6-180</w:t>
        </w:r>
        <w:r w:rsidR="00983EAE">
          <w:rPr>
            <w:noProof/>
            <w:webHidden/>
          </w:rPr>
          <w:fldChar w:fldCharType="end"/>
        </w:r>
      </w:hyperlink>
    </w:p>
    <w:p w14:paraId="56542608" w14:textId="18E4B44B" w:rsidR="00983EAE" w:rsidRDefault="00257087">
      <w:pPr>
        <w:pStyle w:val="TableofFigures"/>
        <w:tabs>
          <w:tab w:val="right" w:leader="underscore" w:pos="9016"/>
        </w:tabs>
        <w:rPr>
          <w:rFonts w:eastAsiaTheme="minorEastAsia"/>
          <w:i w:val="0"/>
          <w:iCs w:val="0"/>
          <w:noProof/>
          <w:sz w:val="22"/>
          <w:szCs w:val="22"/>
          <w:lang w:eastAsia="en-GB"/>
        </w:rPr>
      </w:pPr>
      <w:hyperlink w:anchor="_Toc78983982" w:history="1">
        <w:r w:rsidR="00983EAE" w:rsidRPr="007B3215">
          <w:rPr>
            <w:rStyle w:val="Hyperlink"/>
            <w:rFonts w:ascii="Arial" w:hAnsi="Arial" w:cs="Arial"/>
            <w:noProof/>
          </w:rPr>
          <w:t>Table 6.2</w:t>
        </w:r>
        <w:r w:rsidR="00983EAE" w:rsidRPr="007B3215">
          <w:rPr>
            <w:rStyle w:val="Hyperlink"/>
            <w:rFonts w:ascii="Arial" w:hAnsi="Arial" w:cs="Arial"/>
            <w:noProof/>
          </w:rPr>
          <w:noBreakHyphen/>
          <w:t>6: Critical success factors for securing finance for project development in emerging economies.</w:t>
        </w:r>
        <w:r w:rsidR="00983EAE">
          <w:rPr>
            <w:noProof/>
            <w:webHidden/>
          </w:rPr>
          <w:tab/>
        </w:r>
        <w:r w:rsidR="00983EAE">
          <w:rPr>
            <w:noProof/>
            <w:webHidden/>
          </w:rPr>
          <w:fldChar w:fldCharType="begin"/>
        </w:r>
        <w:r w:rsidR="00983EAE">
          <w:rPr>
            <w:noProof/>
            <w:webHidden/>
          </w:rPr>
          <w:instrText xml:space="preserve"> PAGEREF _Toc78983982 \h </w:instrText>
        </w:r>
        <w:r w:rsidR="00983EAE">
          <w:rPr>
            <w:noProof/>
            <w:webHidden/>
          </w:rPr>
        </w:r>
        <w:r w:rsidR="00983EAE">
          <w:rPr>
            <w:noProof/>
            <w:webHidden/>
          </w:rPr>
          <w:fldChar w:fldCharType="separate"/>
        </w:r>
        <w:r w:rsidR="00983EAE">
          <w:rPr>
            <w:noProof/>
            <w:webHidden/>
          </w:rPr>
          <w:t>6-181</w:t>
        </w:r>
        <w:r w:rsidR="00983EAE">
          <w:rPr>
            <w:noProof/>
            <w:webHidden/>
          </w:rPr>
          <w:fldChar w:fldCharType="end"/>
        </w:r>
      </w:hyperlink>
    </w:p>
    <w:p w14:paraId="7543EDA0" w14:textId="4BB2E639" w:rsidR="00983EAE" w:rsidRDefault="00257087">
      <w:pPr>
        <w:pStyle w:val="TableofFigures"/>
        <w:tabs>
          <w:tab w:val="right" w:leader="underscore" w:pos="9016"/>
        </w:tabs>
        <w:rPr>
          <w:rFonts w:eastAsiaTheme="minorEastAsia"/>
          <w:i w:val="0"/>
          <w:iCs w:val="0"/>
          <w:noProof/>
          <w:sz w:val="22"/>
          <w:szCs w:val="22"/>
          <w:lang w:eastAsia="en-GB"/>
        </w:rPr>
      </w:pPr>
      <w:hyperlink w:anchor="_Toc78983983" w:history="1">
        <w:r w:rsidR="00983EAE" w:rsidRPr="007B3215">
          <w:rPr>
            <w:rStyle w:val="Hyperlink"/>
            <w:rFonts w:ascii="Arial" w:hAnsi="Arial" w:cs="Arial"/>
            <w:noProof/>
          </w:rPr>
          <w:t>Table 6.3</w:t>
        </w:r>
        <w:r w:rsidR="00983EAE" w:rsidRPr="007B3215">
          <w:rPr>
            <w:rStyle w:val="Hyperlink"/>
            <w:rFonts w:ascii="Arial" w:hAnsi="Arial" w:cs="Arial"/>
            <w:noProof/>
          </w:rPr>
          <w:noBreakHyphen/>
          <w:t>1: Challenges in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_Toc78983983 \h </w:instrText>
        </w:r>
        <w:r w:rsidR="00983EAE">
          <w:rPr>
            <w:noProof/>
            <w:webHidden/>
          </w:rPr>
        </w:r>
        <w:r w:rsidR="00983EAE">
          <w:rPr>
            <w:noProof/>
            <w:webHidden/>
          </w:rPr>
          <w:fldChar w:fldCharType="separate"/>
        </w:r>
        <w:r w:rsidR="00983EAE">
          <w:rPr>
            <w:noProof/>
            <w:webHidden/>
          </w:rPr>
          <w:t>6-186</w:t>
        </w:r>
        <w:r w:rsidR="00983EAE">
          <w:rPr>
            <w:noProof/>
            <w:webHidden/>
          </w:rPr>
          <w:fldChar w:fldCharType="end"/>
        </w:r>
      </w:hyperlink>
    </w:p>
    <w:p w14:paraId="4A000278" w14:textId="7BF5A3BE" w:rsidR="00983EAE" w:rsidRDefault="00257087">
      <w:pPr>
        <w:pStyle w:val="TableofFigures"/>
        <w:tabs>
          <w:tab w:val="right" w:leader="underscore" w:pos="9016"/>
        </w:tabs>
        <w:rPr>
          <w:rFonts w:eastAsiaTheme="minorEastAsia"/>
          <w:i w:val="0"/>
          <w:iCs w:val="0"/>
          <w:noProof/>
          <w:sz w:val="22"/>
          <w:szCs w:val="22"/>
          <w:lang w:eastAsia="en-GB"/>
        </w:rPr>
      </w:pPr>
      <w:hyperlink w:anchor="_Toc78983984" w:history="1">
        <w:r w:rsidR="00983EAE" w:rsidRPr="007B3215">
          <w:rPr>
            <w:rStyle w:val="Hyperlink"/>
            <w:rFonts w:ascii="Arial" w:hAnsi="Arial" w:cs="Arial"/>
            <w:noProof/>
          </w:rPr>
          <w:t>Table 6.3</w:t>
        </w:r>
        <w:r w:rsidR="00983EAE" w:rsidRPr="007B3215">
          <w:rPr>
            <w:rStyle w:val="Hyperlink"/>
            <w:rFonts w:ascii="Arial" w:hAnsi="Arial" w:cs="Arial"/>
            <w:noProof/>
          </w:rPr>
          <w:noBreakHyphen/>
          <w:t>2: mean score of challenges associated with securing finance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_Toc78983984 \h </w:instrText>
        </w:r>
        <w:r w:rsidR="00983EAE">
          <w:rPr>
            <w:noProof/>
            <w:webHidden/>
          </w:rPr>
        </w:r>
        <w:r w:rsidR="00983EAE">
          <w:rPr>
            <w:noProof/>
            <w:webHidden/>
          </w:rPr>
          <w:fldChar w:fldCharType="separate"/>
        </w:r>
        <w:r w:rsidR="00983EAE">
          <w:rPr>
            <w:noProof/>
            <w:webHidden/>
          </w:rPr>
          <w:t>6-186</w:t>
        </w:r>
        <w:r w:rsidR="00983EAE">
          <w:rPr>
            <w:noProof/>
            <w:webHidden/>
          </w:rPr>
          <w:fldChar w:fldCharType="end"/>
        </w:r>
      </w:hyperlink>
    </w:p>
    <w:p w14:paraId="7D6B8C6F" w14:textId="182E6612" w:rsidR="00983EAE" w:rsidRDefault="00257087">
      <w:pPr>
        <w:pStyle w:val="TableofFigures"/>
        <w:tabs>
          <w:tab w:val="right" w:leader="underscore" w:pos="9016"/>
        </w:tabs>
        <w:rPr>
          <w:rFonts w:eastAsiaTheme="minorEastAsia"/>
          <w:i w:val="0"/>
          <w:iCs w:val="0"/>
          <w:noProof/>
          <w:sz w:val="22"/>
          <w:szCs w:val="22"/>
          <w:lang w:eastAsia="en-GB"/>
        </w:rPr>
      </w:pPr>
      <w:hyperlink w:anchor="_Toc78983985" w:history="1">
        <w:r w:rsidR="00983EAE" w:rsidRPr="007B3215">
          <w:rPr>
            <w:rStyle w:val="Hyperlink"/>
            <w:rFonts w:ascii="Arial" w:hAnsi="Arial" w:cs="Arial"/>
            <w:noProof/>
          </w:rPr>
          <w:t>Table 6.3</w:t>
        </w:r>
        <w:r w:rsidR="00983EAE" w:rsidRPr="007B3215">
          <w:rPr>
            <w:rStyle w:val="Hyperlink"/>
            <w:rFonts w:ascii="Arial" w:hAnsi="Arial" w:cs="Arial"/>
            <w:noProof/>
          </w:rPr>
          <w:noBreakHyphen/>
          <w:t>3: The mean score of challenges associated with securing finance for real estate project development at the dis-aggregate level.</w:t>
        </w:r>
        <w:r w:rsidR="00983EAE">
          <w:rPr>
            <w:noProof/>
            <w:webHidden/>
          </w:rPr>
          <w:tab/>
        </w:r>
        <w:r w:rsidR="00983EAE">
          <w:rPr>
            <w:noProof/>
            <w:webHidden/>
          </w:rPr>
          <w:fldChar w:fldCharType="begin"/>
        </w:r>
        <w:r w:rsidR="00983EAE">
          <w:rPr>
            <w:noProof/>
            <w:webHidden/>
          </w:rPr>
          <w:instrText xml:space="preserve"> PAGEREF _Toc78983985 \h </w:instrText>
        </w:r>
        <w:r w:rsidR="00983EAE">
          <w:rPr>
            <w:noProof/>
            <w:webHidden/>
          </w:rPr>
        </w:r>
        <w:r w:rsidR="00983EAE">
          <w:rPr>
            <w:noProof/>
            <w:webHidden/>
          </w:rPr>
          <w:fldChar w:fldCharType="separate"/>
        </w:r>
        <w:r w:rsidR="00983EAE">
          <w:rPr>
            <w:noProof/>
            <w:webHidden/>
          </w:rPr>
          <w:t>6-187</w:t>
        </w:r>
        <w:r w:rsidR="00983EAE">
          <w:rPr>
            <w:noProof/>
            <w:webHidden/>
          </w:rPr>
          <w:fldChar w:fldCharType="end"/>
        </w:r>
      </w:hyperlink>
    </w:p>
    <w:p w14:paraId="21F76C2C" w14:textId="4E7F5D69" w:rsidR="00983EAE" w:rsidRDefault="00257087">
      <w:pPr>
        <w:pStyle w:val="TableofFigures"/>
        <w:tabs>
          <w:tab w:val="right" w:leader="underscore" w:pos="9016"/>
        </w:tabs>
        <w:rPr>
          <w:rFonts w:eastAsiaTheme="minorEastAsia"/>
          <w:i w:val="0"/>
          <w:iCs w:val="0"/>
          <w:noProof/>
          <w:sz w:val="22"/>
          <w:szCs w:val="22"/>
          <w:lang w:eastAsia="en-GB"/>
        </w:rPr>
      </w:pPr>
      <w:hyperlink w:anchor="_Toc78983986" w:history="1">
        <w:r w:rsidR="00983EAE" w:rsidRPr="007B3215">
          <w:rPr>
            <w:rStyle w:val="Hyperlink"/>
            <w:rFonts w:ascii="Arial" w:hAnsi="Arial" w:cs="Arial"/>
            <w:noProof/>
          </w:rPr>
          <w:t>Table 6.3</w:t>
        </w:r>
        <w:r w:rsidR="00983EAE" w:rsidRPr="007B3215">
          <w:rPr>
            <w:rStyle w:val="Hyperlink"/>
            <w:rFonts w:ascii="Arial" w:hAnsi="Arial" w:cs="Arial"/>
            <w:noProof/>
          </w:rPr>
          <w:noBreakHyphen/>
          <w:t>4: Spearman correlation coefficient test for the relationship between the management level and the different challenges associated with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_Toc78983986 \h </w:instrText>
        </w:r>
        <w:r w:rsidR="00983EAE">
          <w:rPr>
            <w:noProof/>
            <w:webHidden/>
          </w:rPr>
        </w:r>
        <w:r w:rsidR="00983EAE">
          <w:rPr>
            <w:noProof/>
            <w:webHidden/>
          </w:rPr>
          <w:fldChar w:fldCharType="separate"/>
        </w:r>
        <w:r w:rsidR="00983EAE">
          <w:rPr>
            <w:noProof/>
            <w:webHidden/>
          </w:rPr>
          <w:t>6-190</w:t>
        </w:r>
        <w:r w:rsidR="00983EAE">
          <w:rPr>
            <w:noProof/>
            <w:webHidden/>
          </w:rPr>
          <w:fldChar w:fldCharType="end"/>
        </w:r>
      </w:hyperlink>
    </w:p>
    <w:p w14:paraId="2BFD928D" w14:textId="1D486256" w:rsidR="00983EAE" w:rsidRDefault="00257087">
      <w:pPr>
        <w:pStyle w:val="TableofFigures"/>
        <w:tabs>
          <w:tab w:val="right" w:leader="underscore" w:pos="9016"/>
        </w:tabs>
        <w:rPr>
          <w:rFonts w:eastAsiaTheme="minorEastAsia"/>
          <w:i w:val="0"/>
          <w:iCs w:val="0"/>
          <w:noProof/>
          <w:sz w:val="22"/>
          <w:szCs w:val="22"/>
          <w:lang w:eastAsia="en-GB"/>
        </w:rPr>
      </w:pPr>
      <w:hyperlink w:anchor="_Toc78983987" w:history="1">
        <w:r w:rsidR="00983EAE" w:rsidRPr="007B3215">
          <w:rPr>
            <w:rStyle w:val="Hyperlink"/>
            <w:noProof/>
          </w:rPr>
          <w:t>Table 6.3</w:t>
        </w:r>
        <w:r w:rsidR="00983EAE" w:rsidRPr="007B3215">
          <w:rPr>
            <w:rStyle w:val="Hyperlink"/>
            <w:noProof/>
          </w:rPr>
          <w:noBreakHyphen/>
          <w:t xml:space="preserve">5: </w:t>
        </w:r>
        <w:r w:rsidR="00983EAE" w:rsidRPr="007B3215">
          <w:rPr>
            <w:rStyle w:val="Hyperlink"/>
            <w:rFonts w:ascii="Arial" w:hAnsi="Arial" w:cs="Arial"/>
            <w:noProof/>
          </w:rPr>
          <w:t>Challenges associated with securing finance for real estate project development in developed economies</w:t>
        </w:r>
        <w:r w:rsidR="00983EAE">
          <w:rPr>
            <w:noProof/>
            <w:webHidden/>
          </w:rPr>
          <w:tab/>
        </w:r>
        <w:r w:rsidR="00983EAE">
          <w:rPr>
            <w:noProof/>
            <w:webHidden/>
          </w:rPr>
          <w:fldChar w:fldCharType="begin"/>
        </w:r>
        <w:r w:rsidR="00983EAE">
          <w:rPr>
            <w:noProof/>
            <w:webHidden/>
          </w:rPr>
          <w:instrText xml:space="preserve"> PAGEREF _Toc78983987 \h </w:instrText>
        </w:r>
        <w:r w:rsidR="00983EAE">
          <w:rPr>
            <w:noProof/>
            <w:webHidden/>
          </w:rPr>
        </w:r>
        <w:r w:rsidR="00983EAE">
          <w:rPr>
            <w:noProof/>
            <w:webHidden/>
          </w:rPr>
          <w:fldChar w:fldCharType="separate"/>
        </w:r>
        <w:r w:rsidR="00983EAE">
          <w:rPr>
            <w:noProof/>
            <w:webHidden/>
          </w:rPr>
          <w:t>6-191</w:t>
        </w:r>
        <w:r w:rsidR="00983EAE">
          <w:rPr>
            <w:noProof/>
            <w:webHidden/>
          </w:rPr>
          <w:fldChar w:fldCharType="end"/>
        </w:r>
      </w:hyperlink>
    </w:p>
    <w:p w14:paraId="39EBF866" w14:textId="27349436" w:rsidR="00983EAE" w:rsidRDefault="00257087">
      <w:pPr>
        <w:pStyle w:val="TableofFigures"/>
        <w:tabs>
          <w:tab w:val="right" w:leader="underscore" w:pos="9016"/>
        </w:tabs>
        <w:rPr>
          <w:rFonts w:eastAsiaTheme="minorEastAsia"/>
          <w:i w:val="0"/>
          <w:iCs w:val="0"/>
          <w:noProof/>
          <w:sz w:val="22"/>
          <w:szCs w:val="22"/>
          <w:lang w:eastAsia="en-GB"/>
        </w:rPr>
      </w:pPr>
      <w:hyperlink w:anchor="_Toc78983988" w:history="1">
        <w:r w:rsidR="00983EAE" w:rsidRPr="007B3215">
          <w:rPr>
            <w:rStyle w:val="Hyperlink"/>
            <w:noProof/>
          </w:rPr>
          <w:t>Table 6.3</w:t>
        </w:r>
        <w:r w:rsidR="00983EAE" w:rsidRPr="007B3215">
          <w:rPr>
            <w:rStyle w:val="Hyperlink"/>
            <w:noProof/>
          </w:rPr>
          <w:noBreakHyphen/>
          <w:t xml:space="preserve">6: </w:t>
        </w:r>
        <w:r w:rsidR="00983EAE" w:rsidRPr="007B3215">
          <w:rPr>
            <w:rStyle w:val="Hyperlink"/>
            <w:rFonts w:ascii="Arial" w:hAnsi="Arial" w:cs="Arial"/>
            <w:noProof/>
          </w:rPr>
          <w:t>Challenges associated with securing finance for real estate project development in emerging economies</w:t>
        </w:r>
        <w:r w:rsidR="00983EAE">
          <w:rPr>
            <w:noProof/>
            <w:webHidden/>
          </w:rPr>
          <w:tab/>
        </w:r>
        <w:r w:rsidR="00983EAE">
          <w:rPr>
            <w:noProof/>
            <w:webHidden/>
          </w:rPr>
          <w:fldChar w:fldCharType="begin"/>
        </w:r>
        <w:r w:rsidR="00983EAE">
          <w:rPr>
            <w:noProof/>
            <w:webHidden/>
          </w:rPr>
          <w:instrText xml:space="preserve"> PAGEREF _Toc78983988 \h </w:instrText>
        </w:r>
        <w:r w:rsidR="00983EAE">
          <w:rPr>
            <w:noProof/>
            <w:webHidden/>
          </w:rPr>
        </w:r>
        <w:r w:rsidR="00983EAE">
          <w:rPr>
            <w:noProof/>
            <w:webHidden/>
          </w:rPr>
          <w:fldChar w:fldCharType="separate"/>
        </w:r>
        <w:r w:rsidR="00983EAE">
          <w:rPr>
            <w:noProof/>
            <w:webHidden/>
          </w:rPr>
          <w:t>6-192</w:t>
        </w:r>
        <w:r w:rsidR="00983EAE">
          <w:rPr>
            <w:noProof/>
            <w:webHidden/>
          </w:rPr>
          <w:fldChar w:fldCharType="end"/>
        </w:r>
      </w:hyperlink>
    </w:p>
    <w:p w14:paraId="2CA53E58" w14:textId="51C5CE44" w:rsidR="00983EAE" w:rsidRDefault="00257087">
      <w:pPr>
        <w:pStyle w:val="TableofFigures"/>
        <w:tabs>
          <w:tab w:val="right" w:leader="underscore" w:pos="9016"/>
        </w:tabs>
        <w:rPr>
          <w:rFonts w:eastAsiaTheme="minorEastAsia"/>
          <w:i w:val="0"/>
          <w:iCs w:val="0"/>
          <w:noProof/>
          <w:sz w:val="22"/>
          <w:szCs w:val="22"/>
          <w:lang w:eastAsia="en-GB"/>
        </w:rPr>
      </w:pPr>
      <w:hyperlink w:anchor="_Toc78983989" w:history="1">
        <w:r w:rsidR="00983EAE" w:rsidRPr="007B3215">
          <w:rPr>
            <w:rStyle w:val="Hyperlink"/>
            <w:rFonts w:ascii="Arial" w:hAnsi="Arial" w:cs="Arial"/>
            <w:noProof/>
          </w:rPr>
          <w:t>Table 6.4</w:t>
        </w:r>
        <w:r w:rsidR="00983EAE" w:rsidRPr="007B3215">
          <w:rPr>
            <w:rStyle w:val="Hyperlink"/>
            <w:rFonts w:ascii="Arial" w:hAnsi="Arial" w:cs="Arial"/>
            <w:noProof/>
          </w:rPr>
          <w:noBreakHyphen/>
          <w:t>1: Opportunities associated with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_Toc78983989 \h </w:instrText>
        </w:r>
        <w:r w:rsidR="00983EAE">
          <w:rPr>
            <w:noProof/>
            <w:webHidden/>
          </w:rPr>
        </w:r>
        <w:r w:rsidR="00983EAE">
          <w:rPr>
            <w:noProof/>
            <w:webHidden/>
          </w:rPr>
          <w:fldChar w:fldCharType="separate"/>
        </w:r>
        <w:r w:rsidR="00983EAE">
          <w:rPr>
            <w:noProof/>
            <w:webHidden/>
          </w:rPr>
          <w:t>6-198</w:t>
        </w:r>
        <w:r w:rsidR="00983EAE">
          <w:rPr>
            <w:noProof/>
            <w:webHidden/>
          </w:rPr>
          <w:fldChar w:fldCharType="end"/>
        </w:r>
      </w:hyperlink>
    </w:p>
    <w:p w14:paraId="5A556EEA" w14:textId="23FD8E2B" w:rsidR="00983EAE" w:rsidRDefault="00257087">
      <w:pPr>
        <w:pStyle w:val="TableofFigures"/>
        <w:tabs>
          <w:tab w:val="right" w:leader="underscore" w:pos="9016"/>
        </w:tabs>
        <w:rPr>
          <w:rFonts w:eastAsiaTheme="minorEastAsia"/>
          <w:i w:val="0"/>
          <w:iCs w:val="0"/>
          <w:noProof/>
          <w:sz w:val="22"/>
          <w:szCs w:val="22"/>
          <w:lang w:eastAsia="en-GB"/>
        </w:rPr>
      </w:pPr>
      <w:hyperlink w:anchor="_Toc78983990" w:history="1">
        <w:r w:rsidR="00983EAE" w:rsidRPr="007B3215">
          <w:rPr>
            <w:rStyle w:val="Hyperlink"/>
            <w:rFonts w:ascii="Arial" w:hAnsi="Arial" w:cs="Arial"/>
            <w:noProof/>
          </w:rPr>
          <w:t>Table 6.4</w:t>
        </w:r>
        <w:r w:rsidR="00983EAE" w:rsidRPr="007B3215">
          <w:rPr>
            <w:rStyle w:val="Hyperlink"/>
            <w:rFonts w:ascii="Arial" w:hAnsi="Arial" w:cs="Arial"/>
            <w:noProof/>
          </w:rPr>
          <w:noBreakHyphen/>
          <w:t>2: The mean score of opportunities associated with securing finance for real estate project development at the dis-aggregate level.</w:t>
        </w:r>
        <w:r w:rsidR="00983EAE">
          <w:rPr>
            <w:noProof/>
            <w:webHidden/>
          </w:rPr>
          <w:tab/>
        </w:r>
        <w:r w:rsidR="00983EAE">
          <w:rPr>
            <w:noProof/>
            <w:webHidden/>
          </w:rPr>
          <w:fldChar w:fldCharType="begin"/>
        </w:r>
        <w:r w:rsidR="00983EAE">
          <w:rPr>
            <w:noProof/>
            <w:webHidden/>
          </w:rPr>
          <w:instrText xml:space="preserve"> PAGEREF _Toc78983990 \h </w:instrText>
        </w:r>
        <w:r w:rsidR="00983EAE">
          <w:rPr>
            <w:noProof/>
            <w:webHidden/>
          </w:rPr>
        </w:r>
        <w:r w:rsidR="00983EAE">
          <w:rPr>
            <w:noProof/>
            <w:webHidden/>
          </w:rPr>
          <w:fldChar w:fldCharType="separate"/>
        </w:r>
        <w:r w:rsidR="00983EAE">
          <w:rPr>
            <w:noProof/>
            <w:webHidden/>
          </w:rPr>
          <w:t>6-199</w:t>
        </w:r>
        <w:r w:rsidR="00983EAE">
          <w:rPr>
            <w:noProof/>
            <w:webHidden/>
          </w:rPr>
          <w:fldChar w:fldCharType="end"/>
        </w:r>
      </w:hyperlink>
    </w:p>
    <w:p w14:paraId="1A8CE2A6" w14:textId="4EE2C85A" w:rsidR="00983EAE" w:rsidRDefault="00257087">
      <w:pPr>
        <w:pStyle w:val="TableofFigures"/>
        <w:tabs>
          <w:tab w:val="right" w:leader="underscore" w:pos="9016"/>
        </w:tabs>
        <w:rPr>
          <w:rFonts w:eastAsiaTheme="minorEastAsia"/>
          <w:i w:val="0"/>
          <w:iCs w:val="0"/>
          <w:noProof/>
          <w:sz w:val="22"/>
          <w:szCs w:val="22"/>
          <w:lang w:eastAsia="en-GB"/>
        </w:rPr>
      </w:pPr>
      <w:hyperlink w:anchor="_Toc78983991" w:history="1">
        <w:r w:rsidR="00983EAE" w:rsidRPr="007B3215">
          <w:rPr>
            <w:rStyle w:val="Hyperlink"/>
            <w:rFonts w:ascii="Arial" w:hAnsi="Arial" w:cs="Arial"/>
            <w:noProof/>
          </w:rPr>
          <w:t>Table 6.4</w:t>
        </w:r>
        <w:r w:rsidR="00983EAE" w:rsidRPr="007B3215">
          <w:rPr>
            <w:rStyle w:val="Hyperlink"/>
            <w:rFonts w:ascii="Arial" w:hAnsi="Arial" w:cs="Arial"/>
            <w:noProof/>
          </w:rPr>
          <w:noBreakHyphen/>
          <w:t>3: The mean score of opportunities associated with securing real estate project development finance at the dis-aggregate level.</w:t>
        </w:r>
        <w:r w:rsidR="00983EAE">
          <w:rPr>
            <w:noProof/>
            <w:webHidden/>
          </w:rPr>
          <w:tab/>
        </w:r>
        <w:r w:rsidR="00983EAE">
          <w:rPr>
            <w:noProof/>
            <w:webHidden/>
          </w:rPr>
          <w:fldChar w:fldCharType="begin"/>
        </w:r>
        <w:r w:rsidR="00983EAE">
          <w:rPr>
            <w:noProof/>
            <w:webHidden/>
          </w:rPr>
          <w:instrText xml:space="preserve"> PAGEREF _Toc78983991 \h </w:instrText>
        </w:r>
        <w:r w:rsidR="00983EAE">
          <w:rPr>
            <w:noProof/>
            <w:webHidden/>
          </w:rPr>
        </w:r>
        <w:r w:rsidR="00983EAE">
          <w:rPr>
            <w:noProof/>
            <w:webHidden/>
          </w:rPr>
          <w:fldChar w:fldCharType="separate"/>
        </w:r>
        <w:r w:rsidR="00983EAE">
          <w:rPr>
            <w:noProof/>
            <w:webHidden/>
          </w:rPr>
          <w:t>6-199</w:t>
        </w:r>
        <w:r w:rsidR="00983EAE">
          <w:rPr>
            <w:noProof/>
            <w:webHidden/>
          </w:rPr>
          <w:fldChar w:fldCharType="end"/>
        </w:r>
      </w:hyperlink>
    </w:p>
    <w:p w14:paraId="29DFB367" w14:textId="1853D1A4" w:rsidR="00983EAE" w:rsidRDefault="00257087">
      <w:pPr>
        <w:pStyle w:val="TableofFigures"/>
        <w:tabs>
          <w:tab w:val="right" w:leader="underscore" w:pos="9016"/>
        </w:tabs>
        <w:rPr>
          <w:rFonts w:eastAsiaTheme="minorEastAsia"/>
          <w:i w:val="0"/>
          <w:iCs w:val="0"/>
          <w:noProof/>
          <w:sz w:val="22"/>
          <w:szCs w:val="22"/>
          <w:lang w:eastAsia="en-GB"/>
        </w:rPr>
      </w:pPr>
      <w:hyperlink w:anchor="_Toc78983992" w:history="1">
        <w:r w:rsidR="00983EAE" w:rsidRPr="007B3215">
          <w:rPr>
            <w:rStyle w:val="Hyperlink"/>
            <w:noProof/>
          </w:rPr>
          <w:t>Table 6.4</w:t>
        </w:r>
        <w:r w:rsidR="00983EAE" w:rsidRPr="007B3215">
          <w:rPr>
            <w:rStyle w:val="Hyperlink"/>
            <w:noProof/>
          </w:rPr>
          <w:noBreakHyphen/>
          <w:t>4: Spearman correlation on the relationship between the management level and the opportunities associated with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_Toc78983992 \h </w:instrText>
        </w:r>
        <w:r w:rsidR="00983EAE">
          <w:rPr>
            <w:noProof/>
            <w:webHidden/>
          </w:rPr>
        </w:r>
        <w:r w:rsidR="00983EAE">
          <w:rPr>
            <w:noProof/>
            <w:webHidden/>
          </w:rPr>
          <w:fldChar w:fldCharType="separate"/>
        </w:r>
        <w:r w:rsidR="00983EAE">
          <w:rPr>
            <w:noProof/>
            <w:webHidden/>
          </w:rPr>
          <w:t>6-202</w:t>
        </w:r>
        <w:r w:rsidR="00983EAE">
          <w:rPr>
            <w:noProof/>
            <w:webHidden/>
          </w:rPr>
          <w:fldChar w:fldCharType="end"/>
        </w:r>
      </w:hyperlink>
    </w:p>
    <w:p w14:paraId="05F239A2" w14:textId="55DB30A7" w:rsidR="00983EAE" w:rsidRDefault="00257087">
      <w:pPr>
        <w:pStyle w:val="TableofFigures"/>
        <w:tabs>
          <w:tab w:val="right" w:leader="underscore" w:pos="9016"/>
        </w:tabs>
        <w:rPr>
          <w:rFonts w:eastAsiaTheme="minorEastAsia"/>
          <w:i w:val="0"/>
          <w:iCs w:val="0"/>
          <w:noProof/>
          <w:sz w:val="22"/>
          <w:szCs w:val="22"/>
          <w:lang w:eastAsia="en-GB"/>
        </w:rPr>
      </w:pPr>
      <w:hyperlink w:anchor="_Toc78983993" w:history="1">
        <w:r w:rsidR="00983EAE" w:rsidRPr="007B3215">
          <w:rPr>
            <w:rStyle w:val="Hyperlink"/>
            <w:rFonts w:ascii="Arial" w:hAnsi="Arial" w:cs="Arial"/>
            <w:noProof/>
          </w:rPr>
          <w:t>Table 6.4</w:t>
        </w:r>
        <w:r w:rsidR="00983EAE" w:rsidRPr="007B3215">
          <w:rPr>
            <w:rStyle w:val="Hyperlink"/>
            <w:rFonts w:ascii="Arial" w:hAnsi="Arial" w:cs="Arial"/>
            <w:noProof/>
          </w:rPr>
          <w:noBreakHyphen/>
          <w:t>5: Opportunities for securing finance for real estate project development in developed economies.</w:t>
        </w:r>
        <w:r w:rsidR="00983EAE">
          <w:rPr>
            <w:noProof/>
            <w:webHidden/>
          </w:rPr>
          <w:tab/>
        </w:r>
        <w:r w:rsidR="00983EAE">
          <w:rPr>
            <w:noProof/>
            <w:webHidden/>
          </w:rPr>
          <w:fldChar w:fldCharType="begin"/>
        </w:r>
        <w:r w:rsidR="00983EAE">
          <w:rPr>
            <w:noProof/>
            <w:webHidden/>
          </w:rPr>
          <w:instrText xml:space="preserve"> PAGEREF _Toc78983993 \h </w:instrText>
        </w:r>
        <w:r w:rsidR="00983EAE">
          <w:rPr>
            <w:noProof/>
            <w:webHidden/>
          </w:rPr>
        </w:r>
        <w:r w:rsidR="00983EAE">
          <w:rPr>
            <w:noProof/>
            <w:webHidden/>
          </w:rPr>
          <w:fldChar w:fldCharType="separate"/>
        </w:r>
        <w:r w:rsidR="00983EAE">
          <w:rPr>
            <w:noProof/>
            <w:webHidden/>
          </w:rPr>
          <w:t>6-203</w:t>
        </w:r>
        <w:r w:rsidR="00983EAE">
          <w:rPr>
            <w:noProof/>
            <w:webHidden/>
          </w:rPr>
          <w:fldChar w:fldCharType="end"/>
        </w:r>
      </w:hyperlink>
    </w:p>
    <w:p w14:paraId="3899ACB5" w14:textId="56C745AB" w:rsidR="00983EAE" w:rsidRDefault="00257087">
      <w:pPr>
        <w:pStyle w:val="TableofFigures"/>
        <w:tabs>
          <w:tab w:val="right" w:leader="underscore" w:pos="9016"/>
        </w:tabs>
        <w:rPr>
          <w:rFonts w:eastAsiaTheme="minorEastAsia"/>
          <w:i w:val="0"/>
          <w:iCs w:val="0"/>
          <w:noProof/>
          <w:sz w:val="22"/>
          <w:szCs w:val="22"/>
          <w:lang w:eastAsia="en-GB"/>
        </w:rPr>
      </w:pPr>
      <w:hyperlink w:anchor="_Toc78983994" w:history="1">
        <w:r w:rsidR="00983EAE" w:rsidRPr="007B3215">
          <w:rPr>
            <w:rStyle w:val="Hyperlink"/>
            <w:rFonts w:ascii="Arial" w:hAnsi="Arial" w:cs="Arial"/>
            <w:noProof/>
          </w:rPr>
          <w:t>Table 6.4</w:t>
        </w:r>
        <w:r w:rsidR="00983EAE" w:rsidRPr="007B3215">
          <w:rPr>
            <w:rStyle w:val="Hyperlink"/>
            <w:rFonts w:ascii="Arial" w:hAnsi="Arial" w:cs="Arial"/>
            <w:noProof/>
          </w:rPr>
          <w:noBreakHyphen/>
          <w:t>6: Opportunities challenges for securing finance for real estate project development in emerging economies.</w:t>
        </w:r>
        <w:r w:rsidR="00983EAE">
          <w:rPr>
            <w:noProof/>
            <w:webHidden/>
          </w:rPr>
          <w:tab/>
        </w:r>
        <w:r w:rsidR="00983EAE">
          <w:rPr>
            <w:noProof/>
            <w:webHidden/>
          </w:rPr>
          <w:fldChar w:fldCharType="begin"/>
        </w:r>
        <w:r w:rsidR="00983EAE">
          <w:rPr>
            <w:noProof/>
            <w:webHidden/>
          </w:rPr>
          <w:instrText xml:space="preserve"> PAGEREF _Toc78983994 \h </w:instrText>
        </w:r>
        <w:r w:rsidR="00983EAE">
          <w:rPr>
            <w:noProof/>
            <w:webHidden/>
          </w:rPr>
        </w:r>
        <w:r w:rsidR="00983EAE">
          <w:rPr>
            <w:noProof/>
            <w:webHidden/>
          </w:rPr>
          <w:fldChar w:fldCharType="separate"/>
        </w:r>
        <w:r w:rsidR="00983EAE">
          <w:rPr>
            <w:noProof/>
            <w:webHidden/>
          </w:rPr>
          <w:t>6-204</w:t>
        </w:r>
        <w:r w:rsidR="00983EAE">
          <w:rPr>
            <w:noProof/>
            <w:webHidden/>
          </w:rPr>
          <w:fldChar w:fldCharType="end"/>
        </w:r>
      </w:hyperlink>
    </w:p>
    <w:p w14:paraId="7A835FB6" w14:textId="606E51D8" w:rsidR="00983EAE" w:rsidRDefault="00257087">
      <w:pPr>
        <w:pStyle w:val="TableofFigures"/>
        <w:tabs>
          <w:tab w:val="right" w:leader="underscore" w:pos="9016"/>
        </w:tabs>
        <w:rPr>
          <w:rFonts w:eastAsiaTheme="minorEastAsia"/>
          <w:i w:val="0"/>
          <w:iCs w:val="0"/>
          <w:noProof/>
          <w:sz w:val="22"/>
          <w:szCs w:val="22"/>
          <w:lang w:eastAsia="en-GB"/>
        </w:rPr>
      </w:pPr>
      <w:hyperlink w:anchor="_Toc78983995" w:history="1">
        <w:r w:rsidR="00983EAE" w:rsidRPr="007B3215">
          <w:rPr>
            <w:rStyle w:val="Hyperlink"/>
            <w:rFonts w:ascii="Arial" w:hAnsi="Arial" w:cs="Arial"/>
            <w:noProof/>
          </w:rPr>
          <w:t>Table 6.5</w:t>
        </w:r>
        <w:r w:rsidR="00983EAE" w:rsidRPr="007B3215">
          <w:rPr>
            <w:rStyle w:val="Hyperlink"/>
            <w:rFonts w:ascii="Arial" w:hAnsi="Arial" w:cs="Arial"/>
            <w:noProof/>
          </w:rPr>
          <w:noBreakHyphen/>
          <w:t>1: Conceptual framework of environmental scan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_Toc78983995 \h </w:instrText>
        </w:r>
        <w:r w:rsidR="00983EAE">
          <w:rPr>
            <w:noProof/>
            <w:webHidden/>
          </w:rPr>
        </w:r>
        <w:r w:rsidR="00983EAE">
          <w:rPr>
            <w:noProof/>
            <w:webHidden/>
          </w:rPr>
          <w:fldChar w:fldCharType="separate"/>
        </w:r>
        <w:r w:rsidR="00983EAE">
          <w:rPr>
            <w:noProof/>
            <w:webHidden/>
          </w:rPr>
          <w:t>6-211</w:t>
        </w:r>
        <w:r w:rsidR="00983EAE">
          <w:rPr>
            <w:noProof/>
            <w:webHidden/>
          </w:rPr>
          <w:fldChar w:fldCharType="end"/>
        </w:r>
      </w:hyperlink>
    </w:p>
    <w:p w14:paraId="1CFBBFA8" w14:textId="1E1B91B5" w:rsidR="00983EAE" w:rsidRDefault="00257087">
      <w:pPr>
        <w:pStyle w:val="TableofFigures"/>
        <w:tabs>
          <w:tab w:val="right" w:leader="underscore" w:pos="9016"/>
        </w:tabs>
        <w:rPr>
          <w:rFonts w:eastAsiaTheme="minorEastAsia"/>
          <w:i w:val="0"/>
          <w:iCs w:val="0"/>
          <w:noProof/>
          <w:sz w:val="22"/>
          <w:szCs w:val="22"/>
          <w:lang w:eastAsia="en-GB"/>
        </w:rPr>
      </w:pPr>
      <w:hyperlink w:anchor="_Toc78983996" w:history="1">
        <w:r w:rsidR="00983EAE" w:rsidRPr="007B3215">
          <w:rPr>
            <w:rStyle w:val="Hyperlink"/>
            <w:rFonts w:ascii="Arial" w:hAnsi="Arial" w:cs="Arial"/>
            <w:noProof/>
          </w:rPr>
          <w:t>Table 7.5</w:t>
        </w:r>
        <w:r w:rsidR="00983EAE" w:rsidRPr="007B3215">
          <w:rPr>
            <w:rStyle w:val="Hyperlink"/>
            <w:rFonts w:ascii="Arial" w:hAnsi="Arial" w:cs="Arial"/>
            <w:noProof/>
          </w:rPr>
          <w:noBreakHyphen/>
          <w:t>1: Process map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_Toc78983996 \h </w:instrText>
        </w:r>
        <w:r w:rsidR="00983EAE">
          <w:rPr>
            <w:noProof/>
            <w:webHidden/>
          </w:rPr>
        </w:r>
        <w:r w:rsidR="00983EAE">
          <w:rPr>
            <w:noProof/>
            <w:webHidden/>
          </w:rPr>
          <w:fldChar w:fldCharType="separate"/>
        </w:r>
        <w:r w:rsidR="00983EAE">
          <w:rPr>
            <w:noProof/>
            <w:webHidden/>
          </w:rPr>
          <w:t>7-230</w:t>
        </w:r>
        <w:r w:rsidR="00983EAE">
          <w:rPr>
            <w:noProof/>
            <w:webHidden/>
          </w:rPr>
          <w:fldChar w:fldCharType="end"/>
        </w:r>
      </w:hyperlink>
    </w:p>
    <w:p w14:paraId="00F4514C" w14:textId="57722E85" w:rsidR="00983EAE" w:rsidRDefault="00257087">
      <w:pPr>
        <w:pStyle w:val="TableofFigures"/>
        <w:tabs>
          <w:tab w:val="right" w:leader="underscore" w:pos="9016"/>
        </w:tabs>
        <w:rPr>
          <w:rFonts w:eastAsiaTheme="minorEastAsia"/>
          <w:i w:val="0"/>
          <w:iCs w:val="0"/>
          <w:noProof/>
          <w:sz w:val="22"/>
          <w:szCs w:val="22"/>
          <w:lang w:eastAsia="en-GB"/>
        </w:rPr>
      </w:pPr>
      <w:hyperlink w:anchor="_Toc78983997" w:history="1">
        <w:r w:rsidR="00983EAE" w:rsidRPr="007B3215">
          <w:rPr>
            <w:rStyle w:val="Hyperlink"/>
            <w:rFonts w:ascii="Arial" w:hAnsi="Arial" w:cs="Arial"/>
            <w:noProof/>
          </w:rPr>
          <w:t>Table 8.2</w:t>
        </w:r>
        <w:r w:rsidR="00983EAE" w:rsidRPr="007B3215">
          <w:rPr>
            <w:rStyle w:val="Hyperlink"/>
            <w:rFonts w:ascii="Arial" w:hAnsi="Arial" w:cs="Arial"/>
            <w:noProof/>
          </w:rPr>
          <w:noBreakHyphen/>
          <w:t>1: Degree of the importance of management skills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_Toc78983997 \h </w:instrText>
        </w:r>
        <w:r w:rsidR="00983EAE">
          <w:rPr>
            <w:noProof/>
            <w:webHidden/>
          </w:rPr>
        </w:r>
        <w:r w:rsidR="00983EAE">
          <w:rPr>
            <w:noProof/>
            <w:webHidden/>
          </w:rPr>
          <w:fldChar w:fldCharType="separate"/>
        </w:r>
        <w:r w:rsidR="00983EAE">
          <w:rPr>
            <w:noProof/>
            <w:webHidden/>
          </w:rPr>
          <w:t>8-235</w:t>
        </w:r>
        <w:r w:rsidR="00983EAE">
          <w:rPr>
            <w:noProof/>
            <w:webHidden/>
          </w:rPr>
          <w:fldChar w:fldCharType="end"/>
        </w:r>
      </w:hyperlink>
    </w:p>
    <w:p w14:paraId="37DF8C1A" w14:textId="3508E3FA" w:rsidR="00983EAE" w:rsidRDefault="00257087">
      <w:pPr>
        <w:pStyle w:val="TableofFigures"/>
        <w:tabs>
          <w:tab w:val="right" w:leader="underscore" w:pos="9016"/>
        </w:tabs>
        <w:rPr>
          <w:rFonts w:eastAsiaTheme="minorEastAsia"/>
          <w:i w:val="0"/>
          <w:iCs w:val="0"/>
          <w:noProof/>
          <w:sz w:val="22"/>
          <w:szCs w:val="22"/>
          <w:lang w:eastAsia="en-GB"/>
        </w:rPr>
      </w:pPr>
      <w:hyperlink w:anchor="_Toc78983998" w:history="1">
        <w:r w:rsidR="00983EAE" w:rsidRPr="007B3215">
          <w:rPr>
            <w:rStyle w:val="Hyperlink"/>
            <w:noProof/>
          </w:rPr>
          <w:t>Table 8.2</w:t>
        </w:r>
        <w:r w:rsidR="00983EAE" w:rsidRPr="007B3215">
          <w:rPr>
            <w:rStyle w:val="Hyperlink"/>
            <w:noProof/>
          </w:rPr>
          <w:noBreakHyphen/>
          <w:t>2:Mean scores for Degree of the importance of management skills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_Toc78983998 \h </w:instrText>
        </w:r>
        <w:r w:rsidR="00983EAE">
          <w:rPr>
            <w:noProof/>
            <w:webHidden/>
          </w:rPr>
        </w:r>
        <w:r w:rsidR="00983EAE">
          <w:rPr>
            <w:noProof/>
            <w:webHidden/>
          </w:rPr>
          <w:fldChar w:fldCharType="separate"/>
        </w:r>
        <w:r w:rsidR="00983EAE">
          <w:rPr>
            <w:noProof/>
            <w:webHidden/>
          </w:rPr>
          <w:t>8-236</w:t>
        </w:r>
        <w:r w:rsidR="00983EAE">
          <w:rPr>
            <w:noProof/>
            <w:webHidden/>
          </w:rPr>
          <w:fldChar w:fldCharType="end"/>
        </w:r>
      </w:hyperlink>
    </w:p>
    <w:p w14:paraId="160EA3D5" w14:textId="779111BF" w:rsidR="00983EAE" w:rsidRDefault="00257087">
      <w:pPr>
        <w:pStyle w:val="TableofFigures"/>
        <w:tabs>
          <w:tab w:val="right" w:leader="underscore" w:pos="9016"/>
        </w:tabs>
        <w:rPr>
          <w:rFonts w:eastAsiaTheme="minorEastAsia"/>
          <w:i w:val="0"/>
          <w:iCs w:val="0"/>
          <w:noProof/>
          <w:sz w:val="22"/>
          <w:szCs w:val="22"/>
          <w:lang w:eastAsia="en-GB"/>
        </w:rPr>
      </w:pPr>
      <w:hyperlink w:anchor="_Toc78983999" w:history="1">
        <w:r w:rsidR="00983EAE" w:rsidRPr="007B3215">
          <w:rPr>
            <w:rStyle w:val="Hyperlink"/>
            <w:noProof/>
          </w:rPr>
          <w:t>Table 8.2</w:t>
        </w:r>
        <w:r w:rsidR="00983EAE" w:rsidRPr="007B3215">
          <w:rPr>
            <w:rStyle w:val="Hyperlink"/>
            <w:noProof/>
          </w:rPr>
          <w:noBreakHyphen/>
          <w:t xml:space="preserve">3: </w:t>
        </w:r>
        <w:r w:rsidR="00983EAE" w:rsidRPr="007B3215">
          <w:rPr>
            <w:rStyle w:val="Hyperlink"/>
            <w:rFonts w:ascii="Arial" w:hAnsi="Arial" w:cs="Arial"/>
            <w:noProof/>
          </w:rPr>
          <w:t>The degree of need for training and education for management skills for securing finance for the present</w:t>
        </w:r>
        <w:r w:rsidR="00983EAE">
          <w:rPr>
            <w:noProof/>
            <w:webHidden/>
          </w:rPr>
          <w:tab/>
        </w:r>
        <w:r w:rsidR="00983EAE">
          <w:rPr>
            <w:noProof/>
            <w:webHidden/>
          </w:rPr>
          <w:fldChar w:fldCharType="begin"/>
        </w:r>
        <w:r w:rsidR="00983EAE">
          <w:rPr>
            <w:noProof/>
            <w:webHidden/>
          </w:rPr>
          <w:instrText xml:space="preserve"> PAGEREF _Toc78983999 \h </w:instrText>
        </w:r>
        <w:r w:rsidR="00983EAE">
          <w:rPr>
            <w:noProof/>
            <w:webHidden/>
          </w:rPr>
        </w:r>
        <w:r w:rsidR="00983EAE">
          <w:rPr>
            <w:noProof/>
            <w:webHidden/>
          </w:rPr>
          <w:fldChar w:fldCharType="separate"/>
        </w:r>
        <w:r w:rsidR="00983EAE">
          <w:rPr>
            <w:noProof/>
            <w:webHidden/>
          </w:rPr>
          <w:t>8-239</w:t>
        </w:r>
        <w:r w:rsidR="00983EAE">
          <w:rPr>
            <w:noProof/>
            <w:webHidden/>
          </w:rPr>
          <w:fldChar w:fldCharType="end"/>
        </w:r>
      </w:hyperlink>
    </w:p>
    <w:p w14:paraId="4AAFCDE9" w14:textId="4BACE164" w:rsidR="00983EAE" w:rsidRDefault="00257087">
      <w:pPr>
        <w:pStyle w:val="TableofFigures"/>
        <w:tabs>
          <w:tab w:val="right" w:leader="underscore" w:pos="9016"/>
        </w:tabs>
        <w:rPr>
          <w:rFonts w:eastAsiaTheme="minorEastAsia"/>
          <w:i w:val="0"/>
          <w:iCs w:val="0"/>
          <w:noProof/>
          <w:sz w:val="22"/>
          <w:szCs w:val="22"/>
          <w:lang w:eastAsia="en-GB"/>
        </w:rPr>
      </w:pPr>
      <w:hyperlink w:anchor="_Toc78984000" w:history="1">
        <w:r w:rsidR="00983EAE" w:rsidRPr="007B3215">
          <w:rPr>
            <w:rStyle w:val="Hyperlink"/>
            <w:noProof/>
          </w:rPr>
          <w:t>Table 8.2</w:t>
        </w:r>
        <w:r w:rsidR="00983EAE" w:rsidRPr="007B3215">
          <w:rPr>
            <w:rStyle w:val="Hyperlink"/>
            <w:noProof/>
          </w:rPr>
          <w:noBreakHyphen/>
          <w:t xml:space="preserve">4: </w:t>
        </w:r>
        <w:r w:rsidR="00983EAE" w:rsidRPr="007B3215">
          <w:rPr>
            <w:rStyle w:val="Hyperlink"/>
            <w:rFonts w:ascii="Arial" w:hAnsi="Arial" w:cs="Arial"/>
            <w:noProof/>
          </w:rPr>
          <w:t>Mean scores for Degree of need for training and education for management skills for securing finance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_Toc78984000 \h </w:instrText>
        </w:r>
        <w:r w:rsidR="00983EAE">
          <w:rPr>
            <w:noProof/>
            <w:webHidden/>
          </w:rPr>
        </w:r>
        <w:r w:rsidR="00983EAE">
          <w:rPr>
            <w:noProof/>
            <w:webHidden/>
          </w:rPr>
          <w:fldChar w:fldCharType="separate"/>
        </w:r>
        <w:r w:rsidR="00983EAE">
          <w:rPr>
            <w:noProof/>
            <w:webHidden/>
          </w:rPr>
          <w:t>8-240</w:t>
        </w:r>
        <w:r w:rsidR="00983EAE">
          <w:rPr>
            <w:noProof/>
            <w:webHidden/>
          </w:rPr>
          <w:fldChar w:fldCharType="end"/>
        </w:r>
      </w:hyperlink>
    </w:p>
    <w:p w14:paraId="557B51F0" w14:textId="71D9F7B5" w:rsidR="00983EAE" w:rsidRDefault="00257087">
      <w:pPr>
        <w:pStyle w:val="TableofFigures"/>
        <w:tabs>
          <w:tab w:val="right" w:leader="underscore" w:pos="9016"/>
        </w:tabs>
        <w:rPr>
          <w:rFonts w:eastAsiaTheme="minorEastAsia"/>
          <w:i w:val="0"/>
          <w:iCs w:val="0"/>
          <w:noProof/>
          <w:sz w:val="22"/>
          <w:szCs w:val="22"/>
          <w:lang w:eastAsia="en-GB"/>
        </w:rPr>
      </w:pPr>
      <w:hyperlink w:anchor="_Toc78984001" w:history="1">
        <w:r w:rsidR="00983EAE" w:rsidRPr="007B3215">
          <w:rPr>
            <w:rStyle w:val="Hyperlink"/>
            <w:noProof/>
          </w:rPr>
          <w:t>Table 8.2</w:t>
        </w:r>
        <w:r w:rsidR="00983EAE" w:rsidRPr="007B3215">
          <w:rPr>
            <w:rStyle w:val="Hyperlink"/>
            <w:noProof/>
          </w:rPr>
          <w:noBreakHyphen/>
          <w:t>5: The degree of need for training and education for management skills for securing finance for the future (next five years)</w:t>
        </w:r>
        <w:r w:rsidR="00983EAE">
          <w:rPr>
            <w:noProof/>
            <w:webHidden/>
          </w:rPr>
          <w:tab/>
        </w:r>
        <w:r w:rsidR="00983EAE">
          <w:rPr>
            <w:noProof/>
            <w:webHidden/>
          </w:rPr>
          <w:fldChar w:fldCharType="begin"/>
        </w:r>
        <w:r w:rsidR="00983EAE">
          <w:rPr>
            <w:noProof/>
            <w:webHidden/>
          </w:rPr>
          <w:instrText xml:space="preserve"> PAGEREF _Toc78984001 \h </w:instrText>
        </w:r>
        <w:r w:rsidR="00983EAE">
          <w:rPr>
            <w:noProof/>
            <w:webHidden/>
          </w:rPr>
        </w:r>
        <w:r w:rsidR="00983EAE">
          <w:rPr>
            <w:noProof/>
            <w:webHidden/>
          </w:rPr>
          <w:fldChar w:fldCharType="separate"/>
        </w:r>
        <w:r w:rsidR="00983EAE">
          <w:rPr>
            <w:noProof/>
            <w:webHidden/>
          </w:rPr>
          <w:t>8-242</w:t>
        </w:r>
        <w:r w:rsidR="00983EAE">
          <w:rPr>
            <w:noProof/>
            <w:webHidden/>
          </w:rPr>
          <w:fldChar w:fldCharType="end"/>
        </w:r>
      </w:hyperlink>
    </w:p>
    <w:p w14:paraId="77034C69" w14:textId="666F6954" w:rsidR="00983EAE" w:rsidRDefault="00257087">
      <w:pPr>
        <w:pStyle w:val="TableofFigures"/>
        <w:tabs>
          <w:tab w:val="right" w:leader="underscore" w:pos="9016"/>
        </w:tabs>
        <w:rPr>
          <w:rFonts w:eastAsiaTheme="minorEastAsia"/>
          <w:i w:val="0"/>
          <w:iCs w:val="0"/>
          <w:noProof/>
          <w:sz w:val="22"/>
          <w:szCs w:val="22"/>
          <w:lang w:eastAsia="en-GB"/>
        </w:rPr>
      </w:pPr>
      <w:hyperlink w:anchor="_Toc78984002" w:history="1">
        <w:r w:rsidR="00983EAE" w:rsidRPr="007B3215">
          <w:rPr>
            <w:rStyle w:val="Hyperlink"/>
            <w:rFonts w:ascii="Arial" w:hAnsi="Arial" w:cs="Arial"/>
            <w:noProof/>
          </w:rPr>
          <w:t>Table 8.2</w:t>
        </w:r>
        <w:r w:rsidR="00983EAE" w:rsidRPr="007B3215">
          <w:rPr>
            <w:rStyle w:val="Hyperlink"/>
            <w:rFonts w:ascii="Arial" w:hAnsi="Arial" w:cs="Arial"/>
            <w:noProof/>
          </w:rPr>
          <w:noBreakHyphen/>
          <w:t>6: Mean scores for Degree of  need for training and education for management skills for securing finance for real estate project development for the future at the aggregate level</w:t>
        </w:r>
        <w:r w:rsidR="00983EAE">
          <w:rPr>
            <w:noProof/>
            <w:webHidden/>
          </w:rPr>
          <w:tab/>
        </w:r>
        <w:r w:rsidR="00983EAE">
          <w:rPr>
            <w:noProof/>
            <w:webHidden/>
          </w:rPr>
          <w:fldChar w:fldCharType="begin"/>
        </w:r>
        <w:r w:rsidR="00983EAE">
          <w:rPr>
            <w:noProof/>
            <w:webHidden/>
          </w:rPr>
          <w:instrText xml:space="preserve"> PAGEREF _Toc78984002 \h </w:instrText>
        </w:r>
        <w:r w:rsidR="00983EAE">
          <w:rPr>
            <w:noProof/>
            <w:webHidden/>
          </w:rPr>
        </w:r>
        <w:r w:rsidR="00983EAE">
          <w:rPr>
            <w:noProof/>
            <w:webHidden/>
          </w:rPr>
          <w:fldChar w:fldCharType="separate"/>
        </w:r>
        <w:r w:rsidR="00983EAE">
          <w:rPr>
            <w:noProof/>
            <w:webHidden/>
          </w:rPr>
          <w:t>8-243</w:t>
        </w:r>
        <w:r w:rsidR="00983EAE">
          <w:rPr>
            <w:noProof/>
            <w:webHidden/>
          </w:rPr>
          <w:fldChar w:fldCharType="end"/>
        </w:r>
      </w:hyperlink>
    </w:p>
    <w:p w14:paraId="54974B62" w14:textId="17BCBFCF" w:rsidR="00983EAE" w:rsidRDefault="00257087">
      <w:pPr>
        <w:pStyle w:val="TableofFigures"/>
        <w:tabs>
          <w:tab w:val="right" w:leader="underscore" w:pos="9016"/>
        </w:tabs>
        <w:rPr>
          <w:rFonts w:eastAsiaTheme="minorEastAsia"/>
          <w:i w:val="0"/>
          <w:iCs w:val="0"/>
          <w:noProof/>
          <w:sz w:val="22"/>
          <w:szCs w:val="22"/>
          <w:lang w:eastAsia="en-GB"/>
        </w:rPr>
      </w:pPr>
      <w:hyperlink w:anchor="_Toc78984003" w:history="1">
        <w:r w:rsidR="00983EAE" w:rsidRPr="007B3215">
          <w:rPr>
            <w:rStyle w:val="Hyperlink"/>
            <w:noProof/>
          </w:rPr>
          <w:t>Table 8.2</w:t>
        </w:r>
        <w:r w:rsidR="00983EAE" w:rsidRPr="007B3215">
          <w:rPr>
            <w:rStyle w:val="Hyperlink"/>
            <w:noProof/>
          </w:rPr>
          <w:noBreakHyphen/>
          <w:t xml:space="preserve">7: </w:t>
        </w:r>
        <w:r w:rsidR="00983EAE" w:rsidRPr="007B3215">
          <w:rPr>
            <w:rStyle w:val="Hyperlink"/>
            <w:rFonts w:ascii="Arial" w:hAnsi="Arial" w:cs="Arial"/>
            <w:noProof/>
          </w:rPr>
          <w:t>Summary of semi-structured interviews on skills for securing finance for real estate project development in the developed economies.</w:t>
        </w:r>
        <w:r w:rsidR="00983EAE">
          <w:rPr>
            <w:noProof/>
            <w:webHidden/>
          </w:rPr>
          <w:tab/>
        </w:r>
        <w:r w:rsidR="00983EAE">
          <w:rPr>
            <w:noProof/>
            <w:webHidden/>
          </w:rPr>
          <w:fldChar w:fldCharType="begin"/>
        </w:r>
        <w:r w:rsidR="00983EAE">
          <w:rPr>
            <w:noProof/>
            <w:webHidden/>
          </w:rPr>
          <w:instrText xml:space="preserve"> PAGEREF _Toc78984003 \h </w:instrText>
        </w:r>
        <w:r w:rsidR="00983EAE">
          <w:rPr>
            <w:noProof/>
            <w:webHidden/>
          </w:rPr>
        </w:r>
        <w:r w:rsidR="00983EAE">
          <w:rPr>
            <w:noProof/>
            <w:webHidden/>
          </w:rPr>
          <w:fldChar w:fldCharType="separate"/>
        </w:r>
        <w:r w:rsidR="00983EAE">
          <w:rPr>
            <w:noProof/>
            <w:webHidden/>
          </w:rPr>
          <w:t>8-245</w:t>
        </w:r>
        <w:r w:rsidR="00983EAE">
          <w:rPr>
            <w:noProof/>
            <w:webHidden/>
          </w:rPr>
          <w:fldChar w:fldCharType="end"/>
        </w:r>
      </w:hyperlink>
    </w:p>
    <w:p w14:paraId="4B33D687" w14:textId="16433AF0" w:rsidR="00983EAE" w:rsidRDefault="00257087">
      <w:pPr>
        <w:pStyle w:val="TableofFigures"/>
        <w:tabs>
          <w:tab w:val="right" w:leader="underscore" w:pos="9016"/>
        </w:tabs>
        <w:rPr>
          <w:rFonts w:eastAsiaTheme="minorEastAsia"/>
          <w:i w:val="0"/>
          <w:iCs w:val="0"/>
          <w:noProof/>
          <w:sz w:val="22"/>
          <w:szCs w:val="22"/>
          <w:lang w:eastAsia="en-GB"/>
        </w:rPr>
      </w:pPr>
      <w:hyperlink w:anchor="_Toc78984004" w:history="1">
        <w:r w:rsidR="00983EAE" w:rsidRPr="007B3215">
          <w:rPr>
            <w:rStyle w:val="Hyperlink"/>
            <w:rFonts w:ascii="Arial" w:hAnsi="Arial" w:cs="Arial"/>
            <w:noProof/>
          </w:rPr>
          <w:t>Table 8.2</w:t>
        </w:r>
        <w:r w:rsidR="00983EAE" w:rsidRPr="007B3215">
          <w:rPr>
            <w:rStyle w:val="Hyperlink"/>
            <w:rFonts w:ascii="Arial" w:hAnsi="Arial" w:cs="Arial"/>
            <w:noProof/>
          </w:rPr>
          <w:noBreakHyphen/>
          <w:t>8: Summary of semi-structured interviews on skills for securing finance for real estate project development in the emerging economies.</w:t>
        </w:r>
        <w:r w:rsidR="00983EAE">
          <w:rPr>
            <w:noProof/>
            <w:webHidden/>
          </w:rPr>
          <w:tab/>
        </w:r>
        <w:r w:rsidR="00983EAE">
          <w:rPr>
            <w:noProof/>
            <w:webHidden/>
          </w:rPr>
          <w:fldChar w:fldCharType="begin"/>
        </w:r>
        <w:r w:rsidR="00983EAE">
          <w:rPr>
            <w:noProof/>
            <w:webHidden/>
          </w:rPr>
          <w:instrText xml:space="preserve"> PAGEREF _Toc78984004 \h </w:instrText>
        </w:r>
        <w:r w:rsidR="00983EAE">
          <w:rPr>
            <w:noProof/>
            <w:webHidden/>
          </w:rPr>
        </w:r>
        <w:r w:rsidR="00983EAE">
          <w:rPr>
            <w:noProof/>
            <w:webHidden/>
          </w:rPr>
          <w:fldChar w:fldCharType="separate"/>
        </w:r>
        <w:r w:rsidR="00983EAE">
          <w:rPr>
            <w:noProof/>
            <w:webHidden/>
          </w:rPr>
          <w:t>8-246</w:t>
        </w:r>
        <w:r w:rsidR="00983EAE">
          <w:rPr>
            <w:noProof/>
            <w:webHidden/>
          </w:rPr>
          <w:fldChar w:fldCharType="end"/>
        </w:r>
      </w:hyperlink>
    </w:p>
    <w:p w14:paraId="1EB9D069" w14:textId="14430448" w:rsidR="00983EAE" w:rsidRDefault="00257087">
      <w:pPr>
        <w:pStyle w:val="TableofFigures"/>
        <w:tabs>
          <w:tab w:val="right" w:leader="underscore" w:pos="9016"/>
        </w:tabs>
        <w:rPr>
          <w:rFonts w:eastAsiaTheme="minorEastAsia"/>
          <w:i w:val="0"/>
          <w:iCs w:val="0"/>
          <w:noProof/>
          <w:sz w:val="22"/>
          <w:szCs w:val="22"/>
          <w:lang w:eastAsia="en-GB"/>
        </w:rPr>
      </w:pPr>
      <w:hyperlink w:anchor="_Toc78984005" w:history="1">
        <w:r w:rsidR="00983EAE" w:rsidRPr="007B3215">
          <w:rPr>
            <w:rStyle w:val="Hyperlink"/>
            <w:noProof/>
          </w:rPr>
          <w:t>Table 8.2</w:t>
        </w:r>
        <w:r w:rsidR="00983EAE" w:rsidRPr="007B3215">
          <w:rPr>
            <w:rStyle w:val="Hyperlink"/>
            <w:noProof/>
          </w:rPr>
          <w:noBreakHyphen/>
          <w:t>9: Framework/ Inventory of management skills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_Toc78984005 \h </w:instrText>
        </w:r>
        <w:r w:rsidR="00983EAE">
          <w:rPr>
            <w:noProof/>
            <w:webHidden/>
          </w:rPr>
        </w:r>
        <w:r w:rsidR="00983EAE">
          <w:rPr>
            <w:noProof/>
            <w:webHidden/>
          </w:rPr>
          <w:fldChar w:fldCharType="separate"/>
        </w:r>
        <w:r w:rsidR="00983EAE">
          <w:rPr>
            <w:noProof/>
            <w:webHidden/>
          </w:rPr>
          <w:t>8-251</w:t>
        </w:r>
        <w:r w:rsidR="00983EAE">
          <w:rPr>
            <w:noProof/>
            <w:webHidden/>
          </w:rPr>
          <w:fldChar w:fldCharType="end"/>
        </w:r>
      </w:hyperlink>
    </w:p>
    <w:p w14:paraId="597D1E0A" w14:textId="4F5F80E5" w:rsidR="00983EAE" w:rsidRDefault="00257087">
      <w:pPr>
        <w:pStyle w:val="TableofFigures"/>
        <w:tabs>
          <w:tab w:val="right" w:leader="underscore" w:pos="9016"/>
        </w:tabs>
        <w:rPr>
          <w:rFonts w:eastAsiaTheme="minorEastAsia"/>
          <w:i w:val="0"/>
          <w:iCs w:val="0"/>
          <w:noProof/>
          <w:sz w:val="22"/>
          <w:szCs w:val="22"/>
          <w:lang w:eastAsia="en-GB"/>
        </w:rPr>
      </w:pPr>
      <w:hyperlink w:anchor="_Toc78984006" w:history="1">
        <w:r w:rsidR="00983EAE" w:rsidRPr="007B3215">
          <w:rPr>
            <w:rStyle w:val="Hyperlink"/>
            <w:noProof/>
          </w:rPr>
          <w:t>Table 8.3</w:t>
        </w:r>
        <w:r w:rsidR="00983EAE" w:rsidRPr="007B3215">
          <w:rPr>
            <w:rStyle w:val="Hyperlink"/>
            <w:noProof/>
          </w:rPr>
          <w:noBreakHyphen/>
          <w:t xml:space="preserve">1: </w:t>
        </w:r>
        <w:r w:rsidR="00983EAE" w:rsidRPr="007B3215">
          <w:rPr>
            <w:rStyle w:val="Hyperlink"/>
            <w:rFonts w:ascii="Arial" w:hAnsi="Arial" w:cs="Arial"/>
            <w:noProof/>
          </w:rPr>
          <w:t>Degree of the importance of management knowledge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_Toc78984006 \h </w:instrText>
        </w:r>
        <w:r w:rsidR="00983EAE">
          <w:rPr>
            <w:noProof/>
            <w:webHidden/>
          </w:rPr>
        </w:r>
        <w:r w:rsidR="00983EAE">
          <w:rPr>
            <w:noProof/>
            <w:webHidden/>
          </w:rPr>
          <w:fldChar w:fldCharType="separate"/>
        </w:r>
        <w:r w:rsidR="00983EAE">
          <w:rPr>
            <w:noProof/>
            <w:webHidden/>
          </w:rPr>
          <w:t>8-253</w:t>
        </w:r>
        <w:r w:rsidR="00983EAE">
          <w:rPr>
            <w:noProof/>
            <w:webHidden/>
          </w:rPr>
          <w:fldChar w:fldCharType="end"/>
        </w:r>
      </w:hyperlink>
    </w:p>
    <w:p w14:paraId="2FF653EE" w14:textId="4E7BB78C" w:rsidR="00983EAE" w:rsidRDefault="00257087">
      <w:pPr>
        <w:pStyle w:val="TableofFigures"/>
        <w:tabs>
          <w:tab w:val="right" w:leader="underscore" w:pos="9016"/>
        </w:tabs>
        <w:rPr>
          <w:rFonts w:eastAsiaTheme="minorEastAsia"/>
          <w:i w:val="0"/>
          <w:iCs w:val="0"/>
          <w:noProof/>
          <w:sz w:val="22"/>
          <w:szCs w:val="22"/>
          <w:lang w:eastAsia="en-GB"/>
        </w:rPr>
      </w:pPr>
      <w:hyperlink w:anchor="_Toc78984007" w:history="1">
        <w:r w:rsidR="00983EAE" w:rsidRPr="007B3215">
          <w:rPr>
            <w:rStyle w:val="Hyperlink"/>
            <w:noProof/>
          </w:rPr>
          <w:t>Table 8.3</w:t>
        </w:r>
        <w:r w:rsidR="00983EAE" w:rsidRPr="007B3215">
          <w:rPr>
            <w:rStyle w:val="Hyperlink"/>
            <w:noProof/>
          </w:rPr>
          <w:noBreakHyphen/>
          <w:t>2: Mean scores for Degree of the importance of management knowledge for securing finance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_Toc78984007 \h </w:instrText>
        </w:r>
        <w:r w:rsidR="00983EAE">
          <w:rPr>
            <w:noProof/>
            <w:webHidden/>
          </w:rPr>
        </w:r>
        <w:r w:rsidR="00983EAE">
          <w:rPr>
            <w:noProof/>
            <w:webHidden/>
          </w:rPr>
          <w:fldChar w:fldCharType="separate"/>
        </w:r>
        <w:r w:rsidR="00983EAE">
          <w:rPr>
            <w:noProof/>
            <w:webHidden/>
          </w:rPr>
          <w:t>8-254</w:t>
        </w:r>
        <w:r w:rsidR="00983EAE">
          <w:rPr>
            <w:noProof/>
            <w:webHidden/>
          </w:rPr>
          <w:fldChar w:fldCharType="end"/>
        </w:r>
      </w:hyperlink>
    </w:p>
    <w:p w14:paraId="17FE9353" w14:textId="38678676" w:rsidR="00983EAE" w:rsidRDefault="00257087">
      <w:pPr>
        <w:pStyle w:val="TableofFigures"/>
        <w:tabs>
          <w:tab w:val="right" w:leader="underscore" w:pos="9016"/>
        </w:tabs>
        <w:rPr>
          <w:rFonts w:eastAsiaTheme="minorEastAsia"/>
          <w:i w:val="0"/>
          <w:iCs w:val="0"/>
          <w:noProof/>
          <w:sz w:val="22"/>
          <w:szCs w:val="22"/>
          <w:lang w:eastAsia="en-GB"/>
        </w:rPr>
      </w:pPr>
      <w:hyperlink w:anchor="_Toc78984008" w:history="1">
        <w:r w:rsidR="00983EAE" w:rsidRPr="007B3215">
          <w:rPr>
            <w:rStyle w:val="Hyperlink"/>
            <w:noProof/>
          </w:rPr>
          <w:t>Table 8.3</w:t>
        </w:r>
        <w:r w:rsidR="00983EAE" w:rsidRPr="007B3215">
          <w:rPr>
            <w:rStyle w:val="Hyperlink"/>
            <w:noProof/>
          </w:rPr>
          <w:noBreakHyphen/>
          <w:t>3: The degree of need for training and education for management knowledge for securing finance for the present</w:t>
        </w:r>
        <w:r w:rsidR="00983EAE">
          <w:rPr>
            <w:noProof/>
            <w:webHidden/>
          </w:rPr>
          <w:tab/>
        </w:r>
        <w:r w:rsidR="00983EAE">
          <w:rPr>
            <w:noProof/>
            <w:webHidden/>
          </w:rPr>
          <w:fldChar w:fldCharType="begin"/>
        </w:r>
        <w:r w:rsidR="00983EAE">
          <w:rPr>
            <w:noProof/>
            <w:webHidden/>
          </w:rPr>
          <w:instrText xml:space="preserve"> PAGEREF _Toc78984008 \h </w:instrText>
        </w:r>
        <w:r w:rsidR="00983EAE">
          <w:rPr>
            <w:noProof/>
            <w:webHidden/>
          </w:rPr>
        </w:r>
        <w:r w:rsidR="00983EAE">
          <w:rPr>
            <w:noProof/>
            <w:webHidden/>
          </w:rPr>
          <w:fldChar w:fldCharType="separate"/>
        </w:r>
        <w:r w:rsidR="00983EAE">
          <w:rPr>
            <w:noProof/>
            <w:webHidden/>
          </w:rPr>
          <w:t>8-256</w:t>
        </w:r>
        <w:r w:rsidR="00983EAE">
          <w:rPr>
            <w:noProof/>
            <w:webHidden/>
          </w:rPr>
          <w:fldChar w:fldCharType="end"/>
        </w:r>
      </w:hyperlink>
    </w:p>
    <w:p w14:paraId="1C66A408" w14:textId="3D0D3877" w:rsidR="00983EAE" w:rsidRDefault="00257087">
      <w:pPr>
        <w:pStyle w:val="TableofFigures"/>
        <w:tabs>
          <w:tab w:val="right" w:leader="underscore" w:pos="9016"/>
        </w:tabs>
        <w:rPr>
          <w:rFonts w:eastAsiaTheme="minorEastAsia"/>
          <w:i w:val="0"/>
          <w:iCs w:val="0"/>
          <w:noProof/>
          <w:sz w:val="22"/>
          <w:szCs w:val="22"/>
          <w:lang w:eastAsia="en-GB"/>
        </w:rPr>
      </w:pPr>
      <w:hyperlink w:anchor="_Toc78984009" w:history="1">
        <w:r w:rsidR="00983EAE" w:rsidRPr="007B3215">
          <w:rPr>
            <w:rStyle w:val="Hyperlink"/>
            <w:noProof/>
          </w:rPr>
          <w:t>Table 8.3</w:t>
        </w:r>
        <w:r w:rsidR="00983EAE" w:rsidRPr="007B3215">
          <w:rPr>
            <w:rStyle w:val="Hyperlink"/>
            <w:noProof/>
          </w:rPr>
          <w:noBreakHyphen/>
          <w:t>4: Mean scores for Degree of need for training and education for management knowledge for securing finance for real estate project development. For the present at the aggregate level</w:t>
        </w:r>
        <w:r w:rsidR="00983EAE">
          <w:rPr>
            <w:noProof/>
            <w:webHidden/>
          </w:rPr>
          <w:tab/>
        </w:r>
        <w:r w:rsidR="00983EAE">
          <w:rPr>
            <w:noProof/>
            <w:webHidden/>
          </w:rPr>
          <w:fldChar w:fldCharType="begin"/>
        </w:r>
        <w:r w:rsidR="00983EAE">
          <w:rPr>
            <w:noProof/>
            <w:webHidden/>
          </w:rPr>
          <w:instrText xml:space="preserve"> PAGEREF _Toc78984009 \h </w:instrText>
        </w:r>
        <w:r w:rsidR="00983EAE">
          <w:rPr>
            <w:noProof/>
            <w:webHidden/>
          </w:rPr>
        </w:r>
        <w:r w:rsidR="00983EAE">
          <w:rPr>
            <w:noProof/>
            <w:webHidden/>
          </w:rPr>
          <w:fldChar w:fldCharType="separate"/>
        </w:r>
        <w:r w:rsidR="00983EAE">
          <w:rPr>
            <w:noProof/>
            <w:webHidden/>
          </w:rPr>
          <w:t>8-257</w:t>
        </w:r>
        <w:r w:rsidR="00983EAE">
          <w:rPr>
            <w:noProof/>
            <w:webHidden/>
          </w:rPr>
          <w:fldChar w:fldCharType="end"/>
        </w:r>
      </w:hyperlink>
    </w:p>
    <w:p w14:paraId="28AF8852" w14:textId="2FF29F40" w:rsidR="00983EAE" w:rsidRDefault="00257087">
      <w:pPr>
        <w:pStyle w:val="TableofFigures"/>
        <w:tabs>
          <w:tab w:val="right" w:leader="underscore" w:pos="9016"/>
        </w:tabs>
        <w:rPr>
          <w:rFonts w:eastAsiaTheme="minorEastAsia"/>
          <w:i w:val="0"/>
          <w:iCs w:val="0"/>
          <w:noProof/>
          <w:sz w:val="22"/>
          <w:szCs w:val="22"/>
          <w:lang w:eastAsia="en-GB"/>
        </w:rPr>
      </w:pPr>
      <w:hyperlink w:anchor="_Toc78984010" w:history="1">
        <w:r w:rsidR="00983EAE" w:rsidRPr="007B3215">
          <w:rPr>
            <w:rStyle w:val="Hyperlink"/>
            <w:noProof/>
          </w:rPr>
          <w:t>Table 8.3</w:t>
        </w:r>
        <w:r w:rsidR="00983EAE" w:rsidRPr="007B3215">
          <w:rPr>
            <w:rStyle w:val="Hyperlink"/>
            <w:noProof/>
          </w:rPr>
          <w:noBreakHyphen/>
          <w:t xml:space="preserve">5: </w:t>
        </w:r>
        <w:r w:rsidR="00983EAE" w:rsidRPr="007B3215">
          <w:rPr>
            <w:rStyle w:val="Hyperlink"/>
            <w:rFonts w:ascii="Arial" w:hAnsi="Arial" w:cs="Arial"/>
            <w:noProof/>
          </w:rPr>
          <w:t>The degree of need for training and education for management knowledge for securing finance for the future (next five years)</w:t>
        </w:r>
        <w:r w:rsidR="00983EAE">
          <w:rPr>
            <w:noProof/>
            <w:webHidden/>
          </w:rPr>
          <w:tab/>
        </w:r>
        <w:r w:rsidR="00983EAE">
          <w:rPr>
            <w:noProof/>
            <w:webHidden/>
          </w:rPr>
          <w:fldChar w:fldCharType="begin"/>
        </w:r>
        <w:r w:rsidR="00983EAE">
          <w:rPr>
            <w:noProof/>
            <w:webHidden/>
          </w:rPr>
          <w:instrText xml:space="preserve"> PAGEREF _Toc78984010 \h </w:instrText>
        </w:r>
        <w:r w:rsidR="00983EAE">
          <w:rPr>
            <w:noProof/>
            <w:webHidden/>
          </w:rPr>
        </w:r>
        <w:r w:rsidR="00983EAE">
          <w:rPr>
            <w:noProof/>
            <w:webHidden/>
          </w:rPr>
          <w:fldChar w:fldCharType="separate"/>
        </w:r>
        <w:r w:rsidR="00983EAE">
          <w:rPr>
            <w:noProof/>
            <w:webHidden/>
          </w:rPr>
          <w:t>8-259</w:t>
        </w:r>
        <w:r w:rsidR="00983EAE">
          <w:rPr>
            <w:noProof/>
            <w:webHidden/>
          </w:rPr>
          <w:fldChar w:fldCharType="end"/>
        </w:r>
      </w:hyperlink>
    </w:p>
    <w:p w14:paraId="710D7B37" w14:textId="53B6AB8D" w:rsidR="00983EAE" w:rsidRDefault="00257087">
      <w:pPr>
        <w:pStyle w:val="TableofFigures"/>
        <w:tabs>
          <w:tab w:val="right" w:leader="underscore" w:pos="9016"/>
        </w:tabs>
        <w:rPr>
          <w:rFonts w:eastAsiaTheme="minorEastAsia"/>
          <w:i w:val="0"/>
          <w:iCs w:val="0"/>
          <w:noProof/>
          <w:sz w:val="22"/>
          <w:szCs w:val="22"/>
          <w:lang w:eastAsia="en-GB"/>
        </w:rPr>
      </w:pPr>
      <w:hyperlink w:anchor="_Toc78984011" w:history="1">
        <w:r w:rsidR="00983EAE" w:rsidRPr="007B3215">
          <w:rPr>
            <w:rStyle w:val="Hyperlink"/>
            <w:noProof/>
          </w:rPr>
          <w:t>Table 8.3</w:t>
        </w:r>
        <w:r w:rsidR="00983EAE" w:rsidRPr="007B3215">
          <w:rPr>
            <w:rStyle w:val="Hyperlink"/>
            <w:noProof/>
          </w:rPr>
          <w:noBreakHyphen/>
          <w:t xml:space="preserve">6: </w:t>
        </w:r>
        <w:r w:rsidR="00983EAE" w:rsidRPr="007B3215">
          <w:rPr>
            <w:rStyle w:val="Hyperlink"/>
            <w:rFonts w:ascii="Arial" w:hAnsi="Arial" w:cs="Arial"/>
            <w:noProof/>
          </w:rPr>
          <w:t>Mean scores for Degree of need for  training and education for   management knowledge for securing finance for real estate project development for the future at the aggregate level</w:t>
        </w:r>
        <w:r w:rsidR="00983EAE">
          <w:rPr>
            <w:noProof/>
            <w:webHidden/>
          </w:rPr>
          <w:tab/>
        </w:r>
        <w:r w:rsidR="00983EAE">
          <w:rPr>
            <w:noProof/>
            <w:webHidden/>
          </w:rPr>
          <w:fldChar w:fldCharType="begin"/>
        </w:r>
        <w:r w:rsidR="00983EAE">
          <w:rPr>
            <w:noProof/>
            <w:webHidden/>
          </w:rPr>
          <w:instrText xml:space="preserve"> PAGEREF _Toc78984011 \h </w:instrText>
        </w:r>
        <w:r w:rsidR="00983EAE">
          <w:rPr>
            <w:noProof/>
            <w:webHidden/>
          </w:rPr>
        </w:r>
        <w:r w:rsidR="00983EAE">
          <w:rPr>
            <w:noProof/>
            <w:webHidden/>
          </w:rPr>
          <w:fldChar w:fldCharType="separate"/>
        </w:r>
        <w:r w:rsidR="00983EAE">
          <w:rPr>
            <w:noProof/>
            <w:webHidden/>
          </w:rPr>
          <w:t>8-260</w:t>
        </w:r>
        <w:r w:rsidR="00983EAE">
          <w:rPr>
            <w:noProof/>
            <w:webHidden/>
          </w:rPr>
          <w:fldChar w:fldCharType="end"/>
        </w:r>
      </w:hyperlink>
    </w:p>
    <w:p w14:paraId="2D3CED7C" w14:textId="60DBD565" w:rsidR="00983EAE" w:rsidRDefault="00257087">
      <w:pPr>
        <w:pStyle w:val="TableofFigures"/>
        <w:tabs>
          <w:tab w:val="right" w:leader="underscore" w:pos="9016"/>
        </w:tabs>
        <w:rPr>
          <w:rFonts w:eastAsiaTheme="minorEastAsia"/>
          <w:i w:val="0"/>
          <w:iCs w:val="0"/>
          <w:noProof/>
          <w:sz w:val="22"/>
          <w:szCs w:val="22"/>
          <w:lang w:eastAsia="en-GB"/>
        </w:rPr>
      </w:pPr>
      <w:hyperlink w:anchor="_Toc78984012" w:history="1">
        <w:r w:rsidR="00983EAE" w:rsidRPr="007B3215">
          <w:rPr>
            <w:rStyle w:val="Hyperlink"/>
            <w:noProof/>
          </w:rPr>
          <w:t>Table 8.3</w:t>
        </w:r>
        <w:r w:rsidR="00983EAE" w:rsidRPr="007B3215">
          <w:rPr>
            <w:rStyle w:val="Hyperlink"/>
            <w:noProof/>
          </w:rPr>
          <w:noBreakHyphen/>
          <w:t>7: Knowledge for securing real estate project development finance in developed economies.</w:t>
        </w:r>
        <w:r w:rsidR="00983EAE">
          <w:rPr>
            <w:noProof/>
            <w:webHidden/>
          </w:rPr>
          <w:tab/>
        </w:r>
        <w:r w:rsidR="00983EAE">
          <w:rPr>
            <w:noProof/>
            <w:webHidden/>
          </w:rPr>
          <w:fldChar w:fldCharType="begin"/>
        </w:r>
        <w:r w:rsidR="00983EAE">
          <w:rPr>
            <w:noProof/>
            <w:webHidden/>
          </w:rPr>
          <w:instrText xml:space="preserve"> PAGEREF _Toc78984012 \h </w:instrText>
        </w:r>
        <w:r w:rsidR="00983EAE">
          <w:rPr>
            <w:noProof/>
            <w:webHidden/>
          </w:rPr>
        </w:r>
        <w:r w:rsidR="00983EAE">
          <w:rPr>
            <w:noProof/>
            <w:webHidden/>
          </w:rPr>
          <w:fldChar w:fldCharType="separate"/>
        </w:r>
        <w:r w:rsidR="00983EAE">
          <w:rPr>
            <w:noProof/>
            <w:webHidden/>
          </w:rPr>
          <w:t>8-262</w:t>
        </w:r>
        <w:r w:rsidR="00983EAE">
          <w:rPr>
            <w:noProof/>
            <w:webHidden/>
          </w:rPr>
          <w:fldChar w:fldCharType="end"/>
        </w:r>
      </w:hyperlink>
    </w:p>
    <w:p w14:paraId="156F754E" w14:textId="3A8E70DF" w:rsidR="00983EAE" w:rsidRDefault="00257087">
      <w:pPr>
        <w:pStyle w:val="TableofFigures"/>
        <w:tabs>
          <w:tab w:val="right" w:leader="underscore" w:pos="9016"/>
        </w:tabs>
        <w:rPr>
          <w:rFonts w:eastAsiaTheme="minorEastAsia"/>
          <w:i w:val="0"/>
          <w:iCs w:val="0"/>
          <w:noProof/>
          <w:sz w:val="22"/>
          <w:szCs w:val="22"/>
          <w:lang w:eastAsia="en-GB"/>
        </w:rPr>
      </w:pPr>
      <w:hyperlink w:anchor="_Toc78984013" w:history="1">
        <w:r w:rsidR="00983EAE" w:rsidRPr="007B3215">
          <w:rPr>
            <w:rStyle w:val="Hyperlink"/>
            <w:noProof/>
          </w:rPr>
          <w:t>Table 8.3</w:t>
        </w:r>
        <w:r w:rsidR="00983EAE" w:rsidRPr="007B3215">
          <w:rPr>
            <w:rStyle w:val="Hyperlink"/>
            <w:noProof/>
          </w:rPr>
          <w:noBreakHyphen/>
          <w:t>8: Knowledge for securing real estate project development finance in emerging economies</w:t>
        </w:r>
        <w:r w:rsidR="00983EAE">
          <w:rPr>
            <w:noProof/>
            <w:webHidden/>
          </w:rPr>
          <w:tab/>
        </w:r>
        <w:r w:rsidR="00983EAE">
          <w:rPr>
            <w:noProof/>
            <w:webHidden/>
          </w:rPr>
          <w:fldChar w:fldCharType="begin"/>
        </w:r>
        <w:r w:rsidR="00983EAE">
          <w:rPr>
            <w:noProof/>
            <w:webHidden/>
          </w:rPr>
          <w:instrText xml:space="preserve"> PAGEREF _Toc78984013 \h </w:instrText>
        </w:r>
        <w:r w:rsidR="00983EAE">
          <w:rPr>
            <w:noProof/>
            <w:webHidden/>
          </w:rPr>
        </w:r>
        <w:r w:rsidR="00983EAE">
          <w:rPr>
            <w:noProof/>
            <w:webHidden/>
          </w:rPr>
          <w:fldChar w:fldCharType="separate"/>
        </w:r>
        <w:r w:rsidR="00983EAE">
          <w:rPr>
            <w:noProof/>
            <w:webHidden/>
          </w:rPr>
          <w:t>8-263</w:t>
        </w:r>
        <w:r w:rsidR="00983EAE">
          <w:rPr>
            <w:noProof/>
            <w:webHidden/>
          </w:rPr>
          <w:fldChar w:fldCharType="end"/>
        </w:r>
      </w:hyperlink>
    </w:p>
    <w:p w14:paraId="6FF40135" w14:textId="6F2E78C2" w:rsidR="00983EAE" w:rsidRDefault="00257087">
      <w:pPr>
        <w:pStyle w:val="TableofFigures"/>
        <w:tabs>
          <w:tab w:val="right" w:leader="underscore" w:pos="9016"/>
        </w:tabs>
        <w:rPr>
          <w:rFonts w:eastAsiaTheme="minorEastAsia"/>
          <w:i w:val="0"/>
          <w:iCs w:val="0"/>
          <w:noProof/>
          <w:sz w:val="22"/>
          <w:szCs w:val="22"/>
          <w:lang w:eastAsia="en-GB"/>
        </w:rPr>
      </w:pPr>
      <w:hyperlink w:anchor="_Toc78984014" w:history="1">
        <w:r w:rsidR="00983EAE" w:rsidRPr="007B3215">
          <w:rPr>
            <w:rStyle w:val="Hyperlink"/>
            <w:rFonts w:ascii="Arial" w:hAnsi="Arial" w:cs="Arial"/>
            <w:noProof/>
          </w:rPr>
          <w:t>Table 8.3</w:t>
        </w:r>
        <w:r w:rsidR="00983EAE" w:rsidRPr="007B3215">
          <w:rPr>
            <w:rStyle w:val="Hyperlink"/>
            <w:rFonts w:ascii="Arial" w:hAnsi="Arial" w:cs="Arial"/>
            <w:noProof/>
          </w:rPr>
          <w:noBreakHyphen/>
          <w:t>9: Inventory of financial knowledge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_Toc78984014 \h </w:instrText>
        </w:r>
        <w:r w:rsidR="00983EAE">
          <w:rPr>
            <w:noProof/>
            <w:webHidden/>
          </w:rPr>
        </w:r>
        <w:r w:rsidR="00983EAE">
          <w:rPr>
            <w:noProof/>
            <w:webHidden/>
          </w:rPr>
          <w:fldChar w:fldCharType="separate"/>
        </w:r>
        <w:r w:rsidR="00983EAE">
          <w:rPr>
            <w:noProof/>
            <w:webHidden/>
          </w:rPr>
          <w:t>8-267</w:t>
        </w:r>
        <w:r w:rsidR="00983EAE">
          <w:rPr>
            <w:noProof/>
            <w:webHidden/>
          </w:rPr>
          <w:fldChar w:fldCharType="end"/>
        </w:r>
      </w:hyperlink>
    </w:p>
    <w:p w14:paraId="7EDF4037" w14:textId="6470AEAF" w:rsidR="00983EAE" w:rsidRDefault="00257087">
      <w:pPr>
        <w:pStyle w:val="TableofFigures"/>
        <w:tabs>
          <w:tab w:val="right" w:leader="underscore" w:pos="9016"/>
        </w:tabs>
        <w:rPr>
          <w:rFonts w:eastAsiaTheme="minorEastAsia"/>
          <w:i w:val="0"/>
          <w:iCs w:val="0"/>
          <w:noProof/>
          <w:sz w:val="22"/>
          <w:szCs w:val="22"/>
          <w:lang w:eastAsia="en-GB"/>
        </w:rPr>
      </w:pPr>
      <w:hyperlink w:anchor="_Toc78984015" w:history="1">
        <w:r w:rsidR="00983EAE" w:rsidRPr="007B3215">
          <w:rPr>
            <w:rStyle w:val="Hyperlink"/>
            <w:rFonts w:ascii="Arial" w:hAnsi="Arial" w:cs="Arial"/>
            <w:noProof/>
          </w:rPr>
          <w:t>Table 8.4</w:t>
        </w:r>
        <w:r w:rsidR="00983EAE" w:rsidRPr="007B3215">
          <w:rPr>
            <w:rStyle w:val="Hyperlink"/>
            <w:rFonts w:ascii="Arial" w:hAnsi="Arial" w:cs="Arial"/>
            <w:noProof/>
          </w:rPr>
          <w:noBreakHyphen/>
          <w:t>1: Degree of the importance of management competence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_Toc78984015 \h </w:instrText>
        </w:r>
        <w:r w:rsidR="00983EAE">
          <w:rPr>
            <w:noProof/>
            <w:webHidden/>
          </w:rPr>
        </w:r>
        <w:r w:rsidR="00983EAE">
          <w:rPr>
            <w:noProof/>
            <w:webHidden/>
          </w:rPr>
          <w:fldChar w:fldCharType="separate"/>
        </w:r>
        <w:r w:rsidR="00983EAE">
          <w:rPr>
            <w:noProof/>
            <w:webHidden/>
          </w:rPr>
          <w:t>8-269</w:t>
        </w:r>
        <w:r w:rsidR="00983EAE">
          <w:rPr>
            <w:noProof/>
            <w:webHidden/>
          </w:rPr>
          <w:fldChar w:fldCharType="end"/>
        </w:r>
      </w:hyperlink>
    </w:p>
    <w:p w14:paraId="55AF88D2" w14:textId="31C8D884" w:rsidR="00983EAE" w:rsidRDefault="00257087">
      <w:pPr>
        <w:pStyle w:val="TableofFigures"/>
        <w:tabs>
          <w:tab w:val="right" w:leader="underscore" w:pos="9016"/>
        </w:tabs>
        <w:rPr>
          <w:rFonts w:eastAsiaTheme="minorEastAsia"/>
          <w:i w:val="0"/>
          <w:iCs w:val="0"/>
          <w:noProof/>
          <w:sz w:val="22"/>
          <w:szCs w:val="22"/>
          <w:lang w:eastAsia="en-GB"/>
        </w:rPr>
      </w:pPr>
      <w:hyperlink w:anchor="_Toc78984016" w:history="1">
        <w:r w:rsidR="00983EAE" w:rsidRPr="007B3215">
          <w:rPr>
            <w:rStyle w:val="Hyperlink"/>
            <w:rFonts w:ascii="Arial" w:hAnsi="Arial" w:cs="Arial"/>
            <w:noProof/>
          </w:rPr>
          <w:t>Table 8.4</w:t>
        </w:r>
        <w:r w:rsidR="00983EAE" w:rsidRPr="007B3215">
          <w:rPr>
            <w:rStyle w:val="Hyperlink"/>
            <w:rFonts w:ascii="Arial" w:hAnsi="Arial" w:cs="Arial"/>
            <w:noProof/>
          </w:rPr>
          <w:noBreakHyphen/>
          <w:t>2: Mean scores for Degree of the importance of management competences for securing finance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_Toc78984016 \h </w:instrText>
        </w:r>
        <w:r w:rsidR="00983EAE">
          <w:rPr>
            <w:noProof/>
            <w:webHidden/>
          </w:rPr>
        </w:r>
        <w:r w:rsidR="00983EAE">
          <w:rPr>
            <w:noProof/>
            <w:webHidden/>
          </w:rPr>
          <w:fldChar w:fldCharType="separate"/>
        </w:r>
        <w:r w:rsidR="00983EAE">
          <w:rPr>
            <w:noProof/>
            <w:webHidden/>
          </w:rPr>
          <w:t>8-270</w:t>
        </w:r>
        <w:r w:rsidR="00983EAE">
          <w:rPr>
            <w:noProof/>
            <w:webHidden/>
          </w:rPr>
          <w:fldChar w:fldCharType="end"/>
        </w:r>
      </w:hyperlink>
    </w:p>
    <w:p w14:paraId="4A20D075" w14:textId="71899A10" w:rsidR="00983EAE" w:rsidRDefault="00257087">
      <w:pPr>
        <w:pStyle w:val="TableofFigures"/>
        <w:tabs>
          <w:tab w:val="right" w:leader="underscore" w:pos="9016"/>
        </w:tabs>
        <w:rPr>
          <w:rFonts w:eastAsiaTheme="minorEastAsia"/>
          <w:i w:val="0"/>
          <w:iCs w:val="0"/>
          <w:noProof/>
          <w:sz w:val="22"/>
          <w:szCs w:val="22"/>
          <w:lang w:eastAsia="en-GB"/>
        </w:rPr>
      </w:pPr>
      <w:hyperlink w:anchor="_Toc78984017" w:history="1">
        <w:r w:rsidR="00983EAE" w:rsidRPr="007B3215">
          <w:rPr>
            <w:rStyle w:val="Hyperlink"/>
            <w:rFonts w:ascii="Arial" w:hAnsi="Arial" w:cs="Arial"/>
            <w:noProof/>
          </w:rPr>
          <w:t>Table 8.4</w:t>
        </w:r>
        <w:r w:rsidR="00983EAE" w:rsidRPr="007B3215">
          <w:rPr>
            <w:rStyle w:val="Hyperlink"/>
            <w:rFonts w:ascii="Arial" w:hAnsi="Arial" w:cs="Arial"/>
            <w:noProof/>
          </w:rPr>
          <w:noBreakHyphen/>
          <w:t>3: The degree of need for training and education for management Competences for securing finance for the present</w:t>
        </w:r>
        <w:r w:rsidR="00983EAE">
          <w:rPr>
            <w:noProof/>
            <w:webHidden/>
          </w:rPr>
          <w:tab/>
        </w:r>
        <w:r w:rsidR="00983EAE">
          <w:rPr>
            <w:noProof/>
            <w:webHidden/>
          </w:rPr>
          <w:fldChar w:fldCharType="begin"/>
        </w:r>
        <w:r w:rsidR="00983EAE">
          <w:rPr>
            <w:noProof/>
            <w:webHidden/>
          </w:rPr>
          <w:instrText xml:space="preserve"> PAGEREF _Toc78984017 \h </w:instrText>
        </w:r>
        <w:r w:rsidR="00983EAE">
          <w:rPr>
            <w:noProof/>
            <w:webHidden/>
          </w:rPr>
        </w:r>
        <w:r w:rsidR="00983EAE">
          <w:rPr>
            <w:noProof/>
            <w:webHidden/>
          </w:rPr>
          <w:fldChar w:fldCharType="separate"/>
        </w:r>
        <w:r w:rsidR="00983EAE">
          <w:rPr>
            <w:noProof/>
            <w:webHidden/>
          </w:rPr>
          <w:t>8-272</w:t>
        </w:r>
        <w:r w:rsidR="00983EAE">
          <w:rPr>
            <w:noProof/>
            <w:webHidden/>
          </w:rPr>
          <w:fldChar w:fldCharType="end"/>
        </w:r>
      </w:hyperlink>
    </w:p>
    <w:p w14:paraId="67E9EF1E" w14:textId="219F4A46" w:rsidR="00983EAE" w:rsidRDefault="00257087">
      <w:pPr>
        <w:pStyle w:val="TableofFigures"/>
        <w:tabs>
          <w:tab w:val="right" w:leader="underscore" w:pos="9016"/>
        </w:tabs>
        <w:rPr>
          <w:rFonts w:eastAsiaTheme="minorEastAsia"/>
          <w:i w:val="0"/>
          <w:iCs w:val="0"/>
          <w:noProof/>
          <w:sz w:val="22"/>
          <w:szCs w:val="22"/>
          <w:lang w:eastAsia="en-GB"/>
        </w:rPr>
      </w:pPr>
      <w:hyperlink w:anchor="_Toc78984018" w:history="1">
        <w:r w:rsidR="00983EAE" w:rsidRPr="007B3215">
          <w:rPr>
            <w:rStyle w:val="Hyperlink"/>
            <w:rFonts w:ascii="Arial" w:hAnsi="Arial" w:cs="Arial"/>
            <w:noProof/>
          </w:rPr>
          <w:t>Table 8.4</w:t>
        </w:r>
        <w:r w:rsidR="00983EAE" w:rsidRPr="007B3215">
          <w:rPr>
            <w:rStyle w:val="Hyperlink"/>
            <w:rFonts w:ascii="Arial" w:hAnsi="Arial" w:cs="Arial"/>
            <w:noProof/>
          </w:rPr>
          <w:noBreakHyphen/>
          <w:t>4: Mean scores for Degree of training and education for management competences for securing finance for real estate project development. for the present at the aggregate level</w:t>
        </w:r>
        <w:r w:rsidR="00983EAE">
          <w:rPr>
            <w:noProof/>
            <w:webHidden/>
          </w:rPr>
          <w:tab/>
        </w:r>
        <w:r w:rsidR="00983EAE">
          <w:rPr>
            <w:noProof/>
            <w:webHidden/>
          </w:rPr>
          <w:fldChar w:fldCharType="begin"/>
        </w:r>
        <w:r w:rsidR="00983EAE">
          <w:rPr>
            <w:noProof/>
            <w:webHidden/>
          </w:rPr>
          <w:instrText xml:space="preserve"> PAGEREF _Toc78984018 \h </w:instrText>
        </w:r>
        <w:r w:rsidR="00983EAE">
          <w:rPr>
            <w:noProof/>
            <w:webHidden/>
          </w:rPr>
        </w:r>
        <w:r w:rsidR="00983EAE">
          <w:rPr>
            <w:noProof/>
            <w:webHidden/>
          </w:rPr>
          <w:fldChar w:fldCharType="separate"/>
        </w:r>
        <w:r w:rsidR="00983EAE">
          <w:rPr>
            <w:noProof/>
            <w:webHidden/>
          </w:rPr>
          <w:t>8-273</w:t>
        </w:r>
        <w:r w:rsidR="00983EAE">
          <w:rPr>
            <w:noProof/>
            <w:webHidden/>
          </w:rPr>
          <w:fldChar w:fldCharType="end"/>
        </w:r>
      </w:hyperlink>
    </w:p>
    <w:p w14:paraId="14875134" w14:textId="1FEE70BC" w:rsidR="00983EAE" w:rsidRDefault="00257087">
      <w:pPr>
        <w:pStyle w:val="TableofFigures"/>
        <w:tabs>
          <w:tab w:val="right" w:leader="underscore" w:pos="9016"/>
        </w:tabs>
        <w:rPr>
          <w:rFonts w:eastAsiaTheme="minorEastAsia"/>
          <w:i w:val="0"/>
          <w:iCs w:val="0"/>
          <w:noProof/>
          <w:sz w:val="22"/>
          <w:szCs w:val="22"/>
          <w:lang w:eastAsia="en-GB"/>
        </w:rPr>
      </w:pPr>
      <w:hyperlink w:anchor="_Toc78984019" w:history="1">
        <w:r w:rsidR="00983EAE" w:rsidRPr="007B3215">
          <w:rPr>
            <w:rStyle w:val="Hyperlink"/>
            <w:rFonts w:ascii="Arial" w:hAnsi="Arial" w:cs="Arial"/>
            <w:noProof/>
          </w:rPr>
          <w:t>Table 8.4</w:t>
        </w:r>
        <w:r w:rsidR="00983EAE" w:rsidRPr="007B3215">
          <w:rPr>
            <w:rStyle w:val="Hyperlink"/>
            <w:rFonts w:ascii="Arial" w:hAnsi="Arial" w:cs="Arial"/>
            <w:noProof/>
          </w:rPr>
          <w:noBreakHyphen/>
          <w:t>5: The degree of need for training and education for management Competences for securing finance for the future (next five years)</w:t>
        </w:r>
        <w:r w:rsidR="00983EAE">
          <w:rPr>
            <w:noProof/>
            <w:webHidden/>
          </w:rPr>
          <w:tab/>
        </w:r>
        <w:r w:rsidR="00983EAE">
          <w:rPr>
            <w:noProof/>
            <w:webHidden/>
          </w:rPr>
          <w:fldChar w:fldCharType="begin"/>
        </w:r>
        <w:r w:rsidR="00983EAE">
          <w:rPr>
            <w:noProof/>
            <w:webHidden/>
          </w:rPr>
          <w:instrText xml:space="preserve"> PAGEREF _Toc78984019 \h </w:instrText>
        </w:r>
        <w:r w:rsidR="00983EAE">
          <w:rPr>
            <w:noProof/>
            <w:webHidden/>
          </w:rPr>
        </w:r>
        <w:r w:rsidR="00983EAE">
          <w:rPr>
            <w:noProof/>
            <w:webHidden/>
          </w:rPr>
          <w:fldChar w:fldCharType="separate"/>
        </w:r>
        <w:r w:rsidR="00983EAE">
          <w:rPr>
            <w:noProof/>
            <w:webHidden/>
          </w:rPr>
          <w:t>8-275</w:t>
        </w:r>
        <w:r w:rsidR="00983EAE">
          <w:rPr>
            <w:noProof/>
            <w:webHidden/>
          </w:rPr>
          <w:fldChar w:fldCharType="end"/>
        </w:r>
      </w:hyperlink>
    </w:p>
    <w:p w14:paraId="264302AC" w14:textId="0C9FDC74" w:rsidR="00983EAE" w:rsidRDefault="00257087">
      <w:pPr>
        <w:pStyle w:val="TableofFigures"/>
        <w:tabs>
          <w:tab w:val="right" w:leader="underscore" w:pos="9016"/>
        </w:tabs>
        <w:rPr>
          <w:rFonts w:eastAsiaTheme="minorEastAsia"/>
          <w:i w:val="0"/>
          <w:iCs w:val="0"/>
          <w:noProof/>
          <w:sz w:val="22"/>
          <w:szCs w:val="22"/>
          <w:lang w:eastAsia="en-GB"/>
        </w:rPr>
      </w:pPr>
      <w:hyperlink w:anchor="_Toc78984020" w:history="1">
        <w:r w:rsidR="00983EAE" w:rsidRPr="007B3215">
          <w:rPr>
            <w:rStyle w:val="Hyperlink"/>
            <w:noProof/>
          </w:rPr>
          <w:t>Table 8.4</w:t>
        </w:r>
        <w:r w:rsidR="00983EAE" w:rsidRPr="007B3215">
          <w:rPr>
            <w:rStyle w:val="Hyperlink"/>
            <w:noProof/>
          </w:rPr>
          <w:noBreakHyphen/>
          <w:t xml:space="preserve">6: </w:t>
        </w:r>
        <w:r w:rsidR="00983EAE" w:rsidRPr="007B3215">
          <w:rPr>
            <w:rStyle w:val="Hyperlink"/>
            <w:rFonts w:ascii="Arial" w:hAnsi="Arial" w:cs="Arial"/>
            <w:noProof/>
          </w:rPr>
          <w:t>Mean scores for Degree of need for training and education for   management competences for securing finance for real estate project development for the future at the aggregate level</w:t>
        </w:r>
        <w:r w:rsidR="00983EAE">
          <w:rPr>
            <w:noProof/>
            <w:webHidden/>
          </w:rPr>
          <w:tab/>
        </w:r>
        <w:r w:rsidR="00983EAE">
          <w:rPr>
            <w:noProof/>
            <w:webHidden/>
          </w:rPr>
          <w:fldChar w:fldCharType="begin"/>
        </w:r>
        <w:r w:rsidR="00983EAE">
          <w:rPr>
            <w:noProof/>
            <w:webHidden/>
          </w:rPr>
          <w:instrText xml:space="preserve"> PAGEREF _Toc78984020 \h </w:instrText>
        </w:r>
        <w:r w:rsidR="00983EAE">
          <w:rPr>
            <w:noProof/>
            <w:webHidden/>
          </w:rPr>
        </w:r>
        <w:r w:rsidR="00983EAE">
          <w:rPr>
            <w:noProof/>
            <w:webHidden/>
          </w:rPr>
          <w:fldChar w:fldCharType="separate"/>
        </w:r>
        <w:r w:rsidR="00983EAE">
          <w:rPr>
            <w:noProof/>
            <w:webHidden/>
          </w:rPr>
          <w:t>8-275</w:t>
        </w:r>
        <w:r w:rsidR="00983EAE">
          <w:rPr>
            <w:noProof/>
            <w:webHidden/>
          </w:rPr>
          <w:fldChar w:fldCharType="end"/>
        </w:r>
      </w:hyperlink>
    </w:p>
    <w:p w14:paraId="73CA3E99" w14:textId="7A967382" w:rsidR="00983EAE" w:rsidRDefault="00257087">
      <w:pPr>
        <w:pStyle w:val="TableofFigures"/>
        <w:tabs>
          <w:tab w:val="right" w:leader="underscore" w:pos="9016"/>
        </w:tabs>
        <w:rPr>
          <w:rFonts w:eastAsiaTheme="minorEastAsia"/>
          <w:i w:val="0"/>
          <w:iCs w:val="0"/>
          <w:noProof/>
          <w:sz w:val="22"/>
          <w:szCs w:val="22"/>
          <w:lang w:eastAsia="en-GB"/>
        </w:rPr>
      </w:pPr>
      <w:hyperlink w:anchor="_Toc78984021" w:history="1">
        <w:r w:rsidR="00983EAE" w:rsidRPr="007B3215">
          <w:rPr>
            <w:rStyle w:val="Hyperlink"/>
            <w:rFonts w:ascii="Arial" w:hAnsi="Arial" w:cs="Arial"/>
            <w:noProof/>
          </w:rPr>
          <w:t>Table 8.4</w:t>
        </w:r>
        <w:r w:rsidR="00983EAE" w:rsidRPr="007B3215">
          <w:rPr>
            <w:rStyle w:val="Hyperlink"/>
            <w:rFonts w:ascii="Arial" w:hAnsi="Arial" w:cs="Arial"/>
            <w:noProof/>
          </w:rPr>
          <w:noBreakHyphen/>
          <w:t>7: Competences for securing real estate project finance in developed economies.</w:t>
        </w:r>
        <w:r w:rsidR="00983EAE">
          <w:rPr>
            <w:noProof/>
            <w:webHidden/>
          </w:rPr>
          <w:tab/>
        </w:r>
        <w:r w:rsidR="00983EAE">
          <w:rPr>
            <w:noProof/>
            <w:webHidden/>
          </w:rPr>
          <w:fldChar w:fldCharType="begin"/>
        </w:r>
        <w:r w:rsidR="00983EAE">
          <w:rPr>
            <w:noProof/>
            <w:webHidden/>
          </w:rPr>
          <w:instrText xml:space="preserve"> PAGEREF _Toc78984021 \h </w:instrText>
        </w:r>
        <w:r w:rsidR="00983EAE">
          <w:rPr>
            <w:noProof/>
            <w:webHidden/>
          </w:rPr>
        </w:r>
        <w:r w:rsidR="00983EAE">
          <w:rPr>
            <w:noProof/>
            <w:webHidden/>
          </w:rPr>
          <w:fldChar w:fldCharType="separate"/>
        </w:r>
        <w:r w:rsidR="00983EAE">
          <w:rPr>
            <w:noProof/>
            <w:webHidden/>
          </w:rPr>
          <w:t>8-277</w:t>
        </w:r>
        <w:r w:rsidR="00983EAE">
          <w:rPr>
            <w:noProof/>
            <w:webHidden/>
          </w:rPr>
          <w:fldChar w:fldCharType="end"/>
        </w:r>
      </w:hyperlink>
    </w:p>
    <w:p w14:paraId="30D063AD" w14:textId="778410B0" w:rsidR="00983EAE" w:rsidRDefault="00257087">
      <w:pPr>
        <w:pStyle w:val="TableofFigures"/>
        <w:tabs>
          <w:tab w:val="right" w:leader="underscore" w:pos="9016"/>
        </w:tabs>
        <w:rPr>
          <w:rFonts w:eastAsiaTheme="minorEastAsia"/>
          <w:i w:val="0"/>
          <w:iCs w:val="0"/>
          <w:noProof/>
          <w:sz w:val="22"/>
          <w:szCs w:val="22"/>
          <w:lang w:eastAsia="en-GB"/>
        </w:rPr>
      </w:pPr>
      <w:hyperlink w:anchor="_Toc78984022" w:history="1">
        <w:r w:rsidR="00983EAE" w:rsidRPr="007B3215">
          <w:rPr>
            <w:rStyle w:val="Hyperlink"/>
            <w:noProof/>
          </w:rPr>
          <w:t>Table 8.4</w:t>
        </w:r>
        <w:r w:rsidR="00983EAE" w:rsidRPr="007B3215">
          <w:rPr>
            <w:rStyle w:val="Hyperlink"/>
            <w:noProof/>
          </w:rPr>
          <w:noBreakHyphen/>
          <w:t>8: Competences for securing real estate project finance in emerging economies</w:t>
        </w:r>
        <w:r w:rsidR="00983EAE">
          <w:rPr>
            <w:noProof/>
            <w:webHidden/>
          </w:rPr>
          <w:tab/>
        </w:r>
        <w:r w:rsidR="00983EAE">
          <w:rPr>
            <w:noProof/>
            <w:webHidden/>
          </w:rPr>
          <w:fldChar w:fldCharType="begin"/>
        </w:r>
        <w:r w:rsidR="00983EAE">
          <w:rPr>
            <w:noProof/>
            <w:webHidden/>
          </w:rPr>
          <w:instrText xml:space="preserve"> PAGEREF _Toc78984022 \h </w:instrText>
        </w:r>
        <w:r w:rsidR="00983EAE">
          <w:rPr>
            <w:noProof/>
            <w:webHidden/>
          </w:rPr>
        </w:r>
        <w:r w:rsidR="00983EAE">
          <w:rPr>
            <w:noProof/>
            <w:webHidden/>
          </w:rPr>
          <w:fldChar w:fldCharType="separate"/>
        </w:r>
        <w:r w:rsidR="00983EAE">
          <w:rPr>
            <w:noProof/>
            <w:webHidden/>
          </w:rPr>
          <w:t>8-278</w:t>
        </w:r>
        <w:r w:rsidR="00983EAE">
          <w:rPr>
            <w:noProof/>
            <w:webHidden/>
          </w:rPr>
          <w:fldChar w:fldCharType="end"/>
        </w:r>
      </w:hyperlink>
    </w:p>
    <w:p w14:paraId="458CB37F" w14:textId="190BDF81" w:rsidR="00983EAE" w:rsidRDefault="00257087">
      <w:pPr>
        <w:pStyle w:val="TableofFigures"/>
        <w:tabs>
          <w:tab w:val="right" w:leader="underscore" w:pos="9016"/>
        </w:tabs>
        <w:rPr>
          <w:rFonts w:eastAsiaTheme="minorEastAsia"/>
          <w:i w:val="0"/>
          <w:iCs w:val="0"/>
          <w:noProof/>
          <w:sz w:val="22"/>
          <w:szCs w:val="22"/>
          <w:lang w:eastAsia="en-GB"/>
        </w:rPr>
      </w:pPr>
      <w:hyperlink w:anchor="_Toc78984023" w:history="1">
        <w:r w:rsidR="00983EAE" w:rsidRPr="007B3215">
          <w:rPr>
            <w:rStyle w:val="Hyperlink"/>
            <w:rFonts w:ascii="Arial" w:hAnsi="Arial" w:cs="Arial"/>
            <w:noProof/>
          </w:rPr>
          <w:t>Table 8.4</w:t>
        </w:r>
        <w:r w:rsidR="00983EAE" w:rsidRPr="007B3215">
          <w:rPr>
            <w:rStyle w:val="Hyperlink"/>
            <w:rFonts w:ascii="Arial" w:hAnsi="Arial" w:cs="Arial"/>
            <w:noProof/>
          </w:rPr>
          <w:noBreakHyphen/>
          <w:t>9:: Inventory of management competences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_Toc78984023 \h </w:instrText>
        </w:r>
        <w:r w:rsidR="00983EAE">
          <w:rPr>
            <w:noProof/>
            <w:webHidden/>
          </w:rPr>
        </w:r>
        <w:r w:rsidR="00983EAE">
          <w:rPr>
            <w:noProof/>
            <w:webHidden/>
          </w:rPr>
          <w:fldChar w:fldCharType="separate"/>
        </w:r>
        <w:r w:rsidR="00983EAE">
          <w:rPr>
            <w:noProof/>
            <w:webHidden/>
          </w:rPr>
          <w:t>8-282</w:t>
        </w:r>
        <w:r w:rsidR="00983EAE">
          <w:rPr>
            <w:noProof/>
            <w:webHidden/>
          </w:rPr>
          <w:fldChar w:fldCharType="end"/>
        </w:r>
      </w:hyperlink>
    </w:p>
    <w:p w14:paraId="41CEEC33" w14:textId="17FD8AA5" w:rsidR="00983EAE" w:rsidRDefault="00257087">
      <w:pPr>
        <w:pStyle w:val="TableofFigures"/>
        <w:tabs>
          <w:tab w:val="right" w:leader="underscore" w:pos="9016"/>
        </w:tabs>
        <w:rPr>
          <w:rFonts w:eastAsiaTheme="minorEastAsia"/>
          <w:i w:val="0"/>
          <w:iCs w:val="0"/>
          <w:noProof/>
          <w:sz w:val="22"/>
          <w:szCs w:val="22"/>
          <w:lang w:eastAsia="en-GB"/>
        </w:rPr>
      </w:pPr>
      <w:hyperlink w:anchor="_Toc78984024" w:history="1">
        <w:r w:rsidR="00983EAE" w:rsidRPr="007B3215">
          <w:rPr>
            <w:rStyle w:val="Hyperlink"/>
            <w:rFonts w:ascii="Arial" w:hAnsi="Arial" w:cs="Arial"/>
            <w:noProof/>
          </w:rPr>
          <w:t>Table 9.2</w:t>
        </w:r>
        <w:r w:rsidR="00983EAE" w:rsidRPr="007B3215">
          <w:rPr>
            <w:rStyle w:val="Hyperlink"/>
            <w:rFonts w:ascii="Arial" w:hAnsi="Arial" w:cs="Arial"/>
            <w:noProof/>
          </w:rPr>
          <w:noBreakHyphen/>
          <w:t>1: Career path: Chronological order of the positions managers have held in the real estate industry since they first joined and the number of years they held such a post.</w:t>
        </w:r>
        <w:r w:rsidR="00983EAE">
          <w:rPr>
            <w:noProof/>
            <w:webHidden/>
          </w:rPr>
          <w:tab/>
        </w:r>
        <w:r w:rsidR="00983EAE">
          <w:rPr>
            <w:noProof/>
            <w:webHidden/>
          </w:rPr>
          <w:fldChar w:fldCharType="begin"/>
        </w:r>
        <w:r w:rsidR="00983EAE">
          <w:rPr>
            <w:noProof/>
            <w:webHidden/>
          </w:rPr>
          <w:instrText xml:space="preserve"> PAGEREF _Toc78984024 \h </w:instrText>
        </w:r>
        <w:r w:rsidR="00983EAE">
          <w:rPr>
            <w:noProof/>
            <w:webHidden/>
          </w:rPr>
        </w:r>
        <w:r w:rsidR="00983EAE">
          <w:rPr>
            <w:noProof/>
            <w:webHidden/>
          </w:rPr>
          <w:fldChar w:fldCharType="separate"/>
        </w:r>
        <w:r w:rsidR="00983EAE">
          <w:rPr>
            <w:noProof/>
            <w:webHidden/>
          </w:rPr>
          <w:t>9-287</w:t>
        </w:r>
        <w:r w:rsidR="00983EAE">
          <w:rPr>
            <w:noProof/>
            <w:webHidden/>
          </w:rPr>
          <w:fldChar w:fldCharType="end"/>
        </w:r>
      </w:hyperlink>
    </w:p>
    <w:p w14:paraId="3A482AEF" w14:textId="1047655C" w:rsidR="00983EAE" w:rsidRDefault="00257087">
      <w:pPr>
        <w:pStyle w:val="TableofFigures"/>
        <w:tabs>
          <w:tab w:val="right" w:leader="underscore" w:pos="9016"/>
        </w:tabs>
        <w:rPr>
          <w:rFonts w:eastAsiaTheme="minorEastAsia"/>
          <w:i w:val="0"/>
          <w:iCs w:val="0"/>
          <w:noProof/>
          <w:sz w:val="22"/>
          <w:szCs w:val="22"/>
          <w:lang w:eastAsia="en-GB"/>
        </w:rPr>
      </w:pPr>
      <w:hyperlink w:anchor="_Toc78984025" w:history="1">
        <w:r w:rsidR="00983EAE" w:rsidRPr="007B3215">
          <w:rPr>
            <w:rStyle w:val="Hyperlink"/>
            <w:rFonts w:ascii="Arial" w:hAnsi="Arial" w:cs="Arial"/>
            <w:noProof/>
          </w:rPr>
          <w:t>Table 9.2</w:t>
        </w:r>
        <w:r w:rsidR="00983EAE" w:rsidRPr="007B3215">
          <w:rPr>
            <w:rStyle w:val="Hyperlink"/>
            <w:rFonts w:ascii="Arial" w:hAnsi="Arial" w:cs="Arial"/>
            <w:noProof/>
          </w:rPr>
          <w:noBreakHyphen/>
          <w:t>2: Management’s career path at the disaggregate level</w:t>
        </w:r>
        <w:r w:rsidR="00983EAE">
          <w:rPr>
            <w:noProof/>
            <w:webHidden/>
          </w:rPr>
          <w:tab/>
        </w:r>
        <w:r w:rsidR="00983EAE">
          <w:rPr>
            <w:noProof/>
            <w:webHidden/>
          </w:rPr>
          <w:fldChar w:fldCharType="begin"/>
        </w:r>
        <w:r w:rsidR="00983EAE">
          <w:rPr>
            <w:noProof/>
            <w:webHidden/>
          </w:rPr>
          <w:instrText xml:space="preserve"> PAGEREF _Toc78984025 \h </w:instrText>
        </w:r>
        <w:r w:rsidR="00983EAE">
          <w:rPr>
            <w:noProof/>
            <w:webHidden/>
          </w:rPr>
        </w:r>
        <w:r w:rsidR="00983EAE">
          <w:rPr>
            <w:noProof/>
            <w:webHidden/>
          </w:rPr>
          <w:fldChar w:fldCharType="separate"/>
        </w:r>
        <w:r w:rsidR="00983EAE">
          <w:rPr>
            <w:noProof/>
            <w:webHidden/>
          </w:rPr>
          <w:t>9-288</w:t>
        </w:r>
        <w:r w:rsidR="00983EAE">
          <w:rPr>
            <w:noProof/>
            <w:webHidden/>
          </w:rPr>
          <w:fldChar w:fldCharType="end"/>
        </w:r>
      </w:hyperlink>
    </w:p>
    <w:p w14:paraId="7DA3D475" w14:textId="5B1E65A9" w:rsidR="00983EAE" w:rsidRDefault="00257087">
      <w:pPr>
        <w:pStyle w:val="TableofFigures"/>
        <w:tabs>
          <w:tab w:val="right" w:leader="underscore" w:pos="9016"/>
        </w:tabs>
        <w:rPr>
          <w:rFonts w:eastAsiaTheme="minorEastAsia"/>
          <w:i w:val="0"/>
          <w:iCs w:val="0"/>
          <w:noProof/>
          <w:sz w:val="22"/>
          <w:szCs w:val="22"/>
          <w:lang w:eastAsia="en-GB"/>
        </w:rPr>
      </w:pPr>
      <w:hyperlink w:anchor="_Toc78984026" w:history="1">
        <w:r w:rsidR="00983EAE" w:rsidRPr="007B3215">
          <w:rPr>
            <w:rStyle w:val="Hyperlink"/>
            <w:rFonts w:ascii="Arial" w:hAnsi="Arial" w:cs="Arial"/>
            <w:noProof/>
          </w:rPr>
          <w:t>Table 9.2</w:t>
        </w:r>
        <w:r w:rsidR="00983EAE" w:rsidRPr="007B3215">
          <w:rPr>
            <w:rStyle w:val="Hyperlink"/>
            <w:rFonts w:ascii="Arial" w:hAnsi="Arial" w:cs="Arial"/>
            <w:noProof/>
          </w:rPr>
          <w:noBreakHyphen/>
          <w:t>3: Major Characteristics of background &amp; career paths of managers in developed economies</w:t>
        </w:r>
        <w:r w:rsidR="00983EAE">
          <w:rPr>
            <w:noProof/>
            <w:webHidden/>
          </w:rPr>
          <w:tab/>
        </w:r>
        <w:r w:rsidR="00983EAE">
          <w:rPr>
            <w:noProof/>
            <w:webHidden/>
          </w:rPr>
          <w:fldChar w:fldCharType="begin"/>
        </w:r>
        <w:r w:rsidR="00983EAE">
          <w:rPr>
            <w:noProof/>
            <w:webHidden/>
          </w:rPr>
          <w:instrText xml:space="preserve"> PAGEREF _Toc78984026 \h </w:instrText>
        </w:r>
        <w:r w:rsidR="00983EAE">
          <w:rPr>
            <w:noProof/>
            <w:webHidden/>
          </w:rPr>
        </w:r>
        <w:r w:rsidR="00983EAE">
          <w:rPr>
            <w:noProof/>
            <w:webHidden/>
          </w:rPr>
          <w:fldChar w:fldCharType="separate"/>
        </w:r>
        <w:r w:rsidR="00983EAE">
          <w:rPr>
            <w:noProof/>
            <w:webHidden/>
          </w:rPr>
          <w:t>9-289</w:t>
        </w:r>
        <w:r w:rsidR="00983EAE">
          <w:rPr>
            <w:noProof/>
            <w:webHidden/>
          </w:rPr>
          <w:fldChar w:fldCharType="end"/>
        </w:r>
      </w:hyperlink>
    </w:p>
    <w:p w14:paraId="111A9135" w14:textId="47CCCCE3" w:rsidR="00983EAE" w:rsidRDefault="00257087">
      <w:pPr>
        <w:pStyle w:val="TableofFigures"/>
        <w:tabs>
          <w:tab w:val="right" w:leader="underscore" w:pos="9016"/>
        </w:tabs>
        <w:rPr>
          <w:rFonts w:eastAsiaTheme="minorEastAsia"/>
          <w:i w:val="0"/>
          <w:iCs w:val="0"/>
          <w:noProof/>
          <w:sz w:val="22"/>
          <w:szCs w:val="22"/>
          <w:lang w:eastAsia="en-GB"/>
        </w:rPr>
      </w:pPr>
      <w:hyperlink w:anchor="_Toc78984027" w:history="1">
        <w:r w:rsidR="00983EAE" w:rsidRPr="007B3215">
          <w:rPr>
            <w:rStyle w:val="Hyperlink"/>
            <w:rFonts w:ascii="Arial" w:hAnsi="Arial" w:cs="Arial"/>
            <w:noProof/>
          </w:rPr>
          <w:t>Table 9.2</w:t>
        </w:r>
        <w:r w:rsidR="00983EAE" w:rsidRPr="007B3215">
          <w:rPr>
            <w:rStyle w:val="Hyperlink"/>
            <w:rFonts w:ascii="Arial" w:hAnsi="Arial" w:cs="Arial"/>
            <w:noProof/>
          </w:rPr>
          <w:noBreakHyphen/>
          <w:t>4: Major Characteristics of background &amp; career paths for managers in emerging economies</w:t>
        </w:r>
        <w:r w:rsidR="00983EAE">
          <w:rPr>
            <w:noProof/>
            <w:webHidden/>
          </w:rPr>
          <w:tab/>
        </w:r>
        <w:r w:rsidR="00983EAE">
          <w:rPr>
            <w:noProof/>
            <w:webHidden/>
          </w:rPr>
          <w:fldChar w:fldCharType="begin"/>
        </w:r>
        <w:r w:rsidR="00983EAE">
          <w:rPr>
            <w:noProof/>
            <w:webHidden/>
          </w:rPr>
          <w:instrText xml:space="preserve"> PAGEREF _Toc78984027 \h </w:instrText>
        </w:r>
        <w:r w:rsidR="00983EAE">
          <w:rPr>
            <w:noProof/>
            <w:webHidden/>
          </w:rPr>
        </w:r>
        <w:r w:rsidR="00983EAE">
          <w:rPr>
            <w:noProof/>
            <w:webHidden/>
          </w:rPr>
          <w:fldChar w:fldCharType="separate"/>
        </w:r>
        <w:r w:rsidR="00983EAE">
          <w:rPr>
            <w:noProof/>
            <w:webHidden/>
          </w:rPr>
          <w:t>9-291</w:t>
        </w:r>
        <w:r w:rsidR="00983EAE">
          <w:rPr>
            <w:noProof/>
            <w:webHidden/>
          </w:rPr>
          <w:fldChar w:fldCharType="end"/>
        </w:r>
      </w:hyperlink>
    </w:p>
    <w:p w14:paraId="434145BE" w14:textId="7933A928" w:rsidR="00983EAE" w:rsidRDefault="00257087">
      <w:pPr>
        <w:pStyle w:val="TableofFigures"/>
        <w:tabs>
          <w:tab w:val="right" w:leader="underscore" w:pos="9016"/>
        </w:tabs>
        <w:rPr>
          <w:rFonts w:eastAsiaTheme="minorEastAsia"/>
          <w:i w:val="0"/>
          <w:iCs w:val="0"/>
          <w:noProof/>
          <w:sz w:val="22"/>
          <w:szCs w:val="22"/>
          <w:lang w:eastAsia="en-GB"/>
        </w:rPr>
      </w:pPr>
      <w:hyperlink w:anchor="_Toc78984028" w:history="1">
        <w:r w:rsidR="00983EAE" w:rsidRPr="007B3215">
          <w:rPr>
            <w:rStyle w:val="Hyperlink"/>
            <w:rFonts w:ascii="Arial" w:hAnsi="Arial" w:cs="Arial"/>
            <w:noProof/>
          </w:rPr>
          <w:t>Table 9.2</w:t>
        </w:r>
        <w:r w:rsidR="00983EAE" w:rsidRPr="007B3215">
          <w:rPr>
            <w:rStyle w:val="Hyperlink"/>
            <w:rFonts w:ascii="Arial" w:hAnsi="Arial" w:cs="Arial"/>
            <w:noProof/>
          </w:rPr>
          <w:noBreakHyphen/>
          <w:t>5: A conceptual framework for career path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_Toc78984028 \h </w:instrText>
        </w:r>
        <w:r w:rsidR="00983EAE">
          <w:rPr>
            <w:noProof/>
            <w:webHidden/>
          </w:rPr>
        </w:r>
        <w:r w:rsidR="00983EAE">
          <w:rPr>
            <w:noProof/>
            <w:webHidden/>
          </w:rPr>
          <w:fldChar w:fldCharType="separate"/>
        </w:r>
        <w:r w:rsidR="00983EAE">
          <w:rPr>
            <w:noProof/>
            <w:webHidden/>
          </w:rPr>
          <w:t>9-295</w:t>
        </w:r>
        <w:r w:rsidR="00983EAE">
          <w:rPr>
            <w:noProof/>
            <w:webHidden/>
          </w:rPr>
          <w:fldChar w:fldCharType="end"/>
        </w:r>
      </w:hyperlink>
    </w:p>
    <w:p w14:paraId="3A1D594C" w14:textId="537529EB" w:rsidR="00983EAE" w:rsidRDefault="00257087">
      <w:pPr>
        <w:pStyle w:val="TableofFigures"/>
        <w:tabs>
          <w:tab w:val="right" w:leader="underscore" w:pos="9016"/>
        </w:tabs>
        <w:rPr>
          <w:rFonts w:eastAsiaTheme="minorEastAsia"/>
          <w:i w:val="0"/>
          <w:iCs w:val="0"/>
          <w:noProof/>
          <w:sz w:val="22"/>
          <w:szCs w:val="22"/>
          <w:lang w:eastAsia="en-GB"/>
        </w:rPr>
      </w:pPr>
      <w:hyperlink w:anchor="_Toc78984029" w:history="1">
        <w:r w:rsidR="00983EAE" w:rsidRPr="007B3215">
          <w:rPr>
            <w:rStyle w:val="Hyperlink"/>
            <w:noProof/>
          </w:rPr>
          <w:t>Table 9.3</w:t>
        </w:r>
        <w:r w:rsidR="00983EAE" w:rsidRPr="007B3215">
          <w:rPr>
            <w:rStyle w:val="Hyperlink"/>
            <w:noProof/>
          </w:rPr>
          <w:noBreakHyphen/>
          <w:t>1: The degree of use of approaches for training and education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_Toc78984029 \h </w:instrText>
        </w:r>
        <w:r w:rsidR="00983EAE">
          <w:rPr>
            <w:noProof/>
            <w:webHidden/>
          </w:rPr>
        </w:r>
        <w:r w:rsidR="00983EAE">
          <w:rPr>
            <w:noProof/>
            <w:webHidden/>
          </w:rPr>
          <w:fldChar w:fldCharType="separate"/>
        </w:r>
        <w:r w:rsidR="00983EAE">
          <w:rPr>
            <w:noProof/>
            <w:webHidden/>
          </w:rPr>
          <w:t>9-300</w:t>
        </w:r>
        <w:r w:rsidR="00983EAE">
          <w:rPr>
            <w:noProof/>
            <w:webHidden/>
          </w:rPr>
          <w:fldChar w:fldCharType="end"/>
        </w:r>
      </w:hyperlink>
    </w:p>
    <w:p w14:paraId="12F79932" w14:textId="0F40481B" w:rsidR="00983EAE" w:rsidRDefault="00257087">
      <w:pPr>
        <w:pStyle w:val="TableofFigures"/>
        <w:tabs>
          <w:tab w:val="right" w:leader="underscore" w:pos="9016"/>
        </w:tabs>
        <w:rPr>
          <w:rFonts w:eastAsiaTheme="minorEastAsia"/>
          <w:i w:val="0"/>
          <w:iCs w:val="0"/>
          <w:noProof/>
          <w:sz w:val="22"/>
          <w:szCs w:val="22"/>
          <w:lang w:eastAsia="en-GB"/>
        </w:rPr>
      </w:pPr>
      <w:hyperlink w:anchor="_Toc78984030" w:history="1">
        <w:r w:rsidR="00983EAE" w:rsidRPr="007B3215">
          <w:rPr>
            <w:rStyle w:val="Hyperlink"/>
            <w:rFonts w:ascii="Arial" w:hAnsi="Arial" w:cs="Arial"/>
            <w:noProof/>
          </w:rPr>
          <w:t>Table 9.3</w:t>
        </w:r>
        <w:r w:rsidR="00983EAE" w:rsidRPr="007B3215">
          <w:rPr>
            <w:rStyle w:val="Hyperlink"/>
            <w:rFonts w:ascii="Arial" w:hAnsi="Arial" w:cs="Arial"/>
            <w:noProof/>
          </w:rPr>
          <w:noBreakHyphen/>
          <w:t>2: Mean scores for degree of use of approaches for training and education   for securing finance for real estate project development. at the aggregate level</w:t>
        </w:r>
        <w:r w:rsidR="00983EAE">
          <w:rPr>
            <w:noProof/>
            <w:webHidden/>
          </w:rPr>
          <w:tab/>
        </w:r>
        <w:r w:rsidR="00983EAE">
          <w:rPr>
            <w:noProof/>
            <w:webHidden/>
          </w:rPr>
          <w:fldChar w:fldCharType="begin"/>
        </w:r>
        <w:r w:rsidR="00983EAE">
          <w:rPr>
            <w:noProof/>
            <w:webHidden/>
          </w:rPr>
          <w:instrText xml:space="preserve"> PAGEREF _Toc78984030 \h </w:instrText>
        </w:r>
        <w:r w:rsidR="00983EAE">
          <w:rPr>
            <w:noProof/>
            <w:webHidden/>
          </w:rPr>
        </w:r>
        <w:r w:rsidR="00983EAE">
          <w:rPr>
            <w:noProof/>
            <w:webHidden/>
          </w:rPr>
          <w:fldChar w:fldCharType="separate"/>
        </w:r>
        <w:r w:rsidR="00983EAE">
          <w:rPr>
            <w:noProof/>
            <w:webHidden/>
          </w:rPr>
          <w:t>9-301</w:t>
        </w:r>
        <w:r w:rsidR="00983EAE">
          <w:rPr>
            <w:noProof/>
            <w:webHidden/>
          </w:rPr>
          <w:fldChar w:fldCharType="end"/>
        </w:r>
      </w:hyperlink>
    </w:p>
    <w:p w14:paraId="3FBCCBCF" w14:textId="7A72E541" w:rsidR="00983EAE" w:rsidRDefault="00257087">
      <w:pPr>
        <w:pStyle w:val="TableofFigures"/>
        <w:tabs>
          <w:tab w:val="right" w:leader="underscore" w:pos="9016"/>
        </w:tabs>
        <w:rPr>
          <w:rFonts w:eastAsiaTheme="minorEastAsia"/>
          <w:i w:val="0"/>
          <w:iCs w:val="0"/>
          <w:noProof/>
          <w:sz w:val="22"/>
          <w:szCs w:val="22"/>
          <w:lang w:eastAsia="en-GB"/>
        </w:rPr>
      </w:pPr>
      <w:hyperlink w:anchor="_Toc78984031" w:history="1">
        <w:r w:rsidR="00983EAE" w:rsidRPr="007B3215">
          <w:rPr>
            <w:rStyle w:val="Hyperlink"/>
            <w:rFonts w:ascii="Arial" w:hAnsi="Arial" w:cs="Arial"/>
            <w:noProof/>
          </w:rPr>
          <w:t>Table 9.3</w:t>
        </w:r>
        <w:r w:rsidR="00983EAE" w:rsidRPr="007B3215">
          <w:rPr>
            <w:rStyle w:val="Hyperlink"/>
            <w:rFonts w:ascii="Arial" w:hAnsi="Arial" w:cs="Arial"/>
            <w:noProof/>
          </w:rPr>
          <w:noBreakHyphen/>
          <w:t>3: Mean scores for Degree of use of approaches to training and education for securing finance for real estate project development.at the disaggregate level</w:t>
        </w:r>
        <w:r w:rsidR="00983EAE">
          <w:rPr>
            <w:noProof/>
            <w:webHidden/>
          </w:rPr>
          <w:tab/>
        </w:r>
        <w:r w:rsidR="00983EAE">
          <w:rPr>
            <w:noProof/>
            <w:webHidden/>
          </w:rPr>
          <w:fldChar w:fldCharType="begin"/>
        </w:r>
        <w:r w:rsidR="00983EAE">
          <w:rPr>
            <w:noProof/>
            <w:webHidden/>
          </w:rPr>
          <w:instrText xml:space="preserve"> PAGEREF _Toc78984031 \h </w:instrText>
        </w:r>
        <w:r w:rsidR="00983EAE">
          <w:rPr>
            <w:noProof/>
            <w:webHidden/>
          </w:rPr>
        </w:r>
        <w:r w:rsidR="00983EAE">
          <w:rPr>
            <w:noProof/>
            <w:webHidden/>
          </w:rPr>
          <w:fldChar w:fldCharType="separate"/>
        </w:r>
        <w:r w:rsidR="00983EAE">
          <w:rPr>
            <w:noProof/>
            <w:webHidden/>
          </w:rPr>
          <w:t>9-301</w:t>
        </w:r>
        <w:r w:rsidR="00983EAE">
          <w:rPr>
            <w:noProof/>
            <w:webHidden/>
          </w:rPr>
          <w:fldChar w:fldCharType="end"/>
        </w:r>
      </w:hyperlink>
    </w:p>
    <w:p w14:paraId="48E3AA54" w14:textId="69B06FA8" w:rsidR="00983EAE" w:rsidRDefault="00257087">
      <w:pPr>
        <w:pStyle w:val="TableofFigures"/>
        <w:tabs>
          <w:tab w:val="right" w:leader="underscore" w:pos="9016"/>
        </w:tabs>
        <w:rPr>
          <w:rFonts w:eastAsiaTheme="minorEastAsia"/>
          <w:i w:val="0"/>
          <w:iCs w:val="0"/>
          <w:noProof/>
          <w:sz w:val="22"/>
          <w:szCs w:val="22"/>
          <w:lang w:eastAsia="en-GB"/>
        </w:rPr>
      </w:pPr>
      <w:hyperlink w:anchor="_Toc78984032" w:history="1">
        <w:r w:rsidR="00983EAE" w:rsidRPr="007B3215">
          <w:rPr>
            <w:rStyle w:val="Hyperlink"/>
            <w:noProof/>
          </w:rPr>
          <w:t>Table 9.3</w:t>
        </w:r>
        <w:r w:rsidR="00983EAE" w:rsidRPr="007B3215">
          <w:rPr>
            <w:rStyle w:val="Hyperlink"/>
            <w:noProof/>
          </w:rPr>
          <w:noBreakHyphen/>
          <w:t xml:space="preserve">4: </w:t>
        </w:r>
        <w:r w:rsidR="00983EAE" w:rsidRPr="007B3215">
          <w:rPr>
            <w:rStyle w:val="Hyperlink"/>
            <w:rFonts w:ascii="Arial" w:hAnsi="Arial" w:cs="Arial"/>
            <w:noProof/>
          </w:rPr>
          <w:t>Degree of need for training and education for the present job</w:t>
        </w:r>
        <w:r w:rsidR="00983EAE">
          <w:rPr>
            <w:noProof/>
            <w:webHidden/>
          </w:rPr>
          <w:tab/>
        </w:r>
        <w:r w:rsidR="00983EAE">
          <w:rPr>
            <w:noProof/>
            <w:webHidden/>
          </w:rPr>
          <w:fldChar w:fldCharType="begin"/>
        </w:r>
        <w:r w:rsidR="00983EAE">
          <w:rPr>
            <w:noProof/>
            <w:webHidden/>
          </w:rPr>
          <w:instrText xml:space="preserve"> PAGEREF _Toc78984032 \h </w:instrText>
        </w:r>
        <w:r w:rsidR="00983EAE">
          <w:rPr>
            <w:noProof/>
            <w:webHidden/>
          </w:rPr>
        </w:r>
        <w:r w:rsidR="00983EAE">
          <w:rPr>
            <w:noProof/>
            <w:webHidden/>
          </w:rPr>
          <w:fldChar w:fldCharType="separate"/>
        </w:r>
        <w:r w:rsidR="00983EAE">
          <w:rPr>
            <w:noProof/>
            <w:webHidden/>
          </w:rPr>
          <w:t>9-303</w:t>
        </w:r>
        <w:r w:rsidR="00983EAE">
          <w:rPr>
            <w:noProof/>
            <w:webHidden/>
          </w:rPr>
          <w:fldChar w:fldCharType="end"/>
        </w:r>
      </w:hyperlink>
    </w:p>
    <w:p w14:paraId="610A2218" w14:textId="0290812A" w:rsidR="00983EAE" w:rsidRDefault="00257087">
      <w:pPr>
        <w:pStyle w:val="TableofFigures"/>
        <w:tabs>
          <w:tab w:val="right" w:leader="underscore" w:pos="9016"/>
        </w:tabs>
        <w:rPr>
          <w:rFonts w:eastAsiaTheme="minorEastAsia"/>
          <w:i w:val="0"/>
          <w:iCs w:val="0"/>
          <w:noProof/>
          <w:sz w:val="22"/>
          <w:szCs w:val="22"/>
          <w:lang w:eastAsia="en-GB"/>
        </w:rPr>
      </w:pPr>
      <w:hyperlink w:anchor="_Toc78984033" w:history="1">
        <w:r w:rsidR="00983EAE" w:rsidRPr="007B3215">
          <w:rPr>
            <w:rStyle w:val="Hyperlink"/>
            <w:noProof/>
          </w:rPr>
          <w:t>Table 9.3</w:t>
        </w:r>
        <w:r w:rsidR="00983EAE" w:rsidRPr="007B3215">
          <w:rPr>
            <w:rStyle w:val="Hyperlink"/>
            <w:noProof/>
          </w:rPr>
          <w:noBreakHyphen/>
          <w:t>5: Mean scores for perceived importance of approaches for training and education for securing finance for real estate project development. For the present job at the aggregate level</w:t>
        </w:r>
        <w:r w:rsidR="00983EAE">
          <w:rPr>
            <w:noProof/>
            <w:webHidden/>
          </w:rPr>
          <w:tab/>
        </w:r>
        <w:r w:rsidR="00983EAE">
          <w:rPr>
            <w:noProof/>
            <w:webHidden/>
          </w:rPr>
          <w:fldChar w:fldCharType="begin"/>
        </w:r>
        <w:r w:rsidR="00983EAE">
          <w:rPr>
            <w:noProof/>
            <w:webHidden/>
          </w:rPr>
          <w:instrText xml:space="preserve"> PAGEREF _Toc78984033 \h </w:instrText>
        </w:r>
        <w:r w:rsidR="00983EAE">
          <w:rPr>
            <w:noProof/>
            <w:webHidden/>
          </w:rPr>
        </w:r>
        <w:r w:rsidR="00983EAE">
          <w:rPr>
            <w:noProof/>
            <w:webHidden/>
          </w:rPr>
          <w:fldChar w:fldCharType="separate"/>
        </w:r>
        <w:r w:rsidR="00983EAE">
          <w:rPr>
            <w:noProof/>
            <w:webHidden/>
          </w:rPr>
          <w:t>9-304</w:t>
        </w:r>
        <w:r w:rsidR="00983EAE">
          <w:rPr>
            <w:noProof/>
            <w:webHidden/>
          </w:rPr>
          <w:fldChar w:fldCharType="end"/>
        </w:r>
      </w:hyperlink>
    </w:p>
    <w:p w14:paraId="5CCADACB" w14:textId="52B40191" w:rsidR="00983EAE" w:rsidRDefault="00257087">
      <w:pPr>
        <w:pStyle w:val="TableofFigures"/>
        <w:tabs>
          <w:tab w:val="right" w:leader="underscore" w:pos="9016"/>
        </w:tabs>
        <w:rPr>
          <w:rFonts w:eastAsiaTheme="minorEastAsia"/>
          <w:i w:val="0"/>
          <w:iCs w:val="0"/>
          <w:noProof/>
          <w:sz w:val="22"/>
          <w:szCs w:val="22"/>
          <w:lang w:eastAsia="en-GB"/>
        </w:rPr>
      </w:pPr>
      <w:hyperlink w:anchor="_Toc78984034" w:history="1">
        <w:r w:rsidR="00983EAE" w:rsidRPr="007B3215">
          <w:rPr>
            <w:rStyle w:val="Hyperlink"/>
            <w:noProof/>
          </w:rPr>
          <w:t>Table 9.3</w:t>
        </w:r>
        <w:r w:rsidR="00983EAE" w:rsidRPr="007B3215">
          <w:rPr>
            <w:rStyle w:val="Hyperlink"/>
            <w:noProof/>
          </w:rPr>
          <w:noBreakHyphen/>
          <w:t>6: Mean scores for Degree of perceived importance of approaches to training and education for securing finance for real estate project development for the present job at the disaggregate level</w:t>
        </w:r>
        <w:r w:rsidR="00983EAE">
          <w:rPr>
            <w:noProof/>
            <w:webHidden/>
          </w:rPr>
          <w:tab/>
        </w:r>
        <w:r w:rsidR="00983EAE">
          <w:rPr>
            <w:noProof/>
            <w:webHidden/>
          </w:rPr>
          <w:fldChar w:fldCharType="begin"/>
        </w:r>
        <w:r w:rsidR="00983EAE">
          <w:rPr>
            <w:noProof/>
            <w:webHidden/>
          </w:rPr>
          <w:instrText xml:space="preserve"> PAGEREF _Toc78984034 \h </w:instrText>
        </w:r>
        <w:r w:rsidR="00983EAE">
          <w:rPr>
            <w:noProof/>
            <w:webHidden/>
          </w:rPr>
        </w:r>
        <w:r w:rsidR="00983EAE">
          <w:rPr>
            <w:noProof/>
            <w:webHidden/>
          </w:rPr>
          <w:fldChar w:fldCharType="separate"/>
        </w:r>
        <w:r w:rsidR="00983EAE">
          <w:rPr>
            <w:noProof/>
            <w:webHidden/>
          </w:rPr>
          <w:t>9-305</w:t>
        </w:r>
        <w:r w:rsidR="00983EAE">
          <w:rPr>
            <w:noProof/>
            <w:webHidden/>
          </w:rPr>
          <w:fldChar w:fldCharType="end"/>
        </w:r>
      </w:hyperlink>
    </w:p>
    <w:p w14:paraId="6D38830C" w14:textId="42B1778D" w:rsidR="00983EAE" w:rsidRDefault="00257087">
      <w:pPr>
        <w:pStyle w:val="TableofFigures"/>
        <w:tabs>
          <w:tab w:val="right" w:leader="underscore" w:pos="9016"/>
        </w:tabs>
        <w:rPr>
          <w:rFonts w:eastAsiaTheme="minorEastAsia"/>
          <w:i w:val="0"/>
          <w:iCs w:val="0"/>
          <w:noProof/>
          <w:sz w:val="22"/>
          <w:szCs w:val="22"/>
          <w:lang w:eastAsia="en-GB"/>
        </w:rPr>
      </w:pPr>
      <w:hyperlink w:anchor="_Toc78984035" w:history="1">
        <w:r w:rsidR="00983EAE" w:rsidRPr="007B3215">
          <w:rPr>
            <w:rStyle w:val="Hyperlink"/>
            <w:rFonts w:ascii="Arial" w:hAnsi="Arial" w:cs="Arial"/>
            <w:noProof/>
          </w:rPr>
          <w:t>Table 9.3</w:t>
        </w:r>
        <w:r w:rsidR="00983EAE" w:rsidRPr="007B3215">
          <w:rPr>
            <w:rStyle w:val="Hyperlink"/>
            <w:rFonts w:ascii="Arial" w:hAnsi="Arial" w:cs="Arial"/>
            <w:noProof/>
          </w:rPr>
          <w:noBreakHyphen/>
          <w:t>7: Degree of need for training and education for the future (next 5years)</w:t>
        </w:r>
        <w:r w:rsidR="00983EAE">
          <w:rPr>
            <w:noProof/>
            <w:webHidden/>
          </w:rPr>
          <w:tab/>
        </w:r>
        <w:r w:rsidR="00983EAE">
          <w:rPr>
            <w:noProof/>
            <w:webHidden/>
          </w:rPr>
          <w:fldChar w:fldCharType="begin"/>
        </w:r>
        <w:r w:rsidR="00983EAE">
          <w:rPr>
            <w:noProof/>
            <w:webHidden/>
          </w:rPr>
          <w:instrText xml:space="preserve"> PAGEREF _Toc78984035 \h </w:instrText>
        </w:r>
        <w:r w:rsidR="00983EAE">
          <w:rPr>
            <w:noProof/>
            <w:webHidden/>
          </w:rPr>
        </w:r>
        <w:r w:rsidR="00983EAE">
          <w:rPr>
            <w:noProof/>
            <w:webHidden/>
          </w:rPr>
          <w:fldChar w:fldCharType="separate"/>
        </w:r>
        <w:r w:rsidR="00983EAE">
          <w:rPr>
            <w:noProof/>
            <w:webHidden/>
          </w:rPr>
          <w:t>9-307</w:t>
        </w:r>
        <w:r w:rsidR="00983EAE">
          <w:rPr>
            <w:noProof/>
            <w:webHidden/>
          </w:rPr>
          <w:fldChar w:fldCharType="end"/>
        </w:r>
      </w:hyperlink>
    </w:p>
    <w:p w14:paraId="2C085361" w14:textId="42BFF96A" w:rsidR="00983EAE" w:rsidRDefault="00257087">
      <w:pPr>
        <w:pStyle w:val="TableofFigures"/>
        <w:tabs>
          <w:tab w:val="right" w:leader="underscore" w:pos="9016"/>
        </w:tabs>
        <w:rPr>
          <w:rFonts w:eastAsiaTheme="minorEastAsia"/>
          <w:i w:val="0"/>
          <w:iCs w:val="0"/>
          <w:noProof/>
          <w:sz w:val="22"/>
          <w:szCs w:val="22"/>
          <w:lang w:eastAsia="en-GB"/>
        </w:rPr>
      </w:pPr>
      <w:hyperlink w:anchor="_Toc78984036" w:history="1">
        <w:r w:rsidR="00983EAE" w:rsidRPr="007B3215">
          <w:rPr>
            <w:rStyle w:val="Hyperlink"/>
            <w:rFonts w:ascii="Arial" w:hAnsi="Arial" w:cs="Arial"/>
            <w:noProof/>
          </w:rPr>
          <w:t>Table 9.3</w:t>
        </w:r>
        <w:r w:rsidR="00983EAE" w:rsidRPr="007B3215">
          <w:rPr>
            <w:rStyle w:val="Hyperlink"/>
            <w:rFonts w:ascii="Arial" w:hAnsi="Arial" w:cs="Arial"/>
            <w:noProof/>
          </w:rPr>
          <w:noBreakHyphen/>
          <w:t>8: Mean scores for perceived importance of approaches for training and education   for securing finance for real estate project development for the future ( next 5years) at the aggregate level</w:t>
        </w:r>
        <w:r w:rsidR="00983EAE">
          <w:rPr>
            <w:noProof/>
            <w:webHidden/>
          </w:rPr>
          <w:tab/>
        </w:r>
        <w:r w:rsidR="00983EAE">
          <w:rPr>
            <w:noProof/>
            <w:webHidden/>
          </w:rPr>
          <w:fldChar w:fldCharType="begin"/>
        </w:r>
        <w:r w:rsidR="00983EAE">
          <w:rPr>
            <w:noProof/>
            <w:webHidden/>
          </w:rPr>
          <w:instrText xml:space="preserve"> PAGEREF _Toc78984036 \h </w:instrText>
        </w:r>
        <w:r w:rsidR="00983EAE">
          <w:rPr>
            <w:noProof/>
            <w:webHidden/>
          </w:rPr>
        </w:r>
        <w:r w:rsidR="00983EAE">
          <w:rPr>
            <w:noProof/>
            <w:webHidden/>
          </w:rPr>
          <w:fldChar w:fldCharType="separate"/>
        </w:r>
        <w:r w:rsidR="00983EAE">
          <w:rPr>
            <w:noProof/>
            <w:webHidden/>
          </w:rPr>
          <w:t>9-307</w:t>
        </w:r>
        <w:r w:rsidR="00983EAE">
          <w:rPr>
            <w:noProof/>
            <w:webHidden/>
          </w:rPr>
          <w:fldChar w:fldCharType="end"/>
        </w:r>
      </w:hyperlink>
    </w:p>
    <w:p w14:paraId="567378FE" w14:textId="22DFC528" w:rsidR="00983EAE" w:rsidRDefault="00257087">
      <w:pPr>
        <w:pStyle w:val="TableofFigures"/>
        <w:tabs>
          <w:tab w:val="right" w:leader="underscore" w:pos="9016"/>
        </w:tabs>
        <w:rPr>
          <w:rFonts w:eastAsiaTheme="minorEastAsia"/>
          <w:i w:val="0"/>
          <w:iCs w:val="0"/>
          <w:noProof/>
          <w:sz w:val="22"/>
          <w:szCs w:val="22"/>
          <w:lang w:eastAsia="en-GB"/>
        </w:rPr>
      </w:pPr>
      <w:hyperlink w:anchor="_Toc78984037" w:history="1">
        <w:r w:rsidR="00983EAE" w:rsidRPr="007B3215">
          <w:rPr>
            <w:rStyle w:val="Hyperlink"/>
            <w:rFonts w:ascii="Arial" w:hAnsi="Arial" w:cs="Arial"/>
            <w:noProof/>
          </w:rPr>
          <w:t>Table 9.3</w:t>
        </w:r>
        <w:r w:rsidR="00983EAE" w:rsidRPr="007B3215">
          <w:rPr>
            <w:rStyle w:val="Hyperlink"/>
            <w:rFonts w:ascii="Arial" w:hAnsi="Arial" w:cs="Arial"/>
            <w:noProof/>
          </w:rPr>
          <w:noBreakHyphen/>
          <w:t>9: Mean scores for Degree of perceived importance of approaches to training and education for r securing finance for real estate project development for the future (next 5 years) at the disaggregate level</w:t>
        </w:r>
        <w:r w:rsidR="00983EAE">
          <w:rPr>
            <w:noProof/>
            <w:webHidden/>
          </w:rPr>
          <w:tab/>
        </w:r>
        <w:r w:rsidR="00983EAE">
          <w:rPr>
            <w:noProof/>
            <w:webHidden/>
          </w:rPr>
          <w:fldChar w:fldCharType="begin"/>
        </w:r>
        <w:r w:rsidR="00983EAE">
          <w:rPr>
            <w:noProof/>
            <w:webHidden/>
          </w:rPr>
          <w:instrText xml:space="preserve"> PAGEREF _Toc78984037 \h </w:instrText>
        </w:r>
        <w:r w:rsidR="00983EAE">
          <w:rPr>
            <w:noProof/>
            <w:webHidden/>
          </w:rPr>
        </w:r>
        <w:r w:rsidR="00983EAE">
          <w:rPr>
            <w:noProof/>
            <w:webHidden/>
          </w:rPr>
          <w:fldChar w:fldCharType="separate"/>
        </w:r>
        <w:r w:rsidR="00983EAE">
          <w:rPr>
            <w:noProof/>
            <w:webHidden/>
          </w:rPr>
          <w:t>9-308</w:t>
        </w:r>
        <w:r w:rsidR="00983EAE">
          <w:rPr>
            <w:noProof/>
            <w:webHidden/>
          </w:rPr>
          <w:fldChar w:fldCharType="end"/>
        </w:r>
      </w:hyperlink>
    </w:p>
    <w:p w14:paraId="26F5906D" w14:textId="26C0B732" w:rsidR="00983EAE" w:rsidRDefault="00257087">
      <w:pPr>
        <w:pStyle w:val="TableofFigures"/>
        <w:tabs>
          <w:tab w:val="right" w:leader="underscore" w:pos="9016"/>
        </w:tabs>
        <w:rPr>
          <w:rFonts w:eastAsiaTheme="minorEastAsia"/>
          <w:i w:val="0"/>
          <w:iCs w:val="0"/>
          <w:noProof/>
          <w:sz w:val="22"/>
          <w:szCs w:val="22"/>
          <w:lang w:eastAsia="en-GB"/>
        </w:rPr>
      </w:pPr>
      <w:hyperlink w:anchor="_Toc78984038" w:history="1">
        <w:r w:rsidR="00983EAE" w:rsidRPr="007B3215">
          <w:rPr>
            <w:rStyle w:val="Hyperlink"/>
            <w:rFonts w:ascii="Arial" w:hAnsi="Arial" w:cs="Arial"/>
            <w:noProof/>
          </w:rPr>
          <w:t>Table 9.3</w:t>
        </w:r>
        <w:r w:rsidR="00983EAE" w:rsidRPr="007B3215">
          <w:rPr>
            <w:rStyle w:val="Hyperlink"/>
            <w:rFonts w:ascii="Arial" w:hAnsi="Arial" w:cs="Arial"/>
            <w:noProof/>
          </w:rPr>
          <w:noBreakHyphen/>
          <w:t>10: Spearman's correlation coefficient test for the relationship between the level of management and the training and education used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_Toc78984038 \h </w:instrText>
        </w:r>
        <w:r w:rsidR="00983EAE">
          <w:rPr>
            <w:noProof/>
            <w:webHidden/>
          </w:rPr>
        </w:r>
        <w:r w:rsidR="00983EAE">
          <w:rPr>
            <w:noProof/>
            <w:webHidden/>
          </w:rPr>
          <w:fldChar w:fldCharType="separate"/>
        </w:r>
        <w:r w:rsidR="00983EAE">
          <w:rPr>
            <w:noProof/>
            <w:webHidden/>
          </w:rPr>
          <w:t>9-310</w:t>
        </w:r>
        <w:r w:rsidR="00983EAE">
          <w:rPr>
            <w:noProof/>
            <w:webHidden/>
          </w:rPr>
          <w:fldChar w:fldCharType="end"/>
        </w:r>
      </w:hyperlink>
    </w:p>
    <w:p w14:paraId="35B26B82" w14:textId="6853CF27" w:rsidR="00983EAE" w:rsidRDefault="00257087">
      <w:pPr>
        <w:pStyle w:val="TableofFigures"/>
        <w:tabs>
          <w:tab w:val="right" w:leader="underscore" w:pos="9016"/>
        </w:tabs>
        <w:rPr>
          <w:rFonts w:eastAsiaTheme="minorEastAsia"/>
          <w:i w:val="0"/>
          <w:iCs w:val="0"/>
          <w:noProof/>
          <w:sz w:val="22"/>
          <w:szCs w:val="22"/>
          <w:lang w:eastAsia="en-GB"/>
        </w:rPr>
      </w:pPr>
      <w:hyperlink w:anchor="_Toc78984039" w:history="1">
        <w:r w:rsidR="00983EAE" w:rsidRPr="007B3215">
          <w:rPr>
            <w:rStyle w:val="Hyperlink"/>
            <w:rFonts w:ascii="Arial" w:hAnsi="Arial" w:cs="Arial"/>
            <w:noProof/>
          </w:rPr>
          <w:t>Table 9.3</w:t>
        </w:r>
        <w:r w:rsidR="00983EAE" w:rsidRPr="007B3215">
          <w:rPr>
            <w:rStyle w:val="Hyperlink"/>
            <w:rFonts w:ascii="Arial" w:hAnsi="Arial" w:cs="Arial"/>
            <w:noProof/>
          </w:rPr>
          <w:noBreakHyphen/>
          <w:t xml:space="preserve">11: </w:t>
        </w:r>
        <w:r w:rsidR="00983EAE" w:rsidRPr="007B3215">
          <w:rPr>
            <w:rStyle w:val="Hyperlink"/>
            <w:rFonts w:ascii="Arial" w:hAnsi="Arial" w:cs="Arial"/>
            <w:bCs/>
            <w:noProof/>
          </w:rPr>
          <w:t>Training and Education for securing finance for real estate project development in Developed economies</w:t>
        </w:r>
        <w:r w:rsidR="00983EAE">
          <w:rPr>
            <w:noProof/>
            <w:webHidden/>
          </w:rPr>
          <w:tab/>
        </w:r>
        <w:r w:rsidR="00983EAE">
          <w:rPr>
            <w:noProof/>
            <w:webHidden/>
          </w:rPr>
          <w:fldChar w:fldCharType="begin"/>
        </w:r>
        <w:r w:rsidR="00983EAE">
          <w:rPr>
            <w:noProof/>
            <w:webHidden/>
          </w:rPr>
          <w:instrText xml:space="preserve"> PAGEREF _Toc78984039 \h </w:instrText>
        </w:r>
        <w:r w:rsidR="00983EAE">
          <w:rPr>
            <w:noProof/>
            <w:webHidden/>
          </w:rPr>
        </w:r>
        <w:r w:rsidR="00983EAE">
          <w:rPr>
            <w:noProof/>
            <w:webHidden/>
          </w:rPr>
          <w:fldChar w:fldCharType="separate"/>
        </w:r>
        <w:r w:rsidR="00983EAE">
          <w:rPr>
            <w:noProof/>
            <w:webHidden/>
          </w:rPr>
          <w:t>9-311</w:t>
        </w:r>
        <w:r w:rsidR="00983EAE">
          <w:rPr>
            <w:noProof/>
            <w:webHidden/>
          </w:rPr>
          <w:fldChar w:fldCharType="end"/>
        </w:r>
      </w:hyperlink>
    </w:p>
    <w:p w14:paraId="18D31FC3" w14:textId="445ACCBF" w:rsidR="00983EAE" w:rsidRDefault="00257087">
      <w:pPr>
        <w:pStyle w:val="TableofFigures"/>
        <w:tabs>
          <w:tab w:val="right" w:leader="underscore" w:pos="9016"/>
        </w:tabs>
        <w:rPr>
          <w:rFonts w:eastAsiaTheme="minorEastAsia"/>
          <w:i w:val="0"/>
          <w:iCs w:val="0"/>
          <w:noProof/>
          <w:sz w:val="22"/>
          <w:szCs w:val="22"/>
          <w:lang w:eastAsia="en-GB"/>
        </w:rPr>
      </w:pPr>
      <w:hyperlink w:anchor="_Toc78984040" w:history="1">
        <w:r w:rsidR="00983EAE" w:rsidRPr="007B3215">
          <w:rPr>
            <w:rStyle w:val="Hyperlink"/>
            <w:rFonts w:ascii="Arial" w:hAnsi="Arial" w:cs="Arial"/>
            <w:noProof/>
          </w:rPr>
          <w:t>Table 9.3</w:t>
        </w:r>
        <w:r w:rsidR="00983EAE" w:rsidRPr="007B3215">
          <w:rPr>
            <w:rStyle w:val="Hyperlink"/>
            <w:rFonts w:ascii="Arial" w:hAnsi="Arial" w:cs="Arial"/>
            <w:noProof/>
          </w:rPr>
          <w:noBreakHyphen/>
          <w:t>12:</w:t>
        </w:r>
        <w:r w:rsidR="00983EAE" w:rsidRPr="007B3215">
          <w:rPr>
            <w:rStyle w:val="Hyperlink"/>
            <w:rFonts w:ascii="Arial" w:hAnsi="Arial" w:cs="Arial"/>
            <w:bCs/>
            <w:noProof/>
          </w:rPr>
          <w:t xml:space="preserve"> Training and Education for securing finance for real estate project development in emerging economies</w:t>
        </w:r>
        <w:r w:rsidR="00983EAE">
          <w:rPr>
            <w:noProof/>
            <w:webHidden/>
          </w:rPr>
          <w:tab/>
        </w:r>
        <w:r w:rsidR="00983EAE">
          <w:rPr>
            <w:noProof/>
            <w:webHidden/>
          </w:rPr>
          <w:fldChar w:fldCharType="begin"/>
        </w:r>
        <w:r w:rsidR="00983EAE">
          <w:rPr>
            <w:noProof/>
            <w:webHidden/>
          </w:rPr>
          <w:instrText xml:space="preserve"> PAGEREF _Toc78984040 \h </w:instrText>
        </w:r>
        <w:r w:rsidR="00983EAE">
          <w:rPr>
            <w:noProof/>
            <w:webHidden/>
          </w:rPr>
        </w:r>
        <w:r w:rsidR="00983EAE">
          <w:rPr>
            <w:noProof/>
            <w:webHidden/>
          </w:rPr>
          <w:fldChar w:fldCharType="separate"/>
        </w:r>
        <w:r w:rsidR="00983EAE">
          <w:rPr>
            <w:noProof/>
            <w:webHidden/>
          </w:rPr>
          <w:t>9-312</w:t>
        </w:r>
        <w:r w:rsidR="00983EAE">
          <w:rPr>
            <w:noProof/>
            <w:webHidden/>
          </w:rPr>
          <w:fldChar w:fldCharType="end"/>
        </w:r>
      </w:hyperlink>
    </w:p>
    <w:p w14:paraId="767644E4" w14:textId="7588230E" w:rsidR="00983EAE" w:rsidRDefault="00257087">
      <w:pPr>
        <w:pStyle w:val="TableofFigures"/>
        <w:tabs>
          <w:tab w:val="right" w:leader="underscore" w:pos="9016"/>
        </w:tabs>
        <w:rPr>
          <w:rFonts w:eastAsiaTheme="minorEastAsia"/>
          <w:i w:val="0"/>
          <w:iCs w:val="0"/>
          <w:noProof/>
          <w:sz w:val="22"/>
          <w:szCs w:val="22"/>
          <w:lang w:eastAsia="en-GB"/>
        </w:rPr>
      </w:pPr>
      <w:hyperlink w:anchor="_Toc78984041" w:history="1">
        <w:r w:rsidR="00983EAE" w:rsidRPr="007B3215">
          <w:rPr>
            <w:rStyle w:val="Hyperlink"/>
            <w:rFonts w:ascii="Arial" w:hAnsi="Arial" w:cs="Arial"/>
            <w:noProof/>
          </w:rPr>
          <w:t>Table 9.3</w:t>
        </w:r>
        <w:r w:rsidR="00983EAE" w:rsidRPr="007B3215">
          <w:rPr>
            <w:rStyle w:val="Hyperlink"/>
            <w:rFonts w:ascii="Arial" w:hAnsi="Arial" w:cs="Arial"/>
            <w:noProof/>
          </w:rPr>
          <w:noBreakHyphen/>
          <w:t>13: Conceptual framework for training and education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_Toc78984041 \h </w:instrText>
        </w:r>
        <w:r w:rsidR="00983EAE">
          <w:rPr>
            <w:noProof/>
            <w:webHidden/>
          </w:rPr>
        </w:r>
        <w:r w:rsidR="00983EAE">
          <w:rPr>
            <w:noProof/>
            <w:webHidden/>
          </w:rPr>
          <w:fldChar w:fldCharType="separate"/>
        </w:r>
        <w:r w:rsidR="00983EAE">
          <w:rPr>
            <w:noProof/>
            <w:webHidden/>
          </w:rPr>
          <w:t>9-316</w:t>
        </w:r>
        <w:r w:rsidR="00983EAE">
          <w:rPr>
            <w:noProof/>
            <w:webHidden/>
          </w:rPr>
          <w:fldChar w:fldCharType="end"/>
        </w:r>
      </w:hyperlink>
    </w:p>
    <w:p w14:paraId="323DE2DA" w14:textId="77058AD4" w:rsidR="00983EAE" w:rsidRDefault="00257087">
      <w:pPr>
        <w:pStyle w:val="TableofFigures"/>
        <w:tabs>
          <w:tab w:val="right" w:leader="underscore" w:pos="9016"/>
        </w:tabs>
        <w:rPr>
          <w:rFonts w:eastAsiaTheme="minorEastAsia"/>
          <w:i w:val="0"/>
          <w:iCs w:val="0"/>
          <w:noProof/>
          <w:sz w:val="22"/>
          <w:szCs w:val="22"/>
          <w:lang w:eastAsia="en-GB"/>
        </w:rPr>
      </w:pPr>
      <w:hyperlink w:anchor="_Toc78984042" w:history="1">
        <w:r w:rsidR="00983EAE" w:rsidRPr="007B3215">
          <w:rPr>
            <w:rStyle w:val="Hyperlink"/>
            <w:rFonts w:ascii="Arial" w:hAnsi="Arial" w:cs="Arial"/>
            <w:noProof/>
          </w:rPr>
          <w:t>Table 10.2</w:t>
        </w:r>
        <w:r w:rsidR="00983EAE" w:rsidRPr="007B3215">
          <w:rPr>
            <w:rStyle w:val="Hyperlink"/>
            <w:rFonts w:ascii="Arial" w:hAnsi="Arial" w:cs="Arial"/>
            <w:noProof/>
          </w:rPr>
          <w:noBreakHyphen/>
          <w:t>1: Toolkit for securing finance for real estate project development (A reader’s guide to the toolkit)</w:t>
        </w:r>
        <w:r w:rsidR="00983EAE">
          <w:rPr>
            <w:noProof/>
            <w:webHidden/>
          </w:rPr>
          <w:tab/>
        </w:r>
        <w:r w:rsidR="00983EAE">
          <w:rPr>
            <w:noProof/>
            <w:webHidden/>
          </w:rPr>
          <w:fldChar w:fldCharType="begin"/>
        </w:r>
        <w:r w:rsidR="00983EAE">
          <w:rPr>
            <w:noProof/>
            <w:webHidden/>
          </w:rPr>
          <w:instrText xml:space="preserve"> PAGEREF _Toc78984042 \h </w:instrText>
        </w:r>
        <w:r w:rsidR="00983EAE">
          <w:rPr>
            <w:noProof/>
            <w:webHidden/>
          </w:rPr>
        </w:r>
        <w:r w:rsidR="00983EAE">
          <w:rPr>
            <w:noProof/>
            <w:webHidden/>
          </w:rPr>
          <w:fldChar w:fldCharType="separate"/>
        </w:r>
        <w:r w:rsidR="00983EAE">
          <w:rPr>
            <w:noProof/>
            <w:webHidden/>
          </w:rPr>
          <w:t>10-322</w:t>
        </w:r>
        <w:r w:rsidR="00983EAE">
          <w:rPr>
            <w:noProof/>
            <w:webHidden/>
          </w:rPr>
          <w:fldChar w:fldCharType="end"/>
        </w:r>
      </w:hyperlink>
    </w:p>
    <w:p w14:paraId="0B34A123" w14:textId="4FA4E953" w:rsidR="00983EAE" w:rsidRDefault="00257087">
      <w:pPr>
        <w:pStyle w:val="TableofFigures"/>
        <w:tabs>
          <w:tab w:val="right" w:leader="underscore" w:pos="9016"/>
        </w:tabs>
        <w:rPr>
          <w:rFonts w:eastAsiaTheme="minorEastAsia"/>
          <w:i w:val="0"/>
          <w:iCs w:val="0"/>
          <w:noProof/>
          <w:sz w:val="22"/>
          <w:szCs w:val="22"/>
          <w:lang w:eastAsia="en-GB"/>
        </w:rPr>
      </w:pPr>
      <w:hyperlink w:anchor="_Toc78984043" w:history="1">
        <w:r w:rsidR="00983EAE" w:rsidRPr="007B3215">
          <w:rPr>
            <w:rStyle w:val="Hyperlink"/>
            <w:rFonts w:ascii="Arial" w:hAnsi="Arial" w:cs="Arial"/>
            <w:noProof/>
          </w:rPr>
          <w:t>Table 10.2</w:t>
        </w:r>
        <w:r w:rsidR="00983EAE" w:rsidRPr="007B3215">
          <w:rPr>
            <w:rStyle w:val="Hyperlink"/>
            <w:rFonts w:ascii="Arial" w:hAnsi="Arial" w:cs="Arial"/>
            <w:noProof/>
          </w:rPr>
          <w:noBreakHyphen/>
          <w:t>2: Inventory of finance options and criteria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_Toc78984043 \h </w:instrText>
        </w:r>
        <w:r w:rsidR="00983EAE">
          <w:rPr>
            <w:noProof/>
            <w:webHidden/>
          </w:rPr>
        </w:r>
        <w:r w:rsidR="00983EAE">
          <w:rPr>
            <w:noProof/>
            <w:webHidden/>
          </w:rPr>
          <w:fldChar w:fldCharType="separate"/>
        </w:r>
        <w:r w:rsidR="00983EAE">
          <w:rPr>
            <w:noProof/>
            <w:webHidden/>
          </w:rPr>
          <w:t>10-324</w:t>
        </w:r>
        <w:r w:rsidR="00983EAE">
          <w:rPr>
            <w:noProof/>
            <w:webHidden/>
          </w:rPr>
          <w:fldChar w:fldCharType="end"/>
        </w:r>
      </w:hyperlink>
    </w:p>
    <w:p w14:paraId="7D166A51" w14:textId="3FBC45D0" w:rsidR="00983EAE" w:rsidRDefault="00257087">
      <w:pPr>
        <w:pStyle w:val="TableofFigures"/>
        <w:tabs>
          <w:tab w:val="right" w:leader="underscore" w:pos="9016"/>
        </w:tabs>
        <w:rPr>
          <w:rFonts w:eastAsiaTheme="minorEastAsia"/>
          <w:i w:val="0"/>
          <w:iCs w:val="0"/>
          <w:noProof/>
          <w:sz w:val="22"/>
          <w:szCs w:val="22"/>
          <w:lang w:eastAsia="en-GB"/>
        </w:rPr>
      </w:pPr>
      <w:hyperlink w:anchor="_Toc78984044" w:history="1">
        <w:r w:rsidR="00983EAE" w:rsidRPr="007B3215">
          <w:rPr>
            <w:rStyle w:val="Hyperlink"/>
            <w:rFonts w:ascii="Arial" w:hAnsi="Arial" w:cs="Arial"/>
            <w:noProof/>
          </w:rPr>
          <w:t>Table 10.2</w:t>
        </w:r>
        <w:r w:rsidR="00983EAE" w:rsidRPr="007B3215">
          <w:rPr>
            <w:rStyle w:val="Hyperlink"/>
            <w:rFonts w:ascii="Arial" w:hAnsi="Arial" w:cs="Arial"/>
            <w:noProof/>
          </w:rPr>
          <w:noBreakHyphen/>
          <w:t>3: Conceptual framework for environmental scan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_Toc78984044 \h </w:instrText>
        </w:r>
        <w:r w:rsidR="00983EAE">
          <w:rPr>
            <w:noProof/>
            <w:webHidden/>
          </w:rPr>
        </w:r>
        <w:r w:rsidR="00983EAE">
          <w:rPr>
            <w:noProof/>
            <w:webHidden/>
          </w:rPr>
          <w:fldChar w:fldCharType="separate"/>
        </w:r>
        <w:r w:rsidR="00983EAE">
          <w:rPr>
            <w:noProof/>
            <w:webHidden/>
          </w:rPr>
          <w:t>10-327</w:t>
        </w:r>
        <w:r w:rsidR="00983EAE">
          <w:rPr>
            <w:noProof/>
            <w:webHidden/>
          </w:rPr>
          <w:fldChar w:fldCharType="end"/>
        </w:r>
      </w:hyperlink>
    </w:p>
    <w:p w14:paraId="5FF9A4E1" w14:textId="1A541186" w:rsidR="00983EAE" w:rsidRDefault="00257087">
      <w:pPr>
        <w:pStyle w:val="TableofFigures"/>
        <w:tabs>
          <w:tab w:val="right" w:leader="underscore" w:pos="9016"/>
        </w:tabs>
        <w:rPr>
          <w:rFonts w:eastAsiaTheme="minorEastAsia"/>
          <w:i w:val="0"/>
          <w:iCs w:val="0"/>
          <w:noProof/>
          <w:sz w:val="22"/>
          <w:szCs w:val="22"/>
          <w:lang w:eastAsia="en-GB"/>
        </w:rPr>
      </w:pPr>
      <w:hyperlink w:anchor="_Toc78984045" w:history="1">
        <w:r w:rsidR="00983EAE" w:rsidRPr="007B3215">
          <w:rPr>
            <w:rStyle w:val="Hyperlink"/>
            <w:rFonts w:ascii="Arial" w:hAnsi="Arial" w:cs="Arial"/>
            <w:noProof/>
          </w:rPr>
          <w:t>Table 10.2</w:t>
        </w:r>
        <w:r w:rsidR="00983EAE" w:rsidRPr="007B3215">
          <w:rPr>
            <w:rStyle w:val="Hyperlink"/>
            <w:rFonts w:ascii="Arial" w:hAnsi="Arial" w:cs="Arial"/>
            <w:noProof/>
          </w:rPr>
          <w:noBreakHyphen/>
          <w:t xml:space="preserve">4: </w:t>
        </w:r>
        <w:r w:rsidR="00983EAE" w:rsidRPr="007B3215">
          <w:rPr>
            <w:rStyle w:val="Hyperlink"/>
            <w:rFonts w:ascii="Arial" w:eastAsia="Calibri" w:hAnsi="Arial" w:cs="Arial"/>
            <w:noProof/>
          </w:rPr>
          <w:t>Process map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_Toc78984045 \h </w:instrText>
        </w:r>
        <w:r w:rsidR="00983EAE">
          <w:rPr>
            <w:noProof/>
            <w:webHidden/>
          </w:rPr>
        </w:r>
        <w:r w:rsidR="00983EAE">
          <w:rPr>
            <w:noProof/>
            <w:webHidden/>
          </w:rPr>
          <w:fldChar w:fldCharType="separate"/>
        </w:r>
        <w:r w:rsidR="00983EAE">
          <w:rPr>
            <w:noProof/>
            <w:webHidden/>
          </w:rPr>
          <w:t>10-333</w:t>
        </w:r>
        <w:r w:rsidR="00983EAE">
          <w:rPr>
            <w:noProof/>
            <w:webHidden/>
          </w:rPr>
          <w:fldChar w:fldCharType="end"/>
        </w:r>
      </w:hyperlink>
    </w:p>
    <w:p w14:paraId="07372488" w14:textId="797EC0F3" w:rsidR="00983EAE" w:rsidRDefault="00257087">
      <w:pPr>
        <w:pStyle w:val="TableofFigures"/>
        <w:tabs>
          <w:tab w:val="right" w:leader="underscore" w:pos="9016"/>
        </w:tabs>
        <w:rPr>
          <w:rFonts w:eastAsiaTheme="minorEastAsia"/>
          <w:i w:val="0"/>
          <w:iCs w:val="0"/>
          <w:noProof/>
          <w:sz w:val="22"/>
          <w:szCs w:val="22"/>
          <w:lang w:eastAsia="en-GB"/>
        </w:rPr>
      </w:pPr>
      <w:hyperlink w:anchor="_Toc78984046" w:history="1">
        <w:r w:rsidR="00983EAE" w:rsidRPr="007B3215">
          <w:rPr>
            <w:rStyle w:val="Hyperlink"/>
            <w:rFonts w:ascii="Arial" w:hAnsi="Arial" w:cs="Arial"/>
            <w:noProof/>
          </w:rPr>
          <w:t>Table 10.2</w:t>
        </w:r>
        <w:r w:rsidR="00983EAE" w:rsidRPr="007B3215">
          <w:rPr>
            <w:rStyle w:val="Hyperlink"/>
            <w:rFonts w:ascii="Arial" w:hAnsi="Arial" w:cs="Arial"/>
            <w:noProof/>
          </w:rPr>
          <w:noBreakHyphen/>
          <w:t>5: Framework/ Inventory of management skills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_Toc78984046 \h </w:instrText>
        </w:r>
        <w:r w:rsidR="00983EAE">
          <w:rPr>
            <w:noProof/>
            <w:webHidden/>
          </w:rPr>
        </w:r>
        <w:r w:rsidR="00983EAE">
          <w:rPr>
            <w:noProof/>
            <w:webHidden/>
          </w:rPr>
          <w:fldChar w:fldCharType="separate"/>
        </w:r>
        <w:r w:rsidR="00983EAE">
          <w:rPr>
            <w:noProof/>
            <w:webHidden/>
          </w:rPr>
          <w:t>10-336</w:t>
        </w:r>
        <w:r w:rsidR="00983EAE">
          <w:rPr>
            <w:noProof/>
            <w:webHidden/>
          </w:rPr>
          <w:fldChar w:fldCharType="end"/>
        </w:r>
      </w:hyperlink>
    </w:p>
    <w:p w14:paraId="6981323F" w14:textId="148175A3" w:rsidR="00983EAE" w:rsidRDefault="00257087">
      <w:pPr>
        <w:pStyle w:val="TableofFigures"/>
        <w:tabs>
          <w:tab w:val="right" w:leader="underscore" w:pos="9016"/>
        </w:tabs>
        <w:rPr>
          <w:rFonts w:eastAsiaTheme="minorEastAsia"/>
          <w:i w:val="0"/>
          <w:iCs w:val="0"/>
          <w:noProof/>
          <w:sz w:val="22"/>
          <w:szCs w:val="22"/>
          <w:lang w:eastAsia="en-GB"/>
        </w:rPr>
      </w:pPr>
      <w:hyperlink w:anchor="_Toc78984047" w:history="1">
        <w:r w:rsidR="00983EAE" w:rsidRPr="007B3215">
          <w:rPr>
            <w:rStyle w:val="Hyperlink"/>
            <w:rFonts w:ascii="Arial" w:hAnsi="Arial" w:cs="Arial"/>
            <w:noProof/>
          </w:rPr>
          <w:t>Table 10.2</w:t>
        </w:r>
        <w:r w:rsidR="00983EAE" w:rsidRPr="007B3215">
          <w:rPr>
            <w:rStyle w:val="Hyperlink"/>
            <w:rFonts w:ascii="Arial" w:hAnsi="Arial" w:cs="Arial"/>
            <w:noProof/>
          </w:rPr>
          <w:noBreakHyphen/>
          <w:t>6: Inventory of financial knowledge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_Toc78984047 \h </w:instrText>
        </w:r>
        <w:r w:rsidR="00983EAE">
          <w:rPr>
            <w:noProof/>
            <w:webHidden/>
          </w:rPr>
        </w:r>
        <w:r w:rsidR="00983EAE">
          <w:rPr>
            <w:noProof/>
            <w:webHidden/>
          </w:rPr>
          <w:fldChar w:fldCharType="separate"/>
        </w:r>
        <w:r w:rsidR="00983EAE">
          <w:rPr>
            <w:noProof/>
            <w:webHidden/>
          </w:rPr>
          <w:t>10-338</w:t>
        </w:r>
        <w:r w:rsidR="00983EAE">
          <w:rPr>
            <w:noProof/>
            <w:webHidden/>
          </w:rPr>
          <w:fldChar w:fldCharType="end"/>
        </w:r>
      </w:hyperlink>
    </w:p>
    <w:p w14:paraId="1C71879C" w14:textId="476283BD" w:rsidR="00983EAE" w:rsidRDefault="00257087">
      <w:pPr>
        <w:pStyle w:val="TableofFigures"/>
        <w:tabs>
          <w:tab w:val="right" w:leader="underscore" w:pos="9016"/>
        </w:tabs>
        <w:rPr>
          <w:rFonts w:eastAsiaTheme="minorEastAsia"/>
          <w:i w:val="0"/>
          <w:iCs w:val="0"/>
          <w:noProof/>
          <w:sz w:val="22"/>
          <w:szCs w:val="22"/>
          <w:lang w:eastAsia="en-GB"/>
        </w:rPr>
      </w:pPr>
      <w:hyperlink w:anchor="_Toc78984048" w:history="1">
        <w:r w:rsidR="00983EAE" w:rsidRPr="007B3215">
          <w:rPr>
            <w:rStyle w:val="Hyperlink"/>
            <w:rFonts w:ascii="Arial" w:hAnsi="Arial" w:cs="Arial"/>
            <w:noProof/>
          </w:rPr>
          <w:t>Table 10.2</w:t>
        </w:r>
        <w:r w:rsidR="00983EAE" w:rsidRPr="007B3215">
          <w:rPr>
            <w:rStyle w:val="Hyperlink"/>
            <w:rFonts w:ascii="Arial" w:hAnsi="Arial" w:cs="Arial"/>
            <w:noProof/>
          </w:rPr>
          <w:noBreakHyphen/>
          <w:t>7: Inventory of management competences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_Toc78984048 \h </w:instrText>
        </w:r>
        <w:r w:rsidR="00983EAE">
          <w:rPr>
            <w:noProof/>
            <w:webHidden/>
          </w:rPr>
        </w:r>
        <w:r w:rsidR="00983EAE">
          <w:rPr>
            <w:noProof/>
            <w:webHidden/>
          </w:rPr>
          <w:fldChar w:fldCharType="separate"/>
        </w:r>
        <w:r w:rsidR="00983EAE">
          <w:rPr>
            <w:noProof/>
            <w:webHidden/>
          </w:rPr>
          <w:t>10-340</w:t>
        </w:r>
        <w:r w:rsidR="00983EAE">
          <w:rPr>
            <w:noProof/>
            <w:webHidden/>
          </w:rPr>
          <w:fldChar w:fldCharType="end"/>
        </w:r>
      </w:hyperlink>
    </w:p>
    <w:p w14:paraId="4A6C34A7" w14:textId="5C759255" w:rsidR="00983EAE" w:rsidRDefault="00257087">
      <w:pPr>
        <w:pStyle w:val="TableofFigures"/>
        <w:tabs>
          <w:tab w:val="right" w:leader="underscore" w:pos="9016"/>
        </w:tabs>
        <w:rPr>
          <w:rFonts w:eastAsiaTheme="minorEastAsia"/>
          <w:i w:val="0"/>
          <w:iCs w:val="0"/>
          <w:noProof/>
          <w:sz w:val="22"/>
          <w:szCs w:val="22"/>
          <w:lang w:eastAsia="en-GB"/>
        </w:rPr>
      </w:pPr>
      <w:hyperlink w:anchor="_Toc78984049" w:history="1">
        <w:r w:rsidR="00983EAE" w:rsidRPr="007B3215">
          <w:rPr>
            <w:rStyle w:val="Hyperlink"/>
            <w:rFonts w:ascii="Arial" w:hAnsi="Arial" w:cs="Arial"/>
            <w:noProof/>
          </w:rPr>
          <w:t>Table 10.2</w:t>
        </w:r>
        <w:r w:rsidR="00983EAE" w:rsidRPr="007B3215">
          <w:rPr>
            <w:rStyle w:val="Hyperlink"/>
            <w:rFonts w:ascii="Arial" w:hAnsi="Arial" w:cs="Arial"/>
            <w:noProof/>
          </w:rPr>
          <w:noBreakHyphen/>
          <w:t>8: A conceptual framework for career path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_Toc78984049 \h </w:instrText>
        </w:r>
        <w:r w:rsidR="00983EAE">
          <w:rPr>
            <w:noProof/>
            <w:webHidden/>
          </w:rPr>
        </w:r>
        <w:r w:rsidR="00983EAE">
          <w:rPr>
            <w:noProof/>
            <w:webHidden/>
          </w:rPr>
          <w:fldChar w:fldCharType="separate"/>
        </w:r>
        <w:r w:rsidR="00983EAE">
          <w:rPr>
            <w:noProof/>
            <w:webHidden/>
          </w:rPr>
          <w:t>10-342</w:t>
        </w:r>
        <w:r w:rsidR="00983EAE">
          <w:rPr>
            <w:noProof/>
            <w:webHidden/>
          </w:rPr>
          <w:fldChar w:fldCharType="end"/>
        </w:r>
      </w:hyperlink>
    </w:p>
    <w:p w14:paraId="342CC15C" w14:textId="74DB59CC" w:rsidR="00983EAE" w:rsidRDefault="00257087">
      <w:pPr>
        <w:pStyle w:val="TableofFigures"/>
        <w:tabs>
          <w:tab w:val="right" w:leader="underscore" w:pos="9016"/>
        </w:tabs>
        <w:rPr>
          <w:rFonts w:eastAsiaTheme="minorEastAsia"/>
          <w:i w:val="0"/>
          <w:iCs w:val="0"/>
          <w:noProof/>
          <w:sz w:val="22"/>
          <w:szCs w:val="22"/>
          <w:lang w:eastAsia="en-GB"/>
        </w:rPr>
      </w:pPr>
      <w:hyperlink w:anchor="_Toc78984050" w:history="1">
        <w:r w:rsidR="00983EAE" w:rsidRPr="007B3215">
          <w:rPr>
            <w:rStyle w:val="Hyperlink"/>
            <w:rFonts w:ascii="Arial" w:eastAsia="Calibri" w:hAnsi="Arial" w:cs="Arial"/>
            <w:noProof/>
          </w:rPr>
          <w:t>Table 10.2</w:t>
        </w:r>
        <w:r w:rsidR="00983EAE" w:rsidRPr="007B3215">
          <w:rPr>
            <w:rStyle w:val="Hyperlink"/>
            <w:rFonts w:ascii="Arial" w:eastAsia="Calibri" w:hAnsi="Arial" w:cs="Arial"/>
            <w:noProof/>
          </w:rPr>
          <w:noBreakHyphen/>
          <w:t>9: Conceptual framework for training and education for securing finance for real estate project development</w:t>
        </w:r>
        <w:r w:rsidR="00983EAE">
          <w:rPr>
            <w:noProof/>
            <w:webHidden/>
          </w:rPr>
          <w:tab/>
        </w:r>
        <w:r w:rsidR="00983EAE">
          <w:rPr>
            <w:noProof/>
            <w:webHidden/>
          </w:rPr>
          <w:fldChar w:fldCharType="begin"/>
        </w:r>
        <w:r w:rsidR="00983EAE">
          <w:rPr>
            <w:noProof/>
            <w:webHidden/>
          </w:rPr>
          <w:instrText xml:space="preserve"> PAGEREF _Toc78984050 \h </w:instrText>
        </w:r>
        <w:r w:rsidR="00983EAE">
          <w:rPr>
            <w:noProof/>
            <w:webHidden/>
          </w:rPr>
        </w:r>
        <w:r w:rsidR="00983EAE">
          <w:rPr>
            <w:noProof/>
            <w:webHidden/>
          </w:rPr>
          <w:fldChar w:fldCharType="separate"/>
        </w:r>
        <w:r w:rsidR="00983EAE">
          <w:rPr>
            <w:noProof/>
            <w:webHidden/>
          </w:rPr>
          <w:t>10-346</w:t>
        </w:r>
        <w:r w:rsidR="00983EAE">
          <w:rPr>
            <w:noProof/>
            <w:webHidden/>
          </w:rPr>
          <w:fldChar w:fldCharType="end"/>
        </w:r>
      </w:hyperlink>
    </w:p>
    <w:p w14:paraId="593FBD90" w14:textId="3402C655" w:rsidR="00CD6352" w:rsidRDefault="00CD6352" w:rsidP="00CD6352">
      <w:pPr>
        <w:spacing w:line="360" w:lineRule="auto"/>
        <w:jc w:val="both"/>
        <w:rPr>
          <w:rFonts w:ascii="Arial" w:hAnsi="Arial" w:cs="Arial"/>
          <w:b/>
        </w:rPr>
      </w:pPr>
      <w:r w:rsidRPr="00B93A84">
        <w:rPr>
          <w:rFonts w:ascii="Arial" w:hAnsi="Arial" w:cs="Arial"/>
          <w:b/>
        </w:rPr>
        <w:fldChar w:fldCharType="end"/>
      </w:r>
    </w:p>
    <w:p w14:paraId="1815648D" w14:textId="77777777" w:rsidR="00CD6352" w:rsidRPr="00EA7665" w:rsidRDefault="00CD6352" w:rsidP="00CD6352">
      <w:pPr>
        <w:spacing w:line="360" w:lineRule="auto"/>
        <w:jc w:val="center"/>
        <w:rPr>
          <w:rFonts w:ascii="Arial" w:hAnsi="Arial" w:cs="Arial"/>
          <w:b/>
        </w:rPr>
      </w:pPr>
      <w:r w:rsidRPr="00EA7665">
        <w:rPr>
          <w:rFonts w:ascii="Arial" w:hAnsi="Arial" w:cs="Arial"/>
          <w:b/>
        </w:rPr>
        <w:lastRenderedPageBreak/>
        <w:t>List of abbreviations</w:t>
      </w:r>
    </w:p>
    <w:p w14:paraId="07BF2BB3"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AML</w:t>
      </w:r>
      <w:r w:rsidRPr="00AC0789">
        <w:rPr>
          <w:rFonts w:ascii="Arial" w:eastAsia="Calibri" w:hAnsi="Arial" w:cs="Arial"/>
        </w:rPr>
        <w:tab/>
      </w:r>
      <w:r w:rsidRPr="00AC0789">
        <w:rPr>
          <w:rFonts w:ascii="Arial" w:eastAsia="Calibri" w:hAnsi="Arial" w:cs="Arial"/>
        </w:rPr>
        <w:tab/>
        <w:t>Anti-money laundering</w:t>
      </w:r>
      <w:r w:rsidRPr="00AC0789">
        <w:rPr>
          <w:rFonts w:ascii="Arial" w:eastAsia="Calibri" w:hAnsi="Arial" w:cs="Arial"/>
        </w:rPr>
        <w:tab/>
      </w:r>
    </w:p>
    <w:p w14:paraId="4BFC2787" w14:textId="77777777" w:rsidR="00CD6352" w:rsidRDefault="00CD6352" w:rsidP="00CD6352">
      <w:pPr>
        <w:spacing w:line="360" w:lineRule="auto"/>
        <w:rPr>
          <w:rFonts w:ascii="Arial" w:eastAsia="Calibri" w:hAnsi="Arial" w:cs="Arial"/>
        </w:rPr>
      </w:pPr>
      <w:r>
        <w:rPr>
          <w:rFonts w:ascii="Arial" w:eastAsia="Calibri" w:hAnsi="Arial" w:cs="Arial"/>
        </w:rPr>
        <w:t xml:space="preserve">BRICS </w:t>
      </w:r>
      <w:r>
        <w:rPr>
          <w:rFonts w:ascii="Arial" w:eastAsia="Calibri" w:hAnsi="Arial" w:cs="Arial"/>
        </w:rPr>
        <w:tab/>
        <w:t>Brazil, Russia, India, China and South Africa</w:t>
      </w:r>
    </w:p>
    <w:p w14:paraId="2385340C"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CAPEX</w:t>
      </w:r>
      <w:r w:rsidRPr="00AC0789">
        <w:rPr>
          <w:rFonts w:ascii="Arial" w:eastAsia="Calibri" w:hAnsi="Arial" w:cs="Arial"/>
        </w:rPr>
        <w:tab/>
        <w:t>Capital expenditure</w:t>
      </w:r>
    </w:p>
    <w:p w14:paraId="482A6735"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CEO</w:t>
      </w:r>
      <w:r w:rsidRPr="00AC0789">
        <w:rPr>
          <w:rFonts w:ascii="Arial" w:eastAsia="Calibri" w:hAnsi="Arial" w:cs="Arial"/>
        </w:rPr>
        <w:tab/>
      </w:r>
      <w:r w:rsidRPr="00AC0789">
        <w:rPr>
          <w:rFonts w:ascii="Arial" w:eastAsia="Calibri" w:hAnsi="Arial" w:cs="Arial"/>
        </w:rPr>
        <w:tab/>
        <w:t>Chief executive officer</w:t>
      </w:r>
    </w:p>
    <w:p w14:paraId="1DC63499" w14:textId="5572CF4C" w:rsidR="00CD6352" w:rsidRDefault="00CD6352" w:rsidP="00CD6352">
      <w:pPr>
        <w:spacing w:line="360" w:lineRule="auto"/>
        <w:rPr>
          <w:rFonts w:ascii="Arial" w:eastAsia="Calibri" w:hAnsi="Arial" w:cs="Arial"/>
        </w:rPr>
      </w:pPr>
      <w:r>
        <w:rPr>
          <w:rFonts w:ascii="Arial" w:eastAsia="Calibri" w:hAnsi="Arial" w:cs="Arial"/>
        </w:rPr>
        <w:t>CMBS</w:t>
      </w:r>
      <w:r>
        <w:rPr>
          <w:rFonts w:ascii="Arial" w:eastAsia="Calibri" w:hAnsi="Arial" w:cs="Arial"/>
        </w:rPr>
        <w:tab/>
      </w:r>
      <w:r>
        <w:rPr>
          <w:rFonts w:ascii="Arial" w:eastAsia="Calibri" w:hAnsi="Arial" w:cs="Arial"/>
        </w:rPr>
        <w:tab/>
        <w:t>Commercial mortgage</w:t>
      </w:r>
      <w:r w:rsidR="00E70A9C">
        <w:rPr>
          <w:rFonts w:ascii="Arial" w:eastAsia="Calibri" w:hAnsi="Arial" w:cs="Arial"/>
        </w:rPr>
        <w:t>-</w:t>
      </w:r>
      <w:r>
        <w:rPr>
          <w:rFonts w:ascii="Arial" w:eastAsia="Calibri" w:hAnsi="Arial" w:cs="Arial"/>
        </w:rPr>
        <w:t>backed securities</w:t>
      </w:r>
    </w:p>
    <w:p w14:paraId="57DC8AFA"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CPDs</w:t>
      </w:r>
      <w:r w:rsidRPr="00AC0789">
        <w:rPr>
          <w:rFonts w:ascii="Arial" w:eastAsia="Calibri" w:hAnsi="Arial" w:cs="Arial"/>
        </w:rPr>
        <w:tab/>
      </w:r>
      <w:r w:rsidRPr="00AC0789">
        <w:rPr>
          <w:rFonts w:ascii="Arial" w:eastAsia="Calibri" w:hAnsi="Arial" w:cs="Arial"/>
        </w:rPr>
        <w:tab/>
        <w:t>Continuing professional development</w:t>
      </w:r>
    </w:p>
    <w:p w14:paraId="42CC77E8"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CRE</w:t>
      </w:r>
      <w:r w:rsidRPr="00AC0789">
        <w:rPr>
          <w:rFonts w:ascii="Arial" w:eastAsia="Calibri" w:hAnsi="Arial" w:cs="Arial"/>
        </w:rPr>
        <w:tab/>
      </w:r>
      <w:r w:rsidRPr="00AC0789">
        <w:rPr>
          <w:rFonts w:ascii="Arial" w:eastAsia="Calibri" w:hAnsi="Arial" w:cs="Arial"/>
        </w:rPr>
        <w:tab/>
        <w:t>Commercial real estate sector</w:t>
      </w:r>
    </w:p>
    <w:p w14:paraId="3920C604"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CSF</w:t>
      </w:r>
      <w:r w:rsidRPr="00AC0789">
        <w:rPr>
          <w:rFonts w:ascii="Arial" w:eastAsia="Calibri" w:hAnsi="Arial" w:cs="Arial"/>
        </w:rPr>
        <w:tab/>
      </w:r>
      <w:r w:rsidRPr="00AC0789">
        <w:rPr>
          <w:rFonts w:ascii="Arial" w:eastAsia="Calibri" w:hAnsi="Arial" w:cs="Arial"/>
        </w:rPr>
        <w:tab/>
        <w:t>Critical success factors</w:t>
      </w:r>
    </w:p>
    <w:p w14:paraId="39594CEA"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ECB</w:t>
      </w:r>
      <w:r w:rsidRPr="00AC0789">
        <w:rPr>
          <w:rFonts w:ascii="Arial" w:eastAsia="Calibri" w:hAnsi="Arial" w:cs="Arial"/>
        </w:rPr>
        <w:tab/>
      </w:r>
      <w:r w:rsidRPr="00AC0789">
        <w:rPr>
          <w:rFonts w:ascii="Arial" w:eastAsia="Calibri" w:hAnsi="Arial" w:cs="Arial"/>
        </w:rPr>
        <w:tab/>
        <w:t>European central bank</w:t>
      </w:r>
    </w:p>
    <w:p w14:paraId="31E86F19"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EU</w:t>
      </w:r>
      <w:r w:rsidRPr="00AC0789">
        <w:rPr>
          <w:rFonts w:ascii="Arial" w:eastAsia="Calibri" w:hAnsi="Arial" w:cs="Arial"/>
        </w:rPr>
        <w:tab/>
      </w:r>
      <w:r w:rsidRPr="00AC0789">
        <w:rPr>
          <w:rFonts w:ascii="Arial" w:eastAsia="Calibri" w:hAnsi="Arial" w:cs="Arial"/>
        </w:rPr>
        <w:tab/>
        <w:t>European Union</w:t>
      </w:r>
    </w:p>
    <w:p w14:paraId="3CFACD80" w14:textId="77777777" w:rsidR="00CD6352" w:rsidRDefault="00CD6352" w:rsidP="00CD6352">
      <w:pPr>
        <w:spacing w:line="360" w:lineRule="auto"/>
        <w:rPr>
          <w:rFonts w:ascii="Arial" w:eastAsia="Calibri" w:hAnsi="Arial" w:cs="Arial"/>
        </w:rPr>
      </w:pPr>
      <w:r>
        <w:rPr>
          <w:rFonts w:ascii="Arial" w:eastAsia="Calibri" w:hAnsi="Arial" w:cs="Arial"/>
        </w:rPr>
        <w:t>FDIC</w:t>
      </w:r>
      <w:r>
        <w:rPr>
          <w:rFonts w:ascii="Arial" w:eastAsia="Calibri" w:hAnsi="Arial" w:cs="Arial"/>
        </w:rPr>
        <w:tab/>
      </w:r>
      <w:r>
        <w:rPr>
          <w:rFonts w:ascii="Arial" w:eastAsia="Calibri" w:hAnsi="Arial" w:cs="Arial"/>
        </w:rPr>
        <w:tab/>
        <w:t>Federal deposit insurance company</w:t>
      </w:r>
    </w:p>
    <w:p w14:paraId="7CAA82E9"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FRED</w:t>
      </w:r>
      <w:r w:rsidRPr="00AC0789">
        <w:rPr>
          <w:rFonts w:ascii="Arial" w:eastAsia="Calibri" w:hAnsi="Arial" w:cs="Arial"/>
        </w:rPr>
        <w:tab/>
      </w:r>
      <w:r w:rsidRPr="00AC0789">
        <w:rPr>
          <w:rFonts w:ascii="Arial" w:eastAsia="Calibri" w:hAnsi="Arial" w:cs="Arial"/>
        </w:rPr>
        <w:tab/>
        <w:t>Federal Reserve System</w:t>
      </w:r>
    </w:p>
    <w:p w14:paraId="346D1590"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GDP</w:t>
      </w:r>
      <w:r w:rsidRPr="00AC0789">
        <w:rPr>
          <w:rFonts w:ascii="Arial" w:eastAsia="Calibri" w:hAnsi="Arial" w:cs="Arial"/>
        </w:rPr>
        <w:tab/>
      </w:r>
      <w:r w:rsidRPr="00AC0789">
        <w:rPr>
          <w:rFonts w:ascii="Arial" w:eastAsia="Calibri" w:hAnsi="Arial" w:cs="Arial"/>
        </w:rPr>
        <w:tab/>
        <w:t>Gross domestic product</w:t>
      </w:r>
    </w:p>
    <w:p w14:paraId="57E104F6"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GIS</w:t>
      </w:r>
      <w:r w:rsidRPr="00AC0789">
        <w:rPr>
          <w:rFonts w:ascii="Arial" w:eastAsia="Calibri" w:hAnsi="Arial" w:cs="Arial"/>
        </w:rPr>
        <w:tab/>
      </w:r>
      <w:r w:rsidRPr="00AC0789">
        <w:rPr>
          <w:rFonts w:ascii="Arial" w:eastAsia="Calibri" w:hAnsi="Arial" w:cs="Arial"/>
        </w:rPr>
        <w:tab/>
        <w:t>Geographic information system</w:t>
      </w:r>
    </w:p>
    <w:p w14:paraId="6E882E6D" w14:textId="77777777" w:rsidR="00CD6352" w:rsidRDefault="00CD6352" w:rsidP="00CD6352">
      <w:pPr>
        <w:spacing w:line="360" w:lineRule="auto"/>
        <w:ind w:left="1440" w:hanging="1440"/>
        <w:rPr>
          <w:rFonts w:ascii="Arial" w:eastAsia="Calibri" w:hAnsi="Arial" w:cs="Arial"/>
        </w:rPr>
      </w:pPr>
      <w:r>
        <w:rPr>
          <w:rFonts w:ascii="Arial" w:eastAsia="Calibri" w:hAnsi="Arial" w:cs="Arial"/>
        </w:rPr>
        <w:t>IPMA</w:t>
      </w:r>
      <w:r>
        <w:rPr>
          <w:rFonts w:ascii="Arial" w:eastAsia="Calibri" w:hAnsi="Arial" w:cs="Arial"/>
        </w:rPr>
        <w:tab/>
        <w:t>International project management association</w:t>
      </w:r>
    </w:p>
    <w:p w14:paraId="7969FC5D"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JV</w:t>
      </w:r>
      <w:r w:rsidRPr="00AC0789">
        <w:rPr>
          <w:rFonts w:ascii="Arial" w:eastAsia="Calibri" w:hAnsi="Arial" w:cs="Arial"/>
        </w:rPr>
        <w:tab/>
      </w:r>
      <w:r w:rsidRPr="00AC0789">
        <w:rPr>
          <w:rFonts w:ascii="Arial" w:eastAsia="Calibri" w:hAnsi="Arial" w:cs="Arial"/>
        </w:rPr>
        <w:tab/>
        <w:t>Joint ventures</w:t>
      </w:r>
    </w:p>
    <w:p w14:paraId="071AD44E"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KYC</w:t>
      </w:r>
      <w:r w:rsidRPr="00AC0789">
        <w:rPr>
          <w:rFonts w:ascii="Arial" w:eastAsia="Calibri" w:hAnsi="Arial" w:cs="Arial"/>
        </w:rPr>
        <w:tab/>
      </w:r>
      <w:r w:rsidRPr="00AC0789">
        <w:rPr>
          <w:rFonts w:ascii="Arial" w:eastAsia="Calibri" w:hAnsi="Arial" w:cs="Arial"/>
        </w:rPr>
        <w:tab/>
        <w:t>Know your customer</w:t>
      </w:r>
    </w:p>
    <w:p w14:paraId="2B4F5EAC"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LBT</w:t>
      </w:r>
      <w:r w:rsidRPr="00AC0789">
        <w:rPr>
          <w:rFonts w:ascii="Arial" w:eastAsia="Calibri" w:hAnsi="Arial" w:cs="Arial"/>
        </w:rPr>
        <w:tab/>
      </w:r>
      <w:r w:rsidRPr="00AC0789">
        <w:rPr>
          <w:rFonts w:ascii="Arial" w:eastAsia="Calibri" w:hAnsi="Arial" w:cs="Arial"/>
        </w:rPr>
        <w:tab/>
        <w:t>Land and building tax</w:t>
      </w:r>
    </w:p>
    <w:p w14:paraId="1EEFB804"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LTC</w:t>
      </w:r>
      <w:r w:rsidRPr="00AC0789">
        <w:rPr>
          <w:rFonts w:ascii="Arial" w:eastAsia="Calibri" w:hAnsi="Arial" w:cs="Arial"/>
        </w:rPr>
        <w:tab/>
      </w:r>
      <w:r w:rsidRPr="00AC0789">
        <w:rPr>
          <w:rFonts w:ascii="Arial" w:eastAsia="Calibri" w:hAnsi="Arial" w:cs="Arial"/>
        </w:rPr>
        <w:tab/>
        <w:t>Loan to cost</w:t>
      </w:r>
    </w:p>
    <w:p w14:paraId="6D732886" w14:textId="77777777" w:rsidR="00CD6352" w:rsidRDefault="00CD6352" w:rsidP="00CD6352">
      <w:pPr>
        <w:spacing w:line="360" w:lineRule="auto"/>
        <w:rPr>
          <w:rFonts w:ascii="Arial" w:eastAsia="Calibri" w:hAnsi="Arial" w:cs="Arial"/>
        </w:rPr>
      </w:pPr>
      <w:r>
        <w:rPr>
          <w:rFonts w:ascii="Arial" w:eastAsia="Calibri" w:hAnsi="Arial" w:cs="Arial"/>
        </w:rPr>
        <w:t>LURs</w:t>
      </w:r>
      <w:r>
        <w:rPr>
          <w:rFonts w:ascii="Arial" w:eastAsia="Calibri" w:hAnsi="Arial" w:cs="Arial"/>
        </w:rPr>
        <w:tab/>
      </w:r>
      <w:r>
        <w:rPr>
          <w:rFonts w:ascii="Arial" w:eastAsia="Calibri" w:hAnsi="Arial" w:cs="Arial"/>
        </w:rPr>
        <w:tab/>
        <w:t>Land use rights</w:t>
      </w:r>
    </w:p>
    <w:p w14:paraId="75E689EC"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MGR</w:t>
      </w:r>
      <w:r w:rsidRPr="00AC0789">
        <w:rPr>
          <w:rFonts w:ascii="Arial" w:eastAsia="Calibri" w:hAnsi="Arial" w:cs="Arial"/>
        </w:rPr>
        <w:tab/>
      </w:r>
      <w:r w:rsidRPr="00AC0789">
        <w:rPr>
          <w:rFonts w:ascii="Arial" w:eastAsia="Calibri" w:hAnsi="Arial" w:cs="Arial"/>
        </w:rPr>
        <w:tab/>
        <w:t>Real estate manager</w:t>
      </w:r>
    </w:p>
    <w:p w14:paraId="28461CA5" w14:textId="77777777" w:rsidR="00CD6352" w:rsidRDefault="00CD6352" w:rsidP="00CD6352">
      <w:pPr>
        <w:spacing w:line="360" w:lineRule="auto"/>
        <w:rPr>
          <w:rFonts w:ascii="Arial" w:eastAsia="Calibri" w:hAnsi="Arial" w:cs="Arial"/>
        </w:rPr>
      </w:pPr>
      <w:r>
        <w:rPr>
          <w:rFonts w:ascii="Arial" w:eastAsia="Calibri" w:hAnsi="Arial" w:cs="Arial"/>
        </w:rPr>
        <w:t xml:space="preserve">MINT </w:t>
      </w:r>
      <w:r>
        <w:rPr>
          <w:rFonts w:ascii="Arial" w:eastAsia="Calibri" w:hAnsi="Arial" w:cs="Arial"/>
        </w:rPr>
        <w:tab/>
      </w:r>
      <w:r>
        <w:rPr>
          <w:rFonts w:ascii="Arial" w:eastAsia="Calibri" w:hAnsi="Arial" w:cs="Arial"/>
        </w:rPr>
        <w:tab/>
        <w:t>Mexico, Indonesia, Nigeria and Turkey</w:t>
      </w:r>
    </w:p>
    <w:p w14:paraId="24C5ADCD"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MNC</w:t>
      </w:r>
      <w:r w:rsidRPr="00AC0789">
        <w:rPr>
          <w:rFonts w:ascii="Arial" w:eastAsia="Calibri" w:hAnsi="Arial" w:cs="Arial"/>
        </w:rPr>
        <w:tab/>
      </w:r>
      <w:r w:rsidRPr="00AC0789">
        <w:rPr>
          <w:rFonts w:ascii="Arial" w:eastAsia="Calibri" w:hAnsi="Arial" w:cs="Arial"/>
        </w:rPr>
        <w:tab/>
        <w:t>Multinational Corporation</w:t>
      </w:r>
    </w:p>
    <w:p w14:paraId="4EA94C5E"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NHF</w:t>
      </w:r>
      <w:r w:rsidRPr="00AC0789">
        <w:rPr>
          <w:rFonts w:ascii="Arial" w:eastAsia="Calibri" w:hAnsi="Arial" w:cs="Arial"/>
        </w:rPr>
        <w:tab/>
      </w:r>
      <w:r w:rsidRPr="00AC0789">
        <w:rPr>
          <w:rFonts w:ascii="Arial" w:eastAsia="Calibri" w:hAnsi="Arial" w:cs="Arial"/>
        </w:rPr>
        <w:tab/>
        <w:t>National housing fund</w:t>
      </w:r>
    </w:p>
    <w:p w14:paraId="4FE38325" w14:textId="77777777" w:rsidR="00CD6352" w:rsidRDefault="00CD6352" w:rsidP="00CD6352">
      <w:pPr>
        <w:spacing w:line="360" w:lineRule="auto"/>
        <w:rPr>
          <w:rFonts w:ascii="Arial" w:eastAsia="Calibri" w:hAnsi="Arial" w:cs="Arial"/>
        </w:rPr>
      </w:pPr>
      <w:r>
        <w:rPr>
          <w:rFonts w:ascii="Arial" w:eastAsia="Calibri" w:hAnsi="Arial" w:cs="Arial"/>
        </w:rPr>
        <w:t>NMRC</w:t>
      </w:r>
      <w:r>
        <w:rPr>
          <w:rFonts w:ascii="Arial" w:eastAsia="Calibri" w:hAnsi="Arial" w:cs="Arial"/>
        </w:rPr>
        <w:tab/>
      </w:r>
      <w:r>
        <w:rPr>
          <w:rFonts w:ascii="Arial" w:eastAsia="Calibri" w:hAnsi="Arial" w:cs="Arial"/>
        </w:rPr>
        <w:tab/>
        <w:t>Nigeria Mortgage refinance company</w:t>
      </w:r>
    </w:p>
    <w:p w14:paraId="662B09D7"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ONS</w:t>
      </w:r>
      <w:r w:rsidRPr="00AC0789">
        <w:rPr>
          <w:rFonts w:ascii="Arial" w:eastAsia="Calibri" w:hAnsi="Arial" w:cs="Arial"/>
        </w:rPr>
        <w:tab/>
      </w:r>
      <w:r w:rsidRPr="00AC0789">
        <w:rPr>
          <w:rFonts w:ascii="Arial" w:eastAsia="Calibri" w:hAnsi="Arial" w:cs="Arial"/>
        </w:rPr>
        <w:tab/>
        <w:t>Office of National statistics</w:t>
      </w:r>
    </w:p>
    <w:p w14:paraId="1C25706C"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PESTLE</w:t>
      </w:r>
      <w:r w:rsidRPr="00AC0789">
        <w:rPr>
          <w:rFonts w:ascii="Arial" w:eastAsia="Calibri" w:hAnsi="Arial" w:cs="Arial"/>
        </w:rPr>
        <w:tab/>
        <w:t>Political, economic, social, technological, legal and environmental factors</w:t>
      </w:r>
    </w:p>
    <w:p w14:paraId="6356A79D" w14:textId="77777777" w:rsidR="00CD6352" w:rsidRDefault="00CD6352" w:rsidP="00CD6352">
      <w:pPr>
        <w:spacing w:line="360" w:lineRule="auto"/>
        <w:ind w:left="1440" w:hanging="1440"/>
        <w:rPr>
          <w:rFonts w:ascii="Arial" w:eastAsia="Calibri" w:hAnsi="Arial" w:cs="Arial"/>
        </w:rPr>
      </w:pPr>
      <w:r>
        <w:rPr>
          <w:rFonts w:ascii="Arial" w:eastAsia="Calibri" w:hAnsi="Arial" w:cs="Arial"/>
        </w:rPr>
        <w:lastRenderedPageBreak/>
        <w:t>PESTLE</w:t>
      </w:r>
      <w:r>
        <w:rPr>
          <w:rFonts w:ascii="Arial" w:eastAsia="Calibri" w:hAnsi="Arial" w:cs="Arial"/>
        </w:rPr>
        <w:tab/>
        <w:t>Political, economic, social, technological, legal and environmental factors</w:t>
      </w:r>
    </w:p>
    <w:p w14:paraId="0E691DB6" w14:textId="77777777" w:rsidR="00CD6352" w:rsidRDefault="00CD6352" w:rsidP="00CD6352">
      <w:pPr>
        <w:spacing w:line="360" w:lineRule="auto"/>
        <w:rPr>
          <w:rFonts w:ascii="Arial" w:eastAsia="Calibri" w:hAnsi="Arial" w:cs="Arial"/>
        </w:rPr>
      </w:pPr>
      <w:r>
        <w:rPr>
          <w:rFonts w:ascii="Arial" w:eastAsia="Calibri" w:hAnsi="Arial" w:cs="Arial"/>
        </w:rPr>
        <w:t>PPP</w:t>
      </w:r>
      <w:r>
        <w:rPr>
          <w:rFonts w:ascii="Arial" w:eastAsia="Calibri" w:hAnsi="Arial" w:cs="Arial"/>
        </w:rPr>
        <w:tab/>
      </w:r>
      <w:r>
        <w:rPr>
          <w:rFonts w:ascii="Arial" w:eastAsia="Calibri" w:hAnsi="Arial" w:cs="Arial"/>
        </w:rPr>
        <w:tab/>
        <w:t>Public-private partnership</w:t>
      </w:r>
    </w:p>
    <w:p w14:paraId="71A58344"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PROP TECH</w:t>
      </w:r>
      <w:r w:rsidRPr="00AC0789">
        <w:rPr>
          <w:rFonts w:ascii="Arial" w:eastAsia="Calibri" w:hAnsi="Arial" w:cs="Arial"/>
        </w:rPr>
        <w:tab/>
        <w:t>Property technology</w:t>
      </w:r>
    </w:p>
    <w:p w14:paraId="75A9B1B9" w14:textId="0EA0900C" w:rsidR="00CD6352" w:rsidRDefault="00CD6352" w:rsidP="00CD6352">
      <w:pPr>
        <w:spacing w:line="360" w:lineRule="auto"/>
        <w:rPr>
          <w:rFonts w:ascii="Arial" w:eastAsia="Calibri" w:hAnsi="Arial" w:cs="Arial"/>
        </w:rPr>
      </w:pPr>
      <w:r>
        <w:rPr>
          <w:rFonts w:ascii="Arial" w:eastAsia="Calibri" w:hAnsi="Arial" w:cs="Arial"/>
        </w:rPr>
        <w:t>REDAN</w:t>
      </w:r>
      <w:r>
        <w:rPr>
          <w:rFonts w:ascii="Arial" w:eastAsia="Calibri" w:hAnsi="Arial" w:cs="Arial"/>
        </w:rPr>
        <w:tab/>
        <w:t xml:space="preserve">Real estate developer’s </w:t>
      </w:r>
      <w:r w:rsidR="00FE5BA6">
        <w:rPr>
          <w:rFonts w:ascii="Arial" w:eastAsia="Calibri" w:hAnsi="Arial" w:cs="Arial"/>
        </w:rPr>
        <w:t>A</w:t>
      </w:r>
      <w:r>
        <w:rPr>
          <w:rFonts w:ascii="Arial" w:eastAsia="Calibri" w:hAnsi="Arial" w:cs="Arial"/>
        </w:rPr>
        <w:t>ssociation of Nigeria</w:t>
      </w:r>
    </w:p>
    <w:p w14:paraId="0A140750" w14:textId="77777777" w:rsidR="00CD6352" w:rsidRDefault="00CD6352" w:rsidP="00CD6352">
      <w:pPr>
        <w:spacing w:line="360" w:lineRule="auto"/>
        <w:rPr>
          <w:rFonts w:ascii="Arial" w:eastAsia="Calibri" w:hAnsi="Arial" w:cs="Arial"/>
        </w:rPr>
      </w:pPr>
      <w:r>
        <w:rPr>
          <w:rFonts w:ascii="Arial" w:eastAsia="Calibri" w:hAnsi="Arial" w:cs="Arial"/>
        </w:rPr>
        <w:t>REITs</w:t>
      </w:r>
      <w:r>
        <w:rPr>
          <w:rFonts w:ascii="Arial" w:eastAsia="Calibri" w:hAnsi="Arial" w:cs="Arial"/>
        </w:rPr>
        <w:tab/>
      </w:r>
      <w:r>
        <w:rPr>
          <w:rFonts w:ascii="Arial" w:eastAsia="Calibri" w:hAnsi="Arial" w:cs="Arial"/>
        </w:rPr>
        <w:tab/>
        <w:t>Real estate investment trusts</w:t>
      </w:r>
    </w:p>
    <w:p w14:paraId="3D693A57"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SA</w:t>
      </w:r>
      <w:r w:rsidRPr="00AC0789">
        <w:rPr>
          <w:rFonts w:ascii="Arial" w:eastAsia="Calibri" w:hAnsi="Arial" w:cs="Arial"/>
        </w:rPr>
        <w:tab/>
      </w:r>
      <w:r w:rsidRPr="00AC0789">
        <w:rPr>
          <w:rFonts w:ascii="Arial" w:eastAsia="Calibri" w:hAnsi="Arial" w:cs="Arial"/>
        </w:rPr>
        <w:tab/>
        <w:t>South Africa</w:t>
      </w:r>
      <w:r w:rsidRPr="00AC0789">
        <w:rPr>
          <w:rFonts w:ascii="Arial" w:eastAsia="Calibri" w:hAnsi="Arial" w:cs="Arial"/>
        </w:rPr>
        <w:tab/>
      </w:r>
    </w:p>
    <w:p w14:paraId="08EFF0E1"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SA</w:t>
      </w:r>
      <w:r w:rsidRPr="00AC0789">
        <w:rPr>
          <w:rFonts w:ascii="Arial" w:eastAsia="Calibri" w:hAnsi="Arial" w:cs="Arial"/>
        </w:rPr>
        <w:tab/>
      </w:r>
      <w:r w:rsidRPr="00AC0789">
        <w:rPr>
          <w:rFonts w:ascii="Arial" w:eastAsia="Calibri" w:hAnsi="Arial" w:cs="Arial"/>
        </w:rPr>
        <w:tab/>
        <w:t>South Africa</w:t>
      </w:r>
    </w:p>
    <w:p w14:paraId="77F88FF9" w14:textId="77777777" w:rsidR="00CD6352" w:rsidRDefault="00CD6352" w:rsidP="00CD6352">
      <w:pPr>
        <w:spacing w:line="360" w:lineRule="auto"/>
        <w:rPr>
          <w:rFonts w:ascii="Arial" w:eastAsia="Calibri" w:hAnsi="Arial" w:cs="Arial"/>
        </w:rPr>
      </w:pPr>
      <w:r>
        <w:rPr>
          <w:rFonts w:ascii="Arial" w:eastAsia="Calibri" w:hAnsi="Arial" w:cs="Arial"/>
        </w:rPr>
        <w:t>SEC</w:t>
      </w:r>
      <w:r>
        <w:rPr>
          <w:rFonts w:ascii="Arial" w:eastAsia="Calibri" w:hAnsi="Arial" w:cs="Arial"/>
        </w:rPr>
        <w:tab/>
      </w:r>
      <w:r>
        <w:rPr>
          <w:rFonts w:ascii="Arial" w:eastAsia="Calibri" w:hAnsi="Arial" w:cs="Arial"/>
        </w:rPr>
        <w:tab/>
        <w:t>Securities and exchange commission</w:t>
      </w:r>
    </w:p>
    <w:p w14:paraId="15B8320E" w14:textId="77777777" w:rsidR="00CD6352" w:rsidRDefault="00CD6352" w:rsidP="00CD6352">
      <w:pPr>
        <w:spacing w:line="360" w:lineRule="auto"/>
        <w:ind w:left="1440" w:hanging="1440"/>
        <w:rPr>
          <w:rFonts w:ascii="Arial" w:eastAsia="Calibri" w:hAnsi="Arial" w:cs="Arial"/>
        </w:rPr>
      </w:pPr>
      <w:r>
        <w:rPr>
          <w:rFonts w:ascii="Arial" w:eastAsia="Calibri" w:hAnsi="Arial" w:cs="Arial"/>
        </w:rPr>
        <w:t>STEEPLE</w:t>
      </w:r>
      <w:r>
        <w:rPr>
          <w:rFonts w:ascii="Arial" w:eastAsia="Calibri" w:hAnsi="Arial" w:cs="Arial"/>
        </w:rPr>
        <w:tab/>
        <w:t>Social technological, economic, environmental, political, legal and ethical factors</w:t>
      </w:r>
    </w:p>
    <w:p w14:paraId="5664FA75" w14:textId="4DEBDD59" w:rsidR="00CD6352" w:rsidRPr="00AC0789" w:rsidRDefault="00CD6352" w:rsidP="00CD6352">
      <w:pPr>
        <w:spacing w:line="360" w:lineRule="auto"/>
        <w:rPr>
          <w:rFonts w:ascii="Arial" w:eastAsia="Calibri" w:hAnsi="Arial" w:cs="Arial"/>
        </w:rPr>
      </w:pPr>
      <w:r w:rsidRPr="00AC0789">
        <w:rPr>
          <w:rFonts w:ascii="Arial" w:eastAsia="Calibri" w:hAnsi="Arial" w:cs="Arial"/>
        </w:rPr>
        <w:t>SWOT</w:t>
      </w:r>
      <w:r w:rsidRPr="00AC0789">
        <w:rPr>
          <w:rFonts w:ascii="Arial" w:eastAsia="Calibri" w:hAnsi="Arial" w:cs="Arial"/>
        </w:rPr>
        <w:tab/>
      </w:r>
      <w:r w:rsidRPr="00AC0789">
        <w:rPr>
          <w:rFonts w:ascii="Arial" w:eastAsia="Calibri" w:hAnsi="Arial" w:cs="Arial"/>
        </w:rPr>
        <w:tab/>
        <w:t xml:space="preserve">Strength, weaknesses, </w:t>
      </w:r>
      <w:r w:rsidR="00404FF4" w:rsidRPr="00AC0789">
        <w:rPr>
          <w:rFonts w:ascii="Arial" w:eastAsia="Calibri" w:hAnsi="Arial" w:cs="Arial"/>
        </w:rPr>
        <w:t>opportunities,</w:t>
      </w:r>
      <w:r w:rsidRPr="00AC0789">
        <w:rPr>
          <w:rFonts w:ascii="Arial" w:eastAsia="Calibri" w:hAnsi="Arial" w:cs="Arial"/>
        </w:rPr>
        <w:t xml:space="preserve"> and threats </w:t>
      </w:r>
    </w:p>
    <w:p w14:paraId="7AE93D42"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TIS</w:t>
      </w:r>
      <w:r w:rsidRPr="00AC0789">
        <w:rPr>
          <w:rFonts w:ascii="Arial" w:eastAsia="Calibri" w:hAnsi="Arial" w:cs="Arial"/>
        </w:rPr>
        <w:tab/>
      </w:r>
      <w:r w:rsidRPr="00AC0789">
        <w:rPr>
          <w:rFonts w:ascii="Arial" w:eastAsia="Calibri" w:hAnsi="Arial" w:cs="Arial"/>
        </w:rPr>
        <w:tab/>
        <w:t>Tenant improvements</w:t>
      </w:r>
    </w:p>
    <w:p w14:paraId="60DFF640"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TUHF</w:t>
      </w:r>
      <w:r w:rsidRPr="00AC0789">
        <w:rPr>
          <w:rFonts w:ascii="Arial" w:eastAsia="Calibri" w:hAnsi="Arial" w:cs="Arial"/>
        </w:rPr>
        <w:tab/>
      </w:r>
      <w:r w:rsidRPr="00AC0789">
        <w:rPr>
          <w:rFonts w:ascii="Arial" w:eastAsia="Calibri" w:hAnsi="Arial" w:cs="Arial"/>
        </w:rPr>
        <w:tab/>
        <w:t>Trust for urban housing finance</w:t>
      </w:r>
      <w:r w:rsidRPr="00AC0789">
        <w:rPr>
          <w:rFonts w:ascii="Arial" w:eastAsia="Calibri" w:hAnsi="Arial" w:cs="Arial"/>
        </w:rPr>
        <w:tab/>
      </w:r>
    </w:p>
    <w:p w14:paraId="0AF6D709" w14:textId="77777777" w:rsidR="00CD6352" w:rsidRPr="00AC0789" w:rsidRDefault="00CD6352" w:rsidP="00CD6352">
      <w:pPr>
        <w:spacing w:line="360" w:lineRule="auto"/>
        <w:rPr>
          <w:rFonts w:ascii="Arial" w:eastAsia="Calibri" w:hAnsi="Arial" w:cs="Arial"/>
        </w:rPr>
      </w:pPr>
      <w:r w:rsidRPr="00AC0789">
        <w:rPr>
          <w:rFonts w:ascii="Arial" w:eastAsia="Calibri" w:hAnsi="Arial" w:cs="Arial"/>
        </w:rPr>
        <w:t>UK</w:t>
      </w:r>
      <w:r w:rsidRPr="00AC0789">
        <w:rPr>
          <w:rFonts w:ascii="Arial" w:eastAsia="Calibri" w:hAnsi="Arial" w:cs="Arial"/>
        </w:rPr>
        <w:tab/>
      </w:r>
      <w:r w:rsidRPr="00AC0789">
        <w:rPr>
          <w:rFonts w:ascii="Arial" w:eastAsia="Calibri" w:hAnsi="Arial" w:cs="Arial"/>
        </w:rPr>
        <w:tab/>
        <w:t>United Kingdom</w:t>
      </w:r>
    </w:p>
    <w:p w14:paraId="3AA42952" w14:textId="1723D400" w:rsidR="00CD6352" w:rsidRDefault="00CD6352" w:rsidP="00CD6352">
      <w:pPr>
        <w:spacing w:line="360" w:lineRule="auto"/>
        <w:rPr>
          <w:rFonts w:ascii="Arial" w:eastAsia="Calibri" w:hAnsi="Arial" w:cs="Arial"/>
        </w:rPr>
      </w:pPr>
      <w:r w:rsidRPr="00AC0789">
        <w:rPr>
          <w:rFonts w:ascii="Arial" w:eastAsia="Calibri" w:hAnsi="Arial" w:cs="Arial"/>
        </w:rPr>
        <w:t>US</w:t>
      </w:r>
      <w:r w:rsidRPr="00AC0789">
        <w:rPr>
          <w:rFonts w:ascii="Arial" w:eastAsia="Calibri" w:hAnsi="Arial" w:cs="Arial"/>
        </w:rPr>
        <w:tab/>
      </w:r>
      <w:r w:rsidRPr="00AC0789">
        <w:rPr>
          <w:rFonts w:ascii="Arial" w:eastAsia="Calibri" w:hAnsi="Arial" w:cs="Arial"/>
        </w:rPr>
        <w:tab/>
        <w:t>United States of America</w:t>
      </w:r>
    </w:p>
    <w:p w14:paraId="5488BB72" w14:textId="32C1467F" w:rsidR="00112DA4" w:rsidRDefault="00112DA4" w:rsidP="00CD6352">
      <w:pPr>
        <w:spacing w:line="360" w:lineRule="auto"/>
        <w:rPr>
          <w:rFonts w:ascii="Arial" w:eastAsia="Calibri" w:hAnsi="Arial" w:cs="Arial"/>
        </w:rPr>
      </w:pPr>
    </w:p>
    <w:p w14:paraId="3BBA51C6" w14:textId="222C1A29" w:rsidR="00BB1394" w:rsidRDefault="00BB1394" w:rsidP="00CD6352">
      <w:pPr>
        <w:spacing w:line="360" w:lineRule="auto"/>
        <w:rPr>
          <w:rFonts w:ascii="Arial" w:eastAsia="Calibri" w:hAnsi="Arial" w:cs="Arial"/>
        </w:rPr>
      </w:pPr>
    </w:p>
    <w:p w14:paraId="10F44DD2" w14:textId="075A2A3D" w:rsidR="00F34740" w:rsidRDefault="00F34740" w:rsidP="00CD6352">
      <w:pPr>
        <w:spacing w:line="360" w:lineRule="auto"/>
        <w:rPr>
          <w:rFonts w:ascii="Arial" w:eastAsia="Calibri" w:hAnsi="Arial" w:cs="Arial"/>
        </w:rPr>
      </w:pPr>
    </w:p>
    <w:p w14:paraId="29131B70" w14:textId="5D1050C8" w:rsidR="00F34740" w:rsidRDefault="00F34740" w:rsidP="00CD6352">
      <w:pPr>
        <w:spacing w:line="360" w:lineRule="auto"/>
        <w:rPr>
          <w:rFonts w:ascii="Arial" w:eastAsia="Calibri" w:hAnsi="Arial" w:cs="Arial"/>
        </w:rPr>
      </w:pPr>
    </w:p>
    <w:p w14:paraId="55F7F23B" w14:textId="241498A7" w:rsidR="00F34740" w:rsidRDefault="00F34740" w:rsidP="00CD6352">
      <w:pPr>
        <w:spacing w:line="360" w:lineRule="auto"/>
        <w:rPr>
          <w:rFonts w:ascii="Arial" w:eastAsia="Calibri" w:hAnsi="Arial" w:cs="Arial"/>
        </w:rPr>
      </w:pPr>
    </w:p>
    <w:p w14:paraId="453102A1" w14:textId="043EAAAA" w:rsidR="00F34740" w:rsidRDefault="00F34740" w:rsidP="00CD6352">
      <w:pPr>
        <w:spacing w:line="360" w:lineRule="auto"/>
        <w:rPr>
          <w:rFonts w:ascii="Arial" w:eastAsia="Calibri" w:hAnsi="Arial" w:cs="Arial"/>
        </w:rPr>
      </w:pPr>
    </w:p>
    <w:p w14:paraId="7325FCDE" w14:textId="1362CAEF" w:rsidR="00F34740" w:rsidRDefault="00F34740" w:rsidP="00CD6352">
      <w:pPr>
        <w:spacing w:line="360" w:lineRule="auto"/>
        <w:rPr>
          <w:rFonts w:ascii="Arial" w:eastAsia="Calibri" w:hAnsi="Arial" w:cs="Arial"/>
        </w:rPr>
      </w:pPr>
    </w:p>
    <w:p w14:paraId="500FF715" w14:textId="0F86CCAE" w:rsidR="00F34740" w:rsidRDefault="00F34740" w:rsidP="00CD6352">
      <w:pPr>
        <w:spacing w:line="360" w:lineRule="auto"/>
        <w:rPr>
          <w:rFonts w:ascii="Arial" w:eastAsia="Calibri" w:hAnsi="Arial" w:cs="Arial"/>
        </w:rPr>
      </w:pPr>
    </w:p>
    <w:p w14:paraId="4166DFD7" w14:textId="22A61087" w:rsidR="00F34740" w:rsidRDefault="00F34740" w:rsidP="00CD6352">
      <w:pPr>
        <w:spacing w:line="360" w:lineRule="auto"/>
        <w:rPr>
          <w:rFonts w:ascii="Arial" w:eastAsia="Calibri" w:hAnsi="Arial" w:cs="Arial"/>
        </w:rPr>
      </w:pPr>
    </w:p>
    <w:p w14:paraId="57D4C137" w14:textId="18054156" w:rsidR="00F34740" w:rsidRDefault="00F34740" w:rsidP="00CD6352">
      <w:pPr>
        <w:spacing w:line="360" w:lineRule="auto"/>
        <w:rPr>
          <w:rFonts w:ascii="Arial" w:eastAsia="Calibri" w:hAnsi="Arial" w:cs="Arial"/>
        </w:rPr>
      </w:pPr>
    </w:p>
    <w:p w14:paraId="1CA8385E" w14:textId="7C87237E" w:rsidR="00F34740" w:rsidRDefault="00F34740" w:rsidP="00CD6352">
      <w:pPr>
        <w:spacing w:line="360" w:lineRule="auto"/>
        <w:rPr>
          <w:rFonts w:ascii="Arial" w:eastAsia="Calibri" w:hAnsi="Arial" w:cs="Arial"/>
        </w:rPr>
      </w:pPr>
    </w:p>
    <w:p w14:paraId="6769A590" w14:textId="77777777" w:rsidR="00F34740" w:rsidRDefault="00F34740" w:rsidP="00CD6352">
      <w:pPr>
        <w:spacing w:line="360" w:lineRule="auto"/>
        <w:rPr>
          <w:rFonts w:ascii="Arial" w:eastAsia="Calibri" w:hAnsi="Arial" w:cs="Arial"/>
        </w:rPr>
      </w:pPr>
    </w:p>
    <w:p w14:paraId="2C48D78A" w14:textId="77777777" w:rsidR="00BB1394" w:rsidRDefault="00BB1394" w:rsidP="00CD6352">
      <w:pPr>
        <w:spacing w:line="360" w:lineRule="auto"/>
        <w:rPr>
          <w:rFonts w:ascii="Arial" w:eastAsia="Calibri" w:hAnsi="Arial" w:cs="Arial"/>
        </w:rPr>
      </w:pPr>
    </w:p>
    <w:p w14:paraId="62026057" w14:textId="77777777" w:rsidR="00CD6352" w:rsidRDefault="00CD6352" w:rsidP="00CD6352">
      <w:pPr>
        <w:spacing w:line="360" w:lineRule="auto"/>
        <w:jc w:val="center"/>
        <w:rPr>
          <w:rFonts w:ascii="Arial" w:hAnsi="Arial" w:cs="Arial"/>
          <w:b/>
        </w:rPr>
      </w:pPr>
      <w:r w:rsidRPr="00EA7665">
        <w:rPr>
          <w:rFonts w:ascii="Arial" w:hAnsi="Arial" w:cs="Arial"/>
          <w:b/>
        </w:rPr>
        <w:lastRenderedPageBreak/>
        <w:t xml:space="preserve">A list of definitions </w:t>
      </w:r>
    </w:p>
    <w:tbl>
      <w:tblPr>
        <w:tblStyle w:val="TableGrid"/>
        <w:tblW w:w="0" w:type="auto"/>
        <w:tblLook w:val="04A0" w:firstRow="1" w:lastRow="0" w:firstColumn="1" w:lastColumn="0" w:noHBand="0" w:noVBand="1"/>
      </w:tblPr>
      <w:tblGrid>
        <w:gridCol w:w="1838"/>
        <w:gridCol w:w="7178"/>
      </w:tblGrid>
      <w:tr w:rsidR="00CD6352" w:rsidRPr="00E15B7F" w14:paraId="4BA428FC" w14:textId="77777777" w:rsidTr="00CD6352">
        <w:tc>
          <w:tcPr>
            <w:tcW w:w="1838" w:type="dxa"/>
          </w:tcPr>
          <w:p w14:paraId="1036D847"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 xml:space="preserve">Words </w:t>
            </w:r>
          </w:p>
        </w:tc>
        <w:tc>
          <w:tcPr>
            <w:tcW w:w="7178" w:type="dxa"/>
          </w:tcPr>
          <w:p w14:paraId="2313DA23"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 xml:space="preserve">Definition </w:t>
            </w:r>
          </w:p>
        </w:tc>
      </w:tr>
      <w:tr w:rsidR="00CD6352" w:rsidRPr="00E15B7F" w14:paraId="4ABE4943" w14:textId="77777777" w:rsidTr="00CD6352">
        <w:tc>
          <w:tcPr>
            <w:tcW w:w="1838" w:type="dxa"/>
          </w:tcPr>
          <w:p w14:paraId="73C53531"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Toolkit</w:t>
            </w:r>
          </w:p>
          <w:p w14:paraId="6F969D59" w14:textId="77777777" w:rsidR="00CD6352" w:rsidRPr="007625E7" w:rsidRDefault="00CD6352" w:rsidP="00CD6352">
            <w:pPr>
              <w:spacing w:line="360" w:lineRule="auto"/>
              <w:jc w:val="center"/>
              <w:rPr>
                <w:rFonts w:ascii="Arial" w:hAnsi="Arial" w:cs="Arial"/>
                <w:sz w:val="16"/>
                <w:szCs w:val="16"/>
              </w:rPr>
            </w:pPr>
          </w:p>
        </w:tc>
        <w:tc>
          <w:tcPr>
            <w:tcW w:w="7178" w:type="dxa"/>
          </w:tcPr>
          <w:p w14:paraId="001F459D" w14:textId="77777777" w:rsidR="00CD6352" w:rsidRPr="007625E7" w:rsidRDefault="00CD6352" w:rsidP="00CD6352">
            <w:pPr>
              <w:spacing w:line="360" w:lineRule="auto"/>
              <w:rPr>
                <w:rFonts w:ascii="Arial" w:hAnsi="Arial" w:cs="Arial"/>
                <w:b/>
                <w:sz w:val="16"/>
                <w:szCs w:val="16"/>
              </w:rPr>
            </w:pPr>
            <w:r w:rsidRPr="007625E7">
              <w:rPr>
                <w:rFonts w:ascii="Arial" w:hAnsi="Arial" w:cs="Arial"/>
                <w:sz w:val="16"/>
                <w:szCs w:val="16"/>
              </w:rPr>
              <w:t>A toolkit for securing finance is a set of reliable and adaptable resources that could act as a guide for the managers involved with securing finance for real estate project development</w:t>
            </w:r>
          </w:p>
        </w:tc>
      </w:tr>
      <w:tr w:rsidR="00CD6352" w:rsidRPr="00E15B7F" w14:paraId="1DE7E320" w14:textId="77777777" w:rsidTr="00CD6352">
        <w:tc>
          <w:tcPr>
            <w:tcW w:w="1838" w:type="dxa"/>
          </w:tcPr>
          <w:p w14:paraId="010D7626"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Managers</w:t>
            </w:r>
          </w:p>
          <w:p w14:paraId="7C7A3364" w14:textId="77777777" w:rsidR="00CD6352" w:rsidRPr="007625E7" w:rsidRDefault="00CD6352" w:rsidP="00CD6352">
            <w:pPr>
              <w:spacing w:line="360" w:lineRule="auto"/>
              <w:jc w:val="center"/>
              <w:rPr>
                <w:rFonts w:ascii="Arial" w:hAnsi="Arial" w:cs="Arial"/>
                <w:sz w:val="16"/>
                <w:szCs w:val="16"/>
              </w:rPr>
            </w:pPr>
          </w:p>
        </w:tc>
        <w:tc>
          <w:tcPr>
            <w:tcW w:w="7178" w:type="dxa"/>
          </w:tcPr>
          <w:p w14:paraId="77128E3E" w14:textId="77777777" w:rsidR="00CD6352" w:rsidRPr="007625E7" w:rsidRDefault="00CD6352" w:rsidP="00CD6352">
            <w:pPr>
              <w:spacing w:line="360" w:lineRule="auto"/>
              <w:rPr>
                <w:rFonts w:ascii="Arial" w:hAnsi="Arial" w:cs="Arial"/>
                <w:b/>
                <w:sz w:val="16"/>
                <w:szCs w:val="16"/>
              </w:rPr>
            </w:pPr>
            <w:r w:rsidRPr="007625E7">
              <w:rPr>
                <w:rFonts w:ascii="Arial" w:hAnsi="Arial" w:cs="Arial"/>
                <w:sz w:val="16"/>
                <w:szCs w:val="16"/>
              </w:rPr>
              <w:t>The managers in this context are strategic, tactical and lower-level managers. A manager is someone who achieves results through others.</w:t>
            </w:r>
          </w:p>
        </w:tc>
      </w:tr>
      <w:tr w:rsidR="00CD6352" w:rsidRPr="00E15B7F" w14:paraId="11B4D890" w14:textId="77777777" w:rsidTr="007625E7">
        <w:trPr>
          <w:trHeight w:val="521"/>
        </w:trPr>
        <w:tc>
          <w:tcPr>
            <w:tcW w:w="1838" w:type="dxa"/>
          </w:tcPr>
          <w:p w14:paraId="64010D2D"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Skills</w:t>
            </w:r>
          </w:p>
          <w:p w14:paraId="17636D4A" w14:textId="77777777" w:rsidR="00CD6352" w:rsidRPr="007625E7" w:rsidRDefault="00CD6352" w:rsidP="00CD6352">
            <w:pPr>
              <w:spacing w:line="360" w:lineRule="auto"/>
              <w:jc w:val="center"/>
              <w:rPr>
                <w:rFonts w:ascii="Arial" w:hAnsi="Arial" w:cs="Arial"/>
                <w:sz w:val="16"/>
                <w:szCs w:val="16"/>
              </w:rPr>
            </w:pPr>
          </w:p>
        </w:tc>
        <w:tc>
          <w:tcPr>
            <w:tcW w:w="7178" w:type="dxa"/>
          </w:tcPr>
          <w:p w14:paraId="5C645F9C" w14:textId="40A549A6" w:rsidR="00CD6352" w:rsidRPr="007625E7" w:rsidRDefault="00CD6352" w:rsidP="00CD6352">
            <w:pPr>
              <w:spacing w:line="360" w:lineRule="auto"/>
              <w:rPr>
                <w:rFonts w:ascii="Arial" w:hAnsi="Arial" w:cs="Arial"/>
                <w:b/>
                <w:sz w:val="16"/>
                <w:szCs w:val="16"/>
              </w:rPr>
            </w:pPr>
            <w:r w:rsidRPr="007625E7">
              <w:rPr>
                <w:rFonts w:ascii="Arial" w:eastAsia="Times New Roman" w:hAnsi="Arial" w:cs="Arial"/>
                <w:color w:val="000000"/>
                <w:sz w:val="16"/>
                <w:szCs w:val="16"/>
              </w:rPr>
              <w:t xml:space="preserve">Skill is the ability to perform </w:t>
            </w:r>
            <w:r w:rsidR="00E70A9C" w:rsidRPr="007625E7">
              <w:rPr>
                <w:rFonts w:ascii="Arial" w:eastAsia="Times New Roman" w:hAnsi="Arial" w:cs="Arial"/>
                <w:color w:val="000000"/>
                <w:sz w:val="16"/>
                <w:szCs w:val="16"/>
              </w:rPr>
              <w:t>a</w:t>
            </w:r>
            <w:r w:rsidRPr="007625E7">
              <w:rPr>
                <w:rFonts w:ascii="Arial" w:eastAsia="Times New Roman" w:hAnsi="Arial" w:cs="Arial"/>
                <w:color w:val="000000"/>
                <w:sz w:val="16"/>
                <w:szCs w:val="16"/>
              </w:rPr>
              <w:t xml:space="preserve"> physical or mental task. It is the application of knowledge.</w:t>
            </w:r>
          </w:p>
        </w:tc>
      </w:tr>
      <w:tr w:rsidR="00CD6352" w:rsidRPr="00E15B7F" w14:paraId="5FD26FDA" w14:textId="77777777" w:rsidTr="00CD6352">
        <w:tc>
          <w:tcPr>
            <w:tcW w:w="1838" w:type="dxa"/>
          </w:tcPr>
          <w:p w14:paraId="61E4CD93"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Knowledge</w:t>
            </w:r>
          </w:p>
          <w:p w14:paraId="21AF6243" w14:textId="77777777" w:rsidR="00CD6352" w:rsidRPr="007625E7" w:rsidRDefault="00CD6352" w:rsidP="00CD6352">
            <w:pPr>
              <w:spacing w:line="360" w:lineRule="auto"/>
              <w:jc w:val="center"/>
              <w:rPr>
                <w:rFonts w:ascii="Arial" w:hAnsi="Arial" w:cs="Arial"/>
                <w:sz w:val="16"/>
                <w:szCs w:val="16"/>
              </w:rPr>
            </w:pPr>
          </w:p>
        </w:tc>
        <w:tc>
          <w:tcPr>
            <w:tcW w:w="7178" w:type="dxa"/>
          </w:tcPr>
          <w:p w14:paraId="6059605B" w14:textId="77777777" w:rsidR="00CD6352" w:rsidRPr="007625E7" w:rsidRDefault="00CD6352" w:rsidP="00CD6352">
            <w:pPr>
              <w:spacing w:line="360" w:lineRule="auto"/>
              <w:rPr>
                <w:rFonts w:ascii="Arial" w:hAnsi="Arial" w:cs="Arial"/>
                <w:b/>
                <w:sz w:val="16"/>
                <w:szCs w:val="16"/>
              </w:rPr>
            </w:pPr>
            <w:r w:rsidRPr="007625E7">
              <w:rPr>
                <w:rFonts w:ascii="Arial" w:hAnsi="Arial" w:cs="Arial"/>
                <w:color w:val="000000"/>
                <w:sz w:val="16"/>
                <w:szCs w:val="16"/>
              </w:rPr>
              <w:t>Knowledge is the collection of information and experience that the manager in the real estate development sector possesses.</w:t>
            </w:r>
          </w:p>
        </w:tc>
      </w:tr>
      <w:tr w:rsidR="00CD6352" w:rsidRPr="00E15B7F" w14:paraId="2B2788D4" w14:textId="77777777" w:rsidTr="00CD6352">
        <w:tc>
          <w:tcPr>
            <w:tcW w:w="1838" w:type="dxa"/>
          </w:tcPr>
          <w:p w14:paraId="2719F482"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Competences</w:t>
            </w:r>
          </w:p>
          <w:p w14:paraId="29C5F1CD" w14:textId="77777777" w:rsidR="00CD6352" w:rsidRPr="007625E7" w:rsidRDefault="00CD6352" w:rsidP="00CD6352">
            <w:pPr>
              <w:spacing w:line="360" w:lineRule="auto"/>
              <w:jc w:val="center"/>
              <w:rPr>
                <w:rFonts w:ascii="Arial" w:hAnsi="Arial" w:cs="Arial"/>
                <w:sz w:val="16"/>
                <w:szCs w:val="16"/>
              </w:rPr>
            </w:pPr>
          </w:p>
        </w:tc>
        <w:tc>
          <w:tcPr>
            <w:tcW w:w="7178" w:type="dxa"/>
          </w:tcPr>
          <w:p w14:paraId="29D9FF65" w14:textId="77777777" w:rsidR="00CD6352" w:rsidRPr="007625E7" w:rsidRDefault="00CD6352" w:rsidP="00CD6352">
            <w:pPr>
              <w:spacing w:line="360" w:lineRule="auto"/>
              <w:rPr>
                <w:rFonts w:ascii="Arial" w:hAnsi="Arial" w:cs="Arial"/>
                <w:b/>
                <w:sz w:val="16"/>
                <w:szCs w:val="16"/>
              </w:rPr>
            </w:pPr>
            <w:r w:rsidRPr="007625E7">
              <w:rPr>
                <w:rFonts w:ascii="Arial" w:hAnsi="Arial" w:cs="Arial"/>
                <w:sz w:val="16"/>
                <w:szCs w:val="16"/>
              </w:rPr>
              <w:t>Competence is the ability of the professional to exercise their skills fairly and ethically. Competence enables skilled personnel to be termed a professional, and it depicts superior work performance.</w:t>
            </w:r>
          </w:p>
        </w:tc>
      </w:tr>
      <w:tr w:rsidR="00CD6352" w:rsidRPr="00E15B7F" w14:paraId="697E5BEC" w14:textId="77777777" w:rsidTr="00CD6352">
        <w:tc>
          <w:tcPr>
            <w:tcW w:w="1838" w:type="dxa"/>
          </w:tcPr>
          <w:p w14:paraId="26B8FD44"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Career path</w:t>
            </w:r>
          </w:p>
          <w:p w14:paraId="21D8E1C9" w14:textId="77777777" w:rsidR="00CD6352" w:rsidRPr="007625E7" w:rsidRDefault="00CD6352" w:rsidP="00CD6352">
            <w:pPr>
              <w:spacing w:line="360" w:lineRule="auto"/>
              <w:rPr>
                <w:rFonts w:ascii="Arial" w:hAnsi="Arial" w:cs="Arial"/>
                <w:sz w:val="16"/>
                <w:szCs w:val="16"/>
              </w:rPr>
            </w:pPr>
          </w:p>
        </w:tc>
        <w:tc>
          <w:tcPr>
            <w:tcW w:w="7178" w:type="dxa"/>
          </w:tcPr>
          <w:p w14:paraId="185AABD2" w14:textId="53670515" w:rsidR="00CD6352" w:rsidRPr="007625E7" w:rsidRDefault="00CD6352" w:rsidP="00CD6352">
            <w:pPr>
              <w:spacing w:line="360" w:lineRule="auto"/>
              <w:rPr>
                <w:rFonts w:ascii="Arial" w:hAnsi="Arial" w:cs="Arial"/>
                <w:b/>
                <w:sz w:val="16"/>
                <w:szCs w:val="16"/>
              </w:rPr>
            </w:pPr>
            <w:r w:rsidRPr="007625E7">
              <w:rPr>
                <w:rFonts w:ascii="Arial" w:eastAsia="Calibri" w:hAnsi="Arial" w:cs="Arial"/>
                <w:sz w:val="16"/>
                <w:szCs w:val="16"/>
              </w:rPr>
              <w:t xml:space="preserve">A career path is an individual’s path from </w:t>
            </w:r>
            <w:r w:rsidR="00E70A9C" w:rsidRPr="007625E7">
              <w:rPr>
                <w:rFonts w:ascii="Arial" w:eastAsia="Calibri" w:hAnsi="Arial" w:cs="Arial"/>
                <w:sz w:val="16"/>
                <w:szCs w:val="16"/>
              </w:rPr>
              <w:t xml:space="preserve">a </w:t>
            </w:r>
            <w:r w:rsidRPr="007625E7">
              <w:rPr>
                <w:rFonts w:ascii="Arial" w:eastAsia="Calibri" w:hAnsi="Arial" w:cs="Arial"/>
                <w:sz w:val="16"/>
                <w:szCs w:val="16"/>
              </w:rPr>
              <w:t xml:space="preserve">basic degree through different stages; further education, different jobs, and organisation to </w:t>
            </w:r>
            <w:r w:rsidR="00E70A9C" w:rsidRPr="007625E7">
              <w:rPr>
                <w:rFonts w:ascii="Arial" w:eastAsia="Calibri" w:hAnsi="Arial" w:cs="Arial"/>
                <w:sz w:val="16"/>
                <w:szCs w:val="16"/>
              </w:rPr>
              <w:t xml:space="preserve">the </w:t>
            </w:r>
            <w:r w:rsidRPr="007625E7">
              <w:rPr>
                <w:rFonts w:ascii="Arial" w:eastAsia="Calibri" w:hAnsi="Arial" w:cs="Arial"/>
                <w:sz w:val="16"/>
                <w:szCs w:val="16"/>
              </w:rPr>
              <w:t>current circumstance.</w:t>
            </w:r>
          </w:p>
        </w:tc>
      </w:tr>
      <w:tr w:rsidR="00CD6352" w:rsidRPr="00E15B7F" w14:paraId="18E4DC37" w14:textId="77777777" w:rsidTr="00CD6352">
        <w:tc>
          <w:tcPr>
            <w:tcW w:w="1838" w:type="dxa"/>
          </w:tcPr>
          <w:p w14:paraId="2F995543"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Education</w:t>
            </w:r>
          </w:p>
          <w:p w14:paraId="2868ADBA" w14:textId="77777777" w:rsidR="00CD6352" w:rsidRPr="007625E7" w:rsidRDefault="00CD6352" w:rsidP="00CD6352">
            <w:pPr>
              <w:spacing w:line="360" w:lineRule="auto"/>
              <w:rPr>
                <w:rFonts w:ascii="Arial" w:hAnsi="Arial" w:cs="Arial"/>
                <w:sz w:val="16"/>
                <w:szCs w:val="16"/>
              </w:rPr>
            </w:pPr>
          </w:p>
        </w:tc>
        <w:tc>
          <w:tcPr>
            <w:tcW w:w="7178" w:type="dxa"/>
          </w:tcPr>
          <w:p w14:paraId="52DD8FDC" w14:textId="2EB1550B" w:rsidR="00CD6352" w:rsidRPr="007625E7" w:rsidRDefault="00CD6352" w:rsidP="00CD6352">
            <w:pPr>
              <w:spacing w:line="360" w:lineRule="auto"/>
              <w:rPr>
                <w:rFonts w:ascii="Arial" w:hAnsi="Arial" w:cs="Arial"/>
                <w:b/>
                <w:sz w:val="16"/>
                <w:szCs w:val="16"/>
              </w:rPr>
            </w:pPr>
            <w:r w:rsidRPr="007625E7">
              <w:rPr>
                <w:rFonts w:ascii="Arial" w:hAnsi="Arial" w:cs="Arial"/>
                <w:sz w:val="16"/>
                <w:szCs w:val="16"/>
              </w:rPr>
              <w:t xml:space="preserve">Education is the learning process whereby </w:t>
            </w:r>
            <w:r w:rsidR="00EB7D5D">
              <w:rPr>
                <w:rFonts w:ascii="Arial" w:hAnsi="Arial" w:cs="Arial"/>
                <w:sz w:val="16"/>
                <w:szCs w:val="16"/>
              </w:rPr>
              <w:t>an individual's skills and knowledge for particular work are acquired and developed</w:t>
            </w:r>
            <w:r w:rsidRPr="007625E7">
              <w:rPr>
                <w:rFonts w:ascii="Arial" w:hAnsi="Arial" w:cs="Arial"/>
                <w:sz w:val="16"/>
                <w:szCs w:val="16"/>
              </w:rPr>
              <w:t xml:space="preserve"> to </w:t>
            </w:r>
            <w:r w:rsidR="00882023" w:rsidRPr="007625E7">
              <w:rPr>
                <w:rFonts w:ascii="Arial" w:hAnsi="Arial" w:cs="Arial"/>
                <w:sz w:val="16"/>
                <w:szCs w:val="16"/>
              </w:rPr>
              <w:t>help them execute</w:t>
            </w:r>
            <w:r w:rsidRPr="007625E7">
              <w:rPr>
                <w:rFonts w:ascii="Arial" w:hAnsi="Arial" w:cs="Arial"/>
                <w:sz w:val="16"/>
                <w:szCs w:val="16"/>
              </w:rPr>
              <w:t xml:space="preserve"> their jobs. This learning process results in formal qualification and includes professional qualification by examination</w:t>
            </w:r>
          </w:p>
        </w:tc>
      </w:tr>
      <w:tr w:rsidR="00CD6352" w:rsidRPr="00E15B7F" w14:paraId="2E371F40" w14:textId="77777777" w:rsidTr="00CD6352">
        <w:tc>
          <w:tcPr>
            <w:tcW w:w="1838" w:type="dxa"/>
          </w:tcPr>
          <w:p w14:paraId="1EE0F609"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Training</w:t>
            </w:r>
          </w:p>
          <w:p w14:paraId="374B78C2" w14:textId="77777777" w:rsidR="00CD6352" w:rsidRPr="007625E7" w:rsidRDefault="00CD6352" w:rsidP="00CD6352">
            <w:pPr>
              <w:spacing w:line="360" w:lineRule="auto"/>
              <w:rPr>
                <w:rFonts w:ascii="Arial" w:hAnsi="Arial" w:cs="Arial"/>
                <w:sz w:val="16"/>
                <w:szCs w:val="16"/>
              </w:rPr>
            </w:pPr>
          </w:p>
        </w:tc>
        <w:tc>
          <w:tcPr>
            <w:tcW w:w="7178" w:type="dxa"/>
          </w:tcPr>
          <w:p w14:paraId="5ACAB964" w14:textId="5C6C9F9E" w:rsidR="00CD6352" w:rsidRPr="007625E7" w:rsidRDefault="00CD6352" w:rsidP="007625E7">
            <w:pPr>
              <w:spacing w:line="360" w:lineRule="auto"/>
              <w:jc w:val="both"/>
              <w:rPr>
                <w:rFonts w:ascii="Arial" w:hAnsi="Arial" w:cs="Arial"/>
                <w:b/>
                <w:sz w:val="16"/>
                <w:szCs w:val="16"/>
              </w:rPr>
            </w:pPr>
            <w:r w:rsidRPr="007625E7">
              <w:rPr>
                <w:rFonts w:ascii="Arial" w:hAnsi="Arial" w:cs="Arial"/>
                <w:sz w:val="16"/>
                <w:szCs w:val="16"/>
              </w:rPr>
              <w:t xml:space="preserve">Training is a process where specific skills/knowledge </w:t>
            </w:r>
            <w:r w:rsidR="00882023" w:rsidRPr="007625E7">
              <w:rPr>
                <w:rFonts w:ascii="Arial" w:hAnsi="Arial" w:cs="Arial"/>
                <w:sz w:val="16"/>
                <w:szCs w:val="16"/>
              </w:rPr>
              <w:t>necessary to carry out a job dimension or set of job dimensions are</w:t>
            </w:r>
            <w:r w:rsidRPr="007625E7">
              <w:rPr>
                <w:rFonts w:ascii="Arial" w:hAnsi="Arial" w:cs="Arial"/>
                <w:sz w:val="16"/>
                <w:szCs w:val="16"/>
              </w:rPr>
              <w:t xml:space="preserve"> acquired and developed. The learning process may be formal or informal, may not lead to qualifications and may be obtained during the working career of a manager.</w:t>
            </w:r>
          </w:p>
        </w:tc>
      </w:tr>
      <w:tr w:rsidR="00CD6352" w:rsidRPr="00E15B7F" w14:paraId="6A4F01C7" w14:textId="77777777" w:rsidTr="00CD6352">
        <w:tc>
          <w:tcPr>
            <w:tcW w:w="1838" w:type="dxa"/>
          </w:tcPr>
          <w:p w14:paraId="13B69FA3" w14:textId="77777777" w:rsidR="00CD6352" w:rsidRPr="007625E7" w:rsidRDefault="00CD6352" w:rsidP="00CD6352">
            <w:pPr>
              <w:spacing w:line="360" w:lineRule="auto"/>
              <w:rPr>
                <w:rFonts w:ascii="Arial" w:hAnsi="Arial" w:cs="Arial"/>
                <w:sz w:val="16"/>
                <w:szCs w:val="16"/>
              </w:rPr>
            </w:pPr>
            <w:r w:rsidRPr="007625E7">
              <w:rPr>
                <w:rFonts w:ascii="Arial" w:hAnsi="Arial" w:cs="Arial"/>
                <w:sz w:val="16"/>
                <w:szCs w:val="16"/>
              </w:rPr>
              <w:t xml:space="preserve">Off takers </w:t>
            </w:r>
          </w:p>
        </w:tc>
        <w:tc>
          <w:tcPr>
            <w:tcW w:w="7178" w:type="dxa"/>
          </w:tcPr>
          <w:p w14:paraId="6016EB55" w14:textId="201A3326" w:rsidR="00CD6352" w:rsidRPr="007625E7" w:rsidRDefault="00CD6352" w:rsidP="00CD6352">
            <w:pPr>
              <w:spacing w:line="360" w:lineRule="auto"/>
              <w:rPr>
                <w:rFonts w:ascii="Arial" w:hAnsi="Arial" w:cs="Arial"/>
                <w:bCs/>
                <w:sz w:val="16"/>
                <w:szCs w:val="16"/>
              </w:rPr>
            </w:pPr>
            <w:r w:rsidRPr="007625E7">
              <w:rPr>
                <w:rFonts w:ascii="Arial" w:hAnsi="Arial" w:cs="Arial"/>
                <w:bCs/>
                <w:sz w:val="16"/>
                <w:szCs w:val="16"/>
              </w:rPr>
              <w:t>An off</w:t>
            </w:r>
            <w:r w:rsidR="00E70A9C" w:rsidRPr="007625E7">
              <w:rPr>
                <w:rFonts w:ascii="Arial" w:hAnsi="Arial" w:cs="Arial"/>
                <w:bCs/>
                <w:sz w:val="16"/>
                <w:szCs w:val="16"/>
              </w:rPr>
              <w:t>-</w:t>
            </w:r>
            <w:r w:rsidRPr="007625E7">
              <w:rPr>
                <w:rFonts w:ascii="Arial" w:hAnsi="Arial" w:cs="Arial"/>
                <w:bCs/>
                <w:sz w:val="16"/>
                <w:szCs w:val="16"/>
              </w:rPr>
              <w:t>taker is a person who buys the property / real estate being developed. An off</w:t>
            </w:r>
            <w:r w:rsidR="00E70A9C" w:rsidRPr="007625E7">
              <w:rPr>
                <w:rFonts w:ascii="Arial" w:hAnsi="Arial" w:cs="Arial"/>
                <w:bCs/>
                <w:sz w:val="16"/>
                <w:szCs w:val="16"/>
              </w:rPr>
              <w:t>-</w:t>
            </w:r>
            <w:r w:rsidRPr="007625E7">
              <w:rPr>
                <w:rFonts w:ascii="Arial" w:hAnsi="Arial" w:cs="Arial"/>
                <w:bCs/>
                <w:sz w:val="16"/>
                <w:szCs w:val="16"/>
              </w:rPr>
              <w:t xml:space="preserve">taker’s rights and obligations </w:t>
            </w:r>
            <w:r w:rsidR="00E70A9C" w:rsidRPr="007625E7">
              <w:rPr>
                <w:rFonts w:ascii="Arial" w:hAnsi="Arial" w:cs="Arial"/>
                <w:bCs/>
                <w:sz w:val="16"/>
                <w:szCs w:val="16"/>
              </w:rPr>
              <w:t>are</w:t>
            </w:r>
            <w:r w:rsidRPr="007625E7">
              <w:rPr>
                <w:rFonts w:ascii="Arial" w:hAnsi="Arial" w:cs="Arial"/>
                <w:bCs/>
                <w:sz w:val="16"/>
                <w:szCs w:val="16"/>
              </w:rPr>
              <w:t xml:space="preserve"> usually contained in an off</w:t>
            </w:r>
            <w:r w:rsidR="00A56AA6">
              <w:rPr>
                <w:rFonts w:ascii="Arial" w:hAnsi="Arial" w:cs="Arial"/>
                <w:bCs/>
                <w:sz w:val="16"/>
                <w:szCs w:val="16"/>
              </w:rPr>
              <w:t>-</w:t>
            </w:r>
            <w:r w:rsidRPr="007625E7">
              <w:rPr>
                <w:rFonts w:ascii="Arial" w:hAnsi="Arial" w:cs="Arial"/>
                <w:bCs/>
                <w:sz w:val="16"/>
                <w:szCs w:val="16"/>
              </w:rPr>
              <w:t>take agreement.</w:t>
            </w:r>
          </w:p>
        </w:tc>
      </w:tr>
    </w:tbl>
    <w:p w14:paraId="740430B1" w14:textId="3F3B99DE" w:rsidR="00CD6352" w:rsidRDefault="00CD6352" w:rsidP="00CD6352">
      <w:pPr>
        <w:spacing w:line="360" w:lineRule="auto"/>
        <w:jc w:val="center"/>
        <w:rPr>
          <w:rFonts w:ascii="Arial" w:hAnsi="Arial" w:cs="Arial"/>
          <w:b/>
        </w:rPr>
      </w:pPr>
    </w:p>
    <w:p w14:paraId="6C8ABBBA" w14:textId="5B016AD7" w:rsidR="00112DA4" w:rsidRDefault="00112DA4" w:rsidP="00CD6352">
      <w:pPr>
        <w:spacing w:line="360" w:lineRule="auto"/>
        <w:jc w:val="center"/>
        <w:rPr>
          <w:rFonts w:ascii="Arial" w:hAnsi="Arial" w:cs="Arial"/>
          <w:b/>
        </w:rPr>
      </w:pPr>
    </w:p>
    <w:p w14:paraId="606C98AA" w14:textId="41299470" w:rsidR="00F34740" w:rsidRDefault="00F34740" w:rsidP="00CD6352">
      <w:pPr>
        <w:spacing w:line="360" w:lineRule="auto"/>
        <w:jc w:val="center"/>
        <w:rPr>
          <w:rFonts w:ascii="Arial" w:hAnsi="Arial" w:cs="Arial"/>
          <w:b/>
        </w:rPr>
      </w:pPr>
    </w:p>
    <w:p w14:paraId="73306EFE" w14:textId="241EEC1A" w:rsidR="00F34740" w:rsidRDefault="00F34740" w:rsidP="00CD6352">
      <w:pPr>
        <w:spacing w:line="360" w:lineRule="auto"/>
        <w:jc w:val="center"/>
        <w:rPr>
          <w:rFonts w:ascii="Arial" w:hAnsi="Arial" w:cs="Arial"/>
          <w:b/>
        </w:rPr>
      </w:pPr>
    </w:p>
    <w:p w14:paraId="51547597" w14:textId="302FFB05" w:rsidR="00F34740" w:rsidRDefault="00F34740" w:rsidP="00CD6352">
      <w:pPr>
        <w:spacing w:line="360" w:lineRule="auto"/>
        <w:jc w:val="center"/>
        <w:rPr>
          <w:rFonts w:ascii="Arial" w:hAnsi="Arial" w:cs="Arial"/>
          <w:b/>
        </w:rPr>
      </w:pPr>
    </w:p>
    <w:p w14:paraId="3BBDCE80" w14:textId="7BA7DC9D" w:rsidR="00F34740" w:rsidRDefault="00F34740" w:rsidP="00CD6352">
      <w:pPr>
        <w:spacing w:line="360" w:lineRule="auto"/>
        <w:jc w:val="center"/>
        <w:rPr>
          <w:rFonts w:ascii="Arial" w:hAnsi="Arial" w:cs="Arial"/>
          <w:b/>
        </w:rPr>
      </w:pPr>
    </w:p>
    <w:p w14:paraId="71C76440" w14:textId="095DD6C7" w:rsidR="00F34740" w:rsidRDefault="00F34740" w:rsidP="00CD6352">
      <w:pPr>
        <w:spacing w:line="360" w:lineRule="auto"/>
        <w:jc w:val="center"/>
        <w:rPr>
          <w:rFonts w:ascii="Arial" w:hAnsi="Arial" w:cs="Arial"/>
          <w:b/>
        </w:rPr>
      </w:pPr>
    </w:p>
    <w:p w14:paraId="70053694" w14:textId="130BC501" w:rsidR="00F34740" w:rsidRDefault="00F34740" w:rsidP="00CD6352">
      <w:pPr>
        <w:spacing w:line="360" w:lineRule="auto"/>
        <w:jc w:val="center"/>
        <w:rPr>
          <w:rFonts w:ascii="Arial" w:hAnsi="Arial" w:cs="Arial"/>
          <w:b/>
        </w:rPr>
      </w:pPr>
    </w:p>
    <w:p w14:paraId="459166F1" w14:textId="76271280" w:rsidR="00F34740" w:rsidRDefault="00F34740" w:rsidP="00CD6352">
      <w:pPr>
        <w:spacing w:line="360" w:lineRule="auto"/>
        <w:jc w:val="center"/>
        <w:rPr>
          <w:rFonts w:ascii="Arial" w:hAnsi="Arial" w:cs="Arial"/>
          <w:b/>
        </w:rPr>
      </w:pPr>
    </w:p>
    <w:p w14:paraId="53FDA85E" w14:textId="4530FF55" w:rsidR="00F34740" w:rsidRDefault="00F34740" w:rsidP="00CD6352">
      <w:pPr>
        <w:spacing w:line="360" w:lineRule="auto"/>
        <w:jc w:val="center"/>
        <w:rPr>
          <w:rFonts w:ascii="Arial" w:hAnsi="Arial" w:cs="Arial"/>
          <w:b/>
        </w:rPr>
      </w:pPr>
    </w:p>
    <w:p w14:paraId="03C029E9" w14:textId="77777777" w:rsidR="00F34740" w:rsidRDefault="00F34740" w:rsidP="00CD6352">
      <w:pPr>
        <w:spacing w:line="360" w:lineRule="auto"/>
        <w:jc w:val="center"/>
        <w:rPr>
          <w:rFonts w:ascii="Arial" w:hAnsi="Arial" w:cs="Arial"/>
          <w:b/>
        </w:rPr>
      </w:pPr>
    </w:p>
    <w:p w14:paraId="64D57811" w14:textId="77777777" w:rsidR="00CD6352" w:rsidRPr="00EA7665" w:rsidRDefault="00CD6352" w:rsidP="00CD6352">
      <w:pPr>
        <w:spacing w:line="360" w:lineRule="auto"/>
        <w:jc w:val="center"/>
        <w:rPr>
          <w:rFonts w:ascii="Arial" w:hAnsi="Arial" w:cs="Arial"/>
          <w:b/>
        </w:rPr>
      </w:pPr>
      <w:r w:rsidRPr="00EA7665">
        <w:rPr>
          <w:rFonts w:ascii="Arial" w:hAnsi="Arial" w:cs="Arial"/>
          <w:b/>
        </w:rPr>
        <w:lastRenderedPageBreak/>
        <w:t>List of appendices</w:t>
      </w:r>
    </w:p>
    <w:p w14:paraId="6C6C007C" w14:textId="77777777" w:rsidR="00CD6352" w:rsidRPr="00EA7665" w:rsidRDefault="00CD6352" w:rsidP="00CD6352">
      <w:pPr>
        <w:spacing w:line="360" w:lineRule="auto"/>
        <w:jc w:val="both"/>
        <w:rPr>
          <w:rFonts w:ascii="Arial" w:hAnsi="Arial" w:cs="Arial"/>
        </w:rPr>
      </w:pPr>
      <w:r w:rsidRPr="00EA7665">
        <w:rPr>
          <w:rFonts w:ascii="Arial" w:hAnsi="Arial" w:cs="Arial"/>
        </w:rPr>
        <w:t>Appendix 1</w:t>
      </w:r>
      <w:r w:rsidRPr="00EA7665">
        <w:rPr>
          <w:rFonts w:ascii="Arial" w:hAnsi="Arial" w:cs="Arial"/>
        </w:rPr>
        <w:tab/>
        <w:t>Copy of online questionnaire (main study)</w:t>
      </w:r>
    </w:p>
    <w:p w14:paraId="065B8CDC" w14:textId="77777777" w:rsidR="00CD6352" w:rsidRPr="00EA7665" w:rsidRDefault="00CD6352" w:rsidP="00CD6352">
      <w:pPr>
        <w:spacing w:line="360" w:lineRule="auto"/>
        <w:jc w:val="both"/>
        <w:rPr>
          <w:rFonts w:ascii="Arial" w:hAnsi="Arial" w:cs="Arial"/>
        </w:rPr>
      </w:pPr>
      <w:r w:rsidRPr="00EA7665">
        <w:rPr>
          <w:rFonts w:ascii="Arial" w:hAnsi="Arial" w:cs="Arial"/>
        </w:rPr>
        <w:t>Appendix 2</w:t>
      </w:r>
      <w:r w:rsidRPr="00EA7665">
        <w:rPr>
          <w:rFonts w:ascii="Arial" w:hAnsi="Arial" w:cs="Arial"/>
        </w:rPr>
        <w:tab/>
        <w:t xml:space="preserve"> Semi-structured interview questions (main study)</w:t>
      </w:r>
    </w:p>
    <w:p w14:paraId="0137987C" w14:textId="77777777" w:rsidR="00CD6352" w:rsidRPr="00EA7665" w:rsidRDefault="00CD6352" w:rsidP="00CD6352">
      <w:pPr>
        <w:spacing w:line="360" w:lineRule="auto"/>
        <w:jc w:val="both"/>
        <w:rPr>
          <w:rFonts w:ascii="Arial" w:hAnsi="Arial" w:cs="Arial"/>
        </w:rPr>
      </w:pPr>
      <w:r w:rsidRPr="00EA7665">
        <w:rPr>
          <w:rFonts w:ascii="Arial" w:hAnsi="Arial" w:cs="Arial"/>
        </w:rPr>
        <w:t>Appendix 3</w:t>
      </w:r>
      <w:r w:rsidRPr="00EA7665">
        <w:rPr>
          <w:rFonts w:ascii="Arial" w:hAnsi="Arial" w:cs="Arial"/>
        </w:rPr>
        <w:tab/>
        <w:t xml:space="preserve">Research participant consent form </w:t>
      </w:r>
    </w:p>
    <w:p w14:paraId="4CE1883D" w14:textId="4E34516E" w:rsidR="00CD6352" w:rsidRPr="00EA7665" w:rsidRDefault="00CD6352" w:rsidP="00CD6352">
      <w:pPr>
        <w:spacing w:line="360" w:lineRule="auto"/>
        <w:ind w:left="1440" w:hanging="1440"/>
        <w:jc w:val="both"/>
        <w:rPr>
          <w:rFonts w:ascii="Arial" w:hAnsi="Arial" w:cs="Arial"/>
        </w:rPr>
      </w:pPr>
      <w:r w:rsidRPr="00EA7665">
        <w:rPr>
          <w:rFonts w:ascii="Arial" w:hAnsi="Arial" w:cs="Arial"/>
        </w:rPr>
        <w:t>Appendix 4</w:t>
      </w:r>
      <w:r w:rsidRPr="00EA7665">
        <w:rPr>
          <w:rFonts w:ascii="Arial" w:hAnsi="Arial" w:cs="Arial"/>
        </w:rPr>
        <w:tab/>
        <w:t>The following publications by the researcher:</w:t>
      </w:r>
    </w:p>
    <w:p w14:paraId="03347909" w14:textId="77777777" w:rsidR="00CD6352" w:rsidRPr="00EA7665" w:rsidRDefault="00CD6352" w:rsidP="00404FF4">
      <w:pPr>
        <w:spacing w:line="360" w:lineRule="auto"/>
        <w:jc w:val="both"/>
        <w:rPr>
          <w:rFonts w:ascii="Arial" w:hAnsi="Arial" w:cs="Arial"/>
        </w:rPr>
      </w:pPr>
      <w:r w:rsidRPr="00EA7665">
        <w:rPr>
          <w:rFonts w:ascii="Arial" w:hAnsi="Arial" w:cs="Arial"/>
        </w:rPr>
        <w:t>Ogbenjuwa, L., and Egbu, C. (2017) Creative and Innovative Financing, An approach to financing a sustainable real estate environment. In: P.G Aouad, A., Al-hajj &amp; C. Egbu (Eds). Sustainable futures proceedings of the international conference on sustainable futures- ICSF 2017, The Grove Hotel, Amwaj Island, Kingdom of Bahrain; 26 -27 November 2017, pp. 545 – 555</w:t>
      </w:r>
    </w:p>
    <w:p w14:paraId="0F140A4A" w14:textId="77777777" w:rsidR="00CD6352" w:rsidRPr="00EA7665" w:rsidRDefault="00CD6352" w:rsidP="00404FF4">
      <w:pPr>
        <w:spacing w:line="360" w:lineRule="auto"/>
        <w:jc w:val="both"/>
        <w:rPr>
          <w:rFonts w:ascii="Arial" w:hAnsi="Arial" w:cs="Arial"/>
        </w:rPr>
      </w:pPr>
      <w:r w:rsidRPr="00EA7665">
        <w:rPr>
          <w:rFonts w:ascii="Arial" w:hAnsi="Arial" w:cs="Arial"/>
        </w:rPr>
        <w:t>Ogbenjuwa, L., Egbu, C., &amp; Robinson, H. (2018). A strategic approach to real estate financing: challenges &amp; opportunities in real estate financing in Nigeria. In RICS COBRA 2018. London: RICS.  Available at https://www.rics.org/es/news-insight/research/conference-papers/a-strategic-approach-to-real-estate-financing-opportunities-in-nigeria/</w:t>
      </w:r>
    </w:p>
    <w:p w14:paraId="0EDB7F52" w14:textId="77777777" w:rsidR="00CD6352" w:rsidRPr="00EA7665" w:rsidRDefault="00CD6352" w:rsidP="00404FF4">
      <w:pPr>
        <w:spacing w:line="360" w:lineRule="auto"/>
        <w:jc w:val="both"/>
        <w:rPr>
          <w:rFonts w:ascii="Arial" w:hAnsi="Arial" w:cs="Arial"/>
        </w:rPr>
      </w:pPr>
      <w:r w:rsidRPr="00EA7665">
        <w:rPr>
          <w:rFonts w:ascii="Arial" w:hAnsi="Arial" w:cs="Arial"/>
        </w:rPr>
        <w:t>Ogbenjuwa, L., Egbu,  C., and Robinson, H. (2018). A skilled manager, strategic to real estate financing. International Journal of Real Estate and Land Planning, 1(March), pp.106–115.  Available at: http://ejournals.lib.auth.gr/reland/article/view/6463</w:t>
      </w:r>
    </w:p>
    <w:p w14:paraId="15B02D61" w14:textId="77777777" w:rsidR="00CD6352" w:rsidRPr="00EA7665" w:rsidRDefault="00CD6352" w:rsidP="00404FF4">
      <w:pPr>
        <w:spacing w:line="360" w:lineRule="auto"/>
        <w:jc w:val="both"/>
        <w:rPr>
          <w:rFonts w:ascii="Arial" w:hAnsi="Arial" w:cs="Arial"/>
        </w:rPr>
      </w:pPr>
      <w:r w:rsidRPr="00EA7665">
        <w:rPr>
          <w:rFonts w:ascii="Arial" w:hAnsi="Arial" w:cs="Arial"/>
        </w:rPr>
        <w:t>Ogbenjuwa, L., Egbu,  C., and Robinson, H. (2018).Shortages of skills and competences: constraint to private sector real estate funding in the emerging economies. In ARCOM Conference, Belfast UK 3rd – 5th September, (2018, pp. 390 – 399. Available at: http://www.arcom.ac.uk/-docs/archive/2018-Working-Papers.pdf</w:t>
      </w:r>
    </w:p>
    <w:p w14:paraId="22C9ABBF" w14:textId="77777777" w:rsidR="00CD6352" w:rsidRPr="00EA7665" w:rsidRDefault="00CD6352" w:rsidP="00404FF4">
      <w:pPr>
        <w:spacing w:line="360" w:lineRule="auto"/>
        <w:jc w:val="both"/>
        <w:rPr>
          <w:rFonts w:ascii="Arial" w:hAnsi="Arial" w:cs="Arial"/>
        </w:rPr>
      </w:pPr>
      <w:r w:rsidRPr="00EA7665">
        <w:rPr>
          <w:rFonts w:ascii="Arial" w:hAnsi="Arial" w:cs="Arial"/>
        </w:rPr>
        <w:t>Ogbenjuwa, L., Egbu,  C., and Robinson, H. (2018). The real estate manager: towards a financial knowledge and skills framework for professional development. In proc. of the international conference on professionalism and ethics in construction, London, UK, 21st-22rd November 2018, pp. 363 -372. Available at: http://www.lsbu.ac.uk/__data/assets/pdf_file/0014/136022/final-international-conference-on-professionalism-and-ethics-in-construc....pdf</w:t>
      </w:r>
    </w:p>
    <w:p w14:paraId="448D3BCA" w14:textId="7E1494CD" w:rsidR="00CD6352" w:rsidRDefault="00CD6352" w:rsidP="00CD6352">
      <w:pPr>
        <w:spacing w:line="360" w:lineRule="auto"/>
        <w:jc w:val="both"/>
        <w:rPr>
          <w:rFonts w:ascii="Arial" w:hAnsi="Arial" w:cs="Arial"/>
        </w:rPr>
      </w:pPr>
    </w:p>
    <w:p w14:paraId="769D6F69" w14:textId="10C80190" w:rsidR="00F34740" w:rsidRDefault="00F34740" w:rsidP="00CD6352">
      <w:pPr>
        <w:spacing w:line="360" w:lineRule="auto"/>
        <w:jc w:val="both"/>
        <w:rPr>
          <w:rFonts w:ascii="Arial" w:hAnsi="Arial" w:cs="Arial"/>
        </w:rPr>
      </w:pPr>
    </w:p>
    <w:p w14:paraId="63F0B2DF" w14:textId="240B12BE" w:rsidR="00F34740" w:rsidRDefault="00F34740" w:rsidP="00CD6352">
      <w:pPr>
        <w:spacing w:line="360" w:lineRule="auto"/>
        <w:jc w:val="both"/>
        <w:rPr>
          <w:rFonts w:ascii="Arial" w:hAnsi="Arial" w:cs="Arial"/>
        </w:rPr>
      </w:pPr>
    </w:p>
    <w:p w14:paraId="57DAD4EB" w14:textId="012729AB" w:rsidR="00F34740" w:rsidRDefault="00F34740" w:rsidP="00CD6352">
      <w:pPr>
        <w:spacing w:line="360" w:lineRule="auto"/>
        <w:jc w:val="both"/>
        <w:rPr>
          <w:rFonts w:ascii="Arial" w:hAnsi="Arial" w:cs="Arial"/>
        </w:rPr>
      </w:pPr>
    </w:p>
    <w:p w14:paraId="567646FB" w14:textId="77777777" w:rsidR="00F34740" w:rsidRPr="00EA7665" w:rsidRDefault="00F34740" w:rsidP="00CD6352">
      <w:pPr>
        <w:spacing w:line="360" w:lineRule="auto"/>
        <w:jc w:val="both"/>
        <w:rPr>
          <w:rFonts w:ascii="Arial" w:hAnsi="Arial" w:cs="Arial"/>
        </w:rPr>
      </w:pPr>
    </w:p>
    <w:p w14:paraId="793B8095" w14:textId="77777777" w:rsidR="00CD6352" w:rsidRPr="00EA7665" w:rsidRDefault="00CD6352" w:rsidP="00CD6352">
      <w:pPr>
        <w:spacing w:line="360" w:lineRule="auto"/>
        <w:jc w:val="center"/>
        <w:rPr>
          <w:rFonts w:ascii="Arial" w:hAnsi="Arial" w:cs="Arial"/>
          <w:b/>
        </w:rPr>
      </w:pPr>
      <w:r w:rsidRPr="00EA7665">
        <w:rPr>
          <w:rFonts w:ascii="Arial" w:hAnsi="Arial" w:cs="Arial"/>
          <w:b/>
        </w:rPr>
        <w:lastRenderedPageBreak/>
        <w:t>Declaration</w:t>
      </w:r>
    </w:p>
    <w:p w14:paraId="7AC0C9EA" w14:textId="4824CB6B" w:rsidR="00CD6352" w:rsidRPr="00EA7665" w:rsidRDefault="00CD6352" w:rsidP="00CD6352">
      <w:pPr>
        <w:spacing w:line="360" w:lineRule="auto"/>
        <w:jc w:val="both"/>
        <w:rPr>
          <w:rFonts w:ascii="Arial" w:hAnsi="Arial" w:cs="Arial"/>
        </w:rPr>
      </w:pPr>
      <w:r w:rsidRPr="00EA7665">
        <w:rPr>
          <w:rFonts w:ascii="Arial" w:hAnsi="Arial" w:cs="Arial"/>
        </w:rPr>
        <w:t>The researcher declares that the work presented in the thesis</w:t>
      </w:r>
      <w:r w:rsidR="00B153AC">
        <w:rPr>
          <w:rFonts w:ascii="Arial" w:hAnsi="Arial" w:cs="Arial"/>
        </w:rPr>
        <w:t xml:space="preserve"> is original and her work to the best of her knowledge</w:t>
      </w:r>
      <w:r w:rsidRPr="00EA7665">
        <w:rPr>
          <w:rFonts w:ascii="Arial" w:hAnsi="Arial" w:cs="Arial"/>
        </w:rPr>
        <w:t>. Neither the thesis, as a whole or any portion of it</w:t>
      </w:r>
      <w:r w:rsidR="00B153AC">
        <w:rPr>
          <w:rFonts w:ascii="Arial" w:hAnsi="Arial" w:cs="Arial"/>
        </w:rPr>
        <w:t>,</w:t>
      </w:r>
      <w:r w:rsidRPr="00EA7665">
        <w:rPr>
          <w:rFonts w:ascii="Arial" w:hAnsi="Arial" w:cs="Arial"/>
        </w:rPr>
        <w:t xml:space="preserve"> was submitted for application for another academic degree or qualification in another university or institution of learning. Other sources of information used in the study have been well acknowledged and referenced. </w:t>
      </w:r>
    </w:p>
    <w:p w14:paraId="510F0487"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Parts of this study </w:t>
      </w:r>
      <w:r>
        <w:rPr>
          <w:rFonts w:ascii="Arial" w:hAnsi="Arial" w:cs="Arial"/>
        </w:rPr>
        <w:t>were</w:t>
      </w:r>
      <w:r w:rsidRPr="00EA7665">
        <w:rPr>
          <w:rFonts w:ascii="Arial" w:hAnsi="Arial" w:cs="Arial"/>
        </w:rPr>
        <w:t xml:space="preserve"> previously published as presented below in conferences, seminars, and posters and journal presentations. </w:t>
      </w:r>
    </w:p>
    <w:p w14:paraId="482D85E2" w14:textId="77777777" w:rsidR="00CD6352" w:rsidRPr="00EA7665" w:rsidRDefault="00CD6352" w:rsidP="00CD6352">
      <w:pPr>
        <w:spacing w:line="360" w:lineRule="auto"/>
        <w:jc w:val="both"/>
        <w:rPr>
          <w:rFonts w:ascii="Arial" w:hAnsi="Arial" w:cs="Arial"/>
        </w:rPr>
      </w:pPr>
      <w:r w:rsidRPr="00EA7665">
        <w:rPr>
          <w:rFonts w:ascii="Arial" w:hAnsi="Arial" w:cs="Arial"/>
        </w:rPr>
        <w:t>Ogbenjuwa, L., and Egbu, C. (2017) Creative and Innovative Financing, An approach to financing a sustainable real estate environment. In: P.G Aouad, A., Al-hajj &amp; C. Egbu (Eds). Sustainable futures proceedings of the international conference on sustainable futures- ICSF 2017, The Grove Hotel, Amwaj Island, Kingdom of Bahrain; 26 -27 November 2017, pp. 545 – 555</w:t>
      </w:r>
    </w:p>
    <w:p w14:paraId="15761CF3" w14:textId="77777777" w:rsidR="00CD6352" w:rsidRPr="00EA7665" w:rsidRDefault="00CD6352" w:rsidP="00CD6352">
      <w:pPr>
        <w:spacing w:line="360" w:lineRule="auto"/>
        <w:jc w:val="both"/>
        <w:rPr>
          <w:rFonts w:ascii="Arial" w:hAnsi="Arial" w:cs="Arial"/>
        </w:rPr>
      </w:pPr>
      <w:r w:rsidRPr="00EA7665">
        <w:rPr>
          <w:rFonts w:ascii="Arial" w:hAnsi="Arial" w:cs="Arial"/>
        </w:rPr>
        <w:t>Ogbenjuwa, L., Egbu, C., &amp; Robinson, H. (2018). A strategic approach to real estate financing: challenges &amp; opportunities in real estate financing in Nigeria. In RICS COBRA 2018. London: RICS.  Available at https://www.rics.org/es/news-insight/research/conference-papers/a-strategic-approach-to-real-estate-financing-opportunities-in-nigeria/</w:t>
      </w:r>
    </w:p>
    <w:p w14:paraId="6F4154B1" w14:textId="77777777" w:rsidR="00CD6352" w:rsidRPr="00EA7665" w:rsidRDefault="00CD6352" w:rsidP="00CD6352">
      <w:pPr>
        <w:spacing w:line="360" w:lineRule="auto"/>
        <w:jc w:val="both"/>
        <w:rPr>
          <w:rFonts w:ascii="Arial" w:hAnsi="Arial" w:cs="Arial"/>
        </w:rPr>
      </w:pPr>
      <w:r w:rsidRPr="00EA7665">
        <w:rPr>
          <w:rFonts w:ascii="Arial" w:hAnsi="Arial" w:cs="Arial"/>
        </w:rPr>
        <w:t>Ogbenjuwa, L., Egbu,  C., and Robinson, H. (2018). A skilled manager, strategic to real estate financing. International Journal of Real Estate and Land Planning, 1(March), pp.106–115.  Available at: http://ejournals.lib.auth.gr/reland/article/view/6463</w:t>
      </w:r>
    </w:p>
    <w:p w14:paraId="385AEFE8" w14:textId="77777777" w:rsidR="00CD6352" w:rsidRPr="00EA7665" w:rsidRDefault="00CD6352" w:rsidP="00CD6352">
      <w:pPr>
        <w:spacing w:line="360" w:lineRule="auto"/>
        <w:jc w:val="both"/>
        <w:rPr>
          <w:rFonts w:ascii="Arial" w:hAnsi="Arial" w:cs="Arial"/>
        </w:rPr>
      </w:pPr>
      <w:r w:rsidRPr="00EA7665">
        <w:rPr>
          <w:rFonts w:ascii="Arial" w:hAnsi="Arial" w:cs="Arial"/>
        </w:rPr>
        <w:t>Ogbenjuwa, L., Egbu, C., and Robinson, H. (2018).Shortages of skills and competences: constraint to private sector real estate funding in the emerging economies. In ARCOM Conference, Belfast UK 3rd – 5th September, (2018, pp. 390 – 399. Available at: http://www.arcom.ac.uk/-docs/archive/2018-Working-Papers.pdf</w:t>
      </w:r>
    </w:p>
    <w:p w14:paraId="13B25673" w14:textId="77777777" w:rsidR="00CD6352" w:rsidRPr="00EA7665" w:rsidRDefault="00CD6352" w:rsidP="00CD6352">
      <w:pPr>
        <w:spacing w:line="360" w:lineRule="auto"/>
        <w:jc w:val="both"/>
        <w:rPr>
          <w:rFonts w:ascii="Arial" w:hAnsi="Arial" w:cs="Arial"/>
        </w:rPr>
      </w:pPr>
      <w:r w:rsidRPr="00EA7665">
        <w:rPr>
          <w:rFonts w:ascii="Arial" w:hAnsi="Arial" w:cs="Arial"/>
        </w:rPr>
        <w:t>Ogbenjuwa, L., Egbu, C., and Robinson, H. (2018). The real estate manager: towards a financial knowledge and skills framework for professional development. In proc. of the international conference on professionalism and ethics in construction, London, UK, 21st-22rd November 2018, pp. 363 -372. Available at: http://www.lsbu.ac.uk/__data/assets/pdf_file/0014/136022/final-international-conference-on-professionalism-and-ethics-in-construc....pdf</w:t>
      </w:r>
    </w:p>
    <w:p w14:paraId="3BAB31F9" w14:textId="77777777" w:rsidR="00CD6352" w:rsidRPr="00EA7665" w:rsidRDefault="00CD6352" w:rsidP="00CD6352">
      <w:pPr>
        <w:spacing w:line="360" w:lineRule="auto"/>
        <w:jc w:val="both"/>
        <w:rPr>
          <w:rFonts w:ascii="Arial" w:hAnsi="Arial" w:cs="Arial"/>
        </w:rPr>
      </w:pPr>
    </w:p>
    <w:p w14:paraId="31A90024" w14:textId="40C2E677" w:rsidR="00CD6352" w:rsidRDefault="00CD6352" w:rsidP="00CD6352">
      <w:pPr>
        <w:spacing w:line="360" w:lineRule="auto"/>
        <w:jc w:val="both"/>
        <w:rPr>
          <w:rFonts w:ascii="Arial" w:hAnsi="Arial" w:cs="Arial"/>
        </w:rPr>
      </w:pPr>
    </w:p>
    <w:p w14:paraId="10102F5C" w14:textId="57F5A4E0" w:rsidR="00FE5BA6" w:rsidRDefault="00FE5BA6" w:rsidP="00CD6352">
      <w:pPr>
        <w:spacing w:line="360" w:lineRule="auto"/>
        <w:jc w:val="both"/>
        <w:rPr>
          <w:rFonts w:ascii="Arial" w:hAnsi="Arial" w:cs="Arial"/>
        </w:rPr>
      </w:pPr>
    </w:p>
    <w:p w14:paraId="387E6803" w14:textId="77777777" w:rsidR="00CD6352" w:rsidRPr="00F65BAC" w:rsidRDefault="00CD6352" w:rsidP="00CD6352">
      <w:pPr>
        <w:spacing w:line="360" w:lineRule="auto"/>
        <w:jc w:val="center"/>
        <w:rPr>
          <w:rFonts w:ascii="Arial" w:hAnsi="Arial" w:cs="Arial"/>
          <w:b/>
        </w:rPr>
      </w:pPr>
      <w:r w:rsidRPr="00F65BAC">
        <w:rPr>
          <w:rFonts w:ascii="Arial" w:hAnsi="Arial" w:cs="Arial"/>
          <w:b/>
        </w:rPr>
        <w:lastRenderedPageBreak/>
        <w:t>Abstract</w:t>
      </w:r>
    </w:p>
    <w:p w14:paraId="3103EF2D" w14:textId="54E6AF05" w:rsidR="008F5DCB" w:rsidRDefault="008F5DCB" w:rsidP="00CD6352">
      <w:pPr>
        <w:spacing w:line="360" w:lineRule="auto"/>
        <w:jc w:val="both"/>
        <w:rPr>
          <w:rFonts w:ascii="Arial" w:hAnsi="Arial" w:cs="Arial"/>
        </w:rPr>
      </w:pPr>
      <w:bookmarkStart w:id="0" w:name="_Hlk75531422"/>
      <w:r>
        <w:rPr>
          <w:rFonts w:ascii="Arial" w:hAnsi="Arial" w:cs="Arial"/>
        </w:rPr>
        <w:t xml:space="preserve">Finance is </w:t>
      </w:r>
      <w:r w:rsidR="008E6DD9">
        <w:rPr>
          <w:rFonts w:ascii="Arial" w:hAnsi="Arial" w:cs="Arial"/>
        </w:rPr>
        <w:t>essential</w:t>
      </w:r>
      <w:r>
        <w:rPr>
          <w:rFonts w:ascii="Arial" w:hAnsi="Arial" w:cs="Arial"/>
        </w:rPr>
        <w:t xml:space="preserve"> to the real estate project development sector’s success</w:t>
      </w:r>
      <w:r w:rsidR="00EE296A">
        <w:rPr>
          <w:rFonts w:ascii="Arial" w:hAnsi="Arial" w:cs="Arial"/>
        </w:rPr>
        <w:t>.</w:t>
      </w:r>
      <w:r>
        <w:rPr>
          <w:rFonts w:ascii="Arial" w:hAnsi="Arial" w:cs="Arial"/>
        </w:rPr>
        <w:t xml:space="preserve"> </w:t>
      </w:r>
      <w:r w:rsidR="000E5763" w:rsidRPr="000E5763">
        <w:rPr>
          <w:rFonts w:ascii="Arial" w:hAnsi="Arial" w:cs="Arial"/>
        </w:rPr>
        <w:t>However, there is still an enormous gap in the real estate sector</w:t>
      </w:r>
      <w:r w:rsidR="000E5763">
        <w:rPr>
          <w:rFonts w:ascii="Arial" w:hAnsi="Arial" w:cs="Arial"/>
        </w:rPr>
        <w:t xml:space="preserve">. What seems to be required is a </w:t>
      </w:r>
      <w:r w:rsidR="00E90FE2">
        <w:rPr>
          <w:rFonts w:ascii="Arial" w:hAnsi="Arial" w:cs="Arial"/>
        </w:rPr>
        <w:t>model</w:t>
      </w:r>
      <w:r w:rsidR="000E5763">
        <w:rPr>
          <w:rFonts w:ascii="Arial" w:hAnsi="Arial" w:cs="Arial"/>
        </w:rPr>
        <w:t xml:space="preserve"> that could </w:t>
      </w:r>
      <w:r w:rsidR="003644E0">
        <w:rPr>
          <w:rFonts w:ascii="Arial" w:hAnsi="Arial" w:cs="Arial"/>
        </w:rPr>
        <w:t>guide</w:t>
      </w:r>
      <w:r w:rsidR="000E5763">
        <w:rPr>
          <w:rFonts w:ascii="Arial" w:hAnsi="Arial" w:cs="Arial"/>
        </w:rPr>
        <w:t xml:space="preserve"> managers in securing </w:t>
      </w:r>
      <w:r w:rsidR="009F5840">
        <w:rPr>
          <w:rFonts w:ascii="Arial" w:hAnsi="Arial" w:cs="Arial"/>
        </w:rPr>
        <w:t>real estate project development finance</w:t>
      </w:r>
      <w:r w:rsidR="003644E0">
        <w:rPr>
          <w:rFonts w:ascii="Arial" w:hAnsi="Arial" w:cs="Arial"/>
        </w:rPr>
        <w:t xml:space="preserve">. </w:t>
      </w:r>
    </w:p>
    <w:p w14:paraId="729E0FD3" w14:textId="2B63028D" w:rsidR="00520A86" w:rsidRDefault="0051196F" w:rsidP="00C37E8B">
      <w:pPr>
        <w:spacing w:line="360" w:lineRule="auto"/>
        <w:jc w:val="both"/>
        <w:rPr>
          <w:rFonts w:ascii="Arial" w:hAnsi="Arial" w:cs="Arial"/>
        </w:rPr>
      </w:pPr>
      <w:bookmarkStart w:id="1" w:name="_Hlk77931135"/>
      <w:bookmarkEnd w:id="0"/>
      <w:r>
        <w:rPr>
          <w:rFonts w:ascii="Arial" w:hAnsi="Arial" w:cs="Arial"/>
        </w:rPr>
        <w:t>Findings have shown that no comprehensive framework is presently available that guides managers involved with securing finance for real estate project development</w:t>
      </w:r>
      <w:r w:rsidR="00CD6352" w:rsidRPr="00C37E8B">
        <w:rPr>
          <w:rFonts w:ascii="Arial" w:hAnsi="Arial" w:cs="Arial"/>
        </w:rPr>
        <w:t xml:space="preserve">. </w:t>
      </w:r>
      <w:bookmarkEnd w:id="1"/>
      <w:r w:rsidR="006E3B97" w:rsidRPr="006E3B97">
        <w:rPr>
          <w:rFonts w:ascii="Arial" w:hAnsi="Arial" w:cs="Arial"/>
        </w:rPr>
        <w:t>This study aims to develop a tool kit to support real estate managers in securing real estate project development finance.</w:t>
      </w:r>
    </w:p>
    <w:p w14:paraId="550776D8" w14:textId="0C6C0D7C" w:rsidR="00C37E8B" w:rsidRPr="007625E7" w:rsidRDefault="000B03D8" w:rsidP="00C37E8B">
      <w:pPr>
        <w:spacing w:line="360" w:lineRule="auto"/>
        <w:jc w:val="both"/>
        <w:rPr>
          <w:rFonts w:ascii="Arial" w:hAnsi="Arial" w:cs="Arial"/>
        </w:rPr>
      </w:pPr>
      <w:r w:rsidRPr="000B03D8">
        <w:rPr>
          <w:rFonts w:ascii="Arial" w:hAnsi="Arial" w:cs="Arial"/>
        </w:rPr>
        <w:t>This toolkit would enhance access to finance by ensuring that managers understand the different finance options and criteria required by the different fina</w:t>
      </w:r>
      <w:r w:rsidR="00D81416">
        <w:rPr>
          <w:rFonts w:ascii="Arial" w:hAnsi="Arial" w:cs="Arial"/>
        </w:rPr>
        <w:t>n</w:t>
      </w:r>
      <w:r w:rsidRPr="000B03D8">
        <w:rPr>
          <w:rFonts w:ascii="Arial" w:hAnsi="Arial" w:cs="Arial"/>
        </w:rPr>
        <w:t>ciers. The toolkit would provide a framework for environmental scan</w:t>
      </w:r>
      <w:r w:rsidR="00D81416">
        <w:rPr>
          <w:rFonts w:ascii="Arial" w:hAnsi="Arial" w:cs="Arial"/>
        </w:rPr>
        <w:t>, which would help minimise the challenges associated with securing real estate project development finance</w:t>
      </w:r>
      <w:r w:rsidRPr="000B03D8">
        <w:rPr>
          <w:rFonts w:ascii="Arial" w:hAnsi="Arial" w:cs="Arial"/>
        </w:rPr>
        <w:t>. It would also enable man</w:t>
      </w:r>
      <w:r w:rsidR="00D81416">
        <w:rPr>
          <w:rFonts w:ascii="Arial" w:hAnsi="Arial" w:cs="Arial"/>
        </w:rPr>
        <w:t>a</w:t>
      </w:r>
      <w:r w:rsidRPr="000B03D8">
        <w:rPr>
          <w:rFonts w:ascii="Arial" w:hAnsi="Arial" w:cs="Arial"/>
        </w:rPr>
        <w:t xml:space="preserve">gers to take advantage of available opportunities and understand the critical success factors to </w:t>
      </w:r>
      <w:r w:rsidR="00D81416">
        <w:rPr>
          <w:rFonts w:ascii="Arial" w:hAnsi="Arial" w:cs="Arial"/>
        </w:rPr>
        <w:t>facilitat</w:t>
      </w:r>
      <w:r w:rsidRPr="000B03D8">
        <w:rPr>
          <w:rFonts w:ascii="Arial" w:hAnsi="Arial" w:cs="Arial"/>
        </w:rPr>
        <w:t xml:space="preserve">e access to finance for project development. It would </w:t>
      </w:r>
      <w:r w:rsidR="00D81416">
        <w:rPr>
          <w:rFonts w:ascii="Arial" w:hAnsi="Arial" w:cs="Arial"/>
        </w:rPr>
        <w:t>allow</w:t>
      </w:r>
      <w:r w:rsidRPr="000B03D8">
        <w:rPr>
          <w:rFonts w:ascii="Arial" w:hAnsi="Arial" w:cs="Arial"/>
        </w:rPr>
        <w:t xml:space="preserve"> an understanding of the </w:t>
      </w:r>
      <w:r w:rsidR="00D81416">
        <w:rPr>
          <w:rFonts w:ascii="Arial" w:hAnsi="Arial" w:cs="Arial"/>
        </w:rPr>
        <w:t>vital</w:t>
      </w:r>
      <w:r w:rsidRPr="000B03D8">
        <w:rPr>
          <w:rFonts w:ascii="Arial" w:hAnsi="Arial" w:cs="Arial"/>
        </w:rPr>
        <w:t xml:space="preserve"> decisions and processes; the skills, knowledge, competences, career path, education and training to enable access to finance for real estate project development.</w:t>
      </w:r>
    </w:p>
    <w:p w14:paraId="2D2F8D53" w14:textId="3B7F02CE" w:rsidR="00CD6352" w:rsidRPr="00F65BAC" w:rsidRDefault="00CD6352" w:rsidP="00CD6352">
      <w:pPr>
        <w:spacing w:line="360" w:lineRule="auto"/>
        <w:jc w:val="both"/>
        <w:rPr>
          <w:rFonts w:ascii="Arial" w:hAnsi="Arial" w:cs="Arial"/>
        </w:rPr>
      </w:pPr>
      <w:r w:rsidRPr="00F65BAC">
        <w:rPr>
          <w:rFonts w:ascii="Arial" w:hAnsi="Arial" w:cs="Arial"/>
        </w:rPr>
        <w:t xml:space="preserve">This research adopted a pluralistic methodological approach </w:t>
      </w:r>
      <w:r w:rsidR="00D76D79" w:rsidRPr="00F65BAC">
        <w:rPr>
          <w:rFonts w:ascii="Arial" w:hAnsi="Arial" w:cs="Arial"/>
        </w:rPr>
        <w:t>by employing</w:t>
      </w:r>
      <w:r w:rsidRPr="00F65BAC">
        <w:rPr>
          <w:rFonts w:ascii="Arial" w:hAnsi="Arial" w:cs="Arial"/>
        </w:rPr>
        <w:t xml:space="preserve"> </w:t>
      </w:r>
      <w:r w:rsidR="009F38A2">
        <w:rPr>
          <w:rFonts w:ascii="Arial" w:hAnsi="Arial" w:cs="Arial"/>
        </w:rPr>
        <w:t>qualitative and quantitative research designs focused on a case study of three developed and emerging economies</w:t>
      </w:r>
      <w:r w:rsidR="005746F0">
        <w:rPr>
          <w:rFonts w:ascii="Arial" w:hAnsi="Arial" w:cs="Arial"/>
        </w:rPr>
        <w:t>,</w:t>
      </w:r>
      <w:r w:rsidR="00F93D37">
        <w:rPr>
          <w:rFonts w:ascii="Arial" w:hAnsi="Arial" w:cs="Arial"/>
        </w:rPr>
        <w:t xml:space="preserve"> respectively</w:t>
      </w:r>
      <w:r w:rsidRPr="00F65BAC">
        <w:rPr>
          <w:rFonts w:ascii="Arial" w:hAnsi="Arial" w:cs="Arial"/>
        </w:rPr>
        <w:t xml:space="preserve">. Using random sampling and snowballing, </w:t>
      </w:r>
      <w:r w:rsidR="00D81416">
        <w:rPr>
          <w:rFonts w:ascii="Arial" w:hAnsi="Arial" w:cs="Arial"/>
        </w:rPr>
        <w:t xml:space="preserve">an </w:t>
      </w:r>
      <w:r w:rsidRPr="00F65BAC">
        <w:rPr>
          <w:rFonts w:ascii="Arial" w:hAnsi="Arial" w:cs="Arial"/>
        </w:rPr>
        <w:t xml:space="preserve">online questionnaire survey was administered to real estate project development managers </w:t>
      </w:r>
      <w:r w:rsidR="004A50DA">
        <w:rPr>
          <w:rFonts w:ascii="Arial" w:hAnsi="Arial" w:cs="Arial"/>
        </w:rPr>
        <w:t>in developed and emerging economi</w:t>
      </w:r>
      <w:r w:rsidRPr="00F65BAC">
        <w:rPr>
          <w:rFonts w:ascii="Arial" w:hAnsi="Arial" w:cs="Arial"/>
        </w:rPr>
        <w:t>es</w:t>
      </w:r>
      <w:r w:rsidR="00D81416">
        <w:rPr>
          <w:rFonts w:ascii="Arial" w:hAnsi="Arial" w:cs="Arial"/>
        </w:rPr>
        <w:t>, including Germany, the United Kingdom,</w:t>
      </w:r>
      <w:r w:rsidRPr="00F65BAC">
        <w:rPr>
          <w:rFonts w:ascii="Arial" w:hAnsi="Arial" w:cs="Arial"/>
        </w:rPr>
        <w:t xml:space="preserve"> and the United States of America</w:t>
      </w:r>
      <w:r w:rsidR="00D81416">
        <w:rPr>
          <w:rFonts w:ascii="Arial" w:hAnsi="Arial" w:cs="Arial"/>
        </w:rPr>
        <w:t>,</w:t>
      </w:r>
      <w:r w:rsidR="004C6D96">
        <w:rPr>
          <w:rFonts w:ascii="Arial" w:hAnsi="Arial" w:cs="Arial"/>
        </w:rPr>
        <w:t xml:space="preserve"> </w:t>
      </w:r>
      <w:r w:rsidR="00A77638" w:rsidRPr="00F65BAC">
        <w:rPr>
          <w:rFonts w:ascii="Arial" w:hAnsi="Arial" w:cs="Arial"/>
        </w:rPr>
        <w:t>China</w:t>
      </w:r>
      <w:r w:rsidRPr="00F65BAC">
        <w:rPr>
          <w:rFonts w:ascii="Arial" w:hAnsi="Arial" w:cs="Arial"/>
        </w:rPr>
        <w:t>, Nigeria, and South Africa. Thematic analysis was used to analyse the qualitative data</w:t>
      </w:r>
      <w:r w:rsidR="004A50DA">
        <w:rPr>
          <w:rFonts w:ascii="Arial" w:hAnsi="Arial" w:cs="Arial"/>
        </w:rPr>
        <w:t>,</w:t>
      </w:r>
      <w:r w:rsidRPr="00F65BAC">
        <w:rPr>
          <w:rFonts w:ascii="Arial" w:hAnsi="Arial" w:cs="Arial"/>
        </w:rPr>
        <w:t xml:space="preserve"> while the online questionnaire survey</w:t>
      </w:r>
      <w:r w:rsidR="003A3A51">
        <w:rPr>
          <w:rFonts w:ascii="Arial" w:hAnsi="Arial" w:cs="Arial"/>
        </w:rPr>
        <w:t xml:space="preserve"> was analysed using </w:t>
      </w:r>
      <w:r w:rsidRPr="00F65BAC">
        <w:rPr>
          <w:rFonts w:ascii="Arial" w:hAnsi="Arial" w:cs="Arial"/>
        </w:rPr>
        <w:t xml:space="preserve">descriptive and inferential statistics. </w:t>
      </w:r>
    </w:p>
    <w:p w14:paraId="2234575E" w14:textId="74BC3310" w:rsidR="00CD6352" w:rsidRPr="00F65BAC" w:rsidRDefault="00CD6352" w:rsidP="00CD6352">
      <w:pPr>
        <w:spacing w:line="360" w:lineRule="auto"/>
        <w:jc w:val="both"/>
        <w:rPr>
          <w:rFonts w:ascii="Arial" w:hAnsi="Arial" w:cs="Arial"/>
        </w:rPr>
      </w:pPr>
      <w:r w:rsidRPr="00F65BAC">
        <w:rPr>
          <w:rFonts w:ascii="Arial" w:hAnsi="Arial" w:cs="Arial"/>
        </w:rPr>
        <w:t xml:space="preserve">The research revealed various challenges </w:t>
      </w:r>
      <w:r w:rsidR="007D269C">
        <w:rPr>
          <w:rFonts w:ascii="Arial" w:hAnsi="Arial" w:cs="Arial"/>
        </w:rPr>
        <w:t xml:space="preserve">are </w:t>
      </w:r>
      <w:r w:rsidRPr="00F65BAC">
        <w:rPr>
          <w:rFonts w:ascii="Arial" w:hAnsi="Arial" w:cs="Arial"/>
        </w:rPr>
        <w:t>associated with securing finance for real estate project development in both developed and emerging economies</w:t>
      </w:r>
      <w:r w:rsidR="007D269C">
        <w:rPr>
          <w:rFonts w:ascii="Arial" w:hAnsi="Arial" w:cs="Arial"/>
        </w:rPr>
        <w:t>;</w:t>
      </w:r>
      <w:r w:rsidRPr="00F65BAC">
        <w:rPr>
          <w:rFonts w:ascii="Arial" w:hAnsi="Arial" w:cs="Arial"/>
        </w:rPr>
        <w:t xml:space="preserve"> however</w:t>
      </w:r>
      <w:r w:rsidR="009D7C93">
        <w:rPr>
          <w:rFonts w:ascii="Arial" w:hAnsi="Arial" w:cs="Arial"/>
        </w:rPr>
        <w:t>,</w:t>
      </w:r>
      <w:r w:rsidRPr="00F65BAC">
        <w:rPr>
          <w:rFonts w:ascii="Arial" w:hAnsi="Arial" w:cs="Arial"/>
        </w:rPr>
        <w:t xml:space="preserve"> the dominant challenges common to managers in both economies are access to land, </w:t>
      </w:r>
      <w:r w:rsidR="0080197E" w:rsidRPr="00F65BAC">
        <w:rPr>
          <w:rFonts w:ascii="Arial" w:hAnsi="Arial" w:cs="Arial"/>
        </w:rPr>
        <w:t>collateral,</w:t>
      </w:r>
      <w:r w:rsidRPr="00F65BAC">
        <w:rPr>
          <w:rFonts w:ascii="Arial" w:hAnsi="Arial" w:cs="Arial"/>
        </w:rPr>
        <w:t xml:space="preserve"> and rising interest rates. </w:t>
      </w:r>
    </w:p>
    <w:p w14:paraId="06CCFDA5" w14:textId="4CAB226D" w:rsidR="00CD6352" w:rsidRDefault="00CD6352" w:rsidP="000B76A6">
      <w:pPr>
        <w:spacing w:line="360" w:lineRule="auto"/>
        <w:jc w:val="both"/>
        <w:rPr>
          <w:rFonts w:ascii="Arial" w:hAnsi="Arial" w:cs="Arial"/>
        </w:rPr>
      </w:pPr>
      <w:r w:rsidRPr="00F65BAC">
        <w:rPr>
          <w:rFonts w:ascii="Arial" w:eastAsia="Calibri" w:hAnsi="Arial" w:cs="Arial"/>
          <w:lang w:val="en-US"/>
        </w:rPr>
        <w:t xml:space="preserve">This study developed a toolkit for securing finance for real estate project development. The </w:t>
      </w:r>
      <w:r w:rsidRPr="00244575">
        <w:rPr>
          <w:rFonts w:ascii="Arial" w:eastAsia="Calibri" w:hAnsi="Arial" w:cs="Arial"/>
          <w:lang w:val="en-US"/>
        </w:rPr>
        <w:t>toolkit is to</w:t>
      </w:r>
      <w:r w:rsidR="009F38A2" w:rsidRPr="00244575">
        <w:rPr>
          <w:rFonts w:ascii="Arial" w:eastAsia="Calibri" w:hAnsi="Arial" w:cs="Arial"/>
          <w:lang w:val="en-US"/>
        </w:rPr>
        <w:t xml:space="preserve"> </w:t>
      </w:r>
      <w:r w:rsidRPr="00244575">
        <w:rPr>
          <w:rFonts w:ascii="Arial" w:eastAsia="Calibri" w:hAnsi="Arial" w:cs="Arial"/>
          <w:lang w:val="en-US"/>
        </w:rPr>
        <w:t>support real estate manager</w:t>
      </w:r>
      <w:r w:rsidR="00D81416">
        <w:rPr>
          <w:rFonts w:ascii="Arial" w:eastAsia="Calibri" w:hAnsi="Arial" w:cs="Arial"/>
          <w:lang w:val="en-US"/>
        </w:rPr>
        <w:t>s</w:t>
      </w:r>
      <w:r w:rsidRPr="00244575">
        <w:rPr>
          <w:rFonts w:ascii="Arial" w:eastAsia="Calibri" w:hAnsi="Arial" w:cs="Arial"/>
          <w:lang w:val="en-US"/>
        </w:rPr>
        <w:t xml:space="preserve"> in </w:t>
      </w:r>
      <w:r w:rsidR="005B5275" w:rsidRPr="00244575">
        <w:rPr>
          <w:rFonts w:ascii="Arial" w:eastAsia="Calibri" w:hAnsi="Arial" w:cs="Arial"/>
          <w:lang w:val="en-US"/>
        </w:rPr>
        <w:t>securing finance for real estate project development and serv</w:t>
      </w:r>
      <w:r w:rsidR="00AC459E" w:rsidRPr="00244575">
        <w:rPr>
          <w:rFonts w:ascii="Arial" w:eastAsia="Calibri" w:hAnsi="Arial" w:cs="Arial"/>
          <w:lang w:val="en-US"/>
        </w:rPr>
        <w:t>e</w:t>
      </w:r>
      <w:r w:rsidRPr="00244575">
        <w:rPr>
          <w:rFonts w:ascii="Arial" w:eastAsia="Calibri" w:hAnsi="Arial" w:cs="Arial"/>
          <w:lang w:val="en-US"/>
        </w:rPr>
        <w:t xml:space="preserve"> as a guide </w:t>
      </w:r>
      <w:r w:rsidR="00950082">
        <w:rPr>
          <w:rFonts w:ascii="Arial" w:eastAsia="Calibri" w:hAnsi="Arial" w:cs="Arial"/>
          <w:lang w:val="en-US"/>
        </w:rPr>
        <w:t>in</w:t>
      </w:r>
      <w:r w:rsidRPr="00244575">
        <w:rPr>
          <w:rFonts w:ascii="Arial" w:eastAsia="Calibri" w:hAnsi="Arial" w:cs="Arial"/>
          <w:lang w:val="en-US"/>
        </w:rPr>
        <w:t xml:space="preserve"> training and education for both academia and the industry.</w:t>
      </w:r>
      <w:r w:rsidRPr="00F65BAC">
        <w:rPr>
          <w:rFonts w:ascii="Arial" w:hAnsi="Arial" w:cs="Arial"/>
        </w:rPr>
        <w:t xml:space="preserve"> </w:t>
      </w:r>
    </w:p>
    <w:p w14:paraId="012B523A" w14:textId="0181A06E" w:rsidR="00CD6352" w:rsidRDefault="00CD6352" w:rsidP="00CD6352">
      <w:pPr>
        <w:spacing w:after="200" w:line="360" w:lineRule="auto"/>
        <w:jc w:val="both"/>
        <w:rPr>
          <w:rFonts w:ascii="Arial" w:hAnsi="Arial" w:cs="Arial"/>
          <w:lang w:val="en-US"/>
        </w:rPr>
      </w:pPr>
    </w:p>
    <w:p w14:paraId="64F44086" w14:textId="095C471A" w:rsidR="00BB1394" w:rsidRDefault="00BB1394" w:rsidP="00CD6352">
      <w:pPr>
        <w:spacing w:after="200" w:line="360" w:lineRule="auto"/>
        <w:jc w:val="both"/>
        <w:rPr>
          <w:rFonts w:ascii="Arial" w:hAnsi="Arial" w:cs="Arial"/>
          <w:lang w:val="en-US"/>
        </w:rPr>
      </w:pPr>
    </w:p>
    <w:p w14:paraId="1BEF045C" w14:textId="77777777" w:rsidR="00CD6352" w:rsidRPr="00F65BAC" w:rsidRDefault="00CD6352" w:rsidP="00CD6352">
      <w:pPr>
        <w:pStyle w:val="Heading1"/>
        <w:spacing w:before="0" w:line="360" w:lineRule="auto"/>
        <w:jc w:val="both"/>
        <w:rPr>
          <w:rFonts w:cs="Arial"/>
          <w:sz w:val="22"/>
          <w:szCs w:val="22"/>
        </w:rPr>
      </w:pPr>
      <w:bookmarkStart w:id="2" w:name="_Toc77939188"/>
      <w:bookmarkStart w:id="3" w:name="_Toc77948982"/>
      <w:bookmarkStart w:id="4" w:name="_Toc77939189"/>
      <w:bookmarkStart w:id="5" w:name="_Toc77948983"/>
      <w:bookmarkStart w:id="6" w:name="_Toc77939190"/>
      <w:bookmarkStart w:id="7" w:name="_Toc77948984"/>
      <w:bookmarkStart w:id="8" w:name="_Toc77939191"/>
      <w:bookmarkStart w:id="9" w:name="_Toc77948985"/>
      <w:bookmarkStart w:id="10" w:name="_Toc78983762"/>
      <w:bookmarkEnd w:id="2"/>
      <w:bookmarkEnd w:id="3"/>
      <w:bookmarkEnd w:id="4"/>
      <w:bookmarkEnd w:id="5"/>
      <w:bookmarkEnd w:id="6"/>
      <w:bookmarkEnd w:id="7"/>
      <w:bookmarkEnd w:id="8"/>
      <w:bookmarkEnd w:id="9"/>
      <w:r w:rsidRPr="00F65BAC">
        <w:rPr>
          <w:rFonts w:cs="Arial"/>
          <w:sz w:val="22"/>
          <w:szCs w:val="22"/>
        </w:rPr>
        <w:lastRenderedPageBreak/>
        <w:t>Introduction</w:t>
      </w:r>
      <w:bookmarkEnd w:id="10"/>
      <w:r w:rsidRPr="00F65BAC">
        <w:rPr>
          <w:rFonts w:cs="Arial"/>
          <w:sz w:val="22"/>
          <w:szCs w:val="22"/>
        </w:rPr>
        <w:t xml:space="preserve"> </w:t>
      </w:r>
    </w:p>
    <w:p w14:paraId="167ADF03" w14:textId="7A205B8B" w:rsidR="00142544" w:rsidRPr="00142544" w:rsidRDefault="00142544" w:rsidP="00142544">
      <w:pPr>
        <w:spacing w:line="360" w:lineRule="auto"/>
        <w:jc w:val="both"/>
        <w:rPr>
          <w:rFonts w:ascii="Arial" w:hAnsi="Arial" w:cs="Arial"/>
        </w:rPr>
      </w:pPr>
      <w:r w:rsidRPr="00142544">
        <w:rPr>
          <w:rFonts w:ascii="Arial" w:hAnsi="Arial" w:cs="Arial"/>
        </w:rPr>
        <w:t xml:space="preserve">This chapter provides the </w:t>
      </w:r>
      <w:r w:rsidR="007E02D9">
        <w:rPr>
          <w:rFonts w:ascii="Arial" w:hAnsi="Arial" w:cs="Arial"/>
        </w:rPr>
        <w:t>study's background</w:t>
      </w:r>
      <w:r w:rsidRPr="00142544">
        <w:rPr>
          <w:rFonts w:ascii="Arial" w:hAnsi="Arial" w:cs="Arial"/>
        </w:rPr>
        <w:t xml:space="preserve">, the research aims and objectives, the </w:t>
      </w:r>
      <w:r w:rsidR="003A5503">
        <w:rPr>
          <w:rFonts w:ascii="Arial" w:hAnsi="Arial" w:cs="Arial"/>
        </w:rPr>
        <w:t>rationale</w:t>
      </w:r>
      <w:r w:rsidR="003A5503" w:rsidRPr="00142544">
        <w:rPr>
          <w:rFonts w:ascii="Arial" w:hAnsi="Arial" w:cs="Arial"/>
        </w:rPr>
        <w:t xml:space="preserve"> </w:t>
      </w:r>
      <w:r w:rsidRPr="00142544">
        <w:rPr>
          <w:rFonts w:ascii="Arial" w:hAnsi="Arial" w:cs="Arial"/>
        </w:rPr>
        <w:t xml:space="preserve">for the research, </w:t>
      </w:r>
      <w:r w:rsidR="008047E5">
        <w:rPr>
          <w:rFonts w:ascii="Arial" w:hAnsi="Arial" w:cs="Arial"/>
        </w:rPr>
        <w:t xml:space="preserve">the </w:t>
      </w:r>
      <w:r w:rsidRPr="00142544">
        <w:rPr>
          <w:rFonts w:ascii="Arial" w:hAnsi="Arial" w:cs="Arial"/>
        </w:rPr>
        <w:t xml:space="preserve">statement of </w:t>
      </w:r>
      <w:r w:rsidR="002F2420">
        <w:rPr>
          <w:rFonts w:ascii="Arial" w:hAnsi="Arial" w:cs="Arial"/>
        </w:rPr>
        <w:t xml:space="preserve">the </w:t>
      </w:r>
      <w:r w:rsidRPr="00142544">
        <w:rPr>
          <w:rFonts w:ascii="Arial" w:hAnsi="Arial" w:cs="Arial"/>
        </w:rPr>
        <w:t>research problem</w:t>
      </w:r>
      <w:r w:rsidR="003A5503">
        <w:rPr>
          <w:rFonts w:ascii="Arial" w:hAnsi="Arial" w:cs="Arial"/>
        </w:rPr>
        <w:t xml:space="preserve"> </w:t>
      </w:r>
      <w:r w:rsidRPr="00142544">
        <w:rPr>
          <w:rFonts w:ascii="Arial" w:hAnsi="Arial" w:cs="Arial"/>
        </w:rPr>
        <w:t xml:space="preserve">and </w:t>
      </w:r>
      <w:r w:rsidR="002D5D32">
        <w:rPr>
          <w:rFonts w:ascii="Arial" w:hAnsi="Arial" w:cs="Arial"/>
        </w:rPr>
        <w:t xml:space="preserve">the </w:t>
      </w:r>
      <w:r w:rsidRPr="00142544">
        <w:rPr>
          <w:rFonts w:ascii="Arial" w:hAnsi="Arial" w:cs="Arial"/>
        </w:rPr>
        <w:t xml:space="preserve">research questions. Furthermore, </w:t>
      </w:r>
      <w:r w:rsidR="00041F7E">
        <w:rPr>
          <w:rFonts w:ascii="Arial" w:hAnsi="Arial" w:cs="Arial"/>
        </w:rPr>
        <w:t>t</w:t>
      </w:r>
      <w:r w:rsidRPr="00142544">
        <w:rPr>
          <w:rFonts w:ascii="Arial" w:hAnsi="Arial" w:cs="Arial"/>
        </w:rPr>
        <w:t>he chapter also present</w:t>
      </w:r>
      <w:r w:rsidR="00DF0FCD">
        <w:rPr>
          <w:rFonts w:ascii="Arial" w:hAnsi="Arial" w:cs="Arial"/>
        </w:rPr>
        <w:t>s</w:t>
      </w:r>
      <w:r w:rsidRPr="00142544">
        <w:rPr>
          <w:rFonts w:ascii="Arial" w:hAnsi="Arial" w:cs="Arial"/>
        </w:rPr>
        <w:t xml:space="preserve"> the </w:t>
      </w:r>
      <w:r w:rsidR="00794359">
        <w:rPr>
          <w:rFonts w:ascii="Arial" w:hAnsi="Arial" w:cs="Arial"/>
        </w:rPr>
        <w:t>research's scope</w:t>
      </w:r>
      <w:r w:rsidR="002E0C13">
        <w:rPr>
          <w:rFonts w:ascii="Arial" w:hAnsi="Arial" w:cs="Arial"/>
        </w:rPr>
        <w:t>,</w:t>
      </w:r>
      <w:r w:rsidR="00794359">
        <w:rPr>
          <w:rFonts w:ascii="Arial" w:hAnsi="Arial" w:cs="Arial"/>
        </w:rPr>
        <w:t xml:space="preserve"> </w:t>
      </w:r>
      <w:r w:rsidRPr="00142544">
        <w:rPr>
          <w:rFonts w:ascii="Arial" w:hAnsi="Arial" w:cs="Arial"/>
        </w:rPr>
        <w:t>an outline of the research methodology</w:t>
      </w:r>
      <w:r w:rsidR="007E02D9">
        <w:rPr>
          <w:rFonts w:ascii="Arial" w:hAnsi="Arial" w:cs="Arial"/>
        </w:rPr>
        <w:t>, and the thesis structure</w:t>
      </w:r>
      <w:r w:rsidRPr="00142544">
        <w:rPr>
          <w:rFonts w:ascii="Arial" w:hAnsi="Arial" w:cs="Arial"/>
        </w:rPr>
        <w:t>.</w:t>
      </w:r>
    </w:p>
    <w:p w14:paraId="429DDBAF" w14:textId="77777777" w:rsidR="00CD6352" w:rsidRPr="00F65BAC" w:rsidRDefault="00CD6352" w:rsidP="00CD6352">
      <w:pPr>
        <w:pStyle w:val="Heading2"/>
        <w:spacing w:line="360" w:lineRule="auto"/>
        <w:jc w:val="both"/>
        <w:rPr>
          <w:rFonts w:cs="Arial"/>
          <w:sz w:val="22"/>
          <w:szCs w:val="22"/>
        </w:rPr>
      </w:pPr>
      <w:bookmarkStart w:id="11" w:name="_Toc78983763"/>
      <w:r w:rsidRPr="00F65BAC">
        <w:rPr>
          <w:rFonts w:cs="Arial"/>
          <w:sz w:val="22"/>
          <w:szCs w:val="22"/>
        </w:rPr>
        <w:t>Background of the study</w:t>
      </w:r>
      <w:bookmarkEnd w:id="11"/>
    </w:p>
    <w:p w14:paraId="3E0C3815" w14:textId="69FD42E3" w:rsidR="00834756" w:rsidRDefault="00834756" w:rsidP="00CD6352">
      <w:pPr>
        <w:spacing w:line="360" w:lineRule="auto"/>
        <w:jc w:val="both"/>
        <w:rPr>
          <w:rFonts w:ascii="Arial" w:hAnsi="Arial" w:cs="Arial"/>
        </w:rPr>
      </w:pPr>
      <w:r w:rsidRPr="00BE73FA">
        <w:rPr>
          <w:rFonts w:ascii="Arial" w:hAnsi="Arial" w:cs="Arial"/>
        </w:rPr>
        <w:t>Finance is identified as very important to the real estate project development sector’s success for three fundamental reasons</w:t>
      </w:r>
      <w:r w:rsidR="005F4ADE">
        <w:rPr>
          <w:rFonts w:ascii="Arial" w:hAnsi="Arial" w:cs="Arial"/>
        </w:rPr>
        <w:t>: working capital requirement, purchase of long-term assets,</w:t>
      </w:r>
      <w:r w:rsidRPr="00BE73FA">
        <w:rPr>
          <w:rFonts w:ascii="Arial" w:hAnsi="Arial" w:cs="Arial"/>
        </w:rPr>
        <w:t xml:space="preserve"> and reduction of a temporary imbalance between cash receipts and payments. Finance could be accessed from the private or public sectors across the border or locally</w:t>
      </w:r>
      <w:r w:rsidR="001418E8">
        <w:rPr>
          <w:rFonts w:ascii="Arial" w:hAnsi="Arial" w:cs="Arial"/>
        </w:rPr>
        <w:t xml:space="preserve"> </w:t>
      </w:r>
      <w:r w:rsidR="001418E8" w:rsidRPr="001418E8">
        <w:rPr>
          <w:rFonts w:ascii="Arial" w:hAnsi="Arial" w:cs="Arial"/>
        </w:rPr>
        <w:t>(Li, J et al., 2018).</w:t>
      </w:r>
      <w:r w:rsidR="001418E8">
        <w:rPr>
          <w:rFonts w:ascii="Arial" w:hAnsi="Arial" w:cs="Arial"/>
        </w:rPr>
        <w:t xml:space="preserve"> </w:t>
      </w:r>
      <w:r w:rsidRPr="00BE73FA">
        <w:rPr>
          <w:rFonts w:ascii="Arial" w:hAnsi="Arial" w:cs="Arial"/>
        </w:rPr>
        <w:t xml:space="preserve">However, sourcing funding by managers in the real estate development sector has been challenging for many since the financial crisis of </w:t>
      </w:r>
      <w:r w:rsidR="00C6382C" w:rsidRPr="00BE73FA">
        <w:rPr>
          <w:rFonts w:ascii="Arial" w:hAnsi="Arial" w:cs="Arial"/>
        </w:rPr>
        <w:t>2008</w:t>
      </w:r>
      <w:r w:rsidR="00C6382C">
        <w:rPr>
          <w:rFonts w:ascii="Arial" w:hAnsi="Arial" w:cs="Arial"/>
        </w:rPr>
        <w:t xml:space="preserve"> </w:t>
      </w:r>
      <w:r w:rsidR="00C6382C" w:rsidRPr="00C6382C">
        <w:rPr>
          <w:rFonts w:ascii="Arial" w:hAnsi="Arial" w:cs="Arial"/>
        </w:rPr>
        <w:t>(Mamun, 2017</w:t>
      </w:r>
      <w:r w:rsidR="001418E8" w:rsidRPr="00C6382C">
        <w:rPr>
          <w:rFonts w:ascii="Arial" w:hAnsi="Arial" w:cs="Arial"/>
        </w:rPr>
        <w:t>)</w:t>
      </w:r>
      <w:r w:rsidR="001418E8">
        <w:rPr>
          <w:rFonts w:ascii="Arial" w:hAnsi="Arial" w:cs="Arial"/>
        </w:rPr>
        <w:t>.</w:t>
      </w:r>
      <w:r w:rsidRPr="00BE73FA">
        <w:rPr>
          <w:rFonts w:ascii="Arial" w:hAnsi="Arial" w:cs="Arial"/>
        </w:rPr>
        <w:t xml:space="preserve"> </w:t>
      </w:r>
      <w:r w:rsidR="00445B41" w:rsidRPr="00445B41">
        <w:rPr>
          <w:rFonts w:ascii="Arial" w:hAnsi="Arial" w:cs="Arial"/>
        </w:rPr>
        <w:t>Notably, real estate project development is capital-intensive, and managers in this sector often face challenges in accessing funding in developed and emerging economies (Zhang, 2017; BBC News, 2018).</w:t>
      </w:r>
      <w:r w:rsidR="00445B41">
        <w:rPr>
          <w:rFonts w:ascii="Arial" w:hAnsi="Arial" w:cs="Arial"/>
        </w:rPr>
        <w:t xml:space="preserve"> </w:t>
      </w:r>
      <w:r w:rsidRPr="00BE73FA">
        <w:rPr>
          <w:rFonts w:ascii="Arial" w:hAnsi="Arial" w:cs="Arial"/>
        </w:rPr>
        <w:t xml:space="preserve">Consequently, there is still an enormous gap in the real estate sector. What seems to be required is a </w:t>
      </w:r>
      <w:r w:rsidR="00E60617">
        <w:rPr>
          <w:rFonts w:ascii="Arial" w:hAnsi="Arial" w:cs="Arial"/>
        </w:rPr>
        <w:t xml:space="preserve">model </w:t>
      </w:r>
      <w:r w:rsidRPr="00BE73FA">
        <w:rPr>
          <w:rFonts w:ascii="Arial" w:hAnsi="Arial" w:cs="Arial"/>
        </w:rPr>
        <w:t xml:space="preserve">that could </w:t>
      </w:r>
      <w:r w:rsidR="00D81416">
        <w:rPr>
          <w:rFonts w:ascii="Arial" w:hAnsi="Arial" w:cs="Arial"/>
        </w:rPr>
        <w:t>guide</w:t>
      </w:r>
      <w:r w:rsidRPr="00BE73FA">
        <w:rPr>
          <w:rFonts w:ascii="Arial" w:hAnsi="Arial" w:cs="Arial"/>
        </w:rPr>
        <w:t xml:space="preserve"> managers in securing </w:t>
      </w:r>
      <w:r w:rsidR="00D77591">
        <w:rPr>
          <w:rFonts w:ascii="Arial" w:hAnsi="Arial" w:cs="Arial"/>
        </w:rPr>
        <w:t>real estate project development finance</w:t>
      </w:r>
      <w:r w:rsidRPr="00BE73FA">
        <w:rPr>
          <w:rFonts w:ascii="Arial" w:hAnsi="Arial" w:cs="Arial"/>
        </w:rPr>
        <w:t>. This is with the view to enhance access to finance for real estate project development</w:t>
      </w:r>
      <w:r>
        <w:rPr>
          <w:rFonts w:ascii="Arial" w:hAnsi="Arial" w:cs="Arial"/>
        </w:rPr>
        <w:t>.</w:t>
      </w:r>
    </w:p>
    <w:p w14:paraId="3D01A38A" w14:textId="71896BFA" w:rsidR="00CD6352" w:rsidRPr="00F65BAC" w:rsidRDefault="001F0186" w:rsidP="00CD6352">
      <w:pPr>
        <w:spacing w:line="360" w:lineRule="auto"/>
        <w:jc w:val="both"/>
        <w:rPr>
          <w:rFonts w:ascii="Arial" w:hAnsi="Arial" w:cs="Arial"/>
        </w:rPr>
      </w:pPr>
      <w:r>
        <w:rPr>
          <w:rFonts w:ascii="Arial" w:hAnsi="Arial" w:cs="Arial"/>
        </w:rPr>
        <w:t>There</w:t>
      </w:r>
      <w:r w:rsidR="00CD6352" w:rsidRPr="00F65BAC">
        <w:rPr>
          <w:rFonts w:ascii="Arial" w:hAnsi="Arial" w:cs="Arial"/>
        </w:rPr>
        <w:t xml:space="preserve"> is a shortfall in the housing needed for the increasingly growing world population (Manu et al., 2015; Ogbenjuwa et al., 2018). Cities </w:t>
      </w:r>
      <w:r w:rsidR="0071613E">
        <w:rPr>
          <w:rFonts w:ascii="Arial" w:hAnsi="Arial" w:cs="Arial"/>
        </w:rPr>
        <w:t>worldwide are becoming increasingly more economically powerful, which</w:t>
      </w:r>
      <w:r w:rsidR="00CD6352" w:rsidRPr="00F65BAC">
        <w:rPr>
          <w:rFonts w:ascii="Arial" w:hAnsi="Arial" w:cs="Arial"/>
        </w:rPr>
        <w:t xml:space="preserve"> has created a tremendous demand for their land, leading to escalating real estate property costs and competition (Florida &amp; Schneider, 2018).  Furthermore, countries </w:t>
      </w:r>
      <w:r w:rsidR="0071613E">
        <w:rPr>
          <w:rFonts w:ascii="Arial" w:hAnsi="Arial" w:cs="Arial"/>
        </w:rPr>
        <w:t>worldwide are faced with immense pressure in the real estate sector because of the increased demand for housing due to</w:t>
      </w:r>
      <w:r w:rsidR="00CD6352" w:rsidRPr="00F65BAC">
        <w:rPr>
          <w:rFonts w:ascii="Arial" w:hAnsi="Arial" w:cs="Arial"/>
        </w:rPr>
        <w:t xml:space="preserve"> a massive influx of people into the urban regions (Zang et al., 2014; Awofeso, 2010).</w:t>
      </w:r>
    </w:p>
    <w:p w14:paraId="263B8876" w14:textId="519D85D8" w:rsidR="00CD6352" w:rsidRDefault="00CD6352" w:rsidP="00CD6352">
      <w:pPr>
        <w:spacing w:line="360" w:lineRule="auto"/>
        <w:jc w:val="both"/>
        <w:rPr>
          <w:rFonts w:ascii="Arial" w:hAnsi="Arial" w:cs="Arial"/>
        </w:rPr>
      </w:pPr>
      <w:r w:rsidRPr="00F65BAC">
        <w:rPr>
          <w:rFonts w:ascii="Arial" w:hAnsi="Arial" w:cs="Arial"/>
        </w:rPr>
        <w:t xml:space="preserve">The demand for real estate development is higher than the supply (Tilford 2015; Tustin, 2017). The United Nations statistics show that about 1.6 billion people live in substandard housing globally, </w:t>
      </w:r>
      <w:r w:rsidR="006C5412" w:rsidRPr="00F65BAC">
        <w:rPr>
          <w:rFonts w:ascii="Arial" w:hAnsi="Arial" w:cs="Arial"/>
        </w:rPr>
        <w:t>and 100</w:t>
      </w:r>
      <w:r w:rsidRPr="00F65BAC">
        <w:rPr>
          <w:rFonts w:ascii="Arial" w:hAnsi="Arial" w:cs="Arial"/>
        </w:rPr>
        <w:t xml:space="preserve"> million are homeless (Simire, 2017). The housing and real estate crisis affects </w:t>
      </w:r>
      <w:r w:rsidR="006C5412" w:rsidRPr="00F65BAC">
        <w:rPr>
          <w:rFonts w:ascii="Arial" w:hAnsi="Arial" w:cs="Arial"/>
        </w:rPr>
        <w:t>both developed</w:t>
      </w:r>
      <w:r w:rsidRPr="00F65BAC">
        <w:rPr>
          <w:rFonts w:ascii="Arial" w:hAnsi="Arial" w:cs="Arial"/>
        </w:rPr>
        <w:t xml:space="preserve"> and emerging economies. The annual demographic international housing affordability survey (2019) conducted by Wendell Cox and Hugh Pavletich demonstrates that most major cities in the world have incredibly high housing prices </w:t>
      </w:r>
      <w:r w:rsidR="0071613E">
        <w:rPr>
          <w:rFonts w:ascii="Arial" w:hAnsi="Arial" w:cs="Arial"/>
        </w:rPr>
        <w:t>compared to income, which indicates</w:t>
      </w:r>
      <w:r w:rsidRPr="00F65BAC">
        <w:rPr>
          <w:rFonts w:ascii="Arial" w:hAnsi="Arial" w:cs="Arial"/>
        </w:rPr>
        <w:t xml:space="preserve"> demand </w:t>
      </w:r>
      <w:r w:rsidR="00BA2795">
        <w:rPr>
          <w:rFonts w:ascii="Arial" w:hAnsi="Arial" w:cs="Arial"/>
        </w:rPr>
        <w:t xml:space="preserve">is </w:t>
      </w:r>
      <w:r w:rsidRPr="00F65BAC">
        <w:rPr>
          <w:rFonts w:ascii="Arial" w:hAnsi="Arial" w:cs="Arial"/>
        </w:rPr>
        <w:t>way above supply</w:t>
      </w:r>
      <w:r w:rsidR="00D77591">
        <w:rPr>
          <w:rFonts w:ascii="Arial" w:hAnsi="Arial" w:cs="Arial"/>
        </w:rPr>
        <w:t xml:space="preserve">. </w:t>
      </w:r>
      <w:r w:rsidRPr="00F65BAC">
        <w:rPr>
          <w:rFonts w:ascii="Arial" w:hAnsi="Arial" w:cs="Arial"/>
        </w:rPr>
        <w:t>The housing affordability rating shows severely unaffordable housing markets in the world (see table 1.1)</w:t>
      </w:r>
    </w:p>
    <w:p w14:paraId="4F97837D" w14:textId="77777777" w:rsidR="0071613E" w:rsidRPr="00F65BAC" w:rsidRDefault="0071613E" w:rsidP="00CD6352">
      <w:pPr>
        <w:spacing w:line="360" w:lineRule="auto"/>
        <w:jc w:val="both"/>
        <w:rPr>
          <w:rFonts w:ascii="Arial" w:hAnsi="Arial" w:cs="Arial"/>
        </w:rPr>
      </w:pPr>
    </w:p>
    <w:p w14:paraId="54EEEAB7" w14:textId="77777777" w:rsidR="00CD6352" w:rsidRPr="00EA7665" w:rsidRDefault="00CD6352" w:rsidP="00CD6352">
      <w:pPr>
        <w:spacing w:line="360" w:lineRule="auto"/>
        <w:jc w:val="both"/>
        <w:rPr>
          <w:rFonts w:ascii="Arial" w:hAnsi="Arial" w:cs="Arial"/>
        </w:rPr>
      </w:pPr>
    </w:p>
    <w:p w14:paraId="6CAF42C6" w14:textId="0819296E" w:rsidR="00CD6352" w:rsidRPr="00F65BAC" w:rsidRDefault="00CD6352" w:rsidP="00CD6352">
      <w:pPr>
        <w:pStyle w:val="Caption"/>
        <w:keepNext/>
        <w:rPr>
          <w:rFonts w:ascii="Arial" w:hAnsi="Arial" w:cs="Arial"/>
          <w:i w:val="0"/>
          <w:iCs w:val="0"/>
          <w:sz w:val="16"/>
          <w:szCs w:val="16"/>
        </w:rPr>
      </w:pPr>
      <w:bookmarkStart w:id="12" w:name="_Toc78983950"/>
      <w:r w:rsidRPr="00F65BAC">
        <w:rPr>
          <w:rFonts w:ascii="Arial" w:hAnsi="Arial" w:cs="Arial"/>
          <w:i w:val="0"/>
          <w:iCs w:val="0"/>
          <w:sz w:val="16"/>
          <w:szCs w:val="16"/>
        </w:rPr>
        <w:lastRenderedPageBreak/>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1.1</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1</w:t>
      </w:r>
      <w:r w:rsidR="008F25B1">
        <w:rPr>
          <w:rFonts w:ascii="Arial" w:hAnsi="Arial" w:cs="Arial"/>
          <w:i w:val="0"/>
          <w:iCs w:val="0"/>
          <w:sz w:val="16"/>
          <w:szCs w:val="16"/>
        </w:rPr>
        <w:fldChar w:fldCharType="end"/>
      </w:r>
      <w:r w:rsidRPr="00F65BAC">
        <w:rPr>
          <w:rFonts w:ascii="Arial" w:hAnsi="Arial" w:cs="Arial"/>
          <w:i w:val="0"/>
          <w:iCs w:val="0"/>
          <w:sz w:val="16"/>
          <w:szCs w:val="16"/>
        </w:rPr>
        <w:t>: Housing affordability rating by nations: Major housing markets (1,000,000+ population</w:t>
      </w:r>
      <w:bookmarkEnd w:id="12"/>
    </w:p>
    <w:tbl>
      <w:tblPr>
        <w:tblStyle w:val="TableGrid"/>
        <w:tblW w:w="0" w:type="auto"/>
        <w:tblLook w:val="04A0" w:firstRow="1" w:lastRow="0" w:firstColumn="1" w:lastColumn="0" w:noHBand="0" w:noVBand="1"/>
      </w:tblPr>
      <w:tblGrid>
        <w:gridCol w:w="2830"/>
        <w:gridCol w:w="5103"/>
      </w:tblGrid>
      <w:tr w:rsidR="00CD6352" w:rsidRPr="00F65BAC" w14:paraId="65A08632" w14:textId="77777777" w:rsidTr="00CD6352">
        <w:trPr>
          <w:trHeight w:val="300"/>
        </w:trPr>
        <w:tc>
          <w:tcPr>
            <w:tcW w:w="2830" w:type="dxa"/>
            <w:noWrap/>
            <w:hideMark/>
          </w:tcPr>
          <w:p w14:paraId="1AA18D09" w14:textId="77777777" w:rsidR="00CD6352" w:rsidRPr="00F65BAC" w:rsidRDefault="00CD6352" w:rsidP="00CD6352">
            <w:pPr>
              <w:rPr>
                <w:rFonts w:ascii="Arial" w:hAnsi="Arial" w:cs="Arial"/>
                <w:sz w:val="16"/>
                <w:szCs w:val="16"/>
              </w:rPr>
            </w:pPr>
            <w:r w:rsidRPr="00F65BAC">
              <w:rPr>
                <w:rFonts w:ascii="Arial" w:hAnsi="Arial" w:cs="Arial"/>
                <w:sz w:val="16"/>
                <w:szCs w:val="16"/>
              </w:rPr>
              <w:t>Nation</w:t>
            </w:r>
          </w:p>
        </w:tc>
        <w:tc>
          <w:tcPr>
            <w:tcW w:w="5103" w:type="dxa"/>
            <w:noWrap/>
            <w:hideMark/>
          </w:tcPr>
          <w:p w14:paraId="42AC4359" w14:textId="77777777" w:rsidR="00CD6352" w:rsidRPr="00F65BAC" w:rsidRDefault="00CD6352" w:rsidP="00CD6352">
            <w:pPr>
              <w:rPr>
                <w:rFonts w:ascii="Arial" w:hAnsi="Arial" w:cs="Arial"/>
                <w:sz w:val="16"/>
                <w:szCs w:val="16"/>
              </w:rPr>
            </w:pPr>
            <w:r w:rsidRPr="00F65BAC">
              <w:rPr>
                <w:rFonts w:ascii="Arial" w:hAnsi="Arial" w:cs="Arial"/>
                <w:sz w:val="16"/>
                <w:szCs w:val="16"/>
              </w:rPr>
              <w:t>Median Market</w:t>
            </w:r>
          </w:p>
        </w:tc>
      </w:tr>
      <w:tr w:rsidR="00CD6352" w:rsidRPr="00F65BAC" w14:paraId="0A4E2CD4" w14:textId="77777777" w:rsidTr="00CD6352">
        <w:trPr>
          <w:trHeight w:val="300"/>
        </w:trPr>
        <w:tc>
          <w:tcPr>
            <w:tcW w:w="2830" w:type="dxa"/>
            <w:noWrap/>
            <w:hideMark/>
          </w:tcPr>
          <w:p w14:paraId="5A491656" w14:textId="77777777" w:rsidR="00CD6352" w:rsidRPr="00F65BAC" w:rsidRDefault="00CD6352" w:rsidP="00CD6352">
            <w:pPr>
              <w:rPr>
                <w:rFonts w:ascii="Arial" w:hAnsi="Arial" w:cs="Arial"/>
                <w:sz w:val="16"/>
                <w:szCs w:val="16"/>
              </w:rPr>
            </w:pPr>
            <w:r w:rsidRPr="00F65BAC">
              <w:rPr>
                <w:rFonts w:ascii="Arial" w:hAnsi="Arial" w:cs="Arial"/>
                <w:sz w:val="16"/>
                <w:szCs w:val="16"/>
              </w:rPr>
              <w:t>China: Hong Kong</w:t>
            </w:r>
          </w:p>
        </w:tc>
        <w:tc>
          <w:tcPr>
            <w:tcW w:w="5103" w:type="dxa"/>
            <w:noWrap/>
            <w:hideMark/>
          </w:tcPr>
          <w:p w14:paraId="40EAC9D8" w14:textId="77777777" w:rsidR="00CD6352" w:rsidRPr="00F65BAC" w:rsidRDefault="00CD6352" w:rsidP="00CD6352">
            <w:pPr>
              <w:rPr>
                <w:rFonts w:ascii="Arial" w:hAnsi="Arial" w:cs="Arial"/>
                <w:sz w:val="16"/>
                <w:szCs w:val="16"/>
              </w:rPr>
            </w:pPr>
            <w:r w:rsidRPr="00F65BAC">
              <w:rPr>
                <w:rFonts w:ascii="Arial" w:hAnsi="Arial" w:cs="Arial"/>
                <w:sz w:val="16"/>
                <w:szCs w:val="16"/>
              </w:rPr>
              <w:t>20.9</w:t>
            </w:r>
          </w:p>
        </w:tc>
      </w:tr>
      <w:tr w:rsidR="00CD6352" w:rsidRPr="00F65BAC" w14:paraId="1022399D" w14:textId="77777777" w:rsidTr="00CD6352">
        <w:trPr>
          <w:trHeight w:val="300"/>
        </w:trPr>
        <w:tc>
          <w:tcPr>
            <w:tcW w:w="2830" w:type="dxa"/>
            <w:noWrap/>
            <w:hideMark/>
          </w:tcPr>
          <w:p w14:paraId="741A6DD2" w14:textId="77777777" w:rsidR="00CD6352" w:rsidRPr="00F65BAC" w:rsidRDefault="00CD6352" w:rsidP="00CD6352">
            <w:pPr>
              <w:rPr>
                <w:rFonts w:ascii="Arial" w:hAnsi="Arial" w:cs="Arial"/>
                <w:sz w:val="16"/>
                <w:szCs w:val="16"/>
              </w:rPr>
            </w:pPr>
            <w:r w:rsidRPr="00F65BAC">
              <w:rPr>
                <w:rFonts w:ascii="Arial" w:hAnsi="Arial" w:cs="Arial"/>
                <w:sz w:val="16"/>
                <w:szCs w:val="16"/>
              </w:rPr>
              <w:t>New Zealand</w:t>
            </w:r>
          </w:p>
        </w:tc>
        <w:tc>
          <w:tcPr>
            <w:tcW w:w="5103" w:type="dxa"/>
            <w:noWrap/>
            <w:hideMark/>
          </w:tcPr>
          <w:p w14:paraId="34F402F5" w14:textId="77777777" w:rsidR="00CD6352" w:rsidRPr="00F65BAC" w:rsidRDefault="00CD6352" w:rsidP="00CD6352">
            <w:pPr>
              <w:rPr>
                <w:rFonts w:ascii="Arial" w:hAnsi="Arial" w:cs="Arial"/>
                <w:sz w:val="16"/>
                <w:szCs w:val="16"/>
              </w:rPr>
            </w:pPr>
            <w:r w:rsidRPr="00F65BAC">
              <w:rPr>
                <w:rFonts w:ascii="Arial" w:hAnsi="Arial" w:cs="Arial"/>
                <w:sz w:val="16"/>
                <w:szCs w:val="16"/>
              </w:rPr>
              <w:t>9</w:t>
            </w:r>
          </w:p>
        </w:tc>
      </w:tr>
      <w:tr w:rsidR="00CD6352" w:rsidRPr="00F65BAC" w14:paraId="4AC9632F" w14:textId="77777777" w:rsidTr="00CD6352">
        <w:trPr>
          <w:trHeight w:val="300"/>
        </w:trPr>
        <w:tc>
          <w:tcPr>
            <w:tcW w:w="2830" w:type="dxa"/>
            <w:noWrap/>
            <w:hideMark/>
          </w:tcPr>
          <w:p w14:paraId="0C08EFE4" w14:textId="77777777" w:rsidR="00CD6352" w:rsidRPr="00F65BAC" w:rsidRDefault="00CD6352" w:rsidP="00CD6352">
            <w:pPr>
              <w:rPr>
                <w:rFonts w:ascii="Arial" w:hAnsi="Arial" w:cs="Arial"/>
                <w:sz w:val="16"/>
                <w:szCs w:val="16"/>
              </w:rPr>
            </w:pPr>
            <w:r w:rsidRPr="00F65BAC">
              <w:rPr>
                <w:rFonts w:ascii="Arial" w:hAnsi="Arial" w:cs="Arial"/>
                <w:sz w:val="16"/>
                <w:szCs w:val="16"/>
              </w:rPr>
              <w:t>Australia</w:t>
            </w:r>
          </w:p>
        </w:tc>
        <w:tc>
          <w:tcPr>
            <w:tcW w:w="5103" w:type="dxa"/>
            <w:noWrap/>
            <w:hideMark/>
          </w:tcPr>
          <w:p w14:paraId="4DE7A59D" w14:textId="77777777" w:rsidR="00CD6352" w:rsidRPr="00F65BAC" w:rsidRDefault="00CD6352" w:rsidP="00CD6352">
            <w:pPr>
              <w:rPr>
                <w:rFonts w:ascii="Arial" w:hAnsi="Arial" w:cs="Arial"/>
                <w:sz w:val="16"/>
                <w:szCs w:val="16"/>
              </w:rPr>
            </w:pPr>
            <w:r w:rsidRPr="00F65BAC">
              <w:rPr>
                <w:rFonts w:ascii="Arial" w:hAnsi="Arial" w:cs="Arial"/>
                <w:sz w:val="16"/>
                <w:szCs w:val="16"/>
              </w:rPr>
              <w:t>6.9</w:t>
            </w:r>
          </w:p>
        </w:tc>
      </w:tr>
      <w:tr w:rsidR="00CD6352" w:rsidRPr="00F65BAC" w14:paraId="098F33D1" w14:textId="77777777" w:rsidTr="00CD6352">
        <w:trPr>
          <w:trHeight w:val="300"/>
        </w:trPr>
        <w:tc>
          <w:tcPr>
            <w:tcW w:w="2830" w:type="dxa"/>
            <w:noWrap/>
            <w:hideMark/>
          </w:tcPr>
          <w:p w14:paraId="2AEED22D" w14:textId="77777777" w:rsidR="00CD6352" w:rsidRPr="00F65BAC" w:rsidRDefault="00CD6352" w:rsidP="00CD6352">
            <w:pPr>
              <w:rPr>
                <w:rFonts w:ascii="Arial" w:hAnsi="Arial" w:cs="Arial"/>
                <w:sz w:val="16"/>
                <w:szCs w:val="16"/>
              </w:rPr>
            </w:pPr>
            <w:r w:rsidRPr="00F65BAC">
              <w:rPr>
                <w:rFonts w:ascii="Arial" w:hAnsi="Arial" w:cs="Arial"/>
                <w:sz w:val="16"/>
                <w:szCs w:val="16"/>
              </w:rPr>
              <w:t>Ireland</w:t>
            </w:r>
          </w:p>
        </w:tc>
        <w:tc>
          <w:tcPr>
            <w:tcW w:w="5103" w:type="dxa"/>
            <w:noWrap/>
            <w:hideMark/>
          </w:tcPr>
          <w:p w14:paraId="2701C27E" w14:textId="77777777" w:rsidR="00CD6352" w:rsidRPr="00F65BAC" w:rsidRDefault="00CD6352" w:rsidP="00CD6352">
            <w:pPr>
              <w:rPr>
                <w:rFonts w:ascii="Arial" w:hAnsi="Arial" w:cs="Arial"/>
                <w:sz w:val="16"/>
                <w:szCs w:val="16"/>
              </w:rPr>
            </w:pPr>
            <w:r w:rsidRPr="00F65BAC">
              <w:rPr>
                <w:rFonts w:ascii="Arial" w:hAnsi="Arial" w:cs="Arial"/>
                <w:sz w:val="16"/>
                <w:szCs w:val="16"/>
              </w:rPr>
              <w:t>4.8</w:t>
            </w:r>
          </w:p>
        </w:tc>
      </w:tr>
      <w:tr w:rsidR="00CD6352" w:rsidRPr="00F65BAC" w14:paraId="251B6ACD" w14:textId="77777777" w:rsidTr="00CD6352">
        <w:trPr>
          <w:trHeight w:val="300"/>
        </w:trPr>
        <w:tc>
          <w:tcPr>
            <w:tcW w:w="2830" w:type="dxa"/>
            <w:noWrap/>
            <w:hideMark/>
          </w:tcPr>
          <w:p w14:paraId="55C39CCF" w14:textId="77777777" w:rsidR="00CD6352" w:rsidRPr="00F65BAC" w:rsidRDefault="00CD6352" w:rsidP="00CD6352">
            <w:pPr>
              <w:rPr>
                <w:rFonts w:ascii="Arial" w:hAnsi="Arial" w:cs="Arial"/>
                <w:sz w:val="16"/>
                <w:szCs w:val="16"/>
              </w:rPr>
            </w:pPr>
            <w:r w:rsidRPr="00F65BAC">
              <w:rPr>
                <w:rFonts w:ascii="Arial" w:hAnsi="Arial" w:cs="Arial"/>
                <w:sz w:val="16"/>
                <w:szCs w:val="16"/>
              </w:rPr>
              <w:t>United Kingdom</w:t>
            </w:r>
          </w:p>
        </w:tc>
        <w:tc>
          <w:tcPr>
            <w:tcW w:w="5103" w:type="dxa"/>
            <w:noWrap/>
            <w:hideMark/>
          </w:tcPr>
          <w:p w14:paraId="4C63A0C4" w14:textId="77777777" w:rsidR="00CD6352" w:rsidRPr="00F65BAC" w:rsidRDefault="00CD6352" w:rsidP="00CD6352">
            <w:pPr>
              <w:rPr>
                <w:rFonts w:ascii="Arial" w:hAnsi="Arial" w:cs="Arial"/>
                <w:sz w:val="16"/>
                <w:szCs w:val="16"/>
              </w:rPr>
            </w:pPr>
            <w:r w:rsidRPr="00F65BAC">
              <w:rPr>
                <w:rFonts w:ascii="Arial" w:hAnsi="Arial" w:cs="Arial"/>
                <w:sz w:val="16"/>
                <w:szCs w:val="16"/>
              </w:rPr>
              <w:t>4.8</w:t>
            </w:r>
          </w:p>
        </w:tc>
      </w:tr>
      <w:tr w:rsidR="00CD6352" w:rsidRPr="00F65BAC" w14:paraId="62FDD0DE" w14:textId="77777777" w:rsidTr="00CD6352">
        <w:trPr>
          <w:trHeight w:val="300"/>
        </w:trPr>
        <w:tc>
          <w:tcPr>
            <w:tcW w:w="2830" w:type="dxa"/>
            <w:noWrap/>
            <w:hideMark/>
          </w:tcPr>
          <w:p w14:paraId="27DD0E05" w14:textId="77777777" w:rsidR="00CD6352" w:rsidRPr="00F65BAC" w:rsidRDefault="00CD6352" w:rsidP="00CD6352">
            <w:pPr>
              <w:rPr>
                <w:rFonts w:ascii="Arial" w:hAnsi="Arial" w:cs="Arial"/>
                <w:sz w:val="16"/>
                <w:szCs w:val="16"/>
              </w:rPr>
            </w:pPr>
            <w:r w:rsidRPr="00F65BAC">
              <w:rPr>
                <w:rFonts w:ascii="Arial" w:hAnsi="Arial" w:cs="Arial"/>
                <w:sz w:val="16"/>
                <w:szCs w:val="16"/>
              </w:rPr>
              <w:t>Singapore</w:t>
            </w:r>
          </w:p>
        </w:tc>
        <w:tc>
          <w:tcPr>
            <w:tcW w:w="5103" w:type="dxa"/>
            <w:noWrap/>
            <w:hideMark/>
          </w:tcPr>
          <w:p w14:paraId="666F9D98" w14:textId="77777777" w:rsidR="00CD6352" w:rsidRPr="00F65BAC" w:rsidRDefault="00CD6352" w:rsidP="00CD6352">
            <w:pPr>
              <w:rPr>
                <w:rFonts w:ascii="Arial" w:hAnsi="Arial" w:cs="Arial"/>
                <w:sz w:val="16"/>
                <w:szCs w:val="16"/>
              </w:rPr>
            </w:pPr>
            <w:r w:rsidRPr="00F65BAC">
              <w:rPr>
                <w:rFonts w:ascii="Arial" w:hAnsi="Arial" w:cs="Arial"/>
                <w:sz w:val="16"/>
                <w:szCs w:val="16"/>
              </w:rPr>
              <w:t>4.6</w:t>
            </w:r>
          </w:p>
        </w:tc>
      </w:tr>
      <w:tr w:rsidR="00CD6352" w:rsidRPr="00F65BAC" w14:paraId="7CC48EEC" w14:textId="77777777" w:rsidTr="00CD6352">
        <w:trPr>
          <w:trHeight w:val="300"/>
        </w:trPr>
        <w:tc>
          <w:tcPr>
            <w:tcW w:w="2830" w:type="dxa"/>
            <w:noWrap/>
            <w:hideMark/>
          </w:tcPr>
          <w:p w14:paraId="3E42D021" w14:textId="77777777" w:rsidR="00CD6352" w:rsidRPr="00F65BAC" w:rsidRDefault="00CD6352" w:rsidP="00CD6352">
            <w:pPr>
              <w:rPr>
                <w:rFonts w:ascii="Arial" w:hAnsi="Arial" w:cs="Arial"/>
                <w:sz w:val="16"/>
                <w:szCs w:val="16"/>
              </w:rPr>
            </w:pPr>
            <w:r w:rsidRPr="00F65BAC">
              <w:rPr>
                <w:rFonts w:ascii="Arial" w:hAnsi="Arial" w:cs="Arial"/>
                <w:sz w:val="16"/>
                <w:szCs w:val="16"/>
              </w:rPr>
              <w:t>Canada</w:t>
            </w:r>
          </w:p>
        </w:tc>
        <w:tc>
          <w:tcPr>
            <w:tcW w:w="5103" w:type="dxa"/>
            <w:noWrap/>
            <w:hideMark/>
          </w:tcPr>
          <w:p w14:paraId="24376904" w14:textId="77777777" w:rsidR="00CD6352" w:rsidRPr="00F65BAC" w:rsidRDefault="00CD6352" w:rsidP="00CD6352">
            <w:pPr>
              <w:rPr>
                <w:rFonts w:ascii="Arial" w:hAnsi="Arial" w:cs="Arial"/>
                <w:sz w:val="16"/>
                <w:szCs w:val="16"/>
              </w:rPr>
            </w:pPr>
            <w:r w:rsidRPr="00F65BAC">
              <w:rPr>
                <w:rFonts w:ascii="Arial" w:hAnsi="Arial" w:cs="Arial"/>
                <w:sz w:val="16"/>
                <w:szCs w:val="16"/>
              </w:rPr>
              <w:t>4.3</w:t>
            </w:r>
          </w:p>
        </w:tc>
      </w:tr>
      <w:tr w:rsidR="00CD6352" w:rsidRPr="00F65BAC" w14:paraId="4A8F8397" w14:textId="77777777" w:rsidTr="00CD6352">
        <w:trPr>
          <w:trHeight w:val="300"/>
        </w:trPr>
        <w:tc>
          <w:tcPr>
            <w:tcW w:w="2830" w:type="dxa"/>
            <w:noWrap/>
            <w:hideMark/>
          </w:tcPr>
          <w:p w14:paraId="1BABF716" w14:textId="77777777" w:rsidR="00CD6352" w:rsidRPr="00F65BAC" w:rsidRDefault="00CD6352" w:rsidP="00CD6352">
            <w:pPr>
              <w:rPr>
                <w:rFonts w:ascii="Arial" w:hAnsi="Arial" w:cs="Arial"/>
                <w:sz w:val="16"/>
                <w:szCs w:val="16"/>
              </w:rPr>
            </w:pPr>
            <w:r w:rsidRPr="00F65BAC">
              <w:rPr>
                <w:rFonts w:ascii="Arial" w:hAnsi="Arial" w:cs="Arial"/>
                <w:sz w:val="16"/>
                <w:szCs w:val="16"/>
              </w:rPr>
              <w:t>United States</w:t>
            </w:r>
          </w:p>
        </w:tc>
        <w:tc>
          <w:tcPr>
            <w:tcW w:w="5103" w:type="dxa"/>
            <w:noWrap/>
            <w:hideMark/>
          </w:tcPr>
          <w:p w14:paraId="2F32CA81" w14:textId="77777777" w:rsidR="00CD6352" w:rsidRPr="00F65BAC" w:rsidRDefault="00CD6352" w:rsidP="00CD6352">
            <w:pPr>
              <w:rPr>
                <w:rFonts w:ascii="Arial" w:hAnsi="Arial" w:cs="Arial"/>
                <w:sz w:val="16"/>
                <w:szCs w:val="16"/>
              </w:rPr>
            </w:pPr>
            <w:r w:rsidRPr="00F65BAC">
              <w:rPr>
                <w:rFonts w:ascii="Arial" w:hAnsi="Arial" w:cs="Arial"/>
                <w:sz w:val="16"/>
                <w:szCs w:val="16"/>
              </w:rPr>
              <w:t>3.9</w:t>
            </w:r>
          </w:p>
        </w:tc>
      </w:tr>
    </w:tbl>
    <w:p w14:paraId="7EB811B1" w14:textId="77777777" w:rsidR="00CD6352" w:rsidRPr="00F65BAC" w:rsidRDefault="00CD6352" w:rsidP="00CD6352">
      <w:pPr>
        <w:spacing w:line="360" w:lineRule="auto"/>
        <w:jc w:val="both"/>
        <w:rPr>
          <w:rFonts w:ascii="Arial" w:hAnsi="Arial" w:cs="Arial"/>
          <w:sz w:val="16"/>
          <w:szCs w:val="16"/>
        </w:rPr>
      </w:pPr>
      <w:r w:rsidRPr="00F65BAC">
        <w:rPr>
          <w:rFonts w:ascii="Arial" w:hAnsi="Arial" w:cs="Arial"/>
          <w:sz w:val="16"/>
          <w:szCs w:val="16"/>
        </w:rPr>
        <w:t>Source: 15</w:t>
      </w:r>
      <w:r w:rsidRPr="00F65BAC">
        <w:rPr>
          <w:rFonts w:ascii="Arial" w:hAnsi="Arial" w:cs="Arial"/>
          <w:sz w:val="16"/>
          <w:szCs w:val="16"/>
          <w:vertAlign w:val="superscript"/>
        </w:rPr>
        <w:t>th</w:t>
      </w:r>
      <w:r w:rsidRPr="00F65BAC">
        <w:rPr>
          <w:rFonts w:ascii="Arial" w:hAnsi="Arial" w:cs="Arial"/>
          <w:sz w:val="16"/>
          <w:szCs w:val="16"/>
        </w:rPr>
        <w:t xml:space="preserve"> Annual demographic international housing affordability survey (2019)</w:t>
      </w:r>
    </w:p>
    <w:p w14:paraId="768BAB55" w14:textId="2994DA33" w:rsidR="00CD6352" w:rsidRPr="00F65BAC" w:rsidRDefault="00CD6352" w:rsidP="00CD6352">
      <w:pPr>
        <w:spacing w:line="360" w:lineRule="auto"/>
        <w:jc w:val="both"/>
        <w:rPr>
          <w:rFonts w:ascii="Arial" w:hAnsi="Arial" w:cs="Arial"/>
        </w:rPr>
      </w:pPr>
      <w:r w:rsidRPr="00F65BAC">
        <w:rPr>
          <w:rFonts w:ascii="Arial" w:hAnsi="Arial" w:cs="Arial"/>
        </w:rPr>
        <w:t xml:space="preserve">Table 1.1. gives credence that major developed countries of the world also experience a gap in the supply and demand for real estate. Furthermore, the graph below reflects housing shortages in major cities </w:t>
      </w:r>
      <w:r w:rsidR="0071613E">
        <w:rPr>
          <w:rFonts w:ascii="Arial" w:hAnsi="Arial" w:cs="Arial"/>
        </w:rPr>
        <w:t>worldwide</w:t>
      </w:r>
      <w:r w:rsidRPr="00F65BAC">
        <w:rPr>
          <w:rFonts w:ascii="Arial" w:hAnsi="Arial" w:cs="Arial"/>
        </w:rPr>
        <w:t>, including some of the emerging economies covered by this study.</w:t>
      </w:r>
    </w:p>
    <w:p w14:paraId="6738DBC8" w14:textId="77777777" w:rsidR="00CD6352" w:rsidRPr="00A615C0" w:rsidRDefault="00CD6352" w:rsidP="00CD6352">
      <w:pPr>
        <w:keepNext/>
        <w:spacing w:line="360" w:lineRule="auto"/>
        <w:jc w:val="both"/>
        <w:rPr>
          <w:sz w:val="16"/>
          <w:szCs w:val="16"/>
        </w:rPr>
      </w:pPr>
      <w:r w:rsidRPr="00A615C0">
        <w:rPr>
          <w:rFonts w:ascii="Arial" w:hAnsi="Arial" w:cs="Arial"/>
          <w:noProof/>
          <w:sz w:val="16"/>
          <w:szCs w:val="16"/>
          <w:lang w:eastAsia="en-GB"/>
        </w:rPr>
        <w:drawing>
          <wp:inline distT="0" distB="0" distL="0" distR="0" wp14:anchorId="5BBE7ED5" wp14:editId="3614A78B">
            <wp:extent cx="5730240" cy="2731625"/>
            <wp:effectExtent l="0" t="0" r="381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359" cy="2736449"/>
                    </a:xfrm>
                    <a:prstGeom prst="rect">
                      <a:avLst/>
                    </a:prstGeom>
                    <a:noFill/>
                    <a:ln>
                      <a:noFill/>
                    </a:ln>
                  </pic:spPr>
                </pic:pic>
              </a:graphicData>
            </a:graphic>
          </wp:inline>
        </w:drawing>
      </w:r>
    </w:p>
    <w:p w14:paraId="0B5463E6" w14:textId="7050C63B" w:rsidR="00CD6352" w:rsidRPr="00A615C0" w:rsidRDefault="00CD6352" w:rsidP="00CD6352">
      <w:pPr>
        <w:pStyle w:val="Caption"/>
        <w:jc w:val="both"/>
        <w:rPr>
          <w:rFonts w:ascii="Arial" w:hAnsi="Arial" w:cs="Arial"/>
          <w:i w:val="0"/>
          <w:iCs w:val="0"/>
          <w:sz w:val="16"/>
          <w:szCs w:val="16"/>
        </w:rPr>
      </w:pPr>
      <w:bookmarkStart w:id="13" w:name="_Toc78739564"/>
      <w:r w:rsidRPr="00A615C0">
        <w:rPr>
          <w:rFonts w:ascii="Arial" w:hAnsi="Arial" w:cs="Arial"/>
          <w:i w:val="0"/>
          <w:iCs w:val="0"/>
          <w:sz w:val="16"/>
          <w:szCs w:val="16"/>
        </w:rPr>
        <w:t xml:space="preserve">Figure </w:t>
      </w:r>
      <w:bookmarkStart w:id="14" w:name="_Hlk63541573"/>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1.1</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SEQ Figure \* ARABIC \s 2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1</w:t>
      </w:r>
      <w:r w:rsidR="00324B0D">
        <w:rPr>
          <w:rFonts w:ascii="Arial" w:hAnsi="Arial" w:cs="Arial"/>
          <w:i w:val="0"/>
          <w:iCs w:val="0"/>
          <w:sz w:val="16"/>
          <w:szCs w:val="16"/>
        </w:rPr>
        <w:fldChar w:fldCharType="end"/>
      </w:r>
      <w:r w:rsidRPr="00A615C0">
        <w:rPr>
          <w:rFonts w:ascii="Arial" w:hAnsi="Arial" w:cs="Arial"/>
          <w:i w:val="0"/>
          <w:iCs w:val="0"/>
          <w:sz w:val="16"/>
          <w:szCs w:val="16"/>
        </w:rPr>
        <w:t>: Bloomberg housing affordability index</w:t>
      </w:r>
      <w:bookmarkEnd w:id="13"/>
      <w:bookmarkEnd w:id="14"/>
    </w:p>
    <w:p w14:paraId="3F8912AC" w14:textId="10D2CEFD" w:rsidR="00CD6352" w:rsidRPr="00E03CFE" w:rsidRDefault="00CD6352" w:rsidP="00CD6352">
      <w:pPr>
        <w:spacing w:line="360" w:lineRule="auto"/>
        <w:jc w:val="both"/>
        <w:rPr>
          <w:rFonts w:ascii="Arial" w:hAnsi="Arial" w:cs="Arial"/>
        </w:rPr>
      </w:pPr>
      <w:r w:rsidRPr="00EA7665">
        <w:rPr>
          <w:rFonts w:ascii="Arial" w:hAnsi="Arial" w:cs="Arial"/>
        </w:rPr>
        <w:t xml:space="preserve"> </w:t>
      </w:r>
      <w:r w:rsidRPr="00A615C0">
        <w:rPr>
          <w:rFonts w:ascii="Arial" w:hAnsi="Arial" w:cs="Arial"/>
        </w:rPr>
        <w:t xml:space="preserve">Managers in this sector are not optimally able to access finance, </w:t>
      </w:r>
      <w:r w:rsidR="0071613E">
        <w:rPr>
          <w:rFonts w:ascii="Arial" w:hAnsi="Arial" w:cs="Arial"/>
        </w:rPr>
        <w:t xml:space="preserve">which is </w:t>
      </w:r>
      <w:r w:rsidR="005F4ADE">
        <w:rPr>
          <w:rFonts w:ascii="Arial" w:hAnsi="Arial" w:cs="Arial"/>
        </w:rPr>
        <w:t>a fundamental reason</w:t>
      </w:r>
      <w:r w:rsidRPr="00A615C0">
        <w:rPr>
          <w:rFonts w:ascii="Arial" w:hAnsi="Arial" w:cs="Arial"/>
        </w:rPr>
        <w:t xml:space="preserve"> why housing and real estate development challenges are </w:t>
      </w:r>
      <w:r w:rsidR="009A2F56" w:rsidRPr="00A615C0">
        <w:rPr>
          <w:rFonts w:ascii="Arial" w:hAnsi="Arial" w:cs="Arial"/>
        </w:rPr>
        <w:t>still evident</w:t>
      </w:r>
      <w:r w:rsidRPr="00A615C0">
        <w:rPr>
          <w:rFonts w:ascii="Arial" w:hAnsi="Arial" w:cs="Arial"/>
        </w:rPr>
        <w:t xml:space="preserve"> globally. In some cases, the managers can access funding, but they do not source the right kind of funds or effectively use the funds; hence payback to financiers is compromised. There are scenarios where short-term funds are sourced for long term projects, </w:t>
      </w:r>
      <w:r w:rsidR="0071613E">
        <w:rPr>
          <w:rFonts w:ascii="Arial" w:hAnsi="Arial" w:cs="Arial"/>
        </w:rPr>
        <w:t>which</w:t>
      </w:r>
      <w:r w:rsidRPr="00A615C0">
        <w:rPr>
          <w:rFonts w:ascii="Arial" w:hAnsi="Arial" w:cs="Arial"/>
        </w:rPr>
        <w:t xml:space="preserve"> will inadvertently lead to payment default (Wallace, 2015). Despite governmental support across the globe and the fact that regulatory authorities are heavily involved in the </w:t>
      </w:r>
      <w:r w:rsidR="0071613E">
        <w:rPr>
          <w:rFonts w:ascii="Arial" w:hAnsi="Arial" w:cs="Arial"/>
        </w:rPr>
        <w:t>financial markets' activitie</w:t>
      </w:r>
      <w:r w:rsidRPr="00A615C0">
        <w:rPr>
          <w:rFonts w:ascii="Arial" w:hAnsi="Arial" w:cs="Arial"/>
        </w:rPr>
        <w:t xml:space="preserve">s, managers still face the problem of securing finance for real estate project development in both developed </w:t>
      </w:r>
      <w:r w:rsidRPr="00A615C0">
        <w:rPr>
          <w:rFonts w:ascii="Arial" w:hAnsi="Arial" w:cs="Arial"/>
        </w:rPr>
        <w:lastRenderedPageBreak/>
        <w:t>and</w:t>
      </w:r>
      <w:r w:rsidRPr="00EA7665">
        <w:rPr>
          <w:rFonts w:ascii="Arial" w:hAnsi="Arial" w:cs="Arial"/>
        </w:rPr>
        <w:t xml:space="preserve"> </w:t>
      </w:r>
      <w:r w:rsidRPr="00E03CFE">
        <w:rPr>
          <w:rFonts w:ascii="Arial" w:hAnsi="Arial" w:cs="Arial"/>
        </w:rPr>
        <w:t xml:space="preserve">emerging economies. However, the funding gap is more evident in emerging economies (Ogbenjuwa et al., 2018). </w:t>
      </w:r>
    </w:p>
    <w:p w14:paraId="089E1918" w14:textId="220E674E" w:rsidR="00CD6352" w:rsidRPr="00E03CFE" w:rsidRDefault="006752C2" w:rsidP="00CD6352">
      <w:pPr>
        <w:spacing w:line="360" w:lineRule="auto"/>
        <w:jc w:val="both"/>
        <w:rPr>
          <w:rFonts w:ascii="Arial" w:hAnsi="Arial" w:cs="Arial"/>
        </w:rPr>
      </w:pPr>
      <w:r>
        <w:rPr>
          <w:rFonts w:ascii="Arial" w:hAnsi="Arial" w:cs="Arial"/>
        </w:rPr>
        <w:t xml:space="preserve">The researcher undertook an extensive literature review and informal discussions with some stakeholders in the built environment to address </w:t>
      </w:r>
      <w:r w:rsidR="00D82080">
        <w:rPr>
          <w:rFonts w:ascii="Arial" w:hAnsi="Arial" w:cs="Arial"/>
        </w:rPr>
        <w:t>real estate project development financing problems</w:t>
      </w:r>
      <w:r>
        <w:rPr>
          <w:rFonts w:ascii="Arial" w:hAnsi="Arial" w:cs="Arial"/>
        </w:rPr>
        <w:t>.</w:t>
      </w:r>
      <w:r w:rsidR="00CD6352" w:rsidRPr="00E03CFE">
        <w:rPr>
          <w:rFonts w:ascii="Arial" w:hAnsi="Arial" w:cs="Arial"/>
        </w:rPr>
        <w:t xml:space="preserve"> This discussion brought to the fore the salient gap in the literature</w:t>
      </w:r>
      <w:r w:rsidR="00D82080">
        <w:rPr>
          <w:rFonts w:ascii="Arial" w:hAnsi="Arial" w:cs="Arial"/>
        </w:rPr>
        <w:t>: the skills, knowledge, and competence</w:t>
      </w:r>
      <w:r>
        <w:rPr>
          <w:rFonts w:ascii="Arial" w:hAnsi="Arial" w:cs="Arial"/>
        </w:rPr>
        <w:t>s that the real estate development sector manage</w:t>
      </w:r>
      <w:r w:rsidR="00CD6352" w:rsidRPr="00E03CFE">
        <w:rPr>
          <w:rFonts w:ascii="Arial" w:hAnsi="Arial" w:cs="Arial"/>
        </w:rPr>
        <w:t xml:space="preserve">r needs to facilitate their ability to secure funding for real estate project development. Furthermore, </w:t>
      </w:r>
      <w:r w:rsidR="002F0C5F">
        <w:rPr>
          <w:rFonts w:ascii="Arial" w:hAnsi="Arial" w:cs="Arial"/>
        </w:rPr>
        <w:t xml:space="preserve">from the literature review, there is </w:t>
      </w:r>
      <w:r>
        <w:rPr>
          <w:rFonts w:ascii="Arial" w:hAnsi="Arial" w:cs="Arial"/>
        </w:rPr>
        <w:t>no detailed framework</w:t>
      </w:r>
      <w:r w:rsidR="00CD6352" w:rsidRPr="00E03CFE">
        <w:rPr>
          <w:rFonts w:ascii="Arial" w:hAnsi="Arial" w:cs="Arial"/>
        </w:rPr>
        <w:t xml:space="preserve"> </w:t>
      </w:r>
      <w:r w:rsidR="002F0C5F">
        <w:rPr>
          <w:rFonts w:ascii="Arial" w:hAnsi="Arial" w:cs="Arial"/>
        </w:rPr>
        <w:t xml:space="preserve">available that provides </w:t>
      </w:r>
      <w:r w:rsidR="00CD6352" w:rsidRPr="00E03CFE">
        <w:rPr>
          <w:rFonts w:ascii="Arial" w:hAnsi="Arial" w:cs="Arial"/>
        </w:rPr>
        <w:t>a guide for real estate development managers in obtaining finance for project development. There</w:t>
      </w:r>
      <w:r w:rsidR="00B20E64">
        <w:rPr>
          <w:rFonts w:ascii="Arial" w:hAnsi="Arial" w:cs="Arial"/>
        </w:rPr>
        <w:t xml:space="preserve">fore, there is a need for a guide that will support the manager in securing finance for real estate project development. </w:t>
      </w:r>
      <w:r w:rsidR="006F44C8">
        <w:rPr>
          <w:rFonts w:ascii="Arial" w:hAnsi="Arial" w:cs="Arial"/>
        </w:rPr>
        <w:t>The need for a guide to support managers in securing finance for real estate project develop</w:t>
      </w:r>
      <w:r w:rsidR="000D2722">
        <w:rPr>
          <w:rFonts w:ascii="Arial" w:hAnsi="Arial" w:cs="Arial"/>
        </w:rPr>
        <w:t>ment</w:t>
      </w:r>
      <w:r w:rsidR="006F44C8">
        <w:rPr>
          <w:rFonts w:ascii="Arial" w:hAnsi="Arial" w:cs="Arial"/>
        </w:rPr>
        <w:t xml:space="preserve"> was conceptualised and evolved in the cause of this research.</w:t>
      </w:r>
    </w:p>
    <w:p w14:paraId="34356192" w14:textId="1D9DF16E" w:rsidR="00CD6352" w:rsidRPr="00E03CFE" w:rsidRDefault="00D82080" w:rsidP="00CD6352">
      <w:pPr>
        <w:spacing w:line="360" w:lineRule="auto"/>
        <w:jc w:val="both"/>
        <w:rPr>
          <w:rFonts w:ascii="Arial" w:hAnsi="Arial" w:cs="Arial"/>
        </w:rPr>
      </w:pPr>
      <w:r>
        <w:rPr>
          <w:rFonts w:ascii="Arial" w:hAnsi="Arial" w:cs="Arial"/>
        </w:rPr>
        <w:t xml:space="preserve">The following section </w:t>
      </w:r>
      <w:r w:rsidR="00B20E64">
        <w:rPr>
          <w:rFonts w:ascii="Arial" w:hAnsi="Arial" w:cs="Arial"/>
        </w:rPr>
        <w:t>highlights</w:t>
      </w:r>
      <w:r>
        <w:rPr>
          <w:rFonts w:ascii="Arial" w:hAnsi="Arial" w:cs="Arial"/>
        </w:rPr>
        <w:t xml:space="preserve"> the research aims, objectives, and rationale for the research with the background established</w:t>
      </w:r>
      <w:r w:rsidR="00CD6352" w:rsidRPr="00E03CFE">
        <w:rPr>
          <w:rFonts w:ascii="Arial" w:hAnsi="Arial" w:cs="Arial"/>
        </w:rPr>
        <w:t>.</w:t>
      </w:r>
    </w:p>
    <w:p w14:paraId="7EECEC30" w14:textId="4BA21CAE" w:rsidR="00CD6352" w:rsidRPr="00E03CFE" w:rsidRDefault="00CD6352" w:rsidP="00CD6352">
      <w:pPr>
        <w:pStyle w:val="Heading2"/>
        <w:spacing w:after="240"/>
        <w:rPr>
          <w:rFonts w:cs="Arial"/>
          <w:sz w:val="22"/>
          <w:szCs w:val="22"/>
        </w:rPr>
      </w:pPr>
      <w:bookmarkStart w:id="15" w:name="_Toc78983764"/>
      <w:r w:rsidRPr="00E03CFE">
        <w:rPr>
          <w:rFonts w:cs="Arial"/>
          <w:sz w:val="22"/>
          <w:szCs w:val="22"/>
        </w:rPr>
        <w:t>Research Aim and Objectives</w:t>
      </w:r>
      <w:bookmarkEnd w:id="15"/>
    </w:p>
    <w:p w14:paraId="13DAC2BE" w14:textId="293A4FCA" w:rsidR="00CD6352" w:rsidRPr="00E03CFE" w:rsidRDefault="00CD6352" w:rsidP="00CD6352">
      <w:pPr>
        <w:spacing w:line="360" w:lineRule="auto"/>
        <w:jc w:val="both"/>
        <w:rPr>
          <w:rFonts w:ascii="Arial" w:hAnsi="Arial" w:cs="Arial"/>
        </w:rPr>
      </w:pPr>
      <w:r w:rsidRPr="00E03CFE">
        <w:rPr>
          <w:rFonts w:ascii="Arial" w:hAnsi="Arial" w:cs="Arial"/>
        </w:rPr>
        <w:t>Th</w:t>
      </w:r>
      <w:r w:rsidR="00B20E64">
        <w:rPr>
          <w:rFonts w:ascii="Arial" w:hAnsi="Arial" w:cs="Arial"/>
        </w:rPr>
        <w:t>is research aim</w:t>
      </w:r>
      <w:r w:rsidR="00DA4345" w:rsidRPr="00E03CFE">
        <w:rPr>
          <w:rFonts w:ascii="Arial" w:hAnsi="Arial" w:cs="Arial"/>
        </w:rPr>
        <w:t xml:space="preserve">s </w:t>
      </w:r>
      <w:r w:rsidRPr="00E03CFE">
        <w:rPr>
          <w:rFonts w:ascii="Arial" w:hAnsi="Arial" w:cs="Arial"/>
        </w:rPr>
        <w:t>to develop a toolkit t</w:t>
      </w:r>
      <w:r w:rsidR="005F4ADE">
        <w:rPr>
          <w:rFonts w:ascii="Arial" w:hAnsi="Arial" w:cs="Arial"/>
        </w:rPr>
        <w:t xml:space="preserve">o </w:t>
      </w:r>
      <w:r w:rsidRPr="00E03CFE">
        <w:rPr>
          <w:rFonts w:ascii="Arial" w:hAnsi="Arial" w:cs="Arial"/>
        </w:rPr>
        <w:t xml:space="preserve">support real estate managers in securing </w:t>
      </w:r>
      <w:r w:rsidR="00AE12DB">
        <w:rPr>
          <w:rFonts w:ascii="Arial" w:hAnsi="Arial" w:cs="Arial"/>
        </w:rPr>
        <w:t>real estate project development finance</w:t>
      </w:r>
      <w:r w:rsidRPr="00E03CFE">
        <w:rPr>
          <w:rFonts w:ascii="Arial" w:hAnsi="Arial" w:cs="Arial"/>
        </w:rPr>
        <w:t>.</w:t>
      </w:r>
      <w:r w:rsidR="00AF3150" w:rsidRPr="00E03CFE">
        <w:rPr>
          <w:rFonts w:ascii="Arial" w:hAnsi="Arial" w:cs="Arial"/>
        </w:rPr>
        <w:t xml:space="preserve"> </w:t>
      </w:r>
    </w:p>
    <w:p w14:paraId="4A6DBB1B" w14:textId="77777777" w:rsidR="00CD6352" w:rsidRPr="00E03CFE" w:rsidRDefault="00CD6352" w:rsidP="00CD6352">
      <w:pPr>
        <w:spacing w:line="360" w:lineRule="auto"/>
        <w:jc w:val="both"/>
        <w:rPr>
          <w:rFonts w:ascii="Arial" w:hAnsi="Arial" w:cs="Arial"/>
        </w:rPr>
      </w:pPr>
      <w:r w:rsidRPr="00E03CFE">
        <w:rPr>
          <w:rFonts w:ascii="Arial" w:hAnsi="Arial" w:cs="Arial"/>
        </w:rPr>
        <w:t>The following objectives will assist in achieving the research aim:</w:t>
      </w:r>
    </w:p>
    <w:p w14:paraId="6EAFCA9B" w14:textId="0CA3EAF3" w:rsidR="00CD6352" w:rsidRPr="00E03CFE" w:rsidRDefault="00CD6352" w:rsidP="00C74AEC">
      <w:pPr>
        <w:numPr>
          <w:ilvl w:val="0"/>
          <w:numId w:val="40"/>
        </w:numPr>
        <w:spacing w:line="360" w:lineRule="auto"/>
        <w:jc w:val="both"/>
        <w:rPr>
          <w:rFonts w:ascii="Arial" w:hAnsi="Arial" w:cs="Arial"/>
        </w:rPr>
      </w:pPr>
      <w:bookmarkStart w:id="16" w:name="_Hlk75531076"/>
      <w:r w:rsidRPr="00E03CFE">
        <w:rPr>
          <w:rFonts w:ascii="Arial" w:hAnsi="Arial" w:cs="Arial"/>
        </w:rPr>
        <w:t xml:space="preserve">To examine the </w:t>
      </w:r>
      <w:r w:rsidR="00DF1947">
        <w:rPr>
          <w:rFonts w:ascii="Arial" w:hAnsi="Arial" w:cs="Arial"/>
        </w:rPr>
        <w:t>various</w:t>
      </w:r>
      <w:r w:rsidRPr="00E03CFE">
        <w:rPr>
          <w:rFonts w:ascii="Arial" w:hAnsi="Arial" w:cs="Arial"/>
        </w:rPr>
        <w:t xml:space="preserve"> real estate finance options/ instruments for real estate project development</w:t>
      </w:r>
      <w:r w:rsidR="0041157B">
        <w:rPr>
          <w:rFonts w:ascii="Arial" w:hAnsi="Arial" w:cs="Arial"/>
        </w:rPr>
        <w:t xml:space="preserve">; &amp; to </w:t>
      </w:r>
      <w:r w:rsidR="00DF1947">
        <w:rPr>
          <w:rFonts w:ascii="Arial" w:hAnsi="Arial" w:cs="Arial"/>
        </w:rPr>
        <w:t xml:space="preserve">ascertain and document the criteria </w:t>
      </w:r>
      <w:r w:rsidRPr="00E03CFE">
        <w:rPr>
          <w:rFonts w:ascii="Arial" w:hAnsi="Arial" w:cs="Arial"/>
        </w:rPr>
        <w:t>funding institutions use in lending for real estate project development.</w:t>
      </w:r>
    </w:p>
    <w:p w14:paraId="68FC874E" w14:textId="0508049C" w:rsidR="00CD6352" w:rsidRPr="00E03CFE" w:rsidRDefault="00CD6352" w:rsidP="00C74AEC">
      <w:pPr>
        <w:numPr>
          <w:ilvl w:val="0"/>
          <w:numId w:val="40"/>
        </w:numPr>
        <w:spacing w:line="360" w:lineRule="auto"/>
        <w:jc w:val="both"/>
        <w:rPr>
          <w:rFonts w:ascii="Arial" w:hAnsi="Arial" w:cs="Arial"/>
        </w:rPr>
      </w:pPr>
      <w:r w:rsidRPr="00E03CFE">
        <w:rPr>
          <w:rFonts w:ascii="Arial" w:hAnsi="Arial" w:cs="Arial"/>
        </w:rPr>
        <w:t xml:space="preserve">To identify </w:t>
      </w:r>
      <w:r w:rsidR="00922E79">
        <w:rPr>
          <w:rFonts w:ascii="Arial" w:hAnsi="Arial" w:cs="Arial"/>
        </w:rPr>
        <w:t xml:space="preserve">the </w:t>
      </w:r>
      <w:r w:rsidRPr="00E03CFE">
        <w:rPr>
          <w:rFonts w:ascii="Arial" w:hAnsi="Arial" w:cs="Arial"/>
        </w:rPr>
        <w:t>opportunities</w:t>
      </w:r>
      <w:r w:rsidR="00922E79">
        <w:rPr>
          <w:rFonts w:ascii="Arial" w:hAnsi="Arial" w:cs="Arial"/>
        </w:rPr>
        <w:t xml:space="preserve">, </w:t>
      </w:r>
      <w:r w:rsidRPr="00E03CFE">
        <w:rPr>
          <w:rFonts w:ascii="Arial" w:hAnsi="Arial" w:cs="Arial"/>
        </w:rPr>
        <w:t xml:space="preserve">challenges </w:t>
      </w:r>
      <w:r w:rsidR="00DF1947">
        <w:rPr>
          <w:rFonts w:ascii="Arial" w:hAnsi="Arial" w:cs="Arial"/>
        </w:rPr>
        <w:t>and</w:t>
      </w:r>
      <w:r w:rsidRPr="00E03CFE">
        <w:rPr>
          <w:rFonts w:ascii="Arial" w:hAnsi="Arial" w:cs="Arial"/>
        </w:rPr>
        <w:t xml:space="preserve"> critical success factor</w:t>
      </w:r>
      <w:r w:rsidR="00922E79">
        <w:rPr>
          <w:rFonts w:ascii="Arial" w:hAnsi="Arial" w:cs="Arial"/>
        </w:rPr>
        <w:t>s</w:t>
      </w:r>
      <w:r w:rsidRPr="00E03CFE">
        <w:rPr>
          <w:rFonts w:ascii="Arial" w:hAnsi="Arial" w:cs="Arial"/>
        </w:rPr>
        <w:t xml:space="preserve"> </w:t>
      </w:r>
      <w:r w:rsidR="00436408">
        <w:rPr>
          <w:rFonts w:ascii="Arial" w:hAnsi="Arial" w:cs="Arial"/>
        </w:rPr>
        <w:t xml:space="preserve">associated with </w:t>
      </w:r>
      <w:r w:rsidRPr="00E03CFE">
        <w:rPr>
          <w:rFonts w:ascii="Arial" w:hAnsi="Arial" w:cs="Arial"/>
        </w:rPr>
        <w:t>securing finance for real estate project development.</w:t>
      </w:r>
    </w:p>
    <w:p w14:paraId="3ADFA3DD" w14:textId="3DF73F3F" w:rsidR="00CD6352" w:rsidRPr="00E03CFE" w:rsidRDefault="00CD6352" w:rsidP="00C74AEC">
      <w:pPr>
        <w:numPr>
          <w:ilvl w:val="0"/>
          <w:numId w:val="40"/>
        </w:numPr>
        <w:spacing w:line="360" w:lineRule="auto"/>
        <w:jc w:val="both"/>
        <w:rPr>
          <w:rFonts w:ascii="Arial" w:hAnsi="Arial" w:cs="Arial"/>
        </w:rPr>
      </w:pPr>
      <w:r w:rsidRPr="00E03CFE">
        <w:rPr>
          <w:rFonts w:ascii="Arial" w:hAnsi="Arial" w:cs="Arial"/>
        </w:rPr>
        <w:t xml:space="preserve">  To document the processes and key decisions for securing finance for real estate project development.</w:t>
      </w:r>
    </w:p>
    <w:p w14:paraId="309E17AC" w14:textId="20D6119F" w:rsidR="00CD6352" w:rsidRPr="00E03CFE" w:rsidRDefault="00CD6352" w:rsidP="00C74AEC">
      <w:pPr>
        <w:numPr>
          <w:ilvl w:val="0"/>
          <w:numId w:val="40"/>
        </w:numPr>
        <w:spacing w:line="360" w:lineRule="auto"/>
        <w:jc w:val="both"/>
        <w:rPr>
          <w:rFonts w:ascii="Arial" w:hAnsi="Arial" w:cs="Arial"/>
        </w:rPr>
      </w:pPr>
      <w:r w:rsidRPr="00E03CFE">
        <w:rPr>
          <w:rFonts w:ascii="Arial" w:hAnsi="Arial" w:cs="Arial"/>
        </w:rPr>
        <w:t xml:space="preserve">To identify and document the skills, knowledge, </w:t>
      </w:r>
      <w:r w:rsidR="00DF1947">
        <w:rPr>
          <w:rFonts w:ascii="Arial" w:hAnsi="Arial" w:cs="Arial"/>
        </w:rPr>
        <w:t>and competenc</w:t>
      </w:r>
      <w:r w:rsidR="00496C9C">
        <w:rPr>
          <w:rFonts w:ascii="Arial" w:hAnsi="Arial" w:cs="Arial"/>
        </w:rPr>
        <w:t xml:space="preserve">es and ascertain the </w:t>
      </w:r>
      <w:r w:rsidR="0066170E" w:rsidRPr="0066170E">
        <w:rPr>
          <w:rFonts w:ascii="Arial" w:hAnsi="Arial" w:cs="Arial"/>
        </w:rPr>
        <w:t xml:space="preserve">career pathway, </w:t>
      </w:r>
      <w:r w:rsidR="00496C9C">
        <w:rPr>
          <w:rFonts w:ascii="Arial" w:hAnsi="Arial" w:cs="Arial"/>
        </w:rPr>
        <w:t>training background</w:t>
      </w:r>
      <w:r w:rsidR="0066170E">
        <w:rPr>
          <w:rFonts w:ascii="Arial" w:hAnsi="Arial" w:cs="Arial"/>
        </w:rPr>
        <w:t xml:space="preserve"> and </w:t>
      </w:r>
      <w:r w:rsidR="00496C9C">
        <w:rPr>
          <w:rFonts w:ascii="Arial" w:hAnsi="Arial" w:cs="Arial"/>
        </w:rPr>
        <w:t xml:space="preserve">education </w:t>
      </w:r>
      <w:r w:rsidRPr="00E03CFE">
        <w:rPr>
          <w:rFonts w:ascii="Arial" w:hAnsi="Arial" w:cs="Arial"/>
        </w:rPr>
        <w:t xml:space="preserve">the real estate development manager needs to </w:t>
      </w:r>
      <w:r w:rsidR="00DF1947">
        <w:rPr>
          <w:rFonts w:ascii="Arial" w:hAnsi="Arial" w:cs="Arial"/>
        </w:rPr>
        <w:t>secure</w:t>
      </w:r>
      <w:r w:rsidRPr="00E03CFE">
        <w:rPr>
          <w:rFonts w:ascii="Arial" w:hAnsi="Arial" w:cs="Arial"/>
        </w:rPr>
        <w:t xml:space="preserve"> finance for real estate project development.</w:t>
      </w:r>
    </w:p>
    <w:p w14:paraId="3BFEF8C7" w14:textId="3E8F0CF2" w:rsidR="00CD6352" w:rsidRDefault="00AF700B" w:rsidP="006E742C">
      <w:pPr>
        <w:pStyle w:val="ListParagraph"/>
        <w:numPr>
          <w:ilvl w:val="0"/>
          <w:numId w:val="40"/>
        </w:numPr>
        <w:spacing w:line="360" w:lineRule="auto"/>
        <w:jc w:val="both"/>
        <w:rPr>
          <w:rFonts w:ascii="Arial" w:hAnsi="Arial" w:cs="Arial"/>
        </w:rPr>
      </w:pPr>
      <w:bookmarkStart w:id="17" w:name="_Hlk78372453"/>
      <w:r>
        <w:rPr>
          <w:rFonts w:ascii="Arial" w:hAnsi="Arial" w:cs="Arial"/>
        </w:rPr>
        <w:t xml:space="preserve">To integrate the different components of the </w:t>
      </w:r>
      <w:r w:rsidR="00CD6352" w:rsidRPr="007625E7">
        <w:rPr>
          <w:rFonts w:ascii="Arial" w:hAnsi="Arial" w:cs="Arial"/>
        </w:rPr>
        <w:t xml:space="preserve">tool kit for securing finance for real estate project development. </w:t>
      </w:r>
    </w:p>
    <w:bookmarkEnd w:id="17"/>
    <w:p w14:paraId="5007F5C3" w14:textId="377582D1" w:rsidR="00573160" w:rsidRPr="007625E7" w:rsidRDefault="00573160">
      <w:pPr>
        <w:spacing w:line="360" w:lineRule="auto"/>
        <w:jc w:val="both"/>
        <w:rPr>
          <w:rFonts w:ascii="Arial" w:hAnsi="Arial" w:cs="Arial"/>
        </w:rPr>
      </w:pPr>
      <w:r>
        <w:rPr>
          <w:rFonts w:ascii="Arial" w:hAnsi="Arial" w:cs="Arial"/>
        </w:rPr>
        <w:t>The components of the toolkit for securing finance for real estate project development is contained in table 1.2.</w:t>
      </w:r>
    </w:p>
    <w:p w14:paraId="2C52AA07" w14:textId="65CCCA7F" w:rsidR="006E742C" w:rsidRPr="006E742C" w:rsidRDefault="006E742C" w:rsidP="006E742C">
      <w:pPr>
        <w:pStyle w:val="Caption"/>
        <w:keepNext/>
      </w:pPr>
      <w:bookmarkStart w:id="18" w:name="_Toc78983951"/>
      <w:r>
        <w:lastRenderedPageBreak/>
        <w:t xml:space="preserve">Table </w:t>
      </w:r>
      <w:fldSimple w:instr=" STYLEREF 2 \s ">
        <w:r w:rsidR="008F25B1">
          <w:rPr>
            <w:noProof/>
          </w:rPr>
          <w:t>1.2</w:t>
        </w:r>
      </w:fldSimple>
      <w:r w:rsidR="008F25B1">
        <w:noBreakHyphen/>
      </w:r>
      <w:fldSimple w:instr=" SEQ Table \* ARABIC \s 2 ">
        <w:r w:rsidR="008F25B1">
          <w:rPr>
            <w:noProof/>
          </w:rPr>
          <w:t>1</w:t>
        </w:r>
      </w:fldSimple>
      <w:r>
        <w:t xml:space="preserve">: </w:t>
      </w:r>
      <w:r w:rsidRPr="006E742C">
        <w:t>Components of the toolkit for securing finance for real estate project development.</w:t>
      </w:r>
      <w:bookmarkEnd w:id="18"/>
    </w:p>
    <w:tbl>
      <w:tblPr>
        <w:tblStyle w:val="TableGrid"/>
        <w:tblW w:w="9153" w:type="dxa"/>
        <w:tblLook w:val="04A0" w:firstRow="1" w:lastRow="0" w:firstColumn="1" w:lastColumn="0" w:noHBand="0" w:noVBand="1"/>
      </w:tblPr>
      <w:tblGrid>
        <w:gridCol w:w="742"/>
        <w:gridCol w:w="4617"/>
        <w:gridCol w:w="2618"/>
        <w:gridCol w:w="1176"/>
      </w:tblGrid>
      <w:tr w:rsidR="006E742C" w:rsidRPr="00A86BC7" w14:paraId="6AFB3F8A" w14:textId="77777777" w:rsidTr="00F01C85">
        <w:trPr>
          <w:trHeight w:val="169"/>
        </w:trPr>
        <w:tc>
          <w:tcPr>
            <w:tcW w:w="0" w:type="auto"/>
            <w:gridSpan w:val="4"/>
          </w:tcPr>
          <w:p w14:paraId="0121064C" w14:textId="77777777" w:rsidR="006E742C" w:rsidRPr="00A86BC7" w:rsidRDefault="006E742C" w:rsidP="00F01C85">
            <w:pPr>
              <w:jc w:val="center"/>
              <w:rPr>
                <w:rFonts w:ascii="Arial" w:hAnsi="Arial" w:cs="Arial"/>
                <w:b/>
                <w:sz w:val="16"/>
                <w:szCs w:val="16"/>
              </w:rPr>
            </w:pPr>
            <w:r w:rsidRPr="00A86BC7">
              <w:rPr>
                <w:rFonts w:ascii="Arial" w:hAnsi="Arial" w:cs="Arial"/>
                <w:b/>
                <w:sz w:val="16"/>
                <w:szCs w:val="16"/>
              </w:rPr>
              <w:t xml:space="preserve">Components of </w:t>
            </w:r>
            <w:r>
              <w:rPr>
                <w:rFonts w:ascii="Arial" w:hAnsi="Arial" w:cs="Arial"/>
                <w:b/>
                <w:sz w:val="16"/>
                <w:szCs w:val="16"/>
              </w:rPr>
              <w:t xml:space="preserve">the </w:t>
            </w:r>
            <w:r w:rsidRPr="00A86BC7">
              <w:rPr>
                <w:rFonts w:ascii="Arial" w:hAnsi="Arial" w:cs="Arial"/>
                <w:b/>
                <w:sz w:val="16"/>
                <w:szCs w:val="16"/>
              </w:rPr>
              <w:t>toolkit for securing finance for real estate project development</w:t>
            </w:r>
          </w:p>
        </w:tc>
      </w:tr>
      <w:tr w:rsidR="006E742C" w:rsidRPr="00A86BC7" w14:paraId="39E10184" w14:textId="77777777" w:rsidTr="00C41E23">
        <w:trPr>
          <w:trHeight w:val="338"/>
        </w:trPr>
        <w:tc>
          <w:tcPr>
            <w:tcW w:w="0" w:type="auto"/>
          </w:tcPr>
          <w:p w14:paraId="43C1783C" w14:textId="77777777" w:rsidR="006E742C" w:rsidRPr="00A86BC7" w:rsidRDefault="006E742C" w:rsidP="00F01C85">
            <w:pPr>
              <w:jc w:val="both"/>
              <w:rPr>
                <w:rFonts w:ascii="Arial" w:hAnsi="Arial" w:cs="Arial"/>
                <w:b/>
                <w:sz w:val="16"/>
                <w:szCs w:val="16"/>
              </w:rPr>
            </w:pPr>
            <w:r w:rsidRPr="00A86BC7">
              <w:rPr>
                <w:rFonts w:ascii="Arial" w:hAnsi="Arial" w:cs="Arial"/>
                <w:b/>
                <w:sz w:val="16"/>
                <w:szCs w:val="16"/>
              </w:rPr>
              <w:t>Stages</w:t>
            </w:r>
          </w:p>
        </w:tc>
        <w:tc>
          <w:tcPr>
            <w:tcW w:w="4626" w:type="dxa"/>
          </w:tcPr>
          <w:p w14:paraId="702E78C6" w14:textId="77777777" w:rsidR="006E742C" w:rsidRPr="00A86BC7" w:rsidRDefault="006E742C" w:rsidP="00F01C85">
            <w:pPr>
              <w:jc w:val="both"/>
              <w:rPr>
                <w:rFonts w:ascii="Arial" w:hAnsi="Arial" w:cs="Arial"/>
                <w:b/>
                <w:sz w:val="16"/>
                <w:szCs w:val="16"/>
              </w:rPr>
            </w:pPr>
            <w:r w:rsidRPr="00A86BC7">
              <w:rPr>
                <w:rFonts w:ascii="Arial" w:hAnsi="Arial" w:cs="Arial"/>
                <w:b/>
                <w:sz w:val="16"/>
                <w:szCs w:val="16"/>
              </w:rPr>
              <w:t>Research objective</w:t>
            </w:r>
            <w:r>
              <w:rPr>
                <w:rFonts w:ascii="Arial" w:hAnsi="Arial" w:cs="Arial"/>
                <w:b/>
                <w:sz w:val="16"/>
                <w:szCs w:val="16"/>
              </w:rPr>
              <w:t>s</w:t>
            </w:r>
          </w:p>
        </w:tc>
        <w:tc>
          <w:tcPr>
            <w:tcW w:w="3786" w:type="dxa"/>
            <w:gridSpan w:val="2"/>
          </w:tcPr>
          <w:p w14:paraId="41DC421C" w14:textId="77777777" w:rsidR="006E742C" w:rsidRPr="00A86BC7" w:rsidRDefault="006E742C" w:rsidP="00F01C85">
            <w:pPr>
              <w:jc w:val="both"/>
              <w:rPr>
                <w:rFonts w:ascii="Arial" w:hAnsi="Arial" w:cs="Arial"/>
                <w:b/>
                <w:sz w:val="16"/>
                <w:szCs w:val="16"/>
              </w:rPr>
            </w:pPr>
            <w:r w:rsidRPr="00A86BC7">
              <w:rPr>
                <w:rFonts w:ascii="Arial" w:hAnsi="Arial" w:cs="Arial"/>
                <w:b/>
                <w:sz w:val="16"/>
                <w:szCs w:val="16"/>
              </w:rPr>
              <w:t>Content of toolkit /Tool kit solution/output</w:t>
            </w:r>
          </w:p>
        </w:tc>
      </w:tr>
      <w:tr w:rsidR="006E742C" w:rsidRPr="00A86BC7" w14:paraId="142B0B66" w14:textId="77777777" w:rsidTr="00C41E23">
        <w:trPr>
          <w:trHeight w:val="351"/>
        </w:trPr>
        <w:tc>
          <w:tcPr>
            <w:tcW w:w="0" w:type="auto"/>
          </w:tcPr>
          <w:p w14:paraId="0803FA86"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1</w:t>
            </w:r>
          </w:p>
        </w:tc>
        <w:tc>
          <w:tcPr>
            <w:tcW w:w="4626" w:type="dxa"/>
          </w:tcPr>
          <w:p w14:paraId="1BAEAACB" w14:textId="0829A821" w:rsidR="006E742C" w:rsidRPr="00A86BC7" w:rsidRDefault="001414E6" w:rsidP="00F01C85">
            <w:pPr>
              <w:jc w:val="both"/>
              <w:rPr>
                <w:rFonts w:ascii="Arial" w:hAnsi="Arial" w:cs="Arial"/>
                <w:sz w:val="16"/>
                <w:szCs w:val="16"/>
              </w:rPr>
            </w:pPr>
            <w:r w:rsidRPr="001414E6">
              <w:rPr>
                <w:rFonts w:ascii="Arial" w:hAnsi="Arial" w:cs="Arial"/>
                <w:sz w:val="16"/>
                <w:szCs w:val="16"/>
              </w:rPr>
              <w:t xml:space="preserve">To examine the various real estate finance options/ instruments for real estate project development and ascertain and document the </w:t>
            </w:r>
            <w:r w:rsidR="00AE12DB">
              <w:rPr>
                <w:rFonts w:ascii="Arial" w:hAnsi="Arial" w:cs="Arial"/>
                <w:sz w:val="16"/>
                <w:szCs w:val="16"/>
              </w:rPr>
              <w:t>funding institutions' criteria for</w:t>
            </w:r>
            <w:r w:rsidRPr="001414E6">
              <w:rPr>
                <w:rFonts w:ascii="Arial" w:hAnsi="Arial" w:cs="Arial"/>
                <w:sz w:val="16"/>
                <w:szCs w:val="16"/>
              </w:rPr>
              <w:t xml:space="preserve"> lending for real estate project development.</w:t>
            </w:r>
          </w:p>
        </w:tc>
        <w:tc>
          <w:tcPr>
            <w:tcW w:w="2622" w:type="dxa"/>
          </w:tcPr>
          <w:p w14:paraId="16DAE57F"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Inventory of finance options and criteria for securing finance for real estate project development.</w:t>
            </w:r>
          </w:p>
        </w:tc>
        <w:tc>
          <w:tcPr>
            <w:tcW w:w="0" w:type="auto"/>
          </w:tcPr>
          <w:p w14:paraId="66A2F201"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Chapters 2, 5</w:t>
            </w:r>
          </w:p>
        </w:tc>
      </w:tr>
      <w:tr w:rsidR="006E742C" w:rsidRPr="00A86BC7" w14:paraId="39659EA5" w14:textId="77777777" w:rsidTr="00C41E23">
        <w:trPr>
          <w:trHeight w:val="507"/>
        </w:trPr>
        <w:tc>
          <w:tcPr>
            <w:tcW w:w="0" w:type="auto"/>
          </w:tcPr>
          <w:p w14:paraId="52610545"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2</w:t>
            </w:r>
          </w:p>
        </w:tc>
        <w:tc>
          <w:tcPr>
            <w:tcW w:w="4626" w:type="dxa"/>
          </w:tcPr>
          <w:p w14:paraId="6F141143" w14:textId="0E6F7AAD" w:rsidR="006E742C" w:rsidRPr="00A86BC7" w:rsidRDefault="001414E6" w:rsidP="00F01C85">
            <w:pPr>
              <w:jc w:val="both"/>
              <w:rPr>
                <w:rFonts w:ascii="Arial" w:hAnsi="Arial" w:cs="Arial"/>
                <w:sz w:val="16"/>
                <w:szCs w:val="16"/>
              </w:rPr>
            </w:pPr>
            <w:r w:rsidRPr="001414E6">
              <w:rPr>
                <w:rFonts w:ascii="Arial" w:hAnsi="Arial" w:cs="Arial"/>
                <w:sz w:val="16"/>
                <w:szCs w:val="16"/>
              </w:rPr>
              <w:t>To identify opportunities and challenges affecting managers in securing real estate project development finance and to identify the critical success factor in securing finance for real estate project development.</w:t>
            </w:r>
          </w:p>
        </w:tc>
        <w:tc>
          <w:tcPr>
            <w:tcW w:w="2622" w:type="dxa"/>
          </w:tcPr>
          <w:p w14:paraId="6FE73870" w14:textId="33309757" w:rsidR="006E742C" w:rsidRPr="00A86BC7" w:rsidRDefault="00AA3A83" w:rsidP="00F01C85">
            <w:pPr>
              <w:jc w:val="both"/>
              <w:rPr>
                <w:rFonts w:ascii="Arial" w:hAnsi="Arial" w:cs="Arial"/>
                <w:sz w:val="16"/>
                <w:szCs w:val="16"/>
              </w:rPr>
            </w:pPr>
            <w:r>
              <w:rPr>
                <w:rFonts w:ascii="Arial" w:hAnsi="Arial" w:cs="Arial"/>
                <w:sz w:val="16"/>
                <w:szCs w:val="16"/>
              </w:rPr>
              <w:t xml:space="preserve">A </w:t>
            </w:r>
            <w:r w:rsidR="006E742C" w:rsidRPr="00A86BC7">
              <w:rPr>
                <w:rFonts w:ascii="Arial" w:hAnsi="Arial" w:cs="Arial"/>
                <w:sz w:val="16"/>
                <w:szCs w:val="16"/>
              </w:rPr>
              <w:t xml:space="preserve">Conceptual framework of environmental scan for securing finance for real estate project development. </w:t>
            </w:r>
          </w:p>
        </w:tc>
        <w:tc>
          <w:tcPr>
            <w:tcW w:w="0" w:type="auto"/>
          </w:tcPr>
          <w:p w14:paraId="146D1FB2"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Chapter 2,6</w:t>
            </w:r>
          </w:p>
        </w:tc>
      </w:tr>
      <w:tr w:rsidR="006E742C" w:rsidRPr="00A86BC7" w14:paraId="32C2BEF3" w14:textId="77777777" w:rsidTr="00C41E23">
        <w:trPr>
          <w:trHeight w:val="338"/>
        </w:trPr>
        <w:tc>
          <w:tcPr>
            <w:tcW w:w="0" w:type="auto"/>
          </w:tcPr>
          <w:p w14:paraId="0A83F583"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3</w:t>
            </w:r>
          </w:p>
        </w:tc>
        <w:tc>
          <w:tcPr>
            <w:tcW w:w="4626" w:type="dxa"/>
          </w:tcPr>
          <w:p w14:paraId="036E66B4" w14:textId="65C1FAF0" w:rsidR="006E742C" w:rsidRPr="00A86BC7" w:rsidRDefault="006E742C" w:rsidP="00F01C85">
            <w:pPr>
              <w:jc w:val="both"/>
              <w:rPr>
                <w:rFonts w:ascii="Arial" w:hAnsi="Arial" w:cs="Arial"/>
                <w:sz w:val="16"/>
                <w:szCs w:val="16"/>
              </w:rPr>
            </w:pPr>
            <w:r w:rsidRPr="00A86BC7">
              <w:rPr>
                <w:rFonts w:ascii="Arial" w:hAnsi="Arial" w:cs="Arial"/>
                <w:sz w:val="16"/>
                <w:szCs w:val="16"/>
              </w:rPr>
              <w:t xml:space="preserve">  </w:t>
            </w:r>
            <w:r w:rsidR="001414E6" w:rsidRPr="001414E6">
              <w:rPr>
                <w:rFonts w:ascii="Arial" w:hAnsi="Arial" w:cs="Arial"/>
                <w:sz w:val="16"/>
                <w:szCs w:val="16"/>
              </w:rPr>
              <w:t>To document the processes and key decisions for securing finance for real estate project development.</w:t>
            </w:r>
          </w:p>
        </w:tc>
        <w:tc>
          <w:tcPr>
            <w:tcW w:w="2622" w:type="dxa"/>
          </w:tcPr>
          <w:p w14:paraId="3D66BF23"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Process map for securing finance for real estate project finance</w:t>
            </w:r>
          </w:p>
        </w:tc>
        <w:tc>
          <w:tcPr>
            <w:tcW w:w="0" w:type="auto"/>
          </w:tcPr>
          <w:p w14:paraId="29BF80F3"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Chapter 2,7</w:t>
            </w:r>
          </w:p>
        </w:tc>
      </w:tr>
      <w:tr w:rsidR="006E742C" w:rsidRPr="00A86BC7" w14:paraId="7F2EC484" w14:textId="77777777" w:rsidTr="00C41E23">
        <w:trPr>
          <w:trHeight w:val="521"/>
        </w:trPr>
        <w:tc>
          <w:tcPr>
            <w:tcW w:w="0" w:type="auto"/>
          </w:tcPr>
          <w:p w14:paraId="74242D7E"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4</w:t>
            </w:r>
          </w:p>
        </w:tc>
        <w:tc>
          <w:tcPr>
            <w:tcW w:w="4626" w:type="dxa"/>
          </w:tcPr>
          <w:p w14:paraId="2AF223F9"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To identify and document the skills, knowledge</w:t>
            </w:r>
            <w:r>
              <w:rPr>
                <w:rFonts w:ascii="Arial" w:hAnsi="Arial" w:cs="Arial"/>
                <w:sz w:val="16"/>
                <w:szCs w:val="16"/>
              </w:rPr>
              <w:t xml:space="preserve"> and </w:t>
            </w:r>
            <w:r w:rsidRPr="00A86BC7">
              <w:rPr>
                <w:rFonts w:ascii="Arial" w:hAnsi="Arial" w:cs="Arial"/>
                <w:sz w:val="16"/>
                <w:szCs w:val="16"/>
              </w:rPr>
              <w:t xml:space="preserve">competences </w:t>
            </w:r>
            <w:r>
              <w:rPr>
                <w:rFonts w:ascii="Arial" w:hAnsi="Arial" w:cs="Arial"/>
                <w:sz w:val="16"/>
                <w:szCs w:val="16"/>
              </w:rPr>
              <w:t>that</w:t>
            </w:r>
            <w:r w:rsidRPr="00A86BC7">
              <w:rPr>
                <w:rFonts w:ascii="Arial" w:hAnsi="Arial" w:cs="Arial"/>
                <w:sz w:val="16"/>
                <w:szCs w:val="16"/>
              </w:rPr>
              <w:t xml:space="preserve"> the real estate development manager needs to be successful in securing finance for real estate project development.</w:t>
            </w:r>
          </w:p>
          <w:p w14:paraId="265AE232" w14:textId="77777777" w:rsidR="006E742C" w:rsidRPr="00A86BC7" w:rsidRDefault="006E742C" w:rsidP="00F01C85">
            <w:pPr>
              <w:jc w:val="both"/>
              <w:rPr>
                <w:rFonts w:ascii="Arial" w:hAnsi="Arial" w:cs="Arial"/>
                <w:sz w:val="16"/>
                <w:szCs w:val="16"/>
              </w:rPr>
            </w:pPr>
          </w:p>
        </w:tc>
        <w:tc>
          <w:tcPr>
            <w:tcW w:w="2622" w:type="dxa"/>
          </w:tcPr>
          <w:p w14:paraId="07A470BC"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An inventory of skills, knowledge, and competences for securing finance for real estate project development</w:t>
            </w:r>
          </w:p>
        </w:tc>
        <w:tc>
          <w:tcPr>
            <w:tcW w:w="0" w:type="auto"/>
          </w:tcPr>
          <w:p w14:paraId="4A85843C"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Chapter 3. 8</w:t>
            </w:r>
          </w:p>
        </w:tc>
      </w:tr>
      <w:tr w:rsidR="006E742C" w:rsidRPr="00A86BC7" w14:paraId="0302B7A5" w14:textId="77777777" w:rsidTr="00C41E23">
        <w:trPr>
          <w:trHeight w:val="521"/>
        </w:trPr>
        <w:tc>
          <w:tcPr>
            <w:tcW w:w="0" w:type="auto"/>
          </w:tcPr>
          <w:p w14:paraId="4035EA2C"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5</w:t>
            </w:r>
          </w:p>
        </w:tc>
        <w:tc>
          <w:tcPr>
            <w:tcW w:w="4626" w:type="dxa"/>
          </w:tcPr>
          <w:p w14:paraId="2338AA65" w14:textId="15BB0D07" w:rsidR="006E742C" w:rsidRPr="00A86BC7" w:rsidRDefault="005F4ADE">
            <w:pPr>
              <w:jc w:val="both"/>
              <w:rPr>
                <w:rFonts w:ascii="Arial" w:hAnsi="Arial" w:cs="Arial"/>
                <w:sz w:val="16"/>
                <w:szCs w:val="16"/>
              </w:rPr>
            </w:pPr>
            <w:r w:rsidRPr="005F4ADE">
              <w:rPr>
                <w:rFonts w:ascii="Arial" w:hAnsi="Arial" w:cs="Arial"/>
                <w:sz w:val="16"/>
                <w:szCs w:val="16"/>
              </w:rPr>
              <w:t>To identify and document the career pathway that the real estate development manager needs to be successful in securing finance for real estate project development.</w:t>
            </w:r>
          </w:p>
        </w:tc>
        <w:tc>
          <w:tcPr>
            <w:tcW w:w="2622" w:type="dxa"/>
          </w:tcPr>
          <w:p w14:paraId="4FEDA1C2" w14:textId="77777777" w:rsidR="006E742C" w:rsidRPr="00A86BC7" w:rsidRDefault="006E742C" w:rsidP="00F01C85">
            <w:pPr>
              <w:jc w:val="both"/>
              <w:rPr>
                <w:rFonts w:ascii="Arial" w:hAnsi="Arial" w:cs="Arial"/>
                <w:sz w:val="16"/>
                <w:szCs w:val="16"/>
              </w:rPr>
            </w:pPr>
            <w:r w:rsidRPr="00AA3A83">
              <w:rPr>
                <w:rFonts w:ascii="Arial" w:hAnsi="Arial" w:cs="Arial"/>
                <w:sz w:val="16"/>
                <w:szCs w:val="16"/>
              </w:rPr>
              <w:t>A conceptual framework for career path for securing finance for real estate project development</w:t>
            </w:r>
          </w:p>
        </w:tc>
        <w:tc>
          <w:tcPr>
            <w:tcW w:w="0" w:type="auto"/>
          </w:tcPr>
          <w:p w14:paraId="6A636ABD"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Chapter 3,</w:t>
            </w:r>
            <w:r>
              <w:rPr>
                <w:rFonts w:ascii="Arial" w:hAnsi="Arial" w:cs="Arial"/>
                <w:sz w:val="16"/>
                <w:szCs w:val="16"/>
              </w:rPr>
              <w:t>9</w:t>
            </w:r>
          </w:p>
        </w:tc>
      </w:tr>
      <w:tr w:rsidR="006E742C" w:rsidRPr="00A86BC7" w14:paraId="580C3DBA" w14:textId="77777777" w:rsidTr="00C41E23">
        <w:trPr>
          <w:trHeight w:val="507"/>
        </w:trPr>
        <w:tc>
          <w:tcPr>
            <w:tcW w:w="0" w:type="auto"/>
          </w:tcPr>
          <w:p w14:paraId="1A4BE666"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6</w:t>
            </w:r>
          </w:p>
        </w:tc>
        <w:tc>
          <w:tcPr>
            <w:tcW w:w="4626" w:type="dxa"/>
          </w:tcPr>
          <w:p w14:paraId="2C40B13C" w14:textId="1BFAD0C5" w:rsidR="005F4ADE" w:rsidRPr="00FC0242" w:rsidRDefault="005F4ADE" w:rsidP="00F01C85">
            <w:pPr>
              <w:jc w:val="both"/>
              <w:rPr>
                <w:rFonts w:ascii="Arial" w:hAnsi="Arial" w:cs="Arial"/>
                <w:sz w:val="16"/>
                <w:szCs w:val="16"/>
              </w:rPr>
            </w:pPr>
            <w:r w:rsidRPr="005F4ADE">
              <w:rPr>
                <w:rFonts w:ascii="Arial" w:hAnsi="Arial" w:cs="Arial"/>
                <w:sz w:val="16"/>
                <w:szCs w:val="16"/>
              </w:rPr>
              <w:t xml:space="preserve">To identify and document the training background and education, the real estate development manager needs to successfully secure </w:t>
            </w:r>
            <w:r w:rsidR="00AE12DB">
              <w:rPr>
                <w:rFonts w:ascii="Arial" w:hAnsi="Arial" w:cs="Arial"/>
                <w:sz w:val="16"/>
                <w:szCs w:val="16"/>
              </w:rPr>
              <w:t>real estate project development finance</w:t>
            </w:r>
            <w:r w:rsidRPr="005F4ADE">
              <w:rPr>
                <w:rFonts w:ascii="Arial" w:hAnsi="Arial" w:cs="Arial"/>
                <w:sz w:val="16"/>
                <w:szCs w:val="16"/>
              </w:rPr>
              <w:t>.</w:t>
            </w:r>
          </w:p>
          <w:p w14:paraId="636CF3D7" w14:textId="77777777" w:rsidR="006E742C" w:rsidRPr="00A86BC7" w:rsidRDefault="006E742C" w:rsidP="00F01C85">
            <w:pPr>
              <w:jc w:val="both"/>
              <w:rPr>
                <w:rFonts w:ascii="Arial" w:hAnsi="Arial" w:cs="Arial"/>
                <w:sz w:val="16"/>
                <w:szCs w:val="16"/>
              </w:rPr>
            </w:pPr>
          </w:p>
        </w:tc>
        <w:tc>
          <w:tcPr>
            <w:tcW w:w="2622" w:type="dxa"/>
          </w:tcPr>
          <w:p w14:paraId="65D36096" w14:textId="77777777" w:rsidR="006E742C" w:rsidRPr="00A86BC7" w:rsidRDefault="006E742C" w:rsidP="00F01C85">
            <w:pPr>
              <w:jc w:val="both"/>
              <w:rPr>
                <w:rFonts w:ascii="Arial" w:hAnsi="Arial" w:cs="Arial"/>
                <w:sz w:val="16"/>
                <w:szCs w:val="16"/>
              </w:rPr>
            </w:pPr>
            <w:r>
              <w:rPr>
                <w:rFonts w:ascii="Arial" w:hAnsi="Arial" w:cs="Arial"/>
                <w:sz w:val="16"/>
                <w:szCs w:val="16"/>
              </w:rPr>
              <w:t>A c</w:t>
            </w:r>
            <w:r w:rsidRPr="00A86BC7">
              <w:rPr>
                <w:rFonts w:ascii="Arial" w:hAnsi="Arial" w:cs="Arial"/>
                <w:sz w:val="16"/>
                <w:szCs w:val="16"/>
              </w:rPr>
              <w:t>onceptual framework for training and education for securing finance for real estate project development.</w:t>
            </w:r>
          </w:p>
        </w:tc>
        <w:tc>
          <w:tcPr>
            <w:tcW w:w="0" w:type="auto"/>
          </w:tcPr>
          <w:p w14:paraId="792D4064" w14:textId="77777777" w:rsidR="006E742C" w:rsidRPr="00A86BC7" w:rsidRDefault="006E742C" w:rsidP="00F01C85">
            <w:pPr>
              <w:jc w:val="both"/>
              <w:rPr>
                <w:rFonts w:ascii="Arial" w:hAnsi="Arial" w:cs="Arial"/>
                <w:sz w:val="16"/>
                <w:szCs w:val="16"/>
              </w:rPr>
            </w:pPr>
            <w:r w:rsidRPr="00A86BC7">
              <w:rPr>
                <w:rFonts w:ascii="Arial" w:hAnsi="Arial" w:cs="Arial"/>
                <w:sz w:val="16"/>
                <w:szCs w:val="16"/>
              </w:rPr>
              <w:t>Chapter 3,</w:t>
            </w:r>
            <w:r>
              <w:rPr>
                <w:rFonts w:ascii="Arial" w:hAnsi="Arial" w:cs="Arial"/>
                <w:sz w:val="16"/>
                <w:szCs w:val="16"/>
              </w:rPr>
              <w:t>9</w:t>
            </w:r>
          </w:p>
        </w:tc>
      </w:tr>
      <w:tr w:rsidR="00C41E23" w:rsidRPr="00A86BC7" w14:paraId="302BD684" w14:textId="77777777" w:rsidTr="00557F4A">
        <w:trPr>
          <w:trHeight w:val="507"/>
        </w:trPr>
        <w:tc>
          <w:tcPr>
            <w:tcW w:w="7989" w:type="dxa"/>
            <w:gridSpan w:val="3"/>
          </w:tcPr>
          <w:p w14:paraId="444DC4F8" w14:textId="4EC590A6" w:rsidR="00C41E23" w:rsidRPr="004D769B" w:rsidRDefault="00C41E23" w:rsidP="00F01C85">
            <w:pPr>
              <w:jc w:val="both"/>
              <w:rPr>
                <w:rFonts w:ascii="Arial" w:hAnsi="Arial" w:cs="Arial"/>
                <w:b/>
                <w:bCs/>
                <w:sz w:val="16"/>
                <w:szCs w:val="16"/>
              </w:rPr>
            </w:pPr>
            <w:r w:rsidRPr="004D769B">
              <w:rPr>
                <w:rFonts w:ascii="Arial" w:hAnsi="Arial" w:cs="Arial"/>
                <w:b/>
                <w:bCs/>
                <w:sz w:val="16"/>
                <w:szCs w:val="16"/>
              </w:rPr>
              <w:t>The integrat</w:t>
            </w:r>
            <w:r w:rsidR="00BA2795">
              <w:rPr>
                <w:rFonts w:ascii="Arial" w:hAnsi="Arial" w:cs="Arial"/>
                <w:b/>
                <w:bCs/>
                <w:sz w:val="16"/>
                <w:szCs w:val="16"/>
              </w:rPr>
              <w:t>ion</w:t>
            </w:r>
            <w:r w:rsidRPr="004D769B">
              <w:rPr>
                <w:rFonts w:ascii="Arial" w:hAnsi="Arial" w:cs="Arial"/>
                <w:b/>
                <w:bCs/>
                <w:sz w:val="16"/>
                <w:szCs w:val="16"/>
              </w:rPr>
              <w:t xml:space="preserve"> </w:t>
            </w:r>
            <w:r w:rsidR="00BA2795">
              <w:rPr>
                <w:rFonts w:ascii="Arial" w:hAnsi="Arial" w:cs="Arial"/>
                <w:b/>
                <w:bCs/>
                <w:sz w:val="16"/>
                <w:szCs w:val="16"/>
              </w:rPr>
              <w:t xml:space="preserve">of </w:t>
            </w:r>
            <w:r w:rsidRPr="004D769B">
              <w:rPr>
                <w:rFonts w:ascii="Arial" w:hAnsi="Arial" w:cs="Arial"/>
                <w:b/>
                <w:bCs/>
                <w:sz w:val="16"/>
                <w:szCs w:val="16"/>
              </w:rPr>
              <w:t>the different components of the toolkit for securing finance for real estate project development.</w:t>
            </w:r>
          </w:p>
        </w:tc>
        <w:tc>
          <w:tcPr>
            <w:tcW w:w="0" w:type="auto"/>
          </w:tcPr>
          <w:p w14:paraId="768A3BFA" w14:textId="7EFFA388" w:rsidR="00C41E23" w:rsidRPr="004D769B" w:rsidRDefault="00C41E23" w:rsidP="00F01C85">
            <w:pPr>
              <w:jc w:val="both"/>
              <w:rPr>
                <w:rFonts w:ascii="Arial" w:hAnsi="Arial" w:cs="Arial"/>
                <w:b/>
                <w:bCs/>
                <w:sz w:val="16"/>
                <w:szCs w:val="16"/>
              </w:rPr>
            </w:pPr>
            <w:r w:rsidRPr="004D769B">
              <w:rPr>
                <w:rFonts w:ascii="Arial" w:hAnsi="Arial" w:cs="Arial"/>
                <w:b/>
                <w:bCs/>
                <w:sz w:val="16"/>
                <w:szCs w:val="16"/>
              </w:rPr>
              <w:t>Chapter 10</w:t>
            </w:r>
          </w:p>
        </w:tc>
      </w:tr>
    </w:tbl>
    <w:p w14:paraId="68A8FD15" w14:textId="77777777" w:rsidR="006E742C" w:rsidRPr="00EA7665" w:rsidRDefault="006E742C" w:rsidP="006E742C">
      <w:pPr>
        <w:spacing w:line="360" w:lineRule="auto"/>
        <w:jc w:val="both"/>
        <w:rPr>
          <w:rFonts w:ascii="Arial" w:hAnsi="Arial" w:cs="Arial"/>
          <w:sz w:val="16"/>
          <w:szCs w:val="16"/>
        </w:rPr>
      </w:pPr>
      <w:r w:rsidRPr="00EA7665">
        <w:rPr>
          <w:rFonts w:ascii="Arial" w:hAnsi="Arial" w:cs="Arial"/>
          <w:sz w:val="16"/>
          <w:szCs w:val="16"/>
        </w:rPr>
        <w:t>Compilation by the Author (20</w:t>
      </w:r>
      <w:r>
        <w:rPr>
          <w:rFonts w:ascii="Arial" w:hAnsi="Arial" w:cs="Arial"/>
          <w:sz w:val="16"/>
          <w:szCs w:val="16"/>
        </w:rPr>
        <w:t>21</w:t>
      </w:r>
      <w:r w:rsidRPr="00EA7665">
        <w:rPr>
          <w:rFonts w:ascii="Arial" w:hAnsi="Arial" w:cs="Arial"/>
          <w:sz w:val="16"/>
          <w:szCs w:val="16"/>
        </w:rPr>
        <w:t>)</w:t>
      </w:r>
    </w:p>
    <w:p w14:paraId="10E7FD7B" w14:textId="77777777" w:rsidR="006E742C" w:rsidRPr="007625E7" w:rsidRDefault="006E742C" w:rsidP="007625E7">
      <w:pPr>
        <w:pStyle w:val="ListParagraph"/>
        <w:spacing w:line="360" w:lineRule="auto"/>
        <w:ind w:left="360"/>
        <w:jc w:val="both"/>
        <w:rPr>
          <w:rFonts w:ascii="Arial" w:hAnsi="Arial" w:cs="Arial"/>
        </w:rPr>
      </w:pPr>
    </w:p>
    <w:p w14:paraId="3F9AB539" w14:textId="0E23F653" w:rsidR="00CD6352" w:rsidRPr="00E03CFE" w:rsidRDefault="000370DD" w:rsidP="00CD6352">
      <w:pPr>
        <w:pStyle w:val="Heading2"/>
        <w:spacing w:after="240"/>
        <w:rPr>
          <w:rFonts w:cs="Arial"/>
          <w:sz w:val="22"/>
          <w:szCs w:val="22"/>
        </w:rPr>
      </w:pPr>
      <w:bookmarkStart w:id="19" w:name="_Toc78983765"/>
      <w:bookmarkEnd w:id="16"/>
      <w:r>
        <w:rPr>
          <w:rFonts w:cs="Arial"/>
          <w:sz w:val="22"/>
          <w:szCs w:val="22"/>
        </w:rPr>
        <w:t>The Research Rationale</w:t>
      </w:r>
      <w:bookmarkEnd w:id="19"/>
    </w:p>
    <w:p w14:paraId="2D2717C3" w14:textId="4634C0BE" w:rsidR="00CD6352" w:rsidRPr="00E03CFE" w:rsidRDefault="00CD6352" w:rsidP="00CD6352">
      <w:pPr>
        <w:spacing w:line="360" w:lineRule="auto"/>
        <w:jc w:val="both"/>
        <w:rPr>
          <w:rFonts w:ascii="Arial" w:hAnsi="Arial" w:cs="Arial"/>
        </w:rPr>
      </w:pPr>
      <w:r w:rsidRPr="00E03CFE">
        <w:rPr>
          <w:rFonts w:ascii="Arial" w:hAnsi="Arial" w:cs="Arial"/>
        </w:rPr>
        <w:t xml:space="preserve">This study looks at </w:t>
      </w:r>
      <w:r w:rsidR="00AE12DB">
        <w:rPr>
          <w:rFonts w:ascii="Arial" w:hAnsi="Arial" w:cs="Arial"/>
        </w:rPr>
        <w:t>managers' problems</w:t>
      </w:r>
      <w:r w:rsidRPr="00E03CFE">
        <w:rPr>
          <w:rFonts w:ascii="Arial" w:hAnsi="Arial" w:cs="Arial"/>
        </w:rPr>
        <w:t xml:space="preserve"> concerning access to finance for real estate development projects by looking at three key drivers</w:t>
      </w:r>
      <w:r w:rsidR="00231342">
        <w:rPr>
          <w:rFonts w:ascii="Arial" w:hAnsi="Arial" w:cs="Arial"/>
        </w:rPr>
        <w:t xml:space="preserve"> </w:t>
      </w:r>
      <w:r w:rsidR="00AA3A83">
        <w:rPr>
          <w:rFonts w:ascii="Arial" w:hAnsi="Arial" w:cs="Arial"/>
        </w:rPr>
        <w:t>that formed the research's fundamental rationale</w:t>
      </w:r>
      <w:r w:rsidR="00231342">
        <w:rPr>
          <w:rFonts w:ascii="Arial" w:hAnsi="Arial" w:cs="Arial"/>
        </w:rPr>
        <w:t>. These three drivers are as follows:</w:t>
      </w:r>
    </w:p>
    <w:p w14:paraId="4FC75554" w14:textId="70D31675" w:rsidR="00CD6352" w:rsidRPr="00E03CFE" w:rsidRDefault="00CD6352" w:rsidP="00CD6352">
      <w:pPr>
        <w:spacing w:line="360" w:lineRule="auto"/>
        <w:jc w:val="both"/>
        <w:rPr>
          <w:rFonts w:ascii="Arial" w:hAnsi="Arial" w:cs="Arial"/>
        </w:rPr>
      </w:pPr>
      <w:r w:rsidRPr="00E03CFE">
        <w:rPr>
          <w:rFonts w:ascii="Arial" w:hAnsi="Arial" w:cs="Arial"/>
        </w:rPr>
        <w:t xml:space="preserve">1. The </w:t>
      </w:r>
      <w:r w:rsidR="00956390" w:rsidRPr="00956390">
        <w:rPr>
          <w:rFonts w:ascii="Arial" w:hAnsi="Arial" w:cs="Arial"/>
        </w:rPr>
        <w:t>significance of a toolkit for securing finance for real estate project development</w:t>
      </w:r>
      <w:r w:rsidR="000A6F92">
        <w:rPr>
          <w:rFonts w:ascii="Arial" w:hAnsi="Arial" w:cs="Arial"/>
        </w:rPr>
        <w:t xml:space="preserve"> in both developed and emerging economies.</w:t>
      </w:r>
    </w:p>
    <w:p w14:paraId="2D2147EA" w14:textId="77777777" w:rsidR="00CD6352" w:rsidRPr="00E03CFE" w:rsidRDefault="00CD6352" w:rsidP="00CD6352">
      <w:pPr>
        <w:spacing w:line="360" w:lineRule="auto"/>
        <w:jc w:val="both"/>
        <w:rPr>
          <w:rFonts w:ascii="Arial" w:hAnsi="Arial" w:cs="Arial"/>
        </w:rPr>
      </w:pPr>
      <w:r w:rsidRPr="00E03CFE">
        <w:rPr>
          <w:rFonts w:ascii="Arial" w:hAnsi="Arial" w:cs="Arial"/>
        </w:rPr>
        <w:t>2. Development funding shortage</w:t>
      </w:r>
    </w:p>
    <w:p w14:paraId="7F7E786D" w14:textId="77777777" w:rsidR="004E4F1F" w:rsidRDefault="00CD6352" w:rsidP="00CD6352">
      <w:pPr>
        <w:spacing w:line="360" w:lineRule="auto"/>
        <w:jc w:val="both"/>
        <w:rPr>
          <w:rFonts w:ascii="Arial" w:hAnsi="Arial" w:cs="Arial"/>
        </w:rPr>
      </w:pPr>
      <w:r w:rsidRPr="00E03CFE">
        <w:rPr>
          <w:rFonts w:ascii="Arial" w:hAnsi="Arial" w:cs="Arial"/>
        </w:rPr>
        <w:t xml:space="preserve">3. </w:t>
      </w:r>
      <w:r w:rsidRPr="00E03CFE">
        <w:rPr>
          <w:rStyle w:val="Heading3Char"/>
          <w:rFonts w:cs="Arial"/>
          <w:b w:val="0"/>
          <w:sz w:val="22"/>
          <w:szCs w:val="22"/>
        </w:rPr>
        <w:t>The existing research gap</w:t>
      </w:r>
      <w:r w:rsidRPr="00E03CFE">
        <w:rPr>
          <w:rFonts w:ascii="Arial" w:hAnsi="Arial" w:cs="Arial"/>
        </w:rPr>
        <w:t xml:space="preserve"> in the manager’s skills, knowledge, competences, career path, </w:t>
      </w:r>
      <w:r w:rsidR="00BB4FC1" w:rsidRPr="00E03CFE">
        <w:rPr>
          <w:rFonts w:ascii="Arial" w:hAnsi="Arial" w:cs="Arial"/>
        </w:rPr>
        <w:t>training,</w:t>
      </w:r>
      <w:r w:rsidRPr="00E03CFE">
        <w:rPr>
          <w:rFonts w:ascii="Arial" w:hAnsi="Arial" w:cs="Arial"/>
        </w:rPr>
        <w:t xml:space="preserve"> and education as a significant platform for securing finance for real estate project development.</w:t>
      </w:r>
    </w:p>
    <w:p w14:paraId="70D0B206" w14:textId="6D1173BF" w:rsidR="00CD6352" w:rsidRPr="00E03CFE" w:rsidRDefault="00CD6352" w:rsidP="00CD6352">
      <w:pPr>
        <w:spacing w:line="360" w:lineRule="auto"/>
        <w:jc w:val="both"/>
        <w:rPr>
          <w:rFonts w:ascii="Arial" w:hAnsi="Arial" w:cs="Arial"/>
        </w:rPr>
      </w:pPr>
    </w:p>
    <w:p w14:paraId="114A7E1A" w14:textId="4615B57D" w:rsidR="00CD6352" w:rsidRPr="007625E7" w:rsidRDefault="00CD6352" w:rsidP="00CD6352">
      <w:pPr>
        <w:pStyle w:val="Heading3"/>
        <w:spacing w:line="360" w:lineRule="auto"/>
        <w:jc w:val="both"/>
        <w:rPr>
          <w:rStyle w:val="Strong"/>
          <w:rFonts w:cs="Arial"/>
          <w:b/>
          <w:bCs w:val="0"/>
          <w:sz w:val="22"/>
          <w:szCs w:val="22"/>
        </w:rPr>
      </w:pPr>
      <w:bookmarkStart w:id="20" w:name="_Toc78983766"/>
      <w:r w:rsidRPr="004874EA">
        <w:rPr>
          <w:rStyle w:val="Strong"/>
          <w:rFonts w:cs="Arial"/>
          <w:b/>
          <w:bCs w:val="0"/>
          <w:sz w:val="22"/>
          <w:szCs w:val="22"/>
        </w:rPr>
        <w:lastRenderedPageBreak/>
        <w:t xml:space="preserve">The </w:t>
      </w:r>
      <w:r w:rsidR="004874EA" w:rsidRPr="007625E7">
        <w:rPr>
          <w:rFonts w:cs="Arial"/>
          <w:sz w:val="22"/>
          <w:szCs w:val="22"/>
        </w:rPr>
        <w:t>significance of a toolkit for securing finance for real estate project development in both developed and emerging economies.</w:t>
      </w:r>
      <w:bookmarkEnd w:id="20"/>
    </w:p>
    <w:p w14:paraId="71D470E7" w14:textId="51BE03EC" w:rsidR="00CD6352" w:rsidRPr="00E03CFE" w:rsidRDefault="00CD6352" w:rsidP="00CD6352">
      <w:pPr>
        <w:spacing w:line="360" w:lineRule="auto"/>
        <w:jc w:val="both"/>
        <w:rPr>
          <w:rFonts w:ascii="Arial" w:hAnsi="Arial" w:cs="Arial"/>
        </w:rPr>
      </w:pPr>
      <w:r w:rsidRPr="00E03CFE">
        <w:rPr>
          <w:rFonts w:ascii="Arial" w:hAnsi="Arial" w:cs="Arial"/>
        </w:rPr>
        <w:t xml:space="preserve">Real estate finance is considered the prime mover of a national housing delivery framework (Bustani et al., 2014). The residential loan to GDP ratio </w:t>
      </w:r>
      <w:r w:rsidR="00E87BA7" w:rsidRPr="00E03CFE">
        <w:rPr>
          <w:rFonts w:ascii="Arial" w:hAnsi="Arial" w:cs="Arial"/>
        </w:rPr>
        <w:t>of the</w:t>
      </w:r>
      <w:r w:rsidRPr="00E03CFE">
        <w:rPr>
          <w:rFonts w:ascii="Arial" w:hAnsi="Arial" w:cs="Arial"/>
        </w:rPr>
        <w:t xml:space="preserve"> USA, the UK, and Norway is 67%, 75%, and 75%</w:t>
      </w:r>
      <w:r w:rsidR="00DF1947">
        <w:rPr>
          <w:rFonts w:ascii="Arial" w:hAnsi="Arial" w:cs="Arial"/>
        </w:rPr>
        <w:t>,</w:t>
      </w:r>
      <w:r w:rsidRPr="00E03CFE">
        <w:rPr>
          <w:rFonts w:ascii="Arial" w:hAnsi="Arial" w:cs="Arial"/>
        </w:rPr>
        <w:t xml:space="preserve"> respectively</w:t>
      </w:r>
      <w:r w:rsidR="00DF1947">
        <w:rPr>
          <w:rFonts w:ascii="Arial" w:hAnsi="Arial" w:cs="Arial"/>
        </w:rPr>
        <w:t>,</w:t>
      </w:r>
      <w:r w:rsidRPr="00E03CFE">
        <w:rPr>
          <w:rFonts w:ascii="Arial" w:hAnsi="Arial" w:cs="Arial"/>
        </w:rPr>
        <w:t xml:space="preserve"> </w:t>
      </w:r>
      <w:r w:rsidR="00DF1947">
        <w:rPr>
          <w:rFonts w:ascii="Arial" w:hAnsi="Arial" w:cs="Arial"/>
        </w:rPr>
        <w:t>compared to Nigeria's emerging economy,</w:t>
      </w:r>
      <w:r w:rsidRPr="00E03CFE">
        <w:rPr>
          <w:rFonts w:ascii="Arial" w:hAnsi="Arial" w:cs="Arial"/>
        </w:rPr>
        <w:t xml:space="preserve"> where it stands at 1% (CESIFO, 2014 &amp; Nubi 2010). Arguably, the </w:t>
      </w:r>
      <w:r w:rsidR="00DF1947">
        <w:rPr>
          <w:rFonts w:ascii="Arial" w:hAnsi="Arial" w:cs="Arial"/>
        </w:rPr>
        <w:t xml:space="preserve">real estate sector's performance in </w:t>
      </w:r>
      <w:r w:rsidR="005226CE">
        <w:rPr>
          <w:rFonts w:ascii="Arial" w:hAnsi="Arial" w:cs="Arial"/>
        </w:rPr>
        <w:t>housing provision</w:t>
      </w:r>
      <w:r w:rsidR="00DF1947">
        <w:rPr>
          <w:rFonts w:ascii="Arial" w:hAnsi="Arial" w:cs="Arial"/>
        </w:rPr>
        <w:t xml:space="preserve"> in emerging economies is comparatively poor</w:t>
      </w:r>
      <w:r w:rsidRPr="00E03CFE">
        <w:rPr>
          <w:rFonts w:ascii="Arial" w:hAnsi="Arial" w:cs="Arial"/>
        </w:rPr>
        <w:t xml:space="preserve"> compared to the developed economies because of a lack of access to adequate finance.</w:t>
      </w:r>
    </w:p>
    <w:p w14:paraId="7DFC365D" w14:textId="30D5325A" w:rsidR="00CD6352" w:rsidRDefault="00CD6352" w:rsidP="00CD6352">
      <w:pPr>
        <w:spacing w:line="360" w:lineRule="auto"/>
        <w:jc w:val="both"/>
        <w:rPr>
          <w:rFonts w:ascii="Arial" w:hAnsi="Arial" w:cs="Arial"/>
        </w:rPr>
      </w:pPr>
      <w:r w:rsidRPr="00E03CFE">
        <w:rPr>
          <w:rFonts w:ascii="Arial" w:hAnsi="Arial" w:cs="Arial"/>
        </w:rPr>
        <w:t xml:space="preserve">According to the World Bank, this perennial housing problem can only be addressed through large-scale investment in housing production (Simire, 2017). As the world population continues to grow, </w:t>
      </w:r>
      <w:r w:rsidR="00DF1947">
        <w:rPr>
          <w:rFonts w:ascii="Arial" w:hAnsi="Arial" w:cs="Arial"/>
        </w:rPr>
        <w:t>new home</w:t>
      </w:r>
      <w:r w:rsidR="005226CE">
        <w:rPr>
          <w:rFonts w:ascii="Arial" w:hAnsi="Arial" w:cs="Arial"/>
        </w:rPr>
        <w:t xml:space="preserve"> </w:t>
      </w:r>
      <w:r w:rsidR="00DF1947">
        <w:rPr>
          <w:rFonts w:ascii="Arial" w:hAnsi="Arial" w:cs="Arial"/>
        </w:rPr>
        <w:t>construction</w:t>
      </w:r>
      <w:r w:rsidRPr="00E03CFE">
        <w:rPr>
          <w:rFonts w:ascii="Arial" w:hAnsi="Arial" w:cs="Arial"/>
        </w:rPr>
        <w:t xml:space="preserve"> becomes more critical to driving economic growth. Finance is needed to purchase raw materials such as steel, iron, glass, </w:t>
      </w:r>
      <w:r w:rsidR="003342B5" w:rsidRPr="00E03CFE">
        <w:rPr>
          <w:rFonts w:ascii="Arial" w:hAnsi="Arial" w:cs="Arial"/>
        </w:rPr>
        <w:t>concrete</w:t>
      </w:r>
      <w:r w:rsidRPr="00E03CFE">
        <w:rPr>
          <w:rFonts w:ascii="Arial" w:hAnsi="Arial" w:cs="Arial"/>
        </w:rPr>
        <w:t xml:space="preserve"> and non-current assets such as cranes and concrete mixers used on the construction sites. Similarly, </w:t>
      </w:r>
      <w:r w:rsidR="003342B5" w:rsidRPr="00E03CFE">
        <w:rPr>
          <w:rFonts w:ascii="Arial" w:hAnsi="Arial" w:cs="Arial"/>
        </w:rPr>
        <w:t>skilled</w:t>
      </w:r>
      <w:r w:rsidR="00DF1947">
        <w:rPr>
          <w:rFonts w:ascii="Arial" w:hAnsi="Arial" w:cs="Arial"/>
        </w:rPr>
        <w:t xml:space="preserve"> and competent labour is enormously expensive and represents one of the industry's highest costs</w:t>
      </w:r>
      <w:r w:rsidRPr="00E03CFE">
        <w:rPr>
          <w:rFonts w:ascii="Arial" w:hAnsi="Arial" w:cs="Arial"/>
        </w:rPr>
        <w:t>, and this needs adequate finance to achieve effectiveness</w:t>
      </w:r>
      <w:r w:rsidR="007C0BED">
        <w:rPr>
          <w:rFonts w:ascii="Arial" w:hAnsi="Arial" w:cs="Arial"/>
        </w:rPr>
        <w:t xml:space="preserve">. </w:t>
      </w:r>
      <w:r w:rsidRPr="00E03CFE">
        <w:rPr>
          <w:rFonts w:ascii="Arial" w:hAnsi="Arial" w:cs="Arial"/>
        </w:rPr>
        <w:t xml:space="preserve">Any large project will require significant quantities of skilled, semi-skilled and unskilled </w:t>
      </w:r>
      <w:r w:rsidRPr="000452F9">
        <w:rPr>
          <w:rFonts w:ascii="Arial" w:hAnsi="Arial" w:cs="Arial"/>
        </w:rPr>
        <w:t xml:space="preserve">labour that </w:t>
      </w:r>
      <w:r w:rsidR="003342B5" w:rsidRPr="000452F9">
        <w:rPr>
          <w:rFonts w:ascii="Arial" w:hAnsi="Arial" w:cs="Arial"/>
        </w:rPr>
        <w:t>must</w:t>
      </w:r>
      <w:r w:rsidRPr="000452F9">
        <w:rPr>
          <w:rFonts w:ascii="Arial" w:hAnsi="Arial" w:cs="Arial"/>
        </w:rPr>
        <w:t xml:space="preserve"> be paid in good time for the project to be completed on time</w:t>
      </w:r>
      <w:r w:rsidR="007C0BED">
        <w:rPr>
          <w:rFonts w:ascii="Arial" w:hAnsi="Arial" w:cs="Arial"/>
        </w:rPr>
        <w:t xml:space="preserve"> </w:t>
      </w:r>
      <w:r w:rsidR="007C0BED" w:rsidRPr="007C0BED">
        <w:rPr>
          <w:rFonts w:ascii="Arial" w:hAnsi="Arial" w:cs="Arial"/>
        </w:rPr>
        <w:t>(Horner, 2017</w:t>
      </w:r>
      <w:r w:rsidR="007C0BED">
        <w:rPr>
          <w:rFonts w:ascii="Arial" w:hAnsi="Arial" w:cs="Arial"/>
        </w:rPr>
        <w:t>;</w:t>
      </w:r>
      <w:r w:rsidR="007C0BED" w:rsidRPr="007C0BED">
        <w:t xml:space="preserve"> </w:t>
      </w:r>
      <w:r w:rsidR="007C0BED" w:rsidRPr="007C0BED">
        <w:rPr>
          <w:rFonts w:ascii="Arial" w:hAnsi="Arial" w:cs="Arial"/>
        </w:rPr>
        <w:t>Dyson, 2010)</w:t>
      </w:r>
      <w:r w:rsidR="007C0BED">
        <w:rPr>
          <w:rFonts w:ascii="Arial" w:hAnsi="Arial" w:cs="Arial"/>
        </w:rPr>
        <w:t>.</w:t>
      </w:r>
    </w:p>
    <w:p w14:paraId="575A4E6F" w14:textId="15FA30EC" w:rsidR="001C4B94" w:rsidRDefault="001C4B94">
      <w:pPr>
        <w:spacing w:line="360" w:lineRule="auto"/>
        <w:jc w:val="both"/>
        <w:rPr>
          <w:rFonts w:ascii="Arial" w:hAnsi="Arial" w:cs="Arial"/>
        </w:rPr>
      </w:pPr>
      <w:r w:rsidRPr="00613E3B">
        <w:rPr>
          <w:rFonts w:ascii="Arial" w:hAnsi="Arial" w:cs="Arial"/>
        </w:rPr>
        <w:t>Findings have shown that no comprehensive framework is presently available that guides managers involved with securing finance for real estate project development.</w:t>
      </w:r>
      <w:r w:rsidR="00124819" w:rsidRPr="00613E3B">
        <w:rPr>
          <w:rFonts w:ascii="Arial" w:hAnsi="Arial" w:cs="Arial"/>
        </w:rPr>
        <w:t xml:space="preserve"> </w:t>
      </w:r>
      <w:r w:rsidR="00636FC4">
        <w:rPr>
          <w:rFonts w:ascii="Arial" w:hAnsi="Arial" w:cs="Arial"/>
        </w:rPr>
        <w:t>Specific sources of finance for real estate project development such as commercial banks, institutional investors, private equity, hedge funds and sovereign wealth funds have huge capital pool</w:t>
      </w:r>
      <w:r w:rsidR="00967C27">
        <w:rPr>
          <w:rFonts w:ascii="Arial" w:hAnsi="Arial" w:cs="Arial"/>
        </w:rPr>
        <w:t>s. Still,</w:t>
      </w:r>
      <w:r w:rsidR="00636FC4">
        <w:rPr>
          <w:rFonts w:ascii="Arial" w:hAnsi="Arial" w:cs="Arial"/>
        </w:rPr>
        <w:t xml:space="preserve"> they need to be satisfied to part with their finance either locally or across the border. Consequently, the comprehensive toolkit for securing finance is necessary to meet th</w:t>
      </w:r>
      <w:r w:rsidR="00967C27">
        <w:rPr>
          <w:rFonts w:ascii="Arial" w:hAnsi="Arial" w:cs="Arial"/>
        </w:rPr>
        <w:t>ese</w:t>
      </w:r>
      <w:r w:rsidR="00636FC4">
        <w:rPr>
          <w:rFonts w:ascii="Arial" w:hAnsi="Arial" w:cs="Arial"/>
        </w:rPr>
        <w:t xml:space="preserve"> financiers' strict requirements. The toolkit will help establish a closer link between the available sources of finance for real estate project development and the managers in this sector</w:t>
      </w:r>
      <w:r w:rsidR="00514E46">
        <w:rPr>
          <w:rFonts w:ascii="Arial" w:hAnsi="Arial" w:cs="Arial"/>
        </w:rPr>
        <w:t>.</w:t>
      </w:r>
      <w:r w:rsidR="008028C0">
        <w:rPr>
          <w:rFonts w:ascii="Arial" w:hAnsi="Arial" w:cs="Arial"/>
        </w:rPr>
        <w:t xml:space="preserve"> </w:t>
      </w:r>
    </w:p>
    <w:p w14:paraId="2EE9B116" w14:textId="4EB4130F" w:rsidR="008028C0" w:rsidRDefault="008028C0" w:rsidP="00CD6352">
      <w:pPr>
        <w:spacing w:line="360" w:lineRule="auto"/>
        <w:jc w:val="both"/>
        <w:rPr>
          <w:rFonts w:ascii="Arial" w:hAnsi="Arial" w:cs="Arial"/>
        </w:rPr>
      </w:pPr>
      <w:r>
        <w:rPr>
          <w:rFonts w:ascii="Arial" w:hAnsi="Arial" w:cs="Arial"/>
        </w:rPr>
        <w:t xml:space="preserve">The comprehensive toolkit would support the managers in understanding the different finance options and criteria required by the </w:t>
      </w:r>
      <w:r w:rsidR="008F7DC1">
        <w:rPr>
          <w:rFonts w:ascii="Arial" w:hAnsi="Arial" w:cs="Arial"/>
        </w:rPr>
        <w:t>financiers.</w:t>
      </w:r>
      <w:r>
        <w:rPr>
          <w:rFonts w:ascii="Arial" w:hAnsi="Arial" w:cs="Arial"/>
        </w:rPr>
        <w:t xml:space="preserve"> It would also provide a framework for environmental scan for securing finance for real estate project development. This would guide the managers in scanning both the internal and external environment to minimise challenges</w:t>
      </w:r>
      <w:r w:rsidR="00967C27">
        <w:rPr>
          <w:rFonts w:ascii="Arial" w:hAnsi="Arial" w:cs="Arial"/>
        </w:rPr>
        <w:t xml:space="preserve"> and maximis</w:t>
      </w:r>
      <w:r w:rsidR="008F7DC1">
        <w:rPr>
          <w:rFonts w:ascii="Arial" w:hAnsi="Arial" w:cs="Arial"/>
        </w:rPr>
        <w:t xml:space="preserve">e opportunities associated with securing </w:t>
      </w:r>
      <w:r w:rsidR="00967C27">
        <w:rPr>
          <w:rFonts w:ascii="Arial" w:hAnsi="Arial" w:cs="Arial"/>
        </w:rPr>
        <w:t>real estate project development finance</w:t>
      </w:r>
      <w:r w:rsidR="008F7DC1">
        <w:rPr>
          <w:rFonts w:ascii="Arial" w:hAnsi="Arial" w:cs="Arial"/>
        </w:rPr>
        <w:t xml:space="preserve">. </w:t>
      </w:r>
      <w:r>
        <w:rPr>
          <w:rFonts w:ascii="Arial" w:hAnsi="Arial" w:cs="Arial"/>
        </w:rPr>
        <w:t xml:space="preserve"> </w:t>
      </w:r>
      <w:r w:rsidR="008F7DC1">
        <w:rPr>
          <w:rFonts w:ascii="Arial" w:hAnsi="Arial" w:cs="Arial"/>
        </w:rPr>
        <w:t xml:space="preserve">The toolkit will </w:t>
      </w:r>
      <w:r w:rsidR="00967C27">
        <w:rPr>
          <w:rFonts w:ascii="Arial" w:hAnsi="Arial" w:cs="Arial"/>
        </w:rPr>
        <w:t>clarify the critical success factors for securing finance and details of the processes a manager needs</w:t>
      </w:r>
      <w:r w:rsidR="008F7DC1">
        <w:rPr>
          <w:rFonts w:ascii="Arial" w:hAnsi="Arial" w:cs="Arial"/>
        </w:rPr>
        <w:t xml:space="preserve"> to undertake to effectively secure finance for real estate project development. </w:t>
      </w:r>
      <w:r w:rsidR="00EB209F">
        <w:rPr>
          <w:rFonts w:ascii="Arial" w:hAnsi="Arial" w:cs="Arial"/>
        </w:rPr>
        <w:t>It would provide a guide on the skills, knowledge, competences , career path, training and education for securing finance for real estate project development. A comprehensive toolkit will facilitate</w:t>
      </w:r>
      <w:r w:rsidR="00967C27">
        <w:rPr>
          <w:rFonts w:ascii="Arial" w:hAnsi="Arial" w:cs="Arial"/>
        </w:rPr>
        <w:t xml:space="preserve"> access to finance for real estate project development and </w:t>
      </w:r>
      <w:r w:rsidR="00967C27">
        <w:rPr>
          <w:rFonts w:ascii="Arial" w:hAnsi="Arial" w:cs="Arial"/>
        </w:rPr>
        <w:lastRenderedPageBreak/>
        <w:t>contribute to reducing</w:t>
      </w:r>
      <w:r w:rsidR="00EB209F">
        <w:rPr>
          <w:rFonts w:ascii="Arial" w:hAnsi="Arial" w:cs="Arial"/>
        </w:rPr>
        <w:t xml:space="preserve"> the gap between supply and demand for real estate development. </w:t>
      </w:r>
      <w:r>
        <w:rPr>
          <w:rFonts w:ascii="Arial" w:hAnsi="Arial" w:cs="Arial"/>
        </w:rPr>
        <w:t xml:space="preserve"> Please see more detail in chapter 3.9.3</w:t>
      </w:r>
      <w:r w:rsidR="00745572">
        <w:rPr>
          <w:rFonts w:ascii="Arial" w:hAnsi="Arial" w:cs="Arial"/>
        </w:rPr>
        <w:t xml:space="preserve"> and </w:t>
      </w:r>
      <w:r w:rsidR="00BA2795">
        <w:rPr>
          <w:rFonts w:ascii="Arial" w:hAnsi="Arial" w:cs="Arial"/>
        </w:rPr>
        <w:t>c</w:t>
      </w:r>
      <w:r w:rsidR="00745572">
        <w:rPr>
          <w:rFonts w:ascii="Arial" w:hAnsi="Arial" w:cs="Arial"/>
        </w:rPr>
        <w:t>hapter 10.</w:t>
      </w:r>
    </w:p>
    <w:p w14:paraId="64F6069E" w14:textId="77777777" w:rsidR="007D0ABB" w:rsidRPr="00E03CFE" w:rsidRDefault="007D0ABB" w:rsidP="00CD6352">
      <w:pPr>
        <w:spacing w:line="360" w:lineRule="auto"/>
        <w:jc w:val="both"/>
        <w:rPr>
          <w:rFonts w:ascii="Arial" w:hAnsi="Arial" w:cs="Arial"/>
          <w:b/>
        </w:rPr>
      </w:pPr>
    </w:p>
    <w:p w14:paraId="4FBE9614" w14:textId="77777777" w:rsidR="00CD6352" w:rsidRPr="00E03CFE" w:rsidRDefault="00CD6352" w:rsidP="00CD6352">
      <w:pPr>
        <w:pStyle w:val="Heading3"/>
        <w:spacing w:line="360" w:lineRule="auto"/>
        <w:jc w:val="both"/>
        <w:rPr>
          <w:rStyle w:val="Heading3Char"/>
          <w:rFonts w:cs="Arial"/>
          <w:b/>
          <w:sz w:val="22"/>
          <w:szCs w:val="22"/>
        </w:rPr>
      </w:pPr>
      <w:bookmarkStart w:id="21" w:name="_Toc78983767"/>
      <w:r w:rsidRPr="00E03CFE">
        <w:rPr>
          <w:rFonts w:cs="Arial"/>
          <w:sz w:val="22"/>
          <w:szCs w:val="22"/>
        </w:rPr>
        <w:t>Development funding shortage</w:t>
      </w:r>
      <w:bookmarkEnd w:id="21"/>
    </w:p>
    <w:p w14:paraId="5D9066B0" w14:textId="6BFEE86E" w:rsidR="00CD6352" w:rsidRPr="00E03CFE" w:rsidRDefault="00CD6352" w:rsidP="00CD6352">
      <w:pPr>
        <w:spacing w:line="360" w:lineRule="auto"/>
        <w:jc w:val="both"/>
        <w:rPr>
          <w:rFonts w:ascii="Arial" w:hAnsi="Arial" w:cs="Arial"/>
        </w:rPr>
      </w:pPr>
      <w:r w:rsidRPr="00E03CFE">
        <w:rPr>
          <w:rFonts w:ascii="Arial" w:hAnsi="Arial" w:cs="Arial"/>
        </w:rPr>
        <w:t xml:space="preserve">Managers in the real estate development sector encounter challenges in accessing funding for project development (Ogbenjuwa et al., 2017; Squires et al., 2015). The challenges could be because of economic factors, social factors, legal </w:t>
      </w:r>
      <w:r w:rsidR="000E29EC" w:rsidRPr="00E03CFE">
        <w:rPr>
          <w:rFonts w:ascii="Arial" w:hAnsi="Arial" w:cs="Arial"/>
        </w:rPr>
        <w:t>frameworks,</w:t>
      </w:r>
      <w:r w:rsidRPr="00E03CFE">
        <w:rPr>
          <w:rFonts w:ascii="Arial" w:hAnsi="Arial" w:cs="Arial"/>
        </w:rPr>
        <w:t xml:space="preserve"> or policy environments. Governments in most countries of the world put in place instruments that support real estate funding (Nubi, 2010). However, this is not always effective because some countries, especially</w:t>
      </w:r>
      <w:r w:rsidR="00FF7DE6">
        <w:rPr>
          <w:rFonts w:ascii="Arial" w:hAnsi="Arial" w:cs="Arial"/>
        </w:rPr>
        <w:t xml:space="preserve"> emerging economies, </w:t>
      </w:r>
      <w:r w:rsidRPr="00E03CFE">
        <w:rPr>
          <w:rFonts w:ascii="Arial" w:hAnsi="Arial" w:cs="Arial"/>
        </w:rPr>
        <w:t>do not have enough property development companies listed on the stock market to maximise these opportunities. Furthermore, government policies supporting housing finance, such as monetary and fiscal policies</w:t>
      </w:r>
      <w:r w:rsidR="00DF1947">
        <w:rPr>
          <w:rFonts w:ascii="Arial" w:hAnsi="Arial" w:cs="Arial"/>
        </w:rPr>
        <w:t>,</w:t>
      </w:r>
      <w:r w:rsidRPr="00E03CFE">
        <w:rPr>
          <w:rFonts w:ascii="Arial" w:hAnsi="Arial" w:cs="Arial"/>
        </w:rPr>
        <w:t xml:space="preserve"> have not been constructive in some quarters (Wallace &amp; Onu, 2015). This lack of constructiveness in government policies is evident as interest rates have remained very high</w:t>
      </w:r>
      <w:r w:rsidR="00DF1947">
        <w:rPr>
          <w:rFonts w:ascii="Arial" w:hAnsi="Arial" w:cs="Arial"/>
        </w:rPr>
        <w:t xml:space="preserve"> in most parts of the world</w:t>
      </w:r>
      <w:r w:rsidR="00A32D47">
        <w:rPr>
          <w:rFonts w:ascii="Arial" w:hAnsi="Arial" w:cs="Arial"/>
        </w:rPr>
        <w:t>, apart from developed economies</w:t>
      </w:r>
      <w:r w:rsidR="00DF1947">
        <w:rPr>
          <w:rFonts w:ascii="Arial" w:hAnsi="Arial" w:cs="Arial"/>
        </w:rPr>
        <w:t>. Th</w:t>
      </w:r>
      <w:r w:rsidR="00A32D47">
        <w:rPr>
          <w:rFonts w:ascii="Arial" w:hAnsi="Arial" w:cs="Arial"/>
        </w:rPr>
        <w:t>e</w:t>
      </w:r>
      <w:r w:rsidR="00DF1947">
        <w:rPr>
          <w:rFonts w:ascii="Arial" w:hAnsi="Arial" w:cs="Arial"/>
        </w:rPr>
        <w:t xml:space="preserve"> low</w:t>
      </w:r>
      <w:r w:rsidR="004C60FB">
        <w:rPr>
          <w:rFonts w:ascii="Arial" w:hAnsi="Arial" w:cs="Arial"/>
        </w:rPr>
        <w:t xml:space="preserve"> </w:t>
      </w:r>
      <w:r w:rsidR="00F82A6B">
        <w:rPr>
          <w:rFonts w:ascii="Arial" w:hAnsi="Arial" w:cs="Arial"/>
        </w:rPr>
        <w:t xml:space="preserve">interest </w:t>
      </w:r>
      <w:r w:rsidR="00DF1947">
        <w:rPr>
          <w:rFonts w:ascii="Arial" w:hAnsi="Arial" w:cs="Arial"/>
        </w:rPr>
        <w:t>rate</w:t>
      </w:r>
      <w:r w:rsidR="00A32D47">
        <w:rPr>
          <w:rFonts w:ascii="Arial" w:hAnsi="Arial" w:cs="Arial"/>
        </w:rPr>
        <w:t>s</w:t>
      </w:r>
      <w:r w:rsidR="00DF1947">
        <w:rPr>
          <w:rFonts w:ascii="Arial" w:hAnsi="Arial" w:cs="Arial"/>
        </w:rPr>
        <w:t xml:space="preserve"> </w:t>
      </w:r>
      <w:r w:rsidR="00A32D47">
        <w:rPr>
          <w:rFonts w:ascii="Arial" w:hAnsi="Arial" w:cs="Arial"/>
        </w:rPr>
        <w:t xml:space="preserve">in the developed economies </w:t>
      </w:r>
      <w:r w:rsidR="004C60FB">
        <w:rPr>
          <w:rFonts w:ascii="Arial" w:hAnsi="Arial" w:cs="Arial"/>
        </w:rPr>
        <w:t>are</w:t>
      </w:r>
      <w:r w:rsidR="006844AF">
        <w:rPr>
          <w:rFonts w:ascii="Arial" w:hAnsi="Arial" w:cs="Arial"/>
        </w:rPr>
        <w:t xml:space="preserve"> </w:t>
      </w:r>
      <w:r w:rsidR="00DF1947">
        <w:rPr>
          <w:rFonts w:ascii="Arial" w:hAnsi="Arial" w:cs="Arial"/>
        </w:rPr>
        <w:t>because the</w:t>
      </w:r>
      <w:r w:rsidR="00A32D47">
        <w:rPr>
          <w:rFonts w:ascii="Arial" w:hAnsi="Arial" w:cs="Arial"/>
        </w:rPr>
        <w:t>ir governments</w:t>
      </w:r>
      <w:r w:rsidR="00DF1947">
        <w:rPr>
          <w:rFonts w:ascii="Arial" w:hAnsi="Arial" w:cs="Arial"/>
        </w:rPr>
        <w:t>, through</w:t>
      </w:r>
      <w:r w:rsidRPr="00E03CFE">
        <w:rPr>
          <w:rFonts w:ascii="Arial" w:hAnsi="Arial" w:cs="Arial"/>
        </w:rPr>
        <w:t xml:space="preserve"> economic policy coordination</w:t>
      </w:r>
      <w:r w:rsidR="00DF1947">
        <w:rPr>
          <w:rFonts w:ascii="Arial" w:hAnsi="Arial" w:cs="Arial"/>
        </w:rPr>
        <w:t>,</w:t>
      </w:r>
      <w:r w:rsidRPr="00E03CFE">
        <w:rPr>
          <w:rFonts w:ascii="Arial" w:hAnsi="Arial" w:cs="Arial"/>
        </w:rPr>
        <w:t xml:space="preserve"> left the interest rates pegged since the 2008 global financial crisis (the trading economies, </w:t>
      </w:r>
      <w:r w:rsidR="009C2C84">
        <w:rPr>
          <w:rFonts w:ascii="Arial" w:hAnsi="Arial" w:cs="Arial"/>
        </w:rPr>
        <w:t>2020).</w:t>
      </w:r>
    </w:p>
    <w:p w14:paraId="07C05D96" w14:textId="2F0E7975" w:rsidR="00CD6352" w:rsidRPr="00E03CFE" w:rsidRDefault="00CD6352" w:rsidP="00CD6352">
      <w:pPr>
        <w:spacing w:line="360" w:lineRule="auto"/>
        <w:jc w:val="both"/>
        <w:rPr>
          <w:rFonts w:ascii="Arial" w:hAnsi="Arial" w:cs="Arial"/>
        </w:rPr>
      </w:pPr>
      <w:r w:rsidRPr="00E03CFE">
        <w:rPr>
          <w:rFonts w:ascii="Arial" w:hAnsi="Arial" w:cs="Arial"/>
        </w:rPr>
        <w:t>Hamzah et al. (2009) identified four main factors as construction financial-related delays in the construction project</w:t>
      </w:r>
      <w:r w:rsidR="00DF1947">
        <w:rPr>
          <w:rFonts w:ascii="Arial" w:hAnsi="Arial" w:cs="Arial"/>
        </w:rPr>
        <w:t>:</w:t>
      </w:r>
      <w:r w:rsidRPr="00E03CFE">
        <w:rPr>
          <w:rFonts w:ascii="Arial" w:hAnsi="Arial" w:cs="Arial"/>
        </w:rPr>
        <w:t xml:space="preserve"> poor cash </w:t>
      </w:r>
      <w:r w:rsidR="001A024C" w:rsidRPr="00E03CFE">
        <w:rPr>
          <w:rFonts w:ascii="Arial" w:hAnsi="Arial" w:cs="Arial"/>
        </w:rPr>
        <w:t xml:space="preserve">flow, </w:t>
      </w:r>
      <w:r w:rsidRPr="00E03CFE">
        <w:rPr>
          <w:rFonts w:ascii="Arial" w:hAnsi="Arial" w:cs="Arial"/>
        </w:rPr>
        <w:t xml:space="preserve">management, insufficient resources, and financial market instability. Assaf &amp; Sadiq (2006) supported this position through their survey, which identified seventy-three causes of delay to construction projects. They concluded that construction delays meant higher overhead costs because of the </w:t>
      </w:r>
      <w:r w:rsidR="00DF1947">
        <w:rPr>
          <w:rFonts w:ascii="Arial" w:hAnsi="Arial" w:cs="Arial"/>
        </w:rPr>
        <w:t>extended</w:t>
      </w:r>
      <w:r w:rsidRPr="00E03CFE">
        <w:rPr>
          <w:rFonts w:ascii="Arial" w:hAnsi="Arial" w:cs="Arial"/>
        </w:rPr>
        <w:t xml:space="preserve"> work period, higher material costs due to inflation, and increased labour costs. This study also identified difficulties in getting finance for projects as one of the fundamental challenges </w:t>
      </w:r>
      <w:r w:rsidR="00DF1947">
        <w:rPr>
          <w:rFonts w:ascii="Arial" w:hAnsi="Arial" w:cs="Arial"/>
        </w:rPr>
        <w:t>managers face</w:t>
      </w:r>
      <w:r w:rsidRPr="00E03CFE">
        <w:rPr>
          <w:rFonts w:ascii="Arial" w:hAnsi="Arial" w:cs="Arial"/>
        </w:rPr>
        <w:t xml:space="preserve"> in real estate interaction.</w:t>
      </w:r>
      <w:r w:rsidR="006844AF">
        <w:rPr>
          <w:rFonts w:ascii="Arial" w:hAnsi="Arial" w:cs="Arial"/>
        </w:rPr>
        <w:t xml:space="preserve"> </w:t>
      </w:r>
      <w:r w:rsidR="001246FC">
        <w:rPr>
          <w:rFonts w:ascii="Arial" w:hAnsi="Arial" w:cs="Arial"/>
        </w:rPr>
        <w:t>I</w:t>
      </w:r>
      <w:r w:rsidR="006844AF">
        <w:rPr>
          <w:rFonts w:ascii="Arial" w:hAnsi="Arial" w:cs="Arial"/>
        </w:rPr>
        <w:t xml:space="preserve">t is expedient to provide a comprehensive </w:t>
      </w:r>
      <w:r w:rsidR="00E60617">
        <w:rPr>
          <w:rFonts w:ascii="Arial" w:hAnsi="Arial" w:cs="Arial"/>
        </w:rPr>
        <w:t>model</w:t>
      </w:r>
      <w:r w:rsidR="006844AF">
        <w:rPr>
          <w:rFonts w:ascii="Arial" w:hAnsi="Arial" w:cs="Arial"/>
        </w:rPr>
        <w:t xml:space="preserve"> such as the toolkit </w:t>
      </w:r>
      <w:r w:rsidR="001246FC">
        <w:rPr>
          <w:rFonts w:ascii="Arial" w:hAnsi="Arial" w:cs="Arial"/>
        </w:rPr>
        <w:t xml:space="preserve">developed </w:t>
      </w:r>
      <w:r w:rsidR="006844AF">
        <w:rPr>
          <w:rFonts w:ascii="Arial" w:hAnsi="Arial" w:cs="Arial"/>
        </w:rPr>
        <w:t>by this study to support managers in effectively securing finance for real estate project development.</w:t>
      </w:r>
    </w:p>
    <w:p w14:paraId="79D2E954" w14:textId="7BA380D0" w:rsidR="00CD6352" w:rsidRPr="00E03CFE" w:rsidRDefault="00CD6352" w:rsidP="00CD6352">
      <w:pPr>
        <w:pStyle w:val="Heading3"/>
        <w:spacing w:line="360" w:lineRule="auto"/>
        <w:jc w:val="both"/>
        <w:rPr>
          <w:rStyle w:val="Heading3Char"/>
          <w:rFonts w:cs="Arial"/>
          <w:b/>
          <w:sz w:val="22"/>
          <w:szCs w:val="22"/>
        </w:rPr>
      </w:pPr>
      <w:bookmarkStart w:id="22" w:name="_Toc78983768"/>
      <w:r w:rsidRPr="00E03CFE">
        <w:rPr>
          <w:rStyle w:val="Heading3Char"/>
          <w:rFonts w:cs="Arial"/>
          <w:b/>
          <w:sz w:val="22"/>
          <w:szCs w:val="22"/>
        </w:rPr>
        <w:t xml:space="preserve">The existing Research </w:t>
      </w:r>
      <w:r w:rsidR="00CB25E6" w:rsidRPr="00E03CFE">
        <w:rPr>
          <w:rStyle w:val="Heading3Char"/>
          <w:rFonts w:cs="Arial"/>
          <w:b/>
          <w:sz w:val="22"/>
          <w:szCs w:val="22"/>
        </w:rPr>
        <w:t>Gap.</w:t>
      </w:r>
      <w:bookmarkEnd w:id="22"/>
    </w:p>
    <w:p w14:paraId="2B4E314E" w14:textId="44642887" w:rsidR="00CD6352" w:rsidRPr="00E03CFE" w:rsidRDefault="00CD6352" w:rsidP="00CD6352">
      <w:pPr>
        <w:spacing w:line="360" w:lineRule="auto"/>
        <w:jc w:val="both"/>
        <w:rPr>
          <w:rFonts w:ascii="Arial" w:hAnsi="Arial" w:cs="Arial"/>
        </w:rPr>
      </w:pPr>
      <w:r w:rsidRPr="00B571B6">
        <w:rPr>
          <w:rFonts w:ascii="Arial" w:hAnsi="Arial" w:cs="Arial"/>
        </w:rPr>
        <w:t>Skills, knowledge, and competences are part of the essential toolkit that every manager should have. It will help them understand the</w:t>
      </w:r>
      <w:r w:rsidR="00DF1947" w:rsidRPr="00B571B6">
        <w:rPr>
          <w:rFonts w:ascii="Arial" w:hAnsi="Arial" w:cs="Arial"/>
        </w:rPr>
        <w:t>ir decisions' financial implications and how to use financial information to enhance their decision-making process, improve their company’s</w:t>
      </w:r>
      <w:r w:rsidR="00DF1947">
        <w:rPr>
          <w:rFonts w:ascii="Arial" w:hAnsi="Arial" w:cs="Arial"/>
        </w:rPr>
        <w:t xml:space="preserve"> performance,</w:t>
      </w:r>
      <w:r w:rsidRPr="00E03CFE">
        <w:rPr>
          <w:rFonts w:ascii="Arial" w:hAnsi="Arial" w:cs="Arial"/>
        </w:rPr>
        <w:t xml:space="preserve"> and secure funding (Lianabel, 2018). The real estate manager’s financial knowledge, skills, and competences are critical factors in securing financing for projects</w:t>
      </w:r>
      <w:r w:rsidR="00F82A6B">
        <w:rPr>
          <w:rFonts w:ascii="Arial" w:hAnsi="Arial" w:cs="Arial"/>
        </w:rPr>
        <w:t>. T</w:t>
      </w:r>
      <w:r w:rsidRPr="00E03CFE">
        <w:rPr>
          <w:rFonts w:ascii="Arial" w:hAnsi="Arial" w:cs="Arial"/>
        </w:rPr>
        <w:t xml:space="preserve">he decision to borrow involves series of complex considerations related to currently available resources, expected income, perceived needs, and the cost of borrowing and associated risks. </w:t>
      </w:r>
      <w:r w:rsidRPr="00E03CFE">
        <w:rPr>
          <w:rFonts w:ascii="Arial" w:hAnsi="Arial" w:cs="Arial"/>
        </w:rPr>
        <w:lastRenderedPageBreak/>
        <w:t xml:space="preserve">The growth of financing options means that real estate managers </w:t>
      </w:r>
      <w:r w:rsidR="00CB25E6" w:rsidRPr="00E03CFE">
        <w:rPr>
          <w:rFonts w:ascii="Arial" w:hAnsi="Arial" w:cs="Arial"/>
        </w:rPr>
        <w:t>must</w:t>
      </w:r>
      <w:r w:rsidRPr="00E03CFE">
        <w:rPr>
          <w:rFonts w:ascii="Arial" w:hAnsi="Arial" w:cs="Arial"/>
        </w:rPr>
        <w:t xml:space="preserve"> be financially knowledgeable and skilful </w:t>
      </w:r>
      <w:r w:rsidR="00206561">
        <w:rPr>
          <w:rFonts w:ascii="Arial" w:hAnsi="Arial" w:cs="Arial"/>
        </w:rPr>
        <w:t>at making</w:t>
      </w:r>
      <w:r w:rsidRPr="00E03CFE">
        <w:rPr>
          <w:rFonts w:ascii="Arial" w:hAnsi="Arial" w:cs="Arial"/>
        </w:rPr>
        <w:t xml:space="preserve"> the best decisions (Ogbenjuwa et al., 2018). </w:t>
      </w:r>
      <w:r w:rsidR="00206561">
        <w:rPr>
          <w:rFonts w:ascii="Arial" w:hAnsi="Arial" w:cs="Arial"/>
        </w:rPr>
        <w:t>Much</w:t>
      </w:r>
      <w:r w:rsidRPr="00E03CFE">
        <w:rPr>
          <w:rFonts w:ascii="Arial" w:hAnsi="Arial" w:cs="Arial"/>
        </w:rPr>
        <w:t xml:space="preserve"> work has been done on the manager’s skills, knowledge, competences, career path, training, and education</w:t>
      </w:r>
      <w:r w:rsidR="00206561">
        <w:rPr>
          <w:rFonts w:ascii="Arial" w:hAnsi="Arial" w:cs="Arial"/>
        </w:rPr>
        <w:t xml:space="preserve">. </w:t>
      </w:r>
      <w:r w:rsidR="00051E17">
        <w:rPr>
          <w:rFonts w:ascii="Arial" w:hAnsi="Arial" w:cs="Arial"/>
        </w:rPr>
        <w:t xml:space="preserve">However, </w:t>
      </w:r>
      <w:r w:rsidRPr="00E03CFE">
        <w:rPr>
          <w:rFonts w:ascii="Arial" w:hAnsi="Arial" w:cs="Arial"/>
        </w:rPr>
        <w:t xml:space="preserve">there is no notable work on </w:t>
      </w:r>
      <w:r w:rsidR="00FF7DE6">
        <w:rPr>
          <w:rFonts w:ascii="Arial" w:hAnsi="Arial" w:cs="Arial"/>
        </w:rPr>
        <w:t>skills, knowledge</w:t>
      </w:r>
      <w:r w:rsidR="00AB0932">
        <w:rPr>
          <w:rFonts w:ascii="Arial" w:hAnsi="Arial" w:cs="Arial"/>
        </w:rPr>
        <w:t>, and competences for securing real estate project development finance</w:t>
      </w:r>
      <w:r w:rsidRPr="00E03CFE">
        <w:rPr>
          <w:rFonts w:ascii="Arial" w:hAnsi="Arial" w:cs="Arial"/>
        </w:rPr>
        <w:t xml:space="preserve">. </w:t>
      </w:r>
      <w:r w:rsidR="00051E17">
        <w:rPr>
          <w:rFonts w:ascii="Arial" w:hAnsi="Arial" w:cs="Arial"/>
        </w:rPr>
        <w:t>This study will help to bridge that knowledge gap.</w:t>
      </w:r>
    </w:p>
    <w:p w14:paraId="5E64C98A" w14:textId="77777777" w:rsidR="00CD6352" w:rsidRPr="00E03CFE" w:rsidRDefault="00CD6352" w:rsidP="00CD6352">
      <w:pPr>
        <w:pStyle w:val="Heading2"/>
        <w:spacing w:after="240"/>
        <w:rPr>
          <w:rFonts w:cs="Arial"/>
          <w:b w:val="0"/>
          <w:sz w:val="22"/>
          <w:szCs w:val="22"/>
        </w:rPr>
      </w:pPr>
      <w:bookmarkStart w:id="23" w:name="_Toc78983769"/>
      <w:r w:rsidRPr="00E03CFE">
        <w:rPr>
          <w:rStyle w:val="Heading2Char"/>
          <w:rFonts w:cs="Arial"/>
          <w:b/>
          <w:sz w:val="22"/>
          <w:szCs w:val="22"/>
        </w:rPr>
        <w:t>Statement of the research problem</w:t>
      </w:r>
      <w:bookmarkEnd w:id="23"/>
      <w:r w:rsidRPr="00E03CFE">
        <w:rPr>
          <w:rFonts w:cs="Arial"/>
          <w:b w:val="0"/>
          <w:sz w:val="22"/>
          <w:szCs w:val="22"/>
        </w:rPr>
        <w:t xml:space="preserve"> </w:t>
      </w:r>
    </w:p>
    <w:p w14:paraId="2E8A1801" w14:textId="7C67D8C3" w:rsidR="00BA7EC7" w:rsidRPr="00E03CFE" w:rsidRDefault="00BA7EC7" w:rsidP="00CD6352">
      <w:pPr>
        <w:spacing w:line="360" w:lineRule="auto"/>
        <w:jc w:val="both"/>
        <w:rPr>
          <w:rFonts w:ascii="Arial" w:hAnsi="Arial" w:cs="Arial"/>
        </w:rPr>
      </w:pPr>
      <w:r w:rsidRPr="00E03CFE">
        <w:rPr>
          <w:rFonts w:ascii="Arial" w:hAnsi="Arial" w:cs="Arial"/>
        </w:rPr>
        <w:t>There is evident housing and real estate problem in both the developed and emerging economies</w:t>
      </w:r>
      <w:r w:rsidR="00D067DC" w:rsidRPr="00E03CFE">
        <w:rPr>
          <w:rFonts w:ascii="Arial" w:hAnsi="Arial" w:cs="Arial"/>
        </w:rPr>
        <w:t xml:space="preserve"> with insufficient resources to fill these gaps</w:t>
      </w:r>
      <w:r w:rsidR="00206561">
        <w:rPr>
          <w:rFonts w:ascii="Arial" w:hAnsi="Arial" w:cs="Arial"/>
        </w:rPr>
        <w:t>,</w:t>
      </w:r>
      <w:r w:rsidRPr="00E03CFE">
        <w:rPr>
          <w:rFonts w:ascii="Arial" w:hAnsi="Arial" w:cs="Arial"/>
        </w:rPr>
        <w:t xml:space="preserve"> as depicted by the following quotes.</w:t>
      </w:r>
      <w:r w:rsidR="00D469FB" w:rsidRPr="00E03CFE">
        <w:rPr>
          <w:rFonts w:ascii="Arial" w:hAnsi="Arial" w:cs="Arial"/>
        </w:rPr>
        <w:t xml:space="preserve"> Resources in this context encompass material, financial and human resources.</w:t>
      </w:r>
    </w:p>
    <w:p w14:paraId="338B855D" w14:textId="22EEC957" w:rsidR="00CB6523" w:rsidRPr="009874C8" w:rsidRDefault="00CB6523" w:rsidP="007625E7">
      <w:pPr>
        <w:spacing w:after="0" w:line="360" w:lineRule="auto"/>
        <w:jc w:val="center"/>
        <w:rPr>
          <w:rFonts w:ascii="Arial" w:hAnsi="Arial" w:cs="Arial"/>
          <w:i/>
          <w:iCs/>
        </w:rPr>
      </w:pPr>
      <w:r w:rsidRPr="009874C8">
        <w:rPr>
          <w:rFonts w:ascii="Arial" w:hAnsi="Arial" w:cs="Arial"/>
          <w:i/>
          <w:iCs/>
        </w:rPr>
        <w:t xml:space="preserve">“What we see out there is an affordable housing crisis, particularly in the rental market in cities big and small, we don’t have the resources necessary to fill that gap” Julian Castro </w:t>
      </w:r>
      <w:r w:rsidR="003A2E11" w:rsidRPr="009874C8">
        <w:rPr>
          <w:rFonts w:ascii="Arial" w:hAnsi="Arial" w:cs="Arial"/>
          <w:i/>
          <w:iCs/>
        </w:rPr>
        <w:t>(American</w:t>
      </w:r>
      <w:r w:rsidRPr="009874C8">
        <w:rPr>
          <w:rFonts w:ascii="Arial" w:hAnsi="Arial" w:cs="Arial"/>
          <w:i/>
          <w:iCs/>
        </w:rPr>
        <w:t xml:space="preserve"> Politician)</w:t>
      </w:r>
      <w:r w:rsidR="00706EFB" w:rsidRPr="009874C8">
        <w:rPr>
          <w:rFonts w:ascii="Arial" w:hAnsi="Arial" w:cs="Arial"/>
          <w:i/>
          <w:iCs/>
        </w:rPr>
        <w:t>.</w:t>
      </w:r>
    </w:p>
    <w:p w14:paraId="3E4AF714" w14:textId="77777777" w:rsidR="00D779FC" w:rsidRDefault="00706EFB" w:rsidP="007625E7">
      <w:pPr>
        <w:spacing w:after="0" w:line="240" w:lineRule="auto"/>
        <w:jc w:val="center"/>
        <w:rPr>
          <w:rFonts w:ascii="Arial" w:hAnsi="Arial" w:cs="Arial"/>
          <w:i/>
          <w:iCs/>
        </w:rPr>
      </w:pPr>
      <w:r w:rsidRPr="009874C8">
        <w:rPr>
          <w:rFonts w:ascii="Arial" w:hAnsi="Arial" w:cs="Arial"/>
          <w:i/>
          <w:iCs/>
        </w:rPr>
        <w:t xml:space="preserve">“We need more housing in San Francisco, plain and simple, and we especially need more affordable housing for our low-income households, seniors, teachers, formerly homeless people, veterans, and middle-income residents”. </w:t>
      </w:r>
    </w:p>
    <w:p w14:paraId="1C13A76E" w14:textId="26D03BD3" w:rsidR="00706EFB" w:rsidRDefault="00706EFB" w:rsidP="007625E7">
      <w:pPr>
        <w:spacing w:after="0" w:line="240" w:lineRule="auto"/>
        <w:jc w:val="center"/>
        <w:rPr>
          <w:rFonts w:ascii="Arial" w:hAnsi="Arial" w:cs="Arial"/>
          <w:i/>
          <w:iCs/>
        </w:rPr>
      </w:pPr>
      <w:r w:rsidRPr="009874C8">
        <w:rPr>
          <w:rFonts w:ascii="Arial" w:hAnsi="Arial" w:cs="Arial"/>
          <w:i/>
          <w:iCs/>
        </w:rPr>
        <w:t>London Breed (Mayor of San Francisco).</w:t>
      </w:r>
    </w:p>
    <w:p w14:paraId="1D93C793" w14:textId="77777777" w:rsidR="00D779FC" w:rsidRPr="009874C8" w:rsidRDefault="00D779FC" w:rsidP="00D779FC">
      <w:pPr>
        <w:spacing w:after="0" w:line="240" w:lineRule="auto"/>
        <w:ind w:left="720"/>
        <w:jc w:val="center"/>
        <w:rPr>
          <w:rFonts w:ascii="Arial" w:hAnsi="Arial" w:cs="Arial"/>
          <w:i/>
          <w:iCs/>
        </w:rPr>
      </w:pPr>
    </w:p>
    <w:p w14:paraId="4274F0CD" w14:textId="2C0B750F" w:rsidR="009223F0" w:rsidRPr="00E03CFE" w:rsidRDefault="00856EA3" w:rsidP="00856EA3">
      <w:pPr>
        <w:spacing w:line="360" w:lineRule="auto"/>
        <w:jc w:val="both"/>
        <w:rPr>
          <w:rFonts w:ascii="Arial" w:hAnsi="Arial" w:cs="Arial"/>
        </w:rPr>
      </w:pPr>
      <w:r w:rsidRPr="00E03CFE">
        <w:rPr>
          <w:rFonts w:ascii="Arial" w:hAnsi="Arial" w:cs="Arial"/>
        </w:rPr>
        <w:t>There is an increasing global shortfall in the supply of real estate projects compared to demand</w:t>
      </w:r>
      <w:r w:rsidR="008D211A">
        <w:rPr>
          <w:rFonts w:ascii="Arial" w:hAnsi="Arial" w:cs="Arial"/>
        </w:rPr>
        <w:t>;</w:t>
      </w:r>
      <w:r w:rsidRPr="00E03CFE">
        <w:rPr>
          <w:rFonts w:ascii="Arial" w:hAnsi="Arial" w:cs="Arial"/>
        </w:rPr>
        <w:t xml:space="preserve"> </w:t>
      </w:r>
      <w:r w:rsidR="00A75ADC">
        <w:rPr>
          <w:rFonts w:ascii="Arial" w:hAnsi="Arial" w:cs="Arial"/>
        </w:rPr>
        <w:t>this is partly</w:t>
      </w:r>
      <w:r w:rsidRPr="00E03CFE">
        <w:rPr>
          <w:rFonts w:ascii="Arial" w:hAnsi="Arial" w:cs="Arial"/>
        </w:rPr>
        <w:t xml:space="preserve"> because of the inability of managers/decision-makers in this sector to adequately secure finance </w:t>
      </w:r>
      <w:r w:rsidR="00E85191" w:rsidRPr="00E03CFE">
        <w:rPr>
          <w:rFonts w:ascii="Arial" w:hAnsi="Arial" w:cs="Arial"/>
        </w:rPr>
        <w:t xml:space="preserve">(Simire, 2017 </w:t>
      </w:r>
      <w:r w:rsidRPr="00E03CFE">
        <w:rPr>
          <w:rFonts w:ascii="Arial" w:hAnsi="Arial" w:cs="Arial"/>
        </w:rPr>
        <w:t xml:space="preserve">and BBC News, 2018). </w:t>
      </w:r>
      <w:r w:rsidR="009223F0" w:rsidRPr="00E03CFE">
        <w:rPr>
          <w:rFonts w:ascii="Arial" w:hAnsi="Arial" w:cs="Arial"/>
        </w:rPr>
        <w:t xml:space="preserve">Figure 1.1 on </w:t>
      </w:r>
      <w:r w:rsidR="008832A8">
        <w:rPr>
          <w:rFonts w:ascii="Arial" w:hAnsi="Arial" w:cs="Arial"/>
        </w:rPr>
        <w:t xml:space="preserve">the </w:t>
      </w:r>
      <w:r w:rsidR="009223F0" w:rsidRPr="00E03CFE">
        <w:rPr>
          <w:rFonts w:ascii="Arial" w:hAnsi="Arial" w:cs="Arial"/>
        </w:rPr>
        <w:t>Bloomberg housing affordability index also reveals the housing gaps in developed and emerging economies.</w:t>
      </w:r>
      <w:r w:rsidR="004C47F9">
        <w:rPr>
          <w:rFonts w:ascii="Arial" w:hAnsi="Arial" w:cs="Arial"/>
        </w:rPr>
        <w:t xml:space="preserve"> This raises question</w:t>
      </w:r>
      <w:r w:rsidR="00700C2C">
        <w:rPr>
          <w:rFonts w:ascii="Arial" w:hAnsi="Arial" w:cs="Arial"/>
        </w:rPr>
        <w:t>s</w:t>
      </w:r>
      <w:r w:rsidR="004C47F9">
        <w:rPr>
          <w:rFonts w:ascii="Arial" w:hAnsi="Arial" w:cs="Arial"/>
        </w:rPr>
        <w:t xml:space="preserve"> of what the man</w:t>
      </w:r>
      <w:r w:rsidR="008047E5">
        <w:rPr>
          <w:rFonts w:ascii="Arial" w:hAnsi="Arial" w:cs="Arial"/>
        </w:rPr>
        <w:t>a</w:t>
      </w:r>
      <w:r w:rsidR="004C47F9">
        <w:rPr>
          <w:rFonts w:ascii="Arial" w:hAnsi="Arial" w:cs="Arial"/>
        </w:rPr>
        <w:t xml:space="preserve">ger in this sector can do to secure finance for their project </w:t>
      </w:r>
      <w:r w:rsidR="004C47F9" w:rsidRPr="00E4647C">
        <w:rPr>
          <w:rFonts w:ascii="Arial" w:hAnsi="Arial" w:cs="Arial"/>
        </w:rPr>
        <w:t>development from limited source</w:t>
      </w:r>
      <w:r w:rsidR="008832A8">
        <w:rPr>
          <w:rFonts w:ascii="Arial" w:hAnsi="Arial" w:cs="Arial"/>
        </w:rPr>
        <w:t>s</w:t>
      </w:r>
      <w:r w:rsidR="00AB0932">
        <w:rPr>
          <w:rFonts w:ascii="Arial" w:hAnsi="Arial" w:cs="Arial"/>
        </w:rPr>
        <w:t>.</w:t>
      </w:r>
    </w:p>
    <w:p w14:paraId="0A736A97" w14:textId="4892272C" w:rsidR="00856EA3" w:rsidRPr="00E03CFE" w:rsidRDefault="00817CC0" w:rsidP="00856EA3">
      <w:pPr>
        <w:spacing w:line="360" w:lineRule="auto"/>
        <w:jc w:val="both"/>
        <w:rPr>
          <w:rFonts w:ascii="Arial" w:hAnsi="Arial" w:cs="Arial"/>
        </w:rPr>
      </w:pPr>
      <w:r w:rsidRPr="00E03CFE">
        <w:rPr>
          <w:rFonts w:ascii="Arial" w:hAnsi="Arial" w:cs="Arial"/>
        </w:rPr>
        <w:t>There is also the existing research gap</w:t>
      </w:r>
      <w:r w:rsidR="00BE195B" w:rsidRPr="00E03CFE">
        <w:rPr>
          <w:rFonts w:ascii="Arial" w:hAnsi="Arial" w:cs="Arial"/>
        </w:rPr>
        <w:t xml:space="preserve"> in </w:t>
      </w:r>
      <w:r w:rsidR="00432C76">
        <w:rPr>
          <w:rFonts w:ascii="Arial" w:hAnsi="Arial" w:cs="Arial"/>
        </w:rPr>
        <w:t xml:space="preserve">the </w:t>
      </w:r>
      <w:r w:rsidR="00BE195B" w:rsidRPr="00E03CFE">
        <w:rPr>
          <w:rFonts w:ascii="Arial" w:hAnsi="Arial" w:cs="Arial"/>
        </w:rPr>
        <w:t>literature</w:t>
      </w:r>
      <w:r w:rsidRPr="00E03CFE">
        <w:rPr>
          <w:rFonts w:ascii="Arial" w:hAnsi="Arial" w:cs="Arial"/>
        </w:rPr>
        <w:t xml:space="preserve"> o</w:t>
      </w:r>
      <w:r w:rsidR="00AE1969" w:rsidRPr="00E03CFE">
        <w:rPr>
          <w:rFonts w:ascii="Arial" w:hAnsi="Arial" w:cs="Arial"/>
        </w:rPr>
        <w:t>n</w:t>
      </w:r>
      <w:r w:rsidRPr="00E03CFE">
        <w:rPr>
          <w:rFonts w:ascii="Arial" w:hAnsi="Arial" w:cs="Arial"/>
        </w:rPr>
        <w:t xml:space="preserve"> skills, knowledge, competences, career path, education</w:t>
      </w:r>
      <w:r w:rsidR="0099709E" w:rsidRPr="00E03CFE">
        <w:rPr>
          <w:rFonts w:ascii="Arial" w:hAnsi="Arial" w:cs="Arial"/>
        </w:rPr>
        <w:t xml:space="preserve">, </w:t>
      </w:r>
      <w:r w:rsidRPr="00E03CFE">
        <w:rPr>
          <w:rFonts w:ascii="Arial" w:hAnsi="Arial" w:cs="Arial"/>
        </w:rPr>
        <w:t>training</w:t>
      </w:r>
      <w:r w:rsidR="0099709E" w:rsidRPr="00E03CFE">
        <w:rPr>
          <w:rFonts w:ascii="Arial" w:hAnsi="Arial" w:cs="Arial"/>
        </w:rPr>
        <w:t xml:space="preserve"> and process map</w:t>
      </w:r>
      <w:r w:rsidRPr="00E03CFE">
        <w:rPr>
          <w:rFonts w:ascii="Arial" w:hAnsi="Arial" w:cs="Arial"/>
        </w:rPr>
        <w:t xml:space="preserve"> for securing finance for real estate project development</w:t>
      </w:r>
      <w:r w:rsidR="00700C2C">
        <w:rPr>
          <w:rFonts w:ascii="Arial" w:hAnsi="Arial" w:cs="Arial"/>
        </w:rPr>
        <w:t>. T</w:t>
      </w:r>
      <w:r w:rsidRPr="00E03CFE">
        <w:rPr>
          <w:rFonts w:ascii="Arial" w:hAnsi="Arial" w:cs="Arial"/>
        </w:rPr>
        <w:t>his research seeks to provide solution</w:t>
      </w:r>
      <w:r w:rsidR="00BE195B" w:rsidRPr="00E03CFE">
        <w:rPr>
          <w:rFonts w:ascii="Arial" w:hAnsi="Arial" w:cs="Arial"/>
        </w:rPr>
        <w:t>s</w:t>
      </w:r>
      <w:r w:rsidRPr="00E03CFE">
        <w:rPr>
          <w:rFonts w:ascii="Arial" w:hAnsi="Arial" w:cs="Arial"/>
        </w:rPr>
        <w:t xml:space="preserve"> </w:t>
      </w:r>
      <w:r w:rsidR="00AB0932">
        <w:rPr>
          <w:rFonts w:ascii="Arial" w:hAnsi="Arial" w:cs="Arial"/>
        </w:rPr>
        <w:t>to the existing research gap</w:t>
      </w:r>
      <w:r w:rsidRPr="00E03CFE">
        <w:rPr>
          <w:rFonts w:ascii="Arial" w:hAnsi="Arial" w:cs="Arial"/>
        </w:rPr>
        <w:t xml:space="preserve"> (see Chapter 1.3.3).</w:t>
      </w:r>
      <w:r w:rsidR="00033257" w:rsidRPr="00E03CFE">
        <w:rPr>
          <w:rFonts w:ascii="Arial" w:hAnsi="Arial" w:cs="Arial"/>
        </w:rPr>
        <w:t xml:space="preserve"> </w:t>
      </w:r>
      <w:r w:rsidR="00856EA3" w:rsidRPr="00E03CFE">
        <w:rPr>
          <w:rFonts w:ascii="Arial" w:hAnsi="Arial" w:cs="Arial"/>
        </w:rPr>
        <w:t xml:space="preserve">Consequently, there is a need </w:t>
      </w:r>
      <w:r w:rsidR="00700C2C">
        <w:rPr>
          <w:rFonts w:ascii="Arial" w:hAnsi="Arial" w:cs="Arial"/>
        </w:rPr>
        <w:t xml:space="preserve">to </w:t>
      </w:r>
      <w:r w:rsidR="00AB0932">
        <w:rPr>
          <w:rFonts w:ascii="Arial" w:hAnsi="Arial" w:cs="Arial"/>
        </w:rPr>
        <w:t>understand better</w:t>
      </w:r>
      <w:r w:rsidR="00700C2C">
        <w:rPr>
          <w:rFonts w:ascii="Arial" w:hAnsi="Arial" w:cs="Arial"/>
        </w:rPr>
        <w:t xml:space="preserve"> the support the manager needs to secure</w:t>
      </w:r>
      <w:r w:rsidR="00BE195B" w:rsidRPr="00E03CFE">
        <w:rPr>
          <w:rFonts w:ascii="Arial" w:hAnsi="Arial" w:cs="Arial"/>
        </w:rPr>
        <w:t xml:space="preserve"> finance </w:t>
      </w:r>
      <w:r w:rsidR="00856EA3" w:rsidRPr="00E03CFE">
        <w:rPr>
          <w:rFonts w:ascii="Arial" w:hAnsi="Arial" w:cs="Arial"/>
        </w:rPr>
        <w:t>for real estate project development.</w:t>
      </w:r>
      <w:r w:rsidR="00EA6632">
        <w:rPr>
          <w:rFonts w:ascii="Arial" w:hAnsi="Arial" w:cs="Arial"/>
        </w:rPr>
        <w:t xml:space="preserve"> </w:t>
      </w:r>
    </w:p>
    <w:p w14:paraId="006CF667" w14:textId="26AD6BC7" w:rsidR="004C35DA" w:rsidRDefault="00700C2C" w:rsidP="004C35DA">
      <w:pPr>
        <w:spacing w:line="360" w:lineRule="auto"/>
        <w:jc w:val="both"/>
        <w:rPr>
          <w:rFonts w:ascii="Arial" w:hAnsi="Arial" w:cs="Arial"/>
        </w:rPr>
      </w:pPr>
      <w:r>
        <w:rPr>
          <w:rFonts w:ascii="Arial" w:hAnsi="Arial" w:cs="Arial"/>
        </w:rPr>
        <w:t>S</w:t>
      </w:r>
      <w:r w:rsidR="00CD6352" w:rsidRPr="00E03CFE">
        <w:rPr>
          <w:rFonts w:ascii="Arial" w:hAnsi="Arial" w:cs="Arial"/>
        </w:rPr>
        <w:t>everal kinds of research on the managers in the built environment, their roles, knowledge, and skills</w:t>
      </w:r>
      <w:r>
        <w:rPr>
          <w:rFonts w:ascii="Arial" w:hAnsi="Arial" w:cs="Arial"/>
        </w:rPr>
        <w:t xml:space="preserve"> have been conducted </w:t>
      </w:r>
      <w:r w:rsidR="00CD6352" w:rsidRPr="00E03CFE">
        <w:rPr>
          <w:rFonts w:ascii="Arial" w:hAnsi="Arial" w:cs="Arial"/>
        </w:rPr>
        <w:t xml:space="preserve"> (Egbu, 1994; Young, 1988; Muthuveloo, 2017). However, </w:t>
      </w:r>
      <w:r>
        <w:rPr>
          <w:rFonts w:ascii="Arial" w:hAnsi="Arial" w:cs="Arial"/>
        </w:rPr>
        <w:t>the manager's specific skills, knowledge, competences, career path, training, and education</w:t>
      </w:r>
      <w:r w:rsidR="00CD6352" w:rsidRPr="00E03CFE">
        <w:rPr>
          <w:rFonts w:ascii="Arial" w:hAnsi="Arial" w:cs="Arial"/>
        </w:rPr>
        <w:t xml:space="preserve"> to access finance for real estate project development have not been investigated. The increasing changes and complexities in the built environment raise essential questions about the nature and types of skills</w:t>
      </w:r>
      <w:r w:rsidR="0074725D">
        <w:rPr>
          <w:rFonts w:ascii="Arial" w:hAnsi="Arial" w:cs="Arial"/>
        </w:rPr>
        <w:t>, knowledge</w:t>
      </w:r>
      <w:r w:rsidR="00AB0932">
        <w:rPr>
          <w:rFonts w:ascii="Arial" w:hAnsi="Arial" w:cs="Arial"/>
        </w:rPr>
        <w:t>, and competences required by real estate managers to secure</w:t>
      </w:r>
      <w:r w:rsidR="00CD6352" w:rsidRPr="00E03CFE">
        <w:rPr>
          <w:rFonts w:ascii="Arial" w:hAnsi="Arial" w:cs="Arial"/>
        </w:rPr>
        <w:t xml:space="preserve"> finance for real estate project development (Ogbenjuwa et al</w:t>
      </w:r>
      <w:r>
        <w:rPr>
          <w:rFonts w:ascii="Arial" w:hAnsi="Arial" w:cs="Arial"/>
        </w:rPr>
        <w:t>.</w:t>
      </w:r>
      <w:r w:rsidR="00CD6352" w:rsidRPr="00E03CFE">
        <w:rPr>
          <w:rFonts w:ascii="Arial" w:hAnsi="Arial" w:cs="Arial"/>
        </w:rPr>
        <w:t xml:space="preserve">, 2018; Dale &amp; Iles, 1992). To </w:t>
      </w:r>
      <w:r w:rsidR="00CD6352" w:rsidRPr="00E03CFE">
        <w:rPr>
          <w:rFonts w:ascii="Arial" w:hAnsi="Arial" w:cs="Arial"/>
        </w:rPr>
        <w:lastRenderedPageBreak/>
        <w:t xml:space="preserve">meet the demands of financiers, the manager needs a robust </w:t>
      </w:r>
      <w:r w:rsidR="00310165" w:rsidRPr="00E03CFE">
        <w:rPr>
          <w:rFonts w:ascii="Arial" w:hAnsi="Arial" w:cs="Arial"/>
        </w:rPr>
        <w:t>skill set</w:t>
      </w:r>
      <w:r w:rsidR="00CD6352" w:rsidRPr="00E03CFE">
        <w:rPr>
          <w:rFonts w:ascii="Arial" w:hAnsi="Arial" w:cs="Arial"/>
        </w:rPr>
        <w:t xml:space="preserve"> </w:t>
      </w:r>
      <w:r w:rsidR="00966FED">
        <w:rPr>
          <w:rFonts w:ascii="Arial" w:hAnsi="Arial" w:cs="Arial"/>
        </w:rPr>
        <w:t xml:space="preserve">and continually need </w:t>
      </w:r>
      <w:r>
        <w:rPr>
          <w:rFonts w:ascii="Arial" w:hAnsi="Arial" w:cs="Arial"/>
        </w:rPr>
        <w:t xml:space="preserve">the </w:t>
      </w:r>
      <w:r w:rsidR="00966FED">
        <w:rPr>
          <w:rFonts w:ascii="Arial" w:hAnsi="Arial" w:cs="Arial"/>
        </w:rPr>
        <w:t>training to align with the changing financial markets</w:t>
      </w:r>
      <w:r>
        <w:rPr>
          <w:rFonts w:ascii="Arial" w:hAnsi="Arial" w:cs="Arial"/>
        </w:rPr>
        <w:t>,</w:t>
      </w:r>
      <w:r w:rsidR="00966FED">
        <w:rPr>
          <w:rFonts w:ascii="Arial" w:hAnsi="Arial" w:cs="Arial"/>
        </w:rPr>
        <w:t xml:space="preserve"> </w:t>
      </w:r>
      <w:r w:rsidR="0016104F">
        <w:rPr>
          <w:rFonts w:ascii="Arial" w:hAnsi="Arial" w:cs="Arial"/>
        </w:rPr>
        <w:t>as depicted by the quote below by Warren Bennis</w:t>
      </w:r>
      <w:r>
        <w:rPr>
          <w:rFonts w:ascii="Arial" w:hAnsi="Arial" w:cs="Arial"/>
        </w:rPr>
        <w:t>,</w:t>
      </w:r>
      <w:r w:rsidR="0016104F">
        <w:rPr>
          <w:rFonts w:ascii="Arial" w:hAnsi="Arial" w:cs="Arial"/>
        </w:rPr>
        <w:t xml:space="preserve"> regarded as a pioneer of the contemporary field of leadership.</w:t>
      </w:r>
      <w:r w:rsidR="00CD6352" w:rsidRPr="00E03CFE">
        <w:rPr>
          <w:rFonts w:ascii="Arial" w:hAnsi="Arial" w:cs="Arial"/>
        </w:rPr>
        <w:t xml:space="preserve"> </w:t>
      </w:r>
    </w:p>
    <w:p w14:paraId="04A694FE" w14:textId="6480C555" w:rsidR="00F004C0" w:rsidRDefault="0016104F" w:rsidP="00E347C0">
      <w:pPr>
        <w:jc w:val="both"/>
        <w:rPr>
          <w:rFonts w:ascii="Arial" w:hAnsi="Arial" w:cs="Arial"/>
          <w:i/>
          <w:iCs/>
        </w:rPr>
      </w:pPr>
      <w:r w:rsidRPr="00F004C0">
        <w:rPr>
          <w:rFonts w:ascii="Arial" w:hAnsi="Arial" w:cs="Arial"/>
          <w:i/>
          <w:iCs/>
        </w:rPr>
        <w:t>“</w:t>
      </w:r>
      <w:r w:rsidR="004C35DA">
        <w:rPr>
          <w:rFonts w:ascii="Arial" w:hAnsi="Arial" w:cs="Arial"/>
          <w:i/>
          <w:iCs/>
        </w:rPr>
        <w:t>S</w:t>
      </w:r>
      <w:r w:rsidRPr="00F004C0">
        <w:rPr>
          <w:rFonts w:ascii="Arial" w:hAnsi="Arial" w:cs="Arial"/>
          <w:i/>
          <w:iCs/>
        </w:rPr>
        <w:t>uccess</w:t>
      </w:r>
      <w:r w:rsidR="00966FED" w:rsidRPr="00F004C0">
        <w:rPr>
          <w:rFonts w:ascii="Arial" w:hAnsi="Arial" w:cs="Arial"/>
          <w:i/>
          <w:iCs/>
        </w:rPr>
        <w:t xml:space="preserve"> in management requires learning as fast as the world is changing</w:t>
      </w:r>
      <w:r w:rsidR="00700C2C">
        <w:rPr>
          <w:rFonts w:ascii="Arial" w:hAnsi="Arial" w:cs="Arial"/>
          <w:i/>
          <w:iCs/>
        </w:rPr>
        <w:t>.</w:t>
      </w:r>
      <w:r w:rsidR="00966FED" w:rsidRPr="00F004C0">
        <w:rPr>
          <w:rFonts w:ascii="Arial" w:hAnsi="Arial" w:cs="Arial"/>
          <w:i/>
          <w:iCs/>
        </w:rPr>
        <w:t xml:space="preserve">” </w:t>
      </w:r>
    </w:p>
    <w:p w14:paraId="4F29BF9D" w14:textId="0F1DC8A2" w:rsidR="00966FED" w:rsidRPr="00F004C0" w:rsidRDefault="00966FED" w:rsidP="00E347C0">
      <w:pPr>
        <w:ind w:left="720"/>
        <w:jc w:val="center"/>
        <w:rPr>
          <w:rFonts w:ascii="Arial" w:hAnsi="Arial" w:cs="Arial"/>
          <w:i/>
          <w:iCs/>
          <w:highlight w:val="green"/>
        </w:rPr>
      </w:pPr>
      <w:r w:rsidRPr="00F004C0">
        <w:rPr>
          <w:rFonts w:ascii="Arial" w:hAnsi="Arial" w:cs="Arial"/>
          <w:i/>
          <w:iCs/>
        </w:rPr>
        <w:t>Warren Bennis</w:t>
      </w:r>
    </w:p>
    <w:p w14:paraId="0E626F94" w14:textId="660C8044" w:rsidR="00BD42A9" w:rsidRPr="00E03CFE" w:rsidRDefault="00700C2C" w:rsidP="00CD6352">
      <w:pPr>
        <w:spacing w:line="360" w:lineRule="auto"/>
        <w:jc w:val="both"/>
        <w:rPr>
          <w:rFonts w:ascii="Arial" w:hAnsi="Arial" w:cs="Arial"/>
          <w:color w:val="000000"/>
        </w:rPr>
      </w:pPr>
      <w:r>
        <w:rPr>
          <w:rFonts w:ascii="Arial" w:hAnsi="Arial" w:cs="Arial"/>
        </w:rPr>
        <w:t>Much</w:t>
      </w:r>
      <w:r w:rsidR="00CD6352" w:rsidRPr="00E03CFE">
        <w:rPr>
          <w:rFonts w:ascii="Arial" w:hAnsi="Arial" w:cs="Arial"/>
        </w:rPr>
        <w:t xml:space="preserve"> work has been done on financing for real estate project development (</w:t>
      </w:r>
      <w:r w:rsidR="00CD6352" w:rsidRPr="00E03CFE">
        <w:rPr>
          <w:rFonts w:ascii="Arial" w:hAnsi="Arial" w:cs="Arial"/>
          <w:color w:val="000000"/>
        </w:rPr>
        <w:t>Clauretie and Sirmans, 2010; Jones, 2017; Kaplan, 2011)</w:t>
      </w:r>
      <w:r w:rsidR="00BD42A9" w:rsidRPr="00E03CFE">
        <w:rPr>
          <w:rFonts w:ascii="Arial" w:hAnsi="Arial" w:cs="Arial"/>
          <w:color w:val="000000"/>
        </w:rPr>
        <w:t xml:space="preserve">. However, </w:t>
      </w:r>
      <w:r w:rsidR="00AB0932">
        <w:rPr>
          <w:rFonts w:ascii="Arial" w:hAnsi="Arial" w:cs="Arial"/>
          <w:color w:val="000000"/>
        </w:rPr>
        <w:t>no comprehensive framework or toolki</w:t>
      </w:r>
      <w:r w:rsidR="00BD42A9" w:rsidRPr="00E03CFE">
        <w:rPr>
          <w:rFonts w:ascii="Arial" w:hAnsi="Arial" w:cs="Arial"/>
          <w:color w:val="000000"/>
        </w:rPr>
        <w:t xml:space="preserve">t </w:t>
      </w:r>
      <w:r w:rsidR="00D63212">
        <w:rPr>
          <w:rFonts w:ascii="Arial" w:hAnsi="Arial" w:cs="Arial"/>
          <w:color w:val="000000"/>
        </w:rPr>
        <w:t>considers</w:t>
      </w:r>
      <w:r w:rsidR="00BD42A9" w:rsidRPr="00E03CFE">
        <w:rPr>
          <w:rFonts w:ascii="Arial" w:hAnsi="Arial" w:cs="Arial"/>
          <w:color w:val="000000"/>
        </w:rPr>
        <w:t xml:space="preserve"> the totality of all the factors this research has identified as relevant in guiding the real estate manager in securing finance for real estate project development in both the developed and emerging economies.</w:t>
      </w:r>
    </w:p>
    <w:p w14:paraId="44BADE22" w14:textId="506FE089" w:rsidR="00CD6352" w:rsidRDefault="00CD6352" w:rsidP="00CD6352">
      <w:pPr>
        <w:spacing w:line="360" w:lineRule="auto"/>
        <w:jc w:val="both"/>
        <w:rPr>
          <w:rFonts w:ascii="Arial" w:hAnsi="Arial" w:cs="Arial"/>
        </w:rPr>
      </w:pPr>
      <w:r w:rsidRPr="00E03CFE">
        <w:rPr>
          <w:rFonts w:ascii="Arial" w:hAnsi="Arial" w:cs="Arial"/>
        </w:rPr>
        <w:t xml:space="preserve">This study </w:t>
      </w:r>
      <w:r w:rsidR="00D63212">
        <w:rPr>
          <w:rFonts w:ascii="Arial" w:hAnsi="Arial" w:cs="Arial"/>
        </w:rPr>
        <w:t>enhances</w:t>
      </w:r>
      <w:r w:rsidRPr="00E03CFE">
        <w:rPr>
          <w:rFonts w:ascii="Arial" w:hAnsi="Arial" w:cs="Arial"/>
        </w:rPr>
        <w:t xml:space="preserve"> existing knowledge in real estate financing through its proper articulation of some of the available </w:t>
      </w:r>
      <w:r w:rsidR="00F41467">
        <w:rPr>
          <w:rFonts w:ascii="Arial" w:hAnsi="Arial" w:cs="Arial"/>
        </w:rPr>
        <w:t>real estate financing options</w:t>
      </w:r>
      <w:r w:rsidRPr="00E03CFE">
        <w:rPr>
          <w:rFonts w:ascii="Arial" w:hAnsi="Arial" w:cs="Arial"/>
        </w:rPr>
        <w:t xml:space="preserve"> in both developed and emerging economies. It looks at the critical success factors, challenges &amp; opportunities, criteria</w:t>
      </w:r>
      <w:r w:rsidR="00AB0932">
        <w:rPr>
          <w:rFonts w:ascii="Arial" w:hAnsi="Arial" w:cs="Arial"/>
        </w:rPr>
        <w:t>, and decision-making processes for securing real estate project development finance</w:t>
      </w:r>
      <w:r w:rsidRPr="00E03CFE">
        <w:rPr>
          <w:rFonts w:ascii="Arial" w:hAnsi="Arial" w:cs="Arial"/>
        </w:rPr>
        <w:t>. It also looks specifically at the skills</w:t>
      </w:r>
      <w:r w:rsidR="00D63212">
        <w:rPr>
          <w:rFonts w:ascii="Arial" w:hAnsi="Arial" w:cs="Arial"/>
        </w:rPr>
        <w:t>,</w:t>
      </w:r>
      <w:r w:rsidRPr="00E03CFE">
        <w:rPr>
          <w:rFonts w:ascii="Arial" w:hAnsi="Arial" w:cs="Arial"/>
        </w:rPr>
        <w:t xml:space="preserve"> knowledge, competences, career path, training, and education that managers in the real estate and property sector need to secure finance for project development in developed and emerging economies.</w:t>
      </w:r>
      <w:r w:rsidR="00C91D4A" w:rsidRPr="00E03CFE">
        <w:rPr>
          <w:rFonts w:ascii="Arial" w:hAnsi="Arial" w:cs="Arial"/>
        </w:rPr>
        <w:t xml:space="preserve"> The </w:t>
      </w:r>
      <w:r w:rsidR="00D63212">
        <w:rPr>
          <w:rFonts w:ascii="Arial" w:hAnsi="Arial" w:cs="Arial"/>
        </w:rPr>
        <w:t xml:space="preserve">study's focus is on the selected countries in both </w:t>
      </w:r>
      <w:r w:rsidR="00AB0932">
        <w:rPr>
          <w:rFonts w:ascii="Arial" w:hAnsi="Arial" w:cs="Arial"/>
        </w:rPr>
        <w:t>developed and emerging economies, emphasising</w:t>
      </w:r>
      <w:r w:rsidR="00D63212">
        <w:rPr>
          <w:rFonts w:ascii="Arial" w:hAnsi="Arial" w:cs="Arial"/>
        </w:rPr>
        <w:t xml:space="preserve"> residential and commercial real estate to provide a comprehensive </w:t>
      </w:r>
      <w:r w:rsidR="00232936">
        <w:rPr>
          <w:rFonts w:ascii="Arial" w:hAnsi="Arial" w:cs="Arial"/>
        </w:rPr>
        <w:t xml:space="preserve">model </w:t>
      </w:r>
      <w:r w:rsidR="00D63212">
        <w:rPr>
          <w:rFonts w:ascii="Arial" w:hAnsi="Arial" w:cs="Arial"/>
        </w:rPr>
        <w:t>that managers in the real estate sector can plug</w:t>
      </w:r>
      <w:r w:rsidR="00161BC2">
        <w:rPr>
          <w:rFonts w:ascii="Arial" w:hAnsi="Arial" w:cs="Arial"/>
        </w:rPr>
        <w:t xml:space="preserve"> </w:t>
      </w:r>
      <w:r w:rsidR="00C91D4A" w:rsidRPr="00E03CFE">
        <w:rPr>
          <w:rFonts w:ascii="Arial" w:hAnsi="Arial" w:cs="Arial"/>
        </w:rPr>
        <w:t xml:space="preserve">in depending on their needs ( see chapter </w:t>
      </w:r>
      <w:r w:rsidR="00524809">
        <w:rPr>
          <w:rFonts w:ascii="Arial" w:hAnsi="Arial" w:cs="Arial"/>
        </w:rPr>
        <w:t>10</w:t>
      </w:r>
      <w:r w:rsidR="00C91D4A" w:rsidRPr="00E03CFE">
        <w:rPr>
          <w:rFonts w:ascii="Arial" w:hAnsi="Arial" w:cs="Arial"/>
        </w:rPr>
        <w:t>).</w:t>
      </w:r>
    </w:p>
    <w:p w14:paraId="6F723026" w14:textId="77777777" w:rsidR="00CD6352" w:rsidRPr="00E03CFE" w:rsidRDefault="00CD6352" w:rsidP="00CD6352">
      <w:pPr>
        <w:pStyle w:val="Heading2"/>
        <w:spacing w:after="240" w:line="360" w:lineRule="auto"/>
        <w:jc w:val="both"/>
        <w:rPr>
          <w:rFonts w:cs="Arial"/>
          <w:sz w:val="22"/>
          <w:szCs w:val="22"/>
        </w:rPr>
      </w:pPr>
      <w:bookmarkStart w:id="24" w:name="_Toc76476023"/>
      <w:bookmarkStart w:id="25" w:name="_Toc76493963"/>
      <w:bookmarkStart w:id="26" w:name="_Toc77600629"/>
      <w:bookmarkStart w:id="27" w:name="_Toc77939200"/>
      <w:bookmarkStart w:id="28" w:name="_Toc77948994"/>
      <w:bookmarkStart w:id="29" w:name="_Toc75538535"/>
      <w:bookmarkStart w:id="30" w:name="_Toc75725639"/>
      <w:bookmarkStart w:id="31" w:name="_Toc75725863"/>
      <w:bookmarkStart w:id="32" w:name="_Toc75726093"/>
      <w:bookmarkStart w:id="33" w:name="_Toc75726317"/>
      <w:bookmarkStart w:id="34" w:name="_Toc75726541"/>
      <w:bookmarkStart w:id="35" w:name="_Toc75726765"/>
      <w:bookmarkStart w:id="36" w:name="_Toc75726995"/>
      <w:bookmarkStart w:id="37" w:name="_Toc76023408"/>
      <w:bookmarkStart w:id="38" w:name="_Toc76212101"/>
      <w:bookmarkStart w:id="39" w:name="_Toc76330854"/>
      <w:bookmarkStart w:id="40" w:name="_Toc76331649"/>
      <w:bookmarkStart w:id="41" w:name="_Toc76331905"/>
      <w:bookmarkStart w:id="42" w:name="_Toc76460348"/>
      <w:bookmarkStart w:id="43" w:name="_Toc76476024"/>
      <w:bookmarkStart w:id="44" w:name="_Toc76493964"/>
      <w:bookmarkStart w:id="45" w:name="_Toc77600630"/>
      <w:bookmarkStart w:id="46" w:name="_Toc77939201"/>
      <w:bookmarkStart w:id="47" w:name="_Toc77948995"/>
      <w:bookmarkStart w:id="48" w:name="_Toc75538536"/>
      <w:bookmarkStart w:id="49" w:name="_Toc75725640"/>
      <w:bookmarkStart w:id="50" w:name="_Toc75725864"/>
      <w:bookmarkStart w:id="51" w:name="_Toc75726094"/>
      <w:bookmarkStart w:id="52" w:name="_Toc75726318"/>
      <w:bookmarkStart w:id="53" w:name="_Toc75726542"/>
      <w:bookmarkStart w:id="54" w:name="_Toc75726766"/>
      <w:bookmarkStart w:id="55" w:name="_Toc75726996"/>
      <w:bookmarkStart w:id="56" w:name="_Toc76023409"/>
      <w:bookmarkStart w:id="57" w:name="_Toc76212102"/>
      <w:bookmarkStart w:id="58" w:name="_Toc76330855"/>
      <w:bookmarkStart w:id="59" w:name="_Toc76331650"/>
      <w:bookmarkStart w:id="60" w:name="_Toc76331906"/>
      <w:bookmarkStart w:id="61" w:name="_Toc76460349"/>
      <w:bookmarkStart w:id="62" w:name="_Toc76476025"/>
      <w:bookmarkStart w:id="63" w:name="_Toc76493965"/>
      <w:bookmarkStart w:id="64" w:name="_Toc77600631"/>
      <w:bookmarkStart w:id="65" w:name="_Toc77939202"/>
      <w:bookmarkStart w:id="66" w:name="_Toc77948996"/>
      <w:bookmarkStart w:id="67" w:name="_Toc75538537"/>
      <w:bookmarkStart w:id="68" w:name="_Toc75725641"/>
      <w:bookmarkStart w:id="69" w:name="_Toc75725865"/>
      <w:bookmarkStart w:id="70" w:name="_Toc75726095"/>
      <w:bookmarkStart w:id="71" w:name="_Toc75726319"/>
      <w:bookmarkStart w:id="72" w:name="_Toc75726543"/>
      <w:bookmarkStart w:id="73" w:name="_Toc75726767"/>
      <w:bookmarkStart w:id="74" w:name="_Toc75726997"/>
      <w:bookmarkStart w:id="75" w:name="_Toc76023410"/>
      <w:bookmarkStart w:id="76" w:name="_Toc76212103"/>
      <w:bookmarkStart w:id="77" w:name="_Toc76330856"/>
      <w:bookmarkStart w:id="78" w:name="_Toc76331651"/>
      <w:bookmarkStart w:id="79" w:name="_Toc76331907"/>
      <w:bookmarkStart w:id="80" w:name="_Toc76460350"/>
      <w:bookmarkStart w:id="81" w:name="_Toc76476026"/>
      <w:bookmarkStart w:id="82" w:name="_Toc76493966"/>
      <w:bookmarkStart w:id="83" w:name="_Toc77600632"/>
      <w:bookmarkStart w:id="84" w:name="_Toc77939203"/>
      <w:bookmarkStart w:id="85" w:name="_Toc77948997"/>
      <w:bookmarkStart w:id="86" w:name="_Toc75538538"/>
      <w:bookmarkStart w:id="87" w:name="_Toc75725642"/>
      <w:bookmarkStart w:id="88" w:name="_Toc75725866"/>
      <w:bookmarkStart w:id="89" w:name="_Toc75726096"/>
      <w:bookmarkStart w:id="90" w:name="_Toc75726320"/>
      <w:bookmarkStart w:id="91" w:name="_Toc75726544"/>
      <w:bookmarkStart w:id="92" w:name="_Toc75726768"/>
      <w:bookmarkStart w:id="93" w:name="_Toc75726998"/>
      <w:bookmarkStart w:id="94" w:name="_Toc76023411"/>
      <w:bookmarkStart w:id="95" w:name="_Toc76212104"/>
      <w:bookmarkStart w:id="96" w:name="_Toc76330857"/>
      <w:bookmarkStart w:id="97" w:name="_Toc76331652"/>
      <w:bookmarkStart w:id="98" w:name="_Toc76331908"/>
      <w:bookmarkStart w:id="99" w:name="_Toc76460351"/>
      <w:bookmarkStart w:id="100" w:name="_Toc76476027"/>
      <w:bookmarkStart w:id="101" w:name="_Toc76493967"/>
      <w:bookmarkStart w:id="102" w:name="_Toc77600633"/>
      <w:bookmarkStart w:id="103" w:name="_Toc77939204"/>
      <w:bookmarkStart w:id="104" w:name="_Toc77948998"/>
      <w:bookmarkStart w:id="105" w:name="_Toc75538539"/>
      <w:bookmarkStart w:id="106" w:name="_Toc75725643"/>
      <w:bookmarkStart w:id="107" w:name="_Toc75725867"/>
      <w:bookmarkStart w:id="108" w:name="_Toc75726097"/>
      <w:bookmarkStart w:id="109" w:name="_Toc75726321"/>
      <w:bookmarkStart w:id="110" w:name="_Toc75726545"/>
      <w:bookmarkStart w:id="111" w:name="_Toc75726769"/>
      <w:bookmarkStart w:id="112" w:name="_Toc75726999"/>
      <w:bookmarkStart w:id="113" w:name="_Toc76023412"/>
      <w:bookmarkStart w:id="114" w:name="_Toc76212105"/>
      <w:bookmarkStart w:id="115" w:name="_Toc76330858"/>
      <w:bookmarkStart w:id="116" w:name="_Toc76331653"/>
      <w:bookmarkStart w:id="117" w:name="_Toc76331909"/>
      <w:bookmarkStart w:id="118" w:name="_Toc76460352"/>
      <w:bookmarkStart w:id="119" w:name="_Toc76476028"/>
      <w:bookmarkStart w:id="120" w:name="_Toc76493968"/>
      <w:bookmarkStart w:id="121" w:name="_Toc77600634"/>
      <w:bookmarkStart w:id="122" w:name="_Toc77939205"/>
      <w:bookmarkStart w:id="123" w:name="_Toc77948999"/>
      <w:bookmarkStart w:id="124" w:name="_Toc75538540"/>
      <w:bookmarkStart w:id="125" w:name="_Toc75725644"/>
      <w:bookmarkStart w:id="126" w:name="_Toc75725868"/>
      <w:bookmarkStart w:id="127" w:name="_Toc75726098"/>
      <w:bookmarkStart w:id="128" w:name="_Toc75726322"/>
      <w:bookmarkStart w:id="129" w:name="_Toc75726546"/>
      <w:bookmarkStart w:id="130" w:name="_Toc75726770"/>
      <w:bookmarkStart w:id="131" w:name="_Toc75727000"/>
      <w:bookmarkStart w:id="132" w:name="_Toc76023413"/>
      <w:bookmarkStart w:id="133" w:name="_Toc76212106"/>
      <w:bookmarkStart w:id="134" w:name="_Toc76330859"/>
      <w:bookmarkStart w:id="135" w:name="_Toc76331654"/>
      <w:bookmarkStart w:id="136" w:name="_Toc76331910"/>
      <w:bookmarkStart w:id="137" w:name="_Toc76460353"/>
      <w:bookmarkStart w:id="138" w:name="_Toc76476029"/>
      <w:bookmarkStart w:id="139" w:name="_Toc76493969"/>
      <w:bookmarkStart w:id="140" w:name="_Toc77600635"/>
      <w:bookmarkStart w:id="141" w:name="_Toc77939206"/>
      <w:bookmarkStart w:id="142" w:name="_Toc77949000"/>
      <w:bookmarkStart w:id="143" w:name="_Toc75538541"/>
      <w:bookmarkStart w:id="144" w:name="_Toc75725645"/>
      <w:bookmarkStart w:id="145" w:name="_Toc75725869"/>
      <w:bookmarkStart w:id="146" w:name="_Toc75726099"/>
      <w:bookmarkStart w:id="147" w:name="_Toc75726323"/>
      <w:bookmarkStart w:id="148" w:name="_Toc75726547"/>
      <w:bookmarkStart w:id="149" w:name="_Toc75726771"/>
      <w:bookmarkStart w:id="150" w:name="_Toc75727001"/>
      <w:bookmarkStart w:id="151" w:name="_Toc76023414"/>
      <w:bookmarkStart w:id="152" w:name="_Toc76212107"/>
      <w:bookmarkStart w:id="153" w:name="_Toc76330860"/>
      <w:bookmarkStart w:id="154" w:name="_Toc76331655"/>
      <w:bookmarkStart w:id="155" w:name="_Toc76331911"/>
      <w:bookmarkStart w:id="156" w:name="_Toc76460354"/>
      <w:bookmarkStart w:id="157" w:name="_Toc76476030"/>
      <w:bookmarkStart w:id="158" w:name="_Toc76493970"/>
      <w:bookmarkStart w:id="159" w:name="_Toc77600636"/>
      <w:bookmarkStart w:id="160" w:name="_Toc77939207"/>
      <w:bookmarkStart w:id="161" w:name="_Toc77949001"/>
      <w:bookmarkStart w:id="162" w:name="_Toc75538542"/>
      <w:bookmarkStart w:id="163" w:name="_Toc75725646"/>
      <w:bookmarkStart w:id="164" w:name="_Toc75725870"/>
      <w:bookmarkStart w:id="165" w:name="_Toc75726100"/>
      <w:bookmarkStart w:id="166" w:name="_Toc75726324"/>
      <w:bookmarkStart w:id="167" w:name="_Toc75726548"/>
      <w:bookmarkStart w:id="168" w:name="_Toc75726772"/>
      <w:bookmarkStart w:id="169" w:name="_Toc75727002"/>
      <w:bookmarkStart w:id="170" w:name="_Toc76023415"/>
      <w:bookmarkStart w:id="171" w:name="_Toc76212108"/>
      <w:bookmarkStart w:id="172" w:name="_Toc76330861"/>
      <w:bookmarkStart w:id="173" w:name="_Toc76331656"/>
      <w:bookmarkStart w:id="174" w:name="_Toc76331912"/>
      <w:bookmarkStart w:id="175" w:name="_Toc76460355"/>
      <w:bookmarkStart w:id="176" w:name="_Toc76476031"/>
      <w:bookmarkStart w:id="177" w:name="_Toc76493971"/>
      <w:bookmarkStart w:id="178" w:name="_Toc77600637"/>
      <w:bookmarkStart w:id="179" w:name="_Toc77939208"/>
      <w:bookmarkStart w:id="180" w:name="_Toc77949002"/>
      <w:bookmarkStart w:id="181" w:name="_Toc75538543"/>
      <w:bookmarkStart w:id="182" w:name="_Toc75725647"/>
      <w:bookmarkStart w:id="183" w:name="_Toc75725871"/>
      <w:bookmarkStart w:id="184" w:name="_Toc75726101"/>
      <w:bookmarkStart w:id="185" w:name="_Toc75726325"/>
      <w:bookmarkStart w:id="186" w:name="_Toc75726549"/>
      <w:bookmarkStart w:id="187" w:name="_Toc75726773"/>
      <w:bookmarkStart w:id="188" w:name="_Toc75727003"/>
      <w:bookmarkStart w:id="189" w:name="_Toc76023416"/>
      <w:bookmarkStart w:id="190" w:name="_Toc76212109"/>
      <w:bookmarkStart w:id="191" w:name="_Toc76330862"/>
      <w:bookmarkStart w:id="192" w:name="_Toc76331657"/>
      <w:bookmarkStart w:id="193" w:name="_Toc76331913"/>
      <w:bookmarkStart w:id="194" w:name="_Toc76460356"/>
      <w:bookmarkStart w:id="195" w:name="_Toc76476032"/>
      <w:bookmarkStart w:id="196" w:name="_Toc76493972"/>
      <w:bookmarkStart w:id="197" w:name="_Toc77600638"/>
      <w:bookmarkStart w:id="198" w:name="_Toc77939209"/>
      <w:bookmarkStart w:id="199" w:name="_Toc77949003"/>
      <w:bookmarkStart w:id="200" w:name="_Toc7898377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E03CFE">
        <w:rPr>
          <w:rFonts w:cs="Arial"/>
          <w:sz w:val="22"/>
          <w:szCs w:val="22"/>
        </w:rPr>
        <w:t>Research Questions</w:t>
      </w:r>
      <w:bookmarkEnd w:id="200"/>
      <w:r w:rsidRPr="00E03CFE">
        <w:rPr>
          <w:rFonts w:cs="Arial"/>
          <w:sz w:val="22"/>
          <w:szCs w:val="22"/>
        </w:rPr>
        <w:t xml:space="preserve"> </w:t>
      </w:r>
    </w:p>
    <w:p w14:paraId="0AAE2190" w14:textId="77777777" w:rsidR="00CD6352" w:rsidRPr="00E03CFE" w:rsidRDefault="00CD6352" w:rsidP="00CD6352">
      <w:pPr>
        <w:spacing w:line="360" w:lineRule="auto"/>
        <w:jc w:val="both"/>
        <w:rPr>
          <w:rFonts w:ascii="Arial" w:hAnsi="Arial" w:cs="Arial"/>
        </w:rPr>
      </w:pPr>
      <w:r w:rsidRPr="00E03CFE">
        <w:rPr>
          <w:rFonts w:ascii="Arial" w:hAnsi="Arial" w:cs="Arial"/>
        </w:rPr>
        <w:t>The research questions are as follows:</w:t>
      </w:r>
    </w:p>
    <w:p w14:paraId="102802F8" w14:textId="45FD995A" w:rsidR="00524809" w:rsidRDefault="00524809" w:rsidP="00524809">
      <w:pPr>
        <w:pStyle w:val="ListParagraph"/>
        <w:numPr>
          <w:ilvl w:val="0"/>
          <w:numId w:val="295"/>
        </w:numPr>
        <w:spacing w:line="360" w:lineRule="auto"/>
        <w:jc w:val="both"/>
        <w:rPr>
          <w:rFonts w:ascii="Arial" w:hAnsi="Arial" w:cs="Arial"/>
        </w:rPr>
      </w:pPr>
      <w:r>
        <w:rPr>
          <w:rFonts w:ascii="Arial" w:hAnsi="Arial" w:cs="Arial"/>
        </w:rPr>
        <w:t>What are</w:t>
      </w:r>
      <w:r w:rsidRPr="007625E7">
        <w:rPr>
          <w:rFonts w:ascii="Arial" w:hAnsi="Arial" w:cs="Arial"/>
        </w:rPr>
        <w:t xml:space="preserve"> the various real estate finance options/ instruments for real estate project development</w:t>
      </w:r>
      <w:r w:rsidR="003B2F7E">
        <w:rPr>
          <w:rFonts w:ascii="Arial" w:hAnsi="Arial" w:cs="Arial"/>
        </w:rPr>
        <w:t>? W</w:t>
      </w:r>
      <w:r>
        <w:rPr>
          <w:rFonts w:ascii="Arial" w:hAnsi="Arial" w:cs="Arial"/>
        </w:rPr>
        <w:t>hat are</w:t>
      </w:r>
      <w:r w:rsidRPr="007625E7">
        <w:rPr>
          <w:rFonts w:ascii="Arial" w:hAnsi="Arial" w:cs="Arial"/>
        </w:rPr>
        <w:t xml:space="preserve"> </w:t>
      </w:r>
      <w:r w:rsidR="008047E5">
        <w:rPr>
          <w:rFonts w:ascii="Arial" w:hAnsi="Arial" w:cs="Arial"/>
        </w:rPr>
        <w:t xml:space="preserve">the </w:t>
      </w:r>
      <w:r w:rsidRPr="007625E7">
        <w:rPr>
          <w:rFonts w:ascii="Arial" w:hAnsi="Arial" w:cs="Arial"/>
        </w:rPr>
        <w:t>document</w:t>
      </w:r>
      <w:r>
        <w:rPr>
          <w:rFonts w:ascii="Arial" w:hAnsi="Arial" w:cs="Arial"/>
        </w:rPr>
        <w:t xml:space="preserve"> </w:t>
      </w:r>
      <w:r w:rsidR="00377396">
        <w:rPr>
          <w:rFonts w:ascii="Arial" w:hAnsi="Arial" w:cs="Arial"/>
        </w:rPr>
        <w:t xml:space="preserve">and </w:t>
      </w:r>
      <w:r w:rsidR="00377396" w:rsidRPr="00524809">
        <w:rPr>
          <w:rFonts w:ascii="Arial" w:hAnsi="Arial" w:cs="Arial"/>
        </w:rPr>
        <w:t>the</w:t>
      </w:r>
      <w:r w:rsidRPr="007625E7">
        <w:rPr>
          <w:rFonts w:ascii="Arial" w:hAnsi="Arial" w:cs="Arial"/>
        </w:rPr>
        <w:t xml:space="preserve"> criteria funding institutions use in lending for real estate project development</w:t>
      </w:r>
      <w:r>
        <w:rPr>
          <w:rFonts w:ascii="Arial" w:hAnsi="Arial" w:cs="Arial"/>
        </w:rPr>
        <w:t>?</w:t>
      </w:r>
    </w:p>
    <w:p w14:paraId="22DD9918" w14:textId="549B69D3" w:rsidR="00524809" w:rsidRDefault="00524809" w:rsidP="00524809">
      <w:pPr>
        <w:pStyle w:val="ListParagraph"/>
        <w:numPr>
          <w:ilvl w:val="0"/>
          <w:numId w:val="295"/>
        </w:numPr>
        <w:spacing w:line="360" w:lineRule="auto"/>
        <w:jc w:val="both"/>
        <w:rPr>
          <w:rFonts w:ascii="Arial" w:hAnsi="Arial" w:cs="Arial"/>
        </w:rPr>
      </w:pPr>
      <w:r>
        <w:rPr>
          <w:rFonts w:ascii="Arial" w:hAnsi="Arial" w:cs="Arial"/>
        </w:rPr>
        <w:t xml:space="preserve">What are the </w:t>
      </w:r>
      <w:r w:rsidRPr="00BE73FA">
        <w:rPr>
          <w:rFonts w:ascii="Arial" w:hAnsi="Arial" w:cs="Arial"/>
        </w:rPr>
        <w:t>opportunities and challenges affecting managers in securing real estate project development finance</w:t>
      </w:r>
      <w:r w:rsidR="00C445DC">
        <w:rPr>
          <w:rFonts w:ascii="Arial" w:hAnsi="Arial" w:cs="Arial"/>
        </w:rPr>
        <w:t>,</w:t>
      </w:r>
      <w:r w:rsidRPr="00BE73FA">
        <w:rPr>
          <w:rFonts w:ascii="Arial" w:hAnsi="Arial" w:cs="Arial"/>
        </w:rPr>
        <w:t xml:space="preserve"> and </w:t>
      </w:r>
      <w:r>
        <w:rPr>
          <w:rFonts w:ascii="Arial" w:hAnsi="Arial" w:cs="Arial"/>
        </w:rPr>
        <w:t>what are</w:t>
      </w:r>
      <w:r w:rsidRPr="00BE73FA">
        <w:rPr>
          <w:rFonts w:ascii="Arial" w:hAnsi="Arial" w:cs="Arial"/>
        </w:rPr>
        <w:t xml:space="preserve"> the critical success factor in securing finance for real estate project development</w:t>
      </w:r>
      <w:r w:rsidR="008047E5">
        <w:rPr>
          <w:rFonts w:ascii="Arial" w:hAnsi="Arial" w:cs="Arial"/>
        </w:rPr>
        <w:t>?</w:t>
      </w:r>
    </w:p>
    <w:p w14:paraId="1AE52165" w14:textId="1C3DC056" w:rsidR="00524809" w:rsidRPr="00BE73FA" w:rsidRDefault="00524809" w:rsidP="00524809">
      <w:pPr>
        <w:pStyle w:val="ListParagraph"/>
        <w:numPr>
          <w:ilvl w:val="0"/>
          <w:numId w:val="295"/>
        </w:numPr>
        <w:spacing w:line="360" w:lineRule="auto"/>
        <w:jc w:val="both"/>
        <w:rPr>
          <w:rFonts w:ascii="Arial" w:hAnsi="Arial" w:cs="Arial"/>
        </w:rPr>
      </w:pPr>
      <w:r>
        <w:rPr>
          <w:rFonts w:ascii="Arial" w:hAnsi="Arial" w:cs="Arial"/>
        </w:rPr>
        <w:t>What are the</w:t>
      </w:r>
      <w:r w:rsidRPr="00BE73FA">
        <w:rPr>
          <w:rFonts w:ascii="Arial" w:hAnsi="Arial" w:cs="Arial"/>
        </w:rPr>
        <w:t xml:space="preserve"> processes and key decisions for securing finance for real estate project development</w:t>
      </w:r>
      <w:r>
        <w:rPr>
          <w:rFonts w:ascii="Arial" w:hAnsi="Arial" w:cs="Arial"/>
        </w:rPr>
        <w:t>?</w:t>
      </w:r>
    </w:p>
    <w:p w14:paraId="6EC9A409" w14:textId="2F9B01CB" w:rsidR="00524809" w:rsidRPr="00BE73FA" w:rsidRDefault="00524809" w:rsidP="00524809">
      <w:pPr>
        <w:pStyle w:val="ListParagraph"/>
        <w:numPr>
          <w:ilvl w:val="0"/>
          <w:numId w:val="295"/>
        </w:numPr>
        <w:spacing w:line="360" w:lineRule="auto"/>
        <w:jc w:val="both"/>
        <w:rPr>
          <w:rFonts w:ascii="Arial" w:hAnsi="Arial" w:cs="Arial"/>
        </w:rPr>
      </w:pPr>
      <w:r>
        <w:rPr>
          <w:rFonts w:ascii="Arial" w:hAnsi="Arial" w:cs="Arial"/>
        </w:rPr>
        <w:t xml:space="preserve">What </w:t>
      </w:r>
      <w:r w:rsidR="00D33EBA">
        <w:rPr>
          <w:rFonts w:ascii="Arial" w:hAnsi="Arial" w:cs="Arial"/>
        </w:rPr>
        <w:t xml:space="preserve">are the </w:t>
      </w:r>
      <w:r w:rsidR="00AB0932">
        <w:rPr>
          <w:rFonts w:ascii="Arial" w:hAnsi="Arial" w:cs="Arial"/>
        </w:rPr>
        <w:t>skills, knowledge, competences, training background, education, and career pathway</w:t>
      </w:r>
      <w:r w:rsidRPr="00BE73FA">
        <w:rPr>
          <w:rFonts w:ascii="Arial" w:hAnsi="Arial" w:cs="Arial"/>
        </w:rPr>
        <w:t xml:space="preserve"> </w:t>
      </w:r>
      <w:r w:rsidR="00D33EBA">
        <w:rPr>
          <w:rFonts w:ascii="Arial" w:hAnsi="Arial" w:cs="Arial"/>
        </w:rPr>
        <w:t xml:space="preserve">that </w:t>
      </w:r>
      <w:r w:rsidRPr="00BE73FA">
        <w:rPr>
          <w:rFonts w:ascii="Arial" w:hAnsi="Arial" w:cs="Arial"/>
        </w:rPr>
        <w:t>the real estate development manager needs to secure finance for real estate project development</w:t>
      </w:r>
      <w:r>
        <w:rPr>
          <w:rFonts w:ascii="Arial" w:hAnsi="Arial" w:cs="Arial"/>
        </w:rPr>
        <w:t>?</w:t>
      </w:r>
    </w:p>
    <w:p w14:paraId="554A3940" w14:textId="48C4E50F" w:rsidR="00CD6352" w:rsidRPr="00245095" w:rsidRDefault="000D34B9" w:rsidP="007625E7">
      <w:pPr>
        <w:pStyle w:val="ListParagraph"/>
        <w:numPr>
          <w:ilvl w:val="0"/>
          <w:numId w:val="295"/>
        </w:numPr>
        <w:spacing w:line="360" w:lineRule="auto"/>
        <w:jc w:val="both"/>
        <w:rPr>
          <w:rFonts w:ascii="Arial" w:hAnsi="Arial" w:cs="Arial"/>
        </w:rPr>
      </w:pPr>
      <w:r>
        <w:rPr>
          <w:rFonts w:ascii="Arial" w:hAnsi="Arial" w:cs="Arial"/>
        </w:rPr>
        <w:lastRenderedPageBreak/>
        <w:t xml:space="preserve">How </w:t>
      </w:r>
      <w:r w:rsidR="00E24669">
        <w:rPr>
          <w:rFonts w:ascii="Arial" w:hAnsi="Arial" w:cs="Arial"/>
        </w:rPr>
        <w:t>can</w:t>
      </w:r>
      <w:r>
        <w:rPr>
          <w:rFonts w:ascii="Arial" w:hAnsi="Arial" w:cs="Arial"/>
        </w:rPr>
        <w:t xml:space="preserve"> the different components of the </w:t>
      </w:r>
      <w:r w:rsidR="00CD6352" w:rsidRPr="00245095">
        <w:rPr>
          <w:rFonts w:ascii="Arial" w:hAnsi="Arial" w:cs="Arial"/>
        </w:rPr>
        <w:t>toolkit</w:t>
      </w:r>
      <w:r w:rsidR="00E24669">
        <w:rPr>
          <w:rFonts w:ascii="Arial" w:hAnsi="Arial" w:cs="Arial"/>
        </w:rPr>
        <w:t xml:space="preserve"> be integrated</w:t>
      </w:r>
      <w:r w:rsidR="00CD6352" w:rsidRPr="00245095">
        <w:rPr>
          <w:rFonts w:ascii="Arial" w:hAnsi="Arial" w:cs="Arial"/>
        </w:rPr>
        <w:t xml:space="preserve"> </w:t>
      </w:r>
      <w:r>
        <w:rPr>
          <w:rFonts w:ascii="Arial" w:hAnsi="Arial" w:cs="Arial"/>
        </w:rPr>
        <w:t xml:space="preserve">into a system </w:t>
      </w:r>
      <w:r w:rsidR="00E24669">
        <w:rPr>
          <w:rFonts w:ascii="Arial" w:hAnsi="Arial" w:cs="Arial"/>
        </w:rPr>
        <w:t>to</w:t>
      </w:r>
      <w:r>
        <w:rPr>
          <w:rFonts w:ascii="Arial" w:hAnsi="Arial" w:cs="Arial"/>
        </w:rPr>
        <w:t xml:space="preserve"> enable managers </w:t>
      </w:r>
      <w:r w:rsidR="00E24669">
        <w:rPr>
          <w:rFonts w:ascii="Arial" w:hAnsi="Arial" w:cs="Arial"/>
        </w:rPr>
        <w:t xml:space="preserve">to </w:t>
      </w:r>
      <w:r w:rsidR="00CD6352" w:rsidRPr="00245095">
        <w:rPr>
          <w:rFonts w:ascii="Arial" w:hAnsi="Arial" w:cs="Arial"/>
        </w:rPr>
        <w:t>access finance for real estate project development?</w:t>
      </w:r>
    </w:p>
    <w:p w14:paraId="1047FE51" w14:textId="2B01FE94" w:rsidR="00CD6352" w:rsidRPr="00E03CFE" w:rsidRDefault="00CD6352" w:rsidP="00CD6352">
      <w:pPr>
        <w:spacing w:line="360" w:lineRule="auto"/>
        <w:jc w:val="both"/>
        <w:rPr>
          <w:rFonts w:ascii="Arial" w:hAnsi="Arial" w:cs="Arial"/>
        </w:rPr>
      </w:pPr>
      <w:r w:rsidRPr="00E03CFE">
        <w:rPr>
          <w:rFonts w:ascii="Arial" w:hAnsi="Arial" w:cs="Arial"/>
        </w:rPr>
        <w:t xml:space="preserve">Research questions </w:t>
      </w:r>
      <w:r w:rsidR="00254418">
        <w:rPr>
          <w:rFonts w:ascii="Arial" w:hAnsi="Arial" w:cs="Arial"/>
        </w:rPr>
        <w:t>that</w:t>
      </w:r>
      <w:r w:rsidR="00174534" w:rsidRPr="00E03CFE">
        <w:rPr>
          <w:rFonts w:ascii="Arial" w:hAnsi="Arial" w:cs="Arial"/>
        </w:rPr>
        <w:t xml:space="preserve"> are</w:t>
      </w:r>
      <w:r w:rsidRPr="00E03CFE">
        <w:rPr>
          <w:rFonts w:ascii="Arial" w:hAnsi="Arial" w:cs="Arial"/>
        </w:rPr>
        <w:t xml:space="preserve"> robust qualitative research attributes were used because the knowledge about skills, knowledge, and competences for securing finance for real estate project development is limited. Consequently, </w:t>
      </w:r>
      <w:r w:rsidR="00254418">
        <w:rPr>
          <w:rFonts w:ascii="Arial" w:hAnsi="Arial" w:cs="Arial"/>
        </w:rPr>
        <w:t xml:space="preserve">a </w:t>
      </w:r>
      <w:r w:rsidRPr="00E03CFE">
        <w:rPr>
          <w:rFonts w:ascii="Arial" w:hAnsi="Arial" w:cs="Arial"/>
        </w:rPr>
        <w:t xml:space="preserve">hypothesis was not used in the research (Flick, 2014). Furthermore, </w:t>
      </w:r>
      <w:r w:rsidR="00C3256B">
        <w:rPr>
          <w:rFonts w:ascii="Arial" w:hAnsi="Arial" w:cs="Arial"/>
        </w:rPr>
        <w:t xml:space="preserve">a </w:t>
      </w:r>
      <w:r w:rsidRPr="00E03CFE">
        <w:rPr>
          <w:rFonts w:ascii="Arial" w:hAnsi="Arial" w:cs="Arial"/>
        </w:rPr>
        <w:t xml:space="preserve">hypothesis may divert attention too far away from other exciting facets of the research that can be amassed through research questions because of the way they are structured (Bryman &amp; Cramer, 2009). </w:t>
      </w:r>
    </w:p>
    <w:p w14:paraId="4667EA70" w14:textId="66D40216" w:rsidR="00CD6352" w:rsidRPr="00E03CFE" w:rsidRDefault="00CD6352" w:rsidP="00CD6352">
      <w:pPr>
        <w:pStyle w:val="Heading2"/>
        <w:spacing w:line="360" w:lineRule="auto"/>
        <w:jc w:val="both"/>
        <w:rPr>
          <w:rFonts w:cs="Arial"/>
          <w:sz w:val="22"/>
          <w:szCs w:val="22"/>
        </w:rPr>
      </w:pPr>
      <w:bookmarkStart w:id="201" w:name="_Toc75725649"/>
      <w:bookmarkStart w:id="202" w:name="_Toc75725873"/>
      <w:bookmarkStart w:id="203" w:name="_Toc75726103"/>
      <w:bookmarkStart w:id="204" w:name="_Toc75726327"/>
      <w:bookmarkStart w:id="205" w:name="_Toc75726551"/>
      <w:bookmarkStart w:id="206" w:name="_Toc75726775"/>
      <w:bookmarkStart w:id="207" w:name="_Toc75727005"/>
      <w:bookmarkStart w:id="208" w:name="_Toc76023418"/>
      <w:bookmarkStart w:id="209" w:name="_Toc76212111"/>
      <w:bookmarkStart w:id="210" w:name="_Toc76330864"/>
      <w:bookmarkStart w:id="211" w:name="_Toc76331659"/>
      <w:bookmarkStart w:id="212" w:name="_Toc76331915"/>
      <w:bookmarkStart w:id="213" w:name="_Toc76460358"/>
      <w:bookmarkStart w:id="214" w:name="_Toc76476034"/>
      <w:bookmarkStart w:id="215" w:name="_Toc76493974"/>
      <w:bookmarkStart w:id="216" w:name="_Toc77600640"/>
      <w:bookmarkStart w:id="217" w:name="_Toc77939211"/>
      <w:bookmarkStart w:id="218" w:name="_Toc77949005"/>
      <w:bookmarkStart w:id="219" w:name="_Toc75725650"/>
      <w:bookmarkStart w:id="220" w:name="_Toc75725874"/>
      <w:bookmarkStart w:id="221" w:name="_Toc75726104"/>
      <w:bookmarkStart w:id="222" w:name="_Toc75726328"/>
      <w:bookmarkStart w:id="223" w:name="_Toc75726552"/>
      <w:bookmarkStart w:id="224" w:name="_Toc75726776"/>
      <w:bookmarkStart w:id="225" w:name="_Toc75727006"/>
      <w:bookmarkStart w:id="226" w:name="_Toc76023419"/>
      <w:bookmarkStart w:id="227" w:name="_Toc76212112"/>
      <w:bookmarkStart w:id="228" w:name="_Toc76330865"/>
      <w:bookmarkStart w:id="229" w:name="_Toc76331660"/>
      <w:bookmarkStart w:id="230" w:name="_Toc76331916"/>
      <w:bookmarkStart w:id="231" w:name="_Toc76460359"/>
      <w:bookmarkStart w:id="232" w:name="_Toc76476035"/>
      <w:bookmarkStart w:id="233" w:name="_Toc76493975"/>
      <w:bookmarkStart w:id="234" w:name="_Toc77600641"/>
      <w:bookmarkStart w:id="235" w:name="_Toc77939212"/>
      <w:bookmarkStart w:id="236" w:name="_Toc77949006"/>
      <w:bookmarkStart w:id="237" w:name="_Toc75725651"/>
      <w:bookmarkStart w:id="238" w:name="_Toc75725875"/>
      <w:bookmarkStart w:id="239" w:name="_Toc75726105"/>
      <w:bookmarkStart w:id="240" w:name="_Toc75726329"/>
      <w:bookmarkStart w:id="241" w:name="_Toc75726553"/>
      <w:bookmarkStart w:id="242" w:name="_Toc75726777"/>
      <w:bookmarkStart w:id="243" w:name="_Toc75727007"/>
      <w:bookmarkStart w:id="244" w:name="_Toc76023420"/>
      <w:bookmarkStart w:id="245" w:name="_Toc76212113"/>
      <w:bookmarkStart w:id="246" w:name="_Toc76330866"/>
      <w:bookmarkStart w:id="247" w:name="_Toc76331661"/>
      <w:bookmarkStart w:id="248" w:name="_Toc76331917"/>
      <w:bookmarkStart w:id="249" w:name="_Toc76460360"/>
      <w:bookmarkStart w:id="250" w:name="_Toc76476036"/>
      <w:bookmarkStart w:id="251" w:name="_Toc76493976"/>
      <w:bookmarkStart w:id="252" w:name="_Toc77600642"/>
      <w:bookmarkStart w:id="253" w:name="_Toc77939213"/>
      <w:bookmarkStart w:id="254" w:name="_Toc77949007"/>
      <w:bookmarkStart w:id="255" w:name="_Toc75725652"/>
      <w:bookmarkStart w:id="256" w:name="_Toc75725876"/>
      <w:bookmarkStart w:id="257" w:name="_Toc75726106"/>
      <w:bookmarkStart w:id="258" w:name="_Toc75726330"/>
      <w:bookmarkStart w:id="259" w:name="_Toc75726554"/>
      <w:bookmarkStart w:id="260" w:name="_Toc75726778"/>
      <w:bookmarkStart w:id="261" w:name="_Toc75727008"/>
      <w:bookmarkStart w:id="262" w:name="_Toc76023421"/>
      <w:bookmarkStart w:id="263" w:name="_Toc76212114"/>
      <w:bookmarkStart w:id="264" w:name="_Toc76330867"/>
      <w:bookmarkStart w:id="265" w:name="_Toc76331662"/>
      <w:bookmarkStart w:id="266" w:name="_Toc76331918"/>
      <w:bookmarkStart w:id="267" w:name="_Toc76460361"/>
      <w:bookmarkStart w:id="268" w:name="_Toc76476037"/>
      <w:bookmarkStart w:id="269" w:name="_Toc76493977"/>
      <w:bookmarkStart w:id="270" w:name="_Toc77600643"/>
      <w:bookmarkStart w:id="271" w:name="_Toc77939214"/>
      <w:bookmarkStart w:id="272" w:name="_Toc77949008"/>
      <w:bookmarkStart w:id="273" w:name="_Toc75725653"/>
      <w:bookmarkStart w:id="274" w:name="_Toc75725877"/>
      <w:bookmarkStart w:id="275" w:name="_Toc75726107"/>
      <w:bookmarkStart w:id="276" w:name="_Toc75726331"/>
      <w:bookmarkStart w:id="277" w:name="_Toc75726555"/>
      <w:bookmarkStart w:id="278" w:name="_Toc75726779"/>
      <w:bookmarkStart w:id="279" w:name="_Toc75727009"/>
      <w:bookmarkStart w:id="280" w:name="_Toc76023422"/>
      <w:bookmarkStart w:id="281" w:name="_Toc76212115"/>
      <w:bookmarkStart w:id="282" w:name="_Toc76330868"/>
      <w:bookmarkStart w:id="283" w:name="_Toc76331663"/>
      <w:bookmarkStart w:id="284" w:name="_Toc76331919"/>
      <w:bookmarkStart w:id="285" w:name="_Toc76460362"/>
      <w:bookmarkStart w:id="286" w:name="_Toc76476038"/>
      <w:bookmarkStart w:id="287" w:name="_Toc76493978"/>
      <w:bookmarkStart w:id="288" w:name="_Toc77600644"/>
      <w:bookmarkStart w:id="289" w:name="_Toc77939215"/>
      <w:bookmarkStart w:id="290" w:name="_Toc77949009"/>
      <w:bookmarkStart w:id="291" w:name="_Toc75725654"/>
      <w:bookmarkStart w:id="292" w:name="_Toc75725878"/>
      <w:bookmarkStart w:id="293" w:name="_Toc75726108"/>
      <w:bookmarkStart w:id="294" w:name="_Toc75726332"/>
      <w:bookmarkStart w:id="295" w:name="_Toc75726556"/>
      <w:bookmarkStart w:id="296" w:name="_Toc75726780"/>
      <w:bookmarkStart w:id="297" w:name="_Toc75727010"/>
      <w:bookmarkStart w:id="298" w:name="_Toc76023423"/>
      <w:bookmarkStart w:id="299" w:name="_Toc76212116"/>
      <w:bookmarkStart w:id="300" w:name="_Toc76330869"/>
      <w:bookmarkStart w:id="301" w:name="_Toc76331664"/>
      <w:bookmarkStart w:id="302" w:name="_Toc76331920"/>
      <w:bookmarkStart w:id="303" w:name="_Toc76460363"/>
      <w:bookmarkStart w:id="304" w:name="_Toc76476039"/>
      <w:bookmarkStart w:id="305" w:name="_Toc76493979"/>
      <w:bookmarkStart w:id="306" w:name="_Toc77600645"/>
      <w:bookmarkStart w:id="307" w:name="_Toc77939216"/>
      <w:bookmarkStart w:id="308" w:name="_Toc77949010"/>
      <w:bookmarkStart w:id="309" w:name="_Toc75725655"/>
      <w:bookmarkStart w:id="310" w:name="_Toc75725879"/>
      <w:bookmarkStart w:id="311" w:name="_Toc75726109"/>
      <w:bookmarkStart w:id="312" w:name="_Toc75726333"/>
      <w:bookmarkStart w:id="313" w:name="_Toc75726557"/>
      <w:bookmarkStart w:id="314" w:name="_Toc75726781"/>
      <w:bookmarkStart w:id="315" w:name="_Toc75727011"/>
      <w:bookmarkStart w:id="316" w:name="_Toc76023424"/>
      <w:bookmarkStart w:id="317" w:name="_Toc76212117"/>
      <w:bookmarkStart w:id="318" w:name="_Toc76330870"/>
      <w:bookmarkStart w:id="319" w:name="_Toc76331665"/>
      <w:bookmarkStart w:id="320" w:name="_Toc76331921"/>
      <w:bookmarkStart w:id="321" w:name="_Toc76460364"/>
      <w:bookmarkStart w:id="322" w:name="_Toc76476040"/>
      <w:bookmarkStart w:id="323" w:name="_Toc76493980"/>
      <w:bookmarkStart w:id="324" w:name="_Toc77600646"/>
      <w:bookmarkStart w:id="325" w:name="_Toc77939217"/>
      <w:bookmarkStart w:id="326" w:name="_Toc77949011"/>
      <w:bookmarkStart w:id="327" w:name="_Toc75725656"/>
      <w:bookmarkStart w:id="328" w:name="_Toc75725880"/>
      <w:bookmarkStart w:id="329" w:name="_Toc75726110"/>
      <w:bookmarkStart w:id="330" w:name="_Toc75726334"/>
      <w:bookmarkStart w:id="331" w:name="_Toc75726558"/>
      <w:bookmarkStart w:id="332" w:name="_Toc75726782"/>
      <w:bookmarkStart w:id="333" w:name="_Toc75727012"/>
      <w:bookmarkStart w:id="334" w:name="_Toc76023425"/>
      <w:bookmarkStart w:id="335" w:name="_Toc76212118"/>
      <w:bookmarkStart w:id="336" w:name="_Toc76330871"/>
      <w:bookmarkStart w:id="337" w:name="_Toc76331666"/>
      <w:bookmarkStart w:id="338" w:name="_Toc76331922"/>
      <w:bookmarkStart w:id="339" w:name="_Toc76460365"/>
      <w:bookmarkStart w:id="340" w:name="_Toc76476041"/>
      <w:bookmarkStart w:id="341" w:name="_Toc76493981"/>
      <w:bookmarkStart w:id="342" w:name="_Toc77600647"/>
      <w:bookmarkStart w:id="343" w:name="_Toc77939218"/>
      <w:bookmarkStart w:id="344" w:name="_Toc77949012"/>
      <w:bookmarkStart w:id="345" w:name="_Toc75725657"/>
      <w:bookmarkStart w:id="346" w:name="_Toc75725881"/>
      <w:bookmarkStart w:id="347" w:name="_Toc75726111"/>
      <w:bookmarkStart w:id="348" w:name="_Toc75726335"/>
      <w:bookmarkStart w:id="349" w:name="_Toc75726559"/>
      <w:bookmarkStart w:id="350" w:name="_Toc75726783"/>
      <w:bookmarkStart w:id="351" w:name="_Toc75727013"/>
      <w:bookmarkStart w:id="352" w:name="_Toc76023426"/>
      <w:bookmarkStart w:id="353" w:name="_Toc76212119"/>
      <w:bookmarkStart w:id="354" w:name="_Toc76330872"/>
      <w:bookmarkStart w:id="355" w:name="_Toc76331667"/>
      <w:bookmarkStart w:id="356" w:name="_Toc76331923"/>
      <w:bookmarkStart w:id="357" w:name="_Toc76460366"/>
      <w:bookmarkStart w:id="358" w:name="_Toc76476042"/>
      <w:bookmarkStart w:id="359" w:name="_Toc76493982"/>
      <w:bookmarkStart w:id="360" w:name="_Toc77600648"/>
      <w:bookmarkStart w:id="361" w:name="_Toc77939219"/>
      <w:bookmarkStart w:id="362" w:name="_Toc77949013"/>
      <w:bookmarkStart w:id="363" w:name="_Toc75725658"/>
      <w:bookmarkStart w:id="364" w:name="_Toc75725882"/>
      <w:bookmarkStart w:id="365" w:name="_Toc75726112"/>
      <w:bookmarkStart w:id="366" w:name="_Toc75726336"/>
      <w:bookmarkStart w:id="367" w:name="_Toc75726560"/>
      <w:bookmarkStart w:id="368" w:name="_Toc75726784"/>
      <w:bookmarkStart w:id="369" w:name="_Toc75727014"/>
      <w:bookmarkStart w:id="370" w:name="_Toc76023427"/>
      <w:bookmarkStart w:id="371" w:name="_Toc76212120"/>
      <w:bookmarkStart w:id="372" w:name="_Toc76330873"/>
      <w:bookmarkStart w:id="373" w:name="_Toc76331668"/>
      <w:bookmarkStart w:id="374" w:name="_Toc76331924"/>
      <w:bookmarkStart w:id="375" w:name="_Toc76460367"/>
      <w:bookmarkStart w:id="376" w:name="_Toc76476043"/>
      <w:bookmarkStart w:id="377" w:name="_Toc76493983"/>
      <w:bookmarkStart w:id="378" w:name="_Toc77600649"/>
      <w:bookmarkStart w:id="379" w:name="_Toc77939220"/>
      <w:bookmarkStart w:id="380" w:name="_Toc77949014"/>
      <w:bookmarkStart w:id="381" w:name="_Toc75725659"/>
      <w:bookmarkStart w:id="382" w:name="_Toc75725883"/>
      <w:bookmarkStart w:id="383" w:name="_Toc75726113"/>
      <w:bookmarkStart w:id="384" w:name="_Toc75726337"/>
      <w:bookmarkStart w:id="385" w:name="_Toc75726561"/>
      <w:bookmarkStart w:id="386" w:name="_Toc75726785"/>
      <w:bookmarkStart w:id="387" w:name="_Toc75727015"/>
      <w:bookmarkStart w:id="388" w:name="_Toc76023428"/>
      <w:bookmarkStart w:id="389" w:name="_Toc76212121"/>
      <w:bookmarkStart w:id="390" w:name="_Toc76330874"/>
      <w:bookmarkStart w:id="391" w:name="_Toc76331669"/>
      <w:bookmarkStart w:id="392" w:name="_Toc76331925"/>
      <w:bookmarkStart w:id="393" w:name="_Toc76460368"/>
      <w:bookmarkStart w:id="394" w:name="_Toc76476044"/>
      <w:bookmarkStart w:id="395" w:name="_Toc76493984"/>
      <w:bookmarkStart w:id="396" w:name="_Toc77600650"/>
      <w:bookmarkStart w:id="397" w:name="_Toc77939221"/>
      <w:bookmarkStart w:id="398" w:name="_Toc77949015"/>
      <w:bookmarkStart w:id="399" w:name="_Toc75725660"/>
      <w:bookmarkStart w:id="400" w:name="_Toc75725884"/>
      <w:bookmarkStart w:id="401" w:name="_Toc75726114"/>
      <w:bookmarkStart w:id="402" w:name="_Toc75726338"/>
      <w:bookmarkStart w:id="403" w:name="_Toc75726562"/>
      <w:bookmarkStart w:id="404" w:name="_Toc75726786"/>
      <w:bookmarkStart w:id="405" w:name="_Toc75727016"/>
      <w:bookmarkStart w:id="406" w:name="_Toc76023429"/>
      <w:bookmarkStart w:id="407" w:name="_Toc76212122"/>
      <w:bookmarkStart w:id="408" w:name="_Toc76330875"/>
      <w:bookmarkStart w:id="409" w:name="_Toc76331670"/>
      <w:bookmarkStart w:id="410" w:name="_Toc76331926"/>
      <w:bookmarkStart w:id="411" w:name="_Toc76460369"/>
      <w:bookmarkStart w:id="412" w:name="_Toc76476045"/>
      <w:bookmarkStart w:id="413" w:name="_Toc76493985"/>
      <w:bookmarkStart w:id="414" w:name="_Toc77600651"/>
      <w:bookmarkStart w:id="415" w:name="_Toc77939222"/>
      <w:bookmarkStart w:id="416" w:name="_Toc77949016"/>
      <w:bookmarkStart w:id="417" w:name="_Toc75725661"/>
      <w:bookmarkStart w:id="418" w:name="_Toc75725885"/>
      <w:bookmarkStart w:id="419" w:name="_Toc75726115"/>
      <w:bookmarkStart w:id="420" w:name="_Toc75726339"/>
      <w:bookmarkStart w:id="421" w:name="_Toc75726563"/>
      <w:bookmarkStart w:id="422" w:name="_Toc75726787"/>
      <w:bookmarkStart w:id="423" w:name="_Toc75727017"/>
      <w:bookmarkStart w:id="424" w:name="_Toc76023430"/>
      <w:bookmarkStart w:id="425" w:name="_Toc76212123"/>
      <w:bookmarkStart w:id="426" w:name="_Toc76330876"/>
      <w:bookmarkStart w:id="427" w:name="_Toc76331671"/>
      <w:bookmarkStart w:id="428" w:name="_Toc76331927"/>
      <w:bookmarkStart w:id="429" w:name="_Toc76460370"/>
      <w:bookmarkStart w:id="430" w:name="_Toc76476046"/>
      <w:bookmarkStart w:id="431" w:name="_Toc76493986"/>
      <w:bookmarkStart w:id="432" w:name="_Toc77600652"/>
      <w:bookmarkStart w:id="433" w:name="_Toc77939223"/>
      <w:bookmarkStart w:id="434" w:name="_Toc77949017"/>
      <w:bookmarkStart w:id="435" w:name="_Toc75725662"/>
      <w:bookmarkStart w:id="436" w:name="_Toc75725886"/>
      <w:bookmarkStart w:id="437" w:name="_Toc75726116"/>
      <w:bookmarkStart w:id="438" w:name="_Toc75726340"/>
      <w:bookmarkStart w:id="439" w:name="_Toc75726564"/>
      <w:bookmarkStart w:id="440" w:name="_Toc75726788"/>
      <w:bookmarkStart w:id="441" w:name="_Toc75727018"/>
      <w:bookmarkStart w:id="442" w:name="_Toc76023431"/>
      <w:bookmarkStart w:id="443" w:name="_Toc76212124"/>
      <w:bookmarkStart w:id="444" w:name="_Toc76330877"/>
      <w:bookmarkStart w:id="445" w:name="_Toc76331672"/>
      <w:bookmarkStart w:id="446" w:name="_Toc76331928"/>
      <w:bookmarkStart w:id="447" w:name="_Toc76460371"/>
      <w:bookmarkStart w:id="448" w:name="_Toc76476047"/>
      <w:bookmarkStart w:id="449" w:name="_Toc76493987"/>
      <w:bookmarkStart w:id="450" w:name="_Toc77600653"/>
      <w:bookmarkStart w:id="451" w:name="_Toc77939224"/>
      <w:bookmarkStart w:id="452" w:name="_Toc77949018"/>
      <w:bookmarkStart w:id="453" w:name="_Toc75725663"/>
      <w:bookmarkStart w:id="454" w:name="_Toc75725887"/>
      <w:bookmarkStart w:id="455" w:name="_Toc75726117"/>
      <w:bookmarkStart w:id="456" w:name="_Toc75726341"/>
      <w:bookmarkStart w:id="457" w:name="_Toc75726565"/>
      <w:bookmarkStart w:id="458" w:name="_Toc75726789"/>
      <w:bookmarkStart w:id="459" w:name="_Toc75727019"/>
      <w:bookmarkStart w:id="460" w:name="_Toc76023432"/>
      <w:bookmarkStart w:id="461" w:name="_Toc76212125"/>
      <w:bookmarkStart w:id="462" w:name="_Toc76330878"/>
      <w:bookmarkStart w:id="463" w:name="_Toc76331673"/>
      <w:bookmarkStart w:id="464" w:name="_Toc76331929"/>
      <w:bookmarkStart w:id="465" w:name="_Toc76460372"/>
      <w:bookmarkStart w:id="466" w:name="_Toc76476048"/>
      <w:bookmarkStart w:id="467" w:name="_Toc76493988"/>
      <w:bookmarkStart w:id="468" w:name="_Toc77600654"/>
      <w:bookmarkStart w:id="469" w:name="_Toc77939225"/>
      <w:bookmarkStart w:id="470" w:name="_Toc77949019"/>
      <w:bookmarkStart w:id="471" w:name="_Toc78983771"/>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E03CFE">
        <w:rPr>
          <w:rFonts w:cs="Arial"/>
          <w:sz w:val="22"/>
          <w:szCs w:val="22"/>
        </w:rPr>
        <w:t xml:space="preserve">Scope </w:t>
      </w:r>
      <w:r w:rsidR="00691C8C">
        <w:rPr>
          <w:rFonts w:cs="Arial"/>
          <w:sz w:val="22"/>
          <w:szCs w:val="22"/>
        </w:rPr>
        <w:t>of the Research</w:t>
      </w:r>
      <w:bookmarkEnd w:id="471"/>
    </w:p>
    <w:p w14:paraId="64B9DFFE" w14:textId="02246EE5" w:rsidR="00E25500" w:rsidRDefault="00CD6352" w:rsidP="00CD6352">
      <w:pPr>
        <w:spacing w:line="360" w:lineRule="auto"/>
        <w:jc w:val="both"/>
        <w:rPr>
          <w:rFonts w:ascii="Arial" w:hAnsi="Arial" w:cs="Arial"/>
          <w:color w:val="000000" w:themeColor="text1"/>
        </w:rPr>
      </w:pPr>
      <w:r w:rsidRPr="00F44C50">
        <w:rPr>
          <w:rFonts w:ascii="Arial" w:hAnsi="Arial" w:cs="Arial"/>
        </w:rPr>
        <w:t>Th</w:t>
      </w:r>
      <w:r w:rsidR="00E25500">
        <w:rPr>
          <w:rFonts w:ascii="Arial" w:hAnsi="Arial" w:cs="Arial"/>
        </w:rPr>
        <w:t>is research's scope</w:t>
      </w:r>
      <w:r w:rsidRPr="00F44C50">
        <w:rPr>
          <w:rFonts w:ascii="Arial" w:hAnsi="Arial" w:cs="Arial"/>
        </w:rPr>
        <w:t xml:space="preserve"> is managers in the real estate sector covering residential and commercial real estate project development</w:t>
      </w:r>
      <w:r w:rsidR="00E6023D">
        <w:rPr>
          <w:rFonts w:ascii="Arial" w:hAnsi="Arial" w:cs="Arial"/>
        </w:rPr>
        <w:t>s</w:t>
      </w:r>
      <w:r w:rsidRPr="00F44C50">
        <w:rPr>
          <w:rFonts w:ascii="Arial" w:hAnsi="Arial" w:cs="Arial"/>
        </w:rPr>
        <w:t xml:space="preserve">. The region of coverage is both developed and emerging economies. The specific countries of coverage are the United States of America, the United Kingdom and Germany for the developed economies and China, South Africa, and Nigeria for the emerging economies. </w:t>
      </w:r>
      <w:bookmarkStart w:id="472" w:name="_Toc491862628"/>
      <w:bookmarkStart w:id="473" w:name="_Toc459365115"/>
      <w:r w:rsidR="00E25500">
        <w:rPr>
          <w:rFonts w:ascii="Arial" w:hAnsi="Arial" w:cs="Arial"/>
        </w:rPr>
        <w:t xml:space="preserve">The researcher selected the </w:t>
      </w:r>
      <w:r w:rsidR="003968B1" w:rsidRPr="00F44C50">
        <w:rPr>
          <w:rFonts w:ascii="Arial" w:hAnsi="Arial" w:cs="Arial"/>
          <w:color w:val="000000" w:themeColor="text1"/>
        </w:rPr>
        <w:t>United States, United Kingdom and Germany</w:t>
      </w:r>
      <w:r w:rsidR="00832854" w:rsidRPr="00F44C50">
        <w:rPr>
          <w:rFonts w:ascii="Arial" w:hAnsi="Arial" w:cs="Arial"/>
          <w:color w:val="000000" w:themeColor="text1"/>
        </w:rPr>
        <w:t xml:space="preserve"> </w:t>
      </w:r>
      <w:r w:rsidR="00E25500">
        <w:rPr>
          <w:rFonts w:ascii="Arial" w:hAnsi="Arial" w:cs="Arial"/>
          <w:color w:val="000000" w:themeColor="text1"/>
        </w:rPr>
        <w:t>as the developed economies</w:t>
      </w:r>
      <w:r w:rsidR="00832854" w:rsidRPr="00F44C50">
        <w:rPr>
          <w:rFonts w:ascii="Arial" w:hAnsi="Arial" w:cs="Arial"/>
          <w:color w:val="000000" w:themeColor="text1"/>
        </w:rPr>
        <w:t xml:space="preserve"> for this research because </w:t>
      </w:r>
      <w:r w:rsidR="00056FE7" w:rsidRPr="00F44C50">
        <w:rPr>
          <w:rFonts w:ascii="Arial" w:hAnsi="Arial" w:cs="Arial"/>
          <w:color w:val="000000" w:themeColor="text1"/>
        </w:rPr>
        <w:t>they fall</w:t>
      </w:r>
      <w:r w:rsidR="003968B1" w:rsidRPr="00F44C50">
        <w:rPr>
          <w:rFonts w:ascii="Arial" w:hAnsi="Arial" w:cs="Arial"/>
          <w:color w:val="000000" w:themeColor="text1"/>
        </w:rPr>
        <w:t xml:space="preserve"> amongst the top ten (10) real </w:t>
      </w:r>
      <w:r w:rsidR="00832854" w:rsidRPr="00F44C50">
        <w:rPr>
          <w:rFonts w:ascii="Arial" w:hAnsi="Arial" w:cs="Arial"/>
          <w:color w:val="000000" w:themeColor="text1"/>
        </w:rPr>
        <w:t>estate’s</w:t>
      </w:r>
      <w:r w:rsidR="003968B1" w:rsidRPr="00F44C50">
        <w:rPr>
          <w:rFonts w:ascii="Arial" w:hAnsi="Arial" w:cs="Arial"/>
          <w:color w:val="000000" w:themeColor="text1"/>
        </w:rPr>
        <w:t xml:space="preserve"> markets globally</w:t>
      </w:r>
      <w:r w:rsidR="00E25500">
        <w:rPr>
          <w:rFonts w:ascii="Arial" w:hAnsi="Arial" w:cs="Arial"/>
          <w:color w:val="000000" w:themeColor="text1"/>
        </w:rPr>
        <w:t>,</w:t>
      </w:r>
      <w:r w:rsidR="003968B1" w:rsidRPr="00F44C50">
        <w:rPr>
          <w:rFonts w:ascii="Arial" w:hAnsi="Arial" w:cs="Arial"/>
          <w:color w:val="000000" w:themeColor="text1"/>
        </w:rPr>
        <w:t xml:space="preserve"> according to </w:t>
      </w:r>
      <w:r w:rsidR="00832854" w:rsidRPr="00F44C50">
        <w:rPr>
          <w:rFonts w:ascii="Arial" w:hAnsi="Arial" w:cs="Arial"/>
          <w:color w:val="000000" w:themeColor="text1"/>
        </w:rPr>
        <w:t xml:space="preserve">Bloomberg </w:t>
      </w:r>
      <w:r w:rsidR="00397AA0">
        <w:rPr>
          <w:rFonts w:ascii="Arial" w:hAnsi="Arial" w:cs="Arial"/>
          <w:color w:val="000000" w:themeColor="text1"/>
        </w:rPr>
        <w:t>N</w:t>
      </w:r>
      <w:r w:rsidR="00832854" w:rsidRPr="00F44C50">
        <w:rPr>
          <w:rFonts w:ascii="Arial" w:hAnsi="Arial" w:cs="Arial"/>
          <w:color w:val="000000" w:themeColor="text1"/>
        </w:rPr>
        <w:t>ews (20</w:t>
      </w:r>
      <w:r w:rsidR="00C50E7E">
        <w:rPr>
          <w:rFonts w:ascii="Arial" w:hAnsi="Arial" w:cs="Arial"/>
          <w:color w:val="000000" w:themeColor="text1"/>
        </w:rPr>
        <w:t>17</w:t>
      </w:r>
      <w:r w:rsidR="00832854" w:rsidRPr="00F44C50">
        <w:rPr>
          <w:rFonts w:ascii="Arial" w:hAnsi="Arial" w:cs="Arial"/>
          <w:color w:val="000000" w:themeColor="text1"/>
        </w:rPr>
        <w:t>)</w:t>
      </w:r>
      <w:r w:rsidR="003968B1" w:rsidRPr="00F44C50">
        <w:rPr>
          <w:rFonts w:ascii="Arial" w:hAnsi="Arial" w:cs="Arial"/>
          <w:color w:val="000000" w:themeColor="text1"/>
        </w:rPr>
        <w:t>. They are among the countries with the highest income return and capital growth</w:t>
      </w:r>
      <w:r w:rsidR="00397AA0">
        <w:rPr>
          <w:rFonts w:ascii="Arial" w:hAnsi="Arial" w:cs="Arial"/>
          <w:color w:val="000000" w:themeColor="text1"/>
        </w:rPr>
        <w:t xml:space="preserve"> in real estate investment</w:t>
      </w:r>
      <w:r w:rsidR="003968B1" w:rsidRPr="00F44C50">
        <w:rPr>
          <w:rFonts w:ascii="Arial" w:hAnsi="Arial" w:cs="Arial"/>
          <w:color w:val="000000" w:themeColor="text1"/>
        </w:rPr>
        <w:t xml:space="preserve">. </w:t>
      </w:r>
      <w:r w:rsidR="00397AA0">
        <w:rPr>
          <w:rFonts w:ascii="Arial" w:hAnsi="Arial" w:cs="Arial"/>
          <w:color w:val="000000" w:themeColor="text1"/>
        </w:rPr>
        <w:t xml:space="preserve"> </w:t>
      </w:r>
      <w:r w:rsidR="003968B1" w:rsidRPr="00F44C50">
        <w:rPr>
          <w:rFonts w:ascii="Arial" w:hAnsi="Arial" w:cs="Arial"/>
          <w:color w:val="000000" w:themeColor="text1"/>
        </w:rPr>
        <w:t xml:space="preserve">Arguably, they have best practices in real </w:t>
      </w:r>
      <w:r w:rsidR="00056FE7" w:rsidRPr="00F44C50">
        <w:rPr>
          <w:rFonts w:ascii="Arial" w:hAnsi="Arial" w:cs="Arial"/>
          <w:color w:val="000000" w:themeColor="text1"/>
        </w:rPr>
        <w:t>estate</w:t>
      </w:r>
      <w:r w:rsidR="00AB0932">
        <w:rPr>
          <w:rFonts w:ascii="Arial" w:hAnsi="Arial" w:cs="Arial"/>
          <w:color w:val="000000" w:themeColor="text1"/>
        </w:rPr>
        <w:t xml:space="preserve"> financing that can be replicated in other regions that are not doing</w:t>
      </w:r>
      <w:r w:rsidR="003968B1" w:rsidRPr="00F44C50">
        <w:rPr>
          <w:rFonts w:ascii="Arial" w:hAnsi="Arial" w:cs="Arial"/>
          <w:color w:val="000000" w:themeColor="text1"/>
        </w:rPr>
        <w:t xml:space="preserve"> well</w:t>
      </w:r>
      <w:r w:rsidR="00056FE7" w:rsidRPr="00F44C50">
        <w:rPr>
          <w:rFonts w:ascii="Arial" w:hAnsi="Arial" w:cs="Arial"/>
          <w:color w:val="000000" w:themeColor="text1"/>
        </w:rPr>
        <w:t xml:space="preserve">. </w:t>
      </w:r>
    </w:p>
    <w:p w14:paraId="16A83376" w14:textId="04330150" w:rsidR="00F73BAC" w:rsidRPr="00F44C50" w:rsidRDefault="00056FE7" w:rsidP="00CD6352">
      <w:pPr>
        <w:spacing w:line="360" w:lineRule="auto"/>
        <w:jc w:val="both"/>
        <w:rPr>
          <w:rFonts w:ascii="Arial" w:hAnsi="Arial" w:cs="Arial"/>
          <w:color w:val="000000" w:themeColor="text1"/>
        </w:rPr>
      </w:pPr>
      <w:r w:rsidRPr="00F44C50">
        <w:rPr>
          <w:rFonts w:ascii="Arial" w:hAnsi="Arial" w:cs="Arial"/>
          <w:color w:val="000000" w:themeColor="text1"/>
        </w:rPr>
        <w:t>The choice of China, Nigeria and South Africa</w:t>
      </w:r>
      <w:r w:rsidR="00E25500">
        <w:rPr>
          <w:rFonts w:ascii="Arial" w:hAnsi="Arial" w:cs="Arial"/>
          <w:color w:val="000000" w:themeColor="text1"/>
        </w:rPr>
        <w:t xml:space="preserve"> as the emerging economies for this study</w:t>
      </w:r>
      <w:r w:rsidRPr="00F44C50">
        <w:rPr>
          <w:rFonts w:ascii="Arial" w:hAnsi="Arial" w:cs="Arial"/>
          <w:color w:val="000000" w:themeColor="text1"/>
        </w:rPr>
        <w:t xml:space="preserve"> is their high population </w:t>
      </w:r>
      <w:r w:rsidR="0031132E" w:rsidRPr="00F44C50">
        <w:rPr>
          <w:rFonts w:ascii="Arial" w:hAnsi="Arial" w:cs="Arial"/>
          <w:color w:val="000000" w:themeColor="text1"/>
        </w:rPr>
        <w:t>size.</w:t>
      </w:r>
      <w:r w:rsidR="00E25500" w:rsidRPr="00E25500">
        <w:rPr>
          <w:rFonts w:ascii="Arial" w:hAnsi="Arial" w:cs="Arial"/>
          <w:color w:val="000000" w:themeColor="text1"/>
        </w:rPr>
        <w:t xml:space="preserve"> </w:t>
      </w:r>
      <w:r w:rsidR="00E25500" w:rsidRPr="00F44C50">
        <w:rPr>
          <w:rFonts w:ascii="Arial" w:hAnsi="Arial" w:cs="Arial"/>
          <w:color w:val="000000" w:themeColor="text1"/>
        </w:rPr>
        <w:t xml:space="preserve">The population of China represents 19.48% of the world. It could be said that 1 in every </w:t>
      </w:r>
      <w:r w:rsidR="00842130">
        <w:rPr>
          <w:rFonts w:ascii="Arial" w:hAnsi="Arial" w:cs="Arial"/>
          <w:color w:val="000000" w:themeColor="text1"/>
        </w:rPr>
        <w:t>five</w:t>
      </w:r>
      <w:r w:rsidR="00E25500" w:rsidRPr="00F44C50">
        <w:rPr>
          <w:rFonts w:ascii="Arial" w:hAnsi="Arial" w:cs="Arial"/>
          <w:color w:val="000000" w:themeColor="text1"/>
        </w:rPr>
        <w:t xml:space="preserve"> people in the world is from China.</w:t>
      </w:r>
      <w:r w:rsidR="00E25500" w:rsidRPr="00F44C50">
        <w:rPr>
          <w:rFonts w:ascii="Arial" w:hAnsi="Arial" w:cs="Arial"/>
        </w:rPr>
        <w:t xml:space="preserve"> The p</w:t>
      </w:r>
      <w:r w:rsidR="00E25500">
        <w:rPr>
          <w:rFonts w:ascii="Arial" w:hAnsi="Arial" w:cs="Arial"/>
        </w:rPr>
        <w:t>eople</w:t>
      </w:r>
      <w:r w:rsidR="00E25500" w:rsidRPr="00F44C50">
        <w:rPr>
          <w:rFonts w:ascii="Arial" w:hAnsi="Arial" w:cs="Arial"/>
        </w:rPr>
        <w:t xml:space="preserve"> of Nigeria represents 2.35% of the world’s total population. It can be said to be that 1 in every 43 people on the planet</w:t>
      </w:r>
      <w:r w:rsidR="00D16196" w:rsidRPr="00F44C50">
        <w:rPr>
          <w:rFonts w:ascii="Arial" w:hAnsi="Arial" w:cs="Arial"/>
        </w:rPr>
        <w:t>.</w:t>
      </w:r>
      <w:r w:rsidR="0046234E">
        <w:rPr>
          <w:rFonts w:ascii="Arial" w:hAnsi="Arial" w:cs="Arial"/>
        </w:rPr>
        <w:t xml:space="preserve"> </w:t>
      </w:r>
      <w:r w:rsidR="00E25500">
        <w:rPr>
          <w:rFonts w:ascii="Arial" w:hAnsi="Arial" w:cs="Arial"/>
        </w:rPr>
        <w:t>In comparison,</w:t>
      </w:r>
      <w:r w:rsidR="00E25500" w:rsidRPr="00F44C50">
        <w:rPr>
          <w:rFonts w:ascii="Arial" w:hAnsi="Arial" w:cs="Arial"/>
        </w:rPr>
        <w:t xml:space="preserve"> </w:t>
      </w:r>
      <w:r w:rsidR="00E25500">
        <w:rPr>
          <w:rFonts w:ascii="Arial" w:hAnsi="Arial" w:cs="Arial"/>
        </w:rPr>
        <w:t xml:space="preserve">the </w:t>
      </w:r>
      <w:r w:rsidR="00E25500" w:rsidRPr="00F44C50">
        <w:rPr>
          <w:rFonts w:ascii="Arial" w:hAnsi="Arial" w:cs="Arial"/>
        </w:rPr>
        <w:t xml:space="preserve">population of South Africa represents 0.73% of the world’s population. This could be said to be at one person in every 138 people in the world </w:t>
      </w:r>
      <w:r w:rsidR="00E25500">
        <w:rPr>
          <w:rFonts w:ascii="Arial" w:hAnsi="Arial" w:cs="Arial"/>
        </w:rPr>
        <w:t xml:space="preserve">who </w:t>
      </w:r>
      <w:r w:rsidR="00E25500" w:rsidRPr="00F44C50">
        <w:rPr>
          <w:rFonts w:ascii="Arial" w:hAnsi="Arial" w:cs="Arial"/>
        </w:rPr>
        <w:t xml:space="preserve">lives in South Africa (the trading economics, 2020). These emerging economies are experiencing increasing urbanisation and </w:t>
      </w:r>
      <w:r w:rsidR="00E25500">
        <w:rPr>
          <w:rFonts w:ascii="Arial" w:hAnsi="Arial" w:cs="Arial"/>
        </w:rPr>
        <w:t xml:space="preserve">the </w:t>
      </w:r>
      <w:r w:rsidR="00E25500" w:rsidRPr="00F44C50">
        <w:rPr>
          <w:rFonts w:ascii="Arial" w:hAnsi="Arial" w:cs="Arial"/>
        </w:rPr>
        <w:t>middle class</w:t>
      </w:r>
      <w:r w:rsidR="003B2F7E">
        <w:rPr>
          <w:rFonts w:ascii="Arial" w:hAnsi="Arial" w:cs="Arial"/>
        </w:rPr>
        <w:t>, resulting in increased</w:t>
      </w:r>
      <w:r w:rsidR="00E25500" w:rsidRPr="00F44C50">
        <w:rPr>
          <w:rFonts w:ascii="Arial" w:hAnsi="Arial" w:cs="Arial"/>
        </w:rPr>
        <w:t xml:space="preserve"> demand for commercial and residential real estate (Marton and McGee, 2017). This makes them a good choice for real estate research. </w:t>
      </w:r>
      <w:r w:rsidR="00E25500" w:rsidRPr="00F44C50">
        <w:rPr>
          <w:rFonts w:ascii="Arial" w:hAnsi="Arial" w:cs="Arial"/>
          <w:color w:val="000000"/>
        </w:rPr>
        <w:t>Further</w:t>
      </w:r>
      <w:r w:rsidR="00E25500">
        <w:rPr>
          <w:rFonts w:ascii="Arial" w:hAnsi="Arial" w:cs="Arial"/>
          <w:color w:val="000000"/>
        </w:rPr>
        <w:t>more, s</w:t>
      </w:r>
      <w:r w:rsidR="00F73BAC" w:rsidRPr="00F44C50">
        <w:rPr>
          <w:rFonts w:ascii="Arial" w:hAnsi="Arial" w:cs="Arial"/>
          <w:color w:val="000000"/>
        </w:rPr>
        <w:t>electing the developed/ industrialised countries and the emerging economies is to understand their financing styles to be able to foster cross</w:t>
      </w:r>
      <w:r w:rsidR="007922FE">
        <w:rPr>
          <w:rFonts w:ascii="Arial" w:hAnsi="Arial" w:cs="Arial"/>
          <w:color w:val="000000"/>
        </w:rPr>
        <w:t>-</w:t>
      </w:r>
      <w:r w:rsidR="00F73BAC" w:rsidRPr="00F44C50">
        <w:rPr>
          <w:rFonts w:ascii="Arial" w:hAnsi="Arial" w:cs="Arial"/>
          <w:color w:val="000000"/>
        </w:rPr>
        <w:t>selling of ideas</w:t>
      </w:r>
      <w:r w:rsidR="00BA07DA">
        <w:rPr>
          <w:rFonts w:ascii="Arial" w:hAnsi="Arial" w:cs="Arial"/>
          <w:color w:val="000000"/>
        </w:rPr>
        <w:t>.</w:t>
      </w:r>
    </w:p>
    <w:p w14:paraId="709A1D17" w14:textId="29359E2F" w:rsidR="00CD6352" w:rsidRPr="00E03CFE" w:rsidRDefault="00CD6352" w:rsidP="00CD6352">
      <w:pPr>
        <w:spacing w:line="360" w:lineRule="auto"/>
        <w:jc w:val="both"/>
        <w:rPr>
          <w:rFonts w:ascii="Arial" w:hAnsi="Arial" w:cs="Arial"/>
        </w:rPr>
      </w:pPr>
      <w:r w:rsidRPr="009A5AD4">
        <w:rPr>
          <w:rFonts w:ascii="Arial" w:eastAsia="Times New Roman" w:hAnsi="Arial" w:cs="Arial"/>
        </w:rPr>
        <w:t xml:space="preserve">The </w:t>
      </w:r>
      <w:r w:rsidR="00943F8E">
        <w:rPr>
          <w:rFonts w:ascii="Arial" w:eastAsia="Times New Roman" w:hAnsi="Arial" w:cs="Arial"/>
        </w:rPr>
        <w:t>study unit</w:t>
      </w:r>
      <w:r w:rsidRPr="009A5AD4">
        <w:rPr>
          <w:rFonts w:ascii="Arial" w:eastAsia="Times New Roman" w:hAnsi="Arial" w:cs="Arial"/>
        </w:rPr>
        <w:t xml:space="preserve"> is strategic, middle</w:t>
      </w:r>
      <w:bookmarkStart w:id="474" w:name="_Toc491862632"/>
      <w:bookmarkEnd w:id="472"/>
      <w:bookmarkEnd w:id="473"/>
      <w:r w:rsidR="00842130">
        <w:rPr>
          <w:rFonts w:ascii="Arial" w:eastAsia="Times New Roman" w:hAnsi="Arial" w:cs="Arial"/>
        </w:rPr>
        <w:t>-level, or lower-level managers who have worked actively in the real estate and property sectors for</w:t>
      </w:r>
      <w:r w:rsidRPr="00E03CFE">
        <w:rPr>
          <w:rFonts w:ascii="Arial" w:hAnsi="Arial" w:cs="Arial"/>
        </w:rPr>
        <w:t xml:space="preserve"> less than four years.</w:t>
      </w:r>
      <w:r w:rsidRPr="00E03CFE">
        <w:rPr>
          <w:rFonts w:ascii="Arial" w:eastAsia="Times New Roman" w:hAnsi="Arial" w:cs="Arial"/>
        </w:rPr>
        <w:t xml:space="preserve"> While, the project </w:t>
      </w:r>
      <w:bookmarkEnd w:id="474"/>
      <w:r w:rsidRPr="00E03CFE">
        <w:rPr>
          <w:rFonts w:ascii="Arial" w:eastAsia="Times New Roman" w:hAnsi="Arial" w:cs="Arial"/>
        </w:rPr>
        <w:t xml:space="preserve">types </w:t>
      </w:r>
      <w:r w:rsidRPr="00E03CFE">
        <w:rPr>
          <w:rFonts w:ascii="Arial" w:hAnsi="Arial" w:cs="Arial"/>
        </w:rPr>
        <w:t>include residential, office, retail, industrial and mixed-use properties.</w:t>
      </w:r>
      <w:r w:rsidR="009A5AD4">
        <w:rPr>
          <w:rFonts w:ascii="Arial" w:hAnsi="Arial" w:cs="Arial"/>
        </w:rPr>
        <w:t xml:space="preserve"> </w:t>
      </w:r>
      <w:r w:rsidRPr="00E03CFE">
        <w:rPr>
          <w:rFonts w:ascii="Arial" w:hAnsi="Arial" w:cs="Arial"/>
        </w:rPr>
        <w:t xml:space="preserve">These classes of properties were selected to ensure comprehensive coverage of all the regions. The United States and the </w:t>
      </w:r>
      <w:r w:rsidRPr="00E03CFE">
        <w:rPr>
          <w:rFonts w:ascii="Arial" w:hAnsi="Arial" w:cs="Arial"/>
        </w:rPr>
        <w:lastRenderedPageBreak/>
        <w:t>United Kingdom have the most significant investment strength in industrial properties</w:t>
      </w:r>
      <w:r w:rsidR="00D16196">
        <w:rPr>
          <w:rFonts w:ascii="Arial" w:hAnsi="Arial" w:cs="Arial"/>
        </w:rPr>
        <w:t>,</w:t>
      </w:r>
      <w:r w:rsidRPr="00E03CFE">
        <w:rPr>
          <w:rFonts w:ascii="Arial" w:hAnsi="Arial" w:cs="Arial"/>
        </w:rPr>
        <w:t xml:space="preserve"> followed by retail, while South Africa’s greatest strength is in the retail industry and then offices (Bloomberg, 2017). Germany has strength in residential housing because of the rise in migrations (Vonovia, 2016). China has great strengths in residential, offices</w:t>
      </w:r>
      <w:r w:rsidR="00AB0932">
        <w:rPr>
          <w:rFonts w:ascii="Arial" w:hAnsi="Arial" w:cs="Arial"/>
        </w:rPr>
        <w:t>,</w:t>
      </w:r>
      <w:r w:rsidRPr="00E03CFE">
        <w:rPr>
          <w:rFonts w:ascii="Arial" w:hAnsi="Arial" w:cs="Arial"/>
        </w:rPr>
        <w:t xml:space="preserve"> and retail buildings (</w:t>
      </w:r>
      <w:r w:rsidRPr="00E03CFE">
        <w:rPr>
          <w:rFonts w:ascii="Arial" w:hAnsi="Arial" w:cs="Arial"/>
          <w:color w:val="000000"/>
        </w:rPr>
        <w:t>Chiang, 2016)</w:t>
      </w:r>
      <w:r w:rsidR="00943F8E">
        <w:rPr>
          <w:rFonts w:ascii="Arial" w:hAnsi="Arial" w:cs="Arial"/>
          <w:color w:val="000000"/>
        </w:rPr>
        <w:t>,</w:t>
      </w:r>
      <w:r w:rsidRPr="00E03CFE">
        <w:rPr>
          <w:rFonts w:ascii="Arial" w:hAnsi="Arial" w:cs="Arial"/>
          <w:color w:val="000000"/>
        </w:rPr>
        <w:t xml:space="preserve"> while Nigeria’s strength is in residential properties (Nubi, 2010; Onu, 2015). Consequently, it is </w:t>
      </w:r>
      <w:r w:rsidR="00943F8E">
        <w:rPr>
          <w:rFonts w:ascii="Arial" w:hAnsi="Arial" w:cs="Arial"/>
          <w:color w:val="000000"/>
        </w:rPr>
        <w:t>vital</w:t>
      </w:r>
      <w:r w:rsidRPr="00E03CFE">
        <w:rPr>
          <w:rFonts w:ascii="Arial" w:hAnsi="Arial" w:cs="Arial"/>
          <w:color w:val="000000"/>
        </w:rPr>
        <w:t xml:space="preserve"> to concentrate </w:t>
      </w:r>
      <w:r w:rsidRPr="00E03CFE">
        <w:rPr>
          <w:rFonts w:ascii="Arial" w:hAnsi="Arial" w:cs="Arial"/>
        </w:rPr>
        <w:t xml:space="preserve">on managers involved in all </w:t>
      </w:r>
      <w:r w:rsidR="00943F8E">
        <w:rPr>
          <w:rFonts w:ascii="Arial" w:hAnsi="Arial" w:cs="Arial"/>
        </w:rPr>
        <w:t>real estate assets classe</w:t>
      </w:r>
      <w:r w:rsidRPr="00E03CFE">
        <w:rPr>
          <w:rFonts w:ascii="Arial" w:hAnsi="Arial" w:cs="Arial"/>
        </w:rPr>
        <w:t xml:space="preserve">s to gain a holistic view </w:t>
      </w:r>
      <w:r w:rsidR="007922FE">
        <w:rPr>
          <w:rFonts w:ascii="Arial" w:hAnsi="Arial" w:cs="Arial"/>
        </w:rPr>
        <w:t>of</w:t>
      </w:r>
      <w:r w:rsidRPr="00E03CFE">
        <w:rPr>
          <w:rFonts w:ascii="Arial" w:hAnsi="Arial" w:cs="Arial"/>
        </w:rPr>
        <w:t xml:space="preserve"> all the selected </w:t>
      </w:r>
      <w:r w:rsidR="00EA7051" w:rsidRPr="00E03CFE">
        <w:rPr>
          <w:rFonts w:ascii="Arial" w:hAnsi="Arial" w:cs="Arial"/>
        </w:rPr>
        <w:t>countries.</w:t>
      </w:r>
      <w:r w:rsidRPr="00E03CFE">
        <w:rPr>
          <w:rFonts w:ascii="Arial" w:hAnsi="Arial" w:cs="Arial"/>
        </w:rPr>
        <w:t xml:space="preserve"> </w:t>
      </w:r>
    </w:p>
    <w:p w14:paraId="635AFACF" w14:textId="77777777" w:rsidR="00CD6352" w:rsidRPr="00E03CFE" w:rsidRDefault="00CD6352" w:rsidP="00CD6352">
      <w:pPr>
        <w:pStyle w:val="Heading2"/>
        <w:spacing w:after="240"/>
        <w:rPr>
          <w:rFonts w:cs="Arial"/>
          <w:sz w:val="22"/>
          <w:szCs w:val="22"/>
        </w:rPr>
      </w:pPr>
      <w:bookmarkStart w:id="475" w:name="_Toc78983772"/>
      <w:r w:rsidRPr="00E03CFE">
        <w:rPr>
          <w:rFonts w:cs="Arial"/>
          <w:sz w:val="22"/>
          <w:szCs w:val="22"/>
        </w:rPr>
        <w:t>Outline of the research methodology</w:t>
      </w:r>
      <w:bookmarkEnd w:id="475"/>
      <w:r w:rsidRPr="00E03CFE">
        <w:rPr>
          <w:rFonts w:cs="Arial"/>
          <w:sz w:val="22"/>
          <w:szCs w:val="22"/>
        </w:rPr>
        <w:t xml:space="preserve"> </w:t>
      </w:r>
    </w:p>
    <w:p w14:paraId="3454AFFE" w14:textId="33C61DE0" w:rsidR="00CD6352" w:rsidRPr="00E03CFE" w:rsidRDefault="00CD6352" w:rsidP="00CD6352">
      <w:pPr>
        <w:spacing w:line="360" w:lineRule="auto"/>
        <w:jc w:val="both"/>
        <w:rPr>
          <w:rFonts w:ascii="Arial" w:hAnsi="Arial" w:cs="Arial"/>
        </w:rPr>
      </w:pPr>
      <w:r w:rsidRPr="00810321">
        <w:rPr>
          <w:rFonts w:ascii="Arial" w:hAnsi="Arial" w:cs="Arial"/>
        </w:rPr>
        <w:t xml:space="preserve">This </w:t>
      </w:r>
      <w:r w:rsidR="00AB0932">
        <w:rPr>
          <w:rFonts w:ascii="Arial" w:hAnsi="Arial" w:cs="Arial"/>
        </w:rPr>
        <w:t xml:space="preserve">is </w:t>
      </w:r>
      <w:r w:rsidR="00E678C6" w:rsidRPr="00810321">
        <w:rPr>
          <w:rFonts w:ascii="Arial" w:hAnsi="Arial" w:cs="Arial"/>
        </w:rPr>
        <w:t>a case study of six countries</w:t>
      </w:r>
      <w:r w:rsidR="00AB0932">
        <w:rPr>
          <w:rFonts w:ascii="Arial" w:hAnsi="Arial" w:cs="Arial"/>
        </w:rPr>
        <w:t>,</w:t>
      </w:r>
      <w:r w:rsidR="00E678C6" w:rsidRPr="00810321">
        <w:rPr>
          <w:rFonts w:ascii="Arial" w:hAnsi="Arial" w:cs="Arial"/>
        </w:rPr>
        <w:t xml:space="preserve"> </w:t>
      </w:r>
      <w:r w:rsidR="00012767">
        <w:rPr>
          <w:rFonts w:ascii="Arial" w:hAnsi="Arial" w:cs="Arial"/>
        </w:rPr>
        <w:t>and it</w:t>
      </w:r>
      <w:r w:rsidRPr="00810321">
        <w:rPr>
          <w:rFonts w:ascii="Arial" w:hAnsi="Arial" w:cs="Arial"/>
        </w:rPr>
        <w:t xml:space="preserve"> adopts</w:t>
      </w:r>
      <w:r w:rsidRPr="00E03CFE">
        <w:rPr>
          <w:rFonts w:ascii="Arial" w:hAnsi="Arial" w:cs="Arial"/>
        </w:rPr>
        <w:t xml:space="preserve"> a pluralistic methodological approach. It adopts both a qualitative and a quantitative research design; consequently, it is mixed-method research. </w:t>
      </w:r>
      <w:r w:rsidR="00587D8D">
        <w:rPr>
          <w:rFonts w:ascii="Arial" w:hAnsi="Arial" w:cs="Arial"/>
        </w:rPr>
        <w:t>Q</w:t>
      </w:r>
      <w:r w:rsidRPr="00E03CFE">
        <w:rPr>
          <w:rFonts w:ascii="Arial" w:hAnsi="Arial" w:cs="Arial"/>
        </w:rPr>
        <w:t xml:space="preserve">ualitative research was used because it attempts to capture people’s perceptions, </w:t>
      </w:r>
      <w:r w:rsidR="006C7FA3" w:rsidRPr="00E03CFE">
        <w:rPr>
          <w:rFonts w:ascii="Arial" w:hAnsi="Arial" w:cs="Arial"/>
        </w:rPr>
        <w:t>definitions,</w:t>
      </w:r>
      <w:r w:rsidRPr="00E03CFE">
        <w:rPr>
          <w:rFonts w:ascii="Arial" w:hAnsi="Arial" w:cs="Arial"/>
        </w:rPr>
        <w:t xml:space="preserve"> and descriptions of events (Flick, 2014</w:t>
      </w:r>
      <w:r w:rsidR="00683E73" w:rsidRPr="00E03CFE">
        <w:rPr>
          <w:rFonts w:ascii="Arial" w:hAnsi="Arial" w:cs="Arial"/>
        </w:rPr>
        <w:t>)</w:t>
      </w:r>
      <w:r w:rsidR="00683E73">
        <w:rPr>
          <w:rFonts w:ascii="Arial" w:hAnsi="Arial" w:cs="Arial"/>
        </w:rPr>
        <w:t xml:space="preserve">, </w:t>
      </w:r>
      <w:r w:rsidR="00683E73" w:rsidRPr="00E03CFE">
        <w:rPr>
          <w:rFonts w:ascii="Arial" w:hAnsi="Arial" w:cs="Arial"/>
        </w:rPr>
        <w:t>and</w:t>
      </w:r>
      <w:r w:rsidR="00B9524E">
        <w:rPr>
          <w:rFonts w:ascii="Arial" w:hAnsi="Arial" w:cs="Arial"/>
        </w:rPr>
        <w:t xml:space="preserve"> </w:t>
      </w:r>
      <w:r w:rsidRPr="00E03CFE">
        <w:rPr>
          <w:rFonts w:ascii="Arial" w:hAnsi="Arial" w:cs="Arial"/>
        </w:rPr>
        <w:t>this was through semi-structured interviews. The quantitative element examines individual responses from real estate development managers in both the developed and developing economies through online questionnaire surveys</w:t>
      </w:r>
      <w:r w:rsidR="00B84829">
        <w:rPr>
          <w:rFonts w:ascii="Arial" w:hAnsi="Arial" w:cs="Arial"/>
        </w:rPr>
        <w:t>.</w:t>
      </w:r>
      <w:r w:rsidRPr="00E03CFE">
        <w:rPr>
          <w:rFonts w:ascii="Arial" w:hAnsi="Arial" w:cs="Arial"/>
        </w:rPr>
        <w:t xml:space="preserve"> The participants are located in dispersed locations in three developed economies and three emerging </w:t>
      </w:r>
      <w:r w:rsidR="003F3A96" w:rsidRPr="00E03CFE">
        <w:rPr>
          <w:rFonts w:ascii="Arial" w:hAnsi="Arial" w:cs="Arial"/>
        </w:rPr>
        <w:t>economies;</w:t>
      </w:r>
      <w:r w:rsidRPr="00E03CFE">
        <w:rPr>
          <w:rFonts w:ascii="Arial" w:hAnsi="Arial" w:cs="Arial"/>
        </w:rPr>
        <w:t xml:space="preserve"> hence</w:t>
      </w:r>
      <w:r w:rsidR="00B9524E">
        <w:rPr>
          <w:rFonts w:ascii="Arial" w:hAnsi="Arial" w:cs="Arial"/>
        </w:rPr>
        <w:t>, the usage of qualitative and quantitative research provides</w:t>
      </w:r>
      <w:r w:rsidRPr="00E03CFE">
        <w:rPr>
          <w:rFonts w:ascii="Arial" w:hAnsi="Arial" w:cs="Arial"/>
        </w:rPr>
        <w:t xml:space="preserve"> a </w:t>
      </w:r>
      <w:r w:rsidR="00B9524E">
        <w:rPr>
          <w:rFonts w:ascii="Arial" w:hAnsi="Arial" w:cs="Arial"/>
        </w:rPr>
        <w:t>more excellent</w:t>
      </w:r>
      <w:r w:rsidRPr="00E03CFE">
        <w:rPr>
          <w:rFonts w:ascii="Arial" w:hAnsi="Arial" w:cs="Arial"/>
        </w:rPr>
        <w:t xml:space="preserve"> perceptive of the phenomena being studied (Easterby- Smith et al., 2008).</w:t>
      </w:r>
    </w:p>
    <w:p w14:paraId="2FF0601E" w14:textId="77777777" w:rsidR="00CD6352" w:rsidRPr="00E03CFE" w:rsidRDefault="00CD6352" w:rsidP="00CD6352">
      <w:pPr>
        <w:pStyle w:val="Heading2"/>
        <w:spacing w:after="240"/>
        <w:rPr>
          <w:rFonts w:cs="Arial"/>
          <w:sz w:val="22"/>
          <w:szCs w:val="22"/>
        </w:rPr>
      </w:pPr>
      <w:bookmarkStart w:id="476" w:name="_Toc78983773"/>
      <w:r w:rsidRPr="00E03CFE">
        <w:rPr>
          <w:rFonts w:cs="Arial"/>
          <w:sz w:val="22"/>
          <w:szCs w:val="22"/>
        </w:rPr>
        <w:t>The structure of the Thesis</w:t>
      </w:r>
      <w:bookmarkEnd w:id="476"/>
    </w:p>
    <w:p w14:paraId="33A42542" w14:textId="61F8DB74" w:rsidR="00CD6352" w:rsidRPr="00E03CFE" w:rsidRDefault="00CD6352" w:rsidP="00CD6352">
      <w:pPr>
        <w:spacing w:line="360" w:lineRule="auto"/>
        <w:jc w:val="both"/>
        <w:rPr>
          <w:rFonts w:ascii="Arial" w:hAnsi="Arial" w:cs="Arial"/>
        </w:rPr>
      </w:pPr>
      <w:r w:rsidRPr="00E03CFE">
        <w:rPr>
          <w:rFonts w:ascii="Arial" w:hAnsi="Arial" w:cs="Arial"/>
        </w:rPr>
        <w:t xml:space="preserve">The thesis adopts a traditional approach to research structure and is presented in </w:t>
      </w:r>
      <w:r w:rsidR="00A95AA8">
        <w:rPr>
          <w:rFonts w:ascii="Arial" w:hAnsi="Arial" w:cs="Arial"/>
        </w:rPr>
        <w:t xml:space="preserve">eleven </w:t>
      </w:r>
      <w:r w:rsidRPr="00E03CFE">
        <w:rPr>
          <w:rFonts w:ascii="Arial" w:hAnsi="Arial" w:cs="Arial"/>
        </w:rPr>
        <w:t>chapters, as illustrated below.</w:t>
      </w:r>
    </w:p>
    <w:p w14:paraId="3B361DF5" w14:textId="3993B32C" w:rsidR="00CD6352" w:rsidRPr="00E03CFE" w:rsidRDefault="00CD6352" w:rsidP="00CD6352">
      <w:pPr>
        <w:spacing w:line="360" w:lineRule="auto"/>
        <w:jc w:val="both"/>
        <w:rPr>
          <w:rFonts w:ascii="Arial" w:hAnsi="Arial" w:cs="Arial"/>
        </w:rPr>
      </w:pPr>
      <w:r w:rsidRPr="00E03CFE">
        <w:rPr>
          <w:rFonts w:ascii="Arial" w:hAnsi="Arial" w:cs="Arial"/>
        </w:rPr>
        <w:t>Chapter 1 introduces the topic and provides the background of the research. It also outlines the research questions, aims, objectives, details on the unit of the study</w:t>
      </w:r>
      <w:r w:rsidR="00B9524E">
        <w:rPr>
          <w:rFonts w:ascii="Arial" w:hAnsi="Arial" w:cs="Arial"/>
        </w:rPr>
        <w:t>, which is the manager’, an outline on the real estate sector, the contribution of the research and justification for the study, and</w:t>
      </w:r>
      <w:r w:rsidRPr="00E03CFE">
        <w:rPr>
          <w:rFonts w:ascii="Arial" w:hAnsi="Arial" w:cs="Arial"/>
        </w:rPr>
        <w:t xml:space="preserve"> a brief introduction of the research methodology. Finally, this chapter explains the structure of the thesis.</w:t>
      </w:r>
    </w:p>
    <w:p w14:paraId="262816B3" w14:textId="75C62662" w:rsidR="00CD6352" w:rsidRPr="00C62FFC" w:rsidRDefault="00CD6352" w:rsidP="00CD6352">
      <w:pPr>
        <w:spacing w:line="360" w:lineRule="auto"/>
        <w:jc w:val="both"/>
        <w:rPr>
          <w:rFonts w:ascii="Arial" w:hAnsi="Arial" w:cs="Arial"/>
          <w:iCs/>
        </w:rPr>
      </w:pPr>
      <w:r w:rsidRPr="00C62FFC">
        <w:rPr>
          <w:rFonts w:ascii="Arial" w:hAnsi="Arial" w:cs="Arial"/>
          <w:iCs/>
        </w:rPr>
        <w:t xml:space="preserve">Chapter </w:t>
      </w:r>
      <w:r w:rsidR="00595811" w:rsidRPr="00C62FFC">
        <w:rPr>
          <w:rFonts w:ascii="Arial" w:hAnsi="Arial" w:cs="Arial"/>
          <w:iCs/>
        </w:rPr>
        <w:t>2 explains</w:t>
      </w:r>
      <w:r w:rsidRPr="00C62FFC">
        <w:rPr>
          <w:rFonts w:ascii="Arial" w:hAnsi="Arial" w:cs="Arial"/>
          <w:iCs/>
        </w:rPr>
        <w:t xml:space="preserve"> the concept of real estate in both </w:t>
      </w:r>
      <w:r w:rsidR="00D16196">
        <w:rPr>
          <w:rFonts w:ascii="Arial" w:hAnsi="Arial" w:cs="Arial"/>
          <w:iCs/>
        </w:rPr>
        <w:t>developed and emerging economies, emphasising the selected six countries</w:t>
      </w:r>
      <w:r w:rsidR="00A92D8A" w:rsidRPr="00C62FFC">
        <w:rPr>
          <w:rFonts w:ascii="Arial" w:hAnsi="Arial" w:cs="Arial"/>
          <w:iCs/>
        </w:rPr>
        <w:t>.</w:t>
      </w:r>
    </w:p>
    <w:p w14:paraId="6AFB8A92" w14:textId="4DBB8752" w:rsidR="00CD6352" w:rsidRPr="00E03CFE" w:rsidRDefault="00CD6352" w:rsidP="00CD6352">
      <w:pPr>
        <w:spacing w:line="360" w:lineRule="auto"/>
        <w:jc w:val="both"/>
        <w:rPr>
          <w:rFonts w:ascii="Arial" w:hAnsi="Arial" w:cs="Arial"/>
        </w:rPr>
      </w:pPr>
      <w:r w:rsidRPr="00E03CFE">
        <w:rPr>
          <w:rFonts w:ascii="Arial" w:hAnsi="Arial" w:cs="Arial"/>
        </w:rPr>
        <w:t xml:space="preserve">Chapter 3 reviews literature based on </w:t>
      </w:r>
      <w:r w:rsidR="00C62FFC">
        <w:rPr>
          <w:rFonts w:ascii="Arial" w:hAnsi="Arial" w:cs="Arial"/>
        </w:rPr>
        <w:t>the</w:t>
      </w:r>
      <w:r w:rsidRPr="00E03CFE">
        <w:rPr>
          <w:rFonts w:ascii="Arial" w:hAnsi="Arial" w:cs="Arial"/>
        </w:rPr>
        <w:t xml:space="preserve"> objectives.</w:t>
      </w:r>
    </w:p>
    <w:p w14:paraId="4EFFF00F" w14:textId="77777777" w:rsidR="00CD6352" w:rsidRPr="001E6200" w:rsidRDefault="00CD6352" w:rsidP="00CD6352">
      <w:pPr>
        <w:spacing w:line="360" w:lineRule="auto"/>
        <w:jc w:val="both"/>
        <w:rPr>
          <w:rFonts w:ascii="Arial" w:hAnsi="Arial" w:cs="Arial"/>
          <w:iCs/>
        </w:rPr>
      </w:pPr>
      <w:r w:rsidRPr="001E6200">
        <w:rPr>
          <w:rFonts w:ascii="Arial" w:hAnsi="Arial" w:cs="Arial"/>
          <w:iCs/>
        </w:rPr>
        <w:t xml:space="preserve">Chapter 4 presents the research methodology and methods employed in the research. The chapter elaborates on the research design, data collection, and analysis of qualitative and quantitative research used in the study. It also explains the difficulties encountered and the various research instruments used in mitigating such difficulties </w:t>
      </w:r>
    </w:p>
    <w:p w14:paraId="4BA95461" w14:textId="2E43293C" w:rsidR="00CD6352" w:rsidRPr="00E03CFE" w:rsidRDefault="00CD6352" w:rsidP="00CD6352">
      <w:pPr>
        <w:spacing w:line="360" w:lineRule="auto"/>
        <w:jc w:val="both"/>
        <w:rPr>
          <w:rFonts w:ascii="Arial" w:hAnsi="Arial" w:cs="Arial"/>
        </w:rPr>
      </w:pPr>
      <w:r w:rsidRPr="00E03CFE">
        <w:rPr>
          <w:rFonts w:ascii="Arial" w:hAnsi="Arial" w:cs="Arial"/>
        </w:rPr>
        <w:lastRenderedPageBreak/>
        <w:t xml:space="preserve">Chapter 5 presents and discusses finance options and criteria for securing finance for real estate project development in the developed and emerging economies. It also developed the inventory of finance options and criteria for securing </w:t>
      </w:r>
      <w:r w:rsidR="00D16196">
        <w:rPr>
          <w:rFonts w:ascii="Arial" w:hAnsi="Arial" w:cs="Arial"/>
        </w:rPr>
        <w:t>real estate project development finance in</w:t>
      </w:r>
      <w:r w:rsidRPr="00E03CFE">
        <w:rPr>
          <w:rFonts w:ascii="Arial" w:hAnsi="Arial" w:cs="Arial"/>
        </w:rPr>
        <w:t xml:space="preserve"> developed and emerging </w:t>
      </w:r>
      <w:r w:rsidR="00A92D8A" w:rsidRPr="00E03CFE">
        <w:rPr>
          <w:rFonts w:ascii="Arial" w:hAnsi="Arial" w:cs="Arial"/>
        </w:rPr>
        <w:t>economies.</w:t>
      </w:r>
    </w:p>
    <w:p w14:paraId="3A16DA6A" w14:textId="5679C6AF" w:rsidR="00CD6352" w:rsidRPr="0021730F" w:rsidRDefault="00CD6352" w:rsidP="00CD6352">
      <w:pPr>
        <w:spacing w:line="360" w:lineRule="auto"/>
        <w:jc w:val="both"/>
        <w:rPr>
          <w:rFonts w:ascii="Arial" w:hAnsi="Arial" w:cs="Arial"/>
        </w:rPr>
      </w:pPr>
      <w:r w:rsidRPr="00E03CFE">
        <w:rPr>
          <w:rFonts w:ascii="Arial" w:hAnsi="Arial" w:cs="Arial"/>
        </w:rPr>
        <w:t xml:space="preserve">Chapter 6 presents and discusses findings on the critical success factors, challenges and opportunities associated with securing finance for real estate project development in the </w:t>
      </w:r>
      <w:r w:rsidRPr="0021730F">
        <w:rPr>
          <w:rFonts w:ascii="Arial" w:hAnsi="Arial" w:cs="Arial"/>
        </w:rPr>
        <w:t xml:space="preserve">developed and emerging economies. It also presents </w:t>
      </w:r>
      <w:r w:rsidR="00B9524E">
        <w:rPr>
          <w:rFonts w:ascii="Arial" w:hAnsi="Arial" w:cs="Arial"/>
        </w:rPr>
        <w:t>a conceptual framework for environmental scanning</w:t>
      </w:r>
      <w:r w:rsidRPr="0021730F">
        <w:rPr>
          <w:rFonts w:ascii="Arial" w:hAnsi="Arial" w:cs="Arial"/>
        </w:rPr>
        <w:t xml:space="preserve"> for securing finance for real estate project development.</w:t>
      </w:r>
    </w:p>
    <w:p w14:paraId="19C5F1CC" w14:textId="4CFC24E5" w:rsidR="00CD6352" w:rsidRPr="0021730F" w:rsidRDefault="00CD6352" w:rsidP="00CD6352">
      <w:pPr>
        <w:spacing w:line="360" w:lineRule="auto"/>
        <w:jc w:val="both"/>
        <w:rPr>
          <w:rFonts w:ascii="Arial" w:hAnsi="Arial" w:cs="Arial"/>
        </w:rPr>
      </w:pPr>
      <w:r w:rsidRPr="0021730F">
        <w:rPr>
          <w:rFonts w:ascii="Arial" w:hAnsi="Arial" w:cs="Arial"/>
        </w:rPr>
        <w:t>Chapter 7 presents and discusses the processes and key decisions in securing finance for real estate project development in developed and emerging economies. This chapter also presents the development of the process map for securing finance for real estate project development.</w:t>
      </w:r>
    </w:p>
    <w:p w14:paraId="3DE108C4" w14:textId="089693D5" w:rsidR="0021730F" w:rsidRPr="0021730F" w:rsidRDefault="00CD6352" w:rsidP="0021730F">
      <w:pPr>
        <w:spacing w:line="360" w:lineRule="auto"/>
        <w:jc w:val="both"/>
        <w:rPr>
          <w:rFonts w:ascii="Arial" w:hAnsi="Arial" w:cs="Arial"/>
        </w:rPr>
      </w:pPr>
      <w:r w:rsidRPr="0021730F">
        <w:rPr>
          <w:rFonts w:ascii="Arial" w:hAnsi="Arial" w:cs="Arial"/>
        </w:rPr>
        <w:t xml:space="preserve">Chapter 8 presents and discusses findings on the real estate manager’s skills, </w:t>
      </w:r>
      <w:r w:rsidR="0021730F" w:rsidRPr="0021730F">
        <w:rPr>
          <w:rFonts w:ascii="Arial" w:hAnsi="Arial" w:cs="Arial"/>
        </w:rPr>
        <w:t>knowledge,</w:t>
      </w:r>
      <w:r w:rsidRPr="0021730F">
        <w:rPr>
          <w:rFonts w:ascii="Arial" w:hAnsi="Arial" w:cs="Arial"/>
        </w:rPr>
        <w:t xml:space="preserve"> and competences</w:t>
      </w:r>
      <w:r w:rsidR="0021730F" w:rsidRPr="0021730F">
        <w:rPr>
          <w:rFonts w:ascii="Arial" w:hAnsi="Arial" w:cs="Arial"/>
        </w:rPr>
        <w:t xml:space="preserve"> </w:t>
      </w:r>
      <w:r w:rsidRPr="0021730F">
        <w:rPr>
          <w:rFonts w:ascii="Arial" w:hAnsi="Arial" w:cs="Arial"/>
        </w:rPr>
        <w:t xml:space="preserve">for securing finance for real estate project development in the developed and emerging economies. This chapter also presents the inventory of skills, knowledge and </w:t>
      </w:r>
      <w:r w:rsidR="0021730F" w:rsidRPr="0021730F">
        <w:rPr>
          <w:rFonts w:ascii="Arial" w:hAnsi="Arial" w:cs="Arial"/>
        </w:rPr>
        <w:t>competences for securing finance for real estate project development.</w:t>
      </w:r>
    </w:p>
    <w:p w14:paraId="0EB6D4FA" w14:textId="6EDFD5EE" w:rsidR="0021730F" w:rsidRPr="00E03CFE" w:rsidRDefault="0021730F" w:rsidP="0021730F">
      <w:pPr>
        <w:spacing w:line="360" w:lineRule="auto"/>
        <w:jc w:val="both"/>
        <w:rPr>
          <w:rFonts w:ascii="Arial" w:hAnsi="Arial" w:cs="Arial"/>
        </w:rPr>
      </w:pPr>
      <w:r w:rsidRPr="00E03CFE">
        <w:rPr>
          <w:rFonts w:ascii="Arial" w:hAnsi="Arial" w:cs="Arial"/>
        </w:rPr>
        <w:t xml:space="preserve">Chapter </w:t>
      </w:r>
      <w:r>
        <w:rPr>
          <w:rFonts w:ascii="Arial" w:hAnsi="Arial" w:cs="Arial"/>
        </w:rPr>
        <w:t>9</w:t>
      </w:r>
      <w:r w:rsidRPr="00E03CFE">
        <w:rPr>
          <w:rFonts w:ascii="Arial" w:hAnsi="Arial" w:cs="Arial"/>
        </w:rPr>
        <w:t xml:space="preserve"> presents and discusses findings on the real estate manager’s </w:t>
      </w:r>
      <w:r w:rsidR="00C431D5">
        <w:rPr>
          <w:rFonts w:ascii="Arial" w:hAnsi="Arial" w:cs="Arial"/>
        </w:rPr>
        <w:t>career</w:t>
      </w:r>
      <w:r w:rsidRPr="00E03CFE">
        <w:rPr>
          <w:rFonts w:ascii="Arial" w:hAnsi="Arial" w:cs="Arial"/>
        </w:rPr>
        <w:t xml:space="preserve"> path, training, and education for securing finance for real estate project development in the developed and emerging economies. This chapter presents the development of the conceptual framework for career path, education</w:t>
      </w:r>
      <w:bookmarkStart w:id="477" w:name="_Hlk63629580"/>
      <w:r w:rsidR="00B9524E">
        <w:rPr>
          <w:rFonts w:ascii="Arial" w:hAnsi="Arial" w:cs="Arial"/>
        </w:rPr>
        <w:t>, and training to secure</w:t>
      </w:r>
      <w:r w:rsidRPr="00E03CFE">
        <w:rPr>
          <w:rFonts w:ascii="Arial" w:hAnsi="Arial" w:cs="Arial"/>
        </w:rPr>
        <w:t xml:space="preserve"> finance for real estate project development.</w:t>
      </w:r>
    </w:p>
    <w:bookmarkEnd w:id="477"/>
    <w:p w14:paraId="15426CBA" w14:textId="6D8DFEA2" w:rsidR="00CD6352" w:rsidRPr="00E03CFE" w:rsidRDefault="00CD6352" w:rsidP="00CD6352">
      <w:pPr>
        <w:spacing w:line="360" w:lineRule="auto"/>
        <w:jc w:val="both"/>
        <w:rPr>
          <w:rFonts w:ascii="Arial" w:hAnsi="Arial" w:cs="Arial"/>
        </w:rPr>
      </w:pPr>
      <w:r w:rsidRPr="00E03CFE">
        <w:rPr>
          <w:rFonts w:ascii="Arial" w:hAnsi="Arial" w:cs="Arial"/>
        </w:rPr>
        <w:t xml:space="preserve">Chapter </w:t>
      </w:r>
      <w:r w:rsidR="0021730F">
        <w:rPr>
          <w:rFonts w:ascii="Arial" w:hAnsi="Arial" w:cs="Arial"/>
        </w:rPr>
        <w:t>10</w:t>
      </w:r>
      <w:r w:rsidRPr="00E03CFE">
        <w:rPr>
          <w:rFonts w:ascii="Arial" w:hAnsi="Arial" w:cs="Arial"/>
        </w:rPr>
        <w:t xml:space="preserve"> presents the </w:t>
      </w:r>
      <w:r w:rsidR="00B9524E">
        <w:rPr>
          <w:rFonts w:ascii="Arial" w:hAnsi="Arial" w:cs="Arial"/>
        </w:rPr>
        <w:t>tool kit's development for securing finance for real estate project development,</w:t>
      </w:r>
      <w:r w:rsidRPr="00E03CFE">
        <w:rPr>
          <w:rFonts w:ascii="Arial" w:hAnsi="Arial" w:cs="Arial"/>
        </w:rPr>
        <w:t xml:space="preserve"> which can be plugged-in in both the developed and emerging economies depending on the level of the manager’s need.</w:t>
      </w:r>
    </w:p>
    <w:p w14:paraId="3051D4AB" w14:textId="2D523E28" w:rsidR="00CD6352" w:rsidRPr="00E03CFE" w:rsidRDefault="00CD6352" w:rsidP="00CD6352">
      <w:pPr>
        <w:spacing w:line="360" w:lineRule="auto"/>
        <w:jc w:val="both"/>
        <w:rPr>
          <w:rFonts w:ascii="Arial" w:hAnsi="Arial" w:cs="Arial"/>
        </w:rPr>
      </w:pPr>
      <w:r w:rsidRPr="00E03CFE">
        <w:rPr>
          <w:rFonts w:ascii="Arial" w:hAnsi="Arial" w:cs="Arial"/>
        </w:rPr>
        <w:t xml:space="preserve">Chapter </w:t>
      </w:r>
      <w:r w:rsidR="0021730F">
        <w:rPr>
          <w:rFonts w:ascii="Arial" w:hAnsi="Arial" w:cs="Arial"/>
        </w:rPr>
        <w:t>11</w:t>
      </w:r>
      <w:r w:rsidRPr="00E03CFE">
        <w:rPr>
          <w:rFonts w:ascii="Arial" w:hAnsi="Arial" w:cs="Arial"/>
        </w:rPr>
        <w:t xml:space="preserve">. </w:t>
      </w:r>
      <w:r w:rsidR="00E72358">
        <w:rPr>
          <w:rFonts w:ascii="Arial" w:hAnsi="Arial" w:cs="Arial"/>
        </w:rPr>
        <w:t>p</w:t>
      </w:r>
      <w:r w:rsidRPr="00E03CFE">
        <w:rPr>
          <w:rFonts w:ascii="Arial" w:hAnsi="Arial" w:cs="Arial"/>
        </w:rPr>
        <w:t>resents</w:t>
      </w:r>
      <w:r w:rsidR="00B9524E">
        <w:rPr>
          <w:rFonts w:ascii="Arial" w:hAnsi="Arial" w:cs="Arial"/>
        </w:rPr>
        <w:t xml:space="preserve"> the </w:t>
      </w:r>
      <w:r w:rsidRPr="00E03CFE">
        <w:rPr>
          <w:rFonts w:ascii="Arial" w:hAnsi="Arial" w:cs="Arial"/>
        </w:rPr>
        <w:t xml:space="preserve">summary, recommendations, and limitations of the </w:t>
      </w:r>
      <w:r w:rsidR="008040DD" w:rsidRPr="00E03CFE">
        <w:rPr>
          <w:rFonts w:ascii="Arial" w:hAnsi="Arial" w:cs="Arial"/>
        </w:rPr>
        <w:t>study.</w:t>
      </w:r>
    </w:p>
    <w:p w14:paraId="4E586755" w14:textId="42CC8236" w:rsidR="00CD6352" w:rsidRPr="00091F11" w:rsidRDefault="00CD6352" w:rsidP="00CD6352">
      <w:pPr>
        <w:pStyle w:val="Heading2"/>
        <w:spacing w:after="240"/>
        <w:rPr>
          <w:rFonts w:cs="Arial"/>
          <w:sz w:val="22"/>
          <w:szCs w:val="22"/>
        </w:rPr>
      </w:pPr>
      <w:r w:rsidRPr="00091F11">
        <w:rPr>
          <w:rFonts w:cs="Arial"/>
          <w:sz w:val="22"/>
          <w:szCs w:val="22"/>
        </w:rPr>
        <w:t xml:space="preserve"> </w:t>
      </w:r>
      <w:bookmarkStart w:id="478" w:name="_Toc78983774"/>
      <w:r w:rsidRPr="00091F11">
        <w:rPr>
          <w:rFonts w:cs="Arial"/>
          <w:sz w:val="22"/>
          <w:szCs w:val="22"/>
        </w:rPr>
        <w:t>Summary</w:t>
      </w:r>
      <w:bookmarkEnd w:id="478"/>
    </w:p>
    <w:p w14:paraId="50D90563" w14:textId="4C539492" w:rsidR="00C20B8A" w:rsidRPr="00091F11" w:rsidRDefault="00C20B8A" w:rsidP="00C20B8A">
      <w:pPr>
        <w:spacing w:line="360" w:lineRule="auto"/>
        <w:jc w:val="both"/>
        <w:rPr>
          <w:rFonts w:ascii="Arial" w:hAnsi="Arial" w:cs="Arial"/>
        </w:rPr>
      </w:pPr>
      <w:r w:rsidRPr="00091F11">
        <w:rPr>
          <w:rFonts w:ascii="Arial" w:hAnsi="Arial" w:cs="Arial"/>
        </w:rPr>
        <w:t xml:space="preserve">This chapter introduced the research presented in this thesis. The chapter provided the background of the </w:t>
      </w:r>
      <w:r w:rsidR="00B9524E">
        <w:rPr>
          <w:rFonts w:ascii="Arial" w:hAnsi="Arial" w:cs="Arial"/>
        </w:rPr>
        <w:t>study</w:t>
      </w:r>
      <w:r w:rsidRPr="00091F11">
        <w:rPr>
          <w:rFonts w:ascii="Arial" w:hAnsi="Arial" w:cs="Arial"/>
        </w:rPr>
        <w:t xml:space="preserve"> with </w:t>
      </w:r>
      <w:r w:rsidR="006837F2">
        <w:rPr>
          <w:rFonts w:ascii="Arial" w:hAnsi="Arial" w:cs="Arial"/>
        </w:rPr>
        <w:t xml:space="preserve">a </w:t>
      </w:r>
      <w:r w:rsidR="00B9524E">
        <w:rPr>
          <w:rFonts w:ascii="Arial" w:hAnsi="Arial" w:cs="Arial"/>
        </w:rPr>
        <w:t>particular</w:t>
      </w:r>
      <w:r w:rsidRPr="00091F11">
        <w:rPr>
          <w:rFonts w:ascii="Arial" w:hAnsi="Arial" w:cs="Arial"/>
        </w:rPr>
        <w:t xml:space="preserve"> focus on the real estate gap in demand and supply in both the developed and emerging economies. The chapter outlined the research aims and objectives and the </w:t>
      </w:r>
      <w:r w:rsidR="004B1F54">
        <w:rPr>
          <w:rFonts w:ascii="Arial" w:hAnsi="Arial" w:cs="Arial"/>
        </w:rPr>
        <w:t xml:space="preserve">rationale </w:t>
      </w:r>
      <w:r w:rsidRPr="00091F11">
        <w:rPr>
          <w:rFonts w:ascii="Arial" w:hAnsi="Arial" w:cs="Arial"/>
        </w:rPr>
        <w:t xml:space="preserve">for the research. The </w:t>
      </w:r>
      <w:r w:rsidR="00B9524E">
        <w:rPr>
          <w:rFonts w:ascii="Arial" w:hAnsi="Arial" w:cs="Arial"/>
        </w:rPr>
        <w:t xml:space="preserve">research's </w:t>
      </w:r>
      <w:r w:rsidR="004B1F54">
        <w:rPr>
          <w:rFonts w:ascii="Arial" w:hAnsi="Arial" w:cs="Arial"/>
        </w:rPr>
        <w:t xml:space="preserve">rationale </w:t>
      </w:r>
      <w:r w:rsidR="00B9524E">
        <w:rPr>
          <w:rFonts w:ascii="Arial" w:hAnsi="Arial" w:cs="Arial"/>
        </w:rPr>
        <w:t>focused on three fundamental factors:</w:t>
      </w:r>
      <w:r w:rsidRPr="00091F11">
        <w:rPr>
          <w:rFonts w:ascii="Arial" w:hAnsi="Arial" w:cs="Arial"/>
        </w:rPr>
        <w:t xml:space="preserve"> the significance of real estate project development in both the developed and emerging economies: the development funding shortage</w:t>
      </w:r>
      <w:r w:rsidR="00B9524E">
        <w:rPr>
          <w:rFonts w:ascii="Arial" w:hAnsi="Arial" w:cs="Arial"/>
        </w:rPr>
        <w:t>,</w:t>
      </w:r>
      <w:r w:rsidRPr="00091F11">
        <w:rPr>
          <w:rFonts w:ascii="Arial" w:hAnsi="Arial" w:cs="Arial"/>
        </w:rPr>
        <w:t xml:space="preserve"> and the existing research gap.</w:t>
      </w:r>
    </w:p>
    <w:p w14:paraId="30B07E8F" w14:textId="2FB903F6" w:rsidR="00C20B8A" w:rsidRPr="00091F11" w:rsidRDefault="00C20B8A" w:rsidP="00C20B8A">
      <w:pPr>
        <w:spacing w:line="360" w:lineRule="auto"/>
        <w:jc w:val="both"/>
        <w:rPr>
          <w:rFonts w:ascii="Arial" w:hAnsi="Arial" w:cs="Arial"/>
        </w:rPr>
      </w:pPr>
      <w:r w:rsidRPr="00091F11">
        <w:rPr>
          <w:rFonts w:ascii="Arial" w:hAnsi="Arial" w:cs="Arial"/>
        </w:rPr>
        <w:t xml:space="preserve">This chapter also established the statement of the research problem. The research problem is focused on </w:t>
      </w:r>
      <w:r w:rsidR="005766F7">
        <w:rPr>
          <w:rFonts w:ascii="Arial" w:hAnsi="Arial" w:cs="Arial"/>
        </w:rPr>
        <w:t>some</w:t>
      </w:r>
      <w:r w:rsidRPr="00091F11">
        <w:rPr>
          <w:rFonts w:ascii="Arial" w:hAnsi="Arial" w:cs="Arial"/>
        </w:rPr>
        <w:t xml:space="preserve"> areas</w:t>
      </w:r>
      <w:r w:rsidR="00842130">
        <w:rPr>
          <w:rFonts w:ascii="Arial" w:hAnsi="Arial" w:cs="Arial"/>
        </w:rPr>
        <w:t>,</w:t>
      </w:r>
      <w:r w:rsidRPr="00091F11">
        <w:rPr>
          <w:rFonts w:ascii="Arial" w:hAnsi="Arial" w:cs="Arial"/>
        </w:rPr>
        <w:t xml:space="preserve"> which includes the following:</w:t>
      </w:r>
    </w:p>
    <w:p w14:paraId="7DF3F462" w14:textId="77777777" w:rsidR="00C20B8A" w:rsidRPr="00091F11" w:rsidRDefault="00C20B8A" w:rsidP="007625E7">
      <w:pPr>
        <w:pStyle w:val="ListParagraph"/>
        <w:numPr>
          <w:ilvl w:val="0"/>
          <w:numId w:val="393"/>
        </w:numPr>
        <w:spacing w:line="360" w:lineRule="auto"/>
        <w:jc w:val="both"/>
        <w:rPr>
          <w:rFonts w:ascii="Arial" w:hAnsi="Arial" w:cs="Arial"/>
        </w:rPr>
      </w:pPr>
      <w:r w:rsidRPr="00091F11">
        <w:rPr>
          <w:rFonts w:ascii="Arial" w:hAnsi="Arial" w:cs="Arial"/>
        </w:rPr>
        <w:lastRenderedPageBreak/>
        <w:t>the real estate supply and demand gaps in both the developed and the emerging economies</w:t>
      </w:r>
    </w:p>
    <w:p w14:paraId="12F35BE6" w14:textId="77777777" w:rsidR="00C20B8A" w:rsidRPr="00091F11" w:rsidRDefault="00C20B8A" w:rsidP="007625E7">
      <w:pPr>
        <w:pStyle w:val="ListParagraph"/>
        <w:numPr>
          <w:ilvl w:val="0"/>
          <w:numId w:val="393"/>
        </w:numPr>
        <w:spacing w:line="360" w:lineRule="auto"/>
        <w:jc w:val="both"/>
        <w:rPr>
          <w:rFonts w:ascii="Arial" w:hAnsi="Arial" w:cs="Arial"/>
        </w:rPr>
      </w:pPr>
      <w:r w:rsidRPr="00091F11">
        <w:rPr>
          <w:rFonts w:ascii="Arial" w:hAnsi="Arial" w:cs="Arial"/>
        </w:rPr>
        <w:t xml:space="preserve"> the difficulties of managers to secure finance for real estate project development</w:t>
      </w:r>
    </w:p>
    <w:p w14:paraId="1D19499E" w14:textId="2E145AD9" w:rsidR="00C20B8A" w:rsidRPr="00091F11" w:rsidRDefault="00C20B8A" w:rsidP="007625E7">
      <w:pPr>
        <w:pStyle w:val="ListParagraph"/>
        <w:numPr>
          <w:ilvl w:val="0"/>
          <w:numId w:val="393"/>
        </w:numPr>
        <w:spacing w:line="360" w:lineRule="auto"/>
        <w:jc w:val="both"/>
        <w:rPr>
          <w:rFonts w:ascii="Arial" w:hAnsi="Arial" w:cs="Arial"/>
        </w:rPr>
      </w:pPr>
      <w:r w:rsidRPr="00091F11">
        <w:rPr>
          <w:rFonts w:ascii="Arial" w:hAnsi="Arial" w:cs="Arial"/>
        </w:rPr>
        <w:t>The existing research gap in skills, knowledge, competenc</w:t>
      </w:r>
      <w:r w:rsidR="00022C58">
        <w:rPr>
          <w:rFonts w:ascii="Arial" w:hAnsi="Arial" w:cs="Arial"/>
        </w:rPr>
        <w:t>es, career path, training, and education for securing real estate project development finance</w:t>
      </w:r>
      <w:r w:rsidR="008411C1" w:rsidRPr="00091F11">
        <w:rPr>
          <w:rFonts w:ascii="Arial" w:hAnsi="Arial" w:cs="Arial"/>
        </w:rPr>
        <w:t>.</w:t>
      </w:r>
      <w:r w:rsidRPr="00091F11">
        <w:rPr>
          <w:rFonts w:ascii="Arial" w:hAnsi="Arial" w:cs="Arial"/>
        </w:rPr>
        <w:t xml:space="preserve"> </w:t>
      </w:r>
    </w:p>
    <w:p w14:paraId="6E29FBAD" w14:textId="082C8E57" w:rsidR="00C20B8A" w:rsidRPr="00091F11" w:rsidRDefault="005766F7" w:rsidP="007625E7">
      <w:pPr>
        <w:pStyle w:val="ListParagraph"/>
        <w:numPr>
          <w:ilvl w:val="0"/>
          <w:numId w:val="393"/>
        </w:numPr>
        <w:spacing w:line="360" w:lineRule="auto"/>
        <w:jc w:val="both"/>
        <w:rPr>
          <w:rFonts w:ascii="Arial" w:hAnsi="Arial" w:cs="Arial"/>
        </w:rPr>
      </w:pPr>
      <w:r>
        <w:rPr>
          <w:rFonts w:ascii="Arial" w:hAnsi="Arial" w:cs="Arial"/>
        </w:rPr>
        <w:t>T</w:t>
      </w:r>
      <w:r w:rsidR="00C20B8A" w:rsidRPr="00091F11">
        <w:rPr>
          <w:rFonts w:ascii="Arial" w:hAnsi="Arial" w:cs="Arial"/>
        </w:rPr>
        <w:t xml:space="preserve">he need for a comprehensive </w:t>
      </w:r>
      <w:r w:rsidR="003D36B2">
        <w:rPr>
          <w:rFonts w:ascii="Arial" w:hAnsi="Arial" w:cs="Arial"/>
        </w:rPr>
        <w:t>model</w:t>
      </w:r>
      <w:r w:rsidR="00C20B8A" w:rsidRPr="00091F11">
        <w:rPr>
          <w:rFonts w:ascii="Arial" w:hAnsi="Arial" w:cs="Arial"/>
        </w:rPr>
        <w:t xml:space="preserve"> </w:t>
      </w:r>
      <w:r>
        <w:rPr>
          <w:rFonts w:ascii="Arial" w:hAnsi="Arial" w:cs="Arial"/>
        </w:rPr>
        <w:t>that would support</w:t>
      </w:r>
      <w:r w:rsidR="00C20B8A" w:rsidRPr="00091F11">
        <w:rPr>
          <w:rFonts w:ascii="Arial" w:hAnsi="Arial" w:cs="Arial"/>
        </w:rPr>
        <w:t xml:space="preserve"> the manager in securing finance for real estate project development.</w:t>
      </w:r>
    </w:p>
    <w:p w14:paraId="7F9AC801" w14:textId="0F649B5B" w:rsidR="00C20B8A" w:rsidRDefault="00C20B8A" w:rsidP="00C20B8A">
      <w:pPr>
        <w:spacing w:line="360" w:lineRule="auto"/>
        <w:jc w:val="both"/>
        <w:rPr>
          <w:rFonts w:ascii="Arial" w:hAnsi="Arial" w:cs="Arial"/>
        </w:rPr>
      </w:pPr>
      <w:r w:rsidRPr="00091F11">
        <w:rPr>
          <w:rFonts w:ascii="Arial" w:hAnsi="Arial" w:cs="Arial"/>
        </w:rPr>
        <w:t>Furthermore,</w:t>
      </w:r>
      <w:r w:rsidR="004B1F54">
        <w:rPr>
          <w:rFonts w:ascii="Arial" w:hAnsi="Arial" w:cs="Arial"/>
        </w:rPr>
        <w:t xml:space="preserve"> t</w:t>
      </w:r>
      <w:r w:rsidRPr="00091F11">
        <w:rPr>
          <w:rFonts w:ascii="Arial" w:hAnsi="Arial" w:cs="Arial"/>
        </w:rPr>
        <w:t xml:space="preserve">he chapter also presents the </w:t>
      </w:r>
      <w:r w:rsidR="00842130">
        <w:rPr>
          <w:rFonts w:ascii="Arial" w:hAnsi="Arial" w:cs="Arial"/>
        </w:rPr>
        <w:t>research's scope and limitations</w:t>
      </w:r>
      <w:r w:rsidRPr="00091F11">
        <w:rPr>
          <w:rFonts w:ascii="Arial" w:hAnsi="Arial" w:cs="Arial"/>
        </w:rPr>
        <w:t>, an outline of the research methodology</w:t>
      </w:r>
      <w:r w:rsidR="005766F7">
        <w:rPr>
          <w:rFonts w:ascii="Arial" w:hAnsi="Arial" w:cs="Arial"/>
        </w:rPr>
        <w:t>, and the thesis structure</w:t>
      </w:r>
      <w:r w:rsidRPr="00091F11">
        <w:rPr>
          <w:rFonts w:ascii="Arial" w:hAnsi="Arial" w:cs="Arial"/>
        </w:rPr>
        <w:t>.</w:t>
      </w:r>
      <w:r w:rsidR="003F7607">
        <w:rPr>
          <w:rFonts w:ascii="Arial" w:hAnsi="Arial" w:cs="Arial"/>
        </w:rPr>
        <w:t xml:space="preserve"> The next chapter discusses the real estate market in the developed and emerging economies covered in this study</w:t>
      </w:r>
      <w:r w:rsidR="009842EE">
        <w:rPr>
          <w:rFonts w:ascii="Arial" w:hAnsi="Arial" w:cs="Arial"/>
        </w:rPr>
        <w:t xml:space="preserve"> based on </w:t>
      </w:r>
      <w:r w:rsidR="003268B8">
        <w:rPr>
          <w:rFonts w:ascii="Arial" w:hAnsi="Arial" w:cs="Arial"/>
        </w:rPr>
        <w:t xml:space="preserve">a </w:t>
      </w:r>
      <w:r w:rsidR="009842EE">
        <w:rPr>
          <w:rFonts w:ascii="Arial" w:hAnsi="Arial" w:cs="Arial"/>
        </w:rPr>
        <w:t xml:space="preserve">review of </w:t>
      </w:r>
      <w:r w:rsidR="003268B8">
        <w:rPr>
          <w:rFonts w:ascii="Arial" w:hAnsi="Arial" w:cs="Arial"/>
        </w:rPr>
        <w:t xml:space="preserve">the </w:t>
      </w:r>
      <w:r w:rsidR="009842EE">
        <w:rPr>
          <w:rFonts w:ascii="Arial" w:hAnsi="Arial" w:cs="Arial"/>
        </w:rPr>
        <w:t>literature.</w:t>
      </w:r>
    </w:p>
    <w:p w14:paraId="21A8B2F3" w14:textId="6A129392" w:rsidR="00B5365B" w:rsidRDefault="00B5365B" w:rsidP="00C20B8A">
      <w:pPr>
        <w:spacing w:line="360" w:lineRule="auto"/>
        <w:jc w:val="both"/>
        <w:rPr>
          <w:rFonts w:ascii="Arial" w:hAnsi="Arial" w:cs="Arial"/>
        </w:rPr>
      </w:pPr>
    </w:p>
    <w:p w14:paraId="65B42998" w14:textId="5950F1E1" w:rsidR="00B5365B" w:rsidRDefault="00B5365B" w:rsidP="00C20B8A">
      <w:pPr>
        <w:spacing w:line="360" w:lineRule="auto"/>
        <w:jc w:val="both"/>
        <w:rPr>
          <w:rFonts w:ascii="Arial" w:hAnsi="Arial" w:cs="Arial"/>
        </w:rPr>
      </w:pPr>
    </w:p>
    <w:p w14:paraId="115C2566" w14:textId="74F9F6F1" w:rsidR="00B5365B" w:rsidRDefault="00B5365B" w:rsidP="00C20B8A">
      <w:pPr>
        <w:spacing w:line="360" w:lineRule="auto"/>
        <w:jc w:val="both"/>
        <w:rPr>
          <w:rFonts w:ascii="Arial" w:hAnsi="Arial" w:cs="Arial"/>
        </w:rPr>
      </w:pPr>
    </w:p>
    <w:p w14:paraId="3483601B" w14:textId="3D0DA755" w:rsidR="00B5365B" w:rsidRDefault="00B5365B" w:rsidP="00C20B8A">
      <w:pPr>
        <w:spacing w:line="360" w:lineRule="auto"/>
        <w:jc w:val="both"/>
        <w:rPr>
          <w:rFonts w:ascii="Arial" w:hAnsi="Arial" w:cs="Arial"/>
        </w:rPr>
      </w:pPr>
    </w:p>
    <w:p w14:paraId="4FD92F82" w14:textId="49FB22EC" w:rsidR="00B5365B" w:rsidRDefault="00B5365B" w:rsidP="00C20B8A">
      <w:pPr>
        <w:spacing w:line="360" w:lineRule="auto"/>
        <w:jc w:val="both"/>
        <w:rPr>
          <w:rFonts w:ascii="Arial" w:hAnsi="Arial" w:cs="Arial"/>
        </w:rPr>
      </w:pPr>
    </w:p>
    <w:p w14:paraId="42778F40" w14:textId="06293557" w:rsidR="00B5365B" w:rsidRDefault="00B5365B" w:rsidP="00C20B8A">
      <w:pPr>
        <w:spacing w:line="360" w:lineRule="auto"/>
        <w:jc w:val="both"/>
        <w:rPr>
          <w:rFonts w:ascii="Arial" w:hAnsi="Arial" w:cs="Arial"/>
        </w:rPr>
      </w:pPr>
    </w:p>
    <w:p w14:paraId="75EFF815" w14:textId="01D94989" w:rsidR="00B5365B" w:rsidRDefault="00B5365B" w:rsidP="00C20B8A">
      <w:pPr>
        <w:spacing w:line="360" w:lineRule="auto"/>
        <w:jc w:val="both"/>
        <w:rPr>
          <w:rFonts w:ascii="Arial" w:hAnsi="Arial" w:cs="Arial"/>
        </w:rPr>
      </w:pPr>
    </w:p>
    <w:p w14:paraId="07E6B71C" w14:textId="1CE11861" w:rsidR="00B5365B" w:rsidRDefault="00B5365B" w:rsidP="00C20B8A">
      <w:pPr>
        <w:spacing w:line="360" w:lineRule="auto"/>
        <w:jc w:val="both"/>
        <w:rPr>
          <w:rFonts w:ascii="Arial" w:hAnsi="Arial" w:cs="Arial"/>
        </w:rPr>
      </w:pPr>
    </w:p>
    <w:p w14:paraId="0271135E" w14:textId="6BC3318A" w:rsidR="00B5365B" w:rsidRDefault="00B5365B" w:rsidP="00C20B8A">
      <w:pPr>
        <w:spacing w:line="360" w:lineRule="auto"/>
        <w:jc w:val="both"/>
        <w:rPr>
          <w:rFonts w:ascii="Arial" w:hAnsi="Arial" w:cs="Arial"/>
        </w:rPr>
      </w:pPr>
    </w:p>
    <w:p w14:paraId="3A5075A4" w14:textId="7D9B6EC2" w:rsidR="00B5365B" w:rsidRDefault="00B5365B" w:rsidP="00C20B8A">
      <w:pPr>
        <w:spacing w:line="360" w:lineRule="auto"/>
        <w:jc w:val="both"/>
        <w:rPr>
          <w:rFonts w:ascii="Arial" w:hAnsi="Arial" w:cs="Arial"/>
        </w:rPr>
      </w:pPr>
    </w:p>
    <w:p w14:paraId="4EF4FA12" w14:textId="50D6AA77" w:rsidR="00B5365B" w:rsidRDefault="00B5365B" w:rsidP="00C20B8A">
      <w:pPr>
        <w:spacing w:line="360" w:lineRule="auto"/>
        <w:jc w:val="both"/>
        <w:rPr>
          <w:rFonts w:ascii="Arial" w:hAnsi="Arial" w:cs="Arial"/>
        </w:rPr>
      </w:pPr>
    </w:p>
    <w:p w14:paraId="565680BA" w14:textId="4956FB54" w:rsidR="00B5365B" w:rsidRDefault="00B5365B" w:rsidP="00C20B8A">
      <w:pPr>
        <w:spacing w:line="360" w:lineRule="auto"/>
        <w:jc w:val="both"/>
        <w:rPr>
          <w:rFonts w:ascii="Arial" w:hAnsi="Arial" w:cs="Arial"/>
        </w:rPr>
      </w:pPr>
    </w:p>
    <w:p w14:paraId="28F4B084" w14:textId="5274DC9C" w:rsidR="00B5365B" w:rsidRDefault="00B5365B" w:rsidP="00C20B8A">
      <w:pPr>
        <w:spacing w:line="360" w:lineRule="auto"/>
        <w:jc w:val="both"/>
        <w:rPr>
          <w:rFonts w:ascii="Arial" w:hAnsi="Arial" w:cs="Arial"/>
        </w:rPr>
      </w:pPr>
    </w:p>
    <w:p w14:paraId="68403C63" w14:textId="77777777" w:rsidR="0046234E" w:rsidRDefault="0046234E" w:rsidP="00C20B8A">
      <w:pPr>
        <w:spacing w:line="360" w:lineRule="auto"/>
        <w:jc w:val="both"/>
        <w:rPr>
          <w:rFonts w:ascii="Arial" w:hAnsi="Arial" w:cs="Arial"/>
        </w:rPr>
      </w:pPr>
    </w:p>
    <w:p w14:paraId="0AE8AC7F" w14:textId="77777777" w:rsidR="00B5365B" w:rsidRDefault="00B5365B" w:rsidP="00C20B8A">
      <w:pPr>
        <w:spacing w:line="360" w:lineRule="auto"/>
        <w:jc w:val="both"/>
        <w:rPr>
          <w:rFonts w:ascii="Arial" w:hAnsi="Arial" w:cs="Arial"/>
        </w:rPr>
      </w:pPr>
    </w:p>
    <w:p w14:paraId="29430D19" w14:textId="51902B08" w:rsidR="00CD6352" w:rsidRPr="00A0077B" w:rsidRDefault="00B346A4" w:rsidP="00CD6352">
      <w:pPr>
        <w:pStyle w:val="Heading1"/>
        <w:rPr>
          <w:sz w:val="22"/>
          <w:szCs w:val="22"/>
        </w:rPr>
      </w:pPr>
      <w:bookmarkStart w:id="479" w:name="_Toc78983775"/>
      <w:r>
        <w:rPr>
          <w:sz w:val="22"/>
          <w:szCs w:val="22"/>
        </w:rPr>
        <w:lastRenderedPageBreak/>
        <w:t>The</w:t>
      </w:r>
      <w:r w:rsidR="00CD6352" w:rsidRPr="00A0077B">
        <w:rPr>
          <w:sz w:val="22"/>
          <w:szCs w:val="22"/>
        </w:rPr>
        <w:t xml:space="preserve"> Real Estate Market in Developed Economies and Emerging Economies</w:t>
      </w:r>
      <w:r w:rsidR="007323C1">
        <w:rPr>
          <w:sz w:val="22"/>
          <w:szCs w:val="22"/>
        </w:rPr>
        <w:t>-</w:t>
      </w:r>
      <w:r>
        <w:rPr>
          <w:sz w:val="22"/>
          <w:szCs w:val="22"/>
        </w:rPr>
        <w:t xml:space="preserve"> Literature review 1</w:t>
      </w:r>
      <w:r w:rsidR="00CD6352" w:rsidRPr="00A0077B">
        <w:rPr>
          <w:sz w:val="22"/>
          <w:szCs w:val="22"/>
        </w:rPr>
        <w:t>.</w:t>
      </w:r>
      <w:bookmarkEnd w:id="479"/>
      <w:r w:rsidR="00CD6352" w:rsidRPr="00A0077B">
        <w:rPr>
          <w:sz w:val="22"/>
          <w:szCs w:val="22"/>
        </w:rPr>
        <w:t xml:space="preserve"> </w:t>
      </w:r>
    </w:p>
    <w:p w14:paraId="0C5A4C15" w14:textId="77777777" w:rsidR="00CD6352" w:rsidRPr="00A0077B" w:rsidRDefault="00CD6352" w:rsidP="00CD6352">
      <w:pPr>
        <w:pStyle w:val="Heading2"/>
        <w:rPr>
          <w:sz w:val="22"/>
          <w:szCs w:val="22"/>
        </w:rPr>
      </w:pPr>
      <w:bookmarkStart w:id="480" w:name="_Toc78983776"/>
      <w:r w:rsidRPr="00A0077B">
        <w:rPr>
          <w:sz w:val="22"/>
          <w:szCs w:val="22"/>
        </w:rPr>
        <w:t>Introduction / Research context</w:t>
      </w:r>
      <w:bookmarkEnd w:id="480"/>
      <w:r w:rsidRPr="00A0077B">
        <w:rPr>
          <w:sz w:val="22"/>
          <w:szCs w:val="22"/>
        </w:rPr>
        <w:t xml:space="preserve"> </w:t>
      </w:r>
    </w:p>
    <w:p w14:paraId="7F25667D" w14:textId="15B17C67" w:rsidR="00CD6352" w:rsidRPr="00A0077B" w:rsidRDefault="00CD6352" w:rsidP="00CD6352">
      <w:pPr>
        <w:spacing w:after="0" w:line="360" w:lineRule="auto"/>
        <w:jc w:val="both"/>
        <w:rPr>
          <w:rFonts w:ascii="Arial" w:hAnsi="Arial" w:cs="Arial"/>
        </w:rPr>
      </w:pPr>
      <w:r w:rsidRPr="00A0077B">
        <w:rPr>
          <w:rFonts w:ascii="Arial" w:hAnsi="Arial" w:cs="Arial"/>
        </w:rPr>
        <w:t>This chapter provides an overview of the developed economies</w:t>
      </w:r>
      <w:r w:rsidR="00E748B6">
        <w:rPr>
          <w:rFonts w:ascii="Arial" w:hAnsi="Arial" w:cs="Arial"/>
        </w:rPr>
        <w:t xml:space="preserve"> of </w:t>
      </w:r>
      <w:r w:rsidRPr="00A0077B">
        <w:rPr>
          <w:rFonts w:ascii="Arial" w:hAnsi="Arial" w:cs="Arial"/>
        </w:rPr>
        <w:t xml:space="preserve"> Germany, the United Kingdom, the United States</w:t>
      </w:r>
      <w:r w:rsidR="00960DA7">
        <w:rPr>
          <w:rFonts w:ascii="Arial" w:hAnsi="Arial" w:cs="Arial"/>
        </w:rPr>
        <w:t>,</w:t>
      </w:r>
      <w:r w:rsidRPr="00A0077B">
        <w:rPr>
          <w:rFonts w:ascii="Arial" w:hAnsi="Arial" w:cs="Arial"/>
        </w:rPr>
        <w:t xml:space="preserve"> and the emerging economies of China, Nigeria, South Africa</w:t>
      </w:r>
      <w:r w:rsidR="00960DA7">
        <w:rPr>
          <w:rFonts w:ascii="Arial" w:hAnsi="Arial" w:cs="Arial"/>
        </w:rPr>
        <w:t>,</w:t>
      </w:r>
      <w:r w:rsidRPr="00A0077B">
        <w:rPr>
          <w:rFonts w:ascii="Arial" w:hAnsi="Arial" w:cs="Arial"/>
        </w:rPr>
        <w:t xml:space="preserve"> and their real estate sectors.  It also discusses some of the factors that affect these markets</w:t>
      </w:r>
      <w:r w:rsidR="00022C58">
        <w:rPr>
          <w:rFonts w:ascii="Arial" w:hAnsi="Arial" w:cs="Arial"/>
        </w:rPr>
        <w:t>,</w:t>
      </w:r>
      <w:r w:rsidRPr="00A0077B">
        <w:rPr>
          <w:rFonts w:ascii="Arial" w:hAnsi="Arial" w:cs="Arial"/>
        </w:rPr>
        <w:t xml:space="preserve"> respectively</w:t>
      </w:r>
      <w:r w:rsidR="00AD40B8">
        <w:rPr>
          <w:rFonts w:ascii="Arial" w:hAnsi="Arial" w:cs="Arial"/>
        </w:rPr>
        <w:t>,</w:t>
      </w:r>
      <w:r w:rsidRPr="00A0077B">
        <w:rPr>
          <w:rFonts w:ascii="Arial" w:hAnsi="Arial" w:cs="Arial"/>
        </w:rPr>
        <w:t xml:space="preserve"> and the sources of finance they use for real estate project development based on the </w:t>
      </w:r>
      <w:r w:rsidR="008441E6">
        <w:rPr>
          <w:rFonts w:ascii="Arial" w:hAnsi="Arial" w:cs="Arial"/>
        </w:rPr>
        <w:t>literature review</w:t>
      </w:r>
      <w:r w:rsidRPr="00A0077B">
        <w:rPr>
          <w:rFonts w:ascii="Arial" w:hAnsi="Arial" w:cs="Arial"/>
        </w:rPr>
        <w:t>.</w:t>
      </w:r>
      <w:r w:rsidR="00E748B6">
        <w:rPr>
          <w:rFonts w:ascii="Arial" w:hAnsi="Arial" w:cs="Arial"/>
        </w:rPr>
        <w:t xml:space="preserve"> The research is fundamentally a case study</w:t>
      </w:r>
      <w:r w:rsidR="00022C58">
        <w:rPr>
          <w:rFonts w:ascii="Arial" w:hAnsi="Arial" w:cs="Arial"/>
        </w:rPr>
        <w:t>;</w:t>
      </w:r>
      <w:r w:rsidR="00E748B6">
        <w:rPr>
          <w:rFonts w:ascii="Arial" w:hAnsi="Arial" w:cs="Arial"/>
        </w:rPr>
        <w:t xml:space="preserve"> consequently</w:t>
      </w:r>
      <w:r w:rsidR="00356897">
        <w:rPr>
          <w:rFonts w:ascii="Arial" w:hAnsi="Arial" w:cs="Arial"/>
        </w:rPr>
        <w:t>,</w:t>
      </w:r>
      <w:r w:rsidR="00E748B6">
        <w:rPr>
          <w:rFonts w:ascii="Arial" w:hAnsi="Arial" w:cs="Arial"/>
        </w:rPr>
        <w:t xml:space="preserve"> the focus would be on the selected economies.</w:t>
      </w:r>
      <w:r w:rsidR="009B0876">
        <w:rPr>
          <w:rFonts w:ascii="Arial" w:hAnsi="Arial" w:cs="Arial"/>
        </w:rPr>
        <w:t xml:space="preserve"> Furthermore, the review of literature in chapter 2 and 3 provided a platform to determine the gap in knowledge and the need for a framework to </w:t>
      </w:r>
      <w:r w:rsidR="009B0876" w:rsidRPr="008F17EF">
        <w:rPr>
          <w:rFonts w:ascii="Arial" w:hAnsi="Arial" w:cs="Arial"/>
        </w:rPr>
        <w:t xml:space="preserve">support managers involved in securing finance for real estate project development (see chapter </w:t>
      </w:r>
      <w:r w:rsidR="008F17EF" w:rsidRPr="007625E7">
        <w:rPr>
          <w:rFonts w:ascii="Arial" w:hAnsi="Arial" w:cs="Arial"/>
        </w:rPr>
        <w:t>3.9.3</w:t>
      </w:r>
      <w:r w:rsidR="009B0876" w:rsidRPr="008F17EF">
        <w:rPr>
          <w:rFonts w:ascii="Arial" w:hAnsi="Arial" w:cs="Arial"/>
        </w:rPr>
        <w:t xml:space="preserve"> and 4.3.2).</w:t>
      </w:r>
      <w:r w:rsidR="009B0876">
        <w:rPr>
          <w:rFonts w:ascii="Arial" w:hAnsi="Arial" w:cs="Arial"/>
        </w:rPr>
        <w:t xml:space="preserve"> </w:t>
      </w:r>
    </w:p>
    <w:p w14:paraId="58D9D7B3" w14:textId="6B2A9391" w:rsidR="00CD6352" w:rsidRPr="00A0077B" w:rsidRDefault="00CD6352" w:rsidP="00CD6352">
      <w:pPr>
        <w:pStyle w:val="Heading2"/>
        <w:spacing w:line="360" w:lineRule="auto"/>
        <w:rPr>
          <w:sz w:val="22"/>
          <w:szCs w:val="22"/>
        </w:rPr>
      </w:pPr>
      <w:bookmarkStart w:id="481" w:name="_Toc78983777"/>
      <w:r w:rsidRPr="00A0077B">
        <w:rPr>
          <w:sz w:val="22"/>
          <w:szCs w:val="22"/>
        </w:rPr>
        <w:t xml:space="preserve">The real estate market in developed/ matured </w:t>
      </w:r>
      <w:r w:rsidR="00675BBE" w:rsidRPr="00A0077B">
        <w:rPr>
          <w:sz w:val="22"/>
          <w:szCs w:val="22"/>
        </w:rPr>
        <w:t>economies.</w:t>
      </w:r>
      <w:bookmarkEnd w:id="481"/>
    </w:p>
    <w:p w14:paraId="3834C578" w14:textId="591E60D0" w:rsidR="00CD6352" w:rsidRPr="00EA7665" w:rsidRDefault="00CD6352" w:rsidP="00CD6352">
      <w:pPr>
        <w:spacing w:after="0" w:line="360" w:lineRule="auto"/>
        <w:jc w:val="both"/>
        <w:rPr>
          <w:rFonts w:ascii="Arial" w:hAnsi="Arial" w:cs="Arial"/>
        </w:rPr>
      </w:pPr>
      <w:r w:rsidRPr="00A0077B">
        <w:rPr>
          <w:rFonts w:ascii="Arial" w:hAnsi="Arial" w:cs="Arial"/>
        </w:rPr>
        <w:t xml:space="preserve">The economic indicators show that the US, UK and Germany have been enjoying buoyant economies since the 2008 global financial crisis and are </w:t>
      </w:r>
      <w:r w:rsidR="00665AC5">
        <w:rPr>
          <w:rFonts w:ascii="Arial" w:hAnsi="Arial" w:cs="Arial"/>
        </w:rPr>
        <w:t>more conducive to</w:t>
      </w:r>
      <w:r w:rsidRPr="00A0077B">
        <w:rPr>
          <w:rFonts w:ascii="Arial" w:hAnsi="Arial" w:cs="Arial"/>
        </w:rPr>
        <w:t xml:space="preserve"> attracting international investors (the trading economics, 2019). According to Parsa et al.</w:t>
      </w:r>
      <w:r w:rsidRPr="00675BBE">
        <w:rPr>
          <w:rFonts w:ascii="Arial" w:hAnsi="Arial" w:cs="Arial"/>
        </w:rPr>
        <w:t xml:space="preserve"> (1999), these three countries have a dominant presence of international banks and </w:t>
      </w:r>
      <w:r w:rsidR="00665AC5">
        <w:rPr>
          <w:rFonts w:ascii="Arial" w:hAnsi="Arial" w:cs="Arial"/>
        </w:rPr>
        <w:t>various</w:t>
      </w:r>
      <w:r w:rsidRPr="00675BBE">
        <w:rPr>
          <w:rFonts w:ascii="Arial" w:hAnsi="Arial" w:cs="Arial"/>
        </w:rPr>
        <w:t xml:space="preserve"> finance sources for real estate project development</w:t>
      </w:r>
      <w:r w:rsidRPr="00EA7665">
        <w:rPr>
          <w:rFonts w:ascii="Arial" w:hAnsi="Arial" w:cs="Arial"/>
        </w:rPr>
        <w:t>. Notably, London in the United Kingdom is the global capital of the financial markets. The dominance of international players in the</w:t>
      </w:r>
      <w:r w:rsidR="008441E6">
        <w:rPr>
          <w:rFonts w:ascii="Arial" w:hAnsi="Arial" w:cs="Arial"/>
        </w:rPr>
        <w:t>se countries' real estate sector</w:t>
      </w:r>
      <w:r w:rsidR="00022C58">
        <w:rPr>
          <w:rFonts w:ascii="Arial" w:hAnsi="Arial" w:cs="Arial"/>
        </w:rPr>
        <w:t>s has imposed a very high degree of professional service delivery compared to other world regions</w:t>
      </w:r>
      <w:r>
        <w:rPr>
          <w:rFonts w:ascii="Arial" w:hAnsi="Arial" w:cs="Arial"/>
        </w:rPr>
        <w:t>. Furthermore, t</w:t>
      </w:r>
      <w:r w:rsidRPr="00EA7665">
        <w:rPr>
          <w:rFonts w:ascii="Arial" w:hAnsi="Arial" w:cs="Arial"/>
        </w:rPr>
        <w:t xml:space="preserve">heir governments can influence the supply conditions of key production factors, demand conditions in the home market and competition between firms (Lynn &amp; Wang, 2010). </w:t>
      </w:r>
    </w:p>
    <w:p w14:paraId="5B886575" w14:textId="77777777" w:rsidR="00CD6352" w:rsidRPr="00EA7665" w:rsidRDefault="00CD6352" w:rsidP="00CD6352">
      <w:pPr>
        <w:spacing w:after="0" w:line="360" w:lineRule="auto"/>
        <w:jc w:val="both"/>
        <w:rPr>
          <w:rFonts w:ascii="Arial" w:hAnsi="Arial" w:cs="Arial"/>
        </w:rPr>
      </w:pPr>
    </w:p>
    <w:p w14:paraId="1AA923AE" w14:textId="64E46413" w:rsidR="00CD6352" w:rsidRPr="00EA7665" w:rsidRDefault="00CD6352" w:rsidP="00CD6352">
      <w:pPr>
        <w:spacing w:line="360" w:lineRule="auto"/>
        <w:jc w:val="both"/>
        <w:rPr>
          <w:rFonts w:ascii="Arial" w:hAnsi="Arial" w:cs="Arial"/>
        </w:rPr>
      </w:pPr>
      <w:r w:rsidRPr="00EA7665">
        <w:rPr>
          <w:rFonts w:ascii="Arial" w:hAnsi="Arial" w:cs="Arial"/>
        </w:rPr>
        <w:t xml:space="preserve">The three selected developed economies </w:t>
      </w:r>
      <w:r w:rsidR="00DC3577" w:rsidRPr="00EA7665">
        <w:rPr>
          <w:rFonts w:ascii="Arial" w:hAnsi="Arial" w:cs="Arial"/>
        </w:rPr>
        <w:t>are members</w:t>
      </w:r>
      <w:r w:rsidRPr="00EA7665">
        <w:rPr>
          <w:rFonts w:ascii="Arial" w:hAnsi="Arial" w:cs="Arial"/>
        </w:rPr>
        <w:t xml:space="preserve"> of the G-7 nations</w:t>
      </w:r>
      <w:r w:rsidR="006D6ECF">
        <w:rPr>
          <w:rFonts w:ascii="Arial" w:hAnsi="Arial" w:cs="Arial"/>
        </w:rPr>
        <w:t>.  They are mature and transparent markets; they have high-quality legal systems and are the world's most internationalized real estate markets. They have robust macro-economic environments (Hatemi et al., 2016). All the G - 7 countries apart from Japan have experienced increasing housing prices because of the generally favo</w:t>
      </w:r>
      <w:r w:rsidR="00D158C1">
        <w:rPr>
          <w:rFonts w:ascii="Arial" w:hAnsi="Arial" w:cs="Arial"/>
        </w:rPr>
        <w:t>u</w:t>
      </w:r>
      <w:r w:rsidR="006D6ECF">
        <w:rPr>
          <w:rFonts w:ascii="Arial" w:hAnsi="Arial" w:cs="Arial"/>
        </w:rPr>
        <w:t>rable macro-economic conditions</w:t>
      </w:r>
      <w:r w:rsidR="00B50E4E">
        <w:rPr>
          <w:rFonts w:ascii="Arial" w:hAnsi="Arial" w:cs="Arial"/>
        </w:rPr>
        <w:t>.</w:t>
      </w:r>
    </w:p>
    <w:p w14:paraId="65CA8C72" w14:textId="1698FAF8" w:rsidR="00CD6352" w:rsidRPr="00EA7665" w:rsidRDefault="00D45B9C" w:rsidP="00CD6352">
      <w:pPr>
        <w:pStyle w:val="Heading3"/>
        <w:spacing w:after="240"/>
        <w:rPr>
          <w:sz w:val="22"/>
          <w:szCs w:val="22"/>
        </w:rPr>
      </w:pPr>
      <w:bookmarkStart w:id="482" w:name="_Hlk75550659"/>
      <w:bookmarkStart w:id="483" w:name="_Toc78983778"/>
      <w:r>
        <w:rPr>
          <w:sz w:val="22"/>
          <w:szCs w:val="22"/>
        </w:rPr>
        <w:t>A review of literature</w:t>
      </w:r>
      <w:r w:rsidR="00CD6352" w:rsidRPr="00EA7665">
        <w:rPr>
          <w:sz w:val="22"/>
          <w:szCs w:val="22"/>
        </w:rPr>
        <w:t xml:space="preserve"> </w:t>
      </w:r>
      <w:r>
        <w:rPr>
          <w:sz w:val="22"/>
          <w:szCs w:val="22"/>
        </w:rPr>
        <w:t xml:space="preserve">focused </w:t>
      </w:r>
      <w:r w:rsidR="00CD6352" w:rsidRPr="00EA7665">
        <w:rPr>
          <w:sz w:val="22"/>
          <w:szCs w:val="22"/>
        </w:rPr>
        <w:t xml:space="preserve">on the </w:t>
      </w:r>
      <w:bookmarkEnd w:id="482"/>
      <w:r w:rsidR="00CD6352" w:rsidRPr="00EA7665">
        <w:rPr>
          <w:sz w:val="22"/>
          <w:szCs w:val="22"/>
        </w:rPr>
        <w:t>German real estate market</w:t>
      </w:r>
      <w:bookmarkEnd w:id="483"/>
    </w:p>
    <w:p w14:paraId="267AE122" w14:textId="43611498" w:rsidR="00CD6352" w:rsidRPr="00EA7665" w:rsidRDefault="00CD6352" w:rsidP="00CD6352">
      <w:pPr>
        <w:spacing w:line="360" w:lineRule="auto"/>
        <w:jc w:val="both"/>
        <w:rPr>
          <w:rFonts w:ascii="Arial" w:hAnsi="Arial" w:cs="Arial"/>
        </w:rPr>
      </w:pPr>
      <w:r w:rsidRPr="00EA7665">
        <w:rPr>
          <w:rFonts w:ascii="Arial" w:hAnsi="Arial" w:cs="Arial"/>
        </w:rPr>
        <w:t>Germany is Europe’s largest economy, ranked 4th in the World (Schulte, 2012). Berlin, Hamburg, Munich, Cologne, Frankfurt, Dusseldorf</w:t>
      </w:r>
      <w:r w:rsidR="00960DA7">
        <w:rPr>
          <w:rFonts w:ascii="Arial" w:hAnsi="Arial" w:cs="Arial"/>
        </w:rPr>
        <w:t>,</w:t>
      </w:r>
      <w:r w:rsidRPr="00EA7665">
        <w:rPr>
          <w:rFonts w:ascii="Arial" w:hAnsi="Arial" w:cs="Arial"/>
        </w:rPr>
        <w:t xml:space="preserve"> and Stuttgart are known as the 7- big German cities and the most liquid for real estate project transactions (Barkham, 2012). The German real estate market is very attractive globally, and investors see it as a “safe haven”</w:t>
      </w:r>
      <w:r w:rsidR="006D620C">
        <w:rPr>
          <w:rFonts w:ascii="Arial" w:hAnsi="Arial" w:cs="Arial"/>
        </w:rPr>
        <w:t>,</w:t>
      </w:r>
      <w:r w:rsidRPr="00EA7665">
        <w:rPr>
          <w:rFonts w:ascii="Arial" w:hAnsi="Arial" w:cs="Arial"/>
        </w:rPr>
        <w:t xml:space="preserve"> and decade</w:t>
      </w:r>
      <w:r w:rsidR="00960DA7">
        <w:rPr>
          <w:rFonts w:ascii="Arial" w:hAnsi="Arial" w:cs="Arial"/>
        </w:rPr>
        <w:t>s</w:t>
      </w:r>
      <w:r w:rsidRPr="00EA7665">
        <w:rPr>
          <w:rFonts w:ascii="Arial" w:hAnsi="Arial" w:cs="Arial"/>
        </w:rPr>
        <w:t xml:space="preserve">-long economic growth has helped enhance good investor perception (Fitch, 2018; Moodys, 2018). </w:t>
      </w:r>
    </w:p>
    <w:p w14:paraId="531BA885" w14:textId="4CD2E887" w:rsidR="00CD6352" w:rsidRPr="00EA7665" w:rsidRDefault="00CD6352" w:rsidP="007625E7">
      <w:pPr>
        <w:spacing w:after="0" w:line="360" w:lineRule="auto"/>
        <w:jc w:val="both"/>
        <w:rPr>
          <w:rFonts w:ascii="Arial" w:hAnsi="Arial" w:cs="Arial"/>
        </w:rPr>
      </w:pPr>
      <w:r w:rsidRPr="00EA7665">
        <w:rPr>
          <w:rFonts w:ascii="Arial" w:hAnsi="Arial" w:cs="Arial"/>
        </w:rPr>
        <w:lastRenderedPageBreak/>
        <w:t>The value of real estate assets in Germany is approximately 12.96 trillion euros</w:t>
      </w:r>
      <w:r w:rsidR="00B50E4E">
        <w:rPr>
          <w:rFonts w:ascii="Arial" w:hAnsi="Arial" w:cs="Arial"/>
        </w:rPr>
        <w:t>,</w:t>
      </w:r>
      <w:r w:rsidRPr="00EA7665">
        <w:rPr>
          <w:rFonts w:ascii="Arial" w:hAnsi="Arial" w:cs="Arial"/>
        </w:rPr>
        <w:t xml:space="preserve"> while the gross domestic product is 2.9 trillion euros</w:t>
      </w:r>
      <w:r>
        <w:rPr>
          <w:rFonts w:ascii="Arial" w:hAnsi="Arial" w:cs="Arial"/>
        </w:rPr>
        <w:t>.</w:t>
      </w:r>
      <w:r w:rsidRPr="00EA7665">
        <w:rPr>
          <w:rFonts w:ascii="Arial" w:hAnsi="Arial" w:cs="Arial"/>
        </w:rPr>
        <w:t xml:space="preserve"> </w:t>
      </w:r>
      <w:r>
        <w:rPr>
          <w:rFonts w:ascii="Arial" w:hAnsi="Arial" w:cs="Arial"/>
        </w:rPr>
        <w:t>The</w:t>
      </w:r>
      <w:r w:rsidRPr="00EA7665">
        <w:rPr>
          <w:rFonts w:ascii="Arial" w:hAnsi="Arial" w:cs="Arial"/>
        </w:rPr>
        <w:t xml:space="preserve"> real estate sector represents 83.9% of the gross national investment and 20% of its GDP (Just and </w:t>
      </w:r>
      <w:r w:rsidR="0000223B" w:rsidRPr="0000223B">
        <w:rPr>
          <w:rFonts w:ascii="Arial" w:hAnsi="Arial" w:cs="Arial"/>
        </w:rPr>
        <w:t>Maennig</w:t>
      </w:r>
      <w:r w:rsidRPr="00EA7665">
        <w:rPr>
          <w:rFonts w:ascii="Arial" w:hAnsi="Arial" w:cs="Arial"/>
        </w:rPr>
        <w:t>, 2017). According to the Global real estate transparency index (2018), Germany is ranked 8</w:t>
      </w:r>
      <w:r w:rsidRPr="00EA7665">
        <w:rPr>
          <w:rFonts w:ascii="Arial" w:hAnsi="Arial" w:cs="Arial"/>
          <w:vertAlign w:val="superscript"/>
        </w:rPr>
        <w:t>th</w:t>
      </w:r>
      <w:r w:rsidRPr="00EA7665">
        <w:rPr>
          <w:rFonts w:ascii="Arial" w:hAnsi="Arial" w:cs="Arial"/>
        </w:rPr>
        <w:t xml:space="preserve"> </w:t>
      </w:r>
      <w:r w:rsidR="006D620C">
        <w:rPr>
          <w:rFonts w:ascii="Arial" w:hAnsi="Arial" w:cs="Arial"/>
        </w:rPr>
        <w:t>globally,</w:t>
      </w:r>
      <w:r w:rsidRPr="00EA7665">
        <w:rPr>
          <w:rFonts w:ascii="Arial" w:hAnsi="Arial" w:cs="Arial"/>
        </w:rPr>
        <w:t xml:space="preserve"> with the United Kingdom</w:t>
      </w:r>
      <w:r w:rsidR="006D620C">
        <w:rPr>
          <w:rFonts w:ascii="Arial" w:hAnsi="Arial" w:cs="Arial"/>
        </w:rPr>
        <w:t>, t</w:t>
      </w:r>
      <w:r w:rsidRPr="00EA7665">
        <w:rPr>
          <w:rFonts w:ascii="Arial" w:hAnsi="Arial" w:cs="Arial"/>
        </w:rPr>
        <w:t>he United States of America ranked 1</w:t>
      </w:r>
      <w:r w:rsidRPr="00EA7665">
        <w:rPr>
          <w:rFonts w:ascii="Arial" w:hAnsi="Arial" w:cs="Arial"/>
          <w:vertAlign w:val="superscript"/>
        </w:rPr>
        <w:t>st</w:t>
      </w:r>
      <w:r w:rsidRPr="00EA7665">
        <w:rPr>
          <w:rFonts w:ascii="Arial" w:hAnsi="Arial" w:cs="Arial"/>
        </w:rPr>
        <w:t xml:space="preserve"> and 3</w:t>
      </w:r>
      <w:r w:rsidRPr="00EA7665">
        <w:rPr>
          <w:rFonts w:ascii="Arial" w:hAnsi="Arial" w:cs="Arial"/>
          <w:vertAlign w:val="superscript"/>
        </w:rPr>
        <w:t>rd,</w:t>
      </w:r>
      <w:r w:rsidRPr="00EA7665">
        <w:rPr>
          <w:rFonts w:ascii="Arial" w:hAnsi="Arial" w:cs="Arial"/>
        </w:rPr>
        <w:t xml:space="preserve"> respectively; this is because they are some of the world’s top leading investment destinations. The real estate sector is the second largest industry in Germany, next to the manufacturing industry</w:t>
      </w:r>
      <w:r>
        <w:rPr>
          <w:rFonts w:ascii="Arial" w:hAnsi="Arial" w:cs="Arial"/>
        </w:rPr>
        <w:t>.</w:t>
      </w:r>
      <w:r w:rsidRPr="00EA7665">
        <w:rPr>
          <w:rFonts w:ascii="Arial" w:hAnsi="Arial" w:cs="Arial"/>
        </w:rPr>
        <w:t xml:space="preserve"> </w:t>
      </w:r>
      <w:r>
        <w:rPr>
          <w:rFonts w:ascii="Arial" w:hAnsi="Arial" w:cs="Arial"/>
        </w:rPr>
        <w:t>This</w:t>
      </w:r>
      <w:r w:rsidRPr="00EA7665">
        <w:rPr>
          <w:rFonts w:ascii="Arial" w:hAnsi="Arial" w:cs="Arial"/>
        </w:rPr>
        <w:t xml:space="preserve"> strength is because </w:t>
      </w:r>
      <w:r w:rsidR="00C75033" w:rsidRPr="00EA7665">
        <w:rPr>
          <w:rFonts w:ascii="Arial" w:hAnsi="Arial" w:cs="Arial"/>
        </w:rPr>
        <w:t>of strong</w:t>
      </w:r>
      <w:r w:rsidRPr="00EA7665">
        <w:rPr>
          <w:rFonts w:ascii="Arial" w:hAnsi="Arial" w:cs="Arial"/>
        </w:rPr>
        <w:t xml:space="preserve"> regulations and good governance (Bloomberg, 2018). The housing price index measures the </w:t>
      </w:r>
      <w:r w:rsidR="006D620C">
        <w:rPr>
          <w:rFonts w:ascii="Arial" w:hAnsi="Arial" w:cs="Arial"/>
        </w:rPr>
        <w:t>market pattern</w:t>
      </w:r>
      <w:r w:rsidRPr="00EA7665">
        <w:rPr>
          <w:rFonts w:ascii="Arial" w:hAnsi="Arial" w:cs="Arial"/>
        </w:rPr>
        <w:t xml:space="preserve">, and it can fuel or dampen consumer confidence. Arguably, the German house price index </w:t>
      </w:r>
      <w:r w:rsidRPr="00EA7665">
        <w:rPr>
          <w:rFonts w:ascii="Arial" w:hAnsi="Arial" w:cs="Arial"/>
          <w:i/>
        </w:rPr>
        <w:t>(figure 2.</w:t>
      </w:r>
      <w:r w:rsidR="00960DA7">
        <w:rPr>
          <w:rFonts w:ascii="Arial" w:hAnsi="Arial" w:cs="Arial"/>
          <w:i/>
        </w:rPr>
        <w:t>2.</w:t>
      </w:r>
      <w:r w:rsidRPr="00EA7665">
        <w:rPr>
          <w:rFonts w:ascii="Arial" w:hAnsi="Arial" w:cs="Arial"/>
          <w:i/>
        </w:rPr>
        <w:t xml:space="preserve">1) </w:t>
      </w:r>
      <w:r w:rsidRPr="00EA7665">
        <w:rPr>
          <w:rFonts w:ascii="Arial" w:hAnsi="Arial" w:cs="Arial"/>
        </w:rPr>
        <w:t>could be said to be fuelling consumer confidence.</w:t>
      </w:r>
      <w:r w:rsidR="00720859" w:rsidRPr="00720859">
        <w:t xml:space="preserve"> </w:t>
      </w:r>
      <w:r w:rsidR="00720859" w:rsidRPr="00720859">
        <w:rPr>
          <w:rFonts w:ascii="Arial" w:hAnsi="Arial" w:cs="Arial"/>
        </w:rPr>
        <w:t>This is because organizations and individuals use property price indices</w:t>
      </w:r>
      <w:r w:rsidR="00DF5DB8">
        <w:rPr>
          <w:rFonts w:ascii="Arial" w:hAnsi="Arial" w:cs="Arial"/>
        </w:rPr>
        <w:t xml:space="preserve"> </w:t>
      </w:r>
      <w:r w:rsidR="00720859">
        <w:rPr>
          <w:rFonts w:ascii="Arial" w:hAnsi="Arial" w:cs="Arial"/>
        </w:rPr>
        <w:t>d</w:t>
      </w:r>
      <w:r w:rsidR="00720859" w:rsidRPr="00720859">
        <w:rPr>
          <w:rFonts w:ascii="Arial" w:hAnsi="Arial" w:cs="Arial"/>
        </w:rPr>
        <w:t>irectly or indirectly to influence practical decision making.</w:t>
      </w:r>
      <w:r w:rsidRPr="00EA7665">
        <w:rPr>
          <w:rFonts w:ascii="Arial" w:hAnsi="Arial" w:cs="Arial"/>
        </w:rPr>
        <w:t xml:space="preserve"> Furthermore, the German hedonic price index rose by 9.01% (7.6% inflation-adjusted) in May 2019, and this shows it has the highest growth rate since 2016 (Delmendo, 2019)</w:t>
      </w:r>
    </w:p>
    <w:p w14:paraId="671CE7FB"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516C4421" wp14:editId="417E8E83">
            <wp:extent cx="5738495" cy="1362075"/>
            <wp:effectExtent l="0" t="0" r="0" b="9525"/>
            <wp:docPr id="27" name="Picture 27" descr="Germany House Pric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any House Price Ind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152" cy="1360332"/>
                    </a:xfrm>
                    <a:prstGeom prst="rect">
                      <a:avLst/>
                    </a:prstGeom>
                    <a:noFill/>
                    <a:ln>
                      <a:noFill/>
                    </a:ln>
                  </pic:spPr>
                </pic:pic>
              </a:graphicData>
            </a:graphic>
          </wp:inline>
        </w:drawing>
      </w:r>
    </w:p>
    <w:p w14:paraId="5AFC7713" w14:textId="1C337B7A" w:rsidR="00CD6352" w:rsidRPr="00EF200E" w:rsidRDefault="00CD6352" w:rsidP="00CD6352">
      <w:pPr>
        <w:pStyle w:val="Caption"/>
        <w:spacing w:after="0"/>
        <w:jc w:val="both"/>
        <w:rPr>
          <w:rFonts w:ascii="Arial" w:hAnsi="Arial" w:cs="Arial"/>
          <w:i w:val="0"/>
          <w:iCs w:val="0"/>
        </w:rPr>
      </w:pPr>
      <w:bookmarkStart w:id="484" w:name="_Toc78739565"/>
      <w:r w:rsidRPr="00EF200E">
        <w:rPr>
          <w:rFonts w:ascii="Arial" w:hAnsi="Arial" w:cs="Arial"/>
          <w:i w:val="0"/>
          <w:iCs w:val="0"/>
        </w:rPr>
        <w:t xml:space="preserve">Figure </w:t>
      </w:r>
      <w:r w:rsidR="00324B0D">
        <w:rPr>
          <w:rFonts w:ascii="Arial" w:hAnsi="Arial" w:cs="Arial"/>
          <w:i w:val="0"/>
          <w:iCs w:val="0"/>
        </w:rPr>
        <w:fldChar w:fldCharType="begin"/>
      </w:r>
      <w:r w:rsidR="00324B0D">
        <w:rPr>
          <w:rFonts w:ascii="Arial" w:hAnsi="Arial" w:cs="Arial"/>
          <w:i w:val="0"/>
          <w:iCs w:val="0"/>
        </w:rPr>
        <w:instrText xml:space="preserve"> STYLEREF 2 \s </w:instrText>
      </w:r>
      <w:r w:rsidR="00324B0D">
        <w:rPr>
          <w:rFonts w:ascii="Arial" w:hAnsi="Arial" w:cs="Arial"/>
          <w:i w:val="0"/>
          <w:iCs w:val="0"/>
        </w:rPr>
        <w:fldChar w:fldCharType="separate"/>
      </w:r>
      <w:r w:rsidR="00324B0D">
        <w:rPr>
          <w:rFonts w:ascii="Arial" w:hAnsi="Arial" w:cs="Arial"/>
          <w:i w:val="0"/>
          <w:iCs w:val="0"/>
          <w:noProof/>
        </w:rPr>
        <w:t>2.2</w:t>
      </w:r>
      <w:r w:rsidR="00324B0D">
        <w:rPr>
          <w:rFonts w:ascii="Arial" w:hAnsi="Arial" w:cs="Arial"/>
          <w:i w:val="0"/>
          <w:iCs w:val="0"/>
        </w:rPr>
        <w:fldChar w:fldCharType="end"/>
      </w:r>
      <w:r w:rsidR="00324B0D">
        <w:rPr>
          <w:rFonts w:ascii="Arial" w:hAnsi="Arial" w:cs="Arial"/>
          <w:i w:val="0"/>
          <w:iCs w:val="0"/>
        </w:rPr>
        <w:noBreakHyphen/>
      </w:r>
      <w:r w:rsidR="00324B0D">
        <w:rPr>
          <w:rFonts w:ascii="Arial" w:hAnsi="Arial" w:cs="Arial"/>
          <w:i w:val="0"/>
          <w:iCs w:val="0"/>
        </w:rPr>
        <w:fldChar w:fldCharType="begin"/>
      </w:r>
      <w:r w:rsidR="00324B0D">
        <w:rPr>
          <w:rFonts w:ascii="Arial" w:hAnsi="Arial" w:cs="Arial"/>
          <w:i w:val="0"/>
          <w:iCs w:val="0"/>
        </w:rPr>
        <w:instrText xml:space="preserve"> SEQ Figure \* ARABIC \s 2 </w:instrText>
      </w:r>
      <w:r w:rsidR="00324B0D">
        <w:rPr>
          <w:rFonts w:ascii="Arial" w:hAnsi="Arial" w:cs="Arial"/>
          <w:i w:val="0"/>
          <w:iCs w:val="0"/>
        </w:rPr>
        <w:fldChar w:fldCharType="separate"/>
      </w:r>
      <w:r w:rsidR="00324B0D">
        <w:rPr>
          <w:rFonts w:ascii="Arial" w:hAnsi="Arial" w:cs="Arial"/>
          <w:i w:val="0"/>
          <w:iCs w:val="0"/>
          <w:noProof/>
        </w:rPr>
        <w:t>1</w:t>
      </w:r>
      <w:r w:rsidR="00324B0D">
        <w:rPr>
          <w:rFonts w:ascii="Arial" w:hAnsi="Arial" w:cs="Arial"/>
          <w:i w:val="0"/>
          <w:iCs w:val="0"/>
        </w:rPr>
        <w:fldChar w:fldCharType="end"/>
      </w:r>
      <w:r w:rsidRPr="00EF200E">
        <w:rPr>
          <w:rFonts w:ascii="Arial" w:hAnsi="Arial" w:cs="Arial"/>
          <w:i w:val="0"/>
          <w:iCs w:val="0"/>
        </w:rPr>
        <w:t>: Germany house price index</w:t>
      </w:r>
      <w:bookmarkEnd w:id="484"/>
    </w:p>
    <w:p w14:paraId="22710D83" w14:textId="77777777" w:rsidR="00CD6352" w:rsidRPr="00EF200E" w:rsidRDefault="00CD6352" w:rsidP="00CD6352">
      <w:pPr>
        <w:pStyle w:val="Caption"/>
        <w:spacing w:after="0"/>
        <w:jc w:val="both"/>
        <w:rPr>
          <w:rFonts w:ascii="Arial" w:hAnsi="Arial" w:cs="Arial"/>
          <w:i w:val="0"/>
          <w:iCs w:val="0"/>
        </w:rPr>
      </w:pPr>
      <w:r w:rsidRPr="00EF200E">
        <w:rPr>
          <w:rFonts w:ascii="Arial" w:hAnsi="Arial" w:cs="Arial"/>
          <w:i w:val="0"/>
          <w:iCs w:val="0"/>
        </w:rPr>
        <w:t>Source: The trading economics</w:t>
      </w:r>
    </w:p>
    <w:p w14:paraId="66202CDC" w14:textId="77777777" w:rsidR="00CD6352" w:rsidRPr="00EA7665" w:rsidRDefault="00CD6352" w:rsidP="00CD6352">
      <w:pPr>
        <w:pStyle w:val="Caption"/>
        <w:jc w:val="both"/>
      </w:pPr>
    </w:p>
    <w:p w14:paraId="7B65DEB1" w14:textId="74D5981D" w:rsidR="00CD6352" w:rsidRPr="00EA7665" w:rsidRDefault="00CD6352" w:rsidP="00CD6352">
      <w:pPr>
        <w:spacing w:line="360" w:lineRule="auto"/>
        <w:jc w:val="both"/>
        <w:rPr>
          <w:rFonts w:ascii="Arial" w:hAnsi="Arial" w:cs="Arial"/>
        </w:rPr>
      </w:pPr>
      <w:r w:rsidRPr="00EA7665">
        <w:rPr>
          <w:rFonts w:ascii="Arial" w:hAnsi="Arial" w:cs="Arial"/>
        </w:rPr>
        <w:t xml:space="preserve">The German commercial real estate market is more boisterous than the residential real estate market. There is a 50% homeownership in Germany, which is considered low. However, the German commercial real estate sector has an ownership rate of 70%, which </w:t>
      </w:r>
      <w:r>
        <w:rPr>
          <w:rFonts w:ascii="Arial" w:hAnsi="Arial" w:cs="Arial"/>
        </w:rPr>
        <w:t xml:space="preserve">is </w:t>
      </w:r>
      <w:r w:rsidR="0000478E" w:rsidRPr="00EA7665">
        <w:rPr>
          <w:rFonts w:ascii="Arial" w:hAnsi="Arial" w:cs="Arial"/>
        </w:rPr>
        <w:t>comparatively higher</w:t>
      </w:r>
      <w:r w:rsidRPr="00EA7665">
        <w:rPr>
          <w:rFonts w:ascii="Arial" w:hAnsi="Arial" w:cs="Arial"/>
        </w:rPr>
        <w:t xml:space="preserve"> than the UK and US (Just and </w:t>
      </w:r>
      <w:r w:rsidR="0000223B" w:rsidRPr="0000223B">
        <w:rPr>
          <w:rFonts w:ascii="Arial" w:hAnsi="Arial" w:cs="Arial"/>
        </w:rPr>
        <w:t>Maennig</w:t>
      </w:r>
      <w:r w:rsidRPr="00EA7665">
        <w:rPr>
          <w:rFonts w:ascii="Arial" w:hAnsi="Arial" w:cs="Arial"/>
        </w:rPr>
        <w:t>, 2017).</w:t>
      </w:r>
    </w:p>
    <w:p w14:paraId="0E1D264A" w14:textId="027B5849" w:rsidR="00CD6352" w:rsidRDefault="00D158C1" w:rsidP="00CD6352">
      <w:pPr>
        <w:spacing w:line="360" w:lineRule="auto"/>
        <w:jc w:val="both"/>
        <w:rPr>
          <w:rFonts w:ascii="Arial" w:hAnsi="Arial" w:cs="Arial"/>
        </w:rPr>
      </w:pPr>
      <w:r>
        <w:rPr>
          <w:rFonts w:ascii="Arial" w:hAnsi="Arial" w:cs="Arial"/>
        </w:rPr>
        <w:t>Distinct demographic features characterize Germany's real estate sector, with a large proportion of the population living in urban centres. The country has a concentration of urban office buildings, high- density commercial and residential developments. While, large German institutions, private investment groups, and major construction contractors often manage real estate developments in partnership with investor</w:t>
      </w:r>
      <w:r w:rsidR="00CD6352" w:rsidRPr="00EA7665">
        <w:rPr>
          <w:rFonts w:ascii="Arial" w:hAnsi="Arial" w:cs="Arial"/>
        </w:rPr>
        <w:t>s</w:t>
      </w:r>
      <w:r w:rsidR="006D620C">
        <w:rPr>
          <w:rFonts w:ascii="Arial" w:hAnsi="Arial" w:cs="Arial"/>
        </w:rPr>
        <w:t xml:space="preserve">. </w:t>
      </w:r>
    </w:p>
    <w:p w14:paraId="202A1FBE" w14:textId="2BD596BB" w:rsidR="00D158C1" w:rsidRDefault="00D158C1" w:rsidP="00CD6352">
      <w:pPr>
        <w:spacing w:line="360" w:lineRule="auto"/>
        <w:jc w:val="both"/>
        <w:rPr>
          <w:rFonts w:ascii="Arial" w:hAnsi="Arial" w:cs="Arial"/>
        </w:rPr>
      </w:pPr>
    </w:p>
    <w:p w14:paraId="3C043FF4" w14:textId="0A163A14" w:rsidR="00511938" w:rsidRDefault="00511938" w:rsidP="00CD6352">
      <w:pPr>
        <w:spacing w:line="360" w:lineRule="auto"/>
        <w:jc w:val="both"/>
        <w:rPr>
          <w:rFonts w:ascii="Arial" w:hAnsi="Arial" w:cs="Arial"/>
        </w:rPr>
      </w:pPr>
    </w:p>
    <w:p w14:paraId="11BEBADB" w14:textId="77777777" w:rsidR="00511938" w:rsidRPr="00EA7665" w:rsidRDefault="00511938" w:rsidP="00CD6352">
      <w:pPr>
        <w:spacing w:line="360" w:lineRule="auto"/>
        <w:jc w:val="both"/>
        <w:rPr>
          <w:rFonts w:ascii="Arial" w:hAnsi="Arial" w:cs="Arial"/>
        </w:rPr>
      </w:pPr>
    </w:p>
    <w:p w14:paraId="6D02663B" w14:textId="4750B0D9" w:rsidR="00CD6352" w:rsidRPr="00EA7665" w:rsidRDefault="00DE45B1" w:rsidP="00CD6352">
      <w:pPr>
        <w:pStyle w:val="Heading4"/>
        <w:spacing w:after="240"/>
        <w:rPr>
          <w:rFonts w:ascii="Arial" w:hAnsi="Arial" w:cs="Arial"/>
          <w:b/>
          <w:color w:val="auto"/>
        </w:rPr>
      </w:pPr>
      <w:r>
        <w:rPr>
          <w:rFonts w:ascii="Arial" w:hAnsi="Arial" w:cs="Arial"/>
          <w:b/>
          <w:color w:val="auto"/>
        </w:rPr>
        <w:lastRenderedPageBreak/>
        <w:t>The f</w:t>
      </w:r>
      <w:r w:rsidR="00CD6352" w:rsidRPr="00EA7665">
        <w:rPr>
          <w:rFonts w:ascii="Arial" w:hAnsi="Arial" w:cs="Arial"/>
          <w:b/>
          <w:color w:val="auto"/>
        </w:rPr>
        <w:t xml:space="preserve">actors </w:t>
      </w:r>
      <w:r w:rsidR="006D620C">
        <w:rPr>
          <w:rFonts w:ascii="Arial" w:hAnsi="Arial" w:cs="Arial"/>
          <w:b/>
          <w:color w:val="auto"/>
        </w:rPr>
        <w:t>affect</w:t>
      </w:r>
      <w:r w:rsidR="008B4904">
        <w:rPr>
          <w:rFonts w:ascii="Arial" w:hAnsi="Arial" w:cs="Arial"/>
          <w:b/>
          <w:color w:val="auto"/>
        </w:rPr>
        <w:t>ing</w:t>
      </w:r>
      <w:r w:rsidR="00CD6352" w:rsidRPr="00EA7665">
        <w:rPr>
          <w:rFonts w:ascii="Arial" w:hAnsi="Arial" w:cs="Arial"/>
          <w:b/>
          <w:color w:val="auto"/>
        </w:rPr>
        <w:t xml:space="preserve"> </w:t>
      </w:r>
      <w:r w:rsidR="008B4904">
        <w:rPr>
          <w:rFonts w:ascii="Arial" w:hAnsi="Arial" w:cs="Arial"/>
          <w:b/>
          <w:color w:val="auto"/>
        </w:rPr>
        <w:t>the German</w:t>
      </w:r>
      <w:r w:rsidR="00CD6352" w:rsidRPr="00EA7665">
        <w:rPr>
          <w:rFonts w:ascii="Arial" w:hAnsi="Arial" w:cs="Arial"/>
          <w:b/>
          <w:color w:val="auto"/>
        </w:rPr>
        <w:t xml:space="preserve"> real estate </w:t>
      </w:r>
      <w:r w:rsidR="00675BBE" w:rsidRPr="00EA7665">
        <w:rPr>
          <w:rFonts w:ascii="Arial" w:hAnsi="Arial" w:cs="Arial"/>
          <w:b/>
          <w:color w:val="auto"/>
        </w:rPr>
        <w:t>sector.</w:t>
      </w:r>
    </w:p>
    <w:p w14:paraId="1018E14B"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 xml:space="preserve">Economic factors </w:t>
      </w:r>
    </w:p>
    <w:p w14:paraId="2587B777" w14:textId="79598A73" w:rsidR="00CD6352" w:rsidRPr="00EA7665" w:rsidRDefault="00CD6352" w:rsidP="00CD6352">
      <w:pPr>
        <w:spacing w:after="0" w:line="360" w:lineRule="auto"/>
        <w:jc w:val="both"/>
        <w:rPr>
          <w:rFonts w:ascii="Arial" w:hAnsi="Arial" w:cs="Arial"/>
        </w:rPr>
      </w:pPr>
      <w:r w:rsidRPr="00EA7665">
        <w:rPr>
          <w:rFonts w:ascii="Arial" w:hAnsi="Arial" w:cs="Arial"/>
        </w:rPr>
        <w:t xml:space="preserve">Several factors have helped the German real estate market </w:t>
      </w:r>
      <w:r w:rsidR="006D620C">
        <w:rPr>
          <w:rFonts w:ascii="Arial" w:hAnsi="Arial" w:cs="Arial"/>
        </w:rPr>
        <w:t>experience and sustain its degree of growth</w:t>
      </w:r>
      <w:r w:rsidRPr="00EA7665">
        <w:rPr>
          <w:rFonts w:ascii="Arial" w:hAnsi="Arial" w:cs="Arial"/>
        </w:rPr>
        <w:t>. Germany is one of the few countries left relatively unaffected by the 2008/2009 global financial crisis</w:t>
      </w:r>
      <w:r w:rsidR="008B4904">
        <w:rPr>
          <w:rFonts w:ascii="Arial" w:hAnsi="Arial" w:cs="Arial"/>
        </w:rPr>
        <w:t xml:space="preserve">. This has given </w:t>
      </w:r>
      <w:r w:rsidRPr="00EA7665">
        <w:rPr>
          <w:rFonts w:ascii="Arial" w:hAnsi="Arial" w:cs="Arial"/>
        </w:rPr>
        <w:t>investors greater confidence in buying properties in major German cities (Collins, 2019).   Global property guide suggests that Germany’s reliable results are driven by the following (Collins, 2019):</w:t>
      </w:r>
    </w:p>
    <w:p w14:paraId="62961311" w14:textId="77777777" w:rsidR="00CD6352" w:rsidRPr="00EA7665" w:rsidRDefault="00CD6352" w:rsidP="007625E7">
      <w:pPr>
        <w:pStyle w:val="ListParagraph"/>
        <w:numPr>
          <w:ilvl w:val="0"/>
          <w:numId w:val="364"/>
        </w:numPr>
        <w:spacing w:after="0" w:line="360" w:lineRule="auto"/>
        <w:jc w:val="both"/>
        <w:rPr>
          <w:rFonts w:ascii="Arial" w:hAnsi="Arial" w:cs="Arial"/>
        </w:rPr>
      </w:pPr>
      <w:r w:rsidRPr="00EA7665">
        <w:rPr>
          <w:rFonts w:ascii="Arial" w:hAnsi="Arial" w:cs="Arial"/>
        </w:rPr>
        <w:t>Strong economic growth</w:t>
      </w:r>
    </w:p>
    <w:p w14:paraId="32664DEA" w14:textId="77777777" w:rsidR="00CD6352" w:rsidRPr="00EA7665" w:rsidRDefault="00CD6352" w:rsidP="007625E7">
      <w:pPr>
        <w:pStyle w:val="ListParagraph"/>
        <w:numPr>
          <w:ilvl w:val="0"/>
          <w:numId w:val="364"/>
        </w:numPr>
        <w:spacing w:after="0" w:line="360" w:lineRule="auto"/>
        <w:jc w:val="both"/>
        <w:rPr>
          <w:rFonts w:ascii="Arial" w:hAnsi="Arial" w:cs="Arial"/>
        </w:rPr>
      </w:pPr>
      <w:r w:rsidRPr="00EA7665">
        <w:rPr>
          <w:rFonts w:ascii="Arial" w:hAnsi="Arial" w:cs="Arial"/>
        </w:rPr>
        <w:t xml:space="preserve">Refugee intakes </w:t>
      </w:r>
    </w:p>
    <w:p w14:paraId="19C7E293" w14:textId="77777777" w:rsidR="00CD6352" w:rsidRPr="00EA7665" w:rsidRDefault="00CD6352" w:rsidP="007625E7">
      <w:pPr>
        <w:pStyle w:val="ListParagraph"/>
        <w:numPr>
          <w:ilvl w:val="0"/>
          <w:numId w:val="364"/>
        </w:numPr>
        <w:spacing w:after="0" w:line="360" w:lineRule="auto"/>
        <w:jc w:val="both"/>
        <w:rPr>
          <w:rFonts w:ascii="Arial" w:hAnsi="Arial" w:cs="Arial"/>
        </w:rPr>
      </w:pPr>
      <w:r w:rsidRPr="00EA7665">
        <w:rPr>
          <w:rFonts w:ascii="Arial" w:hAnsi="Arial" w:cs="Arial"/>
        </w:rPr>
        <w:t>High work-related migration</w:t>
      </w:r>
    </w:p>
    <w:p w14:paraId="244BEFB4" w14:textId="0607A397" w:rsidR="00CD6352" w:rsidRPr="00EA7665" w:rsidRDefault="00CD6352" w:rsidP="007625E7">
      <w:pPr>
        <w:pStyle w:val="ListParagraph"/>
        <w:numPr>
          <w:ilvl w:val="0"/>
          <w:numId w:val="364"/>
        </w:numPr>
        <w:spacing w:after="0" w:line="360" w:lineRule="auto"/>
        <w:jc w:val="both"/>
        <w:rPr>
          <w:rFonts w:ascii="Arial" w:hAnsi="Arial" w:cs="Arial"/>
        </w:rPr>
      </w:pPr>
      <w:r w:rsidRPr="00EA7665">
        <w:rPr>
          <w:rFonts w:ascii="Arial" w:hAnsi="Arial" w:cs="Arial"/>
        </w:rPr>
        <w:t xml:space="preserve">Record low </w:t>
      </w:r>
      <w:r w:rsidR="00675BBE" w:rsidRPr="00EA7665">
        <w:rPr>
          <w:rFonts w:ascii="Arial" w:hAnsi="Arial" w:cs="Arial"/>
        </w:rPr>
        <w:t>unemployment</w:t>
      </w:r>
      <w:r w:rsidRPr="00EA7665">
        <w:rPr>
          <w:rFonts w:ascii="Arial" w:hAnsi="Arial" w:cs="Arial"/>
        </w:rPr>
        <w:t xml:space="preserve"> </w:t>
      </w:r>
    </w:p>
    <w:p w14:paraId="10379F1D" w14:textId="77777777" w:rsidR="00CD6352" w:rsidRPr="00EA7665" w:rsidRDefault="00CD6352" w:rsidP="007625E7">
      <w:pPr>
        <w:pStyle w:val="ListParagraph"/>
        <w:numPr>
          <w:ilvl w:val="0"/>
          <w:numId w:val="364"/>
        </w:numPr>
        <w:spacing w:after="0" w:line="360" w:lineRule="auto"/>
        <w:jc w:val="both"/>
        <w:rPr>
          <w:rFonts w:ascii="Arial" w:hAnsi="Arial" w:cs="Arial"/>
        </w:rPr>
      </w:pPr>
      <w:r w:rsidRPr="00EA7665">
        <w:rPr>
          <w:rFonts w:ascii="Arial" w:hAnsi="Arial" w:cs="Arial"/>
        </w:rPr>
        <w:t>Weak new construction supply</w:t>
      </w:r>
    </w:p>
    <w:p w14:paraId="40DFE364" w14:textId="77777777" w:rsidR="00CD6352" w:rsidRPr="00EA7665" w:rsidRDefault="00CD6352" w:rsidP="007625E7">
      <w:pPr>
        <w:pStyle w:val="ListParagraph"/>
        <w:numPr>
          <w:ilvl w:val="0"/>
          <w:numId w:val="364"/>
        </w:numPr>
        <w:spacing w:after="0" w:line="360" w:lineRule="auto"/>
        <w:jc w:val="both"/>
        <w:rPr>
          <w:rFonts w:ascii="Arial" w:hAnsi="Arial" w:cs="Arial"/>
        </w:rPr>
      </w:pPr>
      <w:r w:rsidRPr="00EA7665">
        <w:rPr>
          <w:rFonts w:ascii="Arial" w:hAnsi="Arial" w:cs="Arial"/>
        </w:rPr>
        <w:t>Low-interest rate</w:t>
      </w:r>
    </w:p>
    <w:p w14:paraId="68235495" w14:textId="5D130FC4" w:rsidR="00CD6352" w:rsidRPr="00EA7665" w:rsidRDefault="001F1654" w:rsidP="00CD6352">
      <w:pPr>
        <w:spacing w:after="0" w:line="360" w:lineRule="auto"/>
        <w:jc w:val="both"/>
        <w:rPr>
          <w:rFonts w:ascii="Arial" w:hAnsi="Arial" w:cs="Arial"/>
        </w:rPr>
      </w:pPr>
      <w:r>
        <w:rPr>
          <w:rFonts w:ascii="Arial" w:hAnsi="Arial" w:cs="Arial"/>
        </w:rPr>
        <w:t>As shown in figure 2.2.2, the German GDP has grown continually, positively impacting</w:t>
      </w:r>
      <w:r w:rsidR="00CD6352" w:rsidRPr="00EA7665">
        <w:rPr>
          <w:rFonts w:ascii="Arial" w:hAnsi="Arial" w:cs="Arial"/>
        </w:rPr>
        <w:t xml:space="preserve"> the real estate sector</w:t>
      </w:r>
      <w:r>
        <w:rPr>
          <w:rFonts w:ascii="Arial" w:hAnsi="Arial" w:cs="Arial"/>
        </w:rPr>
        <w:t xml:space="preserve">. </w:t>
      </w:r>
      <w:r w:rsidR="00C24AEC" w:rsidRPr="00C24AEC">
        <w:rPr>
          <w:rFonts w:ascii="Arial" w:hAnsi="Arial" w:cs="Arial"/>
        </w:rPr>
        <w:t>The growth of the GDP has a positive effect on the housing demand because the demand for housing is dependent upon income. The higher the economic growth and rising incomes, the more people will be able to spend on houses and conversely, increased demand will push up prices.</w:t>
      </w:r>
    </w:p>
    <w:p w14:paraId="2E70CF7E"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2F2E2057" wp14:editId="179B80E6">
            <wp:extent cx="5738648" cy="2322786"/>
            <wp:effectExtent l="0" t="0" r="14605" b="209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D4D5D0" w14:textId="42326908" w:rsidR="00CD6352" w:rsidRPr="00EF200E" w:rsidRDefault="00CD6352" w:rsidP="00CD6352">
      <w:pPr>
        <w:pStyle w:val="Caption"/>
        <w:spacing w:after="0"/>
        <w:rPr>
          <w:rFonts w:ascii="Arial" w:hAnsi="Arial" w:cs="Arial"/>
          <w:i w:val="0"/>
          <w:iCs w:val="0"/>
        </w:rPr>
      </w:pPr>
      <w:bookmarkStart w:id="485" w:name="_Toc78739566"/>
      <w:r w:rsidRPr="00EF200E">
        <w:rPr>
          <w:rFonts w:ascii="Arial" w:hAnsi="Arial" w:cs="Arial"/>
          <w:i w:val="0"/>
          <w:iCs w:val="0"/>
        </w:rPr>
        <w:t xml:space="preserve">Figure </w:t>
      </w:r>
      <w:r w:rsidR="00324B0D">
        <w:rPr>
          <w:rFonts w:ascii="Arial" w:hAnsi="Arial" w:cs="Arial"/>
          <w:i w:val="0"/>
          <w:iCs w:val="0"/>
        </w:rPr>
        <w:fldChar w:fldCharType="begin"/>
      </w:r>
      <w:r w:rsidR="00324B0D">
        <w:rPr>
          <w:rFonts w:ascii="Arial" w:hAnsi="Arial" w:cs="Arial"/>
          <w:i w:val="0"/>
          <w:iCs w:val="0"/>
        </w:rPr>
        <w:instrText xml:space="preserve"> STYLEREF 2 \s </w:instrText>
      </w:r>
      <w:r w:rsidR="00324B0D">
        <w:rPr>
          <w:rFonts w:ascii="Arial" w:hAnsi="Arial" w:cs="Arial"/>
          <w:i w:val="0"/>
          <w:iCs w:val="0"/>
        </w:rPr>
        <w:fldChar w:fldCharType="separate"/>
      </w:r>
      <w:r w:rsidR="00324B0D">
        <w:rPr>
          <w:rFonts w:ascii="Arial" w:hAnsi="Arial" w:cs="Arial"/>
          <w:i w:val="0"/>
          <w:iCs w:val="0"/>
          <w:noProof/>
        </w:rPr>
        <w:t>2.2</w:t>
      </w:r>
      <w:r w:rsidR="00324B0D">
        <w:rPr>
          <w:rFonts w:ascii="Arial" w:hAnsi="Arial" w:cs="Arial"/>
          <w:i w:val="0"/>
          <w:iCs w:val="0"/>
        </w:rPr>
        <w:fldChar w:fldCharType="end"/>
      </w:r>
      <w:r w:rsidR="00324B0D">
        <w:rPr>
          <w:rFonts w:ascii="Arial" w:hAnsi="Arial" w:cs="Arial"/>
          <w:i w:val="0"/>
          <w:iCs w:val="0"/>
        </w:rPr>
        <w:noBreakHyphen/>
      </w:r>
      <w:r w:rsidR="00324B0D">
        <w:rPr>
          <w:rFonts w:ascii="Arial" w:hAnsi="Arial" w:cs="Arial"/>
          <w:i w:val="0"/>
          <w:iCs w:val="0"/>
        </w:rPr>
        <w:fldChar w:fldCharType="begin"/>
      </w:r>
      <w:r w:rsidR="00324B0D">
        <w:rPr>
          <w:rFonts w:ascii="Arial" w:hAnsi="Arial" w:cs="Arial"/>
          <w:i w:val="0"/>
          <w:iCs w:val="0"/>
        </w:rPr>
        <w:instrText xml:space="preserve"> SEQ Figure \* ARABIC \s 2 </w:instrText>
      </w:r>
      <w:r w:rsidR="00324B0D">
        <w:rPr>
          <w:rFonts w:ascii="Arial" w:hAnsi="Arial" w:cs="Arial"/>
          <w:i w:val="0"/>
          <w:iCs w:val="0"/>
        </w:rPr>
        <w:fldChar w:fldCharType="separate"/>
      </w:r>
      <w:r w:rsidR="00324B0D">
        <w:rPr>
          <w:rFonts w:ascii="Arial" w:hAnsi="Arial" w:cs="Arial"/>
          <w:i w:val="0"/>
          <w:iCs w:val="0"/>
          <w:noProof/>
        </w:rPr>
        <w:t>2</w:t>
      </w:r>
      <w:r w:rsidR="00324B0D">
        <w:rPr>
          <w:rFonts w:ascii="Arial" w:hAnsi="Arial" w:cs="Arial"/>
          <w:i w:val="0"/>
          <w:iCs w:val="0"/>
        </w:rPr>
        <w:fldChar w:fldCharType="end"/>
      </w:r>
      <w:r w:rsidRPr="00EF200E">
        <w:rPr>
          <w:rFonts w:ascii="Arial" w:hAnsi="Arial" w:cs="Arial"/>
          <w:i w:val="0"/>
          <w:iCs w:val="0"/>
        </w:rPr>
        <w:t>: Gross domestic product in Germany</w:t>
      </w:r>
      <w:bookmarkEnd w:id="485"/>
      <w:r w:rsidRPr="00EF200E">
        <w:rPr>
          <w:rFonts w:ascii="Arial" w:hAnsi="Arial" w:cs="Arial"/>
          <w:i w:val="0"/>
          <w:iCs w:val="0"/>
        </w:rPr>
        <w:t xml:space="preserve"> </w:t>
      </w:r>
    </w:p>
    <w:p w14:paraId="581B5983" w14:textId="77777777" w:rsidR="00CD6352" w:rsidRPr="00EF200E" w:rsidRDefault="00CD6352" w:rsidP="00CD6352">
      <w:pPr>
        <w:pStyle w:val="Caption"/>
        <w:spacing w:after="0"/>
        <w:rPr>
          <w:rFonts w:ascii="Arial" w:hAnsi="Arial" w:cs="Arial"/>
          <w:i w:val="0"/>
          <w:iCs w:val="0"/>
        </w:rPr>
      </w:pPr>
      <w:r w:rsidRPr="00EF200E">
        <w:rPr>
          <w:rFonts w:ascii="Arial" w:hAnsi="Arial" w:cs="Arial"/>
          <w:i w:val="0"/>
          <w:iCs w:val="0"/>
        </w:rPr>
        <w:t>Source: Fred (2019)</w:t>
      </w:r>
    </w:p>
    <w:p w14:paraId="2C45E556" w14:textId="77777777" w:rsidR="00CD6352" w:rsidRPr="00EA7665" w:rsidRDefault="00CD6352" w:rsidP="00CD6352">
      <w:pPr>
        <w:pStyle w:val="Caption"/>
        <w:jc w:val="both"/>
        <w:rPr>
          <w:rFonts w:ascii="Arial" w:hAnsi="Arial" w:cs="Arial"/>
        </w:rPr>
      </w:pPr>
    </w:p>
    <w:p w14:paraId="107BD98E" w14:textId="5E5CA4DF" w:rsidR="00CD6352" w:rsidRPr="00EA7665" w:rsidRDefault="00CD6352" w:rsidP="00CD6352">
      <w:pPr>
        <w:spacing w:after="0" w:line="360" w:lineRule="auto"/>
        <w:jc w:val="both"/>
        <w:rPr>
          <w:rFonts w:ascii="Arial" w:hAnsi="Arial" w:cs="Arial"/>
        </w:rPr>
      </w:pPr>
      <w:r w:rsidRPr="00EA7665">
        <w:rPr>
          <w:rFonts w:ascii="Arial" w:hAnsi="Arial" w:cs="Arial"/>
        </w:rPr>
        <w:t>Furthermore, Germany also has a relatively stable inflation rate</w:t>
      </w:r>
      <w:r w:rsidR="008B4904">
        <w:rPr>
          <w:rFonts w:ascii="Arial" w:hAnsi="Arial" w:cs="Arial"/>
        </w:rPr>
        <w:t>, making</w:t>
      </w:r>
      <w:r w:rsidRPr="00EA7665">
        <w:rPr>
          <w:rFonts w:ascii="Arial" w:hAnsi="Arial" w:cs="Arial"/>
        </w:rPr>
        <w:t xml:space="preserve"> it conducive for real estate project investment (see figure 2.</w:t>
      </w:r>
      <w:r w:rsidR="00C22A45">
        <w:rPr>
          <w:rFonts w:ascii="Arial" w:hAnsi="Arial" w:cs="Arial"/>
        </w:rPr>
        <w:t>2.</w:t>
      </w:r>
      <w:r>
        <w:rPr>
          <w:rFonts w:ascii="Arial" w:hAnsi="Arial" w:cs="Arial"/>
        </w:rPr>
        <w:t>3</w:t>
      </w:r>
      <w:r w:rsidRPr="00EA7665">
        <w:rPr>
          <w:rFonts w:ascii="Arial" w:hAnsi="Arial" w:cs="Arial"/>
        </w:rPr>
        <w:t xml:space="preserve">). </w:t>
      </w:r>
      <w:r>
        <w:rPr>
          <w:rFonts w:ascii="Arial" w:hAnsi="Arial" w:cs="Arial"/>
        </w:rPr>
        <w:t xml:space="preserve">The </w:t>
      </w:r>
      <w:r w:rsidRPr="00EA7665">
        <w:rPr>
          <w:rFonts w:ascii="Arial" w:hAnsi="Arial" w:cs="Arial"/>
        </w:rPr>
        <w:t xml:space="preserve">German tax environment for inbound real estate investment offers considerable </w:t>
      </w:r>
      <w:r w:rsidR="008B4904">
        <w:rPr>
          <w:rFonts w:ascii="Arial" w:hAnsi="Arial" w:cs="Arial"/>
        </w:rPr>
        <w:t>international investors opportunitie</w:t>
      </w:r>
      <w:r w:rsidRPr="00EA7665">
        <w:rPr>
          <w:rFonts w:ascii="Arial" w:hAnsi="Arial" w:cs="Arial"/>
        </w:rPr>
        <w:t>s</w:t>
      </w:r>
      <w:r w:rsidR="00DF5DB8">
        <w:rPr>
          <w:rFonts w:ascii="Arial" w:hAnsi="Arial" w:cs="Arial"/>
        </w:rPr>
        <w:t>.</w:t>
      </w:r>
    </w:p>
    <w:p w14:paraId="7A55D0BC" w14:textId="77777777" w:rsidR="00CD6352" w:rsidRPr="00EA7665" w:rsidRDefault="00CD6352" w:rsidP="00CD6352">
      <w:pPr>
        <w:keepNext/>
        <w:spacing w:after="0" w:line="360" w:lineRule="auto"/>
        <w:jc w:val="both"/>
      </w:pPr>
      <w:r w:rsidRPr="00EA7665">
        <w:rPr>
          <w:rFonts w:ascii="Arial" w:hAnsi="Arial" w:cs="Arial"/>
          <w:noProof/>
          <w:lang w:eastAsia="en-GB"/>
        </w:rPr>
        <w:lastRenderedPageBreak/>
        <w:drawing>
          <wp:inline distT="0" distB="0" distL="0" distR="0" wp14:anchorId="43ACC27C" wp14:editId="55ADDB19">
            <wp:extent cx="5717279" cy="1196503"/>
            <wp:effectExtent l="0" t="0" r="0" b="3810"/>
            <wp:docPr id="31" name="Picture 31" descr="Chart HICP inflation Germany - long term inflatio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HICP inflation Germany - long term inflation develop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18" cy="1204652"/>
                    </a:xfrm>
                    <a:prstGeom prst="rect">
                      <a:avLst/>
                    </a:prstGeom>
                    <a:noFill/>
                    <a:ln>
                      <a:noFill/>
                    </a:ln>
                  </pic:spPr>
                </pic:pic>
              </a:graphicData>
            </a:graphic>
          </wp:inline>
        </w:drawing>
      </w:r>
    </w:p>
    <w:p w14:paraId="4935A652" w14:textId="4FEE8CC6" w:rsidR="00CD6352" w:rsidRPr="008815B0" w:rsidRDefault="00CD6352" w:rsidP="00CD6352">
      <w:pPr>
        <w:pStyle w:val="Caption"/>
        <w:spacing w:after="0"/>
        <w:rPr>
          <w:rFonts w:ascii="Arial" w:hAnsi="Arial" w:cs="Arial"/>
          <w:i w:val="0"/>
          <w:iCs w:val="0"/>
          <w:sz w:val="16"/>
          <w:szCs w:val="16"/>
        </w:rPr>
      </w:pPr>
      <w:bookmarkStart w:id="486" w:name="_Toc78739567"/>
      <w:r w:rsidRPr="008815B0">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2.2</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SEQ Figure \* ARABIC \s 2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3</w:t>
      </w:r>
      <w:r w:rsidR="00324B0D">
        <w:rPr>
          <w:rFonts w:ascii="Arial" w:hAnsi="Arial" w:cs="Arial"/>
          <w:i w:val="0"/>
          <w:iCs w:val="0"/>
          <w:sz w:val="16"/>
          <w:szCs w:val="16"/>
        </w:rPr>
        <w:fldChar w:fldCharType="end"/>
      </w:r>
      <w:r w:rsidRPr="008815B0">
        <w:rPr>
          <w:rFonts w:ascii="Arial" w:hAnsi="Arial" w:cs="Arial"/>
          <w:i w:val="0"/>
          <w:iCs w:val="0"/>
          <w:sz w:val="16"/>
          <w:szCs w:val="16"/>
        </w:rPr>
        <w:t>: Historical harmonised inflation Germany (HICP) by year</w:t>
      </w:r>
      <w:bookmarkEnd w:id="486"/>
    </w:p>
    <w:p w14:paraId="2A3A7287" w14:textId="77777777" w:rsidR="00CD6352" w:rsidRPr="008815B0" w:rsidRDefault="00CD6352" w:rsidP="00CD6352">
      <w:pPr>
        <w:pStyle w:val="Caption"/>
        <w:spacing w:after="0"/>
        <w:rPr>
          <w:rFonts w:ascii="Arial" w:hAnsi="Arial" w:cs="Arial"/>
          <w:i w:val="0"/>
          <w:iCs w:val="0"/>
          <w:sz w:val="16"/>
          <w:szCs w:val="16"/>
        </w:rPr>
      </w:pPr>
      <w:r w:rsidRPr="008815B0">
        <w:rPr>
          <w:rFonts w:ascii="Arial" w:hAnsi="Arial" w:cs="Arial"/>
          <w:i w:val="0"/>
          <w:iCs w:val="0"/>
          <w:sz w:val="16"/>
          <w:szCs w:val="16"/>
        </w:rPr>
        <w:t xml:space="preserve">Source: Inflation .eu worldwide inflation data (2019). </w:t>
      </w:r>
    </w:p>
    <w:p w14:paraId="1F487D9C" w14:textId="77777777" w:rsidR="00CD6352" w:rsidRPr="00EA7665" w:rsidRDefault="00CD6352" w:rsidP="00CD6352">
      <w:pPr>
        <w:pStyle w:val="Caption"/>
        <w:jc w:val="both"/>
        <w:rPr>
          <w:rFonts w:ascii="Arial" w:hAnsi="Arial" w:cs="Arial"/>
        </w:rPr>
      </w:pPr>
    </w:p>
    <w:p w14:paraId="3B0797F9" w14:textId="20188036" w:rsidR="00CD6352" w:rsidRPr="00EA7665" w:rsidRDefault="00022C58" w:rsidP="00CD6352">
      <w:pPr>
        <w:spacing w:after="0" w:line="360" w:lineRule="auto"/>
        <w:jc w:val="both"/>
        <w:rPr>
          <w:rFonts w:ascii="Arial" w:hAnsi="Arial" w:cs="Arial"/>
        </w:rPr>
      </w:pPr>
      <w:r>
        <w:rPr>
          <w:rFonts w:ascii="Arial" w:hAnsi="Arial" w:cs="Arial"/>
        </w:rPr>
        <w:t>In recent years, the low</w:t>
      </w:r>
      <w:r w:rsidR="002E0BEA">
        <w:rPr>
          <w:rFonts w:ascii="Arial" w:hAnsi="Arial" w:cs="Arial"/>
        </w:rPr>
        <w:t xml:space="preserve"> </w:t>
      </w:r>
      <w:r>
        <w:rPr>
          <w:rFonts w:ascii="Arial" w:hAnsi="Arial" w:cs="Arial"/>
        </w:rPr>
        <w:t>interest rates and massive net migration</w:t>
      </w:r>
      <w:r w:rsidR="00CD6352">
        <w:rPr>
          <w:rFonts w:ascii="Arial" w:hAnsi="Arial" w:cs="Arial"/>
        </w:rPr>
        <w:t xml:space="preserve"> have</w:t>
      </w:r>
      <w:r w:rsidR="00CD6352" w:rsidRPr="00EA7665">
        <w:rPr>
          <w:rFonts w:ascii="Arial" w:hAnsi="Arial" w:cs="Arial"/>
        </w:rPr>
        <w:t xml:space="preserve"> contributed to increased real estate prices in some parts of Germany,</w:t>
      </w:r>
      <w:r w:rsidR="00CD6352">
        <w:rPr>
          <w:rFonts w:ascii="Arial" w:hAnsi="Arial" w:cs="Arial"/>
        </w:rPr>
        <w:t xml:space="preserve"> mainly</w:t>
      </w:r>
      <w:r w:rsidR="00CD6352" w:rsidRPr="00EA7665">
        <w:rPr>
          <w:rFonts w:ascii="Arial" w:hAnsi="Arial" w:cs="Arial"/>
        </w:rPr>
        <w:t xml:space="preserve"> in the urban real estate market</w:t>
      </w:r>
      <w:r w:rsidR="00CD6352">
        <w:rPr>
          <w:rFonts w:ascii="Arial" w:hAnsi="Arial" w:cs="Arial"/>
        </w:rPr>
        <w:t xml:space="preserve"> </w:t>
      </w:r>
      <w:r w:rsidR="00CD6352" w:rsidRPr="00EA7665">
        <w:rPr>
          <w:rFonts w:ascii="Arial" w:hAnsi="Arial" w:cs="Arial"/>
        </w:rPr>
        <w:t>(Collins, 2019).</w:t>
      </w:r>
    </w:p>
    <w:p w14:paraId="2D5DFE2E"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Membership of the European Monetary Union / Germany well-positioned Geo-politically</w:t>
      </w:r>
    </w:p>
    <w:p w14:paraId="09ECF292" w14:textId="4296170B" w:rsidR="00CD6352" w:rsidRDefault="00CD6352" w:rsidP="00CD6352">
      <w:pPr>
        <w:spacing w:line="360" w:lineRule="auto"/>
        <w:jc w:val="both"/>
        <w:rPr>
          <w:rFonts w:ascii="Arial" w:hAnsi="Arial" w:cs="Arial"/>
        </w:rPr>
      </w:pPr>
      <w:r w:rsidRPr="00EA7665">
        <w:rPr>
          <w:rFonts w:ascii="Arial" w:hAnsi="Arial" w:cs="Arial"/>
        </w:rPr>
        <w:t xml:space="preserve">Germany is a member of the European monetary union, sharing the same currency and monetary policies that are regulated by the European </w:t>
      </w:r>
      <w:r>
        <w:rPr>
          <w:rFonts w:ascii="Arial" w:hAnsi="Arial" w:cs="Arial"/>
        </w:rPr>
        <w:t>C</w:t>
      </w:r>
      <w:r w:rsidRPr="00EA7665">
        <w:rPr>
          <w:rFonts w:ascii="Arial" w:hAnsi="Arial" w:cs="Arial"/>
        </w:rPr>
        <w:t xml:space="preserve">entral </w:t>
      </w:r>
      <w:r>
        <w:rPr>
          <w:rFonts w:ascii="Arial" w:hAnsi="Arial" w:cs="Arial"/>
        </w:rPr>
        <w:t>B</w:t>
      </w:r>
      <w:r w:rsidRPr="00EA7665">
        <w:rPr>
          <w:rFonts w:ascii="Arial" w:hAnsi="Arial" w:cs="Arial"/>
        </w:rPr>
        <w:t>ank (ECB). Membership of the European Union gives Germany the benefits of free trade, customs</w:t>
      </w:r>
      <w:r w:rsidR="004A13D8">
        <w:rPr>
          <w:rFonts w:ascii="Arial" w:hAnsi="Arial" w:cs="Arial"/>
        </w:rPr>
        <w:t>,</w:t>
      </w:r>
      <w:r w:rsidRPr="00EA7665">
        <w:rPr>
          <w:rFonts w:ascii="Arial" w:hAnsi="Arial" w:cs="Arial"/>
        </w:rPr>
        <w:t xml:space="preserve"> and union with 28 other European countries. However, it shares a monetary union with 19 of these countries, </w:t>
      </w:r>
      <w:r w:rsidR="00662298">
        <w:rPr>
          <w:rFonts w:ascii="Arial" w:hAnsi="Arial" w:cs="Arial"/>
        </w:rPr>
        <w:t>which</w:t>
      </w:r>
      <w:r w:rsidRPr="00EA7665">
        <w:rPr>
          <w:rFonts w:ascii="Arial" w:hAnsi="Arial" w:cs="Arial"/>
        </w:rPr>
        <w:t xml:space="preserve"> is beneficial to its real estate sector (Huhne, 1999). The </w:t>
      </w:r>
      <w:r w:rsidR="00662298">
        <w:rPr>
          <w:rFonts w:ascii="Arial" w:hAnsi="Arial" w:cs="Arial"/>
        </w:rPr>
        <w:t>EU membership</w:t>
      </w:r>
      <w:r w:rsidRPr="00EA7665">
        <w:rPr>
          <w:rFonts w:ascii="Arial" w:hAnsi="Arial" w:cs="Arial"/>
        </w:rPr>
        <w:t xml:space="preserve"> has stimulated enhanced inward investment, with </w:t>
      </w:r>
      <w:r w:rsidR="004A13D8">
        <w:rPr>
          <w:rFonts w:ascii="Arial" w:hAnsi="Arial" w:cs="Arial"/>
        </w:rPr>
        <w:t xml:space="preserve">a </w:t>
      </w:r>
      <w:r w:rsidRPr="00EA7665">
        <w:rPr>
          <w:rFonts w:ascii="Arial" w:hAnsi="Arial" w:cs="Arial"/>
        </w:rPr>
        <w:t xml:space="preserve">significant impact on the economy as a whole and the real estate sector in particular. </w:t>
      </w:r>
      <w:r>
        <w:rPr>
          <w:rFonts w:ascii="Arial" w:hAnsi="Arial" w:cs="Arial"/>
        </w:rPr>
        <w:t xml:space="preserve"> </w:t>
      </w:r>
      <w:r w:rsidRPr="00EA7665">
        <w:rPr>
          <w:rFonts w:ascii="Arial" w:hAnsi="Arial" w:cs="Arial"/>
        </w:rPr>
        <w:t xml:space="preserve">Furthermore, Germany </w:t>
      </w:r>
      <w:r w:rsidR="0000478E" w:rsidRPr="00EA7665">
        <w:rPr>
          <w:rFonts w:ascii="Arial" w:hAnsi="Arial" w:cs="Arial"/>
        </w:rPr>
        <w:t>is central</w:t>
      </w:r>
      <w:r w:rsidRPr="00EA7665">
        <w:rPr>
          <w:rFonts w:ascii="Arial" w:hAnsi="Arial" w:cs="Arial"/>
        </w:rPr>
        <w:t xml:space="preserve"> to the European Union and central Europe geographically, </w:t>
      </w:r>
      <w:r w:rsidR="00662298">
        <w:rPr>
          <w:rFonts w:ascii="Arial" w:hAnsi="Arial" w:cs="Arial"/>
        </w:rPr>
        <w:t>making</w:t>
      </w:r>
      <w:r w:rsidRPr="00EA7665">
        <w:rPr>
          <w:rFonts w:ascii="Arial" w:hAnsi="Arial" w:cs="Arial"/>
        </w:rPr>
        <w:t xml:space="preserve"> it a hot- spot for real estate project investment (Collins, 2019). </w:t>
      </w:r>
    </w:p>
    <w:p w14:paraId="12FED6A4" w14:textId="77777777" w:rsidR="00F0783B" w:rsidRPr="00EA7665" w:rsidRDefault="00F0783B" w:rsidP="00CD6352">
      <w:pPr>
        <w:spacing w:line="360" w:lineRule="auto"/>
        <w:jc w:val="both"/>
        <w:rPr>
          <w:rFonts w:ascii="Arial" w:hAnsi="Arial" w:cs="Arial"/>
        </w:rPr>
      </w:pPr>
    </w:p>
    <w:p w14:paraId="622285EE"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Real estate shortages in Germany</w:t>
      </w:r>
    </w:p>
    <w:p w14:paraId="70FFD840" w14:textId="08EA08A6" w:rsidR="00CD6352" w:rsidRPr="008815B0" w:rsidRDefault="00CD6352" w:rsidP="008A7B04">
      <w:pPr>
        <w:spacing w:line="360" w:lineRule="auto"/>
        <w:jc w:val="both"/>
        <w:rPr>
          <w:rFonts w:ascii="Arial" w:hAnsi="Arial" w:cs="Arial"/>
          <w:i/>
          <w:iCs/>
          <w:sz w:val="16"/>
          <w:szCs w:val="16"/>
          <w:lang w:val="en-US"/>
        </w:rPr>
      </w:pPr>
      <w:r w:rsidRPr="00EA7665">
        <w:rPr>
          <w:rFonts w:ascii="Arial" w:hAnsi="Arial" w:cs="Arial"/>
        </w:rPr>
        <w:t>According to the global property guide (2019), the supply of housing in Germany remains insufficient (</w:t>
      </w:r>
      <w:r w:rsidRPr="00EA7665">
        <w:rPr>
          <w:rFonts w:ascii="Arial" w:hAnsi="Arial" w:cs="Arial"/>
          <w:lang w:val="en-US"/>
        </w:rPr>
        <w:t xml:space="preserve">Delmendo, 2019). The influx of over 1million immigrants through </w:t>
      </w:r>
      <w:r>
        <w:rPr>
          <w:rFonts w:ascii="Arial" w:hAnsi="Arial" w:cs="Arial"/>
          <w:lang w:val="en-US"/>
        </w:rPr>
        <w:t>a</w:t>
      </w:r>
      <w:r w:rsidRPr="00EA7665">
        <w:rPr>
          <w:rFonts w:ascii="Arial" w:hAnsi="Arial" w:cs="Arial"/>
          <w:lang w:val="en-US"/>
        </w:rPr>
        <w:t>sylum between 2015 and 2017 contributed to these gaps in housing nee</w:t>
      </w:r>
      <w:r>
        <w:rPr>
          <w:rFonts w:ascii="Arial" w:hAnsi="Arial" w:cs="Arial"/>
          <w:lang w:val="en-US"/>
        </w:rPr>
        <w:t>ds</w:t>
      </w:r>
      <w:r w:rsidRPr="00EA7665">
        <w:rPr>
          <w:rFonts w:ascii="Arial" w:hAnsi="Arial" w:cs="Arial"/>
          <w:lang w:val="en-US"/>
        </w:rPr>
        <w:t>.  According to property guy (2019)</w:t>
      </w:r>
      <w:r w:rsidR="00662298">
        <w:rPr>
          <w:rFonts w:ascii="Arial" w:hAnsi="Arial" w:cs="Arial"/>
          <w:lang w:val="en-US"/>
        </w:rPr>
        <w:t>,</w:t>
      </w:r>
      <w:r w:rsidRPr="00EA7665">
        <w:rPr>
          <w:rFonts w:ascii="Arial" w:hAnsi="Arial" w:cs="Arial"/>
          <w:lang w:val="en-US"/>
        </w:rPr>
        <w:t xml:space="preserve"> available on Bloomberg, “Brexit has vastly outstripped supply”.</w:t>
      </w:r>
      <w:r>
        <w:rPr>
          <w:rFonts w:ascii="Arial" w:hAnsi="Arial" w:cs="Arial"/>
          <w:lang w:val="en-US"/>
        </w:rPr>
        <w:t xml:space="preserve"> </w:t>
      </w:r>
      <w:r w:rsidRPr="00EA7665">
        <w:rPr>
          <w:rFonts w:ascii="Arial" w:hAnsi="Arial" w:cs="Arial"/>
          <w:lang w:val="en-US"/>
        </w:rPr>
        <w:t xml:space="preserve">This </w:t>
      </w:r>
      <w:r w:rsidR="00DA64D2">
        <w:rPr>
          <w:rFonts w:ascii="Arial" w:hAnsi="Arial" w:cs="Arial"/>
          <w:lang w:val="en-US"/>
        </w:rPr>
        <w:t>shows</w:t>
      </w:r>
      <w:r w:rsidRPr="00EA7665">
        <w:rPr>
          <w:rFonts w:ascii="Arial" w:hAnsi="Arial" w:cs="Arial"/>
          <w:lang w:val="en-US"/>
        </w:rPr>
        <w:t xml:space="preserve"> that Brexit has also increased the influx of people to Germany</w:t>
      </w:r>
      <w:r w:rsidR="00F0783B">
        <w:rPr>
          <w:rFonts w:ascii="Arial" w:hAnsi="Arial" w:cs="Arial"/>
          <w:lang w:val="en-US"/>
        </w:rPr>
        <w:t>, contributing</w:t>
      </w:r>
      <w:r>
        <w:rPr>
          <w:rFonts w:ascii="Arial" w:hAnsi="Arial" w:cs="Arial"/>
          <w:lang w:val="en-US"/>
        </w:rPr>
        <w:t xml:space="preserve"> </w:t>
      </w:r>
      <w:r w:rsidRPr="00EA7665">
        <w:rPr>
          <w:rFonts w:ascii="Arial" w:hAnsi="Arial" w:cs="Arial"/>
          <w:lang w:val="en-US"/>
        </w:rPr>
        <w:t xml:space="preserve">to the increased demand for housing. </w:t>
      </w:r>
    </w:p>
    <w:p w14:paraId="0D7AC4E5" w14:textId="56BA0A12" w:rsidR="00CD6352" w:rsidRPr="00EA7665" w:rsidRDefault="00CD6352" w:rsidP="00AD40B8">
      <w:pPr>
        <w:spacing w:line="360" w:lineRule="auto"/>
        <w:rPr>
          <w:rFonts w:ascii="Arial" w:hAnsi="Arial" w:cs="Arial"/>
          <w:lang w:val="en-US"/>
        </w:rPr>
      </w:pPr>
      <w:r w:rsidRPr="00EA7665">
        <w:rPr>
          <w:rFonts w:ascii="Arial" w:hAnsi="Arial" w:cs="Arial"/>
          <w:lang w:val="en-US"/>
        </w:rPr>
        <w:t xml:space="preserve">Finding affordable housing is increasingly difficult for people in Germany. According to </w:t>
      </w:r>
      <w:r w:rsidR="006211EE">
        <w:rPr>
          <w:rFonts w:ascii="Arial" w:hAnsi="Arial" w:cs="Arial"/>
          <w:lang w:val="en-US"/>
        </w:rPr>
        <w:t xml:space="preserve">the </w:t>
      </w:r>
      <w:r w:rsidRPr="00EA7665">
        <w:rPr>
          <w:rFonts w:ascii="Arial" w:hAnsi="Arial" w:cs="Arial"/>
          <w:lang w:val="en-US"/>
        </w:rPr>
        <w:t xml:space="preserve">OECD Germany policy brief (2018), </w:t>
      </w:r>
      <w:r w:rsidR="00662298">
        <w:rPr>
          <w:rFonts w:ascii="Arial" w:hAnsi="Arial" w:cs="Arial"/>
          <w:lang w:val="en-US"/>
        </w:rPr>
        <w:t>Germany's housing prices</w:t>
      </w:r>
      <w:r w:rsidRPr="00EA7665">
        <w:rPr>
          <w:rFonts w:ascii="Arial" w:hAnsi="Arial" w:cs="Arial"/>
          <w:lang w:val="en-US"/>
        </w:rPr>
        <w:t xml:space="preserve"> are on the increase relative to income. Only 32% of the housing units needed in the seven largest German cities were built between 2011 and 2015 (Deschermeier et al., 2017). </w:t>
      </w:r>
      <w:r w:rsidR="00662298">
        <w:rPr>
          <w:rFonts w:ascii="Arial" w:hAnsi="Arial" w:cs="Arial"/>
          <w:lang w:val="en-US"/>
        </w:rPr>
        <w:t>More recent</w:t>
      </w:r>
      <w:r w:rsidRPr="00EA7665">
        <w:rPr>
          <w:rFonts w:ascii="Arial" w:hAnsi="Arial" w:cs="Arial"/>
          <w:lang w:val="en-US"/>
        </w:rPr>
        <w:t xml:space="preserve"> constructions have been developed since then</w:t>
      </w:r>
      <w:r w:rsidR="00662298">
        <w:rPr>
          <w:rFonts w:ascii="Arial" w:hAnsi="Arial" w:cs="Arial"/>
          <w:lang w:val="en-US"/>
        </w:rPr>
        <w:t>,</w:t>
      </w:r>
      <w:r w:rsidRPr="00EA7665">
        <w:rPr>
          <w:rFonts w:ascii="Arial" w:hAnsi="Arial" w:cs="Arial"/>
          <w:lang w:val="en-US"/>
        </w:rPr>
        <w:t xml:space="preserve"> but often for the upper end of the market and not in smaller-sized, more affordable apartments. </w:t>
      </w:r>
    </w:p>
    <w:p w14:paraId="39E03C31" w14:textId="1A5D04B2" w:rsidR="00CD6352" w:rsidRPr="00EA7665" w:rsidRDefault="00CD6352" w:rsidP="00CD6352">
      <w:pPr>
        <w:rPr>
          <w:rFonts w:ascii="Arial" w:hAnsi="Arial" w:cs="Arial"/>
          <w:lang w:val="en-US"/>
        </w:rPr>
      </w:pPr>
      <w:r w:rsidRPr="00EA7665">
        <w:rPr>
          <w:rFonts w:ascii="Arial" w:hAnsi="Arial" w:cs="Arial"/>
          <w:lang w:val="en-US"/>
        </w:rPr>
        <w:t>The OECD Germany brief (2018) made the following recommendations</w:t>
      </w:r>
      <w:r>
        <w:rPr>
          <w:rFonts w:ascii="Arial" w:hAnsi="Arial" w:cs="Arial"/>
          <w:lang w:val="en-US"/>
        </w:rPr>
        <w:t xml:space="preserve"> to</w:t>
      </w:r>
      <w:r w:rsidRPr="00EA7665">
        <w:rPr>
          <w:rFonts w:ascii="Arial" w:hAnsi="Arial" w:cs="Arial"/>
          <w:lang w:val="en-US"/>
        </w:rPr>
        <w:t xml:space="preserve"> policymakers to reduce the housing gap in Germany:</w:t>
      </w:r>
    </w:p>
    <w:p w14:paraId="6A71E3B6" w14:textId="77777777" w:rsidR="00CD6352" w:rsidRPr="00587CA9" w:rsidRDefault="00CD6352" w:rsidP="00587CA9">
      <w:pPr>
        <w:spacing w:line="360" w:lineRule="auto"/>
        <w:ind w:left="720"/>
        <w:jc w:val="both"/>
        <w:rPr>
          <w:rFonts w:ascii="Arial" w:hAnsi="Arial" w:cs="Arial"/>
          <w:lang w:val="en-US"/>
        </w:rPr>
      </w:pPr>
      <w:r w:rsidRPr="00EA7665">
        <w:rPr>
          <w:rFonts w:ascii="Arial" w:hAnsi="Arial" w:cs="Arial"/>
          <w:lang w:val="en-US"/>
        </w:rPr>
        <w:lastRenderedPageBreak/>
        <w:t>“</w:t>
      </w:r>
      <w:r w:rsidRPr="00587CA9">
        <w:rPr>
          <w:rFonts w:ascii="Arial" w:hAnsi="Arial" w:cs="Arial"/>
          <w:lang w:val="en-US"/>
        </w:rPr>
        <w:t>Carry out planned investment in public social housing and increase the rental social housing stock of good quality.</w:t>
      </w:r>
    </w:p>
    <w:p w14:paraId="2E39BB00" w14:textId="15E79793" w:rsidR="00CD6352" w:rsidRPr="00587CA9" w:rsidRDefault="00CD6352" w:rsidP="00587CA9">
      <w:pPr>
        <w:spacing w:line="360" w:lineRule="auto"/>
        <w:ind w:left="720"/>
        <w:jc w:val="both"/>
        <w:rPr>
          <w:rFonts w:ascii="Arial" w:hAnsi="Arial" w:cs="Arial"/>
          <w:lang w:val="en-US"/>
        </w:rPr>
      </w:pPr>
      <w:r w:rsidRPr="00587CA9">
        <w:rPr>
          <w:rFonts w:ascii="Arial" w:hAnsi="Arial" w:cs="Arial"/>
          <w:lang w:val="en-US"/>
        </w:rPr>
        <w:t>Work together with private investors, property developers, local authorities</w:t>
      </w:r>
      <w:r w:rsidR="00523DAA" w:rsidRPr="00587CA9">
        <w:rPr>
          <w:rFonts w:ascii="Arial" w:hAnsi="Arial" w:cs="Arial"/>
          <w:lang w:val="en-US"/>
        </w:rPr>
        <w:t>,</w:t>
      </w:r>
      <w:r w:rsidRPr="00587CA9">
        <w:rPr>
          <w:rFonts w:ascii="Arial" w:hAnsi="Arial" w:cs="Arial"/>
          <w:lang w:val="en-US"/>
        </w:rPr>
        <w:t xml:space="preserve"> and other stakeholders to ensure that </w:t>
      </w:r>
      <w:r w:rsidR="00662298" w:rsidRPr="00587CA9">
        <w:rPr>
          <w:rFonts w:ascii="Arial" w:hAnsi="Arial" w:cs="Arial"/>
          <w:lang w:val="en-US"/>
        </w:rPr>
        <w:t xml:space="preserve">the </w:t>
      </w:r>
      <w:r w:rsidRPr="00587CA9">
        <w:rPr>
          <w:rFonts w:ascii="Arial" w:hAnsi="Arial" w:cs="Arial"/>
          <w:lang w:val="en-US"/>
        </w:rPr>
        <w:t>construction of new</w:t>
      </w:r>
      <w:r w:rsidR="00662298" w:rsidRPr="00587CA9">
        <w:rPr>
          <w:rFonts w:ascii="Arial" w:hAnsi="Arial" w:cs="Arial"/>
          <w:lang w:val="en-US"/>
        </w:rPr>
        <w:t xml:space="preserve"> and upgrading existing affordable housing will provide</w:t>
      </w:r>
      <w:r w:rsidRPr="00587CA9">
        <w:rPr>
          <w:rFonts w:ascii="Arial" w:hAnsi="Arial" w:cs="Arial"/>
          <w:lang w:val="en-US"/>
        </w:rPr>
        <w:t xml:space="preserve"> financial incentives for </w:t>
      </w:r>
      <w:r w:rsidR="00662298" w:rsidRPr="00587CA9">
        <w:rPr>
          <w:rFonts w:ascii="Arial" w:hAnsi="Arial" w:cs="Arial"/>
          <w:lang w:val="en-US"/>
        </w:rPr>
        <w:t>constructing</w:t>
      </w:r>
      <w:r w:rsidRPr="00587CA9">
        <w:rPr>
          <w:rFonts w:ascii="Arial" w:hAnsi="Arial" w:cs="Arial"/>
          <w:lang w:val="en-US"/>
        </w:rPr>
        <w:t xml:space="preserve"> such affordable housing units.</w:t>
      </w:r>
    </w:p>
    <w:p w14:paraId="77C7A878" w14:textId="756539A7" w:rsidR="00CD6352" w:rsidRPr="00587CA9" w:rsidRDefault="00CD6352" w:rsidP="00587CA9">
      <w:pPr>
        <w:spacing w:line="360" w:lineRule="auto"/>
        <w:ind w:left="720"/>
        <w:jc w:val="both"/>
        <w:rPr>
          <w:rFonts w:ascii="Arial" w:hAnsi="Arial" w:cs="Arial"/>
          <w:lang w:val="en-US"/>
        </w:rPr>
      </w:pPr>
      <w:r w:rsidRPr="00587CA9">
        <w:rPr>
          <w:rFonts w:ascii="Arial" w:hAnsi="Arial" w:cs="Arial"/>
          <w:lang w:val="en-US"/>
        </w:rPr>
        <w:t xml:space="preserve">Promote planning at the metropolitan scale to encourage all municipalities within large urban agglomerations to build new housing to </w:t>
      </w:r>
      <w:r w:rsidR="00662298" w:rsidRPr="00587CA9">
        <w:rPr>
          <w:rFonts w:ascii="Arial" w:hAnsi="Arial" w:cs="Arial"/>
          <w:lang w:val="en-US"/>
        </w:rPr>
        <w:t>meet</w:t>
      </w:r>
      <w:r w:rsidRPr="00587CA9">
        <w:rPr>
          <w:rFonts w:ascii="Arial" w:hAnsi="Arial" w:cs="Arial"/>
          <w:lang w:val="en-US"/>
        </w:rPr>
        <w:t xml:space="preserve"> demand.</w:t>
      </w:r>
    </w:p>
    <w:p w14:paraId="4196E9A5" w14:textId="3F273361" w:rsidR="00CD6352" w:rsidRPr="00587CA9" w:rsidRDefault="00CD6352" w:rsidP="00587CA9">
      <w:pPr>
        <w:spacing w:line="360" w:lineRule="auto"/>
        <w:ind w:left="720"/>
        <w:jc w:val="both"/>
        <w:rPr>
          <w:rFonts w:ascii="Arial" w:hAnsi="Arial" w:cs="Arial"/>
          <w:lang w:val="en-US"/>
        </w:rPr>
      </w:pPr>
      <w:r w:rsidRPr="00587CA9">
        <w:rPr>
          <w:rFonts w:ascii="Arial" w:hAnsi="Arial" w:cs="Arial"/>
          <w:lang w:val="en-US"/>
        </w:rPr>
        <w:t>Further, encourage infill development and densification in cities to reduce the existing shortfall in housing supply to prevent market prices and rent from rising significantly higher.”</w:t>
      </w:r>
    </w:p>
    <w:p w14:paraId="558E4811" w14:textId="77777777" w:rsidR="00CD6352" w:rsidRPr="00EA7665" w:rsidRDefault="00CD6352" w:rsidP="00CD6352">
      <w:pPr>
        <w:rPr>
          <w:rFonts w:ascii="Arial" w:hAnsi="Arial" w:cs="Arial"/>
          <w:b/>
          <w:lang w:val="en-US"/>
        </w:rPr>
      </w:pPr>
    </w:p>
    <w:p w14:paraId="4E6F87F2" w14:textId="77777777" w:rsidR="00CD6352" w:rsidRPr="00523DAA" w:rsidRDefault="00CD6352" w:rsidP="00CD6352">
      <w:pPr>
        <w:pStyle w:val="Heading4"/>
        <w:spacing w:after="240"/>
        <w:rPr>
          <w:rFonts w:ascii="Arial" w:hAnsi="Arial" w:cs="Arial"/>
          <w:b/>
          <w:i w:val="0"/>
          <w:iCs w:val="0"/>
          <w:color w:val="auto"/>
          <w:lang w:val="en-US"/>
        </w:rPr>
      </w:pPr>
      <w:r w:rsidRPr="00523DAA">
        <w:rPr>
          <w:rFonts w:ascii="Arial" w:hAnsi="Arial" w:cs="Arial"/>
          <w:b/>
          <w:i w:val="0"/>
          <w:iCs w:val="0"/>
          <w:color w:val="auto"/>
          <w:lang w:val="en-US"/>
        </w:rPr>
        <w:t xml:space="preserve">Sources of Real estate finance in Germany </w:t>
      </w:r>
    </w:p>
    <w:p w14:paraId="27BF2B9A" w14:textId="6D986775" w:rsidR="00CD6352" w:rsidRPr="00EA7665" w:rsidRDefault="00377C57" w:rsidP="00CD6352">
      <w:pPr>
        <w:spacing w:line="360" w:lineRule="auto"/>
        <w:rPr>
          <w:rFonts w:ascii="Arial" w:hAnsi="Arial" w:cs="Arial"/>
        </w:rPr>
      </w:pPr>
      <w:r>
        <w:rPr>
          <w:rFonts w:ascii="Arial" w:hAnsi="Arial" w:cs="Arial"/>
        </w:rPr>
        <w:t>Germany's most dominant finance sources for real estate project development</w:t>
      </w:r>
      <w:r w:rsidR="00CD6352" w:rsidRPr="00EA7665">
        <w:rPr>
          <w:rFonts w:ascii="Arial" w:hAnsi="Arial" w:cs="Arial"/>
        </w:rPr>
        <w:t xml:space="preserve"> </w:t>
      </w:r>
      <w:r w:rsidR="00CD6352">
        <w:rPr>
          <w:rFonts w:ascii="Arial" w:hAnsi="Arial" w:cs="Arial"/>
        </w:rPr>
        <w:t>are</w:t>
      </w:r>
      <w:r w:rsidR="00CD6352" w:rsidRPr="00EA7665">
        <w:rPr>
          <w:rFonts w:ascii="Arial" w:hAnsi="Arial" w:cs="Arial"/>
        </w:rPr>
        <w:t xml:space="preserve"> </w:t>
      </w:r>
      <w:r w:rsidR="00CD6352">
        <w:rPr>
          <w:rFonts w:ascii="Arial" w:hAnsi="Arial" w:cs="Arial"/>
        </w:rPr>
        <w:t>b</w:t>
      </w:r>
      <w:r w:rsidR="00CD6352" w:rsidRPr="00EA7665">
        <w:rPr>
          <w:rFonts w:ascii="Arial" w:hAnsi="Arial" w:cs="Arial"/>
        </w:rPr>
        <w:t xml:space="preserve">anks and savings banks (Zhou, 2019). </w:t>
      </w:r>
      <w:r>
        <w:rPr>
          <w:rFonts w:ascii="Arial" w:hAnsi="Arial" w:cs="Arial"/>
        </w:rPr>
        <w:t>In Germany, real estate investment</w:t>
      </w:r>
      <w:r w:rsidR="00CD6352" w:rsidRPr="00EA7665">
        <w:rPr>
          <w:rFonts w:ascii="Arial" w:hAnsi="Arial" w:cs="Arial"/>
        </w:rPr>
        <w:t xml:space="preserve"> could be </w:t>
      </w:r>
      <w:r w:rsidR="00662298">
        <w:rPr>
          <w:rFonts w:ascii="Arial" w:hAnsi="Arial" w:cs="Arial"/>
        </w:rPr>
        <w:t xml:space="preserve">an </w:t>
      </w:r>
      <w:r w:rsidR="00CD6352" w:rsidRPr="00EA7665">
        <w:rPr>
          <w:rFonts w:ascii="Arial" w:hAnsi="Arial" w:cs="Arial"/>
        </w:rPr>
        <w:t xml:space="preserve">investment in real estate through a share deal or investment through special real estate vehicles (Just &amp; Maenning, 2017). The indirect approach to investing in the German real estate sector is through </w:t>
      </w:r>
      <w:r w:rsidR="00CD6352">
        <w:rPr>
          <w:rFonts w:ascii="Arial" w:hAnsi="Arial" w:cs="Arial"/>
        </w:rPr>
        <w:t xml:space="preserve">the </w:t>
      </w:r>
      <w:r w:rsidR="00CD6352" w:rsidRPr="00EA7665">
        <w:rPr>
          <w:rFonts w:ascii="Arial" w:hAnsi="Arial" w:cs="Arial"/>
        </w:rPr>
        <w:t>German Stock Corporation and German real estate investment trus</w:t>
      </w:r>
      <w:r w:rsidR="00CD6352">
        <w:rPr>
          <w:rFonts w:ascii="Arial" w:hAnsi="Arial" w:cs="Arial"/>
        </w:rPr>
        <w:t>ts</w:t>
      </w:r>
      <w:r w:rsidR="00CD6352" w:rsidRPr="00EA7665">
        <w:rPr>
          <w:rFonts w:ascii="Arial" w:hAnsi="Arial" w:cs="Arial"/>
        </w:rPr>
        <w:t xml:space="preserve"> (G-REITs). Funds are also raised for real estate development </w:t>
      </w:r>
      <w:r w:rsidR="00CD6352">
        <w:rPr>
          <w:rFonts w:ascii="Arial" w:hAnsi="Arial" w:cs="Arial"/>
        </w:rPr>
        <w:t>in</w:t>
      </w:r>
      <w:r w:rsidR="00CD6352" w:rsidRPr="00EA7665">
        <w:rPr>
          <w:rFonts w:ascii="Arial" w:hAnsi="Arial" w:cs="Arial"/>
        </w:rPr>
        <w:t xml:space="preserve"> Germany </w:t>
      </w:r>
      <w:r w:rsidR="006B41A0">
        <w:rPr>
          <w:rFonts w:ascii="Arial" w:hAnsi="Arial" w:cs="Arial"/>
        </w:rPr>
        <w:t>by using capital market products such as increasing capital or issuing shares and p</w:t>
      </w:r>
      <w:r w:rsidR="00CD6352" w:rsidRPr="00EA7665">
        <w:rPr>
          <w:rFonts w:ascii="Arial" w:hAnsi="Arial" w:cs="Arial"/>
        </w:rPr>
        <w:t>rivate equity firms (Jill, 2019).</w:t>
      </w:r>
      <w:r w:rsidR="00CD6352">
        <w:rPr>
          <w:rFonts w:ascii="Arial" w:hAnsi="Arial" w:cs="Arial"/>
        </w:rPr>
        <w:t xml:space="preserve"> </w:t>
      </w:r>
      <w:r w:rsidR="00CD6352" w:rsidRPr="00EA7665">
        <w:rPr>
          <w:rFonts w:ascii="Arial" w:hAnsi="Arial" w:cs="Arial"/>
        </w:rPr>
        <w:t xml:space="preserve">The leading equity investors in the German real estate market are quoted property companies, overseas inward investors, public/property funds, pension funds, life assurance, and other insurance companies. </w:t>
      </w:r>
      <w:r w:rsidR="00AD40B8">
        <w:rPr>
          <w:rFonts w:ascii="Arial" w:hAnsi="Arial" w:cs="Arial"/>
        </w:rPr>
        <w:t>Germany's most dominant investment platform</w:t>
      </w:r>
      <w:r w:rsidR="006B41A0">
        <w:rPr>
          <w:rFonts w:ascii="Arial" w:hAnsi="Arial" w:cs="Arial"/>
        </w:rPr>
        <w:t xml:space="preserve"> is</w:t>
      </w:r>
      <w:r w:rsidR="00CD6352" w:rsidRPr="00EA7665">
        <w:rPr>
          <w:rFonts w:ascii="Arial" w:hAnsi="Arial" w:cs="Arial"/>
        </w:rPr>
        <w:t xml:space="preserve"> overseas investors and closed-end funds (Maguire and Axcell, 1994</w:t>
      </w:r>
      <w:r w:rsidR="00AD40B8">
        <w:rPr>
          <w:rFonts w:ascii="Arial" w:hAnsi="Arial" w:cs="Arial"/>
        </w:rPr>
        <w:t>;</w:t>
      </w:r>
      <w:r w:rsidR="00AD40B8" w:rsidRPr="00AD40B8">
        <w:rPr>
          <w:rFonts w:ascii="Arial" w:hAnsi="Arial" w:cs="Arial"/>
          <w:lang w:val="en-US"/>
        </w:rPr>
        <w:t xml:space="preserve"> </w:t>
      </w:r>
      <w:r w:rsidR="00AD40B8" w:rsidRPr="00EA7665">
        <w:rPr>
          <w:rFonts w:ascii="Arial" w:hAnsi="Arial" w:cs="Arial"/>
          <w:lang w:val="en-US"/>
        </w:rPr>
        <w:t>Delmendo, 2019</w:t>
      </w:r>
      <w:r w:rsidR="00AD40B8">
        <w:rPr>
          <w:rFonts w:ascii="Arial" w:hAnsi="Arial" w:cs="Arial"/>
        </w:rPr>
        <w:t xml:space="preserve"> </w:t>
      </w:r>
      <w:r w:rsidR="00CD6352" w:rsidRPr="00EA7665">
        <w:rPr>
          <w:rFonts w:ascii="Arial" w:hAnsi="Arial" w:cs="Arial"/>
        </w:rPr>
        <w:t xml:space="preserve">). </w:t>
      </w:r>
    </w:p>
    <w:p w14:paraId="6BF880DE" w14:textId="7EC55DE7" w:rsidR="00CD6352" w:rsidRPr="00EA7665" w:rsidRDefault="00CD6352" w:rsidP="00CD6352">
      <w:pPr>
        <w:spacing w:line="360" w:lineRule="auto"/>
        <w:rPr>
          <w:rFonts w:ascii="Arial" w:hAnsi="Arial" w:cs="Arial"/>
          <w:lang w:val="en-US"/>
        </w:rPr>
      </w:pPr>
      <w:r w:rsidRPr="00EA7665">
        <w:rPr>
          <w:rFonts w:ascii="Arial" w:hAnsi="Arial" w:cs="Arial"/>
        </w:rPr>
        <w:t xml:space="preserve">Investments in the German real estate development sector include finance from other countries through their sovereign wealth funds. </w:t>
      </w:r>
      <w:r w:rsidR="006B41A0">
        <w:rPr>
          <w:rFonts w:ascii="Arial" w:hAnsi="Arial" w:cs="Arial"/>
        </w:rPr>
        <w:t xml:space="preserve">This </w:t>
      </w:r>
      <w:r w:rsidR="00AE54FE">
        <w:rPr>
          <w:rFonts w:ascii="Arial" w:hAnsi="Arial" w:cs="Arial"/>
        </w:rPr>
        <w:t xml:space="preserve">consists of </w:t>
      </w:r>
      <w:r w:rsidR="003D35E3">
        <w:rPr>
          <w:rFonts w:ascii="Arial" w:hAnsi="Arial" w:cs="Arial"/>
        </w:rPr>
        <w:t>the Chinese</w:t>
      </w:r>
      <w:r w:rsidR="006B41A0">
        <w:rPr>
          <w:rFonts w:ascii="Arial" w:hAnsi="Arial" w:cs="Arial"/>
        </w:rPr>
        <w:t xml:space="preserve"> sovereign wealth fund</w:t>
      </w:r>
      <w:r w:rsidR="007771C2">
        <w:rPr>
          <w:rFonts w:ascii="Arial" w:hAnsi="Arial" w:cs="Arial"/>
        </w:rPr>
        <w:t>,</w:t>
      </w:r>
      <w:r w:rsidR="006B41A0">
        <w:rPr>
          <w:rFonts w:ascii="Arial" w:hAnsi="Arial" w:cs="Arial"/>
        </w:rPr>
        <w:t xml:space="preserve"> which has great </w:t>
      </w:r>
      <w:r w:rsidR="00AE54FE">
        <w:rPr>
          <w:rFonts w:ascii="Arial" w:hAnsi="Arial" w:cs="Arial"/>
        </w:rPr>
        <w:t>commercial and residential real estate investments</w:t>
      </w:r>
      <w:r w:rsidRPr="00EA7665">
        <w:rPr>
          <w:rFonts w:ascii="Arial" w:hAnsi="Arial" w:cs="Arial"/>
        </w:rPr>
        <w:t xml:space="preserve"> in Germany (Jll, 2019). </w:t>
      </w:r>
      <w:r w:rsidRPr="00EA7665">
        <w:rPr>
          <w:rFonts w:ascii="Arial" w:hAnsi="Arial" w:cs="Arial"/>
          <w:lang w:val="en-US"/>
        </w:rPr>
        <w:t>Foreign investors, particularly from Israel, France, and the UK, represent a quarter of direct residential investment in Germany (</w:t>
      </w:r>
      <w:bookmarkStart w:id="487" w:name="_Hlk65490610"/>
      <w:r w:rsidRPr="00EA7665">
        <w:rPr>
          <w:rFonts w:ascii="Arial" w:hAnsi="Arial" w:cs="Arial"/>
          <w:lang w:val="en-US"/>
        </w:rPr>
        <w:t>Delmendo, 2019</w:t>
      </w:r>
      <w:bookmarkEnd w:id="487"/>
      <w:r w:rsidRPr="00EA7665">
        <w:rPr>
          <w:rFonts w:ascii="Arial" w:hAnsi="Arial" w:cs="Arial"/>
          <w:lang w:val="en-US"/>
        </w:rPr>
        <w:t>).</w:t>
      </w:r>
    </w:p>
    <w:p w14:paraId="3774C141" w14:textId="39FB6FEF" w:rsidR="00CD6352" w:rsidRPr="00EA7665" w:rsidRDefault="00CD6352" w:rsidP="00CD6352">
      <w:pPr>
        <w:spacing w:line="360" w:lineRule="auto"/>
        <w:rPr>
          <w:rFonts w:ascii="Arial" w:hAnsi="Arial" w:cs="Arial"/>
          <w:lang w:val="en-US"/>
        </w:rPr>
      </w:pPr>
      <w:r w:rsidRPr="00EA7665">
        <w:rPr>
          <w:rFonts w:ascii="Arial" w:hAnsi="Arial" w:cs="Arial"/>
          <w:lang w:val="en-US"/>
        </w:rPr>
        <w:t>The German property debt comes in two major forms</w:t>
      </w:r>
      <w:r w:rsidR="006B41A0">
        <w:rPr>
          <w:rFonts w:ascii="Arial" w:hAnsi="Arial" w:cs="Arial"/>
          <w:lang w:val="en-US"/>
        </w:rPr>
        <w:t>:</w:t>
      </w:r>
      <w:r w:rsidRPr="00EA7665">
        <w:rPr>
          <w:rFonts w:ascii="Arial" w:hAnsi="Arial" w:cs="Arial"/>
          <w:lang w:val="en-US"/>
        </w:rPr>
        <w:t xml:space="preserve"> bank lending and (Pfandbriefe) mortgage-backed bonds (Maguire and Axcell, 1994). The Pfandbriefe represents the largest segment of the German private debt market. </w:t>
      </w:r>
      <w:r w:rsidR="007771C2">
        <w:rPr>
          <w:rFonts w:ascii="Arial" w:hAnsi="Arial" w:cs="Arial"/>
          <w:lang w:val="en-US"/>
        </w:rPr>
        <w:t>In Germany, real estate lending platforms include German banks that</w:t>
      </w:r>
      <w:r w:rsidRPr="00EA7665">
        <w:rPr>
          <w:rFonts w:ascii="Arial" w:hAnsi="Arial" w:cs="Arial"/>
          <w:lang w:val="en-US"/>
        </w:rPr>
        <w:t xml:space="preserve"> currently ha</w:t>
      </w:r>
      <w:r w:rsidR="00391C59">
        <w:rPr>
          <w:rFonts w:ascii="Arial" w:hAnsi="Arial" w:cs="Arial"/>
          <w:lang w:val="en-US"/>
        </w:rPr>
        <w:t>ve</w:t>
      </w:r>
      <w:r w:rsidRPr="00EA7665">
        <w:rPr>
          <w:rFonts w:ascii="Arial" w:hAnsi="Arial" w:cs="Arial"/>
          <w:lang w:val="en-US"/>
        </w:rPr>
        <w:t xml:space="preserve"> a total loan portfolio of about 250billion</w:t>
      </w:r>
      <w:r w:rsidR="00C86AB1">
        <w:rPr>
          <w:rFonts w:ascii="Arial" w:hAnsi="Arial" w:cs="Arial"/>
          <w:lang w:val="en-US"/>
        </w:rPr>
        <w:t xml:space="preserve"> Euros</w:t>
      </w:r>
      <w:r w:rsidRPr="00EA7665">
        <w:rPr>
          <w:rFonts w:ascii="Arial" w:hAnsi="Arial" w:cs="Arial"/>
          <w:lang w:val="en-US"/>
        </w:rPr>
        <w:t xml:space="preserve"> (Jll, 2019). Lenders have a great interest in the booming German real estate sector despite the fierce competition, high property prices, and tightening regulations (Cunningham, 2018). </w:t>
      </w:r>
      <w:r w:rsidRPr="00EA7665">
        <w:rPr>
          <w:rFonts w:ascii="Arial" w:hAnsi="Arial" w:cs="Arial"/>
          <w:lang w:val="en-US"/>
        </w:rPr>
        <w:lastRenderedPageBreak/>
        <w:t xml:space="preserve">Some of </w:t>
      </w:r>
      <w:r w:rsidR="00AE54FE">
        <w:rPr>
          <w:rFonts w:ascii="Arial" w:hAnsi="Arial" w:cs="Arial"/>
          <w:lang w:val="en-US"/>
        </w:rPr>
        <w:t>Germany's top banks involved with real estate project lending</w:t>
      </w:r>
      <w:r w:rsidRPr="00EA7665">
        <w:rPr>
          <w:rFonts w:ascii="Arial" w:hAnsi="Arial" w:cs="Arial"/>
          <w:lang w:val="en-US"/>
        </w:rPr>
        <w:t xml:space="preserve"> are Helaba, Pdd Deutsche</w:t>
      </w:r>
      <w:r w:rsidR="00391C59">
        <w:rPr>
          <w:rFonts w:ascii="Arial" w:hAnsi="Arial" w:cs="Arial"/>
          <w:lang w:val="en-US"/>
        </w:rPr>
        <w:t>,</w:t>
      </w:r>
      <w:r w:rsidRPr="00EA7665">
        <w:rPr>
          <w:rFonts w:ascii="Arial" w:hAnsi="Arial" w:cs="Arial"/>
          <w:lang w:val="en-US"/>
        </w:rPr>
        <w:t xml:space="preserve"> and Pfandbriefbank (Jll, 2019).</w:t>
      </w:r>
      <w:r>
        <w:rPr>
          <w:rFonts w:ascii="Arial" w:hAnsi="Arial" w:cs="Arial"/>
          <w:lang w:val="en-US"/>
        </w:rPr>
        <w:t xml:space="preserve"> </w:t>
      </w:r>
      <w:r w:rsidRPr="00EA7665">
        <w:rPr>
          <w:rFonts w:ascii="Arial" w:hAnsi="Arial" w:cs="Arial"/>
          <w:lang w:val="en-US"/>
        </w:rPr>
        <w:t>The German commercial banks dominate the lending market, and they also take up equity stakes in the developments</w:t>
      </w:r>
      <w:r w:rsidR="00AE54FE">
        <w:rPr>
          <w:rFonts w:ascii="Arial" w:hAnsi="Arial" w:cs="Arial"/>
          <w:lang w:val="en-US"/>
        </w:rPr>
        <w:t>. They</w:t>
      </w:r>
      <w:r w:rsidRPr="00EA7665">
        <w:rPr>
          <w:rFonts w:ascii="Arial" w:hAnsi="Arial" w:cs="Arial"/>
          <w:lang w:val="en-US"/>
        </w:rPr>
        <w:t xml:space="preserve"> may sit on the supervisory boards of the developers to which they are lending. </w:t>
      </w:r>
      <w:r w:rsidR="007771C2">
        <w:rPr>
          <w:rFonts w:ascii="Arial" w:hAnsi="Arial" w:cs="Arial"/>
          <w:lang w:val="en-US"/>
        </w:rPr>
        <w:t>The Pfandbriefe, mortgage-backed bonds, are issued b</w:t>
      </w:r>
      <w:r w:rsidRPr="00EA7665">
        <w:rPr>
          <w:rFonts w:ascii="Arial" w:hAnsi="Arial" w:cs="Arial"/>
          <w:lang w:val="en-US"/>
        </w:rPr>
        <w:t>y licensed mortgage banks, usually wholly owned subsidiaries of the major commercial and state banks</w:t>
      </w:r>
      <w:r w:rsidR="00A919A3">
        <w:rPr>
          <w:rFonts w:ascii="Arial" w:hAnsi="Arial" w:cs="Arial"/>
          <w:lang w:val="en-US"/>
        </w:rPr>
        <w:t>.</w:t>
      </w:r>
    </w:p>
    <w:p w14:paraId="1526B727" w14:textId="7E02071A" w:rsidR="00CD6352" w:rsidRPr="00EA7665" w:rsidRDefault="00D45B9C" w:rsidP="00CD6352">
      <w:pPr>
        <w:pStyle w:val="Heading3"/>
        <w:rPr>
          <w:sz w:val="22"/>
          <w:szCs w:val="22"/>
        </w:rPr>
      </w:pPr>
      <w:bookmarkStart w:id="488" w:name="_Toc78983779"/>
      <w:r w:rsidRPr="00D45B9C">
        <w:rPr>
          <w:sz w:val="22"/>
          <w:szCs w:val="22"/>
        </w:rPr>
        <w:t xml:space="preserve">A review of literature focused on </w:t>
      </w:r>
      <w:r w:rsidR="00CD6352" w:rsidRPr="00EA7665">
        <w:rPr>
          <w:sz w:val="22"/>
          <w:szCs w:val="22"/>
        </w:rPr>
        <w:t xml:space="preserve">the United Kingdom real estate </w:t>
      </w:r>
      <w:r w:rsidR="00675BBE" w:rsidRPr="00EA7665">
        <w:rPr>
          <w:sz w:val="22"/>
          <w:szCs w:val="22"/>
        </w:rPr>
        <w:t>market.</w:t>
      </w:r>
      <w:bookmarkEnd w:id="488"/>
    </w:p>
    <w:p w14:paraId="094D1329" w14:textId="6B706EE3" w:rsidR="00CD6352" w:rsidRPr="00EA7665" w:rsidRDefault="00CD6352" w:rsidP="00CD6352">
      <w:pPr>
        <w:spacing w:line="360" w:lineRule="auto"/>
        <w:jc w:val="both"/>
        <w:rPr>
          <w:rFonts w:ascii="Arial" w:hAnsi="Arial" w:cs="Arial"/>
        </w:rPr>
      </w:pPr>
      <w:r w:rsidRPr="00EA7665">
        <w:rPr>
          <w:rFonts w:ascii="Arial" w:hAnsi="Arial" w:cs="Arial"/>
        </w:rPr>
        <w:t xml:space="preserve">The United Kingdom is a developed economy with 62.8 million (trading economics, 2019). According to the </w:t>
      </w:r>
      <w:r w:rsidR="007771C2">
        <w:rPr>
          <w:rFonts w:ascii="Arial" w:hAnsi="Arial" w:cs="Arial"/>
        </w:rPr>
        <w:t>national statistics (ONS) office</w:t>
      </w:r>
      <w:r w:rsidRPr="00EA7665">
        <w:rPr>
          <w:rFonts w:ascii="Arial" w:hAnsi="Arial" w:cs="Arial"/>
        </w:rPr>
        <w:t xml:space="preserve">, about 60% of the UK’s £6.5trillion wealth is in residential property. Consequently, the </w:t>
      </w:r>
      <w:r w:rsidR="007771C2">
        <w:rPr>
          <w:rFonts w:ascii="Arial" w:hAnsi="Arial" w:cs="Arial"/>
        </w:rPr>
        <w:t>UK’s residential market value</w:t>
      </w:r>
      <w:r w:rsidRPr="00EA7665">
        <w:rPr>
          <w:rFonts w:ascii="Arial" w:hAnsi="Arial" w:cs="Arial"/>
        </w:rPr>
        <w:t xml:space="preserve"> is around £3.9 trillion, while the </w:t>
      </w:r>
      <w:r w:rsidR="00AD40B8">
        <w:rPr>
          <w:rFonts w:ascii="Arial" w:hAnsi="Arial" w:cs="Arial"/>
        </w:rPr>
        <w:t>commercial sector's size</w:t>
      </w:r>
      <w:r w:rsidRPr="00EA7665">
        <w:rPr>
          <w:rFonts w:ascii="Arial" w:hAnsi="Arial" w:cs="Arial"/>
        </w:rPr>
        <w:t xml:space="preserve"> is about £349billion. The British property sector contributes about 6% of the GDP, and the banking sector has a high preference for properties </w:t>
      </w:r>
      <w:r>
        <w:rPr>
          <w:rFonts w:ascii="Arial" w:hAnsi="Arial" w:cs="Arial"/>
        </w:rPr>
        <w:t xml:space="preserve">being </w:t>
      </w:r>
      <w:r w:rsidRPr="00EA7665">
        <w:rPr>
          <w:rFonts w:ascii="Arial" w:hAnsi="Arial" w:cs="Arial"/>
        </w:rPr>
        <w:t>used as collateral for lending (Barton, 2017).</w:t>
      </w:r>
    </w:p>
    <w:p w14:paraId="6CE4C403" w14:textId="7A344ECA" w:rsidR="00CD6352" w:rsidRPr="00EA7665" w:rsidRDefault="00CD6352" w:rsidP="00CD6352">
      <w:pPr>
        <w:spacing w:line="360" w:lineRule="auto"/>
        <w:jc w:val="both"/>
        <w:rPr>
          <w:rFonts w:ascii="Arial" w:hAnsi="Arial" w:cs="Arial"/>
        </w:rPr>
      </w:pPr>
      <w:r w:rsidRPr="00EA7665">
        <w:rPr>
          <w:rFonts w:ascii="Arial" w:hAnsi="Arial" w:cs="Arial"/>
        </w:rPr>
        <w:t xml:space="preserve">House prices in the UK are still rising, but the uncertainty over Brexit is clouding the prospect (Delmendo, 2019). According to the Global property guide report for 2019, the </w:t>
      </w:r>
      <w:r w:rsidR="007771C2">
        <w:rPr>
          <w:rFonts w:ascii="Arial" w:hAnsi="Arial" w:cs="Arial"/>
        </w:rPr>
        <w:t>UK's average house price</w:t>
      </w:r>
      <w:r w:rsidRPr="00EA7665">
        <w:rPr>
          <w:rFonts w:ascii="Arial" w:hAnsi="Arial" w:cs="Arial"/>
        </w:rPr>
        <w:t xml:space="preserve"> rose by 0.3% to £216,805</w:t>
      </w:r>
      <w:r w:rsidR="007771C2">
        <w:rPr>
          <w:rFonts w:ascii="Arial" w:hAnsi="Arial" w:cs="Arial"/>
        </w:rPr>
        <w:t>,</w:t>
      </w:r>
      <w:r w:rsidRPr="00EA7665">
        <w:rPr>
          <w:rFonts w:ascii="Arial" w:hAnsi="Arial" w:cs="Arial"/>
        </w:rPr>
        <w:t xml:space="preserve"> with London registering the most significant hous</w:t>
      </w:r>
      <w:r>
        <w:rPr>
          <w:rFonts w:ascii="Arial" w:hAnsi="Arial" w:cs="Arial"/>
        </w:rPr>
        <w:t xml:space="preserve">ing </w:t>
      </w:r>
      <w:r w:rsidRPr="00EA7665">
        <w:rPr>
          <w:rFonts w:ascii="Arial" w:hAnsi="Arial" w:cs="Arial"/>
        </w:rPr>
        <w:t>decline of 1.7% during the year to Q3 2019. The highest price rise</w:t>
      </w:r>
      <w:r>
        <w:rPr>
          <w:rFonts w:ascii="Arial" w:hAnsi="Arial" w:cs="Arial"/>
        </w:rPr>
        <w:t xml:space="preserve"> was</w:t>
      </w:r>
      <w:r w:rsidRPr="00EA7665">
        <w:rPr>
          <w:rFonts w:ascii="Arial" w:hAnsi="Arial" w:cs="Arial"/>
        </w:rPr>
        <w:t xml:space="preserve"> in Northern Ireland with an increase of 3.4%, followed by Wales (2.9%), North West (2.5%), West Midlands (2.1%), North (2%)</w:t>
      </w:r>
      <w:r w:rsidR="0046499F">
        <w:rPr>
          <w:rFonts w:ascii="Arial" w:hAnsi="Arial" w:cs="Arial"/>
        </w:rPr>
        <w:t>,</w:t>
      </w:r>
      <w:r w:rsidRPr="00EA7665">
        <w:rPr>
          <w:rFonts w:ascii="Arial" w:hAnsi="Arial" w:cs="Arial"/>
        </w:rPr>
        <w:t xml:space="preserve"> and East Anglia (1.7%).  The regions with weaker price rises include Scotland (0.8%), South West (0.5%), East Midlands (0.4%)</w:t>
      </w:r>
      <w:r w:rsidR="0046499F">
        <w:rPr>
          <w:rFonts w:ascii="Arial" w:hAnsi="Arial" w:cs="Arial"/>
        </w:rPr>
        <w:t>,</w:t>
      </w:r>
      <w:r w:rsidRPr="00EA7665">
        <w:rPr>
          <w:rFonts w:ascii="Arial" w:hAnsi="Arial" w:cs="Arial"/>
        </w:rPr>
        <w:t xml:space="preserve"> and Yorkshire and Humberside (0.1%) (Delmendo, 2019).</w:t>
      </w:r>
      <w:r w:rsidR="003D35E3">
        <w:rPr>
          <w:rFonts w:ascii="Arial" w:hAnsi="Arial" w:cs="Arial"/>
        </w:rPr>
        <w:t xml:space="preserve"> See graphical illustration of UK average house prices in Figure 2.2.4.</w:t>
      </w:r>
    </w:p>
    <w:p w14:paraId="1F40A92B" w14:textId="77777777" w:rsidR="00CD6352" w:rsidRPr="00EA7665" w:rsidRDefault="00CD6352" w:rsidP="00CD6352">
      <w:pPr>
        <w:keepNext/>
        <w:spacing w:line="360" w:lineRule="auto"/>
        <w:jc w:val="both"/>
      </w:pPr>
      <w:r w:rsidRPr="00EA7665">
        <w:rPr>
          <w:noProof/>
          <w:lang w:eastAsia="en-GB"/>
        </w:rPr>
        <w:drawing>
          <wp:inline distT="0" distB="0" distL="0" distR="0" wp14:anchorId="18C37ABA" wp14:editId="1E47F921">
            <wp:extent cx="6029960" cy="2765987"/>
            <wp:effectExtent l="0" t="0" r="0" b="0"/>
            <wp:docPr id="33" name="Picture 33" descr="United Kingdom hous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d Kingdom house pri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806" cy="2776008"/>
                    </a:xfrm>
                    <a:prstGeom prst="rect">
                      <a:avLst/>
                    </a:prstGeom>
                    <a:noFill/>
                    <a:ln>
                      <a:noFill/>
                    </a:ln>
                  </pic:spPr>
                </pic:pic>
              </a:graphicData>
            </a:graphic>
          </wp:inline>
        </w:drawing>
      </w:r>
    </w:p>
    <w:p w14:paraId="0EA696B0" w14:textId="2ED76423" w:rsidR="00CD6352" w:rsidRPr="008815B0" w:rsidRDefault="00CD6352" w:rsidP="00CD6352">
      <w:pPr>
        <w:pStyle w:val="Caption"/>
        <w:jc w:val="both"/>
        <w:rPr>
          <w:rFonts w:ascii="Arial" w:hAnsi="Arial" w:cs="Arial"/>
          <w:i w:val="0"/>
          <w:iCs w:val="0"/>
        </w:rPr>
      </w:pPr>
      <w:r w:rsidRPr="008815B0">
        <w:rPr>
          <w:i w:val="0"/>
          <w:iCs w:val="0"/>
        </w:rPr>
        <w:t xml:space="preserve">Figure </w:t>
      </w:r>
      <w:r w:rsidR="00324B0D">
        <w:rPr>
          <w:i w:val="0"/>
          <w:iCs w:val="0"/>
        </w:rPr>
        <w:fldChar w:fldCharType="begin"/>
      </w:r>
      <w:r w:rsidR="00324B0D">
        <w:rPr>
          <w:i w:val="0"/>
          <w:iCs w:val="0"/>
        </w:rPr>
        <w:instrText xml:space="preserve"> STYLEREF 2 \s </w:instrText>
      </w:r>
      <w:r w:rsidR="00324B0D">
        <w:rPr>
          <w:i w:val="0"/>
          <w:iCs w:val="0"/>
        </w:rPr>
        <w:fldChar w:fldCharType="separate"/>
      </w:r>
      <w:r w:rsidR="00324B0D">
        <w:rPr>
          <w:i w:val="0"/>
          <w:iCs w:val="0"/>
          <w:noProof/>
        </w:rPr>
        <w:t>2.2</w:t>
      </w:r>
      <w:r w:rsidR="00324B0D">
        <w:rPr>
          <w:i w:val="0"/>
          <w:iCs w:val="0"/>
        </w:rPr>
        <w:fldChar w:fldCharType="end"/>
      </w:r>
      <w:r w:rsidR="00324B0D">
        <w:rPr>
          <w:i w:val="0"/>
          <w:iCs w:val="0"/>
        </w:rPr>
        <w:noBreakHyphen/>
      </w:r>
      <w:r w:rsidR="003D35E3">
        <w:rPr>
          <w:i w:val="0"/>
          <w:iCs w:val="0"/>
        </w:rPr>
        <w:t>4</w:t>
      </w:r>
    </w:p>
    <w:p w14:paraId="27EF9D07" w14:textId="2DF869D5" w:rsidR="00CD6352" w:rsidRPr="00EA7665" w:rsidRDefault="00CD6352" w:rsidP="00CD6352">
      <w:pPr>
        <w:spacing w:line="360" w:lineRule="auto"/>
        <w:jc w:val="both"/>
        <w:rPr>
          <w:rFonts w:ascii="Arial" w:hAnsi="Arial" w:cs="Arial"/>
        </w:rPr>
      </w:pPr>
      <w:r w:rsidRPr="00EA7665">
        <w:rPr>
          <w:rFonts w:ascii="Arial" w:hAnsi="Arial" w:cs="Arial"/>
        </w:rPr>
        <w:lastRenderedPageBreak/>
        <w:t>The United Kingdom is a very prosperous real estate nation because of many factors</w:t>
      </w:r>
      <w:r>
        <w:rPr>
          <w:rFonts w:ascii="Arial" w:hAnsi="Arial" w:cs="Arial"/>
        </w:rPr>
        <w:t xml:space="preserve">, including its economic history. </w:t>
      </w:r>
      <w:r w:rsidRPr="00EA7665">
        <w:rPr>
          <w:rFonts w:ascii="Arial" w:hAnsi="Arial" w:cs="Arial"/>
        </w:rPr>
        <w:t xml:space="preserve">The total size of the residential market in the UK is ten times the </w:t>
      </w:r>
      <w:r w:rsidR="007771C2">
        <w:rPr>
          <w:rFonts w:ascii="Arial" w:hAnsi="Arial" w:cs="Arial"/>
        </w:rPr>
        <w:t>commercial property market size</w:t>
      </w:r>
      <w:r w:rsidRPr="00EA7665">
        <w:rPr>
          <w:rFonts w:ascii="Arial" w:hAnsi="Arial" w:cs="Arial"/>
        </w:rPr>
        <w:t>, and it represents 65% of</w:t>
      </w:r>
      <w:r>
        <w:rPr>
          <w:rFonts w:ascii="Arial" w:hAnsi="Arial" w:cs="Arial"/>
        </w:rPr>
        <w:t xml:space="preserve"> the</w:t>
      </w:r>
      <w:r w:rsidRPr="00EA7665">
        <w:rPr>
          <w:rFonts w:ascii="Arial" w:hAnsi="Arial" w:cs="Arial"/>
        </w:rPr>
        <w:t xml:space="preserve"> UK</w:t>
      </w:r>
      <w:r>
        <w:rPr>
          <w:rFonts w:ascii="Arial" w:hAnsi="Arial" w:cs="Arial"/>
        </w:rPr>
        <w:t>’s</w:t>
      </w:r>
      <w:r w:rsidRPr="00EA7665">
        <w:rPr>
          <w:rFonts w:ascii="Arial" w:hAnsi="Arial" w:cs="Arial"/>
        </w:rPr>
        <w:t xml:space="preserve"> total wealth (Barkham, 2012). Major drivers in the UK real estate sector</w:t>
      </w:r>
      <w:r w:rsidR="005F6922">
        <w:rPr>
          <w:rFonts w:ascii="Arial" w:hAnsi="Arial" w:cs="Arial"/>
        </w:rPr>
        <w:t>s</w:t>
      </w:r>
      <w:r w:rsidRPr="00EA7665">
        <w:rPr>
          <w:rFonts w:ascii="Arial" w:hAnsi="Arial" w:cs="Arial"/>
        </w:rPr>
        <w:t xml:space="preserve"> are </w:t>
      </w:r>
      <w:r w:rsidR="00AE54FE">
        <w:rPr>
          <w:rFonts w:ascii="Arial" w:hAnsi="Arial" w:cs="Arial"/>
        </w:rPr>
        <w:t>GDP growth and global econom</w:t>
      </w:r>
      <w:r w:rsidR="005F6922">
        <w:rPr>
          <w:rFonts w:ascii="Arial" w:hAnsi="Arial" w:cs="Arial"/>
        </w:rPr>
        <w:t>ic</w:t>
      </w:r>
      <w:r w:rsidR="00AE54FE">
        <w:rPr>
          <w:rFonts w:ascii="Arial" w:hAnsi="Arial" w:cs="Arial"/>
        </w:rPr>
        <w:t xml:space="preserve"> growth</w:t>
      </w:r>
      <w:r w:rsidRPr="00EA7665">
        <w:rPr>
          <w:rFonts w:ascii="Arial" w:hAnsi="Arial" w:cs="Arial"/>
        </w:rPr>
        <w:t xml:space="preserve">, including the </w:t>
      </w:r>
      <w:r w:rsidR="007771C2">
        <w:rPr>
          <w:rFonts w:ascii="Arial" w:hAnsi="Arial" w:cs="Arial"/>
        </w:rPr>
        <w:t>London Stock market's performance</w:t>
      </w:r>
      <w:r w:rsidRPr="00EA7665">
        <w:rPr>
          <w:rFonts w:ascii="Arial" w:hAnsi="Arial" w:cs="Arial"/>
        </w:rPr>
        <w:t xml:space="preserve">. As of 2016, 65% of UK households were owner-occupiers, 17% were rentals from private property owners, and 18% were social property owners (Barton, 2017). The </w:t>
      </w:r>
      <w:r w:rsidR="007771C2">
        <w:rPr>
          <w:rFonts w:ascii="Arial" w:hAnsi="Arial" w:cs="Arial"/>
        </w:rPr>
        <w:t>UK's commercial real estate market</w:t>
      </w:r>
      <w:r w:rsidRPr="00EA7665">
        <w:rPr>
          <w:rFonts w:ascii="Arial" w:hAnsi="Arial" w:cs="Arial"/>
        </w:rPr>
        <w:t xml:space="preserve"> could be said to be the total of retail, offices</w:t>
      </w:r>
      <w:r w:rsidR="0011117E">
        <w:rPr>
          <w:rFonts w:ascii="Arial" w:hAnsi="Arial" w:cs="Arial"/>
        </w:rPr>
        <w:t>,</w:t>
      </w:r>
      <w:r w:rsidRPr="00EA7665">
        <w:rPr>
          <w:rFonts w:ascii="Arial" w:hAnsi="Arial" w:cs="Arial"/>
        </w:rPr>
        <w:t xml:space="preserve"> and industrial properties. A significant characteristic of this sector is the division of the market into occupiers and the investment market. The retail industry is spatially located throughout the UK</w:t>
      </w:r>
      <w:r w:rsidR="0016426A">
        <w:rPr>
          <w:rFonts w:ascii="Arial" w:hAnsi="Arial" w:cs="Arial"/>
        </w:rPr>
        <w:t>,</w:t>
      </w:r>
      <w:r w:rsidRPr="00EA7665">
        <w:rPr>
          <w:rFonts w:ascii="Arial" w:hAnsi="Arial" w:cs="Arial"/>
        </w:rPr>
        <w:t xml:space="preserve"> with high rent and capital value being achieved</w:t>
      </w:r>
      <w:r w:rsidR="005F6922">
        <w:rPr>
          <w:rFonts w:ascii="Arial" w:hAnsi="Arial" w:cs="Arial"/>
        </w:rPr>
        <w:t>.</w:t>
      </w:r>
    </w:p>
    <w:p w14:paraId="2E67ED23"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 </w:t>
      </w:r>
    </w:p>
    <w:p w14:paraId="1908721A" w14:textId="68B0D5C3" w:rsidR="00CD6352" w:rsidRDefault="00DE45B1" w:rsidP="00CD6352">
      <w:pPr>
        <w:pStyle w:val="Heading4"/>
        <w:spacing w:line="360" w:lineRule="auto"/>
        <w:jc w:val="both"/>
        <w:rPr>
          <w:rFonts w:ascii="Arial" w:hAnsi="Arial" w:cs="Arial"/>
          <w:b/>
          <w:color w:val="auto"/>
        </w:rPr>
      </w:pPr>
      <w:bookmarkStart w:id="489" w:name="_Toc459365133"/>
      <w:r>
        <w:rPr>
          <w:rFonts w:ascii="Arial" w:hAnsi="Arial" w:cs="Arial"/>
          <w:b/>
          <w:color w:val="auto"/>
        </w:rPr>
        <w:t>The f</w:t>
      </w:r>
      <w:r w:rsidR="00CD6352" w:rsidRPr="00FA782C">
        <w:rPr>
          <w:rFonts w:ascii="Arial" w:hAnsi="Arial" w:cs="Arial"/>
          <w:b/>
          <w:color w:val="auto"/>
        </w:rPr>
        <w:t>actors</w:t>
      </w:r>
      <w:r w:rsidR="0064506F" w:rsidRPr="00FA782C">
        <w:rPr>
          <w:rFonts w:ascii="Arial" w:hAnsi="Arial" w:cs="Arial"/>
          <w:b/>
          <w:color w:val="auto"/>
        </w:rPr>
        <w:t xml:space="preserve"> that </w:t>
      </w:r>
      <w:r w:rsidR="003B1221">
        <w:rPr>
          <w:rFonts w:ascii="Arial" w:hAnsi="Arial" w:cs="Arial"/>
          <w:b/>
          <w:color w:val="auto"/>
        </w:rPr>
        <w:t>affect</w:t>
      </w:r>
      <w:r w:rsidR="00CD6352" w:rsidRPr="00FA782C">
        <w:rPr>
          <w:rFonts w:ascii="Arial" w:hAnsi="Arial" w:cs="Arial"/>
          <w:b/>
          <w:color w:val="auto"/>
        </w:rPr>
        <w:t xml:space="preserve"> the </w:t>
      </w:r>
      <w:r w:rsidR="00FA782C" w:rsidRPr="00FA782C">
        <w:rPr>
          <w:rFonts w:ascii="Arial" w:hAnsi="Arial" w:cs="Arial"/>
          <w:b/>
          <w:color w:val="auto"/>
        </w:rPr>
        <w:t xml:space="preserve">United Kingdom </w:t>
      </w:r>
      <w:r w:rsidR="00CD6352" w:rsidRPr="00FA782C">
        <w:rPr>
          <w:rFonts w:ascii="Arial" w:hAnsi="Arial" w:cs="Arial"/>
          <w:b/>
          <w:color w:val="auto"/>
        </w:rPr>
        <w:t xml:space="preserve">real estate sector </w:t>
      </w:r>
      <w:bookmarkEnd w:id="489"/>
    </w:p>
    <w:p w14:paraId="45EA160F" w14:textId="77777777" w:rsidR="006D026B" w:rsidRPr="006D026B" w:rsidRDefault="006D026B" w:rsidP="006D026B"/>
    <w:p w14:paraId="740E126E"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Economic factors:</w:t>
      </w:r>
    </w:p>
    <w:p w14:paraId="5AE5EEA2" w14:textId="39FF561E" w:rsidR="00CD6352" w:rsidRPr="00EA7665" w:rsidRDefault="00CD6352" w:rsidP="00CD6352">
      <w:pPr>
        <w:spacing w:line="360" w:lineRule="auto"/>
        <w:jc w:val="both"/>
        <w:rPr>
          <w:rFonts w:ascii="Arial" w:hAnsi="Arial" w:cs="Arial"/>
        </w:rPr>
      </w:pPr>
      <w:r w:rsidRPr="00EA7665">
        <w:rPr>
          <w:rFonts w:ascii="Arial" w:hAnsi="Arial" w:cs="Arial"/>
        </w:rPr>
        <w:t>The employment rate, interest rate, inflation</w:t>
      </w:r>
      <w:r w:rsidR="0011117E">
        <w:rPr>
          <w:rFonts w:ascii="Arial" w:hAnsi="Arial" w:cs="Arial"/>
        </w:rPr>
        <w:t>,</w:t>
      </w:r>
      <w:r w:rsidRPr="00EA7665">
        <w:rPr>
          <w:rFonts w:ascii="Arial" w:hAnsi="Arial" w:cs="Arial"/>
        </w:rPr>
        <w:t xml:space="preserve"> and balance of paymen</w:t>
      </w:r>
      <w:r>
        <w:rPr>
          <w:rFonts w:ascii="Arial" w:hAnsi="Arial" w:cs="Arial"/>
        </w:rPr>
        <w:t>ts</w:t>
      </w:r>
      <w:r w:rsidRPr="00EA7665">
        <w:rPr>
          <w:rFonts w:ascii="Arial" w:hAnsi="Arial" w:cs="Arial"/>
        </w:rPr>
        <w:t xml:space="preserve"> are significant </w:t>
      </w:r>
      <w:r w:rsidR="00AE54FE">
        <w:rPr>
          <w:rFonts w:ascii="Arial" w:hAnsi="Arial" w:cs="Arial"/>
        </w:rPr>
        <w:t>British econom</w:t>
      </w:r>
      <w:r w:rsidR="00FE1340">
        <w:rPr>
          <w:rFonts w:ascii="Arial" w:hAnsi="Arial" w:cs="Arial"/>
        </w:rPr>
        <w:t>ic</w:t>
      </w:r>
      <w:r w:rsidR="00AE54FE">
        <w:rPr>
          <w:rFonts w:ascii="Arial" w:hAnsi="Arial" w:cs="Arial"/>
        </w:rPr>
        <w:t xml:space="preserve"> indicators that affect</w:t>
      </w:r>
      <w:r w:rsidR="005311B3">
        <w:rPr>
          <w:rFonts w:ascii="Arial" w:hAnsi="Arial" w:cs="Arial"/>
        </w:rPr>
        <w:t xml:space="preserve"> </w:t>
      </w:r>
      <w:r w:rsidRPr="00EA7665">
        <w:rPr>
          <w:rFonts w:ascii="Arial" w:hAnsi="Arial" w:cs="Arial"/>
        </w:rPr>
        <w:t>the real estate sector (Willam and Wood, 1994). Unhindered capital mobility</w:t>
      </w:r>
      <w:r>
        <w:rPr>
          <w:rFonts w:ascii="Arial" w:hAnsi="Arial" w:cs="Arial"/>
        </w:rPr>
        <w:t xml:space="preserve">, put in place to allow the </w:t>
      </w:r>
      <w:r w:rsidR="00FE1340">
        <w:rPr>
          <w:rFonts w:ascii="Arial" w:hAnsi="Arial" w:cs="Arial"/>
        </w:rPr>
        <w:t>P</w:t>
      </w:r>
      <w:r>
        <w:rPr>
          <w:rFonts w:ascii="Arial" w:hAnsi="Arial" w:cs="Arial"/>
        </w:rPr>
        <w:t xml:space="preserve">ound to operate unrestricted </w:t>
      </w:r>
      <w:r w:rsidR="008D65A2">
        <w:rPr>
          <w:rFonts w:ascii="Arial" w:hAnsi="Arial" w:cs="Arial"/>
        </w:rPr>
        <w:t>globally</w:t>
      </w:r>
      <w:r>
        <w:rPr>
          <w:rFonts w:ascii="Arial" w:hAnsi="Arial" w:cs="Arial"/>
        </w:rPr>
        <w:t>,</w:t>
      </w:r>
      <w:r w:rsidRPr="00EA7665">
        <w:rPr>
          <w:rFonts w:ascii="Arial" w:hAnsi="Arial" w:cs="Arial"/>
        </w:rPr>
        <w:t xml:space="preserve"> is highly advantageous to the UK economy and has made Britain an attractive home for international business, including the real estate business (Collins, 1979</w:t>
      </w:r>
      <w:r>
        <w:rPr>
          <w:rFonts w:ascii="Arial" w:hAnsi="Arial" w:cs="Arial"/>
        </w:rPr>
        <w:t xml:space="preserve">; </w:t>
      </w:r>
      <w:r w:rsidRPr="00EA7665">
        <w:rPr>
          <w:rFonts w:ascii="Arial" w:hAnsi="Arial" w:cs="Arial"/>
        </w:rPr>
        <w:t xml:space="preserve">Copley, 2017). </w:t>
      </w:r>
    </w:p>
    <w:p w14:paraId="4200B39D" w14:textId="31730907" w:rsidR="00CD6352" w:rsidRPr="00EA7665" w:rsidRDefault="00CD6352" w:rsidP="00CD6352">
      <w:pPr>
        <w:spacing w:after="0" w:line="360" w:lineRule="auto"/>
        <w:jc w:val="both"/>
        <w:rPr>
          <w:rFonts w:ascii="Arial" w:hAnsi="Arial" w:cs="Arial"/>
        </w:rPr>
      </w:pPr>
      <w:r w:rsidRPr="00EA7665">
        <w:rPr>
          <w:rFonts w:ascii="Arial" w:hAnsi="Arial" w:cs="Arial"/>
        </w:rPr>
        <w:t xml:space="preserve">The UK GDP has been </w:t>
      </w:r>
      <w:r w:rsidR="008D65A2">
        <w:rPr>
          <w:rFonts w:ascii="Arial" w:hAnsi="Arial" w:cs="Arial"/>
        </w:rPr>
        <w:t xml:space="preserve">steadily increasing since </w:t>
      </w:r>
      <w:r w:rsidR="00AE54FE">
        <w:rPr>
          <w:rFonts w:ascii="Arial" w:hAnsi="Arial" w:cs="Arial"/>
        </w:rPr>
        <w:t>the financial crisis, making</w:t>
      </w:r>
      <w:r w:rsidRPr="00EA7665">
        <w:rPr>
          <w:rFonts w:ascii="Arial" w:hAnsi="Arial" w:cs="Arial"/>
        </w:rPr>
        <w:t xml:space="preserve"> the economy very attractive to internal and external investors in the real estate sector (</w:t>
      </w:r>
      <w:r w:rsidR="00FE1340">
        <w:rPr>
          <w:rFonts w:ascii="Arial" w:hAnsi="Arial" w:cs="Arial"/>
        </w:rPr>
        <w:t>see figure 2.2.5</w:t>
      </w:r>
      <w:r w:rsidRPr="00EA7665">
        <w:rPr>
          <w:rFonts w:ascii="Arial" w:hAnsi="Arial" w:cs="Arial"/>
        </w:rPr>
        <w:t>).</w:t>
      </w:r>
    </w:p>
    <w:p w14:paraId="2FF7640E" w14:textId="77777777" w:rsidR="00CD6352" w:rsidRPr="00EA7665" w:rsidRDefault="00CD6352" w:rsidP="00CD6352">
      <w:pPr>
        <w:spacing w:after="0" w:line="360" w:lineRule="auto"/>
        <w:jc w:val="both"/>
        <w:rPr>
          <w:rFonts w:ascii="Arial" w:hAnsi="Arial" w:cs="Arial"/>
        </w:rPr>
      </w:pPr>
    </w:p>
    <w:p w14:paraId="40C634A5"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4A2D2C5F" wp14:editId="420C19FE">
            <wp:extent cx="5722296" cy="1041721"/>
            <wp:effectExtent l="0" t="0" r="0" b="6350"/>
            <wp:docPr id="34" name="Picture 34" descr="United Kingdom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d Kingdom GD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6903" cy="1049842"/>
                    </a:xfrm>
                    <a:prstGeom prst="rect">
                      <a:avLst/>
                    </a:prstGeom>
                    <a:noFill/>
                    <a:ln>
                      <a:noFill/>
                    </a:ln>
                  </pic:spPr>
                </pic:pic>
              </a:graphicData>
            </a:graphic>
          </wp:inline>
        </w:drawing>
      </w:r>
    </w:p>
    <w:p w14:paraId="0EDE6354" w14:textId="252E27CA" w:rsidR="00CD6352" w:rsidRPr="00EA7665" w:rsidRDefault="00CD6352" w:rsidP="00CD6352">
      <w:pPr>
        <w:pStyle w:val="Caption"/>
        <w:spacing w:after="0"/>
        <w:rPr>
          <w:rFonts w:ascii="Arial" w:hAnsi="Arial" w:cs="Arial"/>
          <w:sz w:val="16"/>
          <w:szCs w:val="16"/>
        </w:rPr>
      </w:pPr>
      <w:r w:rsidRPr="00EA7665">
        <w:rPr>
          <w:rFonts w:ascii="Arial" w:hAnsi="Arial" w:cs="Arial"/>
          <w:sz w:val="16"/>
          <w:szCs w:val="16"/>
        </w:rPr>
        <w:t xml:space="preserve">Figure </w:t>
      </w:r>
      <w:r w:rsidR="00324B0D">
        <w:rPr>
          <w:rFonts w:ascii="Arial" w:hAnsi="Arial" w:cs="Arial"/>
          <w:sz w:val="16"/>
          <w:szCs w:val="16"/>
        </w:rPr>
        <w:fldChar w:fldCharType="begin"/>
      </w:r>
      <w:r w:rsidR="00324B0D">
        <w:rPr>
          <w:rFonts w:ascii="Arial" w:hAnsi="Arial" w:cs="Arial"/>
          <w:sz w:val="16"/>
          <w:szCs w:val="16"/>
        </w:rPr>
        <w:instrText xml:space="preserve"> STYLEREF 2 \s </w:instrText>
      </w:r>
      <w:r w:rsidR="00324B0D">
        <w:rPr>
          <w:rFonts w:ascii="Arial" w:hAnsi="Arial" w:cs="Arial"/>
          <w:sz w:val="16"/>
          <w:szCs w:val="16"/>
        </w:rPr>
        <w:fldChar w:fldCharType="separate"/>
      </w:r>
      <w:r w:rsidR="00324B0D">
        <w:rPr>
          <w:rFonts w:ascii="Arial" w:hAnsi="Arial" w:cs="Arial"/>
          <w:noProof/>
          <w:sz w:val="16"/>
          <w:szCs w:val="16"/>
        </w:rPr>
        <w:t>2.2</w:t>
      </w:r>
      <w:r w:rsidR="00324B0D">
        <w:rPr>
          <w:rFonts w:ascii="Arial" w:hAnsi="Arial" w:cs="Arial"/>
          <w:sz w:val="16"/>
          <w:szCs w:val="16"/>
        </w:rPr>
        <w:fldChar w:fldCharType="end"/>
      </w:r>
      <w:r w:rsidR="00324B0D">
        <w:rPr>
          <w:rFonts w:ascii="Arial" w:hAnsi="Arial" w:cs="Arial"/>
          <w:sz w:val="16"/>
          <w:szCs w:val="16"/>
        </w:rPr>
        <w:noBreakHyphen/>
      </w:r>
      <w:r w:rsidR="000A6022">
        <w:rPr>
          <w:rFonts w:ascii="Arial" w:hAnsi="Arial" w:cs="Arial"/>
          <w:sz w:val="16"/>
          <w:szCs w:val="16"/>
        </w:rPr>
        <w:t>5</w:t>
      </w:r>
      <w:r w:rsidRPr="00EA7665">
        <w:rPr>
          <w:rFonts w:ascii="Arial" w:hAnsi="Arial" w:cs="Arial"/>
          <w:sz w:val="16"/>
          <w:szCs w:val="16"/>
        </w:rPr>
        <w:t>:</w:t>
      </w:r>
      <w:r w:rsidRPr="00EA7665">
        <w:rPr>
          <w:rFonts w:ascii="Arial" w:hAnsi="Arial" w:cs="Arial"/>
          <w:iCs w:val="0"/>
          <w:sz w:val="16"/>
          <w:szCs w:val="16"/>
        </w:rPr>
        <w:t xml:space="preserve"> </w:t>
      </w:r>
      <w:r w:rsidRPr="00EA7665">
        <w:rPr>
          <w:rFonts w:ascii="Arial" w:hAnsi="Arial" w:cs="Arial"/>
          <w:sz w:val="16"/>
          <w:szCs w:val="16"/>
        </w:rPr>
        <w:t xml:space="preserve">The UK GDP </w:t>
      </w:r>
    </w:p>
    <w:p w14:paraId="049548A3" w14:textId="0BD71565" w:rsidR="00CD6352" w:rsidRPr="00EA7665" w:rsidRDefault="00CD6352" w:rsidP="00CD6352">
      <w:pPr>
        <w:pStyle w:val="Caption"/>
        <w:spacing w:after="0"/>
        <w:rPr>
          <w:rFonts w:ascii="Arial" w:hAnsi="Arial" w:cs="Arial"/>
          <w:sz w:val="16"/>
          <w:szCs w:val="16"/>
        </w:rPr>
      </w:pPr>
      <w:r w:rsidRPr="00EA7665">
        <w:rPr>
          <w:rFonts w:ascii="Arial" w:hAnsi="Arial" w:cs="Arial"/>
          <w:sz w:val="16"/>
          <w:szCs w:val="16"/>
        </w:rPr>
        <w:t xml:space="preserve">Source: The trading </w:t>
      </w:r>
      <w:r w:rsidR="008252F9" w:rsidRPr="00EA7665">
        <w:rPr>
          <w:rFonts w:ascii="Arial" w:hAnsi="Arial" w:cs="Arial"/>
          <w:sz w:val="16"/>
          <w:szCs w:val="16"/>
        </w:rPr>
        <w:t>economics</w:t>
      </w:r>
      <w:r w:rsidR="008252F9">
        <w:rPr>
          <w:rFonts w:ascii="Arial" w:hAnsi="Arial" w:cs="Arial"/>
          <w:sz w:val="16"/>
          <w:szCs w:val="16"/>
        </w:rPr>
        <w:t xml:space="preserve"> (</w:t>
      </w:r>
      <w:r>
        <w:rPr>
          <w:rFonts w:ascii="Arial" w:hAnsi="Arial" w:cs="Arial"/>
          <w:sz w:val="16"/>
          <w:szCs w:val="16"/>
        </w:rPr>
        <w:t>2019)</w:t>
      </w:r>
    </w:p>
    <w:p w14:paraId="6E1054C0" w14:textId="77777777" w:rsidR="00CD6352" w:rsidRPr="00EA7665" w:rsidRDefault="00CD6352" w:rsidP="00CD6352">
      <w:pPr>
        <w:pStyle w:val="Caption"/>
        <w:spacing w:after="0"/>
        <w:jc w:val="both"/>
        <w:rPr>
          <w:rFonts w:ascii="Arial" w:hAnsi="Arial" w:cs="Arial"/>
        </w:rPr>
      </w:pPr>
    </w:p>
    <w:p w14:paraId="03904B28" w14:textId="3A001CDD" w:rsidR="00CD6352" w:rsidRPr="00EA7665" w:rsidRDefault="00CD6352" w:rsidP="00CD6352">
      <w:pPr>
        <w:spacing w:after="0" w:line="360" w:lineRule="auto"/>
        <w:jc w:val="both"/>
        <w:rPr>
          <w:rFonts w:ascii="Arial" w:hAnsi="Arial" w:cs="Arial"/>
        </w:rPr>
      </w:pPr>
      <w:bookmarkStart w:id="490" w:name="_Toc459365128"/>
      <w:r w:rsidRPr="00EA7665">
        <w:rPr>
          <w:rFonts w:ascii="Arial" w:hAnsi="Arial" w:cs="Arial"/>
          <w:iCs/>
        </w:rPr>
        <w:t>The government’s fiscal and monetary policies on reduced taxes and pegged interest rates</w:t>
      </w:r>
      <w:bookmarkEnd w:id="490"/>
      <w:r w:rsidRPr="00EA7665">
        <w:rPr>
          <w:rFonts w:ascii="Arial" w:hAnsi="Arial" w:cs="Arial"/>
          <w:iCs/>
        </w:rPr>
        <w:t xml:space="preserve"> have contributed to a boom </w:t>
      </w:r>
      <w:r w:rsidRPr="00EA7665">
        <w:rPr>
          <w:rFonts w:ascii="Arial" w:hAnsi="Arial" w:cs="Arial"/>
        </w:rPr>
        <w:t>in the property and real estate sector</w:t>
      </w:r>
      <w:r w:rsidR="0011117E">
        <w:rPr>
          <w:rFonts w:ascii="Arial" w:hAnsi="Arial" w:cs="Arial"/>
        </w:rPr>
        <w:t>.</w:t>
      </w:r>
      <w:r w:rsidRPr="00EA7665">
        <w:rPr>
          <w:rFonts w:ascii="Arial" w:hAnsi="Arial" w:cs="Arial"/>
        </w:rPr>
        <w:t xml:space="preserve"> </w:t>
      </w:r>
      <w:r w:rsidR="00256C0E">
        <w:rPr>
          <w:rFonts w:ascii="Arial" w:hAnsi="Arial" w:cs="Arial"/>
        </w:rPr>
        <w:t>Arguably, this has had a positive stabilising effect on the real estate sector in the UK. The Bank of England had to reduce and then peg the interest rates to enable people to access bank loans easily to boost demand and energise the economy after the 2008 global financial crisis</w:t>
      </w:r>
      <w:r w:rsidRPr="00EA7665">
        <w:rPr>
          <w:rFonts w:ascii="Arial" w:hAnsi="Arial" w:cs="Arial"/>
        </w:rPr>
        <w:t xml:space="preserve">. </w:t>
      </w:r>
      <w:r w:rsidR="00256C0E">
        <w:rPr>
          <w:rFonts w:ascii="Arial" w:hAnsi="Arial" w:cs="Arial"/>
        </w:rPr>
        <w:t>See figure 2.2.6, depicting the reduced and then pegged interest rate.</w:t>
      </w:r>
    </w:p>
    <w:p w14:paraId="519FE551" w14:textId="77777777" w:rsidR="00CD6352" w:rsidRPr="00EA7665" w:rsidRDefault="00CD6352" w:rsidP="00CD6352">
      <w:pPr>
        <w:keepNext/>
        <w:spacing w:after="0" w:line="360" w:lineRule="auto"/>
        <w:ind w:left="360"/>
        <w:jc w:val="both"/>
      </w:pPr>
      <w:r w:rsidRPr="00EA7665">
        <w:rPr>
          <w:rFonts w:ascii="Arial" w:hAnsi="Arial" w:cs="Arial"/>
          <w:i/>
          <w:noProof/>
          <w:lang w:eastAsia="en-GB"/>
        </w:rPr>
        <w:lastRenderedPageBreak/>
        <w:drawing>
          <wp:inline distT="0" distB="0" distL="0" distR="0" wp14:anchorId="654E0B2D" wp14:editId="7E0F9862">
            <wp:extent cx="5846997" cy="1597306"/>
            <wp:effectExtent l="0" t="0" r="1905" b="3175"/>
            <wp:docPr id="37" name="Picture 37" descr="United Kingdom Interes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d Kingdom Interest R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7270" cy="1608308"/>
                    </a:xfrm>
                    <a:prstGeom prst="rect">
                      <a:avLst/>
                    </a:prstGeom>
                    <a:noFill/>
                    <a:ln>
                      <a:noFill/>
                    </a:ln>
                  </pic:spPr>
                </pic:pic>
              </a:graphicData>
            </a:graphic>
          </wp:inline>
        </w:drawing>
      </w:r>
    </w:p>
    <w:p w14:paraId="7E2D3F92" w14:textId="316018BC" w:rsidR="00CD6352" w:rsidRPr="008815B0" w:rsidRDefault="00CD6352" w:rsidP="00CD6352">
      <w:pPr>
        <w:pStyle w:val="Caption"/>
        <w:jc w:val="both"/>
        <w:rPr>
          <w:rFonts w:ascii="Arial" w:hAnsi="Arial" w:cs="Arial"/>
          <w:i w:val="0"/>
          <w:iCs w:val="0"/>
          <w:sz w:val="16"/>
          <w:szCs w:val="16"/>
        </w:rPr>
      </w:pPr>
      <w:r w:rsidRPr="008815B0">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2.2</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0A6022">
        <w:rPr>
          <w:rFonts w:ascii="Arial" w:hAnsi="Arial" w:cs="Arial"/>
          <w:i w:val="0"/>
          <w:iCs w:val="0"/>
          <w:sz w:val="16"/>
          <w:szCs w:val="16"/>
        </w:rPr>
        <w:t>6</w:t>
      </w:r>
      <w:r w:rsidRPr="008815B0">
        <w:rPr>
          <w:rFonts w:ascii="Arial" w:hAnsi="Arial" w:cs="Arial"/>
          <w:i w:val="0"/>
          <w:iCs w:val="0"/>
          <w:sz w:val="16"/>
          <w:szCs w:val="16"/>
        </w:rPr>
        <w:t>:</w:t>
      </w:r>
      <w:r w:rsidRPr="008815B0">
        <w:rPr>
          <w:rFonts w:ascii="Arial" w:hAnsi="Arial" w:cs="Arial"/>
          <w:i w:val="0"/>
          <w:iCs w:val="0"/>
          <w:color w:val="auto"/>
          <w:sz w:val="16"/>
          <w:szCs w:val="16"/>
        </w:rPr>
        <w:t xml:space="preserve"> </w:t>
      </w:r>
      <w:r w:rsidRPr="008815B0">
        <w:rPr>
          <w:rFonts w:ascii="Arial" w:hAnsi="Arial" w:cs="Arial"/>
          <w:i w:val="0"/>
          <w:iCs w:val="0"/>
          <w:sz w:val="16"/>
          <w:szCs w:val="16"/>
        </w:rPr>
        <w:t>UK interest rate</w:t>
      </w:r>
    </w:p>
    <w:p w14:paraId="28ECBA81" w14:textId="77777777" w:rsidR="00CD6352" w:rsidRPr="00EA7665" w:rsidRDefault="00CD6352" w:rsidP="00CD6352">
      <w:pPr>
        <w:spacing w:after="0" w:line="360" w:lineRule="auto"/>
        <w:ind w:left="360"/>
        <w:jc w:val="both"/>
        <w:rPr>
          <w:rFonts w:ascii="Arial" w:hAnsi="Arial" w:cs="Arial"/>
        </w:rPr>
      </w:pPr>
    </w:p>
    <w:p w14:paraId="1CBBA116" w14:textId="2F0DAA9F" w:rsidR="00CD6352" w:rsidRPr="00EA7665" w:rsidRDefault="004122B2" w:rsidP="00CD6352">
      <w:pPr>
        <w:spacing w:after="0" w:line="360" w:lineRule="auto"/>
        <w:jc w:val="both"/>
        <w:rPr>
          <w:rFonts w:ascii="Arial" w:hAnsi="Arial" w:cs="Arial"/>
        </w:rPr>
      </w:pPr>
      <w:bookmarkStart w:id="491" w:name="_Toc459365129"/>
      <w:r>
        <w:rPr>
          <w:rFonts w:ascii="Arial" w:hAnsi="Arial" w:cs="Arial"/>
          <w:iCs/>
        </w:rPr>
        <w:t>Additionally, t</w:t>
      </w:r>
      <w:r w:rsidR="00CD6352" w:rsidRPr="00EA7665">
        <w:rPr>
          <w:rFonts w:ascii="Arial" w:hAnsi="Arial" w:cs="Arial"/>
          <w:iCs/>
        </w:rPr>
        <w:t>he British banking system is very bullish and g</w:t>
      </w:r>
      <w:r w:rsidR="00AE54FE">
        <w:rPr>
          <w:rFonts w:ascii="Arial" w:hAnsi="Arial" w:cs="Arial"/>
          <w:iCs/>
        </w:rPr>
        <w:t>reatly supports</w:t>
      </w:r>
      <w:r w:rsidR="00CD6352" w:rsidRPr="00EA7665">
        <w:rPr>
          <w:rFonts w:ascii="Arial" w:hAnsi="Arial" w:cs="Arial"/>
          <w:iCs/>
        </w:rPr>
        <w:t xml:space="preserve"> the real estate sector</w:t>
      </w:r>
      <w:r w:rsidR="00CD6352" w:rsidRPr="00EA7665">
        <w:rPr>
          <w:rFonts w:ascii="Arial" w:hAnsi="Arial" w:cs="Arial"/>
        </w:rPr>
        <w:t xml:space="preserve"> (Rodnyansky &amp; Darmouni, 2017).</w:t>
      </w:r>
      <w:r w:rsidR="00CD6352">
        <w:rPr>
          <w:rFonts w:ascii="Arial" w:hAnsi="Arial" w:cs="Arial"/>
        </w:rPr>
        <w:t xml:space="preserve"> </w:t>
      </w:r>
    </w:p>
    <w:p w14:paraId="651F81A3" w14:textId="77777777" w:rsidR="00CD6352" w:rsidRPr="00EA7665" w:rsidRDefault="00CD6352" w:rsidP="00CD6352">
      <w:pPr>
        <w:spacing w:after="0" w:line="360" w:lineRule="auto"/>
        <w:jc w:val="both"/>
        <w:rPr>
          <w:rFonts w:ascii="Arial" w:hAnsi="Arial" w:cs="Arial"/>
          <w:iCs/>
        </w:rPr>
      </w:pPr>
    </w:p>
    <w:bookmarkEnd w:id="491"/>
    <w:p w14:paraId="04BD3059" w14:textId="3088F902" w:rsidR="00CD6352" w:rsidRPr="00EA7665" w:rsidRDefault="00CD6352" w:rsidP="00CD6352">
      <w:pPr>
        <w:spacing w:line="360" w:lineRule="auto"/>
        <w:jc w:val="both"/>
        <w:rPr>
          <w:rFonts w:ascii="Arial" w:hAnsi="Arial" w:cs="Arial"/>
        </w:rPr>
      </w:pPr>
      <w:r w:rsidRPr="00EA7665">
        <w:rPr>
          <w:rFonts w:ascii="Arial" w:hAnsi="Arial" w:cs="Arial"/>
        </w:rPr>
        <w:t>Furthermore, high p</w:t>
      </w:r>
      <w:r w:rsidR="00A13D04">
        <w:rPr>
          <w:rFonts w:ascii="Arial" w:hAnsi="Arial" w:cs="Arial"/>
        </w:rPr>
        <w:t>etrol / crude oil prices</w:t>
      </w:r>
      <w:r w:rsidRPr="00EA7665">
        <w:rPr>
          <w:rFonts w:ascii="Arial" w:hAnsi="Arial" w:cs="Arial"/>
        </w:rPr>
        <w:t xml:space="preserve"> led to large external surpluses of oil-exporting countries</w:t>
      </w:r>
      <w:r w:rsidR="00A13D04">
        <w:rPr>
          <w:rFonts w:ascii="Arial" w:hAnsi="Arial" w:cs="Arial"/>
        </w:rPr>
        <w:t>,</w:t>
      </w:r>
      <w:r w:rsidRPr="00EA7665">
        <w:rPr>
          <w:rFonts w:ascii="Arial" w:hAnsi="Arial" w:cs="Arial"/>
        </w:rPr>
        <w:t xml:space="preserve"> and these inflows tend to originate from the Middle East and Nigeria</w:t>
      </w:r>
      <w:r w:rsidR="008560AE">
        <w:rPr>
          <w:rFonts w:ascii="Arial" w:hAnsi="Arial" w:cs="Arial"/>
        </w:rPr>
        <w:t>. These</w:t>
      </w:r>
      <w:r w:rsidRPr="00EA7665">
        <w:rPr>
          <w:rFonts w:ascii="Arial" w:hAnsi="Arial" w:cs="Arial"/>
        </w:rPr>
        <w:t xml:space="preserve"> excess revenue</w:t>
      </w:r>
      <w:r w:rsidR="00AE54FE">
        <w:rPr>
          <w:rFonts w:ascii="Arial" w:hAnsi="Arial" w:cs="Arial"/>
        </w:rPr>
        <w:t>s</w:t>
      </w:r>
      <w:r w:rsidRPr="00EA7665">
        <w:rPr>
          <w:rFonts w:ascii="Arial" w:hAnsi="Arial" w:cs="Arial"/>
        </w:rPr>
        <w:t xml:space="preserve"> by oil exporters </w:t>
      </w:r>
      <w:r w:rsidR="002C6B47">
        <w:rPr>
          <w:rFonts w:ascii="Arial" w:hAnsi="Arial" w:cs="Arial"/>
        </w:rPr>
        <w:t>are</w:t>
      </w:r>
      <w:r w:rsidRPr="00EA7665">
        <w:rPr>
          <w:rFonts w:ascii="Arial" w:hAnsi="Arial" w:cs="Arial"/>
        </w:rPr>
        <w:t xml:space="preserve"> often invested in financial assets in the developed countries of the UK and the US (Wiegand &amp; Prepared 2008). Some of these investments go into the real estate sector in the United Kingdom and other developed countries. There is also investment from Asian countries such as China that continually have excess current account balances because of their intensive global trading activities</w:t>
      </w:r>
      <w:r w:rsidR="00057292">
        <w:rPr>
          <w:rFonts w:ascii="Arial" w:hAnsi="Arial" w:cs="Arial"/>
        </w:rPr>
        <w:t>. S</w:t>
      </w:r>
      <w:r w:rsidRPr="00EA7665">
        <w:rPr>
          <w:rFonts w:ascii="Arial" w:hAnsi="Arial" w:cs="Arial"/>
        </w:rPr>
        <w:t>ome of these funds get invested in the UK real estate market (Yalta &amp; Sivrikaya, 2018).</w:t>
      </w:r>
    </w:p>
    <w:p w14:paraId="68F4698C" w14:textId="5EED2CD9" w:rsidR="00CD6352" w:rsidRPr="00EA7665" w:rsidRDefault="00CD6352" w:rsidP="00CD6352">
      <w:pPr>
        <w:spacing w:after="0" w:line="360" w:lineRule="auto"/>
        <w:jc w:val="both"/>
        <w:rPr>
          <w:rFonts w:ascii="Arial" w:hAnsi="Arial" w:cs="Arial"/>
        </w:rPr>
      </w:pPr>
      <w:r w:rsidRPr="00EA7665">
        <w:rPr>
          <w:rFonts w:ascii="Arial" w:hAnsi="Arial" w:cs="Arial"/>
        </w:rPr>
        <w:t>The UK has high consumer confidence, as depicted in figure 2.</w:t>
      </w:r>
      <w:r w:rsidR="00002667">
        <w:rPr>
          <w:rFonts w:ascii="Arial" w:hAnsi="Arial" w:cs="Arial"/>
        </w:rPr>
        <w:t>2.</w:t>
      </w:r>
      <w:r w:rsidR="000A6022">
        <w:rPr>
          <w:rFonts w:ascii="Arial" w:hAnsi="Arial" w:cs="Arial"/>
        </w:rPr>
        <w:t>7</w:t>
      </w:r>
      <w:r w:rsidRPr="00EA7665">
        <w:rPr>
          <w:rFonts w:ascii="Arial" w:hAnsi="Arial" w:cs="Arial"/>
        </w:rPr>
        <w:t xml:space="preserve">. </w:t>
      </w:r>
      <w:r w:rsidR="00002667">
        <w:rPr>
          <w:rFonts w:ascii="Arial" w:hAnsi="Arial" w:cs="Arial"/>
        </w:rPr>
        <w:t>C</w:t>
      </w:r>
      <w:r w:rsidRPr="00EA7665">
        <w:rPr>
          <w:rFonts w:ascii="Arial" w:hAnsi="Arial" w:cs="Arial"/>
        </w:rPr>
        <w:t>onsumer confidence in the government’s actions and reactions to the real estate trend is a</w:t>
      </w:r>
      <w:r w:rsidR="008560AE">
        <w:rPr>
          <w:rFonts w:ascii="Arial" w:hAnsi="Arial" w:cs="Arial"/>
        </w:rPr>
        <w:t>n excellen</w:t>
      </w:r>
      <w:r w:rsidRPr="00EA7665">
        <w:rPr>
          <w:rFonts w:ascii="Arial" w:hAnsi="Arial" w:cs="Arial"/>
        </w:rPr>
        <w:t>t motivator to investors in th</w:t>
      </w:r>
      <w:r>
        <w:rPr>
          <w:rFonts w:ascii="Arial" w:hAnsi="Arial" w:cs="Arial"/>
        </w:rPr>
        <w:t>is</w:t>
      </w:r>
      <w:r w:rsidRPr="00EA7665">
        <w:rPr>
          <w:rFonts w:ascii="Arial" w:hAnsi="Arial" w:cs="Arial"/>
        </w:rPr>
        <w:t xml:space="preserve"> sector.</w:t>
      </w:r>
    </w:p>
    <w:p w14:paraId="038207F0" w14:textId="77777777" w:rsidR="00CD6352" w:rsidRPr="00EA7665" w:rsidRDefault="00CD6352" w:rsidP="00CD6352">
      <w:pPr>
        <w:spacing w:after="0" w:line="360" w:lineRule="auto"/>
        <w:jc w:val="both"/>
        <w:rPr>
          <w:rFonts w:ascii="Arial" w:hAnsi="Arial" w:cs="Arial"/>
        </w:rPr>
      </w:pPr>
    </w:p>
    <w:p w14:paraId="2E774121"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3755DC0A" wp14:editId="73E74FF5">
            <wp:extent cx="5731423" cy="1377387"/>
            <wp:effectExtent l="0" t="0" r="3175" b="0"/>
            <wp:docPr id="38" name="Picture 38" descr="United Kingdom Consumer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ed Kingdom Consumer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2758" cy="1389724"/>
                    </a:xfrm>
                    <a:prstGeom prst="rect">
                      <a:avLst/>
                    </a:prstGeom>
                    <a:noFill/>
                    <a:ln>
                      <a:noFill/>
                    </a:ln>
                  </pic:spPr>
                </pic:pic>
              </a:graphicData>
            </a:graphic>
          </wp:inline>
        </w:drawing>
      </w:r>
    </w:p>
    <w:p w14:paraId="300A58A5" w14:textId="4BDE77E5" w:rsidR="00CD6352" w:rsidRPr="008815B0" w:rsidRDefault="00CD6352" w:rsidP="00CD6352">
      <w:pPr>
        <w:pStyle w:val="Caption"/>
        <w:jc w:val="both"/>
        <w:rPr>
          <w:rFonts w:ascii="Arial" w:hAnsi="Arial" w:cs="Arial"/>
          <w:i w:val="0"/>
          <w:iCs w:val="0"/>
          <w:sz w:val="16"/>
          <w:szCs w:val="16"/>
        </w:rPr>
      </w:pPr>
      <w:r w:rsidRPr="008815B0">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2.2</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0A6022">
        <w:rPr>
          <w:rFonts w:ascii="Arial" w:hAnsi="Arial" w:cs="Arial"/>
          <w:i w:val="0"/>
          <w:iCs w:val="0"/>
          <w:sz w:val="16"/>
          <w:szCs w:val="16"/>
        </w:rPr>
        <w:t>7</w:t>
      </w:r>
      <w:r w:rsidRPr="008815B0">
        <w:rPr>
          <w:rFonts w:ascii="Arial" w:hAnsi="Arial" w:cs="Arial"/>
          <w:i w:val="0"/>
          <w:iCs w:val="0"/>
          <w:sz w:val="16"/>
          <w:szCs w:val="16"/>
        </w:rPr>
        <w:t>:</w:t>
      </w:r>
      <w:r w:rsidRPr="008815B0">
        <w:rPr>
          <w:rFonts w:ascii="Arial" w:hAnsi="Arial" w:cs="Arial"/>
          <w:bCs/>
          <w:i w:val="0"/>
          <w:iCs w:val="0"/>
          <w:color w:val="auto"/>
          <w:sz w:val="16"/>
          <w:szCs w:val="16"/>
        </w:rPr>
        <w:t xml:space="preserve"> </w:t>
      </w:r>
      <w:r w:rsidRPr="008815B0">
        <w:rPr>
          <w:rFonts w:ascii="Arial" w:hAnsi="Arial" w:cs="Arial"/>
          <w:bCs/>
          <w:i w:val="0"/>
          <w:iCs w:val="0"/>
          <w:sz w:val="16"/>
          <w:szCs w:val="16"/>
        </w:rPr>
        <w:t>UK consumer confidence</w:t>
      </w:r>
    </w:p>
    <w:p w14:paraId="17F77AA0" w14:textId="77777777" w:rsidR="00CD6352" w:rsidRPr="00EA7665" w:rsidRDefault="00CD6352" w:rsidP="00CD6352">
      <w:pPr>
        <w:spacing w:after="0" w:line="360" w:lineRule="auto"/>
        <w:jc w:val="both"/>
        <w:rPr>
          <w:rFonts w:ascii="Arial" w:hAnsi="Arial" w:cs="Arial"/>
          <w:bCs/>
        </w:rPr>
      </w:pPr>
    </w:p>
    <w:p w14:paraId="0C2806F2" w14:textId="77777777" w:rsidR="00CD6352" w:rsidRPr="00EA7665" w:rsidRDefault="00CD6352" w:rsidP="00CD6352">
      <w:pPr>
        <w:spacing w:after="0" w:line="360" w:lineRule="auto"/>
        <w:jc w:val="both"/>
        <w:rPr>
          <w:rFonts w:ascii="Arial" w:hAnsi="Arial" w:cs="Arial"/>
          <w:b/>
          <w:iCs/>
        </w:rPr>
      </w:pPr>
      <w:r w:rsidRPr="00EA7665">
        <w:rPr>
          <w:rFonts w:ascii="Arial" w:hAnsi="Arial" w:cs="Arial"/>
          <w:b/>
          <w:iCs/>
        </w:rPr>
        <w:t>Political factor / the legal framework &amp; Policy Environment:</w:t>
      </w:r>
    </w:p>
    <w:p w14:paraId="769F3BF1" w14:textId="5A61900A" w:rsidR="00CD6352" w:rsidRPr="00EA7665" w:rsidRDefault="00CD6352" w:rsidP="00CD6352">
      <w:pPr>
        <w:spacing w:after="0" w:line="360" w:lineRule="auto"/>
        <w:jc w:val="both"/>
        <w:rPr>
          <w:rFonts w:ascii="Arial" w:hAnsi="Arial" w:cs="Arial"/>
        </w:rPr>
      </w:pPr>
      <w:r w:rsidRPr="00EA7665">
        <w:rPr>
          <w:rFonts w:ascii="Arial" w:hAnsi="Arial" w:cs="Arial"/>
        </w:rPr>
        <w:t xml:space="preserve">The UK has a very stable government </w:t>
      </w:r>
      <w:r w:rsidR="00A77626" w:rsidRPr="00EA7665">
        <w:rPr>
          <w:rFonts w:ascii="Arial" w:hAnsi="Arial" w:cs="Arial"/>
        </w:rPr>
        <w:t>structure</w:t>
      </w:r>
      <w:r w:rsidR="00A77626">
        <w:rPr>
          <w:rFonts w:ascii="Arial" w:hAnsi="Arial" w:cs="Arial"/>
        </w:rPr>
        <w:t>.</w:t>
      </w:r>
      <w:r w:rsidRPr="00EA7665">
        <w:rPr>
          <w:rFonts w:ascii="Arial" w:hAnsi="Arial" w:cs="Arial"/>
        </w:rPr>
        <w:t xml:space="preserve"> </w:t>
      </w:r>
      <w:r>
        <w:rPr>
          <w:rFonts w:ascii="Arial" w:hAnsi="Arial" w:cs="Arial"/>
        </w:rPr>
        <w:t xml:space="preserve">The </w:t>
      </w:r>
      <w:r w:rsidRPr="00EA7665">
        <w:rPr>
          <w:rFonts w:ascii="Arial" w:hAnsi="Arial" w:cs="Arial"/>
        </w:rPr>
        <w:t xml:space="preserve">structure makes the government accountable to </w:t>
      </w:r>
      <w:r w:rsidR="007A108F">
        <w:rPr>
          <w:rFonts w:ascii="Arial" w:hAnsi="Arial" w:cs="Arial"/>
        </w:rPr>
        <w:t>its</w:t>
      </w:r>
      <w:r w:rsidRPr="00EA7665">
        <w:rPr>
          <w:rFonts w:ascii="Arial" w:hAnsi="Arial" w:cs="Arial"/>
        </w:rPr>
        <w:t xml:space="preserve"> people, </w:t>
      </w:r>
      <w:r w:rsidR="008560AE">
        <w:rPr>
          <w:rFonts w:ascii="Arial" w:hAnsi="Arial" w:cs="Arial"/>
        </w:rPr>
        <w:t xml:space="preserve">making </w:t>
      </w:r>
      <w:r w:rsidR="002B22C6">
        <w:rPr>
          <w:rFonts w:ascii="Arial" w:hAnsi="Arial" w:cs="Arial"/>
        </w:rPr>
        <w:t>it</w:t>
      </w:r>
      <w:r w:rsidR="008560AE">
        <w:rPr>
          <w:rFonts w:ascii="Arial" w:hAnsi="Arial" w:cs="Arial"/>
        </w:rPr>
        <w:t xml:space="preserve"> very attractive for</w:t>
      </w:r>
      <w:r w:rsidRPr="00EA7665">
        <w:rPr>
          <w:rFonts w:ascii="Arial" w:hAnsi="Arial" w:cs="Arial"/>
        </w:rPr>
        <w:t xml:space="preserve"> external and internal property investors. </w:t>
      </w:r>
      <w:r w:rsidR="00A77626" w:rsidRPr="00EA7665">
        <w:rPr>
          <w:rFonts w:ascii="Arial" w:hAnsi="Arial" w:cs="Arial"/>
        </w:rPr>
        <w:t>However, the</w:t>
      </w:r>
      <w:r w:rsidRPr="00EA7665">
        <w:rPr>
          <w:rFonts w:ascii="Arial" w:hAnsi="Arial" w:cs="Arial"/>
        </w:rPr>
        <w:t xml:space="preserve"> uncertainties regarding the </w:t>
      </w:r>
      <w:r>
        <w:rPr>
          <w:rFonts w:ascii="Arial" w:hAnsi="Arial" w:cs="Arial"/>
        </w:rPr>
        <w:t xml:space="preserve">repercussions of </w:t>
      </w:r>
      <w:r w:rsidRPr="00EA7665">
        <w:rPr>
          <w:rFonts w:ascii="Arial" w:hAnsi="Arial" w:cs="Arial"/>
        </w:rPr>
        <w:t xml:space="preserve"> Brexit and its possible impact on </w:t>
      </w:r>
      <w:r w:rsidRPr="00EA7665">
        <w:rPr>
          <w:rFonts w:ascii="Arial" w:hAnsi="Arial" w:cs="Arial"/>
        </w:rPr>
        <w:lastRenderedPageBreak/>
        <w:t>the real estate development sector raise</w:t>
      </w:r>
      <w:r w:rsidR="007A108F">
        <w:rPr>
          <w:rFonts w:ascii="Arial" w:hAnsi="Arial" w:cs="Arial"/>
        </w:rPr>
        <w:t>s</w:t>
      </w:r>
      <w:r w:rsidRPr="00EA7665">
        <w:rPr>
          <w:rFonts w:ascii="Arial" w:hAnsi="Arial" w:cs="Arial"/>
        </w:rPr>
        <w:t xml:space="preserve"> some potential challenges.</w:t>
      </w:r>
      <w:r>
        <w:rPr>
          <w:rFonts w:ascii="Arial" w:hAnsi="Arial" w:cs="Arial"/>
        </w:rPr>
        <w:t xml:space="preserve"> </w:t>
      </w:r>
      <w:bookmarkStart w:id="492" w:name="_Toc459365136"/>
      <w:r w:rsidRPr="00EA7665">
        <w:rPr>
          <w:rFonts w:ascii="Arial" w:hAnsi="Arial" w:cs="Arial"/>
        </w:rPr>
        <w:t xml:space="preserve">The government has also come up with various policies to drive market-led development. Market-led development is the view that the market knows best what form of construction society requires and </w:t>
      </w:r>
      <w:r>
        <w:rPr>
          <w:rFonts w:ascii="Arial" w:hAnsi="Arial" w:cs="Arial"/>
        </w:rPr>
        <w:t>is</w:t>
      </w:r>
      <w:r w:rsidRPr="00EA7665">
        <w:rPr>
          <w:rFonts w:ascii="Arial" w:hAnsi="Arial" w:cs="Arial"/>
        </w:rPr>
        <w:t xml:space="preserve"> willing to pay. In this regard, the local authority ensures that land to be developed is free from ownership and other constraints. There is also the national policy on taxation, compensation, environment, and encouragement of owner-occupied housing. There have been so many tax policies in the UK </w:t>
      </w:r>
      <w:r w:rsidR="00AE54FE">
        <w:rPr>
          <w:rFonts w:ascii="Arial" w:hAnsi="Arial" w:cs="Arial"/>
        </w:rPr>
        <w:t>that have encouraged real estate investment in contemporary times</w:t>
      </w:r>
      <w:r w:rsidRPr="00EA7665">
        <w:rPr>
          <w:rFonts w:ascii="Arial" w:hAnsi="Arial" w:cs="Arial"/>
        </w:rPr>
        <w:t>. Furthermore, there are no restrictions on foreign ownership of properties in the UK (Delmendo, 2019).</w:t>
      </w:r>
    </w:p>
    <w:p w14:paraId="55CB7812" w14:textId="77777777" w:rsidR="00CD6352" w:rsidRPr="00EA7665" w:rsidRDefault="00CD6352" w:rsidP="00CD6352">
      <w:pPr>
        <w:spacing w:after="0" w:line="360" w:lineRule="auto"/>
        <w:jc w:val="both"/>
        <w:rPr>
          <w:rFonts w:ascii="Arial" w:hAnsi="Arial" w:cs="Arial"/>
          <w:bCs/>
        </w:rPr>
      </w:pPr>
    </w:p>
    <w:bookmarkEnd w:id="492"/>
    <w:p w14:paraId="79CA3D8D" w14:textId="77777777" w:rsidR="00CD6352" w:rsidRPr="00EA7665" w:rsidRDefault="00CD6352" w:rsidP="00CD6352">
      <w:pPr>
        <w:spacing w:after="0" w:line="360" w:lineRule="auto"/>
        <w:jc w:val="both"/>
        <w:rPr>
          <w:rFonts w:ascii="Arial" w:hAnsi="Arial" w:cs="Arial"/>
          <w:b/>
          <w:iCs/>
        </w:rPr>
      </w:pPr>
      <w:r w:rsidRPr="00EA7665">
        <w:rPr>
          <w:rFonts w:ascii="Arial" w:hAnsi="Arial" w:cs="Arial"/>
          <w:b/>
          <w:iCs/>
        </w:rPr>
        <w:t>Social framework and Professionalism in the real estate’s sector:</w:t>
      </w:r>
    </w:p>
    <w:p w14:paraId="5EA84375" w14:textId="38B7DFB2" w:rsidR="00CD6352" w:rsidRPr="00EA7665" w:rsidRDefault="002B22C6" w:rsidP="00CD6352">
      <w:pPr>
        <w:spacing w:after="0" w:line="360" w:lineRule="auto"/>
        <w:jc w:val="both"/>
        <w:rPr>
          <w:rFonts w:ascii="Arial" w:hAnsi="Arial" w:cs="Arial"/>
        </w:rPr>
      </w:pPr>
      <w:r>
        <w:rPr>
          <w:rFonts w:ascii="Arial" w:hAnsi="Arial" w:cs="Arial"/>
        </w:rPr>
        <w:t xml:space="preserve">Figure 2.2.8 shows the growth in the UK population from 1951 to 2017. </w:t>
      </w:r>
      <w:r w:rsidR="00CD6352" w:rsidRPr="00EA7665">
        <w:rPr>
          <w:rFonts w:ascii="Arial" w:hAnsi="Arial" w:cs="Arial"/>
        </w:rPr>
        <w:t xml:space="preserve">According to the UK office of national statistics, the UK’s population is estimated to be 66million, </w:t>
      </w:r>
      <w:r>
        <w:rPr>
          <w:rFonts w:ascii="Arial" w:hAnsi="Arial" w:cs="Arial"/>
        </w:rPr>
        <w:t>and it</w:t>
      </w:r>
      <w:r w:rsidR="00CD6352" w:rsidRPr="00EA7665">
        <w:rPr>
          <w:rFonts w:ascii="Arial" w:hAnsi="Arial" w:cs="Arial"/>
        </w:rPr>
        <w:t xml:space="preserve"> is expected to reach 73</w:t>
      </w:r>
      <w:r w:rsidR="00CD6352">
        <w:rPr>
          <w:rFonts w:ascii="Arial" w:hAnsi="Arial" w:cs="Arial"/>
        </w:rPr>
        <w:t xml:space="preserve"> </w:t>
      </w:r>
      <w:r w:rsidR="00CD6352" w:rsidRPr="00EA7665">
        <w:rPr>
          <w:rFonts w:ascii="Arial" w:hAnsi="Arial" w:cs="Arial"/>
        </w:rPr>
        <w:t xml:space="preserve">million by 2041. The </w:t>
      </w:r>
      <w:r>
        <w:rPr>
          <w:rFonts w:ascii="Arial" w:hAnsi="Arial" w:cs="Arial"/>
        </w:rPr>
        <w:t>primary</w:t>
      </w:r>
      <w:r w:rsidRPr="00EA7665">
        <w:rPr>
          <w:rFonts w:ascii="Arial" w:hAnsi="Arial" w:cs="Arial"/>
        </w:rPr>
        <w:t xml:space="preserve"> </w:t>
      </w:r>
      <w:r w:rsidR="00CD6352" w:rsidRPr="00EA7665">
        <w:rPr>
          <w:rFonts w:ascii="Arial" w:hAnsi="Arial" w:cs="Arial"/>
        </w:rPr>
        <w:t>reasons for the growth in the UK population</w:t>
      </w:r>
      <w:r w:rsidR="00CD6352">
        <w:rPr>
          <w:rFonts w:ascii="Arial" w:hAnsi="Arial" w:cs="Arial"/>
        </w:rPr>
        <w:t xml:space="preserve"> are increased </w:t>
      </w:r>
      <w:r w:rsidR="00CD6352" w:rsidRPr="00EA7665">
        <w:rPr>
          <w:rFonts w:ascii="Arial" w:hAnsi="Arial" w:cs="Arial"/>
        </w:rPr>
        <w:t xml:space="preserve">birth </w:t>
      </w:r>
      <w:r w:rsidR="00CD6352">
        <w:rPr>
          <w:rFonts w:ascii="Arial" w:hAnsi="Arial" w:cs="Arial"/>
        </w:rPr>
        <w:t xml:space="preserve">rates and </w:t>
      </w:r>
      <w:r w:rsidR="00A77626">
        <w:rPr>
          <w:rFonts w:ascii="Arial" w:hAnsi="Arial" w:cs="Arial"/>
        </w:rPr>
        <w:t>immigration.</w:t>
      </w:r>
      <w:r w:rsidR="00CD6352" w:rsidRPr="00EA7665">
        <w:rPr>
          <w:rFonts w:ascii="Arial" w:hAnsi="Arial" w:cs="Arial"/>
        </w:rPr>
        <w:t xml:space="preserve"> </w:t>
      </w:r>
      <w:r w:rsidR="00CD6352">
        <w:rPr>
          <w:rFonts w:ascii="Arial" w:hAnsi="Arial" w:cs="Arial"/>
        </w:rPr>
        <w:t>Furthermore, t</w:t>
      </w:r>
      <w:r w:rsidR="00CD6352" w:rsidRPr="00EA7665">
        <w:rPr>
          <w:rFonts w:ascii="Arial" w:hAnsi="Arial" w:cs="Arial"/>
        </w:rPr>
        <w:t>he UK population is living longer because of increasing life expectancy</w:t>
      </w:r>
      <w:r>
        <w:rPr>
          <w:rFonts w:ascii="Arial" w:hAnsi="Arial" w:cs="Arial"/>
        </w:rPr>
        <w:t>. T</w:t>
      </w:r>
      <w:r w:rsidR="00CD6352" w:rsidRPr="00EA7665">
        <w:rPr>
          <w:rFonts w:ascii="Arial" w:hAnsi="Arial" w:cs="Arial"/>
        </w:rPr>
        <w:t>hese population increases are beneficial to the real estate sector growth as more housing is needed</w:t>
      </w:r>
      <w:r w:rsidR="00CD6352">
        <w:rPr>
          <w:rFonts w:ascii="Arial" w:hAnsi="Arial" w:cs="Arial"/>
        </w:rPr>
        <w:t xml:space="preserve"> (ONS, 2017).</w:t>
      </w:r>
      <w:r w:rsidR="00CD6352" w:rsidRPr="00EA7665">
        <w:rPr>
          <w:rFonts w:ascii="Arial" w:hAnsi="Arial" w:cs="Arial"/>
        </w:rPr>
        <w:t xml:space="preserve"> </w:t>
      </w:r>
    </w:p>
    <w:p w14:paraId="7830B572"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0BF37287" wp14:editId="157D56B9">
            <wp:extent cx="6078855" cy="1574156"/>
            <wp:effectExtent l="0" t="0" r="17145" b="76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ADBD5D" w14:textId="010D85E9" w:rsidR="00CD6352" w:rsidRPr="008815B0" w:rsidRDefault="00CD6352" w:rsidP="00CD6352">
      <w:pPr>
        <w:pStyle w:val="Caption"/>
        <w:spacing w:after="0"/>
        <w:rPr>
          <w:rFonts w:ascii="Arial" w:hAnsi="Arial" w:cs="Arial"/>
          <w:i w:val="0"/>
          <w:iCs w:val="0"/>
          <w:sz w:val="16"/>
          <w:szCs w:val="16"/>
        </w:rPr>
      </w:pPr>
      <w:r w:rsidRPr="008815B0">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2.2</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0A6022">
        <w:rPr>
          <w:rFonts w:ascii="Arial" w:hAnsi="Arial" w:cs="Arial"/>
          <w:i w:val="0"/>
          <w:iCs w:val="0"/>
          <w:sz w:val="16"/>
          <w:szCs w:val="16"/>
        </w:rPr>
        <w:t>8</w:t>
      </w:r>
      <w:r w:rsidRPr="008815B0">
        <w:rPr>
          <w:rFonts w:ascii="Arial" w:hAnsi="Arial" w:cs="Arial"/>
          <w:i w:val="0"/>
          <w:iCs w:val="0"/>
          <w:sz w:val="16"/>
          <w:szCs w:val="16"/>
        </w:rPr>
        <w:t>: UK Population estimates 1951 to 2017</w:t>
      </w:r>
    </w:p>
    <w:p w14:paraId="474688CE" w14:textId="77777777" w:rsidR="00CD6352" w:rsidRPr="008815B0" w:rsidRDefault="00CD6352" w:rsidP="00CD6352">
      <w:pPr>
        <w:pStyle w:val="Caption"/>
        <w:spacing w:after="0"/>
        <w:rPr>
          <w:rFonts w:ascii="Arial" w:hAnsi="Arial" w:cs="Arial"/>
          <w:i w:val="0"/>
          <w:iCs w:val="0"/>
          <w:sz w:val="16"/>
          <w:szCs w:val="16"/>
        </w:rPr>
      </w:pPr>
      <w:r w:rsidRPr="008815B0">
        <w:rPr>
          <w:rFonts w:ascii="Arial" w:hAnsi="Arial" w:cs="Arial"/>
          <w:i w:val="0"/>
          <w:iCs w:val="0"/>
          <w:sz w:val="16"/>
          <w:szCs w:val="16"/>
        </w:rPr>
        <w:t xml:space="preserve">Source: Office of national statistics </w:t>
      </w:r>
    </w:p>
    <w:p w14:paraId="77FB0F97" w14:textId="77777777" w:rsidR="00CD6352" w:rsidRPr="00EA7665" w:rsidRDefault="00CD6352" w:rsidP="00CD6352">
      <w:pPr>
        <w:pStyle w:val="Caption"/>
        <w:jc w:val="both"/>
        <w:rPr>
          <w:rFonts w:ascii="Arial" w:hAnsi="Arial" w:cs="Arial"/>
          <w:b/>
        </w:rPr>
      </w:pPr>
    </w:p>
    <w:p w14:paraId="7591FC01" w14:textId="1704E569" w:rsidR="00CD6352" w:rsidRPr="00EA7665" w:rsidRDefault="00CD6352" w:rsidP="00CD6352">
      <w:pPr>
        <w:spacing w:line="360" w:lineRule="auto"/>
        <w:jc w:val="both"/>
        <w:rPr>
          <w:rFonts w:ascii="Arial" w:hAnsi="Arial" w:cs="Arial"/>
        </w:rPr>
      </w:pPr>
      <w:r>
        <w:rPr>
          <w:rFonts w:ascii="Arial" w:hAnsi="Arial" w:cs="Arial"/>
        </w:rPr>
        <w:t xml:space="preserve">The UK has a workforce that is </w:t>
      </w:r>
      <w:r w:rsidR="00AE54FE">
        <w:rPr>
          <w:rFonts w:ascii="Arial" w:hAnsi="Arial" w:cs="Arial"/>
        </w:rPr>
        <w:t xml:space="preserve">primarily </w:t>
      </w:r>
      <w:r>
        <w:rPr>
          <w:rFonts w:ascii="Arial" w:hAnsi="Arial" w:cs="Arial"/>
        </w:rPr>
        <w:t>professional</w:t>
      </w:r>
      <w:r w:rsidR="00AE54FE">
        <w:rPr>
          <w:rFonts w:ascii="Arial" w:hAnsi="Arial" w:cs="Arial"/>
        </w:rPr>
        <w:t>s</w:t>
      </w:r>
      <w:r>
        <w:rPr>
          <w:rFonts w:ascii="Arial" w:hAnsi="Arial" w:cs="Arial"/>
        </w:rPr>
        <w:t xml:space="preserve"> in the various sectors they operate within, generally requiring </w:t>
      </w:r>
      <w:r w:rsidRPr="00EA7665">
        <w:rPr>
          <w:rFonts w:ascii="Arial" w:hAnsi="Arial" w:cs="Arial"/>
        </w:rPr>
        <w:t>different certifications before they can operate</w:t>
      </w:r>
      <w:r w:rsidR="00C1468F">
        <w:rPr>
          <w:rFonts w:ascii="Arial" w:hAnsi="Arial" w:cs="Arial"/>
        </w:rPr>
        <w:t>. T</w:t>
      </w:r>
      <w:r w:rsidRPr="00EA7665">
        <w:rPr>
          <w:rFonts w:ascii="Arial" w:hAnsi="Arial" w:cs="Arial"/>
        </w:rPr>
        <w:t>his has contributed to making the industry successful and sustainable (Burrell, 2015).</w:t>
      </w:r>
    </w:p>
    <w:p w14:paraId="7C7D9EC8" w14:textId="77777777" w:rsidR="00CD6352" w:rsidRPr="00EA7665" w:rsidRDefault="00CD6352" w:rsidP="00CD6352">
      <w:pPr>
        <w:spacing w:line="360" w:lineRule="auto"/>
        <w:jc w:val="both"/>
        <w:rPr>
          <w:rFonts w:ascii="Arial" w:hAnsi="Arial" w:cs="Arial"/>
          <w:b/>
        </w:rPr>
      </w:pPr>
      <w:r w:rsidRPr="00EA7665">
        <w:rPr>
          <w:rFonts w:ascii="Arial" w:hAnsi="Arial" w:cs="Arial"/>
          <w:b/>
        </w:rPr>
        <w:t>Real estate shortages in the UK</w:t>
      </w:r>
    </w:p>
    <w:p w14:paraId="7A415890" w14:textId="703EB677" w:rsidR="00CD6352" w:rsidRPr="00EA7665" w:rsidRDefault="00CD6352" w:rsidP="00CD6352">
      <w:pPr>
        <w:spacing w:line="360" w:lineRule="auto"/>
        <w:jc w:val="both"/>
        <w:rPr>
          <w:rFonts w:ascii="Arial" w:hAnsi="Arial" w:cs="Arial"/>
        </w:rPr>
      </w:pPr>
      <w:r w:rsidRPr="00EA7665">
        <w:rPr>
          <w:rFonts w:ascii="Arial" w:hAnsi="Arial" w:cs="Arial"/>
        </w:rPr>
        <w:t>According to a BBC report of 23</w:t>
      </w:r>
      <w:r w:rsidRPr="00EA7665">
        <w:rPr>
          <w:rFonts w:ascii="Arial" w:hAnsi="Arial" w:cs="Arial"/>
          <w:vertAlign w:val="superscript"/>
        </w:rPr>
        <w:t>rd</w:t>
      </w:r>
      <w:r w:rsidRPr="00EA7665">
        <w:rPr>
          <w:rFonts w:ascii="Arial" w:hAnsi="Arial" w:cs="Arial"/>
        </w:rPr>
        <w:t xml:space="preserve"> September (2019), an estimated 8.4 million people in England </w:t>
      </w:r>
      <w:r w:rsidR="008560AE">
        <w:rPr>
          <w:rFonts w:ascii="Arial" w:hAnsi="Arial" w:cs="Arial"/>
        </w:rPr>
        <w:t>live</w:t>
      </w:r>
      <w:r w:rsidRPr="00EA7665">
        <w:rPr>
          <w:rFonts w:ascii="Arial" w:hAnsi="Arial" w:cs="Arial"/>
        </w:rPr>
        <w:t xml:space="preserve"> in unaffordable, insecure or unsuitable hom</w:t>
      </w:r>
      <w:r>
        <w:rPr>
          <w:rFonts w:ascii="Arial" w:hAnsi="Arial" w:cs="Arial"/>
        </w:rPr>
        <w:t>es</w:t>
      </w:r>
      <w:r w:rsidRPr="00EA7665">
        <w:rPr>
          <w:rFonts w:ascii="Arial" w:hAnsi="Arial" w:cs="Arial"/>
        </w:rPr>
        <w:t xml:space="preserve">”. Their report is based on findings from </w:t>
      </w:r>
      <w:r>
        <w:rPr>
          <w:rFonts w:ascii="Arial" w:hAnsi="Arial" w:cs="Arial"/>
        </w:rPr>
        <w:t xml:space="preserve">the </w:t>
      </w:r>
      <w:r w:rsidRPr="00EA7665">
        <w:rPr>
          <w:rFonts w:ascii="Arial" w:hAnsi="Arial" w:cs="Arial"/>
        </w:rPr>
        <w:t xml:space="preserve">National </w:t>
      </w:r>
      <w:r>
        <w:rPr>
          <w:rFonts w:ascii="Arial" w:hAnsi="Arial" w:cs="Arial"/>
        </w:rPr>
        <w:t>H</w:t>
      </w:r>
      <w:r w:rsidRPr="00EA7665">
        <w:rPr>
          <w:rFonts w:ascii="Arial" w:hAnsi="Arial" w:cs="Arial"/>
        </w:rPr>
        <w:t xml:space="preserve">ousing </w:t>
      </w:r>
      <w:r>
        <w:rPr>
          <w:rFonts w:ascii="Arial" w:hAnsi="Arial" w:cs="Arial"/>
        </w:rPr>
        <w:t>F</w:t>
      </w:r>
      <w:r w:rsidRPr="00EA7665">
        <w:rPr>
          <w:rFonts w:ascii="Arial" w:hAnsi="Arial" w:cs="Arial"/>
        </w:rPr>
        <w:t>ederation. This report sugges</w:t>
      </w:r>
      <w:r>
        <w:rPr>
          <w:rFonts w:ascii="Arial" w:hAnsi="Arial" w:cs="Arial"/>
        </w:rPr>
        <w:t>ts</w:t>
      </w:r>
      <w:r w:rsidRPr="00EA7665">
        <w:rPr>
          <w:rFonts w:ascii="Arial" w:hAnsi="Arial" w:cs="Arial"/>
        </w:rPr>
        <w:t xml:space="preserve"> that the housing crisis </w:t>
      </w:r>
      <w:r w:rsidR="008560AE">
        <w:rPr>
          <w:rFonts w:ascii="Arial" w:hAnsi="Arial" w:cs="Arial"/>
        </w:rPr>
        <w:t>affects people of all ages across every part of the country and</w:t>
      </w:r>
      <w:r w:rsidRPr="00EA7665">
        <w:rPr>
          <w:rFonts w:ascii="Arial" w:hAnsi="Arial" w:cs="Arial"/>
        </w:rPr>
        <w:t xml:space="preserve"> covers overcrowded housing and people being unable to afford their rent or mortgage. </w:t>
      </w:r>
    </w:p>
    <w:p w14:paraId="37EF7A88" w14:textId="77777777"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The research carried out by Heriot-Watt University on behalf of the </w:t>
      </w:r>
      <w:r>
        <w:rPr>
          <w:rFonts w:ascii="Arial" w:hAnsi="Arial" w:cs="Arial"/>
        </w:rPr>
        <w:t>F</w:t>
      </w:r>
      <w:r w:rsidRPr="00EA7665">
        <w:rPr>
          <w:rFonts w:ascii="Arial" w:hAnsi="Arial" w:cs="Arial"/>
        </w:rPr>
        <w:t>ederation also highlights the colossal gap between the supply and demand of housing in the UK (Barker, 2018). The report by Heriot-Watt University</w:t>
      </w:r>
      <w:r>
        <w:rPr>
          <w:rFonts w:ascii="Arial" w:hAnsi="Arial" w:cs="Arial"/>
        </w:rPr>
        <w:t>,</w:t>
      </w:r>
      <w:r w:rsidRPr="00EA7665">
        <w:rPr>
          <w:rFonts w:ascii="Arial" w:hAnsi="Arial" w:cs="Arial"/>
        </w:rPr>
        <w:t xml:space="preserve"> as summarised by the BBC</w:t>
      </w:r>
      <w:r>
        <w:rPr>
          <w:rFonts w:ascii="Arial" w:hAnsi="Arial" w:cs="Arial"/>
        </w:rPr>
        <w:t>,</w:t>
      </w:r>
      <w:r w:rsidRPr="00EA7665">
        <w:rPr>
          <w:rFonts w:ascii="Arial" w:hAnsi="Arial" w:cs="Arial"/>
        </w:rPr>
        <w:t xml:space="preserve"> sugge</w:t>
      </w:r>
      <w:r>
        <w:rPr>
          <w:rFonts w:ascii="Arial" w:hAnsi="Arial" w:cs="Arial"/>
        </w:rPr>
        <w:t>sts</w:t>
      </w:r>
      <w:r w:rsidRPr="00EA7665">
        <w:rPr>
          <w:rFonts w:ascii="Arial" w:hAnsi="Arial" w:cs="Arial"/>
        </w:rPr>
        <w:t xml:space="preserve"> the following:</w:t>
      </w:r>
    </w:p>
    <w:p w14:paraId="793C94BC" w14:textId="77777777" w:rsidR="00CD6352" w:rsidRPr="00EA7665" w:rsidRDefault="00CD6352" w:rsidP="007625E7">
      <w:pPr>
        <w:pStyle w:val="ListParagraph"/>
        <w:numPr>
          <w:ilvl w:val="0"/>
          <w:numId w:val="365"/>
        </w:numPr>
        <w:spacing w:line="360" w:lineRule="auto"/>
        <w:jc w:val="both"/>
        <w:rPr>
          <w:rFonts w:ascii="Arial" w:hAnsi="Arial" w:cs="Arial"/>
        </w:rPr>
      </w:pPr>
      <w:r w:rsidRPr="00EA7665">
        <w:rPr>
          <w:rFonts w:ascii="Arial" w:hAnsi="Arial" w:cs="Arial"/>
        </w:rPr>
        <w:t>3.6 million people are living in overcrowded homes</w:t>
      </w:r>
    </w:p>
    <w:p w14:paraId="2422EEA1" w14:textId="77777777" w:rsidR="00CD6352" w:rsidRPr="00EA7665" w:rsidRDefault="00CD6352" w:rsidP="007625E7">
      <w:pPr>
        <w:pStyle w:val="ListParagraph"/>
        <w:numPr>
          <w:ilvl w:val="0"/>
          <w:numId w:val="365"/>
        </w:numPr>
        <w:spacing w:line="360" w:lineRule="auto"/>
        <w:jc w:val="both"/>
        <w:rPr>
          <w:rFonts w:ascii="Arial" w:hAnsi="Arial" w:cs="Arial"/>
        </w:rPr>
      </w:pPr>
      <w:r w:rsidRPr="00EA7665">
        <w:rPr>
          <w:rFonts w:ascii="Arial" w:hAnsi="Arial" w:cs="Arial"/>
        </w:rPr>
        <w:t>2.5 million people are unable to afford their rent or mortgage</w:t>
      </w:r>
    </w:p>
    <w:p w14:paraId="6B29538D" w14:textId="77777777" w:rsidR="00CD6352" w:rsidRPr="00EA7665" w:rsidRDefault="00CD6352" w:rsidP="007625E7">
      <w:pPr>
        <w:pStyle w:val="ListParagraph"/>
        <w:numPr>
          <w:ilvl w:val="0"/>
          <w:numId w:val="365"/>
        </w:numPr>
        <w:spacing w:line="360" w:lineRule="auto"/>
        <w:jc w:val="both"/>
        <w:rPr>
          <w:rFonts w:ascii="Arial" w:hAnsi="Arial" w:cs="Arial"/>
        </w:rPr>
      </w:pPr>
      <w:r w:rsidRPr="00EA7665">
        <w:rPr>
          <w:rFonts w:ascii="Arial" w:hAnsi="Arial" w:cs="Arial"/>
        </w:rPr>
        <w:t>2.5 million people are in “hidden households”, such as adults living with their parents, or people living with an ex-partner or house share</w:t>
      </w:r>
    </w:p>
    <w:p w14:paraId="2B7749DA" w14:textId="77777777" w:rsidR="00CD6352" w:rsidRPr="00EA7665" w:rsidRDefault="00CD6352" w:rsidP="007625E7">
      <w:pPr>
        <w:pStyle w:val="ListParagraph"/>
        <w:numPr>
          <w:ilvl w:val="0"/>
          <w:numId w:val="365"/>
        </w:numPr>
        <w:spacing w:line="360" w:lineRule="auto"/>
        <w:jc w:val="both"/>
        <w:rPr>
          <w:rFonts w:ascii="Arial" w:hAnsi="Arial" w:cs="Arial"/>
        </w:rPr>
      </w:pPr>
      <w:r w:rsidRPr="00EA7665">
        <w:rPr>
          <w:rFonts w:ascii="Arial" w:hAnsi="Arial" w:cs="Arial"/>
        </w:rPr>
        <w:t xml:space="preserve">1.7 million people are in unsuitable housing </w:t>
      </w:r>
    </w:p>
    <w:p w14:paraId="1A58ECF7" w14:textId="77777777" w:rsidR="00CD6352" w:rsidRPr="00EA7665" w:rsidRDefault="00CD6352" w:rsidP="007625E7">
      <w:pPr>
        <w:pStyle w:val="ListParagraph"/>
        <w:numPr>
          <w:ilvl w:val="0"/>
          <w:numId w:val="365"/>
        </w:numPr>
        <w:spacing w:line="360" w:lineRule="auto"/>
        <w:jc w:val="both"/>
        <w:rPr>
          <w:rFonts w:ascii="Arial" w:hAnsi="Arial" w:cs="Arial"/>
        </w:rPr>
      </w:pPr>
      <w:r w:rsidRPr="00EA7665">
        <w:rPr>
          <w:rFonts w:ascii="Arial" w:hAnsi="Arial" w:cs="Arial"/>
        </w:rPr>
        <w:t>400,000 are homeless or at risk of homelessness</w:t>
      </w:r>
    </w:p>
    <w:p w14:paraId="60877F1E" w14:textId="3AE9A242" w:rsidR="00CD6352" w:rsidRPr="00EA7665" w:rsidRDefault="00CD6352" w:rsidP="00CD6352">
      <w:pPr>
        <w:spacing w:line="360" w:lineRule="auto"/>
        <w:jc w:val="both"/>
        <w:rPr>
          <w:rFonts w:ascii="Arial" w:hAnsi="Arial" w:cs="Arial"/>
        </w:rPr>
      </w:pPr>
      <w:r w:rsidRPr="00EA7665">
        <w:rPr>
          <w:rFonts w:ascii="Arial" w:hAnsi="Arial" w:cs="Arial"/>
        </w:rPr>
        <w:t xml:space="preserve">Researchers and observers in the housing sector </w:t>
      </w:r>
      <w:r w:rsidR="00390C3B">
        <w:rPr>
          <w:rFonts w:ascii="Arial" w:hAnsi="Arial" w:cs="Arial"/>
        </w:rPr>
        <w:t>believe</w:t>
      </w:r>
      <w:r w:rsidRPr="00EA7665">
        <w:rPr>
          <w:rFonts w:ascii="Arial" w:hAnsi="Arial" w:cs="Arial"/>
        </w:rPr>
        <w:t xml:space="preserve"> that this housing shortfall cannot be met overnight. However, it is suggested that the government put urgent measures</w:t>
      </w:r>
      <w:r w:rsidR="00390C3B">
        <w:rPr>
          <w:rFonts w:ascii="Arial" w:hAnsi="Arial" w:cs="Arial"/>
        </w:rPr>
        <w:t xml:space="preserve"> in place</w:t>
      </w:r>
      <w:r w:rsidRPr="00EA7665">
        <w:rPr>
          <w:rFonts w:ascii="Arial" w:hAnsi="Arial" w:cs="Arial"/>
        </w:rPr>
        <w:t xml:space="preserve"> to tackle this chronic underinvestment in affordable housing (Barker, 2018). </w:t>
      </w:r>
      <w:r w:rsidR="007B20B7">
        <w:rPr>
          <w:rFonts w:ascii="Arial" w:hAnsi="Arial" w:cs="Arial"/>
        </w:rPr>
        <w:t xml:space="preserve">Conversely, the toolkit developed by this study in chapter 10 could be beneficial to managers who would want to access finance from the government or other private sources for real estate project development. </w:t>
      </w:r>
    </w:p>
    <w:p w14:paraId="4924955D" w14:textId="77777777" w:rsidR="00CD6352" w:rsidRPr="00EA7665" w:rsidRDefault="00CD6352" w:rsidP="00CD6352">
      <w:pPr>
        <w:spacing w:line="360" w:lineRule="auto"/>
        <w:jc w:val="both"/>
        <w:rPr>
          <w:rFonts w:ascii="Arial" w:hAnsi="Arial" w:cs="Arial"/>
        </w:rPr>
      </w:pPr>
    </w:p>
    <w:p w14:paraId="1B82E71B" w14:textId="77777777" w:rsidR="00CD6352" w:rsidRPr="00EA7665" w:rsidRDefault="00CD6352" w:rsidP="00CD6352">
      <w:pPr>
        <w:pStyle w:val="Heading4"/>
        <w:spacing w:after="240"/>
        <w:rPr>
          <w:rFonts w:ascii="Arial" w:hAnsi="Arial" w:cs="Arial"/>
          <w:b/>
          <w:color w:val="auto"/>
          <w:lang w:val="en-US"/>
        </w:rPr>
      </w:pPr>
      <w:r w:rsidRPr="00EA7665">
        <w:rPr>
          <w:rFonts w:ascii="Arial" w:hAnsi="Arial" w:cs="Arial"/>
          <w:b/>
          <w:color w:val="auto"/>
          <w:lang w:val="en-US"/>
        </w:rPr>
        <w:t xml:space="preserve">Sources of Real estate finance in the UK </w:t>
      </w:r>
    </w:p>
    <w:p w14:paraId="07E8B3E1" w14:textId="73FB9B8D" w:rsidR="00CD6352" w:rsidRPr="00EA7665" w:rsidRDefault="00CD6352" w:rsidP="00CD6352">
      <w:pPr>
        <w:spacing w:line="360" w:lineRule="auto"/>
        <w:jc w:val="both"/>
        <w:rPr>
          <w:rFonts w:ascii="Arial" w:hAnsi="Arial" w:cs="Arial"/>
        </w:rPr>
      </w:pPr>
      <w:r w:rsidRPr="00EA7665">
        <w:rPr>
          <w:rFonts w:ascii="Arial" w:hAnsi="Arial" w:cs="Arial"/>
        </w:rPr>
        <w:t xml:space="preserve">The primary sources of finance for real estate project development in the UK </w:t>
      </w:r>
      <w:r>
        <w:rPr>
          <w:rFonts w:ascii="Arial" w:hAnsi="Arial" w:cs="Arial"/>
        </w:rPr>
        <w:t>are</w:t>
      </w:r>
      <w:r w:rsidRPr="00EA7665">
        <w:rPr>
          <w:rFonts w:ascii="Arial" w:hAnsi="Arial" w:cs="Arial"/>
        </w:rPr>
        <w:t xml:space="preserve"> </w:t>
      </w:r>
      <w:r>
        <w:rPr>
          <w:rFonts w:ascii="Arial" w:hAnsi="Arial" w:cs="Arial"/>
        </w:rPr>
        <w:t>b</w:t>
      </w:r>
      <w:r w:rsidRPr="00EA7665">
        <w:rPr>
          <w:rFonts w:ascii="Arial" w:hAnsi="Arial" w:cs="Arial"/>
        </w:rPr>
        <w:t>anks, building societies</w:t>
      </w:r>
      <w:r w:rsidR="00E83A57">
        <w:rPr>
          <w:rFonts w:ascii="Arial" w:hAnsi="Arial" w:cs="Arial"/>
        </w:rPr>
        <w:t>,</w:t>
      </w:r>
      <w:r w:rsidRPr="00EA7665">
        <w:rPr>
          <w:rFonts w:ascii="Arial" w:hAnsi="Arial" w:cs="Arial"/>
        </w:rPr>
        <w:t xml:space="preserve"> and mortgage brokers (Zhou, 2019). Generally, bank loans </w:t>
      </w:r>
      <w:r>
        <w:rPr>
          <w:rFonts w:ascii="Arial" w:hAnsi="Arial" w:cs="Arial"/>
        </w:rPr>
        <w:t xml:space="preserve">and insurance companies </w:t>
      </w:r>
      <w:r w:rsidRPr="00EA7665">
        <w:rPr>
          <w:rFonts w:ascii="Arial" w:hAnsi="Arial" w:cs="Arial"/>
        </w:rPr>
        <w:t>are a significant source of finance for all types of property investors</w:t>
      </w:r>
      <w:r>
        <w:rPr>
          <w:rFonts w:ascii="Arial" w:hAnsi="Arial" w:cs="Arial"/>
        </w:rPr>
        <w:t>.</w:t>
      </w:r>
      <w:r w:rsidRPr="00EA7665">
        <w:rPr>
          <w:rFonts w:ascii="Arial" w:hAnsi="Arial" w:cs="Arial"/>
        </w:rPr>
        <w:t xml:space="preserve"> </w:t>
      </w:r>
      <w:r w:rsidR="00C661DF" w:rsidRPr="00C661DF">
        <w:rPr>
          <w:rFonts w:ascii="Arial" w:hAnsi="Arial" w:cs="Arial"/>
        </w:rPr>
        <w:t>The UK has the most diversified real estate project finance sources in Europe (IPF, 2017).</w:t>
      </w:r>
      <w:r w:rsidR="00C661DF">
        <w:rPr>
          <w:rFonts w:ascii="Arial" w:hAnsi="Arial" w:cs="Arial"/>
        </w:rPr>
        <w:t xml:space="preserve"> R</w:t>
      </w:r>
      <w:r w:rsidRPr="00EA7665">
        <w:rPr>
          <w:rFonts w:ascii="Arial" w:hAnsi="Arial" w:cs="Arial"/>
        </w:rPr>
        <w:t xml:space="preserve">eal estate lending comes from both UK banks and international banks (Barton, 2017).  There is an excellent usage of both debt and equity finance for real estate project development in the UK. According to </w:t>
      </w:r>
      <w:r>
        <w:rPr>
          <w:rFonts w:ascii="Arial" w:hAnsi="Arial" w:cs="Arial"/>
        </w:rPr>
        <w:t xml:space="preserve">the </w:t>
      </w:r>
      <w:r w:rsidRPr="00EA7665">
        <w:rPr>
          <w:rFonts w:ascii="Arial" w:hAnsi="Arial" w:cs="Arial"/>
        </w:rPr>
        <w:t xml:space="preserve">IPF (2017) report, 60% of </w:t>
      </w:r>
      <w:r w:rsidR="008560AE">
        <w:rPr>
          <w:rFonts w:ascii="Arial" w:hAnsi="Arial" w:cs="Arial"/>
        </w:rPr>
        <w:t>CRE loans</w:t>
      </w:r>
      <w:r w:rsidRPr="00EA7665">
        <w:rPr>
          <w:rFonts w:ascii="Arial" w:hAnsi="Arial" w:cs="Arial"/>
        </w:rPr>
        <w:t xml:space="preserve"> originated from banks with the six largest banks in the UK, holding a 40% share. The report also showed that a combination of insurer and debt fund </w:t>
      </w:r>
      <w:r>
        <w:rPr>
          <w:rFonts w:ascii="Arial" w:hAnsi="Arial" w:cs="Arial"/>
        </w:rPr>
        <w:t>hold</w:t>
      </w:r>
      <w:r w:rsidR="00E83A57">
        <w:rPr>
          <w:rFonts w:ascii="Arial" w:hAnsi="Arial" w:cs="Arial"/>
        </w:rPr>
        <w:t>s</w:t>
      </w:r>
      <w:r w:rsidRPr="00EA7665">
        <w:rPr>
          <w:rFonts w:ascii="Arial" w:hAnsi="Arial" w:cs="Arial"/>
        </w:rPr>
        <w:t xml:space="preserve"> a share of 25%</w:t>
      </w:r>
      <w:r>
        <w:rPr>
          <w:rFonts w:ascii="Arial" w:hAnsi="Arial" w:cs="Arial"/>
        </w:rPr>
        <w:t>. A</w:t>
      </w:r>
      <w:r w:rsidRPr="00EA7665">
        <w:rPr>
          <w:rFonts w:ascii="Arial" w:hAnsi="Arial" w:cs="Arial"/>
        </w:rPr>
        <w:t xml:space="preserve"> lot of financing is through loan syndication in real estate development finance in the UK. The debt finance available in the UK, especially for commercial real estate projects (CRE), includes investment loans, development loans, corporate loans, and bridging finance (Barton, 2017).  </w:t>
      </w:r>
    </w:p>
    <w:p w14:paraId="054973A4" w14:textId="6D33CDDB" w:rsidR="00CD6352" w:rsidRPr="00EA7665" w:rsidRDefault="00CD6352" w:rsidP="00CD6352">
      <w:pPr>
        <w:spacing w:after="0" w:line="360" w:lineRule="auto"/>
        <w:jc w:val="both"/>
        <w:rPr>
          <w:rFonts w:ascii="Arial" w:hAnsi="Arial" w:cs="Arial"/>
        </w:rPr>
      </w:pPr>
      <w:r w:rsidRPr="00EA7665">
        <w:rPr>
          <w:rFonts w:ascii="Arial" w:hAnsi="Arial" w:cs="Arial"/>
        </w:rPr>
        <w:t xml:space="preserve">Conversely, the platform for equity investment in the United Kingdom is the same as </w:t>
      </w:r>
      <w:r>
        <w:rPr>
          <w:rFonts w:ascii="Arial" w:hAnsi="Arial" w:cs="Arial"/>
        </w:rPr>
        <w:t xml:space="preserve">in </w:t>
      </w:r>
      <w:r w:rsidRPr="00EA7665">
        <w:rPr>
          <w:rFonts w:ascii="Arial" w:hAnsi="Arial" w:cs="Arial"/>
        </w:rPr>
        <w:t>Germany</w:t>
      </w:r>
      <w:r w:rsidR="008560AE">
        <w:rPr>
          <w:rFonts w:ascii="Arial" w:hAnsi="Arial" w:cs="Arial"/>
        </w:rPr>
        <w:t>:</w:t>
      </w:r>
      <w:r w:rsidRPr="00EA7665">
        <w:rPr>
          <w:rFonts w:ascii="Arial" w:hAnsi="Arial" w:cs="Arial"/>
        </w:rPr>
        <w:t xml:space="preserve"> quoted property companies, overseas inward investors, public/ other unitised property funds, pension funds, life assurance, and other insurance companies. The UK particularly has strong pension fun</w:t>
      </w:r>
      <w:r>
        <w:rPr>
          <w:rFonts w:ascii="Arial" w:hAnsi="Arial" w:cs="Arial"/>
        </w:rPr>
        <w:t>d</w:t>
      </w:r>
      <w:r w:rsidRPr="00EA7665">
        <w:rPr>
          <w:rFonts w:ascii="Arial" w:hAnsi="Arial" w:cs="Arial"/>
        </w:rPr>
        <w:t xml:space="preserve"> investmen</w:t>
      </w:r>
      <w:r>
        <w:rPr>
          <w:rFonts w:ascii="Arial" w:hAnsi="Arial" w:cs="Arial"/>
        </w:rPr>
        <w:t xml:space="preserve">ts </w:t>
      </w:r>
      <w:r w:rsidRPr="00EA7665">
        <w:rPr>
          <w:rFonts w:ascii="Arial" w:hAnsi="Arial" w:cs="Arial"/>
        </w:rPr>
        <w:t>in the real estate sector</w:t>
      </w:r>
      <w:r w:rsidR="008560AE">
        <w:rPr>
          <w:rFonts w:ascii="Arial" w:hAnsi="Arial" w:cs="Arial"/>
        </w:rPr>
        <w:t>,</w:t>
      </w:r>
      <w:r w:rsidRPr="00EA7665">
        <w:rPr>
          <w:rFonts w:ascii="Arial" w:hAnsi="Arial" w:cs="Arial"/>
        </w:rPr>
        <w:t xml:space="preserve"> with </w:t>
      </w:r>
      <w:r w:rsidR="00C71135">
        <w:rPr>
          <w:rFonts w:ascii="Arial" w:hAnsi="Arial" w:cs="Arial"/>
        </w:rPr>
        <w:t xml:space="preserve">the </w:t>
      </w:r>
      <w:r w:rsidR="008560AE">
        <w:rPr>
          <w:rFonts w:ascii="Arial" w:hAnsi="Arial" w:cs="Arial"/>
        </w:rPr>
        <w:t>UK quoted companies' strength</w:t>
      </w:r>
      <w:r w:rsidRPr="00EA7665">
        <w:rPr>
          <w:rFonts w:ascii="Arial" w:hAnsi="Arial" w:cs="Arial"/>
        </w:rPr>
        <w:t xml:space="preserve"> </w:t>
      </w:r>
      <w:r w:rsidR="00390C3B">
        <w:rPr>
          <w:rFonts w:ascii="Arial" w:hAnsi="Arial" w:cs="Arial"/>
        </w:rPr>
        <w:t>is</w:t>
      </w:r>
      <w:r w:rsidR="00390C3B" w:rsidRPr="00EA7665">
        <w:rPr>
          <w:rFonts w:ascii="Arial" w:hAnsi="Arial" w:cs="Arial"/>
        </w:rPr>
        <w:t xml:space="preserve"> </w:t>
      </w:r>
      <w:r w:rsidRPr="00EA7665">
        <w:rPr>
          <w:rFonts w:ascii="Arial" w:hAnsi="Arial" w:cs="Arial"/>
        </w:rPr>
        <w:t xml:space="preserve">very evident as a platform for real estate project finance (Maguire and Axcell, 1994). </w:t>
      </w:r>
    </w:p>
    <w:p w14:paraId="6DE61731" w14:textId="77777777" w:rsidR="00CD6352" w:rsidRPr="00EA7665" w:rsidRDefault="00CD6352" w:rsidP="00CD6352">
      <w:pPr>
        <w:spacing w:after="0" w:line="360" w:lineRule="auto"/>
        <w:jc w:val="both"/>
        <w:rPr>
          <w:rFonts w:ascii="Arial" w:hAnsi="Arial" w:cs="Arial"/>
        </w:rPr>
      </w:pPr>
    </w:p>
    <w:p w14:paraId="2F14B0FB" w14:textId="776D3DDF" w:rsidR="00CD6352" w:rsidRPr="00EA7665" w:rsidRDefault="00D45B9C" w:rsidP="00CD6352">
      <w:pPr>
        <w:pStyle w:val="Heading3"/>
        <w:spacing w:after="240"/>
        <w:rPr>
          <w:sz w:val="22"/>
          <w:szCs w:val="22"/>
        </w:rPr>
      </w:pPr>
      <w:bookmarkStart w:id="493" w:name="_Toc78983780"/>
      <w:r w:rsidRPr="00D45B9C">
        <w:rPr>
          <w:sz w:val="22"/>
          <w:szCs w:val="22"/>
        </w:rPr>
        <w:t xml:space="preserve">A review of literature focused on the </w:t>
      </w:r>
      <w:r w:rsidR="00CD6352" w:rsidRPr="00EA7665">
        <w:rPr>
          <w:sz w:val="22"/>
          <w:szCs w:val="22"/>
        </w:rPr>
        <w:t xml:space="preserve">United States real estate </w:t>
      </w:r>
      <w:r w:rsidR="00675BBE" w:rsidRPr="00EA7665">
        <w:rPr>
          <w:sz w:val="22"/>
          <w:szCs w:val="22"/>
        </w:rPr>
        <w:t>market.</w:t>
      </w:r>
      <w:bookmarkEnd w:id="493"/>
      <w:r w:rsidR="00CD6352" w:rsidRPr="00EA7665">
        <w:rPr>
          <w:sz w:val="22"/>
          <w:szCs w:val="22"/>
        </w:rPr>
        <w:t xml:space="preserve"> </w:t>
      </w:r>
    </w:p>
    <w:p w14:paraId="47D66287" w14:textId="24870DDA" w:rsidR="00CD6352" w:rsidRPr="00EA7665" w:rsidRDefault="00CD6352" w:rsidP="00CD6352">
      <w:pPr>
        <w:spacing w:line="360" w:lineRule="auto"/>
        <w:jc w:val="both"/>
        <w:rPr>
          <w:rFonts w:ascii="Arial" w:hAnsi="Arial" w:cs="Arial"/>
        </w:rPr>
      </w:pPr>
      <w:r w:rsidRPr="00EA7665">
        <w:rPr>
          <w:rFonts w:ascii="Arial" w:hAnsi="Arial" w:cs="Arial"/>
        </w:rPr>
        <w:t>The United States is a country of 50 states with 325.7 million people (trading economics, 201</w:t>
      </w:r>
      <w:r>
        <w:rPr>
          <w:rFonts w:ascii="Arial" w:hAnsi="Arial" w:cs="Arial"/>
        </w:rPr>
        <w:t>9</w:t>
      </w:r>
      <w:r w:rsidRPr="00EA7665">
        <w:rPr>
          <w:rFonts w:ascii="Arial" w:hAnsi="Arial" w:cs="Arial"/>
        </w:rPr>
        <w:t xml:space="preserve">). </w:t>
      </w:r>
      <w:r w:rsidR="002A59D9">
        <w:rPr>
          <w:rFonts w:ascii="Arial" w:hAnsi="Arial" w:cs="Arial"/>
        </w:rPr>
        <w:t>Over the decades, the economic and political stability of the United States has made it a favourable investment destination for real estate. It has a relatively low capital gains tax, and the size of the country’s financial and real estate market has made it one of the World’s most attractive and diverse real estate markets (LaPier, 1995). The real estate market in the US has many big companies competing alongside large multinationals due to an increase in the rental markets, and it has significantly expanded in recent years due to technological advancement and an increasing influx of investment (Weber, 2016</w:t>
      </w:r>
      <w:r w:rsidRPr="00EA7665">
        <w:rPr>
          <w:rFonts w:ascii="Arial" w:hAnsi="Arial" w:cs="Arial"/>
        </w:rPr>
        <w:t xml:space="preserve">). </w:t>
      </w:r>
    </w:p>
    <w:p w14:paraId="068EAA9D" w14:textId="0D665D0E" w:rsidR="00CD6352" w:rsidRPr="00EA7665" w:rsidRDefault="00CD6352" w:rsidP="00CD6352">
      <w:pPr>
        <w:spacing w:after="0" w:line="360" w:lineRule="auto"/>
        <w:jc w:val="both"/>
        <w:rPr>
          <w:rFonts w:ascii="Arial" w:hAnsi="Arial" w:cs="Arial"/>
        </w:rPr>
      </w:pPr>
      <w:r w:rsidRPr="00EA7665">
        <w:rPr>
          <w:rFonts w:ascii="Arial" w:hAnsi="Arial" w:cs="Arial"/>
        </w:rPr>
        <w:t xml:space="preserve">There is a lot of international investment in the US real estate market, </w:t>
      </w:r>
      <w:r>
        <w:rPr>
          <w:rFonts w:ascii="Arial" w:hAnsi="Arial" w:cs="Arial"/>
        </w:rPr>
        <w:t xml:space="preserve">including a </w:t>
      </w:r>
      <w:r w:rsidR="002D384D">
        <w:rPr>
          <w:rFonts w:ascii="Arial" w:hAnsi="Arial" w:cs="Arial"/>
        </w:rPr>
        <w:t xml:space="preserve">significant </w:t>
      </w:r>
      <w:r w:rsidR="002D384D" w:rsidRPr="00EA7665">
        <w:rPr>
          <w:rFonts w:ascii="Arial" w:hAnsi="Arial" w:cs="Arial"/>
        </w:rPr>
        <w:t>investment</w:t>
      </w:r>
      <w:r w:rsidRPr="00EA7665">
        <w:rPr>
          <w:rFonts w:ascii="Arial" w:hAnsi="Arial" w:cs="Arial"/>
        </w:rPr>
        <w:t xml:space="preserve"> from Asia</w:t>
      </w:r>
      <w:r w:rsidR="00A95C40">
        <w:rPr>
          <w:rFonts w:ascii="Arial" w:hAnsi="Arial" w:cs="Arial"/>
        </w:rPr>
        <w:t>,</w:t>
      </w:r>
      <w:r>
        <w:rPr>
          <w:rFonts w:ascii="Arial" w:hAnsi="Arial" w:cs="Arial"/>
        </w:rPr>
        <w:t xml:space="preserve"> which is predominantly targeted </w:t>
      </w:r>
      <w:r w:rsidRPr="00EA7665">
        <w:rPr>
          <w:rFonts w:ascii="Arial" w:hAnsi="Arial" w:cs="Arial"/>
        </w:rPr>
        <w:t>at gateway cities such as New York, San Francisco</w:t>
      </w:r>
      <w:r w:rsidR="004A630B">
        <w:rPr>
          <w:rFonts w:ascii="Arial" w:hAnsi="Arial" w:cs="Arial"/>
        </w:rPr>
        <w:t>,</w:t>
      </w:r>
      <w:r w:rsidRPr="00EA7665">
        <w:rPr>
          <w:rFonts w:ascii="Arial" w:hAnsi="Arial" w:cs="Arial"/>
        </w:rPr>
        <w:t xml:space="preserve"> and Chicago (Zhou, 2015).</w:t>
      </w:r>
    </w:p>
    <w:p w14:paraId="2A340D26"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0474BB19" wp14:editId="0D3A50ED">
            <wp:extent cx="5731510" cy="2071868"/>
            <wp:effectExtent l="0" t="0" r="2540" b="50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E9228E" w14:textId="6C2B3A6F" w:rsidR="00CD6352" w:rsidRPr="008815B0" w:rsidRDefault="00CD6352" w:rsidP="00CD6352">
      <w:pPr>
        <w:pStyle w:val="Caption"/>
        <w:spacing w:after="0"/>
        <w:rPr>
          <w:rFonts w:ascii="Arial" w:hAnsi="Arial" w:cs="Arial"/>
          <w:i w:val="0"/>
          <w:iCs w:val="0"/>
        </w:rPr>
      </w:pPr>
      <w:r w:rsidRPr="008815B0">
        <w:rPr>
          <w:rFonts w:ascii="Arial" w:hAnsi="Arial" w:cs="Arial"/>
          <w:i w:val="0"/>
          <w:iCs w:val="0"/>
        </w:rPr>
        <w:t xml:space="preserve">Figure </w:t>
      </w:r>
      <w:r w:rsidR="00324B0D">
        <w:rPr>
          <w:rFonts w:ascii="Arial" w:hAnsi="Arial" w:cs="Arial"/>
          <w:i w:val="0"/>
          <w:iCs w:val="0"/>
        </w:rPr>
        <w:fldChar w:fldCharType="begin"/>
      </w:r>
      <w:r w:rsidR="00324B0D">
        <w:rPr>
          <w:rFonts w:ascii="Arial" w:hAnsi="Arial" w:cs="Arial"/>
          <w:i w:val="0"/>
          <w:iCs w:val="0"/>
        </w:rPr>
        <w:instrText xml:space="preserve"> STYLEREF 2 \s </w:instrText>
      </w:r>
      <w:r w:rsidR="00324B0D">
        <w:rPr>
          <w:rFonts w:ascii="Arial" w:hAnsi="Arial" w:cs="Arial"/>
          <w:i w:val="0"/>
          <w:iCs w:val="0"/>
        </w:rPr>
        <w:fldChar w:fldCharType="separate"/>
      </w:r>
      <w:r w:rsidR="00324B0D">
        <w:rPr>
          <w:rFonts w:ascii="Arial" w:hAnsi="Arial" w:cs="Arial"/>
          <w:i w:val="0"/>
          <w:iCs w:val="0"/>
          <w:noProof/>
        </w:rPr>
        <w:t>2.2</w:t>
      </w:r>
      <w:r w:rsidR="00324B0D">
        <w:rPr>
          <w:rFonts w:ascii="Arial" w:hAnsi="Arial" w:cs="Arial"/>
          <w:i w:val="0"/>
          <w:iCs w:val="0"/>
        </w:rPr>
        <w:fldChar w:fldCharType="end"/>
      </w:r>
      <w:r w:rsidR="00324B0D">
        <w:rPr>
          <w:rFonts w:ascii="Arial" w:hAnsi="Arial" w:cs="Arial"/>
          <w:i w:val="0"/>
          <w:iCs w:val="0"/>
        </w:rPr>
        <w:noBreakHyphen/>
      </w:r>
      <w:r w:rsidR="00AE19E0">
        <w:rPr>
          <w:rFonts w:ascii="Arial" w:hAnsi="Arial" w:cs="Arial"/>
          <w:i w:val="0"/>
          <w:iCs w:val="0"/>
        </w:rPr>
        <w:t>9</w:t>
      </w:r>
      <w:r w:rsidRPr="008815B0">
        <w:rPr>
          <w:rFonts w:ascii="Arial" w:hAnsi="Arial" w:cs="Arial"/>
          <w:i w:val="0"/>
          <w:iCs w:val="0"/>
        </w:rPr>
        <w:t>: Total of new privately-owned housing units (UNDCONT) &amp; residential construction (SA).</w:t>
      </w:r>
    </w:p>
    <w:p w14:paraId="6FDF5A74" w14:textId="77777777" w:rsidR="00CD6352" w:rsidRPr="008815B0" w:rsidRDefault="00CD6352" w:rsidP="00CD6352">
      <w:pPr>
        <w:pStyle w:val="Caption"/>
        <w:rPr>
          <w:rFonts w:ascii="Arial" w:hAnsi="Arial" w:cs="Arial"/>
          <w:i w:val="0"/>
          <w:iCs w:val="0"/>
        </w:rPr>
      </w:pPr>
      <w:r w:rsidRPr="008815B0">
        <w:rPr>
          <w:rFonts w:ascii="Arial" w:hAnsi="Arial" w:cs="Arial"/>
          <w:i w:val="0"/>
          <w:iCs w:val="0"/>
        </w:rPr>
        <w:t>Source: FRED (2019)</w:t>
      </w:r>
    </w:p>
    <w:p w14:paraId="669E0F2C" w14:textId="6BE56646" w:rsidR="00CD6352" w:rsidRPr="00EA7665" w:rsidRDefault="00CD6352" w:rsidP="00CD6352">
      <w:pPr>
        <w:spacing w:line="360" w:lineRule="auto"/>
        <w:jc w:val="both"/>
        <w:rPr>
          <w:rFonts w:ascii="Arial" w:hAnsi="Arial" w:cs="Arial"/>
        </w:rPr>
      </w:pPr>
      <w:r w:rsidRPr="00EA7665">
        <w:rPr>
          <w:rFonts w:ascii="Arial" w:hAnsi="Arial" w:cs="Arial"/>
        </w:rPr>
        <w:t xml:space="preserve">Details from the US Federal Reserve System </w:t>
      </w:r>
      <w:r w:rsidR="00026071">
        <w:rPr>
          <w:rFonts w:ascii="Arial" w:hAnsi="Arial" w:cs="Arial"/>
        </w:rPr>
        <w:t xml:space="preserve">in figure 2.2.9 </w:t>
      </w:r>
      <w:r w:rsidRPr="00EA7665">
        <w:rPr>
          <w:rFonts w:ascii="Arial" w:hAnsi="Arial" w:cs="Arial"/>
        </w:rPr>
        <w:t>sho</w:t>
      </w:r>
      <w:r>
        <w:rPr>
          <w:rFonts w:ascii="Arial" w:hAnsi="Arial" w:cs="Arial"/>
        </w:rPr>
        <w:t>w</w:t>
      </w:r>
      <w:r w:rsidR="00026071">
        <w:rPr>
          <w:rFonts w:ascii="Arial" w:hAnsi="Arial" w:cs="Arial"/>
        </w:rPr>
        <w:t xml:space="preserve"> that the housing sector has experienced the continuous construction of new residential developments and an increasing number of new privately-owned housing units since 2009. </w:t>
      </w:r>
      <w:r w:rsidRPr="00EA7665">
        <w:rPr>
          <w:rFonts w:ascii="Arial" w:hAnsi="Arial" w:cs="Arial"/>
        </w:rPr>
        <w:t>It i</w:t>
      </w:r>
      <w:r w:rsidR="008560AE">
        <w:rPr>
          <w:rFonts w:ascii="Arial" w:hAnsi="Arial" w:cs="Arial"/>
        </w:rPr>
        <w:t>ndicates</w:t>
      </w:r>
      <w:r w:rsidRPr="00EA7665">
        <w:rPr>
          <w:rFonts w:ascii="Arial" w:hAnsi="Arial" w:cs="Arial"/>
        </w:rPr>
        <w:t xml:space="preserve"> how healthy and robust the US real estate sector has continued to be</w:t>
      </w:r>
      <w:r w:rsidR="00026071">
        <w:rPr>
          <w:rFonts w:ascii="Arial" w:hAnsi="Arial" w:cs="Arial"/>
        </w:rPr>
        <w:t>.</w:t>
      </w:r>
      <w:r w:rsidRPr="00EA7665">
        <w:rPr>
          <w:rFonts w:ascii="Arial" w:hAnsi="Arial" w:cs="Arial"/>
        </w:rPr>
        <w:t xml:space="preserve"> The US price index rose by 3.13 during the year to Q2 2019, </w:t>
      </w:r>
      <w:r w:rsidR="008560AE">
        <w:rPr>
          <w:rFonts w:ascii="Arial" w:hAnsi="Arial" w:cs="Arial"/>
        </w:rPr>
        <w:t>which</w:t>
      </w:r>
      <w:r w:rsidRPr="00EA7665">
        <w:rPr>
          <w:rFonts w:ascii="Arial" w:hAnsi="Arial" w:cs="Arial"/>
        </w:rPr>
        <w:t xml:space="preserve"> is the lowest since 2012 (Delmendo, 2019). </w:t>
      </w:r>
    </w:p>
    <w:p w14:paraId="34AB971C" w14:textId="4137AAEE" w:rsidR="00CD6352" w:rsidRPr="00EA7665" w:rsidRDefault="00CD6352" w:rsidP="00CD6352">
      <w:pPr>
        <w:spacing w:line="360" w:lineRule="auto"/>
        <w:jc w:val="both"/>
        <w:rPr>
          <w:rFonts w:ascii="Arial" w:hAnsi="Arial" w:cs="Arial"/>
        </w:rPr>
      </w:pPr>
      <w:r w:rsidRPr="00EA7665">
        <w:rPr>
          <w:rFonts w:ascii="Arial" w:hAnsi="Arial" w:cs="Arial"/>
        </w:rPr>
        <w:t>Despite the generally slow rise in the house price index, 19 of the 20 major U.S cities continued to experience moderate to minimal house price hikes</w:t>
      </w:r>
      <w:r w:rsidR="008560AE">
        <w:rPr>
          <w:rFonts w:ascii="Arial" w:hAnsi="Arial" w:cs="Arial"/>
        </w:rPr>
        <w:t>,</w:t>
      </w:r>
      <w:r w:rsidRPr="00EA7665">
        <w:rPr>
          <w:rFonts w:ascii="Arial" w:hAnsi="Arial" w:cs="Arial"/>
        </w:rPr>
        <w:t xml:space="preserve"> with Phoenix posting the highest increases of 5.83%, Las Vagas (5.51%), Tampa (4.71%, Charlotte (4.54% and Atlanta (4.5%). The lowest increases were</w:t>
      </w:r>
      <w:r>
        <w:rPr>
          <w:rFonts w:ascii="Arial" w:hAnsi="Arial" w:cs="Arial"/>
        </w:rPr>
        <w:t xml:space="preserve"> in</w:t>
      </w:r>
      <w:r w:rsidRPr="00EA7665">
        <w:rPr>
          <w:rFonts w:ascii="Arial" w:hAnsi="Arial" w:cs="Arial"/>
        </w:rPr>
        <w:t xml:space="preserve"> Los Angeles, Chicago, San Diego, New York, and San Francisco</w:t>
      </w:r>
      <w:r w:rsidR="008560AE">
        <w:rPr>
          <w:rFonts w:ascii="Arial" w:hAnsi="Arial" w:cs="Arial"/>
        </w:rPr>
        <w:t>,</w:t>
      </w:r>
      <w:r w:rsidRPr="00EA7665">
        <w:rPr>
          <w:rFonts w:ascii="Arial" w:hAnsi="Arial" w:cs="Arial"/>
        </w:rPr>
        <w:t xml:space="preserve"> while Seattle saw a house price decline of 1.32% (Delmendo, 2019)</w:t>
      </w:r>
      <w:r w:rsidR="00026071">
        <w:rPr>
          <w:rFonts w:ascii="Arial" w:hAnsi="Arial" w:cs="Arial"/>
        </w:rPr>
        <w:t>.</w:t>
      </w:r>
    </w:p>
    <w:p w14:paraId="35D0E67D" w14:textId="4280BB09" w:rsidR="00CD6352" w:rsidRPr="00EA7665" w:rsidRDefault="00BD5E9A" w:rsidP="00CD6352">
      <w:pPr>
        <w:pStyle w:val="Heading4"/>
        <w:spacing w:after="240"/>
        <w:rPr>
          <w:rFonts w:ascii="Arial" w:hAnsi="Arial" w:cs="Arial"/>
          <w:b/>
          <w:color w:val="auto"/>
        </w:rPr>
      </w:pPr>
      <w:r>
        <w:rPr>
          <w:rFonts w:ascii="Arial" w:hAnsi="Arial" w:cs="Arial"/>
          <w:b/>
          <w:color w:val="auto"/>
        </w:rPr>
        <w:lastRenderedPageBreak/>
        <w:t>The f</w:t>
      </w:r>
      <w:r w:rsidR="00CD6352" w:rsidRPr="00EA7665">
        <w:rPr>
          <w:rFonts w:ascii="Arial" w:hAnsi="Arial" w:cs="Arial"/>
          <w:b/>
          <w:color w:val="auto"/>
        </w:rPr>
        <w:t xml:space="preserve">actors </w:t>
      </w:r>
      <w:r w:rsidR="00CD6352">
        <w:rPr>
          <w:rFonts w:ascii="Arial" w:hAnsi="Arial" w:cs="Arial"/>
          <w:b/>
          <w:color w:val="auto"/>
        </w:rPr>
        <w:t>affecting</w:t>
      </w:r>
      <w:r w:rsidR="00CD6352" w:rsidRPr="00EA7665">
        <w:rPr>
          <w:rFonts w:ascii="Arial" w:hAnsi="Arial" w:cs="Arial"/>
          <w:b/>
          <w:color w:val="auto"/>
        </w:rPr>
        <w:t xml:space="preserve"> the real estate’s sector in the United States of America</w:t>
      </w:r>
    </w:p>
    <w:p w14:paraId="2A2710AB" w14:textId="578F29B4" w:rsidR="00CD6352" w:rsidRPr="00EA7665" w:rsidRDefault="00CD6352" w:rsidP="00CD6352">
      <w:pPr>
        <w:spacing w:line="360" w:lineRule="auto"/>
        <w:jc w:val="both"/>
        <w:rPr>
          <w:rFonts w:ascii="Arial" w:hAnsi="Arial" w:cs="Arial"/>
        </w:rPr>
      </w:pPr>
      <w:r w:rsidRPr="00EA7665">
        <w:rPr>
          <w:rFonts w:ascii="Arial" w:hAnsi="Arial" w:cs="Arial"/>
        </w:rPr>
        <w:t>The housing market in the US, like any other country, is elastic; consequently</w:t>
      </w:r>
      <w:r w:rsidR="008560AE">
        <w:rPr>
          <w:rFonts w:ascii="Arial" w:hAnsi="Arial" w:cs="Arial"/>
        </w:rPr>
        <w:t>,</w:t>
      </w:r>
      <w:r w:rsidRPr="00EA7665">
        <w:rPr>
          <w:rFonts w:ascii="Arial" w:hAnsi="Arial" w:cs="Arial"/>
        </w:rPr>
        <w:t xml:space="preserve"> certain factors enhance the industry or devalue it. These factors include economic factors, </w:t>
      </w:r>
      <w:r>
        <w:rPr>
          <w:rFonts w:ascii="Arial" w:hAnsi="Arial" w:cs="Arial"/>
        </w:rPr>
        <w:t>such as</w:t>
      </w:r>
      <w:r w:rsidRPr="00EA7665">
        <w:rPr>
          <w:rFonts w:ascii="Arial" w:hAnsi="Arial" w:cs="Arial"/>
        </w:rPr>
        <w:t xml:space="preserve"> the government</w:t>
      </w:r>
      <w:r>
        <w:rPr>
          <w:rFonts w:ascii="Arial" w:hAnsi="Arial" w:cs="Arial"/>
        </w:rPr>
        <w:t>’s</w:t>
      </w:r>
      <w:r w:rsidRPr="00EA7665">
        <w:rPr>
          <w:rFonts w:ascii="Arial" w:hAnsi="Arial" w:cs="Arial"/>
        </w:rPr>
        <w:t xml:space="preserve"> monetary and fiscal policies targeted at the property market; macro-economic factors</w:t>
      </w:r>
      <w:r w:rsidR="00AE54FE">
        <w:rPr>
          <w:rFonts w:ascii="Arial" w:hAnsi="Arial" w:cs="Arial"/>
        </w:rPr>
        <w:t>,</w:t>
      </w:r>
      <w:r w:rsidRPr="00EA7665">
        <w:rPr>
          <w:rFonts w:ascii="Arial" w:hAnsi="Arial" w:cs="Arial"/>
        </w:rPr>
        <w:t xml:space="preserve"> such as GDP, inflation, credits</w:t>
      </w:r>
      <w:r w:rsidR="00E44BB7">
        <w:rPr>
          <w:rFonts w:ascii="Arial" w:hAnsi="Arial" w:cs="Arial"/>
        </w:rPr>
        <w:t>,</w:t>
      </w:r>
      <w:r w:rsidRPr="00EA7665">
        <w:rPr>
          <w:rFonts w:ascii="Arial" w:hAnsi="Arial" w:cs="Arial"/>
        </w:rPr>
        <w:t xml:space="preserve"> economic growth</w:t>
      </w:r>
      <w:r>
        <w:rPr>
          <w:rFonts w:ascii="Arial" w:hAnsi="Arial" w:cs="Arial"/>
        </w:rPr>
        <w:t>,</w:t>
      </w:r>
      <w:r w:rsidRPr="00EA7665">
        <w:rPr>
          <w:rFonts w:ascii="Arial" w:hAnsi="Arial" w:cs="Arial"/>
        </w:rPr>
        <w:t xml:space="preserve"> social factors</w:t>
      </w:r>
      <w:r w:rsidR="00E44BB7">
        <w:rPr>
          <w:rFonts w:ascii="Arial" w:hAnsi="Arial" w:cs="Arial"/>
        </w:rPr>
        <w:t>,</w:t>
      </w:r>
      <w:r w:rsidRPr="00EA7665">
        <w:rPr>
          <w:rFonts w:ascii="Arial" w:hAnsi="Arial" w:cs="Arial"/>
        </w:rPr>
        <w:t xml:space="preserve"> and political factors.</w:t>
      </w:r>
    </w:p>
    <w:p w14:paraId="37B73FFF"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 xml:space="preserve">Economic Factors </w:t>
      </w:r>
    </w:p>
    <w:p w14:paraId="0C1EE53E" w14:textId="52F541B6" w:rsidR="00CD6352" w:rsidRPr="00EA7665" w:rsidRDefault="00CD6352" w:rsidP="00CD6352">
      <w:pPr>
        <w:spacing w:after="0" w:line="360" w:lineRule="auto"/>
        <w:jc w:val="both"/>
        <w:rPr>
          <w:rFonts w:ascii="Arial" w:hAnsi="Arial" w:cs="Arial"/>
        </w:rPr>
      </w:pPr>
      <w:r w:rsidRPr="00EA7665">
        <w:rPr>
          <w:rFonts w:ascii="Arial" w:hAnsi="Arial" w:cs="Arial"/>
        </w:rPr>
        <w:t xml:space="preserve">The real estate sector of the US is </w:t>
      </w:r>
      <w:r w:rsidR="00F34305">
        <w:rPr>
          <w:rFonts w:ascii="Arial" w:hAnsi="Arial" w:cs="Arial"/>
        </w:rPr>
        <w:t>broadly</w:t>
      </w:r>
      <w:r w:rsidRPr="00EA7665">
        <w:rPr>
          <w:rFonts w:ascii="Arial" w:hAnsi="Arial" w:cs="Arial"/>
        </w:rPr>
        <w:t xml:space="preserve"> patterned after </w:t>
      </w:r>
      <w:r w:rsidR="00E44BB7">
        <w:rPr>
          <w:rFonts w:ascii="Arial" w:hAnsi="Arial" w:cs="Arial"/>
        </w:rPr>
        <w:t xml:space="preserve">its </w:t>
      </w:r>
      <w:r w:rsidRPr="00EA7665">
        <w:rPr>
          <w:rFonts w:ascii="Arial" w:hAnsi="Arial" w:cs="Arial"/>
        </w:rPr>
        <w:t>economic performance. Employment is growing, inflation remains in check,</w:t>
      </w:r>
      <w:r>
        <w:rPr>
          <w:rFonts w:ascii="Arial" w:hAnsi="Arial" w:cs="Arial"/>
        </w:rPr>
        <w:t xml:space="preserve"> </w:t>
      </w:r>
      <w:r w:rsidR="002D384D">
        <w:rPr>
          <w:rFonts w:ascii="Arial" w:hAnsi="Arial" w:cs="Arial"/>
        </w:rPr>
        <w:t xml:space="preserve">and </w:t>
      </w:r>
      <w:r w:rsidR="002D384D" w:rsidRPr="00EA7665">
        <w:rPr>
          <w:rFonts w:ascii="Arial" w:hAnsi="Arial" w:cs="Arial"/>
        </w:rPr>
        <w:t>interest</w:t>
      </w:r>
      <w:r w:rsidRPr="00EA7665">
        <w:rPr>
          <w:rFonts w:ascii="Arial" w:hAnsi="Arial" w:cs="Arial"/>
        </w:rPr>
        <w:t xml:space="preserve"> rates are low, </w:t>
      </w:r>
      <w:r w:rsidR="004336B7">
        <w:rPr>
          <w:rFonts w:ascii="Arial" w:hAnsi="Arial" w:cs="Arial"/>
        </w:rPr>
        <w:t>positively impacting the real estate sector</w:t>
      </w:r>
      <w:r w:rsidR="00EC2803">
        <w:rPr>
          <w:rFonts w:ascii="Arial" w:hAnsi="Arial" w:cs="Arial"/>
        </w:rPr>
        <w:t>.</w:t>
      </w:r>
      <w:r w:rsidRPr="00EA7665">
        <w:rPr>
          <w:rFonts w:ascii="Arial" w:hAnsi="Arial" w:cs="Arial"/>
        </w:rPr>
        <w:t xml:space="preserve"> Other favourable macro-economic factors which have influenced the real estate sector in the US and enhanced demand include </w:t>
      </w:r>
      <w:r>
        <w:rPr>
          <w:rFonts w:ascii="Arial" w:hAnsi="Arial" w:cs="Arial"/>
        </w:rPr>
        <w:t xml:space="preserve">the </w:t>
      </w:r>
      <w:r w:rsidRPr="00EA7665">
        <w:rPr>
          <w:rFonts w:ascii="Arial" w:hAnsi="Arial" w:cs="Arial"/>
        </w:rPr>
        <w:t>national economy, bank lending, and mortgage loan rates (</w:t>
      </w:r>
      <w:r w:rsidR="00EC2803" w:rsidRPr="00EC2803">
        <w:rPr>
          <w:rFonts w:ascii="Arial" w:hAnsi="Arial" w:cs="Arial"/>
        </w:rPr>
        <w:t>Delisle, 2015</w:t>
      </w:r>
      <w:r w:rsidR="00EC2803">
        <w:rPr>
          <w:rFonts w:ascii="Arial" w:hAnsi="Arial" w:cs="Arial"/>
        </w:rPr>
        <w:t xml:space="preserve">; </w:t>
      </w:r>
      <w:r w:rsidRPr="00EA7665">
        <w:rPr>
          <w:rFonts w:ascii="Arial" w:hAnsi="Arial" w:cs="Arial"/>
        </w:rPr>
        <w:t>FRED, 2019).</w:t>
      </w:r>
    </w:p>
    <w:p w14:paraId="184D3991"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75384E60" wp14:editId="0C23B988">
            <wp:extent cx="5737225" cy="2083443"/>
            <wp:effectExtent l="0" t="0" r="15875" b="1206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A6326F" w14:textId="50985FE3" w:rsidR="00CD6352" w:rsidRPr="008815B0" w:rsidRDefault="00CD6352" w:rsidP="00CD6352">
      <w:pPr>
        <w:pStyle w:val="Caption"/>
        <w:spacing w:after="0"/>
        <w:rPr>
          <w:rFonts w:ascii="Arial" w:hAnsi="Arial" w:cs="Arial"/>
          <w:i w:val="0"/>
          <w:iCs w:val="0"/>
          <w:sz w:val="16"/>
          <w:szCs w:val="16"/>
        </w:rPr>
      </w:pPr>
      <w:r w:rsidRPr="008815B0">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2.2</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AE19E0">
        <w:rPr>
          <w:rFonts w:ascii="Arial" w:hAnsi="Arial" w:cs="Arial"/>
          <w:i w:val="0"/>
          <w:iCs w:val="0"/>
          <w:sz w:val="16"/>
          <w:szCs w:val="16"/>
        </w:rPr>
        <w:t>10</w:t>
      </w:r>
      <w:r w:rsidRPr="008815B0">
        <w:rPr>
          <w:rFonts w:ascii="Arial" w:hAnsi="Arial" w:cs="Arial"/>
          <w:i w:val="0"/>
          <w:iCs w:val="0"/>
          <w:sz w:val="16"/>
          <w:szCs w:val="16"/>
        </w:rPr>
        <w:t>: USA Civilian unemployment rate</w:t>
      </w:r>
    </w:p>
    <w:p w14:paraId="33E9C675" w14:textId="77777777" w:rsidR="00CD6352" w:rsidRPr="008815B0" w:rsidRDefault="00CD6352" w:rsidP="00CD6352">
      <w:pPr>
        <w:pStyle w:val="Caption"/>
        <w:spacing w:after="0"/>
        <w:rPr>
          <w:rFonts w:ascii="Arial" w:hAnsi="Arial" w:cs="Arial"/>
          <w:i w:val="0"/>
          <w:iCs w:val="0"/>
          <w:sz w:val="16"/>
          <w:szCs w:val="16"/>
        </w:rPr>
      </w:pPr>
      <w:r w:rsidRPr="008815B0">
        <w:rPr>
          <w:rFonts w:ascii="Arial" w:hAnsi="Arial" w:cs="Arial"/>
          <w:i w:val="0"/>
          <w:iCs w:val="0"/>
          <w:sz w:val="16"/>
          <w:szCs w:val="16"/>
        </w:rPr>
        <w:t>Source: FRED (2019)</w:t>
      </w:r>
    </w:p>
    <w:p w14:paraId="2A6F5331" w14:textId="77777777" w:rsidR="00CD6352" w:rsidRPr="00EA7665" w:rsidRDefault="00CD6352" w:rsidP="00CD6352">
      <w:pPr>
        <w:pStyle w:val="Caption"/>
        <w:spacing w:after="0"/>
        <w:jc w:val="both"/>
        <w:rPr>
          <w:rFonts w:ascii="Arial" w:hAnsi="Arial" w:cs="Arial"/>
        </w:rPr>
      </w:pPr>
    </w:p>
    <w:p w14:paraId="0BD74CBB" w14:textId="00A37324" w:rsidR="00CD6352" w:rsidRPr="00EA7665" w:rsidRDefault="00CD6352" w:rsidP="00CD6352">
      <w:pPr>
        <w:spacing w:line="360" w:lineRule="auto"/>
        <w:jc w:val="both"/>
        <w:rPr>
          <w:rFonts w:ascii="Arial" w:hAnsi="Arial" w:cs="Arial"/>
        </w:rPr>
      </w:pPr>
      <w:r w:rsidRPr="00EA7665">
        <w:rPr>
          <w:rFonts w:ascii="Arial" w:hAnsi="Arial" w:cs="Arial"/>
        </w:rPr>
        <w:t>The graph in figure 2.</w:t>
      </w:r>
      <w:r w:rsidR="00E44BB7">
        <w:rPr>
          <w:rFonts w:ascii="Arial" w:hAnsi="Arial" w:cs="Arial"/>
        </w:rPr>
        <w:t>2.</w:t>
      </w:r>
      <w:r w:rsidRPr="00EA7665">
        <w:rPr>
          <w:rFonts w:ascii="Arial" w:hAnsi="Arial" w:cs="Arial"/>
        </w:rPr>
        <w:t>1</w:t>
      </w:r>
      <w:r w:rsidR="009A4309">
        <w:rPr>
          <w:rFonts w:ascii="Arial" w:hAnsi="Arial" w:cs="Arial"/>
        </w:rPr>
        <w:t>0</w:t>
      </w:r>
      <w:r w:rsidR="00AE54FE">
        <w:rPr>
          <w:rFonts w:ascii="Arial" w:hAnsi="Arial" w:cs="Arial"/>
        </w:rPr>
        <w:t>,</w:t>
      </w:r>
      <w:r>
        <w:rPr>
          <w:rFonts w:ascii="Arial" w:hAnsi="Arial" w:cs="Arial"/>
        </w:rPr>
        <w:t xml:space="preserve"> </w:t>
      </w:r>
      <w:r w:rsidRPr="00EA7665">
        <w:rPr>
          <w:rFonts w:ascii="Arial" w:hAnsi="Arial" w:cs="Arial"/>
        </w:rPr>
        <w:t>based on data from the Federal Reserve System (FRED, 2019)</w:t>
      </w:r>
      <w:r w:rsidR="006A5A42">
        <w:rPr>
          <w:rFonts w:ascii="Arial" w:hAnsi="Arial" w:cs="Arial"/>
        </w:rPr>
        <w:t>,</w:t>
      </w:r>
      <w:r w:rsidRPr="00EA7665">
        <w:rPr>
          <w:rFonts w:ascii="Arial" w:hAnsi="Arial" w:cs="Arial"/>
        </w:rPr>
        <w:t xml:space="preserve"> shows that the US has consistently had reduc</w:t>
      </w:r>
      <w:r>
        <w:rPr>
          <w:rFonts w:ascii="Arial" w:hAnsi="Arial" w:cs="Arial"/>
        </w:rPr>
        <w:t>ed</w:t>
      </w:r>
      <w:r w:rsidRPr="00EA7665">
        <w:rPr>
          <w:rFonts w:ascii="Arial" w:hAnsi="Arial" w:cs="Arial"/>
        </w:rPr>
        <w:t xml:space="preserve"> unemployment from 2000 to 2018, apart from </w:t>
      </w:r>
      <w:r>
        <w:rPr>
          <w:rFonts w:ascii="Arial" w:hAnsi="Arial" w:cs="Arial"/>
        </w:rPr>
        <w:t xml:space="preserve">during </w:t>
      </w:r>
      <w:r w:rsidRPr="00EA7665">
        <w:rPr>
          <w:rFonts w:ascii="Arial" w:hAnsi="Arial" w:cs="Arial"/>
        </w:rPr>
        <w:t>the 2007/2008 financial crisis (highlighted on the graph)</w:t>
      </w:r>
      <w:r w:rsidR="008560AE">
        <w:rPr>
          <w:rFonts w:ascii="Arial" w:hAnsi="Arial" w:cs="Arial"/>
        </w:rPr>
        <w:t>. H</w:t>
      </w:r>
      <w:r>
        <w:rPr>
          <w:rFonts w:ascii="Arial" w:hAnsi="Arial" w:cs="Arial"/>
        </w:rPr>
        <w:t>owever</w:t>
      </w:r>
      <w:r w:rsidR="00E44BB7">
        <w:rPr>
          <w:rFonts w:ascii="Arial" w:hAnsi="Arial" w:cs="Arial"/>
        </w:rPr>
        <w:t>,</w:t>
      </w:r>
      <w:r>
        <w:rPr>
          <w:rFonts w:ascii="Arial" w:hAnsi="Arial" w:cs="Arial"/>
        </w:rPr>
        <w:t xml:space="preserve"> there has been a </w:t>
      </w:r>
      <w:r w:rsidRPr="00EA7665">
        <w:rPr>
          <w:rFonts w:ascii="Arial" w:hAnsi="Arial" w:cs="Arial"/>
        </w:rPr>
        <w:t xml:space="preserve">consistent improvement since </w:t>
      </w:r>
      <w:r>
        <w:rPr>
          <w:rFonts w:ascii="Arial" w:hAnsi="Arial" w:cs="Arial"/>
        </w:rPr>
        <w:t xml:space="preserve">then. </w:t>
      </w:r>
      <w:r w:rsidRPr="00EA7665">
        <w:rPr>
          <w:rFonts w:ascii="Arial" w:hAnsi="Arial" w:cs="Arial"/>
        </w:rPr>
        <w:t>The reduction in unemployment, which conversely is enhanced employment, is a factor that significantly contributes to the growth of the real estate sector.</w:t>
      </w:r>
    </w:p>
    <w:p w14:paraId="5DA751D0" w14:textId="774DA356" w:rsidR="00CD6352" w:rsidRPr="00EA7665" w:rsidRDefault="00CD6352" w:rsidP="00CD6352">
      <w:pPr>
        <w:spacing w:line="360" w:lineRule="auto"/>
        <w:jc w:val="both"/>
        <w:rPr>
          <w:rFonts w:ascii="Arial" w:hAnsi="Arial" w:cs="Arial"/>
        </w:rPr>
      </w:pPr>
      <w:r w:rsidRPr="00EA7665">
        <w:rPr>
          <w:rFonts w:ascii="Arial" w:hAnsi="Arial" w:cs="Arial"/>
        </w:rPr>
        <w:t>Furthermore, credits play a very active role in influencing investment in the real estate sector. The US Federal Reserve did an excellent job pumping funds into the economy through quantitative easing and pegging of the interest rate (Louis, 2019 &amp; Ogbenjuwa et al., 2017). These two monetary policy measures</w:t>
      </w:r>
      <w:r>
        <w:rPr>
          <w:rFonts w:ascii="Arial" w:hAnsi="Arial" w:cs="Arial"/>
        </w:rPr>
        <w:t xml:space="preserve"> </w:t>
      </w:r>
      <w:r w:rsidRPr="00EA7665">
        <w:rPr>
          <w:rFonts w:ascii="Arial" w:hAnsi="Arial" w:cs="Arial"/>
        </w:rPr>
        <w:t xml:space="preserve">have </w:t>
      </w:r>
      <w:r w:rsidR="008F6661">
        <w:rPr>
          <w:rFonts w:ascii="Arial" w:hAnsi="Arial" w:cs="Arial"/>
        </w:rPr>
        <w:t xml:space="preserve">contributed to </w:t>
      </w:r>
      <w:r w:rsidRPr="00EA7665">
        <w:rPr>
          <w:rFonts w:ascii="Arial" w:hAnsi="Arial" w:cs="Arial"/>
        </w:rPr>
        <w:t>sustain</w:t>
      </w:r>
      <w:r w:rsidR="008F6661">
        <w:rPr>
          <w:rFonts w:ascii="Arial" w:hAnsi="Arial" w:cs="Arial"/>
        </w:rPr>
        <w:t>ing</w:t>
      </w:r>
      <w:r w:rsidRPr="00EA7665">
        <w:rPr>
          <w:rFonts w:ascii="Arial" w:hAnsi="Arial" w:cs="Arial"/>
        </w:rPr>
        <w:t xml:space="preserve"> the real estate sector of the US. Credits activate both the supply and demand market for real estate, and this is because it provides finance for developers as well as finance for consumers through the mortgage markets. A Federal Reserve survey of senior loan officers in the US showed that banks have continued to relax lending standards across the </w:t>
      </w:r>
      <w:r>
        <w:rPr>
          <w:rFonts w:ascii="Arial" w:hAnsi="Arial" w:cs="Arial"/>
        </w:rPr>
        <w:t>board</w:t>
      </w:r>
      <w:r w:rsidRPr="00EA7665">
        <w:rPr>
          <w:rFonts w:ascii="Arial" w:hAnsi="Arial" w:cs="Arial"/>
        </w:rPr>
        <w:t xml:space="preserve">. The banks have increased </w:t>
      </w:r>
      <w:r w:rsidRPr="00EA7665">
        <w:rPr>
          <w:rFonts w:ascii="Arial" w:hAnsi="Arial" w:cs="Arial"/>
        </w:rPr>
        <w:lastRenderedPageBreak/>
        <w:t xml:space="preserve">their willingness to make loans to consumers and have reduced their lending standards, </w:t>
      </w:r>
      <w:r w:rsidR="00BE6273">
        <w:rPr>
          <w:rFonts w:ascii="Arial" w:hAnsi="Arial" w:cs="Arial"/>
        </w:rPr>
        <w:t>positively influencing</w:t>
      </w:r>
      <w:r w:rsidR="008560AE">
        <w:rPr>
          <w:rFonts w:ascii="Arial" w:hAnsi="Arial" w:cs="Arial"/>
        </w:rPr>
        <w:t xml:space="preserve"> the US's real estate market</w:t>
      </w:r>
      <w:r w:rsidRPr="00EA7665">
        <w:rPr>
          <w:rFonts w:ascii="Arial" w:hAnsi="Arial" w:cs="Arial"/>
        </w:rPr>
        <w:t xml:space="preserve"> (Delisle, 2015). </w:t>
      </w:r>
    </w:p>
    <w:p w14:paraId="76FA7505" w14:textId="451B8832" w:rsidR="00CD6352" w:rsidRPr="00EA7665" w:rsidRDefault="00CD6352" w:rsidP="00CD6352">
      <w:pPr>
        <w:spacing w:line="360" w:lineRule="auto"/>
        <w:jc w:val="both"/>
        <w:rPr>
          <w:rFonts w:ascii="Arial" w:hAnsi="Arial" w:cs="Arial"/>
        </w:rPr>
      </w:pPr>
      <w:r w:rsidRPr="00EA7665">
        <w:rPr>
          <w:rFonts w:ascii="Arial" w:hAnsi="Arial" w:cs="Arial"/>
        </w:rPr>
        <w:t xml:space="preserve">Global capital flow into the US is </w:t>
      </w:r>
      <w:r w:rsidR="002D384D" w:rsidRPr="00EA7665">
        <w:rPr>
          <w:rFonts w:ascii="Arial" w:hAnsi="Arial" w:cs="Arial"/>
        </w:rPr>
        <w:t>of great</w:t>
      </w:r>
      <w:r w:rsidRPr="00EA7665">
        <w:rPr>
          <w:rFonts w:ascii="Arial" w:hAnsi="Arial" w:cs="Arial"/>
        </w:rPr>
        <w:t xml:space="preserve"> benefit to the US real estate market. There is </w:t>
      </w:r>
      <w:r>
        <w:rPr>
          <w:rFonts w:ascii="Arial" w:hAnsi="Arial" w:cs="Arial"/>
        </w:rPr>
        <w:t xml:space="preserve">an </w:t>
      </w:r>
      <w:r w:rsidRPr="00EA7665">
        <w:rPr>
          <w:rFonts w:ascii="Arial" w:hAnsi="Arial" w:cs="Arial"/>
        </w:rPr>
        <w:t xml:space="preserve">enormous capital inflow from China as a result of their huge current account trade balance. There </w:t>
      </w:r>
      <w:r w:rsidR="00EC5EEF">
        <w:rPr>
          <w:rFonts w:ascii="Arial" w:hAnsi="Arial" w:cs="Arial"/>
        </w:rPr>
        <w:t>are</w:t>
      </w:r>
      <w:r w:rsidRPr="00EA7665">
        <w:rPr>
          <w:rFonts w:ascii="Arial" w:hAnsi="Arial" w:cs="Arial"/>
        </w:rPr>
        <w:t xml:space="preserve"> also inflow</w:t>
      </w:r>
      <w:r w:rsidR="009476C1">
        <w:rPr>
          <w:rFonts w:ascii="Arial" w:hAnsi="Arial" w:cs="Arial"/>
        </w:rPr>
        <w:t>s</w:t>
      </w:r>
      <w:r w:rsidRPr="00EA7665">
        <w:rPr>
          <w:rFonts w:ascii="Arial" w:hAnsi="Arial" w:cs="Arial"/>
        </w:rPr>
        <w:t xml:space="preserve"> from </w:t>
      </w:r>
      <w:r>
        <w:rPr>
          <w:rFonts w:ascii="Arial" w:hAnsi="Arial" w:cs="Arial"/>
        </w:rPr>
        <w:t xml:space="preserve">Middle Eastern oil revenues </w:t>
      </w:r>
      <w:r w:rsidRPr="00EA7665">
        <w:rPr>
          <w:rFonts w:ascii="Arial" w:hAnsi="Arial" w:cs="Arial"/>
        </w:rPr>
        <w:t xml:space="preserve">into the </w:t>
      </w:r>
      <w:r w:rsidR="00E64460">
        <w:rPr>
          <w:rFonts w:ascii="Arial" w:hAnsi="Arial" w:cs="Arial"/>
        </w:rPr>
        <w:t>US's real estate sector</w:t>
      </w:r>
      <w:r w:rsidRPr="00EA7665">
        <w:rPr>
          <w:rFonts w:ascii="Arial" w:hAnsi="Arial" w:cs="Arial"/>
        </w:rPr>
        <w:t xml:space="preserve"> through financial assets such as stock and derivatives (Mohaddes &amp; Pesaran, 2017).</w:t>
      </w:r>
    </w:p>
    <w:p w14:paraId="01684691"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Social, Political factors and government’s policies</w:t>
      </w:r>
    </w:p>
    <w:p w14:paraId="1867E4FF" w14:textId="2DDE9759" w:rsidR="00CD6352" w:rsidRPr="00EA7665" w:rsidRDefault="00CD6352" w:rsidP="00CD6352">
      <w:pPr>
        <w:spacing w:after="0" w:line="360" w:lineRule="auto"/>
        <w:jc w:val="both"/>
        <w:rPr>
          <w:rFonts w:ascii="Arial" w:hAnsi="Arial" w:cs="Arial"/>
        </w:rPr>
      </w:pPr>
      <w:r w:rsidRPr="00EA7665">
        <w:rPr>
          <w:rFonts w:ascii="Arial" w:hAnsi="Arial" w:cs="Arial"/>
        </w:rPr>
        <w:t xml:space="preserve">The social factors affecting the US real estate market are demographics and consumption patterns (Louise, 2019). The working-class population has a very positive impact on the </w:t>
      </w:r>
      <w:r w:rsidR="00E64460">
        <w:rPr>
          <w:rFonts w:ascii="Arial" w:hAnsi="Arial" w:cs="Arial"/>
        </w:rPr>
        <w:t>real estate sector's growth rate,</w:t>
      </w:r>
      <w:r w:rsidRPr="00EA7665">
        <w:rPr>
          <w:rFonts w:ascii="Arial" w:hAnsi="Arial" w:cs="Arial"/>
        </w:rPr>
        <w:t xml:space="preserve"> and a rise in population enhances the demand for real estate. The federal reserve system of the US (2018) shows there has been a drastic and continuous increase in the US population (figure 2.1</w:t>
      </w:r>
      <w:r w:rsidR="009A4309">
        <w:rPr>
          <w:rFonts w:ascii="Arial" w:hAnsi="Arial" w:cs="Arial"/>
        </w:rPr>
        <w:t>1</w:t>
      </w:r>
      <w:r w:rsidRPr="00EA7665">
        <w:rPr>
          <w:rFonts w:ascii="Arial" w:hAnsi="Arial" w:cs="Arial"/>
        </w:rPr>
        <w:t xml:space="preserve">). </w:t>
      </w:r>
    </w:p>
    <w:p w14:paraId="64C8C694"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5191453C" wp14:editId="4D19FCCB">
            <wp:extent cx="5737609" cy="2291025"/>
            <wp:effectExtent l="0" t="0" r="15875" b="146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770D19" w14:textId="4F610434" w:rsidR="00CD6352" w:rsidRPr="008815B0" w:rsidRDefault="00CD6352" w:rsidP="00CD6352">
      <w:pPr>
        <w:pStyle w:val="Caption"/>
        <w:jc w:val="both"/>
        <w:rPr>
          <w:rFonts w:ascii="Arial" w:hAnsi="Arial" w:cs="Arial"/>
          <w:i w:val="0"/>
          <w:iCs w:val="0"/>
          <w:sz w:val="16"/>
          <w:szCs w:val="16"/>
        </w:rPr>
      </w:pPr>
      <w:bookmarkStart w:id="494" w:name="_Toc78739568"/>
      <w:r w:rsidRPr="008815B0">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2.2</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SEQ Figure \* ARABIC \s 2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1</w:t>
      </w:r>
      <w:r w:rsidR="009A4309">
        <w:rPr>
          <w:rFonts w:ascii="Arial" w:hAnsi="Arial" w:cs="Arial"/>
          <w:i w:val="0"/>
          <w:iCs w:val="0"/>
          <w:noProof/>
          <w:sz w:val="16"/>
          <w:szCs w:val="16"/>
        </w:rPr>
        <w:t>1</w:t>
      </w:r>
      <w:r w:rsidR="00324B0D">
        <w:rPr>
          <w:rFonts w:ascii="Arial" w:hAnsi="Arial" w:cs="Arial"/>
          <w:i w:val="0"/>
          <w:iCs w:val="0"/>
          <w:sz w:val="16"/>
          <w:szCs w:val="16"/>
        </w:rPr>
        <w:fldChar w:fldCharType="end"/>
      </w:r>
      <w:r w:rsidRPr="008815B0">
        <w:rPr>
          <w:rFonts w:ascii="Arial" w:hAnsi="Arial" w:cs="Arial"/>
          <w:i w:val="0"/>
          <w:iCs w:val="0"/>
          <w:sz w:val="16"/>
          <w:szCs w:val="16"/>
        </w:rPr>
        <w:t>:</w:t>
      </w:r>
      <w:r w:rsidRPr="008815B0">
        <w:rPr>
          <w:rFonts w:ascii="Arial" w:hAnsi="Arial" w:cs="Arial"/>
          <w:i w:val="0"/>
          <w:iCs w:val="0"/>
          <w:color w:val="auto"/>
          <w:sz w:val="16"/>
          <w:szCs w:val="16"/>
        </w:rPr>
        <w:t xml:space="preserve"> </w:t>
      </w:r>
      <w:r w:rsidRPr="008815B0">
        <w:rPr>
          <w:rFonts w:ascii="Arial" w:hAnsi="Arial" w:cs="Arial"/>
          <w:i w:val="0"/>
          <w:iCs w:val="0"/>
          <w:sz w:val="16"/>
          <w:szCs w:val="16"/>
        </w:rPr>
        <w:t>US Total population. Source: FRED (2019)</w:t>
      </w:r>
      <w:bookmarkEnd w:id="494"/>
    </w:p>
    <w:p w14:paraId="433E3479" w14:textId="4657B09A" w:rsidR="00CD6352" w:rsidRPr="00EA7665" w:rsidRDefault="00CD6352" w:rsidP="00CD6352">
      <w:pPr>
        <w:spacing w:line="360" w:lineRule="auto"/>
        <w:jc w:val="both"/>
        <w:rPr>
          <w:rFonts w:ascii="Arial" w:hAnsi="Arial" w:cs="Arial"/>
        </w:rPr>
      </w:pPr>
      <w:r w:rsidRPr="00EA7665">
        <w:rPr>
          <w:rFonts w:ascii="Arial" w:hAnsi="Arial" w:cs="Arial"/>
        </w:rPr>
        <w:t xml:space="preserve">Furthermore, the US has a robust and effective political sector, </w:t>
      </w:r>
      <w:r w:rsidR="00D024D2">
        <w:rPr>
          <w:rFonts w:ascii="Arial" w:hAnsi="Arial" w:cs="Arial"/>
        </w:rPr>
        <w:t>contributing</w:t>
      </w:r>
      <w:r w:rsidR="00E64460">
        <w:rPr>
          <w:rFonts w:ascii="Arial" w:hAnsi="Arial" w:cs="Arial"/>
        </w:rPr>
        <w:t xml:space="preserve"> significantly to the US real estate sector's growth</w:t>
      </w:r>
      <w:r w:rsidRPr="00EA7665">
        <w:rPr>
          <w:rFonts w:ascii="Arial" w:hAnsi="Arial" w:cs="Arial"/>
        </w:rPr>
        <w:t xml:space="preserve">. The government has come up with monetary and fiscal policies that have helped </w:t>
      </w:r>
      <w:r w:rsidR="00E64460">
        <w:rPr>
          <w:rFonts w:ascii="Arial" w:hAnsi="Arial" w:cs="Arial"/>
        </w:rPr>
        <w:t>attract</w:t>
      </w:r>
      <w:r w:rsidRPr="00EA7665">
        <w:rPr>
          <w:rFonts w:ascii="Arial" w:hAnsi="Arial" w:cs="Arial"/>
        </w:rPr>
        <w:t xml:space="preserve"> local and international demand for the US real estate market</w:t>
      </w:r>
      <w:r w:rsidR="00D024D2">
        <w:rPr>
          <w:rFonts w:ascii="Arial" w:hAnsi="Arial" w:cs="Arial"/>
        </w:rPr>
        <w:t>.</w:t>
      </w:r>
      <w:r w:rsidRPr="00EA7665">
        <w:rPr>
          <w:rFonts w:ascii="Arial" w:hAnsi="Arial" w:cs="Arial"/>
        </w:rPr>
        <w:t xml:space="preserve"> </w:t>
      </w:r>
    </w:p>
    <w:p w14:paraId="446FEF3B" w14:textId="77777777" w:rsidR="00CD6352" w:rsidRPr="00EA7665" w:rsidRDefault="00CD6352" w:rsidP="00CD6352">
      <w:pPr>
        <w:spacing w:line="360" w:lineRule="auto"/>
        <w:jc w:val="both"/>
        <w:rPr>
          <w:rFonts w:ascii="Arial" w:hAnsi="Arial" w:cs="Arial"/>
          <w:b/>
        </w:rPr>
      </w:pPr>
      <w:r w:rsidRPr="00EA7665">
        <w:rPr>
          <w:rFonts w:ascii="Arial" w:hAnsi="Arial" w:cs="Arial"/>
          <w:b/>
        </w:rPr>
        <w:t>Real estate shortages in the US</w:t>
      </w:r>
    </w:p>
    <w:p w14:paraId="15398C25" w14:textId="0B3D038D" w:rsidR="00CD6352" w:rsidRPr="00EA7665" w:rsidRDefault="00CD6352" w:rsidP="00CD6352">
      <w:pPr>
        <w:spacing w:line="360" w:lineRule="auto"/>
        <w:jc w:val="both"/>
        <w:rPr>
          <w:rFonts w:ascii="Arial" w:hAnsi="Arial" w:cs="Arial"/>
        </w:rPr>
      </w:pPr>
      <w:r w:rsidRPr="00EA7665">
        <w:rPr>
          <w:rFonts w:ascii="Arial" w:hAnsi="Arial" w:cs="Arial"/>
        </w:rPr>
        <w:t xml:space="preserve">The US is facing a housing shortage that is expected to persist for many years. This is </w:t>
      </w:r>
      <w:r w:rsidR="00325B50" w:rsidRPr="00EA7665">
        <w:rPr>
          <w:rFonts w:ascii="Arial" w:hAnsi="Arial" w:cs="Arial"/>
        </w:rPr>
        <w:t>because housing</w:t>
      </w:r>
      <w:r w:rsidRPr="00EA7665">
        <w:rPr>
          <w:rFonts w:ascii="Arial" w:hAnsi="Arial" w:cs="Arial"/>
        </w:rPr>
        <w:t xml:space="preserve"> production falls short of demand, </w:t>
      </w:r>
      <w:r>
        <w:rPr>
          <w:rFonts w:ascii="Arial" w:hAnsi="Arial" w:cs="Arial"/>
        </w:rPr>
        <w:t>which</w:t>
      </w:r>
      <w:r w:rsidRPr="00EA7665">
        <w:rPr>
          <w:rFonts w:ascii="Arial" w:hAnsi="Arial" w:cs="Arial"/>
        </w:rPr>
        <w:t xml:space="preserve"> ultimately </w:t>
      </w:r>
      <w:r>
        <w:rPr>
          <w:rFonts w:ascii="Arial" w:hAnsi="Arial" w:cs="Arial"/>
        </w:rPr>
        <w:t>puts</w:t>
      </w:r>
      <w:r w:rsidRPr="00EA7665">
        <w:rPr>
          <w:rFonts w:ascii="Arial" w:hAnsi="Arial" w:cs="Arial"/>
        </w:rPr>
        <w:t xml:space="preserve"> pressure on house prices and </w:t>
      </w:r>
      <w:r w:rsidR="00325B50" w:rsidRPr="00EA7665">
        <w:rPr>
          <w:rFonts w:ascii="Arial" w:hAnsi="Arial" w:cs="Arial"/>
        </w:rPr>
        <w:t>rents</w:t>
      </w:r>
      <w:r w:rsidR="00325B50">
        <w:rPr>
          <w:rFonts w:ascii="Arial" w:hAnsi="Arial" w:cs="Arial"/>
        </w:rPr>
        <w:t>,</w:t>
      </w:r>
      <w:r w:rsidR="00325B50" w:rsidRPr="00EA7665">
        <w:rPr>
          <w:rFonts w:ascii="Arial" w:hAnsi="Arial" w:cs="Arial"/>
        </w:rPr>
        <w:t xml:space="preserve"> therefore</w:t>
      </w:r>
      <w:r w:rsidRPr="00EA7665">
        <w:rPr>
          <w:rFonts w:ascii="Arial" w:hAnsi="Arial" w:cs="Arial"/>
        </w:rPr>
        <w:t xml:space="preserve"> eroding affordability</w:t>
      </w:r>
      <w:r w:rsidRPr="00EA7665">
        <w:rPr>
          <w:rFonts w:ascii="Arial" w:eastAsia="Times New Roman" w:hAnsi="Arial" w:cs="Times New Roman"/>
          <w:sz w:val="20"/>
          <w:szCs w:val="24"/>
        </w:rPr>
        <w:t xml:space="preserve"> (</w:t>
      </w:r>
      <w:r w:rsidRPr="00EA7665">
        <w:rPr>
          <w:rFonts w:ascii="Arial" w:hAnsi="Arial" w:cs="Arial"/>
        </w:rPr>
        <w:t xml:space="preserve">Donahue, 2019).  </w:t>
      </w:r>
    </w:p>
    <w:p w14:paraId="5BC21585" w14:textId="1B77520C" w:rsidR="00CD6352" w:rsidRPr="00EA7665" w:rsidRDefault="00CD6352" w:rsidP="00CD6352">
      <w:pPr>
        <w:spacing w:line="360" w:lineRule="auto"/>
        <w:jc w:val="both"/>
        <w:rPr>
          <w:rFonts w:ascii="Arial" w:hAnsi="Arial" w:cs="Arial"/>
        </w:rPr>
      </w:pPr>
      <w:r w:rsidRPr="00EA7665">
        <w:rPr>
          <w:rFonts w:ascii="Arial" w:hAnsi="Arial" w:cs="Arial"/>
        </w:rPr>
        <w:t xml:space="preserve">The 2019 Harvard University </w:t>
      </w:r>
      <w:r>
        <w:rPr>
          <w:rFonts w:ascii="Arial" w:hAnsi="Arial" w:cs="Arial"/>
        </w:rPr>
        <w:t>J</w:t>
      </w:r>
      <w:r w:rsidRPr="00EA7665">
        <w:rPr>
          <w:rFonts w:ascii="Arial" w:hAnsi="Arial" w:cs="Arial"/>
        </w:rPr>
        <w:t xml:space="preserve">oint </w:t>
      </w:r>
      <w:r>
        <w:rPr>
          <w:rFonts w:ascii="Arial" w:hAnsi="Arial" w:cs="Arial"/>
        </w:rPr>
        <w:t>C</w:t>
      </w:r>
      <w:r w:rsidRPr="00EA7665">
        <w:rPr>
          <w:rFonts w:ascii="Arial" w:hAnsi="Arial" w:cs="Arial"/>
        </w:rPr>
        <w:t xml:space="preserve">entre for </w:t>
      </w:r>
      <w:r>
        <w:rPr>
          <w:rFonts w:ascii="Arial" w:hAnsi="Arial" w:cs="Arial"/>
        </w:rPr>
        <w:t>H</w:t>
      </w:r>
      <w:r w:rsidRPr="00EA7665">
        <w:rPr>
          <w:rFonts w:ascii="Arial" w:hAnsi="Arial" w:cs="Arial"/>
        </w:rPr>
        <w:t xml:space="preserve">ousing </w:t>
      </w:r>
      <w:r>
        <w:rPr>
          <w:rFonts w:ascii="Arial" w:hAnsi="Arial" w:cs="Arial"/>
        </w:rPr>
        <w:t>S</w:t>
      </w:r>
      <w:r w:rsidRPr="00EA7665">
        <w:rPr>
          <w:rFonts w:ascii="Arial" w:hAnsi="Arial" w:cs="Arial"/>
        </w:rPr>
        <w:t xml:space="preserve">tudies </w:t>
      </w:r>
      <w:r>
        <w:rPr>
          <w:rFonts w:ascii="Arial" w:hAnsi="Arial" w:cs="Arial"/>
        </w:rPr>
        <w:t>R</w:t>
      </w:r>
      <w:r w:rsidRPr="00EA7665">
        <w:rPr>
          <w:rFonts w:ascii="Arial" w:hAnsi="Arial" w:cs="Arial"/>
        </w:rPr>
        <w:t xml:space="preserve">eport suggests that the </w:t>
      </w:r>
      <w:r w:rsidR="00E64460">
        <w:rPr>
          <w:rFonts w:ascii="Arial" w:hAnsi="Arial" w:cs="Arial"/>
        </w:rPr>
        <w:t>housing gap's root cause</w:t>
      </w:r>
      <w:r w:rsidRPr="00EA7665">
        <w:rPr>
          <w:rFonts w:ascii="Arial" w:hAnsi="Arial" w:cs="Arial"/>
        </w:rPr>
        <w:t xml:space="preserve"> is labour shortage due </w:t>
      </w:r>
      <w:r w:rsidR="00325B50" w:rsidRPr="00EA7665">
        <w:rPr>
          <w:rFonts w:ascii="Arial" w:hAnsi="Arial" w:cs="Arial"/>
        </w:rPr>
        <w:t>to downsizing</w:t>
      </w:r>
      <w:r w:rsidRPr="00EA7665">
        <w:rPr>
          <w:rFonts w:ascii="Arial" w:hAnsi="Arial" w:cs="Arial"/>
        </w:rPr>
        <w:t xml:space="preserve"> during the 2008 recession</w:t>
      </w:r>
      <w:r w:rsidR="00E64460">
        <w:rPr>
          <w:rFonts w:ascii="Arial" w:hAnsi="Arial" w:cs="Arial"/>
        </w:rPr>
        <w:t>,</w:t>
      </w:r>
      <w:r w:rsidRPr="00EA7665">
        <w:rPr>
          <w:rFonts w:ascii="Arial" w:hAnsi="Arial" w:cs="Arial"/>
        </w:rPr>
        <w:t xml:space="preserve"> the preference among younger workers for less physically demanding jobs</w:t>
      </w:r>
      <w:r w:rsidR="00E64460">
        <w:rPr>
          <w:rFonts w:ascii="Arial" w:hAnsi="Arial" w:cs="Arial"/>
        </w:rPr>
        <w:t>,</w:t>
      </w:r>
      <w:r w:rsidRPr="00EA7665">
        <w:rPr>
          <w:rFonts w:ascii="Arial" w:hAnsi="Arial" w:cs="Arial"/>
        </w:rPr>
        <w:t xml:space="preserve"> </w:t>
      </w:r>
      <w:r w:rsidR="00B605FD" w:rsidRPr="00EA7665">
        <w:rPr>
          <w:rFonts w:ascii="Arial" w:hAnsi="Arial" w:cs="Arial"/>
        </w:rPr>
        <w:t>and record</w:t>
      </w:r>
      <w:r w:rsidRPr="00EA7665">
        <w:rPr>
          <w:rFonts w:ascii="Arial" w:hAnsi="Arial" w:cs="Arial"/>
        </w:rPr>
        <w:t xml:space="preserve"> low unemployment. It suggests that </w:t>
      </w:r>
      <w:r>
        <w:rPr>
          <w:rFonts w:ascii="Arial" w:hAnsi="Arial" w:cs="Arial"/>
        </w:rPr>
        <w:t xml:space="preserve">the </w:t>
      </w:r>
      <w:r w:rsidR="00E64460">
        <w:rPr>
          <w:rFonts w:ascii="Arial" w:hAnsi="Arial" w:cs="Arial"/>
        </w:rPr>
        <w:t>lack</w:t>
      </w:r>
      <w:r w:rsidRPr="00EA7665">
        <w:rPr>
          <w:rFonts w:ascii="Arial" w:hAnsi="Arial" w:cs="Arial"/>
        </w:rPr>
        <w:t xml:space="preserve"> of labour </w:t>
      </w:r>
      <w:r w:rsidR="00E64460">
        <w:rPr>
          <w:rFonts w:ascii="Arial" w:hAnsi="Arial" w:cs="Arial"/>
        </w:rPr>
        <w:t>constrains</w:t>
      </w:r>
      <w:r w:rsidRPr="00EA7665">
        <w:rPr>
          <w:rFonts w:ascii="Arial" w:hAnsi="Arial" w:cs="Arial"/>
        </w:rPr>
        <w:t xml:space="preserve"> the construction industry’s ability to increase </w:t>
      </w:r>
      <w:r>
        <w:rPr>
          <w:rFonts w:ascii="Arial" w:hAnsi="Arial" w:cs="Arial"/>
        </w:rPr>
        <w:t xml:space="preserve">its </w:t>
      </w:r>
      <w:r w:rsidRPr="00EA7665">
        <w:rPr>
          <w:rFonts w:ascii="Arial" w:hAnsi="Arial" w:cs="Arial"/>
        </w:rPr>
        <w:t xml:space="preserve">housing supply to meet current needs. </w:t>
      </w:r>
    </w:p>
    <w:p w14:paraId="3FC0845B" w14:textId="2D1EE461"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Research </w:t>
      </w:r>
      <w:r>
        <w:rPr>
          <w:rFonts w:ascii="Arial" w:hAnsi="Arial" w:cs="Arial"/>
        </w:rPr>
        <w:t>shows</w:t>
      </w:r>
      <w:r w:rsidRPr="00EA7665">
        <w:rPr>
          <w:rFonts w:ascii="Arial" w:hAnsi="Arial" w:cs="Arial"/>
        </w:rPr>
        <w:t xml:space="preserve"> that the </w:t>
      </w:r>
      <w:r w:rsidR="00E64460">
        <w:rPr>
          <w:rFonts w:ascii="Arial" w:hAnsi="Arial" w:cs="Arial"/>
        </w:rPr>
        <w:t>US's house prices</w:t>
      </w:r>
      <w:r w:rsidRPr="00EA7665">
        <w:rPr>
          <w:rFonts w:ascii="Arial" w:hAnsi="Arial" w:cs="Arial"/>
        </w:rPr>
        <w:t xml:space="preserve"> </w:t>
      </w:r>
      <w:r>
        <w:rPr>
          <w:rFonts w:ascii="Arial" w:hAnsi="Arial" w:cs="Arial"/>
        </w:rPr>
        <w:t xml:space="preserve">are </w:t>
      </w:r>
      <w:r w:rsidRPr="00EA7665">
        <w:rPr>
          <w:rFonts w:ascii="Arial" w:hAnsi="Arial" w:cs="Arial"/>
        </w:rPr>
        <w:t>ris</w:t>
      </w:r>
      <w:r>
        <w:rPr>
          <w:rFonts w:ascii="Arial" w:hAnsi="Arial" w:cs="Arial"/>
        </w:rPr>
        <w:t>ing</w:t>
      </w:r>
      <w:r w:rsidRPr="00EA7665">
        <w:rPr>
          <w:rFonts w:ascii="Arial" w:hAnsi="Arial" w:cs="Arial"/>
        </w:rPr>
        <w:t xml:space="preserve"> faster tha</w:t>
      </w:r>
      <w:r>
        <w:rPr>
          <w:rFonts w:ascii="Arial" w:hAnsi="Arial" w:cs="Arial"/>
        </w:rPr>
        <w:t xml:space="preserve">n </w:t>
      </w:r>
      <w:r w:rsidRPr="00EA7665">
        <w:rPr>
          <w:rFonts w:ascii="Arial" w:hAnsi="Arial" w:cs="Arial"/>
        </w:rPr>
        <w:t>income</w:t>
      </w:r>
      <w:r>
        <w:rPr>
          <w:rFonts w:ascii="Arial" w:hAnsi="Arial" w:cs="Arial"/>
        </w:rPr>
        <w:t xml:space="preserve"> levels</w:t>
      </w:r>
      <w:r w:rsidR="00E64460">
        <w:rPr>
          <w:rFonts w:ascii="Arial" w:hAnsi="Arial" w:cs="Arial"/>
        </w:rPr>
        <w:t>;</w:t>
      </w:r>
      <w:r>
        <w:rPr>
          <w:rFonts w:ascii="Arial" w:hAnsi="Arial" w:cs="Arial"/>
        </w:rPr>
        <w:t xml:space="preserve"> it also shows </w:t>
      </w:r>
      <w:r w:rsidR="00950704">
        <w:rPr>
          <w:rFonts w:ascii="Arial" w:hAnsi="Arial" w:cs="Arial"/>
        </w:rPr>
        <w:t xml:space="preserve">that </w:t>
      </w:r>
      <w:r w:rsidR="00950704" w:rsidRPr="00EA7665">
        <w:rPr>
          <w:rFonts w:ascii="Arial" w:hAnsi="Arial" w:cs="Arial"/>
        </w:rPr>
        <w:t>cities</w:t>
      </w:r>
      <w:r w:rsidRPr="00EA7665">
        <w:rPr>
          <w:rFonts w:ascii="Arial" w:hAnsi="Arial" w:cs="Arial"/>
        </w:rPr>
        <w:t xml:space="preserve"> with the greatest increases in housing cos</w:t>
      </w:r>
      <w:r>
        <w:rPr>
          <w:rFonts w:ascii="Arial" w:hAnsi="Arial" w:cs="Arial"/>
        </w:rPr>
        <w:t>ts</w:t>
      </w:r>
      <w:r w:rsidRPr="00EA7665">
        <w:rPr>
          <w:rFonts w:ascii="Arial" w:hAnsi="Arial" w:cs="Arial"/>
        </w:rPr>
        <w:t xml:space="preserve"> hav</w:t>
      </w:r>
      <w:r>
        <w:rPr>
          <w:rFonts w:ascii="Arial" w:hAnsi="Arial" w:cs="Arial"/>
        </w:rPr>
        <w:t xml:space="preserve">e </w:t>
      </w:r>
      <w:r w:rsidRPr="00EA7665">
        <w:rPr>
          <w:rFonts w:ascii="Arial" w:hAnsi="Arial" w:cs="Arial"/>
        </w:rPr>
        <w:t xml:space="preserve">the </w:t>
      </w:r>
      <w:r w:rsidR="00E64460">
        <w:rPr>
          <w:rFonts w:ascii="Arial" w:hAnsi="Arial" w:cs="Arial"/>
        </w:rPr>
        <w:t>most significan</w:t>
      </w:r>
      <w:r w:rsidRPr="00EA7665">
        <w:rPr>
          <w:rFonts w:ascii="Arial" w:hAnsi="Arial" w:cs="Arial"/>
        </w:rPr>
        <w:t>t increases in homelessness. Furthermore, construction cos</w:t>
      </w:r>
      <w:r>
        <w:rPr>
          <w:rFonts w:ascii="Arial" w:hAnsi="Arial" w:cs="Arial"/>
        </w:rPr>
        <w:t>ts are escalating</w:t>
      </w:r>
      <w:r w:rsidRPr="00EA7665">
        <w:rPr>
          <w:rFonts w:ascii="Arial" w:hAnsi="Arial" w:cs="Arial"/>
        </w:rPr>
        <w:t xml:space="preserve"> due to higher material cos</w:t>
      </w:r>
      <w:r>
        <w:rPr>
          <w:rFonts w:ascii="Arial" w:hAnsi="Arial" w:cs="Arial"/>
        </w:rPr>
        <w:t>ts</w:t>
      </w:r>
      <w:r w:rsidRPr="00EA7665">
        <w:rPr>
          <w:rFonts w:ascii="Arial" w:hAnsi="Arial" w:cs="Arial"/>
        </w:rPr>
        <w:t xml:space="preserve"> and </w:t>
      </w:r>
      <w:r w:rsidR="004D3898">
        <w:rPr>
          <w:rFonts w:ascii="Arial" w:hAnsi="Arial" w:cs="Arial"/>
        </w:rPr>
        <w:t>reduced</w:t>
      </w:r>
      <w:r>
        <w:rPr>
          <w:rFonts w:ascii="Arial" w:hAnsi="Arial" w:cs="Arial"/>
        </w:rPr>
        <w:t xml:space="preserve"> land available for development in </w:t>
      </w:r>
      <w:r w:rsidRPr="00EA7665">
        <w:rPr>
          <w:rFonts w:ascii="Arial" w:hAnsi="Arial" w:cs="Arial"/>
        </w:rPr>
        <w:t>major cities</w:t>
      </w:r>
      <w:r>
        <w:rPr>
          <w:rFonts w:ascii="Arial" w:hAnsi="Arial" w:cs="Arial"/>
        </w:rPr>
        <w:t>.</w:t>
      </w:r>
      <w:r w:rsidRPr="00EA7665">
        <w:rPr>
          <w:rFonts w:ascii="Arial" w:hAnsi="Arial" w:cs="Arial"/>
        </w:rPr>
        <w:t xml:space="preserve"> (Hobbs, 2018).</w:t>
      </w:r>
    </w:p>
    <w:p w14:paraId="57A26642" w14:textId="5C990E77" w:rsidR="00CD6352" w:rsidRPr="00EA7665" w:rsidRDefault="00CD6352" w:rsidP="00CD6352">
      <w:pPr>
        <w:spacing w:line="360" w:lineRule="auto"/>
        <w:jc w:val="both"/>
        <w:rPr>
          <w:rFonts w:ascii="Arial" w:hAnsi="Arial" w:cs="Arial"/>
        </w:rPr>
      </w:pPr>
      <w:r w:rsidRPr="00EA7665">
        <w:rPr>
          <w:rFonts w:ascii="Arial" w:hAnsi="Arial" w:cs="Arial"/>
        </w:rPr>
        <w:t xml:space="preserve">The </w:t>
      </w:r>
      <w:r w:rsidR="00E64460">
        <w:rPr>
          <w:rFonts w:ascii="Arial" w:hAnsi="Arial" w:cs="Arial"/>
        </w:rPr>
        <w:t xml:space="preserve">US's housing disparities affect minorities the most, </w:t>
      </w:r>
      <w:r>
        <w:rPr>
          <w:rFonts w:ascii="Arial" w:hAnsi="Arial" w:cs="Arial"/>
        </w:rPr>
        <w:t xml:space="preserve">becoming </w:t>
      </w:r>
      <w:r w:rsidRPr="00EA7665">
        <w:rPr>
          <w:rFonts w:ascii="Arial" w:hAnsi="Arial" w:cs="Arial"/>
        </w:rPr>
        <w:t xml:space="preserve">more evident </w:t>
      </w:r>
      <w:r>
        <w:rPr>
          <w:rFonts w:ascii="Arial" w:hAnsi="Arial" w:cs="Arial"/>
        </w:rPr>
        <w:t>as</w:t>
      </w:r>
      <w:r w:rsidRPr="00EA7665">
        <w:rPr>
          <w:rFonts w:ascii="Arial" w:hAnsi="Arial" w:cs="Arial"/>
        </w:rPr>
        <w:t xml:space="preserve"> racial disparities </w:t>
      </w:r>
      <w:r>
        <w:rPr>
          <w:rFonts w:ascii="Arial" w:hAnsi="Arial" w:cs="Arial"/>
        </w:rPr>
        <w:t>worsen</w:t>
      </w:r>
      <w:r w:rsidRPr="00EA7665">
        <w:rPr>
          <w:rFonts w:ascii="Arial" w:hAnsi="Arial" w:cs="Arial"/>
        </w:rPr>
        <w:t>. According to the Harvard report (2019), 30 years ago</w:t>
      </w:r>
      <w:r w:rsidR="00E64460">
        <w:rPr>
          <w:rFonts w:ascii="Arial" w:hAnsi="Arial" w:cs="Arial"/>
        </w:rPr>
        <w:t>,</w:t>
      </w:r>
      <w:r w:rsidRPr="00EA7665">
        <w:rPr>
          <w:rFonts w:ascii="Arial" w:hAnsi="Arial" w:cs="Arial"/>
        </w:rPr>
        <w:t xml:space="preserve"> you could buy a house in 72 of America’s 100 largest cities for less than 18 months of median salaries. Today that is possible only in 25 of these cities</w:t>
      </w:r>
      <w:r w:rsidR="00E64460">
        <w:rPr>
          <w:rFonts w:ascii="Arial" w:hAnsi="Arial" w:cs="Arial"/>
        </w:rPr>
        <w:t>,</w:t>
      </w:r>
      <w:r w:rsidRPr="00EA7665">
        <w:rPr>
          <w:rFonts w:ascii="Arial" w:hAnsi="Arial" w:cs="Arial"/>
        </w:rPr>
        <w:t xml:space="preserve"> and the numbers are continually shrinking (Hobbs, 2018).</w:t>
      </w:r>
      <w:r>
        <w:rPr>
          <w:rFonts w:ascii="Arial" w:hAnsi="Arial" w:cs="Arial"/>
        </w:rPr>
        <w:t xml:space="preserve"> </w:t>
      </w:r>
      <w:r w:rsidRPr="00EA7665">
        <w:rPr>
          <w:rFonts w:ascii="Arial" w:hAnsi="Arial" w:cs="Arial"/>
        </w:rPr>
        <w:t xml:space="preserve">The Harvard report also suggests that </w:t>
      </w:r>
      <w:r>
        <w:rPr>
          <w:rFonts w:ascii="Arial" w:hAnsi="Arial" w:cs="Arial"/>
        </w:rPr>
        <w:t xml:space="preserve">the </w:t>
      </w:r>
      <w:r w:rsidRPr="00EA7665">
        <w:rPr>
          <w:rFonts w:ascii="Arial" w:hAnsi="Arial" w:cs="Arial"/>
        </w:rPr>
        <w:t>governmen</w:t>
      </w:r>
      <w:r>
        <w:rPr>
          <w:rFonts w:ascii="Arial" w:hAnsi="Arial" w:cs="Arial"/>
        </w:rPr>
        <w:t>t’s</w:t>
      </w:r>
      <w:r w:rsidRPr="00EA7665">
        <w:rPr>
          <w:rFonts w:ascii="Arial" w:hAnsi="Arial" w:cs="Arial"/>
        </w:rPr>
        <w:t xml:space="preserve"> recent fiscal policies</w:t>
      </w:r>
      <w:r w:rsidR="00E64460">
        <w:rPr>
          <w:rFonts w:ascii="Arial" w:hAnsi="Arial" w:cs="Arial"/>
        </w:rPr>
        <w:t>,</w:t>
      </w:r>
      <w:r w:rsidRPr="00EA7665">
        <w:rPr>
          <w:rFonts w:ascii="Arial" w:hAnsi="Arial" w:cs="Arial"/>
        </w:rPr>
        <w:t xml:space="preserve"> such as tariffs on wood, alumin</w:t>
      </w:r>
      <w:r w:rsidR="00FB3479">
        <w:rPr>
          <w:rFonts w:ascii="Arial" w:hAnsi="Arial" w:cs="Arial"/>
        </w:rPr>
        <w:t>i</w:t>
      </w:r>
      <w:r w:rsidRPr="00EA7665">
        <w:rPr>
          <w:rFonts w:ascii="Arial" w:hAnsi="Arial" w:cs="Arial"/>
        </w:rPr>
        <w:t>um</w:t>
      </w:r>
      <w:r w:rsidR="00FB3479">
        <w:rPr>
          <w:rFonts w:ascii="Arial" w:hAnsi="Arial" w:cs="Arial"/>
        </w:rPr>
        <w:t>,</w:t>
      </w:r>
      <w:r w:rsidRPr="00EA7665">
        <w:rPr>
          <w:rFonts w:ascii="Arial" w:hAnsi="Arial" w:cs="Arial"/>
        </w:rPr>
        <w:t xml:space="preserve"> and steel</w:t>
      </w:r>
      <w:r w:rsidR="00E64460">
        <w:rPr>
          <w:rFonts w:ascii="Arial" w:hAnsi="Arial" w:cs="Arial"/>
        </w:rPr>
        <w:t>,</w:t>
      </w:r>
      <w:r w:rsidRPr="00EA7665">
        <w:rPr>
          <w:rFonts w:ascii="Arial" w:hAnsi="Arial" w:cs="Arial"/>
        </w:rPr>
        <w:t xml:space="preserve"> will likely drive construction cos</w:t>
      </w:r>
      <w:r>
        <w:rPr>
          <w:rFonts w:ascii="Arial" w:hAnsi="Arial" w:cs="Arial"/>
        </w:rPr>
        <w:t>ts up</w:t>
      </w:r>
      <w:r w:rsidRPr="00EA7665">
        <w:rPr>
          <w:rFonts w:ascii="Arial" w:hAnsi="Arial" w:cs="Arial"/>
        </w:rPr>
        <w:t xml:space="preserve"> </w:t>
      </w:r>
      <w:r w:rsidR="00950704" w:rsidRPr="00EA7665">
        <w:rPr>
          <w:rFonts w:ascii="Arial" w:hAnsi="Arial" w:cs="Arial"/>
        </w:rPr>
        <w:t>further</w:t>
      </w:r>
      <w:r w:rsidR="00950704">
        <w:rPr>
          <w:rFonts w:ascii="Arial" w:hAnsi="Arial" w:cs="Arial"/>
        </w:rPr>
        <w:t xml:space="preserve">, </w:t>
      </w:r>
      <w:r w:rsidR="004D3898">
        <w:rPr>
          <w:rFonts w:ascii="Arial" w:hAnsi="Arial" w:cs="Arial"/>
        </w:rPr>
        <w:t>aggravating</w:t>
      </w:r>
      <w:r w:rsidRPr="00EA7665">
        <w:rPr>
          <w:rFonts w:ascii="Arial" w:hAnsi="Arial" w:cs="Arial"/>
        </w:rPr>
        <w:t xml:space="preserve"> housing shortages. Furthermore, the cut in the corporate tax rate is seen as a threat to low–income housing tax credits as it could reduce the value</w:t>
      </w:r>
      <w:r w:rsidR="00E64460">
        <w:rPr>
          <w:rFonts w:ascii="Arial" w:hAnsi="Arial" w:cs="Arial"/>
        </w:rPr>
        <w:t>,</w:t>
      </w:r>
      <w:r w:rsidRPr="00EA7665">
        <w:rPr>
          <w:rFonts w:ascii="Arial" w:hAnsi="Arial" w:cs="Arial"/>
        </w:rPr>
        <w:t xml:space="preserve"> and this could negatively impact the provision of public housing (Harvard</w:t>
      </w:r>
      <w:r>
        <w:rPr>
          <w:rFonts w:ascii="Arial" w:hAnsi="Arial" w:cs="Arial"/>
        </w:rPr>
        <w:t xml:space="preserve"> report</w:t>
      </w:r>
      <w:r w:rsidRPr="00EA7665">
        <w:rPr>
          <w:rFonts w:ascii="Arial" w:hAnsi="Arial" w:cs="Arial"/>
        </w:rPr>
        <w:t>, 2019).</w:t>
      </w:r>
    </w:p>
    <w:p w14:paraId="0C39CB98" w14:textId="77777777" w:rsidR="00CD6352" w:rsidRPr="008200EB" w:rsidRDefault="00CD6352" w:rsidP="00CD6352">
      <w:pPr>
        <w:pStyle w:val="Heading4"/>
        <w:spacing w:after="240"/>
        <w:rPr>
          <w:rFonts w:ascii="Arial" w:hAnsi="Arial" w:cs="Arial"/>
          <w:b/>
          <w:i w:val="0"/>
          <w:iCs w:val="0"/>
          <w:color w:val="auto"/>
          <w:lang w:val="en-US"/>
        </w:rPr>
      </w:pPr>
      <w:r w:rsidRPr="008200EB">
        <w:rPr>
          <w:rFonts w:ascii="Arial" w:hAnsi="Arial" w:cs="Arial"/>
          <w:b/>
          <w:i w:val="0"/>
          <w:iCs w:val="0"/>
          <w:color w:val="auto"/>
          <w:lang w:val="en-US"/>
        </w:rPr>
        <w:t xml:space="preserve">Sources of Real estate finance in the United States  </w:t>
      </w:r>
    </w:p>
    <w:p w14:paraId="204442FD" w14:textId="2B68B5EA" w:rsidR="00CD6352" w:rsidRPr="00EA7665" w:rsidRDefault="00CD6352" w:rsidP="00CD6352">
      <w:pPr>
        <w:spacing w:line="360" w:lineRule="auto"/>
        <w:jc w:val="both"/>
        <w:rPr>
          <w:rFonts w:ascii="Arial" w:hAnsi="Arial" w:cs="Arial"/>
        </w:rPr>
      </w:pPr>
      <w:r w:rsidRPr="00EA7665">
        <w:rPr>
          <w:rFonts w:ascii="Arial" w:hAnsi="Arial" w:cs="Arial"/>
        </w:rPr>
        <w:t xml:space="preserve">Banks and mortgage brokers are the primary lenders for real estate project development in the US (Zhou, 2019).   Bank lending is the most dominant </w:t>
      </w:r>
      <w:r w:rsidR="00E64460">
        <w:rPr>
          <w:rFonts w:ascii="Arial" w:hAnsi="Arial" w:cs="Arial"/>
        </w:rPr>
        <w:t>finance sour</w:t>
      </w:r>
      <w:r w:rsidRPr="00EA7665">
        <w:rPr>
          <w:rFonts w:ascii="Arial" w:hAnsi="Arial" w:cs="Arial"/>
        </w:rPr>
        <w:t>ce in the US at approximately 40%, almost evenly split between domestic and foreign banks. It is followed closely by commercial mortgage-backed securities (CMBS), which are public markets security issuance</w:t>
      </w:r>
      <w:r>
        <w:rPr>
          <w:rFonts w:ascii="Arial" w:hAnsi="Arial" w:cs="Arial"/>
        </w:rPr>
        <w:t>,</w:t>
      </w:r>
      <w:r w:rsidRPr="00EA7665">
        <w:rPr>
          <w:rFonts w:ascii="Arial" w:hAnsi="Arial" w:cs="Arial"/>
        </w:rPr>
        <w:t xml:space="preserve"> at 20% and private/ other sources at 18% (Kane, 2018). </w:t>
      </w:r>
    </w:p>
    <w:p w14:paraId="75CAA34C" w14:textId="3C82A34C" w:rsidR="00CD6352" w:rsidRPr="00EA7665" w:rsidRDefault="00CD6352" w:rsidP="00CD6352">
      <w:pPr>
        <w:spacing w:after="0" w:line="360" w:lineRule="auto"/>
        <w:jc w:val="both"/>
        <w:rPr>
          <w:rFonts w:ascii="Arial" w:hAnsi="Arial" w:cs="Arial"/>
        </w:rPr>
      </w:pPr>
      <w:r w:rsidRPr="00EA7665">
        <w:rPr>
          <w:rFonts w:ascii="Arial" w:hAnsi="Arial" w:cs="Arial"/>
        </w:rPr>
        <w:t>Other platforms for financing real estate project development in the US include REITs (real estate investment trusts)</w:t>
      </w:r>
      <w:r w:rsidR="00E64460">
        <w:rPr>
          <w:rFonts w:ascii="Arial" w:hAnsi="Arial" w:cs="Arial"/>
        </w:rPr>
        <w:t>,</w:t>
      </w:r>
      <w:r w:rsidRPr="00EA7665">
        <w:rPr>
          <w:rFonts w:ascii="Arial" w:hAnsi="Arial" w:cs="Arial"/>
        </w:rPr>
        <w:t xml:space="preserve"> hedge funds, pension funds</w:t>
      </w:r>
      <w:r w:rsidR="008200EB">
        <w:rPr>
          <w:rFonts w:ascii="Arial" w:hAnsi="Arial" w:cs="Arial"/>
        </w:rPr>
        <w:t>,</w:t>
      </w:r>
      <w:r w:rsidRPr="00EA7665">
        <w:rPr>
          <w:rFonts w:ascii="Arial" w:hAnsi="Arial" w:cs="Arial"/>
        </w:rPr>
        <w:t xml:space="preserve"> and sovereign wealth funds (Drucker, 2012). The opportunity funds are a good platform for both equity and debt finance. The REITs operating in the US are </w:t>
      </w:r>
      <w:r>
        <w:rPr>
          <w:rFonts w:ascii="Arial" w:hAnsi="Arial" w:cs="Arial"/>
        </w:rPr>
        <w:t>mainly</w:t>
      </w:r>
      <w:r w:rsidRPr="00EA7665">
        <w:rPr>
          <w:rFonts w:ascii="Arial" w:hAnsi="Arial" w:cs="Arial"/>
        </w:rPr>
        <w:t xml:space="preserve"> mortgage and equity REITs, and they are not subject to federal deposit insurance (FDIC) or the Securities and Exchange Commission (SEC) regulations</w:t>
      </w:r>
      <w:r>
        <w:rPr>
          <w:rFonts w:ascii="Arial" w:hAnsi="Arial" w:cs="Arial"/>
        </w:rPr>
        <w:t xml:space="preserve"> </w:t>
      </w:r>
      <w:r w:rsidRPr="00EA7665">
        <w:rPr>
          <w:rFonts w:ascii="Arial" w:hAnsi="Arial" w:cs="Arial"/>
        </w:rPr>
        <w:t>(Drucker, 2012).</w:t>
      </w:r>
      <w:r>
        <w:rPr>
          <w:rFonts w:ascii="Arial" w:hAnsi="Arial" w:cs="Arial"/>
        </w:rPr>
        <w:t xml:space="preserve"> </w:t>
      </w:r>
    </w:p>
    <w:p w14:paraId="79E78E12" w14:textId="77777777" w:rsidR="00CD6352" w:rsidRPr="00EA7665" w:rsidRDefault="00CD6352" w:rsidP="00CD6352">
      <w:pPr>
        <w:pStyle w:val="Heading2"/>
        <w:spacing w:after="240"/>
        <w:rPr>
          <w:sz w:val="22"/>
          <w:szCs w:val="22"/>
        </w:rPr>
      </w:pPr>
      <w:bookmarkStart w:id="495" w:name="_Toc78983781"/>
      <w:r w:rsidRPr="00EA7665">
        <w:rPr>
          <w:sz w:val="22"/>
          <w:szCs w:val="22"/>
        </w:rPr>
        <w:t>The real estate market in emerging economies</w:t>
      </w:r>
      <w:bookmarkEnd w:id="495"/>
    </w:p>
    <w:p w14:paraId="4342454B" w14:textId="1AB5B60D" w:rsidR="00CD6352" w:rsidRDefault="00CD6352" w:rsidP="00CD6352">
      <w:pPr>
        <w:spacing w:after="0" w:line="360" w:lineRule="auto"/>
        <w:jc w:val="both"/>
        <w:rPr>
          <w:rFonts w:ascii="Arial" w:hAnsi="Arial" w:cs="Arial"/>
        </w:rPr>
      </w:pPr>
      <w:r w:rsidRPr="00EA7665">
        <w:rPr>
          <w:rFonts w:ascii="Arial" w:hAnsi="Arial" w:cs="Arial"/>
        </w:rPr>
        <w:t>The emerging economies covered in this research are China, Nigeria, and South Africa. Notably, all the countries selected for the study are members of the G20 apart from Nigeria. They are all part of the BRICS and MINT countries. T</w:t>
      </w:r>
      <w:r w:rsidR="00E64460">
        <w:rPr>
          <w:rFonts w:ascii="Arial" w:hAnsi="Arial" w:cs="Arial"/>
        </w:rPr>
        <w:t>o a large extent, the underlying economic indices</w:t>
      </w:r>
      <w:r w:rsidRPr="00EA7665">
        <w:rPr>
          <w:rFonts w:ascii="Arial" w:hAnsi="Arial" w:cs="Arial"/>
        </w:rPr>
        <w:t xml:space="preserve"> determine and influence the interest of investors in the real estat</w:t>
      </w:r>
      <w:r>
        <w:rPr>
          <w:rFonts w:ascii="Arial" w:hAnsi="Arial" w:cs="Arial"/>
        </w:rPr>
        <w:t>e</w:t>
      </w:r>
      <w:r w:rsidRPr="00EA7665">
        <w:rPr>
          <w:rFonts w:ascii="Arial" w:hAnsi="Arial" w:cs="Arial"/>
        </w:rPr>
        <w:t xml:space="preserve"> of any country. They, in turn, facilitate financing decisions for real estat</w:t>
      </w:r>
      <w:r>
        <w:rPr>
          <w:rFonts w:ascii="Arial" w:hAnsi="Arial" w:cs="Arial"/>
        </w:rPr>
        <w:t>e</w:t>
      </w:r>
      <w:r w:rsidRPr="00EA7665">
        <w:rPr>
          <w:rFonts w:ascii="Arial" w:hAnsi="Arial" w:cs="Arial"/>
        </w:rPr>
        <w:t xml:space="preserve"> in these countries because they directly influence </w:t>
      </w:r>
      <w:r>
        <w:rPr>
          <w:rFonts w:ascii="Arial" w:hAnsi="Arial" w:cs="Arial"/>
        </w:rPr>
        <w:t xml:space="preserve">the </w:t>
      </w:r>
      <w:r w:rsidRPr="00EA7665">
        <w:rPr>
          <w:rFonts w:ascii="Arial" w:hAnsi="Arial" w:cs="Arial"/>
        </w:rPr>
        <w:t>demand and supply of properties (Delisle, 2015).</w:t>
      </w:r>
    </w:p>
    <w:p w14:paraId="4DDBC10B" w14:textId="6B17AB8B" w:rsidR="00CD6352" w:rsidRPr="00EA7665" w:rsidRDefault="00D45B9C" w:rsidP="00CD6352">
      <w:pPr>
        <w:pStyle w:val="Heading3"/>
        <w:spacing w:after="240"/>
        <w:rPr>
          <w:sz w:val="22"/>
          <w:szCs w:val="22"/>
        </w:rPr>
      </w:pPr>
      <w:bookmarkStart w:id="496" w:name="_Toc78983782"/>
      <w:r w:rsidRPr="00D45B9C">
        <w:rPr>
          <w:sz w:val="22"/>
          <w:szCs w:val="22"/>
        </w:rPr>
        <w:lastRenderedPageBreak/>
        <w:t xml:space="preserve">A review of literature focused on </w:t>
      </w:r>
      <w:r w:rsidR="00CD6352" w:rsidRPr="00EA7665">
        <w:rPr>
          <w:sz w:val="22"/>
          <w:szCs w:val="22"/>
        </w:rPr>
        <w:t>Chin</w:t>
      </w:r>
      <w:r w:rsidR="00CD6352">
        <w:rPr>
          <w:sz w:val="22"/>
          <w:szCs w:val="22"/>
        </w:rPr>
        <w:t>a’s</w:t>
      </w:r>
      <w:r w:rsidR="00CD6352" w:rsidRPr="00EA7665">
        <w:rPr>
          <w:sz w:val="22"/>
          <w:szCs w:val="22"/>
        </w:rPr>
        <w:t xml:space="preserve"> real estate market</w:t>
      </w:r>
      <w:bookmarkEnd w:id="496"/>
    </w:p>
    <w:p w14:paraId="0289A694" w14:textId="423A46E3" w:rsidR="00CD6352" w:rsidRDefault="00CD6352" w:rsidP="00CD6352">
      <w:pPr>
        <w:spacing w:line="360" w:lineRule="auto"/>
        <w:jc w:val="both"/>
        <w:rPr>
          <w:rFonts w:ascii="Arial" w:hAnsi="Arial" w:cs="Arial"/>
        </w:rPr>
      </w:pPr>
      <w:r w:rsidRPr="00EA7665">
        <w:rPr>
          <w:rFonts w:ascii="Arial" w:hAnsi="Arial" w:cs="Arial"/>
        </w:rPr>
        <w:t xml:space="preserve">China has the largest population </w:t>
      </w:r>
      <w:r w:rsidR="00E64460">
        <w:rPr>
          <w:rFonts w:ascii="Arial" w:hAnsi="Arial" w:cs="Arial"/>
        </w:rPr>
        <w:t>globally</w:t>
      </w:r>
      <w:r w:rsidRPr="00EA7665">
        <w:rPr>
          <w:rFonts w:ascii="Arial" w:hAnsi="Arial" w:cs="Arial"/>
        </w:rPr>
        <w:t xml:space="preserve"> and consists of 56 languages, none of which is transmutable (Williams, 2008). </w:t>
      </w:r>
      <w:r w:rsidR="00E64460">
        <w:rPr>
          <w:rFonts w:ascii="Arial" w:hAnsi="Arial" w:cs="Arial"/>
        </w:rPr>
        <w:t>According to the World Bank review 2018, China has advanced economic development;</w:t>
      </w:r>
      <w:r w:rsidRPr="00EA7665">
        <w:rPr>
          <w:rFonts w:ascii="Arial" w:hAnsi="Arial" w:cs="Arial"/>
        </w:rPr>
        <w:t xml:space="preserve"> it remains an emerging economy because its per capita income is still a fraction of that in advanced countries</w:t>
      </w:r>
      <w:r w:rsidR="00E64460">
        <w:rPr>
          <w:rFonts w:ascii="Arial" w:hAnsi="Arial" w:cs="Arial"/>
        </w:rPr>
        <w:t>. I</w:t>
      </w:r>
      <w:r w:rsidRPr="00EA7665">
        <w:rPr>
          <w:rFonts w:ascii="Arial" w:hAnsi="Arial" w:cs="Arial"/>
        </w:rPr>
        <w:t>ts market reforms are incomplete. </w:t>
      </w:r>
      <w:r w:rsidR="00E64460">
        <w:rPr>
          <w:rFonts w:ascii="Arial" w:hAnsi="Arial" w:cs="Arial"/>
        </w:rPr>
        <w:t>According to World Bank, China has the fastest sustained growth expansion by a major economy in history despite still being classified as an emerging econom</w:t>
      </w:r>
      <w:r w:rsidRPr="00EA7665">
        <w:rPr>
          <w:rFonts w:ascii="Arial" w:hAnsi="Arial" w:cs="Arial"/>
        </w:rPr>
        <w:t>y and is a significant contributor to the Millennium development goals (MDGs) globally</w:t>
      </w:r>
      <w:r w:rsidR="006958FA">
        <w:rPr>
          <w:rFonts w:ascii="Arial" w:hAnsi="Arial" w:cs="Arial"/>
        </w:rPr>
        <w:t xml:space="preserve">. </w:t>
      </w:r>
      <w:r w:rsidRPr="00EA7665">
        <w:rPr>
          <w:rFonts w:ascii="Arial" w:hAnsi="Arial" w:cs="Arial"/>
        </w:rPr>
        <w:t>China has a population of 1.3billion (the trading economies, 2018).</w:t>
      </w:r>
      <w:r w:rsidR="000510F1">
        <w:rPr>
          <w:rFonts w:ascii="Arial" w:hAnsi="Arial" w:cs="Arial"/>
        </w:rPr>
        <w:t xml:space="preserve"> A summary of some salient World economic ranking of China is in table 2.3.1.</w:t>
      </w:r>
    </w:p>
    <w:p w14:paraId="270F6BF3" w14:textId="77777777" w:rsidR="008A6DD4" w:rsidRPr="00EA7665" w:rsidRDefault="008A6DD4" w:rsidP="00CD6352">
      <w:pPr>
        <w:spacing w:line="360" w:lineRule="auto"/>
        <w:jc w:val="both"/>
        <w:rPr>
          <w:rFonts w:ascii="Arial" w:hAnsi="Arial" w:cs="Arial"/>
        </w:rPr>
      </w:pPr>
    </w:p>
    <w:p w14:paraId="75C83E99" w14:textId="02F70F55" w:rsidR="00CD6352" w:rsidRPr="008815B0" w:rsidRDefault="00CD6352" w:rsidP="00CD6352">
      <w:pPr>
        <w:pStyle w:val="Caption"/>
        <w:keepNext/>
        <w:rPr>
          <w:rFonts w:ascii="Arial" w:hAnsi="Arial" w:cs="Arial"/>
          <w:i w:val="0"/>
          <w:iCs w:val="0"/>
          <w:sz w:val="16"/>
          <w:szCs w:val="16"/>
        </w:rPr>
      </w:pPr>
      <w:bookmarkStart w:id="497" w:name="_Toc78983952"/>
      <w:r w:rsidRPr="008815B0">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2.3</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1</w:t>
      </w:r>
      <w:r w:rsidR="008F25B1">
        <w:rPr>
          <w:rFonts w:ascii="Arial" w:hAnsi="Arial" w:cs="Arial"/>
          <w:i w:val="0"/>
          <w:iCs w:val="0"/>
          <w:sz w:val="16"/>
          <w:szCs w:val="16"/>
        </w:rPr>
        <w:fldChar w:fldCharType="end"/>
      </w:r>
      <w:r w:rsidRPr="008815B0">
        <w:rPr>
          <w:rFonts w:ascii="Arial" w:hAnsi="Arial" w:cs="Arial"/>
          <w:i w:val="0"/>
          <w:iCs w:val="0"/>
          <w:sz w:val="16"/>
          <w:szCs w:val="16"/>
        </w:rPr>
        <w:t>: Summary of salient world economic rankings of China</w:t>
      </w:r>
      <w:bookmarkEnd w:id="497"/>
    </w:p>
    <w:tbl>
      <w:tblPr>
        <w:tblStyle w:val="PlainTable11"/>
        <w:tblW w:w="5000" w:type="pct"/>
        <w:tblLook w:val="04A0" w:firstRow="1" w:lastRow="0" w:firstColumn="1" w:lastColumn="0" w:noHBand="0" w:noVBand="1"/>
      </w:tblPr>
      <w:tblGrid>
        <w:gridCol w:w="4508"/>
        <w:gridCol w:w="4508"/>
      </w:tblGrid>
      <w:tr w:rsidR="00CD6352" w:rsidRPr="00EA7665" w14:paraId="07A749AE" w14:textId="77777777" w:rsidTr="00CD635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1E1674B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Total area</w:t>
            </w:r>
          </w:p>
        </w:tc>
        <w:tc>
          <w:tcPr>
            <w:tcW w:w="2500" w:type="pct"/>
          </w:tcPr>
          <w:p w14:paraId="5E874D24" w14:textId="77777777" w:rsidR="00CD6352" w:rsidRPr="00EA7665" w:rsidRDefault="00CD6352" w:rsidP="00CD6352">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EA7665">
              <w:rPr>
                <w:rFonts w:ascii="Arial" w:hAnsi="Arial" w:cs="Arial"/>
                <w:sz w:val="16"/>
                <w:szCs w:val="16"/>
              </w:rPr>
              <w:t>3rd</w:t>
            </w:r>
          </w:p>
        </w:tc>
      </w:tr>
      <w:tr w:rsidR="00CD6352" w:rsidRPr="00EA7665" w14:paraId="48782B3F" w14:textId="77777777" w:rsidTr="00CD63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tcPr>
          <w:p w14:paraId="37C2456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Population</w:t>
            </w:r>
          </w:p>
        </w:tc>
        <w:tc>
          <w:tcPr>
            <w:tcW w:w="2500" w:type="pct"/>
          </w:tcPr>
          <w:p w14:paraId="32ECFB79" w14:textId="77777777" w:rsidR="00CD6352" w:rsidRPr="00EA7665" w:rsidRDefault="00CD6352" w:rsidP="00CD63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A7665">
              <w:rPr>
                <w:rFonts w:ascii="Arial" w:hAnsi="Arial" w:cs="Arial"/>
                <w:sz w:val="16"/>
                <w:szCs w:val="16"/>
              </w:rPr>
              <w:t>1st</w:t>
            </w:r>
          </w:p>
        </w:tc>
      </w:tr>
      <w:tr w:rsidR="00CD6352" w:rsidRPr="00EA7665" w14:paraId="0BE352CE" w14:textId="77777777" w:rsidTr="00CD6352">
        <w:trPr>
          <w:trHeight w:val="292"/>
        </w:trPr>
        <w:tc>
          <w:tcPr>
            <w:cnfStyle w:val="001000000000" w:firstRow="0" w:lastRow="0" w:firstColumn="1" w:lastColumn="0" w:oddVBand="0" w:evenVBand="0" w:oddHBand="0" w:evenHBand="0" w:firstRowFirstColumn="0" w:firstRowLastColumn="0" w:lastRowFirstColumn="0" w:lastRowLastColumn="0"/>
            <w:tcW w:w="2500" w:type="pct"/>
          </w:tcPr>
          <w:p w14:paraId="451FE50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GDP ( nominal)</w:t>
            </w:r>
          </w:p>
        </w:tc>
        <w:tc>
          <w:tcPr>
            <w:tcW w:w="2500" w:type="pct"/>
          </w:tcPr>
          <w:p w14:paraId="73A13E63" w14:textId="77777777" w:rsidR="00CD6352" w:rsidRPr="00EA7665" w:rsidRDefault="00CD6352" w:rsidP="00CD635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A7665">
              <w:rPr>
                <w:rFonts w:ascii="Arial" w:hAnsi="Arial" w:cs="Arial"/>
                <w:sz w:val="16"/>
                <w:szCs w:val="16"/>
              </w:rPr>
              <w:t>3rd</w:t>
            </w:r>
          </w:p>
        </w:tc>
      </w:tr>
      <w:tr w:rsidR="00CD6352" w:rsidRPr="00EA7665" w14:paraId="6D5A4AE0" w14:textId="77777777" w:rsidTr="00CD635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2AEC5F9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Exports</w:t>
            </w:r>
          </w:p>
        </w:tc>
        <w:tc>
          <w:tcPr>
            <w:tcW w:w="2500" w:type="pct"/>
          </w:tcPr>
          <w:p w14:paraId="491CB50B" w14:textId="77777777" w:rsidR="00CD6352" w:rsidRPr="00EA7665" w:rsidRDefault="00CD6352" w:rsidP="00CD63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A7665">
              <w:rPr>
                <w:rFonts w:ascii="Arial" w:hAnsi="Arial" w:cs="Arial"/>
                <w:sz w:val="16"/>
                <w:szCs w:val="16"/>
              </w:rPr>
              <w:t>2nd</w:t>
            </w:r>
          </w:p>
        </w:tc>
      </w:tr>
      <w:tr w:rsidR="00CD6352" w:rsidRPr="00EA7665" w14:paraId="2DEBAAF4" w14:textId="77777777" w:rsidTr="00CD6352">
        <w:trPr>
          <w:trHeight w:val="292"/>
        </w:trPr>
        <w:tc>
          <w:tcPr>
            <w:cnfStyle w:val="001000000000" w:firstRow="0" w:lastRow="0" w:firstColumn="1" w:lastColumn="0" w:oddVBand="0" w:evenVBand="0" w:oddHBand="0" w:evenHBand="0" w:firstRowFirstColumn="0" w:firstRowLastColumn="0" w:lastRowFirstColumn="0" w:lastRowLastColumn="0"/>
            <w:tcW w:w="2500" w:type="pct"/>
          </w:tcPr>
          <w:p w14:paraId="3BF7521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Imports</w:t>
            </w:r>
          </w:p>
        </w:tc>
        <w:tc>
          <w:tcPr>
            <w:tcW w:w="2500" w:type="pct"/>
          </w:tcPr>
          <w:p w14:paraId="1A14E040" w14:textId="77777777" w:rsidR="00CD6352" w:rsidRPr="00EA7665" w:rsidRDefault="00CD6352" w:rsidP="00CD635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A7665">
              <w:rPr>
                <w:rFonts w:ascii="Arial" w:hAnsi="Arial" w:cs="Arial"/>
                <w:sz w:val="16"/>
                <w:szCs w:val="16"/>
              </w:rPr>
              <w:t>3rd</w:t>
            </w:r>
          </w:p>
        </w:tc>
      </w:tr>
      <w:tr w:rsidR="00CD6352" w:rsidRPr="00EA7665" w14:paraId="525BD1D7" w14:textId="77777777" w:rsidTr="00CD63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00" w:type="pct"/>
          </w:tcPr>
          <w:p w14:paraId="450A12D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Current account balance</w:t>
            </w:r>
          </w:p>
        </w:tc>
        <w:tc>
          <w:tcPr>
            <w:tcW w:w="2500" w:type="pct"/>
          </w:tcPr>
          <w:p w14:paraId="2E822896" w14:textId="77777777" w:rsidR="00CD6352" w:rsidRPr="00EA7665" w:rsidRDefault="00CD6352" w:rsidP="00CD63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A7665">
              <w:rPr>
                <w:rFonts w:ascii="Arial" w:hAnsi="Arial" w:cs="Arial"/>
                <w:sz w:val="16"/>
                <w:szCs w:val="16"/>
              </w:rPr>
              <w:t>1st</w:t>
            </w:r>
          </w:p>
        </w:tc>
      </w:tr>
      <w:tr w:rsidR="00CD6352" w:rsidRPr="00EA7665" w14:paraId="7E6E14DF" w14:textId="77777777" w:rsidTr="00CD6352">
        <w:trPr>
          <w:trHeight w:val="292"/>
        </w:trPr>
        <w:tc>
          <w:tcPr>
            <w:cnfStyle w:val="001000000000" w:firstRow="0" w:lastRow="0" w:firstColumn="1" w:lastColumn="0" w:oddVBand="0" w:evenVBand="0" w:oddHBand="0" w:evenHBand="0" w:firstRowFirstColumn="0" w:firstRowLastColumn="0" w:lastRowFirstColumn="0" w:lastRowLastColumn="0"/>
            <w:tcW w:w="2500" w:type="pct"/>
          </w:tcPr>
          <w:p w14:paraId="278E0CA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Received foreign direct investments ( FDI)</w:t>
            </w:r>
          </w:p>
        </w:tc>
        <w:tc>
          <w:tcPr>
            <w:tcW w:w="2500" w:type="pct"/>
          </w:tcPr>
          <w:p w14:paraId="0F8863EC" w14:textId="77777777" w:rsidR="00CD6352" w:rsidRPr="00EA7665" w:rsidRDefault="00CD6352" w:rsidP="00CD635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A7665">
              <w:rPr>
                <w:rFonts w:ascii="Arial" w:hAnsi="Arial" w:cs="Arial"/>
                <w:sz w:val="16"/>
                <w:szCs w:val="16"/>
              </w:rPr>
              <w:t>5th</w:t>
            </w:r>
          </w:p>
        </w:tc>
      </w:tr>
      <w:tr w:rsidR="00CD6352" w:rsidRPr="00EA7665" w14:paraId="3EA366CB" w14:textId="77777777" w:rsidTr="00CD635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60239B6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Foreign exchange reserves</w:t>
            </w:r>
          </w:p>
        </w:tc>
        <w:tc>
          <w:tcPr>
            <w:tcW w:w="2500" w:type="pct"/>
          </w:tcPr>
          <w:p w14:paraId="510EC4DE" w14:textId="77777777" w:rsidR="00CD6352" w:rsidRPr="00EA7665" w:rsidRDefault="00CD6352" w:rsidP="00CD63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A7665">
              <w:rPr>
                <w:rFonts w:ascii="Arial" w:hAnsi="Arial" w:cs="Arial"/>
                <w:sz w:val="16"/>
                <w:szCs w:val="16"/>
              </w:rPr>
              <w:t>1st</w:t>
            </w:r>
          </w:p>
        </w:tc>
      </w:tr>
      <w:tr w:rsidR="00CD6352" w:rsidRPr="00EA7665" w14:paraId="7E9F66FD" w14:textId="77777777" w:rsidTr="00CD6352">
        <w:trPr>
          <w:trHeight w:val="292"/>
        </w:trPr>
        <w:tc>
          <w:tcPr>
            <w:cnfStyle w:val="001000000000" w:firstRow="0" w:lastRow="0" w:firstColumn="1" w:lastColumn="0" w:oddVBand="0" w:evenVBand="0" w:oddHBand="0" w:evenHBand="0" w:firstRowFirstColumn="0" w:firstRowLastColumn="0" w:lastRowFirstColumn="0" w:lastRowLastColumn="0"/>
            <w:tcW w:w="2500" w:type="pct"/>
          </w:tcPr>
          <w:p w14:paraId="1DAB540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Number of mobile phones</w:t>
            </w:r>
          </w:p>
        </w:tc>
        <w:tc>
          <w:tcPr>
            <w:tcW w:w="2500" w:type="pct"/>
          </w:tcPr>
          <w:p w14:paraId="50C3B263" w14:textId="77777777" w:rsidR="00CD6352" w:rsidRPr="00EA7665" w:rsidRDefault="00CD6352" w:rsidP="00CD635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A7665">
              <w:rPr>
                <w:rFonts w:ascii="Arial" w:hAnsi="Arial" w:cs="Arial"/>
                <w:sz w:val="16"/>
                <w:szCs w:val="16"/>
              </w:rPr>
              <w:t>1st</w:t>
            </w:r>
          </w:p>
        </w:tc>
      </w:tr>
      <w:tr w:rsidR="00CD6352" w:rsidRPr="00EA7665" w14:paraId="3EB9D00D" w14:textId="77777777" w:rsidTr="00CD635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500" w:type="pct"/>
          </w:tcPr>
          <w:p w14:paraId="443EEEB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Numbers of internet users</w:t>
            </w:r>
          </w:p>
        </w:tc>
        <w:tc>
          <w:tcPr>
            <w:tcW w:w="2500" w:type="pct"/>
          </w:tcPr>
          <w:p w14:paraId="3D59F286" w14:textId="77777777" w:rsidR="00CD6352" w:rsidRPr="00EA7665" w:rsidRDefault="00CD6352" w:rsidP="00CD635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A7665">
              <w:rPr>
                <w:rFonts w:ascii="Arial" w:hAnsi="Arial" w:cs="Arial"/>
                <w:sz w:val="16"/>
                <w:szCs w:val="16"/>
              </w:rPr>
              <w:t>1st</w:t>
            </w:r>
          </w:p>
        </w:tc>
      </w:tr>
    </w:tbl>
    <w:p w14:paraId="796F6699" w14:textId="77777777" w:rsidR="00CD6352" w:rsidRPr="008815B0" w:rsidRDefault="00CD6352" w:rsidP="00CD6352">
      <w:pPr>
        <w:spacing w:after="0" w:line="360" w:lineRule="auto"/>
        <w:jc w:val="both"/>
        <w:rPr>
          <w:rFonts w:ascii="Arial" w:hAnsi="Arial" w:cs="Arial"/>
          <w:sz w:val="16"/>
          <w:szCs w:val="16"/>
        </w:rPr>
      </w:pPr>
      <w:r w:rsidRPr="008815B0">
        <w:rPr>
          <w:rFonts w:ascii="Arial" w:hAnsi="Arial" w:cs="Arial"/>
          <w:sz w:val="16"/>
          <w:szCs w:val="16"/>
        </w:rPr>
        <w:t>Source - Lynn, D. J., &amp; Wang, T. (2010). Emerging market real estate investment: Investing in China, India, and Brazil.</w:t>
      </w:r>
    </w:p>
    <w:p w14:paraId="41C000A8" w14:textId="77777777" w:rsidR="00CD6352" w:rsidRPr="00EA7665" w:rsidRDefault="00CD6352" w:rsidP="00CD6352">
      <w:pPr>
        <w:spacing w:after="0" w:line="360" w:lineRule="auto"/>
        <w:jc w:val="both"/>
        <w:rPr>
          <w:rFonts w:ascii="Arial" w:hAnsi="Arial" w:cs="Arial"/>
        </w:rPr>
      </w:pPr>
    </w:p>
    <w:p w14:paraId="7DE5F748" w14:textId="5B13D903" w:rsidR="00CD6352" w:rsidRPr="00EA7665" w:rsidRDefault="00CD6352" w:rsidP="00CD6352">
      <w:pPr>
        <w:spacing w:line="360" w:lineRule="auto"/>
        <w:jc w:val="both"/>
        <w:rPr>
          <w:rFonts w:ascii="Arial" w:hAnsi="Arial" w:cs="Arial"/>
        </w:rPr>
      </w:pPr>
      <w:r w:rsidRPr="00EA7665">
        <w:rPr>
          <w:rFonts w:ascii="Arial" w:hAnsi="Arial" w:cs="Arial"/>
        </w:rPr>
        <w:t xml:space="preserve">Despite the many </w:t>
      </w:r>
      <w:r>
        <w:rPr>
          <w:rFonts w:ascii="Arial" w:hAnsi="Arial" w:cs="Arial"/>
        </w:rPr>
        <w:t>excellent</w:t>
      </w:r>
      <w:r w:rsidRPr="00EA7665">
        <w:rPr>
          <w:rFonts w:ascii="Arial" w:hAnsi="Arial" w:cs="Arial"/>
        </w:rPr>
        <w:t xml:space="preserve"> </w:t>
      </w:r>
      <w:r w:rsidR="00077C35" w:rsidRPr="00EA7665">
        <w:rPr>
          <w:rFonts w:ascii="Arial" w:hAnsi="Arial" w:cs="Arial"/>
        </w:rPr>
        <w:t>rankings</w:t>
      </w:r>
      <w:r w:rsidR="00DB1F3E">
        <w:rPr>
          <w:rFonts w:ascii="Arial" w:hAnsi="Arial" w:cs="Arial"/>
        </w:rPr>
        <w:t>,</w:t>
      </w:r>
      <w:r w:rsidR="00077C35" w:rsidRPr="00EA7665">
        <w:rPr>
          <w:rFonts w:ascii="Arial" w:hAnsi="Arial" w:cs="Arial"/>
        </w:rPr>
        <w:t xml:space="preserve"> China</w:t>
      </w:r>
      <w:r w:rsidR="008965AC">
        <w:rPr>
          <w:rFonts w:ascii="Arial" w:hAnsi="Arial" w:cs="Arial"/>
        </w:rPr>
        <w:t xml:space="preserve">’s </w:t>
      </w:r>
      <w:r w:rsidRPr="00EA7665">
        <w:rPr>
          <w:rFonts w:ascii="Arial" w:hAnsi="Arial" w:cs="Arial"/>
        </w:rPr>
        <w:t>rural areas experienc</w:t>
      </w:r>
      <w:r>
        <w:rPr>
          <w:rFonts w:ascii="Arial" w:hAnsi="Arial" w:cs="Arial"/>
        </w:rPr>
        <w:t>e</w:t>
      </w:r>
      <w:r w:rsidRPr="00EA7665">
        <w:rPr>
          <w:rFonts w:ascii="Arial" w:hAnsi="Arial" w:cs="Arial"/>
        </w:rPr>
        <w:t xml:space="preserve"> the highest poverty in the country. The rural are</w:t>
      </w:r>
      <w:r>
        <w:rPr>
          <w:rFonts w:ascii="Arial" w:hAnsi="Arial" w:cs="Arial"/>
        </w:rPr>
        <w:t>as</w:t>
      </w:r>
      <w:r w:rsidRPr="00EA7665">
        <w:rPr>
          <w:rFonts w:ascii="Arial" w:hAnsi="Arial" w:cs="Arial"/>
        </w:rPr>
        <w:t xml:space="preserve"> </w:t>
      </w:r>
      <w:r>
        <w:rPr>
          <w:rFonts w:ascii="Arial" w:hAnsi="Arial" w:cs="Arial"/>
        </w:rPr>
        <w:t xml:space="preserve">are home to </w:t>
      </w:r>
      <w:r w:rsidRPr="00EA7665">
        <w:rPr>
          <w:rFonts w:ascii="Arial" w:hAnsi="Arial" w:cs="Arial"/>
        </w:rPr>
        <w:t>62% of the Chinese population. Th</w:t>
      </w:r>
      <w:r w:rsidR="000510F1">
        <w:rPr>
          <w:rFonts w:ascii="Arial" w:hAnsi="Arial" w:cs="Arial"/>
        </w:rPr>
        <w:t>is region has an increasing income gap</w:t>
      </w:r>
      <w:r w:rsidRPr="00EA7665">
        <w:rPr>
          <w:rFonts w:ascii="Arial" w:hAnsi="Arial" w:cs="Arial"/>
        </w:rPr>
        <w:t xml:space="preserve">, </w:t>
      </w:r>
      <w:r w:rsidR="00E64460">
        <w:rPr>
          <w:rFonts w:ascii="Arial" w:hAnsi="Arial" w:cs="Arial"/>
        </w:rPr>
        <w:t>contributing</w:t>
      </w:r>
      <w:r>
        <w:rPr>
          <w:rFonts w:ascii="Arial" w:hAnsi="Arial" w:cs="Arial"/>
        </w:rPr>
        <w:t xml:space="preserve"> </w:t>
      </w:r>
      <w:r w:rsidR="00E64460">
        <w:rPr>
          <w:rFonts w:ascii="Arial" w:hAnsi="Arial" w:cs="Arial"/>
        </w:rPr>
        <w:t>significan</w:t>
      </w:r>
      <w:r>
        <w:rPr>
          <w:rFonts w:ascii="Arial" w:hAnsi="Arial" w:cs="Arial"/>
        </w:rPr>
        <w:t>tly to China’s</w:t>
      </w:r>
      <w:r w:rsidRPr="00EA7665">
        <w:rPr>
          <w:rFonts w:ascii="Arial" w:hAnsi="Arial" w:cs="Arial"/>
        </w:rPr>
        <w:t xml:space="preserve"> classification as an emerging economy (Lynn and Wang, 2010).</w:t>
      </w:r>
    </w:p>
    <w:p w14:paraId="7A4C8595" w14:textId="63BE46FD" w:rsidR="00CD6352" w:rsidRPr="00EA7665" w:rsidRDefault="00E64460" w:rsidP="00CD6352">
      <w:pPr>
        <w:spacing w:line="360" w:lineRule="auto"/>
        <w:jc w:val="both"/>
        <w:rPr>
          <w:rFonts w:ascii="Arial" w:hAnsi="Arial" w:cs="Arial"/>
        </w:rPr>
      </w:pPr>
      <w:r>
        <w:rPr>
          <w:rFonts w:ascii="Arial" w:hAnsi="Arial" w:cs="Arial"/>
        </w:rPr>
        <w:t xml:space="preserve">China has the largest real estate market in the World </w:t>
      </w:r>
      <w:r w:rsidR="00CD6352" w:rsidRPr="00EA7665">
        <w:rPr>
          <w:rFonts w:ascii="Arial" w:hAnsi="Arial" w:cs="Arial"/>
        </w:rPr>
        <w:t xml:space="preserve">(Cao, 2015). </w:t>
      </w:r>
      <w:r>
        <w:rPr>
          <w:rFonts w:ascii="Arial" w:hAnsi="Arial" w:cs="Arial"/>
        </w:rPr>
        <w:t>It has a good position on all significant</w:t>
      </w:r>
      <w:r w:rsidR="00CD6352" w:rsidRPr="00EA7665">
        <w:rPr>
          <w:rFonts w:ascii="Arial" w:hAnsi="Arial" w:cs="Arial"/>
        </w:rPr>
        <w:t xml:space="preserve"> </w:t>
      </w:r>
      <w:r>
        <w:rPr>
          <w:rFonts w:ascii="Arial" w:hAnsi="Arial" w:cs="Arial"/>
        </w:rPr>
        <w:t xml:space="preserve">real estate demand drivers, </w:t>
      </w:r>
      <w:r w:rsidR="000510F1">
        <w:rPr>
          <w:rFonts w:ascii="Arial" w:hAnsi="Arial" w:cs="Arial"/>
        </w:rPr>
        <w:t>including</w:t>
      </w:r>
      <w:r w:rsidR="00CD6352" w:rsidRPr="00EA7665">
        <w:rPr>
          <w:rFonts w:ascii="Arial" w:hAnsi="Arial" w:cs="Arial"/>
        </w:rPr>
        <w:t xml:space="preserve"> economic growth, demographics, urbanisation, rising per capita and household incom</w:t>
      </w:r>
      <w:r w:rsidR="00CD6352">
        <w:rPr>
          <w:rFonts w:ascii="Arial" w:hAnsi="Arial" w:cs="Arial"/>
        </w:rPr>
        <w:t>es</w:t>
      </w:r>
      <w:r w:rsidR="00CD6352" w:rsidRPr="00EA7665">
        <w:rPr>
          <w:rFonts w:ascii="Arial" w:hAnsi="Arial" w:cs="Arial"/>
        </w:rPr>
        <w:t>, domestic and foreign direct investments (Lynn</w:t>
      </w:r>
      <w:r w:rsidR="00CD6352">
        <w:rPr>
          <w:rFonts w:ascii="Arial" w:hAnsi="Arial" w:cs="Arial"/>
        </w:rPr>
        <w:t xml:space="preserve"> </w:t>
      </w:r>
      <w:r w:rsidR="00CD6352" w:rsidRPr="00EA7665">
        <w:rPr>
          <w:rFonts w:ascii="Arial" w:hAnsi="Arial" w:cs="Arial"/>
        </w:rPr>
        <w:t xml:space="preserve">&amp; Wang, 2010). The Chinese real estate market acts as a growth engine as it generates funding for the cities to build infrastructures such as road networks, ports, and airports (Cao, 2015).   The Chinese housing market is a ‘policy-based market’ because the government is a </w:t>
      </w:r>
      <w:r w:rsidR="00894024">
        <w:rPr>
          <w:rFonts w:ascii="Arial" w:hAnsi="Arial" w:cs="Arial"/>
        </w:rPr>
        <w:t xml:space="preserve">major </w:t>
      </w:r>
      <w:r w:rsidR="00CD6352" w:rsidRPr="00EA7665">
        <w:rPr>
          <w:rFonts w:ascii="Arial" w:hAnsi="Arial" w:cs="Arial"/>
        </w:rPr>
        <w:t xml:space="preserve">participant and the </w:t>
      </w:r>
      <w:r>
        <w:rPr>
          <w:rFonts w:ascii="Arial" w:hAnsi="Arial" w:cs="Arial"/>
        </w:rPr>
        <w:t>housing market regulator</w:t>
      </w:r>
      <w:r w:rsidR="00CD6352" w:rsidRPr="00EA7665">
        <w:rPr>
          <w:rFonts w:ascii="Arial" w:hAnsi="Arial" w:cs="Arial"/>
        </w:rPr>
        <w:t xml:space="preserve">. </w:t>
      </w:r>
    </w:p>
    <w:p w14:paraId="64AD8BDB" w14:textId="0B73EF58" w:rsidR="00CD6352" w:rsidRPr="00EA7665" w:rsidRDefault="00CD6352" w:rsidP="00CD6352">
      <w:pPr>
        <w:spacing w:line="360" w:lineRule="auto"/>
        <w:jc w:val="both"/>
        <w:rPr>
          <w:rFonts w:ascii="Arial" w:hAnsi="Arial" w:cs="Arial"/>
        </w:rPr>
      </w:pPr>
      <w:r w:rsidRPr="00EA7665">
        <w:rPr>
          <w:rFonts w:ascii="Arial" w:hAnsi="Arial" w:cs="Arial"/>
        </w:rPr>
        <w:lastRenderedPageBreak/>
        <w:t>China has a tradition of dividing its vast number of cities into four or five tiers. Tier 1 cities are national and international business hubs</w:t>
      </w:r>
      <w:r w:rsidR="00E64460">
        <w:rPr>
          <w:rFonts w:ascii="Arial" w:hAnsi="Arial" w:cs="Arial"/>
        </w:rPr>
        <w:t xml:space="preserve"> with well-developed global investment</w:t>
      </w:r>
      <w:r w:rsidR="00270078">
        <w:rPr>
          <w:rFonts w:ascii="Arial" w:hAnsi="Arial" w:cs="Arial"/>
        </w:rPr>
        <w:t>-</w:t>
      </w:r>
      <w:r w:rsidR="00E64460">
        <w:rPr>
          <w:rFonts w:ascii="Arial" w:hAnsi="Arial" w:cs="Arial"/>
        </w:rPr>
        <w:t>grade stock</w:t>
      </w:r>
      <w:r w:rsidRPr="00EA7665">
        <w:rPr>
          <w:rFonts w:ascii="Arial" w:hAnsi="Arial" w:cs="Arial"/>
        </w:rPr>
        <w:t xml:space="preserve"> and the </w:t>
      </w:r>
      <w:r w:rsidR="00AE54FE">
        <w:rPr>
          <w:rFonts w:ascii="Arial" w:hAnsi="Arial" w:cs="Arial"/>
        </w:rPr>
        <w:t>country's most liquid and transparent commercial real estate markets</w:t>
      </w:r>
      <w:r w:rsidRPr="00EA7665">
        <w:rPr>
          <w:rFonts w:ascii="Arial" w:hAnsi="Arial" w:cs="Arial"/>
        </w:rPr>
        <w:t xml:space="preserve">. They serve as the benchmark for cities in other tiers. Tier 2 cities have maturing markets and robust </w:t>
      </w:r>
      <w:r w:rsidR="00F95B0D" w:rsidRPr="00EA7665">
        <w:rPr>
          <w:rFonts w:ascii="Arial" w:hAnsi="Arial" w:cs="Arial"/>
        </w:rPr>
        <w:t>infrastructur</w:t>
      </w:r>
      <w:r w:rsidR="00F95B0D">
        <w:rPr>
          <w:rFonts w:ascii="Arial" w:hAnsi="Arial" w:cs="Arial"/>
        </w:rPr>
        <w:t>es,</w:t>
      </w:r>
      <w:r w:rsidRPr="00EA7665">
        <w:rPr>
          <w:rFonts w:ascii="Arial" w:hAnsi="Arial" w:cs="Arial"/>
        </w:rPr>
        <w:t xml:space="preserve"> but</w:t>
      </w:r>
      <w:r>
        <w:rPr>
          <w:rFonts w:ascii="Arial" w:hAnsi="Arial" w:cs="Arial"/>
        </w:rPr>
        <w:t xml:space="preserve"> they also have</w:t>
      </w:r>
      <w:r w:rsidRPr="00EA7665">
        <w:rPr>
          <w:rFonts w:ascii="Arial" w:hAnsi="Arial" w:cs="Arial"/>
        </w:rPr>
        <w:t xml:space="preserve"> minimal international investment grade stock, lower liquidity</w:t>
      </w:r>
      <w:r w:rsidR="005F7438">
        <w:rPr>
          <w:rFonts w:ascii="Arial" w:hAnsi="Arial" w:cs="Arial"/>
        </w:rPr>
        <w:t>,</w:t>
      </w:r>
      <w:r w:rsidRPr="00EA7665">
        <w:rPr>
          <w:rFonts w:ascii="Arial" w:hAnsi="Arial" w:cs="Arial"/>
        </w:rPr>
        <w:t xml:space="preserve"> and mainly local tenants. Tier 3 cities have expanding markets and rapidly improving infrastructur</w:t>
      </w:r>
      <w:r>
        <w:rPr>
          <w:rFonts w:ascii="Arial" w:hAnsi="Arial" w:cs="Arial"/>
        </w:rPr>
        <w:t>es</w:t>
      </w:r>
      <w:r w:rsidRPr="00EA7665">
        <w:rPr>
          <w:rFonts w:ascii="Arial" w:hAnsi="Arial" w:cs="Arial"/>
        </w:rPr>
        <w:t xml:space="preserve"> but little or no international investment grade stock, relatively low liquidity, and local tenants. Tier 4 cities have some market transactions in commercial real estate but need further commercial real estate development and infrastructure improvement (Cao, 2015).</w:t>
      </w:r>
    </w:p>
    <w:p w14:paraId="70DB2B98" w14:textId="4ABAA1C1" w:rsidR="00CD6352" w:rsidRPr="00EA7665" w:rsidRDefault="00CD6352" w:rsidP="00CD6352">
      <w:pPr>
        <w:spacing w:line="360" w:lineRule="auto"/>
        <w:jc w:val="both"/>
        <w:rPr>
          <w:rFonts w:ascii="Arial" w:hAnsi="Arial" w:cs="Arial"/>
        </w:rPr>
      </w:pPr>
      <w:r w:rsidRPr="00EA7665">
        <w:rPr>
          <w:rFonts w:ascii="Arial" w:hAnsi="Arial" w:cs="Arial"/>
        </w:rPr>
        <w:t xml:space="preserve">Land ownership in China includes collective ownership of rural land and state ownership of urban land. Real estate development must be on state-owned land with granted land use rights (LURs). </w:t>
      </w:r>
      <w:r w:rsidR="007C78B5">
        <w:rPr>
          <w:rFonts w:ascii="Arial" w:hAnsi="Arial" w:cs="Arial"/>
        </w:rPr>
        <w:t xml:space="preserve">China's </w:t>
      </w:r>
      <w:r w:rsidR="006958FA">
        <w:rPr>
          <w:rFonts w:ascii="Arial" w:hAnsi="Arial" w:cs="Arial"/>
        </w:rPr>
        <w:t>land supply</w:t>
      </w:r>
      <w:r w:rsidR="007C78B5">
        <w:rPr>
          <w:rFonts w:ascii="Arial" w:hAnsi="Arial" w:cs="Arial"/>
        </w:rPr>
        <w:t xml:space="preserve"> for construction purposes</w:t>
      </w:r>
      <w:r w:rsidRPr="00EA7665">
        <w:rPr>
          <w:rFonts w:ascii="Arial" w:hAnsi="Arial" w:cs="Arial"/>
        </w:rPr>
        <w:t xml:space="preserve"> is increasingly under strict state control to prevent </w:t>
      </w:r>
      <w:r w:rsidR="006958FA">
        <w:rPr>
          <w:rFonts w:ascii="Arial" w:hAnsi="Arial" w:cs="Arial"/>
        </w:rPr>
        <w:t xml:space="preserve">the </w:t>
      </w:r>
      <w:r w:rsidRPr="00EA7665">
        <w:rPr>
          <w:rFonts w:ascii="Arial" w:hAnsi="Arial" w:cs="Arial"/>
        </w:rPr>
        <w:t xml:space="preserve">unplanned loss of arable land due to </w:t>
      </w:r>
      <w:r>
        <w:rPr>
          <w:rFonts w:ascii="Arial" w:hAnsi="Arial" w:cs="Arial"/>
        </w:rPr>
        <w:t xml:space="preserve">its </w:t>
      </w:r>
      <w:r w:rsidRPr="00EA7665">
        <w:rPr>
          <w:rFonts w:ascii="Arial" w:hAnsi="Arial" w:cs="Arial"/>
        </w:rPr>
        <w:t>conversion</w:t>
      </w:r>
      <w:r>
        <w:rPr>
          <w:rFonts w:ascii="Arial" w:hAnsi="Arial" w:cs="Arial"/>
        </w:rPr>
        <w:t xml:space="preserve"> </w:t>
      </w:r>
      <w:r w:rsidR="00725A60">
        <w:rPr>
          <w:rFonts w:ascii="Arial" w:hAnsi="Arial" w:cs="Arial"/>
        </w:rPr>
        <w:t xml:space="preserve">to </w:t>
      </w:r>
      <w:r w:rsidR="00725A60" w:rsidRPr="00EA7665">
        <w:rPr>
          <w:rFonts w:ascii="Arial" w:hAnsi="Arial" w:cs="Arial"/>
        </w:rPr>
        <w:t>construction</w:t>
      </w:r>
      <w:r w:rsidRPr="00EA7665">
        <w:rPr>
          <w:rFonts w:ascii="Arial" w:hAnsi="Arial" w:cs="Arial"/>
        </w:rPr>
        <w:t xml:space="preserve"> land. The proceeds from selling the “land use right” provide a significant source of financing for local governments. The incentive of </w:t>
      </w:r>
      <w:r>
        <w:rPr>
          <w:rFonts w:ascii="Arial" w:hAnsi="Arial" w:cs="Arial"/>
        </w:rPr>
        <w:t xml:space="preserve">a </w:t>
      </w:r>
      <w:r w:rsidR="00725A60" w:rsidRPr="00EA7665">
        <w:rPr>
          <w:rFonts w:ascii="Arial" w:hAnsi="Arial" w:cs="Arial"/>
        </w:rPr>
        <w:t>higher income</w:t>
      </w:r>
      <w:r w:rsidRPr="00EA7665">
        <w:rPr>
          <w:rFonts w:ascii="Arial" w:hAnsi="Arial" w:cs="Arial"/>
        </w:rPr>
        <w:t xml:space="preserve"> prompts the local governments to restrict land supply to push up land prices (Lynn&amp; Wang, 2010).</w:t>
      </w:r>
    </w:p>
    <w:p w14:paraId="23245AA9" w14:textId="7B9D3C12" w:rsidR="00CD6352" w:rsidRPr="00DB1F3E" w:rsidRDefault="00022E05" w:rsidP="00CD6352">
      <w:pPr>
        <w:pStyle w:val="Heading4"/>
        <w:spacing w:after="240"/>
        <w:rPr>
          <w:rFonts w:ascii="Arial" w:hAnsi="Arial" w:cs="Arial"/>
          <w:b/>
          <w:i w:val="0"/>
          <w:iCs w:val="0"/>
          <w:color w:val="000000" w:themeColor="text1"/>
        </w:rPr>
      </w:pPr>
      <w:r>
        <w:rPr>
          <w:rFonts w:ascii="Arial" w:hAnsi="Arial" w:cs="Arial"/>
          <w:b/>
          <w:i w:val="0"/>
          <w:iCs w:val="0"/>
          <w:color w:val="000000" w:themeColor="text1"/>
        </w:rPr>
        <w:t xml:space="preserve">The </w:t>
      </w:r>
      <w:r w:rsidR="00BD5E9A">
        <w:rPr>
          <w:rFonts w:ascii="Arial" w:hAnsi="Arial" w:cs="Arial"/>
          <w:b/>
          <w:i w:val="0"/>
          <w:iCs w:val="0"/>
          <w:color w:val="000000" w:themeColor="text1"/>
        </w:rPr>
        <w:t>f</w:t>
      </w:r>
      <w:r w:rsidR="00CD6352" w:rsidRPr="00DB1F3E">
        <w:rPr>
          <w:rFonts w:ascii="Arial" w:hAnsi="Arial" w:cs="Arial"/>
          <w:b/>
          <w:i w:val="0"/>
          <w:iCs w:val="0"/>
          <w:color w:val="000000" w:themeColor="text1"/>
        </w:rPr>
        <w:t xml:space="preserve">actors affecting the </w:t>
      </w:r>
      <w:r w:rsidR="00A95C40">
        <w:rPr>
          <w:rFonts w:ascii="Arial" w:hAnsi="Arial" w:cs="Arial"/>
          <w:b/>
          <w:i w:val="0"/>
          <w:iCs w:val="0"/>
          <w:color w:val="000000" w:themeColor="text1"/>
        </w:rPr>
        <w:t>R</w:t>
      </w:r>
      <w:r w:rsidR="00CD6352" w:rsidRPr="00DB1F3E">
        <w:rPr>
          <w:rFonts w:ascii="Arial" w:hAnsi="Arial" w:cs="Arial"/>
          <w:b/>
          <w:i w:val="0"/>
          <w:iCs w:val="0"/>
          <w:color w:val="000000" w:themeColor="text1"/>
        </w:rPr>
        <w:t xml:space="preserve">eal </w:t>
      </w:r>
      <w:r w:rsidR="00A95C40">
        <w:rPr>
          <w:rFonts w:ascii="Arial" w:hAnsi="Arial" w:cs="Arial"/>
          <w:b/>
          <w:i w:val="0"/>
          <w:iCs w:val="0"/>
          <w:color w:val="000000" w:themeColor="text1"/>
        </w:rPr>
        <w:t>E</w:t>
      </w:r>
      <w:r w:rsidR="00CD6352" w:rsidRPr="00DB1F3E">
        <w:rPr>
          <w:rFonts w:ascii="Arial" w:hAnsi="Arial" w:cs="Arial"/>
          <w:b/>
          <w:i w:val="0"/>
          <w:iCs w:val="0"/>
          <w:color w:val="000000" w:themeColor="text1"/>
        </w:rPr>
        <w:t>state</w:t>
      </w:r>
      <w:r w:rsidR="00BD5E9A">
        <w:rPr>
          <w:rFonts w:ascii="Arial" w:hAnsi="Arial" w:cs="Arial"/>
          <w:b/>
          <w:i w:val="0"/>
          <w:iCs w:val="0"/>
          <w:color w:val="000000" w:themeColor="text1"/>
        </w:rPr>
        <w:t>’s</w:t>
      </w:r>
      <w:r w:rsidR="00CD6352" w:rsidRPr="00DB1F3E">
        <w:rPr>
          <w:rFonts w:ascii="Arial" w:hAnsi="Arial" w:cs="Arial"/>
          <w:b/>
          <w:i w:val="0"/>
          <w:iCs w:val="0"/>
          <w:color w:val="000000" w:themeColor="text1"/>
        </w:rPr>
        <w:t xml:space="preserve"> </w:t>
      </w:r>
      <w:r w:rsidR="00BD5E9A">
        <w:rPr>
          <w:rFonts w:ascii="Arial" w:hAnsi="Arial" w:cs="Arial"/>
          <w:b/>
          <w:i w:val="0"/>
          <w:iCs w:val="0"/>
          <w:color w:val="000000" w:themeColor="text1"/>
        </w:rPr>
        <w:t xml:space="preserve">sector </w:t>
      </w:r>
      <w:r w:rsidR="00270078">
        <w:rPr>
          <w:rFonts w:ascii="Arial" w:hAnsi="Arial" w:cs="Arial"/>
          <w:b/>
          <w:i w:val="0"/>
          <w:iCs w:val="0"/>
          <w:color w:val="000000" w:themeColor="text1"/>
        </w:rPr>
        <w:t>in China</w:t>
      </w:r>
      <w:r w:rsidR="00CD6352" w:rsidRPr="00DB1F3E">
        <w:rPr>
          <w:rFonts w:ascii="Arial" w:hAnsi="Arial" w:cs="Arial"/>
          <w:b/>
          <w:i w:val="0"/>
          <w:iCs w:val="0"/>
          <w:color w:val="000000" w:themeColor="text1"/>
        </w:rPr>
        <w:t>.</w:t>
      </w:r>
    </w:p>
    <w:p w14:paraId="44B6C35C" w14:textId="34714567" w:rsidR="00CD6352" w:rsidRPr="00EA7665" w:rsidRDefault="00CD6352" w:rsidP="00CD6352">
      <w:pPr>
        <w:spacing w:line="360" w:lineRule="auto"/>
        <w:jc w:val="both"/>
        <w:rPr>
          <w:rFonts w:ascii="Arial" w:hAnsi="Arial" w:cs="Arial"/>
        </w:rPr>
      </w:pPr>
      <w:r w:rsidRPr="00EA7665">
        <w:rPr>
          <w:rFonts w:ascii="Arial" w:hAnsi="Arial" w:cs="Arial"/>
        </w:rPr>
        <w:t>Factors ranging from sound economic health, government policies</w:t>
      </w:r>
      <w:r w:rsidR="00FC52DF">
        <w:rPr>
          <w:rFonts w:ascii="Arial" w:hAnsi="Arial" w:cs="Arial"/>
        </w:rPr>
        <w:t>,</w:t>
      </w:r>
      <w:r w:rsidRPr="00EA7665">
        <w:rPr>
          <w:rFonts w:ascii="Arial" w:hAnsi="Arial" w:cs="Arial"/>
        </w:rPr>
        <w:t xml:space="preserve"> and demographics have helped </w:t>
      </w:r>
      <w:r w:rsidR="00A70F19">
        <w:rPr>
          <w:rFonts w:ascii="Arial" w:hAnsi="Arial" w:cs="Arial"/>
        </w:rPr>
        <w:t>China's real estate sector</w:t>
      </w:r>
      <w:r w:rsidRPr="00EA7665">
        <w:rPr>
          <w:rFonts w:ascii="Arial" w:hAnsi="Arial" w:cs="Arial"/>
        </w:rPr>
        <w:t xml:space="preserve">. </w:t>
      </w:r>
    </w:p>
    <w:p w14:paraId="32718294"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 xml:space="preserve">Economic factors </w:t>
      </w:r>
    </w:p>
    <w:p w14:paraId="47AB3FA8" w14:textId="74DC51DC" w:rsidR="00CD6352" w:rsidRPr="00EA7665" w:rsidRDefault="00CD6352" w:rsidP="00CD6352">
      <w:pPr>
        <w:spacing w:line="360" w:lineRule="auto"/>
        <w:jc w:val="both"/>
        <w:rPr>
          <w:rFonts w:ascii="Arial" w:hAnsi="Arial" w:cs="Arial"/>
        </w:rPr>
      </w:pPr>
      <w:r w:rsidRPr="00EA7665">
        <w:rPr>
          <w:rFonts w:ascii="Arial" w:hAnsi="Arial" w:cs="Arial"/>
        </w:rPr>
        <w:t xml:space="preserve">China has an increasing </w:t>
      </w:r>
      <w:r w:rsidR="00783CD8" w:rsidRPr="00EA7665">
        <w:rPr>
          <w:rFonts w:ascii="Arial" w:hAnsi="Arial" w:cs="Arial"/>
        </w:rPr>
        <w:t>middle-class</w:t>
      </w:r>
      <w:r>
        <w:rPr>
          <w:rFonts w:ascii="Arial" w:hAnsi="Arial" w:cs="Arial"/>
        </w:rPr>
        <w:t xml:space="preserve"> population</w:t>
      </w:r>
      <w:r w:rsidRPr="00EA7665">
        <w:rPr>
          <w:rFonts w:ascii="Arial" w:hAnsi="Arial" w:cs="Arial"/>
        </w:rPr>
        <w:t>, and this suggests a higher demand for real estate.  It has an annual GDP growth rate of 9.1% (the trading economics). The Chinese government's monetary policies have also positively contributed to the r</w:t>
      </w:r>
      <w:r w:rsidR="00A70F19">
        <w:rPr>
          <w:rFonts w:ascii="Arial" w:hAnsi="Arial" w:cs="Arial"/>
        </w:rPr>
        <w:t>eal estate market's robustness</w:t>
      </w:r>
      <w:r w:rsidR="004613DE">
        <w:rPr>
          <w:rFonts w:ascii="Arial" w:hAnsi="Arial" w:cs="Arial"/>
        </w:rPr>
        <w:t>.</w:t>
      </w:r>
      <w:r w:rsidRPr="00EA7665">
        <w:rPr>
          <w:rFonts w:ascii="Arial" w:hAnsi="Arial" w:cs="Arial"/>
        </w:rPr>
        <w:t xml:space="preserve"> The Chinese central bank eliminated loan quotas, slashed official interest rates and reduced the bank reserve ratio to stimulate economic growth. Furthermore, Chinese local governments depend on revenue from the real estate sector to finance initiatives and infrastructural projects. Consequently, they </w:t>
      </w:r>
      <w:r w:rsidR="00A70F19">
        <w:rPr>
          <w:rFonts w:ascii="Arial" w:hAnsi="Arial" w:cs="Arial"/>
        </w:rPr>
        <w:t>use</w:t>
      </w:r>
      <w:r w:rsidRPr="00EA7665">
        <w:rPr>
          <w:rFonts w:ascii="Arial" w:hAnsi="Arial" w:cs="Arial"/>
        </w:rPr>
        <w:t xml:space="preserve"> administrative powers to shape the real estate market to maximise fiscal revenue growth (Lynn and Wang, 2010).</w:t>
      </w:r>
    </w:p>
    <w:p w14:paraId="0FB5EC59" w14:textId="41B0EA51" w:rsidR="00CD6352" w:rsidRPr="00EA7665" w:rsidRDefault="00AE54FE" w:rsidP="00CD6352">
      <w:pPr>
        <w:spacing w:line="360" w:lineRule="auto"/>
        <w:jc w:val="both"/>
        <w:rPr>
          <w:rFonts w:ascii="Arial" w:hAnsi="Arial" w:cs="Arial"/>
        </w:rPr>
      </w:pPr>
      <w:r w:rsidRPr="00AE54FE">
        <w:rPr>
          <w:rFonts w:ascii="Arial" w:hAnsi="Arial" w:cs="Arial"/>
        </w:rPr>
        <w:t xml:space="preserve">China has maintained high, positive credit ratings </w:t>
      </w:r>
      <w:r>
        <w:rPr>
          <w:rFonts w:ascii="Arial" w:hAnsi="Arial" w:cs="Arial"/>
        </w:rPr>
        <w:t>d</w:t>
      </w:r>
      <w:r w:rsidR="00CD6352" w:rsidRPr="00EA7665">
        <w:rPr>
          <w:rFonts w:ascii="Arial" w:hAnsi="Arial" w:cs="Arial"/>
        </w:rPr>
        <w:t xml:space="preserve">ue to its strong </w:t>
      </w:r>
      <w:r w:rsidR="004613DE">
        <w:rPr>
          <w:rFonts w:ascii="Arial" w:hAnsi="Arial" w:cs="Arial"/>
        </w:rPr>
        <w:t>C</w:t>
      </w:r>
      <w:r w:rsidR="00CD6352" w:rsidRPr="00EA7665">
        <w:rPr>
          <w:rFonts w:ascii="Arial" w:hAnsi="Arial" w:cs="Arial"/>
        </w:rPr>
        <w:t>urrent account, low domestic and foreign debt levels, and conservative fiscal policies and management</w:t>
      </w:r>
      <w:r>
        <w:rPr>
          <w:rFonts w:ascii="Arial" w:hAnsi="Arial" w:cs="Arial"/>
        </w:rPr>
        <w:t>.</w:t>
      </w:r>
      <w:r w:rsidR="00CD6352" w:rsidRPr="00EA7665">
        <w:rPr>
          <w:rFonts w:ascii="Arial" w:hAnsi="Arial" w:cs="Arial"/>
        </w:rPr>
        <w:t xml:space="preserve"> Furthermore, China has been a significant contributor to increased global liquidity over the past two decades, and it has the highest liquidity ratio, according to the Fitch rating (Kang et al., 2016).</w:t>
      </w:r>
    </w:p>
    <w:p w14:paraId="5138BD6A" w14:textId="2A17047C" w:rsidR="00CD6352" w:rsidRDefault="00CD6352" w:rsidP="00CD6352">
      <w:pPr>
        <w:spacing w:line="360" w:lineRule="auto"/>
        <w:jc w:val="both"/>
        <w:rPr>
          <w:rFonts w:ascii="Arial" w:hAnsi="Arial" w:cs="Arial"/>
        </w:rPr>
      </w:pPr>
      <w:r w:rsidRPr="00EA7665">
        <w:rPr>
          <w:rFonts w:ascii="Arial" w:hAnsi="Arial" w:cs="Arial"/>
        </w:rPr>
        <w:t>Home price rises are slowing in China’s biggest cities</w:t>
      </w:r>
      <w:r w:rsidR="00AE54FE">
        <w:rPr>
          <w:rFonts w:ascii="Arial" w:hAnsi="Arial" w:cs="Arial"/>
        </w:rPr>
        <w:t xml:space="preserve">, but new home prices went up in 63 out of the total 70 cities in China as of June 2019, and most of the price gains were felt in the </w:t>
      </w:r>
      <w:r w:rsidR="00AE54FE">
        <w:rPr>
          <w:rFonts w:ascii="Arial" w:hAnsi="Arial" w:cs="Arial"/>
        </w:rPr>
        <w:lastRenderedPageBreak/>
        <w:t>second and third-tier</w:t>
      </w:r>
      <w:r w:rsidRPr="00EA7665">
        <w:rPr>
          <w:rFonts w:ascii="Arial" w:hAnsi="Arial" w:cs="Arial"/>
        </w:rPr>
        <w:t xml:space="preserve"> cit</w:t>
      </w:r>
      <w:r w:rsidR="00737BD5">
        <w:rPr>
          <w:rFonts w:ascii="Arial" w:hAnsi="Arial" w:cs="Arial"/>
        </w:rPr>
        <w:t>i</w:t>
      </w:r>
      <w:r w:rsidRPr="00EA7665">
        <w:rPr>
          <w:rFonts w:ascii="Arial" w:hAnsi="Arial" w:cs="Arial"/>
        </w:rPr>
        <w:t>es. The slowing down of price increases is associated with China’s tightening measur</w:t>
      </w:r>
      <w:r>
        <w:rPr>
          <w:rFonts w:ascii="Arial" w:hAnsi="Arial" w:cs="Arial"/>
        </w:rPr>
        <w:t>es</w:t>
      </w:r>
      <w:r w:rsidRPr="00EA7665">
        <w:rPr>
          <w:rFonts w:ascii="Arial" w:hAnsi="Arial" w:cs="Arial"/>
        </w:rPr>
        <w:t>. About 251 real estate restriction policies were announced in 2019</w:t>
      </w:r>
      <w:r w:rsidR="00A70F19">
        <w:rPr>
          <w:rFonts w:ascii="Arial" w:hAnsi="Arial" w:cs="Arial"/>
        </w:rPr>
        <w:t>,</w:t>
      </w:r>
      <w:r>
        <w:rPr>
          <w:rFonts w:ascii="Arial" w:hAnsi="Arial" w:cs="Arial"/>
        </w:rPr>
        <w:t xml:space="preserve"> and</w:t>
      </w:r>
      <w:r w:rsidRPr="00EA7665">
        <w:rPr>
          <w:rFonts w:ascii="Arial" w:hAnsi="Arial" w:cs="Arial"/>
        </w:rPr>
        <w:t xml:space="preserve"> </w:t>
      </w:r>
      <w:r>
        <w:rPr>
          <w:rFonts w:ascii="Arial" w:hAnsi="Arial" w:cs="Arial"/>
        </w:rPr>
        <w:t>c</w:t>
      </w:r>
      <w:r w:rsidRPr="00EA7665">
        <w:rPr>
          <w:rFonts w:ascii="Arial" w:hAnsi="Arial" w:cs="Arial"/>
        </w:rPr>
        <w:t xml:space="preserve">ities that experienced price increases include Beijing, </w:t>
      </w:r>
      <w:r w:rsidR="00783CD8" w:rsidRPr="00EA7665">
        <w:rPr>
          <w:rFonts w:ascii="Arial" w:hAnsi="Arial" w:cs="Arial"/>
        </w:rPr>
        <w:t>Shanghai, Shenzhen</w:t>
      </w:r>
      <w:r w:rsidR="00737BD5">
        <w:rPr>
          <w:rFonts w:ascii="Arial" w:hAnsi="Arial" w:cs="Arial"/>
        </w:rPr>
        <w:t>,</w:t>
      </w:r>
      <w:r w:rsidRPr="00EA7665">
        <w:rPr>
          <w:rFonts w:ascii="Arial" w:hAnsi="Arial" w:cs="Arial"/>
        </w:rPr>
        <w:t xml:space="preserve"> and Guangzhou</w:t>
      </w:r>
      <w:r w:rsidR="004613DE">
        <w:rPr>
          <w:rFonts w:ascii="Arial" w:hAnsi="Arial" w:cs="Arial"/>
        </w:rPr>
        <w:t>.</w:t>
      </w:r>
      <w:r w:rsidRPr="00EA7665">
        <w:rPr>
          <w:rFonts w:ascii="Arial" w:hAnsi="Arial" w:cs="Arial"/>
        </w:rPr>
        <w:t xml:space="preserve">  Furthermore, there is no private ownership of land in China, you can only obtain rights to use the land, and the land lease is up to 70years, and it’s usually granted for residential purposes (Delmendo, 2019).</w:t>
      </w:r>
    </w:p>
    <w:p w14:paraId="08C7765C"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Social factors</w:t>
      </w:r>
    </w:p>
    <w:p w14:paraId="67145BA5" w14:textId="77996CFC" w:rsidR="00CD6352" w:rsidRDefault="00CD6352" w:rsidP="00CD6352">
      <w:pPr>
        <w:spacing w:line="360" w:lineRule="auto"/>
        <w:jc w:val="both"/>
        <w:rPr>
          <w:rFonts w:ascii="Arial" w:hAnsi="Arial" w:cs="Arial"/>
        </w:rPr>
      </w:pPr>
      <w:r w:rsidRPr="002502B1">
        <w:rPr>
          <w:rFonts w:ascii="Arial" w:hAnsi="Arial" w:cs="Arial"/>
        </w:rPr>
        <w:t>China has more than 100 cities, each with a population of over one million. There is intense urbanisation, and this is a strong driver for the real estate market. Many of China’s provinces would qualify as countries (Lynn &amp; Wang, 2010).</w:t>
      </w:r>
    </w:p>
    <w:p w14:paraId="130CB9F0"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 xml:space="preserve">Technological factors </w:t>
      </w:r>
    </w:p>
    <w:p w14:paraId="6A45DC5D" w14:textId="41D61E67" w:rsidR="00CD6352" w:rsidRPr="00EA7665" w:rsidRDefault="00CD6352" w:rsidP="00CD6352">
      <w:pPr>
        <w:spacing w:line="360" w:lineRule="auto"/>
        <w:jc w:val="both"/>
        <w:rPr>
          <w:rFonts w:ascii="Arial" w:hAnsi="Arial" w:cs="Arial"/>
        </w:rPr>
      </w:pPr>
      <w:r w:rsidRPr="00EA7665">
        <w:rPr>
          <w:rFonts w:ascii="Arial" w:hAnsi="Arial" w:cs="Arial"/>
        </w:rPr>
        <w:t xml:space="preserve">There are significant innovations and constructions </w:t>
      </w:r>
      <w:r>
        <w:rPr>
          <w:rFonts w:ascii="Arial" w:hAnsi="Arial" w:cs="Arial"/>
        </w:rPr>
        <w:t>of</w:t>
      </w:r>
      <w:r w:rsidRPr="00EA7665">
        <w:rPr>
          <w:rFonts w:ascii="Arial" w:hAnsi="Arial" w:cs="Arial"/>
        </w:rPr>
        <w:t xml:space="preserve"> infrastructure in the Chinese economy, </w:t>
      </w:r>
      <w:r>
        <w:rPr>
          <w:rFonts w:ascii="Arial" w:hAnsi="Arial" w:cs="Arial"/>
        </w:rPr>
        <w:t xml:space="preserve">including metro construction in its cities, </w:t>
      </w:r>
      <w:r w:rsidR="00A70F19">
        <w:rPr>
          <w:rFonts w:ascii="Arial" w:hAnsi="Arial" w:cs="Arial"/>
        </w:rPr>
        <w:t>contributing</w:t>
      </w:r>
      <w:r w:rsidRPr="00EA7665">
        <w:rPr>
          <w:rFonts w:ascii="Arial" w:hAnsi="Arial" w:cs="Arial"/>
        </w:rPr>
        <w:t xml:space="preserve"> to enhancing the real estate sector. However, China has some </w:t>
      </w:r>
      <w:r w:rsidR="00A70F19">
        <w:rPr>
          <w:rFonts w:ascii="Arial" w:hAnsi="Arial" w:cs="Arial"/>
        </w:rPr>
        <w:t>dominant</w:t>
      </w:r>
      <w:r w:rsidRPr="00EA7665">
        <w:rPr>
          <w:rFonts w:ascii="Arial" w:hAnsi="Arial" w:cs="Arial"/>
        </w:rPr>
        <w:t xml:space="preserve"> factors that affect the real estate development sector negatively. China’s Ministry of Housing and Urban-Rural Development (MOHURD) is the national administrator of the real estate and construction sector</w:t>
      </w:r>
      <w:r w:rsidR="00A70F19">
        <w:rPr>
          <w:rFonts w:ascii="Arial" w:hAnsi="Arial" w:cs="Arial"/>
        </w:rPr>
        <w:t>,</w:t>
      </w:r>
      <w:r w:rsidRPr="00EA7665">
        <w:rPr>
          <w:rFonts w:ascii="Arial" w:hAnsi="Arial" w:cs="Arial"/>
        </w:rPr>
        <w:t xml:space="preserve"> and it is also dependent on this sector for income. This vested interest reduces the potentia</w:t>
      </w:r>
      <w:r>
        <w:rPr>
          <w:rFonts w:ascii="Arial" w:hAnsi="Arial" w:cs="Arial"/>
        </w:rPr>
        <w:t>l</w:t>
      </w:r>
      <w:r w:rsidRPr="00EA7665">
        <w:rPr>
          <w:rFonts w:ascii="Arial" w:hAnsi="Arial" w:cs="Arial"/>
        </w:rPr>
        <w:t xml:space="preserve"> to regulate the real estate market to maximise long-term economic and social benefits (Cao, 2015). </w:t>
      </w:r>
    </w:p>
    <w:p w14:paraId="1523D41F" w14:textId="77777777" w:rsidR="00CD6352" w:rsidRPr="00EA7665" w:rsidRDefault="00CD6352" w:rsidP="00CD6352">
      <w:pPr>
        <w:spacing w:line="360" w:lineRule="auto"/>
        <w:jc w:val="both"/>
        <w:rPr>
          <w:rFonts w:ascii="Arial" w:hAnsi="Arial" w:cs="Arial"/>
          <w:b/>
        </w:rPr>
      </w:pPr>
      <w:r w:rsidRPr="00EA7665">
        <w:rPr>
          <w:rFonts w:ascii="Arial" w:hAnsi="Arial" w:cs="Arial"/>
          <w:b/>
        </w:rPr>
        <w:t>Political factors</w:t>
      </w:r>
    </w:p>
    <w:p w14:paraId="1A8D782A" w14:textId="27DE06D7" w:rsidR="00CD6352" w:rsidRPr="00EA7665" w:rsidRDefault="00CD6352" w:rsidP="00CD6352">
      <w:pPr>
        <w:spacing w:line="360" w:lineRule="auto"/>
        <w:jc w:val="both"/>
        <w:rPr>
          <w:rFonts w:ascii="Arial" w:hAnsi="Arial" w:cs="Arial"/>
        </w:rPr>
      </w:pPr>
      <w:r w:rsidRPr="00EA7665">
        <w:rPr>
          <w:rFonts w:ascii="Arial" w:hAnsi="Arial" w:cs="Arial"/>
        </w:rPr>
        <w:t xml:space="preserve">The Chinese government's significant dependence on sales from land revenue has generated </w:t>
      </w:r>
      <w:r w:rsidR="0058135D">
        <w:rPr>
          <w:rFonts w:ascii="Arial" w:hAnsi="Arial" w:cs="Arial"/>
        </w:rPr>
        <w:t>many problems, including</w:t>
      </w:r>
      <w:r w:rsidRPr="00EA7665">
        <w:rPr>
          <w:rFonts w:ascii="Arial" w:hAnsi="Arial" w:cs="Arial"/>
        </w:rPr>
        <w:t xml:space="preserve"> urban sprawl, pollution, and ecological degradation. Furthermore, the drastic ambition for urban expansion has caused an excessive oversupply of housing in some districts of some cities resulting in </w:t>
      </w:r>
      <w:r>
        <w:rPr>
          <w:rFonts w:ascii="Arial" w:hAnsi="Arial" w:cs="Arial"/>
        </w:rPr>
        <w:t xml:space="preserve">such </w:t>
      </w:r>
      <w:r w:rsidRPr="00EA7665">
        <w:rPr>
          <w:rFonts w:ascii="Arial" w:hAnsi="Arial" w:cs="Arial"/>
        </w:rPr>
        <w:t xml:space="preserve">large numbers of empty houses that </w:t>
      </w:r>
      <w:r>
        <w:rPr>
          <w:rFonts w:ascii="Arial" w:hAnsi="Arial" w:cs="Arial"/>
        </w:rPr>
        <w:t>these</w:t>
      </w:r>
      <w:r w:rsidRPr="00EA7665">
        <w:rPr>
          <w:rFonts w:ascii="Arial" w:hAnsi="Arial" w:cs="Arial"/>
        </w:rPr>
        <w:t xml:space="preserve"> districts are called “ghost towns”. Offices, shops, factories, and warehouses, which constitute the commercial real estate sector</w:t>
      </w:r>
      <w:r>
        <w:rPr>
          <w:rFonts w:ascii="Arial" w:hAnsi="Arial" w:cs="Arial"/>
        </w:rPr>
        <w:t>,</w:t>
      </w:r>
      <w:r w:rsidRPr="00EA7665">
        <w:rPr>
          <w:rFonts w:ascii="Arial" w:hAnsi="Arial" w:cs="Arial"/>
        </w:rPr>
        <w:t xml:space="preserve"> also suffer from lack of coordination, poor investment decisions, and oversupply in many cities. There are also irregularities </w:t>
      </w:r>
      <w:r>
        <w:rPr>
          <w:rFonts w:ascii="Arial" w:hAnsi="Arial" w:cs="Arial"/>
        </w:rPr>
        <w:t>in</w:t>
      </w:r>
      <w:r w:rsidRPr="00EA7665">
        <w:rPr>
          <w:rFonts w:ascii="Arial" w:hAnsi="Arial" w:cs="Arial"/>
        </w:rPr>
        <w:t xml:space="preserve"> lending as state-owned banks </w:t>
      </w:r>
      <w:r>
        <w:rPr>
          <w:rFonts w:ascii="Arial" w:hAnsi="Arial" w:cs="Arial"/>
        </w:rPr>
        <w:t>are</w:t>
      </w:r>
      <w:r w:rsidRPr="00EA7665">
        <w:rPr>
          <w:rFonts w:ascii="Arial" w:hAnsi="Arial" w:cs="Arial"/>
        </w:rPr>
        <w:t xml:space="preserve"> subjected to tight controls. Lending from non-bank institutions is abnormally large and carries excessive risk leading to a significant cost for the investors (Liu and Xiong, 2018).</w:t>
      </w:r>
    </w:p>
    <w:p w14:paraId="4047A100" w14:textId="77777777" w:rsidR="00CD6352" w:rsidRPr="00EA7665" w:rsidRDefault="00CD6352" w:rsidP="00CD6352">
      <w:pPr>
        <w:spacing w:line="360" w:lineRule="auto"/>
        <w:jc w:val="both"/>
        <w:rPr>
          <w:rFonts w:ascii="Arial" w:hAnsi="Arial" w:cs="Arial"/>
          <w:b/>
        </w:rPr>
      </w:pPr>
      <w:r w:rsidRPr="00EA7665">
        <w:rPr>
          <w:rFonts w:ascii="Arial" w:hAnsi="Arial" w:cs="Arial"/>
          <w:b/>
        </w:rPr>
        <w:t>Real estate shortages in China</w:t>
      </w:r>
    </w:p>
    <w:p w14:paraId="16F84A41" w14:textId="782FEC3A" w:rsidR="00CD6352" w:rsidRPr="00EA7665" w:rsidRDefault="00CD6352" w:rsidP="00CD6352">
      <w:pPr>
        <w:spacing w:line="360" w:lineRule="auto"/>
        <w:jc w:val="both"/>
        <w:rPr>
          <w:rFonts w:ascii="Arial" w:hAnsi="Arial" w:cs="Arial"/>
        </w:rPr>
      </w:pPr>
      <w:r w:rsidRPr="00EA7665">
        <w:rPr>
          <w:rFonts w:ascii="Arial" w:hAnsi="Arial" w:cs="Arial"/>
        </w:rPr>
        <w:t>Real estate in China is mostly speculation</w:t>
      </w:r>
      <w:r w:rsidR="00B36E23">
        <w:rPr>
          <w:rFonts w:ascii="Arial" w:hAnsi="Arial" w:cs="Arial"/>
        </w:rPr>
        <w:t>-</w:t>
      </w:r>
      <w:r w:rsidRPr="00EA7665">
        <w:rPr>
          <w:rFonts w:ascii="Arial" w:hAnsi="Arial" w:cs="Arial"/>
        </w:rPr>
        <w:t>driven and not necessarily market</w:t>
      </w:r>
      <w:r w:rsidR="00A46B3C">
        <w:rPr>
          <w:rFonts w:ascii="Arial" w:hAnsi="Arial" w:cs="Arial"/>
        </w:rPr>
        <w:t>-</w:t>
      </w:r>
      <w:r w:rsidRPr="00EA7665">
        <w:rPr>
          <w:rFonts w:ascii="Arial" w:hAnsi="Arial" w:cs="Arial"/>
        </w:rPr>
        <w:t xml:space="preserve">driven by consumers. </w:t>
      </w:r>
      <w:r w:rsidR="006773C6">
        <w:rPr>
          <w:rFonts w:ascii="Arial" w:hAnsi="Arial" w:cs="Arial"/>
        </w:rPr>
        <w:t xml:space="preserve">Urban property value increases along with profits for the real estate-owning elite, while accessibility to housing goes down for most populace. Hence owners make their profits, not by renting out their property but by waiting for an increase in market value and then selling. The downside of speculation is that the working class, who make up an overwhelming majority </w:t>
      </w:r>
      <w:r w:rsidR="006773C6">
        <w:rPr>
          <w:rFonts w:ascii="Arial" w:hAnsi="Arial" w:cs="Arial"/>
        </w:rPr>
        <w:lastRenderedPageBreak/>
        <w:t>of the population, are left behind. Consequently, as property values rise, rents go up, and the working class's ability to purchase a home decreases (Maupin, 2017)</w:t>
      </w:r>
      <w:r w:rsidRPr="00EA7665">
        <w:rPr>
          <w:rFonts w:ascii="Arial" w:hAnsi="Arial" w:cs="Arial"/>
        </w:rPr>
        <w:t xml:space="preserve">. </w:t>
      </w:r>
    </w:p>
    <w:p w14:paraId="4E455D81" w14:textId="7983E04E" w:rsidR="00CD6352" w:rsidRPr="00EA7665" w:rsidRDefault="00CD6352" w:rsidP="00CD6352">
      <w:pPr>
        <w:spacing w:line="360" w:lineRule="auto"/>
        <w:jc w:val="both"/>
        <w:rPr>
          <w:rFonts w:ascii="Arial" w:hAnsi="Arial" w:cs="Arial"/>
        </w:rPr>
      </w:pPr>
      <w:r w:rsidRPr="00EA7665">
        <w:rPr>
          <w:rFonts w:ascii="Arial" w:hAnsi="Arial" w:cs="Arial"/>
        </w:rPr>
        <w:t xml:space="preserve">Housing speculation is the cause of housing shortages in some parts of China. However, major cities such as </w:t>
      </w:r>
      <w:r w:rsidR="00215E4A" w:rsidRPr="00EA7665">
        <w:rPr>
          <w:rFonts w:ascii="Arial" w:hAnsi="Arial" w:cs="Arial"/>
        </w:rPr>
        <w:t>Beijing suffer</w:t>
      </w:r>
      <w:r>
        <w:rPr>
          <w:rFonts w:ascii="Arial" w:hAnsi="Arial" w:cs="Arial"/>
        </w:rPr>
        <w:t xml:space="preserve"> from </w:t>
      </w:r>
      <w:r w:rsidRPr="00EA7665">
        <w:rPr>
          <w:rFonts w:ascii="Arial" w:hAnsi="Arial" w:cs="Arial"/>
        </w:rPr>
        <w:t>a severely constricted housing supply. The housing shortag</w:t>
      </w:r>
      <w:r>
        <w:rPr>
          <w:rFonts w:ascii="Arial" w:hAnsi="Arial" w:cs="Arial"/>
        </w:rPr>
        <w:t>e</w:t>
      </w:r>
      <w:r w:rsidRPr="00EA7665">
        <w:rPr>
          <w:rFonts w:ascii="Arial" w:hAnsi="Arial" w:cs="Arial"/>
        </w:rPr>
        <w:t xml:space="preserve"> in Beijing is a result</w:t>
      </w:r>
      <w:r>
        <w:rPr>
          <w:rFonts w:ascii="Arial" w:hAnsi="Arial" w:cs="Arial"/>
        </w:rPr>
        <w:t xml:space="preserve"> of </w:t>
      </w:r>
      <w:r w:rsidRPr="00EA7665">
        <w:rPr>
          <w:rFonts w:ascii="Arial" w:hAnsi="Arial" w:cs="Arial"/>
        </w:rPr>
        <w:t>rapid economic growth (Martin, 2011).</w:t>
      </w:r>
    </w:p>
    <w:p w14:paraId="5620F90D" w14:textId="77777777" w:rsidR="00CD6352" w:rsidRPr="00D95042" w:rsidRDefault="00CD6352" w:rsidP="00CD6352">
      <w:pPr>
        <w:pStyle w:val="Heading4"/>
        <w:spacing w:after="240"/>
        <w:rPr>
          <w:rFonts w:ascii="Arial" w:hAnsi="Arial" w:cs="Arial"/>
          <w:b/>
          <w:i w:val="0"/>
          <w:iCs w:val="0"/>
          <w:color w:val="000000" w:themeColor="text1"/>
          <w:lang w:val="en-US"/>
        </w:rPr>
      </w:pPr>
      <w:r w:rsidRPr="00D95042">
        <w:rPr>
          <w:rFonts w:ascii="Arial" w:hAnsi="Arial" w:cs="Arial"/>
          <w:b/>
          <w:i w:val="0"/>
          <w:iCs w:val="0"/>
          <w:color w:val="000000" w:themeColor="text1"/>
          <w:lang w:val="en-US"/>
        </w:rPr>
        <w:t xml:space="preserve">Sources of Real estate finance in China </w:t>
      </w:r>
    </w:p>
    <w:p w14:paraId="49FF43BC" w14:textId="5013C3F1" w:rsidR="00CD6352" w:rsidRPr="00EA7665" w:rsidRDefault="00CD6352" w:rsidP="00CD6352">
      <w:pPr>
        <w:spacing w:line="360" w:lineRule="auto"/>
        <w:jc w:val="both"/>
        <w:rPr>
          <w:rFonts w:ascii="Arial" w:hAnsi="Arial" w:cs="Arial"/>
        </w:rPr>
      </w:pPr>
      <w:r w:rsidRPr="00EA7665">
        <w:rPr>
          <w:rFonts w:ascii="Arial" w:hAnsi="Arial" w:cs="Arial"/>
        </w:rPr>
        <w:t xml:space="preserve">Banks are the major financiers of the real estate sector in China, </w:t>
      </w:r>
      <w:r w:rsidR="0058135D">
        <w:rPr>
          <w:rFonts w:ascii="Arial" w:hAnsi="Arial" w:cs="Arial"/>
        </w:rPr>
        <w:t>including</w:t>
      </w:r>
      <w:r w:rsidRPr="00EA7665">
        <w:rPr>
          <w:rFonts w:ascii="Arial" w:hAnsi="Arial" w:cs="Arial"/>
        </w:rPr>
        <w:t xml:space="preserve"> mortgage loans and loans to real estate developers (Zhou, 2019). The real estate trust is also an active financier of real estate project development in China (</w:t>
      </w:r>
      <w:r w:rsidRPr="00EA7665">
        <w:rPr>
          <w:rFonts w:ascii="Arial" w:hAnsi="Arial" w:cs="Arial"/>
          <w:lang w:val="en-US"/>
        </w:rPr>
        <w:t xml:space="preserve">Liu, 2004). </w:t>
      </w:r>
      <w:r w:rsidR="004613DE">
        <w:rPr>
          <w:rFonts w:ascii="Arial" w:hAnsi="Arial" w:cs="Arial"/>
          <w:lang w:val="en-US"/>
        </w:rPr>
        <w:t>China's real estate development sector</w:t>
      </w:r>
      <w:r w:rsidRPr="00EA7665">
        <w:rPr>
          <w:rFonts w:ascii="Arial" w:hAnsi="Arial" w:cs="Arial"/>
          <w:lang w:val="en-US"/>
        </w:rPr>
        <w:t xml:space="preserve"> is heavily dependent on bank loans </w:t>
      </w:r>
      <w:r w:rsidR="0058135D">
        <w:rPr>
          <w:rFonts w:ascii="Arial" w:hAnsi="Arial" w:cs="Arial"/>
          <w:lang w:val="en-US"/>
        </w:rPr>
        <w:t>compared to the developed economies with</w:t>
      </w:r>
      <w:r w:rsidRPr="00EA7665">
        <w:rPr>
          <w:rFonts w:ascii="Arial" w:hAnsi="Arial" w:cs="Arial"/>
          <w:lang w:val="en-US"/>
        </w:rPr>
        <w:t xml:space="preserve"> more varied financial intermediaries (Liu, 2004). The five (5) state-owned commercial banks dominate the mortgage market, and they have a high market share as they are also listed on the stock exchange (</w:t>
      </w:r>
      <w:r w:rsidRPr="00EA7665">
        <w:rPr>
          <w:rFonts w:ascii="Arial" w:hAnsi="Arial" w:cs="Arial"/>
        </w:rPr>
        <w:t xml:space="preserve">Zhou, 2019). </w:t>
      </w:r>
    </w:p>
    <w:p w14:paraId="60D65F3B" w14:textId="0DCED759" w:rsidR="00CD6352" w:rsidRPr="00EA7665" w:rsidRDefault="00CD6352" w:rsidP="00CD6352">
      <w:pPr>
        <w:spacing w:line="360" w:lineRule="auto"/>
        <w:jc w:val="both"/>
        <w:rPr>
          <w:rFonts w:ascii="Arial" w:hAnsi="Arial" w:cs="Arial"/>
        </w:rPr>
      </w:pPr>
      <w:r w:rsidRPr="00EA7665">
        <w:rPr>
          <w:rFonts w:ascii="Arial" w:hAnsi="Arial" w:cs="Arial"/>
        </w:rPr>
        <w:t xml:space="preserve">Furthermore, non-banking institutions such as insurance companies’ credit corporations and specialist non-bank institutions such as </w:t>
      </w:r>
      <w:r>
        <w:rPr>
          <w:rFonts w:ascii="Arial" w:hAnsi="Arial" w:cs="Arial"/>
        </w:rPr>
        <w:t xml:space="preserve">the </w:t>
      </w:r>
      <w:r w:rsidR="00BA7E50">
        <w:rPr>
          <w:rFonts w:ascii="Arial" w:hAnsi="Arial" w:cs="Arial"/>
        </w:rPr>
        <w:t>H</w:t>
      </w:r>
      <w:r w:rsidRPr="00EA7665">
        <w:rPr>
          <w:rFonts w:ascii="Arial" w:hAnsi="Arial" w:cs="Arial"/>
        </w:rPr>
        <w:t>ousing credit cooperation and Housing Development Corporation are also involved in financing real estate project developments in China (Zhou, 2019).</w:t>
      </w:r>
      <w:r>
        <w:rPr>
          <w:rFonts w:ascii="Arial" w:hAnsi="Arial" w:cs="Arial"/>
        </w:rPr>
        <w:t xml:space="preserve"> </w:t>
      </w:r>
      <w:r w:rsidRPr="00EA7665">
        <w:rPr>
          <w:rFonts w:ascii="Arial" w:hAnsi="Arial" w:cs="Arial"/>
        </w:rPr>
        <w:t>China makes a lot of sales from the real estate market through the sale of land and housing</w:t>
      </w:r>
      <w:r w:rsidR="0058135D">
        <w:rPr>
          <w:rFonts w:ascii="Arial" w:hAnsi="Arial" w:cs="Arial"/>
        </w:rPr>
        <w:t>. S</w:t>
      </w:r>
      <w:r w:rsidRPr="00EA7665">
        <w:rPr>
          <w:rFonts w:ascii="Arial" w:hAnsi="Arial" w:cs="Arial"/>
        </w:rPr>
        <w:t>ome of the revenue generated is ploughed back into the real estate sector</w:t>
      </w:r>
      <w:r w:rsidR="0058135D">
        <w:rPr>
          <w:rFonts w:ascii="Arial" w:hAnsi="Arial" w:cs="Arial"/>
        </w:rPr>
        <w:t>,</w:t>
      </w:r>
      <w:r w:rsidRPr="00EA7665">
        <w:rPr>
          <w:rFonts w:ascii="Arial" w:hAnsi="Arial" w:cs="Arial"/>
        </w:rPr>
        <w:t xml:space="preserve"> making it a very viable </w:t>
      </w:r>
      <w:r w:rsidR="0058135D">
        <w:rPr>
          <w:rFonts w:ascii="Arial" w:hAnsi="Arial" w:cs="Arial"/>
        </w:rPr>
        <w:t>finance sour</w:t>
      </w:r>
      <w:r w:rsidRPr="00EA7665">
        <w:rPr>
          <w:rFonts w:ascii="Arial" w:hAnsi="Arial" w:cs="Arial"/>
        </w:rPr>
        <w:t>ce for the property sector. The housing sales in China tota</w:t>
      </w:r>
      <w:r w:rsidR="00D95042">
        <w:rPr>
          <w:rFonts w:ascii="Arial" w:hAnsi="Arial" w:cs="Arial"/>
        </w:rPr>
        <w:t>l</w:t>
      </w:r>
      <w:r w:rsidRPr="00EA7665">
        <w:rPr>
          <w:rFonts w:ascii="Arial" w:hAnsi="Arial" w:cs="Arial"/>
        </w:rPr>
        <w:t xml:space="preserve">led 13.37 trillion RMB in 2017, </w:t>
      </w:r>
      <w:r w:rsidR="0058135D">
        <w:rPr>
          <w:rFonts w:ascii="Arial" w:hAnsi="Arial" w:cs="Arial"/>
        </w:rPr>
        <w:t>representing</w:t>
      </w:r>
      <w:r w:rsidRPr="00EA7665">
        <w:rPr>
          <w:rFonts w:ascii="Arial" w:hAnsi="Arial" w:cs="Arial"/>
        </w:rPr>
        <w:t xml:space="preserve"> 16.4% of China’s GDP (Liu and Xiong, 2018).</w:t>
      </w:r>
    </w:p>
    <w:p w14:paraId="1B1055C5" w14:textId="77777777" w:rsidR="00CD6352" w:rsidRPr="00EA7665" w:rsidRDefault="00CD6352" w:rsidP="00CD6352">
      <w:pPr>
        <w:spacing w:after="0" w:line="360" w:lineRule="auto"/>
        <w:jc w:val="both"/>
        <w:rPr>
          <w:rFonts w:ascii="Arial" w:hAnsi="Arial" w:cs="Arial"/>
        </w:rPr>
      </w:pPr>
      <w:r w:rsidRPr="00EA7665">
        <w:rPr>
          <w:rFonts w:ascii="Arial" w:hAnsi="Arial" w:cs="Arial"/>
        </w:rPr>
        <w:t xml:space="preserve"> </w:t>
      </w:r>
    </w:p>
    <w:p w14:paraId="5CB7194B" w14:textId="2150C58D" w:rsidR="00CD6352" w:rsidRPr="00EA7665" w:rsidRDefault="00D45B9C" w:rsidP="00CD6352">
      <w:pPr>
        <w:pStyle w:val="Heading3"/>
        <w:spacing w:after="240"/>
        <w:rPr>
          <w:sz w:val="22"/>
          <w:szCs w:val="22"/>
        </w:rPr>
      </w:pPr>
      <w:bookmarkStart w:id="498" w:name="_Toc78983783"/>
      <w:r w:rsidRPr="00D45B9C">
        <w:rPr>
          <w:sz w:val="22"/>
          <w:szCs w:val="22"/>
        </w:rPr>
        <w:t xml:space="preserve">A review of literature focused on the </w:t>
      </w:r>
      <w:r w:rsidR="00CD6352" w:rsidRPr="00EA7665">
        <w:rPr>
          <w:sz w:val="22"/>
          <w:szCs w:val="22"/>
        </w:rPr>
        <w:t xml:space="preserve">Nigerian real estate </w:t>
      </w:r>
      <w:r w:rsidR="00675BBE" w:rsidRPr="00EA7665">
        <w:rPr>
          <w:sz w:val="22"/>
          <w:szCs w:val="22"/>
        </w:rPr>
        <w:t>market.</w:t>
      </w:r>
      <w:bookmarkEnd w:id="498"/>
    </w:p>
    <w:p w14:paraId="0839C0E8" w14:textId="61BBB943" w:rsidR="00CD6352" w:rsidRPr="001C240B" w:rsidRDefault="00CD6352" w:rsidP="00526C4E">
      <w:pPr>
        <w:spacing w:after="0" w:line="360" w:lineRule="auto"/>
        <w:jc w:val="both"/>
        <w:rPr>
          <w:rFonts w:ascii="Arial" w:hAnsi="Arial" w:cs="Arial"/>
          <w:iCs/>
          <w:sz w:val="16"/>
          <w:szCs w:val="16"/>
        </w:rPr>
      </w:pPr>
      <w:r w:rsidRPr="00EA7665">
        <w:rPr>
          <w:rFonts w:ascii="Arial" w:hAnsi="Arial" w:cs="Arial"/>
        </w:rPr>
        <w:t>Nigeria is a fast-growing emerging economy. It has the highest population growth rate and the largest economy in Afric</w:t>
      </w:r>
      <w:r>
        <w:rPr>
          <w:rFonts w:ascii="Arial" w:hAnsi="Arial" w:cs="Arial"/>
        </w:rPr>
        <w:t>a</w:t>
      </w:r>
      <w:r w:rsidRPr="00EA7665">
        <w:rPr>
          <w:rFonts w:ascii="Arial" w:hAnsi="Arial" w:cs="Arial"/>
        </w:rPr>
        <w:t>, and it is the 13</w:t>
      </w:r>
      <w:r w:rsidRPr="00EA7665">
        <w:rPr>
          <w:rFonts w:ascii="Arial" w:hAnsi="Arial" w:cs="Arial"/>
          <w:vertAlign w:val="superscript"/>
        </w:rPr>
        <w:t>th</w:t>
      </w:r>
      <w:r w:rsidRPr="00EA7665">
        <w:rPr>
          <w:rFonts w:ascii="Arial" w:hAnsi="Arial" w:cs="Arial"/>
        </w:rPr>
        <w:t xml:space="preserve"> largest oil-producing nation in the world (Ukpevbo, 2016). </w:t>
      </w:r>
      <w:r w:rsidR="00BB3C80">
        <w:rPr>
          <w:rFonts w:ascii="Arial" w:hAnsi="Arial" w:cs="Arial"/>
        </w:rPr>
        <w:t>Nigeria is highly dependent on oil revenue, which makes up to 90% of its total revenue. The real estate sector has a very high potential for profitability, especially in commercial and residential properties in high-demand areas such as Lagos, Abuja, and Port Harcourt (Ubosi, 2017)</w:t>
      </w:r>
      <w:r w:rsidRPr="00EA7665">
        <w:rPr>
          <w:rFonts w:ascii="Arial" w:hAnsi="Arial" w:cs="Arial"/>
        </w:rPr>
        <w:t xml:space="preserve">. </w:t>
      </w:r>
    </w:p>
    <w:p w14:paraId="5CC59AB2" w14:textId="20A5C62F" w:rsidR="00CD6352" w:rsidRPr="00EA7665" w:rsidRDefault="00CD6352" w:rsidP="00CD6352">
      <w:pPr>
        <w:spacing w:line="360" w:lineRule="auto"/>
        <w:jc w:val="both"/>
        <w:rPr>
          <w:rFonts w:ascii="Arial" w:hAnsi="Arial" w:cs="Arial"/>
        </w:rPr>
      </w:pPr>
      <w:r w:rsidRPr="00EA7665">
        <w:rPr>
          <w:rFonts w:ascii="Arial" w:hAnsi="Arial" w:cs="Arial"/>
        </w:rPr>
        <w:t xml:space="preserve">The property market in Nigeria is classified into primary and secondary markets. The primary markets have high rental/capital value, and they include the major commercial hubs, which are Abuja, Lagos, and Port Harcourt. The primary market has about 61% of the real estate practitioners and 60% of real estate transactions in Nigeria while, the secondary market </w:t>
      </w:r>
      <w:r w:rsidRPr="00EA7665">
        <w:rPr>
          <w:rFonts w:ascii="Arial" w:hAnsi="Arial" w:cs="Arial"/>
        </w:rPr>
        <w:lastRenderedPageBreak/>
        <w:t>includes the low rental and capital value markets of Ibadan, Ondo, Enugu, Kano</w:t>
      </w:r>
      <w:r w:rsidR="00526C4E">
        <w:rPr>
          <w:rFonts w:ascii="Arial" w:hAnsi="Arial" w:cs="Arial"/>
        </w:rPr>
        <w:t>,</w:t>
      </w:r>
      <w:r w:rsidRPr="00EA7665">
        <w:rPr>
          <w:rFonts w:ascii="Arial" w:hAnsi="Arial" w:cs="Arial"/>
        </w:rPr>
        <w:t xml:space="preserve"> and </w:t>
      </w:r>
      <w:r w:rsidR="00CC544B" w:rsidRPr="00EA7665">
        <w:rPr>
          <w:rFonts w:ascii="Arial" w:hAnsi="Arial" w:cs="Arial"/>
        </w:rPr>
        <w:t>Minna (</w:t>
      </w:r>
      <w:r w:rsidRPr="00EA7665">
        <w:rPr>
          <w:rFonts w:ascii="Arial" w:hAnsi="Arial" w:cs="Arial"/>
        </w:rPr>
        <w:t>Olaleye, 2008).</w:t>
      </w:r>
    </w:p>
    <w:p w14:paraId="23CC737C" w14:textId="0E7C6806" w:rsidR="00CD6352" w:rsidRPr="00EA7665" w:rsidRDefault="00CD6352" w:rsidP="00CD6352">
      <w:pPr>
        <w:spacing w:line="360" w:lineRule="auto"/>
        <w:jc w:val="both"/>
        <w:rPr>
          <w:rFonts w:ascii="Arial" w:hAnsi="Arial" w:cs="Arial"/>
        </w:rPr>
      </w:pPr>
      <w:r w:rsidRPr="00EA7665">
        <w:rPr>
          <w:rFonts w:ascii="Arial" w:hAnsi="Arial" w:cs="Arial"/>
        </w:rPr>
        <w:t xml:space="preserve">The Real estate sector in Nigeria is the least developed of all the countries </w:t>
      </w:r>
      <w:r>
        <w:rPr>
          <w:rFonts w:ascii="Arial" w:hAnsi="Arial" w:cs="Arial"/>
        </w:rPr>
        <w:t xml:space="preserve">featured </w:t>
      </w:r>
      <w:r w:rsidRPr="00EA7665">
        <w:rPr>
          <w:rFonts w:ascii="Arial" w:hAnsi="Arial" w:cs="Arial"/>
        </w:rPr>
        <w:t xml:space="preserve">in this study. The Government contributes through the Federal Housing Authority and the Federal Mortgage Banks but getting loans from these organisations is difficult for an average manager (Ogbenjuwa et al., 2018).  There is a significant shortfall in </w:t>
      </w:r>
      <w:r>
        <w:rPr>
          <w:rFonts w:ascii="Arial" w:hAnsi="Arial" w:cs="Arial"/>
        </w:rPr>
        <w:t xml:space="preserve">the </w:t>
      </w:r>
      <w:r w:rsidRPr="00EA7665">
        <w:rPr>
          <w:rFonts w:ascii="Arial" w:hAnsi="Arial" w:cs="Arial"/>
        </w:rPr>
        <w:t>housing supply for the fast-growing Nigerian population. The demand for housing, especially in urban regions</w:t>
      </w:r>
      <w:r w:rsidR="0058135D">
        <w:rPr>
          <w:rFonts w:ascii="Arial" w:hAnsi="Arial" w:cs="Arial"/>
        </w:rPr>
        <w:t>, is continually increasing</w:t>
      </w:r>
      <w:r w:rsidRPr="00EA7665">
        <w:rPr>
          <w:rFonts w:ascii="Arial" w:hAnsi="Arial" w:cs="Arial"/>
        </w:rPr>
        <w:t xml:space="preserve"> because of the massive influx of people to urban settlements (Awofeso, 2010). </w:t>
      </w:r>
      <w:bookmarkStart w:id="499" w:name="_Hlk63545010"/>
      <w:r w:rsidRPr="00EA7665">
        <w:rPr>
          <w:rFonts w:ascii="Arial" w:hAnsi="Arial" w:cs="Arial"/>
        </w:rPr>
        <w:t>Available statistics from the World Bank and the National Bureau of Statistics indicat</w:t>
      </w:r>
      <w:r>
        <w:rPr>
          <w:rFonts w:ascii="Arial" w:hAnsi="Arial" w:cs="Arial"/>
        </w:rPr>
        <w:t xml:space="preserve">e </w:t>
      </w:r>
      <w:r w:rsidRPr="00EA7665">
        <w:rPr>
          <w:rFonts w:ascii="Arial" w:hAnsi="Arial" w:cs="Arial"/>
        </w:rPr>
        <w:t xml:space="preserve">an </w:t>
      </w:r>
      <w:r w:rsidR="00E71354" w:rsidRPr="00EA7665">
        <w:rPr>
          <w:rFonts w:ascii="Arial" w:hAnsi="Arial" w:cs="Arial"/>
        </w:rPr>
        <w:t>estimated housing</w:t>
      </w:r>
      <w:r w:rsidRPr="00EA7665">
        <w:rPr>
          <w:rFonts w:ascii="Arial" w:hAnsi="Arial" w:cs="Arial"/>
        </w:rPr>
        <w:t xml:space="preserve"> deficit </w:t>
      </w:r>
      <w:r>
        <w:rPr>
          <w:rFonts w:ascii="Arial" w:hAnsi="Arial" w:cs="Arial"/>
        </w:rPr>
        <w:t xml:space="preserve">of 17 million </w:t>
      </w:r>
      <w:r w:rsidRPr="00EA7665">
        <w:rPr>
          <w:rFonts w:ascii="Arial" w:hAnsi="Arial" w:cs="Arial"/>
        </w:rPr>
        <w:t>in Nigeria</w:t>
      </w:r>
      <w:r w:rsidR="0058135D">
        <w:rPr>
          <w:rFonts w:ascii="Arial" w:hAnsi="Arial" w:cs="Arial"/>
        </w:rPr>
        <w:t>,</w:t>
      </w:r>
      <w:r w:rsidRPr="00EA7665">
        <w:rPr>
          <w:rFonts w:ascii="Arial" w:hAnsi="Arial" w:cs="Arial"/>
        </w:rPr>
        <w:t xml:space="preserve"> with about 100 million Nigerians considered to be living in substandard housing (Simire, 2017). </w:t>
      </w:r>
      <w:bookmarkEnd w:id="499"/>
      <w:r w:rsidRPr="00EA7665">
        <w:rPr>
          <w:rFonts w:ascii="Arial" w:hAnsi="Arial" w:cs="Arial"/>
        </w:rPr>
        <w:t xml:space="preserve">The former Nigerian Minister of </w:t>
      </w:r>
      <w:r>
        <w:rPr>
          <w:rFonts w:ascii="Arial" w:hAnsi="Arial" w:cs="Arial"/>
        </w:rPr>
        <w:t>F</w:t>
      </w:r>
      <w:r w:rsidRPr="00EA7665">
        <w:rPr>
          <w:rFonts w:ascii="Arial" w:hAnsi="Arial" w:cs="Arial"/>
        </w:rPr>
        <w:t>inance</w:t>
      </w:r>
      <w:r>
        <w:rPr>
          <w:rFonts w:ascii="Arial" w:hAnsi="Arial" w:cs="Arial"/>
        </w:rPr>
        <w:t>,</w:t>
      </w:r>
      <w:r w:rsidRPr="00EA7665">
        <w:rPr>
          <w:rFonts w:ascii="Arial" w:hAnsi="Arial" w:cs="Arial"/>
        </w:rPr>
        <w:t xml:space="preserve"> and Managing </w:t>
      </w:r>
      <w:r>
        <w:rPr>
          <w:rFonts w:ascii="Arial" w:hAnsi="Arial" w:cs="Arial"/>
        </w:rPr>
        <w:t>D</w:t>
      </w:r>
      <w:r w:rsidRPr="00EA7665">
        <w:rPr>
          <w:rFonts w:ascii="Arial" w:hAnsi="Arial" w:cs="Arial"/>
        </w:rPr>
        <w:t>irector of the World Bank, Ngozi Okonjo-Iweala, at the sixth Global Housing conference in Washington (2014)</w:t>
      </w:r>
      <w:r w:rsidR="0058135D">
        <w:rPr>
          <w:rFonts w:ascii="Arial" w:hAnsi="Arial" w:cs="Arial"/>
        </w:rPr>
        <w:t>,</w:t>
      </w:r>
      <w:r w:rsidRPr="00EA7665">
        <w:rPr>
          <w:rFonts w:ascii="Arial" w:hAnsi="Arial" w:cs="Arial"/>
        </w:rPr>
        <w:t xml:space="preserve"> emphatically stated that several mortgage-financing initiatives by successive governments in the country </w:t>
      </w:r>
      <w:r>
        <w:rPr>
          <w:rFonts w:ascii="Arial" w:hAnsi="Arial" w:cs="Arial"/>
        </w:rPr>
        <w:t xml:space="preserve">had </w:t>
      </w:r>
      <w:r w:rsidRPr="00EA7665">
        <w:rPr>
          <w:rFonts w:ascii="Arial" w:hAnsi="Arial" w:cs="Arial"/>
        </w:rPr>
        <w:t xml:space="preserve">failed. </w:t>
      </w:r>
    </w:p>
    <w:p w14:paraId="75772732" w14:textId="454AAFCE" w:rsidR="00CD6352" w:rsidRPr="00EA7665" w:rsidRDefault="00CD6352" w:rsidP="00CD6352">
      <w:pPr>
        <w:spacing w:line="360" w:lineRule="auto"/>
        <w:jc w:val="both"/>
        <w:rPr>
          <w:rFonts w:ascii="Arial" w:hAnsi="Arial" w:cs="Arial"/>
        </w:rPr>
      </w:pPr>
      <w:r>
        <w:rPr>
          <w:rFonts w:ascii="Arial" w:hAnsi="Arial" w:cs="Arial"/>
        </w:rPr>
        <w:t>R</w:t>
      </w:r>
      <w:r w:rsidRPr="00EA7665">
        <w:rPr>
          <w:rFonts w:ascii="Arial" w:hAnsi="Arial" w:cs="Arial"/>
        </w:rPr>
        <w:t>esidential loa</w:t>
      </w:r>
      <w:r>
        <w:rPr>
          <w:rFonts w:ascii="Arial" w:hAnsi="Arial" w:cs="Arial"/>
        </w:rPr>
        <w:t>ns,</w:t>
      </w:r>
      <w:r w:rsidRPr="00EA7665">
        <w:rPr>
          <w:rFonts w:ascii="Arial" w:hAnsi="Arial" w:cs="Arial"/>
        </w:rPr>
        <w:t xml:space="preserve"> of which mortgage debt forms the bulk</w:t>
      </w:r>
      <w:r>
        <w:rPr>
          <w:rFonts w:ascii="Arial" w:hAnsi="Arial" w:cs="Arial"/>
        </w:rPr>
        <w:t>,</w:t>
      </w:r>
      <w:r w:rsidRPr="00EA7665">
        <w:rPr>
          <w:rFonts w:ascii="Arial" w:hAnsi="Arial" w:cs="Arial"/>
        </w:rPr>
        <w:t xml:space="preserve"> </w:t>
      </w:r>
      <w:r w:rsidR="0058135D">
        <w:rPr>
          <w:rFonts w:ascii="Arial" w:hAnsi="Arial" w:cs="Arial"/>
        </w:rPr>
        <w:t>contribute</w:t>
      </w:r>
      <w:r>
        <w:rPr>
          <w:rFonts w:ascii="Arial" w:hAnsi="Arial" w:cs="Arial"/>
        </w:rPr>
        <w:t xml:space="preserve"> </w:t>
      </w:r>
      <w:r w:rsidRPr="00EA7665">
        <w:rPr>
          <w:rFonts w:ascii="Arial" w:hAnsi="Arial" w:cs="Arial"/>
        </w:rPr>
        <w:t xml:space="preserve">to </w:t>
      </w:r>
      <w:r w:rsidR="00E71354" w:rsidRPr="00EA7665">
        <w:rPr>
          <w:rFonts w:ascii="Arial" w:hAnsi="Arial" w:cs="Arial"/>
        </w:rPr>
        <w:t>about 70</w:t>
      </w:r>
      <w:r w:rsidRPr="00EA7665">
        <w:rPr>
          <w:rFonts w:ascii="Arial" w:hAnsi="Arial" w:cs="Arial"/>
        </w:rPr>
        <w:t xml:space="preserve">% </w:t>
      </w:r>
      <w:r>
        <w:rPr>
          <w:rFonts w:ascii="Arial" w:hAnsi="Arial" w:cs="Arial"/>
        </w:rPr>
        <w:t xml:space="preserve">of the </w:t>
      </w:r>
      <w:r w:rsidRPr="00EA7665">
        <w:rPr>
          <w:rFonts w:ascii="Arial" w:hAnsi="Arial" w:cs="Arial"/>
        </w:rPr>
        <w:t>GDP ratio in the developed economies</w:t>
      </w:r>
      <w:r>
        <w:rPr>
          <w:rFonts w:ascii="Arial" w:hAnsi="Arial" w:cs="Arial"/>
        </w:rPr>
        <w:t>, only</w:t>
      </w:r>
      <w:r w:rsidRPr="00EA7665">
        <w:rPr>
          <w:rFonts w:ascii="Arial" w:hAnsi="Arial" w:cs="Arial"/>
        </w:rPr>
        <w:t xml:space="preserve"> contribut</w:t>
      </w:r>
      <w:r>
        <w:rPr>
          <w:rFonts w:ascii="Arial" w:hAnsi="Arial" w:cs="Arial"/>
        </w:rPr>
        <w:t>e</w:t>
      </w:r>
      <w:r w:rsidRPr="00EA7665">
        <w:rPr>
          <w:rFonts w:ascii="Arial" w:hAnsi="Arial" w:cs="Arial"/>
        </w:rPr>
        <w:t xml:space="preserve"> about 1% in Nigeria (Nubi, 2010; CESIFO, 2014). Pour Rahimian, et al. (2017) </w:t>
      </w:r>
      <w:r>
        <w:rPr>
          <w:rFonts w:ascii="Arial" w:hAnsi="Arial" w:cs="Arial"/>
        </w:rPr>
        <w:t>list</w:t>
      </w:r>
      <w:r w:rsidRPr="00EA7665">
        <w:rPr>
          <w:rFonts w:ascii="Arial" w:hAnsi="Arial" w:cs="Arial"/>
        </w:rPr>
        <w:t xml:space="preserve"> the proble</w:t>
      </w:r>
      <w:r>
        <w:rPr>
          <w:rFonts w:ascii="Arial" w:hAnsi="Arial" w:cs="Arial"/>
        </w:rPr>
        <w:t xml:space="preserve">ms </w:t>
      </w:r>
      <w:r w:rsidRPr="00EA7665">
        <w:rPr>
          <w:rFonts w:ascii="Arial" w:hAnsi="Arial" w:cs="Arial"/>
        </w:rPr>
        <w:t>of housing delivery in Nigeria as</w:t>
      </w:r>
      <w:r>
        <w:rPr>
          <w:rFonts w:ascii="Arial" w:hAnsi="Arial" w:cs="Arial"/>
        </w:rPr>
        <w:t xml:space="preserve"> </w:t>
      </w:r>
      <w:r w:rsidRPr="00EA7665">
        <w:rPr>
          <w:rFonts w:ascii="Arial" w:hAnsi="Arial" w:cs="Arial"/>
        </w:rPr>
        <w:t>financial</w:t>
      </w:r>
      <w:r>
        <w:rPr>
          <w:rFonts w:ascii="Arial" w:hAnsi="Arial" w:cs="Arial"/>
        </w:rPr>
        <w:t xml:space="preserve"> issues,</w:t>
      </w:r>
      <w:r w:rsidRPr="00EA7665">
        <w:rPr>
          <w:rFonts w:ascii="Arial" w:hAnsi="Arial" w:cs="Arial"/>
        </w:rPr>
        <w:t xml:space="preserve"> construction sector </w:t>
      </w:r>
      <w:r w:rsidR="00E71354" w:rsidRPr="00EA7665">
        <w:rPr>
          <w:rFonts w:ascii="Arial" w:hAnsi="Arial" w:cs="Arial"/>
        </w:rPr>
        <w:t>related</w:t>
      </w:r>
      <w:r w:rsidR="00E71354">
        <w:rPr>
          <w:rFonts w:ascii="Arial" w:hAnsi="Arial" w:cs="Arial"/>
        </w:rPr>
        <w:t>,</w:t>
      </w:r>
      <w:r w:rsidR="00E71354" w:rsidRPr="00EA7665">
        <w:rPr>
          <w:rFonts w:ascii="Arial" w:hAnsi="Arial" w:cs="Arial"/>
        </w:rPr>
        <w:t xml:space="preserve"> poor</w:t>
      </w:r>
      <w:r w:rsidRPr="00EA7665">
        <w:rPr>
          <w:rFonts w:ascii="Arial" w:hAnsi="Arial" w:cs="Arial"/>
        </w:rPr>
        <w:t xml:space="preserve"> professional ethics</w:t>
      </w:r>
      <w:r w:rsidR="00626EB9">
        <w:rPr>
          <w:rFonts w:ascii="Arial" w:hAnsi="Arial" w:cs="Arial"/>
        </w:rPr>
        <w:t>,</w:t>
      </w:r>
      <w:r w:rsidRPr="00EA7665">
        <w:rPr>
          <w:rFonts w:ascii="Arial" w:hAnsi="Arial" w:cs="Arial"/>
        </w:rPr>
        <w:t xml:space="preserve"> and </w:t>
      </w:r>
      <w:r w:rsidR="00B3266C" w:rsidRPr="00EA7665">
        <w:rPr>
          <w:rFonts w:ascii="Arial" w:hAnsi="Arial" w:cs="Arial"/>
        </w:rPr>
        <w:t>government</w:t>
      </w:r>
      <w:r w:rsidR="00626EB9">
        <w:rPr>
          <w:rFonts w:ascii="Arial" w:hAnsi="Arial" w:cs="Arial"/>
        </w:rPr>
        <w:t>-</w:t>
      </w:r>
      <w:r w:rsidR="00B3266C" w:rsidRPr="00EA7665">
        <w:rPr>
          <w:rFonts w:ascii="Arial" w:hAnsi="Arial" w:cs="Arial"/>
        </w:rPr>
        <w:t>related</w:t>
      </w:r>
      <w:r>
        <w:rPr>
          <w:rFonts w:ascii="Arial" w:hAnsi="Arial" w:cs="Arial"/>
        </w:rPr>
        <w:t>.</w:t>
      </w:r>
      <w:r w:rsidRPr="00EA7665">
        <w:rPr>
          <w:rFonts w:ascii="Arial" w:hAnsi="Arial" w:cs="Arial"/>
        </w:rPr>
        <w:t xml:space="preserve"> The financial issue encompasses the high cost of construction, high overheads due to poor infrastructure</w:t>
      </w:r>
      <w:r w:rsidR="00626EB9">
        <w:rPr>
          <w:rFonts w:ascii="Arial" w:hAnsi="Arial" w:cs="Arial"/>
        </w:rPr>
        <w:t>,</w:t>
      </w:r>
      <w:r w:rsidRPr="00EA7665">
        <w:rPr>
          <w:rFonts w:ascii="Arial" w:hAnsi="Arial" w:cs="Arial"/>
        </w:rPr>
        <w:t xml:space="preserve"> and the cost of getting the title document. The construction-related cases entail the usage of unqualified professionals, lack of maintenance culture</w:t>
      </w:r>
      <w:r w:rsidR="00626EB9">
        <w:rPr>
          <w:rFonts w:ascii="Arial" w:hAnsi="Arial" w:cs="Arial"/>
        </w:rPr>
        <w:t>,</w:t>
      </w:r>
      <w:r w:rsidRPr="00EA7665">
        <w:rPr>
          <w:rFonts w:ascii="Arial" w:hAnsi="Arial" w:cs="Arial"/>
        </w:rPr>
        <w:t xml:space="preserve"> and low-quality materials. The government-related issues are concerned with the government’s roles in supporting or hindering housing delivery</w:t>
      </w:r>
      <w:r w:rsidR="002C43DC">
        <w:rPr>
          <w:rFonts w:ascii="Arial" w:hAnsi="Arial" w:cs="Arial"/>
        </w:rPr>
        <w:t>, including</w:t>
      </w:r>
      <w:r w:rsidRPr="00EA7665">
        <w:rPr>
          <w:rFonts w:ascii="Arial" w:hAnsi="Arial" w:cs="Arial"/>
        </w:rPr>
        <w:t xml:space="preserve"> poor government policies and lack of control o</w:t>
      </w:r>
      <w:r w:rsidR="00DE5B13">
        <w:rPr>
          <w:rFonts w:ascii="Arial" w:hAnsi="Arial" w:cs="Arial"/>
        </w:rPr>
        <w:t>ver</w:t>
      </w:r>
      <w:r w:rsidRPr="00EA7665">
        <w:rPr>
          <w:rFonts w:ascii="Arial" w:hAnsi="Arial" w:cs="Arial"/>
        </w:rPr>
        <w:t xml:space="preserve"> corrupt practices.  </w:t>
      </w:r>
    </w:p>
    <w:p w14:paraId="7727B07B" w14:textId="4C92ADAC" w:rsidR="00CD6352" w:rsidRPr="00DE5B13" w:rsidRDefault="003041FF" w:rsidP="00CD6352">
      <w:pPr>
        <w:pStyle w:val="Heading4"/>
        <w:spacing w:after="240"/>
        <w:rPr>
          <w:rFonts w:ascii="Arial" w:hAnsi="Arial" w:cs="Arial"/>
          <w:b/>
          <w:i w:val="0"/>
          <w:iCs w:val="0"/>
          <w:color w:val="auto"/>
        </w:rPr>
      </w:pPr>
      <w:r>
        <w:rPr>
          <w:rFonts w:ascii="Arial" w:hAnsi="Arial" w:cs="Arial"/>
          <w:b/>
          <w:i w:val="0"/>
          <w:iCs w:val="0"/>
          <w:color w:val="auto"/>
        </w:rPr>
        <w:t>The f</w:t>
      </w:r>
      <w:r w:rsidR="00CD6352" w:rsidRPr="00DE5B13">
        <w:rPr>
          <w:rFonts w:ascii="Arial" w:hAnsi="Arial" w:cs="Arial"/>
          <w:b/>
          <w:i w:val="0"/>
          <w:iCs w:val="0"/>
          <w:color w:val="auto"/>
        </w:rPr>
        <w:t xml:space="preserve">actors affecting the </w:t>
      </w:r>
      <w:r w:rsidR="003A770C">
        <w:rPr>
          <w:rFonts w:ascii="Arial" w:hAnsi="Arial" w:cs="Arial"/>
          <w:b/>
          <w:i w:val="0"/>
          <w:iCs w:val="0"/>
          <w:color w:val="auto"/>
        </w:rPr>
        <w:t>r</w:t>
      </w:r>
      <w:r w:rsidR="00CD6352" w:rsidRPr="00DE5B13">
        <w:rPr>
          <w:rFonts w:ascii="Arial" w:hAnsi="Arial" w:cs="Arial"/>
          <w:b/>
          <w:i w:val="0"/>
          <w:iCs w:val="0"/>
          <w:color w:val="auto"/>
        </w:rPr>
        <w:t>eal estate</w:t>
      </w:r>
      <w:r>
        <w:rPr>
          <w:rFonts w:ascii="Arial" w:hAnsi="Arial" w:cs="Arial"/>
          <w:b/>
          <w:i w:val="0"/>
          <w:iCs w:val="0"/>
          <w:color w:val="auto"/>
        </w:rPr>
        <w:t>’s</w:t>
      </w:r>
      <w:r w:rsidR="00CD6352" w:rsidRPr="00DE5B13">
        <w:rPr>
          <w:rFonts w:ascii="Arial" w:hAnsi="Arial" w:cs="Arial"/>
          <w:b/>
          <w:i w:val="0"/>
          <w:iCs w:val="0"/>
          <w:color w:val="auto"/>
        </w:rPr>
        <w:t xml:space="preserve"> </w:t>
      </w:r>
      <w:r>
        <w:rPr>
          <w:rFonts w:ascii="Arial" w:hAnsi="Arial" w:cs="Arial"/>
          <w:b/>
          <w:i w:val="0"/>
          <w:iCs w:val="0"/>
          <w:color w:val="auto"/>
        </w:rPr>
        <w:t>sector</w:t>
      </w:r>
      <w:r w:rsidR="00CD6352" w:rsidRPr="00DE5B13">
        <w:rPr>
          <w:rFonts w:ascii="Arial" w:hAnsi="Arial" w:cs="Arial"/>
          <w:b/>
          <w:i w:val="0"/>
          <w:iCs w:val="0"/>
          <w:color w:val="auto"/>
        </w:rPr>
        <w:t xml:space="preserve"> in </w:t>
      </w:r>
      <w:r w:rsidR="00675BBE" w:rsidRPr="00DE5B13">
        <w:rPr>
          <w:rFonts w:ascii="Arial" w:hAnsi="Arial" w:cs="Arial"/>
          <w:b/>
          <w:i w:val="0"/>
          <w:iCs w:val="0"/>
          <w:color w:val="auto"/>
        </w:rPr>
        <w:t>Nigeria.</w:t>
      </w:r>
      <w:r w:rsidR="00CD6352" w:rsidRPr="00DE5B13">
        <w:rPr>
          <w:rFonts w:ascii="Arial" w:hAnsi="Arial" w:cs="Arial"/>
          <w:b/>
          <w:i w:val="0"/>
          <w:iCs w:val="0"/>
          <w:color w:val="auto"/>
        </w:rPr>
        <w:t xml:space="preserve"> </w:t>
      </w:r>
    </w:p>
    <w:p w14:paraId="48AA60AF" w14:textId="13CA368A" w:rsidR="00CD6352" w:rsidRPr="00EA7665" w:rsidRDefault="00CD6352" w:rsidP="00CD6352">
      <w:pPr>
        <w:spacing w:line="360" w:lineRule="auto"/>
        <w:jc w:val="both"/>
        <w:rPr>
          <w:rFonts w:ascii="Arial" w:hAnsi="Arial" w:cs="Arial"/>
        </w:rPr>
      </w:pPr>
      <w:r w:rsidRPr="00EA7665">
        <w:rPr>
          <w:rFonts w:ascii="Arial" w:hAnsi="Arial" w:cs="Arial"/>
        </w:rPr>
        <w:t>This research looks at the factors affecting the Nigerian real estate development sector from various aspects</w:t>
      </w:r>
      <w:r w:rsidR="002C43DC">
        <w:rPr>
          <w:rFonts w:ascii="Arial" w:hAnsi="Arial" w:cs="Arial"/>
        </w:rPr>
        <w:t>:</w:t>
      </w:r>
      <w:r w:rsidRPr="00EA7665">
        <w:rPr>
          <w:rFonts w:ascii="Arial" w:hAnsi="Arial" w:cs="Arial"/>
        </w:rPr>
        <w:t xml:space="preserve"> </w:t>
      </w:r>
      <w:r>
        <w:rPr>
          <w:rFonts w:ascii="Arial" w:hAnsi="Arial" w:cs="Arial"/>
        </w:rPr>
        <w:t>e</w:t>
      </w:r>
      <w:r w:rsidRPr="00EA7665">
        <w:rPr>
          <w:rFonts w:ascii="Arial" w:hAnsi="Arial" w:cs="Arial"/>
        </w:rPr>
        <w:t>conomic factors, legal framework, policy environment, and private sector developers.</w:t>
      </w:r>
    </w:p>
    <w:p w14:paraId="4B4BF91C"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Economic factors</w:t>
      </w:r>
    </w:p>
    <w:p w14:paraId="3CA0715A" w14:textId="42CD9E4B" w:rsidR="00CD6352" w:rsidRPr="00EA7665" w:rsidRDefault="00CD6352" w:rsidP="00CD6352">
      <w:pPr>
        <w:spacing w:line="360" w:lineRule="auto"/>
        <w:jc w:val="both"/>
        <w:rPr>
          <w:rFonts w:ascii="Arial" w:hAnsi="Arial" w:cs="Arial"/>
        </w:rPr>
      </w:pPr>
      <w:r w:rsidRPr="00EA7665">
        <w:rPr>
          <w:rFonts w:ascii="Arial" w:hAnsi="Arial" w:cs="Arial"/>
        </w:rPr>
        <w:t>Macro-economic stability provides the foundation for developing a national financial system that provides long</w:t>
      </w:r>
      <w:r w:rsidR="00DE5B13">
        <w:rPr>
          <w:rFonts w:ascii="Arial" w:hAnsi="Arial" w:cs="Arial"/>
        </w:rPr>
        <w:t>-</w:t>
      </w:r>
      <w:r w:rsidRPr="00EA7665">
        <w:rPr>
          <w:rFonts w:ascii="Arial" w:hAnsi="Arial" w:cs="Arial"/>
        </w:rPr>
        <w:t xml:space="preserve">term </w:t>
      </w:r>
      <w:r w:rsidR="005305DC">
        <w:rPr>
          <w:rFonts w:ascii="Arial" w:hAnsi="Arial" w:cs="Arial"/>
        </w:rPr>
        <w:t>real estate financing</w:t>
      </w:r>
      <w:r>
        <w:rPr>
          <w:rFonts w:ascii="Arial" w:hAnsi="Arial" w:cs="Arial"/>
        </w:rPr>
        <w:t xml:space="preserve"> </w:t>
      </w:r>
      <w:r w:rsidR="00951E26" w:rsidRPr="00EA7665">
        <w:rPr>
          <w:rFonts w:ascii="Arial" w:hAnsi="Arial" w:cs="Arial"/>
        </w:rPr>
        <w:t>(Irving</w:t>
      </w:r>
      <w:r w:rsidRPr="00EA7665">
        <w:rPr>
          <w:rFonts w:ascii="Arial" w:hAnsi="Arial" w:cs="Arial"/>
        </w:rPr>
        <w:t xml:space="preserve">, &amp; Manroth,  2009). </w:t>
      </w:r>
      <w:r>
        <w:rPr>
          <w:rFonts w:ascii="Arial" w:hAnsi="Arial" w:cs="Arial"/>
        </w:rPr>
        <w:t xml:space="preserve"> </w:t>
      </w:r>
      <w:r w:rsidR="002C43DC">
        <w:rPr>
          <w:rFonts w:ascii="Arial" w:hAnsi="Arial" w:cs="Arial"/>
        </w:rPr>
        <w:t>Uniqu</w:t>
      </w:r>
      <w:r w:rsidRPr="00EA7665">
        <w:rPr>
          <w:rFonts w:ascii="Arial" w:hAnsi="Arial" w:cs="Arial"/>
        </w:rPr>
        <w:t xml:space="preserve">e economic opportunities for real estate financing in Nigeria </w:t>
      </w:r>
      <w:r>
        <w:rPr>
          <w:rFonts w:ascii="Arial" w:hAnsi="Arial" w:cs="Arial"/>
        </w:rPr>
        <w:t>are</w:t>
      </w:r>
      <w:r w:rsidRPr="00EA7665">
        <w:rPr>
          <w:rFonts w:ascii="Arial" w:hAnsi="Arial" w:cs="Arial"/>
        </w:rPr>
        <w:t xml:space="preserve"> the increasing demand for housing and the </w:t>
      </w:r>
      <w:r w:rsidR="002C43DC">
        <w:rPr>
          <w:rFonts w:ascii="Arial" w:hAnsi="Arial" w:cs="Arial"/>
        </w:rPr>
        <w:t>ri</w:t>
      </w:r>
      <w:r w:rsidRPr="00EA7665">
        <w:rPr>
          <w:rFonts w:ascii="Arial" w:hAnsi="Arial" w:cs="Arial"/>
        </w:rPr>
        <w:t>sing middle class (Matsiele, 2015). The Nigerian population is about 173 million, with an annual growth rate of 2.8% and an urban population growth of 4.7% (Simire, 2017). The increase in the middle class in Nigeria emerged</w:t>
      </w:r>
      <w:r w:rsidR="005305DC">
        <w:rPr>
          <w:rFonts w:ascii="Arial" w:hAnsi="Arial" w:cs="Arial"/>
        </w:rPr>
        <w:t>,</w:t>
      </w:r>
      <w:r w:rsidRPr="00EA7665">
        <w:rPr>
          <w:rFonts w:ascii="Arial" w:hAnsi="Arial" w:cs="Arial"/>
        </w:rPr>
        <w:t xml:space="preserve"> a</w:t>
      </w:r>
      <w:r w:rsidR="002C43DC">
        <w:rPr>
          <w:rFonts w:ascii="Arial" w:hAnsi="Arial" w:cs="Arial"/>
        </w:rPr>
        <w:t>nd</w:t>
      </w:r>
      <w:r w:rsidRPr="00EA7665">
        <w:rPr>
          <w:rFonts w:ascii="Arial" w:hAnsi="Arial" w:cs="Arial"/>
        </w:rPr>
        <w:t xml:space="preserve"> the growth in other sectors such as the </w:t>
      </w:r>
      <w:r w:rsidRPr="00EA7665">
        <w:rPr>
          <w:rFonts w:ascii="Arial" w:hAnsi="Arial" w:cs="Arial"/>
        </w:rPr>
        <w:lastRenderedPageBreak/>
        <w:t>banking, telecommunication</w:t>
      </w:r>
      <w:r w:rsidR="00DE5B13">
        <w:rPr>
          <w:rFonts w:ascii="Arial" w:hAnsi="Arial" w:cs="Arial"/>
        </w:rPr>
        <w:t>,</w:t>
      </w:r>
      <w:r w:rsidRPr="00EA7665">
        <w:rPr>
          <w:rFonts w:ascii="Arial" w:hAnsi="Arial" w:cs="Arial"/>
        </w:rPr>
        <w:t xml:space="preserve"> and oil and gas servicing sectors. The growth in the middle class could also be attributable to the rise in the countries national income / GDP through </w:t>
      </w:r>
      <w:r w:rsidR="002C43DC">
        <w:rPr>
          <w:rFonts w:ascii="Arial" w:hAnsi="Arial" w:cs="Arial"/>
        </w:rPr>
        <w:t>crude oil sales</w:t>
      </w:r>
      <w:r w:rsidRPr="00EA7665">
        <w:rPr>
          <w:rFonts w:ascii="Arial" w:hAnsi="Arial" w:cs="Arial"/>
        </w:rPr>
        <w:t xml:space="preserve">. According to the African Development Bank (AFDB), the </w:t>
      </w:r>
      <w:r w:rsidR="00951E26" w:rsidRPr="00EA7665">
        <w:rPr>
          <w:rFonts w:ascii="Arial" w:hAnsi="Arial" w:cs="Arial"/>
        </w:rPr>
        <w:t>middle</w:t>
      </w:r>
      <w:r w:rsidR="00245F8D">
        <w:rPr>
          <w:rFonts w:ascii="Arial" w:hAnsi="Arial" w:cs="Arial"/>
        </w:rPr>
        <w:t xml:space="preserve"> </w:t>
      </w:r>
      <w:r w:rsidR="00951E26" w:rsidRPr="00EA7665">
        <w:rPr>
          <w:rFonts w:ascii="Arial" w:hAnsi="Arial" w:cs="Arial"/>
        </w:rPr>
        <w:t>class</w:t>
      </w:r>
      <w:r w:rsidRPr="00EA7665">
        <w:rPr>
          <w:rFonts w:ascii="Arial" w:hAnsi="Arial" w:cs="Arial"/>
        </w:rPr>
        <w:t xml:space="preserve"> accounts for 23% of </w:t>
      </w:r>
      <w:r w:rsidR="002C43DC">
        <w:rPr>
          <w:rFonts w:ascii="Arial" w:hAnsi="Arial" w:cs="Arial"/>
        </w:rPr>
        <w:t>Nigeria's population</w:t>
      </w:r>
      <w:r w:rsidRPr="00EA7665">
        <w:rPr>
          <w:rFonts w:ascii="Arial" w:hAnsi="Arial" w:cs="Arial"/>
        </w:rPr>
        <w:t xml:space="preserve">, with the majority living in </w:t>
      </w:r>
      <w:r>
        <w:rPr>
          <w:rFonts w:ascii="Arial" w:hAnsi="Arial" w:cs="Arial"/>
        </w:rPr>
        <w:t>u</w:t>
      </w:r>
      <w:r w:rsidRPr="00EA7665">
        <w:rPr>
          <w:rFonts w:ascii="Arial" w:hAnsi="Arial" w:cs="Arial"/>
        </w:rPr>
        <w:t>rban cent</w:t>
      </w:r>
      <w:r w:rsidR="00DE5B13">
        <w:rPr>
          <w:rFonts w:ascii="Arial" w:hAnsi="Arial" w:cs="Arial"/>
        </w:rPr>
        <w:t>er</w:t>
      </w:r>
      <w:r w:rsidRPr="00EA7665">
        <w:rPr>
          <w:rFonts w:ascii="Arial" w:hAnsi="Arial" w:cs="Arial"/>
        </w:rPr>
        <w:t xml:space="preserve">s (Onuzo, 2016).  The growth in the middle class and </w:t>
      </w:r>
      <w:r w:rsidR="002C43DC">
        <w:rPr>
          <w:rFonts w:ascii="Arial" w:hAnsi="Arial" w:cs="Arial"/>
        </w:rPr>
        <w:t>population increase have</w:t>
      </w:r>
      <w:r w:rsidRPr="00EA7665">
        <w:rPr>
          <w:rFonts w:ascii="Arial" w:hAnsi="Arial" w:cs="Arial"/>
        </w:rPr>
        <w:t xml:space="preserve"> significantly created a viable market and demand for real estate, consequently creating financing opportunities.</w:t>
      </w:r>
    </w:p>
    <w:p w14:paraId="72295CCA" w14:textId="5991A09F" w:rsidR="00CD6352" w:rsidRPr="00EA7665" w:rsidRDefault="00CD6352" w:rsidP="00CD6352">
      <w:pPr>
        <w:spacing w:line="360" w:lineRule="auto"/>
        <w:jc w:val="both"/>
        <w:rPr>
          <w:rFonts w:ascii="Arial" w:hAnsi="Arial" w:cs="Arial"/>
        </w:rPr>
      </w:pPr>
      <w:r w:rsidRPr="00EA7665">
        <w:rPr>
          <w:rFonts w:ascii="Arial" w:hAnsi="Arial" w:cs="Arial"/>
        </w:rPr>
        <w:t xml:space="preserve">The vast bank network and </w:t>
      </w:r>
      <w:r>
        <w:rPr>
          <w:rFonts w:ascii="Arial" w:hAnsi="Arial" w:cs="Arial"/>
        </w:rPr>
        <w:t xml:space="preserve">the </w:t>
      </w:r>
      <w:r w:rsidRPr="00EA7665">
        <w:rPr>
          <w:rFonts w:ascii="Arial" w:hAnsi="Arial" w:cs="Arial"/>
        </w:rPr>
        <w:t xml:space="preserve">liberalisation of </w:t>
      </w:r>
      <w:r w:rsidR="002C43DC">
        <w:rPr>
          <w:rFonts w:ascii="Arial" w:hAnsi="Arial" w:cs="Arial"/>
        </w:rPr>
        <w:t>Nigeria's banking sector</w:t>
      </w:r>
      <w:r w:rsidRPr="00EA7665">
        <w:rPr>
          <w:rFonts w:ascii="Arial" w:hAnsi="Arial" w:cs="Arial"/>
        </w:rPr>
        <w:t xml:space="preserve"> are considered </w:t>
      </w:r>
      <w:r w:rsidR="00951E26" w:rsidRPr="00EA7665">
        <w:rPr>
          <w:rFonts w:ascii="Arial" w:hAnsi="Arial" w:cs="Arial"/>
        </w:rPr>
        <w:t>economic</w:t>
      </w:r>
      <w:r w:rsidRPr="00EA7665">
        <w:rPr>
          <w:rFonts w:ascii="Arial" w:hAnsi="Arial" w:cs="Arial"/>
        </w:rPr>
        <w:t xml:space="preserve"> opportunit</w:t>
      </w:r>
      <w:r>
        <w:rPr>
          <w:rFonts w:ascii="Arial" w:hAnsi="Arial" w:cs="Arial"/>
        </w:rPr>
        <w:t>ies</w:t>
      </w:r>
      <w:r w:rsidRPr="00EA7665">
        <w:rPr>
          <w:rFonts w:ascii="Arial" w:hAnsi="Arial" w:cs="Arial"/>
        </w:rPr>
        <w:t xml:space="preserve"> for real estate financing (Edo, 2012). </w:t>
      </w:r>
      <w:r w:rsidR="007E3067">
        <w:rPr>
          <w:rFonts w:ascii="Arial" w:hAnsi="Arial" w:cs="Arial"/>
        </w:rPr>
        <w:t>Nigerian banks have an excellent expansion in deposit liabilitie</w:t>
      </w:r>
      <w:r w:rsidRPr="00EA7665">
        <w:rPr>
          <w:rFonts w:ascii="Arial" w:hAnsi="Arial" w:cs="Arial"/>
        </w:rPr>
        <w:t xml:space="preserve">s </w:t>
      </w:r>
      <w:r w:rsidR="002C43DC">
        <w:rPr>
          <w:rFonts w:ascii="Arial" w:hAnsi="Arial" w:cs="Arial"/>
        </w:rPr>
        <w:t>by selling</w:t>
      </w:r>
      <w:r w:rsidRPr="00EA7665">
        <w:rPr>
          <w:rFonts w:ascii="Arial" w:hAnsi="Arial" w:cs="Arial"/>
        </w:rPr>
        <w:t xml:space="preserve"> their shares on the stock market</w:t>
      </w:r>
      <w:r w:rsidR="002C43DC">
        <w:rPr>
          <w:rFonts w:ascii="Arial" w:hAnsi="Arial" w:cs="Arial"/>
        </w:rPr>
        <w:t>. T</w:t>
      </w:r>
      <w:r w:rsidRPr="00EA7665">
        <w:rPr>
          <w:rFonts w:ascii="Arial" w:hAnsi="Arial" w:cs="Arial"/>
        </w:rPr>
        <w:t xml:space="preserve">hey used these deposits to expand their profits mainly through oil and gas financing. It is an opportunity for real estate financing that is still not optimally harnessed because of the </w:t>
      </w:r>
      <w:r w:rsidR="002C43DC">
        <w:rPr>
          <w:rFonts w:ascii="Arial" w:hAnsi="Arial" w:cs="Arial"/>
        </w:rPr>
        <w:t>economy's uncertainties</w:t>
      </w:r>
      <w:r w:rsidRPr="00EA7665">
        <w:rPr>
          <w:rFonts w:ascii="Arial" w:hAnsi="Arial" w:cs="Arial"/>
        </w:rPr>
        <w:t xml:space="preserve"> and the bank’s risk assessment criteria (Erebo, 2010).</w:t>
      </w:r>
    </w:p>
    <w:p w14:paraId="59FEE5F5" w14:textId="42CBDDC9" w:rsidR="007E3067" w:rsidRDefault="00CD6352" w:rsidP="00CD6352">
      <w:pPr>
        <w:spacing w:line="360" w:lineRule="auto"/>
        <w:jc w:val="both"/>
        <w:rPr>
          <w:rFonts w:ascii="Arial" w:hAnsi="Arial" w:cs="Arial"/>
        </w:rPr>
      </w:pPr>
      <w:r w:rsidRPr="00EA7665">
        <w:rPr>
          <w:rFonts w:ascii="Arial" w:hAnsi="Arial" w:cs="Arial"/>
        </w:rPr>
        <w:t xml:space="preserve">The GDP of Nigeria could be said to be an opportunity because of its growth in recent years. </w:t>
      </w:r>
      <w:r w:rsidR="002C43DC">
        <w:rPr>
          <w:rFonts w:ascii="Arial" w:hAnsi="Arial" w:cs="Arial"/>
        </w:rPr>
        <w:t>Nigeria's GDP</w:t>
      </w:r>
      <w:r w:rsidRPr="00EA7665">
        <w:rPr>
          <w:rFonts w:ascii="Arial" w:hAnsi="Arial" w:cs="Arial"/>
        </w:rPr>
        <w:t xml:space="preserve"> is driven by crude oil revenue, and it was at its highest in 2014 at 568.50 billion and </w:t>
      </w:r>
      <w:r>
        <w:rPr>
          <w:rFonts w:ascii="Arial" w:hAnsi="Arial" w:cs="Arial"/>
        </w:rPr>
        <w:t>its</w:t>
      </w:r>
      <w:r w:rsidRPr="00EA7665">
        <w:rPr>
          <w:rFonts w:ascii="Arial" w:hAnsi="Arial" w:cs="Arial"/>
        </w:rPr>
        <w:t xml:space="preserve"> lowest at 4.2 billion in 1960. (The trading economics, 2017).  The crude oil price plays a significant part in shaping the economy. The price dropped to a record low of $26 per barrel in February 2016 (Ubosi, 2017). There was also a reduction in production as mandated by the Organisation of Petroleum Exporting Countries (OPEC)</w:t>
      </w:r>
      <w:r w:rsidR="007E3067">
        <w:rPr>
          <w:rFonts w:ascii="Arial" w:hAnsi="Arial" w:cs="Arial"/>
        </w:rPr>
        <w:t>,</w:t>
      </w:r>
      <w:r w:rsidRPr="00EA7665">
        <w:rPr>
          <w:rFonts w:ascii="Arial" w:hAnsi="Arial" w:cs="Arial"/>
        </w:rPr>
        <w:t xml:space="preserve"> where it was agreed to cut output by 1.20 million barre</w:t>
      </w:r>
      <w:r>
        <w:rPr>
          <w:rFonts w:ascii="Arial" w:hAnsi="Arial" w:cs="Arial"/>
        </w:rPr>
        <w:t>ls</w:t>
      </w:r>
      <w:r w:rsidRPr="00EA7665">
        <w:rPr>
          <w:rFonts w:ascii="Arial" w:hAnsi="Arial" w:cs="Arial"/>
        </w:rPr>
        <w:t xml:space="preserve"> per day.  To aggravate this reduction in production</w:t>
      </w:r>
      <w:r w:rsidR="002C43DC">
        <w:rPr>
          <w:rFonts w:ascii="Arial" w:hAnsi="Arial" w:cs="Arial"/>
        </w:rPr>
        <w:t>,</w:t>
      </w:r>
      <w:r w:rsidRPr="00EA7665">
        <w:rPr>
          <w:rFonts w:ascii="Arial" w:hAnsi="Arial" w:cs="Arial"/>
        </w:rPr>
        <w:t xml:space="preserve"> militan</w:t>
      </w:r>
      <w:r>
        <w:rPr>
          <w:rFonts w:ascii="Arial" w:hAnsi="Arial" w:cs="Arial"/>
        </w:rPr>
        <w:t>t</w:t>
      </w:r>
      <w:r w:rsidRPr="00EA7665">
        <w:rPr>
          <w:rFonts w:ascii="Arial" w:hAnsi="Arial" w:cs="Arial"/>
        </w:rPr>
        <w:t xml:space="preserve"> activities in the oil-rich Niger Delta</w:t>
      </w:r>
      <w:r>
        <w:rPr>
          <w:rFonts w:ascii="Arial" w:hAnsi="Arial" w:cs="Arial"/>
        </w:rPr>
        <w:t xml:space="preserve"> </w:t>
      </w:r>
      <w:r w:rsidRPr="00EA7665">
        <w:rPr>
          <w:rFonts w:ascii="Arial" w:hAnsi="Arial" w:cs="Arial"/>
        </w:rPr>
        <w:t xml:space="preserve">further </w:t>
      </w:r>
      <w:r>
        <w:rPr>
          <w:rFonts w:ascii="Arial" w:hAnsi="Arial" w:cs="Arial"/>
        </w:rPr>
        <w:t>reduced</w:t>
      </w:r>
      <w:r w:rsidRPr="00EA7665">
        <w:rPr>
          <w:rFonts w:ascii="Arial" w:hAnsi="Arial" w:cs="Arial"/>
        </w:rPr>
        <w:t xml:space="preserve"> production and revenue from oil (Bloomberg, 2017).  The drop in oil revenue led to a shortage in foreign exchange</w:t>
      </w:r>
      <w:r w:rsidR="007E3067">
        <w:rPr>
          <w:rFonts w:ascii="Arial" w:hAnsi="Arial" w:cs="Arial"/>
        </w:rPr>
        <w:t>.</w:t>
      </w:r>
    </w:p>
    <w:p w14:paraId="37D99C15" w14:textId="5B918379" w:rsidR="00CD6352" w:rsidRPr="00EA7665" w:rsidRDefault="007E3067" w:rsidP="00CD6352">
      <w:pPr>
        <w:spacing w:line="360" w:lineRule="auto"/>
        <w:jc w:val="both"/>
        <w:rPr>
          <w:rFonts w:ascii="Arial" w:hAnsi="Arial" w:cs="Arial"/>
        </w:rPr>
      </w:pPr>
      <w:r>
        <w:rPr>
          <w:rFonts w:ascii="Arial" w:hAnsi="Arial" w:cs="Arial"/>
        </w:rPr>
        <w:t xml:space="preserve">Furthermore, </w:t>
      </w:r>
      <w:r w:rsidR="00CD6352" w:rsidRPr="00EA7665">
        <w:rPr>
          <w:rFonts w:ascii="Arial" w:hAnsi="Arial" w:cs="Arial"/>
        </w:rPr>
        <w:t>the economy went into recession in the first quarter of 2016</w:t>
      </w:r>
      <w:r w:rsidR="00CD6352">
        <w:rPr>
          <w:rFonts w:ascii="Arial" w:hAnsi="Arial" w:cs="Arial"/>
        </w:rPr>
        <w:t xml:space="preserve">, which </w:t>
      </w:r>
      <w:r w:rsidR="009167CC">
        <w:rPr>
          <w:rFonts w:ascii="Arial" w:hAnsi="Arial" w:cs="Arial"/>
        </w:rPr>
        <w:t xml:space="preserve">it </w:t>
      </w:r>
      <w:r w:rsidR="009167CC" w:rsidRPr="00EA7665">
        <w:rPr>
          <w:rFonts w:ascii="Arial" w:hAnsi="Arial" w:cs="Arial"/>
        </w:rPr>
        <w:t>came</w:t>
      </w:r>
      <w:r w:rsidR="00CD6352" w:rsidRPr="00EA7665">
        <w:rPr>
          <w:rFonts w:ascii="Arial" w:hAnsi="Arial" w:cs="Arial"/>
        </w:rPr>
        <w:t xml:space="preserve"> out</w:t>
      </w:r>
      <w:r w:rsidR="00CD6352">
        <w:rPr>
          <w:rFonts w:ascii="Arial" w:hAnsi="Arial" w:cs="Arial"/>
        </w:rPr>
        <w:t xml:space="preserve"> of</w:t>
      </w:r>
      <w:r w:rsidR="00CD6352" w:rsidRPr="00EA7665">
        <w:rPr>
          <w:rFonts w:ascii="Arial" w:hAnsi="Arial" w:cs="Arial"/>
        </w:rPr>
        <w:t xml:space="preserve"> in the second quarter of 2017 (Olawoyin, 2017). </w:t>
      </w:r>
      <w:r w:rsidR="00285DB3">
        <w:rPr>
          <w:rFonts w:ascii="Arial" w:hAnsi="Arial" w:cs="Arial"/>
        </w:rPr>
        <w:t>T</w:t>
      </w:r>
      <w:r w:rsidR="00CD6352" w:rsidRPr="00EA7665">
        <w:rPr>
          <w:rFonts w:ascii="Arial" w:hAnsi="Arial" w:cs="Arial"/>
        </w:rPr>
        <w:t>h</w:t>
      </w:r>
      <w:r w:rsidR="00285DB3">
        <w:rPr>
          <w:rFonts w:ascii="Arial" w:hAnsi="Arial" w:cs="Arial"/>
        </w:rPr>
        <w:t>e</w:t>
      </w:r>
      <w:r w:rsidR="009F2D1E">
        <w:rPr>
          <w:rFonts w:ascii="Arial" w:hAnsi="Arial" w:cs="Arial"/>
        </w:rPr>
        <w:t xml:space="preserve"> recession</w:t>
      </w:r>
      <w:r w:rsidR="00CD6352" w:rsidRPr="00EA7665">
        <w:rPr>
          <w:rFonts w:ascii="Arial" w:hAnsi="Arial" w:cs="Arial"/>
        </w:rPr>
        <w:t xml:space="preserve"> affected every segment of the economy, including the banking sector that reduced lending to the real estate sector and other </w:t>
      </w:r>
      <w:r w:rsidR="002C43DC">
        <w:rPr>
          <w:rFonts w:ascii="Arial" w:hAnsi="Arial" w:cs="Arial"/>
        </w:rPr>
        <w:t>economies' arms</w:t>
      </w:r>
      <w:r w:rsidR="00CD6352" w:rsidRPr="00EA7665">
        <w:rPr>
          <w:rFonts w:ascii="Arial" w:hAnsi="Arial" w:cs="Arial"/>
        </w:rPr>
        <w:t xml:space="preserve">. The fall in oil prices led to a fall in the GDP and strains on companies leading to </w:t>
      </w:r>
      <w:r w:rsidR="00CD6352">
        <w:rPr>
          <w:rFonts w:ascii="Arial" w:hAnsi="Arial" w:cs="Arial"/>
        </w:rPr>
        <w:t xml:space="preserve">job </w:t>
      </w:r>
      <w:r w:rsidR="00CD6352" w:rsidRPr="00EA7665">
        <w:rPr>
          <w:rFonts w:ascii="Arial" w:hAnsi="Arial" w:cs="Arial"/>
        </w:rPr>
        <w:t xml:space="preserve">losses and outright closures of some companies from 2015 to date. A rise in GDP increases the </w:t>
      </w:r>
      <w:r w:rsidR="002C43DC">
        <w:rPr>
          <w:rFonts w:ascii="Arial" w:hAnsi="Arial" w:cs="Arial"/>
        </w:rPr>
        <w:t>people's income and purchasing power;</w:t>
      </w:r>
      <w:r w:rsidR="00CD6352" w:rsidRPr="00EA7665">
        <w:rPr>
          <w:rFonts w:ascii="Arial" w:hAnsi="Arial" w:cs="Arial"/>
        </w:rPr>
        <w:t xml:space="preserve"> as purchasing power increases, demand for housing increases. Therefore, there is an increase in property prices and </w:t>
      </w:r>
      <w:r w:rsidR="002C43DC">
        <w:rPr>
          <w:rFonts w:ascii="Arial" w:hAnsi="Arial" w:cs="Arial"/>
        </w:rPr>
        <w:t>the motivation to fund projects by</w:t>
      </w:r>
      <w:r w:rsidR="00CD6352" w:rsidRPr="00EA7665">
        <w:rPr>
          <w:rFonts w:ascii="Arial" w:hAnsi="Arial" w:cs="Arial"/>
        </w:rPr>
        <w:t xml:space="preserve"> internal and external financiers (Singh, 2017). However, the fall in GDP constituted a challenge to real estate financing because it affected consumer confidence both internally and externally</w:t>
      </w:r>
      <w:r w:rsidR="002C43DC">
        <w:rPr>
          <w:rFonts w:ascii="Arial" w:hAnsi="Arial" w:cs="Arial"/>
        </w:rPr>
        <w:t>,</w:t>
      </w:r>
      <w:r w:rsidR="00CD6352" w:rsidRPr="00EA7665">
        <w:rPr>
          <w:rFonts w:ascii="Arial" w:hAnsi="Arial" w:cs="Arial"/>
        </w:rPr>
        <w:t xml:space="preserve"> </w:t>
      </w:r>
      <w:r>
        <w:rPr>
          <w:rFonts w:ascii="Arial" w:hAnsi="Arial" w:cs="Arial"/>
        </w:rPr>
        <w:t>which</w:t>
      </w:r>
      <w:r w:rsidR="00CD6352" w:rsidRPr="00EA7665">
        <w:rPr>
          <w:rFonts w:ascii="Arial" w:hAnsi="Arial" w:cs="Arial"/>
        </w:rPr>
        <w:t xml:space="preserve"> acted as a deterrent to both internal and external financiers of the real estate sector (Feyen, 2016).</w:t>
      </w:r>
    </w:p>
    <w:p w14:paraId="32459E48" w14:textId="3065D721" w:rsidR="00CD6352" w:rsidRPr="00EA7665" w:rsidRDefault="00CD6352" w:rsidP="00CD6352">
      <w:pPr>
        <w:spacing w:after="0" w:line="360" w:lineRule="auto"/>
        <w:jc w:val="both"/>
        <w:rPr>
          <w:rFonts w:ascii="Arial" w:hAnsi="Arial" w:cs="Arial"/>
        </w:rPr>
      </w:pPr>
      <w:r w:rsidRPr="00EA7665">
        <w:rPr>
          <w:rFonts w:ascii="Arial" w:hAnsi="Arial" w:cs="Arial"/>
        </w:rPr>
        <w:t>Inflation is also a very evident challenge to real estate financing in Nigeria. Inflation in Nigeria presently stands at 16% (National Bureau of Statistics, 2017)</w:t>
      </w:r>
      <w:r>
        <w:rPr>
          <w:rFonts w:ascii="Arial" w:hAnsi="Arial" w:cs="Arial"/>
        </w:rPr>
        <w:t>.</w:t>
      </w:r>
      <w:r w:rsidRPr="00EA7665">
        <w:rPr>
          <w:rFonts w:ascii="Arial" w:hAnsi="Arial" w:cs="Arial"/>
        </w:rPr>
        <w:t xml:space="preserve"> </w:t>
      </w:r>
      <w:r>
        <w:rPr>
          <w:rFonts w:ascii="Arial" w:hAnsi="Arial" w:cs="Arial"/>
        </w:rPr>
        <w:t>T</w:t>
      </w:r>
      <w:r w:rsidRPr="00EA7665">
        <w:rPr>
          <w:rFonts w:ascii="Arial" w:hAnsi="Arial" w:cs="Arial"/>
        </w:rPr>
        <w:t xml:space="preserve">his can be considered too high for any economy and </w:t>
      </w:r>
      <w:r>
        <w:rPr>
          <w:rFonts w:ascii="Arial" w:hAnsi="Arial" w:cs="Arial"/>
        </w:rPr>
        <w:t xml:space="preserve">is </w:t>
      </w:r>
      <w:r w:rsidRPr="00EA7665">
        <w:rPr>
          <w:rFonts w:ascii="Arial" w:hAnsi="Arial" w:cs="Arial"/>
        </w:rPr>
        <w:t>discomforting for potential investors and buyers</w:t>
      </w:r>
      <w:r>
        <w:rPr>
          <w:rFonts w:ascii="Arial" w:hAnsi="Arial" w:cs="Arial"/>
        </w:rPr>
        <w:t>.</w:t>
      </w:r>
      <w:r w:rsidRPr="00EA7665">
        <w:rPr>
          <w:rFonts w:ascii="Arial" w:hAnsi="Arial" w:cs="Arial"/>
        </w:rPr>
        <w:t xml:space="preserve"> Inflation in Nigeria is </w:t>
      </w:r>
      <w:r w:rsidRPr="00EA7665">
        <w:rPr>
          <w:rFonts w:ascii="Arial" w:hAnsi="Arial" w:cs="Arial"/>
        </w:rPr>
        <w:lastRenderedPageBreak/>
        <w:t xml:space="preserve">double-digit </w:t>
      </w:r>
      <w:r w:rsidR="002C43DC">
        <w:rPr>
          <w:rFonts w:ascii="Arial" w:hAnsi="Arial" w:cs="Arial"/>
        </w:rPr>
        <w:t xml:space="preserve">compared to the developed economies </w:t>
      </w:r>
      <w:r w:rsidR="007E3067">
        <w:rPr>
          <w:rFonts w:ascii="Arial" w:hAnsi="Arial" w:cs="Arial"/>
        </w:rPr>
        <w:t>with</w:t>
      </w:r>
      <w:r w:rsidR="002C43DC">
        <w:rPr>
          <w:rFonts w:ascii="Arial" w:hAnsi="Arial" w:cs="Arial"/>
        </w:rPr>
        <w:t xml:space="preserve"> single-digit inflation, which</w:t>
      </w:r>
      <w:r w:rsidRPr="00EA7665">
        <w:rPr>
          <w:rFonts w:ascii="Arial" w:hAnsi="Arial" w:cs="Arial"/>
        </w:rPr>
        <w:t xml:space="preserve"> has dramatically increased the cost of goods and services (The Trading Economics, 2017). Furthermore, exchange and interest rate volatility also </w:t>
      </w:r>
      <w:r w:rsidR="009167CC" w:rsidRPr="00EA7665">
        <w:rPr>
          <w:rFonts w:ascii="Arial" w:hAnsi="Arial" w:cs="Arial"/>
        </w:rPr>
        <w:t>constitut</w:t>
      </w:r>
      <w:r w:rsidR="009167CC">
        <w:rPr>
          <w:rFonts w:ascii="Arial" w:hAnsi="Arial" w:cs="Arial"/>
        </w:rPr>
        <w:t>e</w:t>
      </w:r>
      <w:r>
        <w:rPr>
          <w:rFonts w:ascii="Arial" w:hAnsi="Arial" w:cs="Arial"/>
        </w:rPr>
        <w:t xml:space="preserve"> </w:t>
      </w:r>
      <w:r w:rsidRPr="00EA7665">
        <w:rPr>
          <w:rFonts w:ascii="Arial" w:hAnsi="Arial" w:cs="Arial"/>
        </w:rPr>
        <w:t>an economic challenge to real estate financing in Nigeria</w:t>
      </w:r>
      <w:r w:rsidR="007E3067">
        <w:rPr>
          <w:rFonts w:ascii="Arial" w:hAnsi="Arial" w:cs="Arial"/>
        </w:rPr>
        <w:t>. I</w:t>
      </w:r>
      <w:r w:rsidRPr="00EA7665">
        <w:rPr>
          <w:rFonts w:ascii="Arial" w:hAnsi="Arial" w:cs="Arial"/>
        </w:rPr>
        <w:t>t has contributed to making the economy weak and unstable</w:t>
      </w:r>
      <w:r w:rsidR="002C43DC">
        <w:rPr>
          <w:rFonts w:ascii="Arial" w:hAnsi="Arial" w:cs="Arial"/>
        </w:rPr>
        <w:t>,</w:t>
      </w:r>
      <w:r w:rsidRPr="00EA7665">
        <w:rPr>
          <w:rFonts w:ascii="Arial" w:hAnsi="Arial" w:cs="Arial"/>
        </w:rPr>
        <w:t xml:space="preserve"> thereby discouraging investment in the real estate sector (Kelilume, 2016).</w:t>
      </w:r>
    </w:p>
    <w:p w14:paraId="33D60307" w14:textId="77777777" w:rsidR="00CD6352" w:rsidRPr="00EA7665" w:rsidRDefault="00CD6352" w:rsidP="00CD6352">
      <w:pPr>
        <w:spacing w:after="0" w:line="360" w:lineRule="auto"/>
        <w:jc w:val="both"/>
        <w:rPr>
          <w:rFonts w:ascii="Arial" w:hAnsi="Arial" w:cs="Arial"/>
        </w:rPr>
      </w:pPr>
    </w:p>
    <w:p w14:paraId="343EF956"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The legal framework</w:t>
      </w:r>
    </w:p>
    <w:p w14:paraId="6EF03141" w14:textId="0B608170" w:rsidR="00CD6352" w:rsidRPr="00EA7665" w:rsidRDefault="00CD6352" w:rsidP="00CD6352">
      <w:pPr>
        <w:spacing w:after="0" w:line="360" w:lineRule="auto"/>
        <w:jc w:val="both"/>
        <w:rPr>
          <w:rFonts w:ascii="Arial" w:hAnsi="Arial" w:cs="Arial"/>
        </w:rPr>
      </w:pPr>
      <w:r w:rsidRPr="00EA7665">
        <w:rPr>
          <w:rFonts w:ascii="Arial" w:hAnsi="Arial" w:cs="Arial"/>
        </w:rPr>
        <w:t>The legal framework in this context is the structure in the Nigerian constitution that has been put in place to support real estate financing. The elements or various components of the legal framework are meant to create opportunities t</w:t>
      </w:r>
      <w:r w:rsidR="0041231E">
        <w:rPr>
          <w:rFonts w:ascii="Arial" w:hAnsi="Arial" w:cs="Arial"/>
        </w:rPr>
        <w:t>o</w:t>
      </w:r>
      <w:r w:rsidRPr="00EA7665">
        <w:rPr>
          <w:rFonts w:ascii="Arial" w:hAnsi="Arial" w:cs="Arial"/>
        </w:rPr>
        <w:t xml:space="preserve"> enhance real estate financing. The Nigeri</w:t>
      </w:r>
      <w:r>
        <w:rPr>
          <w:rFonts w:ascii="Arial" w:hAnsi="Arial" w:cs="Arial"/>
        </w:rPr>
        <w:t>an</w:t>
      </w:r>
      <w:r w:rsidRPr="00EA7665">
        <w:rPr>
          <w:rFonts w:ascii="Arial" w:hAnsi="Arial" w:cs="Arial"/>
        </w:rPr>
        <w:t xml:space="preserve"> government has put in place legal instruments that support real estate through pension funds and</w:t>
      </w:r>
      <w:r>
        <w:rPr>
          <w:rFonts w:ascii="Arial" w:hAnsi="Arial" w:cs="Arial"/>
        </w:rPr>
        <w:t xml:space="preserve"> the</w:t>
      </w:r>
      <w:r w:rsidRPr="00EA7665">
        <w:rPr>
          <w:rFonts w:ascii="Arial" w:hAnsi="Arial" w:cs="Arial"/>
        </w:rPr>
        <w:t xml:space="preserve"> establishmen</w:t>
      </w:r>
      <w:r>
        <w:rPr>
          <w:rFonts w:ascii="Arial" w:hAnsi="Arial" w:cs="Arial"/>
        </w:rPr>
        <w:t>t</w:t>
      </w:r>
      <w:r w:rsidRPr="00EA7665">
        <w:rPr>
          <w:rFonts w:ascii="Arial" w:hAnsi="Arial" w:cs="Arial"/>
        </w:rPr>
        <w:t xml:space="preserve"> of an Association of Real Estate Developers (Raji, 2017).   </w:t>
      </w:r>
    </w:p>
    <w:p w14:paraId="0F9E82BA" w14:textId="567C0786" w:rsidR="00CD6352" w:rsidRPr="00EA7665" w:rsidRDefault="00CD6352" w:rsidP="00CD6352">
      <w:pPr>
        <w:spacing w:line="360" w:lineRule="auto"/>
        <w:jc w:val="both"/>
        <w:rPr>
          <w:rFonts w:ascii="Arial" w:hAnsi="Arial" w:cs="Arial"/>
        </w:rPr>
      </w:pPr>
      <w:r w:rsidRPr="00EA7665">
        <w:rPr>
          <w:rFonts w:ascii="Arial" w:hAnsi="Arial" w:cs="Arial"/>
        </w:rPr>
        <w:t>Nigeria has a robust pension fund because of the pension reforms</w:t>
      </w:r>
      <w:r w:rsidR="009329AB">
        <w:rPr>
          <w:rFonts w:ascii="Arial" w:hAnsi="Arial" w:cs="Arial"/>
        </w:rPr>
        <w:t>,</w:t>
      </w:r>
      <w:r w:rsidRPr="00EA7665">
        <w:rPr>
          <w:rFonts w:ascii="Arial" w:hAnsi="Arial" w:cs="Arial"/>
        </w:rPr>
        <w:t xml:space="preserve"> and this fund presently stands at about $80 billion. The legal instrument allows 40% of the fund to be invested in real estate</w:t>
      </w:r>
      <w:r w:rsidR="00734983">
        <w:rPr>
          <w:rFonts w:ascii="Arial" w:hAnsi="Arial" w:cs="Arial"/>
        </w:rPr>
        <w:t>,</w:t>
      </w:r>
      <w:r w:rsidRPr="00EA7665">
        <w:rPr>
          <w:rFonts w:ascii="Arial" w:hAnsi="Arial" w:cs="Arial"/>
        </w:rPr>
        <w:t xml:space="preserve"> but</w:t>
      </w:r>
      <w:r>
        <w:rPr>
          <w:rFonts w:ascii="Arial" w:hAnsi="Arial" w:cs="Arial"/>
        </w:rPr>
        <w:t xml:space="preserve"> this has to be done</w:t>
      </w:r>
      <w:r w:rsidRPr="00EA7665">
        <w:rPr>
          <w:rFonts w:ascii="Arial" w:hAnsi="Arial" w:cs="Arial"/>
        </w:rPr>
        <w:t xml:space="preserve"> strictly through real estate investment trus</w:t>
      </w:r>
      <w:r>
        <w:rPr>
          <w:rFonts w:ascii="Arial" w:hAnsi="Arial" w:cs="Arial"/>
        </w:rPr>
        <w:t>ts</w:t>
      </w:r>
      <w:r w:rsidRPr="00EA7665">
        <w:rPr>
          <w:rFonts w:ascii="Arial" w:hAnsi="Arial" w:cs="Arial"/>
        </w:rPr>
        <w:t xml:space="preserve"> (REIT) and mortgage-backed securit</w:t>
      </w:r>
      <w:r>
        <w:rPr>
          <w:rFonts w:ascii="Arial" w:hAnsi="Arial" w:cs="Arial"/>
        </w:rPr>
        <w:t>ies</w:t>
      </w:r>
      <w:r w:rsidRPr="00EA7665">
        <w:rPr>
          <w:rFonts w:ascii="Arial" w:hAnsi="Arial" w:cs="Arial"/>
        </w:rPr>
        <w:t xml:space="preserve">. </w:t>
      </w:r>
      <w:r w:rsidR="007E3067">
        <w:rPr>
          <w:rFonts w:ascii="Arial" w:hAnsi="Arial" w:cs="Arial"/>
        </w:rPr>
        <w:t>It is difficult to harness this opportunity because only 6% of property development companies are listed on the stock exchange,</w:t>
      </w:r>
      <w:r w:rsidRPr="00EA7665">
        <w:rPr>
          <w:rFonts w:ascii="Arial" w:hAnsi="Arial" w:cs="Arial"/>
        </w:rPr>
        <w:t xml:space="preserve"> </w:t>
      </w:r>
      <w:r w:rsidR="00734983">
        <w:rPr>
          <w:rFonts w:ascii="Arial" w:hAnsi="Arial" w:cs="Arial"/>
        </w:rPr>
        <w:t>so they cannot</w:t>
      </w:r>
      <w:r w:rsidRPr="00EA7665">
        <w:rPr>
          <w:rFonts w:ascii="Arial" w:hAnsi="Arial" w:cs="Arial"/>
        </w:rPr>
        <w:t xml:space="preserve"> float REIT. </w:t>
      </w:r>
      <w:r>
        <w:rPr>
          <w:rFonts w:ascii="Arial" w:hAnsi="Arial" w:cs="Arial"/>
        </w:rPr>
        <w:t>Consequently, m</w:t>
      </w:r>
      <w:r w:rsidRPr="00EA7665">
        <w:rPr>
          <w:rFonts w:ascii="Arial" w:hAnsi="Arial" w:cs="Arial"/>
        </w:rPr>
        <w:t xml:space="preserve">ost of the pension funds </w:t>
      </w:r>
      <w:r w:rsidR="00734983">
        <w:rPr>
          <w:rFonts w:ascii="Arial" w:hAnsi="Arial" w:cs="Arial"/>
        </w:rPr>
        <w:t>are</w:t>
      </w:r>
      <w:r w:rsidRPr="00EA7665">
        <w:rPr>
          <w:rFonts w:ascii="Arial" w:hAnsi="Arial" w:cs="Arial"/>
        </w:rPr>
        <w:t xml:space="preserve"> invested in government bonds instead of the real estate sector</w:t>
      </w:r>
      <w:r>
        <w:rPr>
          <w:rFonts w:ascii="Arial" w:hAnsi="Arial" w:cs="Arial"/>
        </w:rPr>
        <w:t>.</w:t>
      </w:r>
      <w:r w:rsidRPr="00EA7665">
        <w:rPr>
          <w:rFonts w:ascii="Arial" w:hAnsi="Arial" w:cs="Arial"/>
        </w:rPr>
        <w:t xml:space="preserve"> (Nubi, 2010). </w:t>
      </w:r>
    </w:p>
    <w:p w14:paraId="4F09D3A4" w14:textId="61866AF3" w:rsidR="00CD6352" w:rsidRDefault="00CD6352" w:rsidP="00CD6352">
      <w:pPr>
        <w:spacing w:line="360" w:lineRule="auto"/>
        <w:jc w:val="both"/>
        <w:rPr>
          <w:rFonts w:ascii="Arial" w:hAnsi="Arial" w:cs="Arial"/>
        </w:rPr>
      </w:pPr>
      <w:r w:rsidRPr="00EA7665">
        <w:rPr>
          <w:rFonts w:ascii="Arial" w:hAnsi="Arial" w:cs="Arial"/>
        </w:rPr>
        <w:t xml:space="preserve"> </w:t>
      </w:r>
      <w:r>
        <w:rPr>
          <w:rFonts w:ascii="Arial" w:hAnsi="Arial" w:cs="Arial"/>
        </w:rPr>
        <w:t>T</w:t>
      </w:r>
      <w:r w:rsidRPr="00EA7665">
        <w:rPr>
          <w:rFonts w:ascii="Arial" w:hAnsi="Arial" w:cs="Arial"/>
        </w:rPr>
        <w:t xml:space="preserve">he </w:t>
      </w:r>
      <w:r w:rsidR="007E3067">
        <w:rPr>
          <w:rFonts w:ascii="Arial" w:hAnsi="Arial" w:cs="Arial"/>
        </w:rPr>
        <w:t>Real Estate Developers Association (REDAN) establishment</w:t>
      </w:r>
      <w:r w:rsidRPr="00EA7665">
        <w:rPr>
          <w:rFonts w:ascii="Arial" w:hAnsi="Arial" w:cs="Arial"/>
        </w:rPr>
        <w:t xml:space="preserve"> in 2002 is an opportunity to enhance real estate financing in Nigeria because it provides a platform to route funding for major real estate projects. However, the challenge here is that most of these companies are small</w:t>
      </w:r>
      <w:r>
        <w:rPr>
          <w:rFonts w:ascii="Arial" w:hAnsi="Arial" w:cs="Arial"/>
        </w:rPr>
        <w:t>,</w:t>
      </w:r>
      <w:r w:rsidRPr="00EA7665">
        <w:rPr>
          <w:rFonts w:ascii="Arial" w:hAnsi="Arial" w:cs="Arial"/>
        </w:rPr>
        <w:t xml:space="preserve"> too fragmented,</w:t>
      </w:r>
      <w:r>
        <w:rPr>
          <w:rFonts w:ascii="Arial" w:hAnsi="Arial" w:cs="Arial"/>
        </w:rPr>
        <w:t xml:space="preserve"> and </w:t>
      </w:r>
      <w:r w:rsidRPr="00EA7665">
        <w:rPr>
          <w:rFonts w:ascii="Arial" w:hAnsi="Arial" w:cs="Arial"/>
        </w:rPr>
        <w:t xml:space="preserve">often associated with </w:t>
      </w:r>
      <w:r w:rsidR="007E3067">
        <w:rPr>
          <w:rFonts w:ascii="Arial" w:hAnsi="Arial" w:cs="Arial"/>
        </w:rPr>
        <w:t>low</w:t>
      </w:r>
      <w:r w:rsidRPr="00EA7665">
        <w:rPr>
          <w:rFonts w:ascii="Arial" w:hAnsi="Arial" w:cs="Arial"/>
        </w:rPr>
        <w:t xml:space="preserve"> skills at all levels (Ogbenjuwa et al., 2018).  This makes it risky to finance their projects because performance cannot be guaranteed, and about 60% of these firms do not have in-house experts such as architects, civil engineers, builders, and estate surveyors. Most real estate development firms in Nigeria do not have </w:t>
      </w:r>
      <w:r w:rsidR="007E3067">
        <w:rPr>
          <w:rFonts w:ascii="Arial" w:hAnsi="Arial" w:cs="Arial"/>
        </w:rPr>
        <w:t>100 employees and cannot take on large projects requiring</w:t>
      </w:r>
      <w:r w:rsidRPr="00EA7665">
        <w:rPr>
          <w:rFonts w:ascii="Arial" w:hAnsi="Arial" w:cs="Arial"/>
        </w:rPr>
        <w:t xml:space="preserve"> significant funding. There is a great influx of foreigners into the Nigerian construction sector, but it has not solved the skil</w:t>
      </w:r>
      <w:r>
        <w:rPr>
          <w:rFonts w:ascii="Arial" w:hAnsi="Arial" w:cs="Arial"/>
        </w:rPr>
        <w:t xml:space="preserve">ls </w:t>
      </w:r>
      <w:r w:rsidRPr="00EA7665">
        <w:rPr>
          <w:rFonts w:ascii="Arial" w:hAnsi="Arial" w:cs="Arial"/>
        </w:rPr>
        <w:t>deficiency challenge (Lawal et al., 2016).</w:t>
      </w:r>
    </w:p>
    <w:p w14:paraId="7CC1CC1B" w14:textId="77777777" w:rsidR="006773C6" w:rsidRDefault="006773C6" w:rsidP="00CD6352">
      <w:pPr>
        <w:spacing w:line="360" w:lineRule="auto"/>
        <w:jc w:val="both"/>
        <w:rPr>
          <w:rFonts w:ascii="Arial" w:hAnsi="Arial" w:cs="Arial"/>
        </w:rPr>
      </w:pPr>
    </w:p>
    <w:p w14:paraId="47090BA7"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Policy Environment</w:t>
      </w:r>
    </w:p>
    <w:p w14:paraId="4110CDAD" w14:textId="45DC74C0" w:rsidR="00CD6352" w:rsidRPr="00EA7665" w:rsidRDefault="00CD6352" w:rsidP="00CD6352">
      <w:pPr>
        <w:spacing w:line="360" w:lineRule="auto"/>
        <w:jc w:val="both"/>
        <w:rPr>
          <w:rFonts w:ascii="Arial" w:hAnsi="Arial" w:cs="Arial"/>
        </w:rPr>
      </w:pPr>
      <w:r w:rsidRPr="00EA7665">
        <w:rPr>
          <w:rFonts w:ascii="Arial" w:hAnsi="Arial" w:cs="Arial"/>
        </w:rPr>
        <w:t xml:space="preserve">The Nigerian government has come up with policies to ensure adequate housing is provided for all, but these policies have not been effective, as the desired results were not achieved. Some of those schemes, which the government introduced, include the Federal Housing Authority Act, 1990, National Housing Funds Act, 1992, Urban and Regional Planning Act 1992, and National Urban Development Policy 1997, the Nigerian Housing Policy 2006 </w:t>
      </w:r>
      <w:r w:rsidRPr="00EA7665">
        <w:rPr>
          <w:rFonts w:ascii="Arial" w:hAnsi="Arial" w:cs="Arial"/>
        </w:rPr>
        <w:lastRenderedPageBreak/>
        <w:t>(NMRC)</w:t>
      </w:r>
      <w:r w:rsidR="00DE5B13">
        <w:rPr>
          <w:rFonts w:ascii="Arial" w:hAnsi="Arial" w:cs="Arial"/>
        </w:rPr>
        <w:t xml:space="preserve">, </w:t>
      </w:r>
      <w:r>
        <w:rPr>
          <w:rFonts w:ascii="Arial" w:hAnsi="Arial" w:cs="Arial"/>
        </w:rPr>
        <w:t>and the</w:t>
      </w:r>
      <w:r w:rsidRPr="00EA7665">
        <w:rPr>
          <w:rFonts w:ascii="Arial" w:hAnsi="Arial" w:cs="Arial"/>
        </w:rPr>
        <w:t xml:space="preserve"> Nigerian </w:t>
      </w:r>
      <w:r>
        <w:rPr>
          <w:rFonts w:ascii="Arial" w:hAnsi="Arial" w:cs="Arial"/>
        </w:rPr>
        <w:t>M</w:t>
      </w:r>
      <w:r w:rsidRPr="00EA7665">
        <w:rPr>
          <w:rFonts w:ascii="Arial" w:hAnsi="Arial" w:cs="Arial"/>
        </w:rPr>
        <w:t xml:space="preserve">ortgage </w:t>
      </w:r>
      <w:r>
        <w:rPr>
          <w:rFonts w:ascii="Arial" w:hAnsi="Arial" w:cs="Arial"/>
        </w:rPr>
        <w:t>R</w:t>
      </w:r>
      <w:r w:rsidRPr="00EA7665">
        <w:rPr>
          <w:rFonts w:ascii="Arial" w:hAnsi="Arial" w:cs="Arial"/>
        </w:rPr>
        <w:t xml:space="preserve">efinance </w:t>
      </w:r>
      <w:r>
        <w:rPr>
          <w:rFonts w:ascii="Arial" w:hAnsi="Arial" w:cs="Arial"/>
        </w:rPr>
        <w:t>C</w:t>
      </w:r>
      <w:r w:rsidRPr="00EA7665">
        <w:rPr>
          <w:rFonts w:ascii="Arial" w:hAnsi="Arial" w:cs="Arial"/>
        </w:rPr>
        <w:t>ompany (Bustani, 2014). The National Housing Fund Scheme of 1992, which is still in effect, mobilises funds at a compulsory contribution of 2.5% of worke</w:t>
      </w:r>
      <w:r>
        <w:rPr>
          <w:rFonts w:ascii="Arial" w:hAnsi="Arial" w:cs="Arial"/>
        </w:rPr>
        <w:t xml:space="preserve">rs’ </w:t>
      </w:r>
      <w:r w:rsidRPr="00EA7665">
        <w:rPr>
          <w:rFonts w:ascii="Arial" w:hAnsi="Arial" w:cs="Arial"/>
        </w:rPr>
        <w:t xml:space="preserve"> basic earnings</w:t>
      </w:r>
      <w:r w:rsidR="00D94C53">
        <w:rPr>
          <w:rFonts w:ascii="Arial" w:hAnsi="Arial" w:cs="Arial"/>
        </w:rPr>
        <w:t>,</w:t>
      </w:r>
      <w:r w:rsidRPr="00EA7665">
        <w:rPr>
          <w:rFonts w:ascii="Arial" w:hAnsi="Arial" w:cs="Arial"/>
        </w:rPr>
        <w:t xml:space="preserve"> and this could be seen as a financing opportunity; however, it is a difficult task for workers to get finance from these funds for their housing.  The national housing funds have underperformed, </w:t>
      </w:r>
      <w:r w:rsidR="007E3067">
        <w:rPr>
          <w:rFonts w:ascii="Arial" w:hAnsi="Arial" w:cs="Arial"/>
        </w:rPr>
        <w:t>which can arguably</w:t>
      </w:r>
      <w:r w:rsidRPr="00EA7665">
        <w:rPr>
          <w:rFonts w:ascii="Arial" w:hAnsi="Arial" w:cs="Arial"/>
        </w:rPr>
        <w:t xml:space="preserve"> be attribut</w:t>
      </w:r>
      <w:r>
        <w:rPr>
          <w:rFonts w:ascii="Arial" w:hAnsi="Arial" w:cs="Arial"/>
        </w:rPr>
        <w:t>ed</w:t>
      </w:r>
      <w:r w:rsidRPr="00EA7665">
        <w:rPr>
          <w:rFonts w:ascii="Arial" w:hAnsi="Arial" w:cs="Arial"/>
        </w:rPr>
        <w:t xml:space="preserve"> to </w:t>
      </w:r>
      <w:r w:rsidR="00DE5B13">
        <w:rPr>
          <w:rFonts w:ascii="Arial" w:hAnsi="Arial" w:cs="Arial"/>
        </w:rPr>
        <w:t xml:space="preserve">the </w:t>
      </w:r>
      <w:r w:rsidRPr="00EA7665">
        <w:rPr>
          <w:rFonts w:ascii="Arial" w:hAnsi="Arial" w:cs="Arial"/>
        </w:rPr>
        <w:t>stagnation of the housing finance sector. The federal government</w:t>
      </w:r>
      <w:r>
        <w:rPr>
          <w:rFonts w:ascii="Arial" w:hAnsi="Arial" w:cs="Arial"/>
        </w:rPr>
        <w:t xml:space="preserve"> was</w:t>
      </w:r>
      <w:r w:rsidRPr="00EA7665">
        <w:rPr>
          <w:rFonts w:ascii="Arial" w:hAnsi="Arial" w:cs="Arial"/>
        </w:rPr>
        <w:t xml:space="preserve"> hitherto involved in the direct construction of real estate in </w:t>
      </w:r>
      <w:r w:rsidR="002A5CE9" w:rsidRPr="00EA7665">
        <w:rPr>
          <w:rFonts w:ascii="Arial" w:hAnsi="Arial" w:cs="Arial"/>
        </w:rPr>
        <w:t>Nigeria,</w:t>
      </w:r>
      <w:r w:rsidRPr="00EA7665">
        <w:rPr>
          <w:rFonts w:ascii="Arial" w:hAnsi="Arial" w:cs="Arial"/>
        </w:rPr>
        <w:t xml:space="preserve"> but </w:t>
      </w:r>
      <w:r>
        <w:rPr>
          <w:rFonts w:ascii="Arial" w:hAnsi="Arial" w:cs="Arial"/>
        </w:rPr>
        <w:t xml:space="preserve">it </w:t>
      </w:r>
      <w:r w:rsidRPr="00EA7665">
        <w:rPr>
          <w:rFonts w:ascii="Arial" w:hAnsi="Arial" w:cs="Arial"/>
        </w:rPr>
        <w:t>has now stopped operating in that capacity. They are now enablers and facilitators to the housing industry. This policy has created a significant gap because it still leaves the developers with the responsibilities and challenges of sourcing funding</w:t>
      </w:r>
      <w:r w:rsidR="0041231E">
        <w:rPr>
          <w:rFonts w:ascii="Arial" w:hAnsi="Arial" w:cs="Arial"/>
        </w:rPr>
        <w:t>, which is difficult</w:t>
      </w:r>
      <w:r w:rsidR="002A5CE9" w:rsidRPr="00EA7665">
        <w:rPr>
          <w:rFonts w:ascii="Arial" w:hAnsi="Arial" w:cs="Arial"/>
        </w:rPr>
        <w:t xml:space="preserve"> considering</w:t>
      </w:r>
      <w:r w:rsidRPr="00EA7665">
        <w:rPr>
          <w:rFonts w:ascii="Arial" w:hAnsi="Arial" w:cs="Arial"/>
        </w:rPr>
        <w:t xml:space="preserve"> the unfavourable environment (Nubi, 2010; Ogbenjuwa et al., 2019|).</w:t>
      </w:r>
    </w:p>
    <w:p w14:paraId="3CAF2EAE" w14:textId="023B1768" w:rsidR="00CD6352" w:rsidRPr="00EA7665" w:rsidRDefault="00CD6352" w:rsidP="00CD6352">
      <w:pPr>
        <w:spacing w:line="360" w:lineRule="auto"/>
        <w:jc w:val="both"/>
        <w:rPr>
          <w:rFonts w:ascii="Arial" w:hAnsi="Arial" w:cs="Arial"/>
        </w:rPr>
      </w:pPr>
      <w:r w:rsidRPr="00EA7665">
        <w:rPr>
          <w:rFonts w:ascii="Arial" w:hAnsi="Arial" w:cs="Arial"/>
        </w:rPr>
        <w:t>The Nigerian government</w:t>
      </w:r>
      <w:r>
        <w:rPr>
          <w:rFonts w:ascii="Arial" w:hAnsi="Arial" w:cs="Arial"/>
        </w:rPr>
        <w:t>’s</w:t>
      </w:r>
      <w:r w:rsidRPr="00EA7665">
        <w:rPr>
          <w:rFonts w:ascii="Arial" w:hAnsi="Arial" w:cs="Arial"/>
        </w:rPr>
        <w:t xml:space="preserve"> monetary and fiscal policies could be seen </w:t>
      </w:r>
      <w:r w:rsidR="002A5CE9" w:rsidRPr="00EA7665">
        <w:rPr>
          <w:rFonts w:ascii="Arial" w:hAnsi="Arial" w:cs="Arial"/>
        </w:rPr>
        <w:t>as opportunities</w:t>
      </w:r>
      <w:r w:rsidRPr="00EA7665">
        <w:rPr>
          <w:rFonts w:ascii="Arial" w:hAnsi="Arial" w:cs="Arial"/>
        </w:rPr>
        <w:t xml:space="preserve"> as well as challenges to real estate financing. These policies are meant to be strong stimulants to the aggregate demand and supply of housing. Government monetary policies in recent years such as </w:t>
      </w:r>
      <w:r>
        <w:rPr>
          <w:rFonts w:ascii="Arial" w:hAnsi="Arial" w:cs="Arial"/>
        </w:rPr>
        <w:t xml:space="preserve">the </w:t>
      </w:r>
      <w:r w:rsidRPr="00EA7665">
        <w:rPr>
          <w:rFonts w:ascii="Arial" w:hAnsi="Arial" w:cs="Arial"/>
        </w:rPr>
        <w:t xml:space="preserve">stoppage of dollar cash deposits into bank accounts, </w:t>
      </w:r>
      <w:r>
        <w:rPr>
          <w:rFonts w:ascii="Arial" w:hAnsi="Arial" w:cs="Arial"/>
        </w:rPr>
        <w:t xml:space="preserve">the </w:t>
      </w:r>
      <w:r w:rsidRPr="00EA7665">
        <w:rPr>
          <w:rFonts w:ascii="Arial" w:hAnsi="Arial" w:cs="Arial"/>
        </w:rPr>
        <w:t xml:space="preserve">pooling of government deposits from commercial banks into the treasury-single account with the central bank and </w:t>
      </w:r>
      <w:r>
        <w:rPr>
          <w:rFonts w:ascii="Arial" w:hAnsi="Arial" w:cs="Arial"/>
        </w:rPr>
        <w:t xml:space="preserve">the </w:t>
      </w:r>
      <w:r w:rsidRPr="00EA7665">
        <w:rPr>
          <w:rFonts w:ascii="Arial" w:hAnsi="Arial" w:cs="Arial"/>
        </w:rPr>
        <w:t>stoppage of dollar-denominated loans are all policies that negatively affected demand and supply of housing (Wallace &amp; Onu, 2015; Udo, 2016). These monetary policies made some investors divert their funding to other countries (Ubosi, 2017).</w:t>
      </w:r>
    </w:p>
    <w:p w14:paraId="279E91F8" w14:textId="77777777" w:rsidR="00CD6352" w:rsidRPr="00EA7665" w:rsidRDefault="00CD6352" w:rsidP="00CD6352">
      <w:pPr>
        <w:spacing w:line="360" w:lineRule="auto"/>
        <w:jc w:val="both"/>
        <w:rPr>
          <w:rFonts w:ascii="Arial" w:hAnsi="Arial" w:cs="Arial"/>
          <w:b/>
        </w:rPr>
      </w:pPr>
      <w:r w:rsidRPr="00EA7665">
        <w:rPr>
          <w:rFonts w:ascii="Arial" w:hAnsi="Arial" w:cs="Arial"/>
          <w:b/>
        </w:rPr>
        <w:t>Private sector participation</w:t>
      </w:r>
    </w:p>
    <w:p w14:paraId="095298E2" w14:textId="4ADBDB15" w:rsidR="00CD6352" w:rsidRPr="00EA7665" w:rsidRDefault="00CD6352" w:rsidP="00CD6352">
      <w:pPr>
        <w:spacing w:line="360" w:lineRule="auto"/>
        <w:jc w:val="both"/>
        <w:rPr>
          <w:rFonts w:ascii="Arial" w:hAnsi="Arial" w:cs="Arial"/>
        </w:rPr>
      </w:pPr>
      <w:r w:rsidRPr="00EA7665">
        <w:rPr>
          <w:rFonts w:ascii="Arial" w:hAnsi="Arial" w:cs="Arial"/>
        </w:rPr>
        <w:t>The Nigerian government, through its policies, has created an enabling environment for the private sector to flourish in the real estate sector</w:t>
      </w:r>
      <w:r>
        <w:rPr>
          <w:rFonts w:ascii="Arial" w:hAnsi="Arial" w:cs="Arial"/>
        </w:rPr>
        <w:t xml:space="preserve">.  </w:t>
      </w:r>
      <w:r w:rsidRPr="00EA7665">
        <w:rPr>
          <w:rFonts w:ascii="Arial" w:hAnsi="Arial" w:cs="Arial"/>
        </w:rPr>
        <w:t xml:space="preserve"> </w:t>
      </w:r>
      <w:r>
        <w:rPr>
          <w:rFonts w:ascii="Arial" w:hAnsi="Arial" w:cs="Arial"/>
        </w:rPr>
        <w:t>The</w:t>
      </w:r>
      <w:r w:rsidRPr="00EA7665">
        <w:rPr>
          <w:rFonts w:ascii="Arial" w:hAnsi="Arial" w:cs="Arial"/>
        </w:rPr>
        <w:t xml:space="preserve"> private sector controls over 70% of </w:t>
      </w:r>
      <w:r w:rsidR="0041231E">
        <w:rPr>
          <w:rFonts w:ascii="Arial" w:hAnsi="Arial" w:cs="Arial"/>
        </w:rPr>
        <w:t>Nigeria's total housing stock</w:t>
      </w:r>
      <w:r w:rsidRPr="00EA7665">
        <w:rPr>
          <w:rFonts w:ascii="Arial" w:hAnsi="Arial" w:cs="Arial"/>
        </w:rPr>
        <w:t xml:space="preserve"> (Nubi, 2010). Real estate developers in Nigeria are fundamentally private entrepreneurs who are committed to making available mass housing production. Real Estate Developers’ Association (REDAN) which was incorporated in 2002</w:t>
      </w:r>
      <w:r w:rsidR="00C372B1">
        <w:rPr>
          <w:rFonts w:ascii="Arial" w:hAnsi="Arial" w:cs="Arial"/>
        </w:rPr>
        <w:t>,</w:t>
      </w:r>
      <w:r w:rsidRPr="00EA7665">
        <w:rPr>
          <w:rFonts w:ascii="Arial" w:hAnsi="Arial" w:cs="Arial"/>
        </w:rPr>
        <w:t xml:space="preserve"> provides a comprehensive list of developers in Nigeria. There are about 450 developers on REDA</w:t>
      </w:r>
      <w:r>
        <w:rPr>
          <w:rFonts w:ascii="Arial" w:hAnsi="Arial" w:cs="Arial"/>
        </w:rPr>
        <w:t>N’s</w:t>
      </w:r>
      <w:r w:rsidRPr="00EA7665">
        <w:rPr>
          <w:rFonts w:ascii="Arial" w:hAnsi="Arial" w:cs="Arial"/>
        </w:rPr>
        <w:t xml:space="preserve"> (Establishment of real estate developer’s association) list. </w:t>
      </w:r>
    </w:p>
    <w:p w14:paraId="7D7C04EC" w14:textId="77777777" w:rsidR="00475B9B" w:rsidRDefault="00CD6352" w:rsidP="00CD6352">
      <w:pPr>
        <w:spacing w:line="360" w:lineRule="auto"/>
        <w:jc w:val="both"/>
        <w:rPr>
          <w:rFonts w:ascii="Arial" w:hAnsi="Arial" w:cs="Arial"/>
        </w:rPr>
      </w:pPr>
      <w:r w:rsidRPr="00EA7665">
        <w:rPr>
          <w:rFonts w:ascii="Arial" w:hAnsi="Arial" w:cs="Arial"/>
        </w:rPr>
        <w:t>Th</w:t>
      </w:r>
      <w:r w:rsidR="0041231E">
        <w:rPr>
          <w:rFonts w:ascii="Arial" w:hAnsi="Arial" w:cs="Arial"/>
        </w:rPr>
        <w:t>rough the Nigeria Mortgage refinance company (NMRC), the Nigerian government</w:t>
      </w:r>
      <w:r w:rsidRPr="00EA7665">
        <w:rPr>
          <w:rFonts w:ascii="Arial" w:hAnsi="Arial" w:cs="Arial"/>
        </w:rPr>
        <w:t xml:space="preserve"> is in partnership with the private sector. The initiative </w:t>
      </w:r>
      <w:r w:rsidR="0041231E">
        <w:rPr>
          <w:rFonts w:ascii="Arial" w:hAnsi="Arial" w:cs="Arial"/>
        </w:rPr>
        <w:t>aimed to lower the funding cost of mortgages and provide</w:t>
      </w:r>
      <w:r w:rsidRPr="00EA7665">
        <w:rPr>
          <w:rFonts w:ascii="Arial" w:hAnsi="Arial" w:cs="Arial"/>
        </w:rPr>
        <w:t xml:space="preserve"> mortgage-lending banks with increased access to liquidity and longer-term funds in the mortgage market (Rust, 2014). Investment in the Nigerian property market is mostly direct</w:t>
      </w:r>
      <w:r>
        <w:rPr>
          <w:rFonts w:ascii="Arial" w:hAnsi="Arial" w:cs="Arial"/>
        </w:rPr>
        <w:t>, but it is</w:t>
      </w:r>
      <w:r w:rsidRPr="00EA7665">
        <w:rPr>
          <w:rFonts w:ascii="Arial" w:hAnsi="Arial" w:cs="Arial"/>
        </w:rPr>
        <w:t xml:space="preserve"> sometimes</w:t>
      </w:r>
      <w:r>
        <w:rPr>
          <w:rFonts w:ascii="Arial" w:hAnsi="Arial" w:cs="Arial"/>
        </w:rPr>
        <w:t xml:space="preserve"> conducted</w:t>
      </w:r>
      <w:r w:rsidRPr="00EA7665">
        <w:rPr>
          <w:rFonts w:ascii="Arial" w:hAnsi="Arial" w:cs="Arial"/>
        </w:rPr>
        <w:t xml:space="preserve"> through investment in property company shares as there are not many REITs (Olaleye et al., 2008). It is witnessing an upsurge</w:t>
      </w:r>
      <w:r>
        <w:rPr>
          <w:rFonts w:ascii="Arial" w:hAnsi="Arial" w:cs="Arial"/>
        </w:rPr>
        <w:t xml:space="preserve"> in the</w:t>
      </w:r>
      <w:r w:rsidRPr="00EA7665">
        <w:rPr>
          <w:rFonts w:ascii="Arial" w:hAnsi="Arial" w:cs="Arial"/>
        </w:rPr>
        <w:t xml:space="preserve"> involvement of institutional investors in property development and acquisition. However, because of funding constraints, over fragmentation of small developers and shortage of skills, substandard </w:t>
      </w:r>
      <w:r w:rsidRPr="00EA7665">
        <w:rPr>
          <w:rFonts w:ascii="Arial" w:hAnsi="Arial" w:cs="Arial"/>
        </w:rPr>
        <w:lastRenderedPageBreak/>
        <w:t>housing is continually being built, causing housing collapse and slums. Notably</w:t>
      </w:r>
      <w:r>
        <w:rPr>
          <w:rFonts w:ascii="Arial" w:hAnsi="Arial" w:cs="Arial"/>
        </w:rPr>
        <w:t>,</w:t>
      </w:r>
      <w:r w:rsidRPr="00EA7665">
        <w:rPr>
          <w:rFonts w:ascii="Arial" w:hAnsi="Arial" w:cs="Arial"/>
        </w:rPr>
        <w:t xml:space="preserve"> the Nigerian property market is yet to be fully integrated into the </w:t>
      </w:r>
      <w:r>
        <w:rPr>
          <w:rFonts w:ascii="Arial" w:hAnsi="Arial" w:cs="Arial"/>
        </w:rPr>
        <w:t>c</w:t>
      </w:r>
      <w:r w:rsidRPr="00EA7665">
        <w:rPr>
          <w:rFonts w:ascii="Arial" w:hAnsi="Arial" w:cs="Arial"/>
        </w:rPr>
        <w:t>apital market, and this has reduced its access to enhanced sources of funding (Olaleye et al., 2008).</w:t>
      </w:r>
    </w:p>
    <w:p w14:paraId="40BFDC03" w14:textId="6287595C" w:rsidR="00CD6352" w:rsidRPr="00EA7665" w:rsidRDefault="00CD6352" w:rsidP="00CD6352">
      <w:pPr>
        <w:spacing w:line="360" w:lineRule="auto"/>
        <w:jc w:val="both"/>
        <w:rPr>
          <w:rFonts w:ascii="Arial" w:hAnsi="Arial" w:cs="Arial"/>
        </w:rPr>
      </w:pPr>
      <w:r w:rsidRPr="00EA7665">
        <w:rPr>
          <w:rFonts w:ascii="Arial" w:hAnsi="Arial" w:cs="Arial"/>
        </w:rPr>
        <w:t xml:space="preserve"> </w:t>
      </w:r>
    </w:p>
    <w:p w14:paraId="1B6824A0"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 xml:space="preserve">Technical and Industrial barriers </w:t>
      </w:r>
    </w:p>
    <w:p w14:paraId="0551D72F" w14:textId="7015C296" w:rsidR="00CD6352" w:rsidRDefault="00CD6352" w:rsidP="00CD6352">
      <w:pPr>
        <w:spacing w:line="360" w:lineRule="auto"/>
        <w:jc w:val="both"/>
        <w:rPr>
          <w:rFonts w:ascii="Arial" w:hAnsi="Arial" w:cs="Arial"/>
        </w:rPr>
      </w:pPr>
      <w:r w:rsidRPr="00EA7665">
        <w:rPr>
          <w:rFonts w:ascii="Arial" w:hAnsi="Arial" w:cs="Arial"/>
        </w:rPr>
        <w:t xml:space="preserve">Technical barriers often hinder the construction process and the final product, and they include </w:t>
      </w:r>
      <w:r>
        <w:rPr>
          <w:rFonts w:ascii="Arial" w:hAnsi="Arial" w:cs="Arial"/>
        </w:rPr>
        <w:t xml:space="preserve">a </w:t>
      </w:r>
      <w:r w:rsidRPr="00EA7665">
        <w:rPr>
          <w:rFonts w:ascii="Arial" w:hAnsi="Arial" w:cs="Arial"/>
        </w:rPr>
        <w:t xml:space="preserve">lack of </w:t>
      </w:r>
      <w:r>
        <w:rPr>
          <w:rFonts w:ascii="Arial" w:hAnsi="Arial" w:cs="Arial"/>
        </w:rPr>
        <w:t xml:space="preserve">the </w:t>
      </w:r>
      <w:r w:rsidRPr="00EA7665">
        <w:rPr>
          <w:rFonts w:ascii="Arial" w:hAnsi="Arial" w:cs="Arial"/>
        </w:rPr>
        <w:t xml:space="preserve">necessary infrastructure, </w:t>
      </w:r>
      <w:r>
        <w:rPr>
          <w:rFonts w:ascii="Arial" w:hAnsi="Arial" w:cs="Arial"/>
        </w:rPr>
        <w:t xml:space="preserve">a </w:t>
      </w:r>
      <w:r w:rsidRPr="00EA7665">
        <w:rPr>
          <w:rFonts w:ascii="Arial" w:hAnsi="Arial" w:cs="Arial"/>
        </w:rPr>
        <w:t>lack of machinery, logistics</w:t>
      </w:r>
      <w:r w:rsidR="00DE5B13">
        <w:rPr>
          <w:rFonts w:ascii="Arial" w:hAnsi="Arial" w:cs="Arial"/>
        </w:rPr>
        <w:t>,</w:t>
      </w:r>
      <w:r w:rsidRPr="00EA7665">
        <w:rPr>
          <w:rFonts w:ascii="Arial" w:hAnsi="Arial" w:cs="Arial"/>
        </w:rPr>
        <w:t xml:space="preserve"> and technical expertise. Nigeria presently lacks good roads</w:t>
      </w:r>
      <w:r>
        <w:rPr>
          <w:rFonts w:ascii="Arial" w:hAnsi="Arial" w:cs="Arial"/>
        </w:rPr>
        <w:t xml:space="preserve">, </w:t>
      </w:r>
      <w:r w:rsidRPr="00EA7665">
        <w:rPr>
          <w:rFonts w:ascii="Arial" w:hAnsi="Arial" w:cs="Arial"/>
        </w:rPr>
        <w:t>transportation systems</w:t>
      </w:r>
      <w:r w:rsidR="00DE5B13">
        <w:rPr>
          <w:rFonts w:ascii="Arial" w:hAnsi="Arial" w:cs="Arial"/>
        </w:rPr>
        <w:t>,</w:t>
      </w:r>
      <w:r w:rsidRPr="00EA7665">
        <w:rPr>
          <w:rFonts w:ascii="Arial" w:hAnsi="Arial" w:cs="Arial"/>
        </w:rPr>
        <w:t xml:space="preserve"> and power, </w:t>
      </w:r>
      <w:r w:rsidR="00C372B1">
        <w:rPr>
          <w:rFonts w:ascii="Arial" w:hAnsi="Arial" w:cs="Arial"/>
        </w:rPr>
        <w:t>hurting</w:t>
      </w:r>
      <w:r w:rsidRPr="00EA7665">
        <w:rPr>
          <w:rFonts w:ascii="Arial" w:hAnsi="Arial" w:cs="Arial"/>
        </w:rPr>
        <w:t xml:space="preserve"> real estate production and financing. Furthermore, </w:t>
      </w:r>
      <w:r w:rsidR="0041231E">
        <w:rPr>
          <w:rFonts w:ascii="Arial" w:hAnsi="Arial" w:cs="Arial"/>
        </w:rPr>
        <w:t>industrial barriers</w:t>
      </w:r>
      <w:r w:rsidRPr="00EA7665">
        <w:rPr>
          <w:rFonts w:ascii="Arial" w:hAnsi="Arial" w:cs="Arial"/>
        </w:rPr>
        <w:t xml:space="preserve"> include </w:t>
      </w:r>
      <w:r>
        <w:rPr>
          <w:rFonts w:ascii="Arial" w:hAnsi="Arial" w:cs="Arial"/>
        </w:rPr>
        <w:t xml:space="preserve">the </w:t>
      </w:r>
      <w:r w:rsidRPr="00EA7665">
        <w:rPr>
          <w:rFonts w:ascii="Arial" w:hAnsi="Arial" w:cs="Arial"/>
        </w:rPr>
        <w:t>high cost of establishing factories</w:t>
      </w:r>
      <w:r>
        <w:rPr>
          <w:rFonts w:ascii="Arial" w:hAnsi="Arial" w:cs="Arial"/>
        </w:rPr>
        <w:t>,</w:t>
      </w:r>
      <w:r w:rsidRPr="00EA7665">
        <w:rPr>
          <w:rFonts w:ascii="Arial" w:hAnsi="Arial" w:cs="Arial"/>
        </w:rPr>
        <w:t xml:space="preserve"> </w:t>
      </w:r>
      <w:r w:rsidR="0041231E">
        <w:rPr>
          <w:rFonts w:ascii="Arial" w:hAnsi="Arial" w:cs="Arial"/>
        </w:rPr>
        <w:t xml:space="preserve">the </w:t>
      </w:r>
      <w:r w:rsidRPr="00EA7665">
        <w:rPr>
          <w:rFonts w:ascii="Arial" w:hAnsi="Arial" w:cs="Arial"/>
        </w:rPr>
        <w:t>importation of materials</w:t>
      </w:r>
      <w:r w:rsidR="00DE5B13">
        <w:rPr>
          <w:rFonts w:ascii="Arial" w:hAnsi="Arial" w:cs="Arial"/>
        </w:rPr>
        <w:t>,</w:t>
      </w:r>
      <w:r w:rsidRPr="00EA7665">
        <w:rPr>
          <w:rFonts w:ascii="Arial" w:hAnsi="Arial" w:cs="Arial"/>
        </w:rPr>
        <w:t xml:space="preserve"> and </w:t>
      </w:r>
      <w:r>
        <w:rPr>
          <w:rFonts w:ascii="Arial" w:hAnsi="Arial" w:cs="Arial"/>
        </w:rPr>
        <w:t xml:space="preserve">the </w:t>
      </w:r>
      <w:r w:rsidRPr="00EA7665">
        <w:rPr>
          <w:rFonts w:ascii="Arial" w:hAnsi="Arial" w:cs="Arial"/>
        </w:rPr>
        <w:t>need for expatriat</w:t>
      </w:r>
      <w:r>
        <w:rPr>
          <w:rFonts w:ascii="Arial" w:hAnsi="Arial" w:cs="Arial"/>
        </w:rPr>
        <w:t xml:space="preserve">e </w:t>
      </w:r>
      <w:r w:rsidRPr="00EA7665">
        <w:rPr>
          <w:rFonts w:ascii="Arial" w:hAnsi="Arial" w:cs="Arial"/>
        </w:rPr>
        <w:t>workers (Pour Rahimian et al., 2017).</w:t>
      </w:r>
    </w:p>
    <w:p w14:paraId="2FB8DD5F" w14:textId="77777777" w:rsidR="00CD6352" w:rsidRPr="00EA7665" w:rsidRDefault="00CD6352" w:rsidP="00CD6352">
      <w:pPr>
        <w:spacing w:after="0" w:line="360" w:lineRule="auto"/>
        <w:jc w:val="both"/>
        <w:rPr>
          <w:rFonts w:ascii="Arial" w:hAnsi="Arial" w:cs="Arial"/>
          <w:b/>
        </w:rPr>
      </w:pPr>
      <w:bookmarkStart w:id="500" w:name="_Toc459365141"/>
      <w:r w:rsidRPr="00EA7665">
        <w:rPr>
          <w:rFonts w:ascii="Arial" w:hAnsi="Arial" w:cs="Arial"/>
          <w:b/>
        </w:rPr>
        <w:t xml:space="preserve">Governmental Laxities, Terrorism, Militancy and </w:t>
      </w:r>
      <w:bookmarkEnd w:id="500"/>
      <w:r w:rsidRPr="00EA7665">
        <w:rPr>
          <w:rFonts w:ascii="Arial" w:hAnsi="Arial" w:cs="Arial"/>
          <w:b/>
        </w:rPr>
        <w:t xml:space="preserve">Corruption: </w:t>
      </w:r>
    </w:p>
    <w:p w14:paraId="6211614C" w14:textId="13CA204D" w:rsidR="00CD6352" w:rsidRPr="00EA7665" w:rsidRDefault="00CD6352" w:rsidP="00CD6352">
      <w:pPr>
        <w:spacing w:after="0" w:line="360" w:lineRule="auto"/>
        <w:jc w:val="both"/>
        <w:rPr>
          <w:rFonts w:ascii="Arial" w:hAnsi="Arial" w:cs="Arial"/>
        </w:rPr>
      </w:pPr>
      <w:r w:rsidRPr="00EA7665">
        <w:rPr>
          <w:rFonts w:ascii="Arial" w:hAnsi="Arial" w:cs="Arial"/>
        </w:rPr>
        <w:t>The Nigerian government has not made enough effor</w:t>
      </w:r>
      <w:r>
        <w:rPr>
          <w:rFonts w:ascii="Arial" w:hAnsi="Arial" w:cs="Arial"/>
        </w:rPr>
        <w:t>t</w:t>
      </w:r>
      <w:r w:rsidRPr="00EA7665">
        <w:rPr>
          <w:rFonts w:ascii="Arial" w:hAnsi="Arial" w:cs="Arial"/>
        </w:rPr>
        <w:t xml:space="preserve"> to make the real estate sector maximally beneficial to all the stakeholders. The monetary and fiscal policies are not flexible enough for investors. Inflation is on the increase</w:t>
      </w:r>
      <w:r w:rsidR="0041231E">
        <w:rPr>
          <w:rFonts w:ascii="Arial" w:hAnsi="Arial" w:cs="Arial"/>
        </w:rPr>
        <w:t>,</w:t>
      </w:r>
      <w:r>
        <w:rPr>
          <w:rFonts w:ascii="Arial" w:hAnsi="Arial" w:cs="Arial"/>
        </w:rPr>
        <w:t xml:space="preserve"> and </w:t>
      </w:r>
      <w:r w:rsidRPr="00EA7665">
        <w:rPr>
          <w:rFonts w:ascii="Arial" w:hAnsi="Arial" w:cs="Arial"/>
        </w:rPr>
        <w:t>bank interest rat</w:t>
      </w:r>
      <w:r>
        <w:rPr>
          <w:rFonts w:ascii="Arial" w:hAnsi="Arial" w:cs="Arial"/>
        </w:rPr>
        <w:t>es are</w:t>
      </w:r>
      <w:r w:rsidRPr="00EA7665">
        <w:rPr>
          <w:rFonts w:ascii="Arial" w:hAnsi="Arial" w:cs="Arial"/>
        </w:rPr>
        <w:t xml:space="preserve"> as high as 25% per annum as against the 0.5% obtainable in the UK. (trading economics, 2019).</w:t>
      </w:r>
    </w:p>
    <w:p w14:paraId="4FCE8E01" w14:textId="0DD6D959" w:rsidR="00CD6352" w:rsidRPr="00EA7665" w:rsidRDefault="00CD6352" w:rsidP="00CD6352">
      <w:pPr>
        <w:spacing w:after="0" w:line="360" w:lineRule="auto"/>
        <w:jc w:val="both"/>
        <w:rPr>
          <w:rFonts w:ascii="Arial" w:hAnsi="Arial" w:cs="Arial"/>
        </w:rPr>
      </w:pPr>
      <w:r w:rsidRPr="00EA7665">
        <w:rPr>
          <w:rFonts w:ascii="Arial" w:hAnsi="Arial" w:cs="Arial"/>
        </w:rPr>
        <w:t xml:space="preserve">Furthermore, there is a lot of unrest in the </w:t>
      </w:r>
      <w:r>
        <w:rPr>
          <w:rFonts w:ascii="Arial" w:hAnsi="Arial" w:cs="Arial"/>
        </w:rPr>
        <w:t>n</w:t>
      </w:r>
      <w:r w:rsidRPr="00EA7665">
        <w:rPr>
          <w:rFonts w:ascii="Arial" w:hAnsi="Arial" w:cs="Arial"/>
        </w:rPr>
        <w:t xml:space="preserve">ortheastern and </w:t>
      </w:r>
      <w:r>
        <w:rPr>
          <w:rFonts w:ascii="Arial" w:hAnsi="Arial" w:cs="Arial"/>
        </w:rPr>
        <w:t>s</w:t>
      </w:r>
      <w:r w:rsidRPr="00EA7665">
        <w:rPr>
          <w:rFonts w:ascii="Arial" w:hAnsi="Arial" w:cs="Arial"/>
        </w:rPr>
        <w:t xml:space="preserve">outhern parts of Nigeria. Despite not being very prevalent in the major cities, it </w:t>
      </w:r>
      <w:r>
        <w:rPr>
          <w:rFonts w:ascii="Arial" w:hAnsi="Arial" w:cs="Arial"/>
        </w:rPr>
        <w:t xml:space="preserve">still </w:t>
      </w:r>
      <w:r w:rsidRPr="00EA7665">
        <w:rPr>
          <w:rFonts w:ascii="Arial" w:hAnsi="Arial" w:cs="Arial"/>
        </w:rPr>
        <w:t>acts as a deterrent to foreign direct investment</w:t>
      </w:r>
      <w:r w:rsidR="0041231E">
        <w:rPr>
          <w:rFonts w:ascii="Arial" w:hAnsi="Arial" w:cs="Arial"/>
        </w:rPr>
        <w:t>, impacting</w:t>
      </w:r>
      <w:r w:rsidRPr="00EA7665">
        <w:rPr>
          <w:rFonts w:ascii="Arial" w:hAnsi="Arial" w:cs="Arial"/>
        </w:rPr>
        <w:t xml:space="preserve"> the real estate sector. As </w:t>
      </w:r>
      <w:r>
        <w:rPr>
          <w:rFonts w:ascii="Arial" w:hAnsi="Arial" w:cs="Arial"/>
        </w:rPr>
        <w:t xml:space="preserve">a </w:t>
      </w:r>
      <w:r w:rsidRPr="00EA7665">
        <w:rPr>
          <w:rFonts w:ascii="Arial" w:hAnsi="Arial" w:cs="Arial"/>
        </w:rPr>
        <w:t xml:space="preserve">priority, most investors do a thorough </w:t>
      </w:r>
      <w:r>
        <w:rPr>
          <w:rFonts w:ascii="Arial" w:hAnsi="Arial" w:cs="Arial"/>
        </w:rPr>
        <w:t xml:space="preserve">risk </w:t>
      </w:r>
      <w:r w:rsidRPr="00EA7665">
        <w:rPr>
          <w:rFonts w:ascii="Arial" w:hAnsi="Arial" w:cs="Arial"/>
        </w:rPr>
        <w:t>assessment before investing (Punch newspaper, 2019).</w:t>
      </w:r>
    </w:p>
    <w:p w14:paraId="422A9DB2" w14:textId="31C0343A" w:rsidR="00CD6352" w:rsidRDefault="00CD6352" w:rsidP="00CD6352">
      <w:pPr>
        <w:spacing w:before="240" w:line="360" w:lineRule="auto"/>
        <w:jc w:val="both"/>
        <w:rPr>
          <w:rFonts w:ascii="Arial" w:hAnsi="Arial" w:cs="Arial"/>
        </w:rPr>
      </w:pPr>
      <w:r w:rsidRPr="00EA7665">
        <w:rPr>
          <w:rFonts w:ascii="Arial" w:hAnsi="Arial" w:cs="Arial"/>
        </w:rPr>
        <w:t>In addition to the above, the corruption rate is very high in Nigeria</w:t>
      </w:r>
      <w:r w:rsidR="0041231E">
        <w:rPr>
          <w:rFonts w:ascii="Arial" w:hAnsi="Arial" w:cs="Arial"/>
        </w:rPr>
        <w:t>,</w:t>
      </w:r>
      <w:r w:rsidRPr="00EA7665">
        <w:rPr>
          <w:rFonts w:ascii="Arial" w:hAnsi="Arial" w:cs="Arial"/>
        </w:rPr>
        <w:t xml:space="preserve"> ranging from reques</w:t>
      </w:r>
      <w:r>
        <w:rPr>
          <w:rFonts w:ascii="Arial" w:hAnsi="Arial" w:cs="Arial"/>
        </w:rPr>
        <w:t xml:space="preserve">ts </w:t>
      </w:r>
      <w:r w:rsidRPr="00EA7665">
        <w:rPr>
          <w:rFonts w:ascii="Arial" w:hAnsi="Arial" w:cs="Arial"/>
        </w:rPr>
        <w:t>for bribes and other unethical practices</w:t>
      </w:r>
      <w:r w:rsidR="00C372B1">
        <w:rPr>
          <w:rFonts w:ascii="Arial" w:hAnsi="Arial" w:cs="Arial"/>
        </w:rPr>
        <w:t>,</w:t>
      </w:r>
      <w:r w:rsidRPr="00EA7665">
        <w:rPr>
          <w:rFonts w:ascii="Arial" w:hAnsi="Arial" w:cs="Arial"/>
        </w:rPr>
        <w:t xml:space="preserve"> and it makes it difficult for investors and real estate developers to implement projects. Furthermore, very few developers can access bank financing, </w:t>
      </w:r>
      <w:r w:rsidR="00C372B1">
        <w:rPr>
          <w:rFonts w:ascii="Arial" w:hAnsi="Arial" w:cs="Arial"/>
        </w:rPr>
        <w:t>which leads to many</w:t>
      </w:r>
      <w:r w:rsidRPr="00EA7665">
        <w:rPr>
          <w:rFonts w:ascii="Arial" w:hAnsi="Arial" w:cs="Arial"/>
        </w:rPr>
        <w:t xml:space="preserve"> hitches in the real estate process. Individuals who are supposed to patronise these investors also have problems getting mortgages (Ogbenjuwa et al., 2018). </w:t>
      </w:r>
    </w:p>
    <w:p w14:paraId="35A057D5" w14:textId="77777777" w:rsidR="006773C6" w:rsidRPr="00EA7665" w:rsidRDefault="006773C6" w:rsidP="00CD6352">
      <w:pPr>
        <w:spacing w:before="240" w:line="360" w:lineRule="auto"/>
        <w:jc w:val="both"/>
        <w:rPr>
          <w:rFonts w:ascii="Arial" w:hAnsi="Arial" w:cs="Arial"/>
        </w:rPr>
      </w:pPr>
    </w:p>
    <w:p w14:paraId="77F08DA0" w14:textId="77777777" w:rsidR="00CD6352" w:rsidRPr="00EA7665" w:rsidRDefault="00CD6352" w:rsidP="00CD6352">
      <w:pPr>
        <w:spacing w:before="240" w:line="360" w:lineRule="auto"/>
        <w:jc w:val="both"/>
        <w:rPr>
          <w:rFonts w:ascii="Arial" w:hAnsi="Arial" w:cs="Arial"/>
          <w:b/>
        </w:rPr>
      </w:pPr>
      <w:r w:rsidRPr="00EA7665">
        <w:rPr>
          <w:rFonts w:ascii="Arial" w:hAnsi="Arial" w:cs="Arial"/>
          <w:b/>
        </w:rPr>
        <w:t>Real estate shortages in Nigeria</w:t>
      </w:r>
    </w:p>
    <w:p w14:paraId="62763CC4" w14:textId="4E8D96E2" w:rsidR="00CD6352" w:rsidRPr="00EA7665" w:rsidRDefault="00CD6352" w:rsidP="00CD6352">
      <w:pPr>
        <w:spacing w:before="240" w:line="360" w:lineRule="auto"/>
        <w:jc w:val="both"/>
        <w:rPr>
          <w:rFonts w:ascii="Arial" w:hAnsi="Arial" w:cs="Arial"/>
        </w:rPr>
      </w:pPr>
      <w:r w:rsidRPr="00EA7665">
        <w:rPr>
          <w:rFonts w:ascii="Arial" w:hAnsi="Arial" w:cs="Arial"/>
        </w:rPr>
        <w:t xml:space="preserve">Nigeria’s housing deficits </w:t>
      </w:r>
      <w:r>
        <w:rPr>
          <w:rFonts w:ascii="Arial" w:hAnsi="Arial" w:cs="Arial"/>
        </w:rPr>
        <w:t>have</w:t>
      </w:r>
      <w:r w:rsidRPr="00EA7665">
        <w:rPr>
          <w:rFonts w:ascii="Arial" w:hAnsi="Arial" w:cs="Arial"/>
        </w:rPr>
        <w:t xml:space="preserve"> worsened over the past decades</w:t>
      </w:r>
      <w:r>
        <w:rPr>
          <w:rFonts w:ascii="Arial" w:hAnsi="Arial" w:cs="Arial"/>
        </w:rPr>
        <w:t xml:space="preserve">.  It currently has a </w:t>
      </w:r>
      <w:r w:rsidRPr="00EA7665">
        <w:rPr>
          <w:rFonts w:ascii="Arial" w:hAnsi="Arial" w:cs="Arial"/>
        </w:rPr>
        <w:t xml:space="preserve">housing deficit </w:t>
      </w:r>
      <w:r>
        <w:rPr>
          <w:rFonts w:ascii="Arial" w:hAnsi="Arial" w:cs="Arial"/>
        </w:rPr>
        <w:t>of</w:t>
      </w:r>
      <w:r w:rsidRPr="00EA7665">
        <w:rPr>
          <w:rFonts w:ascii="Arial" w:hAnsi="Arial" w:cs="Arial"/>
        </w:rPr>
        <w:t xml:space="preserve"> about </w:t>
      </w:r>
      <w:r w:rsidR="00DE5B13">
        <w:rPr>
          <w:rFonts w:ascii="Arial" w:hAnsi="Arial" w:cs="Arial"/>
        </w:rPr>
        <w:t xml:space="preserve">a </w:t>
      </w:r>
      <w:r w:rsidRPr="00EA7665">
        <w:rPr>
          <w:rFonts w:ascii="Arial" w:hAnsi="Arial" w:cs="Arial"/>
        </w:rPr>
        <w:t>17million. The World Bank report published in July 2018 shows that the country needs about 700,000 additional units each year for the next 20</w:t>
      </w:r>
      <w:r>
        <w:rPr>
          <w:rFonts w:ascii="Arial" w:hAnsi="Arial" w:cs="Arial"/>
        </w:rPr>
        <w:t xml:space="preserve"> </w:t>
      </w:r>
      <w:r w:rsidRPr="00EA7665">
        <w:rPr>
          <w:rFonts w:ascii="Arial" w:hAnsi="Arial" w:cs="Arial"/>
        </w:rPr>
        <w:t>years to keep up with the growing population and urban migration. However, housing construction presently is about 100,000 units per year (Simire, 2018).</w:t>
      </w:r>
    </w:p>
    <w:p w14:paraId="6D061EF7" w14:textId="6F397445" w:rsidR="00CD6352" w:rsidRPr="00EA7665" w:rsidRDefault="00CD6352" w:rsidP="00CD6352">
      <w:pPr>
        <w:spacing w:before="240" w:line="360" w:lineRule="auto"/>
        <w:jc w:val="both"/>
        <w:rPr>
          <w:rFonts w:ascii="Arial" w:hAnsi="Arial" w:cs="Arial"/>
        </w:rPr>
      </w:pPr>
      <w:r w:rsidRPr="00EA7665">
        <w:rPr>
          <w:rFonts w:ascii="Arial" w:hAnsi="Arial" w:cs="Arial"/>
        </w:rPr>
        <w:lastRenderedPageBreak/>
        <w:t>The Global</w:t>
      </w:r>
      <w:r>
        <w:rPr>
          <w:rFonts w:ascii="Arial" w:hAnsi="Arial" w:cs="Arial"/>
        </w:rPr>
        <w:t xml:space="preserve"> Property</w:t>
      </w:r>
      <w:r w:rsidRPr="00EA7665">
        <w:rPr>
          <w:rFonts w:ascii="Arial" w:hAnsi="Arial" w:cs="Arial"/>
        </w:rPr>
        <w:t xml:space="preserve"> </w:t>
      </w:r>
      <w:r>
        <w:rPr>
          <w:rFonts w:ascii="Arial" w:hAnsi="Arial" w:cs="Arial"/>
        </w:rPr>
        <w:t>G</w:t>
      </w:r>
      <w:r w:rsidRPr="00EA7665">
        <w:rPr>
          <w:rFonts w:ascii="Arial" w:hAnsi="Arial" w:cs="Arial"/>
        </w:rPr>
        <w:t xml:space="preserve">uide </w:t>
      </w:r>
      <w:r>
        <w:rPr>
          <w:rFonts w:ascii="Arial" w:hAnsi="Arial" w:cs="Arial"/>
        </w:rPr>
        <w:t>R</w:t>
      </w:r>
      <w:r w:rsidRPr="00EA7665">
        <w:rPr>
          <w:rFonts w:ascii="Arial" w:hAnsi="Arial" w:cs="Arial"/>
        </w:rPr>
        <w:t>eport (2019) revealed that Lagos</w:t>
      </w:r>
      <w:r>
        <w:rPr>
          <w:rFonts w:ascii="Arial" w:hAnsi="Arial" w:cs="Arial"/>
        </w:rPr>
        <w:t>,</w:t>
      </w:r>
      <w:r w:rsidRPr="00EA7665">
        <w:rPr>
          <w:rFonts w:ascii="Arial" w:hAnsi="Arial" w:cs="Arial"/>
        </w:rPr>
        <w:t xml:space="preserve"> </w:t>
      </w:r>
      <w:r w:rsidR="00C2086B" w:rsidRPr="00EA7665">
        <w:rPr>
          <w:rFonts w:ascii="Arial" w:hAnsi="Arial" w:cs="Arial"/>
        </w:rPr>
        <w:t>Nigeria</w:t>
      </w:r>
      <w:r w:rsidR="00C2086B">
        <w:rPr>
          <w:rFonts w:ascii="Arial" w:hAnsi="Arial" w:cs="Arial"/>
        </w:rPr>
        <w:t xml:space="preserve">’s </w:t>
      </w:r>
      <w:r w:rsidR="00C2086B" w:rsidRPr="00EA7665">
        <w:rPr>
          <w:rFonts w:ascii="Arial" w:hAnsi="Arial" w:cs="Arial"/>
        </w:rPr>
        <w:t>largest</w:t>
      </w:r>
      <w:r w:rsidRPr="00EA7665">
        <w:rPr>
          <w:rFonts w:ascii="Arial" w:hAnsi="Arial" w:cs="Arial"/>
        </w:rPr>
        <w:t xml:space="preserve"> urban area</w:t>
      </w:r>
      <w:r>
        <w:rPr>
          <w:rFonts w:ascii="Arial" w:hAnsi="Arial" w:cs="Arial"/>
        </w:rPr>
        <w:t>,</w:t>
      </w:r>
      <w:r w:rsidRPr="00EA7665">
        <w:rPr>
          <w:rFonts w:ascii="Arial" w:hAnsi="Arial" w:cs="Arial"/>
        </w:rPr>
        <w:t xml:space="preserve"> has about 70% of its total population living in informal housing and slums</w:t>
      </w:r>
      <w:r w:rsidR="00734983">
        <w:rPr>
          <w:rFonts w:ascii="Arial" w:hAnsi="Arial" w:cs="Arial"/>
        </w:rPr>
        <w:t>,</w:t>
      </w:r>
      <w:r w:rsidRPr="00EA7665">
        <w:rPr>
          <w:rFonts w:ascii="Arial" w:hAnsi="Arial" w:cs="Arial"/>
        </w:rPr>
        <w:t xml:space="preserve"> based on a report sourced from the Lagos authorities. The housing deficit in Lagos is estimated to be around 2.5 million units. Th</w:t>
      </w:r>
      <w:r>
        <w:rPr>
          <w:rFonts w:ascii="Arial" w:hAnsi="Arial" w:cs="Arial"/>
        </w:rPr>
        <w:t>ere</w:t>
      </w:r>
      <w:r w:rsidRPr="00EA7665">
        <w:rPr>
          <w:rFonts w:ascii="Arial" w:hAnsi="Arial" w:cs="Arial"/>
        </w:rPr>
        <w:t xml:space="preserve"> is an increasing demand in other major cities such as Abuja, Ibadan and Kano. Interest rates have remained unsustainably high in Nigeria</w:t>
      </w:r>
      <w:r w:rsidR="0041231E">
        <w:rPr>
          <w:rFonts w:ascii="Arial" w:hAnsi="Arial" w:cs="Arial"/>
        </w:rPr>
        <w:t xml:space="preserve">. This has </w:t>
      </w:r>
      <w:r w:rsidR="007E3067">
        <w:rPr>
          <w:rFonts w:ascii="Arial" w:hAnsi="Arial" w:cs="Arial"/>
        </w:rPr>
        <w:t xml:space="preserve">dramatically </w:t>
      </w:r>
      <w:r w:rsidR="0041231E">
        <w:rPr>
          <w:rFonts w:ascii="Arial" w:hAnsi="Arial" w:cs="Arial"/>
        </w:rPr>
        <w:t>impacted</w:t>
      </w:r>
      <w:r w:rsidRPr="00EA7665">
        <w:rPr>
          <w:rFonts w:ascii="Arial" w:hAnsi="Arial" w:cs="Arial"/>
        </w:rPr>
        <w:t xml:space="preserve"> </w:t>
      </w:r>
      <w:r w:rsidR="007E3067">
        <w:rPr>
          <w:rFonts w:ascii="Arial" w:hAnsi="Arial" w:cs="Arial"/>
        </w:rPr>
        <w:t xml:space="preserve">the country's </w:t>
      </w:r>
      <w:r w:rsidR="00C372B1">
        <w:rPr>
          <w:rFonts w:ascii="Arial" w:hAnsi="Arial" w:cs="Arial"/>
        </w:rPr>
        <w:t>new real estate construction finance</w:t>
      </w:r>
      <w:r w:rsidR="0041231E">
        <w:rPr>
          <w:rFonts w:ascii="Arial" w:hAnsi="Arial" w:cs="Arial"/>
        </w:rPr>
        <w:t xml:space="preserve">, with the prime lending rate at 18.23% as </w:t>
      </w:r>
      <w:r w:rsidR="007E3067">
        <w:rPr>
          <w:rFonts w:ascii="Arial" w:hAnsi="Arial" w:cs="Arial"/>
        </w:rPr>
        <w:t>of</w:t>
      </w:r>
      <w:r w:rsidR="007E3067" w:rsidRPr="00EA7665">
        <w:rPr>
          <w:rFonts w:ascii="Arial" w:hAnsi="Arial" w:cs="Arial"/>
        </w:rPr>
        <w:t xml:space="preserve"> </w:t>
      </w:r>
      <w:r w:rsidRPr="00EA7665">
        <w:rPr>
          <w:rFonts w:ascii="Arial" w:hAnsi="Arial" w:cs="Arial"/>
        </w:rPr>
        <w:t>April 2019 (Delmendo, 2019).</w:t>
      </w:r>
      <w:r>
        <w:rPr>
          <w:rFonts w:ascii="Arial" w:hAnsi="Arial" w:cs="Arial"/>
        </w:rPr>
        <w:t xml:space="preserve"> </w:t>
      </w:r>
      <w:r w:rsidRPr="00EA7665">
        <w:rPr>
          <w:rFonts w:ascii="Arial" w:hAnsi="Arial" w:cs="Arial"/>
        </w:rPr>
        <w:t>Furthermore, the co</w:t>
      </w:r>
      <w:r w:rsidR="007E3067">
        <w:rPr>
          <w:rFonts w:ascii="Arial" w:hAnsi="Arial" w:cs="Arial"/>
        </w:rPr>
        <w:t>nstruction cost</w:t>
      </w:r>
      <w:r w:rsidRPr="00EA7665">
        <w:rPr>
          <w:rFonts w:ascii="Arial" w:hAnsi="Arial" w:cs="Arial"/>
        </w:rPr>
        <w:t xml:space="preserve"> in Nigeria is very high because of the high cost of building materials, high skilled labour cost and </w:t>
      </w:r>
      <w:r>
        <w:rPr>
          <w:rFonts w:ascii="Arial" w:hAnsi="Arial" w:cs="Arial"/>
        </w:rPr>
        <w:t>costs</w:t>
      </w:r>
      <w:r w:rsidRPr="00EA7665">
        <w:rPr>
          <w:rFonts w:ascii="Arial" w:hAnsi="Arial" w:cs="Arial"/>
        </w:rPr>
        <w:t xml:space="preserve"> associated with poor roads and sewage systems. </w:t>
      </w:r>
    </w:p>
    <w:p w14:paraId="1EDEDBEC" w14:textId="77777777" w:rsidR="00CD6352" w:rsidRPr="00EA7665" w:rsidRDefault="00CD6352" w:rsidP="00CD6352">
      <w:pPr>
        <w:pStyle w:val="Heading4"/>
        <w:spacing w:after="240"/>
        <w:rPr>
          <w:rFonts w:ascii="Arial" w:hAnsi="Arial" w:cs="Arial"/>
          <w:b/>
          <w:color w:val="000000" w:themeColor="text1"/>
          <w:lang w:val="en-US"/>
        </w:rPr>
      </w:pPr>
      <w:r w:rsidRPr="00EA7665">
        <w:rPr>
          <w:rFonts w:ascii="Arial" w:hAnsi="Arial" w:cs="Arial"/>
          <w:b/>
          <w:color w:val="000000" w:themeColor="text1"/>
          <w:lang w:val="en-US"/>
        </w:rPr>
        <w:t xml:space="preserve">Sources of Real estate finance in Nigeria </w:t>
      </w:r>
    </w:p>
    <w:p w14:paraId="66A7BFAE" w14:textId="53C9FDB9" w:rsidR="00CD6352" w:rsidRPr="00EA7665" w:rsidRDefault="00CD6352" w:rsidP="00CD6352">
      <w:pPr>
        <w:spacing w:after="0" w:line="360" w:lineRule="auto"/>
        <w:jc w:val="both"/>
        <w:rPr>
          <w:rFonts w:ascii="Arial" w:hAnsi="Arial" w:cs="Arial"/>
        </w:rPr>
      </w:pPr>
      <w:r w:rsidRPr="00A60D08">
        <w:rPr>
          <w:rFonts w:ascii="Arial" w:hAnsi="Arial" w:cs="Arial"/>
        </w:rPr>
        <w:t xml:space="preserve">One </w:t>
      </w:r>
      <w:r w:rsidR="0041231E">
        <w:rPr>
          <w:rFonts w:ascii="Arial" w:hAnsi="Arial" w:cs="Arial"/>
        </w:rPr>
        <w:t>way</w:t>
      </w:r>
      <w:r w:rsidRPr="00A60D08">
        <w:rPr>
          <w:rFonts w:ascii="Arial" w:hAnsi="Arial" w:cs="Arial"/>
        </w:rPr>
        <w:t xml:space="preserve"> of providing finance for real estate project development in Nigeria is by ploughing back real estate income </w:t>
      </w:r>
      <w:r w:rsidR="002D3959">
        <w:rPr>
          <w:rFonts w:ascii="Arial" w:hAnsi="Arial" w:cs="Arial"/>
        </w:rPr>
        <w:t xml:space="preserve">obtained </w:t>
      </w:r>
      <w:r w:rsidR="002D3959" w:rsidRPr="00A60D08">
        <w:rPr>
          <w:rFonts w:ascii="Arial" w:hAnsi="Arial" w:cs="Arial"/>
        </w:rPr>
        <w:t>through</w:t>
      </w:r>
      <w:r w:rsidRPr="00A60D08">
        <w:rPr>
          <w:rFonts w:ascii="Arial" w:hAnsi="Arial" w:cs="Arial"/>
        </w:rPr>
        <w:t xml:space="preserve"> rental income, sinking funds from leasehold interes</w:t>
      </w:r>
      <w:r>
        <w:rPr>
          <w:rFonts w:ascii="Arial" w:hAnsi="Arial" w:cs="Arial"/>
        </w:rPr>
        <w:t>ts</w:t>
      </w:r>
      <w:r w:rsidR="00DE5B13">
        <w:rPr>
          <w:rFonts w:ascii="Arial" w:hAnsi="Arial" w:cs="Arial"/>
        </w:rPr>
        <w:t>,</w:t>
      </w:r>
      <w:r>
        <w:rPr>
          <w:rFonts w:ascii="Arial" w:hAnsi="Arial" w:cs="Arial"/>
        </w:rPr>
        <w:t xml:space="preserve"> </w:t>
      </w:r>
      <w:r w:rsidRPr="00A60D08">
        <w:rPr>
          <w:rFonts w:ascii="Arial" w:hAnsi="Arial" w:cs="Arial"/>
        </w:rPr>
        <w:t>and</w:t>
      </w:r>
      <w:r>
        <w:rPr>
          <w:rFonts w:ascii="Arial" w:hAnsi="Arial" w:cs="Arial"/>
        </w:rPr>
        <w:t xml:space="preserve"> the</w:t>
      </w:r>
      <w:r w:rsidRPr="00A60D08">
        <w:rPr>
          <w:rFonts w:ascii="Arial" w:hAnsi="Arial" w:cs="Arial"/>
        </w:rPr>
        <w:t xml:space="preserve"> sale of real estate. However, this has become grossly insufficient in recent years due to increased demands for real estate (Ebi and Kalu, 2016).</w:t>
      </w:r>
      <w:r>
        <w:rPr>
          <w:rFonts w:ascii="Arial" w:hAnsi="Arial" w:cs="Arial"/>
        </w:rPr>
        <w:t xml:space="preserve"> </w:t>
      </w:r>
      <w:r w:rsidRPr="00A60D08">
        <w:rPr>
          <w:rFonts w:ascii="Arial" w:hAnsi="Arial" w:cs="Arial"/>
        </w:rPr>
        <w:t>Mortgage institutions are also a good source of real estate project development finance in Nigeria. The funds channe</w:t>
      </w:r>
      <w:r w:rsidR="008C0AA3">
        <w:rPr>
          <w:rFonts w:ascii="Arial" w:hAnsi="Arial" w:cs="Arial"/>
        </w:rPr>
        <w:t>l</w:t>
      </w:r>
      <w:r w:rsidRPr="00A60D08">
        <w:rPr>
          <w:rFonts w:ascii="Arial" w:hAnsi="Arial" w:cs="Arial"/>
        </w:rPr>
        <w:t xml:space="preserve">led through the </w:t>
      </w:r>
      <w:r>
        <w:rPr>
          <w:rFonts w:ascii="Arial" w:hAnsi="Arial" w:cs="Arial"/>
        </w:rPr>
        <w:t>m</w:t>
      </w:r>
      <w:r w:rsidRPr="00A60D08">
        <w:rPr>
          <w:rFonts w:ascii="Arial" w:hAnsi="Arial" w:cs="Arial"/>
        </w:rPr>
        <w:t xml:space="preserve">ortgage institutions are basically from deposit mobilisation and the (NHF) National Housing Fund (Ezimuo et al., 2014). The NHF is meant to be a source of finance for real estate development and housing provision.  Institutional borrowers can apply for loans directly from the Federal </w:t>
      </w:r>
      <w:r>
        <w:rPr>
          <w:rFonts w:ascii="Arial" w:hAnsi="Arial" w:cs="Arial"/>
        </w:rPr>
        <w:t>M</w:t>
      </w:r>
      <w:r w:rsidRPr="00A60D08">
        <w:rPr>
          <w:rFonts w:ascii="Arial" w:hAnsi="Arial" w:cs="Arial"/>
        </w:rPr>
        <w:t xml:space="preserve">ortgage </w:t>
      </w:r>
      <w:r>
        <w:rPr>
          <w:rFonts w:ascii="Arial" w:hAnsi="Arial" w:cs="Arial"/>
        </w:rPr>
        <w:t>B</w:t>
      </w:r>
      <w:r w:rsidRPr="00A60D08">
        <w:rPr>
          <w:rFonts w:ascii="Arial" w:hAnsi="Arial" w:cs="Arial"/>
        </w:rPr>
        <w:t xml:space="preserve">ank of Nigeria. However, the mortgage finance institutions in Nigeria are plagued with bureaucracy in </w:t>
      </w:r>
      <w:r>
        <w:rPr>
          <w:rFonts w:ascii="Arial" w:hAnsi="Arial" w:cs="Arial"/>
        </w:rPr>
        <w:t xml:space="preserve">the </w:t>
      </w:r>
      <w:r w:rsidRPr="00A60D08">
        <w:rPr>
          <w:rFonts w:ascii="Arial" w:hAnsi="Arial" w:cs="Arial"/>
        </w:rPr>
        <w:t>granting and</w:t>
      </w:r>
      <w:r w:rsidRPr="00EA7665">
        <w:rPr>
          <w:rFonts w:ascii="Arial" w:hAnsi="Arial" w:cs="Arial"/>
        </w:rPr>
        <w:t xml:space="preserve"> disbursement of mortgage loans to borrowers</w:t>
      </w:r>
      <w:r>
        <w:rPr>
          <w:rFonts w:ascii="Arial" w:hAnsi="Arial" w:cs="Arial"/>
        </w:rPr>
        <w:t>,</w:t>
      </w:r>
      <w:r w:rsidRPr="00EA7665">
        <w:rPr>
          <w:rFonts w:ascii="Arial" w:hAnsi="Arial" w:cs="Arial"/>
        </w:rPr>
        <w:t xml:space="preserve"> unavailability of funds</w:t>
      </w:r>
      <w:r>
        <w:rPr>
          <w:rFonts w:ascii="Arial" w:hAnsi="Arial" w:cs="Arial"/>
        </w:rPr>
        <w:t>, a</w:t>
      </w:r>
      <w:r w:rsidRPr="00EA7665">
        <w:rPr>
          <w:rFonts w:ascii="Arial" w:hAnsi="Arial" w:cs="Arial"/>
        </w:rPr>
        <w:t xml:space="preserve"> corrupt workforce and the problem of </w:t>
      </w:r>
      <w:r>
        <w:rPr>
          <w:rFonts w:ascii="Arial" w:hAnsi="Arial" w:cs="Arial"/>
        </w:rPr>
        <w:t xml:space="preserve">the </w:t>
      </w:r>
      <w:r w:rsidRPr="00EA7665">
        <w:rPr>
          <w:rFonts w:ascii="Arial" w:hAnsi="Arial" w:cs="Arial"/>
        </w:rPr>
        <w:t>repayment of loans by borrowers (Ezimuo et al., 2014).</w:t>
      </w:r>
    </w:p>
    <w:p w14:paraId="4C7152F9" w14:textId="02CD407F" w:rsidR="00CD6352" w:rsidRPr="00EA7665" w:rsidRDefault="00CD6352" w:rsidP="00CD6352">
      <w:pPr>
        <w:spacing w:before="240" w:after="0" w:line="360" w:lineRule="auto"/>
        <w:jc w:val="both"/>
        <w:rPr>
          <w:rFonts w:ascii="Arial" w:eastAsia="Calibri" w:hAnsi="Arial" w:cs="Arial"/>
        </w:rPr>
      </w:pPr>
      <w:r w:rsidRPr="00EA7665">
        <w:rPr>
          <w:rFonts w:ascii="Arial" w:hAnsi="Arial" w:cs="Arial"/>
        </w:rPr>
        <w:t xml:space="preserve">Crowdfunding is a new platform springing up for securing finance for real estate project development in Nigeria. </w:t>
      </w:r>
      <w:r w:rsidRPr="00EA7665">
        <w:rPr>
          <w:rFonts w:ascii="Arial" w:eastAsia="Calibri" w:hAnsi="Arial" w:cs="Arial"/>
        </w:rPr>
        <w:t>It i</w:t>
      </w:r>
      <w:r w:rsidR="006773C6">
        <w:rPr>
          <w:rFonts w:ascii="Arial" w:eastAsia="Calibri" w:hAnsi="Arial" w:cs="Arial"/>
        </w:rPr>
        <w:t>s a non-traditional, non-bank financing source that utilises a diverse network of friends, family, associates, and colleagues. It involves a large pool of investors who individually contribute a small amount toward achieving a big project</w:t>
      </w:r>
      <w:r w:rsidRPr="00EA7665">
        <w:rPr>
          <w:rFonts w:ascii="Arial" w:eastAsia="Calibri" w:hAnsi="Arial" w:cs="Arial"/>
        </w:rPr>
        <w:t>. The scheme guarantees a</w:t>
      </w:r>
      <w:r>
        <w:rPr>
          <w:rFonts w:ascii="Arial" w:eastAsia="Calibri" w:hAnsi="Arial" w:cs="Arial"/>
        </w:rPr>
        <w:t>n average</w:t>
      </w:r>
      <w:r w:rsidR="00DE5B13">
        <w:rPr>
          <w:rFonts w:ascii="Arial" w:eastAsia="Calibri" w:hAnsi="Arial" w:cs="Arial"/>
        </w:rPr>
        <w:t xml:space="preserve"> of</w:t>
      </w:r>
      <w:r w:rsidRPr="00EA7665">
        <w:rPr>
          <w:rFonts w:ascii="Arial" w:eastAsia="Calibri" w:hAnsi="Arial" w:cs="Arial"/>
        </w:rPr>
        <w:t xml:space="preserve"> 25</w:t>
      </w:r>
      <w:r>
        <w:rPr>
          <w:rFonts w:ascii="Arial" w:eastAsia="Calibri" w:hAnsi="Arial" w:cs="Arial"/>
        </w:rPr>
        <w:t xml:space="preserve"> </w:t>
      </w:r>
      <w:r w:rsidRPr="00EA7665">
        <w:rPr>
          <w:rFonts w:ascii="Arial" w:eastAsia="Calibri" w:hAnsi="Arial" w:cs="Arial"/>
        </w:rPr>
        <w:t>per</w:t>
      </w:r>
      <w:r w:rsidR="008C0AA3">
        <w:rPr>
          <w:rFonts w:ascii="Arial" w:eastAsia="Calibri" w:hAnsi="Arial" w:cs="Arial"/>
        </w:rPr>
        <w:t xml:space="preserve"> </w:t>
      </w:r>
      <w:r w:rsidRPr="00EA7665">
        <w:rPr>
          <w:rFonts w:ascii="Arial" w:eastAsia="Calibri" w:hAnsi="Arial" w:cs="Arial"/>
        </w:rPr>
        <w:t>cent return per annum (Gbonegun, 2019).</w:t>
      </w:r>
    </w:p>
    <w:p w14:paraId="3288EF5A" w14:textId="174A4A18" w:rsidR="00CD6352" w:rsidRPr="00EA7665" w:rsidRDefault="00CD6352" w:rsidP="00CD6352">
      <w:pPr>
        <w:spacing w:before="240" w:line="360" w:lineRule="auto"/>
        <w:jc w:val="both"/>
        <w:rPr>
          <w:rFonts w:ascii="Arial" w:hAnsi="Arial" w:cs="Arial"/>
        </w:rPr>
      </w:pPr>
      <w:r w:rsidRPr="00EA7665">
        <w:rPr>
          <w:rFonts w:ascii="Arial" w:eastAsia="Calibri" w:hAnsi="Arial" w:cs="Arial"/>
        </w:rPr>
        <w:t xml:space="preserve">Real estate investment trusts (REITs) </w:t>
      </w:r>
      <w:r>
        <w:rPr>
          <w:rFonts w:ascii="Arial" w:eastAsia="Calibri" w:hAnsi="Arial" w:cs="Arial"/>
        </w:rPr>
        <w:t>as</w:t>
      </w:r>
      <w:r w:rsidRPr="00EA7665">
        <w:rPr>
          <w:rFonts w:ascii="Arial" w:eastAsia="Calibri" w:hAnsi="Arial" w:cs="Arial"/>
        </w:rPr>
        <w:t xml:space="preserve"> a means of real estate investment are not yet </w:t>
      </w:r>
      <w:r>
        <w:rPr>
          <w:rFonts w:ascii="Arial" w:eastAsia="Calibri" w:hAnsi="Arial" w:cs="Arial"/>
        </w:rPr>
        <w:t xml:space="preserve">a </w:t>
      </w:r>
      <w:r w:rsidRPr="00EA7665">
        <w:rPr>
          <w:rFonts w:ascii="Arial" w:eastAsia="Calibri" w:hAnsi="Arial" w:cs="Arial"/>
        </w:rPr>
        <w:t>favourite in Nigeria</w:t>
      </w:r>
      <w:r w:rsidR="0041231E">
        <w:rPr>
          <w:rFonts w:ascii="Arial" w:eastAsia="Calibri" w:hAnsi="Arial" w:cs="Arial"/>
        </w:rPr>
        <w:t>. There are presently only four REITs in Nigeria,</w:t>
      </w:r>
      <w:r w:rsidRPr="00EA7665">
        <w:rPr>
          <w:rFonts w:ascii="Arial" w:eastAsia="Calibri" w:hAnsi="Arial" w:cs="Arial"/>
        </w:rPr>
        <w:t xml:space="preserve"> Skye </w:t>
      </w:r>
      <w:r>
        <w:rPr>
          <w:rFonts w:ascii="Arial" w:eastAsia="Calibri" w:hAnsi="Arial" w:cs="Arial"/>
        </w:rPr>
        <w:t>S</w:t>
      </w:r>
      <w:r w:rsidRPr="00EA7665">
        <w:rPr>
          <w:rFonts w:ascii="Arial" w:eastAsia="Calibri" w:hAnsi="Arial" w:cs="Arial"/>
        </w:rPr>
        <w:t xml:space="preserve">helter </w:t>
      </w:r>
      <w:r>
        <w:rPr>
          <w:rFonts w:ascii="Arial" w:eastAsia="Calibri" w:hAnsi="Arial" w:cs="Arial"/>
        </w:rPr>
        <w:t>F</w:t>
      </w:r>
      <w:r w:rsidRPr="00EA7665">
        <w:rPr>
          <w:rFonts w:ascii="Arial" w:eastAsia="Calibri" w:hAnsi="Arial" w:cs="Arial"/>
        </w:rPr>
        <w:t>und, Union Homes REIT, REIT Company</w:t>
      </w:r>
      <w:r w:rsidR="0041231E">
        <w:rPr>
          <w:rFonts w:ascii="Arial" w:eastAsia="Calibri" w:hAnsi="Arial" w:cs="Arial"/>
        </w:rPr>
        <w:t>,</w:t>
      </w:r>
      <w:r w:rsidRPr="00EA7665">
        <w:rPr>
          <w:rFonts w:ascii="Arial" w:eastAsia="Calibri" w:hAnsi="Arial" w:cs="Arial"/>
        </w:rPr>
        <w:t xml:space="preserve"> and UACN REIT. </w:t>
      </w:r>
      <w:r w:rsidRPr="00EA7665">
        <w:rPr>
          <w:rFonts w:ascii="Arial" w:hAnsi="Arial" w:cs="Arial"/>
        </w:rPr>
        <w:t>There is also</w:t>
      </w:r>
      <w:r>
        <w:rPr>
          <w:rFonts w:ascii="Arial" w:hAnsi="Arial" w:cs="Arial"/>
        </w:rPr>
        <w:t xml:space="preserve"> </w:t>
      </w:r>
      <w:r w:rsidRPr="00EA7665">
        <w:rPr>
          <w:rFonts w:ascii="Arial" w:hAnsi="Arial" w:cs="Arial"/>
        </w:rPr>
        <w:t xml:space="preserve">contractor finance in Nigeria which entails a contractor or developer investing their finance on </w:t>
      </w:r>
      <w:r>
        <w:rPr>
          <w:rFonts w:ascii="Arial" w:hAnsi="Arial" w:cs="Arial"/>
        </w:rPr>
        <w:t>a plot of</w:t>
      </w:r>
      <w:r w:rsidRPr="00EA7665">
        <w:rPr>
          <w:rFonts w:ascii="Arial" w:hAnsi="Arial" w:cs="Arial"/>
        </w:rPr>
        <w:t xml:space="preserve"> land</w:t>
      </w:r>
      <w:r>
        <w:rPr>
          <w:rFonts w:ascii="Arial" w:hAnsi="Arial" w:cs="Arial"/>
        </w:rPr>
        <w:t xml:space="preserve"> and</w:t>
      </w:r>
      <w:r w:rsidRPr="00EA7665">
        <w:rPr>
          <w:rFonts w:ascii="Arial" w:hAnsi="Arial" w:cs="Arial"/>
        </w:rPr>
        <w:t xml:space="preserve"> then developing estates. The</w:t>
      </w:r>
      <w:r w:rsidR="0041231E">
        <w:rPr>
          <w:rFonts w:ascii="Arial" w:hAnsi="Arial" w:cs="Arial"/>
        </w:rPr>
        <w:t>refore, the original owner of the land is</w:t>
      </w:r>
      <w:r w:rsidRPr="00EA7665">
        <w:rPr>
          <w:rFonts w:ascii="Arial" w:hAnsi="Arial" w:cs="Arial"/>
        </w:rPr>
        <w:t xml:space="preserve"> entitled to a portion of the property</w:t>
      </w:r>
      <w:r>
        <w:rPr>
          <w:rFonts w:ascii="Arial" w:hAnsi="Arial" w:cs="Arial"/>
        </w:rPr>
        <w:t xml:space="preserve"> and t</w:t>
      </w:r>
      <w:r w:rsidRPr="00EA7665">
        <w:rPr>
          <w:rFonts w:ascii="Arial" w:hAnsi="Arial" w:cs="Arial"/>
        </w:rPr>
        <w:t xml:space="preserve">hese properties are often located in a choice area of the major cities of Lagos, Abuja and Port Harcourt (Ebi and Kalu, 2016). </w:t>
      </w:r>
    </w:p>
    <w:p w14:paraId="4A5321D1" w14:textId="353ACEF2" w:rsidR="00CD6352" w:rsidRPr="00EA7665" w:rsidRDefault="00CD6352" w:rsidP="00CD6352">
      <w:pPr>
        <w:spacing w:after="0" w:line="360" w:lineRule="auto"/>
        <w:jc w:val="both"/>
        <w:rPr>
          <w:rFonts w:ascii="Arial" w:hAnsi="Arial" w:cs="Arial"/>
        </w:rPr>
      </w:pPr>
      <w:r w:rsidRPr="00EA7665">
        <w:rPr>
          <w:rFonts w:ascii="Arial" w:hAnsi="Arial" w:cs="Arial"/>
        </w:rPr>
        <w:lastRenderedPageBreak/>
        <w:t>The Nigerian real estate</w:t>
      </w:r>
      <w:r>
        <w:rPr>
          <w:rFonts w:ascii="Arial" w:hAnsi="Arial" w:cs="Arial"/>
        </w:rPr>
        <w:t xml:space="preserve"> sector</w:t>
      </w:r>
      <w:r w:rsidRPr="00EA7665">
        <w:rPr>
          <w:rFonts w:ascii="Arial" w:hAnsi="Arial" w:cs="Arial"/>
        </w:rPr>
        <w:t xml:space="preserve"> is not developed</w:t>
      </w:r>
      <w:r w:rsidR="0041231E">
        <w:rPr>
          <w:rFonts w:ascii="Arial" w:hAnsi="Arial" w:cs="Arial"/>
        </w:rPr>
        <w:t>;</w:t>
      </w:r>
      <w:r>
        <w:rPr>
          <w:rFonts w:ascii="Arial" w:hAnsi="Arial" w:cs="Arial"/>
        </w:rPr>
        <w:t xml:space="preserve"> although </w:t>
      </w:r>
      <w:r w:rsidRPr="00EA7665">
        <w:rPr>
          <w:rFonts w:ascii="Arial" w:hAnsi="Arial" w:cs="Arial"/>
        </w:rPr>
        <w:t>there are beautiful estates and offic</w:t>
      </w:r>
      <w:r>
        <w:rPr>
          <w:rFonts w:ascii="Arial" w:hAnsi="Arial" w:cs="Arial"/>
        </w:rPr>
        <w:t>e</w:t>
      </w:r>
      <w:r w:rsidRPr="00EA7665">
        <w:rPr>
          <w:rFonts w:ascii="Arial" w:hAnsi="Arial" w:cs="Arial"/>
        </w:rPr>
        <w:t xml:space="preserve"> complexes in major cities like Abuja and Lagos, most other cities do not have the presence of contemporary real estate structures because of</w:t>
      </w:r>
      <w:r>
        <w:rPr>
          <w:rFonts w:ascii="Arial" w:hAnsi="Arial" w:cs="Arial"/>
        </w:rPr>
        <w:t>, among other things,</w:t>
      </w:r>
      <w:r w:rsidRPr="00EA7665">
        <w:rPr>
          <w:rFonts w:ascii="Arial" w:hAnsi="Arial" w:cs="Arial"/>
        </w:rPr>
        <w:t xml:space="preserve"> financial constraints </w:t>
      </w:r>
      <w:r>
        <w:rPr>
          <w:rFonts w:ascii="Arial" w:hAnsi="Arial" w:cs="Arial"/>
        </w:rPr>
        <w:t xml:space="preserve"> </w:t>
      </w:r>
      <w:r w:rsidRPr="00EA7665">
        <w:rPr>
          <w:rFonts w:ascii="Arial" w:hAnsi="Arial" w:cs="Arial"/>
        </w:rPr>
        <w:t xml:space="preserve"> (Ogbenjuwa et al., 2018).</w:t>
      </w:r>
    </w:p>
    <w:p w14:paraId="72452BC2" w14:textId="77777777" w:rsidR="00CD6352" w:rsidRPr="00EA7665" w:rsidRDefault="00CD6352" w:rsidP="00CD6352">
      <w:pPr>
        <w:spacing w:after="0" w:line="360" w:lineRule="auto"/>
        <w:jc w:val="both"/>
        <w:rPr>
          <w:rFonts w:ascii="Arial" w:hAnsi="Arial" w:cs="Arial"/>
        </w:rPr>
      </w:pPr>
    </w:p>
    <w:p w14:paraId="62ACB3B3" w14:textId="4CDAC1A9" w:rsidR="00CD6352" w:rsidRPr="00EA7665" w:rsidRDefault="00D45B9C" w:rsidP="00CD6352">
      <w:pPr>
        <w:pStyle w:val="Heading3"/>
        <w:spacing w:after="240"/>
        <w:rPr>
          <w:sz w:val="22"/>
          <w:szCs w:val="22"/>
        </w:rPr>
      </w:pPr>
      <w:bookmarkStart w:id="501" w:name="_Toc78983784"/>
      <w:r w:rsidRPr="00D45B9C">
        <w:rPr>
          <w:sz w:val="22"/>
          <w:szCs w:val="22"/>
        </w:rPr>
        <w:t xml:space="preserve">A review of literature focused on the </w:t>
      </w:r>
      <w:r w:rsidR="00CD6352" w:rsidRPr="00EA7665">
        <w:rPr>
          <w:sz w:val="22"/>
          <w:szCs w:val="22"/>
        </w:rPr>
        <w:t xml:space="preserve">South African real estate </w:t>
      </w:r>
      <w:r w:rsidR="00675BBE" w:rsidRPr="00EA7665">
        <w:rPr>
          <w:sz w:val="22"/>
          <w:szCs w:val="22"/>
        </w:rPr>
        <w:t>market.</w:t>
      </w:r>
      <w:bookmarkEnd w:id="501"/>
    </w:p>
    <w:p w14:paraId="1676CE8B" w14:textId="0CD5EB72" w:rsidR="00CD6352" w:rsidRPr="00EA7665" w:rsidRDefault="00CD6352" w:rsidP="00CD6352">
      <w:pPr>
        <w:spacing w:line="360" w:lineRule="auto"/>
        <w:jc w:val="both"/>
        <w:rPr>
          <w:rFonts w:ascii="Arial" w:hAnsi="Arial" w:cs="Arial"/>
        </w:rPr>
      </w:pPr>
      <w:r w:rsidRPr="00EA7665">
        <w:rPr>
          <w:rFonts w:ascii="Arial" w:hAnsi="Arial" w:cs="Arial"/>
        </w:rPr>
        <w:t>South Africa is the World’s 25</w:t>
      </w:r>
      <w:r w:rsidRPr="00EA7665">
        <w:rPr>
          <w:rFonts w:ascii="Arial" w:hAnsi="Arial" w:cs="Arial"/>
          <w:vertAlign w:val="superscript"/>
        </w:rPr>
        <w:t>th</w:t>
      </w:r>
      <w:r w:rsidRPr="00EA7665">
        <w:rPr>
          <w:rFonts w:ascii="Arial" w:hAnsi="Arial" w:cs="Arial"/>
        </w:rPr>
        <w:t xml:space="preserve"> most populous nation with a population of 57 million people; about 80% of South Africans are sub-Saharan African while the remaining population consists of African’s largest African-European, Asian and multi-racial communities (Brown, 2008)</w:t>
      </w:r>
      <w:r>
        <w:rPr>
          <w:rFonts w:ascii="Arial" w:hAnsi="Arial" w:cs="Arial"/>
        </w:rPr>
        <w:t>.</w:t>
      </w:r>
      <w:r w:rsidRPr="00EA7665">
        <w:rPr>
          <w:rFonts w:ascii="Arial" w:hAnsi="Arial" w:cs="Arial"/>
        </w:rPr>
        <w:t xml:space="preserve">  The economy is the second-largest in </w:t>
      </w:r>
      <w:r>
        <w:rPr>
          <w:rFonts w:ascii="Arial" w:hAnsi="Arial" w:cs="Arial"/>
        </w:rPr>
        <w:t>Africa</w:t>
      </w:r>
      <w:r w:rsidR="00C372B1">
        <w:rPr>
          <w:rFonts w:ascii="Arial" w:hAnsi="Arial" w:cs="Arial"/>
        </w:rPr>
        <w:t>,</w:t>
      </w:r>
      <w:r>
        <w:rPr>
          <w:rFonts w:ascii="Arial" w:hAnsi="Arial" w:cs="Arial"/>
        </w:rPr>
        <w:t xml:space="preserve"> and</w:t>
      </w:r>
      <w:r w:rsidRPr="00EA7665">
        <w:rPr>
          <w:rFonts w:ascii="Arial" w:hAnsi="Arial" w:cs="Arial"/>
        </w:rPr>
        <w:t xml:space="preserve"> it has the seventh-highest per capita income in Africa</w:t>
      </w:r>
      <w:r>
        <w:rPr>
          <w:rFonts w:ascii="Arial" w:hAnsi="Arial" w:cs="Arial"/>
        </w:rPr>
        <w:t>,</w:t>
      </w:r>
      <w:r w:rsidRPr="00EA7665">
        <w:rPr>
          <w:rFonts w:ascii="Arial" w:hAnsi="Arial" w:cs="Arial"/>
        </w:rPr>
        <w:t xml:space="preserve"> but there </w:t>
      </w:r>
      <w:r w:rsidR="00DE5B13">
        <w:rPr>
          <w:rFonts w:ascii="Arial" w:hAnsi="Arial" w:cs="Arial"/>
        </w:rPr>
        <w:t>are</w:t>
      </w:r>
      <w:r w:rsidRPr="00EA7665">
        <w:rPr>
          <w:rFonts w:ascii="Arial" w:hAnsi="Arial" w:cs="Arial"/>
        </w:rPr>
        <w:t xml:space="preserve"> high poverty and inequality</w:t>
      </w:r>
      <w:r w:rsidR="00C372B1">
        <w:rPr>
          <w:rFonts w:ascii="Arial" w:hAnsi="Arial" w:cs="Arial"/>
        </w:rPr>
        <w:t>,</w:t>
      </w:r>
      <w:r w:rsidRPr="00EA7665">
        <w:rPr>
          <w:rFonts w:ascii="Arial" w:hAnsi="Arial" w:cs="Arial"/>
        </w:rPr>
        <w:t xml:space="preserve"> with about a quarter of the population unemployed and living on less than $1.25 per day</w:t>
      </w:r>
      <w:r>
        <w:rPr>
          <w:rFonts w:ascii="Arial" w:hAnsi="Arial" w:cs="Arial"/>
        </w:rPr>
        <w:t xml:space="preserve"> </w:t>
      </w:r>
      <w:r w:rsidRPr="00EA7665">
        <w:rPr>
          <w:rFonts w:ascii="Arial" w:hAnsi="Arial" w:cs="Arial"/>
        </w:rPr>
        <w:t>(Trading economics, 2019; World Bank, 2014).</w:t>
      </w:r>
    </w:p>
    <w:p w14:paraId="66DE6F47" w14:textId="0A2E7E0B" w:rsidR="00CD6352" w:rsidRPr="00EA7665" w:rsidRDefault="00CD6352" w:rsidP="00CD6352">
      <w:pPr>
        <w:spacing w:line="360" w:lineRule="auto"/>
        <w:jc w:val="both"/>
        <w:rPr>
          <w:rFonts w:ascii="Arial" w:hAnsi="Arial" w:cs="Arial"/>
        </w:rPr>
      </w:pPr>
      <w:r w:rsidRPr="00EA7665">
        <w:rPr>
          <w:rFonts w:ascii="Arial" w:hAnsi="Arial" w:cs="Arial"/>
        </w:rPr>
        <w:t xml:space="preserve">The </w:t>
      </w:r>
      <w:r w:rsidR="00EA259C">
        <w:rPr>
          <w:rFonts w:ascii="Arial" w:hAnsi="Arial" w:cs="Arial"/>
        </w:rPr>
        <w:t>South African real estate market's two fundamental drivers</w:t>
      </w:r>
      <w:r w:rsidRPr="00EA7665">
        <w:rPr>
          <w:rFonts w:ascii="Arial" w:hAnsi="Arial" w:cs="Arial"/>
        </w:rPr>
        <w:t xml:space="preserve"> are demographics and affluence (Gordon, 2018). Demographics determine the number of buyers, while wealth indicates their ability to purchase the property. South Africa has a young population</w:t>
      </w:r>
      <w:r w:rsidR="00734983">
        <w:rPr>
          <w:rFonts w:ascii="Arial" w:hAnsi="Arial" w:cs="Arial"/>
        </w:rPr>
        <w:t>,</w:t>
      </w:r>
      <w:r w:rsidRPr="00EA7665">
        <w:rPr>
          <w:rFonts w:ascii="Arial" w:hAnsi="Arial" w:cs="Arial"/>
        </w:rPr>
        <w:t xml:space="preserve"> with about two-thirds of its citizens under the age of 35 years</w:t>
      </w:r>
      <w:r w:rsidR="006773C6">
        <w:rPr>
          <w:rFonts w:ascii="Arial" w:hAnsi="Arial" w:cs="Arial"/>
        </w:rPr>
        <w:t>. In recent years, the real estate sector has shown significant growth</w:t>
      </w:r>
      <w:r w:rsidRPr="00EA7665">
        <w:rPr>
          <w:rFonts w:ascii="Arial" w:hAnsi="Arial" w:cs="Arial"/>
        </w:rPr>
        <w:t xml:space="preserve"> because of its re-emergence in the international political and economic sphere in the mid-1990s. The post-isolation years have increased economic activities</w:t>
      </w:r>
      <w:r w:rsidR="00EA259C">
        <w:rPr>
          <w:rFonts w:ascii="Arial" w:hAnsi="Arial" w:cs="Arial"/>
        </w:rPr>
        <w:t>, culminating in Johannesburg becoming Africa’s commercial hub attracting international firms' demand for</w:t>
      </w:r>
      <w:r w:rsidRPr="00EA7665">
        <w:rPr>
          <w:rFonts w:ascii="Arial" w:hAnsi="Arial" w:cs="Arial"/>
        </w:rPr>
        <w:t xml:space="preserve"> offices, shops, warehouses, </w:t>
      </w:r>
      <w:r>
        <w:rPr>
          <w:rFonts w:ascii="Arial" w:hAnsi="Arial" w:cs="Arial"/>
        </w:rPr>
        <w:t>and</w:t>
      </w:r>
      <w:r w:rsidRPr="00EA7665">
        <w:rPr>
          <w:rFonts w:ascii="Arial" w:hAnsi="Arial" w:cs="Arial"/>
        </w:rPr>
        <w:t xml:space="preserve"> residential properties (Zainir, 2012).</w:t>
      </w:r>
    </w:p>
    <w:p w14:paraId="7E5FED40" w14:textId="250B7C46" w:rsidR="00CD6352" w:rsidRPr="00EA7665" w:rsidRDefault="00CD6352" w:rsidP="00CD6352">
      <w:pPr>
        <w:spacing w:after="0" w:line="360" w:lineRule="auto"/>
        <w:jc w:val="both"/>
        <w:rPr>
          <w:rFonts w:ascii="Arial" w:hAnsi="Arial" w:cs="Arial"/>
        </w:rPr>
      </w:pPr>
      <w:r w:rsidRPr="00EA7665">
        <w:rPr>
          <w:rFonts w:ascii="Arial" w:hAnsi="Arial" w:cs="Arial"/>
        </w:rPr>
        <w:t xml:space="preserve">There is a significant migration of people from the rural areas in South Africa to the urban regions, </w:t>
      </w:r>
      <w:r w:rsidR="00EA259C">
        <w:rPr>
          <w:rFonts w:ascii="Arial" w:hAnsi="Arial" w:cs="Arial"/>
        </w:rPr>
        <w:t>which</w:t>
      </w:r>
      <w:r w:rsidRPr="00EA7665">
        <w:rPr>
          <w:rFonts w:ascii="Arial" w:hAnsi="Arial" w:cs="Arial"/>
        </w:rPr>
        <w:t xml:space="preserve"> has increased the demand for housing in urban areas. </w:t>
      </w:r>
      <w:r w:rsidR="006773C6">
        <w:rPr>
          <w:rFonts w:ascii="Arial" w:hAnsi="Arial" w:cs="Arial"/>
        </w:rPr>
        <w:t>Furthermore, there is an increased demand for office and retail spaces in South Africa because of its central business districts' decentralisation in recent years. There is also an increase in listed companies.</w:t>
      </w:r>
      <w:r w:rsidRPr="00EA7665">
        <w:rPr>
          <w:rFonts w:ascii="Arial" w:hAnsi="Arial" w:cs="Arial"/>
        </w:rPr>
        <w:t xml:space="preserve"> </w:t>
      </w:r>
      <w:r w:rsidR="00DE5B13">
        <w:rPr>
          <w:rFonts w:ascii="Arial" w:hAnsi="Arial" w:cs="Arial"/>
        </w:rPr>
        <w:t>The m</w:t>
      </w:r>
      <w:r w:rsidRPr="00EA7665">
        <w:rPr>
          <w:rFonts w:ascii="Arial" w:hAnsi="Arial" w:cs="Arial"/>
        </w:rPr>
        <w:t>ajority ownership of commercial properties in South Africa are REITs and listed property funds (62%), insurance and pension funds (18%), unlisted and private funds ( 13%)</w:t>
      </w:r>
      <w:r w:rsidR="00DE5B13">
        <w:rPr>
          <w:rFonts w:ascii="Arial" w:hAnsi="Arial" w:cs="Arial"/>
        </w:rPr>
        <w:t>,</w:t>
      </w:r>
      <w:r w:rsidRPr="00EA7665">
        <w:rPr>
          <w:rFonts w:ascii="Arial" w:hAnsi="Arial" w:cs="Arial"/>
        </w:rPr>
        <w:t xml:space="preserve"> and (7%) private investors ( Nurick et al.,  2017). </w:t>
      </w:r>
    </w:p>
    <w:p w14:paraId="411DB71F" w14:textId="77777777" w:rsidR="00CD6352" w:rsidRPr="00EA7665" w:rsidRDefault="00CD6352" w:rsidP="00CD6352">
      <w:pPr>
        <w:spacing w:after="0" w:line="360" w:lineRule="auto"/>
        <w:jc w:val="both"/>
        <w:rPr>
          <w:rFonts w:ascii="Arial" w:hAnsi="Arial" w:cs="Arial"/>
        </w:rPr>
      </w:pPr>
    </w:p>
    <w:p w14:paraId="2C06F84E" w14:textId="7BEC51BD" w:rsidR="00CD6352" w:rsidRPr="00EA7665" w:rsidRDefault="00CD6352" w:rsidP="00CD6352">
      <w:pPr>
        <w:spacing w:after="0" w:line="360" w:lineRule="auto"/>
        <w:jc w:val="both"/>
        <w:rPr>
          <w:rFonts w:ascii="Arial" w:hAnsi="Arial" w:cs="Arial"/>
        </w:rPr>
      </w:pPr>
      <w:r w:rsidRPr="00EA7665">
        <w:rPr>
          <w:rFonts w:ascii="Arial" w:hAnsi="Arial" w:cs="Arial"/>
        </w:rPr>
        <w:t>South Africa’s nominal house price rose by 3.96% for Q1 2019</w:t>
      </w:r>
      <w:r w:rsidR="006773C6">
        <w:rPr>
          <w:rFonts w:ascii="Arial" w:hAnsi="Arial" w:cs="Arial"/>
        </w:rPr>
        <w:t>, as showed in figure 2.3.1</w:t>
      </w:r>
      <w:r w:rsidRPr="00EA7665">
        <w:rPr>
          <w:rFonts w:ascii="Arial" w:hAnsi="Arial" w:cs="Arial"/>
        </w:rPr>
        <w:t xml:space="preserve">, but when adjusted for inflation, it </w:t>
      </w:r>
      <w:r w:rsidR="00C372B1">
        <w:rPr>
          <w:rFonts w:ascii="Arial" w:hAnsi="Arial" w:cs="Arial"/>
        </w:rPr>
        <w:t>declined by 0.51%, which indicates</w:t>
      </w:r>
      <w:r w:rsidRPr="00EA7665">
        <w:rPr>
          <w:rFonts w:ascii="Arial" w:hAnsi="Arial" w:cs="Arial"/>
        </w:rPr>
        <w:t xml:space="preserve"> a depressed macro-economic environment (Delmendo, 2019).</w:t>
      </w:r>
    </w:p>
    <w:p w14:paraId="22708C39" w14:textId="77777777" w:rsidR="00CD6352" w:rsidRPr="00EA7665" w:rsidRDefault="00CD6352" w:rsidP="00CD6352">
      <w:pPr>
        <w:keepNext/>
        <w:spacing w:after="0" w:line="360" w:lineRule="auto"/>
        <w:jc w:val="both"/>
      </w:pPr>
      <w:r w:rsidRPr="00EA7665">
        <w:rPr>
          <w:rFonts w:ascii="Arial" w:hAnsi="Arial" w:cs="Arial"/>
          <w:noProof/>
          <w:lang w:eastAsia="en-GB"/>
        </w:rPr>
        <w:lastRenderedPageBreak/>
        <w:drawing>
          <wp:inline distT="0" distB="0" distL="0" distR="0" wp14:anchorId="7903C418" wp14:editId="2086D072">
            <wp:extent cx="5812971" cy="2612390"/>
            <wp:effectExtent l="0" t="0" r="0" b="0"/>
            <wp:docPr id="49" name="Picture 49" descr="South Africa hous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Africa house pr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5307" cy="2617934"/>
                    </a:xfrm>
                    <a:prstGeom prst="rect">
                      <a:avLst/>
                    </a:prstGeom>
                    <a:noFill/>
                    <a:ln>
                      <a:noFill/>
                    </a:ln>
                  </pic:spPr>
                </pic:pic>
              </a:graphicData>
            </a:graphic>
          </wp:inline>
        </w:drawing>
      </w:r>
    </w:p>
    <w:p w14:paraId="52C02FE9" w14:textId="12EA7D9D" w:rsidR="00CD6352" w:rsidRPr="001C240B" w:rsidRDefault="00CD6352" w:rsidP="00CD6352">
      <w:pPr>
        <w:pStyle w:val="Caption"/>
        <w:jc w:val="both"/>
        <w:rPr>
          <w:rFonts w:ascii="Arial" w:hAnsi="Arial" w:cs="Arial"/>
          <w:i w:val="0"/>
          <w:iCs w:val="0"/>
          <w:sz w:val="16"/>
          <w:szCs w:val="16"/>
        </w:rPr>
      </w:pPr>
      <w:bookmarkStart w:id="502" w:name="_Toc78739569"/>
      <w:r w:rsidRPr="001C240B">
        <w:rPr>
          <w:rFonts w:ascii="Arial" w:hAnsi="Arial" w:cs="Arial"/>
          <w:i w:val="0"/>
          <w:iCs w:val="0"/>
          <w:sz w:val="16"/>
          <w:szCs w:val="16"/>
        </w:rPr>
        <w:t xml:space="preserve">Figure </w:t>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STYLEREF 2 \s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2.3</w:t>
      </w:r>
      <w:r w:rsidR="00324B0D">
        <w:rPr>
          <w:rFonts w:ascii="Arial" w:hAnsi="Arial" w:cs="Arial"/>
          <w:i w:val="0"/>
          <w:iCs w:val="0"/>
          <w:sz w:val="16"/>
          <w:szCs w:val="16"/>
        </w:rPr>
        <w:fldChar w:fldCharType="end"/>
      </w:r>
      <w:r w:rsidR="00324B0D">
        <w:rPr>
          <w:rFonts w:ascii="Arial" w:hAnsi="Arial" w:cs="Arial"/>
          <w:i w:val="0"/>
          <w:iCs w:val="0"/>
          <w:sz w:val="16"/>
          <w:szCs w:val="16"/>
        </w:rPr>
        <w:noBreakHyphen/>
      </w:r>
      <w:r w:rsidR="00324B0D">
        <w:rPr>
          <w:rFonts w:ascii="Arial" w:hAnsi="Arial" w:cs="Arial"/>
          <w:i w:val="0"/>
          <w:iCs w:val="0"/>
          <w:sz w:val="16"/>
          <w:szCs w:val="16"/>
        </w:rPr>
        <w:fldChar w:fldCharType="begin"/>
      </w:r>
      <w:r w:rsidR="00324B0D">
        <w:rPr>
          <w:rFonts w:ascii="Arial" w:hAnsi="Arial" w:cs="Arial"/>
          <w:i w:val="0"/>
          <w:iCs w:val="0"/>
          <w:sz w:val="16"/>
          <w:szCs w:val="16"/>
        </w:rPr>
        <w:instrText xml:space="preserve"> SEQ Figure \* ARABIC \s 2 </w:instrText>
      </w:r>
      <w:r w:rsidR="00324B0D">
        <w:rPr>
          <w:rFonts w:ascii="Arial" w:hAnsi="Arial" w:cs="Arial"/>
          <w:i w:val="0"/>
          <w:iCs w:val="0"/>
          <w:sz w:val="16"/>
          <w:szCs w:val="16"/>
        </w:rPr>
        <w:fldChar w:fldCharType="separate"/>
      </w:r>
      <w:r w:rsidR="00324B0D">
        <w:rPr>
          <w:rFonts w:ascii="Arial" w:hAnsi="Arial" w:cs="Arial"/>
          <w:i w:val="0"/>
          <w:iCs w:val="0"/>
          <w:noProof/>
          <w:sz w:val="16"/>
          <w:szCs w:val="16"/>
        </w:rPr>
        <w:t>1</w:t>
      </w:r>
      <w:r w:rsidR="00324B0D">
        <w:rPr>
          <w:rFonts w:ascii="Arial" w:hAnsi="Arial" w:cs="Arial"/>
          <w:i w:val="0"/>
          <w:iCs w:val="0"/>
          <w:sz w:val="16"/>
          <w:szCs w:val="16"/>
        </w:rPr>
        <w:fldChar w:fldCharType="end"/>
      </w:r>
      <w:r w:rsidRPr="001C240B">
        <w:rPr>
          <w:rFonts w:ascii="Arial" w:hAnsi="Arial" w:cs="Arial"/>
          <w:i w:val="0"/>
          <w:iCs w:val="0"/>
          <w:sz w:val="16"/>
          <w:szCs w:val="16"/>
        </w:rPr>
        <w:t>: SA Annual changes in house price</w:t>
      </w:r>
      <w:bookmarkEnd w:id="502"/>
    </w:p>
    <w:p w14:paraId="31FAE93E" w14:textId="77777777" w:rsidR="00CD6352" w:rsidRPr="00EA7665" w:rsidRDefault="00CD6352" w:rsidP="00CD6352">
      <w:pPr>
        <w:spacing w:after="0" w:line="360" w:lineRule="auto"/>
        <w:jc w:val="both"/>
        <w:rPr>
          <w:rFonts w:ascii="Arial" w:hAnsi="Arial" w:cs="Arial"/>
        </w:rPr>
      </w:pPr>
    </w:p>
    <w:p w14:paraId="01D2C313" w14:textId="77777777" w:rsidR="00CD6352" w:rsidRPr="00DE5B13" w:rsidRDefault="00CD6352" w:rsidP="00CD6352">
      <w:pPr>
        <w:pStyle w:val="Heading4"/>
        <w:rPr>
          <w:rFonts w:ascii="Arial" w:hAnsi="Arial" w:cs="Arial"/>
          <w:b/>
          <w:i w:val="0"/>
          <w:iCs w:val="0"/>
          <w:color w:val="auto"/>
        </w:rPr>
      </w:pPr>
      <w:r w:rsidRPr="00EA7665">
        <w:rPr>
          <w:rFonts w:ascii="Arial" w:hAnsi="Arial" w:cs="Arial"/>
        </w:rPr>
        <w:t xml:space="preserve"> </w:t>
      </w:r>
      <w:r w:rsidRPr="00DE5B13">
        <w:rPr>
          <w:rFonts w:ascii="Arial" w:hAnsi="Arial" w:cs="Arial"/>
          <w:b/>
          <w:i w:val="0"/>
          <w:iCs w:val="0"/>
          <w:color w:val="auto"/>
        </w:rPr>
        <w:t>Factors affecting the real estate sector in South Africa</w:t>
      </w:r>
    </w:p>
    <w:p w14:paraId="0D925153" w14:textId="77777777" w:rsidR="00CD6352" w:rsidRPr="00EA7665" w:rsidRDefault="00CD6352" w:rsidP="00CD6352">
      <w:pPr>
        <w:spacing w:after="0"/>
        <w:rPr>
          <w:rFonts w:ascii="Arial" w:hAnsi="Arial" w:cs="Arial"/>
        </w:rPr>
      </w:pPr>
    </w:p>
    <w:p w14:paraId="41469115" w14:textId="77777777" w:rsidR="00CD6352" w:rsidRPr="00EA7665" w:rsidRDefault="00CD6352" w:rsidP="00CD6352">
      <w:pPr>
        <w:rPr>
          <w:rFonts w:ascii="Arial" w:hAnsi="Arial" w:cs="Arial"/>
        </w:rPr>
      </w:pPr>
      <w:r w:rsidRPr="00EA7665">
        <w:rPr>
          <w:rFonts w:ascii="Arial" w:hAnsi="Arial" w:cs="Arial"/>
        </w:rPr>
        <w:t>Various factors affect the South African real estate sector, and this study summarises them into economic factors, social factors, and policy environment.</w:t>
      </w:r>
    </w:p>
    <w:p w14:paraId="4B389863" w14:textId="77777777" w:rsidR="00CD6352" w:rsidRPr="00EA7665" w:rsidRDefault="00CD6352" w:rsidP="00CD6352">
      <w:pPr>
        <w:spacing w:after="0" w:line="360" w:lineRule="auto"/>
        <w:jc w:val="both"/>
        <w:rPr>
          <w:rFonts w:ascii="Arial" w:hAnsi="Arial" w:cs="Arial"/>
          <w:b/>
          <w:iCs/>
        </w:rPr>
      </w:pPr>
      <w:r w:rsidRPr="00EA7665">
        <w:rPr>
          <w:rFonts w:ascii="Arial" w:hAnsi="Arial" w:cs="Arial"/>
          <w:b/>
          <w:iCs/>
        </w:rPr>
        <w:t>Economic factors</w:t>
      </w:r>
    </w:p>
    <w:p w14:paraId="553AEBED" w14:textId="66FD9501" w:rsidR="00CD6352" w:rsidRPr="00EA7665" w:rsidRDefault="00CD6352" w:rsidP="00CD6352">
      <w:pPr>
        <w:spacing w:after="0" w:line="360" w:lineRule="auto"/>
        <w:jc w:val="both"/>
        <w:rPr>
          <w:rFonts w:ascii="Arial" w:hAnsi="Arial" w:cs="Arial"/>
          <w:iCs/>
        </w:rPr>
      </w:pPr>
      <w:r w:rsidRPr="00EA7665">
        <w:rPr>
          <w:rFonts w:ascii="Arial" w:hAnsi="Arial" w:cs="Arial"/>
        </w:rPr>
        <w:t xml:space="preserve">There </w:t>
      </w:r>
      <w:r>
        <w:rPr>
          <w:rFonts w:ascii="Arial" w:hAnsi="Arial" w:cs="Arial"/>
        </w:rPr>
        <w:t>are</w:t>
      </w:r>
      <w:r w:rsidRPr="00EA7665">
        <w:rPr>
          <w:rFonts w:ascii="Arial" w:hAnsi="Arial" w:cs="Arial"/>
        </w:rPr>
        <w:t xml:space="preserve"> failing macroeconomic facto</w:t>
      </w:r>
      <w:r>
        <w:rPr>
          <w:rFonts w:ascii="Arial" w:hAnsi="Arial" w:cs="Arial"/>
        </w:rPr>
        <w:t>rs</w:t>
      </w:r>
      <w:r w:rsidRPr="00EA7665">
        <w:rPr>
          <w:rFonts w:ascii="Arial" w:hAnsi="Arial" w:cs="Arial"/>
        </w:rPr>
        <w:t xml:space="preserve"> such as </w:t>
      </w:r>
      <w:r>
        <w:rPr>
          <w:rFonts w:ascii="Arial" w:hAnsi="Arial" w:cs="Arial"/>
        </w:rPr>
        <w:t xml:space="preserve">a </w:t>
      </w:r>
      <w:r w:rsidRPr="00EA7665">
        <w:rPr>
          <w:rFonts w:ascii="Arial" w:hAnsi="Arial" w:cs="Arial"/>
        </w:rPr>
        <w:t>high unemployment rate, high</w:t>
      </w:r>
      <w:r w:rsidR="00734983">
        <w:rPr>
          <w:rFonts w:ascii="Arial" w:hAnsi="Arial" w:cs="Arial"/>
        </w:rPr>
        <w:t>-</w:t>
      </w:r>
      <w:r w:rsidRPr="00EA7665">
        <w:rPr>
          <w:rFonts w:ascii="Arial" w:hAnsi="Arial" w:cs="Arial"/>
        </w:rPr>
        <w:t>interest rat</w:t>
      </w:r>
      <w:r>
        <w:rPr>
          <w:rFonts w:ascii="Arial" w:hAnsi="Arial" w:cs="Arial"/>
        </w:rPr>
        <w:t>es</w:t>
      </w:r>
      <w:r w:rsidR="00DE5B13">
        <w:rPr>
          <w:rFonts w:ascii="Arial" w:hAnsi="Arial" w:cs="Arial"/>
        </w:rPr>
        <w:t>,</w:t>
      </w:r>
      <w:r w:rsidRPr="00EA7665">
        <w:rPr>
          <w:rFonts w:ascii="Arial" w:hAnsi="Arial" w:cs="Arial"/>
        </w:rPr>
        <w:t xml:space="preserve"> and inflation (Fox, 2014; Ogbenjuwa et al., 2018). </w:t>
      </w:r>
      <w:r w:rsidRPr="00EA7665">
        <w:rPr>
          <w:rFonts w:ascii="Arial" w:hAnsi="Arial" w:cs="Arial"/>
          <w:iCs/>
        </w:rPr>
        <w:t xml:space="preserve">South Africa has a mineral-rich economy with highly skewed wealth distribution. It also has high unemployment levels, </w:t>
      </w:r>
      <w:r w:rsidR="00EA259C">
        <w:rPr>
          <w:rFonts w:ascii="Arial" w:hAnsi="Arial" w:cs="Arial"/>
          <w:iCs/>
        </w:rPr>
        <w:t xml:space="preserve">which </w:t>
      </w:r>
      <w:r w:rsidR="00C372B1">
        <w:rPr>
          <w:rFonts w:ascii="Arial" w:hAnsi="Arial" w:cs="Arial"/>
          <w:iCs/>
        </w:rPr>
        <w:t>significantly negatively impacts</w:t>
      </w:r>
      <w:r w:rsidR="00EA259C">
        <w:rPr>
          <w:rFonts w:ascii="Arial" w:hAnsi="Arial" w:cs="Arial"/>
          <w:iCs/>
        </w:rPr>
        <w:t xml:space="preserve"> the population's ability</w:t>
      </w:r>
      <w:r w:rsidRPr="00EA7665">
        <w:rPr>
          <w:rFonts w:ascii="Arial" w:hAnsi="Arial" w:cs="Arial"/>
          <w:iCs/>
        </w:rPr>
        <w:t xml:space="preserve"> to access finance for real estate project development (Nurick, 2017). </w:t>
      </w:r>
    </w:p>
    <w:p w14:paraId="23922DE3" w14:textId="35B58C27" w:rsidR="00CD6352" w:rsidRPr="00EA7665" w:rsidRDefault="00CD6352" w:rsidP="00CD6352">
      <w:pPr>
        <w:spacing w:after="0" w:line="360" w:lineRule="auto"/>
        <w:jc w:val="both"/>
        <w:rPr>
          <w:rFonts w:ascii="Arial" w:hAnsi="Arial" w:cs="Arial"/>
        </w:rPr>
      </w:pPr>
      <w:r w:rsidRPr="00EA7665">
        <w:rPr>
          <w:rFonts w:ascii="Arial" w:hAnsi="Arial" w:cs="Arial"/>
        </w:rPr>
        <w:t xml:space="preserve">Furthermore, </w:t>
      </w:r>
      <w:r w:rsidR="007E3067">
        <w:rPr>
          <w:rFonts w:ascii="Arial" w:hAnsi="Arial" w:cs="Arial"/>
        </w:rPr>
        <w:t>South African gross domestic product (GDP)</w:t>
      </w:r>
      <w:r w:rsidRPr="00EA7665">
        <w:rPr>
          <w:rFonts w:ascii="Arial" w:hAnsi="Arial" w:cs="Arial"/>
        </w:rPr>
        <w:t xml:space="preserve"> has </w:t>
      </w:r>
      <w:r w:rsidR="00EA259C">
        <w:rPr>
          <w:rFonts w:ascii="Arial" w:hAnsi="Arial" w:cs="Arial"/>
        </w:rPr>
        <w:t>declined</w:t>
      </w:r>
      <w:r w:rsidR="00C372B1">
        <w:rPr>
          <w:rFonts w:ascii="Arial" w:hAnsi="Arial" w:cs="Arial"/>
        </w:rPr>
        <w:t>, and the</w:t>
      </w:r>
      <w:r w:rsidRPr="00EA7665">
        <w:rPr>
          <w:rFonts w:ascii="Arial" w:hAnsi="Arial" w:cs="Arial"/>
        </w:rPr>
        <w:t xml:space="preserve"> unemployment rate presently stands at almost 28%</w:t>
      </w:r>
      <w:r w:rsidR="00C372B1">
        <w:rPr>
          <w:rFonts w:ascii="Arial" w:hAnsi="Arial" w:cs="Arial"/>
        </w:rPr>
        <w:t xml:space="preserve"> </w:t>
      </w:r>
      <w:r>
        <w:rPr>
          <w:rFonts w:ascii="Arial" w:hAnsi="Arial" w:cs="Arial"/>
        </w:rPr>
        <w:t xml:space="preserve">when </w:t>
      </w:r>
      <w:r w:rsidRPr="00EA7665">
        <w:rPr>
          <w:rFonts w:ascii="Arial" w:hAnsi="Arial" w:cs="Arial"/>
        </w:rPr>
        <w:t>combined with a high</w:t>
      </w:r>
      <w:r w:rsidR="00A62774">
        <w:rPr>
          <w:rFonts w:ascii="Arial" w:hAnsi="Arial" w:cs="Arial"/>
        </w:rPr>
        <w:t xml:space="preserve"> </w:t>
      </w:r>
      <w:r w:rsidRPr="00EA7665">
        <w:rPr>
          <w:rFonts w:ascii="Arial" w:hAnsi="Arial" w:cs="Arial"/>
        </w:rPr>
        <w:t>interest rate</w:t>
      </w:r>
      <w:r w:rsidR="00C372B1">
        <w:rPr>
          <w:rFonts w:ascii="Arial" w:hAnsi="Arial" w:cs="Arial"/>
        </w:rPr>
        <w:t xml:space="preserve">. </w:t>
      </w:r>
      <w:r w:rsidR="00EA259C">
        <w:rPr>
          <w:rFonts w:ascii="Arial" w:hAnsi="Arial" w:cs="Arial"/>
        </w:rPr>
        <w:t>T</w:t>
      </w:r>
      <w:r w:rsidRPr="00EA7665">
        <w:rPr>
          <w:rFonts w:ascii="Arial" w:hAnsi="Arial" w:cs="Arial"/>
        </w:rPr>
        <w:t>his creates a lot of social imbalances and affects the actualisation of projects as it reduces access to finance by individuals  (the trading economics, 2019; Delmendo, 2019).</w:t>
      </w:r>
    </w:p>
    <w:p w14:paraId="39F7259F" w14:textId="77777777" w:rsidR="00CD6352" w:rsidRPr="00EA7665" w:rsidRDefault="00CD6352" w:rsidP="00CD6352">
      <w:pPr>
        <w:spacing w:after="0" w:line="360" w:lineRule="auto"/>
        <w:jc w:val="both"/>
        <w:rPr>
          <w:rFonts w:ascii="Arial" w:hAnsi="Arial" w:cs="Arial"/>
        </w:rPr>
      </w:pPr>
    </w:p>
    <w:p w14:paraId="596B1B87"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Social Factors</w:t>
      </w:r>
    </w:p>
    <w:p w14:paraId="7D0BF0EB" w14:textId="1C3ED5AF" w:rsidR="00CD6352" w:rsidRPr="00EA7665" w:rsidRDefault="00CD6352" w:rsidP="00CD6352">
      <w:pPr>
        <w:spacing w:line="360" w:lineRule="auto"/>
        <w:jc w:val="both"/>
        <w:rPr>
          <w:rFonts w:ascii="Arial" w:hAnsi="Arial" w:cs="Arial"/>
        </w:rPr>
      </w:pPr>
      <w:r>
        <w:rPr>
          <w:rFonts w:ascii="Arial" w:hAnsi="Arial" w:cs="Arial"/>
        </w:rPr>
        <w:t>S</w:t>
      </w:r>
      <w:r w:rsidRPr="00EA7665">
        <w:rPr>
          <w:rFonts w:ascii="Arial" w:hAnsi="Arial" w:cs="Arial"/>
        </w:rPr>
        <w:t>ocial factor</w:t>
      </w:r>
      <w:r>
        <w:rPr>
          <w:rFonts w:ascii="Arial" w:hAnsi="Arial" w:cs="Arial"/>
        </w:rPr>
        <w:t>s</w:t>
      </w:r>
      <w:r w:rsidRPr="00EA7665">
        <w:rPr>
          <w:rFonts w:ascii="Arial" w:hAnsi="Arial" w:cs="Arial"/>
        </w:rPr>
        <w:t>, such as education</w:t>
      </w:r>
      <w:r>
        <w:rPr>
          <w:rFonts w:ascii="Arial" w:hAnsi="Arial" w:cs="Arial"/>
        </w:rPr>
        <w:t>,</w:t>
      </w:r>
      <w:r w:rsidRPr="00EA7665">
        <w:rPr>
          <w:rFonts w:ascii="Arial" w:hAnsi="Arial" w:cs="Arial"/>
        </w:rPr>
        <w:t xml:space="preserve"> </w:t>
      </w:r>
      <w:r w:rsidR="007E3067">
        <w:rPr>
          <w:rFonts w:ascii="Arial" w:hAnsi="Arial" w:cs="Arial"/>
        </w:rPr>
        <w:t>positively affect</w:t>
      </w:r>
      <w:r w:rsidRPr="00EA7665">
        <w:rPr>
          <w:rFonts w:ascii="Arial" w:hAnsi="Arial" w:cs="Arial"/>
        </w:rPr>
        <w:t xml:space="preserve"> housing satisfaction and real estate finance as a whole. When education increases, income increases, and housing conditions improv</w:t>
      </w:r>
      <w:r>
        <w:rPr>
          <w:rFonts w:ascii="Arial" w:hAnsi="Arial" w:cs="Arial"/>
        </w:rPr>
        <w:t>e</w:t>
      </w:r>
      <w:r w:rsidRPr="00EA7665">
        <w:rPr>
          <w:rFonts w:ascii="Arial" w:hAnsi="Arial" w:cs="Arial"/>
        </w:rPr>
        <w:t xml:space="preserve">. Furthermore, the higher the </w:t>
      </w:r>
      <w:r w:rsidR="00412984" w:rsidRPr="00EA7665">
        <w:rPr>
          <w:rFonts w:ascii="Arial" w:hAnsi="Arial" w:cs="Arial"/>
        </w:rPr>
        <w:t>education</w:t>
      </w:r>
      <w:r w:rsidR="00412984">
        <w:rPr>
          <w:rFonts w:ascii="Arial" w:hAnsi="Arial" w:cs="Arial"/>
        </w:rPr>
        <w:t xml:space="preserve"> </w:t>
      </w:r>
      <w:r w:rsidR="00412984" w:rsidRPr="00EA7665">
        <w:rPr>
          <w:rFonts w:ascii="Arial" w:hAnsi="Arial" w:cs="Arial"/>
        </w:rPr>
        <w:t>an</w:t>
      </w:r>
      <w:r w:rsidRPr="00EA7665">
        <w:rPr>
          <w:rFonts w:ascii="Arial" w:hAnsi="Arial" w:cs="Arial"/>
        </w:rPr>
        <w:t xml:space="preserve"> older person</w:t>
      </w:r>
      <w:r>
        <w:rPr>
          <w:rFonts w:ascii="Arial" w:hAnsi="Arial" w:cs="Arial"/>
        </w:rPr>
        <w:t xml:space="preserve"> has, the </w:t>
      </w:r>
      <w:r w:rsidRPr="00EA7665">
        <w:rPr>
          <w:rFonts w:ascii="Arial" w:hAnsi="Arial" w:cs="Arial"/>
        </w:rPr>
        <w:t xml:space="preserve">more likely </w:t>
      </w:r>
      <w:r>
        <w:rPr>
          <w:rFonts w:ascii="Arial" w:hAnsi="Arial" w:cs="Arial"/>
        </w:rPr>
        <w:t xml:space="preserve">they will own their own houses </w:t>
      </w:r>
      <w:r w:rsidRPr="00EA7665">
        <w:rPr>
          <w:rFonts w:ascii="Arial" w:hAnsi="Arial" w:cs="Arial"/>
        </w:rPr>
        <w:t>(Simon, 2014). Housing was one of the ways the apartheid government</w:t>
      </w:r>
      <w:r w:rsidR="00734983">
        <w:rPr>
          <w:rFonts w:ascii="Arial" w:hAnsi="Arial" w:cs="Arial"/>
        </w:rPr>
        <w:t>-</w:t>
      </w:r>
      <w:r w:rsidRPr="00EA7665">
        <w:rPr>
          <w:rFonts w:ascii="Arial" w:hAnsi="Arial" w:cs="Arial"/>
        </w:rPr>
        <w:t>controlled or attempted to control the influx of</w:t>
      </w:r>
      <w:r>
        <w:rPr>
          <w:rFonts w:ascii="Arial" w:hAnsi="Arial" w:cs="Arial"/>
        </w:rPr>
        <w:t xml:space="preserve"> the</w:t>
      </w:r>
      <w:r w:rsidRPr="00EA7665">
        <w:rPr>
          <w:rFonts w:ascii="Arial" w:hAnsi="Arial" w:cs="Arial"/>
        </w:rPr>
        <w:t xml:space="preserve"> African population into the cities. They had no right to own their own houses in those areas and were only allowed to rent from the council. Government planning is still trying to reverse the effect of apartheid through subsidised housing, but this problem has not been solved totally ( Simon, 2014).</w:t>
      </w:r>
    </w:p>
    <w:p w14:paraId="4E265045" w14:textId="78E5A558" w:rsidR="00CD6352" w:rsidRPr="00EA7665" w:rsidRDefault="00EA4C02" w:rsidP="00CD6352">
      <w:pPr>
        <w:spacing w:after="0" w:line="360" w:lineRule="auto"/>
        <w:jc w:val="both"/>
        <w:rPr>
          <w:rFonts w:ascii="Arial" w:hAnsi="Arial" w:cs="Arial"/>
        </w:rPr>
      </w:pPr>
      <w:r>
        <w:rPr>
          <w:rFonts w:ascii="Arial" w:hAnsi="Arial" w:cs="Arial"/>
        </w:rPr>
        <w:lastRenderedPageBreak/>
        <w:t>The imbalances in South African society create a high risk. South Africa has a rapidly growing middle class and increased urbanisation, which has created a strong demand for residential and commercial properties (Nurrick, 2017)</w:t>
      </w:r>
      <w:r w:rsidR="00CD6352" w:rsidRPr="00EA7665">
        <w:rPr>
          <w:rFonts w:ascii="Arial" w:hAnsi="Arial" w:cs="Arial"/>
        </w:rPr>
        <w:t xml:space="preserve">. There </w:t>
      </w:r>
      <w:r w:rsidR="00CD6352">
        <w:rPr>
          <w:rFonts w:ascii="Arial" w:hAnsi="Arial" w:cs="Arial"/>
        </w:rPr>
        <w:t>has also been</w:t>
      </w:r>
      <w:r w:rsidR="00CD6352" w:rsidRPr="00EA7665">
        <w:rPr>
          <w:rFonts w:ascii="Arial" w:hAnsi="Arial" w:cs="Arial"/>
        </w:rPr>
        <w:t xml:space="preserve"> a decline in foreign homebuyers in South Africa in recent years. Delmendo (2019) ascribed the reduction of foreign investors in the South African real estate sector to the following factors: </w:t>
      </w:r>
    </w:p>
    <w:p w14:paraId="2EE24C4C" w14:textId="77777777" w:rsidR="00CD6352" w:rsidRPr="00EA7665" w:rsidRDefault="00CD6352" w:rsidP="00CD6352">
      <w:pPr>
        <w:spacing w:after="0" w:line="360" w:lineRule="auto"/>
        <w:jc w:val="both"/>
        <w:rPr>
          <w:rFonts w:ascii="Arial" w:hAnsi="Arial" w:cs="Arial"/>
        </w:rPr>
      </w:pPr>
    </w:p>
    <w:p w14:paraId="1E4BAA6A" w14:textId="27307472" w:rsidR="00CD6352" w:rsidRPr="00EA7665" w:rsidRDefault="00CD6352" w:rsidP="00CD6352">
      <w:pPr>
        <w:spacing w:after="0" w:line="360" w:lineRule="auto"/>
        <w:ind w:left="720"/>
        <w:jc w:val="both"/>
        <w:rPr>
          <w:rFonts w:ascii="Arial" w:hAnsi="Arial" w:cs="Arial"/>
        </w:rPr>
      </w:pPr>
      <w:r w:rsidRPr="00EA7665">
        <w:rPr>
          <w:rFonts w:ascii="Arial" w:hAnsi="Arial" w:cs="Arial"/>
        </w:rPr>
        <w:t>“weaker investor sentiment towards South Africa due to the country’s multi-year stagnation.</w:t>
      </w:r>
      <w:r w:rsidR="001D5254">
        <w:rPr>
          <w:rFonts w:ascii="Arial" w:hAnsi="Arial" w:cs="Arial"/>
        </w:rPr>
        <w:t xml:space="preserve"> </w:t>
      </w:r>
      <w:r w:rsidRPr="00EA7665">
        <w:rPr>
          <w:rFonts w:ascii="Arial" w:hAnsi="Arial" w:cs="Arial"/>
        </w:rPr>
        <w:t>Uncertainty about the country’s future economic policy</w:t>
      </w:r>
    </w:p>
    <w:p w14:paraId="57D55EF3" w14:textId="77777777" w:rsidR="00CD6352" w:rsidRPr="00EA7665" w:rsidRDefault="00CD6352" w:rsidP="00CD6352">
      <w:pPr>
        <w:spacing w:after="0" w:line="360" w:lineRule="auto"/>
        <w:ind w:left="720"/>
        <w:jc w:val="both"/>
        <w:rPr>
          <w:rFonts w:ascii="Arial" w:hAnsi="Arial" w:cs="Arial"/>
        </w:rPr>
      </w:pPr>
      <w:r w:rsidRPr="00EA7665">
        <w:rPr>
          <w:rFonts w:ascii="Arial" w:hAnsi="Arial" w:cs="Arial"/>
        </w:rPr>
        <w:t>Negative news, such as credit rating downgrades to junk status “.</w:t>
      </w:r>
    </w:p>
    <w:p w14:paraId="2FA88431" w14:textId="77777777" w:rsidR="00CD6352" w:rsidRPr="00EA7665" w:rsidRDefault="00CD6352" w:rsidP="00CD6352">
      <w:pPr>
        <w:spacing w:after="0" w:line="360" w:lineRule="auto"/>
        <w:jc w:val="both"/>
        <w:rPr>
          <w:rFonts w:ascii="Arial" w:hAnsi="Arial" w:cs="Arial"/>
        </w:rPr>
      </w:pPr>
    </w:p>
    <w:p w14:paraId="6EE42590" w14:textId="1D1F6385" w:rsidR="00CD6352" w:rsidRDefault="00CD6352" w:rsidP="00CD6352">
      <w:pPr>
        <w:spacing w:after="0" w:line="360" w:lineRule="auto"/>
        <w:jc w:val="both"/>
        <w:rPr>
          <w:rFonts w:ascii="Arial" w:hAnsi="Arial" w:cs="Arial"/>
        </w:rPr>
      </w:pPr>
      <w:r w:rsidRPr="00EA7665">
        <w:rPr>
          <w:rFonts w:ascii="Arial" w:hAnsi="Arial" w:cs="Arial"/>
        </w:rPr>
        <w:t xml:space="preserve">South Africa’s hosting of the FIFA world cup in 2010 has </w:t>
      </w:r>
      <w:r>
        <w:rPr>
          <w:rFonts w:ascii="Arial" w:hAnsi="Arial" w:cs="Arial"/>
        </w:rPr>
        <w:t>further</w:t>
      </w:r>
      <w:r w:rsidRPr="00EA7665">
        <w:rPr>
          <w:rFonts w:ascii="Arial" w:hAnsi="Arial" w:cs="Arial"/>
        </w:rPr>
        <w:t xml:space="preserve"> contributed</w:t>
      </w:r>
      <w:r>
        <w:rPr>
          <w:rFonts w:ascii="Arial" w:hAnsi="Arial" w:cs="Arial"/>
        </w:rPr>
        <w:t xml:space="preserve"> to</w:t>
      </w:r>
      <w:r w:rsidRPr="00EA7665">
        <w:rPr>
          <w:rFonts w:ascii="Arial" w:hAnsi="Arial" w:cs="Arial"/>
        </w:rPr>
        <w:t xml:space="preserve"> </w:t>
      </w:r>
      <w:r w:rsidR="00637C06">
        <w:rPr>
          <w:rFonts w:ascii="Arial" w:hAnsi="Arial" w:cs="Arial"/>
        </w:rPr>
        <w:t>increased</w:t>
      </w:r>
      <w:r w:rsidRPr="00EA7665">
        <w:rPr>
          <w:rFonts w:ascii="Arial" w:hAnsi="Arial" w:cs="Arial"/>
        </w:rPr>
        <w:t xml:space="preserve"> house prices (Delmendo, 2019).</w:t>
      </w:r>
    </w:p>
    <w:p w14:paraId="5839B078" w14:textId="77777777" w:rsidR="00AB78CC" w:rsidRPr="00EA7665" w:rsidRDefault="00AB78CC" w:rsidP="00CD6352">
      <w:pPr>
        <w:spacing w:after="0" w:line="360" w:lineRule="auto"/>
        <w:jc w:val="both"/>
        <w:rPr>
          <w:rFonts w:ascii="Arial" w:hAnsi="Arial" w:cs="Arial"/>
        </w:rPr>
      </w:pPr>
    </w:p>
    <w:p w14:paraId="4181F661" w14:textId="77777777" w:rsidR="00CD6352" w:rsidRPr="00EA7665" w:rsidRDefault="00CD6352" w:rsidP="00CD6352">
      <w:pPr>
        <w:spacing w:after="0" w:line="360" w:lineRule="auto"/>
        <w:jc w:val="both"/>
        <w:rPr>
          <w:rFonts w:ascii="Arial" w:hAnsi="Arial" w:cs="Arial"/>
        </w:rPr>
      </w:pPr>
    </w:p>
    <w:p w14:paraId="31D5C4D3"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Policy environment</w:t>
      </w:r>
    </w:p>
    <w:p w14:paraId="70ECA778" w14:textId="694B9933" w:rsidR="00CD6352" w:rsidRPr="00EA7665" w:rsidRDefault="00CD6352" w:rsidP="00CD6352">
      <w:pPr>
        <w:spacing w:line="360" w:lineRule="auto"/>
        <w:jc w:val="both"/>
        <w:rPr>
          <w:rFonts w:ascii="Arial" w:hAnsi="Arial" w:cs="Arial"/>
        </w:rPr>
      </w:pPr>
      <w:r w:rsidRPr="00EA7665">
        <w:rPr>
          <w:rFonts w:ascii="Arial" w:hAnsi="Arial" w:cs="Arial"/>
        </w:rPr>
        <w:t xml:space="preserve">The lease structure in South Africa is usually for </w:t>
      </w:r>
      <w:r w:rsidR="00637C06">
        <w:rPr>
          <w:rFonts w:ascii="Arial" w:hAnsi="Arial" w:cs="Arial"/>
        </w:rPr>
        <w:t>3 to 5 year</w:t>
      </w:r>
      <w:r w:rsidRPr="00EA7665">
        <w:rPr>
          <w:rFonts w:ascii="Arial" w:hAnsi="Arial" w:cs="Arial"/>
        </w:rPr>
        <w:t>s compared to developed economies such as the United Kingdom</w:t>
      </w:r>
      <w:r w:rsidR="00637C06">
        <w:rPr>
          <w:rFonts w:ascii="Arial" w:hAnsi="Arial" w:cs="Arial"/>
        </w:rPr>
        <w:t>,</w:t>
      </w:r>
      <w:r w:rsidRPr="00EA7665">
        <w:rPr>
          <w:rFonts w:ascii="Arial" w:hAnsi="Arial" w:cs="Arial"/>
        </w:rPr>
        <w:t xml:space="preserve"> where it is between 10 to 25 years. The South African lease </w:t>
      </w:r>
      <w:r>
        <w:rPr>
          <w:rFonts w:ascii="Arial" w:hAnsi="Arial" w:cs="Arial"/>
        </w:rPr>
        <w:t xml:space="preserve">is </w:t>
      </w:r>
      <w:r w:rsidRPr="00EA7665">
        <w:rPr>
          <w:rFonts w:ascii="Arial" w:hAnsi="Arial" w:cs="Arial"/>
        </w:rPr>
        <w:t xml:space="preserve">often escalated annually to cover high </w:t>
      </w:r>
      <w:r w:rsidR="00412984" w:rsidRPr="00EA7665">
        <w:rPr>
          <w:rFonts w:ascii="Arial" w:hAnsi="Arial" w:cs="Arial"/>
        </w:rPr>
        <w:t>inflation,</w:t>
      </w:r>
      <w:r>
        <w:rPr>
          <w:rFonts w:ascii="Arial" w:hAnsi="Arial" w:cs="Arial"/>
        </w:rPr>
        <w:t xml:space="preserve"> </w:t>
      </w:r>
      <w:r w:rsidR="00637C06">
        <w:rPr>
          <w:rFonts w:ascii="Arial" w:hAnsi="Arial" w:cs="Arial"/>
        </w:rPr>
        <w:t>potentially harming</w:t>
      </w:r>
      <w:r>
        <w:rPr>
          <w:rFonts w:ascii="Arial" w:hAnsi="Arial" w:cs="Arial"/>
        </w:rPr>
        <w:t xml:space="preserve"> the real estate sector</w:t>
      </w:r>
      <w:r w:rsidRPr="00EA7665">
        <w:rPr>
          <w:rFonts w:ascii="Arial" w:hAnsi="Arial" w:cs="Arial"/>
        </w:rPr>
        <w:t xml:space="preserve"> (Nurrick et al., 2017).</w:t>
      </w:r>
      <w:r>
        <w:rPr>
          <w:rFonts w:ascii="Arial" w:hAnsi="Arial" w:cs="Arial"/>
        </w:rPr>
        <w:t xml:space="preserve"> </w:t>
      </w:r>
      <w:r w:rsidR="00637C06">
        <w:rPr>
          <w:rFonts w:ascii="Arial" w:hAnsi="Arial" w:cs="Arial"/>
        </w:rPr>
        <w:t>However, the South African government has declared housing a ‘right ‘in the state constitution, which</w:t>
      </w:r>
      <w:r w:rsidRPr="00EA7665">
        <w:rPr>
          <w:rFonts w:ascii="Arial" w:hAnsi="Arial" w:cs="Arial"/>
        </w:rPr>
        <w:t xml:space="preserve"> has raised the expectations of all stakeholders in the real estate sector, </w:t>
      </w:r>
      <w:r>
        <w:rPr>
          <w:rFonts w:ascii="Arial" w:hAnsi="Arial" w:cs="Arial"/>
        </w:rPr>
        <w:t>including</w:t>
      </w:r>
      <w:r w:rsidRPr="00EA7665">
        <w:rPr>
          <w:rFonts w:ascii="Arial" w:hAnsi="Arial" w:cs="Arial"/>
        </w:rPr>
        <w:t xml:space="preserve"> the financiers (Simon, 2014).  Foreigners can own properties in South Africa without restrictions, </w:t>
      </w:r>
      <w:r w:rsidR="00536C00">
        <w:rPr>
          <w:rFonts w:ascii="Arial" w:hAnsi="Arial" w:cs="Arial"/>
        </w:rPr>
        <w:t>which</w:t>
      </w:r>
      <w:r w:rsidRPr="00EA7665">
        <w:rPr>
          <w:rFonts w:ascii="Arial" w:hAnsi="Arial" w:cs="Arial"/>
        </w:rPr>
        <w:t xml:space="preserve"> is an excellent motivation for foreign inflows of finance into South Africa (Delmendo, 2019).</w:t>
      </w:r>
    </w:p>
    <w:p w14:paraId="41E1981C"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Real estate shortages in South Africa</w:t>
      </w:r>
    </w:p>
    <w:p w14:paraId="06954B35" w14:textId="662A6A2C" w:rsidR="00CD6352" w:rsidRPr="00EA7665" w:rsidRDefault="00CD6352" w:rsidP="00CD6352">
      <w:pPr>
        <w:spacing w:line="360" w:lineRule="auto"/>
        <w:jc w:val="both"/>
        <w:rPr>
          <w:rFonts w:ascii="Arial" w:hAnsi="Arial" w:cs="Arial"/>
        </w:rPr>
      </w:pPr>
      <w:r w:rsidRPr="00EA7665">
        <w:rPr>
          <w:rFonts w:ascii="Arial" w:hAnsi="Arial" w:cs="Arial"/>
        </w:rPr>
        <w:t>The</w:t>
      </w:r>
      <w:r w:rsidR="00C571D0">
        <w:rPr>
          <w:rFonts w:ascii="Arial" w:hAnsi="Arial" w:cs="Arial"/>
        </w:rPr>
        <w:t>re</w:t>
      </w:r>
      <w:r w:rsidRPr="00EA7665">
        <w:rPr>
          <w:rFonts w:ascii="Arial" w:hAnsi="Arial" w:cs="Arial"/>
        </w:rPr>
        <w:t xml:space="preserve"> is a high degree of </w:t>
      </w:r>
      <w:r>
        <w:rPr>
          <w:rFonts w:ascii="Arial" w:hAnsi="Arial" w:cs="Arial"/>
        </w:rPr>
        <w:t xml:space="preserve">a </w:t>
      </w:r>
      <w:r w:rsidRPr="00EA7665">
        <w:rPr>
          <w:rFonts w:ascii="Arial" w:hAnsi="Arial" w:cs="Arial"/>
        </w:rPr>
        <w:t>lack of affordable housing in South Africa</w:t>
      </w:r>
      <w:r w:rsidR="00EA4C02">
        <w:rPr>
          <w:rFonts w:ascii="Arial" w:hAnsi="Arial" w:cs="Arial"/>
        </w:rPr>
        <w:t>. The housing backlog reportedly stands</w:t>
      </w:r>
      <w:r w:rsidRPr="00EA7665">
        <w:rPr>
          <w:rFonts w:ascii="Arial" w:hAnsi="Arial" w:cs="Arial"/>
        </w:rPr>
        <w:t xml:space="preserve"> at 2.3million houses</w:t>
      </w:r>
      <w:r w:rsidR="00637C06">
        <w:rPr>
          <w:rFonts w:ascii="Arial" w:hAnsi="Arial" w:cs="Arial"/>
        </w:rPr>
        <w:t>,</w:t>
      </w:r>
      <w:r w:rsidRPr="00EA7665">
        <w:rPr>
          <w:rFonts w:ascii="Arial" w:hAnsi="Arial" w:cs="Arial"/>
        </w:rPr>
        <w:t xml:space="preserve"> with Kwazulu Natal, Eastern Cape, Gauteng and Western Cape provinces having the highest backlogs. Most of these people live in makeshift structures </w:t>
      </w:r>
      <w:r w:rsidR="00EA4C02">
        <w:rPr>
          <w:rFonts w:ascii="Arial" w:hAnsi="Arial" w:cs="Arial"/>
        </w:rPr>
        <w:t>that are not erected according to approved architectural plans; examples of these settlements are shacks and</w:t>
      </w:r>
      <w:r w:rsidRPr="00EA7665">
        <w:rPr>
          <w:rFonts w:ascii="Arial" w:hAnsi="Arial" w:cs="Arial"/>
        </w:rPr>
        <w:t xml:space="preserve"> shanties in informal settlements or backyards (Pretorius, 2019).</w:t>
      </w:r>
    </w:p>
    <w:p w14:paraId="2872EC59" w14:textId="77777777" w:rsidR="00CD6352" w:rsidRPr="004A65DE" w:rsidRDefault="00CD6352" w:rsidP="00CD6352">
      <w:pPr>
        <w:pStyle w:val="Heading4"/>
        <w:spacing w:after="240"/>
        <w:rPr>
          <w:rFonts w:ascii="Arial" w:hAnsi="Arial" w:cs="Arial"/>
          <w:b/>
          <w:i w:val="0"/>
          <w:iCs w:val="0"/>
          <w:color w:val="000000" w:themeColor="text1"/>
          <w:lang w:val="en-US"/>
        </w:rPr>
      </w:pPr>
      <w:r w:rsidRPr="004A65DE">
        <w:rPr>
          <w:rFonts w:ascii="Arial" w:hAnsi="Arial" w:cs="Arial"/>
          <w:b/>
          <w:i w:val="0"/>
          <w:iCs w:val="0"/>
          <w:color w:val="000000" w:themeColor="text1"/>
          <w:lang w:val="en-US"/>
        </w:rPr>
        <w:t>Sources of Real estate finance in South Africa</w:t>
      </w:r>
    </w:p>
    <w:p w14:paraId="17269A4F" w14:textId="3EFA8431" w:rsidR="00BF7BC7" w:rsidRDefault="00CD6352" w:rsidP="00CD6352">
      <w:pPr>
        <w:spacing w:after="0" w:line="360" w:lineRule="auto"/>
        <w:jc w:val="both"/>
        <w:rPr>
          <w:rFonts w:ascii="Arial" w:hAnsi="Arial" w:cs="Arial"/>
        </w:rPr>
      </w:pPr>
      <w:r w:rsidRPr="00EA7665">
        <w:rPr>
          <w:rFonts w:ascii="Arial" w:hAnsi="Arial" w:cs="Arial"/>
        </w:rPr>
        <w:t>Finance for real estate developments in South Africa includes investors from Europe</w:t>
      </w:r>
      <w:r w:rsidR="00BF7BC7">
        <w:rPr>
          <w:rFonts w:ascii="Arial" w:hAnsi="Arial" w:cs="Arial"/>
        </w:rPr>
        <w:t>,</w:t>
      </w:r>
      <w:r w:rsidRPr="00EA7665">
        <w:rPr>
          <w:rFonts w:ascii="Arial" w:hAnsi="Arial" w:cs="Arial"/>
        </w:rPr>
        <w:t xml:space="preserve"> other African countries</w:t>
      </w:r>
      <w:r w:rsidR="003E567B">
        <w:rPr>
          <w:rFonts w:ascii="Arial" w:hAnsi="Arial" w:cs="Arial"/>
        </w:rPr>
        <w:t>,</w:t>
      </w:r>
      <w:r w:rsidRPr="00EA7665">
        <w:rPr>
          <w:rFonts w:ascii="Arial" w:hAnsi="Arial" w:cs="Arial"/>
        </w:rPr>
        <w:t xml:space="preserve"> and China. </w:t>
      </w:r>
    </w:p>
    <w:p w14:paraId="5BE1DFBB" w14:textId="68C63686" w:rsidR="00CD6352" w:rsidRDefault="00CD6352" w:rsidP="00BF7BC7">
      <w:pPr>
        <w:spacing w:before="240" w:after="0" w:line="360" w:lineRule="auto"/>
        <w:jc w:val="both"/>
        <w:rPr>
          <w:rFonts w:ascii="Arial" w:hAnsi="Arial" w:cs="Arial"/>
        </w:rPr>
      </w:pPr>
      <w:r w:rsidRPr="00EA7665">
        <w:rPr>
          <w:rFonts w:ascii="Arial" w:hAnsi="Arial" w:cs="Arial"/>
        </w:rPr>
        <w:t xml:space="preserve">There </w:t>
      </w:r>
      <w:r>
        <w:rPr>
          <w:rFonts w:ascii="Arial" w:hAnsi="Arial" w:cs="Arial"/>
        </w:rPr>
        <w:t>was</w:t>
      </w:r>
      <w:r w:rsidRPr="00EA7665">
        <w:rPr>
          <w:rFonts w:ascii="Arial" w:hAnsi="Arial" w:cs="Arial"/>
        </w:rPr>
        <w:t xml:space="preserve">, however, a decline in investment from these countries in recent years (Delmendo, 2019). The South African real estate development sector also enjoys funding from institutional investors and the capital markets (Irving and Manroth, 2009). The financial institutions in South </w:t>
      </w:r>
      <w:r w:rsidRPr="00EA7665">
        <w:rPr>
          <w:rFonts w:ascii="Arial" w:hAnsi="Arial" w:cs="Arial"/>
        </w:rPr>
        <w:lastRenderedPageBreak/>
        <w:t>Africa are a good source of finance for the real estate sector as they are committed to providing finance, especially for real estate project development. However, there has been a fall in the mortgage loans granted by financial institutions by 1.21% (Delmendo, 2019).</w:t>
      </w:r>
    </w:p>
    <w:p w14:paraId="0350FB21" w14:textId="7751751B" w:rsidR="00CD6352" w:rsidRDefault="00CD6352" w:rsidP="00CD6352">
      <w:pPr>
        <w:pStyle w:val="Heading2"/>
        <w:spacing w:after="240"/>
        <w:rPr>
          <w:sz w:val="22"/>
          <w:szCs w:val="22"/>
        </w:rPr>
      </w:pPr>
      <w:bookmarkStart w:id="503" w:name="_Toc78983785"/>
      <w:r w:rsidRPr="00FD744D">
        <w:rPr>
          <w:sz w:val="22"/>
          <w:szCs w:val="22"/>
        </w:rPr>
        <w:t>Comparison of the</w:t>
      </w:r>
      <w:r w:rsidR="00BF1829">
        <w:rPr>
          <w:sz w:val="22"/>
          <w:szCs w:val="22"/>
        </w:rPr>
        <w:t xml:space="preserve"> real estate markets in </w:t>
      </w:r>
      <w:r w:rsidR="00D45B9C">
        <w:rPr>
          <w:sz w:val="22"/>
          <w:szCs w:val="22"/>
        </w:rPr>
        <w:t xml:space="preserve">the </w:t>
      </w:r>
      <w:r w:rsidR="00D45B9C" w:rsidRPr="00FD744D">
        <w:rPr>
          <w:sz w:val="22"/>
          <w:szCs w:val="22"/>
        </w:rPr>
        <w:t>developed</w:t>
      </w:r>
      <w:r w:rsidRPr="00FD744D">
        <w:rPr>
          <w:sz w:val="22"/>
          <w:szCs w:val="22"/>
        </w:rPr>
        <w:t xml:space="preserve"> and emerging economies</w:t>
      </w:r>
      <w:bookmarkEnd w:id="503"/>
    </w:p>
    <w:p w14:paraId="5DE5931F" w14:textId="70E3E740" w:rsidR="00AB2DA3" w:rsidRDefault="00CD6352" w:rsidP="00CD6352">
      <w:pPr>
        <w:spacing w:line="360" w:lineRule="auto"/>
        <w:rPr>
          <w:rFonts w:ascii="Arial" w:hAnsi="Arial" w:cs="Arial"/>
        </w:rPr>
      </w:pPr>
      <w:r w:rsidRPr="00FD744D">
        <w:rPr>
          <w:rFonts w:ascii="Arial" w:hAnsi="Arial" w:cs="Arial"/>
        </w:rPr>
        <w:t xml:space="preserve">The </w:t>
      </w:r>
      <w:r w:rsidR="00637C06">
        <w:rPr>
          <w:rFonts w:ascii="Arial" w:hAnsi="Arial" w:cs="Arial"/>
        </w:rPr>
        <w:t>literature review findings</w:t>
      </w:r>
      <w:r w:rsidRPr="00FD744D">
        <w:rPr>
          <w:rFonts w:ascii="Arial" w:hAnsi="Arial" w:cs="Arial"/>
        </w:rPr>
        <w:t xml:space="preserve"> sho</w:t>
      </w:r>
      <w:r>
        <w:rPr>
          <w:rFonts w:ascii="Arial" w:hAnsi="Arial" w:cs="Arial"/>
        </w:rPr>
        <w:t>w</w:t>
      </w:r>
      <w:r w:rsidRPr="00FD744D">
        <w:rPr>
          <w:rFonts w:ascii="Arial" w:hAnsi="Arial" w:cs="Arial"/>
        </w:rPr>
        <w:t xml:space="preserve"> that the demand for real estate development in both the developed and emerging economies out-strips supply because of increased populatio</w:t>
      </w:r>
      <w:r>
        <w:rPr>
          <w:rFonts w:ascii="Arial" w:hAnsi="Arial" w:cs="Arial"/>
        </w:rPr>
        <w:t>ns</w:t>
      </w:r>
      <w:r w:rsidRPr="00FD744D">
        <w:rPr>
          <w:rFonts w:ascii="Arial" w:hAnsi="Arial" w:cs="Arial"/>
        </w:rPr>
        <w:t xml:space="preserve"> </w:t>
      </w:r>
      <w:r w:rsidR="00375CBF">
        <w:rPr>
          <w:rFonts w:ascii="Arial" w:hAnsi="Arial" w:cs="Arial"/>
        </w:rPr>
        <w:t>due to</w:t>
      </w:r>
      <w:r w:rsidRPr="00FD744D">
        <w:rPr>
          <w:rFonts w:ascii="Arial" w:hAnsi="Arial" w:cs="Arial"/>
        </w:rPr>
        <w:t xml:space="preserve"> higher birth rates and immigration.</w:t>
      </w:r>
      <w:r w:rsidR="00AB2DA3">
        <w:rPr>
          <w:rFonts w:ascii="Arial" w:hAnsi="Arial" w:cs="Arial"/>
        </w:rPr>
        <w:t xml:space="preserve"> </w:t>
      </w:r>
      <w:r w:rsidRPr="00FD744D">
        <w:rPr>
          <w:rFonts w:ascii="Arial" w:hAnsi="Arial" w:cs="Arial"/>
        </w:rPr>
        <w:t xml:space="preserve">The shortages in real estate supply </w:t>
      </w:r>
      <w:r w:rsidR="00AB2DA3">
        <w:rPr>
          <w:rFonts w:ascii="Arial" w:hAnsi="Arial" w:cs="Arial"/>
        </w:rPr>
        <w:t>is</w:t>
      </w:r>
      <w:r w:rsidRPr="00FD744D">
        <w:rPr>
          <w:rFonts w:ascii="Arial" w:hAnsi="Arial" w:cs="Arial"/>
        </w:rPr>
        <w:t xml:space="preserve"> </w:t>
      </w:r>
      <w:r w:rsidR="00375CBF">
        <w:rPr>
          <w:rFonts w:ascii="Arial" w:hAnsi="Arial" w:cs="Arial"/>
        </w:rPr>
        <w:t>evident</w:t>
      </w:r>
      <w:r w:rsidRPr="00FD744D">
        <w:rPr>
          <w:rFonts w:ascii="Arial" w:hAnsi="Arial" w:cs="Arial"/>
        </w:rPr>
        <w:t xml:space="preserve"> in major cities in both the developed and emerging economies. </w:t>
      </w:r>
    </w:p>
    <w:p w14:paraId="54BECD92" w14:textId="47ACC7AF" w:rsidR="00CD6352" w:rsidRPr="00FD744D" w:rsidRDefault="00CD6352" w:rsidP="00CD6352">
      <w:pPr>
        <w:spacing w:line="360" w:lineRule="auto"/>
        <w:rPr>
          <w:rFonts w:ascii="Arial" w:hAnsi="Arial" w:cs="Arial"/>
        </w:rPr>
      </w:pPr>
      <w:r w:rsidRPr="00FD744D">
        <w:rPr>
          <w:rFonts w:ascii="Arial" w:hAnsi="Arial" w:cs="Arial"/>
        </w:rPr>
        <w:t xml:space="preserve">The value of real estate assets makes a significant contribution to the GDP of Germany, </w:t>
      </w:r>
      <w:r w:rsidR="00533B1C">
        <w:rPr>
          <w:rFonts w:ascii="Arial" w:hAnsi="Arial" w:cs="Arial"/>
        </w:rPr>
        <w:t xml:space="preserve">the </w:t>
      </w:r>
      <w:r w:rsidR="00304550" w:rsidRPr="00FD744D">
        <w:rPr>
          <w:rFonts w:ascii="Arial" w:hAnsi="Arial" w:cs="Arial"/>
        </w:rPr>
        <w:t xml:space="preserve">UK, </w:t>
      </w:r>
      <w:r w:rsidR="00533B1C">
        <w:rPr>
          <w:rFonts w:ascii="Arial" w:hAnsi="Arial" w:cs="Arial"/>
        </w:rPr>
        <w:t xml:space="preserve">the </w:t>
      </w:r>
      <w:r w:rsidR="00304550" w:rsidRPr="00FD744D">
        <w:rPr>
          <w:rFonts w:ascii="Arial" w:hAnsi="Arial" w:cs="Arial"/>
        </w:rPr>
        <w:t>US</w:t>
      </w:r>
      <w:r w:rsidR="00533B1C">
        <w:rPr>
          <w:rFonts w:ascii="Arial" w:hAnsi="Arial" w:cs="Arial"/>
        </w:rPr>
        <w:t>,</w:t>
      </w:r>
      <w:r w:rsidRPr="00FD744D">
        <w:rPr>
          <w:rFonts w:ascii="Arial" w:hAnsi="Arial" w:cs="Arial"/>
        </w:rPr>
        <w:t xml:space="preserve"> and China. The developed economies in this study are ranked 1st to 8th </w:t>
      </w:r>
      <w:r w:rsidR="00637C06">
        <w:rPr>
          <w:rFonts w:ascii="Arial" w:hAnsi="Arial" w:cs="Arial"/>
        </w:rPr>
        <w:t>globally</w:t>
      </w:r>
      <w:r w:rsidRPr="00FD744D">
        <w:rPr>
          <w:rFonts w:ascii="Arial" w:hAnsi="Arial" w:cs="Arial"/>
        </w:rPr>
        <w:t xml:space="preserve"> </w:t>
      </w:r>
      <w:r w:rsidR="008C0AA3">
        <w:rPr>
          <w:rFonts w:ascii="Arial" w:hAnsi="Arial" w:cs="Arial"/>
        </w:rPr>
        <w:t>with</w:t>
      </w:r>
      <w:r w:rsidRPr="00FD744D">
        <w:rPr>
          <w:rFonts w:ascii="Arial" w:hAnsi="Arial" w:cs="Arial"/>
        </w:rPr>
        <w:t xml:space="preserve"> respect </w:t>
      </w:r>
      <w:r w:rsidR="004A65DE">
        <w:rPr>
          <w:rFonts w:ascii="Arial" w:hAnsi="Arial" w:cs="Arial"/>
        </w:rPr>
        <w:t>to</w:t>
      </w:r>
      <w:r w:rsidRPr="00FD744D">
        <w:rPr>
          <w:rFonts w:ascii="Arial" w:hAnsi="Arial" w:cs="Arial"/>
        </w:rPr>
        <w:t xml:space="preserve"> real estate investment</w:t>
      </w:r>
      <w:r w:rsidR="00375CBF">
        <w:rPr>
          <w:rFonts w:ascii="Arial" w:hAnsi="Arial" w:cs="Arial"/>
        </w:rPr>
        <w:t>.</w:t>
      </w:r>
    </w:p>
    <w:p w14:paraId="36E136CE" w14:textId="3F5DE7B3" w:rsidR="00CD6352" w:rsidRPr="00FD744D" w:rsidRDefault="00CD6352" w:rsidP="00CD6352">
      <w:pPr>
        <w:spacing w:line="360" w:lineRule="auto"/>
        <w:rPr>
          <w:rFonts w:ascii="Arial" w:hAnsi="Arial" w:cs="Arial"/>
        </w:rPr>
      </w:pPr>
      <w:r w:rsidRPr="00FD744D">
        <w:rPr>
          <w:rFonts w:ascii="Arial" w:hAnsi="Arial" w:cs="Arial"/>
        </w:rPr>
        <w:t xml:space="preserve">The literature reveals that </w:t>
      </w:r>
      <w:r w:rsidR="00533B1C">
        <w:rPr>
          <w:rFonts w:ascii="Arial" w:hAnsi="Arial" w:cs="Arial"/>
        </w:rPr>
        <w:t>several factors a</w:t>
      </w:r>
      <w:r w:rsidR="00637C06">
        <w:rPr>
          <w:rFonts w:ascii="Arial" w:hAnsi="Arial" w:cs="Arial"/>
        </w:rPr>
        <w:t>ffect</w:t>
      </w:r>
      <w:r w:rsidRPr="00FD744D">
        <w:rPr>
          <w:rFonts w:ascii="Arial" w:hAnsi="Arial" w:cs="Arial"/>
        </w:rPr>
        <w:t xml:space="preserve"> the real estate sectors in both the developed and emerging economies. These factors can be broadly classified into economic, social, technical</w:t>
      </w:r>
      <w:r w:rsidR="00533B1C">
        <w:rPr>
          <w:rFonts w:ascii="Arial" w:hAnsi="Arial" w:cs="Arial"/>
        </w:rPr>
        <w:t>,</w:t>
      </w:r>
      <w:r w:rsidRPr="00FD744D">
        <w:rPr>
          <w:rFonts w:ascii="Arial" w:hAnsi="Arial" w:cs="Arial"/>
        </w:rPr>
        <w:t xml:space="preserve"> and legal factors. The economic factors affecting the real estate sectors in Germany, </w:t>
      </w:r>
      <w:r>
        <w:rPr>
          <w:rFonts w:ascii="Arial" w:hAnsi="Arial" w:cs="Arial"/>
        </w:rPr>
        <w:t xml:space="preserve">the </w:t>
      </w:r>
      <w:r w:rsidRPr="00FD744D">
        <w:rPr>
          <w:rFonts w:ascii="Arial" w:hAnsi="Arial" w:cs="Arial"/>
        </w:rPr>
        <w:t>UK</w:t>
      </w:r>
      <w:r w:rsidR="00533B1C">
        <w:rPr>
          <w:rFonts w:ascii="Arial" w:hAnsi="Arial" w:cs="Arial"/>
        </w:rPr>
        <w:t>,</w:t>
      </w:r>
      <w:r w:rsidRPr="00FD744D">
        <w:rPr>
          <w:rFonts w:ascii="Arial" w:hAnsi="Arial" w:cs="Arial"/>
        </w:rPr>
        <w:t xml:space="preserve"> and</w:t>
      </w:r>
      <w:r>
        <w:rPr>
          <w:rFonts w:ascii="Arial" w:hAnsi="Arial" w:cs="Arial"/>
        </w:rPr>
        <w:t xml:space="preserve"> the</w:t>
      </w:r>
      <w:r w:rsidRPr="00FD744D">
        <w:rPr>
          <w:rFonts w:ascii="Arial" w:hAnsi="Arial" w:cs="Arial"/>
        </w:rPr>
        <w:t xml:space="preserve"> US include strong economic growth, record-low unemployment, low</w:t>
      </w:r>
      <w:r w:rsidR="00734983">
        <w:rPr>
          <w:rFonts w:ascii="Arial" w:hAnsi="Arial" w:cs="Arial"/>
        </w:rPr>
        <w:t>-</w:t>
      </w:r>
      <w:r w:rsidRPr="00FD744D">
        <w:rPr>
          <w:rFonts w:ascii="Arial" w:hAnsi="Arial" w:cs="Arial"/>
        </w:rPr>
        <w:t>interest rates, low inflation rates, access to credit</w:t>
      </w:r>
      <w:r w:rsidR="00EA4C02">
        <w:rPr>
          <w:rFonts w:ascii="Arial" w:hAnsi="Arial" w:cs="Arial"/>
        </w:rPr>
        <w:t>, and demand</w:t>
      </w:r>
      <w:r w:rsidRPr="00FD744D">
        <w:rPr>
          <w:rFonts w:ascii="Arial" w:hAnsi="Arial" w:cs="Arial"/>
        </w:rPr>
        <w:t xml:space="preserve"> for real estate. The real estate markets in Germany, </w:t>
      </w:r>
      <w:r>
        <w:rPr>
          <w:rFonts w:ascii="Arial" w:hAnsi="Arial" w:cs="Arial"/>
        </w:rPr>
        <w:t xml:space="preserve">the </w:t>
      </w:r>
      <w:r w:rsidRPr="00FD744D">
        <w:rPr>
          <w:rFonts w:ascii="Arial" w:hAnsi="Arial" w:cs="Arial"/>
        </w:rPr>
        <w:t>US</w:t>
      </w:r>
      <w:r w:rsidR="00533B1C">
        <w:rPr>
          <w:rFonts w:ascii="Arial" w:hAnsi="Arial" w:cs="Arial"/>
        </w:rPr>
        <w:t>,</w:t>
      </w:r>
      <w:r w:rsidRPr="00FD744D">
        <w:rPr>
          <w:rFonts w:ascii="Arial" w:hAnsi="Arial" w:cs="Arial"/>
        </w:rPr>
        <w:t xml:space="preserve"> and</w:t>
      </w:r>
      <w:r>
        <w:rPr>
          <w:rFonts w:ascii="Arial" w:hAnsi="Arial" w:cs="Arial"/>
        </w:rPr>
        <w:t xml:space="preserve"> the</w:t>
      </w:r>
      <w:r w:rsidRPr="00FD744D">
        <w:rPr>
          <w:rFonts w:ascii="Arial" w:hAnsi="Arial" w:cs="Arial"/>
        </w:rPr>
        <w:t xml:space="preserve"> UK have similar macro-economic conditions</w:t>
      </w:r>
      <w:r w:rsidR="00637C06">
        <w:rPr>
          <w:rFonts w:ascii="Arial" w:hAnsi="Arial" w:cs="Arial"/>
        </w:rPr>
        <w:t>,</w:t>
      </w:r>
      <w:r w:rsidRPr="00FD744D">
        <w:rPr>
          <w:rFonts w:ascii="Arial" w:hAnsi="Arial" w:cs="Arial"/>
        </w:rPr>
        <w:t xml:space="preserve"> which to a large extent</w:t>
      </w:r>
      <w:r w:rsidR="00637C06">
        <w:rPr>
          <w:rFonts w:ascii="Arial" w:hAnsi="Arial" w:cs="Arial"/>
        </w:rPr>
        <w:t>,</w:t>
      </w:r>
      <w:r w:rsidRPr="00FD744D">
        <w:rPr>
          <w:rFonts w:ascii="Arial" w:hAnsi="Arial" w:cs="Arial"/>
        </w:rPr>
        <w:t xml:space="preserve"> have influenced the real estate markets positive</w:t>
      </w:r>
      <w:r>
        <w:rPr>
          <w:rFonts w:ascii="Arial" w:hAnsi="Arial" w:cs="Arial"/>
        </w:rPr>
        <w:t>ly</w:t>
      </w:r>
      <w:r w:rsidRPr="00FD744D">
        <w:rPr>
          <w:rFonts w:ascii="Arial" w:hAnsi="Arial" w:cs="Arial"/>
        </w:rPr>
        <w:t xml:space="preserve">. However, the emerging economies in this study do not have macro-economic conditions </w:t>
      </w:r>
      <w:r>
        <w:rPr>
          <w:rFonts w:ascii="Arial" w:hAnsi="Arial" w:cs="Arial"/>
        </w:rPr>
        <w:t>similar to</w:t>
      </w:r>
      <w:r w:rsidRPr="00FD744D">
        <w:rPr>
          <w:rFonts w:ascii="Arial" w:hAnsi="Arial" w:cs="Arial"/>
        </w:rPr>
        <w:t xml:space="preserve"> the developed economies. </w:t>
      </w:r>
      <w:r w:rsidR="00EA4C02">
        <w:rPr>
          <w:rFonts w:ascii="Arial" w:hAnsi="Arial" w:cs="Arial"/>
        </w:rPr>
        <w:t xml:space="preserve">Like </w:t>
      </w:r>
      <w:r w:rsidR="005B2588">
        <w:rPr>
          <w:rFonts w:ascii="Arial" w:hAnsi="Arial" w:cs="Arial"/>
        </w:rPr>
        <w:t>developed economies, the Chinese monetary policies have reduced the interest rate an</w:t>
      </w:r>
      <w:r w:rsidRPr="00FD744D">
        <w:rPr>
          <w:rFonts w:ascii="Arial" w:hAnsi="Arial" w:cs="Arial"/>
        </w:rPr>
        <w:t xml:space="preserve">d </w:t>
      </w:r>
      <w:r>
        <w:rPr>
          <w:rFonts w:ascii="Arial" w:hAnsi="Arial" w:cs="Arial"/>
        </w:rPr>
        <w:t xml:space="preserve">the </w:t>
      </w:r>
      <w:r w:rsidRPr="00FD744D">
        <w:rPr>
          <w:rFonts w:ascii="Arial" w:hAnsi="Arial" w:cs="Arial"/>
        </w:rPr>
        <w:t>bank reserve ratio to stimulate the real estate sector and the economy. However, this is not the case with Nigeria</w:t>
      </w:r>
      <w:r w:rsidR="00EA4C02">
        <w:rPr>
          <w:rFonts w:ascii="Arial" w:hAnsi="Arial" w:cs="Arial"/>
        </w:rPr>
        <w:t>,</w:t>
      </w:r>
      <w:r w:rsidRPr="00FD744D">
        <w:rPr>
          <w:rFonts w:ascii="Arial" w:hAnsi="Arial" w:cs="Arial"/>
        </w:rPr>
        <w:t xml:space="preserve"> where the interest rate is very high</w:t>
      </w:r>
      <w:r w:rsidR="00AB2DA3">
        <w:rPr>
          <w:rFonts w:ascii="Arial" w:hAnsi="Arial" w:cs="Arial"/>
        </w:rPr>
        <w:t>,</w:t>
      </w:r>
      <w:r w:rsidR="005B2588">
        <w:rPr>
          <w:rFonts w:ascii="Arial" w:hAnsi="Arial" w:cs="Arial"/>
        </w:rPr>
        <w:t xml:space="preserve"> and t</w:t>
      </w:r>
      <w:r>
        <w:rPr>
          <w:rFonts w:ascii="Arial" w:hAnsi="Arial" w:cs="Arial"/>
        </w:rPr>
        <w:t xml:space="preserve">he </w:t>
      </w:r>
      <w:r w:rsidRPr="00FD744D">
        <w:rPr>
          <w:rFonts w:ascii="Arial" w:hAnsi="Arial" w:cs="Arial"/>
        </w:rPr>
        <w:t xml:space="preserve">government’s monetary and fiscal policies have not </w:t>
      </w:r>
      <w:r w:rsidR="005B2588">
        <w:rPr>
          <w:rFonts w:ascii="Arial" w:hAnsi="Arial" w:cs="Arial"/>
        </w:rPr>
        <w:t>significantly impacted</w:t>
      </w:r>
      <w:r w:rsidRPr="00FD744D">
        <w:rPr>
          <w:rFonts w:ascii="Arial" w:hAnsi="Arial" w:cs="Arial"/>
        </w:rPr>
        <w:t xml:space="preserve"> the real estate sector</w:t>
      </w:r>
      <w:r w:rsidR="005B2588">
        <w:rPr>
          <w:rFonts w:ascii="Arial" w:hAnsi="Arial" w:cs="Arial"/>
        </w:rPr>
        <w:t>.</w:t>
      </w:r>
      <w:r w:rsidRPr="00FD744D">
        <w:rPr>
          <w:rFonts w:ascii="Arial" w:hAnsi="Arial" w:cs="Arial"/>
        </w:rPr>
        <w:t xml:space="preserve"> China also has a strong current account position</w:t>
      </w:r>
      <w:r w:rsidR="00637C06">
        <w:rPr>
          <w:rFonts w:ascii="Arial" w:hAnsi="Arial" w:cs="Arial"/>
        </w:rPr>
        <w:t>, which has made it very easy for them to invest internationally and</w:t>
      </w:r>
      <w:r w:rsidRPr="00FD744D">
        <w:rPr>
          <w:rFonts w:ascii="Arial" w:hAnsi="Arial" w:cs="Arial"/>
        </w:rPr>
        <w:t xml:space="preserve"> have a s</w:t>
      </w:r>
      <w:r w:rsidR="00AB2DA3">
        <w:rPr>
          <w:rFonts w:ascii="Arial" w:hAnsi="Arial" w:cs="Arial"/>
        </w:rPr>
        <w:t>olid</w:t>
      </w:r>
      <w:r w:rsidRPr="00FD744D">
        <w:rPr>
          <w:rFonts w:ascii="Arial" w:hAnsi="Arial" w:cs="Arial"/>
        </w:rPr>
        <w:t xml:space="preserve"> support base locally because of the high liquidity</w:t>
      </w:r>
      <w:r w:rsidR="005B2588">
        <w:rPr>
          <w:rFonts w:ascii="Arial" w:hAnsi="Arial" w:cs="Arial"/>
        </w:rPr>
        <w:t>.</w:t>
      </w:r>
      <w:r w:rsidRPr="00FD744D">
        <w:rPr>
          <w:rFonts w:ascii="Arial" w:hAnsi="Arial" w:cs="Arial"/>
        </w:rPr>
        <w:t xml:space="preserve"> Nigeria is majorly dependent on revenue from crude oil</w:t>
      </w:r>
      <w:r w:rsidR="00637C06">
        <w:rPr>
          <w:rFonts w:ascii="Arial" w:hAnsi="Arial" w:cs="Arial"/>
        </w:rPr>
        <w:t>, which has been negatively impacted by militant activities and OPEC’s mandates to reduce production, which has</w:t>
      </w:r>
      <w:r>
        <w:rPr>
          <w:rFonts w:ascii="Arial" w:hAnsi="Arial" w:cs="Arial"/>
        </w:rPr>
        <w:t xml:space="preserve"> </w:t>
      </w:r>
      <w:r w:rsidRPr="00FD744D">
        <w:rPr>
          <w:rFonts w:ascii="Arial" w:hAnsi="Arial" w:cs="Arial"/>
        </w:rPr>
        <w:t>had a negative effect on the real estate sector</w:t>
      </w:r>
      <w:r w:rsidR="005B2588">
        <w:rPr>
          <w:rFonts w:ascii="Arial" w:hAnsi="Arial" w:cs="Arial"/>
        </w:rPr>
        <w:t>.</w:t>
      </w:r>
      <w:r w:rsidRPr="00FD744D">
        <w:rPr>
          <w:rFonts w:ascii="Arial" w:hAnsi="Arial" w:cs="Arial"/>
        </w:rPr>
        <w:t xml:space="preserve"> In the same light, South Africa has </w:t>
      </w:r>
      <w:r>
        <w:rPr>
          <w:rFonts w:ascii="Arial" w:hAnsi="Arial" w:cs="Arial"/>
        </w:rPr>
        <w:t xml:space="preserve">a </w:t>
      </w:r>
      <w:r w:rsidRPr="00FD744D">
        <w:rPr>
          <w:rFonts w:ascii="Arial" w:hAnsi="Arial" w:cs="Arial"/>
        </w:rPr>
        <w:t xml:space="preserve">high unemployment rate, </w:t>
      </w:r>
      <w:r w:rsidR="00637C06">
        <w:rPr>
          <w:rFonts w:ascii="Arial" w:hAnsi="Arial" w:cs="Arial"/>
        </w:rPr>
        <w:t>high interest, and high inflation rates, similar to the Nigerian economy. T</w:t>
      </w:r>
      <w:r w:rsidRPr="00FD744D">
        <w:rPr>
          <w:rFonts w:ascii="Arial" w:hAnsi="Arial" w:cs="Arial"/>
        </w:rPr>
        <w:t xml:space="preserve">his has </w:t>
      </w:r>
      <w:r>
        <w:rPr>
          <w:rFonts w:ascii="Arial" w:hAnsi="Arial" w:cs="Arial"/>
        </w:rPr>
        <w:t xml:space="preserve">a </w:t>
      </w:r>
      <w:r w:rsidRPr="00FD744D">
        <w:rPr>
          <w:rFonts w:ascii="Arial" w:hAnsi="Arial" w:cs="Arial"/>
        </w:rPr>
        <w:t>significant negative impact on the real estate sector</w:t>
      </w:r>
      <w:r w:rsidR="005B2588">
        <w:rPr>
          <w:rFonts w:ascii="Arial" w:hAnsi="Arial" w:cs="Arial"/>
        </w:rPr>
        <w:t>.</w:t>
      </w:r>
    </w:p>
    <w:p w14:paraId="7900425E" w14:textId="304DF1F5" w:rsidR="00CD6352" w:rsidRPr="00FD744D" w:rsidRDefault="00CD6352" w:rsidP="00CD6352">
      <w:pPr>
        <w:spacing w:line="360" w:lineRule="auto"/>
        <w:rPr>
          <w:rFonts w:ascii="Arial" w:hAnsi="Arial" w:cs="Arial"/>
        </w:rPr>
      </w:pPr>
      <w:r w:rsidRPr="00427A7E">
        <w:rPr>
          <w:rFonts w:ascii="Arial" w:hAnsi="Arial" w:cs="Arial"/>
        </w:rPr>
        <w:t xml:space="preserve">The stable political structure in all the developed economies </w:t>
      </w:r>
      <w:r w:rsidR="00EA4EC2">
        <w:rPr>
          <w:rFonts w:ascii="Arial" w:hAnsi="Arial" w:cs="Arial"/>
        </w:rPr>
        <w:t xml:space="preserve">discussed </w:t>
      </w:r>
      <w:r w:rsidRPr="00427A7E">
        <w:rPr>
          <w:rFonts w:ascii="Arial" w:hAnsi="Arial" w:cs="Arial"/>
        </w:rPr>
        <w:t xml:space="preserve">in this study has helped </w:t>
      </w:r>
      <w:r w:rsidR="00637C06">
        <w:rPr>
          <w:rFonts w:ascii="Arial" w:hAnsi="Arial" w:cs="Arial"/>
        </w:rPr>
        <w:t xml:space="preserve">build consumer confidence and, hence, </w:t>
      </w:r>
      <w:r w:rsidR="00EA4EC2">
        <w:rPr>
          <w:rFonts w:ascii="Arial" w:hAnsi="Arial" w:cs="Arial"/>
        </w:rPr>
        <w:t>tremendous</w:t>
      </w:r>
      <w:r w:rsidR="00637C06">
        <w:rPr>
          <w:rFonts w:ascii="Arial" w:hAnsi="Arial" w:cs="Arial"/>
        </w:rPr>
        <w:t xml:space="preserve"> investment in the real estate sector by</w:t>
      </w:r>
      <w:r w:rsidRPr="00427A7E">
        <w:rPr>
          <w:rFonts w:ascii="Arial" w:hAnsi="Arial" w:cs="Arial"/>
        </w:rPr>
        <w:t xml:space="preserve"> local and international investors</w:t>
      </w:r>
      <w:r w:rsidR="005B2588">
        <w:rPr>
          <w:rFonts w:ascii="Arial" w:hAnsi="Arial" w:cs="Arial"/>
        </w:rPr>
        <w:t xml:space="preserve">. </w:t>
      </w:r>
      <w:r w:rsidRPr="00427A7E">
        <w:rPr>
          <w:rFonts w:ascii="Arial" w:hAnsi="Arial" w:cs="Arial"/>
        </w:rPr>
        <w:t xml:space="preserve">Conversely, </w:t>
      </w:r>
      <w:r w:rsidR="00637C06">
        <w:rPr>
          <w:rFonts w:ascii="Arial" w:hAnsi="Arial" w:cs="Arial"/>
        </w:rPr>
        <w:t>China's real estate sector</w:t>
      </w:r>
      <w:r w:rsidRPr="00427A7E">
        <w:rPr>
          <w:rFonts w:ascii="Arial" w:hAnsi="Arial" w:cs="Arial"/>
        </w:rPr>
        <w:t xml:space="preserve"> has</w:t>
      </w:r>
      <w:r>
        <w:rPr>
          <w:rFonts w:ascii="Arial" w:hAnsi="Arial" w:cs="Arial"/>
        </w:rPr>
        <w:t xml:space="preserve"> a</w:t>
      </w:r>
      <w:r w:rsidRPr="00427A7E">
        <w:rPr>
          <w:rFonts w:ascii="Arial" w:hAnsi="Arial" w:cs="Arial"/>
        </w:rPr>
        <w:t xml:space="preserve"> very </w:t>
      </w:r>
      <w:r w:rsidRPr="00427A7E">
        <w:rPr>
          <w:rFonts w:ascii="Arial" w:hAnsi="Arial" w:cs="Arial"/>
        </w:rPr>
        <w:lastRenderedPageBreak/>
        <w:t>strong government influence</w:t>
      </w:r>
      <w:r w:rsidR="00637C06">
        <w:rPr>
          <w:rFonts w:ascii="Arial" w:hAnsi="Arial" w:cs="Arial"/>
        </w:rPr>
        <w:t>,</w:t>
      </w:r>
      <w:r w:rsidRPr="00427A7E">
        <w:rPr>
          <w:rFonts w:ascii="Arial" w:hAnsi="Arial" w:cs="Arial"/>
        </w:rPr>
        <w:t xml:space="preserve"> while</w:t>
      </w:r>
      <w:r>
        <w:rPr>
          <w:rFonts w:ascii="Arial" w:hAnsi="Arial" w:cs="Arial"/>
        </w:rPr>
        <w:t xml:space="preserve"> the</w:t>
      </w:r>
      <w:r w:rsidRPr="00427A7E">
        <w:rPr>
          <w:rFonts w:ascii="Arial" w:hAnsi="Arial" w:cs="Arial"/>
        </w:rPr>
        <w:t xml:space="preserve"> government’s positive impact </w:t>
      </w:r>
      <w:r w:rsidR="00EA4EC2">
        <w:rPr>
          <w:rFonts w:ascii="Arial" w:hAnsi="Arial" w:cs="Arial"/>
        </w:rPr>
        <w:t>o</w:t>
      </w:r>
      <w:r w:rsidRPr="00427A7E">
        <w:rPr>
          <w:rFonts w:ascii="Arial" w:hAnsi="Arial" w:cs="Arial"/>
        </w:rPr>
        <w:t>n the Nigerian real estate sector is not significant</w:t>
      </w:r>
      <w:r w:rsidR="005B2588">
        <w:rPr>
          <w:rFonts w:ascii="Arial" w:hAnsi="Arial" w:cs="Arial"/>
        </w:rPr>
        <w:t>.</w:t>
      </w:r>
    </w:p>
    <w:p w14:paraId="6C4A2782" w14:textId="7AC508B7" w:rsidR="005B2588" w:rsidRDefault="00CD6352" w:rsidP="00CD6352">
      <w:pPr>
        <w:spacing w:line="360" w:lineRule="auto"/>
        <w:rPr>
          <w:rFonts w:ascii="Arial" w:hAnsi="Arial" w:cs="Arial"/>
        </w:rPr>
      </w:pPr>
      <w:r w:rsidRPr="00FD744D">
        <w:rPr>
          <w:rFonts w:ascii="Arial" w:hAnsi="Arial" w:cs="Arial"/>
        </w:rPr>
        <w:t xml:space="preserve">The literature revealed that </w:t>
      </w:r>
      <w:r w:rsidR="005B2588">
        <w:rPr>
          <w:rFonts w:ascii="Arial" w:hAnsi="Arial" w:cs="Arial"/>
        </w:rPr>
        <w:t xml:space="preserve">bank debt is the dominant </w:t>
      </w:r>
      <w:r w:rsidR="00EA4EC2">
        <w:rPr>
          <w:rFonts w:ascii="Arial" w:hAnsi="Arial" w:cs="Arial"/>
        </w:rPr>
        <w:t>real estate development finance sour</w:t>
      </w:r>
      <w:r w:rsidR="005B2588">
        <w:rPr>
          <w:rFonts w:ascii="Arial" w:hAnsi="Arial" w:cs="Arial"/>
        </w:rPr>
        <w:t>ce for both developed and emerging economies.</w:t>
      </w:r>
      <w:r w:rsidRPr="00FD744D">
        <w:rPr>
          <w:rFonts w:ascii="Arial" w:hAnsi="Arial" w:cs="Arial"/>
        </w:rPr>
        <w:t xml:space="preserve"> However, there is </w:t>
      </w:r>
      <w:r>
        <w:rPr>
          <w:rFonts w:ascii="Arial" w:hAnsi="Arial" w:cs="Arial"/>
        </w:rPr>
        <w:t xml:space="preserve">a </w:t>
      </w:r>
      <w:r w:rsidRPr="00FD744D">
        <w:rPr>
          <w:rFonts w:ascii="Arial" w:hAnsi="Arial" w:cs="Arial"/>
        </w:rPr>
        <w:t xml:space="preserve">strong involvement of </w:t>
      </w:r>
      <w:r w:rsidR="007245A6">
        <w:rPr>
          <w:rFonts w:ascii="Arial" w:hAnsi="Arial" w:cs="Arial"/>
        </w:rPr>
        <w:t xml:space="preserve">the </w:t>
      </w:r>
      <w:r w:rsidRPr="00FD744D">
        <w:rPr>
          <w:rFonts w:ascii="Arial" w:hAnsi="Arial" w:cs="Arial"/>
        </w:rPr>
        <w:t xml:space="preserve">stock market and REITs in </w:t>
      </w:r>
      <w:r w:rsidR="005B2588">
        <w:rPr>
          <w:rFonts w:ascii="Arial" w:hAnsi="Arial" w:cs="Arial"/>
        </w:rPr>
        <w:t>China and the three developed economies</w:t>
      </w:r>
      <w:r w:rsidR="006B22C1" w:rsidRPr="00FD744D">
        <w:rPr>
          <w:rFonts w:ascii="Arial" w:hAnsi="Arial" w:cs="Arial"/>
        </w:rPr>
        <w:t>.</w:t>
      </w:r>
      <w:r w:rsidRPr="00FD744D">
        <w:rPr>
          <w:rFonts w:ascii="Arial" w:hAnsi="Arial" w:cs="Arial"/>
        </w:rPr>
        <w:t xml:space="preserve"> There is also significant REITs investment in </w:t>
      </w:r>
      <w:r>
        <w:rPr>
          <w:rFonts w:ascii="Arial" w:hAnsi="Arial" w:cs="Arial"/>
        </w:rPr>
        <w:t xml:space="preserve">the </w:t>
      </w:r>
      <w:r w:rsidRPr="00FD744D">
        <w:rPr>
          <w:rFonts w:ascii="Arial" w:hAnsi="Arial" w:cs="Arial"/>
        </w:rPr>
        <w:t>South Afric</w:t>
      </w:r>
      <w:r>
        <w:rPr>
          <w:rFonts w:ascii="Arial" w:hAnsi="Arial" w:cs="Arial"/>
        </w:rPr>
        <w:t>an</w:t>
      </w:r>
      <w:r w:rsidRPr="00FD744D">
        <w:rPr>
          <w:rFonts w:ascii="Arial" w:hAnsi="Arial" w:cs="Arial"/>
        </w:rPr>
        <w:t xml:space="preserve"> real estate sector but no significant </w:t>
      </w:r>
      <w:bookmarkStart w:id="504" w:name="_Hlk47637684"/>
      <w:r w:rsidRPr="00FD744D">
        <w:rPr>
          <w:rFonts w:ascii="Arial" w:hAnsi="Arial" w:cs="Arial"/>
        </w:rPr>
        <w:t>REITs</w:t>
      </w:r>
      <w:bookmarkEnd w:id="504"/>
      <w:r w:rsidRPr="00FD744D">
        <w:rPr>
          <w:rFonts w:ascii="Arial" w:hAnsi="Arial" w:cs="Arial"/>
        </w:rPr>
        <w:t xml:space="preserve"> </w:t>
      </w:r>
      <w:r>
        <w:rPr>
          <w:rFonts w:ascii="Arial" w:hAnsi="Arial" w:cs="Arial"/>
        </w:rPr>
        <w:t xml:space="preserve">involvement </w:t>
      </w:r>
      <w:r w:rsidRPr="00FD744D">
        <w:rPr>
          <w:rFonts w:ascii="Arial" w:hAnsi="Arial" w:cs="Arial"/>
        </w:rPr>
        <w:t xml:space="preserve">in </w:t>
      </w:r>
      <w:r>
        <w:rPr>
          <w:rFonts w:ascii="Arial" w:hAnsi="Arial" w:cs="Arial"/>
        </w:rPr>
        <w:t>r</w:t>
      </w:r>
      <w:r w:rsidRPr="00FD744D">
        <w:rPr>
          <w:rFonts w:ascii="Arial" w:hAnsi="Arial" w:cs="Arial"/>
        </w:rPr>
        <w:t xml:space="preserve">eal estate financing in Nigeria as </w:t>
      </w:r>
      <w:r w:rsidR="002A6770">
        <w:rPr>
          <w:rFonts w:ascii="Arial" w:hAnsi="Arial" w:cs="Arial"/>
        </w:rPr>
        <w:t xml:space="preserve">there </w:t>
      </w:r>
      <w:r w:rsidR="002A6770" w:rsidRPr="00FD744D">
        <w:rPr>
          <w:rFonts w:ascii="Arial" w:hAnsi="Arial" w:cs="Arial"/>
        </w:rPr>
        <w:t>are</w:t>
      </w:r>
      <w:r w:rsidRPr="00FD744D">
        <w:rPr>
          <w:rFonts w:ascii="Arial" w:hAnsi="Arial" w:cs="Arial"/>
        </w:rPr>
        <w:t xml:space="preserve"> presently only four </w:t>
      </w:r>
      <w:r w:rsidR="002A6770">
        <w:rPr>
          <w:rFonts w:ascii="Arial" w:hAnsi="Arial" w:cs="Arial"/>
        </w:rPr>
        <w:t xml:space="preserve"> </w:t>
      </w:r>
      <w:r w:rsidR="002A6770" w:rsidRPr="00FD744D">
        <w:rPr>
          <w:rFonts w:ascii="Arial" w:hAnsi="Arial" w:cs="Arial"/>
        </w:rPr>
        <w:t>REITs</w:t>
      </w:r>
      <w:r w:rsidR="002A6770">
        <w:rPr>
          <w:rFonts w:ascii="Arial" w:hAnsi="Arial" w:cs="Arial"/>
        </w:rPr>
        <w:t xml:space="preserve"> </w:t>
      </w:r>
      <w:r w:rsidR="00CE63E9">
        <w:rPr>
          <w:rFonts w:ascii="Arial" w:hAnsi="Arial" w:cs="Arial"/>
        </w:rPr>
        <w:t>in Nigeria</w:t>
      </w:r>
      <w:r w:rsidR="005B2588">
        <w:rPr>
          <w:rFonts w:ascii="Arial" w:hAnsi="Arial" w:cs="Arial"/>
        </w:rPr>
        <w:t>.</w:t>
      </w:r>
      <w:r w:rsidRPr="00FD744D">
        <w:rPr>
          <w:rFonts w:ascii="Arial" w:hAnsi="Arial" w:cs="Arial"/>
        </w:rPr>
        <w:t xml:space="preserve"> Germany, </w:t>
      </w:r>
      <w:r>
        <w:rPr>
          <w:rFonts w:ascii="Arial" w:hAnsi="Arial" w:cs="Arial"/>
        </w:rPr>
        <w:t xml:space="preserve">the </w:t>
      </w:r>
      <w:r w:rsidRPr="00FD744D">
        <w:rPr>
          <w:rFonts w:ascii="Arial" w:hAnsi="Arial" w:cs="Arial"/>
        </w:rPr>
        <w:t>UK</w:t>
      </w:r>
      <w:r w:rsidR="007245A6">
        <w:rPr>
          <w:rFonts w:ascii="Arial" w:hAnsi="Arial" w:cs="Arial"/>
        </w:rPr>
        <w:t>,</w:t>
      </w:r>
      <w:r w:rsidRPr="00FD744D">
        <w:rPr>
          <w:rFonts w:ascii="Arial" w:hAnsi="Arial" w:cs="Arial"/>
        </w:rPr>
        <w:t xml:space="preserve"> and </w:t>
      </w:r>
      <w:r>
        <w:rPr>
          <w:rFonts w:ascii="Arial" w:hAnsi="Arial" w:cs="Arial"/>
        </w:rPr>
        <w:t xml:space="preserve">the </w:t>
      </w:r>
      <w:r w:rsidRPr="00FD744D">
        <w:rPr>
          <w:rFonts w:ascii="Arial" w:hAnsi="Arial" w:cs="Arial"/>
        </w:rPr>
        <w:t>US have significant investment</w:t>
      </w:r>
      <w:r w:rsidR="005B2588">
        <w:rPr>
          <w:rFonts w:ascii="Arial" w:hAnsi="Arial" w:cs="Arial"/>
        </w:rPr>
        <w:t>s</w:t>
      </w:r>
      <w:r w:rsidRPr="00FD744D">
        <w:rPr>
          <w:rFonts w:ascii="Arial" w:hAnsi="Arial" w:cs="Arial"/>
        </w:rPr>
        <w:t xml:space="preserve"> in the real estate secto</w:t>
      </w:r>
      <w:r>
        <w:rPr>
          <w:rFonts w:ascii="Arial" w:hAnsi="Arial" w:cs="Arial"/>
        </w:rPr>
        <w:t>r</w:t>
      </w:r>
      <w:r w:rsidRPr="00FD744D">
        <w:rPr>
          <w:rFonts w:ascii="Arial" w:hAnsi="Arial" w:cs="Arial"/>
        </w:rPr>
        <w:t xml:space="preserve"> by foreign investors from China and the middle east</w:t>
      </w:r>
      <w:r w:rsidR="005B2588">
        <w:rPr>
          <w:rFonts w:ascii="Arial" w:hAnsi="Arial" w:cs="Arial"/>
        </w:rPr>
        <w:t>.</w:t>
      </w:r>
    </w:p>
    <w:p w14:paraId="19FEFF92" w14:textId="26C80E7A" w:rsidR="00CD6352" w:rsidRPr="00FD744D" w:rsidRDefault="00CD6352" w:rsidP="00CD6352">
      <w:pPr>
        <w:spacing w:line="360" w:lineRule="auto"/>
        <w:rPr>
          <w:rFonts w:ascii="Arial" w:hAnsi="Arial" w:cs="Arial"/>
        </w:rPr>
      </w:pPr>
      <w:r w:rsidRPr="00FD744D">
        <w:rPr>
          <w:rFonts w:ascii="Arial" w:hAnsi="Arial" w:cs="Arial"/>
        </w:rPr>
        <w:t>Non-banking institutions such as insurance companies, pension funds</w:t>
      </w:r>
      <w:r w:rsidR="007245A6">
        <w:rPr>
          <w:rFonts w:ascii="Arial" w:hAnsi="Arial" w:cs="Arial"/>
        </w:rPr>
        <w:t>,</w:t>
      </w:r>
      <w:r w:rsidRPr="00FD744D">
        <w:rPr>
          <w:rFonts w:ascii="Arial" w:hAnsi="Arial" w:cs="Arial"/>
        </w:rPr>
        <w:t xml:space="preserve"> and housing developments are significant sources of real estate finance for managers in Germany, </w:t>
      </w:r>
      <w:r>
        <w:rPr>
          <w:rFonts w:ascii="Arial" w:hAnsi="Arial" w:cs="Arial"/>
        </w:rPr>
        <w:t xml:space="preserve">the </w:t>
      </w:r>
      <w:r w:rsidRPr="00FD744D">
        <w:rPr>
          <w:rFonts w:ascii="Arial" w:hAnsi="Arial" w:cs="Arial"/>
        </w:rPr>
        <w:t xml:space="preserve">UK, </w:t>
      </w:r>
      <w:r>
        <w:rPr>
          <w:rFonts w:ascii="Arial" w:hAnsi="Arial" w:cs="Arial"/>
        </w:rPr>
        <w:t xml:space="preserve">the </w:t>
      </w:r>
      <w:r w:rsidRPr="00FD744D">
        <w:rPr>
          <w:rFonts w:ascii="Arial" w:hAnsi="Arial" w:cs="Arial"/>
        </w:rPr>
        <w:t>US, China</w:t>
      </w:r>
      <w:r w:rsidR="007245A6">
        <w:rPr>
          <w:rFonts w:ascii="Arial" w:hAnsi="Arial" w:cs="Arial"/>
        </w:rPr>
        <w:t>,</w:t>
      </w:r>
      <w:r w:rsidRPr="00FD744D">
        <w:rPr>
          <w:rFonts w:ascii="Arial" w:hAnsi="Arial" w:cs="Arial"/>
        </w:rPr>
        <w:t xml:space="preserve"> and to some </w:t>
      </w:r>
      <w:r w:rsidR="00127F00" w:rsidRPr="00FD744D">
        <w:rPr>
          <w:rFonts w:ascii="Arial" w:hAnsi="Arial" w:cs="Arial"/>
        </w:rPr>
        <w:t>extent South</w:t>
      </w:r>
      <w:r w:rsidRPr="00FD744D">
        <w:rPr>
          <w:rFonts w:ascii="Arial" w:hAnsi="Arial" w:cs="Arial"/>
        </w:rPr>
        <w:t xml:space="preserve"> Africa</w:t>
      </w:r>
      <w:r w:rsidR="005B2588">
        <w:rPr>
          <w:rFonts w:ascii="Arial" w:hAnsi="Arial" w:cs="Arial"/>
        </w:rPr>
        <w:t>.</w:t>
      </w:r>
      <w:r w:rsidRPr="00FD744D">
        <w:rPr>
          <w:rFonts w:ascii="Arial" w:hAnsi="Arial" w:cs="Arial"/>
        </w:rPr>
        <w:t xml:space="preserve"> However, this is not the case with Nigeria</w:t>
      </w:r>
      <w:r w:rsidR="005B2588">
        <w:rPr>
          <w:rFonts w:ascii="Arial" w:hAnsi="Arial" w:cs="Arial"/>
        </w:rPr>
        <w:t>,</w:t>
      </w:r>
      <w:r w:rsidRPr="00FD744D">
        <w:rPr>
          <w:rFonts w:ascii="Arial" w:hAnsi="Arial" w:cs="Arial"/>
        </w:rPr>
        <w:t xml:space="preserve"> where the sourc</w:t>
      </w:r>
      <w:r>
        <w:rPr>
          <w:rFonts w:ascii="Arial" w:hAnsi="Arial" w:cs="Arial"/>
        </w:rPr>
        <w:t>e</w:t>
      </w:r>
      <w:r w:rsidRPr="00FD744D">
        <w:rPr>
          <w:rFonts w:ascii="Arial" w:hAnsi="Arial" w:cs="Arial"/>
        </w:rPr>
        <w:t xml:space="preserve"> of finance for real estate project development is </w:t>
      </w:r>
      <w:r>
        <w:rPr>
          <w:rFonts w:ascii="Arial" w:hAnsi="Arial" w:cs="Arial"/>
        </w:rPr>
        <w:t>from</w:t>
      </w:r>
      <w:r w:rsidRPr="00FD744D">
        <w:rPr>
          <w:rFonts w:ascii="Arial" w:hAnsi="Arial" w:cs="Arial"/>
        </w:rPr>
        <w:t xml:space="preserve"> ploughing back real estate income </w:t>
      </w:r>
      <w:r>
        <w:rPr>
          <w:rFonts w:ascii="Arial" w:hAnsi="Arial" w:cs="Arial"/>
        </w:rPr>
        <w:t>from</w:t>
      </w:r>
      <w:r w:rsidRPr="00FD744D">
        <w:rPr>
          <w:rFonts w:ascii="Arial" w:hAnsi="Arial" w:cs="Arial"/>
        </w:rPr>
        <w:t xml:space="preserve"> rental income, sinking funds from leasehold interest</w:t>
      </w:r>
      <w:r w:rsidR="00EA495B">
        <w:rPr>
          <w:rFonts w:ascii="Arial" w:hAnsi="Arial" w:cs="Arial"/>
        </w:rPr>
        <w:t>,</w:t>
      </w:r>
      <w:r w:rsidRPr="00FD744D">
        <w:rPr>
          <w:rFonts w:ascii="Arial" w:hAnsi="Arial" w:cs="Arial"/>
        </w:rPr>
        <w:t xml:space="preserve"> and</w:t>
      </w:r>
      <w:r>
        <w:rPr>
          <w:rFonts w:ascii="Arial" w:hAnsi="Arial" w:cs="Arial"/>
        </w:rPr>
        <w:t xml:space="preserve"> </w:t>
      </w:r>
      <w:r w:rsidR="009E2CD4">
        <w:rPr>
          <w:rFonts w:ascii="Arial" w:hAnsi="Arial" w:cs="Arial"/>
        </w:rPr>
        <w:t>real estate sal</w:t>
      </w:r>
      <w:r w:rsidRPr="00FD744D">
        <w:rPr>
          <w:rFonts w:ascii="Arial" w:hAnsi="Arial" w:cs="Arial"/>
        </w:rPr>
        <w:t>e</w:t>
      </w:r>
      <w:r w:rsidR="005B2588">
        <w:rPr>
          <w:rFonts w:ascii="Arial" w:hAnsi="Arial" w:cs="Arial"/>
        </w:rPr>
        <w:t>s</w:t>
      </w:r>
      <w:r w:rsidRPr="00FD744D">
        <w:rPr>
          <w:rFonts w:ascii="Arial" w:hAnsi="Arial" w:cs="Arial"/>
        </w:rPr>
        <w:t xml:space="preserve">. However, this has become grossly insufficient due to </w:t>
      </w:r>
      <w:r>
        <w:rPr>
          <w:rFonts w:ascii="Arial" w:hAnsi="Arial" w:cs="Arial"/>
        </w:rPr>
        <w:t xml:space="preserve">an </w:t>
      </w:r>
      <w:r w:rsidRPr="00FD744D">
        <w:rPr>
          <w:rFonts w:ascii="Arial" w:hAnsi="Arial" w:cs="Arial"/>
        </w:rPr>
        <w:t>increased deman</w:t>
      </w:r>
      <w:r>
        <w:rPr>
          <w:rFonts w:ascii="Arial" w:hAnsi="Arial" w:cs="Arial"/>
        </w:rPr>
        <w:t>d</w:t>
      </w:r>
      <w:r w:rsidRPr="00FD744D">
        <w:rPr>
          <w:rFonts w:ascii="Arial" w:hAnsi="Arial" w:cs="Arial"/>
        </w:rPr>
        <w:t xml:space="preserve"> for real estate </w:t>
      </w:r>
      <w:r w:rsidR="005B2588">
        <w:rPr>
          <w:rFonts w:ascii="Arial" w:hAnsi="Arial" w:cs="Arial"/>
        </w:rPr>
        <w:t>in Nigeria.</w:t>
      </w:r>
    </w:p>
    <w:p w14:paraId="669F3B69" w14:textId="53227DB3" w:rsidR="00CD6352" w:rsidRPr="00FD744D" w:rsidRDefault="00CD6352" w:rsidP="00CD6352">
      <w:pPr>
        <w:pStyle w:val="Heading2"/>
        <w:spacing w:after="240" w:line="360" w:lineRule="auto"/>
        <w:rPr>
          <w:rFonts w:cs="Arial"/>
          <w:sz w:val="22"/>
          <w:szCs w:val="22"/>
        </w:rPr>
      </w:pPr>
      <w:bookmarkStart w:id="505" w:name="_Toc78983786"/>
      <w:bookmarkStart w:id="506" w:name="_Hlk78213798"/>
      <w:r w:rsidRPr="00FD744D">
        <w:rPr>
          <w:rFonts w:cs="Arial"/>
          <w:sz w:val="22"/>
          <w:szCs w:val="22"/>
        </w:rPr>
        <w:t>Implicatio</w:t>
      </w:r>
      <w:r>
        <w:rPr>
          <w:rFonts w:cs="Arial"/>
          <w:sz w:val="22"/>
          <w:szCs w:val="22"/>
        </w:rPr>
        <w:t>ns</w:t>
      </w:r>
      <w:r w:rsidRPr="00FD744D">
        <w:rPr>
          <w:rFonts w:cs="Arial"/>
          <w:sz w:val="22"/>
          <w:szCs w:val="22"/>
        </w:rPr>
        <w:t xml:space="preserve"> of the findings</w:t>
      </w:r>
      <w:r w:rsidR="008B7AE0">
        <w:rPr>
          <w:rFonts w:cs="Arial"/>
          <w:sz w:val="22"/>
          <w:szCs w:val="22"/>
        </w:rPr>
        <w:t xml:space="preserve"> from </w:t>
      </w:r>
      <w:r w:rsidR="007245A6">
        <w:rPr>
          <w:rFonts w:cs="Arial"/>
          <w:sz w:val="22"/>
          <w:szCs w:val="22"/>
        </w:rPr>
        <w:t xml:space="preserve">the </w:t>
      </w:r>
      <w:r w:rsidR="008B7AE0">
        <w:rPr>
          <w:rFonts w:cs="Arial"/>
          <w:sz w:val="22"/>
          <w:szCs w:val="22"/>
        </w:rPr>
        <w:t>review of literature</w:t>
      </w:r>
      <w:r w:rsidR="00757BA3">
        <w:rPr>
          <w:rFonts w:cs="Arial"/>
          <w:sz w:val="22"/>
          <w:szCs w:val="22"/>
        </w:rPr>
        <w:t xml:space="preserve"> on the </w:t>
      </w:r>
      <w:r w:rsidR="00EB702F">
        <w:rPr>
          <w:rFonts w:cs="Arial"/>
          <w:sz w:val="22"/>
          <w:szCs w:val="22"/>
        </w:rPr>
        <w:t xml:space="preserve">selected </w:t>
      </w:r>
      <w:r w:rsidR="00757BA3">
        <w:rPr>
          <w:rFonts w:cs="Arial"/>
          <w:sz w:val="22"/>
          <w:szCs w:val="22"/>
        </w:rPr>
        <w:t>developed &amp; emerging economies</w:t>
      </w:r>
      <w:bookmarkEnd w:id="505"/>
      <w:r w:rsidR="00757BA3">
        <w:rPr>
          <w:rFonts w:cs="Arial"/>
          <w:sz w:val="22"/>
          <w:szCs w:val="22"/>
        </w:rPr>
        <w:t xml:space="preserve"> </w:t>
      </w:r>
      <w:r w:rsidRPr="00FD744D">
        <w:rPr>
          <w:rFonts w:cs="Arial"/>
          <w:sz w:val="22"/>
          <w:szCs w:val="22"/>
        </w:rPr>
        <w:t xml:space="preserve"> </w:t>
      </w:r>
    </w:p>
    <w:bookmarkEnd w:id="506"/>
    <w:p w14:paraId="05B70DE7" w14:textId="715A2C4A" w:rsidR="00CD6352" w:rsidRDefault="00CD6352" w:rsidP="00CD6352">
      <w:pPr>
        <w:spacing w:line="360" w:lineRule="auto"/>
        <w:rPr>
          <w:rFonts w:ascii="Arial" w:hAnsi="Arial" w:cs="Arial"/>
        </w:rPr>
      </w:pPr>
      <w:r w:rsidRPr="00FD744D">
        <w:rPr>
          <w:rFonts w:ascii="Arial" w:hAnsi="Arial" w:cs="Arial"/>
        </w:rPr>
        <w:t xml:space="preserve">The </w:t>
      </w:r>
      <w:r w:rsidR="009E2CD4">
        <w:rPr>
          <w:rFonts w:ascii="Arial" w:hAnsi="Arial" w:cs="Arial"/>
        </w:rPr>
        <w:t>literature review findings</w:t>
      </w:r>
      <w:r w:rsidRPr="00FD744D">
        <w:rPr>
          <w:rFonts w:ascii="Arial" w:hAnsi="Arial" w:cs="Arial"/>
        </w:rPr>
        <w:t xml:space="preserve"> sho</w:t>
      </w:r>
      <w:r>
        <w:rPr>
          <w:rFonts w:ascii="Arial" w:hAnsi="Arial" w:cs="Arial"/>
        </w:rPr>
        <w:t>w</w:t>
      </w:r>
      <w:r w:rsidRPr="00FD744D">
        <w:rPr>
          <w:rFonts w:ascii="Arial" w:hAnsi="Arial" w:cs="Arial"/>
        </w:rPr>
        <w:t xml:space="preserve"> that there</w:t>
      </w:r>
      <w:r>
        <w:rPr>
          <w:rFonts w:ascii="Arial" w:hAnsi="Arial" w:cs="Arial"/>
        </w:rPr>
        <w:t xml:space="preserve"> are</w:t>
      </w:r>
      <w:r w:rsidRPr="00FD744D">
        <w:rPr>
          <w:rFonts w:ascii="Arial" w:hAnsi="Arial" w:cs="Arial"/>
        </w:rPr>
        <w:t xml:space="preserve"> significant differenc</w:t>
      </w:r>
      <w:r>
        <w:rPr>
          <w:rFonts w:ascii="Arial" w:hAnsi="Arial" w:cs="Arial"/>
        </w:rPr>
        <w:t xml:space="preserve">es </w:t>
      </w:r>
      <w:r w:rsidRPr="00FD744D">
        <w:rPr>
          <w:rFonts w:ascii="Arial" w:hAnsi="Arial" w:cs="Arial"/>
        </w:rPr>
        <w:t xml:space="preserve">in the real estate sectors of both the developed and the emerging economies. </w:t>
      </w:r>
      <w:r w:rsidR="009E2CD4">
        <w:rPr>
          <w:rFonts w:ascii="Arial" w:hAnsi="Arial" w:cs="Arial"/>
        </w:rPr>
        <w:t>Various</w:t>
      </w:r>
      <w:r w:rsidR="008C0AA3">
        <w:rPr>
          <w:rFonts w:ascii="Arial" w:hAnsi="Arial" w:cs="Arial"/>
        </w:rPr>
        <w:t xml:space="preserve"> factors a</w:t>
      </w:r>
      <w:r w:rsidR="00B31E8E">
        <w:rPr>
          <w:rFonts w:ascii="Arial" w:hAnsi="Arial" w:cs="Arial"/>
        </w:rPr>
        <w:t>ffect</w:t>
      </w:r>
      <w:r w:rsidRPr="00FD744D">
        <w:rPr>
          <w:rFonts w:ascii="Arial" w:hAnsi="Arial" w:cs="Arial"/>
        </w:rPr>
        <w:t xml:space="preserve"> the real estate sectors in both the developed and the emerging economies; they have different challenges</w:t>
      </w:r>
      <w:r w:rsidR="009E2CD4">
        <w:rPr>
          <w:rFonts w:ascii="Arial" w:hAnsi="Arial" w:cs="Arial"/>
        </w:rPr>
        <w:t>,</w:t>
      </w:r>
      <w:r w:rsidRPr="00FD744D">
        <w:rPr>
          <w:rFonts w:ascii="Arial" w:hAnsi="Arial" w:cs="Arial"/>
        </w:rPr>
        <w:t xml:space="preserve"> opportunities and sources of finance</w:t>
      </w:r>
      <w:r w:rsidR="00B31E8E">
        <w:rPr>
          <w:rFonts w:ascii="Arial" w:hAnsi="Arial" w:cs="Arial"/>
        </w:rPr>
        <w:t>.</w:t>
      </w:r>
      <w:r w:rsidRPr="00FD744D">
        <w:rPr>
          <w:rFonts w:ascii="Arial" w:hAnsi="Arial" w:cs="Arial"/>
        </w:rPr>
        <w:t xml:space="preserve"> The </w:t>
      </w:r>
      <w:r w:rsidR="009E2CD4">
        <w:rPr>
          <w:rFonts w:ascii="Arial" w:hAnsi="Arial" w:cs="Arial"/>
        </w:rPr>
        <w:t xml:space="preserve">literature review on these six countries reflects the need to make practical inquiries from managers in different countries and draw up a </w:t>
      </w:r>
      <w:r w:rsidR="00B31E8E">
        <w:rPr>
          <w:rFonts w:ascii="Arial" w:hAnsi="Arial" w:cs="Arial"/>
        </w:rPr>
        <w:t>model</w:t>
      </w:r>
      <w:r w:rsidR="009E2CD4">
        <w:rPr>
          <w:rFonts w:ascii="Arial" w:hAnsi="Arial" w:cs="Arial"/>
        </w:rPr>
        <w:t xml:space="preserve"> following these inquiries, which will guide</w:t>
      </w:r>
      <w:r w:rsidRPr="00FD744D">
        <w:rPr>
          <w:rFonts w:ascii="Arial" w:hAnsi="Arial" w:cs="Arial"/>
        </w:rPr>
        <w:t xml:space="preserve"> both manag</w:t>
      </w:r>
      <w:r w:rsidRPr="007A0BB0">
        <w:rPr>
          <w:rFonts w:ascii="Arial" w:hAnsi="Arial" w:cs="Arial"/>
        </w:rPr>
        <w:t>ers and investors in this sector.</w:t>
      </w:r>
    </w:p>
    <w:p w14:paraId="363B18B6" w14:textId="7A646C0D" w:rsidR="00AB78CC" w:rsidRPr="007A0BB0" w:rsidRDefault="00B31E8E" w:rsidP="00CD6352">
      <w:pPr>
        <w:spacing w:line="360" w:lineRule="auto"/>
        <w:rPr>
          <w:rFonts w:ascii="Arial" w:hAnsi="Arial" w:cs="Arial"/>
          <w:highlight w:val="yellow"/>
        </w:rPr>
      </w:pPr>
      <w:r>
        <w:rPr>
          <w:rFonts w:ascii="Arial" w:hAnsi="Arial" w:cs="Arial"/>
        </w:rPr>
        <w:t>The literature review highlights the different aspects of the real estate sector of the selected countries</w:t>
      </w:r>
      <w:r w:rsidR="00A97357">
        <w:rPr>
          <w:rFonts w:ascii="Arial" w:hAnsi="Arial" w:cs="Arial"/>
        </w:rPr>
        <w:t>, including</w:t>
      </w:r>
      <w:r>
        <w:rPr>
          <w:rFonts w:ascii="Arial" w:hAnsi="Arial" w:cs="Arial"/>
        </w:rPr>
        <w:t xml:space="preserve"> the sources of finance and the pecul</w:t>
      </w:r>
      <w:r w:rsidR="009F0A87">
        <w:rPr>
          <w:rFonts w:ascii="Arial" w:hAnsi="Arial" w:cs="Arial"/>
        </w:rPr>
        <w:t>ia</w:t>
      </w:r>
      <w:r>
        <w:rPr>
          <w:rFonts w:ascii="Arial" w:hAnsi="Arial" w:cs="Arial"/>
        </w:rPr>
        <w:t xml:space="preserve">rities of the various real estate market. </w:t>
      </w:r>
      <w:r w:rsidR="00AB78CC">
        <w:rPr>
          <w:rFonts w:ascii="Arial" w:hAnsi="Arial" w:cs="Arial"/>
        </w:rPr>
        <w:t xml:space="preserve">The </w:t>
      </w:r>
      <w:r w:rsidR="00A97357">
        <w:rPr>
          <w:rFonts w:ascii="Arial" w:hAnsi="Arial" w:cs="Arial"/>
        </w:rPr>
        <w:t>literature review</w:t>
      </w:r>
      <w:r>
        <w:rPr>
          <w:rFonts w:ascii="Arial" w:hAnsi="Arial" w:cs="Arial"/>
        </w:rPr>
        <w:t xml:space="preserve"> in chapters 2 and 3</w:t>
      </w:r>
      <w:r w:rsidR="00EA4C02">
        <w:rPr>
          <w:rFonts w:ascii="Arial" w:hAnsi="Arial" w:cs="Arial"/>
        </w:rPr>
        <w:t xml:space="preserve"> provide</w:t>
      </w:r>
      <w:r>
        <w:rPr>
          <w:rFonts w:ascii="Arial" w:hAnsi="Arial" w:cs="Arial"/>
        </w:rPr>
        <w:t>d</w:t>
      </w:r>
      <w:r w:rsidR="00EA4C02">
        <w:rPr>
          <w:rFonts w:ascii="Arial" w:hAnsi="Arial" w:cs="Arial"/>
        </w:rPr>
        <w:t xml:space="preserve"> a platform for </w:t>
      </w:r>
      <w:r>
        <w:rPr>
          <w:rFonts w:ascii="Arial" w:hAnsi="Arial" w:cs="Arial"/>
        </w:rPr>
        <w:t>further</w:t>
      </w:r>
      <w:r w:rsidR="00EA4C02">
        <w:rPr>
          <w:rFonts w:ascii="Arial" w:hAnsi="Arial" w:cs="Arial"/>
        </w:rPr>
        <w:t xml:space="preserve"> inquiries</w:t>
      </w:r>
      <w:r w:rsidR="00AB78CC">
        <w:rPr>
          <w:rFonts w:ascii="Arial" w:hAnsi="Arial" w:cs="Arial"/>
        </w:rPr>
        <w:t xml:space="preserve"> </w:t>
      </w:r>
      <w:r w:rsidR="00EA4C02">
        <w:rPr>
          <w:rFonts w:ascii="Arial" w:hAnsi="Arial" w:cs="Arial"/>
        </w:rPr>
        <w:t>from managers of the real estate sectors of the selected developed and emerging economies, as contained in chapters</w:t>
      </w:r>
      <w:r w:rsidR="00215D15">
        <w:rPr>
          <w:rFonts w:ascii="Arial" w:hAnsi="Arial" w:cs="Arial"/>
        </w:rPr>
        <w:t xml:space="preserve"> 5 to 9.</w:t>
      </w:r>
      <w:r w:rsidR="00AB78CC">
        <w:rPr>
          <w:rFonts w:ascii="Arial" w:hAnsi="Arial" w:cs="Arial"/>
        </w:rPr>
        <w:t xml:space="preserve"> </w:t>
      </w:r>
      <w:r>
        <w:rPr>
          <w:rFonts w:ascii="Arial" w:hAnsi="Arial" w:cs="Arial"/>
        </w:rPr>
        <w:t>Th</w:t>
      </w:r>
      <w:r w:rsidR="00A97357">
        <w:rPr>
          <w:rFonts w:ascii="Arial" w:hAnsi="Arial" w:cs="Arial"/>
        </w:rPr>
        <w:t>ese</w:t>
      </w:r>
      <w:r>
        <w:rPr>
          <w:rFonts w:ascii="Arial" w:hAnsi="Arial" w:cs="Arial"/>
        </w:rPr>
        <w:t xml:space="preserve"> inquiries provided a platform for </w:t>
      </w:r>
      <w:r w:rsidR="00A97357">
        <w:rPr>
          <w:rFonts w:ascii="Arial" w:hAnsi="Arial" w:cs="Arial"/>
        </w:rPr>
        <w:t>developing</w:t>
      </w:r>
      <w:r>
        <w:rPr>
          <w:rFonts w:ascii="Arial" w:hAnsi="Arial" w:cs="Arial"/>
        </w:rPr>
        <w:t xml:space="preserve"> the different components of the toolkit for securing finance for real estate project development</w:t>
      </w:r>
      <w:r w:rsidR="0036673F">
        <w:rPr>
          <w:rFonts w:ascii="Arial" w:hAnsi="Arial" w:cs="Arial"/>
        </w:rPr>
        <w:t>, which provides</w:t>
      </w:r>
      <w:r>
        <w:rPr>
          <w:rFonts w:ascii="Arial" w:hAnsi="Arial" w:cs="Arial"/>
        </w:rPr>
        <w:t xml:space="preserve"> a guide for managers in this sector in securing finance for real estate project development. </w:t>
      </w:r>
    </w:p>
    <w:p w14:paraId="5A9D19D4" w14:textId="77777777" w:rsidR="00CD6352" w:rsidRPr="007A0BB0" w:rsidRDefault="00CD6352" w:rsidP="00CD6352">
      <w:pPr>
        <w:pStyle w:val="Heading2"/>
        <w:spacing w:after="240" w:line="360" w:lineRule="auto"/>
        <w:rPr>
          <w:rFonts w:cs="Arial"/>
          <w:sz w:val="22"/>
          <w:szCs w:val="22"/>
        </w:rPr>
      </w:pPr>
      <w:bookmarkStart w:id="507" w:name="_Toc78983787"/>
      <w:r w:rsidRPr="007A0BB0">
        <w:rPr>
          <w:rFonts w:cs="Arial"/>
          <w:sz w:val="22"/>
          <w:szCs w:val="22"/>
        </w:rPr>
        <w:lastRenderedPageBreak/>
        <w:t>Summary</w:t>
      </w:r>
      <w:bookmarkEnd w:id="507"/>
      <w:r w:rsidRPr="007A0BB0">
        <w:rPr>
          <w:rFonts w:cs="Arial"/>
          <w:sz w:val="22"/>
          <w:szCs w:val="22"/>
        </w:rPr>
        <w:t xml:space="preserve"> </w:t>
      </w:r>
    </w:p>
    <w:p w14:paraId="258236F6" w14:textId="77777777" w:rsidR="00E06F62" w:rsidRDefault="00CD6352" w:rsidP="00E06F62">
      <w:pPr>
        <w:spacing w:before="240" w:line="360" w:lineRule="auto"/>
        <w:rPr>
          <w:rFonts w:ascii="Arial" w:hAnsi="Arial" w:cs="Arial"/>
        </w:rPr>
      </w:pPr>
      <w:r w:rsidRPr="007A0BB0">
        <w:rPr>
          <w:rFonts w:ascii="Arial" w:hAnsi="Arial" w:cs="Arial"/>
        </w:rPr>
        <w:t xml:space="preserve">This chapter presents a </w:t>
      </w:r>
      <w:r w:rsidR="009E2CD4">
        <w:rPr>
          <w:rFonts w:ascii="Arial" w:hAnsi="Arial" w:cs="Arial"/>
        </w:rPr>
        <w:t>literature review</w:t>
      </w:r>
      <w:r w:rsidRPr="007A0BB0">
        <w:rPr>
          <w:rFonts w:ascii="Arial" w:hAnsi="Arial" w:cs="Arial"/>
        </w:rPr>
        <w:t xml:space="preserve"> focused on the six selected countries</w:t>
      </w:r>
      <w:r w:rsidR="00475B9B">
        <w:rPr>
          <w:rFonts w:ascii="Arial" w:hAnsi="Arial" w:cs="Arial"/>
        </w:rPr>
        <w:t>:</w:t>
      </w:r>
      <w:r w:rsidRPr="007A0BB0">
        <w:rPr>
          <w:rFonts w:ascii="Arial" w:hAnsi="Arial" w:cs="Arial"/>
        </w:rPr>
        <w:t xml:space="preserve"> Germany, the UK</w:t>
      </w:r>
      <w:r w:rsidR="00EA495B">
        <w:rPr>
          <w:rFonts w:ascii="Arial" w:hAnsi="Arial" w:cs="Arial"/>
        </w:rPr>
        <w:t>,</w:t>
      </w:r>
      <w:r w:rsidRPr="007A0BB0">
        <w:rPr>
          <w:rFonts w:ascii="Arial" w:hAnsi="Arial" w:cs="Arial"/>
        </w:rPr>
        <w:t xml:space="preserve"> and the US for the developed economies and China, Nigeria</w:t>
      </w:r>
      <w:r w:rsidR="00EA495B">
        <w:rPr>
          <w:rFonts w:ascii="Arial" w:hAnsi="Arial" w:cs="Arial"/>
        </w:rPr>
        <w:t>,</w:t>
      </w:r>
      <w:r w:rsidRPr="007A0BB0">
        <w:rPr>
          <w:rFonts w:ascii="Arial" w:hAnsi="Arial" w:cs="Arial"/>
        </w:rPr>
        <w:t xml:space="preserve"> and South Africa for the emerging economies. Factors affecting the real estate sectors in developed and emerging economies </w:t>
      </w:r>
      <w:r w:rsidR="00E06F62">
        <w:rPr>
          <w:rFonts w:ascii="Arial" w:hAnsi="Arial" w:cs="Arial"/>
        </w:rPr>
        <w:t xml:space="preserve">considered in this study </w:t>
      </w:r>
      <w:r w:rsidRPr="007A0BB0">
        <w:rPr>
          <w:rFonts w:ascii="Arial" w:hAnsi="Arial" w:cs="Arial"/>
        </w:rPr>
        <w:t>include economic, political</w:t>
      </w:r>
      <w:r w:rsidR="00CD73D6">
        <w:rPr>
          <w:rFonts w:ascii="Arial" w:hAnsi="Arial" w:cs="Arial"/>
        </w:rPr>
        <w:t>,</w:t>
      </w:r>
      <w:r w:rsidRPr="007A0BB0">
        <w:rPr>
          <w:rFonts w:ascii="Arial" w:hAnsi="Arial" w:cs="Arial"/>
        </w:rPr>
        <w:t xml:space="preserve"> and social factors. </w:t>
      </w:r>
    </w:p>
    <w:p w14:paraId="57F4BBB9" w14:textId="361A1EC7" w:rsidR="00CD6352" w:rsidRPr="007A0BB0" w:rsidRDefault="00E06F62" w:rsidP="00E06F62">
      <w:pPr>
        <w:spacing w:before="240" w:line="360" w:lineRule="auto"/>
        <w:rPr>
          <w:rFonts w:ascii="Arial" w:hAnsi="Arial" w:cs="Arial"/>
        </w:rPr>
      </w:pPr>
      <w:r>
        <w:rPr>
          <w:rFonts w:ascii="Arial" w:hAnsi="Arial" w:cs="Arial"/>
        </w:rPr>
        <w:t>S</w:t>
      </w:r>
      <w:r w:rsidR="009E2CD4">
        <w:rPr>
          <w:rFonts w:ascii="Arial" w:hAnsi="Arial" w:cs="Arial"/>
        </w:rPr>
        <w:t>trong economic growth, refugee intakes, high work-related migration, record low unemployment, weak new construction supply, and low</w:t>
      </w:r>
      <w:r w:rsidR="009B01CC">
        <w:rPr>
          <w:rFonts w:ascii="Arial" w:hAnsi="Arial" w:cs="Arial"/>
        </w:rPr>
        <w:t xml:space="preserve"> </w:t>
      </w:r>
      <w:r w:rsidR="009E2CD4">
        <w:rPr>
          <w:rFonts w:ascii="Arial" w:hAnsi="Arial" w:cs="Arial"/>
        </w:rPr>
        <w:t>interest rates have impacted the real estate sector in the developed economies</w:t>
      </w:r>
      <w:r>
        <w:rPr>
          <w:rFonts w:ascii="Arial" w:hAnsi="Arial" w:cs="Arial"/>
        </w:rPr>
        <w:t>, particularly Germany</w:t>
      </w:r>
      <w:r w:rsidR="00CD6352" w:rsidRPr="007A0BB0">
        <w:rPr>
          <w:rFonts w:ascii="Arial" w:hAnsi="Arial" w:cs="Arial"/>
        </w:rPr>
        <w:t xml:space="preserve">. </w:t>
      </w:r>
      <w:r>
        <w:rPr>
          <w:rFonts w:ascii="Arial" w:hAnsi="Arial" w:cs="Arial"/>
        </w:rPr>
        <w:t xml:space="preserve">The </w:t>
      </w:r>
      <w:r w:rsidR="00E679DF">
        <w:rPr>
          <w:rFonts w:ascii="Arial" w:hAnsi="Arial" w:cs="Arial"/>
        </w:rPr>
        <w:t>UK’s real estate sector</w:t>
      </w:r>
      <w:r>
        <w:rPr>
          <w:rFonts w:ascii="Arial" w:hAnsi="Arial" w:cs="Arial"/>
        </w:rPr>
        <w:t xml:space="preserve"> is affected by the</w:t>
      </w:r>
      <w:r w:rsidR="00CD6352">
        <w:rPr>
          <w:rFonts w:ascii="Arial" w:hAnsi="Arial" w:cs="Arial"/>
        </w:rPr>
        <w:t xml:space="preserve"> </w:t>
      </w:r>
      <w:r w:rsidR="00CD6352" w:rsidRPr="007A0BB0">
        <w:rPr>
          <w:rFonts w:ascii="Arial" w:hAnsi="Arial" w:cs="Arial"/>
        </w:rPr>
        <w:t>economic history of the country,  global economy</w:t>
      </w:r>
      <w:r w:rsidR="00CD6352">
        <w:rPr>
          <w:rFonts w:ascii="Arial" w:hAnsi="Arial" w:cs="Arial"/>
        </w:rPr>
        <w:t>,</w:t>
      </w:r>
      <w:r w:rsidR="00CD6352" w:rsidRPr="007A0BB0">
        <w:rPr>
          <w:rFonts w:ascii="Arial" w:hAnsi="Arial" w:cs="Arial"/>
        </w:rPr>
        <w:t xml:space="preserve"> </w:t>
      </w:r>
      <w:r>
        <w:rPr>
          <w:rFonts w:ascii="Arial" w:hAnsi="Arial" w:cs="Arial"/>
        </w:rPr>
        <w:t>the</w:t>
      </w:r>
      <w:r w:rsidR="00CD6352" w:rsidRPr="007A0BB0">
        <w:rPr>
          <w:rFonts w:ascii="Arial" w:hAnsi="Arial" w:cs="Arial"/>
        </w:rPr>
        <w:t xml:space="preserve"> performance of the London </w:t>
      </w:r>
      <w:r w:rsidR="00EB3A71">
        <w:rPr>
          <w:rFonts w:ascii="Arial" w:hAnsi="Arial" w:cs="Arial"/>
        </w:rPr>
        <w:t>s</w:t>
      </w:r>
      <w:r w:rsidR="00CD6352" w:rsidRPr="007A0BB0">
        <w:rPr>
          <w:rFonts w:ascii="Arial" w:hAnsi="Arial" w:cs="Arial"/>
        </w:rPr>
        <w:t>tock market</w:t>
      </w:r>
      <w:r w:rsidR="00EB3A71">
        <w:rPr>
          <w:rFonts w:ascii="Arial" w:hAnsi="Arial" w:cs="Arial"/>
        </w:rPr>
        <w:t xml:space="preserve"> and</w:t>
      </w:r>
      <w:r w:rsidR="00306C85">
        <w:rPr>
          <w:rFonts w:ascii="Arial" w:hAnsi="Arial" w:cs="Arial"/>
        </w:rPr>
        <w:t xml:space="preserve"> </w:t>
      </w:r>
      <w:r w:rsidR="00CD6352" w:rsidRPr="007A0BB0">
        <w:rPr>
          <w:rFonts w:ascii="Arial" w:hAnsi="Arial" w:cs="Arial"/>
        </w:rPr>
        <w:t>the banking system</w:t>
      </w:r>
      <w:r w:rsidR="00EB3A71">
        <w:rPr>
          <w:rFonts w:ascii="Arial" w:hAnsi="Arial" w:cs="Arial"/>
        </w:rPr>
        <w:t>. The high price of crude oil &amp; the resultant external surpluses from oil-producing nations often</w:t>
      </w:r>
      <w:r w:rsidR="00CD6352" w:rsidRPr="007A0BB0">
        <w:rPr>
          <w:rFonts w:ascii="Arial" w:hAnsi="Arial" w:cs="Arial"/>
        </w:rPr>
        <w:t xml:space="preserve"> invested in the UK</w:t>
      </w:r>
      <w:r w:rsidR="00EB3A71">
        <w:rPr>
          <w:rFonts w:ascii="Arial" w:hAnsi="Arial" w:cs="Arial"/>
        </w:rPr>
        <w:t>,</w:t>
      </w:r>
      <w:r w:rsidR="00E679DF">
        <w:rPr>
          <w:rFonts w:ascii="Arial" w:hAnsi="Arial" w:cs="Arial"/>
        </w:rPr>
        <w:t xml:space="preserve"> </w:t>
      </w:r>
      <w:r w:rsidR="00EB3A71">
        <w:rPr>
          <w:rFonts w:ascii="Arial" w:hAnsi="Arial" w:cs="Arial"/>
        </w:rPr>
        <w:t xml:space="preserve"> </w:t>
      </w:r>
      <w:r w:rsidR="00E679DF">
        <w:rPr>
          <w:rFonts w:ascii="Arial" w:hAnsi="Arial" w:cs="Arial"/>
        </w:rPr>
        <w:t>I</w:t>
      </w:r>
      <w:r w:rsidR="00CD6352" w:rsidRPr="007A0BB0">
        <w:rPr>
          <w:rFonts w:ascii="Arial" w:hAnsi="Arial" w:cs="Arial"/>
        </w:rPr>
        <w:t>nvestment from Asia, the political environment</w:t>
      </w:r>
      <w:r w:rsidR="00EB3A71">
        <w:rPr>
          <w:rFonts w:ascii="Arial" w:hAnsi="Arial" w:cs="Arial"/>
        </w:rPr>
        <w:t>, and the UK consumer confidence index all impact this</w:t>
      </w:r>
      <w:r w:rsidR="00306C85">
        <w:rPr>
          <w:rFonts w:ascii="Arial" w:hAnsi="Arial" w:cs="Arial"/>
        </w:rPr>
        <w:t xml:space="preserve"> sector</w:t>
      </w:r>
      <w:r w:rsidR="00CD6352" w:rsidRPr="007A0BB0">
        <w:rPr>
          <w:rFonts w:ascii="Arial" w:hAnsi="Arial" w:cs="Arial"/>
        </w:rPr>
        <w:t>. The factors that have affected the US real estate development sector include economic growth, low</w:t>
      </w:r>
      <w:r w:rsidR="00F95C49">
        <w:rPr>
          <w:rFonts w:ascii="Arial" w:hAnsi="Arial" w:cs="Arial"/>
        </w:rPr>
        <w:t>-</w:t>
      </w:r>
      <w:r w:rsidR="00CD6352" w:rsidRPr="007A0BB0">
        <w:rPr>
          <w:rFonts w:ascii="Arial" w:hAnsi="Arial" w:cs="Arial"/>
        </w:rPr>
        <w:t xml:space="preserve">interest rates, stable inflationary rates, government monetary and fiscal policies, </w:t>
      </w:r>
      <w:r w:rsidR="00CD6352">
        <w:rPr>
          <w:rFonts w:ascii="Arial" w:hAnsi="Arial" w:cs="Arial"/>
        </w:rPr>
        <w:t xml:space="preserve">an </w:t>
      </w:r>
      <w:r w:rsidR="00CD6352" w:rsidRPr="007A0BB0">
        <w:rPr>
          <w:rFonts w:ascii="Arial" w:hAnsi="Arial" w:cs="Arial"/>
        </w:rPr>
        <w:t xml:space="preserve">increasing population, and </w:t>
      </w:r>
      <w:r w:rsidR="00EB3A71">
        <w:rPr>
          <w:rFonts w:ascii="Arial" w:hAnsi="Arial" w:cs="Arial"/>
        </w:rPr>
        <w:t>a</w:t>
      </w:r>
      <w:r w:rsidR="00CD6352" w:rsidRPr="007A0BB0">
        <w:rPr>
          <w:rFonts w:ascii="Arial" w:hAnsi="Arial" w:cs="Arial"/>
        </w:rPr>
        <w:t xml:space="preserve"> robust and effective political </w:t>
      </w:r>
      <w:r w:rsidR="00EB3A71">
        <w:rPr>
          <w:rFonts w:ascii="Arial" w:hAnsi="Arial" w:cs="Arial"/>
        </w:rPr>
        <w:t>industry</w:t>
      </w:r>
      <w:r w:rsidR="00CD6352" w:rsidRPr="007A0BB0">
        <w:rPr>
          <w:rFonts w:ascii="Arial" w:hAnsi="Arial" w:cs="Arial"/>
        </w:rPr>
        <w:t>.</w:t>
      </w:r>
    </w:p>
    <w:p w14:paraId="62D27CA6" w14:textId="7396D5F6" w:rsidR="00CD6352" w:rsidRPr="007A0BB0" w:rsidRDefault="002618FC" w:rsidP="00CD6352">
      <w:pPr>
        <w:spacing w:line="360" w:lineRule="auto"/>
        <w:rPr>
          <w:rFonts w:ascii="Arial" w:hAnsi="Arial" w:cs="Arial"/>
        </w:rPr>
      </w:pPr>
      <w:r>
        <w:rPr>
          <w:rFonts w:ascii="Arial" w:hAnsi="Arial" w:cs="Arial"/>
        </w:rPr>
        <w:t>F</w:t>
      </w:r>
      <w:r w:rsidR="00CD6352" w:rsidRPr="007A0BB0">
        <w:rPr>
          <w:rFonts w:ascii="Arial" w:hAnsi="Arial" w:cs="Arial"/>
        </w:rPr>
        <w:t xml:space="preserve">actors affecting </w:t>
      </w:r>
      <w:r w:rsidR="00AA254F">
        <w:rPr>
          <w:rFonts w:ascii="Arial" w:hAnsi="Arial" w:cs="Arial"/>
        </w:rPr>
        <w:t>the Chinese real estate sector</w:t>
      </w:r>
      <w:r w:rsidR="00CD6352" w:rsidRPr="007A0BB0">
        <w:rPr>
          <w:rFonts w:ascii="Arial" w:hAnsi="Arial" w:cs="Arial"/>
        </w:rPr>
        <w:t xml:space="preserve"> include the increasing middle class</w:t>
      </w:r>
      <w:r w:rsidR="001C72D5">
        <w:rPr>
          <w:rFonts w:ascii="Arial" w:hAnsi="Arial" w:cs="Arial"/>
        </w:rPr>
        <w:t>,</w:t>
      </w:r>
      <w:r w:rsidR="00CD6352">
        <w:rPr>
          <w:rFonts w:ascii="Arial" w:hAnsi="Arial" w:cs="Arial"/>
        </w:rPr>
        <w:t xml:space="preserve"> </w:t>
      </w:r>
      <w:r w:rsidR="00CD6352" w:rsidRPr="007A0BB0">
        <w:rPr>
          <w:rFonts w:ascii="Arial" w:hAnsi="Arial" w:cs="Arial"/>
        </w:rPr>
        <w:t xml:space="preserve">positive credit rating, intense urbanisation </w:t>
      </w:r>
      <w:r w:rsidR="00CC5A38">
        <w:rPr>
          <w:rFonts w:ascii="Arial" w:hAnsi="Arial" w:cs="Arial"/>
        </w:rPr>
        <w:t>and</w:t>
      </w:r>
      <w:r w:rsidR="00CD6352" w:rsidRPr="007A0BB0">
        <w:rPr>
          <w:rFonts w:ascii="Arial" w:hAnsi="Arial" w:cs="Arial"/>
        </w:rPr>
        <w:t xml:space="preserve"> </w:t>
      </w:r>
      <w:r>
        <w:rPr>
          <w:rFonts w:ascii="Arial" w:hAnsi="Arial" w:cs="Arial"/>
        </w:rPr>
        <w:t xml:space="preserve">the </w:t>
      </w:r>
      <w:r w:rsidR="00CD6352" w:rsidRPr="007A0BB0">
        <w:rPr>
          <w:rFonts w:ascii="Arial" w:hAnsi="Arial" w:cs="Arial"/>
        </w:rPr>
        <w:t>governmen</w:t>
      </w:r>
      <w:r w:rsidR="00CD6352">
        <w:rPr>
          <w:rFonts w:ascii="Arial" w:hAnsi="Arial" w:cs="Arial"/>
        </w:rPr>
        <w:t>t</w:t>
      </w:r>
      <w:r w:rsidR="00EA495B">
        <w:rPr>
          <w:rFonts w:ascii="Arial" w:hAnsi="Arial" w:cs="Arial"/>
        </w:rPr>
        <w:t>'s</w:t>
      </w:r>
      <w:r w:rsidR="00CD6352" w:rsidRPr="007A0BB0">
        <w:rPr>
          <w:rFonts w:ascii="Arial" w:hAnsi="Arial" w:cs="Arial"/>
        </w:rPr>
        <w:t xml:space="preserve"> dependence on revenue from the real estate sector</w:t>
      </w:r>
      <w:r w:rsidR="00CC5A38">
        <w:rPr>
          <w:rFonts w:ascii="Arial" w:hAnsi="Arial" w:cs="Arial"/>
        </w:rPr>
        <w:t>. Additionally,</w:t>
      </w:r>
      <w:r w:rsidR="00CD6352" w:rsidRPr="007A0BB0">
        <w:rPr>
          <w:rFonts w:ascii="Arial" w:hAnsi="Arial" w:cs="Arial"/>
        </w:rPr>
        <w:t xml:space="preserve"> </w:t>
      </w:r>
      <w:r w:rsidR="00F95C49">
        <w:rPr>
          <w:rFonts w:ascii="Arial" w:hAnsi="Arial" w:cs="Arial"/>
        </w:rPr>
        <w:t>the government announced new real estate restriction policies</w:t>
      </w:r>
      <w:r w:rsidR="00CD6352" w:rsidRPr="007A0BB0">
        <w:rPr>
          <w:rFonts w:ascii="Arial" w:hAnsi="Arial" w:cs="Arial"/>
        </w:rPr>
        <w:t xml:space="preserve"> in 2019 and laws regarding no private ownership of land in China</w:t>
      </w:r>
      <w:r w:rsidR="00CC5A38">
        <w:rPr>
          <w:rFonts w:ascii="Arial" w:hAnsi="Arial" w:cs="Arial"/>
        </w:rPr>
        <w:t xml:space="preserve"> also </w:t>
      </w:r>
      <w:r w:rsidR="005343A4">
        <w:rPr>
          <w:rFonts w:ascii="Arial" w:hAnsi="Arial" w:cs="Arial"/>
        </w:rPr>
        <w:t>strongly affect</w:t>
      </w:r>
      <w:r w:rsidR="00CC5A38">
        <w:rPr>
          <w:rFonts w:ascii="Arial" w:hAnsi="Arial" w:cs="Arial"/>
        </w:rPr>
        <w:t xml:space="preserve"> the real estate sector</w:t>
      </w:r>
      <w:r w:rsidR="00CD6352" w:rsidRPr="007A0BB0">
        <w:rPr>
          <w:rFonts w:ascii="Arial" w:hAnsi="Arial" w:cs="Arial"/>
        </w:rPr>
        <w:t xml:space="preserve">. </w:t>
      </w:r>
      <w:r>
        <w:rPr>
          <w:rFonts w:ascii="Arial" w:hAnsi="Arial" w:cs="Arial"/>
        </w:rPr>
        <w:t xml:space="preserve"> </w:t>
      </w:r>
      <w:r w:rsidR="00CD6352" w:rsidRPr="007A0BB0">
        <w:rPr>
          <w:rFonts w:ascii="Arial" w:hAnsi="Arial" w:cs="Arial"/>
        </w:rPr>
        <w:t>The factors affecting</w:t>
      </w:r>
      <w:r w:rsidR="00CD6352">
        <w:rPr>
          <w:rFonts w:ascii="Arial" w:hAnsi="Arial" w:cs="Arial"/>
        </w:rPr>
        <w:t xml:space="preserve"> the</w:t>
      </w:r>
      <w:r w:rsidR="00CD6352" w:rsidRPr="007A0BB0">
        <w:rPr>
          <w:rFonts w:ascii="Arial" w:hAnsi="Arial" w:cs="Arial"/>
        </w:rPr>
        <w:t xml:space="preserve"> real estate development sector in Nigeria include high inflation,</w:t>
      </w:r>
      <w:r w:rsidR="00CD6352">
        <w:rPr>
          <w:rFonts w:ascii="Arial" w:hAnsi="Arial" w:cs="Arial"/>
        </w:rPr>
        <w:t xml:space="preserve"> an</w:t>
      </w:r>
      <w:r w:rsidR="00CD6352" w:rsidRPr="007A0BB0">
        <w:rPr>
          <w:rFonts w:ascii="Arial" w:hAnsi="Arial" w:cs="Arial"/>
        </w:rPr>
        <w:t xml:space="preserve"> increasing population,</w:t>
      </w:r>
      <w:r w:rsidR="00CD6352">
        <w:rPr>
          <w:rFonts w:ascii="Arial" w:hAnsi="Arial" w:cs="Arial"/>
        </w:rPr>
        <w:t xml:space="preserve"> an</w:t>
      </w:r>
      <w:r w:rsidR="00CD6352" w:rsidRPr="007A0BB0">
        <w:rPr>
          <w:rFonts w:ascii="Arial" w:hAnsi="Arial" w:cs="Arial"/>
        </w:rPr>
        <w:t xml:space="preserve"> increase in </w:t>
      </w:r>
      <w:r w:rsidR="00CD6352">
        <w:rPr>
          <w:rFonts w:ascii="Arial" w:hAnsi="Arial" w:cs="Arial"/>
        </w:rPr>
        <w:t xml:space="preserve">the </w:t>
      </w:r>
      <w:r w:rsidR="00CD6352" w:rsidRPr="007A0BB0">
        <w:rPr>
          <w:rFonts w:ascii="Arial" w:hAnsi="Arial" w:cs="Arial"/>
        </w:rPr>
        <w:t>middle class, over-dependence on oil revenue, exchange rate volatility, high-interest rat</w:t>
      </w:r>
      <w:r w:rsidR="00CD6352">
        <w:rPr>
          <w:rFonts w:ascii="Arial" w:hAnsi="Arial" w:cs="Arial"/>
        </w:rPr>
        <w:t>es</w:t>
      </w:r>
      <w:r w:rsidR="00CD6352" w:rsidRPr="007A0BB0">
        <w:rPr>
          <w:rFonts w:ascii="Arial" w:hAnsi="Arial" w:cs="Arial"/>
        </w:rPr>
        <w:t xml:space="preserve">, small and fragmented real estate companies, </w:t>
      </w:r>
      <w:r w:rsidR="00CD6352">
        <w:rPr>
          <w:rFonts w:ascii="Arial" w:hAnsi="Arial" w:cs="Arial"/>
        </w:rPr>
        <w:t xml:space="preserve">and </w:t>
      </w:r>
      <w:r w:rsidR="00CD6352" w:rsidRPr="007A0BB0">
        <w:rPr>
          <w:rFonts w:ascii="Arial" w:hAnsi="Arial" w:cs="Arial"/>
        </w:rPr>
        <w:t xml:space="preserve">inadequate representation of REITs and real estate companies on the Nigeria stock market. Other factors affecting </w:t>
      </w:r>
      <w:r w:rsidR="009E2CD4">
        <w:rPr>
          <w:rFonts w:ascii="Arial" w:hAnsi="Arial" w:cs="Arial"/>
        </w:rPr>
        <w:t>Nigeria's real estate development sector</w:t>
      </w:r>
      <w:r w:rsidR="00CD6352" w:rsidRPr="007A0BB0">
        <w:rPr>
          <w:rFonts w:ascii="Arial" w:hAnsi="Arial" w:cs="Arial"/>
        </w:rPr>
        <w:t xml:space="preserve"> include low-level skills, </w:t>
      </w:r>
      <w:r w:rsidR="00CD6352">
        <w:rPr>
          <w:rFonts w:ascii="Arial" w:hAnsi="Arial" w:cs="Arial"/>
        </w:rPr>
        <w:t xml:space="preserve">the government’s </w:t>
      </w:r>
      <w:r w:rsidR="00CD6352" w:rsidRPr="007A0BB0">
        <w:rPr>
          <w:rFonts w:ascii="Arial" w:hAnsi="Arial" w:cs="Arial"/>
        </w:rPr>
        <w:t>monetary and fiscal policies, technical barriers, terrorism</w:t>
      </w:r>
      <w:r w:rsidR="00EA495B">
        <w:rPr>
          <w:rFonts w:ascii="Arial" w:hAnsi="Arial" w:cs="Arial"/>
        </w:rPr>
        <w:t>,</w:t>
      </w:r>
      <w:r w:rsidR="00CD6352" w:rsidRPr="007A0BB0">
        <w:rPr>
          <w:rFonts w:ascii="Arial" w:hAnsi="Arial" w:cs="Arial"/>
        </w:rPr>
        <w:t xml:space="preserve"> and corruption. The factors affecting the real estate sector in South Africa include</w:t>
      </w:r>
      <w:r w:rsidR="00CD6352">
        <w:rPr>
          <w:rFonts w:ascii="Arial" w:hAnsi="Arial" w:cs="Arial"/>
        </w:rPr>
        <w:t xml:space="preserve"> a</w:t>
      </w:r>
      <w:r w:rsidR="00CD6352" w:rsidRPr="007A0BB0">
        <w:rPr>
          <w:rFonts w:ascii="Arial" w:hAnsi="Arial" w:cs="Arial"/>
        </w:rPr>
        <w:t xml:space="preserve"> high unemployment rate</w:t>
      </w:r>
      <w:r w:rsidR="00CD6352">
        <w:rPr>
          <w:rFonts w:ascii="Arial" w:hAnsi="Arial" w:cs="Arial"/>
        </w:rPr>
        <w:t>,</w:t>
      </w:r>
      <w:r w:rsidR="00CD6352" w:rsidRPr="007A0BB0">
        <w:rPr>
          <w:rFonts w:ascii="Arial" w:hAnsi="Arial" w:cs="Arial"/>
        </w:rPr>
        <w:t xml:space="preserve"> </w:t>
      </w:r>
      <w:r w:rsidR="00CD6352">
        <w:rPr>
          <w:rFonts w:ascii="Arial" w:hAnsi="Arial" w:cs="Arial"/>
        </w:rPr>
        <w:t>and high</w:t>
      </w:r>
      <w:r w:rsidR="00EA495B">
        <w:rPr>
          <w:rFonts w:ascii="Arial" w:hAnsi="Arial" w:cs="Arial"/>
        </w:rPr>
        <w:t>-</w:t>
      </w:r>
      <w:r w:rsidR="00CD6352" w:rsidRPr="007A0BB0">
        <w:rPr>
          <w:rFonts w:ascii="Arial" w:hAnsi="Arial" w:cs="Arial"/>
        </w:rPr>
        <w:t>interest rat</w:t>
      </w:r>
      <w:r w:rsidR="00CD6352">
        <w:rPr>
          <w:rFonts w:ascii="Arial" w:hAnsi="Arial" w:cs="Arial"/>
        </w:rPr>
        <w:t>es</w:t>
      </w:r>
      <w:r w:rsidR="00EA495B">
        <w:rPr>
          <w:rFonts w:ascii="Arial" w:hAnsi="Arial" w:cs="Arial"/>
        </w:rPr>
        <w:t>,</w:t>
      </w:r>
      <w:r w:rsidR="00CD6352">
        <w:rPr>
          <w:rFonts w:ascii="Arial" w:hAnsi="Arial" w:cs="Arial"/>
        </w:rPr>
        <w:t xml:space="preserve"> </w:t>
      </w:r>
      <w:r w:rsidR="00CD6352" w:rsidRPr="007A0BB0">
        <w:rPr>
          <w:rFonts w:ascii="Arial" w:hAnsi="Arial" w:cs="Arial"/>
        </w:rPr>
        <w:t>and inflation. Other factors affecting the real estate secto</w:t>
      </w:r>
      <w:r w:rsidR="00CD6352">
        <w:rPr>
          <w:rFonts w:ascii="Arial" w:hAnsi="Arial" w:cs="Arial"/>
        </w:rPr>
        <w:t>r</w:t>
      </w:r>
      <w:r w:rsidR="00CD6352" w:rsidRPr="007A0BB0">
        <w:rPr>
          <w:rFonts w:ascii="Arial" w:hAnsi="Arial" w:cs="Arial"/>
        </w:rPr>
        <w:t xml:space="preserve"> in South Africa include highly skewed wealth distribution, declining GDP, increased urbanisation, short lease structure of 3 to 5 years</w:t>
      </w:r>
      <w:r w:rsidR="00EA495B">
        <w:rPr>
          <w:rFonts w:ascii="Arial" w:hAnsi="Arial" w:cs="Arial"/>
        </w:rPr>
        <w:t>,</w:t>
      </w:r>
      <w:r w:rsidR="00CD6352" w:rsidRPr="007A0BB0">
        <w:rPr>
          <w:rFonts w:ascii="Arial" w:hAnsi="Arial" w:cs="Arial"/>
        </w:rPr>
        <w:t xml:space="preserve"> and foreign ownership of properties without restrictions.</w:t>
      </w:r>
    </w:p>
    <w:p w14:paraId="4004E158" w14:textId="2E1101E5" w:rsidR="00CD6352" w:rsidRPr="007A0BB0" w:rsidRDefault="00CD6352" w:rsidP="00CD6352">
      <w:pPr>
        <w:spacing w:line="360" w:lineRule="auto"/>
        <w:rPr>
          <w:rFonts w:ascii="Arial" w:hAnsi="Arial" w:cs="Arial"/>
        </w:rPr>
      </w:pPr>
      <w:r w:rsidRPr="007A0BB0">
        <w:rPr>
          <w:rFonts w:ascii="Arial" w:hAnsi="Arial" w:cs="Arial"/>
        </w:rPr>
        <w:t xml:space="preserve">The </w:t>
      </w:r>
      <w:r w:rsidR="00E06F62">
        <w:rPr>
          <w:rFonts w:ascii="Arial" w:hAnsi="Arial" w:cs="Arial"/>
        </w:rPr>
        <w:t>literature review</w:t>
      </w:r>
      <w:r w:rsidRPr="007A0BB0">
        <w:rPr>
          <w:rFonts w:ascii="Arial" w:hAnsi="Arial" w:cs="Arial"/>
        </w:rPr>
        <w:t xml:space="preserve"> demonstrates gaps in real estate supply and demand in all the developed and emerging economies reviewed in this study</w:t>
      </w:r>
      <w:r w:rsidR="00E06F62">
        <w:rPr>
          <w:rFonts w:ascii="Arial" w:hAnsi="Arial" w:cs="Arial"/>
        </w:rPr>
        <w:t>,</w:t>
      </w:r>
      <w:r w:rsidRPr="007A0BB0">
        <w:rPr>
          <w:rFonts w:ascii="Arial" w:hAnsi="Arial" w:cs="Arial"/>
        </w:rPr>
        <w:t xml:space="preserve"> with demand exceeding suppl</w:t>
      </w:r>
      <w:r w:rsidR="00AA254F">
        <w:rPr>
          <w:rFonts w:ascii="Arial" w:hAnsi="Arial" w:cs="Arial"/>
        </w:rPr>
        <w:t>y</w:t>
      </w:r>
      <w:r w:rsidRPr="007A0BB0">
        <w:rPr>
          <w:rFonts w:ascii="Arial" w:hAnsi="Arial" w:cs="Arial"/>
        </w:rPr>
        <w:t xml:space="preserve">. The literature </w:t>
      </w:r>
      <w:r w:rsidR="009E2CD4">
        <w:rPr>
          <w:rFonts w:ascii="Arial" w:hAnsi="Arial" w:cs="Arial"/>
        </w:rPr>
        <w:t>indic</w:t>
      </w:r>
      <w:r w:rsidRPr="007A0BB0">
        <w:rPr>
          <w:rFonts w:ascii="Arial" w:hAnsi="Arial" w:cs="Arial"/>
        </w:rPr>
        <w:t xml:space="preserve">ates that the dominant sources of finance for real estate in Germany </w:t>
      </w:r>
      <w:r>
        <w:rPr>
          <w:rFonts w:ascii="Arial" w:hAnsi="Arial" w:cs="Arial"/>
        </w:rPr>
        <w:t>are</w:t>
      </w:r>
      <w:r w:rsidRPr="007A0BB0">
        <w:rPr>
          <w:rFonts w:ascii="Arial" w:hAnsi="Arial" w:cs="Arial"/>
        </w:rPr>
        <w:t xml:space="preserve"> banks and savings banks</w:t>
      </w:r>
      <w:r w:rsidR="009E2CD4">
        <w:rPr>
          <w:rFonts w:ascii="Arial" w:hAnsi="Arial" w:cs="Arial"/>
        </w:rPr>
        <w:t>. The indirect approach is through the German stock corporation</w:t>
      </w:r>
      <w:r w:rsidR="004D3AF2">
        <w:rPr>
          <w:rFonts w:ascii="Arial" w:hAnsi="Arial" w:cs="Arial"/>
        </w:rPr>
        <w:t>,</w:t>
      </w:r>
      <w:r w:rsidR="009E2CD4">
        <w:rPr>
          <w:rFonts w:ascii="Arial" w:hAnsi="Arial" w:cs="Arial"/>
        </w:rPr>
        <w:t xml:space="preserve"> the German real estate investment trust</w:t>
      </w:r>
      <w:r w:rsidR="004D3AF2">
        <w:rPr>
          <w:rFonts w:ascii="Arial" w:hAnsi="Arial" w:cs="Arial"/>
        </w:rPr>
        <w:t>,</w:t>
      </w:r>
      <w:r w:rsidR="009E2CD4">
        <w:rPr>
          <w:rFonts w:ascii="Arial" w:hAnsi="Arial" w:cs="Arial"/>
        </w:rPr>
        <w:t xml:space="preserve"> and</w:t>
      </w:r>
      <w:r w:rsidRPr="007A0BB0">
        <w:rPr>
          <w:rFonts w:ascii="Arial" w:hAnsi="Arial" w:cs="Arial"/>
        </w:rPr>
        <w:t xml:space="preserve"> private equity. </w:t>
      </w:r>
      <w:r>
        <w:rPr>
          <w:rFonts w:ascii="Arial" w:hAnsi="Arial" w:cs="Arial"/>
        </w:rPr>
        <w:t xml:space="preserve">The </w:t>
      </w:r>
      <w:r w:rsidRPr="007A0BB0">
        <w:rPr>
          <w:rFonts w:ascii="Arial" w:hAnsi="Arial" w:cs="Arial"/>
        </w:rPr>
        <w:t xml:space="preserve">UK has the most diversified </w:t>
      </w:r>
      <w:r w:rsidR="009E2CD4">
        <w:rPr>
          <w:rFonts w:ascii="Arial" w:hAnsi="Arial" w:cs="Arial"/>
        </w:rPr>
        <w:lastRenderedPageBreak/>
        <w:t>real estate project finance sources</w:t>
      </w:r>
      <w:r w:rsidRPr="007A0BB0">
        <w:rPr>
          <w:rFonts w:ascii="Arial" w:hAnsi="Arial" w:cs="Arial"/>
        </w:rPr>
        <w:t xml:space="preserve"> in Europe</w:t>
      </w:r>
      <w:r w:rsidR="004D3AF2">
        <w:rPr>
          <w:rFonts w:ascii="Arial" w:hAnsi="Arial" w:cs="Arial"/>
        </w:rPr>
        <w:t>,</w:t>
      </w:r>
      <w:r w:rsidRPr="007A0BB0">
        <w:rPr>
          <w:rFonts w:ascii="Arial" w:hAnsi="Arial" w:cs="Arial"/>
        </w:rPr>
        <w:t xml:space="preserve"> with the primary sources </w:t>
      </w:r>
      <w:r>
        <w:rPr>
          <w:rFonts w:ascii="Arial" w:hAnsi="Arial" w:cs="Arial"/>
        </w:rPr>
        <w:t>being</w:t>
      </w:r>
      <w:r w:rsidRPr="007A0BB0">
        <w:rPr>
          <w:rFonts w:ascii="Arial" w:hAnsi="Arial" w:cs="Arial"/>
        </w:rPr>
        <w:t xml:space="preserve"> banks, building societ</w:t>
      </w:r>
      <w:r>
        <w:rPr>
          <w:rFonts w:ascii="Arial" w:hAnsi="Arial" w:cs="Arial"/>
        </w:rPr>
        <w:t>ies</w:t>
      </w:r>
      <w:r w:rsidR="00CD73D6">
        <w:rPr>
          <w:rFonts w:ascii="Arial" w:hAnsi="Arial" w:cs="Arial"/>
        </w:rPr>
        <w:t>,</w:t>
      </w:r>
      <w:r w:rsidRPr="007A0BB0">
        <w:rPr>
          <w:rFonts w:ascii="Arial" w:hAnsi="Arial" w:cs="Arial"/>
        </w:rPr>
        <w:t xml:space="preserve"> and mortgage brokers. Banks and mortgage brokers are the primary lenders for real estate project development in the US. Other platforms for financing real estate project development in the US include REITs</w:t>
      </w:r>
      <w:r w:rsidR="004D3AF2">
        <w:rPr>
          <w:rFonts w:ascii="Arial" w:hAnsi="Arial" w:cs="Arial"/>
        </w:rPr>
        <w:t>,</w:t>
      </w:r>
      <w:r w:rsidRPr="007A0BB0">
        <w:rPr>
          <w:rFonts w:ascii="Arial" w:hAnsi="Arial" w:cs="Arial"/>
        </w:rPr>
        <w:t xml:space="preserve"> hedge funds, pension funds</w:t>
      </w:r>
      <w:r w:rsidR="00EA495B">
        <w:rPr>
          <w:rFonts w:ascii="Arial" w:hAnsi="Arial" w:cs="Arial"/>
        </w:rPr>
        <w:t>,</w:t>
      </w:r>
      <w:r w:rsidRPr="007A0BB0">
        <w:rPr>
          <w:rFonts w:ascii="Arial" w:hAnsi="Arial" w:cs="Arial"/>
        </w:rPr>
        <w:t xml:space="preserve"> and sovereign wealth funds.</w:t>
      </w:r>
    </w:p>
    <w:p w14:paraId="1645BC2C" w14:textId="7CE046F9" w:rsidR="00CD6352" w:rsidRPr="007A0BB0" w:rsidRDefault="00CD6352" w:rsidP="00CD6352">
      <w:pPr>
        <w:spacing w:line="360" w:lineRule="auto"/>
        <w:rPr>
          <w:rFonts w:ascii="Arial" w:hAnsi="Arial" w:cs="Arial"/>
        </w:rPr>
      </w:pPr>
      <w:r w:rsidRPr="007A0BB0">
        <w:rPr>
          <w:rFonts w:ascii="Arial" w:hAnsi="Arial" w:cs="Arial"/>
        </w:rPr>
        <w:t>Banks are the major financiers of the real estate sector in China. Non-banking institutions such as insurance companies</w:t>
      </w:r>
      <w:r>
        <w:rPr>
          <w:rFonts w:ascii="Arial" w:hAnsi="Arial" w:cs="Arial"/>
        </w:rPr>
        <w:t>,</w:t>
      </w:r>
      <w:r w:rsidRPr="007A0BB0">
        <w:rPr>
          <w:rFonts w:ascii="Arial" w:hAnsi="Arial" w:cs="Arial"/>
        </w:rPr>
        <w:t xml:space="preserve"> credit corporations</w:t>
      </w:r>
      <w:r w:rsidR="00BA592B">
        <w:rPr>
          <w:rFonts w:ascii="Arial" w:hAnsi="Arial" w:cs="Arial"/>
        </w:rPr>
        <w:t>,</w:t>
      </w:r>
      <w:r w:rsidRPr="007A0BB0">
        <w:rPr>
          <w:rFonts w:ascii="Arial" w:hAnsi="Arial" w:cs="Arial"/>
        </w:rPr>
        <w:t xml:space="preserve"> and specialist non-bank institutions such as</w:t>
      </w:r>
      <w:r>
        <w:rPr>
          <w:rFonts w:ascii="Arial" w:hAnsi="Arial" w:cs="Arial"/>
        </w:rPr>
        <w:t xml:space="preserve"> </w:t>
      </w:r>
      <w:r w:rsidRPr="007A0BB0">
        <w:rPr>
          <w:rFonts w:ascii="Arial" w:hAnsi="Arial" w:cs="Arial"/>
        </w:rPr>
        <w:t>housing credit cooperation and</w:t>
      </w:r>
      <w:r>
        <w:rPr>
          <w:rFonts w:ascii="Arial" w:hAnsi="Arial" w:cs="Arial"/>
        </w:rPr>
        <w:t xml:space="preserve"> the</w:t>
      </w:r>
      <w:r w:rsidRPr="007A0BB0">
        <w:rPr>
          <w:rFonts w:ascii="Arial" w:hAnsi="Arial" w:cs="Arial"/>
        </w:rPr>
        <w:t xml:space="preserve"> Housing Development Corporation are also involved in financing real estate project developments in China. One of the ways of providing finance for real estate project development in Nigeria is by ploughing back real estate income gotten through rental income, sinking funds from leasehold interest</w:t>
      </w:r>
      <w:r w:rsidR="00BA592B">
        <w:rPr>
          <w:rFonts w:ascii="Arial" w:hAnsi="Arial" w:cs="Arial"/>
        </w:rPr>
        <w:t>,</w:t>
      </w:r>
      <w:r w:rsidRPr="007A0BB0">
        <w:rPr>
          <w:rFonts w:ascii="Arial" w:hAnsi="Arial" w:cs="Arial"/>
        </w:rPr>
        <w:t xml:space="preserve"> and </w:t>
      </w:r>
      <w:r>
        <w:rPr>
          <w:rFonts w:ascii="Arial" w:hAnsi="Arial" w:cs="Arial"/>
        </w:rPr>
        <w:t xml:space="preserve">the </w:t>
      </w:r>
      <w:r w:rsidRPr="007A0BB0">
        <w:rPr>
          <w:rFonts w:ascii="Arial" w:hAnsi="Arial" w:cs="Arial"/>
        </w:rPr>
        <w:t xml:space="preserve">sale of real estate. Real estate investment trusts (REITs) as a means of real estate investment are not yet </w:t>
      </w:r>
      <w:r>
        <w:rPr>
          <w:rFonts w:ascii="Arial" w:hAnsi="Arial" w:cs="Arial"/>
        </w:rPr>
        <w:t>favoured</w:t>
      </w:r>
      <w:r w:rsidRPr="007A0BB0">
        <w:rPr>
          <w:rFonts w:ascii="Arial" w:hAnsi="Arial" w:cs="Arial"/>
        </w:rPr>
        <w:t xml:space="preserve"> in Nigeria, </w:t>
      </w:r>
      <w:r>
        <w:rPr>
          <w:rFonts w:ascii="Arial" w:hAnsi="Arial" w:cs="Arial"/>
        </w:rPr>
        <w:t>and there</w:t>
      </w:r>
      <w:r w:rsidRPr="007A0BB0">
        <w:rPr>
          <w:rFonts w:ascii="Arial" w:hAnsi="Arial" w:cs="Arial"/>
        </w:rPr>
        <w:t xml:space="preserve"> are presently </w:t>
      </w:r>
      <w:r w:rsidR="00AA254F">
        <w:rPr>
          <w:rFonts w:ascii="Arial" w:hAnsi="Arial" w:cs="Arial"/>
        </w:rPr>
        <w:t>very few</w:t>
      </w:r>
      <w:r w:rsidRPr="007A0BB0">
        <w:rPr>
          <w:rFonts w:ascii="Arial" w:hAnsi="Arial" w:cs="Arial"/>
        </w:rPr>
        <w:t xml:space="preserve"> REITs in Nigeria</w:t>
      </w:r>
      <w:r>
        <w:rPr>
          <w:rFonts w:ascii="Arial" w:hAnsi="Arial" w:cs="Arial"/>
        </w:rPr>
        <w:t>.</w:t>
      </w:r>
      <w:r w:rsidRPr="007A0BB0">
        <w:rPr>
          <w:rFonts w:ascii="Arial" w:hAnsi="Arial" w:cs="Arial"/>
        </w:rPr>
        <w:t xml:space="preserve"> </w:t>
      </w:r>
      <w:r>
        <w:rPr>
          <w:rFonts w:ascii="Arial" w:hAnsi="Arial" w:cs="Arial"/>
        </w:rPr>
        <w:t xml:space="preserve"> M</w:t>
      </w:r>
      <w:r w:rsidRPr="007A0BB0">
        <w:rPr>
          <w:rFonts w:ascii="Arial" w:hAnsi="Arial" w:cs="Arial"/>
        </w:rPr>
        <w:t xml:space="preserve">ortgage finance institutions in Nigeria are plagued with bureaucracy in </w:t>
      </w:r>
      <w:r>
        <w:rPr>
          <w:rFonts w:ascii="Arial" w:hAnsi="Arial" w:cs="Arial"/>
        </w:rPr>
        <w:t xml:space="preserve">the </w:t>
      </w:r>
      <w:r w:rsidRPr="007A0BB0">
        <w:rPr>
          <w:rFonts w:ascii="Arial" w:hAnsi="Arial" w:cs="Arial"/>
        </w:rPr>
        <w:t>granting and disbursement of mortgage loans to borrowers</w:t>
      </w:r>
      <w:r w:rsidR="009E2CD4">
        <w:rPr>
          <w:rFonts w:ascii="Arial" w:hAnsi="Arial" w:cs="Arial"/>
        </w:rPr>
        <w:t>,</w:t>
      </w:r>
      <w:r w:rsidRPr="007A0BB0">
        <w:rPr>
          <w:rFonts w:ascii="Arial" w:hAnsi="Arial" w:cs="Arial"/>
        </w:rPr>
        <w:t xml:space="preserve"> unavailability of funds</w:t>
      </w:r>
      <w:r>
        <w:rPr>
          <w:rFonts w:ascii="Arial" w:hAnsi="Arial" w:cs="Arial"/>
        </w:rPr>
        <w:t>,</w:t>
      </w:r>
      <w:r w:rsidR="004D3AF2">
        <w:rPr>
          <w:rFonts w:ascii="Arial" w:hAnsi="Arial" w:cs="Arial"/>
        </w:rPr>
        <w:t xml:space="preserve"> </w:t>
      </w:r>
      <w:r>
        <w:rPr>
          <w:rFonts w:ascii="Arial" w:hAnsi="Arial" w:cs="Arial"/>
        </w:rPr>
        <w:t>a</w:t>
      </w:r>
      <w:r w:rsidRPr="007A0BB0">
        <w:rPr>
          <w:rFonts w:ascii="Arial" w:hAnsi="Arial" w:cs="Arial"/>
        </w:rPr>
        <w:t xml:space="preserve"> corrupt workforce</w:t>
      </w:r>
      <w:r w:rsidR="00BA592B">
        <w:rPr>
          <w:rFonts w:ascii="Arial" w:hAnsi="Arial" w:cs="Arial"/>
        </w:rPr>
        <w:t>,</w:t>
      </w:r>
      <w:r w:rsidRPr="007A0BB0">
        <w:rPr>
          <w:rFonts w:ascii="Arial" w:hAnsi="Arial" w:cs="Arial"/>
        </w:rPr>
        <w:t xml:space="preserve"> and the problem of </w:t>
      </w:r>
      <w:r>
        <w:rPr>
          <w:rFonts w:ascii="Arial" w:hAnsi="Arial" w:cs="Arial"/>
        </w:rPr>
        <w:t xml:space="preserve">the </w:t>
      </w:r>
      <w:r w:rsidRPr="007A0BB0">
        <w:rPr>
          <w:rFonts w:ascii="Arial" w:hAnsi="Arial" w:cs="Arial"/>
        </w:rPr>
        <w:t>repayment of loans by borrowers. The South African real estate development gets funding from institutional investors, the capital markets</w:t>
      </w:r>
      <w:r w:rsidR="00BA592B">
        <w:rPr>
          <w:rFonts w:ascii="Arial" w:hAnsi="Arial" w:cs="Arial"/>
        </w:rPr>
        <w:t>,</w:t>
      </w:r>
      <w:r w:rsidRPr="007A0BB0">
        <w:rPr>
          <w:rFonts w:ascii="Arial" w:hAnsi="Arial" w:cs="Arial"/>
        </w:rPr>
        <w:t xml:space="preserve"> and investors from Europe, other African countries</w:t>
      </w:r>
      <w:r w:rsidR="00BA592B">
        <w:rPr>
          <w:rFonts w:ascii="Arial" w:hAnsi="Arial" w:cs="Arial"/>
        </w:rPr>
        <w:t>,</w:t>
      </w:r>
      <w:r w:rsidRPr="007A0BB0">
        <w:rPr>
          <w:rFonts w:ascii="Arial" w:hAnsi="Arial" w:cs="Arial"/>
        </w:rPr>
        <w:t xml:space="preserve"> and China. There is, however, a fall in the mortgage loans granted by financial institutions.</w:t>
      </w:r>
    </w:p>
    <w:p w14:paraId="0C50973D" w14:textId="77777777" w:rsidR="00CD6352" w:rsidRPr="007A0BB0" w:rsidRDefault="00CD6352" w:rsidP="00CD6352">
      <w:pPr>
        <w:spacing w:line="360" w:lineRule="auto"/>
        <w:rPr>
          <w:rFonts w:ascii="Arial" w:hAnsi="Arial" w:cs="Arial"/>
        </w:rPr>
      </w:pPr>
      <w:r w:rsidRPr="007A0BB0">
        <w:rPr>
          <w:rFonts w:ascii="Arial" w:hAnsi="Arial" w:cs="Arial"/>
        </w:rPr>
        <w:t>The following chapter presents a review and synthesis of the literature relevant to the research topic, and this also provides the theoretical background of this research.</w:t>
      </w:r>
    </w:p>
    <w:p w14:paraId="0AC6BBEE" w14:textId="77B7C8D4" w:rsidR="00CD6352" w:rsidRDefault="00CD6352" w:rsidP="00CD6352"/>
    <w:p w14:paraId="60A06B91" w14:textId="5982A31F" w:rsidR="000E7835" w:rsidRDefault="000E7835" w:rsidP="00CD6352"/>
    <w:p w14:paraId="03B8CF81" w14:textId="64894ED8" w:rsidR="000E7835" w:rsidRDefault="000E7835" w:rsidP="00CD6352"/>
    <w:p w14:paraId="02A2A205" w14:textId="450B3779" w:rsidR="000E7835" w:rsidRDefault="000E7835" w:rsidP="00CD6352"/>
    <w:p w14:paraId="5A5C00AF" w14:textId="2045C85A" w:rsidR="000E7835" w:rsidRDefault="000E7835" w:rsidP="00CD6352"/>
    <w:p w14:paraId="3023EBF4" w14:textId="6AB98A10" w:rsidR="000E7835" w:rsidRDefault="000E7835" w:rsidP="00CD6352"/>
    <w:p w14:paraId="6AF277FA" w14:textId="70ADF85C" w:rsidR="000E7835" w:rsidRDefault="000E7835" w:rsidP="00CD6352"/>
    <w:p w14:paraId="5D1DCCDE" w14:textId="41E1AF57" w:rsidR="000E7835" w:rsidRDefault="000E7835" w:rsidP="00CD6352"/>
    <w:p w14:paraId="0A107985" w14:textId="77777777" w:rsidR="000E7835" w:rsidRPr="00EA7665" w:rsidRDefault="000E7835" w:rsidP="00CD6352"/>
    <w:p w14:paraId="4D5799AD" w14:textId="2484585F" w:rsidR="00CD6352" w:rsidRPr="00EA7665" w:rsidRDefault="00C84E6D" w:rsidP="00CD6352">
      <w:pPr>
        <w:pStyle w:val="Heading1"/>
      </w:pPr>
      <w:bookmarkStart w:id="508" w:name="_Toc75725681"/>
      <w:bookmarkStart w:id="509" w:name="_Toc75725905"/>
      <w:bookmarkStart w:id="510" w:name="_Toc75726135"/>
      <w:bookmarkStart w:id="511" w:name="_Toc75726359"/>
      <w:bookmarkStart w:id="512" w:name="_Toc75726583"/>
      <w:bookmarkStart w:id="513" w:name="_Toc75726807"/>
      <w:bookmarkStart w:id="514" w:name="_Toc75727037"/>
      <w:bookmarkStart w:id="515" w:name="_Toc76023450"/>
      <w:bookmarkStart w:id="516" w:name="_Toc76212143"/>
      <w:bookmarkStart w:id="517" w:name="_Toc76330896"/>
      <w:bookmarkStart w:id="518" w:name="_Toc76331691"/>
      <w:bookmarkStart w:id="519" w:name="_Toc76331947"/>
      <w:bookmarkStart w:id="520" w:name="_Toc76460390"/>
      <w:bookmarkStart w:id="521" w:name="_Toc76494006"/>
      <w:bookmarkStart w:id="522" w:name="_Toc77600672"/>
      <w:bookmarkStart w:id="523" w:name="_Toc77939243"/>
      <w:bookmarkStart w:id="524" w:name="_Toc77949037"/>
      <w:bookmarkStart w:id="525" w:name="_Toc75725682"/>
      <w:bookmarkStart w:id="526" w:name="_Toc75725906"/>
      <w:bookmarkStart w:id="527" w:name="_Toc75726136"/>
      <w:bookmarkStart w:id="528" w:name="_Toc75726360"/>
      <w:bookmarkStart w:id="529" w:name="_Toc75726584"/>
      <w:bookmarkStart w:id="530" w:name="_Toc75726808"/>
      <w:bookmarkStart w:id="531" w:name="_Toc75727038"/>
      <w:bookmarkStart w:id="532" w:name="_Toc76023451"/>
      <w:bookmarkStart w:id="533" w:name="_Toc76212144"/>
      <w:bookmarkStart w:id="534" w:name="_Toc76330897"/>
      <w:bookmarkStart w:id="535" w:name="_Toc76331692"/>
      <w:bookmarkStart w:id="536" w:name="_Toc76331948"/>
      <w:bookmarkStart w:id="537" w:name="_Toc76460391"/>
      <w:bookmarkStart w:id="538" w:name="_Toc76476067"/>
      <w:bookmarkStart w:id="539" w:name="_Toc76494007"/>
      <w:bookmarkStart w:id="540" w:name="_Toc77600673"/>
      <w:bookmarkStart w:id="541" w:name="_Toc77939244"/>
      <w:bookmarkStart w:id="542" w:name="_Toc77949038"/>
      <w:bookmarkStart w:id="543" w:name="_Toc75725683"/>
      <w:bookmarkStart w:id="544" w:name="_Toc75725907"/>
      <w:bookmarkStart w:id="545" w:name="_Toc75726137"/>
      <w:bookmarkStart w:id="546" w:name="_Toc75726361"/>
      <w:bookmarkStart w:id="547" w:name="_Toc75726585"/>
      <w:bookmarkStart w:id="548" w:name="_Toc75726809"/>
      <w:bookmarkStart w:id="549" w:name="_Toc75727039"/>
      <w:bookmarkStart w:id="550" w:name="_Toc76023452"/>
      <w:bookmarkStart w:id="551" w:name="_Toc76212145"/>
      <w:bookmarkStart w:id="552" w:name="_Toc76330898"/>
      <w:bookmarkStart w:id="553" w:name="_Toc76331693"/>
      <w:bookmarkStart w:id="554" w:name="_Toc76331949"/>
      <w:bookmarkStart w:id="555" w:name="_Toc76460392"/>
      <w:bookmarkStart w:id="556" w:name="_Toc76476068"/>
      <w:bookmarkStart w:id="557" w:name="_Toc76494008"/>
      <w:bookmarkStart w:id="558" w:name="_Toc77600674"/>
      <w:bookmarkStart w:id="559" w:name="_Toc77939245"/>
      <w:bookmarkStart w:id="560" w:name="_Toc77949039"/>
      <w:bookmarkStart w:id="561" w:name="_Toc75725684"/>
      <w:bookmarkStart w:id="562" w:name="_Toc75725908"/>
      <w:bookmarkStart w:id="563" w:name="_Toc75726138"/>
      <w:bookmarkStart w:id="564" w:name="_Toc75726362"/>
      <w:bookmarkStart w:id="565" w:name="_Toc75726586"/>
      <w:bookmarkStart w:id="566" w:name="_Toc75726810"/>
      <w:bookmarkStart w:id="567" w:name="_Toc75727040"/>
      <w:bookmarkStart w:id="568" w:name="_Toc76023453"/>
      <w:bookmarkStart w:id="569" w:name="_Toc76212146"/>
      <w:bookmarkStart w:id="570" w:name="_Toc76330899"/>
      <w:bookmarkStart w:id="571" w:name="_Toc76331694"/>
      <w:bookmarkStart w:id="572" w:name="_Toc76331950"/>
      <w:bookmarkStart w:id="573" w:name="_Toc76460393"/>
      <w:bookmarkStart w:id="574" w:name="_Toc76476069"/>
      <w:bookmarkStart w:id="575" w:name="_Toc76494009"/>
      <w:bookmarkStart w:id="576" w:name="_Toc77600675"/>
      <w:bookmarkStart w:id="577" w:name="_Toc77939246"/>
      <w:bookmarkStart w:id="578" w:name="_Toc77949040"/>
      <w:bookmarkStart w:id="579" w:name="_Toc75725685"/>
      <w:bookmarkStart w:id="580" w:name="_Toc75725909"/>
      <w:bookmarkStart w:id="581" w:name="_Toc75726139"/>
      <w:bookmarkStart w:id="582" w:name="_Toc75726363"/>
      <w:bookmarkStart w:id="583" w:name="_Toc75726587"/>
      <w:bookmarkStart w:id="584" w:name="_Toc75726811"/>
      <w:bookmarkStart w:id="585" w:name="_Toc75727041"/>
      <w:bookmarkStart w:id="586" w:name="_Toc76023454"/>
      <w:bookmarkStart w:id="587" w:name="_Toc76212147"/>
      <w:bookmarkStart w:id="588" w:name="_Toc76330900"/>
      <w:bookmarkStart w:id="589" w:name="_Toc76331695"/>
      <w:bookmarkStart w:id="590" w:name="_Toc76331951"/>
      <w:bookmarkStart w:id="591" w:name="_Toc76460394"/>
      <w:bookmarkStart w:id="592" w:name="_Toc76476070"/>
      <w:bookmarkStart w:id="593" w:name="_Toc76494010"/>
      <w:bookmarkStart w:id="594" w:name="_Toc77600676"/>
      <w:bookmarkStart w:id="595" w:name="_Toc77939247"/>
      <w:bookmarkStart w:id="596" w:name="_Toc77949041"/>
      <w:bookmarkStart w:id="597" w:name="_Toc75725686"/>
      <w:bookmarkStart w:id="598" w:name="_Toc75725910"/>
      <w:bookmarkStart w:id="599" w:name="_Toc75726140"/>
      <w:bookmarkStart w:id="600" w:name="_Toc75726364"/>
      <w:bookmarkStart w:id="601" w:name="_Toc75726588"/>
      <w:bookmarkStart w:id="602" w:name="_Toc75726812"/>
      <w:bookmarkStart w:id="603" w:name="_Toc75727042"/>
      <w:bookmarkStart w:id="604" w:name="_Toc76023455"/>
      <w:bookmarkStart w:id="605" w:name="_Toc76212148"/>
      <w:bookmarkStart w:id="606" w:name="_Toc76330901"/>
      <w:bookmarkStart w:id="607" w:name="_Toc76331696"/>
      <w:bookmarkStart w:id="608" w:name="_Toc76331952"/>
      <w:bookmarkStart w:id="609" w:name="_Toc76460395"/>
      <w:bookmarkStart w:id="610" w:name="_Toc76476071"/>
      <w:bookmarkStart w:id="611" w:name="_Toc76494011"/>
      <w:bookmarkStart w:id="612" w:name="_Toc77600677"/>
      <w:bookmarkStart w:id="613" w:name="_Toc77939248"/>
      <w:bookmarkStart w:id="614" w:name="_Toc77949042"/>
      <w:bookmarkStart w:id="615" w:name="_Toc75725687"/>
      <w:bookmarkStart w:id="616" w:name="_Toc75725911"/>
      <w:bookmarkStart w:id="617" w:name="_Toc75726141"/>
      <w:bookmarkStart w:id="618" w:name="_Toc75726365"/>
      <w:bookmarkStart w:id="619" w:name="_Toc75726589"/>
      <w:bookmarkStart w:id="620" w:name="_Toc75726813"/>
      <w:bookmarkStart w:id="621" w:name="_Toc75727043"/>
      <w:bookmarkStart w:id="622" w:name="_Toc76023456"/>
      <w:bookmarkStart w:id="623" w:name="_Toc76212149"/>
      <w:bookmarkStart w:id="624" w:name="_Toc76330902"/>
      <w:bookmarkStart w:id="625" w:name="_Toc76331697"/>
      <w:bookmarkStart w:id="626" w:name="_Toc76331953"/>
      <w:bookmarkStart w:id="627" w:name="_Toc76460396"/>
      <w:bookmarkStart w:id="628" w:name="_Toc76476072"/>
      <w:bookmarkStart w:id="629" w:name="_Toc76494012"/>
      <w:bookmarkStart w:id="630" w:name="_Toc77600678"/>
      <w:bookmarkStart w:id="631" w:name="_Toc77939249"/>
      <w:bookmarkStart w:id="632" w:name="_Toc77949043"/>
      <w:bookmarkStart w:id="633" w:name="_Toc75725688"/>
      <w:bookmarkStart w:id="634" w:name="_Toc75725912"/>
      <w:bookmarkStart w:id="635" w:name="_Toc75726142"/>
      <w:bookmarkStart w:id="636" w:name="_Toc75726366"/>
      <w:bookmarkStart w:id="637" w:name="_Toc75726590"/>
      <w:bookmarkStart w:id="638" w:name="_Toc75726814"/>
      <w:bookmarkStart w:id="639" w:name="_Toc75727044"/>
      <w:bookmarkStart w:id="640" w:name="_Toc76023457"/>
      <w:bookmarkStart w:id="641" w:name="_Toc76212150"/>
      <w:bookmarkStart w:id="642" w:name="_Toc76330903"/>
      <w:bookmarkStart w:id="643" w:name="_Toc76331698"/>
      <w:bookmarkStart w:id="644" w:name="_Toc76331954"/>
      <w:bookmarkStart w:id="645" w:name="_Toc76460397"/>
      <w:bookmarkStart w:id="646" w:name="_Toc76476073"/>
      <w:bookmarkStart w:id="647" w:name="_Toc76494013"/>
      <w:bookmarkStart w:id="648" w:name="_Toc77600679"/>
      <w:bookmarkStart w:id="649" w:name="_Toc77939250"/>
      <w:bookmarkStart w:id="650" w:name="_Toc77949044"/>
      <w:bookmarkStart w:id="651" w:name="_Toc75725689"/>
      <w:bookmarkStart w:id="652" w:name="_Toc75725913"/>
      <w:bookmarkStart w:id="653" w:name="_Toc75726143"/>
      <w:bookmarkStart w:id="654" w:name="_Toc75726367"/>
      <w:bookmarkStart w:id="655" w:name="_Toc75726591"/>
      <w:bookmarkStart w:id="656" w:name="_Toc75726815"/>
      <w:bookmarkStart w:id="657" w:name="_Toc75727045"/>
      <w:bookmarkStart w:id="658" w:name="_Toc76023458"/>
      <w:bookmarkStart w:id="659" w:name="_Toc76212151"/>
      <w:bookmarkStart w:id="660" w:name="_Toc76330904"/>
      <w:bookmarkStart w:id="661" w:name="_Toc76331699"/>
      <w:bookmarkStart w:id="662" w:name="_Toc76331955"/>
      <w:bookmarkStart w:id="663" w:name="_Toc76460398"/>
      <w:bookmarkStart w:id="664" w:name="_Toc76476074"/>
      <w:bookmarkStart w:id="665" w:name="_Toc76494014"/>
      <w:bookmarkStart w:id="666" w:name="_Toc77600680"/>
      <w:bookmarkStart w:id="667" w:name="_Toc77939251"/>
      <w:bookmarkStart w:id="668" w:name="_Toc77949045"/>
      <w:bookmarkStart w:id="669" w:name="_Toc75725690"/>
      <w:bookmarkStart w:id="670" w:name="_Toc75725914"/>
      <w:bookmarkStart w:id="671" w:name="_Toc75726144"/>
      <w:bookmarkStart w:id="672" w:name="_Toc75726368"/>
      <w:bookmarkStart w:id="673" w:name="_Toc75726592"/>
      <w:bookmarkStart w:id="674" w:name="_Toc75726816"/>
      <w:bookmarkStart w:id="675" w:name="_Toc75727046"/>
      <w:bookmarkStart w:id="676" w:name="_Toc76023459"/>
      <w:bookmarkStart w:id="677" w:name="_Toc76212152"/>
      <w:bookmarkStart w:id="678" w:name="_Toc76330905"/>
      <w:bookmarkStart w:id="679" w:name="_Toc76331700"/>
      <w:bookmarkStart w:id="680" w:name="_Toc76331956"/>
      <w:bookmarkStart w:id="681" w:name="_Toc76460399"/>
      <w:bookmarkStart w:id="682" w:name="_Toc76476075"/>
      <w:bookmarkStart w:id="683" w:name="_Toc76494015"/>
      <w:bookmarkStart w:id="684" w:name="_Toc77600681"/>
      <w:bookmarkStart w:id="685" w:name="_Toc77939252"/>
      <w:bookmarkStart w:id="686" w:name="_Toc77949046"/>
      <w:bookmarkStart w:id="687" w:name="_Toc75725691"/>
      <w:bookmarkStart w:id="688" w:name="_Toc75725915"/>
      <w:bookmarkStart w:id="689" w:name="_Toc75726145"/>
      <w:bookmarkStart w:id="690" w:name="_Toc75726369"/>
      <w:bookmarkStart w:id="691" w:name="_Toc75726593"/>
      <w:bookmarkStart w:id="692" w:name="_Toc75726817"/>
      <w:bookmarkStart w:id="693" w:name="_Toc75727047"/>
      <w:bookmarkStart w:id="694" w:name="_Toc76023460"/>
      <w:bookmarkStart w:id="695" w:name="_Toc76212153"/>
      <w:bookmarkStart w:id="696" w:name="_Toc76330906"/>
      <w:bookmarkStart w:id="697" w:name="_Toc76331701"/>
      <w:bookmarkStart w:id="698" w:name="_Toc76331957"/>
      <w:bookmarkStart w:id="699" w:name="_Toc76460400"/>
      <w:bookmarkStart w:id="700" w:name="_Toc76476076"/>
      <w:bookmarkStart w:id="701" w:name="_Toc76494016"/>
      <w:bookmarkStart w:id="702" w:name="_Toc77600682"/>
      <w:bookmarkStart w:id="703" w:name="_Toc77939253"/>
      <w:bookmarkStart w:id="704" w:name="_Toc77949047"/>
      <w:bookmarkStart w:id="705" w:name="_Toc75725692"/>
      <w:bookmarkStart w:id="706" w:name="_Toc75725916"/>
      <w:bookmarkStart w:id="707" w:name="_Toc75726146"/>
      <w:bookmarkStart w:id="708" w:name="_Toc75726370"/>
      <w:bookmarkStart w:id="709" w:name="_Toc75726594"/>
      <w:bookmarkStart w:id="710" w:name="_Toc75726818"/>
      <w:bookmarkStart w:id="711" w:name="_Toc75727048"/>
      <w:bookmarkStart w:id="712" w:name="_Toc76023461"/>
      <w:bookmarkStart w:id="713" w:name="_Toc76212154"/>
      <w:bookmarkStart w:id="714" w:name="_Toc76330907"/>
      <w:bookmarkStart w:id="715" w:name="_Toc76331702"/>
      <w:bookmarkStart w:id="716" w:name="_Toc76331958"/>
      <w:bookmarkStart w:id="717" w:name="_Toc76460401"/>
      <w:bookmarkStart w:id="718" w:name="_Toc76476077"/>
      <w:bookmarkStart w:id="719" w:name="_Toc76494017"/>
      <w:bookmarkStart w:id="720" w:name="_Toc77600683"/>
      <w:bookmarkStart w:id="721" w:name="_Toc77939254"/>
      <w:bookmarkStart w:id="722" w:name="_Toc77949048"/>
      <w:bookmarkStart w:id="723" w:name="_Toc75725693"/>
      <w:bookmarkStart w:id="724" w:name="_Toc75725917"/>
      <w:bookmarkStart w:id="725" w:name="_Toc75726147"/>
      <w:bookmarkStart w:id="726" w:name="_Toc75726371"/>
      <w:bookmarkStart w:id="727" w:name="_Toc75726595"/>
      <w:bookmarkStart w:id="728" w:name="_Toc75726819"/>
      <w:bookmarkStart w:id="729" w:name="_Toc75727049"/>
      <w:bookmarkStart w:id="730" w:name="_Toc76023462"/>
      <w:bookmarkStart w:id="731" w:name="_Toc76212155"/>
      <w:bookmarkStart w:id="732" w:name="_Toc76330908"/>
      <w:bookmarkStart w:id="733" w:name="_Toc76331703"/>
      <w:bookmarkStart w:id="734" w:name="_Toc76331959"/>
      <w:bookmarkStart w:id="735" w:name="_Toc76460402"/>
      <w:bookmarkStart w:id="736" w:name="_Toc76476078"/>
      <w:bookmarkStart w:id="737" w:name="_Toc76494018"/>
      <w:bookmarkStart w:id="738" w:name="_Toc77600684"/>
      <w:bookmarkStart w:id="739" w:name="_Toc77939255"/>
      <w:bookmarkStart w:id="740" w:name="_Toc77949049"/>
      <w:bookmarkStart w:id="741" w:name="_Toc75725694"/>
      <w:bookmarkStart w:id="742" w:name="_Toc75725918"/>
      <w:bookmarkStart w:id="743" w:name="_Toc75726148"/>
      <w:bookmarkStart w:id="744" w:name="_Toc75726372"/>
      <w:bookmarkStart w:id="745" w:name="_Toc75726596"/>
      <w:bookmarkStart w:id="746" w:name="_Toc75726820"/>
      <w:bookmarkStart w:id="747" w:name="_Toc75727050"/>
      <w:bookmarkStart w:id="748" w:name="_Toc76023463"/>
      <w:bookmarkStart w:id="749" w:name="_Toc76212156"/>
      <w:bookmarkStart w:id="750" w:name="_Toc76330909"/>
      <w:bookmarkStart w:id="751" w:name="_Toc76331704"/>
      <w:bookmarkStart w:id="752" w:name="_Toc76331960"/>
      <w:bookmarkStart w:id="753" w:name="_Toc76460403"/>
      <w:bookmarkStart w:id="754" w:name="_Toc76476079"/>
      <w:bookmarkStart w:id="755" w:name="_Toc76494019"/>
      <w:bookmarkStart w:id="756" w:name="_Toc77600685"/>
      <w:bookmarkStart w:id="757" w:name="_Toc77939256"/>
      <w:bookmarkStart w:id="758" w:name="_Toc77949050"/>
      <w:bookmarkStart w:id="759" w:name="_Toc78983788"/>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lastRenderedPageBreak/>
        <w:t>Li</w:t>
      </w:r>
      <w:r w:rsidR="00796527">
        <w:t xml:space="preserve">terature </w:t>
      </w:r>
      <w:r w:rsidR="008A0183">
        <w:t xml:space="preserve">Review </w:t>
      </w:r>
      <w:r w:rsidR="00796527">
        <w:t>(2)</w:t>
      </w:r>
      <w:bookmarkEnd w:id="759"/>
    </w:p>
    <w:p w14:paraId="34AF56E4" w14:textId="77777777" w:rsidR="00CD6352" w:rsidRPr="00EA7665" w:rsidRDefault="00CD6352" w:rsidP="00CD6352">
      <w:pPr>
        <w:pStyle w:val="Heading2"/>
        <w:spacing w:after="240"/>
        <w:rPr>
          <w:sz w:val="22"/>
          <w:szCs w:val="22"/>
        </w:rPr>
      </w:pPr>
      <w:bookmarkStart w:id="760" w:name="_Toc78983789"/>
      <w:r w:rsidRPr="00EA7665">
        <w:rPr>
          <w:sz w:val="22"/>
          <w:szCs w:val="22"/>
        </w:rPr>
        <w:t>Introduction</w:t>
      </w:r>
      <w:bookmarkEnd w:id="760"/>
      <w:r w:rsidRPr="00EA7665">
        <w:rPr>
          <w:sz w:val="22"/>
          <w:szCs w:val="22"/>
        </w:rPr>
        <w:t xml:space="preserve"> </w:t>
      </w:r>
    </w:p>
    <w:p w14:paraId="16A1BA81" w14:textId="2C80FC01" w:rsidR="009C20DA" w:rsidRPr="0042586E" w:rsidRDefault="00CD6352" w:rsidP="00CD6352">
      <w:pPr>
        <w:spacing w:line="360" w:lineRule="auto"/>
        <w:jc w:val="both"/>
        <w:rPr>
          <w:rFonts w:ascii="Arial" w:hAnsi="Arial" w:cs="Arial"/>
        </w:rPr>
      </w:pPr>
      <w:r w:rsidRPr="008D3488">
        <w:rPr>
          <w:rFonts w:ascii="Arial" w:hAnsi="Arial" w:cs="Arial"/>
        </w:rPr>
        <w:t>Th</w:t>
      </w:r>
      <w:r w:rsidR="0064700F" w:rsidRPr="008D3488">
        <w:rPr>
          <w:rFonts w:ascii="Arial" w:hAnsi="Arial" w:cs="Arial"/>
        </w:rPr>
        <w:t>is chapter aim</w:t>
      </w:r>
      <w:r w:rsidRPr="008D3488">
        <w:rPr>
          <w:rFonts w:ascii="Arial" w:hAnsi="Arial" w:cs="Arial"/>
        </w:rPr>
        <w:t xml:space="preserve">s to review and discuss the relevant theoretical and empirical literature </w:t>
      </w:r>
      <w:r w:rsidR="004D3AF2" w:rsidRPr="008D3488">
        <w:rPr>
          <w:rFonts w:ascii="Arial" w:hAnsi="Arial" w:cs="Arial"/>
        </w:rPr>
        <w:t>focused on the research objectives</w:t>
      </w:r>
      <w:r w:rsidRPr="008D3488">
        <w:rPr>
          <w:rFonts w:ascii="Arial" w:hAnsi="Arial" w:cs="Arial"/>
        </w:rPr>
        <w:t>. It begins with a review of some theories on the determination of finance for real estate project development and then a review of literature on finance sources, criteria required by financiers, critical success factors, challenges and opportunities for real estate project financing, processes</w:t>
      </w:r>
      <w:r w:rsidR="00856DDA" w:rsidRPr="008D3488">
        <w:rPr>
          <w:rFonts w:ascii="Arial" w:hAnsi="Arial" w:cs="Arial"/>
        </w:rPr>
        <w:t>,</w:t>
      </w:r>
      <w:r w:rsidRPr="008D3488">
        <w:rPr>
          <w:rFonts w:ascii="Arial" w:hAnsi="Arial" w:cs="Arial"/>
        </w:rPr>
        <w:t xml:space="preserve"> and key decisions in securing</w:t>
      </w:r>
      <w:r w:rsidRPr="0042586E">
        <w:rPr>
          <w:rFonts w:ascii="Arial" w:hAnsi="Arial" w:cs="Arial"/>
        </w:rPr>
        <w:t xml:space="preserve"> finance for real estate project development. Secondly, it reviewed key theories and practice</w:t>
      </w:r>
      <w:r w:rsidR="00856DDA">
        <w:rPr>
          <w:rFonts w:ascii="Arial" w:hAnsi="Arial" w:cs="Arial"/>
        </w:rPr>
        <w:t>s</w:t>
      </w:r>
      <w:r w:rsidRPr="0042586E">
        <w:rPr>
          <w:rFonts w:ascii="Arial" w:hAnsi="Arial" w:cs="Arial"/>
        </w:rPr>
        <w:t xml:space="preserve"> of skills, knowledge, competences, career path, training, and education for securing finance for real estate project development.</w:t>
      </w:r>
      <w:r w:rsidR="00D114CD">
        <w:rPr>
          <w:rFonts w:ascii="Arial" w:hAnsi="Arial" w:cs="Arial"/>
        </w:rPr>
        <w:t xml:space="preserve"> This chapter also developed the </w:t>
      </w:r>
      <w:r w:rsidR="008D3488">
        <w:rPr>
          <w:rFonts w:ascii="Arial" w:hAnsi="Arial" w:cs="Arial"/>
        </w:rPr>
        <w:t xml:space="preserve">initial </w:t>
      </w:r>
      <w:r w:rsidR="00D114CD">
        <w:rPr>
          <w:rFonts w:ascii="Arial" w:hAnsi="Arial" w:cs="Arial"/>
        </w:rPr>
        <w:t xml:space="preserve">conceptual model </w:t>
      </w:r>
      <w:r w:rsidR="0064700F">
        <w:rPr>
          <w:rFonts w:ascii="Arial" w:hAnsi="Arial" w:cs="Arial"/>
        </w:rPr>
        <w:t>that provided a platform for developing</w:t>
      </w:r>
      <w:r w:rsidR="00D114CD">
        <w:rPr>
          <w:rFonts w:ascii="Arial" w:hAnsi="Arial" w:cs="Arial"/>
        </w:rPr>
        <w:t xml:space="preserve"> the toolkit for securing finance for real estate project development in chapter 10.</w:t>
      </w:r>
      <w:r w:rsidR="00856DDA">
        <w:rPr>
          <w:rFonts w:ascii="Arial" w:hAnsi="Arial" w:cs="Arial"/>
        </w:rPr>
        <w:t xml:space="preserve"> </w:t>
      </w:r>
    </w:p>
    <w:p w14:paraId="0F4D544F" w14:textId="12F0A6F6" w:rsidR="00CD6352" w:rsidRPr="00EA7665" w:rsidRDefault="00CD6352" w:rsidP="00CD6352">
      <w:pPr>
        <w:pStyle w:val="Heading2"/>
        <w:spacing w:after="240"/>
        <w:rPr>
          <w:sz w:val="22"/>
          <w:szCs w:val="22"/>
        </w:rPr>
      </w:pPr>
      <w:bookmarkStart w:id="761" w:name="_Toc78983790"/>
      <w:r>
        <w:rPr>
          <w:sz w:val="22"/>
          <w:szCs w:val="22"/>
        </w:rPr>
        <w:t xml:space="preserve">Finance options for real estate project development – a review of </w:t>
      </w:r>
      <w:r w:rsidR="007D1621">
        <w:rPr>
          <w:sz w:val="22"/>
          <w:szCs w:val="22"/>
        </w:rPr>
        <w:t xml:space="preserve">theoretical </w:t>
      </w:r>
      <w:r>
        <w:rPr>
          <w:sz w:val="22"/>
          <w:szCs w:val="22"/>
        </w:rPr>
        <w:t>literature</w:t>
      </w:r>
      <w:bookmarkEnd w:id="761"/>
      <w:r>
        <w:rPr>
          <w:sz w:val="22"/>
          <w:szCs w:val="22"/>
        </w:rPr>
        <w:t xml:space="preserve"> </w:t>
      </w:r>
    </w:p>
    <w:p w14:paraId="3DBA4C27" w14:textId="18F003B4" w:rsidR="001B1738" w:rsidRDefault="001B1738" w:rsidP="007625E7">
      <w:pPr>
        <w:spacing w:line="360" w:lineRule="auto"/>
        <w:jc w:val="both"/>
        <w:rPr>
          <w:rFonts w:ascii="Arial" w:hAnsi="Arial" w:cs="Arial"/>
        </w:rPr>
      </w:pPr>
      <w:r>
        <w:rPr>
          <w:rFonts w:ascii="Arial" w:hAnsi="Arial" w:cs="Arial"/>
        </w:rPr>
        <w:t xml:space="preserve">This section provides </w:t>
      </w:r>
      <w:r w:rsidR="0089665D">
        <w:rPr>
          <w:rFonts w:ascii="Arial" w:hAnsi="Arial" w:cs="Arial"/>
        </w:rPr>
        <w:t xml:space="preserve">a </w:t>
      </w:r>
      <w:r>
        <w:rPr>
          <w:rFonts w:ascii="Arial" w:hAnsi="Arial" w:cs="Arial"/>
        </w:rPr>
        <w:t>review of literature for the first part of th</w:t>
      </w:r>
      <w:r w:rsidR="0037040D">
        <w:rPr>
          <w:rFonts w:ascii="Arial" w:hAnsi="Arial" w:cs="Arial"/>
        </w:rPr>
        <w:t>is study's first objective,</w:t>
      </w:r>
      <w:r>
        <w:rPr>
          <w:rFonts w:ascii="Arial" w:hAnsi="Arial" w:cs="Arial"/>
        </w:rPr>
        <w:t xml:space="preserve"> which is </w:t>
      </w:r>
      <w:r w:rsidR="00987A03">
        <w:rPr>
          <w:rFonts w:ascii="Arial" w:hAnsi="Arial" w:cs="Arial"/>
        </w:rPr>
        <w:t>“to</w:t>
      </w:r>
      <w:r w:rsidRPr="00BF1C35">
        <w:rPr>
          <w:rFonts w:ascii="Arial" w:hAnsi="Arial" w:cs="Arial"/>
        </w:rPr>
        <w:t xml:space="preserve"> examine the various real estate finance options/ instruments for real estate project development</w:t>
      </w:r>
      <w:r>
        <w:rPr>
          <w:rFonts w:ascii="Arial" w:hAnsi="Arial" w:cs="Arial"/>
        </w:rPr>
        <w:t xml:space="preserve">”. It also attempts to </w:t>
      </w:r>
      <w:r w:rsidR="0037040D">
        <w:rPr>
          <w:rFonts w:ascii="Arial" w:hAnsi="Arial" w:cs="Arial"/>
        </w:rPr>
        <w:t>answer the first part of the first research question</w:t>
      </w:r>
      <w:r w:rsidRPr="001B1738">
        <w:rPr>
          <w:rFonts w:ascii="Arial" w:hAnsi="Arial" w:cs="Arial"/>
        </w:rPr>
        <w:t>, “what are the various real estate finance options/ instruments for real estate project development? “.</w:t>
      </w:r>
      <w:r>
        <w:rPr>
          <w:rFonts w:ascii="Arial" w:hAnsi="Arial" w:cs="Arial"/>
        </w:rPr>
        <w:t xml:space="preserve"> This will contribute to </w:t>
      </w:r>
      <w:r w:rsidR="0037040D">
        <w:rPr>
          <w:rFonts w:ascii="Arial" w:hAnsi="Arial" w:cs="Arial"/>
        </w:rPr>
        <w:t>developing the toolkit for securing finance for real estate project development</w:t>
      </w:r>
      <w:r w:rsidR="0095032A">
        <w:rPr>
          <w:rFonts w:ascii="Arial" w:hAnsi="Arial" w:cs="Arial"/>
        </w:rPr>
        <w:t>. I</w:t>
      </w:r>
      <w:r w:rsidR="0037040D">
        <w:rPr>
          <w:rFonts w:ascii="Arial" w:hAnsi="Arial" w:cs="Arial"/>
        </w:rPr>
        <w:t>t provides platforms and variables</w:t>
      </w:r>
      <w:r w:rsidR="0089665D">
        <w:rPr>
          <w:rFonts w:ascii="Arial" w:hAnsi="Arial" w:cs="Arial"/>
        </w:rPr>
        <w:t xml:space="preserve"> tested through semi</w:t>
      </w:r>
      <w:r w:rsidR="0010737D">
        <w:rPr>
          <w:rFonts w:ascii="Arial" w:hAnsi="Arial" w:cs="Arial"/>
        </w:rPr>
        <w:t>-</w:t>
      </w:r>
      <w:r w:rsidR="0089665D">
        <w:rPr>
          <w:rFonts w:ascii="Arial" w:hAnsi="Arial" w:cs="Arial"/>
        </w:rPr>
        <w:t>structured interviews and questionnaire</w:t>
      </w:r>
      <w:r w:rsidR="0010737D">
        <w:rPr>
          <w:rFonts w:ascii="Arial" w:hAnsi="Arial" w:cs="Arial"/>
        </w:rPr>
        <w:t>s</w:t>
      </w:r>
      <w:r w:rsidR="0089665D">
        <w:rPr>
          <w:rFonts w:ascii="Arial" w:hAnsi="Arial" w:cs="Arial"/>
        </w:rPr>
        <w:t xml:space="preserve"> administered on </w:t>
      </w:r>
      <w:r w:rsidR="0010737D">
        <w:rPr>
          <w:rFonts w:ascii="Arial" w:hAnsi="Arial" w:cs="Arial"/>
        </w:rPr>
        <w:t>R</w:t>
      </w:r>
      <w:r w:rsidR="0089665D">
        <w:rPr>
          <w:rFonts w:ascii="Arial" w:hAnsi="Arial" w:cs="Arial"/>
        </w:rPr>
        <w:t>eal estate managers in the developed and emerging economies</w:t>
      </w:r>
      <w:r w:rsidR="001332B0">
        <w:rPr>
          <w:rFonts w:ascii="Arial" w:hAnsi="Arial" w:cs="Arial"/>
        </w:rPr>
        <w:t xml:space="preserve"> </w:t>
      </w:r>
      <w:r w:rsidR="00F3221B">
        <w:rPr>
          <w:rFonts w:ascii="Arial" w:hAnsi="Arial" w:cs="Arial"/>
        </w:rPr>
        <w:t>in chapter 5.</w:t>
      </w:r>
    </w:p>
    <w:p w14:paraId="24A81AFD" w14:textId="567F1620" w:rsidR="00CD6352" w:rsidRPr="00EA7665" w:rsidRDefault="00CD6352" w:rsidP="00CD6352">
      <w:pPr>
        <w:spacing w:after="0" w:line="360" w:lineRule="auto"/>
        <w:jc w:val="both"/>
        <w:rPr>
          <w:rFonts w:ascii="Arial" w:hAnsi="Arial" w:cs="Arial"/>
        </w:rPr>
      </w:pPr>
      <w:r w:rsidRPr="00EA7665">
        <w:rPr>
          <w:rFonts w:ascii="Arial" w:hAnsi="Arial" w:cs="Arial"/>
        </w:rPr>
        <w:t xml:space="preserve">The research considers the following theories </w:t>
      </w:r>
      <w:r w:rsidR="0037040D">
        <w:rPr>
          <w:rFonts w:ascii="Arial" w:hAnsi="Arial" w:cs="Arial"/>
        </w:rPr>
        <w:t>vital</w:t>
      </w:r>
      <w:r w:rsidRPr="00EA7665">
        <w:rPr>
          <w:rFonts w:ascii="Arial" w:hAnsi="Arial" w:cs="Arial"/>
        </w:rPr>
        <w:t xml:space="preserve"> for discussions on real estate project</w:t>
      </w:r>
      <w:r>
        <w:rPr>
          <w:rFonts w:ascii="Arial" w:hAnsi="Arial" w:cs="Arial"/>
        </w:rPr>
        <w:t xml:space="preserve"> </w:t>
      </w:r>
      <w:r w:rsidR="006B2338">
        <w:rPr>
          <w:rFonts w:ascii="Arial" w:hAnsi="Arial" w:cs="Arial"/>
        </w:rPr>
        <w:t xml:space="preserve">development </w:t>
      </w:r>
      <w:r w:rsidR="006B2338" w:rsidRPr="00EA7665">
        <w:rPr>
          <w:rFonts w:ascii="Arial" w:hAnsi="Arial" w:cs="Arial"/>
        </w:rPr>
        <w:t>finance</w:t>
      </w:r>
      <w:r w:rsidRPr="00EA7665">
        <w:rPr>
          <w:rFonts w:ascii="Arial" w:hAnsi="Arial" w:cs="Arial"/>
        </w:rPr>
        <w:t xml:space="preserve"> in the developed and emerging economies. The theories </w:t>
      </w:r>
      <w:r w:rsidR="0037040D">
        <w:rPr>
          <w:rFonts w:ascii="Arial" w:hAnsi="Arial" w:cs="Arial"/>
        </w:rPr>
        <w:t>provide a better understanding of</w:t>
      </w:r>
      <w:r w:rsidR="0064700F">
        <w:rPr>
          <w:rFonts w:ascii="Arial" w:hAnsi="Arial" w:cs="Arial"/>
        </w:rPr>
        <w:t xml:space="preserve"> </w:t>
      </w:r>
      <w:r w:rsidR="0037040D">
        <w:rPr>
          <w:rFonts w:ascii="Arial" w:hAnsi="Arial" w:cs="Arial"/>
        </w:rPr>
        <w:t>real estate project development finance</w:t>
      </w:r>
      <w:r w:rsidR="0064700F">
        <w:rPr>
          <w:rFonts w:ascii="Arial" w:hAnsi="Arial" w:cs="Arial"/>
        </w:rPr>
        <w:t xml:space="preserve"> and</w:t>
      </w:r>
      <w:r w:rsidRPr="00EA7665">
        <w:rPr>
          <w:rFonts w:ascii="Arial" w:hAnsi="Arial" w:cs="Arial"/>
        </w:rPr>
        <w:t xml:space="preserve"> explai</w:t>
      </w:r>
      <w:r>
        <w:rPr>
          <w:rFonts w:ascii="Arial" w:hAnsi="Arial" w:cs="Arial"/>
        </w:rPr>
        <w:t>n</w:t>
      </w:r>
      <w:r w:rsidRPr="00EA7665">
        <w:rPr>
          <w:rFonts w:ascii="Arial" w:hAnsi="Arial" w:cs="Arial"/>
        </w:rPr>
        <w:t xml:space="preserve"> the </w:t>
      </w:r>
      <w:r w:rsidR="00475B9B">
        <w:rPr>
          <w:rFonts w:ascii="Arial" w:hAnsi="Arial" w:cs="Arial"/>
        </w:rPr>
        <w:t>study's major constructs</w:t>
      </w:r>
      <w:r w:rsidR="0037040D">
        <w:rPr>
          <w:rFonts w:ascii="Arial" w:hAnsi="Arial" w:cs="Arial"/>
        </w:rPr>
        <w:t>.</w:t>
      </w:r>
    </w:p>
    <w:p w14:paraId="60202FE7" w14:textId="77777777" w:rsidR="00CD6352" w:rsidRPr="00EA7665" w:rsidRDefault="00CD6352" w:rsidP="00CD6352">
      <w:pPr>
        <w:spacing w:after="0" w:line="360" w:lineRule="auto"/>
        <w:jc w:val="both"/>
        <w:rPr>
          <w:rFonts w:ascii="Arial" w:hAnsi="Arial" w:cs="Arial"/>
        </w:rPr>
      </w:pPr>
      <w:r w:rsidRPr="00EA7665">
        <w:rPr>
          <w:rFonts w:ascii="Arial" w:hAnsi="Arial" w:cs="Arial"/>
          <w:b/>
        </w:rPr>
        <w:t>Key theory 1:</w:t>
      </w:r>
      <w:r w:rsidRPr="00EA7665">
        <w:rPr>
          <w:rFonts w:ascii="Arial" w:hAnsi="Arial" w:cs="Arial"/>
        </w:rPr>
        <w:t xml:space="preserve"> The pecking order theory of capital structure</w:t>
      </w:r>
    </w:p>
    <w:p w14:paraId="4DDAA282" w14:textId="77777777" w:rsidR="00CD6352" w:rsidRPr="00EA7665" w:rsidRDefault="00CD6352" w:rsidP="00CD6352">
      <w:pPr>
        <w:spacing w:after="0" w:line="360" w:lineRule="auto"/>
        <w:jc w:val="both"/>
        <w:rPr>
          <w:rFonts w:ascii="Arial" w:hAnsi="Arial" w:cs="Arial"/>
          <w:b/>
        </w:rPr>
      </w:pPr>
      <w:r w:rsidRPr="00EA7665">
        <w:rPr>
          <w:rFonts w:ascii="Arial" w:hAnsi="Arial" w:cs="Arial"/>
          <w:b/>
        </w:rPr>
        <w:t>Other theories:</w:t>
      </w:r>
    </w:p>
    <w:p w14:paraId="57993D27" w14:textId="77777777" w:rsidR="00CD6352" w:rsidRPr="00EA7665" w:rsidRDefault="00CD6352" w:rsidP="007625E7">
      <w:pPr>
        <w:pStyle w:val="ListParagraph"/>
        <w:numPr>
          <w:ilvl w:val="0"/>
          <w:numId w:val="366"/>
        </w:numPr>
        <w:spacing w:after="0" w:line="360" w:lineRule="auto"/>
        <w:jc w:val="both"/>
        <w:rPr>
          <w:rFonts w:ascii="Arial" w:hAnsi="Arial" w:cs="Arial"/>
        </w:rPr>
      </w:pPr>
      <w:r w:rsidRPr="00EA7665">
        <w:rPr>
          <w:rFonts w:ascii="Arial" w:hAnsi="Arial" w:cs="Arial"/>
        </w:rPr>
        <w:t>The trade-off theory of capital structure</w:t>
      </w:r>
    </w:p>
    <w:p w14:paraId="2CCBD889" w14:textId="77777777" w:rsidR="00CD6352" w:rsidRPr="00EA7665" w:rsidRDefault="00CD6352" w:rsidP="007625E7">
      <w:pPr>
        <w:pStyle w:val="ListParagraph"/>
        <w:numPr>
          <w:ilvl w:val="0"/>
          <w:numId w:val="366"/>
        </w:numPr>
        <w:spacing w:after="0" w:line="360" w:lineRule="auto"/>
        <w:jc w:val="both"/>
        <w:rPr>
          <w:rFonts w:ascii="Arial" w:hAnsi="Arial" w:cs="Arial"/>
        </w:rPr>
      </w:pPr>
      <w:r w:rsidRPr="00EA7665">
        <w:rPr>
          <w:rFonts w:ascii="Arial" w:hAnsi="Arial" w:cs="Arial"/>
        </w:rPr>
        <w:t>The market timing theory</w:t>
      </w:r>
    </w:p>
    <w:p w14:paraId="233ED1AB" w14:textId="77777777" w:rsidR="00CD6352" w:rsidRPr="00EA7665" w:rsidRDefault="00CD6352" w:rsidP="00CD6352">
      <w:pPr>
        <w:rPr>
          <w:rFonts w:ascii="Arial" w:hAnsi="Arial" w:cs="Arial"/>
          <w:b/>
        </w:rPr>
      </w:pPr>
      <w:r w:rsidRPr="00EA7665">
        <w:rPr>
          <w:rFonts w:ascii="Arial" w:hAnsi="Arial" w:cs="Arial"/>
          <w:b/>
        </w:rPr>
        <w:t>The pecking order theory (the critical/ key theory).</w:t>
      </w:r>
    </w:p>
    <w:p w14:paraId="3BFE550E" w14:textId="236ED20F" w:rsidR="00CD6352" w:rsidRPr="00EA7665" w:rsidRDefault="00CD6352" w:rsidP="00CD6352">
      <w:pPr>
        <w:spacing w:line="360" w:lineRule="auto"/>
        <w:jc w:val="both"/>
        <w:rPr>
          <w:rFonts w:ascii="Arial" w:hAnsi="Arial" w:cs="Arial"/>
        </w:rPr>
      </w:pPr>
      <w:r w:rsidRPr="00EA7665">
        <w:rPr>
          <w:rFonts w:ascii="Arial" w:hAnsi="Arial" w:cs="Arial"/>
        </w:rPr>
        <w:t xml:space="preserve">The Pecking order theory helps the manager choose their capital structure. </w:t>
      </w:r>
      <w:r w:rsidR="0064700F">
        <w:rPr>
          <w:rFonts w:ascii="Arial" w:hAnsi="Arial" w:cs="Arial"/>
        </w:rPr>
        <w:t xml:space="preserve">Donaldson (1961) suggested the </w:t>
      </w:r>
      <w:r w:rsidR="00516A04">
        <w:rPr>
          <w:rFonts w:ascii="Arial" w:hAnsi="Arial" w:cs="Arial"/>
        </w:rPr>
        <w:t xml:space="preserve">pecking </w:t>
      </w:r>
      <w:r w:rsidR="0064700F">
        <w:rPr>
          <w:rFonts w:ascii="Arial" w:hAnsi="Arial" w:cs="Arial"/>
        </w:rPr>
        <w:t>order theory</w:t>
      </w:r>
      <w:r w:rsidRPr="00EA7665">
        <w:rPr>
          <w:rFonts w:ascii="Arial" w:hAnsi="Arial" w:cs="Arial"/>
        </w:rPr>
        <w:t xml:space="preserve"> but popularised by Myers and Majluf (1984) where they argued that equity is</w:t>
      </w:r>
      <w:r>
        <w:rPr>
          <w:rFonts w:ascii="Arial" w:hAnsi="Arial" w:cs="Arial"/>
        </w:rPr>
        <w:t xml:space="preserve"> a</w:t>
      </w:r>
      <w:r w:rsidRPr="00EA7665">
        <w:rPr>
          <w:rFonts w:ascii="Arial" w:hAnsi="Arial" w:cs="Arial"/>
        </w:rPr>
        <w:t xml:space="preserve"> less preferred means of raising capital by managers. </w:t>
      </w:r>
      <w:r>
        <w:rPr>
          <w:rFonts w:ascii="Arial" w:hAnsi="Arial" w:cs="Arial"/>
        </w:rPr>
        <w:t>It</w:t>
      </w:r>
      <w:r w:rsidRPr="00EA7665">
        <w:rPr>
          <w:rFonts w:ascii="Arial" w:hAnsi="Arial" w:cs="Arial"/>
        </w:rPr>
        <w:t xml:space="preserve"> states that a company should prefer to</w:t>
      </w:r>
      <w:r>
        <w:rPr>
          <w:rFonts w:ascii="Arial" w:hAnsi="Arial" w:cs="Arial"/>
        </w:rPr>
        <w:t xml:space="preserve"> first</w:t>
      </w:r>
      <w:r w:rsidRPr="00EA7665">
        <w:rPr>
          <w:rFonts w:ascii="Arial" w:hAnsi="Arial" w:cs="Arial"/>
        </w:rPr>
        <w:t xml:space="preserve"> finance itself internally through retained earnings. If this </w:t>
      </w:r>
      <w:r w:rsidR="0064700F">
        <w:rPr>
          <w:rFonts w:ascii="Arial" w:hAnsi="Arial" w:cs="Arial"/>
        </w:rPr>
        <w:lastRenderedPageBreak/>
        <w:t>financing source is not available,</w:t>
      </w:r>
      <w:r w:rsidRPr="00EA7665">
        <w:rPr>
          <w:rFonts w:ascii="Arial" w:hAnsi="Arial" w:cs="Arial"/>
        </w:rPr>
        <w:t xml:space="preserve"> the company should also finance through debt and</w:t>
      </w:r>
      <w:r w:rsidR="002911C2">
        <w:rPr>
          <w:rFonts w:ascii="Arial" w:hAnsi="Arial" w:cs="Arial"/>
        </w:rPr>
        <w:t>,</w:t>
      </w:r>
      <w:r w:rsidRPr="00EA7665">
        <w:rPr>
          <w:rFonts w:ascii="Arial" w:hAnsi="Arial" w:cs="Arial"/>
        </w:rPr>
        <w:t xml:space="preserve"> finally</w:t>
      </w:r>
      <w:r>
        <w:rPr>
          <w:rFonts w:ascii="Arial" w:hAnsi="Arial" w:cs="Arial"/>
        </w:rPr>
        <w:t>,</w:t>
      </w:r>
      <w:r w:rsidRPr="00EA7665">
        <w:rPr>
          <w:rFonts w:ascii="Arial" w:hAnsi="Arial" w:cs="Arial"/>
        </w:rPr>
        <w:t xml:space="preserve"> or as a last resort</w:t>
      </w:r>
      <w:r>
        <w:rPr>
          <w:rFonts w:ascii="Arial" w:hAnsi="Arial" w:cs="Arial"/>
        </w:rPr>
        <w:t>,</w:t>
      </w:r>
      <w:r w:rsidRPr="00EA7665">
        <w:rPr>
          <w:rFonts w:ascii="Arial" w:hAnsi="Arial" w:cs="Arial"/>
        </w:rPr>
        <w:t xml:space="preserve"> through issuing new equity (Tarver, 2018).  Equity issuance is always the last resort for financing because, at this point, the company believes that it is no longer sensible to acquire more debt as raising more debt becomes risky for the firm. Furthermore, retained earnings will mean less or no transaction cost and issuing cost to the firm than the other two sources of finance. I</w:t>
      </w:r>
      <w:r w:rsidR="002911C2">
        <w:rPr>
          <w:rFonts w:ascii="Arial" w:hAnsi="Arial" w:cs="Arial"/>
        </w:rPr>
        <w:t>f necessary, issuing debt will be the second option</w:t>
      </w:r>
      <w:r w:rsidRPr="00EA7665">
        <w:rPr>
          <w:rFonts w:ascii="Arial" w:hAnsi="Arial" w:cs="Arial"/>
        </w:rPr>
        <w:t xml:space="preserve">, as it also requires lower information costs than equity (Le and Phan, 2017). </w:t>
      </w:r>
    </w:p>
    <w:p w14:paraId="2711BBF3" w14:textId="22CB54D3" w:rsidR="00CD6352" w:rsidRPr="00EA7665" w:rsidRDefault="00CD6352" w:rsidP="00CD6352">
      <w:pPr>
        <w:spacing w:line="360" w:lineRule="auto"/>
        <w:jc w:val="both"/>
        <w:rPr>
          <w:rFonts w:ascii="Arial" w:hAnsi="Arial" w:cs="Arial"/>
        </w:rPr>
      </w:pPr>
      <w:r w:rsidRPr="00EA7665">
        <w:rPr>
          <w:rFonts w:ascii="Arial" w:hAnsi="Arial" w:cs="Arial"/>
        </w:rPr>
        <w:t xml:space="preserve">According to Tarver (2018), the pecking order is important because it signals how the company is performing. If a company finances itself internally, that means it is strong. If the company finances itself through debt, it signals that the management is confident that the company can meet the debt obligation. If </w:t>
      </w:r>
      <w:r>
        <w:rPr>
          <w:rFonts w:ascii="Arial" w:hAnsi="Arial" w:cs="Arial"/>
        </w:rPr>
        <w:t>it</w:t>
      </w:r>
      <w:r w:rsidRPr="00EA7665">
        <w:rPr>
          <w:rFonts w:ascii="Arial" w:hAnsi="Arial" w:cs="Arial"/>
        </w:rPr>
        <w:t xml:space="preserve"> finances itself through issuing new stock, it could be a negative signal as the company thinks its stock is overvalued and seeks to make money before </w:t>
      </w:r>
      <w:r>
        <w:rPr>
          <w:rFonts w:ascii="Arial" w:hAnsi="Arial" w:cs="Arial"/>
        </w:rPr>
        <w:t xml:space="preserve">the </w:t>
      </w:r>
      <w:r w:rsidRPr="00EA7665">
        <w:rPr>
          <w:rFonts w:ascii="Arial" w:hAnsi="Arial" w:cs="Arial"/>
        </w:rPr>
        <w:t xml:space="preserve">share price </w:t>
      </w:r>
      <w:r>
        <w:rPr>
          <w:rFonts w:ascii="Arial" w:hAnsi="Arial" w:cs="Arial"/>
        </w:rPr>
        <w:t>falls</w:t>
      </w:r>
      <w:r w:rsidRPr="00EA7665">
        <w:rPr>
          <w:rFonts w:ascii="Arial" w:hAnsi="Arial" w:cs="Arial"/>
        </w:rPr>
        <w:t>. This theory is critical to this research because one of the elements of the study is investigating the finance sources used by managers in different countries</w:t>
      </w:r>
      <w:r>
        <w:rPr>
          <w:rFonts w:ascii="Arial" w:hAnsi="Arial" w:cs="Arial"/>
        </w:rPr>
        <w:t xml:space="preserve"> for real estate project development</w:t>
      </w:r>
      <w:r w:rsidRPr="00EA7665">
        <w:rPr>
          <w:rFonts w:ascii="Arial" w:hAnsi="Arial" w:cs="Arial"/>
        </w:rPr>
        <w:t xml:space="preserve">. The theory helps to understand the reason for </w:t>
      </w:r>
      <w:r w:rsidR="00721DEB">
        <w:rPr>
          <w:rFonts w:ascii="Arial" w:hAnsi="Arial" w:cs="Arial"/>
        </w:rPr>
        <w:t>various managers' finance source choice</w:t>
      </w:r>
      <w:r w:rsidRPr="00EA7665">
        <w:rPr>
          <w:rFonts w:ascii="Arial" w:hAnsi="Arial" w:cs="Arial"/>
        </w:rPr>
        <w:t>s in</w:t>
      </w:r>
      <w:r w:rsidR="002911C2">
        <w:rPr>
          <w:rFonts w:ascii="Arial" w:hAnsi="Arial" w:cs="Arial"/>
        </w:rPr>
        <w:t xml:space="preserve"> the selected</w:t>
      </w:r>
      <w:r w:rsidR="0064700F">
        <w:rPr>
          <w:rFonts w:ascii="Arial" w:hAnsi="Arial" w:cs="Arial"/>
        </w:rPr>
        <w:t xml:space="preserve"> countries' real estate sector</w:t>
      </w:r>
      <w:r w:rsidRPr="00EA7665">
        <w:rPr>
          <w:rFonts w:ascii="Arial" w:hAnsi="Arial" w:cs="Arial"/>
        </w:rPr>
        <w:t xml:space="preserve">s. </w:t>
      </w:r>
    </w:p>
    <w:p w14:paraId="6E642627" w14:textId="35184841" w:rsidR="00CD6352" w:rsidRPr="00EA7665" w:rsidRDefault="00CD6352" w:rsidP="00CD6352">
      <w:pPr>
        <w:spacing w:line="360" w:lineRule="auto"/>
        <w:jc w:val="both"/>
        <w:rPr>
          <w:rFonts w:ascii="Arial" w:hAnsi="Arial" w:cs="Arial"/>
        </w:rPr>
      </w:pPr>
      <w:r w:rsidRPr="00EA7665">
        <w:rPr>
          <w:rFonts w:ascii="Arial" w:hAnsi="Arial" w:cs="Arial"/>
        </w:rPr>
        <w:t>Several authors have tested the Perking order theory, and they have found it to be a good approximation of reality. However, it has not been proven to be the first order of importance in determining the firm’s capital structure</w:t>
      </w:r>
      <w:r>
        <w:rPr>
          <w:rFonts w:ascii="Arial" w:hAnsi="Arial" w:cs="Arial"/>
        </w:rPr>
        <w:t xml:space="preserve">. </w:t>
      </w:r>
      <w:r w:rsidRPr="00EA7665">
        <w:rPr>
          <w:rFonts w:ascii="Arial" w:hAnsi="Arial" w:cs="Arial"/>
        </w:rPr>
        <w:t>Zeidan, Gralil</w:t>
      </w:r>
      <w:r w:rsidR="009334C7">
        <w:rPr>
          <w:rFonts w:ascii="Arial" w:hAnsi="Arial" w:cs="Arial"/>
        </w:rPr>
        <w:t>,</w:t>
      </w:r>
      <w:r w:rsidRPr="00EA7665">
        <w:rPr>
          <w:rFonts w:ascii="Arial" w:hAnsi="Arial" w:cs="Arial"/>
        </w:rPr>
        <w:t xml:space="preserve"> and Shapir</w:t>
      </w:r>
      <w:r>
        <w:rPr>
          <w:rFonts w:ascii="Arial" w:hAnsi="Arial" w:cs="Arial"/>
        </w:rPr>
        <w:t xml:space="preserve"> (2</w:t>
      </w:r>
      <w:r w:rsidRPr="00EA7665">
        <w:rPr>
          <w:rFonts w:ascii="Arial" w:hAnsi="Arial" w:cs="Arial"/>
        </w:rPr>
        <w:t xml:space="preserve">018) discovered that owners of private firms in Brazil follow pecking order theory </w:t>
      </w:r>
      <w:r>
        <w:rPr>
          <w:rFonts w:ascii="Arial" w:hAnsi="Arial" w:cs="Arial"/>
        </w:rPr>
        <w:t>w</w:t>
      </w:r>
      <w:r w:rsidRPr="00EA7665">
        <w:rPr>
          <w:rFonts w:ascii="Arial" w:hAnsi="Arial" w:cs="Arial"/>
        </w:rPr>
        <w:t>hen companies are in the growth phase</w:t>
      </w:r>
      <w:r w:rsidR="00E01BC6">
        <w:rPr>
          <w:rFonts w:ascii="Arial" w:hAnsi="Arial" w:cs="Arial"/>
        </w:rPr>
        <w:t>;</w:t>
      </w:r>
      <w:r w:rsidRPr="00EA7665">
        <w:rPr>
          <w:rFonts w:ascii="Arial" w:hAnsi="Arial" w:cs="Arial"/>
        </w:rPr>
        <w:t xml:space="preserve"> they use leverage up to a certain point upon which banks are reluctant to provide further credit. It is then expedient that focus should change to equity capital to </w:t>
      </w:r>
      <w:r w:rsidR="00721DEB">
        <w:rPr>
          <w:rFonts w:ascii="Arial" w:hAnsi="Arial" w:cs="Arial"/>
        </w:rPr>
        <w:t>strengthen</w:t>
      </w:r>
      <w:r w:rsidRPr="00EA7665">
        <w:rPr>
          <w:rFonts w:ascii="Arial" w:hAnsi="Arial" w:cs="Arial"/>
        </w:rPr>
        <w:t xml:space="preserve"> the leveraged balance sheet (Ongera, 2015). Having access to equity finance from the stock market </w:t>
      </w:r>
      <w:r w:rsidR="0064700F">
        <w:rPr>
          <w:rFonts w:ascii="Arial" w:hAnsi="Arial" w:cs="Arial"/>
        </w:rPr>
        <w:t>provides long-term capital and facilitates the firm's ability</w:t>
      </w:r>
      <w:r w:rsidRPr="00EA7665">
        <w:rPr>
          <w:rFonts w:ascii="Arial" w:hAnsi="Arial" w:cs="Arial"/>
        </w:rPr>
        <w:t xml:space="preserve"> to get further credit due to the additional equity cushion. </w:t>
      </w:r>
    </w:p>
    <w:p w14:paraId="13188DF2" w14:textId="606F4B56" w:rsidR="00CD6352" w:rsidRDefault="00CD6352" w:rsidP="00CD6352">
      <w:pPr>
        <w:spacing w:after="0" w:line="360" w:lineRule="auto"/>
        <w:jc w:val="both"/>
        <w:rPr>
          <w:rFonts w:ascii="Arial" w:hAnsi="Arial" w:cs="Arial"/>
        </w:rPr>
      </w:pPr>
      <w:r w:rsidRPr="00EA7665">
        <w:rPr>
          <w:rFonts w:ascii="Arial" w:hAnsi="Arial" w:cs="Arial"/>
        </w:rPr>
        <w:t>The pecking order theory is very relevant to this research and managers involved in securing finance for real estate project development in both the developed and emerging economies because it gives strong recommendations on the levels of finance that the manager can use for project execution. It advocates that</w:t>
      </w:r>
      <w:r w:rsidR="00F02D17">
        <w:rPr>
          <w:rFonts w:ascii="Arial" w:hAnsi="Arial" w:cs="Arial"/>
        </w:rPr>
        <w:t xml:space="preserve"> the</w:t>
      </w:r>
      <w:r w:rsidRPr="00EA7665">
        <w:rPr>
          <w:rFonts w:ascii="Arial" w:hAnsi="Arial" w:cs="Arial"/>
        </w:rPr>
        <w:t xml:space="preserve"> managers </w:t>
      </w:r>
      <w:r w:rsidR="00721DEB">
        <w:rPr>
          <w:rFonts w:ascii="Arial" w:hAnsi="Arial" w:cs="Arial"/>
        </w:rPr>
        <w:t>generate funds from retained earnings as the first funding source</w:t>
      </w:r>
      <w:r w:rsidRPr="00EA7665">
        <w:rPr>
          <w:rFonts w:ascii="Arial" w:hAnsi="Arial" w:cs="Arial"/>
        </w:rPr>
        <w:t xml:space="preserve"> for project execution</w:t>
      </w:r>
      <w:r w:rsidR="00721DEB">
        <w:rPr>
          <w:rFonts w:ascii="Arial" w:hAnsi="Arial" w:cs="Arial"/>
        </w:rPr>
        <w:t>. T</w:t>
      </w:r>
      <w:r w:rsidRPr="00EA7665">
        <w:rPr>
          <w:rFonts w:ascii="Arial" w:hAnsi="Arial" w:cs="Arial"/>
        </w:rPr>
        <w:t>his is in line with the interviews</w:t>
      </w:r>
      <w:r w:rsidR="00F02D17">
        <w:rPr>
          <w:rFonts w:ascii="Arial" w:hAnsi="Arial" w:cs="Arial"/>
        </w:rPr>
        <w:t xml:space="preserve"> done for this research</w:t>
      </w:r>
      <w:r w:rsidR="00E01BC6">
        <w:rPr>
          <w:rFonts w:ascii="Arial" w:hAnsi="Arial" w:cs="Arial"/>
        </w:rPr>
        <w:t>,</w:t>
      </w:r>
      <w:r w:rsidRPr="00EA7665">
        <w:rPr>
          <w:rFonts w:ascii="Arial" w:hAnsi="Arial" w:cs="Arial"/>
        </w:rPr>
        <w:t xml:space="preserve"> where some managers categorically stated that they depend primarily on internal </w:t>
      </w:r>
      <w:r w:rsidR="00E01BC6">
        <w:rPr>
          <w:rFonts w:ascii="Arial" w:hAnsi="Arial" w:cs="Arial"/>
        </w:rPr>
        <w:t>financing mechanisms</w:t>
      </w:r>
      <w:r w:rsidRPr="00EA7665">
        <w:rPr>
          <w:rFonts w:ascii="Arial" w:hAnsi="Arial" w:cs="Arial"/>
        </w:rPr>
        <w:t xml:space="preserve"> before recourse to external sources</w:t>
      </w:r>
      <w:r>
        <w:rPr>
          <w:rFonts w:ascii="Arial" w:hAnsi="Arial" w:cs="Arial"/>
        </w:rPr>
        <w:t xml:space="preserve"> (see chapter 5</w:t>
      </w:r>
      <w:r w:rsidR="009334C7">
        <w:rPr>
          <w:rFonts w:ascii="Arial" w:hAnsi="Arial" w:cs="Arial"/>
        </w:rPr>
        <w:t>.2</w:t>
      </w:r>
      <w:r>
        <w:rPr>
          <w:rFonts w:ascii="Arial" w:hAnsi="Arial" w:cs="Arial"/>
        </w:rPr>
        <w:t>)</w:t>
      </w:r>
      <w:r w:rsidRPr="00EA7665">
        <w:rPr>
          <w:rFonts w:ascii="Arial" w:hAnsi="Arial" w:cs="Arial"/>
        </w:rPr>
        <w:t xml:space="preserve">. Where internal funding is not sufficient, the manager could source debt as a second option before equity. According to the pecking order theory, equity issuance should always be the last option used when the </w:t>
      </w:r>
      <w:r>
        <w:rPr>
          <w:rFonts w:ascii="Arial" w:hAnsi="Arial" w:cs="Arial"/>
        </w:rPr>
        <w:t>managers</w:t>
      </w:r>
      <w:r w:rsidRPr="00EA7665">
        <w:rPr>
          <w:rFonts w:ascii="Arial" w:hAnsi="Arial" w:cs="Arial"/>
        </w:rPr>
        <w:t xml:space="preserve"> see that raising more debt may become risky (Le and Phan, 2017). </w:t>
      </w:r>
      <w:r w:rsidRPr="00EA7665">
        <w:rPr>
          <w:rFonts w:ascii="Arial" w:hAnsi="Arial" w:cs="Arial"/>
        </w:rPr>
        <w:lastRenderedPageBreak/>
        <w:t xml:space="preserve">Pecking order is also seen as a strong indicator of the company’s strength in </w:t>
      </w:r>
      <w:r w:rsidR="0064700F">
        <w:rPr>
          <w:rFonts w:ascii="Arial" w:hAnsi="Arial" w:cs="Arial"/>
        </w:rPr>
        <w:t>all the stakeholders' eye</w:t>
      </w:r>
      <w:r w:rsidRPr="00EA7665">
        <w:rPr>
          <w:rFonts w:ascii="Arial" w:hAnsi="Arial" w:cs="Arial"/>
        </w:rPr>
        <w:t>s</w:t>
      </w:r>
      <w:r w:rsidR="009334C7">
        <w:rPr>
          <w:rFonts w:ascii="Arial" w:hAnsi="Arial" w:cs="Arial"/>
        </w:rPr>
        <w:t>.</w:t>
      </w:r>
    </w:p>
    <w:p w14:paraId="300A466C" w14:textId="77777777" w:rsidR="00CD6352" w:rsidRPr="00EA7665" w:rsidRDefault="00CD6352" w:rsidP="00CD6352">
      <w:pPr>
        <w:spacing w:after="0" w:line="360" w:lineRule="auto"/>
        <w:jc w:val="both"/>
        <w:rPr>
          <w:rFonts w:ascii="Arial" w:hAnsi="Arial" w:cs="Arial"/>
        </w:rPr>
      </w:pPr>
    </w:p>
    <w:p w14:paraId="153C57FB" w14:textId="77777777" w:rsidR="00CD6352" w:rsidRPr="00EA7665" w:rsidRDefault="00CD6352" w:rsidP="00721DEB">
      <w:pPr>
        <w:rPr>
          <w:rFonts w:ascii="Arial" w:hAnsi="Arial" w:cs="Arial"/>
          <w:b/>
        </w:rPr>
      </w:pPr>
      <w:r w:rsidRPr="00EA7665">
        <w:rPr>
          <w:rFonts w:ascii="Arial" w:hAnsi="Arial" w:cs="Arial"/>
          <w:b/>
        </w:rPr>
        <w:t>The Trade-off Theory of capital structure</w:t>
      </w:r>
    </w:p>
    <w:p w14:paraId="4707FB3F" w14:textId="28EAEDD0" w:rsidR="00CD6352" w:rsidRPr="00EA7665" w:rsidRDefault="00CD6352" w:rsidP="00721DEB">
      <w:pPr>
        <w:spacing w:line="360" w:lineRule="auto"/>
        <w:jc w:val="both"/>
        <w:rPr>
          <w:rFonts w:ascii="Arial" w:hAnsi="Arial" w:cs="Arial"/>
        </w:rPr>
      </w:pPr>
      <w:r w:rsidRPr="00EA7665">
        <w:rPr>
          <w:rFonts w:ascii="Arial" w:hAnsi="Arial" w:cs="Arial"/>
        </w:rPr>
        <w:t>The trade-off theory explains that a company chooses how much debt and equity finance to use based on the cost-benefit associated with the debt. It is often set</w:t>
      </w:r>
      <w:r w:rsidR="006D1EA7">
        <w:rPr>
          <w:rFonts w:ascii="Arial" w:hAnsi="Arial" w:cs="Arial"/>
        </w:rPr>
        <w:t xml:space="preserve"> </w:t>
      </w:r>
      <w:r w:rsidRPr="00EA7665">
        <w:rPr>
          <w:rFonts w:ascii="Arial" w:hAnsi="Arial" w:cs="Arial"/>
        </w:rPr>
        <w:t xml:space="preserve">up as a competitor theory to the pecking order theory of capital structure.  The </w:t>
      </w:r>
      <w:r w:rsidR="009826B8">
        <w:rPr>
          <w:rFonts w:ascii="Arial" w:hAnsi="Arial" w:cs="Arial"/>
        </w:rPr>
        <w:t>theory's importance is to explain</w:t>
      </w:r>
      <w:r w:rsidRPr="00EA7665">
        <w:rPr>
          <w:rFonts w:ascii="Arial" w:hAnsi="Arial" w:cs="Arial"/>
        </w:rPr>
        <w:t xml:space="preserve"> that corporations are</w:t>
      </w:r>
      <w:r>
        <w:rPr>
          <w:rFonts w:ascii="Arial" w:hAnsi="Arial" w:cs="Arial"/>
        </w:rPr>
        <w:t xml:space="preserve"> usually</w:t>
      </w:r>
      <w:r w:rsidRPr="00EA7665">
        <w:rPr>
          <w:rFonts w:ascii="Arial" w:hAnsi="Arial" w:cs="Arial"/>
        </w:rPr>
        <w:t xml:space="preserve"> financed partly with debt and partly with equity. It states the tax benefits of debt, </w:t>
      </w:r>
      <w:r>
        <w:rPr>
          <w:rFonts w:ascii="Arial" w:hAnsi="Arial" w:cs="Arial"/>
        </w:rPr>
        <w:t>the</w:t>
      </w:r>
      <w:r w:rsidRPr="00EA7665">
        <w:rPr>
          <w:rFonts w:ascii="Arial" w:hAnsi="Arial" w:cs="Arial"/>
        </w:rPr>
        <w:t xml:space="preserve"> cost of financing with debt, </w:t>
      </w:r>
      <w:r>
        <w:rPr>
          <w:rFonts w:ascii="Arial" w:hAnsi="Arial" w:cs="Arial"/>
        </w:rPr>
        <w:t xml:space="preserve">and </w:t>
      </w:r>
      <w:r w:rsidRPr="00EA7665">
        <w:rPr>
          <w:rFonts w:ascii="Arial" w:hAnsi="Arial" w:cs="Arial"/>
        </w:rPr>
        <w:t>the cost of financial distress, including bankruptcy cost of debt and non-bankruptcy cost of debt. The marginal benefit of further increases in debt declines as debt increases, while the marginal cost increases so that the firm optimising its overall value will focus on this trade-off when choosing debt or equity to use for financing (Kraus and Litzenberger, 1973; Tarver, 2018).</w:t>
      </w:r>
    </w:p>
    <w:p w14:paraId="183E692B" w14:textId="449D9BB1" w:rsidR="00CD6352" w:rsidRPr="00EA7665" w:rsidRDefault="00CD6352" w:rsidP="00CD6352">
      <w:pPr>
        <w:spacing w:line="360" w:lineRule="auto"/>
        <w:jc w:val="both"/>
        <w:rPr>
          <w:rFonts w:ascii="Arial" w:hAnsi="Arial" w:cs="Arial"/>
        </w:rPr>
      </w:pPr>
      <w:r w:rsidRPr="00EA7665">
        <w:rPr>
          <w:rFonts w:ascii="Arial" w:hAnsi="Arial" w:cs="Arial"/>
        </w:rPr>
        <w:t xml:space="preserve">The trade-off theory is a fundamentally strategic theory that can </w:t>
      </w:r>
      <w:r w:rsidR="009826B8">
        <w:rPr>
          <w:rFonts w:ascii="Arial" w:hAnsi="Arial" w:cs="Arial"/>
        </w:rPr>
        <w:t>guide</w:t>
      </w:r>
      <w:r w:rsidRPr="00EA7665">
        <w:rPr>
          <w:rFonts w:ascii="Arial" w:hAnsi="Arial" w:cs="Arial"/>
        </w:rPr>
        <w:t xml:space="preserve"> the manager involved in securing finance for real estate project development. </w:t>
      </w:r>
      <w:r>
        <w:rPr>
          <w:rFonts w:ascii="Arial" w:hAnsi="Arial" w:cs="Arial"/>
        </w:rPr>
        <w:t>It</w:t>
      </w:r>
      <w:r w:rsidRPr="00EA7665">
        <w:rPr>
          <w:rFonts w:ascii="Arial" w:hAnsi="Arial" w:cs="Arial"/>
        </w:rPr>
        <w:t xml:space="preserve"> advocates that the managers’ decision to either use debt or equity should </w:t>
      </w:r>
      <w:r w:rsidR="009826B8">
        <w:rPr>
          <w:rFonts w:ascii="Arial" w:hAnsi="Arial" w:cs="Arial"/>
        </w:rPr>
        <w:t>consider</w:t>
      </w:r>
      <w:r w:rsidRPr="00EA7665">
        <w:rPr>
          <w:rFonts w:ascii="Arial" w:hAnsi="Arial" w:cs="Arial"/>
        </w:rPr>
        <w:t xml:space="preserve"> the co</w:t>
      </w:r>
      <w:r>
        <w:rPr>
          <w:rFonts w:ascii="Arial" w:hAnsi="Arial" w:cs="Arial"/>
        </w:rPr>
        <w:t>sts</w:t>
      </w:r>
      <w:r w:rsidRPr="00EA7665">
        <w:rPr>
          <w:rFonts w:ascii="Arial" w:hAnsi="Arial" w:cs="Arial"/>
        </w:rPr>
        <w:t xml:space="preserve"> and benefits of both options. This theory stresses the significance of using debt, which is fundamentally the tax benefit of using debt. It also highlights the dangers of debt usage, which</w:t>
      </w:r>
      <w:r>
        <w:rPr>
          <w:rFonts w:ascii="Arial" w:hAnsi="Arial" w:cs="Arial"/>
        </w:rPr>
        <w:t xml:space="preserve"> are </w:t>
      </w:r>
      <w:r w:rsidRPr="00EA7665">
        <w:rPr>
          <w:rFonts w:ascii="Arial" w:hAnsi="Arial" w:cs="Arial"/>
        </w:rPr>
        <w:t>possible distress and bankruptcy.  Notably</w:t>
      </w:r>
      <w:r>
        <w:rPr>
          <w:rFonts w:ascii="Arial" w:hAnsi="Arial" w:cs="Arial"/>
        </w:rPr>
        <w:t>,</w:t>
      </w:r>
      <w:r w:rsidRPr="00EA7665">
        <w:rPr>
          <w:rFonts w:ascii="Arial" w:hAnsi="Arial" w:cs="Arial"/>
        </w:rPr>
        <w:t xml:space="preserve"> the marginal benefit </w:t>
      </w:r>
      <w:r>
        <w:rPr>
          <w:rFonts w:ascii="Arial" w:hAnsi="Arial" w:cs="Arial"/>
        </w:rPr>
        <w:t>or</w:t>
      </w:r>
      <w:r w:rsidRPr="00EA7665">
        <w:rPr>
          <w:rFonts w:ascii="Arial" w:hAnsi="Arial" w:cs="Arial"/>
        </w:rPr>
        <w:t xml:space="preserve"> incremental benefit of debt usage declines as debt increases</w:t>
      </w:r>
      <w:r w:rsidR="00B32B48">
        <w:rPr>
          <w:rFonts w:ascii="Arial" w:hAnsi="Arial" w:cs="Arial"/>
        </w:rPr>
        <w:t>. In contrast,</w:t>
      </w:r>
      <w:r w:rsidRPr="00EA7665">
        <w:rPr>
          <w:rFonts w:ascii="Arial" w:hAnsi="Arial" w:cs="Arial"/>
        </w:rPr>
        <w:t xml:space="preserve"> the marginal cost increases, so the firm focused on optimising its overall value will focus on trade-off</w:t>
      </w:r>
      <w:r w:rsidR="0023285C">
        <w:rPr>
          <w:rFonts w:ascii="Arial" w:hAnsi="Arial" w:cs="Arial"/>
        </w:rPr>
        <w:t>s</w:t>
      </w:r>
      <w:r w:rsidRPr="00EA7665">
        <w:rPr>
          <w:rFonts w:ascii="Arial" w:hAnsi="Arial" w:cs="Arial"/>
        </w:rPr>
        <w:t xml:space="preserve"> when choosing how much debt and equity to use for financing</w:t>
      </w:r>
      <w:r w:rsidR="00B32B48">
        <w:rPr>
          <w:rFonts w:ascii="Arial" w:hAnsi="Arial" w:cs="Arial"/>
        </w:rPr>
        <w:t>.</w:t>
      </w:r>
      <w:r w:rsidRPr="00EA7665">
        <w:rPr>
          <w:rFonts w:ascii="Arial" w:hAnsi="Arial" w:cs="Arial"/>
        </w:rPr>
        <w:t xml:space="preserve"> </w:t>
      </w:r>
    </w:p>
    <w:p w14:paraId="2D5562D3" w14:textId="1A1E4C49" w:rsidR="00CD6352" w:rsidRDefault="00CD6352" w:rsidP="00CD6352">
      <w:pPr>
        <w:spacing w:line="360" w:lineRule="auto"/>
        <w:jc w:val="both"/>
        <w:rPr>
          <w:rFonts w:ascii="Arial" w:hAnsi="Arial" w:cs="Arial"/>
        </w:rPr>
      </w:pPr>
      <w:r w:rsidRPr="00EA7665">
        <w:rPr>
          <w:rFonts w:ascii="Arial" w:hAnsi="Arial" w:cs="Arial"/>
        </w:rPr>
        <w:t xml:space="preserve">The relevance of </w:t>
      </w:r>
      <w:r>
        <w:rPr>
          <w:rFonts w:ascii="Arial" w:hAnsi="Arial" w:cs="Arial"/>
        </w:rPr>
        <w:t xml:space="preserve">the </w:t>
      </w:r>
      <w:r w:rsidRPr="00EA7665">
        <w:rPr>
          <w:rFonts w:ascii="Arial" w:hAnsi="Arial" w:cs="Arial"/>
        </w:rPr>
        <w:t xml:space="preserve">trade-off theory has been questioned by </w:t>
      </w:r>
      <w:r w:rsidR="009826B8">
        <w:rPr>
          <w:rFonts w:ascii="Arial" w:hAnsi="Arial" w:cs="Arial"/>
        </w:rPr>
        <w:t>many authors, including</w:t>
      </w:r>
      <w:r w:rsidRPr="00EA7665">
        <w:rPr>
          <w:rFonts w:ascii="Arial" w:hAnsi="Arial" w:cs="Arial"/>
        </w:rPr>
        <w:t xml:space="preserve"> Miller (1977) and Myers (1984). Miller </w:t>
      </w:r>
      <w:r w:rsidR="00407710">
        <w:rPr>
          <w:rFonts w:ascii="Arial" w:hAnsi="Arial" w:cs="Arial"/>
        </w:rPr>
        <w:t>believes</w:t>
      </w:r>
      <w:r w:rsidRPr="00EA7665">
        <w:rPr>
          <w:rFonts w:ascii="Arial" w:hAnsi="Arial" w:cs="Arial"/>
        </w:rPr>
        <w:t xml:space="preserve"> that if trade-off theory were true</w:t>
      </w:r>
      <w:r w:rsidR="009826B8">
        <w:rPr>
          <w:rFonts w:ascii="Arial" w:hAnsi="Arial" w:cs="Arial"/>
        </w:rPr>
        <w:t>,</w:t>
      </w:r>
      <w:r w:rsidRPr="00EA7665">
        <w:rPr>
          <w:rFonts w:ascii="Arial" w:hAnsi="Arial" w:cs="Arial"/>
        </w:rPr>
        <w:t xml:space="preserve"> then there should be higher debt levels than </w:t>
      </w:r>
      <w:r>
        <w:rPr>
          <w:rFonts w:ascii="Arial" w:hAnsi="Arial" w:cs="Arial"/>
        </w:rPr>
        <w:t>there are in</w:t>
      </w:r>
      <w:r w:rsidRPr="00EA7665">
        <w:rPr>
          <w:rFonts w:ascii="Arial" w:hAnsi="Arial" w:cs="Arial"/>
        </w:rPr>
        <w:t xml:space="preserve"> reality.</w:t>
      </w:r>
      <w:r>
        <w:rPr>
          <w:rFonts w:ascii="Arial" w:hAnsi="Arial" w:cs="Arial"/>
        </w:rPr>
        <w:t xml:space="preserve"> </w:t>
      </w:r>
      <w:r w:rsidRPr="00EA7665">
        <w:rPr>
          <w:rFonts w:ascii="Arial" w:hAnsi="Arial" w:cs="Arial"/>
        </w:rPr>
        <w:t>Despite the criticisms, the trade-off theory remains a dominant theory of capital structure.  This theory could be a platform to ensure managers exercise the necessary skills, knowledge, and competences in their choices of finance option(s) for real estate project development</w:t>
      </w:r>
      <w:r>
        <w:rPr>
          <w:rFonts w:ascii="Arial" w:hAnsi="Arial" w:cs="Arial"/>
        </w:rPr>
        <w:t xml:space="preserve"> ( see chapter 5</w:t>
      </w:r>
      <w:r w:rsidR="00407710">
        <w:rPr>
          <w:rFonts w:ascii="Arial" w:hAnsi="Arial" w:cs="Arial"/>
        </w:rPr>
        <w:t>.2</w:t>
      </w:r>
      <w:r>
        <w:rPr>
          <w:rFonts w:ascii="Arial" w:hAnsi="Arial" w:cs="Arial"/>
        </w:rPr>
        <w:t>)</w:t>
      </w:r>
      <w:r w:rsidRPr="00EA7665">
        <w:rPr>
          <w:rFonts w:ascii="Arial" w:hAnsi="Arial" w:cs="Arial"/>
        </w:rPr>
        <w:t xml:space="preserve">. </w:t>
      </w:r>
    </w:p>
    <w:p w14:paraId="176150C8" w14:textId="77777777" w:rsidR="00B37E32" w:rsidRDefault="00B37E32" w:rsidP="00CD6352">
      <w:pPr>
        <w:spacing w:line="360" w:lineRule="auto"/>
        <w:jc w:val="both"/>
        <w:rPr>
          <w:rFonts w:ascii="Arial" w:hAnsi="Arial" w:cs="Arial"/>
        </w:rPr>
      </w:pPr>
    </w:p>
    <w:p w14:paraId="51EBAF6C" w14:textId="77777777" w:rsidR="00CD6352" w:rsidRPr="00EA7665" w:rsidRDefault="00CD6352" w:rsidP="00CD6352">
      <w:pPr>
        <w:rPr>
          <w:rFonts w:ascii="Arial" w:hAnsi="Arial" w:cs="Arial"/>
          <w:b/>
        </w:rPr>
      </w:pPr>
      <w:r w:rsidRPr="00EA7665">
        <w:rPr>
          <w:rFonts w:ascii="Arial" w:hAnsi="Arial" w:cs="Arial"/>
          <w:b/>
        </w:rPr>
        <w:t>The Market Timing Theory of capital structure</w:t>
      </w:r>
    </w:p>
    <w:p w14:paraId="26BB7BE1" w14:textId="2FC80805" w:rsidR="00CD6352" w:rsidRPr="00EA7665" w:rsidRDefault="00CD6352" w:rsidP="00CD6352">
      <w:pPr>
        <w:spacing w:line="360" w:lineRule="auto"/>
        <w:jc w:val="both"/>
        <w:rPr>
          <w:rFonts w:ascii="Arial" w:hAnsi="Arial" w:cs="Arial"/>
        </w:rPr>
      </w:pPr>
      <w:r w:rsidRPr="00EA7665">
        <w:rPr>
          <w:rFonts w:ascii="Arial" w:hAnsi="Arial" w:cs="Arial"/>
        </w:rPr>
        <w:t>The market timing theory is a theory on how firms and corporatio</w:t>
      </w:r>
      <w:r>
        <w:rPr>
          <w:rFonts w:ascii="Arial" w:hAnsi="Arial" w:cs="Arial"/>
        </w:rPr>
        <w:t>ns</w:t>
      </w:r>
      <w:r w:rsidRPr="00EA7665">
        <w:rPr>
          <w:rFonts w:ascii="Arial" w:hAnsi="Arial" w:cs="Arial"/>
        </w:rPr>
        <w:t xml:space="preserve"> decide whether to finance their investment with equity or debt instruments. It states that a firm will decide to issue debt or equity as a </w:t>
      </w:r>
      <w:r w:rsidR="009826B8">
        <w:rPr>
          <w:rFonts w:ascii="Arial" w:hAnsi="Arial" w:cs="Arial"/>
        </w:rPr>
        <w:t>finance sour</w:t>
      </w:r>
      <w:r w:rsidRPr="00EA7665">
        <w:rPr>
          <w:rFonts w:ascii="Arial" w:hAnsi="Arial" w:cs="Arial"/>
        </w:rPr>
        <w:t xml:space="preserve">ce based on the history of the firm’s market value (Meyers, 1984).  In </w:t>
      </w:r>
      <w:r>
        <w:rPr>
          <w:rFonts w:ascii="Arial" w:hAnsi="Arial" w:cs="Arial"/>
        </w:rPr>
        <w:t>other</w:t>
      </w:r>
      <w:r w:rsidRPr="00EA7665">
        <w:rPr>
          <w:rFonts w:ascii="Arial" w:hAnsi="Arial" w:cs="Arial"/>
        </w:rPr>
        <w:t xml:space="preserve"> words, this theory maintains that capital structure decisions are influenced by the market conditions of share prices (Le and Phan, 2017).</w:t>
      </w:r>
      <w:r w:rsidR="00407710">
        <w:rPr>
          <w:rFonts w:ascii="Arial" w:hAnsi="Arial" w:cs="Arial"/>
        </w:rPr>
        <w:t xml:space="preserve"> </w:t>
      </w:r>
      <w:r w:rsidRPr="00EA7665">
        <w:rPr>
          <w:rFonts w:ascii="Arial" w:hAnsi="Arial" w:cs="Arial"/>
        </w:rPr>
        <w:t xml:space="preserve">Baker and Wurgles (2002) claim that </w:t>
      </w:r>
      <w:r w:rsidRPr="00EA7665">
        <w:rPr>
          <w:rFonts w:ascii="Arial" w:hAnsi="Arial" w:cs="Arial"/>
        </w:rPr>
        <w:lastRenderedPageBreak/>
        <w:t>this theory is the first determinant of a corporation’s capital structure use of debt or equity. They are of the view that the firms do not care whether they use debt or equity; they just choose the type of finance which is at that point more valued by the financial markets. The market timing theory</w:t>
      </w:r>
      <w:r>
        <w:rPr>
          <w:rFonts w:ascii="Arial" w:hAnsi="Arial" w:cs="Arial"/>
        </w:rPr>
        <w:t>,  also</w:t>
      </w:r>
      <w:r w:rsidRPr="00EA7665">
        <w:rPr>
          <w:rFonts w:ascii="Arial" w:hAnsi="Arial" w:cs="Arial"/>
        </w:rPr>
        <w:t xml:space="preserve"> known as the </w:t>
      </w:r>
      <w:r>
        <w:rPr>
          <w:rFonts w:ascii="Arial" w:hAnsi="Arial" w:cs="Arial"/>
        </w:rPr>
        <w:t>w</w:t>
      </w:r>
      <w:r w:rsidRPr="00EA7665">
        <w:rPr>
          <w:rFonts w:ascii="Arial" w:hAnsi="Arial" w:cs="Arial"/>
        </w:rPr>
        <w:t>indow of opportunity theory</w:t>
      </w:r>
      <w:r>
        <w:rPr>
          <w:rFonts w:ascii="Arial" w:hAnsi="Arial" w:cs="Arial"/>
        </w:rPr>
        <w:t>,</w:t>
      </w:r>
      <w:r w:rsidRPr="00EA7665">
        <w:rPr>
          <w:rFonts w:ascii="Arial" w:hAnsi="Arial" w:cs="Arial"/>
        </w:rPr>
        <w:t xml:space="preserve"> points </w:t>
      </w:r>
      <w:r>
        <w:rPr>
          <w:rFonts w:ascii="Arial" w:hAnsi="Arial" w:cs="Arial"/>
        </w:rPr>
        <w:t xml:space="preserve">out </w:t>
      </w:r>
      <w:r w:rsidRPr="00EA7665">
        <w:rPr>
          <w:rFonts w:ascii="Arial" w:hAnsi="Arial" w:cs="Arial"/>
        </w:rPr>
        <w:t xml:space="preserve">that a firm will prefer external equity to other sources of finance as soon as the market perceives that the cost of equity is low and will issue debt when they perceive that the cost of equity is high (Huange and Ritter, 2004). </w:t>
      </w:r>
    </w:p>
    <w:p w14:paraId="018C2947" w14:textId="0408641C" w:rsidR="00CD6352" w:rsidRPr="00EA7665" w:rsidRDefault="009826B8" w:rsidP="00CD6352">
      <w:pPr>
        <w:spacing w:line="360" w:lineRule="auto"/>
        <w:jc w:val="both"/>
        <w:rPr>
          <w:rFonts w:ascii="Arial" w:hAnsi="Arial" w:cs="Arial"/>
        </w:rPr>
      </w:pPr>
      <w:r>
        <w:rPr>
          <w:rFonts w:ascii="Arial" w:hAnsi="Arial" w:cs="Arial"/>
        </w:rPr>
        <w:t>However, market timing theory is</w:t>
      </w:r>
      <w:r w:rsidR="00CD6352" w:rsidRPr="00EA7665">
        <w:rPr>
          <w:rFonts w:ascii="Arial" w:hAnsi="Arial" w:cs="Arial"/>
        </w:rPr>
        <w:t xml:space="preserve"> considered by some authors as an incomplete theory because it does not explain why at the same point in time</w:t>
      </w:r>
      <w:r>
        <w:rPr>
          <w:rFonts w:ascii="Arial" w:hAnsi="Arial" w:cs="Arial"/>
        </w:rPr>
        <w:t>,</w:t>
      </w:r>
      <w:r w:rsidR="00CD6352" w:rsidRPr="00EA7665">
        <w:rPr>
          <w:rFonts w:ascii="Arial" w:hAnsi="Arial" w:cs="Arial"/>
        </w:rPr>
        <w:t xml:space="preserve"> some firms issue debt while others</w:t>
      </w:r>
      <w:r w:rsidR="00CD6352">
        <w:rPr>
          <w:rFonts w:ascii="Arial" w:hAnsi="Arial" w:cs="Arial"/>
        </w:rPr>
        <w:t xml:space="preserve"> issue</w:t>
      </w:r>
      <w:r w:rsidR="00CD6352" w:rsidRPr="00EA7665">
        <w:rPr>
          <w:rFonts w:ascii="Arial" w:hAnsi="Arial" w:cs="Arial"/>
        </w:rPr>
        <w:t xml:space="preserve"> equity. </w:t>
      </w:r>
      <w:r w:rsidR="00CD6352">
        <w:rPr>
          <w:rFonts w:ascii="Arial" w:hAnsi="Arial" w:cs="Arial"/>
        </w:rPr>
        <w:t>As yet</w:t>
      </w:r>
      <w:r>
        <w:rPr>
          <w:rFonts w:ascii="Arial" w:hAnsi="Arial" w:cs="Arial"/>
        </w:rPr>
        <w:t>,</w:t>
      </w:r>
      <w:r w:rsidR="00CD6352" w:rsidRPr="00EA7665">
        <w:rPr>
          <w:rFonts w:ascii="Arial" w:hAnsi="Arial" w:cs="Arial"/>
        </w:rPr>
        <w:t xml:space="preserve"> there is no comprehensive explanation for this problem within the market timing model.</w:t>
      </w:r>
      <w:r w:rsidR="00CD6352">
        <w:rPr>
          <w:rFonts w:ascii="Arial" w:hAnsi="Arial" w:cs="Arial"/>
        </w:rPr>
        <w:t xml:space="preserve"> D</w:t>
      </w:r>
      <w:r w:rsidR="00CD6352" w:rsidRPr="00EA7665">
        <w:rPr>
          <w:rFonts w:ascii="Arial" w:hAnsi="Arial" w:cs="Arial"/>
        </w:rPr>
        <w:t>espite the limitatio</w:t>
      </w:r>
      <w:r w:rsidR="00CD6352">
        <w:rPr>
          <w:rFonts w:ascii="Arial" w:hAnsi="Arial" w:cs="Arial"/>
        </w:rPr>
        <w:t>ns</w:t>
      </w:r>
      <w:r w:rsidR="00CD6352" w:rsidRPr="00EA7665">
        <w:rPr>
          <w:rFonts w:ascii="Arial" w:hAnsi="Arial" w:cs="Arial"/>
        </w:rPr>
        <w:t xml:space="preserve"> </w:t>
      </w:r>
      <w:r w:rsidR="00CD6352">
        <w:rPr>
          <w:rFonts w:ascii="Arial" w:hAnsi="Arial" w:cs="Arial"/>
        </w:rPr>
        <w:t>of</w:t>
      </w:r>
      <w:r w:rsidR="00CD6352" w:rsidRPr="00EA7665">
        <w:rPr>
          <w:rFonts w:ascii="Arial" w:hAnsi="Arial" w:cs="Arial"/>
        </w:rPr>
        <w:t xml:space="preserve"> the market timing theory, it is still considered for this research</w:t>
      </w:r>
      <w:r>
        <w:rPr>
          <w:rFonts w:ascii="Arial" w:hAnsi="Arial" w:cs="Arial"/>
        </w:rPr>
        <w:t xml:space="preserve"> because some managers are</w:t>
      </w:r>
      <w:r w:rsidR="00CD6352" w:rsidRPr="00EA7665">
        <w:rPr>
          <w:rFonts w:ascii="Arial" w:hAnsi="Arial" w:cs="Arial"/>
        </w:rPr>
        <w:t xml:space="preserve"> involved in securing finance through the stock market.  The market timing theory advocates that capital structure decisions are influenced by market conditions (Huange and Ritter, 2004). This theory is used in decision</w:t>
      </w:r>
      <w:r w:rsidR="00483CA4">
        <w:rPr>
          <w:rFonts w:ascii="Arial" w:hAnsi="Arial" w:cs="Arial"/>
        </w:rPr>
        <w:t>-</w:t>
      </w:r>
      <w:r w:rsidR="00CD6352" w:rsidRPr="00EA7665">
        <w:rPr>
          <w:rFonts w:ascii="Arial" w:hAnsi="Arial" w:cs="Arial"/>
        </w:rPr>
        <w:t>making by a real estate operating company ( REOC) or real estate investment trust, both platforms for accessing equity finance</w:t>
      </w:r>
      <w:r w:rsidR="00274D9D">
        <w:rPr>
          <w:rFonts w:ascii="Arial" w:hAnsi="Arial" w:cs="Arial"/>
        </w:rPr>
        <w:t>.</w:t>
      </w:r>
      <w:r w:rsidR="00CD6352" w:rsidRPr="00EA7665">
        <w:rPr>
          <w:rFonts w:ascii="Arial" w:hAnsi="Arial" w:cs="Arial"/>
        </w:rPr>
        <w:t xml:space="preserve"> </w:t>
      </w:r>
    </w:p>
    <w:p w14:paraId="2AF9518B" w14:textId="70C3AA21" w:rsidR="008113D4" w:rsidRDefault="008113D4" w:rsidP="00CD6352">
      <w:pPr>
        <w:pStyle w:val="Heading2"/>
        <w:spacing w:after="240"/>
        <w:rPr>
          <w:sz w:val="22"/>
          <w:szCs w:val="22"/>
        </w:rPr>
      </w:pPr>
      <w:bookmarkStart w:id="762" w:name="_Toc78983791"/>
      <w:r>
        <w:rPr>
          <w:sz w:val="22"/>
          <w:szCs w:val="22"/>
        </w:rPr>
        <w:t>A review of literature on f</w:t>
      </w:r>
      <w:r w:rsidR="00CD6352">
        <w:rPr>
          <w:sz w:val="22"/>
          <w:szCs w:val="22"/>
        </w:rPr>
        <w:t>inance options for real estate project development</w:t>
      </w:r>
      <w:bookmarkEnd w:id="762"/>
      <w:r w:rsidR="00CD6352">
        <w:rPr>
          <w:sz w:val="22"/>
          <w:szCs w:val="22"/>
        </w:rPr>
        <w:t xml:space="preserve"> </w:t>
      </w:r>
    </w:p>
    <w:p w14:paraId="3381E115" w14:textId="4EB631EE" w:rsidR="00CD6352" w:rsidRPr="00EA7665" w:rsidRDefault="009826B8" w:rsidP="00CD6352">
      <w:pPr>
        <w:spacing w:line="360" w:lineRule="auto"/>
        <w:jc w:val="both"/>
        <w:rPr>
          <w:rFonts w:ascii="Arial" w:hAnsi="Arial" w:cs="Arial"/>
        </w:rPr>
      </w:pPr>
      <w:r>
        <w:rPr>
          <w:rFonts w:ascii="Arial" w:hAnsi="Arial" w:cs="Arial"/>
        </w:rPr>
        <w:t>In this research, finance options refer to the different finance instruments/types</w:t>
      </w:r>
      <w:r w:rsidR="00CD6352" w:rsidRPr="00EA7665">
        <w:rPr>
          <w:rFonts w:ascii="Arial" w:hAnsi="Arial" w:cs="Arial"/>
        </w:rPr>
        <w:t xml:space="preserve"> available </w:t>
      </w:r>
      <w:r w:rsidR="0042586E" w:rsidRPr="00EA7665">
        <w:rPr>
          <w:rFonts w:ascii="Arial" w:hAnsi="Arial" w:cs="Arial"/>
        </w:rPr>
        <w:t>to managers</w:t>
      </w:r>
      <w:r w:rsidR="0008353B">
        <w:rPr>
          <w:rFonts w:ascii="Arial" w:hAnsi="Arial" w:cs="Arial"/>
        </w:rPr>
        <w:t>/</w:t>
      </w:r>
      <w:r w:rsidR="00CD6352" w:rsidRPr="00EA7665">
        <w:rPr>
          <w:rFonts w:ascii="Arial" w:hAnsi="Arial" w:cs="Arial"/>
        </w:rPr>
        <w:t>developer</w:t>
      </w:r>
      <w:r w:rsidR="00CD6352">
        <w:rPr>
          <w:rFonts w:ascii="Arial" w:hAnsi="Arial" w:cs="Arial"/>
        </w:rPr>
        <w:t>s</w:t>
      </w:r>
      <w:r w:rsidR="00CD6352" w:rsidRPr="00EA7665">
        <w:rPr>
          <w:rFonts w:ascii="Arial" w:hAnsi="Arial" w:cs="Arial"/>
        </w:rPr>
        <w:t xml:space="preserve"> for real estate project development</w:t>
      </w:r>
      <w:r w:rsidR="00302382">
        <w:rPr>
          <w:rFonts w:ascii="Arial" w:hAnsi="Arial" w:cs="Arial"/>
        </w:rPr>
        <w:t>. F</w:t>
      </w:r>
      <w:r w:rsidR="00CD6352" w:rsidRPr="00EA7665">
        <w:rPr>
          <w:rFonts w:ascii="Arial" w:hAnsi="Arial" w:cs="Arial"/>
        </w:rPr>
        <w:t xml:space="preserve">inance is an essential part of the development process (Rowley et al., 2014). </w:t>
      </w:r>
    </w:p>
    <w:p w14:paraId="18A4BAF9" w14:textId="41312260" w:rsidR="00CD6352" w:rsidRPr="00EA7665" w:rsidRDefault="00CD6352" w:rsidP="00CD6352">
      <w:pPr>
        <w:spacing w:line="360" w:lineRule="auto"/>
        <w:jc w:val="both"/>
        <w:rPr>
          <w:rFonts w:ascii="Arial" w:hAnsi="Arial" w:cs="Arial"/>
        </w:rPr>
      </w:pPr>
      <w:r w:rsidRPr="00EA7665">
        <w:rPr>
          <w:rFonts w:ascii="Arial" w:hAnsi="Arial" w:cs="Arial"/>
        </w:rPr>
        <w:t xml:space="preserve">According to Midgley and Burns (1977), </w:t>
      </w:r>
      <w:r>
        <w:rPr>
          <w:rFonts w:ascii="Arial" w:hAnsi="Arial" w:cs="Arial"/>
        </w:rPr>
        <w:t>there are three reasons</w:t>
      </w:r>
      <w:r w:rsidRPr="00EA7665">
        <w:rPr>
          <w:rFonts w:ascii="Arial" w:hAnsi="Arial" w:cs="Arial"/>
        </w:rPr>
        <w:t xml:space="preserve"> why businesses raise </w:t>
      </w:r>
      <w:r>
        <w:rPr>
          <w:rFonts w:ascii="Arial" w:hAnsi="Arial" w:cs="Arial"/>
        </w:rPr>
        <w:t xml:space="preserve">finance, </w:t>
      </w:r>
      <w:r w:rsidRPr="00EA7665">
        <w:rPr>
          <w:rFonts w:ascii="Arial" w:hAnsi="Arial" w:cs="Arial"/>
        </w:rPr>
        <w:t xml:space="preserve">and they </w:t>
      </w:r>
      <w:r w:rsidR="001C240B" w:rsidRPr="00EA7665">
        <w:rPr>
          <w:rFonts w:ascii="Arial" w:hAnsi="Arial" w:cs="Arial"/>
        </w:rPr>
        <w:t>are</w:t>
      </w:r>
      <w:r w:rsidR="001C240B">
        <w:rPr>
          <w:rFonts w:ascii="Arial" w:hAnsi="Arial" w:cs="Arial"/>
        </w:rPr>
        <w:t>:</w:t>
      </w:r>
    </w:p>
    <w:p w14:paraId="02A59BDB" w14:textId="77777777" w:rsidR="00CD6352" w:rsidRPr="00EA7665" w:rsidRDefault="00CD6352" w:rsidP="00CD6352">
      <w:pPr>
        <w:numPr>
          <w:ilvl w:val="0"/>
          <w:numId w:val="7"/>
        </w:numPr>
        <w:spacing w:line="360" w:lineRule="auto"/>
        <w:jc w:val="both"/>
        <w:rPr>
          <w:rFonts w:ascii="Arial" w:hAnsi="Arial" w:cs="Arial"/>
        </w:rPr>
      </w:pPr>
      <w:r w:rsidRPr="00EA7665">
        <w:rPr>
          <w:rFonts w:ascii="Arial" w:hAnsi="Arial" w:cs="Arial"/>
        </w:rPr>
        <w:t>the reduction of a temporary imbalance between cash receipts and payments</w:t>
      </w:r>
    </w:p>
    <w:p w14:paraId="2658D948" w14:textId="77777777" w:rsidR="00CD6352" w:rsidRPr="00EA7665" w:rsidRDefault="00CD6352" w:rsidP="00CD6352">
      <w:pPr>
        <w:numPr>
          <w:ilvl w:val="0"/>
          <w:numId w:val="7"/>
        </w:numPr>
        <w:spacing w:line="360" w:lineRule="auto"/>
        <w:jc w:val="both"/>
        <w:rPr>
          <w:rFonts w:ascii="Arial" w:hAnsi="Arial" w:cs="Arial"/>
        </w:rPr>
      </w:pPr>
      <w:r w:rsidRPr="00EA7665">
        <w:rPr>
          <w:rFonts w:ascii="Arial" w:hAnsi="Arial" w:cs="Arial"/>
        </w:rPr>
        <w:t>the purchase of long-term assets</w:t>
      </w:r>
    </w:p>
    <w:p w14:paraId="399465E4" w14:textId="77777777" w:rsidR="00CD6352" w:rsidRPr="00EA7665" w:rsidRDefault="00CD6352" w:rsidP="00CD6352">
      <w:pPr>
        <w:numPr>
          <w:ilvl w:val="0"/>
          <w:numId w:val="7"/>
        </w:numPr>
        <w:spacing w:line="360" w:lineRule="auto"/>
        <w:jc w:val="both"/>
        <w:rPr>
          <w:rFonts w:ascii="Arial" w:hAnsi="Arial" w:cs="Arial"/>
        </w:rPr>
      </w:pPr>
      <w:r w:rsidRPr="00EA7665">
        <w:rPr>
          <w:rFonts w:ascii="Arial" w:hAnsi="Arial" w:cs="Arial"/>
        </w:rPr>
        <w:t xml:space="preserve"> working capital requirement</w:t>
      </w:r>
    </w:p>
    <w:p w14:paraId="0D15B84B" w14:textId="23FE841D" w:rsidR="00CD6352" w:rsidRPr="00EA7665" w:rsidRDefault="00CD6352" w:rsidP="00CD6352">
      <w:pPr>
        <w:spacing w:line="360" w:lineRule="auto"/>
        <w:jc w:val="both"/>
        <w:rPr>
          <w:rFonts w:ascii="Arial" w:hAnsi="Arial" w:cs="Arial"/>
        </w:rPr>
      </w:pPr>
      <w:r w:rsidRPr="00EA7665">
        <w:rPr>
          <w:rFonts w:ascii="Arial" w:hAnsi="Arial" w:cs="Arial"/>
        </w:rPr>
        <w:t xml:space="preserve">There </w:t>
      </w:r>
      <w:r w:rsidR="002A5075">
        <w:rPr>
          <w:rFonts w:ascii="Arial" w:hAnsi="Arial" w:cs="Arial"/>
        </w:rPr>
        <w:t>is</w:t>
      </w:r>
      <w:r w:rsidRPr="00EA7665">
        <w:rPr>
          <w:rFonts w:ascii="Arial" w:hAnsi="Arial" w:cs="Arial"/>
        </w:rPr>
        <w:t xml:space="preserve"> a range of finance </w:t>
      </w:r>
      <w:r>
        <w:rPr>
          <w:rFonts w:ascii="Arial" w:hAnsi="Arial" w:cs="Arial"/>
        </w:rPr>
        <w:t>options</w:t>
      </w:r>
      <w:r w:rsidRPr="00EA7665">
        <w:rPr>
          <w:rFonts w:ascii="Arial" w:hAnsi="Arial" w:cs="Arial"/>
        </w:rPr>
        <w:t xml:space="preserve"> available </w:t>
      </w:r>
      <w:r>
        <w:rPr>
          <w:rFonts w:ascii="Arial" w:hAnsi="Arial" w:cs="Arial"/>
        </w:rPr>
        <w:t>for real estate project development</w:t>
      </w:r>
      <w:r w:rsidR="009826B8">
        <w:rPr>
          <w:rFonts w:ascii="Arial" w:hAnsi="Arial" w:cs="Arial"/>
        </w:rPr>
        <w:t>,</w:t>
      </w:r>
      <w:r>
        <w:rPr>
          <w:rFonts w:ascii="Arial" w:hAnsi="Arial" w:cs="Arial"/>
        </w:rPr>
        <w:t xml:space="preserve"> and these </w:t>
      </w:r>
      <w:r w:rsidRPr="00EA7665">
        <w:rPr>
          <w:rFonts w:ascii="Arial" w:hAnsi="Arial" w:cs="Arial"/>
        </w:rPr>
        <w:t>could be through equity, debt finance</w:t>
      </w:r>
      <w:r w:rsidR="002A5075">
        <w:rPr>
          <w:rFonts w:ascii="Arial" w:hAnsi="Arial" w:cs="Arial"/>
        </w:rPr>
        <w:t>,</w:t>
      </w:r>
      <w:r w:rsidRPr="00EA7665">
        <w:rPr>
          <w:rFonts w:ascii="Arial" w:hAnsi="Arial" w:cs="Arial"/>
        </w:rPr>
        <w:t xml:space="preserve"> or creative or innovative finance</w:t>
      </w:r>
      <w:r w:rsidR="00302382">
        <w:rPr>
          <w:rFonts w:ascii="Arial" w:hAnsi="Arial" w:cs="Arial"/>
        </w:rPr>
        <w:t xml:space="preserve">. </w:t>
      </w:r>
      <w:r>
        <w:rPr>
          <w:rFonts w:ascii="Arial" w:hAnsi="Arial" w:cs="Arial"/>
        </w:rPr>
        <w:t xml:space="preserve">Furthermore, </w:t>
      </w:r>
      <w:r w:rsidR="009826B8">
        <w:rPr>
          <w:rFonts w:ascii="Arial" w:hAnsi="Arial" w:cs="Arial"/>
        </w:rPr>
        <w:t>developers' finance option</w:t>
      </w:r>
      <w:r w:rsidRPr="00EA7665">
        <w:rPr>
          <w:rFonts w:ascii="Arial" w:hAnsi="Arial" w:cs="Arial"/>
        </w:rPr>
        <w:t>s are often unique to their operational environment</w:t>
      </w:r>
      <w:r w:rsidR="009826B8">
        <w:rPr>
          <w:rFonts w:ascii="Arial" w:hAnsi="Arial" w:cs="Arial"/>
        </w:rPr>
        <w:t>,</w:t>
      </w:r>
      <w:r>
        <w:rPr>
          <w:rFonts w:ascii="Arial" w:hAnsi="Arial" w:cs="Arial"/>
        </w:rPr>
        <w:t xml:space="preserve"> and thus funds could come through the private or public </w:t>
      </w:r>
      <w:r w:rsidR="00BA4D32">
        <w:rPr>
          <w:rFonts w:ascii="Arial" w:hAnsi="Arial" w:cs="Arial"/>
        </w:rPr>
        <w:t>sector</w:t>
      </w:r>
      <w:r w:rsidR="00064C0C">
        <w:rPr>
          <w:rFonts w:ascii="Arial" w:hAnsi="Arial" w:cs="Arial"/>
        </w:rPr>
        <w:t>.</w:t>
      </w:r>
    </w:p>
    <w:p w14:paraId="154BCE45" w14:textId="77777777" w:rsidR="00CD6352" w:rsidRPr="00EA7665" w:rsidRDefault="00CD6352" w:rsidP="00CD6352">
      <w:pPr>
        <w:pStyle w:val="Heading3"/>
        <w:spacing w:after="240"/>
        <w:rPr>
          <w:sz w:val="22"/>
          <w:szCs w:val="22"/>
        </w:rPr>
      </w:pPr>
      <w:bookmarkStart w:id="763" w:name="_Toc78983792"/>
      <w:r w:rsidRPr="00EA7665">
        <w:rPr>
          <w:sz w:val="22"/>
          <w:szCs w:val="22"/>
        </w:rPr>
        <w:t>Equity financing</w:t>
      </w:r>
      <w:bookmarkEnd w:id="763"/>
      <w:r w:rsidRPr="00EA7665">
        <w:rPr>
          <w:sz w:val="22"/>
          <w:szCs w:val="22"/>
        </w:rPr>
        <w:t xml:space="preserve"> </w:t>
      </w:r>
    </w:p>
    <w:p w14:paraId="1834E950" w14:textId="6A9CFE0F" w:rsidR="00CD6352" w:rsidRPr="00EA7665" w:rsidRDefault="00CD6352" w:rsidP="00CD6352">
      <w:pPr>
        <w:spacing w:line="360" w:lineRule="auto"/>
        <w:jc w:val="both"/>
        <w:rPr>
          <w:rFonts w:ascii="Arial" w:hAnsi="Arial" w:cs="Arial"/>
        </w:rPr>
      </w:pPr>
      <w:r w:rsidRPr="00EA7665">
        <w:rPr>
          <w:rFonts w:ascii="Arial" w:hAnsi="Arial" w:cs="Arial"/>
        </w:rPr>
        <w:t>Equity investment in the real estate sector could be in mature, stable assets or land speculation and development projects</w:t>
      </w:r>
      <w:r>
        <w:rPr>
          <w:rFonts w:ascii="Arial" w:hAnsi="Arial" w:cs="Arial"/>
        </w:rPr>
        <w:t xml:space="preserve"> </w:t>
      </w:r>
      <w:r w:rsidRPr="00EA7665">
        <w:rPr>
          <w:rFonts w:ascii="Arial" w:hAnsi="Arial" w:cs="Arial"/>
        </w:rPr>
        <w:t>(Glickman, 2014</w:t>
      </w:r>
      <w:r w:rsidR="00BA4D32" w:rsidRPr="00EA7665">
        <w:rPr>
          <w:rFonts w:ascii="Arial" w:hAnsi="Arial" w:cs="Arial"/>
        </w:rPr>
        <w:t>)</w:t>
      </w:r>
      <w:r w:rsidR="00BA4D32">
        <w:rPr>
          <w:rFonts w:ascii="Arial" w:hAnsi="Arial" w:cs="Arial"/>
        </w:rPr>
        <w:t>.</w:t>
      </w:r>
      <w:r w:rsidRPr="00EA7665">
        <w:rPr>
          <w:rFonts w:ascii="Arial" w:hAnsi="Arial" w:cs="Arial"/>
        </w:rPr>
        <w:t xml:space="preserve"> Largely the form of the legal entity that holds the property determines the characteristics of the investment/financing. Equity </w:t>
      </w:r>
      <w:r w:rsidRPr="00EA7665">
        <w:rPr>
          <w:rFonts w:ascii="Arial" w:hAnsi="Arial" w:cs="Arial"/>
        </w:rPr>
        <w:lastRenderedPageBreak/>
        <w:t xml:space="preserve">investments can be established as </w:t>
      </w:r>
      <w:r w:rsidR="00B2664B">
        <w:rPr>
          <w:rFonts w:ascii="Arial" w:hAnsi="Arial" w:cs="Arial"/>
        </w:rPr>
        <w:t xml:space="preserve">a </w:t>
      </w:r>
      <w:r w:rsidRPr="00EA7665">
        <w:rPr>
          <w:rFonts w:ascii="Arial" w:hAnsi="Arial" w:cs="Arial"/>
        </w:rPr>
        <w:t>proprietorship, partnerships, joint venture, limited liability corporations, real estate investment trust (REIT</w:t>
      </w:r>
      <w:r w:rsidR="008C633C">
        <w:rPr>
          <w:rFonts w:ascii="Arial" w:hAnsi="Arial" w:cs="Arial"/>
        </w:rPr>
        <w:t>s</w:t>
      </w:r>
      <w:r w:rsidRPr="00EA7665">
        <w:rPr>
          <w:rFonts w:ascii="Arial" w:hAnsi="Arial" w:cs="Arial"/>
        </w:rPr>
        <w:t>)</w:t>
      </w:r>
      <w:r w:rsidR="00AA1A22">
        <w:rPr>
          <w:rFonts w:ascii="Arial" w:hAnsi="Arial" w:cs="Arial"/>
        </w:rPr>
        <w:t>,</w:t>
      </w:r>
      <w:r w:rsidRPr="00EA7665">
        <w:rPr>
          <w:rFonts w:ascii="Arial" w:hAnsi="Arial" w:cs="Arial"/>
        </w:rPr>
        <w:t xml:space="preserve"> and </w:t>
      </w:r>
      <w:r w:rsidR="00B02393" w:rsidRPr="00B02393">
        <w:rPr>
          <w:rFonts w:ascii="Arial" w:hAnsi="Arial" w:cs="Arial"/>
        </w:rPr>
        <w:t xml:space="preserve">real estate operating company </w:t>
      </w:r>
      <w:r w:rsidRPr="00B02393">
        <w:rPr>
          <w:rFonts w:ascii="Arial" w:hAnsi="Arial" w:cs="Arial"/>
        </w:rPr>
        <w:t>REOCs.</w:t>
      </w:r>
      <w:r w:rsidRPr="00EA7665">
        <w:rPr>
          <w:rFonts w:ascii="Arial" w:hAnsi="Arial" w:cs="Arial"/>
        </w:rPr>
        <w:t xml:space="preserve"> Both individual and institutional investors use all these platforms to secure finance for real estate project development (Edward et al., 2014). </w:t>
      </w:r>
    </w:p>
    <w:p w14:paraId="40E75709" w14:textId="27E8851B" w:rsidR="00CD6352" w:rsidRPr="00EA7665" w:rsidRDefault="00CD6352" w:rsidP="00CD6352">
      <w:pPr>
        <w:spacing w:line="360" w:lineRule="auto"/>
        <w:jc w:val="both"/>
        <w:rPr>
          <w:rFonts w:ascii="Arial" w:hAnsi="Arial" w:cs="Arial"/>
        </w:rPr>
      </w:pPr>
      <w:r w:rsidRPr="00EA7665">
        <w:rPr>
          <w:rFonts w:ascii="Arial" w:hAnsi="Arial" w:cs="Arial"/>
        </w:rPr>
        <w:t>Equity financing for real estate development can be structured in many ways, and it could be public or private. Special purpose companies could issue stocks to raise finance for real estate project development</w:t>
      </w:r>
      <w:r>
        <w:rPr>
          <w:rFonts w:ascii="Arial" w:hAnsi="Arial" w:cs="Arial"/>
        </w:rPr>
        <w:t>. T</w:t>
      </w:r>
      <w:r w:rsidRPr="00EA7665">
        <w:rPr>
          <w:rFonts w:ascii="Arial" w:hAnsi="Arial" w:cs="Arial"/>
        </w:rPr>
        <w:t xml:space="preserve">he </w:t>
      </w:r>
      <w:r w:rsidR="009826B8">
        <w:rPr>
          <w:rFonts w:ascii="Arial" w:hAnsi="Arial" w:cs="Arial"/>
        </w:rPr>
        <w:t>shareholders' financial capacity restricts private equity finance while</w:t>
      </w:r>
      <w:r w:rsidRPr="00EA7665">
        <w:rPr>
          <w:rFonts w:ascii="Arial" w:hAnsi="Arial" w:cs="Arial"/>
        </w:rPr>
        <w:t xml:space="preserve"> strict regulations and policies control public equity financing (Ke et al., 2007). </w:t>
      </w:r>
      <w:r w:rsidR="009826B8">
        <w:rPr>
          <w:rFonts w:ascii="Arial" w:hAnsi="Arial" w:cs="Arial"/>
        </w:rPr>
        <w:t>REITs' structure</w:t>
      </w:r>
      <w:r w:rsidRPr="00EA7665">
        <w:rPr>
          <w:rFonts w:ascii="Arial" w:hAnsi="Arial" w:cs="Arial"/>
        </w:rPr>
        <w:t xml:space="preserve"> </w:t>
      </w:r>
      <w:r>
        <w:rPr>
          <w:rFonts w:ascii="Arial" w:hAnsi="Arial" w:cs="Arial"/>
        </w:rPr>
        <w:t>is</w:t>
      </w:r>
      <w:r w:rsidRPr="00EA7665">
        <w:rPr>
          <w:rFonts w:ascii="Arial" w:hAnsi="Arial" w:cs="Arial"/>
        </w:rPr>
        <w:t xml:space="preserve"> often </w:t>
      </w:r>
      <w:r w:rsidR="00064C0C">
        <w:rPr>
          <w:rFonts w:ascii="Arial" w:hAnsi="Arial" w:cs="Arial"/>
        </w:rPr>
        <w:t>corporations whose primary business is ownership of debt and equity interest in real properties. T</w:t>
      </w:r>
      <w:r w:rsidRPr="00EA7665">
        <w:rPr>
          <w:rFonts w:ascii="Arial" w:hAnsi="Arial" w:cs="Arial"/>
        </w:rPr>
        <w:t xml:space="preserve">hey operate within certain parameters in return for </w:t>
      </w:r>
      <w:r w:rsidR="008638D3">
        <w:rPr>
          <w:rFonts w:ascii="Arial" w:hAnsi="Arial" w:cs="Arial"/>
        </w:rPr>
        <w:t xml:space="preserve">a </w:t>
      </w:r>
      <w:r w:rsidRPr="00EA7665">
        <w:rPr>
          <w:rFonts w:ascii="Arial" w:hAnsi="Arial" w:cs="Arial"/>
        </w:rPr>
        <w:t>favourable code of their country of origin (Glickman, 2014). REIT originated from the United States of America</w:t>
      </w:r>
      <w:r w:rsidR="00064C0C">
        <w:rPr>
          <w:rFonts w:ascii="Arial" w:hAnsi="Arial" w:cs="Arial"/>
        </w:rPr>
        <w:t>,</w:t>
      </w:r>
      <w:r w:rsidRPr="00EA7665">
        <w:rPr>
          <w:rFonts w:ascii="Arial" w:hAnsi="Arial" w:cs="Arial"/>
        </w:rPr>
        <w:t xml:space="preserve"> and </w:t>
      </w:r>
      <w:r>
        <w:rPr>
          <w:rFonts w:ascii="Arial" w:hAnsi="Arial" w:cs="Arial"/>
        </w:rPr>
        <w:t xml:space="preserve">they are </w:t>
      </w:r>
      <w:r w:rsidRPr="00EA7665">
        <w:rPr>
          <w:rFonts w:ascii="Arial" w:hAnsi="Arial" w:cs="Arial"/>
        </w:rPr>
        <w:t xml:space="preserve">also available in the United Kingdom, Germany, </w:t>
      </w:r>
      <w:r>
        <w:rPr>
          <w:rFonts w:ascii="Arial" w:hAnsi="Arial" w:cs="Arial"/>
        </w:rPr>
        <w:t xml:space="preserve">and </w:t>
      </w:r>
      <w:r w:rsidRPr="00EA7665">
        <w:rPr>
          <w:rFonts w:ascii="Arial" w:hAnsi="Arial" w:cs="Arial"/>
        </w:rPr>
        <w:t>South Africa</w:t>
      </w:r>
      <w:r w:rsidR="009826B8">
        <w:rPr>
          <w:rFonts w:ascii="Arial" w:hAnsi="Arial" w:cs="Arial"/>
        </w:rPr>
        <w:t>,</w:t>
      </w:r>
      <w:r w:rsidRPr="00EA7665">
        <w:rPr>
          <w:rFonts w:ascii="Arial" w:hAnsi="Arial" w:cs="Arial"/>
        </w:rPr>
        <w:t xml:space="preserve"> but </w:t>
      </w:r>
      <w:r>
        <w:rPr>
          <w:rFonts w:ascii="Arial" w:hAnsi="Arial" w:cs="Arial"/>
        </w:rPr>
        <w:t>they have</w:t>
      </w:r>
      <w:r w:rsidRPr="00EA7665">
        <w:rPr>
          <w:rFonts w:ascii="Arial" w:hAnsi="Arial" w:cs="Arial"/>
        </w:rPr>
        <w:t xml:space="preserve"> a limited presence in Nigeria (Ogbenjuwa et al., 2018). REITs are mostly traded on the public stock exchange and are not subject to corporate-level tax. The REIT market is unique; on the one hand, it shares the characteristics of the broad real estate market, and on the other hand, it possesses qualities of the public stock market. </w:t>
      </w:r>
      <w:r w:rsidR="009826B8">
        <w:rPr>
          <w:rFonts w:ascii="Arial" w:hAnsi="Arial" w:cs="Arial"/>
        </w:rPr>
        <w:t>C</w:t>
      </w:r>
      <w:r w:rsidRPr="00EA7665">
        <w:rPr>
          <w:rFonts w:ascii="Arial" w:hAnsi="Arial" w:cs="Arial"/>
        </w:rPr>
        <w:t xml:space="preserve">ompared to ordinary common stocks, ‘REITs may possess distinct risk-return characteristics’ and </w:t>
      </w:r>
      <w:r w:rsidR="00B933F9">
        <w:rPr>
          <w:rFonts w:ascii="Arial" w:hAnsi="Arial" w:cs="Arial"/>
        </w:rPr>
        <w:t>significantly contribute</w:t>
      </w:r>
      <w:r w:rsidRPr="00EA7665">
        <w:rPr>
          <w:rFonts w:ascii="Arial" w:hAnsi="Arial" w:cs="Arial"/>
        </w:rPr>
        <w:t xml:space="preserve"> to the fast growth in market capitalisation in recent decades (Graham-Rowe, 2009).</w:t>
      </w:r>
    </w:p>
    <w:p w14:paraId="0602DE39" w14:textId="07BABDCE" w:rsidR="00CD6352" w:rsidRPr="00EA7665" w:rsidRDefault="00CD6352" w:rsidP="00CD6352">
      <w:pPr>
        <w:spacing w:line="360" w:lineRule="auto"/>
        <w:jc w:val="both"/>
        <w:rPr>
          <w:rFonts w:ascii="Arial" w:hAnsi="Arial" w:cs="Arial"/>
        </w:rPr>
      </w:pPr>
      <w:r w:rsidRPr="00EA7665">
        <w:rPr>
          <w:rFonts w:ascii="Arial" w:hAnsi="Arial" w:cs="Arial"/>
        </w:rPr>
        <w:t xml:space="preserve">Most private equity companies involved in </w:t>
      </w:r>
      <w:r>
        <w:rPr>
          <w:rFonts w:ascii="Arial" w:hAnsi="Arial" w:cs="Arial"/>
        </w:rPr>
        <w:t>r</w:t>
      </w:r>
      <w:r w:rsidRPr="00EA7665">
        <w:rPr>
          <w:rFonts w:ascii="Arial" w:hAnsi="Arial" w:cs="Arial"/>
        </w:rPr>
        <w:t>eal estate are large institutional investors</w:t>
      </w:r>
      <w:r>
        <w:rPr>
          <w:rFonts w:ascii="Arial" w:hAnsi="Arial" w:cs="Arial"/>
        </w:rPr>
        <w:t>,</w:t>
      </w:r>
      <w:r w:rsidRPr="00EA7665">
        <w:rPr>
          <w:rFonts w:ascii="Arial" w:hAnsi="Arial" w:cs="Arial"/>
        </w:rPr>
        <w:t xml:space="preserve"> such as </w:t>
      </w:r>
      <w:r>
        <w:rPr>
          <w:rFonts w:ascii="Arial" w:hAnsi="Arial" w:cs="Arial"/>
        </w:rPr>
        <w:t>p</w:t>
      </w:r>
      <w:r w:rsidRPr="00EA7665">
        <w:rPr>
          <w:rFonts w:ascii="Arial" w:hAnsi="Arial" w:cs="Arial"/>
        </w:rPr>
        <w:t>ension funds</w:t>
      </w:r>
      <w:r>
        <w:rPr>
          <w:rFonts w:ascii="Arial" w:hAnsi="Arial" w:cs="Arial"/>
        </w:rPr>
        <w:t>,</w:t>
      </w:r>
      <w:r w:rsidRPr="00EA7665">
        <w:rPr>
          <w:rFonts w:ascii="Arial" w:hAnsi="Arial" w:cs="Arial"/>
        </w:rPr>
        <w:t xml:space="preserve"> and large private equity funded by a group of accredited investors (Segal, 2019). There are different types of private equity investment vehicles in the real estate capital marke</w:t>
      </w:r>
      <w:r>
        <w:rPr>
          <w:rFonts w:ascii="Arial" w:hAnsi="Arial" w:cs="Arial"/>
        </w:rPr>
        <w:t>t</w:t>
      </w:r>
      <w:r w:rsidRPr="00EA7665">
        <w:rPr>
          <w:rFonts w:ascii="Arial" w:hAnsi="Arial" w:cs="Arial"/>
        </w:rPr>
        <w:t xml:space="preserve">. Investors that invest directly in the property and own an interest in the assets are known as direct investors. Investors that purchase an interest in entities that control assets are indirect investors. Private investment could be through a partnership, pension funds, and insurance companies; private equity is a </w:t>
      </w:r>
      <w:r w:rsidR="00B933F9">
        <w:rPr>
          <w:rFonts w:ascii="Arial" w:hAnsi="Arial" w:cs="Arial"/>
        </w:rPr>
        <w:t>capital source</w:t>
      </w:r>
      <w:r w:rsidRPr="00EA7665">
        <w:rPr>
          <w:rFonts w:ascii="Arial" w:hAnsi="Arial" w:cs="Arial"/>
        </w:rPr>
        <w:t xml:space="preserve"> raised outside the public equity market for investment (Gregory, 2013). Private equity firms make investments in real estate development firms, either directly or through joint ventures</w:t>
      </w:r>
      <w:r w:rsidR="009826B8">
        <w:rPr>
          <w:rFonts w:ascii="Arial" w:hAnsi="Arial" w:cs="Arial"/>
        </w:rPr>
        <w:t>,</w:t>
      </w:r>
      <w:r w:rsidRPr="00EA7665">
        <w:rPr>
          <w:rFonts w:ascii="Arial" w:hAnsi="Arial" w:cs="Arial"/>
        </w:rPr>
        <w:t xml:space="preserve"> and they raise opportunistic capital from high-net-worth individuals and financial institutions. </w:t>
      </w:r>
      <w:r w:rsidR="00B933F9">
        <w:rPr>
          <w:rFonts w:ascii="Arial" w:hAnsi="Arial" w:cs="Arial"/>
        </w:rPr>
        <w:t>Private equity firms are interested in taking greater risks to achieve higher returns than insurance companies and pension funds.</w:t>
      </w:r>
    </w:p>
    <w:p w14:paraId="3713DE0A" w14:textId="77777777" w:rsidR="00CD6352" w:rsidRPr="00EA7665" w:rsidRDefault="00CD6352" w:rsidP="00CD6352">
      <w:pPr>
        <w:pStyle w:val="Heading3"/>
        <w:spacing w:after="240"/>
        <w:rPr>
          <w:sz w:val="22"/>
          <w:szCs w:val="22"/>
        </w:rPr>
      </w:pPr>
      <w:bookmarkStart w:id="764" w:name="_Toc9533125"/>
      <w:bookmarkStart w:id="765" w:name="_Toc78983793"/>
      <w:r w:rsidRPr="00EA7665">
        <w:rPr>
          <w:sz w:val="22"/>
          <w:szCs w:val="22"/>
        </w:rPr>
        <w:t>Debt financing</w:t>
      </w:r>
      <w:bookmarkEnd w:id="764"/>
      <w:bookmarkEnd w:id="765"/>
    </w:p>
    <w:p w14:paraId="1039FB5B" w14:textId="13197B96" w:rsidR="00CD6352" w:rsidRPr="00EA7665" w:rsidRDefault="00CD6352" w:rsidP="00CD6352">
      <w:pPr>
        <w:spacing w:line="360" w:lineRule="auto"/>
        <w:jc w:val="both"/>
        <w:rPr>
          <w:rFonts w:ascii="Arial" w:hAnsi="Arial" w:cs="Arial"/>
        </w:rPr>
      </w:pPr>
      <w:r w:rsidRPr="00EA7665">
        <w:rPr>
          <w:rFonts w:ascii="Arial" w:hAnsi="Arial" w:cs="Arial"/>
        </w:rPr>
        <w:t>Debt finance is all about risk and returns; it enables developers and managers who do not have the upfront capital to undertake projects</w:t>
      </w:r>
      <w:r>
        <w:rPr>
          <w:rFonts w:ascii="Arial" w:hAnsi="Arial" w:cs="Arial"/>
        </w:rPr>
        <w:t>. Often m</w:t>
      </w:r>
      <w:r w:rsidRPr="00EA7665">
        <w:rPr>
          <w:rFonts w:ascii="Arial" w:hAnsi="Arial" w:cs="Arial"/>
        </w:rPr>
        <w:t xml:space="preserve">ost </w:t>
      </w:r>
      <w:r>
        <w:rPr>
          <w:rFonts w:ascii="Arial" w:hAnsi="Arial" w:cs="Arial"/>
        </w:rPr>
        <w:t>managers</w:t>
      </w:r>
      <w:r w:rsidRPr="00EA7665">
        <w:rPr>
          <w:rFonts w:ascii="Arial" w:hAnsi="Arial" w:cs="Arial"/>
        </w:rPr>
        <w:t xml:space="preserve"> borrow funds on a project-specific basis</w:t>
      </w:r>
      <w:r w:rsidR="00833C58">
        <w:rPr>
          <w:rFonts w:ascii="Arial" w:hAnsi="Arial" w:cs="Arial"/>
        </w:rPr>
        <w:t>.</w:t>
      </w:r>
      <w:r w:rsidRPr="00EA7665">
        <w:rPr>
          <w:rFonts w:ascii="Arial" w:hAnsi="Arial" w:cs="Arial"/>
        </w:rPr>
        <w:t xml:space="preserve">  Debt financing, also known as leverage, can increase the </w:t>
      </w:r>
      <w:r w:rsidR="009826B8">
        <w:rPr>
          <w:rFonts w:ascii="Arial" w:hAnsi="Arial" w:cs="Arial"/>
        </w:rPr>
        <w:t>investment returns,</w:t>
      </w:r>
      <w:r w:rsidRPr="00EA7665">
        <w:rPr>
          <w:rFonts w:ascii="Arial" w:hAnsi="Arial" w:cs="Arial"/>
        </w:rPr>
        <w:t xml:space="preserve"> but </w:t>
      </w:r>
      <w:r>
        <w:rPr>
          <w:rFonts w:ascii="Arial" w:hAnsi="Arial" w:cs="Arial"/>
        </w:rPr>
        <w:t xml:space="preserve">it </w:t>
      </w:r>
      <w:r w:rsidRPr="00EA7665">
        <w:rPr>
          <w:rFonts w:ascii="Arial" w:hAnsi="Arial" w:cs="Arial"/>
        </w:rPr>
        <w:t xml:space="preserve">also increases the risk. Debt finance for real estate project development is </w:t>
      </w:r>
      <w:r>
        <w:rPr>
          <w:rFonts w:ascii="Arial" w:hAnsi="Arial" w:cs="Arial"/>
        </w:rPr>
        <w:t>mainly through</w:t>
      </w:r>
      <w:r w:rsidRPr="00EA7665">
        <w:rPr>
          <w:rFonts w:ascii="Arial" w:hAnsi="Arial" w:cs="Arial"/>
        </w:rPr>
        <w:t xml:space="preserve"> bank lending. However, post-2008 global financial crisis, financiers are focused on </w:t>
      </w:r>
      <w:r w:rsidRPr="00EA7665">
        <w:rPr>
          <w:rFonts w:ascii="Arial" w:hAnsi="Arial" w:cs="Arial"/>
        </w:rPr>
        <w:lastRenderedPageBreak/>
        <w:t>minimising risk through strategies such as reducing the debt finance available for projects, lending mostly to developers with an existing relationship with the bank, lending on safe developmen</w:t>
      </w:r>
      <w:r>
        <w:rPr>
          <w:rFonts w:ascii="Arial" w:hAnsi="Arial" w:cs="Arial"/>
        </w:rPr>
        <w:t xml:space="preserve">ts </w:t>
      </w:r>
      <w:r w:rsidRPr="00EA7665">
        <w:rPr>
          <w:rFonts w:ascii="Arial" w:hAnsi="Arial" w:cs="Arial"/>
        </w:rPr>
        <w:t>with proven sales recor</w:t>
      </w:r>
      <w:r>
        <w:rPr>
          <w:rFonts w:ascii="Arial" w:hAnsi="Arial" w:cs="Arial"/>
        </w:rPr>
        <w:t>ds</w:t>
      </w:r>
      <w:r w:rsidR="009C65A7">
        <w:rPr>
          <w:rFonts w:ascii="Arial" w:hAnsi="Arial" w:cs="Arial"/>
        </w:rPr>
        <w:t>,</w:t>
      </w:r>
      <w:r w:rsidRPr="00EA7665">
        <w:rPr>
          <w:rFonts w:ascii="Arial" w:hAnsi="Arial" w:cs="Arial"/>
        </w:rPr>
        <w:t xml:space="preserve"> and setting</w:t>
      </w:r>
      <w:r>
        <w:rPr>
          <w:rFonts w:ascii="Arial" w:hAnsi="Arial" w:cs="Arial"/>
        </w:rPr>
        <w:t xml:space="preserve"> a</w:t>
      </w:r>
      <w:r w:rsidRPr="00EA7665">
        <w:rPr>
          <w:rFonts w:ascii="Arial" w:hAnsi="Arial" w:cs="Arial"/>
        </w:rPr>
        <w:t xml:space="preserve"> series of covenants to reduce risk (Rowley et al., 2014). The most common debt used for the housing business is commercial mortgages</w:t>
      </w:r>
      <w:r w:rsidR="00833C58">
        <w:rPr>
          <w:rFonts w:ascii="Arial" w:hAnsi="Arial" w:cs="Arial"/>
        </w:rPr>
        <w:t>. The lender</w:t>
      </w:r>
      <w:r w:rsidRPr="00EA7665">
        <w:rPr>
          <w:rFonts w:ascii="Arial" w:hAnsi="Arial" w:cs="Arial"/>
        </w:rPr>
        <w:t>s expect that the property will generate cash flow to support the debt repayments (Glickman, 2014). Debt finance is significantly used in both developed and emerging economies to finance real estate project development (Ogbenjuwa and Egbu, 2017).</w:t>
      </w:r>
    </w:p>
    <w:p w14:paraId="1B6C7DBF" w14:textId="72E031EA" w:rsidR="00CD6352" w:rsidRDefault="00CD6352" w:rsidP="00CD6352">
      <w:pPr>
        <w:spacing w:line="360" w:lineRule="auto"/>
        <w:jc w:val="both"/>
        <w:rPr>
          <w:rFonts w:ascii="Arial" w:hAnsi="Arial" w:cs="Arial"/>
        </w:rPr>
      </w:pPr>
      <w:r>
        <w:rPr>
          <w:rFonts w:ascii="Arial" w:hAnsi="Arial" w:cs="Arial"/>
        </w:rPr>
        <w:t>T</w:t>
      </w:r>
      <w:r w:rsidRPr="00EA7665">
        <w:rPr>
          <w:rFonts w:ascii="Arial" w:hAnsi="Arial" w:cs="Arial"/>
        </w:rPr>
        <w:t>h</w:t>
      </w:r>
      <w:r w:rsidR="009826B8">
        <w:rPr>
          <w:rFonts w:ascii="Arial" w:hAnsi="Arial" w:cs="Arial"/>
        </w:rPr>
        <w:t>ough not an integral part of the Eurobond, the real estate sector</w:t>
      </w:r>
      <w:r w:rsidRPr="00EA7665">
        <w:rPr>
          <w:rFonts w:ascii="Arial" w:hAnsi="Arial" w:cs="Arial"/>
        </w:rPr>
        <w:t xml:space="preserve"> is </w:t>
      </w:r>
      <w:r w:rsidR="008638D3">
        <w:rPr>
          <w:rFonts w:ascii="Arial" w:hAnsi="Arial" w:cs="Arial"/>
        </w:rPr>
        <w:t>beneficial, especially in mature</w:t>
      </w:r>
      <w:r w:rsidR="00B46021">
        <w:rPr>
          <w:rFonts w:ascii="Arial" w:hAnsi="Arial" w:cs="Arial"/>
        </w:rPr>
        <w:t xml:space="preserve"> real estate markets like</w:t>
      </w:r>
      <w:r>
        <w:rPr>
          <w:rFonts w:ascii="Arial" w:hAnsi="Arial" w:cs="Arial"/>
        </w:rPr>
        <w:t xml:space="preserve"> the</w:t>
      </w:r>
      <w:r w:rsidRPr="00EA7665">
        <w:rPr>
          <w:rFonts w:ascii="Arial" w:hAnsi="Arial" w:cs="Arial"/>
        </w:rPr>
        <w:t xml:space="preserve"> UK, </w:t>
      </w:r>
      <w:r>
        <w:rPr>
          <w:rFonts w:ascii="Arial" w:hAnsi="Arial" w:cs="Arial"/>
        </w:rPr>
        <w:t xml:space="preserve">the </w:t>
      </w:r>
      <w:r w:rsidRPr="00EA7665">
        <w:rPr>
          <w:rFonts w:ascii="Arial" w:hAnsi="Arial" w:cs="Arial"/>
        </w:rPr>
        <w:t>U.S, and Germany</w:t>
      </w:r>
      <w:r w:rsidR="00833C58">
        <w:rPr>
          <w:rFonts w:ascii="Arial" w:hAnsi="Arial" w:cs="Arial"/>
        </w:rPr>
        <w:t>.</w:t>
      </w:r>
      <w:r w:rsidR="008C633C">
        <w:rPr>
          <w:rFonts w:ascii="Arial" w:hAnsi="Arial" w:cs="Arial"/>
        </w:rPr>
        <w:t xml:space="preserve"> </w:t>
      </w:r>
      <w:r w:rsidRPr="00EA7665">
        <w:rPr>
          <w:rFonts w:ascii="Arial" w:hAnsi="Arial" w:cs="Arial"/>
        </w:rPr>
        <w:t xml:space="preserve">The Eurobond is in a currency other than the </w:t>
      </w:r>
      <w:r w:rsidR="008C633C">
        <w:rPr>
          <w:rFonts w:ascii="Arial" w:hAnsi="Arial" w:cs="Arial"/>
        </w:rPr>
        <w:t>country's home currenc</w:t>
      </w:r>
      <w:r w:rsidRPr="00EA7665">
        <w:rPr>
          <w:rFonts w:ascii="Arial" w:hAnsi="Arial" w:cs="Arial"/>
        </w:rPr>
        <w:t>y or market in which it is issued</w:t>
      </w:r>
      <w:r w:rsidR="00833C58">
        <w:rPr>
          <w:rFonts w:ascii="Arial" w:hAnsi="Arial" w:cs="Arial"/>
        </w:rPr>
        <w:t>. T</w:t>
      </w:r>
      <w:r w:rsidRPr="00EA7665">
        <w:rPr>
          <w:rFonts w:ascii="Arial" w:hAnsi="Arial" w:cs="Arial"/>
        </w:rPr>
        <w:t xml:space="preserve">hey are grouped by the currency in which they are denominated, such as Eurodollar or Euroyen bonds. </w:t>
      </w:r>
      <w:r w:rsidR="009826B8">
        <w:rPr>
          <w:rFonts w:ascii="Arial" w:hAnsi="Arial" w:cs="Arial"/>
        </w:rPr>
        <w:t>Eurobond's issuance</w:t>
      </w:r>
      <w:r w:rsidRPr="00EA7665">
        <w:rPr>
          <w:rFonts w:ascii="Arial" w:hAnsi="Arial" w:cs="Arial"/>
        </w:rPr>
        <w:t xml:space="preserve"> is usually by an international syndicate of financial institutions on behalf of the borrower who will underwrite the bonds, thus guaranteeing the purchase of the entire issue (Chen, 2018). The term Euro bond </w:t>
      </w:r>
      <w:r w:rsidR="009826B8">
        <w:rPr>
          <w:rFonts w:ascii="Arial" w:hAnsi="Arial" w:cs="Arial"/>
        </w:rPr>
        <w:t>only indicates that the Bonds are issued outside the borders of the currency’s home country</w:t>
      </w:r>
      <w:r w:rsidRPr="00EA7665">
        <w:rPr>
          <w:rFonts w:ascii="Arial" w:hAnsi="Arial" w:cs="Arial"/>
        </w:rPr>
        <w:t xml:space="preserve"> and not denominated in Euros. </w:t>
      </w:r>
      <w:bookmarkStart w:id="766" w:name="_Toc9533126"/>
    </w:p>
    <w:p w14:paraId="2C20B7E5" w14:textId="77777777" w:rsidR="00CD6352" w:rsidRPr="00DF32A0" w:rsidRDefault="00CD6352" w:rsidP="00CD6352">
      <w:pPr>
        <w:pStyle w:val="Heading3"/>
        <w:spacing w:after="240"/>
        <w:rPr>
          <w:sz w:val="22"/>
          <w:szCs w:val="22"/>
        </w:rPr>
      </w:pPr>
      <w:bookmarkStart w:id="767" w:name="_Toc78983794"/>
      <w:r w:rsidRPr="00DF32A0">
        <w:rPr>
          <w:sz w:val="22"/>
          <w:szCs w:val="22"/>
        </w:rPr>
        <w:t>Innovative real estate financing options</w:t>
      </w:r>
      <w:bookmarkEnd w:id="766"/>
      <w:bookmarkEnd w:id="767"/>
    </w:p>
    <w:p w14:paraId="4C894A30" w14:textId="57C97E68" w:rsidR="00CD6352" w:rsidRPr="00EA7665" w:rsidRDefault="00CD6352" w:rsidP="00CD6352">
      <w:pPr>
        <w:spacing w:line="360" w:lineRule="auto"/>
        <w:jc w:val="both"/>
        <w:rPr>
          <w:rFonts w:ascii="Arial" w:hAnsi="Arial" w:cs="Arial"/>
        </w:rPr>
      </w:pPr>
      <w:r w:rsidRPr="00EA7665">
        <w:rPr>
          <w:rFonts w:ascii="Arial" w:hAnsi="Arial" w:cs="Arial"/>
        </w:rPr>
        <w:t>The terms innovative and creative financing can be said to be synonyms. However, the sli</w:t>
      </w:r>
      <w:r w:rsidR="005102BD">
        <w:rPr>
          <w:rFonts w:ascii="Arial" w:hAnsi="Arial" w:cs="Arial"/>
        </w:rPr>
        <w:t>ght</w:t>
      </w:r>
      <w:r w:rsidRPr="00EA7665">
        <w:rPr>
          <w:rFonts w:ascii="Arial" w:hAnsi="Arial" w:cs="Arial"/>
        </w:rPr>
        <w:t xml:space="preserve"> difference relates to creativity, as a sense of creating capacity or ability to conceive something original and uncommon. </w:t>
      </w:r>
      <w:r w:rsidR="009826B8">
        <w:rPr>
          <w:rFonts w:ascii="Arial" w:hAnsi="Arial" w:cs="Arial"/>
        </w:rPr>
        <w:t>On the other hand, innovati</w:t>
      </w:r>
      <w:r w:rsidR="00D15D3D">
        <w:rPr>
          <w:rFonts w:ascii="Arial" w:hAnsi="Arial" w:cs="Arial"/>
        </w:rPr>
        <w:t>on</w:t>
      </w:r>
      <w:r w:rsidR="009826B8">
        <w:rPr>
          <w:rFonts w:ascii="Arial" w:hAnsi="Arial" w:cs="Arial"/>
        </w:rPr>
        <w:t xml:space="preserve"> </w:t>
      </w:r>
      <w:r w:rsidRPr="00EA7665">
        <w:rPr>
          <w:rFonts w:ascii="Arial" w:hAnsi="Arial" w:cs="Arial"/>
        </w:rPr>
        <w:t>is the inventive</w:t>
      </w:r>
      <w:r w:rsidR="00D15D3D">
        <w:rPr>
          <w:rFonts w:ascii="Arial" w:hAnsi="Arial" w:cs="Arial"/>
        </w:rPr>
        <w:t>n</w:t>
      </w:r>
      <w:r w:rsidRPr="00EA7665">
        <w:rPr>
          <w:rFonts w:ascii="Arial" w:hAnsi="Arial" w:cs="Arial"/>
        </w:rPr>
        <w:t>ess akin</w:t>
      </w:r>
      <w:r>
        <w:rPr>
          <w:rFonts w:ascii="Arial" w:hAnsi="Arial" w:cs="Arial"/>
        </w:rPr>
        <w:t xml:space="preserve"> to</w:t>
      </w:r>
      <w:r w:rsidRPr="00EA7665">
        <w:rPr>
          <w:rFonts w:ascii="Arial" w:hAnsi="Arial" w:cs="Arial"/>
        </w:rPr>
        <w:t xml:space="preserve"> the implementation process (Ogbenjuwa and Egbu, 2017). </w:t>
      </w:r>
      <w:r w:rsidR="008C633C">
        <w:rPr>
          <w:rFonts w:ascii="Arial" w:hAnsi="Arial" w:cs="Arial"/>
        </w:rPr>
        <w:t>The distinctive names of innovative and creative financing for this research</w:t>
      </w:r>
      <w:r w:rsidRPr="00EA7665">
        <w:rPr>
          <w:rFonts w:ascii="Arial" w:hAnsi="Arial" w:cs="Arial"/>
        </w:rPr>
        <w:t xml:space="preserve"> will be termed innovative financing.</w:t>
      </w:r>
      <w:r>
        <w:rPr>
          <w:rFonts w:ascii="Arial" w:hAnsi="Arial" w:cs="Arial"/>
        </w:rPr>
        <w:t xml:space="preserve"> </w:t>
      </w:r>
      <w:r w:rsidRPr="00EA7665">
        <w:rPr>
          <w:rFonts w:ascii="Arial" w:hAnsi="Arial" w:cs="Arial"/>
        </w:rPr>
        <w:t>There are various definitions of innovative financing. The World Bank defines innovative finance for real estate development as involving non-traditional forms of funding through private mechanisms, solidarity mechanism</w:t>
      </w:r>
      <w:r w:rsidR="00D15D3D">
        <w:rPr>
          <w:rFonts w:ascii="Arial" w:hAnsi="Arial" w:cs="Arial"/>
        </w:rPr>
        <w:t>s</w:t>
      </w:r>
      <w:r w:rsidRPr="00EA7665">
        <w:rPr>
          <w:rFonts w:ascii="Arial" w:hAnsi="Arial" w:cs="Arial"/>
        </w:rPr>
        <w:t xml:space="preserve">, public-private partnership (PPP) mechanism and catalyst mechanism (Grishankar, 2009). In real estate financing, innovative encompasses </w:t>
      </w:r>
      <w:r w:rsidR="009826B8">
        <w:rPr>
          <w:rFonts w:ascii="Arial" w:hAnsi="Arial" w:cs="Arial"/>
        </w:rPr>
        <w:t>bringing</w:t>
      </w:r>
      <w:r w:rsidRPr="00EA7665">
        <w:rPr>
          <w:rFonts w:ascii="Arial" w:hAnsi="Arial" w:cs="Arial"/>
        </w:rPr>
        <w:t xml:space="preserve"> existing options in readiness for a new market or in a market where their maximal effect is yet to be utilised (Ogbenjuwa et al., 2017).  </w:t>
      </w:r>
      <w:r w:rsidR="005102BD">
        <w:rPr>
          <w:rFonts w:ascii="Arial" w:hAnsi="Arial" w:cs="Arial"/>
        </w:rPr>
        <w:t>I</w:t>
      </w:r>
      <w:r w:rsidRPr="00EA7665">
        <w:rPr>
          <w:rFonts w:ascii="Arial" w:hAnsi="Arial" w:cs="Arial"/>
        </w:rPr>
        <w:t>nnovative financing is a mechanism to raise funds in addition to conventional methods a</w:t>
      </w:r>
      <w:r w:rsidR="005102BD">
        <w:rPr>
          <w:rFonts w:ascii="Arial" w:hAnsi="Arial" w:cs="Arial"/>
        </w:rPr>
        <w:t>nd</w:t>
      </w:r>
      <w:r w:rsidRPr="00EA7665">
        <w:rPr>
          <w:rFonts w:ascii="Arial" w:hAnsi="Arial" w:cs="Arial"/>
        </w:rPr>
        <w:t xml:space="preserve"> a mechanism to improve the use of the funds (Gargasson &amp; Salome (2010, pp 13). Hence, developers can finance from different channels, and this includes financing through landowners. Investing through landowners is prevalent in emerging economies like China</w:t>
      </w:r>
      <w:r w:rsidR="009826B8">
        <w:rPr>
          <w:rFonts w:ascii="Arial" w:hAnsi="Arial" w:cs="Arial"/>
        </w:rPr>
        <w:t>,</w:t>
      </w:r>
      <w:r w:rsidRPr="00EA7665">
        <w:rPr>
          <w:rFonts w:ascii="Arial" w:hAnsi="Arial" w:cs="Arial"/>
        </w:rPr>
        <w:t xml:space="preserve"> where local authorities and individuals allow the developers to pay for land</w:t>
      </w:r>
      <w:r>
        <w:rPr>
          <w:rFonts w:ascii="Arial" w:hAnsi="Arial" w:cs="Arial"/>
        </w:rPr>
        <w:t xml:space="preserve"> by instalments, transferring </w:t>
      </w:r>
      <w:r w:rsidRPr="00EA7665">
        <w:rPr>
          <w:rFonts w:ascii="Arial" w:hAnsi="Arial" w:cs="Arial"/>
        </w:rPr>
        <w:t xml:space="preserve">the right to use the land to the developer after payment of the deposit. The developers can also finance the contractors and subcontractors by paying them in arrears </w:t>
      </w:r>
      <w:r>
        <w:rPr>
          <w:rFonts w:ascii="Arial" w:hAnsi="Arial" w:cs="Arial"/>
        </w:rPr>
        <w:t>and</w:t>
      </w:r>
      <w:r w:rsidRPr="00EA7665">
        <w:rPr>
          <w:rFonts w:ascii="Arial" w:hAnsi="Arial" w:cs="Arial"/>
        </w:rPr>
        <w:t xml:space="preserve"> support buyers through pre-sale arrangements (Ke et al., 2007).</w:t>
      </w:r>
    </w:p>
    <w:p w14:paraId="49EFF42B" w14:textId="5DAE6C1F"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Tax-exempt bond financing is an innovative finance option used in the United States and is authorised by </w:t>
      </w:r>
      <w:r>
        <w:rPr>
          <w:rFonts w:ascii="Arial" w:hAnsi="Arial" w:cs="Arial"/>
        </w:rPr>
        <w:t>C</w:t>
      </w:r>
      <w:r w:rsidRPr="00EA7665">
        <w:rPr>
          <w:rFonts w:ascii="Arial" w:hAnsi="Arial" w:cs="Arial"/>
        </w:rPr>
        <w:t>ongress. It is a platform where the State and Federal governmen</w:t>
      </w:r>
      <w:r>
        <w:rPr>
          <w:rFonts w:ascii="Arial" w:hAnsi="Arial" w:cs="Arial"/>
        </w:rPr>
        <w:t>ts</w:t>
      </w:r>
      <w:r w:rsidRPr="00EA7665">
        <w:rPr>
          <w:rFonts w:ascii="Arial" w:hAnsi="Arial" w:cs="Arial"/>
        </w:rPr>
        <w:t xml:space="preserve"> issu</w:t>
      </w:r>
      <w:r>
        <w:rPr>
          <w:rFonts w:ascii="Arial" w:hAnsi="Arial" w:cs="Arial"/>
        </w:rPr>
        <w:t xml:space="preserve">e </w:t>
      </w:r>
      <w:r w:rsidRPr="00EA7665">
        <w:rPr>
          <w:rFonts w:ascii="Arial" w:hAnsi="Arial" w:cs="Arial"/>
        </w:rPr>
        <w:t xml:space="preserve">tax-exempt bonds to </w:t>
      </w:r>
      <w:r w:rsidR="005102BD">
        <w:rPr>
          <w:rFonts w:ascii="Arial" w:hAnsi="Arial" w:cs="Arial"/>
        </w:rPr>
        <w:t>finance</w:t>
      </w:r>
      <w:r w:rsidRPr="00EA7665">
        <w:rPr>
          <w:rFonts w:ascii="Arial" w:hAnsi="Arial" w:cs="Arial"/>
        </w:rPr>
        <w:t xml:space="preserve"> several developments like real estate (Guggenheim, 1999). The Bond provides loans to developers at lower interest rates from the </w:t>
      </w:r>
      <w:r w:rsidR="009826B8">
        <w:rPr>
          <w:rFonts w:ascii="Arial" w:hAnsi="Arial" w:cs="Arial"/>
        </w:rPr>
        <w:t>bonds' procee</w:t>
      </w:r>
      <w:r w:rsidRPr="00EA7665">
        <w:rPr>
          <w:rFonts w:ascii="Arial" w:hAnsi="Arial" w:cs="Arial"/>
        </w:rPr>
        <w:t>ds and tax-free interest to investors in the Bond. Large corporations in the real estate sector who might be profit-motivated or non-profit motivated can also use this product to sell tax credits to investors and then use the proceeds to build affordable housing (Mittereder, 2013).</w:t>
      </w:r>
    </w:p>
    <w:p w14:paraId="11AA5290" w14:textId="37588562" w:rsidR="00CD6352" w:rsidRPr="00EA7665" w:rsidRDefault="00CD6352" w:rsidP="00CD6352">
      <w:pPr>
        <w:spacing w:line="360" w:lineRule="auto"/>
        <w:jc w:val="both"/>
        <w:rPr>
          <w:rFonts w:ascii="Arial" w:hAnsi="Arial" w:cs="Arial"/>
        </w:rPr>
      </w:pPr>
      <w:r w:rsidRPr="00EA7665">
        <w:rPr>
          <w:rFonts w:ascii="Arial" w:hAnsi="Arial" w:cs="Arial"/>
        </w:rPr>
        <w:t xml:space="preserve">Crowdfunding is a creative and innovative finance option that </w:t>
      </w:r>
      <w:r w:rsidR="009826B8">
        <w:rPr>
          <w:rFonts w:ascii="Arial" w:hAnsi="Arial" w:cs="Arial"/>
        </w:rPr>
        <w:t>developers can use</w:t>
      </w:r>
      <w:r w:rsidRPr="00EA7665">
        <w:rPr>
          <w:rFonts w:ascii="Arial" w:hAnsi="Arial" w:cs="Arial"/>
        </w:rPr>
        <w:t xml:space="preserve"> at the start </w:t>
      </w:r>
      <w:r>
        <w:rPr>
          <w:rFonts w:ascii="Arial" w:hAnsi="Arial" w:cs="Arial"/>
        </w:rPr>
        <w:t>of</w:t>
      </w:r>
      <w:r w:rsidRPr="00EA7665">
        <w:rPr>
          <w:rFonts w:ascii="Arial" w:hAnsi="Arial" w:cs="Arial"/>
        </w:rPr>
        <w:t xml:space="preserve"> a new project before sourcing other means </w:t>
      </w:r>
      <w:r w:rsidR="00BA4D32" w:rsidRPr="00EA7665">
        <w:rPr>
          <w:rFonts w:ascii="Arial" w:hAnsi="Arial" w:cs="Arial"/>
        </w:rPr>
        <w:t>of funding</w:t>
      </w:r>
      <w:r w:rsidRPr="00EA7665">
        <w:rPr>
          <w:rFonts w:ascii="Arial" w:hAnsi="Arial" w:cs="Arial"/>
        </w:rPr>
        <w:t xml:space="preserve">. It enables </w:t>
      </w:r>
      <w:r>
        <w:rPr>
          <w:rFonts w:ascii="Arial" w:hAnsi="Arial" w:cs="Arial"/>
        </w:rPr>
        <w:t xml:space="preserve">the </w:t>
      </w:r>
      <w:r w:rsidRPr="00EA7665">
        <w:rPr>
          <w:rFonts w:ascii="Arial" w:hAnsi="Arial" w:cs="Arial"/>
        </w:rPr>
        <w:t xml:space="preserve">commencement of projects with some degree of independence commonly not considered for bank financing or investment by large financial institutions (Lam &amp; Law, 2016). Crowdfunding is relatively new as compared with most other types of innovative financing. The use of social media and the internet has enhanced its effectiveness and popularity in contemporary times. The risk in </w:t>
      </w:r>
      <w:r>
        <w:rPr>
          <w:rFonts w:ascii="Arial" w:hAnsi="Arial" w:cs="Arial"/>
        </w:rPr>
        <w:t>c</w:t>
      </w:r>
      <w:r w:rsidRPr="00EA7665">
        <w:rPr>
          <w:rFonts w:ascii="Arial" w:hAnsi="Arial" w:cs="Arial"/>
        </w:rPr>
        <w:t>rowdfunding is widely spread because it taps relatively small contributions from a large number of individuals without the assistance of financial intermediaries. It is a relationship between entrepreneurs, investors (crowd funders)</w:t>
      </w:r>
      <w:r w:rsidR="00D24968">
        <w:rPr>
          <w:rFonts w:ascii="Arial" w:hAnsi="Arial" w:cs="Arial"/>
        </w:rPr>
        <w:t>,</w:t>
      </w:r>
      <w:r w:rsidRPr="00EA7665">
        <w:rPr>
          <w:rFonts w:ascii="Arial" w:hAnsi="Arial" w:cs="Arial"/>
        </w:rPr>
        <w:t xml:space="preserve"> and intermediaries (crowdfunding platforms). Crowdfunding could provide contemporary developments of cities and communities</w:t>
      </w:r>
      <w:r w:rsidR="00B57286">
        <w:rPr>
          <w:rFonts w:ascii="Arial" w:hAnsi="Arial" w:cs="Arial"/>
        </w:rPr>
        <w:t>. T</w:t>
      </w:r>
      <w:r w:rsidRPr="00EA7665">
        <w:rPr>
          <w:rFonts w:ascii="Arial" w:hAnsi="Arial" w:cs="Arial"/>
        </w:rPr>
        <w:t xml:space="preserve">his includes the provision of funding for research and development (R &amp; D) </w:t>
      </w:r>
      <w:r>
        <w:rPr>
          <w:rFonts w:ascii="Arial" w:hAnsi="Arial" w:cs="Arial"/>
        </w:rPr>
        <w:t xml:space="preserve">and </w:t>
      </w:r>
      <w:r w:rsidRPr="00EA7665">
        <w:rPr>
          <w:rFonts w:ascii="Arial" w:hAnsi="Arial" w:cs="Arial"/>
        </w:rPr>
        <w:t>cost-effective and resource-efficient technologies over a wide range that can effectively create cities and communities that are more sustainable</w:t>
      </w:r>
      <w:r w:rsidR="00B57286">
        <w:rPr>
          <w:rFonts w:ascii="Arial" w:hAnsi="Arial" w:cs="Arial"/>
        </w:rPr>
        <w:t>.</w:t>
      </w:r>
      <w:r w:rsidRPr="00EA7665">
        <w:rPr>
          <w:rFonts w:ascii="Arial" w:hAnsi="Arial" w:cs="Arial"/>
        </w:rPr>
        <w:t xml:space="preserve"> </w:t>
      </w:r>
    </w:p>
    <w:p w14:paraId="4E2E28A4" w14:textId="125EC4F2" w:rsidR="00CD6352" w:rsidRPr="00EA7665" w:rsidRDefault="00CD6352" w:rsidP="00CD6352">
      <w:pPr>
        <w:spacing w:line="360" w:lineRule="auto"/>
        <w:jc w:val="both"/>
        <w:rPr>
          <w:rFonts w:ascii="Arial" w:hAnsi="Arial" w:cs="Arial"/>
        </w:rPr>
      </w:pPr>
      <w:r w:rsidRPr="00EA7665">
        <w:rPr>
          <w:rFonts w:ascii="Arial" w:hAnsi="Arial" w:cs="Arial"/>
        </w:rPr>
        <w:t xml:space="preserve">Syndicated loans are parcelled amongst several banks, ranging from two (2) lenders to more than thirty (30) in some cases (Berlin, 2007). Large real estate development firms </w:t>
      </w:r>
      <w:r w:rsidR="00B57286">
        <w:rPr>
          <w:rFonts w:ascii="Arial" w:hAnsi="Arial" w:cs="Arial"/>
        </w:rPr>
        <w:t>involved in building</w:t>
      </w:r>
      <w:r w:rsidRPr="00EA7665">
        <w:rPr>
          <w:rFonts w:ascii="Arial" w:hAnsi="Arial" w:cs="Arial"/>
        </w:rPr>
        <w:t xml:space="preserve"> large communities borrow substantial sums at lower rates and longer tenures when no single lender is too heavily exposed. The developers and financiers can then place long-tenured mortgages on the strength of properties developed with the proceeds of the syndicated loans.</w:t>
      </w:r>
    </w:p>
    <w:p w14:paraId="5BD9FC9C" w14:textId="52073FFE" w:rsidR="00CD6352" w:rsidRPr="00EA7665" w:rsidRDefault="00CD6352" w:rsidP="00CD6352">
      <w:pPr>
        <w:spacing w:line="360" w:lineRule="auto"/>
        <w:jc w:val="both"/>
        <w:rPr>
          <w:rFonts w:ascii="Arial" w:hAnsi="Arial" w:cs="Arial"/>
        </w:rPr>
      </w:pPr>
      <w:r w:rsidRPr="00EA7665">
        <w:rPr>
          <w:rFonts w:ascii="Arial" w:hAnsi="Arial" w:cs="Arial"/>
          <w:bCs/>
        </w:rPr>
        <w:t>Housing microfinance is innovative housing finance used to develop housing projects for low-income communities in India and Latin America (</w:t>
      </w:r>
      <w:r w:rsidRPr="00EA7665">
        <w:rPr>
          <w:rFonts w:ascii="Arial" w:hAnsi="Arial" w:cs="Arial"/>
        </w:rPr>
        <w:t xml:space="preserve">Smets, </w:t>
      </w:r>
      <w:r w:rsidR="00782532">
        <w:rPr>
          <w:rFonts w:ascii="Arial" w:hAnsi="Arial" w:cs="Arial"/>
        </w:rPr>
        <w:t>200</w:t>
      </w:r>
      <w:r w:rsidRPr="00EA7665">
        <w:rPr>
          <w:rFonts w:ascii="Arial" w:hAnsi="Arial" w:cs="Arial"/>
        </w:rPr>
        <w:t xml:space="preserve">1). There are </w:t>
      </w:r>
      <w:r>
        <w:rPr>
          <w:rFonts w:ascii="Arial" w:hAnsi="Arial" w:cs="Arial"/>
        </w:rPr>
        <w:t>m</w:t>
      </w:r>
      <w:r w:rsidRPr="00EA7665">
        <w:rPr>
          <w:rFonts w:ascii="Arial" w:hAnsi="Arial" w:cs="Arial"/>
        </w:rPr>
        <w:t xml:space="preserve">icrofinance banks in Nigeria and most other emerging economies, but their focus is presently </w:t>
      </w:r>
      <w:r>
        <w:rPr>
          <w:rFonts w:ascii="Arial" w:hAnsi="Arial" w:cs="Arial"/>
        </w:rPr>
        <w:t xml:space="preserve">on </w:t>
      </w:r>
      <w:r w:rsidR="009A731E">
        <w:rPr>
          <w:rFonts w:ascii="Arial" w:hAnsi="Arial" w:cs="Arial"/>
        </w:rPr>
        <w:t>providing</w:t>
      </w:r>
      <w:r w:rsidRPr="00EA7665">
        <w:rPr>
          <w:rFonts w:ascii="Arial" w:hAnsi="Arial" w:cs="Arial"/>
        </w:rPr>
        <w:t xml:space="preserve"> short-tenured loans for retail businesses and individuals. Community-based housing finance initiatives</w:t>
      </w:r>
      <w:r w:rsidRPr="00EA7665">
        <w:rPr>
          <w:rFonts w:ascii="Arial" w:hAnsi="Arial" w:cs="Arial"/>
          <w:b/>
        </w:rPr>
        <w:t xml:space="preserve"> </w:t>
      </w:r>
      <w:r>
        <w:rPr>
          <w:rFonts w:ascii="Arial" w:hAnsi="Arial" w:cs="Arial"/>
        </w:rPr>
        <w:t>are also</w:t>
      </w:r>
      <w:r w:rsidRPr="00EA7665">
        <w:rPr>
          <w:rFonts w:ascii="Arial" w:hAnsi="Arial" w:cs="Arial"/>
        </w:rPr>
        <w:t xml:space="preserve"> an excellent example of creative and innovative finance for real estate project development. It </w:t>
      </w:r>
      <w:r>
        <w:rPr>
          <w:rFonts w:ascii="Arial" w:hAnsi="Arial" w:cs="Arial"/>
        </w:rPr>
        <w:t xml:space="preserve">is </w:t>
      </w:r>
      <w:r w:rsidRPr="00EA7665">
        <w:rPr>
          <w:rFonts w:ascii="Arial" w:hAnsi="Arial" w:cs="Arial"/>
        </w:rPr>
        <w:t>a finance initiative commonly used in places like the Philippines to help those with the lowest income to get land and housing tenure. Th</w:t>
      </w:r>
      <w:r w:rsidR="009826B8">
        <w:rPr>
          <w:rFonts w:ascii="Arial" w:hAnsi="Arial" w:cs="Arial"/>
        </w:rPr>
        <w:t>is finance initiative's assessment</w:t>
      </w:r>
      <w:r w:rsidRPr="00EA7665">
        <w:rPr>
          <w:rFonts w:ascii="Arial" w:hAnsi="Arial" w:cs="Arial"/>
        </w:rPr>
        <w:t xml:space="preserve"> shows high-cost effectiveness, beneficiary reach effectiveness, and high loan repayment, and it is a government program for low-income communities. This program enables informal settlers in slums or tenants of blighted areas of over </w:t>
      </w:r>
      <w:r w:rsidR="009A731E">
        <w:rPr>
          <w:rFonts w:ascii="Arial" w:hAnsi="Arial" w:cs="Arial"/>
        </w:rPr>
        <w:t>ten</w:t>
      </w:r>
      <w:r>
        <w:rPr>
          <w:rFonts w:ascii="Arial" w:hAnsi="Arial" w:cs="Arial"/>
        </w:rPr>
        <w:t xml:space="preserve"> </w:t>
      </w:r>
      <w:r w:rsidRPr="00EA7665">
        <w:rPr>
          <w:rFonts w:ascii="Arial" w:hAnsi="Arial" w:cs="Arial"/>
        </w:rPr>
        <w:t xml:space="preserve">years to own the </w:t>
      </w:r>
      <w:r w:rsidRPr="00EA7665">
        <w:rPr>
          <w:rFonts w:ascii="Arial" w:hAnsi="Arial" w:cs="Arial"/>
        </w:rPr>
        <w:lastRenderedPageBreak/>
        <w:t xml:space="preserve">land they </w:t>
      </w:r>
      <w:r w:rsidR="009A731E">
        <w:rPr>
          <w:rFonts w:ascii="Arial" w:hAnsi="Arial" w:cs="Arial"/>
        </w:rPr>
        <w:t>live</w:t>
      </w:r>
      <w:r w:rsidRPr="00EA7665">
        <w:rPr>
          <w:rFonts w:ascii="Arial" w:hAnsi="Arial" w:cs="Arial"/>
        </w:rPr>
        <w:t xml:space="preserve"> on or the property where they will be relocated through community mortgage (UN Habitat, 2009). This type of financing can be achieved through</w:t>
      </w:r>
      <w:r>
        <w:rPr>
          <w:rFonts w:ascii="Arial" w:hAnsi="Arial" w:cs="Arial"/>
        </w:rPr>
        <w:t xml:space="preserve"> the</w:t>
      </w:r>
      <w:r w:rsidRPr="00EA7665">
        <w:rPr>
          <w:rFonts w:ascii="Arial" w:hAnsi="Arial" w:cs="Arial"/>
        </w:rPr>
        <w:t xml:space="preserve"> </w:t>
      </w:r>
      <w:r w:rsidR="009826B8">
        <w:rPr>
          <w:rFonts w:ascii="Arial" w:hAnsi="Arial" w:cs="Arial"/>
        </w:rPr>
        <w:t>federal and state governments' combined effor</w:t>
      </w:r>
      <w:r w:rsidRPr="00EA7665">
        <w:rPr>
          <w:rFonts w:ascii="Arial" w:hAnsi="Arial" w:cs="Arial"/>
        </w:rPr>
        <w:t xml:space="preserve">ts </w:t>
      </w:r>
      <w:r w:rsidR="009A731E">
        <w:rPr>
          <w:rFonts w:ascii="Arial" w:hAnsi="Arial" w:cs="Arial"/>
        </w:rPr>
        <w:t>to create</w:t>
      </w:r>
      <w:r w:rsidRPr="00EA7665">
        <w:rPr>
          <w:rFonts w:ascii="Arial" w:hAnsi="Arial" w:cs="Arial"/>
        </w:rPr>
        <w:t xml:space="preserve"> an enabling environment to attract private institutional funds into long-term housing </w:t>
      </w:r>
      <w:r w:rsidR="0042586E" w:rsidRPr="00EA7665">
        <w:rPr>
          <w:rFonts w:ascii="Arial" w:hAnsi="Arial" w:cs="Arial"/>
        </w:rPr>
        <w:t>mortgages.</w:t>
      </w:r>
    </w:p>
    <w:p w14:paraId="54BCCF20" w14:textId="5364AA31" w:rsidR="00CD6352" w:rsidRPr="00EA7665" w:rsidRDefault="00CD6352" w:rsidP="00CD6352">
      <w:pPr>
        <w:spacing w:after="0" w:line="360" w:lineRule="auto"/>
        <w:jc w:val="both"/>
        <w:rPr>
          <w:rFonts w:ascii="Arial" w:hAnsi="Arial" w:cs="Arial"/>
        </w:rPr>
      </w:pPr>
      <w:r w:rsidRPr="00EA7665">
        <w:rPr>
          <w:rFonts w:ascii="Arial" w:hAnsi="Arial" w:cs="Arial"/>
        </w:rPr>
        <w:t xml:space="preserve">A couple of other </w:t>
      </w:r>
      <w:r w:rsidR="008C633C">
        <w:rPr>
          <w:rFonts w:ascii="Arial" w:hAnsi="Arial" w:cs="Arial"/>
        </w:rPr>
        <w:t>creative and innovative finance options</w:t>
      </w:r>
      <w:r w:rsidRPr="00EA7665">
        <w:rPr>
          <w:rFonts w:ascii="Arial" w:hAnsi="Arial" w:cs="Arial"/>
        </w:rPr>
        <w:t xml:space="preserve"> for real estate project development are </w:t>
      </w:r>
      <w:r>
        <w:rPr>
          <w:rFonts w:ascii="Arial" w:hAnsi="Arial" w:cs="Arial"/>
        </w:rPr>
        <w:t>m</w:t>
      </w:r>
      <w:r w:rsidRPr="00EA7665">
        <w:rPr>
          <w:rFonts w:ascii="Arial" w:hAnsi="Arial" w:cs="Arial"/>
        </w:rPr>
        <w:t>ezzanine finance, convertible mortgage, participating mortgage</w:t>
      </w:r>
      <w:r w:rsidR="002A1EDE">
        <w:rPr>
          <w:rFonts w:ascii="Arial" w:hAnsi="Arial" w:cs="Arial"/>
        </w:rPr>
        <w:t>,</w:t>
      </w:r>
      <w:r w:rsidRPr="00EA7665">
        <w:rPr>
          <w:rFonts w:ascii="Arial" w:hAnsi="Arial" w:cs="Arial"/>
        </w:rPr>
        <w:t xml:space="preserve"> and joint venture (Kavishe and Chilesche, 2017). </w:t>
      </w:r>
      <w:r w:rsidR="002A1EDE">
        <w:rPr>
          <w:rFonts w:ascii="Arial" w:hAnsi="Arial" w:cs="Arial"/>
        </w:rPr>
        <w:t>A m</w:t>
      </w:r>
      <w:r w:rsidRPr="00EA7665">
        <w:rPr>
          <w:rFonts w:ascii="Arial" w:hAnsi="Arial" w:cs="Arial"/>
        </w:rPr>
        <w:t>ezzanine is a debt capital that gives the lender the right to convert to an ownership or equity interest in the company if the facility is not paid back on time or fully. It is subordinated to high-level lenders and venture capitalists</w:t>
      </w:r>
      <w:r>
        <w:rPr>
          <w:rFonts w:ascii="Arial" w:hAnsi="Arial" w:cs="Arial"/>
        </w:rPr>
        <w:t xml:space="preserve">  </w:t>
      </w:r>
      <w:r w:rsidRPr="00EA7665">
        <w:rPr>
          <w:rFonts w:ascii="Arial" w:hAnsi="Arial" w:cs="Arial"/>
        </w:rPr>
        <w:t>(Ogbenjuwa &amp; Egbu, 2017).</w:t>
      </w:r>
    </w:p>
    <w:p w14:paraId="6A62F263" w14:textId="77777777" w:rsidR="00CD6352" w:rsidRPr="00EA7665" w:rsidRDefault="00CD6352" w:rsidP="00CD6352">
      <w:pPr>
        <w:spacing w:after="0" w:line="360" w:lineRule="auto"/>
        <w:jc w:val="both"/>
        <w:rPr>
          <w:rFonts w:ascii="Arial" w:hAnsi="Arial" w:cs="Arial"/>
        </w:rPr>
      </w:pPr>
      <w:r w:rsidRPr="00EA7665">
        <w:rPr>
          <w:rFonts w:ascii="Arial" w:hAnsi="Arial" w:cs="Arial"/>
        </w:rPr>
        <w:t xml:space="preserve"> </w:t>
      </w:r>
    </w:p>
    <w:p w14:paraId="70F9B227" w14:textId="3C3C7248" w:rsidR="00CD6352" w:rsidRPr="00EA7665" w:rsidRDefault="002D7A55" w:rsidP="00CD6352">
      <w:pPr>
        <w:pStyle w:val="Heading2"/>
        <w:spacing w:after="240"/>
        <w:rPr>
          <w:sz w:val="22"/>
          <w:szCs w:val="22"/>
        </w:rPr>
      </w:pPr>
      <w:bookmarkStart w:id="768" w:name="_Toc78983795"/>
      <w:r>
        <w:rPr>
          <w:sz w:val="22"/>
          <w:szCs w:val="22"/>
        </w:rPr>
        <w:t>A review of literature on the c</w:t>
      </w:r>
      <w:r w:rsidR="00CD6352">
        <w:rPr>
          <w:sz w:val="22"/>
          <w:szCs w:val="22"/>
        </w:rPr>
        <w:t>riteria for securing finance for real estate project development</w:t>
      </w:r>
      <w:bookmarkEnd w:id="768"/>
      <w:r w:rsidR="00CD6352">
        <w:rPr>
          <w:sz w:val="22"/>
          <w:szCs w:val="22"/>
        </w:rPr>
        <w:t xml:space="preserve"> </w:t>
      </w:r>
    </w:p>
    <w:p w14:paraId="7ABF099B" w14:textId="55BA2312" w:rsidR="007147C6" w:rsidRDefault="00CD6352" w:rsidP="00CD6352">
      <w:pPr>
        <w:spacing w:line="360" w:lineRule="auto"/>
        <w:jc w:val="both"/>
        <w:rPr>
          <w:rFonts w:ascii="Arial" w:hAnsi="Arial" w:cs="Arial"/>
        </w:rPr>
      </w:pPr>
      <w:r>
        <w:rPr>
          <w:rFonts w:ascii="Arial" w:hAnsi="Arial" w:cs="Arial"/>
        </w:rPr>
        <w:t xml:space="preserve">This segment of the study looks at the criteria required </w:t>
      </w:r>
      <w:r w:rsidR="00BA4D32">
        <w:rPr>
          <w:rFonts w:ascii="Arial" w:hAnsi="Arial" w:cs="Arial"/>
        </w:rPr>
        <w:t>and requested</w:t>
      </w:r>
      <w:r>
        <w:rPr>
          <w:rFonts w:ascii="Arial" w:hAnsi="Arial" w:cs="Arial"/>
        </w:rPr>
        <w:t xml:space="preserve"> by financiers </w:t>
      </w:r>
      <w:r w:rsidR="009826B8">
        <w:rPr>
          <w:rFonts w:ascii="Arial" w:hAnsi="Arial" w:cs="Arial"/>
        </w:rPr>
        <w:t>to avail</w:t>
      </w:r>
      <w:r>
        <w:rPr>
          <w:rFonts w:ascii="Arial" w:hAnsi="Arial" w:cs="Arial"/>
        </w:rPr>
        <w:t xml:space="preserve"> finance for real estate project development.</w:t>
      </w:r>
      <w:r w:rsidR="007147C6">
        <w:rPr>
          <w:rFonts w:ascii="Arial" w:hAnsi="Arial" w:cs="Arial"/>
        </w:rPr>
        <w:t xml:space="preserve"> It provides </w:t>
      </w:r>
      <w:r w:rsidR="00955A8E">
        <w:rPr>
          <w:rFonts w:ascii="Arial" w:hAnsi="Arial" w:cs="Arial"/>
        </w:rPr>
        <w:t xml:space="preserve">a </w:t>
      </w:r>
      <w:r w:rsidR="00A12A2F">
        <w:rPr>
          <w:rFonts w:ascii="Arial" w:hAnsi="Arial" w:cs="Arial"/>
        </w:rPr>
        <w:t>literature review for the second part of the first objective</w:t>
      </w:r>
      <w:r w:rsidR="00BE7C80">
        <w:rPr>
          <w:rFonts w:ascii="Arial" w:hAnsi="Arial" w:cs="Arial"/>
        </w:rPr>
        <w:t>,</w:t>
      </w:r>
      <w:r w:rsidR="007147C6">
        <w:rPr>
          <w:rFonts w:ascii="Arial" w:hAnsi="Arial" w:cs="Arial"/>
        </w:rPr>
        <w:t xml:space="preserve"> “</w:t>
      </w:r>
      <w:r w:rsidR="007147C6" w:rsidRPr="00BF1C35">
        <w:rPr>
          <w:rFonts w:ascii="Arial" w:hAnsi="Arial" w:cs="Arial"/>
        </w:rPr>
        <w:t>to ascertain and document the criteria funding institutions use in lending for real estate project development</w:t>
      </w:r>
      <w:r w:rsidR="007147C6">
        <w:rPr>
          <w:rFonts w:ascii="Arial" w:hAnsi="Arial" w:cs="Arial"/>
        </w:rPr>
        <w:t xml:space="preserve">”. It also attempts to provide </w:t>
      </w:r>
      <w:r w:rsidR="008F6DDE">
        <w:rPr>
          <w:rFonts w:ascii="Arial" w:hAnsi="Arial" w:cs="Arial"/>
        </w:rPr>
        <w:t>answers based on existing literature to the second part of the first research question: What</w:t>
      </w:r>
      <w:r w:rsidR="007147C6" w:rsidRPr="00BF1C35">
        <w:rPr>
          <w:rFonts w:ascii="Arial" w:hAnsi="Arial" w:cs="Arial"/>
        </w:rPr>
        <w:t xml:space="preserve"> document</w:t>
      </w:r>
      <w:r w:rsidR="00955A8E">
        <w:rPr>
          <w:rFonts w:ascii="Arial" w:hAnsi="Arial" w:cs="Arial"/>
        </w:rPr>
        <w:t>s</w:t>
      </w:r>
      <w:r w:rsidR="007147C6" w:rsidRPr="00BF1C35">
        <w:rPr>
          <w:rFonts w:ascii="Arial" w:hAnsi="Arial" w:cs="Arial"/>
        </w:rPr>
        <w:t xml:space="preserve"> and the criteria funding institutions use in lending for real estate project development</w:t>
      </w:r>
      <w:r w:rsidR="007147C6">
        <w:rPr>
          <w:rFonts w:ascii="Arial" w:hAnsi="Arial" w:cs="Arial"/>
        </w:rPr>
        <w:t xml:space="preserve">? “. The </w:t>
      </w:r>
      <w:r w:rsidR="00A12A2F">
        <w:rPr>
          <w:rFonts w:ascii="Arial" w:hAnsi="Arial" w:cs="Arial"/>
        </w:rPr>
        <w:t>literature review forms a basis for inquiries from the industry towards developing</w:t>
      </w:r>
      <w:r w:rsidR="007147C6">
        <w:rPr>
          <w:rFonts w:ascii="Arial" w:hAnsi="Arial" w:cs="Arial"/>
        </w:rPr>
        <w:t xml:space="preserve"> the toolkit for securing finance for real estate project development</w:t>
      </w:r>
      <w:r w:rsidR="00DE69FE">
        <w:rPr>
          <w:rFonts w:ascii="Arial" w:hAnsi="Arial" w:cs="Arial"/>
        </w:rPr>
        <w:t xml:space="preserve"> in chapter 5.</w:t>
      </w:r>
    </w:p>
    <w:p w14:paraId="36347B7A" w14:textId="0AF62F1C" w:rsidR="00CD6352" w:rsidRPr="00EA7665" w:rsidRDefault="00CD6352" w:rsidP="00CD6352">
      <w:pPr>
        <w:spacing w:line="360" w:lineRule="auto"/>
        <w:jc w:val="both"/>
        <w:rPr>
          <w:rFonts w:ascii="Arial" w:hAnsi="Arial" w:cs="Arial"/>
        </w:rPr>
      </w:pPr>
      <w:r>
        <w:rPr>
          <w:rFonts w:ascii="Arial" w:hAnsi="Arial" w:cs="Arial"/>
        </w:rPr>
        <w:t xml:space="preserve"> </w:t>
      </w:r>
      <w:r w:rsidRPr="00EA7665">
        <w:rPr>
          <w:rFonts w:ascii="Arial" w:hAnsi="Arial" w:cs="Arial"/>
        </w:rPr>
        <w:t>Financiers traditionally look at three primary repayment sources</w:t>
      </w:r>
      <w:r w:rsidR="009826B8">
        <w:rPr>
          <w:rFonts w:ascii="Arial" w:hAnsi="Arial" w:cs="Arial"/>
        </w:rPr>
        <w:t>:</w:t>
      </w:r>
      <w:r w:rsidRPr="00EA7665">
        <w:rPr>
          <w:rFonts w:ascii="Arial" w:hAnsi="Arial" w:cs="Arial"/>
        </w:rPr>
        <w:t xml:space="preserve"> cash flow, guarantor</w:t>
      </w:r>
      <w:r w:rsidR="000A0A9C">
        <w:rPr>
          <w:rFonts w:ascii="Arial" w:hAnsi="Arial" w:cs="Arial"/>
        </w:rPr>
        <w:t>,</w:t>
      </w:r>
      <w:r w:rsidRPr="00EA7665">
        <w:rPr>
          <w:rFonts w:ascii="Arial" w:hAnsi="Arial" w:cs="Arial"/>
        </w:rPr>
        <w:t xml:space="preserve"> and liquidation of collateral (Rector, 2002). The cash flow will </w:t>
      </w:r>
      <w:r w:rsidR="006B74FD">
        <w:rPr>
          <w:rFonts w:ascii="Arial" w:hAnsi="Arial" w:cs="Arial"/>
        </w:rPr>
        <w:t>let the lender</w:t>
      </w:r>
      <w:r w:rsidRPr="00EA7665">
        <w:rPr>
          <w:rFonts w:ascii="Arial" w:hAnsi="Arial" w:cs="Arial"/>
        </w:rPr>
        <w:t xml:space="preserve"> know if the developer can liquidate the proposed loan from his current financial position and the </w:t>
      </w:r>
      <w:r w:rsidR="009826B8">
        <w:rPr>
          <w:rFonts w:ascii="Arial" w:hAnsi="Arial" w:cs="Arial"/>
        </w:rPr>
        <w:t>project's increased revenue</w:t>
      </w:r>
      <w:r w:rsidRPr="00EA7665">
        <w:rPr>
          <w:rFonts w:ascii="Arial" w:hAnsi="Arial" w:cs="Arial"/>
        </w:rPr>
        <w:t xml:space="preserve">. Furthermore, a strong guarantor can support debt repayment prospects. </w:t>
      </w:r>
      <w:r>
        <w:rPr>
          <w:rFonts w:ascii="Arial" w:hAnsi="Arial" w:cs="Arial"/>
        </w:rPr>
        <w:t>The l</w:t>
      </w:r>
      <w:r w:rsidRPr="00EA7665">
        <w:rPr>
          <w:rFonts w:ascii="Arial" w:hAnsi="Arial" w:cs="Arial"/>
        </w:rPr>
        <w:t>iquidation of collateral is the</w:t>
      </w:r>
      <w:r>
        <w:rPr>
          <w:rFonts w:ascii="Arial" w:hAnsi="Arial" w:cs="Arial"/>
        </w:rPr>
        <w:t xml:space="preserve"> option</w:t>
      </w:r>
      <w:r w:rsidRPr="00EA7665">
        <w:rPr>
          <w:rFonts w:ascii="Arial" w:hAnsi="Arial" w:cs="Arial"/>
        </w:rPr>
        <w:t xml:space="preserve"> least preferred by lenders, and it is often considered as a backup source of repayment</w:t>
      </w:r>
      <w:r w:rsidR="006B74FD">
        <w:rPr>
          <w:rFonts w:ascii="Arial" w:hAnsi="Arial" w:cs="Arial"/>
        </w:rPr>
        <w:t>.</w:t>
      </w:r>
      <w:r w:rsidRPr="00EA7665">
        <w:rPr>
          <w:rFonts w:ascii="Arial" w:hAnsi="Arial" w:cs="Arial"/>
        </w:rPr>
        <w:t xml:space="preserve">  </w:t>
      </w:r>
      <w:r>
        <w:rPr>
          <w:rFonts w:ascii="Arial" w:hAnsi="Arial" w:cs="Arial"/>
        </w:rPr>
        <w:t>L</w:t>
      </w:r>
      <w:r w:rsidRPr="00EA7665">
        <w:rPr>
          <w:rFonts w:ascii="Arial" w:hAnsi="Arial" w:cs="Arial"/>
        </w:rPr>
        <w:t>ender</w:t>
      </w:r>
      <w:r>
        <w:rPr>
          <w:rFonts w:ascii="Arial" w:hAnsi="Arial" w:cs="Arial"/>
        </w:rPr>
        <w:t>s</w:t>
      </w:r>
      <w:r w:rsidRPr="00EA7665">
        <w:rPr>
          <w:rFonts w:ascii="Arial" w:hAnsi="Arial" w:cs="Arial"/>
        </w:rPr>
        <w:t xml:space="preserve"> </w:t>
      </w:r>
      <w:r w:rsidR="009826B8">
        <w:rPr>
          <w:rFonts w:ascii="Arial" w:hAnsi="Arial" w:cs="Arial"/>
        </w:rPr>
        <w:t>usually</w:t>
      </w:r>
      <w:r w:rsidRPr="00EA7665">
        <w:rPr>
          <w:rFonts w:ascii="Arial" w:hAnsi="Arial" w:cs="Arial"/>
        </w:rPr>
        <w:t xml:space="preserve"> use cover ratios to access the margin of safety in the </w:t>
      </w:r>
      <w:r w:rsidR="009826B8">
        <w:rPr>
          <w:rFonts w:ascii="Arial" w:hAnsi="Arial" w:cs="Arial"/>
        </w:rPr>
        <w:t>debt level</w:t>
      </w:r>
      <w:r w:rsidRPr="00EA7665">
        <w:rPr>
          <w:rFonts w:ascii="Arial" w:hAnsi="Arial" w:cs="Arial"/>
        </w:rPr>
        <w:t xml:space="preserve"> that can be raised for the project primarily based on the project capacity to service debt (Kalidindi &amp; Boeing Singh, 2009).</w:t>
      </w:r>
    </w:p>
    <w:p w14:paraId="1671D429" w14:textId="3A21FA94" w:rsidR="00CD6352" w:rsidRPr="00EA7665" w:rsidRDefault="000A0A9C" w:rsidP="00CD6352">
      <w:pPr>
        <w:spacing w:line="360" w:lineRule="auto"/>
        <w:jc w:val="both"/>
        <w:rPr>
          <w:rFonts w:ascii="Arial" w:hAnsi="Arial" w:cs="Arial"/>
        </w:rPr>
      </w:pPr>
      <w:r>
        <w:rPr>
          <w:rFonts w:ascii="Arial" w:hAnsi="Arial" w:cs="Arial"/>
        </w:rPr>
        <w:t>T</w:t>
      </w:r>
      <w:r w:rsidR="00CD6352" w:rsidRPr="00EA7665">
        <w:rPr>
          <w:rFonts w:ascii="Arial" w:hAnsi="Arial" w:cs="Arial"/>
        </w:rPr>
        <w:t xml:space="preserve">o analyse a company’s current situation, lenders need to know how the company has reacted to downturns, review its forecast and understand why the client wants the requested sum (Rector, 2002). Lenders also look at the </w:t>
      </w:r>
      <w:r w:rsidR="009826B8">
        <w:rPr>
          <w:rFonts w:ascii="Arial" w:hAnsi="Arial" w:cs="Arial"/>
        </w:rPr>
        <w:t>firm's long-term records of accomplishment</w:t>
      </w:r>
      <w:r w:rsidR="00CD6352" w:rsidRPr="00EA7665">
        <w:rPr>
          <w:rFonts w:ascii="Arial" w:hAnsi="Arial" w:cs="Arial"/>
        </w:rPr>
        <w:t xml:space="preserve"> to determine if it can repay the loan if availed. Lenders generally do not like re-financing to pay–off accounts that are past due as they are prone to further default (Ogbenjuwa et al., 2019).</w:t>
      </w:r>
    </w:p>
    <w:p w14:paraId="27E4DE65" w14:textId="0C5471B7"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Financiers fundamentally look at three </w:t>
      </w:r>
      <w:r w:rsidR="009826B8">
        <w:rPr>
          <w:rFonts w:ascii="Arial" w:hAnsi="Arial" w:cs="Arial"/>
        </w:rPr>
        <w:t>risk factors to justify lending:</w:t>
      </w:r>
      <w:r w:rsidRPr="00EA7665">
        <w:rPr>
          <w:rFonts w:ascii="Arial" w:hAnsi="Arial" w:cs="Arial"/>
        </w:rPr>
        <w:t xml:space="preserve"> credit risk, collateral risk, and structure risk. T</w:t>
      </w:r>
      <w:r w:rsidR="002F2C21">
        <w:rPr>
          <w:rFonts w:ascii="Arial" w:hAnsi="Arial" w:cs="Arial"/>
        </w:rPr>
        <w:t>he lender looks at three financial statements to mitigate credit risk</w:t>
      </w:r>
      <w:r w:rsidR="009826B8">
        <w:rPr>
          <w:rFonts w:ascii="Arial" w:hAnsi="Arial" w:cs="Arial"/>
        </w:rPr>
        <w:t>:</w:t>
      </w:r>
      <w:r w:rsidRPr="00EA7665">
        <w:rPr>
          <w:rFonts w:ascii="Arial" w:hAnsi="Arial" w:cs="Arial"/>
        </w:rPr>
        <w:t xml:space="preserve"> the balance sheet, income statement</w:t>
      </w:r>
      <w:r w:rsidR="00EA2594">
        <w:rPr>
          <w:rFonts w:ascii="Arial" w:hAnsi="Arial" w:cs="Arial"/>
        </w:rPr>
        <w:t>,</w:t>
      </w:r>
      <w:r w:rsidRPr="00EA7665">
        <w:rPr>
          <w:rFonts w:ascii="Arial" w:hAnsi="Arial" w:cs="Arial"/>
        </w:rPr>
        <w:t xml:space="preserve"> and cash-flow statement. </w:t>
      </w:r>
      <w:r w:rsidR="009826B8">
        <w:rPr>
          <w:rFonts w:ascii="Arial" w:hAnsi="Arial" w:cs="Arial"/>
        </w:rPr>
        <w:t>Various</w:t>
      </w:r>
      <w:r w:rsidRPr="00EA7665">
        <w:rPr>
          <w:rFonts w:ascii="Arial" w:hAnsi="Arial" w:cs="Arial"/>
        </w:rPr>
        <w:t xml:space="preserve"> ratio analy</w:t>
      </w:r>
      <w:r>
        <w:rPr>
          <w:rFonts w:ascii="Arial" w:hAnsi="Arial" w:cs="Arial"/>
        </w:rPr>
        <w:t>ses</w:t>
      </w:r>
      <w:r w:rsidRPr="00EA7665">
        <w:rPr>
          <w:rFonts w:ascii="Arial" w:hAnsi="Arial" w:cs="Arial"/>
        </w:rPr>
        <w:t xml:space="preserve"> </w:t>
      </w:r>
      <w:r>
        <w:rPr>
          <w:rFonts w:ascii="Arial" w:hAnsi="Arial" w:cs="Arial"/>
        </w:rPr>
        <w:t>are</w:t>
      </w:r>
      <w:r w:rsidRPr="00EA7665">
        <w:rPr>
          <w:rFonts w:ascii="Arial" w:hAnsi="Arial" w:cs="Arial"/>
        </w:rPr>
        <w:t xml:space="preserve"> used to review the books of account</w:t>
      </w:r>
      <w:r>
        <w:rPr>
          <w:rFonts w:ascii="Arial" w:hAnsi="Arial" w:cs="Arial"/>
        </w:rPr>
        <w:t>s</w:t>
      </w:r>
      <w:r w:rsidRPr="00EA7665">
        <w:rPr>
          <w:rFonts w:ascii="Arial" w:hAnsi="Arial" w:cs="Arial"/>
        </w:rPr>
        <w:t>, and examples of such ratios are turnover ratio, debt-to-equity</w:t>
      </w:r>
      <w:r w:rsidR="00EA2594">
        <w:rPr>
          <w:rFonts w:ascii="Arial" w:hAnsi="Arial" w:cs="Arial"/>
        </w:rPr>
        <w:t>,</w:t>
      </w:r>
      <w:r w:rsidRPr="00EA7665">
        <w:rPr>
          <w:rFonts w:ascii="Arial" w:hAnsi="Arial" w:cs="Arial"/>
        </w:rPr>
        <w:t xml:space="preserve"> and current ratio (Nitz, 1996). These ratios will indicate the financial health of the company at different points in time. While the income statement will help the lender </w:t>
      </w:r>
      <w:r w:rsidR="009826B8">
        <w:rPr>
          <w:rFonts w:ascii="Arial" w:hAnsi="Arial" w:cs="Arial"/>
        </w:rPr>
        <w:t>analyse</w:t>
      </w:r>
      <w:r w:rsidRPr="00EA7665">
        <w:rPr>
          <w:rFonts w:ascii="Arial" w:hAnsi="Arial" w:cs="Arial"/>
        </w:rPr>
        <w:t xml:space="preserve"> the </w:t>
      </w:r>
      <w:r w:rsidR="002F2C21">
        <w:rPr>
          <w:rFonts w:ascii="Arial" w:hAnsi="Arial" w:cs="Arial"/>
        </w:rPr>
        <w:t>company's revenue, income, profitability, and margin trend</w:t>
      </w:r>
      <w:r w:rsidRPr="00EA7665">
        <w:rPr>
          <w:rFonts w:ascii="Arial" w:hAnsi="Arial" w:cs="Arial"/>
        </w:rPr>
        <w:t>, the cash flow statement helps the lender determine how a company generates cash. It will help the lender ascertain if the company makes sufficient cash</w:t>
      </w:r>
      <w:r w:rsidR="005266AD">
        <w:rPr>
          <w:rFonts w:ascii="Arial" w:hAnsi="Arial" w:cs="Arial"/>
        </w:rPr>
        <w:t xml:space="preserve"> </w:t>
      </w:r>
      <w:r w:rsidRPr="00EA7665">
        <w:rPr>
          <w:rFonts w:ascii="Arial" w:hAnsi="Arial" w:cs="Arial"/>
        </w:rPr>
        <w:t xml:space="preserve">flow to meet its obligations (Ogbenjuwa et al., 2018). </w:t>
      </w:r>
    </w:p>
    <w:p w14:paraId="123496B2" w14:textId="5FAB6D00" w:rsidR="00CD6352" w:rsidRPr="00EA7665" w:rsidRDefault="00CD6352" w:rsidP="00CD6352">
      <w:pPr>
        <w:spacing w:line="360" w:lineRule="auto"/>
        <w:jc w:val="both"/>
        <w:rPr>
          <w:rFonts w:ascii="Arial" w:hAnsi="Arial" w:cs="Arial"/>
        </w:rPr>
      </w:pPr>
      <w:r w:rsidRPr="00CE242E">
        <w:rPr>
          <w:rFonts w:ascii="Arial" w:hAnsi="Arial" w:cs="Arial"/>
        </w:rPr>
        <w:t>Collateral risk encompasses the type, age</w:t>
      </w:r>
      <w:r w:rsidR="00EA2594">
        <w:rPr>
          <w:rFonts w:ascii="Arial" w:hAnsi="Arial" w:cs="Arial"/>
        </w:rPr>
        <w:t>,</w:t>
      </w:r>
      <w:r w:rsidRPr="00CE242E">
        <w:rPr>
          <w:rFonts w:ascii="Arial" w:hAnsi="Arial" w:cs="Arial"/>
        </w:rPr>
        <w:t xml:space="preserve"> and value of the collateral. The lender analyses the potentials of selling the collateral as well as the risk of keeping it. There are various collateral</w:t>
      </w:r>
      <w:r w:rsidRPr="00EA7665">
        <w:rPr>
          <w:rFonts w:ascii="Arial" w:hAnsi="Arial" w:cs="Arial"/>
        </w:rPr>
        <w:t xml:space="preserve"> types acceptable to lenders for real estate projects, and they include the real estate to be financed, stocks, equipment, and other investments. The risk can be mitigated </w:t>
      </w:r>
      <w:r w:rsidR="00C83604">
        <w:rPr>
          <w:rFonts w:ascii="Arial" w:hAnsi="Arial" w:cs="Arial"/>
        </w:rPr>
        <w:t>by how the loan is structured; allowing too many skips in payments, reduced payments, or over-extending credits may crystallise potential risks</w:t>
      </w:r>
      <w:r w:rsidRPr="00EA7665">
        <w:rPr>
          <w:rFonts w:ascii="Arial" w:hAnsi="Arial" w:cs="Arial"/>
        </w:rPr>
        <w:t xml:space="preserve"> (Charles and Mori, 2016).</w:t>
      </w:r>
    </w:p>
    <w:p w14:paraId="0685E184" w14:textId="4E6D692B" w:rsidR="00CD6352" w:rsidRPr="00EA7665" w:rsidRDefault="00CD6352" w:rsidP="00CD6352">
      <w:pPr>
        <w:spacing w:line="360" w:lineRule="auto"/>
        <w:jc w:val="both"/>
        <w:rPr>
          <w:rFonts w:ascii="Arial" w:hAnsi="Arial" w:cs="Arial"/>
        </w:rPr>
      </w:pPr>
      <w:r w:rsidRPr="00EA7665">
        <w:rPr>
          <w:rFonts w:ascii="Arial" w:hAnsi="Arial" w:cs="Arial"/>
        </w:rPr>
        <w:t>The lender thoroughly considers the demand risk</w:t>
      </w:r>
      <w:r>
        <w:rPr>
          <w:rFonts w:ascii="Arial" w:hAnsi="Arial" w:cs="Arial"/>
        </w:rPr>
        <w:t xml:space="preserve"> by accessing the financial viability of the project</w:t>
      </w:r>
      <w:r w:rsidRPr="00EA7665">
        <w:rPr>
          <w:rFonts w:ascii="Arial" w:hAnsi="Arial" w:cs="Arial"/>
        </w:rPr>
        <w:t xml:space="preserve">. The </w:t>
      </w:r>
      <w:r w:rsidR="009826B8">
        <w:rPr>
          <w:rFonts w:ascii="Arial" w:hAnsi="Arial" w:cs="Arial"/>
        </w:rPr>
        <w:t>project's financial viability is impacted by the willingness and</w:t>
      </w:r>
      <w:r w:rsidRPr="00EA7665">
        <w:rPr>
          <w:rFonts w:ascii="Arial" w:hAnsi="Arial" w:cs="Arial"/>
        </w:rPr>
        <w:t xml:space="preserve"> capacity of the market to pay</w:t>
      </w:r>
      <w:r w:rsidR="009826B8">
        <w:rPr>
          <w:rFonts w:ascii="Arial" w:hAnsi="Arial" w:cs="Arial"/>
        </w:rPr>
        <w:t>. T</w:t>
      </w:r>
      <w:r w:rsidRPr="00EA7665">
        <w:rPr>
          <w:rFonts w:ascii="Arial" w:hAnsi="Arial" w:cs="Arial"/>
        </w:rPr>
        <w:t>his is often a function of wealth and the value attached to the project based on the p</w:t>
      </w:r>
      <w:r w:rsidR="009826B8">
        <w:rPr>
          <w:rFonts w:ascii="Arial" w:hAnsi="Arial" w:cs="Arial"/>
        </w:rPr>
        <w:t xml:space="preserve">roperty's perceived value. </w:t>
      </w:r>
      <w:r w:rsidRPr="00EA7665">
        <w:rPr>
          <w:rFonts w:ascii="Arial" w:hAnsi="Arial" w:cs="Arial"/>
        </w:rPr>
        <w:t xml:space="preserve"> </w:t>
      </w:r>
      <w:r w:rsidR="009826B8">
        <w:rPr>
          <w:rFonts w:ascii="Arial" w:hAnsi="Arial" w:cs="Arial"/>
        </w:rPr>
        <w:t>It could also depend</w:t>
      </w:r>
      <w:r w:rsidRPr="00EA7665">
        <w:rPr>
          <w:rFonts w:ascii="Arial" w:hAnsi="Arial" w:cs="Arial"/>
        </w:rPr>
        <w:t xml:space="preserve"> on the prevailing macro-economic condition (Kalidindi &amp; Boeing Singh, 2009).</w:t>
      </w:r>
    </w:p>
    <w:p w14:paraId="592936EE" w14:textId="64DA22F9" w:rsidR="00CD6352" w:rsidRPr="00EA7665" w:rsidRDefault="002C4118" w:rsidP="00CD6352">
      <w:pPr>
        <w:spacing w:line="360" w:lineRule="auto"/>
        <w:jc w:val="both"/>
        <w:rPr>
          <w:rFonts w:ascii="Arial" w:hAnsi="Arial" w:cs="Arial"/>
        </w:rPr>
      </w:pPr>
      <w:r>
        <w:rPr>
          <w:rFonts w:ascii="Arial" w:hAnsi="Arial" w:cs="Arial"/>
        </w:rPr>
        <w:t xml:space="preserve">The financiers ensure </w:t>
      </w:r>
      <w:r w:rsidR="00AB138A">
        <w:rPr>
          <w:rFonts w:ascii="Arial" w:hAnsi="Arial" w:cs="Arial"/>
        </w:rPr>
        <w:t>due diligence is done to real estate transactions they are involved in</w:t>
      </w:r>
      <w:r>
        <w:rPr>
          <w:rFonts w:ascii="Arial" w:hAnsi="Arial" w:cs="Arial"/>
        </w:rPr>
        <w:t xml:space="preserve"> before parting with their funds. </w:t>
      </w:r>
      <w:r w:rsidR="00CD6352" w:rsidRPr="008539AE">
        <w:rPr>
          <w:rFonts w:ascii="Arial" w:hAnsi="Arial" w:cs="Arial"/>
        </w:rPr>
        <w:t xml:space="preserve">Due diligence is a method of reducing the risk associated with </w:t>
      </w:r>
      <w:r w:rsidR="00CD6352" w:rsidRPr="00B24A5A">
        <w:rPr>
          <w:rFonts w:ascii="Arial" w:hAnsi="Arial" w:cs="Arial"/>
        </w:rPr>
        <w:t>property financing. It aims to identify all the potential risks associated with the transaction</w:t>
      </w:r>
      <w:r w:rsidR="007733B3">
        <w:rPr>
          <w:rFonts w:ascii="Arial" w:hAnsi="Arial" w:cs="Arial"/>
        </w:rPr>
        <w:t>,</w:t>
      </w:r>
      <w:r w:rsidR="008D7910" w:rsidRPr="00B24A5A">
        <w:rPr>
          <w:rFonts w:ascii="Arial" w:hAnsi="Arial" w:cs="Arial"/>
        </w:rPr>
        <w:t xml:space="preserve"> </w:t>
      </w:r>
      <w:r w:rsidR="00E04E0C">
        <w:rPr>
          <w:rFonts w:ascii="Arial" w:hAnsi="Arial" w:cs="Arial"/>
        </w:rPr>
        <w:t>including</w:t>
      </w:r>
      <w:r w:rsidR="00CD6352" w:rsidRPr="00B24A5A">
        <w:rPr>
          <w:rFonts w:ascii="Arial" w:hAnsi="Arial" w:cs="Arial"/>
        </w:rPr>
        <w:t xml:space="preserve"> financial due diligence, legal</w:t>
      </w:r>
      <w:r w:rsidR="00804EAC" w:rsidRPr="00B24A5A">
        <w:rPr>
          <w:rFonts w:ascii="Arial" w:hAnsi="Arial" w:cs="Arial"/>
        </w:rPr>
        <w:t>,</w:t>
      </w:r>
      <w:r w:rsidR="00CD6352" w:rsidRPr="00B24A5A">
        <w:rPr>
          <w:rFonts w:ascii="Arial" w:hAnsi="Arial" w:cs="Arial"/>
        </w:rPr>
        <w:t xml:space="preserve"> due diligence, tax due diligence</w:t>
      </w:r>
      <w:r w:rsidR="00EA2594" w:rsidRPr="00B24A5A">
        <w:rPr>
          <w:rFonts w:ascii="Arial" w:hAnsi="Arial" w:cs="Arial"/>
        </w:rPr>
        <w:t>,</w:t>
      </w:r>
      <w:r w:rsidR="00CD6352" w:rsidRPr="00B24A5A">
        <w:rPr>
          <w:rFonts w:ascii="Arial" w:hAnsi="Arial" w:cs="Arial"/>
        </w:rPr>
        <w:t xml:space="preserve"> and technical due diligence</w:t>
      </w:r>
      <w:r w:rsidR="008D7910" w:rsidRPr="00B24A5A">
        <w:rPr>
          <w:rFonts w:ascii="Arial" w:hAnsi="Arial" w:cs="Arial"/>
        </w:rPr>
        <w:t xml:space="preserve">. </w:t>
      </w:r>
      <w:r w:rsidR="007733B3">
        <w:rPr>
          <w:rFonts w:ascii="Arial" w:hAnsi="Arial" w:cs="Arial"/>
        </w:rPr>
        <w:t>The f</w:t>
      </w:r>
      <w:r w:rsidR="00CD6352" w:rsidRPr="00B24A5A">
        <w:rPr>
          <w:rFonts w:ascii="Arial" w:hAnsi="Arial" w:cs="Arial"/>
        </w:rPr>
        <w:t>inancial due diligence is essentially about market location analysis and the review of profitability.</w:t>
      </w:r>
      <w:r w:rsidR="00CD6352" w:rsidRPr="008539AE">
        <w:rPr>
          <w:rFonts w:ascii="Arial" w:hAnsi="Arial" w:cs="Arial"/>
        </w:rPr>
        <w:t xml:space="preserve"> The legal</w:t>
      </w:r>
      <w:r w:rsidR="008C0CCE">
        <w:rPr>
          <w:rFonts w:ascii="Arial" w:hAnsi="Arial" w:cs="Arial"/>
        </w:rPr>
        <w:t>,</w:t>
      </w:r>
      <w:r w:rsidR="005E4534" w:rsidRPr="008539AE">
        <w:rPr>
          <w:rFonts w:ascii="Arial" w:hAnsi="Arial" w:cs="Arial"/>
        </w:rPr>
        <w:t xml:space="preserve"> </w:t>
      </w:r>
      <w:r w:rsidR="00CD6352" w:rsidRPr="008539AE">
        <w:rPr>
          <w:rFonts w:ascii="Arial" w:hAnsi="Arial" w:cs="Arial"/>
        </w:rPr>
        <w:t>due diligence entails clarifications regarding ownership and administrative laws for investment, land registry</w:t>
      </w:r>
      <w:r w:rsidR="00804EAC" w:rsidRPr="008539AE">
        <w:rPr>
          <w:rFonts w:ascii="Arial" w:hAnsi="Arial" w:cs="Arial"/>
        </w:rPr>
        <w:t>, and environmental issues</w:t>
      </w:r>
      <w:r w:rsidR="005E4534" w:rsidRPr="008539AE">
        <w:rPr>
          <w:rFonts w:ascii="Arial" w:hAnsi="Arial" w:cs="Arial"/>
        </w:rPr>
        <w:t xml:space="preserve">, </w:t>
      </w:r>
      <w:r w:rsidR="00804EAC" w:rsidRPr="008539AE">
        <w:rPr>
          <w:rFonts w:ascii="Arial" w:hAnsi="Arial" w:cs="Arial"/>
        </w:rPr>
        <w:t>while the tax due diligence ensures and affects</w:t>
      </w:r>
      <w:r w:rsidR="00CD6352" w:rsidRPr="008539AE">
        <w:rPr>
          <w:rFonts w:ascii="Arial" w:hAnsi="Arial" w:cs="Arial"/>
        </w:rPr>
        <w:t xml:space="preserve"> real estate transfer tax, VAT</w:t>
      </w:r>
      <w:r w:rsidR="00EA2594" w:rsidRPr="008539AE">
        <w:rPr>
          <w:rFonts w:ascii="Arial" w:hAnsi="Arial" w:cs="Arial"/>
        </w:rPr>
        <w:t>,</w:t>
      </w:r>
      <w:r w:rsidR="00CD6352" w:rsidRPr="008539AE">
        <w:rPr>
          <w:rFonts w:ascii="Arial" w:hAnsi="Arial" w:cs="Arial"/>
        </w:rPr>
        <w:t xml:space="preserve"> and land tax depending on the nature of the deal </w:t>
      </w:r>
      <w:r w:rsidR="00BD3476" w:rsidRPr="008539AE">
        <w:rPr>
          <w:rFonts w:ascii="Arial" w:hAnsi="Arial" w:cs="Arial"/>
        </w:rPr>
        <w:t>(Just</w:t>
      </w:r>
      <w:r w:rsidR="00CD6352" w:rsidRPr="008539AE">
        <w:rPr>
          <w:rFonts w:ascii="Arial" w:hAnsi="Arial" w:cs="Arial"/>
        </w:rPr>
        <w:t>, 2012).</w:t>
      </w:r>
    </w:p>
    <w:p w14:paraId="1D2D2839" w14:textId="43AC4957" w:rsidR="00CD6352" w:rsidRPr="00EA7665" w:rsidRDefault="00CD6352" w:rsidP="00CD6352">
      <w:pPr>
        <w:spacing w:line="360" w:lineRule="auto"/>
        <w:jc w:val="both"/>
        <w:rPr>
          <w:rFonts w:ascii="Arial" w:hAnsi="Arial" w:cs="Arial"/>
        </w:rPr>
      </w:pPr>
      <w:r w:rsidRPr="00EA7665">
        <w:rPr>
          <w:rFonts w:ascii="Arial" w:hAnsi="Arial" w:cs="Arial"/>
        </w:rPr>
        <w:t xml:space="preserve">The </w:t>
      </w:r>
      <w:r w:rsidR="00804EAC">
        <w:rPr>
          <w:rFonts w:ascii="Arial" w:hAnsi="Arial" w:cs="Arial"/>
        </w:rPr>
        <w:t>contractor's experience is also an essential</w:t>
      </w:r>
      <w:r w:rsidR="002C3197">
        <w:rPr>
          <w:rFonts w:ascii="Arial" w:hAnsi="Arial" w:cs="Arial"/>
        </w:rPr>
        <w:t xml:space="preserve"> consideration</w:t>
      </w:r>
      <w:r w:rsidRPr="00EA7665">
        <w:rPr>
          <w:rFonts w:ascii="Arial" w:hAnsi="Arial" w:cs="Arial"/>
        </w:rPr>
        <w:t xml:space="preserve"> to mitigate against the risk of the project failing to be completed </w:t>
      </w:r>
      <w:r>
        <w:rPr>
          <w:rFonts w:ascii="Arial" w:hAnsi="Arial" w:cs="Arial"/>
        </w:rPr>
        <w:t>on</w:t>
      </w:r>
      <w:r w:rsidRPr="00EA7665">
        <w:rPr>
          <w:rFonts w:ascii="Arial" w:hAnsi="Arial" w:cs="Arial"/>
        </w:rPr>
        <w:t xml:space="preserve"> schedule and within budget. </w:t>
      </w:r>
      <w:r w:rsidR="002C3197">
        <w:rPr>
          <w:rFonts w:ascii="Arial" w:hAnsi="Arial" w:cs="Arial"/>
        </w:rPr>
        <w:t xml:space="preserve">The contractor’s experience </w:t>
      </w:r>
      <w:r w:rsidRPr="00EA7665">
        <w:rPr>
          <w:rFonts w:ascii="Arial" w:hAnsi="Arial" w:cs="Arial"/>
        </w:rPr>
        <w:t>can be ascertained through the</w:t>
      </w:r>
      <w:r w:rsidR="002C3197">
        <w:rPr>
          <w:rFonts w:ascii="Arial" w:hAnsi="Arial" w:cs="Arial"/>
        </w:rPr>
        <w:t>ir</w:t>
      </w:r>
      <w:r w:rsidRPr="00EA7665">
        <w:rPr>
          <w:rFonts w:ascii="Arial" w:hAnsi="Arial" w:cs="Arial"/>
        </w:rPr>
        <w:t xml:space="preserve"> background and record of accomplishment (Kalidindi &amp; Boeing Singh, 2009).  Lenders often seek independent engineers and builders as consultants to </w:t>
      </w:r>
      <w:r w:rsidR="002C3197">
        <w:rPr>
          <w:rFonts w:ascii="Arial" w:hAnsi="Arial" w:cs="Arial"/>
        </w:rPr>
        <w:t>confirm</w:t>
      </w:r>
      <w:r w:rsidRPr="00EA7665">
        <w:rPr>
          <w:rFonts w:ascii="Arial" w:hAnsi="Arial" w:cs="Arial"/>
        </w:rPr>
        <w:t xml:space="preserve"> if the contractor can finish the project within the agreed time and the agreed budget. </w:t>
      </w:r>
      <w:r w:rsidRPr="00E04E0C">
        <w:rPr>
          <w:rFonts w:ascii="Arial" w:hAnsi="Arial" w:cs="Arial"/>
        </w:rPr>
        <w:t xml:space="preserve">The lender usually requests that the contractor addresses exceptions raised by the </w:t>
      </w:r>
      <w:r w:rsidRPr="00E04E0C">
        <w:rPr>
          <w:rFonts w:ascii="Arial" w:hAnsi="Arial" w:cs="Arial"/>
        </w:rPr>
        <w:lastRenderedPageBreak/>
        <w:t xml:space="preserve">independent contractor and then ensures that various permits and site clearances that are required are secured. Funding for huge real estate projects is often available after the project </w:t>
      </w:r>
      <w:r w:rsidR="00E04E0C">
        <w:rPr>
          <w:rFonts w:ascii="Arial" w:hAnsi="Arial" w:cs="Arial"/>
        </w:rPr>
        <w:t>S</w:t>
      </w:r>
      <w:r w:rsidRPr="00E04E0C">
        <w:rPr>
          <w:rFonts w:ascii="Arial" w:hAnsi="Arial" w:cs="Arial"/>
        </w:rPr>
        <w:t>ponsor secures contracts for a substantial part of the project.  Furthermore, the sponsors may be required to provide full guarantees for the debt or cash flow deficiency guarantees for repayment of the loan (Greewald &amp; Hilen, 2005).</w:t>
      </w:r>
      <w:r>
        <w:rPr>
          <w:rFonts w:ascii="Arial" w:hAnsi="Arial" w:cs="Arial"/>
        </w:rPr>
        <w:t xml:space="preserve"> </w:t>
      </w:r>
    </w:p>
    <w:p w14:paraId="686CCB6D" w14:textId="16B67B50" w:rsidR="00CD6352" w:rsidRPr="00EA7665" w:rsidRDefault="00CD6352" w:rsidP="00CD6352">
      <w:pPr>
        <w:spacing w:line="360" w:lineRule="auto"/>
        <w:jc w:val="both"/>
        <w:rPr>
          <w:rFonts w:ascii="Arial" w:hAnsi="Arial" w:cs="Arial"/>
        </w:rPr>
      </w:pPr>
      <w:r w:rsidRPr="00EA7665">
        <w:rPr>
          <w:rFonts w:ascii="Arial" w:hAnsi="Arial" w:cs="Arial"/>
        </w:rPr>
        <w:t>Equity funding</w:t>
      </w:r>
      <w:r w:rsidR="00804EAC">
        <w:rPr>
          <w:rFonts w:ascii="Arial" w:hAnsi="Arial" w:cs="Arial"/>
        </w:rPr>
        <w:t>,</w:t>
      </w:r>
      <w:r w:rsidRPr="00EA7665">
        <w:rPr>
          <w:rFonts w:ascii="Arial" w:hAnsi="Arial" w:cs="Arial"/>
        </w:rPr>
        <w:t xml:space="preserve"> whether private equity, venture capital, angel finance, joint ventures</w:t>
      </w:r>
      <w:r>
        <w:rPr>
          <w:rFonts w:ascii="Arial" w:hAnsi="Arial" w:cs="Arial"/>
        </w:rPr>
        <w:t xml:space="preserve"> or public equity</w:t>
      </w:r>
      <w:r w:rsidR="00804EAC">
        <w:rPr>
          <w:rFonts w:ascii="Arial" w:hAnsi="Arial" w:cs="Arial"/>
        </w:rPr>
        <w:t>,</w:t>
      </w:r>
      <w:r>
        <w:rPr>
          <w:rFonts w:ascii="Arial" w:hAnsi="Arial" w:cs="Arial"/>
        </w:rPr>
        <w:t xml:space="preserve"> ha</w:t>
      </w:r>
      <w:r w:rsidR="005E4534">
        <w:rPr>
          <w:rFonts w:ascii="Arial" w:hAnsi="Arial" w:cs="Arial"/>
        </w:rPr>
        <w:t>s a similar requirement with debt</w:t>
      </w:r>
      <w:r w:rsidR="00E04E0C">
        <w:rPr>
          <w:rFonts w:ascii="Arial" w:hAnsi="Arial" w:cs="Arial"/>
        </w:rPr>
        <w:t>. T</w:t>
      </w:r>
      <w:r w:rsidR="005E4534">
        <w:rPr>
          <w:rFonts w:ascii="Arial" w:hAnsi="Arial" w:cs="Arial"/>
        </w:rPr>
        <w:t>he financier wants to ensure they get returns on their investments and</w:t>
      </w:r>
      <w:r w:rsidRPr="00EA7665">
        <w:rPr>
          <w:rFonts w:ascii="Arial" w:hAnsi="Arial" w:cs="Arial"/>
        </w:rPr>
        <w:t xml:space="preserve"> secure the asset.  According to Whileman (2010), a mutually beneficial investment will depend upon the real estate manager ascertaining and agreeing</w:t>
      </w:r>
      <w:r w:rsidR="00104550">
        <w:rPr>
          <w:rFonts w:ascii="Arial" w:hAnsi="Arial" w:cs="Arial"/>
        </w:rPr>
        <w:t xml:space="preserve"> with</w:t>
      </w:r>
      <w:r w:rsidRPr="00EA7665">
        <w:rPr>
          <w:rFonts w:ascii="Arial" w:hAnsi="Arial" w:cs="Arial"/>
        </w:rPr>
        <w:t xml:space="preserve"> investor terms, exit time</w:t>
      </w:r>
      <w:r>
        <w:rPr>
          <w:rFonts w:ascii="Arial" w:hAnsi="Arial" w:cs="Arial"/>
        </w:rPr>
        <w:t xml:space="preserve"> </w:t>
      </w:r>
      <w:r w:rsidRPr="00EA7665">
        <w:rPr>
          <w:rFonts w:ascii="Arial" w:hAnsi="Arial" w:cs="Arial"/>
        </w:rPr>
        <w:t xml:space="preserve">frame, appetite for further funding, </w:t>
      </w:r>
      <w:r>
        <w:rPr>
          <w:rFonts w:ascii="Arial" w:hAnsi="Arial" w:cs="Arial"/>
        </w:rPr>
        <w:t xml:space="preserve">and </w:t>
      </w:r>
      <w:r w:rsidRPr="00EA7665">
        <w:rPr>
          <w:rFonts w:ascii="Arial" w:hAnsi="Arial" w:cs="Arial"/>
        </w:rPr>
        <w:t xml:space="preserve">the investor’s representation on the board as well as any minority protections </w:t>
      </w:r>
      <w:r>
        <w:rPr>
          <w:rFonts w:ascii="Arial" w:hAnsi="Arial" w:cs="Arial"/>
        </w:rPr>
        <w:t>(</w:t>
      </w:r>
      <w:r w:rsidRPr="00EA7665">
        <w:rPr>
          <w:rFonts w:ascii="Arial" w:hAnsi="Arial" w:cs="Arial"/>
        </w:rPr>
        <w:t>protections for minority shareholders such as the right not to be diluted without consent</w:t>
      </w:r>
      <w:r>
        <w:rPr>
          <w:rFonts w:ascii="Arial" w:hAnsi="Arial" w:cs="Arial"/>
        </w:rPr>
        <w:t>)</w:t>
      </w:r>
      <w:r w:rsidRPr="00EA7665">
        <w:rPr>
          <w:rFonts w:ascii="Arial" w:hAnsi="Arial" w:cs="Arial"/>
        </w:rPr>
        <w:t xml:space="preserve">. </w:t>
      </w:r>
    </w:p>
    <w:p w14:paraId="30C501B2" w14:textId="2AA58AC6" w:rsidR="00CD6352" w:rsidRPr="00EA7665" w:rsidRDefault="00CD6352" w:rsidP="00CD6352">
      <w:pPr>
        <w:spacing w:line="360" w:lineRule="auto"/>
        <w:jc w:val="both"/>
        <w:rPr>
          <w:rFonts w:ascii="Arial" w:hAnsi="Arial" w:cs="Arial"/>
        </w:rPr>
      </w:pPr>
      <w:r w:rsidRPr="00EA7665">
        <w:rPr>
          <w:rFonts w:ascii="Arial" w:hAnsi="Arial" w:cs="Arial"/>
        </w:rPr>
        <w:t xml:space="preserve">The </w:t>
      </w:r>
      <w:r w:rsidR="005E4534">
        <w:rPr>
          <w:rFonts w:ascii="Arial" w:hAnsi="Arial" w:cs="Arial"/>
        </w:rPr>
        <w:t>i</w:t>
      </w:r>
      <w:r w:rsidRPr="00EA7665">
        <w:rPr>
          <w:rFonts w:ascii="Arial" w:hAnsi="Arial" w:cs="Arial"/>
        </w:rPr>
        <w:t xml:space="preserve">nternational </w:t>
      </w:r>
      <w:r w:rsidR="005E4534">
        <w:rPr>
          <w:rFonts w:ascii="Arial" w:hAnsi="Arial" w:cs="Arial"/>
        </w:rPr>
        <w:t>f</w:t>
      </w:r>
      <w:r w:rsidRPr="00EA7665">
        <w:rPr>
          <w:rFonts w:ascii="Arial" w:hAnsi="Arial" w:cs="Arial"/>
        </w:rPr>
        <w:t xml:space="preserve">inancial </w:t>
      </w:r>
      <w:r w:rsidR="005E4534">
        <w:rPr>
          <w:rFonts w:ascii="Arial" w:hAnsi="Arial" w:cs="Arial"/>
        </w:rPr>
        <w:t>r</w:t>
      </w:r>
      <w:r w:rsidRPr="00EA7665">
        <w:rPr>
          <w:rFonts w:ascii="Arial" w:hAnsi="Arial" w:cs="Arial"/>
        </w:rPr>
        <w:t xml:space="preserve">eporting </w:t>
      </w:r>
      <w:r w:rsidR="005E4534">
        <w:rPr>
          <w:rFonts w:ascii="Arial" w:hAnsi="Arial" w:cs="Arial"/>
        </w:rPr>
        <w:t>s</w:t>
      </w:r>
      <w:r w:rsidRPr="00EA7665">
        <w:rPr>
          <w:rFonts w:ascii="Arial" w:hAnsi="Arial" w:cs="Arial"/>
        </w:rPr>
        <w:t>tandard (IFRS)</w:t>
      </w:r>
      <w:r w:rsidR="005E4534">
        <w:rPr>
          <w:rFonts w:ascii="Arial" w:hAnsi="Arial" w:cs="Arial"/>
        </w:rPr>
        <w:t xml:space="preserve"> </w:t>
      </w:r>
      <w:r w:rsidRPr="00EA7665">
        <w:rPr>
          <w:rFonts w:ascii="Arial" w:hAnsi="Arial" w:cs="Arial"/>
        </w:rPr>
        <w:t xml:space="preserve">and </w:t>
      </w:r>
      <w:r>
        <w:rPr>
          <w:rFonts w:ascii="Arial" w:hAnsi="Arial" w:cs="Arial"/>
        </w:rPr>
        <w:t xml:space="preserve">the </w:t>
      </w:r>
      <w:r w:rsidR="005E4534">
        <w:rPr>
          <w:rFonts w:ascii="Arial" w:hAnsi="Arial" w:cs="Arial"/>
        </w:rPr>
        <w:t>i</w:t>
      </w:r>
      <w:r w:rsidRPr="00EA7665">
        <w:rPr>
          <w:rFonts w:ascii="Arial" w:hAnsi="Arial" w:cs="Arial"/>
        </w:rPr>
        <w:t xml:space="preserve">nternational </w:t>
      </w:r>
      <w:r w:rsidR="005E4534">
        <w:rPr>
          <w:rFonts w:ascii="Arial" w:hAnsi="Arial" w:cs="Arial"/>
        </w:rPr>
        <w:t>a</w:t>
      </w:r>
      <w:r w:rsidRPr="00EA7665">
        <w:rPr>
          <w:rFonts w:ascii="Arial" w:hAnsi="Arial" w:cs="Arial"/>
        </w:rPr>
        <w:t xml:space="preserve">ccounting </w:t>
      </w:r>
      <w:r w:rsidR="005E4534">
        <w:rPr>
          <w:rFonts w:ascii="Arial" w:hAnsi="Arial" w:cs="Arial"/>
        </w:rPr>
        <w:t>s</w:t>
      </w:r>
      <w:r w:rsidRPr="00EA7665">
        <w:rPr>
          <w:rFonts w:ascii="Arial" w:hAnsi="Arial" w:cs="Arial"/>
        </w:rPr>
        <w:t>tandard (IAS) 36 Impairment of Asset mandat</w:t>
      </w:r>
      <w:r>
        <w:rPr>
          <w:rFonts w:ascii="Arial" w:hAnsi="Arial" w:cs="Arial"/>
        </w:rPr>
        <w:t>e</w:t>
      </w:r>
      <w:r w:rsidRPr="00EA7665">
        <w:rPr>
          <w:rFonts w:ascii="Arial" w:hAnsi="Arial" w:cs="Arial"/>
        </w:rPr>
        <w:t xml:space="preserve"> that firms requiring equity finance disclose good-will related matters</w:t>
      </w:r>
      <w:r w:rsidR="005E4534">
        <w:rPr>
          <w:rFonts w:ascii="Arial" w:hAnsi="Arial" w:cs="Arial"/>
        </w:rPr>
        <w:t>.</w:t>
      </w:r>
      <w:r w:rsidRPr="00EA7665">
        <w:rPr>
          <w:rFonts w:ascii="Arial" w:hAnsi="Arial" w:cs="Arial"/>
        </w:rPr>
        <w:t xml:space="preserve"> </w:t>
      </w:r>
      <w:r w:rsidR="00804EAC">
        <w:rPr>
          <w:rFonts w:ascii="Arial" w:hAnsi="Arial" w:cs="Arial"/>
        </w:rPr>
        <w:t xml:space="preserve">As recognised in a business combination, </w:t>
      </w:r>
      <w:r w:rsidR="00ED0882">
        <w:rPr>
          <w:rFonts w:ascii="Arial" w:hAnsi="Arial" w:cs="Arial"/>
        </w:rPr>
        <w:t>g</w:t>
      </w:r>
      <w:r w:rsidR="00804EAC">
        <w:rPr>
          <w:rFonts w:ascii="Arial" w:hAnsi="Arial" w:cs="Arial"/>
        </w:rPr>
        <w:t>oodwill</w:t>
      </w:r>
      <w:r w:rsidRPr="00EA7665">
        <w:rPr>
          <w:rFonts w:ascii="Arial" w:hAnsi="Arial" w:cs="Arial"/>
        </w:rPr>
        <w:t xml:space="preserve"> is an asset representing future economic benefits arising from expected synergies not individually identified and separately realised. Thus, goodwill conveys current and forward-looking corporate information.  Goodwill often represents a significant amount on a company’s balance sheet and has a distinct nature. It represents the excess of the purchase price over the acquirer’s interest in the fair value of identifiable assets and liabilities acquired as </w:t>
      </w:r>
      <w:r w:rsidR="00996E45">
        <w:rPr>
          <w:rFonts w:ascii="Arial" w:hAnsi="Arial" w:cs="Arial"/>
        </w:rPr>
        <w:t>of</w:t>
      </w:r>
      <w:r w:rsidRPr="00EA7665">
        <w:rPr>
          <w:rFonts w:ascii="Arial" w:hAnsi="Arial" w:cs="Arial"/>
        </w:rPr>
        <w:t xml:space="preserve"> the </w:t>
      </w:r>
      <w:r w:rsidR="00804EAC">
        <w:rPr>
          <w:rFonts w:ascii="Arial" w:hAnsi="Arial" w:cs="Arial"/>
        </w:rPr>
        <w:t>transaction day</w:t>
      </w:r>
      <w:r w:rsidRPr="00EA7665">
        <w:rPr>
          <w:rFonts w:ascii="Arial" w:hAnsi="Arial" w:cs="Arial"/>
        </w:rPr>
        <w:t>. Goodwill is an asset that represents future economic benefits arising from synergies between the identifiable and non-identifiable assets acquired (Francesco et al., 2017).</w:t>
      </w:r>
    </w:p>
    <w:p w14:paraId="10DECF20" w14:textId="7D998DAB" w:rsidR="00CD6352" w:rsidRPr="00EA7665" w:rsidRDefault="00CD6352" w:rsidP="00CD6352">
      <w:pPr>
        <w:spacing w:line="360" w:lineRule="auto"/>
        <w:jc w:val="both"/>
        <w:rPr>
          <w:rFonts w:ascii="Arial" w:hAnsi="Arial" w:cs="Arial"/>
        </w:rPr>
      </w:pPr>
      <w:r w:rsidRPr="00EA7665">
        <w:rPr>
          <w:rFonts w:ascii="Arial" w:hAnsi="Arial" w:cs="Arial"/>
        </w:rPr>
        <w:t>The managers in the real estate sector</w:t>
      </w:r>
      <w:r w:rsidR="00804EAC">
        <w:rPr>
          <w:rFonts w:ascii="Arial" w:hAnsi="Arial" w:cs="Arial"/>
        </w:rPr>
        <w:t>,</w:t>
      </w:r>
      <w:r w:rsidRPr="00EA7665">
        <w:rPr>
          <w:rFonts w:ascii="Arial" w:hAnsi="Arial" w:cs="Arial"/>
        </w:rPr>
        <w:t xml:space="preserve"> as in other sectors</w:t>
      </w:r>
      <w:r w:rsidR="00804EAC">
        <w:rPr>
          <w:rFonts w:ascii="Arial" w:hAnsi="Arial" w:cs="Arial"/>
        </w:rPr>
        <w:t>,</w:t>
      </w:r>
      <w:r w:rsidRPr="00EA7665">
        <w:rPr>
          <w:rFonts w:ascii="Arial" w:hAnsi="Arial" w:cs="Arial"/>
        </w:rPr>
        <w:t xml:space="preserve"> need to show how the investment will do better in the future based on well-defined action steps. They can do this by trying to get an understanding of how the equity investor thinks. Equity investors want to deal with people and companies they can trust (Selbert, 2018). The managers should focus on marketing their firms to showcase how good they are for investments</w:t>
      </w:r>
      <w:r w:rsidR="00ED0882">
        <w:rPr>
          <w:rFonts w:ascii="Arial" w:hAnsi="Arial" w:cs="Arial"/>
        </w:rPr>
        <w:t>,</w:t>
      </w:r>
      <w:r>
        <w:rPr>
          <w:rFonts w:ascii="Arial" w:hAnsi="Arial" w:cs="Arial"/>
        </w:rPr>
        <w:t xml:space="preserve"> and t</w:t>
      </w:r>
      <w:r w:rsidRPr="00EA7665">
        <w:rPr>
          <w:rFonts w:ascii="Arial" w:hAnsi="Arial" w:cs="Arial"/>
        </w:rPr>
        <w:t>hey can do this by reflecting their rate of returns</w:t>
      </w:r>
      <w:r>
        <w:rPr>
          <w:rFonts w:ascii="Arial" w:hAnsi="Arial" w:cs="Arial"/>
        </w:rPr>
        <w:t>. A</w:t>
      </w:r>
      <w:r w:rsidRPr="00EA7665">
        <w:rPr>
          <w:rFonts w:ascii="Arial" w:hAnsi="Arial" w:cs="Arial"/>
        </w:rPr>
        <w:t xml:space="preserve">ffordable equity finance can be secured through proper risk aversion, </w:t>
      </w:r>
      <w:r w:rsidR="00ED0882">
        <w:rPr>
          <w:rFonts w:ascii="Arial" w:hAnsi="Arial" w:cs="Arial"/>
        </w:rPr>
        <w:t>including</w:t>
      </w:r>
      <w:r w:rsidRPr="00EA7665">
        <w:rPr>
          <w:rFonts w:ascii="Arial" w:hAnsi="Arial" w:cs="Arial"/>
        </w:rPr>
        <w:t xml:space="preserve"> contractual mitigation through insurance, performance support guarantee, interest rate swap and inflation hedge (Demirag, 2012). The manager would have to make available concrete information </w:t>
      </w:r>
      <w:r>
        <w:rPr>
          <w:rFonts w:ascii="Arial" w:hAnsi="Arial" w:cs="Arial"/>
        </w:rPr>
        <w:t xml:space="preserve">on </w:t>
      </w:r>
      <w:r w:rsidRPr="00EA7665">
        <w:rPr>
          <w:rFonts w:ascii="Arial" w:hAnsi="Arial" w:cs="Arial"/>
        </w:rPr>
        <w:t xml:space="preserve">risks aversion and diffusion modalities to the equity investors, and this can be achieved in conjunction with experts. </w:t>
      </w:r>
    </w:p>
    <w:p w14:paraId="4EBCC0B6" w14:textId="7F38C791" w:rsidR="00CD6352" w:rsidRPr="00EA7665" w:rsidRDefault="00CD6352" w:rsidP="00CD6352">
      <w:pPr>
        <w:spacing w:line="360" w:lineRule="auto"/>
        <w:jc w:val="both"/>
        <w:rPr>
          <w:rFonts w:ascii="Arial" w:hAnsi="Arial" w:cs="Arial"/>
        </w:rPr>
      </w:pPr>
      <w:r w:rsidRPr="00EA7665">
        <w:rPr>
          <w:rFonts w:ascii="Arial" w:hAnsi="Arial" w:cs="Arial"/>
        </w:rPr>
        <w:t>Scot Fisher et al. (2005)</w:t>
      </w:r>
      <w:r w:rsidR="00ED0882">
        <w:rPr>
          <w:rFonts w:ascii="Arial" w:hAnsi="Arial" w:cs="Arial"/>
        </w:rPr>
        <w:t>,</w:t>
      </w:r>
      <w:r w:rsidRPr="00EA7665">
        <w:rPr>
          <w:rFonts w:ascii="Arial" w:hAnsi="Arial" w:cs="Arial"/>
        </w:rPr>
        <w:t xml:space="preserve"> in their publication on Joint venture</w:t>
      </w:r>
      <w:r w:rsidR="009E435A">
        <w:rPr>
          <w:rFonts w:ascii="Arial" w:hAnsi="Arial" w:cs="Arial"/>
        </w:rPr>
        <w:t xml:space="preserve"> (JV)</w:t>
      </w:r>
      <w:r w:rsidRPr="00EA7665">
        <w:rPr>
          <w:rFonts w:ascii="Arial" w:hAnsi="Arial" w:cs="Arial"/>
        </w:rPr>
        <w:t xml:space="preserve"> titled, “marrying for money: structuring joint ventures with equity “, itemised the following as preliminary information that should be provided</w:t>
      </w:r>
      <w:r w:rsidR="00ED0882">
        <w:rPr>
          <w:rFonts w:ascii="Arial" w:hAnsi="Arial" w:cs="Arial"/>
        </w:rPr>
        <w:t xml:space="preserve"> for a JV transaction</w:t>
      </w:r>
      <w:r w:rsidRPr="00EA7665">
        <w:rPr>
          <w:rFonts w:ascii="Arial" w:hAnsi="Arial" w:cs="Arial"/>
        </w:rPr>
        <w:t>:</w:t>
      </w:r>
    </w:p>
    <w:p w14:paraId="3A39E7E6"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lastRenderedPageBreak/>
        <w:t>purpose</w:t>
      </w:r>
    </w:p>
    <w:p w14:paraId="5A823DF7"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principals</w:t>
      </w:r>
    </w:p>
    <w:p w14:paraId="51901DA6"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principal place of business</w:t>
      </w:r>
    </w:p>
    <w:p w14:paraId="20CE38E1"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capital</w:t>
      </w:r>
    </w:p>
    <w:p w14:paraId="2268E5D5"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management</w:t>
      </w:r>
    </w:p>
    <w:p w14:paraId="2D45EAE8"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profit and losses/cash flow</w:t>
      </w:r>
    </w:p>
    <w:p w14:paraId="6E51878B"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transfers of interest/admissions of partners</w:t>
      </w:r>
    </w:p>
    <w:p w14:paraId="48C9C15A"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liquidation/ dissolution</w:t>
      </w:r>
    </w:p>
    <w:p w14:paraId="7F0B7C39"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defaults</w:t>
      </w:r>
    </w:p>
    <w:p w14:paraId="76A99170"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resolution of disputes</w:t>
      </w:r>
    </w:p>
    <w:p w14:paraId="623D63E8" w14:textId="77777777" w:rsidR="00CD6352" w:rsidRPr="00EA7665" w:rsidRDefault="00CD6352" w:rsidP="007625E7">
      <w:pPr>
        <w:numPr>
          <w:ilvl w:val="0"/>
          <w:numId w:val="367"/>
        </w:numPr>
        <w:spacing w:after="0" w:line="360" w:lineRule="auto"/>
        <w:jc w:val="both"/>
        <w:rPr>
          <w:rFonts w:ascii="Arial" w:hAnsi="Arial" w:cs="Arial"/>
        </w:rPr>
      </w:pPr>
      <w:r w:rsidRPr="00EA7665">
        <w:rPr>
          <w:rFonts w:ascii="Arial" w:hAnsi="Arial" w:cs="Arial"/>
        </w:rPr>
        <w:t>buy-sell</w:t>
      </w:r>
    </w:p>
    <w:p w14:paraId="682E9C9C" w14:textId="3D056E38" w:rsidR="00CD6352" w:rsidRPr="00EA7665" w:rsidRDefault="005E4534" w:rsidP="00CD6352">
      <w:pPr>
        <w:spacing w:line="360" w:lineRule="auto"/>
        <w:jc w:val="both"/>
        <w:rPr>
          <w:rFonts w:ascii="Arial" w:hAnsi="Arial" w:cs="Arial"/>
        </w:rPr>
      </w:pPr>
      <w:r>
        <w:rPr>
          <w:rFonts w:ascii="Arial" w:hAnsi="Arial" w:cs="Arial"/>
        </w:rPr>
        <w:t>The publication titled “marrying for money”</w:t>
      </w:r>
      <w:r w:rsidR="00CD6352" w:rsidRPr="00EA7665">
        <w:rPr>
          <w:rFonts w:ascii="Arial" w:hAnsi="Arial" w:cs="Arial"/>
        </w:rPr>
        <w:t xml:space="preserve"> also revealed that there is and should be an operating agreement for the joint venture with equity. This operating agreement should contain information on the following: </w:t>
      </w:r>
    </w:p>
    <w:p w14:paraId="5F3B0B00"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purpose</w:t>
      </w:r>
    </w:p>
    <w:p w14:paraId="7721E247"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percentage interest/ capital contribution</w:t>
      </w:r>
    </w:p>
    <w:p w14:paraId="69F2B17B"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allocation of profits and losses for tax and accounting purposes</w:t>
      </w:r>
    </w:p>
    <w:p w14:paraId="1E8FA6E9"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distribution of cash</w:t>
      </w:r>
    </w:p>
    <w:p w14:paraId="0802E95A"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management of the company</w:t>
      </w:r>
    </w:p>
    <w:p w14:paraId="72BED7B7"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transfer of partnership interest</w:t>
      </w:r>
    </w:p>
    <w:p w14:paraId="1E668643"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 xml:space="preserve">right of first refusal </w:t>
      </w:r>
    </w:p>
    <w:p w14:paraId="5E3978B4"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buy-sell provision</w:t>
      </w:r>
    </w:p>
    <w:p w14:paraId="5DD86C5A" w14:textId="77777777" w:rsidR="00CD6352" w:rsidRPr="00EA7665" w:rsidRDefault="00CD6352" w:rsidP="007625E7">
      <w:pPr>
        <w:numPr>
          <w:ilvl w:val="0"/>
          <w:numId w:val="368"/>
        </w:numPr>
        <w:spacing w:after="0" w:line="360" w:lineRule="auto"/>
        <w:jc w:val="both"/>
        <w:rPr>
          <w:rFonts w:ascii="Arial" w:hAnsi="Arial" w:cs="Arial"/>
        </w:rPr>
      </w:pPr>
      <w:r w:rsidRPr="00EA7665">
        <w:rPr>
          <w:rFonts w:ascii="Arial" w:hAnsi="Arial" w:cs="Arial"/>
        </w:rPr>
        <w:t>indemnification</w:t>
      </w:r>
    </w:p>
    <w:p w14:paraId="52C1A62A" w14:textId="25FDE914" w:rsidR="00CD6352" w:rsidRPr="00EA7665" w:rsidRDefault="00CD6352" w:rsidP="00CD6352">
      <w:pPr>
        <w:spacing w:line="360" w:lineRule="auto"/>
        <w:jc w:val="both"/>
        <w:rPr>
          <w:rFonts w:ascii="Arial" w:hAnsi="Arial" w:cs="Arial"/>
        </w:rPr>
      </w:pPr>
      <w:r w:rsidRPr="00EA7665">
        <w:rPr>
          <w:rFonts w:ascii="Arial" w:hAnsi="Arial" w:cs="Arial"/>
        </w:rPr>
        <w:t xml:space="preserve">According to William Donaldson, former chairperson of the US Securities and Exchange Commission, new reforms had to be created in the United States of America to restore confidence in corporate America. Consequently, new standards of integrity were set, </w:t>
      </w:r>
      <w:r w:rsidR="005E4534">
        <w:rPr>
          <w:rFonts w:ascii="Arial" w:hAnsi="Arial" w:cs="Arial"/>
        </w:rPr>
        <w:t>which necessitates that investors</w:t>
      </w:r>
      <w:r w:rsidRPr="00EA7665">
        <w:rPr>
          <w:rFonts w:ascii="Arial" w:hAnsi="Arial" w:cs="Arial"/>
        </w:rPr>
        <w:t xml:space="preserve"> see the business living up to the spirit underpinning all the securities laws. This inclu</w:t>
      </w:r>
      <w:r>
        <w:rPr>
          <w:rFonts w:ascii="Arial" w:hAnsi="Arial" w:cs="Arial"/>
        </w:rPr>
        <w:t>des the</w:t>
      </w:r>
      <w:r w:rsidRPr="00EA7665">
        <w:rPr>
          <w:rFonts w:ascii="Arial" w:hAnsi="Arial" w:cs="Arial"/>
        </w:rPr>
        <w:t xml:space="preserve"> requirement by listed companies to credit </w:t>
      </w:r>
      <w:r>
        <w:rPr>
          <w:rFonts w:ascii="Arial" w:hAnsi="Arial" w:cs="Arial"/>
        </w:rPr>
        <w:t xml:space="preserve">an </w:t>
      </w:r>
      <w:r w:rsidRPr="00EA7665">
        <w:rPr>
          <w:rFonts w:ascii="Arial" w:hAnsi="Arial" w:cs="Arial"/>
        </w:rPr>
        <w:t xml:space="preserve">independent audit committee and certify their internal controls over financial reporting. </w:t>
      </w:r>
    </w:p>
    <w:p w14:paraId="6A10818E" w14:textId="2186DFA8" w:rsidR="00CD6352" w:rsidRPr="00A54756" w:rsidRDefault="0067256F" w:rsidP="00CD6352">
      <w:pPr>
        <w:pStyle w:val="Heading2"/>
        <w:spacing w:after="240"/>
        <w:rPr>
          <w:sz w:val="22"/>
          <w:szCs w:val="22"/>
        </w:rPr>
      </w:pPr>
      <w:bookmarkStart w:id="769" w:name="_Toc78983796"/>
      <w:bookmarkStart w:id="770" w:name="_Toc459365145"/>
      <w:r>
        <w:rPr>
          <w:sz w:val="22"/>
          <w:szCs w:val="22"/>
        </w:rPr>
        <w:t xml:space="preserve">A </w:t>
      </w:r>
      <w:r w:rsidR="002D7A55">
        <w:rPr>
          <w:sz w:val="22"/>
          <w:szCs w:val="22"/>
        </w:rPr>
        <w:t>review of literature on the c</w:t>
      </w:r>
      <w:r w:rsidR="00CD6352" w:rsidRPr="00A54756">
        <w:rPr>
          <w:sz w:val="22"/>
          <w:szCs w:val="22"/>
        </w:rPr>
        <w:t>ritical success factors for securing finance for real estate project development</w:t>
      </w:r>
      <w:r w:rsidR="002D7A55">
        <w:rPr>
          <w:sz w:val="22"/>
          <w:szCs w:val="22"/>
        </w:rPr>
        <w:t>.</w:t>
      </w:r>
      <w:bookmarkEnd w:id="769"/>
      <w:r w:rsidR="00CD6352" w:rsidRPr="00A54756">
        <w:rPr>
          <w:sz w:val="22"/>
          <w:szCs w:val="22"/>
        </w:rPr>
        <w:t xml:space="preserve"> </w:t>
      </w:r>
      <w:bookmarkEnd w:id="770"/>
    </w:p>
    <w:p w14:paraId="2638D7E8" w14:textId="5FBF9E5A" w:rsidR="00A1305B" w:rsidRDefault="00A1305B" w:rsidP="00331C5C">
      <w:pPr>
        <w:spacing w:line="360" w:lineRule="auto"/>
        <w:jc w:val="both"/>
        <w:rPr>
          <w:rFonts w:ascii="Arial" w:hAnsi="Arial" w:cs="Arial"/>
        </w:rPr>
      </w:pPr>
      <w:r>
        <w:rPr>
          <w:rFonts w:ascii="Arial" w:hAnsi="Arial" w:cs="Arial"/>
        </w:rPr>
        <w:t xml:space="preserve">This section provides a </w:t>
      </w:r>
      <w:r w:rsidR="001025B7">
        <w:rPr>
          <w:rFonts w:ascii="Arial" w:hAnsi="Arial" w:cs="Arial"/>
        </w:rPr>
        <w:t>literature review for part of the second objective of this study</w:t>
      </w:r>
      <w:r w:rsidR="002D7A55">
        <w:rPr>
          <w:rFonts w:ascii="Arial" w:hAnsi="Arial" w:cs="Arial"/>
        </w:rPr>
        <w:t>,</w:t>
      </w:r>
      <w:r>
        <w:rPr>
          <w:rFonts w:ascii="Arial" w:hAnsi="Arial" w:cs="Arial"/>
        </w:rPr>
        <w:t xml:space="preserve"> </w:t>
      </w:r>
      <w:r w:rsidR="002D7A55">
        <w:rPr>
          <w:rFonts w:ascii="Arial" w:hAnsi="Arial" w:cs="Arial"/>
        </w:rPr>
        <w:t>“to</w:t>
      </w:r>
      <w:r w:rsidRPr="00A1305B">
        <w:rPr>
          <w:rFonts w:ascii="Arial" w:hAnsi="Arial" w:cs="Arial"/>
        </w:rPr>
        <w:t xml:space="preserve"> identify the critical success factor in securing finance for real estate project development</w:t>
      </w:r>
      <w:r>
        <w:rPr>
          <w:rFonts w:ascii="Arial" w:hAnsi="Arial" w:cs="Arial"/>
        </w:rPr>
        <w:t>”. It also attempts to provide some answers to a part of the second research question for this study which is, “what</w:t>
      </w:r>
      <w:r w:rsidRPr="00A1305B">
        <w:rPr>
          <w:rFonts w:ascii="Arial" w:hAnsi="Arial" w:cs="Arial"/>
        </w:rPr>
        <w:t xml:space="preserve"> are the critical success factor in securing finance for real estate project development</w:t>
      </w:r>
      <w:r w:rsidR="002D7A55">
        <w:rPr>
          <w:rFonts w:ascii="Arial" w:hAnsi="Arial" w:cs="Arial"/>
        </w:rPr>
        <w:t>?”</w:t>
      </w:r>
      <w:r>
        <w:rPr>
          <w:rFonts w:ascii="Arial" w:hAnsi="Arial" w:cs="Arial"/>
        </w:rPr>
        <w:t xml:space="preserve">. </w:t>
      </w:r>
    </w:p>
    <w:p w14:paraId="16471ECC" w14:textId="0ABD963A" w:rsidR="00CD6352" w:rsidRPr="00EA7665" w:rsidRDefault="00CD6352" w:rsidP="00331C5C">
      <w:pPr>
        <w:spacing w:line="360" w:lineRule="auto"/>
        <w:jc w:val="both"/>
        <w:rPr>
          <w:rFonts w:ascii="Arial" w:hAnsi="Arial" w:cs="Arial"/>
        </w:rPr>
      </w:pPr>
      <w:r w:rsidRPr="00A1305B">
        <w:rPr>
          <w:rFonts w:ascii="Arial" w:hAnsi="Arial" w:cs="Arial"/>
        </w:rPr>
        <w:lastRenderedPageBreak/>
        <w:t>The CSF largely determines the success criteria in securing finance for real estate project development.  Critical success factors for this study are the things that must be available for the manager in the real estate</w:t>
      </w:r>
      <w:r w:rsidRPr="008F2823">
        <w:rPr>
          <w:rFonts w:ascii="Arial" w:hAnsi="Arial" w:cs="Arial"/>
        </w:rPr>
        <w:t xml:space="preserve"> sector to be successful in securing finance for real estate project development (Osaily et al., 2018). </w:t>
      </w:r>
      <w:r>
        <w:rPr>
          <w:rFonts w:ascii="Arial" w:hAnsi="Arial" w:cs="Arial"/>
        </w:rPr>
        <w:t>It</w:t>
      </w:r>
      <w:r w:rsidRPr="008F2823">
        <w:rPr>
          <w:rFonts w:ascii="Arial" w:hAnsi="Arial" w:cs="Arial"/>
        </w:rPr>
        <w:t xml:space="preserve"> helps the manager to determine those factors on</w:t>
      </w:r>
      <w:r w:rsidRPr="00EA7665">
        <w:rPr>
          <w:rFonts w:ascii="Arial" w:hAnsi="Arial" w:cs="Arial"/>
        </w:rPr>
        <w:t xml:space="preserve"> which they should focus management attention, and it also helps to ensure that those significant factors will receive careful and continuous management scrutiny.” (Ranong, 2009; Amberg, 2005):</w:t>
      </w:r>
    </w:p>
    <w:p w14:paraId="4C51C305" w14:textId="437E40FA" w:rsidR="00BE7EA2" w:rsidRDefault="00CD6352" w:rsidP="00331C5C">
      <w:pPr>
        <w:spacing w:line="360" w:lineRule="auto"/>
        <w:jc w:val="both"/>
        <w:rPr>
          <w:rFonts w:ascii="Arial" w:hAnsi="Arial" w:cs="Arial"/>
        </w:rPr>
      </w:pPr>
      <w:r w:rsidRPr="00EA7665">
        <w:rPr>
          <w:rFonts w:ascii="Arial" w:hAnsi="Arial" w:cs="Arial"/>
        </w:rPr>
        <w:t xml:space="preserve">The real estate sector is a focal point for investors’ attention and economic purpose as a whole because of its high-expected returns. However, there are some factors critical to success in securing finance for real estate project development. There </w:t>
      </w:r>
      <w:r>
        <w:rPr>
          <w:rFonts w:ascii="Arial" w:hAnsi="Arial" w:cs="Arial"/>
        </w:rPr>
        <w:t>is</w:t>
      </w:r>
      <w:r w:rsidRPr="00EA7665">
        <w:rPr>
          <w:rFonts w:ascii="Arial" w:hAnsi="Arial" w:cs="Arial"/>
        </w:rPr>
        <w:t xml:space="preserve"> not enough literature on critical success factors for securing finance for real estate project development. Consequently, this study used existing literature on critical success factors in securing finance in general as a platform from which the primary data on critical success factors for securing real estate project finance will be generated.  </w:t>
      </w:r>
    </w:p>
    <w:p w14:paraId="41753567" w14:textId="3ED0EC71" w:rsidR="00CD6352" w:rsidRDefault="00BE7EA2" w:rsidP="00331C5C">
      <w:pPr>
        <w:spacing w:line="360" w:lineRule="auto"/>
        <w:jc w:val="both"/>
        <w:rPr>
          <w:rFonts w:ascii="Arial" w:hAnsi="Arial" w:cs="Arial"/>
        </w:rPr>
      </w:pPr>
      <w:r>
        <w:rPr>
          <w:rFonts w:ascii="Arial" w:hAnsi="Arial" w:cs="Arial"/>
        </w:rPr>
        <w:t>These critical success factors identified in table 3.5.1 contributed to the development of interview and questionnaire questions</w:t>
      </w:r>
      <w:r w:rsidR="001025B7">
        <w:rPr>
          <w:rFonts w:ascii="Arial" w:hAnsi="Arial" w:cs="Arial"/>
        </w:rPr>
        <w:t>, which helped ascertain what managers consider critical success factors</w:t>
      </w:r>
      <w:r w:rsidR="00645FC5">
        <w:rPr>
          <w:rFonts w:ascii="Arial" w:hAnsi="Arial" w:cs="Arial"/>
        </w:rPr>
        <w:t xml:space="preserve"> for securing real estate project development finance in the developed and emerging economies. It provided a platform for developing</w:t>
      </w:r>
      <w:r>
        <w:rPr>
          <w:rFonts w:ascii="Arial" w:hAnsi="Arial" w:cs="Arial"/>
        </w:rPr>
        <w:t xml:space="preserve"> </w:t>
      </w:r>
      <w:r w:rsidR="00645FC5">
        <w:rPr>
          <w:rFonts w:ascii="Arial" w:hAnsi="Arial" w:cs="Arial"/>
        </w:rPr>
        <w:t xml:space="preserve">an </w:t>
      </w:r>
      <w:r w:rsidR="00CD6452">
        <w:rPr>
          <w:rFonts w:ascii="Arial" w:hAnsi="Arial" w:cs="Arial"/>
        </w:rPr>
        <w:t>“environmental</w:t>
      </w:r>
      <w:r>
        <w:rPr>
          <w:rFonts w:ascii="Arial" w:hAnsi="Arial" w:cs="Arial"/>
        </w:rPr>
        <w:t xml:space="preserve"> scan for securing finance for real estate project development”</w:t>
      </w:r>
      <w:r w:rsidR="00645FC5">
        <w:rPr>
          <w:rFonts w:ascii="Arial" w:hAnsi="Arial" w:cs="Arial"/>
        </w:rPr>
        <w:t>,</w:t>
      </w:r>
      <w:r>
        <w:rPr>
          <w:rFonts w:ascii="Arial" w:hAnsi="Arial" w:cs="Arial"/>
        </w:rPr>
        <w:t xml:space="preserve"> which is a part of the toolkit for securing finance for real estate project development</w:t>
      </w:r>
      <w:r w:rsidR="00645FC5">
        <w:rPr>
          <w:rFonts w:ascii="Arial" w:hAnsi="Arial" w:cs="Arial"/>
        </w:rPr>
        <w:t xml:space="preserve"> in chapter 10.</w:t>
      </w:r>
    </w:p>
    <w:p w14:paraId="19F6A711" w14:textId="77777777" w:rsidR="001025B7" w:rsidRPr="00EA7665" w:rsidRDefault="001025B7" w:rsidP="00331C5C">
      <w:pPr>
        <w:spacing w:line="360" w:lineRule="auto"/>
        <w:jc w:val="both"/>
        <w:rPr>
          <w:rFonts w:ascii="Arial" w:hAnsi="Arial" w:cs="Arial"/>
        </w:rPr>
      </w:pPr>
    </w:p>
    <w:p w14:paraId="488E7A39" w14:textId="52218FD9" w:rsidR="00CD6352" w:rsidRPr="00D2098A" w:rsidRDefault="00CD6352" w:rsidP="00CD6352">
      <w:pPr>
        <w:spacing w:line="360" w:lineRule="auto"/>
        <w:jc w:val="both"/>
        <w:rPr>
          <w:rFonts w:ascii="Arial" w:hAnsi="Arial" w:cs="Arial"/>
        </w:rPr>
      </w:pPr>
      <w:bookmarkStart w:id="771" w:name="_Toc78983953"/>
      <w:r w:rsidRPr="00D2098A">
        <w:rPr>
          <w:rFonts w:ascii="Arial" w:hAnsi="Arial" w:cs="Arial"/>
        </w:rPr>
        <w:t xml:space="preserve">Table </w:t>
      </w:r>
      <w:r w:rsidR="008F25B1">
        <w:rPr>
          <w:rFonts w:ascii="Arial" w:hAnsi="Arial" w:cs="Arial"/>
        </w:rPr>
        <w:fldChar w:fldCharType="begin"/>
      </w:r>
      <w:r w:rsidR="008F25B1">
        <w:rPr>
          <w:rFonts w:ascii="Arial" w:hAnsi="Arial" w:cs="Arial"/>
        </w:rPr>
        <w:instrText xml:space="preserve"> STYLEREF 2 \s </w:instrText>
      </w:r>
      <w:r w:rsidR="008F25B1">
        <w:rPr>
          <w:rFonts w:ascii="Arial" w:hAnsi="Arial" w:cs="Arial"/>
        </w:rPr>
        <w:fldChar w:fldCharType="separate"/>
      </w:r>
      <w:r w:rsidR="008F25B1">
        <w:rPr>
          <w:rFonts w:ascii="Arial" w:hAnsi="Arial" w:cs="Arial"/>
          <w:noProof/>
        </w:rPr>
        <w:t>3.5</w:t>
      </w:r>
      <w:r w:rsidR="008F25B1">
        <w:rPr>
          <w:rFonts w:ascii="Arial" w:hAnsi="Arial" w:cs="Arial"/>
        </w:rPr>
        <w:fldChar w:fldCharType="end"/>
      </w:r>
      <w:r w:rsidR="008F25B1">
        <w:rPr>
          <w:rFonts w:ascii="Arial" w:hAnsi="Arial" w:cs="Arial"/>
        </w:rPr>
        <w:noBreakHyphen/>
      </w:r>
      <w:r w:rsidR="008F25B1">
        <w:rPr>
          <w:rFonts w:ascii="Arial" w:hAnsi="Arial" w:cs="Arial"/>
        </w:rPr>
        <w:fldChar w:fldCharType="begin"/>
      </w:r>
      <w:r w:rsidR="008F25B1">
        <w:rPr>
          <w:rFonts w:ascii="Arial" w:hAnsi="Arial" w:cs="Arial"/>
        </w:rPr>
        <w:instrText xml:space="preserve"> SEQ Table \* ARABIC \s 2 </w:instrText>
      </w:r>
      <w:r w:rsidR="008F25B1">
        <w:rPr>
          <w:rFonts w:ascii="Arial" w:hAnsi="Arial" w:cs="Arial"/>
        </w:rPr>
        <w:fldChar w:fldCharType="separate"/>
      </w:r>
      <w:r w:rsidR="008F25B1">
        <w:rPr>
          <w:rFonts w:ascii="Arial" w:hAnsi="Arial" w:cs="Arial"/>
          <w:noProof/>
        </w:rPr>
        <w:t>1</w:t>
      </w:r>
      <w:r w:rsidR="008F25B1">
        <w:rPr>
          <w:rFonts w:ascii="Arial" w:hAnsi="Arial" w:cs="Arial"/>
        </w:rPr>
        <w:fldChar w:fldCharType="end"/>
      </w:r>
      <w:r w:rsidRPr="00D2098A">
        <w:rPr>
          <w:rFonts w:ascii="Arial" w:hAnsi="Arial" w:cs="Arial"/>
        </w:rPr>
        <w:t>: A list of critical success factors for securing finance</w:t>
      </w:r>
      <w:bookmarkEnd w:id="771"/>
    </w:p>
    <w:tbl>
      <w:tblPr>
        <w:tblStyle w:val="TableGrid"/>
        <w:tblW w:w="0" w:type="auto"/>
        <w:tblLook w:val="04A0" w:firstRow="1" w:lastRow="0" w:firstColumn="1" w:lastColumn="0" w:noHBand="0" w:noVBand="1"/>
      </w:tblPr>
      <w:tblGrid>
        <w:gridCol w:w="1555"/>
        <w:gridCol w:w="2444"/>
        <w:gridCol w:w="5017"/>
      </w:tblGrid>
      <w:tr w:rsidR="00CD6352" w:rsidRPr="00EA7665" w14:paraId="451FB39E" w14:textId="77777777" w:rsidTr="00CD6352">
        <w:tc>
          <w:tcPr>
            <w:tcW w:w="1555" w:type="dxa"/>
          </w:tcPr>
          <w:p w14:paraId="1CF3B35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Authors / Study </w:t>
            </w:r>
          </w:p>
        </w:tc>
        <w:tc>
          <w:tcPr>
            <w:tcW w:w="2444" w:type="dxa"/>
          </w:tcPr>
          <w:p w14:paraId="4C33501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Title of Journal/book/resource / CSF  </w:t>
            </w:r>
          </w:p>
        </w:tc>
        <w:tc>
          <w:tcPr>
            <w:tcW w:w="0" w:type="auto"/>
          </w:tcPr>
          <w:p w14:paraId="6794737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Summary of Critical success factors ( CSF)</w:t>
            </w:r>
          </w:p>
        </w:tc>
      </w:tr>
      <w:tr w:rsidR="00CD6352" w:rsidRPr="00EA7665" w14:paraId="6FE68ECB" w14:textId="77777777" w:rsidTr="00CD6352">
        <w:tc>
          <w:tcPr>
            <w:tcW w:w="1555" w:type="dxa"/>
          </w:tcPr>
          <w:p w14:paraId="6C3A7E20" w14:textId="77777777" w:rsidR="00CD6352" w:rsidRPr="00EA7665" w:rsidRDefault="00CD6352" w:rsidP="00CD6352">
            <w:pPr>
              <w:jc w:val="both"/>
              <w:rPr>
                <w:rFonts w:ascii="Arial" w:hAnsi="Arial" w:cs="Arial"/>
                <w:sz w:val="16"/>
                <w:szCs w:val="16"/>
              </w:rPr>
            </w:pPr>
          </w:p>
          <w:p w14:paraId="1B0587A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Lam et al. (2011)</w:t>
            </w:r>
          </w:p>
        </w:tc>
        <w:tc>
          <w:tcPr>
            <w:tcW w:w="2444" w:type="dxa"/>
          </w:tcPr>
          <w:p w14:paraId="3E31555A" w14:textId="77777777" w:rsidR="00CD6352" w:rsidRPr="00EA7665" w:rsidRDefault="00CD6352" w:rsidP="00CD6352">
            <w:pPr>
              <w:jc w:val="both"/>
              <w:rPr>
                <w:rFonts w:ascii="Arial" w:hAnsi="Arial" w:cs="Arial"/>
                <w:sz w:val="16"/>
                <w:szCs w:val="16"/>
              </w:rPr>
            </w:pPr>
          </w:p>
          <w:p w14:paraId="05A42F1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Critical success factors for bond finance construction in Asia</w:t>
            </w:r>
          </w:p>
        </w:tc>
        <w:tc>
          <w:tcPr>
            <w:tcW w:w="0" w:type="auto"/>
          </w:tcPr>
          <w:p w14:paraId="06AE830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Credit risks, yield, liquidity, and transparency are priority considerations for retail investors, whereas institutional investors assume additional business considerations, such as matching of assets and liability durations.</w:t>
            </w:r>
          </w:p>
        </w:tc>
      </w:tr>
      <w:tr w:rsidR="00CD6352" w:rsidRPr="00EA7665" w14:paraId="02B6484D" w14:textId="77777777" w:rsidTr="00CD6352">
        <w:tc>
          <w:tcPr>
            <w:tcW w:w="1555" w:type="dxa"/>
          </w:tcPr>
          <w:p w14:paraId="7B00F25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Zhang &amp; Cheung (2012).</w:t>
            </w:r>
          </w:p>
        </w:tc>
        <w:tc>
          <w:tcPr>
            <w:tcW w:w="2444" w:type="dxa"/>
          </w:tcPr>
          <w:p w14:paraId="6E5EB3E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 comparative study of critical success factors for public-private partnerships (PPP) between Mainland China and the Hong Kong Special Administrative Region</w:t>
            </w:r>
          </w:p>
        </w:tc>
        <w:tc>
          <w:tcPr>
            <w:tcW w:w="0" w:type="auto"/>
          </w:tcPr>
          <w:p w14:paraId="4229525B" w14:textId="77777777" w:rsidR="00CD6352" w:rsidRPr="00EA7665" w:rsidRDefault="00CD6352" w:rsidP="00CD6352">
            <w:pPr>
              <w:jc w:val="both"/>
              <w:rPr>
                <w:rFonts w:ascii="Arial" w:hAnsi="Arial" w:cs="Arial"/>
                <w:sz w:val="16"/>
                <w:szCs w:val="16"/>
              </w:rPr>
            </w:pPr>
          </w:p>
          <w:p w14:paraId="46493D02" w14:textId="65EDEB56"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Favourable legal framework, </w:t>
            </w:r>
            <w:r>
              <w:rPr>
                <w:rFonts w:ascii="Arial" w:hAnsi="Arial" w:cs="Arial"/>
                <w:sz w:val="16"/>
                <w:szCs w:val="16"/>
              </w:rPr>
              <w:t>a</w:t>
            </w:r>
            <w:r w:rsidRPr="00EA7665">
              <w:rPr>
                <w:rFonts w:ascii="Arial" w:hAnsi="Arial" w:cs="Arial"/>
                <w:sz w:val="16"/>
                <w:szCs w:val="16"/>
              </w:rPr>
              <w:t>ppropriate risk allocation, and risk sharing, Commitment and responsibility of public and private sectors, Stable macro</w:t>
            </w:r>
            <w:r w:rsidRPr="00EA7665">
              <w:rPr>
                <w:rFonts w:ascii="MS Gothic" w:eastAsia="MS Gothic" w:hAnsi="MS Gothic" w:cs="MS Gothic" w:hint="eastAsia"/>
                <w:sz w:val="16"/>
                <w:szCs w:val="16"/>
              </w:rPr>
              <w:t>‐</w:t>
            </w:r>
            <w:r w:rsidRPr="00EA7665">
              <w:rPr>
                <w:rFonts w:ascii="Arial" w:hAnsi="Arial" w:cs="Arial"/>
                <w:sz w:val="16"/>
                <w:szCs w:val="16"/>
              </w:rPr>
              <w:t xml:space="preserve">economic </w:t>
            </w:r>
            <w:r w:rsidR="00BA4D32" w:rsidRPr="00EA7665">
              <w:rPr>
                <w:rFonts w:ascii="Arial" w:hAnsi="Arial" w:cs="Arial"/>
                <w:sz w:val="16"/>
                <w:szCs w:val="16"/>
              </w:rPr>
              <w:t>condition</w:t>
            </w:r>
            <w:r w:rsidR="00BA4D32">
              <w:rPr>
                <w:rFonts w:ascii="Arial" w:hAnsi="Arial" w:cs="Arial"/>
                <w:sz w:val="16"/>
                <w:szCs w:val="16"/>
              </w:rPr>
              <w:t>,</w:t>
            </w:r>
            <w:r w:rsidR="00BA4D32" w:rsidRPr="00EA7665">
              <w:rPr>
                <w:rFonts w:ascii="Arial" w:hAnsi="Arial" w:cs="Arial"/>
                <w:sz w:val="16"/>
                <w:szCs w:val="16"/>
              </w:rPr>
              <w:t xml:space="preserve"> available</w:t>
            </w:r>
            <w:r w:rsidRPr="00EA7665">
              <w:rPr>
                <w:rFonts w:ascii="Arial" w:hAnsi="Arial" w:cs="Arial"/>
                <w:sz w:val="16"/>
                <w:szCs w:val="16"/>
              </w:rPr>
              <w:t xml:space="preserve"> financial market, </w:t>
            </w:r>
            <w:r>
              <w:rPr>
                <w:rFonts w:ascii="Arial" w:hAnsi="Arial" w:cs="Arial"/>
                <w:sz w:val="16"/>
                <w:szCs w:val="16"/>
              </w:rPr>
              <w:t>s</w:t>
            </w:r>
            <w:r w:rsidRPr="00EA7665">
              <w:rPr>
                <w:rFonts w:ascii="Arial" w:hAnsi="Arial" w:cs="Arial"/>
                <w:sz w:val="16"/>
                <w:szCs w:val="16"/>
              </w:rPr>
              <w:t>trong and the good private consortium</w:t>
            </w:r>
          </w:p>
        </w:tc>
      </w:tr>
      <w:tr w:rsidR="00CD6352" w:rsidRPr="00EA7665" w14:paraId="77D77C91" w14:textId="77777777" w:rsidTr="00CD6352">
        <w:tc>
          <w:tcPr>
            <w:tcW w:w="1555" w:type="dxa"/>
          </w:tcPr>
          <w:p w14:paraId="26006BE5" w14:textId="25043265" w:rsidR="00CD6352" w:rsidRPr="00EA7665" w:rsidRDefault="00CD6352" w:rsidP="00CD6352">
            <w:pPr>
              <w:jc w:val="both"/>
              <w:rPr>
                <w:rFonts w:ascii="Arial" w:hAnsi="Arial" w:cs="Arial"/>
                <w:sz w:val="16"/>
                <w:szCs w:val="16"/>
              </w:rPr>
            </w:pPr>
            <w:r w:rsidRPr="00EA7665">
              <w:rPr>
                <w:rFonts w:ascii="Arial" w:hAnsi="Arial" w:cs="Arial"/>
                <w:sz w:val="16"/>
                <w:szCs w:val="16"/>
              </w:rPr>
              <w:t>Chan et al</w:t>
            </w:r>
            <w:r w:rsidR="00F3520B">
              <w:rPr>
                <w:rFonts w:ascii="Arial" w:hAnsi="Arial" w:cs="Arial"/>
                <w:sz w:val="16"/>
                <w:szCs w:val="16"/>
              </w:rPr>
              <w:t>.</w:t>
            </w:r>
            <w:r w:rsidRPr="00EA7665">
              <w:rPr>
                <w:rFonts w:ascii="Arial" w:hAnsi="Arial" w:cs="Arial"/>
                <w:sz w:val="16"/>
                <w:szCs w:val="16"/>
              </w:rPr>
              <w:t xml:space="preserve"> (2010)</w:t>
            </w:r>
          </w:p>
        </w:tc>
        <w:tc>
          <w:tcPr>
            <w:tcW w:w="2444" w:type="dxa"/>
          </w:tcPr>
          <w:p w14:paraId="7937F35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Critical Success Factors for PPPs in Infrastructure</w:t>
            </w:r>
          </w:p>
          <w:p w14:paraId="727EC4C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Developments: Chinese Perspective</w:t>
            </w:r>
          </w:p>
        </w:tc>
        <w:tc>
          <w:tcPr>
            <w:tcW w:w="0" w:type="auto"/>
          </w:tcPr>
          <w:p w14:paraId="044F78BC" w14:textId="67D66957" w:rsidR="00CD6352" w:rsidRPr="00EA7665" w:rsidRDefault="00CD6352" w:rsidP="00CD6352">
            <w:pPr>
              <w:jc w:val="both"/>
              <w:rPr>
                <w:rFonts w:ascii="Arial" w:hAnsi="Arial" w:cs="Arial"/>
                <w:sz w:val="16"/>
                <w:szCs w:val="16"/>
              </w:rPr>
            </w:pPr>
            <w:r w:rsidRPr="00EA7665">
              <w:rPr>
                <w:rFonts w:ascii="Arial" w:hAnsi="Arial" w:cs="Arial"/>
                <w:sz w:val="16"/>
                <w:szCs w:val="16"/>
              </w:rPr>
              <w:t>Stable macro-economic environment shared responsibility between public and private sectors, transparent and efficient procurement process, stable political and social environment and judicious government control</w:t>
            </w:r>
          </w:p>
        </w:tc>
      </w:tr>
      <w:tr w:rsidR="00CD6352" w:rsidRPr="00EA7665" w14:paraId="18F06CBF" w14:textId="77777777" w:rsidTr="00CD6352">
        <w:tc>
          <w:tcPr>
            <w:tcW w:w="1555" w:type="dxa"/>
          </w:tcPr>
          <w:p w14:paraId="20D2B05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Rohm, M. ( 2017)</w:t>
            </w:r>
          </w:p>
        </w:tc>
        <w:tc>
          <w:tcPr>
            <w:tcW w:w="2444" w:type="dxa"/>
          </w:tcPr>
          <w:p w14:paraId="4DC33E7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Modelling critical success factors of International Joint Ventures in Real Estate Development: Perspective of </w:t>
            </w:r>
            <w:r w:rsidRPr="00EA7665">
              <w:rPr>
                <w:rFonts w:ascii="Arial" w:hAnsi="Arial" w:cs="Arial"/>
                <w:sz w:val="16"/>
                <w:szCs w:val="16"/>
              </w:rPr>
              <w:lastRenderedPageBreak/>
              <w:t>Capital investor. A thesis submitted to the University of Gloucestershire</w:t>
            </w:r>
          </w:p>
        </w:tc>
        <w:tc>
          <w:tcPr>
            <w:tcW w:w="0" w:type="auto"/>
          </w:tcPr>
          <w:p w14:paraId="56410F2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 xml:space="preserve">Familiarity with local legislation &amp; clear contract term, liquidity management, financial modelling with realistic assumptions, good business plan, partner due diligence, alignment of interest and contract satisfaction; partner’s ability and skills, alignment of interest </w:t>
            </w:r>
            <w:r w:rsidRPr="00EA7665">
              <w:rPr>
                <w:rFonts w:ascii="Arial" w:hAnsi="Arial" w:cs="Arial"/>
                <w:sz w:val="16"/>
                <w:szCs w:val="16"/>
              </w:rPr>
              <w:lastRenderedPageBreak/>
              <w:t>and objectives, monitoring of</w:t>
            </w:r>
            <w:r>
              <w:rPr>
                <w:rFonts w:ascii="Arial" w:hAnsi="Arial" w:cs="Arial"/>
                <w:sz w:val="16"/>
                <w:szCs w:val="16"/>
              </w:rPr>
              <w:t xml:space="preserve"> </w:t>
            </w:r>
            <w:r w:rsidRPr="00EA7665">
              <w:rPr>
                <w:rFonts w:ascii="Arial" w:hAnsi="Arial" w:cs="Arial"/>
                <w:sz w:val="16"/>
                <w:szCs w:val="16"/>
              </w:rPr>
              <w:t>JV activities, the meeting of project timeline and control of project performance</w:t>
            </w:r>
          </w:p>
        </w:tc>
      </w:tr>
      <w:tr w:rsidR="00CD6352" w:rsidRPr="00EA7665" w14:paraId="2FD4690A" w14:textId="77777777" w:rsidTr="00CD6352">
        <w:tc>
          <w:tcPr>
            <w:tcW w:w="1555" w:type="dxa"/>
          </w:tcPr>
          <w:p w14:paraId="5A8899B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Timothy  and  Gaye ( 2006)</w:t>
            </w:r>
          </w:p>
        </w:tc>
        <w:tc>
          <w:tcPr>
            <w:tcW w:w="2444" w:type="dxa"/>
          </w:tcPr>
          <w:p w14:paraId="457E533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Lessons from real estate</w:t>
            </w:r>
          </w:p>
          <w:p w14:paraId="1A4ADB8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partnerships in the UK</w:t>
            </w:r>
          </w:p>
          <w:p w14:paraId="44D51B5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Drivers, barriers and critical success factors</w:t>
            </w:r>
          </w:p>
        </w:tc>
        <w:tc>
          <w:tcPr>
            <w:tcW w:w="0" w:type="auto"/>
          </w:tcPr>
          <w:p w14:paraId="3E85D8A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Critical success factors strategic: Performance to match objectives of the corporate occupier, prove “ profitability for all parties to the SPV, operate without giving rise to significant disputes or need for parties to invoke the contract to settle any arguments; Critical success factors operational: establishing an appropriate length and form of contract, access to relevant and up to date data, assembling the right team of advisors, aligning the interest of the parties, allocating and sharing risk. </w:t>
            </w:r>
          </w:p>
        </w:tc>
      </w:tr>
      <w:tr w:rsidR="00CD6352" w:rsidRPr="00EA7665" w14:paraId="455D3686" w14:textId="77777777" w:rsidTr="00CD6352">
        <w:trPr>
          <w:trHeight w:val="926"/>
        </w:trPr>
        <w:tc>
          <w:tcPr>
            <w:tcW w:w="1555" w:type="dxa"/>
          </w:tcPr>
          <w:p w14:paraId="02CE623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Oladokun and  Ogunbiyi (2018)</w:t>
            </w:r>
          </w:p>
        </w:tc>
        <w:tc>
          <w:tcPr>
            <w:tcW w:w="2444" w:type="dxa"/>
          </w:tcPr>
          <w:p w14:paraId="429B0A6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External factors critical to success in the business of estate surveying firms in Lagos State, Nigeria</w:t>
            </w:r>
          </w:p>
        </w:tc>
        <w:tc>
          <w:tcPr>
            <w:tcW w:w="0" w:type="auto"/>
          </w:tcPr>
          <w:p w14:paraId="50EA3E1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decision-making effectiveness; project manager’s experience; contractor’s cash flow; contractor experience; a timely decision by the owner/owner’s representative; site management, supervision, planning effort; prior project management experience; and client’s ability to make a decision.</w:t>
            </w:r>
          </w:p>
        </w:tc>
      </w:tr>
      <w:tr w:rsidR="00CD6352" w:rsidRPr="00EA7665" w14:paraId="2E2F3DF3" w14:textId="77777777" w:rsidTr="00CD6352">
        <w:tc>
          <w:tcPr>
            <w:tcW w:w="1555" w:type="dxa"/>
          </w:tcPr>
          <w:p w14:paraId="24018CA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Ameyaw, E. E. and  Chan, A. P.C. (2016)</w:t>
            </w:r>
          </w:p>
        </w:tc>
        <w:tc>
          <w:tcPr>
            <w:tcW w:w="2444" w:type="dxa"/>
          </w:tcPr>
          <w:p w14:paraId="6A7E5BB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Critical success factors for public-private partnership in water supply projects </w:t>
            </w:r>
          </w:p>
        </w:tc>
        <w:tc>
          <w:tcPr>
            <w:tcW w:w="0" w:type="auto"/>
          </w:tcPr>
          <w:p w14:paraId="0C91E61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The commitment of the partners; Strength of the consortium;</w:t>
            </w:r>
          </w:p>
          <w:p w14:paraId="5434829A" w14:textId="77777777" w:rsidR="00CD6352" w:rsidRPr="00EA7665" w:rsidRDefault="00CD6352" w:rsidP="00CD6352">
            <w:pPr>
              <w:jc w:val="both"/>
              <w:rPr>
                <w:rFonts w:ascii="Arial" w:hAnsi="Arial" w:cs="Arial"/>
                <w:sz w:val="16"/>
                <w:szCs w:val="16"/>
              </w:rPr>
            </w:pPr>
            <w:r>
              <w:rPr>
                <w:rFonts w:ascii="Arial" w:hAnsi="Arial" w:cs="Arial"/>
                <w:sz w:val="16"/>
                <w:szCs w:val="16"/>
              </w:rPr>
              <w:t>a</w:t>
            </w:r>
            <w:r w:rsidRPr="00EA7665">
              <w:rPr>
                <w:rFonts w:ascii="Arial" w:hAnsi="Arial" w:cs="Arial"/>
                <w:sz w:val="16"/>
                <w:szCs w:val="16"/>
              </w:rPr>
              <w:t xml:space="preserve">sset quality and social support; </w:t>
            </w:r>
            <w:r>
              <w:rPr>
                <w:rFonts w:ascii="Arial" w:hAnsi="Arial" w:cs="Arial"/>
                <w:sz w:val="16"/>
                <w:szCs w:val="16"/>
              </w:rPr>
              <w:t>p</w:t>
            </w:r>
            <w:r w:rsidRPr="00EA7665">
              <w:rPr>
                <w:rFonts w:ascii="Arial" w:hAnsi="Arial" w:cs="Arial"/>
                <w:sz w:val="16"/>
                <w:szCs w:val="16"/>
              </w:rPr>
              <w:t>olitical environment; and</w:t>
            </w:r>
          </w:p>
          <w:p w14:paraId="7D83390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National PPP unit.</w:t>
            </w:r>
          </w:p>
        </w:tc>
      </w:tr>
      <w:tr w:rsidR="00CD6352" w:rsidRPr="00EA7665" w14:paraId="19BC3301" w14:textId="77777777" w:rsidTr="00CD6352">
        <w:tc>
          <w:tcPr>
            <w:tcW w:w="1555" w:type="dxa"/>
          </w:tcPr>
          <w:p w14:paraId="6568518A" w14:textId="77777777" w:rsidR="00CD6352" w:rsidRPr="00EA7665" w:rsidRDefault="00CD6352" w:rsidP="00CD6352">
            <w:pPr>
              <w:jc w:val="both"/>
              <w:rPr>
                <w:rFonts w:ascii="Arial" w:hAnsi="Arial" w:cs="Arial"/>
                <w:sz w:val="16"/>
                <w:szCs w:val="16"/>
              </w:rPr>
            </w:pPr>
          </w:p>
          <w:p w14:paraId="6E0D192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Ameyaw et al. (2017)</w:t>
            </w:r>
          </w:p>
        </w:tc>
        <w:tc>
          <w:tcPr>
            <w:tcW w:w="2444" w:type="dxa"/>
          </w:tcPr>
          <w:p w14:paraId="078B27A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 survey of critical success factors for attracting private sector participation in water supply projects in developing countries</w:t>
            </w:r>
          </w:p>
        </w:tc>
        <w:tc>
          <w:tcPr>
            <w:tcW w:w="0" w:type="auto"/>
          </w:tcPr>
          <w:p w14:paraId="007D82A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Political commitment from the elected government toward PPPs for water supply; the existence of dedicated PPP unit; strong and competent public water authority; adequate fiscal capacity of a</w:t>
            </w:r>
          </w:p>
          <w:p w14:paraId="6A09BE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national/subnational authority; public acceptance and support of the involvement of the private sector in water services; a well-designed PPP contract; the existence of enabling policy and legal</w:t>
            </w:r>
          </w:p>
          <w:p w14:paraId="12D53E1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frameworks to support water PPPs; and profitability of water project(s) to attract investors and lenders</w:t>
            </w:r>
          </w:p>
        </w:tc>
      </w:tr>
      <w:tr w:rsidR="00CD6352" w:rsidRPr="00EA7665" w14:paraId="12AFF06B" w14:textId="77777777" w:rsidTr="00CD6352">
        <w:tc>
          <w:tcPr>
            <w:tcW w:w="1555" w:type="dxa"/>
          </w:tcPr>
          <w:p w14:paraId="63FD72BF" w14:textId="77777777" w:rsidR="00CD6352" w:rsidRPr="00EA7665" w:rsidRDefault="00CD6352" w:rsidP="00CD6352">
            <w:pPr>
              <w:jc w:val="both"/>
              <w:rPr>
                <w:rFonts w:ascii="Arial" w:hAnsi="Arial" w:cs="Arial"/>
                <w:sz w:val="16"/>
                <w:szCs w:val="16"/>
              </w:rPr>
            </w:pPr>
          </w:p>
          <w:p w14:paraId="0D27EAD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Kwofie et al. ( 2016) </w:t>
            </w:r>
          </w:p>
        </w:tc>
        <w:tc>
          <w:tcPr>
            <w:tcW w:w="2444" w:type="dxa"/>
          </w:tcPr>
          <w:p w14:paraId="4F6A2C8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 critical success model for PPP public housing delivery in Ghana</w:t>
            </w:r>
          </w:p>
        </w:tc>
        <w:tc>
          <w:tcPr>
            <w:tcW w:w="0" w:type="auto"/>
          </w:tcPr>
          <w:p w14:paraId="373BF84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government involvement by providing a guarantee, right project identification and project technical feasibility, competitive and transparent procurement process, favourable and efficient legal framework, stable macro-economic condition  &amp; sound economic policy</w:t>
            </w:r>
          </w:p>
        </w:tc>
      </w:tr>
      <w:tr w:rsidR="00CD6352" w:rsidRPr="00EA7665" w14:paraId="0C93B454" w14:textId="77777777" w:rsidTr="00CD6352">
        <w:tc>
          <w:tcPr>
            <w:tcW w:w="1555" w:type="dxa"/>
          </w:tcPr>
          <w:p w14:paraId="02A6F6B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Venema, W. H. (2012).</w:t>
            </w:r>
          </w:p>
        </w:tc>
        <w:tc>
          <w:tcPr>
            <w:tcW w:w="2444" w:type="dxa"/>
          </w:tcPr>
          <w:p w14:paraId="5A52922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Integration: The Critical M&amp;A Success Factor</w:t>
            </w:r>
          </w:p>
        </w:tc>
        <w:tc>
          <w:tcPr>
            <w:tcW w:w="0" w:type="auto"/>
          </w:tcPr>
          <w:p w14:paraId="2CBDE8AB" w14:textId="6A7F9A28" w:rsidR="00CD6352" w:rsidRPr="00EA7665" w:rsidRDefault="00E05557" w:rsidP="00CD6352">
            <w:pPr>
              <w:jc w:val="both"/>
              <w:rPr>
                <w:rFonts w:ascii="Arial" w:hAnsi="Arial" w:cs="Arial"/>
                <w:sz w:val="16"/>
                <w:szCs w:val="16"/>
              </w:rPr>
            </w:pPr>
            <w:r>
              <w:rPr>
                <w:rFonts w:ascii="Arial" w:hAnsi="Arial" w:cs="Arial"/>
                <w:sz w:val="16"/>
                <w:szCs w:val="16"/>
              </w:rPr>
              <w:t>Regarding integration planning, consider the organisation and culture of the target and ensure</w:t>
            </w:r>
            <w:r w:rsidR="00CD6352" w:rsidRPr="00EA7665">
              <w:rPr>
                <w:rFonts w:ascii="Arial" w:hAnsi="Arial" w:cs="Arial"/>
                <w:sz w:val="16"/>
                <w:szCs w:val="16"/>
              </w:rPr>
              <w:t xml:space="preserve"> that parties comply with antitrust laws. </w:t>
            </w:r>
          </w:p>
        </w:tc>
      </w:tr>
      <w:tr w:rsidR="00CD6352" w:rsidRPr="00EA7665" w14:paraId="57179CC6" w14:textId="77777777" w:rsidTr="00CD6352">
        <w:tc>
          <w:tcPr>
            <w:tcW w:w="1555" w:type="dxa"/>
          </w:tcPr>
          <w:p w14:paraId="1979A394" w14:textId="77777777" w:rsidR="00CD6352" w:rsidRPr="00EA7665" w:rsidRDefault="00CD6352" w:rsidP="00CD6352">
            <w:pPr>
              <w:jc w:val="both"/>
              <w:rPr>
                <w:rFonts w:ascii="Arial" w:hAnsi="Arial" w:cs="Arial"/>
                <w:sz w:val="16"/>
                <w:szCs w:val="16"/>
              </w:rPr>
            </w:pPr>
          </w:p>
          <w:p w14:paraId="6A852CE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Zhao et al. (2010)</w:t>
            </w:r>
          </w:p>
        </w:tc>
        <w:tc>
          <w:tcPr>
            <w:tcW w:w="2444" w:type="dxa"/>
          </w:tcPr>
          <w:p w14:paraId="121930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Critical success factors for BOT electric power projects in China: Thermal power versus wind power</w:t>
            </w:r>
          </w:p>
        </w:tc>
        <w:tc>
          <w:tcPr>
            <w:tcW w:w="0" w:type="auto"/>
          </w:tcPr>
          <w:p w14:paraId="6B66856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The necessity for the project, the level of project financing management of the project company, the expected debt-paying ability of the project, the financial capacity of the contractor, and the level of business operation and qualification of the contractor</w:t>
            </w:r>
          </w:p>
        </w:tc>
      </w:tr>
      <w:tr w:rsidR="00CD6352" w:rsidRPr="00EA7665" w14:paraId="6BEBF37C" w14:textId="77777777" w:rsidTr="00CD6352">
        <w:tc>
          <w:tcPr>
            <w:tcW w:w="1555" w:type="dxa"/>
          </w:tcPr>
          <w:p w14:paraId="3FE63D2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Lukkarinen et al. ( 2016)</w:t>
            </w:r>
          </w:p>
          <w:p w14:paraId="7EC51094" w14:textId="77777777" w:rsidR="00CD6352" w:rsidRPr="00EA7665" w:rsidRDefault="00CD6352" w:rsidP="00CD6352">
            <w:pPr>
              <w:jc w:val="both"/>
              <w:rPr>
                <w:rFonts w:ascii="Arial" w:hAnsi="Arial" w:cs="Arial"/>
                <w:sz w:val="16"/>
                <w:szCs w:val="16"/>
              </w:rPr>
            </w:pPr>
          </w:p>
        </w:tc>
        <w:tc>
          <w:tcPr>
            <w:tcW w:w="2444" w:type="dxa"/>
          </w:tcPr>
          <w:p w14:paraId="6919F0E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Success drivers of online equity crowdfunding campaigns</w:t>
            </w:r>
          </w:p>
        </w:tc>
        <w:tc>
          <w:tcPr>
            <w:tcW w:w="0" w:type="auto"/>
          </w:tcPr>
          <w:p w14:paraId="233CBB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observable features of crowdfunding campaigns, network utilisation, and understandability of the target's products</w:t>
            </w:r>
          </w:p>
        </w:tc>
      </w:tr>
    </w:tbl>
    <w:p w14:paraId="55E8D80D"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Source: Inspired by several journal publication</w:t>
      </w:r>
    </w:p>
    <w:p w14:paraId="60B55C3D" w14:textId="7047B6F5" w:rsidR="00CD6352" w:rsidRPr="00EA7665" w:rsidRDefault="00CD6352" w:rsidP="00CD6352">
      <w:pPr>
        <w:spacing w:line="360" w:lineRule="auto"/>
        <w:jc w:val="both"/>
        <w:rPr>
          <w:rFonts w:ascii="Arial" w:hAnsi="Arial" w:cs="Arial"/>
        </w:rPr>
      </w:pPr>
      <w:r w:rsidRPr="00EA7665">
        <w:rPr>
          <w:rFonts w:ascii="Arial" w:hAnsi="Arial" w:cs="Arial"/>
        </w:rPr>
        <w:t>The above list of critical success factors shows that</w:t>
      </w:r>
      <w:r w:rsidR="00574CAC">
        <w:rPr>
          <w:rFonts w:ascii="Arial" w:hAnsi="Arial" w:cs="Arial"/>
        </w:rPr>
        <w:t>,</w:t>
      </w:r>
      <w:r w:rsidR="00F3520B">
        <w:rPr>
          <w:rFonts w:ascii="Arial" w:hAnsi="Arial" w:cs="Arial"/>
        </w:rPr>
        <w:t xml:space="preserve"> if patterned after Oladokun and Ogunbiyi (2008) work</w:t>
      </w:r>
      <w:r w:rsidRPr="00EA7665">
        <w:rPr>
          <w:rFonts w:ascii="Arial" w:hAnsi="Arial" w:cs="Arial"/>
        </w:rPr>
        <w:t xml:space="preserve"> on critical success factors</w:t>
      </w:r>
      <w:r w:rsidR="00574CAC">
        <w:rPr>
          <w:rFonts w:ascii="Arial" w:hAnsi="Arial" w:cs="Arial"/>
        </w:rPr>
        <w:t xml:space="preserve"> </w:t>
      </w:r>
      <w:r w:rsidRPr="00EA7665">
        <w:rPr>
          <w:rFonts w:ascii="Arial" w:hAnsi="Arial" w:cs="Arial"/>
        </w:rPr>
        <w:t xml:space="preserve">can be classified into external and internal factors. The organisation has no control over the external factors, but these factors </w:t>
      </w:r>
      <w:r>
        <w:rPr>
          <w:rFonts w:ascii="Arial" w:hAnsi="Arial" w:cs="Arial"/>
        </w:rPr>
        <w:t>are</w:t>
      </w:r>
      <w:r w:rsidR="00CF1B8F">
        <w:rPr>
          <w:rFonts w:ascii="Arial" w:hAnsi="Arial" w:cs="Arial"/>
        </w:rPr>
        <w:t xml:space="preserve"> </w:t>
      </w:r>
      <w:r w:rsidRPr="00EA7665">
        <w:rPr>
          <w:rFonts w:ascii="Arial" w:hAnsi="Arial" w:cs="Arial"/>
        </w:rPr>
        <w:t xml:space="preserve">critical to their ability to secure finance for project development.  They include the economic situation of the </w:t>
      </w:r>
      <w:r w:rsidR="00F3520B">
        <w:rPr>
          <w:rFonts w:ascii="Arial" w:hAnsi="Arial" w:cs="Arial"/>
        </w:rPr>
        <w:t>firm's immediate locality</w:t>
      </w:r>
      <w:r w:rsidRPr="00EA7665">
        <w:rPr>
          <w:rFonts w:ascii="Arial" w:hAnsi="Arial" w:cs="Arial"/>
        </w:rPr>
        <w:t xml:space="preserve"> and the buoyancy of the nation as a whole, which generally affects the success of the real estate sector</w:t>
      </w:r>
      <w:r w:rsidR="003D7972">
        <w:rPr>
          <w:rFonts w:ascii="Arial" w:hAnsi="Arial" w:cs="Arial"/>
        </w:rPr>
        <w:t>.</w:t>
      </w:r>
      <w:r w:rsidRPr="00EA7665">
        <w:rPr>
          <w:rFonts w:ascii="Arial" w:hAnsi="Arial" w:cs="Arial"/>
        </w:rPr>
        <w:t xml:space="preserve"> The external factors can be grouped into social, technological, economic, environmental, political, legal and ethical (STEEPLE) factors.</w:t>
      </w:r>
    </w:p>
    <w:p w14:paraId="28A0711E" w14:textId="0810E844" w:rsidR="00CD6352" w:rsidRPr="00EA7665" w:rsidRDefault="00CD6352" w:rsidP="00CD6352">
      <w:pPr>
        <w:spacing w:line="360" w:lineRule="auto"/>
        <w:jc w:val="both"/>
        <w:rPr>
          <w:rFonts w:ascii="Arial" w:hAnsi="Arial" w:cs="Arial"/>
        </w:rPr>
      </w:pPr>
      <w:r w:rsidRPr="00EA7665">
        <w:rPr>
          <w:rFonts w:ascii="Arial" w:hAnsi="Arial" w:cs="Arial"/>
          <w:bCs/>
        </w:rPr>
        <w:lastRenderedPageBreak/>
        <w:t>Critical success factors could also be internal factors.</w:t>
      </w:r>
      <w:r w:rsidRPr="00EA7665">
        <w:rPr>
          <w:rFonts w:ascii="Arial" w:hAnsi="Arial" w:cs="Arial"/>
          <w:b/>
          <w:bCs/>
        </w:rPr>
        <w:t xml:space="preserve"> </w:t>
      </w:r>
      <w:r w:rsidRPr="00EA7665">
        <w:rPr>
          <w:rFonts w:ascii="Arial" w:hAnsi="Arial" w:cs="Arial"/>
        </w:rPr>
        <w:t xml:space="preserve">The internal factors are unique factors that include the firm’s resources and capabilities that can be controlled. These unique factors explain the main reason for </w:t>
      </w:r>
      <w:r w:rsidR="00142E6E">
        <w:rPr>
          <w:rFonts w:ascii="Arial" w:hAnsi="Arial" w:cs="Arial"/>
        </w:rPr>
        <w:t>a firm’s performance variation</w:t>
      </w:r>
      <w:r w:rsidRPr="00EA7665">
        <w:rPr>
          <w:rFonts w:ascii="Arial" w:hAnsi="Arial" w:cs="Arial"/>
        </w:rPr>
        <w:t xml:space="preserve"> despite the same industry background </w:t>
      </w:r>
      <w:r w:rsidR="00CF1B8F">
        <w:rPr>
          <w:rFonts w:ascii="Arial" w:hAnsi="Arial" w:cs="Arial"/>
        </w:rPr>
        <w:t>as</w:t>
      </w:r>
      <w:r w:rsidRPr="00EA7665">
        <w:rPr>
          <w:rFonts w:ascii="Arial" w:hAnsi="Arial" w:cs="Arial"/>
        </w:rPr>
        <w:t xml:space="preserve"> other firms</w:t>
      </w:r>
      <w:r w:rsidR="00142E6E">
        <w:rPr>
          <w:rFonts w:ascii="Arial" w:hAnsi="Arial" w:cs="Arial"/>
        </w:rPr>
        <w:t>.</w:t>
      </w:r>
      <w:r w:rsidRPr="00EA7665">
        <w:rPr>
          <w:rFonts w:ascii="Arial" w:hAnsi="Arial" w:cs="Arial"/>
        </w:rPr>
        <w:t xml:space="preserve"> Consequently, these internal critical success factors include tangible assets such as financial resources, physical resources (plant, equipment &amp; machine), human resources and technological resources. There are also intangible assets such as knowledge, skills, reputation, and capabilities. Research shows that firms with superior resources and capabilities would witness more growth and success (Khadijah et al., 2017; Crook et al., 2011). Several studies have also shown that marketing capabilities are also critical to the </w:t>
      </w:r>
      <w:r w:rsidR="00F3520B">
        <w:rPr>
          <w:rFonts w:ascii="Arial" w:hAnsi="Arial" w:cs="Arial"/>
        </w:rPr>
        <w:t>firm's success</w:t>
      </w:r>
      <w:r w:rsidRPr="00EA7665">
        <w:rPr>
          <w:rFonts w:ascii="Arial" w:hAnsi="Arial" w:cs="Arial"/>
        </w:rPr>
        <w:t xml:space="preserve"> (Kim et al., 2008). </w:t>
      </w:r>
    </w:p>
    <w:p w14:paraId="2E206763" w14:textId="1642329A" w:rsidR="00CD6352" w:rsidRDefault="00CD6352" w:rsidP="00CD6352">
      <w:pPr>
        <w:spacing w:line="360" w:lineRule="auto"/>
        <w:jc w:val="both"/>
        <w:rPr>
          <w:rFonts w:ascii="Arial" w:hAnsi="Arial" w:cs="Arial"/>
        </w:rPr>
      </w:pPr>
      <w:r w:rsidRPr="00EA7665">
        <w:rPr>
          <w:rFonts w:ascii="Arial" w:hAnsi="Arial" w:cs="Arial"/>
        </w:rPr>
        <w:t xml:space="preserve">Khadijah et al. (2017) identified five (5) internal variables as critical to the success of businesses in Malaysia. These variables can also be applied to the real estate development sector to have an understanding of the internal factors that are critical to the manager’s ability to secure finance for project development. </w:t>
      </w:r>
      <w:r w:rsidR="00F3520B">
        <w:rPr>
          <w:rFonts w:ascii="Arial" w:hAnsi="Arial" w:cs="Arial"/>
        </w:rPr>
        <w:t>According to Khadijah et al. (2017), the five variables</w:t>
      </w:r>
      <w:r w:rsidRPr="00EA7665">
        <w:rPr>
          <w:rFonts w:ascii="Arial" w:hAnsi="Arial" w:cs="Arial"/>
        </w:rPr>
        <w:t xml:space="preserve"> are entrepreneurial competency, marketing capability, financial resources, technological usage, and knowledge sharing. Entrepreneurial competency in this context refers to the small business owners’ knowledge, skills, and ability achieved via education, training, and experiences. </w:t>
      </w:r>
    </w:p>
    <w:p w14:paraId="2C2B127D" w14:textId="3F0390EA" w:rsidR="00CD6352" w:rsidRPr="00EA7665" w:rsidRDefault="00CD6352" w:rsidP="00CD6352">
      <w:pPr>
        <w:spacing w:line="360" w:lineRule="auto"/>
        <w:jc w:val="both"/>
        <w:rPr>
          <w:rFonts w:ascii="Arial" w:hAnsi="Arial" w:cs="Arial"/>
        </w:rPr>
      </w:pPr>
      <w:r>
        <w:rPr>
          <w:rFonts w:ascii="Arial" w:hAnsi="Arial" w:cs="Arial"/>
        </w:rPr>
        <w:t>The next segment of this study discusses existing literature on the opportunities and challenges associated with securing finance for real estate project development.</w:t>
      </w:r>
    </w:p>
    <w:p w14:paraId="0B7110DE" w14:textId="73CA0FAA" w:rsidR="00CD6352" w:rsidRDefault="002D7A55" w:rsidP="00CD6352">
      <w:pPr>
        <w:pStyle w:val="Heading2"/>
        <w:spacing w:after="240"/>
        <w:rPr>
          <w:sz w:val="22"/>
          <w:szCs w:val="22"/>
        </w:rPr>
      </w:pPr>
      <w:bookmarkStart w:id="772" w:name="_Toc78983797"/>
      <w:r>
        <w:rPr>
          <w:sz w:val="22"/>
          <w:szCs w:val="22"/>
        </w:rPr>
        <w:t>A review of literature on o</w:t>
      </w:r>
      <w:r w:rsidR="00CD6352">
        <w:rPr>
          <w:sz w:val="22"/>
          <w:szCs w:val="22"/>
        </w:rPr>
        <w:t>pportunities and challenges associated with securing finance for real estate project development</w:t>
      </w:r>
      <w:bookmarkEnd w:id="772"/>
      <w:r w:rsidR="00CD6352">
        <w:rPr>
          <w:sz w:val="22"/>
          <w:szCs w:val="22"/>
        </w:rPr>
        <w:t xml:space="preserve"> </w:t>
      </w:r>
    </w:p>
    <w:p w14:paraId="1FFC9DDF" w14:textId="77777777" w:rsidR="00A70AC9" w:rsidRDefault="002D7A55" w:rsidP="00CD6352">
      <w:pPr>
        <w:spacing w:line="360" w:lineRule="auto"/>
        <w:jc w:val="both"/>
        <w:rPr>
          <w:rFonts w:ascii="Arial" w:hAnsi="Arial" w:cs="Arial"/>
        </w:rPr>
      </w:pPr>
      <w:r>
        <w:rPr>
          <w:rFonts w:ascii="Arial" w:hAnsi="Arial" w:cs="Arial"/>
        </w:rPr>
        <w:t>Th</w:t>
      </w:r>
      <w:r w:rsidR="00EE7A21">
        <w:rPr>
          <w:rFonts w:ascii="Arial" w:hAnsi="Arial" w:cs="Arial"/>
        </w:rPr>
        <w:t>is</w:t>
      </w:r>
      <w:r>
        <w:rPr>
          <w:rFonts w:ascii="Arial" w:hAnsi="Arial" w:cs="Arial"/>
        </w:rPr>
        <w:t xml:space="preserve"> segment of the study provides </w:t>
      </w:r>
      <w:r w:rsidR="005266AD">
        <w:rPr>
          <w:rFonts w:ascii="Arial" w:hAnsi="Arial" w:cs="Arial"/>
        </w:rPr>
        <w:t xml:space="preserve">a </w:t>
      </w:r>
      <w:r>
        <w:rPr>
          <w:rFonts w:ascii="Arial" w:hAnsi="Arial" w:cs="Arial"/>
        </w:rPr>
        <w:t>review of literature on the first part of the second objective</w:t>
      </w:r>
      <w:r w:rsidR="00EE7A21">
        <w:rPr>
          <w:rFonts w:ascii="Arial" w:hAnsi="Arial" w:cs="Arial"/>
        </w:rPr>
        <w:t>,</w:t>
      </w:r>
      <w:r>
        <w:rPr>
          <w:rFonts w:ascii="Arial" w:hAnsi="Arial" w:cs="Arial"/>
        </w:rPr>
        <w:t xml:space="preserve"> which is, t</w:t>
      </w:r>
      <w:r w:rsidRPr="00BF1C35">
        <w:rPr>
          <w:rFonts w:ascii="Arial" w:hAnsi="Arial" w:cs="Arial"/>
        </w:rPr>
        <w:t>o identify opportunities and challenges affecting managers in securing real estate project development finance</w:t>
      </w:r>
      <w:r>
        <w:rPr>
          <w:rFonts w:ascii="Arial" w:hAnsi="Arial" w:cs="Arial"/>
        </w:rPr>
        <w:t>”.</w:t>
      </w:r>
      <w:r w:rsidR="00EE7A21">
        <w:rPr>
          <w:rFonts w:ascii="Arial" w:hAnsi="Arial" w:cs="Arial"/>
        </w:rPr>
        <w:t xml:space="preserve"> </w:t>
      </w:r>
      <w:r>
        <w:rPr>
          <w:rFonts w:ascii="Arial" w:hAnsi="Arial" w:cs="Arial"/>
        </w:rPr>
        <w:t xml:space="preserve"> </w:t>
      </w:r>
    </w:p>
    <w:p w14:paraId="7B8200BE" w14:textId="6C29F082" w:rsidR="002D7A55" w:rsidRDefault="002D7A55" w:rsidP="00CD6352">
      <w:pPr>
        <w:spacing w:line="360" w:lineRule="auto"/>
        <w:jc w:val="both"/>
        <w:rPr>
          <w:rFonts w:ascii="Arial" w:hAnsi="Arial" w:cs="Arial"/>
        </w:rPr>
      </w:pPr>
      <w:r>
        <w:rPr>
          <w:rFonts w:ascii="Arial" w:hAnsi="Arial" w:cs="Arial"/>
        </w:rPr>
        <w:t xml:space="preserve">It also attempts to </w:t>
      </w:r>
      <w:r w:rsidR="00EE7A21">
        <w:rPr>
          <w:rFonts w:ascii="Arial" w:hAnsi="Arial" w:cs="Arial"/>
        </w:rPr>
        <w:t>answer</w:t>
      </w:r>
      <w:r>
        <w:rPr>
          <w:rFonts w:ascii="Arial" w:hAnsi="Arial" w:cs="Arial"/>
        </w:rPr>
        <w:t xml:space="preserve"> the first part of the second research question</w:t>
      </w:r>
      <w:r w:rsidR="00EE7A21">
        <w:rPr>
          <w:rFonts w:ascii="Arial" w:hAnsi="Arial" w:cs="Arial"/>
        </w:rPr>
        <w:t>,</w:t>
      </w:r>
      <w:r>
        <w:rPr>
          <w:rFonts w:ascii="Arial" w:hAnsi="Arial" w:cs="Arial"/>
        </w:rPr>
        <w:t xml:space="preserve"> which is, “ w</w:t>
      </w:r>
      <w:r w:rsidRPr="00BF1C35">
        <w:rPr>
          <w:rFonts w:ascii="Arial" w:hAnsi="Arial" w:cs="Arial"/>
        </w:rPr>
        <w:t>hat are the opportunities and challenges affecting managers in securing real estate project development finance</w:t>
      </w:r>
      <w:r>
        <w:rPr>
          <w:rFonts w:ascii="Arial" w:hAnsi="Arial" w:cs="Arial"/>
        </w:rPr>
        <w:t xml:space="preserve"> ? “. </w:t>
      </w:r>
      <w:r w:rsidR="00DE69FE">
        <w:rPr>
          <w:rFonts w:ascii="Arial" w:hAnsi="Arial" w:cs="Arial"/>
        </w:rPr>
        <w:t xml:space="preserve"> It also contributed to the development of the questionnaire survey and semi-structured interviews tested in chapter 6.</w:t>
      </w:r>
    </w:p>
    <w:p w14:paraId="0BA0C4C2" w14:textId="495D96CA" w:rsidR="00CD6352" w:rsidRPr="00EA7665" w:rsidRDefault="00CD6352" w:rsidP="00CD6352">
      <w:pPr>
        <w:spacing w:line="360" w:lineRule="auto"/>
        <w:jc w:val="both"/>
        <w:rPr>
          <w:rFonts w:ascii="Arial" w:hAnsi="Arial" w:cs="Arial"/>
        </w:rPr>
      </w:pPr>
      <w:r w:rsidRPr="00A70AC9">
        <w:rPr>
          <w:rFonts w:ascii="Arial" w:hAnsi="Arial" w:cs="Arial"/>
        </w:rPr>
        <w:t xml:space="preserve">Various factors affect the real estate project environment, </w:t>
      </w:r>
      <w:r w:rsidR="00BA73ED">
        <w:rPr>
          <w:rFonts w:ascii="Arial" w:hAnsi="Arial" w:cs="Arial"/>
        </w:rPr>
        <w:t>translating</w:t>
      </w:r>
      <w:r w:rsidRPr="00A70AC9">
        <w:rPr>
          <w:rFonts w:ascii="Arial" w:hAnsi="Arial" w:cs="Arial"/>
        </w:rPr>
        <w:t xml:space="preserve"> to factors affecting </w:t>
      </w:r>
      <w:r w:rsidR="00F3520B" w:rsidRPr="00A70AC9">
        <w:rPr>
          <w:rFonts w:ascii="Arial" w:hAnsi="Arial" w:cs="Arial"/>
        </w:rPr>
        <w:t>real estate project development financing</w:t>
      </w:r>
      <w:r w:rsidRPr="00A70AC9">
        <w:rPr>
          <w:rFonts w:ascii="Arial" w:hAnsi="Arial" w:cs="Arial"/>
        </w:rPr>
        <w:t>. These factors range from economic factors, political factors, social factors and legal framework. Country specific factors</w:t>
      </w:r>
      <w:r w:rsidR="00E05557">
        <w:rPr>
          <w:rFonts w:ascii="Arial" w:hAnsi="Arial" w:cs="Arial"/>
        </w:rPr>
        <w:t>,</w:t>
      </w:r>
      <w:r w:rsidRPr="00A70AC9">
        <w:rPr>
          <w:rFonts w:ascii="Arial" w:hAnsi="Arial" w:cs="Arial"/>
        </w:rPr>
        <w:t xml:space="preserve"> </w:t>
      </w:r>
      <w:r w:rsidR="00E05557">
        <w:rPr>
          <w:rFonts w:ascii="Arial" w:hAnsi="Arial" w:cs="Arial"/>
        </w:rPr>
        <w:t>including</w:t>
      </w:r>
      <w:r w:rsidRPr="00A70AC9">
        <w:rPr>
          <w:rFonts w:ascii="Arial" w:hAnsi="Arial" w:cs="Arial"/>
        </w:rPr>
        <w:t xml:space="preserve"> economic health, </w:t>
      </w:r>
      <w:r w:rsidR="00E05557">
        <w:rPr>
          <w:rFonts w:ascii="Arial" w:hAnsi="Arial" w:cs="Arial"/>
        </w:rPr>
        <w:t xml:space="preserve">the </w:t>
      </w:r>
      <w:r w:rsidRPr="00A70AC9">
        <w:rPr>
          <w:rFonts w:ascii="Arial" w:hAnsi="Arial" w:cs="Arial"/>
        </w:rPr>
        <w:t>standard of living</w:t>
      </w:r>
      <w:r w:rsidR="00D67CF1" w:rsidRPr="00A70AC9">
        <w:rPr>
          <w:rFonts w:ascii="Arial" w:hAnsi="Arial" w:cs="Arial"/>
        </w:rPr>
        <w:t xml:space="preserve">, </w:t>
      </w:r>
      <w:r w:rsidRPr="00A70AC9">
        <w:rPr>
          <w:rFonts w:ascii="Arial" w:hAnsi="Arial" w:cs="Arial"/>
        </w:rPr>
        <w:t>levels of human development, political</w:t>
      </w:r>
      <w:r w:rsidRPr="00EA7665">
        <w:rPr>
          <w:rFonts w:ascii="Arial" w:hAnsi="Arial" w:cs="Arial"/>
        </w:rPr>
        <w:t xml:space="preserve"> stability</w:t>
      </w:r>
      <w:r w:rsidR="00E05557">
        <w:rPr>
          <w:rFonts w:ascii="Arial" w:hAnsi="Arial" w:cs="Arial"/>
        </w:rPr>
        <w:t>,</w:t>
      </w:r>
      <w:r w:rsidR="00F3520B">
        <w:rPr>
          <w:rFonts w:ascii="Arial" w:hAnsi="Arial" w:cs="Arial"/>
        </w:rPr>
        <w:t xml:space="preserve"> and</w:t>
      </w:r>
      <w:r w:rsidRPr="00EA7665">
        <w:rPr>
          <w:rFonts w:ascii="Arial" w:hAnsi="Arial" w:cs="Arial"/>
        </w:rPr>
        <w:t xml:space="preserve"> real estate sector-specific variables</w:t>
      </w:r>
      <w:r w:rsidR="00E05557">
        <w:rPr>
          <w:rFonts w:ascii="Arial" w:hAnsi="Arial" w:cs="Arial"/>
        </w:rPr>
        <w:t>,</w:t>
      </w:r>
      <w:r w:rsidRPr="00EA7665">
        <w:rPr>
          <w:rFonts w:ascii="Arial" w:hAnsi="Arial" w:cs="Arial"/>
        </w:rPr>
        <w:t xml:space="preserve"> </w:t>
      </w:r>
      <w:r w:rsidR="00E05557">
        <w:rPr>
          <w:rFonts w:ascii="Arial" w:hAnsi="Arial" w:cs="Arial"/>
        </w:rPr>
        <w:t>including</w:t>
      </w:r>
      <w:r w:rsidRPr="00EA7665">
        <w:rPr>
          <w:rFonts w:ascii="Arial" w:hAnsi="Arial" w:cs="Arial"/>
        </w:rPr>
        <w:t xml:space="preserve"> sizes of institutional real estate market</w:t>
      </w:r>
      <w:r w:rsidR="00E05557">
        <w:rPr>
          <w:rFonts w:ascii="Arial" w:hAnsi="Arial" w:cs="Arial"/>
        </w:rPr>
        <w:t>,</w:t>
      </w:r>
      <w:r w:rsidRPr="00EA7665">
        <w:rPr>
          <w:rFonts w:ascii="Arial" w:hAnsi="Arial" w:cs="Arial"/>
        </w:rPr>
        <w:t xml:space="preserve"> are significant variables that affect </w:t>
      </w:r>
      <w:r w:rsidR="00E05557">
        <w:rPr>
          <w:rFonts w:ascii="Arial" w:hAnsi="Arial" w:cs="Arial"/>
        </w:rPr>
        <w:t>accessing</w:t>
      </w:r>
      <w:r w:rsidRPr="00EA7665">
        <w:rPr>
          <w:rFonts w:ascii="Arial" w:hAnsi="Arial" w:cs="Arial"/>
        </w:rPr>
        <w:t xml:space="preserve"> finance</w:t>
      </w:r>
      <w:r w:rsidR="001568C6">
        <w:rPr>
          <w:rFonts w:ascii="Arial" w:hAnsi="Arial" w:cs="Arial"/>
        </w:rPr>
        <w:t>.</w:t>
      </w:r>
    </w:p>
    <w:p w14:paraId="31A8EB1E" w14:textId="411D0ACC" w:rsidR="00CD6352" w:rsidRDefault="00CD6352" w:rsidP="00CD6352">
      <w:pPr>
        <w:spacing w:line="360" w:lineRule="auto"/>
        <w:jc w:val="both"/>
        <w:rPr>
          <w:rFonts w:ascii="Arial" w:hAnsi="Arial" w:cs="Arial"/>
        </w:rPr>
      </w:pPr>
      <w:r w:rsidRPr="00EA7665">
        <w:rPr>
          <w:rFonts w:ascii="Arial" w:hAnsi="Arial" w:cs="Arial"/>
        </w:rPr>
        <w:lastRenderedPageBreak/>
        <w:t xml:space="preserve">This study draws on </w:t>
      </w:r>
      <w:r w:rsidR="001025B7">
        <w:rPr>
          <w:rFonts w:ascii="Arial" w:hAnsi="Arial" w:cs="Arial"/>
        </w:rPr>
        <w:t>existing frameworks such as PESTLE to discuss factors that constitute opportunities and challenges to managers when securing finance for real estate project transactions to understand</w:t>
      </w:r>
      <w:r w:rsidRPr="00EA7665">
        <w:rPr>
          <w:rFonts w:ascii="Arial" w:hAnsi="Arial" w:cs="Arial"/>
        </w:rPr>
        <w:t xml:space="preserve"> opportunities and challenges </w:t>
      </w:r>
      <w:r>
        <w:rPr>
          <w:rFonts w:ascii="Arial" w:hAnsi="Arial" w:cs="Arial"/>
        </w:rPr>
        <w:t xml:space="preserve">associated with </w:t>
      </w:r>
      <w:r w:rsidR="00BA73ED">
        <w:rPr>
          <w:rFonts w:ascii="Arial" w:hAnsi="Arial" w:cs="Arial"/>
        </w:rPr>
        <w:t>obtain</w:t>
      </w:r>
      <w:r>
        <w:rPr>
          <w:rFonts w:ascii="Arial" w:hAnsi="Arial" w:cs="Arial"/>
        </w:rPr>
        <w:t xml:space="preserve">ing finance for real estate project development. </w:t>
      </w:r>
    </w:p>
    <w:p w14:paraId="0AA00B1B" w14:textId="69D823EB" w:rsidR="00CD6352" w:rsidRPr="00EA7665" w:rsidRDefault="00CD6352" w:rsidP="00CD6352">
      <w:pPr>
        <w:spacing w:line="360" w:lineRule="auto"/>
        <w:jc w:val="both"/>
        <w:rPr>
          <w:rFonts w:ascii="Arial" w:hAnsi="Arial" w:cs="Arial"/>
        </w:rPr>
      </w:pPr>
      <w:r w:rsidRPr="00EA7665">
        <w:rPr>
          <w:rFonts w:ascii="Arial" w:hAnsi="Arial" w:cs="Arial"/>
        </w:rPr>
        <w:t xml:space="preserve">PESTLE analysis is a strategic framework for understanding external influences on a business. In this context, PESTLE is used to understand the factors, which could constitute an opportunity or challenge to the </w:t>
      </w:r>
      <w:r w:rsidR="00D67CF1">
        <w:rPr>
          <w:rFonts w:ascii="Arial" w:hAnsi="Arial" w:cs="Arial"/>
        </w:rPr>
        <w:t>manager's ability</w:t>
      </w:r>
      <w:r w:rsidRPr="00EA7665">
        <w:rPr>
          <w:rFonts w:ascii="Arial" w:hAnsi="Arial" w:cs="Arial"/>
        </w:rPr>
        <w:t xml:space="preserve"> in the real estate sector to secure finance for real estate project development. PESTLE stands for “political, economic, social, technological, legal and environmental”</w:t>
      </w:r>
      <w:r w:rsidR="001025B7">
        <w:rPr>
          <w:rFonts w:ascii="Arial" w:hAnsi="Arial" w:cs="Arial"/>
        </w:rPr>
        <w:t>,</w:t>
      </w:r>
      <w:r w:rsidRPr="00EA7665">
        <w:rPr>
          <w:rFonts w:ascii="Arial" w:hAnsi="Arial" w:cs="Arial"/>
        </w:rPr>
        <w:t xml:space="preserve"> and it is used for business and strategic planning, marketing planning, organisational change, business, and product development and research reports (Mankiw et al., 2016).  By understanding these external environments, the </w:t>
      </w:r>
      <w:r w:rsidR="00D67CF1">
        <w:rPr>
          <w:rFonts w:ascii="Arial" w:hAnsi="Arial" w:cs="Arial"/>
        </w:rPr>
        <w:t>real estate sector managers</w:t>
      </w:r>
      <w:r w:rsidRPr="00EA7665">
        <w:rPr>
          <w:rFonts w:ascii="Arial" w:hAnsi="Arial" w:cs="Arial"/>
        </w:rPr>
        <w:t xml:space="preserve"> can maximise the opportunities and minimise the challenges that affect their ability to secure finance for real estate project development.  PESTLE analysis answers six key questions</w:t>
      </w:r>
      <w:r w:rsidR="00D67CF1">
        <w:rPr>
          <w:rFonts w:ascii="Arial" w:hAnsi="Arial" w:cs="Arial"/>
        </w:rPr>
        <w:t>: political, economic, social, technological, legal,</w:t>
      </w:r>
      <w:r w:rsidRPr="00EA7665">
        <w:rPr>
          <w:rFonts w:ascii="Arial" w:hAnsi="Arial" w:cs="Arial"/>
        </w:rPr>
        <w:t xml:space="preserve"> and environmental factors.</w:t>
      </w:r>
      <w:r>
        <w:rPr>
          <w:rFonts w:ascii="Arial" w:hAnsi="Arial" w:cs="Arial"/>
        </w:rPr>
        <w:t xml:space="preserve"> Therefore, t</w:t>
      </w:r>
      <w:r w:rsidRPr="00EA7665">
        <w:rPr>
          <w:rFonts w:ascii="Arial" w:hAnsi="Arial" w:cs="Arial"/>
        </w:rPr>
        <w:t xml:space="preserve">he </w:t>
      </w:r>
      <w:r w:rsidR="00D67CF1">
        <w:rPr>
          <w:rFonts w:ascii="Arial" w:hAnsi="Arial" w:cs="Arial"/>
        </w:rPr>
        <w:t>various</w:t>
      </w:r>
      <w:r w:rsidRPr="00EA7665">
        <w:rPr>
          <w:rFonts w:ascii="Arial" w:hAnsi="Arial" w:cs="Arial"/>
        </w:rPr>
        <w:t xml:space="preserve"> components that could constitute a challenge or opportunity to the manager’s ability to secure finance in line with PESTLE are political, economic</w:t>
      </w:r>
      <w:r w:rsidR="001025B7">
        <w:rPr>
          <w:rFonts w:ascii="Arial" w:hAnsi="Arial" w:cs="Arial"/>
        </w:rPr>
        <w:t>, s</w:t>
      </w:r>
      <w:r w:rsidR="001025B7" w:rsidRPr="00EA7665">
        <w:rPr>
          <w:rFonts w:ascii="Arial" w:hAnsi="Arial" w:cs="Arial"/>
        </w:rPr>
        <w:t>ocial</w:t>
      </w:r>
      <w:r w:rsidRPr="00EA7665">
        <w:rPr>
          <w:rFonts w:ascii="Arial" w:hAnsi="Arial" w:cs="Arial"/>
        </w:rPr>
        <w:t xml:space="preserve">, technological, legal and environmental. </w:t>
      </w:r>
    </w:p>
    <w:p w14:paraId="38D6B538" w14:textId="1DE5715B" w:rsidR="00CD6352" w:rsidRPr="007803FC" w:rsidRDefault="00CD6352" w:rsidP="00CD6352">
      <w:pPr>
        <w:pStyle w:val="Subtitle"/>
        <w:rPr>
          <w:rStyle w:val="IntenseEmphasis"/>
          <w:rFonts w:ascii="Arial" w:hAnsi="Arial" w:cs="Arial"/>
          <w:b/>
          <w:bCs/>
          <w:i w:val="0"/>
          <w:iCs w:val="0"/>
          <w:color w:val="000000" w:themeColor="text1"/>
        </w:rPr>
      </w:pPr>
      <w:r w:rsidRPr="007803FC">
        <w:rPr>
          <w:rStyle w:val="IntenseEmphasis"/>
          <w:rFonts w:ascii="Arial" w:hAnsi="Arial" w:cs="Arial"/>
          <w:b/>
          <w:bCs/>
          <w:i w:val="0"/>
          <w:iCs w:val="0"/>
          <w:color w:val="000000" w:themeColor="text1"/>
        </w:rPr>
        <w:t xml:space="preserve">Political factors / </w:t>
      </w:r>
      <w:r w:rsidR="00B321A2">
        <w:rPr>
          <w:rStyle w:val="IntenseEmphasis"/>
          <w:rFonts w:ascii="Arial" w:hAnsi="Arial" w:cs="Arial"/>
          <w:b/>
          <w:bCs/>
          <w:i w:val="0"/>
          <w:iCs w:val="0"/>
          <w:color w:val="000000" w:themeColor="text1"/>
        </w:rPr>
        <w:t xml:space="preserve">Political stability / </w:t>
      </w:r>
      <w:r w:rsidRPr="007803FC">
        <w:rPr>
          <w:rStyle w:val="IntenseEmphasis"/>
          <w:rFonts w:ascii="Arial" w:hAnsi="Arial" w:cs="Arial"/>
          <w:b/>
          <w:bCs/>
          <w:i w:val="0"/>
          <w:iCs w:val="0"/>
          <w:color w:val="000000" w:themeColor="text1"/>
        </w:rPr>
        <w:t xml:space="preserve">Governance / Country risk </w:t>
      </w:r>
      <w:r w:rsidR="001568C6">
        <w:rPr>
          <w:rStyle w:val="IntenseEmphasis"/>
          <w:rFonts w:ascii="Arial" w:hAnsi="Arial" w:cs="Arial"/>
          <w:b/>
          <w:bCs/>
          <w:i w:val="0"/>
          <w:iCs w:val="0"/>
          <w:color w:val="000000" w:themeColor="text1"/>
        </w:rPr>
        <w:t>/</w:t>
      </w:r>
      <w:r w:rsidR="001568C6" w:rsidRPr="001568C6">
        <w:t xml:space="preserve"> </w:t>
      </w:r>
      <w:r w:rsidR="001568C6" w:rsidRPr="001568C6">
        <w:rPr>
          <w:rStyle w:val="IntenseEmphasis"/>
          <w:rFonts w:ascii="Arial" w:hAnsi="Arial" w:cs="Arial"/>
          <w:b/>
          <w:bCs/>
          <w:i w:val="0"/>
          <w:iCs w:val="0"/>
          <w:color w:val="000000" w:themeColor="text1"/>
        </w:rPr>
        <w:t>absence of violence</w:t>
      </w:r>
    </w:p>
    <w:p w14:paraId="34AA58B2" w14:textId="77777777" w:rsidR="00EA4F2A" w:rsidRDefault="00CD6352" w:rsidP="00CD6352">
      <w:pPr>
        <w:spacing w:line="360" w:lineRule="auto"/>
        <w:jc w:val="both"/>
        <w:rPr>
          <w:rFonts w:ascii="Arial" w:hAnsi="Arial" w:cs="Arial"/>
        </w:rPr>
      </w:pPr>
      <w:r w:rsidRPr="00EA7665">
        <w:rPr>
          <w:rFonts w:ascii="Arial" w:hAnsi="Arial" w:cs="Arial"/>
        </w:rPr>
        <w:t>Political factors essentially refer to those in power</w:t>
      </w:r>
      <w:r>
        <w:rPr>
          <w:rFonts w:ascii="Arial" w:hAnsi="Arial" w:cs="Arial"/>
        </w:rPr>
        <w:t xml:space="preserve"> and</w:t>
      </w:r>
      <w:r w:rsidRPr="00EA7665">
        <w:rPr>
          <w:rFonts w:ascii="Arial" w:hAnsi="Arial" w:cs="Arial"/>
        </w:rPr>
        <w:t xml:space="preserve"> the</w:t>
      </w:r>
      <w:r w:rsidR="00D67CF1">
        <w:rPr>
          <w:rFonts w:ascii="Arial" w:hAnsi="Arial" w:cs="Arial"/>
        </w:rPr>
        <w:t>ir decisions</w:t>
      </w:r>
      <w:r w:rsidRPr="00EA7665">
        <w:rPr>
          <w:rFonts w:ascii="Arial" w:hAnsi="Arial" w:cs="Arial"/>
        </w:rPr>
        <w:t xml:space="preserve"> and whether </w:t>
      </w:r>
      <w:r>
        <w:rPr>
          <w:rFonts w:ascii="Arial" w:hAnsi="Arial" w:cs="Arial"/>
        </w:rPr>
        <w:t>the</w:t>
      </w:r>
      <w:r w:rsidR="006D3555">
        <w:rPr>
          <w:rFonts w:ascii="Arial" w:hAnsi="Arial" w:cs="Arial"/>
        </w:rPr>
        <w:t>y</w:t>
      </w:r>
      <w:r w:rsidRPr="00EA7665">
        <w:rPr>
          <w:rFonts w:ascii="Arial" w:hAnsi="Arial" w:cs="Arial"/>
        </w:rPr>
        <w:t xml:space="preserve"> </w:t>
      </w:r>
      <w:r w:rsidR="00D67CF1">
        <w:rPr>
          <w:rFonts w:ascii="Arial" w:hAnsi="Arial" w:cs="Arial"/>
        </w:rPr>
        <w:t>positively or negatively affect real estate project financing</w:t>
      </w:r>
      <w:r w:rsidRPr="00EA7665">
        <w:rPr>
          <w:rFonts w:ascii="Arial" w:hAnsi="Arial" w:cs="Arial"/>
        </w:rPr>
        <w:t xml:space="preserve">. In most developed countries like the US, </w:t>
      </w:r>
      <w:r>
        <w:rPr>
          <w:rFonts w:ascii="Arial" w:hAnsi="Arial" w:cs="Arial"/>
        </w:rPr>
        <w:t xml:space="preserve">the </w:t>
      </w:r>
      <w:r w:rsidRPr="00EA7665">
        <w:rPr>
          <w:rFonts w:ascii="Arial" w:hAnsi="Arial" w:cs="Arial"/>
        </w:rPr>
        <w:t>UK, and Germany, political decisions are firmly subjected to laws and elections (Mankiw et al., 2016). Changes in laws, directions on employment and business governance have a strong positive and sometimes negative effect on the real estate development sector and its ability to secure finance. Notably is  Brexit has both</w:t>
      </w:r>
      <w:r>
        <w:rPr>
          <w:rFonts w:ascii="Arial" w:hAnsi="Arial" w:cs="Arial"/>
        </w:rPr>
        <w:t xml:space="preserve"> a</w:t>
      </w:r>
      <w:r w:rsidRPr="00EA7665">
        <w:rPr>
          <w:rFonts w:ascii="Arial" w:hAnsi="Arial" w:cs="Arial"/>
        </w:rPr>
        <w:t xml:space="preserve"> positive and negative impact on real estate financing in the United Kingdom. Positive because it has to a large extent</w:t>
      </w:r>
      <w:r w:rsidR="006D3555">
        <w:rPr>
          <w:rFonts w:ascii="Arial" w:hAnsi="Arial" w:cs="Arial"/>
        </w:rPr>
        <w:t>,</w:t>
      </w:r>
      <w:r w:rsidRPr="00EA7665">
        <w:rPr>
          <w:rFonts w:ascii="Arial" w:hAnsi="Arial" w:cs="Arial"/>
        </w:rPr>
        <w:t xml:space="preserve"> calmed the market</w:t>
      </w:r>
      <w:r w:rsidR="006D3555">
        <w:rPr>
          <w:rFonts w:ascii="Arial" w:hAnsi="Arial" w:cs="Arial"/>
        </w:rPr>
        <w:t>,</w:t>
      </w:r>
      <w:r w:rsidRPr="00EA7665">
        <w:rPr>
          <w:rFonts w:ascii="Arial" w:hAnsi="Arial" w:cs="Arial"/>
        </w:rPr>
        <w:t xml:space="preserve"> which was tending towards a bubble; negative</w:t>
      </w:r>
      <w:r>
        <w:rPr>
          <w:rFonts w:ascii="Arial" w:hAnsi="Arial" w:cs="Arial"/>
        </w:rPr>
        <w:t>,</w:t>
      </w:r>
      <w:r w:rsidRPr="00EA7665">
        <w:rPr>
          <w:rFonts w:ascii="Arial" w:hAnsi="Arial" w:cs="Arial"/>
        </w:rPr>
        <w:t xml:space="preserve"> and as such a challenge</w:t>
      </w:r>
      <w:r>
        <w:rPr>
          <w:rFonts w:ascii="Arial" w:hAnsi="Arial" w:cs="Arial"/>
        </w:rPr>
        <w:t>,</w:t>
      </w:r>
      <w:r w:rsidRPr="00EA7665">
        <w:rPr>
          <w:rFonts w:ascii="Arial" w:hAnsi="Arial" w:cs="Arial"/>
        </w:rPr>
        <w:t xml:space="preserve"> because investors are exercising caution in bringing new funds for real estate development until they are sure of </w:t>
      </w:r>
      <w:r w:rsidR="00D67CF1">
        <w:rPr>
          <w:rFonts w:ascii="Arial" w:hAnsi="Arial" w:cs="Arial"/>
        </w:rPr>
        <w:t>its impact</w:t>
      </w:r>
      <w:r w:rsidRPr="00EA7665">
        <w:rPr>
          <w:rFonts w:ascii="Arial" w:hAnsi="Arial" w:cs="Arial"/>
        </w:rPr>
        <w:t xml:space="preserve"> Brexit (BBC, March 2019).</w:t>
      </w:r>
    </w:p>
    <w:p w14:paraId="6436A137" w14:textId="5C750E29" w:rsidR="00CF0370" w:rsidRPr="00EA4F2A" w:rsidRDefault="00FA09CB" w:rsidP="00CD6352">
      <w:pPr>
        <w:spacing w:line="360" w:lineRule="auto"/>
        <w:jc w:val="both"/>
        <w:rPr>
          <w:rFonts w:ascii="Arial" w:hAnsi="Arial" w:cs="Arial"/>
        </w:rPr>
      </w:pPr>
      <w:r>
        <w:rPr>
          <w:rFonts w:ascii="Arial" w:hAnsi="Arial" w:cs="Arial"/>
        </w:rPr>
        <w:t>The</w:t>
      </w:r>
      <w:r w:rsidR="00CD6352" w:rsidRPr="00EA7665">
        <w:rPr>
          <w:rFonts w:ascii="Arial" w:hAnsi="Arial" w:cs="Arial"/>
        </w:rPr>
        <w:t xml:space="preserve"> </w:t>
      </w:r>
      <w:r w:rsidR="00D67CF1">
        <w:rPr>
          <w:rFonts w:ascii="Arial" w:hAnsi="Arial" w:cs="Arial"/>
        </w:rPr>
        <w:t>government's capacity</w:t>
      </w:r>
      <w:r w:rsidR="00CD6352" w:rsidRPr="00EA7665">
        <w:rPr>
          <w:rFonts w:ascii="Arial" w:hAnsi="Arial" w:cs="Arial"/>
        </w:rPr>
        <w:t xml:space="preserve"> to formulate and implement sound policies and state of institutions that govern economic and social interaction are crucial considerations for financiers of real estate projects</w:t>
      </w:r>
      <w:r>
        <w:rPr>
          <w:rFonts w:ascii="Arial" w:hAnsi="Arial" w:cs="Arial"/>
        </w:rPr>
        <w:t>. T</w:t>
      </w:r>
      <w:r w:rsidRPr="00FA09CB">
        <w:rPr>
          <w:rFonts w:ascii="Arial" w:hAnsi="Arial" w:cs="Arial"/>
        </w:rPr>
        <w:t>he g</w:t>
      </w:r>
      <w:r w:rsidR="00A23D81" w:rsidRPr="00FA09CB">
        <w:rPr>
          <w:rFonts w:ascii="Arial" w:hAnsi="Arial" w:cs="Arial"/>
          <w:bCs/>
        </w:rPr>
        <w:t>overnment</w:t>
      </w:r>
      <w:r w:rsidRPr="00FA09CB">
        <w:rPr>
          <w:rFonts w:ascii="Arial" w:hAnsi="Arial" w:cs="Arial"/>
          <w:bCs/>
        </w:rPr>
        <w:t>’s</w:t>
      </w:r>
      <w:r w:rsidR="00A23D81" w:rsidRPr="00FA09CB">
        <w:rPr>
          <w:rFonts w:ascii="Arial" w:hAnsi="Arial" w:cs="Arial"/>
          <w:bCs/>
        </w:rPr>
        <w:t xml:space="preserve"> regulations </w:t>
      </w:r>
      <w:r>
        <w:rPr>
          <w:rFonts w:ascii="Arial" w:hAnsi="Arial" w:cs="Arial"/>
          <w:bCs/>
        </w:rPr>
        <w:t>on</w:t>
      </w:r>
      <w:r w:rsidR="00A23D81" w:rsidRPr="00FA09CB">
        <w:rPr>
          <w:rFonts w:ascii="Arial" w:hAnsi="Arial" w:cs="Arial"/>
          <w:bCs/>
        </w:rPr>
        <w:t xml:space="preserve"> nationalisation, currency inconvertibility, terrorism, wars,</w:t>
      </w:r>
      <w:r w:rsidR="00CF0370" w:rsidRPr="00FA09CB">
        <w:rPr>
          <w:rFonts w:ascii="Arial" w:hAnsi="Arial" w:cs="Arial"/>
          <w:bCs/>
        </w:rPr>
        <w:t xml:space="preserve"> taxation, and strikes</w:t>
      </w:r>
      <w:r w:rsidR="00364AAA" w:rsidRPr="00FA09CB">
        <w:rPr>
          <w:rFonts w:ascii="Arial" w:hAnsi="Arial" w:cs="Arial"/>
          <w:bCs/>
        </w:rPr>
        <w:t xml:space="preserve"> </w:t>
      </w:r>
      <w:r w:rsidR="00F465E8">
        <w:rPr>
          <w:rFonts w:ascii="Arial" w:hAnsi="Arial" w:cs="Arial"/>
          <w:bCs/>
        </w:rPr>
        <w:t>could</w:t>
      </w:r>
      <w:r w:rsidRPr="00FA09CB">
        <w:rPr>
          <w:rFonts w:ascii="Arial" w:hAnsi="Arial" w:cs="Arial"/>
          <w:bCs/>
        </w:rPr>
        <w:t xml:space="preserve"> threaten expected returns on investment</w:t>
      </w:r>
      <w:r w:rsidR="00CF0370" w:rsidRPr="00FA09CB">
        <w:rPr>
          <w:rFonts w:ascii="Arial" w:hAnsi="Arial" w:cs="Arial"/>
          <w:bCs/>
        </w:rPr>
        <w:t xml:space="preserve">. </w:t>
      </w:r>
      <w:r w:rsidR="00364AAA" w:rsidRPr="00FA09CB">
        <w:rPr>
          <w:rFonts w:ascii="Arial" w:hAnsi="Arial" w:cs="Arial"/>
          <w:bCs/>
        </w:rPr>
        <w:t>Developed countries are more resilient to changes in political risk (Docherty and Easton, 2016; Bilson et al., 2002).</w:t>
      </w:r>
      <w:r w:rsidR="00364AAA" w:rsidRPr="00364AAA">
        <w:rPr>
          <w:rFonts w:ascii="Arial" w:hAnsi="Arial" w:cs="Arial"/>
          <w:bCs/>
        </w:rPr>
        <w:t xml:space="preserve">  </w:t>
      </w:r>
    </w:p>
    <w:p w14:paraId="471ACC6B" w14:textId="77777777" w:rsidR="00CD6352" w:rsidRPr="007803FC" w:rsidRDefault="00CD6352" w:rsidP="00CD6352">
      <w:pPr>
        <w:pStyle w:val="Subtitle"/>
        <w:rPr>
          <w:rStyle w:val="IntenseEmphasis"/>
          <w:rFonts w:ascii="Arial" w:hAnsi="Arial" w:cs="Arial"/>
          <w:b/>
          <w:bCs/>
          <w:i w:val="0"/>
          <w:iCs w:val="0"/>
          <w:color w:val="000000" w:themeColor="text1"/>
        </w:rPr>
      </w:pPr>
      <w:r w:rsidRPr="007803FC">
        <w:rPr>
          <w:rStyle w:val="IntenseEmphasis"/>
          <w:rFonts w:ascii="Arial" w:hAnsi="Arial" w:cs="Arial"/>
          <w:b/>
          <w:bCs/>
          <w:i w:val="0"/>
          <w:iCs w:val="0"/>
          <w:color w:val="000000" w:themeColor="text1"/>
        </w:rPr>
        <w:lastRenderedPageBreak/>
        <w:t>Economic factors</w:t>
      </w:r>
    </w:p>
    <w:p w14:paraId="6A21127D" w14:textId="6A5CDC85" w:rsidR="00CD6352" w:rsidRPr="00EA7665" w:rsidRDefault="00CD6352" w:rsidP="00CD6352">
      <w:pPr>
        <w:spacing w:line="360" w:lineRule="auto"/>
        <w:jc w:val="both"/>
        <w:rPr>
          <w:rFonts w:ascii="Arial" w:hAnsi="Arial" w:cs="Arial"/>
        </w:rPr>
      </w:pPr>
      <w:r w:rsidRPr="00EA7665">
        <w:rPr>
          <w:rFonts w:ascii="Arial" w:hAnsi="Arial" w:cs="Arial"/>
        </w:rPr>
        <w:t>Economic factors impact heavily on real estate markets in both developing and emerging economies. Significant contributions are made by the GDP, inflation rates, interest rates</w:t>
      </w:r>
      <w:r w:rsidR="006D3555">
        <w:rPr>
          <w:rFonts w:ascii="Arial" w:hAnsi="Arial" w:cs="Arial"/>
        </w:rPr>
        <w:t>, population growth, money supply, and the unemployment rate chang</w:t>
      </w:r>
      <w:r w:rsidRPr="00EA7665">
        <w:rPr>
          <w:rFonts w:ascii="Arial" w:hAnsi="Arial" w:cs="Arial"/>
        </w:rPr>
        <w:t>e (Nurrick et al., 2017).  A positive consequence of macroeconomic events</w:t>
      </w:r>
      <w:r>
        <w:rPr>
          <w:rFonts w:ascii="Arial" w:hAnsi="Arial" w:cs="Arial"/>
        </w:rPr>
        <w:t xml:space="preserve"> is that it</w:t>
      </w:r>
      <w:r w:rsidRPr="00EA7665">
        <w:rPr>
          <w:rFonts w:ascii="Arial" w:hAnsi="Arial" w:cs="Arial"/>
        </w:rPr>
        <w:t xml:space="preserve"> tends to reduce </w:t>
      </w:r>
      <w:r>
        <w:rPr>
          <w:rFonts w:ascii="Arial" w:hAnsi="Arial" w:cs="Arial"/>
        </w:rPr>
        <w:t xml:space="preserve">what </w:t>
      </w:r>
      <w:r w:rsidRPr="00EA7665">
        <w:rPr>
          <w:rFonts w:ascii="Arial" w:hAnsi="Arial" w:cs="Arial"/>
        </w:rPr>
        <w:t>the premium investors require for holding risky assets such as real estate. Furthermore, on the supply side, a rise in economic confidence tends to increase the supply of finance to the real estate development sector</w:t>
      </w:r>
      <w:r>
        <w:rPr>
          <w:rFonts w:ascii="Arial" w:hAnsi="Arial" w:cs="Arial"/>
        </w:rPr>
        <w:t xml:space="preserve"> </w:t>
      </w:r>
      <w:r w:rsidRPr="00EA7665">
        <w:rPr>
          <w:rFonts w:ascii="Arial" w:hAnsi="Arial" w:cs="Arial"/>
        </w:rPr>
        <w:t xml:space="preserve">(Barkham, 2012).  </w:t>
      </w:r>
    </w:p>
    <w:p w14:paraId="11CF3BA6" w14:textId="18A275C4" w:rsidR="00CD6352" w:rsidRPr="00EA7665" w:rsidRDefault="00AE3014" w:rsidP="00CD6352">
      <w:pPr>
        <w:spacing w:line="360" w:lineRule="auto"/>
        <w:jc w:val="both"/>
        <w:rPr>
          <w:rFonts w:ascii="Arial" w:hAnsi="Arial" w:cs="Arial"/>
        </w:rPr>
      </w:pPr>
      <w:r>
        <w:rPr>
          <w:rFonts w:ascii="Arial" w:hAnsi="Arial" w:cs="Arial"/>
        </w:rPr>
        <w:t>Fluctuations significantly impact capital flow because they result in increased uncertainties. The volatility of GDP in emerging economies averages twice that of developed economies, and this results in great volatility on growth rates (Converse, 2013). T</w:t>
      </w:r>
      <w:r w:rsidR="00D67CF1">
        <w:rPr>
          <w:rFonts w:ascii="Arial" w:hAnsi="Arial" w:cs="Arial"/>
        </w:rPr>
        <w:t>he rise in uncertainties discourages foreign investors and makes local investors scale down their investments in long-</w:t>
      </w:r>
      <w:r w:rsidR="00CD6352" w:rsidRPr="00EA7665">
        <w:rPr>
          <w:rFonts w:ascii="Arial" w:hAnsi="Arial" w:cs="Arial"/>
        </w:rPr>
        <w:t xml:space="preserve">term projects. The main difference in how these indicators impact the property market in the developed and emerging economies is influenced by their political and social stability and the maturity of the various economies (Salem, 2011). </w:t>
      </w:r>
    </w:p>
    <w:p w14:paraId="56301AE8" w14:textId="3CC9CAE0" w:rsidR="00CD6352" w:rsidRPr="00EA7665" w:rsidRDefault="00CD6352" w:rsidP="00CD6352">
      <w:pPr>
        <w:spacing w:line="360" w:lineRule="auto"/>
        <w:jc w:val="both"/>
        <w:rPr>
          <w:rFonts w:ascii="Arial" w:hAnsi="Arial" w:cs="Arial"/>
        </w:rPr>
      </w:pPr>
      <w:r w:rsidRPr="00EA7665">
        <w:rPr>
          <w:rFonts w:ascii="Arial" w:hAnsi="Arial" w:cs="Arial"/>
        </w:rPr>
        <w:t xml:space="preserve">Real estate financing can only be </w:t>
      </w:r>
      <w:r w:rsidR="00AE3014">
        <w:rPr>
          <w:rFonts w:ascii="Arial" w:hAnsi="Arial" w:cs="Arial"/>
        </w:rPr>
        <w:t>adequat</w:t>
      </w:r>
      <w:r w:rsidRPr="00EA7665">
        <w:rPr>
          <w:rFonts w:ascii="Arial" w:hAnsi="Arial" w:cs="Arial"/>
        </w:rPr>
        <w:t xml:space="preserve">e if there is a good understanding of the </w:t>
      </w:r>
      <w:r w:rsidR="00D67CF1">
        <w:rPr>
          <w:rFonts w:ascii="Arial" w:hAnsi="Arial" w:cs="Arial"/>
        </w:rPr>
        <w:t>interested parties' macro-economic environment</w:t>
      </w:r>
      <w:r w:rsidRPr="00EA7665">
        <w:rPr>
          <w:rFonts w:ascii="Arial" w:hAnsi="Arial" w:cs="Arial"/>
        </w:rPr>
        <w:t>. Real estate outcomes are often linked to GDP growth via derived demand</w:t>
      </w:r>
      <w:r>
        <w:rPr>
          <w:rFonts w:ascii="Arial" w:hAnsi="Arial" w:cs="Arial"/>
        </w:rPr>
        <w:t>,</w:t>
      </w:r>
      <w:r w:rsidRPr="00EA7665">
        <w:rPr>
          <w:rFonts w:ascii="Arial" w:hAnsi="Arial" w:cs="Arial"/>
        </w:rPr>
        <w:t xml:space="preserve"> and macro-economic conditions affect interest rates, the market discount rate</w:t>
      </w:r>
      <w:r w:rsidR="00F465E8">
        <w:rPr>
          <w:rFonts w:ascii="Arial" w:hAnsi="Arial" w:cs="Arial"/>
        </w:rPr>
        <w:t>, and the whole economy's state</w:t>
      </w:r>
      <w:r w:rsidRPr="00EA7665">
        <w:rPr>
          <w:rFonts w:ascii="Arial" w:hAnsi="Arial" w:cs="Arial"/>
        </w:rPr>
        <w:t>.</w:t>
      </w:r>
      <w:r>
        <w:rPr>
          <w:rFonts w:ascii="Arial" w:hAnsi="Arial" w:cs="Arial"/>
        </w:rPr>
        <w:t xml:space="preserve"> </w:t>
      </w:r>
      <w:r w:rsidRPr="00EA7665">
        <w:rPr>
          <w:rFonts w:ascii="Arial" w:hAnsi="Arial" w:cs="Arial"/>
        </w:rPr>
        <w:t xml:space="preserve"> The GDP is a driver of rental and construction cycles</w:t>
      </w:r>
      <w:r>
        <w:rPr>
          <w:rFonts w:ascii="Arial" w:hAnsi="Arial" w:cs="Arial"/>
        </w:rPr>
        <w:t xml:space="preserve"> and </w:t>
      </w:r>
      <w:r w:rsidRPr="00EA7665">
        <w:rPr>
          <w:rFonts w:ascii="Arial" w:hAnsi="Arial" w:cs="Arial"/>
        </w:rPr>
        <w:t xml:space="preserve">capital market bubbles, and it contributes to the production of goods and services (Barkham, 2012).  The macro-economic condition affects the level of interest rates and discount rates. A rise in economic confidence often </w:t>
      </w:r>
      <w:r w:rsidR="00AE3014">
        <w:rPr>
          <w:rFonts w:ascii="Arial" w:hAnsi="Arial" w:cs="Arial"/>
        </w:rPr>
        <w:t>increases</w:t>
      </w:r>
      <w:r w:rsidRPr="00EA7665">
        <w:rPr>
          <w:rFonts w:ascii="Arial" w:hAnsi="Arial" w:cs="Arial"/>
        </w:rPr>
        <w:t xml:space="preserve"> the supply of finance for the real estate development industry, </w:t>
      </w:r>
      <w:r w:rsidR="00D67CF1">
        <w:rPr>
          <w:rFonts w:ascii="Arial" w:hAnsi="Arial" w:cs="Arial"/>
        </w:rPr>
        <w:t>which generally increases the construction rate</w:t>
      </w:r>
      <w:r w:rsidRPr="00EA7665">
        <w:rPr>
          <w:rFonts w:ascii="Arial" w:hAnsi="Arial" w:cs="Arial"/>
        </w:rPr>
        <w:t>. However, when growth is too strong, then inflation sets in. Inflation, however, can be mitigated through hedging and central banks use monetary policies</w:t>
      </w:r>
      <w:r>
        <w:rPr>
          <w:rFonts w:ascii="Arial" w:hAnsi="Arial" w:cs="Arial"/>
        </w:rPr>
        <w:t>,</w:t>
      </w:r>
      <w:r w:rsidRPr="00EA7665">
        <w:rPr>
          <w:rFonts w:ascii="Arial" w:hAnsi="Arial" w:cs="Arial"/>
        </w:rPr>
        <w:t xml:space="preserve"> </w:t>
      </w:r>
      <w:r>
        <w:rPr>
          <w:rFonts w:ascii="Arial" w:hAnsi="Arial" w:cs="Arial"/>
        </w:rPr>
        <w:t>predominantly</w:t>
      </w:r>
      <w:r w:rsidRPr="00EA7665">
        <w:rPr>
          <w:rFonts w:ascii="Arial" w:hAnsi="Arial" w:cs="Arial"/>
        </w:rPr>
        <w:t xml:space="preserve"> through interest regulations</w:t>
      </w:r>
      <w:r>
        <w:rPr>
          <w:rFonts w:ascii="Arial" w:hAnsi="Arial" w:cs="Arial"/>
        </w:rPr>
        <w:t>,</w:t>
      </w:r>
      <w:r w:rsidRPr="00EA7665">
        <w:rPr>
          <w:rFonts w:ascii="Arial" w:hAnsi="Arial" w:cs="Arial"/>
        </w:rPr>
        <w:t xml:space="preserve"> to regulate demand and slow or enhance economic growth</w:t>
      </w:r>
      <w:r w:rsidR="00AE3014">
        <w:rPr>
          <w:rFonts w:ascii="Arial" w:hAnsi="Arial" w:cs="Arial"/>
        </w:rPr>
        <w:t>.</w:t>
      </w:r>
      <w:r w:rsidRPr="00EA7665">
        <w:rPr>
          <w:rFonts w:ascii="Arial" w:hAnsi="Arial" w:cs="Arial"/>
        </w:rPr>
        <w:t xml:space="preserve"> </w:t>
      </w:r>
    </w:p>
    <w:p w14:paraId="0E851AB0" w14:textId="3CB2489D" w:rsidR="00CD6352" w:rsidRPr="00EA7665" w:rsidRDefault="00CD6352" w:rsidP="00CD6352">
      <w:pPr>
        <w:spacing w:line="360" w:lineRule="auto"/>
        <w:jc w:val="both"/>
        <w:rPr>
          <w:rFonts w:ascii="Arial" w:hAnsi="Arial" w:cs="Arial"/>
        </w:rPr>
      </w:pPr>
      <w:r w:rsidRPr="00EA7665">
        <w:rPr>
          <w:rFonts w:ascii="Arial" w:hAnsi="Arial" w:cs="Arial"/>
        </w:rPr>
        <w:t xml:space="preserve">Job growth is about the single most considerable influence on residential capital values. Even with small economies, housing markets can vary considerably between cities depending on the </w:t>
      </w:r>
      <w:r w:rsidR="00D67CF1">
        <w:rPr>
          <w:rFonts w:ascii="Arial" w:hAnsi="Arial" w:cs="Arial"/>
        </w:rPr>
        <w:t>local economy's abilit</w:t>
      </w:r>
      <w:r w:rsidRPr="00EA7665">
        <w:rPr>
          <w:rFonts w:ascii="Arial" w:hAnsi="Arial" w:cs="Arial"/>
        </w:rPr>
        <w:t>y to create jobs. Consumer confidence is related to unemployment/job growth</w:t>
      </w:r>
      <w:r>
        <w:rPr>
          <w:rFonts w:ascii="Arial" w:hAnsi="Arial" w:cs="Arial"/>
        </w:rPr>
        <w:t xml:space="preserve"> and </w:t>
      </w:r>
      <w:r w:rsidRPr="00EA7665">
        <w:rPr>
          <w:rFonts w:ascii="Arial" w:hAnsi="Arial" w:cs="Arial"/>
        </w:rPr>
        <w:t>asset values. Confidence builds when unemployment falls, and asset values rise</w:t>
      </w:r>
      <w:r>
        <w:rPr>
          <w:rFonts w:ascii="Arial" w:hAnsi="Arial" w:cs="Arial"/>
        </w:rPr>
        <w:t xml:space="preserve"> </w:t>
      </w:r>
      <w:r w:rsidRPr="00EA7665">
        <w:rPr>
          <w:rFonts w:ascii="Arial" w:hAnsi="Arial" w:cs="Arial"/>
        </w:rPr>
        <w:t>commensurate</w:t>
      </w:r>
      <w:r>
        <w:rPr>
          <w:rFonts w:ascii="Arial" w:hAnsi="Arial" w:cs="Arial"/>
        </w:rPr>
        <w:t xml:space="preserve"> to</w:t>
      </w:r>
      <w:r w:rsidRPr="00EA7665">
        <w:rPr>
          <w:rFonts w:ascii="Arial" w:hAnsi="Arial" w:cs="Arial"/>
        </w:rPr>
        <w:t xml:space="preserve"> increased consumer confidence and patronage of the real estate sector hence more demand for finance</w:t>
      </w:r>
      <w:r>
        <w:rPr>
          <w:rFonts w:ascii="Arial" w:hAnsi="Arial" w:cs="Arial"/>
        </w:rPr>
        <w:t xml:space="preserve"> </w:t>
      </w:r>
      <w:r w:rsidRPr="00EA7665">
        <w:rPr>
          <w:rFonts w:ascii="Arial" w:hAnsi="Arial" w:cs="Arial"/>
        </w:rPr>
        <w:t>(Barkham. 2012).</w:t>
      </w:r>
    </w:p>
    <w:p w14:paraId="235D94B3" w14:textId="252F65A5" w:rsidR="00CD6352" w:rsidRPr="00EA7665" w:rsidRDefault="00CD6352" w:rsidP="00CD6352">
      <w:pPr>
        <w:spacing w:line="360" w:lineRule="auto"/>
        <w:jc w:val="both"/>
        <w:rPr>
          <w:rFonts w:ascii="Arial" w:hAnsi="Arial" w:cs="Arial"/>
        </w:rPr>
      </w:pPr>
      <w:r w:rsidRPr="00EA7665">
        <w:rPr>
          <w:rFonts w:ascii="Arial" w:hAnsi="Arial" w:cs="Arial"/>
        </w:rPr>
        <w:t xml:space="preserve">Alongside GDP growth and interest rates, the </w:t>
      </w:r>
      <w:r w:rsidR="00384D11">
        <w:rPr>
          <w:rFonts w:ascii="Arial" w:hAnsi="Arial" w:cs="Arial"/>
        </w:rPr>
        <w:t>inflation rate</w:t>
      </w:r>
      <w:r w:rsidRPr="00EA7665">
        <w:rPr>
          <w:rFonts w:ascii="Arial" w:hAnsi="Arial" w:cs="Arial"/>
        </w:rPr>
        <w:t xml:space="preserve"> in the economy is the most crucial variable for real estate performance in the short, medium and long term (Barkham, 2012). When inflation rises, interest rat</w:t>
      </w:r>
      <w:r>
        <w:rPr>
          <w:rFonts w:ascii="Arial" w:hAnsi="Arial" w:cs="Arial"/>
        </w:rPr>
        <w:t>es</w:t>
      </w:r>
      <w:r w:rsidRPr="00EA7665">
        <w:rPr>
          <w:rFonts w:ascii="Arial" w:hAnsi="Arial" w:cs="Arial"/>
        </w:rPr>
        <w:t xml:space="preserve"> increas</w:t>
      </w:r>
      <w:r>
        <w:rPr>
          <w:rFonts w:ascii="Arial" w:hAnsi="Arial" w:cs="Arial"/>
        </w:rPr>
        <w:t>e</w:t>
      </w:r>
      <w:r w:rsidRPr="00EA7665">
        <w:rPr>
          <w:rFonts w:ascii="Arial" w:hAnsi="Arial" w:cs="Arial"/>
        </w:rPr>
        <w:t xml:space="preserve">, </w:t>
      </w:r>
      <w:r w:rsidR="00D67CF1">
        <w:rPr>
          <w:rFonts w:ascii="Arial" w:hAnsi="Arial" w:cs="Arial"/>
        </w:rPr>
        <w:t xml:space="preserve">which tends to be bad for real estate because it </w:t>
      </w:r>
      <w:r w:rsidR="00D67CF1">
        <w:rPr>
          <w:rFonts w:ascii="Arial" w:hAnsi="Arial" w:cs="Arial"/>
        </w:rPr>
        <w:lastRenderedPageBreak/>
        <w:t>slows down economic expansion and</w:t>
      </w:r>
      <w:r w:rsidRPr="00EA7665">
        <w:rPr>
          <w:rFonts w:ascii="Arial" w:hAnsi="Arial" w:cs="Arial"/>
        </w:rPr>
        <w:t xml:space="preserve"> reduces the need for new real estate space. Deflation is also a macro-economic variable that</w:t>
      </w:r>
      <w:r>
        <w:rPr>
          <w:rFonts w:ascii="Arial" w:hAnsi="Arial" w:cs="Arial"/>
        </w:rPr>
        <w:t xml:space="preserve"> </w:t>
      </w:r>
      <w:r w:rsidRPr="00EA7665">
        <w:rPr>
          <w:rFonts w:ascii="Arial" w:hAnsi="Arial" w:cs="Arial"/>
        </w:rPr>
        <w:t xml:space="preserve">affects real estate demand and supply as well as financing. Deflation is when the price falls systematically and persistently across the economy. </w:t>
      </w:r>
      <w:r>
        <w:rPr>
          <w:rFonts w:ascii="Arial" w:hAnsi="Arial" w:cs="Arial"/>
        </w:rPr>
        <w:t xml:space="preserve"> Deflation</w:t>
      </w:r>
      <w:r w:rsidRPr="00EA7665">
        <w:rPr>
          <w:rFonts w:ascii="Arial" w:hAnsi="Arial" w:cs="Arial"/>
        </w:rPr>
        <w:t xml:space="preserve"> is not a common phenomenon</w:t>
      </w:r>
      <w:r w:rsidR="00384D11">
        <w:rPr>
          <w:rFonts w:ascii="Arial" w:hAnsi="Arial" w:cs="Arial"/>
        </w:rPr>
        <w:t>,</w:t>
      </w:r>
      <w:r w:rsidRPr="00EA7665">
        <w:rPr>
          <w:rFonts w:ascii="Arial" w:hAnsi="Arial" w:cs="Arial"/>
        </w:rPr>
        <w:t xml:space="preserve"> but </w:t>
      </w:r>
      <w:r>
        <w:rPr>
          <w:rFonts w:ascii="Arial" w:hAnsi="Arial" w:cs="Arial"/>
        </w:rPr>
        <w:t xml:space="preserve">it </w:t>
      </w:r>
      <w:r w:rsidRPr="00EA7665">
        <w:rPr>
          <w:rFonts w:ascii="Arial" w:hAnsi="Arial" w:cs="Arial"/>
        </w:rPr>
        <w:t>has been happening in Japan, Hong Kong and the Chinese consumer sector (Barkham, 2012). Deflation creates enormous problems for economic growth and reduces demand in the real estate sector. When prices are falling</w:t>
      </w:r>
      <w:r w:rsidR="00384D11">
        <w:rPr>
          <w:rFonts w:ascii="Arial" w:hAnsi="Arial" w:cs="Arial"/>
        </w:rPr>
        <w:t>,</w:t>
      </w:r>
      <w:r w:rsidRPr="00EA7665">
        <w:rPr>
          <w:rFonts w:ascii="Arial" w:hAnsi="Arial" w:cs="Arial"/>
        </w:rPr>
        <w:t xml:space="preserve"> consumers and companies often wait before making purchases because of fear of a further drop in prices</w:t>
      </w:r>
      <w:r w:rsidR="00384D11">
        <w:rPr>
          <w:rFonts w:ascii="Arial" w:hAnsi="Arial" w:cs="Arial"/>
        </w:rPr>
        <w:t>. T</w:t>
      </w:r>
      <w:r w:rsidRPr="00EA7665">
        <w:rPr>
          <w:rFonts w:ascii="Arial" w:hAnsi="Arial" w:cs="Arial"/>
        </w:rPr>
        <w:t>his could also make the GDP  fall</w:t>
      </w:r>
      <w:r w:rsidR="00384D11">
        <w:rPr>
          <w:rFonts w:ascii="Arial" w:hAnsi="Arial" w:cs="Arial"/>
        </w:rPr>
        <w:t>,</w:t>
      </w:r>
      <w:r w:rsidRPr="00EA7665">
        <w:rPr>
          <w:rFonts w:ascii="Arial" w:hAnsi="Arial" w:cs="Arial"/>
        </w:rPr>
        <w:t xml:space="preserve"> making it difficult for the government to take any policy steps. </w:t>
      </w:r>
    </w:p>
    <w:p w14:paraId="581E6ACC" w14:textId="1581A8CE" w:rsidR="00CD6352" w:rsidRPr="00EA7665" w:rsidRDefault="00CD6352" w:rsidP="00CD6352">
      <w:pPr>
        <w:spacing w:line="360" w:lineRule="auto"/>
        <w:jc w:val="both"/>
        <w:rPr>
          <w:rFonts w:ascii="Arial" w:hAnsi="Arial" w:cs="Arial"/>
        </w:rPr>
      </w:pPr>
      <w:r w:rsidRPr="00EA7665">
        <w:rPr>
          <w:rFonts w:ascii="Arial" w:hAnsi="Arial" w:cs="Arial"/>
        </w:rPr>
        <w:t>Some notable challenges to real estate project financing include taxation, ownership, and restrictions to capital accounts. However,</w:t>
      </w:r>
      <w:r w:rsidRPr="00EA7665">
        <w:rPr>
          <w:rStyle w:val="Strong"/>
          <w:rFonts w:ascii="Arial" w:hAnsi="Arial" w:cs="Arial"/>
        </w:rPr>
        <w:t xml:space="preserve"> </w:t>
      </w:r>
      <w:r w:rsidRPr="00EA7665">
        <w:rPr>
          <w:rFonts w:ascii="Arial" w:hAnsi="Arial" w:cs="Arial"/>
        </w:rPr>
        <w:t xml:space="preserve">market attractiveness or market size can be measured by examining the country’s GDP, population, </w:t>
      </w:r>
      <w:r w:rsidR="002720A8">
        <w:rPr>
          <w:rFonts w:ascii="Arial" w:hAnsi="Arial" w:cs="Arial"/>
        </w:rPr>
        <w:t>GDP growth,</w:t>
      </w:r>
      <w:r w:rsidRPr="00EA7665">
        <w:rPr>
          <w:rFonts w:ascii="Arial" w:hAnsi="Arial" w:cs="Arial"/>
        </w:rPr>
        <w:t xml:space="preserve"> and GDP per capita. Research findings have shown that investors, especially international investors and property funds</w:t>
      </w:r>
      <w:r w:rsidRPr="00A034EC">
        <w:rPr>
          <w:rFonts w:ascii="Arial" w:hAnsi="Arial" w:cs="Arial"/>
        </w:rPr>
        <w:t>, target countries where these variables are positive (Salem, 2011).</w:t>
      </w:r>
      <w:r w:rsidRPr="00A034EC">
        <w:rPr>
          <w:rFonts w:ascii="Arial" w:hAnsi="Arial" w:cs="Arial"/>
          <w:b/>
        </w:rPr>
        <w:t xml:space="preserve"> </w:t>
      </w:r>
      <w:r w:rsidR="007803FC">
        <w:rPr>
          <w:rFonts w:ascii="Arial" w:hAnsi="Arial" w:cs="Arial"/>
        </w:rPr>
        <w:t>E</w:t>
      </w:r>
      <w:r w:rsidRPr="00A034EC">
        <w:rPr>
          <w:rFonts w:ascii="Arial" w:hAnsi="Arial" w:cs="Arial"/>
        </w:rPr>
        <w:t xml:space="preserve">conomic factors such as economic growth, employment level, interest rates, inflation, deflation, and </w:t>
      </w:r>
      <w:r>
        <w:rPr>
          <w:rFonts w:ascii="Arial" w:hAnsi="Arial" w:cs="Arial"/>
        </w:rPr>
        <w:t>national</w:t>
      </w:r>
      <w:r w:rsidRPr="00A034EC">
        <w:rPr>
          <w:rFonts w:ascii="Arial" w:hAnsi="Arial" w:cs="Arial"/>
        </w:rPr>
        <w:t xml:space="preserve"> and regional economic changes </w:t>
      </w:r>
      <w:r w:rsidR="00384D11">
        <w:rPr>
          <w:rFonts w:ascii="Arial" w:hAnsi="Arial" w:cs="Arial"/>
        </w:rPr>
        <w:t>contribute significantly</w:t>
      </w:r>
      <w:r w:rsidRPr="00A034EC">
        <w:rPr>
          <w:rFonts w:ascii="Arial" w:hAnsi="Arial" w:cs="Arial"/>
        </w:rPr>
        <w:t xml:space="preserve"> to </w:t>
      </w:r>
      <w:r w:rsidR="001025B7">
        <w:rPr>
          <w:rFonts w:ascii="Arial" w:hAnsi="Arial" w:cs="Arial"/>
        </w:rPr>
        <w:t>real estate project development financing decisions</w:t>
      </w:r>
      <w:r w:rsidRPr="00A034EC">
        <w:rPr>
          <w:rFonts w:ascii="Arial" w:hAnsi="Arial" w:cs="Arial"/>
        </w:rPr>
        <w:t>.</w:t>
      </w:r>
      <w:r w:rsidRPr="00EA7665">
        <w:rPr>
          <w:rFonts w:ascii="Arial" w:hAnsi="Arial" w:cs="Arial"/>
        </w:rPr>
        <w:t xml:space="preserve"> </w:t>
      </w:r>
    </w:p>
    <w:p w14:paraId="21F3F0CC" w14:textId="4C3E0B27" w:rsidR="00CD6352" w:rsidRPr="00EA7665" w:rsidRDefault="00CD6352" w:rsidP="00CD6352">
      <w:pPr>
        <w:spacing w:line="360" w:lineRule="auto"/>
        <w:jc w:val="both"/>
        <w:rPr>
          <w:rFonts w:ascii="Arial" w:hAnsi="Arial" w:cs="Arial"/>
        </w:rPr>
      </w:pPr>
      <w:r w:rsidRPr="00EA7665">
        <w:rPr>
          <w:rFonts w:ascii="Arial" w:hAnsi="Arial" w:cs="Arial"/>
        </w:rPr>
        <w:t xml:space="preserve">Several cities globally have witnessed fabulous real estate presence and growth because of the economic growth they have experienced (Wofford and Clauretie, 1992). Notably </w:t>
      </w:r>
      <w:r>
        <w:rPr>
          <w:rFonts w:ascii="Arial" w:hAnsi="Arial" w:cs="Arial"/>
        </w:rPr>
        <w:t>are</w:t>
      </w:r>
      <w:r w:rsidRPr="00EA7665">
        <w:rPr>
          <w:rFonts w:ascii="Arial" w:hAnsi="Arial" w:cs="Arial"/>
        </w:rPr>
        <w:t xml:space="preserve"> cities like London, Houston, and Beijing.  Houston experienced great growth partly because energy-related companies such as Shell Oil and others located their offices, research centres, and plants </w:t>
      </w:r>
      <w:r>
        <w:rPr>
          <w:rFonts w:ascii="Arial" w:hAnsi="Arial" w:cs="Arial"/>
        </w:rPr>
        <w:t>in</w:t>
      </w:r>
      <w:r w:rsidRPr="00EA7665">
        <w:rPr>
          <w:rFonts w:ascii="Arial" w:hAnsi="Arial" w:cs="Arial"/>
        </w:rPr>
        <w:t xml:space="preserve"> Houston. This also has the ripple effect of creating employment with the positive impact of real estate projects and access to finance. In the same light, the employment status of an environment can largely determine real estate activities. When the income of people in a city increases, spending will </w:t>
      </w:r>
      <w:r>
        <w:rPr>
          <w:rFonts w:ascii="Arial" w:hAnsi="Arial" w:cs="Arial"/>
        </w:rPr>
        <w:t xml:space="preserve">also </w:t>
      </w:r>
      <w:r w:rsidRPr="00EA7665">
        <w:rPr>
          <w:rFonts w:ascii="Arial" w:hAnsi="Arial" w:cs="Arial"/>
        </w:rPr>
        <w:t>increase.</w:t>
      </w:r>
    </w:p>
    <w:p w14:paraId="26699009" w14:textId="27476032" w:rsidR="00CD6352" w:rsidRDefault="00DB10AB" w:rsidP="00CD6352">
      <w:pPr>
        <w:spacing w:line="360" w:lineRule="auto"/>
        <w:jc w:val="both"/>
        <w:rPr>
          <w:rFonts w:ascii="Arial" w:hAnsi="Arial" w:cs="Arial"/>
        </w:rPr>
      </w:pPr>
      <w:r>
        <w:rPr>
          <w:rFonts w:ascii="Arial" w:hAnsi="Arial" w:cs="Arial"/>
        </w:rPr>
        <w:t>A particular country or environment's infrastructure</w:t>
      </w:r>
      <w:r w:rsidR="00CD6352" w:rsidRPr="00EA7665">
        <w:rPr>
          <w:rFonts w:ascii="Arial" w:hAnsi="Arial" w:cs="Arial"/>
        </w:rPr>
        <w:t xml:space="preserve"> is </w:t>
      </w:r>
      <w:r w:rsidR="001025B7">
        <w:rPr>
          <w:rFonts w:ascii="Arial" w:hAnsi="Arial" w:cs="Arial"/>
        </w:rPr>
        <w:t>essential</w:t>
      </w:r>
      <w:r w:rsidR="00CD6352" w:rsidRPr="00EA7665">
        <w:rPr>
          <w:rFonts w:ascii="Arial" w:hAnsi="Arial" w:cs="Arial"/>
        </w:rPr>
        <w:t xml:space="preserve"> in attracting investment in the real estate sector. Anop (2010) found road infrastructure to be a significant determinant of foreign direct investment in European countries. Lieser &amp; Groh's (2010) analysis of a composite index of real estate market attractiveness for 66 countries concluded that infrastructure should become an integral part of </w:t>
      </w:r>
      <w:r w:rsidR="00EF6647">
        <w:rPr>
          <w:rFonts w:ascii="Arial" w:hAnsi="Arial" w:cs="Arial"/>
        </w:rPr>
        <w:t>attracting</w:t>
      </w:r>
      <w:r w:rsidR="00CD6352" w:rsidRPr="00EA7665">
        <w:rPr>
          <w:rFonts w:ascii="Arial" w:hAnsi="Arial" w:cs="Arial"/>
        </w:rPr>
        <w:t xml:space="preserve"> international real estate investments (Salem, 2011). </w:t>
      </w:r>
      <w:r w:rsidR="00BE4E3B">
        <w:rPr>
          <w:rFonts w:ascii="Arial" w:hAnsi="Arial" w:cs="Arial"/>
        </w:rPr>
        <w:t>I</w:t>
      </w:r>
      <w:r w:rsidR="00CD6352" w:rsidRPr="00EA7665">
        <w:rPr>
          <w:rFonts w:ascii="Arial" w:hAnsi="Arial" w:cs="Arial"/>
        </w:rPr>
        <w:t xml:space="preserve">nfrastructure in developing economies is one of the determinants for foreign direct investment </w:t>
      </w:r>
      <w:r w:rsidR="00BE4E3B">
        <w:rPr>
          <w:rFonts w:ascii="Arial" w:hAnsi="Arial" w:cs="Arial"/>
        </w:rPr>
        <w:t>as they are</w:t>
      </w:r>
      <w:r w:rsidR="00CD6352" w:rsidRPr="00EA7665">
        <w:rPr>
          <w:rFonts w:ascii="Arial" w:hAnsi="Arial" w:cs="Arial"/>
        </w:rPr>
        <w:t xml:space="preserve"> also a contributory finance strategy for real estate project development. </w:t>
      </w:r>
    </w:p>
    <w:p w14:paraId="78421D07" w14:textId="1B607E98" w:rsidR="00A23D81" w:rsidRDefault="00A23D81" w:rsidP="00CD6352">
      <w:pPr>
        <w:spacing w:line="360" w:lineRule="auto"/>
        <w:jc w:val="both"/>
        <w:rPr>
          <w:rFonts w:ascii="Arial" w:hAnsi="Arial" w:cs="Arial"/>
        </w:rPr>
      </w:pPr>
    </w:p>
    <w:p w14:paraId="5FE55A2B" w14:textId="77777777" w:rsidR="00A23D81" w:rsidRPr="00EA7665" w:rsidRDefault="00A23D81" w:rsidP="00CD6352">
      <w:pPr>
        <w:spacing w:line="360" w:lineRule="auto"/>
        <w:jc w:val="both"/>
        <w:rPr>
          <w:rFonts w:ascii="Arial" w:hAnsi="Arial" w:cs="Arial"/>
        </w:rPr>
      </w:pPr>
    </w:p>
    <w:p w14:paraId="3AC77F83" w14:textId="77777777" w:rsidR="00CD6352" w:rsidRPr="007803FC" w:rsidRDefault="00CD6352" w:rsidP="00CD6352">
      <w:pPr>
        <w:pStyle w:val="Subtitle"/>
        <w:rPr>
          <w:rStyle w:val="IntenseEmphasis"/>
          <w:rFonts w:ascii="Arial" w:hAnsi="Arial" w:cs="Arial"/>
          <w:b/>
          <w:bCs/>
          <w:i w:val="0"/>
          <w:iCs w:val="0"/>
          <w:color w:val="000000" w:themeColor="text1"/>
        </w:rPr>
      </w:pPr>
      <w:r w:rsidRPr="007803FC">
        <w:rPr>
          <w:rStyle w:val="IntenseEmphasis"/>
          <w:rFonts w:ascii="Arial" w:hAnsi="Arial" w:cs="Arial"/>
          <w:b/>
          <w:bCs/>
          <w:i w:val="0"/>
          <w:iCs w:val="0"/>
          <w:color w:val="000000" w:themeColor="text1"/>
        </w:rPr>
        <w:lastRenderedPageBreak/>
        <w:t>Social factors</w:t>
      </w:r>
    </w:p>
    <w:p w14:paraId="1273A10E" w14:textId="2C04EAEC" w:rsidR="00CD6352" w:rsidRPr="00EA7665" w:rsidRDefault="00A23D81" w:rsidP="00CD6352">
      <w:pPr>
        <w:spacing w:line="360" w:lineRule="auto"/>
        <w:jc w:val="both"/>
        <w:rPr>
          <w:rFonts w:ascii="Arial" w:hAnsi="Arial" w:cs="Arial"/>
        </w:rPr>
      </w:pPr>
      <w:r w:rsidRPr="00A23D81">
        <w:rPr>
          <w:rFonts w:ascii="Arial" w:hAnsi="Arial" w:cs="Arial"/>
        </w:rPr>
        <w:t>Population changes are among the key parameters that shape real estate demand and funding (</w:t>
      </w:r>
      <w:r w:rsidR="006677D2">
        <w:rPr>
          <w:rFonts w:ascii="Arial" w:hAnsi="Arial" w:cs="Arial"/>
        </w:rPr>
        <w:t>Just</w:t>
      </w:r>
      <w:r w:rsidRPr="00A23D81">
        <w:rPr>
          <w:rFonts w:ascii="Arial" w:hAnsi="Arial" w:cs="Arial"/>
        </w:rPr>
        <w:t xml:space="preserve">, 2012). </w:t>
      </w:r>
      <w:r w:rsidR="00CD6352" w:rsidRPr="00EA7665">
        <w:rPr>
          <w:rFonts w:ascii="Arial" w:hAnsi="Arial" w:cs="Arial"/>
        </w:rPr>
        <w:t>Information about expected population changes provides a basis for estimating housing demands</w:t>
      </w:r>
      <w:r>
        <w:rPr>
          <w:rFonts w:ascii="Arial" w:hAnsi="Arial" w:cs="Arial"/>
        </w:rPr>
        <w:t>.</w:t>
      </w:r>
      <w:r w:rsidR="00CD6352" w:rsidRPr="00EA7665">
        <w:rPr>
          <w:rFonts w:ascii="Arial" w:hAnsi="Arial" w:cs="Arial"/>
        </w:rPr>
        <w:t xml:space="preserve"> Demographic information on the population can be analysed based on income, age, number of children and marital status. Research</w:t>
      </w:r>
      <w:r w:rsidR="00401B86">
        <w:rPr>
          <w:rFonts w:ascii="Arial" w:hAnsi="Arial" w:cs="Arial"/>
        </w:rPr>
        <w:t>-based classification aids lending decisions because it determines possible demand for various real estate classes</w:t>
      </w:r>
      <w:r w:rsidR="00CD6352" w:rsidRPr="00EA7665">
        <w:rPr>
          <w:rFonts w:ascii="Arial" w:hAnsi="Arial" w:cs="Arial"/>
        </w:rPr>
        <w:t xml:space="preserve">. </w:t>
      </w:r>
    </w:p>
    <w:p w14:paraId="78F64F1A" w14:textId="77777777" w:rsidR="00CD6352" w:rsidRPr="007803FC" w:rsidRDefault="00CD6352" w:rsidP="00CD6352">
      <w:pPr>
        <w:pStyle w:val="Subtitle"/>
        <w:rPr>
          <w:rStyle w:val="IntenseEmphasis"/>
          <w:rFonts w:ascii="Arial" w:hAnsi="Arial" w:cs="Arial"/>
          <w:b/>
          <w:bCs/>
          <w:i w:val="0"/>
          <w:iCs w:val="0"/>
          <w:color w:val="000000" w:themeColor="text1"/>
        </w:rPr>
      </w:pPr>
      <w:r w:rsidRPr="007803FC">
        <w:rPr>
          <w:rStyle w:val="IntenseEmphasis"/>
          <w:rFonts w:ascii="Arial" w:hAnsi="Arial" w:cs="Arial"/>
          <w:b/>
          <w:bCs/>
          <w:i w:val="0"/>
          <w:iCs w:val="0"/>
          <w:color w:val="000000" w:themeColor="text1"/>
        </w:rPr>
        <w:t xml:space="preserve">Ownership restrictions / Capital control </w:t>
      </w:r>
    </w:p>
    <w:p w14:paraId="1C45A16B" w14:textId="257DBF00" w:rsidR="00CD6352" w:rsidRPr="00EA7665" w:rsidRDefault="00542C71" w:rsidP="00CD6352">
      <w:pPr>
        <w:spacing w:line="360" w:lineRule="auto"/>
        <w:jc w:val="both"/>
        <w:rPr>
          <w:rFonts w:ascii="Arial" w:hAnsi="Arial" w:cs="Arial"/>
        </w:rPr>
      </w:pPr>
      <w:r w:rsidRPr="00542C71">
        <w:rPr>
          <w:rFonts w:ascii="Arial" w:hAnsi="Arial" w:cs="Arial"/>
        </w:rPr>
        <w:t>Restrictions on international transfers are common in emerging economies and sometimes are barriers to financiers and potential financiers of the real estate sector (Salem, 2011).</w:t>
      </w:r>
      <w:r>
        <w:rPr>
          <w:rFonts w:ascii="Arial" w:hAnsi="Arial" w:cs="Arial"/>
        </w:rPr>
        <w:t xml:space="preserve"> </w:t>
      </w:r>
      <w:r w:rsidR="00CD6352" w:rsidRPr="003F223F">
        <w:rPr>
          <w:rFonts w:ascii="Arial" w:hAnsi="Arial" w:cs="Arial"/>
        </w:rPr>
        <w:t>Restrictions on foreign ownership can limit the possibility of acquiring property rights if investors are not citizens of a country</w:t>
      </w:r>
      <w:r w:rsidR="00E22900">
        <w:rPr>
          <w:rFonts w:ascii="Arial" w:hAnsi="Arial" w:cs="Arial"/>
        </w:rPr>
        <w:t>. T</w:t>
      </w:r>
      <w:r w:rsidR="00CD6352" w:rsidRPr="003F223F">
        <w:rPr>
          <w:rFonts w:ascii="Arial" w:hAnsi="Arial" w:cs="Arial"/>
        </w:rPr>
        <w:t>his includes managerial controls that investors can exercise over companies in the host country. This ownership restriction extends to the nationalisation of foreign-owned corporations, in which the government takes control of the capital stock. There is also the problem of excessive tax on foreign investors, capital control,</w:t>
      </w:r>
      <w:r w:rsidR="00CD6352" w:rsidRPr="00EA7665">
        <w:rPr>
          <w:rFonts w:ascii="Arial" w:hAnsi="Arial" w:cs="Arial"/>
        </w:rPr>
        <w:t xml:space="preserve"> bribes </w:t>
      </w:r>
      <w:r w:rsidR="00CD6352">
        <w:rPr>
          <w:rFonts w:ascii="Arial" w:hAnsi="Arial" w:cs="Arial"/>
        </w:rPr>
        <w:t xml:space="preserve">and </w:t>
      </w:r>
      <w:r w:rsidR="00CD6352" w:rsidRPr="00EA7665">
        <w:rPr>
          <w:rFonts w:ascii="Arial" w:hAnsi="Arial" w:cs="Arial"/>
        </w:rPr>
        <w:t>permits demanded by government officials</w:t>
      </w:r>
      <w:r w:rsidR="00E22900">
        <w:rPr>
          <w:rFonts w:ascii="Arial" w:hAnsi="Arial" w:cs="Arial"/>
        </w:rPr>
        <w:t xml:space="preserve">. </w:t>
      </w:r>
      <w:r w:rsidR="00CD6352">
        <w:rPr>
          <w:rFonts w:ascii="Arial" w:hAnsi="Arial" w:cs="Arial"/>
        </w:rPr>
        <w:t xml:space="preserve">There is </w:t>
      </w:r>
      <w:r w:rsidR="00CD6352" w:rsidRPr="00EA7665">
        <w:rPr>
          <w:rFonts w:ascii="Arial" w:hAnsi="Arial" w:cs="Arial"/>
        </w:rPr>
        <w:t>the challenge of capital control</w:t>
      </w:r>
      <w:r w:rsidR="00CD6352">
        <w:rPr>
          <w:rFonts w:ascii="Arial" w:hAnsi="Arial" w:cs="Arial"/>
        </w:rPr>
        <w:t xml:space="preserve"> which affects the</w:t>
      </w:r>
      <w:r w:rsidR="00CD6352" w:rsidRPr="00EA7665">
        <w:rPr>
          <w:rFonts w:ascii="Arial" w:hAnsi="Arial" w:cs="Arial"/>
        </w:rPr>
        <w:t xml:space="preserve"> ability of the investor to repatriate their investment if domestic savings are scarce in the host country, </w:t>
      </w:r>
      <w:r w:rsidR="00E22900">
        <w:rPr>
          <w:rFonts w:ascii="Arial" w:hAnsi="Arial" w:cs="Arial"/>
        </w:rPr>
        <w:t>which</w:t>
      </w:r>
      <w:r w:rsidR="00CD6352" w:rsidRPr="00EA7665">
        <w:rPr>
          <w:rFonts w:ascii="Arial" w:hAnsi="Arial" w:cs="Arial"/>
        </w:rPr>
        <w:t xml:space="preserve"> mitigates against capital account transactions and could be discouraging for investors. </w:t>
      </w:r>
    </w:p>
    <w:p w14:paraId="5D7D8E91" w14:textId="77777777" w:rsidR="00CD6352" w:rsidRPr="00A252E2" w:rsidRDefault="00CD6352" w:rsidP="00CD6352">
      <w:pPr>
        <w:pStyle w:val="Subtitle"/>
        <w:rPr>
          <w:rStyle w:val="IntenseEmphasis"/>
          <w:rFonts w:ascii="Arial" w:hAnsi="Arial" w:cs="Arial"/>
          <w:b/>
          <w:bCs/>
          <w:color w:val="000000" w:themeColor="text1"/>
        </w:rPr>
      </w:pPr>
      <w:r w:rsidRPr="00A252E2">
        <w:rPr>
          <w:rStyle w:val="IntenseEmphasis"/>
          <w:rFonts w:ascii="Arial" w:hAnsi="Arial" w:cs="Arial"/>
          <w:b/>
          <w:bCs/>
          <w:color w:val="000000" w:themeColor="text1"/>
        </w:rPr>
        <w:t>Technological / ICT usage in developments in the real estate sector</w:t>
      </w:r>
    </w:p>
    <w:p w14:paraId="34D32678" w14:textId="67A43B22" w:rsidR="00CD6352" w:rsidRPr="00EA7665" w:rsidRDefault="00CD6352" w:rsidP="00EC3481">
      <w:pPr>
        <w:spacing w:line="360" w:lineRule="auto"/>
        <w:jc w:val="both"/>
        <w:rPr>
          <w:rFonts w:ascii="Arial" w:hAnsi="Arial" w:cs="Arial"/>
        </w:rPr>
      </w:pPr>
      <w:r w:rsidRPr="00EA7665">
        <w:rPr>
          <w:rFonts w:ascii="Arial" w:hAnsi="Arial" w:cs="Arial"/>
        </w:rPr>
        <w:t>There is increasing usage of information and communication technologies (ICT), especially in the developed economies</w:t>
      </w:r>
      <w:r w:rsidR="00401B86">
        <w:rPr>
          <w:rFonts w:ascii="Arial" w:hAnsi="Arial" w:cs="Arial"/>
        </w:rPr>
        <w:t>,</w:t>
      </w:r>
      <w:r w:rsidRPr="00EA7665">
        <w:rPr>
          <w:rFonts w:ascii="Arial" w:hAnsi="Arial" w:cs="Arial"/>
        </w:rPr>
        <w:t xml:space="preserve"> as its adoption appears to accelerate large projects</w:t>
      </w:r>
      <w:r w:rsidR="00413F87">
        <w:rPr>
          <w:rFonts w:ascii="Arial" w:hAnsi="Arial" w:cs="Arial"/>
        </w:rPr>
        <w:t>. T</w:t>
      </w:r>
      <w:r w:rsidRPr="00EA7665">
        <w:rPr>
          <w:rFonts w:ascii="Arial" w:hAnsi="Arial" w:cs="Arial"/>
        </w:rPr>
        <w:t xml:space="preserve">his could be seen as </w:t>
      </w:r>
      <w:r w:rsidR="00413F87">
        <w:rPr>
          <w:rFonts w:ascii="Arial" w:hAnsi="Arial" w:cs="Arial"/>
        </w:rPr>
        <w:t xml:space="preserve">an </w:t>
      </w:r>
      <w:r w:rsidRPr="00EA7665">
        <w:rPr>
          <w:rFonts w:ascii="Arial" w:hAnsi="Arial" w:cs="Arial"/>
        </w:rPr>
        <w:t xml:space="preserve">incentive to financiers and other stakeholders. Notably, in recognising information and communication technology (ICT), the UK government initiated major programs such as digital built Britain to contribute further to digitalising the industry (Noruwa et al., 2018). Firms involved in turnkey real estate and construction projects are increasingly using ICT as strategic tools to drive business performance and generate </w:t>
      </w:r>
      <w:r w:rsidR="007803FC">
        <w:rPr>
          <w:rFonts w:ascii="Arial" w:hAnsi="Arial" w:cs="Arial"/>
        </w:rPr>
        <w:t xml:space="preserve">a </w:t>
      </w:r>
      <w:r w:rsidRPr="00EA7665">
        <w:rPr>
          <w:rFonts w:ascii="Arial" w:hAnsi="Arial" w:cs="Arial"/>
        </w:rPr>
        <w:t xml:space="preserve">competitive advantage. ICT comprises computer software, hardware and communication devices that allow easy communication. An excellent example of </w:t>
      </w:r>
      <w:r w:rsidR="00413F87">
        <w:rPr>
          <w:rFonts w:ascii="Arial" w:hAnsi="Arial" w:cs="Arial"/>
        </w:rPr>
        <w:t>modern</w:t>
      </w:r>
      <w:r w:rsidRPr="00EA7665">
        <w:rPr>
          <w:rFonts w:ascii="Arial" w:hAnsi="Arial" w:cs="Arial"/>
        </w:rPr>
        <w:t xml:space="preserve"> ICT tools used in the UK </w:t>
      </w:r>
      <w:r w:rsidR="00EC3481">
        <w:rPr>
          <w:rFonts w:ascii="Arial" w:hAnsi="Arial" w:cs="Arial"/>
        </w:rPr>
        <w:t>BIM- Building Information Modelling -ISO 19650- 1,2 &amp; 3</w:t>
      </w:r>
      <w:r w:rsidR="00413F87">
        <w:rPr>
          <w:rFonts w:ascii="Arial" w:hAnsi="Arial" w:cs="Arial"/>
        </w:rPr>
        <w:t>,</w:t>
      </w:r>
      <w:r w:rsidR="00EC3481">
        <w:rPr>
          <w:rFonts w:ascii="Arial" w:hAnsi="Arial" w:cs="Arial"/>
        </w:rPr>
        <w:t xml:space="preserve"> </w:t>
      </w:r>
      <w:r w:rsidRPr="00EA7665">
        <w:rPr>
          <w:rFonts w:ascii="Arial" w:hAnsi="Arial" w:cs="Arial"/>
        </w:rPr>
        <w:t>which was mandated by the UK government in 2011 to be used on all public-sector projects by 2016 (Noruwa et al., 2018). BIM enhances productivity, which arguably provides a platform for easy access to finance because it produces accurate visual models</w:t>
      </w:r>
      <w:r w:rsidR="00413F87">
        <w:rPr>
          <w:rFonts w:ascii="Arial" w:hAnsi="Arial" w:cs="Arial"/>
        </w:rPr>
        <w:t>,</w:t>
      </w:r>
      <w:r w:rsidRPr="00EA7665">
        <w:rPr>
          <w:rFonts w:ascii="Arial" w:hAnsi="Arial" w:cs="Arial"/>
        </w:rPr>
        <w:t xml:space="preserve"> and this enables the clients, financiers and all stakeholders to understand the design and the construction process and possible projected cost. </w:t>
      </w:r>
    </w:p>
    <w:p w14:paraId="2377A29C" w14:textId="7ABA4F23" w:rsidR="00CD6352" w:rsidRPr="00EA7665" w:rsidRDefault="00413F87" w:rsidP="00CD6352">
      <w:pPr>
        <w:spacing w:line="360" w:lineRule="auto"/>
        <w:jc w:val="both"/>
        <w:rPr>
          <w:rFonts w:ascii="Arial" w:hAnsi="Arial" w:cs="Arial"/>
        </w:rPr>
      </w:pPr>
      <w:r>
        <w:rPr>
          <w:rFonts w:ascii="Arial" w:hAnsi="Arial" w:cs="Arial"/>
        </w:rPr>
        <w:t>O</w:t>
      </w:r>
      <w:r w:rsidR="00CD6352" w:rsidRPr="00EA7665">
        <w:rPr>
          <w:rFonts w:ascii="Arial" w:hAnsi="Arial" w:cs="Arial"/>
        </w:rPr>
        <w:t xml:space="preserve">ther ICT platforms used in most developed economies that have arguably enhanced project financing include </w:t>
      </w:r>
      <w:r w:rsidR="007803FC">
        <w:rPr>
          <w:rFonts w:ascii="Arial" w:hAnsi="Arial" w:cs="Arial"/>
        </w:rPr>
        <w:t xml:space="preserve">the </w:t>
      </w:r>
      <w:r w:rsidR="00CD6352" w:rsidRPr="00EA7665">
        <w:rPr>
          <w:rFonts w:ascii="Arial" w:hAnsi="Arial" w:cs="Arial"/>
        </w:rPr>
        <w:t>internet of things (</w:t>
      </w:r>
      <w:r w:rsidR="001025B7" w:rsidRPr="00EA7665">
        <w:rPr>
          <w:rFonts w:ascii="Arial" w:hAnsi="Arial" w:cs="Arial"/>
        </w:rPr>
        <w:t>I</w:t>
      </w:r>
      <w:r w:rsidR="001025B7">
        <w:rPr>
          <w:rFonts w:ascii="Arial" w:hAnsi="Arial" w:cs="Arial"/>
        </w:rPr>
        <w:t>o</w:t>
      </w:r>
      <w:r w:rsidR="001025B7" w:rsidRPr="00EA7665">
        <w:rPr>
          <w:rFonts w:ascii="Arial" w:hAnsi="Arial" w:cs="Arial"/>
        </w:rPr>
        <w:t>T)</w:t>
      </w:r>
      <w:r w:rsidR="001025B7">
        <w:rPr>
          <w:rFonts w:ascii="Arial" w:hAnsi="Arial" w:cs="Arial"/>
        </w:rPr>
        <w:t>,</w:t>
      </w:r>
      <w:r w:rsidR="001025B7" w:rsidRPr="00EA7665">
        <w:rPr>
          <w:rFonts w:ascii="Arial" w:hAnsi="Arial" w:cs="Arial"/>
        </w:rPr>
        <w:t xml:space="preserve"> </w:t>
      </w:r>
      <w:r w:rsidR="00CD6352" w:rsidRPr="00EA7665">
        <w:rPr>
          <w:rFonts w:ascii="Arial" w:hAnsi="Arial" w:cs="Arial"/>
        </w:rPr>
        <w:t>big data analytics</w:t>
      </w:r>
      <w:r w:rsidR="00634B6C">
        <w:rPr>
          <w:rFonts w:ascii="Arial" w:hAnsi="Arial" w:cs="Arial"/>
        </w:rPr>
        <w:t>,</w:t>
      </w:r>
      <w:r w:rsidR="00CD6352" w:rsidRPr="00EA7665">
        <w:rPr>
          <w:rFonts w:ascii="Arial" w:hAnsi="Arial" w:cs="Arial"/>
        </w:rPr>
        <w:t xml:space="preserve"> which provides data for easy </w:t>
      </w:r>
      <w:r w:rsidR="00CD6352" w:rsidRPr="00EA7665">
        <w:rPr>
          <w:rFonts w:ascii="Arial" w:hAnsi="Arial" w:cs="Arial"/>
        </w:rPr>
        <w:lastRenderedPageBreak/>
        <w:t>decision making</w:t>
      </w:r>
      <w:r w:rsidR="00634B6C">
        <w:rPr>
          <w:rFonts w:ascii="Arial" w:hAnsi="Arial" w:cs="Arial"/>
        </w:rPr>
        <w:t xml:space="preserve">,  </w:t>
      </w:r>
      <w:r w:rsidR="00BB7F9F">
        <w:rPr>
          <w:rFonts w:ascii="Arial" w:hAnsi="Arial" w:cs="Arial"/>
        </w:rPr>
        <w:t xml:space="preserve"> </w:t>
      </w:r>
      <w:r w:rsidR="00CD6352" w:rsidRPr="00EA7665">
        <w:rPr>
          <w:rFonts w:ascii="Arial" w:hAnsi="Arial" w:cs="Arial"/>
        </w:rPr>
        <w:t>augmented reality (AR) and virtual reality ( VR). These different platforms enable clients and financiers to interact and understand the unbuilt structure allo</w:t>
      </w:r>
      <w:r w:rsidR="00CD6352">
        <w:rPr>
          <w:rFonts w:ascii="Arial" w:hAnsi="Arial" w:cs="Arial"/>
        </w:rPr>
        <w:t>wing</w:t>
      </w:r>
      <w:r w:rsidR="00CD6352" w:rsidRPr="00EA7665">
        <w:rPr>
          <w:rFonts w:ascii="Arial" w:hAnsi="Arial" w:cs="Arial"/>
        </w:rPr>
        <w:t xml:space="preserve"> a live direct and </w:t>
      </w:r>
      <w:r w:rsidR="00CD6352">
        <w:rPr>
          <w:rFonts w:ascii="Arial" w:hAnsi="Arial" w:cs="Arial"/>
        </w:rPr>
        <w:t>indirect</w:t>
      </w:r>
      <w:r w:rsidR="00CD6352" w:rsidRPr="00EA7665">
        <w:rPr>
          <w:rFonts w:ascii="Arial" w:hAnsi="Arial" w:cs="Arial"/>
        </w:rPr>
        <w:t xml:space="preserve"> view of the real-world physical environment. However, despite how effective these ICT usages </w:t>
      </w:r>
      <w:r w:rsidR="00CD6352">
        <w:rPr>
          <w:rFonts w:ascii="Arial" w:hAnsi="Arial" w:cs="Arial"/>
        </w:rPr>
        <w:t xml:space="preserve">have </w:t>
      </w:r>
      <w:r w:rsidR="00385093">
        <w:rPr>
          <w:rFonts w:ascii="Arial" w:hAnsi="Arial" w:cs="Arial"/>
        </w:rPr>
        <w:t>impacted</w:t>
      </w:r>
      <w:r w:rsidR="004855B0">
        <w:rPr>
          <w:rFonts w:ascii="Arial" w:hAnsi="Arial" w:cs="Arial"/>
        </w:rPr>
        <w:t xml:space="preserve"> </w:t>
      </w:r>
      <w:r w:rsidR="004855B0" w:rsidRPr="00EA7665">
        <w:rPr>
          <w:rFonts w:ascii="Arial" w:hAnsi="Arial" w:cs="Arial"/>
        </w:rPr>
        <w:t>the</w:t>
      </w:r>
      <w:r w:rsidR="00CD6352" w:rsidRPr="00EA7665">
        <w:rPr>
          <w:rFonts w:ascii="Arial" w:hAnsi="Arial" w:cs="Arial"/>
        </w:rPr>
        <w:t xml:space="preserve"> </w:t>
      </w:r>
      <w:r w:rsidR="001025B7">
        <w:rPr>
          <w:rFonts w:ascii="Arial" w:hAnsi="Arial" w:cs="Arial"/>
        </w:rPr>
        <w:t>construction and real estate sector's productivity in</w:t>
      </w:r>
      <w:r w:rsidR="00CD6352" w:rsidRPr="00EA7665">
        <w:rPr>
          <w:rFonts w:ascii="Arial" w:hAnsi="Arial" w:cs="Arial"/>
        </w:rPr>
        <w:t xml:space="preserve"> developed economies</w:t>
      </w:r>
      <w:r w:rsidR="00CD6352">
        <w:rPr>
          <w:rFonts w:ascii="Arial" w:hAnsi="Arial" w:cs="Arial"/>
        </w:rPr>
        <w:t>,</w:t>
      </w:r>
      <w:r w:rsidR="00CD6352" w:rsidRPr="00EA7665">
        <w:rPr>
          <w:rFonts w:ascii="Arial" w:hAnsi="Arial" w:cs="Arial"/>
        </w:rPr>
        <w:t xml:space="preserve"> the story is not the same for emerging economies such as South Africa and Nigeria as their usage is not fully implemented. There is a lack of implementation of </w:t>
      </w:r>
      <w:r w:rsidR="007A7368">
        <w:rPr>
          <w:rFonts w:ascii="Arial" w:hAnsi="Arial" w:cs="Arial"/>
        </w:rPr>
        <w:t xml:space="preserve">Building Information Modelling (BIM) products </w:t>
      </w:r>
      <w:r w:rsidR="00385093">
        <w:rPr>
          <w:rFonts w:ascii="Arial" w:hAnsi="Arial" w:cs="Arial"/>
        </w:rPr>
        <w:t xml:space="preserve">in Nigeria </w:t>
      </w:r>
      <w:r w:rsidR="007A7368">
        <w:rPr>
          <w:rFonts w:ascii="Arial" w:hAnsi="Arial" w:cs="Arial"/>
        </w:rPr>
        <w:t>because of the lack of standards and uniform protocols and government capacity, buy-in,</w:t>
      </w:r>
      <w:r w:rsidR="00CD6352" w:rsidRPr="00EA7665">
        <w:rPr>
          <w:rFonts w:ascii="Arial" w:hAnsi="Arial" w:cs="Arial"/>
        </w:rPr>
        <w:t xml:space="preserve"> and support (Akintola et al., 2017).</w:t>
      </w:r>
    </w:p>
    <w:p w14:paraId="3FA60C6B"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Ongera (2015) looked at the challenges affecting a firm/ manager’s ability to secure finance from the organisational level and external challenges. According to Ongera, the organisational challenges affecting the firm’s ability to get finance include: </w:t>
      </w:r>
    </w:p>
    <w:p w14:paraId="6037453A" w14:textId="77777777" w:rsidR="00CD6352" w:rsidRPr="00EA7665" w:rsidRDefault="00CD6352" w:rsidP="007625E7">
      <w:pPr>
        <w:pStyle w:val="ListParagraph"/>
        <w:numPr>
          <w:ilvl w:val="0"/>
          <w:numId w:val="369"/>
        </w:numPr>
        <w:spacing w:line="360" w:lineRule="auto"/>
        <w:jc w:val="both"/>
        <w:rPr>
          <w:rFonts w:ascii="Arial" w:hAnsi="Arial" w:cs="Arial"/>
        </w:rPr>
      </w:pPr>
      <w:r w:rsidRPr="00EA7665">
        <w:rPr>
          <w:rFonts w:ascii="Arial" w:hAnsi="Arial" w:cs="Arial"/>
        </w:rPr>
        <w:t>High risk</w:t>
      </w:r>
    </w:p>
    <w:p w14:paraId="4367B28A" w14:textId="77777777" w:rsidR="00CD6352" w:rsidRPr="00EA7665" w:rsidRDefault="00CD6352" w:rsidP="007625E7">
      <w:pPr>
        <w:pStyle w:val="ListParagraph"/>
        <w:numPr>
          <w:ilvl w:val="0"/>
          <w:numId w:val="369"/>
        </w:numPr>
        <w:spacing w:line="360" w:lineRule="auto"/>
        <w:jc w:val="both"/>
        <w:rPr>
          <w:rFonts w:ascii="Arial" w:hAnsi="Arial" w:cs="Arial"/>
        </w:rPr>
      </w:pPr>
      <w:r w:rsidRPr="00EA7665">
        <w:rPr>
          <w:rFonts w:ascii="Arial" w:hAnsi="Arial" w:cs="Arial"/>
        </w:rPr>
        <w:t>Information asymmetry</w:t>
      </w:r>
    </w:p>
    <w:p w14:paraId="7C392442" w14:textId="77777777" w:rsidR="00CD6352" w:rsidRPr="00EA7665" w:rsidRDefault="00CD6352" w:rsidP="007625E7">
      <w:pPr>
        <w:pStyle w:val="ListParagraph"/>
        <w:numPr>
          <w:ilvl w:val="0"/>
          <w:numId w:val="369"/>
        </w:numPr>
        <w:spacing w:line="360" w:lineRule="auto"/>
        <w:jc w:val="both"/>
        <w:rPr>
          <w:rFonts w:ascii="Arial" w:hAnsi="Arial" w:cs="Arial"/>
        </w:rPr>
      </w:pPr>
      <w:r w:rsidRPr="00EA7665">
        <w:rPr>
          <w:rFonts w:ascii="Arial" w:hAnsi="Arial" w:cs="Arial"/>
        </w:rPr>
        <w:t>The high cost of the transaction</w:t>
      </w:r>
    </w:p>
    <w:p w14:paraId="3730E6CC" w14:textId="09796368" w:rsidR="00CD6352" w:rsidRDefault="00CD6352" w:rsidP="007625E7">
      <w:pPr>
        <w:pStyle w:val="ListParagraph"/>
        <w:numPr>
          <w:ilvl w:val="0"/>
          <w:numId w:val="369"/>
        </w:numPr>
        <w:spacing w:line="360" w:lineRule="auto"/>
        <w:jc w:val="both"/>
        <w:rPr>
          <w:rFonts w:ascii="Arial" w:hAnsi="Arial" w:cs="Arial"/>
        </w:rPr>
      </w:pPr>
      <w:r w:rsidRPr="00EA7665">
        <w:rPr>
          <w:rFonts w:ascii="Arial" w:hAnsi="Arial" w:cs="Arial"/>
        </w:rPr>
        <w:t>Managerial competencies</w:t>
      </w:r>
    </w:p>
    <w:p w14:paraId="10E73ED6" w14:textId="505EFD04" w:rsidR="007803FC" w:rsidRDefault="007803FC" w:rsidP="007625E7">
      <w:pPr>
        <w:pStyle w:val="ListParagraph"/>
        <w:numPr>
          <w:ilvl w:val="0"/>
          <w:numId w:val="369"/>
        </w:numPr>
        <w:spacing w:line="360" w:lineRule="auto"/>
        <w:jc w:val="both"/>
        <w:rPr>
          <w:rFonts w:ascii="Arial" w:hAnsi="Arial" w:cs="Arial"/>
        </w:rPr>
      </w:pPr>
      <w:r>
        <w:rPr>
          <w:rFonts w:ascii="Arial" w:hAnsi="Arial" w:cs="Arial"/>
        </w:rPr>
        <w:t>Networking</w:t>
      </w:r>
    </w:p>
    <w:p w14:paraId="7306483A" w14:textId="77777777" w:rsidR="00CD6352" w:rsidRPr="00651E2B" w:rsidRDefault="00CD6352" w:rsidP="00CD6352">
      <w:pPr>
        <w:spacing w:line="360" w:lineRule="auto"/>
        <w:jc w:val="both"/>
        <w:rPr>
          <w:rFonts w:ascii="Arial" w:hAnsi="Arial" w:cs="Arial"/>
        </w:rPr>
      </w:pPr>
      <w:r w:rsidRPr="00651E2B">
        <w:rPr>
          <w:rFonts w:ascii="Arial" w:hAnsi="Arial" w:cs="Arial"/>
        </w:rPr>
        <w:t xml:space="preserve">While the </w:t>
      </w:r>
      <w:r>
        <w:rPr>
          <w:rFonts w:ascii="Arial" w:hAnsi="Arial" w:cs="Arial"/>
        </w:rPr>
        <w:t>external</w:t>
      </w:r>
      <w:r w:rsidRPr="00651E2B">
        <w:rPr>
          <w:rFonts w:ascii="Arial" w:hAnsi="Arial" w:cs="Arial"/>
        </w:rPr>
        <w:t xml:space="preserve"> factors that affect access to capital include the following: </w:t>
      </w:r>
    </w:p>
    <w:p w14:paraId="530DBF59" w14:textId="77777777" w:rsidR="00CD6352" w:rsidRPr="00EA7665" w:rsidRDefault="00CD6352" w:rsidP="007625E7">
      <w:pPr>
        <w:pStyle w:val="ListParagraph"/>
        <w:numPr>
          <w:ilvl w:val="0"/>
          <w:numId w:val="370"/>
        </w:numPr>
        <w:spacing w:line="360" w:lineRule="auto"/>
        <w:jc w:val="both"/>
        <w:rPr>
          <w:rFonts w:ascii="Arial" w:hAnsi="Arial" w:cs="Arial"/>
        </w:rPr>
      </w:pPr>
      <w:r w:rsidRPr="00EA7665">
        <w:rPr>
          <w:rFonts w:ascii="Arial" w:hAnsi="Arial" w:cs="Arial"/>
        </w:rPr>
        <w:t>Firm’s size</w:t>
      </w:r>
    </w:p>
    <w:p w14:paraId="517290EC" w14:textId="77777777" w:rsidR="00CD6352" w:rsidRPr="00EA7665" w:rsidRDefault="00CD6352" w:rsidP="007625E7">
      <w:pPr>
        <w:pStyle w:val="ListParagraph"/>
        <w:numPr>
          <w:ilvl w:val="0"/>
          <w:numId w:val="370"/>
        </w:numPr>
        <w:spacing w:line="360" w:lineRule="auto"/>
        <w:jc w:val="both"/>
        <w:rPr>
          <w:rFonts w:ascii="Arial" w:hAnsi="Arial" w:cs="Arial"/>
        </w:rPr>
      </w:pPr>
      <w:r w:rsidRPr="00EA7665">
        <w:rPr>
          <w:rFonts w:ascii="Arial" w:hAnsi="Arial" w:cs="Arial"/>
        </w:rPr>
        <w:t>Legal framework</w:t>
      </w:r>
    </w:p>
    <w:p w14:paraId="332E9489" w14:textId="77777777" w:rsidR="00CD6352" w:rsidRPr="00EA7665" w:rsidRDefault="00CD6352" w:rsidP="007625E7">
      <w:pPr>
        <w:pStyle w:val="ListParagraph"/>
        <w:numPr>
          <w:ilvl w:val="0"/>
          <w:numId w:val="370"/>
        </w:numPr>
        <w:spacing w:line="360" w:lineRule="auto"/>
        <w:jc w:val="both"/>
        <w:rPr>
          <w:rFonts w:ascii="Arial" w:hAnsi="Arial" w:cs="Arial"/>
        </w:rPr>
      </w:pPr>
      <w:r w:rsidRPr="00EA7665">
        <w:rPr>
          <w:rFonts w:ascii="Arial" w:hAnsi="Arial" w:cs="Arial"/>
        </w:rPr>
        <w:t xml:space="preserve">Stringent conditions </w:t>
      </w:r>
    </w:p>
    <w:p w14:paraId="1D052DB4" w14:textId="72252E93" w:rsidR="00CD6352" w:rsidRPr="00EA7665" w:rsidRDefault="00CD6352" w:rsidP="00CD6352">
      <w:pPr>
        <w:spacing w:line="360" w:lineRule="auto"/>
        <w:rPr>
          <w:rFonts w:ascii="Arial" w:hAnsi="Arial" w:cs="Arial"/>
        </w:rPr>
      </w:pPr>
      <w:r w:rsidRPr="00EA7665">
        <w:rPr>
          <w:rFonts w:ascii="Arial" w:hAnsi="Arial" w:cs="Arial"/>
        </w:rPr>
        <w:t>The location</w:t>
      </w:r>
      <w:r w:rsidRPr="00EA7665">
        <w:rPr>
          <w:rFonts w:ascii="Arial" w:hAnsi="Arial" w:cs="Arial"/>
          <w:b/>
        </w:rPr>
        <w:t>-</w:t>
      </w:r>
      <w:r w:rsidRPr="00EA7665">
        <w:rPr>
          <w:rFonts w:ascii="Arial" w:hAnsi="Arial" w:cs="Arial"/>
        </w:rPr>
        <w:t>specific considerations are fundamental factors that could be opportunities or challenges to real estate project financing. These specific advantages could be sources of demand, geographical location, a large domestic market, high liquidity, purchasing power, tax policies or</w:t>
      </w:r>
      <w:r>
        <w:rPr>
          <w:rFonts w:ascii="Arial" w:hAnsi="Arial" w:cs="Arial"/>
        </w:rPr>
        <w:t xml:space="preserve"> a</w:t>
      </w:r>
      <w:r w:rsidRPr="00EA7665">
        <w:rPr>
          <w:rFonts w:ascii="Arial" w:hAnsi="Arial" w:cs="Arial"/>
        </w:rPr>
        <w:t xml:space="preserve"> lower level of political risk (Salem, 2011).</w:t>
      </w:r>
      <w:r w:rsidRPr="00EA7665">
        <w:rPr>
          <w:rFonts w:ascii="Arial" w:hAnsi="Arial" w:cs="Arial"/>
          <w:b/>
        </w:rPr>
        <w:t xml:space="preserve"> </w:t>
      </w:r>
      <w:r w:rsidRPr="00EA7665">
        <w:rPr>
          <w:rFonts w:ascii="Arial" w:hAnsi="Arial" w:cs="Arial"/>
        </w:rPr>
        <w:t>Location is a strategic factor that affects real estate project financing</w:t>
      </w:r>
      <w:r w:rsidR="000B5BC5">
        <w:rPr>
          <w:rFonts w:ascii="Arial" w:hAnsi="Arial" w:cs="Arial"/>
        </w:rPr>
        <w:t>; l</w:t>
      </w:r>
      <w:r w:rsidRPr="00EA7665">
        <w:rPr>
          <w:rFonts w:ascii="Arial" w:hAnsi="Arial" w:cs="Arial"/>
        </w:rPr>
        <w:t>ocation influences decisions on convenience, favourable and unfavourable exposure and price</w:t>
      </w:r>
      <w:r w:rsidR="000B5BC5">
        <w:rPr>
          <w:rFonts w:ascii="Arial" w:hAnsi="Arial" w:cs="Arial"/>
        </w:rPr>
        <w:t xml:space="preserve">. </w:t>
      </w:r>
      <w:r w:rsidRPr="00EA7665">
        <w:rPr>
          <w:rFonts w:ascii="Arial" w:hAnsi="Arial" w:cs="Arial"/>
        </w:rPr>
        <w:t xml:space="preserve"> Location factors can be categorised into competition, monopoly, income level, </w:t>
      </w:r>
      <w:r>
        <w:rPr>
          <w:rFonts w:ascii="Arial" w:hAnsi="Arial" w:cs="Arial"/>
        </w:rPr>
        <w:t xml:space="preserve">and </w:t>
      </w:r>
      <w:r w:rsidRPr="00EA7665">
        <w:rPr>
          <w:rFonts w:ascii="Arial" w:hAnsi="Arial" w:cs="Arial"/>
        </w:rPr>
        <w:t xml:space="preserve">supply and demand (Windapo, 2017). It also includes geographic location, natural features, and institutional and legal factors. Locations within the urban market confer </w:t>
      </w:r>
      <w:r w:rsidR="00B32017">
        <w:rPr>
          <w:rFonts w:ascii="Arial" w:hAnsi="Arial" w:cs="Arial"/>
        </w:rPr>
        <w:t xml:space="preserve">a </w:t>
      </w:r>
      <w:r w:rsidRPr="00EA7665">
        <w:rPr>
          <w:rFonts w:ascii="Arial" w:hAnsi="Arial" w:cs="Arial"/>
        </w:rPr>
        <w:t xml:space="preserve">particular advantage because the </w:t>
      </w:r>
      <w:r w:rsidR="007A7368">
        <w:rPr>
          <w:rFonts w:ascii="Arial" w:hAnsi="Arial" w:cs="Arial"/>
        </w:rPr>
        <w:t>real estate's valu</w:t>
      </w:r>
      <w:r w:rsidRPr="00EA7665">
        <w:rPr>
          <w:rFonts w:ascii="Arial" w:hAnsi="Arial" w:cs="Arial"/>
        </w:rPr>
        <w:t xml:space="preserve">e is essentially ascribed to locations (Lynn &amp; Wang, 2010). Real estate is very site and market-specific. A notable example is Nigeria, which could be potentially attractive for investors in the real estate sector because of the </w:t>
      </w:r>
      <w:r w:rsidR="000B5BC5">
        <w:rPr>
          <w:rFonts w:ascii="Arial" w:hAnsi="Arial" w:cs="Arial"/>
        </w:rPr>
        <w:t>oil industry's presence</w:t>
      </w:r>
      <w:r>
        <w:rPr>
          <w:rFonts w:ascii="Arial" w:hAnsi="Arial" w:cs="Arial"/>
        </w:rPr>
        <w:t xml:space="preserve"> and</w:t>
      </w:r>
      <w:r w:rsidRPr="00EA7665">
        <w:rPr>
          <w:rFonts w:ascii="Arial" w:hAnsi="Arial" w:cs="Arial"/>
        </w:rPr>
        <w:t xml:space="preserve"> </w:t>
      </w:r>
      <w:r w:rsidR="000B5BC5">
        <w:rPr>
          <w:rFonts w:ascii="Arial" w:hAnsi="Arial" w:cs="Arial"/>
        </w:rPr>
        <w:t>population growth. Still,</w:t>
      </w:r>
      <w:r w:rsidRPr="00EA7665">
        <w:rPr>
          <w:rFonts w:ascii="Arial" w:hAnsi="Arial" w:cs="Arial"/>
        </w:rPr>
        <w:t xml:space="preserve"> the </w:t>
      </w:r>
      <w:r w:rsidR="000B5BC5">
        <w:rPr>
          <w:rFonts w:ascii="Arial" w:hAnsi="Arial" w:cs="Arial"/>
        </w:rPr>
        <w:t>consider</w:t>
      </w:r>
      <w:r w:rsidRPr="00EA7665">
        <w:rPr>
          <w:rFonts w:ascii="Arial" w:hAnsi="Arial" w:cs="Arial"/>
        </w:rPr>
        <w:t>able challenge is terrorism threats (Ogbenjuwa et al., 2018).</w:t>
      </w:r>
    </w:p>
    <w:p w14:paraId="51BB84C9" w14:textId="77777777" w:rsidR="00BB7B7A" w:rsidRPr="00EA7665" w:rsidRDefault="00BB7B7A" w:rsidP="00CD6352">
      <w:pPr>
        <w:spacing w:after="0" w:line="360" w:lineRule="auto"/>
        <w:rPr>
          <w:rFonts w:ascii="Arial" w:hAnsi="Arial" w:cs="Arial"/>
        </w:rPr>
      </w:pPr>
    </w:p>
    <w:p w14:paraId="46945AE6" w14:textId="13A4A0B6" w:rsidR="00CD6352" w:rsidRDefault="002C0233" w:rsidP="00CD6352">
      <w:pPr>
        <w:pStyle w:val="Heading2"/>
        <w:spacing w:after="240"/>
        <w:rPr>
          <w:sz w:val="22"/>
          <w:szCs w:val="22"/>
        </w:rPr>
      </w:pPr>
      <w:bookmarkStart w:id="773" w:name="_Toc78983798"/>
      <w:r>
        <w:rPr>
          <w:sz w:val="22"/>
          <w:szCs w:val="22"/>
        </w:rPr>
        <w:lastRenderedPageBreak/>
        <w:t>A r</w:t>
      </w:r>
      <w:r w:rsidR="0077631B">
        <w:rPr>
          <w:sz w:val="22"/>
          <w:szCs w:val="22"/>
        </w:rPr>
        <w:t>eview of literature on the k</w:t>
      </w:r>
      <w:r w:rsidR="00CD6352">
        <w:rPr>
          <w:sz w:val="22"/>
          <w:szCs w:val="22"/>
        </w:rPr>
        <w:t>ey decisions and processes for securing finance for real estate project development</w:t>
      </w:r>
      <w:bookmarkEnd w:id="773"/>
      <w:r w:rsidR="00CD6352">
        <w:rPr>
          <w:sz w:val="22"/>
          <w:szCs w:val="22"/>
        </w:rPr>
        <w:t xml:space="preserve"> </w:t>
      </w:r>
    </w:p>
    <w:p w14:paraId="7D9B87B3" w14:textId="47048851" w:rsidR="0077631B" w:rsidRDefault="0077631B" w:rsidP="00CD6352">
      <w:pPr>
        <w:spacing w:line="360" w:lineRule="auto"/>
        <w:jc w:val="both"/>
        <w:rPr>
          <w:rFonts w:ascii="Arial" w:hAnsi="Arial" w:cs="Arial"/>
        </w:rPr>
      </w:pPr>
      <w:r>
        <w:rPr>
          <w:rFonts w:ascii="Arial" w:hAnsi="Arial" w:cs="Arial"/>
        </w:rPr>
        <w:t xml:space="preserve">This section provides </w:t>
      </w:r>
      <w:r w:rsidR="001F0C4B">
        <w:rPr>
          <w:rFonts w:ascii="Arial" w:hAnsi="Arial" w:cs="Arial"/>
        </w:rPr>
        <w:t xml:space="preserve">a </w:t>
      </w:r>
      <w:r>
        <w:rPr>
          <w:rFonts w:ascii="Arial" w:hAnsi="Arial" w:cs="Arial"/>
        </w:rPr>
        <w:t>review of literature on the third objective, which is “t</w:t>
      </w:r>
      <w:r w:rsidRPr="00BF1C35">
        <w:rPr>
          <w:rFonts w:ascii="Arial" w:hAnsi="Arial" w:cs="Arial"/>
        </w:rPr>
        <w:t>o document the processes and key decisions for securing finance for real estate project development</w:t>
      </w:r>
      <w:r>
        <w:rPr>
          <w:rFonts w:ascii="Arial" w:hAnsi="Arial" w:cs="Arial"/>
        </w:rPr>
        <w:t xml:space="preserve">”. </w:t>
      </w:r>
    </w:p>
    <w:p w14:paraId="446FFDB3" w14:textId="57BDB60C" w:rsidR="00CD6352" w:rsidRPr="00EA7665" w:rsidRDefault="00CD6352" w:rsidP="00CD6352">
      <w:pPr>
        <w:spacing w:line="360" w:lineRule="auto"/>
        <w:jc w:val="both"/>
        <w:rPr>
          <w:rFonts w:ascii="Arial" w:hAnsi="Arial" w:cs="Arial"/>
        </w:rPr>
      </w:pPr>
      <w:r w:rsidRPr="00CD6917">
        <w:rPr>
          <w:rFonts w:ascii="Arial" w:hAnsi="Arial" w:cs="Arial"/>
        </w:rPr>
        <w:t xml:space="preserve">There is no detailed work available that provides a comprehensive </w:t>
      </w:r>
      <w:r>
        <w:rPr>
          <w:rFonts w:ascii="Arial" w:hAnsi="Arial" w:cs="Arial"/>
        </w:rPr>
        <w:t xml:space="preserve">overview of </w:t>
      </w:r>
      <w:r w:rsidRPr="00CD6917">
        <w:rPr>
          <w:rFonts w:ascii="Arial" w:hAnsi="Arial" w:cs="Arial"/>
        </w:rPr>
        <w:t>decisions and processes associated with securing finance for real estate. However, the fundamental aspect of property development and investment is the initial decision</w:t>
      </w:r>
      <w:r w:rsidR="007A7368">
        <w:rPr>
          <w:rFonts w:ascii="Arial" w:hAnsi="Arial" w:cs="Arial"/>
        </w:rPr>
        <w:t>-making, where the developer or investor may have</w:t>
      </w:r>
      <w:r w:rsidRPr="00CD6917">
        <w:rPr>
          <w:rFonts w:ascii="Arial" w:hAnsi="Arial" w:cs="Arial"/>
        </w:rPr>
        <w:t xml:space="preserve"> to selec</w:t>
      </w:r>
      <w:r>
        <w:rPr>
          <w:rFonts w:ascii="Arial" w:hAnsi="Arial" w:cs="Arial"/>
        </w:rPr>
        <w:t>t</w:t>
      </w:r>
      <w:r w:rsidRPr="00CD6917">
        <w:rPr>
          <w:rFonts w:ascii="Arial" w:hAnsi="Arial" w:cs="Arial"/>
        </w:rPr>
        <w:t xml:space="preserve"> the best investment opportunity amongst available alternatives (Olaleye et al., 2014). The second stage is to do a feasibility study where the fundamental question of practicability of the development is asked; this appraisal stage involves the usage of financial models and calculations to analyse the profitability of the development proposal</w:t>
      </w:r>
      <w:r w:rsidRPr="00EA7665">
        <w:rPr>
          <w:rFonts w:ascii="Arial" w:hAnsi="Arial" w:cs="Arial"/>
        </w:rPr>
        <w:t xml:space="preserve"> and determine the returns that will accrue. It is essential to derive projections of variables such as rent, sales price, cost</w:t>
      </w:r>
      <w:r w:rsidR="007A7368">
        <w:rPr>
          <w:rFonts w:ascii="Arial" w:hAnsi="Arial" w:cs="Arial"/>
        </w:rPr>
        <w:t xml:space="preserve">, and other relevant variables to </w:t>
      </w:r>
      <w:r w:rsidR="00EB5EFE">
        <w:rPr>
          <w:rFonts w:ascii="Arial" w:hAnsi="Arial" w:cs="Arial"/>
        </w:rPr>
        <w:t>assess</w:t>
      </w:r>
      <w:r w:rsidR="007A7368">
        <w:rPr>
          <w:rFonts w:ascii="Arial" w:hAnsi="Arial" w:cs="Arial"/>
        </w:rPr>
        <w:t xml:space="preserve"> the proposed development's profitability</w:t>
      </w:r>
      <w:r w:rsidRPr="00EA7665">
        <w:rPr>
          <w:rFonts w:ascii="Arial" w:hAnsi="Arial" w:cs="Arial"/>
        </w:rPr>
        <w:t xml:space="preserve">. A well-prepared viability appraisal will protect the manager from </w:t>
      </w:r>
      <w:r w:rsidRPr="000C56B4">
        <w:rPr>
          <w:rFonts w:ascii="Arial" w:hAnsi="Arial" w:cs="Arial"/>
        </w:rPr>
        <w:t xml:space="preserve">risks and volatility (Rector, 2002). It is, therefore, essential to do thorough feasibility </w:t>
      </w:r>
      <w:r w:rsidR="004855B0" w:rsidRPr="000C56B4">
        <w:rPr>
          <w:rFonts w:ascii="Arial" w:hAnsi="Arial" w:cs="Arial"/>
        </w:rPr>
        <w:t>and</w:t>
      </w:r>
      <w:r w:rsidR="004855B0">
        <w:rPr>
          <w:rFonts w:ascii="Arial" w:hAnsi="Arial" w:cs="Arial"/>
        </w:rPr>
        <w:t xml:space="preserve"> </w:t>
      </w:r>
      <w:r w:rsidR="004855B0" w:rsidRPr="00EA7665">
        <w:rPr>
          <w:rFonts w:ascii="Arial" w:hAnsi="Arial" w:cs="Arial"/>
        </w:rPr>
        <w:t>viability</w:t>
      </w:r>
      <w:r w:rsidRPr="00EA7665">
        <w:rPr>
          <w:rFonts w:ascii="Arial" w:hAnsi="Arial" w:cs="Arial"/>
        </w:rPr>
        <w:t xml:space="preserve"> studies before securing finance</w:t>
      </w:r>
      <w:r>
        <w:rPr>
          <w:rFonts w:ascii="Arial" w:hAnsi="Arial" w:cs="Arial"/>
        </w:rPr>
        <w:t xml:space="preserve"> for real estate project development</w:t>
      </w:r>
      <w:r w:rsidRPr="00EA7665">
        <w:rPr>
          <w:rFonts w:ascii="Arial" w:hAnsi="Arial" w:cs="Arial"/>
        </w:rPr>
        <w:t>. Research shows that viability studies are often not done in several emerging economies such as Nigeria because it is not enforced by law</w:t>
      </w:r>
      <w:r w:rsidR="00EB5EFE">
        <w:rPr>
          <w:rFonts w:ascii="Arial" w:hAnsi="Arial" w:cs="Arial"/>
        </w:rPr>
        <w:t>;</w:t>
      </w:r>
      <w:r w:rsidRPr="00EA7665">
        <w:rPr>
          <w:rFonts w:ascii="Arial" w:hAnsi="Arial" w:cs="Arial"/>
        </w:rPr>
        <w:t xml:space="preserve"> hence</w:t>
      </w:r>
      <w:r w:rsidR="00EB5EFE">
        <w:rPr>
          <w:rFonts w:ascii="Arial" w:hAnsi="Arial" w:cs="Arial"/>
        </w:rPr>
        <w:t>, there are many</w:t>
      </w:r>
      <w:r w:rsidRPr="00EA7665">
        <w:rPr>
          <w:rFonts w:ascii="Arial" w:hAnsi="Arial" w:cs="Arial"/>
        </w:rPr>
        <w:t xml:space="preserve"> loan defaults and abandoned projects (Olaleye et al., 2014; Adejumo, 2000). This stage also helps estimate the possible levels of risks and uncertainties that may come up and provide</w:t>
      </w:r>
      <w:r w:rsidR="007A7368">
        <w:rPr>
          <w:rFonts w:ascii="Arial" w:hAnsi="Arial" w:cs="Arial"/>
        </w:rPr>
        <w:t xml:space="preserve"> a platform for mitigating</w:t>
      </w:r>
      <w:r w:rsidRPr="00EA7665">
        <w:rPr>
          <w:rFonts w:ascii="Arial" w:hAnsi="Arial" w:cs="Arial"/>
        </w:rPr>
        <w:t xml:space="preserve"> those risks</w:t>
      </w:r>
      <w:r>
        <w:rPr>
          <w:rFonts w:ascii="Arial" w:hAnsi="Arial" w:cs="Arial"/>
        </w:rPr>
        <w:t xml:space="preserve"> (</w:t>
      </w:r>
      <w:r w:rsidRPr="00EA7665">
        <w:rPr>
          <w:rFonts w:ascii="Arial" w:hAnsi="Arial" w:cs="Arial"/>
        </w:rPr>
        <w:t>Joseph. 2002</w:t>
      </w:r>
      <w:r>
        <w:rPr>
          <w:rFonts w:ascii="Arial" w:hAnsi="Arial" w:cs="Arial"/>
        </w:rPr>
        <w:t>)</w:t>
      </w:r>
      <w:r w:rsidRPr="00EA7665">
        <w:rPr>
          <w:rFonts w:ascii="Arial" w:hAnsi="Arial" w:cs="Arial"/>
        </w:rPr>
        <w:t xml:space="preserve">. </w:t>
      </w:r>
    </w:p>
    <w:p w14:paraId="17649532" w14:textId="1778B0CB" w:rsidR="00CD6352" w:rsidRPr="00EA7665" w:rsidRDefault="000109F0" w:rsidP="00CD6352">
      <w:pPr>
        <w:spacing w:line="360" w:lineRule="auto"/>
        <w:jc w:val="both"/>
        <w:rPr>
          <w:rFonts w:ascii="Arial" w:hAnsi="Arial" w:cs="Arial"/>
        </w:rPr>
      </w:pPr>
      <w:r>
        <w:rPr>
          <w:rFonts w:ascii="Arial" w:hAnsi="Arial" w:cs="Arial"/>
        </w:rPr>
        <w:t xml:space="preserve">According to </w:t>
      </w:r>
      <w:r w:rsidRPr="000109F0">
        <w:rPr>
          <w:rFonts w:ascii="Arial" w:hAnsi="Arial" w:cs="Arial"/>
        </w:rPr>
        <w:t>Olaleye et al.</w:t>
      </w:r>
      <w:r>
        <w:rPr>
          <w:rFonts w:ascii="Arial" w:hAnsi="Arial" w:cs="Arial"/>
        </w:rPr>
        <w:t xml:space="preserve"> (</w:t>
      </w:r>
      <w:r w:rsidRPr="000109F0">
        <w:rPr>
          <w:rFonts w:ascii="Arial" w:hAnsi="Arial" w:cs="Arial"/>
        </w:rPr>
        <w:t>2014</w:t>
      </w:r>
      <w:r>
        <w:rPr>
          <w:rFonts w:ascii="Arial" w:hAnsi="Arial" w:cs="Arial"/>
        </w:rPr>
        <w:t>), s</w:t>
      </w:r>
      <w:r w:rsidR="00CD6352" w:rsidRPr="00EA7665">
        <w:rPr>
          <w:rFonts w:ascii="Arial" w:hAnsi="Arial" w:cs="Arial"/>
        </w:rPr>
        <w:t xml:space="preserve">ome notable decision-making methods </w:t>
      </w:r>
      <w:r w:rsidR="00CD6352">
        <w:rPr>
          <w:rFonts w:ascii="Arial" w:hAnsi="Arial" w:cs="Arial"/>
        </w:rPr>
        <w:t>such as</w:t>
      </w:r>
      <w:r w:rsidR="00CD6352" w:rsidRPr="00EA7665">
        <w:rPr>
          <w:rFonts w:ascii="Arial" w:hAnsi="Arial" w:cs="Arial"/>
        </w:rPr>
        <w:t xml:space="preserve"> payback period (PBP), net present value (NPV) and Internal rate of return </w:t>
      </w:r>
      <w:r w:rsidR="004855B0" w:rsidRPr="00EA7665">
        <w:rPr>
          <w:rFonts w:ascii="Arial" w:hAnsi="Arial" w:cs="Arial"/>
        </w:rPr>
        <w:t>(IRR</w:t>
      </w:r>
      <w:r w:rsidR="00CD6352" w:rsidRPr="00EA7665">
        <w:rPr>
          <w:rFonts w:ascii="Arial" w:hAnsi="Arial" w:cs="Arial"/>
        </w:rPr>
        <w:t>) are often used in emerging economies like Nigeria</w:t>
      </w:r>
      <w:r>
        <w:rPr>
          <w:rFonts w:ascii="Arial" w:hAnsi="Arial" w:cs="Arial"/>
        </w:rPr>
        <w:t>.</w:t>
      </w:r>
      <w:r w:rsidR="00CD6352" w:rsidRPr="00EA7665">
        <w:rPr>
          <w:rFonts w:ascii="Arial" w:hAnsi="Arial" w:cs="Arial"/>
        </w:rPr>
        <w:t xml:space="preserve"> They all help determine how profitable the project will </w:t>
      </w:r>
      <w:r w:rsidR="00CD6352">
        <w:rPr>
          <w:rFonts w:ascii="Arial" w:hAnsi="Arial" w:cs="Arial"/>
        </w:rPr>
        <w:t xml:space="preserve">be </w:t>
      </w:r>
      <w:r w:rsidR="00CD6352" w:rsidRPr="00EA7665">
        <w:rPr>
          <w:rFonts w:ascii="Arial" w:hAnsi="Arial" w:cs="Arial"/>
        </w:rPr>
        <w:t xml:space="preserve">before you secure the </w:t>
      </w:r>
      <w:r w:rsidR="004855B0" w:rsidRPr="00EA7665">
        <w:rPr>
          <w:rFonts w:ascii="Arial" w:hAnsi="Arial" w:cs="Arial"/>
        </w:rPr>
        <w:t>finance</w:t>
      </w:r>
      <w:r>
        <w:rPr>
          <w:rFonts w:ascii="Arial" w:hAnsi="Arial" w:cs="Arial"/>
        </w:rPr>
        <w:t>—h</w:t>
      </w:r>
      <w:r w:rsidR="004855B0" w:rsidRPr="00EA7665">
        <w:rPr>
          <w:rFonts w:ascii="Arial" w:hAnsi="Arial" w:cs="Arial"/>
        </w:rPr>
        <w:t>owever</w:t>
      </w:r>
      <w:r w:rsidR="00CD6352" w:rsidRPr="00EA7665">
        <w:rPr>
          <w:rFonts w:ascii="Arial" w:hAnsi="Arial" w:cs="Arial"/>
        </w:rPr>
        <w:t xml:space="preserve">, more sophisticated investment decision-making practices and processes </w:t>
      </w:r>
      <w:r>
        <w:rPr>
          <w:rFonts w:ascii="Arial" w:hAnsi="Arial" w:cs="Arial"/>
        </w:rPr>
        <w:t xml:space="preserve">are used </w:t>
      </w:r>
      <w:r w:rsidR="00CD6352" w:rsidRPr="00EA7665">
        <w:rPr>
          <w:rFonts w:ascii="Arial" w:hAnsi="Arial" w:cs="Arial"/>
        </w:rPr>
        <w:t xml:space="preserve">in the United Kingdom. Marshall and Kennedy (1992) found out that 5 per cent of UK practitioners used Monte Carlo simulation while Louargand (1992) found out that 48 per cent and 7 per cent of </w:t>
      </w:r>
      <w:r w:rsidR="008D4A2A">
        <w:rPr>
          <w:rFonts w:ascii="Arial" w:hAnsi="Arial" w:cs="Arial"/>
        </w:rPr>
        <w:t xml:space="preserve">the </w:t>
      </w:r>
      <w:r w:rsidR="00CD6352" w:rsidRPr="00EA7665">
        <w:rPr>
          <w:rFonts w:ascii="Arial" w:hAnsi="Arial" w:cs="Arial"/>
        </w:rPr>
        <w:t>sampled population of real estate plan sponsors and advisers in the US use sensitivity analysis and mean-variance analysis</w:t>
      </w:r>
      <w:r w:rsidR="00CD6352">
        <w:rPr>
          <w:rFonts w:ascii="Arial" w:hAnsi="Arial" w:cs="Arial"/>
        </w:rPr>
        <w:t xml:space="preserve"> respectively</w:t>
      </w:r>
      <w:r w:rsidR="00CD6352" w:rsidRPr="00EA7665">
        <w:rPr>
          <w:rFonts w:ascii="Arial" w:hAnsi="Arial" w:cs="Arial"/>
        </w:rPr>
        <w:t xml:space="preserve"> (Olaleye et al., 2014). </w:t>
      </w:r>
    </w:p>
    <w:p w14:paraId="08BC587D" w14:textId="55A46923" w:rsidR="00CD6352" w:rsidRPr="00EA7665" w:rsidRDefault="00CD6352" w:rsidP="00CD6352">
      <w:pPr>
        <w:spacing w:line="360" w:lineRule="auto"/>
        <w:jc w:val="both"/>
        <w:rPr>
          <w:rFonts w:ascii="Arial" w:hAnsi="Arial" w:cs="Arial"/>
        </w:rPr>
      </w:pPr>
      <w:r w:rsidRPr="00EA7665">
        <w:rPr>
          <w:rFonts w:ascii="Arial" w:hAnsi="Arial" w:cs="Arial"/>
        </w:rPr>
        <w:t>All developments in the UK need planning permission</w:t>
      </w:r>
      <w:r w:rsidR="000109F0">
        <w:rPr>
          <w:rFonts w:ascii="Arial" w:hAnsi="Arial" w:cs="Arial"/>
        </w:rPr>
        <w:t>. T</w:t>
      </w:r>
      <w:r w:rsidRPr="00EA7665">
        <w:rPr>
          <w:rFonts w:ascii="Arial" w:hAnsi="Arial" w:cs="Arial"/>
        </w:rPr>
        <w:t xml:space="preserve">he 1947 TCP </w:t>
      </w:r>
      <w:r>
        <w:rPr>
          <w:rFonts w:ascii="Arial" w:hAnsi="Arial" w:cs="Arial"/>
        </w:rPr>
        <w:t>Act</w:t>
      </w:r>
      <w:r w:rsidRPr="00EA7665">
        <w:rPr>
          <w:rFonts w:ascii="Arial" w:hAnsi="Arial" w:cs="Arial"/>
        </w:rPr>
        <w:t xml:space="preserve">: section 55(1) of the 1990 </w:t>
      </w:r>
      <w:r>
        <w:rPr>
          <w:rFonts w:ascii="Arial" w:hAnsi="Arial" w:cs="Arial"/>
        </w:rPr>
        <w:t>Act</w:t>
      </w:r>
      <w:r w:rsidRPr="00EA7665">
        <w:rPr>
          <w:rFonts w:ascii="Arial" w:hAnsi="Arial" w:cs="Arial"/>
        </w:rPr>
        <w:t xml:space="preserve"> defines development as carrying out of the building, engineering, mining or other operations over a land (William and Wood, 1994).  The law also stipulates that if the developers are not the </w:t>
      </w:r>
      <w:r w:rsidR="00686D76">
        <w:rPr>
          <w:rFonts w:ascii="Arial" w:hAnsi="Arial" w:cs="Arial"/>
        </w:rPr>
        <w:t>l</w:t>
      </w:r>
      <w:r w:rsidR="000109F0">
        <w:rPr>
          <w:rFonts w:ascii="Arial" w:hAnsi="Arial" w:cs="Arial"/>
        </w:rPr>
        <w:t>es</w:t>
      </w:r>
      <w:r w:rsidR="00686D76">
        <w:rPr>
          <w:rFonts w:ascii="Arial" w:hAnsi="Arial" w:cs="Arial"/>
        </w:rPr>
        <w:t xml:space="preserve">sor </w:t>
      </w:r>
      <w:r w:rsidR="000109F0">
        <w:rPr>
          <w:rFonts w:ascii="Arial" w:hAnsi="Arial" w:cs="Arial"/>
        </w:rPr>
        <w:t>or the land owners</w:t>
      </w:r>
      <w:r w:rsidRPr="00EA7665">
        <w:rPr>
          <w:rFonts w:ascii="Arial" w:hAnsi="Arial" w:cs="Arial"/>
        </w:rPr>
        <w:t>, they must serve a notice on those who hold an interest in the land</w:t>
      </w:r>
      <w:r w:rsidR="000109F0">
        <w:rPr>
          <w:rFonts w:ascii="Arial" w:hAnsi="Arial" w:cs="Arial"/>
        </w:rPr>
        <w:t>. T</w:t>
      </w:r>
      <w:r w:rsidRPr="00EA7665">
        <w:rPr>
          <w:rFonts w:ascii="Arial" w:hAnsi="Arial" w:cs="Arial"/>
        </w:rPr>
        <w:t xml:space="preserve">hese applications are made to the councils where the land is situated. The council then determine the application within eight weeks. An environmental assessment is also required.  There is also a statutory requirement to prepare a development plan. The </w:t>
      </w:r>
      <w:r w:rsidRPr="00EA7665">
        <w:rPr>
          <w:rFonts w:ascii="Arial" w:hAnsi="Arial" w:cs="Arial"/>
        </w:rPr>
        <w:lastRenderedPageBreak/>
        <w:t>preparation of a development plan may take a couple of years. The first stage entails an extensive survey and consultation with a wide range of interested parties.</w:t>
      </w:r>
    </w:p>
    <w:p w14:paraId="3C9B652A" w14:textId="54795BEA" w:rsidR="00CD6352" w:rsidRPr="00EA7665" w:rsidRDefault="00CD6352" w:rsidP="00CD6352">
      <w:pPr>
        <w:spacing w:line="360" w:lineRule="auto"/>
        <w:jc w:val="both"/>
        <w:rPr>
          <w:rFonts w:ascii="Arial" w:hAnsi="Arial" w:cs="Arial"/>
        </w:rPr>
      </w:pPr>
      <w:r w:rsidRPr="003B1BCD">
        <w:rPr>
          <w:rFonts w:ascii="Arial" w:hAnsi="Arial" w:cs="Arial"/>
        </w:rPr>
        <w:t>The</w:t>
      </w:r>
      <w:r w:rsidR="000109F0">
        <w:rPr>
          <w:rFonts w:ascii="Arial" w:hAnsi="Arial" w:cs="Arial"/>
        </w:rPr>
        <w:t>re is no detailed work available that provides comprehensive decisions and processes associated with securing finance for real estate project development. The different processes and decisions can be organised through a process map. This is for ease of understanding the various decisions taken in</w:t>
      </w:r>
      <w:r w:rsidRPr="003B1BCD">
        <w:rPr>
          <w:rFonts w:ascii="Arial" w:hAnsi="Arial" w:cs="Arial"/>
        </w:rPr>
        <w:t xml:space="preserve"> securing finance for real estate</w:t>
      </w:r>
      <w:r>
        <w:rPr>
          <w:rFonts w:ascii="Arial" w:hAnsi="Arial" w:cs="Arial"/>
        </w:rPr>
        <w:t xml:space="preserve"> project development. </w:t>
      </w:r>
      <w:r w:rsidRPr="00EA7665">
        <w:rPr>
          <w:rFonts w:ascii="Arial" w:hAnsi="Arial" w:cs="Arial"/>
        </w:rPr>
        <w:t>The ultimate objective of process mapping is to understand and dissect a given process as it is presently performed to create an improvement. Understanding the process map could reduce financing application and disbursement time</w:t>
      </w:r>
      <w:r w:rsidR="000109F0">
        <w:rPr>
          <w:rFonts w:ascii="Arial" w:hAnsi="Arial" w:cs="Arial"/>
        </w:rPr>
        <w:t>.</w:t>
      </w:r>
      <w:r w:rsidRPr="00EA7665">
        <w:rPr>
          <w:rFonts w:ascii="Arial" w:hAnsi="Arial" w:cs="Arial"/>
        </w:rPr>
        <w:t xml:space="preserve"> A good process map could increase access to project development finance because it reduces the time required for the process cycle</w:t>
      </w:r>
      <w:r w:rsidR="007A7368">
        <w:rPr>
          <w:rFonts w:ascii="Arial" w:hAnsi="Arial" w:cs="Arial"/>
        </w:rPr>
        <w:t xml:space="preserve"> and</w:t>
      </w:r>
      <w:r w:rsidRPr="00EA7665">
        <w:rPr>
          <w:rFonts w:ascii="Arial" w:hAnsi="Arial" w:cs="Arial"/>
        </w:rPr>
        <w:t xml:space="preserve"> increases efficiency</w:t>
      </w:r>
      <w:r w:rsidR="003D0562">
        <w:rPr>
          <w:rFonts w:ascii="Arial" w:hAnsi="Arial" w:cs="Arial"/>
        </w:rPr>
        <w:t xml:space="preserve">. </w:t>
      </w:r>
      <w:r w:rsidRPr="00EA7665">
        <w:rPr>
          <w:rFonts w:ascii="Arial" w:hAnsi="Arial" w:cs="Arial"/>
        </w:rPr>
        <w:t xml:space="preserve">The </w:t>
      </w:r>
      <w:r>
        <w:rPr>
          <w:rFonts w:ascii="Arial" w:hAnsi="Arial" w:cs="Arial"/>
        </w:rPr>
        <w:t>p</w:t>
      </w:r>
      <w:r w:rsidRPr="00EA7665">
        <w:rPr>
          <w:rFonts w:ascii="Arial" w:hAnsi="Arial" w:cs="Arial"/>
        </w:rPr>
        <w:t xml:space="preserve">rocess map includes end to end clarity, transparency, higher productivity, fewer days, greater compliance, risk identification and significant training resource </w:t>
      </w:r>
      <w:bookmarkStart w:id="774" w:name="_Hlk64374177"/>
      <w:r w:rsidRPr="00EA7665">
        <w:rPr>
          <w:rFonts w:ascii="Arial" w:hAnsi="Arial" w:cs="Arial"/>
        </w:rPr>
        <w:t>(Achuthan, 2018</w:t>
      </w:r>
      <w:r w:rsidR="003D0562">
        <w:rPr>
          <w:rFonts w:ascii="Arial" w:hAnsi="Arial" w:cs="Arial"/>
        </w:rPr>
        <w:t xml:space="preserve">; </w:t>
      </w:r>
      <w:r w:rsidR="003D0562" w:rsidRPr="003D0562">
        <w:rPr>
          <w:rFonts w:ascii="Arial" w:hAnsi="Arial" w:cs="Arial"/>
        </w:rPr>
        <w:t>Water.org, 2015</w:t>
      </w:r>
      <w:r w:rsidRPr="00EA7665">
        <w:rPr>
          <w:rFonts w:ascii="Arial" w:hAnsi="Arial" w:cs="Arial"/>
        </w:rPr>
        <w:t>).</w:t>
      </w:r>
      <w:bookmarkEnd w:id="774"/>
    </w:p>
    <w:p w14:paraId="3084C71D" w14:textId="73182122" w:rsidR="00CD6352" w:rsidRDefault="00CD6352" w:rsidP="00CD6352">
      <w:pPr>
        <w:spacing w:line="360" w:lineRule="auto"/>
        <w:jc w:val="both"/>
        <w:rPr>
          <w:rFonts w:ascii="Arial" w:hAnsi="Arial" w:cs="Arial"/>
        </w:rPr>
      </w:pPr>
      <w:r w:rsidRPr="00EA7665">
        <w:rPr>
          <w:rFonts w:ascii="Arial" w:hAnsi="Arial" w:cs="Arial"/>
        </w:rPr>
        <w:t>Equity and debt financiers w</w:t>
      </w:r>
      <w:r w:rsidR="00D74D24">
        <w:rPr>
          <w:rFonts w:ascii="Arial" w:hAnsi="Arial" w:cs="Arial"/>
        </w:rPr>
        <w:t>ould</w:t>
      </w:r>
      <w:r w:rsidRPr="00EA7665">
        <w:rPr>
          <w:rFonts w:ascii="Arial" w:hAnsi="Arial" w:cs="Arial"/>
        </w:rPr>
        <w:t xml:space="preserve"> like to know the </w:t>
      </w:r>
      <w:r w:rsidR="007A7368">
        <w:rPr>
          <w:rFonts w:ascii="Arial" w:hAnsi="Arial" w:cs="Arial"/>
        </w:rPr>
        <w:t>project's economic significance</w:t>
      </w:r>
      <w:r w:rsidRPr="00EA7665">
        <w:rPr>
          <w:rFonts w:ascii="Arial" w:hAnsi="Arial" w:cs="Arial"/>
        </w:rPr>
        <w:t xml:space="preserve"> and potential risks; they want to monitor the</w:t>
      </w:r>
      <w:r w:rsidR="00475B9B">
        <w:rPr>
          <w:rFonts w:ascii="Arial" w:hAnsi="Arial" w:cs="Arial"/>
        </w:rPr>
        <w:t>ir investment performance</w:t>
      </w:r>
      <w:r w:rsidR="003D0562">
        <w:rPr>
          <w:rFonts w:ascii="Arial" w:hAnsi="Arial" w:cs="Arial"/>
        </w:rPr>
        <w:t>,</w:t>
      </w:r>
      <w:r w:rsidRPr="00EA7665">
        <w:rPr>
          <w:rFonts w:ascii="Arial" w:hAnsi="Arial" w:cs="Arial"/>
        </w:rPr>
        <w:t xml:space="preserve"> pricing, structuring, and evaluation</w:t>
      </w:r>
      <w:r w:rsidR="003D0562">
        <w:rPr>
          <w:rFonts w:ascii="Arial" w:hAnsi="Arial" w:cs="Arial"/>
        </w:rPr>
        <w:t>.</w:t>
      </w:r>
      <w:r w:rsidRPr="00EA7665">
        <w:rPr>
          <w:rFonts w:ascii="Arial" w:hAnsi="Arial" w:cs="Arial"/>
        </w:rPr>
        <w:t xml:space="preserve"> Equity and debt pre-investment processes often involve activities related to search, the initial screening by potential investors and due diligence. The investment events include contract negotiation and determination of the conditions of the offer. The</w:t>
      </w:r>
      <w:r w:rsidR="007A7368">
        <w:rPr>
          <w:rFonts w:ascii="Arial" w:hAnsi="Arial" w:cs="Arial"/>
        </w:rPr>
        <w:t xml:space="preserve"> post-investment period</w:t>
      </w:r>
      <w:r w:rsidRPr="00EA7665">
        <w:rPr>
          <w:rFonts w:ascii="Arial" w:hAnsi="Arial" w:cs="Arial"/>
        </w:rPr>
        <w:t xml:space="preserve"> provides f</w:t>
      </w:r>
      <w:r w:rsidR="003D0562">
        <w:rPr>
          <w:rFonts w:ascii="Arial" w:hAnsi="Arial" w:cs="Arial"/>
        </w:rPr>
        <w:t>uture financing rounds</w:t>
      </w:r>
      <w:r w:rsidRPr="00EA7665">
        <w:rPr>
          <w:rFonts w:ascii="Arial" w:hAnsi="Arial" w:cs="Arial"/>
        </w:rPr>
        <w:t xml:space="preserve"> and the eventual exit (Amatucci and Sohi, 2004).</w:t>
      </w:r>
    </w:p>
    <w:p w14:paraId="7DEED195" w14:textId="13BEF2C7" w:rsidR="003D0562" w:rsidRDefault="003D0562" w:rsidP="00CD6352">
      <w:pPr>
        <w:spacing w:line="360" w:lineRule="auto"/>
        <w:jc w:val="both"/>
        <w:rPr>
          <w:rFonts w:ascii="Arial" w:hAnsi="Arial" w:cs="Arial"/>
        </w:rPr>
      </w:pPr>
      <w:r>
        <w:rPr>
          <w:rFonts w:ascii="Arial" w:hAnsi="Arial" w:cs="Arial"/>
        </w:rPr>
        <w:t xml:space="preserve">There is no significant evidence from </w:t>
      </w:r>
      <w:r w:rsidR="00CE2425">
        <w:rPr>
          <w:rFonts w:ascii="Arial" w:hAnsi="Arial" w:cs="Arial"/>
        </w:rPr>
        <w:t xml:space="preserve">the </w:t>
      </w:r>
      <w:r>
        <w:rPr>
          <w:rFonts w:ascii="Arial" w:hAnsi="Arial" w:cs="Arial"/>
        </w:rPr>
        <w:t xml:space="preserve">literature on the key processes and decisions managers undertake in securing </w:t>
      </w:r>
      <w:r w:rsidR="00CE2425">
        <w:rPr>
          <w:rFonts w:ascii="Arial" w:hAnsi="Arial" w:cs="Arial"/>
        </w:rPr>
        <w:t>real estate project development finance</w:t>
      </w:r>
      <w:r>
        <w:rPr>
          <w:rFonts w:ascii="Arial" w:hAnsi="Arial" w:cs="Arial"/>
        </w:rPr>
        <w:t xml:space="preserve">. Consequently, the semi-structured interview and questionnaire survey questions </w:t>
      </w:r>
      <w:r w:rsidR="004B6C4B">
        <w:rPr>
          <w:rFonts w:ascii="Arial" w:hAnsi="Arial" w:cs="Arial"/>
        </w:rPr>
        <w:t>would be open</w:t>
      </w:r>
      <w:r w:rsidR="00CE2425">
        <w:rPr>
          <w:rFonts w:ascii="Arial" w:hAnsi="Arial" w:cs="Arial"/>
        </w:rPr>
        <w:t>-</w:t>
      </w:r>
      <w:r w:rsidR="004B6C4B">
        <w:rPr>
          <w:rFonts w:ascii="Arial" w:hAnsi="Arial" w:cs="Arial"/>
        </w:rPr>
        <w:t xml:space="preserve">ended questions in chapter 7. This would give some degree of independence to the respondents to articulate the key processes and decisions they undertake in securing finance for real estate project development. The findings would then provide a platform for </w:t>
      </w:r>
      <w:r w:rsidR="00CE2425">
        <w:rPr>
          <w:rFonts w:ascii="Arial" w:hAnsi="Arial" w:cs="Arial"/>
        </w:rPr>
        <w:t>developing</w:t>
      </w:r>
      <w:r w:rsidR="004B6C4B">
        <w:rPr>
          <w:rFonts w:ascii="Arial" w:hAnsi="Arial" w:cs="Arial"/>
        </w:rPr>
        <w:t xml:space="preserve"> the process map for securing finance for real estate project development in chapter 7</w:t>
      </w:r>
      <w:r w:rsidR="00CE2425">
        <w:rPr>
          <w:rFonts w:ascii="Arial" w:hAnsi="Arial" w:cs="Arial"/>
        </w:rPr>
        <w:t>, which</w:t>
      </w:r>
      <w:r w:rsidR="004B6C4B">
        <w:rPr>
          <w:rFonts w:ascii="Arial" w:hAnsi="Arial" w:cs="Arial"/>
        </w:rPr>
        <w:t xml:space="preserve"> forms one of the components of the toolkit for securing finance for real estate project development in chapter 10.</w:t>
      </w:r>
    </w:p>
    <w:p w14:paraId="12D56160" w14:textId="10D6988B" w:rsidR="00CD6352" w:rsidRDefault="00FD300F" w:rsidP="00CD6352">
      <w:pPr>
        <w:pStyle w:val="Heading2"/>
        <w:spacing w:after="240" w:line="360" w:lineRule="auto"/>
        <w:jc w:val="both"/>
        <w:rPr>
          <w:rFonts w:cs="Arial"/>
          <w:sz w:val="22"/>
          <w:szCs w:val="22"/>
        </w:rPr>
      </w:pPr>
      <w:bookmarkStart w:id="775" w:name="_Toc77939268"/>
      <w:bookmarkStart w:id="776" w:name="_Toc77949062"/>
      <w:bookmarkStart w:id="777" w:name="_Toc78983799"/>
      <w:bookmarkEnd w:id="775"/>
      <w:bookmarkEnd w:id="776"/>
      <w:r>
        <w:rPr>
          <w:rFonts w:cs="Arial"/>
          <w:sz w:val="22"/>
          <w:szCs w:val="22"/>
        </w:rPr>
        <w:t>A review of literature on m</w:t>
      </w:r>
      <w:r w:rsidR="00CD6352">
        <w:rPr>
          <w:rFonts w:cs="Arial"/>
          <w:sz w:val="22"/>
          <w:szCs w:val="22"/>
        </w:rPr>
        <w:t>anagement skills, knowledge, competences, career path, training and education for securing finance for real estate project development</w:t>
      </w:r>
      <w:bookmarkEnd w:id="777"/>
      <w:r w:rsidR="00CD6352">
        <w:rPr>
          <w:rFonts w:cs="Arial"/>
          <w:sz w:val="22"/>
          <w:szCs w:val="22"/>
        </w:rPr>
        <w:t xml:space="preserve"> </w:t>
      </w:r>
    </w:p>
    <w:p w14:paraId="3DA975ED" w14:textId="24B60CE0" w:rsidR="002C0233" w:rsidRDefault="002C0233" w:rsidP="00CD6352">
      <w:pPr>
        <w:spacing w:line="360" w:lineRule="auto"/>
        <w:rPr>
          <w:rFonts w:ascii="Arial" w:hAnsi="Arial" w:cs="Arial"/>
        </w:rPr>
      </w:pPr>
      <w:r>
        <w:rPr>
          <w:rFonts w:ascii="Arial" w:hAnsi="Arial" w:cs="Arial"/>
        </w:rPr>
        <w:t xml:space="preserve">This section provides </w:t>
      </w:r>
      <w:r w:rsidR="002B4160">
        <w:rPr>
          <w:rFonts w:ascii="Arial" w:hAnsi="Arial" w:cs="Arial"/>
        </w:rPr>
        <w:t xml:space="preserve">a </w:t>
      </w:r>
      <w:r>
        <w:rPr>
          <w:rFonts w:ascii="Arial" w:hAnsi="Arial" w:cs="Arial"/>
        </w:rPr>
        <w:t xml:space="preserve">review of literature for the fourth objective of this study which </w:t>
      </w:r>
      <w:r w:rsidR="00FD0144">
        <w:rPr>
          <w:rFonts w:ascii="Arial" w:hAnsi="Arial" w:cs="Arial"/>
        </w:rPr>
        <w:t>is,</w:t>
      </w:r>
      <w:r>
        <w:rPr>
          <w:rFonts w:ascii="Arial" w:hAnsi="Arial" w:cs="Arial"/>
        </w:rPr>
        <w:t xml:space="preserve"> </w:t>
      </w:r>
      <w:r w:rsidR="00FD0144">
        <w:rPr>
          <w:rFonts w:ascii="Arial" w:hAnsi="Arial" w:cs="Arial"/>
        </w:rPr>
        <w:t>“t</w:t>
      </w:r>
      <w:r w:rsidR="00FD0144" w:rsidRPr="00BF1C35">
        <w:rPr>
          <w:rFonts w:ascii="Arial" w:hAnsi="Arial" w:cs="Arial"/>
        </w:rPr>
        <w:t>o identify and document the skills, knowledge, and competences and ascertain the training background, education, and career pathway, the real estate development manager</w:t>
      </w:r>
      <w:r w:rsidR="007823FF">
        <w:rPr>
          <w:rFonts w:ascii="Arial" w:hAnsi="Arial" w:cs="Arial"/>
        </w:rPr>
        <w:t>,</w:t>
      </w:r>
      <w:r w:rsidR="00FD0144" w:rsidRPr="00BF1C35">
        <w:rPr>
          <w:rFonts w:ascii="Arial" w:hAnsi="Arial" w:cs="Arial"/>
        </w:rPr>
        <w:t xml:space="preserve"> needs to secure finance for real estate project development</w:t>
      </w:r>
      <w:r w:rsidR="00BF6FDD">
        <w:rPr>
          <w:rFonts w:ascii="Arial" w:hAnsi="Arial" w:cs="Arial"/>
        </w:rPr>
        <w:t>”.</w:t>
      </w:r>
    </w:p>
    <w:p w14:paraId="1F05499D" w14:textId="5D0E2DC6" w:rsidR="00CD6352" w:rsidRPr="00A71294" w:rsidRDefault="00CD6352" w:rsidP="00CD6352">
      <w:pPr>
        <w:spacing w:line="360" w:lineRule="auto"/>
        <w:rPr>
          <w:rFonts w:ascii="Arial" w:hAnsi="Arial" w:cs="Arial"/>
        </w:rPr>
      </w:pPr>
      <w:r w:rsidRPr="00555BD9">
        <w:rPr>
          <w:rFonts w:ascii="Arial" w:hAnsi="Arial" w:cs="Arial"/>
        </w:rPr>
        <w:lastRenderedPageBreak/>
        <w:t xml:space="preserve">There </w:t>
      </w:r>
      <w:r w:rsidR="00E04E87">
        <w:rPr>
          <w:rFonts w:ascii="Arial" w:hAnsi="Arial" w:cs="Arial"/>
        </w:rPr>
        <w:t>is</w:t>
      </w:r>
      <w:r w:rsidR="00BF6FDD">
        <w:rPr>
          <w:rFonts w:ascii="Arial" w:hAnsi="Arial" w:cs="Arial"/>
        </w:rPr>
        <w:t xml:space="preserve"> </w:t>
      </w:r>
      <w:r w:rsidRPr="00555BD9">
        <w:rPr>
          <w:rFonts w:ascii="Arial" w:hAnsi="Arial" w:cs="Arial"/>
        </w:rPr>
        <w:t xml:space="preserve">no existing literature on management skills, knowledge, competences, career path, or training and education for securing finance for real estate project </w:t>
      </w:r>
      <w:r w:rsidR="00956349" w:rsidRPr="00555BD9">
        <w:rPr>
          <w:rFonts w:ascii="Arial" w:hAnsi="Arial" w:cs="Arial"/>
        </w:rPr>
        <w:t>development.</w:t>
      </w:r>
      <w:r w:rsidRPr="00555BD9">
        <w:rPr>
          <w:rFonts w:ascii="Arial" w:hAnsi="Arial" w:cs="Arial"/>
        </w:rPr>
        <w:t xml:space="preserve"> However, </w:t>
      </w:r>
      <w:r w:rsidR="007823FF">
        <w:rPr>
          <w:rFonts w:ascii="Arial" w:hAnsi="Arial" w:cs="Arial"/>
        </w:rPr>
        <w:t>reviewing</w:t>
      </w:r>
      <w:r w:rsidRPr="00555BD9">
        <w:rPr>
          <w:rFonts w:ascii="Arial" w:hAnsi="Arial" w:cs="Arial"/>
        </w:rPr>
        <w:t xml:space="preserve"> some literature</w:t>
      </w:r>
      <w:r w:rsidR="00555BD9">
        <w:rPr>
          <w:rFonts w:ascii="Arial" w:hAnsi="Arial" w:cs="Arial"/>
        </w:rPr>
        <w:t xml:space="preserve"> and theories </w:t>
      </w:r>
      <w:r w:rsidRPr="00555BD9">
        <w:rPr>
          <w:rFonts w:ascii="Arial" w:hAnsi="Arial" w:cs="Arial"/>
        </w:rPr>
        <w:t>on management skills, knowledge, competences, career path, and training and education will form a platform for some findings of these</w:t>
      </w:r>
      <w:r>
        <w:rPr>
          <w:rFonts w:ascii="Arial" w:hAnsi="Arial" w:cs="Arial"/>
        </w:rPr>
        <w:t xml:space="preserve"> </w:t>
      </w:r>
      <w:r w:rsidR="00956349">
        <w:rPr>
          <w:rFonts w:ascii="Arial" w:hAnsi="Arial" w:cs="Arial"/>
        </w:rPr>
        <w:t>constructs</w:t>
      </w:r>
      <w:r w:rsidR="007823FF">
        <w:rPr>
          <w:rFonts w:ascii="Arial" w:hAnsi="Arial" w:cs="Arial"/>
        </w:rPr>
        <w:t xml:space="preserve"> </w:t>
      </w:r>
      <w:r w:rsidR="00AF0D40">
        <w:rPr>
          <w:rFonts w:ascii="Arial" w:hAnsi="Arial" w:cs="Arial"/>
        </w:rPr>
        <w:t>pertaining</w:t>
      </w:r>
      <w:r w:rsidR="007823FF">
        <w:rPr>
          <w:rFonts w:ascii="Arial" w:hAnsi="Arial" w:cs="Arial"/>
        </w:rPr>
        <w:t xml:space="preserve"> to real estate development finance</w:t>
      </w:r>
      <w:r w:rsidR="00956349">
        <w:rPr>
          <w:rFonts w:ascii="Arial" w:hAnsi="Arial" w:cs="Arial"/>
        </w:rPr>
        <w:t>.</w:t>
      </w:r>
      <w:r w:rsidR="00555BD9">
        <w:rPr>
          <w:rFonts w:ascii="Arial" w:hAnsi="Arial" w:cs="Arial"/>
        </w:rPr>
        <w:t xml:space="preserve"> This would </w:t>
      </w:r>
      <w:r w:rsidR="002C0233">
        <w:rPr>
          <w:rFonts w:ascii="Arial" w:hAnsi="Arial" w:cs="Arial"/>
        </w:rPr>
        <w:t xml:space="preserve">help </w:t>
      </w:r>
      <w:r w:rsidR="00555BD9">
        <w:rPr>
          <w:rFonts w:ascii="Arial" w:hAnsi="Arial" w:cs="Arial"/>
        </w:rPr>
        <w:t xml:space="preserve">bridge the gap in knowledge with respect to skills, knowledge, </w:t>
      </w:r>
      <w:r w:rsidR="00555BD9" w:rsidRPr="002C0233">
        <w:rPr>
          <w:rFonts w:ascii="Arial" w:hAnsi="Arial" w:cs="Arial"/>
        </w:rPr>
        <w:t xml:space="preserve">competences, career path, </w:t>
      </w:r>
      <w:r w:rsidR="002C0233" w:rsidRPr="002C0233">
        <w:rPr>
          <w:rFonts w:ascii="Arial" w:hAnsi="Arial" w:cs="Arial"/>
        </w:rPr>
        <w:t>training,</w:t>
      </w:r>
      <w:r w:rsidR="00555BD9" w:rsidRPr="002C0233">
        <w:rPr>
          <w:rFonts w:ascii="Arial" w:hAnsi="Arial" w:cs="Arial"/>
        </w:rPr>
        <w:t xml:space="preserve"> and education for securing finance for real estate project development.</w:t>
      </w:r>
    </w:p>
    <w:p w14:paraId="28E5C62E" w14:textId="77777777" w:rsidR="00CD6352" w:rsidRPr="00AF527E" w:rsidRDefault="00CD6352" w:rsidP="00CD6352">
      <w:pPr>
        <w:pStyle w:val="Heading3"/>
        <w:spacing w:line="360" w:lineRule="auto"/>
        <w:jc w:val="both"/>
        <w:rPr>
          <w:rFonts w:eastAsia="Calibri" w:cs="Arial"/>
          <w:sz w:val="22"/>
          <w:szCs w:val="22"/>
          <w:lang w:val="en-US"/>
        </w:rPr>
      </w:pPr>
      <w:bookmarkStart w:id="778" w:name="_Toc78983800"/>
      <w:r w:rsidRPr="00AF527E">
        <w:rPr>
          <w:rFonts w:eastAsia="Calibri" w:cs="Arial"/>
          <w:sz w:val="22"/>
          <w:szCs w:val="22"/>
          <w:lang w:val="en-US"/>
        </w:rPr>
        <w:t>Management skills: Definition and Characteristics</w:t>
      </w:r>
      <w:bookmarkEnd w:id="778"/>
      <w:r w:rsidRPr="00AF527E">
        <w:rPr>
          <w:rFonts w:eastAsia="Calibri" w:cs="Arial"/>
          <w:sz w:val="22"/>
          <w:szCs w:val="22"/>
          <w:lang w:val="en-US"/>
        </w:rPr>
        <w:t xml:space="preserve"> </w:t>
      </w:r>
    </w:p>
    <w:p w14:paraId="11F0AAC1" w14:textId="16E66BFC" w:rsidR="00CD6352" w:rsidRPr="00EA7665" w:rsidRDefault="00CD6352" w:rsidP="00CD6352">
      <w:pPr>
        <w:spacing w:line="360" w:lineRule="auto"/>
        <w:jc w:val="both"/>
        <w:rPr>
          <w:rFonts w:ascii="Arial" w:eastAsia="Calibri" w:hAnsi="Arial" w:cs="Arial"/>
        </w:rPr>
      </w:pPr>
      <w:r w:rsidRPr="00AF527E">
        <w:rPr>
          <w:rFonts w:ascii="Arial" w:hAnsi="Arial" w:cs="Arial"/>
        </w:rPr>
        <w:t xml:space="preserve">Bayatzis (1982) described skills as the sequence of behaviour that is functionally related to attaining a performance </w:t>
      </w:r>
      <w:r w:rsidR="00956349" w:rsidRPr="00AF527E">
        <w:rPr>
          <w:rFonts w:ascii="Arial" w:hAnsi="Arial" w:cs="Arial"/>
        </w:rPr>
        <w:t>goal and</w:t>
      </w:r>
      <w:r w:rsidR="007A7368">
        <w:rPr>
          <w:rFonts w:ascii="Arial" w:hAnsi="Arial" w:cs="Arial"/>
        </w:rPr>
        <w:t>, therefore, associated with performing</w:t>
      </w:r>
      <w:r w:rsidRPr="00AF527E">
        <w:rPr>
          <w:rFonts w:ascii="Arial" w:hAnsi="Arial" w:cs="Arial"/>
        </w:rPr>
        <w:t xml:space="preserve"> a task well</w:t>
      </w:r>
      <w:r>
        <w:rPr>
          <w:rFonts w:ascii="Arial" w:hAnsi="Arial" w:cs="Arial"/>
        </w:rPr>
        <w:t xml:space="preserve"> </w:t>
      </w:r>
      <w:r w:rsidRPr="00AF527E">
        <w:rPr>
          <w:rFonts w:ascii="Arial" w:hAnsi="Arial" w:cs="Arial"/>
        </w:rPr>
        <w:t xml:space="preserve">(Scott &amp; Rochester, 1984). </w:t>
      </w:r>
      <w:r w:rsidRPr="00AF527E">
        <w:rPr>
          <w:rFonts w:ascii="Arial" w:eastAsia="Times New Roman" w:hAnsi="Arial" w:cs="Arial"/>
          <w:color w:val="000000"/>
        </w:rPr>
        <w:t>According to Spencer</w:t>
      </w:r>
      <w:r w:rsidRPr="00AF527E">
        <w:rPr>
          <w:rFonts w:ascii="Arial" w:eastAsia="Times New Roman" w:hAnsi="Arial" w:cs="Arial"/>
          <w:color w:val="365F91"/>
        </w:rPr>
        <w:t xml:space="preserve"> </w:t>
      </w:r>
      <w:r w:rsidRPr="00AF527E">
        <w:rPr>
          <w:rFonts w:ascii="Arial" w:eastAsia="Times New Roman" w:hAnsi="Arial" w:cs="Arial"/>
          <w:color w:val="000000"/>
        </w:rPr>
        <w:t xml:space="preserve">(1993), skill is the ability to perform </w:t>
      </w:r>
      <w:r w:rsidR="008D4A2A">
        <w:rPr>
          <w:rFonts w:ascii="Arial" w:eastAsia="Times New Roman" w:hAnsi="Arial" w:cs="Arial"/>
          <w:color w:val="000000"/>
        </w:rPr>
        <w:t>a</w:t>
      </w:r>
      <w:r w:rsidRPr="00AF527E">
        <w:rPr>
          <w:rFonts w:ascii="Arial" w:eastAsia="Times New Roman" w:hAnsi="Arial" w:cs="Arial"/>
          <w:color w:val="000000"/>
        </w:rPr>
        <w:t xml:space="preserve"> physical or mental task, and it can be acquired through training and practice. Boyatzis (1982) sees skills as ‘actions that lead to positive </w:t>
      </w:r>
      <w:r w:rsidR="00956349" w:rsidRPr="00AF527E">
        <w:rPr>
          <w:rFonts w:ascii="Arial" w:eastAsia="Times New Roman" w:hAnsi="Arial" w:cs="Arial"/>
          <w:color w:val="000000"/>
        </w:rPr>
        <w:t>outcomes</w:t>
      </w:r>
      <w:r w:rsidRPr="00AF527E">
        <w:rPr>
          <w:rFonts w:ascii="Arial" w:eastAsia="Times New Roman" w:hAnsi="Arial" w:cs="Arial"/>
          <w:color w:val="000000"/>
        </w:rPr>
        <w:t xml:space="preserve">. This study adopts the definition by the </w:t>
      </w:r>
      <w:r w:rsidRPr="00AF527E">
        <w:rPr>
          <w:rFonts w:ascii="Arial" w:eastAsia="Calibri" w:hAnsi="Arial" w:cs="Arial"/>
        </w:rPr>
        <w:t>IPMA (2015),</w:t>
      </w:r>
      <w:r w:rsidRPr="00AF527E">
        <w:rPr>
          <w:rFonts w:ascii="Arial" w:eastAsia="Times New Roman" w:hAnsi="Arial" w:cs="Arial"/>
          <w:color w:val="000000"/>
        </w:rPr>
        <w:t xml:space="preserve"> where ‘skill’ is defined as the application of knowledge.</w:t>
      </w:r>
      <w:r w:rsidRPr="00EA7665">
        <w:rPr>
          <w:rFonts w:ascii="Arial" w:eastAsia="Times New Roman" w:hAnsi="Arial" w:cs="Arial"/>
          <w:color w:val="000000"/>
        </w:rPr>
        <w:t xml:space="preserve"> </w:t>
      </w:r>
    </w:p>
    <w:p w14:paraId="58D371FF" w14:textId="77777777" w:rsidR="00CD6352" w:rsidRPr="00C4372B" w:rsidRDefault="00CD6352" w:rsidP="00CD6352">
      <w:pPr>
        <w:pStyle w:val="Heading4"/>
        <w:spacing w:after="240"/>
        <w:rPr>
          <w:rFonts w:ascii="Arial" w:eastAsia="Calibri" w:hAnsi="Arial" w:cs="Arial"/>
          <w:b/>
          <w:bCs/>
          <w:color w:val="auto"/>
          <w:lang w:val="en-US"/>
        </w:rPr>
      </w:pPr>
      <w:r w:rsidRPr="00C4372B">
        <w:rPr>
          <w:rFonts w:ascii="Arial" w:eastAsia="Calibri" w:hAnsi="Arial" w:cs="Arial"/>
          <w:b/>
          <w:bCs/>
          <w:color w:val="auto"/>
          <w:lang w:val="en-US"/>
        </w:rPr>
        <w:t xml:space="preserve">Management skill: Theory and practice </w:t>
      </w:r>
    </w:p>
    <w:p w14:paraId="42C93335" w14:textId="55789A02"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The researcher adopts an interdisciplinary method to provide theoretical foundations that show</w:t>
      </w:r>
      <w:r w:rsidR="007A7368">
        <w:rPr>
          <w:rFonts w:ascii="Arial" w:eastAsia="Calibri" w:hAnsi="Arial" w:cs="Arial"/>
        </w:rPr>
        <w:t xml:space="preserve"> the relevance of a manager’s skills</w:t>
      </w:r>
      <w:r w:rsidRPr="00EA7665">
        <w:rPr>
          <w:rFonts w:ascii="Arial" w:eastAsia="Calibri" w:hAnsi="Arial" w:cs="Arial"/>
        </w:rPr>
        <w:t xml:space="preserve"> to effectively execute their job. To understand the research problem, the </w:t>
      </w:r>
      <w:r w:rsidR="00EC3481" w:rsidRPr="00EA7665">
        <w:rPr>
          <w:rFonts w:ascii="Arial" w:eastAsia="Calibri" w:hAnsi="Arial" w:cs="Arial"/>
        </w:rPr>
        <w:t>research</w:t>
      </w:r>
      <w:r w:rsidRPr="00EA7665">
        <w:rPr>
          <w:rFonts w:ascii="Arial" w:eastAsia="Calibri" w:hAnsi="Arial" w:cs="Arial"/>
        </w:rPr>
        <w:t xml:space="preserve"> analyses and adopts the following theories.</w:t>
      </w:r>
    </w:p>
    <w:p w14:paraId="3BBE3D7D" w14:textId="780B317A" w:rsidR="00CD6352" w:rsidRPr="00C4372B" w:rsidRDefault="00CD6352" w:rsidP="00CD6352">
      <w:pPr>
        <w:pStyle w:val="Subtitle"/>
        <w:rPr>
          <w:rFonts w:ascii="Arial" w:hAnsi="Arial" w:cs="Arial"/>
          <w:b/>
          <w:bCs/>
          <w:color w:val="auto"/>
        </w:rPr>
      </w:pPr>
      <w:r w:rsidRPr="00C4372B">
        <w:rPr>
          <w:rFonts w:ascii="Arial" w:hAnsi="Arial" w:cs="Arial"/>
          <w:b/>
          <w:bCs/>
          <w:color w:val="auto"/>
        </w:rPr>
        <w:t>Key theory: Skills theory of leadership</w:t>
      </w:r>
    </w:p>
    <w:p w14:paraId="0C49B7F5" w14:textId="5B9AEB39"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Skills theorists sought to discover the skills and abilities that made leaders effective (Burks, 2010). The two primary theories developed from the skills approach are Katz’s three-skill approach and Mumford’s </w:t>
      </w:r>
      <w:r w:rsidR="007A7368">
        <w:rPr>
          <w:rFonts w:ascii="Arial" w:eastAsia="Calibri" w:hAnsi="Arial" w:cs="Arial"/>
        </w:rPr>
        <w:t>leadership skills model</w:t>
      </w:r>
      <w:r w:rsidRPr="00EA7665">
        <w:rPr>
          <w:rFonts w:ascii="Arial" w:eastAsia="Calibri" w:hAnsi="Arial" w:cs="Arial"/>
        </w:rPr>
        <w:t xml:space="preserve">. Most other authors on </w:t>
      </w:r>
      <w:r>
        <w:rPr>
          <w:rFonts w:ascii="Arial" w:eastAsia="Calibri" w:hAnsi="Arial" w:cs="Arial"/>
        </w:rPr>
        <w:t xml:space="preserve">the </w:t>
      </w:r>
      <w:r w:rsidR="007A7368">
        <w:rPr>
          <w:rFonts w:ascii="Arial" w:eastAsia="Calibri" w:hAnsi="Arial" w:cs="Arial"/>
        </w:rPr>
        <w:t>management skills approach had these two theories as the foundation of their research</w:t>
      </w:r>
      <w:r w:rsidRPr="00EA7665">
        <w:rPr>
          <w:rFonts w:ascii="Arial" w:eastAsia="Calibri" w:hAnsi="Arial" w:cs="Arial"/>
        </w:rPr>
        <w:t>. Katz’s three-skill approach argues that effective leadership requires three skills: technical, human and conceptual skills (Katz, 1955; Katz, 1971)</w:t>
      </w:r>
    </w:p>
    <w:p w14:paraId="0322F9CA" w14:textId="2E3006E3"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Technical skills mean the ability to use the techniques, procedures, and tools of a specific field. Technical skills </w:t>
      </w:r>
      <w:r>
        <w:rPr>
          <w:rFonts w:ascii="Arial" w:eastAsia="Calibri" w:hAnsi="Arial" w:cs="Arial"/>
        </w:rPr>
        <w:t>entail</w:t>
      </w:r>
      <w:r w:rsidRPr="00EA7665">
        <w:rPr>
          <w:rFonts w:ascii="Arial" w:eastAsia="Calibri" w:hAnsi="Arial" w:cs="Arial"/>
        </w:rPr>
        <w:t xml:space="preserve"> proficiency in a particular activity or type of work. A manager is required to possess enough skill to perform the mechanics of the specific job that he is responsible for executing</w:t>
      </w:r>
      <w:r w:rsidRPr="00EA7665">
        <w:rPr>
          <w:rFonts w:ascii="Arial" w:hAnsi="Arial" w:cs="Arial"/>
        </w:rPr>
        <w:t xml:space="preserve">.  </w:t>
      </w:r>
      <w:r w:rsidRPr="00EA7665">
        <w:rPr>
          <w:rFonts w:ascii="Arial" w:eastAsia="Calibri" w:hAnsi="Arial" w:cs="Arial"/>
        </w:rPr>
        <w:t>Conceptual skills are the ability to perform</w:t>
      </w:r>
      <w:r>
        <w:rPr>
          <w:rFonts w:ascii="Arial" w:eastAsia="Calibri" w:hAnsi="Arial" w:cs="Arial"/>
        </w:rPr>
        <w:t xml:space="preserve"> the</w:t>
      </w:r>
      <w:r w:rsidRPr="00EA7665">
        <w:rPr>
          <w:rFonts w:ascii="Arial" w:eastAsia="Calibri" w:hAnsi="Arial" w:cs="Arial"/>
        </w:rPr>
        <w:t xml:space="preserve"> integral and coordinative activities of an organisation. The manager should see the organisation as a whole as well as see how each part relies on </w:t>
      </w:r>
      <w:r w:rsidR="00E50405">
        <w:rPr>
          <w:rFonts w:ascii="Arial" w:eastAsia="Calibri" w:hAnsi="Arial" w:cs="Arial"/>
        </w:rPr>
        <w:t>the</w:t>
      </w:r>
      <w:r w:rsidRPr="00EA7665">
        <w:rPr>
          <w:rFonts w:ascii="Arial" w:eastAsia="Calibri" w:hAnsi="Arial" w:cs="Arial"/>
        </w:rPr>
        <w:t xml:space="preserve"> other</w:t>
      </w:r>
      <w:r w:rsidR="00E50405">
        <w:rPr>
          <w:rFonts w:ascii="Arial" w:eastAsia="Calibri" w:hAnsi="Arial" w:cs="Arial"/>
        </w:rPr>
        <w:t>.</w:t>
      </w:r>
      <w:r w:rsidRPr="00EA7665">
        <w:rPr>
          <w:rFonts w:ascii="Arial" w:eastAsia="Calibri" w:hAnsi="Arial" w:cs="Arial"/>
        </w:rPr>
        <w:t xml:space="preserve">  While</w:t>
      </w:r>
      <w:r w:rsidR="008D4825">
        <w:rPr>
          <w:rFonts w:ascii="Arial" w:eastAsia="Calibri" w:hAnsi="Arial" w:cs="Arial"/>
        </w:rPr>
        <w:t>,</w:t>
      </w:r>
      <w:r w:rsidRPr="00EA7665">
        <w:rPr>
          <w:rFonts w:ascii="Arial" w:eastAsia="Calibri" w:hAnsi="Arial" w:cs="Arial"/>
        </w:rPr>
        <w:t xml:space="preserve"> human skills are the manager’s ability to participate and work with others, </w:t>
      </w:r>
      <w:r w:rsidR="007A7368">
        <w:rPr>
          <w:rFonts w:ascii="Arial" w:eastAsia="Calibri" w:hAnsi="Arial" w:cs="Arial"/>
        </w:rPr>
        <w:t>personal assessment</w:t>
      </w:r>
      <w:r w:rsidR="00684AFB">
        <w:rPr>
          <w:rFonts w:ascii="Arial" w:eastAsia="Calibri" w:hAnsi="Arial" w:cs="Arial"/>
        </w:rPr>
        <w:t>,</w:t>
      </w:r>
      <w:r w:rsidR="007A7368">
        <w:rPr>
          <w:rFonts w:ascii="Arial" w:eastAsia="Calibri" w:hAnsi="Arial" w:cs="Arial"/>
        </w:rPr>
        <w:t xml:space="preserve"> motivation,</w:t>
      </w:r>
      <w:r w:rsidRPr="00EA7665">
        <w:rPr>
          <w:rFonts w:ascii="Arial" w:eastAsia="Calibri" w:hAnsi="Arial" w:cs="Arial"/>
        </w:rPr>
        <w:t xml:space="preserve"> and understanding </w:t>
      </w:r>
      <w:r w:rsidR="00F86A46">
        <w:rPr>
          <w:rFonts w:ascii="Arial" w:eastAsia="Calibri" w:hAnsi="Arial" w:cs="Arial"/>
        </w:rPr>
        <w:t>others' needs and problem</w:t>
      </w:r>
      <w:r w:rsidRPr="00EA7665">
        <w:rPr>
          <w:rFonts w:ascii="Arial" w:eastAsia="Calibri" w:hAnsi="Arial" w:cs="Arial"/>
        </w:rPr>
        <w:t>s</w:t>
      </w:r>
      <w:r w:rsidR="00684AFB">
        <w:rPr>
          <w:rFonts w:ascii="Arial" w:eastAsia="Calibri" w:hAnsi="Arial" w:cs="Arial"/>
        </w:rPr>
        <w:t>.</w:t>
      </w:r>
    </w:p>
    <w:p w14:paraId="6FD56E4E" w14:textId="31760641" w:rsidR="00CD6352" w:rsidRPr="00EA7665" w:rsidRDefault="00CD6352" w:rsidP="00CD6352">
      <w:pPr>
        <w:spacing w:line="360" w:lineRule="auto"/>
        <w:jc w:val="both"/>
        <w:rPr>
          <w:rFonts w:ascii="Arial" w:hAnsi="Arial" w:cs="Arial"/>
        </w:rPr>
      </w:pPr>
      <w:r w:rsidRPr="00EA7665">
        <w:rPr>
          <w:rFonts w:ascii="Arial" w:eastAsia="Calibri" w:hAnsi="Arial" w:cs="Arial"/>
          <w:lang w:val="en-US"/>
        </w:rPr>
        <w:lastRenderedPageBreak/>
        <w:t xml:space="preserve">The </w:t>
      </w:r>
      <w:r w:rsidR="00EC3481" w:rsidRPr="00EA7665">
        <w:rPr>
          <w:rFonts w:ascii="Arial" w:eastAsia="Calibri" w:hAnsi="Arial" w:cs="Arial"/>
          <w:lang w:val="en-US"/>
        </w:rPr>
        <w:t>three-skill</w:t>
      </w:r>
      <w:r w:rsidRPr="00EA7665">
        <w:rPr>
          <w:rFonts w:ascii="Arial" w:eastAsia="Calibri" w:hAnsi="Arial" w:cs="Arial"/>
          <w:lang w:val="en-US"/>
        </w:rPr>
        <w:t xml:space="preserve"> approach asserts that wh</w:t>
      </w:r>
      <w:r>
        <w:rPr>
          <w:rFonts w:ascii="Arial" w:eastAsia="Calibri" w:hAnsi="Arial" w:cs="Arial"/>
          <w:lang w:val="en-US"/>
        </w:rPr>
        <w:t>ile</w:t>
      </w:r>
      <w:r w:rsidRPr="00EA7665">
        <w:rPr>
          <w:rFonts w:ascii="Arial" w:eastAsia="Calibri" w:hAnsi="Arial" w:cs="Arial"/>
          <w:lang w:val="en-US"/>
        </w:rPr>
        <w:t xml:space="preserve"> all skills are essential for leaders, their level of importance varies depending on the organisation and the levels of leadership</w:t>
      </w:r>
      <w:r w:rsidR="008B0F05">
        <w:rPr>
          <w:rFonts w:ascii="Arial" w:eastAsia="Calibri" w:hAnsi="Arial" w:cs="Arial"/>
          <w:lang w:val="en-US"/>
        </w:rPr>
        <w:t>. S</w:t>
      </w:r>
      <w:r w:rsidRPr="00EA7665">
        <w:rPr>
          <w:rFonts w:ascii="Arial" w:eastAsia="Calibri" w:hAnsi="Arial" w:cs="Arial"/>
          <w:lang w:val="en-US"/>
        </w:rPr>
        <w:t>kills importance moves from technical to human and then conceptual with the growth of leadership levels (Burke, 2010). The three-skill approach empha</w:t>
      </w:r>
      <w:r>
        <w:rPr>
          <w:rFonts w:ascii="Arial" w:eastAsia="Calibri" w:hAnsi="Arial" w:cs="Arial"/>
          <w:lang w:val="en-US"/>
        </w:rPr>
        <w:t>sises</w:t>
      </w:r>
      <w:r w:rsidRPr="00EA7665">
        <w:rPr>
          <w:rFonts w:ascii="Arial" w:eastAsia="Calibri" w:hAnsi="Arial" w:cs="Arial"/>
          <w:lang w:val="en-US"/>
        </w:rPr>
        <w:t xml:space="preserve"> that effective managers are not necessarily born; they may be taught and developed (</w:t>
      </w:r>
      <w:r w:rsidRPr="00EA7665">
        <w:rPr>
          <w:rFonts w:ascii="Arial" w:hAnsi="Arial" w:cs="Arial"/>
        </w:rPr>
        <w:t xml:space="preserve">Mustapha, 1990).  </w:t>
      </w:r>
      <w:r w:rsidR="00F202AE">
        <w:rPr>
          <w:rFonts w:ascii="Arial" w:hAnsi="Arial" w:cs="Arial"/>
        </w:rPr>
        <w:t>Measuring</w:t>
      </w:r>
      <w:r w:rsidRPr="00EA7665">
        <w:rPr>
          <w:rFonts w:ascii="Arial" w:hAnsi="Arial" w:cs="Arial"/>
        </w:rPr>
        <w:t xml:space="preserve"> the manager’s skills at different levels could be </w:t>
      </w:r>
      <w:r>
        <w:rPr>
          <w:rFonts w:ascii="Arial" w:hAnsi="Arial" w:cs="Arial"/>
        </w:rPr>
        <w:t xml:space="preserve">a </w:t>
      </w:r>
      <w:r w:rsidRPr="00EA7665">
        <w:rPr>
          <w:rFonts w:ascii="Arial" w:hAnsi="Arial" w:cs="Arial"/>
        </w:rPr>
        <w:t xml:space="preserve">platform </w:t>
      </w:r>
      <w:r>
        <w:rPr>
          <w:rFonts w:ascii="Arial" w:hAnsi="Arial" w:cs="Arial"/>
        </w:rPr>
        <w:t xml:space="preserve">for </w:t>
      </w:r>
      <w:r w:rsidRPr="00EA7665">
        <w:rPr>
          <w:rFonts w:ascii="Arial" w:hAnsi="Arial" w:cs="Arial"/>
        </w:rPr>
        <w:t xml:space="preserve">training managers at all levels. Invariably, the strength of leadership under the skills approach shows that effective leadership performance is </w:t>
      </w:r>
      <w:r>
        <w:rPr>
          <w:rFonts w:ascii="Arial" w:hAnsi="Arial" w:cs="Arial"/>
        </w:rPr>
        <w:t xml:space="preserve">a </w:t>
      </w:r>
      <w:r w:rsidRPr="00EA7665">
        <w:rPr>
          <w:rFonts w:ascii="Arial" w:hAnsi="Arial" w:cs="Arial"/>
        </w:rPr>
        <w:t>learned (and learnable) skil</w:t>
      </w:r>
      <w:r>
        <w:rPr>
          <w:rFonts w:ascii="Arial" w:hAnsi="Arial" w:cs="Arial"/>
        </w:rPr>
        <w:t>l</w:t>
      </w:r>
      <w:r w:rsidRPr="00EA7665">
        <w:rPr>
          <w:rFonts w:ascii="Arial" w:hAnsi="Arial" w:cs="Arial"/>
        </w:rPr>
        <w:t xml:space="preserve"> rather than </w:t>
      </w:r>
      <w:r>
        <w:rPr>
          <w:rFonts w:ascii="Arial" w:hAnsi="Arial" w:cs="Arial"/>
        </w:rPr>
        <w:t xml:space="preserve">a </w:t>
      </w:r>
      <w:r w:rsidRPr="00EA7665">
        <w:rPr>
          <w:rFonts w:ascii="Arial" w:hAnsi="Arial" w:cs="Arial"/>
        </w:rPr>
        <w:t>tra</w:t>
      </w:r>
      <w:r>
        <w:rPr>
          <w:rFonts w:ascii="Arial" w:hAnsi="Arial" w:cs="Arial"/>
        </w:rPr>
        <w:t>it</w:t>
      </w:r>
      <w:r w:rsidRPr="00EA7665">
        <w:rPr>
          <w:rFonts w:ascii="Arial" w:hAnsi="Arial" w:cs="Arial"/>
        </w:rPr>
        <w:t>.</w:t>
      </w:r>
    </w:p>
    <w:p w14:paraId="69F5A1D1" w14:textId="6E688786" w:rsidR="00CD6352" w:rsidRPr="00EA7665" w:rsidRDefault="00CD6352" w:rsidP="00CD6352">
      <w:pPr>
        <w:spacing w:line="360" w:lineRule="auto"/>
        <w:jc w:val="both"/>
        <w:rPr>
          <w:rFonts w:ascii="Arial" w:hAnsi="Arial" w:cs="Arial"/>
          <w:b/>
        </w:rPr>
      </w:pPr>
      <w:r w:rsidRPr="00EA7665">
        <w:rPr>
          <w:rFonts w:ascii="Arial" w:hAnsi="Arial" w:cs="Arial"/>
        </w:rPr>
        <w:t xml:space="preserve">Mumford’s </w:t>
      </w:r>
      <w:r w:rsidR="007A7368">
        <w:rPr>
          <w:rFonts w:ascii="Arial" w:hAnsi="Arial" w:cs="Arial"/>
        </w:rPr>
        <w:t>leadership model outlines five components of effective leadership: competencies, individual attributes, leadership outcomes, career experiences,</w:t>
      </w:r>
      <w:r w:rsidRPr="00EA7665">
        <w:rPr>
          <w:rFonts w:ascii="Arial" w:hAnsi="Arial" w:cs="Arial"/>
        </w:rPr>
        <w:t xml:space="preserve"> and environmental influences (Burke, 2010). This </w:t>
      </w:r>
      <w:r w:rsidR="007A7368">
        <w:rPr>
          <w:rFonts w:ascii="Arial" w:hAnsi="Arial" w:cs="Arial"/>
        </w:rPr>
        <w:t>shows that effective leadership depends on how a leader’s competenci</w:t>
      </w:r>
      <w:r>
        <w:rPr>
          <w:rFonts w:ascii="Arial" w:hAnsi="Arial" w:cs="Arial"/>
        </w:rPr>
        <w:t>es</w:t>
      </w:r>
      <w:r w:rsidRPr="00EA7665">
        <w:rPr>
          <w:rFonts w:ascii="Arial" w:hAnsi="Arial" w:cs="Arial"/>
        </w:rPr>
        <w:t xml:space="preserve"> are affected by the leader’s attributes, experiences, and environment.</w:t>
      </w:r>
    </w:p>
    <w:p w14:paraId="0F4DCD09" w14:textId="7DFACDA8"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Egbu (1994) findings on managing refurbishment work showed that the managers rated leadership, communication (oral/ written), motivation</w:t>
      </w:r>
      <w:r w:rsidR="00286296">
        <w:rPr>
          <w:rFonts w:ascii="Arial" w:eastAsia="Calibri" w:hAnsi="Arial" w:cs="Arial"/>
          <w:lang w:val="en-US"/>
        </w:rPr>
        <w:t>,</w:t>
      </w:r>
      <w:r w:rsidRPr="00EA7665">
        <w:rPr>
          <w:rFonts w:ascii="Arial" w:eastAsia="Calibri" w:hAnsi="Arial" w:cs="Arial"/>
          <w:lang w:val="en-US"/>
        </w:rPr>
        <w:t xml:space="preserve"> health and safety as the four most essential skills and knowledge on their present job for managing refurbishment work. </w:t>
      </w:r>
    </w:p>
    <w:p w14:paraId="36BF7A48" w14:textId="77777777"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Mintzberg (1980), in his study on managers, classified managerial skills into eight headings, which are as follows:</w:t>
      </w:r>
    </w:p>
    <w:p w14:paraId="6AC2F5D8"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Peer skills</w:t>
      </w:r>
    </w:p>
    <w:p w14:paraId="545E4991"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Leadership skills</w:t>
      </w:r>
    </w:p>
    <w:p w14:paraId="4039214F"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Conflict resolution</w:t>
      </w:r>
    </w:p>
    <w:p w14:paraId="6ABFA12C"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Information processing skills</w:t>
      </w:r>
    </w:p>
    <w:p w14:paraId="54970E24"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Skills in decision making under ambiguity</w:t>
      </w:r>
    </w:p>
    <w:p w14:paraId="42067044"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Resource allocation skills</w:t>
      </w:r>
    </w:p>
    <w:p w14:paraId="0C0DBDD8"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Entrepreneurial skills</w:t>
      </w:r>
    </w:p>
    <w:p w14:paraId="0638B27B" w14:textId="77777777" w:rsidR="00CD6352" w:rsidRPr="00EA7665" w:rsidRDefault="00CD6352" w:rsidP="007625E7">
      <w:pPr>
        <w:pStyle w:val="ListParagraph"/>
        <w:numPr>
          <w:ilvl w:val="0"/>
          <w:numId w:val="371"/>
        </w:numPr>
        <w:spacing w:line="360" w:lineRule="auto"/>
        <w:jc w:val="both"/>
        <w:rPr>
          <w:rFonts w:ascii="Arial" w:eastAsia="Calibri" w:hAnsi="Arial" w:cs="Arial"/>
          <w:lang w:val="en-US"/>
        </w:rPr>
      </w:pPr>
      <w:r w:rsidRPr="00EA7665">
        <w:rPr>
          <w:rFonts w:ascii="Arial" w:eastAsia="Calibri" w:hAnsi="Arial" w:cs="Arial"/>
          <w:lang w:val="en-US"/>
        </w:rPr>
        <w:t>Skills of introspection</w:t>
      </w:r>
    </w:p>
    <w:p w14:paraId="4823D633" w14:textId="28246C48"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Mintzberg’s work shows that </w:t>
      </w:r>
      <w:r w:rsidR="00E66CC2">
        <w:rPr>
          <w:rFonts w:ascii="Arial" w:eastAsia="Calibri" w:hAnsi="Arial" w:cs="Arial"/>
          <w:lang w:val="en-US"/>
        </w:rPr>
        <w:t>managerial skills</w:t>
      </w:r>
      <w:r w:rsidRPr="00EA7665">
        <w:rPr>
          <w:rFonts w:ascii="Arial" w:eastAsia="Calibri" w:hAnsi="Arial" w:cs="Arial"/>
          <w:lang w:val="en-US"/>
        </w:rPr>
        <w:t xml:space="preserve"> apply to all managerial jobs</w:t>
      </w:r>
      <w:r w:rsidR="00E66CC2">
        <w:rPr>
          <w:rFonts w:ascii="Arial" w:eastAsia="Calibri" w:hAnsi="Arial" w:cs="Arial"/>
          <w:lang w:val="en-US"/>
        </w:rPr>
        <w:t>;</w:t>
      </w:r>
      <w:r w:rsidRPr="00EA7665">
        <w:rPr>
          <w:rFonts w:ascii="Arial" w:eastAsia="Calibri" w:hAnsi="Arial" w:cs="Arial"/>
          <w:lang w:val="en-US"/>
        </w:rPr>
        <w:t xml:space="preserve"> however, the</w:t>
      </w:r>
      <w:r w:rsidR="00E66CC2">
        <w:rPr>
          <w:rFonts w:ascii="Arial" w:eastAsia="Calibri" w:hAnsi="Arial" w:cs="Arial"/>
          <w:lang w:val="en-US"/>
        </w:rPr>
        <w:t>se skills' level of importance and application</w:t>
      </w:r>
      <w:r w:rsidRPr="00EA7665">
        <w:rPr>
          <w:rFonts w:ascii="Arial" w:eastAsia="Calibri" w:hAnsi="Arial" w:cs="Arial"/>
          <w:lang w:val="en-US"/>
        </w:rPr>
        <w:t xml:space="preserve"> may differ in different professions (Egbu, 1994).</w:t>
      </w:r>
    </w:p>
    <w:p w14:paraId="21DD413D" w14:textId="1F41DE01" w:rsidR="00CD6352" w:rsidRPr="00EA7665" w:rsidRDefault="00CD6352" w:rsidP="00CD6352">
      <w:pPr>
        <w:spacing w:line="360" w:lineRule="auto"/>
        <w:jc w:val="both"/>
        <w:rPr>
          <w:rFonts w:ascii="Arial" w:hAnsi="Arial" w:cs="Arial"/>
        </w:rPr>
      </w:pPr>
      <w:r w:rsidRPr="00EA7665">
        <w:rPr>
          <w:rFonts w:ascii="Arial" w:eastAsia="Calibri" w:hAnsi="Arial" w:cs="Arial"/>
          <w:lang w:val="en-US"/>
        </w:rPr>
        <w:t xml:space="preserve">Kotter (1982) studied the behaviour of 15 top managers using interviews, questionnaires, archival data and 500 hours of observation. His findings showed that top managers spend </w:t>
      </w:r>
      <w:r w:rsidR="00286296">
        <w:rPr>
          <w:rFonts w:ascii="Arial" w:eastAsia="Calibri" w:hAnsi="Arial" w:cs="Arial"/>
          <w:lang w:val="en-US"/>
        </w:rPr>
        <w:t>substantial</w:t>
      </w:r>
      <w:r w:rsidRPr="00EA7665">
        <w:rPr>
          <w:rFonts w:ascii="Arial" w:eastAsia="Calibri" w:hAnsi="Arial" w:cs="Arial"/>
          <w:lang w:val="en-US"/>
        </w:rPr>
        <w:t xml:space="preserve"> time interacting with outsiders who are often outside their work</w:t>
      </w:r>
      <w:r w:rsidRPr="00EA7665">
        <w:rPr>
          <w:rFonts w:ascii="Arial" w:hAnsi="Arial" w:cs="Arial"/>
        </w:rPr>
        <w:t xml:space="preserve">. These relationships outside their work were often very informal. They were </w:t>
      </w:r>
      <w:r>
        <w:rPr>
          <w:rFonts w:ascii="Arial" w:hAnsi="Arial" w:cs="Arial"/>
        </w:rPr>
        <w:t>mainly</w:t>
      </w:r>
      <w:r w:rsidRPr="00EA7665">
        <w:rPr>
          <w:rFonts w:ascii="Arial" w:hAnsi="Arial" w:cs="Arial"/>
        </w:rPr>
        <w:t xml:space="preserve"> done </w:t>
      </w:r>
      <w:r w:rsidR="007A7368">
        <w:rPr>
          <w:rFonts w:ascii="Arial" w:hAnsi="Arial" w:cs="Arial"/>
        </w:rPr>
        <w:t>to build</w:t>
      </w:r>
      <w:r w:rsidRPr="00EA7665">
        <w:rPr>
          <w:rFonts w:ascii="Arial" w:hAnsi="Arial" w:cs="Arial"/>
        </w:rPr>
        <w:t xml:space="preserve"> networks that would enable the managers </w:t>
      </w:r>
      <w:r>
        <w:rPr>
          <w:rFonts w:ascii="Arial" w:hAnsi="Arial" w:cs="Arial"/>
        </w:rPr>
        <w:t>to</w:t>
      </w:r>
      <w:r w:rsidRPr="00EA7665">
        <w:rPr>
          <w:rFonts w:ascii="Arial" w:hAnsi="Arial" w:cs="Arial"/>
        </w:rPr>
        <w:t xml:space="preserve"> influence others and implement their plans </w:t>
      </w:r>
      <w:r w:rsidRPr="00EA7665">
        <w:rPr>
          <w:rFonts w:ascii="Arial" w:eastAsia="Calibri" w:hAnsi="Arial" w:cs="Arial"/>
          <w:lang w:val="en-US"/>
        </w:rPr>
        <w:t>(</w:t>
      </w:r>
      <w:r w:rsidRPr="00EA7665">
        <w:rPr>
          <w:rFonts w:ascii="Arial" w:hAnsi="Arial" w:cs="Arial"/>
        </w:rPr>
        <w:t>Mustapha, 1990).</w:t>
      </w:r>
    </w:p>
    <w:p w14:paraId="40951778" w14:textId="37DE2A16"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Mumford et al. (1987) study involving interviews with British directors noted that planning, influencing and maintaining relationships are essential skills (Burke, 2010). </w:t>
      </w:r>
      <w:r w:rsidR="00E26955">
        <w:rPr>
          <w:rFonts w:ascii="Arial" w:hAnsi="Arial" w:cs="Arial"/>
        </w:rPr>
        <w:t>Cox and Cooper (1988) interviewed 45 top male managers of British companies with very successful financial records in the same light</w:t>
      </w:r>
      <w:r w:rsidRPr="00EA7665">
        <w:rPr>
          <w:rFonts w:ascii="Arial" w:hAnsi="Arial" w:cs="Arial"/>
        </w:rPr>
        <w:t>. The findings showed three managerial skills</w:t>
      </w:r>
      <w:r>
        <w:rPr>
          <w:rFonts w:ascii="Arial" w:hAnsi="Arial" w:cs="Arial"/>
        </w:rPr>
        <w:t xml:space="preserve"> that</w:t>
      </w:r>
      <w:r w:rsidRPr="00EA7665">
        <w:rPr>
          <w:rFonts w:ascii="Arial" w:hAnsi="Arial" w:cs="Arial"/>
        </w:rPr>
        <w:t xml:space="preserve"> directors perceived as important are:</w:t>
      </w:r>
    </w:p>
    <w:p w14:paraId="32B22233" w14:textId="77777777" w:rsidR="00CD6352" w:rsidRPr="00EA7665" w:rsidRDefault="00CD6352" w:rsidP="008D4A4F">
      <w:pPr>
        <w:pStyle w:val="ListParagraph"/>
        <w:numPr>
          <w:ilvl w:val="0"/>
          <w:numId w:val="253"/>
        </w:numPr>
        <w:spacing w:line="360" w:lineRule="auto"/>
        <w:jc w:val="both"/>
        <w:rPr>
          <w:rFonts w:ascii="Arial" w:hAnsi="Arial" w:cs="Arial"/>
        </w:rPr>
      </w:pPr>
      <w:r w:rsidRPr="00EA7665">
        <w:rPr>
          <w:rFonts w:ascii="Arial" w:hAnsi="Arial" w:cs="Arial"/>
        </w:rPr>
        <w:t>Interpersonal skills</w:t>
      </w:r>
    </w:p>
    <w:p w14:paraId="76D6BC91" w14:textId="77777777" w:rsidR="00CD6352" w:rsidRPr="00EA7665" w:rsidRDefault="00CD6352" w:rsidP="008D4A4F">
      <w:pPr>
        <w:pStyle w:val="ListParagraph"/>
        <w:numPr>
          <w:ilvl w:val="0"/>
          <w:numId w:val="253"/>
        </w:numPr>
        <w:spacing w:line="360" w:lineRule="auto"/>
        <w:jc w:val="both"/>
        <w:rPr>
          <w:rFonts w:ascii="Arial" w:hAnsi="Arial" w:cs="Arial"/>
        </w:rPr>
      </w:pPr>
      <w:r w:rsidRPr="00EA7665">
        <w:rPr>
          <w:rFonts w:ascii="Arial" w:hAnsi="Arial" w:cs="Arial"/>
        </w:rPr>
        <w:t>Analytical skills</w:t>
      </w:r>
    </w:p>
    <w:p w14:paraId="270CEFCD" w14:textId="77777777" w:rsidR="00CD6352" w:rsidRPr="00EA7665" w:rsidRDefault="00CD6352" w:rsidP="008D4A4F">
      <w:pPr>
        <w:pStyle w:val="ListParagraph"/>
        <w:numPr>
          <w:ilvl w:val="0"/>
          <w:numId w:val="253"/>
        </w:numPr>
        <w:spacing w:line="360" w:lineRule="auto"/>
        <w:jc w:val="both"/>
        <w:rPr>
          <w:rFonts w:ascii="Arial" w:hAnsi="Arial" w:cs="Arial"/>
        </w:rPr>
      </w:pPr>
      <w:r w:rsidRPr="00EA7665">
        <w:rPr>
          <w:rFonts w:ascii="Arial" w:hAnsi="Arial" w:cs="Arial"/>
        </w:rPr>
        <w:t>Long term planning and coping with changes</w:t>
      </w:r>
    </w:p>
    <w:p w14:paraId="36585F51" w14:textId="6F108F8B" w:rsidR="00CD6352" w:rsidRPr="00EA7665" w:rsidRDefault="00A537CB" w:rsidP="00CD6352">
      <w:pPr>
        <w:spacing w:line="360" w:lineRule="auto"/>
        <w:jc w:val="both"/>
        <w:rPr>
          <w:rFonts w:ascii="Arial" w:hAnsi="Arial" w:cs="Arial"/>
        </w:rPr>
      </w:pPr>
      <w:r>
        <w:rPr>
          <w:rFonts w:ascii="Arial" w:hAnsi="Arial" w:cs="Arial"/>
        </w:rPr>
        <w:t>Through interviews, Whetten and Cameron (1991) studied 402 highly ‘effective’ managers from organisations involved in business, health care, education, and state government in the U.S.A</w:t>
      </w:r>
      <w:r w:rsidR="00CD6352" w:rsidRPr="009621EF">
        <w:rPr>
          <w:rFonts w:ascii="Arial" w:hAnsi="Arial" w:cs="Arial"/>
        </w:rPr>
        <w:t xml:space="preserve"> (Egbu, 1994). The interview was to find out what made managers successful. Their interviews produced sixty (60) characteristics of effective managers. They noted that the ten (10) most cited skills for effective managers are behavioural, as shown below:</w:t>
      </w:r>
    </w:p>
    <w:p w14:paraId="774D8A14"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Verbal communication (including listening)</w:t>
      </w:r>
    </w:p>
    <w:p w14:paraId="74B7116E"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Managing time and stress</w:t>
      </w:r>
    </w:p>
    <w:p w14:paraId="2E24A605"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Managing individual decisions</w:t>
      </w:r>
    </w:p>
    <w:p w14:paraId="4F01C770"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Recognising, defining and solving problems</w:t>
      </w:r>
    </w:p>
    <w:p w14:paraId="124CE151"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Motivating and influencing others</w:t>
      </w:r>
    </w:p>
    <w:p w14:paraId="2A6C9ACC"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Delegating</w:t>
      </w:r>
    </w:p>
    <w:p w14:paraId="237B4AB2"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Setting goals and articulating visions</w:t>
      </w:r>
    </w:p>
    <w:p w14:paraId="4BED462F"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Self-awareness</w:t>
      </w:r>
    </w:p>
    <w:p w14:paraId="68AA69C4"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Team building</w:t>
      </w:r>
    </w:p>
    <w:p w14:paraId="6CA8653C" w14:textId="77777777" w:rsidR="00CD6352" w:rsidRPr="00EA7665" w:rsidRDefault="00CD6352" w:rsidP="008D4A4F">
      <w:pPr>
        <w:pStyle w:val="ListParagraph"/>
        <w:numPr>
          <w:ilvl w:val="0"/>
          <w:numId w:val="255"/>
        </w:numPr>
        <w:spacing w:line="360" w:lineRule="auto"/>
        <w:jc w:val="both"/>
        <w:rPr>
          <w:rFonts w:ascii="Arial" w:hAnsi="Arial" w:cs="Arial"/>
        </w:rPr>
      </w:pPr>
      <w:r w:rsidRPr="00EA7665">
        <w:rPr>
          <w:rFonts w:ascii="Arial" w:hAnsi="Arial" w:cs="Arial"/>
        </w:rPr>
        <w:t>Managing conflicts</w:t>
      </w:r>
    </w:p>
    <w:p w14:paraId="13409141" w14:textId="77777777" w:rsidR="00CD6352" w:rsidRPr="00EA7665" w:rsidRDefault="00CD6352" w:rsidP="00CD6352">
      <w:pPr>
        <w:spacing w:line="360" w:lineRule="auto"/>
        <w:jc w:val="both"/>
        <w:rPr>
          <w:rFonts w:ascii="Arial" w:hAnsi="Arial" w:cs="Arial"/>
        </w:rPr>
      </w:pPr>
      <w:r w:rsidRPr="00EA7665">
        <w:rPr>
          <w:rFonts w:ascii="Arial" w:hAnsi="Arial" w:cs="Arial"/>
        </w:rPr>
        <w:t>Studies conducted by the International project management association (IPMA, 2015) on the individual competence baseline mentioned fourteen (14) skills as relevant to secure finance, as sho</w:t>
      </w:r>
      <w:r>
        <w:rPr>
          <w:rFonts w:ascii="Arial" w:hAnsi="Arial" w:cs="Arial"/>
        </w:rPr>
        <w:t>wn</w:t>
      </w:r>
      <w:r w:rsidRPr="00EA7665">
        <w:rPr>
          <w:rFonts w:ascii="Arial" w:hAnsi="Arial" w:cs="Arial"/>
        </w:rPr>
        <w:t xml:space="preserve"> below:</w:t>
      </w:r>
    </w:p>
    <w:p w14:paraId="2F11382A"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Convincing / negotiating with sponsors</w:t>
      </w:r>
    </w:p>
    <w:p w14:paraId="42A47D06"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Scenario techniques</w:t>
      </w:r>
    </w:p>
    <w:p w14:paraId="3B5D19E2"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Interpreting and communicating the actual cost situation</w:t>
      </w:r>
    </w:p>
    <w:p w14:paraId="7DB6D09C"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Developing financial forecasting models</w:t>
      </w:r>
    </w:p>
    <w:p w14:paraId="696DE4E2"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Writing skills</w:t>
      </w:r>
    </w:p>
    <w:p w14:paraId="37F2A7D1"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Presentation skills</w:t>
      </w:r>
    </w:p>
    <w:p w14:paraId="731CBE1C"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Reading financial statements</w:t>
      </w:r>
    </w:p>
    <w:p w14:paraId="30B6396D"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Interpreting financial data and identifying trends</w:t>
      </w:r>
    </w:p>
    <w:p w14:paraId="59C5CACF"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Financial management approach analysis</w:t>
      </w:r>
    </w:p>
    <w:p w14:paraId="14025A97"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lastRenderedPageBreak/>
        <w:t>Developing a project budget</w:t>
      </w:r>
    </w:p>
    <w:p w14:paraId="395A2235"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Setting a framework for resource project cost estimation</w:t>
      </w:r>
    </w:p>
    <w:p w14:paraId="51DF0C71"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Directing and authorising cost strategies and cost management plans</w:t>
      </w:r>
    </w:p>
    <w:p w14:paraId="74ED25F0"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Developing and maintaining cost management systems</w:t>
      </w:r>
    </w:p>
    <w:p w14:paraId="48D54EB0" w14:textId="77777777" w:rsidR="00CD6352" w:rsidRPr="00EA7665" w:rsidRDefault="00CD6352" w:rsidP="008D4A4F">
      <w:pPr>
        <w:pStyle w:val="ListParagraph"/>
        <w:numPr>
          <w:ilvl w:val="0"/>
          <w:numId w:val="256"/>
        </w:numPr>
        <w:spacing w:line="360" w:lineRule="auto"/>
        <w:jc w:val="both"/>
        <w:rPr>
          <w:rFonts w:ascii="Arial" w:hAnsi="Arial" w:cs="Arial"/>
        </w:rPr>
      </w:pPr>
      <w:r w:rsidRPr="00EA7665">
        <w:rPr>
          <w:rFonts w:ascii="Arial" w:hAnsi="Arial" w:cs="Arial"/>
        </w:rPr>
        <w:t>Conducting analysis, evaluating options and implementing responses to project cost variation</w:t>
      </w:r>
    </w:p>
    <w:p w14:paraId="3A38A25C" w14:textId="4D49F4C4"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Relatively recent research on </w:t>
      </w:r>
      <w:r w:rsidR="007A7368">
        <w:rPr>
          <w:rFonts w:ascii="Arial" w:eastAsia="Calibri" w:hAnsi="Arial" w:cs="Arial"/>
          <w:lang w:val="en-US"/>
        </w:rPr>
        <w:t>real estate managerial skills</w:t>
      </w:r>
      <w:r w:rsidRPr="00EA7665">
        <w:rPr>
          <w:rFonts w:ascii="Arial" w:eastAsia="Calibri" w:hAnsi="Arial" w:cs="Arial"/>
          <w:lang w:val="en-US"/>
        </w:rPr>
        <w:t xml:space="preserve"> classified the manager’s skills into conceptual, human, political and technical skills (Sunindijo et al., 2017).</w:t>
      </w:r>
      <w:r>
        <w:rPr>
          <w:rFonts w:ascii="Arial" w:eastAsia="Calibri" w:hAnsi="Arial" w:cs="Arial"/>
          <w:lang w:val="en-US"/>
        </w:rPr>
        <w:t xml:space="preserve"> </w:t>
      </w:r>
      <w:r w:rsidRPr="00EA7665">
        <w:rPr>
          <w:rFonts w:ascii="Arial" w:eastAsia="Calibri" w:hAnsi="Arial" w:cs="Arial"/>
          <w:lang w:val="en-US"/>
        </w:rPr>
        <w:t xml:space="preserve">Emotional intelligence is an </w:t>
      </w:r>
      <w:r w:rsidR="009621EF">
        <w:rPr>
          <w:rFonts w:ascii="Arial" w:eastAsia="Calibri" w:hAnsi="Arial" w:cs="Arial"/>
          <w:lang w:val="en-US"/>
        </w:rPr>
        <w:t>essential</w:t>
      </w:r>
      <w:r w:rsidRPr="00EA7665">
        <w:rPr>
          <w:rFonts w:ascii="Arial" w:eastAsia="Calibri" w:hAnsi="Arial" w:cs="Arial"/>
          <w:lang w:val="en-US"/>
        </w:rPr>
        <w:t xml:space="preserve"> skill the manager should have. Meyer &amp; Salovey (1990) argued that emotional intelligence is a managerial skill</w:t>
      </w:r>
      <w:r w:rsidR="007A7368">
        <w:rPr>
          <w:rFonts w:ascii="Arial" w:eastAsia="Calibri" w:hAnsi="Arial" w:cs="Arial"/>
          <w:lang w:val="en-US"/>
        </w:rPr>
        <w:t xml:space="preserve"> that holds a precise understanding of oneself and others' emotion</w:t>
      </w:r>
      <w:r w:rsidRPr="00EA7665">
        <w:rPr>
          <w:rFonts w:ascii="Arial" w:eastAsia="Calibri" w:hAnsi="Arial" w:cs="Arial"/>
          <w:lang w:val="en-US"/>
        </w:rPr>
        <w:t xml:space="preserve">s. It entails the manager </w:t>
      </w:r>
      <w:r w:rsidR="007A7368">
        <w:rPr>
          <w:rFonts w:ascii="Arial" w:eastAsia="Calibri" w:hAnsi="Arial" w:cs="Arial"/>
          <w:lang w:val="en-US"/>
        </w:rPr>
        <w:t>understanding</w:t>
      </w:r>
      <w:r>
        <w:rPr>
          <w:rFonts w:ascii="Arial" w:eastAsia="Calibri" w:hAnsi="Arial" w:cs="Arial"/>
          <w:lang w:val="en-US"/>
        </w:rPr>
        <w:t xml:space="preserve"> the </w:t>
      </w:r>
      <w:r w:rsidRPr="00EA7665">
        <w:rPr>
          <w:rFonts w:ascii="Arial" w:eastAsia="Calibri" w:hAnsi="Arial" w:cs="Arial"/>
          <w:lang w:val="en-US"/>
        </w:rPr>
        <w:t>impact of their emotions on their actions and those of others. It involves the ability to perceive, understand and effectively manage emotions to achieve personal, organisational effectiveness</w:t>
      </w:r>
      <w:r w:rsidR="009621EF">
        <w:rPr>
          <w:rFonts w:ascii="Arial" w:eastAsia="Calibri" w:hAnsi="Arial" w:cs="Arial"/>
          <w:lang w:val="en-US"/>
        </w:rPr>
        <w:t>. T</w:t>
      </w:r>
      <w:r w:rsidRPr="00EA7665">
        <w:rPr>
          <w:rFonts w:ascii="Arial" w:eastAsia="Calibri" w:hAnsi="Arial" w:cs="Arial"/>
          <w:lang w:val="en-US"/>
        </w:rPr>
        <w:t>his skill enables the manager to empathise with subordinates, manage interpersonal skills and treat associates as individuals with unique needs and abilities (Muthuveloo et al., 2017).</w:t>
      </w:r>
    </w:p>
    <w:p w14:paraId="29B976E5" w14:textId="3C19752C" w:rsidR="00CD6352" w:rsidRPr="00EA7665" w:rsidRDefault="00CD6352" w:rsidP="00CD6352">
      <w:pPr>
        <w:spacing w:line="360" w:lineRule="auto"/>
        <w:jc w:val="both"/>
        <w:rPr>
          <w:rFonts w:ascii="Arial" w:eastAsia="Calibri" w:hAnsi="Arial" w:cs="Arial"/>
          <w:lang w:val="en-US"/>
        </w:rPr>
      </w:pPr>
      <w:r w:rsidRPr="00EC3481">
        <w:rPr>
          <w:rFonts w:ascii="Arial" w:eastAsia="Calibri" w:hAnsi="Arial" w:cs="Arial"/>
          <w:lang w:val="en-US"/>
        </w:rPr>
        <w:t>The global economy in contemporary times requires managers with a more detailed and holistic skill set. Fulmer &amp; Conger (2004)</w:t>
      </w:r>
      <w:r w:rsidRPr="00EA7665">
        <w:rPr>
          <w:rFonts w:ascii="Arial" w:eastAsia="Calibri" w:hAnsi="Arial" w:cs="Arial"/>
          <w:lang w:val="en-US"/>
        </w:rPr>
        <w:t xml:space="preserve"> argue that managers need greater technological literacy, a great understanding of the global financial markets, and fluency in multiple cultures, entrepreneurial skills, an extensive network of different relationships, evolving leadership skills and the ability to lead in</w:t>
      </w:r>
      <w:r w:rsidR="007A7368">
        <w:rPr>
          <w:rFonts w:ascii="Arial" w:eastAsia="Calibri" w:hAnsi="Arial" w:cs="Arial"/>
          <w:lang w:val="en-US"/>
        </w:rPr>
        <w:t xml:space="preserve"> an</w:t>
      </w:r>
      <w:r w:rsidRPr="00EA7665">
        <w:rPr>
          <w:rFonts w:ascii="Arial" w:eastAsia="Calibri" w:hAnsi="Arial" w:cs="Arial"/>
          <w:lang w:val="en-US"/>
        </w:rPr>
        <w:t xml:space="preserve"> increasingly virtual and disaggregated organizations. According to Muthuveloo et al. (2017), the manager must exhibit superior communication and computer skills to be productive and competitive. The contemporary manager should have communication skills that evolve with the trend in society and can lead only through effective communication. The manager needs financial management skills to be able to access funding for their projects in addition to the other skill sets</w:t>
      </w:r>
      <w:r w:rsidR="00040AEE">
        <w:rPr>
          <w:rFonts w:ascii="Arial" w:eastAsia="Calibri" w:hAnsi="Arial" w:cs="Arial"/>
          <w:lang w:val="en-US"/>
        </w:rPr>
        <w:t>,</w:t>
      </w:r>
      <w:r w:rsidRPr="00EA7665">
        <w:rPr>
          <w:rFonts w:ascii="Arial" w:eastAsia="Calibri" w:hAnsi="Arial" w:cs="Arial"/>
          <w:lang w:val="en-US"/>
        </w:rPr>
        <w:t xml:space="preserve"> and some of these skills include critical management skills such as budgeting, analytical, cost-benefit analysis and taxation skills (Grizzle, 1985; Trimble &amp; Trimble, 1993)</w:t>
      </w:r>
    </w:p>
    <w:p w14:paraId="4B12F001" w14:textId="249D3490"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In other to understand the </w:t>
      </w:r>
      <w:r w:rsidR="00766AF6" w:rsidRPr="00EA7665">
        <w:rPr>
          <w:rFonts w:ascii="Arial" w:eastAsia="Calibri" w:hAnsi="Arial" w:cs="Arial"/>
        </w:rPr>
        <w:t>manage</w:t>
      </w:r>
      <w:r w:rsidR="00766AF6">
        <w:rPr>
          <w:rFonts w:ascii="Arial" w:eastAsia="Calibri" w:hAnsi="Arial" w:cs="Arial"/>
        </w:rPr>
        <w:t xml:space="preserve">ment </w:t>
      </w:r>
      <w:r w:rsidR="00766AF6" w:rsidRPr="00EA7665">
        <w:rPr>
          <w:rFonts w:ascii="Arial" w:eastAsia="Calibri" w:hAnsi="Arial" w:cs="Arial"/>
        </w:rPr>
        <w:t>skills</w:t>
      </w:r>
      <w:r w:rsidRPr="00EA7665">
        <w:rPr>
          <w:rFonts w:ascii="Arial" w:eastAsia="Calibri" w:hAnsi="Arial" w:cs="Arial"/>
        </w:rPr>
        <w:t xml:space="preserve"> needed to secure finance. This study </w:t>
      </w:r>
      <w:r w:rsidR="007A7368">
        <w:rPr>
          <w:rFonts w:ascii="Arial" w:eastAsia="Calibri" w:hAnsi="Arial" w:cs="Arial"/>
        </w:rPr>
        <w:t>reviewed</w:t>
      </w:r>
      <w:r w:rsidRPr="00EA7665">
        <w:rPr>
          <w:rFonts w:ascii="Arial" w:eastAsia="Calibri" w:hAnsi="Arial" w:cs="Arial"/>
        </w:rPr>
        <w:t xml:space="preserve"> the literature on different aspects of the manager’s financial management skills as summarised in table </w:t>
      </w:r>
      <w:r w:rsidR="00961541" w:rsidRPr="00EA7665">
        <w:rPr>
          <w:rFonts w:ascii="Arial" w:eastAsia="Calibri" w:hAnsi="Arial" w:cs="Arial"/>
        </w:rPr>
        <w:t>3.</w:t>
      </w:r>
      <w:r w:rsidR="00961541">
        <w:rPr>
          <w:rFonts w:ascii="Arial" w:eastAsia="Calibri" w:hAnsi="Arial" w:cs="Arial"/>
        </w:rPr>
        <w:t>8.1</w:t>
      </w:r>
      <w:r w:rsidR="00961541" w:rsidRPr="00EA7665">
        <w:rPr>
          <w:rFonts w:ascii="Arial" w:eastAsia="Calibri" w:hAnsi="Arial" w:cs="Arial"/>
        </w:rPr>
        <w:t>.</w:t>
      </w:r>
      <w:r w:rsidR="00EC3481">
        <w:rPr>
          <w:rFonts w:ascii="Arial" w:eastAsia="Calibri" w:hAnsi="Arial" w:cs="Arial"/>
        </w:rPr>
        <w:t xml:space="preserve"> The financial management skills contributed to the development of the questionnaire </w:t>
      </w:r>
      <w:r w:rsidR="007F17AE">
        <w:rPr>
          <w:rFonts w:ascii="Arial" w:eastAsia="Calibri" w:hAnsi="Arial" w:cs="Arial"/>
        </w:rPr>
        <w:t>and semi</w:t>
      </w:r>
      <w:r w:rsidR="00945FA2">
        <w:rPr>
          <w:rFonts w:ascii="Arial" w:eastAsia="Calibri" w:hAnsi="Arial" w:cs="Arial"/>
        </w:rPr>
        <w:t>-</w:t>
      </w:r>
      <w:r w:rsidR="007F17AE">
        <w:rPr>
          <w:rFonts w:ascii="Arial" w:eastAsia="Calibri" w:hAnsi="Arial" w:cs="Arial"/>
        </w:rPr>
        <w:t xml:space="preserve">structured interview </w:t>
      </w:r>
      <w:r w:rsidR="00EC3481">
        <w:rPr>
          <w:rFonts w:ascii="Arial" w:eastAsia="Calibri" w:hAnsi="Arial" w:cs="Arial"/>
        </w:rPr>
        <w:t xml:space="preserve">questions on Management skills </w:t>
      </w:r>
      <w:r w:rsidR="00961541">
        <w:rPr>
          <w:rFonts w:ascii="Arial" w:eastAsia="Calibri" w:hAnsi="Arial" w:cs="Arial"/>
        </w:rPr>
        <w:t>(see</w:t>
      </w:r>
      <w:r w:rsidR="00EC3481">
        <w:rPr>
          <w:rFonts w:ascii="Arial" w:eastAsia="Calibri" w:hAnsi="Arial" w:cs="Arial"/>
        </w:rPr>
        <w:t xml:space="preserve"> chapter 8). This contributed to the development of </w:t>
      </w:r>
      <w:r w:rsidR="00945FA2">
        <w:rPr>
          <w:rFonts w:ascii="Arial" w:eastAsia="Calibri" w:hAnsi="Arial" w:cs="Arial"/>
        </w:rPr>
        <w:t xml:space="preserve">an </w:t>
      </w:r>
      <w:r w:rsidR="007F17AE">
        <w:rPr>
          <w:rFonts w:ascii="Arial" w:eastAsia="Calibri" w:hAnsi="Arial" w:cs="Arial"/>
        </w:rPr>
        <w:t xml:space="preserve">inventory of skills for securing finance for real estate project development in chapter 8 and the </w:t>
      </w:r>
      <w:r w:rsidR="00EC3481">
        <w:rPr>
          <w:rFonts w:ascii="Arial" w:eastAsia="Calibri" w:hAnsi="Arial" w:cs="Arial"/>
        </w:rPr>
        <w:t>toolkit for securing finance for real estate project development</w:t>
      </w:r>
      <w:r w:rsidR="007F17AE">
        <w:rPr>
          <w:rFonts w:ascii="Arial" w:eastAsia="Calibri" w:hAnsi="Arial" w:cs="Arial"/>
        </w:rPr>
        <w:t xml:space="preserve"> in chapter 10. </w:t>
      </w:r>
    </w:p>
    <w:p w14:paraId="308E34C6" w14:textId="122276C9" w:rsidR="00CD6352" w:rsidRPr="008D4A2A" w:rsidRDefault="00CD6352" w:rsidP="00CD6352">
      <w:pPr>
        <w:pStyle w:val="Caption"/>
        <w:keepNext/>
        <w:rPr>
          <w:rFonts w:ascii="Arial" w:hAnsi="Arial" w:cs="Arial"/>
          <w:i w:val="0"/>
          <w:iCs w:val="0"/>
          <w:sz w:val="16"/>
          <w:szCs w:val="16"/>
        </w:rPr>
      </w:pPr>
      <w:bookmarkStart w:id="779" w:name="_Toc78983954"/>
      <w:r w:rsidRPr="008D4A2A">
        <w:rPr>
          <w:rFonts w:ascii="Arial" w:hAnsi="Arial" w:cs="Arial"/>
          <w:i w:val="0"/>
          <w:iCs w:val="0"/>
          <w:sz w:val="16"/>
          <w:szCs w:val="16"/>
        </w:rPr>
        <w:lastRenderedPageBreak/>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3.8</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1</w:t>
      </w:r>
      <w:r w:rsidR="008F25B1">
        <w:rPr>
          <w:rFonts w:ascii="Arial" w:hAnsi="Arial" w:cs="Arial"/>
          <w:i w:val="0"/>
          <w:iCs w:val="0"/>
          <w:sz w:val="16"/>
          <w:szCs w:val="16"/>
        </w:rPr>
        <w:fldChar w:fldCharType="end"/>
      </w:r>
      <w:r w:rsidRPr="008D4A2A">
        <w:rPr>
          <w:rFonts w:ascii="Arial" w:hAnsi="Arial" w:cs="Arial"/>
          <w:i w:val="0"/>
          <w:iCs w:val="0"/>
          <w:sz w:val="16"/>
          <w:szCs w:val="16"/>
        </w:rPr>
        <w:t>:</w:t>
      </w:r>
      <w:r w:rsidRPr="008D4A2A">
        <w:rPr>
          <w:rFonts w:ascii="Arial" w:eastAsia="Calibri" w:hAnsi="Arial" w:cs="Arial"/>
          <w:i w:val="0"/>
          <w:iCs w:val="0"/>
          <w:color w:val="auto"/>
          <w:sz w:val="16"/>
          <w:szCs w:val="16"/>
        </w:rPr>
        <w:t xml:space="preserve"> </w:t>
      </w:r>
      <w:r w:rsidR="00766AF6" w:rsidRPr="008D4A2A">
        <w:rPr>
          <w:rFonts w:ascii="Arial" w:hAnsi="Arial" w:cs="Arial"/>
          <w:i w:val="0"/>
          <w:iCs w:val="0"/>
          <w:sz w:val="16"/>
          <w:szCs w:val="16"/>
        </w:rPr>
        <w:t>Management skills</w:t>
      </w:r>
      <w:r w:rsidRPr="008D4A2A">
        <w:rPr>
          <w:rFonts w:ascii="Arial" w:hAnsi="Arial" w:cs="Arial"/>
          <w:i w:val="0"/>
          <w:iCs w:val="0"/>
          <w:sz w:val="16"/>
          <w:szCs w:val="16"/>
        </w:rPr>
        <w:t xml:space="preserve"> for securing finance</w:t>
      </w:r>
      <w:bookmarkEnd w:id="779"/>
    </w:p>
    <w:tbl>
      <w:tblPr>
        <w:tblStyle w:val="TableGrid"/>
        <w:tblW w:w="5000" w:type="pct"/>
        <w:tblLook w:val="04A0" w:firstRow="1" w:lastRow="0" w:firstColumn="1" w:lastColumn="0" w:noHBand="0" w:noVBand="1"/>
      </w:tblPr>
      <w:tblGrid>
        <w:gridCol w:w="1153"/>
        <w:gridCol w:w="2387"/>
        <w:gridCol w:w="5476"/>
      </w:tblGrid>
      <w:tr w:rsidR="00CD6352" w:rsidRPr="008D4A2A" w14:paraId="0EA1E6AA" w14:textId="77777777" w:rsidTr="00CD6352">
        <w:tc>
          <w:tcPr>
            <w:tcW w:w="639" w:type="pct"/>
          </w:tcPr>
          <w:p w14:paraId="5A8B64AC" w14:textId="77777777" w:rsidR="00CD6352" w:rsidRPr="008D4A2A" w:rsidRDefault="00CD6352" w:rsidP="00CD6352">
            <w:pPr>
              <w:jc w:val="both"/>
              <w:rPr>
                <w:rFonts w:ascii="Arial" w:eastAsia="Calibri" w:hAnsi="Arial" w:cs="Arial"/>
                <w:b/>
                <w:sz w:val="16"/>
                <w:szCs w:val="16"/>
              </w:rPr>
            </w:pPr>
            <w:r w:rsidRPr="008D4A2A">
              <w:rPr>
                <w:rFonts w:ascii="Arial" w:eastAsia="Calibri" w:hAnsi="Arial" w:cs="Arial"/>
                <w:b/>
                <w:sz w:val="16"/>
                <w:szCs w:val="16"/>
              </w:rPr>
              <w:t>Study</w:t>
            </w:r>
          </w:p>
        </w:tc>
        <w:tc>
          <w:tcPr>
            <w:tcW w:w="1324" w:type="pct"/>
          </w:tcPr>
          <w:p w14:paraId="30A20509" w14:textId="77777777" w:rsidR="00CD6352" w:rsidRPr="008D4A2A" w:rsidRDefault="00CD6352" w:rsidP="00CD6352">
            <w:pPr>
              <w:jc w:val="both"/>
              <w:rPr>
                <w:rFonts w:ascii="Arial" w:eastAsia="Calibri" w:hAnsi="Arial" w:cs="Arial"/>
                <w:b/>
                <w:sz w:val="16"/>
                <w:szCs w:val="16"/>
              </w:rPr>
            </w:pPr>
            <w:r w:rsidRPr="008D4A2A">
              <w:rPr>
                <w:rFonts w:ascii="Arial" w:eastAsia="Calibri" w:hAnsi="Arial" w:cs="Arial"/>
                <w:b/>
                <w:sz w:val="16"/>
                <w:szCs w:val="16"/>
              </w:rPr>
              <w:t>Title</w:t>
            </w:r>
          </w:p>
        </w:tc>
        <w:tc>
          <w:tcPr>
            <w:tcW w:w="3037" w:type="pct"/>
          </w:tcPr>
          <w:p w14:paraId="52A7E8FC" w14:textId="77777777" w:rsidR="00CD6352" w:rsidRPr="008D4A2A" w:rsidRDefault="00CD6352" w:rsidP="00CD6352">
            <w:pPr>
              <w:jc w:val="both"/>
              <w:rPr>
                <w:rFonts w:ascii="Arial" w:eastAsia="Calibri" w:hAnsi="Arial" w:cs="Arial"/>
                <w:b/>
                <w:sz w:val="16"/>
                <w:szCs w:val="16"/>
              </w:rPr>
            </w:pPr>
            <w:r w:rsidRPr="008D4A2A">
              <w:rPr>
                <w:rFonts w:ascii="Arial" w:eastAsia="Calibri" w:hAnsi="Arial" w:cs="Arial"/>
                <w:b/>
                <w:sz w:val="16"/>
                <w:szCs w:val="16"/>
              </w:rPr>
              <w:t>Summary of skills</w:t>
            </w:r>
          </w:p>
        </w:tc>
      </w:tr>
      <w:tr w:rsidR="00CD6352" w:rsidRPr="008D4A2A" w14:paraId="676B41F1" w14:textId="77777777" w:rsidTr="00CD6352">
        <w:tc>
          <w:tcPr>
            <w:tcW w:w="639" w:type="pct"/>
          </w:tcPr>
          <w:p w14:paraId="741AB66F" w14:textId="77777777" w:rsidR="00CD6352" w:rsidRPr="008D4A2A" w:rsidRDefault="00CD6352" w:rsidP="00CD6352">
            <w:pPr>
              <w:jc w:val="both"/>
              <w:rPr>
                <w:rFonts w:ascii="Arial" w:eastAsia="Calibri" w:hAnsi="Arial" w:cs="Arial"/>
                <w:sz w:val="16"/>
                <w:szCs w:val="16"/>
              </w:rPr>
            </w:pPr>
          </w:p>
          <w:p w14:paraId="3FD5C6BF"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Cao et al. (2016)</w:t>
            </w:r>
          </w:p>
        </w:tc>
        <w:tc>
          <w:tcPr>
            <w:tcW w:w="1324" w:type="pct"/>
          </w:tcPr>
          <w:p w14:paraId="07366222" w14:textId="77777777" w:rsidR="00CD6352" w:rsidRPr="008D4A2A" w:rsidRDefault="00CD6352" w:rsidP="00CD6352">
            <w:pPr>
              <w:jc w:val="both"/>
              <w:rPr>
                <w:rFonts w:ascii="Arial" w:eastAsia="Calibri" w:hAnsi="Arial" w:cs="Arial"/>
                <w:sz w:val="16"/>
                <w:szCs w:val="16"/>
              </w:rPr>
            </w:pPr>
          </w:p>
          <w:p w14:paraId="4C5F7689"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What Is the Nature of Hedge Fund Manager Skills? Evidence from the Risk-Arbitrage Strategy</w:t>
            </w:r>
          </w:p>
        </w:tc>
        <w:tc>
          <w:tcPr>
            <w:tcW w:w="3037" w:type="pct"/>
          </w:tcPr>
          <w:p w14:paraId="05534ADA" w14:textId="7A54469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Following strategies with a lower risk profile than other risk arbitrageurs</w:t>
            </w:r>
            <w:r w:rsidR="005B398B">
              <w:rPr>
                <w:rFonts w:ascii="Arial" w:eastAsia="Calibri" w:hAnsi="Arial" w:cs="Arial"/>
                <w:sz w:val="16"/>
                <w:szCs w:val="16"/>
              </w:rPr>
              <w:t>, avoid the deals that experience the most negative returns in case of failure and</w:t>
            </w:r>
            <w:r w:rsidRPr="008D4A2A">
              <w:rPr>
                <w:rFonts w:ascii="Arial" w:eastAsia="Calibri" w:hAnsi="Arial" w:cs="Arial"/>
                <w:sz w:val="16"/>
                <w:szCs w:val="16"/>
              </w:rPr>
              <w:t xml:space="preserve"> eschew targets with the greatest downside risk in M &amp; A transactions.</w:t>
            </w:r>
          </w:p>
        </w:tc>
      </w:tr>
      <w:tr w:rsidR="00CD6352" w:rsidRPr="008D4A2A" w14:paraId="32179C65" w14:textId="77777777" w:rsidTr="00CD6352">
        <w:tc>
          <w:tcPr>
            <w:tcW w:w="639" w:type="pct"/>
          </w:tcPr>
          <w:p w14:paraId="18CDB5F6"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Alda  (2018).</w:t>
            </w:r>
          </w:p>
        </w:tc>
        <w:tc>
          <w:tcPr>
            <w:tcW w:w="1324" w:type="pct"/>
          </w:tcPr>
          <w:p w14:paraId="26CA5810"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Pension fund manager skills over the economic cycle: the (non-) specialisation cost</w:t>
            </w:r>
          </w:p>
        </w:tc>
        <w:tc>
          <w:tcPr>
            <w:tcW w:w="3037" w:type="pct"/>
          </w:tcPr>
          <w:p w14:paraId="3BA13268"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Market timing and stock picking skills</w:t>
            </w:r>
          </w:p>
        </w:tc>
      </w:tr>
      <w:tr w:rsidR="00CD6352" w:rsidRPr="008D4A2A" w14:paraId="6506D328" w14:textId="77777777" w:rsidTr="00CD6352">
        <w:tc>
          <w:tcPr>
            <w:tcW w:w="639" w:type="pct"/>
          </w:tcPr>
          <w:p w14:paraId="4ED795A6"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Brotherton and Watson (2001).</w:t>
            </w:r>
          </w:p>
        </w:tc>
        <w:tc>
          <w:tcPr>
            <w:tcW w:w="1324" w:type="pct"/>
          </w:tcPr>
          <w:p w14:paraId="3F94DBAB"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Licensed house manager skills/competences and the management development process in Bass Taverns</w:t>
            </w:r>
          </w:p>
        </w:tc>
        <w:tc>
          <w:tcPr>
            <w:tcW w:w="3037" w:type="pct"/>
          </w:tcPr>
          <w:p w14:paraId="4CBC0B35"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 xml:space="preserve">People-oriented skills, motivation, leadership, and understanding. </w:t>
            </w:r>
          </w:p>
        </w:tc>
      </w:tr>
      <w:tr w:rsidR="00CD6352" w:rsidRPr="008D4A2A" w14:paraId="0DB44CE8" w14:textId="77777777" w:rsidTr="00CD6352">
        <w:tc>
          <w:tcPr>
            <w:tcW w:w="639" w:type="pct"/>
          </w:tcPr>
          <w:p w14:paraId="51DF9CBE" w14:textId="77777777" w:rsidR="00CD6352" w:rsidRPr="008D4A2A" w:rsidRDefault="00CD6352" w:rsidP="00CD6352">
            <w:pPr>
              <w:jc w:val="both"/>
              <w:rPr>
                <w:rFonts w:ascii="Arial" w:eastAsia="Calibri" w:hAnsi="Arial" w:cs="Arial"/>
                <w:sz w:val="16"/>
                <w:szCs w:val="16"/>
              </w:rPr>
            </w:pPr>
          </w:p>
          <w:p w14:paraId="0A8CFE7E"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Napier et al. (2009)</w:t>
            </w:r>
          </w:p>
        </w:tc>
        <w:tc>
          <w:tcPr>
            <w:tcW w:w="1324" w:type="pct"/>
          </w:tcPr>
          <w:p w14:paraId="5E0BD69A"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IT project managers’ construction of successful project management practice: a repertory grid investigation</w:t>
            </w:r>
          </w:p>
        </w:tc>
        <w:tc>
          <w:tcPr>
            <w:tcW w:w="3037" w:type="pct"/>
          </w:tcPr>
          <w:p w14:paraId="0734BFF2"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 xml:space="preserve">Communication, personal integrity, general management, leadership, team development, client management, problem-solving, system development, planning, and control skills. </w:t>
            </w:r>
          </w:p>
        </w:tc>
      </w:tr>
      <w:tr w:rsidR="00CD6352" w:rsidRPr="008D4A2A" w14:paraId="6BC6086C" w14:textId="77777777" w:rsidTr="00CD6352">
        <w:tc>
          <w:tcPr>
            <w:tcW w:w="639" w:type="pct"/>
          </w:tcPr>
          <w:p w14:paraId="58F71747" w14:textId="77777777" w:rsidR="00CD6352" w:rsidRPr="008D4A2A" w:rsidRDefault="00CD6352" w:rsidP="00CD6352">
            <w:pPr>
              <w:jc w:val="both"/>
              <w:rPr>
                <w:rFonts w:ascii="Arial" w:eastAsia="Calibri" w:hAnsi="Arial" w:cs="Arial"/>
                <w:sz w:val="16"/>
                <w:szCs w:val="16"/>
              </w:rPr>
            </w:pPr>
          </w:p>
          <w:p w14:paraId="1A44E513"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Siebert and Zubanov  (2010).</w:t>
            </w:r>
          </w:p>
        </w:tc>
        <w:tc>
          <w:tcPr>
            <w:tcW w:w="1324" w:type="pct"/>
          </w:tcPr>
          <w:p w14:paraId="6014BB0E"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Management Economics in a Large Retail Company</w:t>
            </w:r>
          </w:p>
        </w:tc>
        <w:tc>
          <w:tcPr>
            <w:tcW w:w="3037" w:type="pct"/>
          </w:tcPr>
          <w:p w14:paraId="1658E7EC"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Commercial awareness, which encapsulates entrepreneurial skills, such as monitoring local competition and making efficient use of available resources.</w:t>
            </w:r>
          </w:p>
        </w:tc>
      </w:tr>
      <w:tr w:rsidR="00CD6352" w:rsidRPr="008D4A2A" w14:paraId="1DE07BD3" w14:textId="77777777" w:rsidTr="00CD6352">
        <w:tc>
          <w:tcPr>
            <w:tcW w:w="639" w:type="pct"/>
          </w:tcPr>
          <w:p w14:paraId="273E0036"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Jeffrey et al. (2003)</w:t>
            </w:r>
          </w:p>
        </w:tc>
        <w:tc>
          <w:tcPr>
            <w:tcW w:w="1324" w:type="pct"/>
          </w:tcPr>
          <w:p w14:paraId="109ADD87"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Project Management Characteristics and New Product Survival.</w:t>
            </w:r>
          </w:p>
        </w:tc>
        <w:tc>
          <w:tcPr>
            <w:tcW w:w="3037" w:type="pct"/>
          </w:tcPr>
          <w:p w14:paraId="20314994"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Strong technical, marketing, and management skills</w:t>
            </w:r>
          </w:p>
        </w:tc>
      </w:tr>
      <w:tr w:rsidR="00CD6352" w:rsidRPr="008D4A2A" w14:paraId="795D0395" w14:textId="77777777" w:rsidTr="00CD6352">
        <w:tc>
          <w:tcPr>
            <w:tcW w:w="639" w:type="pct"/>
          </w:tcPr>
          <w:p w14:paraId="47FB04F3"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Afonso Silva et al. (2018)</w:t>
            </w:r>
          </w:p>
        </w:tc>
        <w:tc>
          <w:tcPr>
            <w:tcW w:w="1324" w:type="pct"/>
          </w:tcPr>
          <w:p w14:paraId="03F9BA12"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Competencies and skills of site managers from human resources professionals and site managers</w:t>
            </w:r>
          </w:p>
        </w:tc>
        <w:tc>
          <w:tcPr>
            <w:tcW w:w="3037" w:type="pct"/>
          </w:tcPr>
          <w:p w14:paraId="1E63E536"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communication skills, specialised knowledge and experience, planning, troubleshooting, technical competence, team building, leadership, budget, negotiation skills, and management support,</w:t>
            </w:r>
          </w:p>
        </w:tc>
      </w:tr>
      <w:tr w:rsidR="00CD6352" w:rsidRPr="008D4A2A" w14:paraId="4295A171" w14:textId="77777777" w:rsidTr="00CD6352">
        <w:tc>
          <w:tcPr>
            <w:tcW w:w="639" w:type="pct"/>
          </w:tcPr>
          <w:p w14:paraId="005F6976"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Bazgour et al. (2017)</w:t>
            </w:r>
          </w:p>
        </w:tc>
        <w:tc>
          <w:tcPr>
            <w:tcW w:w="1324" w:type="pct"/>
          </w:tcPr>
          <w:p w14:paraId="675D90EF"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What Style Liquidity Timing Skills Do Mutual Fund Managers Possess?</w:t>
            </w:r>
          </w:p>
        </w:tc>
        <w:tc>
          <w:tcPr>
            <w:tcW w:w="3037" w:type="pct"/>
          </w:tcPr>
          <w:p w14:paraId="0B8DFC18"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Market liquidity timing skills</w:t>
            </w:r>
          </w:p>
          <w:p w14:paraId="610CC95B" w14:textId="77777777" w:rsidR="00CD6352" w:rsidRPr="008D4A2A" w:rsidRDefault="00CD6352" w:rsidP="00CD6352">
            <w:pPr>
              <w:jc w:val="both"/>
              <w:rPr>
                <w:rFonts w:ascii="Arial" w:eastAsia="Calibri" w:hAnsi="Arial" w:cs="Arial"/>
                <w:sz w:val="16"/>
                <w:szCs w:val="16"/>
              </w:rPr>
            </w:pPr>
          </w:p>
        </w:tc>
      </w:tr>
      <w:tr w:rsidR="00CD6352" w:rsidRPr="008D4A2A" w14:paraId="49E91F48" w14:textId="77777777" w:rsidTr="00CD6352">
        <w:tc>
          <w:tcPr>
            <w:tcW w:w="639" w:type="pct"/>
          </w:tcPr>
          <w:p w14:paraId="015F4FC9"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Horák &amp;  Matošková  (2018).</w:t>
            </w:r>
          </w:p>
        </w:tc>
        <w:tc>
          <w:tcPr>
            <w:tcW w:w="1324" w:type="pct"/>
          </w:tcPr>
          <w:p w14:paraId="40847C6E"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Comparison of training programs and activities for cluster managers in Europe concerning their focus on skills development</w:t>
            </w:r>
          </w:p>
        </w:tc>
        <w:tc>
          <w:tcPr>
            <w:tcW w:w="3037" w:type="pct"/>
          </w:tcPr>
          <w:p w14:paraId="35A65A76"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Leadership, people management &amp; relationship, strategic planning, decision making, oral communication, collaboration with others/ teamwork, problem-solving, technical knowledge and functional area knowledge.</w:t>
            </w:r>
          </w:p>
        </w:tc>
      </w:tr>
      <w:tr w:rsidR="00CD6352" w:rsidRPr="008D4A2A" w14:paraId="7D882669" w14:textId="77777777" w:rsidTr="00CD6352">
        <w:tc>
          <w:tcPr>
            <w:tcW w:w="639" w:type="pct"/>
          </w:tcPr>
          <w:p w14:paraId="0F61F2C3"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Oliver Bigas and, Lianabel. (2018).</w:t>
            </w:r>
          </w:p>
        </w:tc>
        <w:tc>
          <w:tcPr>
            <w:tcW w:w="1324" w:type="pct"/>
          </w:tcPr>
          <w:p w14:paraId="3BAAE201"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Financial Skills every manager should be able to navigate.</w:t>
            </w:r>
          </w:p>
        </w:tc>
        <w:tc>
          <w:tcPr>
            <w:tcW w:w="3037" w:type="pct"/>
          </w:tcPr>
          <w:p w14:paraId="25AD1EED" w14:textId="2D69F776"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 xml:space="preserve">Understanding basic accounting terminology: such as assets, liabilities, revenue, and expenses, and where these items are reported in the financial statements. Understand the concept of accrual accounting and how it affects the preparation and presentation of the financial statements: the strategic planning process and its relationship to the budget.  Understanding balance sheet,  income statement, and even a cash flow statement; understanding how to interpret ROI measures such as payback, net present value, and internal rate of return, and what these numbers </w:t>
            </w:r>
            <w:r w:rsidR="00945FA2">
              <w:rPr>
                <w:rFonts w:ascii="Arial" w:eastAsia="Calibri" w:hAnsi="Arial" w:cs="Arial"/>
                <w:sz w:val="16"/>
                <w:szCs w:val="16"/>
              </w:rPr>
              <w:t>tell them about their project's financial viability</w:t>
            </w:r>
            <w:r w:rsidRPr="008D4A2A">
              <w:rPr>
                <w:rFonts w:ascii="Arial" w:eastAsia="Calibri" w:hAnsi="Arial" w:cs="Arial"/>
                <w:sz w:val="16"/>
                <w:szCs w:val="16"/>
              </w:rPr>
              <w:t xml:space="preserve">. </w:t>
            </w:r>
          </w:p>
        </w:tc>
      </w:tr>
      <w:tr w:rsidR="00CD6352" w:rsidRPr="008D4A2A" w14:paraId="3260BE1F" w14:textId="77777777" w:rsidTr="00CD6352">
        <w:trPr>
          <w:trHeight w:val="505"/>
        </w:trPr>
        <w:tc>
          <w:tcPr>
            <w:tcW w:w="639" w:type="pct"/>
          </w:tcPr>
          <w:p w14:paraId="6B3692D0"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Jalilvand (2015).</w:t>
            </w:r>
          </w:p>
        </w:tc>
        <w:tc>
          <w:tcPr>
            <w:tcW w:w="1324" w:type="pct"/>
          </w:tcPr>
          <w:p w14:paraId="27AB1B64"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The Relationship between Negotiation Skills of Managers and Organizational Health</w:t>
            </w:r>
          </w:p>
        </w:tc>
        <w:tc>
          <w:tcPr>
            <w:tcW w:w="3037" w:type="pct"/>
          </w:tcPr>
          <w:p w14:paraId="6A469F78"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Negotiation skills</w:t>
            </w:r>
          </w:p>
        </w:tc>
      </w:tr>
      <w:tr w:rsidR="00CD6352" w:rsidRPr="008D4A2A" w14:paraId="7C1A0DB4" w14:textId="77777777" w:rsidTr="00CD6352">
        <w:tc>
          <w:tcPr>
            <w:tcW w:w="639" w:type="pct"/>
          </w:tcPr>
          <w:p w14:paraId="446A8AF2" w14:textId="77777777" w:rsidR="00CD6352" w:rsidRPr="008D4A2A" w:rsidRDefault="00CD6352" w:rsidP="00CD6352">
            <w:pPr>
              <w:jc w:val="both"/>
              <w:rPr>
                <w:rFonts w:ascii="Arial" w:eastAsia="Calibri" w:hAnsi="Arial" w:cs="Arial"/>
                <w:sz w:val="16"/>
                <w:szCs w:val="16"/>
              </w:rPr>
            </w:pPr>
          </w:p>
          <w:p w14:paraId="46613E08"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Kim et al. (2017)</w:t>
            </w:r>
          </w:p>
        </w:tc>
        <w:tc>
          <w:tcPr>
            <w:tcW w:w="1324" w:type="pct"/>
          </w:tcPr>
          <w:p w14:paraId="1B9583C3"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Key Managerial Accounting Skills for Lodging Industry Managers: The Third Phase of a Repeated Cross-Sectional Study</w:t>
            </w:r>
          </w:p>
        </w:tc>
        <w:tc>
          <w:tcPr>
            <w:tcW w:w="3037" w:type="pct"/>
          </w:tcPr>
          <w:p w14:paraId="51EC94EC"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The top three managerial accounting </w:t>
            </w:r>
            <w:r w:rsidRPr="008D4A2A">
              <w:rPr>
                <w:rFonts w:ascii="Arial" w:eastAsia="Calibri" w:hAnsi="Arial" w:cs="Arial"/>
                <w:bCs/>
                <w:sz w:val="16"/>
                <w:szCs w:val="16"/>
              </w:rPr>
              <w:t>skills</w:t>
            </w:r>
            <w:r w:rsidRPr="008D4A2A">
              <w:rPr>
                <w:rFonts w:ascii="Arial" w:eastAsia="Calibri" w:hAnsi="Arial" w:cs="Arial"/>
                <w:sz w:val="16"/>
                <w:szCs w:val="16"/>
              </w:rPr>
              <w:t> are operating budget, the income statement, and the analysis of variances</w:t>
            </w:r>
          </w:p>
        </w:tc>
      </w:tr>
      <w:tr w:rsidR="00CD6352" w:rsidRPr="008D4A2A" w14:paraId="2DAE6E02" w14:textId="77777777" w:rsidTr="00CD6352">
        <w:tc>
          <w:tcPr>
            <w:tcW w:w="639" w:type="pct"/>
          </w:tcPr>
          <w:p w14:paraId="0E8CA8C8"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lastRenderedPageBreak/>
              <w:t>Kacperczyk et al. ( 2014)</w:t>
            </w:r>
          </w:p>
        </w:tc>
        <w:tc>
          <w:tcPr>
            <w:tcW w:w="1324" w:type="pct"/>
          </w:tcPr>
          <w:p w14:paraId="4533B3D5"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Time-Varying Fund Manager Skill</w:t>
            </w:r>
          </w:p>
        </w:tc>
        <w:tc>
          <w:tcPr>
            <w:tcW w:w="3037" w:type="pct"/>
          </w:tcPr>
          <w:p w14:paraId="6B86CE8A"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Cognitive ability to pick stocks or time the market</w:t>
            </w:r>
          </w:p>
        </w:tc>
      </w:tr>
      <w:tr w:rsidR="00CD6352" w:rsidRPr="008D4A2A" w14:paraId="38506986" w14:textId="77777777" w:rsidTr="00CD6352">
        <w:tc>
          <w:tcPr>
            <w:tcW w:w="639" w:type="pct"/>
          </w:tcPr>
          <w:p w14:paraId="17BF0F88" w14:textId="77777777" w:rsidR="00CD6352" w:rsidRPr="008D4A2A" w:rsidRDefault="00CD6352" w:rsidP="00CD6352">
            <w:pPr>
              <w:jc w:val="both"/>
              <w:rPr>
                <w:rFonts w:ascii="Arial" w:eastAsia="Calibri" w:hAnsi="Arial" w:cs="Arial"/>
                <w:sz w:val="16"/>
                <w:szCs w:val="16"/>
              </w:rPr>
            </w:pPr>
          </w:p>
          <w:p w14:paraId="17C38EDA"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i/>
                <w:iCs/>
                <w:sz w:val="16"/>
                <w:szCs w:val="16"/>
              </w:rPr>
              <w:t>PM Network</w:t>
            </w:r>
          </w:p>
        </w:tc>
        <w:tc>
          <w:tcPr>
            <w:tcW w:w="1324" w:type="pct"/>
          </w:tcPr>
          <w:p w14:paraId="444C0EBF" w14:textId="77777777" w:rsidR="00CD6352" w:rsidRPr="008D4A2A" w:rsidRDefault="00CD6352" w:rsidP="00CD6352">
            <w:pPr>
              <w:jc w:val="both"/>
              <w:rPr>
                <w:rFonts w:ascii="Arial" w:eastAsia="Calibri" w:hAnsi="Arial" w:cs="Arial"/>
                <w:sz w:val="16"/>
                <w:szCs w:val="16"/>
              </w:rPr>
            </w:pPr>
          </w:p>
          <w:p w14:paraId="34DE8F27"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How can project professionals get ahead in their careers in 2019?</w:t>
            </w:r>
          </w:p>
        </w:tc>
        <w:tc>
          <w:tcPr>
            <w:tcW w:w="3037" w:type="pct"/>
          </w:tcPr>
          <w:p w14:paraId="592695DF"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Communication </w:t>
            </w:r>
            <w:r w:rsidRPr="008D4A2A">
              <w:rPr>
                <w:rFonts w:ascii="Arial" w:eastAsia="Calibri" w:hAnsi="Arial" w:cs="Arial"/>
                <w:bCs/>
                <w:sz w:val="16"/>
                <w:szCs w:val="16"/>
              </w:rPr>
              <w:t xml:space="preserve">skills, specialised industry skills, emerging technologies such as artificial intelligence or machine learning. </w:t>
            </w:r>
          </w:p>
        </w:tc>
      </w:tr>
      <w:tr w:rsidR="00CD6352" w:rsidRPr="008D4A2A" w14:paraId="56E1FA05" w14:textId="77777777" w:rsidTr="00CD6352">
        <w:tc>
          <w:tcPr>
            <w:tcW w:w="639" w:type="pct"/>
          </w:tcPr>
          <w:p w14:paraId="7FED0787" w14:textId="77777777" w:rsidR="00CD6352" w:rsidRPr="008D4A2A" w:rsidRDefault="00CD6352" w:rsidP="00CD6352">
            <w:pPr>
              <w:jc w:val="both"/>
              <w:rPr>
                <w:rFonts w:ascii="Arial" w:eastAsia="Calibri" w:hAnsi="Arial" w:cs="Arial"/>
                <w:sz w:val="16"/>
                <w:szCs w:val="16"/>
              </w:rPr>
            </w:pPr>
          </w:p>
          <w:p w14:paraId="4346BBAE"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Carvalho and Rabechini Junior (2015).</w:t>
            </w:r>
          </w:p>
        </w:tc>
        <w:tc>
          <w:tcPr>
            <w:tcW w:w="1324" w:type="pct"/>
          </w:tcPr>
          <w:p w14:paraId="0B9AE2F2"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Impact of risk management on project performance: the importance of soft skills</w:t>
            </w:r>
          </w:p>
        </w:tc>
        <w:tc>
          <w:tcPr>
            <w:tcW w:w="3037" w:type="pct"/>
          </w:tcPr>
          <w:p w14:paraId="5001247F"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 xml:space="preserve">Risks management: a strategic approach to risk &amp; uncertainty, risk communication, and information, risk planning, risk identification, risks analysis ( qualitative and quantitative), risks monitoring &amp; control and risk response. </w:t>
            </w:r>
          </w:p>
        </w:tc>
      </w:tr>
      <w:tr w:rsidR="00CD6352" w:rsidRPr="008D4A2A" w14:paraId="2CAE6266" w14:textId="77777777" w:rsidTr="00CD6352">
        <w:tc>
          <w:tcPr>
            <w:tcW w:w="639" w:type="pct"/>
          </w:tcPr>
          <w:p w14:paraId="36418282" w14:textId="77777777" w:rsidR="00CD6352" w:rsidRPr="008D4A2A" w:rsidRDefault="00CD6352" w:rsidP="00CD6352">
            <w:pPr>
              <w:jc w:val="both"/>
              <w:rPr>
                <w:rFonts w:ascii="Arial" w:eastAsia="Calibri" w:hAnsi="Arial" w:cs="Arial"/>
                <w:sz w:val="16"/>
                <w:szCs w:val="16"/>
              </w:rPr>
            </w:pPr>
          </w:p>
          <w:p w14:paraId="0A389643"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Cicekli  (2016)</w:t>
            </w:r>
          </w:p>
        </w:tc>
        <w:tc>
          <w:tcPr>
            <w:tcW w:w="1324" w:type="pct"/>
          </w:tcPr>
          <w:p w14:paraId="37E9446F"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Graduate skills requirements for effective performance in the banking sector</w:t>
            </w:r>
          </w:p>
        </w:tc>
        <w:tc>
          <w:tcPr>
            <w:tcW w:w="3037" w:type="pct"/>
          </w:tcPr>
          <w:p w14:paraId="0AF323BB"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Communication, interpersonal relationship skills, and teamwork skills, analytical thinking and foreign language skills, computer skills, information technology, Persuasion, creativity, speaking and diction skills, customer-oriented, solution-oriented, result-oriented, numeric thinking skills, decision-making skills, presentation skills, learning skills, stress management skills, research skills, and process management skills</w:t>
            </w:r>
          </w:p>
        </w:tc>
      </w:tr>
      <w:tr w:rsidR="00CD6352" w:rsidRPr="008D4A2A" w14:paraId="0C1B016C" w14:textId="77777777" w:rsidTr="00CD6352">
        <w:tc>
          <w:tcPr>
            <w:tcW w:w="639" w:type="pct"/>
          </w:tcPr>
          <w:p w14:paraId="3901B600"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Kothari, C. (01).</w:t>
            </w:r>
          </w:p>
        </w:tc>
        <w:tc>
          <w:tcPr>
            <w:tcW w:w="1324" w:type="pct"/>
          </w:tcPr>
          <w:p w14:paraId="11AFFAC4"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Human capital, skills, and competencies: Varying effects on inward FDI in the EU context</w:t>
            </w:r>
          </w:p>
        </w:tc>
        <w:tc>
          <w:tcPr>
            <w:tcW w:w="3037" w:type="pct"/>
          </w:tcPr>
          <w:p w14:paraId="2733DFBC"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skills in science, mathematics, and reading</w:t>
            </w:r>
          </w:p>
        </w:tc>
      </w:tr>
      <w:tr w:rsidR="00CD6352" w:rsidRPr="008D4A2A" w14:paraId="2E2A0930" w14:textId="77777777" w:rsidTr="00CD6352">
        <w:tc>
          <w:tcPr>
            <w:tcW w:w="639" w:type="pct"/>
          </w:tcPr>
          <w:p w14:paraId="031242B6" w14:textId="77777777" w:rsidR="00CD6352" w:rsidRPr="008D4A2A" w:rsidRDefault="00CD6352" w:rsidP="00CD6352">
            <w:pPr>
              <w:jc w:val="both"/>
              <w:rPr>
                <w:rFonts w:ascii="Arial" w:eastAsia="Calibri" w:hAnsi="Arial" w:cs="Arial"/>
                <w:sz w:val="16"/>
                <w:szCs w:val="16"/>
              </w:rPr>
            </w:pPr>
          </w:p>
          <w:p w14:paraId="6E95F59D"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IPMA (2015)</w:t>
            </w:r>
          </w:p>
        </w:tc>
        <w:tc>
          <w:tcPr>
            <w:tcW w:w="1324" w:type="pct"/>
          </w:tcPr>
          <w:p w14:paraId="09FC7C68" w14:textId="77777777" w:rsidR="00CD6352" w:rsidRPr="008D4A2A" w:rsidRDefault="00CD6352" w:rsidP="00CD6352">
            <w:pPr>
              <w:jc w:val="both"/>
              <w:rPr>
                <w:rFonts w:ascii="Arial" w:eastAsia="Calibri" w:hAnsi="Arial" w:cs="Arial"/>
                <w:sz w:val="16"/>
                <w:szCs w:val="16"/>
              </w:rPr>
            </w:pPr>
          </w:p>
          <w:p w14:paraId="363D4945"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Skills and abilities to secure finance for project management</w:t>
            </w:r>
          </w:p>
        </w:tc>
        <w:tc>
          <w:tcPr>
            <w:tcW w:w="3037" w:type="pct"/>
          </w:tcPr>
          <w:p w14:paraId="6830AB57" w14:textId="77777777" w:rsidR="00CD6352" w:rsidRPr="008D4A2A" w:rsidRDefault="00CD6352" w:rsidP="00CD6352">
            <w:pPr>
              <w:jc w:val="both"/>
              <w:rPr>
                <w:rFonts w:ascii="Arial" w:eastAsia="Calibri" w:hAnsi="Arial" w:cs="Arial"/>
                <w:sz w:val="16"/>
                <w:szCs w:val="16"/>
              </w:rPr>
            </w:pPr>
            <w:r w:rsidRPr="008D4A2A">
              <w:rPr>
                <w:rFonts w:ascii="Arial" w:eastAsia="Calibri" w:hAnsi="Arial" w:cs="Arial"/>
                <w:sz w:val="16"/>
                <w:szCs w:val="16"/>
              </w:rPr>
              <w:t>Convincing / negotiating with sponsors; scenario techniques; interpreting and communicating the actual cost situation; developing financial forecast and models; writing skills; presentation skills; reading financial statements; analysing financial data and identifying trends; financial management approach analysis; developing a project budget; setting frameworks for resource project cost estimation; directing and authorising cost strategies and cost management plans; developing and maintaining cost management systems and conducting analysis, evaluating options and implementing responses to project cost variations</w:t>
            </w:r>
          </w:p>
        </w:tc>
      </w:tr>
    </w:tbl>
    <w:p w14:paraId="1DAF5573" w14:textId="02441A03" w:rsidR="00CD6352" w:rsidRPr="008D4A2A" w:rsidRDefault="00CD6352" w:rsidP="00CD6352">
      <w:pPr>
        <w:rPr>
          <w:rFonts w:ascii="Arial" w:hAnsi="Arial" w:cs="Arial"/>
          <w:sz w:val="16"/>
          <w:szCs w:val="16"/>
          <w:lang w:val="en-US"/>
        </w:rPr>
      </w:pPr>
      <w:r w:rsidRPr="008D4A2A">
        <w:rPr>
          <w:rFonts w:ascii="Arial" w:hAnsi="Arial" w:cs="Arial"/>
          <w:sz w:val="16"/>
          <w:szCs w:val="16"/>
        </w:rPr>
        <w:t xml:space="preserve">Sources: The Author’s compilation based on a review of </w:t>
      </w:r>
      <w:r w:rsidR="008D4A2A" w:rsidRPr="008D4A2A">
        <w:rPr>
          <w:rFonts w:ascii="Arial" w:hAnsi="Arial" w:cs="Arial"/>
          <w:sz w:val="16"/>
          <w:szCs w:val="16"/>
        </w:rPr>
        <w:t xml:space="preserve">the </w:t>
      </w:r>
      <w:r w:rsidRPr="008D4A2A">
        <w:rPr>
          <w:rFonts w:ascii="Arial" w:hAnsi="Arial" w:cs="Arial"/>
          <w:sz w:val="16"/>
          <w:szCs w:val="16"/>
        </w:rPr>
        <w:t>literature</w:t>
      </w:r>
    </w:p>
    <w:p w14:paraId="6A6DDC8A" w14:textId="29F788B0" w:rsidR="00CD6352"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To meet up the demands of financiers, the manager and his team need a robust skillset</w:t>
      </w:r>
      <w:r w:rsidR="00945FA2">
        <w:rPr>
          <w:rFonts w:ascii="Arial" w:eastAsia="Calibri" w:hAnsi="Arial" w:cs="Arial"/>
          <w:lang w:val="en-US"/>
        </w:rPr>
        <w:t>.</w:t>
      </w:r>
      <w:r w:rsidRPr="00EA7665">
        <w:rPr>
          <w:rFonts w:ascii="Arial" w:eastAsia="Calibri" w:hAnsi="Arial" w:cs="Arial"/>
          <w:lang w:val="en-US"/>
        </w:rPr>
        <w:t xml:space="preserve">  Arguably, this is a combination of human skills, technical skills, conceptual skills, political skills, and financial management skills.</w:t>
      </w:r>
    </w:p>
    <w:p w14:paraId="13B28A14" w14:textId="77777777" w:rsidR="00CD6352" w:rsidRPr="00EA7665" w:rsidRDefault="00CD6352" w:rsidP="00CD6352">
      <w:pPr>
        <w:spacing w:line="360" w:lineRule="auto"/>
        <w:jc w:val="both"/>
        <w:rPr>
          <w:rFonts w:ascii="Arial" w:eastAsia="Calibri" w:hAnsi="Arial" w:cs="Arial"/>
          <w:lang w:val="en-US"/>
        </w:rPr>
      </w:pPr>
      <w:r>
        <w:rPr>
          <w:rFonts w:ascii="Arial" w:eastAsia="Calibri" w:hAnsi="Arial" w:cs="Arial"/>
          <w:lang w:val="en-US"/>
        </w:rPr>
        <w:t>The next segment of this study discusses the review of literature on management knowledge.</w:t>
      </w:r>
    </w:p>
    <w:p w14:paraId="4367E2FA" w14:textId="77777777" w:rsidR="00CD6352" w:rsidRPr="00EA7665" w:rsidRDefault="00CD6352" w:rsidP="00CD6352">
      <w:pPr>
        <w:pStyle w:val="Heading3"/>
        <w:spacing w:after="240"/>
        <w:rPr>
          <w:sz w:val="22"/>
          <w:szCs w:val="22"/>
        </w:rPr>
      </w:pPr>
      <w:bookmarkStart w:id="780" w:name="_Toc78983801"/>
      <w:r w:rsidRPr="00EA7665">
        <w:rPr>
          <w:sz w:val="22"/>
          <w:szCs w:val="22"/>
        </w:rPr>
        <w:t>Management knowledge: definition and characteristics</w:t>
      </w:r>
      <w:bookmarkEnd w:id="780"/>
    </w:p>
    <w:p w14:paraId="037B7621" w14:textId="0D1DC8C7" w:rsidR="00CD6352" w:rsidRPr="00EA7665" w:rsidRDefault="00CD6352" w:rsidP="00CD6352">
      <w:pPr>
        <w:spacing w:line="360" w:lineRule="auto"/>
        <w:jc w:val="both"/>
        <w:rPr>
          <w:rFonts w:ascii="Arial" w:hAnsi="Arial" w:cs="Arial"/>
        </w:rPr>
      </w:pPr>
      <w:r w:rsidRPr="00EA7665">
        <w:rPr>
          <w:rFonts w:ascii="Arial" w:hAnsi="Arial" w:cs="Arial"/>
          <w:color w:val="000000"/>
        </w:rPr>
        <w:t xml:space="preserve">Knowledge and skills are often interchangeably used, but there is a slight difference in both terms. According to Spencer (1993), skill is the ability to perform </w:t>
      </w:r>
      <w:r w:rsidR="00E80469">
        <w:rPr>
          <w:rFonts w:ascii="Arial" w:hAnsi="Arial" w:cs="Arial"/>
          <w:color w:val="000000"/>
        </w:rPr>
        <w:t>a</w:t>
      </w:r>
      <w:r w:rsidRPr="00EA7665">
        <w:rPr>
          <w:rFonts w:ascii="Arial" w:hAnsi="Arial" w:cs="Arial"/>
          <w:color w:val="000000"/>
        </w:rPr>
        <w:t xml:space="preserve"> physical or mental task, and it can be acquired through training and practice. Knowledge is the collection of information and experience that the </w:t>
      </w:r>
      <w:r w:rsidR="005B398B">
        <w:rPr>
          <w:rFonts w:ascii="Arial" w:hAnsi="Arial" w:cs="Arial"/>
          <w:color w:val="000000"/>
        </w:rPr>
        <w:t>real estate development sector manage</w:t>
      </w:r>
      <w:r w:rsidRPr="00EA7665">
        <w:rPr>
          <w:rFonts w:ascii="Arial" w:hAnsi="Arial" w:cs="Arial"/>
          <w:color w:val="000000"/>
        </w:rPr>
        <w:t xml:space="preserve">r possesses (IPMA, 2015).  It means that to </w:t>
      </w:r>
      <w:r>
        <w:rPr>
          <w:rFonts w:ascii="Arial" w:hAnsi="Arial" w:cs="Arial"/>
          <w:color w:val="000000"/>
        </w:rPr>
        <w:t>ski</w:t>
      </w:r>
      <w:r w:rsidR="00E80469">
        <w:rPr>
          <w:rFonts w:ascii="Arial" w:hAnsi="Arial" w:cs="Arial"/>
          <w:color w:val="000000"/>
        </w:rPr>
        <w:t>l</w:t>
      </w:r>
      <w:r>
        <w:rPr>
          <w:rFonts w:ascii="Arial" w:hAnsi="Arial" w:cs="Arial"/>
          <w:color w:val="000000"/>
        </w:rPr>
        <w:t>lfully</w:t>
      </w:r>
      <w:r w:rsidRPr="00EA7665">
        <w:rPr>
          <w:rFonts w:ascii="Arial" w:hAnsi="Arial" w:cs="Arial"/>
          <w:color w:val="000000"/>
        </w:rPr>
        <w:t xml:space="preserve"> execute a task, having knowledge will be a precondition to effectiveness. Conversely, the </w:t>
      </w:r>
      <w:r w:rsidR="005B398B">
        <w:rPr>
          <w:rFonts w:ascii="Arial" w:hAnsi="Arial" w:cs="Arial"/>
          <w:color w:val="000000"/>
        </w:rPr>
        <w:t>managers and personnel's knowledge base</w:t>
      </w:r>
      <w:r w:rsidRPr="00EA7665">
        <w:rPr>
          <w:rFonts w:ascii="Arial" w:hAnsi="Arial" w:cs="Arial"/>
          <w:color w:val="000000"/>
        </w:rPr>
        <w:t xml:space="preserve"> in an organisation helps to reduce the skills gap. Knowledge</w:t>
      </w:r>
      <w:r w:rsidR="002248CD">
        <w:rPr>
          <w:rFonts w:ascii="Arial" w:hAnsi="Arial" w:cs="Arial"/>
          <w:color w:val="000000"/>
        </w:rPr>
        <w:t xml:space="preserve"> is</w:t>
      </w:r>
      <w:r w:rsidR="00EF39BA">
        <w:rPr>
          <w:rFonts w:ascii="Arial" w:hAnsi="Arial" w:cs="Arial"/>
          <w:color w:val="000000"/>
        </w:rPr>
        <w:t>,</w:t>
      </w:r>
      <w:r w:rsidR="002248CD">
        <w:rPr>
          <w:rFonts w:ascii="Arial" w:hAnsi="Arial" w:cs="Arial"/>
          <w:color w:val="000000"/>
        </w:rPr>
        <w:t xml:space="preserve"> therefore</w:t>
      </w:r>
      <w:r w:rsidRPr="00EA7665">
        <w:rPr>
          <w:rFonts w:ascii="Arial" w:hAnsi="Arial" w:cs="Arial"/>
          <w:color w:val="000000"/>
        </w:rPr>
        <w:t xml:space="preserve"> is needed to facilitate the acquisition of skills</w:t>
      </w:r>
      <w:r w:rsidR="002248CD">
        <w:rPr>
          <w:rFonts w:ascii="Arial" w:hAnsi="Arial" w:cs="Arial"/>
          <w:color w:val="000000"/>
        </w:rPr>
        <w:t>.</w:t>
      </w:r>
    </w:p>
    <w:p w14:paraId="326F7348" w14:textId="5EB19CC3" w:rsidR="00CD6352" w:rsidRPr="00EA7665" w:rsidRDefault="00CD6352" w:rsidP="00CD6352">
      <w:pPr>
        <w:spacing w:line="360" w:lineRule="auto"/>
        <w:jc w:val="both"/>
        <w:rPr>
          <w:rFonts w:ascii="Arial" w:hAnsi="Arial" w:cs="Arial"/>
        </w:rPr>
      </w:pPr>
      <w:r w:rsidRPr="00EA7665">
        <w:rPr>
          <w:rFonts w:ascii="Arial" w:hAnsi="Arial" w:cs="Arial"/>
        </w:rPr>
        <w:lastRenderedPageBreak/>
        <w:t>Knowledge is generally classified into explicit, implicit and tacit knowledge</w:t>
      </w:r>
      <w:r w:rsidR="00405BC0" w:rsidRPr="00405BC0">
        <w:rPr>
          <w:rFonts w:ascii="Arial" w:hAnsi="Arial" w:cs="Arial"/>
        </w:rPr>
        <w:t xml:space="preserve"> (Udomdech et al., 2018</w:t>
      </w:r>
      <w:r w:rsidR="00405BC0">
        <w:rPr>
          <w:rFonts w:ascii="Arial" w:hAnsi="Arial" w:cs="Arial"/>
        </w:rPr>
        <w:t>;</w:t>
      </w:r>
      <w:r w:rsidR="00405BC0" w:rsidRPr="00405BC0">
        <w:t xml:space="preserve"> </w:t>
      </w:r>
      <w:r w:rsidR="00405BC0" w:rsidRPr="00405BC0">
        <w:rPr>
          <w:rFonts w:ascii="Arial" w:hAnsi="Arial" w:cs="Arial"/>
        </w:rPr>
        <w:t xml:space="preserve">Alexander, 2019). </w:t>
      </w:r>
      <w:r w:rsidRPr="00EA7665">
        <w:rPr>
          <w:rFonts w:ascii="Arial" w:hAnsi="Arial" w:cs="Arial"/>
        </w:rPr>
        <w:t xml:space="preserve">Explicit knowledge can be expressed in words, numbers, and symbols, and it can be stored in books, computers and </w:t>
      </w:r>
      <w:r w:rsidR="00EF39BA">
        <w:rPr>
          <w:rFonts w:ascii="Arial" w:hAnsi="Arial" w:cs="Arial"/>
        </w:rPr>
        <w:t>other mediums</w:t>
      </w:r>
      <w:r w:rsidR="005B398B">
        <w:rPr>
          <w:rFonts w:ascii="Arial" w:hAnsi="Arial" w:cs="Arial"/>
        </w:rPr>
        <w:t>,</w:t>
      </w:r>
      <w:r w:rsidRPr="00EA7665">
        <w:rPr>
          <w:rFonts w:ascii="Arial" w:hAnsi="Arial" w:cs="Arial"/>
        </w:rPr>
        <w:t xml:space="preserve"> and it is easy to articulate, write down and share</w:t>
      </w:r>
      <w:r w:rsidR="00987A59">
        <w:rPr>
          <w:rFonts w:ascii="Arial" w:hAnsi="Arial" w:cs="Arial"/>
        </w:rPr>
        <w:t>.</w:t>
      </w:r>
      <w:r w:rsidR="0096081B">
        <w:rPr>
          <w:rFonts w:ascii="Arial" w:hAnsi="Arial" w:cs="Arial"/>
        </w:rPr>
        <w:t xml:space="preserve"> </w:t>
      </w:r>
      <w:r w:rsidRPr="00EA7665">
        <w:rPr>
          <w:rFonts w:ascii="Arial" w:hAnsi="Arial" w:cs="Arial"/>
        </w:rPr>
        <w:t>While implicit knowledge is knowledge gained through incidental activities or without awareness that learning is occurring. Implicit knowledge is the practical application of explicit knowledge, and it could be obtained on the job</w:t>
      </w:r>
      <w:r w:rsidR="00405BC0">
        <w:rPr>
          <w:rFonts w:ascii="Arial" w:hAnsi="Arial" w:cs="Arial"/>
        </w:rPr>
        <w:t>. W</w:t>
      </w:r>
      <w:r w:rsidRPr="00EA7665">
        <w:rPr>
          <w:rFonts w:ascii="Arial" w:hAnsi="Arial" w:cs="Arial"/>
        </w:rPr>
        <w:t>hile tacit knowledge is gained through personal experience and it is more difficult to express</w:t>
      </w:r>
      <w:r w:rsidR="0096081B">
        <w:rPr>
          <w:rFonts w:ascii="Arial" w:hAnsi="Arial" w:cs="Arial"/>
        </w:rPr>
        <w:t>.</w:t>
      </w:r>
    </w:p>
    <w:p w14:paraId="78A659D5" w14:textId="0A994A64" w:rsidR="00CD6352" w:rsidRPr="00EA7665" w:rsidRDefault="00CD6352" w:rsidP="00CD6352">
      <w:pPr>
        <w:spacing w:line="360" w:lineRule="auto"/>
        <w:jc w:val="both"/>
        <w:rPr>
          <w:rFonts w:ascii="Arial" w:hAnsi="Arial" w:cs="Arial"/>
        </w:rPr>
      </w:pPr>
      <w:r w:rsidRPr="00EA7665">
        <w:rPr>
          <w:rFonts w:ascii="Arial" w:hAnsi="Arial" w:cs="Arial"/>
        </w:rPr>
        <w:t>Tacit knowledge is often rooted in action procedures, routine</w:t>
      </w:r>
      <w:r w:rsidR="00405BC0">
        <w:rPr>
          <w:rFonts w:ascii="Arial" w:hAnsi="Arial" w:cs="Arial"/>
        </w:rPr>
        <w:t>s</w:t>
      </w:r>
      <w:r w:rsidRPr="00EA7665">
        <w:rPr>
          <w:rFonts w:ascii="Arial" w:hAnsi="Arial" w:cs="Arial"/>
        </w:rPr>
        <w:t>, ideas, values, and emotion</w:t>
      </w:r>
      <w:r w:rsidR="00405BC0">
        <w:rPr>
          <w:rFonts w:ascii="Arial" w:hAnsi="Arial" w:cs="Arial"/>
        </w:rPr>
        <w:t>,</w:t>
      </w:r>
      <w:r w:rsidRPr="00EA7665">
        <w:rPr>
          <w:rFonts w:ascii="Arial" w:hAnsi="Arial" w:cs="Arial"/>
        </w:rPr>
        <w:t xml:space="preserve"> while explicit knowledge can be easily recognised in the form of books, data, manuals and the internet (Clarke, 2010). Tacit knowledge is developed over time by individuals through experience and understanding gained from working in an environment. This knowledge is not written down in an explicit form but is personal to the individual concerned. The organisation can, however, lose this through labour turnover.</w:t>
      </w:r>
    </w:p>
    <w:p w14:paraId="20D147ED" w14:textId="77777777" w:rsidR="00CD6352" w:rsidRPr="00E80469" w:rsidRDefault="00CD6352" w:rsidP="00CD6352">
      <w:pPr>
        <w:pStyle w:val="Heading4"/>
        <w:spacing w:line="360" w:lineRule="auto"/>
        <w:jc w:val="both"/>
        <w:rPr>
          <w:rFonts w:ascii="Arial" w:hAnsi="Arial" w:cs="Arial"/>
          <w:b/>
          <w:i w:val="0"/>
          <w:iCs w:val="0"/>
          <w:color w:val="auto"/>
        </w:rPr>
      </w:pPr>
      <w:r w:rsidRPr="00E80469">
        <w:rPr>
          <w:rFonts w:ascii="Arial" w:hAnsi="Arial" w:cs="Arial"/>
          <w:b/>
          <w:i w:val="0"/>
          <w:iCs w:val="0"/>
          <w:color w:val="auto"/>
        </w:rPr>
        <w:t xml:space="preserve">Management Knowledge: Theory and practice </w:t>
      </w:r>
    </w:p>
    <w:p w14:paraId="17C11934" w14:textId="5363F93A"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 xml:space="preserve">Young et al. (1988) </w:t>
      </w:r>
      <w:r w:rsidR="00A27A69">
        <w:rPr>
          <w:rFonts w:ascii="Arial" w:hAnsi="Arial" w:cs="Arial"/>
          <w:color w:val="000000"/>
        </w:rPr>
        <w:t>studied</w:t>
      </w:r>
      <w:r w:rsidRPr="00EA7665">
        <w:rPr>
          <w:rFonts w:ascii="Arial" w:hAnsi="Arial" w:cs="Arial"/>
          <w:color w:val="000000"/>
        </w:rPr>
        <w:t xml:space="preserve"> personnel managers </w:t>
      </w:r>
      <w:r w:rsidR="00A27A69">
        <w:rPr>
          <w:rFonts w:ascii="Arial" w:hAnsi="Arial" w:cs="Arial"/>
          <w:color w:val="000000"/>
        </w:rPr>
        <w:t>using</w:t>
      </w:r>
      <w:r w:rsidRPr="00EA7665">
        <w:rPr>
          <w:rFonts w:ascii="Arial" w:hAnsi="Arial" w:cs="Arial"/>
          <w:color w:val="000000"/>
        </w:rPr>
        <w:t xml:space="preserve"> in-depth interviews with eleven personnel managers and a postal questionnaire completed by seventy–three senior, middle and junior managers from building and civil engineering firms. The core management skills and knowledge were classified under three main headings (Egbu, 1994). These headings are:</w:t>
      </w:r>
    </w:p>
    <w:p w14:paraId="65F0AC04" w14:textId="540E1D1C" w:rsidR="00CD6352" w:rsidRPr="00EA7665" w:rsidRDefault="00CD6352" w:rsidP="007625E7">
      <w:pPr>
        <w:pStyle w:val="ListParagraph"/>
        <w:numPr>
          <w:ilvl w:val="0"/>
          <w:numId w:val="372"/>
        </w:numPr>
        <w:spacing w:line="360" w:lineRule="auto"/>
        <w:jc w:val="both"/>
        <w:rPr>
          <w:rFonts w:ascii="Arial" w:hAnsi="Arial" w:cs="Arial"/>
          <w:color w:val="000000"/>
        </w:rPr>
      </w:pPr>
      <w:r w:rsidRPr="00EA7665">
        <w:rPr>
          <w:rFonts w:ascii="Arial" w:hAnsi="Arial" w:cs="Arial"/>
          <w:color w:val="000000"/>
        </w:rPr>
        <w:t xml:space="preserve">Financial business management: </w:t>
      </w:r>
      <w:r w:rsidR="008271BB" w:rsidRPr="00EA7665">
        <w:rPr>
          <w:rFonts w:ascii="Arial" w:hAnsi="Arial" w:cs="Arial"/>
          <w:color w:val="000000"/>
        </w:rPr>
        <w:t>These skills/</w:t>
      </w:r>
      <w:r w:rsidR="008271BB">
        <w:rPr>
          <w:rFonts w:ascii="Arial" w:hAnsi="Arial" w:cs="Arial"/>
          <w:color w:val="000000"/>
        </w:rPr>
        <w:t>knowledge</w:t>
      </w:r>
      <w:r w:rsidR="00EF39BA">
        <w:rPr>
          <w:rFonts w:ascii="Arial" w:hAnsi="Arial" w:cs="Arial"/>
          <w:color w:val="000000"/>
        </w:rPr>
        <w:t xml:space="preserve"> sets</w:t>
      </w:r>
      <w:r w:rsidRPr="00EA7665">
        <w:rPr>
          <w:rFonts w:ascii="Arial" w:hAnsi="Arial" w:cs="Arial"/>
          <w:color w:val="000000"/>
        </w:rPr>
        <w:t xml:space="preserve"> are usually associated with senior construction managers.</w:t>
      </w:r>
    </w:p>
    <w:p w14:paraId="5D040445" w14:textId="3C7F9250" w:rsidR="00CD6352" w:rsidRPr="00EA7665" w:rsidRDefault="00CD6352" w:rsidP="007625E7">
      <w:pPr>
        <w:pStyle w:val="ListParagraph"/>
        <w:numPr>
          <w:ilvl w:val="0"/>
          <w:numId w:val="372"/>
        </w:numPr>
        <w:spacing w:line="360" w:lineRule="auto"/>
        <w:jc w:val="both"/>
        <w:rPr>
          <w:rFonts w:ascii="Arial" w:hAnsi="Arial" w:cs="Arial"/>
          <w:color w:val="000000"/>
        </w:rPr>
      </w:pPr>
      <w:r w:rsidRPr="00EA7665">
        <w:rPr>
          <w:rFonts w:ascii="Arial" w:hAnsi="Arial" w:cs="Arial"/>
          <w:color w:val="000000"/>
        </w:rPr>
        <w:t xml:space="preserve">Operational management: </w:t>
      </w:r>
      <w:r w:rsidR="008271BB" w:rsidRPr="00EA7665">
        <w:rPr>
          <w:rFonts w:ascii="Arial" w:hAnsi="Arial" w:cs="Arial"/>
          <w:color w:val="000000"/>
        </w:rPr>
        <w:t>These skills /knowledge</w:t>
      </w:r>
      <w:r w:rsidR="00EF39BA">
        <w:rPr>
          <w:rFonts w:ascii="Arial" w:hAnsi="Arial" w:cs="Arial"/>
          <w:color w:val="000000"/>
        </w:rPr>
        <w:t xml:space="preserve"> sets</w:t>
      </w:r>
      <w:r w:rsidRPr="00EA7665">
        <w:rPr>
          <w:rFonts w:ascii="Arial" w:hAnsi="Arial" w:cs="Arial"/>
          <w:color w:val="000000"/>
        </w:rPr>
        <w:t xml:space="preserve"> usually involve middle and junior managers.</w:t>
      </w:r>
    </w:p>
    <w:p w14:paraId="7E24BDB4" w14:textId="77777777" w:rsidR="00CD6352" w:rsidRPr="00EA7665" w:rsidRDefault="00CD6352" w:rsidP="007625E7">
      <w:pPr>
        <w:pStyle w:val="ListParagraph"/>
        <w:numPr>
          <w:ilvl w:val="0"/>
          <w:numId w:val="372"/>
        </w:numPr>
        <w:spacing w:line="360" w:lineRule="auto"/>
        <w:jc w:val="both"/>
        <w:rPr>
          <w:rFonts w:ascii="Arial" w:hAnsi="Arial" w:cs="Arial"/>
          <w:color w:val="000000"/>
        </w:rPr>
      </w:pPr>
      <w:r w:rsidRPr="00EA7665">
        <w:rPr>
          <w:rFonts w:ascii="Arial" w:hAnsi="Arial" w:cs="Arial"/>
          <w:color w:val="000000"/>
        </w:rPr>
        <w:t>Interpersonal skills: This entails the management of people and the skills/knowledge of personal contact with people, which include leadership, supervisors, and others.</w:t>
      </w:r>
    </w:p>
    <w:p w14:paraId="628E9F25" w14:textId="33CCB694" w:rsidR="00CD6352" w:rsidRPr="00EA7665" w:rsidRDefault="00A63C48" w:rsidP="00CD6352">
      <w:pPr>
        <w:spacing w:line="360" w:lineRule="auto"/>
        <w:jc w:val="both"/>
        <w:rPr>
          <w:rFonts w:ascii="Arial" w:hAnsi="Arial" w:cs="Arial"/>
        </w:rPr>
      </w:pPr>
      <w:r>
        <w:rPr>
          <w:rFonts w:ascii="Arial" w:hAnsi="Arial" w:cs="Arial"/>
        </w:rPr>
        <w:t>Different knowledge sets vary</w:t>
      </w:r>
      <w:r w:rsidR="00CD6352" w:rsidRPr="00A865C3">
        <w:rPr>
          <w:rFonts w:ascii="Arial" w:hAnsi="Arial" w:cs="Arial"/>
        </w:rPr>
        <w:t xml:space="preserve"> during decision-making; the managers bring different skills </w:t>
      </w:r>
      <w:r w:rsidR="00CD6352">
        <w:rPr>
          <w:rFonts w:ascii="Arial" w:hAnsi="Arial" w:cs="Arial"/>
        </w:rPr>
        <w:t>sets</w:t>
      </w:r>
      <w:r w:rsidR="00CD6352" w:rsidRPr="00A865C3">
        <w:rPr>
          <w:rFonts w:ascii="Arial" w:hAnsi="Arial" w:cs="Arial"/>
        </w:rPr>
        <w:t xml:space="preserve"> and experiences combined with knowledge. The conceptual knowledge relates to things dependent on the organisation</w:t>
      </w:r>
      <w:r w:rsidR="00EF39BA">
        <w:rPr>
          <w:rFonts w:ascii="Arial" w:hAnsi="Arial" w:cs="Arial"/>
        </w:rPr>
        <w:t>,</w:t>
      </w:r>
      <w:r w:rsidR="00CD6352" w:rsidRPr="00A865C3">
        <w:rPr>
          <w:rFonts w:ascii="Arial" w:hAnsi="Arial" w:cs="Arial"/>
        </w:rPr>
        <w:t xml:space="preserve"> such as knowledge about how things work, power relations and group dynamics </w:t>
      </w:r>
      <w:r w:rsidR="00766AF6" w:rsidRPr="00A865C3">
        <w:rPr>
          <w:rFonts w:ascii="Arial" w:hAnsi="Arial" w:cs="Arial"/>
        </w:rPr>
        <w:t>(Hofstede</w:t>
      </w:r>
      <w:r w:rsidR="00CD6352" w:rsidRPr="00A865C3">
        <w:rPr>
          <w:rFonts w:ascii="Arial" w:hAnsi="Arial" w:cs="Arial"/>
        </w:rPr>
        <w:t xml:space="preserve"> et al</w:t>
      </w:r>
      <w:r w:rsidR="00EF39BA">
        <w:rPr>
          <w:rFonts w:ascii="Arial" w:hAnsi="Arial" w:cs="Arial"/>
        </w:rPr>
        <w:t>.</w:t>
      </w:r>
      <w:r w:rsidR="00CD6352" w:rsidRPr="00A865C3">
        <w:rPr>
          <w:rFonts w:ascii="Arial" w:hAnsi="Arial" w:cs="Arial"/>
        </w:rPr>
        <w:t xml:space="preserve">, 2010). </w:t>
      </w:r>
    </w:p>
    <w:p w14:paraId="147C38EB" w14:textId="00CF5F5E" w:rsidR="00CD6352" w:rsidRPr="00EA7665" w:rsidRDefault="00CD6352" w:rsidP="00CD6352">
      <w:pPr>
        <w:spacing w:line="360" w:lineRule="auto"/>
        <w:jc w:val="both"/>
        <w:rPr>
          <w:rFonts w:ascii="Arial" w:hAnsi="Arial" w:cs="Arial"/>
          <w:color w:val="000000"/>
        </w:rPr>
      </w:pPr>
      <w:r w:rsidRPr="00EA7665">
        <w:rPr>
          <w:rFonts w:ascii="Arial" w:hAnsi="Arial" w:cs="Arial"/>
        </w:rPr>
        <w:t xml:space="preserve">Brown (1991) noted that training is instrumental in </w:t>
      </w:r>
      <w:r w:rsidR="00EF39BA">
        <w:rPr>
          <w:rFonts w:ascii="Arial" w:hAnsi="Arial" w:cs="Arial"/>
        </w:rPr>
        <w:t>acquiring practical knowledge</w:t>
      </w:r>
      <w:r w:rsidR="00095BAC">
        <w:rPr>
          <w:rFonts w:ascii="Arial" w:hAnsi="Arial" w:cs="Arial"/>
        </w:rPr>
        <w:t>,</w:t>
      </w:r>
      <w:r w:rsidR="00EF39BA">
        <w:rPr>
          <w:rFonts w:ascii="Arial" w:hAnsi="Arial" w:cs="Arial"/>
        </w:rPr>
        <w:t xml:space="preserve"> and education is needed to promote</w:t>
      </w:r>
      <w:r w:rsidRPr="00EA7665">
        <w:rPr>
          <w:rFonts w:ascii="Arial" w:hAnsi="Arial" w:cs="Arial"/>
        </w:rPr>
        <w:t xml:space="preserve"> intellectual knowledge. </w:t>
      </w:r>
      <w:r w:rsidRPr="00EA7665">
        <w:rPr>
          <w:rFonts w:ascii="Arial" w:hAnsi="Arial" w:cs="Arial"/>
          <w:color w:val="000000"/>
        </w:rPr>
        <w:t xml:space="preserve">Gibbons (1998) identified five (5) attributes of knowledge production (Clarke, 2018). These five attributes are as follows: </w:t>
      </w:r>
    </w:p>
    <w:p w14:paraId="7CA0471D" w14:textId="77777777" w:rsidR="00CD6352" w:rsidRPr="00EA7665" w:rsidRDefault="00CD6352" w:rsidP="00C74AEC">
      <w:pPr>
        <w:pStyle w:val="ListParagraph"/>
        <w:numPr>
          <w:ilvl w:val="0"/>
          <w:numId w:val="82"/>
        </w:numPr>
        <w:spacing w:line="360" w:lineRule="auto"/>
        <w:jc w:val="both"/>
        <w:rPr>
          <w:rFonts w:ascii="Arial" w:hAnsi="Arial" w:cs="Arial"/>
          <w:color w:val="000000"/>
        </w:rPr>
      </w:pPr>
      <w:r w:rsidRPr="00EA7665">
        <w:rPr>
          <w:rFonts w:ascii="Arial" w:hAnsi="Arial" w:cs="Arial"/>
          <w:color w:val="000000"/>
        </w:rPr>
        <w:t>The knowledge produced in the context of application</w:t>
      </w:r>
    </w:p>
    <w:p w14:paraId="2BD52922" w14:textId="77777777" w:rsidR="00CD6352" w:rsidRPr="00EA7665" w:rsidRDefault="00CD6352" w:rsidP="00C74AEC">
      <w:pPr>
        <w:pStyle w:val="ListParagraph"/>
        <w:numPr>
          <w:ilvl w:val="0"/>
          <w:numId w:val="82"/>
        </w:numPr>
        <w:spacing w:line="360" w:lineRule="auto"/>
        <w:jc w:val="both"/>
        <w:rPr>
          <w:rFonts w:ascii="Arial" w:hAnsi="Arial" w:cs="Arial"/>
          <w:color w:val="000000"/>
        </w:rPr>
      </w:pPr>
      <w:r w:rsidRPr="00EA7665">
        <w:rPr>
          <w:rFonts w:ascii="Arial" w:hAnsi="Arial" w:cs="Arial"/>
          <w:color w:val="000000"/>
        </w:rPr>
        <w:t xml:space="preserve">Transdisciplinary </w:t>
      </w:r>
    </w:p>
    <w:p w14:paraId="2B97D219" w14:textId="77777777" w:rsidR="00CD6352" w:rsidRPr="00EA7665" w:rsidRDefault="00CD6352" w:rsidP="00C74AEC">
      <w:pPr>
        <w:pStyle w:val="ListParagraph"/>
        <w:numPr>
          <w:ilvl w:val="0"/>
          <w:numId w:val="82"/>
        </w:numPr>
        <w:spacing w:line="360" w:lineRule="auto"/>
        <w:jc w:val="both"/>
        <w:rPr>
          <w:rFonts w:ascii="Arial" w:hAnsi="Arial" w:cs="Arial"/>
          <w:color w:val="000000"/>
        </w:rPr>
      </w:pPr>
      <w:r w:rsidRPr="00EA7665">
        <w:rPr>
          <w:rFonts w:ascii="Arial" w:hAnsi="Arial" w:cs="Arial"/>
          <w:color w:val="000000"/>
        </w:rPr>
        <w:t>Heterogeneity and organisational diversity</w:t>
      </w:r>
    </w:p>
    <w:p w14:paraId="7A63CD43" w14:textId="77777777" w:rsidR="00CD6352" w:rsidRPr="00EA7665" w:rsidRDefault="00CD6352" w:rsidP="00C74AEC">
      <w:pPr>
        <w:pStyle w:val="ListParagraph"/>
        <w:numPr>
          <w:ilvl w:val="0"/>
          <w:numId w:val="82"/>
        </w:numPr>
        <w:spacing w:line="360" w:lineRule="auto"/>
        <w:jc w:val="both"/>
        <w:rPr>
          <w:rFonts w:ascii="Arial" w:hAnsi="Arial" w:cs="Arial"/>
          <w:color w:val="000000"/>
        </w:rPr>
      </w:pPr>
      <w:r w:rsidRPr="00EA7665">
        <w:rPr>
          <w:rFonts w:ascii="Arial" w:hAnsi="Arial" w:cs="Arial"/>
          <w:color w:val="000000"/>
        </w:rPr>
        <w:t>Enhanced social accountability</w:t>
      </w:r>
    </w:p>
    <w:p w14:paraId="61C68EC8" w14:textId="77777777" w:rsidR="00CD6352" w:rsidRPr="00EA7665" w:rsidRDefault="00CD6352" w:rsidP="00C74AEC">
      <w:pPr>
        <w:pStyle w:val="ListParagraph"/>
        <w:numPr>
          <w:ilvl w:val="0"/>
          <w:numId w:val="82"/>
        </w:numPr>
        <w:spacing w:line="360" w:lineRule="auto"/>
        <w:jc w:val="both"/>
        <w:rPr>
          <w:rFonts w:ascii="Arial" w:hAnsi="Arial" w:cs="Arial"/>
          <w:color w:val="000000"/>
        </w:rPr>
      </w:pPr>
      <w:r w:rsidRPr="00EA7665">
        <w:rPr>
          <w:rFonts w:ascii="Arial" w:hAnsi="Arial" w:cs="Arial"/>
          <w:color w:val="000000"/>
        </w:rPr>
        <w:lastRenderedPageBreak/>
        <w:t>More broadly based system of quality control</w:t>
      </w:r>
    </w:p>
    <w:p w14:paraId="196069D9" w14:textId="03876EA6"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The knowledge produced in the light of application is when problem-solving is carried out, following the codes of practice relevant to a particular discipline. The second entails assembling a team of specialists to work on a specific problem or application. Heterogeneity and organisational diversity entail knowledge production in the light of the skills and experience people bring on board.</w:t>
      </w:r>
      <w:r>
        <w:rPr>
          <w:rFonts w:ascii="Arial" w:hAnsi="Arial" w:cs="Arial"/>
          <w:color w:val="000000"/>
        </w:rPr>
        <w:t xml:space="preserve"> </w:t>
      </w:r>
      <w:r w:rsidRPr="003A46AA">
        <w:rPr>
          <w:rFonts w:ascii="Arial" w:hAnsi="Arial" w:cs="Arial"/>
          <w:color w:val="000000"/>
        </w:rPr>
        <w:t>According to Clarke (2018), knowledge production can be learning in the workplace and work-based learning. Workplace learning entails using industry and organisation as an extension of the academic process</w:t>
      </w:r>
      <w:r w:rsidR="00D909F7">
        <w:rPr>
          <w:rFonts w:ascii="Arial" w:hAnsi="Arial" w:cs="Arial"/>
          <w:color w:val="000000"/>
        </w:rPr>
        <w:t>,</w:t>
      </w:r>
      <w:r w:rsidRPr="003A46AA">
        <w:rPr>
          <w:rFonts w:ascii="Arial" w:hAnsi="Arial" w:cs="Arial"/>
          <w:color w:val="000000"/>
        </w:rPr>
        <w:t xml:space="preserve"> while work-based learning is the term used to describe a class of university programs that bring together universities and work organisations to create new learning opportunities in the workplace</w:t>
      </w:r>
      <w:r w:rsidR="00095BAC">
        <w:rPr>
          <w:rFonts w:ascii="Arial" w:hAnsi="Arial" w:cs="Arial"/>
          <w:color w:val="000000"/>
        </w:rPr>
        <w:t>.</w:t>
      </w:r>
      <w:r w:rsidRPr="00EA7665">
        <w:rPr>
          <w:rFonts w:ascii="Arial" w:hAnsi="Arial" w:cs="Arial"/>
          <w:color w:val="000000"/>
        </w:rPr>
        <w:t xml:space="preserve"> </w:t>
      </w:r>
    </w:p>
    <w:p w14:paraId="22C95F7C" w14:textId="1839B088"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IPMA (2015) listed fourteen (14) knowledge area</w:t>
      </w:r>
      <w:r w:rsidR="00EF39BA">
        <w:rPr>
          <w:rFonts w:ascii="Arial" w:hAnsi="Arial" w:cs="Arial"/>
          <w:color w:val="000000"/>
        </w:rPr>
        <w:t>s</w:t>
      </w:r>
      <w:r w:rsidRPr="00EA7665">
        <w:rPr>
          <w:rFonts w:ascii="Arial" w:hAnsi="Arial" w:cs="Arial"/>
          <w:color w:val="000000"/>
        </w:rPr>
        <w:t xml:space="preserve"> needed to secure finance, and they are listed below:</w:t>
      </w:r>
    </w:p>
    <w:p w14:paraId="2260CD9F" w14:textId="1929EC09"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 xml:space="preserve">Financial accounting basics </w:t>
      </w:r>
      <w:r w:rsidR="00766AF6" w:rsidRPr="00EA7665">
        <w:rPr>
          <w:rFonts w:ascii="Arial" w:hAnsi="Arial" w:cs="Arial"/>
          <w:color w:val="000000"/>
        </w:rPr>
        <w:t>(cash</w:t>
      </w:r>
      <w:r w:rsidRPr="00EA7665">
        <w:rPr>
          <w:rFonts w:ascii="Arial" w:hAnsi="Arial" w:cs="Arial"/>
          <w:color w:val="000000"/>
        </w:rPr>
        <w:t xml:space="preserve"> flow, chart of account, cost </w:t>
      </w:r>
      <w:r w:rsidR="004855B0" w:rsidRPr="00EA7665">
        <w:rPr>
          <w:rFonts w:ascii="Arial" w:hAnsi="Arial" w:cs="Arial"/>
          <w:color w:val="000000"/>
        </w:rPr>
        <w:t>structure)</w:t>
      </w:r>
    </w:p>
    <w:p w14:paraId="76BD21BA"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Cost estimating methods (e.g. single or multi-expert estimation. Historical data analogies, effort modelling, parametric estimations)</w:t>
      </w:r>
    </w:p>
    <w:p w14:paraId="50C3DC06"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Cost calculation techniques</w:t>
      </w:r>
    </w:p>
    <w:p w14:paraId="04DCAAF9"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Design –to-cost / target costing</w:t>
      </w:r>
    </w:p>
    <w:p w14:paraId="2097CF4D"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Processes and governance for cost management</w:t>
      </w:r>
    </w:p>
    <w:p w14:paraId="7AF88354"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Methods for monitoring and controlling expenditures</w:t>
      </w:r>
    </w:p>
    <w:p w14:paraId="2AD31CDC" w14:textId="32E7C0E8"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 xml:space="preserve">Performance indicators </w:t>
      </w:r>
      <w:r w:rsidR="00766AF6" w:rsidRPr="00EA7665">
        <w:rPr>
          <w:rFonts w:ascii="Arial" w:hAnsi="Arial" w:cs="Arial"/>
          <w:color w:val="000000"/>
        </w:rPr>
        <w:t>(earned</w:t>
      </w:r>
      <w:r w:rsidRPr="00EA7665">
        <w:rPr>
          <w:rFonts w:ascii="Arial" w:hAnsi="Arial" w:cs="Arial"/>
          <w:color w:val="000000"/>
        </w:rPr>
        <w:t xml:space="preserve"> value)</w:t>
      </w:r>
    </w:p>
    <w:p w14:paraId="0006FAC5"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Reporting standards</w:t>
      </w:r>
    </w:p>
    <w:p w14:paraId="26CEF8B0" w14:textId="5B1AB8DE"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 xml:space="preserve">Forecasting methods </w:t>
      </w:r>
      <w:r w:rsidR="00766AF6" w:rsidRPr="00EA7665">
        <w:rPr>
          <w:rFonts w:ascii="Arial" w:hAnsi="Arial" w:cs="Arial"/>
          <w:color w:val="000000"/>
        </w:rPr>
        <w:t>(linear</w:t>
      </w:r>
      <w:r w:rsidRPr="00EA7665">
        <w:rPr>
          <w:rFonts w:ascii="Arial" w:hAnsi="Arial" w:cs="Arial"/>
          <w:color w:val="000000"/>
        </w:rPr>
        <w:t>, parametric, velocity analysis)</w:t>
      </w:r>
    </w:p>
    <w:p w14:paraId="6D27365A"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Finance options</w:t>
      </w:r>
    </w:p>
    <w:p w14:paraId="145D0DF0"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Finance sources</w:t>
      </w:r>
    </w:p>
    <w:p w14:paraId="50EC71C0" w14:textId="5E465E26"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 xml:space="preserve">Financial management concepts and terms, such as cash flow, debt-asset ratio, </w:t>
      </w:r>
      <w:r w:rsidR="00766AF6" w:rsidRPr="00EA7665">
        <w:rPr>
          <w:rFonts w:ascii="Arial" w:hAnsi="Arial" w:cs="Arial"/>
          <w:color w:val="000000"/>
        </w:rPr>
        <w:t>return on</w:t>
      </w:r>
      <w:r w:rsidRPr="00EA7665">
        <w:rPr>
          <w:rFonts w:ascii="Arial" w:hAnsi="Arial" w:cs="Arial"/>
          <w:color w:val="000000"/>
        </w:rPr>
        <w:t xml:space="preserve"> investment, rates of return</w:t>
      </w:r>
    </w:p>
    <w:p w14:paraId="19D4AA1E" w14:textId="77777777"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 xml:space="preserve">Contingency approaches </w:t>
      </w:r>
    </w:p>
    <w:p w14:paraId="0E8F12CC" w14:textId="058B2689" w:rsidR="00CD6352" w:rsidRPr="00EA7665" w:rsidRDefault="00CD6352" w:rsidP="00C74AEC">
      <w:pPr>
        <w:pStyle w:val="ListParagraph"/>
        <w:numPr>
          <w:ilvl w:val="0"/>
          <w:numId w:val="83"/>
        </w:numPr>
        <w:spacing w:line="360" w:lineRule="auto"/>
        <w:jc w:val="both"/>
        <w:rPr>
          <w:rFonts w:ascii="Arial" w:hAnsi="Arial" w:cs="Arial"/>
          <w:color w:val="000000"/>
        </w:rPr>
      </w:pPr>
      <w:r w:rsidRPr="00EA7665">
        <w:rPr>
          <w:rFonts w:ascii="Arial" w:hAnsi="Arial" w:cs="Arial"/>
          <w:color w:val="000000"/>
        </w:rPr>
        <w:t>Relevant conventions, agreements, legislation, and regulations includ</w:t>
      </w:r>
      <w:r w:rsidR="005B398B">
        <w:rPr>
          <w:rFonts w:ascii="Arial" w:hAnsi="Arial" w:cs="Arial"/>
          <w:color w:val="000000"/>
        </w:rPr>
        <w:t>e taxation, currency exchange, bilateral or regional trade agreements, international commercial terms, and</w:t>
      </w:r>
      <w:r w:rsidRPr="00EA7665">
        <w:rPr>
          <w:rFonts w:ascii="Arial" w:hAnsi="Arial" w:cs="Arial"/>
          <w:color w:val="000000"/>
        </w:rPr>
        <w:t xml:space="preserve"> World trade organisation determination.</w:t>
      </w:r>
    </w:p>
    <w:p w14:paraId="21D0E40B" w14:textId="2F0D1D08"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 xml:space="preserve">Early </w:t>
      </w:r>
      <w:r w:rsidR="00477732">
        <w:rPr>
          <w:rFonts w:ascii="Arial" w:hAnsi="Arial" w:cs="Arial"/>
          <w:color w:val="000000"/>
        </w:rPr>
        <w:t xml:space="preserve">findings in the course of this research </w:t>
      </w:r>
      <w:r w:rsidRPr="00EA7665">
        <w:rPr>
          <w:rFonts w:ascii="Arial" w:hAnsi="Arial" w:cs="Arial"/>
          <w:color w:val="000000"/>
        </w:rPr>
        <w:t xml:space="preserve">on the knowledge and skills required by a manager to access funding for real estate project development showed that the different types of financial knowledge and skills </w:t>
      </w:r>
      <w:r>
        <w:rPr>
          <w:rFonts w:ascii="Arial" w:hAnsi="Arial" w:cs="Arial"/>
          <w:color w:val="000000"/>
        </w:rPr>
        <w:t>are</w:t>
      </w:r>
      <w:r w:rsidRPr="00EA7665">
        <w:rPr>
          <w:rFonts w:ascii="Arial" w:hAnsi="Arial" w:cs="Arial"/>
          <w:color w:val="000000"/>
        </w:rPr>
        <w:t xml:space="preserve"> critical for the manager to access finance</w:t>
      </w:r>
      <w:r w:rsidR="0006666D">
        <w:rPr>
          <w:rFonts w:ascii="Arial" w:hAnsi="Arial" w:cs="Arial"/>
          <w:color w:val="000000"/>
        </w:rPr>
        <w:t>.</w:t>
      </w:r>
      <w:r w:rsidRPr="00EA7665">
        <w:rPr>
          <w:rFonts w:ascii="Arial" w:hAnsi="Arial" w:cs="Arial"/>
          <w:color w:val="000000"/>
        </w:rPr>
        <w:t xml:space="preserve"> Having financial knowledge leads to financial capability, which ultimately enhances financial performance and </w:t>
      </w:r>
      <w:r w:rsidRPr="00EA7665">
        <w:rPr>
          <w:rFonts w:ascii="Arial" w:hAnsi="Arial" w:cs="Arial"/>
          <w:color w:val="000000"/>
        </w:rPr>
        <w:lastRenderedPageBreak/>
        <w:t>wellbeing</w:t>
      </w:r>
      <w:r w:rsidR="008271BB">
        <w:rPr>
          <w:rFonts w:ascii="Arial" w:hAnsi="Arial" w:cs="Arial"/>
          <w:color w:val="000000"/>
        </w:rPr>
        <w:t>.</w:t>
      </w:r>
      <w:r w:rsidRPr="00EA7665">
        <w:rPr>
          <w:rFonts w:ascii="Arial" w:hAnsi="Arial" w:cs="Arial"/>
          <w:color w:val="000000"/>
        </w:rPr>
        <w:t xml:space="preserve"> </w:t>
      </w:r>
      <w:r>
        <w:rPr>
          <w:rFonts w:ascii="Arial" w:hAnsi="Arial" w:cs="Arial"/>
          <w:color w:val="000000"/>
        </w:rPr>
        <w:t xml:space="preserve">Notably is the fact that education can enhance financial knowledge </w:t>
      </w:r>
      <w:r w:rsidRPr="00936C77">
        <w:rPr>
          <w:rFonts w:ascii="Arial" w:hAnsi="Arial" w:cs="Arial"/>
          <w:color w:val="000000"/>
        </w:rPr>
        <w:t>(Xiao &amp; O’Neill, 2016).</w:t>
      </w:r>
    </w:p>
    <w:p w14:paraId="740A33CC" w14:textId="68C40197"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 xml:space="preserve">Financial literacy is </w:t>
      </w:r>
      <w:r w:rsidR="005B398B">
        <w:rPr>
          <w:rFonts w:ascii="Arial" w:hAnsi="Arial" w:cs="Arial"/>
          <w:color w:val="000000"/>
        </w:rPr>
        <w:t>strongly correlated with behaviour that indicates</w:t>
      </w:r>
      <w:r w:rsidRPr="00EA7665">
        <w:rPr>
          <w:rFonts w:ascii="Arial" w:hAnsi="Arial" w:cs="Arial"/>
          <w:color w:val="000000"/>
        </w:rPr>
        <w:t xml:space="preserve"> financial </w:t>
      </w:r>
      <w:r w:rsidR="008271BB" w:rsidRPr="00EA7665">
        <w:rPr>
          <w:rFonts w:ascii="Arial" w:hAnsi="Arial" w:cs="Arial"/>
          <w:color w:val="000000"/>
        </w:rPr>
        <w:t>capability</w:t>
      </w:r>
      <w:r w:rsidR="008271BB">
        <w:rPr>
          <w:rFonts w:ascii="Arial" w:hAnsi="Arial" w:cs="Arial"/>
          <w:color w:val="000000"/>
        </w:rPr>
        <w:t>.</w:t>
      </w:r>
      <w:r w:rsidRPr="00EA7665">
        <w:rPr>
          <w:rFonts w:ascii="Arial" w:hAnsi="Arial" w:cs="Arial"/>
          <w:color w:val="000000"/>
        </w:rPr>
        <w:t xml:space="preserve"> Managers need to be equipped </w:t>
      </w:r>
      <w:r w:rsidR="005B398B">
        <w:rPr>
          <w:rFonts w:ascii="Arial" w:hAnsi="Arial" w:cs="Arial"/>
          <w:color w:val="000000"/>
        </w:rPr>
        <w:t>with at least a rudimentary level of financial knowledge to make sound financial decisions and</w:t>
      </w:r>
      <w:r w:rsidRPr="00EA7665">
        <w:rPr>
          <w:rFonts w:ascii="Arial" w:hAnsi="Arial" w:cs="Arial"/>
          <w:color w:val="000000"/>
        </w:rPr>
        <w:t xml:space="preserve"> the skills to apply what they know to actual financial decision-making situations.</w:t>
      </w:r>
      <w:r w:rsidR="009C64E1">
        <w:rPr>
          <w:rFonts w:ascii="Arial" w:hAnsi="Arial" w:cs="Arial"/>
          <w:color w:val="000000"/>
        </w:rPr>
        <w:t xml:space="preserve"> </w:t>
      </w:r>
      <w:r w:rsidRPr="00EA7665">
        <w:rPr>
          <w:rFonts w:ascii="Arial" w:hAnsi="Arial" w:cs="Arial"/>
          <w:color w:val="000000"/>
        </w:rPr>
        <w:t>Knowledge is power and helps to reduce uncertainty around financial choices</w:t>
      </w:r>
      <w:r w:rsidR="009C64E1">
        <w:rPr>
          <w:rFonts w:ascii="Arial" w:hAnsi="Arial" w:cs="Arial"/>
          <w:color w:val="000000"/>
        </w:rPr>
        <w:t xml:space="preserve">. </w:t>
      </w:r>
      <w:r>
        <w:rPr>
          <w:rFonts w:ascii="Arial" w:hAnsi="Arial" w:cs="Arial"/>
          <w:color w:val="000000"/>
        </w:rPr>
        <w:t>A l</w:t>
      </w:r>
      <w:r w:rsidRPr="00EA7665">
        <w:rPr>
          <w:rFonts w:ascii="Arial" w:hAnsi="Arial" w:cs="Arial"/>
          <w:color w:val="000000"/>
        </w:rPr>
        <w:t xml:space="preserve">ack </w:t>
      </w:r>
      <w:r>
        <w:rPr>
          <w:rFonts w:ascii="Arial" w:hAnsi="Arial" w:cs="Arial"/>
          <w:color w:val="000000"/>
        </w:rPr>
        <w:t xml:space="preserve">of </w:t>
      </w:r>
      <w:r w:rsidRPr="00EA7665">
        <w:rPr>
          <w:rFonts w:ascii="Arial" w:hAnsi="Arial" w:cs="Arial"/>
          <w:color w:val="000000"/>
        </w:rPr>
        <w:t xml:space="preserve">or inadequate financial knowledge can lead to </w:t>
      </w:r>
      <w:r>
        <w:rPr>
          <w:rFonts w:ascii="Arial" w:hAnsi="Arial" w:cs="Arial"/>
          <w:color w:val="000000"/>
        </w:rPr>
        <w:t xml:space="preserve">the </w:t>
      </w:r>
      <w:r w:rsidRPr="00EA7665">
        <w:rPr>
          <w:rFonts w:ascii="Arial" w:hAnsi="Arial" w:cs="Arial"/>
          <w:color w:val="000000"/>
        </w:rPr>
        <w:t>wrong financial decisions, such as poor borrowing habits that could cause financial problems and lead to lower financial wellbeing</w:t>
      </w:r>
      <w:r w:rsidR="00A55B89">
        <w:rPr>
          <w:rFonts w:ascii="Arial" w:hAnsi="Arial" w:cs="Arial"/>
          <w:color w:val="000000"/>
        </w:rPr>
        <w:t xml:space="preserve">. </w:t>
      </w:r>
      <w:r w:rsidRPr="00EA7665">
        <w:rPr>
          <w:rFonts w:ascii="Arial" w:hAnsi="Arial" w:cs="Arial"/>
          <w:color w:val="000000"/>
        </w:rPr>
        <w:t>Financial literacy is composed of financial attitude, financial knowledge, and financial skills, and it is an essential component of sound financial decision-making. Notably</w:t>
      </w:r>
      <w:r w:rsidR="005B398B">
        <w:rPr>
          <w:rFonts w:ascii="Arial" w:hAnsi="Arial" w:cs="Arial"/>
          <w:color w:val="000000"/>
        </w:rPr>
        <w:t>,</w:t>
      </w:r>
      <w:r w:rsidRPr="00EA7665">
        <w:rPr>
          <w:rFonts w:ascii="Arial" w:hAnsi="Arial" w:cs="Arial"/>
          <w:color w:val="000000"/>
        </w:rPr>
        <w:t xml:space="preserve"> managers with low financial literacy are more likely to have problems with debt. Financial knowledge is a strong predictor of financial behaviour amongst managers, and it is a preventive factor for financial issues. </w:t>
      </w:r>
    </w:p>
    <w:p w14:paraId="467200E3" w14:textId="22F7D0BF"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 xml:space="preserve">Financial knowledge </w:t>
      </w:r>
      <w:r>
        <w:rPr>
          <w:rFonts w:ascii="Arial" w:hAnsi="Arial" w:cs="Arial"/>
          <w:color w:val="000000"/>
        </w:rPr>
        <w:t>has</w:t>
      </w:r>
      <w:r w:rsidRPr="00EA7665">
        <w:rPr>
          <w:rFonts w:ascii="Arial" w:hAnsi="Arial" w:cs="Arial"/>
          <w:color w:val="000000"/>
        </w:rPr>
        <w:t xml:space="preserve"> a significant influence on the manager’s financial behaviour. According to the Financial Services Authority (FSA) of the United Kingdom, the four different aspects of financial management behaviour assessed are the ability to manage money, plan finances, make informed choices and the ability to seek help from the right sources. </w:t>
      </w:r>
      <w:r w:rsidR="00BE468D">
        <w:rPr>
          <w:rFonts w:ascii="Arial" w:hAnsi="Arial" w:cs="Arial"/>
          <w:color w:val="000000"/>
        </w:rPr>
        <w:t>S</w:t>
      </w:r>
      <w:r w:rsidRPr="00EA7665">
        <w:rPr>
          <w:rFonts w:ascii="Arial" w:hAnsi="Arial" w:cs="Arial"/>
          <w:color w:val="000000"/>
        </w:rPr>
        <w:t xml:space="preserve">imilar to the FSA’s model, the Financial Regulator of Ireland’s (2009) four key areas that define acceptable financial management practices are money management, which includes making ends meet and keeping track of money, planning, choosing products and staying informed. </w:t>
      </w:r>
    </w:p>
    <w:p w14:paraId="1E98CDF9" w14:textId="251F8B55" w:rsidR="00CD6352" w:rsidRDefault="00CD6352" w:rsidP="00CD6352">
      <w:pPr>
        <w:spacing w:line="360" w:lineRule="auto"/>
        <w:jc w:val="both"/>
        <w:rPr>
          <w:rFonts w:ascii="Arial" w:hAnsi="Arial" w:cs="Arial"/>
          <w:color w:val="000000"/>
        </w:rPr>
      </w:pPr>
      <w:r w:rsidRPr="00EA7665">
        <w:rPr>
          <w:rFonts w:ascii="Arial" w:hAnsi="Arial" w:cs="Arial"/>
          <w:color w:val="000000"/>
        </w:rPr>
        <w:t xml:space="preserve">Furthermore, </w:t>
      </w:r>
      <w:r w:rsidR="005B398B">
        <w:rPr>
          <w:rFonts w:ascii="Arial" w:hAnsi="Arial" w:cs="Arial"/>
          <w:color w:val="000000"/>
        </w:rPr>
        <w:t>in collaboration with the Russia Trust Fund of Financial Literacy and Education, the World Bank Study</w:t>
      </w:r>
      <w:r w:rsidRPr="00EA7665">
        <w:rPr>
          <w:rFonts w:ascii="Arial" w:hAnsi="Arial" w:cs="Arial"/>
          <w:color w:val="000000"/>
        </w:rPr>
        <w:t xml:space="preserve"> identified ten </w:t>
      </w:r>
      <w:r w:rsidR="00EF39BA">
        <w:rPr>
          <w:rFonts w:ascii="Arial" w:hAnsi="Arial" w:cs="Arial"/>
          <w:color w:val="000000"/>
        </w:rPr>
        <w:t>financial behaviour components</w:t>
      </w:r>
      <w:r w:rsidRPr="00EA7665">
        <w:rPr>
          <w:rFonts w:ascii="Arial" w:hAnsi="Arial" w:cs="Arial"/>
          <w:color w:val="000000"/>
        </w:rPr>
        <w:t xml:space="preserve"> comparable across countries. The ten behavioural factors are budgeting, living within means, monitoring expenses, using information, not overspending, covering unexpected expenses, saving, attitude toward the future, not being impulsive and achievement orientation. T</w:t>
      </w:r>
      <w:r w:rsidR="00EF39BA">
        <w:rPr>
          <w:rFonts w:ascii="Arial" w:hAnsi="Arial" w:cs="Arial"/>
          <w:color w:val="000000"/>
        </w:rPr>
        <w:t>he different sets of financial knowledge obtained from the literature review provided a platform for developing the questionnaire survey to access how these knowledge set</w:t>
      </w:r>
      <w:r w:rsidR="005B65CE">
        <w:rPr>
          <w:rFonts w:ascii="Arial" w:hAnsi="Arial" w:cs="Arial"/>
          <w:color w:val="000000"/>
        </w:rPr>
        <w:t>s</w:t>
      </w:r>
      <w:r w:rsidR="00EF39BA">
        <w:rPr>
          <w:rFonts w:ascii="Arial" w:hAnsi="Arial" w:cs="Arial"/>
          <w:color w:val="000000"/>
        </w:rPr>
        <w:t xml:space="preserve"> are used by managers in the </w:t>
      </w:r>
      <w:r w:rsidR="00BE468D">
        <w:rPr>
          <w:rFonts w:ascii="Arial" w:hAnsi="Arial" w:cs="Arial"/>
          <w:color w:val="000000"/>
        </w:rPr>
        <w:t>r</w:t>
      </w:r>
      <w:r w:rsidR="00EF39BA">
        <w:rPr>
          <w:rFonts w:ascii="Arial" w:hAnsi="Arial" w:cs="Arial"/>
          <w:color w:val="000000"/>
        </w:rPr>
        <w:t xml:space="preserve">eal estate development sector to access finance for project development. Table 3.8.2 provides a summary of some financial knowledge from </w:t>
      </w:r>
      <w:r w:rsidR="00BF3067">
        <w:rPr>
          <w:rFonts w:ascii="Arial" w:hAnsi="Arial" w:cs="Arial"/>
          <w:color w:val="000000"/>
        </w:rPr>
        <w:t xml:space="preserve">a </w:t>
      </w:r>
      <w:r w:rsidR="00EF39BA">
        <w:rPr>
          <w:rFonts w:ascii="Arial" w:hAnsi="Arial" w:cs="Arial"/>
          <w:color w:val="000000"/>
        </w:rPr>
        <w:t>review of the literature</w:t>
      </w:r>
      <w:r w:rsidR="00FA2652">
        <w:rPr>
          <w:rFonts w:ascii="Arial" w:hAnsi="Arial" w:cs="Arial"/>
          <w:color w:val="000000"/>
        </w:rPr>
        <w:t>.</w:t>
      </w:r>
    </w:p>
    <w:p w14:paraId="3E6F5DE6" w14:textId="4259C49B" w:rsidR="000E7835" w:rsidRDefault="000E7835" w:rsidP="00CD6352">
      <w:pPr>
        <w:spacing w:line="360" w:lineRule="auto"/>
        <w:jc w:val="both"/>
        <w:rPr>
          <w:rFonts w:ascii="Arial" w:hAnsi="Arial" w:cs="Arial"/>
          <w:color w:val="000000"/>
        </w:rPr>
      </w:pPr>
    </w:p>
    <w:p w14:paraId="08D83FD6" w14:textId="4B96B1FC" w:rsidR="000E7835" w:rsidRDefault="000E7835" w:rsidP="00CD6352">
      <w:pPr>
        <w:spacing w:line="360" w:lineRule="auto"/>
        <w:jc w:val="both"/>
        <w:rPr>
          <w:rFonts w:ascii="Arial" w:hAnsi="Arial" w:cs="Arial"/>
          <w:color w:val="000000"/>
        </w:rPr>
      </w:pPr>
    </w:p>
    <w:p w14:paraId="6F36EEF4" w14:textId="297A01C0" w:rsidR="00BF3067" w:rsidRDefault="00BF3067" w:rsidP="00CD6352">
      <w:pPr>
        <w:spacing w:line="360" w:lineRule="auto"/>
        <w:jc w:val="both"/>
        <w:rPr>
          <w:rFonts w:ascii="Arial" w:hAnsi="Arial" w:cs="Arial"/>
          <w:color w:val="000000"/>
        </w:rPr>
      </w:pPr>
    </w:p>
    <w:p w14:paraId="48A1E702" w14:textId="5D47E827" w:rsidR="00BF3067" w:rsidRDefault="00BF3067" w:rsidP="00CD6352">
      <w:pPr>
        <w:spacing w:line="360" w:lineRule="auto"/>
        <w:jc w:val="both"/>
        <w:rPr>
          <w:rFonts w:ascii="Arial" w:hAnsi="Arial" w:cs="Arial"/>
          <w:color w:val="000000"/>
        </w:rPr>
      </w:pPr>
    </w:p>
    <w:p w14:paraId="2AA1FCB5" w14:textId="77777777" w:rsidR="00BF3067" w:rsidRPr="00EA7665" w:rsidRDefault="00BF3067" w:rsidP="00CD6352">
      <w:pPr>
        <w:spacing w:line="360" w:lineRule="auto"/>
        <w:jc w:val="both"/>
        <w:rPr>
          <w:rFonts w:ascii="Arial" w:hAnsi="Arial" w:cs="Arial"/>
          <w:color w:val="000000"/>
        </w:rPr>
      </w:pPr>
    </w:p>
    <w:p w14:paraId="67228433" w14:textId="1A351075" w:rsidR="00CD6352" w:rsidRPr="00E80469" w:rsidRDefault="00CD6352" w:rsidP="00CD6352">
      <w:pPr>
        <w:pStyle w:val="Caption"/>
        <w:rPr>
          <w:rFonts w:ascii="Arial" w:hAnsi="Arial" w:cs="Arial"/>
          <w:i w:val="0"/>
          <w:color w:val="000000"/>
          <w:sz w:val="16"/>
          <w:szCs w:val="16"/>
        </w:rPr>
      </w:pPr>
      <w:bookmarkStart w:id="781" w:name="_Toc78983955"/>
      <w:r w:rsidRPr="00E80469">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3.8</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E80469">
        <w:rPr>
          <w:rFonts w:ascii="Arial" w:hAnsi="Arial" w:cs="Arial"/>
          <w:i w:val="0"/>
          <w:color w:val="000000"/>
          <w:sz w:val="16"/>
          <w:szCs w:val="16"/>
        </w:rPr>
        <w:t>: Summary of different types of financial knowledge from the review of literature</w:t>
      </w:r>
      <w:bookmarkEnd w:id="781"/>
    </w:p>
    <w:tbl>
      <w:tblPr>
        <w:tblStyle w:val="TableGrid"/>
        <w:tblW w:w="5000" w:type="pct"/>
        <w:tblLook w:val="04A0" w:firstRow="1" w:lastRow="0" w:firstColumn="1" w:lastColumn="0" w:noHBand="0" w:noVBand="1"/>
      </w:tblPr>
      <w:tblGrid>
        <w:gridCol w:w="1696"/>
        <w:gridCol w:w="2552"/>
        <w:gridCol w:w="4768"/>
      </w:tblGrid>
      <w:tr w:rsidR="00CD6352" w:rsidRPr="00BF3067" w14:paraId="341211B0" w14:textId="77777777" w:rsidTr="00BF3067">
        <w:tc>
          <w:tcPr>
            <w:tcW w:w="941" w:type="pct"/>
          </w:tcPr>
          <w:p w14:paraId="323681F4" w14:textId="77777777" w:rsidR="00CD6352" w:rsidRPr="00BF3067" w:rsidRDefault="00CD6352" w:rsidP="00CD6352">
            <w:pPr>
              <w:jc w:val="both"/>
              <w:rPr>
                <w:rFonts w:ascii="Arial" w:hAnsi="Arial" w:cs="Arial"/>
                <w:b/>
                <w:color w:val="000000"/>
                <w:sz w:val="16"/>
                <w:szCs w:val="16"/>
              </w:rPr>
            </w:pPr>
            <w:r w:rsidRPr="00BF3067">
              <w:rPr>
                <w:rFonts w:ascii="Arial" w:hAnsi="Arial" w:cs="Arial"/>
                <w:b/>
                <w:color w:val="000000"/>
                <w:sz w:val="16"/>
                <w:szCs w:val="16"/>
              </w:rPr>
              <w:t>Study</w:t>
            </w:r>
          </w:p>
        </w:tc>
        <w:tc>
          <w:tcPr>
            <w:tcW w:w="1415" w:type="pct"/>
          </w:tcPr>
          <w:p w14:paraId="702436EB" w14:textId="77777777" w:rsidR="00CD6352" w:rsidRPr="00BF3067" w:rsidRDefault="00CD6352" w:rsidP="00CD6352">
            <w:pPr>
              <w:jc w:val="both"/>
              <w:rPr>
                <w:rFonts w:ascii="Arial" w:hAnsi="Arial" w:cs="Arial"/>
                <w:b/>
                <w:color w:val="000000"/>
                <w:sz w:val="16"/>
                <w:szCs w:val="16"/>
              </w:rPr>
            </w:pPr>
            <w:r w:rsidRPr="00BF3067">
              <w:rPr>
                <w:rFonts w:ascii="Arial" w:hAnsi="Arial" w:cs="Arial"/>
                <w:b/>
                <w:color w:val="000000"/>
                <w:sz w:val="16"/>
                <w:szCs w:val="16"/>
              </w:rPr>
              <w:t>Title</w:t>
            </w:r>
          </w:p>
        </w:tc>
        <w:tc>
          <w:tcPr>
            <w:tcW w:w="2644" w:type="pct"/>
          </w:tcPr>
          <w:p w14:paraId="385BC7F0" w14:textId="5455C740" w:rsidR="00CD6352" w:rsidRPr="00BF3067" w:rsidRDefault="00CD6352" w:rsidP="00CD6352">
            <w:pPr>
              <w:jc w:val="both"/>
              <w:rPr>
                <w:rFonts w:ascii="Arial" w:hAnsi="Arial" w:cs="Arial"/>
                <w:b/>
                <w:color w:val="000000"/>
                <w:sz w:val="16"/>
                <w:szCs w:val="16"/>
              </w:rPr>
            </w:pPr>
            <w:r w:rsidRPr="00BF3067">
              <w:rPr>
                <w:rFonts w:ascii="Arial" w:hAnsi="Arial" w:cs="Arial"/>
                <w:b/>
                <w:color w:val="000000"/>
                <w:sz w:val="16"/>
                <w:szCs w:val="16"/>
              </w:rPr>
              <w:t xml:space="preserve">Summary of </w:t>
            </w:r>
            <w:r w:rsidR="00766AF6" w:rsidRPr="00BF3067">
              <w:rPr>
                <w:rFonts w:ascii="Arial" w:hAnsi="Arial" w:cs="Arial"/>
                <w:b/>
                <w:color w:val="000000"/>
                <w:sz w:val="16"/>
                <w:szCs w:val="16"/>
              </w:rPr>
              <w:t>financial knowledge</w:t>
            </w:r>
          </w:p>
        </w:tc>
      </w:tr>
      <w:tr w:rsidR="00CD6352" w:rsidRPr="00BF3067" w14:paraId="621F6B97" w14:textId="77777777" w:rsidTr="00BF3067">
        <w:tc>
          <w:tcPr>
            <w:tcW w:w="941" w:type="pct"/>
          </w:tcPr>
          <w:p w14:paraId="343D5C10" w14:textId="77777777" w:rsidR="00CD6352" w:rsidRPr="00BF3067" w:rsidRDefault="00CD6352" w:rsidP="00CD6352">
            <w:pPr>
              <w:jc w:val="both"/>
              <w:rPr>
                <w:rFonts w:ascii="Arial" w:hAnsi="Arial" w:cs="Arial"/>
                <w:color w:val="000000"/>
                <w:sz w:val="16"/>
                <w:szCs w:val="16"/>
              </w:rPr>
            </w:pPr>
          </w:p>
          <w:p w14:paraId="3101A476"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Xiao &amp; O’ Neill (2016)</w:t>
            </w:r>
          </w:p>
        </w:tc>
        <w:tc>
          <w:tcPr>
            <w:tcW w:w="1415" w:type="pct"/>
          </w:tcPr>
          <w:p w14:paraId="270F03C2"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Consumer Financial Education and Financial Capability</w:t>
            </w:r>
          </w:p>
          <w:p w14:paraId="060FE87F" w14:textId="77777777" w:rsidR="00CD6352" w:rsidRPr="00BF3067" w:rsidRDefault="00CD6352" w:rsidP="00CD6352">
            <w:pPr>
              <w:jc w:val="both"/>
              <w:rPr>
                <w:rFonts w:ascii="Arial" w:hAnsi="Arial" w:cs="Arial"/>
                <w:color w:val="000000"/>
                <w:sz w:val="16"/>
                <w:szCs w:val="16"/>
              </w:rPr>
            </w:pPr>
          </w:p>
        </w:tc>
        <w:tc>
          <w:tcPr>
            <w:tcW w:w="2644" w:type="pct"/>
          </w:tcPr>
          <w:p w14:paraId="2B56FA66"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Objective financial literacy, subjective</w:t>
            </w:r>
          </w:p>
          <w:p w14:paraId="42D0DF9D"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financial literacy, desirable financial behaviour and perceived financial capability</w:t>
            </w:r>
          </w:p>
        </w:tc>
      </w:tr>
      <w:tr w:rsidR="00CD6352" w:rsidRPr="00BF3067" w14:paraId="73DA9F94" w14:textId="77777777" w:rsidTr="00BF3067">
        <w:tc>
          <w:tcPr>
            <w:tcW w:w="941" w:type="pct"/>
          </w:tcPr>
          <w:p w14:paraId="6A6F6CB9" w14:textId="77777777" w:rsidR="00CD6352" w:rsidRPr="00BF3067" w:rsidRDefault="00CD6352" w:rsidP="00CD6352">
            <w:pPr>
              <w:jc w:val="both"/>
              <w:rPr>
                <w:rFonts w:ascii="Arial" w:hAnsi="Arial" w:cs="Arial"/>
                <w:bCs/>
                <w:color w:val="000000"/>
                <w:sz w:val="16"/>
                <w:szCs w:val="16"/>
              </w:rPr>
            </w:pPr>
            <w:r w:rsidRPr="00BF3067">
              <w:rPr>
                <w:rFonts w:ascii="Arial" w:hAnsi="Arial" w:cs="Arial"/>
                <w:bCs/>
                <w:color w:val="000000"/>
                <w:sz w:val="16"/>
                <w:szCs w:val="16"/>
              </w:rPr>
              <w:t xml:space="preserve">NFCS (2016) </w:t>
            </w:r>
          </w:p>
        </w:tc>
        <w:tc>
          <w:tcPr>
            <w:tcW w:w="1415" w:type="pct"/>
          </w:tcPr>
          <w:p w14:paraId="4FAAF27D"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Financial Capability in the United States 2016</w:t>
            </w:r>
          </w:p>
        </w:tc>
        <w:tc>
          <w:tcPr>
            <w:tcW w:w="2644" w:type="pct"/>
          </w:tcPr>
          <w:p w14:paraId="6C2573DC" w14:textId="64D7EA3D"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fundamental concepts of economics and finance, e.g. calculation of interest rate, and inflation, principles relating to risk and diversification, the relationship between bond prices and interest rates, and the impact that a shorter</w:t>
            </w:r>
            <w:r w:rsidR="00BF3067">
              <w:rPr>
                <w:rFonts w:ascii="Arial" w:hAnsi="Arial" w:cs="Arial"/>
                <w:color w:val="000000"/>
                <w:sz w:val="16"/>
                <w:szCs w:val="16"/>
              </w:rPr>
              <w:t>-</w:t>
            </w:r>
            <w:r w:rsidRPr="00BF3067">
              <w:rPr>
                <w:rFonts w:ascii="Arial" w:hAnsi="Arial" w:cs="Arial"/>
                <w:color w:val="000000"/>
                <w:sz w:val="16"/>
                <w:szCs w:val="16"/>
              </w:rPr>
              <w:t>term can have on total interest payments over the life of a mortgage</w:t>
            </w:r>
            <w:r w:rsidR="00ED77EC" w:rsidRPr="00BF3067">
              <w:rPr>
                <w:rFonts w:ascii="Arial" w:hAnsi="Arial" w:cs="Arial"/>
                <w:color w:val="000000"/>
                <w:sz w:val="16"/>
                <w:szCs w:val="16"/>
              </w:rPr>
              <w:t>.</w:t>
            </w:r>
            <w:r w:rsidR="00B823AE" w:rsidRPr="00BF3067">
              <w:rPr>
                <w:rFonts w:ascii="Arial" w:hAnsi="Arial" w:cs="Arial"/>
                <w:color w:val="000000"/>
                <w:sz w:val="16"/>
                <w:szCs w:val="16"/>
              </w:rPr>
              <w:t>1</w:t>
            </w:r>
          </w:p>
        </w:tc>
      </w:tr>
      <w:tr w:rsidR="00CD6352" w:rsidRPr="00BF3067" w14:paraId="4B5C5D09" w14:textId="77777777" w:rsidTr="00BF3067">
        <w:trPr>
          <w:trHeight w:val="794"/>
        </w:trPr>
        <w:tc>
          <w:tcPr>
            <w:tcW w:w="941" w:type="pct"/>
          </w:tcPr>
          <w:p w14:paraId="2528D6E5" w14:textId="77777777" w:rsidR="00CD6352" w:rsidRPr="00BF3067" w:rsidRDefault="00CD6352" w:rsidP="00CD6352">
            <w:pPr>
              <w:jc w:val="both"/>
              <w:rPr>
                <w:rFonts w:ascii="Arial" w:hAnsi="Arial" w:cs="Arial"/>
                <w:bCs/>
                <w:color w:val="000000"/>
                <w:sz w:val="16"/>
                <w:szCs w:val="16"/>
              </w:rPr>
            </w:pPr>
            <w:r w:rsidRPr="00BF3067">
              <w:rPr>
                <w:rFonts w:ascii="Arial" w:hAnsi="Arial" w:cs="Arial"/>
                <w:bCs/>
                <w:color w:val="000000"/>
                <w:sz w:val="16"/>
                <w:szCs w:val="16"/>
              </w:rPr>
              <w:t>Atlas et al. ( 2018)</w:t>
            </w:r>
          </w:p>
        </w:tc>
        <w:tc>
          <w:tcPr>
            <w:tcW w:w="1415" w:type="pct"/>
          </w:tcPr>
          <w:p w14:paraId="7633C582" w14:textId="47957767" w:rsidR="00CD6352" w:rsidRPr="00BF3067" w:rsidRDefault="00CD6352" w:rsidP="00BF3067">
            <w:pPr>
              <w:jc w:val="both"/>
              <w:rPr>
                <w:rFonts w:ascii="Arial" w:hAnsi="Arial" w:cs="Arial"/>
                <w:b/>
                <w:color w:val="000000"/>
                <w:sz w:val="16"/>
                <w:szCs w:val="16"/>
              </w:rPr>
            </w:pPr>
            <w:r w:rsidRPr="00BF3067">
              <w:rPr>
                <w:rFonts w:ascii="Arial" w:hAnsi="Arial" w:cs="Arial"/>
                <w:color w:val="000000"/>
                <w:sz w:val="16"/>
                <w:szCs w:val="16"/>
              </w:rPr>
              <w:t>Financial Education and Confidence in Financial Knowledge</w:t>
            </w:r>
          </w:p>
        </w:tc>
        <w:tc>
          <w:tcPr>
            <w:tcW w:w="2644" w:type="pct"/>
          </w:tcPr>
          <w:p w14:paraId="3B2D13C6"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Subjective and objective financial knowledge. </w:t>
            </w:r>
          </w:p>
        </w:tc>
      </w:tr>
      <w:tr w:rsidR="00CD6352" w:rsidRPr="00BF3067" w14:paraId="278D170D" w14:textId="77777777" w:rsidTr="00BF3067">
        <w:tc>
          <w:tcPr>
            <w:tcW w:w="941" w:type="pct"/>
          </w:tcPr>
          <w:p w14:paraId="47EB8783" w14:textId="77777777" w:rsidR="00CD6352" w:rsidRPr="00BF3067" w:rsidRDefault="00CD6352" w:rsidP="00CD6352">
            <w:pPr>
              <w:jc w:val="both"/>
              <w:rPr>
                <w:rFonts w:ascii="Arial" w:hAnsi="Arial" w:cs="Arial"/>
                <w:bCs/>
                <w:color w:val="000000"/>
                <w:sz w:val="16"/>
                <w:szCs w:val="16"/>
              </w:rPr>
            </w:pPr>
            <w:r w:rsidRPr="00BF3067">
              <w:rPr>
                <w:rFonts w:ascii="Arial" w:hAnsi="Arial" w:cs="Arial"/>
                <w:bCs/>
                <w:color w:val="000000"/>
                <w:sz w:val="16"/>
                <w:szCs w:val="16"/>
              </w:rPr>
              <w:t xml:space="preserve">Stigler (1961) </w:t>
            </w:r>
          </w:p>
        </w:tc>
        <w:tc>
          <w:tcPr>
            <w:tcW w:w="1415" w:type="pct"/>
          </w:tcPr>
          <w:p w14:paraId="59BBB30A"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The economics of information</w:t>
            </w:r>
          </w:p>
        </w:tc>
        <w:tc>
          <w:tcPr>
            <w:tcW w:w="2644" w:type="pct"/>
          </w:tcPr>
          <w:p w14:paraId="10D07109"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Identification of sellers &amp; discovery of their prices </w:t>
            </w:r>
          </w:p>
        </w:tc>
      </w:tr>
      <w:tr w:rsidR="00CD6352" w:rsidRPr="00BF3067" w14:paraId="6A55A632" w14:textId="77777777" w:rsidTr="00BF3067">
        <w:tc>
          <w:tcPr>
            <w:tcW w:w="941" w:type="pct"/>
          </w:tcPr>
          <w:p w14:paraId="7E39E2C5" w14:textId="77777777" w:rsidR="00CD6352" w:rsidRPr="00BF3067" w:rsidRDefault="00CD6352" w:rsidP="00CD6352">
            <w:pPr>
              <w:jc w:val="both"/>
              <w:rPr>
                <w:rFonts w:ascii="Arial" w:hAnsi="Arial" w:cs="Arial"/>
                <w:bCs/>
                <w:color w:val="000000"/>
                <w:sz w:val="16"/>
                <w:szCs w:val="16"/>
              </w:rPr>
            </w:pPr>
            <w:r w:rsidRPr="00BF3067">
              <w:rPr>
                <w:rFonts w:ascii="Arial" w:hAnsi="Arial" w:cs="Arial"/>
                <w:bCs/>
                <w:color w:val="000000"/>
                <w:sz w:val="16"/>
                <w:szCs w:val="16"/>
              </w:rPr>
              <w:t>Nur et al. (2018)</w:t>
            </w:r>
          </w:p>
        </w:tc>
        <w:tc>
          <w:tcPr>
            <w:tcW w:w="1415" w:type="pct"/>
          </w:tcPr>
          <w:p w14:paraId="0DBDAD09"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Financial Knowledge, Debt Literacy and Over-Indebtedness</w:t>
            </w:r>
          </w:p>
        </w:tc>
        <w:tc>
          <w:tcPr>
            <w:tcW w:w="2644" w:type="pct"/>
          </w:tcPr>
          <w:p w14:paraId="40A3E359"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Debt literacy, numeracy and money management skills, </w:t>
            </w:r>
          </w:p>
        </w:tc>
      </w:tr>
      <w:tr w:rsidR="00CD6352" w:rsidRPr="00BF3067" w14:paraId="5422A2F5" w14:textId="77777777" w:rsidTr="00BF3067">
        <w:tc>
          <w:tcPr>
            <w:tcW w:w="941" w:type="pct"/>
          </w:tcPr>
          <w:p w14:paraId="72D5B656" w14:textId="77777777" w:rsidR="00CD6352" w:rsidRPr="00BF3067" w:rsidRDefault="00CD6352" w:rsidP="00CD6352">
            <w:pPr>
              <w:jc w:val="both"/>
              <w:rPr>
                <w:rFonts w:ascii="Arial" w:hAnsi="Arial" w:cs="Arial"/>
                <w:b/>
                <w:color w:val="000000"/>
                <w:sz w:val="16"/>
                <w:szCs w:val="16"/>
              </w:rPr>
            </w:pPr>
            <w:r w:rsidRPr="00BF3067">
              <w:rPr>
                <w:rFonts w:ascii="Arial" w:hAnsi="Arial" w:cs="Arial"/>
                <w:color w:val="000000"/>
                <w:sz w:val="16"/>
                <w:szCs w:val="16"/>
              </w:rPr>
              <w:t>Lusardi &amp; Mitchell, 2014</w:t>
            </w:r>
          </w:p>
          <w:p w14:paraId="0BC0E9D8" w14:textId="77777777" w:rsidR="00CD6352" w:rsidRPr="00BF3067" w:rsidRDefault="00CD6352" w:rsidP="00CD6352">
            <w:pPr>
              <w:jc w:val="both"/>
              <w:rPr>
                <w:rFonts w:ascii="Arial" w:hAnsi="Arial" w:cs="Arial"/>
                <w:b/>
                <w:color w:val="000000"/>
                <w:sz w:val="16"/>
                <w:szCs w:val="16"/>
              </w:rPr>
            </w:pPr>
          </w:p>
        </w:tc>
        <w:tc>
          <w:tcPr>
            <w:tcW w:w="1415" w:type="pct"/>
          </w:tcPr>
          <w:p w14:paraId="02D7CCD4"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The Economic Importance of Financial Literacy: Theory and Evidence†</w:t>
            </w:r>
          </w:p>
        </w:tc>
        <w:tc>
          <w:tcPr>
            <w:tcW w:w="2644" w:type="pct"/>
          </w:tcPr>
          <w:p w14:paraId="2BD98DD3"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Numeracy and capacity to do calculations related to interest rates, such as compound interest; understanding of inflation; and understanding of risk diversification</w:t>
            </w:r>
          </w:p>
        </w:tc>
      </w:tr>
      <w:tr w:rsidR="00CD6352" w:rsidRPr="00BF3067" w14:paraId="72DA6115" w14:textId="77777777" w:rsidTr="00BF3067">
        <w:tc>
          <w:tcPr>
            <w:tcW w:w="941" w:type="pct"/>
          </w:tcPr>
          <w:p w14:paraId="4FD27089" w14:textId="77777777" w:rsidR="00CD6352" w:rsidRPr="00BF3067" w:rsidRDefault="00CD6352" w:rsidP="00CD6352">
            <w:pPr>
              <w:jc w:val="both"/>
              <w:rPr>
                <w:rFonts w:ascii="Arial" w:hAnsi="Arial" w:cs="Arial"/>
                <w:color w:val="000000"/>
                <w:sz w:val="16"/>
                <w:szCs w:val="16"/>
              </w:rPr>
            </w:pPr>
          </w:p>
          <w:p w14:paraId="57342850"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Yiing-Jia Loke. (2017).</w:t>
            </w:r>
          </w:p>
        </w:tc>
        <w:tc>
          <w:tcPr>
            <w:tcW w:w="1415" w:type="pct"/>
          </w:tcPr>
          <w:p w14:paraId="06FB5829"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The influence of socio-demographic and financial knowledge factors on financial management practices of Malaysians</w:t>
            </w:r>
          </w:p>
        </w:tc>
        <w:tc>
          <w:tcPr>
            <w:tcW w:w="2644" w:type="pct"/>
          </w:tcPr>
          <w:p w14:paraId="7371E13A"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Interest on loan, calculation of interest and compound interest, diversification of risk, risk and return and time value for money. </w:t>
            </w:r>
          </w:p>
        </w:tc>
      </w:tr>
      <w:tr w:rsidR="00CD6352" w:rsidRPr="00BF3067" w14:paraId="17C29BDA" w14:textId="77777777" w:rsidTr="00BF3067">
        <w:trPr>
          <w:trHeight w:val="637"/>
        </w:trPr>
        <w:tc>
          <w:tcPr>
            <w:tcW w:w="941" w:type="pct"/>
          </w:tcPr>
          <w:p w14:paraId="3ECB5BF0"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Lusardi et al. ( 2017)</w:t>
            </w:r>
          </w:p>
        </w:tc>
        <w:tc>
          <w:tcPr>
            <w:tcW w:w="1415" w:type="pct"/>
          </w:tcPr>
          <w:p w14:paraId="1A92E307"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Optimal financial knowledge and wealth inequality</w:t>
            </w:r>
          </w:p>
        </w:tc>
        <w:tc>
          <w:tcPr>
            <w:tcW w:w="2644" w:type="pct"/>
          </w:tcPr>
          <w:p w14:paraId="25C52900" w14:textId="6EBDF92C" w:rsidR="00CD6352" w:rsidRPr="00BF3067" w:rsidRDefault="00CD6352" w:rsidP="00BF3067">
            <w:pPr>
              <w:jc w:val="both"/>
              <w:rPr>
                <w:rFonts w:ascii="Arial" w:hAnsi="Arial" w:cs="Arial"/>
                <w:color w:val="000000"/>
                <w:sz w:val="16"/>
                <w:szCs w:val="16"/>
              </w:rPr>
            </w:pPr>
            <w:r w:rsidRPr="00BF3067">
              <w:rPr>
                <w:rFonts w:ascii="Arial" w:hAnsi="Arial" w:cs="Arial"/>
                <w:color w:val="000000"/>
                <w:sz w:val="16"/>
                <w:szCs w:val="16"/>
              </w:rPr>
              <w:t>Diversification, higher risk-adjusted returns, and resource allocation</w:t>
            </w:r>
          </w:p>
        </w:tc>
      </w:tr>
      <w:tr w:rsidR="00CD6352" w:rsidRPr="00BF3067" w14:paraId="1B6278BE" w14:textId="77777777" w:rsidTr="00BF3067">
        <w:tc>
          <w:tcPr>
            <w:tcW w:w="941" w:type="pct"/>
          </w:tcPr>
          <w:p w14:paraId="1FE1AC2D" w14:textId="77777777" w:rsidR="00CD6352" w:rsidRPr="00BF3067" w:rsidRDefault="00CD6352" w:rsidP="00CD6352">
            <w:pPr>
              <w:jc w:val="both"/>
              <w:rPr>
                <w:rFonts w:ascii="Arial" w:hAnsi="Arial" w:cs="Arial"/>
                <w:color w:val="000000"/>
                <w:sz w:val="16"/>
                <w:szCs w:val="16"/>
              </w:rPr>
            </w:pPr>
          </w:p>
          <w:p w14:paraId="2F96F3BE"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Kess et al. (2018) </w:t>
            </w:r>
          </w:p>
        </w:tc>
        <w:tc>
          <w:tcPr>
            <w:tcW w:w="1415" w:type="pct"/>
          </w:tcPr>
          <w:p w14:paraId="4D119F1B"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Financial Knowledge for Recent Graduates</w:t>
            </w:r>
          </w:p>
        </w:tc>
        <w:tc>
          <w:tcPr>
            <w:tcW w:w="2644" w:type="pct"/>
          </w:tcPr>
          <w:p w14:paraId="3811BBE8"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Budgeting, financial accounts, debt and credit, savings, taxes and time value for money</w:t>
            </w:r>
          </w:p>
        </w:tc>
      </w:tr>
      <w:tr w:rsidR="00CD6352" w:rsidRPr="00BF3067" w14:paraId="74A64826" w14:textId="77777777" w:rsidTr="00BF3067">
        <w:tc>
          <w:tcPr>
            <w:tcW w:w="941" w:type="pct"/>
          </w:tcPr>
          <w:p w14:paraId="2BBED31D"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Porto &amp; Jing  (2016).</w:t>
            </w:r>
          </w:p>
          <w:p w14:paraId="52B5BAF4" w14:textId="77777777" w:rsidR="00CD6352" w:rsidRPr="00BF3067" w:rsidRDefault="00CD6352" w:rsidP="00CD6352">
            <w:pPr>
              <w:jc w:val="both"/>
              <w:rPr>
                <w:rFonts w:ascii="Arial" w:hAnsi="Arial" w:cs="Arial"/>
                <w:color w:val="000000"/>
                <w:sz w:val="16"/>
                <w:szCs w:val="16"/>
              </w:rPr>
            </w:pPr>
          </w:p>
        </w:tc>
        <w:tc>
          <w:tcPr>
            <w:tcW w:w="1415" w:type="pct"/>
          </w:tcPr>
          <w:p w14:paraId="20D1FE0E"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Financial Literacy Overconfidence and Financial Advice Seeking</w:t>
            </w:r>
          </w:p>
        </w:tc>
        <w:tc>
          <w:tcPr>
            <w:tcW w:w="2644" w:type="pct"/>
          </w:tcPr>
          <w:p w14:paraId="330C29A4"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Debt and tax planning</w:t>
            </w:r>
          </w:p>
        </w:tc>
      </w:tr>
      <w:tr w:rsidR="00CD6352" w:rsidRPr="00BF3067" w14:paraId="74295815" w14:textId="77777777" w:rsidTr="00BF3067">
        <w:trPr>
          <w:trHeight w:val="684"/>
        </w:trPr>
        <w:tc>
          <w:tcPr>
            <w:tcW w:w="941" w:type="pct"/>
          </w:tcPr>
          <w:p w14:paraId="486A96F0" w14:textId="44E2CB1B" w:rsidR="00CD6352" w:rsidRPr="00BF3067" w:rsidRDefault="00CD6352" w:rsidP="00BF3067">
            <w:pPr>
              <w:jc w:val="both"/>
              <w:rPr>
                <w:rFonts w:ascii="Arial" w:hAnsi="Arial" w:cs="Arial"/>
                <w:color w:val="000000"/>
                <w:sz w:val="16"/>
                <w:szCs w:val="16"/>
              </w:rPr>
            </w:pPr>
            <w:r w:rsidRPr="00BF3067">
              <w:rPr>
                <w:rFonts w:ascii="Arial" w:hAnsi="Arial" w:cs="Arial"/>
                <w:color w:val="000000"/>
                <w:sz w:val="16"/>
                <w:szCs w:val="16"/>
              </w:rPr>
              <w:t>Alyousif and  Kalenkoski (2017)</w:t>
            </w:r>
          </w:p>
        </w:tc>
        <w:tc>
          <w:tcPr>
            <w:tcW w:w="1415" w:type="pct"/>
          </w:tcPr>
          <w:p w14:paraId="3C2D63C8"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Who seeks financial advice?</w:t>
            </w:r>
          </w:p>
        </w:tc>
        <w:tc>
          <w:tcPr>
            <w:tcW w:w="2644" w:type="pct"/>
          </w:tcPr>
          <w:p w14:paraId="3459CD65"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Debt, savings and investment, mortgage/loans, insurance, and tax planning</w:t>
            </w:r>
          </w:p>
        </w:tc>
      </w:tr>
      <w:tr w:rsidR="00CD6352" w:rsidRPr="00BF3067" w14:paraId="1113A7C7" w14:textId="77777777" w:rsidTr="00BF3067">
        <w:tc>
          <w:tcPr>
            <w:tcW w:w="941" w:type="pct"/>
          </w:tcPr>
          <w:p w14:paraId="712506E7"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IPMA (2015)</w:t>
            </w:r>
          </w:p>
          <w:p w14:paraId="3486ADB3" w14:textId="77777777" w:rsidR="00CD6352" w:rsidRPr="00BF3067" w:rsidRDefault="00CD6352" w:rsidP="00CD6352">
            <w:pPr>
              <w:jc w:val="both"/>
              <w:rPr>
                <w:rFonts w:ascii="Arial" w:hAnsi="Arial" w:cs="Arial"/>
                <w:color w:val="000000"/>
                <w:sz w:val="16"/>
                <w:szCs w:val="16"/>
              </w:rPr>
            </w:pPr>
          </w:p>
        </w:tc>
        <w:tc>
          <w:tcPr>
            <w:tcW w:w="1415" w:type="pct"/>
          </w:tcPr>
          <w:p w14:paraId="2DC28784"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Project management finance knowledge </w:t>
            </w:r>
          </w:p>
        </w:tc>
        <w:tc>
          <w:tcPr>
            <w:tcW w:w="2644" w:type="pct"/>
          </w:tcPr>
          <w:p w14:paraId="1AD5A47A"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Financial accounting basics ( cash flow, charts of account, cost structure); cost estimation methods; design-to-cost /target costing; process and governance of cost management; methods for monitoring and controlling expenditures; performance indicators; reporting standards; forecasting methods; finance options; Funding sources; Financial management concepts &amp; terms ( such as cash flow,  debt-asset ratio, return on investment, rates of return; contingency approaches); relevant conventions, agreements, legislation and regulations inclusive of taxation, currency exchange, bilateral or regional trade agreements, international commercial terms and World Trade Organisation determinations.</w:t>
            </w:r>
          </w:p>
        </w:tc>
      </w:tr>
      <w:tr w:rsidR="00CD6352" w:rsidRPr="00BF3067" w14:paraId="128D86EE" w14:textId="77777777" w:rsidTr="00BF3067">
        <w:tc>
          <w:tcPr>
            <w:tcW w:w="941" w:type="pct"/>
          </w:tcPr>
          <w:p w14:paraId="3A182D66" w14:textId="77777777" w:rsidR="00CD6352" w:rsidRPr="00BF3067" w:rsidRDefault="00CD6352" w:rsidP="00CD6352">
            <w:pPr>
              <w:jc w:val="both"/>
              <w:rPr>
                <w:rFonts w:ascii="Arial" w:hAnsi="Arial" w:cs="Arial"/>
                <w:color w:val="000000"/>
                <w:sz w:val="16"/>
                <w:szCs w:val="16"/>
              </w:rPr>
            </w:pPr>
          </w:p>
          <w:p w14:paraId="4C926D0F"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Ogbenjuwa et al. (2018)</w:t>
            </w:r>
          </w:p>
        </w:tc>
        <w:tc>
          <w:tcPr>
            <w:tcW w:w="1415" w:type="pct"/>
          </w:tcPr>
          <w:p w14:paraId="286EAB79"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The real estate manager: towards a financial knowledge and skills framework for professional development</w:t>
            </w:r>
          </w:p>
        </w:tc>
        <w:tc>
          <w:tcPr>
            <w:tcW w:w="2644" w:type="pct"/>
          </w:tcPr>
          <w:p w14:paraId="38B4FE53" w14:textId="77777777" w:rsidR="00CD6352" w:rsidRPr="00BF3067" w:rsidRDefault="00CD6352" w:rsidP="00CD6352">
            <w:pPr>
              <w:jc w:val="both"/>
              <w:rPr>
                <w:rFonts w:ascii="Arial" w:hAnsi="Arial" w:cs="Arial"/>
                <w:color w:val="000000"/>
                <w:sz w:val="16"/>
                <w:szCs w:val="16"/>
              </w:rPr>
            </w:pPr>
            <w:r w:rsidRPr="00BF3067">
              <w:rPr>
                <w:rFonts w:ascii="Arial" w:hAnsi="Arial" w:cs="Arial"/>
                <w:color w:val="000000"/>
                <w:sz w:val="16"/>
                <w:szCs w:val="16"/>
              </w:rPr>
              <w:t xml:space="preserve">Finance sources &amp; options; risks and returns in real estate subsectors; market intelligence; funding options; acceptable debt-equity ratio; acceptable return on investment and the rate of return; credit enhancement techniques and conditions for loan effectiveness. </w:t>
            </w:r>
          </w:p>
        </w:tc>
      </w:tr>
    </w:tbl>
    <w:p w14:paraId="5A7E0498" w14:textId="3F0AB014" w:rsidR="00CD6352" w:rsidRPr="00E80469" w:rsidRDefault="00CD6352" w:rsidP="00CD6352">
      <w:pPr>
        <w:spacing w:before="240" w:line="360" w:lineRule="auto"/>
        <w:jc w:val="both"/>
        <w:rPr>
          <w:rFonts w:ascii="Arial" w:hAnsi="Arial" w:cs="Arial"/>
          <w:color w:val="000000"/>
          <w:sz w:val="16"/>
          <w:szCs w:val="16"/>
          <w:lang w:val="en-US"/>
        </w:rPr>
      </w:pPr>
      <w:r w:rsidRPr="00E80469">
        <w:rPr>
          <w:rFonts w:ascii="Arial" w:hAnsi="Arial" w:cs="Arial"/>
          <w:color w:val="000000"/>
          <w:sz w:val="16"/>
          <w:szCs w:val="16"/>
        </w:rPr>
        <w:t xml:space="preserve">Sources: The Author’s compilation based on a review of </w:t>
      </w:r>
      <w:r w:rsidR="00E80469">
        <w:rPr>
          <w:rFonts w:ascii="Arial" w:hAnsi="Arial" w:cs="Arial"/>
          <w:color w:val="000000"/>
          <w:sz w:val="16"/>
          <w:szCs w:val="16"/>
        </w:rPr>
        <w:t xml:space="preserve">the </w:t>
      </w:r>
      <w:r w:rsidRPr="00E80469">
        <w:rPr>
          <w:rFonts w:ascii="Arial" w:hAnsi="Arial" w:cs="Arial"/>
          <w:color w:val="000000"/>
          <w:sz w:val="16"/>
          <w:szCs w:val="16"/>
        </w:rPr>
        <w:t>literature</w:t>
      </w:r>
    </w:p>
    <w:p w14:paraId="2F831489" w14:textId="2019FCC6" w:rsidR="00CD6352" w:rsidRDefault="00CD6352" w:rsidP="00CD6352">
      <w:pPr>
        <w:spacing w:before="240" w:line="360" w:lineRule="auto"/>
        <w:jc w:val="both"/>
        <w:rPr>
          <w:rFonts w:ascii="Arial" w:hAnsi="Arial" w:cs="Arial"/>
          <w:color w:val="000000"/>
        </w:rPr>
      </w:pPr>
      <w:r w:rsidRPr="00EA7665">
        <w:rPr>
          <w:rFonts w:ascii="Arial" w:hAnsi="Arial" w:cs="Arial"/>
          <w:color w:val="000000"/>
        </w:rPr>
        <w:lastRenderedPageBreak/>
        <w:t xml:space="preserve">Financial knowledge can enable the real estate manager to better allocate resources over the </w:t>
      </w:r>
      <w:r w:rsidR="005B398B">
        <w:rPr>
          <w:rFonts w:ascii="Arial" w:hAnsi="Arial" w:cs="Arial"/>
          <w:color w:val="000000"/>
        </w:rPr>
        <w:t>business's lifetime</w:t>
      </w:r>
      <w:r w:rsidRPr="00EA7665">
        <w:rPr>
          <w:rFonts w:ascii="Arial" w:hAnsi="Arial" w:cs="Arial"/>
          <w:color w:val="000000"/>
        </w:rPr>
        <w:t xml:space="preserve"> in a world of uncertainty and imperfect insurance. Financial knowledge could also have an effect on diversification, which may lead to higher risk-adjusted returns</w:t>
      </w:r>
      <w:r w:rsidR="009051E3">
        <w:rPr>
          <w:rFonts w:ascii="Arial" w:hAnsi="Arial" w:cs="Arial"/>
          <w:color w:val="000000"/>
        </w:rPr>
        <w:t>.</w:t>
      </w:r>
      <w:r w:rsidRPr="00EA7665">
        <w:rPr>
          <w:rFonts w:ascii="Arial" w:hAnsi="Arial" w:cs="Arial"/>
          <w:color w:val="000000"/>
        </w:rPr>
        <w:t xml:space="preserve">  </w:t>
      </w:r>
      <w:r w:rsidR="007765FF">
        <w:rPr>
          <w:rFonts w:ascii="Arial" w:hAnsi="Arial" w:cs="Arial"/>
          <w:color w:val="000000"/>
        </w:rPr>
        <w:t xml:space="preserve">The findings from the </w:t>
      </w:r>
      <w:r w:rsidR="006B2AEE">
        <w:rPr>
          <w:rFonts w:ascii="Arial" w:hAnsi="Arial" w:cs="Arial"/>
          <w:color w:val="000000"/>
        </w:rPr>
        <w:t>literature review provided a platform for inquiries from managers in the industry. T</w:t>
      </w:r>
      <w:r w:rsidR="00E86596">
        <w:rPr>
          <w:rFonts w:ascii="Arial" w:hAnsi="Arial" w:cs="Arial"/>
          <w:color w:val="000000"/>
        </w:rPr>
        <w:t xml:space="preserve">his contributed to </w:t>
      </w:r>
      <w:r w:rsidR="006B2AEE">
        <w:rPr>
          <w:rFonts w:ascii="Arial" w:hAnsi="Arial" w:cs="Arial"/>
          <w:color w:val="000000"/>
        </w:rPr>
        <w:t>developing</w:t>
      </w:r>
      <w:r w:rsidR="00E86596">
        <w:rPr>
          <w:rFonts w:ascii="Arial" w:hAnsi="Arial" w:cs="Arial"/>
          <w:color w:val="000000"/>
        </w:rPr>
        <w:t xml:space="preserve"> an inventory of knowledge for securing finance for real estate project development in chapter 8. </w:t>
      </w:r>
      <w:r w:rsidR="006B2AEE">
        <w:rPr>
          <w:rFonts w:ascii="Arial" w:hAnsi="Arial" w:cs="Arial"/>
          <w:color w:val="000000"/>
        </w:rPr>
        <w:t>It</w:t>
      </w:r>
      <w:r w:rsidR="00E86596">
        <w:rPr>
          <w:rFonts w:ascii="Arial" w:hAnsi="Arial" w:cs="Arial"/>
          <w:color w:val="000000"/>
        </w:rPr>
        <w:t xml:space="preserve"> forms a component of the toolkit for securing finance for real estate project development in chapter 10.</w:t>
      </w:r>
    </w:p>
    <w:p w14:paraId="52B79307" w14:textId="77777777" w:rsidR="00CD6352" w:rsidRPr="00EA7665" w:rsidRDefault="00CD6352" w:rsidP="00CD6352">
      <w:pPr>
        <w:spacing w:before="240" w:line="360" w:lineRule="auto"/>
        <w:jc w:val="both"/>
        <w:rPr>
          <w:rFonts w:ascii="Arial" w:hAnsi="Arial" w:cs="Arial"/>
          <w:color w:val="000000"/>
        </w:rPr>
      </w:pPr>
      <w:r>
        <w:rPr>
          <w:rFonts w:ascii="Arial" w:hAnsi="Arial" w:cs="Arial"/>
          <w:color w:val="000000"/>
        </w:rPr>
        <w:t>The next segment of the study discusses the review of literature on management competences.</w:t>
      </w:r>
    </w:p>
    <w:p w14:paraId="6790436A" w14:textId="77777777" w:rsidR="00CD6352" w:rsidRPr="00EA7665" w:rsidRDefault="00CD6352" w:rsidP="00CD6352">
      <w:pPr>
        <w:pStyle w:val="Heading3"/>
        <w:spacing w:after="240"/>
        <w:rPr>
          <w:sz w:val="22"/>
          <w:szCs w:val="22"/>
        </w:rPr>
      </w:pPr>
      <w:bookmarkStart w:id="782" w:name="_Toc78983802"/>
      <w:r w:rsidRPr="00EA7665">
        <w:rPr>
          <w:sz w:val="22"/>
          <w:szCs w:val="22"/>
        </w:rPr>
        <w:t>Management competences: Definition and Characteristics</w:t>
      </w:r>
      <w:bookmarkEnd w:id="782"/>
    </w:p>
    <w:p w14:paraId="24772B7A" w14:textId="6F588C42" w:rsidR="00CD6352" w:rsidRPr="00EA7665" w:rsidRDefault="00CD6352" w:rsidP="00CD6352">
      <w:pPr>
        <w:spacing w:line="360" w:lineRule="auto"/>
        <w:jc w:val="both"/>
        <w:rPr>
          <w:rFonts w:ascii="Arial" w:hAnsi="Arial" w:cs="Arial"/>
        </w:rPr>
      </w:pPr>
      <w:r w:rsidRPr="00EA7665">
        <w:rPr>
          <w:rFonts w:ascii="Arial" w:hAnsi="Arial" w:cs="Arial"/>
        </w:rPr>
        <w:t xml:space="preserve">Competence enables skilled personnel to be termed professional, </w:t>
      </w:r>
      <w:r w:rsidR="00A376C7">
        <w:rPr>
          <w:rFonts w:ascii="Arial" w:hAnsi="Arial" w:cs="Arial"/>
        </w:rPr>
        <w:t>depicting</w:t>
      </w:r>
      <w:r w:rsidRPr="00EA7665">
        <w:rPr>
          <w:rFonts w:ascii="Arial" w:hAnsi="Arial" w:cs="Arial"/>
        </w:rPr>
        <w:t xml:space="preserve"> superior work performance (Lester 2014; Boyatzis, 1982).  An individual becomes competent through a combination of education, training and work practice (Cheng et al., 2003). </w:t>
      </w:r>
      <w:r>
        <w:rPr>
          <w:rFonts w:ascii="Arial" w:hAnsi="Arial" w:cs="Arial"/>
        </w:rPr>
        <w:t>C</w:t>
      </w:r>
      <w:r w:rsidRPr="00EA7665">
        <w:rPr>
          <w:rFonts w:ascii="Arial" w:hAnsi="Arial" w:cs="Arial"/>
        </w:rPr>
        <w:t>ompetence is the ability to do a particular activity to a prescribed standard, and it is dependent on the employee’s skills and knowledge</w:t>
      </w:r>
      <w:r w:rsidR="00FB373C">
        <w:rPr>
          <w:rFonts w:ascii="Arial" w:hAnsi="Arial" w:cs="Arial"/>
        </w:rPr>
        <w:t>.</w:t>
      </w:r>
      <w:r w:rsidRPr="00EA7665">
        <w:rPr>
          <w:rFonts w:ascii="Arial" w:hAnsi="Arial" w:cs="Arial"/>
        </w:rPr>
        <w:t xml:space="preserve">  </w:t>
      </w:r>
      <w:r>
        <w:rPr>
          <w:rFonts w:ascii="Arial" w:hAnsi="Arial" w:cs="Arial"/>
        </w:rPr>
        <w:t>It</w:t>
      </w:r>
      <w:r w:rsidRPr="00EA7665">
        <w:rPr>
          <w:rFonts w:ascii="Arial" w:hAnsi="Arial" w:cs="Arial"/>
        </w:rPr>
        <w:t xml:space="preserve"> is the ability of the professional to exercise </w:t>
      </w:r>
      <w:r>
        <w:rPr>
          <w:rFonts w:ascii="Arial" w:hAnsi="Arial" w:cs="Arial"/>
        </w:rPr>
        <w:t>their</w:t>
      </w:r>
      <w:r w:rsidRPr="00EA7665">
        <w:rPr>
          <w:rFonts w:ascii="Arial" w:hAnsi="Arial" w:cs="Arial"/>
        </w:rPr>
        <w:t xml:space="preserve"> skills fairly and ethically (Meyer et al., 2015). Competence enables skilled personnel to be termed a professional as i</w:t>
      </w:r>
      <w:r w:rsidRPr="00EA7665">
        <w:rPr>
          <w:rFonts w:ascii="Arial" w:eastAsia="Calibri" w:hAnsi="Arial" w:cs="Arial"/>
          <w:color w:val="000000" w:themeColor="text1"/>
        </w:rPr>
        <w:t xml:space="preserve">t depicts superior work performance (Lester 2014; Boyatzis, 1982). </w:t>
      </w:r>
      <w:r>
        <w:rPr>
          <w:rFonts w:ascii="Arial" w:eastAsia="Calibri" w:hAnsi="Arial" w:cs="Arial"/>
          <w:color w:val="000000" w:themeColor="text1"/>
        </w:rPr>
        <w:t xml:space="preserve"> </w:t>
      </w:r>
      <w:r>
        <w:rPr>
          <w:rFonts w:ascii="Arial" w:hAnsi="Arial" w:cs="Arial"/>
        </w:rPr>
        <w:t>It</w:t>
      </w:r>
      <w:r w:rsidRPr="00EA7665">
        <w:rPr>
          <w:rFonts w:ascii="Arial" w:hAnsi="Arial" w:cs="Arial"/>
        </w:rPr>
        <w:t xml:space="preserve"> is the ability to perform tasks and roles to the expected standard</w:t>
      </w:r>
      <w:r>
        <w:rPr>
          <w:rFonts w:ascii="Arial" w:hAnsi="Arial" w:cs="Arial"/>
        </w:rPr>
        <w:t xml:space="preserve">. </w:t>
      </w:r>
      <w:r>
        <w:rPr>
          <w:rFonts w:ascii="Arial" w:eastAsia="Calibri" w:hAnsi="Arial" w:cs="Arial"/>
          <w:color w:val="000000" w:themeColor="text1"/>
        </w:rPr>
        <w:t>This study adopts the definition of IPMA (2015)</w:t>
      </w:r>
      <w:r w:rsidR="00097B63">
        <w:rPr>
          <w:rFonts w:ascii="Arial" w:eastAsia="Calibri" w:hAnsi="Arial" w:cs="Arial"/>
          <w:color w:val="000000" w:themeColor="text1"/>
        </w:rPr>
        <w:t>, which sees an individual’s competence as applying</w:t>
      </w:r>
      <w:r w:rsidRPr="00EA7665">
        <w:rPr>
          <w:rFonts w:ascii="Arial" w:eastAsia="Calibri" w:hAnsi="Arial" w:cs="Arial"/>
          <w:color w:val="000000" w:themeColor="text1"/>
        </w:rPr>
        <w:t xml:space="preserve"> knowledge, skills, and abilities to achieve the desired result. IPMA (2015)</w:t>
      </w:r>
      <w:r>
        <w:rPr>
          <w:rFonts w:ascii="Arial" w:eastAsia="Calibri" w:hAnsi="Arial" w:cs="Arial"/>
          <w:color w:val="000000" w:themeColor="text1"/>
        </w:rPr>
        <w:t>.</w:t>
      </w:r>
    </w:p>
    <w:p w14:paraId="0ACBA55D" w14:textId="77777777" w:rsidR="00CD6352" w:rsidRPr="00EA7665" w:rsidRDefault="00CD6352" w:rsidP="00CD6352">
      <w:pPr>
        <w:pStyle w:val="Heading4"/>
        <w:spacing w:after="240"/>
        <w:rPr>
          <w:rFonts w:ascii="Arial" w:hAnsi="Arial" w:cs="Arial"/>
          <w:b/>
          <w:color w:val="auto"/>
        </w:rPr>
      </w:pPr>
      <w:r w:rsidRPr="00EA7665">
        <w:rPr>
          <w:rFonts w:ascii="Arial" w:hAnsi="Arial" w:cs="Arial"/>
          <w:b/>
          <w:color w:val="auto"/>
        </w:rPr>
        <w:t xml:space="preserve">Management competence: Theory and practice </w:t>
      </w:r>
    </w:p>
    <w:p w14:paraId="4193A38C" w14:textId="0F3C1664" w:rsidR="00CD6352" w:rsidRPr="00EA7665" w:rsidRDefault="00CD6352" w:rsidP="00CD6352">
      <w:pPr>
        <w:spacing w:line="360" w:lineRule="auto"/>
        <w:jc w:val="both"/>
        <w:rPr>
          <w:rFonts w:ascii="Arial" w:eastAsia="Calibri" w:hAnsi="Arial" w:cs="Arial"/>
        </w:rPr>
      </w:pPr>
      <w:r w:rsidRPr="00504F47">
        <w:rPr>
          <w:rFonts w:ascii="Arial" w:eastAsia="Calibri" w:hAnsi="Arial" w:cs="Arial"/>
        </w:rPr>
        <w:t>To understand the research problem, the research</w:t>
      </w:r>
      <w:r>
        <w:rPr>
          <w:rFonts w:ascii="Arial" w:eastAsia="Calibri" w:hAnsi="Arial" w:cs="Arial"/>
        </w:rPr>
        <w:t>er</w:t>
      </w:r>
      <w:r w:rsidRPr="00504F47">
        <w:rPr>
          <w:rFonts w:ascii="Arial" w:eastAsia="Calibri" w:hAnsi="Arial" w:cs="Arial"/>
        </w:rPr>
        <w:t xml:space="preserve"> analyses and adopts the motivation theory</w:t>
      </w:r>
      <w:r w:rsidR="00497E46">
        <w:rPr>
          <w:rFonts w:ascii="Arial" w:eastAsia="Calibri" w:hAnsi="Arial" w:cs="Arial"/>
        </w:rPr>
        <w:t>,</w:t>
      </w:r>
      <w:r w:rsidRPr="00504F47">
        <w:rPr>
          <w:rFonts w:ascii="Arial" w:eastAsia="Calibri" w:hAnsi="Arial" w:cs="Arial"/>
        </w:rPr>
        <w:t xml:space="preserve"> and </w:t>
      </w:r>
      <w:r>
        <w:rPr>
          <w:rFonts w:ascii="Arial" w:eastAsia="Calibri" w:hAnsi="Arial" w:cs="Arial"/>
        </w:rPr>
        <w:t>she</w:t>
      </w:r>
      <w:r w:rsidRPr="00504F47">
        <w:rPr>
          <w:rFonts w:ascii="Arial" w:eastAsia="Calibri" w:hAnsi="Arial" w:cs="Arial"/>
        </w:rPr>
        <w:t xml:space="preserve"> does this by making references to IPMA (2015) competences framework.</w:t>
      </w:r>
      <w:r w:rsidRPr="00EA7665">
        <w:rPr>
          <w:rFonts w:ascii="Arial" w:eastAsia="Calibri" w:hAnsi="Arial" w:cs="Arial"/>
        </w:rPr>
        <w:t xml:space="preserve"> </w:t>
      </w:r>
    </w:p>
    <w:p w14:paraId="57F605A1" w14:textId="77777777" w:rsidR="00CD6352" w:rsidRPr="000F2DA2" w:rsidRDefault="00CD6352" w:rsidP="00CD6352">
      <w:pPr>
        <w:rPr>
          <w:rStyle w:val="SubtleEmphasis"/>
          <w:rFonts w:ascii="Arial" w:hAnsi="Arial" w:cs="Arial"/>
          <w:b/>
          <w:bCs/>
        </w:rPr>
      </w:pPr>
      <w:r w:rsidRPr="000F2DA2">
        <w:rPr>
          <w:rStyle w:val="SubtleEmphasis"/>
          <w:rFonts w:ascii="Arial" w:hAnsi="Arial" w:cs="Arial"/>
          <w:b/>
          <w:bCs/>
        </w:rPr>
        <w:t>Motivation theory</w:t>
      </w:r>
    </w:p>
    <w:p w14:paraId="61EC6245" w14:textId="21C265A6" w:rsidR="00CD6352" w:rsidRPr="00EA7665" w:rsidRDefault="00CD6352" w:rsidP="00CD6352">
      <w:pPr>
        <w:spacing w:line="360" w:lineRule="auto"/>
        <w:jc w:val="both"/>
        <w:rPr>
          <w:rFonts w:ascii="Arial" w:eastAsia="Calibri" w:hAnsi="Arial" w:cs="Arial"/>
        </w:rPr>
      </w:pPr>
      <w:r w:rsidRPr="000F2DA2">
        <w:rPr>
          <w:rFonts w:ascii="Arial" w:eastAsia="Calibri" w:hAnsi="Arial" w:cs="Arial"/>
        </w:rPr>
        <w:t xml:space="preserve">This theory shows that individuals try to develop their competences to perform better in their current position, </w:t>
      </w:r>
      <w:r w:rsidR="00097B63" w:rsidRPr="000F2DA2">
        <w:rPr>
          <w:rFonts w:ascii="Arial" w:eastAsia="Calibri" w:hAnsi="Arial" w:cs="Arial"/>
        </w:rPr>
        <w:t>get more interesting tasks, and</w:t>
      </w:r>
      <w:r w:rsidRPr="000F2DA2">
        <w:rPr>
          <w:rFonts w:ascii="Arial" w:eastAsia="Calibri" w:hAnsi="Arial" w:cs="Arial"/>
        </w:rPr>
        <w:t xml:space="preserve"> enhance their career opportunities (IPMA, 2015).</w:t>
      </w:r>
      <w:r w:rsidR="00097B63" w:rsidRPr="000F2DA2">
        <w:rPr>
          <w:rFonts w:ascii="Arial" w:eastAsia="Calibri" w:hAnsi="Arial" w:cs="Arial"/>
        </w:rPr>
        <w:t xml:space="preserve"> </w:t>
      </w:r>
      <w:r w:rsidRPr="000F2DA2">
        <w:rPr>
          <w:rFonts w:ascii="Arial" w:eastAsia="Calibri" w:hAnsi="Arial" w:cs="Arial"/>
        </w:rPr>
        <w:t>Experience plays a significant role in competences because it helps to demonstrate and improve on competences</w:t>
      </w:r>
      <w:r w:rsidR="00097B63" w:rsidRPr="000F2DA2">
        <w:rPr>
          <w:rFonts w:ascii="Arial" w:eastAsia="Calibri" w:hAnsi="Arial" w:cs="Arial"/>
        </w:rPr>
        <w:t>.</w:t>
      </w:r>
      <w:r w:rsidRPr="000F2DA2">
        <w:rPr>
          <w:rFonts w:ascii="Arial" w:eastAsia="Calibri" w:hAnsi="Arial" w:cs="Arial"/>
        </w:rPr>
        <w:t xml:space="preserve"> </w:t>
      </w:r>
      <w:r w:rsidR="00097B63" w:rsidRPr="000F2DA2">
        <w:rPr>
          <w:rFonts w:ascii="Arial" w:eastAsia="Calibri" w:hAnsi="Arial" w:cs="Arial"/>
        </w:rPr>
        <w:t xml:space="preserve"> </w:t>
      </w:r>
      <w:r w:rsidRPr="000F2DA2">
        <w:rPr>
          <w:rFonts w:ascii="Arial" w:eastAsia="Calibri" w:hAnsi="Arial" w:cs="Arial"/>
        </w:rPr>
        <w:t>IPMA (2015) recognises that the development of competences is a responsibility of the individual, team, and society. IPMA (2015) classifies</w:t>
      </w:r>
      <w:r w:rsidRPr="00EA7665">
        <w:rPr>
          <w:rFonts w:ascii="Arial" w:eastAsia="Calibri" w:hAnsi="Arial" w:cs="Arial"/>
        </w:rPr>
        <w:t xml:space="preserve"> competences into three significant components, and they are:</w:t>
      </w:r>
    </w:p>
    <w:p w14:paraId="4482EDAC" w14:textId="77777777" w:rsidR="00CD6352" w:rsidRPr="00EA7665" w:rsidRDefault="00CD6352" w:rsidP="00CD6352">
      <w:pPr>
        <w:pStyle w:val="ListParagraph"/>
        <w:numPr>
          <w:ilvl w:val="3"/>
          <w:numId w:val="1"/>
        </w:numPr>
        <w:spacing w:line="360" w:lineRule="auto"/>
        <w:jc w:val="both"/>
        <w:rPr>
          <w:rFonts w:ascii="Arial" w:eastAsia="Calibri" w:hAnsi="Arial" w:cs="Arial"/>
        </w:rPr>
      </w:pPr>
      <w:r w:rsidRPr="00EA7665">
        <w:rPr>
          <w:rFonts w:ascii="Arial" w:eastAsia="Calibri" w:hAnsi="Arial" w:cs="Arial"/>
        </w:rPr>
        <w:t>Individual competences address knowledge, skills, and abilities through experience.</w:t>
      </w:r>
    </w:p>
    <w:p w14:paraId="6DE4BBF2" w14:textId="77777777" w:rsidR="00CD6352" w:rsidRPr="00EA7665" w:rsidRDefault="00CD6352" w:rsidP="00CD6352">
      <w:pPr>
        <w:pStyle w:val="ListParagraph"/>
        <w:numPr>
          <w:ilvl w:val="3"/>
          <w:numId w:val="1"/>
        </w:numPr>
        <w:spacing w:line="360" w:lineRule="auto"/>
        <w:jc w:val="both"/>
        <w:rPr>
          <w:rFonts w:ascii="Arial" w:eastAsia="Calibri" w:hAnsi="Arial" w:cs="Arial"/>
        </w:rPr>
      </w:pPr>
      <w:r w:rsidRPr="00EA7665">
        <w:rPr>
          <w:rFonts w:ascii="Arial" w:eastAsia="Calibri" w:hAnsi="Arial" w:cs="Arial"/>
        </w:rPr>
        <w:t>Team competences address the collective performance of individuals joined towards a purpose.</w:t>
      </w:r>
    </w:p>
    <w:p w14:paraId="7B0B124B" w14:textId="77777777" w:rsidR="00CD6352" w:rsidRPr="00EA7665" w:rsidRDefault="00CD6352" w:rsidP="00CD6352">
      <w:pPr>
        <w:pStyle w:val="ListParagraph"/>
        <w:numPr>
          <w:ilvl w:val="3"/>
          <w:numId w:val="1"/>
        </w:numPr>
        <w:spacing w:line="360" w:lineRule="auto"/>
        <w:jc w:val="both"/>
        <w:rPr>
          <w:rFonts w:ascii="Arial" w:eastAsia="Calibri" w:hAnsi="Arial" w:cs="Arial"/>
        </w:rPr>
      </w:pPr>
      <w:r w:rsidRPr="00EA7665">
        <w:rPr>
          <w:rFonts w:ascii="Arial" w:eastAsia="Calibri" w:hAnsi="Arial" w:cs="Arial"/>
        </w:rPr>
        <w:lastRenderedPageBreak/>
        <w:t>Organisation competences address the strategic capabilities of a self-sustaining unit of people.</w:t>
      </w:r>
    </w:p>
    <w:p w14:paraId="43488944" w14:textId="0F33B081"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The IPMA (2015) defines the competences required by individuals working in the field of project, program</w:t>
      </w:r>
      <w:r w:rsidR="00981A61">
        <w:rPr>
          <w:rFonts w:ascii="Arial" w:eastAsia="Calibri" w:hAnsi="Arial" w:cs="Arial"/>
        </w:rPr>
        <w:t>, and portfolio management. It identified twenty-nine (29) competence areas organised under people, practice,</w:t>
      </w:r>
      <w:r w:rsidRPr="00EA7665">
        <w:rPr>
          <w:rFonts w:ascii="Arial" w:eastAsia="Calibri" w:hAnsi="Arial" w:cs="Arial"/>
        </w:rPr>
        <w:t xml:space="preserve"> and perspective competences </w:t>
      </w:r>
      <w:r w:rsidR="00981A61">
        <w:rPr>
          <w:rFonts w:ascii="Arial" w:eastAsia="Calibri" w:hAnsi="Arial" w:cs="Arial"/>
        </w:rPr>
        <w:t>.</w:t>
      </w:r>
      <w:r w:rsidRPr="00EA7665">
        <w:rPr>
          <w:rFonts w:ascii="Arial" w:eastAsia="Calibri" w:hAnsi="Arial" w:cs="Arial"/>
        </w:rPr>
        <w:t xml:space="preserve"> </w:t>
      </w:r>
      <w:r w:rsidR="00E80469">
        <w:rPr>
          <w:rFonts w:ascii="Arial" w:eastAsia="Calibri" w:hAnsi="Arial" w:cs="Arial"/>
        </w:rPr>
        <w:t>I</w:t>
      </w:r>
      <w:r w:rsidRPr="00EA7665">
        <w:rPr>
          <w:rFonts w:ascii="Arial" w:eastAsia="Calibri" w:hAnsi="Arial" w:cs="Arial"/>
        </w:rPr>
        <w:t xml:space="preserve">ndividual competence defines the personal and interpersonal competences required to succeed in projects, programs, and portfolios. </w:t>
      </w:r>
      <w:r w:rsidR="00A63C48">
        <w:rPr>
          <w:rFonts w:ascii="Arial" w:eastAsia="Calibri" w:hAnsi="Arial" w:cs="Arial"/>
        </w:rPr>
        <w:t>While t</w:t>
      </w:r>
      <w:r w:rsidRPr="00EA7665">
        <w:rPr>
          <w:rFonts w:ascii="Arial" w:eastAsia="Calibri" w:hAnsi="Arial" w:cs="Arial"/>
        </w:rPr>
        <w:t>he practice competences define the technical aspects of managing a project, program, and portfolios</w:t>
      </w:r>
      <w:r w:rsidR="00981A61">
        <w:rPr>
          <w:rFonts w:ascii="Arial" w:eastAsia="Calibri" w:hAnsi="Arial" w:cs="Arial"/>
        </w:rPr>
        <w:t xml:space="preserve">. </w:t>
      </w:r>
      <w:r w:rsidR="00A63C48">
        <w:rPr>
          <w:rFonts w:ascii="Arial" w:eastAsia="Calibri" w:hAnsi="Arial" w:cs="Arial"/>
        </w:rPr>
        <w:t xml:space="preserve">Finally, </w:t>
      </w:r>
      <w:r w:rsidRPr="00EA7665">
        <w:rPr>
          <w:rFonts w:ascii="Arial" w:eastAsia="Calibri" w:hAnsi="Arial" w:cs="Arial"/>
        </w:rPr>
        <w:t xml:space="preserve">the perspective competences define the contextual competences that must be navigated within </w:t>
      </w:r>
      <w:r>
        <w:rPr>
          <w:rFonts w:ascii="Arial" w:eastAsia="Calibri" w:hAnsi="Arial" w:cs="Arial"/>
        </w:rPr>
        <w:t>and</w:t>
      </w:r>
      <w:r w:rsidRPr="00EA7665">
        <w:rPr>
          <w:rFonts w:ascii="Arial" w:eastAsia="Calibri" w:hAnsi="Arial" w:cs="Arial"/>
        </w:rPr>
        <w:t xml:space="preserve"> across the broader environment.  </w:t>
      </w:r>
    </w:p>
    <w:p w14:paraId="50C6BC36" w14:textId="77777777"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IPMA (2015) perspective competences have competence elements as shown below: These sets of competences deal with the context of a project. </w:t>
      </w:r>
    </w:p>
    <w:p w14:paraId="732F3A88" w14:textId="77777777" w:rsidR="00CD6352" w:rsidRPr="00EA7665" w:rsidRDefault="00CD6352" w:rsidP="007625E7">
      <w:pPr>
        <w:pStyle w:val="ListParagraph"/>
        <w:numPr>
          <w:ilvl w:val="0"/>
          <w:numId w:val="373"/>
        </w:numPr>
        <w:spacing w:line="360" w:lineRule="auto"/>
        <w:jc w:val="both"/>
        <w:rPr>
          <w:rFonts w:ascii="Arial" w:eastAsia="Calibri" w:hAnsi="Arial" w:cs="Arial"/>
        </w:rPr>
      </w:pPr>
      <w:r w:rsidRPr="00EA7665">
        <w:rPr>
          <w:rFonts w:ascii="Arial" w:eastAsia="Calibri" w:hAnsi="Arial" w:cs="Arial"/>
        </w:rPr>
        <w:t>Strategy</w:t>
      </w:r>
    </w:p>
    <w:p w14:paraId="75E56837" w14:textId="77777777" w:rsidR="00CD6352" w:rsidRPr="00EA7665" w:rsidRDefault="00CD6352" w:rsidP="007625E7">
      <w:pPr>
        <w:pStyle w:val="ListParagraph"/>
        <w:numPr>
          <w:ilvl w:val="0"/>
          <w:numId w:val="373"/>
        </w:numPr>
        <w:spacing w:line="360" w:lineRule="auto"/>
        <w:jc w:val="both"/>
        <w:rPr>
          <w:rFonts w:ascii="Arial" w:eastAsia="Calibri" w:hAnsi="Arial" w:cs="Arial"/>
        </w:rPr>
      </w:pPr>
      <w:r w:rsidRPr="00EA7665">
        <w:rPr>
          <w:rFonts w:ascii="Arial" w:eastAsia="Calibri" w:hAnsi="Arial" w:cs="Arial"/>
        </w:rPr>
        <w:t>Governance, structure, and process</w:t>
      </w:r>
    </w:p>
    <w:p w14:paraId="7CDC0D13" w14:textId="77777777" w:rsidR="00CD6352" w:rsidRPr="00EA7665" w:rsidRDefault="00CD6352" w:rsidP="007625E7">
      <w:pPr>
        <w:pStyle w:val="ListParagraph"/>
        <w:numPr>
          <w:ilvl w:val="0"/>
          <w:numId w:val="373"/>
        </w:numPr>
        <w:spacing w:line="360" w:lineRule="auto"/>
        <w:jc w:val="both"/>
        <w:rPr>
          <w:rFonts w:ascii="Arial" w:eastAsia="Calibri" w:hAnsi="Arial" w:cs="Arial"/>
        </w:rPr>
      </w:pPr>
      <w:r w:rsidRPr="00EA7665">
        <w:rPr>
          <w:rFonts w:ascii="Arial" w:eastAsia="Calibri" w:hAnsi="Arial" w:cs="Arial"/>
        </w:rPr>
        <w:t>Compliance, standards, and regulations</w:t>
      </w:r>
    </w:p>
    <w:p w14:paraId="20EE7EED" w14:textId="77777777" w:rsidR="00CD6352" w:rsidRPr="00EA7665" w:rsidRDefault="00CD6352" w:rsidP="007625E7">
      <w:pPr>
        <w:pStyle w:val="ListParagraph"/>
        <w:numPr>
          <w:ilvl w:val="0"/>
          <w:numId w:val="373"/>
        </w:numPr>
        <w:spacing w:line="360" w:lineRule="auto"/>
        <w:jc w:val="both"/>
        <w:rPr>
          <w:rFonts w:ascii="Arial" w:eastAsia="Calibri" w:hAnsi="Arial" w:cs="Arial"/>
        </w:rPr>
      </w:pPr>
      <w:r w:rsidRPr="00EA7665">
        <w:rPr>
          <w:rFonts w:ascii="Arial" w:eastAsia="Calibri" w:hAnsi="Arial" w:cs="Arial"/>
        </w:rPr>
        <w:t>Power and interests</w:t>
      </w:r>
    </w:p>
    <w:p w14:paraId="788808A9" w14:textId="77777777" w:rsidR="00CD6352" w:rsidRPr="00EA7665" w:rsidRDefault="00CD6352" w:rsidP="007625E7">
      <w:pPr>
        <w:pStyle w:val="ListParagraph"/>
        <w:numPr>
          <w:ilvl w:val="0"/>
          <w:numId w:val="373"/>
        </w:numPr>
        <w:spacing w:line="360" w:lineRule="auto"/>
        <w:jc w:val="both"/>
        <w:rPr>
          <w:rFonts w:ascii="Arial" w:eastAsia="Calibri" w:hAnsi="Arial" w:cs="Arial"/>
        </w:rPr>
      </w:pPr>
      <w:r w:rsidRPr="00EA7665">
        <w:rPr>
          <w:rFonts w:ascii="Arial" w:eastAsia="Calibri" w:hAnsi="Arial" w:cs="Arial"/>
        </w:rPr>
        <w:t>Culture and values</w:t>
      </w:r>
    </w:p>
    <w:p w14:paraId="15C12EF0" w14:textId="77777777"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IPMA (2015) people competences have ten elements, as shown below. These sets of competences deal with the social and personal competences of the individuals.</w:t>
      </w:r>
    </w:p>
    <w:p w14:paraId="2F326443"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Self-reflection and self-management</w:t>
      </w:r>
    </w:p>
    <w:p w14:paraId="3B3D2539"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Personal integrity and reliability</w:t>
      </w:r>
    </w:p>
    <w:p w14:paraId="33C9CF1A"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Personal communication</w:t>
      </w:r>
    </w:p>
    <w:p w14:paraId="601AF8A7"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Relationships and engagement</w:t>
      </w:r>
    </w:p>
    <w:p w14:paraId="05C20134"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Leadership</w:t>
      </w:r>
    </w:p>
    <w:p w14:paraId="7EB4D5E5"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Conflict and crisis</w:t>
      </w:r>
    </w:p>
    <w:p w14:paraId="7A7EA042"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Resourcefulness</w:t>
      </w:r>
    </w:p>
    <w:p w14:paraId="66D6FDBC"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Negotiation</w:t>
      </w:r>
    </w:p>
    <w:p w14:paraId="60D0F594" w14:textId="77777777" w:rsidR="00CD6352" w:rsidRPr="00EA7665" w:rsidRDefault="00CD6352" w:rsidP="007625E7">
      <w:pPr>
        <w:pStyle w:val="ListParagraph"/>
        <w:numPr>
          <w:ilvl w:val="0"/>
          <w:numId w:val="374"/>
        </w:numPr>
        <w:spacing w:line="360" w:lineRule="auto"/>
        <w:jc w:val="both"/>
        <w:rPr>
          <w:rFonts w:ascii="Arial" w:eastAsia="Calibri" w:hAnsi="Arial" w:cs="Arial"/>
        </w:rPr>
      </w:pPr>
      <w:r w:rsidRPr="00EA7665">
        <w:rPr>
          <w:rFonts w:ascii="Arial" w:eastAsia="Calibri" w:hAnsi="Arial" w:cs="Arial"/>
        </w:rPr>
        <w:t>Result oriented</w:t>
      </w:r>
    </w:p>
    <w:p w14:paraId="4B6A1844" w14:textId="77777777"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While IPMA (2015) practice competences, have 14 elements. These sets of competences deal with the core project competences.</w:t>
      </w:r>
    </w:p>
    <w:p w14:paraId="4031B8F4"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Project design</w:t>
      </w:r>
    </w:p>
    <w:p w14:paraId="4E9130B9"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 xml:space="preserve">Requirement and objectives </w:t>
      </w:r>
    </w:p>
    <w:p w14:paraId="3306F902"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Scope</w:t>
      </w:r>
    </w:p>
    <w:p w14:paraId="2D8B865D"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Time</w:t>
      </w:r>
    </w:p>
    <w:p w14:paraId="5CAE5FF2"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Organisation and information</w:t>
      </w:r>
    </w:p>
    <w:p w14:paraId="28A3AFAA"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lastRenderedPageBreak/>
        <w:t>Quality</w:t>
      </w:r>
    </w:p>
    <w:p w14:paraId="2A96E40D"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Finance</w:t>
      </w:r>
    </w:p>
    <w:p w14:paraId="79B791A6"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Resources</w:t>
      </w:r>
    </w:p>
    <w:p w14:paraId="125B7FB9"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Procurement</w:t>
      </w:r>
    </w:p>
    <w:p w14:paraId="5B3F9DC5"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Plan and control</w:t>
      </w:r>
    </w:p>
    <w:p w14:paraId="329465EF"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Risks and opportunities</w:t>
      </w:r>
    </w:p>
    <w:p w14:paraId="021753BA" w14:textId="77777777" w:rsidR="00CD6352" w:rsidRPr="00EA7665" w:rsidRDefault="00CD6352" w:rsidP="007625E7">
      <w:pPr>
        <w:pStyle w:val="ListParagraph"/>
        <w:numPr>
          <w:ilvl w:val="0"/>
          <w:numId w:val="375"/>
        </w:numPr>
        <w:spacing w:line="360" w:lineRule="auto"/>
        <w:jc w:val="both"/>
        <w:rPr>
          <w:rFonts w:ascii="Arial" w:eastAsia="Calibri" w:hAnsi="Arial" w:cs="Arial"/>
        </w:rPr>
      </w:pPr>
      <w:r w:rsidRPr="00EA7665">
        <w:rPr>
          <w:rFonts w:ascii="Arial" w:eastAsia="Calibri" w:hAnsi="Arial" w:cs="Arial"/>
        </w:rPr>
        <w:t>Stakeholders</w:t>
      </w:r>
    </w:p>
    <w:p w14:paraId="53F3A823" w14:textId="429888C1"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IPMA (2015) recommends all the competences mentioned above to be used when securing finance. </w:t>
      </w:r>
      <w:r w:rsidR="00981A61">
        <w:rPr>
          <w:rFonts w:ascii="Arial" w:eastAsia="Calibri" w:hAnsi="Arial" w:cs="Arial"/>
        </w:rPr>
        <w:t>However, it emphasised</w:t>
      </w:r>
      <w:r w:rsidRPr="00EA7665">
        <w:rPr>
          <w:rFonts w:ascii="Arial" w:eastAsia="Calibri" w:hAnsi="Arial" w:cs="Arial"/>
        </w:rPr>
        <w:t xml:space="preserve"> the under listed six (6) competences as necessary for securing finance.</w:t>
      </w:r>
    </w:p>
    <w:p w14:paraId="45862EF1" w14:textId="77777777" w:rsidR="00CD6352" w:rsidRPr="00EA7665" w:rsidRDefault="00CD6352" w:rsidP="007625E7">
      <w:pPr>
        <w:pStyle w:val="ListParagraph"/>
        <w:numPr>
          <w:ilvl w:val="0"/>
          <w:numId w:val="376"/>
        </w:numPr>
        <w:spacing w:line="360" w:lineRule="auto"/>
        <w:jc w:val="both"/>
        <w:rPr>
          <w:rFonts w:ascii="Arial" w:eastAsia="Calibri" w:hAnsi="Arial" w:cs="Arial"/>
        </w:rPr>
      </w:pPr>
      <w:r w:rsidRPr="00EA7665">
        <w:rPr>
          <w:rFonts w:ascii="Arial" w:eastAsia="Calibri" w:hAnsi="Arial" w:cs="Arial"/>
        </w:rPr>
        <w:t>Governance, structures, and processes</w:t>
      </w:r>
    </w:p>
    <w:p w14:paraId="47C3B76E" w14:textId="77777777" w:rsidR="00CD6352" w:rsidRPr="00EA7665" w:rsidRDefault="00CD6352" w:rsidP="007625E7">
      <w:pPr>
        <w:pStyle w:val="ListParagraph"/>
        <w:numPr>
          <w:ilvl w:val="0"/>
          <w:numId w:val="376"/>
        </w:numPr>
        <w:spacing w:line="360" w:lineRule="auto"/>
        <w:jc w:val="both"/>
        <w:rPr>
          <w:rFonts w:ascii="Arial" w:eastAsia="Calibri" w:hAnsi="Arial" w:cs="Arial"/>
        </w:rPr>
      </w:pPr>
      <w:r w:rsidRPr="00EA7665">
        <w:rPr>
          <w:rFonts w:ascii="Arial" w:eastAsia="Calibri" w:hAnsi="Arial" w:cs="Arial"/>
        </w:rPr>
        <w:t>Compliance, standards, and regulation</w:t>
      </w:r>
    </w:p>
    <w:p w14:paraId="3A60D5AC" w14:textId="77777777" w:rsidR="00CD6352" w:rsidRPr="00EA7665" w:rsidRDefault="00CD6352" w:rsidP="007625E7">
      <w:pPr>
        <w:pStyle w:val="ListParagraph"/>
        <w:numPr>
          <w:ilvl w:val="0"/>
          <w:numId w:val="376"/>
        </w:numPr>
        <w:spacing w:line="360" w:lineRule="auto"/>
        <w:jc w:val="both"/>
        <w:rPr>
          <w:rFonts w:ascii="Arial" w:eastAsia="Calibri" w:hAnsi="Arial" w:cs="Arial"/>
        </w:rPr>
      </w:pPr>
      <w:r w:rsidRPr="00EA7665">
        <w:rPr>
          <w:rFonts w:ascii="Arial" w:eastAsia="Calibri" w:hAnsi="Arial" w:cs="Arial"/>
        </w:rPr>
        <w:t>Leadership</w:t>
      </w:r>
    </w:p>
    <w:p w14:paraId="2FF1F1BD" w14:textId="77777777" w:rsidR="00CD6352" w:rsidRPr="00EA7665" w:rsidRDefault="00CD6352" w:rsidP="007625E7">
      <w:pPr>
        <w:pStyle w:val="ListParagraph"/>
        <w:numPr>
          <w:ilvl w:val="0"/>
          <w:numId w:val="376"/>
        </w:numPr>
        <w:spacing w:line="360" w:lineRule="auto"/>
        <w:jc w:val="both"/>
        <w:rPr>
          <w:rFonts w:ascii="Arial" w:eastAsia="Calibri" w:hAnsi="Arial" w:cs="Arial"/>
        </w:rPr>
      </w:pPr>
      <w:r w:rsidRPr="00EA7665">
        <w:rPr>
          <w:rFonts w:ascii="Arial" w:eastAsia="Calibri" w:hAnsi="Arial" w:cs="Arial"/>
        </w:rPr>
        <w:t>Resourcefulness</w:t>
      </w:r>
    </w:p>
    <w:p w14:paraId="6FD3B9B9" w14:textId="77777777" w:rsidR="00CD6352" w:rsidRPr="00EA7665" w:rsidRDefault="00CD6352" w:rsidP="007625E7">
      <w:pPr>
        <w:pStyle w:val="ListParagraph"/>
        <w:numPr>
          <w:ilvl w:val="0"/>
          <w:numId w:val="376"/>
        </w:numPr>
        <w:spacing w:line="360" w:lineRule="auto"/>
        <w:jc w:val="both"/>
        <w:rPr>
          <w:rFonts w:ascii="Arial" w:eastAsia="Calibri" w:hAnsi="Arial" w:cs="Arial"/>
        </w:rPr>
      </w:pPr>
      <w:r w:rsidRPr="00EA7665">
        <w:rPr>
          <w:rFonts w:ascii="Arial" w:eastAsia="Calibri" w:hAnsi="Arial" w:cs="Arial"/>
        </w:rPr>
        <w:t>Negotiation</w:t>
      </w:r>
    </w:p>
    <w:p w14:paraId="2888D4C9" w14:textId="77777777" w:rsidR="00CD6352" w:rsidRPr="00EA7665" w:rsidRDefault="00CD6352" w:rsidP="007625E7">
      <w:pPr>
        <w:pStyle w:val="ListParagraph"/>
        <w:numPr>
          <w:ilvl w:val="0"/>
          <w:numId w:val="376"/>
        </w:numPr>
        <w:spacing w:line="360" w:lineRule="auto"/>
        <w:jc w:val="both"/>
        <w:rPr>
          <w:rFonts w:ascii="Arial" w:eastAsia="Calibri" w:hAnsi="Arial" w:cs="Arial"/>
        </w:rPr>
      </w:pPr>
      <w:r w:rsidRPr="00EA7665">
        <w:rPr>
          <w:rFonts w:ascii="Arial" w:eastAsia="Calibri" w:hAnsi="Arial" w:cs="Arial"/>
        </w:rPr>
        <w:t>Result orientation</w:t>
      </w:r>
    </w:p>
    <w:p w14:paraId="7A0F8C83" w14:textId="01F49DE1" w:rsidR="00981A61" w:rsidRDefault="00D85E1C" w:rsidP="00CD6352">
      <w:pPr>
        <w:spacing w:line="360" w:lineRule="auto"/>
        <w:jc w:val="both"/>
        <w:rPr>
          <w:rFonts w:ascii="Arial" w:hAnsi="Arial" w:cs="Arial"/>
          <w:color w:val="000000"/>
        </w:rPr>
      </w:pPr>
      <w:r>
        <w:rPr>
          <w:rFonts w:ascii="Arial" w:hAnsi="Arial" w:cs="Arial"/>
          <w:color w:val="000000"/>
        </w:rPr>
        <w:t xml:space="preserve">This study used the competences gotten through </w:t>
      </w:r>
      <w:r w:rsidR="00B62E4C">
        <w:rPr>
          <w:rFonts w:ascii="Arial" w:hAnsi="Arial" w:cs="Arial"/>
          <w:color w:val="000000"/>
        </w:rPr>
        <w:t>literature reviews,</w:t>
      </w:r>
      <w:r>
        <w:rPr>
          <w:rFonts w:ascii="Arial" w:hAnsi="Arial" w:cs="Arial"/>
          <w:color w:val="000000"/>
        </w:rPr>
        <w:t xml:space="preserve"> </w:t>
      </w:r>
      <w:r w:rsidR="00B62E4C">
        <w:rPr>
          <w:rFonts w:ascii="Arial" w:hAnsi="Arial" w:cs="Arial"/>
          <w:color w:val="000000"/>
        </w:rPr>
        <w:t xml:space="preserve">including those by IPMA (2015) that relate to securing finance </w:t>
      </w:r>
      <w:r w:rsidR="00981A61">
        <w:rPr>
          <w:rFonts w:ascii="Arial" w:hAnsi="Arial" w:cs="Arial"/>
          <w:color w:val="000000"/>
        </w:rPr>
        <w:t xml:space="preserve">, APM (2015) competence framework, </w:t>
      </w:r>
      <w:r w:rsidR="00B62E4C">
        <w:rPr>
          <w:rFonts w:ascii="Arial" w:hAnsi="Arial" w:cs="Arial"/>
          <w:color w:val="000000"/>
        </w:rPr>
        <w:t>and</w:t>
      </w:r>
      <w:r w:rsidRPr="00D85E1C">
        <w:rPr>
          <w:rFonts w:ascii="Arial" w:hAnsi="Arial" w:cs="Arial"/>
          <w:color w:val="000000"/>
        </w:rPr>
        <w:t xml:space="preserve"> other competences by authors like Boyatzis (1982</w:t>
      </w:r>
      <w:r w:rsidR="00CF5764">
        <w:rPr>
          <w:rFonts w:ascii="Arial" w:hAnsi="Arial" w:cs="Arial"/>
          <w:color w:val="000000"/>
        </w:rPr>
        <w:t>)</w:t>
      </w:r>
      <w:r w:rsidR="00B62E4C">
        <w:rPr>
          <w:rFonts w:ascii="Arial" w:hAnsi="Arial" w:cs="Arial"/>
          <w:color w:val="000000"/>
        </w:rPr>
        <w:t>,</w:t>
      </w:r>
      <w:r w:rsidR="00CF5764">
        <w:rPr>
          <w:rFonts w:ascii="Arial" w:hAnsi="Arial" w:cs="Arial"/>
          <w:color w:val="000000"/>
        </w:rPr>
        <w:t xml:space="preserve"> </w:t>
      </w:r>
      <w:r>
        <w:rPr>
          <w:rFonts w:ascii="Arial" w:hAnsi="Arial" w:cs="Arial"/>
          <w:color w:val="000000"/>
        </w:rPr>
        <w:t>to develop a collection of competences.</w:t>
      </w:r>
      <w:r w:rsidR="00CF5764">
        <w:rPr>
          <w:rFonts w:ascii="Arial" w:hAnsi="Arial" w:cs="Arial"/>
          <w:color w:val="000000"/>
        </w:rPr>
        <w:t xml:space="preserve"> </w:t>
      </w:r>
      <w:r w:rsidR="002E1D92">
        <w:rPr>
          <w:rFonts w:ascii="Arial" w:hAnsi="Arial" w:cs="Arial"/>
          <w:color w:val="000000"/>
        </w:rPr>
        <w:t>Th</w:t>
      </w:r>
      <w:r w:rsidR="00B62E4C">
        <w:rPr>
          <w:rFonts w:ascii="Arial" w:hAnsi="Arial" w:cs="Arial"/>
          <w:color w:val="000000"/>
        </w:rPr>
        <w:t xml:space="preserve">ey were </w:t>
      </w:r>
      <w:r w:rsidR="00CD6352" w:rsidRPr="00EA7665">
        <w:rPr>
          <w:rFonts w:ascii="Arial" w:hAnsi="Arial" w:cs="Arial"/>
          <w:color w:val="000000"/>
        </w:rPr>
        <w:t xml:space="preserve">tested </w:t>
      </w:r>
      <w:r w:rsidR="002E1D92">
        <w:rPr>
          <w:rFonts w:ascii="Arial" w:hAnsi="Arial" w:cs="Arial"/>
          <w:color w:val="000000"/>
        </w:rPr>
        <w:t>using</w:t>
      </w:r>
      <w:r w:rsidR="00CD6352" w:rsidRPr="00EA7665">
        <w:rPr>
          <w:rFonts w:ascii="Arial" w:hAnsi="Arial" w:cs="Arial"/>
          <w:color w:val="000000"/>
        </w:rPr>
        <w:t xml:space="preserve"> </w:t>
      </w:r>
      <w:r w:rsidR="00CD6352">
        <w:rPr>
          <w:rFonts w:ascii="Arial" w:hAnsi="Arial" w:cs="Arial"/>
          <w:color w:val="000000"/>
        </w:rPr>
        <w:t xml:space="preserve">questionnaire </w:t>
      </w:r>
      <w:r w:rsidR="00CD6352" w:rsidRPr="00EA7665">
        <w:rPr>
          <w:rFonts w:ascii="Arial" w:hAnsi="Arial" w:cs="Arial"/>
          <w:color w:val="000000"/>
        </w:rPr>
        <w:t>surve</w:t>
      </w:r>
      <w:r w:rsidR="00CD6352">
        <w:rPr>
          <w:rFonts w:ascii="Arial" w:hAnsi="Arial" w:cs="Arial"/>
          <w:color w:val="000000"/>
        </w:rPr>
        <w:t>ys</w:t>
      </w:r>
      <w:r w:rsidR="00CD6352" w:rsidRPr="00EA7665">
        <w:rPr>
          <w:rFonts w:ascii="Arial" w:hAnsi="Arial" w:cs="Arial"/>
          <w:color w:val="000000"/>
        </w:rPr>
        <w:t xml:space="preserve"> </w:t>
      </w:r>
      <w:r w:rsidR="002E1D92">
        <w:rPr>
          <w:rFonts w:ascii="Arial" w:hAnsi="Arial" w:cs="Arial"/>
          <w:color w:val="000000"/>
        </w:rPr>
        <w:t>and</w:t>
      </w:r>
      <w:r w:rsidR="00CD6352" w:rsidRPr="00EA7665">
        <w:rPr>
          <w:rFonts w:ascii="Arial" w:hAnsi="Arial" w:cs="Arial"/>
          <w:color w:val="000000"/>
        </w:rPr>
        <w:t xml:space="preserve"> </w:t>
      </w:r>
      <w:r w:rsidR="00CD6352">
        <w:rPr>
          <w:rFonts w:ascii="Arial" w:hAnsi="Arial" w:cs="Arial"/>
          <w:color w:val="000000"/>
        </w:rPr>
        <w:t>semi</w:t>
      </w:r>
      <w:r w:rsidR="002E1D92">
        <w:rPr>
          <w:rFonts w:ascii="Arial" w:hAnsi="Arial" w:cs="Arial"/>
          <w:color w:val="000000"/>
        </w:rPr>
        <w:t>-</w:t>
      </w:r>
      <w:r w:rsidR="00CD6352">
        <w:rPr>
          <w:rFonts w:ascii="Arial" w:hAnsi="Arial" w:cs="Arial"/>
          <w:color w:val="000000"/>
        </w:rPr>
        <w:t xml:space="preserve">structured </w:t>
      </w:r>
      <w:r w:rsidR="00CD6352" w:rsidRPr="00EA7665">
        <w:rPr>
          <w:rFonts w:ascii="Arial" w:hAnsi="Arial" w:cs="Arial"/>
          <w:color w:val="000000"/>
        </w:rPr>
        <w:t xml:space="preserve">interview responses to determine the competences needed by the </w:t>
      </w:r>
      <w:r w:rsidR="002E1D92">
        <w:rPr>
          <w:rFonts w:ascii="Arial" w:hAnsi="Arial" w:cs="Arial"/>
          <w:color w:val="000000"/>
        </w:rPr>
        <w:t>real estate sector manage</w:t>
      </w:r>
      <w:r w:rsidR="00CD6352" w:rsidRPr="00EA7665">
        <w:rPr>
          <w:rFonts w:ascii="Arial" w:hAnsi="Arial" w:cs="Arial"/>
          <w:color w:val="000000"/>
        </w:rPr>
        <w:t>r to secure finance for project development</w:t>
      </w:r>
      <w:r w:rsidR="00CC0540">
        <w:rPr>
          <w:rFonts w:ascii="Arial" w:hAnsi="Arial" w:cs="Arial"/>
          <w:color w:val="000000"/>
        </w:rPr>
        <w:t>,</w:t>
      </w:r>
      <w:r w:rsidR="00981A61">
        <w:rPr>
          <w:rFonts w:ascii="Arial" w:hAnsi="Arial" w:cs="Arial"/>
          <w:color w:val="000000"/>
        </w:rPr>
        <w:t xml:space="preserve"> as contained in chapter 8</w:t>
      </w:r>
      <w:r w:rsidR="00CD6352" w:rsidRPr="00EA7665">
        <w:rPr>
          <w:rFonts w:ascii="Arial" w:hAnsi="Arial" w:cs="Arial"/>
          <w:color w:val="000000"/>
        </w:rPr>
        <w:t xml:space="preserve">. </w:t>
      </w:r>
      <w:r w:rsidR="00981A61">
        <w:rPr>
          <w:rFonts w:ascii="Arial" w:hAnsi="Arial" w:cs="Arial"/>
          <w:color w:val="000000"/>
        </w:rPr>
        <w:t>The findings on competences in chapter 8 helped develop an inventory of competences for securing finance for real estate project development. This forms one of the components of the toolkit in chapter 10.</w:t>
      </w:r>
    </w:p>
    <w:p w14:paraId="2457F01F" w14:textId="5047CE5A" w:rsidR="00CD6352" w:rsidRPr="00EA7665" w:rsidRDefault="00CD6352" w:rsidP="00CD6352">
      <w:pPr>
        <w:spacing w:line="360" w:lineRule="auto"/>
        <w:jc w:val="both"/>
        <w:rPr>
          <w:rFonts w:ascii="Arial" w:hAnsi="Arial" w:cs="Arial"/>
          <w:color w:val="000000"/>
        </w:rPr>
      </w:pPr>
      <w:r w:rsidRPr="00EA7665">
        <w:rPr>
          <w:rFonts w:ascii="Arial" w:hAnsi="Arial" w:cs="Arial"/>
          <w:color w:val="000000"/>
        </w:rPr>
        <w:t>A summary of various manager’s competences from further review of literature is contained in table 3.</w:t>
      </w:r>
      <w:r w:rsidR="00981A61">
        <w:rPr>
          <w:rFonts w:ascii="Arial" w:hAnsi="Arial" w:cs="Arial"/>
          <w:color w:val="000000"/>
        </w:rPr>
        <w:t>8.3</w:t>
      </w:r>
      <w:r w:rsidRPr="00EA7665">
        <w:rPr>
          <w:rFonts w:ascii="Arial" w:hAnsi="Arial" w:cs="Arial"/>
          <w:color w:val="000000"/>
        </w:rPr>
        <w:t xml:space="preserve">. </w:t>
      </w:r>
    </w:p>
    <w:p w14:paraId="5CA3AB94" w14:textId="31468F35" w:rsidR="00CD6352" w:rsidRPr="0048272B" w:rsidRDefault="00CD6352" w:rsidP="00CD6352">
      <w:pPr>
        <w:pStyle w:val="Caption"/>
        <w:keepNext/>
        <w:rPr>
          <w:i w:val="0"/>
          <w:iCs w:val="0"/>
        </w:rPr>
      </w:pPr>
      <w:bookmarkStart w:id="783" w:name="_Toc78983956"/>
      <w:r w:rsidRPr="0048272B">
        <w:rPr>
          <w:i w:val="0"/>
          <w:iCs w:val="0"/>
        </w:rPr>
        <w:t xml:space="preserve">Table </w:t>
      </w:r>
      <w:r w:rsidR="008F25B1">
        <w:rPr>
          <w:i w:val="0"/>
          <w:iCs w:val="0"/>
        </w:rPr>
        <w:fldChar w:fldCharType="begin"/>
      </w:r>
      <w:r w:rsidR="008F25B1">
        <w:rPr>
          <w:i w:val="0"/>
          <w:iCs w:val="0"/>
        </w:rPr>
        <w:instrText xml:space="preserve"> STYLEREF 2 \s </w:instrText>
      </w:r>
      <w:r w:rsidR="008F25B1">
        <w:rPr>
          <w:i w:val="0"/>
          <w:iCs w:val="0"/>
        </w:rPr>
        <w:fldChar w:fldCharType="separate"/>
      </w:r>
      <w:r w:rsidR="008F25B1">
        <w:rPr>
          <w:i w:val="0"/>
          <w:iCs w:val="0"/>
          <w:noProof/>
        </w:rPr>
        <w:t>3.8</w:t>
      </w:r>
      <w:r w:rsidR="008F25B1">
        <w:rPr>
          <w:i w:val="0"/>
          <w:iCs w:val="0"/>
        </w:rPr>
        <w:fldChar w:fldCharType="end"/>
      </w:r>
      <w:r w:rsidR="008F25B1">
        <w:rPr>
          <w:i w:val="0"/>
          <w:iCs w:val="0"/>
        </w:rPr>
        <w:noBreakHyphen/>
      </w:r>
      <w:r w:rsidR="008F25B1">
        <w:rPr>
          <w:i w:val="0"/>
          <w:iCs w:val="0"/>
        </w:rPr>
        <w:fldChar w:fldCharType="begin"/>
      </w:r>
      <w:r w:rsidR="008F25B1">
        <w:rPr>
          <w:i w:val="0"/>
          <w:iCs w:val="0"/>
        </w:rPr>
        <w:instrText xml:space="preserve"> SEQ Table \* ARABIC \s 2 </w:instrText>
      </w:r>
      <w:r w:rsidR="008F25B1">
        <w:rPr>
          <w:i w:val="0"/>
          <w:iCs w:val="0"/>
        </w:rPr>
        <w:fldChar w:fldCharType="separate"/>
      </w:r>
      <w:r w:rsidR="008F25B1">
        <w:rPr>
          <w:i w:val="0"/>
          <w:iCs w:val="0"/>
          <w:noProof/>
        </w:rPr>
        <w:t>3</w:t>
      </w:r>
      <w:r w:rsidR="008F25B1">
        <w:rPr>
          <w:i w:val="0"/>
          <w:iCs w:val="0"/>
        </w:rPr>
        <w:fldChar w:fldCharType="end"/>
      </w:r>
      <w:r w:rsidRPr="0048272B">
        <w:rPr>
          <w:i w:val="0"/>
          <w:iCs w:val="0"/>
        </w:rPr>
        <w:t>:</w:t>
      </w:r>
      <w:r w:rsidRPr="0048272B">
        <w:rPr>
          <w:rFonts w:ascii="Arial" w:hAnsi="Arial" w:cs="Arial"/>
          <w:i w:val="0"/>
          <w:iCs w:val="0"/>
          <w:color w:val="000000"/>
          <w:sz w:val="22"/>
          <w:szCs w:val="22"/>
        </w:rPr>
        <w:t xml:space="preserve"> </w:t>
      </w:r>
      <w:r w:rsidRPr="0048272B">
        <w:rPr>
          <w:i w:val="0"/>
          <w:iCs w:val="0"/>
        </w:rPr>
        <w:t>Management competences: Summary from the literature review</w:t>
      </w:r>
      <w:bookmarkEnd w:id="783"/>
    </w:p>
    <w:tbl>
      <w:tblPr>
        <w:tblStyle w:val="TableGrid"/>
        <w:tblW w:w="0" w:type="auto"/>
        <w:tblLook w:val="04A0" w:firstRow="1" w:lastRow="0" w:firstColumn="1" w:lastColumn="0" w:noHBand="0" w:noVBand="1"/>
      </w:tblPr>
      <w:tblGrid>
        <w:gridCol w:w="1732"/>
        <w:gridCol w:w="1941"/>
        <w:gridCol w:w="5343"/>
      </w:tblGrid>
      <w:tr w:rsidR="00CD6352" w:rsidRPr="00EA7665" w14:paraId="46222E95" w14:textId="77777777" w:rsidTr="00CD6352">
        <w:tc>
          <w:tcPr>
            <w:tcW w:w="0" w:type="auto"/>
          </w:tcPr>
          <w:p w14:paraId="0DFA3033"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Study </w:t>
            </w:r>
          </w:p>
        </w:tc>
        <w:tc>
          <w:tcPr>
            <w:tcW w:w="0" w:type="auto"/>
          </w:tcPr>
          <w:p w14:paraId="5217C96D"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Competences for </w:t>
            </w:r>
          </w:p>
        </w:tc>
        <w:tc>
          <w:tcPr>
            <w:tcW w:w="0" w:type="auto"/>
          </w:tcPr>
          <w:p w14:paraId="75973D93"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Summary of competences </w:t>
            </w:r>
          </w:p>
        </w:tc>
      </w:tr>
      <w:tr w:rsidR="00CD6352" w:rsidRPr="00EA7665" w14:paraId="59B5A347" w14:textId="77777777" w:rsidTr="00CD6352">
        <w:tc>
          <w:tcPr>
            <w:tcW w:w="0" w:type="auto"/>
          </w:tcPr>
          <w:p w14:paraId="2861DF79"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Ogbenjuwa et al. (2018)</w:t>
            </w:r>
          </w:p>
        </w:tc>
        <w:tc>
          <w:tcPr>
            <w:tcW w:w="0" w:type="auto"/>
          </w:tcPr>
          <w:p w14:paraId="4DC6FA86"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Shortages of skills &amp; competences, affecting private sector real estate funding in the emerging economies</w:t>
            </w:r>
          </w:p>
        </w:tc>
        <w:tc>
          <w:tcPr>
            <w:tcW w:w="0" w:type="auto"/>
          </w:tcPr>
          <w:p w14:paraId="6585D127"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Human, technical, political, conceptual &amp; cognitive, financial management skills and competences. </w:t>
            </w:r>
          </w:p>
        </w:tc>
      </w:tr>
      <w:tr w:rsidR="00CD6352" w:rsidRPr="00EA7665" w14:paraId="7BA4E15C" w14:textId="77777777" w:rsidTr="00CD6352">
        <w:tc>
          <w:tcPr>
            <w:tcW w:w="0" w:type="auto"/>
          </w:tcPr>
          <w:p w14:paraId="2845BA07"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Oyewunmi, A. E. (2018).</w:t>
            </w:r>
          </w:p>
        </w:tc>
        <w:tc>
          <w:tcPr>
            <w:tcW w:w="0" w:type="auto"/>
          </w:tcPr>
          <w:p w14:paraId="15FE7337"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Normalising Difference: Emotional intelligence and diversity management competence in healthcare managers.</w:t>
            </w:r>
          </w:p>
        </w:tc>
        <w:tc>
          <w:tcPr>
            <w:tcW w:w="0" w:type="auto"/>
          </w:tcPr>
          <w:p w14:paraId="5D96C232"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Emotional intelligence and diversity management </w:t>
            </w:r>
            <w:r w:rsidRPr="00EA7665">
              <w:rPr>
                <w:rFonts w:ascii="Arial" w:hAnsi="Arial" w:cs="Arial"/>
                <w:bCs/>
                <w:color w:val="000000"/>
                <w:sz w:val="16"/>
                <w:szCs w:val="16"/>
              </w:rPr>
              <w:t>competence</w:t>
            </w:r>
          </w:p>
        </w:tc>
      </w:tr>
      <w:tr w:rsidR="00CD6352" w:rsidRPr="00EA7665" w14:paraId="7817E8EB" w14:textId="77777777" w:rsidTr="00CD6352">
        <w:tc>
          <w:tcPr>
            <w:tcW w:w="0" w:type="auto"/>
          </w:tcPr>
          <w:p w14:paraId="7F668785"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lastRenderedPageBreak/>
              <w:t>Rodríguez-Rivero et al. (2018)</w:t>
            </w:r>
          </w:p>
        </w:tc>
        <w:tc>
          <w:tcPr>
            <w:tcW w:w="0" w:type="auto"/>
          </w:tcPr>
          <w:p w14:paraId="1B69F853" w14:textId="1E31347E" w:rsidR="00CD6352" w:rsidRPr="00EA7665" w:rsidRDefault="00CD6352" w:rsidP="00952C10">
            <w:pPr>
              <w:jc w:val="both"/>
              <w:rPr>
                <w:rFonts w:ascii="Arial" w:hAnsi="Arial" w:cs="Arial"/>
                <w:color w:val="000000"/>
                <w:sz w:val="16"/>
                <w:szCs w:val="16"/>
              </w:rPr>
            </w:pPr>
            <w:r w:rsidRPr="00EA7665">
              <w:rPr>
                <w:rFonts w:ascii="Arial" w:hAnsi="Arial" w:cs="Arial"/>
                <w:color w:val="000000"/>
                <w:sz w:val="16"/>
                <w:szCs w:val="16"/>
              </w:rPr>
              <w:t xml:space="preserve">The opportunity to improve </w:t>
            </w:r>
            <w:r w:rsidR="00952C10">
              <w:rPr>
                <w:rFonts w:ascii="Arial" w:hAnsi="Arial" w:cs="Arial"/>
                <w:color w:val="000000"/>
                <w:sz w:val="16"/>
                <w:szCs w:val="16"/>
              </w:rPr>
              <w:t xml:space="preserve">the </w:t>
            </w:r>
            <w:r w:rsidRPr="00EA7665">
              <w:rPr>
                <w:rFonts w:ascii="Arial" w:hAnsi="Arial" w:cs="Arial"/>
                <w:color w:val="000000"/>
                <w:sz w:val="16"/>
                <w:szCs w:val="16"/>
              </w:rPr>
              <w:t>psychological competences of project managers in international businesses</w:t>
            </w:r>
          </w:p>
        </w:tc>
        <w:tc>
          <w:tcPr>
            <w:tcW w:w="0" w:type="auto"/>
          </w:tcPr>
          <w:p w14:paraId="4B683722" w14:textId="10C427CE"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Project manager </w:t>
            </w:r>
            <w:r w:rsidR="00397BCD" w:rsidRPr="00EA7665">
              <w:rPr>
                <w:rFonts w:ascii="Arial" w:hAnsi="Arial" w:cs="Arial"/>
                <w:color w:val="000000"/>
                <w:sz w:val="16"/>
                <w:szCs w:val="16"/>
              </w:rPr>
              <w:t>competences:</w:t>
            </w:r>
            <w:r w:rsidRPr="00EA7665">
              <w:rPr>
                <w:rFonts w:ascii="Arial" w:hAnsi="Arial" w:cs="Arial"/>
                <w:color w:val="000000"/>
                <w:sz w:val="16"/>
                <w:szCs w:val="16"/>
              </w:rPr>
              <w:t xml:space="preserve"> Leadership, </w:t>
            </w:r>
            <w:r>
              <w:rPr>
                <w:rFonts w:ascii="Arial" w:hAnsi="Arial" w:cs="Arial"/>
                <w:color w:val="000000"/>
                <w:sz w:val="16"/>
                <w:szCs w:val="16"/>
              </w:rPr>
              <w:t>t</w:t>
            </w:r>
            <w:r w:rsidRPr="00EA7665">
              <w:rPr>
                <w:rFonts w:ascii="Arial" w:hAnsi="Arial" w:cs="Arial"/>
                <w:color w:val="000000"/>
                <w:sz w:val="16"/>
                <w:szCs w:val="16"/>
              </w:rPr>
              <w:t xml:space="preserve">ime </w:t>
            </w:r>
            <w:r>
              <w:rPr>
                <w:rFonts w:ascii="Arial" w:hAnsi="Arial" w:cs="Arial"/>
                <w:color w:val="000000"/>
                <w:sz w:val="16"/>
                <w:szCs w:val="16"/>
              </w:rPr>
              <w:t>m</w:t>
            </w:r>
            <w:r w:rsidRPr="00EA7665">
              <w:rPr>
                <w:rFonts w:ascii="Arial" w:hAnsi="Arial" w:cs="Arial"/>
                <w:color w:val="000000"/>
                <w:sz w:val="16"/>
                <w:szCs w:val="16"/>
              </w:rPr>
              <w:t xml:space="preserve">anagement, </w:t>
            </w:r>
            <w:r>
              <w:rPr>
                <w:rFonts w:ascii="Arial" w:hAnsi="Arial" w:cs="Arial"/>
                <w:color w:val="000000"/>
                <w:sz w:val="16"/>
                <w:szCs w:val="16"/>
              </w:rPr>
              <w:t>t</w:t>
            </w:r>
            <w:r w:rsidRPr="00EA7665">
              <w:rPr>
                <w:rFonts w:ascii="Arial" w:hAnsi="Arial" w:cs="Arial"/>
                <w:color w:val="000000"/>
                <w:sz w:val="16"/>
                <w:szCs w:val="16"/>
              </w:rPr>
              <w:t xml:space="preserve">eam </w:t>
            </w:r>
            <w:r>
              <w:rPr>
                <w:rFonts w:ascii="Arial" w:hAnsi="Arial" w:cs="Arial"/>
                <w:color w:val="000000"/>
                <w:sz w:val="16"/>
                <w:szCs w:val="16"/>
              </w:rPr>
              <w:t>b</w:t>
            </w:r>
            <w:r w:rsidRPr="00EA7665">
              <w:rPr>
                <w:rFonts w:ascii="Arial" w:hAnsi="Arial" w:cs="Arial"/>
                <w:color w:val="000000"/>
                <w:sz w:val="16"/>
                <w:szCs w:val="16"/>
              </w:rPr>
              <w:t xml:space="preserve">uilding, </w:t>
            </w:r>
            <w:r>
              <w:rPr>
                <w:rFonts w:ascii="Arial" w:hAnsi="Arial" w:cs="Arial"/>
                <w:color w:val="000000"/>
                <w:sz w:val="16"/>
                <w:szCs w:val="16"/>
              </w:rPr>
              <w:t>d</w:t>
            </w:r>
            <w:r w:rsidRPr="00EA7665">
              <w:rPr>
                <w:rFonts w:ascii="Arial" w:hAnsi="Arial" w:cs="Arial"/>
                <w:color w:val="000000"/>
                <w:sz w:val="16"/>
                <w:szCs w:val="16"/>
              </w:rPr>
              <w:t xml:space="preserve">efining, </w:t>
            </w:r>
            <w:r>
              <w:rPr>
                <w:rFonts w:ascii="Arial" w:hAnsi="Arial" w:cs="Arial"/>
                <w:color w:val="000000"/>
                <w:sz w:val="16"/>
                <w:szCs w:val="16"/>
              </w:rPr>
              <w:t>c</w:t>
            </w:r>
            <w:r w:rsidRPr="00EA7665">
              <w:rPr>
                <w:rFonts w:ascii="Arial" w:hAnsi="Arial" w:cs="Arial"/>
                <w:color w:val="000000"/>
                <w:sz w:val="16"/>
                <w:szCs w:val="16"/>
              </w:rPr>
              <w:t xml:space="preserve">ommunication, </w:t>
            </w:r>
            <w:r>
              <w:rPr>
                <w:rFonts w:ascii="Arial" w:hAnsi="Arial" w:cs="Arial"/>
                <w:color w:val="000000"/>
                <w:sz w:val="16"/>
                <w:szCs w:val="16"/>
              </w:rPr>
              <w:t>n</w:t>
            </w:r>
            <w:r w:rsidRPr="00EA7665">
              <w:rPr>
                <w:rFonts w:ascii="Arial" w:hAnsi="Arial" w:cs="Arial"/>
                <w:color w:val="000000"/>
                <w:sz w:val="16"/>
                <w:szCs w:val="16"/>
              </w:rPr>
              <w:t xml:space="preserve">egotiation, and </w:t>
            </w:r>
            <w:r>
              <w:rPr>
                <w:rFonts w:ascii="Arial" w:hAnsi="Arial" w:cs="Arial"/>
                <w:color w:val="000000"/>
                <w:sz w:val="16"/>
                <w:szCs w:val="16"/>
              </w:rPr>
              <w:t>t</w:t>
            </w:r>
            <w:r w:rsidRPr="00EA7665">
              <w:rPr>
                <w:rFonts w:ascii="Arial" w:hAnsi="Arial" w:cs="Arial"/>
                <w:color w:val="000000"/>
                <w:sz w:val="16"/>
                <w:szCs w:val="16"/>
              </w:rPr>
              <w:t xml:space="preserve">rust </w:t>
            </w:r>
            <w:r>
              <w:rPr>
                <w:rFonts w:ascii="Arial" w:hAnsi="Arial" w:cs="Arial"/>
                <w:color w:val="000000"/>
                <w:sz w:val="16"/>
                <w:szCs w:val="16"/>
              </w:rPr>
              <w:t>b</w:t>
            </w:r>
            <w:r w:rsidRPr="00EA7665">
              <w:rPr>
                <w:rFonts w:ascii="Arial" w:hAnsi="Arial" w:cs="Arial"/>
                <w:color w:val="000000"/>
                <w:sz w:val="16"/>
                <w:szCs w:val="16"/>
              </w:rPr>
              <w:t>uilding</w:t>
            </w:r>
          </w:p>
        </w:tc>
      </w:tr>
      <w:tr w:rsidR="00CD6352" w:rsidRPr="00EA7665" w14:paraId="17622090" w14:textId="77777777" w:rsidTr="00CD6352">
        <w:tc>
          <w:tcPr>
            <w:tcW w:w="0" w:type="auto"/>
          </w:tcPr>
          <w:p w14:paraId="484F69D8"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Varajão &amp; Cruz-Cunha (2013).</w:t>
            </w:r>
          </w:p>
        </w:tc>
        <w:tc>
          <w:tcPr>
            <w:tcW w:w="0" w:type="auto"/>
          </w:tcPr>
          <w:p w14:paraId="299C61A8"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Using AHP and the IPMA Competence Baseline in the project managers selection process</w:t>
            </w:r>
          </w:p>
        </w:tc>
        <w:tc>
          <w:tcPr>
            <w:tcW w:w="0" w:type="auto"/>
          </w:tcPr>
          <w:p w14:paraId="6F5B29DE"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Technical, behavioural &amp; contextual competences</w:t>
            </w:r>
          </w:p>
        </w:tc>
      </w:tr>
      <w:tr w:rsidR="00CD6352" w:rsidRPr="00EA7665" w14:paraId="1BF32E20" w14:textId="77777777" w:rsidTr="00CD6352">
        <w:tc>
          <w:tcPr>
            <w:tcW w:w="0" w:type="auto"/>
          </w:tcPr>
          <w:p w14:paraId="2A87F1FB"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Cvetic et al. (2017).</w:t>
            </w:r>
          </w:p>
        </w:tc>
        <w:tc>
          <w:tcPr>
            <w:tcW w:w="0" w:type="auto"/>
          </w:tcPr>
          <w:p w14:paraId="3C5AF078"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Competence Requirements for Logistics Managers in the Republic of Serbia</w:t>
            </w:r>
          </w:p>
        </w:tc>
        <w:tc>
          <w:tcPr>
            <w:tcW w:w="0" w:type="auto"/>
          </w:tcPr>
          <w:p w14:paraId="07C7ED9C" w14:textId="496FF57C"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Professional competences of logistics &amp; supply manager</w:t>
            </w:r>
            <w:r>
              <w:rPr>
                <w:rFonts w:ascii="Arial" w:hAnsi="Arial" w:cs="Arial"/>
                <w:color w:val="000000"/>
                <w:sz w:val="16"/>
                <w:szCs w:val="16"/>
              </w:rPr>
              <w:t>s</w:t>
            </w:r>
            <w:r w:rsidRPr="00EA7665">
              <w:rPr>
                <w:rFonts w:ascii="Arial" w:hAnsi="Arial" w:cs="Arial"/>
                <w:color w:val="000000"/>
                <w:sz w:val="16"/>
                <w:szCs w:val="16"/>
              </w:rPr>
              <w:t xml:space="preserve">: Performance management, demand forecasting &amp; inventory management, supplier relationship management, supplier relationship management, manufacturing management, transportation management, distribution management, IST as a function of logistic support, lean management, international logistics, maintenance management, reverse and green logistics, product introduction into the market and designing supply chain. Fundamental competences of a logistics and supply chain manager: Communication, planning and organising tasks, foreign languages, basics of IST (special focus on spreadsheets and databases), interpersonal skills, teamwork, solving problems, business management, continuous learning, decision making, leadership, integrity, project management, maths, and statistics.  </w:t>
            </w:r>
          </w:p>
        </w:tc>
      </w:tr>
      <w:tr w:rsidR="00CD6352" w:rsidRPr="00EA7665" w14:paraId="55AA0EF8" w14:textId="77777777" w:rsidTr="00CD6352">
        <w:tc>
          <w:tcPr>
            <w:tcW w:w="0" w:type="auto"/>
          </w:tcPr>
          <w:p w14:paraId="5B3D3ACB" w14:textId="77777777" w:rsidR="00CD6352" w:rsidRPr="00EA7665" w:rsidRDefault="00CD6352" w:rsidP="00CD6352">
            <w:pPr>
              <w:jc w:val="both"/>
              <w:rPr>
                <w:rFonts w:ascii="Arial" w:hAnsi="Arial" w:cs="Arial"/>
                <w:color w:val="000000"/>
                <w:sz w:val="16"/>
                <w:szCs w:val="16"/>
              </w:rPr>
            </w:pPr>
          </w:p>
          <w:p w14:paraId="57056E4A"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Harvey &amp; Novicevic (2002).</w:t>
            </w:r>
          </w:p>
        </w:tc>
        <w:tc>
          <w:tcPr>
            <w:tcW w:w="0" w:type="auto"/>
          </w:tcPr>
          <w:p w14:paraId="0664DFFB"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The role of political competence in global assignments of expatriate managers</w:t>
            </w:r>
          </w:p>
        </w:tc>
        <w:tc>
          <w:tcPr>
            <w:tcW w:w="0" w:type="auto"/>
          </w:tcPr>
          <w:p w14:paraId="66F16484" w14:textId="4E485EF6"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Political competence: self-confidence and social astuteness, plus the ability to adapt to social settings, to gain the confidence of others, to influence others and being viewed as genuine/sincere, are the indicators</w:t>
            </w:r>
          </w:p>
        </w:tc>
      </w:tr>
      <w:tr w:rsidR="00CD6352" w:rsidRPr="00EA7665" w14:paraId="26207D2C" w14:textId="77777777" w:rsidTr="00CD6352">
        <w:tc>
          <w:tcPr>
            <w:tcW w:w="0" w:type="auto"/>
          </w:tcPr>
          <w:p w14:paraId="780D12F6" w14:textId="77777777" w:rsidR="00CD6352" w:rsidRPr="00EA7665" w:rsidRDefault="00CD6352" w:rsidP="00CD6352">
            <w:pPr>
              <w:jc w:val="both"/>
              <w:rPr>
                <w:rFonts w:ascii="Arial" w:hAnsi="Arial" w:cs="Arial"/>
                <w:color w:val="000000"/>
                <w:sz w:val="16"/>
                <w:szCs w:val="16"/>
              </w:rPr>
            </w:pPr>
          </w:p>
          <w:p w14:paraId="289D6386"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Ahmed, R. (01).</w:t>
            </w:r>
          </w:p>
          <w:p w14:paraId="38FFE4C5" w14:textId="77777777" w:rsidR="00CD6352" w:rsidRPr="00EA7665" w:rsidRDefault="00CD6352" w:rsidP="00CD6352">
            <w:pPr>
              <w:jc w:val="both"/>
              <w:rPr>
                <w:rFonts w:ascii="Arial" w:hAnsi="Arial" w:cs="Arial"/>
                <w:color w:val="000000"/>
                <w:sz w:val="16"/>
                <w:szCs w:val="16"/>
              </w:rPr>
            </w:pPr>
          </w:p>
        </w:tc>
        <w:tc>
          <w:tcPr>
            <w:tcW w:w="0" w:type="auto"/>
          </w:tcPr>
          <w:p w14:paraId="4BF83248"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An empirical study of project managers leadership competence and project performance</w:t>
            </w:r>
          </w:p>
        </w:tc>
        <w:tc>
          <w:tcPr>
            <w:tcW w:w="0" w:type="auto"/>
          </w:tcPr>
          <w:p w14:paraId="0BADD066" w14:textId="60B79126"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Leadership Competences: clarity in communication, define roles &amp; responsibilities, communication expectations, employ consistent processes &amp; establish trust </w:t>
            </w:r>
          </w:p>
        </w:tc>
      </w:tr>
      <w:tr w:rsidR="00CD6352" w:rsidRPr="00EA7665" w14:paraId="233E6976" w14:textId="77777777" w:rsidTr="00CD6352">
        <w:tc>
          <w:tcPr>
            <w:tcW w:w="0" w:type="auto"/>
          </w:tcPr>
          <w:p w14:paraId="476EC997"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Avkiran  (1999).</w:t>
            </w:r>
          </w:p>
          <w:p w14:paraId="00388013" w14:textId="77777777" w:rsidR="00CD6352" w:rsidRPr="00EA7665" w:rsidRDefault="00CD6352" w:rsidP="00CD6352">
            <w:pPr>
              <w:jc w:val="both"/>
              <w:rPr>
                <w:rFonts w:ascii="Arial" w:hAnsi="Arial" w:cs="Arial"/>
                <w:color w:val="000000"/>
                <w:sz w:val="16"/>
                <w:szCs w:val="16"/>
              </w:rPr>
            </w:pPr>
          </w:p>
        </w:tc>
        <w:tc>
          <w:tcPr>
            <w:tcW w:w="0" w:type="auto"/>
          </w:tcPr>
          <w:p w14:paraId="129600B1"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An improved subordinate appraisal of a bank manager's competence</w:t>
            </w:r>
          </w:p>
        </w:tc>
        <w:tc>
          <w:tcPr>
            <w:tcW w:w="0" w:type="auto"/>
          </w:tcPr>
          <w:p w14:paraId="1FA54B17"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Managerial competence(entrepreneurial style, interpersonal skills, intellectual capacity, participative management style, and emotional maturity )  </w:t>
            </w:r>
          </w:p>
        </w:tc>
      </w:tr>
      <w:tr w:rsidR="00CD6352" w:rsidRPr="00EA7665" w14:paraId="6FDBDB62" w14:textId="77777777" w:rsidTr="00952C10">
        <w:trPr>
          <w:trHeight w:val="634"/>
        </w:trPr>
        <w:tc>
          <w:tcPr>
            <w:tcW w:w="0" w:type="auto"/>
          </w:tcPr>
          <w:p w14:paraId="0FAABBD5" w14:textId="052F946A" w:rsidR="00CD6352" w:rsidRPr="00EA7665" w:rsidRDefault="00CD6352" w:rsidP="00952C10">
            <w:pPr>
              <w:jc w:val="both"/>
              <w:rPr>
                <w:rFonts w:ascii="Arial" w:hAnsi="Arial" w:cs="Arial"/>
                <w:color w:val="000000"/>
                <w:sz w:val="16"/>
                <w:szCs w:val="16"/>
              </w:rPr>
            </w:pPr>
            <w:r w:rsidRPr="00EA7665">
              <w:rPr>
                <w:rFonts w:ascii="Arial" w:hAnsi="Arial" w:cs="Arial"/>
                <w:color w:val="000000"/>
                <w:sz w:val="16"/>
                <w:szCs w:val="16"/>
              </w:rPr>
              <w:t>Karjalainen &amp; Benhaida  (2018).</w:t>
            </w:r>
          </w:p>
        </w:tc>
        <w:tc>
          <w:tcPr>
            <w:tcW w:w="0" w:type="auto"/>
          </w:tcPr>
          <w:p w14:paraId="78155AAD" w14:textId="4D98866A" w:rsidR="00CD6352" w:rsidRPr="00EA7665" w:rsidRDefault="00CD6352" w:rsidP="00952C10">
            <w:pPr>
              <w:jc w:val="both"/>
              <w:rPr>
                <w:rFonts w:ascii="Arial" w:hAnsi="Arial" w:cs="Arial"/>
                <w:sz w:val="16"/>
                <w:szCs w:val="16"/>
              </w:rPr>
            </w:pPr>
            <w:r w:rsidRPr="00EA7665">
              <w:rPr>
                <w:rFonts w:ascii="Arial" w:hAnsi="Arial" w:cs="Arial"/>
                <w:color w:val="000000"/>
                <w:sz w:val="16"/>
                <w:szCs w:val="16"/>
              </w:rPr>
              <w:t>Cross-cultural competence</w:t>
            </w:r>
          </w:p>
        </w:tc>
        <w:tc>
          <w:tcPr>
            <w:tcW w:w="0" w:type="auto"/>
          </w:tcPr>
          <w:p w14:paraId="66449382"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Cross-cultural competence</w:t>
            </w:r>
          </w:p>
        </w:tc>
      </w:tr>
      <w:tr w:rsidR="00CD6352" w:rsidRPr="00EA7665" w14:paraId="256CCBA3" w14:textId="77777777" w:rsidTr="00CD6352">
        <w:tc>
          <w:tcPr>
            <w:tcW w:w="0" w:type="auto"/>
          </w:tcPr>
          <w:p w14:paraId="607C33CA"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Savaneviciene, A., Rutelione, A., &amp; Ciutiene, R. (2014). </w:t>
            </w:r>
          </w:p>
        </w:tc>
        <w:tc>
          <w:tcPr>
            <w:tcW w:w="0" w:type="auto"/>
          </w:tcPr>
          <w:p w14:paraId="17DBA985"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Crucial transversal competences in the changing environment: case of the European SME managers.</w:t>
            </w:r>
          </w:p>
        </w:tc>
        <w:tc>
          <w:tcPr>
            <w:tcW w:w="0" w:type="auto"/>
          </w:tcPr>
          <w:p w14:paraId="610324B0"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Competences for process management: Strategic thinking, initiative, planning, innovativeness, decision-making, and openness to change. </w:t>
            </w:r>
          </w:p>
          <w:p w14:paraId="50A357D1" w14:textId="7AF0BDF1"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Competences needed for partnership and self–managing communication, learning development, teamwork, conflict management, flexibility, and inspiring motivation. </w:t>
            </w:r>
          </w:p>
        </w:tc>
      </w:tr>
      <w:tr w:rsidR="00CD6352" w:rsidRPr="00EA7665" w14:paraId="3B721FB3" w14:textId="77777777" w:rsidTr="00CD6352">
        <w:tc>
          <w:tcPr>
            <w:tcW w:w="0" w:type="auto"/>
          </w:tcPr>
          <w:p w14:paraId="59CCF678"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Association of project management (APM 2015) Competence framework</w:t>
            </w:r>
          </w:p>
        </w:tc>
        <w:tc>
          <w:tcPr>
            <w:tcW w:w="0" w:type="auto"/>
          </w:tcPr>
          <w:p w14:paraId="271833A9"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APM (2015) Competence framework</w:t>
            </w:r>
          </w:p>
        </w:tc>
        <w:tc>
          <w:tcPr>
            <w:tcW w:w="0" w:type="auto"/>
          </w:tcPr>
          <w:p w14:paraId="66829A9B" w14:textId="77777777" w:rsidR="00CD6352" w:rsidRPr="00EA7665" w:rsidRDefault="00CD6352" w:rsidP="00CD6352">
            <w:pPr>
              <w:jc w:val="both"/>
              <w:rPr>
                <w:rFonts w:ascii="Arial" w:hAnsi="Arial" w:cs="Arial"/>
                <w:color w:val="000000"/>
                <w:sz w:val="16"/>
                <w:szCs w:val="16"/>
              </w:rPr>
            </w:pPr>
            <w:r w:rsidRPr="00EA7665">
              <w:rPr>
                <w:rFonts w:ascii="Arial" w:hAnsi="Arial" w:cs="Arial"/>
                <w:color w:val="000000"/>
                <w:sz w:val="16"/>
                <w:szCs w:val="16"/>
              </w:rPr>
              <w:t xml:space="preserve">Ethics, compliance &amp; professionalism, team management, conflict management, leadership, procurement, contract management, requirement management, solution development, schedule management, resource management, budgeting and cost control, risk and issue management, quality management, consolidated planning transition management, financial management, resource capacity planning, governance arrangements, Stakeholder and communication management, framework and methodologies, reviews, change control, independent assurance, business case, asset allocation, capacity development, and benefit management. </w:t>
            </w:r>
          </w:p>
        </w:tc>
      </w:tr>
    </w:tbl>
    <w:p w14:paraId="2436E561" w14:textId="67296206" w:rsidR="00CD6352" w:rsidRPr="00EA7665" w:rsidRDefault="00CD6352" w:rsidP="00CD6352">
      <w:pPr>
        <w:rPr>
          <w:rFonts w:ascii="Arial" w:hAnsi="Arial" w:cs="Arial"/>
          <w:sz w:val="16"/>
          <w:szCs w:val="16"/>
          <w:lang w:val="en-US"/>
        </w:rPr>
      </w:pPr>
      <w:r w:rsidRPr="00EA7665">
        <w:rPr>
          <w:rFonts w:ascii="Arial" w:hAnsi="Arial" w:cs="Arial"/>
          <w:sz w:val="16"/>
          <w:szCs w:val="16"/>
        </w:rPr>
        <w:t xml:space="preserve">Sources: The Author’s compilation based on a review of </w:t>
      </w:r>
      <w:r w:rsidR="00EB7110">
        <w:rPr>
          <w:rFonts w:ascii="Arial" w:hAnsi="Arial" w:cs="Arial"/>
          <w:sz w:val="16"/>
          <w:szCs w:val="16"/>
        </w:rPr>
        <w:t xml:space="preserve">the </w:t>
      </w:r>
      <w:r w:rsidRPr="00EA7665">
        <w:rPr>
          <w:rFonts w:ascii="Arial" w:hAnsi="Arial" w:cs="Arial"/>
          <w:sz w:val="16"/>
          <w:szCs w:val="16"/>
        </w:rPr>
        <w:t>literature</w:t>
      </w:r>
    </w:p>
    <w:p w14:paraId="690A7B6C" w14:textId="430B2EE4" w:rsidR="00CD6352" w:rsidRPr="00170D2E" w:rsidRDefault="00CD6352" w:rsidP="00CD6352">
      <w:pPr>
        <w:spacing w:before="240" w:line="360" w:lineRule="auto"/>
        <w:rPr>
          <w:rFonts w:ascii="Arial" w:hAnsi="Arial" w:cs="Arial"/>
        </w:rPr>
      </w:pPr>
      <w:r w:rsidRPr="00170D2E">
        <w:rPr>
          <w:rFonts w:ascii="Arial" w:hAnsi="Arial" w:cs="Arial"/>
        </w:rPr>
        <w:t xml:space="preserve">The next segment discusses </w:t>
      </w:r>
      <w:r>
        <w:rPr>
          <w:rFonts w:ascii="Arial" w:hAnsi="Arial" w:cs="Arial"/>
        </w:rPr>
        <w:t xml:space="preserve">the review of literature on </w:t>
      </w:r>
      <w:r w:rsidR="00E80469">
        <w:rPr>
          <w:rFonts w:ascii="Arial" w:hAnsi="Arial" w:cs="Arial"/>
        </w:rPr>
        <w:t xml:space="preserve">the </w:t>
      </w:r>
      <w:r>
        <w:rPr>
          <w:rFonts w:ascii="Arial" w:hAnsi="Arial" w:cs="Arial"/>
        </w:rPr>
        <w:t>management career path.</w:t>
      </w:r>
    </w:p>
    <w:p w14:paraId="522DDF7C" w14:textId="77777777" w:rsidR="00CD6352" w:rsidRPr="00EA7665" w:rsidRDefault="00CD6352" w:rsidP="00CD6352">
      <w:pPr>
        <w:pStyle w:val="Heading3"/>
        <w:spacing w:after="240"/>
        <w:rPr>
          <w:sz w:val="22"/>
          <w:szCs w:val="22"/>
        </w:rPr>
      </w:pPr>
      <w:bookmarkStart w:id="784" w:name="_Toc78983803"/>
      <w:r w:rsidRPr="00EA7665">
        <w:rPr>
          <w:sz w:val="22"/>
          <w:szCs w:val="22"/>
        </w:rPr>
        <w:lastRenderedPageBreak/>
        <w:t>Management Career path: Definition and Characteristics</w:t>
      </w:r>
      <w:bookmarkEnd w:id="784"/>
    </w:p>
    <w:p w14:paraId="44E37E8C" w14:textId="4AF4AD3A" w:rsidR="00CD6352" w:rsidRPr="00D97A57" w:rsidRDefault="00CD6352" w:rsidP="00CD6352">
      <w:pPr>
        <w:spacing w:line="360" w:lineRule="auto"/>
        <w:jc w:val="both"/>
        <w:rPr>
          <w:rFonts w:ascii="Arial" w:hAnsi="Arial" w:cs="Arial"/>
        </w:rPr>
      </w:pPr>
      <w:r w:rsidRPr="0025137D">
        <w:rPr>
          <w:rFonts w:ascii="Arial" w:hAnsi="Arial" w:cs="Arial"/>
        </w:rPr>
        <w:t xml:space="preserve">A great deal of work has been done on the career path in general. However, there </w:t>
      </w:r>
      <w:r w:rsidR="00766AF6" w:rsidRPr="0025137D">
        <w:rPr>
          <w:rFonts w:ascii="Arial" w:hAnsi="Arial" w:cs="Arial"/>
        </w:rPr>
        <w:t>is no</w:t>
      </w:r>
      <w:r w:rsidRPr="0025137D">
        <w:rPr>
          <w:rFonts w:ascii="Arial" w:hAnsi="Arial" w:cs="Arial"/>
        </w:rPr>
        <w:t xml:space="preserve"> notable work done on the career path needed by the </w:t>
      </w:r>
      <w:r w:rsidR="002E1D92" w:rsidRPr="0025137D">
        <w:rPr>
          <w:rFonts w:ascii="Arial" w:hAnsi="Arial" w:cs="Arial"/>
        </w:rPr>
        <w:t>real estate sector manage</w:t>
      </w:r>
      <w:r w:rsidRPr="0025137D">
        <w:rPr>
          <w:rFonts w:ascii="Arial" w:hAnsi="Arial" w:cs="Arial"/>
        </w:rPr>
        <w:t xml:space="preserve">r for securing finance for project development. </w:t>
      </w:r>
      <w:r w:rsidR="00C5347A" w:rsidRPr="0025137D">
        <w:rPr>
          <w:rFonts w:ascii="Arial" w:hAnsi="Arial" w:cs="Arial"/>
        </w:rPr>
        <w:t>T</w:t>
      </w:r>
      <w:r w:rsidRPr="0025137D">
        <w:rPr>
          <w:rFonts w:ascii="Arial" w:hAnsi="Arial" w:cs="Arial"/>
        </w:rPr>
        <w:t xml:space="preserve">he </w:t>
      </w:r>
      <w:r w:rsidR="002E1D92" w:rsidRPr="0025137D">
        <w:rPr>
          <w:rFonts w:ascii="Arial" w:hAnsi="Arial" w:cs="Arial"/>
        </w:rPr>
        <w:t xml:space="preserve">manager's </w:t>
      </w:r>
      <w:r w:rsidR="009A01C1" w:rsidRPr="0025137D">
        <w:rPr>
          <w:rFonts w:ascii="Arial" w:hAnsi="Arial" w:cs="Arial"/>
        </w:rPr>
        <w:t xml:space="preserve">skills, knowledge, competences, and career path </w:t>
      </w:r>
      <w:r w:rsidR="00C5347A" w:rsidRPr="0025137D">
        <w:rPr>
          <w:rFonts w:ascii="Arial" w:hAnsi="Arial" w:cs="Arial"/>
        </w:rPr>
        <w:t>are significant</w:t>
      </w:r>
      <w:r w:rsidR="009A01C1" w:rsidRPr="0025137D">
        <w:rPr>
          <w:rFonts w:ascii="Arial" w:hAnsi="Arial" w:cs="Arial"/>
        </w:rPr>
        <w:t xml:space="preserve"> to selecting and developing</w:t>
      </w:r>
      <w:r w:rsidRPr="0025137D">
        <w:rPr>
          <w:rFonts w:ascii="Arial" w:hAnsi="Arial" w:cs="Arial"/>
        </w:rPr>
        <w:t xml:space="preserve"> an effective manager</w:t>
      </w:r>
      <w:r w:rsidR="00FB7731" w:rsidRPr="0025137D">
        <w:rPr>
          <w:rFonts w:ascii="Arial" w:hAnsi="Arial" w:cs="Arial"/>
        </w:rPr>
        <w:t>.</w:t>
      </w:r>
    </w:p>
    <w:p w14:paraId="667AAD47" w14:textId="7892DECF" w:rsidR="00CD6352" w:rsidRPr="00EA7665" w:rsidRDefault="00CD6352" w:rsidP="00CD6352">
      <w:pPr>
        <w:spacing w:line="360" w:lineRule="auto"/>
        <w:jc w:val="both"/>
        <w:rPr>
          <w:rFonts w:ascii="Arial" w:eastAsia="Calibri" w:hAnsi="Arial" w:cs="Arial"/>
        </w:rPr>
      </w:pPr>
      <w:r w:rsidRPr="00D97A57">
        <w:rPr>
          <w:rFonts w:ascii="Arial" w:eastAsia="Calibri" w:hAnsi="Arial" w:cs="Arial"/>
        </w:rPr>
        <w:t>Barbara Young (1998) defined career path as a patterned sequence of positions, which tend to be work-related, and an ordered movement of individuals amongst these positions, which</w:t>
      </w:r>
      <w:r w:rsidRPr="00EA7665">
        <w:rPr>
          <w:rFonts w:ascii="Arial" w:eastAsia="Calibri" w:hAnsi="Arial" w:cs="Arial"/>
        </w:rPr>
        <w:t xml:space="preserve"> may or may not reflect </w:t>
      </w:r>
      <w:r w:rsidR="002E1D92">
        <w:rPr>
          <w:rFonts w:ascii="Arial" w:eastAsia="Calibri" w:hAnsi="Arial" w:cs="Arial"/>
        </w:rPr>
        <w:t>an individual's perceived aspirations</w:t>
      </w:r>
      <w:r w:rsidRPr="00EA7665">
        <w:rPr>
          <w:rFonts w:ascii="Arial" w:eastAsia="Calibri" w:hAnsi="Arial" w:cs="Arial"/>
        </w:rPr>
        <w:t xml:space="preserve">. A career path could be an individual’s path from </w:t>
      </w:r>
      <w:r w:rsidR="00EB7110">
        <w:rPr>
          <w:rFonts w:ascii="Arial" w:eastAsia="Calibri" w:hAnsi="Arial" w:cs="Arial"/>
        </w:rPr>
        <w:t xml:space="preserve">a </w:t>
      </w:r>
      <w:r w:rsidRPr="00EA7665">
        <w:rPr>
          <w:rFonts w:ascii="Arial" w:eastAsia="Calibri" w:hAnsi="Arial" w:cs="Arial"/>
        </w:rPr>
        <w:t xml:space="preserve">basic degree through different stages; further education, </w:t>
      </w:r>
      <w:r w:rsidR="0025137D">
        <w:rPr>
          <w:rFonts w:ascii="Arial" w:eastAsia="Calibri" w:hAnsi="Arial" w:cs="Arial"/>
        </w:rPr>
        <w:t>various</w:t>
      </w:r>
      <w:r w:rsidRPr="00EA7665">
        <w:rPr>
          <w:rFonts w:ascii="Arial" w:eastAsia="Calibri" w:hAnsi="Arial" w:cs="Arial"/>
        </w:rPr>
        <w:t xml:space="preserve"> jobs, and organisatio</w:t>
      </w:r>
      <w:r>
        <w:rPr>
          <w:rFonts w:ascii="Arial" w:eastAsia="Calibri" w:hAnsi="Arial" w:cs="Arial"/>
        </w:rPr>
        <w:t>ns</w:t>
      </w:r>
      <w:r w:rsidRPr="00EA7665">
        <w:rPr>
          <w:rFonts w:ascii="Arial" w:eastAsia="Calibri" w:hAnsi="Arial" w:cs="Arial"/>
        </w:rPr>
        <w:t xml:space="preserve"> to current circumstance</w:t>
      </w:r>
      <w:r w:rsidR="0025137D">
        <w:rPr>
          <w:rFonts w:ascii="Arial" w:eastAsia="Calibri" w:hAnsi="Arial" w:cs="Arial"/>
        </w:rPr>
        <w:t>s</w:t>
      </w:r>
      <w:r w:rsidRPr="00EA7665">
        <w:rPr>
          <w:rFonts w:ascii="Arial" w:eastAsia="Calibri" w:hAnsi="Arial" w:cs="Arial"/>
        </w:rPr>
        <w:t xml:space="preserve">. </w:t>
      </w:r>
      <w:r>
        <w:rPr>
          <w:rFonts w:ascii="Arial" w:eastAsia="Calibri" w:hAnsi="Arial" w:cs="Arial"/>
        </w:rPr>
        <w:t>It</w:t>
      </w:r>
      <w:r w:rsidRPr="00EA7665">
        <w:rPr>
          <w:rFonts w:ascii="Arial" w:eastAsia="Calibri" w:hAnsi="Arial" w:cs="Arial"/>
        </w:rPr>
        <w:t xml:space="preserve"> is the sequence of a person’s work experience over </w:t>
      </w:r>
      <w:r>
        <w:rPr>
          <w:rFonts w:ascii="Arial" w:eastAsia="Calibri" w:hAnsi="Arial" w:cs="Arial"/>
        </w:rPr>
        <w:t>their</w:t>
      </w:r>
      <w:r w:rsidRPr="00EA7665">
        <w:rPr>
          <w:rFonts w:ascii="Arial" w:eastAsia="Calibri" w:hAnsi="Arial" w:cs="Arial"/>
        </w:rPr>
        <w:t xml:space="preserve"> working life (Harris et al., 2015; Doyle, 2018). Career paths often imply vertical growth or advancement to higher-level positions. However, it can also involve lateral movement within or across industries. Traditionally career paths can be said to be the sequence of job positions held by employees during their careers. A career path entails an evolving sequence of work activities and positions that an individual experiences over time a</w:t>
      </w:r>
      <w:r w:rsidR="00FB7731">
        <w:rPr>
          <w:rFonts w:ascii="Arial" w:eastAsia="Calibri" w:hAnsi="Arial" w:cs="Arial"/>
        </w:rPr>
        <w:t>nd</w:t>
      </w:r>
      <w:r w:rsidRPr="00EA7665">
        <w:rPr>
          <w:rFonts w:ascii="Arial" w:eastAsia="Calibri" w:hAnsi="Arial" w:cs="Arial"/>
        </w:rPr>
        <w:t xml:space="preserve"> the associated attitudes, knowledge, and skills they develop throughout their life (El-Sabaa, 2001). </w:t>
      </w:r>
    </w:p>
    <w:p w14:paraId="0F11BF4E" w14:textId="660637C7" w:rsidR="00CD6352" w:rsidRPr="00EA7665" w:rsidRDefault="00CD6352" w:rsidP="00CD6352">
      <w:pPr>
        <w:spacing w:line="360" w:lineRule="auto"/>
        <w:jc w:val="both"/>
        <w:rPr>
          <w:rFonts w:ascii="Arial" w:eastAsia="Calibri" w:hAnsi="Arial" w:cs="Arial"/>
        </w:rPr>
      </w:pPr>
      <w:r w:rsidRPr="000B6264">
        <w:rPr>
          <w:rFonts w:ascii="Arial" w:eastAsia="Calibri" w:hAnsi="Arial" w:cs="Arial"/>
        </w:rPr>
        <w:t xml:space="preserve">Career paths are sometimes part of </w:t>
      </w:r>
      <w:r w:rsidR="002E1D92" w:rsidRPr="000B6264">
        <w:rPr>
          <w:rFonts w:ascii="Arial" w:eastAsia="Calibri" w:hAnsi="Arial" w:cs="Arial"/>
        </w:rPr>
        <w:t>an organisation's employees’ development process</w:t>
      </w:r>
      <w:r w:rsidR="00F70529">
        <w:rPr>
          <w:rFonts w:ascii="Arial" w:eastAsia="Calibri" w:hAnsi="Arial" w:cs="Arial"/>
        </w:rPr>
        <w:t xml:space="preserve">. </w:t>
      </w:r>
      <w:r w:rsidRPr="000B6264">
        <w:rPr>
          <w:rFonts w:ascii="Arial" w:eastAsia="Calibri" w:hAnsi="Arial" w:cs="Arial"/>
        </w:rPr>
        <w:t xml:space="preserve"> </w:t>
      </w:r>
      <w:r w:rsidR="00EB7110" w:rsidRPr="000B6264">
        <w:rPr>
          <w:rFonts w:ascii="Arial" w:eastAsia="Calibri" w:hAnsi="Arial" w:cs="Arial"/>
        </w:rPr>
        <w:t>A c</w:t>
      </w:r>
      <w:r w:rsidRPr="000B6264">
        <w:rPr>
          <w:rFonts w:ascii="Arial" w:eastAsia="Calibri" w:hAnsi="Arial" w:cs="Arial"/>
        </w:rPr>
        <w:t>areer path consists of milestones or steps that the manager assumes to develop professional competencies and master greater responsibilities (Harris et al., 2015; Arthur and Rousseau, 1996). Individuals develop their portfolio of human capital that can be used to advance in their careers.  Such investments include education and training</w:t>
      </w:r>
      <w:r w:rsidR="0025137D">
        <w:rPr>
          <w:rFonts w:ascii="Arial" w:eastAsia="Calibri" w:hAnsi="Arial" w:cs="Arial"/>
        </w:rPr>
        <w:t xml:space="preserve">. </w:t>
      </w:r>
      <w:r w:rsidR="002E1D92" w:rsidRPr="000B6264">
        <w:rPr>
          <w:rFonts w:ascii="Arial" w:eastAsia="Calibri" w:hAnsi="Arial" w:cs="Arial"/>
        </w:rPr>
        <w:t>Many studies on career path</w:t>
      </w:r>
      <w:r w:rsidR="0025137D">
        <w:rPr>
          <w:rFonts w:ascii="Arial" w:eastAsia="Calibri" w:hAnsi="Arial" w:cs="Arial"/>
        </w:rPr>
        <w:t>s</w:t>
      </w:r>
      <w:r w:rsidR="002E1D92" w:rsidRPr="000B6264">
        <w:rPr>
          <w:rFonts w:ascii="Arial" w:eastAsia="Calibri" w:hAnsi="Arial" w:cs="Arial"/>
        </w:rPr>
        <w:t xml:space="preserve"> had previously focused on entering a level position at the time of hire to advance</w:t>
      </w:r>
      <w:r w:rsidRPr="000B6264">
        <w:rPr>
          <w:rFonts w:ascii="Arial" w:eastAsia="Calibri" w:hAnsi="Arial" w:cs="Arial"/>
        </w:rPr>
        <w:t xml:space="preserve"> to a top management</w:t>
      </w:r>
      <w:r w:rsidRPr="00EA7665">
        <w:rPr>
          <w:rFonts w:ascii="Arial" w:eastAsia="Calibri" w:hAnsi="Arial" w:cs="Arial"/>
        </w:rPr>
        <w:t xml:space="preserve"> position as indicative of a successful career. However, this focus has changed because of the advent of the knowledge worker career path. </w:t>
      </w:r>
    </w:p>
    <w:p w14:paraId="36E4CB62" w14:textId="77777777" w:rsidR="00CD6352" w:rsidRPr="00EA7665" w:rsidRDefault="00CD6352" w:rsidP="00CD6352">
      <w:pPr>
        <w:pStyle w:val="Heading4"/>
        <w:spacing w:line="360" w:lineRule="auto"/>
        <w:jc w:val="both"/>
        <w:rPr>
          <w:rFonts w:ascii="Arial" w:eastAsia="Calibri" w:hAnsi="Arial" w:cs="Arial"/>
          <w:color w:val="auto"/>
        </w:rPr>
      </w:pPr>
      <w:r w:rsidRPr="00EA7665">
        <w:rPr>
          <w:rFonts w:ascii="Arial" w:eastAsia="Calibri" w:hAnsi="Arial" w:cs="Arial"/>
          <w:color w:val="auto"/>
        </w:rPr>
        <w:t xml:space="preserve">Management Career path: Theory and Practice </w:t>
      </w:r>
    </w:p>
    <w:p w14:paraId="025B4359" w14:textId="2CE55645" w:rsidR="00CD6352" w:rsidRPr="00EA7665" w:rsidRDefault="00CD6352" w:rsidP="00CD6352">
      <w:pPr>
        <w:spacing w:line="360" w:lineRule="auto"/>
        <w:jc w:val="both"/>
        <w:rPr>
          <w:rFonts w:ascii="Arial" w:hAnsi="Arial" w:cs="Arial"/>
        </w:rPr>
      </w:pPr>
      <w:r w:rsidRPr="00EA7665">
        <w:rPr>
          <w:rFonts w:ascii="Arial" w:hAnsi="Arial" w:cs="Arial"/>
        </w:rPr>
        <w:t>To understand the research problem, the research</w:t>
      </w:r>
      <w:r>
        <w:rPr>
          <w:rFonts w:ascii="Arial" w:hAnsi="Arial" w:cs="Arial"/>
        </w:rPr>
        <w:t>er</w:t>
      </w:r>
      <w:r w:rsidRPr="00EA7665">
        <w:rPr>
          <w:rFonts w:ascii="Arial" w:hAnsi="Arial" w:cs="Arial"/>
        </w:rPr>
        <w:t xml:space="preserve"> </w:t>
      </w:r>
      <w:r w:rsidR="00CB7517">
        <w:rPr>
          <w:rFonts w:ascii="Arial" w:hAnsi="Arial" w:cs="Arial"/>
        </w:rPr>
        <w:t>used</w:t>
      </w:r>
      <w:r w:rsidRPr="00EA7665">
        <w:rPr>
          <w:rFonts w:ascii="Arial" w:hAnsi="Arial" w:cs="Arial"/>
        </w:rPr>
        <w:t xml:space="preserve"> the under listed theories.</w:t>
      </w:r>
    </w:p>
    <w:p w14:paraId="02337185" w14:textId="77777777" w:rsidR="00CD6352" w:rsidRPr="00EA7665" w:rsidRDefault="00CD6352" w:rsidP="00CD6352">
      <w:pPr>
        <w:pStyle w:val="ListParagraph"/>
        <w:numPr>
          <w:ilvl w:val="0"/>
          <w:numId w:val="6"/>
        </w:numPr>
        <w:spacing w:line="360" w:lineRule="auto"/>
        <w:jc w:val="both"/>
        <w:rPr>
          <w:rFonts w:ascii="Arial" w:hAnsi="Arial" w:cs="Arial"/>
        </w:rPr>
      </w:pPr>
      <w:r w:rsidRPr="00EA7665">
        <w:rPr>
          <w:rFonts w:ascii="Arial" w:hAnsi="Arial" w:cs="Arial"/>
        </w:rPr>
        <w:t>Human capital theory</w:t>
      </w:r>
    </w:p>
    <w:p w14:paraId="0A96BA0A" w14:textId="77777777" w:rsidR="00CD6352" w:rsidRPr="00EA7665" w:rsidRDefault="00CD6352" w:rsidP="00CD6352">
      <w:pPr>
        <w:pStyle w:val="ListParagraph"/>
        <w:numPr>
          <w:ilvl w:val="0"/>
          <w:numId w:val="6"/>
        </w:numPr>
        <w:spacing w:line="360" w:lineRule="auto"/>
        <w:jc w:val="both"/>
        <w:rPr>
          <w:rFonts w:ascii="Arial" w:hAnsi="Arial" w:cs="Arial"/>
        </w:rPr>
      </w:pPr>
      <w:r w:rsidRPr="00EA7665">
        <w:rPr>
          <w:rFonts w:ascii="Arial" w:hAnsi="Arial" w:cs="Arial"/>
        </w:rPr>
        <w:t>Theory of traditional career</w:t>
      </w:r>
    </w:p>
    <w:p w14:paraId="536BB704" w14:textId="31B69547" w:rsidR="00CD6352" w:rsidRDefault="00CD6352" w:rsidP="00CD6352">
      <w:pPr>
        <w:pStyle w:val="ListParagraph"/>
        <w:numPr>
          <w:ilvl w:val="0"/>
          <w:numId w:val="6"/>
        </w:numPr>
        <w:spacing w:line="360" w:lineRule="auto"/>
        <w:jc w:val="both"/>
        <w:rPr>
          <w:rFonts w:ascii="Arial" w:hAnsi="Arial" w:cs="Arial"/>
        </w:rPr>
      </w:pPr>
      <w:r w:rsidRPr="00EA7665">
        <w:rPr>
          <w:rFonts w:ascii="Arial" w:hAnsi="Arial" w:cs="Arial"/>
        </w:rPr>
        <w:t>Theory of boundaryless career and development</w:t>
      </w:r>
    </w:p>
    <w:p w14:paraId="6658FF2B" w14:textId="77777777" w:rsidR="00CD6352" w:rsidRPr="00E80469" w:rsidRDefault="00CD6352" w:rsidP="00CD6352">
      <w:pPr>
        <w:spacing w:line="360" w:lineRule="auto"/>
        <w:jc w:val="both"/>
        <w:rPr>
          <w:rStyle w:val="Emphasis"/>
          <w:rFonts w:ascii="Arial" w:hAnsi="Arial" w:cs="Arial"/>
          <w:b/>
          <w:i w:val="0"/>
          <w:iCs w:val="0"/>
        </w:rPr>
      </w:pPr>
      <w:r w:rsidRPr="00E80469">
        <w:rPr>
          <w:rStyle w:val="Emphasis"/>
          <w:rFonts w:ascii="Arial" w:hAnsi="Arial" w:cs="Arial"/>
          <w:b/>
          <w:i w:val="0"/>
          <w:iCs w:val="0"/>
        </w:rPr>
        <w:t>Human capital theory</w:t>
      </w:r>
    </w:p>
    <w:p w14:paraId="7F41FFC4" w14:textId="6C006E7A" w:rsidR="00CD6352" w:rsidRDefault="00CD6352" w:rsidP="00CD6352">
      <w:pPr>
        <w:spacing w:line="360" w:lineRule="auto"/>
        <w:jc w:val="both"/>
        <w:rPr>
          <w:rFonts w:ascii="Arial" w:hAnsi="Arial" w:cs="Arial"/>
        </w:rPr>
      </w:pPr>
      <w:r w:rsidRPr="00EA7665">
        <w:rPr>
          <w:rFonts w:ascii="Arial" w:hAnsi="Arial" w:cs="Arial"/>
        </w:rPr>
        <w:t xml:space="preserve">Each career is unique and places value on human capital that is unique to </w:t>
      </w:r>
      <w:r w:rsidR="00AE2CE8">
        <w:rPr>
          <w:rFonts w:ascii="Arial" w:hAnsi="Arial" w:cs="Arial"/>
        </w:rPr>
        <w:t xml:space="preserve">the </w:t>
      </w:r>
      <w:r w:rsidRPr="00EA7665">
        <w:rPr>
          <w:rFonts w:ascii="Arial" w:hAnsi="Arial" w:cs="Arial"/>
        </w:rPr>
        <w:t xml:space="preserve">specific career. Human capital, in this case, refers to an individual’s knowledge, abilities, skills and other characteristics that enable a person to perform at a high level (Harris et al., 2015). Human </w:t>
      </w:r>
      <w:r w:rsidRPr="00EA7665">
        <w:rPr>
          <w:rFonts w:ascii="Arial" w:hAnsi="Arial" w:cs="Arial"/>
        </w:rPr>
        <w:lastRenderedPageBreak/>
        <w:t xml:space="preserve">capital theory </w:t>
      </w:r>
      <w:r w:rsidR="00581E0C">
        <w:rPr>
          <w:rFonts w:ascii="Arial" w:hAnsi="Arial" w:cs="Arial"/>
        </w:rPr>
        <w:t xml:space="preserve">in this context </w:t>
      </w:r>
      <w:r w:rsidRPr="00EA7665">
        <w:rPr>
          <w:rFonts w:ascii="Arial" w:hAnsi="Arial" w:cs="Arial"/>
        </w:rPr>
        <w:t xml:space="preserve">indicates that individuals with </w:t>
      </w:r>
      <w:r w:rsidR="00FD207D">
        <w:rPr>
          <w:rFonts w:ascii="Arial" w:hAnsi="Arial" w:cs="Arial"/>
        </w:rPr>
        <w:t xml:space="preserve">the </w:t>
      </w:r>
      <w:r w:rsidRPr="00EA7665">
        <w:rPr>
          <w:rFonts w:ascii="Arial" w:hAnsi="Arial" w:cs="Arial"/>
        </w:rPr>
        <w:t>human capital necessary for a specific career should perform at a high standard and</w:t>
      </w:r>
      <w:r>
        <w:rPr>
          <w:rFonts w:ascii="Arial" w:hAnsi="Arial" w:cs="Arial"/>
        </w:rPr>
        <w:t xml:space="preserve"> garner</w:t>
      </w:r>
      <w:r w:rsidRPr="00EA7665">
        <w:rPr>
          <w:rFonts w:ascii="Arial" w:hAnsi="Arial" w:cs="Arial"/>
        </w:rPr>
        <w:t xml:space="preserve"> more value as they advance their careers. In addition to the human capital, the individual’s record of high performance should allow them to gain</w:t>
      </w:r>
      <w:r>
        <w:rPr>
          <w:rFonts w:ascii="Arial" w:hAnsi="Arial" w:cs="Arial"/>
        </w:rPr>
        <w:t xml:space="preserve"> </w:t>
      </w:r>
      <w:r w:rsidRPr="00EA7665">
        <w:rPr>
          <w:rFonts w:ascii="Arial" w:hAnsi="Arial" w:cs="Arial"/>
        </w:rPr>
        <w:t xml:space="preserve">increased value as they </w:t>
      </w:r>
      <w:r w:rsidR="00F32968">
        <w:rPr>
          <w:rFonts w:ascii="Arial" w:hAnsi="Arial" w:cs="Arial"/>
        </w:rPr>
        <w:t>progress</w:t>
      </w:r>
      <w:r w:rsidRPr="00EA7665">
        <w:rPr>
          <w:rFonts w:ascii="Arial" w:hAnsi="Arial" w:cs="Arial"/>
        </w:rPr>
        <w:t xml:space="preserve"> in a specific career. Findings have shown that career path is primarily based on proper training programs (Elvitigalage et al., 2006).</w:t>
      </w:r>
    </w:p>
    <w:p w14:paraId="63C66267" w14:textId="254D52F2" w:rsidR="00581E0C" w:rsidRPr="00581E0C" w:rsidRDefault="00581E0C" w:rsidP="00581E0C">
      <w:pPr>
        <w:spacing w:line="360" w:lineRule="auto"/>
        <w:jc w:val="both"/>
        <w:rPr>
          <w:rFonts w:ascii="Arial" w:hAnsi="Arial" w:cs="Arial"/>
        </w:rPr>
      </w:pPr>
      <w:r w:rsidRPr="00581E0C">
        <w:rPr>
          <w:rFonts w:ascii="Arial" w:hAnsi="Arial" w:cs="Arial"/>
        </w:rPr>
        <w:t xml:space="preserve">This theory's general idea is that </w:t>
      </w:r>
      <w:r w:rsidR="006D7D73">
        <w:rPr>
          <w:rFonts w:ascii="Arial" w:hAnsi="Arial" w:cs="Arial"/>
        </w:rPr>
        <w:t>individuals</w:t>
      </w:r>
      <w:r w:rsidRPr="00581E0C">
        <w:rPr>
          <w:rFonts w:ascii="Arial" w:hAnsi="Arial" w:cs="Arial"/>
        </w:rPr>
        <w:t xml:space="preserve"> should make an early investment in their career to maximise future benefits </w:t>
      </w:r>
      <w:r w:rsidR="00F32968">
        <w:rPr>
          <w:rFonts w:ascii="Arial" w:hAnsi="Arial" w:cs="Arial"/>
        </w:rPr>
        <w:t>through</w:t>
      </w:r>
      <w:r w:rsidRPr="00581E0C">
        <w:rPr>
          <w:rFonts w:ascii="Arial" w:hAnsi="Arial" w:cs="Arial"/>
        </w:rPr>
        <w:t xml:space="preserve"> better jobs, higher remuneration, and greater opportunities</w:t>
      </w:r>
      <w:r w:rsidR="00F32968">
        <w:rPr>
          <w:rFonts w:ascii="Arial" w:hAnsi="Arial" w:cs="Arial"/>
        </w:rPr>
        <w:t>.</w:t>
      </w:r>
      <w:r w:rsidRPr="00581E0C">
        <w:rPr>
          <w:rFonts w:ascii="Arial" w:hAnsi="Arial" w:cs="Arial"/>
        </w:rPr>
        <w:t xml:space="preserve"> According to the human capital theory, people have productive skills that can be improved through personal investment</w:t>
      </w:r>
      <w:r w:rsidR="00FB7731">
        <w:rPr>
          <w:rFonts w:ascii="Arial" w:hAnsi="Arial" w:cs="Arial"/>
        </w:rPr>
        <w:t>,</w:t>
      </w:r>
      <w:r w:rsidRPr="00581E0C">
        <w:rPr>
          <w:rFonts w:ascii="Arial" w:hAnsi="Arial" w:cs="Arial"/>
        </w:rPr>
        <w:t xml:space="preserve"> such as undertaking education, caring for themselves, or switching to better jobs (Heijike,1996; Schultz,1961). </w:t>
      </w:r>
    </w:p>
    <w:p w14:paraId="4CB9EE0C" w14:textId="3C85464F" w:rsidR="00581E0C" w:rsidRPr="00581E0C" w:rsidRDefault="00581E0C" w:rsidP="00581E0C">
      <w:pPr>
        <w:spacing w:line="360" w:lineRule="auto"/>
        <w:jc w:val="both"/>
        <w:rPr>
          <w:rFonts w:ascii="Arial" w:hAnsi="Arial" w:cs="Arial"/>
        </w:rPr>
      </w:pPr>
      <w:r w:rsidRPr="00581E0C">
        <w:rPr>
          <w:rFonts w:ascii="Arial" w:hAnsi="Arial" w:cs="Arial"/>
        </w:rPr>
        <w:t xml:space="preserve">The human capital school of thought focuses </w:t>
      </w:r>
      <w:r w:rsidR="0013081C">
        <w:rPr>
          <w:rFonts w:ascii="Arial" w:hAnsi="Arial" w:cs="Arial"/>
        </w:rPr>
        <w:t>primari</w:t>
      </w:r>
      <w:r w:rsidRPr="00581E0C">
        <w:rPr>
          <w:rFonts w:ascii="Arial" w:hAnsi="Arial" w:cs="Arial"/>
        </w:rPr>
        <w:t>ly on investing in human capital through education and training</w:t>
      </w:r>
      <w:r w:rsidR="0013081C">
        <w:rPr>
          <w:rFonts w:ascii="Arial" w:hAnsi="Arial" w:cs="Arial"/>
        </w:rPr>
        <w:t>. I</w:t>
      </w:r>
      <w:r w:rsidRPr="00581E0C">
        <w:rPr>
          <w:rFonts w:ascii="Arial" w:hAnsi="Arial" w:cs="Arial"/>
        </w:rPr>
        <w:t xml:space="preserve">t is believed that education and training will provide enhanced knowledge and skills to practice the occupation in the future. The theory of human capital is of the view that if an individual has increased his productivity by undertaking enhanced education and then enters employment, he will receive a higher wage than if he had entered the labour market without this education. However, the benefit of increased wages comes with direct expenditure on course fees and study materials. However, “the screening hypothesis” by Stiglitz (1975) criticizes the human capital school of thought. It is of the view that ideas and education do not create new productive skills and are not a measure of intelligence and learning ability and hence do not determine an individual's ability to complete a task. Stiglitz is of the view that the educational qualification provides employers with a good selection criterion (Heijike, 1996). Consequently, the human capital theory is </w:t>
      </w:r>
      <w:r w:rsidR="00B16ECC">
        <w:rPr>
          <w:rFonts w:ascii="Arial" w:hAnsi="Arial" w:cs="Arial"/>
        </w:rPr>
        <w:t>vital</w:t>
      </w:r>
      <w:r w:rsidRPr="00581E0C">
        <w:rPr>
          <w:rFonts w:ascii="Arial" w:hAnsi="Arial" w:cs="Arial"/>
        </w:rPr>
        <w:t xml:space="preserve"> to </w:t>
      </w:r>
      <w:r w:rsidR="004D16F6">
        <w:rPr>
          <w:rFonts w:ascii="Arial" w:hAnsi="Arial" w:cs="Arial"/>
        </w:rPr>
        <w:t>developing</w:t>
      </w:r>
      <w:r w:rsidRPr="00581E0C">
        <w:rPr>
          <w:rFonts w:ascii="Arial" w:hAnsi="Arial" w:cs="Arial"/>
        </w:rPr>
        <w:t xml:space="preserve"> a framework for </w:t>
      </w:r>
      <w:r w:rsidR="004D16F6">
        <w:rPr>
          <w:rFonts w:ascii="Arial" w:hAnsi="Arial" w:cs="Arial"/>
        </w:rPr>
        <w:t xml:space="preserve">a </w:t>
      </w:r>
      <w:r w:rsidRPr="00581E0C">
        <w:rPr>
          <w:rFonts w:ascii="Arial" w:hAnsi="Arial" w:cs="Arial"/>
        </w:rPr>
        <w:t>career path for securing finance for real estate project</w:t>
      </w:r>
      <w:r w:rsidR="00B16ECC">
        <w:rPr>
          <w:rFonts w:ascii="Arial" w:hAnsi="Arial" w:cs="Arial"/>
        </w:rPr>
        <w:t>s because it</w:t>
      </w:r>
      <w:r w:rsidRPr="00581E0C">
        <w:rPr>
          <w:rFonts w:ascii="Arial" w:hAnsi="Arial" w:cs="Arial"/>
        </w:rPr>
        <w:t xml:space="preserve"> will guide training and education for those prospecting or enhancing an existing career in this sector.</w:t>
      </w:r>
    </w:p>
    <w:p w14:paraId="0FD92EDB" w14:textId="77777777" w:rsidR="00581E0C" w:rsidRPr="00EA7665" w:rsidRDefault="00581E0C" w:rsidP="00CD6352">
      <w:pPr>
        <w:spacing w:line="360" w:lineRule="auto"/>
        <w:jc w:val="both"/>
        <w:rPr>
          <w:rFonts w:ascii="Arial" w:hAnsi="Arial" w:cs="Arial"/>
        </w:rPr>
      </w:pPr>
    </w:p>
    <w:p w14:paraId="21FDF8AB" w14:textId="77777777" w:rsidR="00CD6352" w:rsidRPr="00E80469" w:rsidRDefault="00CD6352" w:rsidP="00CD6352">
      <w:pPr>
        <w:spacing w:line="360" w:lineRule="auto"/>
        <w:jc w:val="both"/>
        <w:rPr>
          <w:rStyle w:val="Emphasis"/>
          <w:rFonts w:ascii="Arial" w:hAnsi="Arial" w:cs="Arial"/>
          <w:b/>
          <w:i w:val="0"/>
          <w:iCs w:val="0"/>
        </w:rPr>
      </w:pPr>
      <w:r w:rsidRPr="00E80469">
        <w:rPr>
          <w:rStyle w:val="Emphasis"/>
          <w:rFonts w:ascii="Arial" w:hAnsi="Arial" w:cs="Arial"/>
          <w:b/>
          <w:i w:val="0"/>
          <w:iCs w:val="0"/>
        </w:rPr>
        <w:t>Theory of traditional career</w:t>
      </w:r>
    </w:p>
    <w:p w14:paraId="27397258" w14:textId="7B986551" w:rsidR="00CD6352" w:rsidRDefault="00CD6352" w:rsidP="00CD6352">
      <w:pPr>
        <w:spacing w:line="360" w:lineRule="auto"/>
        <w:jc w:val="both"/>
        <w:rPr>
          <w:rFonts w:ascii="Arial" w:hAnsi="Arial" w:cs="Arial"/>
        </w:rPr>
      </w:pPr>
      <w:r w:rsidRPr="00EA7665">
        <w:rPr>
          <w:rFonts w:ascii="Arial" w:hAnsi="Arial" w:cs="Arial"/>
        </w:rPr>
        <w:t>Historically, the t</w:t>
      </w:r>
      <w:r w:rsidR="002E1D92">
        <w:rPr>
          <w:rFonts w:ascii="Arial" w:hAnsi="Arial" w:cs="Arial"/>
        </w:rPr>
        <w:t>raditional career theory</w:t>
      </w:r>
      <w:r w:rsidRPr="00EA7665">
        <w:rPr>
          <w:rFonts w:ascii="Arial" w:hAnsi="Arial" w:cs="Arial"/>
        </w:rPr>
        <w:t xml:space="preserve"> focused on a lifetime career and acted as a guiding principle for career development. In the traditional career path, an employee progresses vertically in the organisation from one specific job to </w:t>
      </w:r>
      <w:r w:rsidR="002E1D92">
        <w:rPr>
          <w:rFonts w:ascii="Arial" w:hAnsi="Arial" w:cs="Arial"/>
        </w:rPr>
        <w:t>an</w:t>
      </w:r>
      <w:r w:rsidRPr="00EA7665">
        <w:rPr>
          <w:rFonts w:ascii="Arial" w:hAnsi="Arial" w:cs="Arial"/>
        </w:rPr>
        <w:t xml:space="preserve">other. </w:t>
      </w:r>
      <w:r w:rsidR="002E1D92">
        <w:rPr>
          <w:rFonts w:ascii="Arial" w:hAnsi="Arial" w:cs="Arial"/>
        </w:rPr>
        <w:t>Many researchers, however, argue that a climb up the corporate ladder is no longer a reality in the contemporary world</w:t>
      </w:r>
      <w:r w:rsidRPr="00EA7665">
        <w:rPr>
          <w:rFonts w:ascii="Arial" w:hAnsi="Arial" w:cs="Arial"/>
        </w:rPr>
        <w:t xml:space="preserve"> because so many people have changed jobs severally (Arthur &amp; Rousseau, 1996 &amp; Carden &amp; Martin, 1998). </w:t>
      </w:r>
    </w:p>
    <w:p w14:paraId="2073D634" w14:textId="16ED5372" w:rsidR="001F305C" w:rsidRDefault="001F305C" w:rsidP="00CD6352">
      <w:pPr>
        <w:spacing w:line="360" w:lineRule="auto"/>
        <w:jc w:val="both"/>
        <w:rPr>
          <w:rFonts w:ascii="Arial" w:hAnsi="Arial" w:cs="Arial"/>
        </w:rPr>
      </w:pPr>
    </w:p>
    <w:p w14:paraId="29A70BFD" w14:textId="77777777" w:rsidR="001F305C" w:rsidRPr="00EA7665" w:rsidRDefault="001F305C" w:rsidP="00CD6352">
      <w:pPr>
        <w:spacing w:line="360" w:lineRule="auto"/>
        <w:jc w:val="both"/>
        <w:rPr>
          <w:rFonts w:ascii="Arial" w:hAnsi="Arial" w:cs="Arial"/>
        </w:rPr>
      </w:pPr>
    </w:p>
    <w:p w14:paraId="61E4529D" w14:textId="77777777" w:rsidR="00CD6352" w:rsidRPr="005549B0" w:rsidRDefault="00CD6352" w:rsidP="00CD6352">
      <w:pPr>
        <w:spacing w:line="360" w:lineRule="auto"/>
        <w:jc w:val="both"/>
        <w:rPr>
          <w:rStyle w:val="Emphasis"/>
          <w:rFonts w:ascii="Arial" w:hAnsi="Arial" w:cs="Arial"/>
          <w:b/>
          <w:i w:val="0"/>
          <w:iCs w:val="0"/>
        </w:rPr>
      </w:pPr>
      <w:r w:rsidRPr="005549B0">
        <w:rPr>
          <w:rStyle w:val="Emphasis"/>
          <w:rFonts w:ascii="Arial" w:hAnsi="Arial" w:cs="Arial"/>
          <w:b/>
          <w:i w:val="0"/>
          <w:iCs w:val="0"/>
        </w:rPr>
        <w:lastRenderedPageBreak/>
        <w:t>Theory of boundaryless career and development</w:t>
      </w:r>
    </w:p>
    <w:p w14:paraId="0F42372A" w14:textId="401498FC" w:rsidR="00CD6352" w:rsidRPr="00EA7665" w:rsidRDefault="009C0630" w:rsidP="00CD6352">
      <w:pPr>
        <w:spacing w:line="360" w:lineRule="auto"/>
        <w:jc w:val="both"/>
        <w:rPr>
          <w:rFonts w:ascii="Arial" w:hAnsi="Arial" w:cs="Arial"/>
        </w:rPr>
      </w:pPr>
      <w:r w:rsidRPr="009C0630">
        <w:rPr>
          <w:rFonts w:ascii="Arial" w:hAnsi="Arial" w:cs="Arial"/>
        </w:rPr>
        <w:t xml:space="preserve">A boundaryless career is </w:t>
      </w:r>
      <w:r w:rsidR="0052732C">
        <w:rPr>
          <w:rFonts w:ascii="Arial" w:hAnsi="Arial" w:cs="Arial"/>
        </w:rPr>
        <w:t>when</w:t>
      </w:r>
      <w:r w:rsidRPr="009C0630">
        <w:rPr>
          <w:rFonts w:ascii="Arial" w:hAnsi="Arial" w:cs="Arial"/>
        </w:rPr>
        <w:t xml:space="preserve"> a career moves across boundaries and is the opposite of a traditional career. </w:t>
      </w:r>
      <w:r w:rsidR="00CD6352" w:rsidRPr="00EA7665">
        <w:rPr>
          <w:rFonts w:ascii="Arial" w:hAnsi="Arial" w:cs="Arial"/>
        </w:rPr>
        <w:t>Individuals in contemporary times no longer finish a lifetime career in one organisation but pursu</w:t>
      </w:r>
      <w:r w:rsidR="00CD6352">
        <w:rPr>
          <w:rFonts w:ascii="Arial" w:hAnsi="Arial" w:cs="Arial"/>
        </w:rPr>
        <w:t>e</w:t>
      </w:r>
      <w:r w:rsidR="00CD6352" w:rsidRPr="00EA7665">
        <w:rPr>
          <w:rFonts w:ascii="Arial" w:hAnsi="Arial" w:cs="Arial"/>
        </w:rPr>
        <w:t xml:space="preserve"> careers in more organisations and occupy </w:t>
      </w:r>
      <w:r w:rsidR="00CD6352">
        <w:rPr>
          <w:rFonts w:ascii="Arial" w:hAnsi="Arial" w:cs="Arial"/>
        </w:rPr>
        <w:t xml:space="preserve">a variety of </w:t>
      </w:r>
      <w:r w:rsidR="00CD6352" w:rsidRPr="00EA7665">
        <w:rPr>
          <w:rFonts w:ascii="Arial" w:hAnsi="Arial" w:cs="Arial"/>
        </w:rPr>
        <w:t xml:space="preserve">posts and occupations. Boundaryless career is a development trend that has to be employed by both academia and the industries, </w:t>
      </w:r>
      <w:r w:rsidR="0052732C">
        <w:rPr>
          <w:rFonts w:ascii="Arial" w:hAnsi="Arial" w:cs="Arial"/>
        </w:rPr>
        <w:t>including</w:t>
      </w:r>
      <w:r w:rsidR="00CD6352" w:rsidRPr="00EA7665">
        <w:rPr>
          <w:rFonts w:ascii="Arial" w:hAnsi="Arial" w:cs="Arial"/>
        </w:rPr>
        <w:t xml:space="preserve"> the built environment. Your employability is what makes transition more effective (Zhiguo et al., 2013). Under the traditional career, individual professional skills and competences are often the </w:t>
      </w:r>
      <w:r w:rsidR="0088641D">
        <w:rPr>
          <w:rFonts w:ascii="Arial" w:hAnsi="Arial" w:cs="Arial"/>
        </w:rPr>
        <w:t>critical</w:t>
      </w:r>
      <w:r w:rsidR="00CD6352" w:rsidRPr="00EA7665">
        <w:rPr>
          <w:rFonts w:ascii="Arial" w:hAnsi="Arial" w:cs="Arial"/>
        </w:rPr>
        <w:t xml:space="preserve"> factors for promotion. However, under the boundaryless career, employability is the deciding factor. </w:t>
      </w:r>
    </w:p>
    <w:p w14:paraId="7A4B0FD6" w14:textId="20978B2E" w:rsidR="00CD6352" w:rsidRPr="00EA7665" w:rsidRDefault="00CD6352" w:rsidP="00CD6352">
      <w:pPr>
        <w:spacing w:line="360" w:lineRule="auto"/>
        <w:jc w:val="both"/>
        <w:rPr>
          <w:rFonts w:ascii="Arial" w:hAnsi="Arial" w:cs="Arial"/>
        </w:rPr>
      </w:pPr>
      <w:r w:rsidRPr="00EA7665">
        <w:rPr>
          <w:rFonts w:ascii="Arial" w:hAnsi="Arial" w:cs="Arial"/>
        </w:rPr>
        <w:t>Stewart and Kuenzi (2018) did an analysis, which showed that “linear “</w:t>
      </w:r>
      <w:r w:rsidR="0052732C">
        <w:rPr>
          <w:rFonts w:ascii="Arial" w:hAnsi="Arial" w:cs="Arial"/>
        </w:rPr>
        <w:t xml:space="preserve">, </w:t>
      </w:r>
      <w:r w:rsidRPr="00EA7665">
        <w:rPr>
          <w:rFonts w:ascii="Arial" w:hAnsi="Arial" w:cs="Arial"/>
        </w:rPr>
        <w:t xml:space="preserve">which are those who move up </w:t>
      </w:r>
      <w:r>
        <w:rPr>
          <w:rFonts w:ascii="Arial" w:hAnsi="Arial" w:cs="Arial"/>
        </w:rPr>
        <w:t xml:space="preserve">the </w:t>
      </w:r>
      <w:r w:rsidRPr="00EA7665">
        <w:rPr>
          <w:rFonts w:ascii="Arial" w:hAnsi="Arial" w:cs="Arial"/>
        </w:rPr>
        <w:t>occupational ladder, usually within the same or similar organisation</w:t>
      </w:r>
      <w:r w:rsidR="002E1D92">
        <w:rPr>
          <w:rFonts w:ascii="Arial" w:hAnsi="Arial" w:cs="Arial"/>
        </w:rPr>
        <w:t>,</w:t>
      </w:r>
      <w:r w:rsidRPr="00EA7665">
        <w:rPr>
          <w:rFonts w:ascii="Arial" w:hAnsi="Arial" w:cs="Arial"/>
        </w:rPr>
        <w:t xml:space="preserve"> had a higher percentage (45%) as compared to other parameters. This was followed by “non-profit lifer</w:t>
      </w:r>
      <w:r w:rsidR="0052732C">
        <w:rPr>
          <w:rFonts w:ascii="Arial" w:hAnsi="Arial" w:cs="Arial"/>
        </w:rPr>
        <w:t>s</w:t>
      </w:r>
      <w:r w:rsidRPr="00EA7665">
        <w:rPr>
          <w:rFonts w:ascii="Arial" w:hAnsi="Arial" w:cs="Arial"/>
        </w:rPr>
        <w:t>” (35%), who work their way to the top over time or create a non-profit before developing management expertise. Varied career paths</w:t>
      </w:r>
      <w:r w:rsidR="0052732C">
        <w:rPr>
          <w:rFonts w:ascii="Arial" w:hAnsi="Arial" w:cs="Arial"/>
        </w:rPr>
        <w:t>,</w:t>
      </w:r>
      <w:r w:rsidRPr="00EA7665">
        <w:rPr>
          <w:rFonts w:ascii="Arial" w:hAnsi="Arial" w:cs="Arial"/>
        </w:rPr>
        <w:t xml:space="preserve"> which include working in different sectors and organisations</w:t>
      </w:r>
      <w:r w:rsidR="002E1D92">
        <w:rPr>
          <w:rFonts w:ascii="Arial" w:hAnsi="Arial" w:cs="Arial"/>
        </w:rPr>
        <w:t>,</w:t>
      </w:r>
      <w:r w:rsidRPr="00EA7665">
        <w:rPr>
          <w:rFonts w:ascii="Arial" w:hAnsi="Arial" w:cs="Arial"/>
        </w:rPr>
        <w:t xml:space="preserve"> could be advantageous to leaders by creating opportunities for professional growth and job satisfaction; in the same vein, an organisation can benefit from managers with knowledge of different sectors</w:t>
      </w:r>
      <w:r w:rsidR="0088641D">
        <w:rPr>
          <w:rFonts w:ascii="Arial" w:hAnsi="Arial" w:cs="Arial"/>
        </w:rPr>
        <w:t>.</w:t>
      </w:r>
    </w:p>
    <w:p w14:paraId="2CAB6CD2" w14:textId="7958E8DD" w:rsidR="00CD6352" w:rsidRDefault="00CD6352" w:rsidP="00CD6352">
      <w:pPr>
        <w:spacing w:line="360" w:lineRule="auto"/>
        <w:jc w:val="both"/>
        <w:rPr>
          <w:rFonts w:ascii="Arial" w:hAnsi="Arial" w:cs="Arial"/>
          <w:color w:val="000000"/>
        </w:rPr>
      </w:pPr>
      <w:r w:rsidRPr="00EA7665">
        <w:rPr>
          <w:rFonts w:ascii="Arial" w:hAnsi="Arial" w:cs="Arial"/>
          <w:color w:val="000000"/>
        </w:rPr>
        <w:t>Several factors could influence career paths ranging from training to the motivation of the worker</w:t>
      </w:r>
      <w:r w:rsidR="0088641D">
        <w:rPr>
          <w:rFonts w:ascii="Arial" w:hAnsi="Arial" w:cs="Arial"/>
          <w:color w:val="000000"/>
        </w:rPr>
        <w:t>s</w:t>
      </w:r>
      <w:r w:rsidRPr="00EA7665">
        <w:rPr>
          <w:rFonts w:ascii="Arial" w:hAnsi="Arial" w:cs="Arial"/>
          <w:color w:val="000000"/>
        </w:rPr>
        <w:t xml:space="preserve"> or manager</w:t>
      </w:r>
      <w:r w:rsidR="0088641D">
        <w:rPr>
          <w:rFonts w:ascii="Arial" w:hAnsi="Arial" w:cs="Arial"/>
          <w:color w:val="000000"/>
        </w:rPr>
        <w:t>s</w:t>
      </w:r>
      <w:r w:rsidRPr="00EA7665">
        <w:rPr>
          <w:rFonts w:ascii="Arial" w:hAnsi="Arial" w:cs="Arial"/>
          <w:color w:val="000000"/>
        </w:rPr>
        <w:t xml:space="preserve">. Researches have shown that voluntary development </w:t>
      </w:r>
      <w:r w:rsidRPr="00EA7665">
        <w:rPr>
          <w:rFonts w:ascii="Arial" w:hAnsi="Arial" w:cs="Arial"/>
        </w:rPr>
        <w:t>initiatives such as training can enhance career path with the prospect of leadership positions (Stewart, and Kuenzi, 2018; Young, 1988).</w:t>
      </w:r>
      <w:r w:rsidRPr="00EA7665">
        <w:rPr>
          <w:rFonts w:ascii="Arial" w:hAnsi="Arial" w:cs="Arial"/>
          <w:color w:val="000000"/>
        </w:rPr>
        <w:t xml:space="preserve"> Findings have also shown that workers'/managers' motivations and human capital are vital factors that influence the career path</w:t>
      </w:r>
      <w:r>
        <w:rPr>
          <w:rFonts w:ascii="Arial" w:hAnsi="Arial" w:cs="Arial"/>
          <w:color w:val="000000"/>
        </w:rPr>
        <w:t xml:space="preserve"> </w:t>
      </w:r>
      <w:r w:rsidRPr="00EA7665">
        <w:rPr>
          <w:rFonts w:ascii="Arial" w:hAnsi="Arial" w:cs="Arial"/>
          <w:color w:val="000000"/>
        </w:rPr>
        <w:t xml:space="preserve">(Harris et al., 2015). </w:t>
      </w:r>
      <w:r>
        <w:rPr>
          <w:rFonts w:ascii="Arial" w:hAnsi="Arial" w:cs="Arial"/>
          <w:color w:val="000000"/>
        </w:rPr>
        <w:t>M</w:t>
      </w:r>
      <w:r w:rsidRPr="00EA7665">
        <w:rPr>
          <w:rFonts w:ascii="Arial" w:hAnsi="Arial" w:cs="Arial"/>
          <w:color w:val="000000"/>
        </w:rPr>
        <w:t>anagers need the human capital</w:t>
      </w:r>
      <w:r>
        <w:rPr>
          <w:rFonts w:ascii="Arial" w:hAnsi="Arial" w:cs="Arial"/>
          <w:color w:val="000000"/>
        </w:rPr>
        <w:t xml:space="preserve"> to advance and </w:t>
      </w:r>
      <w:r w:rsidR="00FB7731">
        <w:rPr>
          <w:rFonts w:ascii="Arial" w:hAnsi="Arial" w:cs="Arial"/>
          <w:color w:val="000000"/>
        </w:rPr>
        <w:t xml:space="preserve">enable them </w:t>
      </w:r>
      <w:r w:rsidR="0088641D">
        <w:rPr>
          <w:rFonts w:ascii="Arial" w:hAnsi="Arial" w:cs="Arial"/>
          <w:color w:val="000000"/>
        </w:rPr>
        <w:t xml:space="preserve">to </w:t>
      </w:r>
      <w:r w:rsidR="00FB7731">
        <w:rPr>
          <w:rFonts w:ascii="Arial" w:hAnsi="Arial" w:cs="Arial"/>
          <w:color w:val="000000"/>
        </w:rPr>
        <w:t>perform at a higher level at various stages of</w:t>
      </w:r>
      <w:r w:rsidRPr="00EA7665">
        <w:rPr>
          <w:rFonts w:ascii="Arial" w:hAnsi="Arial" w:cs="Arial"/>
          <w:color w:val="000000"/>
        </w:rPr>
        <w:t xml:space="preserve"> their career path. Other factors that affect career path and career decisions include finances, family, organisational reforms, age, education and professional concept (Tuononen et al., 2018).</w:t>
      </w:r>
    </w:p>
    <w:p w14:paraId="1009FF70" w14:textId="77777777" w:rsidR="009C0630" w:rsidRPr="009C0630" w:rsidRDefault="009C0630" w:rsidP="009C0630">
      <w:pPr>
        <w:spacing w:line="360" w:lineRule="auto"/>
        <w:jc w:val="both"/>
        <w:rPr>
          <w:rFonts w:ascii="Arial" w:hAnsi="Arial" w:cs="Arial"/>
          <w:color w:val="000000"/>
        </w:rPr>
      </w:pPr>
      <w:r w:rsidRPr="009C0630">
        <w:rPr>
          <w:rFonts w:ascii="Arial" w:hAnsi="Arial" w:cs="Arial"/>
          <w:color w:val="000000"/>
        </w:rPr>
        <w:t>This study sees a boundaryless career to include inter-firm mobility, intra-firm mobility, job mobility, geographical mobility, occupational mobility, and industrial mobility. Factors that promote career mobility of individuals include geographical disparities in mobility opportunities and perception of favourable economic conditions in some areas, career expectation, changing career expectation and marketability in the external labour market. Findings have shown a strong relationship between boundaryless career and career success (Gerli,2015)</w:t>
      </w:r>
    </w:p>
    <w:p w14:paraId="4D4E7A68" w14:textId="77777777" w:rsidR="009C0630" w:rsidRPr="00EA7665" w:rsidRDefault="009C0630" w:rsidP="00CD6352">
      <w:pPr>
        <w:spacing w:line="360" w:lineRule="auto"/>
        <w:jc w:val="both"/>
        <w:rPr>
          <w:rFonts w:ascii="Arial" w:hAnsi="Arial" w:cs="Arial"/>
          <w:color w:val="000000"/>
        </w:rPr>
      </w:pPr>
    </w:p>
    <w:p w14:paraId="477A734E" w14:textId="77777777" w:rsidR="00CD6352" w:rsidRPr="00EA7665" w:rsidRDefault="00CD6352" w:rsidP="00CD6352">
      <w:pPr>
        <w:pStyle w:val="Heading3"/>
        <w:spacing w:after="240" w:line="360" w:lineRule="auto"/>
        <w:jc w:val="both"/>
        <w:rPr>
          <w:rFonts w:cs="Arial"/>
          <w:sz w:val="22"/>
          <w:szCs w:val="22"/>
        </w:rPr>
      </w:pPr>
      <w:bookmarkStart w:id="785" w:name="_Toc78983804"/>
      <w:r w:rsidRPr="00EA7665">
        <w:rPr>
          <w:rFonts w:eastAsia="Calibri" w:cs="Arial"/>
          <w:sz w:val="22"/>
          <w:szCs w:val="22"/>
        </w:rPr>
        <w:lastRenderedPageBreak/>
        <w:t>Manager’s training and education</w:t>
      </w:r>
      <w:bookmarkEnd w:id="785"/>
      <w:r w:rsidRPr="00EA7665">
        <w:rPr>
          <w:rFonts w:eastAsia="Calibri" w:cs="Arial"/>
          <w:sz w:val="22"/>
          <w:szCs w:val="22"/>
        </w:rPr>
        <w:t xml:space="preserve"> </w:t>
      </w:r>
    </w:p>
    <w:p w14:paraId="3FA647F6" w14:textId="25E35614" w:rsidR="00CD6352" w:rsidRPr="00EA7665" w:rsidRDefault="00D44174" w:rsidP="00CD6352">
      <w:pPr>
        <w:spacing w:line="360" w:lineRule="auto"/>
        <w:jc w:val="both"/>
        <w:rPr>
          <w:rFonts w:ascii="Arial" w:hAnsi="Arial" w:cs="Arial"/>
        </w:rPr>
      </w:pPr>
      <w:r>
        <w:rPr>
          <w:rFonts w:ascii="Arial" w:eastAsia="Calibri" w:hAnsi="Arial" w:cs="Arial"/>
        </w:rPr>
        <w:t xml:space="preserve">Management is an economic resource, and there is a standing tradition of attributing the economic decline to the decline in education. Egbu (1994) found out that education has a significant positive relationship with the managers’ present jobs. This is in line with </w:t>
      </w:r>
      <w:r w:rsidR="00771CBD">
        <w:rPr>
          <w:rFonts w:ascii="Arial" w:eastAsia="Calibri" w:hAnsi="Arial" w:cs="Arial"/>
        </w:rPr>
        <w:t>several</w:t>
      </w:r>
      <w:r>
        <w:rPr>
          <w:rFonts w:ascii="Arial" w:eastAsia="Calibri" w:hAnsi="Arial" w:cs="Arial"/>
        </w:rPr>
        <w:t xml:space="preserve"> other research</w:t>
      </w:r>
      <w:r w:rsidR="00771CBD">
        <w:rPr>
          <w:rFonts w:ascii="Arial" w:eastAsia="Calibri" w:hAnsi="Arial" w:cs="Arial"/>
        </w:rPr>
        <w:t xml:space="preserve"> carried out in this sector</w:t>
      </w:r>
      <w:r>
        <w:rPr>
          <w:rFonts w:ascii="Arial" w:eastAsia="Calibri" w:hAnsi="Arial" w:cs="Arial"/>
        </w:rPr>
        <w:t>, which shows that a higher qualification is of significant importance for career success</w:t>
      </w:r>
      <w:r w:rsidR="00CD6352" w:rsidRPr="00EA7665">
        <w:rPr>
          <w:rFonts w:ascii="Arial" w:hAnsi="Arial" w:cs="Arial"/>
        </w:rPr>
        <w:t xml:space="preserve">. Fundamental factors </w:t>
      </w:r>
      <w:r w:rsidR="00771CBD">
        <w:rPr>
          <w:rFonts w:ascii="Arial" w:hAnsi="Arial" w:cs="Arial"/>
        </w:rPr>
        <w:t>influencing</w:t>
      </w:r>
      <w:r w:rsidR="00CD6352" w:rsidRPr="00EA7665">
        <w:rPr>
          <w:rFonts w:ascii="Arial" w:hAnsi="Arial" w:cs="Arial"/>
        </w:rPr>
        <w:t xml:space="preserve"> a manager’s performance are government, education and the industry (Bryan, 2009). </w:t>
      </w:r>
    </w:p>
    <w:p w14:paraId="69236CED" w14:textId="77777777" w:rsidR="00CD6352" w:rsidRPr="005549B0" w:rsidRDefault="00CD6352" w:rsidP="00CD6352">
      <w:pPr>
        <w:pStyle w:val="Heading4"/>
        <w:spacing w:before="0" w:line="240" w:lineRule="auto"/>
        <w:rPr>
          <w:rFonts w:ascii="Arial" w:eastAsia="Calibri" w:hAnsi="Arial" w:cs="Arial"/>
          <w:b/>
          <w:bCs/>
          <w:i w:val="0"/>
          <w:iCs w:val="0"/>
        </w:rPr>
      </w:pPr>
      <w:r w:rsidRPr="005549B0">
        <w:rPr>
          <w:rFonts w:ascii="Arial" w:eastAsia="Calibri" w:hAnsi="Arial" w:cs="Arial"/>
          <w:b/>
          <w:bCs/>
          <w:i w:val="0"/>
          <w:iCs w:val="0"/>
          <w:color w:val="auto"/>
        </w:rPr>
        <w:t xml:space="preserve">Management education and training: Definition and characteristics </w:t>
      </w:r>
      <w:r w:rsidRPr="005549B0">
        <w:rPr>
          <w:rFonts w:ascii="Arial" w:eastAsia="Calibri" w:hAnsi="Arial" w:cs="Arial"/>
          <w:b/>
          <w:bCs/>
          <w:i w:val="0"/>
          <w:iCs w:val="0"/>
        </w:rPr>
        <w:br/>
      </w:r>
    </w:p>
    <w:p w14:paraId="0F16A1A8" w14:textId="3265BDD9" w:rsidR="00CD6352" w:rsidRPr="00EA7665" w:rsidRDefault="00CD6352" w:rsidP="00CD6352">
      <w:pPr>
        <w:spacing w:line="360" w:lineRule="auto"/>
        <w:jc w:val="both"/>
        <w:rPr>
          <w:rFonts w:ascii="Arial" w:hAnsi="Arial" w:cs="Arial"/>
        </w:rPr>
      </w:pPr>
      <w:r w:rsidRPr="000F76DD">
        <w:rPr>
          <w:rFonts w:ascii="Arial" w:hAnsi="Arial" w:cs="Arial"/>
        </w:rPr>
        <w:t xml:space="preserve">Education could be the development of a person socially, intellectually and physically (Bass and Vaughan, 1966).  Management education has to do with </w:t>
      </w:r>
      <w:r w:rsidR="003C6358">
        <w:rPr>
          <w:rFonts w:ascii="Arial" w:hAnsi="Arial" w:cs="Arial"/>
        </w:rPr>
        <w:t>acquiring and developing</w:t>
      </w:r>
      <w:r w:rsidRPr="000F76DD">
        <w:rPr>
          <w:rFonts w:ascii="Arial" w:hAnsi="Arial" w:cs="Arial"/>
        </w:rPr>
        <w:t xml:space="preserve"> knowledge and skills, which fits a manager to take on a role in</w:t>
      </w:r>
      <w:r w:rsidRPr="00EA7665">
        <w:rPr>
          <w:rFonts w:ascii="Arial" w:hAnsi="Arial" w:cs="Arial"/>
        </w:rPr>
        <w:t xml:space="preserve"> management. Management education </w:t>
      </w:r>
      <w:r w:rsidR="003C6358">
        <w:rPr>
          <w:rFonts w:ascii="Arial" w:hAnsi="Arial" w:cs="Arial"/>
        </w:rPr>
        <w:t>aims to develop</w:t>
      </w:r>
      <w:r w:rsidRPr="00EA7665">
        <w:rPr>
          <w:rFonts w:ascii="Arial" w:hAnsi="Arial" w:cs="Arial"/>
        </w:rPr>
        <w:t xml:space="preserve"> the knowledge, skills, moral values and understanding required in all aspects of life rather than </w:t>
      </w:r>
      <w:r>
        <w:rPr>
          <w:rFonts w:ascii="Arial" w:hAnsi="Arial" w:cs="Arial"/>
        </w:rPr>
        <w:t xml:space="preserve">the </w:t>
      </w:r>
      <w:r w:rsidRPr="00EA7665">
        <w:rPr>
          <w:rFonts w:ascii="Arial" w:hAnsi="Arial" w:cs="Arial"/>
        </w:rPr>
        <w:t xml:space="preserve">knowledge and skills relating to a limited field of activity (Al-fadli, 1990).  </w:t>
      </w:r>
    </w:p>
    <w:p w14:paraId="72447089" w14:textId="26293511" w:rsidR="00CD6352" w:rsidRPr="00EA7665" w:rsidRDefault="00CD6352" w:rsidP="00CD6352">
      <w:pPr>
        <w:spacing w:line="360" w:lineRule="auto"/>
        <w:jc w:val="both"/>
        <w:rPr>
          <w:rFonts w:ascii="Arial" w:hAnsi="Arial" w:cs="Arial"/>
        </w:rPr>
      </w:pPr>
      <w:r w:rsidRPr="00EA7665">
        <w:rPr>
          <w:rFonts w:ascii="Arial" w:hAnsi="Arial" w:cs="Arial"/>
        </w:rPr>
        <w:t>However, training is targeted at preparing, qualifying</w:t>
      </w:r>
      <w:r w:rsidR="003C6358">
        <w:rPr>
          <w:rFonts w:ascii="Arial" w:hAnsi="Arial" w:cs="Arial"/>
        </w:rPr>
        <w:t>, and developing certain individuals' abilitie</w:t>
      </w:r>
      <w:r w:rsidRPr="00EA7665">
        <w:rPr>
          <w:rFonts w:ascii="Arial" w:hAnsi="Arial" w:cs="Arial"/>
        </w:rPr>
        <w:t xml:space="preserve">s to perform a specific task within the organisation. Training is a planned process to modify the attitude, knowledge or skill behaviour through the learning experience, to achieve effective performance in an activity or range of activities (Al-fadli, 1990).  It is often included in the work package to develop the </w:t>
      </w:r>
      <w:r w:rsidR="003C6358">
        <w:rPr>
          <w:rFonts w:ascii="Arial" w:hAnsi="Arial" w:cs="Arial"/>
        </w:rPr>
        <w:t>individuals' abilities and</w:t>
      </w:r>
      <w:r w:rsidRPr="00EA7665">
        <w:rPr>
          <w:rFonts w:ascii="Arial" w:hAnsi="Arial" w:cs="Arial"/>
        </w:rPr>
        <w:t xml:space="preserve"> satisfy the</w:t>
      </w:r>
      <w:r w:rsidR="00A90F6E">
        <w:rPr>
          <w:rFonts w:ascii="Arial" w:hAnsi="Arial" w:cs="Arial"/>
        </w:rPr>
        <w:t>ir</w:t>
      </w:r>
      <w:r w:rsidR="00FB7731">
        <w:rPr>
          <w:rFonts w:ascii="Arial" w:hAnsi="Arial" w:cs="Arial"/>
        </w:rPr>
        <w:t xml:space="preserve"> current and future workforce needs</w:t>
      </w:r>
      <w:r w:rsidRPr="00EA7665">
        <w:rPr>
          <w:rFonts w:ascii="Arial" w:hAnsi="Arial" w:cs="Arial"/>
        </w:rPr>
        <w:t xml:space="preserve">. </w:t>
      </w:r>
      <w:r w:rsidR="00FB7731">
        <w:rPr>
          <w:rFonts w:ascii="Arial" w:hAnsi="Arial" w:cs="Arial"/>
        </w:rPr>
        <w:t>T</w:t>
      </w:r>
      <w:r w:rsidRPr="00EA7665">
        <w:rPr>
          <w:rFonts w:ascii="Arial" w:hAnsi="Arial" w:cs="Arial"/>
        </w:rPr>
        <w:t>he future success of any organisation will depend heavily upon the availability of effective managers</w:t>
      </w:r>
      <w:r w:rsidR="00FB7731">
        <w:rPr>
          <w:rFonts w:ascii="Arial" w:hAnsi="Arial" w:cs="Arial"/>
        </w:rPr>
        <w:t>.</w:t>
      </w:r>
      <w:r w:rsidRPr="00EA7665">
        <w:rPr>
          <w:rFonts w:ascii="Arial" w:hAnsi="Arial" w:cs="Arial"/>
        </w:rPr>
        <w:t xml:space="preserve"> </w:t>
      </w:r>
    </w:p>
    <w:p w14:paraId="3E66022C" w14:textId="118E9417" w:rsidR="00CD6352" w:rsidRPr="00EA7665" w:rsidRDefault="00CD6352" w:rsidP="00CD6352">
      <w:pPr>
        <w:spacing w:line="360" w:lineRule="auto"/>
        <w:jc w:val="both"/>
        <w:rPr>
          <w:rFonts w:ascii="Arial" w:hAnsi="Arial" w:cs="Arial"/>
        </w:rPr>
      </w:pPr>
      <w:r w:rsidRPr="00EA7665">
        <w:rPr>
          <w:rFonts w:ascii="Arial" w:hAnsi="Arial" w:cs="Arial"/>
        </w:rPr>
        <w:t xml:space="preserve">Management training is </w:t>
      </w:r>
      <w:r>
        <w:rPr>
          <w:rFonts w:ascii="Arial" w:hAnsi="Arial" w:cs="Arial"/>
        </w:rPr>
        <w:t xml:space="preserve">often </w:t>
      </w:r>
      <w:r w:rsidRPr="00EA7665">
        <w:rPr>
          <w:rFonts w:ascii="Arial" w:hAnsi="Arial" w:cs="Arial"/>
        </w:rPr>
        <w:t>seen as synonymous with management education, but they are supposed to complement each other. In distinguishing training from education, Morris (1971) considers training as the specific use of techniques that can be identified and continually improved. However, he noted training as a broader process of personal change in abilities and attitudes, which may take place independently of its application to work (Egbu, 1994). Education is the presentation of concepts and information to people to impart knowledge, while training is an interactive exercise whose goal is to develop skills and competencies within the workforce. Organisation for Economic Development (OECD) sees training as “all the various processes by which an individual develops the competencies required for employment tasks” (Elvitigalage et al., 2006).</w:t>
      </w:r>
    </w:p>
    <w:p w14:paraId="6A6E32A4" w14:textId="77777777" w:rsidR="00CD6352" w:rsidRPr="005549B0" w:rsidRDefault="00CD6352" w:rsidP="00CD6352">
      <w:pPr>
        <w:pStyle w:val="Heading4"/>
        <w:spacing w:line="360" w:lineRule="auto"/>
        <w:jc w:val="both"/>
        <w:rPr>
          <w:rFonts w:ascii="Arial" w:hAnsi="Arial" w:cs="Arial"/>
          <w:b/>
          <w:i w:val="0"/>
          <w:iCs w:val="0"/>
        </w:rPr>
      </w:pPr>
      <w:r w:rsidRPr="00EA7665">
        <w:rPr>
          <w:rFonts w:ascii="Arial" w:eastAsia="Calibri" w:hAnsi="Arial" w:cs="Arial"/>
          <w:b/>
          <w:lang w:val="en-US"/>
        </w:rPr>
        <w:t xml:space="preserve"> </w:t>
      </w:r>
      <w:r w:rsidRPr="005549B0">
        <w:rPr>
          <w:rFonts w:ascii="Arial" w:hAnsi="Arial" w:cs="Arial"/>
          <w:b/>
          <w:i w:val="0"/>
          <w:iCs w:val="0"/>
          <w:color w:val="auto"/>
        </w:rPr>
        <w:t xml:space="preserve">Management Education and training: Theory and practice </w:t>
      </w:r>
    </w:p>
    <w:p w14:paraId="2099A38F" w14:textId="507BFA25" w:rsidR="00CD6352" w:rsidRPr="00EA7665" w:rsidRDefault="00FC1EAF" w:rsidP="00CD6352">
      <w:pPr>
        <w:spacing w:line="360" w:lineRule="auto"/>
        <w:jc w:val="both"/>
        <w:rPr>
          <w:rFonts w:ascii="Arial" w:hAnsi="Arial" w:cs="Arial"/>
        </w:rPr>
      </w:pPr>
      <w:r>
        <w:rPr>
          <w:rFonts w:ascii="Arial" w:hAnsi="Arial" w:cs="Arial"/>
        </w:rPr>
        <w:t xml:space="preserve">Several theories have been proposed to explain the relationship between the manager’s performance of their job roles to their education and training. This section aims to review </w:t>
      </w:r>
      <w:r>
        <w:rPr>
          <w:rFonts w:ascii="Arial" w:hAnsi="Arial" w:cs="Arial"/>
        </w:rPr>
        <w:lastRenderedPageBreak/>
        <w:t>individual contributions to the theory and practice of management education</w:t>
      </w:r>
      <w:r w:rsidR="00CD6352" w:rsidRPr="00767DB1">
        <w:rPr>
          <w:rFonts w:ascii="Arial" w:hAnsi="Arial" w:cs="Arial"/>
        </w:rPr>
        <w:t>. The research</w:t>
      </w:r>
      <w:r w:rsidR="00CD6352">
        <w:rPr>
          <w:rFonts w:ascii="Arial" w:hAnsi="Arial" w:cs="Arial"/>
        </w:rPr>
        <w:t>er</w:t>
      </w:r>
      <w:r w:rsidR="00CD6352" w:rsidRPr="00767DB1">
        <w:rPr>
          <w:rFonts w:ascii="Arial" w:hAnsi="Arial" w:cs="Arial"/>
        </w:rPr>
        <w:t xml:space="preserve"> analyses and adopts the human capital school of</w:t>
      </w:r>
      <w:r w:rsidR="00CD6352" w:rsidRPr="00EA7665">
        <w:rPr>
          <w:rFonts w:ascii="Arial" w:hAnsi="Arial" w:cs="Arial"/>
        </w:rPr>
        <w:t xml:space="preserve"> thought</w:t>
      </w:r>
      <w:r w:rsidR="006424E7">
        <w:rPr>
          <w:rFonts w:ascii="Arial" w:hAnsi="Arial" w:cs="Arial"/>
        </w:rPr>
        <w:t xml:space="preserve"> and the job matching theory.</w:t>
      </w:r>
      <w:r w:rsidR="001920B4">
        <w:rPr>
          <w:rFonts w:ascii="Arial" w:hAnsi="Arial" w:cs="Arial"/>
        </w:rPr>
        <w:t xml:space="preserve"> The human capital theory </w:t>
      </w:r>
      <w:r w:rsidR="005C5D48">
        <w:rPr>
          <w:rFonts w:ascii="Arial" w:hAnsi="Arial" w:cs="Arial"/>
        </w:rPr>
        <w:t xml:space="preserve">was </w:t>
      </w:r>
      <w:r w:rsidR="001920B4">
        <w:rPr>
          <w:rFonts w:ascii="Arial" w:hAnsi="Arial" w:cs="Arial"/>
        </w:rPr>
        <w:t xml:space="preserve">explained under career path </w:t>
      </w:r>
      <w:r w:rsidR="001920B4" w:rsidRPr="001920B4">
        <w:rPr>
          <w:rFonts w:ascii="Arial" w:hAnsi="Arial" w:cs="Arial"/>
        </w:rPr>
        <w:t>(see chapter 3.8.4)</w:t>
      </w:r>
      <w:r w:rsidR="001920B4">
        <w:rPr>
          <w:rFonts w:ascii="Arial" w:hAnsi="Arial" w:cs="Arial"/>
        </w:rPr>
        <w:t>.</w:t>
      </w:r>
    </w:p>
    <w:p w14:paraId="14ED5BAE" w14:textId="39C3459B" w:rsidR="00FE619F" w:rsidRPr="007625E7" w:rsidRDefault="00FE619F" w:rsidP="007625E7">
      <w:pPr>
        <w:spacing w:after="160" w:line="360" w:lineRule="auto"/>
        <w:rPr>
          <w:rFonts w:ascii="Arial" w:hAnsi="Arial" w:cs="Arial"/>
          <w:b/>
          <w:bCs/>
        </w:rPr>
      </w:pPr>
      <w:r w:rsidRPr="007625E7">
        <w:rPr>
          <w:rFonts w:ascii="Arial" w:hAnsi="Arial" w:cs="Arial"/>
          <w:b/>
          <w:bCs/>
        </w:rPr>
        <w:t>Job matching theory.</w:t>
      </w:r>
    </w:p>
    <w:p w14:paraId="70E2EE30" w14:textId="5DFA405C" w:rsidR="00FE619F" w:rsidRDefault="00FE619F" w:rsidP="006424E7">
      <w:pPr>
        <w:spacing w:after="160" w:line="360" w:lineRule="auto"/>
        <w:rPr>
          <w:rFonts w:ascii="Arial" w:hAnsi="Arial" w:cs="Arial"/>
        </w:rPr>
      </w:pPr>
      <w:r w:rsidRPr="007625E7">
        <w:rPr>
          <w:rFonts w:ascii="Arial" w:hAnsi="Arial" w:cs="Arial"/>
        </w:rPr>
        <w:t xml:space="preserve">The job matching theory stipulates that individuals who have </w:t>
      </w:r>
      <w:r w:rsidR="00FD5493">
        <w:rPr>
          <w:rFonts w:ascii="Arial" w:hAnsi="Arial" w:cs="Arial"/>
        </w:rPr>
        <w:t>specific</w:t>
      </w:r>
      <w:r w:rsidRPr="007625E7">
        <w:rPr>
          <w:rFonts w:ascii="Arial" w:hAnsi="Arial" w:cs="Arial"/>
        </w:rPr>
        <w:t xml:space="preserve"> characteristics</w:t>
      </w:r>
      <w:r w:rsidR="00FD5493">
        <w:rPr>
          <w:rFonts w:ascii="Arial" w:hAnsi="Arial" w:cs="Arial"/>
        </w:rPr>
        <w:t>,</w:t>
      </w:r>
      <w:r w:rsidRPr="007625E7">
        <w:rPr>
          <w:rFonts w:ascii="Arial" w:hAnsi="Arial" w:cs="Arial"/>
        </w:rPr>
        <w:t xml:space="preserve"> including educational attainment</w:t>
      </w:r>
      <w:r w:rsidR="00FC1EAF">
        <w:rPr>
          <w:rFonts w:ascii="Arial" w:hAnsi="Arial" w:cs="Arial"/>
        </w:rPr>
        <w:t>,</w:t>
      </w:r>
      <w:r w:rsidRPr="007625E7">
        <w:rPr>
          <w:rFonts w:ascii="Arial" w:hAnsi="Arial" w:cs="Arial"/>
        </w:rPr>
        <w:t xml:space="preserve"> have comparative advantages in performing occupations with certain characteristics</w:t>
      </w:r>
      <w:r w:rsidR="00FC1EAF">
        <w:rPr>
          <w:rFonts w:ascii="Arial" w:hAnsi="Arial" w:cs="Arial"/>
        </w:rPr>
        <w:t>.</w:t>
      </w:r>
      <w:r w:rsidRPr="007625E7">
        <w:rPr>
          <w:rFonts w:ascii="Arial" w:hAnsi="Arial" w:cs="Arial"/>
        </w:rPr>
        <w:t xml:space="preserve"> The theory also </w:t>
      </w:r>
      <w:r w:rsidR="00FC1EAF">
        <w:rPr>
          <w:rFonts w:ascii="Arial" w:hAnsi="Arial" w:cs="Arial"/>
        </w:rPr>
        <w:t>shows that productivity in a given occupation is often</w:t>
      </w:r>
      <w:r w:rsidRPr="007625E7">
        <w:rPr>
          <w:rFonts w:ascii="Arial" w:hAnsi="Arial" w:cs="Arial"/>
        </w:rPr>
        <w:t xml:space="preserve"> a result of interactions between the occupation and the person filing the occupation (Sattinger, 1975). Consequently, this theory highlights the importance of experience on the job.</w:t>
      </w:r>
      <w:r w:rsidR="00FC1EAF">
        <w:rPr>
          <w:rFonts w:ascii="Arial" w:hAnsi="Arial" w:cs="Arial"/>
        </w:rPr>
        <w:t xml:space="preserve"> This stud</w:t>
      </w:r>
      <w:r w:rsidR="002F087E">
        <w:rPr>
          <w:rFonts w:ascii="Arial" w:hAnsi="Arial" w:cs="Arial"/>
        </w:rPr>
        <w:t>y accesses the manager’s experiences on the job related to accessing finance for real estate project development through the administration of questionnaires and semi-</w:t>
      </w:r>
      <w:r w:rsidR="00FC1EAF">
        <w:rPr>
          <w:rFonts w:ascii="Arial" w:hAnsi="Arial" w:cs="Arial"/>
        </w:rPr>
        <w:t>structured interviews</w:t>
      </w:r>
      <w:r w:rsidR="00FD5493">
        <w:rPr>
          <w:rFonts w:ascii="Arial" w:hAnsi="Arial" w:cs="Arial"/>
        </w:rPr>
        <w:t xml:space="preserve"> to managers operating in the real estate sector of the selected emerging and developed economies covered in this study</w:t>
      </w:r>
      <w:r w:rsidR="00FC1EAF">
        <w:rPr>
          <w:rFonts w:ascii="Arial" w:hAnsi="Arial" w:cs="Arial"/>
        </w:rPr>
        <w:t>.</w:t>
      </w:r>
      <w:r w:rsidR="00FD5493">
        <w:rPr>
          <w:rFonts w:ascii="Arial" w:hAnsi="Arial" w:cs="Arial"/>
        </w:rPr>
        <w:t xml:space="preserve"> </w:t>
      </w:r>
      <w:r w:rsidR="002F087E">
        <w:rPr>
          <w:rFonts w:ascii="Arial" w:hAnsi="Arial" w:cs="Arial"/>
        </w:rPr>
        <w:t xml:space="preserve">This formed a platform for </w:t>
      </w:r>
      <w:r w:rsidR="00FD5493">
        <w:rPr>
          <w:rFonts w:ascii="Arial" w:hAnsi="Arial" w:cs="Arial"/>
        </w:rPr>
        <w:t>developing</w:t>
      </w:r>
      <w:r w:rsidR="002F087E">
        <w:rPr>
          <w:rFonts w:ascii="Arial" w:hAnsi="Arial" w:cs="Arial"/>
        </w:rPr>
        <w:t xml:space="preserve"> the conceptual framework for career path and the </w:t>
      </w:r>
      <w:r w:rsidR="00CD13B8">
        <w:rPr>
          <w:rFonts w:ascii="Arial" w:hAnsi="Arial" w:cs="Arial"/>
        </w:rPr>
        <w:t xml:space="preserve">conceptual framework for training and education for securing finance for real estate project development in </w:t>
      </w:r>
      <w:r w:rsidR="002F087E">
        <w:rPr>
          <w:rFonts w:ascii="Arial" w:hAnsi="Arial" w:cs="Arial"/>
        </w:rPr>
        <w:t>chapter 9</w:t>
      </w:r>
      <w:r w:rsidR="00DE3DD5">
        <w:rPr>
          <w:rFonts w:ascii="Arial" w:hAnsi="Arial" w:cs="Arial"/>
        </w:rPr>
        <w:t>,</w:t>
      </w:r>
      <w:r w:rsidR="00FD5493">
        <w:rPr>
          <w:rFonts w:ascii="Arial" w:hAnsi="Arial" w:cs="Arial"/>
        </w:rPr>
        <w:t xml:space="preserve"> and it contributed to the toolkit for securing finance for real estate project development in chapter 10.</w:t>
      </w:r>
    </w:p>
    <w:p w14:paraId="5BA9D11F" w14:textId="1783D3B4" w:rsidR="009C0630" w:rsidRPr="009C0630" w:rsidRDefault="009C0630" w:rsidP="009C0630">
      <w:pPr>
        <w:spacing w:after="160" w:line="360" w:lineRule="auto"/>
        <w:rPr>
          <w:rFonts w:ascii="Arial" w:hAnsi="Arial" w:cs="Arial"/>
        </w:rPr>
      </w:pPr>
      <w:r w:rsidRPr="009C0630">
        <w:rPr>
          <w:rFonts w:ascii="Arial" w:hAnsi="Arial" w:cs="Arial"/>
        </w:rPr>
        <w:t xml:space="preserve">This study adopted the three major learning theories as guides in </w:t>
      </w:r>
      <w:r w:rsidR="00795BE9">
        <w:rPr>
          <w:rFonts w:ascii="Arial" w:hAnsi="Arial" w:cs="Arial"/>
        </w:rPr>
        <w:t>developing</w:t>
      </w:r>
      <w:r w:rsidRPr="009C0630">
        <w:rPr>
          <w:rFonts w:ascii="Arial" w:hAnsi="Arial" w:cs="Arial"/>
        </w:rPr>
        <w:t xml:space="preserve"> a conceptual framework for training for securing finance for real estate project development</w:t>
      </w:r>
      <w:r w:rsidR="00DE3DD5">
        <w:rPr>
          <w:rFonts w:ascii="Arial" w:hAnsi="Arial" w:cs="Arial"/>
        </w:rPr>
        <w:t xml:space="preserve"> in chapter 9</w:t>
      </w:r>
      <w:r w:rsidRPr="009C0630">
        <w:rPr>
          <w:rFonts w:ascii="Arial" w:hAnsi="Arial" w:cs="Arial"/>
        </w:rPr>
        <w:t xml:space="preserve">. </w:t>
      </w:r>
    </w:p>
    <w:p w14:paraId="1CC87758" w14:textId="77777777" w:rsidR="009C0630" w:rsidRPr="0012639D" w:rsidRDefault="009C0630" w:rsidP="009C0630">
      <w:pPr>
        <w:spacing w:after="160" w:line="360" w:lineRule="auto"/>
        <w:rPr>
          <w:rFonts w:ascii="Arial" w:hAnsi="Arial" w:cs="Arial"/>
          <w:b/>
          <w:bCs/>
          <w:i/>
          <w:iCs/>
        </w:rPr>
      </w:pPr>
      <w:r w:rsidRPr="0012639D">
        <w:rPr>
          <w:rFonts w:ascii="Arial" w:hAnsi="Arial" w:cs="Arial"/>
          <w:b/>
          <w:bCs/>
          <w:i/>
          <w:iCs/>
        </w:rPr>
        <w:t>Learning theories</w:t>
      </w:r>
    </w:p>
    <w:p w14:paraId="51971FB8" w14:textId="77777777" w:rsidR="009C0630" w:rsidRPr="009C0630" w:rsidRDefault="009C0630" w:rsidP="009C0630">
      <w:pPr>
        <w:spacing w:after="160" w:line="360" w:lineRule="auto"/>
        <w:rPr>
          <w:rFonts w:ascii="Arial" w:hAnsi="Arial" w:cs="Arial"/>
        </w:rPr>
      </w:pPr>
      <w:r w:rsidRPr="009C0630">
        <w:rPr>
          <w:rFonts w:ascii="Arial" w:hAnsi="Arial" w:cs="Arial"/>
        </w:rPr>
        <w:t>The selected learning theories are:</w:t>
      </w:r>
    </w:p>
    <w:p w14:paraId="2DA8AAE4" w14:textId="77777777" w:rsidR="009C0630" w:rsidRPr="009C0630" w:rsidRDefault="009C0630" w:rsidP="007625E7">
      <w:pPr>
        <w:numPr>
          <w:ilvl w:val="0"/>
          <w:numId w:val="338"/>
        </w:numPr>
        <w:spacing w:after="160" w:line="360" w:lineRule="auto"/>
        <w:rPr>
          <w:rFonts w:ascii="Arial" w:hAnsi="Arial" w:cs="Arial"/>
        </w:rPr>
      </w:pPr>
      <w:r w:rsidRPr="009C0630">
        <w:rPr>
          <w:rFonts w:ascii="Arial" w:hAnsi="Arial" w:cs="Arial"/>
        </w:rPr>
        <w:t>Behaviourist school of thought</w:t>
      </w:r>
    </w:p>
    <w:p w14:paraId="3AB0A686" w14:textId="77777777" w:rsidR="009C0630" w:rsidRPr="009C0630" w:rsidRDefault="009C0630" w:rsidP="007625E7">
      <w:pPr>
        <w:numPr>
          <w:ilvl w:val="0"/>
          <w:numId w:val="338"/>
        </w:numPr>
        <w:spacing w:after="160" w:line="360" w:lineRule="auto"/>
        <w:rPr>
          <w:rFonts w:ascii="Arial" w:hAnsi="Arial" w:cs="Arial"/>
        </w:rPr>
      </w:pPr>
      <w:r w:rsidRPr="009C0630">
        <w:rPr>
          <w:rFonts w:ascii="Arial" w:hAnsi="Arial" w:cs="Arial"/>
        </w:rPr>
        <w:t>Cognitivism theories</w:t>
      </w:r>
    </w:p>
    <w:p w14:paraId="25F13747" w14:textId="3AE3C1BC" w:rsidR="009C0630" w:rsidRDefault="009C0630" w:rsidP="009C0630">
      <w:pPr>
        <w:numPr>
          <w:ilvl w:val="0"/>
          <w:numId w:val="338"/>
        </w:numPr>
        <w:spacing w:after="160" w:line="360" w:lineRule="auto"/>
        <w:rPr>
          <w:rFonts w:ascii="Arial" w:hAnsi="Arial" w:cs="Arial"/>
        </w:rPr>
      </w:pPr>
      <w:r w:rsidRPr="009C0630">
        <w:rPr>
          <w:rFonts w:ascii="Arial" w:hAnsi="Arial" w:cs="Arial"/>
        </w:rPr>
        <w:t>Constructivism theories</w:t>
      </w:r>
    </w:p>
    <w:p w14:paraId="52E54DF4" w14:textId="77777777" w:rsidR="009C0630" w:rsidRPr="007625E7" w:rsidRDefault="009C0630" w:rsidP="009C0630">
      <w:pPr>
        <w:numPr>
          <w:ilvl w:val="0"/>
          <w:numId w:val="211"/>
        </w:numPr>
        <w:spacing w:after="160" w:line="360" w:lineRule="auto"/>
        <w:rPr>
          <w:rFonts w:ascii="Arial" w:hAnsi="Arial" w:cs="Arial"/>
          <w:b/>
          <w:bCs/>
        </w:rPr>
      </w:pPr>
      <w:r w:rsidRPr="007625E7">
        <w:rPr>
          <w:rFonts w:ascii="Arial" w:hAnsi="Arial" w:cs="Arial"/>
          <w:b/>
          <w:bCs/>
        </w:rPr>
        <w:t>Behaviourist school of thought approach to learning.</w:t>
      </w:r>
    </w:p>
    <w:p w14:paraId="41EC6401" w14:textId="64F7963F" w:rsidR="009C0630" w:rsidRPr="009C0630" w:rsidRDefault="00E71537" w:rsidP="009C0630">
      <w:pPr>
        <w:spacing w:after="160" w:line="360" w:lineRule="auto"/>
        <w:rPr>
          <w:rFonts w:ascii="Arial" w:hAnsi="Arial" w:cs="Arial"/>
        </w:rPr>
      </w:pPr>
      <w:r w:rsidRPr="00E71537">
        <w:rPr>
          <w:rFonts w:ascii="Arial" w:hAnsi="Arial" w:cs="Arial"/>
        </w:rPr>
        <w:t>The behaviourist is focused on objectively observable and measurable teacher and student behaviour through a stimuli-response framework.</w:t>
      </w:r>
      <w:r>
        <w:rPr>
          <w:rFonts w:ascii="Arial" w:hAnsi="Arial" w:cs="Arial"/>
        </w:rPr>
        <w:t xml:space="preserve"> </w:t>
      </w:r>
      <w:r w:rsidR="009C0630" w:rsidRPr="009C0630">
        <w:rPr>
          <w:rFonts w:ascii="Arial" w:hAnsi="Arial" w:cs="Arial"/>
        </w:rPr>
        <w:t>The</w:t>
      </w:r>
      <w:r>
        <w:rPr>
          <w:rFonts w:ascii="Arial" w:hAnsi="Arial" w:cs="Arial"/>
        </w:rPr>
        <w:t xml:space="preserve">y </w:t>
      </w:r>
      <w:r w:rsidR="009C0630" w:rsidRPr="009C0630">
        <w:rPr>
          <w:rFonts w:ascii="Arial" w:hAnsi="Arial" w:cs="Arial"/>
        </w:rPr>
        <w:t>hold that managers do not behave rationally</w:t>
      </w:r>
      <w:r w:rsidR="00144862">
        <w:rPr>
          <w:rFonts w:ascii="Arial" w:hAnsi="Arial" w:cs="Arial"/>
        </w:rPr>
        <w:t>, and t</w:t>
      </w:r>
      <w:r w:rsidR="009C0630" w:rsidRPr="009C0630">
        <w:rPr>
          <w:rFonts w:ascii="Arial" w:hAnsi="Arial" w:cs="Arial"/>
        </w:rPr>
        <w:t>heir decisions are subject to a complicated mix of emotions, environment</w:t>
      </w:r>
      <w:r w:rsidR="00D51A0D">
        <w:rPr>
          <w:rFonts w:ascii="Arial" w:hAnsi="Arial" w:cs="Arial"/>
        </w:rPr>
        <w:t>, and bias, which</w:t>
      </w:r>
      <w:r w:rsidR="009C0630" w:rsidRPr="009C0630">
        <w:rPr>
          <w:rFonts w:ascii="Arial" w:hAnsi="Arial" w:cs="Arial"/>
        </w:rPr>
        <w:t xml:space="preserve"> may not be in their best interest ( Chappelow, 2018). The behaviourist believes that emotional, psychological, and environmental influences are as strong or stronger than rational consideration of cost and benefits in decision making. Behaviourism assumes that learners are essentially passive and respond to environmental stimuli. The learner is assumed to start with a clean slate</w:t>
      </w:r>
      <w:r w:rsidR="004E5028">
        <w:rPr>
          <w:rFonts w:ascii="Arial" w:hAnsi="Arial" w:cs="Arial"/>
        </w:rPr>
        <w:t>,</w:t>
      </w:r>
      <w:r w:rsidR="009C0630" w:rsidRPr="009C0630">
        <w:rPr>
          <w:rFonts w:ascii="Arial" w:hAnsi="Arial" w:cs="Arial"/>
        </w:rPr>
        <w:t xml:space="preserve"> </w:t>
      </w:r>
      <w:r w:rsidR="001A2690">
        <w:rPr>
          <w:rFonts w:ascii="Arial" w:hAnsi="Arial" w:cs="Arial"/>
        </w:rPr>
        <w:t>which</w:t>
      </w:r>
      <w:r w:rsidR="009C0630" w:rsidRPr="009C0630">
        <w:rPr>
          <w:rFonts w:ascii="Arial" w:hAnsi="Arial" w:cs="Arial"/>
        </w:rPr>
        <w:t xml:space="preserve"> is shaped through positive or negative </w:t>
      </w:r>
      <w:r w:rsidR="009C0630" w:rsidRPr="009C0630">
        <w:rPr>
          <w:rFonts w:ascii="Arial" w:hAnsi="Arial" w:cs="Arial"/>
        </w:rPr>
        <w:lastRenderedPageBreak/>
        <w:t xml:space="preserve">reinforcement. </w:t>
      </w:r>
      <w:r w:rsidR="004E5028">
        <w:rPr>
          <w:rFonts w:ascii="Arial" w:hAnsi="Arial" w:cs="Arial"/>
        </w:rPr>
        <w:t>Many</w:t>
      </w:r>
      <w:r w:rsidR="009C0630" w:rsidRPr="009C0630">
        <w:rPr>
          <w:rFonts w:ascii="Arial" w:hAnsi="Arial" w:cs="Arial"/>
        </w:rPr>
        <w:t xml:space="preserve"> early behaviourist work was done with animals and then generalised to humans (Pavlov, 1927).</w:t>
      </w:r>
    </w:p>
    <w:p w14:paraId="24C55674" w14:textId="4FFFABE7" w:rsidR="009C0630" w:rsidRPr="009C0630" w:rsidRDefault="009C0630" w:rsidP="009C0630">
      <w:pPr>
        <w:spacing w:after="160" w:line="360" w:lineRule="auto"/>
        <w:rPr>
          <w:rFonts w:ascii="Arial" w:hAnsi="Arial" w:cs="Arial"/>
        </w:rPr>
      </w:pPr>
      <w:r w:rsidRPr="009C0630">
        <w:rPr>
          <w:rFonts w:ascii="Arial" w:hAnsi="Arial" w:cs="Arial"/>
        </w:rPr>
        <w:t xml:space="preserve">The behaviourist school of thought is sometimes </w:t>
      </w:r>
      <w:r w:rsidR="001A2690">
        <w:rPr>
          <w:rFonts w:ascii="Arial" w:hAnsi="Arial" w:cs="Arial"/>
        </w:rPr>
        <w:t>called</w:t>
      </w:r>
      <w:r w:rsidRPr="009C0630">
        <w:rPr>
          <w:rFonts w:ascii="Arial" w:hAnsi="Arial" w:cs="Arial"/>
        </w:rPr>
        <w:t xml:space="preserve"> the conditional school of thought or contiguity theory ( Egbu, 1994).  This is because the theory is associated with operant conditioning</w:t>
      </w:r>
      <w:r w:rsidR="00D51A0D">
        <w:rPr>
          <w:rFonts w:ascii="Arial" w:hAnsi="Arial" w:cs="Arial"/>
        </w:rPr>
        <w:t>;</w:t>
      </w:r>
      <w:r w:rsidRPr="009C0630">
        <w:rPr>
          <w:rFonts w:ascii="Arial" w:hAnsi="Arial" w:cs="Arial"/>
        </w:rPr>
        <w:t xml:space="preserve"> hence the learning process is associated with modification through reinforcement or punishment. This </w:t>
      </w:r>
      <w:r w:rsidR="001A2690">
        <w:rPr>
          <w:rFonts w:ascii="Arial" w:hAnsi="Arial" w:cs="Arial"/>
        </w:rPr>
        <w:t>shows</w:t>
      </w:r>
      <w:r w:rsidRPr="009C0630">
        <w:rPr>
          <w:rFonts w:ascii="Arial" w:hAnsi="Arial" w:cs="Arial"/>
        </w:rPr>
        <w:t xml:space="preserve"> that some responses will be rewarded, thus raising the likelihood of such re</w:t>
      </w:r>
      <w:r w:rsidR="001A2690">
        <w:rPr>
          <w:rFonts w:ascii="Arial" w:hAnsi="Arial" w:cs="Arial"/>
        </w:rPr>
        <w:t>action</w:t>
      </w:r>
      <w:r w:rsidRPr="009C0630">
        <w:rPr>
          <w:rFonts w:ascii="Arial" w:hAnsi="Arial" w:cs="Arial"/>
        </w:rPr>
        <w:t xml:space="preserve">s </w:t>
      </w:r>
      <w:r w:rsidR="001A2690">
        <w:rPr>
          <w:rFonts w:ascii="Arial" w:hAnsi="Arial" w:cs="Arial"/>
        </w:rPr>
        <w:t xml:space="preserve">being </w:t>
      </w:r>
      <w:r w:rsidRPr="009C0630">
        <w:rPr>
          <w:rFonts w:ascii="Arial" w:hAnsi="Arial" w:cs="Arial"/>
        </w:rPr>
        <w:t>repeated in the future. This theory could be related to “ carrot and stick” beliefs and policies where responses from the learners are either rewarded or punished.</w:t>
      </w:r>
    </w:p>
    <w:p w14:paraId="5BB0B5E7" w14:textId="09B22957" w:rsidR="000E49AA" w:rsidRDefault="009C0630" w:rsidP="009C0630">
      <w:pPr>
        <w:spacing w:after="160" w:line="360" w:lineRule="auto"/>
        <w:rPr>
          <w:rFonts w:ascii="Arial" w:hAnsi="Arial" w:cs="Arial"/>
        </w:rPr>
      </w:pPr>
      <w:r w:rsidRPr="009C0630">
        <w:rPr>
          <w:rFonts w:ascii="Arial" w:hAnsi="Arial" w:cs="Arial"/>
        </w:rPr>
        <w:t>Burgoyne (1975) argued that this learning process m</w:t>
      </w:r>
      <w:r w:rsidR="000E49AA">
        <w:rPr>
          <w:rFonts w:ascii="Arial" w:hAnsi="Arial" w:cs="Arial"/>
        </w:rPr>
        <w:t>ight</w:t>
      </w:r>
      <w:r w:rsidRPr="009C0630">
        <w:rPr>
          <w:rFonts w:ascii="Arial" w:hAnsi="Arial" w:cs="Arial"/>
        </w:rPr>
        <w:t xml:space="preserve"> be relevant for operation training and not management training ( Egbu, 1994). However, this researcher </w:t>
      </w:r>
      <w:r w:rsidR="001A2690">
        <w:rPr>
          <w:rFonts w:ascii="Arial" w:hAnsi="Arial" w:cs="Arial"/>
        </w:rPr>
        <w:t>believes</w:t>
      </w:r>
      <w:r w:rsidRPr="009C0630">
        <w:rPr>
          <w:rFonts w:ascii="Arial" w:hAnsi="Arial" w:cs="Arial"/>
        </w:rPr>
        <w:t xml:space="preserve"> that this approach to learning will </w:t>
      </w:r>
      <w:r w:rsidR="008C0CCE">
        <w:rPr>
          <w:rFonts w:ascii="Arial" w:hAnsi="Arial" w:cs="Arial"/>
        </w:rPr>
        <w:t>greatly benefit</w:t>
      </w:r>
      <w:r w:rsidRPr="009C0630">
        <w:rPr>
          <w:rFonts w:ascii="Arial" w:hAnsi="Arial" w:cs="Arial"/>
        </w:rPr>
        <w:t xml:space="preserve"> middle and lower-level managers in acquiring knowledge for securing finance for real estate project development</w:t>
      </w:r>
      <w:r w:rsidR="001A2690">
        <w:rPr>
          <w:rFonts w:ascii="Arial" w:hAnsi="Arial" w:cs="Arial"/>
        </w:rPr>
        <w:t xml:space="preserve"> </w:t>
      </w:r>
      <w:r w:rsidRPr="009C0630">
        <w:rPr>
          <w:rFonts w:ascii="Arial" w:hAnsi="Arial" w:cs="Arial"/>
        </w:rPr>
        <w:t xml:space="preserve">because the managers can be rewarded through remunerations and promotions. </w:t>
      </w:r>
    </w:p>
    <w:p w14:paraId="41925CAF" w14:textId="39ED37D5" w:rsidR="009C0630" w:rsidRDefault="009C0630" w:rsidP="009C0630">
      <w:pPr>
        <w:spacing w:after="160" w:line="360" w:lineRule="auto"/>
        <w:rPr>
          <w:rFonts w:ascii="Arial" w:hAnsi="Arial" w:cs="Arial"/>
        </w:rPr>
      </w:pPr>
      <w:r w:rsidRPr="009C0630">
        <w:rPr>
          <w:rFonts w:ascii="Arial" w:hAnsi="Arial" w:cs="Arial"/>
        </w:rPr>
        <w:t>Behaviourism is a teacher-centred instructional framework for a time dominated educational setting</w:t>
      </w:r>
      <w:r w:rsidR="00E71537">
        <w:rPr>
          <w:rFonts w:ascii="Arial" w:hAnsi="Arial" w:cs="Arial"/>
        </w:rPr>
        <w:t>,</w:t>
      </w:r>
      <w:r w:rsidRPr="009C0630">
        <w:rPr>
          <w:rFonts w:ascii="Arial" w:hAnsi="Arial" w:cs="Arial"/>
        </w:rPr>
        <w:t xml:space="preserve"> which is very effective but for the time and financial cost often involved ( Yilmaz, 2011). </w:t>
      </w:r>
    </w:p>
    <w:p w14:paraId="3BE139FB" w14:textId="77777777" w:rsidR="00E71537" w:rsidRPr="009C0630" w:rsidRDefault="00E71537" w:rsidP="009C0630">
      <w:pPr>
        <w:spacing w:after="160" w:line="360" w:lineRule="auto"/>
        <w:rPr>
          <w:rFonts w:ascii="Arial" w:hAnsi="Arial" w:cs="Arial"/>
        </w:rPr>
      </w:pPr>
    </w:p>
    <w:p w14:paraId="26FA766C" w14:textId="77777777" w:rsidR="009C0630" w:rsidRPr="007625E7" w:rsidRDefault="009C0630" w:rsidP="009C0630">
      <w:pPr>
        <w:numPr>
          <w:ilvl w:val="0"/>
          <w:numId w:val="211"/>
        </w:numPr>
        <w:spacing w:after="160" w:line="360" w:lineRule="auto"/>
        <w:rPr>
          <w:rFonts w:ascii="Arial" w:hAnsi="Arial" w:cs="Arial"/>
          <w:b/>
          <w:bCs/>
        </w:rPr>
      </w:pPr>
      <w:r w:rsidRPr="007625E7">
        <w:rPr>
          <w:rFonts w:ascii="Arial" w:hAnsi="Arial" w:cs="Arial"/>
          <w:b/>
          <w:bCs/>
        </w:rPr>
        <w:t>The cognitive school of thought</w:t>
      </w:r>
    </w:p>
    <w:p w14:paraId="719DE6B2" w14:textId="1504E6F9" w:rsidR="009C0630" w:rsidRPr="009C0630" w:rsidRDefault="009C0630" w:rsidP="009C0630">
      <w:pPr>
        <w:spacing w:after="160" w:line="360" w:lineRule="auto"/>
        <w:rPr>
          <w:rFonts w:ascii="Arial" w:hAnsi="Arial" w:cs="Arial"/>
        </w:rPr>
      </w:pPr>
      <w:r w:rsidRPr="009C0630">
        <w:rPr>
          <w:rFonts w:ascii="Arial" w:hAnsi="Arial" w:cs="Arial"/>
        </w:rPr>
        <w:t xml:space="preserve">The cognitive school of thought helps to provide answers to questions that the behavioural school of thought fails to answer. The cognitive school of thought helps explain why and how individuals make sense of and process information, which entails </w:t>
      </w:r>
      <w:r w:rsidR="006A245D">
        <w:rPr>
          <w:rFonts w:ascii="Arial" w:hAnsi="Arial" w:cs="Arial"/>
        </w:rPr>
        <w:t>their mental proces</w:t>
      </w:r>
      <w:r w:rsidRPr="009C0630">
        <w:rPr>
          <w:rFonts w:ascii="Arial" w:hAnsi="Arial" w:cs="Arial"/>
        </w:rPr>
        <w:t>s (Yimaz, 2011). The cognitive learning theory helps to provide solutions to the behavioural school of thought</w:t>
      </w:r>
      <w:r w:rsidR="006F046F">
        <w:rPr>
          <w:rFonts w:ascii="Arial" w:hAnsi="Arial" w:cs="Arial"/>
        </w:rPr>
        <w:t>,</w:t>
      </w:r>
      <w:r w:rsidRPr="009C0630">
        <w:rPr>
          <w:rFonts w:ascii="Arial" w:hAnsi="Arial" w:cs="Arial"/>
        </w:rPr>
        <w:t xml:space="preserve"> which focuses heavily on observable behaviour. </w:t>
      </w:r>
    </w:p>
    <w:p w14:paraId="51A83638" w14:textId="4682A9F1" w:rsidR="009C0630" w:rsidRPr="009C0630" w:rsidRDefault="009C0630" w:rsidP="009C0630">
      <w:pPr>
        <w:spacing w:after="160" w:line="360" w:lineRule="auto"/>
        <w:rPr>
          <w:rFonts w:ascii="Arial" w:hAnsi="Arial" w:cs="Arial"/>
        </w:rPr>
      </w:pPr>
      <w:r w:rsidRPr="009C0630">
        <w:rPr>
          <w:rFonts w:ascii="Arial" w:hAnsi="Arial" w:cs="Arial"/>
        </w:rPr>
        <w:t>The cognitive school of thought is based on the concept that an individual develops and evolves in his understanding based on his experiences</w:t>
      </w:r>
      <w:r w:rsidR="006F046F">
        <w:rPr>
          <w:rFonts w:ascii="Arial" w:hAnsi="Arial" w:cs="Arial"/>
        </w:rPr>
        <w:t>,</w:t>
      </w:r>
      <w:r w:rsidRPr="009C0630">
        <w:rPr>
          <w:rFonts w:ascii="Arial" w:hAnsi="Arial" w:cs="Arial"/>
        </w:rPr>
        <w:t xml:space="preserve"> often communicated through his personal map ( Egbu, 1994). The cognitive school of thought identifies the learner as an active participant in the process of knowledge acquisition and integration. It describes knowledge acquisition as a mental activity involving internal coding and structuring by the learner. It </w:t>
      </w:r>
      <w:r w:rsidR="00E55EFA">
        <w:rPr>
          <w:rFonts w:ascii="Arial" w:hAnsi="Arial" w:cs="Arial"/>
        </w:rPr>
        <w:t>emphasizes</w:t>
      </w:r>
      <w:r w:rsidRPr="009C0630">
        <w:rPr>
          <w:rFonts w:ascii="Arial" w:hAnsi="Arial" w:cs="Arial"/>
        </w:rPr>
        <w:t xml:space="preserve"> what learners know and how they came to acquire knowledge. Cognitive theories are a collection of theories that include Piaget’s theory of individual cognitive development, Vygotsky’s theory of social cognitive growth, Festinger’s cognitive flexibility theory and Tolman’s theory of sign learning as a bridge between behaviourism and cognitive theory (Yilmaz, 2011)</w:t>
      </w:r>
    </w:p>
    <w:p w14:paraId="3D34F06A" w14:textId="3CF56655" w:rsidR="009C0630" w:rsidRPr="009C0630" w:rsidRDefault="009C0630" w:rsidP="009C0630">
      <w:pPr>
        <w:spacing w:after="160" w:line="360" w:lineRule="auto"/>
        <w:rPr>
          <w:rFonts w:ascii="Arial" w:hAnsi="Arial" w:cs="Arial"/>
        </w:rPr>
      </w:pPr>
      <w:r w:rsidRPr="009C0630">
        <w:rPr>
          <w:rFonts w:ascii="Arial" w:hAnsi="Arial" w:cs="Arial"/>
        </w:rPr>
        <w:lastRenderedPageBreak/>
        <w:t>The cognitive approach to learning involves apprenticeship, reciprocal teaching, anchored instruction, inquiry learning, discovery learning and problem-based learning. The cognitive approach to learning is very valuable to managers because it gives them the freedom to process information in different ways that will enhance understanding and retention</w:t>
      </w:r>
      <w:r w:rsidR="005E6303">
        <w:rPr>
          <w:rFonts w:ascii="Arial" w:hAnsi="Arial" w:cs="Arial"/>
        </w:rPr>
        <w:t>,</w:t>
      </w:r>
      <w:r w:rsidRPr="009C0630">
        <w:rPr>
          <w:rFonts w:ascii="Arial" w:hAnsi="Arial" w:cs="Arial"/>
        </w:rPr>
        <w:t xml:space="preserve"> and it necessitates them participating in the learning processes. All theories on which the cognitive school is based emphasise discovery and insight as learning processes. It considers the individual as the scientist of his own experience, developing interpretations of the world in a manner that he understands and can deal with ( Egbu, 1994). The cognitive theory approach </w:t>
      </w:r>
      <w:r w:rsidR="00A5391B">
        <w:rPr>
          <w:rFonts w:ascii="Arial" w:hAnsi="Arial" w:cs="Arial"/>
        </w:rPr>
        <w:t>assists the manager in improving their skills, knowledge, and competences</w:t>
      </w:r>
      <w:r w:rsidRPr="009C0630">
        <w:rPr>
          <w:rFonts w:ascii="Arial" w:hAnsi="Arial" w:cs="Arial"/>
        </w:rPr>
        <w:t xml:space="preserve"> by reflecting and testing them out</w:t>
      </w:r>
      <w:r w:rsidR="005E6303">
        <w:rPr>
          <w:rFonts w:ascii="Arial" w:hAnsi="Arial" w:cs="Arial"/>
        </w:rPr>
        <w:t>.</w:t>
      </w:r>
      <w:r w:rsidRPr="009C0630">
        <w:rPr>
          <w:rFonts w:ascii="Arial" w:hAnsi="Arial" w:cs="Arial"/>
        </w:rPr>
        <w:t xml:space="preserve"> </w:t>
      </w:r>
      <w:r w:rsidR="00A5391B">
        <w:rPr>
          <w:rFonts w:ascii="Arial" w:hAnsi="Arial" w:cs="Arial"/>
        </w:rPr>
        <w:t>Organisations often use a cognitive approach to learning</w:t>
      </w:r>
      <w:r w:rsidRPr="009C0630">
        <w:rPr>
          <w:rFonts w:ascii="Arial" w:hAnsi="Arial" w:cs="Arial"/>
        </w:rPr>
        <w:t xml:space="preserve"> through management development activities they run for their managers</w:t>
      </w:r>
      <w:r w:rsidR="00A5391B">
        <w:rPr>
          <w:rFonts w:ascii="Arial" w:hAnsi="Arial" w:cs="Arial"/>
        </w:rPr>
        <w:t>,</w:t>
      </w:r>
      <w:r w:rsidRPr="009C0630">
        <w:rPr>
          <w:rFonts w:ascii="Arial" w:hAnsi="Arial" w:cs="Arial"/>
        </w:rPr>
        <w:t xml:space="preserve"> often using experienced staff in such sectors as facilitators. </w:t>
      </w:r>
    </w:p>
    <w:p w14:paraId="32F7E5D4" w14:textId="77777777" w:rsidR="009C0630" w:rsidRPr="007625E7" w:rsidRDefault="009C0630" w:rsidP="009C0630">
      <w:pPr>
        <w:numPr>
          <w:ilvl w:val="0"/>
          <w:numId w:val="211"/>
        </w:numPr>
        <w:spacing w:after="160" w:line="360" w:lineRule="auto"/>
        <w:rPr>
          <w:rFonts w:ascii="Arial" w:hAnsi="Arial" w:cs="Arial"/>
          <w:b/>
          <w:bCs/>
        </w:rPr>
      </w:pPr>
      <w:r w:rsidRPr="007625E7">
        <w:rPr>
          <w:rFonts w:ascii="Arial" w:hAnsi="Arial" w:cs="Arial"/>
          <w:b/>
          <w:bCs/>
        </w:rPr>
        <w:t>Constructivist school of thought</w:t>
      </w:r>
    </w:p>
    <w:p w14:paraId="6B38CF41" w14:textId="59F366A6" w:rsidR="009C0630" w:rsidRPr="009C0630" w:rsidRDefault="009C0630" w:rsidP="009C0630">
      <w:pPr>
        <w:spacing w:after="160" w:line="360" w:lineRule="auto"/>
        <w:rPr>
          <w:rFonts w:ascii="Arial" w:hAnsi="Arial" w:cs="Arial"/>
        </w:rPr>
      </w:pPr>
      <w:r w:rsidRPr="00EF5D99">
        <w:rPr>
          <w:rFonts w:ascii="Arial" w:hAnsi="Arial" w:cs="Arial"/>
        </w:rPr>
        <w:t xml:space="preserve">The learner is the constructor of knowledge under this </w:t>
      </w:r>
      <w:r w:rsidR="00A360E7">
        <w:rPr>
          <w:rFonts w:ascii="Arial" w:hAnsi="Arial" w:cs="Arial"/>
        </w:rPr>
        <w:t>learning pattern</w:t>
      </w:r>
      <w:r w:rsidRPr="00EF5D99">
        <w:rPr>
          <w:rFonts w:ascii="Arial" w:hAnsi="Arial" w:cs="Arial"/>
        </w:rPr>
        <w:t>; the teacher can only facilitate or thwart but would not be involved in inventing the knowledge. The focus tends to shift from the teacher to the student, who</w:t>
      </w:r>
      <w:r w:rsidR="00A360E7">
        <w:rPr>
          <w:rFonts w:ascii="Arial" w:hAnsi="Arial" w:cs="Arial"/>
        </w:rPr>
        <w:t>,</w:t>
      </w:r>
      <w:r w:rsidRPr="00EF5D99">
        <w:rPr>
          <w:rFonts w:ascii="Arial" w:hAnsi="Arial" w:cs="Arial"/>
        </w:rPr>
        <w:t xml:space="preserve"> in this case</w:t>
      </w:r>
      <w:r w:rsidR="00EF5D99">
        <w:rPr>
          <w:rFonts w:ascii="Arial" w:hAnsi="Arial" w:cs="Arial"/>
        </w:rPr>
        <w:t>,</w:t>
      </w:r>
      <w:r w:rsidRPr="00EF5D99">
        <w:rPr>
          <w:rFonts w:ascii="Arial" w:hAnsi="Arial" w:cs="Arial"/>
        </w:rPr>
        <w:t xml:space="preserve"> is the manager</w:t>
      </w:r>
      <w:r w:rsidR="00EF5D99">
        <w:rPr>
          <w:rFonts w:ascii="Arial" w:hAnsi="Arial" w:cs="Arial"/>
        </w:rPr>
        <w:t xml:space="preserve">. </w:t>
      </w:r>
      <w:r w:rsidRPr="00EF5D99">
        <w:rPr>
          <w:rFonts w:ascii="Arial" w:hAnsi="Arial" w:cs="Arial"/>
        </w:rPr>
        <w:t>Constructivism is often associated with scien</w:t>
      </w:r>
      <w:r w:rsidR="00A360E7">
        <w:rPr>
          <w:rFonts w:ascii="Arial" w:hAnsi="Arial" w:cs="Arial"/>
        </w:rPr>
        <w:t>tific</w:t>
      </w:r>
      <w:r w:rsidRPr="00EF5D99">
        <w:rPr>
          <w:rFonts w:ascii="Arial" w:hAnsi="Arial" w:cs="Arial"/>
        </w:rPr>
        <w:t xml:space="preserve"> research</w:t>
      </w:r>
      <w:r w:rsidR="00EF5D99">
        <w:rPr>
          <w:rFonts w:ascii="Arial" w:hAnsi="Arial" w:cs="Arial"/>
        </w:rPr>
        <w:t>. T</w:t>
      </w:r>
      <w:r w:rsidRPr="00EF5D99">
        <w:rPr>
          <w:rFonts w:ascii="Arial" w:hAnsi="Arial" w:cs="Arial"/>
        </w:rPr>
        <w:t>he choice of learning strategies for constructivism relate</w:t>
      </w:r>
      <w:r w:rsidR="00EF5D99">
        <w:rPr>
          <w:rFonts w:ascii="Arial" w:hAnsi="Arial" w:cs="Arial"/>
        </w:rPr>
        <w:t>s</w:t>
      </w:r>
      <w:r w:rsidRPr="00EF5D99">
        <w:rPr>
          <w:rFonts w:ascii="Arial" w:hAnsi="Arial" w:cs="Arial"/>
        </w:rPr>
        <w:t xml:space="preserve"> to </w:t>
      </w:r>
      <w:r w:rsidR="00A360E7">
        <w:rPr>
          <w:rFonts w:ascii="Arial" w:hAnsi="Arial" w:cs="Arial"/>
        </w:rPr>
        <w:t xml:space="preserve">the </w:t>
      </w:r>
      <w:r w:rsidRPr="00EF5D99">
        <w:rPr>
          <w:rFonts w:ascii="Arial" w:hAnsi="Arial" w:cs="Arial"/>
        </w:rPr>
        <w:t>discovery, experiential,</w:t>
      </w:r>
      <w:r w:rsidRPr="009C0630">
        <w:rPr>
          <w:rFonts w:ascii="Arial" w:hAnsi="Arial" w:cs="Arial"/>
        </w:rPr>
        <w:t xml:space="preserve"> collaboration, project-based and task-based (Yadav, 2016). The learner constructs their knowledge based on their experiences. Findings show that scientific knowledge is socially constructed and involves both the individuals and the social processes; learning could occur </w:t>
      </w:r>
      <w:r w:rsidR="00A360E7">
        <w:rPr>
          <w:rFonts w:ascii="Arial" w:hAnsi="Arial" w:cs="Arial"/>
        </w:rPr>
        <w:t>employing</w:t>
      </w:r>
      <w:r w:rsidRPr="009C0630">
        <w:rPr>
          <w:rFonts w:ascii="Arial" w:hAnsi="Arial" w:cs="Arial"/>
        </w:rPr>
        <w:t xml:space="preserve"> peer interaction/collaboration (Umida et al</w:t>
      </w:r>
      <w:r w:rsidR="00A360E7">
        <w:rPr>
          <w:rFonts w:ascii="Arial" w:hAnsi="Arial" w:cs="Arial"/>
        </w:rPr>
        <w:t xml:space="preserve">., </w:t>
      </w:r>
      <w:r w:rsidRPr="009C0630">
        <w:rPr>
          <w:rFonts w:ascii="Arial" w:hAnsi="Arial" w:cs="Arial"/>
        </w:rPr>
        <w:t>2020).</w:t>
      </w:r>
    </w:p>
    <w:p w14:paraId="60161FD9" w14:textId="35176A41" w:rsidR="009C0630" w:rsidRDefault="009C0630" w:rsidP="009C0630">
      <w:pPr>
        <w:spacing w:after="160" w:line="360" w:lineRule="auto"/>
        <w:rPr>
          <w:rFonts w:ascii="Arial" w:hAnsi="Arial" w:cs="Arial"/>
        </w:rPr>
      </w:pPr>
      <w:r w:rsidRPr="009C0630">
        <w:rPr>
          <w:rFonts w:ascii="Arial" w:hAnsi="Arial" w:cs="Arial"/>
        </w:rPr>
        <w:t xml:space="preserve">The behavioural, cognitive and constructivist learning theories </w:t>
      </w:r>
      <w:r w:rsidR="00C82C2E">
        <w:rPr>
          <w:rFonts w:ascii="Arial" w:hAnsi="Arial" w:cs="Arial"/>
        </w:rPr>
        <w:t xml:space="preserve">explain how different managers acquire, retain and recall knowledge. Understanding </w:t>
      </w:r>
      <w:r w:rsidR="0013335E">
        <w:rPr>
          <w:rFonts w:ascii="Arial" w:hAnsi="Arial" w:cs="Arial"/>
        </w:rPr>
        <w:t>several</w:t>
      </w:r>
      <w:r w:rsidR="00C82C2E">
        <w:rPr>
          <w:rFonts w:ascii="Arial" w:hAnsi="Arial" w:cs="Arial"/>
        </w:rPr>
        <w:t xml:space="preserve"> learning styles will also be beneficial to developing</w:t>
      </w:r>
      <w:r w:rsidRPr="009C0630">
        <w:rPr>
          <w:rFonts w:ascii="Arial" w:hAnsi="Arial" w:cs="Arial"/>
        </w:rPr>
        <w:t xml:space="preserve"> the framework for training and education for managers involved in securing finance for real estate project development.</w:t>
      </w:r>
      <w:r w:rsidR="00E358C9">
        <w:rPr>
          <w:rFonts w:ascii="Arial" w:hAnsi="Arial" w:cs="Arial"/>
        </w:rPr>
        <w:t xml:space="preserve"> </w:t>
      </w:r>
      <w:r w:rsidR="00E358C9" w:rsidRPr="00E358C9">
        <w:rPr>
          <w:rFonts w:ascii="Arial" w:hAnsi="Arial" w:cs="Arial"/>
        </w:rPr>
        <w:t>The</w:t>
      </w:r>
      <w:r w:rsidR="00E358C9">
        <w:rPr>
          <w:rFonts w:ascii="Arial" w:hAnsi="Arial" w:cs="Arial"/>
        </w:rPr>
        <w:t>se theories</w:t>
      </w:r>
      <w:r w:rsidR="00E358C9" w:rsidRPr="00E358C9">
        <w:rPr>
          <w:rFonts w:ascii="Arial" w:hAnsi="Arial" w:cs="Arial"/>
        </w:rPr>
        <w:t xml:space="preserve"> will assist in developing the framework for training and education for securing finance for real estate project development in chapter 9.</w:t>
      </w:r>
    </w:p>
    <w:p w14:paraId="4BD0A112" w14:textId="77777777" w:rsidR="009C0630" w:rsidRPr="007625E7" w:rsidRDefault="009C0630" w:rsidP="009C0630">
      <w:pPr>
        <w:spacing w:after="160" w:line="360" w:lineRule="auto"/>
        <w:rPr>
          <w:rFonts w:ascii="Arial" w:hAnsi="Arial" w:cs="Arial"/>
          <w:b/>
          <w:bCs/>
          <w:i/>
          <w:iCs/>
        </w:rPr>
      </w:pPr>
      <w:r w:rsidRPr="007625E7">
        <w:rPr>
          <w:rFonts w:ascii="Arial" w:hAnsi="Arial" w:cs="Arial"/>
          <w:b/>
          <w:bCs/>
          <w:i/>
          <w:iCs/>
        </w:rPr>
        <w:t>Learning styles of managers</w:t>
      </w:r>
    </w:p>
    <w:p w14:paraId="6D2029CB" w14:textId="53C87A7F" w:rsidR="009C0630" w:rsidRPr="009C0630" w:rsidRDefault="0013335E" w:rsidP="009C0630">
      <w:pPr>
        <w:spacing w:after="160" w:line="360" w:lineRule="auto"/>
        <w:rPr>
          <w:rFonts w:ascii="Arial" w:hAnsi="Arial" w:cs="Arial"/>
        </w:rPr>
      </w:pPr>
      <w:r>
        <w:rPr>
          <w:rFonts w:ascii="Arial" w:hAnsi="Arial" w:cs="Arial"/>
        </w:rPr>
        <w:t>Several</w:t>
      </w:r>
      <w:r w:rsidR="009C0630" w:rsidRPr="009C0630">
        <w:rPr>
          <w:rFonts w:ascii="Arial" w:hAnsi="Arial" w:cs="Arial"/>
        </w:rPr>
        <w:t xml:space="preserve"> studies have been conducted that assist managers learn about their jobs. This study will use an experiential learning cycle (Kolb,1976) and Gibbs reflective cycle (Gibbs</w:t>
      </w:r>
      <w:r w:rsidR="001C09FF">
        <w:rPr>
          <w:rFonts w:ascii="Arial" w:hAnsi="Arial" w:cs="Arial"/>
        </w:rPr>
        <w:t>,</w:t>
      </w:r>
      <w:r w:rsidR="009C0630" w:rsidRPr="009C0630">
        <w:rPr>
          <w:rFonts w:ascii="Arial" w:hAnsi="Arial" w:cs="Arial"/>
        </w:rPr>
        <w:t xml:space="preserve"> 1998) to discuss how managers learn to do their work. Kolb’s experiential learning cycle argued that information is transformed into knowledge through reflection, done through a reasoned analysis (Cherry and Jacob, 2005). Kolb’s experiential learning cycle is a great tool because </w:t>
      </w:r>
      <w:r w:rsidR="009C0630" w:rsidRPr="009C0630">
        <w:rPr>
          <w:rFonts w:ascii="Arial" w:hAnsi="Arial" w:cs="Arial"/>
        </w:rPr>
        <w:lastRenderedPageBreak/>
        <w:t>it enables managers to view learning as a four-step process that involves experiencing, reflecting, conceptualising and creatively experimenting ( Lu et al., 2007).</w:t>
      </w:r>
    </w:p>
    <w:p w14:paraId="05F04257" w14:textId="77777777" w:rsidR="009C0630" w:rsidRPr="009C0630" w:rsidRDefault="009C0630" w:rsidP="009C0630">
      <w:pPr>
        <w:spacing w:after="160" w:line="360" w:lineRule="auto"/>
        <w:rPr>
          <w:rFonts w:ascii="Arial" w:hAnsi="Arial" w:cs="Arial"/>
        </w:rPr>
      </w:pPr>
      <w:r w:rsidRPr="009C0630">
        <w:rPr>
          <w:rFonts w:ascii="Arial" w:hAnsi="Arial" w:cs="Arial"/>
        </w:rPr>
        <w:t xml:space="preserve">  </w:t>
      </w:r>
    </w:p>
    <w:p w14:paraId="6D2DC52A" w14:textId="77777777" w:rsidR="009C0630" w:rsidRPr="009C0630" w:rsidRDefault="009C0630" w:rsidP="009C0630">
      <w:pPr>
        <w:spacing w:after="160" w:line="360" w:lineRule="auto"/>
        <w:rPr>
          <w:rFonts w:ascii="Arial" w:hAnsi="Arial" w:cs="Arial"/>
        </w:rPr>
      </w:pPr>
    </w:p>
    <w:p w14:paraId="0FF1D9FE" w14:textId="77777777" w:rsidR="009C0630" w:rsidRPr="009C0630" w:rsidRDefault="009C0630" w:rsidP="009C0630">
      <w:pPr>
        <w:spacing w:after="160" w:line="360" w:lineRule="auto"/>
        <w:rPr>
          <w:rFonts w:ascii="Arial" w:hAnsi="Arial" w:cs="Arial"/>
        </w:rPr>
      </w:pPr>
      <w:r w:rsidRPr="009C0630">
        <w:rPr>
          <w:rFonts w:ascii="Arial" w:hAnsi="Arial" w:cs="Arial"/>
          <w:noProof/>
        </w:rPr>
        <w:drawing>
          <wp:inline distT="0" distB="0" distL="0" distR="0" wp14:anchorId="70459A5F" wp14:editId="4D175A92">
            <wp:extent cx="5731364" cy="2609088"/>
            <wp:effectExtent l="0" t="0" r="3175" b="1270"/>
            <wp:docPr id="7" name="Picture 7" descr="The Kolb learning cycle (Kolb et al., 1974 cited in Armst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olb learning cycle (Kolb et al., 1974 cited in Armstron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003" cy="2615752"/>
                    </a:xfrm>
                    <a:prstGeom prst="rect">
                      <a:avLst/>
                    </a:prstGeom>
                    <a:noFill/>
                    <a:ln>
                      <a:noFill/>
                    </a:ln>
                  </pic:spPr>
                </pic:pic>
              </a:graphicData>
            </a:graphic>
          </wp:inline>
        </w:drawing>
      </w:r>
    </w:p>
    <w:p w14:paraId="4C4490F5" w14:textId="27FDBABB" w:rsidR="009C0630" w:rsidRPr="009C0630" w:rsidRDefault="009C0630" w:rsidP="009C0630">
      <w:pPr>
        <w:spacing w:after="160" w:line="360" w:lineRule="auto"/>
        <w:rPr>
          <w:rFonts w:ascii="Arial" w:hAnsi="Arial" w:cs="Arial"/>
          <w:i/>
          <w:iCs/>
        </w:rPr>
      </w:pPr>
      <w:bookmarkStart w:id="786" w:name="_Toc78739570"/>
      <w:r w:rsidRPr="009C0630">
        <w:rPr>
          <w:rFonts w:ascii="Arial" w:hAnsi="Arial" w:cs="Arial"/>
          <w:i/>
          <w:iCs/>
        </w:rPr>
        <w:t xml:space="preserve">Figure </w:t>
      </w:r>
      <w:r w:rsidRPr="009C0630">
        <w:rPr>
          <w:rFonts w:ascii="Arial" w:hAnsi="Arial" w:cs="Arial"/>
          <w:i/>
          <w:iCs/>
        </w:rPr>
        <w:fldChar w:fldCharType="begin"/>
      </w:r>
      <w:r w:rsidRPr="009C0630">
        <w:rPr>
          <w:rFonts w:ascii="Arial" w:hAnsi="Arial" w:cs="Arial"/>
          <w:i/>
          <w:iCs/>
        </w:rPr>
        <w:instrText xml:space="preserve"> STYLEREF 2 \s </w:instrText>
      </w:r>
      <w:r w:rsidRPr="009C0630">
        <w:rPr>
          <w:rFonts w:ascii="Arial" w:hAnsi="Arial" w:cs="Arial"/>
          <w:i/>
          <w:iCs/>
        </w:rPr>
        <w:fldChar w:fldCharType="separate"/>
      </w:r>
      <w:r w:rsidRPr="009C0630">
        <w:rPr>
          <w:rFonts w:ascii="Arial" w:hAnsi="Arial" w:cs="Arial"/>
          <w:i/>
          <w:iCs/>
        </w:rPr>
        <w:t>9.3</w:t>
      </w:r>
      <w:r w:rsidRPr="009C0630">
        <w:rPr>
          <w:rFonts w:ascii="Arial" w:hAnsi="Arial" w:cs="Arial"/>
        </w:rPr>
        <w:fldChar w:fldCharType="end"/>
      </w:r>
      <w:r w:rsidRPr="009C0630">
        <w:rPr>
          <w:rFonts w:ascii="Arial" w:hAnsi="Arial" w:cs="Arial"/>
          <w:i/>
          <w:iCs/>
        </w:rPr>
        <w:noBreakHyphen/>
      </w:r>
      <w:r w:rsidRPr="009C0630">
        <w:rPr>
          <w:rFonts w:ascii="Arial" w:hAnsi="Arial" w:cs="Arial"/>
          <w:i/>
          <w:iCs/>
        </w:rPr>
        <w:fldChar w:fldCharType="begin"/>
      </w:r>
      <w:r w:rsidRPr="009C0630">
        <w:rPr>
          <w:rFonts w:ascii="Arial" w:hAnsi="Arial" w:cs="Arial"/>
          <w:i/>
          <w:iCs/>
        </w:rPr>
        <w:instrText xml:space="preserve"> SEQ Figure \* ARABIC \s 2 </w:instrText>
      </w:r>
      <w:r w:rsidRPr="009C0630">
        <w:rPr>
          <w:rFonts w:ascii="Arial" w:hAnsi="Arial" w:cs="Arial"/>
          <w:i/>
          <w:iCs/>
        </w:rPr>
        <w:fldChar w:fldCharType="separate"/>
      </w:r>
      <w:r w:rsidRPr="009C0630">
        <w:rPr>
          <w:rFonts w:ascii="Arial" w:hAnsi="Arial" w:cs="Arial"/>
          <w:i/>
          <w:iCs/>
        </w:rPr>
        <w:t>1</w:t>
      </w:r>
      <w:r w:rsidRPr="009C0630">
        <w:rPr>
          <w:rFonts w:ascii="Arial" w:hAnsi="Arial" w:cs="Arial"/>
        </w:rPr>
        <w:fldChar w:fldCharType="end"/>
      </w:r>
      <w:r w:rsidRPr="009C0630">
        <w:rPr>
          <w:rFonts w:ascii="Arial" w:hAnsi="Arial" w:cs="Arial"/>
          <w:i/>
          <w:iCs/>
        </w:rPr>
        <w:t>: Kolb learning cycle ( Kolb 1976)</w:t>
      </w:r>
      <w:bookmarkEnd w:id="786"/>
    </w:p>
    <w:p w14:paraId="7D79DCDE" w14:textId="6FCFC853" w:rsidR="009C0630" w:rsidRPr="009C0630" w:rsidRDefault="009C0630" w:rsidP="009C0630">
      <w:pPr>
        <w:spacing w:after="160" w:line="360" w:lineRule="auto"/>
        <w:rPr>
          <w:rFonts w:ascii="Arial" w:hAnsi="Arial" w:cs="Arial"/>
        </w:rPr>
      </w:pPr>
      <w:r w:rsidRPr="009C0630">
        <w:rPr>
          <w:rFonts w:ascii="Arial" w:hAnsi="Arial" w:cs="Arial"/>
        </w:rPr>
        <w:t xml:space="preserve">Kolb’s experiential learning theory works on two levels: the first level is a four-stage </w:t>
      </w:r>
      <w:r w:rsidR="00C82C2E">
        <w:rPr>
          <w:rFonts w:ascii="Arial" w:hAnsi="Arial" w:cs="Arial"/>
        </w:rPr>
        <w:t>learning cycle, and the second is</w:t>
      </w:r>
      <w:r w:rsidRPr="009C0630">
        <w:rPr>
          <w:rFonts w:ascii="Arial" w:hAnsi="Arial" w:cs="Arial"/>
        </w:rPr>
        <w:t xml:space="preserve"> four separate learning styles. The learning cycle involves four stages which are concrete learning, reflective observation, abstract conceptualization and active experimentation. The learner/ manager can enter the cycle from any stage</w:t>
      </w:r>
      <w:r w:rsidR="003A142B">
        <w:rPr>
          <w:rFonts w:ascii="Arial" w:hAnsi="Arial" w:cs="Arial"/>
        </w:rPr>
        <w:t>,</w:t>
      </w:r>
      <w:r w:rsidRPr="009C0630">
        <w:rPr>
          <w:rFonts w:ascii="Arial" w:hAnsi="Arial" w:cs="Arial"/>
        </w:rPr>
        <w:t xml:space="preserve"> and effective learning is seen when the manager progresses through the cycle. These four learning stages on a two-dimensional scale are based on how a person perceives and processe</w:t>
      </w:r>
      <w:r w:rsidR="00A312C4">
        <w:rPr>
          <w:rFonts w:ascii="Arial" w:hAnsi="Arial" w:cs="Arial"/>
        </w:rPr>
        <w:t>s</w:t>
      </w:r>
      <w:r w:rsidRPr="009C0630">
        <w:rPr>
          <w:rFonts w:ascii="Arial" w:hAnsi="Arial" w:cs="Arial"/>
        </w:rPr>
        <w:t xml:space="preserve"> knowledge. How a person perceive</w:t>
      </w:r>
      <w:r w:rsidR="00A312C4">
        <w:rPr>
          <w:rFonts w:ascii="Arial" w:hAnsi="Arial" w:cs="Arial"/>
        </w:rPr>
        <w:t>s</w:t>
      </w:r>
      <w:r w:rsidRPr="009C0630">
        <w:rPr>
          <w:rFonts w:ascii="Arial" w:hAnsi="Arial" w:cs="Arial"/>
        </w:rPr>
        <w:t xml:space="preserve"> information is classified as concrete experience or abstract conceptualisation, and how a person processe</w:t>
      </w:r>
      <w:r w:rsidR="003A142B">
        <w:rPr>
          <w:rFonts w:ascii="Arial" w:hAnsi="Arial" w:cs="Arial"/>
        </w:rPr>
        <w:t>s</w:t>
      </w:r>
      <w:r w:rsidRPr="009C0630">
        <w:rPr>
          <w:rFonts w:ascii="Arial" w:hAnsi="Arial" w:cs="Arial"/>
        </w:rPr>
        <w:t xml:space="preserve"> information is classified as active experimentation or reflective observation ( Lu et al., 2007).</w:t>
      </w:r>
    </w:p>
    <w:p w14:paraId="471B36FF" w14:textId="155727B0" w:rsidR="009C0630" w:rsidRPr="009C0630" w:rsidRDefault="009C0630" w:rsidP="009C0630">
      <w:pPr>
        <w:spacing w:after="160" w:line="360" w:lineRule="auto"/>
        <w:rPr>
          <w:rFonts w:ascii="Arial" w:hAnsi="Arial" w:cs="Arial"/>
        </w:rPr>
      </w:pPr>
      <w:r w:rsidRPr="009C0630">
        <w:rPr>
          <w:rFonts w:ascii="Arial" w:hAnsi="Arial" w:cs="Arial"/>
        </w:rPr>
        <w:t xml:space="preserve">The first stage of experiential learning, which is concrete learning, indicates the learner encountering a new experience or reinterpreting an existing experience. This is followed by the reflective observation where the learner reflects on the experience on a personal basis. The third stage is abstract conceptualisation. The learner forms new ideas and or modifies existing </w:t>
      </w:r>
      <w:r w:rsidR="00C82C2E">
        <w:rPr>
          <w:rFonts w:ascii="Arial" w:hAnsi="Arial" w:cs="Arial"/>
        </w:rPr>
        <w:t>ones based on the reflection</w:t>
      </w:r>
      <w:r w:rsidRPr="009C0630">
        <w:rPr>
          <w:rFonts w:ascii="Arial" w:hAnsi="Arial" w:cs="Arial"/>
        </w:rPr>
        <w:t xml:space="preserve"> from the second stage, the reflective observation stage.  The last stage is the experimentation stage, where the learner applies the new ideas to his work to see if modifications will be needed (Kolb, 1985).</w:t>
      </w:r>
    </w:p>
    <w:p w14:paraId="7A19A256" w14:textId="3B921F60" w:rsidR="009C0630" w:rsidRPr="009C0630" w:rsidRDefault="009C0630" w:rsidP="009C0630">
      <w:pPr>
        <w:spacing w:after="160" w:line="360" w:lineRule="auto"/>
        <w:rPr>
          <w:rFonts w:ascii="Arial" w:hAnsi="Arial" w:cs="Arial"/>
        </w:rPr>
      </w:pPr>
      <w:r w:rsidRPr="009C0630">
        <w:rPr>
          <w:rFonts w:ascii="Arial" w:hAnsi="Arial" w:cs="Arial"/>
        </w:rPr>
        <w:t xml:space="preserve">The discussion on learning styles goes to show that individual managers differ in how they learn. Hence managers need to access the learner styles they can best fit in.  The Kolb </w:t>
      </w:r>
      <w:r w:rsidRPr="009C0630">
        <w:rPr>
          <w:rFonts w:ascii="Arial" w:hAnsi="Arial" w:cs="Arial"/>
        </w:rPr>
        <w:lastRenderedPageBreak/>
        <w:t>learning style is also divided into four</w:t>
      </w:r>
      <w:r w:rsidR="00C82C2E">
        <w:rPr>
          <w:rFonts w:ascii="Arial" w:hAnsi="Arial" w:cs="Arial"/>
        </w:rPr>
        <w:t>,</w:t>
      </w:r>
      <w:r w:rsidRPr="009C0630">
        <w:rPr>
          <w:rFonts w:ascii="Arial" w:hAnsi="Arial" w:cs="Arial"/>
        </w:rPr>
        <w:t xml:space="preserve"> and it interprets the different ways people learn ( see figure 30).  The different styles are diverging, assimilating, converging and accommodating. Diverge applies to individuals who have a broad interest in different cultures and people and a   strong imagination capacity; they are emotionally strong and prefer watching to doing. They prefer to work in groups and are open-minded to taking feedback. They learn through creating and generating new ideas and imagining new possibilities.  Their learning characteristic is of concrete experience and reflective observation. The Assimilators are people who are very analytical and who prefer clear</w:t>
      </w:r>
      <w:r w:rsidR="00043179">
        <w:rPr>
          <w:rFonts w:ascii="Arial" w:hAnsi="Arial" w:cs="Arial"/>
        </w:rPr>
        <w:t>,</w:t>
      </w:r>
      <w:r w:rsidRPr="009C0630">
        <w:rPr>
          <w:rFonts w:ascii="Arial" w:hAnsi="Arial" w:cs="Arial"/>
        </w:rPr>
        <w:t xml:space="preserve"> logical information. Their characteristics include abstract conceptualization and reflective observation. The Assimilators tend to focus less on people and more on ideas and abstract concepts that are logical and reliable but not necessarily practical.  While the Convergers are types of managers that tend to solve problems practically and are decision-makers who appear not to be emotional. They </w:t>
      </w:r>
      <w:r w:rsidR="00043179">
        <w:rPr>
          <w:rFonts w:ascii="Arial" w:hAnsi="Arial" w:cs="Arial"/>
        </w:rPr>
        <w:t>can</w:t>
      </w:r>
      <w:r w:rsidRPr="009C0630">
        <w:rPr>
          <w:rFonts w:ascii="Arial" w:hAnsi="Arial" w:cs="Arial"/>
        </w:rPr>
        <w:t xml:space="preserve"> apply their learning to the practical</w:t>
      </w:r>
      <w:r w:rsidR="009C1005">
        <w:rPr>
          <w:rFonts w:ascii="Arial" w:hAnsi="Arial" w:cs="Arial"/>
        </w:rPr>
        <w:t>;</w:t>
      </w:r>
      <w:r w:rsidRPr="009C0630">
        <w:rPr>
          <w:rFonts w:ascii="Arial" w:hAnsi="Arial" w:cs="Arial"/>
        </w:rPr>
        <w:t xml:space="preserve"> thus</w:t>
      </w:r>
      <w:r w:rsidR="009C1005">
        <w:rPr>
          <w:rFonts w:ascii="Arial" w:hAnsi="Arial" w:cs="Arial"/>
        </w:rPr>
        <w:t>,</w:t>
      </w:r>
      <w:r w:rsidRPr="009C0630">
        <w:rPr>
          <w:rFonts w:ascii="Arial" w:hAnsi="Arial" w:cs="Arial"/>
        </w:rPr>
        <w:t xml:space="preserve"> they prefer technical tasks and tend to experiment with new ideas. Their learning characteristics are abstract conceptualisation and active experimentation. Finally, the Accommodators show initiative and are willing to take risks. It is a learning style that involves individuals that prefer practicality. They do not avoid challenges and often solve problems intuitively</w:t>
      </w:r>
      <w:r w:rsidR="009C1005">
        <w:rPr>
          <w:rFonts w:ascii="Arial" w:hAnsi="Arial" w:cs="Arial"/>
        </w:rPr>
        <w:t>,</w:t>
      </w:r>
      <w:r w:rsidRPr="009C0630">
        <w:rPr>
          <w:rFonts w:ascii="Arial" w:hAnsi="Arial" w:cs="Arial"/>
        </w:rPr>
        <w:t xml:space="preserve"> and their learning characteristics are experience and active experimentation. This </w:t>
      </w:r>
      <w:r w:rsidR="009C1005">
        <w:rPr>
          <w:rFonts w:ascii="Arial" w:hAnsi="Arial" w:cs="Arial"/>
        </w:rPr>
        <w:t>shows that the learning styles that managers should use</w:t>
      </w:r>
      <w:r w:rsidRPr="009C0630">
        <w:rPr>
          <w:rFonts w:ascii="Arial" w:hAnsi="Arial" w:cs="Arial"/>
        </w:rPr>
        <w:t xml:space="preserve"> should involve integrated, interactive and active teaching strategies as opposed to traditional methods (Kemp &amp; Kruger, 2019).</w:t>
      </w:r>
    </w:p>
    <w:p w14:paraId="4475A4F1" w14:textId="3998EE77" w:rsidR="009C0630" w:rsidRPr="009C0630" w:rsidRDefault="009C0630" w:rsidP="009C0630">
      <w:pPr>
        <w:spacing w:after="160" w:line="360" w:lineRule="auto"/>
        <w:rPr>
          <w:rFonts w:ascii="Arial" w:hAnsi="Arial" w:cs="Arial"/>
        </w:rPr>
      </w:pPr>
      <w:r w:rsidRPr="009C0630">
        <w:rPr>
          <w:rFonts w:ascii="Arial" w:hAnsi="Arial" w:cs="Arial"/>
        </w:rPr>
        <w:t>The Gibbs reflective cycle (1988) also gives structure to learning from experience. It offers a framework for learning through different stages and making sense of an experience. It covers this in six stages</w:t>
      </w:r>
      <w:r w:rsidR="009C1005">
        <w:rPr>
          <w:rFonts w:ascii="Arial" w:hAnsi="Arial" w:cs="Arial"/>
        </w:rPr>
        <w:t>: a description of the experience, feelings and thoughts about the experience, evaluation of the experience, analysing to make sense of the experience, conclusion,</w:t>
      </w:r>
      <w:r w:rsidRPr="009C0630">
        <w:rPr>
          <w:rFonts w:ascii="Arial" w:hAnsi="Arial" w:cs="Arial"/>
        </w:rPr>
        <w:t xml:space="preserve"> and action plans (Potter, 2015).</w:t>
      </w:r>
    </w:p>
    <w:p w14:paraId="5EF48989" w14:textId="2B220F18" w:rsidR="00CD6352" w:rsidRPr="005549B0" w:rsidRDefault="00CD6352" w:rsidP="00CD6352">
      <w:pPr>
        <w:spacing w:line="360" w:lineRule="auto"/>
        <w:jc w:val="both"/>
        <w:rPr>
          <w:rStyle w:val="Strong"/>
          <w:rFonts w:ascii="Arial" w:hAnsi="Arial" w:cs="Arial"/>
          <w:i/>
          <w:iCs/>
        </w:rPr>
      </w:pPr>
      <w:bookmarkStart w:id="787" w:name="_Toc8053644"/>
      <w:bookmarkStart w:id="788" w:name="_Toc9615105"/>
      <w:r w:rsidRPr="005549B0">
        <w:rPr>
          <w:rStyle w:val="Strong"/>
          <w:rFonts w:ascii="Arial" w:hAnsi="Arial" w:cs="Arial"/>
          <w:i/>
          <w:iCs/>
        </w:rPr>
        <w:t xml:space="preserve">Types of education and training required by </w:t>
      </w:r>
      <w:bookmarkEnd w:id="787"/>
      <w:bookmarkEnd w:id="788"/>
      <w:r w:rsidR="0042586E" w:rsidRPr="005549B0">
        <w:rPr>
          <w:rStyle w:val="Strong"/>
          <w:rFonts w:ascii="Arial" w:hAnsi="Arial" w:cs="Arial"/>
          <w:i/>
          <w:iCs/>
        </w:rPr>
        <w:t>Managers.</w:t>
      </w:r>
    </w:p>
    <w:p w14:paraId="664D43D4" w14:textId="64A1162E" w:rsidR="00CD6352" w:rsidRPr="00EA7665" w:rsidRDefault="00CD6352" w:rsidP="00CD6352">
      <w:pPr>
        <w:spacing w:line="360" w:lineRule="auto"/>
        <w:jc w:val="both"/>
        <w:rPr>
          <w:rFonts w:ascii="Arial" w:hAnsi="Arial" w:cs="Arial"/>
        </w:rPr>
      </w:pPr>
      <w:r w:rsidRPr="00EA7665">
        <w:rPr>
          <w:rFonts w:ascii="Arial" w:hAnsi="Arial" w:cs="Arial"/>
        </w:rPr>
        <w:t>There is a need for increas</w:t>
      </w:r>
      <w:r>
        <w:rPr>
          <w:rFonts w:ascii="Arial" w:hAnsi="Arial" w:cs="Arial"/>
        </w:rPr>
        <w:t>ed</w:t>
      </w:r>
      <w:r w:rsidRPr="00EA7665">
        <w:rPr>
          <w:rFonts w:ascii="Arial" w:hAnsi="Arial" w:cs="Arial"/>
        </w:rPr>
        <w:t xml:space="preserve"> and continued management training and education to update managers of changing concepts, skills, knowledge, and competences</w:t>
      </w:r>
      <w:r w:rsidR="00BB6C67">
        <w:rPr>
          <w:rFonts w:ascii="Arial" w:hAnsi="Arial" w:cs="Arial"/>
        </w:rPr>
        <w:t xml:space="preserve">. </w:t>
      </w:r>
      <w:r w:rsidRPr="00EA7665">
        <w:rPr>
          <w:rFonts w:ascii="Arial" w:hAnsi="Arial" w:cs="Arial"/>
          <w:lang w:val="en-US"/>
        </w:rPr>
        <w:t>According to UNESCO-UNEP, interdisciplinary is an extensive environmental education</w:t>
      </w:r>
      <w:r>
        <w:rPr>
          <w:rFonts w:ascii="Arial" w:hAnsi="Arial" w:cs="Arial"/>
          <w:lang w:val="en-US"/>
        </w:rPr>
        <w:t xml:space="preserve"> that</w:t>
      </w:r>
      <w:r w:rsidRPr="00EA7665">
        <w:rPr>
          <w:rFonts w:ascii="Arial" w:hAnsi="Arial" w:cs="Arial"/>
          <w:lang w:val="en-US"/>
        </w:rPr>
        <w:t xml:space="preserve"> brings together teachers and learners in all disciplines (</w:t>
      </w:r>
      <w:r w:rsidRPr="00EA7665">
        <w:rPr>
          <w:rFonts w:ascii="Arial" w:hAnsi="Arial" w:cs="Arial"/>
        </w:rPr>
        <w:t xml:space="preserve">Stephen, 1999). </w:t>
      </w:r>
      <w:r w:rsidRPr="00EA7665">
        <w:rPr>
          <w:rFonts w:ascii="Arial" w:hAnsi="Arial" w:cs="Arial"/>
          <w:lang w:val="en-US"/>
        </w:rPr>
        <w:t xml:space="preserve"> </w:t>
      </w:r>
      <w:r w:rsidRPr="00EA7665">
        <w:rPr>
          <w:rFonts w:ascii="Arial" w:hAnsi="Arial" w:cs="Arial"/>
        </w:rPr>
        <w:t>Cultural competence of living abroad cannot be taught</w:t>
      </w:r>
      <w:r w:rsidR="00BB6C67">
        <w:rPr>
          <w:rFonts w:ascii="Arial" w:hAnsi="Arial" w:cs="Arial"/>
        </w:rPr>
        <w:t xml:space="preserve">, </w:t>
      </w:r>
      <w:r w:rsidRPr="00EA7665">
        <w:rPr>
          <w:rFonts w:ascii="Arial" w:hAnsi="Arial" w:cs="Arial"/>
        </w:rPr>
        <w:t>but international exposure could be considered part of the postgraduate and undergraduate curriculum. The</w:t>
      </w:r>
      <w:r w:rsidR="00497BED">
        <w:rPr>
          <w:rFonts w:ascii="Arial" w:hAnsi="Arial" w:cs="Arial"/>
        </w:rPr>
        <w:t>se</w:t>
      </w:r>
      <w:r w:rsidRPr="00EA7665">
        <w:rPr>
          <w:rFonts w:ascii="Arial" w:hAnsi="Arial" w:cs="Arial"/>
        </w:rPr>
        <w:t xml:space="preserve"> skills can be achieved through international job experience (Thorp, 1996).  Saari et al. (1988)</w:t>
      </w:r>
      <w:r w:rsidR="00497BED">
        <w:rPr>
          <w:rFonts w:ascii="Arial" w:hAnsi="Arial" w:cs="Arial"/>
        </w:rPr>
        <w:t>,</w:t>
      </w:r>
      <w:r w:rsidRPr="00EA7665">
        <w:rPr>
          <w:rFonts w:ascii="Arial" w:hAnsi="Arial" w:cs="Arial"/>
        </w:rPr>
        <w:t xml:space="preserve"> in their work titled, “ a survey of management training and education practices in U.S companies” where they administered questionnaires to 1000 </w:t>
      </w:r>
      <w:r w:rsidRPr="00EA7665">
        <w:rPr>
          <w:rFonts w:ascii="Arial" w:hAnsi="Arial" w:cs="Arial"/>
        </w:rPr>
        <w:lastRenderedPageBreak/>
        <w:t>companies in the US with  responses from 611 participants, classified major program approaches of management’s training and education into the following:</w:t>
      </w:r>
    </w:p>
    <w:p w14:paraId="3D300DE8" w14:textId="77777777" w:rsidR="00CD6352" w:rsidRPr="00EA7665" w:rsidRDefault="00CD6352" w:rsidP="00C74AEC">
      <w:pPr>
        <w:numPr>
          <w:ilvl w:val="0"/>
          <w:numId w:val="84"/>
        </w:numPr>
        <w:spacing w:after="0" w:line="360" w:lineRule="auto"/>
        <w:jc w:val="both"/>
        <w:rPr>
          <w:rFonts w:ascii="Arial" w:hAnsi="Arial" w:cs="Arial"/>
        </w:rPr>
      </w:pPr>
      <w:r w:rsidRPr="00EA7665">
        <w:rPr>
          <w:rFonts w:ascii="Arial" w:hAnsi="Arial" w:cs="Arial"/>
        </w:rPr>
        <w:t>University residential –the full-time residential program of one to 14 weeks offered by universities.</w:t>
      </w:r>
    </w:p>
    <w:p w14:paraId="77925AB7" w14:textId="70842861" w:rsidR="00CD6352" w:rsidRPr="00EA7665" w:rsidRDefault="00CD6352" w:rsidP="00C74AEC">
      <w:pPr>
        <w:numPr>
          <w:ilvl w:val="0"/>
          <w:numId w:val="84"/>
        </w:numPr>
        <w:spacing w:after="0" w:line="360" w:lineRule="auto"/>
        <w:jc w:val="both"/>
        <w:rPr>
          <w:rFonts w:ascii="Arial" w:hAnsi="Arial" w:cs="Arial"/>
        </w:rPr>
      </w:pPr>
      <w:r w:rsidRPr="00EA7665">
        <w:rPr>
          <w:rFonts w:ascii="Arial" w:hAnsi="Arial" w:cs="Arial"/>
        </w:rPr>
        <w:t>Executive MBA degree</w:t>
      </w:r>
      <w:r w:rsidR="002148BE">
        <w:rPr>
          <w:rFonts w:ascii="Arial" w:hAnsi="Arial" w:cs="Arial"/>
        </w:rPr>
        <w:t xml:space="preserve"> </w:t>
      </w:r>
      <w:r w:rsidRPr="00EA7665">
        <w:rPr>
          <w:rFonts w:ascii="Arial" w:hAnsi="Arial" w:cs="Arial"/>
        </w:rPr>
        <w:t xml:space="preserve">granting programs offered by universities for more experienced participants, with classes on the weekend or one day in a week, and usually a week residence at the beginning and end of the </w:t>
      </w:r>
      <w:r w:rsidR="0042586E" w:rsidRPr="00EA7665">
        <w:rPr>
          <w:rFonts w:ascii="Arial" w:hAnsi="Arial" w:cs="Arial"/>
        </w:rPr>
        <w:t>program.</w:t>
      </w:r>
    </w:p>
    <w:p w14:paraId="44AF0BBA" w14:textId="12998A7D" w:rsidR="00CD6352" w:rsidRPr="00EA7665" w:rsidRDefault="00CD6352" w:rsidP="00C74AEC">
      <w:pPr>
        <w:numPr>
          <w:ilvl w:val="0"/>
          <w:numId w:val="84"/>
        </w:numPr>
        <w:spacing w:after="0" w:line="360" w:lineRule="auto"/>
        <w:jc w:val="both"/>
        <w:rPr>
          <w:rFonts w:ascii="Arial" w:hAnsi="Arial" w:cs="Arial"/>
        </w:rPr>
      </w:pPr>
      <w:r w:rsidRPr="00EA7665">
        <w:rPr>
          <w:rFonts w:ascii="Arial" w:hAnsi="Arial" w:cs="Arial"/>
        </w:rPr>
        <w:t xml:space="preserve">Short course- open –enrolment programs of one to three days offered by consultants, universities, or industry </w:t>
      </w:r>
      <w:r w:rsidR="0042586E" w:rsidRPr="00EA7665">
        <w:rPr>
          <w:rFonts w:ascii="Arial" w:hAnsi="Arial" w:cs="Arial"/>
        </w:rPr>
        <w:t>associations.</w:t>
      </w:r>
    </w:p>
    <w:p w14:paraId="0A61B21E" w14:textId="57A0B40C" w:rsidR="00CD6352" w:rsidRPr="00EA7665" w:rsidRDefault="00CD6352" w:rsidP="00C74AEC">
      <w:pPr>
        <w:numPr>
          <w:ilvl w:val="0"/>
          <w:numId w:val="84"/>
        </w:numPr>
        <w:spacing w:after="0" w:line="360" w:lineRule="auto"/>
        <w:jc w:val="both"/>
        <w:rPr>
          <w:rFonts w:ascii="Arial" w:hAnsi="Arial" w:cs="Arial"/>
        </w:rPr>
      </w:pPr>
      <w:r w:rsidRPr="00EA7665">
        <w:rPr>
          <w:rFonts w:ascii="Arial" w:hAnsi="Arial" w:cs="Arial"/>
        </w:rPr>
        <w:t>Company-specific</w:t>
      </w:r>
      <w:r w:rsidR="0072240F">
        <w:rPr>
          <w:rFonts w:ascii="Arial" w:hAnsi="Arial" w:cs="Arial"/>
        </w:rPr>
        <w:t xml:space="preserve"> </w:t>
      </w:r>
      <w:r w:rsidRPr="00EA7665">
        <w:rPr>
          <w:rFonts w:ascii="Arial" w:hAnsi="Arial" w:cs="Arial"/>
        </w:rPr>
        <w:t>programs designed explicitly for and attended by a company’s participants; this is sometimes in-house; they could also be off-site or developed by external consultants specifically for the company.</w:t>
      </w:r>
    </w:p>
    <w:p w14:paraId="60FAF0AE" w14:textId="1144FF08" w:rsidR="00CD6352" w:rsidRPr="00EA7665" w:rsidRDefault="00CD6352" w:rsidP="00CD6352">
      <w:pPr>
        <w:spacing w:line="360" w:lineRule="auto"/>
        <w:jc w:val="both"/>
        <w:rPr>
          <w:rFonts w:ascii="Arial" w:hAnsi="Arial" w:cs="Arial"/>
        </w:rPr>
      </w:pPr>
      <w:r w:rsidRPr="00EA7665">
        <w:rPr>
          <w:rFonts w:ascii="Arial" w:hAnsi="Arial" w:cs="Arial"/>
        </w:rPr>
        <w:t xml:space="preserve">R. Kane (1986) introduced five kinds of approaches to training and </w:t>
      </w:r>
      <w:r w:rsidR="00766AF6" w:rsidRPr="00EA7665">
        <w:rPr>
          <w:rFonts w:ascii="Arial" w:hAnsi="Arial" w:cs="Arial"/>
        </w:rPr>
        <w:t>develop</w:t>
      </w:r>
      <w:r w:rsidR="00907918">
        <w:rPr>
          <w:rFonts w:ascii="Arial" w:hAnsi="Arial" w:cs="Arial"/>
        </w:rPr>
        <w:t>ing</w:t>
      </w:r>
      <w:r w:rsidR="00766AF6">
        <w:rPr>
          <w:rFonts w:ascii="Arial" w:hAnsi="Arial" w:cs="Arial"/>
        </w:rPr>
        <w:t xml:space="preserve"> </w:t>
      </w:r>
      <w:r w:rsidR="00766AF6" w:rsidRPr="00EA7665">
        <w:rPr>
          <w:rFonts w:ascii="Arial" w:hAnsi="Arial" w:cs="Arial"/>
        </w:rPr>
        <w:t>individuals</w:t>
      </w:r>
      <w:r w:rsidRPr="00EA7665">
        <w:rPr>
          <w:rFonts w:ascii="Arial" w:hAnsi="Arial" w:cs="Arial"/>
        </w:rPr>
        <w:t xml:space="preserve"> at different levels of organisations need (Al-fadli, 1990).  These approaches vary according to the </w:t>
      </w:r>
      <w:r w:rsidR="00C63C5A">
        <w:rPr>
          <w:rFonts w:ascii="Arial" w:hAnsi="Arial" w:cs="Arial"/>
        </w:rPr>
        <w:t>organisation's size and characteristics</w:t>
      </w:r>
      <w:r w:rsidRPr="00EA7665">
        <w:rPr>
          <w:rFonts w:ascii="Arial" w:hAnsi="Arial" w:cs="Arial"/>
        </w:rPr>
        <w:t xml:space="preserve">. These approaches are as follows: </w:t>
      </w:r>
    </w:p>
    <w:p w14:paraId="15F01D81" w14:textId="77777777" w:rsidR="00CD6352" w:rsidRPr="00EA7665" w:rsidRDefault="00CD6352" w:rsidP="00C74AEC">
      <w:pPr>
        <w:numPr>
          <w:ilvl w:val="0"/>
          <w:numId w:val="85"/>
        </w:numPr>
        <w:spacing w:after="0" w:line="360" w:lineRule="auto"/>
        <w:jc w:val="both"/>
        <w:rPr>
          <w:rFonts w:ascii="Arial" w:hAnsi="Arial" w:cs="Arial"/>
        </w:rPr>
      </w:pPr>
      <w:r w:rsidRPr="00EA7665">
        <w:rPr>
          <w:rFonts w:ascii="Arial" w:hAnsi="Arial" w:cs="Arial"/>
        </w:rPr>
        <w:t>Ostrich approach</w:t>
      </w:r>
    </w:p>
    <w:p w14:paraId="37A88C9F" w14:textId="77777777" w:rsidR="00CD6352" w:rsidRPr="00EA7665" w:rsidRDefault="00CD6352" w:rsidP="00C74AEC">
      <w:pPr>
        <w:numPr>
          <w:ilvl w:val="0"/>
          <w:numId w:val="85"/>
        </w:numPr>
        <w:spacing w:after="0" w:line="360" w:lineRule="auto"/>
        <w:jc w:val="both"/>
        <w:rPr>
          <w:rFonts w:ascii="Arial" w:hAnsi="Arial" w:cs="Arial"/>
        </w:rPr>
      </w:pPr>
      <w:r w:rsidRPr="00EA7665">
        <w:rPr>
          <w:rFonts w:ascii="Arial" w:hAnsi="Arial" w:cs="Arial"/>
        </w:rPr>
        <w:t xml:space="preserve">Cafeteria approach </w:t>
      </w:r>
    </w:p>
    <w:p w14:paraId="5827706C" w14:textId="77777777" w:rsidR="00CD6352" w:rsidRPr="00EA7665" w:rsidRDefault="00CD6352" w:rsidP="00C74AEC">
      <w:pPr>
        <w:numPr>
          <w:ilvl w:val="0"/>
          <w:numId w:val="85"/>
        </w:numPr>
        <w:spacing w:after="0" w:line="360" w:lineRule="auto"/>
        <w:jc w:val="both"/>
        <w:rPr>
          <w:rFonts w:ascii="Arial" w:hAnsi="Arial" w:cs="Arial"/>
        </w:rPr>
      </w:pPr>
      <w:r w:rsidRPr="00EA7665">
        <w:rPr>
          <w:rFonts w:ascii="Arial" w:hAnsi="Arial" w:cs="Arial"/>
        </w:rPr>
        <w:t>The individual-oriented approach</w:t>
      </w:r>
    </w:p>
    <w:p w14:paraId="7C10D611" w14:textId="77777777" w:rsidR="00CD6352" w:rsidRPr="00EA7665" w:rsidRDefault="00CD6352" w:rsidP="00C74AEC">
      <w:pPr>
        <w:numPr>
          <w:ilvl w:val="0"/>
          <w:numId w:val="85"/>
        </w:numPr>
        <w:spacing w:after="0" w:line="360" w:lineRule="auto"/>
        <w:jc w:val="both"/>
        <w:rPr>
          <w:rFonts w:ascii="Arial" w:hAnsi="Arial" w:cs="Arial"/>
        </w:rPr>
      </w:pPr>
      <w:r w:rsidRPr="00EA7665">
        <w:rPr>
          <w:rFonts w:ascii="Arial" w:hAnsi="Arial" w:cs="Arial"/>
        </w:rPr>
        <w:t>The result-oriented approach</w:t>
      </w:r>
    </w:p>
    <w:p w14:paraId="2CF14D87" w14:textId="77777777" w:rsidR="00CD6352" w:rsidRPr="00EA7665" w:rsidRDefault="00CD6352" w:rsidP="00C74AEC">
      <w:pPr>
        <w:numPr>
          <w:ilvl w:val="0"/>
          <w:numId w:val="85"/>
        </w:numPr>
        <w:spacing w:after="0" w:line="360" w:lineRule="auto"/>
        <w:jc w:val="both"/>
        <w:rPr>
          <w:rFonts w:ascii="Arial" w:hAnsi="Arial" w:cs="Arial"/>
        </w:rPr>
      </w:pPr>
      <w:r w:rsidRPr="00EA7665">
        <w:rPr>
          <w:rFonts w:ascii="Arial" w:hAnsi="Arial" w:cs="Arial"/>
        </w:rPr>
        <w:t>The human resource planning approach</w:t>
      </w:r>
    </w:p>
    <w:p w14:paraId="4037F78E" w14:textId="67DA2E59" w:rsidR="00CD6352" w:rsidRPr="00EA7665" w:rsidRDefault="00CD6352" w:rsidP="00CD6352">
      <w:pPr>
        <w:spacing w:line="360" w:lineRule="auto"/>
        <w:jc w:val="both"/>
        <w:rPr>
          <w:rFonts w:ascii="Arial" w:hAnsi="Arial" w:cs="Arial"/>
        </w:rPr>
      </w:pPr>
      <w:r w:rsidRPr="00EA7665">
        <w:rPr>
          <w:rFonts w:ascii="Arial" w:hAnsi="Arial" w:cs="Arial"/>
        </w:rPr>
        <w:t>The Ostrich approach entails the training of new members on their jobs in an organisation. The direct superior could accomplish this process on the job, which is to provide the individuals, methods, tasks, and procedures for the execution of the job. To this extent, the training process is generally the work of a supervisor. Th</w:t>
      </w:r>
      <w:r w:rsidR="00183FF4">
        <w:rPr>
          <w:rFonts w:ascii="Arial" w:hAnsi="Arial" w:cs="Arial"/>
        </w:rPr>
        <w:t>ough a good platform for training, this approach</w:t>
      </w:r>
      <w:r w:rsidRPr="00EA7665">
        <w:rPr>
          <w:rFonts w:ascii="Arial" w:hAnsi="Arial" w:cs="Arial"/>
        </w:rPr>
        <w:t xml:space="preserve"> does not meet the futuristic needs of the organisation because of the increasingly changing circumstances. </w:t>
      </w:r>
    </w:p>
    <w:p w14:paraId="3E20CF50" w14:textId="7FD168EB" w:rsidR="00CD6352" w:rsidRPr="00EA7665" w:rsidRDefault="00CD6352" w:rsidP="00CD6352">
      <w:pPr>
        <w:spacing w:line="360" w:lineRule="auto"/>
        <w:jc w:val="both"/>
        <w:rPr>
          <w:rFonts w:ascii="Arial" w:hAnsi="Arial" w:cs="Arial"/>
        </w:rPr>
      </w:pPr>
      <w:r w:rsidRPr="00EA7665">
        <w:rPr>
          <w:rFonts w:ascii="Arial" w:hAnsi="Arial" w:cs="Arial"/>
        </w:rPr>
        <w:t xml:space="preserve">The second approach, the Cafeteria approach, is also the responsibility of the supervisor. However, this approach offers individuals some freedom to </w:t>
      </w:r>
      <w:r w:rsidR="00C63C5A">
        <w:rPr>
          <w:rFonts w:ascii="Arial" w:hAnsi="Arial" w:cs="Arial"/>
        </w:rPr>
        <w:t>select one of the available training courses to join them</w:t>
      </w:r>
      <w:r w:rsidRPr="00EA7665">
        <w:rPr>
          <w:rFonts w:ascii="Arial" w:hAnsi="Arial" w:cs="Arial"/>
        </w:rPr>
        <w:t xml:space="preserve">. Using this approach, training and development programs might influence an individual’s effectiveness and promotion or might not be used at all. </w:t>
      </w:r>
      <w:r w:rsidR="00766AF6" w:rsidRPr="00EA7665">
        <w:rPr>
          <w:rFonts w:ascii="Arial" w:hAnsi="Arial" w:cs="Arial"/>
        </w:rPr>
        <w:t>However, the</w:t>
      </w:r>
      <w:r w:rsidRPr="00EA7665">
        <w:rPr>
          <w:rFonts w:ascii="Arial" w:hAnsi="Arial" w:cs="Arial"/>
        </w:rPr>
        <w:t xml:space="preserve"> salient importance is that it gives individuals the opportunity and freedom to grow and develop their abilities through available training programs.</w:t>
      </w:r>
    </w:p>
    <w:p w14:paraId="0BBE09E8" w14:textId="164F4AA0" w:rsidR="00CD6352" w:rsidRPr="00EA7665" w:rsidRDefault="00CD6352" w:rsidP="00CD6352">
      <w:pPr>
        <w:spacing w:line="360" w:lineRule="auto"/>
        <w:jc w:val="both"/>
        <w:rPr>
          <w:rFonts w:ascii="Arial" w:hAnsi="Arial" w:cs="Arial"/>
        </w:rPr>
      </w:pPr>
      <w:r w:rsidRPr="00EA7665">
        <w:rPr>
          <w:rFonts w:ascii="Arial" w:hAnsi="Arial" w:cs="Arial"/>
        </w:rPr>
        <w:t>The third approach, individual development, provide a</w:t>
      </w:r>
      <w:r w:rsidR="00A5753D">
        <w:rPr>
          <w:rFonts w:ascii="Arial" w:hAnsi="Arial" w:cs="Arial"/>
        </w:rPr>
        <w:t xml:space="preserve"> favourable</w:t>
      </w:r>
      <w:r w:rsidRPr="00EA7665">
        <w:rPr>
          <w:rFonts w:ascii="Arial" w:hAnsi="Arial" w:cs="Arial"/>
        </w:rPr>
        <w:t xml:space="preserve"> climate for acquiring specific knowledge and skills and knowledge. This approach fundamentally provides feedback information on </w:t>
      </w:r>
      <w:r w:rsidR="00026BE4">
        <w:rPr>
          <w:rFonts w:ascii="Arial" w:hAnsi="Arial" w:cs="Arial"/>
        </w:rPr>
        <w:t xml:space="preserve">the </w:t>
      </w:r>
      <w:r w:rsidR="00C63C5A">
        <w:rPr>
          <w:rFonts w:ascii="Arial" w:hAnsi="Arial" w:cs="Arial"/>
        </w:rPr>
        <w:t xml:space="preserve">individual's performances, which sets a basis for determining the extent to </w:t>
      </w:r>
      <w:r w:rsidR="00C63C5A">
        <w:rPr>
          <w:rFonts w:ascii="Arial" w:hAnsi="Arial" w:cs="Arial"/>
        </w:rPr>
        <w:lastRenderedPageBreak/>
        <w:t>which training programs are needed for the job's performance</w:t>
      </w:r>
      <w:r w:rsidRPr="00EA7665">
        <w:rPr>
          <w:rFonts w:ascii="Arial" w:hAnsi="Arial" w:cs="Arial"/>
        </w:rPr>
        <w:t xml:space="preserve">. The fourth approach, which is a result-oriented approach, is related to three fundamental aspects determining the needs, costs of training and development application, turnover expected from them and well-determining priorities.  This approach essentially deals with diagnosing current problems to provide appropriate solutions to them; it concentrates more on groups than </w:t>
      </w:r>
      <w:r w:rsidR="00766AF6" w:rsidRPr="00EA7665">
        <w:rPr>
          <w:rFonts w:ascii="Arial" w:hAnsi="Arial" w:cs="Arial"/>
        </w:rPr>
        <w:t>individuals in</w:t>
      </w:r>
      <w:r w:rsidRPr="00EA7665">
        <w:rPr>
          <w:rFonts w:ascii="Arial" w:hAnsi="Arial" w:cs="Arial"/>
        </w:rPr>
        <w:t xml:space="preserve"> the organisation, and it deals with the present reality more than the future. </w:t>
      </w:r>
    </w:p>
    <w:p w14:paraId="148EB498" w14:textId="06FAEDD7" w:rsidR="00CD6352" w:rsidRDefault="00CD6352" w:rsidP="00CD6352">
      <w:pPr>
        <w:spacing w:line="360" w:lineRule="auto"/>
        <w:jc w:val="both"/>
        <w:rPr>
          <w:rFonts w:ascii="Arial" w:hAnsi="Arial" w:cs="Arial"/>
        </w:rPr>
      </w:pPr>
      <w:r w:rsidRPr="00EA7665">
        <w:rPr>
          <w:rFonts w:ascii="Arial" w:hAnsi="Arial" w:cs="Arial"/>
        </w:rPr>
        <w:t xml:space="preserve">The fifth is the human resources approach, which entails understanding change and the importance of preparing individuals in the </w:t>
      </w:r>
      <w:r w:rsidR="00766AF6" w:rsidRPr="00EA7665">
        <w:rPr>
          <w:rFonts w:ascii="Arial" w:hAnsi="Arial" w:cs="Arial"/>
        </w:rPr>
        <w:t xml:space="preserve">organisation </w:t>
      </w:r>
      <w:r w:rsidRPr="00EA7665">
        <w:rPr>
          <w:rFonts w:ascii="Arial" w:hAnsi="Arial" w:cs="Arial"/>
        </w:rPr>
        <w:t>to face the challenge</w:t>
      </w:r>
      <w:r>
        <w:rPr>
          <w:rFonts w:ascii="Arial" w:hAnsi="Arial" w:cs="Arial"/>
        </w:rPr>
        <w:t>s ahead</w:t>
      </w:r>
      <w:r w:rsidRPr="00EA7665">
        <w:rPr>
          <w:rFonts w:ascii="Arial" w:hAnsi="Arial" w:cs="Arial"/>
        </w:rPr>
        <w:t xml:space="preserve">. In this approach, the direct supervisor is expected to identify the problems and specify </w:t>
      </w:r>
      <w:r w:rsidR="005F66A6">
        <w:rPr>
          <w:rFonts w:ascii="Arial" w:hAnsi="Arial" w:cs="Arial"/>
        </w:rPr>
        <w:t>the necessary programs and activities</w:t>
      </w:r>
      <w:r w:rsidRPr="00EA7665">
        <w:rPr>
          <w:rFonts w:ascii="Arial" w:hAnsi="Arial" w:cs="Arial"/>
        </w:rPr>
        <w:t xml:space="preserve"> to solv</w:t>
      </w:r>
      <w:r>
        <w:rPr>
          <w:rFonts w:ascii="Arial" w:hAnsi="Arial" w:cs="Arial"/>
        </w:rPr>
        <w:t>e</w:t>
      </w:r>
      <w:r w:rsidRPr="00EA7665">
        <w:rPr>
          <w:rFonts w:ascii="Arial" w:hAnsi="Arial" w:cs="Arial"/>
        </w:rPr>
        <w:t xml:space="preserve"> the problems. This approach is strongly connected with promotion systems in training and development programs that will influence future performances without neglecting the present.</w:t>
      </w:r>
    </w:p>
    <w:p w14:paraId="41B2DE3F" w14:textId="50A769C1" w:rsidR="00CD6352" w:rsidRPr="00EA7665" w:rsidRDefault="00CD6352" w:rsidP="00CD6352">
      <w:pPr>
        <w:spacing w:line="360" w:lineRule="auto"/>
        <w:jc w:val="both"/>
        <w:rPr>
          <w:rFonts w:ascii="Arial" w:hAnsi="Arial" w:cs="Arial"/>
        </w:rPr>
      </w:pPr>
      <w:r w:rsidRPr="0042586E">
        <w:rPr>
          <w:rFonts w:ascii="Arial" w:hAnsi="Arial" w:cs="Arial"/>
        </w:rPr>
        <w:t xml:space="preserve">The next segment of this study discusses the </w:t>
      </w:r>
      <w:r w:rsidR="00473F74">
        <w:rPr>
          <w:rFonts w:ascii="Arial" w:hAnsi="Arial" w:cs="Arial"/>
        </w:rPr>
        <w:t xml:space="preserve">development of </w:t>
      </w:r>
      <w:r w:rsidR="0004689D">
        <w:rPr>
          <w:rFonts w:ascii="Arial" w:hAnsi="Arial" w:cs="Arial"/>
        </w:rPr>
        <w:t>the initial</w:t>
      </w:r>
      <w:r w:rsidR="005549B0">
        <w:rPr>
          <w:rFonts w:ascii="Arial" w:hAnsi="Arial" w:cs="Arial"/>
        </w:rPr>
        <w:t xml:space="preserve"> </w:t>
      </w:r>
      <w:r w:rsidRPr="0042586E">
        <w:rPr>
          <w:rFonts w:ascii="Arial" w:hAnsi="Arial" w:cs="Arial"/>
        </w:rPr>
        <w:t xml:space="preserve">conceptual </w:t>
      </w:r>
      <w:r w:rsidR="0004689D">
        <w:rPr>
          <w:rFonts w:ascii="Arial" w:hAnsi="Arial" w:cs="Arial"/>
        </w:rPr>
        <w:t xml:space="preserve">model </w:t>
      </w:r>
      <w:r w:rsidRPr="0042586E">
        <w:rPr>
          <w:rFonts w:ascii="Arial" w:hAnsi="Arial" w:cs="Arial"/>
        </w:rPr>
        <w:t>for securing finance for real estate project development</w:t>
      </w:r>
      <w:r w:rsidR="0004689D">
        <w:rPr>
          <w:rFonts w:ascii="Arial" w:hAnsi="Arial" w:cs="Arial"/>
        </w:rPr>
        <w:t>,</w:t>
      </w:r>
      <w:r w:rsidRPr="0042586E">
        <w:rPr>
          <w:rFonts w:ascii="Arial" w:hAnsi="Arial" w:cs="Arial"/>
        </w:rPr>
        <w:t xml:space="preserve"> </w:t>
      </w:r>
      <w:r w:rsidR="00473F74">
        <w:rPr>
          <w:rFonts w:ascii="Arial" w:hAnsi="Arial" w:cs="Arial"/>
        </w:rPr>
        <w:t xml:space="preserve">also known as </w:t>
      </w:r>
      <w:r w:rsidRPr="0042586E">
        <w:rPr>
          <w:rFonts w:ascii="Arial" w:hAnsi="Arial" w:cs="Arial"/>
        </w:rPr>
        <w:t>the toolkit for securing finance for real estate project development.</w:t>
      </w:r>
      <w:r w:rsidR="00FB343E">
        <w:rPr>
          <w:rFonts w:ascii="Arial" w:hAnsi="Arial" w:cs="Arial"/>
        </w:rPr>
        <w:t xml:space="preserve"> The main toolkit for securing finance for real estate project development is </w:t>
      </w:r>
      <w:r w:rsidR="005F66A6">
        <w:rPr>
          <w:rFonts w:ascii="Arial" w:hAnsi="Arial" w:cs="Arial"/>
        </w:rPr>
        <w:t>discussed in</w:t>
      </w:r>
      <w:r w:rsidR="00FB343E">
        <w:rPr>
          <w:rFonts w:ascii="Arial" w:hAnsi="Arial" w:cs="Arial"/>
        </w:rPr>
        <w:t xml:space="preserve"> Chapter 10</w:t>
      </w:r>
      <w:r w:rsidR="005F66A6">
        <w:rPr>
          <w:rFonts w:ascii="Arial" w:hAnsi="Arial" w:cs="Arial"/>
        </w:rPr>
        <w:t>, while the individual components of the toolkit are discussed in chapters 5, 6, 7, 8 and 9.</w:t>
      </w:r>
    </w:p>
    <w:p w14:paraId="0604E51E" w14:textId="43F10372" w:rsidR="00CD6352" w:rsidRPr="00EA7665" w:rsidRDefault="00CD6352" w:rsidP="00CD6352">
      <w:pPr>
        <w:pStyle w:val="Heading2"/>
        <w:spacing w:after="240"/>
        <w:rPr>
          <w:sz w:val="22"/>
          <w:szCs w:val="22"/>
        </w:rPr>
      </w:pPr>
      <w:bookmarkStart w:id="789" w:name="_Toc78983805"/>
      <w:r w:rsidRPr="00EA7665">
        <w:rPr>
          <w:sz w:val="22"/>
          <w:szCs w:val="22"/>
        </w:rPr>
        <w:t xml:space="preserve">The conceptual </w:t>
      </w:r>
      <w:r w:rsidR="004547C0">
        <w:rPr>
          <w:sz w:val="22"/>
          <w:szCs w:val="22"/>
        </w:rPr>
        <w:t xml:space="preserve">model </w:t>
      </w:r>
      <w:r w:rsidRPr="00EA7665">
        <w:rPr>
          <w:sz w:val="22"/>
          <w:szCs w:val="22"/>
        </w:rPr>
        <w:t>for securing finance for real estate project development</w:t>
      </w:r>
      <w:bookmarkEnd w:id="789"/>
      <w:r w:rsidRPr="00EA7665">
        <w:rPr>
          <w:sz w:val="22"/>
          <w:szCs w:val="22"/>
        </w:rPr>
        <w:t xml:space="preserve"> </w:t>
      </w:r>
    </w:p>
    <w:p w14:paraId="04D6554B" w14:textId="78B0304E" w:rsidR="00CD6352" w:rsidRPr="00EA7665" w:rsidRDefault="00FB6897" w:rsidP="00CD6352">
      <w:pPr>
        <w:spacing w:line="360" w:lineRule="auto"/>
        <w:jc w:val="both"/>
        <w:rPr>
          <w:rFonts w:ascii="Arial" w:hAnsi="Arial" w:cs="Arial"/>
        </w:rPr>
      </w:pPr>
      <w:r>
        <w:rPr>
          <w:rFonts w:ascii="Arial" w:hAnsi="Arial" w:cs="Arial"/>
        </w:rPr>
        <w:t>This section discusses the fifth objective</w:t>
      </w:r>
      <w:r w:rsidR="001C60A7">
        <w:rPr>
          <w:rFonts w:ascii="Arial" w:hAnsi="Arial" w:cs="Arial"/>
        </w:rPr>
        <w:t>,</w:t>
      </w:r>
      <w:r>
        <w:rPr>
          <w:rFonts w:ascii="Arial" w:hAnsi="Arial" w:cs="Arial"/>
        </w:rPr>
        <w:t xml:space="preserve"> “t</w:t>
      </w:r>
      <w:r w:rsidRPr="00BF1C35">
        <w:rPr>
          <w:rFonts w:ascii="Arial" w:hAnsi="Arial" w:cs="Arial"/>
        </w:rPr>
        <w:t xml:space="preserve">o </w:t>
      </w:r>
      <w:r w:rsidR="00D3067F" w:rsidRPr="00D3067F">
        <w:rPr>
          <w:rFonts w:ascii="Arial" w:hAnsi="Arial" w:cs="Arial"/>
        </w:rPr>
        <w:t>integrate the different components of the tool kit for securing finance for real estate project development.</w:t>
      </w:r>
      <w:r w:rsidR="00982006">
        <w:rPr>
          <w:rFonts w:ascii="Arial" w:hAnsi="Arial" w:cs="Arial"/>
        </w:rPr>
        <w:t>”</w:t>
      </w:r>
      <w:r w:rsidR="007C3042">
        <w:rPr>
          <w:rFonts w:ascii="Arial" w:hAnsi="Arial" w:cs="Arial"/>
        </w:rPr>
        <w:t xml:space="preserve"> t</w:t>
      </w:r>
      <w:r w:rsidR="00CD6352" w:rsidRPr="00EA7665">
        <w:rPr>
          <w:rFonts w:ascii="Arial" w:hAnsi="Arial" w:cs="Arial"/>
        </w:rPr>
        <w:t>o provide a guide to support the manager in securing finance for real estate project development. A model enables the researcher to generate a series of questions that could be applied for empirical testing</w:t>
      </w:r>
      <w:r w:rsidR="00CD6352">
        <w:rPr>
          <w:rFonts w:ascii="Arial" w:hAnsi="Arial" w:cs="Arial"/>
        </w:rPr>
        <w:t xml:space="preserve"> </w:t>
      </w:r>
      <w:r w:rsidR="007D5DD5">
        <w:rPr>
          <w:rFonts w:ascii="Arial" w:hAnsi="Arial" w:cs="Arial"/>
        </w:rPr>
        <w:t>(Javelin</w:t>
      </w:r>
      <w:r w:rsidR="00CD6352">
        <w:rPr>
          <w:rFonts w:ascii="Arial" w:hAnsi="Arial" w:cs="Arial"/>
        </w:rPr>
        <w:t xml:space="preserve"> and Wilson, 2003; Zin, 2013)</w:t>
      </w:r>
      <w:r w:rsidR="00CD6352" w:rsidRPr="00EA7665">
        <w:rPr>
          <w:rFonts w:ascii="Arial" w:hAnsi="Arial" w:cs="Arial"/>
        </w:rPr>
        <w:t>. The model facilitates the adoption of tools to understand the process</w:t>
      </w:r>
      <w:r w:rsidR="00CD6352">
        <w:rPr>
          <w:rFonts w:ascii="Arial" w:hAnsi="Arial" w:cs="Arial"/>
        </w:rPr>
        <w:t>es</w:t>
      </w:r>
      <w:r w:rsidR="00CD6352" w:rsidRPr="00EA7665">
        <w:rPr>
          <w:rFonts w:ascii="Arial" w:hAnsi="Arial" w:cs="Arial"/>
        </w:rPr>
        <w:t xml:space="preserve"> of securing finance for real estate project development and </w:t>
      </w:r>
      <w:r w:rsidR="00CD6352">
        <w:rPr>
          <w:rFonts w:ascii="Arial" w:hAnsi="Arial" w:cs="Arial"/>
        </w:rPr>
        <w:t xml:space="preserve">the </w:t>
      </w:r>
      <w:r w:rsidR="00A74C1D">
        <w:rPr>
          <w:rFonts w:ascii="Arial" w:hAnsi="Arial" w:cs="Arial"/>
        </w:rPr>
        <w:t>skills, knowledge, competences, career path, training, and education the manager need</w:t>
      </w:r>
      <w:r w:rsidR="00CD6352" w:rsidRPr="00EA7665">
        <w:rPr>
          <w:rFonts w:ascii="Arial" w:hAnsi="Arial" w:cs="Arial"/>
        </w:rPr>
        <w:t xml:space="preserve">s. </w:t>
      </w:r>
    </w:p>
    <w:p w14:paraId="2D92C3DD" w14:textId="4413C272" w:rsidR="00CD6352" w:rsidRDefault="00CD6352" w:rsidP="00CD6352">
      <w:pPr>
        <w:spacing w:line="360" w:lineRule="auto"/>
        <w:jc w:val="both"/>
        <w:rPr>
          <w:rFonts w:ascii="Arial" w:hAnsi="Arial" w:cs="Arial"/>
        </w:rPr>
      </w:pPr>
      <w:r w:rsidRPr="00EA7665">
        <w:rPr>
          <w:rFonts w:ascii="Arial" w:hAnsi="Arial" w:cs="Arial"/>
        </w:rPr>
        <w:t xml:space="preserve">The model tries to understand the managers involved </w:t>
      </w:r>
      <w:r>
        <w:rPr>
          <w:rFonts w:ascii="Arial" w:hAnsi="Arial" w:cs="Arial"/>
        </w:rPr>
        <w:t>with</w:t>
      </w:r>
      <w:r w:rsidRPr="00EA7665">
        <w:rPr>
          <w:rFonts w:ascii="Arial" w:hAnsi="Arial" w:cs="Arial"/>
        </w:rPr>
        <w:t xml:space="preserve"> the financial decisions </w:t>
      </w:r>
      <w:r>
        <w:rPr>
          <w:rFonts w:ascii="Arial" w:hAnsi="Arial" w:cs="Arial"/>
        </w:rPr>
        <w:t>in</w:t>
      </w:r>
      <w:r w:rsidRPr="00EA7665">
        <w:rPr>
          <w:rFonts w:ascii="Arial" w:hAnsi="Arial" w:cs="Arial"/>
        </w:rPr>
        <w:t xml:space="preserve"> the real estate sector of the selected developed and emerging economies through the selected </w:t>
      </w:r>
      <w:r>
        <w:rPr>
          <w:rFonts w:ascii="Arial" w:hAnsi="Arial" w:cs="Arial"/>
        </w:rPr>
        <w:t xml:space="preserve">factors as shown in the </w:t>
      </w:r>
      <w:r w:rsidR="00341D75">
        <w:rPr>
          <w:rFonts w:ascii="Arial" w:hAnsi="Arial" w:cs="Arial"/>
        </w:rPr>
        <w:t xml:space="preserve">initial </w:t>
      </w:r>
      <w:r>
        <w:rPr>
          <w:rFonts w:ascii="Arial" w:hAnsi="Arial" w:cs="Arial"/>
        </w:rPr>
        <w:t xml:space="preserve">conceptual </w:t>
      </w:r>
      <w:r w:rsidR="00341D75">
        <w:rPr>
          <w:rFonts w:ascii="Arial" w:hAnsi="Arial" w:cs="Arial"/>
        </w:rPr>
        <w:t xml:space="preserve">model </w:t>
      </w:r>
      <w:r w:rsidR="00E50E58">
        <w:rPr>
          <w:rFonts w:ascii="Arial" w:hAnsi="Arial" w:cs="Arial"/>
        </w:rPr>
        <w:t>(figure</w:t>
      </w:r>
      <w:r>
        <w:rPr>
          <w:rFonts w:ascii="Arial" w:hAnsi="Arial" w:cs="Arial"/>
        </w:rPr>
        <w:t xml:space="preserve"> 3.</w:t>
      </w:r>
      <w:r w:rsidR="00175B44">
        <w:rPr>
          <w:rFonts w:ascii="Arial" w:hAnsi="Arial" w:cs="Arial"/>
        </w:rPr>
        <w:t>9.1</w:t>
      </w:r>
      <w:r>
        <w:rPr>
          <w:rFonts w:ascii="Arial" w:hAnsi="Arial" w:cs="Arial"/>
        </w:rPr>
        <w:t>)</w:t>
      </w:r>
      <w:r w:rsidRPr="00EA7665">
        <w:rPr>
          <w:rFonts w:ascii="Arial" w:hAnsi="Arial" w:cs="Arial"/>
        </w:rPr>
        <w:t xml:space="preserve">. </w:t>
      </w:r>
    </w:p>
    <w:p w14:paraId="2F70DF6E" w14:textId="45176BE0" w:rsidR="005C7294" w:rsidRDefault="005C7294" w:rsidP="002F5647">
      <w:pPr>
        <w:pStyle w:val="Heading3"/>
        <w:spacing w:line="360" w:lineRule="auto"/>
        <w:rPr>
          <w:sz w:val="22"/>
          <w:szCs w:val="22"/>
        </w:rPr>
      </w:pPr>
      <w:bookmarkStart w:id="790" w:name="_Toc78983806"/>
      <w:r w:rsidRPr="005C7294">
        <w:rPr>
          <w:sz w:val="22"/>
          <w:szCs w:val="22"/>
        </w:rPr>
        <w:t xml:space="preserve">The development of the conceptual </w:t>
      </w:r>
      <w:r w:rsidR="009A0220">
        <w:rPr>
          <w:sz w:val="22"/>
          <w:szCs w:val="22"/>
        </w:rPr>
        <w:t>m</w:t>
      </w:r>
      <w:r w:rsidR="005E28ED">
        <w:rPr>
          <w:sz w:val="22"/>
          <w:szCs w:val="22"/>
        </w:rPr>
        <w:t>odel</w:t>
      </w:r>
      <w:bookmarkEnd w:id="790"/>
    </w:p>
    <w:p w14:paraId="4B937F68" w14:textId="5013FAA3" w:rsidR="00377370" w:rsidRDefault="00EE655F" w:rsidP="002F5647">
      <w:pPr>
        <w:spacing w:line="360" w:lineRule="auto"/>
        <w:rPr>
          <w:rFonts w:ascii="Arial" w:hAnsi="Arial" w:cs="Arial"/>
        </w:rPr>
      </w:pPr>
      <w:r>
        <w:rPr>
          <w:rFonts w:ascii="Arial" w:hAnsi="Arial" w:cs="Arial"/>
        </w:rPr>
        <w:t xml:space="preserve">The conceptual </w:t>
      </w:r>
      <w:r w:rsidR="00C437AE">
        <w:rPr>
          <w:rFonts w:ascii="Arial" w:hAnsi="Arial" w:cs="Arial"/>
        </w:rPr>
        <w:t>model</w:t>
      </w:r>
      <w:r>
        <w:rPr>
          <w:rFonts w:ascii="Arial" w:hAnsi="Arial" w:cs="Arial"/>
        </w:rPr>
        <w:t xml:space="preserve"> guided the </w:t>
      </w:r>
      <w:r w:rsidR="00A97734">
        <w:rPr>
          <w:rFonts w:ascii="Arial" w:hAnsi="Arial" w:cs="Arial"/>
        </w:rPr>
        <w:t>toolkit's developmen</w:t>
      </w:r>
      <w:r>
        <w:rPr>
          <w:rFonts w:ascii="Arial" w:hAnsi="Arial" w:cs="Arial"/>
        </w:rPr>
        <w:t>t for securing finance for real estate project development</w:t>
      </w:r>
      <w:r w:rsidR="00A97734">
        <w:rPr>
          <w:rFonts w:ascii="Arial" w:hAnsi="Arial" w:cs="Arial"/>
        </w:rPr>
        <w:t xml:space="preserve"> chapter 10</w:t>
      </w:r>
      <w:r>
        <w:rPr>
          <w:rFonts w:ascii="Arial" w:hAnsi="Arial" w:cs="Arial"/>
        </w:rPr>
        <w:t xml:space="preserve">. </w:t>
      </w:r>
      <w:r w:rsidR="005C7294" w:rsidRPr="005C7294">
        <w:rPr>
          <w:rFonts w:ascii="Arial" w:hAnsi="Arial" w:cs="Arial"/>
        </w:rPr>
        <w:t xml:space="preserve">The </w:t>
      </w:r>
      <w:r w:rsidR="00F46085">
        <w:rPr>
          <w:rFonts w:ascii="Arial" w:hAnsi="Arial" w:cs="Arial"/>
        </w:rPr>
        <w:t xml:space="preserve">initial conceptual </w:t>
      </w:r>
      <w:r w:rsidR="00C437AE">
        <w:rPr>
          <w:rFonts w:ascii="Arial" w:hAnsi="Arial" w:cs="Arial"/>
        </w:rPr>
        <w:t>model</w:t>
      </w:r>
      <w:r w:rsidR="005E28ED" w:rsidRPr="005C7294">
        <w:rPr>
          <w:rFonts w:ascii="Arial" w:hAnsi="Arial" w:cs="Arial"/>
        </w:rPr>
        <w:t xml:space="preserve"> </w:t>
      </w:r>
      <w:r w:rsidR="005C7294" w:rsidRPr="005C7294">
        <w:rPr>
          <w:rFonts w:ascii="Arial" w:hAnsi="Arial" w:cs="Arial"/>
        </w:rPr>
        <w:t xml:space="preserve">was developed using variables </w:t>
      </w:r>
      <w:r w:rsidR="00341D75">
        <w:rPr>
          <w:rFonts w:ascii="Arial" w:hAnsi="Arial" w:cs="Arial"/>
        </w:rPr>
        <w:t>obtained</w:t>
      </w:r>
      <w:r w:rsidR="005C7294">
        <w:rPr>
          <w:rFonts w:ascii="Arial" w:hAnsi="Arial" w:cs="Arial"/>
        </w:rPr>
        <w:t xml:space="preserve"> from the initial review of </w:t>
      </w:r>
      <w:r w:rsidR="005549B0">
        <w:rPr>
          <w:rFonts w:ascii="Arial" w:hAnsi="Arial" w:cs="Arial"/>
        </w:rPr>
        <w:t xml:space="preserve">the </w:t>
      </w:r>
      <w:r w:rsidR="005C7294">
        <w:rPr>
          <w:rFonts w:ascii="Arial" w:hAnsi="Arial" w:cs="Arial"/>
        </w:rPr>
        <w:t>literature</w:t>
      </w:r>
      <w:r w:rsidR="002D07C8">
        <w:rPr>
          <w:rFonts w:ascii="Arial" w:hAnsi="Arial" w:cs="Arial"/>
        </w:rPr>
        <w:t xml:space="preserve"> (chapter</w:t>
      </w:r>
      <w:r w:rsidR="00341D75">
        <w:rPr>
          <w:rFonts w:ascii="Arial" w:hAnsi="Arial" w:cs="Arial"/>
        </w:rPr>
        <w:t>s</w:t>
      </w:r>
      <w:r w:rsidR="002D07C8">
        <w:rPr>
          <w:rFonts w:ascii="Arial" w:hAnsi="Arial" w:cs="Arial"/>
        </w:rPr>
        <w:t xml:space="preserve"> 2 and 3)</w:t>
      </w:r>
      <w:r w:rsidR="005C7294">
        <w:rPr>
          <w:rFonts w:ascii="Arial" w:hAnsi="Arial" w:cs="Arial"/>
        </w:rPr>
        <w:t xml:space="preserve"> and outcomes </w:t>
      </w:r>
      <w:r w:rsidR="003D3236">
        <w:rPr>
          <w:rFonts w:ascii="Arial" w:hAnsi="Arial" w:cs="Arial"/>
        </w:rPr>
        <w:t>of prior</w:t>
      </w:r>
      <w:r w:rsidR="005C7294">
        <w:rPr>
          <w:rFonts w:ascii="Arial" w:hAnsi="Arial" w:cs="Arial"/>
        </w:rPr>
        <w:t xml:space="preserve"> discussions of those variables with industry </w:t>
      </w:r>
      <w:r w:rsidR="003D3236">
        <w:rPr>
          <w:rFonts w:ascii="Arial" w:hAnsi="Arial" w:cs="Arial"/>
        </w:rPr>
        <w:t>practitioners</w:t>
      </w:r>
      <w:r w:rsidR="005C7294">
        <w:rPr>
          <w:rFonts w:ascii="Arial" w:hAnsi="Arial" w:cs="Arial"/>
        </w:rPr>
        <w:t>.</w:t>
      </w:r>
      <w:r w:rsidR="003D3236">
        <w:rPr>
          <w:rFonts w:ascii="Arial" w:hAnsi="Arial" w:cs="Arial"/>
        </w:rPr>
        <w:t xml:space="preserve"> Initially</w:t>
      </w:r>
      <w:r w:rsidR="005549B0">
        <w:rPr>
          <w:rFonts w:ascii="Arial" w:hAnsi="Arial" w:cs="Arial"/>
        </w:rPr>
        <w:t>,</w:t>
      </w:r>
      <w:r w:rsidR="003D3236">
        <w:rPr>
          <w:rFonts w:ascii="Arial" w:hAnsi="Arial" w:cs="Arial"/>
        </w:rPr>
        <w:t xml:space="preserve"> the variables the researcher focused on were primarily the gap in </w:t>
      </w:r>
      <w:r w:rsidR="005549B0">
        <w:rPr>
          <w:rFonts w:ascii="Arial" w:hAnsi="Arial" w:cs="Arial"/>
        </w:rPr>
        <w:t xml:space="preserve">the </w:t>
      </w:r>
      <w:r w:rsidR="003D3236">
        <w:rPr>
          <w:rFonts w:ascii="Arial" w:hAnsi="Arial" w:cs="Arial"/>
        </w:rPr>
        <w:t>literature</w:t>
      </w:r>
      <w:r w:rsidR="00175B44">
        <w:rPr>
          <w:rFonts w:ascii="Arial" w:hAnsi="Arial" w:cs="Arial"/>
        </w:rPr>
        <w:t>,</w:t>
      </w:r>
      <w:r w:rsidR="003D3236">
        <w:rPr>
          <w:rFonts w:ascii="Arial" w:hAnsi="Arial" w:cs="Arial"/>
        </w:rPr>
        <w:t xml:space="preserve"> which were the skills, </w:t>
      </w:r>
      <w:r w:rsidR="003D3236">
        <w:rPr>
          <w:rFonts w:ascii="Arial" w:hAnsi="Arial" w:cs="Arial"/>
        </w:rPr>
        <w:lastRenderedPageBreak/>
        <w:t>knowledge, competences, career path, education and training the manager needs to secure finance for real estate project development in the developed and emerging economies.</w:t>
      </w:r>
      <w:r w:rsidR="0083029F">
        <w:rPr>
          <w:rFonts w:ascii="Arial" w:hAnsi="Arial" w:cs="Arial"/>
        </w:rPr>
        <w:t xml:space="preserve"> This was increased to incorporate other factors </w:t>
      </w:r>
      <w:r w:rsidR="00A97734">
        <w:rPr>
          <w:rFonts w:ascii="Arial" w:hAnsi="Arial" w:cs="Arial"/>
        </w:rPr>
        <w:t>impacting</w:t>
      </w:r>
      <w:r w:rsidR="0083029F">
        <w:rPr>
          <w:rFonts w:ascii="Arial" w:hAnsi="Arial" w:cs="Arial"/>
        </w:rPr>
        <w:t xml:space="preserve"> the manager’s ability to secure </w:t>
      </w:r>
      <w:r w:rsidR="00A97734">
        <w:rPr>
          <w:rFonts w:ascii="Arial" w:hAnsi="Arial" w:cs="Arial"/>
        </w:rPr>
        <w:t>real estate project development finance</w:t>
      </w:r>
      <w:r w:rsidR="0083029F">
        <w:rPr>
          <w:rFonts w:ascii="Arial" w:hAnsi="Arial" w:cs="Arial"/>
        </w:rPr>
        <w:t xml:space="preserve"> based on </w:t>
      </w:r>
      <w:r w:rsidR="005549B0">
        <w:rPr>
          <w:rFonts w:ascii="Arial" w:hAnsi="Arial" w:cs="Arial"/>
        </w:rPr>
        <w:t xml:space="preserve">the </w:t>
      </w:r>
      <w:r w:rsidR="00F47112">
        <w:rPr>
          <w:rFonts w:ascii="Arial" w:hAnsi="Arial" w:cs="Arial"/>
        </w:rPr>
        <w:t xml:space="preserve">literature review </w:t>
      </w:r>
      <w:r w:rsidR="00620614">
        <w:rPr>
          <w:rFonts w:ascii="Arial" w:hAnsi="Arial" w:cs="Arial"/>
        </w:rPr>
        <w:t xml:space="preserve">in </w:t>
      </w:r>
      <w:r w:rsidR="00F47112">
        <w:rPr>
          <w:rFonts w:ascii="Arial" w:hAnsi="Arial" w:cs="Arial"/>
        </w:rPr>
        <w:t>chapter</w:t>
      </w:r>
      <w:r w:rsidR="00A97734">
        <w:rPr>
          <w:rFonts w:ascii="Arial" w:hAnsi="Arial" w:cs="Arial"/>
        </w:rPr>
        <w:t xml:space="preserve">s 2 and </w:t>
      </w:r>
      <w:r w:rsidR="00F47112">
        <w:rPr>
          <w:rFonts w:ascii="Arial" w:hAnsi="Arial" w:cs="Arial"/>
        </w:rPr>
        <w:t xml:space="preserve"> 3</w:t>
      </w:r>
      <w:r w:rsidR="0083029F">
        <w:rPr>
          <w:rFonts w:ascii="Arial" w:hAnsi="Arial" w:cs="Arial"/>
        </w:rPr>
        <w:t xml:space="preserve">. </w:t>
      </w:r>
      <w:r w:rsidR="00377370">
        <w:rPr>
          <w:rFonts w:ascii="Arial" w:hAnsi="Arial" w:cs="Arial"/>
        </w:rPr>
        <w:t>The relevant theories discussed in this study were incorporated in the development of the model.</w:t>
      </w:r>
    </w:p>
    <w:p w14:paraId="311D749D" w14:textId="3F6FE329" w:rsidR="00B00A83" w:rsidRDefault="00085091" w:rsidP="00085091">
      <w:pPr>
        <w:spacing w:line="360" w:lineRule="auto"/>
        <w:rPr>
          <w:rFonts w:ascii="Arial" w:hAnsi="Arial" w:cs="Arial"/>
        </w:rPr>
      </w:pPr>
      <w:r w:rsidRPr="00EA7665">
        <w:rPr>
          <w:rFonts w:ascii="Arial" w:hAnsi="Arial" w:cs="Arial"/>
        </w:rPr>
        <w:t xml:space="preserve">The </w:t>
      </w:r>
      <w:r w:rsidR="00906596">
        <w:rPr>
          <w:rFonts w:ascii="Arial" w:hAnsi="Arial" w:cs="Arial"/>
        </w:rPr>
        <w:t xml:space="preserve">initial conceptual </w:t>
      </w:r>
      <w:r w:rsidR="009A0220">
        <w:rPr>
          <w:rFonts w:ascii="Arial" w:hAnsi="Arial" w:cs="Arial"/>
        </w:rPr>
        <w:t>model</w:t>
      </w:r>
      <w:r w:rsidR="004547C0" w:rsidRPr="00EA7665">
        <w:rPr>
          <w:rFonts w:ascii="Arial" w:hAnsi="Arial" w:cs="Arial"/>
        </w:rPr>
        <w:t xml:space="preserve"> </w:t>
      </w:r>
      <w:r w:rsidR="007058A1">
        <w:rPr>
          <w:rFonts w:ascii="Arial" w:hAnsi="Arial" w:cs="Arial"/>
        </w:rPr>
        <w:t xml:space="preserve">( figure 3.9.1) </w:t>
      </w:r>
      <w:r w:rsidRPr="00EA7665">
        <w:rPr>
          <w:rFonts w:ascii="Arial" w:hAnsi="Arial" w:cs="Arial"/>
        </w:rPr>
        <w:t xml:space="preserve">was developed based on an attempt to synthesise the findings </w:t>
      </w:r>
      <w:r>
        <w:rPr>
          <w:rFonts w:ascii="Arial" w:hAnsi="Arial" w:cs="Arial"/>
        </w:rPr>
        <w:t>from</w:t>
      </w:r>
      <w:r w:rsidRPr="00EA7665">
        <w:rPr>
          <w:rFonts w:ascii="Arial" w:hAnsi="Arial" w:cs="Arial"/>
        </w:rPr>
        <w:t xml:space="preserve"> different theories and empirical literature on finance for real estate project development. The fundamental theories considered in the </w:t>
      </w:r>
      <w:r w:rsidR="007058A1">
        <w:rPr>
          <w:rFonts w:ascii="Arial" w:hAnsi="Arial" w:cs="Arial"/>
        </w:rPr>
        <w:t>model's design</w:t>
      </w:r>
      <w:r w:rsidRPr="00EA7665">
        <w:rPr>
          <w:rFonts w:ascii="Arial" w:hAnsi="Arial" w:cs="Arial"/>
        </w:rPr>
        <w:t xml:space="preserve"> include the pecking order theory, skills theory of leadership, motivation theory, human capital theory, the theory of traditional career and </w:t>
      </w:r>
      <w:r>
        <w:rPr>
          <w:rFonts w:ascii="Arial" w:hAnsi="Arial" w:cs="Arial"/>
        </w:rPr>
        <w:t xml:space="preserve">the </w:t>
      </w:r>
      <w:r w:rsidRPr="00EA7665">
        <w:rPr>
          <w:rFonts w:ascii="Arial" w:hAnsi="Arial" w:cs="Arial"/>
        </w:rPr>
        <w:t xml:space="preserve">theory of boundaryless career. Specifically, </w:t>
      </w:r>
      <w:r w:rsidR="005549B0">
        <w:rPr>
          <w:rFonts w:ascii="Arial" w:hAnsi="Arial" w:cs="Arial"/>
        </w:rPr>
        <w:t xml:space="preserve">the </w:t>
      </w:r>
      <w:r w:rsidRPr="00EA7665">
        <w:rPr>
          <w:rFonts w:ascii="Arial" w:hAnsi="Arial" w:cs="Arial"/>
        </w:rPr>
        <w:t>literature on the finance options, criteri</w:t>
      </w:r>
      <w:r>
        <w:rPr>
          <w:rFonts w:ascii="Arial" w:hAnsi="Arial" w:cs="Arial"/>
        </w:rPr>
        <w:t>a</w:t>
      </w:r>
      <w:r w:rsidRPr="00EA7665">
        <w:rPr>
          <w:rFonts w:ascii="Arial" w:hAnsi="Arial" w:cs="Arial"/>
        </w:rPr>
        <w:t xml:space="preserve"> and critical success factors; opportunities and challenges in securing finance for real estate project development; the key decision-making processes, skills, knowledge, competences, career path, training and education helped in the development of the conceptual model. </w:t>
      </w:r>
    </w:p>
    <w:p w14:paraId="13ADA3CD" w14:textId="16439F44" w:rsidR="00B00A83" w:rsidRDefault="002703C9" w:rsidP="00085091">
      <w:pPr>
        <w:spacing w:line="360" w:lineRule="auto"/>
        <w:rPr>
          <w:rFonts w:ascii="Arial" w:hAnsi="Arial" w:cs="Arial"/>
        </w:rPr>
      </w:pPr>
      <w:r>
        <w:rPr>
          <w:rFonts w:ascii="Arial" w:hAnsi="Arial" w:cs="Arial"/>
        </w:rPr>
        <w:t>The initial conceptual model provided a platform for developing the individual compononents of the toolkit in chapters 5,6,7,8</w:t>
      </w:r>
      <w:r w:rsidR="00374C4E">
        <w:rPr>
          <w:rFonts w:ascii="Arial" w:hAnsi="Arial" w:cs="Arial"/>
        </w:rPr>
        <w:t>,</w:t>
      </w:r>
      <w:r>
        <w:rPr>
          <w:rFonts w:ascii="Arial" w:hAnsi="Arial" w:cs="Arial"/>
        </w:rPr>
        <w:t xml:space="preserve"> and 9. </w:t>
      </w:r>
      <w:r w:rsidRPr="002703C9">
        <w:rPr>
          <w:rFonts w:ascii="Arial" w:hAnsi="Arial" w:cs="Arial"/>
        </w:rPr>
        <w:t>The capital structures theories and the literature on finance options were capacities that were considered necessary to develop the inventory of finance options</w:t>
      </w:r>
      <w:r>
        <w:rPr>
          <w:rFonts w:ascii="Arial" w:hAnsi="Arial" w:cs="Arial"/>
        </w:rPr>
        <w:t xml:space="preserve"> and criteria for securing finance for real estate project development in chapter 5. </w:t>
      </w:r>
      <w:r w:rsidRPr="002703C9">
        <w:rPr>
          <w:rFonts w:ascii="Arial" w:hAnsi="Arial" w:cs="Arial"/>
        </w:rPr>
        <w:t xml:space="preserve"> </w:t>
      </w:r>
      <w:r>
        <w:rPr>
          <w:rFonts w:ascii="Arial" w:hAnsi="Arial" w:cs="Arial"/>
        </w:rPr>
        <w:t>U</w:t>
      </w:r>
      <w:r w:rsidR="00B00A83">
        <w:rPr>
          <w:rFonts w:ascii="Arial" w:hAnsi="Arial" w:cs="Arial"/>
        </w:rPr>
        <w:t>sing SWOT and PESTLE analysis</w:t>
      </w:r>
      <w:r w:rsidR="00A97734">
        <w:rPr>
          <w:rFonts w:ascii="Arial" w:hAnsi="Arial" w:cs="Arial"/>
        </w:rPr>
        <w:t>,</w:t>
      </w:r>
      <w:r w:rsidR="00175B44">
        <w:rPr>
          <w:rFonts w:ascii="Arial" w:hAnsi="Arial" w:cs="Arial"/>
        </w:rPr>
        <w:t xml:space="preserve"> the challenges, opportunities, and critical success factors were considered </w:t>
      </w:r>
      <w:r>
        <w:rPr>
          <w:rFonts w:ascii="Arial" w:hAnsi="Arial" w:cs="Arial"/>
        </w:rPr>
        <w:t>in developing the</w:t>
      </w:r>
      <w:r w:rsidR="00175B44">
        <w:rPr>
          <w:rFonts w:ascii="Arial" w:hAnsi="Arial" w:cs="Arial"/>
        </w:rPr>
        <w:t xml:space="preserve"> conceptual </w:t>
      </w:r>
      <w:r w:rsidR="00685F99">
        <w:rPr>
          <w:rFonts w:ascii="Arial" w:hAnsi="Arial" w:cs="Arial"/>
        </w:rPr>
        <w:t xml:space="preserve">framework </w:t>
      </w:r>
      <w:r w:rsidR="00175B44">
        <w:rPr>
          <w:rFonts w:ascii="Arial" w:hAnsi="Arial" w:cs="Arial"/>
        </w:rPr>
        <w:t>for environmental scanning</w:t>
      </w:r>
      <w:r w:rsidR="00B00A83">
        <w:rPr>
          <w:rFonts w:ascii="Arial" w:hAnsi="Arial" w:cs="Arial"/>
        </w:rPr>
        <w:t xml:space="preserve"> for securing finance for real estate project development</w:t>
      </w:r>
      <w:r w:rsidR="00685F99">
        <w:rPr>
          <w:rFonts w:ascii="Arial" w:hAnsi="Arial" w:cs="Arial"/>
        </w:rPr>
        <w:t xml:space="preserve"> </w:t>
      </w:r>
      <w:r>
        <w:rPr>
          <w:rFonts w:ascii="Arial" w:hAnsi="Arial" w:cs="Arial"/>
        </w:rPr>
        <w:t xml:space="preserve">in chapter 6. </w:t>
      </w:r>
      <w:r w:rsidR="00B00A83">
        <w:rPr>
          <w:rFonts w:ascii="Arial" w:hAnsi="Arial" w:cs="Arial"/>
        </w:rPr>
        <w:t xml:space="preserve"> Skills, knowledge, and competences were taken </w:t>
      </w:r>
      <w:r w:rsidR="005549B0">
        <w:rPr>
          <w:rFonts w:ascii="Arial" w:hAnsi="Arial" w:cs="Arial"/>
        </w:rPr>
        <w:t xml:space="preserve">to </w:t>
      </w:r>
      <w:r w:rsidR="00B00A83">
        <w:rPr>
          <w:rFonts w:ascii="Arial" w:hAnsi="Arial" w:cs="Arial"/>
        </w:rPr>
        <w:t xml:space="preserve">be capacities needed to develop an inventory of skills, </w:t>
      </w:r>
      <w:r w:rsidR="00DA1113">
        <w:rPr>
          <w:rFonts w:ascii="Arial" w:hAnsi="Arial" w:cs="Arial"/>
        </w:rPr>
        <w:t>knowledge,</w:t>
      </w:r>
      <w:r w:rsidR="00B00A83">
        <w:rPr>
          <w:rFonts w:ascii="Arial" w:hAnsi="Arial" w:cs="Arial"/>
        </w:rPr>
        <w:t xml:space="preserve"> and competences for securing finance for real estate project development</w:t>
      </w:r>
      <w:r w:rsidR="00A97734">
        <w:rPr>
          <w:rFonts w:ascii="Arial" w:hAnsi="Arial" w:cs="Arial"/>
        </w:rPr>
        <w:t xml:space="preserve"> in chapter 8</w:t>
      </w:r>
      <w:r w:rsidR="00B00A83">
        <w:rPr>
          <w:rFonts w:ascii="Arial" w:hAnsi="Arial" w:cs="Arial"/>
        </w:rPr>
        <w:t xml:space="preserve">. While training and education </w:t>
      </w:r>
      <w:r w:rsidR="00DA1113">
        <w:rPr>
          <w:rFonts w:ascii="Arial" w:hAnsi="Arial" w:cs="Arial"/>
        </w:rPr>
        <w:t>were</w:t>
      </w:r>
      <w:r w:rsidR="00B00A83">
        <w:rPr>
          <w:rFonts w:ascii="Arial" w:hAnsi="Arial" w:cs="Arial"/>
        </w:rPr>
        <w:t xml:space="preserve"> capacit</w:t>
      </w:r>
      <w:r w:rsidR="00DA1113">
        <w:rPr>
          <w:rFonts w:ascii="Arial" w:hAnsi="Arial" w:cs="Arial"/>
        </w:rPr>
        <w:t>ies</w:t>
      </w:r>
      <w:r w:rsidR="00B00A83">
        <w:rPr>
          <w:rFonts w:ascii="Arial" w:hAnsi="Arial" w:cs="Arial"/>
        </w:rPr>
        <w:t xml:space="preserve"> </w:t>
      </w:r>
      <w:r w:rsidR="00016419">
        <w:rPr>
          <w:rFonts w:ascii="Arial" w:hAnsi="Arial" w:cs="Arial"/>
        </w:rPr>
        <w:t xml:space="preserve">considered </w:t>
      </w:r>
      <w:r w:rsidR="007645A8">
        <w:rPr>
          <w:rFonts w:ascii="Arial" w:hAnsi="Arial" w:cs="Arial"/>
        </w:rPr>
        <w:t>necessary to</w:t>
      </w:r>
      <w:r w:rsidR="00B00A83">
        <w:rPr>
          <w:rFonts w:ascii="Arial" w:hAnsi="Arial" w:cs="Arial"/>
        </w:rPr>
        <w:t xml:space="preserve"> develop a conceptual </w:t>
      </w:r>
      <w:r w:rsidR="00DA1113">
        <w:rPr>
          <w:rFonts w:ascii="Arial" w:hAnsi="Arial" w:cs="Arial"/>
        </w:rPr>
        <w:t>framework</w:t>
      </w:r>
      <w:r w:rsidR="00B00A83">
        <w:rPr>
          <w:rFonts w:ascii="Arial" w:hAnsi="Arial" w:cs="Arial"/>
        </w:rPr>
        <w:t xml:space="preserve"> for training and education for securing finance for real estate </w:t>
      </w:r>
      <w:r w:rsidR="00DA1113">
        <w:rPr>
          <w:rFonts w:ascii="Arial" w:hAnsi="Arial" w:cs="Arial"/>
        </w:rPr>
        <w:t>development</w:t>
      </w:r>
      <w:r w:rsidR="00A97734">
        <w:rPr>
          <w:rFonts w:ascii="Arial" w:hAnsi="Arial" w:cs="Arial"/>
        </w:rPr>
        <w:t xml:space="preserve"> in chapter 9</w:t>
      </w:r>
      <w:r w:rsidR="00DA1113">
        <w:rPr>
          <w:rFonts w:ascii="Arial" w:hAnsi="Arial" w:cs="Arial"/>
        </w:rPr>
        <w:t>.</w:t>
      </w:r>
      <w:r w:rsidR="00B00A83">
        <w:rPr>
          <w:rFonts w:ascii="Arial" w:hAnsi="Arial" w:cs="Arial"/>
        </w:rPr>
        <w:t xml:space="preserve"> </w:t>
      </w:r>
      <w:r w:rsidR="00DA1113">
        <w:rPr>
          <w:rFonts w:ascii="Arial" w:hAnsi="Arial" w:cs="Arial"/>
        </w:rPr>
        <w:t>Finally,</w:t>
      </w:r>
      <w:r w:rsidR="005647F0">
        <w:rPr>
          <w:rFonts w:ascii="Arial" w:hAnsi="Arial" w:cs="Arial"/>
        </w:rPr>
        <w:t xml:space="preserve"> the career </w:t>
      </w:r>
      <w:r w:rsidR="00DA1113">
        <w:rPr>
          <w:rFonts w:ascii="Arial" w:hAnsi="Arial" w:cs="Arial"/>
        </w:rPr>
        <w:t>pathway</w:t>
      </w:r>
      <w:r w:rsidR="005647F0">
        <w:rPr>
          <w:rFonts w:ascii="Arial" w:hAnsi="Arial" w:cs="Arial"/>
        </w:rPr>
        <w:t xml:space="preserve"> and professional mix of different professions </w:t>
      </w:r>
      <w:r w:rsidR="00DA1113">
        <w:rPr>
          <w:rFonts w:ascii="Arial" w:hAnsi="Arial" w:cs="Arial"/>
        </w:rPr>
        <w:t>were</w:t>
      </w:r>
      <w:r w:rsidR="005647F0">
        <w:rPr>
          <w:rFonts w:ascii="Arial" w:hAnsi="Arial" w:cs="Arial"/>
        </w:rPr>
        <w:t xml:space="preserve"> capacities </w:t>
      </w:r>
      <w:r w:rsidR="00AD0241">
        <w:rPr>
          <w:rFonts w:ascii="Arial" w:hAnsi="Arial" w:cs="Arial"/>
        </w:rPr>
        <w:t xml:space="preserve">considered as </w:t>
      </w:r>
      <w:r>
        <w:rPr>
          <w:rFonts w:ascii="Arial" w:hAnsi="Arial" w:cs="Arial"/>
        </w:rPr>
        <w:t>essential</w:t>
      </w:r>
      <w:r w:rsidR="005647F0">
        <w:rPr>
          <w:rFonts w:ascii="Arial" w:hAnsi="Arial" w:cs="Arial"/>
        </w:rPr>
        <w:t xml:space="preserve"> to </w:t>
      </w:r>
      <w:r w:rsidR="00DA1113">
        <w:rPr>
          <w:rFonts w:ascii="Arial" w:hAnsi="Arial" w:cs="Arial"/>
        </w:rPr>
        <w:t>build</w:t>
      </w:r>
      <w:r>
        <w:rPr>
          <w:rFonts w:ascii="Arial" w:hAnsi="Arial" w:cs="Arial"/>
        </w:rPr>
        <w:t>ing</w:t>
      </w:r>
      <w:r w:rsidR="005647F0">
        <w:rPr>
          <w:rFonts w:ascii="Arial" w:hAnsi="Arial" w:cs="Arial"/>
        </w:rPr>
        <w:t xml:space="preserve"> a conceptual framework for </w:t>
      </w:r>
      <w:r w:rsidR="005549B0">
        <w:rPr>
          <w:rFonts w:ascii="Arial" w:hAnsi="Arial" w:cs="Arial"/>
        </w:rPr>
        <w:t xml:space="preserve">the </w:t>
      </w:r>
      <w:r w:rsidR="005647F0">
        <w:rPr>
          <w:rFonts w:ascii="Arial" w:hAnsi="Arial" w:cs="Arial"/>
        </w:rPr>
        <w:t xml:space="preserve">career path for securing finance for real estate project </w:t>
      </w:r>
      <w:r w:rsidR="00DA1113">
        <w:rPr>
          <w:rFonts w:ascii="Arial" w:hAnsi="Arial" w:cs="Arial"/>
        </w:rPr>
        <w:t>development</w:t>
      </w:r>
      <w:r>
        <w:rPr>
          <w:rFonts w:ascii="Arial" w:hAnsi="Arial" w:cs="Arial"/>
        </w:rPr>
        <w:t xml:space="preserve"> in chapter 9</w:t>
      </w:r>
      <w:r w:rsidR="00DA1113">
        <w:rPr>
          <w:rFonts w:ascii="Arial" w:hAnsi="Arial" w:cs="Arial"/>
        </w:rPr>
        <w:t>.</w:t>
      </w:r>
      <w:r w:rsidR="00B00A83">
        <w:rPr>
          <w:rFonts w:ascii="Arial" w:hAnsi="Arial" w:cs="Arial"/>
        </w:rPr>
        <w:t xml:space="preserve"> </w:t>
      </w:r>
    </w:p>
    <w:p w14:paraId="1D8673EC" w14:textId="17FBC6D0" w:rsidR="00085091" w:rsidRDefault="00085091" w:rsidP="00085091">
      <w:pPr>
        <w:spacing w:line="360" w:lineRule="auto"/>
        <w:rPr>
          <w:rFonts w:ascii="Arial" w:hAnsi="Arial" w:cs="Arial"/>
        </w:rPr>
      </w:pPr>
      <w:r w:rsidRPr="00EA7665">
        <w:rPr>
          <w:rFonts w:ascii="Arial" w:hAnsi="Arial" w:cs="Arial"/>
        </w:rPr>
        <w:t>Th</w:t>
      </w:r>
      <w:r w:rsidR="00175B44">
        <w:rPr>
          <w:rFonts w:ascii="Arial" w:hAnsi="Arial" w:cs="Arial"/>
        </w:rPr>
        <w:t xml:space="preserve">is study's conceptual </w:t>
      </w:r>
      <w:r w:rsidR="00202140">
        <w:rPr>
          <w:rFonts w:ascii="Arial" w:hAnsi="Arial" w:cs="Arial"/>
        </w:rPr>
        <w:t>model</w:t>
      </w:r>
      <w:r w:rsidR="00AF6144">
        <w:rPr>
          <w:rFonts w:ascii="Arial" w:hAnsi="Arial" w:cs="Arial"/>
        </w:rPr>
        <w:t xml:space="preserve"> </w:t>
      </w:r>
      <w:r w:rsidR="00175B44">
        <w:rPr>
          <w:rFonts w:ascii="Arial" w:hAnsi="Arial" w:cs="Arial"/>
        </w:rPr>
        <w:t>is called</w:t>
      </w:r>
      <w:r w:rsidRPr="00EA7665">
        <w:rPr>
          <w:rFonts w:ascii="Arial" w:hAnsi="Arial" w:cs="Arial"/>
        </w:rPr>
        <w:t xml:space="preserve"> </w:t>
      </w:r>
      <w:r w:rsidRPr="00752017">
        <w:rPr>
          <w:rFonts w:ascii="Arial" w:hAnsi="Arial" w:cs="Arial"/>
          <w:b/>
          <w:bCs/>
        </w:rPr>
        <w:t>a toolkit for securing finance for real estate project development</w:t>
      </w:r>
      <w:r w:rsidRPr="00EA7665">
        <w:rPr>
          <w:rFonts w:ascii="Arial" w:hAnsi="Arial" w:cs="Arial"/>
        </w:rPr>
        <w:t>.</w:t>
      </w:r>
      <w:r w:rsidR="007645A8">
        <w:rPr>
          <w:rFonts w:ascii="Arial" w:hAnsi="Arial" w:cs="Arial"/>
        </w:rPr>
        <w:t xml:space="preserve"> This is seen as a detailed </w:t>
      </w:r>
      <w:r w:rsidR="002703C9">
        <w:rPr>
          <w:rFonts w:ascii="Arial" w:hAnsi="Arial" w:cs="Arial"/>
        </w:rPr>
        <w:t>model</w:t>
      </w:r>
      <w:r w:rsidR="007645A8">
        <w:rPr>
          <w:rFonts w:ascii="Arial" w:hAnsi="Arial" w:cs="Arial"/>
        </w:rPr>
        <w:t xml:space="preserve"> that would support the managers involved with real estate project development in securing </w:t>
      </w:r>
      <w:r w:rsidR="00202140">
        <w:rPr>
          <w:rFonts w:ascii="Arial" w:hAnsi="Arial" w:cs="Arial"/>
        </w:rPr>
        <w:t>real estate project development finance</w:t>
      </w:r>
      <w:r w:rsidR="007645A8">
        <w:rPr>
          <w:rFonts w:ascii="Arial" w:hAnsi="Arial" w:cs="Arial"/>
        </w:rPr>
        <w:t>. It is also seen as a prospective platform for training and education for both academia and the industry.</w:t>
      </w:r>
      <w:r w:rsidR="00D16BFD">
        <w:rPr>
          <w:rFonts w:ascii="Arial" w:hAnsi="Arial" w:cs="Arial"/>
        </w:rPr>
        <w:t xml:space="preserve"> </w:t>
      </w:r>
      <w:r w:rsidR="00AF6144">
        <w:rPr>
          <w:rFonts w:ascii="Arial" w:hAnsi="Arial" w:cs="Arial"/>
        </w:rPr>
        <w:t xml:space="preserve">The </w:t>
      </w:r>
      <w:r w:rsidR="00202140">
        <w:rPr>
          <w:rFonts w:ascii="Arial" w:hAnsi="Arial" w:cs="Arial"/>
        </w:rPr>
        <w:t xml:space="preserve">initial </w:t>
      </w:r>
      <w:r w:rsidR="00AF6144">
        <w:rPr>
          <w:rFonts w:ascii="Arial" w:hAnsi="Arial" w:cs="Arial"/>
        </w:rPr>
        <w:t xml:space="preserve">model </w:t>
      </w:r>
      <w:r w:rsidR="00202140">
        <w:rPr>
          <w:rFonts w:ascii="Arial" w:hAnsi="Arial" w:cs="Arial"/>
        </w:rPr>
        <w:t>that supported the creation of different segments</w:t>
      </w:r>
      <w:r w:rsidR="00AF6144">
        <w:rPr>
          <w:rFonts w:ascii="Arial" w:hAnsi="Arial" w:cs="Arial"/>
        </w:rPr>
        <w:t xml:space="preserve"> </w:t>
      </w:r>
      <w:r w:rsidR="00D16BFD">
        <w:rPr>
          <w:rFonts w:ascii="Arial" w:hAnsi="Arial" w:cs="Arial"/>
        </w:rPr>
        <w:t xml:space="preserve">of the conceptual </w:t>
      </w:r>
      <w:r w:rsidR="00202140">
        <w:rPr>
          <w:rFonts w:ascii="Arial" w:hAnsi="Arial" w:cs="Arial"/>
        </w:rPr>
        <w:t>model</w:t>
      </w:r>
      <w:r w:rsidR="00AF6144">
        <w:rPr>
          <w:rFonts w:ascii="Arial" w:hAnsi="Arial" w:cs="Arial"/>
        </w:rPr>
        <w:t xml:space="preserve"> ( the toolkit)</w:t>
      </w:r>
      <w:r w:rsidR="00202140">
        <w:rPr>
          <w:rFonts w:ascii="Arial" w:hAnsi="Arial" w:cs="Arial"/>
        </w:rPr>
        <w:t xml:space="preserve"> in chapter 10</w:t>
      </w:r>
      <w:r w:rsidR="00D16BFD">
        <w:rPr>
          <w:rFonts w:ascii="Arial" w:hAnsi="Arial" w:cs="Arial"/>
        </w:rPr>
        <w:t xml:space="preserve"> is further pictorially articulated below (see figure 3.9.1)</w:t>
      </w:r>
      <w:r w:rsidR="00202140">
        <w:rPr>
          <w:rFonts w:ascii="Arial" w:hAnsi="Arial" w:cs="Arial"/>
        </w:rPr>
        <w:t>. T</w:t>
      </w:r>
      <w:r w:rsidR="00541BEC">
        <w:rPr>
          <w:rFonts w:ascii="Arial" w:hAnsi="Arial" w:cs="Arial"/>
        </w:rPr>
        <w:t>he main toolkit for securing finance for real estate project development is in chapter 10.</w:t>
      </w:r>
    </w:p>
    <w:p w14:paraId="6F20DB61" w14:textId="5A8CFFDD" w:rsidR="00330F65" w:rsidRDefault="00330F65" w:rsidP="00085091">
      <w:pPr>
        <w:spacing w:line="360" w:lineRule="auto"/>
        <w:rPr>
          <w:rFonts w:ascii="Arial" w:hAnsi="Arial" w:cs="Arial"/>
        </w:rPr>
      </w:pPr>
    </w:p>
    <w:tbl>
      <w:tblPr>
        <w:tblStyle w:val="GridTable3"/>
        <w:tblW w:w="0" w:type="auto"/>
        <w:tblInd w:w="10" w:type="dxa"/>
        <w:tblLook w:val="04A0" w:firstRow="1" w:lastRow="0" w:firstColumn="1" w:lastColumn="0" w:noHBand="0" w:noVBand="1"/>
      </w:tblPr>
      <w:tblGrid>
        <w:gridCol w:w="1412"/>
        <w:gridCol w:w="2692"/>
        <w:gridCol w:w="4907"/>
      </w:tblGrid>
      <w:tr w:rsidR="00BC2975" w:rsidRPr="00BC2975" w14:paraId="38BAFBB0" w14:textId="77777777" w:rsidTr="007625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2" w:type="dxa"/>
          </w:tcPr>
          <w:p w14:paraId="01E4F6AE" w14:textId="4BB054CC"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Steps in the development of the conceptual </w:t>
            </w:r>
            <w:r w:rsidR="00AF6144">
              <w:rPr>
                <w:rFonts w:ascii="Arial" w:hAnsi="Arial" w:cs="Arial"/>
                <w:sz w:val="16"/>
                <w:szCs w:val="16"/>
              </w:rPr>
              <w:t>model</w:t>
            </w:r>
            <w:r w:rsidRPr="00BC2975">
              <w:rPr>
                <w:rFonts w:ascii="Arial" w:hAnsi="Arial" w:cs="Arial"/>
                <w:sz w:val="16"/>
                <w:szCs w:val="16"/>
              </w:rPr>
              <w:t xml:space="preserve"> </w:t>
            </w:r>
          </w:p>
        </w:tc>
        <w:tc>
          <w:tcPr>
            <w:tcW w:w="2692" w:type="dxa"/>
          </w:tcPr>
          <w:p w14:paraId="47D81E18" w14:textId="77777777" w:rsidR="00BC2975" w:rsidRPr="00BC2975" w:rsidRDefault="00BC2975" w:rsidP="00BC2975">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BC2975">
              <w:rPr>
                <w:rFonts w:ascii="Arial" w:hAnsi="Arial" w:cs="Arial"/>
                <w:sz w:val="16"/>
                <w:szCs w:val="16"/>
              </w:rPr>
              <w:t xml:space="preserve">Description of the steps </w:t>
            </w:r>
          </w:p>
        </w:tc>
        <w:tc>
          <w:tcPr>
            <w:tcW w:w="4907" w:type="dxa"/>
          </w:tcPr>
          <w:p w14:paraId="490750FE" w14:textId="77777777" w:rsidR="00BC2975" w:rsidRPr="00BC2975" w:rsidRDefault="00BC2975" w:rsidP="00BC2975">
            <w:pPr>
              <w:shd w:val="clear" w:color="auto" w:fill="FFFFFF" w:themeFill="background1"/>
              <w:spacing w:after="16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C2975">
              <w:rPr>
                <w:rFonts w:ascii="Arial" w:hAnsi="Arial" w:cs="Arial"/>
                <w:color w:val="000000" w:themeColor="text1"/>
                <w:sz w:val="16"/>
                <w:szCs w:val="16"/>
              </w:rPr>
              <w:t>Content</w:t>
            </w:r>
          </w:p>
        </w:tc>
      </w:tr>
      <w:tr w:rsidR="00BC2975" w:rsidRPr="00BC2975" w14:paraId="1D8082E9" w14:textId="77777777" w:rsidTr="007625E7">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412" w:type="dxa"/>
          </w:tcPr>
          <w:p w14:paraId="7856597D" w14:textId="28A0FE11"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Step 1 </w:t>
            </w:r>
          </w:p>
          <w:p w14:paraId="23B40659" w14:textId="6BFFD892" w:rsidR="00BC2975" w:rsidRPr="00BC2975" w:rsidRDefault="00BC2975" w:rsidP="00BC2975">
            <w:pPr>
              <w:spacing w:after="0" w:line="240" w:lineRule="auto"/>
              <w:rPr>
                <w:rFonts w:ascii="Arial" w:hAnsi="Arial" w:cs="Arial"/>
                <w:sz w:val="16"/>
                <w:szCs w:val="16"/>
              </w:rPr>
            </w:pPr>
          </w:p>
        </w:tc>
        <w:tc>
          <w:tcPr>
            <w:tcW w:w="2692" w:type="dxa"/>
          </w:tcPr>
          <w:p w14:paraId="4C645A93" w14:textId="5FDF1B49"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Determination of gap in knowledge &amp; need for the study through review of literature &amp; discussion with industry prac</w:t>
            </w:r>
            <w:r w:rsidR="00075941">
              <w:rPr>
                <w:rFonts w:ascii="Arial" w:hAnsi="Arial" w:cs="Arial"/>
                <w:sz w:val="16"/>
                <w:szCs w:val="16"/>
              </w:rPr>
              <w:t>ti</w:t>
            </w:r>
            <w:r w:rsidRPr="00BC2975">
              <w:rPr>
                <w:rFonts w:ascii="Arial" w:hAnsi="Arial" w:cs="Arial"/>
                <w:sz w:val="16"/>
                <w:szCs w:val="16"/>
              </w:rPr>
              <w:t>tioners (a)</w:t>
            </w:r>
          </w:p>
        </w:tc>
        <w:tc>
          <w:tcPr>
            <w:tcW w:w="4907" w:type="dxa"/>
          </w:tcPr>
          <w:p w14:paraId="40F395DD" w14:textId="77777777" w:rsidR="00BC2975" w:rsidRPr="00BC2975" w:rsidRDefault="00BC2975" w:rsidP="00BC2975">
            <w:pPr>
              <w:numPr>
                <w:ilvl w:val="0"/>
                <w:numId w:val="296"/>
              </w:numPr>
              <w:shd w:val="clear" w:color="auto" w:fill="FFFFFF" w:themeFill="background1"/>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C2975">
              <w:rPr>
                <w:rFonts w:ascii="Arial" w:hAnsi="Arial" w:cs="Arial"/>
                <w:color w:val="000000" w:themeColor="text1"/>
                <w:sz w:val="16"/>
                <w:szCs w:val="16"/>
              </w:rPr>
              <w:t>The need for a detailed framework to guide real estate managers in securing finance for real estate project development.</w:t>
            </w:r>
          </w:p>
          <w:p w14:paraId="5BC91EAB" w14:textId="36D98E97" w:rsidR="00BC2975" w:rsidRPr="00BC2975" w:rsidRDefault="00BC2975" w:rsidP="00BC2975">
            <w:pPr>
              <w:numPr>
                <w:ilvl w:val="0"/>
                <w:numId w:val="296"/>
              </w:numPr>
              <w:shd w:val="clear" w:color="auto" w:fill="FFFFFF" w:themeFill="background1"/>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C2975">
              <w:rPr>
                <w:rFonts w:ascii="Arial" w:hAnsi="Arial" w:cs="Arial"/>
                <w:color w:val="000000" w:themeColor="text1"/>
                <w:sz w:val="16"/>
                <w:szCs w:val="16"/>
              </w:rPr>
              <w:t xml:space="preserve">The gap in </w:t>
            </w:r>
            <w:r w:rsidR="00075941">
              <w:rPr>
                <w:rFonts w:ascii="Arial" w:hAnsi="Arial" w:cs="Arial"/>
                <w:color w:val="000000" w:themeColor="text1"/>
                <w:sz w:val="16"/>
                <w:szCs w:val="16"/>
              </w:rPr>
              <w:t xml:space="preserve">the </w:t>
            </w:r>
            <w:r w:rsidRPr="00BC2975">
              <w:rPr>
                <w:rFonts w:ascii="Arial" w:hAnsi="Arial" w:cs="Arial"/>
                <w:color w:val="000000" w:themeColor="text1"/>
                <w:sz w:val="16"/>
                <w:szCs w:val="16"/>
              </w:rPr>
              <w:t>literature on skills, knowledge, competences, knowledge, career path, education, and training for securing finance for real estate project development.</w:t>
            </w:r>
          </w:p>
          <w:p w14:paraId="4DAA68BA" w14:textId="0EC3D368" w:rsidR="00BC2975" w:rsidRPr="00BC2975" w:rsidRDefault="00BC2975" w:rsidP="00BC2975">
            <w:pPr>
              <w:numPr>
                <w:ilvl w:val="0"/>
                <w:numId w:val="296"/>
              </w:numPr>
              <w:shd w:val="clear" w:color="auto" w:fill="FFFFFF" w:themeFill="background1"/>
              <w:spacing w:after="16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color w:val="000000" w:themeColor="text1"/>
                <w:sz w:val="16"/>
                <w:szCs w:val="16"/>
              </w:rPr>
              <w:t>Development funding shortage</w:t>
            </w:r>
            <w:r w:rsidR="00EB27B9">
              <w:rPr>
                <w:rFonts w:ascii="Arial" w:hAnsi="Arial" w:cs="Arial"/>
                <w:color w:val="000000" w:themeColor="text1"/>
                <w:sz w:val="16"/>
                <w:szCs w:val="16"/>
              </w:rPr>
              <w:t xml:space="preserve"> and the gap between demand and supply in the real estate sector </w:t>
            </w:r>
          </w:p>
        </w:tc>
      </w:tr>
      <w:tr w:rsidR="00BC2975" w:rsidRPr="00BC2975" w14:paraId="171BF322" w14:textId="77777777" w:rsidTr="007625E7">
        <w:trPr>
          <w:trHeight w:val="405"/>
        </w:trPr>
        <w:tc>
          <w:tcPr>
            <w:cnfStyle w:val="001000000000" w:firstRow="0" w:lastRow="0" w:firstColumn="1" w:lastColumn="0" w:oddVBand="0" w:evenVBand="0" w:oddHBand="0" w:evenHBand="0" w:firstRowFirstColumn="0" w:firstRowLastColumn="0" w:lastRowFirstColumn="0" w:lastRowLastColumn="0"/>
            <w:tcW w:w="9011" w:type="dxa"/>
            <w:gridSpan w:val="3"/>
          </w:tcPr>
          <w:p w14:paraId="662AE83A" w14:textId="34C9D83B" w:rsidR="00BC2975" w:rsidRPr="00BC2975" w:rsidRDefault="00BC2975" w:rsidP="00BC2975">
            <w:pPr>
              <w:spacing w:after="0" w:line="240" w:lineRule="auto"/>
              <w:rPr>
                <w:rFonts w:ascii="Arial" w:hAnsi="Arial" w:cs="Arial"/>
                <w:sz w:val="16"/>
                <w:szCs w:val="16"/>
              </w:rPr>
            </w:pPr>
            <w:r w:rsidRPr="00BC2975">
              <w:rPr>
                <w:rFonts w:ascii="Arial" w:hAnsi="Arial" w:cs="Arial"/>
                <w:noProof/>
                <w:sz w:val="16"/>
                <w:szCs w:val="16"/>
                <w:lang w:eastAsia="en-GB"/>
              </w:rPr>
              <mc:AlternateContent>
                <mc:Choice Requires="wps">
                  <w:drawing>
                    <wp:anchor distT="0" distB="0" distL="114300" distR="114300" simplePos="0" relativeHeight="251849728" behindDoc="0" locked="0" layoutInCell="1" allowOverlap="1" wp14:anchorId="6EEBC9A3" wp14:editId="66A35A4A">
                      <wp:simplePos x="0" y="0"/>
                      <wp:positionH relativeFrom="column">
                        <wp:posOffset>3894455</wp:posOffset>
                      </wp:positionH>
                      <wp:positionV relativeFrom="paragraph">
                        <wp:posOffset>16510</wp:posOffset>
                      </wp:positionV>
                      <wp:extent cx="484505" cy="204689"/>
                      <wp:effectExtent l="38100" t="0" r="0" b="43180"/>
                      <wp:wrapNone/>
                      <wp:docPr id="14" name="Down Arrow 80"/>
                      <wp:cNvGraphicFramePr/>
                      <a:graphic xmlns:a="http://schemas.openxmlformats.org/drawingml/2006/main">
                        <a:graphicData uri="http://schemas.microsoft.com/office/word/2010/wordprocessingShape">
                          <wps:wsp>
                            <wps:cNvSpPr/>
                            <wps:spPr>
                              <a:xfrm>
                                <a:off x="0" y="0"/>
                                <a:ext cx="484505" cy="204689"/>
                              </a:xfrm>
                              <a:prstGeom prst="downArrow">
                                <a:avLst/>
                              </a:prstGeom>
                              <a:solidFill>
                                <a:sysClr val="windowText" lastClr="000000"/>
                              </a:solidFill>
                              <a:ln w="12700" cap="flat" cmpd="sng" algn="ctr">
                                <a:solidFill>
                                  <a:srgbClr val="4472C4">
                                    <a:shade val="50000"/>
                                  </a:srgbClr>
                                </a:solidFill>
                                <a:prstDash val="solid"/>
                                <a:miter lim="800000"/>
                              </a:ln>
                              <a:effectLst/>
                            </wps:spPr>
                            <wps:txbx>
                              <w:txbxContent>
                                <w:p w14:paraId="7CFA32D4" w14:textId="77777777" w:rsidR="00BC2975" w:rsidRDefault="00BC2975" w:rsidP="00BC2975">
                                  <w:pPr>
                                    <w:jc w:val="center"/>
                                  </w:pPr>
                                  <w:permStart w:id="1809738311" w:edGrp="everyone"/>
                                  <w:permEnd w:id="18097383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EBC9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0" o:spid="_x0000_s1027" type="#_x0000_t67" style="position:absolute;left:0;text-align:left;margin-left:306.65pt;margin-top:1.3pt;width:38.15pt;height:16.1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" adj="10800" fillcolor="windowText" strokecolor="#2f528f" strokeweight="1pt">
                      <v:textbox>
                        <w:txbxContent>
                          <w:p w14:paraId="7CFA32D4" w14:textId="77777777" w:rsidR="00BC2975" w:rsidRDefault="00BC2975" w:rsidP="00BC2975">
                            <w:pPr>
                              <w:jc w:val="center"/>
                            </w:pPr>
                            <w:permStart w:id="1809738311" w:edGrp="everyone"/>
                            <w:permEnd w:id="1809738311"/>
                          </w:p>
                        </w:txbxContent>
                      </v:textbox>
                    </v:shape>
                  </w:pict>
                </mc:Fallback>
              </mc:AlternateContent>
            </w:r>
            <w:r w:rsidRPr="00BC2975">
              <w:rPr>
                <w:rFonts w:ascii="Arial" w:hAnsi="Arial" w:cs="Arial"/>
                <w:sz w:val="16"/>
                <w:szCs w:val="16"/>
              </w:rPr>
              <w:t xml:space="preserve">                                                                      </w:t>
            </w:r>
          </w:p>
        </w:tc>
      </w:tr>
      <w:tr w:rsidR="00BC2975" w:rsidRPr="00BC2975" w14:paraId="5023B47B" w14:textId="77777777" w:rsidTr="0076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264B0EB5" w14:textId="39BE0524"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Step 2 </w:t>
            </w:r>
          </w:p>
        </w:tc>
        <w:tc>
          <w:tcPr>
            <w:tcW w:w="2692" w:type="dxa"/>
          </w:tcPr>
          <w:p w14:paraId="288007CD" w14:textId="7777777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Establishment of research objectives based on reviews of literature.</w:t>
            </w:r>
          </w:p>
          <w:p w14:paraId="52B81957" w14:textId="7777777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907" w:type="dxa"/>
          </w:tcPr>
          <w:p w14:paraId="7BB0FE96" w14:textId="7777777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See Chapter 1:2</w:t>
            </w:r>
          </w:p>
        </w:tc>
      </w:tr>
      <w:tr w:rsidR="00BC2975" w:rsidRPr="00BC2975" w14:paraId="56E31CDF" w14:textId="77777777" w:rsidTr="007625E7">
        <w:trPr>
          <w:trHeight w:val="433"/>
        </w:trPr>
        <w:tc>
          <w:tcPr>
            <w:cnfStyle w:val="001000000000" w:firstRow="0" w:lastRow="0" w:firstColumn="1" w:lastColumn="0" w:oddVBand="0" w:evenVBand="0" w:oddHBand="0" w:evenHBand="0" w:firstRowFirstColumn="0" w:firstRowLastColumn="0" w:lastRowFirstColumn="0" w:lastRowLastColumn="0"/>
            <w:tcW w:w="4104" w:type="dxa"/>
            <w:gridSpan w:val="2"/>
          </w:tcPr>
          <w:p w14:paraId="04CFB36C" w14:textId="4004A3D2" w:rsidR="00BC2975" w:rsidRPr="00BC2975" w:rsidRDefault="00BC2975" w:rsidP="00BC2975">
            <w:pPr>
              <w:spacing w:after="0" w:line="240" w:lineRule="auto"/>
              <w:rPr>
                <w:rFonts w:ascii="Arial" w:hAnsi="Arial" w:cs="Arial"/>
                <w:b/>
                <w:bCs/>
                <w:sz w:val="16"/>
                <w:szCs w:val="16"/>
              </w:rPr>
            </w:pPr>
            <w:r w:rsidRPr="00BC2975">
              <w:rPr>
                <w:rFonts w:ascii="Arial" w:hAnsi="Arial" w:cs="Arial"/>
                <w:sz w:val="16"/>
                <w:szCs w:val="16"/>
              </w:rPr>
              <w:t xml:space="preserve">                                                                   </w:t>
            </w:r>
            <w:r w:rsidRPr="00BC2975">
              <w:rPr>
                <w:rFonts w:ascii="Arial" w:hAnsi="Arial" w:cs="Arial"/>
                <w:noProof/>
                <w:sz w:val="16"/>
                <w:szCs w:val="16"/>
              </w:rPr>
              <w:drawing>
                <wp:inline distT="0" distB="0" distL="0" distR="0" wp14:anchorId="23CBAE43" wp14:editId="57E910F6">
                  <wp:extent cx="441643" cy="15748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486" cy="160277"/>
                          </a:xfrm>
                          <a:prstGeom prst="rect">
                            <a:avLst/>
                          </a:prstGeom>
                          <a:noFill/>
                          <a:ln>
                            <a:noFill/>
                          </a:ln>
                        </pic:spPr>
                      </pic:pic>
                    </a:graphicData>
                  </a:graphic>
                </wp:inline>
              </w:drawing>
            </w:r>
          </w:p>
          <w:p w14:paraId="2F22D674" w14:textId="77777777" w:rsidR="00BC2975" w:rsidRPr="00BC2975" w:rsidRDefault="00BC2975" w:rsidP="00BC2975">
            <w:pPr>
              <w:spacing w:after="0" w:line="240" w:lineRule="auto"/>
              <w:rPr>
                <w:rFonts w:ascii="Arial" w:hAnsi="Arial" w:cs="Arial"/>
                <w:sz w:val="16"/>
                <w:szCs w:val="16"/>
              </w:rPr>
            </w:pPr>
            <w:r w:rsidRPr="00BC2975">
              <w:rPr>
                <w:rFonts w:ascii="Arial" w:hAnsi="Arial" w:cs="Arial"/>
                <w:noProof/>
                <w:sz w:val="16"/>
                <w:szCs w:val="16"/>
                <w:lang w:eastAsia="en-GB"/>
              </w:rPr>
              <mc:AlternateContent>
                <mc:Choice Requires="wps">
                  <w:drawing>
                    <wp:anchor distT="0" distB="0" distL="114300" distR="114300" simplePos="0" relativeHeight="251851776" behindDoc="0" locked="0" layoutInCell="1" allowOverlap="1" wp14:anchorId="233C984B" wp14:editId="66AB3070">
                      <wp:simplePos x="0" y="0"/>
                      <wp:positionH relativeFrom="column">
                        <wp:posOffset>-1607185</wp:posOffset>
                      </wp:positionH>
                      <wp:positionV relativeFrom="paragraph">
                        <wp:posOffset>-3348355</wp:posOffset>
                      </wp:positionV>
                      <wp:extent cx="484505" cy="204470"/>
                      <wp:effectExtent l="38100" t="0" r="0" b="43180"/>
                      <wp:wrapNone/>
                      <wp:docPr id="32" name="Down Arrow 80"/>
                      <wp:cNvGraphicFramePr/>
                      <a:graphic xmlns:a="http://schemas.openxmlformats.org/drawingml/2006/main">
                        <a:graphicData uri="http://schemas.microsoft.com/office/word/2010/wordprocessingShape">
                          <wps:wsp>
                            <wps:cNvSpPr/>
                            <wps:spPr>
                              <a:xfrm>
                                <a:off x="0" y="0"/>
                                <a:ext cx="484505" cy="204470"/>
                              </a:xfrm>
                              <a:prstGeom prst="downArrow">
                                <a:avLst/>
                              </a:prstGeom>
                              <a:solidFill>
                                <a:sysClr val="windowText" lastClr="000000"/>
                              </a:solidFill>
                              <a:ln w="12700" cap="flat" cmpd="sng" algn="ctr">
                                <a:solidFill>
                                  <a:srgbClr val="4472C4">
                                    <a:shade val="50000"/>
                                  </a:srgbClr>
                                </a:solidFill>
                                <a:prstDash val="solid"/>
                                <a:miter lim="800000"/>
                              </a:ln>
                              <a:effectLst/>
                            </wps:spPr>
                            <wps:txbx>
                              <w:txbxContent>
                                <w:p w14:paraId="4A7858CF" w14:textId="77777777" w:rsidR="00BC2975" w:rsidRDefault="00BC2975" w:rsidP="00BC2975">
                                  <w:pPr>
                                    <w:jc w:val="center"/>
                                  </w:pPr>
                                  <w:permStart w:id="2001617356" w:edGrp="everyone"/>
                                  <w:permEnd w:id="20016173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C984B" id="_x0000_s1028" type="#_x0000_t67" style="position:absolute;left:0;text-align:left;margin-left:-126.55pt;margin-top:-263.65pt;width:38.15pt;height:16.1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" adj="10800" fillcolor="windowText" strokecolor="#2f528f" strokeweight="1pt">
                      <v:textbox>
                        <w:txbxContent>
                          <w:p w14:paraId="4A7858CF" w14:textId="77777777" w:rsidR="00BC2975" w:rsidRDefault="00BC2975" w:rsidP="00BC2975">
                            <w:pPr>
                              <w:jc w:val="center"/>
                            </w:pPr>
                            <w:permStart w:id="2001617356" w:edGrp="everyone"/>
                            <w:permEnd w:id="2001617356"/>
                          </w:p>
                        </w:txbxContent>
                      </v:textbox>
                    </v:shape>
                  </w:pict>
                </mc:Fallback>
              </mc:AlternateContent>
            </w:r>
          </w:p>
        </w:tc>
        <w:tc>
          <w:tcPr>
            <w:tcW w:w="4907" w:type="dxa"/>
          </w:tcPr>
          <w:p w14:paraId="6689FE06" w14:textId="77777777" w:rsidR="00BC2975" w:rsidRPr="00BC2975" w:rsidRDefault="00BC2975" w:rsidP="00BC297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C2975">
              <w:rPr>
                <w:rFonts w:ascii="Arial" w:hAnsi="Arial" w:cs="Arial"/>
                <w:noProof/>
                <w:sz w:val="16"/>
                <w:szCs w:val="16"/>
                <w:lang w:eastAsia="en-GB"/>
              </w:rPr>
              <mc:AlternateContent>
                <mc:Choice Requires="wps">
                  <w:drawing>
                    <wp:anchor distT="0" distB="0" distL="114300" distR="114300" simplePos="0" relativeHeight="251850752" behindDoc="0" locked="0" layoutInCell="1" allowOverlap="1" wp14:anchorId="506E258F" wp14:editId="13DD60D7">
                      <wp:simplePos x="0" y="0"/>
                      <wp:positionH relativeFrom="column">
                        <wp:posOffset>1378329</wp:posOffset>
                      </wp:positionH>
                      <wp:positionV relativeFrom="paragraph">
                        <wp:posOffset>17716</wp:posOffset>
                      </wp:positionV>
                      <wp:extent cx="484505" cy="204470"/>
                      <wp:effectExtent l="38100" t="0" r="0" b="43180"/>
                      <wp:wrapNone/>
                      <wp:docPr id="35" name="Down Arrow 80"/>
                      <wp:cNvGraphicFramePr/>
                      <a:graphic xmlns:a="http://schemas.openxmlformats.org/drawingml/2006/main">
                        <a:graphicData uri="http://schemas.microsoft.com/office/word/2010/wordprocessingShape">
                          <wps:wsp>
                            <wps:cNvSpPr/>
                            <wps:spPr>
                              <a:xfrm>
                                <a:off x="0" y="0"/>
                                <a:ext cx="484505" cy="204470"/>
                              </a:xfrm>
                              <a:prstGeom prst="downArrow">
                                <a:avLst/>
                              </a:prstGeom>
                              <a:solidFill>
                                <a:sysClr val="windowText" lastClr="000000"/>
                              </a:solidFill>
                              <a:ln w="12700" cap="flat" cmpd="sng" algn="ctr">
                                <a:solidFill>
                                  <a:srgbClr val="4472C4">
                                    <a:shade val="50000"/>
                                  </a:srgbClr>
                                </a:solidFill>
                                <a:prstDash val="solid"/>
                                <a:miter lim="800000"/>
                              </a:ln>
                              <a:effectLst/>
                            </wps:spPr>
                            <wps:txbx>
                              <w:txbxContent>
                                <w:p w14:paraId="743E02F6" w14:textId="77777777" w:rsidR="00BC2975" w:rsidRDefault="00BC2975" w:rsidP="00BC2975">
                                  <w:pPr>
                                    <w:jc w:val="center"/>
                                  </w:pPr>
                                  <w:permStart w:id="1467316364" w:edGrp="everyone"/>
                                  <w:permEnd w:id="14673163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6E258F" id="_x0000_s1029" type="#_x0000_t67" style="position:absolute;margin-left:108.55pt;margin-top:1.4pt;width:38.15pt;height:16.1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" adj="10800" fillcolor="windowText" strokecolor="#2f528f" strokeweight="1pt">
                      <v:textbox>
                        <w:txbxContent>
                          <w:p w14:paraId="743E02F6" w14:textId="77777777" w:rsidR="00BC2975" w:rsidRDefault="00BC2975" w:rsidP="00BC2975">
                            <w:pPr>
                              <w:jc w:val="center"/>
                            </w:pPr>
                            <w:permStart w:id="1467316364" w:edGrp="everyone"/>
                            <w:permEnd w:id="1467316364"/>
                          </w:p>
                        </w:txbxContent>
                      </v:textbox>
                    </v:shape>
                  </w:pict>
                </mc:Fallback>
              </mc:AlternateContent>
            </w:r>
          </w:p>
        </w:tc>
      </w:tr>
      <w:tr w:rsidR="00BC2975" w:rsidRPr="00BC2975" w14:paraId="69F9D35C" w14:textId="77777777" w:rsidTr="0076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61D7780B" w14:textId="16FAD7D1"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Step 3 </w:t>
            </w:r>
          </w:p>
        </w:tc>
        <w:tc>
          <w:tcPr>
            <w:tcW w:w="2692" w:type="dxa"/>
          </w:tcPr>
          <w:p w14:paraId="22252074" w14:textId="59CCC09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Identification of relevant theories that provides a foundation for the conceptual framework</w:t>
            </w:r>
          </w:p>
        </w:tc>
        <w:tc>
          <w:tcPr>
            <w:tcW w:w="4907" w:type="dxa"/>
          </w:tcPr>
          <w:p w14:paraId="055ACF8C" w14:textId="6D1E0DF3"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 xml:space="preserve">A list of relevant theories that supported the development of the </w:t>
            </w:r>
            <w:r w:rsidR="003475C4">
              <w:rPr>
                <w:rFonts w:ascii="Arial" w:hAnsi="Arial" w:cs="Arial"/>
                <w:sz w:val="16"/>
                <w:szCs w:val="16"/>
              </w:rPr>
              <w:t>six components of the conceptual f</w:t>
            </w:r>
            <w:r w:rsidRPr="00BC2975">
              <w:rPr>
                <w:rFonts w:ascii="Arial" w:hAnsi="Arial" w:cs="Arial"/>
                <w:sz w:val="16"/>
                <w:szCs w:val="16"/>
              </w:rPr>
              <w:t>ramework:</w:t>
            </w:r>
          </w:p>
          <w:p w14:paraId="07D8D354" w14:textId="1E1D037F"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 pecking order theory of capital structure</w:t>
            </w:r>
          </w:p>
          <w:p w14:paraId="242FEA1A"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 trade-off theory of capital structure</w:t>
            </w:r>
          </w:p>
          <w:p w14:paraId="5D349DD8" w14:textId="063CB39D"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SWOT analysis</w:t>
            </w:r>
          </w:p>
          <w:p w14:paraId="46983C5D"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PESTLE analysis</w:t>
            </w:r>
          </w:p>
          <w:p w14:paraId="59508DE8"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Mintzberg’s general model of strategic decision process</w:t>
            </w:r>
          </w:p>
          <w:p w14:paraId="0260DA1F"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RIBA Plan of work 2020</w:t>
            </w:r>
          </w:p>
          <w:p w14:paraId="589C8CC2"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 work break- down structure concept (WBS)</w:t>
            </w:r>
          </w:p>
          <w:p w14:paraId="08D0E2D9"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Theory and methodology of sociotechnical analysis of process mapping techniques</w:t>
            </w:r>
          </w:p>
          <w:p w14:paraId="509B4652"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 xml:space="preserve">Katz’s three-skill approach </w:t>
            </w:r>
          </w:p>
          <w:p w14:paraId="6FE58710"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Mumford’s leadership skills model.</w:t>
            </w:r>
          </w:p>
          <w:p w14:paraId="537B5165"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Human capital theory</w:t>
            </w:r>
          </w:p>
          <w:p w14:paraId="3CEE6EC7"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Theory of traditional career</w:t>
            </w:r>
          </w:p>
          <w:p w14:paraId="221C8F07"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Job matching theory.</w:t>
            </w:r>
          </w:p>
          <w:p w14:paraId="3CA7C501"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Theory of boundaryless career and development</w:t>
            </w:r>
          </w:p>
          <w:p w14:paraId="0B3D7974" w14:textId="77777777" w:rsidR="00BC2975" w:rsidRPr="00BC2975" w:rsidRDefault="00BC2975" w:rsidP="00BC2975">
            <w:pPr>
              <w:numPr>
                <w:ilvl w:val="0"/>
                <w:numId w:val="297"/>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Learning theories</w:t>
            </w:r>
          </w:p>
          <w:p w14:paraId="5069128F" w14:textId="7777777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C2975" w:rsidRPr="00BC2975" w14:paraId="42228570" w14:textId="77777777" w:rsidTr="007625E7">
        <w:tc>
          <w:tcPr>
            <w:cnfStyle w:val="001000000000" w:firstRow="0" w:lastRow="0" w:firstColumn="1" w:lastColumn="0" w:oddVBand="0" w:evenVBand="0" w:oddHBand="0" w:evenHBand="0" w:firstRowFirstColumn="0" w:firstRowLastColumn="0" w:lastRowFirstColumn="0" w:lastRowLastColumn="0"/>
            <w:tcW w:w="4104" w:type="dxa"/>
            <w:gridSpan w:val="2"/>
          </w:tcPr>
          <w:p w14:paraId="302E6157" w14:textId="42A82D43"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                                                                    </w:t>
            </w:r>
            <w:r w:rsidRPr="00BC2975">
              <w:rPr>
                <w:rFonts w:ascii="Arial" w:hAnsi="Arial" w:cs="Arial"/>
                <w:noProof/>
                <w:sz w:val="16"/>
                <w:szCs w:val="16"/>
              </w:rPr>
              <w:drawing>
                <wp:inline distT="0" distB="0" distL="0" distR="0" wp14:anchorId="1F84D41A" wp14:editId="45C9A3BD">
                  <wp:extent cx="441643" cy="157480"/>
                  <wp:effectExtent l="0" t="0" r="0" b="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486" cy="160277"/>
                          </a:xfrm>
                          <a:prstGeom prst="rect">
                            <a:avLst/>
                          </a:prstGeom>
                          <a:noFill/>
                          <a:ln>
                            <a:noFill/>
                          </a:ln>
                        </pic:spPr>
                      </pic:pic>
                    </a:graphicData>
                  </a:graphic>
                </wp:inline>
              </w:drawing>
            </w:r>
          </w:p>
          <w:p w14:paraId="7E59162D" w14:textId="364B46B1" w:rsidR="00BC2975" w:rsidRPr="00BC2975" w:rsidRDefault="00BC2975" w:rsidP="00BC2975">
            <w:pPr>
              <w:spacing w:after="0" w:line="240" w:lineRule="auto"/>
              <w:rPr>
                <w:rFonts w:ascii="Arial" w:hAnsi="Arial" w:cs="Arial"/>
                <w:sz w:val="16"/>
                <w:szCs w:val="16"/>
              </w:rPr>
            </w:pPr>
          </w:p>
        </w:tc>
        <w:tc>
          <w:tcPr>
            <w:tcW w:w="4907" w:type="dxa"/>
          </w:tcPr>
          <w:p w14:paraId="3AB4B8CE" w14:textId="77777777" w:rsidR="00BC2975" w:rsidRPr="00BC2975" w:rsidRDefault="00BC2975" w:rsidP="00BC297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C2975">
              <w:rPr>
                <w:rFonts w:ascii="Arial" w:hAnsi="Arial" w:cs="Arial"/>
                <w:noProof/>
                <w:sz w:val="16"/>
                <w:szCs w:val="16"/>
                <w:lang w:eastAsia="en-GB"/>
              </w:rPr>
              <mc:AlternateContent>
                <mc:Choice Requires="wps">
                  <w:drawing>
                    <wp:anchor distT="0" distB="0" distL="114300" distR="114300" simplePos="0" relativeHeight="251852800" behindDoc="0" locked="0" layoutInCell="1" allowOverlap="1" wp14:anchorId="639B6FA3" wp14:editId="08039B64">
                      <wp:simplePos x="0" y="0"/>
                      <wp:positionH relativeFrom="column">
                        <wp:posOffset>1523503</wp:posOffset>
                      </wp:positionH>
                      <wp:positionV relativeFrom="paragraph">
                        <wp:posOffset>56136</wp:posOffset>
                      </wp:positionV>
                      <wp:extent cx="484505" cy="184150"/>
                      <wp:effectExtent l="38100" t="0" r="0" b="44450"/>
                      <wp:wrapNone/>
                      <wp:docPr id="36" name="Down Arrow 80"/>
                      <wp:cNvGraphicFramePr/>
                      <a:graphic xmlns:a="http://schemas.openxmlformats.org/drawingml/2006/main">
                        <a:graphicData uri="http://schemas.microsoft.com/office/word/2010/wordprocessingShape">
                          <wps:wsp>
                            <wps:cNvSpPr/>
                            <wps:spPr>
                              <a:xfrm>
                                <a:off x="0" y="0"/>
                                <a:ext cx="484505" cy="184150"/>
                              </a:xfrm>
                              <a:prstGeom prst="downArrow">
                                <a:avLst/>
                              </a:prstGeom>
                              <a:solidFill>
                                <a:sysClr val="windowText" lastClr="000000"/>
                              </a:solidFill>
                              <a:ln w="12700" cap="flat" cmpd="sng" algn="ctr">
                                <a:solidFill>
                                  <a:srgbClr val="4472C4">
                                    <a:shade val="50000"/>
                                  </a:srgbClr>
                                </a:solidFill>
                                <a:prstDash val="solid"/>
                                <a:miter lim="800000"/>
                              </a:ln>
                              <a:effectLst/>
                            </wps:spPr>
                            <wps:txbx>
                              <w:txbxContent>
                                <w:p w14:paraId="4960CEB0" w14:textId="77777777" w:rsidR="00BC2975" w:rsidRDefault="00BC2975" w:rsidP="00BC2975">
                                  <w:pPr>
                                    <w:jc w:val="center"/>
                                  </w:pPr>
                                  <w:permStart w:id="659319345" w:edGrp="everyone"/>
                                  <w:permEnd w:id="6593193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9B6FA3" id="_x0000_s1030" type="#_x0000_t67" style="position:absolute;margin-left:119.95pt;margin-top:4.4pt;width:38.15pt;height:14.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" adj="10800" fillcolor="windowText" strokecolor="#2f528f" strokeweight="1pt">
                      <v:textbox>
                        <w:txbxContent>
                          <w:p w14:paraId="4960CEB0" w14:textId="77777777" w:rsidR="00BC2975" w:rsidRDefault="00BC2975" w:rsidP="00BC2975">
                            <w:pPr>
                              <w:jc w:val="center"/>
                            </w:pPr>
                            <w:permStart w:id="659319345" w:edGrp="everyone"/>
                            <w:permEnd w:id="659319345"/>
                          </w:p>
                        </w:txbxContent>
                      </v:textbox>
                    </v:shape>
                  </w:pict>
                </mc:Fallback>
              </mc:AlternateContent>
            </w:r>
          </w:p>
        </w:tc>
      </w:tr>
      <w:tr w:rsidR="00BC2975" w:rsidRPr="00BC2975" w14:paraId="0854BC8A" w14:textId="77777777" w:rsidTr="0076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4165E1EB" w14:textId="3988DAEB" w:rsidR="00BC2975" w:rsidRPr="00BC2975" w:rsidRDefault="00BC2975" w:rsidP="00BC2975">
            <w:pPr>
              <w:spacing w:after="0" w:line="240" w:lineRule="auto"/>
              <w:rPr>
                <w:rFonts w:ascii="Arial" w:hAnsi="Arial" w:cs="Arial"/>
                <w:sz w:val="16"/>
                <w:szCs w:val="16"/>
              </w:rPr>
            </w:pPr>
          </w:p>
          <w:p w14:paraId="7C98D21A" w14:textId="5829E6A7"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Step 4 </w:t>
            </w:r>
          </w:p>
        </w:tc>
        <w:tc>
          <w:tcPr>
            <w:tcW w:w="2692" w:type="dxa"/>
          </w:tcPr>
          <w:p w14:paraId="0DC13891" w14:textId="4FA3175C" w:rsidR="00BC2975" w:rsidRPr="00BC2975" w:rsidRDefault="00DA6706"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Inquiries</w:t>
            </w:r>
            <w:r w:rsidR="00BC2975" w:rsidRPr="00BC2975">
              <w:rPr>
                <w:rFonts w:ascii="Arial" w:hAnsi="Arial" w:cs="Arial"/>
                <w:sz w:val="16"/>
                <w:szCs w:val="16"/>
              </w:rPr>
              <w:t xml:space="preserve"> from managers in the real estate sector of the developed &amp; emerging economies of Germany, </w:t>
            </w:r>
            <w:r w:rsidR="005204FB">
              <w:rPr>
                <w:rFonts w:ascii="Arial" w:hAnsi="Arial" w:cs="Arial"/>
                <w:sz w:val="16"/>
                <w:szCs w:val="16"/>
              </w:rPr>
              <w:t xml:space="preserve">the </w:t>
            </w:r>
            <w:r w:rsidR="00BC2975" w:rsidRPr="00BC2975">
              <w:rPr>
                <w:rFonts w:ascii="Arial" w:hAnsi="Arial" w:cs="Arial"/>
                <w:sz w:val="16"/>
                <w:szCs w:val="16"/>
              </w:rPr>
              <w:t xml:space="preserve">UK, US, China, </w:t>
            </w:r>
            <w:r w:rsidR="003475C4" w:rsidRPr="00BC2975">
              <w:rPr>
                <w:rFonts w:ascii="Arial" w:hAnsi="Arial" w:cs="Arial"/>
                <w:sz w:val="16"/>
                <w:szCs w:val="16"/>
              </w:rPr>
              <w:t>Nigeria,</w:t>
            </w:r>
            <w:r w:rsidR="00BC2975" w:rsidRPr="00BC2975">
              <w:rPr>
                <w:rFonts w:ascii="Arial" w:hAnsi="Arial" w:cs="Arial"/>
                <w:sz w:val="16"/>
                <w:szCs w:val="16"/>
              </w:rPr>
              <w:t xml:space="preserve"> and South Africa</w:t>
            </w:r>
          </w:p>
        </w:tc>
        <w:tc>
          <w:tcPr>
            <w:tcW w:w="4907" w:type="dxa"/>
          </w:tcPr>
          <w:p w14:paraId="48A3D5BD" w14:textId="2ABFC884"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04B7CF0" w14:textId="00A1FAA5"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Usage of Questionnaires &amp; Semi</w:t>
            </w:r>
            <w:r w:rsidR="005204FB">
              <w:rPr>
                <w:rFonts w:ascii="Arial" w:hAnsi="Arial" w:cs="Arial"/>
                <w:sz w:val="16"/>
                <w:szCs w:val="16"/>
              </w:rPr>
              <w:t>-</w:t>
            </w:r>
            <w:r w:rsidRPr="00BC2975">
              <w:rPr>
                <w:rFonts w:ascii="Arial" w:hAnsi="Arial" w:cs="Arial"/>
                <w:sz w:val="16"/>
                <w:szCs w:val="16"/>
              </w:rPr>
              <w:t>structured interviews</w:t>
            </w:r>
          </w:p>
          <w:p w14:paraId="7B04F5C0" w14:textId="7777777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C2975" w:rsidRPr="00BC2975" w14:paraId="5640609A" w14:textId="77777777" w:rsidTr="007625E7">
        <w:tc>
          <w:tcPr>
            <w:cnfStyle w:val="001000000000" w:firstRow="0" w:lastRow="0" w:firstColumn="1" w:lastColumn="0" w:oddVBand="0" w:evenVBand="0" w:oddHBand="0" w:evenHBand="0" w:firstRowFirstColumn="0" w:firstRowLastColumn="0" w:lastRowFirstColumn="0" w:lastRowLastColumn="0"/>
            <w:tcW w:w="4104" w:type="dxa"/>
            <w:gridSpan w:val="2"/>
          </w:tcPr>
          <w:p w14:paraId="35D1C24A" w14:textId="77777777" w:rsidR="00BC2975" w:rsidRPr="00BC2975" w:rsidRDefault="00BC2975" w:rsidP="00BC2975">
            <w:pPr>
              <w:spacing w:after="0" w:line="240" w:lineRule="auto"/>
              <w:rPr>
                <w:rFonts w:ascii="Arial" w:hAnsi="Arial" w:cs="Arial"/>
                <w:sz w:val="16"/>
                <w:szCs w:val="16"/>
              </w:rPr>
            </w:pPr>
          </w:p>
          <w:p w14:paraId="4B1767A6" w14:textId="67E18235" w:rsidR="00BC2975" w:rsidRPr="00BC2975" w:rsidRDefault="00BC2975" w:rsidP="00BC2975">
            <w:pPr>
              <w:spacing w:after="0" w:line="240" w:lineRule="auto"/>
              <w:rPr>
                <w:rFonts w:ascii="Arial" w:hAnsi="Arial" w:cs="Arial"/>
                <w:sz w:val="16"/>
                <w:szCs w:val="16"/>
              </w:rPr>
            </w:pPr>
          </w:p>
          <w:p w14:paraId="5BF0322E" w14:textId="15529AC1"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                                                                   </w:t>
            </w:r>
            <w:r w:rsidRPr="00BC2975">
              <w:rPr>
                <w:rFonts w:ascii="Arial" w:hAnsi="Arial" w:cs="Arial"/>
                <w:noProof/>
                <w:sz w:val="16"/>
                <w:szCs w:val="16"/>
              </w:rPr>
              <w:drawing>
                <wp:inline distT="0" distB="0" distL="0" distR="0" wp14:anchorId="485A2EA9" wp14:editId="46BCEDF3">
                  <wp:extent cx="492760" cy="172720"/>
                  <wp:effectExtent l="0" t="0" r="2540" b="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760" cy="172720"/>
                          </a:xfrm>
                          <a:prstGeom prst="rect">
                            <a:avLst/>
                          </a:prstGeom>
                          <a:noFill/>
                          <a:ln>
                            <a:noFill/>
                          </a:ln>
                        </pic:spPr>
                      </pic:pic>
                    </a:graphicData>
                  </a:graphic>
                </wp:inline>
              </w:drawing>
            </w:r>
          </w:p>
          <w:p w14:paraId="28C1F79D" w14:textId="77777777"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 xml:space="preserve">                                                          </w:t>
            </w:r>
          </w:p>
        </w:tc>
        <w:tc>
          <w:tcPr>
            <w:tcW w:w="4907" w:type="dxa"/>
          </w:tcPr>
          <w:p w14:paraId="344500E7" w14:textId="594894E5" w:rsidR="00BC2975" w:rsidRPr="00BC2975" w:rsidRDefault="00BC2975" w:rsidP="00BC2975">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C2975">
              <w:rPr>
                <w:rFonts w:ascii="Arial" w:hAnsi="Arial" w:cs="Arial"/>
                <w:noProof/>
                <w:sz w:val="16"/>
                <w:szCs w:val="16"/>
                <w:lang w:eastAsia="en-GB"/>
              </w:rPr>
              <mc:AlternateContent>
                <mc:Choice Requires="wps">
                  <w:drawing>
                    <wp:anchor distT="0" distB="0" distL="114300" distR="114300" simplePos="0" relativeHeight="251853824" behindDoc="0" locked="0" layoutInCell="1" allowOverlap="1" wp14:anchorId="590153F9" wp14:editId="18BE6177">
                      <wp:simplePos x="0" y="0"/>
                      <wp:positionH relativeFrom="column">
                        <wp:posOffset>1620221</wp:posOffset>
                      </wp:positionH>
                      <wp:positionV relativeFrom="paragraph">
                        <wp:posOffset>232356</wp:posOffset>
                      </wp:positionV>
                      <wp:extent cx="484505" cy="184150"/>
                      <wp:effectExtent l="38100" t="0" r="0" b="44450"/>
                      <wp:wrapNone/>
                      <wp:docPr id="41" name="Down Arrow 80"/>
                      <wp:cNvGraphicFramePr/>
                      <a:graphic xmlns:a="http://schemas.openxmlformats.org/drawingml/2006/main">
                        <a:graphicData uri="http://schemas.microsoft.com/office/word/2010/wordprocessingShape">
                          <wps:wsp>
                            <wps:cNvSpPr/>
                            <wps:spPr>
                              <a:xfrm>
                                <a:off x="0" y="0"/>
                                <a:ext cx="484505" cy="184150"/>
                              </a:xfrm>
                              <a:prstGeom prst="downArrow">
                                <a:avLst/>
                              </a:prstGeom>
                              <a:solidFill>
                                <a:sysClr val="windowText" lastClr="000000"/>
                              </a:solidFill>
                              <a:ln w="12700" cap="flat" cmpd="sng" algn="ctr">
                                <a:solidFill>
                                  <a:srgbClr val="4472C4">
                                    <a:shade val="50000"/>
                                  </a:srgbClr>
                                </a:solidFill>
                                <a:prstDash val="solid"/>
                                <a:miter lim="800000"/>
                              </a:ln>
                              <a:effectLst/>
                            </wps:spPr>
                            <wps:txbx>
                              <w:txbxContent>
                                <w:p w14:paraId="58C77660" w14:textId="77777777" w:rsidR="00BC2975" w:rsidRDefault="00BC2975" w:rsidP="00BC2975">
                                  <w:pPr>
                                    <w:jc w:val="center"/>
                                  </w:pPr>
                                  <w:permStart w:id="876876788" w:edGrp="everyone"/>
                                  <w:permEnd w:id="8768767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0153F9" id="_x0000_s1031" type="#_x0000_t67" style="position:absolute;margin-left:127.6pt;margin-top:18.3pt;width:38.15pt;height:14.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" adj="10800" fillcolor="windowText" strokecolor="#2f528f" strokeweight="1pt">
                      <v:textbox>
                        <w:txbxContent>
                          <w:p w14:paraId="58C77660" w14:textId="77777777" w:rsidR="00BC2975" w:rsidRDefault="00BC2975" w:rsidP="00BC2975">
                            <w:pPr>
                              <w:jc w:val="center"/>
                            </w:pPr>
                            <w:permStart w:id="876876788" w:edGrp="everyone"/>
                            <w:permEnd w:id="876876788"/>
                          </w:p>
                        </w:txbxContent>
                      </v:textbox>
                    </v:shape>
                  </w:pict>
                </mc:Fallback>
              </mc:AlternateContent>
            </w:r>
          </w:p>
        </w:tc>
      </w:tr>
      <w:tr w:rsidR="00BC2975" w:rsidRPr="00BC2975" w14:paraId="31A7015B" w14:textId="77777777" w:rsidTr="00762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Pr>
          <w:p w14:paraId="7EC6E71B" w14:textId="77777777" w:rsidR="00BC2975" w:rsidRPr="00BC2975" w:rsidRDefault="00BC2975" w:rsidP="00BC2975">
            <w:pPr>
              <w:spacing w:after="0" w:line="240" w:lineRule="auto"/>
              <w:rPr>
                <w:rFonts w:ascii="Arial" w:hAnsi="Arial" w:cs="Arial"/>
                <w:sz w:val="16"/>
                <w:szCs w:val="16"/>
              </w:rPr>
            </w:pPr>
            <w:r w:rsidRPr="00BC2975">
              <w:rPr>
                <w:rFonts w:ascii="Arial" w:hAnsi="Arial" w:cs="Arial"/>
                <w:sz w:val="16"/>
                <w:szCs w:val="16"/>
              </w:rPr>
              <w:t>Step5</w:t>
            </w:r>
          </w:p>
        </w:tc>
        <w:tc>
          <w:tcPr>
            <w:tcW w:w="2692" w:type="dxa"/>
          </w:tcPr>
          <w:p w14:paraId="2F9CFDFB" w14:textId="2B177330"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The conceptual framework</w:t>
            </w:r>
            <w:r w:rsidR="00EA3D98">
              <w:rPr>
                <w:rFonts w:ascii="Arial" w:hAnsi="Arial" w:cs="Arial"/>
                <w:sz w:val="16"/>
                <w:szCs w:val="16"/>
              </w:rPr>
              <w:t>/ the toolkit for securing finance for real estate project development</w:t>
            </w:r>
            <w:r w:rsidR="00CD2E88">
              <w:rPr>
                <w:rFonts w:ascii="Arial" w:hAnsi="Arial" w:cs="Arial"/>
                <w:sz w:val="16"/>
                <w:szCs w:val="16"/>
              </w:rPr>
              <w:t xml:space="preserve"> </w:t>
            </w:r>
            <w:r w:rsidR="00DA15A6">
              <w:rPr>
                <w:rFonts w:ascii="Arial" w:hAnsi="Arial" w:cs="Arial"/>
                <w:sz w:val="16"/>
                <w:szCs w:val="16"/>
              </w:rPr>
              <w:t>(the</w:t>
            </w:r>
            <w:r w:rsidR="00CD2E88">
              <w:rPr>
                <w:rFonts w:ascii="Arial" w:hAnsi="Arial" w:cs="Arial"/>
                <w:sz w:val="16"/>
                <w:szCs w:val="16"/>
              </w:rPr>
              <w:t xml:space="preserve"> output</w:t>
            </w:r>
            <w:r w:rsidR="00AF6144">
              <w:rPr>
                <w:rFonts w:ascii="Arial" w:hAnsi="Arial" w:cs="Arial"/>
                <w:sz w:val="16"/>
                <w:szCs w:val="16"/>
              </w:rPr>
              <w:t xml:space="preserve"> contained in chapter 10</w:t>
            </w:r>
            <w:r w:rsidR="00CD2E88">
              <w:rPr>
                <w:rFonts w:ascii="Arial" w:hAnsi="Arial" w:cs="Arial"/>
                <w:sz w:val="16"/>
                <w:szCs w:val="16"/>
              </w:rPr>
              <w:t>)</w:t>
            </w:r>
          </w:p>
        </w:tc>
        <w:tc>
          <w:tcPr>
            <w:tcW w:w="4907" w:type="dxa"/>
          </w:tcPr>
          <w:p w14:paraId="34C853BC" w14:textId="493CDD5B"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 xml:space="preserve">The conceptual framework / </w:t>
            </w:r>
            <w:r w:rsidR="004D7E75">
              <w:rPr>
                <w:rFonts w:ascii="Arial" w:hAnsi="Arial" w:cs="Arial"/>
                <w:sz w:val="16"/>
                <w:szCs w:val="16"/>
              </w:rPr>
              <w:t>the six components</w:t>
            </w:r>
            <w:r w:rsidRPr="00BC2975">
              <w:rPr>
                <w:rFonts w:ascii="Arial" w:hAnsi="Arial" w:cs="Arial"/>
                <w:sz w:val="16"/>
                <w:szCs w:val="16"/>
              </w:rPr>
              <w:t>:</w:t>
            </w:r>
          </w:p>
          <w:p w14:paraId="04412D11" w14:textId="77777777" w:rsidR="00BC2975" w:rsidRPr="00BC2975" w:rsidRDefault="00BC2975" w:rsidP="00BC2975">
            <w:pPr>
              <w:numPr>
                <w:ilvl w:val="0"/>
                <w:numId w:val="29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Inventory of finance options &amp; criteria for securing finance for real estate project development.</w:t>
            </w:r>
          </w:p>
          <w:p w14:paraId="536A8984" w14:textId="77777777" w:rsidR="00BC2975" w:rsidRPr="00BC2975" w:rsidRDefault="00BC2975" w:rsidP="00BC2975">
            <w:pPr>
              <w:numPr>
                <w:ilvl w:val="0"/>
                <w:numId w:val="29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Framework for environmental scan for securing finance for real estate project development.</w:t>
            </w:r>
          </w:p>
          <w:p w14:paraId="392A6A77" w14:textId="77777777" w:rsidR="00BC2975" w:rsidRPr="00BC2975" w:rsidRDefault="00BC2975" w:rsidP="00BC2975">
            <w:pPr>
              <w:numPr>
                <w:ilvl w:val="0"/>
                <w:numId w:val="29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 xml:space="preserve">Process map for securing finance for real estate project development. </w:t>
            </w:r>
          </w:p>
          <w:p w14:paraId="2B432515" w14:textId="77777777" w:rsidR="00BC2975" w:rsidRPr="00BC2975" w:rsidRDefault="00BC2975" w:rsidP="00BC2975">
            <w:pPr>
              <w:numPr>
                <w:ilvl w:val="0"/>
                <w:numId w:val="29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C2975">
              <w:rPr>
                <w:rFonts w:ascii="Arial" w:hAnsi="Arial" w:cs="Arial"/>
                <w:sz w:val="16"/>
                <w:szCs w:val="16"/>
              </w:rPr>
              <w:t>Inventory of skills, knowledge &amp; competences for securing finance for real estate project development.</w:t>
            </w:r>
          </w:p>
          <w:p w14:paraId="49F265E7" w14:textId="1FDC6678" w:rsidR="00BC2975" w:rsidRPr="00BC2975" w:rsidRDefault="005204FB" w:rsidP="00BC2975">
            <w:pPr>
              <w:numPr>
                <w:ilvl w:val="0"/>
                <w:numId w:val="29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 c</w:t>
            </w:r>
            <w:r w:rsidR="00BC2975" w:rsidRPr="00BC2975">
              <w:rPr>
                <w:rFonts w:ascii="Arial" w:hAnsi="Arial" w:cs="Arial"/>
                <w:sz w:val="16"/>
                <w:szCs w:val="16"/>
              </w:rPr>
              <w:t>onceptual framework for career path for securing finance for real estate project development.</w:t>
            </w:r>
          </w:p>
          <w:p w14:paraId="733C2F7F" w14:textId="5C8E3EE9" w:rsidR="00BC2975" w:rsidRPr="00BC2975" w:rsidRDefault="005204FB" w:rsidP="00BC2975">
            <w:pPr>
              <w:numPr>
                <w:ilvl w:val="0"/>
                <w:numId w:val="298"/>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 c</w:t>
            </w:r>
            <w:r w:rsidR="00BC2975" w:rsidRPr="00BC2975">
              <w:rPr>
                <w:rFonts w:ascii="Arial" w:hAnsi="Arial" w:cs="Arial"/>
                <w:sz w:val="16"/>
                <w:szCs w:val="16"/>
              </w:rPr>
              <w:t>onceptual framework for training &amp; education for securing finance for real estate project development.</w:t>
            </w:r>
          </w:p>
          <w:p w14:paraId="66F72082" w14:textId="77777777" w:rsidR="00BC2975" w:rsidRPr="00BC2975" w:rsidRDefault="00BC2975" w:rsidP="00BC297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bl>
    <w:p w14:paraId="28D294D4" w14:textId="60FCEE4B" w:rsidR="00CD6352" w:rsidRPr="00FD4C29" w:rsidRDefault="002E47A1" w:rsidP="00CD6352">
      <w:pPr>
        <w:spacing w:line="240" w:lineRule="auto"/>
        <w:rPr>
          <w:rFonts w:ascii="Arial" w:hAnsi="Arial" w:cs="Arial"/>
          <w:sz w:val="16"/>
          <w:szCs w:val="16"/>
        </w:rPr>
      </w:pPr>
      <w:r>
        <w:rPr>
          <w:rFonts w:ascii="Times New Roman" w:hAnsi="Times New Roman" w:cs="Times New Roman"/>
          <w:noProof/>
          <w:sz w:val="24"/>
          <w:szCs w:val="24"/>
          <w:lang w:eastAsia="en-GB"/>
        </w:rPr>
        <mc:AlternateContent>
          <mc:Choice Requires="wps">
            <w:drawing>
              <wp:anchor distT="0" distB="0" distL="114300" distR="114300" simplePos="0" relativeHeight="251857920" behindDoc="0" locked="0" layoutInCell="1" allowOverlap="1" wp14:anchorId="7FD78BEE" wp14:editId="3B25513A">
                <wp:simplePos x="0" y="0"/>
                <wp:positionH relativeFrom="margin">
                  <wp:posOffset>-254635</wp:posOffset>
                </wp:positionH>
                <wp:positionV relativeFrom="paragraph">
                  <wp:posOffset>-8177657</wp:posOffset>
                </wp:positionV>
                <wp:extent cx="6428232" cy="8247888"/>
                <wp:effectExtent l="0" t="0" r="10795" b="20320"/>
                <wp:wrapNone/>
                <wp:docPr id="54" name="Flowchart: Alternate Process 54"/>
                <wp:cNvGraphicFramePr/>
                <a:graphic xmlns:a="http://schemas.openxmlformats.org/drawingml/2006/main">
                  <a:graphicData uri="http://schemas.microsoft.com/office/word/2010/wordprocessingShape">
                    <wps:wsp>
                      <wps:cNvSpPr/>
                      <wps:spPr>
                        <a:xfrm flipV="1">
                          <a:off x="0" y="0"/>
                          <a:ext cx="6428232" cy="8247888"/>
                        </a:xfrm>
                        <a:prstGeom prst="flowChartAlternateProcess">
                          <a:avLst/>
                        </a:prstGeom>
                        <a:noFill/>
                        <a:ln w="25400" cap="flat" cmpd="sng" algn="ctr">
                          <a:solidFill>
                            <a:sysClr val="windowText" lastClr="000000"/>
                          </a:solidFill>
                          <a:prstDash val="solid"/>
                        </a:ln>
                        <a:effectLst/>
                      </wps:spPr>
                      <wps:txbx>
                        <w:txbxContent>
                          <w:p w14:paraId="2884554E" w14:textId="77777777" w:rsidR="00AF6144" w:rsidRDefault="00AF6144" w:rsidP="00AF6144">
                            <w:pPr>
                              <w:spacing w:line="240" w:lineRule="auto"/>
                              <w:rPr>
                                <w:rFonts w:ascii="Arial" w:hAnsi="Arial" w:cs="Arial"/>
                                <w:sz w:val="16"/>
                                <w:szCs w:val="16"/>
                              </w:rPr>
                            </w:pPr>
                            <w:permStart w:id="1748395043" w:edGrp="everyone"/>
                            <w:permEnd w:id="1748395043"/>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78BE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4" o:spid="_x0000_s1032" type="#_x0000_t176" style="position:absolute;margin-left:-20.05pt;margin-top:-643.9pt;width:506.15pt;height:649.45pt;flip:y;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" filled="f" strokecolor="windowText" strokeweight="2pt">
                <v:textbox>
                  <w:txbxContent>
                    <w:p w14:paraId="2884554E" w14:textId="77777777" w:rsidR="00AF6144" w:rsidRDefault="00AF6144" w:rsidP="00AF6144">
                      <w:pPr>
                        <w:spacing w:line="240" w:lineRule="auto"/>
                        <w:rPr>
                          <w:rFonts w:ascii="Arial" w:hAnsi="Arial" w:cs="Arial"/>
                          <w:sz w:val="16"/>
                          <w:szCs w:val="16"/>
                        </w:rPr>
                      </w:pPr>
                      <w:permStart w:id="1748395043" w:edGrp="everyone"/>
                      <w:permEnd w:id="1748395043"/>
                    </w:p>
                  </w:txbxContent>
                </v:textbox>
                <w10:wrap anchorx="margin"/>
              </v:shape>
            </w:pict>
          </mc:Fallback>
        </mc:AlternateContent>
      </w:r>
      <w:bookmarkStart w:id="791" w:name="_Toc23029197"/>
    </w:p>
    <w:p w14:paraId="31A45691" w14:textId="5BFB9108" w:rsidR="00CD6352" w:rsidRPr="00FD4C29" w:rsidRDefault="003475C4" w:rsidP="00CD6352">
      <w:pPr>
        <w:spacing w:line="240" w:lineRule="auto"/>
        <w:rPr>
          <w:rFonts w:ascii="Arial" w:hAnsi="Arial" w:cs="Arial"/>
          <w:sz w:val="16"/>
          <w:szCs w:val="16"/>
        </w:rPr>
      </w:pPr>
      <w:r w:rsidRPr="00EA7665">
        <w:rPr>
          <w:noProof/>
          <w:lang w:eastAsia="en-GB"/>
        </w:rPr>
        <mc:AlternateContent>
          <mc:Choice Requires="wps">
            <w:drawing>
              <wp:anchor distT="0" distB="0" distL="114300" distR="114300" simplePos="0" relativeHeight="251855872" behindDoc="0" locked="0" layoutInCell="1" allowOverlap="1" wp14:anchorId="550A57A9" wp14:editId="1B3DC2E0">
                <wp:simplePos x="0" y="0"/>
                <wp:positionH relativeFrom="margin">
                  <wp:align>right</wp:align>
                </wp:positionH>
                <wp:positionV relativeFrom="paragraph">
                  <wp:posOffset>210906</wp:posOffset>
                </wp:positionV>
                <wp:extent cx="5846445" cy="272415"/>
                <wp:effectExtent l="0" t="0" r="1905" b="0"/>
                <wp:wrapNone/>
                <wp:docPr id="144" name="Text Box 144"/>
                <wp:cNvGraphicFramePr/>
                <a:graphic xmlns:a="http://schemas.openxmlformats.org/drawingml/2006/main">
                  <a:graphicData uri="http://schemas.microsoft.com/office/word/2010/wordprocessingShape">
                    <wps:wsp>
                      <wps:cNvSpPr txBox="1"/>
                      <wps:spPr>
                        <a:xfrm>
                          <a:off x="0" y="0"/>
                          <a:ext cx="5846445" cy="272415"/>
                        </a:xfrm>
                        <a:prstGeom prst="rect">
                          <a:avLst/>
                        </a:prstGeom>
                        <a:solidFill>
                          <a:prstClr val="white"/>
                        </a:solidFill>
                        <a:ln>
                          <a:noFill/>
                        </a:ln>
                      </wps:spPr>
                      <wps:txbx>
                        <w:txbxContent>
                          <w:p w14:paraId="72C7A1DE" w14:textId="71FA95CE" w:rsidR="00BC2975" w:rsidRPr="0048272B" w:rsidRDefault="00BC2975" w:rsidP="00BC2975">
                            <w:pPr>
                              <w:pStyle w:val="Caption"/>
                              <w:spacing w:after="0"/>
                              <w:rPr>
                                <w:rFonts w:ascii="Arial" w:hAnsi="Arial" w:cs="Arial"/>
                                <w:i w:val="0"/>
                                <w:iCs w:val="0"/>
                              </w:rPr>
                            </w:pPr>
                            <w:bookmarkStart w:id="792" w:name="_Toc78739571"/>
                            <w:permStart w:id="1519337878" w:edGrp="everyone"/>
                            <w:r w:rsidRPr="0048272B">
                              <w:rPr>
                                <w:rFonts w:ascii="Arial" w:hAnsi="Arial" w:cs="Arial"/>
                                <w:i w:val="0"/>
                                <w:iCs w:val="0"/>
                              </w:rPr>
                              <w:t xml:space="preserve">Figure </w:t>
                            </w:r>
                            <w:r>
                              <w:rPr>
                                <w:rFonts w:ascii="Arial" w:hAnsi="Arial" w:cs="Arial"/>
                                <w:i w:val="0"/>
                                <w:iCs w:val="0"/>
                              </w:rPr>
                              <w:fldChar w:fldCharType="begin"/>
                            </w:r>
                            <w:r>
                              <w:rPr>
                                <w:rFonts w:ascii="Arial" w:hAnsi="Arial" w:cs="Arial"/>
                                <w:i w:val="0"/>
                                <w:iCs w:val="0"/>
                              </w:rPr>
                              <w:instrText xml:space="preserve"> STYLEREF 2 \s </w:instrText>
                            </w:r>
                            <w:r>
                              <w:rPr>
                                <w:rFonts w:ascii="Arial" w:hAnsi="Arial" w:cs="Arial"/>
                                <w:i w:val="0"/>
                                <w:iCs w:val="0"/>
                              </w:rPr>
                              <w:fldChar w:fldCharType="separate"/>
                            </w:r>
                            <w:r>
                              <w:rPr>
                                <w:rFonts w:ascii="Arial" w:hAnsi="Arial" w:cs="Arial"/>
                                <w:i w:val="0"/>
                                <w:iCs w:val="0"/>
                                <w:noProof/>
                              </w:rPr>
                              <w:t>3.9</w:t>
                            </w:r>
                            <w:r>
                              <w:rPr>
                                <w:rFonts w:ascii="Arial" w:hAnsi="Arial" w:cs="Arial"/>
                                <w:i w:val="0"/>
                                <w:iCs w:val="0"/>
                              </w:rPr>
                              <w:fldChar w:fldCharType="end"/>
                            </w:r>
                            <w:r>
                              <w:rPr>
                                <w:rFonts w:ascii="Arial" w:hAnsi="Arial" w:cs="Arial"/>
                                <w:i w:val="0"/>
                                <w:iCs w:val="0"/>
                              </w:rPr>
                              <w:noBreakHyphen/>
                            </w:r>
                            <w:r>
                              <w:rPr>
                                <w:rFonts w:ascii="Arial" w:hAnsi="Arial" w:cs="Arial"/>
                                <w:i w:val="0"/>
                                <w:iCs w:val="0"/>
                              </w:rPr>
                              <w:fldChar w:fldCharType="begin"/>
                            </w:r>
                            <w:r>
                              <w:rPr>
                                <w:rFonts w:ascii="Arial" w:hAnsi="Arial" w:cs="Arial"/>
                                <w:i w:val="0"/>
                                <w:iCs w:val="0"/>
                              </w:rPr>
                              <w:instrText xml:space="preserve"> SEQ Figure \* ARABIC \s 2 </w:instrText>
                            </w:r>
                            <w:r>
                              <w:rPr>
                                <w:rFonts w:ascii="Arial" w:hAnsi="Arial" w:cs="Arial"/>
                                <w:i w:val="0"/>
                                <w:iCs w:val="0"/>
                              </w:rPr>
                              <w:fldChar w:fldCharType="separate"/>
                            </w:r>
                            <w:r>
                              <w:rPr>
                                <w:rFonts w:ascii="Arial" w:hAnsi="Arial" w:cs="Arial"/>
                                <w:i w:val="0"/>
                                <w:iCs w:val="0"/>
                                <w:noProof/>
                              </w:rPr>
                              <w:t>1</w:t>
                            </w:r>
                            <w:r>
                              <w:rPr>
                                <w:rFonts w:ascii="Arial" w:hAnsi="Arial" w:cs="Arial"/>
                                <w:i w:val="0"/>
                                <w:iCs w:val="0"/>
                              </w:rPr>
                              <w:fldChar w:fldCharType="end"/>
                            </w:r>
                            <w:r w:rsidRPr="0048272B">
                              <w:rPr>
                                <w:rFonts w:ascii="Arial" w:hAnsi="Arial" w:cs="Arial"/>
                                <w:i w:val="0"/>
                                <w:iCs w:val="0"/>
                              </w:rPr>
                              <w:t>:</w:t>
                            </w:r>
                            <w:r w:rsidRPr="0048272B">
                              <w:rPr>
                                <w:rFonts w:ascii="Arial" w:hAnsi="Arial" w:cs="Arial"/>
                                <w:i w:val="0"/>
                                <w:iCs w:val="0"/>
                                <w:sz w:val="16"/>
                                <w:szCs w:val="16"/>
                              </w:rPr>
                              <w:t xml:space="preserve"> </w:t>
                            </w:r>
                            <w:r>
                              <w:rPr>
                                <w:rFonts w:ascii="Arial" w:hAnsi="Arial" w:cs="Arial"/>
                                <w:i w:val="0"/>
                                <w:iCs w:val="0"/>
                              </w:rPr>
                              <w:t xml:space="preserve">Developed </w:t>
                            </w:r>
                            <w:r w:rsidR="00F17EC7">
                              <w:rPr>
                                <w:rFonts w:ascii="Arial" w:hAnsi="Arial" w:cs="Arial"/>
                                <w:i w:val="0"/>
                                <w:iCs w:val="0"/>
                              </w:rPr>
                              <w:t xml:space="preserve">Initial </w:t>
                            </w:r>
                            <w:r>
                              <w:rPr>
                                <w:rFonts w:ascii="Arial" w:hAnsi="Arial" w:cs="Arial"/>
                                <w:i w:val="0"/>
                                <w:iCs w:val="0"/>
                              </w:rPr>
                              <w:t xml:space="preserve">Conceptual </w:t>
                            </w:r>
                            <w:r w:rsidR="00AF6144">
                              <w:rPr>
                                <w:rFonts w:ascii="Arial" w:hAnsi="Arial" w:cs="Arial"/>
                                <w:i w:val="0"/>
                                <w:iCs w:val="0"/>
                              </w:rPr>
                              <w:t xml:space="preserve">Model </w:t>
                            </w:r>
                            <w:r>
                              <w:rPr>
                                <w:rFonts w:ascii="Arial" w:hAnsi="Arial" w:cs="Arial"/>
                                <w:i w:val="0"/>
                                <w:iCs w:val="0"/>
                              </w:rPr>
                              <w:t>from Present Study</w:t>
                            </w:r>
                            <w:bookmarkEnd w:id="792"/>
                          </w:p>
                          <w:p w14:paraId="6F99C8D1" w14:textId="77777777" w:rsidR="00BC2975" w:rsidRPr="00073A68" w:rsidRDefault="00BC2975" w:rsidP="00BC2975">
                            <w:pPr>
                              <w:pStyle w:val="Caption"/>
                              <w:spacing w:after="0"/>
                              <w:rPr>
                                <w:rFonts w:ascii="Arial" w:hAnsi="Arial" w:cs="Arial"/>
                                <w:noProof/>
                                <w:color w:val="000000"/>
                                <w:sz w:val="20"/>
                                <w:szCs w:val="24"/>
                              </w:rPr>
                            </w:pPr>
                            <w:r w:rsidRPr="0048272B">
                              <w:rPr>
                                <w:rFonts w:ascii="Arial" w:hAnsi="Arial" w:cs="Arial"/>
                                <w:i w:val="0"/>
                                <w:iCs w:val="0"/>
                              </w:rPr>
                              <w:t>Source: Author’s formation (20</w:t>
                            </w:r>
                            <w:r>
                              <w:rPr>
                                <w:rFonts w:ascii="Arial" w:hAnsi="Arial" w:cs="Arial"/>
                                <w:i w:val="0"/>
                                <w:iCs w:val="0"/>
                              </w:rPr>
                              <w:t>21)</w:t>
                            </w:r>
                            <w:permEnd w:id="15193378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57A9" id="Text Box 144" o:spid="_x0000_s1033" type="#_x0000_t202" style="position:absolute;margin-left:409.15pt;margin-top:16.6pt;width:460.35pt;height:21.4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" stroked="f">
                <v:textbox inset="0,0,0,0">
                  <w:txbxContent>
                    <w:p w14:paraId="72C7A1DE" w14:textId="71FA95CE" w:rsidR="00BC2975" w:rsidRPr="0048272B" w:rsidRDefault="00BC2975" w:rsidP="00BC2975">
                      <w:pPr>
                        <w:pStyle w:val="Caption"/>
                        <w:spacing w:after="0"/>
                        <w:rPr>
                          <w:rFonts w:ascii="Arial" w:hAnsi="Arial" w:cs="Arial"/>
                          <w:i w:val="0"/>
                          <w:iCs w:val="0"/>
                        </w:rPr>
                      </w:pPr>
                      <w:bookmarkStart w:id="793" w:name="_Toc78739571"/>
                      <w:permStart w:id="1519337878" w:edGrp="everyone"/>
                      <w:r w:rsidRPr="0048272B">
                        <w:rPr>
                          <w:rFonts w:ascii="Arial" w:hAnsi="Arial" w:cs="Arial"/>
                          <w:i w:val="0"/>
                          <w:iCs w:val="0"/>
                        </w:rPr>
                        <w:t xml:space="preserve">Figure </w:t>
                      </w:r>
                      <w:r>
                        <w:rPr>
                          <w:rFonts w:ascii="Arial" w:hAnsi="Arial" w:cs="Arial"/>
                          <w:i w:val="0"/>
                          <w:iCs w:val="0"/>
                        </w:rPr>
                        <w:fldChar w:fldCharType="begin"/>
                      </w:r>
                      <w:r>
                        <w:rPr>
                          <w:rFonts w:ascii="Arial" w:hAnsi="Arial" w:cs="Arial"/>
                          <w:i w:val="0"/>
                          <w:iCs w:val="0"/>
                        </w:rPr>
                        <w:instrText xml:space="preserve"> STYLEREF 2 \s </w:instrText>
                      </w:r>
                      <w:r>
                        <w:rPr>
                          <w:rFonts w:ascii="Arial" w:hAnsi="Arial" w:cs="Arial"/>
                          <w:i w:val="0"/>
                          <w:iCs w:val="0"/>
                        </w:rPr>
                        <w:fldChar w:fldCharType="separate"/>
                      </w:r>
                      <w:r>
                        <w:rPr>
                          <w:rFonts w:ascii="Arial" w:hAnsi="Arial" w:cs="Arial"/>
                          <w:i w:val="0"/>
                          <w:iCs w:val="0"/>
                          <w:noProof/>
                        </w:rPr>
                        <w:t>3.9</w:t>
                      </w:r>
                      <w:r>
                        <w:rPr>
                          <w:rFonts w:ascii="Arial" w:hAnsi="Arial" w:cs="Arial"/>
                          <w:i w:val="0"/>
                          <w:iCs w:val="0"/>
                        </w:rPr>
                        <w:fldChar w:fldCharType="end"/>
                      </w:r>
                      <w:r>
                        <w:rPr>
                          <w:rFonts w:ascii="Arial" w:hAnsi="Arial" w:cs="Arial"/>
                          <w:i w:val="0"/>
                          <w:iCs w:val="0"/>
                        </w:rPr>
                        <w:noBreakHyphen/>
                      </w:r>
                      <w:r>
                        <w:rPr>
                          <w:rFonts w:ascii="Arial" w:hAnsi="Arial" w:cs="Arial"/>
                          <w:i w:val="0"/>
                          <w:iCs w:val="0"/>
                        </w:rPr>
                        <w:fldChar w:fldCharType="begin"/>
                      </w:r>
                      <w:r>
                        <w:rPr>
                          <w:rFonts w:ascii="Arial" w:hAnsi="Arial" w:cs="Arial"/>
                          <w:i w:val="0"/>
                          <w:iCs w:val="0"/>
                        </w:rPr>
                        <w:instrText xml:space="preserve"> SEQ Figure \* ARABIC \s 2 </w:instrText>
                      </w:r>
                      <w:r>
                        <w:rPr>
                          <w:rFonts w:ascii="Arial" w:hAnsi="Arial" w:cs="Arial"/>
                          <w:i w:val="0"/>
                          <w:iCs w:val="0"/>
                        </w:rPr>
                        <w:fldChar w:fldCharType="separate"/>
                      </w:r>
                      <w:r>
                        <w:rPr>
                          <w:rFonts w:ascii="Arial" w:hAnsi="Arial" w:cs="Arial"/>
                          <w:i w:val="0"/>
                          <w:iCs w:val="0"/>
                          <w:noProof/>
                        </w:rPr>
                        <w:t>1</w:t>
                      </w:r>
                      <w:r>
                        <w:rPr>
                          <w:rFonts w:ascii="Arial" w:hAnsi="Arial" w:cs="Arial"/>
                          <w:i w:val="0"/>
                          <w:iCs w:val="0"/>
                        </w:rPr>
                        <w:fldChar w:fldCharType="end"/>
                      </w:r>
                      <w:r w:rsidRPr="0048272B">
                        <w:rPr>
                          <w:rFonts w:ascii="Arial" w:hAnsi="Arial" w:cs="Arial"/>
                          <w:i w:val="0"/>
                          <w:iCs w:val="0"/>
                        </w:rPr>
                        <w:t>:</w:t>
                      </w:r>
                      <w:r w:rsidRPr="0048272B">
                        <w:rPr>
                          <w:rFonts w:ascii="Arial" w:hAnsi="Arial" w:cs="Arial"/>
                          <w:i w:val="0"/>
                          <w:iCs w:val="0"/>
                          <w:sz w:val="16"/>
                          <w:szCs w:val="16"/>
                        </w:rPr>
                        <w:t xml:space="preserve"> </w:t>
                      </w:r>
                      <w:r>
                        <w:rPr>
                          <w:rFonts w:ascii="Arial" w:hAnsi="Arial" w:cs="Arial"/>
                          <w:i w:val="0"/>
                          <w:iCs w:val="0"/>
                        </w:rPr>
                        <w:t xml:space="preserve">Developed </w:t>
                      </w:r>
                      <w:r w:rsidR="00F17EC7">
                        <w:rPr>
                          <w:rFonts w:ascii="Arial" w:hAnsi="Arial" w:cs="Arial"/>
                          <w:i w:val="0"/>
                          <w:iCs w:val="0"/>
                        </w:rPr>
                        <w:t xml:space="preserve">Initial </w:t>
                      </w:r>
                      <w:r>
                        <w:rPr>
                          <w:rFonts w:ascii="Arial" w:hAnsi="Arial" w:cs="Arial"/>
                          <w:i w:val="0"/>
                          <w:iCs w:val="0"/>
                        </w:rPr>
                        <w:t xml:space="preserve">Conceptual </w:t>
                      </w:r>
                      <w:r w:rsidR="00AF6144">
                        <w:rPr>
                          <w:rFonts w:ascii="Arial" w:hAnsi="Arial" w:cs="Arial"/>
                          <w:i w:val="0"/>
                          <w:iCs w:val="0"/>
                        </w:rPr>
                        <w:t xml:space="preserve">Model </w:t>
                      </w:r>
                      <w:r>
                        <w:rPr>
                          <w:rFonts w:ascii="Arial" w:hAnsi="Arial" w:cs="Arial"/>
                          <w:i w:val="0"/>
                          <w:iCs w:val="0"/>
                        </w:rPr>
                        <w:t>from Present Study</w:t>
                      </w:r>
                      <w:bookmarkEnd w:id="793"/>
                    </w:p>
                    <w:p w14:paraId="6F99C8D1" w14:textId="77777777" w:rsidR="00BC2975" w:rsidRPr="00073A68" w:rsidRDefault="00BC2975" w:rsidP="00BC2975">
                      <w:pPr>
                        <w:pStyle w:val="Caption"/>
                        <w:spacing w:after="0"/>
                        <w:rPr>
                          <w:rFonts w:ascii="Arial" w:hAnsi="Arial" w:cs="Arial"/>
                          <w:noProof/>
                          <w:color w:val="000000"/>
                          <w:sz w:val="20"/>
                          <w:szCs w:val="24"/>
                        </w:rPr>
                      </w:pPr>
                      <w:r w:rsidRPr="0048272B">
                        <w:rPr>
                          <w:rFonts w:ascii="Arial" w:hAnsi="Arial" w:cs="Arial"/>
                          <w:i w:val="0"/>
                          <w:iCs w:val="0"/>
                        </w:rPr>
                        <w:t>Source: Author’s formation (20</w:t>
                      </w:r>
                      <w:r>
                        <w:rPr>
                          <w:rFonts w:ascii="Arial" w:hAnsi="Arial" w:cs="Arial"/>
                          <w:i w:val="0"/>
                          <w:iCs w:val="0"/>
                        </w:rPr>
                        <w:t>21)</w:t>
                      </w:r>
                      <w:permEnd w:id="1519337878"/>
                    </w:p>
                  </w:txbxContent>
                </v:textbox>
                <w10:wrap anchorx="margin"/>
              </v:shape>
            </w:pict>
          </mc:Fallback>
        </mc:AlternateContent>
      </w:r>
    </w:p>
    <w:p w14:paraId="384E016E" w14:textId="77777777" w:rsidR="00CD6352" w:rsidRPr="00EA7665" w:rsidRDefault="00CD6352" w:rsidP="00CD6352">
      <w:pPr>
        <w:pStyle w:val="Heading3"/>
        <w:spacing w:after="240"/>
        <w:rPr>
          <w:sz w:val="22"/>
          <w:szCs w:val="22"/>
        </w:rPr>
      </w:pPr>
      <w:bookmarkStart w:id="794" w:name="_Toc76023483"/>
      <w:bookmarkStart w:id="795" w:name="_Toc76212176"/>
      <w:bookmarkStart w:id="796" w:name="_Toc76330929"/>
      <w:bookmarkStart w:id="797" w:name="_Toc76331724"/>
      <w:bookmarkStart w:id="798" w:name="_Toc76331980"/>
      <w:bookmarkStart w:id="799" w:name="_Toc76460423"/>
      <w:bookmarkStart w:id="800" w:name="_Toc76476099"/>
      <w:bookmarkStart w:id="801" w:name="_Toc76494039"/>
      <w:bookmarkStart w:id="802" w:name="_Toc77600705"/>
      <w:bookmarkStart w:id="803" w:name="_Toc77939277"/>
      <w:bookmarkStart w:id="804" w:name="_Toc77949071"/>
      <w:bookmarkStart w:id="805" w:name="_Toc76023484"/>
      <w:bookmarkStart w:id="806" w:name="_Toc76212177"/>
      <w:bookmarkStart w:id="807" w:name="_Toc76330930"/>
      <w:bookmarkStart w:id="808" w:name="_Toc76331725"/>
      <w:bookmarkStart w:id="809" w:name="_Toc76331981"/>
      <w:bookmarkStart w:id="810" w:name="_Toc76460424"/>
      <w:bookmarkStart w:id="811" w:name="_Toc76476100"/>
      <w:bookmarkStart w:id="812" w:name="_Toc76494040"/>
      <w:bookmarkStart w:id="813" w:name="_Toc77600706"/>
      <w:bookmarkStart w:id="814" w:name="_Toc77939278"/>
      <w:bookmarkStart w:id="815" w:name="_Toc77949072"/>
      <w:bookmarkStart w:id="816" w:name="_Toc76023485"/>
      <w:bookmarkStart w:id="817" w:name="_Toc76212178"/>
      <w:bookmarkStart w:id="818" w:name="_Toc76330931"/>
      <w:bookmarkStart w:id="819" w:name="_Toc76331726"/>
      <w:bookmarkStart w:id="820" w:name="_Toc76331982"/>
      <w:bookmarkStart w:id="821" w:name="_Toc76460425"/>
      <w:bookmarkStart w:id="822" w:name="_Toc76476101"/>
      <w:bookmarkStart w:id="823" w:name="_Toc76494041"/>
      <w:bookmarkStart w:id="824" w:name="_Toc77600707"/>
      <w:bookmarkStart w:id="825" w:name="_Toc77939279"/>
      <w:bookmarkStart w:id="826" w:name="_Toc77949073"/>
      <w:bookmarkStart w:id="827" w:name="_Toc76023486"/>
      <w:bookmarkStart w:id="828" w:name="_Toc76212179"/>
      <w:bookmarkStart w:id="829" w:name="_Toc76330932"/>
      <w:bookmarkStart w:id="830" w:name="_Toc76331727"/>
      <w:bookmarkStart w:id="831" w:name="_Toc76331983"/>
      <w:bookmarkStart w:id="832" w:name="_Toc76460426"/>
      <w:bookmarkStart w:id="833" w:name="_Toc76476102"/>
      <w:bookmarkStart w:id="834" w:name="_Toc76494042"/>
      <w:bookmarkStart w:id="835" w:name="_Toc77600708"/>
      <w:bookmarkStart w:id="836" w:name="_Toc77939280"/>
      <w:bookmarkStart w:id="837" w:name="_Toc77949074"/>
      <w:bookmarkStart w:id="838" w:name="_Toc76023487"/>
      <w:bookmarkStart w:id="839" w:name="_Toc76212180"/>
      <w:bookmarkStart w:id="840" w:name="_Toc76330933"/>
      <w:bookmarkStart w:id="841" w:name="_Toc76331728"/>
      <w:bookmarkStart w:id="842" w:name="_Toc76331984"/>
      <w:bookmarkStart w:id="843" w:name="_Toc76460427"/>
      <w:bookmarkStart w:id="844" w:name="_Toc76476103"/>
      <w:bookmarkStart w:id="845" w:name="_Toc76494043"/>
      <w:bookmarkStart w:id="846" w:name="_Toc77600709"/>
      <w:bookmarkStart w:id="847" w:name="_Toc77939281"/>
      <w:bookmarkStart w:id="848" w:name="_Toc77949075"/>
      <w:bookmarkStart w:id="849" w:name="_Toc76023488"/>
      <w:bookmarkStart w:id="850" w:name="_Toc76212181"/>
      <w:bookmarkStart w:id="851" w:name="_Toc76330934"/>
      <w:bookmarkStart w:id="852" w:name="_Toc76331729"/>
      <w:bookmarkStart w:id="853" w:name="_Toc76331985"/>
      <w:bookmarkStart w:id="854" w:name="_Toc76460428"/>
      <w:bookmarkStart w:id="855" w:name="_Toc76476104"/>
      <w:bookmarkStart w:id="856" w:name="_Toc76494044"/>
      <w:bookmarkStart w:id="857" w:name="_Toc77600710"/>
      <w:bookmarkStart w:id="858" w:name="_Toc77939282"/>
      <w:bookmarkStart w:id="859" w:name="_Toc77949076"/>
      <w:bookmarkStart w:id="860" w:name="_Toc76023489"/>
      <w:bookmarkStart w:id="861" w:name="_Toc76212182"/>
      <w:bookmarkStart w:id="862" w:name="_Toc76330935"/>
      <w:bookmarkStart w:id="863" w:name="_Toc76331730"/>
      <w:bookmarkStart w:id="864" w:name="_Toc76331986"/>
      <w:bookmarkStart w:id="865" w:name="_Toc76460429"/>
      <w:bookmarkStart w:id="866" w:name="_Toc76476105"/>
      <w:bookmarkStart w:id="867" w:name="_Toc76494045"/>
      <w:bookmarkStart w:id="868" w:name="_Toc77600711"/>
      <w:bookmarkStart w:id="869" w:name="_Toc77939283"/>
      <w:bookmarkStart w:id="870" w:name="_Toc77949077"/>
      <w:bookmarkStart w:id="871" w:name="_Toc76023490"/>
      <w:bookmarkStart w:id="872" w:name="_Toc76212183"/>
      <w:bookmarkStart w:id="873" w:name="_Toc76330936"/>
      <w:bookmarkStart w:id="874" w:name="_Toc76331731"/>
      <w:bookmarkStart w:id="875" w:name="_Toc76331987"/>
      <w:bookmarkStart w:id="876" w:name="_Toc76460430"/>
      <w:bookmarkStart w:id="877" w:name="_Toc76476106"/>
      <w:bookmarkStart w:id="878" w:name="_Toc76494046"/>
      <w:bookmarkStart w:id="879" w:name="_Toc77600712"/>
      <w:bookmarkStart w:id="880" w:name="_Toc77939284"/>
      <w:bookmarkStart w:id="881" w:name="_Toc77949078"/>
      <w:bookmarkStart w:id="882" w:name="_Toc76023491"/>
      <w:bookmarkStart w:id="883" w:name="_Toc76212184"/>
      <w:bookmarkStart w:id="884" w:name="_Toc76330937"/>
      <w:bookmarkStart w:id="885" w:name="_Toc76331732"/>
      <w:bookmarkStart w:id="886" w:name="_Toc76331988"/>
      <w:bookmarkStart w:id="887" w:name="_Toc76460431"/>
      <w:bookmarkStart w:id="888" w:name="_Toc76476107"/>
      <w:bookmarkStart w:id="889" w:name="_Toc76494047"/>
      <w:bookmarkStart w:id="890" w:name="_Toc77600713"/>
      <w:bookmarkStart w:id="891" w:name="_Toc77939285"/>
      <w:bookmarkStart w:id="892" w:name="_Toc77949079"/>
      <w:bookmarkStart w:id="893" w:name="_Toc76023492"/>
      <w:bookmarkStart w:id="894" w:name="_Toc76212185"/>
      <w:bookmarkStart w:id="895" w:name="_Toc76330938"/>
      <w:bookmarkStart w:id="896" w:name="_Toc76331733"/>
      <w:bookmarkStart w:id="897" w:name="_Toc76331989"/>
      <w:bookmarkStart w:id="898" w:name="_Toc76460432"/>
      <w:bookmarkStart w:id="899" w:name="_Toc76476108"/>
      <w:bookmarkStart w:id="900" w:name="_Toc76494048"/>
      <w:bookmarkStart w:id="901" w:name="_Toc77600714"/>
      <w:bookmarkStart w:id="902" w:name="_Toc77939286"/>
      <w:bookmarkStart w:id="903" w:name="_Toc77949080"/>
      <w:bookmarkStart w:id="904" w:name="_Toc76023493"/>
      <w:bookmarkStart w:id="905" w:name="_Toc76212186"/>
      <w:bookmarkStart w:id="906" w:name="_Toc76330939"/>
      <w:bookmarkStart w:id="907" w:name="_Toc76331734"/>
      <w:bookmarkStart w:id="908" w:name="_Toc76331990"/>
      <w:bookmarkStart w:id="909" w:name="_Toc76460433"/>
      <w:bookmarkStart w:id="910" w:name="_Toc76476109"/>
      <w:bookmarkStart w:id="911" w:name="_Toc76494049"/>
      <w:bookmarkStart w:id="912" w:name="_Toc77600715"/>
      <w:bookmarkStart w:id="913" w:name="_Toc77939287"/>
      <w:bookmarkStart w:id="914" w:name="_Toc77949081"/>
      <w:bookmarkStart w:id="915" w:name="_Toc76023494"/>
      <w:bookmarkStart w:id="916" w:name="_Toc76212187"/>
      <w:bookmarkStart w:id="917" w:name="_Toc76330940"/>
      <w:bookmarkStart w:id="918" w:name="_Toc76331735"/>
      <w:bookmarkStart w:id="919" w:name="_Toc76331991"/>
      <w:bookmarkStart w:id="920" w:name="_Toc76460434"/>
      <w:bookmarkStart w:id="921" w:name="_Toc76476110"/>
      <w:bookmarkStart w:id="922" w:name="_Toc76494050"/>
      <w:bookmarkStart w:id="923" w:name="_Toc77600716"/>
      <w:bookmarkStart w:id="924" w:name="_Toc77939288"/>
      <w:bookmarkStart w:id="925" w:name="_Toc77949082"/>
      <w:bookmarkStart w:id="926" w:name="_Toc76023495"/>
      <w:bookmarkStart w:id="927" w:name="_Toc76212188"/>
      <w:bookmarkStart w:id="928" w:name="_Toc76330941"/>
      <w:bookmarkStart w:id="929" w:name="_Toc76331736"/>
      <w:bookmarkStart w:id="930" w:name="_Toc76331992"/>
      <w:bookmarkStart w:id="931" w:name="_Toc76460435"/>
      <w:bookmarkStart w:id="932" w:name="_Toc76476111"/>
      <w:bookmarkStart w:id="933" w:name="_Toc76494051"/>
      <w:bookmarkStart w:id="934" w:name="_Toc77600717"/>
      <w:bookmarkStart w:id="935" w:name="_Toc77939289"/>
      <w:bookmarkStart w:id="936" w:name="_Toc77949083"/>
      <w:bookmarkStart w:id="937" w:name="_Toc76023496"/>
      <w:bookmarkStart w:id="938" w:name="_Toc76212189"/>
      <w:bookmarkStart w:id="939" w:name="_Toc76330942"/>
      <w:bookmarkStart w:id="940" w:name="_Toc76331737"/>
      <w:bookmarkStart w:id="941" w:name="_Toc76331993"/>
      <w:bookmarkStart w:id="942" w:name="_Toc76460436"/>
      <w:bookmarkStart w:id="943" w:name="_Toc76476112"/>
      <w:bookmarkStart w:id="944" w:name="_Toc76494052"/>
      <w:bookmarkStart w:id="945" w:name="_Toc77600718"/>
      <w:bookmarkStart w:id="946" w:name="_Toc77939290"/>
      <w:bookmarkStart w:id="947" w:name="_Toc77949084"/>
      <w:bookmarkStart w:id="948" w:name="_Toc76023497"/>
      <w:bookmarkStart w:id="949" w:name="_Toc76212190"/>
      <w:bookmarkStart w:id="950" w:name="_Toc76330943"/>
      <w:bookmarkStart w:id="951" w:name="_Toc76331738"/>
      <w:bookmarkStart w:id="952" w:name="_Toc76331994"/>
      <w:bookmarkStart w:id="953" w:name="_Toc76460437"/>
      <w:bookmarkStart w:id="954" w:name="_Toc76476113"/>
      <w:bookmarkStart w:id="955" w:name="_Toc76494053"/>
      <w:bookmarkStart w:id="956" w:name="_Toc77600719"/>
      <w:bookmarkStart w:id="957" w:name="_Toc77939291"/>
      <w:bookmarkStart w:id="958" w:name="_Toc77949085"/>
      <w:bookmarkStart w:id="959" w:name="_Toc76023498"/>
      <w:bookmarkStart w:id="960" w:name="_Toc76212191"/>
      <w:bookmarkStart w:id="961" w:name="_Toc76330944"/>
      <w:bookmarkStart w:id="962" w:name="_Toc76331739"/>
      <w:bookmarkStart w:id="963" w:name="_Toc76331995"/>
      <w:bookmarkStart w:id="964" w:name="_Toc76460438"/>
      <w:bookmarkStart w:id="965" w:name="_Toc76476114"/>
      <w:bookmarkStart w:id="966" w:name="_Toc76494054"/>
      <w:bookmarkStart w:id="967" w:name="_Toc77600720"/>
      <w:bookmarkStart w:id="968" w:name="_Toc77939292"/>
      <w:bookmarkStart w:id="969" w:name="_Toc77949086"/>
      <w:bookmarkStart w:id="970" w:name="_Toc76023499"/>
      <w:bookmarkStart w:id="971" w:name="_Toc76212192"/>
      <w:bookmarkStart w:id="972" w:name="_Toc76330945"/>
      <w:bookmarkStart w:id="973" w:name="_Toc76331740"/>
      <w:bookmarkStart w:id="974" w:name="_Toc76331996"/>
      <w:bookmarkStart w:id="975" w:name="_Toc76460439"/>
      <w:bookmarkStart w:id="976" w:name="_Toc76476115"/>
      <w:bookmarkStart w:id="977" w:name="_Toc76494055"/>
      <w:bookmarkStart w:id="978" w:name="_Toc77600721"/>
      <w:bookmarkStart w:id="979" w:name="_Toc77939293"/>
      <w:bookmarkStart w:id="980" w:name="_Toc77949087"/>
      <w:bookmarkStart w:id="981" w:name="_Toc76023500"/>
      <w:bookmarkStart w:id="982" w:name="_Toc76212193"/>
      <w:bookmarkStart w:id="983" w:name="_Toc76330946"/>
      <w:bookmarkStart w:id="984" w:name="_Toc76331741"/>
      <w:bookmarkStart w:id="985" w:name="_Toc76331997"/>
      <w:bookmarkStart w:id="986" w:name="_Toc76460440"/>
      <w:bookmarkStart w:id="987" w:name="_Toc76476116"/>
      <w:bookmarkStart w:id="988" w:name="_Toc76494056"/>
      <w:bookmarkStart w:id="989" w:name="_Toc77600722"/>
      <w:bookmarkStart w:id="990" w:name="_Toc77939294"/>
      <w:bookmarkStart w:id="991" w:name="_Toc77949088"/>
      <w:bookmarkStart w:id="992" w:name="_Toc76023501"/>
      <w:bookmarkStart w:id="993" w:name="_Toc76212194"/>
      <w:bookmarkStart w:id="994" w:name="_Toc76330947"/>
      <w:bookmarkStart w:id="995" w:name="_Toc76331742"/>
      <w:bookmarkStart w:id="996" w:name="_Toc76331998"/>
      <w:bookmarkStart w:id="997" w:name="_Toc76460441"/>
      <w:bookmarkStart w:id="998" w:name="_Toc76476117"/>
      <w:bookmarkStart w:id="999" w:name="_Toc76494057"/>
      <w:bookmarkStart w:id="1000" w:name="_Toc77600723"/>
      <w:bookmarkStart w:id="1001" w:name="_Toc77939295"/>
      <w:bookmarkStart w:id="1002" w:name="_Toc77949089"/>
      <w:bookmarkStart w:id="1003" w:name="_Toc78983807"/>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Pr="00EA7665">
        <w:rPr>
          <w:sz w:val="22"/>
          <w:szCs w:val="22"/>
        </w:rPr>
        <w:lastRenderedPageBreak/>
        <w:t>What is a toolkit?</w:t>
      </w:r>
      <w:bookmarkEnd w:id="1003"/>
    </w:p>
    <w:p w14:paraId="23999E1F" w14:textId="1D79442D" w:rsidR="00CD6352" w:rsidRPr="00EA7665" w:rsidRDefault="00CD6352" w:rsidP="00CD6352">
      <w:pPr>
        <w:spacing w:line="360" w:lineRule="auto"/>
        <w:rPr>
          <w:rFonts w:ascii="Arial" w:hAnsi="Arial" w:cs="Arial"/>
        </w:rPr>
      </w:pPr>
      <w:bookmarkStart w:id="1004" w:name="_Hlk64370297"/>
      <w:r w:rsidRPr="00C0260E">
        <w:rPr>
          <w:rFonts w:ascii="Arial" w:hAnsi="Arial" w:cs="Arial"/>
        </w:rPr>
        <w:t xml:space="preserve">A toolkit is a collection of firm and adaptable resources for managers or staff that enable them to learn about an issue and identify approaches to address them; it is a composition of materials and experiences used to facilitate an individual’s critical reflection on teaching and learning (Nichols et al., 1997). This study defines a toolkit for securing finance as a set of reliable and adaptable resources that could </w:t>
      </w:r>
      <w:r w:rsidR="00175B44">
        <w:rPr>
          <w:rFonts w:ascii="Arial" w:hAnsi="Arial" w:cs="Arial"/>
        </w:rPr>
        <w:t>guide the managers involved in</w:t>
      </w:r>
      <w:r w:rsidRPr="00C0260E">
        <w:rPr>
          <w:rFonts w:ascii="Arial" w:hAnsi="Arial" w:cs="Arial"/>
        </w:rPr>
        <w:t xml:space="preserve"> securing finance for real estate project development.</w:t>
      </w:r>
      <w:r w:rsidRPr="00EA7665">
        <w:rPr>
          <w:rFonts w:ascii="Arial" w:hAnsi="Arial" w:cs="Arial"/>
        </w:rPr>
        <w:t xml:space="preserve"> </w:t>
      </w:r>
    </w:p>
    <w:p w14:paraId="5753D7D6" w14:textId="77777777" w:rsidR="00CD6352" w:rsidRPr="00EA7665" w:rsidRDefault="00CD6352" w:rsidP="00CD6352">
      <w:pPr>
        <w:pStyle w:val="Heading3"/>
        <w:spacing w:line="360" w:lineRule="auto"/>
        <w:rPr>
          <w:sz w:val="22"/>
          <w:szCs w:val="22"/>
        </w:rPr>
      </w:pPr>
      <w:bookmarkStart w:id="1005" w:name="_Toc78983808"/>
      <w:r w:rsidRPr="00EA7665">
        <w:rPr>
          <w:sz w:val="22"/>
          <w:szCs w:val="22"/>
        </w:rPr>
        <w:t>Why is a toolkit needed?</w:t>
      </w:r>
      <w:bookmarkEnd w:id="1005"/>
    </w:p>
    <w:p w14:paraId="468C1F02" w14:textId="3B41B86A" w:rsidR="00CD6352" w:rsidRPr="00EA7665" w:rsidRDefault="00CD6352" w:rsidP="00CD6352">
      <w:pPr>
        <w:spacing w:line="360" w:lineRule="auto"/>
        <w:rPr>
          <w:rFonts w:ascii="Arial" w:hAnsi="Arial" w:cs="Arial"/>
        </w:rPr>
      </w:pPr>
      <w:r w:rsidRPr="00EA7665">
        <w:rPr>
          <w:rFonts w:ascii="Arial" w:hAnsi="Arial" w:cs="Arial"/>
        </w:rPr>
        <w:t>The previous chapters show that finance is needed to effectively executive real estate project development. Banks and other financers around the world have become wary about lending despite the high global liquidity. This is because regulators have clamped down on risky lending (</w:t>
      </w:r>
      <w:r>
        <w:rPr>
          <w:rFonts w:ascii="Arial" w:hAnsi="Arial" w:cs="Arial"/>
        </w:rPr>
        <w:t>Barth et al</w:t>
      </w:r>
      <w:r w:rsidR="00A97734">
        <w:rPr>
          <w:rFonts w:ascii="Arial" w:hAnsi="Arial" w:cs="Arial"/>
        </w:rPr>
        <w:t>.</w:t>
      </w:r>
      <w:r>
        <w:rPr>
          <w:rFonts w:ascii="Arial" w:hAnsi="Arial" w:cs="Arial"/>
        </w:rPr>
        <w:t>, 2013;</w:t>
      </w:r>
      <w:r w:rsidRPr="00810216">
        <w:rPr>
          <w:rFonts w:ascii="Arial" w:hAnsi="Arial" w:cs="Arial"/>
        </w:rPr>
        <w:t xml:space="preserve"> </w:t>
      </w:r>
      <w:r w:rsidRPr="00810216">
        <w:rPr>
          <w:rFonts w:ascii="Arial" w:hAnsi="Arial" w:cs="Arial"/>
          <w:color w:val="000000"/>
        </w:rPr>
        <w:t>Chortareas</w:t>
      </w:r>
      <w:r>
        <w:rPr>
          <w:rFonts w:ascii="Arial" w:hAnsi="Arial" w:cs="Arial"/>
          <w:color w:val="000000"/>
        </w:rPr>
        <w:t xml:space="preserve"> et al</w:t>
      </w:r>
      <w:r w:rsidR="00374C4E">
        <w:rPr>
          <w:rFonts w:ascii="Arial" w:hAnsi="Arial" w:cs="Arial"/>
          <w:color w:val="000000"/>
        </w:rPr>
        <w:t>.</w:t>
      </w:r>
      <w:r>
        <w:rPr>
          <w:rFonts w:ascii="Arial" w:hAnsi="Arial" w:cs="Arial"/>
          <w:color w:val="000000"/>
        </w:rPr>
        <w:t>, 2012</w:t>
      </w:r>
      <w:r w:rsidRPr="00810216">
        <w:rPr>
          <w:rFonts w:ascii="Arial" w:hAnsi="Arial" w:cs="Arial"/>
        </w:rPr>
        <w:t>).</w:t>
      </w:r>
    </w:p>
    <w:p w14:paraId="088E69A5" w14:textId="242BE0A2" w:rsidR="00CD6352" w:rsidRPr="00EA7665" w:rsidRDefault="00CD6352" w:rsidP="00CD6352">
      <w:pPr>
        <w:spacing w:line="360" w:lineRule="auto"/>
        <w:rPr>
          <w:rFonts w:ascii="Arial" w:hAnsi="Arial" w:cs="Arial"/>
        </w:rPr>
      </w:pPr>
      <w:r w:rsidRPr="00EA7665">
        <w:rPr>
          <w:rFonts w:ascii="Arial" w:hAnsi="Arial" w:cs="Arial"/>
        </w:rPr>
        <w:t>There is currently no platform or comprehensive toolkit that can guide managers in</w:t>
      </w:r>
      <w:r w:rsidR="00870D1C">
        <w:rPr>
          <w:rFonts w:ascii="Arial" w:hAnsi="Arial" w:cs="Arial"/>
        </w:rPr>
        <w:t xml:space="preserve"> securing finance for real estate project development, taking all they need to know into cognisance</w:t>
      </w:r>
      <w:r w:rsidRPr="00EA7665">
        <w:rPr>
          <w:rFonts w:ascii="Arial" w:hAnsi="Arial" w:cs="Arial"/>
        </w:rPr>
        <w:t>. Consequently, the toolkit for securing finance for real estate project development is essential for the following reasons:</w:t>
      </w:r>
    </w:p>
    <w:p w14:paraId="29CC54D0" w14:textId="77777777" w:rsidR="00175B44" w:rsidRDefault="00CD6352" w:rsidP="00C74AEC">
      <w:pPr>
        <w:numPr>
          <w:ilvl w:val="0"/>
          <w:numId w:val="39"/>
        </w:numPr>
        <w:spacing w:line="360" w:lineRule="auto"/>
        <w:rPr>
          <w:rFonts w:ascii="Arial" w:hAnsi="Arial" w:cs="Arial"/>
        </w:rPr>
      </w:pPr>
      <w:r w:rsidRPr="00765352">
        <w:rPr>
          <w:rFonts w:ascii="Arial" w:hAnsi="Arial" w:cs="Arial"/>
          <w:b/>
        </w:rPr>
        <w:t>Support managers in understanding different finance options</w:t>
      </w:r>
      <w:r>
        <w:rPr>
          <w:rFonts w:ascii="Arial" w:hAnsi="Arial" w:cs="Arial"/>
          <w:b/>
        </w:rPr>
        <w:t xml:space="preserve"> and criteria required by financiers</w:t>
      </w:r>
      <w:r w:rsidRPr="00765352">
        <w:rPr>
          <w:rFonts w:ascii="Arial" w:hAnsi="Arial" w:cs="Arial"/>
          <w:b/>
        </w:rPr>
        <w:t xml:space="preserve"> to enhance their financing opportunities:</w:t>
      </w:r>
      <w:r w:rsidRPr="00765352">
        <w:rPr>
          <w:rFonts w:ascii="Arial" w:hAnsi="Arial" w:cs="Arial"/>
        </w:rPr>
        <w:t xml:space="preserve"> </w:t>
      </w:r>
    </w:p>
    <w:p w14:paraId="5A779138" w14:textId="42556185" w:rsidR="00CD6352" w:rsidRPr="00EA7665" w:rsidRDefault="00CD6352" w:rsidP="00175B44">
      <w:pPr>
        <w:spacing w:line="360" w:lineRule="auto"/>
        <w:ind w:left="360"/>
        <w:rPr>
          <w:rFonts w:ascii="Arial" w:hAnsi="Arial" w:cs="Arial"/>
        </w:rPr>
      </w:pPr>
      <w:r w:rsidRPr="00765352">
        <w:rPr>
          <w:rFonts w:ascii="Arial" w:hAnsi="Arial" w:cs="Arial"/>
        </w:rPr>
        <w:t>The tool</w:t>
      </w:r>
      <w:r>
        <w:rPr>
          <w:rFonts w:ascii="Arial" w:hAnsi="Arial" w:cs="Arial"/>
        </w:rPr>
        <w:t xml:space="preserve"> </w:t>
      </w:r>
      <w:r w:rsidRPr="00765352">
        <w:rPr>
          <w:rFonts w:ascii="Arial" w:hAnsi="Arial" w:cs="Arial"/>
        </w:rPr>
        <w:t xml:space="preserve">kit provides an inventory of various debt, equity and innovative finance options that can be used for real estate development in </w:t>
      </w:r>
      <w:r>
        <w:rPr>
          <w:rFonts w:ascii="Arial" w:hAnsi="Arial" w:cs="Arial"/>
        </w:rPr>
        <w:t xml:space="preserve">both </w:t>
      </w:r>
      <w:r w:rsidRPr="00765352">
        <w:rPr>
          <w:rFonts w:ascii="Arial" w:hAnsi="Arial" w:cs="Arial"/>
        </w:rPr>
        <w:t>the developed and emerging economies.</w:t>
      </w:r>
      <w:r>
        <w:rPr>
          <w:rFonts w:ascii="Arial" w:hAnsi="Arial" w:cs="Arial"/>
        </w:rPr>
        <w:t xml:space="preserve"> It also provides details of some of the criteria required by financiers. </w:t>
      </w:r>
      <w:r w:rsidRPr="00EA7665">
        <w:rPr>
          <w:rFonts w:ascii="Arial" w:hAnsi="Arial" w:cs="Arial"/>
        </w:rPr>
        <w:t xml:space="preserve"> This inventory of finance options</w:t>
      </w:r>
      <w:r>
        <w:rPr>
          <w:rFonts w:ascii="Arial" w:hAnsi="Arial" w:cs="Arial"/>
        </w:rPr>
        <w:t xml:space="preserve"> and criteria for securing finance for real estate project development </w:t>
      </w:r>
      <w:r w:rsidRPr="00EA7665">
        <w:rPr>
          <w:rFonts w:ascii="Arial" w:hAnsi="Arial" w:cs="Arial"/>
        </w:rPr>
        <w:t xml:space="preserve">provides a platform for real estate managers to research further into finance options </w:t>
      </w:r>
      <w:r w:rsidR="00870D1C">
        <w:rPr>
          <w:rFonts w:ascii="Arial" w:hAnsi="Arial" w:cs="Arial"/>
        </w:rPr>
        <w:t>available to them and those</w:t>
      </w:r>
      <w:r w:rsidRPr="00EA7665">
        <w:rPr>
          <w:rFonts w:ascii="Arial" w:hAnsi="Arial" w:cs="Arial"/>
        </w:rPr>
        <w:t xml:space="preserve"> they can work with their financiers to develop.</w:t>
      </w:r>
      <w:r>
        <w:rPr>
          <w:rFonts w:ascii="Arial" w:hAnsi="Arial" w:cs="Arial"/>
        </w:rPr>
        <w:t xml:space="preserve"> It also provides a guide on the criteria that the manager should make available when in the process of securing finance for real estate project development.</w:t>
      </w:r>
    </w:p>
    <w:p w14:paraId="40087FFA" w14:textId="77777777" w:rsidR="00870D1C" w:rsidRPr="007625E7" w:rsidRDefault="00CD6352" w:rsidP="00C74AEC">
      <w:pPr>
        <w:numPr>
          <w:ilvl w:val="0"/>
          <w:numId w:val="39"/>
        </w:numPr>
        <w:spacing w:line="360" w:lineRule="auto"/>
        <w:rPr>
          <w:rFonts w:ascii="Arial" w:hAnsi="Arial" w:cs="Arial"/>
        </w:rPr>
      </w:pPr>
      <w:r>
        <w:rPr>
          <w:rFonts w:ascii="Arial" w:hAnsi="Arial" w:cs="Arial"/>
          <w:b/>
        </w:rPr>
        <w:t>Provide a framework for environmental scan:</w:t>
      </w:r>
      <w:r w:rsidRPr="00EA7665">
        <w:rPr>
          <w:rFonts w:ascii="Arial" w:hAnsi="Arial" w:cs="Arial"/>
          <w:b/>
        </w:rPr>
        <w:t xml:space="preserve"> </w:t>
      </w:r>
    </w:p>
    <w:p w14:paraId="380AE69D" w14:textId="53F32954" w:rsidR="00CD6352" w:rsidRDefault="00CD6352" w:rsidP="007625E7">
      <w:pPr>
        <w:spacing w:line="360" w:lineRule="auto"/>
        <w:ind w:left="360"/>
        <w:rPr>
          <w:rFonts w:ascii="Arial" w:hAnsi="Arial" w:cs="Arial"/>
        </w:rPr>
      </w:pPr>
      <w:r w:rsidRPr="00EA7665">
        <w:rPr>
          <w:rFonts w:ascii="Arial" w:hAnsi="Arial" w:cs="Arial"/>
        </w:rPr>
        <w:t xml:space="preserve">The toolkit will guide the real estate manager on the </w:t>
      </w:r>
      <w:r>
        <w:rPr>
          <w:rFonts w:ascii="Arial" w:hAnsi="Arial" w:cs="Arial"/>
        </w:rPr>
        <w:t>processes of scanning</w:t>
      </w:r>
      <w:r w:rsidRPr="00EA7665">
        <w:rPr>
          <w:rFonts w:ascii="Arial" w:hAnsi="Arial" w:cs="Arial"/>
        </w:rPr>
        <w:t xml:space="preserve"> the external</w:t>
      </w:r>
      <w:r>
        <w:rPr>
          <w:rFonts w:ascii="Arial" w:hAnsi="Arial" w:cs="Arial"/>
        </w:rPr>
        <w:t xml:space="preserve"> and internal</w:t>
      </w:r>
      <w:r w:rsidRPr="00EA7665">
        <w:rPr>
          <w:rFonts w:ascii="Arial" w:hAnsi="Arial" w:cs="Arial"/>
        </w:rPr>
        <w:t xml:space="preserve"> environment to minimise challenges while maximising opportunities</w:t>
      </w:r>
      <w:r>
        <w:rPr>
          <w:rFonts w:ascii="Arial" w:hAnsi="Arial" w:cs="Arial"/>
        </w:rPr>
        <w:t xml:space="preserve"> in </w:t>
      </w:r>
      <w:r w:rsidR="00A97734">
        <w:rPr>
          <w:rFonts w:ascii="Arial" w:hAnsi="Arial" w:cs="Arial"/>
        </w:rPr>
        <w:t>securing finance for real estate project development. This is expected to enhance the chances of getting funding significantly</w:t>
      </w:r>
      <w:r w:rsidRPr="00EA7665">
        <w:rPr>
          <w:rFonts w:ascii="Arial" w:hAnsi="Arial" w:cs="Arial"/>
        </w:rPr>
        <w:t>.</w:t>
      </w:r>
    </w:p>
    <w:p w14:paraId="436B18AB" w14:textId="77777777" w:rsidR="00870D1C" w:rsidRPr="007625E7" w:rsidRDefault="00CD6352" w:rsidP="00C74AEC">
      <w:pPr>
        <w:numPr>
          <w:ilvl w:val="0"/>
          <w:numId w:val="39"/>
        </w:numPr>
        <w:spacing w:line="360" w:lineRule="auto"/>
        <w:rPr>
          <w:rFonts w:ascii="Arial" w:hAnsi="Arial" w:cs="Arial"/>
        </w:rPr>
      </w:pPr>
      <w:r w:rsidRPr="00EA7665">
        <w:rPr>
          <w:rFonts w:ascii="Arial" w:hAnsi="Arial" w:cs="Arial"/>
          <w:b/>
        </w:rPr>
        <w:t xml:space="preserve">Provide a guide on key decision-making processes for securing finance for real estate project development: </w:t>
      </w:r>
    </w:p>
    <w:p w14:paraId="153DE3A3" w14:textId="519C3254" w:rsidR="00CD6352" w:rsidRPr="00EA7665" w:rsidRDefault="00CD6352" w:rsidP="007625E7">
      <w:pPr>
        <w:spacing w:line="360" w:lineRule="auto"/>
        <w:ind w:left="360"/>
        <w:rPr>
          <w:rFonts w:ascii="Arial" w:hAnsi="Arial" w:cs="Arial"/>
        </w:rPr>
      </w:pPr>
      <w:r w:rsidRPr="00EA7665">
        <w:rPr>
          <w:rFonts w:ascii="Arial" w:hAnsi="Arial" w:cs="Arial"/>
        </w:rPr>
        <w:lastRenderedPageBreak/>
        <w:t xml:space="preserve">The toolkit will provide a guide on the key </w:t>
      </w:r>
      <w:r w:rsidR="008B44F6" w:rsidRPr="00EA7665">
        <w:rPr>
          <w:rFonts w:ascii="Arial" w:hAnsi="Arial" w:cs="Arial"/>
        </w:rPr>
        <w:t>decision-making</w:t>
      </w:r>
      <w:r w:rsidRPr="00EA7665">
        <w:rPr>
          <w:rFonts w:ascii="Arial" w:hAnsi="Arial" w:cs="Arial"/>
        </w:rPr>
        <w:t xml:space="preserve"> processes in securing finance for real estate project development.</w:t>
      </w:r>
    </w:p>
    <w:p w14:paraId="15378452" w14:textId="77777777" w:rsidR="00870D1C" w:rsidRPr="007625E7" w:rsidRDefault="00CD6352" w:rsidP="00C74AEC">
      <w:pPr>
        <w:numPr>
          <w:ilvl w:val="0"/>
          <w:numId w:val="39"/>
        </w:numPr>
        <w:spacing w:line="360" w:lineRule="auto"/>
        <w:rPr>
          <w:rFonts w:ascii="Arial" w:hAnsi="Arial" w:cs="Arial"/>
        </w:rPr>
      </w:pPr>
      <w:r>
        <w:rPr>
          <w:rFonts w:ascii="Arial" w:hAnsi="Arial" w:cs="Arial"/>
          <w:b/>
        </w:rPr>
        <w:t>Provide an i</w:t>
      </w:r>
      <w:r w:rsidRPr="00EA7665">
        <w:rPr>
          <w:rFonts w:ascii="Arial" w:hAnsi="Arial" w:cs="Arial"/>
          <w:b/>
        </w:rPr>
        <w:t xml:space="preserve">nventory of skills, knowledge, and competences: </w:t>
      </w:r>
    </w:p>
    <w:p w14:paraId="0252AC73" w14:textId="08761807" w:rsidR="00CD6352" w:rsidRPr="00EA7665" w:rsidRDefault="00CD6352" w:rsidP="007625E7">
      <w:pPr>
        <w:spacing w:line="360" w:lineRule="auto"/>
        <w:ind w:left="360"/>
        <w:rPr>
          <w:rFonts w:ascii="Arial" w:hAnsi="Arial" w:cs="Arial"/>
        </w:rPr>
      </w:pPr>
      <w:r w:rsidRPr="00EA7665">
        <w:rPr>
          <w:rFonts w:ascii="Arial" w:hAnsi="Arial" w:cs="Arial"/>
        </w:rPr>
        <w:t>The tool kit provides an inventory of skills, knowledge, and competences for securing finance for real estate project development</w:t>
      </w:r>
      <w:r w:rsidR="00214268">
        <w:rPr>
          <w:rFonts w:ascii="Arial" w:hAnsi="Arial" w:cs="Arial"/>
        </w:rPr>
        <w:t>. It</w:t>
      </w:r>
      <w:r w:rsidR="00374C4E">
        <w:rPr>
          <w:rFonts w:ascii="Arial" w:hAnsi="Arial" w:cs="Arial"/>
        </w:rPr>
        <w:t xml:space="preserve"> would</w:t>
      </w:r>
      <w:r w:rsidRPr="00EA7665">
        <w:rPr>
          <w:rFonts w:ascii="Arial" w:hAnsi="Arial" w:cs="Arial"/>
        </w:rPr>
        <w:t xml:space="preserve"> </w:t>
      </w:r>
      <w:r w:rsidR="00214268">
        <w:rPr>
          <w:rFonts w:ascii="Arial" w:hAnsi="Arial" w:cs="Arial"/>
        </w:rPr>
        <w:t xml:space="preserve">also </w:t>
      </w:r>
      <w:r w:rsidRPr="00EA7665">
        <w:rPr>
          <w:rFonts w:ascii="Arial" w:hAnsi="Arial" w:cs="Arial"/>
        </w:rPr>
        <w:t xml:space="preserve">act as a guide for planning, </w:t>
      </w:r>
      <w:r w:rsidR="008B44F6" w:rsidRPr="00EA7665">
        <w:rPr>
          <w:rFonts w:ascii="Arial" w:hAnsi="Arial" w:cs="Arial"/>
        </w:rPr>
        <w:t>training,</w:t>
      </w:r>
      <w:r w:rsidRPr="00EA7665">
        <w:rPr>
          <w:rFonts w:ascii="Arial" w:hAnsi="Arial" w:cs="Arial"/>
        </w:rPr>
        <w:t xml:space="preserve"> and development purposes.</w:t>
      </w:r>
    </w:p>
    <w:p w14:paraId="4900182B" w14:textId="468B8E28" w:rsidR="00870D1C" w:rsidRPr="007625E7" w:rsidRDefault="00CD6352" w:rsidP="00C74AEC">
      <w:pPr>
        <w:numPr>
          <w:ilvl w:val="0"/>
          <w:numId w:val="39"/>
        </w:numPr>
        <w:spacing w:line="360" w:lineRule="auto"/>
        <w:rPr>
          <w:rFonts w:ascii="Arial" w:hAnsi="Arial" w:cs="Arial"/>
        </w:rPr>
      </w:pPr>
      <w:r>
        <w:rPr>
          <w:rFonts w:ascii="Arial" w:hAnsi="Arial" w:cs="Arial"/>
          <w:b/>
        </w:rPr>
        <w:t xml:space="preserve">Provides </w:t>
      </w:r>
      <w:r w:rsidR="005549B0">
        <w:rPr>
          <w:rFonts w:ascii="Arial" w:hAnsi="Arial" w:cs="Arial"/>
          <w:b/>
        </w:rPr>
        <w:t xml:space="preserve">a </w:t>
      </w:r>
      <w:r>
        <w:rPr>
          <w:rFonts w:ascii="Arial" w:hAnsi="Arial" w:cs="Arial"/>
          <w:b/>
        </w:rPr>
        <w:t xml:space="preserve">framework for </w:t>
      </w:r>
      <w:r w:rsidRPr="00EA7665">
        <w:rPr>
          <w:rFonts w:ascii="Arial" w:hAnsi="Arial" w:cs="Arial"/>
          <w:b/>
        </w:rPr>
        <w:t>training, education</w:t>
      </w:r>
      <w:r w:rsidR="00D44174">
        <w:rPr>
          <w:rFonts w:ascii="Arial" w:hAnsi="Arial" w:cs="Arial"/>
          <w:b/>
        </w:rPr>
        <w:t xml:space="preserve">, and career path: </w:t>
      </w:r>
    </w:p>
    <w:p w14:paraId="38AE6F26" w14:textId="0DDBEC2C" w:rsidR="00CD6352" w:rsidRPr="00D44174" w:rsidRDefault="00D44174" w:rsidP="007625E7">
      <w:pPr>
        <w:spacing w:line="360" w:lineRule="auto"/>
        <w:ind w:left="360"/>
        <w:rPr>
          <w:rFonts w:ascii="Arial" w:hAnsi="Arial" w:cs="Arial"/>
        </w:rPr>
      </w:pPr>
      <w:r w:rsidRPr="007625E7">
        <w:rPr>
          <w:rFonts w:ascii="Arial" w:hAnsi="Arial" w:cs="Arial"/>
          <w:bCs/>
        </w:rPr>
        <w:t>The toolkit provides a conceptual framework for a career path, training, and education that could facilitate financing access</w:t>
      </w:r>
      <w:r w:rsidR="00CD6352" w:rsidRPr="00D44174">
        <w:rPr>
          <w:rFonts w:ascii="Arial" w:hAnsi="Arial" w:cs="Arial"/>
        </w:rPr>
        <w:t xml:space="preserve"> for real estate project development.</w:t>
      </w:r>
    </w:p>
    <w:p w14:paraId="16EAE791" w14:textId="77777777" w:rsidR="00CD6352" w:rsidRPr="00EA7665" w:rsidRDefault="00CD6352" w:rsidP="00CD6352">
      <w:pPr>
        <w:rPr>
          <w:rFonts w:ascii="Arial" w:hAnsi="Arial" w:cs="Arial"/>
          <w:b/>
        </w:rPr>
      </w:pPr>
      <w:r w:rsidRPr="00EA7665">
        <w:rPr>
          <w:rFonts w:ascii="Arial" w:hAnsi="Arial" w:cs="Arial"/>
          <w:b/>
        </w:rPr>
        <w:t xml:space="preserve">Objectives of the toolkit: </w:t>
      </w:r>
    </w:p>
    <w:p w14:paraId="4CC2593A" w14:textId="77777777" w:rsidR="00CD6352" w:rsidRPr="00EA7665" w:rsidRDefault="00CD6352" w:rsidP="00CD6352">
      <w:pPr>
        <w:rPr>
          <w:rFonts w:ascii="Arial" w:hAnsi="Arial" w:cs="Arial"/>
        </w:rPr>
      </w:pPr>
      <w:r w:rsidRPr="00EA7665">
        <w:rPr>
          <w:rFonts w:ascii="Arial" w:hAnsi="Arial" w:cs="Arial"/>
        </w:rPr>
        <w:t xml:space="preserve">The objectives of the toolkit are as follows: </w:t>
      </w:r>
    </w:p>
    <w:p w14:paraId="56E5DEB6" w14:textId="3E93BC65" w:rsidR="00CD6352" w:rsidRPr="00EA7665" w:rsidRDefault="00CD6352" w:rsidP="007625E7">
      <w:pPr>
        <w:rPr>
          <w:rFonts w:ascii="Arial" w:hAnsi="Arial" w:cs="Arial"/>
        </w:rPr>
      </w:pPr>
      <w:r w:rsidRPr="00EA7665">
        <w:rPr>
          <w:rFonts w:ascii="Arial" w:hAnsi="Arial" w:cs="Arial"/>
        </w:rPr>
        <w:t>To provide essential, practical guidance in a user-friendly format</w:t>
      </w:r>
      <w:r w:rsidR="00F910CB">
        <w:rPr>
          <w:rFonts w:ascii="Arial" w:hAnsi="Arial" w:cs="Arial"/>
        </w:rPr>
        <w:t xml:space="preserve"> and </w:t>
      </w:r>
    </w:p>
    <w:p w14:paraId="4B9DC163" w14:textId="181EBEB3" w:rsidR="00CD6352" w:rsidRPr="00EA7665" w:rsidRDefault="00F910CB" w:rsidP="007625E7">
      <w:pPr>
        <w:rPr>
          <w:rFonts w:ascii="Arial" w:hAnsi="Arial" w:cs="Arial"/>
        </w:rPr>
      </w:pPr>
      <w:r>
        <w:rPr>
          <w:rFonts w:ascii="Arial" w:hAnsi="Arial" w:cs="Arial"/>
        </w:rPr>
        <w:t>to p</w:t>
      </w:r>
      <w:r w:rsidR="00CD6352" w:rsidRPr="00EA7665">
        <w:rPr>
          <w:rFonts w:ascii="Arial" w:hAnsi="Arial" w:cs="Arial"/>
        </w:rPr>
        <w:t xml:space="preserve">rovide best practices, tools, and </w:t>
      </w:r>
      <w:r w:rsidR="008B44F6" w:rsidRPr="00EA7665">
        <w:rPr>
          <w:rFonts w:ascii="Arial" w:hAnsi="Arial" w:cs="Arial"/>
        </w:rPr>
        <w:t>templates.</w:t>
      </w:r>
      <w:r w:rsidR="00CD6352" w:rsidRPr="00EA7665">
        <w:rPr>
          <w:rFonts w:ascii="Arial" w:hAnsi="Arial" w:cs="Arial"/>
        </w:rPr>
        <w:t xml:space="preserve"> </w:t>
      </w:r>
    </w:p>
    <w:bookmarkEnd w:id="1004"/>
    <w:p w14:paraId="7E10C190" w14:textId="77777777" w:rsidR="00CD6352" w:rsidRPr="00EA7665" w:rsidRDefault="00CD6352" w:rsidP="00CD6352">
      <w:pPr>
        <w:rPr>
          <w:rFonts w:ascii="Arial" w:hAnsi="Arial" w:cs="Arial"/>
          <w:b/>
        </w:rPr>
      </w:pPr>
      <w:r w:rsidRPr="00EA7665">
        <w:rPr>
          <w:rFonts w:ascii="Arial" w:hAnsi="Arial" w:cs="Arial"/>
          <w:b/>
        </w:rPr>
        <w:t>Examples of a financial toolkit</w:t>
      </w:r>
    </w:p>
    <w:p w14:paraId="63DE9FE8" w14:textId="0B9CBAB0" w:rsidR="00CD6352" w:rsidRPr="00EA7665" w:rsidRDefault="00CD6352" w:rsidP="00CD6352">
      <w:pPr>
        <w:rPr>
          <w:rFonts w:ascii="Arial" w:hAnsi="Arial" w:cs="Arial"/>
        </w:rPr>
      </w:pPr>
      <w:r w:rsidRPr="00EA7665">
        <w:rPr>
          <w:rFonts w:ascii="Arial" w:hAnsi="Arial" w:cs="Arial"/>
        </w:rPr>
        <w:t>Some examples of known toolk</w:t>
      </w:r>
      <w:r>
        <w:rPr>
          <w:rFonts w:ascii="Arial" w:hAnsi="Arial" w:cs="Arial"/>
        </w:rPr>
        <w:t>its</w:t>
      </w:r>
      <w:r w:rsidRPr="00EA7665">
        <w:rPr>
          <w:rFonts w:ascii="Arial" w:hAnsi="Arial" w:cs="Arial"/>
        </w:rPr>
        <w:t xml:space="preserve"> associated with finance are in table </w:t>
      </w:r>
      <w:r>
        <w:rPr>
          <w:rFonts w:ascii="Arial" w:hAnsi="Arial" w:cs="Arial"/>
        </w:rPr>
        <w:t>3.</w:t>
      </w:r>
      <w:r w:rsidR="00774D25">
        <w:rPr>
          <w:rFonts w:ascii="Arial" w:hAnsi="Arial" w:cs="Arial"/>
        </w:rPr>
        <w:t>9.1</w:t>
      </w:r>
      <w:r w:rsidRPr="00EA7665">
        <w:rPr>
          <w:rFonts w:ascii="Arial" w:hAnsi="Arial" w:cs="Arial"/>
        </w:rPr>
        <w:t>.</w:t>
      </w:r>
    </w:p>
    <w:p w14:paraId="6EA96504" w14:textId="62199680" w:rsidR="00CD6352" w:rsidRPr="00EA7665" w:rsidRDefault="00CD6352" w:rsidP="00CD6352">
      <w:pPr>
        <w:pStyle w:val="Caption"/>
        <w:keepNext/>
      </w:pPr>
      <w:bookmarkStart w:id="1006" w:name="_Toc78983957"/>
      <w:r w:rsidRPr="00EA7665">
        <w:t xml:space="preserve">Table </w:t>
      </w:r>
      <w:fldSimple w:instr=" STYLEREF 2 \s ">
        <w:r w:rsidR="008F25B1">
          <w:rPr>
            <w:noProof/>
          </w:rPr>
          <w:t>3.9</w:t>
        </w:r>
      </w:fldSimple>
      <w:r w:rsidR="008F25B1">
        <w:noBreakHyphen/>
      </w:r>
      <w:fldSimple w:instr=" SEQ Table \* ARABIC \s 2 ">
        <w:r w:rsidR="008F25B1">
          <w:rPr>
            <w:noProof/>
          </w:rPr>
          <w:t>1</w:t>
        </w:r>
      </w:fldSimple>
      <w:r w:rsidRPr="00EA7665">
        <w:t>: Examples of toolkit associated with finance</w:t>
      </w:r>
      <w:bookmarkEnd w:id="1006"/>
    </w:p>
    <w:tbl>
      <w:tblPr>
        <w:tblStyle w:val="TableGrid"/>
        <w:tblW w:w="0" w:type="auto"/>
        <w:tblLook w:val="04A0" w:firstRow="1" w:lastRow="0" w:firstColumn="1" w:lastColumn="0" w:noHBand="0" w:noVBand="1"/>
      </w:tblPr>
      <w:tblGrid>
        <w:gridCol w:w="2278"/>
        <w:gridCol w:w="4947"/>
        <w:gridCol w:w="1791"/>
      </w:tblGrid>
      <w:tr w:rsidR="00CD6352" w:rsidRPr="00EA7665" w14:paraId="6F4B84D8" w14:textId="77777777" w:rsidTr="00CD6352">
        <w:tc>
          <w:tcPr>
            <w:tcW w:w="0" w:type="auto"/>
          </w:tcPr>
          <w:p w14:paraId="73952D35" w14:textId="0AAFA357" w:rsidR="00CD6352" w:rsidRPr="00EA7665" w:rsidRDefault="00CD6352" w:rsidP="00CD6352">
            <w:pPr>
              <w:rPr>
                <w:rFonts w:ascii="Arial" w:hAnsi="Arial" w:cs="Arial"/>
                <w:b/>
                <w:sz w:val="16"/>
                <w:szCs w:val="16"/>
              </w:rPr>
            </w:pPr>
            <w:r>
              <w:rPr>
                <w:rFonts w:ascii="Arial" w:hAnsi="Arial" w:cs="Arial"/>
                <w:b/>
                <w:sz w:val="16"/>
                <w:szCs w:val="16"/>
              </w:rPr>
              <w:t>Title (</w:t>
            </w:r>
            <w:r w:rsidRPr="00EA7665">
              <w:rPr>
                <w:rFonts w:ascii="Arial" w:hAnsi="Arial" w:cs="Arial"/>
                <w:b/>
                <w:sz w:val="16"/>
                <w:szCs w:val="16"/>
              </w:rPr>
              <w:t xml:space="preserve">Types of </w:t>
            </w:r>
            <w:r w:rsidR="00215490" w:rsidRPr="00EA7665">
              <w:rPr>
                <w:rFonts w:ascii="Arial" w:hAnsi="Arial" w:cs="Arial"/>
                <w:b/>
                <w:sz w:val="16"/>
                <w:szCs w:val="16"/>
              </w:rPr>
              <w:t>Toolkits</w:t>
            </w:r>
            <w:r>
              <w:rPr>
                <w:rFonts w:ascii="Arial" w:hAnsi="Arial" w:cs="Arial"/>
                <w:b/>
                <w:sz w:val="16"/>
                <w:szCs w:val="16"/>
              </w:rPr>
              <w:t>)</w:t>
            </w:r>
          </w:p>
        </w:tc>
        <w:tc>
          <w:tcPr>
            <w:tcW w:w="4947" w:type="dxa"/>
          </w:tcPr>
          <w:p w14:paraId="3CF433AE" w14:textId="77777777" w:rsidR="00CD6352" w:rsidRPr="00EA7665" w:rsidRDefault="00CD6352" w:rsidP="00CD6352">
            <w:pPr>
              <w:rPr>
                <w:rFonts w:ascii="Arial" w:hAnsi="Arial" w:cs="Arial"/>
                <w:b/>
                <w:sz w:val="16"/>
                <w:szCs w:val="16"/>
              </w:rPr>
            </w:pPr>
            <w:r w:rsidRPr="00EA7665">
              <w:rPr>
                <w:rFonts w:ascii="Arial" w:hAnsi="Arial" w:cs="Arial"/>
                <w:b/>
                <w:sz w:val="16"/>
                <w:szCs w:val="16"/>
              </w:rPr>
              <w:t>Summary composition of the toolkit</w:t>
            </w:r>
          </w:p>
        </w:tc>
        <w:tc>
          <w:tcPr>
            <w:tcW w:w="1791" w:type="dxa"/>
          </w:tcPr>
          <w:p w14:paraId="7F6F6390" w14:textId="77777777" w:rsidR="00CD6352" w:rsidRPr="00EA7665" w:rsidRDefault="00CD6352" w:rsidP="00CD6352">
            <w:pPr>
              <w:rPr>
                <w:rFonts w:ascii="Arial" w:hAnsi="Arial" w:cs="Arial"/>
                <w:b/>
                <w:sz w:val="16"/>
                <w:szCs w:val="16"/>
              </w:rPr>
            </w:pPr>
            <w:r w:rsidRPr="00EA7665">
              <w:rPr>
                <w:rFonts w:ascii="Arial" w:hAnsi="Arial" w:cs="Arial"/>
                <w:b/>
                <w:sz w:val="16"/>
                <w:szCs w:val="16"/>
              </w:rPr>
              <w:t>Author (s)</w:t>
            </w:r>
          </w:p>
        </w:tc>
      </w:tr>
      <w:tr w:rsidR="00CD6352" w:rsidRPr="00EA7665" w14:paraId="1B977BEC" w14:textId="77777777" w:rsidTr="00CD6352">
        <w:tc>
          <w:tcPr>
            <w:tcW w:w="0" w:type="auto"/>
          </w:tcPr>
          <w:p w14:paraId="3F344449" w14:textId="77777777" w:rsidR="00CD6352" w:rsidRPr="00EA7665" w:rsidRDefault="00CD6352" w:rsidP="00CD6352">
            <w:pPr>
              <w:rPr>
                <w:rFonts w:ascii="Arial" w:hAnsi="Arial" w:cs="Arial"/>
                <w:sz w:val="16"/>
                <w:szCs w:val="16"/>
              </w:rPr>
            </w:pPr>
            <w:r w:rsidRPr="00EA7665">
              <w:rPr>
                <w:rFonts w:ascii="Arial" w:hAnsi="Arial" w:cs="Arial"/>
                <w:sz w:val="16"/>
                <w:szCs w:val="16"/>
              </w:rPr>
              <w:t>Toolkit for interpreting booms &amp; bust cycles</w:t>
            </w:r>
          </w:p>
        </w:tc>
        <w:tc>
          <w:tcPr>
            <w:tcW w:w="4947" w:type="dxa"/>
          </w:tcPr>
          <w:p w14:paraId="532C7B10" w14:textId="3106D595" w:rsidR="00CD6352" w:rsidRPr="00EA7665" w:rsidRDefault="00CD6352" w:rsidP="00CD6352">
            <w:pPr>
              <w:rPr>
                <w:rFonts w:ascii="Arial" w:hAnsi="Arial" w:cs="Arial"/>
                <w:sz w:val="16"/>
                <w:szCs w:val="16"/>
              </w:rPr>
            </w:pPr>
            <w:r w:rsidRPr="00EA7665">
              <w:rPr>
                <w:rFonts w:ascii="Arial" w:hAnsi="Arial" w:cs="Arial"/>
                <w:sz w:val="16"/>
                <w:szCs w:val="16"/>
              </w:rPr>
              <w:t xml:space="preserve">Basic instruments to gauge how financial fragility builds up and comprehend the channel of transmission of </w:t>
            </w:r>
            <w:r w:rsidR="005549B0">
              <w:rPr>
                <w:rFonts w:ascii="Arial" w:hAnsi="Arial" w:cs="Arial"/>
                <w:sz w:val="16"/>
                <w:szCs w:val="16"/>
              </w:rPr>
              <w:t xml:space="preserve">the </w:t>
            </w:r>
            <w:r w:rsidRPr="00EA7665">
              <w:rPr>
                <w:rFonts w:ascii="Arial" w:hAnsi="Arial" w:cs="Arial"/>
                <w:sz w:val="16"/>
                <w:szCs w:val="16"/>
              </w:rPr>
              <w:t>financial crisis.</w:t>
            </w:r>
          </w:p>
        </w:tc>
        <w:tc>
          <w:tcPr>
            <w:tcW w:w="1791" w:type="dxa"/>
          </w:tcPr>
          <w:p w14:paraId="6C79E6C8" w14:textId="77777777" w:rsidR="00CD6352" w:rsidRPr="00EA7665" w:rsidRDefault="00CD6352" w:rsidP="00CD6352">
            <w:pPr>
              <w:rPr>
                <w:rFonts w:ascii="Arial" w:hAnsi="Arial" w:cs="Arial"/>
                <w:sz w:val="16"/>
                <w:szCs w:val="16"/>
              </w:rPr>
            </w:pPr>
            <w:r w:rsidRPr="00EA7665">
              <w:rPr>
                <w:rFonts w:ascii="Arial" w:hAnsi="Arial" w:cs="Arial"/>
                <w:sz w:val="16"/>
                <w:szCs w:val="16"/>
              </w:rPr>
              <w:t>D’Apice &amp; Ferri (1998)</w:t>
            </w:r>
          </w:p>
        </w:tc>
      </w:tr>
      <w:tr w:rsidR="00CD6352" w:rsidRPr="00EA7665" w14:paraId="71840DB4" w14:textId="77777777" w:rsidTr="00CD6352">
        <w:tc>
          <w:tcPr>
            <w:tcW w:w="0" w:type="auto"/>
          </w:tcPr>
          <w:p w14:paraId="1D79CA8D"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A toolkit for the evaluation of financial capability programs in low and middle-income countries. (World bank document). </w:t>
            </w:r>
          </w:p>
        </w:tc>
        <w:tc>
          <w:tcPr>
            <w:tcW w:w="4947" w:type="dxa"/>
          </w:tcPr>
          <w:p w14:paraId="645C5771"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A practical guide to various aspects of conducting evaluations that address the specific needs of financial capability programs in the developing world. </w:t>
            </w:r>
          </w:p>
        </w:tc>
        <w:tc>
          <w:tcPr>
            <w:tcW w:w="1791" w:type="dxa"/>
          </w:tcPr>
          <w:p w14:paraId="45936A2F" w14:textId="77777777" w:rsidR="00CD6352" w:rsidRPr="00EA7665" w:rsidRDefault="00CD6352" w:rsidP="00CD6352">
            <w:pPr>
              <w:rPr>
                <w:rFonts w:ascii="Arial" w:hAnsi="Arial" w:cs="Arial"/>
                <w:sz w:val="16"/>
                <w:szCs w:val="16"/>
              </w:rPr>
            </w:pPr>
            <w:r w:rsidRPr="00EA7665">
              <w:rPr>
                <w:rFonts w:ascii="Arial" w:hAnsi="Arial" w:cs="Arial"/>
                <w:sz w:val="16"/>
                <w:szCs w:val="16"/>
              </w:rPr>
              <w:t>Yo</w:t>
            </w:r>
            <w:r>
              <w:rPr>
                <w:rFonts w:ascii="Arial" w:hAnsi="Arial" w:cs="Arial"/>
                <w:sz w:val="16"/>
                <w:szCs w:val="16"/>
              </w:rPr>
              <w:t>o</w:t>
            </w:r>
            <w:r w:rsidRPr="00EA7665">
              <w:rPr>
                <w:rFonts w:ascii="Arial" w:hAnsi="Arial" w:cs="Arial"/>
                <w:sz w:val="16"/>
                <w:szCs w:val="16"/>
              </w:rPr>
              <w:t>ng et al. (2013)/</w:t>
            </w:r>
          </w:p>
          <w:p w14:paraId="435D68A3" w14:textId="77777777" w:rsidR="00CD6352" w:rsidRPr="00EA7665" w:rsidRDefault="00CD6352" w:rsidP="00CD6352">
            <w:pPr>
              <w:rPr>
                <w:rFonts w:ascii="Arial" w:hAnsi="Arial" w:cs="Arial"/>
                <w:sz w:val="16"/>
                <w:szCs w:val="16"/>
              </w:rPr>
            </w:pPr>
            <w:r w:rsidRPr="00EA7665">
              <w:rPr>
                <w:rFonts w:ascii="Arial" w:hAnsi="Arial" w:cs="Arial"/>
                <w:sz w:val="16"/>
                <w:szCs w:val="16"/>
              </w:rPr>
              <w:t>2013 international bank of reconstruction / The World bank</w:t>
            </w:r>
          </w:p>
        </w:tc>
      </w:tr>
      <w:tr w:rsidR="00CD6352" w:rsidRPr="00EA7665" w14:paraId="30A6F65C" w14:textId="77777777" w:rsidTr="00CD6352">
        <w:tc>
          <w:tcPr>
            <w:tcW w:w="0" w:type="auto"/>
          </w:tcPr>
          <w:p w14:paraId="720EA015" w14:textId="599D8781" w:rsidR="00CD6352" w:rsidRPr="00EA7665" w:rsidRDefault="00CD6352" w:rsidP="00CD6352">
            <w:pPr>
              <w:rPr>
                <w:rFonts w:ascii="Arial" w:hAnsi="Arial" w:cs="Arial"/>
                <w:sz w:val="16"/>
                <w:szCs w:val="16"/>
              </w:rPr>
            </w:pPr>
            <w:r w:rsidRPr="00EA7665">
              <w:rPr>
                <w:rFonts w:ascii="Arial" w:hAnsi="Arial" w:cs="Arial"/>
                <w:sz w:val="16"/>
                <w:szCs w:val="16"/>
              </w:rPr>
              <w:t xml:space="preserve">Recovery after </w:t>
            </w:r>
            <w:r w:rsidR="005549B0">
              <w:rPr>
                <w:rFonts w:ascii="Arial" w:hAnsi="Arial" w:cs="Arial"/>
                <w:sz w:val="16"/>
                <w:szCs w:val="16"/>
              </w:rPr>
              <w:t xml:space="preserve">the </w:t>
            </w:r>
            <w:r w:rsidRPr="00EA7665">
              <w:rPr>
                <w:rFonts w:ascii="Arial" w:hAnsi="Arial" w:cs="Arial"/>
                <w:sz w:val="16"/>
                <w:szCs w:val="16"/>
              </w:rPr>
              <w:t>disaster; The family financial toolkit.</w:t>
            </w:r>
          </w:p>
        </w:tc>
        <w:tc>
          <w:tcPr>
            <w:tcW w:w="4947" w:type="dxa"/>
          </w:tcPr>
          <w:p w14:paraId="362042D6" w14:textId="77777777" w:rsidR="00CD6352" w:rsidRPr="00EA7665" w:rsidRDefault="00CD6352" w:rsidP="00CD6352">
            <w:pPr>
              <w:rPr>
                <w:rFonts w:ascii="Arial" w:hAnsi="Arial" w:cs="Arial"/>
                <w:sz w:val="16"/>
                <w:szCs w:val="16"/>
              </w:rPr>
            </w:pPr>
            <w:r w:rsidRPr="00EA7665">
              <w:rPr>
                <w:rFonts w:ascii="Arial" w:hAnsi="Arial" w:cs="Arial"/>
                <w:sz w:val="16"/>
                <w:szCs w:val="16"/>
              </w:rPr>
              <w:t>Strategies and tools to help families get started in the recovery process, determine their financial situation to inform financial decisions and where they live</w:t>
            </w:r>
          </w:p>
        </w:tc>
        <w:tc>
          <w:tcPr>
            <w:tcW w:w="1791" w:type="dxa"/>
          </w:tcPr>
          <w:p w14:paraId="0EB0D34D" w14:textId="77777777" w:rsidR="00CD6352" w:rsidRPr="00EA7665" w:rsidRDefault="00CD6352" w:rsidP="00CD6352">
            <w:pPr>
              <w:rPr>
                <w:rFonts w:ascii="Arial" w:hAnsi="Arial" w:cs="Arial"/>
                <w:sz w:val="16"/>
                <w:szCs w:val="16"/>
              </w:rPr>
            </w:pPr>
            <w:r w:rsidRPr="00EA7665">
              <w:rPr>
                <w:rFonts w:ascii="Arial" w:hAnsi="Arial" w:cs="Arial"/>
                <w:sz w:val="16"/>
                <w:szCs w:val="16"/>
              </w:rPr>
              <w:t>Onstad et al. (2010)</w:t>
            </w:r>
          </w:p>
        </w:tc>
      </w:tr>
      <w:tr w:rsidR="00CD6352" w:rsidRPr="00EA7665" w14:paraId="08445E43" w14:textId="77777777" w:rsidTr="00CD6352">
        <w:tc>
          <w:tcPr>
            <w:tcW w:w="0" w:type="auto"/>
          </w:tcPr>
          <w:p w14:paraId="1045E28B" w14:textId="77777777" w:rsidR="00CD6352" w:rsidRPr="00EA7665" w:rsidRDefault="00CD6352" w:rsidP="00CD6352">
            <w:pPr>
              <w:rPr>
                <w:rFonts w:ascii="Arial" w:hAnsi="Arial" w:cs="Arial"/>
                <w:sz w:val="16"/>
                <w:szCs w:val="16"/>
              </w:rPr>
            </w:pPr>
          </w:p>
          <w:p w14:paraId="6410AE09"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Get financially fit: A financial education toolkit for college campuses </w:t>
            </w:r>
          </w:p>
        </w:tc>
        <w:tc>
          <w:tcPr>
            <w:tcW w:w="4947" w:type="dxa"/>
          </w:tcPr>
          <w:p w14:paraId="6EF16A4E"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It recommends and explains each of the following steps to plan effective evaluation of college and university financial management education programs: Conduct a need assessment, define program objectives, identify outcomes and indicators, choose the evaluation method &amp; develop a realistic plan of implementation. </w:t>
            </w:r>
          </w:p>
        </w:tc>
        <w:tc>
          <w:tcPr>
            <w:tcW w:w="1791" w:type="dxa"/>
          </w:tcPr>
          <w:p w14:paraId="3E8826C6" w14:textId="77777777" w:rsidR="00CD6352" w:rsidRPr="00EA7665" w:rsidRDefault="00CD6352" w:rsidP="00CD6352">
            <w:pPr>
              <w:rPr>
                <w:rFonts w:ascii="Arial" w:hAnsi="Arial" w:cs="Arial"/>
                <w:sz w:val="16"/>
                <w:szCs w:val="16"/>
              </w:rPr>
            </w:pPr>
            <w:r w:rsidRPr="00EA7665">
              <w:rPr>
                <w:rFonts w:ascii="Arial" w:hAnsi="Arial" w:cs="Arial"/>
                <w:sz w:val="16"/>
                <w:szCs w:val="16"/>
              </w:rPr>
              <w:t>Cude et al. (2007)</w:t>
            </w:r>
          </w:p>
        </w:tc>
      </w:tr>
      <w:tr w:rsidR="00CD6352" w:rsidRPr="00EA7665" w14:paraId="3EF4C55C" w14:textId="77777777" w:rsidTr="00CD6352">
        <w:trPr>
          <w:trHeight w:val="602"/>
        </w:trPr>
        <w:tc>
          <w:tcPr>
            <w:tcW w:w="0" w:type="auto"/>
          </w:tcPr>
          <w:p w14:paraId="41E0EC22" w14:textId="77777777" w:rsidR="00CD6352" w:rsidRPr="00EA7665" w:rsidRDefault="00CD6352" w:rsidP="00CD6352">
            <w:pPr>
              <w:rPr>
                <w:rFonts w:ascii="Arial" w:hAnsi="Arial" w:cs="Arial"/>
                <w:sz w:val="16"/>
                <w:szCs w:val="16"/>
              </w:rPr>
            </w:pPr>
          </w:p>
          <w:p w14:paraId="6CCFAC3D" w14:textId="77777777" w:rsidR="00CD6352" w:rsidRPr="00EA7665" w:rsidRDefault="00CD6352" w:rsidP="00CD6352">
            <w:pPr>
              <w:rPr>
                <w:rFonts w:ascii="Arial" w:hAnsi="Arial" w:cs="Arial"/>
                <w:sz w:val="16"/>
                <w:szCs w:val="16"/>
              </w:rPr>
            </w:pPr>
            <w:r w:rsidRPr="00EA7665">
              <w:rPr>
                <w:rFonts w:ascii="Arial" w:hAnsi="Arial" w:cs="Arial"/>
                <w:sz w:val="16"/>
                <w:szCs w:val="16"/>
              </w:rPr>
              <w:t>Macroprudential toolkit</w:t>
            </w:r>
          </w:p>
        </w:tc>
        <w:tc>
          <w:tcPr>
            <w:tcW w:w="4947" w:type="dxa"/>
          </w:tcPr>
          <w:p w14:paraId="760FA2D5" w14:textId="0F313964" w:rsidR="00CD6352" w:rsidRPr="00EA7665" w:rsidRDefault="00CD6352" w:rsidP="00CD6352">
            <w:pPr>
              <w:rPr>
                <w:rFonts w:ascii="Arial" w:hAnsi="Arial" w:cs="Arial"/>
                <w:sz w:val="16"/>
                <w:szCs w:val="16"/>
              </w:rPr>
            </w:pPr>
            <w:r w:rsidRPr="00EA7665">
              <w:rPr>
                <w:rFonts w:ascii="Arial" w:hAnsi="Arial" w:cs="Arial"/>
                <w:sz w:val="16"/>
                <w:szCs w:val="16"/>
              </w:rPr>
              <w:t xml:space="preserve">It contains instruments to contain </w:t>
            </w:r>
            <w:r w:rsidR="00D34986">
              <w:rPr>
                <w:rFonts w:ascii="Arial" w:hAnsi="Arial" w:cs="Arial"/>
                <w:sz w:val="16"/>
                <w:szCs w:val="16"/>
              </w:rPr>
              <w:t>excessive credit growth risks, instruments to reduce excessive exposure concentration, instruments addressing liquidity and financing risk &amp; instruments to mitigate against the impact of misaligned incentives that increase</w:t>
            </w:r>
            <w:r w:rsidRPr="00EA7665">
              <w:rPr>
                <w:rFonts w:ascii="Arial" w:hAnsi="Arial" w:cs="Arial"/>
                <w:sz w:val="16"/>
                <w:szCs w:val="16"/>
              </w:rPr>
              <w:t xml:space="preserve"> systematic risk.</w:t>
            </w:r>
          </w:p>
        </w:tc>
        <w:tc>
          <w:tcPr>
            <w:tcW w:w="1791" w:type="dxa"/>
          </w:tcPr>
          <w:p w14:paraId="50E6BD30" w14:textId="77777777" w:rsidR="00CD6352" w:rsidRPr="00EA7665" w:rsidRDefault="00CD6352" w:rsidP="00CD6352">
            <w:pPr>
              <w:rPr>
                <w:rFonts w:ascii="Arial" w:hAnsi="Arial" w:cs="Arial"/>
                <w:sz w:val="16"/>
                <w:szCs w:val="16"/>
              </w:rPr>
            </w:pPr>
            <w:r w:rsidRPr="00EA7665">
              <w:rPr>
                <w:rFonts w:ascii="Arial" w:hAnsi="Arial" w:cs="Arial"/>
                <w:sz w:val="16"/>
                <w:szCs w:val="16"/>
              </w:rPr>
              <w:t>Kashyap et al. (2011)</w:t>
            </w:r>
          </w:p>
        </w:tc>
      </w:tr>
      <w:tr w:rsidR="00CD6352" w:rsidRPr="00EA7665" w14:paraId="64A09567" w14:textId="77777777" w:rsidTr="00CD6352">
        <w:trPr>
          <w:trHeight w:val="602"/>
        </w:trPr>
        <w:tc>
          <w:tcPr>
            <w:tcW w:w="0" w:type="auto"/>
          </w:tcPr>
          <w:p w14:paraId="4F443BFA" w14:textId="77777777" w:rsidR="00CD6352" w:rsidRPr="00EA7665" w:rsidRDefault="00CD6352" w:rsidP="00CD6352">
            <w:pPr>
              <w:rPr>
                <w:rFonts w:ascii="Arial" w:hAnsi="Arial" w:cs="Arial"/>
                <w:sz w:val="16"/>
                <w:szCs w:val="16"/>
              </w:rPr>
            </w:pPr>
          </w:p>
          <w:p w14:paraId="07BDD2B2" w14:textId="77777777" w:rsidR="00CD6352" w:rsidRPr="00EA7665" w:rsidRDefault="00CD6352" w:rsidP="00CD6352">
            <w:pPr>
              <w:rPr>
                <w:rFonts w:ascii="Arial" w:hAnsi="Arial" w:cs="Arial"/>
                <w:sz w:val="16"/>
                <w:szCs w:val="16"/>
              </w:rPr>
            </w:pPr>
            <w:r w:rsidRPr="00EA7665">
              <w:rPr>
                <w:rFonts w:ascii="Arial" w:hAnsi="Arial" w:cs="Arial"/>
                <w:sz w:val="16"/>
                <w:szCs w:val="16"/>
              </w:rPr>
              <w:t>The essential financial toolkit</w:t>
            </w:r>
          </w:p>
        </w:tc>
        <w:tc>
          <w:tcPr>
            <w:tcW w:w="4947" w:type="dxa"/>
          </w:tcPr>
          <w:p w14:paraId="1848A738"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Returns, mean returns, risk, diversification, and correlation, required returns and the CAPM, downside risk, risk-adjusted returns, NPV and IRR, Multiples and bonds </w:t>
            </w:r>
          </w:p>
        </w:tc>
        <w:tc>
          <w:tcPr>
            <w:tcW w:w="1791" w:type="dxa"/>
          </w:tcPr>
          <w:p w14:paraId="3643DDCB" w14:textId="77777777" w:rsidR="00CD6352" w:rsidRPr="00EA7665" w:rsidRDefault="00CD6352" w:rsidP="00CD6352">
            <w:pPr>
              <w:rPr>
                <w:rFonts w:ascii="Arial" w:hAnsi="Arial" w:cs="Arial"/>
                <w:sz w:val="16"/>
                <w:szCs w:val="16"/>
              </w:rPr>
            </w:pPr>
            <w:r w:rsidRPr="00EA7665">
              <w:rPr>
                <w:rFonts w:ascii="Arial" w:hAnsi="Arial" w:cs="Arial"/>
                <w:sz w:val="16"/>
                <w:szCs w:val="16"/>
              </w:rPr>
              <w:t>Estrada (2011).</w:t>
            </w:r>
          </w:p>
        </w:tc>
      </w:tr>
      <w:tr w:rsidR="00CD6352" w:rsidRPr="00EA7665" w14:paraId="69B39FBC" w14:textId="77777777" w:rsidTr="00CD6352">
        <w:trPr>
          <w:trHeight w:val="602"/>
        </w:trPr>
        <w:tc>
          <w:tcPr>
            <w:tcW w:w="0" w:type="auto"/>
          </w:tcPr>
          <w:p w14:paraId="7F907664" w14:textId="77777777" w:rsidR="00CD6352" w:rsidRPr="00EA7665" w:rsidRDefault="00CD6352" w:rsidP="00CD6352">
            <w:pPr>
              <w:rPr>
                <w:rFonts w:ascii="Arial" w:hAnsi="Arial" w:cs="Arial"/>
                <w:sz w:val="16"/>
                <w:szCs w:val="16"/>
              </w:rPr>
            </w:pPr>
            <w:r w:rsidRPr="00EA7665">
              <w:rPr>
                <w:rFonts w:ascii="Arial" w:hAnsi="Arial" w:cs="Arial"/>
                <w:sz w:val="16"/>
                <w:szCs w:val="16"/>
              </w:rPr>
              <w:t>Financial toolkit</w:t>
            </w:r>
          </w:p>
        </w:tc>
        <w:tc>
          <w:tcPr>
            <w:tcW w:w="4947" w:type="dxa"/>
          </w:tcPr>
          <w:p w14:paraId="641AE2B2" w14:textId="77777777" w:rsidR="00CD6352" w:rsidRPr="00EA7665" w:rsidRDefault="00CD6352" w:rsidP="00CD6352">
            <w:pPr>
              <w:rPr>
                <w:rFonts w:ascii="Arial" w:hAnsi="Arial" w:cs="Arial"/>
                <w:sz w:val="16"/>
                <w:szCs w:val="16"/>
              </w:rPr>
            </w:pPr>
            <w:r w:rsidRPr="00EA7665">
              <w:rPr>
                <w:rFonts w:ascii="Arial" w:hAnsi="Arial" w:cs="Arial"/>
                <w:sz w:val="16"/>
                <w:szCs w:val="16"/>
              </w:rPr>
              <w:t>A comprehensive learning program that provides basic information and tools to help adults manage their finances and gain the confidence they need to make better financial decisions.</w:t>
            </w:r>
          </w:p>
        </w:tc>
        <w:tc>
          <w:tcPr>
            <w:tcW w:w="1791" w:type="dxa"/>
          </w:tcPr>
          <w:p w14:paraId="7677B6FB" w14:textId="77777777" w:rsidR="00CD6352" w:rsidRPr="00EA7665" w:rsidRDefault="00CD6352" w:rsidP="00CD6352">
            <w:pPr>
              <w:rPr>
                <w:rFonts w:ascii="Arial" w:hAnsi="Arial" w:cs="Arial"/>
                <w:sz w:val="16"/>
                <w:szCs w:val="16"/>
              </w:rPr>
            </w:pPr>
            <w:r w:rsidRPr="00EA7665">
              <w:rPr>
                <w:rFonts w:ascii="Arial" w:hAnsi="Arial" w:cs="Arial"/>
                <w:sz w:val="16"/>
                <w:szCs w:val="16"/>
              </w:rPr>
              <w:t>Government of Canada</w:t>
            </w:r>
          </w:p>
        </w:tc>
      </w:tr>
      <w:tr w:rsidR="00CD6352" w:rsidRPr="00EA7665" w14:paraId="1B1750C5" w14:textId="77777777" w:rsidTr="00CD6352">
        <w:trPr>
          <w:trHeight w:val="602"/>
        </w:trPr>
        <w:tc>
          <w:tcPr>
            <w:tcW w:w="0" w:type="auto"/>
          </w:tcPr>
          <w:p w14:paraId="2B03E682" w14:textId="77777777" w:rsidR="00CD6352" w:rsidRPr="00EA7665" w:rsidRDefault="00CD6352" w:rsidP="00CD6352">
            <w:pPr>
              <w:rPr>
                <w:rFonts w:ascii="Arial" w:hAnsi="Arial" w:cs="Arial"/>
                <w:sz w:val="16"/>
                <w:szCs w:val="16"/>
              </w:rPr>
            </w:pPr>
            <w:r>
              <w:rPr>
                <w:rFonts w:ascii="Arial" w:hAnsi="Arial" w:cs="Arial"/>
                <w:sz w:val="16"/>
                <w:szCs w:val="16"/>
              </w:rPr>
              <w:lastRenderedPageBreak/>
              <w:t xml:space="preserve">Financial toolkit </w:t>
            </w:r>
          </w:p>
        </w:tc>
        <w:tc>
          <w:tcPr>
            <w:tcW w:w="4947" w:type="dxa"/>
          </w:tcPr>
          <w:p w14:paraId="4FAEE2B1" w14:textId="4CF06207" w:rsidR="00CD6352" w:rsidRPr="00EA7665" w:rsidRDefault="00CD6352" w:rsidP="00CD6352">
            <w:pPr>
              <w:rPr>
                <w:rFonts w:ascii="Arial" w:hAnsi="Arial" w:cs="Arial"/>
                <w:sz w:val="16"/>
                <w:szCs w:val="16"/>
              </w:rPr>
            </w:pPr>
            <w:r>
              <w:rPr>
                <w:rFonts w:ascii="Arial" w:hAnsi="Arial" w:cs="Arial"/>
                <w:sz w:val="16"/>
                <w:szCs w:val="16"/>
              </w:rPr>
              <w:t xml:space="preserve">Implementation of the algorithm for </w:t>
            </w:r>
            <w:r w:rsidR="005549B0">
              <w:rPr>
                <w:rFonts w:ascii="Arial" w:hAnsi="Arial" w:cs="Arial"/>
                <w:sz w:val="16"/>
                <w:szCs w:val="16"/>
              </w:rPr>
              <w:t xml:space="preserve">the </w:t>
            </w:r>
            <w:r>
              <w:rPr>
                <w:rFonts w:ascii="Arial" w:hAnsi="Arial" w:cs="Arial"/>
                <w:sz w:val="16"/>
                <w:szCs w:val="16"/>
              </w:rPr>
              <w:t xml:space="preserve">development of the reproduction of the material &amp; the technical base of </w:t>
            </w:r>
            <w:r w:rsidR="005549B0">
              <w:rPr>
                <w:rFonts w:ascii="Arial" w:hAnsi="Arial" w:cs="Arial"/>
                <w:sz w:val="16"/>
                <w:szCs w:val="16"/>
              </w:rPr>
              <w:t xml:space="preserve">the </w:t>
            </w:r>
            <w:r>
              <w:rPr>
                <w:rFonts w:ascii="Arial" w:hAnsi="Arial" w:cs="Arial"/>
                <w:sz w:val="16"/>
                <w:szCs w:val="16"/>
              </w:rPr>
              <w:t xml:space="preserve">organisation based on financial leasing. It also contains the technique for calculating leasing payments based on </w:t>
            </w:r>
            <w:r w:rsidR="005549B0">
              <w:rPr>
                <w:rFonts w:ascii="Arial" w:hAnsi="Arial" w:cs="Arial"/>
                <w:sz w:val="16"/>
                <w:szCs w:val="16"/>
              </w:rPr>
              <w:t xml:space="preserve">the </w:t>
            </w:r>
            <w:r>
              <w:rPr>
                <w:rFonts w:ascii="Arial" w:hAnsi="Arial" w:cs="Arial"/>
                <w:sz w:val="16"/>
                <w:szCs w:val="16"/>
              </w:rPr>
              <w:t>parametric model.</w:t>
            </w:r>
          </w:p>
        </w:tc>
        <w:tc>
          <w:tcPr>
            <w:tcW w:w="1791" w:type="dxa"/>
          </w:tcPr>
          <w:p w14:paraId="033B7580" w14:textId="77777777" w:rsidR="00CD6352" w:rsidRPr="00EA7665" w:rsidRDefault="00CD6352" w:rsidP="00CD6352">
            <w:pPr>
              <w:rPr>
                <w:rFonts w:ascii="Arial" w:hAnsi="Arial" w:cs="Arial"/>
                <w:sz w:val="16"/>
                <w:szCs w:val="16"/>
              </w:rPr>
            </w:pPr>
            <w:r>
              <w:rPr>
                <w:rFonts w:ascii="Arial" w:hAnsi="Arial" w:cs="Arial"/>
                <w:sz w:val="16"/>
                <w:szCs w:val="16"/>
              </w:rPr>
              <w:t>Nechaev et al, 2018</w:t>
            </w:r>
          </w:p>
        </w:tc>
      </w:tr>
      <w:tr w:rsidR="00CD6352" w:rsidRPr="00EA7665" w14:paraId="67434091" w14:textId="77777777" w:rsidTr="00CD6352">
        <w:trPr>
          <w:trHeight w:val="602"/>
        </w:trPr>
        <w:tc>
          <w:tcPr>
            <w:tcW w:w="0" w:type="auto"/>
          </w:tcPr>
          <w:p w14:paraId="688261EB" w14:textId="77777777" w:rsidR="00CD6352" w:rsidRDefault="00CD6352" w:rsidP="00CD6352">
            <w:pPr>
              <w:rPr>
                <w:rFonts w:ascii="Arial" w:hAnsi="Arial" w:cs="Arial"/>
                <w:sz w:val="16"/>
                <w:szCs w:val="16"/>
              </w:rPr>
            </w:pPr>
            <w:r>
              <w:rPr>
                <w:rFonts w:ascii="Arial" w:hAnsi="Arial" w:cs="Arial"/>
                <w:sz w:val="16"/>
                <w:szCs w:val="16"/>
              </w:rPr>
              <w:t>Broad policy toolkit</w:t>
            </w:r>
          </w:p>
        </w:tc>
        <w:tc>
          <w:tcPr>
            <w:tcW w:w="4947" w:type="dxa"/>
          </w:tcPr>
          <w:p w14:paraId="6CF368BB" w14:textId="7E7CE01B" w:rsidR="00CD6352" w:rsidRDefault="00CD6352" w:rsidP="00CD6352">
            <w:pPr>
              <w:rPr>
                <w:rFonts w:ascii="Arial" w:hAnsi="Arial" w:cs="Arial"/>
                <w:sz w:val="16"/>
                <w:szCs w:val="16"/>
              </w:rPr>
            </w:pPr>
            <w:r>
              <w:rPr>
                <w:rFonts w:ascii="Arial" w:hAnsi="Arial" w:cs="Arial"/>
                <w:sz w:val="16"/>
                <w:szCs w:val="16"/>
              </w:rPr>
              <w:t>Monetary and macroprudential policies and their interactions</w:t>
            </w:r>
          </w:p>
        </w:tc>
        <w:tc>
          <w:tcPr>
            <w:tcW w:w="1791" w:type="dxa"/>
          </w:tcPr>
          <w:p w14:paraId="5105D182" w14:textId="77777777" w:rsidR="00CD6352" w:rsidRDefault="00CD6352" w:rsidP="00CD6352">
            <w:pPr>
              <w:rPr>
                <w:rFonts w:ascii="Arial" w:hAnsi="Arial" w:cs="Arial"/>
                <w:sz w:val="16"/>
                <w:szCs w:val="16"/>
              </w:rPr>
            </w:pPr>
            <w:r>
              <w:rPr>
                <w:rFonts w:ascii="Arial" w:hAnsi="Arial" w:cs="Arial"/>
                <w:sz w:val="16"/>
                <w:szCs w:val="16"/>
              </w:rPr>
              <w:t>World bank study / Canuto &amp; Ghosh, 2013</w:t>
            </w:r>
          </w:p>
        </w:tc>
      </w:tr>
      <w:tr w:rsidR="00CD6352" w:rsidRPr="00EA7665" w14:paraId="5BE14232" w14:textId="77777777" w:rsidTr="00CD6352">
        <w:trPr>
          <w:trHeight w:val="602"/>
        </w:trPr>
        <w:tc>
          <w:tcPr>
            <w:tcW w:w="0" w:type="auto"/>
          </w:tcPr>
          <w:p w14:paraId="1A10DA70" w14:textId="19921F7E" w:rsidR="00CD6352" w:rsidRDefault="00CD6352" w:rsidP="00CD6352">
            <w:pPr>
              <w:rPr>
                <w:rFonts w:ascii="Arial" w:hAnsi="Arial" w:cs="Arial"/>
                <w:sz w:val="16"/>
                <w:szCs w:val="16"/>
              </w:rPr>
            </w:pPr>
            <w:r>
              <w:rPr>
                <w:rFonts w:ascii="Arial" w:hAnsi="Arial" w:cs="Arial"/>
                <w:sz w:val="16"/>
                <w:szCs w:val="16"/>
              </w:rPr>
              <w:t xml:space="preserve">Recovery after </w:t>
            </w:r>
            <w:r w:rsidR="005549B0">
              <w:rPr>
                <w:rFonts w:ascii="Arial" w:hAnsi="Arial" w:cs="Arial"/>
                <w:sz w:val="16"/>
                <w:szCs w:val="16"/>
              </w:rPr>
              <w:t xml:space="preserve">a </w:t>
            </w:r>
            <w:r>
              <w:rPr>
                <w:rFonts w:ascii="Arial" w:hAnsi="Arial" w:cs="Arial"/>
                <w:sz w:val="16"/>
                <w:szCs w:val="16"/>
              </w:rPr>
              <w:t>disaster: The family financial toolkit an evaluation of its efficacy</w:t>
            </w:r>
          </w:p>
        </w:tc>
        <w:tc>
          <w:tcPr>
            <w:tcW w:w="4947" w:type="dxa"/>
          </w:tcPr>
          <w:p w14:paraId="1398B369" w14:textId="17AE6CD7" w:rsidR="00CD6352" w:rsidRDefault="00CD6352" w:rsidP="00CD6352">
            <w:pPr>
              <w:rPr>
                <w:rFonts w:ascii="Arial" w:hAnsi="Arial" w:cs="Arial"/>
                <w:sz w:val="16"/>
                <w:szCs w:val="16"/>
              </w:rPr>
            </w:pPr>
            <w:r>
              <w:rPr>
                <w:rFonts w:ascii="Arial" w:hAnsi="Arial" w:cs="Arial"/>
                <w:sz w:val="16"/>
                <w:szCs w:val="16"/>
              </w:rPr>
              <w:t>The toolkit discusses strategies and provides tools, including checklists and worksheets, to help survivors find resources and make difficult financial decisions in the days; and months following a disaster</w:t>
            </w:r>
          </w:p>
        </w:tc>
        <w:tc>
          <w:tcPr>
            <w:tcW w:w="1791" w:type="dxa"/>
          </w:tcPr>
          <w:p w14:paraId="642789E0" w14:textId="77777777" w:rsidR="00CD6352" w:rsidRDefault="00CD6352" w:rsidP="00CD6352">
            <w:pPr>
              <w:rPr>
                <w:rFonts w:ascii="Arial" w:hAnsi="Arial" w:cs="Arial"/>
                <w:sz w:val="16"/>
                <w:szCs w:val="16"/>
              </w:rPr>
            </w:pPr>
            <w:r>
              <w:rPr>
                <w:rFonts w:ascii="Arial" w:hAnsi="Arial" w:cs="Arial"/>
                <w:sz w:val="16"/>
                <w:szCs w:val="16"/>
              </w:rPr>
              <w:t>Scharmer &amp; Croymans, 2013</w:t>
            </w:r>
          </w:p>
        </w:tc>
      </w:tr>
      <w:tr w:rsidR="00CD6352" w:rsidRPr="00EA7665" w14:paraId="3EBF9508" w14:textId="77777777" w:rsidTr="00CD6352">
        <w:trPr>
          <w:trHeight w:val="602"/>
        </w:trPr>
        <w:tc>
          <w:tcPr>
            <w:tcW w:w="0" w:type="auto"/>
          </w:tcPr>
          <w:p w14:paraId="6BB5609D" w14:textId="77777777" w:rsidR="00CD6352" w:rsidRDefault="00CD6352" w:rsidP="00CD6352">
            <w:pPr>
              <w:rPr>
                <w:rFonts w:ascii="Arial" w:hAnsi="Arial" w:cs="Arial"/>
                <w:sz w:val="16"/>
                <w:szCs w:val="16"/>
              </w:rPr>
            </w:pPr>
            <w:r>
              <w:rPr>
                <w:rFonts w:ascii="Arial" w:hAnsi="Arial" w:cs="Arial"/>
                <w:sz w:val="16"/>
                <w:szCs w:val="16"/>
              </w:rPr>
              <w:t xml:space="preserve">A toolkit to assess fiscal vulnerabilities and risks in advanced economies </w:t>
            </w:r>
          </w:p>
        </w:tc>
        <w:tc>
          <w:tcPr>
            <w:tcW w:w="4947" w:type="dxa"/>
          </w:tcPr>
          <w:p w14:paraId="284848D1" w14:textId="3C44F5AC" w:rsidR="00CD6352" w:rsidRDefault="00CD6352" w:rsidP="00CD6352">
            <w:pPr>
              <w:rPr>
                <w:rFonts w:ascii="Arial" w:hAnsi="Arial" w:cs="Arial"/>
                <w:sz w:val="16"/>
                <w:szCs w:val="16"/>
              </w:rPr>
            </w:pPr>
            <w:r>
              <w:rPr>
                <w:rFonts w:ascii="Arial" w:hAnsi="Arial" w:cs="Arial"/>
                <w:sz w:val="16"/>
                <w:szCs w:val="16"/>
              </w:rPr>
              <w:t xml:space="preserve">Gross funding needs, market perceptions of default risk and stress dependence among sovereigns; medium and long term budgetary adjustment needs, </w:t>
            </w:r>
            <w:r w:rsidR="005549B0">
              <w:rPr>
                <w:rFonts w:ascii="Arial" w:hAnsi="Arial" w:cs="Arial"/>
                <w:sz w:val="16"/>
                <w:szCs w:val="16"/>
              </w:rPr>
              <w:t xml:space="preserve">the </w:t>
            </w:r>
            <w:r>
              <w:rPr>
                <w:rFonts w:ascii="Arial" w:hAnsi="Arial" w:cs="Arial"/>
                <w:sz w:val="16"/>
                <w:szCs w:val="16"/>
              </w:rPr>
              <w:t>susceptibility of debt projections to growth and interest rate shocks and stochastic risks to medium-term debt dynamics.</w:t>
            </w:r>
          </w:p>
        </w:tc>
        <w:tc>
          <w:tcPr>
            <w:tcW w:w="1791" w:type="dxa"/>
          </w:tcPr>
          <w:p w14:paraId="781E5569" w14:textId="77777777" w:rsidR="00CD6352" w:rsidRDefault="00CD6352" w:rsidP="00CD6352">
            <w:pPr>
              <w:rPr>
                <w:rFonts w:ascii="Arial" w:hAnsi="Arial" w:cs="Arial"/>
                <w:sz w:val="16"/>
                <w:szCs w:val="16"/>
              </w:rPr>
            </w:pPr>
            <w:r>
              <w:rPr>
                <w:rFonts w:ascii="Arial" w:hAnsi="Arial" w:cs="Arial"/>
                <w:sz w:val="16"/>
                <w:szCs w:val="16"/>
              </w:rPr>
              <w:t>Schaechter et al, 2013</w:t>
            </w:r>
          </w:p>
        </w:tc>
      </w:tr>
      <w:tr w:rsidR="00CD6352" w:rsidRPr="00EA7665" w14:paraId="42F53166" w14:textId="77777777" w:rsidTr="00CD6352">
        <w:trPr>
          <w:trHeight w:val="602"/>
        </w:trPr>
        <w:tc>
          <w:tcPr>
            <w:tcW w:w="0" w:type="auto"/>
          </w:tcPr>
          <w:p w14:paraId="56C51F5C" w14:textId="77777777" w:rsidR="00CD6352" w:rsidRDefault="00CD6352" w:rsidP="00CD6352">
            <w:pPr>
              <w:rPr>
                <w:rFonts w:ascii="Arial" w:hAnsi="Arial" w:cs="Arial"/>
                <w:sz w:val="16"/>
                <w:szCs w:val="16"/>
              </w:rPr>
            </w:pPr>
            <w:r>
              <w:rPr>
                <w:rFonts w:ascii="Arial" w:hAnsi="Arial" w:cs="Arial"/>
                <w:sz w:val="16"/>
                <w:szCs w:val="16"/>
              </w:rPr>
              <w:t>Local government budgeting toolkit</w:t>
            </w:r>
          </w:p>
        </w:tc>
        <w:tc>
          <w:tcPr>
            <w:tcW w:w="4947" w:type="dxa"/>
          </w:tcPr>
          <w:p w14:paraId="6350E2E3" w14:textId="37D8B67E" w:rsidR="00CD6352" w:rsidRDefault="00CD6352" w:rsidP="00CD6352">
            <w:pPr>
              <w:rPr>
                <w:rFonts w:ascii="Arial" w:hAnsi="Arial" w:cs="Arial"/>
                <w:sz w:val="16"/>
                <w:szCs w:val="16"/>
              </w:rPr>
            </w:pPr>
            <w:r>
              <w:rPr>
                <w:rFonts w:ascii="Arial" w:hAnsi="Arial" w:cs="Arial"/>
                <w:sz w:val="16"/>
                <w:szCs w:val="16"/>
              </w:rPr>
              <w:t>The toolkit provides practical guidance to municipal finance managers on how to implement prudent service</w:t>
            </w:r>
            <w:r w:rsidR="005549B0">
              <w:rPr>
                <w:rFonts w:ascii="Arial" w:hAnsi="Arial" w:cs="Arial"/>
                <w:sz w:val="16"/>
                <w:szCs w:val="16"/>
              </w:rPr>
              <w:t>-</w:t>
            </w:r>
            <w:r>
              <w:rPr>
                <w:rFonts w:ascii="Arial" w:hAnsi="Arial" w:cs="Arial"/>
                <w:sz w:val="16"/>
                <w:szCs w:val="16"/>
              </w:rPr>
              <w:t>oriented budgeting practices and it contains sections on accounting &amp; auditing, the municipal revenues; public expenditures; the capital budget and investment planning; and budget performance information and measurement</w:t>
            </w:r>
          </w:p>
        </w:tc>
        <w:tc>
          <w:tcPr>
            <w:tcW w:w="1791" w:type="dxa"/>
          </w:tcPr>
          <w:p w14:paraId="311D0FD5" w14:textId="77777777" w:rsidR="00CD6352" w:rsidRDefault="00CD6352" w:rsidP="00CD6352">
            <w:pPr>
              <w:rPr>
                <w:rFonts w:ascii="Arial" w:hAnsi="Arial" w:cs="Arial"/>
                <w:sz w:val="16"/>
                <w:szCs w:val="16"/>
              </w:rPr>
            </w:pPr>
            <w:r>
              <w:rPr>
                <w:rFonts w:ascii="Arial" w:hAnsi="Arial" w:cs="Arial"/>
                <w:sz w:val="16"/>
                <w:szCs w:val="16"/>
              </w:rPr>
              <w:t>Schaeffer, M (2003)</w:t>
            </w:r>
          </w:p>
        </w:tc>
      </w:tr>
    </w:tbl>
    <w:p w14:paraId="5374F9C9" w14:textId="77777777" w:rsidR="00CD6352" w:rsidRPr="00EA7665" w:rsidRDefault="00CD6352" w:rsidP="00CD6352">
      <w:pPr>
        <w:rPr>
          <w:rFonts w:ascii="Arial" w:hAnsi="Arial" w:cs="Arial"/>
        </w:rPr>
      </w:pPr>
    </w:p>
    <w:p w14:paraId="499F64CB" w14:textId="665DF3B4" w:rsidR="00CD6352" w:rsidRDefault="00CD6352" w:rsidP="00CD6352">
      <w:pPr>
        <w:spacing w:line="360" w:lineRule="auto"/>
        <w:rPr>
          <w:rFonts w:ascii="Arial" w:hAnsi="Arial" w:cs="Arial"/>
        </w:rPr>
      </w:pPr>
      <w:r w:rsidRPr="00EA7665">
        <w:rPr>
          <w:rFonts w:ascii="Arial" w:hAnsi="Arial" w:cs="Arial"/>
        </w:rPr>
        <w:t xml:space="preserve">The </w:t>
      </w:r>
      <w:r w:rsidR="00870D1C">
        <w:rPr>
          <w:rFonts w:ascii="Arial" w:hAnsi="Arial" w:cs="Arial"/>
        </w:rPr>
        <w:t>toolkit for securing finance for real estate project development is presented in a series of short chapters, just like the World Bank’s toolkit for evaluating</w:t>
      </w:r>
      <w:r w:rsidRPr="00EA7665">
        <w:rPr>
          <w:rFonts w:ascii="Arial" w:hAnsi="Arial" w:cs="Arial"/>
        </w:rPr>
        <w:t xml:space="preserve"> financial capability programs in low and middle-income countries (Young et al., 2013). The detailed toolkit for securing finance for real estate project development is contained in chapter </w:t>
      </w:r>
      <w:r w:rsidR="005549B0">
        <w:rPr>
          <w:rFonts w:ascii="Arial" w:hAnsi="Arial" w:cs="Arial"/>
        </w:rPr>
        <w:t>10</w:t>
      </w:r>
      <w:r w:rsidR="00870D1C">
        <w:rPr>
          <w:rFonts w:ascii="Arial" w:hAnsi="Arial" w:cs="Arial"/>
        </w:rPr>
        <w:t>,</w:t>
      </w:r>
      <w:r>
        <w:rPr>
          <w:rFonts w:ascii="Arial" w:hAnsi="Arial" w:cs="Arial"/>
        </w:rPr>
        <w:t xml:space="preserve"> while the detailed development of the individual components of the toolkit is contained in chapters 5, 6, 7</w:t>
      </w:r>
      <w:r w:rsidR="005549B0">
        <w:rPr>
          <w:rFonts w:ascii="Arial" w:hAnsi="Arial" w:cs="Arial"/>
        </w:rPr>
        <w:t>,</w:t>
      </w:r>
      <w:r>
        <w:rPr>
          <w:rFonts w:ascii="Arial" w:hAnsi="Arial" w:cs="Arial"/>
        </w:rPr>
        <w:t xml:space="preserve"> 8</w:t>
      </w:r>
      <w:r w:rsidR="005549B0">
        <w:rPr>
          <w:rFonts w:ascii="Arial" w:hAnsi="Arial" w:cs="Arial"/>
        </w:rPr>
        <w:t xml:space="preserve"> and 9.</w:t>
      </w:r>
    </w:p>
    <w:p w14:paraId="3D5B374D" w14:textId="57A4A792" w:rsidR="00BC7775" w:rsidRDefault="00BC7775" w:rsidP="00BC7775">
      <w:pPr>
        <w:pStyle w:val="Heading2"/>
        <w:rPr>
          <w:sz w:val="22"/>
          <w:szCs w:val="22"/>
        </w:rPr>
      </w:pPr>
      <w:bookmarkStart w:id="1007" w:name="_Toc78983809"/>
      <w:r w:rsidRPr="00BC7775">
        <w:rPr>
          <w:sz w:val="22"/>
          <w:szCs w:val="22"/>
        </w:rPr>
        <w:t xml:space="preserve">Implications of the findings from the </w:t>
      </w:r>
      <w:r w:rsidR="002764C8">
        <w:rPr>
          <w:sz w:val="22"/>
          <w:szCs w:val="22"/>
        </w:rPr>
        <w:t xml:space="preserve">literature </w:t>
      </w:r>
      <w:r w:rsidRPr="00BC7775">
        <w:rPr>
          <w:sz w:val="22"/>
          <w:szCs w:val="22"/>
        </w:rPr>
        <w:t>review &amp; the development of the initial conceptual model.</w:t>
      </w:r>
      <w:bookmarkEnd w:id="1007"/>
    </w:p>
    <w:p w14:paraId="44659ED7" w14:textId="77777777" w:rsidR="002764C8" w:rsidRPr="002764C8" w:rsidRDefault="002764C8" w:rsidP="002764C8"/>
    <w:p w14:paraId="45CC8B9F" w14:textId="35846FA1" w:rsidR="002764C8" w:rsidRPr="00EA7665" w:rsidRDefault="002764C8" w:rsidP="002764C8">
      <w:pPr>
        <w:spacing w:line="360" w:lineRule="auto"/>
        <w:jc w:val="both"/>
        <w:rPr>
          <w:rFonts w:ascii="Arial" w:hAnsi="Arial" w:cs="Arial"/>
        </w:rPr>
      </w:pPr>
      <w:r w:rsidRPr="00EA7665">
        <w:rPr>
          <w:rFonts w:ascii="Arial" w:hAnsi="Arial" w:cs="Arial"/>
        </w:rPr>
        <w:t>The literature revealed that the</w:t>
      </w:r>
      <w:r>
        <w:rPr>
          <w:rFonts w:ascii="Arial" w:hAnsi="Arial" w:cs="Arial"/>
        </w:rPr>
        <w:t xml:space="preserve">re are no uninformed decisions and processes for securing finance. It also </w:t>
      </w:r>
      <w:r w:rsidR="00113E79">
        <w:rPr>
          <w:rFonts w:ascii="Arial" w:hAnsi="Arial" w:cs="Arial"/>
        </w:rPr>
        <w:t>show</w:t>
      </w:r>
      <w:r>
        <w:rPr>
          <w:rFonts w:ascii="Arial" w:hAnsi="Arial" w:cs="Arial"/>
        </w:rPr>
        <w:t xml:space="preserve">ed no notable publications on management skills, knowledge, competences, career path, and training and education for securing finance for real estate project development. Hence, a general literature review was conducted on management skills, financial knowledge, competences, career path, and training and education. This then provided a platform </w:t>
      </w:r>
      <w:r w:rsidR="004A440E">
        <w:rPr>
          <w:rFonts w:ascii="Arial" w:hAnsi="Arial" w:cs="Arial"/>
        </w:rPr>
        <w:t xml:space="preserve">for developing the initial conceptual model and </w:t>
      </w:r>
      <w:r>
        <w:rPr>
          <w:rFonts w:ascii="Arial" w:hAnsi="Arial" w:cs="Arial"/>
        </w:rPr>
        <w:t>the findings from the industry through semi-structured interviews and questionnaire surveys.  Further inquiries on the different constructs discussed in literature reviews in chapters 2 and 3 are obtained in chapters 5, 6, 7, 8 and 9. The results contributed to developing the individual components of the toolkit in chapters 5,6,7,8</w:t>
      </w:r>
      <w:r w:rsidR="00214268">
        <w:rPr>
          <w:rFonts w:ascii="Arial" w:hAnsi="Arial" w:cs="Arial"/>
        </w:rPr>
        <w:t>,</w:t>
      </w:r>
      <w:r>
        <w:rPr>
          <w:rFonts w:ascii="Arial" w:hAnsi="Arial" w:cs="Arial"/>
        </w:rPr>
        <w:t xml:space="preserve"> and 9. The fully compiled toolkit and its recommended usage are presented in chapter 10. </w:t>
      </w:r>
    </w:p>
    <w:p w14:paraId="65E37D70" w14:textId="77777777" w:rsidR="002764C8" w:rsidRPr="002764C8" w:rsidRDefault="002764C8" w:rsidP="002764C8"/>
    <w:p w14:paraId="7BF92DD6" w14:textId="77777777" w:rsidR="00CD6352" w:rsidRPr="00EA7665" w:rsidRDefault="00CD6352" w:rsidP="00CD6352">
      <w:pPr>
        <w:pStyle w:val="Heading2"/>
        <w:spacing w:line="360" w:lineRule="auto"/>
        <w:jc w:val="both"/>
        <w:rPr>
          <w:rFonts w:cs="Arial"/>
          <w:sz w:val="22"/>
          <w:szCs w:val="22"/>
        </w:rPr>
      </w:pPr>
      <w:bookmarkStart w:id="1008" w:name="_Toc78983810"/>
      <w:r w:rsidRPr="00EA7665">
        <w:rPr>
          <w:rFonts w:cs="Arial"/>
          <w:sz w:val="22"/>
          <w:szCs w:val="22"/>
        </w:rPr>
        <w:t>Summary</w:t>
      </w:r>
      <w:bookmarkEnd w:id="791"/>
      <w:bookmarkEnd w:id="1008"/>
      <w:r w:rsidRPr="00EA7665">
        <w:rPr>
          <w:rFonts w:cs="Arial"/>
          <w:sz w:val="22"/>
          <w:szCs w:val="22"/>
        </w:rPr>
        <w:t xml:space="preserve"> </w:t>
      </w:r>
    </w:p>
    <w:p w14:paraId="2160585E" w14:textId="1C33909B" w:rsidR="00CD6352" w:rsidRPr="00EA7665" w:rsidRDefault="00CD6352" w:rsidP="00CD6352">
      <w:pPr>
        <w:spacing w:line="360" w:lineRule="auto"/>
        <w:jc w:val="both"/>
        <w:rPr>
          <w:rFonts w:ascii="Arial" w:hAnsi="Arial" w:cs="Arial"/>
        </w:rPr>
      </w:pPr>
      <w:r w:rsidRPr="00EA7665">
        <w:rPr>
          <w:rFonts w:ascii="Arial" w:hAnsi="Arial" w:cs="Arial"/>
        </w:rPr>
        <w:t xml:space="preserve">This chapter presents the theoretical and empirical review of </w:t>
      </w:r>
      <w:r w:rsidR="00341ACD">
        <w:rPr>
          <w:rFonts w:ascii="Arial" w:hAnsi="Arial" w:cs="Arial"/>
        </w:rPr>
        <w:t xml:space="preserve">the </w:t>
      </w:r>
      <w:r w:rsidRPr="00EA7665">
        <w:rPr>
          <w:rFonts w:ascii="Arial" w:hAnsi="Arial" w:cs="Arial"/>
        </w:rPr>
        <w:t xml:space="preserve">literature as well as the </w:t>
      </w:r>
      <w:r w:rsidR="00A54C7D">
        <w:rPr>
          <w:rFonts w:ascii="Arial" w:hAnsi="Arial" w:cs="Arial"/>
        </w:rPr>
        <w:t xml:space="preserve">initial </w:t>
      </w:r>
      <w:r w:rsidRPr="00EA7665">
        <w:rPr>
          <w:rFonts w:ascii="Arial" w:hAnsi="Arial" w:cs="Arial"/>
        </w:rPr>
        <w:t>conceptual</w:t>
      </w:r>
      <w:r w:rsidR="00A54C7D">
        <w:rPr>
          <w:rFonts w:ascii="Arial" w:hAnsi="Arial" w:cs="Arial"/>
        </w:rPr>
        <w:t xml:space="preserve"> model</w:t>
      </w:r>
      <w:r w:rsidRPr="00EA7665">
        <w:rPr>
          <w:rFonts w:ascii="Arial" w:hAnsi="Arial" w:cs="Arial"/>
        </w:rPr>
        <w:t xml:space="preserve"> for the stud</w:t>
      </w:r>
      <w:r>
        <w:rPr>
          <w:rFonts w:ascii="Arial" w:hAnsi="Arial" w:cs="Arial"/>
        </w:rPr>
        <w:t>y</w:t>
      </w:r>
      <w:r w:rsidRPr="00EA7665">
        <w:rPr>
          <w:rFonts w:ascii="Arial" w:hAnsi="Arial" w:cs="Arial"/>
        </w:rPr>
        <w:t>. It discusse</w:t>
      </w:r>
      <w:r>
        <w:rPr>
          <w:rFonts w:ascii="Arial" w:hAnsi="Arial" w:cs="Arial"/>
        </w:rPr>
        <w:t>d</w:t>
      </w:r>
      <w:r w:rsidRPr="00EA7665">
        <w:rPr>
          <w:rFonts w:ascii="Arial" w:hAnsi="Arial" w:cs="Arial"/>
        </w:rPr>
        <w:t xml:space="preserve"> the finance options for real estate project development, the criteria, the critical success factors, challenges and opportunities, key decisi</w:t>
      </w:r>
      <w:r>
        <w:rPr>
          <w:rFonts w:ascii="Arial" w:hAnsi="Arial" w:cs="Arial"/>
        </w:rPr>
        <w:t xml:space="preserve">ons and </w:t>
      </w:r>
      <w:r w:rsidRPr="00EA7665">
        <w:rPr>
          <w:rFonts w:ascii="Arial" w:hAnsi="Arial" w:cs="Arial"/>
        </w:rPr>
        <w:t xml:space="preserve">processes, </w:t>
      </w:r>
      <w:r>
        <w:rPr>
          <w:rFonts w:ascii="Arial" w:hAnsi="Arial" w:cs="Arial"/>
        </w:rPr>
        <w:t xml:space="preserve">management </w:t>
      </w:r>
      <w:r w:rsidRPr="00EA7665">
        <w:rPr>
          <w:rFonts w:ascii="Arial" w:hAnsi="Arial" w:cs="Arial"/>
        </w:rPr>
        <w:t>skills, knowledge, competences, career path, training</w:t>
      </w:r>
      <w:r w:rsidR="00175B44">
        <w:rPr>
          <w:rFonts w:ascii="Arial" w:hAnsi="Arial" w:cs="Arial"/>
        </w:rPr>
        <w:t>, and education to secure</w:t>
      </w:r>
      <w:r w:rsidRPr="00EA7665">
        <w:rPr>
          <w:rFonts w:ascii="Arial" w:hAnsi="Arial" w:cs="Arial"/>
        </w:rPr>
        <w:t xml:space="preserve"> finance for real estate project development.</w:t>
      </w:r>
    </w:p>
    <w:p w14:paraId="082ACEAA" w14:textId="143EF059" w:rsidR="00CD6352" w:rsidRPr="00EA7665" w:rsidRDefault="00CD6352" w:rsidP="00CD6352">
      <w:pPr>
        <w:spacing w:line="360" w:lineRule="auto"/>
        <w:jc w:val="both"/>
        <w:rPr>
          <w:rFonts w:ascii="Arial" w:hAnsi="Arial" w:cs="Arial"/>
        </w:rPr>
      </w:pPr>
      <w:r w:rsidRPr="00EA7665">
        <w:rPr>
          <w:rFonts w:ascii="Arial" w:hAnsi="Arial" w:cs="Arial"/>
        </w:rPr>
        <w:t>In the development of the literature review, theoretical perspectives of some authors were examined</w:t>
      </w:r>
      <w:r w:rsidR="002D1EB0">
        <w:rPr>
          <w:rFonts w:ascii="Arial" w:hAnsi="Arial" w:cs="Arial"/>
        </w:rPr>
        <w:t xml:space="preserve"> including,</w:t>
      </w:r>
      <w:r w:rsidRPr="00EA7665">
        <w:rPr>
          <w:rFonts w:ascii="Arial" w:hAnsi="Arial" w:cs="Arial"/>
        </w:rPr>
        <w:t xml:space="preserve"> the trade-off theory, pecking order theory, market timing theory, Kat</w:t>
      </w:r>
      <w:r>
        <w:rPr>
          <w:rFonts w:ascii="Arial" w:hAnsi="Arial" w:cs="Arial"/>
        </w:rPr>
        <w:t>z’s</w:t>
      </w:r>
      <w:r w:rsidRPr="00EA7665">
        <w:rPr>
          <w:rFonts w:ascii="Arial" w:hAnsi="Arial" w:cs="Arial"/>
        </w:rPr>
        <w:t xml:space="preserve"> three skills theory, Mumford’s skills model of leadership, motivation theory, human capital theory, t</w:t>
      </w:r>
      <w:r w:rsidR="002A13AC">
        <w:rPr>
          <w:rFonts w:ascii="Arial" w:hAnsi="Arial" w:cs="Arial"/>
        </w:rPr>
        <w:t>raditional career, and</w:t>
      </w:r>
      <w:r w:rsidRPr="00EA7665">
        <w:rPr>
          <w:rFonts w:ascii="Arial" w:hAnsi="Arial" w:cs="Arial"/>
        </w:rPr>
        <w:t xml:space="preserve"> boundaryless career development.  Work of some notable proponents of these theories such as Tarver(2018), Le and Phan (2017), Katz (1955), Burke (2010), IPMA (2015), Harris et al. (2018), Egbu</w:t>
      </w:r>
      <w:r w:rsidR="002A13AC">
        <w:rPr>
          <w:rFonts w:ascii="Arial" w:hAnsi="Arial" w:cs="Arial"/>
        </w:rPr>
        <w:t xml:space="preserve"> </w:t>
      </w:r>
      <w:r w:rsidRPr="00EA7665">
        <w:rPr>
          <w:rFonts w:ascii="Arial" w:hAnsi="Arial" w:cs="Arial"/>
        </w:rPr>
        <w:t xml:space="preserve">(1990) and Young(1998) </w:t>
      </w:r>
      <w:r>
        <w:rPr>
          <w:rFonts w:ascii="Arial" w:hAnsi="Arial" w:cs="Arial"/>
        </w:rPr>
        <w:t xml:space="preserve">were </w:t>
      </w:r>
      <w:r w:rsidRPr="00EA7665">
        <w:rPr>
          <w:rFonts w:ascii="Arial" w:hAnsi="Arial" w:cs="Arial"/>
        </w:rPr>
        <w:t>synthesised to provide a theoretical background to finance for real estate project development.</w:t>
      </w:r>
    </w:p>
    <w:p w14:paraId="6D47124B" w14:textId="153FBDD3" w:rsidR="00CD6352" w:rsidRPr="00EA7665" w:rsidRDefault="00CD6352" w:rsidP="00CD6352">
      <w:pPr>
        <w:spacing w:line="360" w:lineRule="auto"/>
        <w:jc w:val="both"/>
        <w:rPr>
          <w:rFonts w:ascii="Arial" w:hAnsi="Arial" w:cs="Arial"/>
        </w:rPr>
      </w:pPr>
      <w:r w:rsidRPr="00EA7665">
        <w:rPr>
          <w:rFonts w:ascii="Arial" w:hAnsi="Arial" w:cs="Arial"/>
        </w:rPr>
        <w:t>The literature demonstrates a range of finance options used for real estate project development in both the developed and emerging economies. The available finance options for real estate project development are debt, equity and innovative finance. Debt finance is most used in both the developed and emerging economies. It also points to the fact that the critical success factors could be internal or external. The literature shows that financiers look at three primary repayment sources</w:t>
      </w:r>
      <w:r w:rsidR="00175B44">
        <w:rPr>
          <w:rFonts w:ascii="Arial" w:hAnsi="Arial" w:cs="Arial"/>
        </w:rPr>
        <w:t>: cash flow, guarantor,</w:t>
      </w:r>
      <w:r w:rsidRPr="00EA7665">
        <w:rPr>
          <w:rFonts w:ascii="Arial" w:hAnsi="Arial" w:cs="Arial"/>
        </w:rPr>
        <w:t xml:space="preserve"> and liquidation of collateral. Managers encounter a range of challenges in accessing finance for real estate project development, and the categorisation of these challenges can be political, economic, social, legal and technological factors. In the same light, the classification of opportunities that can facilitate access to finance can also be</w:t>
      </w:r>
      <w:r>
        <w:rPr>
          <w:rFonts w:ascii="Arial" w:hAnsi="Arial" w:cs="Arial"/>
        </w:rPr>
        <w:t xml:space="preserve"> </w:t>
      </w:r>
      <w:r w:rsidR="003A7A72">
        <w:rPr>
          <w:rFonts w:ascii="Arial" w:hAnsi="Arial" w:cs="Arial"/>
        </w:rPr>
        <w:t xml:space="preserve">classified </w:t>
      </w:r>
      <w:r w:rsidR="003A7A72" w:rsidRPr="00EA7665">
        <w:rPr>
          <w:rFonts w:ascii="Arial" w:hAnsi="Arial" w:cs="Arial"/>
        </w:rPr>
        <w:t>into</w:t>
      </w:r>
      <w:r w:rsidRPr="00EA7665">
        <w:rPr>
          <w:rFonts w:ascii="Arial" w:hAnsi="Arial" w:cs="Arial"/>
        </w:rPr>
        <w:t xml:space="preserve"> political, economic, social, legal and technological factors using PESTLE as a guide. </w:t>
      </w:r>
      <w:bookmarkStart w:id="1009" w:name="_Hlk78213967"/>
      <w:r w:rsidRPr="00EA7665">
        <w:rPr>
          <w:rFonts w:ascii="Arial" w:hAnsi="Arial" w:cs="Arial"/>
        </w:rPr>
        <w:t>The literature also revealed that the</w:t>
      </w:r>
      <w:r>
        <w:rPr>
          <w:rFonts w:ascii="Arial" w:hAnsi="Arial" w:cs="Arial"/>
        </w:rPr>
        <w:t>re is no uni</w:t>
      </w:r>
      <w:r w:rsidR="00341ACD">
        <w:rPr>
          <w:rFonts w:ascii="Arial" w:hAnsi="Arial" w:cs="Arial"/>
        </w:rPr>
        <w:t>n</w:t>
      </w:r>
      <w:r>
        <w:rPr>
          <w:rFonts w:ascii="Arial" w:hAnsi="Arial" w:cs="Arial"/>
        </w:rPr>
        <w:t>formed decisions and processes for securing finance.</w:t>
      </w:r>
    </w:p>
    <w:p w14:paraId="0E2E7B71" w14:textId="77777777" w:rsidR="002764C8" w:rsidRDefault="00CD6352" w:rsidP="001D412B">
      <w:pPr>
        <w:spacing w:line="360" w:lineRule="auto"/>
        <w:jc w:val="both"/>
        <w:rPr>
          <w:rFonts w:ascii="Arial" w:hAnsi="Arial" w:cs="Arial"/>
        </w:rPr>
      </w:pPr>
      <w:r>
        <w:rPr>
          <w:rFonts w:ascii="Arial" w:hAnsi="Arial" w:cs="Arial"/>
        </w:rPr>
        <w:t xml:space="preserve">The </w:t>
      </w:r>
      <w:r w:rsidR="00E23784">
        <w:rPr>
          <w:rFonts w:ascii="Arial" w:hAnsi="Arial" w:cs="Arial"/>
        </w:rPr>
        <w:t>literature revealed</w:t>
      </w:r>
      <w:r>
        <w:rPr>
          <w:rFonts w:ascii="Arial" w:hAnsi="Arial" w:cs="Arial"/>
        </w:rPr>
        <w:t xml:space="preserve"> no notable publications on management skills, knowledge, </w:t>
      </w:r>
      <w:r w:rsidR="00E23784">
        <w:rPr>
          <w:rFonts w:ascii="Arial" w:hAnsi="Arial" w:cs="Arial"/>
        </w:rPr>
        <w:t>competences,</w:t>
      </w:r>
      <w:r>
        <w:rPr>
          <w:rFonts w:ascii="Arial" w:hAnsi="Arial" w:cs="Arial"/>
        </w:rPr>
        <w:t xml:space="preserve"> career path, and training and education for securing finance for real estate project </w:t>
      </w:r>
      <w:r w:rsidR="003A7A72">
        <w:rPr>
          <w:rFonts w:ascii="Arial" w:hAnsi="Arial" w:cs="Arial"/>
        </w:rPr>
        <w:t>development.</w:t>
      </w:r>
      <w:r>
        <w:rPr>
          <w:rFonts w:ascii="Arial" w:hAnsi="Arial" w:cs="Arial"/>
        </w:rPr>
        <w:t xml:space="preserve"> Hence</w:t>
      </w:r>
      <w:r w:rsidR="00632E30">
        <w:rPr>
          <w:rFonts w:ascii="Arial" w:hAnsi="Arial" w:cs="Arial"/>
        </w:rPr>
        <w:t xml:space="preserve">, a general literature review </w:t>
      </w:r>
      <w:r w:rsidR="00B6609F">
        <w:rPr>
          <w:rFonts w:ascii="Arial" w:hAnsi="Arial" w:cs="Arial"/>
        </w:rPr>
        <w:t>was conducted on management skills, financial knowledge, competences, career path, and training and education</w:t>
      </w:r>
      <w:r w:rsidR="00E23784">
        <w:rPr>
          <w:rFonts w:ascii="Arial" w:hAnsi="Arial" w:cs="Arial"/>
        </w:rPr>
        <w:t>.</w:t>
      </w:r>
      <w:r>
        <w:rPr>
          <w:rFonts w:ascii="Arial" w:hAnsi="Arial" w:cs="Arial"/>
        </w:rPr>
        <w:t xml:space="preserve"> </w:t>
      </w:r>
    </w:p>
    <w:p w14:paraId="3B068715" w14:textId="74BCE873" w:rsidR="00CD6352" w:rsidRPr="00EA7665" w:rsidRDefault="00CD6352" w:rsidP="001D412B">
      <w:pPr>
        <w:spacing w:line="360" w:lineRule="auto"/>
        <w:jc w:val="both"/>
        <w:rPr>
          <w:rFonts w:ascii="Arial" w:hAnsi="Arial" w:cs="Arial"/>
        </w:rPr>
      </w:pPr>
      <w:r w:rsidRPr="00EA7665">
        <w:rPr>
          <w:rFonts w:ascii="Arial" w:hAnsi="Arial" w:cs="Arial"/>
        </w:rPr>
        <w:t xml:space="preserve">The next chapter presents the research methodology.  </w:t>
      </w:r>
    </w:p>
    <w:bookmarkEnd w:id="1009"/>
    <w:p w14:paraId="04790467" w14:textId="77777777" w:rsidR="00CD6352" w:rsidRPr="00EA7665" w:rsidRDefault="00CD6352" w:rsidP="00CD6352">
      <w:pPr>
        <w:spacing w:after="0" w:line="360" w:lineRule="auto"/>
        <w:jc w:val="both"/>
        <w:rPr>
          <w:rFonts w:ascii="Arial" w:hAnsi="Arial" w:cs="Arial"/>
        </w:rPr>
      </w:pPr>
    </w:p>
    <w:p w14:paraId="31AA99BE" w14:textId="77777777" w:rsidR="00CD6352" w:rsidRPr="00EA7665" w:rsidRDefault="00CD6352" w:rsidP="00CD6352">
      <w:pPr>
        <w:spacing w:after="0" w:line="360" w:lineRule="auto"/>
        <w:jc w:val="both"/>
        <w:rPr>
          <w:rFonts w:ascii="Arial" w:hAnsi="Arial" w:cs="Arial"/>
        </w:rPr>
      </w:pPr>
    </w:p>
    <w:p w14:paraId="78D8DBF2" w14:textId="77777777" w:rsidR="00CD6352" w:rsidRPr="00EA7665" w:rsidRDefault="00CD6352" w:rsidP="00CD6352">
      <w:pPr>
        <w:spacing w:after="0" w:line="360" w:lineRule="auto"/>
        <w:jc w:val="both"/>
        <w:rPr>
          <w:rFonts w:ascii="Arial" w:hAnsi="Arial" w:cs="Arial"/>
        </w:rPr>
      </w:pPr>
    </w:p>
    <w:p w14:paraId="327ACF85" w14:textId="77777777" w:rsidR="00CD6352" w:rsidRPr="00EA7665" w:rsidRDefault="00CD6352" w:rsidP="00CD6352">
      <w:pPr>
        <w:spacing w:after="0" w:line="360" w:lineRule="auto"/>
        <w:jc w:val="both"/>
        <w:rPr>
          <w:rFonts w:ascii="Arial" w:hAnsi="Arial" w:cs="Arial"/>
        </w:rPr>
      </w:pPr>
    </w:p>
    <w:p w14:paraId="64FD674C" w14:textId="6870B87B" w:rsidR="00341ACD" w:rsidRDefault="00341ACD" w:rsidP="00CD6352">
      <w:pPr>
        <w:spacing w:after="0" w:line="360" w:lineRule="auto"/>
        <w:jc w:val="both"/>
        <w:rPr>
          <w:rFonts w:ascii="Arial" w:hAnsi="Arial" w:cs="Arial"/>
        </w:rPr>
      </w:pPr>
    </w:p>
    <w:p w14:paraId="0DFE3A0F" w14:textId="77777777" w:rsidR="00CD6352" w:rsidRPr="009B1A9D" w:rsidRDefault="00CD6352" w:rsidP="00CD6352">
      <w:pPr>
        <w:pStyle w:val="Heading1"/>
        <w:spacing w:before="0" w:after="240" w:line="360" w:lineRule="auto"/>
        <w:jc w:val="both"/>
        <w:rPr>
          <w:rFonts w:cs="Arial"/>
          <w:sz w:val="22"/>
          <w:szCs w:val="22"/>
        </w:rPr>
      </w:pPr>
      <w:bookmarkStart w:id="1010" w:name="_Toc78983811"/>
      <w:r w:rsidRPr="009B1A9D">
        <w:rPr>
          <w:rFonts w:cs="Arial"/>
          <w:sz w:val="22"/>
          <w:szCs w:val="22"/>
        </w:rPr>
        <w:t>Research Methodology</w:t>
      </w:r>
      <w:bookmarkEnd w:id="1010"/>
    </w:p>
    <w:p w14:paraId="6D061A47" w14:textId="77777777" w:rsidR="00CD6352" w:rsidRPr="009B1A9D" w:rsidRDefault="00CD6352" w:rsidP="00CD6352">
      <w:pPr>
        <w:pStyle w:val="Heading2"/>
        <w:spacing w:before="0" w:after="240" w:line="360" w:lineRule="auto"/>
        <w:jc w:val="both"/>
        <w:rPr>
          <w:rFonts w:cs="Arial"/>
          <w:sz w:val="22"/>
          <w:szCs w:val="22"/>
        </w:rPr>
      </w:pPr>
      <w:bookmarkStart w:id="1011" w:name="_Toc78983812"/>
      <w:r w:rsidRPr="009B1A9D">
        <w:rPr>
          <w:rFonts w:cs="Arial"/>
          <w:sz w:val="22"/>
          <w:szCs w:val="22"/>
        </w:rPr>
        <w:t>Introduction</w:t>
      </w:r>
      <w:bookmarkEnd w:id="1011"/>
    </w:p>
    <w:p w14:paraId="07DF6B37" w14:textId="79F137DC" w:rsidR="00734CB3" w:rsidRPr="00EA7665" w:rsidRDefault="00CD6352" w:rsidP="00487BA8">
      <w:pPr>
        <w:pStyle w:val="ListParagraph"/>
        <w:spacing w:after="0" w:line="360" w:lineRule="auto"/>
        <w:ind w:left="360"/>
        <w:jc w:val="both"/>
        <w:rPr>
          <w:rFonts w:ascii="Arial" w:hAnsi="Arial" w:cs="Arial"/>
        </w:rPr>
      </w:pPr>
      <w:r w:rsidRPr="00343C3A">
        <w:rPr>
          <w:rFonts w:ascii="Arial" w:hAnsi="Arial" w:cs="Arial"/>
        </w:rPr>
        <w:t>This chapter presents the research design and reviews a range of research methodologies</w:t>
      </w:r>
      <w:r w:rsidR="00E828CD" w:rsidRPr="00343C3A">
        <w:rPr>
          <w:rFonts w:ascii="Arial" w:hAnsi="Arial" w:cs="Arial"/>
        </w:rPr>
        <w:t>, including</w:t>
      </w:r>
      <w:r w:rsidRPr="00343C3A">
        <w:rPr>
          <w:rFonts w:ascii="Arial" w:hAnsi="Arial" w:cs="Arial"/>
        </w:rPr>
        <w:t xml:space="preserve"> those adopted for this study. The chapter discusses procedures adopted for data collection, data analysis, reporting and discussions of the findings. </w:t>
      </w:r>
      <w:r w:rsidR="00734CB3" w:rsidRPr="00343C3A">
        <w:rPr>
          <w:rFonts w:ascii="Arial" w:hAnsi="Arial" w:cs="Arial"/>
        </w:rPr>
        <w:t>Th</w:t>
      </w:r>
      <w:r w:rsidR="00343C3A">
        <w:rPr>
          <w:rFonts w:ascii="Arial" w:hAnsi="Arial" w:cs="Arial"/>
        </w:rPr>
        <w:t xml:space="preserve">e </w:t>
      </w:r>
      <w:r w:rsidR="00734CB3" w:rsidRPr="00343C3A">
        <w:rPr>
          <w:rFonts w:ascii="Arial" w:hAnsi="Arial" w:cs="Arial"/>
        </w:rPr>
        <w:t xml:space="preserve">chapter </w:t>
      </w:r>
      <w:r w:rsidR="00734CB3" w:rsidRPr="00322D64">
        <w:rPr>
          <w:rFonts w:ascii="Arial" w:hAnsi="Arial" w:cs="Arial"/>
        </w:rPr>
        <w:t>is divided into nine main parts. The first discusses the manager</w:t>
      </w:r>
      <w:r w:rsidR="001823C7" w:rsidRPr="00322D64">
        <w:rPr>
          <w:rFonts w:ascii="Arial" w:hAnsi="Arial" w:cs="Arial"/>
        </w:rPr>
        <w:t>,</w:t>
      </w:r>
      <w:r w:rsidR="00734CB3" w:rsidRPr="00322D64">
        <w:rPr>
          <w:rFonts w:ascii="Arial" w:hAnsi="Arial" w:cs="Arial"/>
        </w:rPr>
        <w:t xml:space="preserve"> which is the unit of study. The second part presents an overview of the research design</w:t>
      </w:r>
      <w:r w:rsidR="00322D64">
        <w:rPr>
          <w:rFonts w:ascii="Arial" w:hAnsi="Arial" w:cs="Arial"/>
        </w:rPr>
        <w:t>. I</w:t>
      </w:r>
      <w:r w:rsidR="00E828CD" w:rsidRPr="00322D64">
        <w:rPr>
          <w:rFonts w:ascii="Arial" w:hAnsi="Arial" w:cs="Arial"/>
        </w:rPr>
        <w:t>t</w:t>
      </w:r>
      <w:r w:rsidR="00734CB3" w:rsidRPr="00322D64">
        <w:rPr>
          <w:rFonts w:ascii="Arial" w:hAnsi="Arial" w:cs="Arial"/>
        </w:rPr>
        <w:t xml:space="preserve"> discusses the process of the literature review</w:t>
      </w:r>
      <w:r w:rsidR="00322D64">
        <w:rPr>
          <w:rFonts w:ascii="Arial" w:hAnsi="Arial" w:cs="Arial"/>
        </w:rPr>
        <w:t xml:space="preserve">, </w:t>
      </w:r>
      <w:r w:rsidR="00734CB3" w:rsidRPr="00322D64">
        <w:rPr>
          <w:rFonts w:ascii="Arial" w:hAnsi="Arial" w:cs="Arial"/>
        </w:rPr>
        <w:t>the establishment of the research</w:t>
      </w:r>
      <w:r w:rsidR="00322D64" w:rsidRPr="00322D64">
        <w:rPr>
          <w:rFonts w:ascii="Arial" w:hAnsi="Arial" w:cs="Arial"/>
        </w:rPr>
        <w:t xml:space="preserve"> problem</w:t>
      </w:r>
      <w:r w:rsidR="00322D64">
        <w:rPr>
          <w:rFonts w:ascii="Arial" w:hAnsi="Arial" w:cs="Arial"/>
        </w:rPr>
        <w:t>,</w:t>
      </w:r>
      <w:r w:rsidR="00322D64" w:rsidRPr="00322D64">
        <w:rPr>
          <w:rFonts w:ascii="Arial" w:hAnsi="Arial" w:cs="Arial"/>
        </w:rPr>
        <w:t xml:space="preserve"> and</w:t>
      </w:r>
      <w:r w:rsidR="00734CB3" w:rsidRPr="00322D64">
        <w:rPr>
          <w:rFonts w:ascii="Arial" w:hAnsi="Arial" w:cs="Arial"/>
        </w:rPr>
        <w:t xml:space="preserve"> </w:t>
      </w:r>
      <w:r w:rsidR="00322D64">
        <w:rPr>
          <w:rFonts w:ascii="Arial" w:hAnsi="Arial" w:cs="Arial"/>
        </w:rPr>
        <w:t xml:space="preserve">the review of the </w:t>
      </w:r>
      <w:r w:rsidR="00734CB3" w:rsidRPr="00322D64">
        <w:rPr>
          <w:rFonts w:ascii="Arial" w:hAnsi="Arial" w:cs="Arial"/>
        </w:rPr>
        <w:t>gap</w:t>
      </w:r>
      <w:r w:rsidR="00322D64" w:rsidRPr="00322D64">
        <w:rPr>
          <w:rFonts w:ascii="Arial" w:hAnsi="Arial" w:cs="Arial"/>
        </w:rPr>
        <w:t xml:space="preserve"> in</w:t>
      </w:r>
      <w:r w:rsidR="00322D64">
        <w:rPr>
          <w:rFonts w:ascii="Arial" w:hAnsi="Arial" w:cs="Arial"/>
        </w:rPr>
        <w:t xml:space="preserve"> the </w:t>
      </w:r>
      <w:r w:rsidR="00322D64" w:rsidRPr="00322D64">
        <w:rPr>
          <w:rFonts w:ascii="Arial" w:hAnsi="Arial" w:cs="Arial"/>
        </w:rPr>
        <w:t>literature.</w:t>
      </w:r>
      <w:r w:rsidR="00734CB3" w:rsidRPr="00322D64">
        <w:rPr>
          <w:rFonts w:ascii="Arial" w:hAnsi="Arial" w:cs="Arial"/>
        </w:rPr>
        <w:t xml:space="preserve"> The fourth part</w:t>
      </w:r>
      <w:r w:rsidR="00734CB3">
        <w:rPr>
          <w:rFonts w:ascii="Arial" w:hAnsi="Arial" w:cs="Arial"/>
        </w:rPr>
        <w:t xml:space="preserve"> discusses the pilot study. The fifth part elaborates on the research </w:t>
      </w:r>
      <w:r w:rsidR="00734CB3" w:rsidRPr="00EA7665">
        <w:rPr>
          <w:rFonts w:ascii="Arial" w:hAnsi="Arial" w:cs="Arial"/>
        </w:rPr>
        <w:t>methodological design</w:t>
      </w:r>
      <w:r w:rsidR="00E828CD">
        <w:rPr>
          <w:rFonts w:ascii="Arial" w:hAnsi="Arial" w:cs="Arial"/>
        </w:rPr>
        <w:t xml:space="preserve"> and identifies the research philosophies, approaches, strategies, choices, research techniques, and procedures</w:t>
      </w:r>
      <w:r w:rsidR="00734CB3" w:rsidRPr="00EA7665">
        <w:rPr>
          <w:rFonts w:ascii="Arial" w:hAnsi="Arial" w:cs="Arial"/>
        </w:rPr>
        <w:t>.</w:t>
      </w:r>
      <w:r w:rsidR="00734CB3">
        <w:rPr>
          <w:rFonts w:ascii="Arial" w:hAnsi="Arial" w:cs="Arial"/>
        </w:rPr>
        <w:t xml:space="preserve"> The sixth part explains the data collection techniques and procedures used for the study. While the seventh part discusses </w:t>
      </w:r>
      <w:r w:rsidR="00734CB3" w:rsidRPr="00734CB3">
        <w:rPr>
          <w:rFonts w:ascii="Arial" w:hAnsi="Arial" w:cs="Arial"/>
        </w:rPr>
        <w:t>the data collection techniques and procedures used for the study.</w:t>
      </w:r>
      <w:r w:rsidR="00734CB3">
        <w:rPr>
          <w:rFonts w:ascii="Arial" w:hAnsi="Arial" w:cs="Arial"/>
        </w:rPr>
        <w:t xml:space="preserve"> The eight-part discusses the </w:t>
      </w:r>
      <w:r w:rsidR="001E501B">
        <w:rPr>
          <w:rFonts w:ascii="Arial" w:hAnsi="Arial" w:cs="Arial"/>
        </w:rPr>
        <w:t xml:space="preserve">study's validity and </w:t>
      </w:r>
      <w:r w:rsidR="00A43721">
        <w:rPr>
          <w:rFonts w:ascii="Arial" w:hAnsi="Arial" w:cs="Arial"/>
        </w:rPr>
        <w:t>reliabilit</w:t>
      </w:r>
      <w:r w:rsidR="00A43721" w:rsidRPr="00734CB3">
        <w:rPr>
          <w:rFonts w:ascii="Arial" w:hAnsi="Arial" w:cs="Arial"/>
        </w:rPr>
        <w:t>y,</w:t>
      </w:r>
      <w:r w:rsidR="00734CB3">
        <w:rPr>
          <w:rFonts w:ascii="Arial" w:hAnsi="Arial" w:cs="Arial"/>
        </w:rPr>
        <w:t xml:space="preserve"> and the final part discusses </w:t>
      </w:r>
      <w:r w:rsidR="00734CB3" w:rsidRPr="00734CB3">
        <w:rPr>
          <w:rFonts w:ascii="Arial" w:hAnsi="Arial" w:cs="Arial"/>
        </w:rPr>
        <w:t>ethical issues related to the study</w:t>
      </w:r>
      <w:r w:rsidR="00734CB3">
        <w:rPr>
          <w:rFonts w:ascii="Arial" w:hAnsi="Arial" w:cs="Arial"/>
        </w:rPr>
        <w:t>.</w:t>
      </w:r>
    </w:p>
    <w:p w14:paraId="0557C64C" w14:textId="18C066CF" w:rsidR="00CD6352" w:rsidRPr="00EA7665" w:rsidRDefault="00CD6352" w:rsidP="00CD6352">
      <w:pPr>
        <w:pStyle w:val="Heading2"/>
        <w:spacing w:line="360" w:lineRule="auto"/>
        <w:jc w:val="both"/>
        <w:rPr>
          <w:rFonts w:cs="Arial"/>
          <w:sz w:val="22"/>
          <w:szCs w:val="22"/>
        </w:rPr>
      </w:pPr>
      <w:bookmarkStart w:id="1012" w:name="_Toc78983813"/>
      <w:r w:rsidRPr="00EA7665">
        <w:rPr>
          <w:rFonts w:cs="Arial"/>
          <w:sz w:val="22"/>
          <w:szCs w:val="22"/>
        </w:rPr>
        <w:t>The Manager (The unit of study)</w:t>
      </w:r>
      <w:bookmarkEnd w:id="1012"/>
      <w:r w:rsidRPr="00EA7665">
        <w:rPr>
          <w:rFonts w:cs="Arial"/>
          <w:sz w:val="22"/>
          <w:szCs w:val="22"/>
        </w:rPr>
        <w:t xml:space="preserve"> </w:t>
      </w:r>
    </w:p>
    <w:p w14:paraId="135F1546" w14:textId="73241E45" w:rsidR="00CD6352" w:rsidRDefault="00CD6352" w:rsidP="00CD6352">
      <w:pPr>
        <w:spacing w:line="360" w:lineRule="auto"/>
        <w:ind w:left="360"/>
        <w:jc w:val="both"/>
        <w:rPr>
          <w:rFonts w:ascii="Arial" w:hAnsi="Arial" w:cs="Arial"/>
        </w:rPr>
      </w:pPr>
      <w:r w:rsidRPr="00EA7665">
        <w:rPr>
          <w:rFonts w:ascii="Arial" w:hAnsi="Arial" w:cs="Arial"/>
        </w:rPr>
        <w:t>The unit of study for this research is the manager, i.e.</w:t>
      </w:r>
      <w:r w:rsidR="001823C7">
        <w:rPr>
          <w:rFonts w:ascii="Arial" w:hAnsi="Arial" w:cs="Arial"/>
        </w:rPr>
        <w:t>, the real estate sector manage</w:t>
      </w:r>
      <w:r w:rsidRPr="00EA7665">
        <w:rPr>
          <w:rFonts w:ascii="Arial" w:hAnsi="Arial" w:cs="Arial"/>
        </w:rPr>
        <w:t xml:space="preserve">r involved with financing decisions for real estate project development. </w:t>
      </w:r>
      <w:r w:rsidR="00C34C6E">
        <w:rPr>
          <w:rFonts w:ascii="Arial" w:hAnsi="Arial" w:cs="Arial"/>
        </w:rPr>
        <w:t>T</w:t>
      </w:r>
      <w:r w:rsidRPr="00EA7665">
        <w:rPr>
          <w:rFonts w:ascii="Arial" w:hAnsi="Arial" w:cs="Arial"/>
        </w:rPr>
        <w:t xml:space="preserve">o understand </w:t>
      </w:r>
      <w:r w:rsidR="00C34C6E">
        <w:rPr>
          <w:rFonts w:ascii="Arial" w:hAnsi="Arial" w:cs="Arial"/>
        </w:rPr>
        <w:t>r</w:t>
      </w:r>
      <w:r w:rsidRPr="00EA7665">
        <w:rPr>
          <w:rFonts w:ascii="Arial" w:hAnsi="Arial" w:cs="Arial"/>
        </w:rPr>
        <w:t>eal estate financing, it is crucial to understand the human drivers who are the decision-makers</w:t>
      </w:r>
      <w:r w:rsidR="00C34C6E">
        <w:rPr>
          <w:rFonts w:ascii="Arial" w:hAnsi="Arial" w:cs="Arial"/>
        </w:rPr>
        <w:t>,</w:t>
      </w:r>
      <w:r w:rsidRPr="00EA7665">
        <w:rPr>
          <w:rFonts w:ascii="Arial" w:hAnsi="Arial" w:cs="Arial"/>
        </w:rPr>
        <w:t xml:space="preserve"> in order words</w:t>
      </w:r>
      <w:r w:rsidR="00C34C6E">
        <w:rPr>
          <w:rFonts w:ascii="Arial" w:hAnsi="Arial" w:cs="Arial"/>
        </w:rPr>
        <w:t>,</w:t>
      </w:r>
      <w:r w:rsidRPr="00EA7665">
        <w:rPr>
          <w:rFonts w:ascii="Arial" w:hAnsi="Arial" w:cs="Arial"/>
        </w:rPr>
        <w:t xml:space="preserve"> the managers. The managers in this context are strategic, tactical and lower-level managers. A manager is someone who achieves results through others (Stewart, 1997). </w:t>
      </w:r>
    </w:p>
    <w:p w14:paraId="41BFD2BB" w14:textId="18D085BF" w:rsidR="00CD6352" w:rsidRPr="0033142B" w:rsidRDefault="00CD6352" w:rsidP="00CD6352">
      <w:pPr>
        <w:spacing w:line="360" w:lineRule="auto"/>
        <w:ind w:left="720"/>
        <w:jc w:val="both"/>
        <w:rPr>
          <w:rFonts w:ascii="Arial" w:hAnsi="Arial" w:cs="Arial"/>
          <w:i/>
          <w:iCs/>
        </w:rPr>
      </w:pPr>
      <w:r w:rsidRPr="0033142B">
        <w:rPr>
          <w:rFonts w:ascii="Arial" w:hAnsi="Arial" w:cs="Arial"/>
          <w:i/>
          <w:iCs/>
        </w:rPr>
        <w:t>“The Manager is the dynamic, life-giving element in every business. Without his leadership, ‘the resources of production remain resources and never become production” Peter F. Drucker.  “The manager is responsible for the application and performance of knowledge “– Peter Drucker.</w:t>
      </w:r>
    </w:p>
    <w:p w14:paraId="77042187" w14:textId="77777777" w:rsidR="00CD6352" w:rsidRPr="00CC4879" w:rsidRDefault="00CD6352" w:rsidP="00CD6352">
      <w:pPr>
        <w:pStyle w:val="Subtitle"/>
        <w:rPr>
          <w:rFonts w:ascii="Arial" w:hAnsi="Arial" w:cs="Arial"/>
          <w:b/>
          <w:bCs/>
          <w:color w:val="000000" w:themeColor="text1"/>
        </w:rPr>
      </w:pPr>
      <w:r w:rsidRPr="00CC4879">
        <w:rPr>
          <w:rFonts w:ascii="Arial" w:hAnsi="Arial" w:cs="Arial"/>
          <w:b/>
          <w:bCs/>
          <w:color w:val="000000" w:themeColor="text1"/>
        </w:rPr>
        <w:t xml:space="preserve">Levels of Management </w:t>
      </w:r>
    </w:p>
    <w:p w14:paraId="748730D3" w14:textId="46F5C849" w:rsidR="00CD6352" w:rsidRPr="00EA7665" w:rsidRDefault="00CD6352" w:rsidP="00CD6352">
      <w:pPr>
        <w:spacing w:after="0" w:line="360" w:lineRule="auto"/>
        <w:ind w:left="360"/>
        <w:jc w:val="both"/>
        <w:rPr>
          <w:rFonts w:ascii="Arial" w:hAnsi="Arial" w:cs="Arial"/>
        </w:rPr>
      </w:pPr>
      <w:r w:rsidRPr="00EA7665">
        <w:rPr>
          <w:rFonts w:ascii="Arial" w:hAnsi="Arial" w:cs="Arial"/>
        </w:rPr>
        <w:t xml:space="preserve">Organisations have various levels of management, which usually form the basis for their operations, activities, and interactions within and outside the organisation. This study adopts the very popular three (3) level classification of </w:t>
      </w:r>
      <w:r w:rsidR="00EE396B">
        <w:rPr>
          <w:rFonts w:ascii="Arial" w:hAnsi="Arial" w:cs="Arial"/>
        </w:rPr>
        <w:t xml:space="preserve">managers </w:t>
      </w:r>
      <w:r w:rsidRPr="00EA7665">
        <w:rPr>
          <w:rFonts w:ascii="Arial" w:hAnsi="Arial" w:cs="Arial"/>
        </w:rPr>
        <w:t>(Egbu, 1994; Al-fadli, 1990).  These three basic levels are:</w:t>
      </w:r>
    </w:p>
    <w:p w14:paraId="0169075E" w14:textId="77777777" w:rsidR="00CD6352" w:rsidRPr="00EA7665" w:rsidRDefault="00CD6352" w:rsidP="00C74AEC">
      <w:pPr>
        <w:numPr>
          <w:ilvl w:val="0"/>
          <w:numId w:val="23"/>
        </w:numPr>
        <w:spacing w:after="0" w:line="360" w:lineRule="auto"/>
        <w:jc w:val="both"/>
        <w:rPr>
          <w:rFonts w:ascii="Arial" w:hAnsi="Arial" w:cs="Arial"/>
        </w:rPr>
      </w:pPr>
      <w:r w:rsidRPr="00EA7665">
        <w:rPr>
          <w:rFonts w:ascii="Arial" w:hAnsi="Arial" w:cs="Arial"/>
        </w:rPr>
        <w:t>Lower-level managers, e.g. real estate managers, portfolio managers &amp; development managers</w:t>
      </w:r>
    </w:p>
    <w:p w14:paraId="354C463D" w14:textId="77777777" w:rsidR="00CD6352" w:rsidRPr="00EA7665" w:rsidRDefault="00CD6352" w:rsidP="00C74AEC">
      <w:pPr>
        <w:numPr>
          <w:ilvl w:val="0"/>
          <w:numId w:val="23"/>
        </w:numPr>
        <w:spacing w:after="0" w:line="360" w:lineRule="auto"/>
        <w:jc w:val="both"/>
        <w:rPr>
          <w:rFonts w:ascii="Arial" w:hAnsi="Arial" w:cs="Arial"/>
        </w:rPr>
      </w:pPr>
      <w:r w:rsidRPr="00EA7665">
        <w:rPr>
          <w:rFonts w:ascii="Arial" w:hAnsi="Arial" w:cs="Arial"/>
        </w:rPr>
        <w:lastRenderedPageBreak/>
        <w:t xml:space="preserve">Middle-level managers, e.g. Finance director &amp; Accountant  </w:t>
      </w:r>
    </w:p>
    <w:p w14:paraId="4A2F68A1" w14:textId="0C9DA0C2" w:rsidR="00CD6352" w:rsidRDefault="00CD6352" w:rsidP="00C74AEC">
      <w:pPr>
        <w:numPr>
          <w:ilvl w:val="0"/>
          <w:numId w:val="23"/>
        </w:numPr>
        <w:spacing w:after="0" w:line="360" w:lineRule="auto"/>
        <w:jc w:val="both"/>
        <w:rPr>
          <w:rFonts w:ascii="Arial" w:hAnsi="Arial" w:cs="Arial"/>
        </w:rPr>
      </w:pPr>
      <w:r w:rsidRPr="00EA7665">
        <w:rPr>
          <w:rFonts w:ascii="Arial" w:hAnsi="Arial" w:cs="Arial"/>
        </w:rPr>
        <w:t>Top-level/strategic managers’, e.g. Chief executive officers, president and senior vice–president.</w:t>
      </w:r>
    </w:p>
    <w:p w14:paraId="44C1C165" w14:textId="14C6003E" w:rsidR="00102397" w:rsidRPr="00EA7665" w:rsidRDefault="00102397" w:rsidP="00102397">
      <w:pPr>
        <w:spacing w:after="0" w:line="360" w:lineRule="auto"/>
        <w:jc w:val="both"/>
        <w:rPr>
          <w:rFonts w:ascii="Arial" w:hAnsi="Arial" w:cs="Arial"/>
        </w:rPr>
      </w:pPr>
      <w:r>
        <w:rPr>
          <w:rFonts w:ascii="Arial" w:hAnsi="Arial" w:cs="Arial"/>
        </w:rPr>
        <w:t>The next presents an overview of the research process.</w:t>
      </w:r>
    </w:p>
    <w:p w14:paraId="17CDBEFF" w14:textId="77777777" w:rsidR="00CD6352" w:rsidRDefault="00CD6352" w:rsidP="00CD6352"/>
    <w:p w14:paraId="4B24F7FB" w14:textId="77777777" w:rsidR="00CD6352" w:rsidRPr="00EA7665" w:rsidRDefault="00CD6352" w:rsidP="00CD6352">
      <w:pPr>
        <w:pStyle w:val="Heading2"/>
        <w:spacing w:line="360" w:lineRule="auto"/>
        <w:jc w:val="both"/>
        <w:rPr>
          <w:rFonts w:cs="Arial"/>
          <w:sz w:val="22"/>
          <w:szCs w:val="22"/>
        </w:rPr>
      </w:pPr>
      <w:bookmarkStart w:id="1013" w:name="_Toc78983814"/>
      <w:r w:rsidRPr="00EA7665">
        <w:rPr>
          <w:rFonts w:cs="Arial"/>
          <w:sz w:val="22"/>
          <w:szCs w:val="22"/>
        </w:rPr>
        <w:t>Overview of the research process</w:t>
      </w:r>
      <w:bookmarkEnd w:id="1013"/>
    </w:p>
    <w:p w14:paraId="644A2CA0" w14:textId="1FD32FD2" w:rsidR="00CD6352" w:rsidRPr="00EA7665" w:rsidRDefault="00CD6352" w:rsidP="00CD6352">
      <w:pPr>
        <w:spacing w:after="0" w:line="360" w:lineRule="auto"/>
        <w:ind w:left="360"/>
        <w:jc w:val="both"/>
        <w:rPr>
          <w:rFonts w:ascii="Arial" w:hAnsi="Arial" w:cs="Arial"/>
        </w:rPr>
      </w:pPr>
      <w:r w:rsidRPr="00EA7665">
        <w:rPr>
          <w:rFonts w:ascii="Arial" w:hAnsi="Arial" w:cs="Arial"/>
        </w:rPr>
        <w:t xml:space="preserve">The methodology </w:t>
      </w:r>
      <w:r w:rsidR="003366A7">
        <w:rPr>
          <w:rFonts w:ascii="Arial" w:hAnsi="Arial" w:cs="Arial"/>
        </w:rPr>
        <w:t>embodies</w:t>
      </w:r>
      <w:r w:rsidRPr="00EA7665">
        <w:rPr>
          <w:rFonts w:ascii="Arial" w:hAnsi="Arial" w:cs="Arial"/>
        </w:rPr>
        <w:t xml:space="preserve"> three fundamental stages</w:t>
      </w:r>
      <w:r w:rsidR="003366A7">
        <w:rPr>
          <w:rFonts w:ascii="Arial" w:hAnsi="Arial" w:cs="Arial"/>
        </w:rPr>
        <w:t xml:space="preserve"> showed in table 4.3.1. </w:t>
      </w:r>
      <w:r w:rsidR="001823C7">
        <w:rPr>
          <w:rFonts w:ascii="Arial" w:hAnsi="Arial" w:cs="Arial"/>
        </w:rPr>
        <w:t>:</w:t>
      </w:r>
      <w:r w:rsidRPr="00EA7665">
        <w:rPr>
          <w:rFonts w:ascii="Arial" w:hAnsi="Arial" w:cs="Arial"/>
        </w:rPr>
        <w:t xml:space="preserve"> the establishment of the research problem, the research methodological design, and the output. </w:t>
      </w:r>
    </w:p>
    <w:p w14:paraId="47B07975" w14:textId="44302F8E" w:rsidR="00CD6352" w:rsidRPr="00EA7665" w:rsidRDefault="00CD6352" w:rsidP="00CD6352">
      <w:pPr>
        <w:pStyle w:val="Caption"/>
        <w:keepNext/>
        <w:rPr>
          <w:rFonts w:ascii="Arial" w:hAnsi="Arial" w:cs="Arial"/>
          <w:sz w:val="16"/>
          <w:szCs w:val="16"/>
        </w:rPr>
      </w:pPr>
      <w:bookmarkStart w:id="1014" w:name="_Toc78983958"/>
      <w:r w:rsidRPr="00EA766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4.3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EA7665">
        <w:rPr>
          <w:rFonts w:ascii="Arial" w:hAnsi="Arial" w:cs="Arial"/>
          <w:sz w:val="16"/>
          <w:szCs w:val="16"/>
        </w:rPr>
        <w:t>:</w:t>
      </w:r>
      <w:r w:rsidRPr="00EA7665">
        <w:rPr>
          <w:rFonts w:ascii="Arial" w:hAnsi="Arial" w:cs="Arial"/>
          <w:i w:val="0"/>
          <w:iCs w:val="0"/>
          <w:color w:val="auto"/>
          <w:sz w:val="16"/>
          <w:szCs w:val="16"/>
        </w:rPr>
        <w:t xml:space="preserve"> </w:t>
      </w:r>
      <w:r w:rsidRPr="00EA7665">
        <w:rPr>
          <w:rFonts w:ascii="Arial" w:hAnsi="Arial" w:cs="Arial"/>
          <w:sz w:val="16"/>
          <w:szCs w:val="16"/>
        </w:rPr>
        <w:t>Overview of the research process</w:t>
      </w:r>
      <w:bookmarkEnd w:id="1014"/>
    </w:p>
    <w:tbl>
      <w:tblPr>
        <w:tblStyle w:val="TableGrid"/>
        <w:tblW w:w="0" w:type="auto"/>
        <w:tblInd w:w="36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05"/>
        <w:gridCol w:w="2512"/>
        <w:gridCol w:w="4339"/>
      </w:tblGrid>
      <w:tr w:rsidR="00CD6352" w:rsidRPr="00EA7665" w14:paraId="518AFD07" w14:textId="77777777" w:rsidTr="00CD6352">
        <w:trPr>
          <w:trHeight w:val="359"/>
        </w:trPr>
        <w:tc>
          <w:tcPr>
            <w:tcW w:w="0" w:type="auto"/>
            <w:gridSpan w:val="3"/>
          </w:tcPr>
          <w:p w14:paraId="5830571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Overview of the Research Process</w:t>
            </w:r>
          </w:p>
        </w:tc>
      </w:tr>
      <w:tr w:rsidR="00CD6352" w:rsidRPr="00EA7665" w14:paraId="2C27A803" w14:textId="77777777" w:rsidTr="00CD6352">
        <w:tc>
          <w:tcPr>
            <w:tcW w:w="0" w:type="auto"/>
            <w:vMerge w:val="restart"/>
            <w:vAlign w:val="center"/>
          </w:tcPr>
          <w:p w14:paraId="5C19DB4B" w14:textId="77777777" w:rsidR="00CD6352" w:rsidRPr="00EA7665" w:rsidRDefault="00CD6352" w:rsidP="00CD6352">
            <w:pPr>
              <w:jc w:val="both"/>
              <w:rPr>
                <w:rFonts w:ascii="Arial" w:hAnsi="Arial" w:cs="Arial"/>
                <w:sz w:val="16"/>
                <w:szCs w:val="16"/>
              </w:rPr>
            </w:pPr>
          </w:p>
          <w:p w14:paraId="66FEBFB5" w14:textId="77777777" w:rsidR="00CD6352" w:rsidRPr="00EA7665" w:rsidRDefault="00CD6352" w:rsidP="00CD6352">
            <w:pPr>
              <w:jc w:val="both"/>
              <w:rPr>
                <w:rFonts w:ascii="Arial" w:hAnsi="Arial" w:cs="Arial"/>
                <w:b/>
                <w:sz w:val="16"/>
                <w:szCs w:val="16"/>
                <w:u w:val="single"/>
              </w:rPr>
            </w:pPr>
            <w:r w:rsidRPr="00EA7665">
              <w:rPr>
                <w:rFonts w:ascii="Arial" w:hAnsi="Arial" w:cs="Arial"/>
                <w:b/>
                <w:sz w:val="16"/>
                <w:szCs w:val="16"/>
                <w:u w:val="single"/>
              </w:rPr>
              <w:t>Stage 1</w:t>
            </w:r>
          </w:p>
          <w:p w14:paraId="560D7F6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Establishment of the research problem</w:t>
            </w:r>
          </w:p>
        </w:tc>
        <w:tc>
          <w:tcPr>
            <w:tcW w:w="0" w:type="auto"/>
          </w:tcPr>
          <w:p w14:paraId="5EDEA8C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Literature review</w:t>
            </w:r>
          </w:p>
        </w:tc>
        <w:tc>
          <w:tcPr>
            <w:tcW w:w="0" w:type="auto"/>
          </w:tcPr>
          <w:p w14:paraId="1EFCCF61" w14:textId="77777777" w:rsidR="00CD6352" w:rsidRPr="00EA7665" w:rsidRDefault="00CD6352" w:rsidP="00C74AEC">
            <w:pPr>
              <w:pStyle w:val="ListParagraph"/>
              <w:numPr>
                <w:ilvl w:val="0"/>
                <w:numId w:val="42"/>
              </w:numPr>
              <w:spacing w:after="0" w:line="240" w:lineRule="auto"/>
              <w:jc w:val="both"/>
              <w:rPr>
                <w:rFonts w:ascii="Arial" w:hAnsi="Arial" w:cs="Arial"/>
                <w:sz w:val="16"/>
                <w:szCs w:val="16"/>
              </w:rPr>
            </w:pPr>
            <w:r w:rsidRPr="00EA7665">
              <w:rPr>
                <w:rFonts w:ascii="Arial" w:hAnsi="Arial" w:cs="Arial"/>
                <w:sz w:val="16"/>
                <w:szCs w:val="16"/>
              </w:rPr>
              <w:t>A critical review of literature on finance options used by developers in both developed and emerging economies.</w:t>
            </w:r>
          </w:p>
          <w:p w14:paraId="63AC78DA" w14:textId="77777777" w:rsidR="00CD6352" w:rsidRPr="00EA7665" w:rsidRDefault="00CD6352" w:rsidP="00C74AEC">
            <w:pPr>
              <w:pStyle w:val="ListParagraph"/>
              <w:numPr>
                <w:ilvl w:val="0"/>
                <w:numId w:val="42"/>
              </w:numPr>
              <w:spacing w:after="0" w:line="240" w:lineRule="auto"/>
              <w:jc w:val="both"/>
              <w:rPr>
                <w:rFonts w:ascii="Arial" w:hAnsi="Arial" w:cs="Arial"/>
                <w:sz w:val="16"/>
                <w:szCs w:val="16"/>
              </w:rPr>
            </w:pPr>
            <w:r w:rsidRPr="00EA7665">
              <w:rPr>
                <w:rFonts w:ascii="Arial" w:hAnsi="Arial" w:cs="Arial"/>
                <w:sz w:val="16"/>
                <w:szCs w:val="16"/>
              </w:rPr>
              <w:t xml:space="preserve">Review of literature on criteria that funding institutions </w:t>
            </w:r>
            <w:r>
              <w:rPr>
                <w:rFonts w:ascii="Arial" w:hAnsi="Arial" w:cs="Arial"/>
                <w:sz w:val="16"/>
                <w:szCs w:val="16"/>
              </w:rPr>
              <w:t>require</w:t>
            </w:r>
            <w:r w:rsidRPr="00EA7665">
              <w:rPr>
                <w:rFonts w:ascii="Arial" w:hAnsi="Arial" w:cs="Arial"/>
                <w:sz w:val="16"/>
                <w:szCs w:val="16"/>
              </w:rPr>
              <w:t xml:space="preserve"> in lending for real estate project development.</w:t>
            </w:r>
          </w:p>
          <w:p w14:paraId="6AA5415F" w14:textId="77777777" w:rsidR="00CD6352" w:rsidRPr="00EA7665" w:rsidRDefault="00CD6352" w:rsidP="00C74AEC">
            <w:pPr>
              <w:pStyle w:val="ListParagraph"/>
              <w:numPr>
                <w:ilvl w:val="0"/>
                <w:numId w:val="42"/>
              </w:numPr>
              <w:spacing w:after="0" w:line="240" w:lineRule="auto"/>
              <w:jc w:val="both"/>
              <w:rPr>
                <w:rFonts w:ascii="Arial" w:hAnsi="Arial" w:cs="Arial"/>
                <w:sz w:val="16"/>
                <w:szCs w:val="16"/>
              </w:rPr>
            </w:pPr>
            <w:r w:rsidRPr="00EA7665">
              <w:rPr>
                <w:rFonts w:ascii="Arial" w:hAnsi="Arial" w:cs="Arial"/>
                <w:sz w:val="16"/>
                <w:szCs w:val="16"/>
              </w:rPr>
              <w:t>A review of literature on challenges affecting and opportunities available to developers in</w:t>
            </w:r>
            <w:r>
              <w:rPr>
                <w:rFonts w:ascii="Arial" w:hAnsi="Arial" w:cs="Arial"/>
                <w:sz w:val="16"/>
                <w:szCs w:val="16"/>
              </w:rPr>
              <w:t xml:space="preserve"> securing finance for real estate project development</w:t>
            </w:r>
          </w:p>
          <w:p w14:paraId="60C9D537" w14:textId="77777777" w:rsidR="00CD6352" w:rsidRPr="00EA7665" w:rsidRDefault="00CD6352" w:rsidP="00C74AEC">
            <w:pPr>
              <w:pStyle w:val="ListParagraph"/>
              <w:numPr>
                <w:ilvl w:val="0"/>
                <w:numId w:val="42"/>
              </w:numPr>
              <w:spacing w:after="0" w:line="240" w:lineRule="auto"/>
              <w:jc w:val="both"/>
              <w:rPr>
                <w:rFonts w:ascii="Arial" w:hAnsi="Arial" w:cs="Arial"/>
                <w:sz w:val="16"/>
                <w:szCs w:val="16"/>
              </w:rPr>
            </w:pPr>
            <w:r w:rsidRPr="00EA7665">
              <w:rPr>
                <w:rFonts w:ascii="Arial" w:hAnsi="Arial" w:cs="Arial"/>
                <w:sz w:val="16"/>
                <w:szCs w:val="16"/>
              </w:rPr>
              <w:t>Review of literature on the Critical success factors that influence access to real estate project finance</w:t>
            </w:r>
          </w:p>
          <w:p w14:paraId="3A059AEA" w14:textId="77777777" w:rsidR="00CD6352" w:rsidRPr="00EA7665" w:rsidRDefault="00CD6352" w:rsidP="00C74AEC">
            <w:pPr>
              <w:pStyle w:val="ListParagraph"/>
              <w:numPr>
                <w:ilvl w:val="0"/>
                <w:numId w:val="42"/>
              </w:numPr>
              <w:spacing w:after="0" w:line="240" w:lineRule="auto"/>
              <w:jc w:val="both"/>
              <w:rPr>
                <w:rFonts w:ascii="Arial" w:hAnsi="Arial" w:cs="Arial"/>
                <w:sz w:val="16"/>
                <w:szCs w:val="16"/>
              </w:rPr>
            </w:pPr>
            <w:r w:rsidRPr="00EA7665">
              <w:rPr>
                <w:rFonts w:ascii="Arial" w:hAnsi="Arial" w:cs="Arial"/>
                <w:sz w:val="16"/>
                <w:szCs w:val="16"/>
              </w:rPr>
              <w:t>Review of literature on processes and key decisions in securing finance for real estate project development.</w:t>
            </w:r>
          </w:p>
          <w:p w14:paraId="0414C71F" w14:textId="77777777" w:rsidR="00CD6352" w:rsidRPr="00EA7665" w:rsidRDefault="00CD6352" w:rsidP="00C74AEC">
            <w:pPr>
              <w:pStyle w:val="ListParagraph"/>
              <w:numPr>
                <w:ilvl w:val="0"/>
                <w:numId w:val="42"/>
              </w:numPr>
              <w:spacing w:after="0" w:line="240" w:lineRule="auto"/>
              <w:jc w:val="both"/>
              <w:rPr>
                <w:rFonts w:ascii="Arial" w:hAnsi="Arial" w:cs="Arial"/>
                <w:sz w:val="16"/>
                <w:szCs w:val="16"/>
              </w:rPr>
            </w:pPr>
            <w:r w:rsidRPr="00EA7665">
              <w:rPr>
                <w:rFonts w:ascii="Arial" w:hAnsi="Arial" w:cs="Arial"/>
                <w:sz w:val="16"/>
                <w:szCs w:val="16"/>
              </w:rPr>
              <w:t>Review of theories and literature on skills, knowledge, competences, career path, training, and education of the manager.</w:t>
            </w:r>
          </w:p>
        </w:tc>
      </w:tr>
      <w:tr w:rsidR="00CD6352" w:rsidRPr="00EA7665" w14:paraId="2D87390A" w14:textId="77777777" w:rsidTr="00CD6352">
        <w:trPr>
          <w:gridAfter w:val="2"/>
          <w:trHeight w:val="418"/>
        </w:trPr>
        <w:tc>
          <w:tcPr>
            <w:tcW w:w="0" w:type="auto"/>
            <w:vMerge/>
          </w:tcPr>
          <w:p w14:paraId="086533F7" w14:textId="77777777" w:rsidR="00CD6352" w:rsidRPr="00EA7665" w:rsidRDefault="00CD6352" w:rsidP="00CD6352">
            <w:pPr>
              <w:jc w:val="both"/>
              <w:rPr>
                <w:rFonts w:ascii="Arial" w:hAnsi="Arial" w:cs="Arial"/>
                <w:sz w:val="16"/>
                <w:szCs w:val="16"/>
              </w:rPr>
            </w:pPr>
          </w:p>
        </w:tc>
      </w:tr>
      <w:tr w:rsidR="00CD6352" w:rsidRPr="00EA7665" w14:paraId="40883CA5" w14:textId="77777777" w:rsidTr="00CD6352">
        <w:tc>
          <w:tcPr>
            <w:tcW w:w="0" w:type="auto"/>
            <w:vMerge/>
          </w:tcPr>
          <w:p w14:paraId="37A3F1DA" w14:textId="77777777" w:rsidR="00CD6352" w:rsidRPr="00EA7665" w:rsidRDefault="00CD6352" w:rsidP="00CD6352">
            <w:pPr>
              <w:jc w:val="both"/>
              <w:rPr>
                <w:rFonts w:ascii="Arial" w:hAnsi="Arial" w:cs="Arial"/>
                <w:sz w:val="16"/>
                <w:szCs w:val="16"/>
              </w:rPr>
            </w:pPr>
          </w:p>
        </w:tc>
        <w:tc>
          <w:tcPr>
            <w:tcW w:w="0" w:type="auto"/>
            <w:gridSpan w:val="2"/>
          </w:tcPr>
          <w:p w14:paraId="2781FB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Development of the conceptual model</w:t>
            </w:r>
          </w:p>
        </w:tc>
      </w:tr>
      <w:tr w:rsidR="00CD6352" w:rsidRPr="00EA7665" w14:paraId="2E810710" w14:textId="77777777" w:rsidTr="00CD6352">
        <w:tc>
          <w:tcPr>
            <w:tcW w:w="0" w:type="auto"/>
            <w:vMerge/>
          </w:tcPr>
          <w:p w14:paraId="458B5E82" w14:textId="77777777" w:rsidR="00CD6352" w:rsidRPr="00EA7665" w:rsidRDefault="00CD6352" w:rsidP="00CD6352">
            <w:pPr>
              <w:jc w:val="both"/>
              <w:rPr>
                <w:rFonts w:ascii="Arial" w:hAnsi="Arial" w:cs="Arial"/>
                <w:sz w:val="16"/>
                <w:szCs w:val="16"/>
              </w:rPr>
            </w:pPr>
          </w:p>
        </w:tc>
        <w:tc>
          <w:tcPr>
            <w:tcW w:w="0" w:type="auto"/>
            <w:vMerge w:val="restart"/>
            <w:vAlign w:val="center"/>
          </w:tcPr>
          <w:p w14:paraId="0EB56F8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Pilot study</w:t>
            </w:r>
          </w:p>
        </w:tc>
        <w:tc>
          <w:tcPr>
            <w:tcW w:w="0" w:type="auto"/>
          </w:tcPr>
          <w:p w14:paraId="618460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Semi-structured interviews</w:t>
            </w:r>
          </w:p>
        </w:tc>
      </w:tr>
      <w:tr w:rsidR="00CD6352" w:rsidRPr="00EA7665" w14:paraId="00E34520" w14:textId="77777777" w:rsidTr="00CD6352">
        <w:tc>
          <w:tcPr>
            <w:tcW w:w="0" w:type="auto"/>
            <w:vMerge/>
          </w:tcPr>
          <w:p w14:paraId="26F8ABB5" w14:textId="77777777" w:rsidR="00CD6352" w:rsidRPr="00EA7665" w:rsidRDefault="00CD6352" w:rsidP="00CD6352">
            <w:pPr>
              <w:jc w:val="both"/>
              <w:rPr>
                <w:rFonts w:ascii="Arial" w:hAnsi="Arial" w:cs="Arial"/>
                <w:sz w:val="16"/>
                <w:szCs w:val="16"/>
              </w:rPr>
            </w:pPr>
          </w:p>
        </w:tc>
        <w:tc>
          <w:tcPr>
            <w:tcW w:w="0" w:type="auto"/>
            <w:vMerge/>
          </w:tcPr>
          <w:p w14:paraId="2CE00FC1" w14:textId="77777777" w:rsidR="00CD6352" w:rsidRPr="00EA7665" w:rsidRDefault="00CD6352" w:rsidP="00CD6352">
            <w:pPr>
              <w:jc w:val="both"/>
              <w:rPr>
                <w:rFonts w:ascii="Arial" w:hAnsi="Arial" w:cs="Arial"/>
                <w:sz w:val="16"/>
                <w:szCs w:val="16"/>
              </w:rPr>
            </w:pPr>
          </w:p>
        </w:tc>
        <w:tc>
          <w:tcPr>
            <w:tcW w:w="0" w:type="auto"/>
          </w:tcPr>
          <w:p w14:paraId="2AC9202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Online questionnaire surveys</w:t>
            </w:r>
          </w:p>
        </w:tc>
      </w:tr>
      <w:tr w:rsidR="00CD6352" w:rsidRPr="00EA7665" w14:paraId="4ED1990C" w14:textId="77777777" w:rsidTr="00CD6352">
        <w:tc>
          <w:tcPr>
            <w:tcW w:w="0" w:type="auto"/>
            <w:vMerge/>
          </w:tcPr>
          <w:p w14:paraId="29DF7EA5" w14:textId="77777777" w:rsidR="00CD6352" w:rsidRPr="00EA7665" w:rsidRDefault="00CD6352" w:rsidP="00CD6352">
            <w:pPr>
              <w:jc w:val="both"/>
              <w:rPr>
                <w:rFonts w:ascii="Arial" w:hAnsi="Arial" w:cs="Arial"/>
                <w:sz w:val="16"/>
                <w:szCs w:val="16"/>
              </w:rPr>
            </w:pPr>
          </w:p>
        </w:tc>
        <w:tc>
          <w:tcPr>
            <w:tcW w:w="0" w:type="auto"/>
            <w:vMerge/>
          </w:tcPr>
          <w:p w14:paraId="7E0A453F" w14:textId="77777777" w:rsidR="00CD6352" w:rsidRPr="00EA7665" w:rsidRDefault="00CD6352" w:rsidP="00CD6352">
            <w:pPr>
              <w:jc w:val="both"/>
              <w:rPr>
                <w:rFonts w:ascii="Arial" w:hAnsi="Arial" w:cs="Arial"/>
                <w:sz w:val="16"/>
                <w:szCs w:val="16"/>
              </w:rPr>
            </w:pPr>
          </w:p>
        </w:tc>
        <w:tc>
          <w:tcPr>
            <w:tcW w:w="0" w:type="auto"/>
          </w:tcPr>
          <w:p w14:paraId="6B0F8E4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Findings were </w:t>
            </w:r>
            <w:r>
              <w:rPr>
                <w:rFonts w:ascii="Arial" w:hAnsi="Arial" w:cs="Arial"/>
                <w:sz w:val="16"/>
                <w:szCs w:val="16"/>
              </w:rPr>
              <w:t xml:space="preserve">initially </w:t>
            </w:r>
            <w:r w:rsidRPr="00EA7665">
              <w:rPr>
                <w:rFonts w:ascii="Arial" w:hAnsi="Arial" w:cs="Arial"/>
                <w:sz w:val="16"/>
                <w:szCs w:val="16"/>
              </w:rPr>
              <w:t>developed into conference papers</w:t>
            </w:r>
          </w:p>
        </w:tc>
      </w:tr>
      <w:tr w:rsidR="00CD6352" w:rsidRPr="00EA7665" w14:paraId="20BA0BEE" w14:textId="77777777" w:rsidTr="00CD6352">
        <w:trPr>
          <w:trHeight w:val="622"/>
        </w:trPr>
        <w:tc>
          <w:tcPr>
            <w:tcW w:w="0" w:type="auto"/>
            <w:gridSpan w:val="3"/>
          </w:tcPr>
          <w:p w14:paraId="59E9532D" w14:textId="77777777" w:rsidR="00CD6352" w:rsidRPr="00EA7665" w:rsidRDefault="00CD6352" w:rsidP="00CD6352">
            <w:pPr>
              <w:jc w:val="both"/>
              <w:rPr>
                <w:rFonts w:ascii="Arial" w:hAnsi="Arial" w:cs="Arial"/>
                <w:sz w:val="16"/>
                <w:szCs w:val="16"/>
              </w:rPr>
            </w:pPr>
            <w:r w:rsidRPr="00EA7665">
              <w:rPr>
                <w:rFonts w:ascii="Arial" w:hAnsi="Arial" w:cs="Arial"/>
                <w:noProof/>
                <w:sz w:val="16"/>
                <w:szCs w:val="16"/>
                <w:lang w:eastAsia="en-GB"/>
              </w:rPr>
              <mc:AlternateContent>
                <mc:Choice Requires="wps">
                  <w:drawing>
                    <wp:anchor distT="0" distB="0" distL="114300" distR="114300" simplePos="0" relativeHeight="251659264" behindDoc="0" locked="0" layoutInCell="1" allowOverlap="1" wp14:anchorId="24EC4DF4" wp14:editId="18773DA5">
                      <wp:simplePos x="0" y="0"/>
                      <wp:positionH relativeFrom="column">
                        <wp:posOffset>2431000</wp:posOffset>
                      </wp:positionH>
                      <wp:positionV relativeFrom="paragraph">
                        <wp:posOffset>28575</wp:posOffset>
                      </wp:positionV>
                      <wp:extent cx="484505" cy="317500"/>
                      <wp:effectExtent l="38100" t="0" r="0" b="44450"/>
                      <wp:wrapNone/>
                      <wp:docPr id="17" name="Down Arrow 17"/>
                      <wp:cNvGraphicFramePr/>
                      <a:graphic xmlns:a="http://schemas.openxmlformats.org/drawingml/2006/main">
                        <a:graphicData uri="http://schemas.microsoft.com/office/word/2010/wordprocessingShape">
                          <wps:wsp>
                            <wps:cNvSpPr/>
                            <wps:spPr>
                              <a:xfrm>
                                <a:off x="0" y="0"/>
                                <a:ext cx="484505"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016B3" w14:textId="77777777" w:rsidR="004F5D57" w:rsidRDefault="004F5D57" w:rsidP="00CD6352">
                                  <w:pPr>
                                    <w:jc w:val="center"/>
                                  </w:pPr>
                                  <w:permStart w:id="1522030406" w:edGrp="everyone"/>
                                  <w:permEnd w:id="15220304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4DF4" id="Down Arrow 17" o:spid="_x0000_s1034" type="#_x0000_t67" style="position:absolute;left:0;text-align:left;margin-left:191.4pt;margin-top:2.25pt;width:38.1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" adj="10800" fillcolor="#4472c4 [3204]" strokecolor="#1f3763 [1604]" strokeweight="1pt">
                      <v:textbox>
                        <w:txbxContent>
                          <w:p w14:paraId="629016B3" w14:textId="77777777" w:rsidR="004F5D57" w:rsidRDefault="004F5D57" w:rsidP="00CD6352">
                            <w:pPr>
                              <w:jc w:val="center"/>
                            </w:pPr>
                            <w:permStart w:id="1522030406" w:edGrp="everyone"/>
                            <w:permEnd w:id="1522030406"/>
                          </w:p>
                        </w:txbxContent>
                      </v:textbox>
                    </v:shape>
                  </w:pict>
                </mc:Fallback>
              </mc:AlternateContent>
            </w:r>
          </w:p>
          <w:p w14:paraId="6728BBD0" w14:textId="77777777" w:rsidR="00CD6352" w:rsidRPr="00EA7665" w:rsidRDefault="00CD6352" w:rsidP="00CD6352">
            <w:pPr>
              <w:jc w:val="both"/>
              <w:rPr>
                <w:rFonts w:ascii="Arial" w:hAnsi="Arial" w:cs="Arial"/>
                <w:sz w:val="16"/>
                <w:szCs w:val="16"/>
              </w:rPr>
            </w:pPr>
          </w:p>
        </w:tc>
      </w:tr>
      <w:tr w:rsidR="00CD6352" w:rsidRPr="00EA7665" w14:paraId="56131A96" w14:textId="77777777" w:rsidTr="00CD6352">
        <w:tc>
          <w:tcPr>
            <w:tcW w:w="0" w:type="auto"/>
            <w:vMerge w:val="restart"/>
            <w:vAlign w:val="center"/>
          </w:tcPr>
          <w:p w14:paraId="1C687C7C" w14:textId="77777777" w:rsidR="00CD6352" w:rsidRPr="00EA7665" w:rsidRDefault="00CD6352" w:rsidP="00CD6352">
            <w:pPr>
              <w:jc w:val="both"/>
              <w:rPr>
                <w:rFonts w:ascii="Arial" w:hAnsi="Arial" w:cs="Arial"/>
                <w:b/>
                <w:sz w:val="16"/>
                <w:szCs w:val="16"/>
                <w:u w:val="single"/>
              </w:rPr>
            </w:pPr>
            <w:r w:rsidRPr="00EA7665">
              <w:rPr>
                <w:rFonts w:ascii="Arial" w:hAnsi="Arial" w:cs="Arial"/>
                <w:b/>
                <w:sz w:val="16"/>
                <w:szCs w:val="16"/>
                <w:u w:val="single"/>
              </w:rPr>
              <w:t>Stage 2 / Main study</w:t>
            </w:r>
          </w:p>
          <w:p w14:paraId="6F7C5E6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Research methodological design</w:t>
            </w:r>
          </w:p>
        </w:tc>
        <w:tc>
          <w:tcPr>
            <w:tcW w:w="0" w:type="auto"/>
          </w:tcPr>
          <w:p w14:paraId="113ED94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Different approaches used to establish and achieve the objectives of the study.</w:t>
            </w:r>
          </w:p>
        </w:tc>
        <w:tc>
          <w:tcPr>
            <w:tcW w:w="0" w:type="auto"/>
          </w:tcPr>
          <w:p w14:paraId="332271CE" w14:textId="77777777" w:rsidR="00CD6352" w:rsidRPr="00EA7665" w:rsidRDefault="00CD6352" w:rsidP="00CD6352">
            <w:pPr>
              <w:pStyle w:val="ListParagraph"/>
              <w:numPr>
                <w:ilvl w:val="0"/>
                <w:numId w:val="18"/>
              </w:numPr>
              <w:spacing w:after="0" w:line="240" w:lineRule="auto"/>
              <w:jc w:val="both"/>
              <w:rPr>
                <w:rFonts w:ascii="Arial" w:hAnsi="Arial" w:cs="Arial"/>
                <w:sz w:val="16"/>
                <w:szCs w:val="16"/>
              </w:rPr>
            </w:pPr>
            <w:r w:rsidRPr="00EA7665">
              <w:rPr>
                <w:rFonts w:ascii="Arial" w:hAnsi="Arial" w:cs="Arial"/>
                <w:sz w:val="16"/>
                <w:szCs w:val="16"/>
              </w:rPr>
              <w:t>Semi-structured interviews: Interview sessions held with interviewees in the six countries studied.</w:t>
            </w:r>
          </w:p>
          <w:p w14:paraId="4B74ACB9" w14:textId="16D70E92" w:rsidR="00CD6352" w:rsidRPr="00EA7665" w:rsidRDefault="00CD6352" w:rsidP="00CD6352">
            <w:pPr>
              <w:pStyle w:val="ListParagraph"/>
              <w:numPr>
                <w:ilvl w:val="0"/>
                <w:numId w:val="18"/>
              </w:numPr>
              <w:spacing w:after="0" w:line="240" w:lineRule="auto"/>
              <w:jc w:val="both"/>
              <w:rPr>
                <w:rFonts w:ascii="Arial" w:hAnsi="Arial" w:cs="Arial"/>
                <w:sz w:val="16"/>
                <w:szCs w:val="16"/>
              </w:rPr>
            </w:pPr>
            <w:r w:rsidRPr="00EA7665">
              <w:rPr>
                <w:rFonts w:ascii="Arial" w:hAnsi="Arial" w:cs="Arial"/>
                <w:sz w:val="16"/>
                <w:szCs w:val="16"/>
              </w:rPr>
              <w:t xml:space="preserve">Online questionnaire survey: </w:t>
            </w:r>
            <w:r w:rsidR="00487BA8">
              <w:rPr>
                <w:rFonts w:ascii="Arial" w:hAnsi="Arial" w:cs="Arial"/>
                <w:sz w:val="16"/>
                <w:szCs w:val="16"/>
              </w:rPr>
              <w:t>A q</w:t>
            </w:r>
            <w:r w:rsidRPr="00EA7665">
              <w:rPr>
                <w:rFonts w:ascii="Arial" w:hAnsi="Arial" w:cs="Arial"/>
                <w:sz w:val="16"/>
                <w:szCs w:val="16"/>
              </w:rPr>
              <w:t>uestionnaire survey administered to respondents in the six countries of the study.</w:t>
            </w:r>
          </w:p>
        </w:tc>
      </w:tr>
      <w:tr w:rsidR="00CD6352" w:rsidRPr="00EA7665" w14:paraId="1532FA53" w14:textId="77777777" w:rsidTr="00CD6352">
        <w:tc>
          <w:tcPr>
            <w:tcW w:w="0" w:type="auto"/>
            <w:vMerge/>
          </w:tcPr>
          <w:p w14:paraId="35EFBD1E" w14:textId="77777777" w:rsidR="00CD6352" w:rsidRPr="00EA7665" w:rsidRDefault="00CD6352" w:rsidP="00CD6352">
            <w:pPr>
              <w:jc w:val="both"/>
              <w:rPr>
                <w:rFonts w:ascii="Arial" w:hAnsi="Arial" w:cs="Arial"/>
                <w:sz w:val="16"/>
                <w:szCs w:val="16"/>
              </w:rPr>
            </w:pPr>
          </w:p>
        </w:tc>
        <w:tc>
          <w:tcPr>
            <w:tcW w:w="0" w:type="auto"/>
          </w:tcPr>
          <w:p w14:paraId="4936EC7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Data analysis</w:t>
            </w:r>
          </w:p>
        </w:tc>
        <w:tc>
          <w:tcPr>
            <w:tcW w:w="0" w:type="auto"/>
          </w:tcPr>
          <w:p w14:paraId="5B1A260F" w14:textId="30CBD20C" w:rsidR="00CD6352" w:rsidRPr="00EA7665" w:rsidRDefault="00CD6352" w:rsidP="00CD6352">
            <w:pPr>
              <w:jc w:val="both"/>
              <w:rPr>
                <w:rFonts w:ascii="Arial" w:hAnsi="Arial" w:cs="Arial"/>
                <w:sz w:val="16"/>
                <w:szCs w:val="16"/>
              </w:rPr>
            </w:pPr>
            <w:r w:rsidRPr="00EA7665">
              <w:rPr>
                <w:rFonts w:ascii="Arial" w:hAnsi="Arial" w:cs="Arial"/>
                <w:sz w:val="16"/>
                <w:szCs w:val="16"/>
              </w:rPr>
              <w:t>Statistical analysis and Thematic analysis using SPSS &amp; Nvivo</w:t>
            </w:r>
            <w:r w:rsidR="00297935">
              <w:rPr>
                <w:rFonts w:ascii="Arial" w:hAnsi="Arial" w:cs="Arial"/>
                <w:sz w:val="16"/>
                <w:szCs w:val="16"/>
              </w:rPr>
              <w:t>,</w:t>
            </w:r>
            <w:r w:rsidRPr="00EA7665">
              <w:rPr>
                <w:rFonts w:ascii="Arial" w:hAnsi="Arial" w:cs="Arial"/>
                <w:sz w:val="16"/>
                <w:szCs w:val="16"/>
              </w:rPr>
              <w:t xml:space="preserve"> respectively</w:t>
            </w:r>
          </w:p>
        </w:tc>
      </w:tr>
      <w:tr w:rsidR="00CD6352" w:rsidRPr="00EA7665" w14:paraId="6493238C" w14:textId="77777777" w:rsidTr="00CD6352">
        <w:trPr>
          <w:trHeight w:val="571"/>
        </w:trPr>
        <w:tc>
          <w:tcPr>
            <w:tcW w:w="0" w:type="auto"/>
            <w:gridSpan w:val="3"/>
          </w:tcPr>
          <w:p w14:paraId="5FB9F2B4" w14:textId="77777777" w:rsidR="00CD6352" w:rsidRPr="00EA7665" w:rsidRDefault="00CD6352" w:rsidP="00CD6352">
            <w:pPr>
              <w:jc w:val="both"/>
              <w:rPr>
                <w:rFonts w:ascii="Arial" w:hAnsi="Arial" w:cs="Arial"/>
                <w:sz w:val="16"/>
                <w:szCs w:val="16"/>
              </w:rPr>
            </w:pPr>
            <w:r w:rsidRPr="00EA7665">
              <w:rPr>
                <w:rFonts w:ascii="Arial" w:hAnsi="Arial" w:cs="Arial"/>
                <w:noProof/>
                <w:sz w:val="16"/>
                <w:szCs w:val="16"/>
                <w:lang w:eastAsia="en-GB"/>
              </w:rPr>
              <mc:AlternateContent>
                <mc:Choice Requires="wps">
                  <w:drawing>
                    <wp:anchor distT="0" distB="0" distL="114300" distR="114300" simplePos="0" relativeHeight="251660288" behindDoc="0" locked="0" layoutInCell="1" allowOverlap="1" wp14:anchorId="318498AB" wp14:editId="46E194AA">
                      <wp:simplePos x="0" y="0"/>
                      <wp:positionH relativeFrom="column">
                        <wp:posOffset>2443756</wp:posOffset>
                      </wp:positionH>
                      <wp:positionV relativeFrom="paragraph">
                        <wp:posOffset>16510</wp:posOffset>
                      </wp:positionV>
                      <wp:extent cx="484505" cy="317500"/>
                      <wp:effectExtent l="38100" t="0" r="0" b="44450"/>
                      <wp:wrapNone/>
                      <wp:docPr id="18" name="Down Arrow 18"/>
                      <wp:cNvGraphicFramePr/>
                      <a:graphic xmlns:a="http://schemas.openxmlformats.org/drawingml/2006/main">
                        <a:graphicData uri="http://schemas.microsoft.com/office/word/2010/wordprocessingShape">
                          <wps:wsp>
                            <wps:cNvSpPr/>
                            <wps:spPr>
                              <a:xfrm>
                                <a:off x="0" y="0"/>
                                <a:ext cx="484505" cy="317500"/>
                              </a:xfrm>
                              <a:prstGeom prst="downArrow">
                                <a:avLst/>
                              </a:prstGeom>
                              <a:solidFill>
                                <a:srgbClr val="5B9BD5"/>
                              </a:solidFill>
                              <a:ln w="12700" cap="flat" cmpd="sng" algn="ctr">
                                <a:solidFill>
                                  <a:srgbClr val="5B9BD5">
                                    <a:shade val="50000"/>
                                  </a:srgbClr>
                                </a:solidFill>
                                <a:prstDash val="solid"/>
                                <a:miter lim="800000"/>
                              </a:ln>
                              <a:effectLst/>
                            </wps:spPr>
                            <wps:txbx>
                              <w:txbxContent>
                                <w:p w14:paraId="0B4DA381" w14:textId="77777777" w:rsidR="004F5D57" w:rsidRDefault="004F5D57" w:rsidP="00CD6352">
                                  <w:pPr>
                                    <w:jc w:val="center"/>
                                  </w:pPr>
                                  <w:permStart w:id="1442841768" w:edGrp="everyone"/>
                                  <w:permEnd w:id="14428417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98AB" id="Down Arrow 18" o:spid="_x0000_s1035" type="#_x0000_t67" style="position:absolute;left:0;text-align:left;margin-left:192.4pt;margin-top:1.3pt;width:38.1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" adj="10800" fillcolor="#5b9bd5" strokecolor="#41719c" strokeweight="1pt">
                      <v:textbox>
                        <w:txbxContent>
                          <w:p w14:paraId="0B4DA381" w14:textId="77777777" w:rsidR="004F5D57" w:rsidRDefault="004F5D57" w:rsidP="00CD6352">
                            <w:pPr>
                              <w:jc w:val="center"/>
                            </w:pPr>
                            <w:permStart w:id="1442841768" w:edGrp="everyone"/>
                            <w:permEnd w:id="1442841768"/>
                          </w:p>
                        </w:txbxContent>
                      </v:textbox>
                    </v:shape>
                  </w:pict>
                </mc:Fallback>
              </mc:AlternateContent>
            </w:r>
          </w:p>
          <w:p w14:paraId="7BA0D833" w14:textId="77777777" w:rsidR="00CD6352" w:rsidRPr="00EA7665" w:rsidRDefault="00CD6352" w:rsidP="00CD6352">
            <w:pPr>
              <w:jc w:val="both"/>
              <w:rPr>
                <w:rFonts w:ascii="Arial" w:hAnsi="Arial" w:cs="Arial"/>
                <w:sz w:val="16"/>
                <w:szCs w:val="16"/>
              </w:rPr>
            </w:pPr>
          </w:p>
        </w:tc>
      </w:tr>
      <w:tr w:rsidR="00CD6352" w:rsidRPr="00EA7665" w14:paraId="364D39A3" w14:textId="77777777" w:rsidTr="00CD6352">
        <w:tc>
          <w:tcPr>
            <w:tcW w:w="0" w:type="auto"/>
          </w:tcPr>
          <w:p w14:paraId="7BC797FC" w14:textId="77777777" w:rsidR="00CD6352" w:rsidRPr="00EA7665" w:rsidRDefault="00CD6352" w:rsidP="00CD6352">
            <w:pPr>
              <w:jc w:val="both"/>
              <w:rPr>
                <w:rFonts w:ascii="Arial" w:hAnsi="Arial" w:cs="Arial"/>
                <w:b/>
                <w:sz w:val="16"/>
                <w:szCs w:val="16"/>
                <w:u w:val="single"/>
              </w:rPr>
            </w:pPr>
            <w:r w:rsidRPr="00EA7665">
              <w:rPr>
                <w:rFonts w:ascii="Arial" w:hAnsi="Arial" w:cs="Arial"/>
                <w:b/>
                <w:sz w:val="16"/>
                <w:szCs w:val="16"/>
                <w:u w:val="single"/>
              </w:rPr>
              <w:t>Stage 3</w:t>
            </w:r>
          </w:p>
        </w:tc>
        <w:tc>
          <w:tcPr>
            <w:tcW w:w="0" w:type="auto"/>
            <w:gridSpan w:val="2"/>
          </w:tcPr>
          <w:p w14:paraId="331E8E7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Development of a tool kit for securing finance for real estate project development </w:t>
            </w:r>
          </w:p>
        </w:tc>
      </w:tr>
    </w:tbl>
    <w:p w14:paraId="4BA8EF17" w14:textId="77777777" w:rsidR="00CD6352" w:rsidRPr="00EA7665" w:rsidRDefault="00CD6352" w:rsidP="00CD6352">
      <w:pPr>
        <w:spacing w:after="0" w:line="360" w:lineRule="auto"/>
        <w:ind w:left="360"/>
        <w:jc w:val="both"/>
        <w:rPr>
          <w:rFonts w:ascii="Arial" w:hAnsi="Arial" w:cs="Arial"/>
          <w:lang w:val="en-US"/>
        </w:rPr>
      </w:pPr>
      <w:r w:rsidRPr="00EA7665">
        <w:rPr>
          <w:rFonts w:ascii="Arial" w:hAnsi="Arial" w:cs="Arial"/>
        </w:rPr>
        <w:t xml:space="preserve">Sources: The Author’s compilation </w:t>
      </w:r>
    </w:p>
    <w:p w14:paraId="2AE92D22" w14:textId="77777777" w:rsidR="00CD6352" w:rsidRPr="00EA7665" w:rsidRDefault="00CD6352" w:rsidP="00CD6352">
      <w:pPr>
        <w:spacing w:after="0" w:line="360" w:lineRule="auto"/>
        <w:ind w:left="360"/>
        <w:jc w:val="both"/>
        <w:rPr>
          <w:rFonts w:ascii="Arial" w:hAnsi="Arial" w:cs="Arial"/>
        </w:rPr>
      </w:pPr>
    </w:p>
    <w:p w14:paraId="4E753AC8" w14:textId="77777777" w:rsidR="00CD6352" w:rsidRPr="00EA7665" w:rsidRDefault="00CD6352" w:rsidP="00CD6352">
      <w:pPr>
        <w:pStyle w:val="Heading3"/>
        <w:spacing w:line="360" w:lineRule="auto"/>
        <w:jc w:val="both"/>
        <w:rPr>
          <w:rFonts w:cs="Arial"/>
          <w:sz w:val="22"/>
          <w:szCs w:val="22"/>
        </w:rPr>
      </w:pPr>
      <w:bookmarkStart w:id="1015" w:name="_Toc78983815"/>
      <w:r w:rsidRPr="00EA7665">
        <w:rPr>
          <w:rFonts w:cs="Arial"/>
          <w:sz w:val="22"/>
          <w:szCs w:val="22"/>
        </w:rPr>
        <w:lastRenderedPageBreak/>
        <w:t>Establishment of Research Problem</w:t>
      </w:r>
      <w:bookmarkEnd w:id="1015"/>
      <w:r w:rsidRPr="00EA7665">
        <w:rPr>
          <w:rFonts w:cs="Arial"/>
          <w:sz w:val="22"/>
          <w:szCs w:val="22"/>
        </w:rPr>
        <w:t xml:space="preserve"> </w:t>
      </w:r>
    </w:p>
    <w:p w14:paraId="025CE4CD" w14:textId="77777777" w:rsidR="00CD6352" w:rsidRPr="00EA7665" w:rsidRDefault="00CD6352" w:rsidP="00CD6352">
      <w:pPr>
        <w:spacing w:after="0" w:line="360" w:lineRule="auto"/>
        <w:ind w:left="360"/>
        <w:jc w:val="both"/>
        <w:rPr>
          <w:rFonts w:ascii="Arial" w:hAnsi="Arial" w:cs="Arial"/>
        </w:rPr>
      </w:pPr>
      <w:r w:rsidRPr="00EA7665">
        <w:rPr>
          <w:rFonts w:ascii="Arial" w:hAnsi="Arial" w:cs="Arial"/>
        </w:rPr>
        <w:t>Establishing the research question is fundamental to any research. It brings to the fore those salient questions that need to be answered, and this is the foundation of the research</w:t>
      </w:r>
      <w:r>
        <w:rPr>
          <w:rFonts w:ascii="Arial" w:hAnsi="Arial" w:cs="Arial"/>
        </w:rPr>
        <w:t>,</w:t>
      </w:r>
      <w:r w:rsidRPr="00EA7665">
        <w:rPr>
          <w:rFonts w:ascii="Arial" w:hAnsi="Arial" w:cs="Arial"/>
        </w:rPr>
        <w:t xml:space="preserve"> as investigations are initiated to answer questions. It is, therefore, a highly important part of the research despite the intricacies involved in achieving it (Saunders et al., 2016). The establishment of the research problem was from conclusions reached through a review of the literature and in-depth discussio</w:t>
      </w:r>
      <w:r>
        <w:rPr>
          <w:rFonts w:ascii="Arial" w:hAnsi="Arial" w:cs="Arial"/>
        </w:rPr>
        <w:t>ns</w:t>
      </w:r>
      <w:r w:rsidRPr="00EA7665">
        <w:rPr>
          <w:rFonts w:ascii="Arial" w:hAnsi="Arial" w:cs="Arial"/>
        </w:rPr>
        <w:t xml:space="preserve"> with the supervisory team.</w:t>
      </w:r>
    </w:p>
    <w:p w14:paraId="40C22D4B" w14:textId="77777777" w:rsidR="00CD6352" w:rsidRPr="00EA7665" w:rsidRDefault="00CD6352" w:rsidP="00CD6352">
      <w:pPr>
        <w:spacing w:after="0" w:line="360" w:lineRule="auto"/>
        <w:ind w:left="360"/>
        <w:jc w:val="both"/>
        <w:rPr>
          <w:rFonts w:ascii="Arial" w:hAnsi="Arial" w:cs="Arial"/>
        </w:rPr>
      </w:pPr>
    </w:p>
    <w:p w14:paraId="74505F27" w14:textId="77777777" w:rsidR="00CD6352" w:rsidRPr="00EA7665" w:rsidRDefault="00CD6352" w:rsidP="00CD6352">
      <w:pPr>
        <w:pStyle w:val="Heading3"/>
        <w:spacing w:line="360" w:lineRule="auto"/>
        <w:jc w:val="both"/>
        <w:rPr>
          <w:rFonts w:cs="Arial"/>
          <w:sz w:val="22"/>
          <w:szCs w:val="22"/>
        </w:rPr>
      </w:pPr>
      <w:bookmarkStart w:id="1016" w:name="_Toc78983816"/>
      <w:r w:rsidRPr="00EA7665">
        <w:rPr>
          <w:rFonts w:cs="Arial"/>
          <w:sz w:val="22"/>
          <w:szCs w:val="22"/>
        </w:rPr>
        <w:t>Review of literature/ gap in the literature</w:t>
      </w:r>
      <w:bookmarkEnd w:id="1016"/>
    </w:p>
    <w:p w14:paraId="4A5F41E5" w14:textId="79B35E5A" w:rsidR="00CD6352" w:rsidRPr="00EA7665" w:rsidRDefault="00CD6352" w:rsidP="00CD6352">
      <w:pPr>
        <w:spacing w:line="360" w:lineRule="auto"/>
        <w:ind w:left="360"/>
        <w:jc w:val="both"/>
        <w:rPr>
          <w:rFonts w:ascii="Arial" w:hAnsi="Arial" w:cs="Arial"/>
        </w:rPr>
      </w:pPr>
      <w:r w:rsidRPr="00EA7665">
        <w:rPr>
          <w:rFonts w:ascii="Arial" w:hAnsi="Arial" w:cs="Arial"/>
        </w:rPr>
        <w:t>The study began with a review of the literature on the different options for securing finance for real estate project development</w:t>
      </w:r>
      <w:r w:rsidR="001823C7">
        <w:rPr>
          <w:rFonts w:ascii="Arial" w:hAnsi="Arial" w:cs="Arial"/>
        </w:rPr>
        <w:t>;</w:t>
      </w:r>
      <w:r w:rsidRPr="00EA7665">
        <w:rPr>
          <w:rFonts w:ascii="Arial" w:hAnsi="Arial" w:cs="Arial"/>
        </w:rPr>
        <w:t xml:space="preserve"> this </w:t>
      </w:r>
      <w:r w:rsidR="00E828CD">
        <w:rPr>
          <w:rFonts w:ascii="Arial" w:hAnsi="Arial" w:cs="Arial"/>
        </w:rPr>
        <w:t xml:space="preserve">helped </w:t>
      </w:r>
      <w:r w:rsidR="00DC4FA3">
        <w:rPr>
          <w:rFonts w:ascii="Arial" w:hAnsi="Arial" w:cs="Arial"/>
        </w:rPr>
        <w:t>better understand the different markets and investments available for</w:t>
      </w:r>
      <w:r w:rsidRPr="00EA7665">
        <w:rPr>
          <w:rFonts w:ascii="Arial" w:hAnsi="Arial" w:cs="Arial"/>
        </w:rPr>
        <w:t xml:space="preserve"> investors and developers in this sector. </w:t>
      </w:r>
      <w:r w:rsidR="00DC4FA3">
        <w:rPr>
          <w:rFonts w:ascii="Arial" w:hAnsi="Arial" w:cs="Arial"/>
        </w:rPr>
        <w:t>The l</w:t>
      </w:r>
      <w:r w:rsidR="00E828CD">
        <w:rPr>
          <w:rFonts w:ascii="Arial" w:hAnsi="Arial" w:cs="Arial"/>
        </w:rPr>
        <w:t>iterature review</w:t>
      </w:r>
      <w:r w:rsidRPr="00EA7665">
        <w:rPr>
          <w:rFonts w:ascii="Arial" w:hAnsi="Arial" w:cs="Arial"/>
        </w:rPr>
        <w:t xml:space="preserve"> was done extensively on the </w:t>
      </w:r>
      <w:r>
        <w:rPr>
          <w:rFonts w:ascii="Arial" w:hAnsi="Arial" w:cs="Arial"/>
        </w:rPr>
        <w:t xml:space="preserve">different areas associated with securing </w:t>
      </w:r>
      <w:r w:rsidR="00DC4FA3">
        <w:rPr>
          <w:rFonts w:ascii="Arial" w:hAnsi="Arial" w:cs="Arial"/>
        </w:rPr>
        <w:t>real estate project development finance</w:t>
      </w:r>
      <w:r w:rsidR="005B19FC">
        <w:rPr>
          <w:rFonts w:ascii="Arial" w:hAnsi="Arial" w:cs="Arial"/>
        </w:rPr>
        <w:t>.</w:t>
      </w:r>
      <w:r w:rsidRPr="00EA7665">
        <w:rPr>
          <w:rFonts w:ascii="Arial" w:hAnsi="Arial" w:cs="Arial"/>
        </w:rPr>
        <w:t xml:space="preserve"> It brought to </w:t>
      </w:r>
      <w:r>
        <w:rPr>
          <w:rFonts w:ascii="Arial" w:hAnsi="Arial" w:cs="Arial"/>
        </w:rPr>
        <w:t xml:space="preserve">the </w:t>
      </w:r>
      <w:r w:rsidRPr="00EA7665">
        <w:rPr>
          <w:rFonts w:ascii="Arial" w:hAnsi="Arial" w:cs="Arial"/>
        </w:rPr>
        <w:t>fore the salient gap in the literature</w:t>
      </w:r>
      <w:r w:rsidR="001823C7">
        <w:rPr>
          <w:rFonts w:ascii="Arial" w:hAnsi="Arial" w:cs="Arial"/>
        </w:rPr>
        <w:t xml:space="preserve">: the skills, knowledge, </w:t>
      </w:r>
      <w:r w:rsidR="00D86186">
        <w:rPr>
          <w:rFonts w:ascii="Arial" w:hAnsi="Arial" w:cs="Arial"/>
        </w:rPr>
        <w:t>competences,</w:t>
      </w:r>
      <w:r w:rsidR="001823C7">
        <w:rPr>
          <w:rFonts w:ascii="Arial" w:hAnsi="Arial" w:cs="Arial"/>
        </w:rPr>
        <w:t xml:space="preserve"> career path, training,</w:t>
      </w:r>
      <w:r>
        <w:rPr>
          <w:rFonts w:ascii="Arial" w:hAnsi="Arial" w:cs="Arial"/>
        </w:rPr>
        <w:t xml:space="preserve"> and education </w:t>
      </w:r>
      <w:r w:rsidRPr="00EA7665">
        <w:rPr>
          <w:rFonts w:ascii="Arial" w:hAnsi="Arial" w:cs="Arial"/>
        </w:rPr>
        <w:t xml:space="preserve">that the manager in the real estate development sector needs that will facilitate </w:t>
      </w:r>
      <w:r w:rsidR="00084607">
        <w:rPr>
          <w:rFonts w:ascii="Arial" w:hAnsi="Arial" w:cs="Arial"/>
        </w:rPr>
        <w:t>their</w:t>
      </w:r>
      <w:r w:rsidR="00084607" w:rsidRPr="00EA7665">
        <w:rPr>
          <w:rFonts w:ascii="Arial" w:hAnsi="Arial" w:cs="Arial"/>
        </w:rPr>
        <w:t xml:space="preserve"> </w:t>
      </w:r>
      <w:r w:rsidRPr="00EA7665">
        <w:rPr>
          <w:rFonts w:ascii="Arial" w:hAnsi="Arial" w:cs="Arial"/>
        </w:rPr>
        <w:t>ability to secure finance for real estate project development.</w:t>
      </w:r>
    </w:p>
    <w:p w14:paraId="436FC93B" w14:textId="5E8EF1F9" w:rsidR="00CD6352" w:rsidRDefault="00CD6352" w:rsidP="00CD6352">
      <w:pPr>
        <w:spacing w:line="360" w:lineRule="auto"/>
        <w:ind w:left="360"/>
        <w:jc w:val="both"/>
        <w:rPr>
          <w:rFonts w:ascii="Arial" w:hAnsi="Arial" w:cs="Arial"/>
        </w:rPr>
      </w:pPr>
      <w:r w:rsidRPr="00EA7665">
        <w:rPr>
          <w:rFonts w:ascii="Arial" w:hAnsi="Arial" w:cs="Arial"/>
        </w:rPr>
        <w:t xml:space="preserve">The researcher used various resources to access literature, </w:t>
      </w:r>
      <w:r>
        <w:rPr>
          <w:rFonts w:ascii="Arial" w:hAnsi="Arial" w:cs="Arial"/>
        </w:rPr>
        <w:t>including</w:t>
      </w:r>
      <w:r w:rsidRPr="00EA7665">
        <w:rPr>
          <w:rFonts w:ascii="Arial" w:hAnsi="Arial" w:cs="Arial"/>
        </w:rPr>
        <w:t xml:space="preserve"> Google scholar, peer-reviewed journals of different platforms such as </w:t>
      </w:r>
      <w:r w:rsidR="005B19FC">
        <w:rPr>
          <w:rFonts w:ascii="Arial" w:hAnsi="Arial" w:cs="Arial"/>
        </w:rPr>
        <w:t>S</w:t>
      </w:r>
      <w:r w:rsidRPr="00EA7665">
        <w:rPr>
          <w:rFonts w:ascii="Arial" w:hAnsi="Arial" w:cs="Arial"/>
        </w:rPr>
        <w:t xml:space="preserve">cience </w:t>
      </w:r>
      <w:r w:rsidR="00FA59D1">
        <w:rPr>
          <w:rFonts w:ascii="Arial" w:hAnsi="Arial" w:cs="Arial"/>
        </w:rPr>
        <w:t>D</w:t>
      </w:r>
      <w:r w:rsidRPr="00EA7665">
        <w:rPr>
          <w:rFonts w:ascii="Arial" w:hAnsi="Arial" w:cs="Arial"/>
        </w:rPr>
        <w:t xml:space="preserve">irect, </w:t>
      </w:r>
      <w:r w:rsidR="005B19FC">
        <w:rPr>
          <w:rFonts w:ascii="Arial" w:hAnsi="Arial" w:cs="Arial"/>
        </w:rPr>
        <w:t>B</w:t>
      </w:r>
      <w:r w:rsidRPr="00EA7665">
        <w:rPr>
          <w:rFonts w:ascii="Arial" w:hAnsi="Arial" w:cs="Arial"/>
        </w:rPr>
        <w:t xml:space="preserve">usiness source complete, </w:t>
      </w:r>
      <w:r w:rsidR="005B19FC">
        <w:rPr>
          <w:rFonts w:ascii="Arial" w:hAnsi="Arial" w:cs="Arial"/>
        </w:rPr>
        <w:t>E</w:t>
      </w:r>
      <w:r w:rsidRPr="00EA7665">
        <w:rPr>
          <w:rFonts w:ascii="Arial" w:hAnsi="Arial" w:cs="Arial"/>
        </w:rPr>
        <w:t xml:space="preserve">merald, </w:t>
      </w:r>
      <w:r w:rsidR="005B19FC">
        <w:rPr>
          <w:rFonts w:ascii="Arial" w:hAnsi="Arial" w:cs="Arial"/>
        </w:rPr>
        <w:t>S</w:t>
      </w:r>
      <w:r w:rsidRPr="00EA7665">
        <w:rPr>
          <w:rFonts w:ascii="Arial" w:hAnsi="Arial" w:cs="Arial"/>
        </w:rPr>
        <w:t xml:space="preserve">pringer-link, </w:t>
      </w:r>
      <w:r w:rsidR="005B19FC">
        <w:rPr>
          <w:rFonts w:ascii="Arial" w:hAnsi="Arial" w:cs="Arial"/>
        </w:rPr>
        <w:t>A</w:t>
      </w:r>
      <w:r w:rsidRPr="00EA7665">
        <w:rPr>
          <w:rFonts w:ascii="Arial" w:hAnsi="Arial" w:cs="Arial"/>
        </w:rPr>
        <w:t xml:space="preserve">cademic search complete and Scopus. Conference papers were developed from the </w:t>
      </w:r>
      <w:r w:rsidR="001823C7">
        <w:rPr>
          <w:rFonts w:ascii="Arial" w:hAnsi="Arial" w:cs="Arial"/>
        </w:rPr>
        <w:t>literature review, which</w:t>
      </w:r>
      <w:r w:rsidRPr="00EA7665">
        <w:rPr>
          <w:rFonts w:ascii="Arial" w:hAnsi="Arial" w:cs="Arial"/>
        </w:rPr>
        <w:t xml:space="preserve"> further enhanced </w:t>
      </w:r>
      <w:r w:rsidR="004D6508">
        <w:rPr>
          <w:rFonts w:ascii="Arial" w:hAnsi="Arial" w:cs="Arial"/>
        </w:rPr>
        <w:t>understanding</w:t>
      </w:r>
      <w:r w:rsidRPr="00EA7665">
        <w:rPr>
          <w:rFonts w:ascii="Arial" w:hAnsi="Arial" w:cs="Arial"/>
        </w:rPr>
        <w:t xml:space="preserve"> </w:t>
      </w:r>
      <w:r w:rsidR="00D83064">
        <w:rPr>
          <w:rFonts w:ascii="Arial" w:hAnsi="Arial" w:cs="Arial"/>
        </w:rPr>
        <w:t xml:space="preserve">of </w:t>
      </w:r>
      <w:r w:rsidRPr="00EA7665">
        <w:rPr>
          <w:rFonts w:ascii="Arial" w:hAnsi="Arial" w:cs="Arial"/>
        </w:rPr>
        <w:t xml:space="preserve">the various themes within the subject area of study. Furthermore, the researcher reviewed conference papers from the Association of Research and Innovation in Building and Construction (ARCOM) and </w:t>
      </w:r>
      <w:r>
        <w:rPr>
          <w:rFonts w:ascii="Arial" w:hAnsi="Arial" w:cs="Arial"/>
        </w:rPr>
        <w:t xml:space="preserve">the </w:t>
      </w:r>
      <w:r w:rsidRPr="00EA7665">
        <w:rPr>
          <w:rFonts w:ascii="Arial" w:hAnsi="Arial" w:cs="Arial"/>
        </w:rPr>
        <w:t xml:space="preserve">COBRARIC conference </w:t>
      </w:r>
      <w:r>
        <w:rPr>
          <w:rFonts w:ascii="Arial" w:hAnsi="Arial" w:cs="Arial"/>
        </w:rPr>
        <w:t>and</w:t>
      </w:r>
      <w:r w:rsidRPr="00EA7665">
        <w:rPr>
          <w:rFonts w:ascii="Arial" w:hAnsi="Arial" w:cs="Arial"/>
        </w:rPr>
        <w:t xml:space="preserve"> other conferences. All of these helped to enhance the literature review. </w:t>
      </w:r>
      <w:r w:rsidR="004D6508">
        <w:rPr>
          <w:rFonts w:ascii="Arial" w:hAnsi="Arial" w:cs="Arial"/>
        </w:rPr>
        <w:t>Notably, the IPMA (2015) individual competence baseline for project, programme and po</w:t>
      </w:r>
      <w:r w:rsidR="00DC4FA3">
        <w:rPr>
          <w:rFonts w:ascii="Arial" w:hAnsi="Arial" w:cs="Arial"/>
        </w:rPr>
        <w:t>r</w:t>
      </w:r>
      <w:r w:rsidR="004D6508">
        <w:rPr>
          <w:rFonts w:ascii="Arial" w:hAnsi="Arial" w:cs="Arial"/>
        </w:rPr>
        <w:t>tfolio management and the APM comp</w:t>
      </w:r>
      <w:r w:rsidR="00565013">
        <w:rPr>
          <w:rFonts w:ascii="Arial" w:hAnsi="Arial" w:cs="Arial"/>
        </w:rPr>
        <w:t>e</w:t>
      </w:r>
      <w:r w:rsidR="004D6508">
        <w:rPr>
          <w:rFonts w:ascii="Arial" w:hAnsi="Arial" w:cs="Arial"/>
        </w:rPr>
        <w:t>tence framework was helpful in the collation of skills, knowledge and competences</w:t>
      </w:r>
      <w:r w:rsidR="00DC4FA3">
        <w:rPr>
          <w:rFonts w:ascii="Arial" w:hAnsi="Arial" w:cs="Arial"/>
        </w:rPr>
        <w:t>,</w:t>
      </w:r>
      <w:r w:rsidR="004D6508">
        <w:rPr>
          <w:rFonts w:ascii="Arial" w:hAnsi="Arial" w:cs="Arial"/>
        </w:rPr>
        <w:t xml:space="preserve"> which were later tested ( see chapter 3.8). The researcher also looked up details of real estate project funding and economic indicators of different countries on financial platforms such as Bloomberg terminal, Trading economics, and yahoo finance. The significant reported factors on the different constructs of real estate development funding and the manager’s skills, knowledge, competences, career path, training and education from the review of the literature were considered in developing a list of items for empirical testing</w:t>
      </w:r>
      <w:r w:rsidR="009D29C6">
        <w:rPr>
          <w:rFonts w:ascii="Arial" w:hAnsi="Arial" w:cs="Arial"/>
        </w:rPr>
        <w:t xml:space="preserve">. </w:t>
      </w:r>
      <w:r w:rsidRPr="00EA7665">
        <w:rPr>
          <w:rFonts w:ascii="Arial" w:hAnsi="Arial" w:cs="Arial"/>
        </w:rPr>
        <w:t>This list, in conjunction with the research questions</w:t>
      </w:r>
      <w:r w:rsidR="00DC4FA3">
        <w:rPr>
          <w:rFonts w:ascii="Arial" w:hAnsi="Arial" w:cs="Arial"/>
        </w:rPr>
        <w:t xml:space="preserve">, </w:t>
      </w:r>
      <w:r w:rsidRPr="00EA7665">
        <w:rPr>
          <w:rFonts w:ascii="Arial" w:hAnsi="Arial" w:cs="Arial"/>
        </w:rPr>
        <w:t>research objectives</w:t>
      </w:r>
      <w:r w:rsidR="00DC4FA3">
        <w:rPr>
          <w:rFonts w:ascii="Arial" w:hAnsi="Arial" w:cs="Arial"/>
        </w:rPr>
        <w:t xml:space="preserve"> relevant theories</w:t>
      </w:r>
      <w:r w:rsidRPr="00EA7665">
        <w:rPr>
          <w:rFonts w:ascii="Arial" w:hAnsi="Arial" w:cs="Arial"/>
        </w:rPr>
        <w:t xml:space="preserve">, were used to set questions for the questionnaire and semi-structured interviews. </w:t>
      </w:r>
    </w:p>
    <w:p w14:paraId="3287AA83" w14:textId="25C319F3" w:rsidR="00CD6352" w:rsidRPr="00EA7665" w:rsidRDefault="00CD6352" w:rsidP="00CD6352">
      <w:pPr>
        <w:spacing w:after="0" w:line="360" w:lineRule="auto"/>
        <w:ind w:left="360"/>
        <w:jc w:val="both"/>
        <w:rPr>
          <w:rFonts w:ascii="Arial" w:hAnsi="Arial" w:cs="Arial"/>
        </w:rPr>
      </w:pPr>
      <w:r w:rsidRPr="00EA7665">
        <w:rPr>
          <w:rFonts w:ascii="Arial" w:hAnsi="Arial" w:cs="Arial"/>
        </w:rPr>
        <w:lastRenderedPageBreak/>
        <w:t xml:space="preserve">In conclusion, the literature review provided a platform that revealed the research gap </w:t>
      </w:r>
      <w:r w:rsidR="00565013">
        <w:rPr>
          <w:rFonts w:ascii="Arial" w:hAnsi="Arial" w:cs="Arial"/>
        </w:rPr>
        <w:t>and provided a platform for identifying</w:t>
      </w:r>
      <w:r w:rsidRPr="00EA7665">
        <w:rPr>
          <w:rFonts w:ascii="Arial" w:hAnsi="Arial" w:cs="Arial"/>
        </w:rPr>
        <w:t xml:space="preserve"> the issues for investigation in real estate project development financing</w:t>
      </w:r>
      <w:r w:rsidR="00565013">
        <w:rPr>
          <w:rFonts w:ascii="Arial" w:hAnsi="Arial" w:cs="Arial"/>
        </w:rPr>
        <w:t>. T</w:t>
      </w:r>
      <w:r>
        <w:rPr>
          <w:rFonts w:ascii="Arial" w:hAnsi="Arial" w:cs="Arial"/>
        </w:rPr>
        <w:t>h</w:t>
      </w:r>
      <w:r w:rsidR="00565013">
        <w:rPr>
          <w:rFonts w:ascii="Arial" w:hAnsi="Arial" w:cs="Arial"/>
        </w:rPr>
        <w:t>is</w:t>
      </w:r>
      <w:r w:rsidRPr="00EA7665">
        <w:rPr>
          <w:rFonts w:ascii="Arial" w:hAnsi="Arial" w:cs="Arial"/>
        </w:rPr>
        <w:t xml:space="preserve"> included an inquiry into the different finance optio</w:t>
      </w:r>
      <w:r>
        <w:rPr>
          <w:rFonts w:ascii="Arial" w:hAnsi="Arial" w:cs="Arial"/>
        </w:rPr>
        <w:t>ns</w:t>
      </w:r>
      <w:r w:rsidRPr="00EA7665">
        <w:rPr>
          <w:rFonts w:ascii="Arial" w:hAnsi="Arial" w:cs="Arial"/>
        </w:rPr>
        <w:t xml:space="preserve"> used in the developed and </w:t>
      </w:r>
      <w:r w:rsidR="00565013">
        <w:rPr>
          <w:rFonts w:ascii="Arial" w:hAnsi="Arial" w:cs="Arial"/>
        </w:rPr>
        <w:t>emerging</w:t>
      </w:r>
      <w:r w:rsidR="00565013" w:rsidRPr="00EA7665">
        <w:rPr>
          <w:rFonts w:ascii="Arial" w:hAnsi="Arial" w:cs="Arial"/>
        </w:rPr>
        <w:t xml:space="preserve"> </w:t>
      </w:r>
      <w:r w:rsidRPr="00EA7665">
        <w:rPr>
          <w:rFonts w:ascii="Arial" w:hAnsi="Arial" w:cs="Arial"/>
        </w:rPr>
        <w:t>economies</w:t>
      </w:r>
      <w:r w:rsidR="00565013">
        <w:rPr>
          <w:rFonts w:ascii="Arial" w:hAnsi="Arial" w:cs="Arial"/>
        </w:rPr>
        <w:t>,</w:t>
      </w:r>
      <w:r w:rsidRPr="00EA7665">
        <w:rPr>
          <w:rFonts w:ascii="Arial" w:hAnsi="Arial" w:cs="Arial"/>
        </w:rPr>
        <w:t xml:space="preserve"> the challenges managers face in accessing funding for real estate project development, the opportunities available to managers that facilitate their access to financing for real estate project development</w:t>
      </w:r>
      <w:r>
        <w:rPr>
          <w:rFonts w:ascii="Arial" w:hAnsi="Arial" w:cs="Arial"/>
        </w:rPr>
        <w:t xml:space="preserve">, and </w:t>
      </w:r>
      <w:r w:rsidRPr="00EA7665">
        <w:rPr>
          <w:rFonts w:ascii="Arial" w:hAnsi="Arial" w:cs="Arial"/>
        </w:rPr>
        <w:t xml:space="preserve">the criteria financiers look out for in providing finance for real estate project development. Also taken into consideration are the skills, knowledge, competences, career path, education, and training that the real estate’s development manager needs </w:t>
      </w:r>
      <w:r>
        <w:rPr>
          <w:rFonts w:ascii="Arial" w:hAnsi="Arial" w:cs="Arial"/>
        </w:rPr>
        <w:t>to</w:t>
      </w:r>
      <w:r w:rsidRPr="00EA7665">
        <w:rPr>
          <w:rFonts w:ascii="Arial" w:hAnsi="Arial" w:cs="Arial"/>
        </w:rPr>
        <w:t xml:space="preserve"> facilitate his ability to secure funding for real estate project development</w:t>
      </w:r>
      <w:r w:rsidR="00DC4FA3">
        <w:rPr>
          <w:rFonts w:ascii="Arial" w:hAnsi="Arial" w:cs="Arial"/>
        </w:rPr>
        <w:t>.</w:t>
      </w:r>
      <w:r w:rsidRPr="00EA7665">
        <w:rPr>
          <w:rFonts w:ascii="Arial" w:hAnsi="Arial" w:cs="Arial"/>
        </w:rPr>
        <w:t xml:space="preserve"> All of these were taken into consideration in the construction of the pilot study. This stage formed the basis for the development of the conceptual framework underpinning this research.</w:t>
      </w:r>
    </w:p>
    <w:p w14:paraId="19A52169" w14:textId="60306420" w:rsidR="00CD6352" w:rsidRPr="00EA7665" w:rsidRDefault="00CD6352" w:rsidP="00CD6352">
      <w:pPr>
        <w:pStyle w:val="Heading2"/>
        <w:spacing w:after="240" w:line="360" w:lineRule="auto"/>
        <w:jc w:val="both"/>
        <w:rPr>
          <w:rFonts w:cs="Arial"/>
          <w:sz w:val="22"/>
          <w:szCs w:val="22"/>
        </w:rPr>
      </w:pPr>
      <w:bookmarkStart w:id="1017" w:name="_Toc78983817"/>
      <w:r w:rsidRPr="00EA7665">
        <w:rPr>
          <w:rFonts w:cs="Arial"/>
          <w:sz w:val="22"/>
          <w:szCs w:val="22"/>
        </w:rPr>
        <w:t>Pilot Study</w:t>
      </w:r>
      <w:bookmarkEnd w:id="1017"/>
      <w:r w:rsidRPr="00EA7665">
        <w:rPr>
          <w:rFonts w:cs="Arial"/>
          <w:sz w:val="22"/>
          <w:szCs w:val="22"/>
        </w:rPr>
        <w:t xml:space="preserve"> </w:t>
      </w:r>
    </w:p>
    <w:p w14:paraId="6EFF6700" w14:textId="77777777" w:rsidR="00CD6352" w:rsidRPr="00EA7665" w:rsidRDefault="00CD6352" w:rsidP="00CD6352">
      <w:pPr>
        <w:spacing w:after="0" w:line="360" w:lineRule="auto"/>
        <w:jc w:val="both"/>
        <w:rPr>
          <w:rFonts w:ascii="Arial" w:hAnsi="Arial" w:cs="Arial"/>
        </w:rPr>
      </w:pPr>
      <w:r w:rsidRPr="00EA7665">
        <w:rPr>
          <w:rFonts w:ascii="Arial" w:hAnsi="Arial" w:cs="Arial"/>
        </w:rPr>
        <w:t xml:space="preserve">The pilot was designed to achieve the </w:t>
      </w:r>
      <w:r>
        <w:rPr>
          <w:rFonts w:ascii="Arial" w:hAnsi="Arial" w:cs="Arial"/>
        </w:rPr>
        <w:t>following</w:t>
      </w:r>
      <w:r w:rsidRPr="00EA7665">
        <w:rPr>
          <w:rFonts w:ascii="Arial" w:hAnsi="Arial" w:cs="Arial"/>
        </w:rPr>
        <w:t xml:space="preserve"> objectives:</w:t>
      </w:r>
    </w:p>
    <w:p w14:paraId="571F4B22" w14:textId="79B24A12" w:rsidR="00CD6352" w:rsidRPr="00EA7665" w:rsidRDefault="00CD6352" w:rsidP="00CD6352">
      <w:pPr>
        <w:pStyle w:val="ListParagraph"/>
        <w:numPr>
          <w:ilvl w:val="0"/>
          <w:numId w:val="16"/>
        </w:numPr>
        <w:spacing w:after="0" w:line="360" w:lineRule="auto"/>
        <w:jc w:val="both"/>
        <w:rPr>
          <w:rFonts w:ascii="Arial" w:hAnsi="Arial" w:cs="Arial"/>
        </w:rPr>
      </w:pPr>
      <w:r w:rsidRPr="00EA7665">
        <w:rPr>
          <w:rFonts w:ascii="Arial" w:hAnsi="Arial" w:cs="Arial"/>
        </w:rPr>
        <w:t xml:space="preserve">To permit a preliminary understanding of the various questions and the salient constructs of skills, knowledge, </w:t>
      </w:r>
      <w:r w:rsidR="00A06BCF" w:rsidRPr="00EA7665">
        <w:rPr>
          <w:rFonts w:ascii="Arial" w:hAnsi="Arial" w:cs="Arial"/>
        </w:rPr>
        <w:t>competences,</w:t>
      </w:r>
      <w:r>
        <w:rPr>
          <w:rFonts w:ascii="Arial" w:hAnsi="Arial" w:cs="Arial"/>
        </w:rPr>
        <w:t xml:space="preserve"> career path, education and training </w:t>
      </w:r>
      <w:r w:rsidRPr="00EA7665">
        <w:rPr>
          <w:rFonts w:ascii="Arial" w:hAnsi="Arial" w:cs="Arial"/>
        </w:rPr>
        <w:t>by managers in the real estate development sector and academia.</w:t>
      </w:r>
    </w:p>
    <w:p w14:paraId="669232FD" w14:textId="54EA2DDF" w:rsidR="00CD6352" w:rsidRPr="00EA7665" w:rsidRDefault="00CD6352" w:rsidP="00CD6352">
      <w:pPr>
        <w:pStyle w:val="ListParagraph"/>
        <w:numPr>
          <w:ilvl w:val="0"/>
          <w:numId w:val="16"/>
        </w:numPr>
        <w:spacing w:after="0" w:line="360" w:lineRule="auto"/>
        <w:jc w:val="both"/>
        <w:rPr>
          <w:rFonts w:ascii="Arial" w:hAnsi="Arial" w:cs="Arial"/>
        </w:rPr>
      </w:pPr>
      <w:r w:rsidRPr="00EA7665">
        <w:rPr>
          <w:rFonts w:ascii="Arial" w:hAnsi="Arial" w:cs="Arial"/>
        </w:rPr>
        <w:t xml:space="preserve">To elicit </w:t>
      </w:r>
      <w:r>
        <w:rPr>
          <w:rFonts w:ascii="Arial" w:hAnsi="Arial" w:cs="Arial"/>
        </w:rPr>
        <w:t>comments</w:t>
      </w:r>
      <w:r w:rsidRPr="00EA7665">
        <w:rPr>
          <w:rFonts w:ascii="Arial" w:hAnsi="Arial" w:cs="Arial"/>
        </w:rPr>
        <w:t xml:space="preserve"> on the relevance of the questions as a possible platform </w:t>
      </w:r>
      <w:r w:rsidR="00FA59D1">
        <w:rPr>
          <w:rFonts w:ascii="Arial" w:hAnsi="Arial" w:cs="Arial"/>
        </w:rPr>
        <w:t>for</w:t>
      </w:r>
      <w:r w:rsidRPr="00EA7665">
        <w:rPr>
          <w:rFonts w:ascii="Arial" w:hAnsi="Arial" w:cs="Arial"/>
        </w:rPr>
        <w:t xml:space="preserve"> solving the research problem.</w:t>
      </w:r>
    </w:p>
    <w:p w14:paraId="11BAF35F" w14:textId="77777777" w:rsidR="00CD6352" w:rsidRPr="00EA7665" w:rsidRDefault="00CD6352" w:rsidP="00CD6352">
      <w:pPr>
        <w:pStyle w:val="ListParagraph"/>
        <w:numPr>
          <w:ilvl w:val="0"/>
          <w:numId w:val="16"/>
        </w:numPr>
        <w:spacing w:after="0" w:line="360" w:lineRule="auto"/>
        <w:jc w:val="both"/>
        <w:rPr>
          <w:rFonts w:ascii="Arial" w:hAnsi="Arial" w:cs="Arial"/>
        </w:rPr>
      </w:pPr>
      <w:r w:rsidRPr="00EA7665">
        <w:rPr>
          <w:rFonts w:ascii="Arial" w:hAnsi="Arial" w:cs="Arial"/>
        </w:rPr>
        <w:t>To permit preliminary testing and to ascertain the robustness of the research question.</w:t>
      </w:r>
    </w:p>
    <w:p w14:paraId="4C1746B9" w14:textId="77777777" w:rsidR="00CD6352" w:rsidRPr="00EA7665" w:rsidRDefault="00CD6352" w:rsidP="00CD6352">
      <w:pPr>
        <w:pStyle w:val="ListParagraph"/>
        <w:numPr>
          <w:ilvl w:val="0"/>
          <w:numId w:val="16"/>
        </w:numPr>
        <w:spacing w:after="0" w:line="360" w:lineRule="auto"/>
        <w:jc w:val="both"/>
        <w:rPr>
          <w:rFonts w:ascii="Arial" w:hAnsi="Arial" w:cs="Arial"/>
        </w:rPr>
      </w:pPr>
      <w:r w:rsidRPr="00EA7665">
        <w:rPr>
          <w:rFonts w:ascii="Arial" w:hAnsi="Arial" w:cs="Arial"/>
        </w:rPr>
        <w:t>To identify appropriate respondents.</w:t>
      </w:r>
    </w:p>
    <w:p w14:paraId="3400FE6D" w14:textId="77777777" w:rsidR="00CD6352" w:rsidRPr="00EA7665" w:rsidRDefault="00CD6352" w:rsidP="00CD6352">
      <w:pPr>
        <w:pStyle w:val="ListParagraph"/>
        <w:numPr>
          <w:ilvl w:val="0"/>
          <w:numId w:val="16"/>
        </w:numPr>
        <w:spacing w:after="0" w:line="360" w:lineRule="auto"/>
        <w:jc w:val="both"/>
        <w:rPr>
          <w:rFonts w:ascii="Arial" w:hAnsi="Arial" w:cs="Arial"/>
        </w:rPr>
      </w:pPr>
      <w:r w:rsidRPr="00EA7665">
        <w:rPr>
          <w:rFonts w:ascii="Arial" w:hAnsi="Arial" w:cs="Arial"/>
        </w:rPr>
        <w:t xml:space="preserve"> To identify any other areas that could be investigated within the perimeter of the research.</w:t>
      </w:r>
    </w:p>
    <w:p w14:paraId="252D5F8F" w14:textId="77777777" w:rsidR="00CD6352" w:rsidRPr="00EA7665" w:rsidRDefault="00CD6352" w:rsidP="00DC4FA3">
      <w:pPr>
        <w:pStyle w:val="ListParagraph"/>
        <w:numPr>
          <w:ilvl w:val="0"/>
          <w:numId w:val="16"/>
        </w:numPr>
        <w:spacing w:line="360" w:lineRule="auto"/>
        <w:jc w:val="both"/>
        <w:rPr>
          <w:rFonts w:ascii="Arial" w:hAnsi="Arial" w:cs="Arial"/>
        </w:rPr>
      </w:pPr>
      <w:r w:rsidRPr="00EA7665">
        <w:rPr>
          <w:rFonts w:ascii="Arial" w:hAnsi="Arial" w:cs="Arial"/>
        </w:rPr>
        <w:t>To significantly reduce the number of unanticipated problems and therefore facilitate the re-design of the study to overcome those potential difficulties.</w:t>
      </w:r>
    </w:p>
    <w:p w14:paraId="1939C32D" w14:textId="4050A1A9" w:rsidR="001026F6" w:rsidRDefault="001026F6" w:rsidP="001026F6">
      <w:pPr>
        <w:spacing w:line="360" w:lineRule="auto"/>
        <w:jc w:val="both"/>
        <w:rPr>
          <w:rFonts w:ascii="Arial" w:hAnsi="Arial" w:cs="Arial"/>
        </w:rPr>
      </w:pPr>
      <w:r w:rsidRPr="00EA7665">
        <w:rPr>
          <w:rFonts w:ascii="Arial" w:hAnsi="Arial" w:cs="Arial"/>
        </w:rPr>
        <w:t xml:space="preserve">The pilot was conducted between August and October 2018, using a semi-structured instrument and </w:t>
      </w:r>
      <w:r w:rsidR="00D72E98">
        <w:rPr>
          <w:rFonts w:ascii="Arial" w:hAnsi="Arial" w:cs="Arial"/>
        </w:rPr>
        <w:t xml:space="preserve">an </w:t>
      </w:r>
      <w:r w:rsidRPr="00EA7665">
        <w:rPr>
          <w:rFonts w:ascii="Arial" w:hAnsi="Arial" w:cs="Arial"/>
        </w:rPr>
        <w:t xml:space="preserve">online questionnaire survey to provide a greater perspective to the various questions derived from the objectives. </w:t>
      </w:r>
      <w:r w:rsidR="009269AB">
        <w:rPr>
          <w:rFonts w:ascii="Arial" w:hAnsi="Arial" w:cs="Arial"/>
        </w:rPr>
        <w:t>A total of e</w:t>
      </w:r>
      <w:r>
        <w:rPr>
          <w:rFonts w:ascii="Arial" w:hAnsi="Arial" w:cs="Arial"/>
        </w:rPr>
        <w:t>ight (8) managers</w:t>
      </w:r>
      <w:r w:rsidR="009269AB">
        <w:rPr>
          <w:rFonts w:ascii="Arial" w:hAnsi="Arial" w:cs="Arial"/>
        </w:rPr>
        <w:t xml:space="preserve"> made up of four (4) from the UK and Nigeria were interviewed. </w:t>
      </w:r>
      <w:r w:rsidR="002A22C2">
        <w:rPr>
          <w:rFonts w:ascii="Arial" w:hAnsi="Arial" w:cs="Arial"/>
        </w:rPr>
        <w:t>While</w:t>
      </w:r>
      <w:r w:rsidR="009269AB">
        <w:rPr>
          <w:rFonts w:ascii="Arial" w:hAnsi="Arial" w:cs="Arial"/>
        </w:rPr>
        <w:t xml:space="preserve"> </w:t>
      </w:r>
      <w:r>
        <w:rPr>
          <w:rFonts w:ascii="Arial" w:hAnsi="Arial" w:cs="Arial"/>
        </w:rPr>
        <w:t xml:space="preserve">the questionnaire survey </w:t>
      </w:r>
      <w:r w:rsidR="005F4B8A">
        <w:rPr>
          <w:rFonts w:ascii="Arial" w:hAnsi="Arial" w:cs="Arial"/>
        </w:rPr>
        <w:t>w</w:t>
      </w:r>
      <w:r w:rsidR="00D72E98">
        <w:rPr>
          <w:rFonts w:ascii="Arial" w:hAnsi="Arial" w:cs="Arial"/>
        </w:rPr>
        <w:t>as</w:t>
      </w:r>
      <w:r>
        <w:rPr>
          <w:rFonts w:ascii="Arial" w:hAnsi="Arial" w:cs="Arial"/>
        </w:rPr>
        <w:t xml:space="preserve"> administered to thirteen </w:t>
      </w:r>
      <w:r w:rsidR="00A05D55">
        <w:rPr>
          <w:rFonts w:ascii="Arial" w:hAnsi="Arial" w:cs="Arial"/>
        </w:rPr>
        <w:t xml:space="preserve">(13) </w:t>
      </w:r>
      <w:r>
        <w:rPr>
          <w:rFonts w:ascii="Arial" w:hAnsi="Arial" w:cs="Arial"/>
        </w:rPr>
        <w:t xml:space="preserve">managers from the </w:t>
      </w:r>
      <w:r w:rsidR="009269AB">
        <w:rPr>
          <w:rFonts w:ascii="Arial" w:hAnsi="Arial" w:cs="Arial"/>
        </w:rPr>
        <w:t>UK</w:t>
      </w:r>
      <w:r w:rsidR="00A05D55">
        <w:rPr>
          <w:rFonts w:ascii="Arial" w:hAnsi="Arial" w:cs="Arial"/>
        </w:rPr>
        <w:t xml:space="preserve"> </w:t>
      </w:r>
      <w:r w:rsidR="009269AB">
        <w:rPr>
          <w:rFonts w:ascii="Arial" w:hAnsi="Arial" w:cs="Arial"/>
        </w:rPr>
        <w:t>(</w:t>
      </w:r>
      <w:r w:rsidR="00D86186">
        <w:rPr>
          <w:rFonts w:ascii="Arial" w:hAnsi="Arial" w:cs="Arial"/>
        </w:rPr>
        <w:t>10 respondents)</w:t>
      </w:r>
      <w:r>
        <w:rPr>
          <w:rFonts w:ascii="Arial" w:hAnsi="Arial" w:cs="Arial"/>
        </w:rPr>
        <w:t xml:space="preserve"> and South Africa</w:t>
      </w:r>
      <w:r w:rsidR="00D86186">
        <w:rPr>
          <w:rFonts w:ascii="Arial" w:hAnsi="Arial" w:cs="Arial"/>
        </w:rPr>
        <w:t xml:space="preserve"> </w:t>
      </w:r>
      <w:r w:rsidR="009269AB">
        <w:rPr>
          <w:rFonts w:ascii="Arial" w:hAnsi="Arial" w:cs="Arial"/>
        </w:rPr>
        <w:t>(3</w:t>
      </w:r>
      <w:r w:rsidR="00D86186">
        <w:rPr>
          <w:rFonts w:ascii="Arial" w:hAnsi="Arial" w:cs="Arial"/>
        </w:rPr>
        <w:t xml:space="preserve"> respondents</w:t>
      </w:r>
      <w:r w:rsidR="00C54943">
        <w:rPr>
          <w:rFonts w:ascii="Arial" w:hAnsi="Arial" w:cs="Arial"/>
        </w:rPr>
        <w:t>).</w:t>
      </w:r>
      <w:r>
        <w:rPr>
          <w:rFonts w:ascii="Arial" w:hAnsi="Arial" w:cs="Arial"/>
        </w:rPr>
        <w:t xml:space="preserve"> The semi</w:t>
      </w:r>
      <w:r w:rsidR="00D72E98">
        <w:rPr>
          <w:rFonts w:ascii="Arial" w:hAnsi="Arial" w:cs="Arial"/>
        </w:rPr>
        <w:t>-</w:t>
      </w:r>
      <w:r>
        <w:rPr>
          <w:rFonts w:ascii="Arial" w:hAnsi="Arial" w:cs="Arial"/>
        </w:rPr>
        <w:t>structured interviews and administration of the online questionnaire survey w</w:t>
      </w:r>
      <w:r w:rsidR="00D72E98">
        <w:rPr>
          <w:rFonts w:ascii="Arial" w:hAnsi="Arial" w:cs="Arial"/>
        </w:rPr>
        <w:t>ere</w:t>
      </w:r>
      <w:r>
        <w:rPr>
          <w:rFonts w:ascii="Arial" w:hAnsi="Arial" w:cs="Arial"/>
        </w:rPr>
        <w:t xml:space="preserve"> on the basis </w:t>
      </w:r>
      <w:r w:rsidR="00A05D55">
        <w:rPr>
          <w:rFonts w:ascii="Arial" w:hAnsi="Arial" w:cs="Arial"/>
        </w:rPr>
        <w:t xml:space="preserve">of </w:t>
      </w:r>
      <w:r w:rsidR="000C6B16">
        <w:rPr>
          <w:rFonts w:ascii="Arial" w:hAnsi="Arial" w:cs="Arial"/>
        </w:rPr>
        <w:t>convenien</w:t>
      </w:r>
      <w:r w:rsidR="00D72E98">
        <w:rPr>
          <w:rFonts w:ascii="Arial" w:hAnsi="Arial" w:cs="Arial"/>
        </w:rPr>
        <w:t>ce</w:t>
      </w:r>
      <w:r w:rsidR="000C6B16">
        <w:rPr>
          <w:rFonts w:ascii="Arial" w:hAnsi="Arial" w:cs="Arial"/>
        </w:rPr>
        <w:t>,</w:t>
      </w:r>
      <w:r>
        <w:rPr>
          <w:rFonts w:ascii="Arial" w:hAnsi="Arial" w:cs="Arial"/>
        </w:rPr>
        <w:t xml:space="preserve"> </w:t>
      </w:r>
      <w:r w:rsidR="009269AB">
        <w:rPr>
          <w:rFonts w:ascii="Arial" w:hAnsi="Arial" w:cs="Arial"/>
        </w:rPr>
        <w:t>volunteer,</w:t>
      </w:r>
      <w:r>
        <w:rPr>
          <w:rFonts w:ascii="Arial" w:hAnsi="Arial" w:cs="Arial"/>
        </w:rPr>
        <w:t xml:space="preserve"> and snowballing </w:t>
      </w:r>
      <w:r w:rsidR="004F64DD">
        <w:rPr>
          <w:rFonts w:ascii="Arial" w:hAnsi="Arial" w:cs="Arial"/>
        </w:rPr>
        <w:t>sampling.</w:t>
      </w:r>
      <w:r w:rsidR="00DF715E">
        <w:rPr>
          <w:rFonts w:ascii="Arial" w:hAnsi="Arial" w:cs="Arial"/>
        </w:rPr>
        <w:t xml:space="preserve"> The details of the pilot study </w:t>
      </w:r>
      <w:r w:rsidR="00A05D55">
        <w:rPr>
          <w:rFonts w:ascii="Arial" w:hAnsi="Arial" w:cs="Arial"/>
        </w:rPr>
        <w:t>are</w:t>
      </w:r>
      <w:r w:rsidR="00DF715E">
        <w:rPr>
          <w:rFonts w:ascii="Arial" w:hAnsi="Arial" w:cs="Arial"/>
        </w:rPr>
        <w:t xml:space="preserve"> contained </w:t>
      </w:r>
      <w:r w:rsidR="00D72E98">
        <w:rPr>
          <w:rFonts w:ascii="Arial" w:hAnsi="Arial" w:cs="Arial"/>
        </w:rPr>
        <w:t xml:space="preserve">in </w:t>
      </w:r>
      <w:r w:rsidR="00DF715E" w:rsidRPr="00A05D55">
        <w:rPr>
          <w:rFonts w:ascii="Arial" w:hAnsi="Arial" w:cs="Arial"/>
        </w:rPr>
        <w:t xml:space="preserve">table 4.5.2 </w:t>
      </w:r>
      <w:r w:rsidR="00D72E98" w:rsidRPr="00A05D55">
        <w:rPr>
          <w:rFonts w:ascii="Arial" w:hAnsi="Arial" w:cs="Arial"/>
        </w:rPr>
        <w:t>on</w:t>
      </w:r>
      <w:r w:rsidR="00D72E98">
        <w:rPr>
          <w:rFonts w:ascii="Arial" w:hAnsi="Arial" w:cs="Arial"/>
        </w:rPr>
        <w:t xml:space="preserve"> the</w:t>
      </w:r>
      <w:r w:rsidR="00DF715E">
        <w:rPr>
          <w:rFonts w:ascii="Arial" w:hAnsi="Arial" w:cs="Arial"/>
        </w:rPr>
        <w:t xml:space="preserve"> </w:t>
      </w:r>
      <w:r w:rsidR="0035271C">
        <w:rPr>
          <w:rFonts w:ascii="Arial" w:hAnsi="Arial" w:cs="Arial"/>
        </w:rPr>
        <w:t>summary of the research methodology.</w:t>
      </w:r>
    </w:p>
    <w:p w14:paraId="56B31FDA" w14:textId="35B14C58" w:rsidR="00CD6352" w:rsidRDefault="00CD6352" w:rsidP="00CD6352">
      <w:pPr>
        <w:spacing w:after="0" w:line="360" w:lineRule="auto"/>
        <w:jc w:val="both"/>
        <w:rPr>
          <w:rFonts w:ascii="Arial" w:hAnsi="Arial" w:cs="Arial"/>
        </w:rPr>
      </w:pPr>
      <w:r w:rsidRPr="00C54943">
        <w:rPr>
          <w:rFonts w:ascii="Arial" w:hAnsi="Arial" w:cs="Arial"/>
        </w:rPr>
        <w:t xml:space="preserve">The countries selected for the research were three with developed economies and three with </w:t>
      </w:r>
      <w:r w:rsidR="00A06BCF" w:rsidRPr="00C54943">
        <w:rPr>
          <w:rFonts w:ascii="Arial" w:hAnsi="Arial" w:cs="Arial"/>
        </w:rPr>
        <w:t>emerging economies</w:t>
      </w:r>
      <w:r w:rsidRPr="00C54943">
        <w:rPr>
          <w:rFonts w:ascii="Arial" w:hAnsi="Arial" w:cs="Arial"/>
        </w:rPr>
        <w:t>. However, the pilot study only covered two developing economies</w:t>
      </w:r>
      <w:r w:rsidR="001823C7" w:rsidRPr="00C54943">
        <w:rPr>
          <w:rFonts w:ascii="Arial" w:hAnsi="Arial" w:cs="Arial"/>
        </w:rPr>
        <w:t>: South Africa and Nigeria, and one developed economy,</w:t>
      </w:r>
      <w:r w:rsidRPr="00C54943">
        <w:rPr>
          <w:rFonts w:ascii="Arial" w:hAnsi="Arial" w:cs="Arial"/>
        </w:rPr>
        <w:t xml:space="preserve"> the United Kingdom. </w:t>
      </w:r>
    </w:p>
    <w:p w14:paraId="2854E57C" w14:textId="5BF485BC" w:rsidR="00C54943" w:rsidRDefault="00C54943" w:rsidP="00CD6352">
      <w:pPr>
        <w:spacing w:after="0" w:line="360" w:lineRule="auto"/>
        <w:jc w:val="both"/>
        <w:rPr>
          <w:rFonts w:ascii="Arial" w:hAnsi="Arial" w:cs="Arial"/>
        </w:rPr>
      </w:pPr>
    </w:p>
    <w:p w14:paraId="4EBB6645" w14:textId="4C516324" w:rsidR="00C54943" w:rsidRPr="00D95E8F" w:rsidRDefault="00C54943" w:rsidP="007F7024">
      <w:pPr>
        <w:pStyle w:val="Heading3"/>
        <w:rPr>
          <w:rStyle w:val="Heading3Char"/>
          <w:b/>
          <w:sz w:val="22"/>
          <w:szCs w:val="22"/>
        </w:rPr>
      </w:pPr>
      <w:bookmarkStart w:id="1018" w:name="_Toc78983818"/>
      <w:r w:rsidRPr="00D95E8F">
        <w:rPr>
          <w:rStyle w:val="Heading3Char"/>
          <w:b/>
          <w:sz w:val="22"/>
          <w:szCs w:val="22"/>
        </w:rPr>
        <w:t>Findings from the pilot interviews</w:t>
      </w:r>
      <w:bookmarkEnd w:id="1018"/>
      <w:r w:rsidRPr="00D95E8F">
        <w:rPr>
          <w:rStyle w:val="Heading3Char"/>
          <w:b/>
          <w:sz w:val="22"/>
          <w:szCs w:val="22"/>
        </w:rPr>
        <w:t xml:space="preserve"> </w:t>
      </w:r>
    </w:p>
    <w:p w14:paraId="0C148B43" w14:textId="0F4EFDEE" w:rsidR="002736B0" w:rsidRPr="00483132" w:rsidRDefault="002736B0" w:rsidP="00153BF9">
      <w:pPr>
        <w:spacing w:line="360" w:lineRule="auto"/>
        <w:jc w:val="both"/>
        <w:rPr>
          <w:rFonts w:ascii="Arial" w:hAnsi="Arial" w:cs="Arial"/>
        </w:rPr>
      </w:pPr>
      <w:r w:rsidRPr="00A33A0E">
        <w:rPr>
          <w:rFonts w:ascii="Arial" w:hAnsi="Arial" w:cs="Arial"/>
        </w:rPr>
        <w:t xml:space="preserve">The interview questions were developed based on the research questions and objectives to solicit the necessary data to explore the perception of managers in the real estate development sector, and </w:t>
      </w:r>
      <w:r w:rsidR="004C2254">
        <w:rPr>
          <w:rFonts w:ascii="Arial" w:hAnsi="Arial" w:cs="Arial"/>
        </w:rPr>
        <w:t xml:space="preserve">the </w:t>
      </w:r>
      <w:r w:rsidRPr="00A33A0E">
        <w:rPr>
          <w:rFonts w:ascii="Arial" w:hAnsi="Arial" w:cs="Arial"/>
        </w:rPr>
        <w:t xml:space="preserve">questions were based on the objectives. These questions </w:t>
      </w:r>
      <w:r w:rsidRPr="00483132">
        <w:rPr>
          <w:rFonts w:ascii="Arial" w:hAnsi="Arial" w:cs="Arial"/>
        </w:rPr>
        <w:t xml:space="preserve">included real estate finance options used and the opportunities and challenges encountered in the process of securing funding for real estate project financing. Furthermore, questions asked incorporated the criteria that financiers require, critical success factors, and the skills, knowledge, and competences needed to access funding for real estate project development. </w:t>
      </w:r>
      <w:r w:rsidR="004C2254">
        <w:rPr>
          <w:rFonts w:ascii="Arial" w:hAnsi="Arial" w:cs="Arial"/>
        </w:rPr>
        <w:t>Q</w:t>
      </w:r>
      <w:r w:rsidRPr="00483132">
        <w:rPr>
          <w:rFonts w:ascii="Arial" w:hAnsi="Arial" w:cs="Arial"/>
        </w:rPr>
        <w:t xml:space="preserve">uestions were </w:t>
      </w:r>
      <w:r w:rsidR="004C2254">
        <w:rPr>
          <w:rFonts w:ascii="Arial" w:hAnsi="Arial" w:cs="Arial"/>
        </w:rPr>
        <w:t xml:space="preserve">also </w:t>
      </w:r>
      <w:r w:rsidRPr="00483132">
        <w:rPr>
          <w:rFonts w:ascii="Arial" w:hAnsi="Arial" w:cs="Arial"/>
        </w:rPr>
        <w:t>asked on the education and training needs a</w:t>
      </w:r>
      <w:r w:rsidR="004C2254">
        <w:rPr>
          <w:rFonts w:ascii="Arial" w:hAnsi="Arial" w:cs="Arial"/>
        </w:rPr>
        <w:t>nd</w:t>
      </w:r>
      <w:r w:rsidRPr="00483132">
        <w:rPr>
          <w:rFonts w:ascii="Arial" w:hAnsi="Arial" w:cs="Arial"/>
        </w:rPr>
        <w:t xml:space="preserve"> the career path of the managers involved with securing real estate project finance.</w:t>
      </w:r>
    </w:p>
    <w:p w14:paraId="0082428D" w14:textId="6C53A07F" w:rsidR="00915870" w:rsidRPr="00483132" w:rsidRDefault="00915870" w:rsidP="007625E7">
      <w:pPr>
        <w:spacing w:line="360" w:lineRule="auto"/>
        <w:jc w:val="both"/>
        <w:rPr>
          <w:rFonts w:ascii="Arial" w:hAnsi="Arial" w:cs="Arial"/>
        </w:rPr>
      </w:pPr>
      <w:r w:rsidRPr="00483132">
        <w:rPr>
          <w:rFonts w:ascii="Arial" w:hAnsi="Arial" w:cs="Arial"/>
        </w:rPr>
        <w:t xml:space="preserve">The findings suggest that managers in Nigeria </w:t>
      </w:r>
      <w:r w:rsidR="00565013">
        <w:rPr>
          <w:rFonts w:ascii="Arial" w:hAnsi="Arial" w:cs="Arial"/>
        </w:rPr>
        <w:t>cannot get development funds from banks. I</w:t>
      </w:r>
      <w:r w:rsidRPr="00483132">
        <w:rPr>
          <w:rFonts w:ascii="Arial" w:hAnsi="Arial" w:cs="Arial"/>
        </w:rPr>
        <w:t>t is also difficult to access loans from the Federal Mortgage bank as your application can stay for as long as six years without a positive response.</w:t>
      </w:r>
      <w:r w:rsidR="00F66B99" w:rsidRPr="00483132">
        <w:rPr>
          <w:rFonts w:ascii="Arial" w:hAnsi="Arial" w:cs="Arial"/>
        </w:rPr>
        <w:t xml:space="preserve"> The pilot interview revealed that managers in Nigeria depend predominantly on off-takers to secure finance for real estate project </w:t>
      </w:r>
      <w:r w:rsidR="00E710BF" w:rsidRPr="00483132">
        <w:rPr>
          <w:rFonts w:ascii="Arial" w:hAnsi="Arial" w:cs="Arial"/>
        </w:rPr>
        <w:t>development.</w:t>
      </w:r>
      <w:r w:rsidR="0042089A" w:rsidRPr="00483132">
        <w:rPr>
          <w:rFonts w:ascii="Arial" w:hAnsi="Arial" w:cs="Arial"/>
        </w:rPr>
        <w:t xml:space="preserve"> </w:t>
      </w:r>
      <w:r w:rsidR="00E710BF" w:rsidRPr="00483132">
        <w:rPr>
          <w:rFonts w:ascii="Arial" w:hAnsi="Arial" w:cs="Arial"/>
        </w:rPr>
        <w:t>While</w:t>
      </w:r>
      <w:r w:rsidR="0042089A" w:rsidRPr="00483132">
        <w:rPr>
          <w:rFonts w:ascii="Arial" w:hAnsi="Arial" w:cs="Arial"/>
        </w:rPr>
        <w:t xml:space="preserve"> the criteria these financiers/ off</w:t>
      </w:r>
      <w:r w:rsidR="00D72E98">
        <w:rPr>
          <w:rFonts w:ascii="Arial" w:hAnsi="Arial" w:cs="Arial"/>
        </w:rPr>
        <w:t>-</w:t>
      </w:r>
      <w:r w:rsidR="0042089A" w:rsidRPr="00483132">
        <w:rPr>
          <w:rFonts w:ascii="Arial" w:hAnsi="Arial" w:cs="Arial"/>
        </w:rPr>
        <w:t>takers in Nigeria look</w:t>
      </w:r>
      <w:r w:rsidR="004C2254">
        <w:rPr>
          <w:rFonts w:ascii="Arial" w:hAnsi="Arial" w:cs="Arial"/>
        </w:rPr>
        <w:t xml:space="preserve"> </w:t>
      </w:r>
      <w:r w:rsidR="0042089A" w:rsidRPr="00483132">
        <w:rPr>
          <w:rFonts w:ascii="Arial" w:hAnsi="Arial" w:cs="Arial"/>
        </w:rPr>
        <w:t xml:space="preserve">out </w:t>
      </w:r>
      <w:r w:rsidR="00D72E98">
        <w:rPr>
          <w:rFonts w:ascii="Arial" w:hAnsi="Arial" w:cs="Arial"/>
        </w:rPr>
        <w:t xml:space="preserve">for </w:t>
      </w:r>
      <w:r w:rsidR="00565013">
        <w:rPr>
          <w:rFonts w:ascii="Arial" w:hAnsi="Arial" w:cs="Arial"/>
        </w:rPr>
        <w:t xml:space="preserve">are the </w:t>
      </w:r>
      <w:r w:rsidR="004C2254">
        <w:rPr>
          <w:rFonts w:ascii="Arial" w:hAnsi="Arial" w:cs="Arial"/>
        </w:rPr>
        <w:t>developer's track records</w:t>
      </w:r>
      <w:r w:rsidR="00565013">
        <w:rPr>
          <w:rFonts w:ascii="Arial" w:hAnsi="Arial" w:cs="Arial"/>
        </w:rPr>
        <w:t xml:space="preserve"> and the property's location. At the same time,</w:t>
      </w:r>
      <w:r w:rsidR="00756A66" w:rsidRPr="00483132">
        <w:rPr>
          <w:rFonts w:ascii="Arial" w:hAnsi="Arial" w:cs="Arial"/>
        </w:rPr>
        <w:t xml:space="preserve"> </w:t>
      </w:r>
      <w:r w:rsidR="00565013">
        <w:rPr>
          <w:rFonts w:ascii="Arial" w:hAnsi="Arial" w:cs="Arial"/>
        </w:rPr>
        <w:t>managers consider land and land verifiable document</w:t>
      </w:r>
      <w:r w:rsidR="004C2254">
        <w:rPr>
          <w:rFonts w:ascii="Arial" w:hAnsi="Arial" w:cs="Arial"/>
        </w:rPr>
        <w:t>s</w:t>
      </w:r>
      <w:r w:rsidR="00756A66" w:rsidRPr="00483132">
        <w:rPr>
          <w:rFonts w:ascii="Arial" w:hAnsi="Arial" w:cs="Arial"/>
        </w:rPr>
        <w:t xml:space="preserve"> in Nigeria as critical success factors to securing developmental </w:t>
      </w:r>
      <w:r w:rsidR="00E710BF" w:rsidRPr="00483132">
        <w:rPr>
          <w:rFonts w:ascii="Arial" w:hAnsi="Arial" w:cs="Arial"/>
        </w:rPr>
        <w:t>finance.</w:t>
      </w:r>
      <w:r w:rsidR="00A473CE" w:rsidRPr="00483132">
        <w:rPr>
          <w:rFonts w:ascii="Arial" w:hAnsi="Arial" w:cs="Arial"/>
        </w:rPr>
        <w:t xml:space="preserve"> The interview respondents from Nigeria said their major challenge</w:t>
      </w:r>
      <w:r w:rsidR="00B443B5" w:rsidRPr="00483132">
        <w:rPr>
          <w:rFonts w:ascii="Arial" w:hAnsi="Arial" w:cs="Arial"/>
        </w:rPr>
        <w:t xml:space="preserve"> is</w:t>
      </w:r>
      <w:r w:rsidR="00A473CE" w:rsidRPr="00483132">
        <w:rPr>
          <w:rFonts w:ascii="Arial" w:hAnsi="Arial" w:cs="Arial"/>
        </w:rPr>
        <w:t xml:space="preserve"> </w:t>
      </w:r>
      <w:r w:rsidR="00D72E98">
        <w:rPr>
          <w:rFonts w:ascii="Arial" w:hAnsi="Arial" w:cs="Arial"/>
        </w:rPr>
        <w:t xml:space="preserve">the </w:t>
      </w:r>
      <w:r w:rsidR="00A473CE" w:rsidRPr="00483132">
        <w:rPr>
          <w:rFonts w:ascii="Arial" w:hAnsi="Arial" w:cs="Arial"/>
        </w:rPr>
        <w:t>high cost of land acquisition</w:t>
      </w:r>
      <w:r w:rsidR="004C2254">
        <w:rPr>
          <w:rFonts w:ascii="Arial" w:hAnsi="Arial" w:cs="Arial"/>
        </w:rPr>
        <w:t>,</w:t>
      </w:r>
      <w:r w:rsidR="00A473CE" w:rsidRPr="00483132">
        <w:rPr>
          <w:rFonts w:ascii="Arial" w:hAnsi="Arial" w:cs="Arial"/>
        </w:rPr>
        <w:t xml:space="preserve"> while they claim there are no opportunities available to them that facilitate access to finance for real estate project </w:t>
      </w:r>
      <w:r w:rsidR="009B7B17" w:rsidRPr="00483132">
        <w:rPr>
          <w:rFonts w:ascii="Arial" w:hAnsi="Arial" w:cs="Arial"/>
        </w:rPr>
        <w:t>development.</w:t>
      </w:r>
      <w:r w:rsidR="00A473CE" w:rsidRPr="00483132">
        <w:rPr>
          <w:rFonts w:ascii="Arial" w:hAnsi="Arial" w:cs="Arial"/>
        </w:rPr>
        <w:t xml:space="preserve"> </w:t>
      </w:r>
    </w:p>
    <w:p w14:paraId="69553DB5" w14:textId="5F41124F" w:rsidR="002736B0" w:rsidRPr="007625E7" w:rsidRDefault="001E47D0" w:rsidP="001533FE">
      <w:pPr>
        <w:spacing w:line="360" w:lineRule="auto"/>
        <w:rPr>
          <w:rFonts w:ascii="Arial" w:hAnsi="Arial" w:cs="Arial"/>
        </w:rPr>
      </w:pPr>
      <w:r w:rsidRPr="007625E7">
        <w:rPr>
          <w:rFonts w:ascii="Arial" w:hAnsi="Arial" w:cs="Arial"/>
        </w:rPr>
        <w:t xml:space="preserve">Conversely, the pilot interview revealed that managers in the </w:t>
      </w:r>
      <w:r w:rsidR="0031517A" w:rsidRPr="007625E7">
        <w:rPr>
          <w:rFonts w:ascii="Arial" w:hAnsi="Arial" w:cs="Arial"/>
        </w:rPr>
        <w:t xml:space="preserve">United Kingdom have access to pension funds and bank debts while the fundamental criteria required by financiers is track record. </w:t>
      </w:r>
      <w:r w:rsidR="00565013">
        <w:rPr>
          <w:rFonts w:ascii="Arial" w:hAnsi="Arial" w:cs="Arial"/>
        </w:rPr>
        <w:t>The</w:t>
      </w:r>
      <w:r w:rsidR="00896461" w:rsidRPr="007625E7">
        <w:rPr>
          <w:rFonts w:ascii="Arial" w:hAnsi="Arial" w:cs="Arial"/>
        </w:rPr>
        <w:t xml:space="preserve"> critical success factors for securing </w:t>
      </w:r>
      <w:r w:rsidR="00565013">
        <w:rPr>
          <w:rFonts w:ascii="Arial" w:hAnsi="Arial" w:cs="Arial"/>
        </w:rPr>
        <w:t>real estate project development finance are</w:t>
      </w:r>
      <w:r w:rsidR="00896461" w:rsidRPr="007625E7">
        <w:rPr>
          <w:rFonts w:ascii="Arial" w:hAnsi="Arial" w:cs="Arial"/>
        </w:rPr>
        <w:t xml:space="preserve"> </w:t>
      </w:r>
      <w:r w:rsidR="00D72E98">
        <w:rPr>
          <w:rFonts w:ascii="Arial" w:hAnsi="Arial" w:cs="Arial"/>
        </w:rPr>
        <w:t xml:space="preserve">the </w:t>
      </w:r>
      <w:r w:rsidR="00896461" w:rsidRPr="007625E7">
        <w:rPr>
          <w:rFonts w:ascii="Arial" w:hAnsi="Arial" w:cs="Arial"/>
        </w:rPr>
        <w:t xml:space="preserve">track record and the market. </w:t>
      </w:r>
      <w:r w:rsidR="00565013">
        <w:rPr>
          <w:rFonts w:ascii="Arial" w:hAnsi="Arial" w:cs="Arial"/>
        </w:rPr>
        <w:t xml:space="preserve"> Some</w:t>
      </w:r>
      <w:r w:rsidR="00896461" w:rsidRPr="007625E7">
        <w:rPr>
          <w:rFonts w:ascii="Arial" w:hAnsi="Arial" w:cs="Arial"/>
        </w:rPr>
        <w:t xml:space="preserve"> of the challenges associated with securing finance by managers in the UK include getting quick </w:t>
      </w:r>
      <w:r w:rsidR="001533FE" w:rsidRPr="007625E7">
        <w:rPr>
          <w:rFonts w:ascii="Arial" w:hAnsi="Arial" w:cs="Arial"/>
        </w:rPr>
        <w:t>signoffs</w:t>
      </w:r>
      <w:r w:rsidR="00896461" w:rsidRPr="007625E7">
        <w:rPr>
          <w:rFonts w:ascii="Arial" w:hAnsi="Arial" w:cs="Arial"/>
        </w:rPr>
        <w:t xml:space="preserve"> by professionals and actual challenge</w:t>
      </w:r>
      <w:r w:rsidR="004C2254">
        <w:rPr>
          <w:rFonts w:ascii="Arial" w:hAnsi="Arial" w:cs="Arial"/>
        </w:rPr>
        <w:t>s</w:t>
      </w:r>
      <w:r w:rsidR="00896461" w:rsidRPr="007625E7">
        <w:rPr>
          <w:rFonts w:ascii="Arial" w:hAnsi="Arial" w:cs="Arial"/>
        </w:rPr>
        <w:t xml:space="preserve"> with access to finance. However, some of the opportunities available to UK managers in securing finance for real estate project development include government support to first</w:t>
      </w:r>
      <w:r w:rsidR="00D72E98">
        <w:rPr>
          <w:rFonts w:ascii="Arial" w:hAnsi="Arial" w:cs="Arial"/>
        </w:rPr>
        <w:t>-</w:t>
      </w:r>
      <w:r w:rsidR="00896461" w:rsidRPr="007625E7">
        <w:rPr>
          <w:rFonts w:ascii="Arial" w:hAnsi="Arial" w:cs="Arial"/>
        </w:rPr>
        <w:t xml:space="preserve">time </w:t>
      </w:r>
      <w:r w:rsidR="001533FE" w:rsidRPr="007625E7">
        <w:rPr>
          <w:rFonts w:ascii="Arial" w:hAnsi="Arial" w:cs="Arial"/>
        </w:rPr>
        <w:t>homeowners</w:t>
      </w:r>
      <w:r w:rsidR="00896461" w:rsidRPr="007625E7">
        <w:rPr>
          <w:rFonts w:ascii="Arial" w:hAnsi="Arial" w:cs="Arial"/>
        </w:rPr>
        <w:t xml:space="preserve"> and big portfolio investment in the real estate sector in </w:t>
      </w:r>
      <w:r w:rsidR="001533FE" w:rsidRPr="007625E7">
        <w:rPr>
          <w:rFonts w:ascii="Arial" w:hAnsi="Arial" w:cs="Arial"/>
        </w:rPr>
        <w:t>Europe.</w:t>
      </w:r>
    </w:p>
    <w:p w14:paraId="4BE85DD1" w14:textId="5E68495F" w:rsidR="002C234B" w:rsidRPr="007625E7" w:rsidRDefault="002C234B" w:rsidP="001533FE">
      <w:pPr>
        <w:spacing w:line="360" w:lineRule="auto"/>
        <w:rPr>
          <w:rFonts w:ascii="Arial" w:hAnsi="Arial" w:cs="Arial"/>
        </w:rPr>
      </w:pPr>
      <w:r w:rsidRPr="007625E7">
        <w:rPr>
          <w:rFonts w:ascii="Arial" w:hAnsi="Arial" w:cs="Arial"/>
        </w:rPr>
        <w:t xml:space="preserve">The findings for the key </w:t>
      </w:r>
      <w:r w:rsidR="00BE3942" w:rsidRPr="007625E7">
        <w:rPr>
          <w:rFonts w:ascii="Arial" w:hAnsi="Arial" w:cs="Arial"/>
        </w:rPr>
        <w:t>decision-making</w:t>
      </w:r>
      <w:r w:rsidRPr="007625E7">
        <w:rPr>
          <w:rFonts w:ascii="Arial" w:hAnsi="Arial" w:cs="Arial"/>
        </w:rPr>
        <w:t xml:space="preserve"> process for both the United Kingdom and Nigeria based on the semi-structured pilot interviews showed no fixed </w:t>
      </w:r>
      <w:r w:rsidR="008F5AC8" w:rsidRPr="007625E7">
        <w:rPr>
          <w:rFonts w:ascii="Arial" w:hAnsi="Arial" w:cs="Arial"/>
        </w:rPr>
        <w:t>decision-making</w:t>
      </w:r>
      <w:r w:rsidRPr="007625E7">
        <w:rPr>
          <w:rFonts w:ascii="Arial" w:hAnsi="Arial" w:cs="Arial"/>
        </w:rPr>
        <w:t xml:space="preserve"> processes for securing finance for real estate project development. </w:t>
      </w:r>
      <w:r w:rsidR="008F54F6" w:rsidRPr="007625E7">
        <w:rPr>
          <w:rFonts w:ascii="Arial" w:hAnsi="Arial" w:cs="Arial"/>
        </w:rPr>
        <w:t xml:space="preserve"> However, there are elements of commercial and technical feasibility in the chain of processes.</w:t>
      </w:r>
    </w:p>
    <w:p w14:paraId="1A4F3292" w14:textId="64DF6227" w:rsidR="00260AF8" w:rsidRPr="007625E7" w:rsidRDefault="00CC5A21" w:rsidP="007625E7">
      <w:pPr>
        <w:spacing w:line="360" w:lineRule="auto"/>
        <w:rPr>
          <w:rFonts w:cs="Arial"/>
        </w:rPr>
      </w:pPr>
      <w:r w:rsidRPr="007625E7">
        <w:rPr>
          <w:rFonts w:ascii="Arial" w:hAnsi="Arial" w:cs="Arial"/>
        </w:rPr>
        <w:t xml:space="preserve">The pilot interviews showed that managers in both the UK and Nigeria have varied career </w:t>
      </w:r>
      <w:r w:rsidR="008F5AC8" w:rsidRPr="007625E7">
        <w:rPr>
          <w:rFonts w:ascii="Arial" w:hAnsi="Arial" w:cs="Arial"/>
        </w:rPr>
        <w:t>path</w:t>
      </w:r>
      <w:r w:rsidR="004C2254">
        <w:rPr>
          <w:rFonts w:ascii="Arial" w:hAnsi="Arial" w:cs="Arial"/>
        </w:rPr>
        <w:t>s</w:t>
      </w:r>
      <w:r w:rsidR="008F5AC8" w:rsidRPr="007625E7">
        <w:rPr>
          <w:rFonts w:ascii="Arial" w:hAnsi="Arial" w:cs="Arial"/>
        </w:rPr>
        <w:t>,</w:t>
      </w:r>
      <w:r w:rsidRPr="007625E7">
        <w:rPr>
          <w:rFonts w:ascii="Arial" w:hAnsi="Arial" w:cs="Arial"/>
        </w:rPr>
        <w:t xml:space="preserve"> training and education associated with securing finance for real estate project </w:t>
      </w:r>
      <w:r w:rsidRPr="007625E7">
        <w:rPr>
          <w:rFonts w:ascii="Arial" w:hAnsi="Arial" w:cs="Arial"/>
        </w:rPr>
        <w:lastRenderedPageBreak/>
        <w:t>development.</w:t>
      </w:r>
      <w:r w:rsidR="00565013">
        <w:rPr>
          <w:rFonts w:ascii="Arial" w:hAnsi="Arial" w:cs="Arial"/>
        </w:rPr>
        <w:t xml:space="preserve"> </w:t>
      </w:r>
      <w:r w:rsidR="00260AF8" w:rsidRPr="007625E7">
        <w:rPr>
          <w:rFonts w:ascii="Arial" w:hAnsi="Arial" w:cs="Arial"/>
        </w:rPr>
        <w:t>The findings from the pilot semi-structured interviews showed that there was no need to make any significant changes to the questions as they were deemed robust enough to support answering the research questions.</w:t>
      </w:r>
      <w:r w:rsidR="004C2254">
        <w:rPr>
          <w:rFonts w:ascii="Arial" w:hAnsi="Arial" w:cs="Arial"/>
        </w:rPr>
        <w:t xml:space="preserve"> </w:t>
      </w:r>
    </w:p>
    <w:p w14:paraId="471ADAAD" w14:textId="77777777" w:rsidR="007F7024" w:rsidRPr="007625E7" w:rsidRDefault="007F7024" w:rsidP="007625E7">
      <w:pPr>
        <w:rPr>
          <w:rFonts w:cs="Arial"/>
        </w:rPr>
      </w:pPr>
    </w:p>
    <w:p w14:paraId="09DBF827" w14:textId="5EFB5226" w:rsidR="007F7024" w:rsidRPr="007625E7" w:rsidRDefault="007F7024" w:rsidP="007F7024">
      <w:pPr>
        <w:pStyle w:val="Heading3"/>
        <w:numPr>
          <w:ilvl w:val="2"/>
          <w:numId w:val="299"/>
        </w:numPr>
        <w:rPr>
          <w:rStyle w:val="Heading3Char"/>
          <w:rFonts w:cs="Arial"/>
          <w:b/>
          <w:bCs/>
          <w:sz w:val="22"/>
          <w:szCs w:val="22"/>
        </w:rPr>
      </w:pPr>
      <w:bookmarkStart w:id="1019" w:name="_Toc78983819"/>
      <w:r w:rsidRPr="007625E7">
        <w:rPr>
          <w:rStyle w:val="Heading3Char"/>
          <w:rFonts w:cs="Arial"/>
          <w:b/>
          <w:bCs/>
          <w:sz w:val="22"/>
          <w:szCs w:val="22"/>
        </w:rPr>
        <w:t xml:space="preserve">Findings from the </w:t>
      </w:r>
      <w:r w:rsidR="00FC7B4A">
        <w:rPr>
          <w:rStyle w:val="Heading3Char"/>
          <w:rFonts w:cs="Arial"/>
          <w:b/>
          <w:bCs/>
          <w:sz w:val="22"/>
          <w:szCs w:val="22"/>
        </w:rPr>
        <w:t xml:space="preserve">pilot </w:t>
      </w:r>
      <w:r w:rsidRPr="007625E7">
        <w:rPr>
          <w:rStyle w:val="Heading3Char"/>
          <w:rFonts w:cs="Arial"/>
          <w:b/>
          <w:bCs/>
          <w:sz w:val="22"/>
          <w:szCs w:val="22"/>
        </w:rPr>
        <w:t>online survey questionnaires</w:t>
      </w:r>
      <w:bookmarkEnd w:id="1019"/>
    </w:p>
    <w:p w14:paraId="37D7FF71" w14:textId="6DCA9A0B" w:rsidR="00153BF9" w:rsidRPr="00656F8D" w:rsidRDefault="00153BF9" w:rsidP="00153BF9">
      <w:pPr>
        <w:spacing w:after="0" w:line="360" w:lineRule="auto"/>
        <w:jc w:val="both"/>
        <w:rPr>
          <w:rFonts w:ascii="Arial" w:hAnsi="Arial" w:cs="Arial"/>
        </w:rPr>
      </w:pPr>
      <w:r w:rsidRPr="00656F8D">
        <w:rPr>
          <w:rFonts w:ascii="Arial" w:hAnsi="Arial" w:cs="Arial"/>
        </w:rPr>
        <w:t>The respondents for the questionnaire and interviews were middle-level managers who possessed higher degrees and above and had worked in the real estate sector for 10years.</w:t>
      </w:r>
      <w:r w:rsidR="00B632B5" w:rsidRPr="00656F8D">
        <w:rPr>
          <w:rFonts w:ascii="Arial" w:hAnsi="Arial" w:cs="Arial"/>
        </w:rPr>
        <w:t xml:space="preserve"> </w:t>
      </w:r>
      <w:r w:rsidR="007A285F" w:rsidRPr="00656F8D">
        <w:rPr>
          <w:rFonts w:ascii="Arial" w:hAnsi="Arial" w:cs="Arial"/>
        </w:rPr>
        <w:t>About</w:t>
      </w:r>
      <w:r w:rsidR="00B632B5" w:rsidRPr="00656F8D">
        <w:rPr>
          <w:rFonts w:ascii="Arial" w:hAnsi="Arial" w:cs="Arial"/>
        </w:rPr>
        <w:t xml:space="preserve"> </w:t>
      </w:r>
      <w:r w:rsidR="00DD65B5" w:rsidRPr="00656F8D">
        <w:rPr>
          <w:rFonts w:ascii="Arial" w:hAnsi="Arial" w:cs="Arial"/>
        </w:rPr>
        <w:t>75%</w:t>
      </w:r>
      <w:r w:rsidR="00B632B5" w:rsidRPr="00656F8D">
        <w:rPr>
          <w:rFonts w:ascii="Arial" w:hAnsi="Arial" w:cs="Arial"/>
        </w:rPr>
        <w:t xml:space="preserve"> of the questionnaire respondents were from </w:t>
      </w:r>
      <w:r w:rsidR="00091D89" w:rsidRPr="00656F8D">
        <w:rPr>
          <w:rFonts w:ascii="Arial" w:hAnsi="Arial" w:cs="Arial"/>
        </w:rPr>
        <w:t xml:space="preserve">the </w:t>
      </w:r>
      <w:r w:rsidR="00B632B5" w:rsidRPr="00656F8D">
        <w:rPr>
          <w:rFonts w:ascii="Arial" w:hAnsi="Arial" w:cs="Arial"/>
        </w:rPr>
        <w:t>United Kingdom</w:t>
      </w:r>
      <w:r w:rsidR="007A285F" w:rsidRPr="00656F8D">
        <w:rPr>
          <w:rFonts w:ascii="Arial" w:hAnsi="Arial" w:cs="Arial"/>
        </w:rPr>
        <w:t>,</w:t>
      </w:r>
      <w:r w:rsidR="00B632B5" w:rsidRPr="00656F8D">
        <w:rPr>
          <w:rFonts w:ascii="Arial" w:hAnsi="Arial" w:cs="Arial"/>
        </w:rPr>
        <w:t xml:space="preserve"> while </w:t>
      </w:r>
      <w:r w:rsidR="00DD65B5" w:rsidRPr="00656F8D">
        <w:rPr>
          <w:rFonts w:ascii="Arial" w:hAnsi="Arial" w:cs="Arial"/>
        </w:rPr>
        <w:t>twenty</w:t>
      </w:r>
      <w:r w:rsidR="00091D89" w:rsidRPr="00656F8D">
        <w:rPr>
          <w:rFonts w:ascii="Arial" w:hAnsi="Arial" w:cs="Arial"/>
        </w:rPr>
        <w:t>-</w:t>
      </w:r>
      <w:r w:rsidR="00DD65B5" w:rsidRPr="00656F8D">
        <w:rPr>
          <w:rFonts w:ascii="Arial" w:hAnsi="Arial" w:cs="Arial"/>
        </w:rPr>
        <w:t>five per</w:t>
      </w:r>
      <w:r w:rsidR="00091D89" w:rsidRPr="00656F8D">
        <w:rPr>
          <w:rFonts w:ascii="Arial" w:hAnsi="Arial" w:cs="Arial"/>
        </w:rPr>
        <w:t xml:space="preserve"> </w:t>
      </w:r>
      <w:r w:rsidR="00DD65B5" w:rsidRPr="00656F8D">
        <w:rPr>
          <w:rFonts w:ascii="Arial" w:hAnsi="Arial" w:cs="Arial"/>
        </w:rPr>
        <w:t>cent</w:t>
      </w:r>
      <w:r w:rsidR="00B632B5" w:rsidRPr="00656F8D">
        <w:rPr>
          <w:rFonts w:ascii="Arial" w:hAnsi="Arial" w:cs="Arial"/>
        </w:rPr>
        <w:t xml:space="preserve"> were from South Africa.</w:t>
      </w:r>
    </w:p>
    <w:p w14:paraId="1C7BBCAF" w14:textId="0A76BE21" w:rsidR="00D915D8" w:rsidRDefault="00D915D8" w:rsidP="00153BF9">
      <w:pPr>
        <w:spacing w:after="0" w:line="360" w:lineRule="auto"/>
        <w:jc w:val="both"/>
        <w:rPr>
          <w:rFonts w:ascii="Arial" w:hAnsi="Arial" w:cs="Arial"/>
        </w:rPr>
      </w:pPr>
      <w:r w:rsidRPr="00656F8D">
        <w:rPr>
          <w:rFonts w:ascii="Arial" w:hAnsi="Arial" w:cs="Arial"/>
        </w:rPr>
        <w:t>Fifty per</w:t>
      </w:r>
      <w:r w:rsidR="00091D89" w:rsidRPr="00656F8D">
        <w:rPr>
          <w:rFonts w:ascii="Arial" w:hAnsi="Arial" w:cs="Arial"/>
        </w:rPr>
        <w:t xml:space="preserve"> </w:t>
      </w:r>
      <w:r w:rsidRPr="00656F8D">
        <w:rPr>
          <w:rFonts w:ascii="Arial" w:hAnsi="Arial" w:cs="Arial"/>
        </w:rPr>
        <w:t>cent of the UK respondents are involved in residential real estate development</w:t>
      </w:r>
      <w:r w:rsidR="007A285F" w:rsidRPr="00656F8D">
        <w:rPr>
          <w:rFonts w:ascii="Arial" w:hAnsi="Arial" w:cs="Arial"/>
        </w:rPr>
        <w:t>,</w:t>
      </w:r>
      <w:r w:rsidRPr="00656F8D">
        <w:rPr>
          <w:rFonts w:ascii="Arial" w:hAnsi="Arial" w:cs="Arial"/>
        </w:rPr>
        <w:t xml:space="preserve"> while 25% are </w:t>
      </w:r>
      <w:r w:rsidR="007A285F" w:rsidRPr="00656F8D">
        <w:rPr>
          <w:rFonts w:ascii="Arial" w:hAnsi="Arial" w:cs="Arial"/>
        </w:rPr>
        <w:t>engag</w:t>
      </w:r>
      <w:r w:rsidRPr="00656F8D">
        <w:rPr>
          <w:rFonts w:ascii="Arial" w:hAnsi="Arial" w:cs="Arial"/>
        </w:rPr>
        <w:t>ed in mixed</w:t>
      </w:r>
      <w:r w:rsidR="00091D89" w:rsidRPr="00656F8D">
        <w:rPr>
          <w:rFonts w:ascii="Arial" w:hAnsi="Arial" w:cs="Arial"/>
        </w:rPr>
        <w:t>-</w:t>
      </w:r>
      <w:r w:rsidRPr="00656F8D">
        <w:rPr>
          <w:rFonts w:ascii="Arial" w:hAnsi="Arial" w:cs="Arial"/>
        </w:rPr>
        <w:t>use development.</w:t>
      </w:r>
      <w:r w:rsidR="00A43986" w:rsidRPr="00656F8D">
        <w:rPr>
          <w:rFonts w:ascii="Arial" w:hAnsi="Arial" w:cs="Arial"/>
        </w:rPr>
        <w:t xml:space="preserve"> </w:t>
      </w:r>
      <w:r w:rsidR="007A285F" w:rsidRPr="00656F8D">
        <w:rPr>
          <w:rFonts w:ascii="Arial" w:hAnsi="Arial" w:cs="Arial"/>
        </w:rPr>
        <w:t xml:space="preserve">About 70% </w:t>
      </w:r>
      <w:r w:rsidR="00A43986" w:rsidRPr="00656F8D">
        <w:rPr>
          <w:rFonts w:ascii="Arial" w:hAnsi="Arial" w:cs="Arial"/>
        </w:rPr>
        <w:t>of the respondents are middle</w:t>
      </w:r>
      <w:r w:rsidR="00091D89" w:rsidRPr="00656F8D">
        <w:rPr>
          <w:rFonts w:ascii="Arial" w:hAnsi="Arial" w:cs="Arial"/>
        </w:rPr>
        <w:t>-</w:t>
      </w:r>
      <w:r w:rsidR="00A43986" w:rsidRPr="00656F8D">
        <w:rPr>
          <w:rFonts w:ascii="Arial" w:hAnsi="Arial" w:cs="Arial"/>
        </w:rPr>
        <w:t>level managers</w:t>
      </w:r>
      <w:r w:rsidR="007A285F" w:rsidRPr="00656F8D">
        <w:rPr>
          <w:rFonts w:ascii="Arial" w:hAnsi="Arial" w:cs="Arial"/>
        </w:rPr>
        <w:t>,</w:t>
      </w:r>
      <w:r w:rsidR="00A43986" w:rsidRPr="00656F8D">
        <w:rPr>
          <w:rFonts w:ascii="Arial" w:hAnsi="Arial" w:cs="Arial"/>
        </w:rPr>
        <w:t xml:space="preserve"> while 30% are </w:t>
      </w:r>
      <w:r w:rsidR="006C5B50" w:rsidRPr="00656F8D">
        <w:rPr>
          <w:rFonts w:ascii="Arial" w:hAnsi="Arial" w:cs="Arial"/>
        </w:rPr>
        <w:t>upper-level</w:t>
      </w:r>
      <w:r w:rsidR="00A43986" w:rsidRPr="00656F8D">
        <w:rPr>
          <w:rFonts w:ascii="Arial" w:hAnsi="Arial" w:cs="Arial"/>
        </w:rPr>
        <w:t xml:space="preserve"> managers.</w:t>
      </w:r>
      <w:r w:rsidR="006C5B50" w:rsidRPr="00656F8D">
        <w:rPr>
          <w:rFonts w:ascii="Arial" w:hAnsi="Arial" w:cs="Arial"/>
        </w:rPr>
        <w:t xml:space="preserve"> The pilot questionnaire survey answers </w:t>
      </w:r>
      <w:r w:rsidR="00CE1C81" w:rsidRPr="00656F8D">
        <w:rPr>
          <w:rFonts w:ascii="Arial" w:hAnsi="Arial" w:cs="Arial"/>
        </w:rPr>
        <w:t>show</w:t>
      </w:r>
      <w:r w:rsidR="007A285F">
        <w:rPr>
          <w:rFonts w:ascii="Arial" w:hAnsi="Arial" w:cs="Arial"/>
        </w:rPr>
        <w:t xml:space="preserve"> that 67% of the respondents use pension funds greatly</w:t>
      </w:r>
      <w:r w:rsidR="00CE1C81" w:rsidRPr="00483132">
        <w:rPr>
          <w:rFonts w:ascii="Arial" w:hAnsi="Arial" w:cs="Arial"/>
        </w:rPr>
        <w:t>. This is closely</w:t>
      </w:r>
      <w:r w:rsidR="007A285F">
        <w:rPr>
          <w:rFonts w:ascii="Arial" w:hAnsi="Arial" w:cs="Arial"/>
        </w:rPr>
        <w:t xml:space="preserve"> followed</w:t>
      </w:r>
      <w:r w:rsidR="00CE1C81" w:rsidRPr="00483132">
        <w:rPr>
          <w:rFonts w:ascii="Arial" w:hAnsi="Arial" w:cs="Arial"/>
        </w:rPr>
        <w:t xml:space="preserve"> </w:t>
      </w:r>
      <w:r w:rsidR="001A7F25" w:rsidRPr="00483132">
        <w:rPr>
          <w:rFonts w:ascii="Arial" w:hAnsi="Arial" w:cs="Arial"/>
        </w:rPr>
        <w:t>by bank loans and cash</w:t>
      </w:r>
      <w:r w:rsidR="00091D89">
        <w:rPr>
          <w:rFonts w:ascii="Arial" w:hAnsi="Arial" w:cs="Arial"/>
        </w:rPr>
        <w:t xml:space="preserve"> </w:t>
      </w:r>
      <w:r w:rsidR="001A7F25" w:rsidRPr="00483132">
        <w:rPr>
          <w:rFonts w:ascii="Arial" w:hAnsi="Arial" w:cs="Arial"/>
        </w:rPr>
        <w:t>flows from operations.</w:t>
      </w:r>
      <w:r w:rsidR="003E6F8E" w:rsidRPr="00483132">
        <w:rPr>
          <w:rFonts w:ascii="Arial" w:hAnsi="Arial" w:cs="Arial"/>
        </w:rPr>
        <w:t xml:space="preserve"> </w:t>
      </w:r>
      <w:r w:rsidR="007C2D55" w:rsidRPr="00483132">
        <w:rPr>
          <w:rFonts w:ascii="Arial" w:hAnsi="Arial" w:cs="Arial"/>
        </w:rPr>
        <w:t>Surprisingly,</w:t>
      </w:r>
      <w:r w:rsidR="003E6F8E" w:rsidRPr="00483132">
        <w:rPr>
          <w:rFonts w:ascii="Arial" w:hAnsi="Arial" w:cs="Arial"/>
        </w:rPr>
        <w:t xml:space="preserve"> the pilot questionnaire survey response showed that 67% </w:t>
      </w:r>
      <w:r w:rsidR="00091D89">
        <w:rPr>
          <w:rFonts w:ascii="Arial" w:hAnsi="Arial" w:cs="Arial"/>
        </w:rPr>
        <w:t xml:space="preserve">of </w:t>
      </w:r>
      <w:r w:rsidR="003E6F8E" w:rsidRPr="00483132">
        <w:rPr>
          <w:rFonts w:ascii="Arial" w:hAnsi="Arial" w:cs="Arial"/>
        </w:rPr>
        <w:t>managers consider difficult lending criteria by financiers</w:t>
      </w:r>
      <w:r w:rsidR="003C292A" w:rsidRPr="00483132">
        <w:rPr>
          <w:rFonts w:ascii="Arial" w:hAnsi="Arial" w:cs="Arial"/>
        </w:rPr>
        <w:t xml:space="preserve"> and exchange rate volatility</w:t>
      </w:r>
      <w:r w:rsidR="003E6F8E" w:rsidRPr="00483132">
        <w:rPr>
          <w:rFonts w:ascii="Arial" w:hAnsi="Arial" w:cs="Arial"/>
        </w:rPr>
        <w:t xml:space="preserve"> as </w:t>
      </w:r>
      <w:r w:rsidR="00BA1A81" w:rsidRPr="00483132">
        <w:rPr>
          <w:rFonts w:ascii="Arial" w:hAnsi="Arial" w:cs="Arial"/>
        </w:rPr>
        <w:t>challenge</w:t>
      </w:r>
      <w:r w:rsidR="00BB7C28">
        <w:rPr>
          <w:rFonts w:ascii="Arial" w:hAnsi="Arial" w:cs="Arial"/>
        </w:rPr>
        <w:t>s</w:t>
      </w:r>
      <w:r w:rsidR="003E6F8E" w:rsidRPr="00483132">
        <w:rPr>
          <w:rFonts w:ascii="Arial" w:hAnsi="Arial" w:cs="Arial"/>
        </w:rPr>
        <w:t xml:space="preserve"> to a great </w:t>
      </w:r>
      <w:r w:rsidR="00483132" w:rsidRPr="00483132">
        <w:rPr>
          <w:rFonts w:ascii="Arial" w:hAnsi="Arial" w:cs="Arial"/>
        </w:rPr>
        <w:t>extent.</w:t>
      </w:r>
      <w:r w:rsidR="00E352CE" w:rsidRPr="00483132">
        <w:rPr>
          <w:rFonts w:ascii="Arial" w:hAnsi="Arial" w:cs="Arial"/>
        </w:rPr>
        <w:t xml:space="preserve"> </w:t>
      </w:r>
      <w:r w:rsidR="007A285F">
        <w:rPr>
          <w:rFonts w:ascii="Arial" w:hAnsi="Arial" w:cs="Arial"/>
        </w:rPr>
        <w:t>At the same time,</w:t>
      </w:r>
      <w:r w:rsidR="00E352CE" w:rsidRPr="00483132">
        <w:rPr>
          <w:rFonts w:ascii="Arial" w:hAnsi="Arial" w:cs="Arial"/>
        </w:rPr>
        <w:t xml:space="preserve"> </w:t>
      </w:r>
      <w:r w:rsidR="007A285F">
        <w:rPr>
          <w:rFonts w:ascii="Arial" w:hAnsi="Arial" w:cs="Arial"/>
        </w:rPr>
        <w:t xml:space="preserve">the </w:t>
      </w:r>
      <w:r w:rsidR="00E352CE" w:rsidRPr="00483132">
        <w:rPr>
          <w:rFonts w:ascii="Arial" w:hAnsi="Arial" w:cs="Arial"/>
        </w:rPr>
        <w:t xml:space="preserve">government’s monetary and fiscal policies and housing subsidies and credit interventions were considered opportunities associated with securing finance for real estate project development. </w:t>
      </w:r>
      <w:r w:rsidR="00A34E47" w:rsidRPr="00483132">
        <w:rPr>
          <w:rFonts w:ascii="Arial" w:hAnsi="Arial" w:cs="Arial"/>
        </w:rPr>
        <w:t xml:space="preserve">While the criteria often requested are </w:t>
      </w:r>
      <w:r w:rsidR="00BA1A81" w:rsidRPr="00483132">
        <w:rPr>
          <w:rFonts w:ascii="Arial" w:hAnsi="Arial" w:cs="Arial"/>
        </w:rPr>
        <w:t>collateral,</w:t>
      </w:r>
      <w:r w:rsidR="00A34E47" w:rsidRPr="00483132">
        <w:rPr>
          <w:rFonts w:ascii="Arial" w:hAnsi="Arial" w:cs="Arial"/>
        </w:rPr>
        <w:t xml:space="preserve"> liquidity of the proposed asset, risk and return and loan-to</w:t>
      </w:r>
      <w:r w:rsidR="00091D89">
        <w:rPr>
          <w:rFonts w:ascii="Arial" w:hAnsi="Arial" w:cs="Arial"/>
        </w:rPr>
        <w:t>-</w:t>
      </w:r>
      <w:r w:rsidR="00A34E47" w:rsidRPr="00483132">
        <w:rPr>
          <w:rFonts w:ascii="Arial" w:hAnsi="Arial" w:cs="Arial"/>
        </w:rPr>
        <w:t>value</w:t>
      </w:r>
      <w:r w:rsidR="00A34E47">
        <w:rPr>
          <w:rFonts w:ascii="Arial" w:hAnsi="Arial" w:cs="Arial"/>
        </w:rPr>
        <w:t>.</w:t>
      </w:r>
    </w:p>
    <w:p w14:paraId="0C1D1E42" w14:textId="19BB57ED" w:rsidR="000C705D" w:rsidRDefault="000C705D" w:rsidP="00153BF9">
      <w:pPr>
        <w:spacing w:after="0" w:line="360" w:lineRule="auto"/>
        <w:jc w:val="both"/>
        <w:rPr>
          <w:rFonts w:ascii="Arial" w:hAnsi="Arial" w:cs="Arial"/>
        </w:rPr>
      </w:pPr>
      <w:r>
        <w:rPr>
          <w:rFonts w:ascii="Arial" w:hAnsi="Arial" w:cs="Arial"/>
        </w:rPr>
        <w:t xml:space="preserve">The pilot questionnaire survey showed that convincing/ negotiating with financiers, </w:t>
      </w:r>
      <w:r w:rsidR="001475FA">
        <w:rPr>
          <w:rFonts w:ascii="Arial" w:hAnsi="Arial" w:cs="Arial"/>
        </w:rPr>
        <w:t>analytical skills, writing and presentation skills and developing financial forecast</w:t>
      </w:r>
      <w:r w:rsidR="00091D89">
        <w:rPr>
          <w:rFonts w:ascii="Arial" w:hAnsi="Arial" w:cs="Arial"/>
        </w:rPr>
        <w:t>s</w:t>
      </w:r>
      <w:r w:rsidR="001475FA">
        <w:rPr>
          <w:rFonts w:ascii="Arial" w:hAnsi="Arial" w:cs="Arial"/>
        </w:rPr>
        <w:t xml:space="preserve"> and models were used to a great extent by managers in the United </w:t>
      </w:r>
      <w:r w:rsidR="00033A22">
        <w:rPr>
          <w:rFonts w:ascii="Arial" w:hAnsi="Arial" w:cs="Arial"/>
        </w:rPr>
        <w:t>Kingdom. While some of the knowledge</w:t>
      </w:r>
      <w:r w:rsidR="00BB7C28">
        <w:rPr>
          <w:rFonts w:ascii="Arial" w:hAnsi="Arial" w:cs="Arial"/>
        </w:rPr>
        <w:t xml:space="preserve"> sets</w:t>
      </w:r>
      <w:r w:rsidR="00033A22">
        <w:rPr>
          <w:rFonts w:ascii="Arial" w:hAnsi="Arial" w:cs="Arial"/>
        </w:rPr>
        <w:t xml:space="preserve"> used to a great extent in securing finance for real estate project development</w:t>
      </w:r>
      <w:r w:rsidR="00BB7C28">
        <w:rPr>
          <w:rFonts w:ascii="Arial" w:hAnsi="Arial" w:cs="Arial"/>
        </w:rPr>
        <w:t>,</w:t>
      </w:r>
      <w:r w:rsidR="00033A22">
        <w:rPr>
          <w:rFonts w:ascii="Arial" w:hAnsi="Arial" w:cs="Arial"/>
        </w:rPr>
        <w:t xml:space="preserve"> include finance options, </w:t>
      </w:r>
      <w:r w:rsidR="00C53F91">
        <w:rPr>
          <w:rFonts w:ascii="Arial" w:hAnsi="Arial" w:cs="Arial"/>
        </w:rPr>
        <w:t>finance sources, cash</w:t>
      </w:r>
      <w:r w:rsidR="00091D89">
        <w:rPr>
          <w:rFonts w:ascii="Arial" w:hAnsi="Arial" w:cs="Arial"/>
        </w:rPr>
        <w:t xml:space="preserve"> </w:t>
      </w:r>
      <w:r w:rsidR="00C53F91">
        <w:rPr>
          <w:rFonts w:ascii="Arial" w:hAnsi="Arial" w:cs="Arial"/>
        </w:rPr>
        <w:t xml:space="preserve">flow, debt-asset ratio and return on </w:t>
      </w:r>
      <w:r w:rsidR="009F0C3D">
        <w:rPr>
          <w:rFonts w:ascii="Arial" w:hAnsi="Arial" w:cs="Arial"/>
        </w:rPr>
        <w:t>investment. The</w:t>
      </w:r>
      <w:r w:rsidR="00EC40A0">
        <w:rPr>
          <w:rFonts w:ascii="Arial" w:hAnsi="Arial" w:cs="Arial"/>
        </w:rPr>
        <w:t xml:space="preserve"> findings show</w:t>
      </w:r>
      <w:r w:rsidR="00F36174">
        <w:rPr>
          <w:rFonts w:ascii="Arial" w:hAnsi="Arial" w:cs="Arial"/>
        </w:rPr>
        <w:t xml:space="preserve"> that the managers' competences used to a great extent include negotiation, compliance, standards,</w:t>
      </w:r>
      <w:r w:rsidR="00EC40A0">
        <w:rPr>
          <w:rFonts w:ascii="Arial" w:hAnsi="Arial" w:cs="Arial"/>
        </w:rPr>
        <w:t xml:space="preserve"> and regulations.</w:t>
      </w:r>
      <w:r w:rsidR="00C45300">
        <w:rPr>
          <w:rFonts w:ascii="Arial" w:hAnsi="Arial" w:cs="Arial"/>
        </w:rPr>
        <w:t xml:space="preserve"> While the platforms used highly for training and education include </w:t>
      </w:r>
      <w:r w:rsidR="00705839">
        <w:rPr>
          <w:rFonts w:ascii="Arial" w:hAnsi="Arial" w:cs="Arial"/>
        </w:rPr>
        <w:t>peer to peer development, self-</w:t>
      </w:r>
      <w:r w:rsidR="00825CAA">
        <w:rPr>
          <w:rFonts w:ascii="Arial" w:hAnsi="Arial" w:cs="Arial"/>
        </w:rPr>
        <w:t>development,</w:t>
      </w:r>
      <w:r w:rsidR="00705839">
        <w:rPr>
          <w:rFonts w:ascii="Arial" w:hAnsi="Arial" w:cs="Arial"/>
        </w:rPr>
        <w:t xml:space="preserve"> direct observation</w:t>
      </w:r>
      <w:r w:rsidR="008A66AD">
        <w:rPr>
          <w:rFonts w:ascii="Arial" w:hAnsi="Arial" w:cs="Arial"/>
        </w:rPr>
        <w:t xml:space="preserve"> and in-house training and observation. </w:t>
      </w:r>
    </w:p>
    <w:p w14:paraId="5F3AE8F1" w14:textId="3FA6FDBD" w:rsidR="00381F5D" w:rsidRDefault="00381F5D" w:rsidP="00153BF9">
      <w:pPr>
        <w:spacing w:after="0" w:line="360" w:lineRule="auto"/>
        <w:jc w:val="both"/>
        <w:rPr>
          <w:rFonts w:ascii="Arial" w:hAnsi="Arial" w:cs="Arial"/>
        </w:rPr>
      </w:pPr>
      <w:r>
        <w:rPr>
          <w:rFonts w:ascii="Arial" w:hAnsi="Arial" w:cs="Arial"/>
        </w:rPr>
        <w:t>The pilot questionnaire survey from South Africa was from the middle</w:t>
      </w:r>
      <w:r w:rsidR="00091D89">
        <w:rPr>
          <w:rFonts w:ascii="Arial" w:hAnsi="Arial" w:cs="Arial"/>
        </w:rPr>
        <w:t>-</w:t>
      </w:r>
      <w:r>
        <w:rPr>
          <w:rFonts w:ascii="Arial" w:hAnsi="Arial" w:cs="Arial"/>
        </w:rPr>
        <w:t xml:space="preserve">level </w:t>
      </w:r>
      <w:r w:rsidR="00364177">
        <w:rPr>
          <w:rFonts w:ascii="Arial" w:hAnsi="Arial" w:cs="Arial"/>
        </w:rPr>
        <w:t>management.</w:t>
      </w:r>
      <w:r>
        <w:rPr>
          <w:rFonts w:ascii="Arial" w:hAnsi="Arial" w:cs="Arial"/>
        </w:rPr>
        <w:t xml:space="preserve"> </w:t>
      </w:r>
      <w:r w:rsidR="006C0994">
        <w:rPr>
          <w:rFonts w:ascii="Arial" w:hAnsi="Arial" w:cs="Arial"/>
        </w:rPr>
        <w:t>The result shows that bank loan</w:t>
      </w:r>
      <w:r w:rsidR="00F36174">
        <w:rPr>
          <w:rFonts w:ascii="Arial" w:hAnsi="Arial" w:cs="Arial"/>
        </w:rPr>
        <w:t>s</w:t>
      </w:r>
      <w:r w:rsidR="006C0994">
        <w:rPr>
          <w:rFonts w:ascii="Arial" w:hAnsi="Arial" w:cs="Arial"/>
        </w:rPr>
        <w:t xml:space="preserve"> </w:t>
      </w:r>
      <w:r w:rsidR="00877C3D">
        <w:rPr>
          <w:rFonts w:ascii="Arial" w:hAnsi="Arial" w:cs="Arial"/>
        </w:rPr>
        <w:t>and investors are</w:t>
      </w:r>
      <w:r w:rsidR="00F36174">
        <w:rPr>
          <w:rFonts w:ascii="Arial" w:hAnsi="Arial" w:cs="Arial"/>
        </w:rPr>
        <w:t xml:space="preserve"> the sources of finance for real estate project development to a very great ext</w:t>
      </w:r>
      <w:r w:rsidR="00877C3D">
        <w:rPr>
          <w:rFonts w:ascii="Arial" w:hAnsi="Arial" w:cs="Arial"/>
        </w:rPr>
        <w:t xml:space="preserve">ent. </w:t>
      </w:r>
      <w:r w:rsidR="004C447D">
        <w:rPr>
          <w:rFonts w:ascii="Arial" w:hAnsi="Arial" w:cs="Arial"/>
        </w:rPr>
        <w:t>While</w:t>
      </w:r>
      <w:r w:rsidR="00F36174">
        <w:rPr>
          <w:rFonts w:ascii="Arial" w:hAnsi="Arial" w:cs="Arial"/>
        </w:rPr>
        <w:t>,</w:t>
      </w:r>
      <w:r w:rsidR="004C447D">
        <w:rPr>
          <w:rFonts w:ascii="Arial" w:hAnsi="Arial" w:cs="Arial"/>
        </w:rPr>
        <w:t xml:space="preserve"> the major challenge is inflation, difficult lending criteria, political instability and difficult land use and ownership laws</w:t>
      </w:r>
      <w:r w:rsidR="0085750C">
        <w:rPr>
          <w:rFonts w:ascii="Arial" w:hAnsi="Arial" w:cs="Arial"/>
        </w:rPr>
        <w:t xml:space="preserve">. </w:t>
      </w:r>
      <w:r w:rsidR="00F36174">
        <w:rPr>
          <w:rFonts w:ascii="Arial" w:hAnsi="Arial" w:cs="Arial"/>
        </w:rPr>
        <w:t>The</w:t>
      </w:r>
      <w:r w:rsidR="00091D89">
        <w:rPr>
          <w:rFonts w:ascii="Arial" w:hAnsi="Arial" w:cs="Arial"/>
        </w:rPr>
        <w:t xml:space="preserve"> </w:t>
      </w:r>
      <w:r w:rsidR="00E46E70">
        <w:rPr>
          <w:rFonts w:ascii="Arial" w:hAnsi="Arial" w:cs="Arial"/>
        </w:rPr>
        <w:t>availability</w:t>
      </w:r>
      <w:r w:rsidR="0085750C">
        <w:rPr>
          <w:rFonts w:ascii="Arial" w:hAnsi="Arial" w:cs="Arial"/>
        </w:rPr>
        <w:t xml:space="preserve"> </w:t>
      </w:r>
      <w:r w:rsidR="00E46E70">
        <w:rPr>
          <w:rFonts w:ascii="Arial" w:hAnsi="Arial" w:cs="Arial"/>
        </w:rPr>
        <w:t xml:space="preserve">of </w:t>
      </w:r>
      <w:r w:rsidR="005429FA">
        <w:rPr>
          <w:rFonts w:ascii="Arial" w:hAnsi="Arial" w:cs="Arial"/>
        </w:rPr>
        <w:t>long-term</w:t>
      </w:r>
      <w:r w:rsidR="0085750C">
        <w:rPr>
          <w:rFonts w:ascii="Arial" w:hAnsi="Arial" w:cs="Arial"/>
        </w:rPr>
        <w:t xml:space="preserve"> fund</w:t>
      </w:r>
      <w:r w:rsidR="00F36174">
        <w:rPr>
          <w:rFonts w:ascii="Arial" w:hAnsi="Arial" w:cs="Arial"/>
        </w:rPr>
        <w:t>s</w:t>
      </w:r>
      <w:r w:rsidR="0085750C">
        <w:rPr>
          <w:rFonts w:ascii="Arial" w:hAnsi="Arial" w:cs="Arial"/>
        </w:rPr>
        <w:t xml:space="preserve"> is considered an opportunity to a moderate extent. </w:t>
      </w:r>
      <w:r w:rsidR="00E46E70">
        <w:rPr>
          <w:rFonts w:ascii="Arial" w:hAnsi="Arial" w:cs="Arial"/>
        </w:rPr>
        <w:t xml:space="preserve">While the criteria often requested by financiers is </w:t>
      </w:r>
      <w:r w:rsidR="00091D89">
        <w:rPr>
          <w:rFonts w:ascii="Arial" w:hAnsi="Arial" w:cs="Arial"/>
        </w:rPr>
        <w:t xml:space="preserve">the </w:t>
      </w:r>
      <w:r w:rsidR="00E46E70">
        <w:rPr>
          <w:rFonts w:ascii="Arial" w:hAnsi="Arial" w:cs="Arial"/>
        </w:rPr>
        <w:t xml:space="preserve">track record, </w:t>
      </w:r>
      <w:r w:rsidR="00CA1EFC">
        <w:rPr>
          <w:rFonts w:ascii="Arial" w:hAnsi="Arial" w:cs="Arial"/>
        </w:rPr>
        <w:t>cash</w:t>
      </w:r>
      <w:r w:rsidR="00091D89">
        <w:rPr>
          <w:rFonts w:ascii="Arial" w:hAnsi="Arial" w:cs="Arial"/>
        </w:rPr>
        <w:t xml:space="preserve"> </w:t>
      </w:r>
      <w:r w:rsidR="00CA1EFC">
        <w:rPr>
          <w:rFonts w:ascii="Arial" w:hAnsi="Arial" w:cs="Arial"/>
        </w:rPr>
        <w:t>flow and liquidity of the proposed asset</w:t>
      </w:r>
      <w:r w:rsidR="00FC2A50">
        <w:rPr>
          <w:rFonts w:ascii="Arial" w:hAnsi="Arial" w:cs="Arial"/>
        </w:rPr>
        <w:t xml:space="preserve">. </w:t>
      </w:r>
      <w:r w:rsidR="00BB7C28">
        <w:rPr>
          <w:rFonts w:ascii="Arial" w:hAnsi="Arial" w:cs="Arial"/>
        </w:rPr>
        <w:t>S</w:t>
      </w:r>
      <w:r w:rsidR="000C5199">
        <w:rPr>
          <w:rFonts w:ascii="Arial" w:hAnsi="Arial" w:cs="Arial"/>
        </w:rPr>
        <w:t xml:space="preserve">ome of the skills required to secure finance for real estate project development include critical </w:t>
      </w:r>
      <w:r w:rsidR="00847A65">
        <w:rPr>
          <w:rFonts w:ascii="Arial" w:hAnsi="Arial" w:cs="Arial"/>
        </w:rPr>
        <w:t>thinking,</w:t>
      </w:r>
      <w:r w:rsidR="000C5199">
        <w:rPr>
          <w:rFonts w:ascii="Arial" w:hAnsi="Arial" w:cs="Arial"/>
        </w:rPr>
        <w:t xml:space="preserve"> </w:t>
      </w:r>
      <w:r w:rsidR="00847A65">
        <w:rPr>
          <w:rFonts w:ascii="Arial" w:hAnsi="Arial" w:cs="Arial"/>
        </w:rPr>
        <w:t>negotiation,</w:t>
      </w:r>
      <w:r w:rsidR="00300B82">
        <w:rPr>
          <w:rFonts w:ascii="Arial" w:hAnsi="Arial" w:cs="Arial"/>
        </w:rPr>
        <w:t xml:space="preserve"> </w:t>
      </w:r>
      <w:r w:rsidR="000C5199">
        <w:rPr>
          <w:rFonts w:ascii="Arial" w:hAnsi="Arial" w:cs="Arial"/>
        </w:rPr>
        <w:t>analytical skills</w:t>
      </w:r>
      <w:r w:rsidR="00BB7C28">
        <w:rPr>
          <w:rFonts w:ascii="Arial" w:hAnsi="Arial" w:cs="Arial"/>
        </w:rPr>
        <w:t xml:space="preserve">, and usage of humour as ice breaker. Like the UK, the </w:t>
      </w:r>
      <w:r w:rsidR="00BB7C28">
        <w:rPr>
          <w:rFonts w:ascii="Arial" w:hAnsi="Arial" w:cs="Arial"/>
        </w:rPr>
        <w:lastRenderedPageBreak/>
        <w:t>knowledge used greatly includes financial accounting basics, finance options, finance sources,</w:t>
      </w:r>
      <w:r w:rsidR="00025C49">
        <w:rPr>
          <w:rFonts w:ascii="Arial" w:hAnsi="Arial" w:cs="Arial"/>
        </w:rPr>
        <w:t xml:space="preserve"> and</w:t>
      </w:r>
      <w:r w:rsidR="000766C3">
        <w:rPr>
          <w:rFonts w:ascii="Arial" w:hAnsi="Arial" w:cs="Arial"/>
        </w:rPr>
        <w:t xml:space="preserve"> cost estimation approach. </w:t>
      </w:r>
      <w:r w:rsidR="00F36174">
        <w:rPr>
          <w:rFonts w:ascii="Arial" w:hAnsi="Arial" w:cs="Arial"/>
        </w:rPr>
        <w:t>At the same time,</w:t>
      </w:r>
      <w:r w:rsidR="0007323A">
        <w:rPr>
          <w:rFonts w:ascii="Arial" w:hAnsi="Arial" w:cs="Arial"/>
        </w:rPr>
        <w:t xml:space="preserve"> the competences used to a great extent include </w:t>
      </w:r>
      <w:r w:rsidR="00847A65">
        <w:rPr>
          <w:rFonts w:ascii="Arial" w:hAnsi="Arial" w:cs="Arial"/>
        </w:rPr>
        <w:t xml:space="preserve">communication, relationship and engagement and stakeholder </w:t>
      </w:r>
      <w:r w:rsidR="001C2F75">
        <w:rPr>
          <w:rFonts w:ascii="Arial" w:hAnsi="Arial" w:cs="Arial"/>
        </w:rPr>
        <w:t>management.</w:t>
      </w:r>
      <w:r w:rsidR="00847A65">
        <w:rPr>
          <w:rFonts w:ascii="Arial" w:hAnsi="Arial" w:cs="Arial"/>
        </w:rPr>
        <w:t xml:space="preserve"> </w:t>
      </w:r>
      <w:r w:rsidR="001C2F75">
        <w:rPr>
          <w:rFonts w:ascii="Arial" w:hAnsi="Arial" w:cs="Arial"/>
        </w:rPr>
        <w:t>While</w:t>
      </w:r>
      <w:r w:rsidR="00F36174">
        <w:rPr>
          <w:rFonts w:ascii="Arial" w:hAnsi="Arial" w:cs="Arial"/>
        </w:rPr>
        <w:t>,</w:t>
      </w:r>
      <w:r w:rsidR="001C2F75">
        <w:rPr>
          <w:rFonts w:ascii="Arial" w:hAnsi="Arial" w:cs="Arial"/>
        </w:rPr>
        <w:t xml:space="preserve"> the training used to a great extent include continuing professional </w:t>
      </w:r>
      <w:r w:rsidR="003A3F69">
        <w:rPr>
          <w:rFonts w:ascii="Arial" w:hAnsi="Arial" w:cs="Arial"/>
        </w:rPr>
        <w:t>development,</w:t>
      </w:r>
      <w:r w:rsidR="001C2F75">
        <w:rPr>
          <w:rFonts w:ascii="Arial" w:hAnsi="Arial" w:cs="Arial"/>
        </w:rPr>
        <w:t xml:space="preserve"> </w:t>
      </w:r>
      <w:r w:rsidR="00416BDB">
        <w:rPr>
          <w:rFonts w:ascii="Arial" w:hAnsi="Arial" w:cs="Arial"/>
        </w:rPr>
        <w:t xml:space="preserve">external </w:t>
      </w:r>
      <w:r w:rsidR="003A3F69">
        <w:rPr>
          <w:rFonts w:ascii="Arial" w:hAnsi="Arial" w:cs="Arial"/>
        </w:rPr>
        <w:t>training,</w:t>
      </w:r>
      <w:r w:rsidR="00416BDB">
        <w:rPr>
          <w:rFonts w:ascii="Arial" w:hAnsi="Arial" w:cs="Arial"/>
        </w:rPr>
        <w:t xml:space="preserve"> </w:t>
      </w:r>
      <w:r w:rsidR="003A3F69">
        <w:rPr>
          <w:rFonts w:ascii="Arial" w:hAnsi="Arial" w:cs="Arial"/>
        </w:rPr>
        <w:t>conferences,</w:t>
      </w:r>
      <w:r w:rsidR="00416BDB">
        <w:rPr>
          <w:rFonts w:ascii="Arial" w:hAnsi="Arial" w:cs="Arial"/>
        </w:rPr>
        <w:t xml:space="preserve"> and </w:t>
      </w:r>
      <w:r w:rsidR="00244547">
        <w:rPr>
          <w:rFonts w:ascii="Arial" w:hAnsi="Arial" w:cs="Arial"/>
        </w:rPr>
        <w:t>seminars</w:t>
      </w:r>
      <w:r w:rsidR="00416BDB">
        <w:rPr>
          <w:rFonts w:ascii="Arial" w:hAnsi="Arial" w:cs="Arial"/>
        </w:rPr>
        <w:t xml:space="preserve">. </w:t>
      </w:r>
    </w:p>
    <w:p w14:paraId="6DCE0397" w14:textId="136CA734" w:rsidR="003A3F69" w:rsidRDefault="003A3F69" w:rsidP="00153BF9">
      <w:pPr>
        <w:spacing w:after="0" w:line="360" w:lineRule="auto"/>
        <w:jc w:val="both"/>
        <w:rPr>
          <w:rFonts w:ascii="Arial" w:hAnsi="Arial" w:cs="Arial"/>
        </w:rPr>
      </w:pPr>
    </w:p>
    <w:p w14:paraId="4A57265E" w14:textId="7AFD80EB" w:rsidR="003A3F69" w:rsidRDefault="003A3F69" w:rsidP="00153BF9">
      <w:pPr>
        <w:spacing w:after="0" w:line="360" w:lineRule="auto"/>
        <w:jc w:val="both"/>
        <w:rPr>
          <w:rFonts w:ascii="Arial" w:hAnsi="Arial" w:cs="Arial"/>
        </w:rPr>
      </w:pPr>
      <w:r>
        <w:rPr>
          <w:rFonts w:ascii="Arial" w:hAnsi="Arial" w:cs="Arial"/>
        </w:rPr>
        <w:t>The findings from the pilot</w:t>
      </w:r>
      <w:r w:rsidR="00F36174">
        <w:rPr>
          <w:rFonts w:ascii="Arial" w:hAnsi="Arial" w:cs="Arial"/>
        </w:rPr>
        <w:t>, semi-structured interviews and questionnaire survey</w:t>
      </w:r>
      <w:r>
        <w:rPr>
          <w:rFonts w:ascii="Arial" w:hAnsi="Arial" w:cs="Arial"/>
        </w:rPr>
        <w:t xml:space="preserve"> showed both the differences and the commonalities between the developed and emerging economies on the different </w:t>
      </w:r>
      <w:r w:rsidR="00AC3156">
        <w:rPr>
          <w:rFonts w:ascii="Arial" w:hAnsi="Arial" w:cs="Arial"/>
        </w:rPr>
        <w:t>constructs.</w:t>
      </w:r>
      <w:r>
        <w:rPr>
          <w:rFonts w:ascii="Arial" w:hAnsi="Arial" w:cs="Arial"/>
        </w:rPr>
        <w:t xml:space="preserve"> However, the questionnaire survey was deemed to</w:t>
      </w:r>
      <w:r w:rsidR="00F36174">
        <w:rPr>
          <w:rFonts w:ascii="Arial" w:hAnsi="Arial" w:cs="Arial"/>
        </w:rPr>
        <w:t>o long based on feedback</w:t>
      </w:r>
      <w:r>
        <w:rPr>
          <w:rFonts w:ascii="Arial" w:hAnsi="Arial" w:cs="Arial"/>
        </w:rPr>
        <w:t xml:space="preserve"> from some of the </w:t>
      </w:r>
      <w:r w:rsidR="00AC3156">
        <w:rPr>
          <w:rFonts w:ascii="Arial" w:hAnsi="Arial" w:cs="Arial"/>
        </w:rPr>
        <w:t>respondents.</w:t>
      </w:r>
      <w:r>
        <w:rPr>
          <w:rFonts w:ascii="Arial" w:hAnsi="Arial" w:cs="Arial"/>
        </w:rPr>
        <w:t xml:space="preserve"> Th</w:t>
      </w:r>
      <w:r w:rsidR="00BB7C28">
        <w:rPr>
          <w:rFonts w:ascii="Arial" w:hAnsi="Arial" w:cs="Arial"/>
        </w:rPr>
        <w:t>e complaints about the length of the questionnaire</w:t>
      </w:r>
      <w:r>
        <w:rPr>
          <w:rFonts w:ascii="Arial" w:hAnsi="Arial" w:cs="Arial"/>
        </w:rPr>
        <w:t xml:space="preserve"> led to some reduction of the questions for the main </w:t>
      </w:r>
      <w:r w:rsidR="00AC3156">
        <w:rPr>
          <w:rFonts w:ascii="Arial" w:hAnsi="Arial" w:cs="Arial"/>
        </w:rPr>
        <w:t>study.</w:t>
      </w:r>
    </w:p>
    <w:p w14:paraId="443B36ED" w14:textId="77777777" w:rsidR="007F7024" w:rsidRPr="00EA7665" w:rsidRDefault="007F7024" w:rsidP="00CD6352">
      <w:pPr>
        <w:spacing w:after="0" w:line="360" w:lineRule="auto"/>
        <w:jc w:val="both"/>
        <w:rPr>
          <w:rFonts w:ascii="Arial" w:hAnsi="Arial" w:cs="Arial"/>
        </w:rPr>
      </w:pPr>
    </w:p>
    <w:p w14:paraId="30D9C5F0" w14:textId="77777777" w:rsidR="00CD6352" w:rsidRPr="00EA7665" w:rsidRDefault="00CD6352" w:rsidP="00CD6352">
      <w:pPr>
        <w:pStyle w:val="Heading2"/>
        <w:spacing w:line="360" w:lineRule="auto"/>
        <w:jc w:val="both"/>
        <w:rPr>
          <w:rFonts w:cs="Arial"/>
          <w:sz w:val="22"/>
          <w:szCs w:val="22"/>
          <w:lang w:val="en-US"/>
        </w:rPr>
      </w:pPr>
      <w:bookmarkStart w:id="1020" w:name="_Toc78983820"/>
      <w:r w:rsidRPr="00EA7665">
        <w:rPr>
          <w:rFonts w:cs="Arial"/>
          <w:sz w:val="22"/>
          <w:szCs w:val="22"/>
          <w:lang w:val="en-US"/>
        </w:rPr>
        <w:t>Stage 2 – Research Methodological design</w:t>
      </w:r>
      <w:bookmarkEnd w:id="1020"/>
      <w:r w:rsidRPr="00EA7665">
        <w:rPr>
          <w:rFonts w:cs="Arial"/>
          <w:sz w:val="22"/>
          <w:szCs w:val="22"/>
          <w:lang w:val="en-US"/>
        </w:rPr>
        <w:t xml:space="preserve"> </w:t>
      </w:r>
    </w:p>
    <w:p w14:paraId="2D8B5690" w14:textId="77777777" w:rsidR="00CD6352" w:rsidRPr="00EA7665" w:rsidRDefault="00CD6352" w:rsidP="00CD6352">
      <w:pPr>
        <w:spacing w:after="0" w:line="360" w:lineRule="auto"/>
        <w:jc w:val="both"/>
        <w:rPr>
          <w:rFonts w:ascii="Arial" w:hAnsi="Arial" w:cs="Arial"/>
          <w:lang w:val="en-US"/>
        </w:rPr>
      </w:pPr>
      <w:r w:rsidRPr="00EA7665">
        <w:rPr>
          <w:rFonts w:ascii="Arial" w:hAnsi="Arial" w:cs="Arial"/>
          <w:lang w:val="en-US"/>
        </w:rPr>
        <w:t>The research methodological design undertaken in this research is illustrated by the use of the “research process onion”. The different layers of the research onions talk about the different facets of the methodology (Saunders et al., 2016).</w:t>
      </w:r>
    </w:p>
    <w:p w14:paraId="5584AC00" w14:textId="77777777" w:rsidR="00CD6352" w:rsidRPr="00EA7665" w:rsidRDefault="00CD6352" w:rsidP="00CD6352">
      <w:pPr>
        <w:keepNext/>
      </w:pPr>
      <w:r w:rsidRPr="00EA7665">
        <w:rPr>
          <w:noProof/>
          <w:lang w:eastAsia="en-GB"/>
        </w:rPr>
        <w:drawing>
          <wp:inline distT="0" distB="0" distL="0" distR="0" wp14:anchorId="57110E9B" wp14:editId="446A29C6">
            <wp:extent cx="5730825" cy="2312276"/>
            <wp:effectExtent l="0" t="0" r="3810"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018" cy="2320827"/>
                    </a:xfrm>
                    <a:prstGeom prst="rect">
                      <a:avLst/>
                    </a:prstGeom>
                    <a:noFill/>
                    <a:ln>
                      <a:noFill/>
                    </a:ln>
                  </pic:spPr>
                </pic:pic>
              </a:graphicData>
            </a:graphic>
          </wp:inline>
        </w:drawing>
      </w:r>
    </w:p>
    <w:p w14:paraId="5DC76619" w14:textId="6E5416EF" w:rsidR="00CD6352" w:rsidRPr="0048272B" w:rsidRDefault="00CD6352" w:rsidP="00CD6352">
      <w:pPr>
        <w:pStyle w:val="Caption"/>
        <w:rPr>
          <w:rFonts w:ascii="Arial" w:hAnsi="Arial" w:cs="Arial"/>
          <w:i w:val="0"/>
          <w:iCs w:val="0"/>
        </w:rPr>
      </w:pPr>
      <w:bookmarkStart w:id="1021" w:name="_Toc78739572"/>
      <w:r w:rsidRPr="0048272B">
        <w:rPr>
          <w:rFonts w:ascii="Arial" w:hAnsi="Arial" w:cs="Arial"/>
          <w:i w:val="0"/>
          <w:iCs w:val="0"/>
        </w:rPr>
        <w:t xml:space="preserve">Figure </w:t>
      </w:r>
      <w:r w:rsidR="00324B0D">
        <w:rPr>
          <w:rFonts w:ascii="Arial" w:hAnsi="Arial" w:cs="Arial"/>
          <w:i w:val="0"/>
          <w:iCs w:val="0"/>
        </w:rPr>
        <w:fldChar w:fldCharType="begin"/>
      </w:r>
      <w:r w:rsidR="00324B0D">
        <w:rPr>
          <w:rFonts w:ascii="Arial" w:hAnsi="Arial" w:cs="Arial"/>
          <w:i w:val="0"/>
          <w:iCs w:val="0"/>
        </w:rPr>
        <w:instrText xml:space="preserve"> STYLEREF 2 \s </w:instrText>
      </w:r>
      <w:r w:rsidR="00324B0D">
        <w:rPr>
          <w:rFonts w:ascii="Arial" w:hAnsi="Arial" w:cs="Arial"/>
          <w:i w:val="0"/>
          <w:iCs w:val="0"/>
        </w:rPr>
        <w:fldChar w:fldCharType="separate"/>
      </w:r>
      <w:r w:rsidR="00324B0D">
        <w:rPr>
          <w:rFonts w:ascii="Arial" w:hAnsi="Arial" w:cs="Arial"/>
          <w:i w:val="0"/>
          <w:iCs w:val="0"/>
          <w:noProof/>
        </w:rPr>
        <w:t>4.5</w:t>
      </w:r>
      <w:r w:rsidR="00324B0D">
        <w:rPr>
          <w:rFonts w:ascii="Arial" w:hAnsi="Arial" w:cs="Arial"/>
          <w:i w:val="0"/>
          <w:iCs w:val="0"/>
        </w:rPr>
        <w:fldChar w:fldCharType="end"/>
      </w:r>
      <w:r w:rsidR="00324B0D">
        <w:rPr>
          <w:rFonts w:ascii="Arial" w:hAnsi="Arial" w:cs="Arial"/>
          <w:i w:val="0"/>
          <w:iCs w:val="0"/>
        </w:rPr>
        <w:noBreakHyphen/>
      </w:r>
      <w:r w:rsidR="00324B0D">
        <w:rPr>
          <w:rFonts w:ascii="Arial" w:hAnsi="Arial" w:cs="Arial"/>
          <w:i w:val="0"/>
          <w:iCs w:val="0"/>
        </w:rPr>
        <w:fldChar w:fldCharType="begin"/>
      </w:r>
      <w:r w:rsidR="00324B0D">
        <w:rPr>
          <w:rFonts w:ascii="Arial" w:hAnsi="Arial" w:cs="Arial"/>
          <w:i w:val="0"/>
          <w:iCs w:val="0"/>
        </w:rPr>
        <w:instrText xml:space="preserve"> SEQ Figure \* ARABIC \s 2 </w:instrText>
      </w:r>
      <w:r w:rsidR="00324B0D">
        <w:rPr>
          <w:rFonts w:ascii="Arial" w:hAnsi="Arial" w:cs="Arial"/>
          <w:i w:val="0"/>
          <w:iCs w:val="0"/>
        </w:rPr>
        <w:fldChar w:fldCharType="separate"/>
      </w:r>
      <w:r w:rsidR="00324B0D">
        <w:rPr>
          <w:rFonts w:ascii="Arial" w:hAnsi="Arial" w:cs="Arial"/>
          <w:i w:val="0"/>
          <w:iCs w:val="0"/>
          <w:noProof/>
        </w:rPr>
        <w:t>1</w:t>
      </w:r>
      <w:r w:rsidR="00324B0D">
        <w:rPr>
          <w:rFonts w:ascii="Arial" w:hAnsi="Arial" w:cs="Arial"/>
          <w:i w:val="0"/>
          <w:iCs w:val="0"/>
        </w:rPr>
        <w:fldChar w:fldCharType="end"/>
      </w:r>
      <w:r w:rsidRPr="0048272B">
        <w:rPr>
          <w:rFonts w:ascii="Arial" w:hAnsi="Arial" w:cs="Arial"/>
          <w:i w:val="0"/>
          <w:iCs w:val="0"/>
        </w:rPr>
        <w:t>:</w:t>
      </w:r>
      <w:r w:rsidRPr="0048272B">
        <w:rPr>
          <w:rFonts w:ascii="Arial" w:hAnsi="Arial" w:cs="Arial"/>
          <w:i w:val="0"/>
          <w:iCs w:val="0"/>
          <w:color w:val="auto"/>
          <w:sz w:val="22"/>
          <w:szCs w:val="22"/>
          <w:lang w:val="en-US"/>
        </w:rPr>
        <w:t xml:space="preserve"> </w:t>
      </w:r>
      <w:r w:rsidRPr="0048272B">
        <w:rPr>
          <w:rFonts w:ascii="Arial" w:hAnsi="Arial" w:cs="Arial"/>
          <w:i w:val="0"/>
          <w:iCs w:val="0"/>
          <w:lang w:val="en-US"/>
        </w:rPr>
        <w:t>The research process onion by Saunders et al. (2016).</w:t>
      </w:r>
      <w:bookmarkEnd w:id="1021"/>
    </w:p>
    <w:p w14:paraId="45A4AEB7" w14:textId="77777777" w:rsidR="00CD6352" w:rsidRPr="00EA7665" w:rsidRDefault="00CD6352" w:rsidP="00CD6352">
      <w:pPr>
        <w:pStyle w:val="Heading3"/>
        <w:spacing w:line="360" w:lineRule="auto"/>
        <w:jc w:val="both"/>
        <w:rPr>
          <w:rFonts w:cs="Arial"/>
          <w:sz w:val="22"/>
          <w:szCs w:val="22"/>
        </w:rPr>
      </w:pPr>
      <w:bookmarkStart w:id="1022" w:name="_Toc78983821"/>
      <w:r w:rsidRPr="00EA7665">
        <w:rPr>
          <w:rFonts w:cs="Arial"/>
          <w:sz w:val="22"/>
          <w:szCs w:val="22"/>
        </w:rPr>
        <w:t>Research Philosophy</w:t>
      </w:r>
      <w:bookmarkEnd w:id="1022"/>
      <w:r w:rsidRPr="00EA7665">
        <w:rPr>
          <w:rFonts w:cs="Arial"/>
          <w:sz w:val="22"/>
          <w:szCs w:val="22"/>
        </w:rPr>
        <w:t xml:space="preserve"> </w:t>
      </w:r>
    </w:p>
    <w:p w14:paraId="59CF6FF4" w14:textId="327E4AA7" w:rsidR="00CD6352" w:rsidRPr="00EA7665" w:rsidRDefault="00CD60D6" w:rsidP="00CD6352">
      <w:pPr>
        <w:spacing w:line="360" w:lineRule="auto"/>
        <w:jc w:val="both"/>
        <w:rPr>
          <w:rFonts w:ascii="Arial" w:eastAsia="Calibri" w:hAnsi="Arial" w:cs="Arial"/>
        </w:rPr>
      </w:pPr>
      <w:r w:rsidRPr="00CD60D6">
        <w:rPr>
          <w:rFonts w:ascii="Arial" w:eastAsia="Calibri" w:hAnsi="Arial" w:cs="Arial"/>
        </w:rPr>
        <w:t xml:space="preserve">Research philosophy contains important assumptions about the way in which we view the world. </w:t>
      </w:r>
      <w:r>
        <w:rPr>
          <w:rFonts w:ascii="Arial" w:eastAsia="Calibri" w:hAnsi="Arial" w:cs="Arial"/>
        </w:rPr>
        <w:t>It</w:t>
      </w:r>
      <w:r w:rsidR="00CD6352" w:rsidRPr="00EA7665">
        <w:rPr>
          <w:rFonts w:ascii="Arial" w:eastAsia="Calibri" w:hAnsi="Arial" w:cs="Arial"/>
        </w:rPr>
        <w:t xml:space="preserve"> refers to a system of beliefs and assumptions on how data about a phenomenon should be gathered, analysed and used (Saunders et al., 2016). </w:t>
      </w:r>
    </w:p>
    <w:p w14:paraId="0606DCCE" w14:textId="77777777" w:rsidR="00CD6352" w:rsidRPr="00EA7665" w:rsidRDefault="00CD6352" w:rsidP="00CD6352">
      <w:pPr>
        <w:spacing w:after="0" w:line="360" w:lineRule="auto"/>
        <w:jc w:val="both"/>
        <w:rPr>
          <w:rFonts w:ascii="Arial" w:eastAsia="Calibri" w:hAnsi="Arial" w:cs="Arial"/>
        </w:rPr>
      </w:pPr>
      <w:r w:rsidRPr="00EA7665">
        <w:rPr>
          <w:rFonts w:ascii="Arial" w:eastAsia="Calibri" w:hAnsi="Arial" w:cs="Arial"/>
        </w:rPr>
        <w:t>There are three reasons why an understanding of philosophical positioning is beneficial to research (Easterby- Smith et al., 2008; Zin, 2013):</w:t>
      </w:r>
    </w:p>
    <w:p w14:paraId="5051734C" w14:textId="77777777" w:rsidR="00CD6352" w:rsidRPr="00EA7665" w:rsidRDefault="00CD6352" w:rsidP="00CD6352">
      <w:pPr>
        <w:pStyle w:val="ListParagraph"/>
        <w:numPr>
          <w:ilvl w:val="0"/>
          <w:numId w:val="17"/>
        </w:numPr>
        <w:spacing w:after="0" w:line="360" w:lineRule="auto"/>
        <w:jc w:val="both"/>
        <w:rPr>
          <w:rFonts w:ascii="Arial" w:eastAsia="Calibri" w:hAnsi="Arial" w:cs="Arial"/>
        </w:rPr>
      </w:pPr>
      <w:r w:rsidRPr="00EA7665">
        <w:rPr>
          <w:rFonts w:ascii="Arial" w:eastAsia="Calibri" w:hAnsi="Arial" w:cs="Arial"/>
        </w:rPr>
        <w:t>It helps to clarify the research design and explains the methods by which data is collected and analysed.</w:t>
      </w:r>
    </w:p>
    <w:p w14:paraId="5FC107BE" w14:textId="77777777" w:rsidR="00CD6352" w:rsidRPr="00EA7665" w:rsidRDefault="00CD6352" w:rsidP="00CD6352">
      <w:pPr>
        <w:pStyle w:val="ListParagraph"/>
        <w:numPr>
          <w:ilvl w:val="0"/>
          <w:numId w:val="17"/>
        </w:numPr>
        <w:spacing w:after="0" w:line="360" w:lineRule="auto"/>
        <w:jc w:val="both"/>
        <w:rPr>
          <w:rFonts w:ascii="Arial" w:eastAsia="Calibri" w:hAnsi="Arial" w:cs="Arial"/>
        </w:rPr>
      </w:pPr>
      <w:r w:rsidRPr="00EA7665">
        <w:rPr>
          <w:rFonts w:ascii="Arial" w:eastAsia="Calibri" w:hAnsi="Arial" w:cs="Arial"/>
        </w:rPr>
        <w:t>It helps the researcher to identify the design that will possibly work</w:t>
      </w:r>
    </w:p>
    <w:p w14:paraId="19C85A32" w14:textId="6A45DE5F" w:rsidR="00FE6BAE" w:rsidRDefault="00CD6352" w:rsidP="00FE6BAE">
      <w:pPr>
        <w:pStyle w:val="ListParagraph"/>
        <w:numPr>
          <w:ilvl w:val="0"/>
          <w:numId w:val="17"/>
        </w:numPr>
        <w:spacing w:after="0" w:line="360" w:lineRule="auto"/>
        <w:jc w:val="both"/>
        <w:rPr>
          <w:rFonts w:ascii="Arial" w:eastAsia="Calibri" w:hAnsi="Arial" w:cs="Arial"/>
        </w:rPr>
      </w:pPr>
      <w:r w:rsidRPr="00EA7665">
        <w:rPr>
          <w:rFonts w:ascii="Arial" w:eastAsia="Calibri" w:hAnsi="Arial" w:cs="Arial"/>
        </w:rPr>
        <w:lastRenderedPageBreak/>
        <w:t>It could help the researcher identify and possibly create a design that may be outside their experience.</w:t>
      </w:r>
    </w:p>
    <w:p w14:paraId="1570E0EB" w14:textId="05311F7D" w:rsidR="00FE6BAE" w:rsidRPr="007625E7" w:rsidRDefault="00FE6BAE" w:rsidP="007625E7">
      <w:pPr>
        <w:spacing w:after="0" w:line="360" w:lineRule="auto"/>
        <w:jc w:val="both"/>
        <w:rPr>
          <w:rFonts w:ascii="Arial" w:eastAsia="Calibri" w:hAnsi="Arial" w:cs="Arial"/>
        </w:rPr>
      </w:pPr>
      <w:r>
        <w:rPr>
          <w:rFonts w:ascii="Arial" w:eastAsia="Calibri" w:hAnsi="Arial" w:cs="Arial"/>
        </w:rPr>
        <w:t>This section will discuss two main philosophical focus</w:t>
      </w:r>
      <w:r w:rsidR="00035307">
        <w:rPr>
          <w:rFonts w:ascii="Arial" w:eastAsia="Calibri" w:hAnsi="Arial" w:cs="Arial"/>
        </w:rPr>
        <w:t>es that are very significant to any research in the social sciences:</w:t>
      </w:r>
      <w:r>
        <w:rPr>
          <w:rFonts w:ascii="Arial" w:eastAsia="Calibri" w:hAnsi="Arial" w:cs="Arial"/>
        </w:rPr>
        <w:t xml:space="preserve"> the paradigm </w:t>
      </w:r>
      <w:r w:rsidR="005C7326">
        <w:rPr>
          <w:rFonts w:ascii="Arial" w:eastAsia="Calibri" w:hAnsi="Arial" w:cs="Arial"/>
        </w:rPr>
        <w:t>(epistemology</w:t>
      </w:r>
      <w:r>
        <w:rPr>
          <w:rFonts w:ascii="Arial" w:eastAsia="Calibri" w:hAnsi="Arial" w:cs="Arial"/>
        </w:rPr>
        <w:t xml:space="preserve"> ) and ontology.</w:t>
      </w:r>
    </w:p>
    <w:p w14:paraId="293839D2" w14:textId="77777777" w:rsidR="00CD6352" w:rsidRPr="00742BCE" w:rsidRDefault="00CD6352" w:rsidP="00CD6352">
      <w:pPr>
        <w:pStyle w:val="Heading4"/>
        <w:spacing w:line="360" w:lineRule="auto"/>
        <w:jc w:val="both"/>
        <w:rPr>
          <w:rFonts w:ascii="Arial" w:eastAsia="Calibri" w:hAnsi="Arial" w:cs="Arial"/>
          <w:b/>
          <w:i w:val="0"/>
          <w:iCs w:val="0"/>
          <w:color w:val="auto"/>
          <w:lang w:val="en-NZ"/>
        </w:rPr>
      </w:pPr>
      <w:r w:rsidRPr="00742BCE">
        <w:rPr>
          <w:rFonts w:ascii="Arial" w:eastAsia="Calibri" w:hAnsi="Arial" w:cs="Arial"/>
          <w:b/>
          <w:i w:val="0"/>
          <w:iCs w:val="0"/>
          <w:color w:val="auto"/>
          <w:lang w:val="en-NZ"/>
        </w:rPr>
        <w:t xml:space="preserve">Research paradigm </w:t>
      </w:r>
    </w:p>
    <w:p w14:paraId="3BEB0B39" w14:textId="5DB257EC" w:rsidR="00F66F90" w:rsidRPr="00F66F90" w:rsidRDefault="00CD6352" w:rsidP="00F66F90">
      <w:pPr>
        <w:spacing w:line="360" w:lineRule="auto"/>
        <w:jc w:val="both"/>
        <w:rPr>
          <w:rFonts w:ascii="Arial" w:eastAsia="Calibri" w:hAnsi="Arial" w:cs="Arial"/>
        </w:rPr>
      </w:pPr>
      <w:r w:rsidRPr="00EA7665">
        <w:rPr>
          <w:rFonts w:ascii="Arial" w:eastAsia="Calibri" w:hAnsi="Arial" w:cs="Arial"/>
          <w:lang w:val="en-NZ"/>
        </w:rPr>
        <w:t xml:space="preserve">A paradigm is a belief system that guides the way a researcher thinks and acts. A paradigm is a way of looking at the world, and it is composed of certain philosophical assumptions that guide and direct thinking and actions. </w:t>
      </w:r>
      <w:r w:rsidR="00F66F90" w:rsidRPr="00F66F90">
        <w:rPr>
          <w:rFonts w:ascii="Arial" w:eastAsia="Calibri" w:hAnsi="Arial" w:cs="Arial"/>
        </w:rPr>
        <w:t xml:space="preserve">There are four main research philosophies used in the social sciences. These philosophies are pragmatism, positivism, realism, and interpretivism (Saunders et al., 2016; </w:t>
      </w:r>
      <w:bookmarkStart w:id="1023" w:name="_Hlk76207276"/>
      <w:r w:rsidR="00F66F90" w:rsidRPr="00F66F90">
        <w:rPr>
          <w:rFonts w:ascii="Arial" w:eastAsia="Calibri" w:hAnsi="Arial" w:cs="Arial"/>
        </w:rPr>
        <w:t>Bryman &amp; Bell, 2011</w:t>
      </w:r>
      <w:bookmarkEnd w:id="1023"/>
      <w:r w:rsidR="00F66F90" w:rsidRPr="00F66F90">
        <w:rPr>
          <w:rFonts w:ascii="Arial" w:eastAsia="Calibri" w:hAnsi="Arial" w:cs="Arial"/>
        </w:rPr>
        <w:t>).</w:t>
      </w:r>
    </w:p>
    <w:p w14:paraId="7499EE45" w14:textId="4EFAB907"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The research paradigm that has guided and informed this study is pragmatism</w:t>
      </w:r>
      <w:r w:rsidR="00F24D8B">
        <w:rPr>
          <w:rFonts w:ascii="Arial" w:eastAsia="Calibri" w:hAnsi="Arial" w:cs="Arial"/>
          <w:lang w:val="en-NZ"/>
        </w:rPr>
        <w:t>.</w:t>
      </w:r>
      <w:r w:rsidRPr="00EA7665">
        <w:rPr>
          <w:rFonts w:ascii="Arial" w:eastAsia="Calibri" w:hAnsi="Arial" w:cs="Arial"/>
          <w:lang w:val="en-NZ"/>
        </w:rPr>
        <w:t xml:space="preserve"> Pragmatism research recognises that there are different ways of interpreting the world</w:t>
      </w:r>
      <w:r w:rsidR="00E207F3">
        <w:rPr>
          <w:rFonts w:ascii="Arial" w:eastAsia="Calibri" w:hAnsi="Arial" w:cs="Arial"/>
          <w:lang w:val="en-NZ"/>
        </w:rPr>
        <w:t>,</w:t>
      </w:r>
      <w:r w:rsidRPr="00EA7665">
        <w:rPr>
          <w:rFonts w:ascii="Arial" w:eastAsia="Calibri" w:hAnsi="Arial" w:cs="Arial"/>
          <w:lang w:val="en-NZ"/>
        </w:rPr>
        <w:t xml:space="preserve"> and undertaking research as a single point of view may not tell the whole story (Saunders et al., 2016). Pragmatism concentrates on making better practice</w:t>
      </w:r>
      <w:r w:rsidR="00E207F3">
        <w:rPr>
          <w:rFonts w:ascii="Arial" w:eastAsia="Calibri" w:hAnsi="Arial" w:cs="Arial"/>
          <w:lang w:val="en-NZ"/>
        </w:rPr>
        <w:t>s</w:t>
      </w:r>
      <w:r w:rsidRPr="00EA7665">
        <w:rPr>
          <w:rFonts w:ascii="Arial" w:eastAsia="Calibri" w:hAnsi="Arial" w:cs="Arial"/>
          <w:lang w:val="en-NZ"/>
        </w:rPr>
        <w:t>; it also implements a varied assortment of research strategies, the option of which is motivated by the nature of their research problems</w:t>
      </w:r>
      <w:r>
        <w:rPr>
          <w:rFonts w:ascii="Arial" w:eastAsia="Calibri" w:hAnsi="Arial" w:cs="Arial"/>
          <w:lang w:val="en-NZ"/>
        </w:rPr>
        <w:t>.</w:t>
      </w:r>
      <w:r w:rsidRPr="00EA7665">
        <w:rPr>
          <w:rFonts w:ascii="Arial" w:eastAsia="Calibri" w:hAnsi="Arial" w:cs="Arial"/>
          <w:lang w:val="en-NZ"/>
        </w:rPr>
        <w:t xml:space="preserve"> </w:t>
      </w:r>
      <w:r>
        <w:rPr>
          <w:rFonts w:ascii="Arial" w:eastAsia="Calibri" w:hAnsi="Arial" w:cs="Arial"/>
          <w:lang w:val="en-NZ"/>
        </w:rPr>
        <w:t>P</w:t>
      </w:r>
      <w:r w:rsidRPr="00EA7665">
        <w:rPr>
          <w:rFonts w:ascii="Arial" w:eastAsia="Calibri" w:hAnsi="Arial" w:cs="Arial"/>
          <w:lang w:val="en-NZ"/>
        </w:rPr>
        <w:t xml:space="preserve">ragmatic philosophy is useful for mixed-method research (Saunders et al. 2016). </w:t>
      </w:r>
      <w:r w:rsidR="008A3CC3">
        <w:rPr>
          <w:rFonts w:ascii="Arial" w:eastAsia="Calibri" w:hAnsi="Arial" w:cs="Arial"/>
          <w:lang w:val="en-NZ"/>
        </w:rPr>
        <w:t>Furthermore, th</w:t>
      </w:r>
      <w:r w:rsidR="001C1A76">
        <w:rPr>
          <w:rFonts w:ascii="Arial" w:eastAsia="Calibri" w:hAnsi="Arial" w:cs="Arial"/>
          <w:lang w:val="en-NZ"/>
        </w:rPr>
        <w:t>is</w:t>
      </w:r>
      <w:r w:rsidR="008A3CC3">
        <w:rPr>
          <w:rFonts w:ascii="Arial" w:eastAsia="Calibri" w:hAnsi="Arial" w:cs="Arial"/>
          <w:lang w:val="en-NZ"/>
        </w:rPr>
        <w:t xml:space="preserve"> research used both quantitative statistical analysis</w:t>
      </w:r>
      <w:r w:rsidR="00E207F3">
        <w:rPr>
          <w:rFonts w:ascii="Arial" w:eastAsia="Calibri" w:hAnsi="Arial" w:cs="Arial"/>
          <w:lang w:val="en-NZ"/>
        </w:rPr>
        <w:t>,</w:t>
      </w:r>
      <w:r w:rsidR="008A3CC3">
        <w:rPr>
          <w:rFonts w:ascii="Arial" w:eastAsia="Calibri" w:hAnsi="Arial" w:cs="Arial"/>
          <w:lang w:val="en-NZ"/>
        </w:rPr>
        <w:t xml:space="preserve"> which is a quality of positivism as well attempting to understand the different phenomena through analysing meanings people assign to these phenomena</w:t>
      </w:r>
      <w:r w:rsidR="00E207F3">
        <w:rPr>
          <w:rFonts w:ascii="Arial" w:eastAsia="Calibri" w:hAnsi="Arial" w:cs="Arial"/>
          <w:lang w:val="en-NZ"/>
        </w:rPr>
        <w:t>,</w:t>
      </w:r>
      <w:r w:rsidR="008A3CC3">
        <w:rPr>
          <w:rFonts w:ascii="Arial" w:eastAsia="Calibri" w:hAnsi="Arial" w:cs="Arial"/>
          <w:lang w:val="en-NZ"/>
        </w:rPr>
        <w:t xml:space="preserve"> which is a characteristic of </w:t>
      </w:r>
      <w:r w:rsidR="00F24D8B">
        <w:rPr>
          <w:rFonts w:ascii="Arial" w:eastAsia="Calibri" w:hAnsi="Arial" w:cs="Arial"/>
          <w:lang w:val="en-NZ"/>
        </w:rPr>
        <w:t>interpretivism. Th</w:t>
      </w:r>
      <w:r w:rsidR="00FC592D">
        <w:rPr>
          <w:rFonts w:ascii="Arial" w:eastAsia="Calibri" w:hAnsi="Arial" w:cs="Arial"/>
          <w:lang w:val="en-NZ"/>
        </w:rPr>
        <w:t>is</w:t>
      </w:r>
      <w:r w:rsidR="00F24D8B">
        <w:rPr>
          <w:rFonts w:ascii="Arial" w:eastAsia="Calibri" w:hAnsi="Arial" w:cs="Arial"/>
          <w:lang w:val="en-NZ"/>
        </w:rPr>
        <w:t xml:space="preserve"> incorporation of different strategies makes the philosophical background of this research pragmatic. </w:t>
      </w:r>
    </w:p>
    <w:p w14:paraId="5056C088" w14:textId="77777777" w:rsidR="00CD6352" w:rsidRPr="00742BCE" w:rsidRDefault="00CD6352" w:rsidP="00CD6352">
      <w:pPr>
        <w:pStyle w:val="Heading4"/>
        <w:spacing w:line="360" w:lineRule="auto"/>
        <w:jc w:val="both"/>
        <w:rPr>
          <w:rFonts w:ascii="Arial" w:eastAsia="Calibri" w:hAnsi="Arial" w:cs="Arial"/>
          <w:b/>
          <w:i w:val="0"/>
          <w:iCs w:val="0"/>
          <w:color w:val="auto"/>
        </w:rPr>
      </w:pPr>
      <w:r w:rsidRPr="00742BCE">
        <w:rPr>
          <w:rFonts w:ascii="Arial" w:eastAsia="Calibri" w:hAnsi="Arial" w:cs="Arial"/>
          <w:b/>
          <w:i w:val="0"/>
          <w:iCs w:val="0"/>
          <w:color w:val="auto"/>
        </w:rPr>
        <w:t>Ontological position</w:t>
      </w:r>
    </w:p>
    <w:p w14:paraId="2B24F7CD" w14:textId="1F10E021" w:rsidR="00CD6352" w:rsidRPr="00EA7665" w:rsidRDefault="00185F3F" w:rsidP="00CD6352">
      <w:pPr>
        <w:spacing w:line="360" w:lineRule="auto"/>
        <w:jc w:val="both"/>
        <w:rPr>
          <w:rFonts w:ascii="Arial" w:eastAsia="Calibri" w:hAnsi="Arial" w:cs="Arial"/>
        </w:rPr>
      </w:pPr>
      <w:r w:rsidRPr="007625E7">
        <w:rPr>
          <w:rFonts w:ascii="Arial" w:eastAsia="Calibri" w:hAnsi="Arial" w:cs="Arial"/>
        </w:rPr>
        <w:t xml:space="preserve">Ontology is concerned with the nature of the </w:t>
      </w:r>
      <w:r w:rsidRPr="00185F3F">
        <w:rPr>
          <w:rFonts w:ascii="Arial" w:eastAsia="Calibri" w:hAnsi="Arial" w:cs="Arial"/>
        </w:rPr>
        <w:t>phenomenon</w:t>
      </w:r>
      <w:r>
        <w:rPr>
          <w:rFonts w:ascii="Arial" w:eastAsia="Calibri" w:hAnsi="Arial" w:cs="Arial"/>
        </w:rPr>
        <w:t xml:space="preserve"> or nature of the reality that a researcher intends to study (</w:t>
      </w:r>
      <w:r w:rsidRPr="00F66F90">
        <w:rPr>
          <w:rFonts w:ascii="Arial" w:eastAsia="Calibri" w:hAnsi="Arial" w:cs="Arial"/>
        </w:rPr>
        <w:t>Bryman &amp; Bell, 2011</w:t>
      </w:r>
      <w:r>
        <w:rPr>
          <w:rFonts w:ascii="Arial" w:eastAsia="Calibri" w:hAnsi="Arial" w:cs="Arial"/>
        </w:rPr>
        <w:t>).</w:t>
      </w:r>
      <w:r w:rsidR="00515299">
        <w:rPr>
          <w:rFonts w:ascii="Arial" w:eastAsia="Calibri" w:hAnsi="Arial" w:cs="Arial"/>
        </w:rPr>
        <w:t xml:space="preserve"> </w:t>
      </w:r>
      <w:r w:rsidR="00CD6352" w:rsidRPr="00CB746A">
        <w:rPr>
          <w:rFonts w:ascii="Arial" w:eastAsia="Calibri" w:hAnsi="Arial" w:cs="Arial"/>
        </w:rPr>
        <w:t>Ontological assumptions are</w:t>
      </w:r>
      <w:r w:rsidR="00CD6352" w:rsidRPr="00EA7665">
        <w:rPr>
          <w:rFonts w:ascii="Arial" w:eastAsia="Calibri" w:hAnsi="Arial" w:cs="Arial"/>
        </w:rPr>
        <w:t xml:space="preserve"> the realities you encounter in your research and the extent and ways in which your values influence your research process</w:t>
      </w:r>
      <w:r w:rsidR="00091C7B">
        <w:rPr>
          <w:rFonts w:ascii="Arial" w:eastAsia="Calibri" w:hAnsi="Arial" w:cs="Arial"/>
        </w:rPr>
        <w:t>.</w:t>
      </w:r>
      <w:r w:rsidR="00CD6352" w:rsidRPr="00EA7665">
        <w:rPr>
          <w:rFonts w:ascii="Arial" w:eastAsia="Calibri" w:hAnsi="Arial" w:cs="Arial"/>
        </w:rPr>
        <w:t xml:space="preserve"> These assumptions shape how you understand your research questions, the methods you use, and how you interpret your findings (Bryman &amp; Bell, 2011). The question is whether social entities have a reality external to social actors. The ontological position is often referred to as objectivist and constructivist. Objectivis</w:t>
      </w:r>
      <w:r w:rsidR="00CD6352">
        <w:rPr>
          <w:rFonts w:ascii="Arial" w:eastAsia="Calibri" w:hAnsi="Arial" w:cs="Arial"/>
        </w:rPr>
        <w:t>t</w:t>
      </w:r>
      <w:r w:rsidR="00CD6352" w:rsidRPr="00EA7665">
        <w:rPr>
          <w:rFonts w:ascii="Arial" w:eastAsia="Calibri" w:hAnsi="Arial" w:cs="Arial"/>
        </w:rPr>
        <w:t xml:space="preserve"> ontology sees social phenomena and their meanings as existing independently of social actions. However, constructivist ontology infers </w:t>
      </w:r>
      <w:r w:rsidR="00CF244C" w:rsidRPr="00EA7665">
        <w:rPr>
          <w:rFonts w:ascii="Arial" w:eastAsia="Calibri" w:hAnsi="Arial" w:cs="Arial"/>
        </w:rPr>
        <w:t>those social phenomena</w:t>
      </w:r>
      <w:r w:rsidR="00CD6352" w:rsidRPr="00EA7665">
        <w:rPr>
          <w:rFonts w:ascii="Arial" w:eastAsia="Calibri" w:hAnsi="Arial" w:cs="Arial"/>
        </w:rPr>
        <w:t xml:space="preserve"> are produced through social interactions and are, therefore, in a consistent state of change (Bryman and Bell, 2007). </w:t>
      </w:r>
    </w:p>
    <w:p w14:paraId="44433782" w14:textId="09F08F03" w:rsidR="00CD6352" w:rsidRPr="00EA7665" w:rsidRDefault="00CD6352" w:rsidP="00CD6352">
      <w:pPr>
        <w:spacing w:before="240" w:after="0" w:line="360" w:lineRule="auto"/>
        <w:jc w:val="both"/>
        <w:rPr>
          <w:rFonts w:ascii="Arial" w:eastAsia="Calibri" w:hAnsi="Arial" w:cs="Arial"/>
          <w:b/>
        </w:rPr>
      </w:pPr>
      <w:r w:rsidRPr="00EA7665">
        <w:rPr>
          <w:rFonts w:ascii="Arial" w:eastAsia="Calibri" w:hAnsi="Arial" w:cs="Arial"/>
        </w:rPr>
        <w:t>Objectivism incorporates assumptions of the natural sciences that imply that the social reality that we research is external to others and us, i.e. social actors. However, constructionism asserts that social actors accomplish social phenomena and their meanings</w:t>
      </w:r>
      <w:r w:rsidR="003D3000">
        <w:rPr>
          <w:rFonts w:ascii="Arial" w:eastAsia="Calibri" w:hAnsi="Arial" w:cs="Arial"/>
        </w:rPr>
        <w:t xml:space="preserve"> </w:t>
      </w:r>
      <w:r w:rsidR="003D3000" w:rsidRPr="003D3000">
        <w:rPr>
          <w:rFonts w:ascii="Arial" w:eastAsia="Calibri" w:hAnsi="Arial" w:cs="Arial"/>
        </w:rPr>
        <w:t xml:space="preserve">(Eaterby-Smith </w:t>
      </w:r>
      <w:r w:rsidR="003D3000" w:rsidRPr="003D3000">
        <w:rPr>
          <w:rFonts w:ascii="Arial" w:eastAsia="Calibri" w:hAnsi="Arial" w:cs="Arial"/>
        </w:rPr>
        <w:lastRenderedPageBreak/>
        <w:t>et al., 2008).</w:t>
      </w:r>
      <w:r w:rsidR="003D3000">
        <w:rPr>
          <w:rFonts w:ascii="Arial" w:eastAsia="Calibri" w:hAnsi="Arial" w:cs="Arial"/>
        </w:rPr>
        <w:t xml:space="preserve"> </w:t>
      </w:r>
      <w:r w:rsidRPr="00EA7665">
        <w:rPr>
          <w:rFonts w:ascii="Arial" w:eastAsia="Calibri" w:hAnsi="Arial" w:cs="Arial"/>
        </w:rPr>
        <w:t xml:space="preserve"> It entails the researcher presenting his account of the social world. It is of the </w:t>
      </w:r>
      <w:r w:rsidRPr="00D95E8F">
        <w:rPr>
          <w:rFonts w:ascii="Arial" w:eastAsia="Calibri" w:hAnsi="Arial" w:cs="Arial"/>
        </w:rPr>
        <w:t>view that ‘reality ’is determined by people rather than by objective or external factors</w:t>
      </w:r>
      <w:r w:rsidR="009B75BA" w:rsidRPr="00D95E8F">
        <w:rPr>
          <w:rFonts w:ascii="Arial" w:eastAsia="Calibri" w:hAnsi="Arial" w:cs="Arial"/>
        </w:rPr>
        <w:t xml:space="preserve"> and </w:t>
      </w:r>
      <w:r w:rsidR="003D3000" w:rsidRPr="00D95E8F">
        <w:rPr>
          <w:rFonts w:ascii="Arial" w:eastAsia="Calibri" w:hAnsi="Arial" w:cs="Arial"/>
        </w:rPr>
        <w:t>is therefore in constant</w:t>
      </w:r>
      <w:r w:rsidR="009B75BA" w:rsidRPr="00D95E8F">
        <w:rPr>
          <w:rFonts w:ascii="Arial" w:eastAsia="Calibri" w:hAnsi="Arial" w:cs="Arial"/>
        </w:rPr>
        <w:t xml:space="preserve"> revision</w:t>
      </w:r>
      <w:r w:rsidRPr="00D95E8F">
        <w:rPr>
          <w:rFonts w:ascii="Arial" w:eastAsia="Calibri" w:hAnsi="Arial" w:cs="Arial"/>
        </w:rPr>
        <w:t xml:space="preserve">. Hence, </w:t>
      </w:r>
      <w:r w:rsidR="00FA59D1" w:rsidRPr="00D95E8F">
        <w:rPr>
          <w:rFonts w:ascii="Arial" w:eastAsia="Calibri" w:hAnsi="Arial" w:cs="Arial"/>
        </w:rPr>
        <w:t xml:space="preserve">the </w:t>
      </w:r>
      <w:r w:rsidRPr="00D95E8F">
        <w:rPr>
          <w:rFonts w:ascii="Arial" w:eastAsia="Calibri" w:hAnsi="Arial" w:cs="Arial"/>
        </w:rPr>
        <w:t>focus is on fact</w:t>
      </w:r>
      <w:r w:rsidR="00FA59D1" w:rsidRPr="00D95E8F">
        <w:rPr>
          <w:rFonts w:ascii="Arial" w:eastAsia="Calibri" w:hAnsi="Arial" w:cs="Arial"/>
        </w:rPr>
        <w:t>-</w:t>
      </w:r>
      <w:r w:rsidRPr="00D95E8F">
        <w:rPr>
          <w:rFonts w:ascii="Arial" w:eastAsia="Calibri" w:hAnsi="Arial" w:cs="Arial"/>
        </w:rPr>
        <w:t xml:space="preserve">gathering and measure through meanings people place on their experiences. </w:t>
      </w:r>
      <w:r w:rsidR="000A5DA3" w:rsidRPr="00D95E8F">
        <w:rPr>
          <w:rFonts w:ascii="Arial" w:eastAsia="Calibri" w:hAnsi="Arial" w:cs="Arial"/>
        </w:rPr>
        <w:t xml:space="preserve">This study adopted a combination of objectivism and constructivism </w:t>
      </w:r>
      <w:r w:rsidR="00DB7268" w:rsidRPr="00D95E8F">
        <w:rPr>
          <w:rFonts w:ascii="Arial" w:eastAsia="Calibri" w:hAnsi="Arial" w:cs="Arial"/>
        </w:rPr>
        <w:t>to add more brea</w:t>
      </w:r>
      <w:r w:rsidR="00FC592D" w:rsidRPr="00D95E8F">
        <w:rPr>
          <w:rFonts w:ascii="Arial" w:eastAsia="Calibri" w:hAnsi="Arial" w:cs="Arial"/>
        </w:rPr>
        <w:t>d</w:t>
      </w:r>
      <w:r w:rsidR="00DB7268" w:rsidRPr="00D95E8F">
        <w:rPr>
          <w:rFonts w:ascii="Arial" w:eastAsia="Calibri" w:hAnsi="Arial" w:cs="Arial"/>
        </w:rPr>
        <w:t>th and depth to the analysis</w:t>
      </w:r>
      <w:r w:rsidR="003D3000" w:rsidRPr="00D95E8F">
        <w:rPr>
          <w:rFonts w:ascii="Arial" w:eastAsia="Calibri" w:hAnsi="Arial" w:cs="Arial"/>
        </w:rPr>
        <w:t>.</w:t>
      </w:r>
      <w:r w:rsidRPr="00EA7665">
        <w:rPr>
          <w:rFonts w:ascii="Arial" w:eastAsia="Calibri" w:hAnsi="Arial" w:cs="Arial"/>
        </w:rPr>
        <w:tab/>
        <w:t xml:space="preserve"> </w:t>
      </w:r>
    </w:p>
    <w:p w14:paraId="61B54D5E" w14:textId="77777777" w:rsidR="00CD6352" w:rsidRPr="00EA7665" w:rsidRDefault="00CD6352" w:rsidP="00CD6352"/>
    <w:p w14:paraId="0365F282" w14:textId="77777777" w:rsidR="00CD6352" w:rsidRPr="00EA7665" w:rsidRDefault="00CD6352" w:rsidP="00CD6352">
      <w:pPr>
        <w:pStyle w:val="Heading3"/>
        <w:spacing w:line="360" w:lineRule="auto"/>
        <w:jc w:val="both"/>
        <w:rPr>
          <w:rFonts w:eastAsia="Calibri" w:cs="Arial"/>
          <w:sz w:val="22"/>
          <w:szCs w:val="22"/>
          <w:lang w:val="en-NZ"/>
        </w:rPr>
      </w:pPr>
      <w:bookmarkStart w:id="1024" w:name="_Toc78983822"/>
      <w:r w:rsidRPr="00EA7665">
        <w:rPr>
          <w:rFonts w:eastAsia="Calibri" w:cs="Arial"/>
          <w:sz w:val="22"/>
          <w:szCs w:val="22"/>
          <w:lang w:val="en-NZ"/>
        </w:rPr>
        <w:t>Research Approach</w:t>
      </w:r>
      <w:bookmarkEnd w:id="1024"/>
    </w:p>
    <w:p w14:paraId="79151328" w14:textId="5AD12B0D"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Th</w:t>
      </w:r>
      <w:r w:rsidR="003D3000">
        <w:rPr>
          <w:rFonts w:ascii="Arial" w:eastAsia="Calibri" w:hAnsi="Arial" w:cs="Arial"/>
          <w:lang w:val="en-NZ"/>
        </w:rPr>
        <w:t>is study combines both deductive and inductive approaches to theory development, which is often termed an abductive research approach. This is because the research started with some existing theories from reading academic literature, which is a significant component of the inductive approach because the data is used to explore a phenomenon, identify themes and patterns and create a conceptual framework, thus moving from data to the theory. Researchers using the inductive approach are more likely to use qualitative data and a variety of data collection methods to establish different views of a phenomenon (Saunders et al., 2016). The research approach provides a clear direction and course of action for the research activities</w:t>
      </w:r>
      <w:r w:rsidRPr="00EA7665">
        <w:rPr>
          <w:rFonts w:ascii="Arial" w:eastAsia="Calibri" w:hAnsi="Arial" w:cs="Arial"/>
          <w:lang w:val="en-NZ"/>
        </w:rPr>
        <w:t>. It entails generating or building theories.</w:t>
      </w:r>
    </w:p>
    <w:p w14:paraId="388CCCA2" w14:textId="7C37262F"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This research is abductive because it used a combination of deductive and inductive approaches, and this is the approach used by many social sciences researchers. Data collection is used to explore a phenomenon, identify themes and patterns, locate this in a conceptual framework and test through subsequent data collection</w:t>
      </w:r>
      <w:r>
        <w:rPr>
          <w:rFonts w:ascii="Arial" w:eastAsia="Calibri" w:hAnsi="Arial" w:cs="Arial"/>
          <w:lang w:val="en-NZ"/>
        </w:rPr>
        <w:t>.</w:t>
      </w:r>
      <w:r w:rsidRPr="00EA7665">
        <w:rPr>
          <w:rFonts w:ascii="Arial" w:eastAsia="Calibri" w:hAnsi="Arial" w:cs="Arial"/>
          <w:lang w:val="en-NZ"/>
        </w:rPr>
        <w:t xml:space="preserve"> </w:t>
      </w:r>
      <w:r>
        <w:rPr>
          <w:rFonts w:ascii="Arial" w:eastAsia="Calibri" w:hAnsi="Arial" w:cs="Arial"/>
          <w:lang w:val="en-NZ"/>
        </w:rPr>
        <w:t>This</w:t>
      </w:r>
      <w:r w:rsidRPr="00EA7665">
        <w:rPr>
          <w:rFonts w:ascii="Arial" w:eastAsia="Calibri" w:hAnsi="Arial" w:cs="Arial"/>
          <w:lang w:val="en-NZ"/>
        </w:rPr>
        <w:t xml:space="preserve"> results in theory generation or modification, incorporating existing theory/theories</w:t>
      </w:r>
      <w:r w:rsidR="00D95E8F">
        <w:rPr>
          <w:rFonts w:ascii="Arial" w:eastAsia="Calibri" w:hAnsi="Arial" w:cs="Arial"/>
          <w:lang w:val="en-NZ"/>
        </w:rPr>
        <w:t>.</w:t>
      </w:r>
    </w:p>
    <w:p w14:paraId="0C933A4C" w14:textId="77777777" w:rsidR="00CD6352" w:rsidRPr="00EA7665" w:rsidRDefault="00CD6352" w:rsidP="00CD6352">
      <w:pPr>
        <w:spacing w:after="0" w:line="360" w:lineRule="auto"/>
        <w:jc w:val="both"/>
        <w:rPr>
          <w:rFonts w:ascii="Arial" w:eastAsia="Calibri" w:hAnsi="Arial" w:cs="Arial"/>
          <w:lang w:val="en-NZ"/>
        </w:rPr>
      </w:pPr>
    </w:p>
    <w:p w14:paraId="0730281D" w14:textId="77777777" w:rsidR="00CD6352" w:rsidRPr="00DE6BB5" w:rsidRDefault="00CD6352" w:rsidP="00CD6352">
      <w:pPr>
        <w:pStyle w:val="Heading3"/>
        <w:spacing w:line="360" w:lineRule="auto"/>
        <w:jc w:val="both"/>
        <w:rPr>
          <w:rFonts w:eastAsia="Calibri" w:cs="Arial"/>
          <w:sz w:val="22"/>
          <w:szCs w:val="22"/>
          <w:lang w:val="en-NZ"/>
        </w:rPr>
      </w:pPr>
      <w:r w:rsidRPr="00EA7665">
        <w:rPr>
          <w:rFonts w:eastAsia="Calibri" w:cs="Arial"/>
          <w:sz w:val="22"/>
          <w:szCs w:val="22"/>
          <w:lang w:val="en-NZ"/>
        </w:rPr>
        <w:t xml:space="preserve"> </w:t>
      </w:r>
      <w:bookmarkStart w:id="1025" w:name="_Toc78983823"/>
      <w:r w:rsidRPr="00DE6BB5">
        <w:rPr>
          <w:rFonts w:eastAsia="Calibri" w:cs="Arial"/>
          <w:sz w:val="22"/>
          <w:szCs w:val="22"/>
          <w:lang w:val="en-NZ"/>
        </w:rPr>
        <w:t>Research Strategy</w:t>
      </w:r>
      <w:bookmarkEnd w:id="1025"/>
    </w:p>
    <w:p w14:paraId="5D7FA458" w14:textId="74C3C274" w:rsidR="00CD6352" w:rsidRPr="00EA7665" w:rsidRDefault="00CD6352" w:rsidP="00CD6352">
      <w:pPr>
        <w:spacing w:after="0" w:line="360" w:lineRule="auto"/>
        <w:jc w:val="both"/>
        <w:rPr>
          <w:rFonts w:ascii="Arial" w:eastAsia="Calibri" w:hAnsi="Arial" w:cs="Arial"/>
          <w:lang w:val="en-NZ"/>
        </w:rPr>
      </w:pPr>
      <w:r w:rsidRPr="00DE6BB5">
        <w:rPr>
          <w:rFonts w:ascii="Arial" w:eastAsia="Calibri" w:hAnsi="Arial" w:cs="Arial"/>
          <w:lang w:val="en-NZ"/>
        </w:rPr>
        <w:t xml:space="preserve">The research strategy is a plan on how a researcher will </w:t>
      </w:r>
      <w:r w:rsidR="003D3000">
        <w:rPr>
          <w:rFonts w:ascii="Arial" w:eastAsia="Calibri" w:hAnsi="Arial" w:cs="Arial"/>
          <w:lang w:val="en-NZ"/>
        </w:rPr>
        <w:t>address the research problem and answer</w:t>
      </w:r>
      <w:r w:rsidRPr="00EA7665">
        <w:rPr>
          <w:rFonts w:ascii="Arial" w:eastAsia="Calibri" w:hAnsi="Arial" w:cs="Arial"/>
          <w:lang w:val="en-NZ"/>
        </w:rPr>
        <w:t xml:space="preserve"> his/her research question</w:t>
      </w:r>
      <w:r>
        <w:rPr>
          <w:rFonts w:ascii="Arial" w:eastAsia="Calibri" w:hAnsi="Arial" w:cs="Arial"/>
          <w:lang w:val="en-NZ"/>
        </w:rPr>
        <w:t>s</w:t>
      </w:r>
      <w:r w:rsidRPr="00EA7665">
        <w:rPr>
          <w:rFonts w:ascii="Arial" w:eastAsia="Calibri" w:hAnsi="Arial" w:cs="Arial"/>
          <w:lang w:val="en-NZ"/>
        </w:rPr>
        <w:t>. It articulates the nature of the research being conducted and the type of data to be collected. It is linked between your philosophy and choice of methods to collect and analyse data. The different strategies are associated with quantitative, qualitative and mixed methods research designs (Saunders et al., 2016).</w:t>
      </w:r>
    </w:p>
    <w:p w14:paraId="04D0AC93" w14:textId="7AFEFF90" w:rsidR="00CD6352" w:rsidRPr="00EA7665" w:rsidRDefault="00CD6352" w:rsidP="00CD6352">
      <w:pPr>
        <w:spacing w:before="240" w:after="0" w:line="360" w:lineRule="auto"/>
        <w:jc w:val="both"/>
        <w:rPr>
          <w:rFonts w:ascii="Arial" w:eastAsia="Calibri" w:hAnsi="Arial" w:cs="Arial"/>
          <w:lang w:val="en-NZ"/>
        </w:rPr>
      </w:pPr>
      <w:r w:rsidRPr="00EA7665">
        <w:rPr>
          <w:rFonts w:ascii="Arial" w:eastAsia="Calibri" w:hAnsi="Arial" w:cs="Arial"/>
          <w:lang w:val="en-NZ"/>
        </w:rPr>
        <w:t>There are eight (8) common types of research strategies in social sciences, namely: experiment, survey, case study, ground theory, ethnography, action research, cross-sectional and longitudinal studies (Saunders et al., 2016; Yin, 2009). Each research strategy has a specific approach to collecting data</w:t>
      </w:r>
      <w:r w:rsidR="001823C7">
        <w:rPr>
          <w:rFonts w:ascii="Arial" w:eastAsia="Calibri" w:hAnsi="Arial" w:cs="Arial"/>
          <w:lang w:val="en-NZ"/>
        </w:rPr>
        <w:t xml:space="preserve"> and</w:t>
      </w:r>
      <w:r w:rsidRPr="00EA7665">
        <w:rPr>
          <w:rFonts w:ascii="Arial" w:eastAsia="Calibri" w:hAnsi="Arial" w:cs="Arial"/>
          <w:lang w:val="en-NZ"/>
        </w:rPr>
        <w:t xml:space="preserve"> associated advantages and disadvantages (Yin, 2009). </w:t>
      </w:r>
    </w:p>
    <w:p w14:paraId="54792665" w14:textId="08689E35" w:rsidR="00CD6352" w:rsidRDefault="00DD674A" w:rsidP="00CD6352">
      <w:pPr>
        <w:spacing w:before="240" w:line="360" w:lineRule="auto"/>
        <w:jc w:val="both"/>
        <w:rPr>
          <w:rFonts w:ascii="Arial" w:eastAsia="Calibri" w:hAnsi="Arial" w:cs="Arial"/>
        </w:rPr>
      </w:pPr>
      <w:r>
        <w:rPr>
          <w:rFonts w:ascii="Arial" w:eastAsia="Calibri" w:hAnsi="Arial" w:cs="Arial"/>
          <w:lang w:val="en-NZ"/>
        </w:rPr>
        <w:t xml:space="preserve">This study could be said to have used a combination of case study and survey research </w:t>
      </w:r>
      <w:r w:rsidR="00780DEA">
        <w:rPr>
          <w:rFonts w:ascii="Arial" w:eastAsia="Calibri" w:hAnsi="Arial" w:cs="Arial"/>
          <w:lang w:val="en-NZ"/>
        </w:rPr>
        <w:t>strategies.</w:t>
      </w:r>
      <w:r>
        <w:rPr>
          <w:rFonts w:ascii="Arial" w:eastAsia="Calibri" w:hAnsi="Arial" w:cs="Arial"/>
          <w:lang w:val="en-NZ"/>
        </w:rPr>
        <w:t xml:space="preserve"> </w:t>
      </w:r>
      <w:r w:rsidR="001C7520">
        <w:rPr>
          <w:rFonts w:ascii="Arial" w:eastAsia="Calibri" w:hAnsi="Arial" w:cs="Arial"/>
          <w:lang w:val="en-NZ"/>
        </w:rPr>
        <w:t xml:space="preserve">The case study in this context is that </w:t>
      </w:r>
      <w:r w:rsidR="002637D5">
        <w:rPr>
          <w:rFonts w:ascii="Arial" w:eastAsia="Calibri" w:hAnsi="Arial" w:cs="Arial"/>
          <w:lang w:val="en-NZ"/>
        </w:rPr>
        <w:t>the research is</w:t>
      </w:r>
      <w:r w:rsidR="001C7520">
        <w:rPr>
          <w:rFonts w:ascii="Arial" w:eastAsia="Calibri" w:hAnsi="Arial" w:cs="Arial"/>
          <w:lang w:val="en-NZ"/>
        </w:rPr>
        <w:t xml:space="preserve"> focused on </w:t>
      </w:r>
      <w:r w:rsidR="002637D5">
        <w:rPr>
          <w:rFonts w:ascii="Arial" w:eastAsia="Calibri" w:hAnsi="Arial" w:cs="Arial"/>
          <w:lang w:val="en-NZ"/>
        </w:rPr>
        <w:t xml:space="preserve">the selected </w:t>
      </w:r>
      <w:r w:rsidR="001C7520">
        <w:rPr>
          <w:rFonts w:ascii="Arial" w:eastAsia="Calibri" w:hAnsi="Arial" w:cs="Arial"/>
          <w:lang w:val="en-NZ"/>
        </w:rPr>
        <w:t xml:space="preserve">three </w:t>
      </w:r>
      <w:r w:rsidR="001C7520">
        <w:rPr>
          <w:rFonts w:ascii="Arial" w:eastAsia="Calibri" w:hAnsi="Arial" w:cs="Arial"/>
          <w:lang w:val="en-NZ"/>
        </w:rPr>
        <w:lastRenderedPageBreak/>
        <w:t xml:space="preserve">developed and three emerging economies each. </w:t>
      </w:r>
      <w:r w:rsidR="002637D5">
        <w:rPr>
          <w:rFonts w:ascii="Arial" w:eastAsia="Calibri" w:hAnsi="Arial" w:cs="Arial"/>
          <w:lang w:val="en-NZ"/>
        </w:rPr>
        <w:t>Furthermore, a</w:t>
      </w:r>
      <w:r w:rsidR="00CD6352" w:rsidRPr="00EA7665">
        <w:rPr>
          <w:rFonts w:ascii="Arial" w:eastAsia="Calibri" w:hAnsi="Arial" w:cs="Arial"/>
          <w:lang w:val="en-NZ"/>
        </w:rPr>
        <w:t xml:space="preserve"> survey research strategy was </w:t>
      </w:r>
      <w:r w:rsidR="002637D5">
        <w:rPr>
          <w:rFonts w:ascii="Arial" w:eastAsia="Calibri" w:hAnsi="Arial" w:cs="Arial"/>
          <w:lang w:val="en-NZ"/>
        </w:rPr>
        <w:t xml:space="preserve">also </w:t>
      </w:r>
      <w:r w:rsidR="00CD6352" w:rsidRPr="00EA7665">
        <w:rPr>
          <w:rFonts w:ascii="Arial" w:eastAsia="Calibri" w:hAnsi="Arial" w:cs="Arial"/>
          <w:lang w:val="en-NZ"/>
        </w:rPr>
        <w:t xml:space="preserve">used </w:t>
      </w:r>
      <w:r w:rsidR="002637D5">
        <w:rPr>
          <w:rFonts w:ascii="Arial" w:eastAsia="Calibri" w:hAnsi="Arial" w:cs="Arial"/>
          <w:lang w:val="en-NZ"/>
        </w:rPr>
        <w:t>in</w:t>
      </w:r>
      <w:r w:rsidR="00CD6352" w:rsidRPr="00EA7665">
        <w:rPr>
          <w:rFonts w:ascii="Arial" w:eastAsia="Calibri" w:hAnsi="Arial" w:cs="Arial"/>
          <w:lang w:val="en-NZ"/>
        </w:rPr>
        <w:t xml:space="preserve"> this research to collect in-depth data</w:t>
      </w:r>
      <w:r w:rsidR="002637D5">
        <w:rPr>
          <w:rFonts w:ascii="Arial" w:eastAsia="Calibri" w:hAnsi="Arial" w:cs="Arial"/>
          <w:lang w:val="en-NZ"/>
        </w:rPr>
        <w:t xml:space="preserve"> from managers operating in the real estate sectors of the selected countries. The</w:t>
      </w:r>
      <w:r w:rsidR="00CD6352" w:rsidRPr="00EA7665">
        <w:rPr>
          <w:rFonts w:ascii="Arial" w:eastAsia="Calibri" w:hAnsi="Arial" w:cs="Arial"/>
          <w:lang w:val="en-NZ"/>
        </w:rPr>
        <w:t xml:space="preserve"> study used questionnaire survey and semi-structured interviews for data collection. </w:t>
      </w:r>
      <w:r w:rsidR="00CD6352" w:rsidRPr="00EA7665">
        <w:rPr>
          <w:rFonts w:ascii="Arial" w:eastAsia="Calibri" w:hAnsi="Arial" w:cs="Arial"/>
        </w:rPr>
        <w:t xml:space="preserve"> Information was collected from a representative population</w:t>
      </w:r>
      <w:r w:rsidR="00F46240">
        <w:rPr>
          <w:rFonts w:ascii="Arial" w:eastAsia="Calibri" w:hAnsi="Arial" w:cs="Arial"/>
        </w:rPr>
        <w:t>; a</w:t>
      </w:r>
      <w:r w:rsidR="001823C7">
        <w:rPr>
          <w:rFonts w:ascii="Arial" w:eastAsia="Calibri" w:hAnsi="Arial" w:cs="Arial"/>
        </w:rPr>
        <w:t xml:space="preserve">ll </w:t>
      </w:r>
      <w:r w:rsidR="001823C7" w:rsidRPr="002D5E83">
        <w:rPr>
          <w:rFonts w:ascii="Arial" w:eastAsia="Calibri" w:hAnsi="Arial" w:cs="Arial"/>
        </w:rPr>
        <w:t>respondents are asked the same questions in all survey</w:t>
      </w:r>
      <w:r w:rsidR="00CD6352" w:rsidRPr="002D5E83">
        <w:rPr>
          <w:rFonts w:ascii="Arial" w:eastAsia="Calibri" w:hAnsi="Arial" w:cs="Arial"/>
        </w:rPr>
        <w:t xml:space="preserve">s and </w:t>
      </w:r>
      <w:r w:rsidR="00F46240" w:rsidRPr="002D5E83">
        <w:rPr>
          <w:rFonts w:ascii="Arial" w:eastAsia="Calibri" w:hAnsi="Arial" w:cs="Arial"/>
        </w:rPr>
        <w:t>similar</w:t>
      </w:r>
      <w:r w:rsidR="00CD6352" w:rsidRPr="002D5E83">
        <w:rPr>
          <w:rFonts w:ascii="Arial" w:eastAsia="Calibri" w:hAnsi="Arial" w:cs="Arial"/>
        </w:rPr>
        <w:t xml:space="preserve"> circumstances</w:t>
      </w:r>
      <w:r w:rsidR="00F46240" w:rsidRPr="002D5E83">
        <w:rPr>
          <w:rFonts w:ascii="Arial" w:eastAsia="Calibri" w:hAnsi="Arial" w:cs="Arial"/>
        </w:rPr>
        <w:t>.</w:t>
      </w:r>
      <w:r w:rsidR="00AC0E5E" w:rsidRPr="002D5E83">
        <w:rPr>
          <w:rFonts w:ascii="Arial" w:eastAsia="Calibri" w:hAnsi="Arial" w:cs="Arial"/>
        </w:rPr>
        <w:t xml:space="preserve"> Using a survey research strategy enabled </w:t>
      </w:r>
      <w:r w:rsidR="001A58CC" w:rsidRPr="002D5E83">
        <w:rPr>
          <w:rFonts w:ascii="Arial" w:eastAsia="Calibri" w:hAnsi="Arial" w:cs="Arial"/>
        </w:rPr>
        <w:t xml:space="preserve">the </w:t>
      </w:r>
      <w:r w:rsidR="00AC0E5E" w:rsidRPr="002D5E83">
        <w:rPr>
          <w:rFonts w:ascii="Arial" w:eastAsia="Calibri" w:hAnsi="Arial" w:cs="Arial"/>
        </w:rPr>
        <w:t>effective collection of in</w:t>
      </w:r>
      <w:r w:rsidR="001A58CC" w:rsidRPr="002D5E83">
        <w:rPr>
          <w:rFonts w:ascii="Arial" w:eastAsia="Calibri" w:hAnsi="Arial" w:cs="Arial"/>
        </w:rPr>
        <w:t>-</w:t>
      </w:r>
      <w:r w:rsidR="00AC0E5E" w:rsidRPr="002D5E83">
        <w:rPr>
          <w:rFonts w:ascii="Arial" w:eastAsia="Calibri" w:hAnsi="Arial" w:cs="Arial"/>
        </w:rPr>
        <w:t>depth data that could be inferred to the population as a whole.</w:t>
      </w:r>
    </w:p>
    <w:p w14:paraId="30C19C09" w14:textId="41652363" w:rsidR="002D5E83" w:rsidRDefault="004B2FAF" w:rsidP="00CD6352">
      <w:pPr>
        <w:spacing w:before="240" w:line="360" w:lineRule="auto"/>
        <w:jc w:val="both"/>
        <w:rPr>
          <w:rFonts w:ascii="Arial" w:eastAsia="Calibri" w:hAnsi="Arial" w:cs="Arial"/>
        </w:rPr>
      </w:pPr>
      <w:r>
        <w:rPr>
          <w:rFonts w:ascii="Arial" w:eastAsia="Calibri" w:hAnsi="Arial" w:cs="Arial"/>
        </w:rPr>
        <w:t xml:space="preserve">Using the case study of the selected three emerging and three developed economies enabled the study to generate </w:t>
      </w:r>
      <w:r w:rsidR="001D572E">
        <w:rPr>
          <w:rFonts w:ascii="Arial" w:eastAsia="Calibri" w:hAnsi="Arial" w:cs="Arial"/>
        </w:rPr>
        <w:t xml:space="preserve">an </w:t>
      </w:r>
      <w:r>
        <w:rPr>
          <w:rFonts w:ascii="Arial" w:eastAsia="Calibri" w:hAnsi="Arial" w:cs="Arial"/>
        </w:rPr>
        <w:t>in-depth, multi-faceted understanding of the practical reality of the real estate</w:t>
      </w:r>
      <w:r w:rsidR="002D5E83">
        <w:rPr>
          <w:rFonts w:ascii="Arial" w:eastAsia="Calibri" w:hAnsi="Arial" w:cs="Arial"/>
        </w:rPr>
        <w:t xml:space="preserve"> sectors in the s</w:t>
      </w:r>
      <w:r>
        <w:rPr>
          <w:rFonts w:ascii="Arial" w:eastAsia="Calibri" w:hAnsi="Arial" w:cs="Arial"/>
        </w:rPr>
        <w:t>pecifi</w:t>
      </w:r>
      <w:r w:rsidR="002D5E83">
        <w:rPr>
          <w:rFonts w:ascii="Arial" w:eastAsia="Calibri" w:hAnsi="Arial" w:cs="Arial"/>
        </w:rPr>
        <w:t>ed countries.</w:t>
      </w:r>
    </w:p>
    <w:p w14:paraId="1E180E62" w14:textId="77777777" w:rsidR="00F46240" w:rsidRPr="00EA7665" w:rsidRDefault="00F46240" w:rsidP="00CD6352">
      <w:pPr>
        <w:spacing w:before="240" w:line="360" w:lineRule="auto"/>
        <w:jc w:val="both"/>
        <w:rPr>
          <w:rFonts w:ascii="Arial" w:eastAsia="Calibri" w:hAnsi="Arial" w:cs="Arial"/>
        </w:rPr>
      </w:pPr>
    </w:p>
    <w:p w14:paraId="46C2C3DD" w14:textId="77777777" w:rsidR="00CD6352" w:rsidRPr="00EA7665" w:rsidRDefault="00CD6352" w:rsidP="00CD6352">
      <w:pPr>
        <w:pStyle w:val="Heading3"/>
        <w:spacing w:after="240"/>
        <w:rPr>
          <w:rFonts w:eastAsia="Calibri"/>
          <w:sz w:val="22"/>
          <w:szCs w:val="22"/>
          <w:lang w:val="en-NZ"/>
        </w:rPr>
      </w:pPr>
      <w:bookmarkStart w:id="1026" w:name="_Toc78983824"/>
      <w:r w:rsidRPr="00EA7665">
        <w:rPr>
          <w:rFonts w:eastAsia="Calibri"/>
          <w:sz w:val="22"/>
          <w:szCs w:val="22"/>
          <w:lang w:val="en-NZ"/>
        </w:rPr>
        <w:t>Research Choice</w:t>
      </w:r>
      <w:bookmarkEnd w:id="1026"/>
    </w:p>
    <w:p w14:paraId="38E0C097" w14:textId="75A356BA"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 xml:space="preserve">This research adopted a mixed methodological choice. The first methodological choice is to decide whether to follow a quantitative, </w:t>
      </w:r>
      <w:r w:rsidR="00525103" w:rsidRPr="00EA7665">
        <w:rPr>
          <w:rFonts w:ascii="Arial" w:eastAsia="Calibri" w:hAnsi="Arial" w:cs="Arial"/>
          <w:lang w:val="en-NZ"/>
        </w:rPr>
        <w:t>qualitative,</w:t>
      </w:r>
      <w:r w:rsidRPr="00EA7665">
        <w:rPr>
          <w:rFonts w:ascii="Arial" w:eastAsia="Calibri" w:hAnsi="Arial" w:cs="Arial"/>
          <w:lang w:val="en-NZ"/>
        </w:rPr>
        <w:t xml:space="preserve"> or mixed-method research design. The usage of either </w:t>
      </w:r>
      <w:r>
        <w:rPr>
          <w:rFonts w:ascii="Arial" w:eastAsia="Calibri" w:hAnsi="Arial" w:cs="Arial"/>
          <w:lang w:val="en-NZ"/>
        </w:rPr>
        <w:t xml:space="preserve">a </w:t>
      </w:r>
      <w:r w:rsidRPr="00EA7665">
        <w:rPr>
          <w:rFonts w:ascii="Arial" w:eastAsia="Calibri" w:hAnsi="Arial" w:cs="Arial"/>
          <w:lang w:val="en-NZ"/>
        </w:rPr>
        <w:t xml:space="preserve">quantitative or qualitative method is the mono method, while more than one method is a multi-method. Mixed-method research is an integration of quantitative and qualitative methods (Creswell and Clark, 2011). Quantitative is often associated with data collection techniques such </w:t>
      </w:r>
      <w:r w:rsidR="00525103" w:rsidRPr="00EA7665">
        <w:rPr>
          <w:rFonts w:ascii="Arial" w:eastAsia="Calibri" w:hAnsi="Arial" w:cs="Arial"/>
          <w:lang w:val="en-NZ"/>
        </w:rPr>
        <w:t>as a</w:t>
      </w:r>
      <w:r>
        <w:rPr>
          <w:rFonts w:ascii="Arial" w:eastAsia="Calibri" w:hAnsi="Arial" w:cs="Arial"/>
          <w:lang w:val="en-NZ"/>
        </w:rPr>
        <w:t xml:space="preserve"> </w:t>
      </w:r>
      <w:r w:rsidRPr="00EA7665">
        <w:rPr>
          <w:rFonts w:ascii="Arial" w:eastAsia="Calibri" w:hAnsi="Arial" w:cs="Arial"/>
          <w:lang w:val="en-NZ"/>
        </w:rPr>
        <w:t>questionnaire or data analysis procedures such as graphs or statistics that generate or use numeric data. Qualitative is often associated with data collection techniques such as interviews or data analysis procedures such as categorising data that produces or uses non-numeric data.</w:t>
      </w:r>
    </w:p>
    <w:p w14:paraId="21492963" w14:textId="65A07B8D"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 xml:space="preserve">Social sciences research design often uses mixed methods, which is a combination of </w:t>
      </w:r>
      <w:r w:rsidR="00665560">
        <w:rPr>
          <w:rFonts w:ascii="Arial" w:eastAsia="Calibri" w:hAnsi="Arial" w:cs="Arial"/>
          <w:lang w:val="en-NZ"/>
        </w:rPr>
        <w:t>quantitative and qualitative element</w:t>
      </w:r>
      <w:r w:rsidRPr="00EA7665">
        <w:rPr>
          <w:rFonts w:ascii="Arial" w:eastAsia="Calibri" w:hAnsi="Arial" w:cs="Arial"/>
          <w:lang w:val="en-NZ"/>
        </w:rPr>
        <w:t xml:space="preserve">s adopted by this research.  The usage of these two approaches provides a better understanding of the research problem than either method alone. </w:t>
      </w:r>
    </w:p>
    <w:p w14:paraId="0EC58E37" w14:textId="77777777" w:rsidR="00CD6352" w:rsidRPr="00EA7665" w:rsidRDefault="00CD6352" w:rsidP="00CD6352">
      <w:pPr>
        <w:spacing w:after="0" w:line="360" w:lineRule="auto"/>
        <w:jc w:val="both"/>
        <w:rPr>
          <w:rFonts w:ascii="Arial" w:eastAsia="Calibri" w:hAnsi="Arial" w:cs="Arial"/>
          <w:lang w:val="en-NZ"/>
        </w:rPr>
      </w:pPr>
    </w:p>
    <w:p w14:paraId="4BED7FE3" w14:textId="77777777" w:rsidR="00CD6352" w:rsidRPr="00EA7665" w:rsidRDefault="00CD6352" w:rsidP="00CD6352">
      <w:pPr>
        <w:keepNext/>
        <w:spacing w:after="0" w:line="360" w:lineRule="auto"/>
        <w:jc w:val="both"/>
      </w:pPr>
      <w:r w:rsidRPr="00EA7665">
        <w:rPr>
          <w:rFonts w:ascii="Arial" w:hAnsi="Arial" w:cs="Arial"/>
          <w:noProof/>
          <w:lang w:eastAsia="en-GB"/>
        </w:rPr>
        <w:drawing>
          <wp:inline distT="0" distB="0" distL="0" distR="0" wp14:anchorId="37D16620" wp14:editId="6AAA6FE8">
            <wp:extent cx="5718833" cy="1204175"/>
            <wp:effectExtent l="0" t="0" r="0" b="0"/>
            <wp:docPr id="26" name="Picture 26" descr="https://www.researchgate.net/profile/Hajer_Al-Dahash/publication/320042302/figure/fig1/AS:543017851252736@1506476952972/Research-Choices-Saunders-et-al-2016-p-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searchgate.net/profile/Hajer_Al-Dahash/publication/320042302/figure/fig1/AS:543017851252736@1506476952972/Research-Choices-Saunders-et-al-2016-p-15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1652" cy="1208980"/>
                    </a:xfrm>
                    <a:prstGeom prst="rect">
                      <a:avLst/>
                    </a:prstGeom>
                    <a:noFill/>
                    <a:ln>
                      <a:noFill/>
                    </a:ln>
                  </pic:spPr>
                </pic:pic>
              </a:graphicData>
            </a:graphic>
          </wp:inline>
        </w:drawing>
      </w:r>
    </w:p>
    <w:p w14:paraId="7150123C" w14:textId="34611D52" w:rsidR="00CD6352" w:rsidRPr="00EA7665" w:rsidRDefault="00CD6352" w:rsidP="00CD6352">
      <w:pPr>
        <w:pStyle w:val="Caption"/>
        <w:spacing w:after="0"/>
        <w:jc w:val="both"/>
        <w:rPr>
          <w:rFonts w:ascii="Arial" w:hAnsi="Arial" w:cs="Arial"/>
          <w:sz w:val="16"/>
          <w:szCs w:val="16"/>
          <w:lang w:val="en-NZ"/>
        </w:rPr>
      </w:pPr>
      <w:bookmarkStart w:id="1027" w:name="_Toc78739573"/>
      <w:r w:rsidRPr="00EA7665">
        <w:rPr>
          <w:rFonts w:ascii="Arial" w:hAnsi="Arial" w:cs="Arial"/>
          <w:sz w:val="16"/>
          <w:szCs w:val="16"/>
        </w:rPr>
        <w:t xml:space="preserve">Figure </w:t>
      </w:r>
      <w:r w:rsidR="00324B0D">
        <w:rPr>
          <w:rFonts w:ascii="Arial" w:hAnsi="Arial" w:cs="Arial"/>
          <w:sz w:val="16"/>
          <w:szCs w:val="16"/>
        </w:rPr>
        <w:fldChar w:fldCharType="begin"/>
      </w:r>
      <w:r w:rsidR="00324B0D">
        <w:rPr>
          <w:rFonts w:ascii="Arial" w:hAnsi="Arial" w:cs="Arial"/>
          <w:sz w:val="16"/>
          <w:szCs w:val="16"/>
        </w:rPr>
        <w:instrText xml:space="preserve"> STYLEREF 2 \s </w:instrText>
      </w:r>
      <w:r w:rsidR="00324B0D">
        <w:rPr>
          <w:rFonts w:ascii="Arial" w:hAnsi="Arial" w:cs="Arial"/>
          <w:sz w:val="16"/>
          <w:szCs w:val="16"/>
        </w:rPr>
        <w:fldChar w:fldCharType="separate"/>
      </w:r>
      <w:r w:rsidR="00324B0D">
        <w:rPr>
          <w:rFonts w:ascii="Arial" w:hAnsi="Arial" w:cs="Arial"/>
          <w:noProof/>
          <w:sz w:val="16"/>
          <w:szCs w:val="16"/>
        </w:rPr>
        <w:t>4.5</w:t>
      </w:r>
      <w:r w:rsidR="00324B0D">
        <w:rPr>
          <w:rFonts w:ascii="Arial" w:hAnsi="Arial" w:cs="Arial"/>
          <w:sz w:val="16"/>
          <w:szCs w:val="16"/>
        </w:rPr>
        <w:fldChar w:fldCharType="end"/>
      </w:r>
      <w:r w:rsidR="00324B0D">
        <w:rPr>
          <w:rFonts w:ascii="Arial" w:hAnsi="Arial" w:cs="Arial"/>
          <w:sz w:val="16"/>
          <w:szCs w:val="16"/>
        </w:rPr>
        <w:noBreakHyphen/>
      </w:r>
      <w:r w:rsidR="00324B0D">
        <w:rPr>
          <w:rFonts w:ascii="Arial" w:hAnsi="Arial" w:cs="Arial"/>
          <w:sz w:val="16"/>
          <w:szCs w:val="16"/>
        </w:rPr>
        <w:fldChar w:fldCharType="begin"/>
      </w:r>
      <w:r w:rsidR="00324B0D">
        <w:rPr>
          <w:rFonts w:ascii="Arial" w:hAnsi="Arial" w:cs="Arial"/>
          <w:sz w:val="16"/>
          <w:szCs w:val="16"/>
        </w:rPr>
        <w:instrText xml:space="preserve"> SEQ Figure \* ARABIC \s 2 </w:instrText>
      </w:r>
      <w:r w:rsidR="00324B0D">
        <w:rPr>
          <w:rFonts w:ascii="Arial" w:hAnsi="Arial" w:cs="Arial"/>
          <w:sz w:val="16"/>
          <w:szCs w:val="16"/>
        </w:rPr>
        <w:fldChar w:fldCharType="separate"/>
      </w:r>
      <w:r w:rsidR="00324B0D">
        <w:rPr>
          <w:rFonts w:ascii="Arial" w:hAnsi="Arial" w:cs="Arial"/>
          <w:noProof/>
          <w:sz w:val="16"/>
          <w:szCs w:val="16"/>
        </w:rPr>
        <w:t>2</w:t>
      </w:r>
      <w:r w:rsidR="00324B0D">
        <w:rPr>
          <w:rFonts w:ascii="Arial" w:hAnsi="Arial" w:cs="Arial"/>
          <w:sz w:val="16"/>
          <w:szCs w:val="16"/>
        </w:rPr>
        <w:fldChar w:fldCharType="end"/>
      </w:r>
      <w:r w:rsidRPr="00EA7665">
        <w:rPr>
          <w:rFonts w:ascii="Arial" w:hAnsi="Arial" w:cs="Arial"/>
          <w:sz w:val="16"/>
          <w:szCs w:val="16"/>
          <w:lang w:val="en-NZ"/>
        </w:rPr>
        <w:t>: Research choices</w:t>
      </w:r>
      <w:bookmarkEnd w:id="1027"/>
    </w:p>
    <w:p w14:paraId="27D881C8" w14:textId="77777777" w:rsidR="00CD6352" w:rsidRPr="00EA7665" w:rsidRDefault="00CD6352" w:rsidP="00CD6352">
      <w:pPr>
        <w:pStyle w:val="Caption"/>
        <w:spacing w:after="0"/>
        <w:rPr>
          <w:rFonts w:ascii="Arial" w:hAnsi="Arial" w:cs="Arial"/>
          <w:sz w:val="16"/>
          <w:szCs w:val="16"/>
          <w:lang w:val="en-NZ"/>
        </w:rPr>
      </w:pPr>
      <w:r w:rsidRPr="00EA7665">
        <w:rPr>
          <w:rFonts w:ascii="Arial" w:hAnsi="Arial" w:cs="Arial"/>
          <w:sz w:val="16"/>
          <w:szCs w:val="16"/>
          <w:lang w:val="en-NZ"/>
        </w:rPr>
        <w:t>Source: Saunders (2009)</w:t>
      </w:r>
    </w:p>
    <w:p w14:paraId="37F7A468" w14:textId="77777777" w:rsidR="00CD6352" w:rsidRPr="00EA7665" w:rsidRDefault="00CD6352" w:rsidP="00CD6352">
      <w:pPr>
        <w:spacing w:after="0" w:line="360" w:lineRule="auto"/>
        <w:jc w:val="both"/>
        <w:rPr>
          <w:rFonts w:ascii="Arial" w:eastAsia="Calibri" w:hAnsi="Arial" w:cs="Arial"/>
          <w:lang w:val="en-NZ"/>
        </w:rPr>
      </w:pPr>
    </w:p>
    <w:p w14:paraId="326AFFF3" w14:textId="77777777"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lastRenderedPageBreak/>
        <w:t>Writers such as Moser and Kalton (1971), Barbie (1973) and Bouchard (1976), as cited by Egbu (1994), have argued that a combination of research choices is often more useful than a single one since the different methods yield different kinds of data, which ultimately allows a more comprehensive analysis of the subject.</w:t>
      </w:r>
    </w:p>
    <w:p w14:paraId="4DE9E2C5" w14:textId="0D2E1157" w:rsidR="00CD6352" w:rsidRPr="00EA7665" w:rsidRDefault="00665560" w:rsidP="00CD6352">
      <w:pPr>
        <w:spacing w:line="360" w:lineRule="auto"/>
        <w:jc w:val="both"/>
        <w:rPr>
          <w:rFonts w:ascii="Arial" w:hAnsi="Arial" w:cs="Arial"/>
        </w:rPr>
      </w:pPr>
      <w:r>
        <w:rPr>
          <w:rFonts w:ascii="Arial" w:hAnsi="Arial" w:cs="Arial"/>
        </w:rPr>
        <w:t>However, some researchers have</w:t>
      </w:r>
      <w:r w:rsidR="00CD6352" w:rsidRPr="00EA7665">
        <w:rPr>
          <w:rFonts w:ascii="Arial" w:hAnsi="Arial" w:cs="Arial"/>
        </w:rPr>
        <w:t xml:space="preserve"> argued that qualitative research alone is sufficient for the social sciences because it provides actual scientific explanations of facts. Consequently, qualitative is seen as superior to quantitative research both on the level of the research program and the level of appropriateness to the issue of study (Flick, 2014). This study integrated both approaches in parallel</w:t>
      </w:r>
      <w:r w:rsidR="003D3000">
        <w:rPr>
          <w:rFonts w:ascii="Arial" w:hAnsi="Arial" w:cs="Arial"/>
        </w:rPr>
        <w:t>.</w:t>
      </w:r>
    </w:p>
    <w:p w14:paraId="3569B1D8" w14:textId="77455127" w:rsidR="00CD6352" w:rsidRDefault="00CD6352" w:rsidP="008419C9">
      <w:pPr>
        <w:spacing w:line="360" w:lineRule="auto"/>
        <w:jc w:val="both"/>
        <w:rPr>
          <w:rFonts w:ascii="Arial" w:eastAsia="Calibri" w:hAnsi="Arial" w:cs="Arial"/>
          <w:sz w:val="16"/>
          <w:szCs w:val="16"/>
          <w:lang w:val="en-NZ"/>
        </w:rPr>
      </w:pPr>
      <w:r w:rsidRPr="008419C9">
        <w:rPr>
          <w:rFonts w:ascii="Arial" w:eastAsia="Calibri" w:hAnsi="Arial" w:cs="Arial"/>
          <w:lang w:val="en-NZ"/>
        </w:rPr>
        <w:t xml:space="preserve">The usage of mixed methods helps mitigate the weaknesses of using either quantitative or qualitative approaches (Zin, 2013).  Consequently, the shortcomings of one design can be compensated </w:t>
      </w:r>
      <w:r w:rsidR="00F6453D" w:rsidRPr="008419C9">
        <w:rPr>
          <w:rFonts w:ascii="Arial" w:eastAsia="Calibri" w:hAnsi="Arial" w:cs="Arial"/>
          <w:lang w:val="en-NZ"/>
        </w:rPr>
        <w:t xml:space="preserve">for </w:t>
      </w:r>
      <w:r w:rsidRPr="008419C9">
        <w:rPr>
          <w:rFonts w:ascii="Arial" w:eastAsia="Calibri" w:hAnsi="Arial" w:cs="Arial"/>
          <w:lang w:val="en-NZ"/>
        </w:rPr>
        <w:t xml:space="preserve">by the strength of the other. </w:t>
      </w:r>
    </w:p>
    <w:p w14:paraId="15C30FE4" w14:textId="77777777" w:rsidR="008419C9" w:rsidRPr="00EA7665" w:rsidRDefault="008419C9" w:rsidP="00CD6352">
      <w:pPr>
        <w:spacing w:after="0" w:line="360" w:lineRule="auto"/>
        <w:jc w:val="both"/>
        <w:rPr>
          <w:rFonts w:ascii="Arial" w:eastAsia="Calibri" w:hAnsi="Arial" w:cs="Arial"/>
          <w:sz w:val="16"/>
          <w:szCs w:val="16"/>
          <w:lang w:val="en-NZ"/>
        </w:rPr>
      </w:pPr>
    </w:p>
    <w:p w14:paraId="35908F9E" w14:textId="01A90BB5" w:rsidR="00CD6352" w:rsidRPr="00EA7665" w:rsidRDefault="00CD6352" w:rsidP="00CD6352">
      <w:pPr>
        <w:pStyle w:val="Heading3"/>
        <w:spacing w:line="360" w:lineRule="auto"/>
        <w:jc w:val="both"/>
        <w:rPr>
          <w:rFonts w:eastAsia="Calibri" w:cs="Arial"/>
          <w:sz w:val="22"/>
          <w:szCs w:val="22"/>
          <w:lang w:val="en-NZ"/>
        </w:rPr>
      </w:pPr>
      <w:r w:rsidRPr="00EA7665">
        <w:rPr>
          <w:rFonts w:eastAsia="Calibri" w:cs="Arial"/>
          <w:sz w:val="22"/>
          <w:szCs w:val="22"/>
          <w:lang w:val="en-NZ"/>
        </w:rPr>
        <w:t xml:space="preserve"> </w:t>
      </w:r>
      <w:bookmarkStart w:id="1028" w:name="_Toc78983825"/>
      <w:r w:rsidRPr="00EA7665">
        <w:rPr>
          <w:rFonts w:eastAsia="Calibri" w:cs="Arial"/>
          <w:sz w:val="22"/>
          <w:szCs w:val="22"/>
          <w:lang w:val="en-NZ"/>
        </w:rPr>
        <w:t>Time Horizon</w:t>
      </w:r>
      <w:bookmarkEnd w:id="1028"/>
    </w:p>
    <w:p w14:paraId="05E265B6" w14:textId="379D6157" w:rsidR="00CD6352" w:rsidRPr="00EA7665" w:rsidRDefault="00CD6352" w:rsidP="00CD6352">
      <w:pPr>
        <w:spacing w:line="360" w:lineRule="auto"/>
        <w:jc w:val="both"/>
        <w:rPr>
          <w:rFonts w:ascii="Arial" w:eastAsia="Calibri" w:hAnsi="Arial" w:cs="Arial"/>
        </w:rPr>
      </w:pPr>
      <w:r w:rsidRPr="008F1F63">
        <w:rPr>
          <w:rFonts w:ascii="Arial" w:eastAsia="Calibri" w:hAnsi="Arial" w:cs="Arial"/>
          <w:lang w:val="en-NZ"/>
        </w:rPr>
        <w:t>There are two types of time horizon</w:t>
      </w:r>
      <w:r w:rsidR="00F6453D" w:rsidRPr="008F1F63">
        <w:rPr>
          <w:rFonts w:ascii="Arial" w:eastAsia="Calibri" w:hAnsi="Arial" w:cs="Arial"/>
          <w:lang w:val="en-NZ"/>
        </w:rPr>
        <w:t>s</w:t>
      </w:r>
      <w:r w:rsidRPr="008F1F63">
        <w:rPr>
          <w:rFonts w:ascii="Arial" w:eastAsia="Calibri" w:hAnsi="Arial" w:cs="Arial"/>
          <w:lang w:val="en-NZ"/>
        </w:rPr>
        <w:t xml:space="preserve"> when conducting research, cross-sectional studies and longitudinal studies. Cross-sectional studies </w:t>
      </w:r>
      <w:r w:rsidR="00F6453D" w:rsidRPr="008F1F63">
        <w:rPr>
          <w:rFonts w:ascii="Arial" w:eastAsia="Calibri" w:hAnsi="Arial" w:cs="Arial"/>
          <w:lang w:val="en-NZ"/>
        </w:rPr>
        <w:t>describe the occurrence of a phenomenon or explain the relationship between factors in different organisations, while longitudinal studies</w:t>
      </w:r>
      <w:r w:rsidR="00F6453D">
        <w:rPr>
          <w:rFonts w:ascii="Arial" w:eastAsia="Calibri" w:hAnsi="Arial" w:cs="Arial"/>
          <w:lang w:val="en-NZ"/>
        </w:rPr>
        <w:t xml:space="preserve"> are a study of relationships throughout a wide range of changes. Cross-sectional studies entail the study of a particular subject at a specific time</w:t>
      </w:r>
      <w:r w:rsidRPr="00EA7665">
        <w:rPr>
          <w:rFonts w:ascii="Arial" w:eastAsia="Calibri" w:hAnsi="Arial" w:cs="Arial"/>
        </w:rPr>
        <w:t xml:space="preserve">. It can study changes and developments (Saunders et al., 2016). A cross-sectional approach was used for this study as the </w:t>
      </w:r>
      <w:r w:rsidR="00F6453D">
        <w:rPr>
          <w:rFonts w:ascii="Arial" w:eastAsia="Calibri" w:hAnsi="Arial" w:cs="Arial"/>
        </w:rPr>
        <w:t>research focuse</w:t>
      </w:r>
      <w:r w:rsidRPr="00EA7665">
        <w:rPr>
          <w:rFonts w:ascii="Arial" w:eastAsia="Calibri" w:hAnsi="Arial" w:cs="Arial"/>
        </w:rPr>
        <w:t xml:space="preserve">s on current happenings in real estate project development finance. </w:t>
      </w:r>
    </w:p>
    <w:p w14:paraId="5964AB44" w14:textId="77777777" w:rsidR="00CD6352" w:rsidRPr="00EA7665" w:rsidRDefault="00CD6352" w:rsidP="00CD6352">
      <w:pPr>
        <w:pStyle w:val="Heading3"/>
        <w:spacing w:line="360" w:lineRule="auto"/>
        <w:jc w:val="both"/>
        <w:rPr>
          <w:rFonts w:eastAsia="Calibri" w:cs="Arial"/>
          <w:sz w:val="22"/>
          <w:szCs w:val="22"/>
        </w:rPr>
      </w:pPr>
      <w:bookmarkStart w:id="1029" w:name="_Toc78983826"/>
      <w:r w:rsidRPr="00EA7665">
        <w:rPr>
          <w:rFonts w:eastAsia="Calibri" w:cs="Arial"/>
          <w:sz w:val="22"/>
          <w:szCs w:val="22"/>
        </w:rPr>
        <w:t>The summary of research design</w:t>
      </w:r>
      <w:bookmarkEnd w:id="1029"/>
    </w:p>
    <w:p w14:paraId="060B39BB" w14:textId="17E602A7"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The research design is the process of organising the research activity, and this includes the collection of data in ways that would achieve the research aim (Easterby – Smith et al., 2008). There </w:t>
      </w:r>
      <w:r w:rsidR="00A06BCF">
        <w:rPr>
          <w:rFonts w:ascii="Arial" w:eastAsia="Calibri" w:hAnsi="Arial" w:cs="Arial"/>
        </w:rPr>
        <w:t xml:space="preserve">are </w:t>
      </w:r>
      <w:r w:rsidR="00A06BCF" w:rsidRPr="00EA7665">
        <w:rPr>
          <w:rFonts w:ascii="Arial" w:eastAsia="Calibri" w:hAnsi="Arial" w:cs="Arial"/>
        </w:rPr>
        <w:t>three</w:t>
      </w:r>
      <w:r w:rsidRPr="00EA7665">
        <w:rPr>
          <w:rFonts w:ascii="Arial" w:eastAsia="Calibri" w:hAnsi="Arial" w:cs="Arial"/>
        </w:rPr>
        <w:t xml:space="preserve"> types of research design commonly used, and they are exploratory, descriptive and diagnostic</w:t>
      </w:r>
      <w:r>
        <w:rPr>
          <w:rFonts w:ascii="Arial" w:eastAsia="Calibri" w:hAnsi="Arial" w:cs="Arial"/>
        </w:rPr>
        <w:t>.</w:t>
      </w:r>
      <w:r w:rsidRPr="00EA7665">
        <w:rPr>
          <w:rFonts w:ascii="Arial" w:eastAsia="Calibri" w:hAnsi="Arial" w:cs="Arial"/>
        </w:rPr>
        <w:t xml:space="preserve"> The diagnostic design is widely used in undertaking scientific research studies and is often experimental (Easterby-Smith et al., 2008). </w:t>
      </w:r>
    </w:p>
    <w:p w14:paraId="77B26F3B" w14:textId="5D27C800" w:rsidR="00CD6352" w:rsidRPr="00EA7665" w:rsidRDefault="00CD6352" w:rsidP="00CD6352">
      <w:pPr>
        <w:spacing w:after="0" w:line="360" w:lineRule="auto"/>
        <w:jc w:val="both"/>
        <w:rPr>
          <w:rFonts w:ascii="Arial" w:eastAsia="Calibri" w:hAnsi="Arial" w:cs="Arial"/>
        </w:rPr>
      </w:pPr>
      <w:r w:rsidRPr="00EA7665">
        <w:rPr>
          <w:rFonts w:ascii="Arial" w:eastAsia="Calibri" w:hAnsi="Arial" w:cs="Arial"/>
        </w:rPr>
        <w:t xml:space="preserve">A descriptive research design is used to describe the characteristics of the phenomenon being studied, and it does not answer questions relating to how/when/ why of the happenings. It uses statistical calculation, frequencies, and averages. However, the exploratory research design is commonly explored </w:t>
      </w:r>
      <w:r w:rsidR="0046283A">
        <w:rPr>
          <w:rFonts w:ascii="Arial" w:eastAsia="Calibri" w:hAnsi="Arial" w:cs="Arial"/>
        </w:rPr>
        <w:t>in</w:t>
      </w:r>
      <w:r w:rsidRPr="00EA7665">
        <w:rPr>
          <w:rFonts w:ascii="Arial" w:eastAsia="Calibri" w:hAnsi="Arial" w:cs="Arial"/>
        </w:rPr>
        <w:t xml:space="preserve"> undertaking both qualitative and quantitative research studies; consequently, this research adopts an exploratory research design. It is to enhance the analysis of the data findings. Exploratory research often relies on techniques such as secondary research through extensive literature</w:t>
      </w:r>
      <w:r w:rsidR="001266D5">
        <w:rPr>
          <w:rFonts w:ascii="Arial" w:eastAsia="Calibri" w:hAnsi="Arial" w:cs="Arial"/>
        </w:rPr>
        <w:t>,</w:t>
      </w:r>
      <w:r w:rsidR="001266D5" w:rsidRPr="00EA7665">
        <w:rPr>
          <w:rFonts w:ascii="Arial" w:eastAsia="Calibri" w:hAnsi="Arial" w:cs="Arial"/>
        </w:rPr>
        <w:t xml:space="preserve"> </w:t>
      </w:r>
      <w:r w:rsidRPr="00EA7665">
        <w:rPr>
          <w:rFonts w:ascii="Arial" w:eastAsia="Calibri" w:hAnsi="Arial" w:cs="Arial"/>
        </w:rPr>
        <w:t xml:space="preserve">qualitative research through interviews, </w:t>
      </w:r>
      <w:r w:rsidRPr="00EA7665">
        <w:rPr>
          <w:rFonts w:ascii="Arial" w:eastAsia="Calibri" w:hAnsi="Arial" w:cs="Arial"/>
        </w:rPr>
        <w:lastRenderedPageBreak/>
        <w:t xml:space="preserve">focus groups, case studies, and pilot studies.  A summary of the research methodology is shown </w:t>
      </w:r>
      <w:r w:rsidR="003925E6">
        <w:rPr>
          <w:rFonts w:ascii="Arial" w:eastAsia="Calibri" w:hAnsi="Arial" w:cs="Arial"/>
        </w:rPr>
        <w:t>in table 4.5.</w:t>
      </w:r>
      <w:r w:rsidR="0046283A">
        <w:rPr>
          <w:rFonts w:ascii="Arial" w:eastAsia="Calibri" w:hAnsi="Arial" w:cs="Arial"/>
        </w:rPr>
        <w:t>1</w:t>
      </w:r>
      <w:r w:rsidR="003925E6">
        <w:rPr>
          <w:rFonts w:ascii="Arial" w:eastAsia="Calibri" w:hAnsi="Arial" w:cs="Arial"/>
        </w:rPr>
        <w:t>.</w:t>
      </w:r>
      <w:r w:rsidRPr="00EA7665">
        <w:rPr>
          <w:rFonts w:ascii="Arial" w:eastAsia="Calibri" w:hAnsi="Arial" w:cs="Arial"/>
        </w:rPr>
        <w:t xml:space="preserve"> </w:t>
      </w:r>
    </w:p>
    <w:p w14:paraId="13622266" w14:textId="74A6482A" w:rsidR="00CD6352" w:rsidRPr="0048272B" w:rsidRDefault="00CD6352" w:rsidP="00CD6352">
      <w:pPr>
        <w:pStyle w:val="Caption"/>
        <w:keepNext/>
        <w:rPr>
          <w:rFonts w:ascii="Arial" w:hAnsi="Arial" w:cs="Arial"/>
          <w:i w:val="0"/>
          <w:iCs w:val="0"/>
          <w:sz w:val="16"/>
          <w:szCs w:val="16"/>
        </w:rPr>
      </w:pPr>
      <w:r w:rsidRPr="0048272B">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4.5</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46283A">
        <w:rPr>
          <w:rFonts w:ascii="Arial" w:hAnsi="Arial" w:cs="Arial"/>
          <w:i w:val="0"/>
          <w:iCs w:val="0"/>
          <w:sz w:val="16"/>
          <w:szCs w:val="16"/>
        </w:rPr>
        <w:t>1</w:t>
      </w:r>
      <w:r w:rsidRPr="0048272B">
        <w:rPr>
          <w:rFonts w:ascii="Arial" w:hAnsi="Arial" w:cs="Arial"/>
          <w:i w:val="0"/>
          <w:iCs w:val="0"/>
          <w:sz w:val="16"/>
          <w:szCs w:val="16"/>
        </w:rPr>
        <w:t>:</w:t>
      </w:r>
      <w:r w:rsidRPr="0048272B">
        <w:rPr>
          <w:rFonts w:ascii="Arial" w:eastAsia="Times New Roman" w:hAnsi="Arial" w:cs="Arial"/>
          <w:i w:val="0"/>
          <w:iCs w:val="0"/>
          <w:sz w:val="16"/>
          <w:szCs w:val="16"/>
        </w:rPr>
        <w:t xml:space="preserve"> </w:t>
      </w:r>
      <w:r w:rsidRPr="0048272B">
        <w:rPr>
          <w:rFonts w:ascii="Arial" w:hAnsi="Arial" w:cs="Arial"/>
          <w:i w:val="0"/>
          <w:iCs w:val="0"/>
          <w:sz w:val="16"/>
          <w:szCs w:val="16"/>
        </w:rPr>
        <w:t>Summary of research methodology</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38"/>
        <w:gridCol w:w="2179"/>
        <w:gridCol w:w="1754"/>
        <w:gridCol w:w="1588"/>
        <w:gridCol w:w="1657"/>
      </w:tblGrid>
      <w:tr w:rsidR="00CD6352" w:rsidRPr="00EA7665" w14:paraId="343C5C5F" w14:textId="77777777" w:rsidTr="007625E7">
        <w:tc>
          <w:tcPr>
            <w:tcW w:w="1838" w:type="dxa"/>
          </w:tcPr>
          <w:p w14:paraId="36CE4F3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Methodology</w:t>
            </w:r>
          </w:p>
        </w:tc>
        <w:tc>
          <w:tcPr>
            <w:tcW w:w="7178" w:type="dxa"/>
            <w:gridSpan w:val="4"/>
          </w:tcPr>
          <w:p w14:paraId="23C0BDC1"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Contents</w:t>
            </w:r>
          </w:p>
        </w:tc>
      </w:tr>
      <w:tr w:rsidR="00CD6352" w:rsidRPr="00EA7665" w14:paraId="2F073992" w14:textId="77777777" w:rsidTr="00CD6352">
        <w:tc>
          <w:tcPr>
            <w:tcW w:w="9016" w:type="dxa"/>
            <w:gridSpan w:val="5"/>
          </w:tcPr>
          <w:p w14:paraId="0AB07864"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Research design </w:t>
            </w:r>
          </w:p>
        </w:tc>
      </w:tr>
      <w:tr w:rsidR="00CD6352" w:rsidRPr="00EA7665" w14:paraId="55910C19" w14:textId="77777777" w:rsidTr="007625E7">
        <w:tc>
          <w:tcPr>
            <w:tcW w:w="1838" w:type="dxa"/>
          </w:tcPr>
          <w:p w14:paraId="43385414"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Survey type</w:t>
            </w:r>
          </w:p>
        </w:tc>
        <w:tc>
          <w:tcPr>
            <w:tcW w:w="7178" w:type="dxa"/>
            <w:gridSpan w:val="4"/>
          </w:tcPr>
          <w:p w14:paraId="62FE6C63" w14:textId="0BF38679"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Mixed methods </w:t>
            </w:r>
            <w:r w:rsidR="00A06BCF" w:rsidRPr="00EA7665">
              <w:rPr>
                <w:rFonts w:ascii="Arial" w:eastAsia="Calibri" w:hAnsi="Arial" w:cs="Arial"/>
                <w:sz w:val="16"/>
                <w:szCs w:val="16"/>
              </w:rPr>
              <w:t>(qualitative</w:t>
            </w:r>
            <w:r w:rsidRPr="00EA7665">
              <w:rPr>
                <w:rFonts w:ascii="Arial" w:eastAsia="Calibri" w:hAnsi="Arial" w:cs="Arial"/>
                <w:sz w:val="16"/>
                <w:szCs w:val="16"/>
              </w:rPr>
              <w:t xml:space="preserve"> and quantitative methods )</w:t>
            </w:r>
          </w:p>
        </w:tc>
      </w:tr>
      <w:tr w:rsidR="00CD6352" w:rsidRPr="00EA7665" w14:paraId="4A7FCE04" w14:textId="77777777" w:rsidTr="007625E7">
        <w:tc>
          <w:tcPr>
            <w:tcW w:w="1838" w:type="dxa"/>
          </w:tcPr>
          <w:p w14:paraId="3889F7C5"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Unit of study </w:t>
            </w:r>
          </w:p>
        </w:tc>
        <w:tc>
          <w:tcPr>
            <w:tcW w:w="7178" w:type="dxa"/>
            <w:gridSpan w:val="4"/>
          </w:tcPr>
          <w:p w14:paraId="1FF30E7E"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Managers in real estate development companies</w:t>
            </w:r>
          </w:p>
        </w:tc>
      </w:tr>
      <w:tr w:rsidR="00CD6352" w:rsidRPr="00EA7665" w14:paraId="2886F1EF" w14:textId="77777777" w:rsidTr="007625E7">
        <w:tc>
          <w:tcPr>
            <w:tcW w:w="1838" w:type="dxa"/>
          </w:tcPr>
          <w:p w14:paraId="240F4BEB"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Respondents</w:t>
            </w:r>
          </w:p>
        </w:tc>
        <w:tc>
          <w:tcPr>
            <w:tcW w:w="7178" w:type="dxa"/>
            <w:gridSpan w:val="4"/>
          </w:tcPr>
          <w:p w14:paraId="79E02F63"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Top, middle and lower-level managers in China, Germany, UK, US, South Africa, and Nigeria</w:t>
            </w:r>
          </w:p>
        </w:tc>
      </w:tr>
      <w:tr w:rsidR="00CD6352" w:rsidRPr="00EA7665" w14:paraId="7629C3D7" w14:textId="77777777" w:rsidTr="00CD6352">
        <w:tc>
          <w:tcPr>
            <w:tcW w:w="9016" w:type="dxa"/>
            <w:gridSpan w:val="5"/>
          </w:tcPr>
          <w:p w14:paraId="5BFC3929" w14:textId="77777777" w:rsidR="00CD6352" w:rsidRPr="00EA7665" w:rsidRDefault="00CD6352" w:rsidP="00CD6352">
            <w:pPr>
              <w:jc w:val="both"/>
              <w:rPr>
                <w:rFonts w:ascii="Arial" w:eastAsia="Calibri" w:hAnsi="Arial" w:cs="Arial"/>
                <w:sz w:val="16"/>
                <w:szCs w:val="16"/>
              </w:rPr>
            </w:pPr>
            <w:r w:rsidRPr="003D2BBA">
              <w:rPr>
                <w:rFonts w:ascii="Arial" w:eastAsia="Calibri" w:hAnsi="Arial" w:cs="Arial"/>
                <w:b/>
                <w:bCs/>
                <w:sz w:val="16"/>
                <w:szCs w:val="16"/>
              </w:rPr>
              <w:t>Data collection</w:t>
            </w:r>
          </w:p>
        </w:tc>
      </w:tr>
      <w:tr w:rsidR="00CD6352" w:rsidRPr="00EA7665" w14:paraId="22AD7C8D" w14:textId="77777777" w:rsidTr="007625E7">
        <w:tc>
          <w:tcPr>
            <w:tcW w:w="1838" w:type="dxa"/>
          </w:tcPr>
          <w:p w14:paraId="3B4B092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Data collection </w:t>
            </w:r>
          </w:p>
        </w:tc>
        <w:tc>
          <w:tcPr>
            <w:tcW w:w="2179" w:type="dxa"/>
          </w:tcPr>
          <w:p w14:paraId="48AB660D"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Pilot study</w:t>
            </w:r>
          </w:p>
          <w:p w14:paraId="7276D9BC"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Semi-structured interview</w:t>
            </w:r>
          </w:p>
        </w:tc>
        <w:tc>
          <w:tcPr>
            <w:tcW w:w="1754" w:type="dxa"/>
          </w:tcPr>
          <w:p w14:paraId="548BF968"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Pilot study</w:t>
            </w:r>
          </w:p>
          <w:p w14:paraId="18EBEB37"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Online survey questionnaire</w:t>
            </w:r>
          </w:p>
        </w:tc>
        <w:tc>
          <w:tcPr>
            <w:tcW w:w="1588" w:type="dxa"/>
          </w:tcPr>
          <w:p w14:paraId="2DAB6E0E"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Semi-structured interviews</w:t>
            </w:r>
          </w:p>
        </w:tc>
        <w:tc>
          <w:tcPr>
            <w:tcW w:w="1657" w:type="dxa"/>
          </w:tcPr>
          <w:p w14:paraId="24A9D718"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Online survey questionnaire</w:t>
            </w:r>
          </w:p>
        </w:tc>
      </w:tr>
      <w:tr w:rsidR="00CD6352" w:rsidRPr="00EA7665" w14:paraId="7447488D" w14:textId="77777777" w:rsidTr="007625E7">
        <w:tc>
          <w:tcPr>
            <w:tcW w:w="1838" w:type="dxa"/>
          </w:tcPr>
          <w:p w14:paraId="748FF5F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Interview time</w:t>
            </w:r>
          </w:p>
        </w:tc>
        <w:tc>
          <w:tcPr>
            <w:tcW w:w="2179" w:type="dxa"/>
          </w:tcPr>
          <w:p w14:paraId="51DC5FF8"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40 -60 minutes</w:t>
            </w:r>
          </w:p>
        </w:tc>
        <w:tc>
          <w:tcPr>
            <w:tcW w:w="1754" w:type="dxa"/>
          </w:tcPr>
          <w:p w14:paraId="0E5A9985"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N/A</w:t>
            </w:r>
          </w:p>
        </w:tc>
        <w:tc>
          <w:tcPr>
            <w:tcW w:w="1588" w:type="dxa"/>
          </w:tcPr>
          <w:p w14:paraId="44C0306C"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20 -60minute</w:t>
            </w:r>
          </w:p>
        </w:tc>
        <w:tc>
          <w:tcPr>
            <w:tcW w:w="1657" w:type="dxa"/>
          </w:tcPr>
          <w:p w14:paraId="1C0E866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N/A</w:t>
            </w:r>
          </w:p>
        </w:tc>
      </w:tr>
      <w:tr w:rsidR="00CD6352" w:rsidRPr="00EA7665" w14:paraId="6DD05CD9" w14:textId="77777777" w:rsidTr="007625E7">
        <w:tc>
          <w:tcPr>
            <w:tcW w:w="1838" w:type="dxa"/>
          </w:tcPr>
          <w:p w14:paraId="6DB74454"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Recording instrument</w:t>
            </w:r>
          </w:p>
        </w:tc>
        <w:tc>
          <w:tcPr>
            <w:tcW w:w="2179" w:type="dxa"/>
          </w:tcPr>
          <w:p w14:paraId="2AC53524"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Digital Dictaphone, laptop recorder and Samsung phone recorder</w:t>
            </w:r>
          </w:p>
        </w:tc>
        <w:tc>
          <w:tcPr>
            <w:tcW w:w="1754" w:type="dxa"/>
          </w:tcPr>
          <w:p w14:paraId="6A946BD6"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N/A</w:t>
            </w:r>
          </w:p>
        </w:tc>
        <w:tc>
          <w:tcPr>
            <w:tcW w:w="1588" w:type="dxa"/>
          </w:tcPr>
          <w:p w14:paraId="5AF9CEB3"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Digital Dictaphone, laptop recorder and Samsung phone recorder</w:t>
            </w:r>
          </w:p>
        </w:tc>
        <w:tc>
          <w:tcPr>
            <w:tcW w:w="1657" w:type="dxa"/>
          </w:tcPr>
          <w:p w14:paraId="3C7BA0B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N/A</w:t>
            </w:r>
          </w:p>
        </w:tc>
      </w:tr>
      <w:tr w:rsidR="00CD6352" w:rsidRPr="00EA7665" w14:paraId="26C06A96" w14:textId="77777777" w:rsidTr="007625E7">
        <w:tc>
          <w:tcPr>
            <w:tcW w:w="1838" w:type="dxa"/>
          </w:tcPr>
          <w:p w14:paraId="6D86D3A9"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Medium for communication</w:t>
            </w:r>
          </w:p>
        </w:tc>
        <w:tc>
          <w:tcPr>
            <w:tcW w:w="2179" w:type="dxa"/>
          </w:tcPr>
          <w:p w14:paraId="6872EAB6"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WhatsApp, WeChat, telephone calls, and face-time calls</w:t>
            </w:r>
          </w:p>
        </w:tc>
        <w:tc>
          <w:tcPr>
            <w:tcW w:w="1754" w:type="dxa"/>
          </w:tcPr>
          <w:p w14:paraId="1BA32CC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N/A</w:t>
            </w:r>
          </w:p>
        </w:tc>
        <w:tc>
          <w:tcPr>
            <w:tcW w:w="1588" w:type="dxa"/>
          </w:tcPr>
          <w:p w14:paraId="5DF8730D"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WhatsApp, WeChat, telephone calls, and face-time calls</w:t>
            </w:r>
          </w:p>
        </w:tc>
        <w:tc>
          <w:tcPr>
            <w:tcW w:w="1657" w:type="dxa"/>
          </w:tcPr>
          <w:p w14:paraId="1F62A77F"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N/A</w:t>
            </w:r>
          </w:p>
        </w:tc>
      </w:tr>
      <w:tr w:rsidR="00CD6352" w:rsidRPr="00EA7665" w14:paraId="2ED965C4" w14:textId="77777777" w:rsidTr="007625E7">
        <w:tc>
          <w:tcPr>
            <w:tcW w:w="1838" w:type="dxa"/>
          </w:tcPr>
          <w:p w14:paraId="3EC5BFD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Sampling type</w:t>
            </w:r>
          </w:p>
        </w:tc>
        <w:tc>
          <w:tcPr>
            <w:tcW w:w="2179" w:type="dxa"/>
          </w:tcPr>
          <w:p w14:paraId="435DF359"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Non-probability sampling</w:t>
            </w:r>
          </w:p>
        </w:tc>
        <w:tc>
          <w:tcPr>
            <w:tcW w:w="1754" w:type="dxa"/>
          </w:tcPr>
          <w:p w14:paraId="064D7F6B"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Non-probability sampling</w:t>
            </w:r>
          </w:p>
        </w:tc>
        <w:tc>
          <w:tcPr>
            <w:tcW w:w="1588" w:type="dxa"/>
          </w:tcPr>
          <w:p w14:paraId="661DD66E" w14:textId="5C690666"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Probability sampling/</w:t>
            </w:r>
            <w:r w:rsidR="00FA59D1">
              <w:rPr>
                <w:rFonts w:ascii="Arial" w:eastAsia="Calibri" w:hAnsi="Arial" w:cs="Arial"/>
                <w:sz w:val="16"/>
                <w:szCs w:val="16"/>
              </w:rPr>
              <w:t>Non-</w:t>
            </w:r>
            <w:r w:rsidRPr="00EA7665">
              <w:rPr>
                <w:rFonts w:ascii="Arial" w:eastAsia="Calibri" w:hAnsi="Arial" w:cs="Arial"/>
                <w:sz w:val="16"/>
                <w:szCs w:val="16"/>
              </w:rPr>
              <w:t>probability sampling</w:t>
            </w:r>
          </w:p>
        </w:tc>
        <w:tc>
          <w:tcPr>
            <w:tcW w:w="1657" w:type="dxa"/>
          </w:tcPr>
          <w:p w14:paraId="21B81A65" w14:textId="3473C610"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Probability sampling/</w:t>
            </w:r>
            <w:r w:rsidR="00FA59D1">
              <w:rPr>
                <w:rFonts w:ascii="Arial" w:eastAsia="Calibri" w:hAnsi="Arial" w:cs="Arial"/>
                <w:sz w:val="16"/>
                <w:szCs w:val="16"/>
              </w:rPr>
              <w:t>Non-</w:t>
            </w:r>
            <w:r w:rsidRPr="00EA7665">
              <w:rPr>
                <w:rFonts w:ascii="Arial" w:eastAsia="Calibri" w:hAnsi="Arial" w:cs="Arial"/>
                <w:sz w:val="16"/>
                <w:szCs w:val="16"/>
              </w:rPr>
              <w:t>probability sampling</w:t>
            </w:r>
          </w:p>
        </w:tc>
      </w:tr>
      <w:tr w:rsidR="00CD6352" w:rsidRPr="00EA7665" w14:paraId="75098174" w14:textId="77777777" w:rsidTr="007625E7">
        <w:tc>
          <w:tcPr>
            <w:tcW w:w="1838" w:type="dxa"/>
          </w:tcPr>
          <w:p w14:paraId="6521D835"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Sampling strategy</w:t>
            </w:r>
          </w:p>
        </w:tc>
        <w:tc>
          <w:tcPr>
            <w:tcW w:w="2179" w:type="dxa"/>
          </w:tcPr>
          <w:p w14:paraId="5E705872"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Purposive, convenient  and Volunteer/snowball sampling</w:t>
            </w:r>
          </w:p>
        </w:tc>
        <w:tc>
          <w:tcPr>
            <w:tcW w:w="1754" w:type="dxa"/>
          </w:tcPr>
          <w:p w14:paraId="16FDFC89"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Purposive, convenient  and Volunteer/snowball sampling</w:t>
            </w:r>
          </w:p>
        </w:tc>
        <w:tc>
          <w:tcPr>
            <w:tcW w:w="1588" w:type="dxa"/>
          </w:tcPr>
          <w:p w14:paraId="28CDD58F"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Stratified random &amp; snowball sampling</w:t>
            </w:r>
          </w:p>
        </w:tc>
        <w:tc>
          <w:tcPr>
            <w:tcW w:w="1657" w:type="dxa"/>
          </w:tcPr>
          <w:p w14:paraId="7B8694DB"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Stratified random &amp; snowball sampling</w:t>
            </w:r>
          </w:p>
        </w:tc>
      </w:tr>
      <w:tr w:rsidR="00CD6352" w:rsidRPr="00EA7665" w14:paraId="516985CD" w14:textId="77777777" w:rsidTr="007625E7">
        <w:tc>
          <w:tcPr>
            <w:tcW w:w="1838" w:type="dxa"/>
          </w:tcPr>
          <w:p w14:paraId="08B82E9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Sample location</w:t>
            </w:r>
          </w:p>
        </w:tc>
        <w:tc>
          <w:tcPr>
            <w:tcW w:w="2179" w:type="dxa"/>
          </w:tcPr>
          <w:p w14:paraId="1CDF01B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UK and Nigeria</w:t>
            </w:r>
          </w:p>
        </w:tc>
        <w:tc>
          <w:tcPr>
            <w:tcW w:w="1754" w:type="dxa"/>
          </w:tcPr>
          <w:p w14:paraId="32507955" w14:textId="52D5998B" w:rsidR="00CD6352" w:rsidRPr="00EA7665" w:rsidRDefault="00D7026F" w:rsidP="00CD6352">
            <w:pPr>
              <w:jc w:val="both"/>
              <w:rPr>
                <w:rFonts w:ascii="Arial" w:eastAsia="Calibri" w:hAnsi="Arial" w:cs="Arial"/>
                <w:sz w:val="16"/>
                <w:szCs w:val="16"/>
              </w:rPr>
            </w:pPr>
            <w:r>
              <w:rPr>
                <w:rFonts w:ascii="Arial" w:eastAsia="Calibri" w:hAnsi="Arial" w:cs="Arial"/>
                <w:sz w:val="16"/>
                <w:szCs w:val="16"/>
              </w:rPr>
              <w:t xml:space="preserve">The </w:t>
            </w:r>
            <w:r w:rsidR="00CD6352" w:rsidRPr="00EA7665">
              <w:rPr>
                <w:rFonts w:ascii="Arial" w:eastAsia="Calibri" w:hAnsi="Arial" w:cs="Arial"/>
                <w:sz w:val="16"/>
                <w:szCs w:val="16"/>
              </w:rPr>
              <w:t>UK and South Africa</w:t>
            </w:r>
          </w:p>
        </w:tc>
        <w:tc>
          <w:tcPr>
            <w:tcW w:w="1588" w:type="dxa"/>
          </w:tcPr>
          <w:p w14:paraId="544B74C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China, Germany, UK, US, Nigeria, and South Africa</w:t>
            </w:r>
          </w:p>
        </w:tc>
        <w:tc>
          <w:tcPr>
            <w:tcW w:w="1657" w:type="dxa"/>
          </w:tcPr>
          <w:p w14:paraId="6DCC4B16"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China, Germany, UK, US, Nigeria, and South Africa</w:t>
            </w:r>
          </w:p>
        </w:tc>
      </w:tr>
      <w:tr w:rsidR="00CD6352" w:rsidRPr="00EA7665" w14:paraId="220DC1AD" w14:textId="77777777" w:rsidTr="007625E7">
        <w:tc>
          <w:tcPr>
            <w:tcW w:w="1838" w:type="dxa"/>
          </w:tcPr>
          <w:p w14:paraId="583ED839"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Targeted sample size</w:t>
            </w:r>
          </w:p>
        </w:tc>
        <w:tc>
          <w:tcPr>
            <w:tcW w:w="2179" w:type="dxa"/>
          </w:tcPr>
          <w:p w14:paraId="7DF9D8DF"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8</w:t>
            </w:r>
          </w:p>
        </w:tc>
        <w:tc>
          <w:tcPr>
            <w:tcW w:w="1754" w:type="dxa"/>
          </w:tcPr>
          <w:p w14:paraId="7501DEDE"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13</w:t>
            </w:r>
          </w:p>
        </w:tc>
        <w:tc>
          <w:tcPr>
            <w:tcW w:w="1588" w:type="dxa"/>
          </w:tcPr>
          <w:p w14:paraId="63CFCE3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30</w:t>
            </w:r>
          </w:p>
        </w:tc>
        <w:tc>
          <w:tcPr>
            <w:tcW w:w="1657" w:type="dxa"/>
          </w:tcPr>
          <w:p w14:paraId="36277058"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500</w:t>
            </w:r>
          </w:p>
        </w:tc>
      </w:tr>
      <w:tr w:rsidR="00CD6352" w:rsidRPr="00EA7665" w14:paraId="1E302DAE" w14:textId="77777777" w:rsidTr="007625E7">
        <w:tc>
          <w:tcPr>
            <w:tcW w:w="1838" w:type="dxa"/>
          </w:tcPr>
          <w:p w14:paraId="04CBDE4C"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Total responses</w:t>
            </w:r>
          </w:p>
        </w:tc>
        <w:tc>
          <w:tcPr>
            <w:tcW w:w="2179" w:type="dxa"/>
          </w:tcPr>
          <w:p w14:paraId="1C1BB1EC"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8</w:t>
            </w:r>
          </w:p>
        </w:tc>
        <w:tc>
          <w:tcPr>
            <w:tcW w:w="1754" w:type="dxa"/>
          </w:tcPr>
          <w:p w14:paraId="6D8579EE"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13</w:t>
            </w:r>
          </w:p>
        </w:tc>
        <w:tc>
          <w:tcPr>
            <w:tcW w:w="1588" w:type="dxa"/>
          </w:tcPr>
          <w:p w14:paraId="34A39F71"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3</w:t>
            </w:r>
            <w:r>
              <w:rPr>
                <w:rFonts w:ascii="Arial" w:eastAsia="Calibri" w:hAnsi="Arial" w:cs="Arial"/>
                <w:sz w:val="16"/>
                <w:szCs w:val="16"/>
              </w:rPr>
              <w:t>5</w:t>
            </w:r>
          </w:p>
        </w:tc>
        <w:tc>
          <w:tcPr>
            <w:tcW w:w="1657" w:type="dxa"/>
          </w:tcPr>
          <w:p w14:paraId="04286ED2"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81</w:t>
            </w:r>
          </w:p>
        </w:tc>
      </w:tr>
      <w:tr w:rsidR="00CD6352" w:rsidRPr="00EA7665" w14:paraId="66ACECF1" w14:textId="77777777" w:rsidTr="007625E7">
        <w:tc>
          <w:tcPr>
            <w:tcW w:w="1838" w:type="dxa"/>
          </w:tcPr>
          <w:p w14:paraId="3955395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Response rate</w:t>
            </w:r>
          </w:p>
        </w:tc>
        <w:tc>
          <w:tcPr>
            <w:tcW w:w="2179" w:type="dxa"/>
          </w:tcPr>
          <w:p w14:paraId="15848862"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100%</w:t>
            </w:r>
          </w:p>
        </w:tc>
        <w:tc>
          <w:tcPr>
            <w:tcW w:w="1754" w:type="dxa"/>
          </w:tcPr>
          <w:p w14:paraId="1870D4AC"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100%</w:t>
            </w:r>
          </w:p>
        </w:tc>
        <w:tc>
          <w:tcPr>
            <w:tcW w:w="1588" w:type="dxa"/>
          </w:tcPr>
          <w:p w14:paraId="3B9B7F62"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1</w:t>
            </w:r>
            <w:r>
              <w:rPr>
                <w:rFonts w:ascii="Arial" w:eastAsia="Calibri" w:hAnsi="Arial" w:cs="Arial"/>
                <w:sz w:val="16"/>
                <w:szCs w:val="16"/>
              </w:rPr>
              <w:t>17</w:t>
            </w:r>
            <w:r w:rsidRPr="00EA7665">
              <w:rPr>
                <w:rFonts w:ascii="Arial" w:eastAsia="Calibri" w:hAnsi="Arial" w:cs="Arial"/>
                <w:sz w:val="16"/>
                <w:szCs w:val="16"/>
              </w:rPr>
              <w:t>%</w:t>
            </w:r>
          </w:p>
        </w:tc>
        <w:tc>
          <w:tcPr>
            <w:tcW w:w="1657" w:type="dxa"/>
          </w:tcPr>
          <w:p w14:paraId="5772B595"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17.6%</w:t>
            </w:r>
          </w:p>
        </w:tc>
      </w:tr>
      <w:tr w:rsidR="00CD6352" w:rsidRPr="00EA7665" w14:paraId="21A41A8C" w14:textId="77777777" w:rsidTr="00CD6352">
        <w:tc>
          <w:tcPr>
            <w:tcW w:w="9016" w:type="dxa"/>
            <w:gridSpan w:val="5"/>
          </w:tcPr>
          <w:p w14:paraId="130AD543" w14:textId="77777777" w:rsidR="00CD6352" w:rsidRPr="003D2BBA" w:rsidRDefault="00CD6352" w:rsidP="00CD6352">
            <w:pPr>
              <w:jc w:val="both"/>
              <w:rPr>
                <w:rFonts w:ascii="Arial" w:eastAsia="Calibri" w:hAnsi="Arial" w:cs="Arial"/>
                <w:b/>
                <w:bCs/>
                <w:sz w:val="16"/>
                <w:szCs w:val="16"/>
              </w:rPr>
            </w:pPr>
            <w:r w:rsidRPr="003D2BBA">
              <w:rPr>
                <w:rFonts w:ascii="Arial" w:eastAsia="Calibri" w:hAnsi="Arial" w:cs="Arial"/>
                <w:b/>
                <w:bCs/>
                <w:sz w:val="16"/>
                <w:szCs w:val="16"/>
              </w:rPr>
              <w:t>Data analysis</w:t>
            </w:r>
          </w:p>
        </w:tc>
      </w:tr>
      <w:tr w:rsidR="00CD6352" w:rsidRPr="00EA7665" w14:paraId="319AB6B7" w14:textId="77777777" w:rsidTr="007625E7">
        <w:tc>
          <w:tcPr>
            <w:tcW w:w="1838" w:type="dxa"/>
          </w:tcPr>
          <w:p w14:paraId="2F9B30F8"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Analysis</w:t>
            </w:r>
          </w:p>
        </w:tc>
        <w:tc>
          <w:tcPr>
            <w:tcW w:w="2179" w:type="dxa"/>
          </w:tcPr>
          <w:p w14:paraId="6FB27833"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Thematic analysis </w:t>
            </w:r>
          </w:p>
        </w:tc>
        <w:tc>
          <w:tcPr>
            <w:tcW w:w="1754" w:type="dxa"/>
          </w:tcPr>
          <w:p w14:paraId="2CBA422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Statistical analysis using SPSS </w:t>
            </w:r>
          </w:p>
          <w:p w14:paraId="00879A60"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w:t>
            </w:r>
            <w:r>
              <w:rPr>
                <w:rFonts w:ascii="Arial" w:eastAsia="Calibri" w:hAnsi="Arial" w:cs="Arial"/>
                <w:sz w:val="16"/>
                <w:szCs w:val="16"/>
              </w:rPr>
              <w:t>descriptive &amp; inferential statistics)</w:t>
            </w:r>
          </w:p>
        </w:tc>
        <w:tc>
          <w:tcPr>
            <w:tcW w:w="1588" w:type="dxa"/>
          </w:tcPr>
          <w:p w14:paraId="6D39F2B2"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Thematic analysis </w:t>
            </w:r>
          </w:p>
        </w:tc>
        <w:tc>
          <w:tcPr>
            <w:tcW w:w="1657" w:type="dxa"/>
          </w:tcPr>
          <w:p w14:paraId="63207BBE"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 xml:space="preserve">Statistical analysis using SPSS </w:t>
            </w:r>
          </w:p>
          <w:p w14:paraId="70380EBF"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w:t>
            </w:r>
            <w:r>
              <w:rPr>
                <w:rFonts w:ascii="Arial" w:eastAsia="Calibri" w:hAnsi="Arial" w:cs="Arial"/>
                <w:sz w:val="16"/>
                <w:szCs w:val="16"/>
              </w:rPr>
              <w:t>descriptive and inferential statistics)</w:t>
            </w:r>
          </w:p>
        </w:tc>
      </w:tr>
      <w:tr w:rsidR="00CD6352" w:rsidRPr="00EA7665" w14:paraId="29F03C33" w14:textId="77777777" w:rsidTr="007625E7">
        <w:tc>
          <w:tcPr>
            <w:tcW w:w="1838" w:type="dxa"/>
          </w:tcPr>
          <w:p w14:paraId="176051BD"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Analysis tool</w:t>
            </w:r>
          </w:p>
        </w:tc>
        <w:tc>
          <w:tcPr>
            <w:tcW w:w="2179" w:type="dxa"/>
          </w:tcPr>
          <w:p w14:paraId="652C8F88"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Nvivo &amp; manual coding</w:t>
            </w:r>
          </w:p>
        </w:tc>
        <w:tc>
          <w:tcPr>
            <w:tcW w:w="1754" w:type="dxa"/>
          </w:tcPr>
          <w:p w14:paraId="798B465E"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SPSS &amp; BOS online survey platform</w:t>
            </w:r>
          </w:p>
        </w:tc>
        <w:tc>
          <w:tcPr>
            <w:tcW w:w="1588" w:type="dxa"/>
          </w:tcPr>
          <w:p w14:paraId="6F178EEA"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Nvivo and manual coding</w:t>
            </w:r>
          </w:p>
        </w:tc>
        <w:tc>
          <w:tcPr>
            <w:tcW w:w="1657" w:type="dxa"/>
          </w:tcPr>
          <w:p w14:paraId="75D29021" w14:textId="77777777" w:rsidR="00CD6352" w:rsidRPr="00EA7665" w:rsidRDefault="00CD6352" w:rsidP="00CD6352">
            <w:pPr>
              <w:jc w:val="both"/>
              <w:rPr>
                <w:rFonts w:ascii="Arial" w:eastAsia="Calibri" w:hAnsi="Arial" w:cs="Arial"/>
                <w:sz w:val="16"/>
                <w:szCs w:val="16"/>
              </w:rPr>
            </w:pPr>
            <w:r w:rsidRPr="00EA7665">
              <w:rPr>
                <w:rFonts w:ascii="Arial" w:eastAsia="Calibri" w:hAnsi="Arial" w:cs="Arial"/>
                <w:sz w:val="16"/>
                <w:szCs w:val="16"/>
              </w:rPr>
              <w:t>SPSS &amp; BOS online survey platform</w:t>
            </w:r>
          </w:p>
        </w:tc>
      </w:tr>
    </w:tbl>
    <w:p w14:paraId="00422DE6" w14:textId="77777777" w:rsidR="00CD6352" w:rsidRPr="00EA7665" w:rsidRDefault="00CD6352" w:rsidP="00CD6352">
      <w:pPr>
        <w:spacing w:after="0" w:line="360" w:lineRule="auto"/>
        <w:jc w:val="both"/>
        <w:rPr>
          <w:rFonts w:ascii="Arial" w:eastAsia="Calibri" w:hAnsi="Arial" w:cs="Arial"/>
          <w:sz w:val="16"/>
          <w:szCs w:val="16"/>
        </w:rPr>
      </w:pPr>
      <w:r w:rsidRPr="00EA7665">
        <w:rPr>
          <w:rFonts w:ascii="Arial" w:eastAsia="Calibri" w:hAnsi="Arial" w:cs="Arial"/>
          <w:sz w:val="16"/>
          <w:szCs w:val="16"/>
        </w:rPr>
        <w:t>Source: The Author’s compilation</w:t>
      </w:r>
    </w:p>
    <w:p w14:paraId="05E77AF8" w14:textId="77777777" w:rsidR="00CD6352" w:rsidRPr="00EA7665" w:rsidRDefault="00CD6352" w:rsidP="00CD6352">
      <w:pPr>
        <w:pStyle w:val="Heading2"/>
        <w:spacing w:line="360" w:lineRule="auto"/>
        <w:jc w:val="both"/>
        <w:rPr>
          <w:rFonts w:eastAsia="Calibri" w:cs="Arial"/>
          <w:sz w:val="22"/>
          <w:szCs w:val="22"/>
          <w:lang w:val="en-NZ"/>
        </w:rPr>
      </w:pPr>
      <w:bookmarkStart w:id="1030" w:name="_Toc78983827"/>
      <w:r w:rsidRPr="00EA7665">
        <w:rPr>
          <w:rFonts w:eastAsia="Calibri" w:cs="Arial"/>
          <w:sz w:val="22"/>
          <w:szCs w:val="22"/>
          <w:lang w:val="en-NZ"/>
        </w:rPr>
        <w:t>Data collection techniques</w:t>
      </w:r>
      <w:bookmarkEnd w:id="1030"/>
    </w:p>
    <w:p w14:paraId="1C65283B" w14:textId="6715CE2A"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Two types of data can be collected, and</w:t>
      </w:r>
      <w:r>
        <w:rPr>
          <w:rFonts w:ascii="Arial" w:eastAsia="Calibri" w:hAnsi="Arial" w:cs="Arial"/>
          <w:lang w:val="en-NZ"/>
        </w:rPr>
        <w:t xml:space="preserve"> these </w:t>
      </w:r>
      <w:r w:rsidR="00A06BCF">
        <w:rPr>
          <w:rFonts w:ascii="Arial" w:eastAsia="Calibri" w:hAnsi="Arial" w:cs="Arial"/>
          <w:lang w:val="en-NZ"/>
        </w:rPr>
        <w:t xml:space="preserve">are </w:t>
      </w:r>
      <w:r w:rsidR="00A06BCF" w:rsidRPr="00EA7665">
        <w:rPr>
          <w:rFonts w:ascii="Arial" w:eastAsia="Calibri" w:hAnsi="Arial" w:cs="Arial"/>
          <w:lang w:val="en-NZ"/>
        </w:rPr>
        <w:t>primary</w:t>
      </w:r>
      <w:r w:rsidRPr="00EA7665">
        <w:rPr>
          <w:rFonts w:ascii="Arial" w:eastAsia="Calibri" w:hAnsi="Arial" w:cs="Arial"/>
          <w:lang w:val="en-NZ"/>
        </w:rPr>
        <w:t xml:space="preserve"> and secondary data. The </w:t>
      </w:r>
      <w:r w:rsidR="00EC4B47">
        <w:rPr>
          <w:rFonts w:ascii="Arial" w:eastAsia="Calibri" w:hAnsi="Arial" w:cs="Arial"/>
          <w:lang w:val="en-NZ"/>
        </w:rPr>
        <w:t>present research data</w:t>
      </w:r>
      <w:r w:rsidRPr="00EA7665">
        <w:rPr>
          <w:rFonts w:ascii="Arial" w:eastAsia="Calibri" w:hAnsi="Arial" w:cs="Arial"/>
          <w:lang w:val="en-NZ"/>
        </w:rPr>
        <w:t xml:space="preserve"> was not available from other sources; consequently, primary data was used. </w:t>
      </w:r>
      <w:r w:rsidR="00EC4B47">
        <w:rPr>
          <w:rFonts w:ascii="Arial" w:eastAsia="Calibri" w:hAnsi="Arial" w:cs="Arial"/>
          <w:lang w:val="en-NZ"/>
        </w:rPr>
        <w:lastRenderedPageBreak/>
        <w:t>However, there are different ways of collecting data depending on the nature of the research</w:t>
      </w:r>
      <w:r w:rsidR="00BF4BB9">
        <w:rPr>
          <w:rFonts w:ascii="Arial" w:eastAsia="Calibri" w:hAnsi="Arial" w:cs="Arial"/>
          <w:lang w:val="en-NZ"/>
        </w:rPr>
        <w:t>,</w:t>
      </w:r>
      <w:r w:rsidR="00EC4B47">
        <w:rPr>
          <w:rFonts w:ascii="Arial" w:eastAsia="Calibri" w:hAnsi="Arial" w:cs="Arial"/>
          <w:lang w:val="en-NZ"/>
        </w:rPr>
        <w:t xml:space="preserve"> and the techniques are grouped into two categories:</w:t>
      </w:r>
      <w:r w:rsidRPr="00EA7665">
        <w:rPr>
          <w:rFonts w:ascii="Arial" w:eastAsia="Calibri" w:hAnsi="Arial" w:cs="Arial"/>
          <w:lang w:val="en-NZ"/>
        </w:rPr>
        <w:t xml:space="preserve"> qualitative and quantitative (Zin, 2013; Neuman, 2011). Qualitative is often associated with data collection techniques such as interviews</w:t>
      </w:r>
      <w:r w:rsidR="00BF4BB9">
        <w:rPr>
          <w:rFonts w:ascii="Arial" w:eastAsia="Calibri" w:hAnsi="Arial" w:cs="Arial"/>
          <w:lang w:val="en-NZ"/>
        </w:rPr>
        <w:t>,</w:t>
      </w:r>
      <w:r w:rsidRPr="00EA7665">
        <w:rPr>
          <w:rFonts w:ascii="Arial" w:eastAsia="Calibri" w:hAnsi="Arial" w:cs="Arial"/>
          <w:lang w:val="en-NZ"/>
        </w:rPr>
        <w:t xml:space="preserve"> while quantitative is associated with techniques such as questionnaires. This study used a combination of both quantitative and qualitative techniques to achieve the research aim. The combination of a semi-structured interview and questionnaire survey created a better understanding of the different constructs for securing finance for real estate project development in both developed and emerging economies.</w:t>
      </w:r>
    </w:p>
    <w:p w14:paraId="6FC520C1" w14:textId="77777777" w:rsidR="00CD6352" w:rsidRPr="00EA7665" w:rsidRDefault="00CD6352" w:rsidP="00CD6352">
      <w:pPr>
        <w:spacing w:after="0" w:line="360" w:lineRule="auto"/>
        <w:jc w:val="both"/>
        <w:rPr>
          <w:rFonts w:ascii="Arial" w:eastAsia="Calibri" w:hAnsi="Arial" w:cs="Arial"/>
          <w:b/>
          <w:lang w:val="en-NZ"/>
        </w:rPr>
      </w:pPr>
    </w:p>
    <w:p w14:paraId="78868468" w14:textId="77777777" w:rsidR="00CD6352" w:rsidRPr="00EA7665" w:rsidRDefault="00CD6352" w:rsidP="00CD6352">
      <w:pPr>
        <w:pStyle w:val="Heading3"/>
        <w:spacing w:line="360" w:lineRule="auto"/>
        <w:jc w:val="both"/>
        <w:rPr>
          <w:rFonts w:eastAsia="Calibri" w:cs="Arial"/>
          <w:sz w:val="22"/>
          <w:szCs w:val="22"/>
          <w:lang w:val="en-NZ"/>
        </w:rPr>
      </w:pPr>
      <w:bookmarkStart w:id="1031" w:name="_Toc78983828"/>
      <w:r w:rsidRPr="00EA7665">
        <w:rPr>
          <w:rFonts w:eastAsia="Calibri" w:cs="Arial"/>
          <w:sz w:val="22"/>
          <w:szCs w:val="22"/>
          <w:lang w:val="en-NZ"/>
        </w:rPr>
        <w:t>The Unit of analysis</w:t>
      </w:r>
      <w:bookmarkEnd w:id="1031"/>
    </w:p>
    <w:p w14:paraId="5B928EC7" w14:textId="4C189752"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 xml:space="preserve">The unit of research for this study are managers who work in real estate development companies. The managers were considered in terms of their levels in management and their number of years as managers in the real estate sector. The consideration was based on the three major management levels, which </w:t>
      </w:r>
      <w:r>
        <w:rPr>
          <w:rFonts w:ascii="Arial" w:eastAsia="Calibri" w:hAnsi="Arial" w:cs="Arial"/>
          <w:lang w:val="en-NZ"/>
        </w:rPr>
        <w:t>are</w:t>
      </w:r>
      <w:r w:rsidRPr="00EA7665">
        <w:rPr>
          <w:rFonts w:ascii="Arial" w:eastAsia="Calibri" w:hAnsi="Arial" w:cs="Arial"/>
          <w:lang w:val="en-NZ"/>
        </w:rPr>
        <w:t xml:space="preserve"> upper, middle and </w:t>
      </w:r>
      <w:r w:rsidR="00A06BCF">
        <w:rPr>
          <w:rFonts w:ascii="Arial" w:eastAsia="Calibri" w:hAnsi="Arial" w:cs="Arial"/>
          <w:lang w:val="en-NZ"/>
        </w:rPr>
        <w:t>lower.</w:t>
      </w:r>
      <w:r w:rsidRPr="00EA7665">
        <w:rPr>
          <w:rFonts w:ascii="Arial" w:eastAsia="Calibri" w:hAnsi="Arial" w:cs="Arial"/>
          <w:lang w:val="en-NZ"/>
        </w:rPr>
        <w:t xml:space="preserve">  Managers considered were those who have worked as managers in the real estate sector for not less than four years.</w:t>
      </w:r>
    </w:p>
    <w:p w14:paraId="5C63489B" w14:textId="3DD969C5" w:rsidR="00CD6352"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 xml:space="preserve"> The selection was not based on the </w:t>
      </w:r>
      <w:r w:rsidR="00BF4BB9">
        <w:rPr>
          <w:rFonts w:ascii="Arial" w:eastAsia="Calibri" w:hAnsi="Arial" w:cs="Arial"/>
          <w:lang w:val="en-NZ"/>
        </w:rPr>
        <w:t xml:space="preserve">companies' size </w:t>
      </w:r>
      <w:r w:rsidRPr="00EA7665">
        <w:rPr>
          <w:rFonts w:ascii="Arial" w:eastAsia="Calibri" w:hAnsi="Arial" w:cs="Arial"/>
          <w:lang w:val="en-NZ"/>
        </w:rPr>
        <w:t>or turnovers because the research covers six (6) countries</w:t>
      </w:r>
      <w:r w:rsidR="009B05FE">
        <w:rPr>
          <w:rFonts w:ascii="Arial" w:eastAsia="Calibri" w:hAnsi="Arial" w:cs="Arial"/>
          <w:lang w:val="en-NZ"/>
        </w:rPr>
        <w:t>,</w:t>
      </w:r>
      <w:r w:rsidRPr="00EA7665">
        <w:rPr>
          <w:rFonts w:ascii="Arial" w:eastAsia="Calibri" w:hAnsi="Arial" w:cs="Arial"/>
          <w:lang w:val="en-NZ"/>
        </w:rPr>
        <w:t xml:space="preserve"> and the classification based on size varies across countries (Zin, 2013). Furthermore, turnover was not used as a platform for classification because most of the managers interviewed work for private limited liability companies </w:t>
      </w:r>
      <w:r w:rsidR="009B05FE">
        <w:rPr>
          <w:rFonts w:ascii="Arial" w:eastAsia="Calibri" w:hAnsi="Arial" w:cs="Arial"/>
          <w:lang w:val="en-NZ"/>
        </w:rPr>
        <w:t>and do not have</w:t>
      </w:r>
      <w:r w:rsidRPr="00EA7665">
        <w:rPr>
          <w:rFonts w:ascii="Arial" w:eastAsia="Calibri" w:hAnsi="Arial" w:cs="Arial"/>
          <w:lang w:val="en-NZ"/>
        </w:rPr>
        <w:t xml:space="preserve"> their accoun</w:t>
      </w:r>
      <w:r>
        <w:rPr>
          <w:rFonts w:ascii="Arial" w:eastAsia="Calibri" w:hAnsi="Arial" w:cs="Arial"/>
          <w:lang w:val="en-NZ"/>
        </w:rPr>
        <w:t>ts</w:t>
      </w:r>
      <w:r w:rsidRPr="00EA7665">
        <w:rPr>
          <w:rFonts w:ascii="Arial" w:eastAsia="Calibri" w:hAnsi="Arial" w:cs="Arial"/>
          <w:lang w:val="en-NZ"/>
        </w:rPr>
        <w:t xml:space="preserve"> published on public media. Furthermore, </w:t>
      </w:r>
      <w:r>
        <w:rPr>
          <w:rFonts w:ascii="Arial" w:eastAsia="Calibri" w:hAnsi="Arial" w:cs="Arial"/>
          <w:lang w:val="en-NZ"/>
        </w:rPr>
        <w:t>it</w:t>
      </w:r>
      <w:r w:rsidR="00933214">
        <w:rPr>
          <w:rFonts w:ascii="Arial" w:eastAsia="Calibri" w:hAnsi="Arial" w:cs="Arial"/>
          <w:lang w:val="en-NZ"/>
        </w:rPr>
        <w:t xml:space="preserve"> isn’t easy</w:t>
      </w:r>
      <w:r>
        <w:rPr>
          <w:rFonts w:ascii="Arial" w:eastAsia="Calibri" w:hAnsi="Arial" w:cs="Arial"/>
          <w:lang w:val="en-NZ"/>
        </w:rPr>
        <w:t xml:space="preserve"> to get managers to divulge financial information such as account turnover as it is considered confidential and sensitive considering the diverse socio-economic conditions of the six different countries covered in this study.</w:t>
      </w:r>
    </w:p>
    <w:p w14:paraId="67E54463" w14:textId="77777777" w:rsidR="00CD6352" w:rsidRPr="00EA7665" w:rsidRDefault="00CD6352" w:rsidP="00CD6352">
      <w:pPr>
        <w:spacing w:after="0" w:line="360" w:lineRule="auto"/>
        <w:jc w:val="both"/>
        <w:rPr>
          <w:rFonts w:ascii="Arial" w:eastAsia="Calibri" w:hAnsi="Arial" w:cs="Arial"/>
          <w:lang w:val="en-NZ"/>
        </w:rPr>
      </w:pPr>
    </w:p>
    <w:p w14:paraId="617D8140" w14:textId="77777777" w:rsidR="00CD6352" w:rsidRPr="00EA7665" w:rsidRDefault="00CD6352" w:rsidP="00CD6352">
      <w:pPr>
        <w:pStyle w:val="Heading3"/>
        <w:spacing w:after="240" w:line="360" w:lineRule="auto"/>
        <w:jc w:val="both"/>
        <w:rPr>
          <w:rFonts w:eastAsia="Calibri" w:cs="Arial"/>
          <w:sz w:val="22"/>
          <w:szCs w:val="22"/>
          <w:lang w:val="en-NZ"/>
        </w:rPr>
      </w:pPr>
      <w:r w:rsidRPr="00EA7665">
        <w:rPr>
          <w:rFonts w:eastAsia="Calibri" w:cs="Arial"/>
          <w:sz w:val="22"/>
          <w:szCs w:val="22"/>
          <w:lang w:val="en-NZ"/>
        </w:rPr>
        <w:t xml:space="preserve"> </w:t>
      </w:r>
      <w:bookmarkStart w:id="1032" w:name="_Toc78983829"/>
      <w:r w:rsidRPr="00EA7665">
        <w:rPr>
          <w:rFonts w:eastAsia="Calibri" w:cs="Arial"/>
          <w:sz w:val="22"/>
          <w:szCs w:val="22"/>
          <w:lang w:val="en-NZ"/>
        </w:rPr>
        <w:t>Data collection procedures</w:t>
      </w:r>
      <w:bookmarkEnd w:id="1032"/>
      <w:r w:rsidRPr="00EA7665">
        <w:rPr>
          <w:rFonts w:eastAsia="Calibri" w:cs="Arial"/>
          <w:sz w:val="22"/>
          <w:szCs w:val="22"/>
          <w:lang w:val="en-NZ"/>
        </w:rPr>
        <w:t xml:space="preserve"> </w:t>
      </w:r>
    </w:p>
    <w:p w14:paraId="26D454AF" w14:textId="77777777" w:rsidR="00CD6352" w:rsidRPr="00E8183F" w:rsidRDefault="00CD6352" w:rsidP="00CD6352">
      <w:pPr>
        <w:pStyle w:val="Heading4"/>
        <w:spacing w:after="240" w:line="360" w:lineRule="auto"/>
        <w:jc w:val="both"/>
        <w:rPr>
          <w:rFonts w:ascii="Arial" w:eastAsia="Calibri" w:hAnsi="Arial" w:cs="Arial"/>
          <w:lang w:val="en-NZ"/>
        </w:rPr>
      </w:pPr>
      <w:r w:rsidRPr="00EA7665">
        <w:rPr>
          <w:rFonts w:ascii="Arial" w:eastAsia="Calibri" w:hAnsi="Arial" w:cs="Arial"/>
          <w:lang w:val="en-NZ"/>
        </w:rPr>
        <w:t xml:space="preserve"> </w:t>
      </w:r>
      <w:r w:rsidRPr="00E8183F">
        <w:rPr>
          <w:rFonts w:ascii="Arial" w:eastAsia="Calibri" w:hAnsi="Arial" w:cs="Arial"/>
          <w:color w:val="000000" w:themeColor="text1"/>
          <w:lang w:val="en-NZ"/>
        </w:rPr>
        <w:t xml:space="preserve">Identification of the population sample and selection of a sample frame </w:t>
      </w:r>
    </w:p>
    <w:p w14:paraId="3AC18EA6" w14:textId="1611CB88" w:rsidR="00CD6352" w:rsidRDefault="00CD6352" w:rsidP="00CD6352">
      <w:pPr>
        <w:spacing w:line="360" w:lineRule="auto"/>
        <w:jc w:val="both"/>
        <w:rPr>
          <w:rFonts w:ascii="Arial" w:eastAsia="Calibri" w:hAnsi="Arial" w:cs="Arial"/>
          <w:lang w:val="en-NZ"/>
        </w:rPr>
      </w:pPr>
      <w:r w:rsidRPr="00E8183F">
        <w:rPr>
          <w:rFonts w:ascii="Arial" w:eastAsia="Calibri" w:hAnsi="Arial" w:cs="Arial"/>
          <w:lang w:val="en-NZ"/>
        </w:rPr>
        <w:t>It was important to select a population sample</w:t>
      </w:r>
      <w:r w:rsidR="00BF4BB9">
        <w:rPr>
          <w:rFonts w:ascii="Arial" w:eastAsia="Calibri" w:hAnsi="Arial" w:cs="Arial"/>
          <w:lang w:val="en-NZ"/>
        </w:rPr>
        <w:t xml:space="preserve"> representing</w:t>
      </w:r>
      <w:r w:rsidRPr="00E8183F">
        <w:rPr>
          <w:rFonts w:ascii="Arial" w:eastAsia="Calibri" w:hAnsi="Arial" w:cs="Arial"/>
          <w:lang w:val="en-NZ"/>
        </w:rPr>
        <w:t xml:space="preserve"> the real estate development sector in the six (6) countries reviewed. Purposive, convenient and snowballing sampling techniques were initially used for the pilot study for the interviews and the questionnaire survey. </w:t>
      </w:r>
      <w:r>
        <w:rPr>
          <w:rFonts w:ascii="Arial" w:eastAsia="Calibri" w:hAnsi="Arial" w:cs="Arial"/>
          <w:lang w:val="en-NZ"/>
        </w:rPr>
        <w:t xml:space="preserve">The </w:t>
      </w:r>
      <w:r w:rsidRPr="00E8183F">
        <w:rPr>
          <w:rFonts w:ascii="Arial" w:eastAsia="Calibri" w:hAnsi="Arial" w:cs="Arial"/>
          <w:lang w:val="en-NZ"/>
        </w:rPr>
        <w:t>initial respondents selected were the ones the researcher thought could provide the best information and were willing to be included in the study. Findings show that purposive, convenient and snowballing are acceptab</w:t>
      </w:r>
      <w:r w:rsidRPr="00EA7665">
        <w:rPr>
          <w:rFonts w:ascii="Arial" w:eastAsia="Calibri" w:hAnsi="Arial" w:cs="Arial"/>
          <w:lang w:val="en-NZ"/>
        </w:rPr>
        <w:t xml:space="preserve">le non-probability sampling </w:t>
      </w:r>
      <w:r>
        <w:rPr>
          <w:rFonts w:ascii="Arial" w:eastAsia="Calibri" w:hAnsi="Arial" w:cs="Arial"/>
          <w:lang w:val="en-NZ"/>
        </w:rPr>
        <w:t xml:space="preserve">techniques </w:t>
      </w:r>
      <w:r w:rsidRPr="00EA7665">
        <w:rPr>
          <w:rFonts w:ascii="Arial" w:eastAsia="Calibri" w:hAnsi="Arial" w:cs="Arial"/>
          <w:lang w:val="en-NZ"/>
        </w:rPr>
        <w:t>used in business and social science research</w:t>
      </w:r>
      <w:r>
        <w:rPr>
          <w:rFonts w:ascii="Arial" w:eastAsia="Calibri" w:hAnsi="Arial" w:cs="Arial"/>
          <w:lang w:val="en-NZ"/>
        </w:rPr>
        <w:t>.</w:t>
      </w:r>
      <w:r w:rsidRPr="00EA7665">
        <w:rPr>
          <w:rFonts w:ascii="Arial" w:eastAsia="Calibri" w:hAnsi="Arial" w:cs="Arial"/>
          <w:lang w:val="en-NZ"/>
        </w:rPr>
        <w:t xml:space="preserve"> (Zin. 2013).</w:t>
      </w:r>
      <w:r>
        <w:rPr>
          <w:rFonts w:ascii="Arial" w:eastAsia="Calibri" w:hAnsi="Arial" w:cs="Arial"/>
          <w:lang w:val="en-NZ"/>
        </w:rPr>
        <w:t xml:space="preserve"> </w:t>
      </w:r>
      <w:r w:rsidRPr="00EA7665">
        <w:rPr>
          <w:rFonts w:ascii="Arial" w:eastAsia="Calibri" w:hAnsi="Arial" w:cs="Arial"/>
          <w:lang w:val="en-NZ"/>
        </w:rPr>
        <w:t xml:space="preserve">However, for the major research after the pilot, both probabilistic and non-probabilistic sampling was used because of the large sampling size required and the </w:t>
      </w:r>
      <w:r w:rsidRPr="00EA7665">
        <w:rPr>
          <w:rFonts w:ascii="Arial" w:eastAsia="Calibri" w:hAnsi="Arial" w:cs="Arial"/>
          <w:lang w:val="en-NZ"/>
        </w:rPr>
        <w:lastRenderedPageBreak/>
        <w:t xml:space="preserve">need for homogeneity in the samples. Consequently, stratified random and snowballing sampling techniques were used. </w:t>
      </w:r>
    </w:p>
    <w:p w14:paraId="2E8A3E50" w14:textId="1E7F081C" w:rsidR="00CD6352" w:rsidRDefault="00CD6352" w:rsidP="00CD6352">
      <w:pPr>
        <w:spacing w:after="0" w:line="360" w:lineRule="auto"/>
        <w:jc w:val="both"/>
        <w:rPr>
          <w:rFonts w:ascii="Arial" w:eastAsia="Calibri" w:hAnsi="Arial" w:cs="Arial"/>
        </w:rPr>
      </w:pPr>
      <w:r w:rsidRPr="00EA7665">
        <w:rPr>
          <w:rFonts w:ascii="Arial" w:eastAsia="Calibri" w:hAnsi="Arial" w:cs="Arial"/>
        </w:rPr>
        <w:t>Most of the managers in the United Kingdom were identified through the Royal Institution of Chartered Surveyors (RICS). Members of RICS were contacted via LinkedIn and emails, and some of those who were contacted gave referrals for more contacts for the research. Samples for managers in the Nigeri</w:t>
      </w:r>
      <w:r>
        <w:rPr>
          <w:rFonts w:ascii="Arial" w:eastAsia="Calibri" w:hAnsi="Arial" w:cs="Arial"/>
        </w:rPr>
        <w:t xml:space="preserve">an </w:t>
      </w:r>
      <w:r w:rsidRPr="00EA7665">
        <w:rPr>
          <w:rFonts w:ascii="Arial" w:eastAsia="Calibri" w:hAnsi="Arial" w:cs="Arial"/>
        </w:rPr>
        <w:t xml:space="preserve">real estate development sector were </w:t>
      </w:r>
      <w:r w:rsidR="008775D4">
        <w:rPr>
          <w:rFonts w:ascii="Arial" w:eastAsia="Calibri" w:hAnsi="Arial" w:cs="Arial"/>
        </w:rPr>
        <w:t>primarily identified</w:t>
      </w:r>
      <w:r w:rsidRPr="00EA7665">
        <w:rPr>
          <w:rFonts w:ascii="Arial" w:eastAsia="Calibri" w:hAnsi="Arial" w:cs="Arial"/>
        </w:rPr>
        <w:t xml:space="preserve"> through snowballing and the Association of Real Estate Developers of Nigeria (REDAN). REDAN has about 450 registered members. Academics in different countries also helped in referring the researcher to industry practitioners in their various countries of domicile.</w:t>
      </w:r>
    </w:p>
    <w:p w14:paraId="08854BE6" w14:textId="77777777" w:rsidR="00CD6352" w:rsidRPr="00EA7665" w:rsidRDefault="00CD6352" w:rsidP="00CD6352">
      <w:pPr>
        <w:spacing w:after="0" w:line="360" w:lineRule="auto"/>
        <w:jc w:val="both"/>
        <w:rPr>
          <w:rFonts w:ascii="Arial" w:eastAsia="Calibri" w:hAnsi="Arial" w:cs="Arial"/>
        </w:rPr>
      </w:pPr>
    </w:p>
    <w:p w14:paraId="7CBD58F2" w14:textId="43B9D24F"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Contact details of about 3000 companies operating in the real estate development sector covering all the states in the United States were obtained online. Their websites were accessed from the information</w:t>
      </w:r>
      <w:r w:rsidR="00F25C47">
        <w:rPr>
          <w:rFonts w:ascii="Arial" w:eastAsia="Calibri" w:hAnsi="Arial" w:cs="Arial"/>
        </w:rPr>
        <w:t>,</w:t>
      </w:r>
      <w:r w:rsidRPr="00EA7665">
        <w:rPr>
          <w:rFonts w:ascii="Arial" w:eastAsia="Calibri" w:hAnsi="Arial" w:cs="Arial"/>
        </w:rPr>
        <w:t xml:space="preserve"> and emails were sent to 200 of the key managers in the different countries who did not respond to the emails. Some of them were then sent invites on LinkedIn.</w:t>
      </w:r>
      <w:r>
        <w:rPr>
          <w:rFonts w:ascii="Arial" w:eastAsia="Calibri" w:hAnsi="Arial" w:cs="Arial"/>
        </w:rPr>
        <w:t xml:space="preserve"> </w:t>
      </w:r>
      <w:r w:rsidRPr="00EA7665">
        <w:rPr>
          <w:rFonts w:ascii="Arial" w:eastAsia="Calibri" w:hAnsi="Arial" w:cs="Arial"/>
        </w:rPr>
        <w:t>LinkedIn and Twitter played a crucial role in accessing some respondents for both interviews and survey questionnaires. Notably</w:t>
      </w:r>
      <w:r>
        <w:rPr>
          <w:rFonts w:ascii="Arial" w:eastAsia="Calibri" w:hAnsi="Arial" w:cs="Arial"/>
        </w:rPr>
        <w:t xml:space="preserve">, </w:t>
      </w:r>
      <w:r w:rsidRPr="00EA7665">
        <w:rPr>
          <w:rFonts w:ascii="Arial" w:eastAsia="Calibri" w:hAnsi="Arial" w:cs="Arial"/>
        </w:rPr>
        <w:t xml:space="preserve"> most managers of large real estate development firms are on LinkedIn. </w:t>
      </w:r>
    </w:p>
    <w:p w14:paraId="070A2411" w14:textId="77777777" w:rsidR="00CD6352" w:rsidRPr="00EA7665" w:rsidRDefault="00CD6352" w:rsidP="00CD6352">
      <w:pPr>
        <w:spacing w:after="0" w:line="360" w:lineRule="auto"/>
        <w:jc w:val="both"/>
        <w:rPr>
          <w:rFonts w:ascii="Arial" w:eastAsia="Calibri" w:hAnsi="Arial" w:cs="Arial"/>
        </w:rPr>
      </w:pPr>
      <w:r w:rsidRPr="00EA7665">
        <w:rPr>
          <w:rFonts w:ascii="Arial" w:eastAsia="Calibri" w:hAnsi="Arial" w:cs="Arial"/>
        </w:rPr>
        <w:t>The selection criteri</w:t>
      </w:r>
      <w:r>
        <w:rPr>
          <w:rFonts w:ascii="Arial" w:eastAsia="Calibri" w:hAnsi="Arial" w:cs="Arial"/>
        </w:rPr>
        <w:t>a</w:t>
      </w:r>
      <w:r w:rsidRPr="00EA7665">
        <w:rPr>
          <w:rFonts w:ascii="Arial" w:eastAsia="Calibri" w:hAnsi="Arial" w:cs="Arial"/>
        </w:rPr>
        <w:t xml:space="preserve"> for the semi-structured interviews and questionnaire survey is as follows:</w:t>
      </w:r>
    </w:p>
    <w:p w14:paraId="2B16663C" w14:textId="77777777" w:rsidR="00CD6352" w:rsidRPr="00EA7665" w:rsidRDefault="00CD6352" w:rsidP="00CD6352">
      <w:pPr>
        <w:pStyle w:val="ListParagraph"/>
        <w:numPr>
          <w:ilvl w:val="0"/>
          <w:numId w:val="19"/>
        </w:numPr>
        <w:spacing w:after="0" w:line="360" w:lineRule="auto"/>
        <w:jc w:val="both"/>
        <w:rPr>
          <w:rFonts w:ascii="Arial" w:eastAsia="Calibri" w:hAnsi="Arial" w:cs="Arial"/>
        </w:rPr>
      </w:pPr>
      <w:r w:rsidRPr="00EA7665">
        <w:rPr>
          <w:rFonts w:ascii="Arial" w:eastAsia="Calibri" w:hAnsi="Arial" w:cs="Arial"/>
        </w:rPr>
        <w:t>The responden</w:t>
      </w:r>
      <w:r>
        <w:rPr>
          <w:rFonts w:ascii="Arial" w:eastAsia="Calibri" w:hAnsi="Arial" w:cs="Arial"/>
        </w:rPr>
        <w:t>ts</w:t>
      </w:r>
      <w:r w:rsidRPr="00EA7665">
        <w:rPr>
          <w:rFonts w:ascii="Arial" w:eastAsia="Calibri" w:hAnsi="Arial" w:cs="Arial"/>
        </w:rPr>
        <w:t xml:space="preserve"> should be managers involved in real estate development either </w:t>
      </w:r>
      <w:r>
        <w:rPr>
          <w:rFonts w:ascii="Arial" w:eastAsia="Calibri" w:hAnsi="Arial" w:cs="Arial"/>
        </w:rPr>
        <w:t>in</w:t>
      </w:r>
      <w:r w:rsidRPr="00EA7665">
        <w:rPr>
          <w:rFonts w:ascii="Arial" w:eastAsia="Calibri" w:hAnsi="Arial" w:cs="Arial"/>
        </w:rPr>
        <w:t xml:space="preserve"> a full time or part-time capacity.</w:t>
      </w:r>
    </w:p>
    <w:p w14:paraId="155CDF45" w14:textId="68DFFBE4" w:rsidR="00CD6352" w:rsidRPr="00EA7665" w:rsidRDefault="00CD6352" w:rsidP="00CD6352">
      <w:pPr>
        <w:pStyle w:val="ListParagraph"/>
        <w:numPr>
          <w:ilvl w:val="0"/>
          <w:numId w:val="19"/>
        </w:numPr>
        <w:spacing w:after="0" w:line="360" w:lineRule="auto"/>
        <w:jc w:val="both"/>
        <w:rPr>
          <w:rFonts w:ascii="Arial" w:eastAsia="Calibri" w:hAnsi="Arial" w:cs="Arial"/>
        </w:rPr>
      </w:pPr>
      <w:r w:rsidRPr="00EA7665">
        <w:rPr>
          <w:rFonts w:ascii="Arial" w:eastAsia="Calibri" w:hAnsi="Arial" w:cs="Arial"/>
        </w:rPr>
        <w:t>The managers should have worked</w:t>
      </w:r>
      <w:r>
        <w:rPr>
          <w:rFonts w:ascii="Arial" w:eastAsia="Calibri" w:hAnsi="Arial" w:cs="Arial"/>
        </w:rPr>
        <w:t xml:space="preserve"> at</w:t>
      </w:r>
      <w:r w:rsidRPr="00EA7665">
        <w:rPr>
          <w:rFonts w:ascii="Arial" w:eastAsia="Calibri" w:hAnsi="Arial" w:cs="Arial"/>
        </w:rPr>
        <w:t xml:space="preserve"> </w:t>
      </w:r>
      <w:r w:rsidR="00EC3D8C">
        <w:rPr>
          <w:rFonts w:ascii="Arial" w:eastAsia="Calibri" w:hAnsi="Arial" w:cs="Arial"/>
        </w:rPr>
        <w:t xml:space="preserve">the </w:t>
      </w:r>
      <w:r w:rsidRPr="00EA7665">
        <w:rPr>
          <w:rFonts w:ascii="Arial" w:eastAsia="Calibri" w:hAnsi="Arial" w:cs="Arial"/>
        </w:rPr>
        <w:t>management level for not less than four (4) years in this sector.</w:t>
      </w:r>
    </w:p>
    <w:p w14:paraId="26EE1AE2" w14:textId="00E05913" w:rsidR="00CD6352" w:rsidRPr="00EA7665" w:rsidRDefault="00CD6352" w:rsidP="00CD6352">
      <w:pPr>
        <w:pStyle w:val="ListParagraph"/>
        <w:numPr>
          <w:ilvl w:val="0"/>
          <w:numId w:val="19"/>
        </w:numPr>
        <w:spacing w:after="0" w:line="360" w:lineRule="auto"/>
        <w:jc w:val="both"/>
        <w:rPr>
          <w:rFonts w:ascii="Arial" w:eastAsia="Calibri" w:hAnsi="Arial" w:cs="Arial"/>
        </w:rPr>
      </w:pPr>
      <w:r w:rsidRPr="00EA7665">
        <w:rPr>
          <w:rFonts w:ascii="Arial" w:eastAsia="Calibri" w:hAnsi="Arial" w:cs="Arial"/>
        </w:rPr>
        <w:t xml:space="preserve">The managers </w:t>
      </w:r>
      <w:r w:rsidR="00C93C27">
        <w:rPr>
          <w:rFonts w:ascii="Arial" w:eastAsia="Calibri" w:hAnsi="Arial" w:cs="Arial"/>
        </w:rPr>
        <w:t>are</w:t>
      </w:r>
      <w:r w:rsidRPr="00EA7665">
        <w:rPr>
          <w:rFonts w:ascii="Arial" w:eastAsia="Calibri" w:hAnsi="Arial" w:cs="Arial"/>
        </w:rPr>
        <w:t xml:space="preserve"> still involved in the real estate sector to date.</w:t>
      </w:r>
    </w:p>
    <w:p w14:paraId="178A0827" w14:textId="77777777" w:rsidR="00CD6352" w:rsidRPr="00EA7665" w:rsidRDefault="00CD6352" w:rsidP="00CD6352">
      <w:pPr>
        <w:pStyle w:val="ListParagraph"/>
        <w:numPr>
          <w:ilvl w:val="0"/>
          <w:numId w:val="19"/>
        </w:numPr>
        <w:spacing w:after="0" w:line="360" w:lineRule="auto"/>
        <w:jc w:val="both"/>
        <w:rPr>
          <w:rFonts w:ascii="Arial" w:eastAsia="Calibri" w:hAnsi="Arial" w:cs="Arial"/>
        </w:rPr>
      </w:pPr>
      <w:r w:rsidRPr="00EA7665">
        <w:rPr>
          <w:rFonts w:ascii="Arial" w:eastAsia="Calibri" w:hAnsi="Arial" w:cs="Arial"/>
        </w:rPr>
        <w:t>The managers gave their consent to be a part of the interview.</w:t>
      </w:r>
    </w:p>
    <w:p w14:paraId="25676E8D" w14:textId="77777777" w:rsidR="00CD6352" w:rsidRPr="00EA7665" w:rsidRDefault="00CD6352" w:rsidP="00CD6352">
      <w:pPr>
        <w:spacing w:after="0" w:line="360" w:lineRule="auto"/>
        <w:jc w:val="both"/>
        <w:rPr>
          <w:rFonts w:ascii="Arial" w:eastAsia="Calibri" w:hAnsi="Arial" w:cs="Arial"/>
          <w:lang w:val="en-NZ"/>
        </w:rPr>
      </w:pPr>
    </w:p>
    <w:p w14:paraId="0C08DB69" w14:textId="77777777"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Managers in the context of this study are categorised by their position as listed below:</w:t>
      </w:r>
    </w:p>
    <w:p w14:paraId="4AD609DC" w14:textId="73CF45DF" w:rsidR="00CD6352" w:rsidRPr="00EA7665" w:rsidRDefault="00CD6352" w:rsidP="00CD6352">
      <w:pPr>
        <w:pStyle w:val="ListParagraph"/>
        <w:numPr>
          <w:ilvl w:val="0"/>
          <w:numId w:val="20"/>
        </w:numPr>
        <w:spacing w:after="0" w:line="360" w:lineRule="auto"/>
        <w:jc w:val="both"/>
        <w:rPr>
          <w:rFonts w:ascii="Arial" w:eastAsia="Calibri" w:hAnsi="Arial" w:cs="Arial"/>
          <w:lang w:val="en-NZ"/>
        </w:rPr>
      </w:pPr>
      <w:r w:rsidRPr="00EA7665">
        <w:rPr>
          <w:rFonts w:ascii="Arial" w:eastAsia="Calibri" w:hAnsi="Arial" w:cs="Arial"/>
          <w:lang w:val="en-NZ"/>
        </w:rPr>
        <w:t xml:space="preserve">Upper-level managers: These levels of managers include </w:t>
      </w:r>
      <w:r w:rsidR="00EC3D8C">
        <w:rPr>
          <w:rFonts w:ascii="Arial" w:eastAsia="Calibri" w:hAnsi="Arial" w:cs="Arial"/>
          <w:lang w:val="en-NZ"/>
        </w:rPr>
        <w:t xml:space="preserve">the </w:t>
      </w:r>
      <w:r w:rsidRPr="00EA7665">
        <w:rPr>
          <w:rFonts w:ascii="Arial" w:eastAsia="Calibri" w:hAnsi="Arial" w:cs="Arial"/>
          <w:lang w:val="en-NZ"/>
        </w:rPr>
        <w:t xml:space="preserve">director, chief executive officer, managing director, chief financial officer, and senior accounting manager. These are managers that make strategic decisions for their organisations (Egbu, 1994). </w:t>
      </w:r>
    </w:p>
    <w:p w14:paraId="1045180A" w14:textId="77777777" w:rsidR="00CD6352" w:rsidRPr="00EA7665" w:rsidRDefault="00CD6352" w:rsidP="00CD6352">
      <w:pPr>
        <w:pStyle w:val="ListParagraph"/>
        <w:numPr>
          <w:ilvl w:val="0"/>
          <w:numId w:val="20"/>
        </w:numPr>
        <w:spacing w:after="0" w:line="360" w:lineRule="auto"/>
        <w:jc w:val="both"/>
        <w:rPr>
          <w:rFonts w:ascii="Arial" w:eastAsia="Calibri" w:hAnsi="Arial" w:cs="Arial"/>
          <w:lang w:val="en-NZ"/>
        </w:rPr>
      </w:pPr>
      <w:r w:rsidRPr="00EA7665">
        <w:rPr>
          <w:rFonts w:ascii="Arial" w:eastAsia="Calibri" w:hAnsi="Arial" w:cs="Arial"/>
          <w:lang w:val="en-NZ"/>
        </w:rPr>
        <w:t xml:space="preserve">Middle-level managers:  Managers on this level for this research include project directors, general managers, account and payroll managers, deputy directors and assistant directors. </w:t>
      </w:r>
    </w:p>
    <w:p w14:paraId="45B7E650" w14:textId="77777777" w:rsidR="00CD6352" w:rsidRPr="00EA7665" w:rsidRDefault="00CD6352" w:rsidP="00CD6352">
      <w:pPr>
        <w:pStyle w:val="ListParagraph"/>
        <w:numPr>
          <w:ilvl w:val="0"/>
          <w:numId w:val="20"/>
        </w:numPr>
        <w:spacing w:after="0" w:line="360" w:lineRule="auto"/>
        <w:jc w:val="both"/>
        <w:rPr>
          <w:rFonts w:ascii="Arial" w:eastAsia="Calibri" w:hAnsi="Arial" w:cs="Arial"/>
          <w:lang w:val="en-NZ"/>
        </w:rPr>
      </w:pPr>
      <w:r w:rsidRPr="00EA7665">
        <w:rPr>
          <w:rFonts w:ascii="Arial" w:eastAsia="Calibri" w:hAnsi="Arial" w:cs="Arial"/>
          <w:lang w:val="en-NZ"/>
        </w:rPr>
        <w:t>The lower level managers: This level of managers includes regional managers, administrative managers, sales managers, sales executives, and brokerage managers.</w:t>
      </w:r>
    </w:p>
    <w:p w14:paraId="3B0B6B1F" w14:textId="77777777" w:rsidR="00CD6352" w:rsidRPr="00EA7665" w:rsidRDefault="00CD6352" w:rsidP="00CD6352">
      <w:pPr>
        <w:pStyle w:val="Heading4"/>
        <w:spacing w:line="360" w:lineRule="auto"/>
        <w:jc w:val="both"/>
        <w:rPr>
          <w:rFonts w:ascii="Arial" w:eastAsia="Calibri" w:hAnsi="Arial" w:cs="Arial"/>
          <w:b/>
          <w:color w:val="auto"/>
          <w:lang w:val="en-NZ"/>
        </w:rPr>
      </w:pPr>
      <w:r w:rsidRPr="00EA7665">
        <w:rPr>
          <w:rFonts w:ascii="Arial" w:eastAsia="Calibri" w:hAnsi="Arial" w:cs="Arial"/>
          <w:b/>
          <w:color w:val="auto"/>
          <w:lang w:val="en-NZ"/>
        </w:rPr>
        <w:lastRenderedPageBreak/>
        <w:t>Semi-Structured interviews</w:t>
      </w:r>
    </w:p>
    <w:p w14:paraId="401958DB" w14:textId="4AC5F97D"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Qualitative research gives room for a more in-depth study of a phenomenon, and it is achievable with relatively small samples. The sampling of respondents was carried out by carefully identifying respondents from the list identified during the general scanning for respondents through personal contacts, online databas</w:t>
      </w:r>
      <w:r>
        <w:rPr>
          <w:rFonts w:ascii="Arial" w:eastAsia="Calibri" w:hAnsi="Arial" w:cs="Arial"/>
          <w:lang w:val="en-NZ"/>
        </w:rPr>
        <w:t>es</w:t>
      </w:r>
      <w:r w:rsidRPr="00EA7665">
        <w:rPr>
          <w:rFonts w:ascii="Arial" w:eastAsia="Calibri" w:hAnsi="Arial" w:cs="Arial"/>
          <w:lang w:val="en-NZ"/>
        </w:rPr>
        <w:t xml:space="preserve"> of real estate development managers, LinkedIn, referrals from conferences and other industry practitioners. </w:t>
      </w:r>
    </w:p>
    <w:p w14:paraId="2772A62C" w14:textId="77777777"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The key criteria for the selection of the managers for the interviews were:</w:t>
      </w:r>
    </w:p>
    <w:p w14:paraId="745DACF0" w14:textId="2742E405" w:rsidR="00CD6352" w:rsidRPr="00EA7665" w:rsidRDefault="00CD6352" w:rsidP="00CD6352">
      <w:pPr>
        <w:pStyle w:val="ListParagraph"/>
        <w:numPr>
          <w:ilvl w:val="0"/>
          <w:numId w:val="21"/>
        </w:numPr>
        <w:spacing w:after="0" w:line="360" w:lineRule="auto"/>
        <w:jc w:val="both"/>
        <w:rPr>
          <w:rFonts w:ascii="Arial" w:eastAsia="Calibri" w:hAnsi="Arial" w:cs="Arial"/>
          <w:lang w:val="en-NZ"/>
        </w:rPr>
      </w:pPr>
      <w:r w:rsidRPr="00EA7665">
        <w:rPr>
          <w:rFonts w:ascii="Arial" w:eastAsia="Calibri" w:hAnsi="Arial" w:cs="Arial"/>
          <w:lang w:val="en-NZ"/>
        </w:rPr>
        <w:t xml:space="preserve">The number of years operating </w:t>
      </w:r>
      <w:r>
        <w:rPr>
          <w:rFonts w:ascii="Arial" w:eastAsia="Calibri" w:hAnsi="Arial" w:cs="Arial"/>
          <w:lang w:val="en-NZ"/>
        </w:rPr>
        <w:t xml:space="preserve">at a </w:t>
      </w:r>
      <w:r w:rsidRPr="00EA7665">
        <w:rPr>
          <w:rFonts w:ascii="Arial" w:eastAsia="Calibri" w:hAnsi="Arial" w:cs="Arial"/>
          <w:lang w:val="en-NZ"/>
        </w:rPr>
        <w:t xml:space="preserve"> managerial level in the real estate sector</w:t>
      </w:r>
      <w:r w:rsidR="00C93C27">
        <w:rPr>
          <w:rFonts w:ascii="Arial" w:eastAsia="Calibri" w:hAnsi="Arial" w:cs="Arial"/>
          <w:lang w:val="en-NZ"/>
        </w:rPr>
        <w:t xml:space="preserve"> is</w:t>
      </w:r>
      <w:r w:rsidRPr="00EA7665">
        <w:rPr>
          <w:rFonts w:ascii="Arial" w:eastAsia="Calibri" w:hAnsi="Arial" w:cs="Arial"/>
          <w:lang w:val="en-NZ"/>
        </w:rPr>
        <w:t xml:space="preserve"> not less than four years.</w:t>
      </w:r>
    </w:p>
    <w:p w14:paraId="48C073EA" w14:textId="77777777" w:rsidR="00CD6352" w:rsidRPr="00EA7665" w:rsidRDefault="00CD6352" w:rsidP="00CD6352">
      <w:pPr>
        <w:pStyle w:val="ListParagraph"/>
        <w:numPr>
          <w:ilvl w:val="0"/>
          <w:numId w:val="21"/>
        </w:numPr>
        <w:spacing w:after="0" w:line="360" w:lineRule="auto"/>
        <w:jc w:val="both"/>
        <w:rPr>
          <w:rFonts w:ascii="Arial" w:eastAsia="Calibri" w:hAnsi="Arial" w:cs="Arial"/>
          <w:lang w:val="en-NZ"/>
        </w:rPr>
      </w:pPr>
      <w:r w:rsidRPr="00EA7665">
        <w:rPr>
          <w:rFonts w:ascii="Arial" w:eastAsia="Calibri" w:hAnsi="Arial" w:cs="Arial"/>
          <w:lang w:val="en-NZ"/>
        </w:rPr>
        <w:t xml:space="preserve">Managers being members of recognised bodies such as RICS, </w:t>
      </w:r>
      <w:r>
        <w:rPr>
          <w:rFonts w:ascii="Arial" w:eastAsia="Calibri" w:hAnsi="Arial" w:cs="Arial"/>
          <w:lang w:val="en-NZ"/>
        </w:rPr>
        <w:t>r</w:t>
      </w:r>
      <w:r w:rsidRPr="00EA7665">
        <w:rPr>
          <w:rFonts w:ascii="Arial" w:eastAsia="Calibri" w:hAnsi="Arial" w:cs="Arial"/>
          <w:lang w:val="en-NZ"/>
        </w:rPr>
        <w:t>eal estate association of Nigeria.</w:t>
      </w:r>
    </w:p>
    <w:p w14:paraId="1A2BB43F" w14:textId="504062C8" w:rsidR="00CD6352" w:rsidRPr="00EA7665" w:rsidRDefault="00CD6352" w:rsidP="008E3D2F">
      <w:pPr>
        <w:pStyle w:val="ListParagraph"/>
        <w:numPr>
          <w:ilvl w:val="0"/>
          <w:numId w:val="21"/>
        </w:numPr>
        <w:spacing w:line="360" w:lineRule="auto"/>
        <w:jc w:val="both"/>
        <w:rPr>
          <w:rFonts w:ascii="Arial" w:eastAsia="Calibri" w:hAnsi="Arial" w:cs="Arial"/>
          <w:b/>
          <w:lang w:val="en-NZ"/>
        </w:rPr>
      </w:pPr>
      <w:r w:rsidRPr="00EA7665">
        <w:rPr>
          <w:rFonts w:ascii="Arial" w:eastAsia="Calibri" w:hAnsi="Arial" w:cs="Arial"/>
          <w:lang w:val="en-NZ"/>
        </w:rPr>
        <w:t xml:space="preserve">Managers </w:t>
      </w:r>
      <w:r w:rsidR="008E3D2F">
        <w:rPr>
          <w:rFonts w:ascii="Arial" w:eastAsia="Calibri" w:hAnsi="Arial" w:cs="Arial"/>
          <w:lang w:val="en-NZ"/>
        </w:rPr>
        <w:t xml:space="preserve">should be </w:t>
      </w:r>
      <w:r w:rsidRPr="00EA7665">
        <w:rPr>
          <w:rFonts w:ascii="Arial" w:eastAsia="Calibri" w:hAnsi="Arial" w:cs="Arial"/>
          <w:lang w:val="en-NZ"/>
        </w:rPr>
        <w:t>involved in real estate development.</w:t>
      </w:r>
    </w:p>
    <w:p w14:paraId="19AE9F5E" w14:textId="77777777"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It could be one or all of the criteria, but the first criterion is mandatory. The semi-structured interview was the platform for the development of the questionnaires as it helped to modify some of the themes.</w:t>
      </w:r>
    </w:p>
    <w:p w14:paraId="5B24A1C1" w14:textId="65751834"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 xml:space="preserve">The semi-structured interview was carried out in two phases: the pilot study and the main study. Robson (2006), as cited by Zin (2013), stated that there are three generic forms of interviews: </w:t>
      </w:r>
      <w:r>
        <w:rPr>
          <w:rFonts w:ascii="Arial" w:eastAsia="Calibri" w:hAnsi="Arial" w:cs="Arial"/>
          <w:lang w:val="en-NZ"/>
        </w:rPr>
        <w:t>u</w:t>
      </w:r>
      <w:r w:rsidRPr="00EA7665">
        <w:rPr>
          <w:rFonts w:ascii="Arial" w:eastAsia="Calibri" w:hAnsi="Arial" w:cs="Arial"/>
          <w:lang w:val="en-NZ"/>
        </w:rPr>
        <w:t>nstructured, semi-structured and fully structured. The semi-structured interview was used because it provides in-depth, reliable and comparable qualitative data.  The semi-structured interviews were with the three different levels of management in both the developed and emerging economies (China, Germany, UK, US, Nigeria, and South Africa)</w:t>
      </w:r>
      <w:r w:rsidR="00AF29E1">
        <w:rPr>
          <w:rFonts w:ascii="Arial" w:eastAsia="Calibri" w:hAnsi="Arial" w:cs="Arial"/>
          <w:lang w:val="en-NZ"/>
        </w:rPr>
        <w:t>,</w:t>
      </w:r>
      <w:r w:rsidRPr="00EA7665">
        <w:rPr>
          <w:rFonts w:ascii="Arial" w:eastAsia="Calibri" w:hAnsi="Arial" w:cs="Arial"/>
          <w:lang w:val="en-NZ"/>
        </w:rPr>
        <w:t xml:space="preserve"> and it was designed to achieve the objectives.</w:t>
      </w:r>
    </w:p>
    <w:p w14:paraId="275E4354" w14:textId="582E76A7"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 xml:space="preserve">Semi-structured interviews enable a comparison of how people </w:t>
      </w:r>
      <w:r>
        <w:rPr>
          <w:rFonts w:ascii="Arial" w:eastAsia="Calibri" w:hAnsi="Arial" w:cs="Arial"/>
          <w:lang w:val="en-NZ"/>
        </w:rPr>
        <w:t>view</w:t>
      </w:r>
      <w:r w:rsidRPr="00EA7665">
        <w:rPr>
          <w:rFonts w:ascii="Arial" w:eastAsia="Calibri" w:hAnsi="Arial" w:cs="Arial"/>
          <w:lang w:val="en-NZ"/>
        </w:rPr>
        <w:t xml:space="preserve"> different situations</w:t>
      </w:r>
      <w:r w:rsidR="00AF29E1">
        <w:rPr>
          <w:rFonts w:ascii="Arial" w:eastAsia="Calibri" w:hAnsi="Arial" w:cs="Arial"/>
          <w:lang w:val="en-NZ"/>
        </w:rPr>
        <w:t>,</w:t>
      </w:r>
      <w:r w:rsidRPr="00EA7665">
        <w:rPr>
          <w:rFonts w:ascii="Arial" w:eastAsia="Calibri" w:hAnsi="Arial" w:cs="Arial"/>
          <w:lang w:val="en-NZ"/>
        </w:rPr>
        <w:t xml:space="preserve"> and </w:t>
      </w:r>
      <w:r>
        <w:rPr>
          <w:rFonts w:ascii="Arial" w:eastAsia="Calibri" w:hAnsi="Arial" w:cs="Arial"/>
          <w:lang w:val="en-NZ"/>
        </w:rPr>
        <w:t xml:space="preserve">they </w:t>
      </w:r>
      <w:r w:rsidRPr="00EA7665">
        <w:rPr>
          <w:rFonts w:ascii="Arial" w:eastAsia="Calibri" w:hAnsi="Arial" w:cs="Arial"/>
          <w:lang w:val="en-NZ"/>
        </w:rPr>
        <w:t>also enhan</w:t>
      </w:r>
      <w:r>
        <w:rPr>
          <w:rFonts w:ascii="Arial" w:eastAsia="Calibri" w:hAnsi="Arial" w:cs="Arial"/>
          <w:lang w:val="en-NZ"/>
        </w:rPr>
        <w:t>ce</w:t>
      </w:r>
      <w:r w:rsidRPr="00EA7665">
        <w:rPr>
          <w:rFonts w:ascii="Arial" w:eastAsia="Calibri" w:hAnsi="Arial" w:cs="Arial"/>
          <w:lang w:val="en-NZ"/>
        </w:rPr>
        <w:t xml:space="preserve"> the development of better lines of inquiry to check out the themes that emerge as the research progresses </w:t>
      </w:r>
      <w:r w:rsidR="00A06BCF" w:rsidRPr="00EA7665">
        <w:rPr>
          <w:rFonts w:ascii="Arial" w:eastAsia="Calibri" w:hAnsi="Arial" w:cs="Arial"/>
          <w:lang w:val="en-NZ"/>
        </w:rPr>
        <w:t>(Easterby</w:t>
      </w:r>
      <w:r w:rsidRPr="00EA7665">
        <w:rPr>
          <w:rFonts w:ascii="Arial" w:eastAsia="Calibri" w:hAnsi="Arial" w:cs="Arial"/>
          <w:lang w:val="en-NZ"/>
        </w:rPr>
        <w:t xml:space="preserve"> –Smith et al., 2008). The interviews were done through telephone calls mostly via WhatsApp</w:t>
      </w:r>
      <w:r>
        <w:rPr>
          <w:rFonts w:ascii="Arial" w:eastAsia="Calibri" w:hAnsi="Arial" w:cs="Arial"/>
          <w:lang w:val="en-NZ"/>
        </w:rPr>
        <w:t xml:space="preserve">, </w:t>
      </w:r>
      <w:r w:rsidR="00A06BCF">
        <w:rPr>
          <w:rFonts w:ascii="Arial" w:eastAsia="Calibri" w:hAnsi="Arial" w:cs="Arial"/>
          <w:lang w:val="en-NZ"/>
        </w:rPr>
        <w:t xml:space="preserve">with </w:t>
      </w:r>
      <w:r w:rsidR="00A06BCF" w:rsidRPr="00EA7665">
        <w:rPr>
          <w:rFonts w:ascii="Arial" w:eastAsia="Calibri" w:hAnsi="Arial" w:cs="Arial"/>
          <w:lang w:val="en-NZ"/>
        </w:rPr>
        <w:t>a</w:t>
      </w:r>
      <w:r w:rsidRPr="00EA7665">
        <w:rPr>
          <w:rFonts w:ascii="Arial" w:eastAsia="Calibri" w:hAnsi="Arial" w:cs="Arial"/>
          <w:lang w:val="en-NZ"/>
        </w:rPr>
        <w:t xml:space="preserve"> few via WeChat and </w:t>
      </w:r>
      <w:r w:rsidR="00A06BCF" w:rsidRPr="00EA7665">
        <w:rPr>
          <w:rFonts w:ascii="Arial" w:eastAsia="Calibri" w:hAnsi="Arial" w:cs="Arial"/>
          <w:lang w:val="en-NZ"/>
        </w:rPr>
        <w:t>Facetime</w:t>
      </w:r>
      <w:r w:rsidRPr="00EA7665">
        <w:rPr>
          <w:rFonts w:ascii="Arial" w:eastAsia="Calibri" w:hAnsi="Arial" w:cs="Arial"/>
          <w:lang w:val="en-NZ"/>
        </w:rPr>
        <w:t xml:space="preserve">. WhatsApp and telephone calls were used to communicate with respondents from Germany, </w:t>
      </w:r>
      <w:r>
        <w:rPr>
          <w:rFonts w:ascii="Arial" w:eastAsia="Calibri" w:hAnsi="Arial" w:cs="Arial"/>
          <w:lang w:val="en-NZ"/>
        </w:rPr>
        <w:t xml:space="preserve">the </w:t>
      </w:r>
      <w:r w:rsidRPr="00EA7665">
        <w:rPr>
          <w:rFonts w:ascii="Arial" w:eastAsia="Calibri" w:hAnsi="Arial" w:cs="Arial"/>
          <w:lang w:val="en-NZ"/>
        </w:rPr>
        <w:t xml:space="preserve">United Kingdom, </w:t>
      </w:r>
      <w:r>
        <w:rPr>
          <w:rFonts w:ascii="Arial" w:eastAsia="Calibri" w:hAnsi="Arial" w:cs="Arial"/>
          <w:lang w:val="en-NZ"/>
        </w:rPr>
        <w:t xml:space="preserve">the </w:t>
      </w:r>
      <w:r w:rsidRPr="00EA7665">
        <w:rPr>
          <w:rFonts w:ascii="Arial" w:eastAsia="Calibri" w:hAnsi="Arial" w:cs="Arial"/>
          <w:lang w:val="en-NZ"/>
        </w:rPr>
        <w:t>United States, South Africa, and Nigeria. WeChat was used to communicate with respondents in China</w:t>
      </w:r>
      <w:r w:rsidR="00F55800">
        <w:rPr>
          <w:rFonts w:ascii="Arial" w:eastAsia="Calibri" w:hAnsi="Arial" w:cs="Arial"/>
          <w:lang w:val="en-NZ"/>
        </w:rPr>
        <w:t>,</w:t>
      </w:r>
      <w:r w:rsidRPr="00EA7665">
        <w:rPr>
          <w:rFonts w:ascii="Arial" w:eastAsia="Calibri" w:hAnsi="Arial" w:cs="Arial"/>
          <w:lang w:val="en-NZ"/>
        </w:rPr>
        <w:t xml:space="preserve"> and </w:t>
      </w:r>
      <w:r w:rsidR="00A06BCF" w:rsidRPr="00EA7665">
        <w:rPr>
          <w:rFonts w:ascii="Arial" w:eastAsia="Calibri" w:hAnsi="Arial" w:cs="Arial"/>
          <w:lang w:val="en-NZ"/>
        </w:rPr>
        <w:t>Facetime</w:t>
      </w:r>
      <w:r w:rsidRPr="00EA7665">
        <w:rPr>
          <w:rFonts w:ascii="Arial" w:eastAsia="Calibri" w:hAnsi="Arial" w:cs="Arial"/>
          <w:lang w:val="en-NZ"/>
        </w:rPr>
        <w:t xml:space="preserve"> was used for one of the respondents from the United States. </w:t>
      </w:r>
    </w:p>
    <w:p w14:paraId="6649BBAA" w14:textId="04D75681" w:rsidR="00CD6352" w:rsidRPr="00EA7665" w:rsidRDefault="00CD6352" w:rsidP="00CD6352">
      <w:pPr>
        <w:pStyle w:val="Heading5"/>
        <w:spacing w:after="240"/>
        <w:rPr>
          <w:rFonts w:ascii="Arial" w:eastAsia="Calibri" w:hAnsi="Arial" w:cs="Arial"/>
          <w:b/>
          <w:color w:val="auto"/>
          <w:lang w:val="en-NZ"/>
        </w:rPr>
      </w:pPr>
      <w:r w:rsidRPr="00EA7665">
        <w:rPr>
          <w:rFonts w:ascii="Arial" w:eastAsia="Calibri" w:hAnsi="Arial" w:cs="Arial"/>
          <w:b/>
          <w:color w:val="auto"/>
          <w:lang w:val="en-NZ"/>
        </w:rPr>
        <w:t xml:space="preserve">Challenges encountered in securing </w:t>
      </w:r>
      <w:r w:rsidR="00525103" w:rsidRPr="00EA7665">
        <w:rPr>
          <w:rFonts w:ascii="Arial" w:eastAsia="Calibri" w:hAnsi="Arial" w:cs="Arial"/>
          <w:b/>
          <w:color w:val="auto"/>
          <w:lang w:val="en-NZ"/>
        </w:rPr>
        <w:t>interviewee.</w:t>
      </w:r>
    </w:p>
    <w:p w14:paraId="35B153E8" w14:textId="77777777"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 xml:space="preserve">The geographical spread and diversity in the business environment initially made it very challenging to get interviewees. Email messages were sent to over 200 managers involved in the real estate sector from the list of over 6,000 companies the researcher secured through open media access </w:t>
      </w:r>
      <w:r>
        <w:rPr>
          <w:rFonts w:ascii="Arial" w:eastAsia="Calibri" w:hAnsi="Arial" w:cs="Arial"/>
          <w:lang w:val="en-NZ"/>
        </w:rPr>
        <w:t>requesting</w:t>
      </w:r>
      <w:r w:rsidRPr="00EA7665">
        <w:rPr>
          <w:rFonts w:ascii="Arial" w:eastAsia="Calibri" w:hAnsi="Arial" w:cs="Arial"/>
          <w:lang w:val="en-NZ"/>
        </w:rPr>
        <w:t xml:space="preserve"> telephone interviews, but none of them responded.</w:t>
      </w:r>
    </w:p>
    <w:p w14:paraId="6EECBB61" w14:textId="3F681BBA"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lastRenderedPageBreak/>
        <w:t xml:space="preserve">The researcher first gained access to managers in the UK and Nigeria through snowballing. </w:t>
      </w:r>
      <w:r>
        <w:rPr>
          <w:rFonts w:ascii="Arial" w:eastAsia="Calibri" w:hAnsi="Arial" w:cs="Arial"/>
          <w:lang w:val="en-NZ"/>
        </w:rPr>
        <w:t xml:space="preserve">LinkedIn was used to gain access to </w:t>
      </w:r>
      <w:r w:rsidRPr="00EA7665">
        <w:rPr>
          <w:rFonts w:ascii="Arial" w:eastAsia="Calibri" w:hAnsi="Arial" w:cs="Arial"/>
          <w:lang w:val="en-NZ"/>
        </w:rPr>
        <w:t xml:space="preserve">managers in </w:t>
      </w:r>
      <w:r>
        <w:rPr>
          <w:rFonts w:ascii="Arial" w:eastAsia="Calibri" w:hAnsi="Arial" w:cs="Arial"/>
          <w:lang w:val="en-NZ"/>
        </w:rPr>
        <w:t xml:space="preserve">the </w:t>
      </w:r>
      <w:r w:rsidRPr="00EA7665">
        <w:rPr>
          <w:rFonts w:ascii="Arial" w:eastAsia="Calibri" w:hAnsi="Arial" w:cs="Arial"/>
          <w:lang w:val="en-NZ"/>
        </w:rPr>
        <w:t xml:space="preserve">German and US </w:t>
      </w:r>
      <w:r>
        <w:rPr>
          <w:rFonts w:ascii="Arial" w:eastAsia="Calibri" w:hAnsi="Arial" w:cs="Arial"/>
          <w:lang w:val="en-NZ"/>
        </w:rPr>
        <w:t>m</w:t>
      </w:r>
      <w:r w:rsidRPr="00EA7665">
        <w:rPr>
          <w:rFonts w:ascii="Arial" w:eastAsia="Calibri" w:hAnsi="Arial" w:cs="Arial"/>
          <w:lang w:val="en-NZ"/>
        </w:rPr>
        <w:t>arkets</w:t>
      </w:r>
      <w:r w:rsidR="00F55800">
        <w:rPr>
          <w:rFonts w:ascii="Arial" w:eastAsia="Calibri" w:hAnsi="Arial" w:cs="Arial"/>
          <w:lang w:val="en-NZ"/>
        </w:rPr>
        <w:t>. H</w:t>
      </w:r>
      <w:r>
        <w:rPr>
          <w:rFonts w:ascii="Arial" w:eastAsia="Calibri" w:hAnsi="Arial" w:cs="Arial"/>
          <w:lang w:val="en-NZ"/>
        </w:rPr>
        <w:t>owever</w:t>
      </w:r>
      <w:r w:rsidR="00EC3D8C">
        <w:rPr>
          <w:rFonts w:ascii="Arial" w:eastAsia="Calibri" w:hAnsi="Arial" w:cs="Arial"/>
          <w:lang w:val="en-NZ"/>
        </w:rPr>
        <w:t>,</w:t>
      </w:r>
      <w:r>
        <w:rPr>
          <w:rFonts w:ascii="Arial" w:eastAsia="Calibri" w:hAnsi="Arial" w:cs="Arial"/>
          <w:lang w:val="en-NZ"/>
        </w:rPr>
        <w:t xml:space="preserve"> it </w:t>
      </w:r>
      <w:r w:rsidRPr="00EA7665">
        <w:rPr>
          <w:rFonts w:ascii="Arial" w:eastAsia="Calibri" w:hAnsi="Arial" w:cs="Arial"/>
          <w:lang w:val="en-NZ"/>
        </w:rPr>
        <w:t>was incredibly challenging to gain access</w:t>
      </w:r>
      <w:r>
        <w:rPr>
          <w:rFonts w:ascii="Arial" w:eastAsia="Calibri" w:hAnsi="Arial" w:cs="Arial"/>
          <w:lang w:val="en-NZ"/>
        </w:rPr>
        <w:t xml:space="preserve"> to China</w:t>
      </w:r>
      <w:r w:rsidRPr="00EA7665">
        <w:rPr>
          <w:rFonts w:ascii="Arial" w:eastAsia="Calibri" w:hAnsi="Arial" w:cs="Arial"/>
          <w:lang w:val="en-NZ"/>
        </w:rPr>
        <w:t xml:space="preserve">. The researcher used LinkedIn for most of the initial access to managers despite having a database of real estate companies in these countries because </w:t>
      </w:r>
      <w:r>
        <w:rPr>
          <w:rFonts w:ascii="Arial" w:eastAsia="Calibri" w:hAnsi="Arial" w:cs="Arial"/>
          <w:lang w:val="en-NZ"/>
        </w:rPr>
        <w:t>a</w:t>
      </w:r>
      <w:r w:rsidRPr="00EA7665">
        <w:rPr>
          <w:rFonts w:ascii="Arial" w:eastAsia="Calibri" w:hAnsi="Arial" w:cs="Arial"/>
          <w:lang w:val="en-NZ"/>
        </w:rPr>
        <w:t xml:space="preserve"> number</w:t>
      </w:r>
      <w:r>
        <w:rPr>
          <w:rFonts w:ascii="Arial" w:eastAsia="Calibri" w:hAnsi="Arial" w:cs="Arial"/>
          <w:lang w:val="en-NZ"/>
        </w:rPr>
        <w:t xml:space="preserve"> of</w:t>
      </w:r>
      <w:r w:rsidRPr="00EA7665">
        <w:rPr>
          <w:rFonts w:ascii="Arial" w:eastAsia="Calibri" w:hAnsi="Arial" w:cs="Arial"/>
          <w:lang w:val="en-NZ"/>
        </w:rPr>
        <w:t xml:space="preserve"> the managers who were initially called were sceptical about talking directly on the phone with people they did not know. LinkedIn was an excellent platform because it enabled </w:t>
      </w:r>
      <w:r w:rsidR="00E8443E">
        <w:rPr>
          <w:rFonts w:ascii="Arial" w:eastAsia="Calibri" w:hAnsi="Arial" w:cs="Arial"/>
          <w:lang w:val="en-NZ"/>
        </w:rPr>
        <w:t>potential respondents</w:t>
      </w:r>
      <w:r w:rsidRPr="00EA7665">
        <w:rPr>
          <w:rFonts w:ascii="Arial" w:eastAsia="Calibri" w:hAnsi="Arial" w:cs="Arial"/>
          <w:lang w:val="en-NZ"/>
        </w:rPr>
        <w:t xml:space="preserve"> to look at the </w:t>
      </w:r>
      <w:r w:rsidR="00F55800">
        <w:rPr>
          <w:rFonts w:ascii="Arial" w:eastAsia="Calibri" w:hAnsi="Arial" w:cs="Arial"/>
          <w:lang w:val="en-NZ"/>
        </w:rPr>
        <w:t>researcher's background</w:t>
      </w:r>
      <w:r w:rsidRPr="00EA7665">
        <w:rPr>
          <w:rFonts w:ascii="Arial" w:eastAsia="Calibri" w:hAnsi="Arial" w:cs="Arial"/>
          <w:lang w:val="en-NZ"/>
        </w:rPr>
        <w:t xml:space="preserve"> before accepting the contact request and subsequently engage in interviews. </w:t>
      </w:r>
      <w:r w:rsidR="00F55800">
        <w:rPr>
          <w:rFonts w:ascii="Arial" w:eastAsia="Calibri" w:hAnsi="Arial" w:cs="Arial"/>
          <w:lang w:val="en-NZ"/>
        </w:rPr>
        <w:t>S</w:t>
      </w:r>
      <w:r w:rsidRPr="00EA7665">
        <w:rPr>
          <w:rFonts w:ascii="Arial" w:eastAsia="Calibri" w:hAnsi="Arial" w:cs="Arial"/>
          <w:lang w:val="en-NZ"/>
        </w:rPr>
        <w:t xml:space="preserve">ome of those contacted on LinkedIn were from the list of real estate development companies obtained for the different countries. </w:t>
      </w:r>
    </w:p>
    <w:p w14:paraId="0ADD58C0" w14:textId="5B46F9FC" w:rsidR="00CD6352" w:rsidRPr="00EA7665" w:rsidRDefault="00CD6352" w:rsidP="00CD6352">
      <w:pPr>
        <w:pStyle w:val="Heading5"/>
        <w:spacing w:after="240"/>
        <w:rPr>
          <w:rFonts w:ascii="Arial" w:eastAsia="Calibri" w:hAnsi="Arial" w:cs="Arial"/>
          <w:b/>
          <w:color w:val="auto"/>
          <w:lang w:val="en-NZ"/>
        </w:rPr>
      </w:pPr>
      <w:r w:rsidRPr="00EA7665">
        <w:rPr>
          <w:rFonts w:ascii="Arial" w:eastAsia="Calibri" w:hAnsi="Arial" w:cs="Arial"/>
          <w:b/>
          <w:color w:val="auto"/>
          <w:lang w:val="en-NZ"/>
        </w:rPr>
        <w:t xml:space="preserve">Reasons for choosing a telephone interview </w:t>
      </w:r>
      <w:r w:rsidR="00525103" w:rsidRPr="00EA7665">
        <w:rPr>
          <w:rFonts w:ascii="Arial" w:eastAsia="Calibri" w:hAnsi="Arial" w:cs="Arial"/>
          <w:b/>
          <w:color w:val="auto"/>
          <w:lang w:val="en-NZ"/>
        </w:rPr>
        <w:t>approach.</w:t>
      </w:r>
    </w:p>
    <w:p w14:paraId="68A26F6D" w14:textId="5390F416" w:rsidR="00CD6352" w:rsidRPr="00EA7665" w:rsidRDefault="00CD6352" w:rsidP="00CD6352">
      <w:pPr>
        <w:spacing w:line="360" w:lineRule="auto"/>
        <w:jc w:val="both"/>
        <w:rPr>
          <w:rFonts w:ascii="Arial" w:eastAsia="Calibri" w:hAnsi="Arial" w:cs="Arial"/>
          <w:lang w:val="en-NZ"/>
        </w:rPr>
      </w:pPr>
      <w:r w:rsidRPr="00BB6A3B">
        <w:rPr>
          <w:rFonts w:ascii="Arial" w:eastAsia="Calibri" w:hAnsi="Arial" w:cs="Arial"/>
          <w:lang w:val="en-NZ"/>
        </w:rPr>
        <w:t>The usage of telephone, WhatsApp, WeChat and face time is essential because of the geographical disparity for the six (6) countries studied. It was also used as a medium to mitigate against the high cost of research as it would have been costly to visit all six (6) countries for face to face interviews. Oppenheim (1996) asserted that face to face interviewers spent only about one-third of their time conducting interviews</w:t>
      </w:r>
      <w:r w:rsidR="00213F42" w:rsidRPr="00BB6A3B">
        <w:rPr>
          <w:rFonts w:ascii="Arial" w:eastAsia="Calibri" w:hAnsi="Arial" w:cs="Arial"/>
          <w:lang w:val="en-NZ"/>
        </w:rPr>
        <w:t xml:space="preserve">; </w:t>
      </w:r>
      <w:r w:rsidRPr="00BB6A3B">
        <w:rPr>
          <w:rFonts w:ascii="Arial" w:eastAsia="Calibri" w:hAnsi="Arial" w:cs="Arial"/>
          <w:lang w:val="en-NZ"/>
        </w:rPr>
        <w:t>the remaining time is almost always spent on travelling and locating respondents. Comparatively, telephone and electronically based interviews are a more cost-effective way of accessing data.</w:t>
      </w:r>
      <w:r w:rsidRPr="00EA7665">
        <w:rPr>
          <w:rFonts w:ascii="Arial" w:eastAsia="Calibri" w:hAnsi="Arial" w:cs="Arial"/>
          <w:lang w:val="en-NZ"/>
        </w:rPr>
        <w:t xml:space="preserve"> The telephone interview provided the researcher with relatively quick and easy access to the respondent in the different emerging and developed economies. It helped to overcome possible hurdles because of the varied geographical location. </w:t>
      </w:r>
    </w:p>
    <w:p w14:paraId="3A9992D9" w14:textId="77777777" w:rsidR="00CD6352" w:rsidRPr="00EA7665" w:rsidRDefault="00CD6352" w:rsidP="00CD6352">
      <w:pPr>
        <w:pStyle w:val="Heading5"/>
        <w:spacing w:after="240"/>
        <w:rPr>
          <w:rFonts w:ascii="Arial" w:eastAsia="Calibri" w:hAnsi="Arial" w:cs="Arial"/>
          <w:b/>
          <w:color w:val="auto"/>
          <w:lang w:val="en-NZ"/>
        </w:rPr>
      </w:pPr>
      <w:r w:rsidRPr="00EA7665">
        <w:rPr>
          <w:rFonts w:ascii="Arial" w:eastAsia="Calibri" w:hAnsi="Arial" w:cs="Arial"/>
          <w:b/>
          <w:color w:val="auto"/>
          <w:lang w:val="en-NZ"/>
        </w:rPr>
        <w:t xml:space="preserve">The appropriate number for interviews </w:t>
      </w:r>
    </w:p>
    <w:p w14:paraId="30A3580A" w14:textId="351C9841" w:rsidR="00CD6352" w:rsidRPr="00EA7665" w:rsidRDefault="00CD6352" w:rsidP="00CD6352">
      <w:pPr>
        <w:spacing w:line="360" w:lineRule="auto"/>
        <w:jc w:val="both"/>
        <w:rPr>
          <w:rFonts w:ascii="Arial" w:eastAsia="Calibri" w:hAnsi="Arial" w:cs="Arial"/>
        </w:rPr>
      </w:pPr>
      <w:r w:rsidRPr="00EA7665">
        <w:rPr>
          <w:rFonts w:ascii="Arial" w:eastAsia="Calibri" w:hAnsi="Arial" w:cs="Arial"/>
          <w:lang w:val="en-NZ"/>
        </w:rPr>
        <w:t>There are multiple views on the appropriate numbers for interviews. Some researchers recommend appropriate numbers for interviews</w:t>
      </w:r>
      <w:r w:rsidR="00213F42">
        <w:rPr>
          <w:rFonts w:ascii="Arial" w:eastAsia="Calibri" w:hAnsi="Arial" w:cs="Arial"/>
          <w:lang w:val="en-NZ"/>
        </w:rPr>
        <w:t>,</w:t>
      </w:r>
      <w:r w:rsidRPr="00EA7665">
        <w:rPr>
          <w:rFonts w:ascii="Arial" w:eastAsia="Calibri" w:hAnsi="Arial" w:cs="Arial"/>
          <w:lang w:val="en-NZ"/>
        </w:rPr>
        <w:t xml:space="preserve"> while others say it depends on when you have researched saturation on the inquiry. </w:t>
      </w:r>
      <w:r w:rsidRPr="00EA7665">
        <w:rPr>
          <w:rFonts w:ascii="Arial" w:eastAsia="Calibri" w:hAnsi="Arial" w:cs="Arial"/>
        </w:rPr>
        <w:t>Glaser and Strauss (1967) recommend the concept of saturation for achieving an appropriate sample size in qualitative studies. Morse (1994) suggested approximately 30 – </w:t>
      </w:r>
      <w:r w:rsidRPr="00EA7665">
        <w:rPr>
          <w:rFonts w:ascii="Arial" w:eastAsia="Calibri" w:hAnsi="Arial" w:cs="Arial"/>
          <w:bCs/>
        </w:rPr>
        <w:t>50 participants</w:t>
      </w:r>
      <w:r w:rsidRPr="00EA7665">
        <w:rPr>
          <w:rFonts w:ascii="Arial" w:eastAsia="Calibri" w:hAnsi="Arial" w:cs="Arial"/>
        </w:rPr>
        <w:t>. However</w:t>
      </w:r>
      <w:r w:rsidRPr="00EF2EB1">
        <w:rPr>
          <w:rFonts w:ascii="Arial" w:eastAsia="Calibri" w:hAnsi="Arial" w:cs="Arial"/>
        </w:rPr>
        <w:t>, Patton</w:t>
      </w:r>
      <w:r w:rsidRPr="00EA7665">
        <w:rPr>
          <w:rFonts w:ascii="Arial" w:eastAsia="Calibri" w:hAnsi="Arial" w:cs="Arial"/>
        </w:rPr>
        <w:t xml:space="preserve"> (1990), as cited by Zin (2013), says there are no rules for sample size in qualitative inquiry. He said the sample size depends on “what you want to know, the purpose of the inquiry, what is at stake, what will be useful, what will have credibility, and what can be done with </w:t>
      </w:r>
      <w:r>
        <w:rPr>
          <w:rFonts w:ascii="Arial" w:eastAsia="Calibri" w:hAnsi="Arial" w:cs="Arial"/>
        </w:rPr>
        <w:t xml:space="preserve">the </w:t>
      </w:r>
      <w:r w:rsidRPr="00EA7665">
        <w:rPr>
          <w:rFonts w:ascii="Arial" w:eastAsia="Calibri" w:hAnsi="Arial" w:cs="Arial"/>
        </w:rPr>
        <w:t>available time and resources”.  He further said that the insight generated and the meaningfulness from the inquiry has to do with the information richness and the observational and analytical capacity of the researcher rather than the sample size. The selection of participants who can provide sufficient information in representing the view of the sector or organisation is considered more important than the number of interviewe</w:t>
      </w:r>
      <w:r>
        <w:rPr>
          <w:rFonts w:ascii="Arial" w:eastAsia="Calibri" w:hAnsi="Arial" w:cs="Arial"/>
        </w:rPr>
        <w:t>es</w:t>
      </w:r>
      <w:r w:rsidRPr="00EA7665">
        <w:rPr>
          <w:rFonts w:ascii="Arial" w:eastAsia="Calibri" w:hAnsi="Arial" w:cs="Arial"/>
        </w:rPr>
        <w:t xml:space="preserve"> (Zin, 2013).</w:t>
      </w:r>
    </w:p>
    <w:p w14:paraId="05753CDF" w14:textId="3166A626"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lastRenderedPageBreak/>
        <w:t xml:space="preserve">The main interview was in two phases because of the </w:t>
      </w:r>
      <w:r w:rsidR="00213F42">
        <w:rPr>
          <w:rFonts w:ascii="Arial" w:eastAsia="Calibri" w:hAnsi="Arial" w:cs="Arial"/>
          <w:lang w:val="en-NZ"/>
        </w:rPr>
        <w:t>researcher's challenges</w:t>
      </w:r>
      <w:r>
        <w:rPr>
          <w:rFonts w:ascii="Arial" w:eastAsia="Calibri" w:hAnsi="Arial" w:cs="Arial"/>
          <w:lang w:val="en-NZ"/>
        </w:rPr>
        <w:t xml:space="preserve"> </w:t>
      </w:r>
      <w:r w:rsidR="001D2C19">
        <w:rPr>
          <w:rFonts w:ascii="Arial" w:eastAsia="Calibri" w:hAnsi="Arial" w:cs="Arial"/>
          <w:lang w:val="en-NZ"/>
        </w:rPr>
        <w:t>in</w:t>
      </w:r>
      <w:r>
        <w:rPr>
          <w:rFonts w:ascii="Arial" w:eastAsia="Calibri" w:hAnsi="Arial" w:cs="Arial"/>
          <w:lang w:val="en-NZ"/>
        </w:rPr>
        <w:t xml:space="preserve"> gain</w:t>
      </w:r>
      <w:r w:rsidR="001D2C19">
        <w:rPr>
          <w:rFonts w:ascii="Arial" w:eastAsia="Calibri" w:hAnsi="Arial" w:cs="Arial"/>
          <w:lang w:val="en-NZ"/>
        </w:rPr>
        <w:t>ing</w:t>
      </w:r>
      <w:r w:rsidRPr="00EA7665">
        <w:rPr>
          <w:rFonts w:ascii="Arial" w:eastAsia="Calibri" w:hAnsi="Arial" w:cs="Arial"/>
          <w:lang w:val="en-NZ"/>
        </w:rPr>
        <w:t xml:space="preserve"> access to the Chinese market. The first batch of </w:t>
      </w:r>
      <w:r>
        <w:rPr>
          <w:rFonts w:ascii="Arial" w:eastAsia="Calibri" w:hAnsi="Arial" w:cs="Arial"/>
          <w:lang w:val="en-NZ"/>
        </w:rPr>
        <w:t>interviews</w:t>
      </w:r>
      <w:r w:rsidRPr="00EA7665">
        <w:rPr>
          <w:rFonts w:ascii="Arial" w:eastAsia="Calibri" w:hAnsi="Arial" w:cs="Arial"/>
          <w:lang w:val="en-NZ"/>
        </w:rPr>
        <w:t xml:space="preserve"> of 24 managers in the real estate development sector </w:t>
      </w:r>
      <w:r>
        <w:rPr>
          <w:rFonts w:ascii="Arial" w:eastAsia="Calibri" w:hAnsi="Arial" w:cs="Arial"/>
          <w:lang w:val="en-NZ"/>
        </w:rPr>
        <w:t>was</w:t>
      </w:r>
      <w:r w:rsidRPr="00EA7665">
        <w:rPr>
          <w:rFonts w:ascii="Arial" w:eastAsia="Calibri" w:hAnsi="Arial" w:cs="Arial"/>
          <w:lang w:val="en-NZ"/>
        </w:rPr>
        <w:t xml:space="preserve"> carried out </w:t>
      </w:r>
      <w:r w:rsidR="00EC3D8C">
        <w:rPr>
          <w:rFonts w:ascii="Arial" w:eastAsia="Calibri" w:hAnsi="Arial" w:cs="Arial"/>
          <w:lang w:val="en-NZ"/>
        </w:rPr>
        <w:t xml:space="preserve">from </w:t>
      </w:r>
      <w:r w:rsidRPr="00EA7665">
        <w:rPr>
          <w:rFonts w:ascii="Arial" w:eastAsia="Calibri" w:hAnsi="Arial" w:cs="Arial"/>
          <w:lang w:val="en-NZ"/>
        </w:rPr>
        <w:t>December 2018 to January 2019</w:t>
      </w:r>
      <w:r w:rsidR="00213F42">
        <w:rPr>
          <w:rFonts w:ascii="Arial" w:eastAsia="Calibri" w:hAnsi="Arial" w:cs="Arial"/>
          <w:lang w:val="en-NZ"/>
        </w:rPr>
        <w:t>,</w:t>
      </w:r>
      <w:r w:rsidRPr="00EA7665">
        <w:rPr>
          <w:rFonts w:ascii="Arial" w:eastAsia="Calibri" w:hAnsi="Arial" w:cs="Arial"/>
          <w:lang w:val="en-NZ"/>
        </w:rPr>
        <w:t xml:space="preserve"> while the rest </w:t>
      </w:r>
      <w:r>
        <w:rPr>
          <w:rFonts w:ascii="Arial" w:eastAsia="Calibri" w:hAnsi="Arial" w:cs="Arial"/>
          <w:lang w:val="en-NZ"/>
        </w:rPr>
        <w:t>w</w:t>
      </w:r>
      <w:r w:rsidR="00652B6C">
        <w:rPr>
          <w:rFonts w:ascii="Arial" w:eastAsia="Calibri" w:hAnsi="Arial" w:cs="Arial"/>
          <w:lang w:val="en-NZ"/>
        </w:rPr>
        <w:t xml:space="preserve">as </w:t>
      </w:r>
      <w:r w:rsidRPr="00EA7665">
        <w:rPr>
          <w:rFonts w:ascii="Arial" w:eastAsia="Calibri" w:hAnsi="Arial" w:cs="Arial"/>
          <w:lang w:val="en-NZ"/>
        </w:rPr>
        <w:t>carried out</w:t>
      </w:r>
      <w:r>
        <w:rPr>
          <w:rFonts w:ascii="Arial" w:eastAsia="Calibri" w:hAnsi="Arial" w:cs="Arial"/>
          <w:lang w:val="en-NZ"/>
        </w:rPr>
        <w:t xml:space="preserve"> from</w:t>
      </w:r>
      <w:r w:rsidRPr="00EA7665">
        <w:rPr>
          <w:rFonts w:ascii="Arial" w:eastAsia="Calibri" w:hAnsi="Arial" w:cs="Arial"/>
          <w:lang w:val="en-NZ"/>
        </w:rPr>
        <w:t xml:space="preserve"> March to May 2019.  The initial plan was to conduct 30 interviews </w:t>
      </w:r>
      <w:r>
        <w:rPr>
          <w:rFonts w:ascii="Arial" w:eastAsia="Calibri" w:hAnsi="Arial" w:cs="Arial"/>
          <w:lang w:val="en-NZ"/>
        </w:rPr>
        <w:t>in total</w:t>
      </w:r>
      <w:r w:rsidRPr="00EA7665">
        <w:rPr>
          <w:rFonts w:ascii="Arial" w:eastAsia="Calibri" w:hAnsi="Arial" w:cs="Arial"/>
          <w:lang w:val="en-NZ"/>
        </w:rPr>
        <w:t>, but this number was exceeded as more respondents were secured through snowballing.</w:t>
      </w:r>
      <w:r w:rsidR="00EC4F80">
        <w:rPr>
          <w:rFonts w:ascii="Arial" w:eastAsia="Calibri" w:hAnsi="Arial" w:cs="Arial"/>
          <w:lang w:val="en-NZ"/>
        </w:rPr>
        <w:t xml:space="preserve"> The researcher’s initial choice of 30 interviews is justified by the position of Morse (1994)</w:t>
      </w:r>
      <w:r w:rsidR="00213F42">
        <w:rPr>
          <w:rFonts w:ascii="Arial" w:eastAsia="Calibri" w:hAnsi="Arial" w:cs="Arial"/>
          <w:lang w:val="en-NZ"/>
        </w:rPr>
        <w:t>, which suggests an interview size of 30-50 participants is</w:t>
      </w:r>
      <w:r w:rsidR="002A4473">
        <w:rPr>
          <w:rFonts w:ascii="Arial" w:eastAsia="Calibri" w:hAnsi="Arial" w:cs="Arial"/>
          <w:lang w:val="en-NZ"/>
        </w:rPr>
        <w:t xml:space="preserve"> sufficient</w:t>
      </w:r>
      <w:r w:rsidR="00EC4F80">
        <w:rPr>
          <w:rFonts w:ascii="Arial" w:eastAsia="Calibri" w:hAnsi="Arial" w:cs="Arial"/>
          <w:lang w:val="en-NZ"/>
        </w:rPr>
        <w:t xml:space="preserve">. Furthermore, at the point the interviews had reached 30, it was deemed to have reached a point of saturation as the information provided by the different managers were </w:t>
      </w:r>
      <w:r w:rsidR="002A4473">
        <w:rPr>
          <w:rFonts w:ascii="Arial" w:eastAsia="Calibri" w:hAnsi="Arial" w:cs="Arial"/>
          <w:lang w:val="en-NZ"/>
        </w:rPr>
        <w:t>similar</w:t>
      </w:r>
      <w:r w:rsidR="006D3BD0">
        <w:rPr>
          <w:rFonts w:ascii="Arial" w:eastAsia="Calibri" w:hAnsi="Arial" w:cs="Arial"/>
          <w:lang w:val="en-NZ"/>
        </w:rPr>
        <w:t xml:space="preserve"> with no new information coming in.</w:t>
      </w:r>
      <w:r w:rsidR="00EC4F80">
        <w:rPr>
          <w:rFonts w:ascii="Arial" w:eastAsia="Calibri" w:hAnsi="Arial" w:cs="Arial"/>
          <w:lang w:val="en-NZ"/>
        </w:rPr>
        <w:t xml:space="preserve">  </w:t>
      </w:r>
      <w:r w:rsidR="00652B6C">
        <w:rPr>
          <w:rFonts w:ascii="Arial" w:eastAsia="Calibri" w:hAnsi="Arial" w:cs="Arial"/>
          <w:lang w:val="en-NZ"/>
        </w:rPr>
        <w:t>The summary of managers interviews in the selected countries is contained in table 4.6.1.</w:t>
      </w:r>
    </w:p>
    <w:p w14:paraId="7DACE431" w14:textId="3B39E2AE" w:rsidR="00CD6352" w:rsidRPr="0048272B" w:rsidRDefault="00CD6352" w:rsidP="00CD6352">
      <w:pPr>
        <w:pStyle w:val="Caption"/>
        <w:keepNext/>
        <w:rPr>
          <w:rFonts w:ascii="Arial" w:hAnsi="Arial" w:cs="Arial"/>
          <w:i w:val="0"/>
          <w:iCs w:val="0"/>
          <w:sz w:val="16"/>
          <w:szCs w:val="16"/>
        </w:rPr>
      </w:pPr>
      <w:bookmarkStart w:id="1033" w:name="_Toc78983959"/>
      <w:r w:rsidRPr="0048272B">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4.6</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1</w:t>
      </w:r>
      <w:r w:rsidR="008F25B1">
        <w:rPr>
          <w:rFonts w:ascii="Arial" w:hAnsi="Arial" w:cs="Arial"/>
          <w:i w:val="0"/>
          <w:iCs w:val="0"/>
          <w:sz w:val="16"/>
          <w:szCs w:val="16"/>
        </w:rPr>
        <w:fldChar w:fldCharType="end"/>
      </w:r>
      <w:r w:rsidRPr="0048272B">
        <w:rPr>
          <w:rFonts w:ascii="Arial" w:hAnsi="Arial" w:cs="Arial"/>
          <w:i w:val="0"/>
          <w:iCs w:val="0"/>
          <w:sz w:val="16"/>
          <w:szCs w:val="16"/>
        </w:rPr>
        <w:t>:</w:t>
      </w:r>
      <w:r w:rsidRPr="0048272B">
        <w:rPr>
          <w:rFonts w:ascii="Arial" w:eastAsia="Times New Roman" w:hAnsi="Arial" w:cs="Arial"/>
          <w:i w:val="0"/>
          <w:iCs w:val="0"/>
          <w:sz w:val="16"/>
          <w:szCs w:val="16"/>
        </w:rPr>
        <w:t xml:space="preserve"> </w:t>
      </w:r>
      <w:r w:rsidRPr="0048272B">
        <w:rPr>
          <w:rFonts w:ascii="Arial" w:hAnsi="Arial" w:cs="Arial"/>
          <w:i w:val="0"/>
          <w:iCs w:val="0"/>
          <w:sz w:val="16"/>
          <w:szCs w:val="16"/>
        </w:rPr>
        <w:t>A summary profile of the managers that were involved in the interviews from both developed and emerging economies</w:t>
      </w:r>
      <w:bookmarkEnd w:id="1033"/>
    </w:p>
    <w:tbl>
      <w:tblPr>
        <w:tblStyle w:val="TableGrid"/>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04"/>
        <w:gridCol w:w="3001"/>
        <w:gridCol w:w="3011"/>
      </w:tblGrid>
      <w:tr w:rsidR="00CD6352" w:rsidRPr="00EA7665" w14:paraId="42C11268" w14:textId="77777777" w:rsidTr="00CD6352">
        <w:tc>
          <w:tcPr>
            <w:tcW w:w="1666" w:type="pct"/>
          </w:tcPr>
          <w:p w14:paraId="6CBB19F1"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Country</w:t>
            </w:r>
          </w:p>
        </w:tc>
        <w:tc>
          <w:tcPr>
            <w:tcW w:w="1664" w:type="pct"/>
          </w:tcPr>
          <w:p w14:paraId="60DF335A"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No of interview</w:t>
            </w:r>
          </w:p>
        </w:tc>
        <w:tc>
          <w:tcPr>
            <w:tcW w:w="1670" w:type="pct"/>
          </w:tcPr>
          <w:p w14:paraId="6DC1E6D3"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Category</w:t>
            </w:r>
          </w:p>
        </w:tc>
      </w:tr>
      <w:tr w:rsidR="00CD6352" w:rsidRPr="00EA7665" w14:paraId="4CC5B1A4" w14:textId="77777777" w:rsidTr="00CD6352">
        <w:tc>
          <w:tcPr>
            <w:tcW w:w="1666" w:type="pct"/>
          </w:tcPr>
          <w:p w14:paraId="03EBED09"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China</w:t>
            </w:r>
          </w:p>
        </w:tc>
        <w:tc>
          <w:tcPr>
            <w:tcW w:w="1664" w:type="pct"/>
          </w:tcPr>
          <w:p w14:paraId="0CF1302A"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7</w:t>
            </w:r>
          </w:p>
        </w:tc>
        <w:tc>
          <w:tcPr>
            <w:tcW w:w="1670" w:type="pct"/>
          </w:tcPr>
          <w:p w14:paraId="1BD17016"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Emerging economy</w:t>
            </w:r>
          </w:p>
        </w:tc>
      </w:tr>
      <w:tr w:rsidR="00CD6352" w:rsidRPr="00EA7665" w14:paraId="028A3D5F" w14:textId="77777777" w:rsidTr="00CD6352">
        <w:tc>
          <w:tcPr>
            <w:tcW w:w="1666" w:type="pct"/>
          </w:tcPr>
          <w:p w14:paraId="573CBC84"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Germany</w:t>
            </w:r>
          </w:p>
        </w:tc>
        <w:tc>
          <w:tcPr>
            <w:tcW w:w="1664" w:type="pct"/>
          </w:tcPr>
          <w:p w14:paraId="5018E8EC"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6</w:t>
            </w:r>
          </w:p>
        </w:tc>
        <w:tc>
          <w:tcPr>
            <w:tcW w:w="1670" w:type="pct"/>
          </w:tcPr>
          <w:p w14:paraId="66AC7ED2"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Developed economy</w:t>
            </w:r>
          </w:p>
        </w:tc>
      </w:tr>
      <w:tr w:rsidR="00CD6352" w:rsidRPr="00EA7665" w14:paraId="511B8358" w14:textId="77777777" w:rsidTr="00CD6352">
        <w:tc>
          <w:tcPr>
            <w:tcW w:w="1666" w:type="pct"/>
          </w:tcPr>
          <w:p w14:paraId="0C611B63"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United Kingdom</w:t>
            </w:r>
          </w:p>
        </w:tc>
        <w:tc>
          <w:tcPr>
            <w:tcW w:w="1664" w:type="pct"/>
          </w:tcPr>
          <w:p w14:paraId="04646F73"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7</w:t>
            </w:r>
          </w:p>
        </w:tc>
        <w:tc>
          <w:tcPr>
            <w:tcW w:w="1670" w:type="pct"/>
          </w:tcPr>
          <w:p w14:paraId="1C144804"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Developed economy</w:t>
            </w:r>
          </w:p>
        </w:tc>
      </w:tr>
      <w:tr w:rsidR="00CD6352" w:rsidRPr="00EA7665" w14:paraId="3411E8A4" w14:textId="77777777" w:rsidTr="00CD6352">
        <w:tc>
          <w:tcPr>
            <w:tcW w:w="1666" w:type="pct"/>
          </w:tcPr>
          <w:p w14:paraId="278A9B44"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 xml:space="preserve">United States of America </w:t>
            </w:r>
          </w:p>
        </w:tc>
        <w:tc>
          <w:tcPr>
            <w:tcW w:w="1664" w:type="pct"/>
          </w:tcPr>
          <w:p w14:paraId="0B734072"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5</w:t>
            </w:r>
          </w:p>
        </w:tc>
        <w:tc>
          <w:tcPr>
            <w:tcW w:w="1670" w:type="pct"/>
          </w:tcPr>
          <w:p w14:paraId="5F7C067E"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Developed economy</w:t>
            </w:r>
          </w:p>
        </w:tc>
      </w:tr>
      <w:tr w:rsidR="00CD6352" w:rsidRPr="00EA7665" w14:paraId="3BE74314" w14:textId="77777777" w:rsidTr="00CD6352">
        <w:tc>
          <w:tcPr>
            <w:tcW w:w="1666" w:type="pct"/>
          </w:tcPr>
          <w:p w14:paraId="2E169F64"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Nigeria</w:t>
            </w:r>
          </w:p>
        </w:tc>
        <w:tc>
          <w:tcPr>
            <w:tcW w:w="1664" w:type="pct"/>
          </w:tcPr>
          <w:p w14:paraId="34ED8191" w14:textId="77777777" w:rsidR="00CD6352" w:rsidRPr="00EA7665" w:rsidRDefault="00CD6352" w:rsidP="00CD6352">
            <w:pPr>
              <w:jc w:val="both"/>
              <w:rPr>
                <w:rFonts w:ascii="Arial" w:eastAsia="Calibri" w:hAnsi="Arial" w:cs="Arial"/>
                <w:sz w:val="16"/>
                <w:szCs w:val="16"/>
                <w:lang w:val="en-NZ"/>
              </w:rPr>
            </w:pPr>
            <w:r>
              <w:rPr>
                <w:rFonts w:ascii="Arial" w:eastAsia="Calibri" w:hAnsi="Arial" w:cs="Arial"/>
                <w:sz w:val="16"/>
                <w:szCs w:val="16"/>
                <w:lang w:val="en-NZ"/>
              </w:rPr>
              <w:t>6</w:t>
            </w:r>
          </w:p>
        </w:tc>
        <w:tc>
          <w:tcPr>
            <w:tcW w:w="1670" w:type="pct"/>
          </w:tcPr>
          <w:p w14:paraId="16906109"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 xml:space="preserve">Emerging economy </w:t>
            </w:r>
          </w:p>
        </w:tc>
      </w:tr>
      <w:tr w:rsidR="00CD6352" w:rsidRPr="00EA7665" w14:paraId="48487CCA" w14:textId="77777777" w:rsidTr="00CD6352">
        <w:tc>
          <w:tcPr>
            <w:tcW w:w="1666" w:type="pct"/>
          </w:tcPr>
          <w:p w14:paraId="32052192"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South Africa</w:t>
            </w:r>
          </w:p>
        </w:tc>
        <w:tc>
          <w:tcPr>
            <w:tcW w:w="1664" w:type="pct"/>
          </w:tcPr>
          <w:p w14:paraId="09E5A693"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5</w:t>
            </w:r>
          </w:p>
        </w:tc>
        <w:tc>
          <w:tcPr>
            <w:tcW w:w="1670" w:type="pct"/>
          </w:tcPr>
          <w:p w14:paraId="4A340249"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Emerging econ0my</w:t>
            </w:r>
          </w:p>
        </w:tc>
      </w:tr>
      <w:tr w:rsidR="00CD6352" w:rsidRPr="00EA7665" w14:paraId="01B80CEC" w14:textId="77777777" w:rsidTr="00CD6352">
        <w:tc>
          <w:tcPr>
            <w:tcW w:w="1666" w:type="pct"/>
          </w:tcPr>
          <w:p w14:paraId="1FE83C28"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Total</w:t>
            </w:r>
          </w:p>
        </w:tc>
        <w:tc>
          <w:tcPr>
            <w:tcW w:w="3334" w:type="pct"/>
            <w:gridSpan w:val="2"/>
          </w:tcPr>
          <w:p w14:paraId="2B589E27" w14:textId="77777777" w:rsidR="00CD6352" w:rsidRPr="00EA7665" w:rsidRDefault="00CD6352" w:rsidP="00CD6352">
            <w:pPr>
              <w:jc w:val="both"/>
              <w:rPr>
                <w:rFonts w:ascii="Arial" w:eastAsia="Calibri" w:hAnsi="Arial" w:cs="Arial"/>
                <w:sz w:val="16"/>
                <w:szCs w:val="16"/>
                <w:lang w:val="en-NZ"/>
              </w:rPr>
            </w:pPr>
            <w:r w:rsidRPr="00EA7665">
              <w:rPr>
                <w:rFonts w:ascii="Arial" w:eastAsia="Calibri" w:hAnsi="Arial" w:cs="Arial"/>
                <w:sz w:val="16"/>
                <w:szCs w:val="16"/>
                <w:lang w:val="en-NZ"/>
              </w:rPr>
              <w:t>3</w:t>
            </w:r>
            <w:r>
              <w:rPr>
                <w:rFonts w:ascii="Arial" w:eastAsia="Calibri" w:hAnsi="Arial" w:cs="Arial"/>
                <w:sz w:val="16"/>
                <w:szCs w:val="16"/>
                <w:lang w:val="en-NZ"/>
              </w:rPr>
              <w:t>5</w:t>
            </w:r>
          </w:p>
        </w:tc>
      </w:tr>
    </w:tbl>
    <w:p w14:paraId="0CD4698B" w14:textId="77777777" w:rsidR="00CD6352" w:rsidRPr="00EA7665" w:rsidRDefault="00CD6352" w:rsidP="00CD6352">
      <w:pPr>
        <w:spacing w:after="0" w:line="360" w:lineRule="auto"/>
        <w:jc w:val="both"/>
        <w:rPr>
          <w:rFonts w:ascii="Arial" w:eastAsia="Calibri" w:hAnsi="Arial" w:cs="Arial"/>
          <w:lang w:val="en-NZ"/>
        </w:rPr>
      </w:pPr>
    </w:p>
    <w:p w14:paraId="4BE1A8A1" w14:textId="77777777" w:rsidR="00CD6352" w:rsidRPr="00EA7665" w:rsidRDefault="00CD6352" w:rsidP="00CD6352">
      <w:pPr>
        <w:pStyle w:val="Heading5"/>
        <w:spacing w:after="240"/>
        <w:rPr>
          <w:rFonts w:ascii="Arial" w:eastAsia="Calibri" w:hAnsi="Arial" w:cs="Arial"/>
          <w:b/>
          <w:color w:val="auto"/>
          <w:lang w:val="en-NZ"/>
        </w:rPr>
      </w:pPr>
      <w:r w:rsidRPr="00EA7665">
        <w:rPr>
          <w:rFonts w:ascii="Arial" w:eastAsia="Calibri" w:hAnsi="Arial" w:cs="Arial"/>
          <w:color w:val="auto"/>
          <w:lang w:val="en-NZ"/>
        </w:rPr>
        <w:t xml:space="preserve"> </w:t>
      </w:r>
      <w:r w:rsidRPr="00EA7665">
        <w:rPr>
          <w:rFonts w:ascii="Arial" w:eastAsia="Calibri" w:hAnsi="Arial" w:cs="Arial"/>
          <w:b/>
          <w:color w:val="auto"/>
          <w:lang w:val="en-NZ"/>
        </w:rPr>
        <w:t>Interview process</w:t>
      </w:r>
    </w:p>
    <w:p w14:paraId="2B0EFCA0" w14:textId="539E7D37"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A list of questions was processed before the intervie</w:t>
      </w:r>
      <w:r>
        <w:rPr>
          <w:rFonts w:ascii="Arial" w:eastAsia="Calibri" w:hAnsi="Arial" w:cs="Arial"/>
          <w:lang w:val="en-NZ"/>
        </w:rPr>
        <w:t>wees</w:t>
      </w:r>
      <w:r w:rsidRPr="00EA7665">
        <w:rPr>
          <w:rFonts w:ascii="Arial" w:eastAsia="Calibri" w:hAnsi="Arial" w:cs="Arial"/>
          <w:lang w:val="en-NZ"/>
        </w:rPr>
        <w:t xml:space="preserve"> were contacted, and the semi-structured interview questions were reviewed and revised by the researcher and the supervisory team a number of times. These questions were shown to other academics within the university and other </w:t>
      </w:r>
      <w:r>
        <w:rPr>
          <w:rFonts w:ascii="Arial" w:eastAsia="Calibri" w:hAnsi="Arial" w:cs="Arial"/>
          <w:lang w:val="en-NZ"/>
        </w:rPr>
        <w:t>u</w:t>
      </w:r>
      <w:r w:rsidRPr="00EA7665">
        <w:rPr>
          <w:rFonts w:ascii="Arial" w:eastAsia="Calibri" w:hAnsi="Arial" w:cs="Arial"/>
          <w:lang w:val="en-NZ"/>
        </w:rPr>
        <w:t xml:space="preserve">niversities for their views.  </w:t>
      </w:r>
      <w:r>
        <w:rPr>
          <w:rFonts w:ascii="Arial" w:eastAsia="Calibri" w:hAnsi="Arial" w:cs="Arial"/>
          <w:lang w:val="en-NZ"/>
        </w:rPr>
        <w:t>Two</w:t>
      </w:r>
      <w:r w:rsidRPr="00EA7665">
        <w:rPr>
          <w:rFonts w:ascii="Arial" w:eastAsia="Calibri" w:hAnsi="Arial" w:cs="Arial"/>
          <w:lang w:val="en-NZ"/>
        </w:rPr>
        <w:t xml:space="preserve"> Professors and a Doctor from three different</w:t>
      </w:r>
      <w:r>
        <w:rPr>
          <w:rFonts w:ascii="Arial" w:eastAsia="Calibri" w:hAnsi="Arial" w:cs="Arial"/>
          <w:lang w:val="en-NZ"/>
        </w:rPr>
        <w:t xml:space="preserve"> universities</w:t>
      </w:r>
      <w:r w:rsidRPr="00EA7665">
        <w:rPr>
          <w:rFonts w:ascii="Arial" w:eastAsia="Calibri" w:hAnsi="Arial" w:cs="Arial"/>
          <w:lang w:val="en-NZ"/>
        </w:rPr>
        <w:t xml:space="preserve"> reviewed the questions. ARCOM Conference in April 2018 was instrumental in </w:t>
      </w:r>
      <w:r w:rsidR="00A06BCF" w:rsidRPr="00EA7665">
        <w:rPr>
          <w:rFonts w:ascii="Arial" w:eastAsia="Calibri" w:hAnsi="Arial" w:cs="Arial"/>
          <w:lang w:val="en-NZ"/>
        </w:rPr>
        <w:t>acces</w:t>
      </w:r>
      <w:r w:rsidR="00A06BCF">
        <w:rPr>
          <w:rFonts w:ascii="Arial" w:eastAsia="Calibri" w:hAnsi="Arial" w:cs="Arial"/>
          <w:lang w:val="en-NZ"/>
        </w:rPr>
        <w:t>sing</w:t>
      </w:r>
      <w:r w:rsidR="00A06BCF" w:rsidRPr="00EA7665">
        <w:rPr>
          <w:rFonts w:ascii="Arial" w:eastAsia="Calibri" w:hAnsi="Arial" w:cs="Arial"/>
          <w:lang w:val="en-NZ"/>
        </w:rPr>
        <w:t xml:space="preserve"> people</w:t>
      </w:r>
      <w:r w:rsidRPr="00EA7665">
        <w:rPr>
          <w:rFonts w:ascii="Arial" w:eastAsia="Calibri" w:hAnsi="Arial" w:cs="Arial"/>
          <w:lang w:val="en-NZ"/>
        </w:rPr>
        <w:t xml:space="preserve"> in the industry and the academia who further studied and contributed to refining the questions. Pilot interviews were conducted before the main interviews as this was also to test the questions and the suitability of the way they were framed. The respondents were then contacted via LinkedIn, telephone and emails to ask for their permission to be interviewed over the phone. Some of the respondents requested to be interviewed on WhatsApp, </w:t>
      </w:r>
      <w:r w:rsidR="00A06BCF" w:rsidRPr="00EA7665">
        <w:rPr>
          <w:rFonts w:ascii="Arial" w:eastAsia="Calibri" w:hAnsi="Arial" w:cs="Arial"/>
          <w:lang w:val="en-NZ"/>
        </w:rPr>
        <w:t>Facetime</w:t>
      </w:r>
      <w:r w:rsidRPr="00EA7665">
        <w:rPr>
          <w:rFonts w:ascii="Arial" w:eastAsia="Calibri" w:hAnsi="Arial" w:cs="Arial"/>
          <w:lang w:val="en-NZ"/>
        </w:rPr>
        <w:t xml:space="preserve"> or WeChat. The aim and purpose of the research were communicated to the respondents via LinkedIn and emails before the interviews.</w:t>
      </w:r>
    </w:p>
    <w:p w14:paraId="78FE5000" w14:textId="77777777" w:rsidR="00CD6352" w:rsidRPr="00EA7665" w:rsidRDefault="00CD6352" w:rsidP="00CD6352">
      <w:pPr>
        <w:spacing w:after="0" w:line="360" w:lineRule="auto"/>
        <w:jc w:val="both"/>
        <w:rPr>
          <w:rFonts w:ascii="Arial" w:eastAsia="Calibri" w:hAnsi="Arial" w:cs="Arial"/>
          <w:lang w:val="en-NZ"/>
        </w:rPr>
      </w:pPr>
    </w:p>
    <w:p w14:paraId="4F5013F3" w14:textId="677039F8"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 xml:space="preserve">The UK has a substantial time difference between it </w:t>
      </w:r>
      <w:r>
        <w:rPr>
          <w:rFonts w:ascii="Arial" w:eastAsia="Calibri" w:hAnsi="Arial" w:cs="Arial"/>
          <w:lang w:val="en-NZ"/>
        </w:rPr>
        <w:t xml:space="preserve">and </w:t>
      </w:r>
      <w:r w:rsidRPr="00EA7665">
        <w:rPr>
          <w:rFonts w:ascii="Arial" w:eastAsia="Calibri" w:hAnsi="Arial" w:cs="Arial"/>
          <w:lang w:val="en-NZ"/>
        </w:rPr>
        <w:t>the countries</w:t>
      </w:r>
      <w:r>
        <w:rPr>
          <w:rFonts w:ascii="Arial" w:eastAsia="Calibri" w:hAnsi="Arial" w:cs="Arial"/>
          <w:lang w:val="en-NZ"/>
        </w:rPr>
        <w:t xml:space="preserve"> used</w:t>
      </w:r>
      <w:r w:rsidRPr="00EA7665">
        <w:rPr>
          <w:rFonts w:ascii="Arial" w:eastAsia="Calibri" w:hAnsi="Arial" w:cs="Arial"/>
          <w:lang w:val="en-NZ"/>
        </w:rPr>
        <w:t xml:space="preserve"> for the research</w:t>
      </w:r>
      <w:r w:rsidR="00E05601">
        <w:rPr>
          <w:rFonts w:ascii="Arial" w:eastAsia="Calibri" w:hAnsi="Arial" w:cs="Arial"/>
          <w:lang w:val="en-NZ"/>
        </w:rPr>
        <w:t>,</w:t>
      </w:r>
      <w:r w:rsidRPr="00EA7665">
        <w:rPr>
          <w:rFonts w:ascii="Arial" w:eastAsia="Calibri" w:hAnsi="Arial" w:cs="Arial"/>
          <w:lang w:val="en-NZ"/>
        </w:rPr>
        <w:t xml:space="preserve"> apart from Nigeria and Germany</w:t>
      </w:r>
      <w:r>
        <w:rPr>
          <w:rFonts w:ascii="Arial" w:eastAsia="Calibri" w:hAnsi="Arial" w:cs="Arial"/>
          <w:lang w:val="en-NZ"/>
        </w:rPr>
        <w:t xml:space="preserve">, </w:t>
      </w:r>
      <w:r w:rsidR="00D7026F">
        <w:rPr>
          <w:rFonts w:ascii="Arial" w:eastAsia="Calibri" w:hAnsi="Arial" w:cs="Arial"/>
          <w:lang w:val="en-NZ"/>
        </w:rPr>
        <w:t xml:space="preserve">which </w:t>
      </w:r>
      <w:r w:rsidR="00E05601">
        <w:rPr>
          <w:rFonts w:ascii="Arial" w:eastAsia="Calibri" w:hAnsi="Arial" w:cs="Arial"/>
          <w:lang w:val="en-NZ"/>
        </w:rPr>
        <w:t>have</w:t>
      </w:r>
      <w:r>
        <w:rPr>
          <w:rFonts w:ascii="Arial" w:eastAsia="Calibri" w:hAnsi="Arial" w:cs="Arial"/>
          <w:lang w:val="en-NZ"/>
        </w:rPr>
        <w:t xml:space="preserve"> similar</w:t>
      </w:r>
      <w:r w:rsidR="00E05601">
        <w:rPr>
          <w:rFonts w:ascii="Arial" w:eastAsia="Calibri" w:hAnsi="Arial" w:cs="Arial"/>
          <w:lang w:val="en-NZ"/>
        </w:rPr>
        <w:t xml:space="preserve"> time zones</w:t>
      </w:r>
      <w:r>
        <w:rPr>
          <w:rFonts w:ascii="Arial" w:eastAsia="Calibri" w:hAnsi="Arial" w:cs="Arial"/>
          <w:lang w:val="en-NZ"/>
        </w:rPr>
        <w:t xml:space="preserve"> </w:t>
      </w:r>
      <w:r w:rsidR="00A06BCF">
        <w:rPr>
          <w:rFonts w:ascii="Arial" w:eastAsia="Calibri" w:hAnsi="Arial" w:cs="Arial"/>
          <w:lang w:val="en-NZ"/>
        </w:rPr>
        <w:t xml:space="preserve">to </w:t>
      </w:r>
      <w:r w:rsidR="00A06BCF" w:rsidRPr="00EA7665">
        <w:rPr>
          <w:rFonts w:ascii="Arial" w:eastAsia="Calibri" w:hAnsi="Arial" w:cs="Arial"/>
          <w:lang w:val="en-NZ"/>
        </w:rPr>
        <w:t>the</w:t>
      </w:r>
      <w:r w:rsidRPr="00EA7665">
        <w:rPr>
          <w:rFonts w:ascii="Arial" w:eastAsia="Calibri" w:hAnsi="Arial" w:cs="Arial"/>
          <w:lang w:val="en-NZ"/>
        </w:rPr>
        <w:t xml:space="preserve"> UK. Consequently, </w:t>
      </w:r>
      <w:r w:rsidRPr="00EA7665">
        <w:rPr>
          <w:rFonts w:ascii="Arial" w:eastAsia="Calibri" w:hAnsi="Arial" w:cs="Arial"/>
          <w:lang w:val="en-NZ"/>
        </w:rPr>
        <w:lastRenderedPageBreak/>
        <w:t>interviews were arranged in advance, taking into consideration the suitability of time. Responden</w:t>
      </w:r>
      <w:r>
        <w:rPr>
          <w:rFonts w:ascii="Arial" w:eastAsia="Calibri" w:hAnsi="Arial" w:cs="Arial"/>
          <w:lang w:val="en-NZ"/>
        </w:rPr>
        <w:t>ts’</w:t>
      </w:r>
      <w:r w:rsidRPr="00EA7665">
        <w:rPr>
          <w:rFonts w:ascii="Arial" w:eastAsia="Calibri" w:hAnsi="Arial" w:cs="Arial"/>
          <w:lang w:val="en-NZ"/>
        </w:rPr>
        <w:t xml:space="preserve"> names were kept confidential and were saved with the country name</w:t>
      </w:r>
      <w:r>
        <w:rPr>
          <w:rFonts w:ascii="Arial" w:eastAsia="Calibri" w:hAnsi="Arial" w:cs="Arial"/>
          <w:lang w:val="en-NZ"/>
        </w:rPr>
        <w:t xml:space="preserve"> </w:t>
      </w:r>
      <w:r w:rsidRPr="00EA7665">
        <w:rPr>
          <w:rFonts w:ascii="Arial" w:eastAsia="Calibri" w:hAnsi="Arial" w:cs="Arial"/>
          <w:lang w:val="en-NZ"/>
        </w:rPr>
        <w:t>and</w:t>
      </w:r>
      <w:r>
        <w:rPr>
          <w:rFonts w:ascii="Arial" w:eastAsia="Calibri" w:hAnsi="Arial" w:cs="Arial"/>
          <w:lang w:val="en-NZ"/>
        </w:rPr>
        <w:t xml:space="preserve"> </w:t>
      </w:r>
      <w:r w:rsidR="00A06BCF">
        <w:rPr>
          <w:rFonts w:ascii="Arial" w:eastAsia="Calibri" w:hAnsi="Arial" w:cs="Arial"/>
          <w:lang w:val="en-NZ"/>
        </w:rPr>
        <w:t xml:space="preserve">the </w:t>
      </w:r>
      <w:r w:rsidR="00A06BCF" w:rsidRPr="00EA7665">
        <w:rPr>
          <w:rFonts w:ascii="Arial" w:eastAsia="Calibri" w:hAnsi="Arial" w:cs="Arial"/>
          <w:lang w:val="en-NZ"/>
        </w:rPr>
        <w:t>number</w:t>
      </w:r>
      <w:r>
        <w:rPr>
          <w:rFonts w:ascii="Arial" w:eastAsia="Calibri" w:hAnsi="Arial" w:cs="Arial"/>
          <w:lang w:val="en-NZ"/>
        </w:rPr>
        <w:t xml:space="preserve"> allocated to</w:t>
      </w:r>
      <w:r w:rsidRPr="00EA7665">
        <w:rPr>
          <w:rFonts w:ascii="Arial" w:eastAsia="Calibri" w:hAnsi="Arial" w:cs="Arial"/>
          <w:lang w:val="en-NZ"/>
        </w:rPr>
        <w:t xml:space="preserve"> the interview. The initial interviews </w:t>
      </w:r>
      <w:r w:rsidR="00A06BCF" w:rsidRPr="00EA7665">
        <w:rPr>
          <w:rFonts w:ascii="Arial" w:eastAsia="Calibri" w:hAnsi="Arial" w:cs="Arial"/>
          <w:lang w:val="en-NZ"/>
        </w:rPr>
        <w:t>lasted between</w:t>
      </w:r>
      <w:r w:rsidRPr="00EA7665">
        <w:rPr>
          <w:rFonts w:ascii="Arial" w:eastAsia="Calibri" w:hAnsi="Arial" w:cs="Arial"/>
          <w:lang w:val="en-NZ"/>
        </w:rPr>
        <w:t xml:space="preserve"> 40</w:t>
      </w:r>
      <w:r>
        <w:rPr>
          <w:rFonts w:ascii="Arial" w:eastAsia="Calibri" w:hAnsi="Arial" w:cs="Arial"/>
          <w:lang w:val="en-NZ"/>
        </w:rPr>
        <w:t xml:space="preserve"> </w:t>
      </w:r>
      <w:r w:rsidRPr="00EA7665">
        <w:rPr>
          <w:rFonts w:ascii="Arial" w:eastAsia="Calibri" w:hAnsi="Arial" w:cs="Arial"/>
          <w:lang w:val="en-NZ"/>
        </w:rPr>
        <w:t>minutes to 1hour, and this was because some of the interviewees had other related thoughts they wanted to share. However, subsequent interviews were</w:t>
      </w:r>
      <w:r>
        <w:rPr>
          <w:rFonts w:ascii="Arial" w:eastAsia="Calibri" w:hAnsi="Arial" w:cs="Arial"/>
          <w:lang w:val="en-NZ"/>
        </w:rPr>
        <w:t>,</w:t>
      </w:r>
      <w:r w:rsidRPr="00EA7665">
        <w:rPr>
          <w:rFonts w:ascii="Arial" w:eastAsia="Calibri" w:hAnsi="Arial" w:cs="Arial"/>
          <w:lang w:val="en-NZ"/>
        </w:rPr>
        <w:t xml:space="preserve"> </w:t>
      </w:r>
      <w:r>
        <w:rPr>
          <w:rFonts w:ascii="Arial" w:eastAsia="Calibri" w:hAnsi="Arial" w:cs="Arial"/>
          <w:lang w:val="en-NZ"/>
        </w:rPr>
        <w:t>on</w:t>
      </w:r>
      <w:r w:rsidRPr="00EA7665">
        <w:rPr>
          <w:rFonts w:ascii="Arial" w:eastAsia="Calibri" w:hAnsi="Arial" w:cs="Arial"/>
          <w:lang w:val="en-NZ"/>
        </w:rPr>
        <w:t xml:space="preserve"> </w:t>
      </w:r>
      <w:r w:rsidR="00525103" w:rsidRPr="00EA7665">
        <w:rPr>
          <w:rFonts w:ascii="Arial" w:eastAsia="Calibri" w:hAnsi="Arial" w:cs="Arial"/>
          <w:lang w:val="en-NZ"/>
        </w:rPr>
        <w:t>average</w:t>
      </w:r>
      <w:r w:rsidR="00525103">
        <w:rPr>
          <w:rFonts w:ascii="Arial" w:eastAsia="Calibri" w:hAnsi="Arial" w:cs="Arial"/>
          <w:lang w:val="en-NZ"/>
        </w:rPr>
        <w:t>,</w:t>
      </w:r>
      <w:r w:rsidR="00525103" w:rsidRPr="00EA7665">
        <w:rPr>
          <w:rFonts w:ascii="Arial" w:eastAsia="Calibri" w:hAnsi="Arial" w:cs="Arial"/>
          <w:lang w:val="en-NZ"/>
        </w:rPr>
        <w:t xml:space="preserve"> </w:t>
      </w:r>
      <w:r w:rsidRPr="00EA7665">
        <w:rPr>
          <w:rFonts w:ascii="Arial" w:eastAsia="Calibri" w:hAnsi="Arial" w:cs="Arial"/>
          <w:lang w:val="en-NZ"/>
        </w:rPr>
        <w:t>20 to 30</w:t>
      </w:r>
      <w:r>
        <w:rPr>
          <w:rFonts w:ascii="Arial" w:eastAsia="Calibri" w:hAnsi="Arial" w:cs="Arial"/>
          <w:lang w:val="en-NZ"/>
        </w:rPr>
        <w:t xml:space="preserve"> </w:t>
      </w:r>
      <w:r w:rsidRPr="00EA7665">
        <w:rPr>
          <w:rFonts w:ascii="Arial" w:eastAsia="Calibri" w:hAnsi="Arial" w:cs="Arial"/>
          <w:lang w:val="en-NZ"/>
        </w:rPr>
        <w:t>minutes</w:t>
      </w:r>
      <w:r>
        <w:rPr>
          <w:rFonts w:ascii="Arial" w:eastAsia="Calibri" w:hAnsi="Arial" w:cs="Arial"/>
          <w:lang w:val="en-NZ"/>
        </w:rPr>
        <w:t xml:space="preserve"> long,</w:t>
      </w:r>
      <w:r w:rsidRPr="00EA7665">
        <w:rPr>
          <w:rFonts w:ascii="Arial" w:eastAsia="Calibri" w:hAnsi="Arial" w:cs="Arial"/>
          <w:lang w:val="en-NZ"/>
        </w:rPr>
        <w:t xml:space="preserve"> as the researcher had learned to have a firmer control of the interview process.    </w:t>
      </w:r>
    </w:p>
    <w:p w14:paraId="4E1A262C" w14:textId="77777777" w:rsidR="00CD6352" w:rsidRPr="00EA7665" w:rsidRDefault="00CD6352" w:rsidP="00CD6352">
      <w:pPr>
        <w:pStyle w:val="Heading5"/>
        <w:spacing w:after="240"/>
        <w:rPr>
          <w:rFonts w:ascii="Arial" w:eastAsia="Calibri" w:hAnsi="Arial" w:cs="Arial"/>
          <w:b/>
          <w:color w:val="auto"/>
          <w:lang w:val="en-NZ"/>
        </w:rPr>
      </w:pPr>
      <w:r w:rsidRPr="00EA7665">
        <w:rPr>
          <w:rFonts w:ascii="Arial" w:eastAsia="Calibri" w:hAnsi="Arial" w:cs="Arial"/>
          <w:b/>
          <w:color w:val="auto"/>
          <w:lang w:val="en-NZ"/>
        </w:rPr>
        <w:t>Recording &amp; Analysis</w:t>
      </w:r>
    </w:p>
    <w:p w14:paraId="5C37381B" w14:textId="1B21A26A"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The semi-structured interviews were recorded digitally, and the researcher used three recording devices</w:t>
      </w:r>
      <w:r>
        <w:rPr>
          <w:rFonts w:ascii="Arial" w:eastAsia="Calibri" w:hAnsi="Arial" w:cs="Arial"/>
          <w:lang w:val="en-NZ"/>
        </w:rPr>
        <w:t>.</w:t>
      </w:r>
      <w:r w:rsidRPr="00EA7665">
        <w:rPr>
          <w:rFonts w:ascii="Arial" w:eastAsia="Calibri" w:hAnsi="Arial" w:cs="Arial"/>
          <w:lang w:val="en-NZ"/>
        </w:rPr>
        <w:t xml:space="preserve"> </w:t>
      </w:r>
      <w:r>
        <w:rPr>
          <w:rFonts w:ascii="Arial" w:eastAsia="Calibri" w:hAnsi="Arial" w:cs="Arial"/>
          <w:lang w:val="en-NZ"/>
        </w:rPr>
        <w:t>A</w:t>
      </w:r>
      <w:r w:rsidRPr="00EA7665">
        <w:rPr>
          <w:rFonts w:ascii="Arial" w:eastAsia="Calibri" w:hAnsi="Arial" w:cs="Arial"/>
          <w:lang w:val="en-NZ"/>
        </w:rPr>
        <w:t xml:space="preserve"> laptop recorder</w:t>
      </w:r>
      <w:r>
        <w:rPr>
          <w:rFonts w:ascii="Arial" w:eastAsia="Calibri" w:hAnsi="Arial" w:cs="Arial"/>
          <w:lang w:val="en-NZ"/>
        </w:rPr>
        <w:t xml:space="preserve"> and</w:t>
      </w:r>
      <w:r w:rsidRPr="00EA7665">
        <w:rPr>
          <w:rFonts w:ascii="Arial" w:eastAsia="Calibri" w:hAnsi="Arial" w:cs="Arial"/>
          <w:lang w:val="en-NZ"/>
        </w:rPr>
        <w:t xml:space="preserve"> </w:t>
      </w:r>
      <w:r>
        <w:rPr>
          <w:rFonts w:ascii="Arial" w:eastAsia="Calibri" w:hAnsi="Arial" w:cs="Arial"/>
          <w:lang w:val="en-NZ"/>
        </w:rPr>
        <w:t>dictaphone were used</w:t>
      </w:r>
      <w:r w:rsidRPr="00EA7665">
        <w:rPr>
          <w:rFonts w:ascii="Arial" w:eastAsia="Calibri" w:hAnsi="Arial" w:cs="Arial"/>
          <w:lang w:val="en-NZ"/>
        </w:rPr>
        <w:t xml:space="preserve"> simultaneously </w:t>
      </w:r>
      <w:r>
        <w:rPr>
          <w:rFonts w:ascii="Arial" w:eastAsia="Calibri" w:hAnsi="Arial" w:cs="Arial"/>
          <w:lang w:val="en-NZ"/>
        </w:rPr>
        <w:t xml:space="preserve">for remote interviews, and a </w:t>
      </w:r>
      <w:r w:rsidRPr="00EA7665">
        <w:rPr>
          <w:rFonts w:ascii="Arial" w:eastAsia="Calibri" w:hAnsi="Arial" w:cs="Arial"/>
          <w:lang w:val="en-NZ"/>
        </w:rPr>
        <w:t xml:space="preserve">Samsung phone recorder was </w:t>
      </w:r>
      <w:r w:rsidR="004E04E0" w:rsidRPr="00EA7665">
        <w:rPr>
          <w:rFonts w:ascii="Arial" w:eastAsia="Calibri" w:hAnsi="Arial" w:cs="Arial"/>
          <w:lang w:val="en-NZ"/>
        </w:rPr>
        <w:t>used for</w:t>
      </w:r>
      <w:r>
        <w:rPr>
          <w:rFonts w:ascii="Arial" w:eastAsia="Calibri" w:hAnsi="Arial" w:cs="Arial"/>
          <w:lang w:val="en-NZ"/>
        </w:rPr>
        <w:t xml:space="preserve"> </w:t>
      </w:r>
      <w:r w:rsidRPr="00EA7665">
        <w:rPr>
          <w:rFonts w:ascii="Arial" w:eastAsia="Calibri" w:hAnsi="Arial" w:cs="Arial"/>
          <w:lang w:val="en-NZ"/>
        </w:rPr>
        <w:t>face-to-face interviews with responden</w:t>
      </w:r>
      <w:r>
        <w:rPr>
          <w:rFonts w:ascii="Arial" w:eastAsia="Calibri" w:hAnsi="Arial" w:cs="Arial"/>
          <w:lang w:val="en-NZ"/>
        </w:rPr>
        <w:t xml:space="preserve">ts </w:t>
      </w:r>
      <w:r w:rsidRPr="00EA7665">
        <w:rPr>
          <w:rFonts w:ascii="Arial" w:eastAsia="Calibri" w:hAnsi="Arial" w:cs="Arial"/>
          <w:lang w:val="en-NZ"/>
        </w:rPr>
        <w:t>from the UK. It was to ensure back-ups in case any of the devices developed a fault in the course of the interviews as it would be difficult to go back to the respondents to re-do the interviews. Furthermore, the managers interviewed were informed that the conversations were going to be recorded before the commencement of the interview process. Some of the recorded interviews were transcribed manually by the researcher</w:t>
      </w:r>
      <w:r w:rsidR="005A540F">
        <w:rPr>
          <w:rFonts w:ascii="Arial" w:eastAsia="Calibri" w:hAnsi="Arial" w:cs="Arial"/>
          <w:lang w:val="en-NZ"/>
        </w:rPr>
        <w:t>,</w:t>
      </w:r>
      <w:r w:rsidRPr="00EA7665">
        <w:rPr>
          <w:rFonts w:ascii="Arial" w:eastAsia="Calibri" w:hAnsi="Arial" w:cs="Arial"/>
          <w:lang w:val="en-NZ"/>
        </w:rPr>
        <w:t xml:space="preserve"> while a good number of the interviews were transcribed through Nobility transcription services because of the volume</w:t>
      </w:r>
      <w:r w:rsidR="005A540F">
        <w:rPr>
          <w:rFonts w:ascii="Arial" w:eastAsia="Calibri" w:hAnsi="Arial" w:cs="Arial"/>
          <w:lang w:val="en-NZ"/>
        </w:rPr>
        <w:t>,</w:t>
      </w:r>
      <w:r w:rsidRPr="00EA7665">
        <w:rPr>
          <w:rFonts w:ascii="Arial" w:eastAsia="Calibri" w:hAnsi="Arial" w:cs="Arial"/>
          <w:lang w:val="en-NZ"/>
        </w:rPr>
        <w:t xml:space="preserve"> and they were anonymously saved before transcription, so the identities of the interviewees were not compromised. </w:t>
      </w:r>
    </w:p>
    <w:p w14:paraId="4D7040A5" w14:textId="77777777" w:rsidR="00CD6352" w:rsidRPr="00EA7665" w:rsidRDefault="00CD6352" w:rsidP="00CD6352">
      <w:pPr>
        <w:spacing w:after="0" w:line="360" w:lineRule="auto"/>
        <w:jc w:val="both"/>
        <w:rPr>
          <w:rFonts w:ascii="Arial" w:eastAsia="Calibri" w:hAnsi="Arial" w:cs="Arial"/>
          <w:lang w:val="en-NZ"/>
        </w:rPr>
      </w:pPr>
    </w:p>
    <w:p w14:paraId="0B264246" w14:textId="033F1C5E" w:rsidR="00DB5E84" w:rsidRDefault="00CD6352" w:rsidP="00CD6352">
      <w:pPr>
        <w:spacing w:after="0" w:line="360" w:lineRule="auto"/>
        <w:jc w:val="both"/>
        <w:rPr>
          <w:rFonts w:ascii="Arial" w:eastAsia="Calibri" w:hAnsi="Arial" w:cs="Arial"/>
        </w:rPr>
      </w:pPr>
      <w:r w:rsidRPr="00EA7665">
        <w:rPr>
          <w:rFonts w:ascii="Arial" w:eastAsia="Calibri" w:hAnsi="Arial" w:cs="Arial"/>
        </w:rPr>
        <w:t xml:space="preserve">Analysis of data obtained from the interview was through a thematic analysis using </w:t>
      </w:r>
      <w:r w:rsidR="00635AE6">
        <w:rPr>
          <w:rFonts w:ascii="Arial" w:eastAsia="Calibri" w:hAnsi="Arial" w:cs="Arial"/>
        </w:rPr>
        <w:t>manual analysis through tables</w:t>
      </w:r>
      <w:r w:rsidR="001864FF">
        <w:rPr>
          <w:rFonts w:ascii="Arial" w:eastAsia="Calibri" w:hAnsi="Arial" w:cs="Arial"/>
        </w:rPr>
        <w:t xml:space="preserve"> and minimal usage of NVIVO</w:t>
      </w:r>
      <w:r w:rsidRPr="00EA7665">
        <w:rPr>
          <w:rFonts w:ascii="Arial" w:eastAsia="Calibri" w:hAnsi="Arial" w:cs="Arial"/>
        </w:rPr>
        <w:t>. T</w:t>
      </w:r>
      <w:r w:rsidR="001006E8">
        <w:rPr>
          <w:rFonts w:ascii="Arial" w:eastAsia="Calibri" w:hAnsi="Arial" w:cs="Arial"/>
        </w:rPr>
        <w:t>he t</w:t>
      </w:r>
      <w:r w:rsidRPr="00EA7665">
        <w:rPr>
          <w:rFonts w:ascii="Arial" w:eastAsia="Calibri" w:hAnsi="Arial" w:cs="Arial"/>
        </w:rPr>
        <w:t>hematic analysis i</w:t>
      </w:r>
      <w:r w:rsidR="00182FD5">
        <w:rPr>
          <w:rFonts w:ascii="Arial" w:eastAsia="Calibri" w:hAnsi="Arial" w:cs="Arial"/>
        </w:rPr>
        <w:t>dentifies, analyses, and reports</w:t>
      </w:r>
      <w:r w:rsidRPr="00EA7665">
        <w:rPr>
          <w:rFonts w:ascii="Arial" w:eastAsia="Calibri" w:hAnsi="Arial" w:cs="Arial"/>
        </w:rPr>
        <w:t xml:space="preserve"> patterns (themes) within data (Smith et al., 2018; Braun and Clarke, 2006). </w:t>
      </w:r>
      <w:r w:rsidR="001006E8">
        <w:rPr>
          <w:rFonts w:ascii="Arial" w:eastAsia="Calibri" w:hAnsi="Arial" w:cs="Arial"/>
        </w:rPr>
        <w:t>T</w:t>
      </w:r>
      <w:r w:rsidRPr="00EA7665">
        <w:rPr>
          <w:rFonts w:ascii="Arial" w:eastAsia="Calibri" w:hAnsi="Arial" w:cs="Arial"/>
        </w:rPr>
        <w:t xml:space="preserve">o achieve this, the transcripts of the interview were coded </w:t>
      </w:r>
      <w:r w:rsidR="00EC3D8C">
        <w:rPr>
          <w:rFonts w:ascii="Arial" w:eastAsia="Calibri" w:hAnsi="Arial" w:cs="Arial"/>
        </w:rPr>
        <w:t>by</w:t>
      </w:r>
      <w:r w:rsidRPr="00EA7665">
        <w:rPr>
          <w:rFonts w:ascii="Arial" w:eastAsia="Calibri" w:hAnsi="Arial" w:cs="Arial"/>
        </w:rPr>
        <w:t xml:space="preserve"> gathering and collating the different related information across the different sources. </w:t>
      </w:r>
      <w:r w:rsidR="00DB5E84">
        <w:rPr>
          <w:rFonts w:ascii="Arial" w:eastAsia="Calibri" w:hAnsi="Arial" w:cs="Arial"/>
        </w:rPr>
        <w:t xml:space="preserve">The researcher </w:t>
      </w:r>
      <w:r w:rsidR="00E30525">
        <w:rPr>
          <w:rFonts w:ascii="Arial" w:eastAsia="Calibri" w:hAnsi="Arial" w:cs="Arial"/>
        </w:rPr>
        <w:t xml:space="preserve">did parts of the analysis </w:t>
      </w:r>
      <w:r w:rsidR="00DB5E84">
        <w:rPr>
          <w:rFonts w:ascii="Arial" w:eastAsia="Calibri" w:hAnsi="Arial" w:cs="Arial"/>
        </w:rPr>
        <w:t>using NVIVO software. However, usage of NVIVO was eventually dropped because of the data size and the fact that the questions were already patterned according to different themes. The focus was on thematic analysis and not content analysis</w:t>
      </w:r>
      <w:r w:rsidR="00182FD5">
        <w:rPr>
          <w:rFonts w:ascii="Arial" w:eastAsia="Calibri" w:hAnsi="Arial" w:cs="Arial"/>
        </w:rPr>
        <w:t>,</w:t>
      </w:r>
      <w:r w:rsidR="00DB5E84">
        <w:rPr>
          <w:rFonts w:ascii="Arial" w:eastAsia="Calibri" w:hAnsi="Arial" w:cs="Arial"/>
        </w:rPr>
        <w:t xml:space="preserve"> so manual analysis using tables was deemed adequate. </w:t>
      </w:r>
      <w:r w:rsidR="00E30525">
        <w:rPr>
          <w:rFonts w:ascii="Arial" w:eastAsia="Calibri" w:hAnsi="Arial" w:cs="Arial"/>
        </w:rPr>
        <w:t xml:space="preserve">However, NVIVO was useful </w:t>
      </w:r>
      <w:r w:rsidR="00A120B3">
        <w:rPr>
          <w:rFonts w:ascii="Arial" w:eastAsia="Calibri" w:hAnsi="Arial" w:cs="Arial"/>
        </w:rPr>
        <w:t xml:space="preserve">in determining the most cited responses by the </w:t>
      </w:r>
      <w:r w:rsidR="00A120B3" w:rsidRPr="000A344D">
        <w:rPr>
          <w:rFonts w:ascii="Arial" w:eastAsia="Calibri" w:hAnsi="Arial" w:cs="Arial"/>
        </w:rPr>
        <w:t xml:space="preserve">different managers for the different constructs. The steps for the NVIVO analysis </w:t>
      </w:r>
      <w:r w:rsidR="000A344D" w:rsidRPr="000A344D">
        <w:rPr>
          <w:rFonts w:ascii="Arial" w:eastAsia="Calibri" w:hAnsi="Arial" w:cs="Arial"/>
        </w:rPr>
        <w:t>are</w:t>
      </w:r>
      <w:r w:rsidR="00A120B3" w:rsidRPr="000A344D">
        <w:rPr>
          <w:rFonts w:ascii="Arial" w:eastAsia="Calibri" w:hAnsi="Arial" w:cs="Arial"/>
        </w:rPr>
        <w:t xml:space="preserve"> as follows:</w:t>
      </w:r>
    </w:p>
    <w:p w14:paraId="2EF4DAE5" w14:textId="146809B9" w:rsidR="000A344D" w:rsidRDefault="000A344D" w:rsidP="00CD6352">
      <w:pPr>
        <w:spacing w:after="0" w:line="360" w:lineRule="auto"/>
        <w:jc w:val="both"/>
        <w:rPr>
          <w:rFonts w:ascii="Arial" w:eastAsia="Calibri" w:hAnsi="Arial" w:cs="Arial"/>
        </w:rPr>
      </w:pPr>
      <w:r>
        <w:rPr>
          <w:rFonts w:ascii="Arial" w:eastAsia="Calibri" w:hAnsi="Arial" w:cs="Arial"/>
        </w:rPr>
        <w:t xml:space="preserve">Step 1: The data is </w:t>
      </w:r>
      <w:r w:rsidR="005F4FC8">
        <w:rPr>
          <w:rFonts w:ascii="Arial" w:eastAsia="Calibri" w:hAnsi="Arial" w:cs="Arial"/>
        </w:rPr>
        <w:t>transcribed,</w:t>
      </w:r>
      <w:r>
        <w:rPr>
          <w:rFonts w:ascii="Arial" w:eastAsia="Calibri" w:hAnsi="Arial" w:cs="Arial"/>
        </w:rPr>
        <w:t xml:space="preserve"> </w:t>
      </w:r>
      <w:r w:rsidR="00624690">
        <w:rPr>
          <w:rFonts w:ascii="Arial" w:eastAsia="Calibri" w:hAnsi="Arial" w:cs="Arial"/>
        </w:rPr>
        <w:t xml:space="preserve">and identities </w:t>
      </w:r>
      <w:r w:rsidR="00182FD5">
        <w:rPr>
          <w:rFonts w:ascii="Arial" w:eastAsia="Calibri" w:hAnsi="Arial" w:cs="Arial"/>
        </w:rPr>
        <w:t xml:space="preserve">are </w:t>
      </w:r>
      <w:r w:rsidR="00624690">
        <w:rPr>
          <w:rFonts w:ascii="Arial" w:eastAsia="Calibri" w:hAnsi="Arial" w:cs="Arial"/>
        </w:rPr>
        <w:t xml:space="preserve">created for each </w:t>
      </w:r>
      <w:r w:rsidR="002359E2">
        <w:rPr>
          <w:rFonts w:ascii="Arial" w:eastAsia="Calibri" w:hAnsi="Arial" w:cs="Arial"/>
        </w:rPr>
        <w:t>manager</w:t>
      </w:r>
      <w:r w:rsidR="00182FD5">
        <w:rPr>
          <w:rFonts w:ascii="Arial" w:eastAsia="Calibri" w:hAnsi="Arial" w:cs="Arial"/>
        </w:rPr>
        <w:t>,</w:t>
      </w:r>
      <w:r w:rsidR="00624690">
        <w:rPr>
          <w:rFonts w:ascii="Arial" w:eastAsia="Calibri" w:hAnsi="Arial" w:cs="Arial"/>
        </w:rPr>
        <w:t xml:space="preserve"> such as Germany Mgr1, UK Mgr1, </w:t>
      </w:r>
      <w:r w:rsidR="002359E2">
        <w:rPr>
          <w:rFonts w:ascii="Arial" w:eastAsia="Calibri" w:hAnsi="Arial" w:cs="Arial"/>
        </w:rPr>
        <w:t>etc</w:t>
      </w:r>
      <w:r w:rsidR="00624690">
        <w:rPr>
          <w:rFonts w:ascii="Arial" w:eastAsia="Calibri" w:hAnsi="Arial" w:cs="Arial"/>
        </w:rPr>
        <w:t>.</w:t>
      </w:r>
      <w:r w:rsidR="005F4FC8">
        <w:rPr>
          <w:rFonts w:ascii="Arial" w:eastAsia="Calibri" w:hAnsi="Arial" w:cs="Arial"/>
        </w:rPr>
        <w:t xml:space="preserve"> The interview questions are based on the different themes</w:t>
      </w:r>
      <w:r w:rsidR="00182FD5">
        <w:rPr>
          <w:rFonts w:ascii="Arial" w:eastAsia="Calibri" w:hAnsi="Arial" w:cs="Arial"/>
        </w:rPr>
        <w:t>:</w:t>
      </w:r>
      <w:r w:rsidR="005F4FC8">
        <w:rPr>
          <w:rFonts w:ascii="Arial" w:eastAsia="Calibri" w:hAnsi="Arial" w:cs="Arial"/>
        </w:rPr>
        <w:t xml:space="preserve"> finance options, criteria, </w:t>
      </w:r>
      <w:r w:rsidR="002359E2">
        <w:rPr>
          <w:rFonts w:ascii="Arial" w:eastAsia="Calibri" w:hAnsi="Arial" w:cs="Arial"/>
        </w:rPr>
        <w:t>challenges,</w:t>
      </w:r>
      <w:r w:rsidR="005F4FC8">
        <w:rPr>
          <w:rFonts w:ascii="Arial" w:eastAsia="Calibri" w:hAnsi="Arial" w:cs="Arial"/>
        </w:rPr>
        <w:t xml:space="preserve"> and opportunities associated with securing finance for real estate project development.</w:t>
      </w:r>
    </w:p>
    <w:p w14:paraId="35DAC36A" w14:textId="3DCF2DF1" w:rsidR="005F4FC8" w:rsidRDefault="005F4FC8" w:rsidP="00CD6352">
      <w:pPr>
        <w:spacing w:after="0" w:line="360" w:lineRule="auto"/>
        <w:jc w:val="both"/>
        <w:rPr>
          <w:rFonts w:ascii="Arial" w:eastAsia="Calibri" w:hAnsi="Arial" w:cs="Arial"/>
        </w:rPr>
      </w:pPr>
      <w:r>
        <w:rPr>
          <w:rFonts w:ascii="Arial" w:eastAsia="Calibri" w:hAnsi="Arial" w:cs="Arial"/>
        </w:rPr>
        <w:t>Step 2: The data is uploaded on NVIVO</w:t>
      </w:r>
      <w:r w:rsidR="000B716D">
        <w:rPr>
          <w:rFonts w:ascii="Arial" w:eastAsia="Calibri" w:hAnsi="Arial" w:cs="Arial"/>
        </w:rPr>
        <w:t xml:space="preserve"> software</w:t>
      </w:r>
      <w:r w:rsidR="001006E8">
        <w:rPr>
          <w:rFonts w:ascii="Arial" w:eastAsia="Calibri" w:hAnsi="Arial" w:cs="Arial"/>
        </w:rPr>
        <w:t>. To achieve this, a new project is initiated by clicking “blank project”. T</w:t>
      </w:r>
      <w:r w:rsidR="006C0EBC">
        <w:rPr>
          <w:rFonts w:ascii="Arial" w:eastAsia="Calibri" w:hAnsi="Arial" w:cs="Arial"/>
        </w:rPr>
        <w:t xml:space="preserve">he </w:t>
      </w:r>
      <w:r w:rsidR="00B4032E">
        <w:rPr>
          <w:rFonts w:ascii="Arial" w:eastAsia="Calibri" w:hAnsi="Arial" w:cs="Arial"/>
        </w:rPr>
        <w:t>information</w:t>
      </w:r>
      <w:r w:rsidR="006C0EBC">
        <w:rPr>
          <w:rFonts w:ascii="Arial" w:eastAsia="Calibri" w:hAnsi="Arial" w:cs="Arial"/>
        </w:rPr>
        <w:t xml:space="preserve"> is then imported from the source on the computer.</w:t>
      </w:r>
    </w:p>
    <w:p w14:paraId="3806B0DC" w14:textId="28E3DED2" w:rsidR="006C0EBC" w:rsidRDefault="006C0EBC" w:rsidP="00CD6352">
      <w:pPr>
        <w:spacing w:after="0" w:line="360" w:lineRule="auto"/>
        <w:jc w:val="both"/>
        <w:rPr>
          <w:rFonts w:ascii="Arial" w:eastAsia="Calibri" w:hAnsi="Arial" w:cs="Arial"/>
        </w:rPr>
      </w:pPr>
      <w:r>
        <w:rPr>
          <w:rFonts w:ascii="Arial" w:eastAsia="Calibri" w:hAnsi="Arial" w:cs="Arial"/>
        </w:rPr>
        <w:lastRenderedPageBreak/>
        <w:t>Step 3:</w:t>
      </w:r>
      <w:r w:rsidR="00A50379">
        <w:rPr>
          <w:rFonts w:ascii="Arial" w:eastAsia="Calibri" w:hAnsi="Arial" w:cs="Arial"/>
        </w:rPr>
        <w:t xml:space="preserve"> The data is reorganised </w:t>
      </w:r>
      <w:r w:rsidR="00182FD5">
        <w:rPr>
          <w:rFonts w:ascii="Arial" w:eastAsia="Calibri" w:hAnsi="Arial" w:cs="Arial"/>
        </w:rPr>
        <w:t>by creating</w:t>
      </w:r>
      <w:r w:rsidR="00A50379">
        <w:rPr>
          <w:rFonts w:ascii="Arial" w:eastAsia="Calibri" w:hAnsi="Arial" w:cs="Arial"/>
        </w:rPr>
        <w:t xml:space="preserve"> case storage, case classification and creation of nodes. </w:t>
      </w:r>
      <w:r w:rsidR="001F49F9">
        <w:rPr>
          <w:rFonts w:ascii="Arial" w:eastAsia="Calibri" w:hAnsi="Arial" w:cs="Arial"/>
        </w:rPr>
        <w:t xml:space="preserve">The case storage contains </w:t>
      </w:r>
      <w:r w:rsidR="002B5ABD">
        <w:rPr>
          <w:rFonts w:ascii="Arial" w:eastAsia="Calibri" w:hAnsi="Arial" w:cs="Arial"/>
        </w:rPr>
        <w:t xml:space="preserve">the </w:t>
      </w:r>
      <w:r w:rsidR="001F49F9">
        <w:rPr>
          <w:rFonts w:ascii="Arial" w:eastAsia="Calibri" w:hAnsi="Arial" w:cs="Arial"/>
        </w:rPr>
        <w:t xml:space="preserve">responses of each participant (the individual managers). The case classification </w:t>
      </w:r>
      <w:r w:rsidR="00182FD5">
        <w:rPr>
          <w:rFonts w:ascii="Arial" w:eastAsia="Calibri" w:hAnsi="Arial" w:cs="Arial"/>
        </w:rPr>
        <w:t>include</w:t>
      </w:r>
      <w:r w:rsidR="001F49F9">
        <w:rPr>
          <w:rFonts w:ascii="Arial" w:eastAsia="Calibri" w:hAnsi="Arial" w:cs="Arial"/>
        </w:rPr>
        <w:t xml:space="preserve">s participants responses to the interview questions such as, </w:t>
      </w:r>
      <w:r w:rsidR="00E44B78">
        <w:rPr>
          <w:rFonts w:ascii="Arial" w:eastAsia="Calibri" w:hAnsi="Arial" w:cs="Arial"/>
        </w:rPr>
        <w:t>“What</w:t>
      </w:r>
      <w:r w:rsidR="00DE47DE" w:rsidRPr="00DE47DE">
        <w:rPr>
          <w:rFonts w:ascii="Arial" w:eastAsia="Calibri" w:hAnsi="Arial" w:cs="Arial"/>
        </w:rPr>
        <w:t xml:space="preserve"> are the major challenges you encounter in the process of securing funding for your project development? </w:t>
      </w:r>
      <w:r w:rsidR="00E4402B">
        <w:rPr>
          <w:rFonts w:ascii="Arial" w:eastAsia="Calibri" w:hAnsi="Arial" w:cs="Arial"/>
        </w:rPr>
        <w:t xml:space="preserve">“. </w:t>
      </w:r>
      <w:r w:rsidR="00182FD5">
        <w:rPr>
          <w:rFonts w:ascii="Arial" w:eastAsia="Calibri" w:hAnsi="Arial" w:cs="Arial"/>
        </w:rPr>
        <w:t xml:space="preserve">At the same time, </w:t>
      </w:r>
      <w:r w:rsidR="00E4402B">
        <w:rPr>
          <w:rFonts w:ascii="Arial" w:eastAsia="Calibri" w:hAnsi="Arial" w:cs="Arial"/>
        </w:rPr>
        <w:t xml:space="preserve">the nodes </w:t>
      </w:r>
      <w:r w:rsidR="00E44B78">
        <w:rPr>
          <w:rFonts w:ascii="Arial" w:eastAsia="Calibri" w:hAnsi="Arial" w:cs="Arial"/>
        </w:rPr>
        <w:t>have</w:t>
      </w:r>
      <w:r w:rsidR="00E4402B">
        <w:rPr>
          <w:rFonts w:ascii="Arial" w:eastAsia="Calibri" w:hAnsi="Arial" w:cs="Arial"/>
        </w:rPr>
        <w:t xml:space="preserve"> responses to the questions.</w:t>
      </w:r>
    </w:p>
    <w:p w14:paraId="4CE72110" w14:textId="100AA4F7" w:rsidR="00DE2D60" w:rsidRDefault="00DE2D60" w:rsidP="00CD6352">
      <w:pPr>
        <w:spacing w:after="0" w:line="360" w:lineRule="auto"/>
        <w:jc w:val="both"/>
        <w:rPr>
          <w:rFonts w:ascii="Arial" w:eastAsia="Calibri" w:hAnsi="Arial" w:cs="Arial"/>
        </w:rPr>
      </w:pPr>
      <w:r>
        <w:rPr>
          <w:rFonts w:ascii="Arial" w:eastAsia="Calibri" w:hAnsi="Arial" w:cs="Arial"/>
        </w:rPr>
        <w:t xml:space="preserve">Step </w:t>
      </w:r>
      <w:r w:rsidR="00E44B78">
        <w:rPr>
          <w:rFonts w:ascii="Arial" w:eastAsia="Calibri" w:hAnsi="Arial" w:cs="Arial"/>
        </w:rPr>
        <w:t>4</w:t>
      </w:r>
      <w:r>
        <w:rPr>
          <w:rFonts w:ascii="Arial" w:eastAsia="Calibri" w:hAnsi="Arial" w:cs="Arial"/>
        </w:rPr>
        <w:t>: This step entails conducting data exploration using the ‘query’ command. This helps determine the word frequency</w:t>
      </w:r>
      <w:r w:rsidR="00182FD5">
        <w:rPr>
          <w:rFonts w:ascii="Arial" w:eastAsia="Calibri" w:hAnsi="Arial" w:cs="Arial"/>
        </w:rPr>
        <w:t>,</w:t>
      </w:r>
      <w:r>
        <w:rPr>
          <w:rFonts w:ascii="Arial" w:eastAsia="Calibri" w:hAnsi="Arial" w:cs="Arial"/>
        </w:rPr>
        <w:t xml:space="preserve"> which was the aspect used by this research.</w:t>
      </w:r>
    </w:p>
    <w:p w14:paraId="1026E1AD" w14:textId="77777777" w:rsidR="00D1154D" w:rsidRDefault="00D1154D" w:rsidP="00CD6352">
      <w:pPr>
        <w:spacing w:after="0" w:line="360" w:lineRule="auto"/>
        <w:jc w:val="both"/>
        <w:rPr>
          <w:rFonts w:ascii="Arial" w:eastAsia="Calibri" w:hAnsi="Arial" w:cs="Arial"/>
        </w:rPr>
      </w:pPr>
    </w:p>
    <w:p w14:paraId="78530DD5" w14:textId="77777777" w:rsidR="00CD6352" w:rsidRPr="00EA7665" w:rsidRDefault="00CD6352" w:rsidP="007625E7">
      <w:pPr>
        <w:spacing w:after="0" w:line="360" w:lineRule="auto"/>
        <w:jc w:val="both"/>
        <w:rPr>
          <w:rFonts w:ascii="Arial" w:eastAsia="Calibri" w:hAnsi="Arial" w:cs="Arial"/>
          <w:b/>
          <w:lang w:val="en-NZ"/>
        </w:rPr>
      </w:pPr>
      <w:r w:rsidRPr="00EA7665">
        <w:rPr>
          <w:rFonts w:ascii="Arial" w:eastAsia="Calibri" w:hAnsi="Arial" w:cs="Arial"/>
          <w:b/>
          <w:lang w:val="en-NZ"/>
        </w:rPr>
        <w:t>Questionnaire Survey</w:t>
      </w:r>
    </w:p>
    <w:p w14:paraId="2546A7F4" w14:textId="244BFA8D" w:rsidR="00CD6352" w:rsidRPr="00EA7665" w:rsidRDefault="00CD6352" w:rsidP="00CD6352">
      <w:pPr>
        <w:spacing w:after="0" w:line="360" w:lineRule="auto"/>
        <w:jc w:val="both"/>
        <w:rPr>
          <w:rFonts w:ascii="Arial" w:eastAsia="Calibri" w:hAnsi="Arial" w:cs="Arial"/>
          <w:lang w:val="en-NZ"/>
        </w:rPr>
      </w:pPr>
      <w:r w:rsidRPr="00EA7665">
        <w:rPr>
          <w:rFonts w:ascii="Arial" w:eastAsia="Calibri" w:hAnsi="Arial" w:cs="Arial"/>
          <w:lang w:val="en-NZ"/>
        </w:rPr>
        <w:t>In meeting the objectives of the study, the online survey questionnaire technique for data collection was also used, and it was adopted for the following reaso</w:t>
      </w:r>
      <w:r>
        <w:rPr>
          <w:rFonts w:ascii="Arial" w:eastAsia="Calibri" w:hAnsi="Arial" w:cs="Arial"/>
          <w:lang w:val="en-NZ"/>
        </w:rPr>
        <w:t>ns</w:t>
      </w:r>
      <w:r w:rsidRPr="00EA7665">
        <w:rPr>
          <w:rFonts w:ascii="Arial" w:eastAsia="Calibri" w:hAnsi="Arial" w:cs="Arial"/>
          <w:lang w:val="en-NZ"/>
        </w:rPr>
        <w:t xml:space="preserve">: </w:t>
      </w:r>
    </w:p>
    <w:p w14:paraId="22A613FC" w14:textId="1B115C75" w:rsidR="00CD6352" w:rsidRPr="00EA7665" w:rsidRDefault="00CD6352" w:rsidP="00CD6352">
      <w:pPr>
        <w:pStyle w:val="ListParagraph"/>
        <w:numPr>
          <w:ilvl w:val="0"/>
          <w:numId w:val="22"/>
        </w:numPr>
        <w:spacing w:after="0" w:line="360" w:lineRule="auto"/>
        <w:jc w:val="both"/>
        <w:rPr>
          <w:rFonts w:ascii="Arial" w:eastAsia="Calibri" w:hAnsi="Arial" w:cs="Arial"/>
          <w:lang w:val="en-NZ"/>
        </w:rPr>
      </w:pPr>
      <w:r w:rsidRPr="00EA7665">
        <w:rPr>
          <w:rFonts w:ascii="Arial" w:eastAsia="Calibri" w:hAnsi="Arial" w:cs="Arial"/>
          <w:lang w:val="en-NZ"/>
        </w:rPr>
        <w:t xml:space="preserve">It facilitated the coverage of a widespread sample of managers involved with real estate project development and its funding. </w:t>
      </w:r>
      <w:r w:rsidR="009416C6">
        <w:rPr>
          <w:rFonts w:ascii="Arial" w:eastAsia="Calibri" w:hAnsi="Arial" w:cs="Arial"/>
          <w:lang w:val="en-NZ"/>
        </w:rPr>
        <w:t>Therefore, it is of exceptional value for a scattered population such as the population in this study,</w:t>
      </w:r>
      <w:r w:rsidRPr="00EA7665">
        <w:rPr>
          <w:rFonts w:ascii="Arial" w:eastAsia="Calibri" w:hAnsi="Arial" w:cs="Arial"/>
          <w:lang w:val="en-NZ"/>
        </w:rPr>
        <w:t xml:space="preserve"> which is spread across six countries.</w:t>
      </w:r>
    </w:p>
    <w:p w14:paraId="585963F1" w14:textId="0414BB9D" w:rsidR="00CD6352" w:rsidRPr="00EA7665" w:rsidRDefault="00CD6352" w:rsidP="00CD6352">
      <w:pPr>
        <w:pStyle w:val="ListParagraph"/>
        <w:numPr>
          <w:ilvl w:val="0"/>
          <w:numId w:val="22"/>
        </w:numPr>
        <w:spacing w:after="0" w:line="360" w:lineRule="auto"/>
        <w:jc w:val="both"/>
        <w:rPr>
          <w:rFonts w:ascii="Arial" w:eastAsia="Calibri" w:hAnsi="Arial" w:cs="Arial"/>
          <w:lang w:val="en-NZ"/>
        </w:rPr>
      </w:pPr>
      <w:r w:rsidRPr="00EA7665">
        <w:rPr>
          <w:rFonts w:ascii="Arial" w:eastAsia="Calibri" w:hAnsi="Arial" w:cs="Arial"/>
          <w:lang w:val="en-NZ"/>
        </w:rPr>
        <w:t>The online survey questionnaire is very cheap to apply and mitigat</w:t>
      </w:r>
      <w:r>
        <w:rPr>
          <w:rFonts w:ascii="Arial" w:eastAsia="Calibri" w:hAnsi="Arial" w:cs="Arial"/>
          <w:lang w:val="en-NZ"/>
        </w:rPr>
        <w:t>es</w:t>
      </w:r>
      <w:r w:rsidRPr="00EA7665">
        <w:rPr>
          <w:rFonts w:ascii="Arial" w:eastAsia="Calibri" w:hAnsi="Arial" w:cs="Arial"/>
          <w:lang w:val="en-NZ"/>
        </w:rPr>
        <w:t xml:space="preserve"> budgetary constrain</w:t>
      </w:r>
      <w:r>
        <w:rPr>
          <w:rFonts w:ascii="Arial" w:eastAsia="Calibri" w:hAnsi="Arial" w:cs="Arial"/>
          <w:lang w:val="en-NZ"/>
        </w:rPr>
        <w:t>ts</w:t>
      </w:r>
      <w:r w:rsidRPr="00EA7665">
        <w:rPr>
          <w:rFonts w:ascii="Arial" w:eastAsia="Calibri" w:hAnsi="Arial" w:cs="Arial"/>
          <w:lang w:val="en-NZ"/>
        </w:rPr>
        <w:t xml:space="preserve"> as it </w:t>
      </w:r>
      <w:r>
        <w:rPr>
          <w:rFonts w:ascii="Arial" w:eastAsia="Calibri" w:hAnsi="Arial" w:cs="Arial"/>
          <w:lang w:val="en-NZ"/>
        </w:rPr>
        <w:t>is mainly</w:t>
      </w:r>
      <w:r w:rsidRPr="00EA7665">
        <w:rPr>
          <w:rFonts w:ascii="Arial" w:eastAsia="Calibri" w:hAnsi="Arial" w:cs="Arial"/>
          <w:lang w:val="en-NZ"/>
        </w:rPr>
        <w:t xml:space="preserve"> administered via emails and platforms such as WhatsApp and LinkedIn.</w:t>
      </w:r>
    </w:p>
    <w:p w14:paraId="785BF3A2" w14:textId="77777777" w:rsidR="00CD6352" w:rsidRPr="00EA7665" w:rsidRDefault="00CD6352" w:rsidP="00CD6352">
      <w:pPr>
        <w:pStyle w:val="ListParagraph"/>
        <w:numPr>
          <w:ilvl w:val="0"/>
          <w:numId w:val="22"/>
        </w:numPr>
        <w:spacing w:line="360" w:lineRule="auto"/>
        <w:jc w:val="both"/>
        <w:rPr>
          <w:rFonts w:ascii="Arial" w:eastAsia="Calibri" w:hAnsi="Arial" w:cs="Arial"/>
          <w:lang w:val="en-NZ"/>
        </w:rPr>
      </w:pPr>
      <w:r w:rsidRPr="00EA7665">
        <w:rPr>
          <w:rFonts w:ascii="Arial" w:eastAsia="Calibri" w:hAnsi="Arial" w:cs="Arial"/>
          <w:lang w:val="en-NZ"/>
        </w:rPr>
        <w:t xml:space="preserve">It provides an opportunity to analyse the data using a variety of statistical techniques. </w:t>
      </w:r>
    </w:p>
    <w:p w14:paraId="7A9E7AF2" w14:textId="2ECCA845"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 xml:space="preserve">Despite the benefits of using the questionnaire survey as mentioned above, </w:t>
      </w:r>
      <w:r>
        <w:rPr>
          <w:rFonts w:ascii="Arial" w:eastAsia="Calibri" w:hAnsi="Arial" w:cs="Arial"/>
          <w:lang w:val="en-NZ"/>
        </w:rPr>
        <w:t>there are</w:t>
      </w:r>
      <w:r w:rsidRPr="00EA7665">
        <w:rPr>
          <w:rFonts w:ascii="Arial" w:eastAsia="Calibri" w:hAnsi="Arial" w:cs="Arial"/>
          <w:lang w:val="en-NZ"/>
        </w:rPr>
        <w:t xml:space="preserve"> some weaknesses</w:t>
      </w:r>
      <w:r w:rsidR="009416C6">
        <w:rPr>
          <w:rFonts w:ascii="Arial" w:eastAsia="Calibri" w:hAnsi="Arial" w:cs="Arial"/>
          <w:lang w:val="en-NZ"/>
        </w:rPr>
        <w:t>, including</w:t>
      </w:r>
      <w:r w:rsidRPr="00EA7665">
        <w:rPr>
          <w:rFonts w:ascii="Arial" w:eastAsia="Calibri" w:hAnsi="Arial" w:cs="Arial"/>
          <w:lang w:val="en-NZ"/>
        </w:rPr>
        <w:t xml:space="preserve"> non-response or low response rates and the inability of the investigator to verify the information provided</w:t>
      </w:r>
      <w:r w:rsidR="009416C6">
        <w:rPr>
          <w:rFonts w:ascii="Arial" w:eastAsia="Calibri" w:hAnsi="Arial" w:cs="Arial"/>
          <w:lang w:val="en-NZ"/>
        </w:rPr>
        <w:t>.</w:t>
      </w:r>
      <w:r w:rsidRPr="00EA7665">
        <w:rPr>
          <w:rFonts w:ascii="Arial" w:eastAsia="Calibri" w:hAnsi="Arial" w:cs="Arial"/>
          <w:lang w:val="en-NZ"/>
        </w:rPr>
        <w:t xml:space="preserve"> Furthermore, the low response</w:t>
      </w:r>
      <w:r>
        <w:rPr>
          <w:rFonts w:ascii="Arial" w:eastAsia="Calibri" w:hAnsi="Arial" w:cs="Arial"/>
          <w:lang w:val="en-NZ"/>
        </w:rPr>
        <w:t xml:space="preserve"> rate</w:t>
      </w:r>
      <w:r w:rsidRPr="00EA7665">
        <w:rPr>
          <w:rFonts w:ascii="Arial" w:eastAsia="Calibri" w:hAnsi="Arial" w:cs="Arial"/>
          <w:lang w:val="en-NZ"/>
        </w:rPr>
        <w:t xml:space="preserve"> reduces the sample size and can introduce bias</w:t>
      </w:r>
      <w:r w:rsidR="009416C6">
        <w:rPr>
          <w:rFonts w:ascii="Arial" w:eastAsia="Calibri" w:hAnsi="Arial" w:cs="Arial"/>
          <w:lang w:val="en-NZ"/>
        </w:rPr>
        <w:t>.</w:t>
      </w:r>
    </w:p>
    <w:p w14:paraId="2CDF81BD" w14:textId="501A45DD" w:rsidR="00CD6352" w:rsidRPr="00EA7665" w:rsidRDefault="00CD6352" w:rsidP="00CD6352">
      <w:pPr>
        <w:spacing w:line="360" w:lineRule="auto"/>
        <w:jc w:val="both"/>
        <w:rPr>
          <w:rFonts w:ascii="Arial" w:eastAsia="Calibri" w:hAnsi="Arial" w:cs="Arial"/>
          <w:lang w:val="en-NZ"/>
        </w:rPr>
      </w:pPr>
      <w:r w:rsidRPr="00EA7665">
        <w:rPr>
          <w:rFonts w:ascii="Arial" w:eastAsia="Calibri" w:hAnsi="Arial" w:cs="Arial"/>
          <w:lang w:val="en-NZ"/>
        </w:rPr>
        <w:t>The questionnaire link was distributed to 500 respondents via emails, WhatsApp and LinkedIn.  The respondents were randomly selected for the six countries. The selections were from the list of real estate managers on LinkedIn for the six countries</w:t>
      </w:r>
      <w:r w:rsidR="009416C6">
        <w:rPr>
          <w:rFonts w:ascii="Arial" w:eastAsia="Calibri" w:hAnsi="Arial" w:cs="Arial"/>
          <w:lang w:val="en-NZ"/>
        </w:rPr>
        <w:t>,</w:t>
      </w:r>
      <w:r w:rsidR="009416C6" w:rsidRPr="00EA7665">
        <w:rPr>
          <w:rFonts w:ascii="Arial" w:eastAsia="Calibri" w:hAnsi="Arial" w:cs="Arial"/>
          <w:lang w:val="en-NZ"/>
        </w:rPr>
        <w:t xml:space="preserve"> </w:t>
      </w:r>
      <w:r w:rsidRPr="00EA7665">
        <w:rPr>
          <w:rFonts w:ascii="Arial" w:eastAsia="Calibri" w:hAnsi="Arial" w:cs="Arial"/>
          <w:lang w:val="en-NZ"/>
        </w:rPr>
        <w:t>the list of real estate developers of Nigeria ( REDAN)</w:t>
      </w:r>
      <w:r w:rsidR="009416C6">
        <w:rPr>
          <w:rFonts w:ascii="Arial" w:eastAsia="Calibri" w:hAnsi="Arial" w:cs="Arial"/>
          <w:lang w:val="en-NZ"/>
        </w:rPr>
        <w:t>,</w:t>
      </w:r>
      <w:r w:rsidRPr="00EA7665">
        <w:rPr>
          <w:rFonts w:ascii="Arial" w:eastAsia="Calibri" w:hAnsi="Arial" w:cs="Arial"/>
          <w:lang w:val="en-NZ"/>
        </w:rPr>
        <w:t xml:space="preserve"> and the list of real estate managers for the US Real estate development companies the researcher had obtained from open media.  Selections were also from a list of the </w:t>
      </w:r>
      <w:r w:rsidR="009416C6">
        <w:rPr>
          <w:rFonts w:ascii="Arial" w:eastAsia="Calibri" w:hAnsi="Arial" w:cs="Arial"/>
          <w:lang w:val="en-NZ"/>
        </w:rPr>
        <w:t>Royal Institute of Chartered Surveyors (RICS) members</w:t>
      </w:r>
      <w:r w:rsidRPr="00EA7665">
        <w:rPr>
          <w:rFonts w:ascii="Arial" w:eastAsia="Calibri" w:hAnsi="Arial" w:cs="Arial"/>
          <w:lang w:val="en-NZ"/>
        </w:rPr>
        <w:t xml:space="preserve">. Furthermore, contact details were </w:t>
      </w:r>
      <w:r>
        <w:rPr>
          <w:rFonts w:ascii="Arial" w:eastAsia="Calibri" w:hAnsi="Arial" w:cs="Arial"/>
          <w:lang w:val="en-NZ"/>
        </w:rPr>
        <w:t>obtained via</w:t>
      </w:r>
      <w:r w:rsidRPr="00EA7665">
        <w:rPr>
          <w:rFonts w:ascii="Arial" w:eastAsia="Calibri" w:hAnsi="Arial" w:cs="Arial"/>
          <w:lang w:val="en-NZ"/>
        </w:rPr>
        <w:t xml:space="preserve"> snowballing through academics with industry links in South Africa, Hong Kong and the United Kingdom for the administration of the survey link. </w:t>
      </w:r>
    </w:p>
    <w:p w14:paraId="1580F1D3" w14:textId="77777777" w:rsidR="00CD6352" w:rsidRPr="00EA7665" w:rsidRDefault="00CD6352" w:rsidP="00CD6352">
      <w:pPr>
        <w:pStyle w:val="Heading5"/>
        <w:spacing w:after="240"/>
        <w:rPr>
          <w:rFonts w:ascii="Arial" w:eastAsia="Calibri" w:hAnsi="Arial" w:cs="Arial"/>
          <w:b/>
          <w:color w:val="000000" w:themeColor="text1"/>
          <w:lang w:val="en-NZ"/>
        </w:rPr>
      </w:pPr>
      <w:r w:rsidRPr="00EA7665">
        <w:rPr>
          <w:rFonts w:ascii="Arial" w:eastAsia="Calibri" w:hAnsi="Arial" w:cs="Arial"/>
          <w:b/>
          <w:color w:val="000000" w:themeColor="text1"/>
          <w:lang w:val="en-NZ"/>
        </w:rPr>
        <w:t>Questionnaire development</w:t>
      </w:r>
    </w:p>
    <w:p w14:paraId="0EC9EE0B" w14:textId="120363DA"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NZ"/>
        </w:rPr>
        <w:t xml:space="preserve">The first step in designing the questionnaire was to base it on existing work on skills, knowledge, competences, training, and development (Mann, 1965; Katzs, 1971; </w:t>
      </w:r>
      <w:r w:rsidRPr="00EA7665">
        <w:rPr>
          <w:rFonts w:ascii="Arial" w:eastAsia="Calibri" w:hAnsi="Arial" w:cs="Arial"/>
          <w:lang w:val="en-US"/>
        </w:rPr>
        <w:t>Boyatzis, 1982; Stewart, 1997; Trimble &amp; Trimble, 1993; Grizzle, 1985; Spencer, 1993; Egbu, 1994; Muthuveloo et al., 2017; Sunindijo et al., 2017</w:t>
      </w:r>
      <w:r w:rsidR="00CF4D90">
        <w:rPr>
          <w:rFonts w:ascii="Arial" w:eastAsia="Calibri" w:hAnsi="Arial" w:cs="Arial"/>
          <w:lang w:val="en-US"/>
        </w:rPr>
        <w:t xml:space="preserve">; IPMA (2015); APM competence framework; </w:t>
      </w:r>
      <w:r w:rsidRPr="00EA7665">
        <w:rPr>
          <w:rFonts w:ascii="Arial" w:eastAsia="Calibri" w:hAnsi="Arial" w:cs="Arial"/>
          <w:lang w:val="en-US"/>
        </w:rPr>
        <w:lastRenderedPageBreak/>
        <w:t xml:space="preserve">Ogbenjuwa, 2018).  The questionnaire questions the manager’s knowledge, skills, competences, career path, education, and training. It examined the different types </w:t>
      </w:r>
      <w:r>
        <w:rPr>
          <w:rFonts w:ascii="Arial" w:eastAsia="Calibri" w:hAnsi="Arial" w:cs="Arial"/>
          <w:lang w:val="en-US"/>
        </w:rPr>
        <w:t>of managers’</w:t>
      </w:r>
      <w:r w:rsidRPr="00EA7665">
        <w:rPr>
          <w:rFonts w:ascii="Arial" w:eastAsia="Calibri" w:hAnsi="Arial" w:cs="Arial"/>
          <w:lang w:val="en-US"/>
        </w:rPr>
        <w:t xml:space="preserve"> skills, which include human, technical, conceptual and financial management skills and competences.  The questions also examined the different types of finance options covering both debt and equity used by managers in the real estate sector</w:t>
      </w:r>
      <w:r>
        <w:rPr>
          <w:rFonts w:ascii="Arial" w:eastAsia="Calibri" w:hAnsi="Arial" w:cs="Arial"/>
          <w:lang w:val="en-US"/>
        </w:rPr>
        <w:t>,</w:t>
      </w:r>
      <w:r w:rsidRPr="00EA7665">
        <w:rPr>
          <w:rFonts w:ascii="Arial" w:eastAsia="Calibri" w:hAnsi="Arial" w:cs="Arial"/>
          <w:lang w:val="en-US"/>
        </w:rPr>
        <w:t xml:space="preserve"> the challenges and opportunities available to them that facilitat</w:t>
      </w:r>
      <w:r>
        <w:rPr>
          <w:rFonts w:ascii="Arial" w:eastAsia="Calibri" w:hAnsi="Arial" w:cs="Arial"/>
          <w:lang w:val="en-US"/>
        </w:rPr>
        <w:t>e</w:t>
      </w:r>
      <w:r w:rsidRPr="00EA7665">
        <w:rPr>
          <w:rFonts w:ascii="Arial" w:eastAsia="Calibri" w:hAnsi="Arial" w:cs="Arial"/>
          <w:lang w:val="en-US"/>
        </w:rPr>
        <w:t xml:space="preserve"> access to finance</w:t>
      </w:r>
      <w:r>
        <w:rPr>
          <w:rFonts w:ascii="Arial" w:eastAsia="Calibri" w:hAnsi="Arial" w:cs="Arial"/>
          <w:lang w:val="en-US"/>
        </w:rPr>
        <w:t>,</w:t>
      </w:r>
      <w:r w:rsidRPr="00EA7665">
        <w:rPr>
          <w:rFonts w:ascii="Arial" w:eastAsia="Calibri" w:hAnsi="Arial" w:cs="Arial"/>
          <w:lang w:val="en-US"/>
        </w:rPr>
        <w:t xml:space="preserve"> the processes for access to finance and the critical success factors for securing finance for real estate project development.</w:t>
      </w:r>
    </w:p>
    <w:p w14:paraId="73BDCCEC" w14:textId="7264A63E" w:rsidR="00CD6352" w:rsidRPr="00EA7665" w:rsidRDefault="00CD6352" w:rsidP="00CD6352">
      <w:pPr>
        <w:spacing w:after="0" w:line="360" w:lineRule="auto"/>
        <w:jc w:val="both"/>
        <w:rPr>
          <w:rFonts w:ascii="Arial" w:eastAsia="Calibri" w:hAnsi="Arial" w:cs="Arial"/>
          <w:i/>
          <w:lang w:val="en-US"/>
        </w:rPr>
      </w:pPr>
      <w:r w:rsidRPr="00EA7665">
        <w:rPr>
          <w:rFonts w:ascii="Arial" w:eastAsia="Calibri" w:hAnsi="Arial" w:cs="Arial"/>
          <w:lang w:val="en-US"/>
        </w:rPr>
        <w:t xml:space="preserve">A five-point Likert scale was used in the questionnaire; it is an acceptable tool for measuring “attitude” in a scientifically accepted and validated manner (Joshi et al., 2015). The </w:t>
      </w:r>
      <w:r w:rsidR="00C976B2">
        <w:rPr>
          <w:rFonts w:ascii="Arial" w:eastAsia="Calibri" w:hAnsi="Arial" w:cs="Arial"/>
          <w:lang w:val="en-US"/>
        </w:rPr>
        <w:t>study's objectives</w:t>
      </w:r>
      <w:r w:rsidRPr="00EA7665">
        <w:rPr>
          <w:rFonts w:ascii="Arial" w:eastAsia="Calibri" w:hAnsi="Arial" w:cs="Arial"/>
          <w:lang w:val="en-US"/>
        </w:rPr>
        <w:t xml:space="preserve"> were the fundamental drivers of the Likert scale questions; consequently, designing the instrument was based on the research objectives and the framework of the study. A scale more extended than a 5-point Likert may be cognitively difficult for respondents (Zin, 2013). Conversely, a shorter scale maybe cognitively</w:t>
      </w:r>
      <w:r>
        <w:rPr>
          <w:rFonts w:ascii="Arial" w:eastAsia="Calibri" w:hAnsi="Arial" w:cs="Arial"/>
          <w:lang w:val="en-US"/>
        </w:rPr>
        <w:t xml:space="preserve"> be</w:t>
      </w:r>
      <w:r w:rsidRPr="00EA7665">
        <w:rPr>
          <w:rFonts w:ascii="Arial" w:eastAsia="Calibri" w:hAnsi="Arial" w:cs="Arial"/>
          <w:lang w:val="en-US"/>
        </w:rPr>
        <w:t xml:space="preserve"> eas</w:t>
      </w:r>
      <w:r>
        <w:rPr>
          <w:rFonts w:ascii="Arial" w:eastAsia="Calibri" w:hAnsi="Arial" w:cs="Arial"/>
          <w:lang w:val="en-US"/>
        </w:rPr>
        <w:t>ier</w:t>
      </w:r>
      <w:r w:rsidRPr="00EA7665">
        <w:rPr>
          <w:rFonts w:ascii="Arial" w:eastAsia="Calibri" w:hAnsi="Arial" w:cs="Arial"/>
          <w:lang w:val="en-US"/>
        </w:rPr>
        <w:t xml:space="preserve"> but may not provide sufficient </w:t>
      </w:r>
      <w:r w:rsidRPr="001D572E">
        <w:rPr>
          <w:rFonts w:ascii="Arial" w:eastAsia="Calibri" w:hAnsi="Arial" w:cs="Arial"/>
          <w:lang w:val="en-US"/>
        </w:rPr>
        <w:t xml:space="preserve">respondents, opinions. The scale and interpretation adopted in this research survey </w:t>
      </w:r>
      <w:r w:rsidR="00EC3D8C" w:rsidRPr="001D572E">
        <w:rPr>
          <w:rFonts w:ascii="Arial" w:eastAsia="Calibri" w:hAnsi="Arial" w:cs="Arial"/>
          <w:lang w:val="en-US"/>
        </w:rPr>
        <w:t>are</w:t>
      </w:r>
      <w:r w:rsidRPr="001D572E">
        <w:rPr>
          <w:rFonts w:ascii="Arial" w:eastAsia="Calibri" w:hAnsi="Arial" w:cs="Arial"/>
          <w:lang w:val="en-US"/>
        </w:rPr>
        <w:t xml:space="preserve"> in </w:t>
      </w:r>
      <w:r w:rsidRPr="001D572E">
        <w:rPr>
          <w:rFonts w:ascii="Arial" w:eastAsia="Calibri" w:hAnsi="Arial" w:cs="Arial"/>
          <w:i/>
          <w:lang w:val="en-US"/>
        </w:rPr>
        <w:t xml:space="preserve">table </w:t>
      </w:r>
      <w:r w:rsidR="001D572E">
        <w:rPr>
          <w:rFonts w:ascii="Arial" w:eastAsia="Calibri" w:hAnsi="Arial" w:cs="Arial"/>
          <w:i/>
          <w:lang w:val="en-US"/>
        </w:rPr>
        <w:t>4.6.2</w:t>
      </w:r>
      <w:r w:rsidRPr="001D572E">
        <w:rPr>
          <w:rFonts w:ascii="Arial" w:eastAsia="Calibri" w:hAnsi="Arial" w:cs="Arial"/>
          <w:i/>
          <w:lang w:val="en-US"/>
        </w:rPr>
        <w:t>.</w:t>
      </w:r>
    </w:p>
    <w:p w14:paraId="536B6B06" w14:textId="2DB7C4C1" w:rsidR="00CD6352" w:rsidRPr="0048272B" w:rsidRDefault="00CD6352" w:rsidP="00CD6352">
      <w:pPr>
        <w:pStyle w:val="Caption"/>
        <w:keepNext/>
        <w:rPr>
          <w:rFonts w:ascii="Arial" w:hAnsi="Arial" w:cs="Arial"/>
          <w:i w:val="0"/>
          <w:iCs w:val="0"/>
          <w:sz w:val="16"/>
          <w:szCs w:val="16"/>
        </w:rPr>
      </w:pPr>
      <w:bookmarkStart w:id="1034" w:name="_Toc78983960"/>
      <w:r w:rsidRPr="0048272B">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4.6</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2</w:t>
      </w:r>
      <w:r w:rsidR="008F25B1">
        <w:rPr>
          <w:rFonts w:ascii="Arial" w:hAnsi="Arial" w:cs="Arial"/>
          <w:i w:val="0"/>
          <w:iCs w:val="0"/>
          <w:sz w:val="16"/>
          <w:szCs w:val="16"/>
        </w:rPr>
        <w:fldChar w:fldCharType="end"/>
      </w:r>
      <w:r w:rsidRPr="0048272B">
        <w:rPr>
          <w:rFonts w:ascii="Arial" w:hAnsi="Arial" w:cs="Arial"/>
          <w:i w:val="0"/>
          <w:iCs w:val="0"/>
          <w:sz w:val="16"/>
          <w:szCs w:val="16"/>
        </w:rPr>
        <w:t>:</w:t>
      </w:r>
      <w:r w:rsidRPr="0048272B">
        <w:rPr>
          <w:rFonts w:ascii="Arial" w:eastAsia="Calibri" w:hAnsi="Arial" w:cs="Arial"/>
          <w:i w:val="0"/>
          <w:iCs w:val="0"/>
          <w:color w:val="auto"/>
          <w:sz w:val="16"/>
          <w:szCs w:val="16"/>
          <w:lang w:val="en-US"/>
        </w:rPr>
        <w:t xml:space="preserve"> </w:t>
      </w:r>
      <w:r w:rsidR="00EC3D8C">
        <w:rPr>
          <w:rFonts w:ascii="Arial" w:hAnsi="Arial" w:cs="Arial"/>
          <w:i w:val="0"/>
          <w:iCs w:val="0"/>
          <w:sz w:val="16"/>
          <w:szCs w:val="16"/>
          <w:lang w:val="en-US"/>
        </w:rPr>
        <w:t>A r</w:t>
      </w:r>
      <w:r w:rsidRPr="0048272B">
        <w:rPr>
          <w:rFonts w:ascii="Arial" w:hAnsi="Arial" w:cs="Arial"/>
          <w:i w:val="0"/>
          <w:iCs w:val="0"/>
          <w:sz w:val="16"/>
          <w:szCs w:val="16"/>
          <w:lang w:val="en-US"/>
        </w:rPr>
        <w:t>ating system for the study</w:t>
      </w:r>
      <w:bookmarkEnd w:id="1034"/>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57"/>
        <w:gridCol w:w="1427"/>
        <w:gridCol w:w="1453"/>
        <w:gridCol w:w="1697"/>
        <w:gridCol w:w="1712"/>
        <w:gridCol w:w="1870"/>
      </w:tblGrid>
      <w:tr w:rsidR="00CD6352" w:rsidRPr="00EC3D8C" w14:paraId="1F07C4F1" w14:textId="77777777" w:rsidTr="00CD6352">
        <w:tc>
          <w:tcPr>
            <w:tcW w:w="0" w:type="auto"/>
            <w:vMerge w:val="restart"/>
          </w:tcPr>
          <w:p w14:paraId="5AF5B79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Question</w:t>
            </w:r>
          </w:p>
        </w:tc>
        <w:tc>
          <w:tcPr>
            <w:tcW w:w="0" w:type="auto"/>
            <w:gridSpan w:val="5"/>
          </w:tcPr>
          <w:p w14:paraId="1F912A1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Scale</w:t>
            </w:r>
          </w:p>
        </w:tc>
      </w:tr>
      <w:tr w:rsidR="00CD6352" w:rsidRPr="00EC3D8C" w14:paraId="160CEE0E" w14:textId="77777777" w:rsidTr="00CD6352">
        <w:tc>
          <w:tcPr>
            <w:tcW w:w="0" w:type="auto"/>
            <w:vMerge/>
          </w:tcPr>
          <w:p w14:paraId="081B0135" w14:textId="77777777" w:rsidR="00CD6352" w:rsidRPr="00EC3D8C" w:rsidRDefault="00CD6352" w:rsidP="00CD6352">
            <w:pPr>
              <w:jc w:val="both"/>
              <w:rPr>
                <w:rFonts w:ascii="Arial" w:eastAsia="Calibri" w:hAnsi="Arial" w:cs="Arial"/>
                <w:sz w:val="16"/>
                <w:szCs w:val="16"/>
                <w:lang w:val="en-US"/>
              </w:rPr>
            </w:pPr>
          </w:p>
        </w:tc>
        <w:tc>
          <w:tcPr>
            <w:tcW w:w="0" w:type="auto"/>
          </w:tcPr>
          <w:p w14:paraId="0F0A15D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1</w:t>
            </w:r>
          </w:p>
        </w:tc>
        <w:tc>
          <w:tcPr>
            <w:tcW w:w="0" w:type="auto"/>
          </w:tcPr>
          <w:p w14:paraId="10F391F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2</w:t>
            </w:r>
          </w:p>
        </w:tc>
        <w:tc>
          <w:tcPr>
            <w:tcW w:w="0" w:type="auto"/>
          </w:tcPr>
          <w:p w14:paraId="6B32D26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3</w:t>
            </w:r>
          </w:p>
        </w:tc>
        <w:tc>
          <w:tcPr>
            <w:tcW w:w="0" w:type="auto"/>
          </w:tcPr>
          <w:p w14:paraId="17BE5299"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4</w:t>
            </w:r>
          </w:p>
        </w:tc>
        <w:tc>
          <w:tcPr>
            <w:tcW w:w="0" w:type="auto"/>
          </w:tcPr>
          <w:p w14:paraId="7B736C41"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5</w:t>
            </w:r>
          </w:p>
        </w:tc>
      </w:tr>
      <w:tr w:rsidR="00CD6352" w:rsidRPr="00EC3D8C" w14:paraId="79249DEE" w14:textId="77777777" w:rsidTr="00CD6352">
        <w:tc>
          <w:tcPr>
            <w:tcW w:w="0" w:type="auto"/>
          </w:tcPr>
          <w:p w14:paraId="09154D0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1</w:t>
            </w:r>
          </w:p>
        </w:tc>
        <w:tc>
          <w:tcPr>
            <w:tcW w:w="0" w:type="auto"/>
          </w:tcPr>
          <w:p w14:paraId="1139CDE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influence</w:t>
            </w:r>
          </w:p>
        </w:tc>
        <w:tc>
          <w:tcPr>
            <w:tcW w:w="0" w:type="auto"/>
          </w:tcPr>
          <w:p w14:paraId="719C08A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Influence to some extent</w:t>
            </w:r>
          </w:p>
        </w:tc>
        <w:tc>
          <w:tcPr>
            <w:tcW w:w="0" w:type="auto"/>
          </w:tcPr>
          <w:p w14:paraId="0A03E4C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 xml:space="preserve">Influence to a moderate extent </w:t>
            </w:r>
          </w:p>
        </w:tc>
        <w:tc>
          <w:tcPr>
            <w:tcW w:w="0" w:type="auto"/>
          </w:tcPr>
          <w:p w14:paraId="526D5DEB"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Influence to a great extent</w:t>
            </w:r>
          </w:p>
        </w:tc>
        <w:tc>
          <w:tcPr>
            <w:tcW w:w="0" w:type="auto"/>
          </w:tcPr>
          <w:p w14:paraId="48B8EB3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Influence to a very great extent</w:t>
            </w:r>
          </w:p>
        </w:tc>
      </w:tr>
      <w:tr w:rsidR="00CD6352" w:rsidRPr="00EC3D8C" w14:paraId="2A27F4E7" w14:textId="77777777" w:rsidTr="00CD6352">
        <w:tc>
          <w:tcPr>
            <w:tcW w:w="0" w:type="auto"/>
          </w:tcPr>
          <w:p w14:paraId="0CCBA47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2</w:t>
            </w:r>
          </w:p>
        </w:tc>
        <w:tc>
          <w:tcPr>
            <w:tcW w:w="0" w:type="auto"/>
          </w:tcPr>
          <w:p w14:paraId="7B70CCA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used at all</w:t>
            </w:r>
          </w:p>
        </w:tc>
        <w:tc>
          <w:tcPr>
            <w:tcW w:w="0" w:type="auto"/>
          </w:tcPr>
          <w:p w14:paraId="3169278C"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used</w:t>
            </w:r>
          </w:p>
        </w:tc>
        <w:tc>
          <w:tcPr>
            <w:tcW w:w="0" w:type="auto"/>
          </w:tcPr>
          <w:p w14:paraId="2A1EF4E9"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used</w:t>
            </w:r>
          </w:p>
        </w:tc>
        <w:tc>
          <w:tcPr>
            <w:tcW w:w="0" w:type="auto"/>
          </w:tcPr>
          <w:p w14:paraId="00A65A54"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Used</w:t>
            </w:r>
          </w:p>
        </w:tc>
        <w:tc>
          <w:tcPr>
            <w:tcW w:w="0" w:type="auto"/>
          </w:tcPr>
          <w:p w14:paraId="08E3E72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used</w:t>
            </w:r>
          </w:p>
        </w:tc>
      </w:tr>
      <w:tr w:rsidR="00CD6352" w:rsidRPr="00EC3D8C" w14:paraId="1417CF66" w14:textId="77777777" w:rsidTr="00CD6352">
        <w:tc>
          <w:tcPr>
            <w:tcW w:w="0" w:type="auto"/>
          </w:tcPr>
          <w:p w14:paraId="59EAFB3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3.1</w:t>
            </w:r>
          </w:p>
        </w:tc>
        <w:tc>
          <w:tcPr>
            <w:tcW w:w="0" w:type="auto"/>
          </w:tcPr>
          <w:p w14:paraId="26B3BB5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challenging at all</w:t>
            </w:r>
          </w:p>
        </w:tc>
        <w:tc>
          <w:tcPr>
            <w:tcW w:w="0" w:type="auto"/>
          </w:tcPr>
          <w:p w14:paraId="5826D8A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challenging</w:t>
            </w:r>
          </w:p>
        </w:tc>
        <w:tc>
          <w:tcPr>
            <w:tcW w:w="0" w:type="auto"/>
          </w:tcPr>
          <w:p w14:paraId="6552C65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challenging</w:t>
            </w:r>
          </w:p>
        </w:tc>
        <w:tc>
          <w:tcPr>
            <w:tcW w:w="0" w:type="auto"/>
          </w:tcPr>
          <w:p w14:paraId="3390474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Challenging</w:t>
            </w:r>
          </w:p>
        </w:tc>
        <w:tc>
          <w:tcPr>
            <w:tcW w:w="0" w:type="auto"/>
          </w:tcPr>
          <w:p w14:paraId="410C68A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Challenging</w:t>
            </w:r>
          </w:p>
        </w:tc>
      </w:tr>
      <w:tr w:rsidR="00CD6352" w:rsidRPr="00EC3D8C" w14:paraId="0CAB9109" w14:textId="77777777" w:rsidTr="00CD6352">
        <w:tc>
          <w:tcPr>
            <w:tcW w:w="0" w:type="auto"/>
          </w:tcPr>
          <w:p w14:paraId="707C31C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3.2</w:t>
            </w:r>
          </w:p>
        </w:tc>
        <w:tc>
          <w:tcPr>
            <w:tcW w:w="0" w:type="auto"/>
          </w:tcPr>
          <w:p w14:paraId="678E823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an opportunity at all</w:t>
            </w:r>
          </w:p>
        </w:tc>
        <w:tc>
          <w:tcPr>
            <w:tcW w:w="0" w:type="auto"/>
          </w:tcPr>
          <w:p w14:paraId="6125AF6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Rarely an opportunity</w:t>
            </w:r>
          </w:p>
        </w:tc>
        <w:tc>
          <w:tcPr>
            <w:tcW w:w="0" w:type="auto"/>
          </w:tcPr>
          <w:p w14:paraId="7DC5CF5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Occasionally an opportunity</w:t>
            </w:r>
          </w:p>
        </w:tc>
        <w:tc>
          <w:tcPr>
            <w:tcW w:w="0" w:type="auto"/>
          </w:tcPr>
          <w:p w14:paraId="28B011C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To a great extent an opportunity</w:t>
            </w:r>
          </w:p>
        </w:tc>
        <w:tc>
          <w:tcPr>
            <w:tcW w:w="0" w:type="auto"/>
          </w:tcPr>
          <w:p w14:paraId="05A7AD2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To a very great extent an opportunity</w:t>
            </w:r>
          </w:p>
        </w:tc>
      </w:tr>
      <w:tr w:rsidR="00CD6352" w:rsidRPr="00EC3D8C" w14:paraId="30F45AAA" w14:textId="77777777" w:rsidTr="00CD6352">
        <w:tc>
          <w:tcPr>
            <w:tcW w:w="0" w:type="auto"/>
          </w:tcPr>
          <w:p w14:paraId="2CE7B92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4</w:t>
            </w:r>
          </w:p>
        </w:tc>
        <w:tc>
          <w:tcPr>
            <w:tcW w:w="0" w:type="auto"/>
          </w:tcPr>
          <w:p w14:paraId="50B6A71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Never requested</w:t>
            </w:r>
          </w:p>
        </w:tc>
        <w:tc>
          <w:tcPr>
            <w:tcW w:w="0" w:type="auto"/>
          </w:tcPr>
          <w:p w14:paraId="0A3517B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Rarely requested</w:t>
            </w:r>
          </w:p>
        </w:tc>
        <w:tc>
          <w:tcPr>
            <w:tcW w:w="0" w:type="auto"/>
          </w:tcPr>
          <w:p w14:paraId="31DB92B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Sometimes requested</w:t>
            </w:r>
          </w:p>
        </w:tc>
        <w:tc>
          <w:tcPr>
            <w:tcW w:w="0" w:type="auto"/>
          </w:tcPr>
          <w:p w14:paraId="4F9811A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Often requested</w:t>
            </w:r>
          </w:p>
        </w:tc>
        <w:tc>
          <w:tcPr>
            <w:tcW w:w="0" w:type="auto"/>
          </w:tcPr>
          <w:p w14:paraId="17EB179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Always requested</w:t>
            </w:r>
          </w:p>
        </w:tc>
      </w:tr>
      <w:tr w:rsidR="00CD6352" w:rsidRPr="00EC3D8C" w14:paraId="546C7F45" w14:textId="77777777" w:rsidTr="00CD6352">
        <w:tc>
          <w:tcPr>
            <w:tcW w:w="0" w:type="auto"/>
          </w:tcPr>
          <w:p w14:paraId="2946F3B1"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5.1</w:t>
            </w:r>
          </w:p>
        </w:tc>
        <w:tc>
          <w:tcPr>
            <w:tcW w:w="0" w:type="auto"/>
          </w:tcPr>
          <w:p w14:paraId="21FF8F2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important at all</w:t>
            </w:r>
          </w:p>
        </w:tc>
        <w:tc>
          <w:tcPr>
            <w:tcW w:w="0" w:type="auto"/>
          </w:tcPr>
          <w:p w14:paraId="64240B2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important</w:t>
            </w:r>
          </w:p>
        </w:tc>
        <w:tc>
          <w:tcPr>
            <w:tcW w:w="0" w:type="auto"/>
          </w:tcPr>
          <w:p w14:paraId="55CBFF2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important</w:t>
            </w:r>
          </w:p>
        </w:tc>
        <w:tc>
          <w:tcPr>
            <w:tcW w:w="0" w:type="auto"/>
          </w:tcPr>
          <w:p w14:paraId="0E075E6C"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Important</w:t>
            </w:r>
          </w:p>
        </w:tc>
        <w:tc>
          <w:tcPr>
            <w:tcW w:w="0" w:type="auto"/>
          </w:tcPr>
          <w:p w14:paraId="4BBE090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important</w:t>
            </w:r>
          </w:p>
        </w:tc>
      </w:tr>
      <w:tr w:rsidR="00CD6352" w:rsidRPr="00EC3D8C" w14:paraId="5AA16613" w14:textId="77777777" w:rsidTr="00CD6352">
        <w:tc>
          <w:tcPr>
            <w:tcW w:w="0" w:type="auto"/>
          </w:tcPr>
          <w:p w14:paraId="615B695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5.2</w:t>
            </w:r>
          </w:p>
        </w:tc>
        <w:tc>
          <w:tcPr>
            <w:tcW w:w="0" w:type="auto"/>
          </w:tcPr>
          <w:p w14:paraId="0AE4D7F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needed</w:t>
            </w:r>
          </w:p>
        </w:tc>
        <w:tc>
          <w:tcPr>
            <w:tcW w:w="0" w:type="auto"/>
          </w:tcPr>
          <w:p w14:paraId="083E02C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needed</w:t>
            </w:r>
          </w:p>
        </w:tc>
        <w:tc>
          <w:tcPr>
            <w:tcW w:w="0" w:type="auto"/>
          </w:tcPr>
          <w:p w14:paraId="4DFCB91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Needed</w:t>
            </w:r>
          </w:p>
        </w:tc>
        <w:tc>
          <w:tcPr>
            <w:tcW w:w="0" w:type="auto"/>
          </w:tcPr>
          <w:p w14:paraId="7356C2A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needed</w:t>
            </w:r>
          </w:p>
        </w:tc>
        <w:tc>
          <w:tcPr>
            <w:tcW w:w="0" w:type="auto"/>
          </w:tcPr>
          <w:p w14:paraId="6275C20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needed</w:t>
            </w:r>
          </w:p>
        </w:tc>
      </w:tr>
      <w:tr w:rsidR="00CD6352" w:rsidRPr="00EC3D8C" w14:paraId="483660D7" w14:textId="77777777" w:rsidTr="00CD6352">
        <w:tc>
          <w:tcPr>
            <w:tcW w:w="0" w:type="auto"/>
          </w:tcPr>
          <w:p w14:paraId="7CD5D771"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5.3</w:t>
            </w:r>
          </w:p>
        </w:tc>
        <w:tc>
          <w:tcPr>
            <w:tcW w:w="0" w:type="auto"/>
          </w:tcPr>
          <w:p w14:paraId="32B7038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needed</w:t>
            </w:r>
          </w:p>
        </w:tc>
        <w:tc>
          <w:tcPr>
            <w:tcW w:w="0" w:type="auto"/>
          </w:tcPr>
          <w:p w14:paraId="320E7D0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needed</w:t>
            </w:r>
          </w:p>
        </w:tc>
        <w:tc>
          <w:tcPr>
            <w:tcW w:w="0" w:type="auto"/>
          </w:tcPr>
          <w:p w14:paraId="70DE3C9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Needed</w:t>
            </w:r>
          </w:p>
        </w:tc>
        <w:tc>
          <w:tcPr>
            <w:tcW w:w="0" w:type="auto"/>
          </w:tcPr>
          <w:p w14:paraId="18C86E84"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needed</w:t>
            </w:r>
          </w:p>
        </w:tc>
        <w:tc>
          <w:tcPr>
            <w:tcW w:w="0" w:type="auto"/>
          </w:tcPr>
          <w:p w14:paraId="5C446DD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needed</w:t>
            </w:r>
          </w:p>
        </w:tc>
      </w:tr>
      <w:tr w:rsidR="00CD6352" w:rsidRPr="00EC3D8C" w14:paraId="412D87F6" w14:textId="77777777" w:rsidTr="00CD6352">
        <w:tc>
          <w:tcPr>
            <w:tcW w:w="0" w:type="auto"/>
          </w:tcPr>
          <w:p w14:paraId="692DF77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6.1</w:t>
            </w:r>
          </w:p>
        </w:tc>
        <w:tc>
          <w:tcPr>
            <w:tcW w:w="0" w:type="auto"/>
          </w:tcPr>
          <w:p w14:paraId="237C590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important at all</w:t>
            </w:r>
          </w:p>
        </w:tc>
        <w:tc>
          <w:tcPr>
            <w:tcW w:w="0" w:type="auto"/>
          </w:tcPr>
          <w:p w14:paraId="746FC9C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 xml:space="preserve">Less important </w:t>
            </w:r>
          </w:p>
        </w:tc>
        <w:tc>
          <w:tcPr>
            <w:tcW w:w="0" w:type="auto"/>
          </w:tcPr>
          <w:p w14:paraId="7F9D3454"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important</w:t>
            </w:r>
          </w:p>
        </w:tc>
        <w:tc>
          <w:tcPr>
            <w:tcW w:w="0" w:type="auto"/>
          </w:tcPr>
          <w:p w14:paraId="4CED74B9"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Important</w:t>
            </w:r>
          </w:p>
        </w:tc>
        <w:tc>
          <w:tcPr>
            <w:tcW w:w="0" w:type="auto"/>
          </w:tcPr>
          <w:p w14:paraId="4CA3C0F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important</w:t>
            </w:r>
          </w:p>
        </w:tc>
      </w:tr>
      <w:tr w:rsidR="00CD6352" w:rsidRPr="00EC3D8C" w14:paraId="6DF7F894" w14:textId="77777777" w:rsidTr="00CD6352">
        <w:tc>
          <w:tcPr>
            <w:tcW w:w="0" w:type="auto"/>
          </w:tcPr>
          <w:p w14:paraId="0AC5BAD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6.2</w:t>
            </w:r>
          </w:p>
        </w:tc>
        <w:tc>
          <w:tcPr>
            <w:tcW w:w="0" w:type="auto"/>
          </w:tcPr>
          <w:p w14:paraId="5E9E8999"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needed</w:t>
            </w:r>
          </w:p>
        </w:tc>
        <w:tc>
          <w:tcPr>
            <w:tcW w:w="0" w:type="auto"/>
          </w:tcPr>
          <w:p w14:paraId="0311A03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needed</w:t>
            </w:r>
          </w:p>
        </w:tc>
        <w:tc>
          <w:tcPr>
            <w:tcW w:w="0" w:type="auto"/>
          </w:tcPr>
          <w:p w14:paraId="563BBAC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Needed</w:t>
            </w:r>
          </w:p>
        </w:tc>
        <w:tc>
          <w:tcPr>
            <w:tcW w:w="0" w:type="auto"/>
          </w:tcPr>
          <w:p w14:paraId="4C78BCC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needed</w:t>
            </w:r>
          </w:p>
        </w:tc>
        <w:tc>
          <w:tcPr>
            <w:tcW w:w="0" w:type="auto"/>
          </w:tcPr>
          <w:p w14:paraId="4EF0263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needed</w:t>
            </w:r>
          </w:p>
        </w:tc>
      </w:tr>
      <w:tr w:rsidR="00CD6352" w:rsidRPr="00EC3D8C" w14:paraId="1512D54E" w14:textId="77777777" w:rsidTr="00CD6352">
        <w:tc>
          <w:tcPr>
            <w:tcW w:w="0" w:type="auto"/>
          </w:tcPr>
          <w:p w14:paraId="5D0840B9"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6.3</w:t>
            </w:r>
          </w:p>
        </w:tc>
        <w:tc>
          <w:tcPr>
            <w:tcW w:w="0" w:type="auto"/>
          </w:tcPr>
          <w:p w14:paraId="20A7D5E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needed</w:t>
            </w:r>
          </w:p>
        </w:tc>
        <w:tc>
          <w:tcPr>
            <w:tcW w:w="0" w:type="auto"/>
          </w:tcPr>
          <w:p w14:paraId="61C5801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needed</w:t>
            </w:r>
          </w:p>
        </w:tc>
        <w:tc>
          <w:tcPr>
            <w:tcW w:w="0" w:type="auto"/>
          </w:tcPr>
          <w:p w14:paraId="70D0D52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Needed</w:t>
            </w:r>
          </w:p>
        </w:tc>
        <w:tc>
          <w:tcPr>
            <w:tcW w:w="0" w:type="auto"/>
          </w:tcPr>
          <w:p w14:paraId="168DA28B"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needed</w:t>
            </w:r>
          </w:p>
        </w:tc>
        <w:tc>
          <w:tcPr>
            <w:tcW w:w="0" w:type="auto"/>
          </w:tcPr>
          <w:p w14:paraId="52A167A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needed</w:t>
            </w:r>
          </w:p>
        </w:tc>
      </w:tr>
      <w:tr w:rsidR="00CD6352" w:rsidRPr="00EC3D8C" w14:paraId="05A502DD" w14:textId="77777777" w:rsidTr="00CD6352">
        <w:tc>
          <w:tcPr>
            <w:tcW w:w="0" w:type="auto"/>
          </w:tcPr>
          <w:p w14:paraId="0E8DBE1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7.1</w:t>
            </w:r>
          </w:p>
        </w:tc>
        <w:tc>
          <w:tcPr>
            <w:tcW w:w="0" w:type="auto"/>
          </w:tcPr>
          <w:p w14:paraId="6EC17CD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important at all</w:t>
            </w:r>
          </w:p>
        </w:tc>
        <w:tc>
          <w:tcPr>
            <w:tcW w:w="0" w:type="auto"/>
          </w:tcPr>
          <w:p w14:paraId="0FE06A0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important</w:t>
            </w:r>
          </w:p>
        </w:tc>
        <w:tc>
          <w:tcPr>
            <w:tcW w:w="0" w:type="auto"/>
          </w:tcPr>
          <w:p w14:paraId="2F50617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important</w:t>
            </w:r>
          </w:p>
        </w:tc>
        <w:tc>
          <w:tcPr>
            <w:tcW w:w="0" w:type="auto"/>
          </w:tcPr>
          <w:p w14:paraId="39B8D52C"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Important</w:t>
            </w:r>
          </w:p>
        </w:tc>
        <w:tc>
          <w:tcPr>
            <w:tcW w:w="0" w:type="auto"/>
          </w:tcPr>
          <w:p w14:paraId="02D6CDE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important</w:t>
            </w:r>
          </w:p>
        </w:tc>
      </w:tr>
      <w:tr w:rsidR="00CD6352" w:rsidRPr="00EC3D8C" w14:paraId="5CB57E5B" w14:textId="77777777" w:rsidTr="00CD6352">
        <w:tc>
          <w:tcPr>
            <w:tcW w:w="0" w:type="auto"/>
          </w:tcPr>
          <w:p w14:paraId="266B8EC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7.2</w:t>
            </w:r>
          </w:p>
        </w:tc>
        <w:tc>
          <w:tcPr>
            <w:tcW w:w="0" w:type="auto"/>
          </w:tcPr>
          <w:p w14:paraId="07509B5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needed</w:t>
            </w:r>
          </w:p>
        </w:tc>
        <w:tc>
          <w:tcPr>
            <w:tcW w:w="0" w:type="auto"/>
          </w:tcPr>
          <w:p w14:paraId="3A63E7E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needed</w:t>
            </w:r>
          </w:p>
        </w:tc>
        <w:tc>
          <w:tcPr>
            <w:tcW w:w="0" w:type="auto"/>
          </w:tcPr>
          <w:p w14:paraId="25C561B4"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Needed</w:t>
            </w:r>
          </w:p>
        </w:tc>
        <w:tc>
          <w:tcPr>
            <w:tcW w:w="0" w:type="auto"/>
          </w:tcPr>
          <w:p w14:paraId="2041F61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needed</w:t>
            </w:r>
          </w:p>
        </w:tc>
        <w:tc>
          <w:tcPr>
            <w:tcW w:w="0" w:type="auto"/>
          </w:tcPr>
          <w:p w14:paraId="1D8A463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needed</w:t>
            </w:r>
          </w:p>
        </w:tc>
      </w:tr>
      <w:tr w:rsidR="00CD6352" w:rsidRPr="00EC3D8C" w14:paraId="47268791" w14:textId="77777777" w:rsidTr="00CD6352">
        <w:tc>
          <w:tcPr>
            <w:tcW w:w="0" w:type="auto"/>
          </w:tcPr>
          <w:p w14:paraId="39BD4DF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Part 7.3</w:t>
            </w:r>
          </w:p>
        </w:tc>
        <w:tc>
          <w:tcPr>
            <w:tcW w:w="0" w:type="auto"/>
          </w:tcPr>
          <w:p w14:paraId="2E65B01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needed</w:t>
            </w:r>
          </w:p>
        </w:tc>
        <w:tc>
          <w:tcPr>
            <w:tcW w:w="0" w:type="auto"/>
          </w:tcPr>
          <w:p w14:paraId="0E211948"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needed</w:t>
            </w:r>
          </w:p>
        </w:tc>
        <w:tc>
          <w:tcPr>
            <w:tcW w:w="0" w:type="auto"/>
          </w:tcPr>
          <w:p w14:paraId="26D3981B"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Needed</w:t>
            </w:r>
          </w:p>
        </w:tc>
        <w:tc>
          <w:tcPr>
            <w:tcW w:w="0" w:type="auto"/>
          </w:tcPr>
          <w:p w14:paraId="1E7EF91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needed</w:t>
            </w:r>
          </w:p>
        </w:tc>
        <w:tc>
          <w:tcPr>
            <w:tcW w:w="0" w:type="auto"/>
          </w:tcPr>
          <w:p w14:paraId="08267A1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needed</w:t>
            </w:r>
          </w:p>
        </w:tc>
      </w:tr>
      <w:tr w:rsidR="00CD6352" w:rsidRPr="00EC3D8C" w14:paraId="296E96BB" w14:textId="77777777" w:rsidTr="00CD6352">
        <w:tc>
          <w:tcPr>
            <w:tcW w:w="0" w:type="auto"/>
          </w:tcPr>
          <w:p w14:paraId="2C2B9CE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8.1</w:t>
            </w:r>
          </w:p>
        </w:tc>
        <w:tc>
          <w:tcPr>
            <w:tcW w:w="0" w:type="auto"/>
          </w:tcPr>
          <w:p w14:paraId="202EC12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used</w:t>
            </w:r>
          </w:p>
        </w:tc>
        <w:tc>
          <w:tcPr>
            <w:tcW w:w="0" w:type="auto"/>
          </w:tcPr>
          <w:p w14:paraId="3CB4C55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used</w:t>
            </w:r>
          </w:p>
        </w:tc>
        <w:tc>
          <w:tcPr>
            <w:tcW w:w="0" w:type="auto"/>
          </w:tcPr>
          <w:p w14:paraId="7E038214"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used</w:t>
            </w:r>
          </w:p>
        </w:tc>
        <w:tc>
          <w:tcPr>
            <w:tcW w:w="0" w:type="auto"/>
          </w:tcPr>
          <w:p w14:paraId="67A2338C"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used</w:t>
            </w:r>
          </w:p>
        </w:tc>
        <w:tc>
          <w:tcPr>
            <w:tcW w:w="0" w:type="auto"/>
          </w:tcPr>
          <w:p w14:paraId="54A06C7B"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Highly used</w:t>
            </w:r>
          </w:p>
        </w:tc>
      </w:tr>
      <w:tr w:rsidR="00CD6352" w:rsidRPr="00EC3D8C" w14:paraId="53C78AB6" w14:textId="77777777" w:rsidTr="00CD6352">
        <w:tc>
          <w:tcPr>
            <w:tcW w:w="0" w:type="auto"/>
          </w:tcPr>
          <w:p w14:paraId="12995AE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lastRenderedPageBreak/>
              <w:t>8.2</w:t>
            </w:r>
          </w:p>
        </w:tc>
        <w:tc>
          <w:tcPr>
            <w:tcW w:w="0" w:type="auto"/>
          </w:tcPr>
          <w:p w14:paraId="20420B85"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 xml:space="preserve">Not important </w:t>
            </w:r>
          </w:p>
        </w:tc>
        <w:tc>
          <w:tcPr>
            <w:tcW w:w="0" w:type="auto"/>
          </w:tcPr>
          <w:p w14:paraId="20C0A37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important</w:t>
            </w:r>
          </w:p>
        </w:tc>
        <w:tc>
          <w:tcPr>
            <w:tcW w:w="0" w:type="auto"/>
          </w:tcPr>
          <w:p w14:paraId="194CD8C4"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important</w:t>
            </w:r>
          </w:p>
        </w:tc>
        <w:tc>
          <w:tcPr>
            <w:tcW w:w="0" w:type="auto"/>
          </w:tcPr>
          <w:p w14:paraId="34248F53"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Important</w:t>
            </w:r>
          </w:p>
        </w:tc>
        <w:tc>
          <w:tcPr>
            <w:tcW w:w="0" w:type="auto"/>
          </w:tcPr>
          <w:p w14:paraId="799B3ED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important</w:t>
            </w:r>
          </w:p>
        </w:tc>
      </w:tr>
      <w:tr w:rsidR="00CD6352" w:rsidRPr="00EC3D8C" w14:paraId="39E3F178" w14:textId="77777777" w:rsidTr="00CD6352">
        <w:tc>
          <w:tcPr>
            <w:tcW w:w="0" w:type="auto"/>
          </w:tcPr>
          <w:p w14:paraId="29214DA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8.3</w:t>
            </w:r>
          </w:p>
        </w:tc>
        <w:tc>
          <w:tcPr>
            <w:tcW w:w="0" w:type="auto"/>
          </w:tcPr>
          <w:p w14:paraId="7DAC917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important at all</w:t>
            </w:r>
          </w:p>
        </w:tc>
        <w:tc>
          <w:tcPr>
            <w:tcW w:w="0" w:type="auto"/>
          </w:tcPr>
          <w:p w14:paraId="6056BE2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Less important</w:t>
            </w:r>
          </w:p>
        </w:tc>
        <w:tc>
          <w:tcPr>
            <w:tcW w:w="0" w:type="auto"/>
          </w:tcPr>
          <w:p w14:paraId="7ACACD1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important</w:t>
            </w:r>
          </w:p>
        </w:tc>
        <w:tc>
          <w:tcPr>
            <w:tcW w:w="0" w:type="auto"/>
          </w:tcPr>
          <w:p w14:paraId="512AD82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Important</w:t>
            </w:r>
          </w:p>
        </w:tc>
        <w:tc>
          <w:tcPr>
            <w:tcW w:w="0" w:type="auto"/>
          </w:tcPr>
          <w:p w14:paraId="73B3201D"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important</w:t>
            </w:r>
          </w:p>
        </w:tc>
      </w:tr>
      <w:tr w:rsidR="00CD6352" w:rsidRPr="00EC3D8C" w14:paraId="2960916B" w14:textId="77777777" w:rsidTr="00CD6352">
        <w:tc>
          <w:tcPr>
            <w:tcW w:w="0" w:type="auto"/>
          </w:tcPr>
          <w:p w14:paraId="78B36906"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9</w:t>
            </w:r>
          </w:p>
        </w:tc>
        <w:tc>
          <w:tcPr>
            <w:tcW w:w="0" w:type="auto"/>
          </w:tcPr>
          <w:p w14:paraId="15D1029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satisfied</w:t>
            </w:r>
          </w:p>
        </w:tc>
        <w:tc>
          <w:tcPr>
            <w:tcW w:w="0" w:type="auto"/>
          </w:tcPr>
          <w:p w14:paraId="0E5E2F8F"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satisfied</w:t>
            </w:r>
          </w:p>
        </w:tc>
        <w:tc>
          <w:tcPr>
            <w:tcW w:w="0" w:type="auto"/>
          </w:tcPr>
          <w:p w14:paraId="4E53315A"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Moderately satisfied</w:t>
            </w:r>
          </w:p>
        </w:tc>
        <w:tc>
          <w:tcPr>
            <w:tcW w:w="0" w:type="auto"/>
          </w:tcPr>
          <w:p w14:paraId="6899309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satisfied</w:t>
            </w:r>
          </w:p>
        </w:tc>
        <w:tc>
          <w:tcPr>
            <w:tcW w:w="0" w:type="auto"/>
          </w:tcPr>
          <w:p w14:paraId="57E939F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Extremely satisfied</w:t>
            </w:r>
          </w:p>
        </w:tc>
      </w:tr>
      <w:tr w:rsidR="00CD6352" w:rsidRPr="00EC3D8C" w14:paraId="42A6D8A9" w14:textId="77777777" w:rsidTr="00CD6352">
        <w:tc>
          <w:tcPr>
            <w:tcW w:w="0" w:type="auto"/>
          </w:tcPr>
          <w:p w14:paraId="78B7788E"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10</w:t>
            </w:r>
          </w:p>
        </w:tc>
        <w:tc>
          <w:tcPr>
            <w:tcW w:w="0" w:type="auto"/>
          </w:tcPr>
          <w:p w14:paraId="3198D2C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Not critical</w:t>
            </w:r>
          </w:p>
        </w:tc>
        <w:tc>
          <w:tcPr>
            <w:tcW w:w="0" w:type="auto"/>
          </w:tcPr>
          <w:p w14:paraId="4ED9F0A2"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Fairly critical</w:t>
            </w:r>
          </w:p>
        </w:tc>
        <w:tc>
          <w:tcPr>
            <w:tcW w:w="0" w:type="auto"/>
          </w:tcPr>
          <w:p w14:paraId="19F14B60"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Critical</w:t>
            </w:r>
          </w:p>
        </w:tc>
        <w:tc>
          <w:tcPr>
            <w:tcW w:w="0" w:type="auto"/>
          </w:tcPr>
          <w:p w14:paraId="58E55127"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Very critical</w:t>
            </w:r>
          </w:p>
        </w:tc>
        <w:tc>
          <w:tcPr>
            <w:tcW w:w="0" w:type="auto"/>
          </w:tcPr>
          <w:p w14:paraId="7067369B" w14:textId="77777777" w:rsidR="00CD6352" w:rsidRPr="00EC3D8C" w:rsidRDefault="00CD6352" w:rsidP="00CD6352">
            <w:pPr>
              <w:jc w:val="both"/>
              <w:rPr>
                <w:rFonts w:ascii="Arial" w:eastAsia="Calibri" w:hAnsi="Arial" w:cs="Arial"/>
                <w:sz w:val="16"/>
                <w:szCs w:val="16"/>
                <w:lang w:val="en-US"/>
              </w:rPr>
            </w:pPr>
            <w:r w:rsidRPr="00EC3D8C">
              <w:rPr>
                <w:rFonts w:ascii="Arial" w:eastAsia="Calibri" w:hAnsi="Arial" w:cs="Arial"/>
                <w:sz w:val="16"/>
                <w:szCs w:val="16"/>
                <w:lang w:val="en-US"/>
              </w:rPr>
              <w:t>Extremely critical</w:t>
            </w:r>
          </w:p>
        </w:tc>
      </w:tr>
    </w:tbl>
    <w:p w14:paraId="15D2AB15" w14:textId="7B42CFD4" w:rsidR="00CD6352" w:rsidRPr="00EA7665" w:rsidRDefault="00CD6352" w:rsidP="00CD6352">
      <w:pPr>
        <w:spacing w:after="0" w:line="360" w:lineRule="auto"/>
        <w:jc w:val="both"/>
        <w:rPr>
          <w:rFonts w:ascii="Arial" w:eastAsia="Calibri" w:hAnsi="Arial" w:cs="Arial"/>
          <w:sz w:val="16"/>
          <w:szCs w:val="16"/>
          <w:lang w:val="en-US"/>
        </w:rPr>
      </w:pPr>
      <w:r w:rsidRPr="00EA7665">
        <w:rPr>
          <w:rFonts w:ascii="Arial" w:eastAsia="Calibri" w:hAnsi="Arial" w:cs="Arial"/>
          <w:sz w:val="16"/>
          <w:szCs w:val="16"/>
        </w:rPr>
        <w:t xml:space="preserve">Sources: The Author’s compilation based on a review of </w:t>
      </w:r>
      <w:r w:rsidR="00EC3D8C">
        <w:rPr>
          <w:rFonts w:ascii="Arial" w:eastAsia="Calibri" w:hAnsi="Arial" w:cs="Arial"/>
          <w:sz w:val="16"/>
          <w:szCs w:val="16"/>
        </w:rPr>
        <w:t xml:space="preserve">the </w:t>
      </w:r>
      <w:r w:rsidRPr="00EA7665">
        <w:rPr>
          <w:rFonts w:ascii="Arial" w:eastAsia="Calibri" w:hAnsi="Arial" w:cs="Arial"/>
          <w:sz w:val="16"/>
          <w:szCs w:val="16"/>
        </w:rPr>
        <w:t>literature</w:t>
      </w:r>
    </w:p>
    <w:p w14:paraId="4DF9F661" w14:textId="77777777" w:rsidR="00CD6352" w:rsidRPr="00EA7665" w:rsidRDefault="00CD6352" w:rsidP="00CD6352">
      <w:pPr>
        <w:spacing w:after="0" w:line="360" w:lineRule="auto"/>
        <w:jc w:val="both"/>
        <w:rPr>
          <w:rFonts w:ascii="Arial" w:eastAsia="Calibri" w:hAnsi="Arial" w:cs="Arial"/>
          <w:lang w:val="en-US"/>
        </w:rPr>
      </w:pPr>
    </w:p>
    <w:p w14:paraId="096DD875" w14:textId="0A162BC1"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The questionnaire used both open-ended and closed-ended questions. The respondents were asked to indicate their responses by ticking the appropriate option in the closed-ended questions. The respondents were asked to indicate their roles</w:t>
      </w:r>
      <w:r>
        <w:rPr>
          <w:rFonts w:ascii="Arial" w:eastAsia="Calibri" w:hAnsi="Arial" w:cs="Arial"/>
          <w:lang w:val="en-US"/>
        </w:rPr>
        <w:t>,</w:t>
      </w:r>
      <w:r w:rsidRPr="00EA7665">
        <w:rPr>
          <w:rFonts w:ascii="Arial" w:eastAsia="Calibri" w:hAnsi="Arial" w:cs="Arial"/>
          <w:lang w:val="en-US"/>
        </w:rPr>
        <w:t xml:space="preserve"> career path and the process for securing finance for project development for the open-ended questions. The questionnaire (appendix 1) consists of all ten (10) parts. </w:t>
      </w:r>
    </w:p>
    <w:p w14:paraId="5615C596" w14:textId="50E1F45F"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Part one - contains the general information about the respondent</w:t>
      </w:r>
      <w:r w:rsidR="00294319">
        <w:rPr>
          <w:rFonts w:ascii="Arial" w:eastAsia="Calibri" w:hAnsi="Arial" w:cs="Arial"/>
          <w:lang w:val="en-US"/>
        </w:rPr>
        <w:t>,</w:t>
      </w:r>
      <w:r w:rsidRPr="00EA7665">
        <w:rPr>
          <w:rFonts w:ascii="Arial" w:eastAsia="Calibri" w:hAnsi="Arial" w:cs="Arial"/>
          <w:lang w:val="en-US"/>
        </w:rPr>
        <w:t xml:space="preserve"> including countries they operate from and the degree of operation</w:t>
      </w:r>
      <w:r>
        <w:rPr>
          <w:rFonts w:ascii="Arial" w:eastAsia="Calibri" w:hAnsi="Arial" w:cs="Arial"/>
          <w:lang w:val="en-US"/>
        </w:rPr>
        <w:t>,</w:t>
      </w:r>
      <w:r w:rsidRPr="00EA7665">
        <w:rPr>
          <w:rFonts w:ascii="Arial" w:eastAsia="Calibri" w:hAnsi="Arial" w:cs="Arial"/>
          <w:lang w:val="en-US"/>
        </w:rPr>
        <w:t xml:space="preserve"> the type of real estate projects they develop</w:t>
      </w:r>
      <w:r w:rsidR="00294319">
        <w:rPr>
          <w:rFonts w:ascii="Arial" w:eastAsia="Calibri" w:hAnsi="Arial" w:cs="Arial"/>
          <w:lang w:val="en-US"/>
        </w:rPr>
        <w:t>,</w:t>
      </w:r>
      <w:r w:rsidRPr="00EA7665">
        <w:rPr>
          <w:rFonts w:ascii="Arial" w:eastAsia="Calibri" w:hAnsi="Arial" w:cs="Arial"/>
          <w:lang w:val="en-US"/>
        </w:rPr>
        <w:t xml:space="preserve"> degree of development</w:t>
      </w:r>
      <w:r>
        <w:rPr>
          <w:rFonts w:ascii="Arial" w:eastAsia="Calibri" w:hAnsi="Arial" w:cs="Arial"/>
          <w:lang w:val="en-US"/>
        </w:rPr>
        <w:t>,</w:t>
      </w:r>
      <w:r w:rsidRPr="00EA7665">
        <w:rPr>
          <w:rFonts w:ascii="Arial" w:eastAsia="Calibri" w:hAnsi="Arial" w:cs="Arial"/>
          <w:lang w:val="en-US"/>
        </w:rPr>
        <w:t xml:space="preserve"> their job titles</w:t>
      </w:r>
      <w:r>
        <w:rPr>
          <w:rFonts w:ascii="Arial" w:eastAsia="Calibri" w:hAnsi="Arial" w:cs="Arial"/>
          <w:lang w:val="en-US"/>
        </w:rPr>
        <w:t>,</w:t>
      </w:r>
      <w:r w:rsidRPr="00EA7665">
        <w:rPr>
          <w:rFonts w:ascii="Arial" w:eastAsia="Calibri" w:hAnsi="Arial" w:cs="Arial"/>
          <w:lang w:val="en-US"/>
        </w:rPr>
        <w:t xml:space="preserve"> current job roles</w:t>
      </w:r>
      <w:r>
        <w:rPr>
          <w:rFonts w:ascii="Arial" w:eastAsia="Calibri" w:hAnsi="Arial" w:cs="Arial"/>
          <w:lang w:val="en-US"/>
        </w:rPr>
        <w:t>,</w:t>
      </w:r>
      <w:r w:rsidRPr="00EA7665">
        <w:rPr>
          <w:rFonts w:ascii="Arial" w:eastAsia="Calibri" w:hAnsi="Arial" w:cs="Arial"/>
          <w:lang w:val="en-US"/>
        </w:rPr>
        <w:t xml:space="preserve"> level of education</w:t>
      </w:r>
      <w:r>
        <w:rPr>
          <w:rFonts w:ascii="Arial" w:eastAsia="Calibri" w:hAnsi="Arial" w:cs="Arial"/>
          <w:lang w:val="en-US"/>
        </w:rPr>
        <w:t>,</w:t>
      </w:r>
      <w:r w:rsidRPr="00EA7665">
        <w:rPr>
          <w:rFonts w:ascii="Arial" w:eastAsia="Calibri" w:hAnsi="Arial" w:cs="Arial"/>
          <w:lang w:val="en-US"/>
        </w:rPr>
        <w:t xml:space="preserve"> numbe</w:t>
      </w:r>
      <w:r>
        <w:rPr>
          <w:rFonts w:ascii="Arial" w:eastAsia="Calibri" w:hAnsi="Arial" w:cs="Arial"/>
          <w:lang w:val="en-US"/>
        </w:rPr>
        <w:t>r</w:t>
      </w:r>
      <w:r w:rsidRPr="00EA7665">
        <w:rPr>
          <w:rFonts w:ascii="Arial" w:eastAsia="Calibri" w:hAnsi="Arial" w:cs="Arial"/>
          <w:lang w:val="en-US"/>
        </w:rPr>
        <w:t xml:space="preserve"> of years spent in the real estate sector</w:t>
      </w:r>
      <w:r>
        <w:rPr>
          <w:rFonts w:ascii="Arial" w:eastAsia="Calibri" w:hAnsi="Arial" w:cs="Arial"/>
          <w:lang w:val="en-US"/>
        </w:rPr>
        <w:t>,</w:t>
      </w:r>
      <w:r w:rsidRPr="00EA7665">
        <w:rPr>
          <w:rFonts w:ascii="Arial" w:eastAsia="Calibri" w:hAnsi="Arial" w:cs="Arial"/>
          <w:lang w:val="en-US"/>
        </w:rPr>
        <w:t xml:space="preserve"> their career path and the factors that influenc</w:t>
      </w:r>
      <w:r>
        <w:rPr>
          <w:rFonts w:ascii="Arial" w:eastAsia="Calibri" w:hAnsi="Arial" w:cs="Arial"/>
          <w:lang w:val="en-US"/>
        </w:rPr>
        <w:t>e</w:t>
      </w:r>
      <w:r w:rsidRPr="00EA7665">
        <w:rPr>
          <w:rFonts w:ascii="Arial" w:eastAsia="Calibri" w:hAnsi="Arial" w:cs="Arial"/>
          <w:lang w:val="en-US"/>
        </w:rPr>
        <w:t xml:space="preserve"> their ability to secure finance.</w:t>
      </w:r>
    </w:p>
    <w:p w14:paraId="1C49F777" w14:textId="7E03EAAA"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Part 2- covered different finance options for real estate project development. The questions have a list of finance options, and the respondents were requested to tick the appropriate box to indicate the extent to which the</w:t>
      </w:r>
      <w:r w:rsidR="00C976B2">
        <w:rPr>
          <w:rFonts w:ascii="Arial" w:eastAsia="Calibri" w:hAnsi="Arial" w:cs="Arial"/>
          <w:lang w:val="en-US"/>
        </w:rPr>
        <w:t>y use the finance options</w:t>
      </w:r>
      <w:r w:rsidRPr="00EA7665">
        <w:rPr>
          <w:rFonts w:ascii="Arial" w:eastAsia="Calibri" w:hAnsi="Arial" w:cs="Arial"/>
          <w:lang w:val="en-US"/>
        </w:rPr>
        <w:t xml:space="preserve"> to finance project development.</w:t>
      </w:r>
    </w:p>
    <w:p w14:paraId="5CA76041" w14:textId="774E71B1"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Part 3- This section has two segments, the first ha</w:t>
      </w:r>
      <w:r w:rsidR="00154356">
        <w:rPr>
          <w:rFonts w:ascii="Arial" w:eastAsia="Calibri" w:hAnsi="Arial" w:cs="Arial"/>
          <w:lang w:val="en-US"/>
        </w:rPr>
        <w:t>ve</w:t>
      </w:r>
      <w:r w:rsidRPr="00EA7665">
        <w:rPr>
          <w:rFonts w:ascii="Arial" w:eastAsia="Calibri" w:hAnsi="Arial" w:cs="Arial"/>
          <w:lang w:val="en-US"/>
        </w:rPr>
        <w:t xml:space="preserve"> questions on challenges affecting </w:t>
      </w:r>
      <w:r>
        <w:rPr>
          <w:rFonts w:ascii="Arial" w:eastAsia="Calibri" w:hAnsi="Arial" w:cs="Arial"/>
          <w:lang w:val="en-US"/>
        </w:rPr>
        <w:t xml:space="preserve">them </w:t>
      </w:r>
      <w:r w:rsidRPr="00EA7665">
        <w:rPr>
          <w:rFonts w:ascii="Arial" w:eastAsia="Calibri" w:hAnsi="Arial" w:cs="Arial"/>
          <w:lang w:val="en-US"/>
        </w:rPr>
        <w:t xml:space="preserve">and the second has opportunities available to managers in real estate finance. A list of challenges faced and opportunities available respectively in securing funding for project development finance was provided based on secondary data, and the respondents were required to tick the appropriate box. </w:t>
      </w:r>
    </w:p>
    <w:p w14:paraId="1C247728" w14:textId="120B9512"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Part 4 – Questions explored the criteria that financing institutions use in lending for real estate project development. Respondents were requested to tick the degree </w:t>
      </w:r>
      <w:r w:rsidR="00154356">
        <w:rPr>
          <w:rFonts w:ascii="Arial" w:eastAsia="Calibri" w:hAnsi="Arial" w:cs="Arial"/>
          <w:lang w:val="en-US"/>
        </w:rPr>
        <w:t>to</w:t>
      </w:r>
      <w:r w:rsidRPr="00EA7665">
        <w:rPr>
          <w:rFonts w:ascii="Arial" w:eastAsia="Calibri" w:hAnsi="Arial" w:cs="Arial"/>
          <w:lang w:val="en-US"/>
        </w:rPr>
        <w:t xml:space="preserve"> which financiers required the different criteria. </w:t>
      </w:r>
    </w:p>
    <w:p w14:paraId="3DFBEF55" w14:textId="176C8FE9"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Part 5- The respondents were required to express the degree </w:t>
      </w:r>
      <w:r>
        <w:rPr>
          <w:rFonts w:ascii="Arial" w:eastAsia="Calibri" w:hAnsi="Arial" w:cs="Arial"/>
          <w:lang w:val="en-US"/>
        </w:rPr>
        <w:t>of importance,</w:t>
      </w:r>
      <w:r w:rsidRPr="00EA7665">
        <w:rPr>
          <w:rFonts w:ascii="Arial" w:eastAsia="Calibri" w:hAnsi="Arial" w:cs="Arial"/>
          <w:lang w:val="en-US"/>
        </w:rPr>
        <w:t xml:space="preserve"> their need for training and education for the present,  </w:t>
      </w:r>
      <w:r>
        <w:rPr>
          <w:rFonts w:ascii="Arial" w:eastAsia="Calibri" w:hAnsi="Arial" w:cs="Arial"/>
          <w:lang w:val="en-US"/>
        </w:rPr>
        <w:t>and</w:t>
      </w:r>
      <w:r w:rsidRPr="00EA7665">
        <w:rPr>
          <w:rFonts w:ascii="Arial" w:eastAsia="Calibri" w:hAnsi="Arial" w:cs="Arial"/>
          <w:lang w:val="en-US"/>
        </w:rPr>
        <w:t xml:space="preserve"> the need for training and development for the future for skills for securing finance for real estate project development. A list of 23 skills was provided based on a </w:t>
      </w:r>
      <w:r w:rsidR="00C976B2">
        <w:rPr>
          <w:rFonts w:ascii="Arial" w:eastAsia="Calibri" w:hAnsi="Arial" w:cs="Arial"/>
          <w:lang w:val="en-US"/>
        </w:rPr>
        <w:t>literature review,</w:t>
      </w:r>
      <w:r w:rsidRPr="00EA7665">
        <w:rPr>
          <w:rFonts w:ascii="Arial" w:eastAsia="Calibri" w:hAnsi="Arial" w:cs="Arial"/>
          <w:lang w:val="en-US"/>
        </w:rPr>
        <w:t xml:space="preserve"> and the respondents were required to tick the appropriate boxes.</w:t>
      </w:r>
    </w:p>
    <w:p w14:paraId="05195365" w14:textId="7D159080"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Part 6- The respondents were required to express the degree of importance</w:t>
      </w:r>
      <w:r w:rsidR="00C976B2">
        <w:rPr>
          <w:rFonts w:ascii="Arial" w:eastAsia="Calibri" w:hAnsi="Arial" w:cs="Arial"/>
          <w:lang w:val="en-US"/>
        </w:rPr>
        <w:t>,</w:t>
      </w:r>
      <w:r w:rsidR="00C976B2" w:rsidRPr="00EA7665">
        <w:rPr>
          <w:rFonts w:ascii="Arial" w:eastAsia="Calibri" w:hAnsi="Arial" w:cs="Arial"/>
          <w:lang w:val="en-US"/>
        </w:rPr>
        <w:t xml:space="preserve"> </w:t>
      </w:r>
      <w:r w:rsidRPr="00EA7665">
        <w:rPr>
          <w:rFonts w:ascii="Arial" w:eastAsia="Calibri" w:hAnsi="Arial" w:cs="Arial"/>
          <w:lang w:val="en-US"/>
        </w:rPr>
        <w:t xml:space="preserve">their need for training and education for the present </w:t>
      </w:r>
      <w:r>
        <w:rPr>
          <w:rFonts w:ascii="Arial" w:eastAsia="Calibri" w:hAnsi="Arial" w:cs="Arial"/>
          <w:lang w:val="en-US"/>
        </w:rPr>
        <w:t>and</w:t>
      </w:r>
      <w:r w:rsidRPr="00EA7665">
        <w:rPr>
          <w:rFonts w:ascii="Arial" w:eastAsia="Calibri" w:hAnsi="Arial" w:cs="Arial"/>
          <w:lang w:val="en-US"/>
        </w:rPr>
        <w:t xml:space="preserve"> the need for training and development for the future for knowledge for securing finance for real estate project development. A list of 17 </w:t>
      </w:r>
      <w:r>
        <w:rPr>
          <w:rFonts w:ascii="Arial" w:eastAsia="Calibri" w:hAnsi="Arial" w:cs="Arial"/>
          <w:lang w:val="en-US"/>
        </w:rPr>
        <w:t>knowledge</w:t>
      </w:r>
      <w:r w:rsidR="002B5ABD">
        <w:rPr>
          <w:rFonts w:ascii="Arial" w:eastAsia="Calibri" w:hAnsi="Arial" w:cs="Arial"/>
          <w:lang w:val="en-US"/>
        </w:rPr>
        <w:t xml:space="preserve"> </w:t>
      </w:r>
      <w:r w:rsidR="002B5ABD">
        <w:rPr>
          <w:rFonts w:ascii="Arial" w:eastAsia="Calibri" w:hAnsi="Arial" w:cs="Arial"/>
          <w:lang w:val="en-US"/>
        </w:rPr>
        <w:lastRenderedPageBreak/>
        <w:t>sets w</w:t>
      </w:r>
      <w:r w:rsidR="00C976B2">
        <w:rPr>
          <w:rFonts w:ascii="Arial" w:eastAsia="Calibri" w:hAnsi="Arial" w:cs="Arial"/>
          <w:lang w:val="en-US"/>
        </w:rPr>
        <w:t>as provided based on a literature review,</w:t>
      </w:r>
      <w:r w:rsidRPr="00EA7665">
        <w:rPr>
          <w:rFonts w:ascii="Arial" w:eastAsia="Calibri" w:hAnsi="Arial" w:cs="Arial"/>
          <w:lang w:val="en-US"/>
        </w:rPr>
        <w:t xml:space="preserve"> and the respondents were required to tick the appropriate boxes.</w:t>
      </w:r>
    </w:p>
    <w:p w14:paraId="37A0F00E" w14:textId="4FCD7B69"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Part 7 - The respondents were required to express the degree of importance</w:t>
      </w:r>
      <w:r>
        <w:rPr>
          <w:rFonts w:ascii="Arial" w:eastAsia="Calibri" w:hAnsi="Arial" w:cs="Arial"/>
          <w:lang w:val="en-US"/>
        </w:rPr>
        <w:t>,</w:t>
      </w:r>
      <w:r w:rsidRPr="00EA7665">
        <w:rPr>
          <w:rFonts w:ascii="Arial" w:eastAsia="Calibri" w:hAnsi="Arial" w:cs="Arial"/>
          <w:lang w:val="en-US"/>
        </w:rPr>
        <w:t xml:space="preserve"> the need for training and education for the present </w:t>
      </w:r>
      <w:r>
        <w:rPr>
          <w:rFonts w:ascii="Arial" w:eastAsia="Calibri" w:hAnsi="Arial" w:cs="Arial"/>
          <w:lang w:val="en-US"/>
        </w:rPr>
        <w:t>and</w:t>
      </w:r>
      <w:r w:rsidRPr="00EA7665">
        <w:rPr>
          <w:rFonts w:ascii="Arial" w:eastAsia="Calibri" w:hAnsi="Arial" w:cs="Arial"/>
          <w:lang w:val="en-US"/>
        </w:rPr>
        <w:t xml:space="preserve"> the need for training and development for the future for competences for securing finance for real estate project development. A list of 20 competenc</w:t>
      </w:r>
      <w:r w:rsidR="00C976B2">
        <w:rPr>
          <w:rFonts w:ascii="Arial" w:eastAsia="Calibri" w:hAnsi="Arial" w:cs="Arial"/>
          <w:lang w:val="en-US"/>
        </w:rPr>
        <w:t>es was provided based on a literature review,</w:t>
      </w:r>
      <w:r w:rsidRPr="00EA7665">
        <w:rPr>
          <w:rFonts w:ascii="Arial" w:eastAsia="Calibri" w:hAnsi="Arial" w:cs="Arial"/>
          <w:lang w:val="en-US"/>
        </w:rPr>
        <w:t xml:space="preserve"> and the respondents were required to tick the appropriate boxes.</w:t>
      </w:r>
    </w:p>
    <w:p w14:paraId="342622ED" w14:textId="306B94E4"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Part 8 – This segment is about training and education, and it is divided into three sections. The respondents were requested to express, the perceived importance </w:t>
      </w:r>
      <w:r w:rsidR="001E17F5">
        <w:rPr>
          <w:rFonts w:ascii="Arial" w:eastAsia="Calibri" w:hAnsi="Arial" w:cs="Arial"/>
          <w:lang w:val="en-US"/>
        </w:rPr>
        <w:t>of</w:t>
      </w:r>
      <w:r w:rsidRPr="00EA7665">
        <w:rPr>
          <w:rFonts w:ascii="Arial" w:eastAsia="Calibri" w:hAnsi="Arial" w:cs="Arial"/>
          <w:lang w:val="en-US"/>
        </w:rPr>
        <w:t xml:space="preserve"> training and education for now and the future</w:t>
      </w:r>
      <w:r>
        <w:rPr>
          <w:rFonts w:ascii="Arial" w:eastAsia="Calibri" w:hAnsi="Arial" w:cs="Arial"/>
          <w:lang w:val="en-US"/>
        </w:rPr>
        <w:t xml:space="preserve"> and the degree to which they use it</w:t>
      </w:r>
      <w:r w:rsidRPr="00EA7665">
        <w:rPr>
          <w:rFonts w:ascii="Arial" w:eastAsia="Calibri" w:hAnsi="Arial" w:cs="Arial"/>
          <w:lang w:val="en-US"/>
        </w:rPr>
        <w:t>. They were required to tick the appropriate boxes. Secondly, respondents were asked to indicate the time frame in which they attended management courses by ticking the relevant boxes. Thirdly, they were requested to indicate the degree of satisfaction in the amount and quality of education by ticking the appropriate boxes.</w:t>
      </w:r>
    </w:p>
    <w:p w14:paraId="3616AFC5" w14:textId="132D3207"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Part 9- Provided a list of critical success factors for securing finance for real estate project development</w:t>
      </w:r>
      <w:r w:rsidR="00C976B2">
        <w:rPr>
          <w:rFonts w:ascii="Arial" w:eastAsia="Calibri" w:hAnsi="Arial" w:cs="Arial"/>
          <w:lang w:val="en-US"/>
        </w:rPr>
        <w:t>,</w:t>
      </w:r>
      <w:r w:rsidRPr="00EA7665">
        <w:rPr>
          <w:rFonts w:ascii="Arial" w:eastAsia="Calibri" w:hAnsi="Arial" w:cs="Arial"/>
          <w:lang w:val="en-US"/>
        </w:rPr>
        <w:t xml:space="preserve"> and participants were requested to indicate how critical</w:t>
      </w:r>
      <w:r>
        <w:rPr>
          <w:rFonts w:ascii="Arial" w:eastAsia="Calibri" w:hAnsi="Arial" w:cs="Arial"/>
          <w:lang w:val="en-US"/>
        </w:rPr>
        <w:t xml:space="preserve"> it was</w:t>
      </w:r>
      <w:r w:rsidRPr="00EA7665">
        <w:rPr>
          <w:rFonts w:ascii="Arial" w:eastAsia="Calibri" w:hAnsi="Arial" w:cs="Arial"/>
          <w:lang w:val="en-US"/>
        </w:rPr>
        <w:t xml:space="preserve"> by ticking the relevant boxes. </w:t>
      </w:r>
    </w:p>
    <w:p w14:paraId="1F61F1F5" w14:textId="190449B5"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Part 10 – Investigates the processes and key decisions for securing finance for real estate project development. Respondents were required to </w:t>
      </w:r>
      <w:r w:rsidR="00C976B2">
        <w:rPr>
          <w:rFonts w:ascii="Arial" w:eastAsia="Calibri" w:hAnsi="Arial" w:cs="Arial"/>
          <w:lang w:val="en-US"/>
        </w:rPr>
        <w:t>chronologically list the key process and decisions in securing finance for real estate project development</w:t>
      </w:r>
      <w:r w:rsidRPr="00EA7665">
        <w:rPr>
          <w:rFonts w:ascii="Arial" w:eastAsia="Calibri" w:hAnsi="Arial" w:cs="Arial"/>
          <w:lang w:val="en-US"/>
        </w:rPr>
        <w:t>.</w:t>
      </w:r>
    </w:p>
    <w:p w14:paraId="0B8C123C" w14:textId="77777777" w:rsidR="00CD6352" w:rsidRPr="00EA7665" w:rsidRDefault="00CD6352" w:rsidP="00CD6352">
      <w:pPr>
        <w:pStyle w:val="Heading5"/>
        <w:spacing w:after="240"/>
        <w:rPr>
          <w:rFonts w:ascii="Arial" w:eastAsia="Calibri" w:hAnsi="Arial" w:cs="Arial"/>
          <w:b/>
          <w:color w:val="auto"/>
          <w:lang w:val="en-US"/>
        </w:rPr>
      </w:pPr>
      <w:r w:rsidRPr="00EA7665">
        <w:rPr>
          <w:rFonts w:ascii="Arial" w:eastAsia="Calibri" w:hAnsi="Arial" w:cs="Arial"/>
          <w:b/>
          <w:color w:val="auto"/>
          <w:lang w:val="en-US"/>
        </w:rPr>
        <w:t>Questionnaire measurement</w:t>
      </w:r>
    </w:p>
    <w:p w14:paraId="17A42D30" w14:textId="4E8BF98E"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Questionnaire measurement is the process in which the researcher assigns numbers or symbols to empirical variables in line with the rules</w:t>
      </w:r>
      <w:r w:rsidR="00C976B2">
        <w:rPr>
          <w:rFonts w:ascii="Arial" w:eastAsia="Calibri" w:hAnsi="Arial" w:cs="Arial"/>
          <w:lang w:val="en-US"/>
        </w:rPr>
        <w:t>.</w:t>
      </w:r>
      <w:r w:rsidRPr="00EA7665">
        <w:rPr>
          <w:rFonts w:ascii="Arial" w:eastAsia="Calibri" w:hAnsi="Arial" w:cs="Arial"/>
          <w:lang w:val="en-US"/>
        </w:rPr>
        <w:t xml:space="preserve"> There are four major </w:t>
      </w:r>
      <w:r w:rsidR="00C976B2">
        <w:rPr>
          <w:rFonts w:ascii="Arial" w:eastAsia="Calibri" w:hAnsi="Arial" w:cs="Arial"/>
          <w:lang w:val="en-US"/>
        </w:rPr>
        <w:t>measurement levels: nominal, ordinal, interval,</w:t>
      </w:r>
      <w:r w:rsidRPr="00EA7665">
        <w:rPr>
          <w:rFonts w:ascii="Arial" w:eastAsia="Calibri" w:hAnsi="Arial" w:cs="Arial"/>
          <w:lang w:val="en-US"/>
        </w:rPr>
        <w:t xml:space="preserve"> and ratio (Saunders et al., 2009). The collected data should fall within one or more of these levels. The level of measurement informs the statistical measures that can be used. </w:t>
      </w:r>
    </w:p>
    <w:p w14:paraId="1066566B" w14:textId="23A704AE"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The questionnaire is mostly based on variables based on the Likert scale, which is ordinal. Some variables are independent and others dependent. There are also a few nominal variables.  The suggested procedure often used in assessing the relationship between two variables is correlation and regression. Regression analysis requires both dependent and independent variables. However, this research </w:t>
      </w:r>
      <w:r w:rsidR="00C976B2">
        <w:rPr>
          <w:rFonts w:ascii="Arial" w:eastAsia="Calibri" w:hAnsi="Arial" w:cs="Arial"/>
          <w:lang w:val="en-US"/>
        </w:rPr>
        <w:t>used</w:t>
      </w:r>
      <w:r>
        <w:rPr>
          <w:rFonts w:ascii="Arial" w:eastAsia="Calibri" w:hAnsi="Arial" w:cs="Arial"/>
          <w:lang w:val="en-US"/>
        </w:rPr>
        <w:t xml:space="preserve"> minimal</w:t>
      </w:r>
      <w:r w:rsidRPr="00EA7665">
        <w:rPr>
          <w:rFonts w:ascii="Arial" w:eastAsia="Calibri" w:hAnsi="Arial" w:cs="Arial"/>
          <w:lang w:val="en-US"/>
        </w:rPr>
        <w:t xml:space="preserve"> regression analysis as descriptive statistics </w:t>
      </w:r>
      <w:r>
        <w:rPr>
          <w:rFonts w:ascii="Arial" w:eastAsia="Calibri" w:hAnsi="Arial" w:cs="Arial"/>
          <w:lang w:val="en-US"/>
        </w:rPr>
        <w:t>were</w:t>
      </w:r>
      <w:r w:rsidRPr="00EA7665">
        <w:rPr>
          <w:rFonts w:ascii="Arial" w:eastAsia="Calibri" w:hAnsi="Arial" w:cs="Arial"/>
          <w:lang w:val="en-US"/>
        </w:rPr>
        <w:t xml:space="preserve"> sufficient to answer the research question and respond to the objectives.</w:t>
      </w:r>
      <w:r w:rsidR="001E17F5">
        <w:rPr>
          <w:rFonts w:ascii="Arial" w:eastAsia="Calibri" w:hAnsi="Arial" w:cs="Arial"/>
          <w:lang w:val="en-US"/>
        </w:rPr>
        <w:t xml:space="preserve"> Consequently, spearman’s </w:t>
      </w:r>
      <w:r w:rsidR="00934027">
        <w:rPr>
          <w:rFonts w:ascii="Arial" w:eastAsia="Calibri" w:hAnsi="Arial" w:cs="Arial"/>
          <w:lang w:val="en-US"/>
        </w:rPr>
        <w:t>rank correlation was used.</w:t>
      </w:r>
    </w:p>
    <w:p w14:paraId="410E0164" w14:textId="139545CB" w:rsidR="00CD6352" w:rsidRPr="00EA7665" w:rsidRDefault="00CD6352" w:rsidP="00CD6352">
      <w:pPr>
        <w:pStyle w:val="Heading5"/>
        <w:spacing w:after="240"/>
        <w:rPr>
          <w:rFonts w:ascii="Arial" w:eastAsia="Calibri" w:hAnsi="Arial" w:cs="Arial"/>
          <w:b/>
          <w:color w:val="auto"/>
          <w:lang w:val="en-US"/>
        </w:rPr>
      </w:pPr>
      <w:r w:rsidRPr="00EA7665">
        <w:rPr>
          <w:rFonts w:ascii="Arial" w:eastAsia="Calibri" w:hAnsi="Arial" w:cs="Arial"/>
          <w:b/>
          <w:color w:val="auto"/>
          <w:lang w:val="en-US"/>
        </w:rPr>
        <w:lastRenderedPageBreak/>
        <w:t>Pre-testing questionnaire</w:t>
      </w:r>
      <w:r w:rsidR="00FC7B4A">
        <w:rPr>
          <w:rFonts w:ascii="Arial" w:eastAsia="Calibri" w:hAnsi="Arial" w:cs="Arial"/>
          <w:b/>
          <w:color w:val="auto"/>
          <w:lang w:val="en-US"/>
        </w:rPr>
        <w:t xml:space="preserve"> &amp; semi structured interview questions</w:t>
      </w:r>
    </w:p>
    <w:p w14:paraId="7A3E508B" w14:textId="4267542C" w:rsidR="004B5A21" w:rsidRPr="004B5A21" w:rsidRDefault="004B5A21" w:rsidP="004B5A21">
      <w:pPr>
        <w:spacing w:line="360" w:lineRule="auto"/>
        <w:jc w:val="both"/>
        <w:rPr>
          <w:rFonts w:ascii="Arial" w:eastAsia="Calibri" w:hAnsi="Arial" w:cs="Arial"/>
          <w:lang w:val="en-US"/>
        </w:rPr>
      </w:pPr>
      <w:r w:rsidRPr="004B5A21">
        <w:rPr>
          <w:rFonts w:ascii="Arial" w:eastAsia="Calibri" w:hAnsi="Arial" w:cs="Arial"/>
        </w:rPr>
        <w:t xml:space="preserve">A pre-test of both the questionnaire and interview questions was done in two phases before the pilot testing. </w:t>
      </w:r>
      <w:r w:rsidR="00E12A19">
        <w:rPr>
          <w:rFonts w:ascii="Arial" w:eastAsia="Calibri" w:hAnsi="Arial" w:cs="Arial"/>
          <w:lang w:val="en-US"/>
        </w:rPr>
        <w:t xml:space="preserve">While </w:t>
      </w:r>
      <w:r w:rsidR="00E12A19" w:rsidRPr="004B5A21">
        <w:rPr>
          <w:rFonts w:ascii="Arial" w:eastAsia="Calibri" w:hAnsi="Arial" w:cs="Arial"/>
          <w:lang w:val="en-US"/>
        </w:rPr>
        <w:t>the</w:t>
      </w:r>
      <w:r w:rsidRPr="004B5A21">
        <w:rPr>
          <w:rFonts w:ascii="Arial" w:eastAsia="Calibri" w:hAnsi="Arial" w:cs="Arial"/>
          <w:lang w:val="en-US"/>
        </w:rPr>
        <w:t xml:space="preserve"> pilot test was conducted to help refine the data collection plan. The </w:t>
      </w:r>
      <w:r>
        <w:rPr>
          <w:rFonts w:ascii="Arial" w:eastAsia="Calibri" w:hAnsi="Arial" w:cs="Arial"/>
          <w:lang w:val="en-US"/>
        </w:rPr>
        <w:t xml:space="preserve">first </w:t>
      </w:r>
      <w:r w:rsidRPr="004B5A21">
        <w:rPr>
          <w:rFonts w:ascii="Arial" w:eastAsia="Calibri" w:hAnsi="Arial" w:cs="Arial"/>
          <w:lang w:val="en-US"/>
        </w:rPr>
        <w:t xml:space="preserve">pre-test was carried out with fellow PhD colleagues and lecturers within the department. According to Robson (2006) and Dilman (1978) as quoted in Yin (2013), a pre-test of the questionnaire should be carried out including a small population sample, mainly to ensure the instructions, questions and scale are clear and devoid of ambiguity. A sample size of 11 was deemed to be sufficient for pre-testing the questionnaire to gain a good and valid critique of the questionnaire and the identified target population. </w:t>
      </w:r>
    </w:p>
    <w:p w14:paraId="145F91CA" w14:textId="535BEDFD" w:rsidR="004B5A21" w:rsidRPr="004B5A21" w:rsidRDefault="004B5A21" w:rsidP="004B5A21">
      <w:pPr>
        <w:spacing w:line="360" w:lineRule="auto"/>
        <w:jc w:val="both"/>
        <w:rPr>
          <w:rFonts w:ascii="Arial" w:eastAsia="Calibri" w:hAnsi="Arial" w:cs="Arial"/>
        </w:rPr>
      </w:pPr>
      <w:r w:rsidRPr="004B5A21">
        <w:rPr>
          <w:rFonts w:ascii="Arial" w:eastAsia="Calibri" w:hAnsi="Arial" w:cs="Arial"/>
        </w:rPr>
        <w:t>The results showed that the questionnaire was too long. However, the semi</w:t>
      </w:r>
      <w:r w:rsidR="004A7C44">
        <w:rPr>
          <w:rFonts w:ascii="Arial" w:eastAsia="Calibri" w:hAnsi="Arial" w:cs="Arial"/>
        </w:rPr>
        <w:t>-</w:t>
      </w:r>
      <w:r w:rsidRPr="004B5A21">
        <w:rPr>
          <w:rFonts w:ascii="Arial" w:eastAsia="Calibri" w:hAnsi="Arial" w:cs="Arial"/>
        </w:rPr>
        <w:t xml:space="preserve">structured interview questions had positive feedback with a need for slight amendments. </w:t>
      </w:r>
    </w:p>
    <w:p w14:paraId="3168C122" w14:textId="69C5775C" w:rsidR="004B5A21" w:rsidRPr="004B5A21" w:rsidRDefault="004B5A21" w:rsidP="004B5A21">
      <w:pPr>
        <w:spacing w:line="360" w:lineRule="auto"/>
        <w:jc w:val="both"/>
        <w:rPr>
          <w:rFonts w:ascii="Arial" w:eastAsia="Calibri" w:hAnsi="Arial" w:cs="Arial"/>
        </w:rPr>
      </w:pPr>
      <w:r w:rsidRPr="004B5A21">
        <w:rPr>
          <w:rFonts w:ascii="Arial" w:eastAsia="Calibri" w:hAnsi="Arial" w:cs="Arial"/>
        </w:rPr>
        <w:t xml:space="preserve">A second pre-test was done with </w:t>
      </w:r>
      <w:r w:rsidR="00C976B2">
        <w:rPr>
          <w:rFonts w:ascii="Arial" w:eastAsia="Calibri" w:hAnsi="Arial" w:cs="Arial"/>
        </w:rPr>
        <w:t>academics and industry practitioners</w:t>
      </w:r>
      <w:r w:rsidRPr="004B5A21">
        <w:rPr>
          <w:rFonts w:ascii="Arial" w:eastAsia="Calibri" w:hAnsi="Arial" w:cs="Arial"/>
        </w:rPr>
        <w:t xml:space="preserve"> the researcher consulted and the ARCOM 2018 conference at Belfast. The response time and questions</w:t>
      </w:r>
      <w:r>
        <w:rPr>
          <w:rFonts w:ascii="Arial" w:eastAsia="Calibri" w:hAnsi="Arial" w:cs="Arial"/>
        </w:rPr>
        <w:t xml:space="preserve"> </w:t>
      </w:r>
      <w:r w:rsidRPr="004B5A21">
        <w:rPr>
          <w:rFonts w:ascii="Arial" w:eastAsia="Calibri" w:hAnsi="Arial" w:cs="Arial"/>
        </w:rPr>
        <w:t xml:space="preserve">were considered okay by the interview respondents. The respondents for the questionnaire, however, complained it was still too long. After deliberations with the supervisory team, it was agreed that both instruments should be left as they were after the second pilot as this would enhance the robustness </w:t>
      </w:r>
      <w:r w:rsidR="00566C4A">
        <w:rPr>
          <w:rFonts w:ascii="Arial" w:eastAsia="Calibri" w:hAnsi="Arial" w:cs="Arial"/>
        </w:rPr>
        <w:t>of the data</w:t>
      </w:r>
      <w:r w:rsidRPr="004B5A21">
        <w:rPr>
          <w:rFonts w:ascii="Arial" w:eastAsia="Calibri" w:hAnsi="Arial" w:cs="Arial"/>
        </w:rPr>
        <w:t>.</w:t>
      </w:r>
    </w:p>
    <w:p w14:paraId="0275F4EA" w14:textId="77777777" w:rsidR="004B5A21" w:rsidRPr="00EA7665" w:rsidRDefault="004B5A21" w:rsidP="00CD6352">
      <w:pPr>
        <w:spacing w:line="360" w:lineRule="auto"/>
        <w:jc w:val="both"/>
        <w:rPr>
          <w:rFonts w:ascii="Arial" w:eastAsia="Calibri" w:hAnsi="Arial" w:cs="Arial"/>
          <w:lang w:val="en-US"/>
        </w:rPr>
      </w:pPr>
    </w:p>
    <w:p w14:paraId="40691A66" w14:textId="77777777" w:rsidR="00CD6352" w:rsidRPr="00EA7665" w:rsidRDefault="00CD6352" w:rsidP="00CD6352">
      <w:pPr>
        <w:pStyle w:val="Heading5"/>
        <w:spacing w:after="240"/>
        <w:rPr>
          <w:rFonts w:ascii="Arial" w:eastAsia="Calibri" w:hAnsi="Arial" w:cs="Arial"/>
          <w:b/>
          <w:color w:val="auto"/>
          <w:lang w:val="en-US"/>
        </w:rPr>
      </w:pPr>
      <w:r w:rsidRPr="00EA7665">
        <w:rPr>
          <w:rFonts w:ascii="Arial" w:eastAsia="Calibri" w:hAnsi="Arial" w:cs="Arial"/>
          <w:b/>
          <w:color w:val="auto"/>
          <w:lang w:val="en-US"/>
        </w:rPr>
        <w:t xml:space="preserve">Questionnaire administration  </w:t>
      </w:r>
    </w:p>
    <w:p w14:paraId="1B26950C" w14:textId="5FFA1617" w:rsidR="00CD6352" w:rsidRPr="00EA7665" w:rsidRDefault="00CD6352" w:rsidP="00CD6352">
      <w:pPr>
        <w:spacing w:line="360" w:lineRule="auto"/>
        <w:jc w:val="both"/>
        <w:rPr>
          <w:rFonts w:ascii="Arial" w:hAnsi="Arial" w:cs="Arial"/>
          <w:lang w:val="en-US"/>
        </w:rPr>
      </w:pPr>
      <w:r w:rsidRPr="00EA7665">
        <w:rPr>
          <w:rFonts w:ascii="Arial" w:hAnsi="Arial" w:cs="Arial"/>
          <w:lang w:val="en-US"/>
        </w:rPr>
        <w:t>The questionnaire administration occurred between the 1</w:t>
      </w:r>
      <w:r w:rsidRPr="00EA7665">
        <w:rPr>
          <w:rFonts w:ascii="Arial" w:hAnsi="Arial" w:cs="Arial"/>
          <w:vertAlign w:val="superscript"/>
          <w:lang w:val="en-US"/>
        </w:rPr>
        <w:t>st</w:t>
      </w:r>
      <w:r w:rsidRPr="00EA7665">
        <w:rPr>
          <w:rFonts w:ascii="Arial" w:hAnsi="Arial" w:cs="Arial"/>
          <w:lang w:val="en-US"/>
        </w:rPr>
        <w:t xml:space="preserve"> of March 2019 and the 30</w:t>
      </w:r>
      <w:r w:rsidRPr="00EA7665">
        <w:rPr>
          <w:rFonts w:ascii="Arial" w:hAnsi="Arial" w:cs="Arial"/>
          <w:vertAlign w:val="superscript"/>
          <w:lang w:val="en-US"/>
        </w:rPr>
        <w:t>th</w:t>
      </w:r>
      <w:r w:rsidRPr="00EA7665">
        <w:rPr>
          <w:rFonts w:ascii="Arial" w:hAnsi="Arial" w:cs="Arial"/>
          <w:lang w:val="en-US"/>
        </w:rPr>
        <w:t xml:space="preserve"> of August 2019. The researcher contacted respondents in advance to explain the </w:t>
      </w:r>
      <w:r w:rsidR="00C976B2">
        <w:rPr>
          <w:rFonts w:ascii="Arial" w:hAnsi="Arial" w:cs="Arial"/>
          <w:lang w:val="en-US"/>
        </w:rPr>
        <w:t>study's aim and seek their support through LinkedIn, emails, telephone calls, WeChat, WhatsApp,</w:t>
      </w:r>
      <w:r w:rsidRPr="00EA7665">
        <w:rPr>
          <w:rFonts w:ascii="Arial" w:hAnsi="Arial" w:cs="Arial"/>
          <w:lang w:val="en-US"/>
        </w:rPr>
        <w:t xml:space="preserve"> and text messages to get their </w:t>
      </w:r>
      <w:r>
        <w:rPr>
          <w:rFonts w:ascii="Arial" w:hAnsi="Arial" w:cs="Arial"/>
          <w:lang w:val="en-US"/>
        </w:rPr>
        <w:t>cooperation</w:t>
      </w:r>
      <w:r w:rsidRPr="00EA7665">
        <w:rPr>
          <w:rFonts w:ascii="Arial" w:hAnsi="Arial" w:cs="Arial"/>
          <w:lang w:val="en-US"/>
        </w:rPr>
        <w:t xml:space="preserve">. The contact information was acquired from an earlier target population repository that the researcher obtained for the different countries. They were assured of the confidentiality and anonymity of the process. </w:t>
      </w:r>
    </w:p>
    <w:p w14:paraId="3230A69B" w14:textId="77777777" w:rsidR="00CD6352" w:rsidRPr="00B32505" w:rsidRDefault="00CD6352" w:rsidP="00CD6352">
      <w:pPr>
        <w:pStyle w:val="Heading5"/>
        <w:spacing w:after="240"/>
        <w:rPr>
          <w:rStyle w:val="SubtleEmphasis"/>
          <w:rFonts w:ascii="Arial" w:hAnsi="Arial" w:cs="Arial"/>
          <w:b/>
          <w:bCs/>
          <w:i w:val="0"/>
          <w:iCs w:val="0"/>
          <w:color w:val="auto"/>
        </w:rPr>
      </w:pPr>
      <w:r w:rsidRPr="00B32505">
        <w:rPr>
          <w:rStyle w:val="SubtleEmphasis"/>
          <w:rFonts w:ascii="Arial" w:hAnsi="Arial" w:cs="Arial"/>
          <w:b/>
          <w:bCs/>
          <w:i w:val="0"/>
          <w:iCs w:val="0"/>
          <w:color w:val="auto"/>
        </w:rPr>
        <w:t xml:space="preserve">Non-response </w:t>
      </w:r>
    </w:p>
    <w:p w14:paraId="0F745976" w14:textId="77777777" w:rsidR="00CD6352" w:rsidRPr="00EA7665" w:rsidRDefault="00CD6352" w:rsidP="00CD6352">
      <w:pPr>
        <w:spacing w:line="360" w:lineRule="auto"/>
        <w:jc w:val="both"/>
        <w:rPr>
          <w:rFonts w:ascii="Arial" w:hAnsi="Arial" w:cs="Arial"/>
        </w:rPr>
      </w:pPr>
      <w:r w:rsidRPr="00EA7665">
        <w:rPr>
          <w:rFonts w:ascii="Arial" w:hAnsi="Arial" w:cs="Arial"/>
        </w:rPr>
        <w:t>Several strategies were used to enhance the response rate for the online questionnaire survey</w:t>
      </w:r>
      <w:r>
        <w:rPr>
          <w:rFonts w:ascii="Arial" w:hAnsi="Arial" w:cs="Arial"/>
        </w:rPr>
        <w:t>.</w:t>
      </w:r>
      <w:r w:rsidRPr="00EA7665">
        <w:rPr>
          <w:rFonts w:ascii="Arial" w:hAnsi="Arial" w:cs="Arial"/>
        </w:rPr>
        <w:t xml:space="preserve"> </w:t>
      </w:r>
      <w:r>
        <w:rPr>
          <w:rFonts w:ascii="Arial" w:hAnsi="Arial" w:cs="Arial"/>
        </w:rPr>
        <w:t>Attempts</w:t>
      </w:r>
      <w:r w:rsidRPr="00EA7665">
        <w:rPr>
          <w:rFonts w:ascii="Arial" w:hAnsi="Arial" w:cs="Arial"/>
        </w:rPr>
        <w:t xml:space="preserve"> to increase the response rate include</w:t>
      </w:r>
      <w:r>
        <w:rPr>
          <w:rFonts w:ascii="Arial" w:hAnsi="Arial" w:cs="Arial"/>
        </w:rPr>
        <w:t>d</w:t>
      </w:r>
      <w:r w:rsidRPr="00EA7665">
        <w:rPr>
          <w:rFonts w:ascii="Arial" w:hAnsi="Arial" w:cs="Arial"/>
        </w:rPr>
        <w:t xml:space="preserve"> the following:</w:t>
      </w:r>
    </w:p>
    <w:p w14:paraId="7D98AC7A" w14:textId="77777777" w:rsidR="00CD6352" w:rsidRPr="00EA7665" w:rsidRDefault="00CD6352" w:rsidP="00C74AEC">
      <w:pPr>
        <w:pStyle w:val="ListParagraph"/>
        <w:numPr>
          <w:ilvl w:val="0"/>
          <w:numId w:val="43"/>
        </w:numPr>
        <w:spacing w:line="360" w:lineRule="auto"/>
        <w:jc w:val="both"/>
        <w:rPr>
          <w:rFonts w:ascii="Arial" w:hAnsi="Arial" w:cs="Arial"/>
        </w:rPr>
      </w:pPr>
      <w:r w:rsidRPr="00EA7665">
        <w:rPr>
          <w:rFonts w:ascii="Arial" w:hAnsi="Arial" w:cs="Arial"/>
        </w:rPr>
        <w:t>Pre-contacts: Individuals were pre-contacted during the telephone interviews as well as through platforms such as LinkedIn, email, WhatsApp /WeChat, and text messages.</w:t>
      </w:r>
    </w:p>
    <w:p w14:paraId="651DAF64" w14:textId="77777777" w:rsidR="00CD6352" w:rsidRPr="00EA7665" w:rsidRDefault="00CD6352" w:rsidP="00C74AEC">
      <w:pPr>
        <w:pStyle w:val="ListParagraph"/>
        <w:numPr>
          <w:ilvl w:val="0"/>
          <w:numId w:val="43"/>
        </w:numPr>
        <w:spacing w:line="360" w:lineRule="auto"/>
        <w:jc w:val="both"/>
        <w:rPr>
          <w:rFonts w:ascii="Arial" w:hAnsi="Arial" w:cs="Arial"/>
        </w:rPr>
      </w:pPr>
      <w:r w:rsidRPr="00EA7665">
        <w:rPr>
          <w:rFonts w:ascii="Arial" w:hAnsi="Arial" w:cs="Arial"/>
        </w:rPr>
        <w:t xml:space="preserve">Sponsor: The online BOS questionnaire survey that was sent had the London South Bank logo and this inspired reliability and accorded some measure of respect. </w:t>
      </w:r>
    </w:p>
    <w:p w14:paraId="3EDE7EE6" w14:textId="77777777" w:rsidR="00CD6352" w:rsidRPr="00EA7665" w:rsidRDefault="00CD6352" w:rsidP="00C74AEC">
      <w:pPr>
        <w:pStyle w:val="ListParagraph"/>
        <w:numPr>
          <w:ilvl w:val="0"/>
          <w:numId w:val="43"/>
        </w:numPr>
        <w:spacing w:line="360" w:lineRule="auto"/>
        <w:jc w:val="both"/>
        <w:rPr>
          <w:rFonts w:ascii="Arial" w:hAnsi="Arial" w:cs="Arial"/>
        </w:rPr>
      </w:pPr>
      <w:r w:rsidRPr="00EA7665">
        <w:rPr>
          <w:rFonts w:ascii="Arial" w:hAnsi="Arial" w:cs="Arial"/>
        </w:rPr>
        <w:lastRenderedPageBreak/>
        <w:t>Reminders: Reminder messages were sent along with follow-up telephone messages to enhance the response rate.</w:t>
      </w:r>
    </w:p>
    <w:p w14:paraId="78B702C9" w14:textId="5D85F23C" w:rsidR="00CD6352" w:rsidRPr="00154356" w:rsidRDefault="00CD6352" w:rsidP="00CD6352">
      <w:pPr>
        <w:pStyle w:val="Caption"/>
        <w:keepNext/>
        <w:rPr>
          <w:rFonts w:ascii="Arial" w:hAnsi="Arial" w:cs="Arial"/>
          <w:i w:val="0"/>
          <w:iCs w:val="0"/>
          <w:sz w:val="16"/>
          <w:szCs w:val="16"/>
        </w:rPr>
      </w:pPr>
      <w:bookmarkStart w:id="1035" w:name="_Toc78983961"/>
      <w:r w:rsidRPr="00154356">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4.6</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3</w:t>
      </w:r>
      <w:r w:rsidR="008F25B1">
        <w:rPr>
          <w:rFonts w:ascii="Arial" w:hAnsi="Arial" w:cs="Arial"/>
          <w:i w:val="0"/>
          <w:iCs w:val="0"/>
          <w:sz w:val="16"/>
          <w:szCs w:val="16"/>
        </w:rPr>
        <w:fldChar w:fldCharType="end"/>
      </w:r>
      <w:r w:rsidRPr="00154356">
        <w:rPr>
          <w:rFonts w:ascii="Arial" w:hAnsi="Arial" w:cs="Arial"/>
          <w:i w:val="0"/>
          <w:iCs w:val="0"/>
          <w:sz w:val="16"/>
          <w:szCs w:val="16"/>
        </w:rPr>
        <w:t>:</w:t>
      </w:r>
      <w:r w:rsidRPr="00154356">
        <w:rPr>
          <w:rFonts w:ascii="Arial" w:hAnsi="Arial" w:cs="Arial"/>
          <w:i w:val="0"/>
          <w:iCs w:val="0"/>
          <w:color w:val="auto"/>
          <w:sz w:val="16"/>
          <w:szCs w:val="16"/>
        </w:rPr>
        <w:t xml:space="preserve"> </w:t>
      </w:r>
      <w:r w:rsidRPr="00154356">
        <w:rPr>
          <w:rFonts w:ascii="Arial" w:hAnsi="Arial" w:cs="Arial"/>
          <w:i w:val="0"/>
          <w:iCs w:val="0"/>
          <w:sz w:val="16"/>
          <w:szCs w:val="16"/>
        </w:rPr>
        <w:t xml:space="preserve">Actions </w:t>
      </w:r>
      <w:r w:rsidR="00154356" w:rsidRPr="00154356">
        <w:rPr>
          <w:rFonts w:ascii="Arial" w:hAnsi="Arial" w:cs="Arial"/>
          <w:i w:val="0"/>
          <w:iCs w:val="0"/>
          <w:sz w:val="16"/>
          <w:szCs w:val="16"/>
        </w:rPr>
        <w:t xml:space="preserve">were </w:t>
      </w:r>
      <w:r w:rsidRPr="00154356">
        <w:rPr>
          <w:rFonts w:ascii="Arial" w:hAnsi="Arial" w:cs="Arial"/>
          <w:i w:val="0"/>
          <w:iCs w:val="0"/>
          <w:sz w:val="16"/>
          <w:szCs w:val="16"/>
        </w:rPr>
        <w:t xml:space="preserve">taken to improve </w:t>
      </w:r>
      <w:r w:rsidR="00154356" w:rsidRPr="00154356">
        <w:rPr>
          <w:rFonts w:ascii="Arial" w:hAnsi="Arial" w:cs="Arial"/>
          <w:i w:val="0"/>
          <w:iCs w:val="0"/>
          <w:sz w:val="16"/>
          <w:szCs w:val="16"/>
        </w:rPr>
        <w:t xml:space="preserve">the </w:t>
      </w:r>
      <w:r w:rsidRPr="00154356">
        <w:rPr>
          <w:rFonts w:ascii="Arial" w:hAnsi="Arial" w:cs="Arial"/>
          <w:i w:val="0"/>
          <w:iCs w:val="0"/>
          <w:sz w:val="16"/>
          <w:szCs w:val="16"/>
        </w:rPr>
        <w:t>response rate</w:t>
      </w:r>
      <w:bookmarkEnd w:id="1035"/>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621"/>
        <w:gridCol w:w="2618"/>
        <w:gridCol w:w="1212"/>
        <w:gridCol w:w="1017"/>
        <w:gridCol w:w="359"/>
      </w:tblGrid>
      <w:tr w:rsidR="00CD6352" w:rsidRPr="00154356" w14:paraId="2B85CE01" w14:textId="77777777" w:rsidTr="00CD6352">
        <w:tc>
          <w:tcPr>
            <w:tcW w:w="0" w:type="auto"/>
          </w:tcPr>
          <w:p w14:paraId="1FF2D2EE"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 xml:space="preserve">Distribution </w:t>
            </w:r>
          </w:p>
        </w:tc>
        <w:tc>
          <w:tcPr>
            <w:tcW w:w="0" w:type="auto"/>
          </w:tcPr>
          <w:p w14:paraId="4192BC51"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Date</w:t>
            </w:r>
          </w:p>
        </w:tc>
        <w:tc>
          <w:tcPr>
            <w:tcW w:w="0" w:type="auto"/>
          </w:tcPr>
          <w:p w14:paraId="354F50AF"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Numbers sent</w:t>
            </w:r>
          </w:p>
        </w:tc>
        <w:tc>
          <w:tcPr>
            <w:tcW w:w="0" w:type="auto"/>
          </w:tcPr>
          <w:p w14:paraId="3ED71A92"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Responses</w:t>
            </w:r>
          </w:p>
        </w:tc>
        <w:tc>
          <w:tcPr>
            <w:tcW w:w="0" w:type="auto"/>
          </w:tcPr>
          <w:p w14:paraId="5D233A70"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w:t>
            </w:r>
          </w:p>
        </w:tc>
      </w:tr>
      <w:tr w:rsidR="00CD6352" w:rsidRPr="00154356" w14:paraId="65FACA0E" w14:textId="77777777" w:rsidTr="00CD6352">
        <w:tc>
          <w:tcPr>
            <w:tcW w:w="0" w:type="auto"/>
          </w:tcPr>
          <w:p w14:paraId="473CC4BE"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Pilot</w:t>
            </w:r>
          </w:p>
        </w:tc>
        <w:tc>
          <w:tcPr>
            <w:tcW w:w="0" w:type="auto"/>
          </w:tcPr>
          <w:p w14:paraId="015498B3"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December 2018 to February 2019</w:t>
            </w:r>
          </w:p>
        </w:tc>
        <w:tc>
          <w:tcPr>
            <w:tcW w:w="0" w:type="auto"/>
          </w:tcPr>
          <w:p w14:paraId="2572BF2E"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13</w:t>
            </w:r>
          </w:p>
        </w:tc>
        <w:tc>
          <w:tcPr>
            <w:tcW w:w="0" w:type="auto"/>
          </w:tcPr>
          <w:p w14:paraId="3E1D0B5F"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13</w:t>
            </w:r>
          </w:p>
        </w:tc>
        <w:tc>
          <w:tcPr>
            <w:tcW w:w="0" w:type="auto"/>
          </w:tcPr>
          <w:p w14:paraId="7B4A21AC" w14:textId="77777777" w:rsidR="00CD6352" w:rsidRPr="00154356" w:rsidRDefault="00CD6352" w:rsidP="00CD6352">
            <w:pPr>
              <w:jc w:val="both"/>
              <w:rPr>
                <w:rFonts w:ascii="Arial" w:hAnsi="Arial" w:cs="Arial"/>
                <w:sz w:val="16"/>
                <w:szCs w:val="16"/>
              </w:rPr>
            </w:pPr>
          </w:p>
        </w:tc>
      </w:tr>
      <w:tr w:rsidR="00CD6352" w:rsidRPr="00154356" w14:paraId="28A2F190" w14:textId="77777777" w:rsidTr="00CD6352">
        <w:tc>
          <w:tcPr>
            <w:tcW w:w="0" w:type="auto"/>
          </w:tcPr>
          <w:p w14:paraId="61265D9D"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 xml:space="preserve">First stage </w:t>
            </w:r>
          </w:p>
        </w:tc>
        <w:tc>
          <w:tcPr>
            <w:tcW w:w="0" w:type="auto"/>
          </w:tcPr>
          <w:p w14:paraId="17E24AC5"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March 2019</w:t>
            </w:r>
          </w:p>
        </w:tc>
        <w:tc>
          <w:tcPr>
            <w:tcW w:w="0" w:type="auto"/>
          </w:tcPr>
          <w:p w14:paraId="5F5B2F45"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200</w:t>
            </w:r>
          </w:p>
        </w:tc>
        <w:tc>
          <w:tcPr>
            <w:tcW w:w="0" w:type="auto"/>
          </w:tcPr>
          <w:p w14:paraId="483163C0"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w:t>
            </w:r>
          </w:p>
        </w:tc>
        <w:tc>
          <w:tcPr>
            <w:tcW w:w="0" w:type="auto"/>
          </w:tcPr>
          <w:p w14:paraId="29CC95FE" w14:textId="77777777" w:rsidR="00CD6352" w:rsidRPr="00154356" w:rsidRDefault="00CD6352" w:rsidP="00CD6352">
            <w:pPr>
              <w:jc w:val="both"/>
              <w:rPr>
                <w:rFonts w:ascii="Arial" w:hAnsi="Arial" w:cs="Arial"/>
                <w:sz w:val="16"/>
                <w:szCs w:val="16"/>
              </w:rPr>
            </w:pPr>
          </w:p>
        </w:tc>
      </w:tr>
      <w:tr w:rsidR="00CD6352" w:rsidRPr="00154356" w14:paraId="0C33B969" w14:textId="77777777" w:rsidTr="00CD6352">
        <w:tc>
          <w:tcPr>
            <w:tcW w:w="0" w:type="auto"/>
          </w:tcPr>
          <w:p w14:paraId="0E19F54F"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Second Stage</w:t>
            </w:r>
          </w:p>
        </w:tc>
        <w:tc>
          <w:tcPr>
            <w:tcW w:w="0" w:type="auto"/>
          </w:tcPr>
          <w:p w14:paraId="14E4A2EE"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April to  July 2019</w:t>
            </w:r>
          </w:p>
        </w:tc>
        <w:tc>
          <w:tcPr>
            <w:tcW w:w="0" w:type="auto"/>
          </w:tcPr>
          <w:p w14:paraId="224B4606"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300</w:t>
            </w:r>
          </w:p>
        </w:tc>
        <w:tc>
          <w:tcPr>
            <w:tcW w:w="0" w:type="auto"/>
          </w:tcPr>
          <w:p w14:paraId="3CCA2B8C"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20</w:t>
            </w:r>
          </w:p>
        </w:tc>
        <w:tc>
          <w:tcPr>
            <w:tcW w:w="0" w:type="auto"/>
          </w:tcPr>
          <w:p w14:paraId="32F56BC2" w14:textId="77777777" w:rsidR="00CD6352" w:rsidRPr="00154356" w:rsidRDefault="00CD6352" w:rsidP="00CD6352">
            <w:pPr>
              <w:jc w:val="both"/>
              <w:rPr>
                <w:rFonts w:ascii="Arial" w:hAnsi="Arial" w:cs="Arial"/>
                <w:sz w:val="16"/>
                <w:szCs w:val="16"/>
              </w:rPr>
            </w:pPr>
          </w:p>
        </w:tc>
      </w:tr>
      <w:tr w:rsidR="00CD6352" w:rsidRPr="00154356" w14:paraId="250FB822" w14:textId="77777777" w:rsidTr="00CD6352">
        <w:tc>
          <w:tcPr>
            <w:tcW w:w="0" w:type="auto"/>
          </w:tcPr>
          <w:p w14:paraId="375CB302"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Reminder ( 4 times)</w:t>
            </w:r>
          </w:p>
        </w:tc>
        <w:tc>
          <w:tcPr>
            <w:tcW w:w="0" w:type="auto"/>
          </w:tcPr>
          <w:p w14:paraId="7A4C209A"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Between March and July 2019</w:t>
            </w:r>
          </w:p>
        </w:tc>
        <w:tc>
          <w:tcPr>
            <w:tcW w:w="0" w:type="auto"/>
          </w:tcPr>
          <w:p w14:paraId="558B9BB8"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 xml:space="preserve"> --</w:t>
            </w:r>
          </w:p>
        </w:tc>
        <w:tc>
          <w:tcPr>
            <w:tcW w:w="0" w:type="auto"/>
          </w:tcPr>
          <w:p w14:paraId="67E1D1B6"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20</w:t>
            </w:r>
          </w:p>
        </w:tc>
        <w:tc>
          <w:tcPr>
            <w:tcW w:w="0" w:type="auto"/>
          </w:tcPr>
          <w:p w14:paraId="5D371439" w14:textId="77777777" w:rsidR="00CD6352" w:rsidRPr="00154356" w:rsidRDefault="00CD6352" w:rsidP="00CD6352">
            <w:pPr>
              <w:jc w:val="both"/>
              <w:rPr>
                <w:rFonts w:ascii="Arial" w:hAnsi="Arial" w:cs="Arial"/>
                <w:sz w:val="16"/>
                <w:szCs w:val="16"/>
              </w:rPr>
            </w:pPr>
          </w:p>
        </w:tc>
      </w:tr>
      <w:tr w:rsidR="00CD6352" w:rsidRPr="00154356" w14:paraId="24E73DEB" w14:textId="77777777" w:rsidTr="00CD6352">
        <w:tc>
          <w:tcPr>
            <w:tcW w:w="0" w:type="auto"/>
          </w:tcPr>
          <w:p w14:paraId="6717B9A1"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Third stage</w:t>
            </w:r>
          </w:p>
        </w:tc>
        <w:tc>
          <w:tcPr>
            <w:tcW w:w="0" w:type="auto"/>
          </w:tcPr>
          <w:p w14:paraId="1439480E"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July to August 2019</w:t>
            </w:r>
          </w:p>
        </w:tc>
        <w:tc>
          <w:tcPr>
            <w:tcW w:w="0" w:type="auto"/>
          </w:tcPr>
          <w:p w14:paraId="748E1082" w14:textId="77777777" w:rsidR="00CD6352" w:rsidRPr="00154356" w:rsidRDefault="00CD6352" w:rsidP="00CD6352">
            <w:pPr>
              <w:jc w:val="both"/>
              <w:rPr>
                <w:rFonts w:ascii="Arial" w:hAnsi="Arial" w:cs="Arial"/>
                <w:sz w:val="16"/>
                <w:szCs w:val="16"/>
              </w:rPr>
            </w:pPr>
          </w:p>
        </w:tc>
        <w:tc>
          <w:tcPr>
            <w:tcW w:w="0" w:type="auto"/>
          </w:tcPr>
          <w:p w14:paraId="091C39C0"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27</w:t>
            </w:r>
          </w:p>
        </w:tc>
        <w:tc>
          <w:tcPr>
            <w:tcW w:w="0" w:type="auto"/>
          </w:tcPr>
          <w:p w14:paraId="1AE02B3B" w14:textId="77777777" w:rsidR="00CD6352" w:rsidRPr="00154356" w:rsidRDefault="00CD6352" w:rsidP="00CD6352">
            <w:pPr>
              <w:jc w:val="both"/>
              <w:rPr>
                <w:rFonts w:ascii="Arial" w:hAnsi="Arial" w:cs="Arial"/>
                <w:sz w:val="16"/>
                <w:szCs w:val="16"/>
              </w:rPr>
            </w:pPr>
          </w:p>
        </w:tc>
      </w:tr>
      <w:tr w:rsidR="00CD6352" w:rsidRPr="00154356" w14:paraId="6924D93D" w14:textId="77777777" w:rsidTr="00CD6352">
        <w:tc>
          <w:tcPr>
            <w:tcW w:w="0" w:type="auto"/>
          </w:tcPr>
          <w:p w14:paraId="563F1EC9"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Finish</w:t>
            </w:r>
          </w:p>
        </w:tc>
        <w:tc>
          <w:tcPr>
            <w:tcW w:w="0" w:type="auto"/>
          </w:tcPr>
          <w:p w14:paraId="4E8CEA9F"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30</w:t>
            </w:r>
            <w:r w:rsidRPr="00154356">
              <w:rPr>
                <w:rFonts w:ascii="Arial" w:hAnsi="Arial" w:cs="Arial"/>
                <w:sz w:val="16"/>
                <w:szCs w:val="16"/>
                <w:vertAlign w:val="superscript"/>
              </w:rPr>
              <w:t>th</w:t>
            </w:r>
            <w:r w:rsidRPr="00154356">
              <w:rPr>
                <w:rFonts w:ascii="Arial" w:hAnsi="Arial" w:cs="Arial"/>
                <w:sz w:val="16"/>
                <w:szCs w:val="16"/>
              </w:rPr>
              <w:t xml:space="preserve"> August 2019</w:t>
            </w:r>
          </w:p>
        </w:tc>
        <w:tc>
          <w:tcPr>
            <w:tcW w:w="0" w:type="auto"/>
          </w:tcPr>
          <w:p w14:paraId="0F11BB4B" w14:textId="77777777" w:rsidR="00CD6352" w:rsidRPr="00154356" w:rsidRDefault="00CD6352" w:rsidP="00CD6352">
            <w:pPr>
              <w:jc w:val="both"/>
              <w:rPr>
                <w:rFonts w:ascii="Arial" w:hAnsi="Arial" w:cs="Arial"/>
                <w:sz w:val="16"/>
                <w:szCs w:val="16"/>
              </w:rPr>
            </w:pPr>
          </w:p>
        </w:tc>
        <w:tc>
          <w:tcPr>
            <w:tcW w:w="0" w:type="auto"/>
          </w:tcPr>
          <w:p w14:paraId="364AE471"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w:t>
            </w:r>
          </w:p>
        </w:tc>
        <w:tc>
          <w:tcPr>
            <w:tcW w:w="0" w:type="auto"/>
          </w:tcPr>
          <w:p w14:paraId="722AA5BB" w14:textId="77777777" w:rsidR="00CD6352" w:rsidRPr="00154356" w:rsidRDefault="00CD6352" w:rsidP="00CD6352">
            <w:pPr>
              <w:jc w:val="both"/>
              <w:rPr>
                <w:rFonts w:ascii="Arial" w:hAnsi="Arial" w:cs="Arial"/>
                <w:sz w:val="16"/>
                <w:szCs w:val="16"/>
              </w:rPr>
            </w:pPr>
          </w:p>
        </w:tc>
      </w:tr>
      <w:tr w:rsidR="00CD6352" w:rsidRPr="00154356" w14:paraId="6D131D08" w14:textId="77777777" w:rsidTr="00CD6352">
        <w:tc>
          <w:tcPr>
            <w:tcW w:w="0" w:type="auto"/>
          </w:tcPr>
          <w:p w14:paraId="45AEDEFD"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Total to date</w:t>
            </w:r>
          </w:p>
        </w:tc>
        <w:tc>
          <w:tcPr>
            <w:tcW w:w="0" w:type="auto"/>
          </w:tcPr>
          <w:p w14:paraId="60AD63FA" w14:textId="77777777" w:rsidR="00CD6352" w:rsidRPr="00154356" w:rsidRDefault="00CD6352" w:rsidP="00CD6352">
            <w:pPr>
              <w:jc w:val="both"/>
              <w:rPr>
                <w:rFonts w:ascii="Arial" w:hAnsi="Arial" w:cs="Arial"/>
                <w:sz w:val="16"/>
                <w:szCs w:val="16"/>
              </w:rPr>
            </w:pPr>
          </w:p>
        </w:tc>
        <w:tc>
          <w:tcPr>
            <w:tcW w:w="0" w:type="auto"/>
          </w:tcPr>
          <w:p w14:paraId="76E16660" w14:textId="77777777" w:rsidR="00CD6352" w:rsidRPr="00154356" w:rsidRDefault="00CD6352" w:rsidP="00CD6352">
            <w:pPr>
              <w:jc w:val="both"/>
              <w:rPr>
                <w:rFonts w:ascii="Arial" w:hAnsi="Arial" w:cs="Arial"/>
                <w:sz w:val="16"/>
                <w:szCs w:val="16"/>
              </w:rPr>
            </w:pPr>
          </w:p>
        </w:tc>
        <w:tc>
          <w:tcPr>
            <w:tcW w:w="0" w:type="auto"/>
          </w:tcPr>
          <w:p w14:paraId="40217B0B"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81</w:t>
            </w:r>
          </w:p>
        </w:tc>
        <w:tc>
          <w:tcPr>
            <w:tcW w:w="0" w:type="auto"/>
          </w:tcPr>
          <w:p w14:paraId="5F7A2CBC" w14:textId="77777777" w:rsidR="00CD6352" w:rsidRPr="00154356" w:rsidRDefault="00CD6352" w:rsidP="00CD6352">
            <w:pPr>
              <w:jc w:val="both"/>
              <w:rPr>
                <w:rFonts w:ascii="Arial" w:hAnsi="Arial" w:cs="Arial"/>
                <w:sz w:val="16"/>
                <w:szCs w:val="16"/>
              </w:rPr>
            </w:pPr>
          </w:p>
        </w:tc>
      </w:tr>
    </w:tbl>
    <w:p w14:paraId="114DBBF6" w14:textId="77777777" w:rsidR="00CD6352" w:rsidRPr="00154356" w:rsidRDefault="00CD6352" w:rsidP="00CD6352">
      <w:pPr>
        <w:spacing w:line="360" w:lineRule="auto"/>
        <w:jc w:val="both"/>
        <w:rPr>
          <w:rFonts w:ascii="Arial" w:hAnsi="Arial" w:cs="Arial"/>
          <w:sz w:val="16"/>
          <w:szCs w:val="16"/>
        </w:rPr>
      </w:pPr>
      <w:r w:rsidRPr="00154356">
        <w:rPr>
          <w:rFonts w:ascii="Arial" w:hAnsi="Arial" w:cs="Arial"/>
          <w:sz w:val="16"/>
          <w:szCs w:val="16"/>
        </w:rPr>
        <w:t>Compilation by the Author (2019).</w:t>
      </w:r>
    </w:p>
    <w:p w14:paraId="6E30902D" w14:textId="0A84625E" w:rsidR="00CD6352" w:rsidRPr="00154356" w:rsidRDefault="00CD6352" w:rsidP="00CD6352">
      <w:pPr>
        <w:pStyle w:val="Caption"/>
        <w:keepNext/>
        <w:rPr>
          <w:rFonts w:ascii="Arial" w:hAnsi="Arial" w:cs="Arial"/>
          <w:i w:val="0"/>
          <w:iCs w:val="0"/>
          <w:sz w:val="16"/>
          <w:szCs w:val="16"/>
        </w:rPr>
      </w:pPr>
      <w:bookmarkStart w:id="1036" w:name="_Toc78983962"/>
      <w:r w:rsidRPr="00154356">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4.6</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4</w:t>
      </w:r>
      <w:r w:rsidR="008F25B1">
        <w:rPr>
          <w:rFonts w:ascii="Arial" w:hAnsi="Arial" w:cs="Arial"/>
          <w:i w:val="0"/>
          <w:iCs w:val="0"/>
          <w:sz w:val="16"/>
          <w:szCs w:val="16"/>
        </w:rPr>
        <w:fldChar w:fldCharType="end"/>
      </w:r>
      <w:r w:rsidRPr="00154356">
        <w:rPr>
          <w:rFonts w:ascii="Arial" w:hAnsi="Arial" w:cs="Arial"/>
          <w:i w:val="0"/>
          <w:iCs w:val="0"/>
          <w:sz w:val="16"/>
          <w:szCs w:val="16"/>
        </w:rPr>
        <w:t>:</w:t>
      </w:r>
      <w:r w:rsidRPr="00154356">
        <w:rPr>
          <w:rFonts w:ascii="Arial" w:hAnsi="Arial" w:cs="Arial"/>
          <w:i w:val="0"/>
          <w:iCs w:val="0"/>
          <w:color w:val="auto"/>
          <w:sz w:val="16"/>
          <w:szCs w:val="16"/>
        </w:rPr>
        <w:t xml:space="preserve"> </w:t>
      </w:r>
      <w:r w:rsidRPr="00154356">
        <w:rPr>
          <w:rFonts w:ascii="Arial" w:hAnsi="Arial" w:cs="Arial"/>
          <w:i w:val="0"/>
          <w:iCs w:val="0"/>
          <w:sz w:val="16"/>
          <w:szCs w:val="16"/>
        </w:rPr>
        <w:t>Response rate</w:t>
      </w:r>
      <w:bookmarkEnd w:id="1036"/>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737"/>
        <w:gridCol w:w="795"/>
      </w:tblGrid>
      <w:tr w:rsidR="00CD6352" w:rsidRPr="00154356" w14:paraId="2F04C706" w14:textId="77777777" w:rsidTr="00CD6352">
        <w:tc>
          <w:tcPr>
            <w:tcW w:w="0" w:type="auto"/>
          </w:tcPr>
          <w:p w14:paraId="5817F6F2"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Population</w:t>
            </w:r>
          </w:p>
        </w:tc>
        <w:tc>
          <w:tcPr>
            <w:tcW w:w="0" w:type="auto"/>
          </w:tcPr>
          <w:p w14:paraId="2A6991A2"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100,000</w:t>
            </w:r>
          </w:p>
        </w:tc>
      </w:tr>
      <w:tr w:rsidR="00CD6352" w:rsidRPr="00154356" w14:paraId="3152A603" w14:textId="77777777" w:rsidTr="00CD6352">
        <w:tc>
          <w:tcPr>
            <w:tcW w:w="0" w:type="auto"/>
          </w:tcPr>
          <w:p w14:paraId="6553FC7B"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 xml:space="preserve">Target Sample </w:t>
            </w:r>
          </w:p>
        </w:tc>
        <w:tc>
          <w:tcPr>
            <w:tcW w:w="0" w:type="auto"/>
          </w:tcPr>
          <w:p w14:paraId="6209E993"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500</w:t>
            </w:r>
          </w:p>
        </w:tc>
      </w:tr>
      <w:tr w:rsidR="00CD6352" w:rsidRPr="00154356" w14:paraId="492920C9" w14:textId="77777777" w:rsidTr="00CD6352">
        <w:tc>
          <w:tcPr>
            <w:tcW w:w="0" w:type="auto"/>
          </w:tcPr>
          <w:p w14:paraId="4AB7935C"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Unusable responses</w:t>
            </w:r>
          </w:p>
        </w:tc>
        <w:tc>
          <w:tcPr>
            <w:tcW w:w="0" w:type="auto"/>
          </w:tcPr>
          <w:p w14:paraId="7F9D1B31"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9</w:t>
            </w:r>
          </w:p>
        </w:tc>
      </w:tr>
      <w:tr w:rsidR="00CD6352" w:rsidRPr="00154356" w14:paraId="0A88C5CB" w14:textId="77777777" w:rsidTr="00CD6352">
        <w:tc>
          <w:tcPr>
            <w:tcW w:w="0" w:type="auto"/>
          </w:tcPr>
          <w:p w14:paraId="49DB8DC5"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Usable responses</w:t>
            </w:r>
          </w:p>
        </w:tc>
        <w:tc>
          <w:tcPr>
            <w:tcW w:w="0" w:type="auto"/>
          </w:tcPr>
          <w:p w14:paraId="06DA94BD"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81</w:t>
            </w:r>
          </w:p>
        </w:tc>
      </w:tr>
      <w:tr w:rsidR="00CD6352" w:rsidRPr="00154356" w14:paraId="68535A85" w14:textId="77777777" w:rsidTr="00CD6352">
        <w:tc>
          <w:tcPr>
            <w:tcW w:w="0" w:type="auto"/>
          </w:tcPr>
          <w:p w14:paraId="3C18B9E3"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Usable response rate</w:t>
            </w:r>
          </w:p>
        </w:tc>
        <w:tc>
          <w:tcPr>
            <w:tcW w:w="0" w:type="auto"/>
          </w:tcPr>
          <w:p w14:paraId="1BA01BB3"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16.2%</w:t>
            </w:r>
          </w:p>
        </w:tc>
      </w:tr>
      <w:tr w:rsidR="00CD6352" w:rsidRPr="00154356" w14:paraId="5CE6ACB4" w14:textId="77777777" w:rsidTr="00CD6352">
        <w:tc>
          <w:tcPr>
            <w:tcW w:w="0" w:type="auto"/>
          </w:tcPr>
          <w:p w14:paraId="60C49EDE"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Total responses</w:t>
            </w:r>
          </w:p>
        </w:tc>
        <w:tc>
          <w:tcPr>
            <w:tcW w:w="0" w:type="auto"/>
          </w:tcPr>
          <w:p w14:paraId="720FA2D5"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83</w:t>
            </w:r>
          </w:p>
        </w:tc>
      </w:tr>
      <w:tr w:rsidR="00CD6352" w:rsidRPr="00154356" w14:paraId="6E28E614" w14:textId="77777777" w:rsidTr="00CD6352">
        <w:tc>
          <w:tcPr>
            <w:tcW w:w="0" w:type="auto"/>
          </w:tcPr>
          <w:p w14:paraId="187C61D1"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Total response rate</w:t>
            </w:r>
          </w:p>
        </w:tc>
        <w:tc>
          <w:tcPr>
            <w:tcW w:w="0" w:type="auto"/>
          </w:tcPr>
          <w:p w14:paraId="76C13C08" w14:textId="77777777" w:rsidR="00CD6352" w:rsidRPr="00154356" w:rsidRDefault="00CD6352" w:rsidP="00CD6352">
            <w:pPr>
              <w:jc w:val="both"/>
              <w:rPr>
                <w:rFonts w:ascii="Arial" w:hAnsi="Arial" w:cs="Arial"/>
                <w:sz w:val="16"/>
                <w:szCs w:val="16"/>
              </w:rPr>
            </w:pPr>
            <w:r w:rsidRPr="00154356">
              <w:rPr>
                <w:rFonts w:ascii="Arial" w:hAnsi="Arial" w:cs="Arial"/>
                <w:sz w:val="16"/>
                <w:szCs w:val="16"/>
              </w:rPr>
              <w:t>18%</w:t>
            </w:r>
          </w:p>
        </w:tc>
      </w:tr>
    </w:tbl>
    <w:p w14:paraId="320F921D" w14:textId="77777777" w:rsidR="00CD6352" w:rsidRPr="00154356" w:rsidRDefault="00CD6352" w:rsidP="00CD6352">
      <w:pPr>
        <w:spacing w:line="360" w:lineRule="auto"/>
        <w:jc w:val="both"/>
        <w:rPr>
          <w:rFonts w:ascii="Arial" w:hAnsi="Arial" w:cs="Arial"/>
          <w:sz w:val="16"/>
          <w:szCs w:val="16"/>
        </w:rPr>
      </w:pPr>
      <w:r w:rsidRPr="00154356">
        <w:rPr>
          <w:rFonts w:ascii="Arial" w:hAnsi="Arial" w:cs="Arial"/>
          <w:sz w:val="16"/>
          <w:szCs w:val="16"/>
        </w:rPr>
        <w:t>Compilation by the Author (2019).</w:t>
      </w:r>
    </w:p>
    <w:p w14:paraId="1A653E53" w14:textId="10F7C042" w:rsidR="00CD6352" w:rsidRPr="00EA7665" w:rsidRDefault="00CD6352" w:rsidP="00CD6352">
      <w:pPr>
        <w:spacing w:line="360" w:lineRule="auto"/>
        <w:jc w:val="both"/>
        <w:rPr>
          <w:rFonts w:ascii="Arial" w:hAnsi="Arial" w:cs="Arial"/>
        </w:rPr>
      </w:pPr>
      <w:r w:rsidRPr="00EA7665">
        <w:rPr>
          <w:rFonts w:ascii="Arial" w:hAnsi="Arial" w:cs="Arial"/>
        </w:rPr>
        <w:t xml:space="preserve">Alreck and Settle (2004), as cited by Zin (2013), stated that </w:t>
      </w:r>
      <w:r>
        <w:rPr>
          <w:rFonts w:ascii="Arial" w:hAnsi="Arial" w:cs="Arial"/>
        </w:rPr>
        <w:t>a</w:t>
      </w:r>
      <w:r w:rsidRPr="00EA7665">
        <w:rPr>
          <w:rFonts w:ascii="Arial" w:hAnsi="Arial" w:cs="Arial"/>
        </w:rPr>
        <w:t xml:space="preserve"> mail survey response rate </w:t>
      </w:r>
      <w:r w:rsidR="00BC539A">
        <w:rPr>
          <w:rFonts w:ascii="Arial" w:hAnsi="Arial" w:cs="Arial"/>
        </w:rPr>
        <w:t xml:space="preserve">of </w:t>
      </w:r>
      <w:r w:rsidRPr="00EA7665">
        <w:rPr>
          <w:rFonts w:ascii="Arial" w:hAnsi="Arial" w:cs="Arial"/>
        </w:rPr>
        <w:t xml:space="preserve">over 30% </w:t>
      </w:r>
      <w:r>
        <w:rPr>
          <w:rFonts w:ascii="Arial" w:hAnsi="Arial" w:cs="Arial"/>
        </w:rPr>
        <w:t>is</w:t>
      </w:r>
      <w:r w:rsidRPr="00EA7665">
        <w:rPr>
          <w:rFonts w:ascii="Arial" w:hAnsi="Arial" w:cs="Arial"/>
        </w:rPr>
        <w:t xml:space="preserve"> rare. Studies have shown that online survey questionnaires are </w:t>
      </w:r>
      <w:r>
        <w:rPr>
          <w:rFonts w:ascii="Arial" w:hAnsi="Arial" w:cs="Arial"/>
        </w:rPr>
        <w:t>just as</w:t>
      </w:r>
      <w:r w:rsidRPr="00EA7665">
        <w:rPr>
          <w:rFonts w:ascii="Arial" w:hAnsi="Arial" w:cs="Arial"/>
        </w:rPr>
        <w:t xml:space="preserve"> likely to achieve response rates as high as a survey administered on paper despite the various practices to enhance response rates (Nulty, 2008).</w:t>
      </w:r>
    </w:p>
    <w:p w14:paraId="3914BD2F"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It was particularly difficult getting responses to the questionnaire surveys despite all the efforts made by the researcher to enhance the response rate. Arguably this is because of the widespread </w:t>
      </w:r>
      <w:r>
        <w:rPr>
          <w:rFonts w:ascii="Arial" w:hAnsi="Arial" w:cs="Arial"/>
        </w:rPr>
        <w:t xml:space="preserve">nature </w:t>
      </w:r>
      <w:r w:rsidRPr="00EA7665">
        <w:rPr>
          <w:rFonts w:ascii="Arial" w:hAnsi="Arial" w:cs="Arial"/>
        </w:rPr>
        <w:t xml:space="preserve">of </w:t>
      </w:r>
      <w:r>
        <w:rPr>
          <w:rFonts w:ascii="Arial" w:hAnsi="Arial" w:cs="Arial"/>
        </w:rPr>
        <w:t xml:space="preserve">the </w:t>
      </w:r>
      <w:r w:rsidRPr="00EA7665">
        <w:rPr>
          <w:rFonts w:ascii="Arial" w:hAnsi="Arial" w:cs="Arial"/>
        </w:rPr>
        <w:t>countries</w:t>
      </w:r>
      <w:r>
        <w:rPr>
          <w:rFonts w:ascii="Arial" w:hAnsi="Arial" w:cs="Arial"/>
        </w:rPr>
        <w:t xml:space="preserve"> selected</w:t>
      </w:r>
      <w:r w:rsidRPr="00EA7665">
        <w:rPr>
          <w:rFonts w:ascii="Arial" w:hAnsi="Arial" w:cs="Arial"/>
        </w:rPr>
        <w:t xml:space="preserve"> and the nature of the </w:t>
      </w:r>
      <w:r>
        <w:rPr>
          <w:rFonts w:ascii="Arial" w:hAnsi="Arial" w:cs="Arial"/>
        </w:rPr>
        <w:t>respondents</w:t>
      </w:r>
      <w:r w:rsidRPr="00EA7665">
        <w:rPr>
          <w:rFonts w:ascii="Arial" w:hAnsi="Arial" w:cs="Arial"/>
        </w:rPr>
        <w:t xml:space="preserve"> </w:t>
      </w:r>
      <w:r>
        <w:rPr>
          <w:rFonts w:ascii="Arial" w:hAnsi="Arial" w:cs="Arial"/>
        </w:rPr>
        <w:t>at</w:t>
      </w:r>
      <w:r w:rsidRPr="00EA7665">
        <w:rPr>
          <w:rFonts w:ascii="Arial" w:hAnsi="Arial" w:cs="Arial"/>
        </w:rPr>
        <w:t xml:space="preserve"> </w:t>
      </w:r>
      <w:r>
        <w:rPr>
          <w:rFonts w:ascii="Arial" w:hAnsi="Arial" w:cs="Arial"/>
        </w:rPr>
        <w:t>a</w:t>
      </w:r>
      <w:r w:rsidRPr="00EA7665">
        <w:rPr>
          <w:rFonts w:ascii="Arial" w:hAnsi="Arial" w:cs="Arial"/>
        </w:rPr>
        <w:t xml:space="preserve"> managerial level. Most of them responded via emails, LinkedIn and telephone messages to say they were quite busy and could not respond to questionnaires. The semi-structured interviews and review of literature were very robust and made up for any information not </w:t>
      </w:r>
      <w:r>
        <w:rPr>
          <w:rFonts w:ascii="Arial" w:hAnsi="Arial" w:cs="Arial"/>
        </w:rPr>
        <w:t xml:space="preserve">obtained </w:t>
      </w:r>
      <w:r w:rsidRPr="00EA7665">
        <w:rPr>
          <w:rFonts w:ascii="Arial" w:hAnsi="Arial" w:cs="Arial"/>
        </w:rPr>
        <w:t xml:space="preserve">as a result of the low response rates of the questionnaires. </w:t>
      </w:r>
    </w:p>
    <w:p w14:paraId="6BAA9567" w14:textId="77777777" w:rsidR="00CD6352" w:rsidRPr="00EA7665" w:rsidRDefault="00CD6352" w:rsidP="00CD6352">
      <w:pPr>
        <w:pStyle w:val="Heading2"/>
        <w:spacing w:after="240"/>
        <w:rPr>
          <w:rFonts w:eastAsia="Calibri"/>
          <w:sz w:val="22"/>
          <w:szCs w:val="22"/>
          <w:lang w:val="en-US"/>
        </w:rPr>
      </w:pPr>
      <w:bookmarkStart w:id="1037" w:name="_Toc78983830"/>
      <w:r w:rsidRPr="00EA7665">
        <w:rPr>
          <w:rFonts w:eastAsia="Calibri"/>
          <w:sz w:val="22"/>
          <w:szCs w:val="22"/>
          <w:lang w:val="en-US"/>
        </w:rPr>
        <w:t>Data analysis techniques</w:t>
      </w:r>
      <w:bookmarkEnd w:id="1037"/>
    </w:p>
    <w:p w14:paraId="0A328EC0" w14:textId="6CAF06D0" w:rsidR="00CD6352" w:rsidRPr="00EA7665" w:rsidRDefault="00CD6352" w:rsidP="00CD6352">
      <w:pPr>
        <w:spacing w:line="360" w:lineRule="auto"/>
        <w:jc w:val="both"/>
        <w:rPr>
          <w:rFonts w:ascii="Arial" w:hAnsi="Arial" w:cs="Arial"/>
          <w:lang w:val="en-US"/>
        </w:rPr>
      </w:pPr>
      <w:r w:rsidRPr="00EA7665">
        <w:rPr>
          <w:rFonts w:ascii="Arial" w:hAnsi="Arial" w:cs="Arial"/>
          <w:lang w:val="en-US"/>
        </w:rPr>
        <w:t xml:space="preserve">The data gathered was analysed both quantitatively and qualitatively. </w:t>
      </w:r>
      <w:r>
        <w:rPr>
          <w:rFonts w:ascii="Arial" w:hAnsi="Arial" w:cs="Arial"/>
          <w:lang w:val="en-US"/>
        </w:rPr>
        <w:t xml:space="preserve">In the </w:t>
      </w:r>
      <w:r w:rsidR="00A06BCF">
        <w:rPr>
          <w:rFonts w:ascii="Arial" w:hAnsi="Arial" w:cs="Arial"/>
          <w:lang w:val="en-US"/>
        </w:rPr>
        <w:t xml:space="preserve">main, </w:t>
      </w:r>
      <w:r w:rsidR="00A06BCF" w:rsidRPr="00EA7665">
        <w:rPr>
          <w:rFonts w:ascii="Arial" w:hAnsi="Arial" w:cs="Arial"/>
          <w:lang w:val="en-US"/>
        </w:rPr>
        <w:t>descriptive</w:t>
      </w:r>
      <w:r w:rsidRPr="00EA7665">
        <w:rPr>
          <w:rFonts w:ascii="Arial" w:hAnsi="Arial" w:cs="Arial"/>
          <w:lang w:val="en-US"/>
        </w:rPr>
        <w:t xml:space="preserve"> statistics were used to analyse the questionnaire survey </w:t>
      </w:r>
      <w:r w:rsidR="00C976B2">
        <w:rPr>
          <w:rFonts w:ascii="Arial" w:hAnsi="Arial" w:cs="Arial"/>
          <w:lang w:val="en-US"/>
        </w:rPr>
        <w:t>using</w:t>
      </w:r>
      <w:r w:rsidRPr="00EA7665">
        <w:rPr>
          <w:rFonts w:ascii="Arial" w:hAnsi="Arial" w:cs="Arial"/>
          <w:lang w:val="en-US"/>
        </w:rPr>
        <w:t xml:space="preserve"> Statistical Packages for Social Sciences (SPSS) software.</w:t>
      </w:r>
      <w:r>
        <w:rPr>
          <w:rFonts w:ascii="Arial" w:hAnsi="Arial" w:cs="Arial"/>
          <w:lang w:val="en-US"/>
        </w:rPr>
        <w:t xml:space="preserve"> Some minimal inferential statistics through </w:t>
      </w:r>
      <w:r w:rsidR="00950D25">
        <w:rPr>
          <w:rFonts w:ascii="Arial" w:hAnsi="Arial" w:cs="Arial"/>
          <w:lang w:val="en-US"/>
        </w:rPr>
        <w:t>Spearman</w:t>
      </w:r>
      <w:r>
        <w:rPr>
          <w:rFonts w:ascii="Arial" w:hAnsi="Arial" w:cs="Arial"/>
          <w:lang w:val="en-US"/>
        </w:rPr>
        <w:t xml:space="preserve"> rho was </w:t>
      </w:r>
      <w:r>
        <w:rPr>
          <w:rFonts w:ascii="Arial" w:hAnsi="Arial" w:cs="Arial"/>
          <w:lang w:val="en-US"/>
        </w:rPr>
        <w:lastRenderedPageBreak/>
        <w:t>used for the questionnaire survey as well.</w:t>
      </w:r>
      <w:r w:rsidRPr="00EA7665">
        <w:rPr>
          <w:rFonts w:ascii="Arial" w:hAnsi="Arial" w:cs="Arial"/>
          <w:lang w:val="en-US"/>
        </w:rPr>
        <w:t xml:space="preserve"> The semi-structured</w:t>
      </w:r>
      <w:r>
        <w:rPr>
          <w:rFonts w:ascii="Arial" w:hAnsi="Arial" w:cs="Arial"/>
          <w:lang w:val="en-US"/>
        </w:rPr>
        <w:t>/</w:t>
      </w:r>
      <w:r w:rsidRPr="00EA7665">
        <w:rPr>
          <w:rFonts w:ascii="Arial" w:hAnsi="Arial" w:cs="Arial"/>
          <w:lang w:val="en-US"/>
        </w:rPr>
        <w:t xml:space="preserve"> structured interview was analysed using thematic analysis with the help of NVIVO sof</w:t>
      </w:r>
      <w:r>
        <w:rPr>
          <w:rFonts w:ascii="Arial" w:hAnsi="Arial" w:cs="Arial"/>
          <w:lang w:val="en-US"/>
        </w:rPr>
        <w:t>tware</w:t>
      </w:r>
      <w:r w:rsidR="008419C9">
        <w:rPr>
          <w:rFonts w:ascii="Arial" w:hAnsi="Arial" w:cs="Arial"/>
          <w:lang w:val="en-US"/>
        </w:rPr>
        <w:t>,</w:t>
      </w:r>
      <w:r>
        <w:rPr>
          <w:rFonts w:ascii="Arial" w:hAnsi="Arial" w:cs="Arial"/>
          <w:lang w:val="en-US"/>
        </w:rPr>
        <w:t xml:space="preserve"> </w:t>
      </w:r>
      <w:r w:rsidRPr="00EA7665">
        <w:rPr>
          <w:rFonts w:ascii="Arial" w:hAnsi="Arial" w:cs="Arial"/>
          <w:lang w:val="en-US"/>
        </w:rPr>
        <w:t>and</w:t>
      </w:r>
      <w:r>
        <w:rPr>
          <w:rFonts w:ascii="Arial" w:hAnsi="Arial" w:cs="Arial"/>
          <w:lang w:val="en-US"/>
        </w:rPr>
        <w:t xml:space="preserve"> manual analysis was </w:t>
      </w:r>
      <w:r w:rsidR="00A06BCF">
        <w:rPr>
          <w:rFonts w:ascii="Arial" w:hAnsi="Arial" w:cs="Arial"/>
          <w:lang w:val="en-US"/>
        </w:rPr>
        <w:t xml:space="preserve">used </w:t>
      </w:r>
      <w:r w:rsidR="00A06BCF" w:rsidRPr="00EA7665">
        <w:rPr>
          <w:rFonts w:ascii="Arial" w:hAnsi="Arial" w:cs="Arial"/>
          <w:lang w:val="en-US"/>
        </w:rPr>
        <w:t>for</w:t>
      </w:r>
      <w:r w:rsidRPr="00EA7665">
        <w:rPr>
          <w:rFonts w:ascii="Arial" w:hAnsi="Arial" w:cs="Arial"/>
          <w:lang w:val="en-US"/>
        </w:rPr>
        <w:t xml:space="preserve"> some of the simplistic elements. </w:t>
      </w:r>
    </w:p>
    <w:p w14:paraId="509B18D1" w14:textId="77777777" w:rsidR="00CD6352" w:rsidRPr="00E25662" w:rsidRDefault="00CD6352" w:rsidP="00E25662">
      <w:pPr>
        <w:pStyle w:val="Heading3"/>
        <w:rPr>
          <w:sz w:val="22"/>
          <w:szCs w:val="22"/>
        </w:rPr>
      </w:pPr>
      <w:bookmarkStart w:id="1038" w:name="_Toc78983831"/>
      <w:r w:rsidRPr="00E25662">
        <w:rPr>
          <w:sz w:val="22"/>
          <w:szCs w:val="22"/>
        </w:rPr>
        <w:t>Qualitative data analysis</w:t>
      </w:r>
      <w:bookmarkEnd w:id="1038"/>
    </w:p>
    <w:p w14:paraId="6913E530" w14:textId="30384A57" w:rsidR="00CD6352" w:rsidRPr="00EA7665" w:rsidRDefault="00CD6352" w:rsidP="00CD6352">
      <w:pPr>
        <w:spacing w:line="360" w:lineRule="auto"/>
        <w:jc w:val="both"/>
        <w:rPr>
          <w:rFonts w:ascii="Arial" w:hAnsi="Arial" w:cs="Arial"/>
        </w:rPr>
      </w:pPr>
      <w:r w:rsidRPr="00EA7665">
        <w:rPr>
          <w:rFonts w:ascii="Arial" w:hAnsi="Arial" w:cs="Arial"/>
        </w:rPr>
        <w:t xml:space="preserve">There are two major approaches to analysing qualitative data. </w:t>
      </w:r>
      <w:r>
        <w:rPr>
          <w:rFonts w:ascii="Arial" w:hAnsi="Arial" w:cs="Arial"/>
        </w:rPr>
        <w:t>They</w:t>
      </w:r>
      <w:r w:rsidRPr="00EA7665">
        <w:rPr>
          <w:rFonts w:ascii="Arial" w:hAnsi="Arial" w:cs="Arial"/>
        </w:rPr>
        <w:t xml:space="preserve"> are 1) coding and categorising </w:t>
      </w:r>
      <w:r w:rsidR="00E12A19" w:rsidRPr="00EA7665">
        <w:rPr>
          <w:rFonts w:ascii="Arial" w:hAnsi="Arial" w:cs="Arial"/>
        </w:rPr>
        <w:t>and</w:t>
      </w:r>
      <w:r w:rsidRPr="00EA7665">
        <w:rPr>
          <w:rFonts w:ascii="Arial" w:hAnsi="Arial" w:cs="Arial"/>
        </w:rPr>
        <w:t xml:space="preserve"> 2) investigating data in context (Flick, 2014).  The first approach entails developing and using categories to analyse data</w:t>
      </w:r>
      <w:r w:rsidR="00C976B2">
        <w:rPr>
          <w:rFonts w:ascii="Arial" w:hAnsi="Arial" w:cs="Arial"/>
        </w:rPr>
        <w:t>,</w:t>
      </w:r>
      <w:r w:rsidRPr="00EA7665">
        <w:rPr>
          <w:rFonts w:ascii="Arial" w:hAnsi="Arial" w:cs="Arial"/>
        </w:rPr>
        <w:t xml:space="preserve"> also known as coding; it is in line with qualitative content analysis</w:t>
      </w:r>
      <w:r w:rsidR="008419C9">
        <w:rPr>
          <w:rFonts w:ascii="Arial" w:hAnsi="Arial" w:cs="Arial"/>
        </w:rPr>
        <w:t>—s</w:t>
      </w:r>
      <w:r w:rsidRPr="00EA7665">
        <w:rPr>
          <w:rFonts w:ascii="Arial" w:hAnsi="Arial" w:cs="Arial"/>
        </w:rPr>
        <w:t xml:space="preserve">oftware such as ATLAS. TI, MAXQDA, and NVivo can be used for this approach. The second approach takes the context of the data more into account. The complete information is taken into consideration as a relevant feature of what is to be analysed. This research adopted the </w:t>
      </w:r>
      <w:r>
        <w:rPr>
          <w:rFonts w:ascii="Arial" w:hAnsi="Arial" w:cs="Arial"/>
        </w:rPr>
        <w:t>latter</w:t>
      </w:r>
      <w:r w:rsidRPr="00EA7665">
        <w:rPr>
          <w:rFonts w:ascii="Arial" w:hAnsi="Arial" w:cs="Arial"/>
        </w:rPr>
        <w:t xml:space="preserve"> and hence used thematic analysis</w:t>
      </w:r>
      <w:r w:rsidR="00C976B2">
        <w:rPr>
          <w:rFonts w:ascii="Arial" w:hAnsi="Arial" w:cs="Arial"/>
        </w:rPr>
        <w:t>.</w:t>
      </w:r>
    </w:p>
    <w:p w14:paraId="3B4C456B" w14:textId="77777777" w:rsidR="00CD6352" w:rsidRPr="00EA7665" w:rsidRDefault="00CD6352" w:rsidP="00CD6352">
      <w:pPr>
        <w:spacing w:line="360" w:lineRule="auto"/>
        <w:jc w:val="both"/>
        <w:rPr>
          <w:rFonts w:ascii="Arial" w:hAnsi="Arial" w:cs="Arial"/>
        </w:rPr>
      </w:pPr>
      <w:r w:rsidRPr="00EA7665">
        <w:rPr>
          <w:rFonts w:ascii="Arial" w:hAnsi="Arial" w:cs="Arial"/>
        </w:rPr>
        <w:t>This research was exploratory, and the collected data was transcribed using a transcription platform known as nobility transcription. Thematic analysis in this context is a method of identifying, analysing and reporting patterns (themes) within data. Flick (2014) recommended the following steps for thematic analysis:</w:t>
      </w:r>
    </w:p>
    <w:p w14:paraId="780FF1AF" w14:textId="77777777" w:rsidR="00CD6352" w:rsidRPr="00EA7665" w:rsidRDefault="00CD6352" w:rsidP="00C74AEC">
      <w:pPr>
        <w:numPr>
          <w:ilvl w:val="0"/>
          <w:numId w:val="44"/>
        </w:numPr>
        <w:spacing w:after="0" w:line="360" w:lineRule="auto"/>
        <w:jc w:val="both"/>
        <w:rPr>
          <w:rFonts w:ascii="Arial" w:hAnsi="Arial" w:cs="Arial"/>
        </w:rPr>
      </w:pPr>
      <w:r w:rsidRPr="00EA7665">
        <w:rPr>
          <w:rFonts w:ascii="Arial" w:hAnsi="Arial" w:cs="Arial"/>
        </w:rPr>
        <w:t>Familiarise yourself with the data</w:t>
      </w:r>
    </w:p>
    <w:p w14:paraId="16B7C249" w14:textId="77777777" w:rsidR="00CD6352" w:rsidRPr="00EA7665" w:rsidRDefault="00CD6352" w:rsidP="00C74AEC">
      <w:pPr>
        <w:numPr>
          <w:ilvl w:val="0"/>
          <w:numId w:val="44"/>
        </w:numPr>
        <w:spacing w:after="0" w:line="360" w:lineRule="auto"/>
        <w:jc w:val="both"/>
        <w:rPr>
          <w:rFonts w:ascii="Arial" w:hAnsi="Arial" w:cs="Arial"/>
        </w:rPr>
      </w:pPr>
      <w:r w:rsidRPr="00EA7665">
        <w:rPr>
          <w:rFonts w:ascii="Arial" w:hAnsi="Arial" w:cs="Arial"/>
        </w:rPr>
        <w:t>Generate initial codes</w:t>
      </w:r>
    </w:p>
    <w:p w14:paraId="22A519CD" w14:textId="77777777" w:rsidR="00CD6352" w:rsidRPr="00EA7665" w:rsidRDefault="00CD6352" w:rsidP="00C74AEC">
      <w:pPr>
        <w:numPr>
          <w:ilvl w:val="0"/>
          <w:numId w:val="44"/>
        </w:numPr>
        <w:spacing w:after="0" w:line="360" w:lineRule="auto"/>
        <w:jc w:val="both"/>
        <w:rPr>
          <w:rFonts w:ascii="Arial" w:hAnsi="Arial" w:cs="Arial"/>
        </w:rPr>
      </w:pPr>
      <w:r w:rsidRPr="00EA7665">
        <w:rPr>
          <w:rFonts w:ascii="Arial" w:hAnsi="Arial" w:cs="Arial"/>
        </w:rPr>
        <w:t>Search for themes</w:t>
      </w:r>
    </w:p>
    <w:p w14:paraId="32DB988D" w14:textId="77777777" w:rsidR="00CD6352" w:rsidRPr="00EA7665" w:rsidRDefault="00CD6352" w:rsidP="00C74AEC">
      <w:pPr>
        <w:numPr>
          <w:ilvl w:val="0"/>
          <w:numId w:val="44"/>
        </w:numPr>
        <w:spacing w:after="0" w:line="360" w:lineRule="auto"/>
        <w:jc w:val="both"/>
        <w:rPr>
          <w:rFonts w:ascii="Arial" w:hAnsi="Arial" w:cs="Arial"/>
        </w:rPr>
      </w:pPr>
      <w:r w:rsidRPr="00EA7665">
        <w:rPr>
          <w:rFonts w:ascii="Arial" w:hAnsi="Arial" w:cs="Arial"/>
        </w:rPr>
        <w:t>Review themes</w:t>
      </w:r>
    </w:p>
    <w:p w14:paraId="2D783337" w14:textId="77777777" w:rsidR="00CD6352" w:rsidRPr="00EA7665" w:rsidRDefault="00CD6352" w:rsidP="00C74AEC">
      <w:pPr>
        <w:numPr>
          <w:ilvl w:val="0"/>
          <w:numId w:val="44"/>
        </w:numPr>
        <w:spacing w:after="0" w:line="360" w:lineRule="auto"/>
        <w:jc w:val="both"/>
        <w:rPr>
          <w:rFonts w:ascii="Arial" w:hAnsi="Arial" w:cs="Arial"/>
        </w:rPr>
      </w:pPr>
      <w:r w:rsidRPr="00EA7665">
        <w:rPr>
          <w:rFonts w:ascii="Arial" w:hAnsi="Arial" w:cs="Arial"/>
        </w:rPr>
        <w:t>Define and name themes</w:t>
      </w:r>
    </w:p>
    <w:p w14:paraId="77517E39" w14:textId="77777777" w:rsidR="00CD6352" w:rsidRPr="00EA7665" w:rsidRDefault="00CD6352" w:rsidP="00C74AEC">
      <w:pPr>
        <w:numPr>
          <w:ilvl w:val="0"/>
          <w:numId w:val="44"/>
        </w:numPr>
        <w:spacing w:after="0" w:line="360" w:lineRule="auto"/>
        <w:jc w:val="both"/>
        <w:rPr>
          <w:rFonts w:ascii="Arial" w:hAnsi="Arial" w:cs="Arial"/>
        </w:rPr>
      </w:pPr>
      <w:r w:rsidRPr="00EA7665">
        <w:rPr>
          <w:rFonts w:ascii="Arial" w:hAnsi="Arial" w:cs="Arial"/>
        </w:rPr>
        <w:t xml:space="preserve">Produce report </w:t>
      </w:r>
    </w:p>
    <w:p w14:paraId="0C644839" w14:textId="51EF2215" w:rsidR="00CD6352" w:rsidRPr="00EA7665" w:rsidRDefault="00CD6352" w:rsidP="00CD6352">
      <w:pPr>
        <w:spacing w:line="360" w:lineRule="auto"/>
        <w:jc w:val="both"/>
        <w:rPr>
          <w:rFonts w:ascii="Arial" w:hAnsi="Arial" w:cs="Arial"/>
          <w:iCs/>
        </w:rPr>
      </w:pPr>
      <w:r w:rsidRPr="00EA7665">
        <w:rPr>
          <w:rFonts w:ascii="Arial" w:hAnsi="Arial" w:cs="Arial"/>
          <w:iCs/>
        </w:rPr>
        <w:t xml:space="preserve">The first step focused on transcribing and studying the transcript. The second </w:t>
      </w:r>
      <w:r>
        <w:rPr>
          <w:rFonts w:ascii="Arial" w:hAnsi="Arial" w:cs="Arial"/>
          <w:iCs/>
        </w:rPr>
        <w:t>step</w:t>
      </w:r>
      <w:r w:rsidRPr="00EA7665">
        <w:rPr>
          <w:rFonts w:ascii="Arial" w:hAnsi="Arial" w:cs="Arial"/>
          <w:iCs/>
        </w:rPr>
        <w:t xml:space="preserve"> entailed developing the codes from the data</w:t>
      </w:r>
      <w:r>
        <w:rPr>
          <w:rFonts w:ascii="Arial" w:hAnsi="Arial" w:cs="Arial"/>
          <w:iCs/>
        </w:rPr>
        <w:t>.</w:t>
      </w:r>
      <w:r w:rsidRPr="00EA7665">
        <w:rPr>
          <w:rFonts w:ascii="Arial" w:hAnsi="Arial" w:cs="Arial"/>
          <w:iCs/>
        </w:rPr>
        <w:t xml:space="preserve"> </w:t>
      </w:r>
      <w:r>
        <w:rPr>
          <w:rFonts w:ascii="Arial" w:hAnsi="Arial" w:cs="Arial"/>
          <w:iCs/>
        </w:rPr>
        <w:t>This</w:t>
      </w:r>
      <w:r w:rsidRPr="00EA7665">
        <w:rPr>
          <w:rFonts w:ascii="Arial" w:hAnsi="Arial" w:cs="Arial"/>
          <w:iCs/>
        </w:rPr>
        <w:t xml:space="preserve"> involves distinguishing between semantic codes (the meaning expressed verbally) and the latent code (the underlying meaning). The third step entailed sorting codes into various themes and collating the relevant data extracted. The researcher did </w:t>
      </w:r>
      <w:r>
        <w:rPr>
          <w:rFonts w:ascii="Arial" w:hAnsi="Arial" w:cs="Arial"/>
          <w:iCs/>
        </w:rPr>
        <w:t>some</w:t>
      </w:r>
      <w:r w:rsidRPr="00EA7665">
        <w:rPr>
          <w:rFonts w:ascii="Arial" w:hAnsi="Arial" w:cs="Arial"/>
          <w:iCs/>
        </w:rPr>
        <w:t xml:space="preserve"> of this with the help of NVIVO and some manually as the questions were already patterned in line with themes. The fourth step is a refinement of the developing code system by breaking down themes into sub-themes. It then leads to the thematic map, which was considered optional for this research and hence not mandatory. It entails the visual representation of themes and sub-themes and </w:t>
      </w:r>
      <w:r>
        <w:rPr>
          <w:rFonts w:ascii="Arial" w:hAnsi="Arial" w:cs="Arial"/>
          <w:iCs/>
        </w:rPr>
        <w:t xml:space="preserve">the </w:t>
      </w:r>
      <w:r w:rsidRPr="00EA7665">
        <w:rPr>
          <w:rFonts w:ascii="Arial" w:hAnsi="Arial" w:cs="Arial"/>
          <w:iCs/>
        </w:rPr>
        <w:t xml:space="preserve">reflection of what they represent. The sixth step presents the results and procedures (Flick, 2014). </w:t>
      </w:r>
    </w:p>
    <w:p w14:paraId="7E335B64" w14:textId="5DFB66BB" w:rsidR="00CD6352" w:rsidRPr="00EA7665" w:rsidRDefault="00CD6352" w:rsidP="00CD6352">
      <w:pPr>
        <w:spacing w:line="360" w:lineRule="auto"/>
        <w:jc w:val="both"/>
        <w:rPr>
          <w:rFonts w:ascii="Arial" w:hAnsi="Arial" w:cs="Arial"/>
          <w:iCs/>
        </w:rPr>
      </w:pPr>
      <w:r w:rsidRPr="00EA7665">
        <w:rPr>
          <w:rFonts w:ascii="Arial" w:hAnsi="Arial" w:cs="Arial"/>
          <w:iCs/>
        </w:rPr>
        <w:t xml:space="preserve">The thematic coding was </w:t>
      </w:r>
      <w:r>
        <w:rPr>
          <w:rFonts w:ascii="Arial" w:hAnsi="Arial" w:cs="Arial"/>
          <w:iCs/>
        </w:rPr>
        <w:t xml:space="preserve">done </w:t>
      </w:r>
      <w:r w:rsidRPr="00EA7665">
        <w:rPr>
          <w:rFonts w:ascii="Arial" w:hAnsi="Arial" w:cs="Arial"/>
          <w:iCs/>
        </w:rPr>
        <w:t>by producing a short description of each case, and extrapolating codes based on the research questions</w:t>
      </w:r>
      <w:r>
        <w:rPr>
          <w:rFonts w:ascii="Arial" w:hAnsi="Arial" w:cs="Arial"/>
          <w:iCs/>
        </w:rPr>
        <w:t>,</w:t>
      </w:r>
      <w:r w:rsidRPr="00EA7665">
        <w:rPr>
          <w:rFonts w:ascii="Arial" w:hAnsi="Arial" w:cs="Arial"/>
          <w:iCs/>
        </w:rPr>
        <w:t xml:space="preserve"> the interview questions</w:t>
      </w:r>
      <w:r>
        <w:rPr>
          <w:rFonts w:ascii="Arial" w:hAnsi="Arial" w:cs="Arial"/>
          <w:iCs/>
        </w:rPr>
        <w:t>, and</w:t>
      </w:r>
      <w:r w:rsidRPr="00EA7665">
        <w:rPr>
          <w:rFonts w:ascii="Arial" w:hAnsi="Arial" w:cs="Arial"/>
          <w:iCs/>
        </w:rPr>
        <w:t xml:space="preserve"> semantic and latent meanings deduced from data generated from each interview question (full details in chapters 5, 6 and 7).</w:t>
      </w:r>
    </w:p>
    <w:p w14:paraId="1345FD5F" w14:textId="77777777" w:rsidR="00CD6352" w:rsidRPr="00E25662" w:rsidRDefault="00CD6352" w:rsidP="00E25662">
      <w:pPr>
        <w:pStyle w:val="Heading3"/>
        <w:rPr>
          <w:sz w:val="22"/>
          <w:szCs w:val="22"/>
          <w:lang w:val="en-US"/>
        </w:rPr>
      </w:pPr>
      <w:bookmarkStart w:id="1039" w:name="_Toc78983832"/>
      <w:r w:rsidRPr="00E25662">
        <w:rPr>
          <w:sz w:val="22"/>
          <w:szCs w:val="22"/>
          <w:lang w:val="en-US"/>
        </w:rPr>
        <w:lastRenderedPageBreak/>
        <w:t>Quantitative data analysis via statistical techniques of analysis</w:t>
      </w:r>
      <w:bookmarkEnd w:id="1039"/>
    </w:p>
    <w:p w14:paraId="7F15EAAB" w14:textId="1C51AA92" w:rsidR="00CD6352" w:rsidRPr="00EA7665" w:rsidRDefault="00CD6352" w:rsidP="008419C9">
      <w:pPr>
        <w:spacing w:line="360" w:lineRule="auto"/>
        <w:jc w:val="both"/>
        <w:rPr>
          <w:rFonts w:ascii="Arial" w:hAnsi="Arial" w:cs="Arial"/>
          <w:lang w:val="en-US"/>
        </w:rPr>
      </w:pPr>
      <w:r w:rsidRPr="00C66AF1">
        <w:rPr>
          <w:rFonts w:ascii="Arial" w:hAnsi="Arial" w:cs="Arial"/>
          <w:lang w:val="en-US"/>
        </w:rPr>
        <w:t>The analyses of the responses for the online questionnaire survey w</w:t>
      </w:r>
      <w:r w:rsidR="00493206">
        <w:rPr>
          <w:rFonts w:ascii="Arial" w:hAnsi="Arial" w:cs="Arial"/>
          <w:lang w:val="en-US"/>
        </w:rPr>
        <w:t>ere carried out with the help of IBM SPSS version 21</w:t>
      </w:r>
      <w:r w:rsidRPr="00C66AF1">
        <w:rPr>
          <w:rFonts w:ascii="Arial" w:hAnsi="Arial" w:cs="Arial"/>
          <w:lang w:val="en-US"/>
        </w:rPr>
        <w:t xml:space="preserve">. SPSS was </w:t>
      </w:r>
      <w:r>
        <w:rPr>
          <w:rFonts w:ascii="Arial" w:hAnsi="Arial" w:cs="Arial"/>
          <w:lang w:val="en-US"/>
        </w:rPr>
        <w:t xml:space="preserve">selected </w:t>
      </w:r>
      <w:r w:rsidRPr="00C66AF1">
        <w:rPr>
          <w:rFonts w:ascii="Arial" w:hAnsi="Arial" w:cs="Arial"/>
          <w:lang w:val="en-US"/>
        </w:rPr>
        <w:t xml:space="preserve">because of the ease of </w:t>
      </w:r>
      <w:r>
        <w:rPr>
          <w:rFonts w:ascii="Arial" w:hAnsi="Arial" w:cs="Arial"/>
          <w:lang w:val="en-US"/>
        </w:rPr>
        <w:t>us</w:t>
      </w:r>
      <w:r w:rsidR="00BF24B7">
        <w:rPr>
          <w:rFonts w:ascii="Arial" w:hAnsi="Arial" w:cs="Arial"/>
          <w:lang w:val="en-US"/>
        </w:rPr>
        <w:t>ing</w:t>
      </w:r>
      <w:r w:rsidRPr="00C66AF1">
        <w:rPr>
          <w:rFonts w:ascii="Arial" w:hAnsi="Arial" w:cs="Arial"/>
          <w:lang w:val="en-US"/>
        </w:rPr>
        <w:t xml:space="preserve"> the available support from the university digital skills support team</w:t>
      </w:r>
      <w:r>
        <w:rPr>
          <w:rFonts w:ascii="Arial" w:hAnsi="Arial" w:cs="Arial"/>
          <w:lang w:val="en-US"/>
        </w:rPr>
        <w:t>,</w:t>
      </w:r>
      <w:r w:rsidRPr="00C66AF1">
        <w:rPr>
          <w:rFonts w:ascii="Arial" w:hAnsi="Arial" w:cs="Arial"/>
          <w:lang w:val="en-US"/>
        </w:rPr>
        <w:t xml:space="preserve"> its suitability and the fact that it can perform most of the general statistical analysis required. The BOS online survey platforms </w:t>
      </w:r>
      <w:r>
        <w:rPr>
          <w:rFonts w:ascii="Arial" w:hAnsi="Arial" w:cs="Arial"/>
          <w:lang w:val="en-US"/>
        </w:rPr>
        <w:t>were also used as they</w:t>
      </w:r>
      <w:r w:rsidRPr="00C66AF1">
        <w:rPr>
          <w:rFonts w:ascii="Arial" w:hAnsi="Arial" w:cs="Arial"/>
          <w:lang w:val="en-US"/>
        </w:rPr>
        <w:t xml:space="preserve"> have tools that help with some simple descriptive statistics such as</w:t>
      </w:r>
      <w:r w:rsidRPr="00EA7665">
        <w:rPr>
          <w:rFonts w:ascii="Arial" w:hAnsi="Arial" w:cs="Arial"/>
          <w:lang w:val="en-US"/>
        </w:rPr>
        <w:t xml:space="preserve"> percentages</w:t>
      </w:r>
      <w:r>
        <w:rPr>
          <w:rFonts w:ascii="Arial" w:hAnsi="Arial" w:cs="Arial"/>
          <w:lang w:val="en-US"/>
        </w:rPr>
        <w:t>.</w:t>
      </w:r>
      <w:r w:rsidRPr="00EA7665">
        <w:rPr>
          <w:rFonts w:ascii="Arial" w:hAnsi="Arial" w:cs="Arial"/>
          <w:lang w:val="en-US"/>
        </w:rPr>
        <w:t xml:space="preserve"> </w:t>
      </w:r>
    </w:p>
    <w:p w14:paraId="06D89511" w14:textId="7E2D7052" w:rsidR="00CD6352" w:rsidRDefault="00CD6352" w:rsidP="008419C9">
      <w:pPr>
        <w:spacing w:line="360" w:lineRule="auto"/>
        <w:jc w:val="both"/>
        <w:rPr>
          <w:rFonts w:ascii="Arial" w:eastAsia="Calibri" w:hAnsi="Arial" w:cs="Arial"/>
          <w:lang w:val="en-US"/>
        </w:rPr>
      </w:pPr>
      <w:r w:rsidRPr="00EA7665">
        <w:rPr>
          <w:rFonts w:ascii="Arial" w:hAnsi="Arial" w:cs="Arial"/>
          <w:lang w:val="en-US"/>
        </w:rPr>
        <w:t>The data collected from the online questionnaire survey could have been analysed using non-parametric statistical or ranking tests. This is different from the parametric analysis since conclusions were made regardless of the population shape while, the parametric analysis assumes that scores are drawn from a normally distributed population (Zin, 2013). The parametric test makes several assumptions about the population from which the sample is drawn</w:t>
      </w:r>
      <w:r>
        <w:rPr>
          <w:rFonts w:ascii="Arial" w:hAnsi="Arial" w:cs="Arial"/>
          <w:lang w:val="en-US"/>
        </w:rPr>
        <w:t xml:space="preserve">, </w:t>
      </w:r>
      <w:r w:rsidRPr="00EA7665">
        <w:rPr>
          <w:rFonts w:ascii="Arial" w:hAnsi="Arial" w:cs="Arial"/>
          <w:lang w:val="en-US"/>
        </w:rPr>
        <w:t xml:space="preserve"> whether the data is normally distributed</w:t>
      </w:r>
      <w:r w:rsidR="008419C9">
        <w:rPr>
          <w:rFonts w:ascii="Arial" w:hAnsi="Arial" w:cs="Arial"/>
          <w:lang w:val="en-US"/>
        </w:rPr>
        <w:t>,</w:t>
      </w:r>
      <w:r w:rsidRPr="00EA7665">
        <w:rPr>
          <w:rFonts w:ascii="Arial" w:hAnsi="Arial" w:cs="Arial"/>
          <w:lang w:val="en-US"/>
        </w:rPr>
        <w:t xml:space="preserve"> and the nature of the data</w:t>
      </w:r>
      <w:r w:rsidR="008419C9">
        <w:rPr>
          <w:rFonts w:ascii="Arial" w:hAnsi="Arial" w:cs="Arial"/>
          <w:lang w:val="en-US"/>
        </w:rPr>
        <w:t>.</w:t>
      </w:r>
      <w:r w:rsidRPr="00EA7665">
        <w:rPr>
          <w:rFonts w:ascii="Arial" w:hAnsi="Arial" w:cs="Arial"/>
          <w:lang w:val="en-US"/>
        </w:rPr>
        <w:t xml:space="preserve"> Non- parametric data do not have such stringent assumptions and are more suitable for data measured using an ordinal (ranked) level (Pallant, 2013). However, the researcher chose to use descriptive statistics</w:t>
      </w:r>
      <w:r>
        <w:rPr>
          <w:rFonts w:ascii="Arial" w:hAnsi="Arial" w:cs="Arial"/>
          <w:lang w:val="en-US"/>
        </w:rPr>
        <w:t>,</w:t>
      </w:r>
      <w:r w:rsidRPr="00EA7665">
        <w:rPr>
          <w:rFonts w:ascii="Arial" w:hAnsi="Arial" w:cs="Arial"/>
          <w:lang w:val="en-US"/>
        </w:rPr>
        <w:t xml:space="preserve"> as that was sufficient to answer the research questions</w:t>
      </w:r>
      <w:r>
        <w:rPr>
          <w:rFonts w:ascii="Arial" w:hAnsi="Arial" w:cs="Arial"/>
          <w:lang w:val="en-US"/>
        </w:rPr>
        <w:t xml:space="preserve"> and minimal inferential statistics</w:t>
      </w:r>
      <w:r w:rsidRPr="00EA7665">
        <w:rPr>
          <w:rFonts w:ascii="Arial" w:hAnsi="Arial" w:cs="Arial"/>
          <w:lang w:val="en-US"/>
        </w:rPr>
        <w:t>.</w:t>
      </w:r>
      <w:r w:rsidRPr="00EA7665">
        <w:rPr>
          <w:rFonts w:ascii="Arial" w:eastAsia="Calibri" w:hAnsi="Arial" w:cs="Arial"/>
          <w:lang w:val="en-US"/>
        </w:rPr>
        <w:t xml:space="preserve"> The questionnaire survey was analysed using descriptive statistics to get the results on the aggregate</w:t>
      </w:r>
      <w:r>
        <w:rPr>
          <w:rFonts w:ascii="Arial" w:eastAsia="Calibri" w:hAnsi="Arial" w:cs="Arial"/>
          <w:lang w:val="en-US"/>
        </w:rPr>
        <w:t xml:space="preserve"> and disaggregate levels using </w:t>
      </w:r>
      <w:r w:rsidR="00B347C3">
        <w:rPr>
          <w:rFonts w:ascii="Arial" w:eastAsia="Calibri" w:hAnsi="Arial" w:cs="Arial"/>
          <w:lang w:val="en-US"/>
        </w:rPr>
        <w:t xml:space="preserve">the </w:t>
      </w:r>
      <w:r>
        <w:rPr>
          <w:rFonts w:ascii="Arial" w:eastAsia="Calibri" w:hAnsi="Arial" w:cs="Arial"/>
          <w:lang w:val="en-US"/>
        </w:rPr>
        <w:t xml:space="preserve">mean </w:t>
      </w:r>
      <w:r w:rsidR="00644C33">
        <w:rPr>
          <w:rFonts w:ascii="Arial" w:eastAsia="Calibri" w:hAnsi="Arial" w:cs="Arial"/>
          <w:lang w:val="en-US"/>
        </w:rPr>
        <w:t>score,</w:t>
      </w:r>
      <w:r>
        <w:rPr>
          <w:rFonts w:ascii="Arial" w:eastAsia="Calibri" w:hAnsi="Arial" w:cs="Arial"/>
          <w:lang w:val="en-US"/>
        </w:rPr>
        <w:t xml:space="preserve"> percentages and frequencies. </w:t>
      </w:r>
      <w:r w:rsidRPr="00EA7665">
        <w:rPr>
          <w:rFonts w:ascii="Arial" w:eastAsia="Calibri" w:hAnsi="Arial" w:cs="Arial"/>
          <w:lang w:val="en-US"/>
        </w:rPr>
        <w:t xml:space="preserve"> Descriptive statistics such as percentages, frequency tables, graphs, </w:t>
      </w:r>
      <w:r>
        <w:rPr>
          <w:rFonts w:ascii="Arial" w:eastAsia="Calibri" w:hAnsi="Arial" w:cs="Arial"/>
          <w:lang w:val="en-US"/>
        </w:rPr>
        <w:t xml:space="preserve">mean scores </w:t>
      </w:r>
      <w:r w:rsidRPr="00EA7665">
        <w:rPr>
          <w:rFonts w:ascii="Arial" w:eastAsia="Calibri" w:hAnsi="Arial" w:cs="Arial"/>
          <w:lang w:val="en-US"/>
        </w:rPr>
        <w:t>and charts were derived</w:t>
      </w:r>
      <w:r>
        <w:rPr>
          <w:rFonts w:ascii="Arial" w:eastAsia="Calibri" w:hAnsi="Arial" w:cs="Arial"/>
          <w:lang w:val="en-US"/>
        </w:rPr>
        <w:t xml:space="preserve"> </w:t>
      </w:r>
      <w:r w:rsidRPr="00EA7665">
        <w:rPr>
          <w:rFonts w:ascii="Arial" w:eastAsia="Calibri" w:hAnsi="Arial" w:cs="Arial"/>
          <w:lang w:val="en-US"/>
        </w:rPr>
        <w:t>(Pallant, 2013).</w:t>
      </w:r>
      <w:r>
        <w:rPr>
          <w:rFonts w:ascii="Arial" w:eastAsia="Calibri" w:hAnsi="Arial" w:cs="Arial"/>
          <w:lang w:val="en-US"/>
        </w:rPr>
        <w:t xml:space="preserve"> </w:t>
      </w:r>
    </w:p>
    <w:p w14:paraId="3DDB52DD" w14:textId="62D188CB" w:rsidR="00CD6352" w:rsidRDefault="00CD6352" w:rsidP="00CD6352">
      <w:pPr>
        <w:spacing w:line="360" w:lineRule="auto"/>
        <w:jc w:val="both"/>
        <w:rPr>
          <w:rFonts w:ascii="Arial" w:eastAsia="Calibri" w:hAnsi="Arial" w:cs="Arial"/>
          <w:lang w:val="en-US"/>
        </w:rPr>
      </w:pPr>
      <w:r w:rsidRPr="001A3F98">
        <w:rPr>
          <w:rFonts w:ascii="Arial" w:eastAsia="Calibri" w:hAnsi="Arial" w:cs="Arial"/>
          <w:lang w:val="en-US"/>
        </w:rPr>
        <w:t xml:space="preserve">The </w:t>
      </w:r>
      <w:r>
        <w:rPr>
          <w:rFonts w:ascii="Arial" w:eastAsia="Calibri" w:hAnsi="Arial" w:cs="Arial"/>
          <w:lang w:val="en-US"/>
        </w:rPr>
        <w:t>S</w:t>
      </w:r>
      <w:r w:rsidRPr="001A3F98">
        <w:rPr>
          <w:rFonts w:ascii="Arial" w:eastAsia="Calibri" w:hAnsi="Arial" w:cs="Arial"/>
          <w:lang w:val="en-US"/>
        </w:rPr>
        <w:t xml:space="preserve">pearman's rank correlation coefficient was also used to determine the relationship between two quantitative variables measured </w:t>
      </w:r>
      <w:r w:rsidR="00B347C3">
        <w:rPr>
          <w:rFonts w:ascii="Arial" w:eastAsia="Calibri" w:hAnsi="Arial" w:cs="Arial"/>
          <w:lang w:val="en-US"/>
        </w:rPr>
        <w:t>o</w:t>
      </w:r>
      <w:r w:rsidRPr="001A3F98">
        <w:rPr>
          <w:rFonts w:ascii="Arial" w:eastAsia="Calibri" w:hAnsi="Arial" w:cs="Arial"/>
          <w:lang w:val="en-US"/>
        </w:rPr>
        <w:t>n an ordinal scale. Exampl</w:t>
      </w:r>
      <w:r>
        <w:rPr>
          <w:rFonts w:ascii="Arial" w:eastAsia="Calibri" w:hAnsi="Arial" w:cs="Arial"/>
          <w:lang w:val="en-US"/>
        </w:rPr>
        <w:t>es</w:t>
      </w:r>
      <w:r w:rsidRPr="001A3F98">
        <w:rPr>
          <w:rFonts w:ascii="Arial" w:eastAsia="Calibri" w:hAnsi="Arial" w:cs="Arial"/>
          <w:lang w:val="en-US"/>
        </w:rPr>
        <w:t xml:space="preserve"> </w:t>
      </w:r>
      <w:r>
        <w:rPr>
          <w:rFonts w:ascii="Arial" w:eastAsia="Calibri" w:hAnsi="Arial" w:cs="Arial"/>
          <w:lang w:val="en-US"/>
        </w:rPr>
        <w:t>are</w:t>
      </w:r>
      <w:r w:rsidRPr="001A3F98">
        <w:rPr>
          <w:rFonts w:ascii="Arial" w:eastAsia="Calibri" w:hAnsi="Arial" w:cs="Arial"/>
          <w:lang w:val="en-US"/>
        </w:rPr>
        <w:t xml:space="preserve"> the relationship between the level of managers and finance options used and the level of managers and challenges and opportunities associated with securing finance for real estate project development.</w:t>
      </w:r>
      <w:r>
        <w:rPr>
          <w:rFonts w:ascii="Arial" w:eastAsia="Calibri" w:hAnsi="Arial" w:cs="Arial"/>
          <w:lang w:val="en-US"/>
        </w:rPr>
        <w:t xml:space="preserve"> The correlation coefficient measures the strength of the relationship between two variables</w:t>
      </w:r>
      <w:r w:rsidR="008419C9">
        <w:rPr>
          <w:rFonts w:ascii="Arial" w:eastAsia="Calibri" w:hAnsi="Arial" w:cs="Arial"/>
          <w:lang w:val="en-US"/>
        </w:rPr>
        <w:t>,</w:t>
      </w:r>
      <w:r>
        <w:rPr>
          <w:rFonts w:ascii="Arial" w:eastAsia="Calibri" w:hAnsi="Arial" w:cs="Arial"/>
          <w:lang w:val="en-US"/>
        </w:rPr>
        <w:t xml:space="preserve"> and the values range from -1 to +1. A calculation greater than +1 or less than -1 indicates an error in the computation. </w:t>
      </w:r>
      <w:r w:rsidR="00644C33">
        <w:rPr>
          <w:rFonts w:ascii="Arial" w:eastAsia="Calibri" w:hAnsi="Arial" w:cs="Arial"/>
          <w:lang w:val="en-US"/>
        </w:rPr>
        <w:t>Conversely,</w:t>
      </w:r>
      <w:r>
        <w:rPr>
          <w:rFonts w:ascii="Arial" w:eastAsia="Calibri" w:hAnsi="Arial" w:cs="Arial"/>
          <w:lang w:val="en-US"/>
        </w:rPr>
        <w:t xml:space="preserve"> a correlation of -1 shows a perfect negative correlation</w:t>
      </w:r>
      <w:r w:rsidR="008419C9">
        <w:rPr>
          <w:rFonts w:ascii="Arial" w:eastAsia="Calibri" w:hAnsi="Arial" w:cs="Arial"/>
          <w:lang w:val="en-US"/>
        </w:rPr>
        <w:t>,</w:t>
      </w:r>
      <w:r>
        <w:rPr>
          <w:rFonts w:ascii="Arial" w:eastAsia="Calibri" w:hAnsi="Arial" w:cs="Arial"/>
          <w:lang w:val="en-US"/>
        </w:rPr>
        <w:t xml:space="preserve"> while a correlation of +1 shows a perfect positive correlation. While a correlation of 0.0 shows no linear relationship between the two variables </w:t>
      </w:r>
      <w:r w:rsidR="00644C33">
        <w:rPr>
          <w:rFonts w:ascii="Arial" w:eastAsia="Calibri" w:hAnsi="Arial" w:cs="Arial"/>
          <w:lang w:val="en-US"/>
        </w:rPr>
        <w:t>(Ganti</w:t>
      </w:r>
      <w:r>
        <w:rPr>
          <w:rFonts w:ascii="Arial" w:eastAsia="Calibri" w:hAnsi="Arial" w:cs="Arial"/>
          <w:lang w:val="en-US"/>
        </w:rPr>
        <w:t xml:space="preserve"> and Westfall, 2020).</w:t>
      </w:r>
    </w:p>
    <w:p w14:paraId="2206D023" w14:textId="040952EC" w:rsidR="00CD6352" w:rsidRDefault="00CD6352" w:rsidP="00CD6352">
      <w:pPr>
        <w:spacing w:line="360" w:lineRule="auto"/>
        <w:jc w:val="both"/>
        <w:rPr>
          <w:rFonts w:ascii="Arial" w:eastAsia="Calibri" w:hAnsi="Arial" w:cs="Arial"/>
          <w:lang w:val="en-US"/>
        </w:rPr>
      </w:pPr>
      <w:r>
        <w:rPr>
          <w:rFonts w:ascii="Arial" w:eastAsia="Calibri" w:hAnsi="Arial" w:cs="Arial"/>
          <w:lang w:val="en-US"/>
        </w:rPr>
        <w:t>Spearman’s Rho correlation</w:t>
      </w:r>
      <w:r w:rsidR="00BF24B7">
        <w:rPr>
          <w:rFonts w:ascii="Arial" w:eastAsia="Calibri" w:hAnsi="Arial" w:cs="Arial"/>
          <w:lang w:val="en-US"/>
        </w:rPr>
        <w:t>,</w:t>
      </w:r>
      <w:r>
        <w:rPr>
          <w:rFonts w:ascii="Arial" w:eastAsia="Calibri" w:hAnsi="Arial" w:cs="Arial"/>
          <w:lang w:val="en-US"/>
        </w:rPr>
        <w:t xml:space="preserve"> not Pearson correlation</w:t>
      </w:r>
      <w:r w:rsidR="00493206">
        <w:rPr>
          <w:rFonts w:ascii="Arial" w:eastAsia="Calibri" w:hAnsi="Arial" w:cs="Arial"/>
          <w:lang w:val="en-US"/>
        </w:rPr>
        <w:t>, was used because of the data distribution's non-normal nature and the data's ordinal nature</w:t>
      </w:r>
      <w:r>
        <w:rPr>
          <w:rFonts w:ascii="Arial" w:eastAsia="Calibri" w:hAnsi="Arial" w:cs="Arial"/>
          <w:lang w:val="en-US"/>
        </w:rPr>
        <w:t xml:space="preserve"> (Salkind, 2004). The interpretation of the value of correlation based on the work of Salkind (2004) is showed in </w:t>
      </w:r>
      <w:r w:rsidR="00BF24B7">
        <w:rPr>
          <w:rFonts w:ascii="Arial" w:eastAsia="Calibri" w:hAnsi="Arial" w:cs="Arial"/>
          <w:lang w:val="en-US"/>
        </w:rPr>
        <w:t xml:space="preserve">the </w:t>
      </w:r>
      <w:r w:rsidR="00525103">
        <w:rPr>
          <w:rFonts w:ascii="Arial" w:eastAsia="Calibri" w:hAnsi="Arial" w:cs="Arial"/>
          <w:lang w:val="en-US"/>
        </w:rPr>
        <w:t>table.</w:t>
      </w:r>
    </w:p>
    <w:p w14:paraId="7A6B9F1C" w14:textId="16700286" w:rsidR="00CD6352" w:rsidRPr="0058686F" w:rsidRDefault="00CD6352" w:rsidP="00CD6352">
      <w:pPr>
        <w:pStyle w:val="Caption"/>
        <w:keepNext/>
        <w:rPr>
          <w:i w:val="0"/>
          <w:iCs w:val="0"/>
        </w:rPr>
      </w:pPr>
      <w:bookmarkStart w:id="1040" w:name="_Toc78983963"/>
      <w:r w:rsidRPr="0058686F">
        <w:rPr>
          <w:i w:val="0"/>
          <w:iCs w:val="0"/>
        </w:rPr>
        <w:lastRenderedPageBreak/>
        <w:t xml:space="preserve">Table </w:t>
      </w:r>
      <w:r w:rsidR="008F25B1">
        <w:rPr>
          <w:i w:val="0"/>
          <w:iCs w:val="0"/>
        </w:rPr>
        <w:fldChar w:fldCharType="begin"/>
      </w:r>
      <w:r w:rsidR="008F25B1">
        <w:rPr>
          <w:i w:val="0"/>
          <w:iCs w:val="0"/>
        </w:rPr>
        <w:instrText xml:space="preserve"> STYLEREF 2 \s </w:instrText>
      </w:r>
      <w:r w:rsidR="008F25B1">
        <w:rPr>
          <w:i w:val="0"/>
          <w:iCs w:val="0"/>
        </w:rPr>
        <w:fldChar w:fldCharType="separate"/>
      </w:r>
      <w:r w:rsidR="008F25B1">
        <w:rPr>
          <w:i w:val="0"/>
          <w:iCs w:val="0"/>
          <w:noProof/>
        </w:rPr>
        <w:t>4.7</w:t>
      </w:r>
      <w:r w:rsidR="008F25B1">
        <w:rPr>
          <w:i w:val="0"/>
          <w:iCs w:val="0"/>
        </w:rPr>
        <w:fldChar w:fldCharType="end"/>
      </w:r>
      <w:r w:rsidR="008F25B1">
        <w:rPr>
          <w:i w:val="0"/>
          <w:iCs w:val="0"/>
        </w:rPr>
        <w:noBreakHyphen/>
      </w:r>
      <w:r w:rsidR="008F25B1">
        <w:rPr>
          <w:i w:val="0"/>
          <w:iCs w:val="0"/>
        </w:rPr>
        <w:fldChar w:fldCharType="begin"/>
      </w:r>
      <w:r w:rsidR="008F25B1">
        <w:rPr>
          <w:i w:val="0"/>
          <w:iCs w:val="0"/>
        </w:rPr>
        <w:instrText xml:space="preserve"> SEQ Table \* ARABIC \s 2 </w:instrText>
      </w:r>
      <w:r w:rsidR="008F25B1">
        <w:rPr>
          <w:i w:val="0"/>
          <w:iCs w:val="0"/>
        </w:rPr>
        <w:fldChar w:fldCharType="separate"/>
      </w:r>
      <w:r w:rsidR="008F25B1">
        <w:rPr>
          <w:i w:val="0"/>
          <w:iCs w:val="0"/>
          <w:noProof/>
        </w:rPr>
        <w:t>1</w:t>
      </w:r>
      <w:r w:rsidR="008F25B1">
        <w:rPr>
          <w:i w:val="0"/>
          <w:iCs w:val="0"/>
        </w:rPr>
        <w:fldChar w:fldCharType="end"/>
      </w:r>
      <w:r w:rsidRPr="0058686F">
        <w:rPr>
          <w:i w:val="0"/>
          <w:iCs w:val="0"/>
        </w:rPr>
        <w:t>: Interpreting a correlation coefficient</w:t>
      </w:r>
      <w:bookmarkEnd w:id="1040"/>
    </w:p>
    <w:tbl>
      <w:tblPr>
        <w:tblStyle w:val="TableGrid"/>
        <w:tblW w:w="0" w:type="auto"/>
        <w:tblLook w:val="04A0" w:firstRow="1" w:lastRow="0" w:firstColumn="1" w:lastColumn="0" w:noHBand="0" w:noVBand="1"/>
      </w:tblPr>
      <w:tblGrid>
        <w:gridCol w:w="4508"/>
        <w:gridCol w:w="4508"/>
      </w:tblGrid>
      <w:tr w:rsidR="00CD6352" w:rsidRPr="001F209B" w14:paraId="4B70FCD3" w14:textId="77777777" w:rsidTr="00CD6352">
        <w:tc>
          <w:tcPr>
            <w:tcW w:w="4508" w:type="dxa"/>
          </w:tcPr>
          <w:p w14:paraId="0DC3F18E"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Size of correlation</w:t>
            </w:r>
          </w:p>
        </w:tc>
        <w:tc>
          <w:tcPr>
            <w:tcW w:w="4508" w:type="dxa"/>
          </w:tcPr>
          <w:p w14:paraId="31169C25"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Coefficient general interpretation</w:t>
            </w:r>
          </w:p>
        </w:tc>
      </w:tr>
      <w:tr w:rsidR="00CD6352" w:rsidRPr="001F209B" w14:paraId="3ED94AA7" w14:textId="77777777" w:rsidTr="00CD6352">
        <w:tc>
          <w:tcPr>
            <w:tcW w:w="4508" w:type="dxa"/>
          </w:tcPr>
          <w:p w14:paraId="48A00C22"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.8 to 1.0</w:t>
            </w:r>
          </w:p>
        </w:tc>
        <w:tc>
          <w:tcPr>
            <w:tcW w:w="4508" w:type="dxa"/>
          </w:tcPr>
          <w:p w14:paraId="3EFE5A41"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Very strong relationship</w:t>
            </w:r>
          </w:p>
        </w:tc>
      </w:tr>
      <w:tr w:rsidR="00CD6352" w:rsidRPr="001F209B" w14:paraId="012F4E1D" w14:textId="77777777" w:rsidTr="00CD6352">
        <w:tc>
          <w:tcPr>
            <w:tcW w:w="4508" w:type="dxa"/>
          </w:tcPr>
          <w:p w14:paraId="3111B6BF"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.6 to 0.8</w:t>
            </w:r>
          </w:p>
        </w:tc>
        <w:tc>
          <w:tcPr>
            <w:tcW w:w="4508" w:type="dxa"/>
          </w:tcPr>
          <w:p w14:paraId="0F9C7B35"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Strong relationship</w:t>
            </w:r>
          </w:p>
        </w:tc>
      </w:tr>
      <w:tr w:rsidR="00CD6352" w:rsidRPr="001F209B" w14:paraId="2549828C" w14:textId="77777777" w:rsidTr="00CD6352">
        <w:tc>
          <w:tcPr>
            <w:tcW w:w="4508" w:type="dxa"/>
          </w:tcPr>
          <w:p w14:paraId="0ED4684F"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.4 to 0.6</w:t>
            </w:r>
          </w:p>
        </w:tc>
        <w:tc>
          <w:tcPr>
            <w:tcW w:w="4508" w:type="dxa"/>
          </w:tcPr>
          <w:p w14:paraId="05B253E7"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Moderate relationship</w:t>
            </w:r>
          </w:p>
        </w:tc>
      </w:tr>
      <w:tr w:rsidR="00CD6352" w:rsidRPr="001F209B" w14:paraId="6CCEF10C" w14:textId="77777777" w:rsidTr="00CD6352">
        <w:tc>
          <w:tcPr>
            <w:tcW w:w="4508" w:type="dxa"/>
          </w:tcPr>
          <w:p w14:paraId="10220AD8"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.2 to 0.4</w:t>
            </w:r>
          </w:p>
        </w:tc>
        <w:tc>
          <w:tcPr>
            <w:tcW w:w="4508" w:type="dxa"/>
          </w:tcPr>
          <w:p w14:paraId="0506B15D"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Weak relationship</w:t>
            </w:r>
          </w:p>
        </w:tc>
      </w:tr>
      <w:tr w:rsidR="00CD6352" w:rsidRPr="001F209B" w14:paraId="2FCADED8" w14:textId="77777777" w:rsidTr="00CD6352">
        <w:tc>
          <w:tcPr>
            <w:tcW w:w="4508" w:type="dxa"/>
          </w:tcPr>
          <w:p w14:paraId="5A023AA7"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.0 to 0.2</w:t>
            </w:r>
          </w:p>
        </w:tc>
        <w:tc>
          <w:tcPr>
            <w:tcW w:w="4508" w:type="dxa"/>
          </w:tcPr>
          <w:p w14:paraId="22910072" w14:textId="77777777" w:rsidR="00CD6352" w:rsidRPr="001F209B" w:rsidRDefault="00CD6352" w:rsidP="00CD6352">
            <w:pPr>
              <w:spacing w:line="360" w:lineRule="auto"/>
              <w:jc w:val="both"/>
              <w:rPr>
                <w:rFonts w:ascii="Arial" w:eastAsia="Calibri" w:hAnsi="Arial" w:cs="Arial"/>
                <w:sz w:val="16"/>
                <w:szCs w:val="16"/>
                <w:lang w:val="en-US"/>
              </w:rPr>
            </w:pPr>
            <w:r w:rsidRPr="001F209B">
              <w:rPr>
                <w:rFonts w:ascii="Arial" w:eastAsia="Calibri" w:hAnsi="Arial" w:cs="Arial"/>
                <w:sz w:val="16"/>
                <w:szCs w:val="16"/>
                <w:lang w:val="en-US"/>
              </w:rPr>
              <w:t>Weak or no relationship</w:t>
            </w:r>
          </w:p>
        </w:tc>
      </w:tr>
    </w:tbl>
    <w:p w14:paraId="14D3DE9C" w14:textId="39668EB2" w:rsidR="00CD6352" w:rsidRDefault="00CD6352" w:rsidP="00CD6352">
      <w:pPr>
        <w:spacing w:line="360" w:lineRule="auto"/>
        <w:jc w:val="both"/>
        <w:rPr>
          <w:rFonts w:ascii="Arial" w:eastAsia="Calibri" w:hAnsi="Arial" w:cs="Arial"/>
          <w:lang w:val="en-US"/>
        </w:rPr>
      </w:pPr>
    </w:p>
    <w:p w14:paraId="1F0FCDDB" w14:textId="77777777" w:rsidR="00CD6352" w:rsidRPr="00EA7665" w:rsidRDefault="00CD6352" w:rsidP="00CD6352">
      <w:pPr>
        <w:spacing w:line="360" w:lineRule="auto"/>
        <w:jc w:val="both"/>
        <w:rPr>
          <w:rFonts w:ascii="Arial" w:eastAsia="Calibri" w:hAnsi="Arial" w:cs="Arial"/>
          <w:lang w:val="en-US"/>
        </w:rPr>
      </w:pPr>
      <w:r>
        <w:rPr>
          <w:rFonts w:ascii="Arial" w:eastAsia="Calibri" w:hAnsi="Arial" w:cs="Arial"/>
          <w:lang w:val="en-US"/>
        </w:rPr>
        <w:t xml:space="preserve"> </w:t>
      </w:r>
    </w:p>
    <w:p w14:paraId="3C591377" w14:textId="390403ED" w:rsidR="00CD6352" w:rsidRPr="00EA7665" w:rsidRDefault="00CD6352" w:rsidP="00CD6352">
      <w:pPr>
        <w:pStyle w:val="Caption"/>
        <w:keepNext/>
        <w:rPr>
          <w:rFonts w:ascii="Arial" w:hAnsi="Arial" w:cs="Arial"/>
          <w:sz w:val="16"/>
          <w:szCs w:val="16"/>
        </w:rPr>
      </w:pPr>
      <w:bookmarkStart w:id="1041" w:name="_Toc78983964"/>
      <w:r w:rsidRPr="00EA766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4.7</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EA7665">
        <w:rPr>
          <w:rFonts w:ascii="Arial" w:hAnsi="Arial" w:cs="Arial"/>
          <w:sz w:val="16"/>
          <w:szCs w:val="16"/>
        </w:rPr>
        <w:t>:</w:t>
      </w:r>
      <w:r w:rsidRPr="00EA7665">
        <w:rPr>
          <w:rFonts w:ascii="Arial" w:hAnsi="Arial" w:cs="Arial"/>
          <w:i w:val="0"/>
          <w:iCs w:val="0"/>
          <w:color w:val="auto"/>
          <w:sz w:val="16"/>
          <w:szCs w:val="16"/>
        </w:rPr>
        <w:t xml:space="preserve"> </w:t>
      </w:r>
      <w:r w:rsidRPr="00EA7665">
        <w:rPr>
          <w:rFonts w:ascii="Arial" w:hAnsi="Arial" w:cs="Arial"/>
          <w:sz w:val="16"/>
          <w:szCs w:val="16"/>
        </w:rPr>
        <w:t>Summary of the data analysis method used</w:t>
      </w:r>
      <w:bookmarkEnd w:id="1041"/>
    </w:p>
    <w:tbl>
      <w:tblPr>
        <w:tblStyle w:val="TableGrid"/>
        <w:tblW w:w="0" w:type="auto"/>
        <w:tblLook w:val="04A0" w:firstRow="1" w:lastRow="0" w:firstColumn="1" w:lastColumn="0" w:noHBand="0" w:noVBand="1"/>
      </w:tblPr>
      <w:tblGrid>
        <w:gridCol w:w="1859"/>
        <w:gridCol w:w="2685"/>
        <w:gridCol w:w="3608"/>
        <w:gridCol w:w="864"/>
      </w:tblGrid>
      <w:tr w:rsidR="00CD6352" w:rsidRPr="00EA7665" w14:paraId="6BAA7E94" w14:textId="77777777" w:rsidTr="00CD6352">
        <w:tc>
          <w:tcPr>
            <w:tcW w:w="0" w:type="auto"/>
          </w:tcPr>
          <w:p w14:paraId="404C8BF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Data collection technique</w:t>
            </w:r>
          </w:p>
        </w:tc>
        <w:tc>
          <w:tcPr>
            <w:tcW w:w="0" w:type="auto"/>
          </w:tcPr>
          <w:p w14:paraId="53A1F3A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Analysis method</w:t>
            </w:r>
          </w:p>
        </w:tc>
        <w:tc>
          <w:tcPr>
            <w:tcW w:w="0" w:type="auto"/>
          </w:tcPr>
          <w:p w14:paraId="070DD3C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Analysis technique</w:t>
            </w:r>
          </w:p>
        </w:tc>
        <w:tc>
          <w:tcPr>
            <w:tcW w:w="0" w:type="auto"/>
          </w:tcPr>
          <w:p w14:paraId="3881EE9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Software</w:t>
            </w:r>
          </w:p>
        </w:tc>
      </w:tr>
      <w:tr w:rsidR="00CD6352" w:rsidRPr="00EA7665" w14:paraId="2947C77D" w14:textId="77777777" w:rsidTr="00CD6352">
        <w:tc>
          <w:tcPr>
            <w:tcW w:w="0" w:type="auto"/>
          </w:tcPr>
          <w:p w14:paraId="06C6D34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Semi-structured interview</w:t>
            </w:r>
          </w:p>
        </w:tc>
        <w:tc>
          <w:tcPr>
            <w:tcW w:w="0" w:type="auto"/>
          </w:tcPr>
          <w:p w14:paraId="14A4FB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Thematic</w:t>
            </w:r>
          </w:p>
        </w:tc>
        <w:tc>
          <w:tcPr>
            <w:tcW w:w="0" w:type="auto"/>
          </w:tcPr>
          <w:p w14:paraId="1846BA2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Thematic analysis</w:t>
            </w:r>
          </w:p>
        </w:tc>
        <w:tc>
          <w:tcPr>
            <w:tcW w:w="0" w:type="auto"/>
          </w:tcPr>
          <w:p w14:paraId="6C5F90E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Manually</w:t>
            </w:r>
          </w:p>
        </w:tc>
      </w:tr>
      <w:tr w:rsidR="00CD6352" w:rsidRPr="00EA7665" w14:paraId="51CB5B4A" w14:textId="77777777" w:rsidTr="00CD6352">
        <w:tc>
          <w:tcPr>
            <w:tcW w:w="0" w:type="auto"/>
            <w:vMerge w:val="restart"/>
          </w:tcPr>
          <w:p w14:paraId="41BCD5C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Questionnaire survey</w:t>
            </w:r>
          </w:p>
        </w:tc>
        <w:tc>
          <w:tcPr>
            <w:tcW w:w="0" w:type="auto"/>
          </w:tcPr>
          <w:p w14:paraId="04615B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Descriptive statistics </w:t>
            </w:r>
          </w:p>
        </w:tc>
        <w:tc>
          <w:tcPr>
            <w:tcW w:w="0" w:type="auto"/>
          </w:tcPr>
          <w:p w14:paraId="25EDF66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Frequencies</w:t>
            </w:r>
            <w:r>
              <w:rPr>
                <w:rFonts w:ascii="Arial" w:hAnsi="Arial" w:cs="Arial"/>
                <w:sz w:val="16"/>
                <w:szCs w:val="16"/>
              </w:rPr>
              <w:t>, percentages &amp; comparison of mean scores</w:t>
            </w:r>
          </w:p>
        </w:tc>
        <w:tc>
          <w:tcPr>
            <w:tcW w:w="0" w:type="auto"/>
          </w:tcPr>
          <w:p w14:paraId="3513C07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SPSS 21</w:t>
            </w:r>
          </w:p>
        </w:tc>
      </w:tr>
      <w:tr w:rsidR="00CD6352" w:rsidRPr="00EA7665" w14:paraId="64C1CD94" w14:textId="77777777" w:rsidTr="00CD6352">
        <w:tc>
          <w:tcPr>
            <w:tcW w:w="0" w:type="auto"/>
            <w:vMerge/>
          </w:tcPr>
          <w:p w14:paraId="0179F95B" w14:textId="77777777" w:rsidR="00CD6352" w:rsidRPr="00EA7665" w:rsidRDefault="00CD6352" w:rsidP="00CD6352">
            <w:pPr>
              <w:jc w:val="both"/>
              <w:rPr>
                <w:rFonts w:ascii="Arial" w:hAnsi="Arial" w:cs="Arial"/>
                <w:sz w:val="16"/>
                <w:szCs w:val="16"/>
              </w:rPr>
            </w:pPr>
          </w:p>
        </w:tc>
        <w:tc>
          <w:tcPr>
            <w:tcW w:w="0" w:type="auto"/>
          </w:tcPr>
          <w:p w14:paraId="3F5FD8DF" w14:textId="74DC0CBB" w:rsidR="00CD6352" w:rsidRPr="00EA7665" w:rsidRDefault="00CD6352" w:rsidP="00CD6352">
            <w:pPr>
              <w:jc w:val="both"/>
              <w:rPr>
                <w:rFonts w:ascii="Arial" w:hAnsi="Arial" w:cs="Arial"/>
                <w:sz w:val="16"/>
                <w:szCs w:val="16"/>
              </w:rPr>
            </w:pPr>
            <w:r>
              <w:rPr>
                <w:rFonts w:ascii="Arial" w:hAnsi="Arial" w:cs="Arial"/>
                <w:sz w:val="16"/>
                <w:szCs w:val="16"/>
              </w:rPr>
              <w:t xml:space="preserve">Inferential statistics </w:t>
            </w:r>
            <w:r w:rsidR="00644C33">
              <w:rPr>
                <w:rFonts w:ascii="Arial" w:hAnsi="Arial" w:cs="Arial"/>
                <w:sz w:val="16"/>
                <w:szCs w:val="16"/>
              </w:rPr>
              <w:t>(non</w:t>
            </w:r>
            <w:r>
              <w:rPr>
                <w:rFonts w:ascii="Arial" w:hAnsi="Arial" w:cs="Arial"/>
                <w:sz w:val="16"/>
                <w:szCs w:val="16"/>
              </w:rPr>
              <w:t>-parametric test)</w:t>
            </w:r>
          </w:p>
        </w:tc>
        <w:tc>
          <w:tcPr>
            <w:tcW w:w="0" w:type="auto"/>
          </w:tcPr>
          <w:p w14:paraId="5B0FC16C" w14:textId="77777777" w:rsidR="00CD6352" w:rsidRPr="00EA7665" w:rsidRDefault="00CD6352" w:rsidP="00CD6352">
            <w:pPr>
              <w:jc w:val="both"/>
              <w:rPr>
                <w:rFonts w:ascii="Arial" w:hAnsi="Arial" w:cs="Arial"/>
                <w:sz w:val="16"/>
                <w:szCs w:val="16"/>
              </w:rPr>
            </w:pPr>
            <w:r>
              <w:rPr>
                <w:rFonts w:ascii="Arial" w:hAnsi="Arial" w:cs="Arial"/>
                <w:sz w:val="16"/>
                <w:szCs w:val="16"/>
              </w:rPr>
              <w:t>Spearman’s coefficient of correlation</w:t>
            </w:r>
          </w:p>
        </w:tc>
        <w:tc>
          <w:tcPr>
            <w:tcW w:w="0" w:type="auto"/>
          </w:tcPr>
          <w:p w14:paraId="067C2C72" w14:textId="77777777" w:rsidR="00CD6352" w:rsidRPr="00EA7665" w:rsidRDefault="00CD6352" w:rsidP="00CD6352">
            <w:pPr>
              <w:jc w:val="both"/>
              <w:rPr>
                <w:rFonts w:ascii="Arial" w:hAnsi="Arial" w:cs="Arial"/>
                <w:sz w:val="16"/>
                <w:szCs w:val="16"/>
              </w:rPr>
            </w:pPr>
            <w:r>
              <w:rPr>
                <w:rFonts w:ascii="Arial" w:hAnsi="Arial" w:cs="Arial"/>
                <w:sz w:val="16"/>
                <w:szCs w:val="16"/>
              </w:rPr>
              <w:t>SPSS 21</w:t>
            </w:r>
          </w:p>
        </w:tc>
      </w:tr>
    </w:tbl>
    <w:p w14:paraId="79F8A17F" w14:textId="15BEE9B1" w:rsidR="00CD6352" w:rsidRDefault="00CD6352" w:rsidP="00CD6352">
      <w:pPr>
        <w:spacing w:after="0" w:line="360" w:lineRule="auto"/>
        <w:ind w:left="360"/>
        <w:jc w:val="both"/>
        <w:rPr>
          <w:rFonts w:ascii="Arial" w:hAnsi="Arial" w:cs="Arial"/>
          <w:sz w:val="16"/>
          <w:szCs w:val="16"/>
        </w:rPr>
      </w:pPr>
      <w:r w:rsidRPr="00EA7665">
        <w:rPr>
          <w:rFonts w:ascii="Arial" w:hAnsi="Arial" w:cs="Arial"/>
          <w:sz w:val="16"/>
          <w:szCs w:val="16"/>
        </w:rPr>
        <w:t>Source: Author’s compilation (2019)</w:t>
      </w:r>
    </w:p>
    <w:p w14:paraId="117221D7" w14:textId="71AA7E1B" w:rsidR="008571EF" w:rsidRPr="00A23D0A" w:rsidRDefault="00CE6B2B" w:rsidP="00A23D0A">
      <w:pPr>
        <w:pStyle w:val="Heading4"/>
        <w:rPr>
          <w:rStyle w:val="Strong"/>
          <w:rFonts w:ascii="Arial" w:hAnsi="Arial" w:cs="Arial"/>
          <w:color w:val="auto"/>
        </w:rPr>
      </w:pPr>
      <w:r w:rsidRPr="00A23D0A">
        <w:rPr>
          <w:rStyle w:val="Strong"/>
          <w:rFonts w:ascii="Arial" w:hAnsi="Arial" w:cs="Arial"/>
          <w:color w:val="auto"/>
        </w:rPr>
        <w:t>N</w:t>
      </w:r>
      <w:r w:rsidR="008571EF" w:rsidRPr="00A23D0A">
        <w:rPr>
          <w:rStyle w:val="Strong"/>
          <w:rFonts w:ascii="Arial" w:hAnsi="Arial" w:cs="Arial"/>
          <w:color w:val="auto"/>
        </w:rPr>
        <w:t>ormality</w:t>
      </w:r>
    </w:p>
    <w:p w14:paraId="2269A738" w14:textId="6A176D4B" w:rsidR="00076D6D" w:rsidRDefault="008571EF" w:rsidP="00A23D0A">
      <w:pPr>
        <w:spacing w:after="0" w:line="360" w:lineRule="auto"/>
        <w:jc w:val="both"/>
        <w:rPr>
          <w:rFonts w:ascii="Arial" w:hAnsi="Arial" w:cs="Arial"/>
        </w:rPr>
      </w:pPr>
      <w:r w:rsidRPr="00A23D0A">
        <w:rPr>
          <w:rFonts w:ascii="Arial" w:hAnsi="Arial" w:cs="Arial"/>
        </w:rPr>
        <w:t xml:space="preserve">This study used </w:t>
      </w:r>
      <w:r w:rsidR="00BF24B7">
        <w:rPr>
          <w:rFonts w:ascii="Arial" w:hAnsi="Arial" w:cs="Arial"/>
        </w:rPr>
        <w:t xml:space="preserve">the </w:t>
      </w:r>
      <w:r w:rsidRPr="00A23D0A">
        <w:rPr>
          <w:rFonts w:ascii="Arial" w:hAnsi="Arial" w:cs="Arial"/>
        </w:rPr>
        <w:t>Kolmogorov-Smirnov test and Shapiro-Wilk test to ascertain if the dependent and independent variables are normally distributed or not (Shapiro. &amp; Francia, ,1972). According to Pallant, (2001)</w:t>
      </w:r>
      <w:r w:rsidR="00BF24B7">
        <w:rPr>
          <w:rFonts w:ascii="Arial" w:hAnsi="Arial" w:cs="Arial"/>
        </w:rPr>
        <w:t>,</w:t>
      </w:r>
      <w:r w:rsidRPr="00A23D0A">
        <w:rPr>
          <w:rFonts w:ascii="Arial" w:hAnsi="Arial" w:cs="Arial"/>
        </w:rPr>
        <w:t xml:space="preserve"> as contained in Zin (2013), the test for normality is not always required for analysis (Zin,2013).  The results for most of the constructs, especially the dependent variables such as Challenges, opportunities, critical success factors, management skills, management knowledge and management competences show significant p-values which are higher than 0.05; consequently, they are normally distributed. Normally distributed data ordinarily should use </w:t>
      </w:r>
      <w:r w:rsidR="00BF24B7">
        <w:rPr>
          <w:rFonts w:ascii="Arial" w:hAnsi="Arial" w:cs="Arial"/>
        </w:rPr>
        <w:t xml:space="preserve">the </w:t>
      </w:r>
      <w:r w:rsidRPr="00A23D0A">
        <w:rPr>
          <w:rFonts w:ascii="Arial" w:hAnsi="Arial" w:cs="Arial"/>
        </w:rPr>
        <w:t>parametric method of analysis. However, Kolmogorov -Smirnov and Shapiro-Wilk test could not be conducted for finance options and some independent variables such as management level because there were not enough valid cases to perform the test</w:t>
      </w:r>
      <w:r w:rsidR="00076D6D" w:rsidRPr="00A23D0A">
        <w:rPr>
          <w:rFonts w:ascii="Arial" w:hAnsi="Arial" w:cs="Arial"/>
        </w:rPr>
        <w:t>.</w:t>
      </w:r>
    </w:p>
    <w:p w14:paraId="38B714A8" w14:textId="72965C76" w:rsidR="008571EF" w:rsidRPr="00A23D0A" w:rsidRDefault="008571EF" w:rsidP="00A23D0A">
      <w:pPr>
        <w:spacing w:after="0" w:line="360" w:lineRule="auto"/>
        <w:jc w:val="both"/>
        <w:rPr>
          <w:rFonts w:ascii="Arial" w:hAnsi="Arial" w:cs="Arial"/>
        </w:rPr>
      </w:pPr>
      <w:r w:rsidRPr="00A23D0A">
        <w:rPr>
          <w:rFonts w:ascii="Arial" w:hAnsi="Arial" w:cs="Arial"/>
        </w:rPr>
        <w:t xml:space="preserve">Consequently, this study adopted </w:t>
      </w:r>
      <w:r w:rsidR="00BF24B7">
        <w:rPr>
          <w:rFonts w:ascii="Arial" w:hAnsi="Arial" w:cs="Arial"/>
        </w:rPr>
        <w:t xml:space="preserve">a </w:t>
      </w:r>
      <w:r w:rsidRPr="00A23D0A">
        <w:rPr>
          <w:rFonts w:ascii="Arial" w:hAnsi="Arial" w:cs="Arial"/>
        </w:rPr>
        <w:t>non-parametric test for data analysis. The nonparametric tests</w:t>
      </w:r>
      <w:r w:rsidR="00076D6D">
        <w:rPr>
          <w:rFonts w:ascii="Arial" w:hAnsi="Arial" w:cs="Arial"/>
        </w:rPr>
        <w:t>,</w:t>
      </w:r>
      <w:r w:rsidRPr="00A23D0A">
        <w:rPr>
          <w:rFonts w:ascii="Arial" w:hAnsi="Arial" w:cs="Arial"/>
        </w:rPr>
        <w:t xml:space="preserve"> which </w:t>
      </w:r>
      <w:r w:rsidR="00BF24B7">
        <w:rPr>
          <w:rFonts w:ascii="Arial" w:hAnsi="Arial" w:cs="Arial"/>
        </w:rPr>
        <w:t>are</w:t>
      </w:r>
      <w:r w:rsidRPr="00A23D0A">
        <w:rPr>
          <w:rFonts w:ascii="Arial" w:hAnsi="Arial" w:cs="Arial"/>
        </w:rPr>
        <w:t xml:space="preserve"> also called distribution-free test</w:t>
      </w:r>
      <w:r w:rsidR="0054456B">
        <w:rPr>
          <w:rFonts w:ascii="Arial" w:hAnsi="Arial" w:cs="Arial"/>
        </w:rPr>
        <w:t>s</w:t>
      </w:r>
      <w:r w:rsidR="00076D6D">
        <w:rPr>
          <w:rFonts w:ascii="Arial" w:hAnsi="Arial" w:cs="Arial"/>
        </w:rPr>
        <w:t>,</w:t>
      </w:r>
      <w:r w:rsidRPr="00A23D0A">
        <w:rPr>
          <w:rFonts w:ascii="Arial" w:hAnsi="Arial" w:cs="Arial"/>
        </w:rPr>
        <w:t xml:space="preserve"> w</w:t>
      </w:r>
      <w:r w:rsidR="00BF24B7">
        <w:rPr>
          <w:rFonts w:ascii="Arial" w:hAnsi="Arial" w:cs="Arial"/>
        </w:rPr>
        <w:t>ere</w:t>
      </w:r>
      <w:r w:rsidRPr="00A23D0A">
        <w:rPr>
          <w:rFonts w:ascii="Arial" w:hAnsi="Arial" w:cs="Arial"/>
        </w:rPr>
        <w:t xml:space="preserve"> used because they are based on fewer assumptions. They do not assume that the outcome is approximately normally distributed (Sullivan, 2020). Furthermore, the non-parametric test was used </w:t>
      </w:r>
      <w:r w:rsidR="00076D6D">
        <w:rPr>
          <w:rFonts w:ascii="Arial" w:hAnsi="Arial" w:cs="Arial"/>
        </w:rPr>
        <w:t>to apply it</w:t>
      </w:r>
      <w:r w:rsidRPr="00A23D0A">
        <w:rPr>
          <w:rFonts w:ascii="Arial" w:hAnsi="Arial" w:cs="Arial"/>
        </w:rPr>
        <w:t xml:space="preserve"> to data types such as ordinal or nominal data. </w:t>
      </w:r>
      <w:r w:rsidR="0077519F">
        <w:rPr>
          <w:rFonts w:ascii="Arial" w:hAnsi="Arial" w:cs="Arial"/>
        </w:rPr>
        <w:t>A n</w:t>
      </w:r>
      <w:r w:rsidRPr="00A23D0A">
        <w:rPr>
          <w:rFonts w:ascii="Arial" w:hAnsi="Arial" w:cs="Arial"/>
        </w:rPr>
        <w:t xml:space="preserve">on-parametric test was used because some of the variables did not show significant proof of normality. Some of the variables that did not show significant </w:t>
      </w:r>
      <w:r w:rsidRPr="00A23D0A">
        <w:rPr>
          <w:rFonts w:ascii="Arial" w:hAnsi="Arial" w:cs="Arial"/>
        </w:rPr>
        <w:lastRenderedPageBreak/>
        <w:t xml:space="preserve">proof of normality are finance options, qualification, degree of development and category of management levels. However, </w:t>
      </w:r>
      <w:r w:rsidR="0077519F">
        <w:rPr>
          <w:rFonts w:ascii="Arial" w:hAnsi="Arial" w:cs="Arial"/>
        </w:rPr>
        <w:t xml:space="preserve">a </w:t>
      </w:r>
      <w:r w:rsidRPr="00A23D0A">
        <w:rPr>
          <w:rFonts w:ascii="Arial" w:hAnsi="Arial" w:cs="Arial"/>
        </w:rPr>
        <w:t>significant part of the data showed a normal distribution</w:t>
      </w:r>
    </w:p>
    <w:p w14:paraId="62A03EA8" w14:textId="1F718726" w:rsidR="008571EF" w:rsidRPr="00A23D0A" w:rsidRDefault="008571EF" w:rsidP="00A23D0A">
      <w:pPr>
        <w:spacing w:after="0" w:line="360" w:lineRule="auto"/>
        <w:jc w:val="both"/>
        <w:rPr>
          <w:rFonts w:ascii="Arial" w:hAnsi="Arial" w:cs="Arial"/>
        </w:rPr>
      </w:pPr>
      <w:r w:rsidRPr="00A23D0A">
        <w:rPr>
          <w:rFonts w:ascii="Arial" w:hAnsi="Arial" w:cs="Arial"/>
        </w:rPr>
        <w:t>The specific non-parametric test used in this study is Spearman’s Rho</w:t>
      </w:r>
      <w:r w:rsidR="00076D6D">
        <w:rPr>
          <w:rFonts w:ascii="Arial" w:hAnsi="Arial" w:cs="Arial"/>
        </w:rPr>
        <w:t>, which measures</w:t>
      </w:r>
      <w:r w:rsidRPr="00A23D0A">
        <w:rPr>
          <w:rFonts w:ascii="Arial" w:hAnsi="Arial" w:cs="Arial"/>
        </w:rPr>
        <w:t xml:space="preserve"> the strength of association between two variables </w:t>
      </w:r>
      <w:r w:rsidR="00076D6D">
        <w:rPr>
          <w:rFonts w:ascii="Arial" w:hAnsi="Arial" w:cs="Arial"/>
        </w:rPr>
        <w:t>.</w:t>
      </w:r>
    </w:p>
    <w:p w14:paraId="389093C4" w14:textId="77777777" w:rsidR="008571EF" w:rsidRPr="008571EF" w:rsidRDefault="008571EF" w:rsidP="008571EF">
      <w:pPr>
        <w:spacing w:after="0" w:line="360" w:lineRule="auto"/>
        <w:jc w:val="both"/>
        <w:rPr>
          <w:rFonts w:ascii="Arial" w:hAnsi="Arial" w:cs="Arial"/>
          <w:sz w:val="16"/>
          <w:szCs w:val="16"/>
        </w:rPr>
      </w:pPr>
    </w:p>
    <w:p w14:paraId="4097E573" w14:textId="514C8F57" w:rsidR="008571EF" w:rsidRPr="0077519F" w:rsidRDefault="008571EF" w:rsidP="008571EF">
      <w:pPr>
        <w:pStyle w:val="Caption"/>
        <w:keepNext/>
        <w:rPr>
          <w:rFonts w:ascii="Arial" w:hAnsi="Arial" w:cs="Arial"/>
          <w:sz w:val="16"/>
          <w:szCs w:val="16"/>
        </w:rPr>
      </w:pPr>
      <w:bookmarkStart w:id="1042" w:name="_Toc78983965"/>
      <w:r w:rsidRPr="0077519F">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4.7</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77519F">
        <w:rPr>
          <w:rFonts w:ascii="Arial" w:hAnsi="Arial" w:cs="Arial"/>
          <w:sz w:val="16"/>
          <w:szCs w:val="16"/>
        </w:rPr>
        <w:t>: Tests for normality:</w:t>
      </w:r>
      <w:bookmarkEnd w:id="1042"/>
    </w:p>
    <w:tbl>
      <w:tblPr>
        <w:tblStyle w:val="TableGrid"/>
        <w:tblW w:w="5000" w:type="pct"/>
        <w:tblLook w:val="04A0" w:firstRow="1" w:lastRow="0" w:firstColumn="1" w:lastColumn="0" w:noHBand="0" w:noVBand="1"/>
      </w:tblPr>
      <w:tblGrid>
        <w:gridCol w:w="4062"/>
        <w:gridCol w:w="1547"/>
        <w:gridCol w:w="1114"/>
        <w:gridCol w:w="1334"/>
        <w:gridCol w:w="959"/>
      </w:tblGrid>
      <w:tr w:rsidR="008571EF" w:rsidRPr="0077519F" w14:paraId="45F42ED9" w14:textId="77777777" w:rsidTr="008571EF">
        <w:tc>
          <w:tcPr>
            <w:tcW w:w="2252" w:type="pct"/>
            <w:vMerge w:val="restart"/>
          </w:tcPr>
          <w:p w14:paraId="0E02D8E8"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Items</w:t>
            </w:r>
          </w:p>
        </w:tc>
        <w:tc>
          <w:tcPr>
            <w:tcW w:w="1476" w:type="pct"/>
            <w:gridSpan w:val="2"/>
          </w:tcPr>
          <w:p w14:paraId="1E48069D"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Kolmogorov-Smirnov</w:t>
            </w:r>
          </w:p>
        </w:tc>
        <w:tc>
          <w:tcPr>
            <w:tcW w:w="1272" w:type="pct"/>
            <w:gridSpan w:val="2"/>
          </w:tcPr>
          <w:p w14:paraId="4C326FB4"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Shapiro-Wilk</w:t>
            </w:r>
          </w:p>
        </w:tc>
      </w:tr>
      <w:tr w:rsidR="008571EF" w:rsidRPr="0077519F" w14:paraId="0AB405C6" w14:textId="77777777" w:rsidTr="008571EF">
        <w:tc>
          <w:tcPr>
            <w:tcW w:w="2252" w:type="pct"/>
            <w:vMerge/>
          </w:tcPr>
          <w:p w14:paraId="43B6083C" w14:textId="77777777" w:rsidR="008571EF" w:rsidRPr="0077519F" w:rsidRDefault="008571EF" w:rsidP="008571EF">
            <w:pPr>
              <w:spacing w:after="0" w:line="360" w:lineRule="auto"/>
              <w:jc w:val="both"/>
              <w:rPr>
                <w:rFonts w:ascii="Arial" w:hAnsi="Arial" w:cs="Arial"/>
                <w:sz w:val="16"/>
                <w:szCs w:val="16"/>
              </w:rPr>
            </w:pPr>
          </w:p>
        </w:tc>
        <w:tc>
          <w:tcPr>
            <w:tcW w:w="858" w:type="pct"/>
          </w:tcPr>
          <w:p w14:paraId="3966B1A0"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Statistics</w:t>
            </w:r>
          </w:p>
        </w:tc>
        <w:tc>
          <w:tcPr>
            <w:tcW w:w="618" w:type="pct"/>
          </w:tcPr>
          <w:p w14:paraId="33B91A12"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Sig</w:t>
            </w:r>
          </w:p>
        </w:tc>
        <w:tc>
          <w:tcPr>
            <w:tcW w:w="740" w:type="pct"/>
          </w:tcPr>
          <w:p w14:paraId="5F2A014C"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Statistics</w:t>
            </w:r>
          </w:p>
        </w:tc>
        <w:tc>
          <w:tcPr>
            <w:tcW w:w="533" w:type="pct"/>
          </w:tcPr>
          <w:p w14:paraId="6980BBDD"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Sig</w:t>
            </w:r>
          </w:p>
        </w:tc>
      </w:tr>
      <w:tr w:rsidR="008571EF" w:rsidRPr="0077519F" w14:paraId="1AF5998C" w14:textId="77777777" w:rsidTr="008571EF">
        <w:tc>
          <w:tcPr>
            <w:tcW w:w="2252" w:type="pct"/>
          </w:tcPr>
          <w:p w14:paraId="374E3367"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 xml:space="preserve">Challenges </w:t>
            </w:r>
          </w:p>
        </w:tc>
        <w:tc>
          <w:tcPr>
            <w:tcW w:w="858" w:type="pct"/>
          </w:tcPr>
          <w:p w14:paraId="4E16D248"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0.212</w:t>
            </w:r>
          </w:p>
        </w:tc>
        <w:tc>
          <w:tcPr>
            <w:tcW w:w="618" w:type="pct"/>
          </w:tcPr>
          <w:p w14:paraId="5C8DE228"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0.001</w:t>
            </w:r>
          </w:p>
        </w:tc>
        <w:tc>
          <w:tcPr>
            <w:tcW w:w="740" w:type="pct"/>
          </w:tcPr>
          <w:p w14:paraId="4A29F5BE"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0.871</w:t>
            </w:r>
          </w:p>
        </w:tc>
        <w:tc>
          <w:tcPr>
            <w:tcW w:w="533" w:type="pct"/>
          </w:tcPr>
          <w:p w14:paraId="46C5525D"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0.001</w:t>
            </w:r>
          </w:p>
        </w:tc>
      </w:tr>
      <w:tr w:rsidR="008571EF" w:rsidRPr="0077519F" w14:paraId="0347BF14" w14:textId="77777777" w:rsidTr="008571EF">
        <w:tc>
          <w:tcPr>
            <w:tcW w:w="2252" w:type="pct"/>
          </w:tcPr>
          <w:p w14:paraId="5B104894"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Opportunities</w:t>
            </w:r>
          </w:p>
        </w:tc>
        <w:tc>
          <w:tcPr>
            <w:tcW w:w="858" w:type="pct"/>
          </w:tcPr>
          <w:p w14:paraId="1ABD42DD"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0.229</w:t>
            </w:r>
          </w:p>
        </w:tc>
        <w:tc>
          <w:tcPr>
            <w:tcW w:w="618" w:type="pct"/>
          </w:tcPr>
          <w:p w14:paraId="69BADDBE"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0.000</w:t>
            </w:r>
          </w:p>
        </w:tc>
        <w:tc>
          <w:tcPr>
            <w:tcW w:w="740" w:type="pct"/>
          </w:tcPr>
          <w:p w14:paraId="40D9AA79"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0.878</w:t>
            </w:r>
          </w:p>
        </w:tc>
        <w:tc>
          <w:tcPr>
            <w:tcW w:w="533" w:type="pct"/>
          </w:tcPr>
          <w:p w14:paraId="796DC5BC"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0.001</w:t>
            </w:r>
          </w:p>
        </w:tc>
      </w:tr>
      <w:tr w:rsidR="008571EF" w:rsidRPr="0077519F" w14:paraId="4BD0CB71" w14:textId="77777777" w:rsidTr="008571EF">
        <w:tc>
          <w:tcPr>
            <w:tcW w:w="2252" w:type="pct"/>
          </w:tcPr>
          <w:p w14:paraId="727A0674"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Criteria</w:t>
            </w:r>
          </w:p>
        </w:tc>
        <w:tc>
          <w:tcPr>
            <w:tcW w:w="858" w:type="pct"/>
          </w:tcPr>
          <w:p w14:paraId="4E568614"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0.281</w:t>
            </w:r>
          </w:p>
        </w:tc>
        <w:tc>
          <w:tcPr>
            <w:tcW w:w="618" w:type="pct"/>
          </w:tcPr>
          <w:p w14:paraId="68629A6F"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0.000</w:t>
            </w:r>
          </w:p>
        </w:tc>
        <w:tc>
          <w:tcPr>
            <w:tcW w:w="740" w:type="pct"/>
          </w:tcPr>
          <w:p w14:paraId="29CB871E"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0.788</w:t>
            </w:r>
          </w:p>
        </w:tc>
        <w:tc>
          <w:tcPr>
            <w:tcW w:w="533" w:type="pct"/>
          </w:tcPr>
          <w:p w14:paraId="000B47DE"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0.000</w:t>
            </w:r>
          </w:p>
        </w:tc>
      </w:tr>
      <w:tr w:rsidR="008571EF" w:rsidRPr="0077519F" w14:paraId="292AFCF9" w14:textId="77777777" w:rsidTr="008571EF">
        <w:tc>
          <w:tcPr>
            <w:tcW w:w="2252" w:type="pct"/>
          </w:tcPr>
          <w:p w14:paraId="241985F2"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 xml:space="preserve">Critical success factors </w:t>
            </w:r>
          </w:p>
        </w:tc>
        <w:tc>
          <w:tcPr>
            <w:tcW w:w="858" w:type="pct"/>
          </w:tcPr>
          <w:p w14:paraId="02345881"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0.240</w:t>
            </w:r>
          </w:p>
        </w:tc>
        <w:tc>
          <w:tcPr>
            <w:tcW w:w="618" w:type="pct"/>
          </w:tcPr>
          <w:p w14:paraId="2D33FA32"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0.000</w:t>
            </w:r>
          </w:p>
        </w:tc>
        <w:tc>
          <w:tcPr>
            <w:tcW w:w="740" w:type="pct"/>
          </w:tcPr>
          <w:p w14:paraId="3E1225E3"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0.842</w:t>
            </w:r>
          </w:p>
        </w:tc>
        <w:tc>
          <w:tcPr>
            <w:tcW w:w="533" w:type="pct"/>
          </w:tcPr>
          <w:p w14:paraId="59443826"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0.000</w:t>
            </w:r>
          </w:p>
        </w:tc>
      </w:tr>
      <w:tr w:rsidR="008571EF" w:rsidRPr="0077519F" w14:paraId="3DAAC1CF" w14:textId="77777777" w:rsidTr="008571EF">
        <w:tc>
          <w:tcPr>
            <w:tcW w:w="2252" w:type="pct"/>
          </w:tcPr>
          <w:p w14:paraId="713796E6"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Management skills</w:t>
            </w:r>
          </w:p>
        </w:tc>
        <w:tc>
          <w:tcPr>
            <w:tcW w:w="858" w:type="pct"/>
          </w:tcPr>
          <w:p w14:paraId="7CA4E977"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0.253</w:t>
            </w:r>
          </w:p>
        </w:tc>
        <w:tc>
          <w:tcPr>
            <w:tcW w:w="618" w:type="pct"/>
          </w:tcPr>
          <w:p w14:paraId="5D9D7A6E"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.004</w:t>
            </w:r>
          </w:p>
        </w:tc>
        <w:tc>
          <w:tcPr>
            <w:tcW w:w="740" w:type="pct"/>
          </w:tcPr>
          <w:p w14:paraId="7D6EC611"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0.820</w:t>
            </w:r>
          </w:p>
        </w:tc>
        <w:tc>
          <w:tcPr>
            <w:tcW w:w="533" w:type="pct"/>
          </w:tcPr>
          <w:p w14:paraId="1DB180E6"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0.003</w:t>
            </w:r>
          </w:p>
        </w:tc>
      </w:tr>
      <w:tr w:rsidR="008571EF" w:rsidRPr="0077519F" w14:paraId="40406AFB" w14:textId="77777777" w:rsidTr="008571EF">
        <w:tc>
          <w:tcPr>
            <w:tcW w:w="2252" w:type="pct"/>
          </w:tcPr>
          <w:p w14:paraId="5AD9FC43"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Management knowledge</w:t>
            </w:r>
          </w:p>
        </w:tc>
        <w:tc>
          <w:tcPr>
            <w:tcW w:w="858" w:type="pct"/>
          </w:tcPr>
          <w:p w14:paraId="77AF7CEA"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0.245</w:t>
            </w:r>
          </w:p>
        </w:tc>
        <w:tc>
          <w:tcPr>
            <w:tcW w:w="618" w:type="pct"/>
          </w:tcPr>
          <w:p w14:paraId="22581066"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0.006</w:t>
            </w:r>
          </w:p>
        </w:tc>
        <w:tc>
          <w:tcPr>
            <w:tcW w:w="740" w:type="pct"/>
          </w:tcPr>
          <w:p w14:paraId="2779E868"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0.823</w:t>
            </w:r>
          </w:p>
        </w:tc>
        <w:tc>
          <w:tcPr>
            <w:tcW w:w="533" w:type="pct"/>
          </w:tcPr>
          <w:p w14:paraId="0AD59EF9"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0.002</w:t>
            </w:r>
          </w:p>
        </w:tc>
      </w:tr>
      <w:tr w:rsidR="008571EF" w:rsidRPr="0077519F" w14:paraId="3EEE0F42" w14:textId="77777777" w:rsidTr="008571EF">
        <w:tc>
          <w:tcPr>
            <w:tcW w:w="2252" w:type="pct"/>
          </w:tcPr>
          <w:p w14:paraId="025505B1"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Management competences</w:t>
            </w:r>
          </w:p>
        </w:tc>
        <w:tc>
          <w:tcPr>
            <w:tcW w:w="858" w:type="pct"/>
          </w:tcPr>
          <w:p w14:paraId="12C7F700"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0.249</w:t>
            </w:r>
          </w:p>
        </w:tc>
        <w:tc>
          <w:tcPr>
            <w:tcW w:w="618" w:type="pct"/>
          </w:tcPr>
          <w:p w14:paraId="1C5B681D"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0.002</w:t>
            </w:r>
          </w:p>
        </w:tc>
        <w:tc>
          <w:tcPr>
            <w:tcW w:w="740" w:type="pct"/>
          </w:tcPr>
          <w:p w14:paraId="79B5D1FC"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0.829</w:t>
            </w:r>
          </w:p>
        </w:tc>
        <w:tc>
          <w:tcPr>
            <w:tcW w:w="533" w:type="pct"/>
          </w:tcPr>
          <w:p w14:paraId="4F45AC41"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0.002</w:t>
            </w:r>
          </w:p>
        </w:tc>
      </w:tr>
      <w:tr w:rsidR="008571EF" w:rsidRPr="0077519F" w14:paraId="5F9B25EC" w14:textId="77777777" w:rsidTr="008571EF">
        <w:tc>
          <w:tcPr>
            <w:tcW w:w="2252" w:type="pct"/>
          </w:tcPr>
          <w:p w14:paraId="4DCC220E"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Management training &amp; education</w:t>
            </w:r>
          </w:p>
        </w:tc>
        <w:tc>
          <w:tcPr>
            <w:tcW w:w="858" w:type="pct"/>
          </w:tcPr>
          <w:p w14:paraId="2B434D14"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0.213</w:t>
            </w:r>
          </w:p>
        </w:tc>
        <w:tc>
          <w:tcPr>
            <w:tcW w:w="618" w:type="pct"/>
          </w:tcPr>
          <w:p w14:paraId="4FF0B183"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0.006</w:t>
            </w:r>
          </w:p>
        </w:tc>
        <w:tc>
          <w:tcPr>
            <w:tcW w:w="740" w:type="pct"/>
          </w:tcPr>
          <w:p w14:paraId="5FD6BFBC"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0.862</w:t>
            </w:r>
          </w:p>
        </w:tc>
        <w:tc>
          <w:tcPr>
            <w:tcW w:w="533" w:type="pct"/>
          </w:tcPr>
          <w:p w14:paraId="4C8684A2" w14:textId="77777777"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0.002</w:t>
            </w:r>
          </w:p>
        </w:tc>
      </w:tr>
    </w:tbl>
    <w:p w14:paraId="5E0ABE3A" w14:textId="77777777" w:rsidR="008571EF" w:rsidRPr="0077519F" w:rsidRDefault="008571EF" w:rsidP="008571EF">
      <w:pPr>
        <w:spacing w:after="0" w:line="360" w:lineRule="auto"/>
        <w:jc w:val="both"/>
        <w:rPr>
          <w:rFonts w:ascii="Arial" w:hAnsi="Arial" w:cs="Arial"/>
          <w:sz w:val="16"/>
          <w:szCs w:val="16"/>
        </w:rPr>
      </w:pPr>
    </w:p>
    <w:p w14:paraId="5D309BB3" w14:textId="0123EEBA" w:rsidR="008571EF" w:rsidRPr="0077519F" w:rsidRDefault="008571EF" w:rsidP="008571EF">
      <w:pPr>
        <w:spacing w:after="0" w:line="360" w:lineRule="auto"/>
        <w:jc w:val="both"/>
        <w:rPr>
          <w:rFonts w:ascii="Arial" w:hAnsi="Arial" w:cs="Arial"/>
          <w:sz w:val="16"/>
          <w:szCs w:val="16"/>
        </w:rPr>
      </w:pPr>
      <w:r w:rsidRPr="0077519F">
        <w:rPr>
          <w:rFonts w:ascii="Arial" w:hAnsi="Arial" w:cs="Arial"/>
          <w:sz w:val="16"/>
          <w:szCs w:val="16"/>
        </w:rPr>
        <w:t>The elaboration and findings of the data collected from the questionnaire will be discussed further in chapter</w:t>
      </w:r>
      <w:r w:rsidR="00076D6D">
        <w:rPr>
          <w:rFonts w:ascii="Arial" w:hAnsi="Arial" w:cs="Arial"/>
          <w:sz w:val="16"/>
          <w:szCs w:val="16"/>
        </w:rPr>
        <w:t>s</w:t>
      </w:r>
      <w:r w:rsidRPr="0077519F">
        <w:rPr>
          <w:rFonts w:ascii="Arial" w:hAnsi="Arial" w:cs="Arial"/>
          <w:sz w:val="16"/>
          <w:szCs w:val="16"/>
        </w:rPr>
        <w:t xml:space="preserve"> 5 to </w:t>
      </w:r>
      <w:r w:rsidR="00076D6D">
        <w:rPr>
          <w:rFonts w:ascii="Arial" w:hAnsi="Arial" w:cs="Arial"/>
          <w:sz w:val="16"/>
          <w:szCs w:val="16"/>
        </w:rPr>
        <w:t>9</w:t>
      </w:r>
      <w:r w:rsidRPr="0077519F">
        <w:rPr>
          <w:rFonts w:ascii="Arial" w:hAnsi="Arial" w:cs="Arial"/>
          <w:sz w:val="16"/>
          <w:szCs w:val="16"/>
        </w:rPr>
        <w:t>.</w:t>
      </w:r>
    </w:p>
    <w:p w14:paraId="5817F029" w14:textId="77777777" w:rsidR="008571EF" w:rsidRDefault="008571EF" w:rsidP="008571EF">
      <w:pPr>
        <w:spacing w:after="0" w:line="360" w:lineRule="auto"/>
        <w:jc w:val="both"/>
        <w:rPr>
          <w:rFonts w:ascii="Arial" w:hAnsi="Arial" w:cs="Arial"/>
          <w:sz w:val="16"/>
          <w:szCs w:val="16"/>
        </w:rPr>
      </w:pPr>
    </w:p>
    <w:p w14:paraId="52587335" w14:textId="77777777" w:rsidR="00CD6352" w:rsidRDefault="00CD6352" w:rsidP="00CD6352">
      <w:pPr>
        <w:spacing w:after="0" w:line="360" w:lineRule="auto"/>
        <w:jc w:val="both"/>
        <w:rPr>
          <w:rFonts w:ascii="Arial" w:hAnsi="Arial" w:cs="Arial"/>
          <w:sz w:val="16"/>
          <w:szCs w:val="16"/>
        </w:rPr>
      </w:pPr>
    </w:p>
    <w:p w14:paraId="48223F83" w14:textId="2362279B" w:rsidR="00CD6352" w:rsidRDefault="00CD6352" w:rsidP="00CD59E4">
      <w:pPr>
        <w:pStyle w:val="Heading2"/>
        <w:spacing w:line="360" w:lineRule="auto"/>
        <w:rPr>
          <w:rStyle w:val="Strong"/>
          <w:b/>
          <w:bCs/>
        </w:rPr>
      </w:pPr>
      <w:bookmarkStart w:id="1043" w:name="_Toc78983833"/>
      <w:r w:rsidRPr="00C622DA">
        <w:rPr>
          <w:rStyle w:val="Strong"/>
          <w:b/>
          <w:bCs/>
        </w:rPr>
        <w:t>Validity and reliability of the study</w:t>
      </w:r>
      <w:bookmarkEnd w:id="1043"/>
    </w:p>
    <w:p w14:paraId="07963D6E" w14:textId="56ADE5F9" w:rsidR="00CD59E4" w:rsidRPr="00CD59E4" w:rsidRDefault="00CD59E4" w:rsidP="00CD59E4">
      <w:pPr>
        <w:pStyle w:val="Heading3"/>
        <w:rPr>
          <w:sz w:val="22"/>
          <w:szCs w:val="22"/>
        </w:rPr>
      </w:pPr>
      <w:bookmarkStart w:id="1044" w:name="_Toc78983834"/>
      <w:r w:rsidRPr="00CD59E4">
        <w:rPr>
          <w:sz w:val="22"/>
          <w:szCs w:val="22"/>
        </w:rPr>
        <w:t>Validity</w:t>
      </w:r>
      <w:bookmarkEnd w:id="1044"/>
    </w:p>
    <w:p w14:paraId="64EB671E" w14:textId="77777777" w:rsidR="00CD6352" w:rsidRPr="00EA7665" w:rsidRDefault="00CD6352" w:rsidP="00CD6352">
      <w:pPr>
        <w:spacing w:after="0" w:line="360" w:lineRule="auto"/>
        <w:jc w:val="both"/>
        <w:rPr>
          <w:rStyle w:val="Strong"/>
          <w:rFonts w:ascii="Arial" w:hAnsi="Arial" w:cs="Arial"/>
          <w:b w:val="0"/>
        </w:rPr>
      </w:pPr>
      <w:r w:rsidRPr="00EA7665">
        <w:rPr>
          <w:rStyle w:val="Strong"/>
          <w:rFonts w:ascii="Arial" w:hAnsi="Arial" w:cs="Arial"/>
          <w:b w:val="0"/>
        </w:rPr>
        <w:t>This research put in place the following to ensure the validity of the data:</w:t>
      </w:r>
    </w:p>
    <w:p w14:paraId="35DFE4A2" w14:textId="4FE2B3C1" w:rsidR="00CD6352" w:rsidRPr="00EA7665" w:rsidRDefault="00CD6352" w:rsidP="00C74AEC">
      <w:pPr>
        <w:pStyle w:val="ListParagraph"/>
        <w:numPr>
          <w:ilvl w:val="0"/>
          <w:numId w:val="45"/>
        </w:numPr>
        <w:spacing w:after="0" w:line="360" w:lineRule="auto"/>
        <w:jc w:val="both"/>
        <w:rPr>
          <w:rStyle w:val="Strong"/>
          <w:rFonts w:ascii="Arial" w:hAnsi="Arial" w:cs="Arial"/>
          <w:b w:val="0"/>
        </w:rPr>
      </w:pPr>
      <w:r w:rsidRPr="00EA7665">
        <w:rPr>
          <w:rStyle w:val="Strong"/>
          <w:rFonts w:ascii="Arial" w:hAnsi="Arial" w:cs="Arial"/>
          <w:b w:val="0"/>
        </w:rPr>
        <w:t xml:space="preserve">Data </w:t>
      </w:r>
      <w:r w:rsidR="0054456B" w:rsidRPr="00EA7665">
        <w:rPr>
          <w:rStyle w:val="Strong"/>
          <w:rFonts w:ascii="Arial" w:hAnsi="Arial" w:cs="Arial"/>
          <w:b w:val="0"/>
        </w:rPr>
        <w:t>w</w:t>
      </w:r>
      <w:r w:rsidR="0054456B">
        <w:rPr>
          <w:rStyle w:val="Strong"/>
          <w:rFonts w:ascii="Arial" w:hAnsi="Arial" w:cs="Arial"/>
          <w:b w:val="0"/>
        </w:rPr>
        <w:t>ere</w:t>
      </w:r>
      <w:r w:rsidR="0054456B" w:rsidRPr="00EA7665">
        <w:rPr>
          <w:rStyle w:val="Strong"/>
          <w:rFonts w:ascii="Arial" w:hAnsi="Arial" w:cs="Arial"/>
          <w:b w:val="0"/>
        </w:rPr>
        <w:t xml:space="preserve"> </w:t>
      </w:r>
      <w:r w:rsidRPr="00EA7665">
        <w:rPr>
          <w:rStyle w:val="Strong"/>
          <w:rFonts w:ascii="Arial" w:hAnsi="Arial" w:cs="Arial"/>
          <w:b w:val="0"/>
        </w:rPr>
        <w:t>collected both quantitatively and qualitatively through online questionnaire surveys and semi-structured interviews</w:t>
      </w:r>
      <w:r w:rsidR="00475262">
        <w:rPr>
          <w:rStyle w:val="Strong"/>
          <w:rFonts w:ascii="Arial" w:hAnsi="Arial" w:cs="Arial"/>
          <w:b w:val="0"/>
        </w:rPr>
        <w:t>.</w:t>
      </w:r>
      <w:r w:rsidRPr="00EA7665">
        <w:rPr>
          <w:rStyle w:val="Strong"/>
          <w:rFonts w:ascii="Arial" w:hAnsi="Arial" w:cs="Arial"/>
          <w:b w:val="0"/>
        </w:rPr>
        <w:t xml:space="preserve"> </w:t>
      </w:r>
    </w:p>
    <w:p w14:paraId="6952E28E" w14:textId="77777777" w:rsidR="00CD6352" w:rsidRPr="00EA7665" w:rsidRDefault="00CD6352" w:rsidP="00C74AEC">
      <w:pPr>
        <w:pStyle w:val="ListParagraph"/>
        <w:numPr>
          <w:ilvl w:val="0"/>
          <w:numId w:val="45"/>
        </w:numPr>
        <w:spacing w:after="0" w:line="360" w:lineRule="auto"/>
        <w:jc w:val="both"/>
        <w:rPr>
          <w:rStyle w:val="Strong"/>
          <w:rFonts w:ascii="Arial" w:hAnsi="Arial" w:cs="Arial"/>
          <w:b w:val="0"/>
        </w:rPr>
      </w:pPr>
      <w:r w:rsidRPr="00EA7665">
        <w:rPr>
          <w:rStyle w:val="Strong"/>
          <w:rFonts w:ascii="Arial" w:hAnsi="Arial" w:cs="Arial"/>
          <w:b w:val="0"/>
        </w:rPr>
        <w:t xml:space="preserve">Questionnaire and interview questions were pre-checked by both academics and those in the industry before they were launched. </w:t>
      </w:r>
    </w:p>
    <w:p w14:paraId="2BCA5B45" w14:textId="77777777" w:rsidR="00CD6352" w:rsidRPr="00EA7665" w:rsidRDefault="00CD6352" w:rsidP="00C74AEC">
      <w:pPr>
        <w:pStyle w:val="ListParagraph"/>
        <w:numPr>
          <w:ilvl w:val="0"/>
          <w:numId w:val="45"/>
        </w:numPr>
        <w:spacing w:after="0" w:line="360" w:lineRule="auto"/>
        <w:jc w:val="both"/>
        <w:rPr>
          <w:rStyle w:val="Strong"/>
          <w:rFonts w:ascii="Arial" w:hAnsi="Arial" w:cs="Arial"/>
          <w:b w:val="0"/>
        </w:rPr>
      </w:pPr>
      <w:r w:rsidRPr="00EA7665">
        <w:rPr>
          <w:rStyle w:val="Strong"/>
          <w:rFonts w:ascii="Arial" w:hAnsi="Arial" w:cs="Arial"/>
          <w:b w:val="0"/>
        </w:rPr>
        <w:t xml:space="preserve">Questionnaire and interview questions were refined through rigorous pre-testing. </w:t>
      </w:r>
    </w:p>
    <w:p w14:paraId="0D1C3F4F" w14:textId="6E08BE39" w:rsidR="00CD6352" w:rsidRDefault="00CD6352" w:rsidP="00475262">
      <w:pPr>
        <w:pStyle w:val="ListParagraph"/>
        <w:numPr>
          <w:ilvl w:val="0"/>
          <w:numId w:val="45"/>
        </w:numPr>
        <w:spacing w:line="360" w:lineRule="auto"/>
        <w:jc w:val="both"/>
        <w:rPr>
          <w:rStyle w:val="Strong"/>
          <w:rFonts w:ascii="Arial" w:hAnsi="Arial" w:cs="Arial"/>
          <w:b w:val="0"/>
        </w:rPr>
      </w:pPr>
      <w:r w:rsidRPr="00EA7665">
        <w:rPr>
          <w:rStyle w:val="Strong"/>
          <w:rFonts w:ascii="Arial" w:hAnsi="Arial" w:cs="Arial"/>
          <w:b w:val="0"/>
        </w:rPr>
        <w:t>Multiple techniques were used for analysis and reported in detail to provide a clear and accurate picture of the findings.</w:t>
      </w:r>
    </w:p>
    <w:p w14:paraId="6E0FA8DB" w14:textId="77777777" w:rsidR="00C622DA" w:rsidRPr="00C622DA" w:rsidRDefault="00C622DA" w:rsidP="00C622DA">
      <w:pPr>
        <w:pStyle w:val="Heading3"/>
        <w:rPr>
          <w:sz w:val="22"/>
          <w:szCs w:val="22"/>
        </w:rPr>
      </w:pPr>
      <w:bookmarkStart w:id="1045" w:name="_Toc78983835"/>
      <w:r w:rsidRPr="00C622DA">
        <w:rPr>
          <w:sz w:val="22"/>
          <w:szCs w:val="22"/>
        </w:rPr>
        <w:t>Reliability</w:t>
      </w:r>
      <w:bookmarkEnd w:id="1045"/>
    </w:p>
    <w:p w14:paraId="151A2E5A" w14:textId="306E2396" w:rsidR="00C622DA" w:rsidRDefault="00C622DA" w:rsidP="00C622DA">
      <w:pPr>
        <w:spacing w:line="360" w:lineRule="auto"/>
        <w:rPr>
          <w:rFonts w:ascii="Arial" w:hAnsi="Arial" w:cs="Arial"/>
        </w:rPr>
      </w:pPr>
      <w:r w:rsidRPr="00411A67">
        <w:rPr>
          <w:rFonts w:ascii="Arial" w:hAnsi="Arial" w:cs="Arial"/>
        </w:rPr>
        <w:t>Reliability is often used in quantitative studies</w:t>
      </w:r>
      <w:r w:rsidR="00BF37E4">
        <w:rPr>
          <w:rFonts w:ascii="Arial" w:hAnsi="Arial" w:cs="Arial"/>
        </w:rPr>
        <w:t>,</w:t>
      </w:r>
      <w:r w:rsidRPr="00411A67">
        <w:rPr>
          <w:rFonts w:ascii="Arial" w:hAnsi="Arial" w:cs="Arial"/>
        </w:rPr>
        <w:t xml:space="preserve"> and it relates to the consistency of a measure. It suggests that the same thing can be repeated or can recur under identical or very similar conditions (Neuman, 2011). A measure is considered reliable if it produces the same results whenever it is repeated (Zin 2013). The attributes of reliability </w:t>
      </w:r>
      <w:r w:rsidR="00475262">
        <w:rPr>
          <w:rFonts w:ascii="Arial" w:hAnsi="Arial" w:cs="Arial"/>
        </w:rPr>
        <w:t>are</w:t>
      </w:r>
      <w:r w:rsidRPr="00411A67">
        <w:rPr>
          <w:rFonts w:ascii="Arial" w:hAnsi="Arial" w:cs="Arial"/>
        </w:rPr>
        <w:t xml:space="preserve"> outlined in </w:t>
      </w:r>
      <w:r w:rsidR="0054456B">
        <w:rPr>
          <w:rFonts w:ascii="Arial" w:hAnsi="Arial" w:cs="Arial"/>
        </w:rPr>
        <w:t xml:space="preserve">the </w:t>
      </w:r>
      <w:r w:rsidRPr="00411A67">
        <w:rPr>
          <w:rFonts w:ascii="Arial" w:hAnsi="Arial" w:cs="Arial"/>
        </w:rPr>
        <w:t>table (</w:t>
      </w:r>
      <w:r>
        <w:rPr>
          <w:rFonts w:ascii="Arial" w:hAnsi="Arial" w:cs="Arial"/>
        </w:rPr>
        <w:t>4.</w:t>
      </w:r>
      <w:r w:rsidR="00475262">
        <w:rPr>
          <w:rFonts w:ascii="Arial" w:hAnsi="Arial" w:cs="Arial"/>
        </w:rPr>
        <w:t>8.1</w:t>
      </w:r>
      <w:r w:rsidR="0077519F">
        <w:rPr>
          <w:rFonts w:ascii="Arial" w:hAnsi="Arial" w:cs="Arial"/>
        </w:rPr>
        <w:t>).</w:t>
      </w:r>
      <w:r w:rsidRPr="00411A67">
        <w:rPr>
          <w:rFonts w:ascii="Arial" w:hAnsi="Arial" w:cs="Arial"/>
        </w:rPr>
        <w:t xml:space="preserve"> </w:t>
      </w:r>
    </w:p>
    <w:p w14:paraId="0C580D82" w14:textId="77777777" w:rsidR="00912540" w:rsidRPr="00411A67" w:rsidRDefault="00912540" w:rsidP="00C622DA">
      <w:pPr>
        <w:spacing w:line="360" w:lineRule="auto"/>
        <w:rPr>
          <w:rFonts w:ascii="Arial" w:hAnsi="Arial" w:cs="Arial"/>
        </w:rPr>
      </w:pPr>
    </w:p>
    <w:p w14:paraId="4117AF62" w14:textId="7A060B5F" w:rsidR="00C622DA" w:rsidRPr="0077519F" w:rsidRDefault="00C622DA" w:rsidP="00C622DA">
      <w:pPr>
        <w:pStyle w:val="Caption"/>
        <w:keepNext/>
        <w:rPr>
          <w:rFonts w:ascii="Arial" w:hAnsi="Arial" w:cs="Arial"/>
          <w:color w:val="auto"/>
          <w:sz w:val="16"/>
          <w:szCs w:val="16"/>
        </w:rPr>
      </w:pPr>
      <w:bookmarkStart w:id="1046" w:name="_Toc78983966"/>
      <w:r w:rsidRPr="0077519F">
        <w:rPr>
          <w:rFonts w:ascii="Arial" w:hAnsi="Arial" w:cs="Arial"/>
          <w:color w:val="auto"/>
          <w:sz w:val="16"/>
          <w:szCs w:val="16"/>
        </w:rPr>
        <w:t xml:space="preserve">Table </w:t>
      </w:r>
      <w:r w:rsidR="008F25B1">
        <w:rPr>
          <w:rFonts w:ascii="Arial" w:hAnsi="Arial" w:cs="Arial"/>
          <w:color w:val="auto"/>
          <w:sz w:val="16"/>
          <w:szCs w:val="16"/>
        </w:rPr>
        <w:fldChar w:fldCharType="begin"/>
      </w:r>
      <w:r w:rsidR="008F25B1">
        <w:rPr>
          <w:rFonts w:ascii="Arial" w:hAnsi="Arial" w:cs="Arial"/>
          <w:color w:val="auto"/>
          <w:sz w:val="16"/>
          <w:szCs w:val="16"/>
        </w:rPr>
        <w:instrText xml:space="preserve"> STYLEREF 2 \s </w:instrText>
      </w:r>
      <w:r w:rsidR="008F25B1">
        <w:rPr>
          <w:rFonts w:ascii="Arial" w:hAnsi="Arial" w:cs="Arial"/>
          <w:color w:val="auto"/>
          <w:sz w:val="16"/>
          <w:szCs w:val="16"/>
        </w:rPr>
        <w:fldChar w:fldCharType="separate"/>
      </w:r>
      <w:r w:rsidR="008F25B1">
        <w:rPr>
          <w:rFonts w:ascii="Arial" w:hAnsi="Arial" w:cs="Arial"/>
          <w:noProof/>
          <w:color w:val="auto"/>
          <w:sz w:val="16"/>
          <w:szCs w:val="16"/>
        </w:rPr>
        <w:t>4.8</w:t>
      </w:r>
      <w:r w:rsidR="008F25B1">
        <w:rPr>
          <w:rFonts w:ascii="Arial" w:hAnsi="Arial" w:cs="Arial"/>
          <w:color w:val="auto"/>
          <w:sz w:val="16"/>
          <w:szCs w:val="16"/>
        </w:rPr>
        <w:fldChar w:fldCharType="end"/>
      </w:r>
      <w:r w:rsidR="008F25B1">
        <w:rPr>
          <w:rFonts w:ascii="Arial" w:hAnsi="Arial" w:cs="Arial"/>
          <w:color w:val="auto"/>
          <w:sz w:val="16"/>
          <w:szCs w:val="16"/>
        </w:rPr>
        <w:noBreakHyphen/>
      </w:r>
      <w:r w:rsidR="008F25B1">
        <w:rPr>
          <w:rFonts w:ascii="Arial" w:hAnsi="Arial" w:cs="Arial"/>
          <w:color w:val="auto"/>
          <w:sz w:val="16"/>
          <w:szCs w:val="16"/>
        </w:rPr>
        <w:fldChar w:fldCharType="begin"/>
      </w:r>
      <w:r w:rsidR="008F25B1">
        <w:rPr>
          <w:rFonts w:ascii="Arial" w:hAnsi="Arial" w:cs="Arial"/>
          <w:color w:val="auto"/>
          <w:sz w:val="16"/>
          <w:szCs w:val="16"/>
        </w:rPr>
        <w:instrText xml:space="preserve"> SEQ Table \* ARABIC \s 2 </w:instrText>
      </w:r>
      <w:r w:rsidR="008F25B1">
        <w:rPr>
          <w:rFonts w:ascii="Arial" w:hAnsi="Arial" w:cs="Arial"/>
          <w:color w:val="auto"/>
          <w:sz w:val="16"/>
          <w:szCs w:val="16"/>
        </w:rPr>
        <w:fldChar w:fldCharType="separate"/>
      </w:r>
      <w:r w:rsidR="008F25B1">
        <w:rPr>
          <w:rFonts w:ascii="Arial" w:hAnsi="Arial" w:cs="Arial"/>
          <w:noProof/>
          <w:color w:val="auto"/>
          <w:sz w:val="16"/>
          <w:szCs w:val="16"/>
        </w:rPr>
        <w:t>1</w:t>
      </w:r>
      <w:r w:rsidR="008F25B1">
        <w:rPr>
          <w:rFonts w:ascii="Arial" w:hAnsi="Arial" w:cs="Arial"/>
          <w:color w:val="auto"/>
          <w:sz w:val="16"/>
          <w:szCs w:val="16"/>
        </w:rPr>
        <w:fldChar w:fldCharType="end"/>
      </w:r>
      <w:r w:rsidRPr="0077519F">
        <w:rPr>
          <w:rFonts w:ascii="Arial" w:hAnsi="Arial" w:cs="Arial"/>
          <w:color w:val="auto"/>
          <w:sz w:val="16"/>
          <w:szCs w:val="16"/>
        </w:rPr>
        <w:t>: Attributes of reliability</w:t>
      </w:r>
      <w:bookmarkEnd w:id="1046"/>
    </w:p>
    <w:tbl>
      <w:tblPr>
        <w:tblStyle w:val="TableGrid"/>
        <w:tblW w:w="0" w:type="auto"/>
        <w:tblLook w:val="04A0" w:firstRow="1" w:lastRow="0" w:firstColumn="1" w:lastColumn="0" w:noHBand="0" w:noVBand="1"/>
      </w:tblPr>
      <w:tblGrid>
        <w:gridCol w:w="4508"/>
        <w:gridCol w:w="4508"/>
      </w:tblGrid>
      <w:tr w:rsidR="00C622DA" w:rsidRPr="0077519F" w14:paraId="7771180B" w14:textId="77777777" w:rsidTr="007D2AC6">
        <w:tc>
          <w:tcPr>
            <w:tcW w:w="4508" w:type="dxa"/>
          </w:tcPr>
          <w:p w14:paraId="0EFB8EFF" w14:textId="639551EA" w:rsidR="00C622DA" w:rsidRPr="0077519F" w:rsidRDefault="00C622DA" w:rsidP="007D2AC6">
            <w:pPr>
              <w:spacing w:line="360" w:lineRule="auto"/>
              <w:rPr>
                <w:rFonts w:ascii="Arial" w:hAnsi="Arial" w:cs="Arial"/>
                <w:b/>
                <w:bCs/>
                <w:sz w:val="16"/>
                <w:szCs w:val="16"/>
              </w:rPr>
            </w:pPr>
            <w:r w:rsidRPr="0077519F">
              <w:rPr>
                <w:rFonts w:ascii="Arial" w:hAnsi="Arial" w:cs="Arial"/>
                <w:b/>
                <w:bCs/>
                <w:sz w:val="16"/>
                <w:szCs w:val="16"/>
              </w:rPr>
              <w:t>Attributes</w:t>
            </w:r>
          </w:p>
        </w:tc>
        <w:tc>
          <w:tcPr>
            <w:tcW w:w="4508" w:type="dxa"/>
          </w:tcPr>
          <w:p w14:paraId="63A97818" w14:textId="77777777" w:rsidR="00C622DA" w:rsidRPr="0077519F" w:rsidRDefault="00C622DA" w:rsidP="007D2AC6">
            <w:pPr>
              <w:spacing w:line="360" w:lineRule="auto"/>
              <w:rPr>
                <w:rFonts w:ascii="Arial" w:hAnsi="Arial" w:cs="Arial"/>
                <w:b/>
                <w:bCs/>
                <w:sz w:val="16"/>
                <w:szCs w:val="16"/>
              </w:rPr>
            </w:pPr>
            <w:r w:rsidRPr="0077519F">
              <w:rPr>
                <w:rFonts w:ascii="Arial" w:hAnsi="Arial" w:cs="Arial"/>
                <w:b/>
                <w:bCs/>
                <w:sz w:val="16"/>
                <w:szCs w:val="16"/>
              </w:rPr>
              <w:t>Description</w:t>
            </w:r>
          </w:p>
        </w:tc>
      </w:tr>
      <w:tr w:rsidR="00C622DA" w:rsidRPr="0077519F" w14:paraId="352D4CA2" w14:textId="77777777" w:rsidTr="007D2AC6">
        <w:tc>
          <w:tcPr>
            <w:tcW w:w="4508" w:type="dxa"/>
          </w:tcPr>
          <w:p w14:paraId="48B44A58" w14:textId="77777777" w:rsidR="00C622DA" w:rsidRPr="0077519F" w:rsidRDefault="00C622DA" w:rsidP="007D2AC6">
            <w:pPr>
              <w:spacing w:line="360" w:lineRule="auto"/>
              <w:rPr>
                <w:rFonts w:ascii="Arial" w:hAnsi="Arial" w:cs="Arial"/>
                <w:sz w:val="16"/>
                <w:szCs w:val="16"/>
              </w:rPr>
            </w:pPr>
            <w:r w:rsidRPr="0077519F">
              <w:rPr>
                <w:rFonts w:ascii="Arial" w:hAnsi="Arial" w:cs="Arial"/>
                <w:sz w:val="16"/>
                <w:szCs w:val="16"/>
              </w:rPr>
              <w:lastRenderedPageBreak/>
              <w:t>Homogeneity (or internal consistency)</w:t>
            </w:r>
          </w:p>
        </w:tc>
        <w:tc>
          <w:tcPr>
            <w:tcW w:w="4508" w:type="dxa"/>
          </w:tcPr>
          <w:p w14:paraId="4794DE9F" w14:textId="77777777" w:rsidR="00C622DA" w:rsidRPr="0077519F" w:rsidRDefault="00C622DA" w:rsidP="007D2AC6">
            <w:pPr>
              <w:spacing w:line="360" w:lineRule="auto"/>
              <w:rPr>
                <w:rFonts w:ascii="Arial" w:hAnsi="Arial" w:cs="Arial"/>
                <w:sz w:val="16"/>
                <w:szCs w:val="16"/>
              </w:rPr>
            </w:pPr>
            <w:r w:rsidRPr="0077519F">
              <w:rPr>
                <w:rFonts w:ascii="Arial" w:hAnsi="Arial" w:cs="Arial"/>
                <w:sz w:val="16"/>
                <w:szCs w:val="16"/>
              </w:rPr>
              <w:t>The extent to which all the items on a scale measure one construct</w:t>
            </w:r>
          </w:p>
        </w:tc>
      </w:tr>
      <w:tr w:rsidR="00C622DA" w:rsidRPr="0077519F" w14:paraId="36950AC0" w14:textId="77777777" w:rsidTr="007D2AC6">
        <w:tc>
          <w:tcPr>
            <w:tcW w:w="4508" w:type="dxa"/>
          </w:tcPr>
          <w:p w14:paraId="25E1B8A5" w14:textId="77777777" w:rsidR="00C622DA" w:rsidRPr="0077519F" w:rsidRDefault="00C622DA" w:rsidP="007D2AC6">
            <w:pPr>
              <w:spacing w:line="360" w:lineRule="auto"/>
              <w:rPr>
                <w:rFonts w:ascii="Arial" w:hAnsi="Arial" w:cs="Arial"/>
                <w:sz w:val="16"/>
                <w:szCs w:val="16"/>
              </w:rPr>
            </w:pPr>
            <w:r w:rsidRPr="0077519F">
              <w:rPr>
                <w:rFonts w:ascii="Arial" w:hAnsi="Arial" w:cs="Arial"/>
                <w:sz w:val="16"/>
                <w:szCs w:val="16"/>
              </w:rPr>
              <w:t>Stability</w:t>
            </w:r>
          </w:p>
        </w:tc>
        <w:tc>
          <w:tcPr>
            <w:tcW w:w="4508" w:type="dxa"/>
          </w:tcPr>
          <w:p w14:paraId="5F756AF4" w14:textId="77777777" w:rsidR="00C622DA" w:rsidRPr="0077519F" w:rsidRDefault="00C622DA" w:rsidP="007D2AC6">
            <w:pPr>
              <w:spacing w:line="360" w:lineRule="auto"/>
              <w:rPr>
                <w:rFonts w:ascii="Arial" w:hAnsi="Arial" w:cs="Arial"/>
                <w:sz w:val="16"/>
                <w:szCs w:val="16"/>
              </w:rPr>
            </w:pPr>
            <w:r w:rsidRPr="0077519F">
              <w:rPr>
                <w:rFonts w:ascii="Arial" w:hAnsi="Arial" w:cs="Arial"/>
                <w:sz w:val="16"/>
                <w:szCs w:val="16"/>
              </w:rPr>
              <w:t>The consistency of results using an instrument with repeated testing</w:t>
            </w:r>
          </w:p>
        </w:tc>
      </w:tr>
      <w:tr w:rsidR="00C622DA" w:rsidRPr="0077519F" w14:paraId="21A583EC" w14:textId="77777777" w:rsidTr="007D2AC6">
        <w:tc>
          <w:tcPr>
            <w:tcW w:w="4508" w:type="dxa"/>
          </w:tcPr>
          <w:p w14:paraId="0ECA481C" w14:textId="77777777" w:rsidR="00C622DA" w:rsidRPr="0077519F" w:rsidRDefault="00C622DA" w:rsidP="007D2AC6">
            <w:pPr>
              <w:spacing w:line="360" w:lineRule="auto"/>
              <w:rPr>
                <w:rFonts w:ascii="Arial" w:hAnsi="Arial" w:cs="Arial"/>
                <w:sz w:val="16"/>
                <w:szCs w:val="16"/>
              </w:rPr>
            </w:pPr>
            <w:r w:rsidRPr="0077519F">
              <w:rPr>
                <w:rFonts w:ascii="Arial" w:hAnsi="Arial" w:cs="Arial"/>
                <w:sz w:val="16"/>
                <w:szCs w:val="16"/>
              </w:rPr>
              <w:t>Equivalence</w:t>
            </w:r>
          </w:p>
        </w:tc>
        <w:tc>
          <w:tcPr>
            <w:tcW w:w="4508" w:type="dxa"/>
          </w:tcPr>
          <w:p w14:paraId="013D2448" w14:textId="5B03AE55" w:rsidR="00C622DA" w:rsidRPr="0077519F" w:rsidRDefault="00C622DA" w:rsidP="007D2AC6">
            <w:pPr>
              <w:spacing w:line="360" w:lineRule="auto"/>
              <w:rPr>
                <w:rFonts w:ascii="Arial" w:hAnsi="Arial" w:cs="Arial"/>
                <w:sz w:val="16"/>
                <w:szCs w:val="16"/>
              </w:rPr>
            </w:pPr>
            <w:r w:rsidRPr="0077519F">
              <w:rPr>
                <w:rFonts w:ascii="Arial" w:hAnsi="Arial" w:cs="Arial"/>
                <w:sz w:val="16"/>
                <w:szCs w:val="16"/>
              </w:rPr>
              <w:t>Consistency among responses of multiple users of an instrument or among alternate forms of an instrument</w:t>
            </w:r>
          </w:p>
        </w:tc>
      </w:tr>
    </w:tbl>
    <w:p w14:paraId="65C2BD30" w14:textId="77777777" w:rsidR="00C622DA" w:rsidRPr="00411A67" w:rsidRDefault="00C622DA" w:rsidP="00C622DA">
      <w:pPr>
        <w:spacing w:line="360" w:lineRule="auto"/>
        <w:rPr>
          <w:rFonts w:ascii="Arial" w:hAnsi="Arial" w:cs="Arial"/>
        </w:rPr>
      </w:pPr>
      <w:r w:rsidRPr="00411A67">
        <w:rPr>
          <w:rFonts w:ascii="Arial" w:hAnsi="Arial" w:cs="Arial"/>
        </w:rPr>
        <w:t xml:space="preserve">Source: </w:t>
      </w:r>
      <w:bookmarkStart w:id="1047" w:name="_Hlk47520776"/>
      <w:r w:rsidRPr="00411A67">
        <w:rPr>
          <w:rFonts w:ascii="Arial" w:hAnsi="Arial" w:cs="Arial"/>
        </w:rPr>
        <w:t>Heale &amp; Twycross (2015)</w:t>
      </w:r>
      <w:bookmarkEnd w:id="1047"/>
    </w:p>
    <w:p w14:paraId="7AE0D893" w14:textId="54EF2456" w:rsidR="00C622DA" w:rsidRPr="00411A67" w:rsidRDefault="00C622DA" w:rsidP="00C622DA">
      <w:pPr>
        <w:spacing w:line="360" w:lineRule="auto"/>
        <w:rPr>
          <w:rFonts w:ascii="Arial" w:hAnsi="Arial" w:cs="Arial"/>
        </w:rPr>
      </w:pPr>
      <w:r w:rsidRPr="00411A67">
        <w:rPr>
          <w:rFonts w:ascii="Arial" w:hAnsi="Arial" w:cs="Arial"/>
        </w:rPr>
        <w:t xml:space="preserve">It is </w:t>
      </w:r>
      <w:r w:rsidR="001C0D5F">
        <w:rPr>
          <w:rFonts w:ascii="Arial" w:hAnsi="Arial" w:cs="Arial"/>
        </w:rPr>
        <w:t>impossible to give an exact reliability calculation</w:t>
      </w:r>
      <w:r w:rsidRPr="00411A67">
        <w:rPr>
          <w:rFonts w:ascii="Arial" w:hAnsi="Arial" w:cs="Arial"/>
        </w:rPr>
        <w:t xml:space="preserve">, but an estimate can be achieved through </w:t>
      </w:r>
      <w:r w:rsidR="00B347C3">
        <w:rPr>
          <w:rFonts w:ascii="Arial" w:hAnsi="Arial" w:cs="Arial"/>
        </w:rPr>
        <w:t>a</w:t>
      </w:r>
      <w:r w:rsidR="00597AF8">
        <w:rPr>
          <w:rFonts w:ascii="Arial" w:hAnsi="Arial" w:cs="Arial"/>
        </w:rPr>
        <w:t xml:space="preserve"> </w:t>
      </w:r>
      <w:r w:rsidRPr="00411A67">
        <w:rPr>
          <w:rFonts w:ascii="Arial" w:hAnsi="Arial" w:cs="Arial"/>
        </w:rPr>
        <w:t xml:space="preserve">different measure. Homogeneity (internal consistency) can be assessed using </w:t>
      </w:r>
      <w:bookmarkStart w:id="1048" w:name="_Hlk47520718"/>
      <w:r w:rsidRPr="00411A67">
        <w:rPr>
          <w:rFonts w:ascii="Arial" w:hAnsi="Arial" w:cs="Arial"/>
        </w:rPr>
        <w:t>Cronbach’s α</w:t>
      </w:r>
      <w:bookmarkEnd w:id="1048"/>
      <w:r w:rsidRPr="00411A67">
        <w:rPr>
          <w:rFonts w:ascii="Arial" w:hAnsi="Arial" w:cs="Arial"/>
        </w:rPr>
        <w:t xml:space="preserve">, item-to-total correlation, split-half reliability and Kuder-Richardson coefficient (Heale &amp; Twycross, 2015). </w:t>
      </w:r>
      <w:bookmarkStart w:id="1049" w:name="_Hlk47521115"/>
      <w:r w:rsidRPr="00411A67">
        <w:rPr>
          <w:rFonts w:ascii="Arial" w:hAnsi="Arial" w:cs="Arial"/>
        </w:rPr>
        <w:t>Cronbach’s α</w:t>
      </w:r>
      <w:bookmarkEnd w:id="1049"/>
      <w:r w:rsidR="001C0D5F">
        <w:rPr>
          <w:rFonts w:ascii="Arial" w:hAnsi="Arial" w:cs="Arial"/>
        </w:rPr>
        <w:t>,</w:t>
      </w:r>
      <w:r w:rsidRPr="00411A67">
        <w:rPr>
          <w:rFonts w:ascii="Arial" w:hAnsi="Arial" w:cs="Arial"/>
        </w:rPr>
        <w:t xml:space="preserve"> which is the commonly used test to determine the internal consistency of an instrument</w:t>
      </w:r>
      <w:r w:rsidR="001C0D5F">
        <w:rPr>
          <w:rFonts w:ascii="Arial" w:hAnsi="Arial" w:cs="Arial"/>
        </w:rPr>
        <w:t>,</w:t>
      </w:r>
      <w:r w:rsidRPr="00411A67">
        <w:rPr>
          <w:rFonts w:ascii="Arial" w:hAnsi="Arial" w:cs="Arial"/>
        </w:rPr>
        <w:t xml:space="preserve"> was used for this study with the help of SPSS.</w:t>
      </w:r>
    </w:p>
    <w:p w14:paraId="1EE18AC5" w14:textId="737937F2" w:rsidR="00C622DA" w:rsidRPr="00411A67" w:rsidRDefault="00C622DA" w:rsidP="00C622DA">
      <w:pPr>
        <w:spacing w:line="360" w:lineRule="auto"/>
        <w:rPr>
          <w:rFonts w:ascii="Arial" w:hAnsi="Arial" w:cs="Arial"/>
        </w:rPr>
      </w:pPr>
      <w:r w:rsidRPr="00411A67">
        <w:rPr>
          <w:rFonts w:ascii="Arial" w:hAnsi="Arial" w:cs="Arial"/>
        </w:rPr>
        <w:t xml:space="preserve">Cronbach’s α result is a number between 0 and 1. An acceptable reliability score is 0.7 and higher (Zin, 2013). The closer that Cronbach’s alpha is to 1, the higher the internal consistency reliability (Sekaran, 2003). Table </w:t>
      </w:r>
      <w:r w:rsidR="00E95A4E" w:rsidRPr="00C622DA">
        <w:rPr>
          <w:rFonts w:ascii="Arial" w:hAnsi="Arial" w:cs="Arial"/>
        </w:rPr>
        <w:t>(4.</w:t>
      </w:r>
      <w:r w:rsidR="00475262">
        <w:rPr>
          <w:rFonts w:ascii="Arial" w:hAnsi="Arial" w:cs="Arial"/>
        </w:rPr>
        <w:t>8.2</w:t>
      </w:r>
      <w:r w:rsidRPr="00C622DA">
        <w:rPr>
          <w:rFonts w:ascii="Arial" w:hAnsi="Arial" w:cs="Arial"/>
        </w:rPr>
        <w:t xml:space="preserve">  ) shows the value ranges between 0.907 to 0.985</w:t>
      </w:r>
      <w:r w:rsidR="00BF37E4">
        <w:rPr>
          <w:rFonts w:ascii="Arial" w:hAnsi="Arial" w:cs="Arial"/>
        </w:rPr>
        <w:t>,</w:t>
      </w:r>
      <w:r w:rsidRPr="00C622DA">
        <w:rPr>
          <w:rFonts w:ascii="Arial" w:hAnsi="Arial" w:cs="Arial"/>
        </w:rPr>
        <w:t xml:space="preserve"> and this demonstrates that the internal</w:t>
      </w:r>
      <w:r w:rsidRPr="00411A67">
        <w:rPr>
          <w:rFonts w:ascii="Arial" w:hAnsi="Arial" w:cs="Arial"/>
        </w:rPr>
        <w:t xml:space="preserve"> consistency for the entire scale was good and the results are considered reliable and consistent. The results are therefore retained for further analysis.</w:t>
      </w:r>
    </w:p>
    <w:p w14:paraId="00E42E8A" w14:textId="44ECBA40" w:rsidR="00C622DA" w:rsidRPr="00597AF8" w:rsidRDefault="00C622DA" w:rsidP="00C622DA">
      <w:pPr>
        <w:pStyle w:val="Caption"/>
        <w:keepNext/>
        <w:rPr>
          <w:rFonts w:ascii="Arial" w:hAnsi="Arial" w:cs="Arial"/>
          <w:i w:val="0"/>
          <w:iCs w:val="0"/>
          <w:color w:val="auto"/>
          <w:sz w:val="16"/>
          <w:szCs w:val="16"/>
        </w:rPr>
      </w:pPr>
      <w:r w:rsidRPr="00597AF8">
        <w:rPr>
          <w:rFonts w:ascii="Arial" w:hAnsi="Arial" w:cs="Arial"/>
          <w:i w:val="0"/>
          <w:iCs w:val="0"/>
          <w:color w:val="auto"/>
          <w:sz w:val="16"/>
          <w:szCs w:val="16"/>
        </w:rPr>
        <w:t xml:space="preserve">Table </w:t>
      </w:r>
      <w:r w:rsidRPr="00597AF8">
        <w:rPr>
          <w:rFonts w:ascii="Arial" w:hAnsi="Arial" w:cs="Arial"/>
          <w:i w:val="0"/>
          <w:iCs w:val="0"/>
          <w:color w:val="auto"/>
          <w:sz w:val="16"/>
          <w:szCs w:val="16"/>
        </w:rPr>
        <w:fldChar w:fldCharType="begin"/>
      </w:r>
      <w:r w:rsidRPr="00597AF8">
        <w:rPr>
          <w:rFonts w:ascii="Arial" w:hAnsi="Arial" w:cs="Arial"/>
          <w:i w:val="0"/>
          <w:iCs w:val="0"/>
          <w:color w:val="auto"/>
          <w:sz w:val="16"/>
          <w:szCs w:val="16"/>
        </w:rPr>
        <w:instrText xml:space="preserve"> STYLEREF 1 \s </w:instrText>
      </w:r>
      <w:r w:rsidRPr="00597AF8">
        <w:rPr>
          <w:rFonts w:ascii="Arial" w:hAnsi="Arial" w:cs="Arial"/>
          <w:i w:val="0"/>
          <w:iCs w:val="0"/>
          <w:color w:val="auto"/>
          <w:sz w:val="16"/>
          <w:szCs w:val="16"/>
        </w:rPr>
        <w:fldChar w:fldCharType="separate"/>
      </w:r>
      <w:r w:rsidRPr="00597AF8">
        <w:rPr>
          <w:rFonts w:ascii="Arial" w:hAnsi="Arial" w:cs="Arial"/>
          <w:i w:val="0"/>
          <w:iCs w:val="0"/>
          <w:noProof/>
          <w:color w:val="auto"/>
          <w:sz w:val="16"/>
          <w:szCs w:val="16"/>
        </w:rPr>
        <w:t>4</w:t>
      </w:r>
      <w:r w:rsidRPr="00597AF8">
        <w:rPr>
          <w:rFonts w:ascii="Arial" w:hAnsi="Arial" w:cs="Arial"/>
          <w:i w:val="0"/>
          <w:iCs w:val="0"/>
          <w:color w:val="auto"/>
          <w:sz w:val="16"/>
          <w:szCs w:val="16"/>
        </w:rPr>
        <w:fldChar w:fldCharType="end"/>
      </w:r>
      <w:r w:rsidRPr="00597AF8">
        <w:rPr>
          <w:rFonts w:ascii="Arial" w:hAnsi="Arial" w:cs="Arial"/>
          <w:i w:val="0"/>
          <w:iCs w:val="0"/>
          <w:color w:val="auto"/>
          <w:sz w:val="16"/>
          <w:szCs w:val="16"/>
        </w:rPr>
        <w:noBreakHyphen/>
      </w:r>
      <w:r w:rsidR="00475262">
        <w:rPr>
          <w:rFonts w:ascii="Arial" w:hAnsi="Arial" w:cs="Arial"/>
          <w:i w:val="0"/>
          <w:iCs w:val="0"/>
          <w:color w:val="auto"/>
          <w:sz w:val="16"/>
          <w:szCs w:val="16"/>
        </w:rPr>
        <w:t>8.2</w:t>
      </w:r>
      <w:r w:rsidRPr="00597AF8">
        <w:rPr>
          <w:rFonts w:ascii="Arial" w:hAnsi="Arial" w:cs="Arial"/>
          <w:i w:val="0"/>
          <w:iCs w:val="0"/>
          <w:color w:val="auto"/>
          <w:sz w:val="16"/>
          <w:szCs w:val="16"/>
        </w:rPr>
        <w:t>: Overall reliability statistics</w:t>
      </w:r>
    </w:p>
    <w:tbl>
      <w:tblPr>
        <w:tblW w:w="5000" w:type="pct"/>
        <w:tblLook w:val="04A0" w:firstRow="1" w:lastRow="0" w:firstColumn="1" w:lastColumn="0" w:noHBand="0" w:noVBand="1"/>
      </w:tblPr>
      <w:tblGrid>
        <w:gridCol w:w="5365"/>
        <w:gridCol w:w="2223"/>
        <w:gridCol w:w="1428"/>
      </w:tblGrid>
      <w:tr w:rsidR="00C622DA" w:rsidRPr="00597AF8" w14:paraId="47B6BC81" w14:textId="77777777" w:rsidTr="007145EC">
        <w:trPr>
          <w:trHeight w:val="591"/>
        </w:trPr>
        <w:tc>
          <w:tcPr>
            <w:tcW w:w="2975" w:type="pct"/>
            <w:vMerge w:val="restart"/>
            <w:tcBorders>
              <w:top w:val="single" w:sz="4" w:space="0" w:color="auto"/>
              <w:left w:val="single" w:sz="4" w:space="0" w:color="auto"/>
              <w:right w:val="single" w:sz="4" w:space="0" w:color="auto"/>
            </w:tcBorders>
            <w:shd w:val="clear" w:color="auto" w:fill="auto"/>
            <w:noWrap/>
            <w:vAlign w:val="bottom"/>
            <w:hideMark/>
          </w:tcPr>
          <w:p w14:paraId="78717FD6" w14:textId="77777777" w:rsidR="00C622DA" w:rsidRPr="00597AF8" w:rsidRDefault="00C622DA" w:rsidP="007D2AC6">
            <w:pPr>
              <w:spacing w:after="0" w:line="360" w:lineRule="auto"/>
              <w:jc w:val="both"/>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Constructs</w:t>
            </w:r>
          </w:p>
        </w:tc>
        <w:tc>
          <w:tcPr>
            <w:tcW w:w="2025" w:type="pct"/>
            <w:gridSpan w:val="2"/>
            <w:tcBorders>
              <w:top w:val="single" w:sz="4" w:space="0" w:color="auto"/>
              <w:left w:val="nil"/>
              <w:bottom w:val="single" w:sz="4" w:space="0" w:color="auto"/>
              <w:right w:val="single" w:sz="4" w:space="0" w:color="auto"/>
            </w:tcBorders>
            <w:shd w:val="clear" w:color="auto" w:fill="auto"/>
            <w:vAlign w:val="bottom"/>
          </w:tcPr>
          <w:p w14:paraId="3542334C"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Reliability statistics</w:t>
            </w:r>
          </w:p>
        </w:tc>
      </w:tr>
      <w:tr w:rsidR="00C622DA" w:rsidRPr="00597AF8" w14:paraId="06DBC87A" w14:textId="77777777" w:rsidTr="007145EC">
        <w:trPr>
          <w:trHeight w:val="416"/>
        </w:trPr>
        <w:tc>
          <w:tcPr>
            <w:tcW w:w="2975" w:type="pct"/>
            <w:vMerge/>
            <w:tcBorders>
              <w:left w:val="single" w:sz="4" w:space="0" w:color="auto"/>
              <w:bottom w:val="single" w:sz="4" w:space="0" w:color="auto"/>
              <w:right w:val="single" w:sz="4" w:space="0" w:color="auto"/>
            </w:tcBorders>
            <w:shd w:val="clear" w:color="auto" w:fill="auto"/>
            <w:noWrap/>
            <w:vAlign w:val="bottom"/>
          </w:tcPr>
          <w:p w14:paraId="486A8F28" w14:textId="77777777" w:rsidR="00C622DA" w:rsidRPr="00597AF8" w:rsidRDefault="00C622DA" w:rsidP="007D2AC6">
            <w:pPr>
              <w:spacing w:after="0" w:line="360" w:lineRule="auto"/>
              <w:rPr>
                <w:rFonts w:ascii="Arial" w:eastAsia="Times New Roman" w:hAnsi="Arial" w:cs="Arial"/>
                <w:color w:val="000000"/>
                <w:sz w:val="16"/>
                <w:szCs w:val="16"/>
                <w:lang w:eastAsia="en-GB"/>
              </w:rPr>
            </w:pPr>
          </w:p>
        </w:tc>
        <w:tc>
          <w:tcPr>
            <w:tcW w:w="1233" w:type="pct"/>
            <w:tcBorders>
              <w:top w:val="single" w:sz="4" w:space="0" w:color="auto"/>
              <w:left w:val="nil"/>
              <w:bottom w:val="single" w:sz="4" w:space="0" w:color="auto"/>
              <w:right w:val="single" w:sz="4" w:space="0" w:color="auto"/>
            </w:tcBorders>
            <w:shd w:val="clear" w:color="auto" w:fill="auto"/>
            <w:vAlign w:val="bottom"/>
          </w:tcPr>
          <w:p w14:paraId="3B02D9C2"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Cronbach's alpha</w:t>
            </w:r>
          </w:p>
        </w:tc>
        <w:tc>
          <w:tcPr>
            <w:tcW w:w="793" w:type="pct"/>
            <w:tcBorders>
              <w:top w:val="single" w:sz="4" w:space="0" w:color="auto"/>
              <w:left w:val="nil"/>
              <w:bottom w:val="single" w:sz="4" w:space="0" w:color="auto"/>
              <w:right w:val="single" w:sz="4" w:space="0" w:color="auto"/>
            </w:tcBorders>
            <w:shd w:val="clear" w:color="auto" w:fill="auto"/>
            <w:vAlign w:val="bottom"/>
          </w:tcPr>
          <w:p w14:paraId="7768B45A"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N of items</w:t>
            </w:r>
          </w:p>
        </w:tc>
      </w:tr>
      <w:tr w:rsidR="00C622DA" w:rsidRPr="00597AF8" w14:paraId="638D8261" w14:textId="77777777" w:rsidTr="007145EC">
        <w:trPr>
          <w:trHeight w:val="467"/>
        </w:trPr>
        <w:tc>
          <w:tcPr>
            <w:tcW w:w="2975" w:type="pct"/>
            <w:tcBorders>
              <w:top w:val="nil"/>
              <w:left w:val="single" w:sz="4" w:space="0" w:color="auto"/>
              <w:bottom w:val="single" w:sz="4" w:space="0" w:color="auto"/>
              <w:right w:val="single" w:sz="4" w:space="0" w:color="auto"/>
            </w:tcBorders>
            <w:shd w:val="clear" w:color="auto" w:fill="auto"/>
            <w:noWrap/>
            <w:vAlign w:val="bottom"/>
            <w:hideMark/>
          </w:tcPr>
          <w:p w14:paraId="38A69376"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Challenges</w:t>
            </w:r>
          </w:p>
        </w:tc>
        <w:tc>
          <w:tcPr>
            <w:tcW w:w="1233" w:type="pct"/>
            <w:tcBorders>
              <w:top w:val="nil"/>
              <w:left w:val="nil"/>
              <w:bottom w:val="single" w:sz="4" w:space="0" w:color="auto"/>
              <w:right w:val="single" w:sz="4" w:space="0" w:color="auto"/>
            </w:tcBorders>
            <w:shd w:val="clear" w:color="auto" w:fill="auto"/>
            <w:noWrap/>
            <w:vAlign w:val="bottom"/>
            <w:hideMark/>
          </w:tcPr>
          <w:p w14:paraId="6973F6F9"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0.907</w:t>
            </w:r>
          </w:p>
        </w:tc>
        <w:tc>
          <w:tcPr>
            <w:tcW w:w="793" w:type="pct"/>
            <w:tcBorders>
              <w:top w:val="nil"/>
              <w:left w:val="nil"/>
              <w:bottom w:val="single" w:sz="4" w:space="0" w:color="auto"/>
              <w:right w:val="single" w:sz="4" w:space="0" w:color="auto"/>
            </w:tcBorders>
            <w:shd w:val="clear" w:color="auto" w:fill="auto"/>
            <w:noWrap/>
            <w:vAlign w:val="bottom"/>
            <w:hideMark/>
          </w:tcPr>
          <w:p w14:paraId="20D697E2"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19</w:t>
            </w:r>
          </w:p>
        </w:tc>
      </w:tr>
      <w:tr w:rsidR="00C622DA" w:rsidRPr="00597AF8" w14:paraId="12CE4FE8" w14:textId="77777777" w:rsidTr="007145EC">
        <w:trPr>
          <w:trHeight w:val="499"/>
        </w:trPr>
        <w:tc>
          <w:tcPr>
            <w:tcW w:w="2975" w:type="pct"/>
            <w:tcBorders>
              <w:top w:val="nil"/>
              <w:left w:val="single" w:sz="4" w:space="0" w:color="auto"/>
              <w:bottom w:val="single" w:sz="4" w:space="0" w:color="auto"/>
              <w:right w:val="single" w:sz="4" w:space="0" w:color="auto"/>
            </w:tcBorders>
            <w:shd w:val="clear" w:color="auto" w:fill="auto"/>
            <w:vAlign w:val="bottom"/>
            <w:hideMark/>
          </w:tcPr>
          <w:p w14:paraId="46CFB5CE"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Opportunities associated with securing finance</w:t>
            </w:r>
          </w:p>
        </w:tc>
        <w:tc>
          <w:tcPr>
            <w:tcW w:w="1233" w:type="pct"/>
            <w:tcBorders>
              <w:top w:val="nil"/>
              <w:left w:val="nil"/>
              <w:bottom w:val="single" w:sz="4" w:space="0" w:color="auto"/>
              <w:right w:val="single" w:sz="4" w:space="0" w:color="auto"/>
            </w:tcBorders>
            <w:shd w:val="clear" w:color="auto" w:fill="auto"/>
            <w:noWrap/>
            <w:vAlign w:val="bottom"/>
            <w:hideMark/>
          </w:tcPr>
          <w:p w14:paraId="297E6F43"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0.953</w:t>
            </w:r>
          </w:p>
        </w:tc>
        <w:tc>
          <w:tcPr>
            <w:tcW w:w="793" w:type="pct"/>
            <w:tcBorders>
              <w:top w:val="nil"/>
              <w:left w:val="nil"/>
              <w:bottom w:val="single" w:sz="4" w:space="0" w:color="auto"/>
              <w:right w:val="single" w:sz="4" w:space="0" w:color="auto"/>
            </w:tcBorders>
            <w:shd w:val="clear" w:color="auto" w:fill="auto"/>
            <w:noWrap/>
            <w:vAlign w:val="bottom"/>
            <w:hideMark/>
          </w:tcPr>
          <w:p w14:paraId="727F257E"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20</w:t>
            </w:r>
          </w:p>
        </w:tc>
      </w:tr>
      <w:tr w:rsidR="00C622DA" w:rsidRPr="00597AF8" w14:paraId="413EC514" w14:textId="77777777" w:rsidTr="007145EC">
        <w:trPr>
          <w:trHeight w:val="467"/>
        </w:trPr>
        <w:tc>
          <w:tcPr>
            <w:tcW w:w="2975" w:type="pct"/>
            <w:tcBorders>
              <w:top w:val="nil"/>
              <w:left w:val="single" w:sz="4" w:space="0" w:color="auto"/>
              <w:bottom w:val="single" w:sz="4" w:space="0" w:color="auto"/>
              <w:right w:val="single" w:sz="4" w:space="0" w:color="auto"/>
            </w:tcBorders>
            <w:shd w:val="clear" w:color="auto" w:fill="auto"/>
            <w:noWrap/>
            <w:vAlign w:val="bottom"/>
            <w:hideMark/>
          </w:tcPr>
          <w:p w14:paraId="0FDC37F3"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 xml:space="preserve">Criteria </w:t>
            </w:r>
          </w:p>
        </w:tc>
        <w:tc>
          <w:tcPr>
            <w:tcW w:w="1233" w:type="pct"/>
            <w:tcBorders>
              <w:top w:val="nil"/>
              <w:left w:val="nil"/>
              <w:bottom w:val="single" w:sz="4" w:space="0" w:color="auto"/>
              <w:right w:val="single" w:sz="4" w:space="0" w:color="auto"/>
            </w:tcBorders>
            <w:shd w:val="clear" w:color="auto" w:fill="auto"/>
            <w:noWrap/>
            <w:vAlign w:val="bottom"/>
            <w:hideMark/>
          </w:tcPr>
          <w:p w14:paraId="0E5B0F64"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0.925</w:t>
            </w:r>
          </w:p>
        </w:tc>
        <w:tc>
          <w:tcPr>
            <w:tcW w:w="793" w:type="pct"/>
            <w:tcBorders>
              <w:top w:val="nil"/>
              <w:left w:val="nil"/>
              <w:bottom w:val="single" w:sz="4" w:space="0" w:color="auto"/>
              <w:right w:val="single" w:sz="4" w:space="0" w:color="auto"/>
            </w:tcBorders>
            <w:shd w:val="clear" w:color="auto" w:fill="auto"/>
            <w:noWrap/>
            <w:vAlign w:val="bottom"/>
            <w:hideMark/>
          </w:tcPr>
          <w:p w14:paraId="566A25F3"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16</w:t>
            </w:r>
          </w:p>
        </w:tc>
      </w:tr>
      <w:tr w:rsidR="00C622DA" w:rsidRPr="00597AF8" w14:paraId="25F86FCA" w14:textId="77777777" w:rsidTr="007145EC">
        <w:trPr>
          <w:trHeight w:val="467"/>
        </w:trPr>
        <w:tc>
          <w:tcPr>
            <w:tcW w:w="2975" w:type="pct"/>
            <w:tcBorders>
              <w:top w:val="nil"/>
              <w:left w:val="single" w:sz="4" w:space="0" w:color="auto"/>
              <w:bottom w:val="single" w:sz="4" w:space="0" w:color="auto"/>
              <w:right w:val="single" w:sz="4" w:space="0" w:color="auto"/>
            </w:tcBorders>
            <w:shd w:val="clear" w:color="auto" w:fill="auto"/>
            <w:noWrap/>
            <w:vAlign w:val="bottom"/>
            <w:hideMark/>
          </w:tcPr>
          <w:p w14:paraId="201B5607"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Critical success factors</w:t>
            </w:r>
          </w:p>
        </w:tc>
        <w:tc>
          <w:tcPr>
            <w:tcW w:w="1233" w:type="pct"/>
            <w:tcBorders>
              <w:top w:val="nil"/>
              <w:left w:val="nil"/>
              <w:bottom w:val="single" w:sz="4" w:space="0" w:color="auto"/>
              <w:right w:val="single" w:sz="4" w:space="0" w:color="auto"/>
            </w:tcBorders>
            <w:shd w:val="clear" w:color="auto" w:fill="auto"/>
            <w:noWrap/>
            <w:vAlign w:val="bottom"/>
            <w:hideMark/>
          </w:tcPr>
          <w:p w14:paraId="53C00224"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0.956</w:t>
            </w:r>
          </w:p>
        </w:tc>
        <w:tc>
          <w:tcPr>
            <w:tcW w:w="793" w:type="pct"/>
            <w:tcBorders>
              <w:top w:val="nil"/>
              <w:left w:val="nil"/>
              <w:bottom w:val="single" w:sz="4" w:space="0" w:color="auto"/>
              <w:right w:val="single" w:sz="4" w:space="0" w:color="auto"/>
            </w:tcBorders>
            <w:shd w:val="clear" w:color="auto" w:fill="auto"/>
            <w:noWrap/>
            <w:vAlign w:val="bottom"/>
            <w:hideMark/>
          </w:tcPr>
          <w:p w14:paraId="081EF061"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20</w:t>
            </w:r>
          </w:p>
        </w:tc>
      </w:tr>
      <w:tr w:rsidR="00C622DA" w:rsidRPr="00597AF8" w14:paraId="3E052F3B" w14:textId="77777777" w:rsidTr="007145EC">
        <w:trPr>
          <w:trHeight w:val="467"/>
        </w:trPr>
        <w:tc>
          <w:tcPr>
            <w:tcW w:w="2975" w:type="pct"/>
            <w:tcBorders>
              <w:top w:val="nil"/>
              <w:left w:val="single" w:sz="4" w:space="0" w:color="auto"/>
              <w:bottom w:val="single" w:sz="4" w:space="0" w:color="auto"/>
              <w:right w:val="single" w:sz="4" w:space="0" w:color="auto"/>
            </w:tcBorders>
            <w:shd w:val="clear" w:color="auto" w:fill="auto"/>
            <w:noWrap/>
            <w:vAlign w:val="bottom"/>
            <w:hideMark/>
          </w:tcPr>
          <w:p w14:paraId="46E554DA"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Management skills</w:t>
            </w:r>
          </w:p>
        </w:tc>
        <w:tc>
          <w:tcPr>
            <w:tcW w:w="1233" w:type="pct"/>
            <w:tcBorders>
              <w:top w:val="nil"/>
              <w:left w:val="nil"/>
              <w:bottom w:val="single" w:sz="4" w:space="0" w:color="auto"/>
              <w:right w:val="single" w:sz="4" w:space="0" w:color="auto"/>
            </w:tcBorders>
            <w:shd w:val="clear" w:color="auto" w:fill="auto"/>
            <w:noWrap/>
            <w:vAlign w:val="bottom"/>
            <w:hideMark/>
          </w:tcPr>
          <w:p w14:paraId="66F4F913"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0.975</w:t>
            </w:r>
          </w:p>
        </w:tc>
        <w:tc>
          <w:tcPr>
            <w:tcW w:w="793" w:type="pct"/>
            <w:tcBorders>
              <w:top w:val="nil"/>
              <w:left w:val="nil"/>
              <w:bottom w:val="single" w:sz="4" w:space="0" w:color="auto"/>
              <w:right w:val="single" w:sz="4" w:space="0" w:color="auto"/>
            </w:tcBorders>
            <w:shd w:val="clear" w:color="auto" w:fill="auto"/>
            <w:noWrap/>
            <w:vAlign w:val="bottom"/>
            <w:hideMark/>
          </w:tcPr>
          <w:p w14:paraId="5F042B7C"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69</w:t>
            </w:r>
          </w:p>
        </w:tc>
      </w:tr>
      <w:tr w:rsidR="00C622DA" w:rsidRPr="00597AF8" w14:paraId="4681593A" w14:textId="77777777" w:rsidTr="007145EC">
        <w:trPr>
          <w:trHeight w:val="467"/>
        </w:trPr>
        <w:tc>
          <w:tcPr>
            <w:tcW w:w="2975" w:type="pct"/>
            <w:tcBorders>
              <w:top w:val="nil"/>
              <w:left w:val="single" w:sz="4" w:space="0" w:color="auto"/>
              <w:bottom w:val="single" w:sz="4" w:space="0" w:color="auto"/>
              <w:right w:val="single" w:sz="4" w:space="0" w:color="auto"/>
            </w:tcBorders>
            <w:shd w:val="clear" w:color="auto" w:fill="auto"/>
            <w:noWrap/>
            <w:vAlign w:val="bottom"/>
            <w:hideMark/>
          </w:tcPr>
          <w:p w14:paraId="67F1B596"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Management knowledge</w:t>
            </w:r>
          </w:p>
        </w:tc>
        <w:tc>
          <w:tcPr>
            <w:tcW w:w="1233" w:type="pct"/>
            <w:tcBorders>
              <w:top w:val="nil"/>
              <w:left w:val="nil"/>
              <w:bottom w:val="single" w:sz="4" w:space="0" w:color="auto"/>
              <w:right w:val="single" w:sz="4" w:space="0" w:color="auto"/>
            </w:tcBorders>
            <w:shd w:val="clear" w:color="auto" w:fill="auto"/>
            <w:noWrap/>
            <w:vAlign w:val="bottom"/>
            <w:hideMark/>
          </w:tcPr>
          <w:p w14:paraId="3ED01C73"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0.985</w:t>
            </w:r>
          </w:p>
        </w:tc>
        <w:tc>
          <w:tcPr>
            <w:tcW w:w="793" w:type="pct"/>
            <w:tcBorders>
              <w:top w:val="nil"/>
              <w:left w:val="nil"/>
              <w:bottom w:val="single" w:sz="4" w:space="0" w:color="auto"/>
              <w:right w:val="single" w:sz="4" w:space="0" w:color="auto"/>
            </w:tcBorders>
            <w:shd w:val="clear" w:color="auto" w:fill="auto"/>
            <w:noWrap/>
            <w:vAlign w:val="bottom"/>
            <w:hideMark/>
          </w:tcPr>
          <w:p w14:paraId="50E04344"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51</w:t>
            </w:r>
          </w:p>
        </w:tc>
      </w:tr>
      <w:tr w:rsidR="00C622DA" w:rsidRPr="00597AF8" w14:paraId="5D5C3BF6" w14:textId="77777777" w:rsidTr="007145EC">
        <w:trPr>
          <w:trHeight w:val="467"/>
        </w:trPr>
        <w:tc>
          <w:tcPr>
            <w:tcW w:w="2975" w:type="pct"/>
            <w:tcBorders>
              <w:top w:val="nil"/>
              <w:left w:val="single" w:sz="4" w:space="0" w:color="auto"/>
              <w:bottom w:val="single" w:sz="4" w:space="0" w:color="auto"/>
              <w:right w:val="single" w:sz="4" w:space="0" w:color="auto"/>
            </w:tcBorders>
            <w:shd w:val="clear" w:color="auto" w:fill="auto"/>
            <w:noWrap/>
            <w:vAlign w:val="bottom"/>
            <w:hideMark/>
          </w:tcPr>
          <w:p w14:paraId="6B48D185"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Management competence</w:t>
            </w:r>
          </w:p>
        </w:tc>
        <w:tc>
          <w:tcPr>
            <w:tcW w:w="1233" w:type="pct"/>
            <w:tcBorders>
              <w:top w:val="nil"/>
              <w:left w:val="nil"/>
              <w:bottom w:val="single" w:sz="4" w:space="0" w:color="auto"/>
              <w:right w:val="single" w:sz="4" w:space="0" w:color="auto"/>
            </w:tcBorders>
            <w:shd w:val="clear" w:color="auto" w:fill="auto"/>
            <w:noWrap/>
            <w:vAlign w:val="bottom"/>
            <w:hideMark/>
          </w:tcPr>
          <w:p w14:paraId="639AD825"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0.985</w:t>
            </w:r>
          </w:p>
        </w:tc>
        <w:tc>
          <w:tcPr>
            <w:tcW w:w="793" w:type="pct"/>
            <w:tcBorders>
              <w:top w:val="nil"/>
              <w:left w:val="nil"/>
              <w:bottom w:val="single" w:sz="4" w:space="0" w:color="auto"/>
              <w:right w:val="single" w:sz="4" w:space="0" w:color="auto"/>
            </w:tcBorders>
            <w:shd w:val="clear" w:color="auto" w:fill="auto"/>
            <w:noWrap/>
            <w:vAlign w:val="bottom"/>
            <w:hideMark/>
          </w:tcPr>
          <w:p w14:paraId="4662F4F5"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57</w:t>
            </w:r>
          </w:p>
        </w:tc>
      </w:tr>
      <w:tr w:rsidR="00C622DA" w:rsidRPr="00597AF8" w14:paraId="2E8E4719" w14:textId="77777777" w:rsidTr="007145EC">
        <w:trPr>
          <w:trHeight w:val="529"/>
        </w:trPr>
        <w:tc>
          <w:tcPr>
            <w:tcW w:w="2975" w:type="pct"/>
            <w:tcBorders>
              <w:top w:val="nil"/>
              <w:left w:val="single" w:sz="4" w:space="0" w:color="auto"/>
              <w:bottom w:val="single" w:sz="4" w:space="0" w:color="auto"/>
              <w:right w:val="single" w:sz="4" w:space="0" w:color="auto"/>
            </w:tcBorders>
            <w:shd w:val="clear" w:color="auto" w:fill="auto"/>
            <w:vAlign w:val="bottom"/>
            <w:hideMark/>
          </w:tcPr>
          <w:p w14:paraId="367527DB" w14:textId="77777777" w:rsidR="00C622DA" w:rsidRPr="00597AF8" w:rsidRDefault="00C622DA" w:rsidP="007D2AC6">
            <w:pPr>
              <w:spacing w:after="0" w:line="360" w:lineRule="auto"/>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 xml:space="preserve">Management training and education </w:t>
            </w:r>
          </w:p>
        </w:tc>
        <w:tc>
          <w:tcPr>
            <w:tcW w:w="1233" w:type="pct"/>
            <w:tcBorders>
              <w:top w:val="nil"/>
              <w:left w:val="nil"/>
              <w:bottom w:val="single" w:sz="4" w:space="0" w:color="auto"/>
              <w:right w:val="single" w:sz="4" w:space="0" w:color="auto"/>
            </w:tcBorders>
            <w:shd w:val="clear" w:color="auto" w:fill="auto"/>
            <w:noWrap/>
            <w:vAlign w:val="bottom"/>
            <w:hideMark/>
          </w:tcPr>
          <w:p w14:paraId="4786CE15"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0.971</w:t>
            </w:r>
          </w:p>
        </w:tc>
        <w:tc>
          <w:tcPr>
            <w:tcW w:w="793" w:type="pct"/>
            <w:tcBorders>
              <w:top w:val="nil"/>
              <w:left w:val="nil"/>
              <w:bottom w:val="single" w:sz="4" w:space="0" w:color="auto"/>
              <w:right w:val="single" w:sz="4" w:space="0" w:color="auto"/>
            </w:tcBorders>
            <w:shd w:val="clear" w:color="auto" w:fill="auto"/>
            <w:noWrap/>
            <w:vAlign w:val="bottom"/>
            <w:hideMark/>
          </w:tcPr>
          <w:p w14:paraId="199CC716" w14:textId="77777777" w:rsidR="00C622DA" w:rsidRPr="00597AF8" w:rsidRDefault="00C622DA" w:rsidP="007D2AC6">
            <w:pPr>
              <w:spacing w:after="0" w:line="360" w:lineRule="auto"/>
              <w:jc w:val="right"/>
              <w:rPr>
                <w:rFonts w:ascii="Arial" w:eastAsia="Times New Roman" w:hAnsi="Arial" w:cs="Arial"/>
                <w:color w:val="000000"/>
                <w:sz w:val="16"/>
                <w:szCs w:val="16"/>
                <w:lang w:eastAsia="en-GB"/>
              </w:rPr>
            </w:pPr>
            <w:r w:rsidRPr="00597AF8">
              <w:rPr>
                <w:rFonts w:ascii="Arial" w:eastAsia="Times New Roman" w:hAnsi="Arial" w:cs="Arial"/>
                <w:color w:val="000000"/>
                <w:sz w:val="16"/>
                <w:szCs w:val="16"/>
                <w:lang w:eastAsia="en-GB"/>
              </w:rPr>
              <w:t>36</w:t>
            </w:r>
          </w:p>
        </w:tc>
      </w:tr>
    </w:tbl>
    <w:p w14:paraId="60767483" w14:textId="77777777" w:rsidR="00C622DA" w:rsidRPr="00C622DA" w:rsidRDefault="00C622DA" w:rsidP="00C622DA">
      <w:pPr>
        <w:spacing w:after="0" w:line="360" w:lineRule="auto"/>
        <w:jc w:val="both"/>
        <w:rPr>
          <w:rStyle w:val="Strong"/>
          <w:rFonts w:ascii="Arial" w:hAnsi="Arial" w:cs="Arial"/>
          <w:b w:val="0"/>
        </w:rPr>
      </w:pPr>
    </w:p>
    <w:p w14:paraId="0FB579FE" w14:textId="77777777" w:rsidR="00CD6352" w:rsidRPr="00EA7665" w:rsidRDefault="00CD6352" w:rsidP="00CD6352">
      <w:pPr>
        <w:pStyle w:val="Heading2"/>
        <w:spacing w:after="240"/>
        <w:rPr>
          <w:sz w:val="22"/>
          <w:szCs w:val="22"/>
        </w:rPr>
      </w:pPr>
      <w:bookmarkStart w:id="1050" w:name="_Toc78983836"/>
      <w:r w:rsidRPr="00EA7665">
        <w:rPr>
          <w:sz w:val="22"/>
          <w:szCs w:val="22"/>
        </w:rPr>
        <w:lastRenderedPageBreak/>
        <w:t>Research ethical consideration</w:t>
      </w:r>
      <w:bookmarkEnd w:id="1050"/>
    </w:p>
    <w:p w14:paraId="4015B2E8" w14:textId="1B79BB26" w:rsidR="00CD6352" w:rsidRPr="00EA7665" w:rsidRDefault="00CD6352" w:rsidP="00CD6352">
      <w:pPr>
        <w:spacing w:line="360" w:lineRule="auto"/>
        <w:jc w:val="both"/>
        <w:rPr>
          <w:rFonts w:ascii="Arial" w:hAnsi="Arial" w:cs="Arial"/>
        </w:rPr>
      </w:pPr>
      <w:r w:rsidRPr="00EA7665">
        <w:rPr>
          <w:rFonts w:ascii="Arial" w:hAnsi="Arial" w:cs="Arial"/>
        </w:rPr>
        <w:t xml:space="preserve">Ethical concerns could occur at the different stages of the </w:t>
      </w:r>
      <w:r w:rsidR="00EE1412" w:rsidRPr="00EA7665">
        <w:rPr>
          <w:rFonts w:ascii="Arial" w:hAnsi="Arial" w:cs="Arial"/>
        </w:rPr>
        <w:t>research</w:t>
      </w:r>
      <w:r w:rsidR="00EE1412">
        <w:rPr>
          <w:rFonts w:ascii="Arial" w:hAnsi="Arial" w:cs="Arial"/>
        </w:rPr>
        <w:t>;</w:t>
      </w:r>
      <w:r w:rsidRPr="00EA7665">
        <w:rPr>
          <w:rFonts w:ascii="Arial" w:hAnsi="Arial" w:cs="Arial"/>
        </w:rPr>
        <w:t xml:space="preserve"> therefore, a researcher </w:t>
      </w:r>
      <w:r>
        <w:rPr>
          <w:rFonts w:ascii="Arial" w:hAnsi="Arial" w:cs="Arial"/>
        </w:rPr>
        <w:t>must</w:t>
      </w:r>
      <w:r w:rsidRPr="00EA7665">
        <w:rPr>
          <w:rFonts w:ascii="Arial" w:hAnsi="Arial" w:cs="Arial"/>
        </w:rPr>
        <w:t xml:space="preserve"> anticipate them at all times in the course of the study (Creswell, 2009). </w:t>
      </w:r>
      <w:r w:rsidR="00597AF8">
        <w:rPr>
          <w:rFonts w:ascii="Arial" w:hAnsi="Arial" w:cs="Arial"/>
        </w:rPr>
        <w:t>R</w:t>
      </w:r>
      <w:r w:rsidRPr="00EA7665">
        <w:rPr>
          <w:rFonts w:ascii="Arial" w:hAnsi="Arial" w:cs="Arial"/>
        </w:rPr>
        <w:t>esearch ethics relates to how the researcher formulates and clarifies the research topic, designs and gains access to collect data, processes and stores the data, analyses the data</w:t>
      </w:r>
      <w:r w:rsidR="008419C9">
        <w:rPr>
          <w:rFonts w:ascii="Arial" w:hAnsi="Arial" w:cs="Arial"/>
        </w:rPr>
        <w:t>,</w:t>
      </w:r>
      <w:r w:rsidRPr="00EA7665">
        <w:rPr>
          <w:rFonts w:ascii="Arial" w:hAnsi="Arial" w:cs="Arial"/>
        </w:rPr>
        <w:t xml:space="preserve"> and writes up the research findings responsibly and morally (Saunders et al., 2009; Zin, 2013).  Research ethics are acceptable sets of principles guiding the way any research involving an interaction between the researcher and other humans are designed, managed and conducted.</w:t>
      </w:r>
    </w:p>
    <w:p w14:paraId="1B7D3983"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The five major principles of ethics were adhered to in the course of the research. These five principles are voluntary participation, informed consent, avoidance of harm, confidentiality, and anonymity (Saunders et al., 2009). </w:t>
      </w:r>
    </w:p>
    <w:p w14:paraId="2E141827" w14:textId="629EC1C3" w:rsidR="00CD6352" w:rsidRPr="00EA7665" w:rsidRDefault="00CD6352" w:rsidP="00CD6352">
      <w:pPr>
        <w:spacing w:line="360" w:lineRule="auto"/>
        <w:jc w:val="both"/>
        <w:rPr>
          <w:rFonts w:ascii="Arial" w:hAnsi="Arial" w:cs="Arial"/>
        </w:rPr>
      </w:pPr>
      <w:r w:rsidRPr="00EA7665">
        <w:rPr>
          <w:rFonts w:ascii="Arial" w:hAnsi="Arial" w:cs="Arial"/>
          <w:b/>
        </w:rPr>
        <w:t xml:space="preserve">Voluntary participation &amp; informed consent: </w:t>
      </w:r>
      <w:r w:rsidRPr="00EA7665">
        <w:rPr>
          <w:rFonts w:ascii="Arial" w:hAnsi="Arial" w:cs="Arial"/>
        </w:rPr>
        <w:t>The consent of potential respondents to questionnaires and intervie</w:t>
      </w:r>
      <w:r>
        <w:rPr>
          <w:rFonts w:ascii="Arial" w:hAnsi="Arial" w:cs="Arial"/>
        </w:rPr>
        <w:t>ws</w:t>
      </w:r>
      <w:r w:rsidRPr="00EA7665">
        <w:rPr>
          <w:rFonts w:ascii="Arial" w:hAnsi="Arial" w:cs="Arial"/>
        </w:rPr>
        <w:t xml:space="preserve"> was obtained via email, LinkedIn and a letter of consent </w:t>
      </w:r>
      <w:r w:rsidR="0054456B">
        <w:rPr>
          <w:rFonts w:ascii="Arial" w:hAnsi="Arial" w:cs="Arial"/>
        </w:rPr>
        <w:t>from</w:t>
      </w:r>
      <w:r w:rsidR="0054456B" w:rsidRPr="00EA7665">
        <w:rPr>
          <w:rFonts w:ascii="Arial" w:hAnsi="Arial" w:cs="Arial"/>
        </w:rPr>
        <w:t xml:space="preserve"> </w:t>
      </w:r>
      <w:r w:rsidRPr="00EA7665">
        <w:rPr>
          <w:rFonts w:ascii="Arial" w:hAnsi="Arial" w:cs="Arial"/>
        </w:rPr>
        <w:t xml:space="preserve">the interviewee (see appendix C). The questionnaire also has an introductory page </w:t>
      </w:r>
      <w:r w:rsidR="00597AF8">
        <w:rPr>
          <w:rFonts w:ascii="Arial" w:hAnsi="Arial" w:cs="Arial"/>
        </w:rPr>
        <w:t>that</w:t>
      </w:r>
      <w:r w:rsidRPr="00EA7665">
        <w:rPr>
          <w:rFonts w:ascii="Arial" w:hAnsi="Arial" w:cs="Arial"/>
        </w:rPr>
        <w:t xml:space="preserve"> included consent. All the participants had the right to withdraw from the study at any point and refrain from questions they didn’t want to answer.</w:t>
      </w:r>
    </w:p>
    <w:p w14:paraId="53EF6789" w14:textId="5D08CD05" w:rsidR="00CD6352" w:rsidRPr="00EA7665" w:rsidRDefault="00CD6352" w:rsidP="00CD6352">
      <w:pPr>
        <w:spacing w:line="360" w:lineRule="auto"/>
        <w:jc w:val="both"/>
        <w:rPr>
          <w:rFonts w:ascii="Arial" w:hAnsi="Arial" w:cs="Arial"/>
        </w:rPr>
      </w:pPr>
      <w:r w:rsidRPr="00EA7665">
        <w:rPr>
          <w:rFonts w:ascii="Arial" w:hAnsi="Arial" w:cs="Arial"/>
          <w:b/>
        </w:rPr>
        <w:t>Avoidance of harm:</w:t>
      </w:r>
      <w:r w:rsidRPr="00EA7665">
        <w:rPr>
          <w:rFonts w:ascii="Arial" w:hAnsi="Arial" w:cs="Arial"/>
        </w:rPr>
        <w:t xml:space="preserve"> The fundamental principle governing data collection</w:t>
      </w:r>
      <w:r>
        <w:rPr>
          <w:rFonts w:ascii="Arial" w:hAnsi="Arial" w:cs="Arial"/>
        </w:rPr>
        <w:t xml:space="preserve"> </w:t>
      </w:r>
      <w:r w:rsidRPr="00EA7665">
        <w:rPr>
          <w:rFonts w:ascii="Arial" w:hAnsi="Arial" w:cs="Arial"/>
        </w:rPr>
        <w:t>is that no harm should come to the respondents as a result of participating in the research</w:t>
      </w:r>
      <w:r>
        <w:rPr>
          <w:rFonts w:ascii="Arial" w:hAnsi="Arial" w:cs="Arial"/>
        </w:rPr>
        <w:t xml:space="preserve">.  This </w:t>
      </w:r>
      <w:r w:rsidR="00891DB3">
        <w:rPr>
          <w:rFonts w:ascii="Arial" w:hAnsi="Arial" w:cs="Arial"/>
        </w:rPr>
        <w:t xml:space="preserve">was </w:t>
      </w:r>
      <w:r w:rsidR="00891DB3" w:rsidRPr="00EA7665">
        <w:rPr>
          <w:rFonts w:ascii="Arial" w:hAnsi="Arial" w:cs="Arial"/>
        </w:rPr>
        <w:t>adhered</w:t>
      </w:r>
      <w:r w:rsidRPr="00EA7665">
        <w:rPr>
          <w:rFonts w:ascii="Arial" w:hAnsi="Arial" w:cs="Arial"/>
        </w:rPr>
        <w:t xml:space="preserve"> to (Oppenheim, 1996).  Consequently, personal and sensitive issues were not explored, and the respondents were not exposed to physical, mental or legal harm. </w:t>
      </w:r>
    </w:p>
    <w:p w14:paraId="2263C4AB" w14:textId="7F7C403C" w:rsidR="00CD6352" w:rsidRPr="00EA7665" w:rsidRDefault="00CD6352" w:rsidP="00CD6352">
      <w:pPr>
        <w:spacing w:line="360" w:lineRule="auto"/>
        <w:jc w:val="both"/>
        <w:rPr>
          <w:rFonts w:ascii="Arial" w:hAnsi="Arial" w:cs="Arial"/>
        </w:rPr>
      </w:pPr>
      <w:r w:rsidRPr="00EA7665">
        <w:rPr>
          <w:rFonts w:ascii="Arial" w:hAnsi="Arial" w:cs="Arial"/>
          <w:b/>
        </w:rPr>
        <w:t xml:space="preserve">Confidentiality: </w:t>
      </w:r>
      <w:r w:rsidRPr="00EA7665">
        <w:rPr>
          <w:rFonts w:ascii="Arial" w:hAnsi="Arial" w:cs="Arial"/>
        </w:rPr>
        <w:t xml:space="preserve">Care and due diligence were exercised </w:t>
      </w:r>
      <w:r>
        <w:rPr>
          <w:rFonts w:ascii="Arial" w:hAnsi="Arial" w:cs="Arial"/>
        </w:rPr>
        <w:t>throughout</w:t>
      </w:r>
      <w:r w:rsidRPr="00EA7665">
        <w:rPr>
          <w:rFonts w:ascii="Arial" w:hAnsi="Arial" w:cs="Arial"/>
        </w:rPr>
        <w:t xml:space="preserve"> personal exchanges; consequently, </w:t>
      </w:r>
      <w:r w:rsidR="00597AF8">
        <w:rPr>
          <w:rFonts w:ascii="Arial" w:hAnsi="Arial" w:cs="Arial"/>
        </w:rPr>
        <w:t xml:space="preserve">the </w:t>
      </w:r>
      <w:r w:rsidRPr="00EA7665">
        <w:rPr>
          <w:rFonts w:ascii="Arial" w:hAnsi="Arial" w:cs="Arial"/>
        </w:rPr>
        <w:t xml:space="preserve">privacy and confidentiality of interviewees and respondents to the questionnaire </w:t>
      </w:r>
      <w:r>
        <w:rPr>
          <w:rFonts w:ascii="Arial" w:hAnsi="Arial" w:cs="Arial"/>
        </w:rPr>
        <w:t>were</w:t>
      </w:r>
      <w:r w:rsidRPr="00EA7665">
        <w:rPr>
          <w:rFonts w:ascii="Arial" w:hAnsi="Arial" w:cs="Arial"/>
        </w:rPr>
        <w:t xml:space="preserve"> maintained. Name codes were given for each respon</w:t>
      </w:r>
      <w:r>
        <w:rPr>
          <w:rFonts w:ascii="Arial" w:hAnsi="Arial" w:cs="Arial"/>
        </w:rPr>
        <w:t>dent</w:t>
      </w:r>
      <w:r w:rsidRPr="00EA7665">
        <w:rPr>
          <w:rFonts w:ascii="Arial" w:hAnsi="Arial" w:cs="Arial"/>
        </w:rPr>
        <w:t xml:space="preserve">, and </w:t>
      </w:r>
      <w:r>
        <w:rPr>
          <w:rFonts w:ascii="Arial" w:hAnsi="Arial" w:cs="Arial"/>
        </w:rPr>
        <w:t>these were</w:t>
      </w:r>
      <w:r w:rsidRPr="00EA7665">
        <w:rPr>
          <w:rFonts w:ascii="Arial" w:hAnsi="Arial" w:cs="Arial"/>
        </w:rPr>
        <w:t xml:space="preserve"> used for the report analysis rather than names. The confidential database is accessible only to the researcher. Participants were assured that the</w:t>
      </w:r>
      <w:r w:rsidR="001C0D5F">
        <w:rPr>
          <w:rFonts w:ascii="Arial" w:hAnsi="Arial" w:cs="Arial"/>
        </w:rPr>
        <w:t>ir information</w:t>
      </w:r>
      <w:r w:rsidRPr="00EA7665">
        <w:rPr>
          <w:rFonts w:ascii="Arial" w:hAnsi="Arial" w:cs="Arial"/>
        </w:rPr>
        <w:t xml:space="preserve"> </w:t>
      </w:r>
      <w:r>
        <w:rPr>
          <w:rFonts w:ascii="Arial" w:hAnsi="Arial" w:cs="Arial"/>
        </w:rPr>
        <w:t>would</w:t>
      </w:r>
      <w:r w:rsidRPr="00EA7665">
        <w:rPr>
          <w:rFonts w:ascii="Arial" w:hAnsi="Arial" w:cs="Arial"/>
        </w:rPr>
        <w:t xml:space="preserve"> be kept strictly confidential and used purely for research purposes. The data would not be made available for third-party use in any form.</w:t>
      </w:r>
    </w:p>
    <w:p w14:paraId="687C9C0D" w14:textId="77777777" w:rsidR="00CD6352" w:rsidRPr="00EA7665" w:rsidRDefault="00CD6352" w:rsidP="00CD6352">
      <w:pPr>
        <w:spacing w:line="360" w:lineRule="auto"/>
        <w:jc w:val="both"/>
        <w:rPr>
          <w:rFonts w:ascii="Arial" w:hAnsi="Arial" w:cs="Arial"/>
          <w:b/>
        </w:rPr>
      </w:pPr>
      <w:r w:rsidRPr="00EA7665">
        <w:rPr>
          <w:rFonts w:ascii="Arial" w:hAnsi="Arial" w:cs="Arial"/>
          <w:b/>
        </w:rPr>
        <w:t xml:space="preserve">Anonymity: </w:t>
      </w:r>
      <w:r w:rsidRPr="00EA7665">
        <w:rPr>
          <w:rFonts w:ascii="Arial" w:hAnsi="Arial" w:cs="Arial"/>
        </w:rPr>
        <w:t xml:space="preserve">The names of the participants or their organisations did not appear in this thesis. The names of participants were substituted with alphabets representing the countries they operate from along with numbers. Furthermore, an ethical clearance checklist was submitted to the </w:t>
      </w:r>
      <w:r>
        <w:rPr>
          <w:rFonts w:ascii="Arial" w:hAnsi="Arial" w:cs="Arial"/>
        </w:rPr>
        <w:t>u</w:t>
      </w:r>
      <w:r w:rsidRPr="00EA7665">
        <w:rPr>
          <w:rFonts w:ascii="Arial" w:hAnsi="Arial" w:cs="Arial"/>
        </w:rPr>
        <w:t>niversity’s ethical board for approval before data collectio</w:t>
      </w:r>
      <w:r>
        <w:rPr>
          <w:rFonts w:ascii="Arial" w:hAnsi="Arial" w:cs="Arial"/>
        </w:rPr>
        <w:t>n</w:t>
      </w:r>
      <w:r w:rsidRPr="00EA7665">
        <w:rPr>
          <w:rFonts w:ascii="Arial" w:hAnsi="Arial" w:cs="Arial"/>
        </w:rPr>
        <w:t xml:space="preserve"> began. Ethical clearance was secured before data collection commenced. </w:t>
      </w:r>
    </w:p>
    <w:p w14:paraId="0F7B86F4" w14:textId="77777777" w:rsidR="00CD6352" w:rsidRPr="00EA7665" w:rsidRDefault="00CD6352" w:rsidP="00CD6352">
      <w:pPr>
        <w:pStyle w:val="Heading2"/>
        <w:spacing w:after="240"/>
        <w:rPr>
          <w:sz w:val="22"/>
          <w:szCs w:val="22"/>
        </w:rPr>
      </w:pPr>
      <w:bookmarkStart w:id="1051" w:name="_Toc78983837"/>
      <w:r w:rsidRPr="00EA7665">
        <w:rPr>
          <w:sz w:val="22"/>
          <w:szCs w:val="22"/>
        </w:rPr>
        <w:lastRenderedPageBreak/>
        <w:t>Summary</w:t>
      </w:r>
      <w:bookmarkEnd w:id="1051"/>
    </w:p>
    <w:p w14:paraId="10F4E528" w14:textId="7BC05848" w:rsidR="00CD6352" w:rsidRPr="00EA7665" w:rsidRDefault="00AA5827" w:rsidP="00CD6352">
      <w:pPr>
        <w:spacing w:line="360" w:lineRule="auto"/>
        <w:jc w:val="both"/>
        <w:rPr>
          <w:rFonts w:ascii="Arial" w:hAnsi="Arial" w:cs="Arial"/>
        </w:rPr>
      </w:pPr>
      <w:r w:rsidRPr="00AA5827">
        <w:rPr>
          <w:rFonts w:ascii="Arial" w:hAnsi="Arial" w:cs="Arial"/>
        </w:rPr>
        <w:t xml:space="preserve">This chapter presented the outline of the research process, the research methodologies and the justification for the approaches used. </w:t>
      </w:r>
      <w:r w:rsidR="00514203">
        <w:rPr>
          <w:rFonts w:ascii="Arial" w:hAnsi="Arial" w:cs="Arial"/>
        </w:rPr>
        <w:t xml:space="preserve">The study adopted a survey and case study strategies, and a </w:t>
      </w:r>
      <w:r w:rsidR="001C0D5F">
        <w:rPr>
          <w:rFonts w:ascii="Arial" w:hAnsi="Arial" w:cs="Arial"/>
        </w:rPr>
        <w:t xml:space="preserve"> mixed methodological research method was adopted. The methodological framework of this study is divided into four major stages. It commenced with </w:t>
      </w:r>
      <w:r>
        <w:rPr>
          <w:rFonts w:ascii="Arial" w:hAnsi="Arial" w:cs="Arial"/>
        </w:rPr>
        <w:t>establishing</w:t>
      </w:r>
      <w:r w:rsidR="001C0D5F">
        <w:rPr>
          <w:rFonts w:ascii="Arial" w:hAnsi="Arial" w:cs="Arial"/>
        </w:rPr>
        <w:t xml:space="preserve"> the research problem, the research methodological design, identification of the sample population, the selection of the target sample, data collection, data analysis, and write up. </w:t>
      </w:r>
    </w:p>
    <w:p w14:paraId="1E07F0F2" w14:textId="511920C6" w:rsidR="00CD6352" w:rsidRPr="00EA7665" w:rsidRDefault="00CD6352" w:rsidP="00CD6352">
      <w:pPr>
        <w:spacing w:line="360" w:lineRule="auto"/>
        <w:jc w:val="both"/>
        <w:rPr>
          <w:rFonts w:ascii="Arial" w:hAnsi="Arial" w:cs="Arial"/>
        </w:rPr>
      </w:pPr>
      <w:r w:rsidRPr="00EA7665">
        <w:rPr>
          <w:rFonts w:ascii="Arial" w:hAnsi="Arial" w:cs="Arial"/>
        </w:rPr>
        <w:t>A detailed review of the literature</w:t>
      </w:r>
      <w:r>
        <w:rPr>
          <w:rFonts w:ascii="Arial" w:hAnsi="Arial" w:cs="Arial"/>
        </w:rPr>
        <w:t xml:space="preserve"> and</w:t>
      </w:r>
      <w:r w:rsidRPr="00EA7665">
        <w:rPr>
          <w:rFonts w:ascii="Arial" w:hAnsi="Arial" w:cs="Arial"/>
        </w:rPr>
        <w:t xml:space="preserve"> discussions with the supervisory team and practitioners in the sector enabled the development. The pilot study was collected through </w:t>
      </w:r>
      <w:r w:rsidR="00BF37E4">
        <w:rPr>
          <w:rFonts w:ascii="Arial" w:hAnsi="Arial" w:cs="Arial"/>
        </w:rPr>
        <w:t>semi-structured interviews and online survey questionnaires of six and nine managers, respectively, who were involved in</w:t>
      </w:r>
      <w:r w:rsidRPr="00EA7665">
        <w:rPr>
          <w:rFonts w:ascii="Arial" w:hAnsi="Arial" w:cs="Arial"/>
        </w:rPr>
        <w:t xml:space="preserve"> securing finance for real estate project development in both developed and emerging economies. </w:t>
      </w:r>
      <w:r>
        <w:rPr>
          <w:rFonts w:ascii="Arial" w:hAnsi="Arial" w:cs="Arial"/>
        </w:rPr>
        <w:t xml:space="preserve"> The</w:t>
      </w:r>
      <w:r w:rsidRPr="00EA7665">
        <w:rPr>
          <w:rFonts w:ascii="Arial" w:hAnsi="Arial" w:cs="Arial"/>
        </w:rPr>
        <w:t xml:space="preserve"> research process onion was </w:t>
      </w:r>
      <w:r>
        <w:rPr>
          <w:rFonts w:ascii="Arial" w:hAnsi="Arial" w:cs="Arial"/>
        </w:rPr>
        <w:t xml:space="preserve">used </w:t>
      </w:r>
      <w:r w:rsidR="00BF37E4">
        <w:rPr>
          <w:rFonts w:ascii="Arial" w:hAnsi="Arial" w:cs="Arial"/>
        </w:rPr>
        <w:t>to identify</w:t>
      </w:r>
      <w:r w:rsidRPr="00EA7665">
        <w:rPr>
          <w:rFonts w:ascii="Arial" w:hAnsi="Arial" w:cs="Arial"/>
        </w:rPr>
        <w:t xml:space="preserve"> the research philosophy, approach, strategy, choice, and data collection method.</w:t>
      </w:r>
    </w:p>
    <w:p w14:paraId="31B33D58" w14:textId="42E468DA" w:rsidR="00CD6352" w:rsidRPr="00EA7665" w:rsidRDefault="00CD6352" w:rsidP="00CD6352">
      <w:pPr>
        <w:spacing w:line="360" w:lineRule="auto"/>
        <w:jc w:val="both"/>
        <w:rPr>
          <w:rFonts w:ascii="Arial" w:hAnsi="Arial" w:cs="Arial"/>
        </w:rPr>
      </w:pPr>
      <w:r w:rsidRPr="00EA7665">
        <w:rPr>
          <w:rFonts w:ascii="Arial" w:hAnsi="Arial" w:cs="Arial"/>
        </w:rPr>
        <w:t xml:space="preserve">The questionnaire and interview questions were developed with ideas gathered from the review of literature, interactions with industry practitioners and academics </w:t>
      </w:r>
      <w:r>
        <w:rPr>
          <w:rFonts w:ascii="Arial" w:hAnsi="Arial" w:cs="Arial"/>
        </w:rPr>
        <w:t>and</w:t>
      </w:r>
      <w:r w:rsidRPr="00EA7665">
        <w:rPr>
          <w:rFonts w:ascii="Arial" w:hAnsi="Arial" w:cs="Arial"/>
        </w:rPr>
        <w:t xml:space="preserve"> moderations to the pilot study. The data collection for </w:t>
      </w:r>
      <w:r w:rsidR="001C0D5F">
        <w:rPr>
          <w:rFonts w:ascii="Arial" w:hAnsi="Arial" w:cs="Arial"/>
        </w:rPr>
        <w:t>questionnaires and semi-structured interviews was from managers involved in</w:t>
      </w:r>
      <w:r w:rsidRPr="00EA7665">
        <w:rPr>
          <w:rFonts w:ascii="Arial" w:hAnsi="Arial" w:cs="Arial"/>
        </w:rPr>
        <w:t xml:space="preserve"> securing </w:t>
      </w:r>
      <w:r w:rsidR="00514203">
        <w:rPr>
          <w:rFonts w:ascii="Arial" w:hAnsi="Arial" w:cs="Arial"/>
        </w:rPr>
        <w:t>real estate project development finance</w:t>
      </w:r>
      <w:r w:rsidRPr="00EA7665">
        <w:rPr>
          <w:rFonts w:ascii="Arial" w:hAnsi="Arial" w:cs="Arial"/>
        </w:rPr>
        <w:t xml:space="preserve">. These managers were from different managerial levels (top, middle, and lower) who have worked in the real estate sector for four years </w:t>
      </w:r>
      <w:r>
        <w:rPr>
          <w:rFonts w:ascii="Arial" w:hAnsi="Arial" w:cs="Arial"/>
        </w:rPr>
        <w:t>or more</w:t>
      </w:r>
      <w:r w:rsidRPr="00EA7665">
        <w:rPr>
          <w:rFonts w:ascii="Arial" w:hAnsi="Arial" w:cs="Arial"/>
        </w:rPr>
        <w:t xml:space="preserve">. The </w:t>
      </w:r>
      <w:r w:rsidR="00BF37E4">
        <w:rPr>
          <w:rFonts w:ascii="Arial" w:hAnsi="Arial" w:cs="Arial"/>
        </w:rPr>
        <w:t>interview response rate</w:t>
      </w:r>
      <w:r w:rsidRPr="00EA7665">
        <w:rPr>
          <w:rFonts w:ascii="Arial" w:hAnsi="Arial" w:cs="Arial"/>
        </w:rPr>
        <w:t xml:space="preserve"> is 1</w:t>
      </w:r>
      <w:r w:rsidR="005C0D36">
        <w:rPr>
          <w:rFonts w:ascii="Arial" w:hAnsi="Arial" w:cs="Arial"/>
        </w:rPr>
        <w:t>67</w:t>
      </w:r>
      <w:r w:rsidRPr="00EA7665">
        <w:rPr>
          <w:rFonts w:ascii="Arial" w:hAnsi="Arial" w:cs="Arial"/>
        </w:rPr>
        <w:t xml:space="preserve">%, while the response rate for questionnaires is 17.6%. There </w:t>
      </w:r>
      <w:r w:rsidR="00514203">
        <w:rPr>
          <w:rFonts w:ascii="Arial" w:hAnsi="Arial" w:cs="Arial"/>
        </w:rPr>
        <w:t xml:space="preserve">was </w:t>
      </w:r>
      <w:r w:rsidRPr="00EA7665">
        <w:rPr>
          <w:rFonts w:ascii="Arial" w:hAnsi="Arial" w:cs="Arial"/>
        </w:rPr>
        <w:t>a higher percentage of people willing to do interviews as compared to questionnaires.  The results of the interviews formed structural support for the study</w:t>
      </w:r>
      <w:r>
        <w:rPr>
          <w:rFonts w:ascii="Arial" w:hAnsi="Arial" w:cs="Arial"/>
        </w:rPr>
        <w:t xml:space="preserve"> </w:t>
      </w:r>
      <w:r w:rsidRPr="00EA7665">
        <w:rPr>
          <w:rFonts w:ascii="Arial" w:hAnsi="Arial" w:cs="Arial"/>
        </w:rPr>
        <w:t xml:space="preserve">and helped to elucidate the questionnaire responses. The different data analysis techniques used were documented, limitations that could affect the research at the various stages were anticipated, and adequate solutions were proffered. </w:t>
      </w:r>
    </w:p>
    <w:p w14:paraId="4445331C" w14:textId="0F9C6EAD" w:rsidR="00CD6352" w:rsidRPr="00EA7665" w:rsidRDefault="00CD6352" w:rsidP="00CD6352">
      <w:pPr>
        <w:spacing w:line="360" w:lineRule="auto"/>
        <w:jc w:val="both"/>
        <w:rPr>
          <w:rFonts w:ascii="Arial" w:hAnsi="Arial" w:cs="Arial"/>
        </w:rPr>
      </w:pPr>
      <w:r w:rsidRPr="00EA7665">
        <w:rPr>
          <w:rFonts w:ascii="Arial" w:hAnsi="Arial" w:cs="Arial"/>
        </w:rPr>
        <w:t xml:space="preserve">The methodology adopted in this research could be useful </w:t>
      </w:r>
      <w:r>
        <w:rPr>
          <w:rFonts w:ascii="Arial" w:hAnsi="Arial" w:cs="Arial"/>
        </w:rPr>
        <w:t>for</w:t>
      </w:r>
      <w:r w:rsidRPr="00EA7665">
        <w:rPr>
          <w:rFonts w:ascii="Arial" w:hAnsi="Arial" w:cs="Arial"/>
        </w:rPr>
        <w:t xml:space="preserve"> other researchers interested in exploring a comparative study of countries, continents, and regions on different topical matters. The next chapter presents the </w:t>
      </w:r>
      <w:r w:rsidR="008C6BC5">
        <w:rPr>
          <w:rFonts w:ascii="Arial" w:hAnsi="Arial" w:cs="Arial"/>
        </w:rPr>
        <w:t>findings on the finance options and the criteria for securing finance in the developed and emerging economies based on the findings from both the interviews and questionnaire survey.</w:t>
      </w:r>
    </w:p>
    <w:p w14:paraId="2DC6805B" w14:textId="69D48DC5" w:rsidR="00CD6352" w:rsidRDefault="00CD6352" w:rsidP="00CD6352">
      <w:pPr>
        <w:spacing w:line="360" w:lineRule="auto"/>
        <w:jc w:val="both"/>
        <w:rPr>
          <w:rFonts w:ascii="Arial" w:hAnsi="Arial" w:cs="Arial"/>
        </w:rPr>
      </w:pPr>
    </w:p>
    <w:p w14:paraId="1A4FA020" w14:textId="7BBEB221" w:rsidR="007F2369" w:rsidRDefault="007F2369" w:rsidP="00CD6352">
      <w:pPr>
        <w:spacing w:line="360" w:lineRule="auto"/>
        <w:jc w:val="both"/>
        <w:rPr>
          <w:rFonts w:ascii="Arial" w:hAnsi="Arial" w:cs="Arial"/>
        </w:rPr>
      </w:pPr>
    </w:p>
    <w:p w14:paraId="5DC49944" w14:textId="4CCD58A6" w:rsidR="007F2369" w:rsidRDefault="007F2369" w:rsidP="00CD6352">
      <w:pPr>
        <w:spacing w:line="360" w:lineRule="auto"/>
        <w:jc w:val="both"/>
        <w:rPr>
          <w:rFonts w:ascii="Arial" w:hAnsi="Arial" w:cs="Arial"/>
        </w:rPr>
      </w:pPr>
    </w:p>
    <w:p w14:paraId="7CCEBA4F" w14:textId="3963A44C" w:rsidR="007F2369" w:rsidRDefault="007F2369" w:rsidP="00CD6352">
      <w:pPr>
        <w:spacing w:line="360" w:lineRule="auto"/>
        <w:jc w:val="both"/>
        <w:rPr>
          <w:rFonts w:ascii="Arial" w:hAnsi="Arial" w:cs="Arial"/>
        </w:rPr>
      </w:pPr>
    </w:p>
    <w:p w14:paraId="3EA2BF04" w14:textId="1D7118F8" w:rsidR="007F2369" w:rsidRDefault="007F2369" w:rsidP="00CD6352">
      <w:pPr>
        <w:spacing w:line="360" w:lineRule="auto"/>
        <w:jc w:val="both"/>
        <w:rPr>
          <w:rFonts w:ascii="Arial" w:hAnsi="Arial" w:cs="Arial"/>
        </w:rPr>
      </w:pPr>
    </w:p>
    <w:p w14:paraId="5D073274" w14:textId="6DF756D5" w:rsidR="00CD6352" w:rsidRPr="00EA7665" w:rsidRDefault="00B25E54" w:rsidP="00CD6352">
      <w:pPr>
        <w:pStyle w:val="Heading1"/>
        <w:spacing w:line="360" w:lineRule="auto"/>
        <w:rPr>
          <w:rFonts w:cs="Arial"/>
          <w:sz w:val="22"/>
          <w:szCs w:val="22"/>
        </w:rPr>
      </w:pPr>
      <w:bookmarkStart w:id="1052" w:name="_Toc76212225"/>
      <w:bookmarkStart w:id="1053" w:name="_Toc76330978"/>
      <w:bookmarkStart w:id="1054" w:name="_Toc76331773"/>
      <w:bookmarkStart w:id="1055" w:name="_Toc76332029"/>
      <w:bookmarkStart w:id="1056" w:name="_Toc76460472"/>
      <w:bookmarkStart w:id="1057" w:name="_Toc76476148"/>
      <w:bookmarkStart w:id="1058" w:name="_Toc76494088"/>
      <w:bookmarkStart w:id="1059" w:name="_Toc77600754"/>
      <w:bookmarkStart w:id="1060" w:name="_Toc77939326"/>
      <w:bookmarkStart w:id="1061" w:name="_Toc77949120"/>
      <w:bookmarkStart w:id="1062" w:name="_Toc76212226"/>
      <w:bookmarkStart w:id="1063" w:name="_Toc76330979"/>
      <w:bookmarkStart w:id="1064" w:name="_Toc76331774"/>
      <w:bookmarkStart w:id="1065" w:name="_Toc76332030"/>
      <w:bookmarkStart w:id="1066" w:name="_Toc76460473"/>
      <w:bookmarkStart w:id="1067" w:name="_Toc76476149"/>
      <w:bookmarkStart w:id="1068" w:name="_Toc76494089"/>
      <w:bookmarkStart w:id="1069" w:name="_Toc77600755"/>
      <w:bookmarkStart w:id="1070" w:name="_Toc77939327"/>
      <w:bookmarkStart w:id="1071" w:name="_Toc77949121"/>
      <w:bookmarkStart w:id="1072" w:name="_Toc76212227"/>
      <w:bookmarkStart w:id="1073" w:name="_Toc76330980"/>
      <w:bookmarkStart w:id="1074" w:name="_Toc76331775"/>
      <w:bookmarkStart w:id="1075" w:name="_Toc76332031"/>
      <w:bookmarkStart w:id="1076" w:name="_Toc76460474"/>
      <w:bookmarkStart w:id="1077" w:name="_Toc76476150"/>
      <w:bookmarkStart w:id="1078" w:name="_Toc76494090"/>
      <w:bookmarkStart w:id="1079" w:name="_Toc77600756"/>
      <w:bookmarkStart w:id="1080" w:name="_Toc77939328"/>
      <w:bookmarkStart w:id="1081" w:name="_Toc77949122"/>
      <w:bookmarkStart w:id="1082" w:name="_Toc76212228"/>
      <w:bookmarkStart w:id="1083" w:name="_Toc76330981"/>
      <w:bookmarkStart w:id="1084" w:name="_Toc76331776"/>
      <w:bookmarkStart w:id="1085" w:name="_Toc76332032"/>
      <w:bookmarkStart w:id="1086" w:name="_Toc76460475"/>
      <w:bookmarkStart w:id="1087" w:name="_Toc76476151"/>
      <w:bookmarkStart w:id="1088" w:name="_Toc76494091"/>
      <w:bookmarkStart w:id="1089" w:name="_Toc77600757"/>
      <w:bookmarkStart w:id="1090" w:name="_Toc77939329"/>
      <w:bookmarkStart w:id="1091" w:name="_Toc77949123"/>
      <w:bookmarkStart w:id="1092" w:name="_Toc76212229"/>
      <w:bookmarkStart w:id="1093" w:name="_Toc76330982"/>
      <w:bookmarkStart w:id="1094" w:name="_Toc76331777"/>
      <w:bookmarkStart w:id="1095" w:name="_Toc76332033"/>
      <w:bookmarkStart w:id="1096" w:name="_Toc76460476"/>
      <w:bookmarkStart w:id="1097" w:name="_Toc76476152"/>
      <w:bookmarkStart w:id="1098" w:name="_Toc76494092"/>
      <w:bookmarkStart w:id="1099" w:name="_Toc77600758"/>
      <w:bookmarkStart w:id="1100" w:name="_Toc77939330"/>
      <w:bookmarkStart w:id="1101" w:name="_Toc77949124"/>
      <w:bookmarkStart w:id="1102" w:name="_Toc76212230"/>
      <w:bookmarkStart w:id="1103" w:name="_Toc76330983"/>
      <w:bookmarkStart w:id="1104" w:name="_Toc76331778"/>
      <w:bookmarkStart w:id="1105" w:name="_Toc76332034"/>
      <w:bookmarkStart w:id="1106" w:name="_Toc76460477"/>
      <w:bookmarkStart w:id="1107" w:name="_Toc76476153"/>
      <w:bookmarkStart w:id="1108" w:name="_Toc76494093"/>
      <w:bookmarkStart w:id="1109" w:name="_Toc77600759"/>
      <w:bookmarkStart w:id="1110" w:name="_Toc77939331"/>
      <w:bookmarkStart w:id="1111" w:name="_Toc77949125"/>
      <w:bookmarkStart w:id="1112" w:name="_Toc78983838"/>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Pr>
          <w:rStyle w:val="Heading1Char"/>
          <w:rFonts w:cs="Arial"/>
          <w:b/>
          <w:bCs/>
          <w:sz w:val="22"/>
          <w:szCs w:val="22"/>
        </w:rPr>
        <w:lastRenderedPageBreak/>
        <w:t xml:space="preserve">The </w:t>
      </w:r>
      <w:r w:rsidR="00165F39">
        <w:rPr>
          <w:rStyle w:val="Heading1Char"/>
          <w:rFonts w:cs="Arial"/>
          <w:b/>
          <w:bCs/>
          <w:sz w:val="22"/>
          <w:szCs w:val="22"/>
        </w:rPr>
        <w:t>F</w:t>
      </w:r>
      <w:r w:rsidR="00CD6352" w:rsidRPr="00EA7665">
        <w:rPr>
          <w:rStyle w:val="Heading1Char"/>
          <w:rFonts w:cs="Arial"/>
          <w:b/>
          <w:bCs/>
          <w:sz w:val="22"/>
          <w:szCs w:val="22"/>
        </w:rPr>
        <w:t>inance options &amp; criteria for securing finance for real estate project development in developed and emerging economies.</w:t>
      </w:r>
      <w:bookmarkEnd w:id="1112"/>
    </w:p>
    <w:p w14:paraId="7827702B" w14:textId="77777777" w:rsidR="00CD6352" w:rsidRPr="00EA7665" w:rsidRDefault="00CD6352" w:rsidP="00CD6352">
      <w:pPr>
        <w:pStyle w:val="Heading2"/>
        <w:spacing w:line="360" w:lineRule="auto"/>
        <w:jc w:val="both"/>
        <w:rPr>
          <w:rFonts w:cs="Arial"/>
          <w:sz w:val="22"/>
          <w:szCs w:val="22"/>
        </w:rPr>
      </w:pPr>
      <w:bookmarkStart w:id="1113" w:name="_Toc78983839"/>
      <w:r w:rsidRPr="00EA7665">
        <w:rPr>
          <w:rFonts w:cs="Arial"/>
          <w:sz w:val="22"/>
          <w:szCs w:val="22"/>
        </w:rPr>
        <w:t>Introduction</w:t>
      </w:r>
      <w:bookmarkEnd w:id="1113"/>
    </w:p>
    <w:p w14:paraId="1C070E45" w14:textId="00472C44" w:rsidR="00CD6352" w:rsidRPr="00EA7665" w:rsidRDefault="00CD6352" w:rsidP="00CD6352">
      <w:pPr>
        <w:spacing w:line="360" w:lineRule="auto"/>
        <w:jc w:val="both"/>
        <w:rPr>
          <w:rFonts w:ascii="Arial" w:eastAsia="Calibri" w:hAnsi="Arial" w:cs="Arial"/>
        </w:rPr>
      </w:pPr>
      <w:r w:rsidRPr="0028783D">
        <w:rPr>
          <w:rFonts w:ascii="Arial" w:hAnsi="Arial" w:cs="Arial"/>
        </w:rPr>
        <w:t xml:space="preserve">This chapter presents and analyses data on the finance options and criteria for securing finance for real estate project development in the developed and emerging economies based on the responses to the semi-structured interviews and online questionnaire surveys. Overall, chapter 5 addresses the </w:t>
      </w:r>
      <w:r w:rsidR="0053416B">
        <w:rPr>
          <w:rFonts w:ascii="Arial" w:hAnsi="Arial" w:cs="Arial"/>
        </w:rPr>
        <w:t>study's first objective</w:t>
      </w:r>
      <w:r w:rsidR="00471EA0">
        <w:rPr>
          <w:rFonts w:ascii="Arial" w:hAnsi="Arial" w:cs="Arial"/>
        </w:rPr>
        <w:t>,</w:t>
      </w:r>
      <w:r w:rsidRPr="0028783D">
        <w:rPr>
          <w:rFonts w:ascii="Arial" w:hAnsi="Arial" w:cs="Arial"/>
        </w:rPr>
        <w:t xml:space="preserve"> which is “to examine the different real estate finance options </w:t>
      </w:r>
      <w:r w:rsidRPr="0028783D">
        <w:rPr>
          <w:rFonts w:ascii="Arial" w:eastAsia="Calibri" w:hAnsi="Arial" w:cs="Arial"/>
        </w:rPr>
        <w:t>to ascertain and document criteria that funding institutions use in lending for real estate project development in developed and emerging economies “. The chapter develops the inventory of finance options and criteria for securing finance for real estate project development</w:t>
      </w:r>
      <w:r w:rsidR="00471EA0">
        <w:rPr>
          <w:rFonts w:ascii="Arial" w:eastAsia="Calibri" w:hAnsi="Arial" w:cs="Arial"/>
        </w:rPr>
        <w:t>, forming</w:t>
      </w:r>
      <w:r w:rsidR="002D78A9" w:rsidRPr="0028783D">
        <w:rPr>
          <w:rFonts w:ascii="Arial" w:eastAsia="Calibri" w:hAnsi="Arial" w:cs="Arial"/>
        </w:rPr>
        <w:t xml:space="preserve"> part</w:t>
      </w:r>
      <w:r w:rsidRPr="0028783D">
        <w:rPr>
          <w:rFonts w:ascii="Arial" w:eastAsia="Calibri" w:hAnsi="Arial" w:cs="Arial"/>
        </w:rPr>
        <w:t xml:space="preserve"> of the toolkit for securing finance for real estate project development in chapter </w:t>
      </w:r>
      <w:r w:rsidR="00331066">
        <w:rPr>
          <w:rFonts w:ascii="Arial" w:eastAsia="Calibri" w:hAnsi="Arial" w:cs="Arial"/>
        </w:rPr>
        <w:t>10</w:t>
      </w:r>
      <w:r w:rsidRPr="0028783D">
        <w:rPr>
          <w:rFonts w:ascii="Arial" w:eastAsia="Calibri" w:hAnsi="Arial" w:cs="Arial"/>
        </w:rPr>
        <w:t>.</w:t>
      </w:r>
    </w:p>
    <w:p w14:paraId="254AACA6" w14:textId="77777777" w:rsidR="00CD6352" w:rsidRPr="00EA7665" w:rsidRDefault="00CD6352" w:rsidP="00CD6352">
      <w:pPr>
        <w:pStyle w:val="Heading2"/>
        <w:spacing w:line="360" w:lineRule="auto"/>
        <w:jc w:val="both"/>
        <w:rPr>
          <w:rFonts w:cs="Arial"/>
          <w:sz w:val="22"/>
          <w:szCs w:val="22"/>
        </w:rPr>
      </w:pPr>
      <w:bookmarkStart w:id="1114" w:name="_Toc78983840"/>
      <w:r w:rsidRPr="00EA7665">
        <w:rPr>
          <w:rFonts w:cs="Arial"/>
          <w:sz w:val="22"/>
          <w:szCs w:val="22"/>
        </w:rPr>
        <w:t>Finance options for real estate project development</w:t>
      </w:r>
      <w:bookmarkEnd w:id="1114"/>
    </w:p>
    <w:p w14:paraId="3CCE2968" w14:textId="6F35F6DF" w:rsidR="00CD6352" w:rsidRPr="00EA7665" w:rsidRDefault="00CD6352" w:rsidP="00CD6352">
      <w:pPr>
        <w:spacing w:line="360" w:lineRule="auto"/>
        <w:jc w:val="both"/>
        <w:rPr>
          <w:rFonts w:ascii="Arial" w:hAnsi="Arial" w:cs="Arial"/>
        </w:rPr>
      </w:pPr>
      <w:r w:rsidRPr="00EA7665">
        <w:rPr>
          <w:rFonts w:ascii="Arial" w:hAnsi="Arial" w:cs="Arial"/>
        </w:rPr>
        <w:t xml:space="preserve">This segment of the study is done </w:t>
      </w:r>
      <w:r w:rsidR="006361D2">
        <w:rPr>
          <w:rFonts w:ascii="Arial" w:hAnsi="Arial" w:cs="Arial"/>
        </w:rPr>
        <w:t>to create</w:t>
      </w:r>
      <w:r w:rsidRPr="00EA7665">
        <w:rPr>
          <w:rFonts w:ascii="Arial" w:hAnsi="Arial" w:cs="Arial"/>
        </w:rPr>
        <w:t xml:space="preserve"> a platform for managers in the real estate sector to have an understanding of </w:t>
      </w:r>
      <w:r>
        <w:rPr>
          <w:rFonts w:ascii="Arial" w:hAnsi="Arial" w:cs="Arial"/>
        </w:rPr>
        <w:t xml:space="preserve">the </w:t>
      </w:r>
      <w:r w:rsidRPr="00EA7665">
        <w:rPr>
          <w:rFonts w:ascii="Arial" w:hAnsi="Arial" w:cs="Arial"/>
        </w:rPr>
        <w:t>different finance options used for real estate project development in both the developed and emerging economies. A broad range of finance options for real estate project development is mentioned in the literature (</w:t>
      </w:r>
      <w:r>
        <w:rPr>
          <w:rFonts w:ascii="Arial" w:hAnsi="Arial" w:cs="Arial"/>
        </w:rPr>
        <w:t>Chapter 2 &amp; 3</w:t>
      </w:r>
      <w:r w:rsidRPr="00EA7665">
        <w:rPr>
          <w:rFonts w:ascii="Arial" w:hAnsi="Arial" w:cs="Arial"/>
        </w:rPr>
        <w:t xml:space="preserve">). However, this chapter provides greater clarity on </w:t>
      </w:r>
      <w:r w:rsidR="0053416B">
        <w:rPr>
          <w:rFonts w:ascii="Arial" w:hAnsi="Arial" w:cs="Arial"/>
        </w:rPr>
        <w:t>managers' actual finance options in the developed and emerging economies</w:t>
      </w:r>
      <w:r>
        <w:rPr>
          <w:rFonts w:ascii="Arial" w:hAnsi="Arial" w:cs="Arial"/>
        </w:rPr>
        <w:t xml:space="preserve"> based on the data collected</w:t>
      </w:r>
      <w:r w:rsidRPr="00EA7665">
        <w:rPr>
          <w:rFonts w:ascii="Arial" w:hAnsi="Arial" w:cs="Arial"/>
        </w:rPr>
        <w:t>.</w:t>
      </w:r>
    </w:p>
    <w:p w14:paraId="4C175119" w14:textId="77777777" w:rsidR="00CD6352" w:rsidRPr="00EA7665" w:rsidRDefault="00CD6352" w:rsidP="00CD6352">
      <w:pPr>
        <w:pStyle w:val="Heading3"/>
        <w:spacing w:after="240"/>
        <w:rPr>
          <w:sz w:val="22"/>
          <w:szCs w:val="22"/>
        </w:rPr>
      </w:pPr>
      <w:bookmarkStart w:id="1115" w:name="_Toc33468118"/>
      <w:bookmarkStart w:id="1116" w:name="_Toc78983841"/>
      <w:r w:rsidRPr="00EA7665">
        <w:rPr>
          <w:sz w:val="22"/>
          <w:szCs w:val="22"/>
        </w:rPr>
        <w:t>Questionnaire survey analysis and discussion at the aggregate level.</w:t>
      </w:r>
      <w:bookmarkEnd w:id="1115"/>
      <w:bookmarkEnd w:id="1116"/>
      <w:r w:rsidRPr="00EA7665">
        <w:rPr>
          <w:sz w:val="22"/>
          <w:szCs w:val="22"/>
        </w:rPr>
        <w:t xml:space="preserve"> </w:t>
      </w:r>
    </w:p>
    <w:p w14:paraId="358F0F83" w14:textId="00820C77" w:rsidR="00CD6352" w:rsidRPr="00EA7665" w:rsidRDefault="00CD6352" w:rsidP="00CD6352">
      <w:pPr>
        <w:spacing w:line="360" w:lineRule="auto"/>
        <w:rPr>
          <w:rFonts w:ascii="Arial" w:hAnsi="Arial" w:cs="Arial"/>
        </w:rPr>
      </w:pPr>
      <w:r w:rsidRPr="00EA7665">
        <w:rPr>
          <w:rFonts w:ascii="Arial" w:hAnsi="Arial" w:cs="Arial"/>
        </w:rPr>
        <w:t xml:space="preserve">A list of 18 finance options was provided based on literature reviews, and </w:t>
      </w:r>
      <w:r>
        <w:rPr>
          <w:rFonts w:ascii="Arial" w:hAnsi="Arial" w:cs="Arial"/>
        </w:rPr>
        <w:t xml:space="preserve">the managers </w:t>
      </w:r>
      <w:r w:rsidRPr="00EA7665">
        <w:rPr>
          <w:rFonts w:ascii="Arial" w:hAnsi="Arial" w:cs="Arial"/>
        </w:rPr>
        <w:t xml:space="preserve">were asked to indicate their level of use for financing real estate project development (see chapter 3.3 and appendix </w:t>
      </w:r>
      <w:r w:rsidR="00F45B5B">
        <w:rPr>
          <w:rFonts w:ascii="Arial" w:hAnsi="Arial" w:cs="Arial"/>
        </w:rPr>
        <w:t>B</w:t>
      </w:r>
      <w:r w:rsidRPr="00EA7665">
        <w:rPr>
          <w:rFonts w:ascii="Arial" w:hAnsi="Arial" w:cs="Arial"/>
        </w:rPr>
        <w:t xml:space="preserve">). These finance options included equity, debt and innovative and creative finance options. </w:t>
      </w:r>
      <w:r>
        <w:rPr>
          <w:rFonts w:ascii="Arial" w:hAnsi="Arial" w:cs="Arial"/>
        </w:rPr>
        <w:t>It</w:t>
      </w:r>
      <w:r w:rsidRPr="00EA7665">
        <w:rPr>
          <w:rFonts w:ascii="Arial" w:hAnsi="Arial" w:cs="Arial"/>
        </w:rPr>
        <w:t xml:space="preserve"> was discussed in two major parts.</w:t>
      </w:r>
    </w:p>
    <w:p w14:paraId="4C52EFDA" w14:textId="3BCC7B87" w:rsidR="00CD6352" w:rsidRPr="00EA7665" w:rsidRDefault="00CD6352" w:rsidP="007625E7">
      <w:pPr>
        <w:numPr>
          <w:ilvl w:val="0"/>
          <w:numId w:val="377"/>
        </w:numPr>
        <w:spacing w:line="360" w:lineRule="auto"/>
        <w:rPr>
          <w:rFonts w:ascii="Arial" w:hAnsi="Arial" w:cs="Arial"/>
        </w:rPr>
      </w:pPr>
      <w:r w:rsidRPr="00EA7665">
        <w:rPr>
          <w:rFonts w:ascii="Arial" w:hAnsi="Arial" w:cs="Arial"/>
        </w:rPr>
        <w:t>The aggregate level discusses the percentage usage of the different finance options</w:t>
      </w:r>
      <w:r>
        <w:rPr>
          <w:rFonts w:ascii="Arial" w:hAnsi="Arial" w:cs="Arial"/>
        </w:rPr>
        <w:t>,</w:t>
      </w:r>
      <w:r w:rsidRPr="00EA7665">
        <w:rPr>
          <w:rFonts w:ascii="Arial" w:hAnsi="Arial" w:cs="Arial"/>
        </w:rPr>
        <w:t xml:space="preserve"> with a focus </w:t>
      </w:r>
      <w:r>
        <w:rPr>
          <w:rFonts w:ascii="Arial" w:hAnsi="Arial" w:cs="Arial"/>
        </w:rPr>
        <w:t xml:space="preserve">on the most </w:t>
      </w:r>
      <w:r w:rsidR="00D02CEF">
        <w:rPr>
          <w:rFonts w:ascii="Arial" w:hAnsi="Arial" w:cs="Arial"/>
        </w:rPr>
        <w:t xml:space="preserve">frequently </w:t>
      </w:r>
      <w:r w:rsidR="00D02CEF" w:rsidRPr="00EA7665">
        <w:rPr>
          <w:rFonts w:ascii="Arial" w:hAnsi="Arial" w:cs="Arial"/>
        </w:rPr>
        <w:t>used</w:t>
      </w:r>
      <w:r w:rsidRPr="00EA7665">
        <w:rPr>
          <w:rFonts w:ascii="Arial" w:hAnsi="Arial" w:cs="Arial"/>
        </w:rPr>
        <w:t xml:space="preserve"> options and the options not used at all</w:t>
      </w:r>
      <w:r>
        <w:rPr>
          <w:rFonts w:ascii="Arial" w:hAnsi="Arial" w:cs="Arial"/>
        </w:rPr>
        <w:t>,</w:t>
      </w:r>
      <w:r w:rsidRPr="00EA7665">
        <w:rPr>
          <w:rFonts w:ascii="Arial" w:hAnsi="Arial" w:cs="Arial"/>
        </w:rPr>
        <w:t xml:space="preserve"> through the utilisation of descriptive statistics, precisely </w:t>
      </w:r>
      <w:r w:rsidR="003A201E">
        <w:rPr>
          <w:rFonts w:ascii="Arial" w:hAnsi="Arial" w:cs="Arial"/>
        </w:rPr>
        <w:t>percentages.</w:t>
      </w:r>
    </w:p>
    <w:p w14:paraId="24C8612D" w14:textId="11852CA8" w:rsidR="00CD6352" w:rsidRDefault="00CD6352" w:rsidP="007625E7">
      <w:pPr>
        <w:pStyle w:val="ListParagraph"/>
        <w:numPr>
          <w:ilvl w:val="0"/>
          <w:numId w:val="377"/>
        </w:numPr>
        <w:spacing w:line="360" w:lineRule="auto"/>
        <w:rPr>
          <w:rFonts w:ascii="Arial" w:hAnsi="Arial" w:cs="Arial"/>
        </w:rPr>
      </w:pPr>
      <w:r w:rsidRPr="00EA7665">
        <w:rPr>
          <w:rFonts w:ascii="Arial" w:hAnsi="Arial" w:cs="Arial"/>
        </w:rPr>
        <w:t xml:space="preserve">The disaggregate level explores the relationship between the finance options used by managers who operate predominantly in </w:t>
      </w:r>
      <w:r w:rsidR="00D02CEF" w:rsidRPr="00EA7665">
        <w:rPr>
          <w:rFonts w:ascii="Arial" w:hAnsi="Arial" w:cs="Arial"/>
        </w:rPr>
        <w:t>th</w:t>
      </w:r>
      <w:r w:rsidR="0053416B">
        <w:rPr>
          <w:rFonts w:ascii="Arial" w:hAnsi="Arial" w:cs="Arial"/>
        </w:rPr>
        <w:t>is study's developed and emerging economies</w:t>
      </w:r>
      <w:r w:rsidR="0011436B">
        <w:rPr>
          <w:rFonts w:ascii="Arial" w:hAnsi="Arial" w:cs="Arial"/>
        </w:rPr>
        <w:t>.</w:t>
      </w:r>
    </w:p>
    <w:p w14:paraId="3644D32A" w14:textId="5A2BBBCB" w:rsidR="00CD6352" w:rsidRPr="00EA7665" w:rsidRDefault="00CD6352" w:rsidP="00CD6352">
      <w:pPr>
        <w:spacing w:line="360" w:lineRule="auto"/>
        <w:rPr>
          <w:rFonts w:ascii="Arial" w:hAnsi="Arial" w:cs="Arial"/>
        </w:rPr>
      </w:pPr>
      <w:r w:rsidRPr="00EA7665">
        <w:rPr>
          <w:rFonts w:ascii="Arial" w:hAnsi="Arial" w:cs="Arial"/>
        </w:rPr>
        <w:t>The first step in the analysis was to collate how respondents had ranked their usage of the different finance options on a five-point scale: Not used at all, less used, fairly used, used and highly used.</w:t>
      </w:r>
      <w:r>
        <w:rPr>
          <w:rFonts w:ascii="Arial" w:hAnsi="Arial" w:cs="Arial"/>
        </w:rPr>
        <w:t xml:space="preserve"> Percentages were used </w:t>
      </w:r>
      <w:r w:rsidR="007F1422">
        <w:rPr>
          <w:rFonts w:ascii="Arial" w:hAnsi="Arial" w:cs="Arial"/>
        </w:rPr>
        <w:t xml:space="preserve">to compare the usage of finance options because </w:t>
      </w:r>
      <w:r w:rsidR="007F1422">
        <w:rPr>
          <w:rFonts w:ascii="Arial" w:hAnsi="Arial" w:cs="Arial"/>
        </w:rPr>
        <w:lastRenderedPageBreak/>
        <w:t>of the fractional responses</w:t>
      </w:r>
      <w:r>
        <w:rPr>
          <w:rFonts w:ascii="Arial" w:hAnsi="Arial" w:cs="Arial"/>
        </w:rPr>
        <w:t xml:space="preserve"> given. The mean score computations did not produce a comprehensive report compared to the report generated based on percentage usage.</w:t>
      </w:r>
    </w:p>
    <w:p w14:paraId="0965C79B" w14:textId="7CA657D2" w:rsidR="00CD6352" w:rsidRPr="00EA7665" w:rsidRDefault="00CD6352" w:rsidP="00CD6352">
      <w:pPr>
        <w:spacing w:after="0" w:line="360" w:lineRule="auto"/>
        <w:jc w:val="both"/>
        <w:rPr>
          <w:rFonts w:ascii="Arial" w:hAnsi="Arial" w:cs="Arial"/>
        </w:rPr>
      </w:pPr>
      <w:r w:rsidRPr="00EA7665">
        <w:rPr>
          <w:rFonts w:ascii="Arial" w:hAnsi="Arial" w:cs="Arial"/>
        </w:rPr>
        <w:t xml:space="preserve">The results relating to the extent to which </w:t>
      </w:r>
      <w:r w:rsidR="00335820">
        <w:rPr>
          <w:rFonts w:ascii="Arial" w:hAnsi="Arial" w:cs="Arial"/>
        </w:rPr>
        <w:t>managers use the selected finance option</w:t>
      </w:r>
      <w:r w:rsidRPr="00EA7665">
        <w:rPr>
          <w:rFonts w:ascii="Arial" w:hAnsi="Arial" w:cs="Arial"/>
        </w:rPr>
        <w:t xml:space="preserve">s to finance real estate project development </w:t>
      </w:r>
      <w:r>
        <w:rPr>
          <w:rFonts w:ascii="Arial" w:hAnsi="Arial" w:cs="Arial"/>
        </w:rPr>
        <w:t xml:space="preserve">at the aggregate level are </w:t>
      </w:r>
      <w:r w:rsidRPr="00EA7665">
        <w:rPr>
          <w:rFonts w:ascii="Arial" w:hAnsi="Arial" w:cs="Arial"/>
        </w:rPr>
        <w:t>contained in table 5.</w:t>
      </w:r>
      <w:r w:rsidR="007E3267">
        <w:rPr>
          <w:rFonts w:ascii="Arial" w:hAnsi="Arial" w:cs="Arial"/>
        </w:rPr>
        <w:t>2.1</w:t>
      </w:r>
      <w:r>
        <w:rPr>
          <w:rFonts w:ascii="Arial" w:hAnsi="Arial" w:cs="Arial"/>
        </w:rPr>
        <w:t>.</w:t>
      </w:r>
    </w:p>
    <w:p w14:paraId="20A73484" w14:textId="77777777" w:rsidR="00CD6352" w:rsidRPr="00EA7665" w:rsidRDefault="00CD6352" w:rsidP="00CD6352">
      <w:pPr>
        <w:spacing w:after="0" w:line="360" w:lineRule="auto"/>
        <w:jc w:val="both"/>
        <w:rPr>
          <w:rFonts w:ascii="Arial" w:hAnsi="Arial" w:cs="Arial"/>
        </w:rPr>
      </w:pPr>
    </w:p>
    <w:p w14:paraId="49967010" w14:textId="67240FCC" w:rsidR="00CD6352" w:rsidRPr="00003BB5" w:rsidRDefault="00CD6352" w:rsidP="00CD6352">
      <w:pPr>
        <w:spacing w:after="0" w:line="360" w:lineRule="auto"/>
        <w:jc w:val="both"/>
        <w:rPr>
          <w:rFonts w:ascii="Arial" w:hAnsi="Arial" w:cs="Arial"/>
          <w:sz w:val="16"/>
          <w:szCs w:val="16"/>
        </w:rPr>
      </w:pPr>
      <w:bookmarkStart w:id="1117" w:name="_Toc78983967"/>
      <w:r w:rsidRPr="00003BB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003BB5">
        <w:rPr>
          <w:rFonts w:ascii="Arial" w:hAnsi="Arial" w:cs="Arial"/>
          <w:sz w:val="16"/>
          <w:szCs w:val="16"/>
        </w:rPr>
        <w:t>: Finance options for real estate project development at the aggregate level</w:t>
      </w:r>
      <w:bookmarkEnd w:id="1117"/>
    </w:p>
    <w:tbl>
      <w:tblPr>
        <w:tblW w:w="7662" w:type="dxa"/>
        <w:tblLook w:val="04A0" w:firstRow="1" w:lastRow="0" w:firstColumn="1" w:lastColumn="0" w:noHBand="0" w:noVBand="1"/>
      </w:tblPr>
      <w:tblGrid>
        <w:gridCol w:w="2680"/>
        <w:gridCol w:w="1142"/>
        <w:gridCol w:w="960"/>
        <w:gridCol w:w="960"/>
        <w:gridCol w:w="960"/>
        <w:gridCol w:w="960"/>
      </w:tblGrid>
      <w:tr w:rsidR="00CD6352" w:rsidRPr="000F0AC5" w14:paraId="393B2FED" w14:textId="77777777" w:rsidTr="00CD6352">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B83F9"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14:paraId="6C8295C3"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Not used at all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B83D6B"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Less used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191B24"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Fairly used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333C27"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Used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975240"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Highly used</w:t>
            </w:r>
          </w:p>
        </w:tc>
      </w:tr>
      <w:tr w:rsidR="00CD6352" w:rsidRPr="000F0AC5" w14:paraId="36439AFD" w14:textId="77777777" w:rsidTr="00CD6352">
        <w:trPr>
          <w:trHeight w:val="4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EAA71CD" w14:textId="77777777" w:rsidR="00CD6352" w:rsidRPr="000F0AC5" w:rsidRDefault="00CD6352" w:rsidP="00CD6352">
            <w:pPr>
              <w:spacing w:after="0" w:line="240" w:lineRule="auto"/>
              <w:rPr>
                <w:rFonts w:ascii="Arial" w:eastAsia="Times New Roman" w:hAnsi="Arial" w:cs="Arial"/>
                <w:b/>
                <w:bCs/>
                <w:color w:val="000000"/>
                <w:sz w:val="16"/>
                <w:szCs w:val="16"/>
                <w:lang w:eastAsia="en-GB"/>
              </w:rPr>
            </w:pPr>
            <w:r w:rsidRPr="000F0AC5">
              <w:rPr>
                <w:rFonts w:ascii="Arial" w:eastAsia="Times New Roman" w:hAnsi="Arial" w:cs="Arial"/>
                <w:b/>
                <w:bCs/>
                <w:color w:val="000000"/>
                <w:sz w:val="16"/>
                <w:szCs w:val="16"/>
                <w:lang w:eastAsia="en-GB"/>
              </w:rPr>
              <w:t>Finance option (N= 88)</w:t>
            </w:r>
          </w:p>
        </w:tc>
        <w:tc>
          <w:tcPr>
            <w:tcW w:w="4982" w:type="dxa"/>
            <w:gridSpan w:val="5"/>
            <w:tcBorders>
              <w:top w:val="nil"/>
              <w:left w:val="nil"/>
              <w:bottom w:val="single" w:sz="4" w:space="0" w:color="auto"/>
              <w:right w:val="single" w:sz="4" w:space="0" w:color="auto"/>
            </w:tcBorders>
            <w:shd w:val="clear" w:color="auto" w:fill="auto"/>
            <w:noWrap/>
            <w:vAlign w:val="bottom"/>
            <w:hideMark/>
          </w:tcPr>
          <w:p w14:paraId="5BDC8768" w14:textId="77777777" w:rsidR="00CD6352" w:rsidRPr="000F0AC5" w:rsidRDefault="00CD6352" w:rsidP="00CD6352">
            <w:pPr>
              <w:spacing w:after="0" w:line="240" w:lineRule="auto"/>
              <w:rPr>
                <w:rFonts w:ascii="Arial" w:eastAsia="Times New Roman" w:hAnsi="Arial" w:cs="Arial"/>
                <w:b/>
                <w:bCs/>
                <w:color w:val="000000"/>
                <w:sz w:val="16"/>
                <w:szCs w:val="16"/>
                <w:lang w:eastAsia="en-GB"/>
              </w:rPr>
            </w:pPr>
            <w:r w:rsidRPr="000F0AC5">
              <w:rPr>
                <w:rFonts w:ascii="Arial" w:eastAsia="Times New Roman" w:hAnsi="Arial" w:cs="Arial"/>
                <w:b/>
                <w:bCs/>
                <w:color w:val="000000"/>
                <w:sz w:val="16"/>
                <w:szCs w:val="16"/>
                <w:lang w:eastAsia="en-GB"/>
              </w:rPr>
              <w:t>Percentage (%) </w:t>
            </w:r>
          </w:p>
        </w:tc>
      </w:tr>
      <w:tr w:rsidR="00CD6352" w:rsidRPr="000F0AC5" w14:paraId="11441C3C"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A9DBF90"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Bank loan</w:t>
            </w:r>
          </w:p>
        </w:tc>
        <w:tc>
          <w:tcPr>
            <w:tcW w:w="1142" w:type="dxa"/>
            <w:tcBorders>
              <w:top w:val="nil"/>
              <w:left w:val="nil"/>
              <w:bottom w:val="single" w:sz="4" w:space="0" w:color="auto"/>
              <w:right w:val="single" w:sz="4" w:space="0" w:color="auto"/>
            </w:tcBorders>
            <w:shd w:val="clear" w:color="auto" w:fill="auto"/>
            <w:noWrap/>
            <w:vAlign w:val="bottom"/>
            <w:hideMark/>
          </w:tcPr>
          <w:p w14:paraId="70CAE77A"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c>
          <w:tcPr>
            <w:tcW w:w="960" w:type="dxa"/>
            <w:tcBorders>
              <w:top w:val="nil"/>
              <w:left w:val="nil"/>
              <w:bottom w:val="single" w:sz="4" w:space="0" w:color="auto"/>
              <w:right w:val="single" w:sz="4" w:space="0" w:color="auto"/>
            </w:tcBorders>
            <w:shd w:val="clear" w:color="auto" w:fill="auto"/>
            <w:noWrap/>
            <w:vAlign w:val="bottom"/>
            <w:hideMark/>
          </w:tcPr>
          <w:p w14:paraId="331F304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c>
          <w:tcPr>
            <w:tcW w:w="960" w:type="dxa"/>
            <w:tcBorders>
              <w:top w:val="nil"/>
              <w:left w:val="nil"/>
              <w:bottom w:val="single" w:sz="4" w:space="0" w:color="auto"/>
              <w:right w:val="single" w:sz="4" w:space="0" w:color="auto"/>
            </w:tcBorders>
            <w:shd w:val="clear" w:color="auto" w:fill="auto"/>
            <w:noWrap/>
            <w:vAlign w:val="bottom"/>
            <w:hideMark/>
          </w:tcPr>
          <w:p w14:paraId="4E8CD2E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4.2</w:t>
            </w:r>
          </w:p>
        </w:tc>
        <w:tc>
          <w:tcPr>
            <w:tcW w:w="960" w:type="dxa"/>
            <w:tcBorders>
              <w:top w:val="nil"/>
              <w:left w:val="nil"/>
              <w:bottom w:val="single" w:sz="4" w:space="0" w:color="auto"/>
              <w:right w:val="single" w:sz="4" w:space="0" w:color="auto"/>
            </w:tcBorders>
            <w:shd w:val="clear" w:color="auto" w:fill="auto"/>
            <w:noWrap/>
            <w:vAlign w:val="bottom"/>
            <w:hideMark/>
          </w:tcPr>
          <w:p w14:paraId="0B8425CA"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21.3</w:t>
            </w:r>
          </w:p>
        </w:tc>
        <w:tc>
          <w:tcPr>
            <w:tcW w:w="960" w:type="dxa"/>
            <w:tcBorders>
              <w:top w:val="nil"/>
              <w:left w:val="nil"/>
              <w:bottom w:val="single" w:sz="4" w:space="0" w:color="auto"/>
              <w:right w:val="single" w:sz="4" w:space="0" w:color="auto"/>
            </w:tcBorders>
            <w:shd w:val="clear" w:color="auto" w:fill="auto"/>
            <w:noWrap/>
            <w:vAlign w:val="bottom"/>
            <w:hideMark/>
          </w:tcPr>
          <w:p w14:paraId="67AA747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36.1</w:t>
            </w:r>
          </w:p>
        </w:tc>
      </w:tr>
      <w:tr w:rsidR="00CD6352" w:rsidRPr="000F0AC5" w14:paraId="6BD0FDAF" w14:textId="77777777" w:rsidTr="00CD6352">
        <w:trPr>
          <w:trHeight w:val="465"/>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7CFBD314"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Cash flow from business operations/ undistributed profit</w:t>
            </w:r>
          </w:p>
        </w:tc>
        <w:tc>
          <w:tcPr>
            <w:tcW w:w="1142" w:type="dxa"/>
            <w:tcBorders>
              <w:top w:val="nil"/>
              <w:left w:val="nil"/>
              <w:bottom w:val="single" w:sz="4" w:space="0" w:color="auto"/>
              <w:right w:val="single" w:sz="4" w:space="0" w:color="auto"/>
            </w:tcBorders>
            <w:shd w:val="clear" w:color="auto" w:fill="auto"/>
            <w:noWrap/>
            <w:vAlign w:val="bottom"/>
            <w:hideMark/>
          </w:tcPr>
          <w:p w14:paraId="63DDA9B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49C3B5DB"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74246221"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32D58872"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26.2</w:t>
            </w:r>
          </w:p>
        </w:tc>
        <w:tc>
          <w:tcPr>
            <w:tcW w:w="960" w:type="dxa"/>
            <w:tcBorders>
              <w:top w:val="nil"/>
              <w:left w:val="nil"/>
              <w:bottom w:val="single" w:sz="4" w:space="0" w:color="auto"/>
              <w:right w:val="single" w:sz="4" w:space="0" w:color="auto"/>
            </w:tcBorders>
            <w:shd w:val="clear" w:color="auto" w:fill="auto"/>
            <w:noWrap/>
            <w:vAlign w:val="bottom"/>
            <w:hideMark/>
          </w:tcPr>
          <w:p w14:paraId="44E04C04"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23</w:t>
            </w:r>
          </w:p>
        </w:tc>
      </w:tr>
      <w:tr w:rsidR="00CD6352" w:rsidRPr="000F0AC5" w14:paraId="45E9B9F1"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BA1004F"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High net worth individuals</w:t>
            </w:r>
          </w:p>
        </w:tc>
        <w:tc>
          <w:tcPr>
            <w:tcW w:w="1142" w:type="dxa"/>
            <w:tcBorders>
              <w:top w:val="nil"/>
              <w:left w:val="nil"/>
              <w:bottom w:val="single" w:sz="4" w:space="0" w:color="auto"/>
              <w:right w:val="single" w:sz="4" w:space="0" w:color="auto"/>
            </w:tcBorders>
            <w:shd w:val="clear" w:color="auto" w:fill="auto"/>
            <w:noWrap/>
            <w:vAlign w:val="bottom"/>
            <w:hideMark/>
          </w:tcPr>
          <w:p w14:paraId="7A95B987"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5CFB604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32A9AE42"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328ED65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2CC2BD6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r>
      <w:tr w:rsidR="00CD6352" w:rsidRPr="000F0AC5" w14:paraId="11FD92E5"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28F26FF"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Equity fund</w:t>
            </w:r>
          </w:p>
        </w:tc>
        <w:tc>
          <w:tcPr>
            <w:tcW w:w="1142" w:type="dxa"/>
            <w:tcBorders>
              <w:top w:val="nil"/>
              <w:left w:val="nil"/>
              <w:bottom w:val="single" w:sz="4" w:space="0" w:color="auto"/>
              <w:right w:val="single" w:sz="4" w:space="0" w:color="auto"/>
            </w:tcBorders>
            <w:shd w:val="clear" w:color="auto" w:fill="auto"/>
            <w:noWrap/>
            <w:vAlign w:val="bottom"/>
            <w:hideMark/>
          </w:tcPr>
          <w:p w14:paraId="38D7D35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4AD2734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069CAAF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16.4</w:t>
            </w:r>
          </w:p>
        </w:tc>
        <w:tc>
          <w:tcPr>
            <w:tcW w:w="960" w:type="dxa"/>
            <w:tcBorders>
              <w:top w:val="nil"/>
              <w:left w:val="nil"/>
              <w:bottom w:val="single" w:sz="4" w:space="0" w:color="auto"/>
              <w:right w:val="single" w:sz="4" w:space="0" w:color="auto"/>
            </w:tcBorders>
            <w:shd w:val="clear" w:color="auto" w:fill="auto"/>
            <w:noWrap/>
            <w:vAlign w:val="bottom"/>
            <w:hideMark/>
          </w:tcPr>
          <w:p w14:paraId="435735C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16.4</w:t>
            </w:r>
          </w:p>
        </w:tc>
        <w:tc>
          <w:tcPr>
            <w:tcW w:w="960" w:type="dxa"/>
            <w:tcBorders>
              <w:top w:val="nil"/>
              <w:left w:val="nil"/>
              <w:bottom w:val="single" w:sz="4" w:space="0" w:color="auto"/>
              <w:right w:val="single" w:sz="4" w:space="0" w:color="auto"/>
            </w:tcBorders>
            <w:shd w:val="clear" w:color="auto" w:fill="auto"/>
            <w:noWrap/>
            <w:vAlign w:val="bottom"/>
            <w:hideMark/>
          </w:tcPr>
          <w:p w14:paraId="03B6AC5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r>
      <w:tr w:rsidR="00CD6352" w:rsidRPr="000F0AC5" w14:paraId="59181FAF"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7F90B25"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Joint venture</w:t>
            </w:r>
          </w:p>
        </w:tc>
        <w:tc>
          <w:tcPr>
            <w:tcW w:w="1142" w:type="dxa"/>
            <w:tcBorders>
              <w:top w:val="nil"/>
              <w:left w:val="nil"/>
              <w:bottom w:val="single" w:sz="4" w:space="0" w:color="auto"/>
              <w:right w:val="single" w:sz="4" w:space="0" w:color="auto"/>
            </w:tcBorders>
            <w:shd w:val="clear" w:color="auto" w:fill="auto"/>
            <w:noWrap/>
            <w:vAlign w:val="bottom"/>
            <w:hideMark/>
          </w:tcPr>
          <w:p w14:paraId="382D6DD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41DCDF46"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516E636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16.4</w:t>
            </w:r>
          </w:p>
        </w:tc>
        <w:tc>
          <w:tcPr>
            <w:tcW w:w="960" w:type="dxa"/>
            <w:tcBorders>
              <w:top w:val="nil"/>
              <w:left w:val="nil"/>
              <w:bottom w:val="single" w:sz="4" w:space="0" w:color="auto"/>
              <w:right w:val="single" w:sz="4" w:space="0" w:color="auto"/>
            </w:tcBorders>
            <w:shd w:val="clear" w:color="auto" w:fill="auto"/>
            <w:noWrap/>
            <w:vAlign w:val="bottom"/>
            <w:hideMark/>
          </w:tcPr>
          <w:p w14:paraId="12E88AF7"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7E27D4B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r>
      <w:tr w:rsidR="00CD6352" w:rsidRPr="000F0AC5" w14:paraId="132FBB33"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D846733"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Mezzanine capital</w:t>
            </w:r>
          </w:p>
        </w:tc>
        <w:tc>
          <w:tcPr>
            <w:tcW w:w="1142" w:type="dxa"/>
            <w:tcBorders>
              <w:top w:val="nil"/>
              <w:left w:val="nil"/>
              <w:bottom w:val="single" w:sz="4" w:space="0" w:color="auto"/>
              <w:right w:val="single" w:sz="4" w:space="0" w:color="auto"/>
            </w:tcBorders>
            <w:shd w:val="clear" w:color="auto" w:fill="auto"/>
            <w:noWrap/>
            <w:vAlign w:val="bottom"/>
            <w:hideMark/>
          </w:tcPr>
          <w:p w14:paraId="2B77D536"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2F3B4F9C"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1169E918"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271FF3E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4.9</w:t>
            </w:r>
          </w:p>
        </w:tc>
        <w:tc>
          <w:tcPr>
            <w:tcW w:w="960" w:type="dxa"/>
            <w:tcBorders>
              <w:top w:val="nil"/>
              <w:left w:val="nil"/>
              <w:bottom w:val="single" w:sz="4" w:space="0" w:color="auto"/>
              <w:right w:val="single" w:sz="4" w:space="0" w:color="auto"/>
            </w:tcBorders>
            <w:shd w:val="clear" w:color="auto" w:fill="auto"/>
            <w:noWrap/>
            <w:vAlign w:val="bottom"/>
            <w:hideMark/>
          </w:tcPr>
          <w:p w14:paraId="0FDC582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r>
      <w:tr w:rsidR="00CD6352" w:rsidRPr="000F0AC5" w14:paraId="2F7B8B35" w14:textId="77777777" w:rsidTr="00CD6352">
        <w:trPr>
          <w:trHeight w:val="690"/>
        </w:trPr>
        <w:tc>
          <w:tcPr>
            <w:tcW w:w="2680" w:type="dxa"/>
            <w:tcBorders>
              <w:top w:val="nil"/>
              <w:left w:val="single" w:sz="4" w:space="0" w:color="auto"/>
              <w:bottom w:val="single" w:sz="4" w:space="0" w:color="auto"/>
              <w:right w:val="single" w:sz="4" w:space="0" w:color="auto"/>
            </w:tcBorders>
            <w:shd w:val="clear" w:color="auto" w:fill="auto"/>
            <w:vAlign w:val="bottom"/>
            <w:hideMark/>
          </w:tcPr>
          <w:p w14:paraId="292D48E1" w14:textId="24993506"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xml:space="preserve">Private equity </w:t>
            </w:r>
            <w:r w:rsidR="009D03A1" w:rsidRPr="000F0AC5">
              <w:rPr>
                <w:rFonts w:ascii="Arial" w:eastAsia="Times New Roman" w:hAnsi="Arial" w:cs="Arial"/>
                <w:color w:val="000000"/>
                <w:sz w:val="16"/>
                <w:szCs w:val="16"/>
                <w:lang w:eastAsia="en-GB"/>
              </w:rPr>
              <w:t>(private</w:t>
            </w:r>
            <w:r w:rsidRPr="000F0AC5">
              <w:rPr>
                <w:rFonts w:ascii="Arial" w:eastAsia="Times New Roman" w:hAnsi="Arial" w:cs="Arial"/>
                <w:color w:val="000000"/>
                <w:sz w:val="16"/>
                <w:szCs w:val="16"/>
                <w:lang w:eastAsia="en-GB"/>
              </w:rPr>
              <w:t xml:space="preserve"> equity firms, pension funds and insurance companies)</w:t>
            </w:r>
          </w:p>
        </w:tc>
        <w:tc>
          <w:tcPr>
            <w:tcW w:w="1142" w:type="dxa"/>
            <w:tcBorders>
              <w:top w:val="nil"/>
              <w:left w:val="nil"/>
              <w:bottom w:val="single" w:sz="4" w:space="0" w:color="auto"/>
              <w:right w:val="single" w:sz="4" w:space="0" w:color="auto"/>
            </w:tcBorders>
            <w:shd w:val="clear" w:color="auto" w:fill="auto"/>
            <w:noWrap/>
            <w:vAlign w:val="bottom"/>
            <w:hideMark/>
          </w:tcPr>
          <w:p w14:paraId="49519FC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26.2</w:t>
            </w:r>
          </w:p>
        </w:tc>
        <w:tc>
          <w:tcPr>
            <w:tcW w:w="960" w:type="dxa"/>
            <w:tcBorders>
              <w:top w:val="nil"/>
              <w:left w:val="nil"/>
              <w:bottom w:val="single" w:sz="4" w:space="0" w:color="auto"/>
              <w:right w:val="single" w:sz="4" w:space="0" w:color="auto"/>
            </w:tcBorders>
            <w:shd w:val="clear" w:color="auto" w:fill="auto"/>
            <w:noWrap/>
            <w:vAlign w:val="bottom"/>
            <w:hideMark/>
          </w:tcPr>
          <w:p w14:paraId="5B6C60E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67CF3BB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1431B5BE"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5215F597"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r>
      <w:tr w:rsidR="00CD6352" w:rsidRPr="000F0AC5" w14:paraId="66ECF3F5"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1983291"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xml:space="preserve">Venture capital </w:t>
            </w:r>
          </w:p>
        </w:tc>
        <w:tc>
          <w:tcPr>
            <w:tcW w:w="1142" w:type="dxa"/>
            <w:tcBorders>
              <w:top w:val="nil"/>
              <w:left w:val="nil"/>
              <w:bottom w:val="single" w:sz="4" w:space="0" w:color="auto"/>
              <w:right w:val="single" w:sz="4" w:space="0" w:color="auto"/>
            </w:tcBorders>
            <w:shd w:val="clear" w:color="auto" w:fill="auto"/>
            <w:noWrap/>
            <w:vAlign w:val="bottom"/>
            <w:hideMark/>
          </w:tcPr>
          <w:p w14:paraId="36D8B50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21.3</w:t>
            </w:r>
          </w:p>
        </w:tc>
        <w:tc>
          <w:tcPr>
            <w:tcW w:w="960" w:type="dxa"/>
            <w:tcBorders>
              <w:top w:val="nil"/>
              <w:left w:val="nil"/>
              <w:bottom w:val="single" w:sz="4" w:space="0" w:color="auto"/>
              <w:right w:val="single" w:sz="4" w:space="0" w:color="auto"/>
            </w:tcBorders>
            <w:shd w:val="clear" w:color="auto" w:fill="auto"/>
            <w:noWrap/>
            <w:vAlign w:val="bottom"/>
            <w:hideMark/>
          </w:tcPr>
          <w:p w14:paraId="32A4900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6E370E66"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51304A6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44A41CA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r>
      <w:tr w:rsidR="00CD6352" w:rsidRPr="000F0AC5" w14:paraId="6E4EE189"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B57F96A"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Government grants and subsidies</w:t>
            </w:r>
          </w:p>
        </w:tc>
        <w:tc>
          <w:tcPr>
            <w:tcW w:w="1142" w:type="dxa"/>
            <w:tcBorders>
              <w:top w:val="nil"/>
              <w:left w:val="nil"/>
              <w:bottom w:val="single" w:sz="4" w:space="0" w:color="auto"/>
              <w:right w:val="single" w:sz="4" w:space="0" w:color="auto"/>
            </w:tcBorders>
            <w:shd w:val="clear" w:color="auto" w:fill="auto"/>
            <w:noWrap/>
            <w:vAlign w:val="bottom"/>
            <w:hideMark/>
          </w:tcPr>
          <w:p w14:paraId="6908113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24.6</w:t>
            </w:r>
          </w:p>
        </w:tc>
        <w:tc>
          <w:tcPr>
            <w:tcW w:w="960" w:type="dxa"/>
            <w:tcBorders>
              <w:top w:val="nil"/>
              <w:left w:val="nil"/>
              <w:bottom w:val="single" w:sz="4" w:space="0" w:color="auto"/>
              <w:right w:val="single" w:sz="4" w:space="0" w:color="auto"/>
            </w:tcBorders>
            <w:shd w:val="clear" w:color="auto" w:fill="auto"/>
            <w:noWrap/>
            <w:vAlign w:val="bottom"/>
            <w:hideMark/>
          </w:tcPr>
          <w:p w14:paraId="7588CC7B"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1C198DA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1B5C535B"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3FF67E0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6.6</w:t>
            </w:r>
          </w:p>
        </w:tc>
      </w:tr>
      <w:tr w:rsidR="00CD6352" w:rsidRPr="000F0AC5" w14:paraId="09DFD46F"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32F27AC"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Real estate investment trust ( REITS)</w:t>
            </w:r>
          </w:p>
        </w:tc>
        <w:tc>
          <w:tcPr>
            <w:tcW w:w="1142" w:type="dxa"/>
            <w:tcBorders>
              <w:top w:val="nil"/>
              <w:left w:val="nil"/>
              <w:bottom w:val="single" w:sz="4" w:space="0" w:color="auto"/>
              <w:right w:val="single" w:sz="4" w:space="0" w:color="auto"/>
            </w:tcBorders>
            <w:shd w:val="clear" w:color="auto" w:fill="auto"/>
            <w:noWrap/>
            <w:vAlign w:val="bottom"/>
            <w:hideMark/>
          </w:tcPr>
          <w:p w14:paraId="2311E8B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24.6</w:t>
            </w:r>
          </w:p>
        </w:tc>
        <w:tc>
          <w:tcPr>
            <w:tcW w:w="960" w:type="dxa"/>
            <w:tcBorders>
              <w:top w:val="nil"/>
              <w:left w:val="nil"/>
              <w:bottom w:val="single" w:sz="4" w:space="0" w:color="auto"/>
              <w:right w:val="single" w:sz="4" w:space="0" w:color="auto"/>
            </w:tcBorders>
            <w:shd w:val="clear" w:color="auto" w:fill="auto"/>
            <w:noWrap/>
            <w:vAlign w:val="bottom"/>
            <w:hideMark/>
          </w:tcPr>
          <w:p w14:paraId="0118CE22"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4.9</w:t>
            </w:r>
          </w:p>
        </w:tc>
        <w:tc>
          <w:tcPr>
            <w:tcW w:w="960" w:type="dxa"/>
            <w:tcBorders>
              <w:top w:val="nil"/>
              <w:left w:val="nil"/>
              <w:bottom w:val="single" w:sz="4" w:space="0" w:color="auto"/>
              <w:right w:val="single" w:sz="4" w:space="0" w:color="auto"/>
            </w:tcBorders>
            <w:shd w:val="clear" w:color="auto" w:fill="auto"/>
            <w:noWrap/>
            <w:vAlign w:val="bottom"/>
            <w:hideMark/>
          </w:tcPr>
          <w:p w14:paraId="2FA89D2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72A2DBB4"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21.3</w:t>
            </w:r>
          </w:p>
        </w:tc>
        <w:tc>
          <w:tcPr>
            <w:tcW w:w="960" w:type="dxa"/>
            <w:tcBorders>
              <w:top w:val="nil"/>
              <w:left w:val="nil"/>
              <w:bottom w:val="single" w:sz="4" w:space="0" w:color="auto"/>
              <w:right w:val="single" w:sz="4" w:space="0" w:color="auto"/>
            </w:tcBorders>
            <w:shd w:val="clear" w:color="auto" w:fill="auto"/>
            <w:noWrap/>
            <w:vAlign w:val="bottom"/>
            <w:hideMark/>
          </w:tcPr>
          <w:p w14:paraId="6CD3869B"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6.6</w:t>
            </w:r>
          </w:p>
        </w:tc>
      </w:tr>
      <w:tr w:rsidR="00CD6352" w:rsidRPr="000F0AC5" w14:paraId="75CE2498"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6AE55DFE"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xml:space="preserve">Bonds </w:t>
            </w:r>
          </w:p>
        </w:tc>
        <w:tc>
          <w:tcPr>
            <w:tcW w:w="1142" w:type="dxa"/>
            <w:tcBorders>
              <w:top w:val="nil"/>
              <w:left w:val="nil"/>
              <w:bottom w:val="single" w:sz="4" w:space="0" w:color="auto"/>
              <w:right w:val="single" w:sz="4" w:space="0" w:color="auto"/>
            </w:tcBorders>
            <w:shd w:val="clear" w:color="auto" w:fill="auto"/>
            <w:noWrap/>
            <w:vAlign w:val="bottom"/>
            <w:hideMark/>
          </w:tcPr>
          <w:p w14:paraId="7C53D7E6"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14:paraId="378E91DC"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737E6FC6"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19.7</w:t>
            </w:r>
          </w:p>
        </w:tc>
        <w:tc>
          <w:tcPr>
            <w:tcW w:w="960" w:type="dxa"/>
            <w:tcBorders>
              <w:top w:val="nil"/>
              <w:left w:val="nil"/>
              <w:bottom w:val="single" w:sz="4" w:space="0" w:color="auto"/>
              <w:right w:val="single" w:sz="4" w:space="0" w:color="auto"/>
            </w:tcBorders>
            <w:shd w:val="clear" w:color="auto" w:fill="auto"/>
            <w:noWrap/>
            <w:vAlign w:val="bottom"/>
            <w:hideMark/>
          </w:tcPr>
          <w:p w14:paraId="5492EA6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2336510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4.9</w:t>
            </w:r>
          </w:p>
        </w:tc>
      </w:tr>
      <w:tr w:rsidR="00CD6352" w:rsidRPr="000F0AC5" w14:paraId="48DF0E19"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05ED2E2"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Debt fund</w:t>
            </w:r>
          </w:p>
        </w:tc>
        <w:tc>
          <w:tcPr>
            <w:tcW w:w="1142" w:type="dxa"/>
            <w:tcBorders>
              <w:top w:val="nil"/>
              <w:left w:val="nil"/>
              <w:bottom w:val="single" w:sz="4" w:space="0" w:color="auto"/>
              <w:right w:val="single" w:sz="4" w:space="0" w:color="auto"/>
            </w:tcBorders>
            <w:shd w:val="clear" w:color="auto" w:fill="auto"/>
            <w:noWrap/>
            <w:vAlign w:val="bottom"/>
            <w:hideMark/>
          </w:tcPr>
          <w:p w14:paraId="50CCDEB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5E894901"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53C2A5D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6D62352D"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c>
          <w:tcPr>
            <w:tcW w:w="960" w:type="dxa"/>
            <w:tcBorders>
              <w:top w:val="nil"/>
              <w:left w:val="nil"/>
              <w:bottom w:val="single" w:sz="4" w:space="0" w:color="auto"/>
              <w:right w:val="single" w:sz="4" w:space="0" w:color="auto"/>
            </w:tcBorders>
            <w:shd w:val="clear" w:color="auto" w:fill="auto"/>
            <w:noWrap/>
            <w:vAlign w:val="bottom"/>
            <w:hideMark/>
          </w:tcPr>
          <w:p w14:paraId="6B9EDF07"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r>
      <w:tr w:rsidR="00CD6352" w:rsidRPr="000F0AC5" w14:paraId="28544CEC"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02CA6FB" w14:textId="111C770F"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xml:space="preserve">Public equity </w:t>
            </w:r>
            <w:r w:rsidR="009D03A1" w:rsidRPr="000F0AC5">
              <w:rPr>
                <w:rFonts w:ascii="Arial" w:eastAsia="Times New Roman" w:hAnsi="Arial" w:cs="Arial"/>
                <w:color w:val="000000"/>
                <w:sz w:val="16"/>
                <w:szCs w:val="16"/>
                <w:lang w:eastAsia="en-GB"/>
              </w:rPr>
              <w:t>(Public</w:t>
            </w:r>
            <w:r w:rsidRPr="000F0AC5">
              <w:rPr>
                <w:rFonts w:ascii="Arial" w:eastAsia="Times New Roman" w:hAnsi="Arial" w:cs="Arial"/>
                <w:color w:val="000000"/>
                <w:sz w:val="16"/>
                <w:szCs w:val="16"/>
                <w:lang w:eastAsia="en-GB"/>
              </w:rPr>
              <w:t xml:space="preserve"> listing &amp; IPO)</w:t>
            </w:r>
          </w:p>
        </w:tc>
        <w:tc>
          <w:tcPr>
            <w:tcW w:w="1142" w:type="dxa"/>
            <w:tcBorders>
              <w:top w:val="nil"/>
              <w:left w:val="nil"/>
              <w:bottom w:val="single" w:sz="4" w:space="0" w:color="auto"/>
              <w:right w:val="single" w:sz="4" w:space="0" w:color="auto"/>
            </w:tcBorders>
            <w:shd w:val="clear" w:color="auto" w:fill="auto"/>
            <w:noWrap/>
            <w:vAlign w:val="bottom"/>
            <w:hideMark/>
          </w:tcPr>
          <w:p w14:paraId="3C0EB31E"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1AFA47C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0E9FD0B8"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2416E442"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1D3F816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r>
      <w:tr w:rsidR="00CD6352" w:rsidRPr="000F0AC5" w14:paraId="1F3E3B25"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4517C0EB"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xml:space="preserve">Sovereign wealth fund </w:t>
            </w:r>
          </w:p>
        </w:tc>
        <w:tc>
          <w:tcPr>
            <w:tcW w:w="1142" w:type="dxa"/>
            <w:tcBorders>
              <w:top w:val="nil"/>
              <w:left w:val="nil"/>
              <w:bottom w:val="single" w:sz="4" w:space="0" w:color="auto"/>
              <w:right w:val="single" w:sz="4" w:space="0" w:color="auto"/>
            </w:tcBorders>
            <w:shd w:val="clear" w:color="auto" w:fill="auto"/>
            <w:noWrap/>
            <w:vAlign w:val="bottom"/>
            <w:hideMark/>
          </w:tcPr>
          <w:p w14:paraId="3B50C047"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23ED338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9.8</w:t>
            </w:r>
          </w:p>
        </w:tc>
        <w:tc>
          <w:tcPr>
            <w:tcW w:w="960" w:type="dxa"/>
            <w:tcBorders>
              <w:top w:val="nil"/>
              <w:left w:val="nil"/>
              <w:bottom w:val="single" w:sz="4" w:space="0" w:color="auto"/>
              <w:right w:val="single" w:sz="4" w:space="0" w:color="auto"/>
            </w:tcBorders>
            <w:shd w:val="clear" w:color="auto" w:fill="auto"/>
            <w:noWrap/>
            <w:vAlign w:val="bottom"/>
            <w:hideMark/>
          </w:tcPr>
          <w:p w14:paraId="5DDE32FB"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3056B3D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8.2</w:t>
            </w:r>
          </w:p>
        </w:tc>
        <w:tc>
          <w:tcPr>
            <w:tcW w:w="960" w:type="dxa"/>
            <w:tcBorders>
              <w:top w:val="nil"/>
              <w:left w:val="nil"/>
              <w:bottom w:val="single" w:sz="4" w:space="0" w:color="auto"/>
              <w:right w:val="single" w:sz="4" w:space="0" w:color="auto"/>
            </w:tcBorders>
            <w:shd w:val="clear" w:color="auto" w:fill="auto"/>
            <w:noWrap/>
            <w:vAlign w:val="bottom"/>
            <w:hideMark/>
          </w:tcPr>
          <w:p w14:paraId="093DB46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r>
      <w:tr w:rsidR="00CD6352" w:rsidRPr="000F0AC5" w14:paraId="6649FFEE"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16FB39D"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Public private partnership (PPP)</w:t>
            </w:r>
          </w:p>
        </w:tc>
        <w:tc>
          <w:tcPr>
            <w:tcW w:w="1142" w:type="dxa"/>
            <w:tcBorders>
              <w:top w:val="nil"/>
              <w:left w:val="nil"/>
              <w:bottom w:val="single" w:sz="4" w:space="0" w:color="auto"/>
              <w:right w:val="single" w:sz="4" w:space="0" w:color="auto"/>
            </w:tcBorders>
            <w:shd w:val="clear" w:color="auto" w:fill="auto"/>
            <w:noWrap/>
            <w:vAlign w:val="bottom"/>
            <w:hideMark/>
          </w:tcPr>
          <w:p w14:paraId="254A5837"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30270914"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6494089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1E1AC899"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21.3</w:t>
            </w:r>
          </w:p>
        </w:tc>
        <w:tc>
          <w:tcPr>
            <w:tcW w:w="960" w:type="dxa"/>
            <w:tcBorders>
              <w:top w:val="nil"/>
              <w:left w:val="nil"/>
              <w:bottom w:val="single" w:sz="4" w:space="0" w:color="auto"/>
              <w:right w:val="single" w:sz="4" w:space="0" w:color="auto"/>
            </w:tcBorders>
            <w:shd w:val="clear" w:color="auto" w:fill="auto"/>
            <w:noWrap/>
            <w:vAlign w:val="bottom"/>
            <w:hideMark/>
          </w:tcPr>
          <w:p w14:paraId="048E687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1.6</w:t>
            </w:r>
          </w:p>
        </w:tc>
      </w:tr>
      <w:tr w:rsidR="00CD6352" w:rsidRPr="000F0AC5" w14:paraId="73E09878"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3FEC4CD7"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Debenture</w:t>
            </w:r>
          </w:p>
        </w:tc>
        <w:tc>
          <w:tcPr>
            <w:tcW w:w="1142" w:type="dxa"/>
            <w:tcBorders>
              <w:top w:val="nil"/>
              <w:left w:val="nil"/>
              <w:bottom w:val="single" w:sz="4" w:space="0" w:color="auto"/>
              <w:right w:val="single" w:sz="4" w:space="0" w:color="auto"/>
            </w:tcBorders>
            <w:shd w:val="clear" w:color="auto" w:fill="auto"/>
            <w:noWrap/>
            <w:vAlign w:val="bottom"/>
            <w:hideMark/>
          </w:tcPr>
          <w:p w14:paraId="674CA5DA"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02837C8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094E1DB2"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14D5DB6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6B4FEA68"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0</w:t>
            </w:r>
          </w:p>
        </w:tc>
      </w:tr>
      <w:tr w:rsidR="00CD6352" w:rsidRPr="000F0AC5" w14:paraId="3219F010"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0A461F6B" w14:textId="77777777"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Derivative</w:t>
            </w:r>
          </w:p>
        </w:tc>
        <w:tc>
          <w:tcPr>
            <w:tcW w:w="1142" w:type="dxa"/>
            <w:tcBorders>
              <w:top w:val="nil"/>
              <w:left w:val="nil"/>
              <w:bottom w:val="single" w:sz="4" w:space="0" w:color="auto"/>
              <w:right w:val="single" w:sz="4" w:space="0" w:color="auto"/>
            </w:tcBorders>
            <w:shd w:val="clear" w:color="auto" w:fill="auto"/>
            <w:noWrap/>
            <w:vAlign w:val="bottom"/>
            <w:hideMark/>
          </w:tcPr>
          <w:p w14:paraId="3F300E08"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319731A8"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14.8</w:t>
            </w:r>
          </w:p>
        </w:tc>
        <w:tc>
          <w:tcPr>
            <w:tcW w:w="960" w:type="dxa"/>
            <w:tcBorders>
              <w:top w:val="nil"/>
              <w:left w:val="nil"/>
              <w:bottom w:val="single" w:sz="4" w:space="0" w:color="auto"/>
              <w:right w:val="single" w:sz="4" w:space="0" w:color="auto"/>
            </w:tcBorders>
            <w:shd w:val="clear" w:color="auto" w:fill="auto"/>
            <w:noWrap/>
            <w:vAlign w:val="bottom"/>
            <w:hideMark/>
          </w:tcPr>
          <w:p w14:paraId="1058D15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3A63281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090579AF"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0</w:t>
            </w:r>
          </w:p>
        </w:tc>
      </w:tr>
      <w:tr w:rsidR="00CD6352" w:rsidRPr="000F0AC5" w14:paraId="62C50C17" w14:textId="77777777" w:rsidTr="00CD6352">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281B6636" w14:textId="4980C2BB" w:rsidR="00CD6352" w:rsidRPr="000F0AC5" w:rsidRDefault="00CD6352" w:rsidP="00CD6352">
            <w:pPr>
              <w:spacing w:after="0" w:line="240" w:lineRule="auto"/>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 xml:space="preserve">Equity </w:t>
            </w:r>
            <w:r w:rsidR="009D03A1" w:rsidRPr="000F0AC5">
              <w:rPr>
                <w:rFonts w:ascii="Arial" w:eastAsia="Times New Roman" w:hAnsi="Arial" w:cs="Arial"/>
                <w:color w:val="000000"/>
                <w:sz w:val="16"/>
                <w:szCs w:val="16"/>
                <w:lang w:eastAsia="en-GB"/>
              </w:rPr>
              <w:t>crowd funding</w:t>
            </w:r>
          </w:p>
        </w:tc>
        <w:tc>
          <w:tcPr>
            <w:tcW w:w="1142" w:type="dxa"/>
            <w:tcBorders>
              <w:top w:val="nil"/>
              <w:left w:val="nil"/>
              <w:bottom w:val="single" w:sz="4" w:space="0" w:color="auto"/>
              <w:right w:val="single" w:sz="4" w:space="0" w:color="auto"/>
            </w:tcBorders>
            <w:shd w:val="clear" w:color="auto" w:fill="auto"/>
            <w:noWrap/>
            <w:vAlign w:val="bottom"/>
            <w:hideMark/>
          </w:tcPr>
          <w:p w14:paraId="3E2CFBA3"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5EBE63C5"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49066850"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15DCA68C"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11.5</w:t>
            </w:r>
          </w:p>
        </w:tc>
        <w:tc>
          <w:tcPr>
            <w:tcW w:w="960" w:type="dxa"/>
            <w:tcBorders>
              <w:top w:val="nil"/>
              <w:left w:val="nil"/>
              <w:bottom w:val="single" w:sz="4" w:space="0" w:color="auto"/>
              <w:right w:val="single" w:sz="4" w:space="0" w:color="auto"/>
            </w:tcBorders>
            <w:shd w:val="clear" w:color="auto" w:fill="auto"/>
            <w:noWrap/>
            <w:vAlign w:val="bottom"/>
            <w:hideMark/>
          </w:tcPr>
          <w:p w14:paraId="4CEE0866" w14:textId="77777777" w:rsidR="00CD6352" w:rsidRPr="000F0AC5" w:rsidRDefault="00CD6352" w:rsidP="00CD6352">
            <w:pPr>
              <w:spacing w:after="0" w:line="240" w:lineRule="auto"/>
              <w:jc w:val="right"/>
              <w:rPr>
                <w:rFonts w:ascii="Arial" w:eastAsia="Times New Roman" w:hAnsi="Arial" w:cs="Arial"/>
                <w:color w:val="000000"/>
                <w:sz w:val="16"/>
                <w:szCs w:val="16"/>
                <w:lang w:eastAsia="en-GB"/>
              </w:rPr>
            </w:pPr>
            <w:r w:rsidRPr="000F0AC5">
              <w:rPr>
                <w:rFonts w:ascii="Arial" w:eastAsia="Times New Roman" w:hAnsi="Arial" w:cs="Arial"/>
                <w:color w:val="000000"/>
                <w:sz w:val="16"/>
                <w:szCs w:val="16"/>
                <w:lang w:eastAsia="en-GB"/>
              </w:rPr>
              <w:t>0</w:t>
            </w:r>
          </w:p>
        </w:tc>
      </w:tr>
    </w:tbl>
    <w:p w14:paraId="3C6DC2CB" w14:textId="77777777" w:rsidR="00CD6352" w:rsidRDefault="00CD6352" w:rsidP="00CD6352">
      <w:pPr>
        <w:spacing w:after="0" w:line="360" w:lineRule="auto"/>
        <w:jc w:val="both"/>
        <w:rPr>
          <w:rFonts w:ascii="Arial" w:hAnsi="Arial" w:cs="Arial"/>
        </w:rPr>
      </w:pPr>
    </w:p>
    <w:p w14:paraId="59D6C9ED" w14:textId="77777777" w:rsidR="00CD6352" w:rsidRPr="00EA7665" w:rsidRDefault="00CD6352" w:rsidP="00B135AC">
      <w:pPr>
        <w:spacing w:line="360" w:lineRule="auto"/>
        <w:jc w:val="both"/>
        <w:rPr>
          <w:rFonts w:ascii="Arial" w:hAnsi="Arial" w:cs="Arial"/>
        </w:rPr>
      </w:pPr>
      <w:r w:rsidRPr="00EA7665">
        <w:rPr>
          <w:rFonts w:ascii="Arial" w:hAnsi="Arial" w:cs="Arial"/>
        </w:rPr>
        <w:t xml:space="preserve">The findings at the aggregate level show that 36% of the survey respondents “highly use” bank loans for </w:t>
      </w:r>
      <w:r>
        <w:rPr>
          <w:rFonts w:ascii="Arial" w:hAnsi="Arial" w:cs="Arial"/>
        </w:rPr>
        <w:t>financing</w:t>
      </w:r>
      <w:r w:rsidRPr="00EA7665">
        <w:rPr>
          <w:rFonts w:ascii="Arial" w:hAnsi="Arial" w:cs="Arial"/>
        </w:rPr>
        <w:t xml:space="preserve"> real estate project </w:t>
      </w:r>
      <w:r>
        <w:rPr>
          <w:rFonts w:ascii="Arial" w:hAnsi="Arial" w:cs="Arial"/>
        </w:rPr>
        <w:t>development,</w:t>
      </w:r>
      <w:r w:rsidRPr="00EA7665">
        <w:rPr>
          <w:rFonts w:ascii="Arial" w:hAnsi="Arial" w:cs="Arial"/>
        </w:rPr>
        <w:t xml:space="preserve"> followed by cash flow from business operatio</w:t>
      </w:r>
      <w:r>
        <w:rPr>
          <w:rFonts w:ascii="Arial" w:hAnsi="Arial" w:cs="Arial"/>
        </w:rPr>
        <w:t>ns</w:t>
      </w:r>
      <w:r w:rsidRPr="00EA7665">
        <w:rPr>
          <w:rFonts w:ascii="Arial" w:hAnsi="Arial" w:cs="Arial"/>
        </w:rPr>
        <w:t xml:space="preserve"> /undistributed profit (23%), high net worth individuals (14.8%), equity fund &amp; joint venture (9.8%), </w:t>
      </w:r>
      <w:r>
        <w:rPr>
          <w:rFonts w:ascii="Arial" w:hAnsi="Arial" w:cs="Arial"/>
        </w:rPr>
        <w:t xml:space="preserve">and </w:t>
      </w:r>
      <w:r w:rsidRPr="00EA7665">
        <w:rPr>
          <w:rFonts w:ascii="Arial" w:hAnsi="Arial" w:cs="Arial"/>
        </w:rPr>
        <w:t>Mezzanine capital, private equity &amp; venture</w:t>
      </w:r>
      <w:r>
        <w:rPr>
          <w:rFonts w:ascii="Arial" w:hAnsi="Arial" w:cs="Arial"/>
        </w:rPr>
        <w:t xml:space="preserve"> capital all at</w:t>
      </w:r>
      <w:r w:rsidRPr="00EA7665">
        <w:rPr>
          <w:rFonts w:ascii="Arial" w:hAnsi="Arial" w:cs="Arial"/>
        </w:rPr>
        <w:t xml:space="preserve"> (8.2%)</w:t>
      </w:r>
      <w:r>
        <w:rPr>
          <w:rFonts w:ascii="Arial" w:hAnsi="Arial" w:cs="Arial"/>
        </w:rPr>
        <w:t>.</w:t>
      </w:r>
      <w:r w:rsidRPr="00EA7665">
        <w:rPr>
          <w:rFonts w:ascii="Arial" w:hAnsi="Arial" w:cs="Arial"/>
        </w:rPr>
        <w:t xml:space="preserve"> All the other finance options such as REITs, bonds, debt funds, public listing, sovereign wealth funds, and PPP have a low usage rate of 6.6% and below. While debenture, derivatives, equity crowdfunding have 0% usage. </w:t>
      </w:r>
    </w:p>
    <w:p w14:paraId="200D5D52" w14:textId="77777777" w:rsidR="00CD6352" w:rsidRPr="00EA7665" w:rsidRDefault="00CD6352" w:rsidP="00CD6352">
      <w:pPr>
        <w:keepNext/>
        <w:spacing w:line="360" w:lineRule="auto"/>
        <w:jc w:val="both"/>
      </w:pPr>
      <w:r w:rsidRPr="00EA7665">
        <w:rPr>
          <w:noProof/>
          <w:lang w:eastAsia="en-GB"/>
        </w:rPr>
        <w:lastRenderedPageBreak/>
        <w:drawing>
          <wp:inline distT="0" distB="0" distL="0" distR="0" wp14:anchorId="12022D55" wp14:editId="7891CCF3">
            <wp:extent cx="5531556" cy="2743200"/>
            <wp:effectExtent l="0" t="0" r="1206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C1CC8F" w14:textId="7F1875D1" w:rsidR="00CD6352" w:rsidRPr="00003BB5" w:rsidRDefault="00CD6352" w:rsidP="00CD6352">
      <w:pPr>
        <w:pStyle w:val="Caption"/>
        <w:jc w:val="both"/>
        <w:rPr>
          <w:i w:val="0"/>
          <w:iCs w:val="0"/>
        </w:rPr>
      </w:pPr>
      <w:bookmarkStart w:id="1118" w:name="_Toc78739574"/>
      <w:r w:rsidRPr="00003BB5">
        <w:rPr>
          <w:i w:val="0"/>
          <w:iCs w:val="0"/>
        </w:rPr>
        <w:t xml:space="preserve">Figure </w:t>
      </w:r>
      <w:r w:rsidR="00324B0D">
        <w:rPr>
          <w:i w:val="0"/>
          <w:iCs w:val="0"/>
        </w:rPr>
        <w:fldChar w:fldCharType="begin"/>
      </w:r>
      <w:r w:rsidR="00324B0D">
        <w:rPr>
          <w:i w:val="0"/>
          <w:iCs w:val="0"/>
        </w:rPr>
        <w:instrText xml:space="preserve"> STYLEREF 2 \s </w:instrText>
      </w:r>
      <w:r w:rsidR="00324B0D">
        <w:rPr>
          <w:i w:val="0"/>
          <w:iCs w:val="0"/>
        </w:rPr>
        <w:fldChar w:fldCharType="separate"/>
      </w:r>
      <w:r w:rsidR="00324B0D">
        <w:rPr>
          <w:i w:val="0"/>
          <w:iCs w:val="0"/>
          <w:noProof/>
        </w:rPr>
        <w:t>5.2</w:t>
      </w:r>
      <w:r w:rsidR="00324B0D">
        <w:rPr>
          <w:i w:val="0"/>
          <w:iCs w:val="0"/>
        </w:rPr>
        <w:fldChar w:fldCharType="end"/>
      </w:r>
      <w:r w:rsidR="00324B0D">
        <w:rPr>
          <w:i w:val="0"/>
          <w:iCs w:val="0"/>
        </w:rPr>
        <w:noBreakHyphen/>
      </w:r>
      <w:r w:rsidR="00324B0D">
        <w:rPr>
          <w:i w:val="0"/>
          <w:iCs w:val="0"/>
        </w:rPr>
        <w:fldChar w:fldCharType="begin"/>
      </w:r>
      <w:r w:rsidR="00324B0D">
        <w:rPr>
          <w:i w:val="0"/>
          <w:iCs w:val="0"/>
        </w:rPr>
        <w:instrText xml:space="preserve"> SEQ Figure \* ARABIC \s 2 </w:instrText>
      </w:r>
      <w:r w:rsidR="00324B0D">
        <w:rPr>
          <w:i w:val="0"/>
          <w:iCs w:val="0"/>
        </w:rPr>
        <w:fldChar w:fldCharType="separate"/>
      </w:r>
      <w:r w:rsidR="00324B0D">
        <w:rPr>
          <w:i w:val="0"/>
          <w:iCs w:val="0"/>
          <w:noProof/>
        </w:rPr>
        <w:t>1</w:t>
      </w:r>
      <w:r w:rsidR="00324B0D">
        <w:rPr>
          <w:i w:val="0"/>
          <w:iCs w:val="0"/>
        </w:rPr>
        <w:fldChar w:fldCharType="end"/>
      </w:r>
      <w:r w:rsidRPr="00003BB5">
        <w:rPr>
          <w:i w:val="0"/>
          <w:iCs w:val="0"/>
        </w:rPr>
        <w:t>: Finance options for real estate project development</w:t>
      </w:r>
      <w:bookmarkEnd w:id="1118"/>
      <w:r w:rsidRPr="00003BB5">
        <w:rPr>
          <w:i w:val="0"/>
          <w:iCs w:val="0"/>
        </w:rPr>
        <w:t xml:space="preserve"> </w:t>
      </w:r>
    </w:p>
    <w:p w14:paraId="14D16584" w14:textId="3B12F5B8" w:rsidR="00CD6352" w:rsidRPr="00EA7665" w:rsidRDefault="00CD6352" w:rsidP="00CD6352">
      <w:pPr>
        <w:spacing w:line="360" w:lineRule="auto"/>
        <w:rPr>
          <w:rFonts w:ascii="Arial" w:hAnsi="Arial" w:cs="Arial"/>
        </w:rPr>
      </w:pPr>
      <w:r w:rsidRPr="00EA7665">
        <w:rPr>
          <w:rFonts w:ascii="Arial" w:hAnsi="Arial" w:cs="Arial"/>
        </w:rPr>
        <w:t xml:space="preserve">Figure 5.1. is also used to depict the usage of the different finance options </w:t>
      </w:r>
      <w:r>
        <w:rPr>
          <w:rFonts w:ascii="Arial" w:hAnsi="Arial" w:cs="Arial"/>
        </w:rPr>
        <w:t>at</w:t>
      </w:r>
      <w:r w:rsidRPr="00EA7665">
        <w:rPr>
          <w:rFonts w:ascii="Arial" w:hAnsi="Arial" w:cs="Arial"/>
        </w:rPr>
        <w:t xml:space="preserve"> the aggregate level. The next segment also uses the percentage of finance </w:t>
      </w:r>
      <w:r w:rsidR="0011436B" w:rsidRPr="00EA7665">
        <w:rPr>
          <w:rFonts w:ascii="Arial" w:hAnsi="Arial" w:cs="Arial"/>
        </w:rPr>
        <w:t xml:space="preserve">options </w:t>
      </w:r>
      <w:r w:rsidR="005C24F2">
        <w:rPr>
          <w:rFonts w:ascii="Arial" w:hAnsi="Arial" w:cs="Arial"/>
        </w:rPr>
        <w:t>managers use in</w:t>
      </w:r>
      <w:r w:rsidRPr="00EA7665">
        <w:rPr>
          <w:rFonts w:ascii="Arial" w:hAnsi="Arial" w:cs="Arial"/>
        </w:rPr>
        <w:t xml:space="preserve"> different countries to depict the rankings at the disaggregate level.</w:t>
      </w:r>
    </w:p>
    <w:p w14:paraId="40302B15" w14:textId="77777777" w:rsidR="00CD6352" w:rsidRPr="00EA7665" w:rsidRDefault="00CD6352" w:rsidP="00CD6352">
      <w:pPr>
        <w:pStyle w:val="Heading3"/>
        <w:spacing w:after="240"/>
        <w:rPr>
          <w:sz w:val="22"/>
          <w:szCs w:val="22"/>
        </w:rPr>
      </w:pPr>
      <w:bookmarkStart w:id="1119" w:name="_Toc33468119"/>
      <w:bookmarkStart w:id="1120" w:name="_Toc78983842"/>
      <w:r w:rsidRPr="00EA7665">
        <w:rPr>
          <w:sz w:val="22"/>
          <w:szCs w:val="22"/>
        </w:rPr>
        <w:t>Questionnaire survey analysis and discussion at the disaggregate level.</w:t>
      </w:r>
      <w:bookmarkEnd w:id="1119"/>
      <w:bookmarkEnd w:id="1120"/>
      <w:r w:rsidRPr="00EA7665">
        <w:rPr>
          <w:sz w:val="22"/>
          <w:szCs w:val="22"/>
        </w:rPr>
        <w:t xml:space="preserve"> </w:t>
      </w:r>
    </w:p>
    <w:p w14:paraId="12F18BF7" w14:textId="61697746" w:rsidR="00CD6352" w:rsidRPr="00EA7665" w:rsidRDefault="00CD6352" w:rsidP="00CD6352">
      <w:pPr>
        <w:spacing w:line="360" w:lineRule="auto"/>
        <w:rPr>
          <w:rFonts w:ascii="Arial" w:hAnsi="Arial" w:cs="Arial"/>
        </w:rPr>
      </w:pPr>
      <w:r w:rsidRPr="00EA7665">
        <w:rPr>
          <w:rFonts w:ascii="Arial" w:hAnsi="Arial" w:cs="Arial"/>
        </w:rPr>
        <w:t xml:space="preserve">The </w:t>
      </w:r>
      <w:r w:rsidR="00471EA0">
        <w:rPr>
          <w:rFonts w:ascii="Arial" w:hAnsi="Arial" w:cs="Arial"/>
        </w:rPr>
        <w:t>questionnaire survey data</w:t>
      </w:r>
      <w:r w:rsidRPr="00EA7665">
        <w:rPr>
          <w:rFonts w:ascii="Arial" w:hAnsi="Arial" w:cs="Arial"/>
        </w:rPr>
        <w:t xml:space="preserve"> w</w:t>
      </w:r>
      <w:r w:rsidR="00B135AC">
        <w:rPr>
          <w:rFonts w:ascii="Arial" w:hAnsi="Arial" w:cs="Arial"/>
        </w:rPr>
        <w:t>ere</w:t>
      </w:r>
      <w:r w:rsidRPr="00EA7665">
        <w:rPr>
          <w:rFonts w:ascii="Arial" w:hAnsi="Arial" w:cs="Arial"/>
        </w:rPr>
        <w:t xml:space="preserve"> analysed to determine finance options </w:t>
      </w:r>
      <w:r w:rsidR="005C24F2">
        <w:rPr>
          <w:rFonts w:ascii="Arial" w:hAnsi="Arial" w:cs="Arial"/>
        </w:rPr>
        <w:t>managers use in</w:t>
      </w:r>
      <w:r w:rsidRPr="00EA7665">
        <w:rPr>
          <w:rFonts w:ascii="Arial" w:hAnsi="Arial" w:cs="Arial"/>
        </w:rPr>
        <w:t xml:space="preserve"> developed and emerging economies based on the individual countries</w:t>
      </w:r>
      <w:r>
        <w:rPr>
          <w:rFonts w:ascii="Arial" w:hAnsi="Arial" w:cs="Arial"/>
        </w:rPr>
        <w:t xml:space="preserve"> in this study</w:t>
      </w:r>
      <w:r w:rsidRPr="00EA7665">
        <w:rPr>
          <w:rFonts w:ascii="Arial" w:hAnsi="Arial" w:cs="Arial"/>
        </w:rPr>
        <w:t xml:space="preserve"> (see table 5.</w:t>
      </w:r>
      <w:r>
        <w:rPr>
          <w:rFonts w:ascii="Arial" w:hAnsi="Arial" w:cs="Arial"/>
        </w:rPr>
        <w:t>2</w:t>
      </w:r>
      <w:r w:rsidR="00471EA0">
        <w:rPr>
          <w:rFonts w:ascii="Arial" w:hAnsi="Arial" w:cs="Arial"/>
        </w:rPr>
        <w:t>.2</w:t>
      </w:r>
      <w:r w:rsidRPr="00EA7665">
        <w:rPr>
          <w:rFonts w:ascii="Arial" w:hAnsi="Arial" w:cs="Arial"/>
        </w:rPr>
        <w:t xml:space="preserve">).  </w:t>
      </w:r>
      <w:r w:rsidR="00B135AC">
        <w:rPr>
          <w:rFonts w:ascii="Arial" w:hAnsi="Arial" w:cs="Arial"/>
        </w:rPr>
        <w:t>The p</w:t>
      </w:r>
      <w:r w:rsidRPr="00EA7665">
        <w:rPr>
          <w:rFonts w:ascii="Arial" w:hAnsi="Arial" w:cs="Arial"/>
        </w:rPr>
        <w:t>ercentage frequency distribution is used in analysing the responses to display the data that specif</w:t>
      </w:r>
      <w:r w:rsidR="00817432">
        <w:rPr>
          <w:rFonts w:ascii="Arial" w:hAnsi="Arial" w:cs="Arial"/>
        </w:rPr>
        <w:t>y</w:t>
      </w:r>
      <w:r w:rsidRPr="00EA7665">
        <w:rPr>
          <w:rFonts w:ascii="Arial" w:hAnsi="Arial" w:cs="Arial"/>
        </w:rPr>
        <w:t xml:space="preserve"> observation for each finance optio</w:t>
      </w:r>
      <w:r>
        <w:rPr>
          <w:rFonts w:ascii="Arial" w:hAnsi="Arial" w:cs="Arial"/>
        </w:rPr>
        <w:t>n</w:t>
      </w:r>
      <w:r w:rsidRPr="00EA7665">
        <w:rPr>
          <w:rFonts w:ascii="Arial" w:hAnsi="Arial" w:cs="Arial"/>
        </w:rPr>
        <w:t xml:space="preserve"> </w:t>
      </w:r>
      <w:r w:rsidR="003C04E2" w:rsidRPr="00EA7665">
        <w:rPr>
          <w:rFonts w:ascii="Arial" w:hAnsi="Arial" w:cs="Arial"/>
        </w:rPr>
        <w:t>(Pallant</w:t>
      </w:r>
      <w:r w:rsidRPr="00EA7665">
        <w:rPr>
          <w:rFonts w:ascii="Arial" w:hAnsi="Arial" w:cs="Arial"/>
        </w:rPr>
        <w:t>, 2013).</w:t>
      </w:r>
    </w:p>
    <w:p w14:paraId="57895C82" w14:textId="5C5231F9" w:rsidR="00B135AC" w:rsidRPr="00003BB5" w:rsidRDefault="00B135AC" w:rsidP="00B135AC">
      <w:pPr>
        <w:pStyle w:val="Caption"/>
        <w:keepNext/>
        <w:rPr>
          <w:rFonts w:ascii="Arial" w:hAnsi="Arial" w:cs="Arial"/>
          <w:i w:val="0"/>
          <w:iCs w:val="0"/>
          <w:sz w:val="16"/>
          <w:szCs w:val="16"/>
        </w:rPr>
      </w:pPr>
      <w:bookmarkStart w:id="1121" w:name="_Toc78983968"/>
      <w:r>
        <w:lastRenderedPageBreak/>
        <w:t xml:space="preserve">Table </w:t>
      </w:r>
      <w:fldSimple w:instr=" STYLEREF 2 \s ">
        <w:r w:rsidR="008F25B1">
          <w:rPr>
            <w:noProof/>
          </w:rPr>
          <w:t>5.2</w:t>
        </w:r>
      </w:fldSimple>
      <w:r w:rsidR="008F25B1">
        <w:noBreakHyphen/>
      </w:r>
      <w:fldSimple w:instr=" SEQ Table \* ARABIC \s 2 ">
        <w:r w:rsidR="008F25B1">
          <w:rPr>
            <w:noProof/>
          </w:rPr>
          <w:t>2</w:t>
        </w:r>
      </w:fldSimple>
      <w:r>
        <w:t xml:space="preserve">: </w:t>
      </w:r>
      <w:r w:rsidRPr="00003BB5">
        <w:rPr>
          <w:rFonts w:ascii="Arial" w:hAnsi="Arial" w:cs="Arial"/>
          <w:i w:val="0"/>
          <w:iCs w:val="0"/>
          <w:sz w:val="16"/>
          <w:szCs w:val="16"/>
        </w:rPr>
        <w:t>Finance options used at the dis-aggregate level based on findings from the questionnaire survey.</w:t>
      </w:r>
      <w:bookmarkEnd w:id="1121"/>
    </w:p>
    <w:tbl>
      <w:tblPr>
        <w:tblStyle w:val="TableGrid"/>
        <w:tblpPr w:leftFromText="180" w:rightFromText="180" w:vertAnchor="page" w:horzAnchor="margin" w:tblpY="1962"/>
        <w:tblW w:w="0" w:type="auto"/>
        <w:tblLook w:val="04A0" w:firstRow="1" w:lastRow="0" w:firstColumn="1" w:lastColumn="0" w:noHBand="0" w:noVBand="1"/>
      </w:tblPr>
      <w:tblGrid>
        <w:gridCol w:w="3182"/>
        <w:gridCol w:w="1253"/>
        <w:gridCol w:w="701"/>
        <w:gridCol w:w="844"/>
        <w:gridCol w:w="787"/>
        <w:gridCol w:w="850"/>
        <w:gridCol w:w="1360"/>
      </w:tblGrid>
      <w:tr w:rsidR="00817432" w:rsidRPr="00B135AC" w14:paraId="71213AFB" w14:textId="77777777" w:rsidTr="00817432">
        <w:trPr>
          <w:trHeight w:val="240"/>
        </w:trPr>
        <w:tc>
          <w:tcPr>
            <w:tcW w:w="3182" w:type="dxa"/>
            <w:vMerge w:val="restart"/>
          </w:tcPr>
          <w:p w14:paraId="6327CCF0" w14:textId="77777777" w:rsidR="00817432" w:rsidRPr="00B135AC" w:rsidRDefault="00817432" w:rsidP="00817432">
            <w:pPr>
              <w:ind w:right="-400"/>
              <w:jc w:val="both"/>
              <w:rPr>
                <w:rFonts w:ascii="Arial" w:hAnsi="Arial" w:cs="Arial"/>
                <w:sz w:val="16"/>
                <w:szCs w:val="16"/>
              </w:rPr>
            </w:pPr>
          </w:p>
          <w:p w14:paraId="08EE103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Finance option</w:t>
            </w:r>
          </w:p>
        </w:tc>
        <w:tc>
          <w:tcPr>
            <w:tcW w:w="5795" w:type="dxa"/>
            <w:gridSpan w:val="6"/>
          </w:tcPr>
          <w:p w14:paraId="2FF1FA6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Finance options used &amp; highly used in developed &amp; emerging economies</w:t>
            </w:r>
          </w:p>
        </w:tc>
      </w:tr>
      <w:tr w:rsidR="00817432" w:rsidRPr="00B135AC" w14:paraId="09D0F0C7" w14:textId="77777777" w:rsidTr="00817432">
        <w:trPr>
          <w:trHeight w:val="240"/>
        </w:trPr>
        <w:tc>
          <w:tcPr>
            <w:tcW w:w="3182" w:type="dxa"/>
            <w:vMerge/>
          </w:tcPr>
          <w:p w14:paraId="22E0940A" w14:textId="77777777" w:rsidR="00817432" w:rsidRPr="00B135AC" w:rsidRDefault="00817432" w:rsidP="00817432">
            <w:pPr>
              <w:ind w:right="-400"/>
              <w:jc w:val="both"/>
              <w:rPr>
                <w:rFonts w:ascii="Arial" w:hAnsi="Arial" w:cs="Arial"/>
                <w:sz w:val="16"/>
                <w:szCs w:val="16"/>
              </w:rPr>
            </w:pPr>
          </w:p>
        </w:tc>
        <w:tc>
          <w:tcPr>
            <w:tcW w:w="1253" w:type="dxa"/>
          </w:tcPr>
          <w:p w14:paraId="1C9C09F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D1 = Germany</w:t>
            </w:r>
          </w:p>
        </w:tc>
        <w:tc>
          <w:tcPr>
            <w:tcW w:w="701" w:type="dxa"/>
          </w:tcPr>
          <w:p w14:paraId="29381E4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D2= UK</w:t>
            </w:r>
          </w:p>
        </w:tc>
        <w:tc>
          <w:tcPr>
            <w:tcW w:w="844" w:type="dxa"/>
          </w:tcPr>
          <w:p w14:paraId="68ED7A4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D3=US</w:t>
            </w:r>
          </w:p>
        </w:tc>
        <w:tc>
          <w:tcPr>
            <w:tcW w:w="787" w:type="dxa"/>
          </w:tcPr>
          <w:p w14:paraId="7979E23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E1= China</w:t>
            </w:r>
          </w:p>
        </w:tc>
        <w:tc>
          <w:tcPr>
            <w:tcW w:w="850" w:type="dxa"/>
          </w:tcPr>
          <w:p w14:paraId="53E9518B"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E2= Nigeria</w:t>
            </w:r>
          </w:p>
        </w:tc>
        <w:tc>
          <w:tcPr>
            <w:tcW w:w="1360" w:type="dxa"/>
          </w:tcPr>
          <w:p w14:paraId="38EA266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E3= South Africa</w:t>
            </w:r>
          </w:p>
        </w:tc>
      </w:tr>
      <w:tr w:rsidR="00817432" w:rsidRPr="00B135AC" w14:paraId="3FBD19C7" w14:textId="77777777" w:rsidTr="00817432">
        <w:trPr>
          <w:trHeight w:val="265"/>
        </w:trPr>
        <w:tc>
          <w:tcPr>
            <w:tcW w:w="3182" w:type="dxa"/>
            <w:vMerge/>
          </w:tcPr>
          <w:p w14:paraId="2FB1B937" w14:textId="77777777" w:rsidR="00817432" w:rsidRPr="00B135AC" w:rsidRDefault="00817432" w:rsidP="00817432">
            <w:pPr>
              <w:jc w:val="both"/>
              <w:rPr>
                <w:rFonts w:ascii="Arial" w:hAnsi="Arial" w:cs="Arial"/>
                <w:sz w:val="16"/>
                <w:szCs w:val="16"/>
              </w:rPr>
            </w:pPr>
          </w:p>
        </w:tc>
        <w:tc>
          <w:tcPr>
            <w:tcW w:w="4435" w:type="dxa"/>
            <w:gridSpan w:val="5"/>
          </w:tcPr>
          <w:p w14:paraId="501B524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Percentage (%)</w:t>
            </w:r>
          </w:p>
        </w:tc>
        <w:tc>
          <w:tcPr>
            <w:tcW w:w="1360" w:type="dxa"/>
          </w:tcPr>
          <w:p w14:paraId="4330BC85" w14:textId="77777777" w:rsidR="00817432" w:rsidRPr="00B135AC" w:rsidRDefault="00817432" w:rsidP="00817432">
            <w:pPr>
              <w:jc w:val="both"/>
              <w:rPr>
                <w:rFonts w:ascii="Arial" w:hAnsi="Arial" w:cs="Arial"/>
                <w:sz w:val="16"/>
                <w:szCs w:val="16"/>
              </w:rPr>
            </w:pPr>
          </w:p>
        </w:tc>
      </w:tr>
      <w:tr w:rsidR="00817432" w:rsidRPr="00B135AC" w14:paraId="0A15847F" w14:textId="77777777" w:rsidTr="00817432">
        <w:trPr>
          <w:trHeight w:val="240"/>
        </w:trPr>
        <w:tc>
          <w:tcPr>
            <w:tcW w:w="3182" w:type="dxa"/>
          </w:tcPr>
          <w:p w14:paraId="5492AA8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Bank loan</w:t>
            </w:r>
          </w:p>
        </w:tc>
        <w:tc>
          <w:tcPr>
            <w:tcW w:w="1253" w:type="dxa"/>
          </w:tcPr>
          <w:p w14:paraId="19A3EE1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75</w:t>
            </w:r>
          </w:p>
        </w:tc>
        <w:tc>
          <w:tcPr>
            <w:tcW w:w="701" w:type="dxa"/>
          </w:tcPr>
          <w:p w14:paraId="40F15F97"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66</w:t>
            </w:r>
          </w:p>
        </w:tc>
        <w:tc>
          <w:tcPr>
            <w:tcW w:w="844" w:type="dxa"/>
          </w:tcPr>
          <w:p w14:paraId="06ECF40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60</w:t>
            </w:r>
          </w:p>
        </w:tc>
        <w:tc>
          <w:tcPr>
            <w:tcW w:w="787" w:type="dxa"/>
          </w:tcPr>
          <w:p w14:paraId="4B5A980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80</w:t>
            </w:r>
          </w:p>
        </w:tc>
        <w:tc>
          <w:tcPr>
            <w:tcW w:w="850" w:type="dxa"/>
          </w:tcPr>
          <w:p w14:paraId="6D86CBBC"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46</w:t>
            </w:r>
          </w:p>
        </w:tc>
        <w:tc>
          <w:tcPr>
            <w:tcW w:w="1360" w:type="dxa"/>
          </w:tcPr>
          <w:p w14:paraId="6742D5EB"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66</w:t>
            </w:r>
          </w:p>
        </w:tc>
      </w:tr>
      <w:tr w:rsidR="00817432" w:rsidRPr="00B135AC" w14:paraId="243D4955" w14:textId="77777777" w:rsidTr="00817432">
        <w:trPr>
          <w:trHeight w:val="240"/>
        </w:trPr>
        <w:tc>
          <w:tcPr>
            <w:tcW w:w="3182" w:type="dxa"/>
          </w:tcPr>
          <w:p w14:paraId="7688B3BB"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 xml:space="preserve">Bonds </w:t>
            </w:r>
          </w:p>
        </w:tc>
        <w:tc>
          <w:tcPr>
            <w:tcW w:w="1253" w:type="dxa"/>
          </w:tcPr>
          <w:p w14:paraId="75640497"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1911183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844" w:type="dxa"/>
          </w:tcPr>
          <w:p w14:paraId="3FDA6CC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67</w:t>
            </w:r>
          </w:p>
        </w:tc>
        <w:tc>
          <w:tcPr>
            <w:tcW w:w="787" w:type="dxa"/>
          </w:tcPr>
          <w:p w14:paraId="398B67E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850" w:type="dxa"/>
          </w:tcPr>
          <w:p w14:paraId="341EEF4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9</w:t>
            </w:r>
          </w:p>
        </w:tc>
        <w:tc>
          <w:tcPr>
            <w:tcW w:w="1360" w:type="dxa"/>
          </w:tcPr>
          <w:p w14:paraId="21CF2EA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r>
      <w:tr w:rsidR="00817432" w:rsidRPr="00B135AC" w14:paraId="3B31886B" w14:textId="77777777" w:rsidTr="00817432">
        <w:trPr>
          <w:trHeight w:val="218"/>
        </w:trPr>
        <w:tc>
          <w:tcPr>
            <w:tcW w:w="3182" w:type="dxa"/>
          </w:tcPr>
          <w:p w14:paraId="5E33101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Cash flow from business operation / Retained earnings</w:t>
            </w:r>
          </w:p>
        </w:tc>
        <w:tc>
          <w:tcPr>
            <w:tcW w:w="1253" w:type="dxa"/>
          </w:tcPr>
          <w:p w14:paraId="67FDA78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09120B4B"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844" w:type="dxa"/>
          </w:tcPr>
          <w:p w14:paraId="1447F6C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787" w:type="dxa"/>
          </w:tcPr>
          <w:p w14:paraId="27D291B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60</w:t>
            </w:r>
          </w:p>
        </w:tc>
        <w:tc>
          <w:tcPr>
            <w:tcW w:w="850" w:type="dxa"/>
          </w:tcPr>
          <w:p w14:paraId="542D3BD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36</w:t>
            </w:r>
          </w:p>
        </w:tc>
        <w:tc>
          <w:tcPr>
            <w:tcW w:w="1360" w:type="dxa"/>
          </w:tcPr>
          <w:p w14:paraId="665DE54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67</w:t>
            </w:r>
          </w:p>
        </w:tc>
      </w:tr>
      <w:tr w:rsidR="00817432" w:rsidRPr="00B135AC" w14:paraId="2748BE66" w14:textId="77777777" w:rsidTr="00817432">
        <w:trPr>
          <w:trHeight w:val="240"/>
        </w:trPr>
        <w:tc>
          <w:tcPr>
            <w:tcW w:w="3182" w:type="dxa"/>
          </w:tcPr>
          <w:p w14:paraId="764B507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Debenture</w:t>
            </w:r>
          </w:p>
        </w:tc>
        <w:tc>
          <w:tcPr>
            <w:tcW w:w="1253" w:type="dxa"/>
          </w:tcPr>
          <w:p w14:paraId="425B4FD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01" w:type="dxa"/>
          </w:tcPr>
          <w:p w14:paraId="44126D6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44" w:type="dxa"/>
          </w:tcPr>
          <w:p w14:paraId="11FCE0A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87" w:type="dxa"/>
          </w:tcPr>
          <w:p w14:paraId="2D42B897"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50" w:type="dxa"/>
          </w:tcPr>
          <w:p w14:paraId="73B0377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1360" w:type="dxa"/>
          </w:tcPr>
          <w:p w14:paraId="4A4DD74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r w:rsidR="00817432" w:rsidRPr="00B135AC" w14:paraId="08B4BC4A" w14:textId="77777777" w:rsidTr="00817432">
        <w:trPr>
          <w:trHeight w:val="240"/>
        </w:trPr>
        <w:tc>
          <w:tcPr>
            <w:tcW w:w="3182" w:type="dxa"/>
          </w:tcPr>
          <w:p w14:paraId="2CBD0F5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Debt fund</w:t>
            </w:r>
          </w:p>
        </w:tc>
        <w:tc>
          <w:tcPr>
            <w:tcW w:w="1253" w:type="dxa"/>
          </w:tcPr>
          <w:p w14:paraId="6C0276F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359AACF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44" w:type="dxa"/>
          </w:tcPr>
          <w:p w14:paraId="09EA1AE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87" w:type="dxa"/>
          </w:tcPr>
          <w:p w14:paraId="7517F3D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50" w:type="dxa"/>
          </w:tcPr>
          <w:p w14:paraId="32F1DDE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8</w:t>
            </w:r>
          </w:p>
        </w:tc>
        <w:tc>
          <w:tcPr>
            <w:tcW w:w="1360" w:type="dxa"/>
          </w:tcPr>
          <w:p w14:paraId="03DB220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r>
      <w:tr w:rsidR="00817432" w:rsidRPr="00B135AC" w14:paraId="2E561A72" w14:textId="77777777" w:rsidTr="00817432">
        <w:trPr>
          <w:trHeight w:val="240"/>
        </w:trPr>
        <w:tc>
          <w:tcPr>
            <w:tcW w:w="3182" w:type="dxa"/>
          </w:tcPr>
          <w:p w14:paraId="18A80547"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Derivative</w:t>
            </w:r>
          </w:p>
        </w:tc>
        <w:tc>
          <w:tcPr>
            <w:tcW w:w="1253" w:type="dxa"/>
          </w:tcPr>
          <w:p w14:paraId="00DF369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01" w:type="dxa"/>
          </w:tcPr>
          <w:p w14:paraId="0E3DB80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44" w:type="dxa"/>
          </w:tcPr>
          <w:p w14:paraId="70CA1D2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787" w:type="dxa"/>
          </w:tcPr>
          <w:p w14:paraId="14CDCF2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50" w:type="dxa"/>
          </w:tcPr>
          <w:p w14:paraId="3691DDC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9</w:t>
            </w:r>
          </w:p>
        </w:tc>
        <w:tc>
          <w:tcPr>
            <w:tcW w:w="1360" w:type="dxa"/>
          </w:tcPr>
          <w:p w14:paraId="14F5A20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r w:rsidR="00817432" w:rsidRPr="00B135AC" w14:paraId="12443743" w14:textId="77777777" w:rsidTr="00817432">
        <w:trPr>
          <w:trHeight w:val="240"/>
        </w:trPr>
        <w:tc>
          <w:tcPr>
            <w:tcW w:w="3182" w:type="dxa"/>
          </w:tcPr>
          <w:p w14:paraId="384165D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Equity crowdfunding</w:t>
            </w:r>
          </w:p>
        </w:tc>
        <w:tc>
          <w:tcPr>
            <w:tcW w:w="1253" w:type="dxa"/>
          </w:tcPr>
          <w:p w14:paraId="3FEC246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01" w:type="dxa"/>
          </w:tcPr>
          <w:p w14:paraId="613D213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44" w:type="dxa"/>
          </w:tcPr>
          <w:p w14:paraId="0131063E" w14:textId="77777777" w:rsidR="00817432" w:rsidRPr="00B135AC" w:rsidRDefault="00817432" w:rsidP="00817432">
            <w:pPr>
              <w:jc w:val="both"/>
              <w:rPr>
                <w:rFonts w:ascii="Arial" w:hAnsi="Arial" w:cs="Arial"/>
                <w:sz w:val="16"/>
                <w:szCs w:val="16"/>
              </w:rPr>
            </w:pPr>
          </w:p>
        </w:tc>
        <w:tc>
          <w:tcPr>
            <w:tcW w:w="787" w:type="dxa"/>
          </w:tcPr>
          <w:p w14:paraId="50C92D4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50" w:type="dxa"/>
          </w:tcPr>
          <w:p w14:paraId="50DAAB7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1360" w:type="dxa"/>
          </w:tcPr>
          <w:p w14:paraId="6FF12C7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r w:rsidR="00817432" w:rsidRPr="00B135AC" w14:paraId="4F456FCB" w14:textId="77777777" w:rsidTr="00817432">
        <w:trPr>
          <w:trHeight w:val="216"/>
        </w:trPr>
        <w:tc>
          <w:tcPr>
            <w:tcW w:w="3182" w:type="dxa"/>
          </w:tcPr>
          <w:p w14:paraId="5E08D16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Equity fund</w:t>
            </w:r>
          </w:p>
        </w:tc>
        <w:tc>
          <w:tcPr>
            <w:tcW w:w="1253" w:type="dxa"/>
          </w:tcPr>
          <w:p w14:paraId="1355D12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5E46A21C"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844" w:type="dxa"/>
          </w:tcPr>
          <w:p w14:paraId="56C5E230"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87" w:type="dxa"/>
          </w:tcPr>
          <w:p w14:paraId="0083395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20</w:t>
            </w:r>
          </w:p>
        </w:tc>
        <w:tc>
          <w:tcPr>
            <w:tcW w:w="850" w:type="dxa"/>
          </w:tcPr>
          <w:p w14:paraId="453C43C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1360" w:type="dxa"/>
          </w:tcPr>
          <w:p w14:paraId="34021752"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r>
      <w:tr w:rsidR="00817432" w:rsidRPr="00B135AC" w14:paraId="18B683B6" w14:textId="77777777" w:rsidTr="00817432">
        <w:trPr>
          <w:trHeight w:val="240"/>
        </w:trPr>
        <w:tc>
          <w:tcPr>
            <w:tcW w:w="3182" w:type="dxa"/>
          </w:tcPr>
          <w:p w14:paraId="35DE91C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Government grants and subsidies</w:t>
            </w:r>
          </w:p>
        </w:tc>
        <w:tc>
          <w:tcPr>
            <w:tcW w:w="1253" w:type="dxa"/>
          </w:tcPr>
          <w:p w14:paraId="368AEFE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0B23749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67</w:t>
            </w:r>
          </w:p>
        </w:tc>
        <w:tc>
          <w:tcPr>
            <w:tcW w:w="844" w:type="dxa"/>
          </w:tcPr>
          <w:p w14:paraId="6A3CE41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67</w:t>
            </w:r>
          </w:p>
        </w:tc>
        <w:tc>
          <w:tcPr>
            <w:tcW w:w="787" w:type="dxa"/>
          </w:tcPr>
          <w:p w14:paraId="3D06AC9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20</w:t>
            </w:r>
          </w:p>
        </w:tc>
        <w:tc>
          <w:tcPr>
            <w:tcW w:w="850" w:type="dxa"/>
          </w:tcPr>
          <w:p w14:paraId="4417976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18</w:t>
            </w:r>
          </w:p>
        </w:tc>
        <w:tc>
          <w:tcPr>
            <w:tcW w:w="1360" w:type="dxa"/>
          </w:tcPr>
          <w:p w14:paraId="581780D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r>
      <w:tr w:rsidR="00817432" w:rsidRPr="00B135AC" w14:paraId="7A303007" w14:textId="77777777" w:rsidTr="00817432">
        <w:trPr>
          <w:trHeight w:val="240"/>
        </w:trPr>
        <w:tc>
          <w:tcPr>
            <w:tcW w:w="3182" w:type="dxa"/>
          </w:tcPr>
          <w:p w14:paraId="2CE79B2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High net worth individuals</w:t>
            </w:r>
          </w:p>
        </w:tc>
        <w:tc>
          <w:tcPr>
            <w:tcW w:w="1253" w:type="dxa"/>
          </w:tcPr>
          <w:p w14:paraId="4C3836A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01" w:type="dxa"/>
          </w:tcPr>
          <w:p w14:paraId="23959EC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844" w:type="dxa"/>
          </w:tcPr>
          <w:p w14:paraId="3DF9FB2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87" w:type="dxa"/>
          </w:tcPr>
          <w:p w14:paraId="3A2521D2"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850" w:type="dxa"/>
          </w:tcPr>
          <w:p w14:paraId="3D8F4B8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18</w:t>
            </w:r>
          </w:p>
        </w:tc>
        <w:tc>
          <w:tcPr>
            <w:tcW w:w="1360" w:type="dxa"/>
          </w:tcPr>
          <w:p w14:paraId="3D517CD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r>
      <w:tr w:rsidR="00817432" w:rsidRPr="00B135AC" w14:paraId="5D7E623A" w14:textId="77777777" w:rsidTr="00817432">
        <w:trPr>
          <w:trHeight w:val="240"/>
        </w:trPr>
        <w:tc>
          <w:tcPr>
            <w:tcW w:w="3182" w:type="dxa"/>
          </w:tcPr>
          <w:p w14:paraId="25AF858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Joint venture</w:t>
            </w:r>
          </w:p>
        </w:tc>
        <w:tc>
          <w:tcPr>
            <w:tcW w:w="1253" w:type="dxa"/>
          </w:tcPr>
          <w:p w14:paraId="59A1CDE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2F65E70C"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66</w:t>
            </w:r>
          </w:p>
        </w:tc>
        <w:tc>
          <w:tcPr>
            <w:tcW w:w="844" w:type="dxa"/>
          </w:tcPr>
          <w:p w14:paraId="735D8B0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787" w:type="dxa"/>
          </w:tcPr>
          <w:p w14:paraId="66AC6DC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850" w:type="dxa"/>
          </w:tcPr>
          <w:p w14:paraId="7FFD49E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1360" w:type="dxa"/>
          </w:tcPr>
          <w:p w14:paraId="330838F8" w14:textId="77777777" w:rsidR="00817432" w:rsidRPr="00B135AC" w:rsidRDefault="00817432" w:rsidP="00817432">
            <w:pPr>
              <w:rPr>
                <w:rFonts w:ascii="Arial" w:hAnsi="Arial" w:cs="Arial"/>
                <w:sz w:val="16"/>
                <w:szCs w:val="16"/>
              </w:rPr>
            </w:pPr>
            <w:r w:rsidRPr="00B135AC">
              <w:rPr>
                <w:rFonts w:ascii="Arial" w:hAnsi="Arial" w:cs="Arial"/>
                <w:sz w:val="16"/>
                <w:szCs w:val="16"/>
              </w:rPr>
              <w:t>67</w:t>
            </w:r>
          </w:p>
        </w:tc>
      </w:tr>
      <w:tr w:rsidR="00817432" w:rsidRPr="00B135AC" w14:paraId="40F2F4F4" w14:textId="77777777" w:rsidTr="00817432">
        <w:trPr>
          <w:trHeight w:val="240"/>
        </w:trPr>
        <w:tc>
          <w:tcPr>
            <w:tcW w:w="3182" w:type="dxa"/>
          </w:tcPr>
          <w:p w14:paraId="548B26A2"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Mezzanine capital</w:t>
            </w:r>
          </w:p>
        </w:tc>
        <w:tc>
          <w:tcPr>
            <w:tcW w:w="1253" w:type="dxa"/>
          </w:tcPr>
          <w:p w14:paraId="7955ED57"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701" w:type="dxa"/>
          </w:tcPr>
          <w:p w14:paraId="707F104C"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844" w:type="dxa"/>
          </w:tcPr>
          <w:p w14:paraId="55A130D0"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50</w:t>
            </w:r>
          </w:p>
        </w:tc>
        <w:tc>
          <w:tcPr>
            <w:tcW w:w="787" w:type="dxa"/>
          </w:tcPr>
          <w:p w14:paraId="23DA897C"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50" w:type="dxa"/>
          </w:tcPr>
          <w:p w14:paraId="11D91F6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1360" w:type="dxa"/>
          </w:tcPr>
          <w:p w14:paraId="5197A071" w14:textId="77777777" w:rsidR="00817432" w:rsidRPr="00B135AC" w:rsidRDefault="00817432" w:rsidP="00817432">
            <w:pPr>
              <w:rPr>
                <w:rFonts w:ascii="Arial" w:hAnsi="Arial" w:cs="Arial"/>
                <w:sz w:val="16"/>
                <w:szCs w:val="16"/>
              </w:rPr>
            </w:pPr>
            <w:r w:rsidRPr="00B135AC">
              <w:rPr>
                <w:rFonts w:ascii="Arial" w:hAnsi="Arial" w:cs="Arial"/>
                <w:sz w:val="16"/>
                <w:szCs w:val="16"/>
              </w:rPr>
              <w:t>33</w:t>
            </w:r>
          </w:p>
        </w:tc>
      </w:tr>
      <w:tr w:rsidR="00817432" w:rsidRPr="00B135AC" w14:paraId="0F468B4F" w14:textId="77777777" w:rsidTr="00817432">
        <w:trPr>
          <w:trHeight w:val="421"/>
        </w:trPr>
        <w:tc>
          <w:tcPr>
            <w:tcW w:w="3182" w:type="dxa"/>
          </w:tcPr>
          <w:p w14:paraId="43AC0FA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Private equity (private equity firms, pension funds and insurance companies)</w:t>
            </w:r>
          </w:p>
        </w:tc>
        <w:tc>
          <w:tcPr>
            <w:tcW w:w="1253" w:type="dxa"/>
          </w:tcPr>
          <w:p w14:paraId="3AE2544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17C858B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67</w:t>
            </w:r>
          </w:p>
        </w:tc>
        <w:tc>
          <w:tcPr>
            <w:tcW w:w="844" w:type="dxa"/>
          </w:tcPr>
          <w:p w14:paraId="7BFF9F3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787" w:type="dxa"/>
          </w:tcPr>
          <w:p w14:paraId="188D140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20</w:t>
            </w:r>
          </w:p>
        </w:tc>
        <w:tc>
          <w:tcPr>
            <w:tcW w:w="850" w:type="dxa"/>
          </w:tcPr>
          <w:p w14:paraId="7745DF7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18</w:t>
            </w:r>
          </w:p>
        </w:tc>
        <w:tc>
          <w:tcPr>
            <w:tcW w:w="1360" w:type="dxa"/>
          </w:tcPr>
          <w:p w14:paraId="4E9A449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r w:rsidR="00817432" w:rsidRPr="00B135AC" w14:paraId="2AFBD07D" w14:textId="77777777" w:rsidTr="00817432">
        <w:trPr>
          <w:trHeight w:val="360"/>
        </w:trPr>
        <w:tc>
          <w:tcPr>
            <w:tcW w:w="3182" w:type="dxa"/>
          </w:tcPr>
          <w:p w14:paraId="205B147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Public equity (Public listing &amp; IPO)</w:t>
            </w:r>
          </w:p>
        </w:tc>
        <w:tc>
          <w:tcPr>
            <w:tcW w:w="1253" w:type="dxa"/>
          </w:tcPr>
          <w:p w14:paraId="612DE17D"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38306FB2"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44" w:type="dxa"/>
          </w:tcPr>
          <w:p w14:paraId="3539E01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787" w:type="dxa"/>
          </w:tcPr>
          <w:p w14:paraId="0856F02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20</w:t>
            </w:r>
          </w:p>
        </w:tc>
        <w:tc>
          <w:tcPr>
            <w:tcW w:w="850" w:type="dxa"/>
          </w:tcPr>
          <w:p w14:paraId="0A47F68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1360" w:type="dxa"/>
          </w:tcPr>
          <w:p w14:paraId="05C9D4F8"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r>
      <w:tr w:rsidR="00817432" w:rsidRPr="00B135AC" w14:paraId="63CC2756" w14:textId="77777777" w:rsidTr="00817432">
        <w:trPr>
          <w:trHeight w:val="240"/>
        </w:trPr>
        <w:tc>
          <w:tcPr>
            <w:tcW w:w="3182" w:type="dxa"/>
          </w:tcPr>
          <w:p w14:paraId="197A0D3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Public private partnership (PPP)</w:t>
            </w:r>
          </w:p>
        </w:tc>
        <w:tc>
          <w:tcPr>
            <w:tcW w:w="1253" w:type="dxa"/>
          </w:tcPr>
          <w:p w14:paraId="7A59236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48B1453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100</w:t>
            </w:r>
          </w:p>
        </w:tc>
        <w:tc>
          <w:tcPr>
            <w:tcW w:w="844" w:type="dxa"/>
          </w:tcPr>
          <w:p w14:paraId="53B964C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67</w:t>
            </w:r>
          </w:p>
        </w:tc>
        <w:tc>
          <w:tcPr>
            <w:tcW w:w="787" w:type="dxa"/>
          </w:tcPr>
          <w:p w14:paraId="0A5B6A8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20</w:t>
            </w:r>
          </w:p>
        </w:tc>
        <w:tc>
          <w:tcPr>
            <w:tcW w:w="850" w:type="dxa"/>
          </w:tcPr>
          <w:p w14:paraId="70118C4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1360" w:type="dxa"/>
          </w:tcPr>
          <w:p w14:paraId="6C3FB9E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r w:rsidR="00817432" w:rsidRPr="00B135AC" w14:paraId="1BB52BF9" w14:textId="77777777" w:rsidTr="00817432">
        <w:trPr>
          <w:trHeight w:val="220"/>
        </w:trPr>
        <w:tc>
          <w:tcPr>
            <w:tcW w:w="3182" w:type="dxa"/>
          </w:tcPr>
          <w:p w14:paraId="2A0E0CA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Real estate investment trust (REITS)</w:t>
            </w:r>
          </w:p>
        </w:tc>
        <w:tc>
          <w:tcPr>
            <w:tcW w:w="1253" w:type="dxa"/>
          </w:tcPr>
          <w:p w14:paraId="78080030"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65FC210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100</w:t>
            </w:r>
          </w:p>
        </w:tc>
        <w:tc>
          <w:tcPr>
            <w:tcW w:w="844" w:type="dxa"/>
          </w:tcPr>
          <w:p w14:paraId="148B0F0A"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787" w:type="dxa"/>
          </w:tcPr>
          <w:p w14:paraId="35CCA6C9"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20</w:t>
            </w:r>
          </w:p>
        </w:tc>
        <w:tc>
          <w:tcPr>
            <w:tcW w:w="850" w:type="dxa"/>
          </w:tcPr>
          <w:p w14:paraId="072730A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1360" w:type="dxa"/>
          </w:tcPr>
          <w:p w14:paraId="05835DE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r>
      <w:tr w:rsidR="00817432" w:rsidRPr="00B135AC" w14:paraId="17462520" w14:textId="77777777" w:rsidTr="00817432">
        <w:trPr>
          <w:trHeight w:val="240"/>
        </w:trPr>
        <w:tc>
          <w:tcPr>
            <w:tcW w:w="3182" w:type="dxa"/>
          </w:tcPr>
          <w:p w14:paraId="1064C1E2"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 xml:space="preserve">Sovereign wealth fund </w:t>
            </w:r>
          </w:p>
        </w:tc>
        <w:tc>
          <w:tcPr>
            <w:tcW w:w="1253" w:type="dxa"/>
          </w:tcPr>
          <w:p w14:paraId="046EA717"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240CC25F"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100</w:t>
            </w:r>
          </w:p>
        </w:tc>
        <w:tc>
          <w:tcPr>
            <w:tcW w:w="844" w:type="dxa"/>
          </w:tcPr>
          <w:p w14:paraId="18898603"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87" w:type="dxa"/>
          </w:tcPr>
          <w:p w14:paraId="6EE6F036"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40</w:t>
            </w:r>
          </w:p>
        </w:tc>
        <w:tc>
          <w:tcPr>
            <w:tcW w:w="850" w:type="dxa"/>
          </w:tcPr>
          <w:p w14:paraId="2C9A40A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1360" w:type="dxa"/>
          </w:tcPr>
          <w:p w14:paraId="34AE217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r w:rsidR="00817432" w:rsidRPr="00B135AC" w14:paraId="53FFE200" w14:textId="77777777" w:rsidTr="00817432">
        <w:trPr>
          <w:trHeight w:val="240"/>
        </w:trPr>
        <w:tc>
          <w:tcPr>
            <w:tcW w:w="3182" w:type="dxa"/>
          </w:tcPr>
          <w:p w14:paraId="790B0920"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 xml:space="preserve">Venture capital </w:t>
            </w:r>
          </w:p>
        </w:tc>
        <w:tc>
          <w:tcPr>
            <w:tcW w:w="1253" w:type="dxa"/>
          </w:tcPr>
          <w:p w14:paraId="3769FBEC"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25</w:t>
            </w:r>
          </w:p>
        </w:tc>
        <w:tc>
          <w:tcPr>
            <w:tcW w:w="701" w:type="dxa"/>
          </w:tcPr>
          <w:p w14:paraId="77F26AC4"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33</w:t>
            </w:r>
          </w:p>
        </w:tc>
        <w:tc>
          <w:tcPr>
            <w:tcW w:w="844" w:type="dxa"/>
          </w:tcPr>
          <w:p w14:paraId="29F6DFD5"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787" w:type="dxa"/>
          </w:tcPr>
          <w:p w14:paraId="7EF5C751"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c>
          <w:tcPr>
            <w:tcW w:w="850" w:type="dxa"/>
          </w:tcPr>
          <w:p w14:paraId="35EC5F92"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27</w:t>
            </w:r>
          </w:p>
        </w:tc>
        <w:tc>
          <w:tcPr>
            <w:tcW w:w="1360" w:type="dxa"/>
          </w:tcPr>
          <w:p w14:paraId="481B224E" w14:textId="77777777" w:rsidR="00817432" w:rsidRPr="00B135AC" w:rsidRDefault="00817432" w:rsidP="00817432">
            <w:pPr>
              <w:jc w:val="both"/>
              <w:rPr>
                <w:rFonts w:ascii="Arial" w:hAnsi="Arial" w:cs="Arial"/>
                <w:sz w:val="16"/>
                <w:szCs w:val="16"/>
              </w:rPr>
            </w:pPr>
            <w:r w:rsidRPr="00B135AC">
              <w:rPr>
                <w:rFonts w:ascii="Arial" w:hAnsi="Arial" w:cs="Arial"/>
                <w:sz w:val="16"/>
                <w:szCs w:val="16"/>
              </w:rPr>
              <w:t>×</w:t>
            </w:r>
          </w:p>
        </w:tc>
      </w:tr>
    </w:tbl>
    <w:p w14:paraId="3C05CFE5" w14:textId="4BAECBBE" w:rsidR="00B135AC" w:rsidRDefault="00B135AC" w:rsidP="00B135AC">
      <w:pPr>
        <w:pStyle w:val="Caption"/>
        <w:keepNext/>
      </w:pPr>
    </w:p>
    <w:p w14:paraId="3088FFC9" w14:textId="5E0B9D09" w:rsidR="00CD6352" w:rsidRDefault="00CD6352" w:rsidP="00CD6352">
      <w:pPr>
        <w:rPr>
          <w:rFonts w:ascii="Arial" w:hAnsi="Arial" w:cs="Arial"/>
        </w:rPr>
      </w:pPr>
    </w:p>
    <w:p w14:paraId="7E943C41" w14:textId="52E0A7E7" w:rsidR="00CA5749" w:rsidRPr="00EA7665" w:rsidRDefault="00CA5749" w:rsidP="00CD6352">
      <w:pPr>
        <w:rPr>
          <w:rFonts w:ascii="Arial" w:hAnsi="Arial" w:cs="Arial"/>
        </w:rPr>
      </w:pPr>
      <w:r w:rsidRPr="00CA5749">
        <w:rPr>
          <w:rFonts w:ascii="Arial" w:hAnsi="Arial" w:cs="Arial"/>
        </w:rPr>
        <w:t>The ranking of the top five finance options “highly used” based on the percentage usage by managers in the individual developed and emerging economies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D6352" w:rsidRPr="00EA7665" w14:paraId="1DC97BC8" w14:textId="77777777" w:rsidTr="00CD6352">
        <w:trPr>
          <w:trHeight w:val="1419"/>
        </w:trPr>
        <w:tc>
          <w:tcPr>
            <w:tcW w:w="3005" w:type="dxa"/>
          </w:tcPr>
          <w:p w14:paraId="12C9984D" w14:textId="77777777" w:rsidR="00CD6352" w:rsidRPr="00EA7665" w:rsidRDefault="00CD6352" w:rsidP="00CD6352">
            <w:pPr>
              <w:rPr>
                <w:rFonts w:ascii="Arial" w:hAnsi="Arial" w:cs="Arial"/>
                <w:sz w:val="16"/>
                <w:szCs w:val="16"/>
              </w:rPr>
            </w:pPr>
            <w:r w:rsidRPr="00EA7665">
              <w:rPr>
                <w:rFonts w:ascii="Arial" w:hAnsi="Arial" w:cs="Arial"/>
                <w:sz w:val="16"/>
                <w:szCs w:val="16"/>
              </w:rPr>
              <w:t>Germany:</w:t>
            </w:r>
          </w:p>
          <w:p w14:paraId="5AE48EBC" w14:textId="77777777" w:rsidR="00CD6352" w:rsidRPr="00EA7665" w:rsidRDefault="00CD6352" w:rsidP="00C74AEC">
            <w:pPr>
              <w:pStyle w:val="ListParagraph"/>
              <w:numPr>
                <w:ilvl w:val="0"/>
                <w:numId w:val="107"/>
              </w:numPr>
              <w:spacing w:after="0" w:line="240" w:lineRule="auto"/>
              <w:rPr>
                <w:rFonts w:ascii="Arial" w:hAnsi="Arial" w:cs="Arial"/>
                <w:sz w:val="16"/>
                <w:szCs w:val="16"/>
              </w:rPr>
            </w:pPr>
            <w:r w:rsidRPr="00EA7665">
              <w:rPr>
                <w:rFonts w:ascii="Arial" w:hAnsi="Arial" w:cs="Arial"/>
                <w:sz w:val="16"/>
                <w:szCs w:val="16"/>
              </w:rPr>
              <w:t>Bank loan</w:t>
            </w:r>
          </w:p>
          <w:p w14:paraId="0D44B2CE" w14:textId="77777777" w:rsidR="00CD6352" w:rsidRPr="00EA7665" w:rsidRDefault="00CD6352" w:rsidP="00C74AEC">
            <w:pPr>
              <w:pStyle w:val="ListParagraph"/>
              <w:numPr>
                <w:ilvl w:val="0"/>
                <w:numId w:val="107"/>
              </w:numPr>
              <w:spacing w:after="0" w:line="240" w:lineRule="auto"/>
              <w:rPr>
                <w:rFonts w:ascii="Arial" w:hAnsi="Arial" w:cs="Arial"/>
                <w:sz w:val="16"/>
                <w:szCs w:val="16"/>
              </w:rPr>
            </w:pPr>
            <w:r w:rsidRPr="00EA7665">
              <w:rPr>
                <w:rFonts w:ascii="Arial" w:hAnsi="Arial" w:cs="Arial"/>
                <w:sz w:val="16"/>
                <w:szCs w:val="16"/>
              </w:rPr>
              <w:t>Mezzanine capital</w:t>
            </w:r>
          </w:p>
          <w:p w14:paraId="1F8C453B" w14:textId="77777777" w:rsidR="00CD6352" w:rsidRPr="00EA7665" w:rsidRDefault="00CD6352" w:rsidP="00C74AEC">
            <w:pPr>
              <w:pStyle w:val="ListParagraph"/>
              <w:numPr>
                <w:ilvl w:val="0"/>
                <w:numId w:val="107"/>
              </w:numPr>
              <w:spacing w:after="0" w:line="240" w:lineRule="auto"/>
              <w:rPr>
                <w:rFonts w:ascii="Arial" w:hAnsi="Arial" w:cs="Arial"/>
                <w:sz w:val="16"/>
                <w:szCs w:val="16"/>
              </w:rPr>
            </w:pPr>
            <w:r w:rsidRPr="00EA7665">
              <w:rPr>
                <w:rFonts w:ascii="Arial" w:hAnsi="Arial" w:cs="Arial"/>
                <w:sz w:val="16"/>
                <w:szCs w:val="16"/>
              </w:rPr>
              <w:t>Bonds</w:t>
            </w:r>
          </w:p>
          <w:p w14:paraId="6348AB58" w14:textId="77777777" w:rsidR="00CD6352" w:rsidRPr="00EA7665" w:rsidRDefault="00CD6352" w:rsidP="00C74AEC">
            <w:pPr>
              <w:pStyle w:val="ListParagraph"/>
              <w:numPr>
                <w:ilvl w:val="0"/>
                <w:numId w:val="107"/>
              </w:numPr>
              <w:spacing w:after="0" w:line="240" w:lineRule="auto"/>
              <w:rPr>
                <w:rFonts w:ascii="Arial" w:hAnsi="Arial" w:cs="Arial"/>
                <w:sz w:val="16"/>
                <w:szCs w:val="16"/>
              </w:rPr>
            </w:pPr>
            <w:r w:rsidRPr="00EA7665">
              <w:rPr>
                <w:rFonts w:ascii="Arial" w:hAnsi="Arial" w:cs="Arial"/>
                <w:sz w:val="16"/>
                <w:szCs w:val="16"/>
              </w:rPr>
              <w:t>Cash flow</w:t>
            </w:r>
          </w:p>
          <w:p w14:paraId="75E230AC" w14:textId="77777777" w:rsidR="00CD6352" w:rsidRPr="00EA7665" w:rsidRDefault="00CD6352" w:rsidP="00C74AEC">
            <w:pPr>
              <w:pStyle w:val="ListParagraph"/>
              <w:numPr>
                <w:ilvl w:val="0"/>
                <w:numId w:val="107"/>
              </w:numPr>
              <w:spacing w:after="0" w:line="240" w:lineRule="auto"/>
              <w:rPr>
                <w:rFonts w:ascii="Arial" w:hAnsi="Arial" w:cs="Arial"/>
                <w:sz w:val="16"/>
                <w:szCs w:val="16"/>
              </w:rPr>
            </w:pPr>
            <w:r w:rsidRPr="00EA7665">
              <w:rPr>
                <w:rFonts w:ascii="Arial" w:hAnsi="Arial" w:cs="Arial"/>
                <w:sz w:val="16"/>
                <w:szCs w:val="16"/>
              </w:rPr>
              <w:t>Equity fund</w:t>
            </w:r>
          </w:p>
          <w:p w14:paraId="0172314C" w14:textId="77777777" w:rsidR="00CD6352" w:rsidRPr="00EA7665" w:rsidRDefault="00CD6352" w:rsidP="00CD6352">
            <w:pPr>
              <w:rPr>
                <w:rFonts w:ascii="Arial" w:hAnsi="Arial" w:cs="Arial"/>
                <w:sz w:val="16"/>
                <w:szCs w:val="16"/>
              </w:rPr>
            </w:pPr>
          </w:p>
        </w:tc>
        <w:tc>
          <w:tcPr>
            <w:tcW w:w="3005" w:type="dxa"/>
          </w:tcPr>
          <w:p w14:paraId="14D9D900" w14:textId="77777777" w:rsidR="00CD6352" w:rsidRPr="00EA7665" w:rsidRDefault="00CD6352" w:rsidP="00CD6352">
            <w:pPr>
              <w:rPr>
                <w:rFonts w:ascii="Arial" w:hAnsi="Arial" w:cs="Arial"/>
                <w:sz w:val="16"/>
                <w:szCs w:val="16"/>
              </w:rPr>
            </w:pPr>
            <w:r w:rsidRPr="00EA7665">
              <w:rPr>
                <w:rFonts w:ascii="Arial" w:hAnsi="Arial" w:cs="Arial"/>
                <w:sz w:val="16"/>
                <w:szCs w:val="16"/>
              </w:rPr>
              <w:t>UK:</w:t>
            </w:r>
          </w:p>
          <w:p w14:paraId="046684CF" w14:textId="77777777" w:rsidR="00CD6352" w:rsidRPr="00EA7665" w:rsidRDefault="00CD6352" w:rsidP="00C74AEC">
            <w:pPr>
              <w:pStyle w:val="ListParagraph"/>
              <w:numPr>
                <w:ilvl w:val="0"/>
                <w:numId w:val="108"/>
              </w:numPr>
              <w:spacing w:after="0" w:line="240" w:lineRule="auto"/>
              <w:rPr>
                <w:rFonts w:ascii="Arial" w:hAnsi="Arial" w:cs="Arial"/>
                <w:sz w:val="16"/>
                <w:szCs w:val="16"/>
              </w:rPr>
            </w:pPr>
            <w:r w:rsidRPr="00EA7665">
              <w:rPr>
                <w:rFonts w:ascii="Arial" w:hAnsi="Arial" w:cs="Arial"/>
                <w:sz w:val="16"/>
                <w:szCs w:val="16"/>
              </w:rPr>
              <w:t>Private equity</w:t>
            </w:r>
          </w:p>
          <w:p w14:paraId="6C01B3D4" w14:textId="77777777" w:rsidR="00CD6352" w:rsidRPr="00EA7665" w:rsidRDefault="00CD6352" w:rsidP="00C74AEC">
            <w:pPr>
              <w:pStyle w:val="ListParagraph"/>
              <w:numPr>
                <w:ilvl w:val="0"/>
                <w:numId w:val="108"/>
              </w:numPr>
              <w:spacing w:after="0" w:line="240" w:lineRule="auto"/>
              <w:rPr>
                <w:rFonts w:ascii="Arial" w:hAnsi="Arial" w:cs="Arial"/>
                <w:sz w:val="16"/>
                <w:szCs w:val="16"/>
              </w:rPr>
            </w:pPr>
            <w:r w:rsidRPr="00EA7665">
              <w:rPr>
                <w:rFonts w:ascii="Arial" w:hAnsi="Arial" w:cs="Arial"/>
                <w:sz w:val="16"/>
                <w:szCs w:val="16"/>
              </w:rPr>
              <w:t>REITs</w:t>
            </w:r>
          </w:p>
          <w:p w14:paraId="185CBE2C" w14:textId="77777777" w:rsidR="00CD6352" w:rsidRPr="00EA7665" w:rsidRDefault="00CD6352" w:rsidP="00C74AEC">
            <w:pPr>
              <w:pStyle w:val="ListParagraph"/>
              <w:numPr>
                <w:ilvl w:val="0"/>
                <w:numId w:val="108"/>
              </w:numPr>
              <w:spacing w:after="0" w:line="240" w:lineRule="auto"/>
              <w:rPr>
                <w:rFonts w:ascii="Arial" w:hAnsi="Arial" w:cs="Arial"/>
                <w:sz w:val="16"/>
                <w:szCs w:val="16"/>
              </w:rPr>
            </w:pPr>
            <w:r w:rsidRPr="00EA7665">
              <w:rPr>
                <w:rFonts w:ascii="Arial" w:hAnsi="Arial" w:cs="Arial"/>
                <w:sz w:val="16"/>
                <w:szCs w:val="16"/>
              </w:rPr>
              <w:t>Sovereign wealth funds</w:t>
            </w:r>
          </w:p>
          <w:p w14:paraId="38F85A4D" w14:textId="77777777" w:rsidR="00CD6352" w:rsidRPr="00EA7665" w:rsidRDefault="00CD6352" w:rsidP="00C74AEC">
            <w:pPr>
              <w:pStyle w:val="ListParagraph"/>
              <w:numPr>
                <w:ilvl w:val="0"/>
                <w:numId w:val="108"/>
              </w:numPr>
              <w:spacing w:after="0" w:line="240" w:lineRule="auto"/>
              <w:rPr>
                <w:rFonts w:ascii="Arial" w:hAnsi="Arial" w:cs="Arial"/>
                <w:sz w:val="16"/>
                <w:szCs w:val="16"/>
              </w:rPr>
            </w:pPr>
            <w:r w:rsidRPr="00EA7665">
              <w:rPr>
                <w:rFonts w:ascii="Arial" w:hAnsi="Arial" w:cs="Arial"/>
                <w:sz w:val="16"/>
                <w:szCs w:val="16"/>
              </w:rPr>
              <w:t>Government grants and subsidies</w:t>
            </w:r>
          </w:p>
          <w:p w14:paraId="2AAD1E48" w14:textId="77777777" w:rsidR="00CD6352" w:rsidRPr="00EA7665" w:rsidRDefault="00CD6352" w:rsidP="00C74AEC">
            <w:pPr>
              <w:pStyle w:val="ListParagraph"/>
              <w:numPr>
                <w:ilvl w:val="0"/>
                <w:numId w:val="108"/>
              </w:numPr>
              <w:spacing w:after="0" w:line="240" w:lineRule="auto"/>
              <w:rPr>
                <w:rFonts w:ascii="Arial" w:hAnsi="Arial" w:cs="Arial"/>
                <w:sz w:val="16"/>
                <w:szCs w:val="16"/>
              </w:rPr>
            </w:pPr>
            <w:r w:rsidRPr="00EA7665">
              <w:rPr>
                <w:rFonts w:ascii="Arial" w:hAnsi="Arial" w:cs="Arial"/>
                <w:sz w:val="16"/>
                <w:szCs w:val="16"/>
              </w:rPr>
              <w:t>PPP</w:t>
            </w:r>
          </w:p>
        </w:tc>
        <w:tc>
          <w:tcPr>
            <w:tcW w:w="3006" w:type="dxa"/>
          </w:tcPr>
          <w:p w14:paraId="4E6F6F9F" w14:textId="77777777" w:rsidR="00CD6352" w:rsidRPr="00EA7665" w:rsidRDefault="00CD6352" w:rsidP="00CD6352">
            <w:pPr>
              <w:rPr>
                <w:rFonts w:ascii="Arial" w:hAnsi="Arial" w:cs="Arial"/>
                <w:sz w:val="16"/>
                <w:szCs w:val="16"/>
              </w:rPr>
            </w:pPr>
            <w:r w:rsidRPr="00EA7665">
              <w:rPr>
                <w:rFonts w:ascii="Arial" w:hAnsi="Arial" w:cs="Arial"/>
                <w:sz w:val="16"/>
                <w:szCs w:val="16"/>
              </w:rPr>
              <w:t>US</w:t>
            </w:r>
          </w:p>
          <w:p w14:paraId="2419FAD5" w14:textId="77777777" w:rsidR="00CD6352" w:rsidRPr="00EA7665" w:rsidRDefault="00CD6352" w:rsidP="00C74AEC">
            <w:pPr>
              <w:pStyle w:val="ListParagraph"/>
              <w:numPr>
                <w:ilvl w:val="0"/>
                <w:numId w:val="109"/>
              </w:numPr>
              <w:spacing w:after="0" w:line="240" w:lineRule="auto"/>
              <w:rPr>
                <w:rFonts w:ascii="Arial" w:hAnsi="Arial" w:cs="Arial"/>
                <w:sz w:val="16"/>
                <w:szCs w:val="16"/>
              </w:rPr>
            </w:pPr>
            <w:r w:rsidRPr="00EA7665">
              <w:rPr>
                <w:rFonts w:ascii="Arial" w:hAnsi="Arial" w:cs="Arial"/>
                <w:sz w:val="16"/>
                <w:szCs w:val="16"/>
              </w:rPr>
              <w:t>Bonds</w:t>
            </w:r>
          </w:p>
          <w:p w14:paraId="13B88F94" w14:textId="77777777" w:rsidR="00CD6352" w:rsidRPr="00EA7665" w:rsidRDefault="00CD6352" w:rsidP="00C74AEC">
            <w:pPr>
              <w:pStyle w:val="ListParagraph"/>
              <w:numPr>
                <w:ilvl w:val="0"/>
                <w:numId w:val="109"/>
              </w:numPr>
              <w:spacing w:after="0" w:line="240" w:lineRule="auto"/>
              <w:rPr>
                <w:rFonts w:ascii="Arial" w:hAnsi="Arial" w:cs="Arial"/>
                <w:sz w:val="16"/>
                <w:szCs w:val="16"/>
              </w:rPr>
            </w:pPr>
            <w:r w:rsidRPr="00EA7665">
              <w:rPr>
                <w:rFonts w:ascii="Arial" w:hAnsi="Arial" w:cs="Arial"/>
                <w:sz w:val="16"/>
                <w:szCs w:val="16"/>
              </w:rPr>
              <w:t>Government subsidies &amp; grants</w:t>
            </w:r>
          </w:p>
          <w:p w14:paraId="2A68DE35" w14:textId="77777777" w:rsidR="00CD6352" w:rsidRPr="00EA7665" w:rsidRDefault="00CD6352" w:rsidP="00C74AEC">
            <w:pPr>
              <w:pStyle w:val="ListParagraph"/>
              <w:numPr>
                <w:ilvl w:val="0"/>
                <w:numId w:val="109"/>
              </w:numPr>
              <w:spacing w:after="0" w:line="240" w:lineRule="auto"/>
              <w:rPr>
                <w:rFonts w:ascii="Arial" w:hAnsi="Arial" w:cs="Arial"/>
                <w:sz w:val="16"/>
                <w:szCs w:val="16"/>
              </w:rPr>
            </w:pPr>
            <w:r w:rsidRPr="00EA7665">
              <w:rPr>
                <w:rFonts w:ascii="Arial" w:hAnsi="Arial" w:cs="Arial"/>
                <w:sz w:val="16"/>
                <w:szCs w:val="16"/>
              </w:rPr>
              <w:t>PPP</w:t>
            </w:r>
          </w:p>
          <w:p w14:paraId="14216EFF" w14:textId="77777777" w:rsidR="00CD6352" w:rsidRPr="00EA7665" w:rsidRDefault="00CD6352" w:rsidP="00C74AEC">
            <w:pPr>
              <w:pStyle w:val="ListParagraph"/>
              <w:numPr>
                <w:ilvl w:val="0"/>
                <w:numId w:val="109"/>
              </w:numPr>
              <w:spacing w:after="0" w:line="240" w:lineRule="auto"/>
              <w:rPr>
                <w:rFonts w:ascii="Arial" w:hAnsi="Arial" w:cs="Arial"/>
                <w:sz w:val="16"/>
                <w:szCs w:val="16"/>
              </w:rPr>
            </w:pPr>
            <w:r w:rsidRPr="00EA7665">
              <w:rPr>
                <w:rFonts w:ascii="Arial" w:hAnsi="Arial" w:cs="Arial"/>
                <w:sz w:val="16"/>
                <w:szCs w:val="16"/>
              </w:rPr>
              <w:t>Bank loan</w:t>
            </w:r>
          </w:p>
          <w:p w14:paraId="61ABFB03" w14:textId="77777777" w:rsidR="00CD6352" w:rsidRPr="00EA7665" w:rsidRDefault="00CD6352" w:rsidP="00C74AEC">
            <w:pPr>
              <w:pStyle w:val="ListParagraph"/>
              <w:numPr>
                <w:ilvl w:val="0"/>
                <w:numId w:val="109"/>
              </w:numPr>
              <w:spacing w:after="0" w:line="240" w:lineRule="auto"/>
              <w:rPr>
                <w:rFonts w:ascii="Arial" w:hAnsi="Arial" w:cs="Arial"/>
                <w:sz w:val="16"/>
                <w:szCs w:val="16"/>
              </w:rPr>
            </w:pPr>
            <w:r w:rsidRPr="00EA7665">
              <w:rPr>
                <w:rFonts w:ascii="Arial" w:hAnsi="Arial" w:cs="Arial"/>
                <w:sz w:val="16"/>
                <w:szCs w:val="16"/>
              </w:rPr>
              <w:t>Cash flow /retained earnings</w:t>
            </w:r>
          </w:p>
        </w:tc>
      </w:tr>
      <w:tr w:rsidR="00CD6352" w:rsidRPr="00EA7665" w14:paraId="518A757B" w14:textId="77777777" w:rsidTr="00CD6352">
        <w:tc>
          <w:tcPr>
            <w:tcW w:w="3005" w:type="dxa"/>
          </w:tcPr>
          <w:p w14:paraId="559E6B64" w14:textId="77777777" w:rsidR="00CD6352" w:rsidRPr="00EA7665" w:rsidRDefault="00CD6352" w:rsidP="00CD6352">
            <w:pPr>
              <w:rPr>
                <w:rFonts w:ascii="Arial" w:hAnsi="Arial" w:cs="Arial"/>
                <w:sz w:val="16"/>
                <w:szCs w:val="16"/>
              </w:rPr>
            </w:pPr>
            <w:r w:rsidRPr="00EA7665">
              <w:rPr>
                <w:rFonts w:ascii="Arial" w:hAnsi="Arial" w:cs="Arial"/>
                <w:sz w:val="16"/>
                <w:szCs w:val="16"/>
              </w:rPr>
              <w:t>China:</w:t>
            </w:r>
          </w:p>
          <w:p w14:paraId="398ABCF6" w14:textId="77777777" w:rsidR="00CD6352" w:rsidRPr="00EA7665" w:rsidRDefault="00CD6352" w:rsidP="00C74AEC">
            <w:pPr>
              <w:pStyle w:val="ListParagraph"/>
              <w:numPr>
                <w:ilvl w:val="0"/>
                <w:numId w:val="110"/>
              </w:numPr>
              <w:spacing w:after="0" w:line="240" w:lineRule="auto"/>
              <w:rPr>
                <w:rFonts w:ascii="Arial" w:hAnsi="Arial" w:cs="Arial"/>
                <w:sz w:val="16"/>
                <w:szCs w:val="16"/>
              </w:rPr>
            </w:pPr>
            <w:r w:rsidRPr="00EA7665">
              <w:rPr>
                <w:rFonts w:ascii="Arial" w:hAnsi="Arial" w:cs="Arial"/>
                <w:sz w:val="16"/>
                <w:szCs w:val="16"/>
              </w:rPr>
              <w:t>Bank loan</w:t>
            </w:r>
          </w:p>
          <w:p w14:paraId="1A7FF6D8" w14:textId="77777777" w:rsidR="00CD6352" w:rsidRPr="00EA7665" w:rsidRDefault="00CD6352" w:rsidP="00C74AEC">
            <w:pPr>
              <w:pStyle w:val="ListParagraph"/>
              <w:numPr>
                <w:ilvl w:val="0"/>
                <w:numId w:val="110"/>
              </w:numPr>
              <w:spacing w:after="0" w:line="240" w:lineRule="auto"/>
              <w:rPr>
                <w:rFonts w:ascii="Arial" w:hAnsi="Arial" w:cs="Arial"/>
                <w:sz w:val="16"/>
                <w:szCs w:val="16"/>
              </w:rPr>
            </w:pPr>
            <w:r w:rsidRPr="00EA7665">
              <w:rPr>
                <w:rFonts w:ascii="Arial" w:hAnsi="Arial" w:cs="Arial"/>
                <w:sz w:val="16"/>
                <w:szCs w:val="16"/>
              </w:rPr>
              <w:t>Cash flow/ retained earnings</w:t>
            </w:r>
          </w:p>
          <w:p w14:paraId="3A2D8F44" w14:textId="77777777" w:rsidR="00CD6352" w:rsidRPr="00EA7665" w:rsidRDefault="00CD6352" w:rsidP="00C74AEC">
            <w:pPr>
              <w:pStyle w:val="ListParagraph"/>
              <w:numPr>
                <w:ilvl w:val="0"/>
                <w:numId w:val="110"/>
              </w:numPr>
              <w:spacing w:after="0" w:line="240" w:lineRule="auto"/>
              <w:rPr>
                <w:rFonts w:ascii="Arial" w:hAnsi="Arial" w:cs="Arial"/>
                <w:sz w:val="16"/>
                <w:szCs w:val="16"/>
              </w:rPr>
            </w:pPr>
            <w:r w:rsidRPr="00EA7665">
              <w:rPr>
                <w:rFonts w:ascii="Arial" w:hAnsi="Arial" w:cs="Arial"/>
                <w:sz w:val="16"/>
                <w:szCs w:val="16"/>
              </w:rPr>
              <w:t>Bonds</w:t>
            </w:r>
          </w:p>
          <w:p w14:paraId="00DDF288" w14:textId="77777777" w:rsidR="00CD6352" w:rsidRPr="00EA7665" w:rsidRDefault="00CD6352" w:rsidP="00C74AEC">
            <w:pPr>
              <w:pStyle w:val="ListParagraph"/>
              <w:numPr>
                <w:ilvl w:val="0"/>
                <w:numId w:val="110"/>
              </w:numPr>
              <w:spacing w:after="0" w:line="240" w:lineRule="auto"/>
              <w:rPr>
                <w:rFonts w:ascii="Arial" w:hAnsi="Arial" w:cs="Arial"/>
                <w:sz w:val="16"/>
                <w:szCs w:val="16"/>
              </w:rPr>
            </w:pPr>
            <w:r w:rsidRPr="00EA7665">
              <w:rPr>
                <w:rFonts w:ascii="Arial" w:hAnsi="Arial" w:cs="Arial"/>
                <w:sz w:val="16"/>
                <w:szCs w:val="16"/>
              </w:rPr>
              <w:t>High net worth individuals/private equity</w:t>
            </w:r>
          </w:p>
          <w:p w14:paraId="5DAE022D" w14:textId="77777777" w:rsidR="00CD6352" w:rsidRPr="00EA7665" w:rsidRDefault="00CD6352" w:rsidP="00C74AEC">
            <w:pPr>
              <w:pStyle w:val="ListParagraph"/>
              <w:numPr>
                <w:ilvl w:val="0"/>
                <w:numId w:val="110"/>
              </w:numPr>
              <w:spacing w:after="0" w:line="240" w:lineRule="auto"/>
              <w:rPr>
                <w:rFonts w:ascii="Arial" w:hAnsi="Arial" w:cs="Arial"/>
                <w:sz w:val="16"/>
                <w:szCs w:val="16"/>
              </w:rPr>
            </w:pPr>
            <w:r w:rsidRPr="00EA7665">
              <w:rPr>
                <w:rFonts w:ascii="Arial" w:hAnsi="Arial" w:cs="Arial"/>
                <w:sz w:val="16"/>
                <w:szCs w:val="16"/>
              </w:rPr>
              <w:t>Joint ventures</w:t>
            </w:r>
          </w:p>
          <w:p w14:paraId="77967015" w14:textId="77777777" w:rsidR="00CD6352" w:rsidRPr="00EA7665" w:rsidRDefault="00CD6352" w:rsidP="00CD6352">
            <w:pPr>
              <w:rPr>
                <w:rFonts w:ascii="Arial" w:hAnsi="Arial" w:cs="Arial"/>
                <w:sz w:val="16"/>
                <w:szCs w:val="16"/>
              </w:rPr>
            </w:pPr>
          </w:p>
        </w:tc>
        <w:tc>
          <w:tcPr>
            <w:tcW w:w="3005" w:type="dxa"/>
          </w:tcPr>
          <w:p w14:paraId="6156C4F8" w14:textId="77777777" w:rsidR="00CD6352" w:rsidRPr="00EA7665" w:rsidRDefault="00CD6352" w:rsidP="00CD6352">
            <w:pPr>
              <w:rPr>
                <w:rFonts w:ascii="Arial" w:hAnsi="Arial" w:cs="Arial"/>
                <w:sz w:val="16"/>
                <w:szCs w:val="16"/>
              </w:rPr>
            </w:pPr>
            <w:r w:rsidRPr="00EA7665">
              <w:rPr>
                <w:rFonts w:ascii="Arial" w:hAnsi="Arial" w:cs="Arial"/>
                <w:sz w:val="16"/>
                <w:szCs w:val="16"/>
              </w:rPr>
              <w:t>Nigeria:</w:t>
            </w:r>
          </w:p>
          <w:p w14:paraId="58CF5B4C" w14:textId="77777777" w:rsidR="00CD6352" w:rsidRPr="00EA7665" w:rsidRDefault="00CD6352" w:rsidP="00C74AEC">
            <w:pPr>
              <w:pStyle w:val="ListParagraph"/>
              <w:numPr>
                <w:ilvl w:val="0"/>
                <w:numId w:val="111"/>
              </w:numPr>
              <w:spacing w:after="0" w:line="240" w:lineRule="auto"/>
              <w:rPr>
                <w:rFonts w:ascii="Arial" w:hAnsi="Arial" w:cs="Arial"/>
                <w:sz w:val="16"/>
                <w:szCs w:val="16"/>
              </w:rPr>
            </w:pPr>
            <w:r w:rsidRPr="00EA7665">
              <w:rPr>
                <w:rFonts w:ascii="Arial" w:hAnsi="Arial" w:cs="Arial"/>
                <w:sz w:val="16"/>
                <w:szCs w:val="16"/>
              </w:rPr>
              <w:t>Joint ventures</w:t>
            </w:r>
          </w:p>
          <w:p w14:paraId="25EE6075" w14:textId="77777777" w:rsidR="00CD6352" w:rsidRPr="00EA7665" w:rsidRDefault="00CD6352" w:rsidP="00C74AEC">
            <w:pPr>
              <w:pStyle w:val="ListParagraph"/>
              <w:numPr>
                <w:ilvl w:val="0"/>
                <w:numId w:val="111"/>
              </w:numPr>
              <w:spacing w:after="0" w:line="240" w:lineRule="auto"/>
              <w:rPr>
                <w:rFonts w:ascii="Arial" w:hAnsi="Arial" w:cs="Arial"/>
                <w:sz w:val="16"/>
                <w:szCs w:val="16"/>
              </w:rPr>
            </w:pPr>
            <w:r w:rsidRPr="00EA7665">
              <w:rPr>
                <w:rFonts w:ascii="Arial" w:hAnsi="Arial" w:cs="Arial"/>
                <w:sz w:val="16"/>
                <w:szCs w:val="16"/>
              </w:rPr>
              <w:t>Bank loan</w:t>
            </w:r>
          </w:p>
          <w:p w14:paraId="44F726EB" w14:textId="60B86014" w:rsidR="00CD6352" w:rsidRPr="00EA7665" w:rsidRDefault="00CD6352" w:rsidP="00C74AEC">
            <w:pPr>
              <w:pStyle w:val="ListParagraph"/>
              <w:numPr>
                <w:ilvl w:val="0"/>
                <w:numId w:val="111"/>
              </w:numPr>
              <w:spacing w:after="0" w:line="240" w:lineRule="auto"/>
              <w:rPr>
                <w:rFonts w:ascii="Arial" w:hAnsi="Arial" w:cs="Arial"/>
                <w:sz w:val="16"/>
                <w:szCs w:val="16"/>
              </w:rPr>
            </w:pPr>
            <w:r w:rsidRPr="00EA7665">
              <w:rPr>
                <w:rFonts w:ascii="Arial" w:hAnsi="Arial" w:cs="Arial"/>
                <w:sz w:val="16"/>
                <w:szCs w:val="16"/>
              </w:rPr>
              <w:t xml:space="preserve">Cash flow/retained </w:t>
            </w:r>
            <w:r w:rsidR="00003BB5" w:rsidRPr="00EA7665">
              <w:rPr>
                <w:rFonts w:ascii="Arial" w:hAnsi="Arial" w:cs="Arial"/>
                <w:sz w:val="16"/>
                <w:szCs w:val="16"/>
              </w:rPr>
              <w:t>earnings.</w:t>
            </w:r>
          </w:p>
          <w:p w14:paraId="589CEAF9" w14:textId="41417C31" w:rsidR="00CD6352" w:rsidRPr="00EA7665" w:rsidRDefault="00CD6352" w:rsidP="00C74AEC">
            <w:pPr>
              <w:pStyle w:val="ListParagraph"/>
              <w:numPr>
                <w:ilvl w:val="0"/>
                <w:numId w:val="111"/>
              </w:numPr>
              <w:spacing w:after="0" w:line="240" w:lineRule="auto"/>
              <w:rPr>
                <w:rFonts w:ascii="Arial" w:hAnsi="Arial" w:cs="Arial"/>
                <w:sz w:val="16"/>
                <w:szCs w:val="16"/>
              </w:rPr>
            </w:pPr>
            <w:r w:rsidRPr="00EA7665">
              <w:rPr>
                <w:rFonts w:ascii="Arial" w:hAnsi="Arial" w:cs="Arial"/>
                <w:sz w:val="16"/>
                <w:szCs w:val="16"/>
              </w:rPr>
              <w:t>Equity crowdfunding</w:t>
            </w:r>
          </w:p>
          <w:p w14:paraId="16EF37FD" w14:textId="77777777" w:rsidR="00CD6352" w:rsidRPr="00EA7665" w:rsidRDefault="00CD6352" w:rsidP="00C74AEC">
            <w:pPr>
              <w:pStyle w:val="ListParagraph"/>
              <w:numPr>
                <w:ilvl w:val="0"/>
                <w:numId w:val="111"/>
              </w:numPr>
              <w:spacing w:after="0" w:line="240" w:lineRule="auto"/>
              <w:rPr>
                <w:rFonts w:ascii="Arial" w:hAnsi="Arial" w:cs="Arial"/>
                <w:sz w:val="16"/>
                <w:szCs w:val="16"/>
              </w:rPr>
            </w:pPr>
            <w:r w:rsidRPr="00EA7665">
              <w:rPr>
                <w:rFonts w:ascii="Arial" w:hAnsi="Arial" w:cs="Arial"/>
                <w:sz w:val="16"/>
                <w:szCs w:val="16"/>
              </w:rPr>
              <w:t>Equity fund</w:t>
            </w:r>
          </w:p>
        </w:tc>
        <w:tc>
          <w:tcPr>
            <w:tcW w:w="3006" w:type="dxa"/>
          </w:tcPr>
          <w:p w14:paraId="72439D1B" w14:textId="77777777" w:rsidR="00CD6352" w:rsidRPr="00EA7665" w:rsidRDefault="00CD6352" w:rsidP="00CD6352">
            <w:pPr>
              <w:rPr>
                <w:rFonts w:ascii="Arial" w:hAnsi="Arial" w:cs="Arial"/>
                <w:sz w:val="16"/>
                <w:szCs w:val="16"/>
              </w:rPr>
            </w:pPr>
            <w:r w:rsidRPr="00EA7665">
              <w:rPr>
                <w:rFonts w:ascii="Arial" w:hAnsi="Arial" w:cs="Arial"/>
                <w:sz w:val="16"/>
                <w:szCs w:val="16"/>
              </w:rPr>
              <w:t>South Africa:</w:t>
            </w:r>
          </w:p>
          <w:p w14:paraId="26EEF77E" w14:textId="77777777" w:rsidR="00CD6352" w:rsidRPr="00EA7665" w:rsidRDefault="00CD6352" w:rsidP="00C74AEC">
            <w:pPr>
              <w:pStyle w:val="ListParagraph"/>
              <w:numPr>
                <w:ilvl w:val="0"/>
                <w:numId w:val="112"/>
              </w:numPr>
              <w:spacing w:after="0" w:line="240" w:lineRule="auto"/>
              <w:rPr>
                <w:rFonts w:ascii="Arial" w:hAnsi="Arial" w:cs="Arial"/>
                <w:sz w:val="16"/>
                <w:szCs w:val="16"/>
              </w:rPr>
            </w:pPr>
            <w:r w:rsidRPr="00EA7665">
              <w:rPr>
                <w:rFonts w:ascii="Arial" w:hAnsi="Arial" w:cs="Arial"/>
                <w:sz w:val="16"/>
                <w:szCs w:val="16"/>
              </w:rPr>
              <w:t>Joint venture</w:t>
            </w:r>
          </w:p>
          <w:p w14:paraId="389958CB" w14:textId="6CFB4861" w:rsidR="00CD6352" w:rsidRPr="00EA7665" w:rsidRDefault="00CD6352" w:rsidP="00C74AEC">
            <w:pPr>
              <w:pStyle w:val="ListParagraph"/>
              <w:numPr>
                <w:ilvl w:val="0"/>
                <w:numId w:val="112"/>
              </w:numPr>
              <w:spacing w:after="0" w:line="240" w:lineRule="auto"/>
              <w:rPr>
                <w:rFonts w:ascii="Arial" w:hAnsi="Arial" w:cs="Arial"/>
                <w:sz w:val="16"/>
                <w:szCs w:val="16"/>
              </w:rPr>
            </w:pPr>
            <w:r w:rsidRPr="00EA7665">
              <w:rPr>
                <w:rFonts w:ascii="Arial" w:hAnsi="Arial" w:cs="Arial"/>
                <w:sz w:val="16"/>
                <w:szCs w:val="16"/>
              </w:rPr>
              <w:t xml:space="preserve">Cash flow/ retained </w:t>
            </w:r>
            <w:r w:rsidR="00003BB5" w:rsidRPr="00EA7665">
              <w:rPr>
                <w:rFonts w:ascii="Arial" w:hAnsi="Arial" w:cs="Arial"/>
                <w:sz w:val="16"/>
                <w:szCs w:val="16"/>
              </w:rPr>
              <w:t>earnings.</w:t>
            </w:r>
          </w:p>
          <w:p w14:paraId="6DF02A2D" w14:textId="77777777" w:rsidR="00CD6352" w:rsidRPr="00EA7665" w:rsidRDefault="00CD6352" w:rsidP="00C74AEC">
            <w:pPr>
              <w:pStyle w:val="ListParagraph"/>
              <w:numPr>
                <w:ilvl w:val="0"/>
                <w:numId w:val="112"/>
              </w:numPr>
              <w:spacing w:after="0" w:line="240" w:lineRule="auto"/>
              <w:rPr>
                <w:rFonts w:ascii="Arial" w:hAnsi="Arial" w:cs="Arial"/>
                <w:sz w:val="16"/>
                <w:szCs w:val="16"/>
              </w:rPr>
            </w:pPr>
            <w:r w:rsidRPr="00EA7665">
              <w:rPr>
                <w:rFonts w:ascii="Arial" w:hAnsi="Arial" w:cs="Arial"/>
                <w:sz w:val="16"/>
                <w:szCs w:val="16"/>
              </w:rPr>
              <w:t>Bank loan</w:t>
            </w:r>
          </w:p>
          <w:p w14:paraId="318EF6A9" w14:textId="77777777" w:rsidR="00CD6352" w:rsidRPr="00EA7665" w:rsidRDefault="00CD6352" w:rsidP="00C74AEC">
            <w:pPr>
              <w:pStyle w:val="ListParagraph"/>
              <w:numPr>
                <w:ilvl w:val="0"/>
                <w:numId w:val="112"/>
              </w:numPr>
              <w:spacing w:after="0" w:line="240" w:lineRule="auto"/>
              <w:rPr>
                <w:rFonts w:ascii="Arial" w:hAnsi="Arial" w:cs="Arial"/>
                <w:sz w:val="16"/>
                <w:szCs w:val="16"/>
              </w:rPr>
            </w:pPr>
            <w:r w:rsidRPr="00EA7665">
              <w:rPr>
                <w:rFonts w:ascii="Arial" w:hAnsi="Arial" w:cs="Arial"/>
                <w:sz w:val="16"/>
                <w:szCs w:val="16"/>
              </w:rPr>
              <w:t>Equity fund</w:t>
            </w:r>
          </w:p>
          <w:p w14:paraId="5499840A" w14:textId="77777777" w:rsidR="00CD6352" w:rsidRPr="00EA7665" w:rsidRDefault="00CD6352" w:rsidP="00C74AEC">
            <w:pPr>
              <w:pStyle w:val="ListParagraph"/>
              <w:numPr>
                <w:ilvl w:val="0"/>
                <w:numId w:val="112"/>
              </w:numPr>
              <w:spacing w:after="0" w:line="240" w:lineRule="auto"/>
              <w:rPr>
                <w:rFonts w:ascii="Arial" w:hAnsi="Arial" w:cs="Arial"/>
                <w:sz w:val="16"/>
                <w:szCs w:val="16"/>
              </w:rPr>
            </w:pPr>
            <w:r w:rsidRPr="00EA7665">
              <w:rPr>
                <w:rFonts w:ascii="Arial" w:hAnsi="Arial" w:cs="Arial"/>
                <w:sz w:val="16"/>
                <w:szCs w:val="16"/>
              </w:rPr>
              <w:t>Bonds</w:t>
            </w:r>
          </w:p>
          <w:p w14:paraId="206B5AE3" w14:textId="77777777" w:rsidR="00CD6352" w:rsidRPr="00EA7665" w:rsidRDefault="00CD6352" w:rsidP="00CD6352">
            <w:pPr>
              <w:pStyle w:val="ListParagraph"/>
              <w:rPr>
                <w:rFonts w:ascii="Arial" w:hAnsi="Arial" w:cs="Arial"/>
                <w:sz w:val="16"/>
                <w:szCs w:val="16"/>
              </w:rPr>
            </w:pPr>
          </w:p>
        </w:tc>
      </w:tr>
    </w:tbl>
    <w:p w14:paraId="47C9C04E" w14:textId="77777777" w:rsidR="00CD6352" w:rsidRPr="00EA7665" w:rsidRDefault="00CD6352" w:rsidP="00CD6352">
      <w:pPr>
        <w:rPr>
          <w:rFonts w:ascii="Arial" w:hAnsi="Arial" w:cs="Arial"/>
        </w:rPr>
      </w:pPr>
    </w:p>
    <w:p w14:paraId="21E35B43" w14:textId="40104EF9" w:rsidR="00CD6352" w:rsidRPr="00EA7665" w:rsidRDefault="00CD6352" w:rsidP="00CD6352">
      <w:pPr>
        <w:spacing w:line="360" w:lineRule="auto"/>
        <w:rPr>
          <w:rFonts w:ascii="Arial" w:hAnsi="Arial" w:cs="Arial"/>
        </w:rPr>
      </w:pPr>
      <w:r w:rsidRPr="00EA7665">
        <w:rPr>
          <w:rFonts w:ascii="Arial" w:hAnsi="Arial" w:cs="Arial"/>
        </w:rPr>
        <w:lastRenderedPageBreak/>
        <w:t xml:space="preserve">The </w:t>
      </w:r>
      <w:r w:rsidR="00E43C3B">
        <w:rPr>
          <w:rFonts w:ascii="Arial" w:hAnsi="Arial" w:cs="Arial"/>
        </w:rPr>
        <w:t>disaggregate level findings</w:t>
      </w:r>
      <w:r w:rsidRPr="00EA7665">
        <w:rPr>
          <w:rFonts w:ascii="Arial" w:hAnsi="Arial" w:cs="Arial"/>
        </w:rPr>
        <w:t xml:space="preserve"> demonstrate that bank loans </w:t>
      </w:r>
      <w:r>
        <w:rPr>
          <w:rFonts w:ascii="Arial" w:hAnsi="Arial" w:cs="Arial"/>
        </w:rPr>
        <w:t>are</w:t>
      </w:r>
      <w:r w:rsidRPr="00EA7665">
        <w:rPr>
          <w:rFonts w:ascii="Arial" w:hAnsi="Arial" w:cs="Arial"/>
        </w:rPr>
        <w:t xml:space="preserve"> used by managers in all the developed and emerging economies with the highest percentage usage in China, followed by Germany and the lowest usage in Nigeria. The literature is consistent with this finding (Zhou, 2019; Maguire and Axcell, 1994).</w:t>
      </w:r>
      <w:r>
        <w:rPr>
          <w:rFonts w:ascii="Arial" w:hAnsi="Arial" w:cs="Arial"/>
        </w:rPr>
        <w:t xml:space="preserve"> </w:t>
      </w:r>
      <w:r w:rsidRPr="00EA7665">
        <w:rPr>
          <w:rFonts w:ascii="Arial" w:hAnsi="Arial" w:cs="Arial"/>
        </w:rPr>
        <w:t xml:space="preserve">An inspection of </w:t>
      </w:r>
      <w:r w:rsidR="00C6283F">
        <w:rPr>
          <w:rFonts w:ascii="Arial" w:hAnsi="Arial" w:cs="Arial"/>
        </w:rPr>
        <w:t>T</w:t>
      </w:r>
      <w:r w:rsidRPr="00EA7665">
        <w:rPr>
          <w:rFonts w:ascii="Arial" w:hAnsi="Arial" w:cs="Arial"/>
        </w:rPr>
        <w:t>able 5.</w:t>
      </w:r>
      <w:r>
        <w:rPr>
          <w:rFonts w:ascii="Arial" w:hAnsi="Arial" w:cs="Arial"/>
        </w:rPr>
        <w:t>2</w:t>
      </w:r>
      <w:r w:rsidR="00B135AC">
        <w:rPr>
          <w:rFonts w:ascii="Arial" w:hAnsi="Arial" w:cs="Arial"/>
        </w:rPr>
        <w:t>.2</w:t>
      </w:r>
      <w:r w:rsidRPr="00EA7665">
        <w:rPr>
          <w:rFonts w:ascii="Arial" w:hAnsi="Arial" w:cs="Arial"/>
        </w:rPr>
        <w:t xml:space="preserve"> reveals </w:t>
      </w:r>
      <w:r w:rsidR="00C6283F">
        <w:rPr>
          <w:rFonts w:ascii="Arial" w:hAnsi="Arial" w:cs="Arial"/>
        </w:rPr>
        <w:t>some</w:t>
      </w:r>
      <w:r w:rsidRPr="00EA7665">
        <w:rPr>
          <w:rFonts w:ascii="Arial" w:hAnsi="Arial" w:cs="Arial"/>
        </w:rPr>
        <w:t xml:space="preserve"> finance options have the same percentage usage by managers in different countries. Examples include REITs, bonds, debts funds, government grants</w:t>
      </w:r>
      <w:r>
        <w:rPr>
          <w:rFonts w:ascii="Arial" w:hAnsi="Arial" w:cs="Arial"/>
        </w:rPr>
        <w:t xml:space="preserve"> </w:t>
      </w:r>
      <w:r w:rsidR="002950EE">
        <w:rPr>
          <w:rFonts w:ascii="Arial" w:hAnsi="Arial" w:cs="Arial"/>
        </w:rPr>
        <w:t xml:space="preserve">and </w:t>
      </w:r>
      <w:r w:rsidR="002950EE" w:rsidRPr="00EA7665">
        <w:rPr>
          <w:rFonts w:ascii="Arial" w:hAnsi="Arial" w:cs="Arial"/>
        </w:rPr>
        <w:t>Joint</w:t>
      </w:r>
      <w:r w:rsidRPr="00EA7665">
        <w:rPr>
          <w:rFonts w:ascii="Arial" w:hAnsi="Arial" w:cs="Arial"/>
        </w:rPr>
        <w:t xml:space="preserve"> ventures</w:t>
      </w:r>
      <w:r w:rsidR="00B5551A">
        <w:rPr>
          <w:rFonts w:ascii="Arial" w:hAnsi="Arial" w:cs="Arial"/>
        </w:rPr>
        <w:t>,</w:t>
      </w:r>
      <w:r w:rsidRPr="00EA7665">
        <w:rPr>
          <w:rFonts w:ascii="Arial" w:hAnsi="Arial" w:cs="Arial"/>
        </w:rPr>
        <w:t xml:space="preserve"> which all have a response rate of 25% by managers in Germany. This situation also applies to the responses by managers in other countries.</w:t>
      </w:r>
    </w:p>
    <w:p w14:paraId="766C7B3A" w14:textId="6094E5B7" w:rsidR="00B5551A" w:rsidRDefault="008F5BD8" w:rsidP="00CD6352">
      <w:pPr>
        <w:spacing w:line="360" w:lineRule="auto"/>
        <w:rPr>
          <w:rFonts w:ascii="Arial" w:hAnsi="Arial" w:cs="Arial"/>
        </w:rPr>
      </w:pPr>
      <w:r w:rsidRPr="008F5BD8">
        <w:rPr>
          <w:rFonts w:ascii="Arial" w:hAnsi="Arial" w:cs="Arial"/>
        </w:rPr>
        <w:t>The</w:t>
      </w:r>
      <w:r>
        <w:rPr>
          <w:rFonts w:ascii="Arial" w:hAnsi="Arial" w:cs="Arial"/>
        </w:rPr>
        <w:t xml:space="preserve"> findings demonstrate that managers in the developed economies and China have access to long-term finance from the capital markets, government grants and subsidies, private equity and some good degree of public equity. There is good access by managers in the developed economies to a wide blend of finance options for real estate project execution. There is also good usage of derivatives and sovereign wealth funds by some managers in the US</w:t>
      </w:r>
      <w:r w:rsidR="00CD6352" w:rsidRPr="00EA7665">
        <w:rPr>
          <w:rFonts w:ascii="Arial" w:hAnsi="Arial" w:cs="Arial"/>
        </w:rPr>
        <w:t xml:space="preserve">. </w:t>
      </w:r>
    </w:p>
    <w:p w14:paraId="2E565247" w14:textId="52912CA2" w:rsidR="00CD6352" w:rsidRPr="00EA7665" w:rsidRDefault="00CD6352" w:rsidP="00CD6352">
      <w:pPr>
        <w:spacing w:line="360" w:lineRule="auto"/>
        <w:rPr>
          <w:rFonts w:ascii="Arial" w:hAnsi="Arial" w:cs="Arial"/>
          <w:iCs/>
        </w:rPr>
      </w:pPr>
      <w:r w:rsidRPr="00EA7665">
        <w:rPr>
          <w:rFonts w:ascii="Arial" w:hAnsi="Arial" w:cs="Arial"/>
        </w:rPr>
        <w:t xml:space="preserve">The survey revealed that the only country in the emerging economies where managers attested to </w:t>
      </w:r>
      <w:r w:rsidR="008F5BD8">
        <w:rPr>
          <w:rFonts w:ascii="Arial" w:hAnsi="Arial" w:cs="Arial"/>
        </w:rPr>
        <w:t>using</w:t>
      </w:r>
      <w:r w:rsidRPr="00EA7665">
        <w:rPr>
          <w:rFonts w:ascii="Arial" w:hAnsi="Arial" w:cs="Arial"/>
        </w:rPr>
        <w:t xml:space="preserve"> sovereign wealth funds for real estate project development </w:t>
      </w:r>
      <w:r w:rsidR="0054456B" w:rsidRPr="00EA7665">
        <w:rPr>
          <w:rFonts w:ascii="Arial" w:hAnsi="Arial" w:cs="Arial"/>
        </w:rPr>
        <w:t>i</w:t>
      </w:r>
      <w:r w:rsidR="0054456B">
        <w:rPr>
          <w:rFonts w:ascii="Arial" w:hAnsi="Arial" w:cs="Arial"/>
        </w:rPr>
        <w:t>n</w:t>
      </w:r>
      <w:r w:rsidR="0054456B" w:rsidRPr="00EA7665">
        <w:rPr>
          <w:rFonts w:ascii="Arial" w:hAnsi="Arial" w:cs="Arial"/>
        </w:rPr>
        <w:t xml:space="preserve"> </w:t>
      </w:r>
      <w:r w:rsidRPr="00EA7665">
        <w:rPr>
          <w:rFonts w:ascii="Arial" w:hAnsi="Arial" w:cs="Arial"/>
        </w:rPr>
        <w:t xml:space="preserve">China. This </w:t>
      </w:r>
      <w:r>
        <w:rPr>
          <w:rFonts w:ascii="Arial" w:hAnsi="Arial" w:cs="Arial"/>
        </w:rPr>
        <w:t>shows</w:t>
      </w:r>
      <w:r w:rsidRPr="00EA7665">
        <w:rPr>
          <w:rFonts w:ascii="Arial" w:hAnsi="Arial" w:cs="Arial"/>
        </w:rPr>
        <w:t xml:space="preserve"> strong government support in China because sovereign wealth funds are state-owned investment funds that invest in real and financial assets such as real estate and stocks (</w:t>
      </w:r>
      <w:r w:rsidRPr="00EA7665">
        <w:rPr>
          <w:rFonts w:ascii="Arial" w:hAnsi="Arial" w:cs="Arial"/>
          <w:iCs/>
        </w:rPr>
        <w:t xml:space="preserve">Dunkley, 2014). Managers from China have higher access to the bond market for long-term finance as compared to Nigeria and South Africa, where only 9% and 33% respectively use funding from the issuance of bonds. Long-term investors in bonds and private </w:t>
      </w:r>
      <w:r w:rsidR="00272BD4" w:rsidRPr="00EA7665">
        <w:rPr>
          <w:rFonts w:ascii="Arial" w:hAnsi="Arial" w:cs="Arial"/>
          <w:iCs/>
        </w:rPr>
        <w:t>equity consider</w:t>
      </w:r>
      <w:r w:rsidRPr="00EA7665">
        <w:rPr>
          <w:rFonts w:ascii="Arial" w:hAnsi="Arial" w:cs="Arial"/>
          <w:iCs/>
        </w:rPr>
        <w:t xml:space="preserve"> developed economies</w:t>
      </w:r>
      <w:r>
        <w:rPr>
          <w:rFonts w:ascii="Arial" w:hAnsi="Arial" w:cs="Arial"/>
          <w:iCs/>
        </w:rPr>
        <w:t xml:space="preserve"> as</w:t>
      </w:r>
      <w:r w:rsidRPr="00EA7665">
        <w:rPr>
          <w:rFonts w:ascii="Arial" w:hAnsi="Arial" w:cs="Arial"/>
          <w:iCs/>
        </w:rPr>
        <w:t xml:space="preserve"> “</w:t>
      </w:r>
      <w:r>
        <w:rPr>
          <w:rFonts w:ascii="Arial" w:hAnsi="Arial" w:cs="Arial"/>
          <w:iCs/>
        </w:rPr>
        <w:t>safe havens</w:t>
      </w:r>
      <w:r w:rsidR="00855055">
        <w:rPr>
          <w:rFonts w:ascii="Arial" w:hAnsi="Arial" w:cs="Arial"/>
          <w:iCs/>
        </w:rPr>
        <w:t>, " contributing to the higher multiplicity of finance options in</w:t>
      </w:r>
      <w:r w:rsidRPr="00EA7665">
        <w:rPr>
          <w:rFonts w:ascii="Arial" w:hAnsi="Arial" w:cs="Arial"/>
          <w:iCs/>
        </w:rPr>
        <w:t xml:space="preserve"> developed economies (Barkham, 2012). Notably, there is </w:t>
      </w:r>
      <w:r>
        <w:rPr>
          <w:rFonts w:ascii="Arial" w:hAnsi="Arial" w:cs="Arial"/>
          <w:iCs/>
        </w:rPr>
        <w:t xml:space="preserve">a </w:t>
      </w:r>
      <w:r w:rsidRPr="00EA7665">
        <w:rPr>
          <w:rFonts w:ascii="Arial" w:hAnsi="Arial" w:cs="Arial"/>
          <w:iCs/>
        </w:rPr>
        <w:t>9% usage of derivatives in Nigeria, and this</w:t>
      </w:r>
      <w:r>
        <w:rPr>
          <w:rFonts w:ascii="Arial" w:hAnsi="Arial" w:cs="Arial"/>
          <w:iCs/>
        </w:rPr>
        <w:t>,</w:t>
      </w:r>
      <w:r w:rsidRPr="00EA7665">
        <w:rPr>
          <w:rFonts w:ascii="Arial" w:hAnsi="Arial" w:cs="Arial"/>
          <w:iCs/>
        </w:rPr>
        <w:t xml:space="preserve"> arguably</w:t>
      </w:r>
      <w:r>
        <w:rPr>
          <w:rFonts w:ascii="Arial" w:hAnsi="Arial" w:cs="Arial"/>
          <w:iCs/>
        </w:rPr>
        <w:t>,</w:t>
      </w:r>
      <w:r w:rsidRPr="00EA7665">
        <w:rPr>
          <w:rFonts w:ascii="Arial" w:hAnsi="Arial" w:cs="Arial"/>
          <w:iCs/>
        </w:rPr>
        <w:t xml:space="preserve"> </w:t>
      </w:r>
      <w:r>
        <w:rPr>
          <w:rFonts w:ascii="Arial" w:hAnsi="Arial" w:cs="Arial"/>
          <w:iCs/>
        </w:rPr>
        <w:t>is</w:t>
      </w:r>
      <w:r w:rsidRPr="00EA7665">
        <w:rPr>
          <w:rFonts w:ascii="Arial" w:hAnsi="Arial" w:cs="Arial"/>
          <w:iCs/>
        </w:rPr>
        <w:t xml:space="preserve"> in the form of “forward transactions, “ in respect to non-standardised contracts between parties to buy an asset at a specific time at a price agreed in the present</w:t>
      </w:r>
      <w:r>
        <w:rPr>
          <w:rFonts w:ascii="Arial" w:hAnsi="Arial" w:cs="Arial"/>
          <w:iCs/>
        </w:rPr>
        <w:t>”</w:t>
      </w:r>
      <w:r w:rsidRPr="00EA7665">
        <w:rPr>
          <w:rFonts w:ascii="Arial" w:eastAsia="Times New Roman" w:hAnsi="Arial" w:cs="Arial"/>
          <w:color w:val="222222"/>
          <w:lang w:eastAsia="en-GB"/>
        </w:rPr>
        <w:t xml:space="preserve"> (</w:t>
      </w:r>
      <w:r w:rsidRPr="00EA7665">
        <w:rPr>
          <w:rFonts w:ascii="Arial" w:hAnsi="Arial" w:cs="Arial"/>
          <w:iCs/>
        </w:rPr>
        <w:t xml:space="preserve">Hopkin, 2017; Bolu, 2017). </w:t>
      </w:r>
      <w:r w:rsidR="00272BD4">
        <w:rPr>
          <w:rFonts w:ascii="Arial" w:hAnsi="Arial" w:cs="Arial"/>
          <w:iCs/>
        </w:rPr>
        <w:t xml:space="preserve">The </w:t>
      </w:r>
      <w:r w:rsidR="00855055">
        <w:rPr>
          <w:rFonts w:ascii="Arial" w:hAnsi="Arial" w:cs="Arial"/>
          <w:iCs/>
        </w:rPr>
        <w:t>joint venture usag</w:t>
      </w:r>
      <w:r w:rsidRPr="00EA7665">
        <w:rPr>
          <w:rFonts w:ascii="Arial" w:hAnsi="Arial" w:cs="Arial"/>
          <w:iCs/>
        </w:rPr>
        <w:t>e is ranked amongst the top five finance options used by all the emerging economies in this study.</w:t>
      </w:r>
    </w:p>
    <w:p w14:paraId="409F44B6" w14:textId="66A841EC" w:rsidR="00CD6352" w:rsidRPr="00EA7665" w:rsidRDefault="00CD6352" w:rsidP="00CD6352">
      <w:pPr>
        <w:spacing w:line="360" w:lineRule="auto"/>
        <w:rPr>
          <w:rFonts w:ascii="Arial" w:hAnsi="Arial" w:cs="Arial"/>
          <w:iCs/>
        </w:rPr>
      </w:pPr>
      <w:r>
        <w:rPr>
          <w:rFonts w:ascii="Arial" w:hAnsi="Arial" w:cs="Arial"/>
          <w:iCs/>
        </w:rPr>
        <w:t xml:space="preserve">The </w:t>
      </w:r>
      <w:r w:rsidRPr="00EA7665">
        <w:rPr>
          <w:rFonts w:ascii="Arial" w:hAnsi="Arial" w:cs="Arial"/>
          <w:iCs/>
        </w:rPr>
        <w:t>UK and US have the highest usage of public/private partnership</w:t>
      </w:r>
      <w:r w:rsidR="00251194">
        <w:rPr>
          <w:rFonts w:ascii="Arial" w:hAnsi="Arial" w:cs="Arial"/>
          <w:iCs/>
        </w:rPr>
        <w:t>s</w:t>
      </w:r>
      <w:r w:rsidRPr="00EA7665">
        <w:rPr>
          <w:rFonts w:ascii="Arial" w:hAnsi="Arial" w:cs="Arial"/>
          <w:iCs/>
        </w:rPr>
        <w:t xml:space="preserve"> as a means of finance for real estate project development at a response rate of 67% and 40%</w:t>
      </w:r>
      <w:r w:rsidR="00251194">
        <w:rPr>
          <w:rFonts w:ascii="Arial" w:hAnsi="Arial" w:cs="Arial"/>
          <w:iCs/>
        </w:rPr>
        <w:t>,</w:t>
      </w:r>
      <w:r w:rsidRPr="00EA7665">
        <w:rPr>
          <w:rFonts w:ascii="Arial" w:hAnsi="Arial" w:cs="Arial"/>
          <w:iCs/>
        </w:rPr>
        <w:t xml:space="preserve"> respectively</w:t>
      </w:r>
      <w:r w:rsidR="00251194">
        <w:rPr>
          <w:rFonts w:ascii="Arial" w:hAnsi="Arial" w:cs="Arial"/>
          <w:iCs/>
        </w:rPr>
        <w:t>.  W</w:t>
      </w:r>
      <w:r>
        <w:rPr>
          <w:rFonts w:ascii="Arial" w:hAnsi="Arial" w:cs="Arial"/>
          <w:iCs/>
        </w:rPr>
        <w:t>hile</w:t>
      </w:r>
      <w:r w:rsidRPr="00EA7665">
        <w:rPr>
          <w:rFonts w:ascii="Arial" w:hAnsi="Arial" w:cs="Arial"/>
          <w:iCs/>
        </w:rPr>
        <w:t xml:space="preserve"> </w:t>
      </w:r>
      <w:r>
        <w:rPr>
          <w:rFonts w:ascii="Arial" w:hAnsi="Arial" w:cs="Arial"/>
          <w:iCs/>
        </w:rPr>
        <w:t>t</w:t>
      </w:r>
      <w:r w:rsidRPr="00EA7665">
        <w:rPr>
          <w:rFonts w:ascii="Arial" w:hAnsi="Arial" w:cs="Arial"/>
          <w:iCs/>
        </w:rPr>
        <w:t xml:space="preserve">here is minimal </w:t>
      </w:r>
      <w:r w:rsidR="00251194">
        <w:rPr>
          <w:rFonts w:ascii="Arial" w:hAnsi="Arial" w:cs="Arial"/>
          <w:iCs/>
        </w:rPr>
        <w:t>public/ private partnership usage</w:t>
      </w:r>
      <w:r w:rsidRPr="00EA7665">
        <w:rPr>
          <w:rFonts w:ascii="Arial" w:hAnsi="Arial" w:cs="Arial"/>
          <w:iCs/>
        </w:rPr>
        <w:t xml:space="preserve"> in China and Nigeria with a response rate of 20% and 18%</w:t>
      </w:r>
      <w:r w:rsidR="00251194">
        <w:rPr>
          <w:rFonts w:ascii="Arial" w:hAnsi="Arial" w:cs="Arial"/>
          <w:iCs/>
        </w:rPr>
        <w:t>,</w:t>
      </w:r>
      <w:r w:rsidRPr="00EA7665">
        <w:rPr>
          <w:rFonts w:ascii="Arial" w:hAnsi="Arial" w:cs="Arial"/>
          <w:iCs/>
        </w:rPr>
        <w:t xml:space="preserve"> respectively</w:t>
      </w:r>
      <w:r w:rsidR="00251194">
        <w:rPr>
          <w:rFonts w:ascii="Arial" w:hAnsi="Arial" w:cs="Arial"/>
          <w:iCs/>
        </w:rPr>
        <w:t>,</w:t>
      </w:r>
      <w:r>
        <w:rPr>
          <w:rFonts w:ascii="Arial" w:hAnsi="Arial" w:cs="Arial"/>
          <w:iCs/>
        </w:rPr>
        <w:t xml:space="preserve"> there is</w:t>
      </w:r>
      <w:r w:rsidRPr="00EA7665">
        <w:rPr>
          <w:rFonts w:ascii="Arial" w:hAnsi="Arial" w:cs="Arial"/>
          <w:iCs/>
        </w:rPr>
        <w:t xml:space="preserve"> no reported response for </w:t>
      </w:r>
      <w:r>
        <w:rPr>
          <w:rFonts w:ascii="Arial" w:hAnsi="Arial" w:cs="Arial"/>
          <w:iCs/>
        </w:rPr>
        <w:t xml:space="preserve">the </w:t>
      </w:r>
      <w:r w:rsidRPr="00EA7665">
        <w:rPr>
          <w:rFonts w:ascii="Arial" w:hAnsi="Arial" w:cs="Arial"/>
          <w:iCs/>
        </w:rPr>
        <w:t xml:space="preserve">same from South Africa and Germany. </w:t>
      </w:r>
      <w:r>
        <w:rPr>
          <w:rFonts w:ascii="Arial" w:hAnsi="Arial" w:cs="Arial"/>
          <w:iCs/>
        </w:rPr>
        <w:t>T</w:t>
      </w:r>
      <w:r w:rsidRPr="00EA7665">
        <w:rPr>
          <w:rFonts w:ascii="Arial" w:hAnsi="Arial" w:cs="Arial"/>
          <w:iCs/>
        </w:rPr>
        <w:t xml:space="preserve">here is </w:t>
      </w:r>
      <w:r w:rsidR="00B135AC">
        <w:rPr>
          <w:rFonts w:ascii="Arial" w:hAnsi="Arial" w:cs="Arial"/>
          <w:iCs/>
        </w:rPr>
        <w:t xml:space="preserve">a </w:t>
      </w:r>
      <w:r>
        <w:rPr>
          <w:rFonts w:ascii="Arial" w:hAnsi="Arial" w:cs="Arial"/>
          <w:iCs/>
        </w:rPr>
        <w:t>good</w:t>
      </w:r>
      <w:r w:rsidRPr="00EA7665">
        <w:rPr>
          <w:rFonts w:ascii="Arial" w:hAnsi="Arial" w:cs="Arial"/>
          <w:iCs/>
        </w:rPr>
        <w:t xml:space="preserve"> usage of Mezzanine finance in the UK, US and South Africa with a response rate of 50%, 50% and 33%</w:t>
      </w:r>
      <w:r w:rsidR="00855055">
        <w:rPr>
          <w:rFonts w:ascii="Arial" w:hAnsi="Arial" w:cs="Arial"/>
          <w:iCs/>
        </w:rPr>
        <w:t>,</w:t>
      </w:r>
      <w:r w:rsidRPr="00EA7665">
        <w:rPr>
          <w:rFonts w:ascii="Arial" w:hAnsi="Arial" w:cs="Arial"/>
          <w:iCs/>
        </w:rPr>
        <w:t xml:space="preserve"> respectively.</w:t>
      </w:r>
    </w:p>
    <w:p w14:paraId="391BC891" w14:textId="0197F6A2" w:rsidR="00CD6352" w:rsidRPr="00EA7665" w:rsidRDefault="00CD6352" w:rsidP="00CD6352">
      <w:pPr>
        <w:spacing w:line="360" w:lineRule="auto"/>
        <w:rPr>
          <w:rFonts w:ascii="Arial" w:hAnsi="Arial" w:cs="Arial"/>
        </w:rPr>
      </w:pPr>
      <w:r w:rsidRPr="00EA7665">
        <w:rPr>
          <w:rFonts w:ascii="Arial" w:hAnsi="Arial" w:cs="Arial"/>
          <w:iCs/>
        </w:rPr>
        <w:t xml:space="preserve">None of the managers in </w:t>
      </w:r>
      <w:r w:rsidR="00792F5D">
        <w:rPr>
          <w:rFonts w:ascii="Arial" w:hAnsi="Arial" w:cs="Arial"/>
          <w:iCs/>
        </w:rPr>
        <w:t xml:space="preserve">either </w:t>
      </w:r>
      <w:r w:rsidR="00792F5D" w:rsidRPr="00EA7665">
        <w:rPr>
          <w:rFonts w:ascii="Arial" w:hAnsi="Arial" w:cs="Arial"/>
          <w:iCs/>
        </w:rPr>
        <w:t>the</w:t>
      </w:r>
      <w:r w:rsidRPr="00EA7665">
        <w:rPr>
          <w:rFonts w:ascii="Arial" w:hAnsi="Arial" w:cs="Arial"/>
          <w:iCs/>
        </w:rPr>
        <w:t xml:space="preserve"> developed </w:t>
      </w:r>
      <w:r>
        <w:rPr>
          <w:rFonts w:ascii="Arial" w:hAnsi="Arial" w:cs="Arial"/>
          <w:iCs/>
        </w:rPr>
        <w:t>or</w:t>
      </w:r>
      <w:r w:rsidRPr="00EA7665">
        <w:rPr>
          <w:rFonts w:ascii="Arial" w:hAnsi="Arial" w:cs="Arial"/>
          <w:iCs/>
        </w:rPr>
        <w:t xml:space="preserve"> emerging economies claim</w:t>
      </w:r>
      <w:r w:rsidR="00B135AC">
        <w:rPr>
          <w:rFonts w:ascii="Arial" w:hAnsi="Arial" w:cs="Arial"/>
          <w:iCs/>
        </w:rPr>
        <w:t>s</w:t>
      </w:r>
      <w:r w:rsidRPr="00EA7665">
        <w:rPr>
          <w:rFonts w:ascii="Arial" w:hAnsi="Arial" w:cs="Arial"/>
          <w:iCs/>
        </w:rPr>
        <w:t xml:space="preserve"> to use debenture</w:t>
      </w:r>
      <w:r w:rsidR="005C24F2">
        <w:rPr>
          <w:rFonts w:ascii="Arial" w:hAnsi="Arial" w:cs="Arial"/>
          <w:iCs/>
        </w:rPr>
        <w:t>;</w:t>
      </w:r>
      <w:r w:rsidR="005C24F2" w:rsidRPr="00EA7665">
        <w:rPr>
          <w:rFonts w:ascii="Arial" w:hAnsi="Arial" w:cs="Arial"/>
          <w:iCs/>
        </w:rPr>
        <w:t xml:space="preserve"> </w:t>
      </w:r>
      <w:r w:rsidRPr="00EA7665">
        <w:rPr>
          <w:rFonts w:ascii="Arial" w:hAnsi="Arial" w:cs="Arial"/>
          <w:iCs/>
        </w:rPr>
        <w:t xml:space="preserve">however, there is </w:t>
      </w:r>
      <w:r w:rsidR="00B135AC">
        <w:rPr>
          <w:rFonts w:ascii="Arial" w:hAnsi="Arial" w:cs="Arial"/>
          <w:iCs/>
        </w:rPr>
        <w:t xml:space="preserve">the </w:t>
      </w:r>
      <w:r w:rsidRPr="00EA7665">
        <w:rPr>
          <w:rFonts w:ascii="Arial" w:hAnsi="Arial" w:cs="Arial"/>
          <w:iCs/>
        </w:rPr>
        <w:t xml:space="preserve">usage of bonds by managers in all the different countries </w:t>
      </w:r>
      <w:r>
        <w:rPr>
          <w:rFonts w:ascii="Arial" w:hAnsi="Arial" w:cs="Arial"/>
          <w:iCs/>
        </w:rPr>
        <w:t xml:space="preserve">in </w:t>
      </w:r>
      <w:r>
        <w:rPr>
          <w:rFonts w:ascii="Arial" w:hAnsi="Arial" w:cs="Arial"/>
          <w:iCs/>
        </w:rPr>
        <w:lastRenderedPageBreak/>
        <w:t xml:space="preserve">varying degrees. </w:t>
      </w:r>
      <w:r w:rsidRPr="00EA7665">
        <w:rPr>
          <w:rFonts w:ascii="Arial" w:hAnsi="Arial" w:cs="Arial"/>
          <w:iCs/>
        </w:rPr>
        <w:t>Debentures and bonds are very similar</w:t>
      </w:r>
      <w:r w:rsidR="00251194">
        <w:rPr>
          <w:rFonts w:ascii="Arial" w:hAnsi="Arial" w:cs="Arial"/>
          <w:iCs/>
        </w:rPr>
        <w:t>,</w:t>
      </w:r>
      <w:r w:rsidRPr="00EA7665">
        <w:rPr>
          <w:rFonts w:ascii="Arial" w:hAnsi="Arial" w:cs="Arial"/>
          <w:iCs/>
        </w:rPr>
        <w:t xml:space="preserve"> with a few fundamental differences</w:t>
      </w:r>
      <w:r w:rsidR="00855055">
        <w:rPr>
          <w:rFonts w:ascii="Arial" w:hAnsi="Arial" w:cs="Arial"/>
          <w:iCs/>
        </w:rPr>
        <w:t>:</w:t>
      </w:r>
      <w:r w:rsidRPr="00EA7665">
        <w:rPr>
          <w:rFonts w:ascii="Arial" w:hAnsi="Arial" w:cs="Arial"/>
          <w:iCs/>
        </w:rPr>
        <w:t xml:space="preserve"> debentures are not secured by physical assets</w:t>
      </w:r>
      <w:r w:rsidR="005C24F2">
        <w:rPr>
          <w:rFonts w:ascii="Arial" w:hAnsi="Arial" w:cs="Arial"/>
          <w:iCs/>
        </w:rPr>
        <w:t>, and bonds' interest rate</w:t>
      </w:r>
      <w:r w:rsidRPr="00EA7665">
        <w:rPr>
          <w:rFonts w:ascii="Arial" w:hAnsi="Arial" w:cs="Arial"/>
          <w:iCs/>
        </w:rPr>
        <w:t>s are usually lower (Graham-Rowe, 2009).</w:t>
      </w:r>
      <w:r>
        <w:rPr>
          <w:rFonts w:ascii="Arial" w:hAnsi="Arial" w:cs="Arial"/>
          <w:iCs/>
        </w:rPr>
        <w:t xml:space="preserve"> </w:t>
      </w:r>
      <w:r w:rsidRPr="00EA7665">
        <w:rPr>
          <w:rFonts w:ascii="Arial" w:hAnsi="Arial" w:cs="Arial"/>
          <w:iCs/>
        </w:rPr>
        <w:t xml:space="preserve">The findings from managers </w:t>
      </w:r>
      <w:r>
        <w:rPr>
          <w:rFonts w:ascii="Arial" w:hAnsi="Arial" w:cs="Arial"/>
          <w:iCs/>
        </w:rPr>
        <w:t xml:space="preserve">also </w:t>
      </w:r>
      <w:r w:rsidRPr="00EA7665">
        <w:rPr>
          <w:rFonts w:ascii="Arial" w:hAnsi="Arial" w:cs="Arial"/>
          <w:iCs/>
        </w:rPr>
        <w:t xml:space="preserve">demonstrate that venture capital, </w:t>
      </w:r>
      <w:r w:rsidR="00792F5D" w:rsidRPr="00EA7665">
        <w:rPr>
          <w:rFonts w:ascii="Arial" w:hAnsi="Arial" w:cs="Arial"/>
          <w:iCs/>
        </w:rPr>
        <w:t>derivatives, debt</w:t>
      </w:r>
      <w:r w:rsidRPr="00EA7665">
        <w:rPr>
          <w:rFonts w:ascii="Arial" w:hAnsi="Arial" w:cs="Arial"/>
          <w:iCs/>
        </w:rPr>
        <w:t xml:space="preserve"> fund and equity crowdfunding are not</w:t>
      </w:r>
      <w:r>
        <w:rPr>
          <w:rFonts w:ascii="Arial" w:hAnsi="Arial" w:cs="Arial"/>
          <w:iCs/>
        </w:rPr>
        <w:t xml:space="preserve"> preferred</w:t>
      </w:r>
      <w:r w:rsidRPr="00EA7665">
        <w:rPr>
          <w:rFonts w:ascii="Arial" w:hAnsi="Arial" w:cs="Arial"/>
          <w:iCs/>
        </w:rPr>
        <w:t xml:space="preserve"> options for real estate project development in</w:t>
      </w:r>
      <w:r>
        <w:rPr>
          <w:rFonts w:ascii="Arial" w:hAnsi="Arial" w:cs="Arial"/>
          <w:iCs/>
        </w:rPr>
        <w:t xml:space="preserve"> </w:t>
      </w:r>
      <w:r w:rsidR="009D03A1">
        <w:rPr>
          <w:rFonts w:ascii="Arial" w:hAnsi="Arial" w:cs="Arial"/>
          <w:iCs/>
        </w:rPr>
        <w:t xml:space="preserve">either </w:t>
      </w:r>
      <w:r w:rsidR="009D03A1" w:rsidRPr="00EA7665">
        <w:rPr>
          <w:rFonts w:ascii="Arial" w:hAnsi="Arial" w:cs="Arial"/>
          <w:iCs/>
        </w:rPr>
        <w:t>the</w:t>
      </w:r>
      <w:r w:rsidRPr="00EA7665">
        <w:rPr>
          <w:rFonts w:ascii="Arial" w:hAnsi="Arial" w:cs="Arial"/>
          <w:iCs/>
        </w:rPr>
        <w:t xml:space="preserve"> developed </w:t>
      </w:r>
      <w:r>
        <w:rPr>
          <w:rFonts w:ascii="Arial" w:hAnsi="Arial" w:cs="Arial"/>
          <w:iCs/>
        </w:rPr>
        <w:t>or</w:t>
      </w:r>
      <w:r w:rsidRPr="00EA7665">
        <w:rPr>
          <w:rFonts w:ascii="Arial" w:hAnsi="Arial" w:cs="Arial"/>
          <w:iCs/>
        </w:rPr>
        <w:t xml:space="preserve"> emerging economies.</w:t>
      </w:r>
    </w:p>
    <w:p w14:paraId="79EA4354" w14:textId="77777777" w:rsidR="00CD6352" w:rsidRDefault="00CD6352" w:rsidP="00CD6352">
      <w:pPr>
        <w:spacing w:after="0" w:line="360" w:lineRule="auto"/>
      </w:pPr>
    </w:p>
    <w:p w14:paraId="2B25F9DC" w14:textId="656B7C7F" w:rsidR="00CD6352" w:rsidRPr="00A83BC4" w:rsidRDefault="00CD6352" w:rsidP="00CD6352">
      <w:pPr>
        <w:pStyle w:val="Heading3"/>
        <w:rPr>
          <w:rFonts w:eastAsia="Calibri"/>
          <w:sz w:val="22"/>
          <w:szCs w:val="22"/>
        </w:rPr>
      </w:pPr>
      <w:bookmarkStart w:id="1122" w:name="_Toc78983843"/>
      <w:r w:rsidRPr="00A83BC4">
        <w:rPr>
          <w:rFonts w:eastAsia="Calibri"/>
          <w:sz w:val="22"/>
          <w:szCs w:val="22"/>
        </w:rPr>
        <w:t>The relationship between the managerial level</w:t>
      </w:r>
      <w:r>
        <w:rPr>
          <w:rFonts w:eastAsia="Calibri"/>
          <w:sz w:val="22"/>
          <w:szCs w:val="22"/>
        </w:rPr>
        <w:t>s</w:t>
      </w:r>
      <w:r w:rsidRPr="00A83BC4">
        <w:rPr>
          <w:rFonts w:eastAsia="Calibri"/>
          <w:sz w:val="22"/>
          <w:szCs w:val="22"/>
        </w:rPr>
        <w:t xml:space="preserve"> and finance optio</w:t>
      </w:r>
      <w:r>
        <w:rPr>
          <w:rFonts w:eastAsia="Calibri"/>
          <w:sz w:val="22"/>
          <w:szCs w:val="22"/>
        </w:rPr>
        <w:t>ns</w:t>
      </w:r>
      <w:r w:rsidRPr="00A83BC4">
        <w:rPr>
          <w:rFonts w:eastAsia="Calibri"/>
          <w:sz w:val="22"/>
          <w:szCs w:val="22"/>
        </w:rPr>
        <w:t xml:space="preserve"> used </w:t>
      </w:r>
      <w:r>
        <w:rPr>
          <w:rFonts w:eastAsia="Calibri"/>
          <w:sz w:val="22"/>
          <w:szCs w:val="22"/>
        </w:rPr>
        <w:t xml:space="preserve">for real estate project </w:t>
      </w:r>
      <w:r w:rsidR="00B45AEB">
        <w:rPr>
          <w:rFonts w:eastAsia="Calibri"/>
          <w:sz w:val="22"/>
          <w:szCs w:val="22"/>
        </w:rPr>
        <w:t>development.</w:t>
      </w:r>
      <w:bookmarkEnd w:id="1122"/>
    </w:p>
    <w:p w14:paraId="6AEF28A3" w14:textId="77777777" w:rsidR="00CD6352" w:rsidRDefault="00CD6352" w:rsidP="00CD6352"/>
    <w:p w14:paraId="6E130508" w14:textId="77777777" w:rsidR="00CD6352" w:rsidRPr="00B135AC" w:rsidRDefault="00CD6352" w:rsidP="00CD6352">
      <w:pPr>
        <w:rPr>
          <w:rFonts w:ascii="Arial" w:hAnsi="Arial" w:cs="Arial"/>
          <w:sz w:val="16"/>
          <w:szCs w:val="16"/>
        </w:rPr>
      </w:pPr>
    </w:p>
    <w:p w14:paraId="0D3C3862" w14:textId="4B278F5A" w:rsidR="00B135AC" w:rsidRPr="00B135AC" w:rsidRDefault="00B135AC" w:rsidP="00B135AC">
      <w:pPr>
        <w:pStyle w:val="Caption"/>
        <w:keepNext/>
        <w:rPr>
          <w:rFonts w:ascii="Arial" w:hAnsi="Arial" w:cs="Arial"/>
          <w:sz w:val="16"/>
          <w:szCs w:val="16"/>
        </w:rPr>
      </w:pPr>
      <w:bookmarkStart w:id="1123" w:name="_Toc78983969"/>
      <w:r w:rsidRPr="00B135AC">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B135AC">
        <w:rPr>
          <w:rFonts w:ascii="Arial" w:hAnsi="Arial" w:cs="Arial"/>
          <w:sz w:val="16"/>
          <w:szCs w:val="16"/>
        </w:rPr>
        <w:t>: Spearman correlation coefficient test for the relationship between the managerial level and finance option</w:t>
      </w:r>
      <w:bookmarkEnd w:id="1123"/>
    </w:p>
    <w:tbl>
      <w:tblPr>
        <w:tblW w:w="9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5"/>
        <w:gridCol w:w="2460"/>
        <w:gridCol w:w="2168"/>
        <w:gridCol w:w="1475"/>
        <w:gridCol w:w="1475"/>
      </w:tblGrid>
      <w:tr w:rsidR="00CD6352" w:rsidRPr="00B45AEB" w14:paraId="3AEA74AF" w14:textId="77777777" w:rsidTr="00B135AC">
        <w:trPr>
          <w:cantSplit/>
        </w:trPr>
        <w:tc>
          <w:tcPr>
            <w:tcW w:w="9223" w:type="dxa"/>
            <w:gridSpan w:val="5"/>
            <w:tcBorders>
              <w:top w:val="nil"/>
              <w:left w:val="nil"/>
              <w:bottom w:val="nil"/>
              <w:right w:val="nil"/>
            </w:tcBorders>
            <w:shd w:val="clear" w:color="auto" w:fill="FFFFFF"/>
            <w:vAlign w:val="center"/>
          </w:tcPr>
          <w:p w14:paraId="6AB4F366" w14:textId="77777777" w:rsidR="00CD6352" w:rsidRPr="00B45AEB" w:rsidRDefault="00CD6352" w:rsidP="00CD6352">
            <w:pPr>
              <w:rPr>
                <w:rFonts w:ascii="Arial" w:hAnsi="Arial" w:cs="Arial"/>
                <w:sz w:val="16"/>
                <w:szCs w:val="16"/>
              </w:rPr>
            </w:pPr>
          </w:p>
        </w:tc>
      </w:tr>
      <w:tr w:rsidR="00CD6352" w:rsidRPr="00B45AEB" w14:paraId="6BE90ACA" w14:textId="77777777" w:rsidTr="00B135AC">
        <w:trPr>
          <w:cantSplit/>
        </w:trPr>
        <w:tc>
          <w:tcPr>
            <w:tcW w:w="6273" w:type="dxa"/>
            <w:gridSpan w:val="3"/>
            <w:tcBorders>
              <w:top w:val="nil"/>
              <w:left w:val="nil"/>
              <w:bottom w:val="single" w:sz="8" w:space="0" w:color="152935"/>
              <w:right w:val="nil"/>
            </w:tcBorders>
            <w:shd w:val="clear" w:color="auto" w:fill="FFFFFF"/>
            <w:vAlign w:val="bottom"/>
          </w:tcPr>
          <w:p w14:paraId="4F8B353D" w14:textId="77777777" w:rsidR="00CD6352" w:rsidRPr="00B45AEB" w:rsidRDefault="00CD6352" w:rsidP="00CD6352">
            <w:pPr>
              <w:rPr>
                <w:rFonts w:ascii="Arial" w:hAnsi="Arial" w:cs="Arial"/>
                <w:sz w:val="16"/>
                <w:szCs w:val="16"/>
              </w:rPr>
            </w:pPr>
          </w:p>
        </w:tc>
        <w:tc>
          <w:tcPr>
            <w:tcW w:w="1475" w:type="dxa"/>
            <w:tcBorders>
              <w:top w:val="nil"/>
              <w:left w:val="nil"/>
              <w:bottom w:val="single" w:sz="8" w:space="0" w:color="152935"/>
              <w:right w:val="single" w:sz="8" w:space="0" w:color="E0E0E0"/>
            </w:tcBorders>
            <w:shd w:val="clear" w:color="auto" w:fill="FFFFFF"/>
            <w:vAlign w:val="bottom"/>
          </w:tcPr>
          <w:p w14:paraId="2A8652EF" w14:textId="77777777" w:rsidR="00CD6352" w:rsidRPr="00B45AEB" w:rsidRDefault="00CD6352" w:rsidP="00CD6352">
            <w:pPr>
              <w:rPr>
                <w:rFonts w:ascii="Arial" w:hAnsi="Arial" w:cs="Arial"/>
                <w:sz w:val="16"/>
                <w:szCs w:val="16"/>
              </w:rPr>
            </w:pPr>
            <w:r w:rsidRPr="00B45AEB">
              <w:rPr>
                <w:rFonts w:ascii="Arial" w:hAnsi="Arial" w:cs="Arial"/>
                <w:sz w:val="16"/>
                <w:szCs w:val="16"/>
              </w:rPr>
              <w:t>Management level</w:t>
            </w:r>
          </w:p>
        </w:tc>
        <w:tc>
          <w:tcPr>
            <w:tcW w:w="1475" w:type="dxa"/>
            <w:tcBorders>
              <w:top w:val="nil"/>
              <w:left w:val="single" w:sz="8" w:space="0" w:color="E0E0E0"/>
              <w:bottom w:val="single" w:sz="8" w:space="0" w:color="152935"/>
              <w:right w:val="nil"/>
            </w:tcBorders>
            <w:shd w:val="clear" w:color="auto" w:fill="FFFFFF"/>
            <w:vAlign w:val="bottom"/>
          </w:tcPr>
          <w:p w14:paraId="7E285245" w14:textId="77777777" w:rsidR="00CD6352" w:rsidRPr="00B45AEB" w:rsidRDefault="00CD6352" w:rsidP="00CD6352">
            <w:pPr>
              <w:rPr>
                <w:rFonts w:ascii="Arial" w:hAnsi="Arial" w:cs="Arial"/>
                <w:sz w:val="16"/>
                <w:szCs w:val="16"/>
              </w:rPr>
            </w:pPr>
            <w:r w:rsidRPr="00B45AEB">
              <w:rPr>
                <w:rFonts w:ascii="Arial" w:hAnsi="Arial" w:cs="Arial"/>
                <w:sz w:val="16"/>
                <w:szCs w:val="16"/>
              </w:rPr>
              <w:t xml:space="preserve">Sources of financing </w:t>
            </w:r>
          </w:p>
        </w:tc>
      </w:tr>
      <w:tr w:rsidR="00CD6352" w:rsidRPr="00B45AEB" w14:paraId="782E43EB" w14:textId="77777777" w:rsidTr="00B135AC">
        <w:trPr>
          <w:cantSplit/>
        </w:trPr>
        <w:tc>
          <w:tcPr>
            <w:tcW w:w="1645" w:type="dxa"/>
            <w:vMerge w:val="restart"/>
            <w:tcBorders>
              <w:top w:val="single" w:sz="8" w:space="0" w:color="152935"/>
              <w:left w:val="nil"/>
              <w:bottom w:val="single" w:sz="8" w:space="0" w:color="152935"/>
              <w:right w:val="nil"/>
            </w:tcBorders>
            <w:shd w:val="clear" w:color="auto" w:fill="E0E0E0"/>
          </w:tcPr>
          <w:p w14:paraId="664FCC9C" w14:textId="77777777" w:rsidR="00CD6352" w:rsidRPr="00B45AEB" w:rsidRDefault="00CD6352" w:rsidP="00CD6352">
            <w:pPr>
              <w:rPr>
                <w:rFonts w:ascii="Arial" w:hAnsi="Arial" w:cs="Arial"/>
                <w:sz w:val="16"/>
                <w:szCs w:val="16"/>
              </w:rPr>
            </w:pPr>
            <w:r w:rsidRPr="00B45AEB">
              <w:rPr>
                <w:rFonts w:ascii="Arial" w:hAnsi="Arial" w:cs="Arial"/>
                <w:sz w:val="16"/>
                <w:szCs w:val="16"/>
              </w:rPr>
              <w:t>Spearman's rho</w:t>
            </w:r>
          </w:p>
        </w:tc>
        <w:tc>
          <w:tcPr>
            <w:tcW w:w="2460" w:type="dxa"/>
            <w:vMerge w:val="restart"/>
            <w:tcBorders>
              <w:top w:val="single" w:sz="8" w:space="0" w:color="152935"/>
              <w:left w:val="nil"/>
              <w:bottom w:val="nil"/>
              <w:right w:val="nil"/>
            </w:tcBorders>
            <w:shd w:val="clear" w:color="auto" w:fill="E0E0E0"/>
          </w:tcPr>
          <w:p w14:paraId="1E6965CC" w14:textId="77777777" w:rsidR="00CD6352" w:rsidRPr="00B45AEB" w:rsidRDefault="00CD6352" w:rsidP="00CD6352">
            <w:pPr>
              <w:rPr>
                <w:rFonts w:ascii="Arial" w:hAnsi="Arial" w:cs="Arial"/>
                <w:sz w:val="16"/>
                <w:szCs w:val="16"/>
              </w:rPr>
            </w:pPr>
            <w:r w:rsidRPr="00B45AEB">
              <w:rPr>
                <w:rFonts w:ascii="Arial" w:hAnsi="Arial" w:cs="Arial"/>
                <w:sz w:val="16"/>
                <w:szCs w:val="16"/>
              </w:rPr>
              <w:t>3. Management level</w:t>
            </w:r>
          </w:p>
        </w:tc>
        <w:tc>
          <w:tcPr>
            <w:tcW w:w="2168" w:type="dxa"/>
            <w:tcBorders>
              <w:top w:val="single" w:sz="8" w:space="0" w:color="152935"/>
              <w:left w:val="nil"/>
              <w:bottom w:val="single" w:sz="8" w:space="0" w:color="AEAEAE"/>
              <w:right w:val="nil"/>
            </w:tcBorders>
            <w:shd w:val="clear" w:color="auto" w:fill="E0E0E0"/>
          </w:tcPr>
          <w:p w14:paraId="4C7316E1" w14:textId="77777777" w:rsidR="00CD6352" w:rsidRPr="00B45AEB" w:rsidRDefault="00CD6352" w:rsidP="00CD6352">
            <w:pPr>
              <w:rPr>
                <w:rFonts w:ascii="Arial" w:hAnsi="Arial" w:cs="Arial"/>
                <w:sz w:val="16"/>
                <w:szCs w:val="16"/>
              </w:rPr>
            </w:pPr>
            <w:r w:rsidRPr="00B45AEB">
              <w:rPr>
                <w:rFonts w:ascii="Arial" w:hAnsi="Arial" w:cs="Arial"/>
                <w:sz w:val="16"/>
                <w:szCs w:val="16"/>
              </w:rPr>
              <w:t>Correlation Coefficient</w:t>
            </w:r>
          </w:p>
        </w:tc>
        <w:tc>
          <w:tcPr>
            <w:tcW w:w="1475" w:type="dxa"/>
            <w:tcBorders>
              <w:top w:val="single" w:sz="8" w:space="0" w:color="152935"/>
              <w:left w:val="nil"/>
              <w:bottom w:val="single" w:sz="8" w:space="0" w:color="AEAEAE"/>
              <w:right w:val="single" w:sz="8" w:space="0" w:color="E0E0E0"/>
            </w:tcBorders>
            <w:shd w:val="clear" w:color="auto" w:fill="FFFFFF"/>
          </w:tcPr>
          <w:p w14:paraId="7641926C" w14:textId="77777777" w:rsidR="00CD6352" w:rsidRPr="00B45AEB" w:rsidRDefault="00CD6352" w:rsidP="00CD6352">
            <w:pPr>
              <w:rPr>
                <w:rFonts w:ascii="Arial" w:hAnsi="Arial" w:cs="Arial"/>
                <w:sz w:val="16"/>
                <w:szCs w:val="16"/>
              </w:rPr>
            </w:pPr>
            <w:r w:rsidRPr="00B45AEB">
              <w:rPr>
                <w:rFonts w:ascii="Arial" w:hAnsi="Arial" w:cs="Arial"/>
                <w:sz w:val="16"/>
                <w:szCs w:val="16"/>
              </w:rPr>
              <w:t>1.000</w:t>
            </w:r>
          </w:p>
        </w:tc>
        <w:tc>
          <w:tcPr>
            <w:tcW w:w="1475" w:type="dxa"/>
            <w:tcBorders>
              <w:top w:val="single" w:sz="8" w:space="0" w:color="152935"/>
              <w:left w:val="single" w:sz="8" w:space="0" w:color="E0E0E0"/>
              <w:bottom w:val="single" w:sz="8" w:space="0" w:color="AEAEAE"/>
              <w:right w:val="nil"/>
            </w:tcBorders>
            <w:shd w:val="clear" w:color="auto" w:fill="FFFFFF"/>
          </w:tcPr>
          <w:p w14:paraId="4C9B2D86"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r>
      <w:tr w:rsidR="00CD6352" w:rsidRPr="00B45AEB" w14:paraId="1FEABB8F" w14:textId="77777777" w:rsidTr="00B135AC">
        <w:trPr>
          <w:cantSplit/>
        </w:trPr>
        <w:tc>
          <w:tcPr>
            <w:tcW w:w="1645" w:type="dxa"/>
            <w:vMerge/>
            <w:tcBorders>
              <w:top w:val="single" w:sz="8" w:space="0" w:color="152935"/>
              <w:left w:val="nil"/>
              <w:bottom w:val="single" w:sz="8" w:space="0" w:color="152935"/>
              <w:right w:val="nil"/>
            </w:tcBorders>
            <w:shd w:val="clear" w:color="auto" w:fill="E0E0E0"/>
          </w:tcPr>
          <w:p w14:paraId="21F09133" w14:textId="77777777" w:rsidR="00CD6352" w:rsidRPr="00B45AEB" w:rsidRDefault="00CD6352" w:rsidP="00CD6352">
            <w:pPr>
              <w:rPr>
                <w:rFonts w:ascii="Arial" w:hAnsi="Arial" w:cs="Arial"/>
                <w:sz w:val="16"/>
                <w:szCs w:val="16"/>
              </w:rPr>
            </w:pPr>
          </w:p>
        </w:tc>
        <w:tc>
          <w:tcPr>
            <w:tcW w:w="2460" w:type="dxa"/>
            <w:vMerge/>
            <w:tcBorders>
              <w:top w:val="single" w:sz="8" w:space="0" w:color="152935"/>
              <w:left w:val="nil"/>
              <w:bottom w:val="nil"/>
              <w:right w:val="nil"/>
            </w:tcBorders>
            <w:shd w:val="clear" w:color="auto" w:fill="E0E0E0"/>
          </w:tcPr>
          <w:p w14:paraId="24FF0AB3" w14:textId="77777777" w:rsidR="00CD6352" w:rsidRPr="00B45AEB" w:rsidRDefault="00CD6352" w:rsidP="00CD6352">
            <w:pPr>
              <w:rPr>
                <w:rFonts w:ascii="Arial" w:hAnsi="Arial" w:cs="Arial"/>
                <w:sz w:val="16"/>
                <w:szCs w:val="16"/>
              </w:rPr>
            </w:pPr>
          </w:p>
        </w:tc>
        <w:tc>
          <w:tcPr>
            <w:tcW w:w="2168" w:type="dxa"/>
            <w:tcBorders>
              <w:top w:val="single" w:sz="8" w:space="0" w:color="AEAEAE"/>
              <w:left w:val="nil"/>
              <w:bottom w:val="single" w:sz="8" w:space="0" w:color="AEAEAE"/>
              <w:right w:val="nil"/>
            </w:tcBorders>
            <w:shd w:val="clear" w:color="auto" w:fill="E0E0E0"/>
          </w:tcPr>
          <w:p w14:paraId="674A3F34" w14:textId="77777777" w:rsidR="00CD6352" w:rsidRPr="00B45AEB" w:rsidRDefault="00CD6352" w:rsidP="00CD6352">
            <w:pPr>
              <w:rPr>
                <w:rFonts w:ascii="Arial" w:hAnsi="Arial" w:cs="Arial"/>
                <w:sz w:val="16"/>
                <w:szCs w:val="16"/>
              </w:rPr>
            </w:pPr>
            <w:r w:rsidRPr="00B45AEB">
              <w:rPr>
                <w:rFonts w:ascii="Arial" w:hAnsi="Arial" w:cs="Arial"/>
                <w:sz w:val="16"/>
                <w:szCs w:val="16"/>
              </w:rPr>
              <w:t>Sig. (2-tailed)</w:t>
            </w:r>
          </w:p>
        </w:tc>
        <w:tc>
          <w:tcPr>
            <w:tcW w:w="1475" w:type="dxa"/>
            <w:tcBorders>
              <w:top w:val="single" w:sz="8" w:space="0" w:color="AEAEAE"/>
              <w:left w:val="nil"/>
              <w:bottom w:val="single" w:sz="8" w:space="0" w:color="AEAEAE"/>
              <w:right w:val="single" w:sz="8" w:space="0" w:color="E0E0E0"/>
            </w:tcBorders>
            <w:shd w:val="clear" w:color="auto" w:fill="FFFFFF"/>
          </w:tcPr>
          <w:p w14:paraId="2667A75A"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c>
          <w:tcPr>
            <w:tcW w:w="1475" w:type="dxa"/>
            <w:tcBorders>
              <w:top w:val="single" w:sz="8" w:space="0" w:color="AEAEAE"/>
              <w:left w:val="single" w:sz="8" w:space="0" w:color="E0E0E0"/>
              <w:bottom w:val="single" w:sz="8" w:space="0" w:color="AEAEAE"/>
              <w:right w:val="nil"/>
            </w:tcBorders>
            <w:shd w:val="clear" w:color="auto" w:fill="FFFFFF"/>
          </w:tcPr>
          <w:p w14:paraId="718BEC07"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r>
      <w:tr w:rsidR="00CD6352" w:rsidRPr="00B45AEB" w14:paraId="24824475" w14:textId="77777777" w:rsidTr="00B135AC">
        <w:trPr>
          <w:cantSplit/>
        </w:trPr>
        <w:tc>
          <w:tcPr>
            <w:tcW w:w="1645" w:type="dxa"/>
            <w:vMerge/>
            <w:tcBorders>
              <w:top w:val="single" w:sz="8" w:space="0" w:color="152935"/>
              <w:left w:val="nil"/>
              <w:bottom w:val="single" w:sz="8" w:space="0" w:color="152935"/>
              <w:right w:val="nil"/>
            </w:tcBorders>
            <w:shd w:val="clear" w:color="auto" w:fill="E0E0E0"/>
          </w:tcPr>
          <w:p w14:paraId="0B2A2FE6" w14:textId="77777777" w:rsidR="00CD6352" w:rsidRPr="00B45AEB" w:rsidRDefault="00CD6352" w:rsidP="00CD6352">
            <w:pPr>
              <w:rPr>
                <w:rFonts w:ascii="Arial" w:hAnsi="Arial" w:cs="Arial"/>
                <w:sz w:val="16"/>
                <w:szCs w:val="16"/>
              </w:rPr>
            </w:pPr>
          </w:p>
        </w:tc>
        <w:tc>
          <w:tcPr>
            <w:tcW w:w="2460" w:type="dxa"/>
            <w:vMerge/>
            <w:tcBorders>
              <w:top w:val="single" w:sz="8" w:space="0" w:color="152935"/>
              <w:left w:val="nil"/>
              <w:bottom w:val="nil"/>
              <w:right w:val="nil"/>
            </w:tcBorders>
            <w:shd w:val="clear" w:color="auto" w:fill="E0E0E0"/>
          </w:tcPr>
          <w:p w14:paraId="6C7C40F3" w14:textId="77777777" w:rsidR="00CD6352" w:rsidRPr="00B45AEB" w:rsidRDefault="00CD6352" w:rsidP="00CD6352">
            <w:pPr>
              <w:rPr>
                <w:rFonts w:ascii="Arial" w:hAnsi="Arial" w:cs="Arial"/>
                <w:sz w:val="16"/>
                <w:szCs w:val="16"/>
              </w:rPr>
            </w:pPr>
          </w:p>
        </w:tc>
        <w:tc>
          <w:tcPr>
            <w:tcW w:w="2168" w:type="dxa"/>
            <w:tcBorders>
              <w:top w:val="single" w:sz="8" w:space="0" w:color="AEAEAE"/>
              <w:left w:val="nil"/>
              <w:bottom w:val="nil"/>
              <w:right w:val="nil"/>
            </w:tcBorders>
            <w:shd w:val="clear" w:color="auto" w:fill="E0E0E0"/>
          </w:tcPr>
          <w:p w14:paraId="75D4A588" w14:textId="77777777" w:rsidR="00CD6352" w:rsidRPr="00B45AEB" w:rsidRDefault="00CD6352" w:rsidP="00CD6352">
            <w:pPr>
              <w:rPr>
                <w:rFonts w:ascii="Arial" w:hAnsi="Arial" w:cs="Arial"/>
                <w:sz w:val="16"/>
                <w:szCs w:val="16"/>
              </w:rPr>
            </w:pPr>
            <w:r w:rsidRPr="00B45AEB">
              <w:rPr>
                <w:rFonts w:ascii="Arial" w:hAnsi="Arial" w:cs="Arial"/>
                <w:sz w:val="16"/>
                <w:szCs w:val="16"/>
              </w:rPr>
              <w:t>N</w:t>
            </w:r>
          </w:p>
        </w:tc>
        <w:tc>
          <w:tcPr>
            <w:tcW w:w="1475" w:type="dxa"/>
            <w:tcBorders>
              <w:top w:val="single" w:sz="8" w:space="0" w:color="AEAEAE"/>
              <w:left w:val="nil"/>
              <w:bottom w:val="nil"/>
              <w:right w:val="single" w:sz="8" w:space="0" w:color="E0E0E0"/>
            </w:tcBorders>
            <w:shd w:val="clear" w:color="auto" w:fill="FFFFFF"/>
          </w:tcPr>
          <w:p w14:paraId="79DF4AF6" w14:textId="77777777" w:rsidR="00CD6352" w:rsidRPr="00B45AEB" w:rsidRDefault="00CD6352" w:rsidP="00CD6352">
            <w:pPr>
              <w:rPr>
                <w:rFonts w:ascii="Arial" w:hAnsi="Arial" w:cs="Arial"/>
                <w:sz w:val="16"/>
                <w:szCs w:val="16"/>
              </w:rPr>
            </w:pPr>
            <w:r w:rsidRPr="00B45AEB">
              <w:rPr>
                <w:rFonts w:ascii="Arial" w:hAnsi="Arial" w:cs="Arial"/>
                <w:sz w:val="16"/>
                <w:szCs w:val="16"/>
              </w:rPr>
              <w:t>81</w:t>
            </w:r>
          </w:p>
        </w:tc>
        <w:tc>
          <w:tcPr>
            <w:tcW w:w="1475" w:type="dxa"/>
            <w:tcBorders>
              <w:top w:val="single" w:sz="8" w:space="0" w:color="AEAEAE"/>
              <w:left w:val="single" w:sz="8" w:space="0" w:color="E0E0E0"/>
              <w:bottom w:val="nil"/>
              <w:right w:val="nil"/>
            </w:tcBorders>
            <w:shd w:val="clear" w:color="auto" w:fill="FFFFFF"/>
          </w:tcPr>
          <w:p w14:paraId="064BC99D" w14:textId="77777777" w:rsidR="00CD6352" w:rsidRPr="00B45AEB" w:rsidRDefault="00CD6352" w:rsidP="00CD6352">
            <w:pPr>
              <w:rPr>
                <w:rFonts w:ascii="Arial" w:hAnsi="Arial" w:cs="Arial"/>
                <w:sz w:val="16"/>
                <w:szCs w:val="16"/>
              </w:rPr>
            </w:pPr>
            <w:r w:rsidRPr="00B45AEB">
              <w:rPr>
                <w:rFonts w:ascii="Arial" w:hAnsi="Arial" w:cs="Arial"/>
                <w:sz w:val="16"/>
                <w:szCs w:val="16"/>
              </w:rPr>
              <w:t>81</w:t>
            </w:r>
          </w:p>
        </w:tc>
      </w:tr>
      <w:tr w:rsidR="00CD6352" w:rsidRPr="00B45AEB" w14:paraId="2E8E363C" w14:textId="77777777" w:rsidTr="00B135AC">
        <w:trPr>
          <w:cantSplit/>
        </w:trPr>
        <w:tc>
          <w:tcPr>
            <w:tcW w:w="1645" w:type="dxa"/>
            <w:vMerge/>
            <w:tcBorders>
              <w:top w:val="single" w:sz="8" w:space="0" w:color="152935"/>
              <w:left w:val="nil"/>
              <w:bottom w:val="single" w:sz="8" w:space="0" w:color="152935"/>
              <w:right w:val="nil"/>
            </w:tcBorders>
            <w:shd w:val="clear" w:color="auto" w:fill="E0E0E0"/>
          </w:tcPr>
          <w:p w14:paraId="34890DBA" w14:textId="77777777" w:rsidR="00CD6352" w:rsidRPr="00B45AEB" w:rsidRDefault="00CD6352" w:rsidP="00CD6352">
            <w:pPr>
              <w:rPr>
                <w:rFonts w:ascii="Arial" w:hAnsi="Arial" w:cs="Arial"/>
                <w:sz w:val="16"/>
                <w:szCs w:val="16"/>
              </w:rPr>
            </w:pPr>
          </w:p>
        </w:tc>
        <w:tc>
          <w:tcPr>
            <w:tcW w:w="2460" w:type="dxa"/>
            <w:vMerge w:val="restart"/>
            <w:tcBorders>
              <w:top w:val="single" w:sz="8" w:space="0" w:color="AEAEAE"/>
              <w:left w:val="nil"/>
              <w:bottom w:val="single" w:sz="8" w:space="0" w:color="152935"/>
              <w:right w:val="nil"/>
            </w:tcBorders>
            <w:shd w:val="clear" w:color="auto" w:fill="E0E0E0"/>
          </w:tcPr>
          <w:p w14:paraId="08E06E84" w14:textId="3D6FDDF5" w:rsidR="00CD6352" w:rsidRPr="00B45AEB" w:rsidRDefault="00CD6352" w:rsidP="00CD6352">
            <w:pPr>
              <w:rPr>
                <w:rFonts w:ascii="Arial" w:hAnsi="Arial" w:cs="Arial"/>
                <w:sz w:val="16"/>
                <w:szCs w:val="16"/>
              </w:rPr>
            </w:pPr>
            <w:r w:rsidRPr="00B45AEB">
              <w:rPr>
                <w:rFonts w:ascii="Arial" w:hAnsi="Arial" w:cs="Arial"/>
                <w:sz w:val="16"/>
                <w:szCs w:val="16"/>
              </w:rPr>
              <w:t>5. Some sources of financing for real estate project development are listed below. Please indicate the degree of use.</w:t>
            </w:r>
          </w:p>
        </w:tc>
        <w:tc>
          <w:tcPr>
            <w:tcW w:w="2168" w:type="dxa"/>
            <w:tcBorders>
              <w:top w:val="single" w:sz="8" w:space="0" w:color="AEAEAE"/>
              <w:left w:val="nil"/>
              <w:bottom w:val="single" w:sz="8" w:space="0" w:color="AEAEAE"/>
              <w:right w:val="nil"/>
            </w:tcBorders>
            <w:shd w:val="clear" w:color="auto" w:fill="E0E0E0"/>
          </w:tcPr>
          <w:p w14:paraId="24FC7E8B" w14:textId="77777777" w:rsidR="00CD6352" w:rsidRPr="00B45AEB" w:rsidRDefault="00CD6352" w:rsidP="00CD6352">
            <w:pPr>
              <w:rPr>
                <w:rFonts w:ascii="Arial" w:hAnsi="Arial" w:cs="Arial"/>
                <w:sz w:val="16"/>
                <w:szCs w:val="16"/>
              </w:rPr>
            </w:pPr>
            <w:r w:rsidRPr="00B45AEB">
              <w:rPr>
                <w:rFonts w:ascii="Arial" w:hAnsi="Arial" w:cs="Arial"/>
                <w:sz w:val="16"/>
                <w:szCs w:val="16"/>
              </w:rPr>
              <w:t>Correlation Coefficient</w:t>
            </w:r>
          </w:p>
        </w:tc>
        <w:tc>
          <w:tcPr>
            <w:tcW w:w="1475" w:type="dxa"/>
            <w:tcBorders>
              <w:top w:val="single" w:sz="8" w:space="0" w:color="AEAEAE"/>
              <w:left w:val="nil"/>
              <w:bottom w:val="single" w:sz="8" w:space="0" w:color="AEAEAE"/>
              <w:right w:val="single" w:sz="8" w:space="0" w:color="E0E0E0"/>
            </w:tcBorders>
            <w:shd w:val="clear" w:color="auto" w:fill="FFFFFF"/>
          </w:tcPr>
          <w:p w14:paraId="058F6401"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c>
          <w:tcPr>
            <w:tcW w:w="1475" w:type="dxa"/>
            <w:tcBorders>
              <w:top w:val="single" w:sz="8" w:space="0" w:color="AEAEAE"/>
              <w:left w:val="single" w:sz="8" w:space="0" w:color="E0E0E0"/>
              <w:bottom w:val="single" w:sz="8" w:space="0" w:color="AEAEAE"/>
              <w:right w:val="nil"/>
            </w:tcBorders>
            <w:shd w:val="clear" w:color="auto" w:fill="FFFFFF"/>
          </w:tcPr>
          <w:p w14:paraId="68FC351B"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r>
      <w:tr w:rsidR="00CD6352" w:rsidRPr="00B45AEB" w14:paraId="17A846F5" w14:textId="77777777" w:rsidTr="00B135AC">
        <w:trPr>
          <w:cantSplit/>
        </w:trPr>
        <w:tc>
          <w:tcPr>
            <w:tcW w:w="1645" w:type="dxa"/>
            <w:vMerge/>
            <w:tcBorders>
              <w:top w:val="single" w:sz="8" w:space="0" w:color="152935"/>
              <w:left w:val="nil"/>
              <w:bottom w:val="single" w:sz="8" w:space="0" w:color="152935"/>
              <w:right w:val="nil"/>
            </w:tcBorders>
            <w:shd w:val="clear" w:color="auto" w:fill="E0E0E0"/>
          </w:tcPr>
          <w:p w14:paraId="20C36514" w14:textId="77777777" w:rsidR="00CD6352" w:rsidRPr="00B45AEB" w:rsidRDefault="00CD6352" w:rsidP="00CD6352">
            <w:pPr>
              <w:rPr>
                <w:rFonts w:ascii="Arial" w:hAnsi="Arial" w:cs="Arial"/>
                <w:sz w:val="16"/>
                <w:szCs w:val="16"/>
              </w:rPr>
            </w:pPr>
          </w:p>
        </w:tc>
        <w:tc>
          <w:tcPr>
            <w:tcW w:w="2460" w:type="dxa"/>
            <w:vMerge/>
            <w:tcBorders>
              <w:top w:val="single" w:sz="8" w:space="0" w:color="AEAEAE"/>
              <w:left w:val="nil"/>
              <w:bottom w:val="single" w:sz="8" w:space="0" w:color="152935"/>
              <w:right w:val="nil"/>
            </w:tcBorders>
            <w:shd w:val="clear" w:color="auto" w:fill="E0E0E0"/>
          </w:tcPr>
          <w:p w14:paraId="03097C79" w14:textId="77777777" w:rsidR="00CD6352" w:rsidRPr="00B45AEB" w:rsidRDefault="00CD6352" w:rsidP="00CD6352">
            <w:pPr>
              <w:rPr>
                <w:rFonts w:ascii="Arial" w:hAnsi="Arial" w:cs="Arial"/>
                <w:sz w:val="16"/>
                <w:szCs w:val="16"/>
              </w:rPr>
            </w:pPr>
          </w:p>
        </w:tc>
        <w:tc>
          <w:tcPr>
            <w:tcW w:w="2168" w:type="dxa"/>
            <w:tcBorders>
              <w:top w:val="single" w:sz="8" w:space="0" w:color="AEAEAE"/>
              <w:left w:val="nil"/>
              <w:bottom w:val="single" w:sz="8" w:space="0" w:color="AEAEAE"/>
              <w:right w:val="nil"/>
            </w:tcBorders>
            <w:shd w:val="clear" w:color="auto" w:fill="E0E0E0"/>
          </w:tcPr>
          <w:p w14:paraId="1DF8D705" w14:textId="77777777" w:rsidR="00CD6352" w:rsidRPr="00B45AEB" w:rsidRDefault="00CD6352" w:rsidP="00CD6352">
            <w:pPr>
              <w:rPr>
                <w:rFonts w:ascii="Arial" w:hAnsi="Arial" w:cs="Arial"/>
                <w:sz w:val="16"/>
                <w:szCs w:val="16"/>
              </w:rPr>
            </w:pPr>
            <w:r w:rsidRPr="00B45AEB">
              <w:rPr>
                <w:rFonts w:ascii="Arial" w:hAnsi="Arial" w:cs="Arial"/>
                <w:sz w:val="16"/>
                <w:szCs w:val="16"/>
              </w:rPr>
              <w:t>Sig. (2-tailed)</w:t>
            </w:r>
          </w:p>
        </w:tc>
        <w:tc>
          <w:tcPr>
            <w:tcW w:w="1475" w:type="dxa"/>
            <w:tcBorders>
              <w:top w:val="single" w:sz="8" w:space="0" w:color="AEAEAE"/>
              <w:left w:val="nil"/>
              <w:bottom w:val="single" w:sz="8" w:space="0" w:color="AEAEAE"/>
              <w:right w:val="single" w:sz="8" w:space="0" w:color="E0E0E0"/>
            </w:tcBorders>
            <w:shd w:val="clear" w:color="auto" w:fill="FFFFFF"/>
          </w:tcPr>
          <w:p w14:paraId="6E5DA2F9"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c>
          <w:tcPr>
            <w:tcW w:w="1475" w:type="dxa"/>
            <w:tcBorders>
              <w:top w:val="single" w:sz="8" w:space="0" w:color="AEAEAE"/>
              <w:left w:val="single" w:sz="8" w:space="0" w:color="E0E0E0"/>
              <w:bottom w:val="single" w:sz="8" w:space="0" w:color="AEAEAE"/>
              <w:right w:val="nil"/>
            </w:tcBorders>
            <w:shd w:val="clear" w:color="auto" w:fill="FFFFFF"/>
          </w:tcPr>
          <w:p w14:paraId="1942183B" w14:textId="77777777" w:rsidR="00CD6352" w:rsidRPr="00B45AEB" w:rsidRDefault="00CD6352" w:rsidP="00CD6352">
            <w:pPr>
              <w:rPr>
                <w:rFonts w:ascii="Arial" w:hAnsi="Arial" w:cs="Arial"/>
                <w:sz w:val="16"/>
                <w:szCs w:val="16"/>
              </w:rPr>
            </w:pPr>
            <w:r w:rsidRPr="00B45AEB">
              <w:rPr>
                <w:rFonts w:ascii="Arial" w:hAnsi="Arial" w:cs="Arial"/>
                <w:sz w:val="16"/>
                <w:szCs w:val="16"/>
              </w:rPr>
              <w:t>.</w:t>
            </w:r>
          </w:p>
        </w:tc>
      </w:tr>
      <w:tr w:rsidR="00CD6352" w:rsidRPr="00B45AEB" w14:paraId="170C6958" w14:textId="77777777" w:rsidTr="00B135AC">
        <w:trPr>
          <w:cantSplit/>
        </w:trPr>
        <w:tc>
          <w:tcPr>
            <w:tcW w:w="1645" w:type="dxa"/>
            <w:vMerge/>
            <w:tcBorders>
              <w:top w:val="single" w:sz="8" w:space="0" w:color="152935"/>
              <w:left w:val="nil"/>
              <w:bottom w:val="single" w:sz="8" w:space="0" w:color="152935"/>
              <w:right w:val="nil"/>
            </w:tcBorders>
            <w:shd w:val="clear" w:color="auto" w:fill="E0E0E0"/>
          </w:tcPr>
          <w:p w14:paraId="2DB6EF56" w14:textId="77777777" w:rsidR="00CD6352" w:rsidRPr="00B45AEB" w:rsidRDefault="00CD6352" w:rsidP="00CD6352">
            <w:pPr>
              <w:rPr>
                <w:rFonts w:ascii="Arial" w:hAnsi="Arial" w:cs="Arial"/>
                <w:sz w:val="16"/>
                <w:szCs w:val="16"/>
              </w:rPr>
            </w:pPr>
          </w:p>
        </w:tc>
        <w:tc>
          <w:tcPr>
            <w:tcW w:w="2460" w:type="dxa"/>
            <w:vMerge/>
            <w:tcBorders>
              <w:top w:val="single" w:sz="8" w:space="0" w:color="AEAEAE"/>
              <w:left w:val="nil"/>
              <w:bottom w:val="single" w:sz="8" w:space="0" w:color="152935"/>
              <w:right w:val="nil"/>
            </w:tcBorders>
            <w:shd w:val="clear" w:color="auto" w:fill="E0E0E0"/>
          </w:tcPr>
          <w:p w14:paraId="5E0870E9" w14:textId="77777777" w:rsidR="00CD6352" w:rsidRPr="00B45AEB" w:rsidRDefault="00CD6352" w:rsidP="00CD6352">
            <w:pPr>
              <w:rPr>
                <w:rFonts w:ascii="Arial" w:hAnsi="Arial" w:cs="Arial"/>
                <w:sz w:val="16"/>
                <w:szCs w:val="16"/>
              </w:rPr>
            </w:pPr>
          </w:p>
        </w:tc>
        <w:tc>
          <w:tcPr>
            <w:tcW w:w="2168" w:type="dxa"/>
            <w:tcBorders>
              <w:top w:val="single" w:sz="8" w:space="0" w:color="AEAEAE"/>
              <w:left w:val="nil"/>
              <w:bottom w:val="single" w:sz="8" w:space="0" w:color="152935"/>
              <w:right w:val="nil"/>
            </w:tcBorders>
            <w:shd w:val="clear" w:color="auto" w:fill="E0E0E0"/>
          </w:tcPr>
          <w:p w14:paraId="04E07D1B" w14:textId="77777777" w:rsidR="00CD6352" w:rsidRPr="00B45AEB" w:rsidRDefault="00CD6352" w:rsidP="00CD6352">
            <w:pPr>
              <w:rPr>
                <w:rFonts w:ascii="Arial" w:hAnsi="Arial" w:cs="Arial"/>
                <w:sz w:val="16"/>
                <w:szCs w:val="16"/>
              </w:rPr>
            </w:pPr>
            <w:r w:rsidRPr="00B45AEB">
              <w:rPr>
                <w:rFonts w:ascii="Arial" w:hAnsi="Arial" w:cs="Arial"/>
                <w:sz w:val="16"/>
                <w:szCs w:val="16"/>
              </w:rPr>
              <w:t>N</w:t>
            </w:r>
          </w:p>
        </w:tc>
        <w:tc>
          <w:tcPr>
            <w:tcW w:w="1475" w:type="dxa"/>
            <w:tcBorders>
              <w:top w:val="single" w:sz="8" w:space="0" w:color="AEAEAE"/>
              <w:left w:val="nil"/>
              <w:bottom w:val="single" w:sz="8" w:space="0" w:color="152935"/>
              <w:right w:val="single" w:sz="8" w:space="0" w:color="E0E0E0"/>
            </w:tcBorders>
            <w:shd w:val="clear" w:color="auto" w:fill="FFFFFF"/>
          </w:tcPr>
          <w:p w14:paraId="332C1BD9" w14:textId="77777777" w:rsidR="00CD6352" w:rsidRPr="00B45AEB" w:rsidRDefault="00CD6352" w:rsidP="00CD6352">
            <w:pPr>
              <w:rPr>
                <w:rFonts w:ascii="Arial" w:hAnsi="Arial" w:cs="Arial"/>
                <w:sz w:val="16"/>
                <w:szCs w:val="16"/>
              </w:rPr>
            </w:pPr>
            <w:r w:rsidRPr="00B45AEB">
              <w:rPr>
                <w:rFonts w:ascii="Arial" w:hAnsi="Arial" w:cs="Arial"/>
                <w:sz w:val="16"/>
                <w:szCs w:val="16"/>
              </w:rPr>
              <w:t>0</w:t>
            </w:r>
          </w:p>
        </w:tc>
        <w:tc>
          <w:tcPr>
            <w:tcW w:w="1475" w:type="dxa"/>
            <w:tcBorders>
              <w:top w:val="single" w:sz="8" w:space="0" w:color="AEAEAE"/>
              <w:left w:val="single" w:sz="8" w:space="0" w:color="E0E0E0"/>
              <w:bottom w:val="single" w:sz="8" w:space="0" w:color="152935"/>
              <w:right w:val="nil"/>
            </w:tcBorders>
            <w:shd w:val="clear" w:color="auto" w:fill="FFFFFF"/>
          </w:tcPr>
          <w:p w14:paraId="3E351FA9" w14:textId="77777777" w:rsidR="00CD6352" w:rsidRPr="00B45AEB" w:rsidRDefault="00CD6352" w:rsidP="00CD6352">
            <w:pPr>
              <w:rPr>
                <w:rFonts w:ascii="Arial" w:hAnsi="Arial" w:cs="Arial"/>
                <w:sz w:val="16"/>
                <w:szCs w:val="16"/>
              </w:rPr>
            </w:pPr>
            <w:r w:rsidRPr="00B45AEB">
              <w:rPr>
                <w:rFonts w:ascii="Arial" w:hAnsi="Arial" w:cs="Arial"/>
                <w:sz w:val="16"/>
                <w:szCs w:val="16"/>
              </w:rPr>
              <w:t>0</w:t>
            </w:r>
          </w:p>
        </w:tc>
      </w:tr>
    </w:tbl>
    <w:p w14:paraId="52320B5E" w14:textId="77777777" w:rsidR="00CD6352" w:rsidRPr="00175908" w:rsidRDefault="00CD6352" w:rsidP="00CD6352"/>
    <w:p w14:paraId="64EAEA0A" w14:textId="35CCABFD" w:rsidR="00CD6352" w:rsidRDefault="00CD6352" w:rsidP="00CD6352">
      <w:pPr>
        <w:spacing w:after="0" w:line="360" w:lineRule="auto"/>
        <w:rPr>
          <w:rStyle w:val="IntenseEmphasis"/>
          <w:rFonts w:ascii="Arial" w:hAnsi="Arial" w:cs="Arial"/>
          <w:i w:val="0"/>
          <w:iCs w:val="0"/>
          <w:color w:val="auto"/>
        </w:rPr>
      </w:pPr>
      <w:r>
        <w:rPr>
          <w:rFonts w:ascii="Arial" w:hAnsi="Arial" w:cs="Arial"/>
        </w:rPr>
        <w:t xml:space="preserve">The findings using </w:t>
      </w:r>
      <w:r w:rsidR="00792F5D">
        <w:rPr>
          <w:rFonts w:ascii="Arial" w:hAnsi="Arial" w:cs="Arial"/>
        </w:rPr>
        <w:t>the Spearman</w:t>
      </w:r>
      <w:r w:rsidRPr="00EA7665">
        <w:rPr>
          <w:rFonts w:ascii="Arial" w:hAnsi="Arial" w:cs="Arial"/>
        </w:rPr>
        <w:t xml:space="preserve"> rank-order correlation coefficient</w:t>
      </w:r>
      <w:r>
        <w:rPr>
          <w:rFonts w:ascii="Arial" w:hAnsi="Arial" w:cs="Arial"/>
        </w:rPr>
        <w:t xml:space="preserve"> shows that there is no relationship between the finance options used for real estate project development and the level of management (</w:t>
      </w:r>
      <w:r w:rsidR="001E789D">
        <w:rPr>
          <w:rFonts w:ascii="Arial" w:hAnsi="Arial" w:cs="Arial"/>
        </w:rPr>
        <w:t>Table 5.2.3</w:t>
      </w:r>
      <w:r w:rsidR="00B162BF">
        <w:rPr>
          <w:rFonts w:ascii="Arial" w:hAnsi="Arial" w:cs="Arial"/>
        </w:rPr>
        <w:t>).</w:t>
      </w:r>
      <w:r>
        <w:rPr>
          <w:rFonts w:ascii="Arial" w:hAnsi="Arial" w:cs="Arial"/>
        </w:rPr>
        <w:t xml:space="preserve"> The sign (+ or -) indicates the direction of the relationship </w:t>
      </w:r>
      <w:r w:rsidR="00792F5D">
        <w:rPr>
          <w:rFonts w:ascii="Arial" w:hAnsi="Arial" w:cs="Arial"/>
        </w:rPr>
        <w:t>(Salkind</w:t>
      </w:r>
      <w:r>
        <w:rPr>
          <w:rFonts w:ascii="Arial" w:hAnsi="Arial" w:cs="Arial"/>
        </w:rPr>
        <w:t xml:space="preserve">, 2004). This result shows that the level of the manager does </w:t>
      </w:r>
      <w:r w:rsidR="00792F5D">
        <w:rPr>
          <w:rFonts w:ascii="Arial" w:hAnsi="Arial" w:cs="Arial"/>
        </w:rPr>
        <w:t>not have</w:t>
      </w:r>
      <w:r>
        <w:rPr>
          <w:rFonts w:ascii="Arial" w:hAnsi="Arial" w:cs="Arial"/>
        </w:rPr>
        <w:t xml:space="preserve"> a significant impact on the choice of finance </w:t>
      </w:r>
      <w:r w:rsidR="00213E9C">
        <w:rPr>
          <w:rFonts w:ascii="Arial" w:hAnsi="Arial" w:cs="Arial"/>
        </w:rPr>
        <w:t>options.</w:t>
      </w:r>
      <w:r>
        <w:rPr>
          <w:rFonts w:ascii="Arial" w:hAnsi="Arial" w:cs="Arial"/>
        </w:rPr>
        <w:t xml:space="preserve"> </w:t>
      </w:r>
    </w:p>
    <w:p w14:paraId="23217A1F" w14:textId="77777777" w:rsidR="00CD6352" w:rsidRPr="00EB0B70" w:rsidRDefault="00CD6352" w:rsidP="00CD6352">
      <w:pPr>
        <w:spacing w:after="0" w:line="360" w:lineRule="auto"/>
        <w:rPr>
          <w:rStyle w:val="IntenseEmphasis"/>
          <w:rFonts w:ascii="Arial" w:hAnsi="Arial" w:cs="Arial"/>
          <w:i w:val="0"/>
          <w:iCs w:val="0"/>
          <w:color w:val="auto"/>
        </w:rPr>
      </w:pPr>
    </w:p>
    <w:p w14:paraId="5656ADBC" w14:textId="77777777" w:rsidR="00CD6352" w:rsidRPr="00EA7665" w:rsidRDefault="00CD6352" w:rsidP="00CD6352">
      <w:pPr>
        <w:pStyle w:val="Heading3"/>
        <w:spacing w:after="240"/>
        <w:rPr>
          <w:sz w:val="22"/>
          <w:szCs w:val="22"/>
        </w:rPr>
      </w:pPr>
      <w:bookmarkStart w:id="1124" w:name="_Toc33468120"/>
      <w:bookmarkStart w:id="1125" w:name="_Toc78983844"/>
      <w:r w:rsidRPr="00EA7665">
        <w:rPr>
          <w:sz w:val="22"/>
          <w:szCs w:val="22"/>
        </w:rPr>
        <w:t>Semi-structur</w:t>
      </w:r>
      <w:r>
        <w:rPr>
          <w:sz w:val="22"/>
          <w:szCs w:val="22"/>
        </w:rPr>
        <w:t>ed</w:t>
      </w:r>
      <w:r w:rsidRPr="00EA7665">
        <w:rPr>
          <w:sz w:val="22"/>
          <w:szCs w:val="22"/>
        </w:rPr>
        <w:t xml:space="preserve"> interview analysis and discussion</w:t>
      </w:r>
      <w:bookmarkEnd w:id="1124"/>
      <w:bookmarkEnd w:id="1125"/>
    </w:p>
    <w:p w14:paraId="5653E128" w14:textId="47B34843" w:rsidR="00CD6352" w:rsidRDefault="00CD6352" w:rsidP="00CD6352">
      <w:pPr>
        <w:spacing w:line="360" w:lineRule="auto"/>
        <w:jc w:val="both"/>
        <w:rPr>
          <w:rFonts w:ascii="Arial" w:hAnsi="Arial" w:cs="Arial"/>
        </w:rPr>
      </w:pPr>
      <w:r w:rsidRPr="000D75E3">
        <w:rPr>
          <w:rFonts w:ascii="Arial" w:hAnsi="Arial" w:cs="Arial"/>
        </w:rPr>
        <w:t>The findings from the semi</w:t>
      </w:r>
      <w:r w:rsidR="00E80865">
        <w:rPr>
          <w:rFonts w:ascii="Arial" w:hAnsi="Arial" w:cs="Arial"/>
        </w:rPr>
        <w:t>-</w:t>
      </w:r>
      <w:r w:rsidR="00792F5D" w:rsidRPr="000D75E3">
        <w:rPr>
          <w:rFonts w:ascii="Arial" w:hAnsi="Arial" w:cs="Arial"/>
        </w:rPr>
        <w:t>structured interviews</w:t>
      </w:r>
      <w:r w:rsidRPr="000D75E3">
        <w:rPr>
          <w:rFonts w:ascii="Arial" w:hAnsi="Arial" w:cs="Arial"/>
        </w:rPr>
        <w:t xml:space="preserve"> on finance options </w:t>
      </w:r>
      <w:r w:rsidR="005C24F2">
        <w:rPr>
          <w:rFonts w:ascii="Arial" w:hAnsi="Arial" w:cs="Arial"/>
        </w:rPr>
        <w:t>managers use for real estate project development in developed and emerging economies are</w:t>
      </w:r>
      <w:r w:rsidRPr="000D75E3">
        <w:rPr>
          <w:rFonts w:ascii="Arial" w:hAnsi="Arial" w:cs="Arial"/>
        </w:rPr>
        <w:t xml:space="preserve"> summarised in table 5.</w:t>
      </w:r>
      <w:r w:rsidR="00E80865">
        <w:rPr>
          <w:rFonts w:ascii="Arial" w:hAnsi="Arial" w:cs="Arial"/>
        </w:rPr>
        <w:t>2.4</w:t>
      </w:r>
      <w:r w:rsidRPr="000D75E3">
        <w:rPr>
          <w:rFonts w:ascii="Arial" w:hAnsi="Arial" w:cs="Arial"/>
        </w:rPr>
        <w:t xml:space="preserve"> and 5.</w:t>
      </w:r>
      <w:r w:rsidR="00E80865">
        <w:rPr>
          <w:rFonts w:ascii="Arial" w:hAnsi="Arial" w:cs="Arial"/>
        </w:rPr>
        <w:t>2.5</w:t>
      </w:r>
      <w:r w:rsidRPr="000D75E3">
        <w:rPr>
          <w:rFonts w:ascii="Arial" w:hAnsi="Arial" w:cs="Arial"/>
        </w:rPr>
        <w:t>, respectively.</w:t>
      </w:r>
    </w:p>
    <w:p w14:paraId="6AF1AFE5" w14:textId="767AA060" w:rsidR="00CD6352" w:rsidRDefault="00CD6352" w:rsidP="00CD6352">
      <w:pPr>
        <w:spacing w:line="360" w:lineRule="auto"/>
        <w:ind w:left="720"/>
        <w:jc w:val="both"/>
        <w:rPr>
          <w:rFonts w:ascii="Arial" w:hAnsi="Arial" w:cs="Arial"/>
          <w:i/>
          <w:iCs/>
        </w:rPr>
      </w:pPr>
      <w:r w:rsidRPr="004B3E1E">
        <w:rPr>
          <w:rFonts w:ascii="Arial" w:hAnsi="Arial" w:cs="Arial"/>
          <w:i/>
          <w:iCs/>
        </w:rPr>
        <w:t xml:space="preserve">The managers were asked to give some insights into the types/ sources of funding they use for real estate project </w:t>
      </w:r>
      <w:r w:rsidR="000D75E3" w:rsidRPr="004B3E1E">
        <w:rPr>
          <w:rFonts w:ascii="Arial" w:hAnsi="Arial" w:cs="Arial"/>
          <w:i/>
          <w:iCs/>
        </w:rPr>
        <w:t>development.</w:t>
      </w:r>
    </w:p>
    <w:p w14:paraId="596773DE" w14:textId="70D4E230" w:rsidR="00E43C3B" w:rsidRDefault="00E43C3B" w:rsidP="00CD6352">
      <w:pPr>
        <w:spacing w:line="360" w:lineRule="auto"/>
        <w:ind w:left="720"/>
        <w:jc w:val="both"/>
        <w:rPr>
          <w:rFonts w:ascii="Arial" w:hAnsi="Arial" w:cs="Arial"/>
          <w:i/>
          <w:iCs/>
        </w:rPr>
      </w:pPr>
    </w:p>
    <w:p w14:paraId="31F643C6" w14:textId="77777777" w:rsidR="00E43C3B" w:rsidRPr="004B3E1E" w:rsidRDefault="00E43C3B" w:rsidP="00CD6352">
      <w:pPr>
        <w:spacing w:line="360" w:lineRule="auto"/>
        <w:ind w:left="720"/>
        <w:jc w:val="both"/>
        <w:rPr>
          <w:rFonts w:ascii="Arial" w:hAnsi="Arial" w:cs="Arial"/>
          <w:i/>
          <w:iCs/>
        </w:rPr>
      </w:pPr>
    </w:p>
    <w:p w14:paraId="27BA045E" w14:textId="1DFA5FD5" w:rsidR="00E80865" w:rsidRPr="00E80865" w:rsidRDefault="00E80865" w:rsidP="00E80865">
      <w:pPr>
        <w:pStyle w:val="Caption"/>
        <w:keepNext/>
        <w:rPr>
          <w:rFonts w:ascii="Arial" w:hAnsi="Arial" w:cs="Arial"/>
          <w:sz w:val="16"/>
          <w:szCs w:val="16"/>
        </w:rPr>
      </w:pPr>
      <w:bookmarkStart w:id="1126" w:name="_Toc78983970"/>
      <w:r w:rsidRPr="00E80865">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4</w:t>
      </w:r>
      <w:r w:rsidR="008F25B1">
        <w:rPr>
          <w:rFonts w:ascii="Arial" w:hAnsi="Arial" w:cs="Arial"/>
          <w:sz w:val="16"/>
          <w:szCs w:val="16"/>
        </w:rPr>
        <w:fldChar w:fldCharType="end"/>
      </w:r>
      <w:r w:rsidRPr="00E80865">
        <w:rPr>
          <w:rFonts w:ascii="Arial" w:hAnsi="Arial" w:cs="Arial"/>
          <w:sz w:val="16"/>
          <w:szCs w:val="16"/>
        </w:rPr>
        <w:t xml:space="preserve">: </w:t>
      </w:r>
      <w:r w:rsidRPr="00E80865">
        <w:rPr>
          <w:rFonts w:ascii="Arial" w:hAnsi="Arial" w:cs="Arial"/>
          <w:i w:val="0"/>
          <w:iCs w:val="0"/>
          <w:sz w:val="16"/>
          <w:szCs w:val="16"/>
        </w:rPr>
        <w:t>Results relating to the finance options for real estate project development in developed economies.</w:t>
      </w:r>
      <w:bookmarkEnd w:id="1126"/>
    </w:p>
    <w:tbl>
      <w:tblPr>
        <w:tblStyle w:val="TableGrid"/>
        <w:tblW w:w="0" w:type="auto"/>
        <w:tblBorders>
          <w:top w:val="dashSmallGap" w:sz="4" w:space="0" w:color="auto"/>
          <w:left w:val="dashSmallGap" w:sz="4" w:space="0" w:color="auto"/>
          <w:bottom w:val="dashSmallGap" w:sz="4" w:space="0" w:color="auto"/>
          <w:right w:val="dashSmallGap" w:sz="4" w:space="0" w:color="auto"/>
          <w:insideV w:val="dashSmallGap" w:sz="4" w:space="0" w:color="auto"/>
        </w:tblBorders>
        <w:tblLook w:val="04A0" w:firstRow="1" w:lastRow="0" w:firstColumn="1" w:lastColumn="0" w:noHBand="0" w:noVBand="1"/>
      </w:tblPr>
      <w:tblGrid>
        <w:gridCol w:w="1216"/>
        <w:gridCol w:w="7800"/>
      </w:tblGrid>
      <w:tr w:rsidR="00CD6352" w:rsidRPr="00E80865" w14:paraId="10724B09" w14:textId="77777777" w:rsidTr="00CD6352">
        <w:tc>
          <w:tcPr>
            <w:tcW w:w="0" w:type="auto"/>
          </w:tcPr>
          <w:p w14:paraId="730964C1" w14:textId="77777777" w:rsidR="00CD6352" w:rsidRPr="00E80865" w:rsidRDefault="00CD6352" w:rsidP="00CD6352">
            <w:pPr>
              <w:jc w:val="both"/>
              <w:rPr>
                <w:rFonts w:ascii="Arial" w:eastAsia="Calibri" w:hAnsi="Arial" w:cs="Arial"/>
                <w:b/>
                <w:sz w:val="16"/>
                <w:szCs w:val="16"/>
              </w:rPr>
            </w:pPr>
            <w:r w:rsidRPr="00E80865">
              <w:rPr>
                <w:rFonts w:ascii="Arial" w:eastAsia="Calibri" w:hAnsi="Arial" w:cs="Arial"/>
                <w:b/>
                <w:sz w:val="16"/>
                <w:szCs w:val="16"/>
              </w:rPr>
              <w:t>Country &amp; Manager</w:t>
            </w:r>
          </w:p>
        </w:tc>
        <w:tc>
          <w:tcPr>
            <w:tcW w:w="0" w:type="auto"/>
          </w:tcPr>
          <w:p w14:paraId="4A6B463C" w14:textId="77777777" w:rsidR="00CD6352" w:rsidRPr="00E80865" w:rsidRDefault="00CD6352" w:rsidP="00CD6352">
            <w:pPr>
              <w:jc w:val="both"/>
              <w:rPr>
                <w:rFonts w:ascii="Arial" w:eastAsia="Calibri" w:hAnsi="Arial" w:cs="Arial"/>
                <w:b/>
                <w:sz w:val="16"/>
                <w:szCs w:val="16"/>
              </w:rPr>
            </w:pPr>
            <w:r w:rsidRPr="00E80865">
              <w:rPr>
                <w:rFonts w:ascii="Arial" w:eastAsia="Calibri" w:hAnsi="Arial" w:cs="Arial"/>
                <w:b/>
                <w:sz w:val="16"/>
                <w:szCs w:val="16"/>
              </w:rPr>
              <w:t xml:space="preserve">Type of funding used for real estate project development </w:t>
            </w:r>
          </w:p>
        </w:tc>
      </w:tr>
      <w:tr w:rsidR="00CD6352" w:rsidRPr="00E80865" w14:paraId="659F7E62" w14:textId="77777777" w:rsidTr="00CD6352">
        <w:tc>
          <w:tcPr>
            <w:tcW w:w="0" w:type="auto"/>
          </w:tcPr>
          <w:p w14:paraId="0BB54694"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Germany Mgr1</w:t>
            </w:r>
          </w:p>
        </w:tc>
        <w:tc>
          <w:tcPr>
            <w:tcW w:w="0" w:type="auto"/>
          </w:tcPr>
          <w:p w14:paraId="446158FB" w14:textId="664689D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 xml:space="preserve">Personal funds, funds from investors </w:t>
            </w:r>
            <w:r w:rsidR="00B07DFF" w:rsidRPr="00E80865">
              <w:rPr>
                <w:rFonts w:ascii="Arial" w:eastAsia="Calibri" w:hAnsi="Arial" w:cs="Arial"/>
                <w:sz w:val="16"/>
                <w:szCs w:val="16"/>
              </w:rPr>
              <w:t>(private</w:t>
            </w:r>
            <w:r w:rsidRPr="00E80865">
              <w:rPr>
                <w:rFonts w:ascii="Arial" w:eastAsia="Calibri" w:hAnsi="Arial" w:cs="Arial"/>
                <w:sz w:val="16"/>
                <w:szCs w:val="16"/>
              </w:rPr>
              <w:t xml:space="preserve"> equity) and banks</w:t>
            </w:r>
          </w:p>
        </w:tc>
      </w:tr>
      <w:tr w:rsidR="00CD6352" w:rsidRPr="00E80865" w14:paraId="4F155049" w14:textId="77777777" w:rsidTr="00CD6352">
        <w:tc>
          <w:tcPr>
            <w:tcW w:w="0" w:type="auto"/>
          </w:tcPr>
          <w:p w14:paraId="32C05057"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Germany Mgr. 2</w:t>
            </w:r>
          </w:p>
        </w:tc>
        <w:tc>
          <w:tcPr>
            <w:tcW w:w="0" w:type="auto"/>
          </w:tcPr>
          <w:p w14:paraId="16D6F22C"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Bank loan</w:t>
            </w:r>
          </w:p>
        </w:tc>
      </w:tr>
      <w:tr w:rsidR="00CD6352" w:rsidRPr="00E80865" w14:paraId="28559F92" w14:textId="77777777" w:rsidTr="00CD6352">
        <w:tc>
          <w:tcPr>
            <w:tcW w:w="0" w:type="auto"/>
          </w:tcPr>
          <w:p w14:paraId="7FB5D33D"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Germany Mgr3</w:t>
            </w:r>
          </w:p>
        </w:tc>
        <w:tc>
          <w:tcPr>
            <w:tcW w:w="0" w:type="auto"/>
          </w:tcPr>
          <w:p w14:paraId="7D75B960"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 xml:space="preserve">Senior debt, equity, private equity partners, mezzanine finance and clients are also institutional investors &amp; hence equity rich. </w:t>
            </w:r>
          </w:p>
        </w:tc>
      </w:tr>
      <w:tr w:rsidR="00CD6352" w:rsidRPr="00E80865" w14:paraId="7F3A924E" w14:textId="77777777" w:rsidTr="00CD6352">
        <w:tc>
          <w:tcPr>
            <w:tcW w:w="0" w:type="auto"/>
          </w:tcPr>
          <w:p w14:paraId="77D77C14"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Germany Mgr. 4</w:t>
            </w:r>
          </w:p>
        </w:tc>
        <w:tc>
          <w:tcPr>
            <w:tcW w:w="0" w:type="auto"/>
          </w:tcPr>
          <w:p w14:paraId="20BFF584"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Private debt, bank, mezzanine and publicly listed company (finance from company stock traded on the stock market).</w:t>
            </w:r>
          </w:p>
        </w:tc>
      </w:tr>
      <w:tr w:rsidR="00CD6352" w:rsidRPr="00E80865" w14:paraId="7D42D4B2" w14:textId="77777777" w:rsidTr="00CD6352">
        <w:tc>
          <w:tcPr>
            <w:tcW w:w="0" w:type="auto"/>
          </w:tcPr>
          <w:p w14:paraId="050BB3E0"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Germany Mgr. 5</w:t>
            </w:r>
          </w:p>
        </w:tc>
        <w:tc>
          <w:tcPr>
            <w:tcW w:w="0" w:type="auto"/>
          </w:tcPr>
          <w:p w14:paraId="2D003D77" w14:textId="06D0B320"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 xml:space="preserve">Senior lenders, local savings </w:t>
            </w:r>
            <w:r w:rsidR="00B07DFF" w:rsidRPr="00E80865">
              <w:rPr>
                <w:rFonts w:ascii="Arial" w:eastAsia="Calibri" w:hAnsi="Arial" w:cs="Arial"/>
                <w:sz w:val="16"/>
                <w:szCs w:val="16"/>
              </w:rPr>
              <w:t>banks (</w:t>
            </w:r>
            <w:r w:rsidRPr="00E80865">
              <w:rPr>
                <w:rFonts w:ascii="Arial" w:eastAsia="Calibri" w:hAnsi="Arial" w:cs="Arial"/>
                <w:sz w:val="16"/>
                <w:szCs w:val="16"/>
              </w:rPr>
              <w:t xml:space="preserve"> Sparkkassen), HSB Nordbank</w:t>
            </w:r>
          </w:p>
        </w:tc>
      </w:tr>
      <w:tr w:rsidR="00CD6352" w:rsidRPr="00E80865" w14:paraId="5BB84AB2" w14:textId="77777777" w:rsidTr="00CD6352">
        <w:tc>
          <w:tcPr>
            <w:tcW w:w="0" w:type="auto"/>
          </w:tcPr>
          <w:p w14:paraId="07E6A209"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Germany Mgr6</w:t>
            </w:r>
          </w:p>
        </w:tc>
        <w:tc>
          <w:tcPr>
            <w:tcW w:w="0" w:type="auto"/>
          </w:tcPr>
          <w:p w14:paraId="35E2E001"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Mezzanine finance</w:t>
            </w:r>
          </w:p>
        </w:tc>
      </w:tr>
      <w:tr w:rsidR="00CD6352" w:rsidRPr="00E80865" w14:paraId="343DD26C" w14:textId="77777777" w:rsidTr="00CD6352">
        <w:tc>
          <w:tcPr>
            <w:tcW w:w="0" w:type="auto"/>
          </w:tcPr>
          <w:p w14:paraId="481681AE"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UK Mgr. 1</w:t>
            </w:r>
          </w:p>
        </w:tc>
        <w:tc>
          <w:tcPr>
            <w:tcW w:w="0" w:type="auto"/>
          </w:tcPr>
          <w:p w14:paraId="2279C315"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Private debt</w:t>
            </w:r>
          </w:p>
        </w:tc>
      </w:tr>
      <w:tr w:rsidR="00CD6352" w:rsidRPr="00E80865" w14:paraId="5DBF40FE" w14:textId="77777777" w:rsidTr="00CD6352">
        <w:tc>
          <w:tcPr>
            <w:tcW w:w="0" w:type="auto"/>
          </w:tcPr>
          <w:p w14:paraId="42BE5240"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UK Mgr. 2</w:t>
            </w:r>
          </w:p>
        </w:tc>
        <w:tc>
          <w:tcPr>
            <w:tcW w:w="0" w:type="auto"/>
          </w:tcPr>
          <w:p w14:paraId="1A663300"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Pension funds</w:t>
            </w:r>
          </w:p>
        </w:tc>
      </w:tr>
      <w:tr w:rsidR="00CD6352" w:rsidRPr="00E80865" w14:paraId="1A15F1A0" w14:textId="77777777" w:rsidTr="00CD6352">
        <w:tc>
          <w:tcPr>
            <w:tcW w:w="0" w:type="auto"/>
          </w:tcPr>
          <w:p w14:paraId="0D2D40BF"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 xml:space="preserve">UK Mgr. 3 </w:t>
            </w:r>
          </w:p>
        </w:tc>
        <w:tc>
          <w:tcPr>
            <w:tcW w:w="0" w:type="auto"/>
          </w:tcPr>
          <w:p w14:paraId="1C198527"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Direct capital from International investors</w:t>
            </w:r>
          </w:p>
        </w:tc>
      </w:tr>
      <w:tr w:rsidR="00CD6352" w:rsidRPr="00E80865" w14:paraId="20722B9A" w14:textId="77777777" w:rsidTr="00CD6352">
        <w:tc>
          <w:tcPr>
            <w:tcW w:w="0" w:type="auto"/>
          </w:tcPr>
          <w:p w14:paraId="56E35367"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UK Mgr. 4</w:t>
            </w:r>
          </w:p>
        </w:tc>
        <w:tc>
          <w:tcPr>
            <w:tcW w:w="0" w:type="auto"/>
          </w:tcPr>
          <w:p w14:paraId="6A036CCF"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Self-funding, sale of assets, inward investment to the UK through offices in U.S, Hong Kong, Singapore and Malaysia; specialist loans; development partners and privately traded stock on the stock exchange with 20 wealthy shareholders</w:t>
            </w:r>
          </w:p>
        </w:tc>
      </w:tr>
      <w:tr w:rsidR="00CD6352" w:rsidRPr="00E80865" w14:paraId="37A6CF9C" w14:textId="77777777" w:rsidTr="00CD6352">
        <w:tc>
          <w:tcPr>
            <w:tcW w:w="0" w:type="auto"/>
          </w:tcPr>
          <w:p w14:paraId="56FF63B9"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UK Mgr. 5</w:t>
            </w:r>
          </w:p>
        </w:tc>
        <w:tc>
          <w:tcPr>
            <w:tcW w:w="0" w:type="auto"/>
          </w:tcPr>
          <w:p w14:paraId="1EA19390"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Retained cash, equity, debt and grants</w:t>
            </w:r>
          </w:p>
        </w:tc>
      </w:tr>
      <w:tr w:rsidR="00CD6352" w:rsidRPr="00E80865" w14:paraId="520BAE5B" w14:textId="77777777" w:rsidTr="00CD6352">
        <w:tc>
          <w:tcPr>
            <w:tcW w:w="0" w:type="auto"/>
          </w:tcPr>
          <w:p w14:paraId="1577546A"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UK Mgr. 6</w:t>
            </w:r>
          </w:p>
        </w:tc>
        <w:tc>
          <w:tcPr>
            <w:tcW w:w="0" w:type="auto"/>
          </w:tcPr>
          <w:p w14:paraId="1DEE1797"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Senior debt</w:t>
            </w:r>
          </w:p>
        </w:tc>
      </w:tr>
      <w:tr w:rsidR="00CD6352" w:rsidRPr="00E80865" w14:paraId="6590FD9F" w14:textId="77777777" w:rsidTr="00CD6352">
        <w:tc>
          <w:tcPr>
            <w:tcW w:w="0" w:type="auto"/>
          </w:tcPr>
          <w:p w14:paraId="252CC33C"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UK Mgr. 7</w:t>
            </w:r>
          </w:p>
        </w:tc>
        <w:tc>
          <w:tcPr>
            <w:tcW w:w="0" w:type="auto"/>
          </w:tcPr>
          <w:p w14:paraId="414A9709"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Pension funds and bank debt</w:t>
            </w:r>
          </w:p>
        </w:tc>
      </w:tr>
      <w:tr w:rsidR="00CD6352" w:rsidRPr="00E80865" w14:paraId="4087758A" w14:textId="77777777" w:rsidTr="00CD6352">
        <w:tc>
          <w:tcPr>
            <w:tcW w:w="0" w:type="auto"/>
          </w:tcPr>
          <w:p w14:paraId="065EB64D"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US Mgr1</w:t>
            </w:r>
          </w:p>
        </w:tc>
        <w:tc>
          <w:tcPr>
            <w:tcW w:w="0" w:type="auto"/>
          </w:tcPr>
          <w:p w14:paraId="7A844CE9"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 xml:space="preserve">A publicly listed company, partnership with big pension funds and big development groups, insurance, balance sheet lenders such as banks; debt fund; debt funds; sovereign debt; wealth funds and high net worth individuals. </w:t>
            </w:r>
          </w:p>
        </w:tc>
      </w:tr>
      <w:tr w:rsidR="00CD6352" w:rsidRPr="00E80865" w14:paraId="512B0700" w14:textId="77777777" w:rsidTr="00CD6352">
        <w:tc>
          <w:tcPr>
            <w:tcW w:w="0" w:type="auto"/>
          </w:tcPr>
          <w:p w14:paraId="27B50261"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US Mgr. 2</w:t>
            </w:r>
          </w:p>
        </w:tc>
        <w:tc>
          <w:tcPr>
            <w:tcW w:w="0" w:type="auto"/>
          </w:tcPr>
          <w:p w14:paraId="66291582"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Bank debt &amp; Sovereign wealth funds</w:t>
            </w:r>
          </w:p>
        </w:tc>
      </w:tr>
      <w:tr w:rsidR="00CD6352" w:rsidRPr="00E80865" w14:paraId="01A31FD6" w14:textId="77777777" w:rsidTr="00CD6352">
        <w:tc>
          <w:tcPr>
            <w:tcW w:w="0" w:type="auto"/>
          </w:tcPr>
          <w:p w14:paraId="7AB85E9E"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US Mgr3</w:t>
            </w:r>
          </w:p>
        </w:tc>
        <w:tc>
          <w:tcPr>
            <w:tcW w:w="0" w:type="auto"/>
          </w:tcPr>
          <w:p w14:paraId="0E12C884" w14:textId="51C95899"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 xml:space="preserve">Low-income housing tax credits, private sources, mezzanine finance, public and private partnership, community </w:t>
            </w:r>
            <w:r w:rsidR="00B07DFF" w:rsidRPr="00E80865">
              <w:rPr>
                <w:rFonts w:ascii="Arial" w:eastAsia="Calibri" w:hAnsi="Arial" w:cs="Arial"/>
                <w:sz w:val="16"/>
                <w:szCs w:val="16"/>
              </w:rPr>
              <w:t>grants, bridge</w:t>
            </w:r>
            <w:r w:rsidRPr="00E80865">
              <w:rPr>
                <w:rFonts w:ascii="Arial" w:eastAsia="Calibri" w:hAnsi="Arial" w:cs="Arial"/>
                <w:sz w:val="16"/>
                <w:szCs w:val="16"/>
              </w:rPr>
              <w:t xml:space="preserve"> financing, and equity</w:t>
            </w:r>
          </w:p>
        </w:tc>
      </w:tr>
      <w:tr w:rsidR="00CD6352" w:rsidRPr="00E80865" w14:paraId="0F65DE7C" w14:textId="77777777" w:rsidTr="00CD6352">
        <w:tc>
          <w:tcPr>
            <w:tcW w:w="0" w:type="auto"/>
          </w:tcPr>
          <w:p w14:paraId="6A090AD7"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US Mgr. 4</w:t>
            </w:r>
          </w:p>
        </w:tc>
        <w:tc>
          <w:tcPr>
            <w:tcW w:w="0" w:type="auto"/>
          </w:tcPr>
          <w:p w14:paraId="77F1B97D"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Bank debt &amp; equity</w:t>
            </w:r>
          </w:p>
        </w:tc>
      </w:tr>
      <w:tr w:rsidR="00CD6352" w:rsidRPr="00E80865" w14:paraId="44AF2F7D" w14:textId="77777777" w:rsidTr="00CD6352">
        <w:tc>
          <w:tcPr>
            <w:tcW w:w="0" w:type="auto"/>
          </w:tcPr>
          <w:p w14:paraId="5214E814"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US Mgr. 5</w:t>
            </w:r>
          </w:p>
        </w:tc>
        <w:tc>
          <w:tcPr>
            <w:tcW w:w="0" w:type="auto"/>
          </w:tcPr>
          <w:p w14:paraId="0718277A" w14:textId="77777777" w:rsidR="00CD6352" w:rsidRPr="00E80865" w:rsidRDefault="00CD6352" w:rsidP="00CD6352">
            <w:pPr>
              <w:jc w:val="both"/>
              <w:rPr>
                <w:rFonts w:ascii="Arial" w:eastAsia="Calibri" w:hAnsi="Arial" w:cs="Arial"/>
                <w:sz w:val="16"/>
                <w:szCs w:val="16"/>
              </w:rPr>
            </w:pPr>
            <w:r w:rsidRPr="00E80865">
              <w:rPr>
                <w:rFonts w:ascii="Arial" w:eastAsia="Calibri" w:hAnsi="Arial" w:cs="Arial"/>
                <w:sz w:val="16"/>
                <w:szCs w:val="16"/>
              </w:rPr>
              <w:t>Equity, loans from banks &amp; occasionally Mezzanine</w:t>
            </w:r>
          </w:p>
        </w:tc>
      </w:tr>
    </w:tbl>
    <w:p w14:paraId="0FBDA2C8" w14:textId="0A9218BE" w:rsidR="00CD6352" w:rsidRPr="00E80865" w:rsidRDefault="00CD6352" w:rsidP="00CD6352">
      <w:pPr>
        <w:spacing w:after="0" w:line="360" w:lineRule="auto"/>
        <w:jc w:val="both"/>
        <w:rPr>
          <w:rFonts w:ascii="Arial" w:eastAsia="Calibri" w:hAnsi="Arial" w:cs="Arial"/>
          <w:sz w:val="16"/>
          <w:szCs w:val="16"/>
        </w:rPr>
      </w:pPr>
      <w:r w:rsidRPr="00E80865">
        <w:rPr>
          <w:rFonts w:ascii="Arial" w:eastAsia="Calibri" w:hAnsi="Arial" w:cs="Arial"/>
          <w:sz w:val="16"/>
          <w:szCs w:val="16"/>
        </w:rPr>
        <w:t>Source: Author’s compilation (20</w:t>
      </w:r>
      <w:r w:rsidR="005B6494" w:rsidRPr="00E80865">
        <w:rPr>
          <w:rFonts w:ascii="Arial" w:eastAsia="Calibri" w:hAnsi="Arial" w:cs="Arial"/>
          <w:sz w:val="16"/>
          <w:szCs w:val="16"/>
        </w:rPr>
        <w:t>20</w:t>
      </w:r>
      <w:r w:rsidRPr="00E80865">
        <w:rPr>
          <w:rFonts w:ascii="Arial" w:eastAsia="Calibri" w:hAnsi="Arial" w:cs="Arial"/>
          <w:sz w:val="16"/>
          <w:szCs w:val="16"/>
        </w:rPr>
        <w:t>)</w:t>
      </w:r>
    </w:p>
    <w:p w14:paraId="791A9A5C" w14:textId="77777777" w:rsidR="00CD6352" w:rsidRPr="00E80865" w:rsidRDefault="00CD6352" w:rsidP="00CD6352">
      <w:pPr>
        <w:spacing w:after="0" w:line="360" w:lineRule="auto"/>
        <w:jc w:val="both"/>
        <w:rPr>
          <w:rFonts w:ascii="Arial" w:eastAsia="Calibri" w:hAnsi="Arial" w:cs="Arial"/>
          <w:sz w:val="16"/>
          <w:szCs w:val="16"/>
        </w:rPr>
      </w:pPr>
      <w:r w:rsidRPr="00E80865">
        <w:rPr>
          <w:rFonts w:ascii="Arial" w:eastAsia="Calibri" w:hAnsi="Arial" w:cs="Arial"/>
          <w:sz w:val="16"/>
          <w:szCs w:val="16"/>
        </w:rPr>
        <w:t>Note: ‘Mgr.’ denotes managers involved with financing decisions in the real estate sector</w:t>
      </w:r>
    </w:p>
    <w:p w14:paraId="0746C594" w14:textId="0BE0C401" w:rsidR="00E80865" w:rsidRPr="00A71F69" w:rsidRDefault="00E80865" w:rsidP="00E80865">
      <w:pPr>
        <w:pStyle w:val="Caption"/>
        <w:keepNext/>
        <w:rPr>
          <w:rFonts w:ascii="Arial" w:hAnsi="Arial" w:cs="Arial"/>
          <w:i w:val="0"/>
          <w:iCs w:val="0"/>
          <w:sz w:val="16"/>
          <w:szCs w:val="16"/>
        </w:rPr>
      </w:pPr>
      <w:bookmarkStart w:id="1127" w:name="_Toc78983971"/>
      <w:r w:rsidRPr="00A71F69">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5</w:t>
      </w:r>
      <w:r w:rsidR="008F25B1">
        <w:rPr>
          <w:rFonts w:ascii="Arial" w:hAnsi="Arial" w:cs="Arial"/>
          <w:sz w:val="16"/>
          <w:szCs w:val="16"/>
        </w:rPr>
        <w:fldChar w:fldCharType="end"/>
      </w:r>
      <w:r w:rsidRPr="00A71F69">
        <w:rPr>
          <w:rFonts w:ascii="Arial" w:hAnsi="Arial" w:cs="Arial"/>
          <w:sz w:val="16"/>
          <w:szCs w:val="16"/>
        </w:rPr>
        <w:t>:</w:t>
      </w:r>
      <w:r w:rsidRPr="00A71F69">
        <w:rPr>
          <w:rFonts w:ascii="Arial" w:hAnsi="Arial" w:cs="Arial"/>
          <w:i w:val="0"/>
          <w:iCs w:val="0"/>
          <w:sz w:val="16"/>
          <w:szCs w:val="16"/>
        </w:rPr>
        <w:t xml:space="preserve"> Results relating to the finance options for real estate project development in emerging economies.</w:t>
      </w:r>
      <w:bookmarkEnd w:id="112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425"/>
        <w:gridCol w:w="7591"/>
      </w:tblGrid>
      <w:tr w:rsidR="00CD6352" w:rsidRPr="00A71F69" w14:paraId="1E61AB39" w14:textId="77777777" w:rsidTr="00CD6352">
        <w:tc>
          <w:tcPr>
            <w:tcW w:w="0" w:type="auto"/>
          </w:tcPr>
          <w:p w14:paraId="0CFF0104" w14:textId="77777777" w:rsidR="00CD6352" w:rsidRPr="00A71F69" w:rsidRDefault="00CD6352" w:rsidP="00CD6352">
            <w:pPr>
              <w:jc w:val="both"/>
              <w:rPr>
                <w:rFonts w:ascii="Arial" w:eastAsia="Calibri" w:hAnsi="Arial" w:cs="Arial"/>
                <w:b/>
                <w:sz w:val="16"/>
                <w:szCs w:val="16"/>
              </w:rPr>
            </w:pPr>
            <w:r w:rsidRPr="00A71F69">
              <w:rPr>
                <w:rFonts w:ascii="Arial" w:eastAsia="Calibri" w:hAnsi="Arial" w:cs="Arial"/>
                <w:b/>
                <w:sz w:val="16"/>
                <w:szCs w:val="16"/>
              </w:rPr>
              <w:t>Country &amp; Manager</w:t>
            </w:r>
          </w:p>
        </w:tc>
        <w:tc>
          <w:tcPr>
            <w:tcW w:w="0" w:type="auto"/>
          </w:tcPr>
          <w:p w14:paraId="2DD6A416" w14:textId="77777777" w:rsidR="00CD6352" w:rsidRPr="00A71F69" w:rsidRDefault="00CD6352" w:rsidP="00CD6352">
            <w:pPr>
              <w:jc w:val="both"/>
              <w:rPr>
                <w:rFonts w:ascii="Arial" w:eastAsia="Calibri" w:hAnsi="Arial" w:cs="Arial"/>
                <w:b/>
                <w:sz w:val="16"/>
                <w:szCs w:val="16"/>
              </w:rPr>
            </w:pPr>
            <w:r w:rsidRPr="00A71F69">
              <w:rPr>
                <w:rFonts w:ascii="Arial" w:eastAsia="Calibri" w:hAnsi="Arial" w:cs="Arial"/>
                <w:b/>
                <w:sz w:val="16"/>
                <w:szCs w:val="16"/>
              </w:rPr>
              <w:t xml:space="preserve">Type of funding used for real estate project development </w:t>
            </w:r>
          </w:p>
        </w:tc>
      </w:tr>
      <w:tr w:rsidR="00CD6352" w:rsidRPr="00A71F69" w14:paraId="6AB22D38" w14:textId="77777777" w:rsidTr="00CD6352">
        <w:tc>
          <w:tcPr>
            <w:tcW w:w="0" w:type="auto"/>
          </w:tcPr>
          <w:p w14:paraId="23F26B45"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1</w:t>
            </w:r>
          </w:p>
        </w:tc>
        <w:tc>
          <w:tcPr>
            <w:tcW w:w="0" w:type="auto"/>
          </w:tcPr>
          <w:p w14:paraId="260A0D6F"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 xml:space="preserve">Central treasury function with the business, direct equity senior &amp; junior debt and the stock market. </w:t>
            </w:r>
          </w:p>
        </w:tc>
      </w:tr>
      <w:tr w:rsidR="00CD6352" w:rsidRPr="00A71F69" w14:paraId="1135DFEE" w14:textId="77777777" w:rsidTr="00CD6352">
        <w:tc>
          <w:tcPr>
            <w:tcW w:w="0" w:type="auto"/>
          </w:tcPr>
          <w:p w14:paraId="507DABA3"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2</w:t>
            </w:r>
          </w:p>
        </w:tc>
        <w:tc>
          <w:tcPr>
            <w:tcW w:w="0" w:type="auto"/>
          </w:tcPr>
          <w:p w14:paraId="002E7472" w14:textId="0BA62708"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 xml:space="preserve">Bank debt, corporate finance </w:t>
            </w:r>
            <w:r w:rsidR="00B07DFF" w:rsidRPr="00A71F69">
              <w:rPr>
                <w:rFonts w:ascii="Arial" w:eastAsia="Calibri" w:hAnsi="Arial" w:cs="Arial"/>
                <w:sz w:val="16"/>
                <w:szCs w:val="16"/>
              </w:rPr>
              <w:t>(accumulated</w:t>
            </w:r>
            <w:r w:rsidRPr="00A71F69">
              <w:rPr>
                <w:rFonts w:ascii="Arial" w:eastAsia="Calibri" w:hAnsi="Arial" w:cs="Arial"/>
                <w:sz w:val="16"/>
                <w:szCs w:val="16"/>
              </w:rPr>
              <w:t xml:space="preserve"> funds)</w:t>
            </w:r>
          </w:p>
        </w:tc>
      </w:tr>
      <w:tr w:rsidR="00CD6352" w:rsidRPr="00A71F69" w14:paraId="04CDF833" w14:textId="77777777" w:rsidTr="00CD6352">
        <w:trPr>
          <w:trHeight w:val="458"/>
        </w:trPr>
        <w:tc>
          <w:tcPr>
            <w:tcW w:w="0" w:type="auto"/>
          </w:tcPr>
          <w:p w14:paraId="5ADC6EE0"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3</w:t>
            </w:r>
          </w:p>
        </w:tc>
        <w:tc>
          <w:tcPr>
            <w:tcW w:w="0" w:type="auto"/>
          </w:tcPr>
          <w:p w14:paraId="55965F2C" w14:textId="462B321B"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Equity from company funds (raised from company investors</w:t>
            </w:r>
            <w:r w:rsidR="00B07DFF" w:rsidRPr="00A71F69">
              <w:rPr>
                <w:rFonts w:ascii="Arial" w:eastAsia="Calibri" w:hAnsi="Arial" w:cs="Arial"/>
                <w:sz w:val="16"/>
                <w:szCs w:val="16"/>
              </w:rPr>
              <w:t>); Loan</w:t>
            </w:r>
            <w:r w:rsidRPr="00A71F69">
              <w:rPr>
                <w:rFonts w:ascii="Arial" w:eastAsia="Calibri" w:hAnsi="Arial" w:cs="Arial"/>
                <w:sz w:val="16"/>
                <w:szCs w:val="16"/>
              </w:rPr>
              <w:t xml:space="preserve"> financing from banks (usually senior loans, occasionally mezzanine debt as well)</w:t>
            </w:r>
          </w:p>
        </w:tc>
      </w:tr>
      <w:tr w:rsidR="00CD6352" w:rsidRPr="00A71F69" w14:paraId="17CAF500" w14:textId="77777777" w:rsidTr="00CD6352">
        <w:tc>
          <w:tcPr>
            <w:tcW w:w="0" w:type="auto"/>
          </w:tcPr>
          <w:p w14:paraId="6CB76E81"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Mgr4</w:t>
            </w:r>
          </w:p>
        </w:tc>
        <w:tc>
          <w:tcPr>
            <w:tcW w:w="0" w:type="auto"/>
          </w:tcPr>
          <w:p w14:paraId="54172A9F"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 xml:space="preserve">Equity, bank and private debt and mezzanine finance </w:t>
            </w:r>
          </w:p>
        </w:tc>
      </w:tr>
      <w:tr w:rsidR="00CD6352" w:rsidRPr="00A71F69" w14:paraId="79B8C834" w14:textId="77777777" w:rsidTr="00CD6352">
        <w:tc>
          <w:tcPr>
            <w:tcW w:w="0" w:type="auto"/>
          </w:tcPr>
          <w:p w14:paraId="6025AF4E"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Mgr5</w:t>
            </w:r>
          </w:p>
        </w:tc>
        <w:tc>
          <w:tcPr>
            <w:tcW w:w="0" w:type="auto"/>
          </w:tcPr>
          <w:p w14:paraId="20C326EB"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Equity, bank and private debt and mezzanine finance</w:t>
            </w:r>
          </w:p>
        </w:tc>
      </w:tr>
      <w:tr w:rsidR="00CD6352" w:rsidRPr="00A71F69" w14:paraId="322C7947" w14:textId="77777777" w:rsidTr="00CD6352">
        <w:tc>
          <w:tcPr>
            <w:tcW w:w="0" w:type="auto"/>
          </w:tcPr>
          <w:p w14:paraId="40E573FE"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Mgr6</w:t>
            </w:r>
          </w:p>
        </w:tc>
        <w:tc>
          <w:tcPr>
            <w:tcW w:w="0" w:type="auto"/>
          </w:tcPr>
          <w:p w14:paraId="3D9FAFEA"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Equity, bank and private debt and mezzanine finance</w:t>
            </w:r>
          </w:p>
        </w:tc>
      </w:tr>
      <w:tr w:rsidR="00CD6352" w:rsidRPr="00A71F69" w14:paraId="30091C79" w14:textId="77777777" w:rsidTr="00CD6352">
        <w:tc>
          <w:tcPr>
            <w:tcW w:w="0" w:type="auto"/>
          </w:tcPr>
          <w:p w14:paraId="6F356764"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China Mgr7</w:t>
            </w:r>
          </w:p>
        </w:tc>
        <w:tc>
          <w:tcPr>
            <w:tcW w:w="0" w:type="auto"/>
          </w:tcPr>
          <w:p w14:paraId="6ECC55EB"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Equity investment and pension funds</w:t>
            </w:r>
          </w:p>
        </w:tc>
      </w:tr>
      <w:tr w:rsidR="00CD6352" w:rsidRPr="00A71F69" w14:paraId="207D42E8" w14:textId="77777777" w:rsidTr="00CD6352">
        <w:tc>
          <w:tcPr>
            <w:tcW w:w="0" w:type="auto"/>
          </w:tcPr>
          <w:p w14:paraId="68960A6C"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Nigeria 1</w:t>
            </w:r>
          </w:p>
        </w:tc>
        <w:tc>
          <w:tcPr>
            <w:tcW w:w="0" w:type="auto"/>
          </w:tcPr>
          <w:p w14:paraId="5F1AC17A"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Off takers &amp; bridge finance from banks</w:t>
            </w:r>
          </w:p>
        </w:tc>
      </w:tr>
      <w:tr w:rsidR="00CD6352" w:rsidRPr="00A71F69" w14:paraId="71AA298A" w14:textId="77777777" w:rsidTr="00CD6352">
        <w:tc>
          <w:tcPr>
            <w:tcW w:w="0" w:type="auto"/>
          </w:tcPr>
          <w:p w14:paraId="007C931B"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lastRenderedPageBreak/>
              <w:t>Nigeria 2</w:t>
            </w:r>
          </w:p>
        </w:tc>
        <w:tc>
          <w:tcPr>
            <w:tcW w:w="0" w:type="auto"/>
          </w:tcPr>
          <w:p w14:paraId="46241799"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Private shareholders, informal public placement and company funds</w:t>
            </w:r>
          </w:p>
        </w:tc>
      </w:tr>
      <w:tr w:rsidR="00CD6352" w:rsidRPr="00A71F69" w14:paraId="09D513FD" w14:textId="77777777" w:rsidTr="00CD6352">
        <w:tc>
          <w:tcPr>
            <w:tcW w:w="0" w:type="auto"/>
          </w:tcPr>
          <w:p w14:paraId="28087A16"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Nigeria 3</w:t>
            </w:r>
          </w:p>
        </w:tc>
        <w:tc>
          <w:tcPr>
            <w:tcW w:w="0" w:type="auto"/>
          </w:tcPr>
          <w:p w14:paraId="684067A5"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Off-takers and joint venture with landowners</w:t>
            </w:r>
          </w:p>
        </w:tc>
      </w:tr>
      <w:tr w:rsidR="00CD6352" w:rsidRPr="00A71F69" w14:paraId="72971EE3" w14:textId="77777777" w:rsidTr="00CD6352">
        <w:tc>
          <w:tcPr>
            <w:tcW w:w="0" w:type="auto"/>
          </w:tcPr>
          <w:p w14:paraId="4E6C8BBA"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Nigeria 4</w:t>
            </w:r>
          </w:p>
        </w:tc>
        <w:tc>
          <w:tcPr>
            <w:tcW w:w="0" w:type="auto"/>
          </w:tcPr>
          <w:p w14:paraId="35394EF7" w14:textId="17074E34"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 xml:space="preserve">Private finance, off-takers, minimal bank finance </w:t>
            </w:r>
            <w:r w:rsidR="00B07DFF" w:rsidRPr="00A71F69">
              <w:rPr>
                <w:rFonts w:ascii="Arial" w:eastAsia="Calibri" w:hAnsi="Arial" w:cs="Arial"/>
                <w:sz w:val="16"/>
                <w:szCs w:val="16"/>
              </w:rPr>
              <w:t>and credit</w:t>
            </w:r>
            <w:r w:rsidRPr="00A71F69">
              <w:rPr>
                <w:rFonts w:ascii="Arial" w:eastAsia="Calibri" w:hAnsi="Arial" w:cs="Arial"/>
                <w:sz w:val="16"/>
                <w:szCs w:val="16"/>
              </w:rPr>
              <w:t xml:space="preserve"> purchase of building materials </w:t>
            </w:r>
          </w:p>
        </w:tc>
      </w:tr>
      <w:tr w:rsidR="00CD6352" w:rsidRPr="00A71F69" w14:paraId="7E80953A" w14:textId="77777777" w:rsidTr="00CD6352">
        <w:tc>
          <w:tcPr>
            <w:tcW w:w="0" w:type="auto"/>
          </w:tcPr>
          <w:p w14:paraId="2A88DD68"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Nigeria 5</w:t>
            </w:r>
          </w:p>
        </w:tc>
        <w:tc>
          <w:tcPr>
            <w:tcW w:w="0" w:type="auto"/>
          </w:tcPr>
          <w:p w14:paraId="5FA2AAD5"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Off-takers &amp; personal funds</w:t>
            </w:r>
          </w:p>
        </w:tc>
      </w:tr>
      <w:tr w:rsidR="00CD6352" w:rsidRPr="00A71F69" w14:paraId="343D157C" w14:textId="77777777" w:rsidTr="00CD6352">
        <w:tc>
          <w:tcPr>
            <w:tcW w:w="0" w:type="auto"/>
          </w:tcPr>
          <w:p w14:paraId="25E9C8D5"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Nigeria 6</w:t>
            </w:r>
          </w:p>
        </w:tc>
        <w:tc>
          <w:tcPr>
            <w:tcW w:w="0" w:type="auto"/>
          </w:tcPr>
          <w:p w14:paraId="14CA6979"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Private sector investors and off-takers</w:t>
            </w:r>
          </w:p>
        </w:tc>
      </w:tr>
      <w:tr w:rsidR="00CD6352" w:rsidRPr="00A71F69" w14:paraId="431EF0F8" w14:textId="77777777" w:rsidTr="00CD6352">
        <w:tc>
          <w:tcPr>
            <w:tcW w:w="0" w:type="auto"/>
          </w:tcPr>
          <w:p w14:paraId="266DF750"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South African 1</w:t>
            </w:r>
          </w:p>
        </w:tc>
        <w:tc>
          <w:tcPr>
            <w:tcW w:w="0" w:type="auto"/>
          </w:tcPr>
          <w:p w14:paraId="63B5738E"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Pension funds</w:t>
            </w:r>
          </w:p>
        </w:tc>
      </w:tr>
      <w:tr w:rsidR="00CD6352" w:rsidRPr="00A71F69" w14:paraId="712FA4D7" w14:textId="77777777" w:rsidTr="00CD6352">
        <w:tc>
          <w:tcPr>
            <w:tcW w:w="0" w:type="auto"/>
          </w:tcPr>
          <w:p w14:paraId="150F2087"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South Africa 2</w:t>
            </w:r>
          </w:p>
        </w:tc>
        <w:tc>
          <w:tcPr>
            <w:tcW w:w="0" w:type="auto"/>
          </w:tcPr>
          <w:p w14:paraId="005FAAFF"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Short-note facilities from banks</w:t>
            </w:r>
          </w:p>
        </w:tc>
      </w:tr>
      <w:tr w:rsidR="00CD6352" w:rsidRPr="00A71F69" w14:paraId="44B9A38A" w14:textId="77777777" w:rsidTr="00CD6352">
        <w:tc>
          <w:tcPr>
            <w:tcW w:w="0" w:type="auto"/>
          </w:tcPr>
          <w:p w14:paraId="4BD3D2C1"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South Africa 3</w:t>
            </w:r>
          </w:p>
        </w:tc>
        <w:tc>
          <w:tcPr>
            <w:tcW w:w="0" w:type="auto"/>
          </w:tcPr>
          <w:p w14:paraId="184907B7"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Bank funds, shareholder funds (shares are listed on the Johannesburg stock exchange).</w:t>
            </w:r>
          </w:p>
        </w:tc>
      </w:tr>
      <w:tr w:rsidR="00CD6352" w:rsidRPr="00A71F69" w14:paraId="58C8F64F" w14:textId="77777777" w:rsidTr="00CD6352">
        <w:tc>
          <w:tcPr>
            <w:tcW w:w="0" w:type="auto"/>
          </w:tcPr>
          <w:p w14:paraId="20C3B77B"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South Africa 4</w:t>
            </w:r>
          </w:p>
        </w:tc>
        <w:tc>
          <w:tcPr>
            <w:tcW w:w="0" w:type="auto"/>
          </w:tcPr>
          <w:p w14:paraId="0F62B511" w14:textId="77777777" w:rsidR="00CD6352" w:rsidRPr="00A71F69" w:rsidRDefault="00CD6352" w:rsidP="00CD6352">
            <w:pPr>
              <w:jc w:val="both"/>
              <w:rPr>
                <w:rFonts w:ascii="Arial" w:eastAsia="Calibri" w:hAnsi="Arial" w:cs="Arial"/>
                <w:sz w:val="16"/>
                <w:szCs w:val="16"/>
              </w:rPr>
            </w:pPr>
            <w:r w:rsidRPr="00A71F69">
              <w:rPr>
                <w:rFonts w:ascii="Arial" w:eastAsia="Calibri" w:hAnsi="Arial" w:cs="Arial"/>
                <w:sz w:val="16"/>
                <w:szCs w:val="16"/>
              </w:rPr>
              <w:t xml:space="preserve">Own funding, debt funding, and equity funding. </w:t>
            </w:r>
          </w:p>
        </w:tc>
      </w:tr>
    </w:tbl>
    <w:p w14:paraId="309E2A30" w14:textId="77777777" w:rsidR="00CD6352" w:rsidRPr="00A71F69" w:rsidRDefault="00CD6352" w:rsidP="00CD6352">
      <w:pPr>
        <w:spacing w:after="0" w:line="360" w:lineRule="auto"/>
        <w:jc w:val="both"/>
        <w:rPr>
          <w:rFonts w:ascii="Arial" w:eastAsia="Calibri" w:hAnsi="Arial" w:cs="Arial"/>
          <w:sz w:val="16"/>
          <w:szCs w:val="16"/>
        </w:rPr>
      </w:pPr>
      <w:r w:rsidRPr="00A71F69">
        <w:rPr>
          <w:rFonts w:ascii="Arial" w:eastAsia="Calibri" w:hAnsi="Arial" w:cs="Arial"/>
          <w:sz w:val="16"/>
          <w:szCs w:val="16"/>
        </w:rPr>
        <w:t>Source: Author’s compilation (2019)</w:t>
      </w:r>
    </w:p>
    <w:p w14:paraId="3EC54615" w14:textId="77777777" w:rsidR="00CD6352" w:rsidRPr="00A71F69" w:rsidRDefault="00CD6352" w:rsidP="00CD6352">
      <w:pPr>
        <w:spacing w:line="360" w:lineRule="auto"/>
        <w:jc w:val="both"/>
        <w:rPr>
          <w:rFonts w:ascii="Arial" w:eastAsia="Calibri" w:hAnsi="Arial" w:cs="Arial"/>
          <w:sz w:val="16"/>
          <w:szCs w:val="16"/>
        </w:rPr>
      </w:pPr>
      <w:r w:rsidRPr="00A71F69">
        <w:rPr>
          <w:rFonts w:ascii="Arial" w:eastAsia="Calibri" w:hAnsi="Arial" w:cs="Arial"/>
          <w:sz w:val="16"/>
          <w:szCs w:val="16"/>
        </w:rPr>
        <w:t>Note: ‘Mgr’ denotes managers involved with financing decisions in the real estate sector</w:t>
      </w:r>
    </w:p>
    <w:p w14:paraId="311E7AE2" w14:textId="0B590296" w:rsidR="00CD6352" w:rsidRPr="00EA7665" w:rsidRDefault="00CD6352" w:rsidP="00CD6352">
      <w:pPr>
        <w:spacing w:line="360" w:lineRule="auto"/>
        <w:jc w:val="both"/>
        <w:rPr>
          <w:rFonts w:ascii="Arial" w:hAnsi="Arial" w:cs="Arial"/>
        </w:rPr>
      </w:pPr>
      <w:r w:rsidRPr="00EA7665">
        <w:rPr>
          <w:rFonts w:ascii="Arial" w:hAnsi="Arial" w:cs="Arial"/>
        </w:rPr>
        <w:t>The findings demonstrat</w:t>
      </w:r>
      <w:r>
        <w:rPr>
          <w:rFonts w:ascii="Arial" w:hAnsi="Arial" w:cs="Arial"/>
        </w:rPr>
        <w:t>e</w:t>
      </w:r>
      <w:r w:rsidRPr="00EA7665">
        <w:rPr>
          <w:rFonts w:ascii="Arial" w:hAnsi="Arial" w:cs="Arial"/>
        </w:rPr>
        <w:t xml:space="preserve"> that property companies operating in developed markets have greater access to equity and debt from both the capital market and established financial institutions</w:t>
      </w:r>
      <w:r w:rsidR="005C24F2">
        <w:rPr>
          <w:rFonts w:ascii="Arial" w:hAnsi="Arial" w:cs="Arial"/>
        </w:rPr>
        <w:t>,</w:t>
      </w:r>
      <w:r w:rsidRPr="00EA7665">
        <w:rPr>
          <w:rFonts w:ascii="Arial" w:hAnsi="Arial" w:cs="Arial"/>
        </w:rPr>
        <w:t xml:space="preserve"> respectively than those in the emerging economies. These findings from the intervie</w:t>
      </w:r>
      <w:r>
        <w:rPr>
          <w:rFonts w:ascii="Arial" w:hAnsi="Arial" w:cs="Arial"/>
        </w:rPr>
        <w:t>ws</w:t>
      </w:r>
      <w:r w:rsidRPr="00EA7665">
        <w:rPr>
          <w:rFonts w:ascii="Arial" w:hAnsi="Arial" w:cs="Arial"/>
        </w:rPr>
        <w:t xml:space="preserve"> suggesting greater access to finance by managers in the developed </w:t>
      </w:r>
      <w:r>
        <w:rPr>
          <w:rFonts w:ascii="Arial" w:hAnsi="Arial" w:cs="Arial"/>
        </w:rPr>
        <w:t>than the</w:t>
      </w:r>
      <w:r w:rsidRPr="00EA7665">
        <w:rPr>
          <w:rFonts w:ascii="Arial" w:hAnsi="Arial" w:cs="Arial"/>
        </w:rPr>
        <w:t xml:space="preserve"> emerging economies </w:t>
      </w:r>
      <w:r w:rsidR="0033394C">
        <w:rPr>
          <w:rFonts w:ascii="Arial" w:hAnsi="Arial" w:cs="Arial"/>
        </w:rPr>
        <w:t>are</w:t>
      </w:r>
      <w:r w:rsidRPr="00EA7665">
        <w:rPr>
          <w:rFonts w:ascii="Arial" w:hAnsi="Arial" w:cs="Arial"/>
        </w:rPr>
        <w:t xml:space="preserve"> consistent with both conclusions of the questionnaire survey and existing literature (Barkham, 2012; Zhou, 2019). The assertion that there is more liquidity for real estate project development in the developed economies as compared to the emerging economies is reflected </w:t>
      </w:r>
      <w:r>
        <w:rPr>
          <w:rFonts w:ascii="Arial" w:hAnsi="Arial" w:cs="Arial"/>
        </w:rPr>
        <w:t xml:space="preserve">in </w:t>
      </w:r>
      <w:r w:rsidRPr="00EA7665">
        <w:rPr>
          <w:rFonts w:ascii="Arial" w:hAnsi="Arial" w:cs="Arial"/>
        </w:rPr>
        <w:t>the extracts below from some of the managers interviewed in</w:t>
      </w:r>
      <w:r>
        <w:rPr>
          <w:rFonts w:ascii="Arial" w:hAnsi="Arial" w:cs="Arial"/>
        </w:rPr>
        <w:t xml:space="preserve"> the</w:t>
      </w:r>
      <w:r w:rsidRPr="00EA7665">
        <w:rPr>
          <w:rFonts w:ascii="Arial" w:hAnsi="Arial" w:cs="Arial"/>
        </w:rPr>
        <w:t xml:space="preserve"> US, Germany, Nigeria and South Africa: </w:t>
      </w:r>
    </w:p>
    <w:p w14:paraId="795CEF1D" w14:textId="4144F0A8" w:rsidR="00CD6352" w:rsidRPr="00EA7665" w:rsidRDefault="00CD6352" w:rsidP="00CD6352">
      <w:pPr>
        <w:spacing w:line="360" w:lineRule="auto"/>
        <w:ind w:left="720"/>
        <w:jc w:val="both"/>
        <w:rPr>
          <w:rFonts w:ascii="Arial" w:hAnsi="Arial" w:cs="Arial"/>
          <w:i/>
        </w:rPr>
      </w:pPr>
      <w:r w:rsidRPr="00EA7665">
        <w:rPr>
          <w:rFonts w:ascii="Arial" w:hAnsi="Arial" w:cs="Arial"/>
          <w:i/>
        </w:rPr>
        <w:t>“The good developers aren't having a problem getting access to capital”</w:t>
      </w:r>
      <w:r w:rsidR="00156C15">
        <w:rPr>
          <w:rFonts w:ascii="Arial" w:hAnsi="Arial" w:cs="Arial"/>
          <w:i/>
        </w:rPr>
        <w:t>,</w:t>
      </w:r>
      <w:r w:rsidRPr="00EA7665">
        <w:rPr>
          <w:rFonts w:ascii="Arial" w:hAnsi="Arial" w:cs="Arial"/>
          <w:i/>
        </w:rPr>
        <w:t xml:space="preserve"> US Mgr. 2.”</w:t>
      </w:r>
    </w:p>
    <w:p w14:paraId="7D4E2285" w14:textId="0CD13706" w:rsidR="00CD6352" w:rsidRPr="00EA7665" w:rsidRDefault="00CD6352" w:rsidP="00CD6352">
      <w:pPr>
        <w:spacing w:line="360" w:lineRule="auto"/>
        <w:ind w:left="720"/>
        <w:jc w:val="both"/>
        <w:rPr>
          <w:rFonts w:ascii="Arial" w:hAnsi="Arial" w:cs="Arial"/>
          <w:i/>
        </w:rPr>
      </w:pPr>
      <w:r w:rsidRPr="00EA7665">
        <w:rPr>
          <w:rFonts w:ascii="Arial" w:hAnsi="Arial" w:cs="Arial"/>
          <w:i/>
        </w:rPr>
        <w:t>“The access to capital is not a big problem now, at least here in Germany</w:t>
      </w:r>
      <w:r w:rsidR="00156C15">
        <w:rPr>
          <w:rFonts w:ascii="Arial" w:hAnsi="Arial" w:cs="Arial"/>
          <w:i/>
        </w:rPr>
        <w:t>,</w:t>
      </w:r>
      <w:r w:rsidRPr="00EA7665">
        <w:rPr>
          <w:rFonts w:ascii="Arial" w:hAnsi="Arial" w:cs="Arial"/>
          <w:i/>
        </w:rPr>
        <w:t xml:space="preserve"> because capital is abundant</w:t>
      </w:r>
      <w:r>
        <w:rPr>
          <w:rFonts w:ascii="Arial" w:hAnsi="Arial" w:cs="Arial"/>
          <w:i/>
        </w:rPr>
        <w:t xml:space="preserve"> from</w:t>
      </w:r>
      <w:r w:rsidRPr="00EA7665">
        <w:rPr>
          <w:rFonts w:ascii="Arial" w:hAnsi="Arial" w:cs="Arial"/>
          <w:i/>
        </w:rPr>
        <w:t xml:space="preserve"> both equity and debt. Therefore, the banks are currently</w:t>
      </w:r>
      <w:r>
        <w:rPr>
          <w:rFonts w:ascii="Arial" w:hAnsi="Arial" w:cs="Arial"/>
          <w:i/>
        </w:rPr>
        <w:t xml:space="preserve"> finding that there </w:t>
      </w:r>
      <w:r w:rsidR="0091001D">
        <w:rPr>
          <w:rFonts w:ascii="Arial" w:hAnsi="Arial" w:cs="Arial"/>
          <w:i/>
        </w:rPr>
        <w:t xml:space="preserve">is </w:t>
      </w:r>
      <w:r w:rsidR="0091001D" w:rsidRPr="00EA7665">
        <w:rPr>
          <w:rFonts w:ascii="Arial" w:hAnsi="Arial" w:cs="Arial"/>
          <w:i/>
        </w:rPr>
        <w:t>very</w:t>
      </w:r>
      <w:r w:rsidRPr="00EA7665">
        <w:rPr>
          <w:rFonts w:ascii="Arial" w:hAnsi="Arial" w:cs="Arial"/>
          <w:i/>
        </w:rPr>
        <w:t xml:space="preserve"> fierce competition for clients. The biggest problem for developers now is not so </w:t>
      </w:r>
      <w:r w:rsidR="0091001D" w:rsidRPr="00EA7665">
        <w:rPr>
          <w:rFonts w:ascii="Arial" w:hAnsi="Arial" w:cs="Arial"/>
          <w:i/>
        </w:rPr>
        <w:t>much finance</w:t>
      </w:r>
      <w:r w:rsidRPr="00EA7665">
        <w:rPr>
          <w:rFonts w:ascii="Arial" w:hAnsi="Arial" w:cs="Arial"/>
          <w:i/>
        </w:rPr>
        <w:t xml:space="preserve"> but the </w:t>
      </w:r>
      <w:r w:rsidR="00672353">
        <w:rPr>
          <w:rFonts w:ascii="Arial" w:hAnsi="Arial" w:cs="Arial"/>
          <w:i/>
        </w:rPr>
        <w:t xml:space="preserve">acquisition </w:t>
      </w:r>
      <w:r w:rsidR="00672353" w:rsidRPr="00EA7665">
        <w:rPr>
          <w:rFonts w:ascii="Arial" w:hAnsi="Arial" w:cs="Arial"/>
          <w:i/>
        </w:rPr>
        <w:t>of</w:t>
      </w:r>
      <w:r w:rsidRPr="00EA7665">
        <w:rPr>
          <w:rFonts w:ascii="Arial" w:hAnsi="Arial" w:cs="Arial"/>
          <w:i/>
        </w:rPr>
        <w:t xml:space="preserve"> land. ” Germany Mgr. 4”</w:t>
      </w:r>
    </w:p>
    <w:p w14:paraId="398F333D" w14:textId="77777777" w:rsidR="00CD6352" w:rsidRPr="00EA7665" w:rsidRDefault="00CD6352" w:rsidP="00CD6352">
      <w:pPr>
        <w:spacing w:line="360" w:lineRule="auto"/>
        <w:ind w:left="720"/>
        <w:jc w:val="both"/>
        <w:rPr>
          <w:rFonts w:ascii="Arial" w:hAnsi="Arial" w:cs="Arial"/>
          <w:i/>
        </w:rPr>
      </w:pPr>
      <w:r w:rsidRPr="00EA7665">
        <w:rPr>
          <w:rFonts w:ascii="Arial" w:hAnsi="Arial" w:cs="Arial"/>
          <w:i/>
        </w:rPr>
        <w:t>“The banks do not give estate development loans; it is difficult also to access funding from the federal mortgage bank because the competition is very stiff. You could put in an application and may have to wait up to 6 years to access funding” Nigeria Mgr.1.”</w:t>
      </w:r>
    </w:p>
    <w:p w14:paraId="45AD8CCB" w14:textId="77777777" w:rsidR="00CD6352" w:rsidRPr="00EA7665" w:rsidRDefault="00CD6352" w:rsidP="00CD6352">
      <w:pPr>
        <w:spacing w:line="360" w:lineRule="auto"/>
        <w:ind w:left="720"/>
        <w:jc w:val="both"/>
        <w:rPr>
          <w:rFonts w:ascii="Arial" w:hAnsi="Arial" w:cs="Arial"/>
          <w:i/>
        </w:rPr>
      </w:pPr>
      <w:r w:rsidRPr="00EA7665">
        <w:rPr>
          <w:rFonts w:ascii="Arial" w:hAnsi="Arial" w:cs="Arial"/>
          <w:i/>
        </w:rPr>
        <w:t>“The banks require a large equity input from developers, so you need a lot of capital, which is not easy to put together” South Africa Mgr2.”</w:t>
      </w:r>
    </w:p>
    <w:p w14:paraId="2DFF1539" w14:textId="48CC00F3" w:rsidR="00CD6352" w:rsidRPr="00EA7665" w:rsidRDefault="00CD6352" w:rsidP="00CD6352">
      <w:pPr>
        <w:spacing w:line="360" w:lineRule="auto"/>
        <w:jc w:val="both"/>
        <w:rPr>
          <w:rFonts w:ascii="Arial" w:eastAsia="Calibri" w:hAnsi="Arial" w:cs="Arial"/>
        </w:rPr>
      </w:pPr>
      <w:r w:rsidRPr="00EA7665">
        <w:rPr>
          <w:rFonts w:ascii="Arial" w:hAnsi="Arial" w:cs="Arial"/>
        </w:rPr>
        <w:t>There is a general understanding that property markets operating in countries with well-developed capital markets</w:t>
      </w:r>
      <w:r>
        <w:rPr>
          <w:rFonts w:ascii="Arial" w:hAnsi="Arial" w:cs="Arial"/>
        </w:rPr>
        <w:t>,</w:t>
      </w:r>
      <w:r w:rsidRPr="00EA7665">
        <w:rPr>
          <w:rFonts w:ascii="Arial" w:hAnsi="Arial" w:cs="Arial"/>
        </w:rPr>
        <w:t xml:space="preserve"> such as the developed economies in this study</w:t>
      </w:r>
      <w:r>
        <w:rPr>
          <w:rFonts w:ascii="Arial" w:hAnsi="Arial" w:cs="Arial"/>
        </w:rPr>
        <w:t>,</w:t>
      </w:r>
      <w:r w:rsidRPr="00EA7665">
        <w:rPr>
          <w:rFonts w:ascii="Arial" w:hAnsi="Arial" w:cs="Arial"/>
        </w:rPr>
        <w:t xml:space="preserve"> have greater access to finance for property investments (Nurick et al., 2017). </w:t>
      </w:r>
      <w:r w:rsidRPr="00EA7665">
        <w:rPr>
          <w:rFonts w:ascii="Arial" w:eastAsia="Calibri" w:hAnsi="Arial" w:cs="Arial"/>
        </w:rPr>
        <w:t>Debt effectively appears to be very significant in the German real estate sector. Banks give money on a classical loan structure</w:t>
      </w:r>
      <w:r>
        <w:rPr>
          <w:rFonts w:ascii="Arial" w:eastAsia="Calibri" w:hAnsi="Arial" w:cs="Arial"/>
        </w:rPr>
        <w:t xml:space="preserve">. </w:t>
      </w:r>
      <w:r w:rsidRPr="00EA7665">
        <w:rPr>
          <w:rFonts w:ascii="Arial" w:eastAsia="Calibri" w:hAnsi="Arial" w:cs="Arial"/>
        </w:rPr>
        <w:t xml:space="preserve"> </w:t>
      </w:r>
      <w:r>
        <w:rPr>
          <w:rFonts w:ascii="Arial" w:eastAsia="Calibri" w:hAnsi="Arial" w:cs="Arial"/>
        </w:rPr>
        <w:t>T</w:t>
      </w:r>
      <w:r w:rsidRPr="00EA7665">
        <w:rPr>
          <w:rFonts w:ascii="Arial" w:eastAsia="Calibri" w:hAnsi="Arial" w:cs="Arial"/>
        </w:rPr>
        <w:t xml:space="preserve">hey also use private equity, mezzanine capital, </w:t>
      </w:r>
      <w:r>
        <w:rPr>
          <w:rFonts w:ascii="Arial" w:eastAsia="Calibri" w:hAnsi="Arial" w:cs="Arial"/>
        </w:rPr>
        <w:t xml:space="preserve">the </w:t>
      </w:r>
      <w:r w:rsidRPr="00EA7665">
        <w:rPr>
          <w:rFonts w:ascii="Arial" w:eastAsia="Calibri" w:hAnsi="Arial" w:cs="Arial"/>
        </w:rPr>
        <w:t>stock market and funds from traded debt.  Managers who do not have much equity often use mezzanine</w:t>
      </w:r>
      <w:r>
        <w:rPr>
          <w:rFonts w:ascii="Arial" w:eastAsia="Calibri" w:hAnsi="Arial" w:cs="Arial"/>
        </w:rPr>
        <w:t xml:space="preserve"> capital</w:t>
      </w:r>
      <w:r w:rsidRPr="00EA7665">
        <w:rPr>
          <w:rFonts w:ascii="Arial" w:eastAsia="Calibri" w:hAnsi="Arial" w:cs="Arial"/>
        </w:rPr>
        <w:t xml:space="preserve">. However, </w:t>
      </w:r>
      <w:r w:rsidRPr="00EA7665">
        <w:rPr>
          <w:rFonts w:ascii="Arial" w:eastAsia="Calibri" w:hAnsi="Arial" w:cs="Arial"/>
        </w:rPr>
        <w:lastRenderedPageBreak/>
        <w:t>a few managers who experienced the impact of the financial crisis on their businesses sa</w:t>
      </w:r>
      <w:r>
        <w:rPr>
          <w:rFonts w:ascii="Arial" w:eastAsia="Calibri" w:hAnsi="Arial" w:cs="Arial"/>
        </w:rPr>
        <w:t>id</w:t>
      </w:r>
      <w:r w:rsidRPr="00EA7665">
        <w:rPr>
          <w:rFonts w:ascii="Arial" w:eastAsia="Calibri" w:hAnsi="Arial" w:cs="Arial"/>
        </w:rPr>
        <w:t xml:space="preserve"> they are a little </w:t>
      </w:r>
      <w:r>
        <w:rPr>
          <w:rFonts w:ascii="Arial" w:eastAsia="Calibri" w:hAnsi="Arial" w:cs="Arial"/>
        </w:rPr>
        <w:t>cautious about taking</w:t>
      </w:r>
      <w:r w:rsidRPr="00EA7665">
        <w:rPr>
          <w:rFonts w:ascii="Arial" w:eastAsia="Calibri" w:hAnsi="Arial" w:cs="Arial"/>
        </w:rPr>
        <w:t xml:space="preserve"> on mezzanine finance unless it is</w:t>
      </w:r>
      <w:r>
        <w:rPr>
          <w:rFonts w:ascii="Arial" w:eastAsia="Calibri" w:hAnsi="Arial" w:cs="Arial"/>
        </w:rPr>
        <w:t xml:space="preserve"> necessary</w:t>
      </w:r>
      <w:r w:rsidRPr="00EA7665">
        <w:rPr>
          <w:rFonts w:ascii="Arial" w:eastAsia="Calibri" w:hAnsi="Arial" w:cs="Arial"/>
        </w:rPr>
        <w:t xml:space="preserve"> because if there is a downturn</w:t>
      </w:r>
      <w:r w:rsidR="00156C15">
        <w:rPr>
          <w:rFonts w:ascii="Arial" w:eastAsia="Calibri" w:hAnsi="Arial" w:cs="Arial"/>
        </w:rPr>
        <w:t>,</w:t>
      </w:r>
      <w:r w:rsidRPr="00EA7665">
        <w:rPr>
          <w:rFonts w:ascii="Arial" w:eastAsia="Calibri" w:hAnsi="Arial" w:cs="Arial"/>
        </w:rPr>
        <w:t xml:space="preserve"> the manager could end up in a challenging situation because the mezzanine lender will effectively take over the equity. </w:t>
      </w:r>
    </w:p>
    <w:p w14:paraId="2DDDFE81" w14:textId="2F75E06D" w:rsidR="00CD6352" w:rsidRPr="00EA7665" w:rsidRDefault="00CD6352" w:rsidP="00CD6352">
      <w:pPr>
        <w:spacing w:before="240" w:line="360" w:lineRule="auto"/>
        <w:jc w:val="both"/>
        <w:rPr>
          <w:rFonts w:ascii="Arial" w:hAnsi="Arial" w:cs="Arial"/>
        </w:rPr>
      </w:pPr>
      <w:r w:rsidRPr="00EA7665">
        <w:rPr>
          <w:rFonts w:ascii="Arial" w:eastAsia="Calibri" w:hAnsi="Arial" w:cs="Arial"/>
        </w:rPr>
        <w:t>Furthermore, some of the real estate managers interviewed in the UK and Germany have offices in some Asian countries, which they use as a conduit to attract investment into their projects in the UK and Germany because the UK and Germany are considered safe-have</w:t>
      </w:r>
      <w:r>
        <w:rPr>
          <w:rFonts w:ascii="Arial" w:eastAsia="Calibri" w:hAnsi="Arial" w:cs="Arial"/>
        </w:rPr>
        <w:t>ns</w:t>
      </w:r>
      <w:r w:rsidRPr="00EA7665">
        <w:rPr>
          <w:rFonts w:ascii="Arial" w:eastAsia="Calibri" w:hAnsi="Arial" w:cs="Arial"/>
        </w:rPr>
        <w:t xml:space="preserve"> for investors. The advanced economies receive 90% of the real estate investment flow (Burrell, 2015). Some of </w:t>
      </w:r>
      <w:r w:rsidR="00D055E0" w:rsidRPr="00EA7665">
        <w:rPr>
          <w:rFonts w:ascii="Arial" w:eastAsia="Calibri" w:hAnsi="Arial" w:cs="Arial"/>
        </w:rPr>
        <w:t>the managers</w:t>
      </w:r>
      <w:r w:rsidRPr="00EA7665">
        <w:rPr>
          <w:rFonts w:ascii="Arial" w:eastAsia="Calibri" w:hAnsi="Arial" w:cs="Arial"/>
        </w:rPr>
        <w:t xml:space="preserve"> interviewed in Germany sell properties to international buyers in Asia, the Middle East, and the United States</w:t>
      </w:r>
      <w:r w:rsidR="00156C15">
        <w:rPr>
          <w:rFonts w:ascii="Arial" w:eastAsia="Calibri" w:hAnsi="Arial" w:cs="Arial"/>
        </w:rPr>
        <w:t>;</w:t>
      </w:r>
      <w:r w:rsidR="00156C15" w:rsidRPr="00EA7665">
        <w:rPr>
          <w:rFonts w:ascii="Arial" w:eastAsia="Calibri" w:hAnsi="Arial" w:cs="Arial"/>
        </w:rPr>
        <w:t xml:space="preserve"> </w:t>
      </w:r>
      <w:r>
        <w:rPr>
          <w:rFonts w:ascii="Arial" w:eastAsia="Calibri" w:hAnsi="Arial" w:cs="Arial"/>
        </w:rPr>
        <w:t>h</w:t>
      </w:r>
      <w:r w:rsidRPr="00EA7665">
        <w:rPr>
          <w:rFonts w:ascii="Arial" w:eastAsia="Calibri" w:hAnsi="Arial" w:cs="Arial"/>
        </w:rPr>
        <w:t xml:space="preserve">ence, they are liquid and often rely on company funds for further expansion and sales. </w:t>
      </w:r>
      <w:r w:rsidR="00BE0A42">
        <w:rPr>
          <w:rFonts w:ascii="Arial" w:eastAsia="Calibri" w:hAnsi="Arial" w:cs="Arial"/>
        </w:rPr>
        <w:t>Some managers tried to establish that</w:t>
      </w:r>
      <w:r w:rsidR="00156C15">
        <w:rPr>
          <w:rFonts w:ascii="Arial" w:eastAsia="Calibri" w:hAnsi="Arial" w:cs="Arial"/>
        </w:rPr>
        <w:t xml:space="preserve"> finance for real estate project development</w:t>
      </w:r>
      <w:r w:rsidR="006D4C3C">
        <w:rPr>
          <w:rFonts w:ascii="Arial" w:eastAsia="Calibri" w:hAnsi="Arial" w:cs="Arial"/>
        </w:rPr>
        <w:t xml:space="preserve"> is not “the biggest issue” in</w:t>
      </w:r>
      <w:r w:rsidRPr="00EA7665">
        <w:rPr>
          <w:rFonts w:ascii="Arial" w:eastAsia="Calibri" w:hAnsi="Arial" w:cs="Arial"/>
        </w:rPr>
        <w:t xml:space="preserve"> developed economies.</w:t>
      </w:r>
    </w:p>
    <w:p w14:paraId="387969B0" w14:textId="582F8F83"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Typically, many managers </w:t>
      </w:r>
      <w:r w:rsidR="004C3B09">
        <w:rPr>
          <w:rFonts w:ascii="Arial" w:eastAsia="Calibri" w:hAnsi="Arial" w:cs="Arial"/>
        </w:rPr>
        <w:t>are involved with finance for real estate project development in the US partner with big pension funds and development firms and</w:t>
      </w:r>
      <w:r w:rsidRPr="00EA7665">
        <w:rPr>
          <w:rFonts w:ascii="Arial" w:eastAsia="Calibri" w:hAnsi="Arial" w:cs="Arial"/>
        </w:rPr>
        <w:t xml:space="preserve"> typical traditional approaches such as balance sheet lenders like the banks. Some of the large US firms secure finance through wealth </w:t>
      </w:r>
      <w:r w:rsidR="002F5693" w:rsidRPr="00EA7665">
        <w:rPr>
          <w:rFonts w:ascii="Arial" w:eastAsia="Calibri" w:hAnsi="Arial" w:cs="Arial"/>
        </w:rPr>
        <w:t>funds,</w:t>
      </w:r>
      <w:r w:rsidRPr="00EA7665">
        <w:rPr>
          <w:rFonts w:ascii="Arial" w:eastAsia="Calibri" w:hAnsi="Arial" w:cs="Arial"/>
        </w:rPr>
        <w:t xml:space="preserve"> high net-worth individuals, life insurance companies and pension funds because those types of lenders have a very long investment horizon</w:t>
      </w:r>
      <w:r w:rsidR="004C3B09">
        <w:rPr>
          <w:rFonts w:ascii="Arial" w:eastAsia="Calibri" w:hAnsi="Arial" w:cs="Arial"/>
        </w:rPr>
        <w:t>;</w:t>
      </w:r>
      <w:r w:rsidRPr="00EA7665">
        <w:rPr>
          <w:rFonts w:ascii="Arial" w:eastAsia="Calibri" w:hAnsi="Arial" w:cs="Arial"/>
        </w:rPr>
        <w:t xml:space="preserve"> </w:t>
      </w:r>
      <w:r>
        <w:rPr>
          <w:rFonts w:ascii="Arial" w:eastAsia="Calibri" w:hAnsi="Arial" w:cs="Arial"/>
        </w:rPr>
        <w:t>therefore</w:t>
      </w:r>
      <w:r w:rsidR="00156C15">
        <w:rPr>
          <w:rFonts w:ascii="Arial" w:eastAsia="Calibri" w:hAnsi="Arial" w:cs="Arial"/>
        </w:rPr>
        <w:t>,</w:t>
      </w:r>
      <w:r w:rsidRPr="00EA7665">
        <w:rPr>
          <w:rFonts w:ascii="Arial" w:eastAsia="Calibri" w:hAnsi="Arial" w:cs="Arial"/>
        </w:rPr>
        <w:t xml:space="preserve"> they have fixed rates and give long-term loans. There is also usage of sovereign wealth funds</w:t>
      </w:r>
      <w:r w:rsidR="004C3B09">
        <w:rPr>
          <w:rFonts w:ascii="Arial" w:eastAsia="Calibri" w:hAnsi="Arial" w:cs="Arial"/>
        </w:rPr>
        <w:t>,</w:t>
      </w:r>
      <w:r w:rsidRPr="00EA7665">
        <w:rPr>
          <w:rFonts w:ascii="Arial" w:eastAsia="Calibri" w:hAnsi="Arial" w:cs="Arial"/>
        </w:rPr>
        <w:t xml:space="preserve"> mostly among very large firms involved in </w:t>
      </w:r>
      <w:r>
        <w:rPr>
          <w:rFonts w:ascii="Arial" w:eastAsia="Calibri" w:hAnsi="Arial" w:cs="Arial"/>
        </w:rPr>
        <w:t xml:space="preserve">large scale projects, </w:t>
      </w:r>
      <w:r w:rsidRPr="00EA7665">
        <w:rPr>
          <w:rFonts w:ascii="Arial" w:eastAsia="Calibri" w:hAnsi="Arial" w:cs="Arial"/>
        </w:rPr>
        <w:t xml:space="preserve">especially in places like Chicago and New York. </w:t>
      </w:r>
    </w:p>
    <w:p w14:paraId="24D86213" w14:textId="781B67FB" w:rsidR="00CD6352" w:rsidRPr="00EA7665" w:rsidRDefault="00CD6352" w:rsidP="00CD6352">
      <w:pPr>
        <w:spacing w:after="0" w:line="360" w:lineRule="auto"/>
        <w:jc w:val="both"/>
        <w:rPr>
          <w:rFonts w:ascii="Arial" w:hAnsi="Arial" w:cs="Arial"/>
        </w:rPr>
      </w:pPr>
      <w:r w:rsidRPr="00EA7665">
        <w:rPr>
          <w:rFonts w:ascii="Arial" w:hAnsi="Arial" w:cs="Arial"/>
        </w:rPr>
        <w:t>One of the managers interviewed in Seattle, U.S.A</w:t>
      </w:r>
      <w:r w:rsidR="00156C15">
        <w:rPr>
          <w:rFonts w:ascii="Arial" w:hAnsi="Arial" w:cs="Arial"/>
        </w:rPr>
        <w:t>,</w:t>
      </w:r>
      <w:r w:rsidRPr="00EA7665">
        <w:rPr>
          <w:rFonts w:ascii="Arial" w:hAnsi="Arial" w:cs="Arial"/>
        </w:rPr>
        <w:t xml:space="preserve"> who has operated extensively in both the UK and </w:t>
      </w:r>
      <w:r w:rsidR="0033394C">
        <w:rPr>
          <w:rFonts w:ascii="Arial" w:hAnsi="Arial" w:cs="Arial"/>
        </w:rPr>
        <w:t xml:space="preserve">the </w:t>
      </w:r>
      <w:r w:rsidRPr="00EA7665">
        <w:rPr>
          <w:rFonts w:ascii="Arial" w:hAnsi="Arial" w:cs="Arial"/>
        </w:rPr>
        <w:t>US for about 20years</w:t>
      </w:r>
      <w:r w:rsidR="004C3B09">
        <w:rPr>
          <w:rFonts w:ascii="Arial" w:hAnsi="Arial" w:cs="Arial"/>
        </w:rPr>
        <w:t>,</w:t>
      </w:r>
      <w:r w:rsidRPr="00EA7665">
        <w:rPr>
          <w:rFonts w:ascii="Arial" w:hAnsi="Arial" w:cs="Arial"/>
        </w:rPr>
        <w:t xml:space="preserve"> claims</w:t>
      </w:r>
      <w:r>
        <w:rPr>
          <w:rFonts w:ascii="Arial" w:hAnsi="Arial" w:cs="Arial"/>
        </w:rPr>
        <w:t xml:space="preserve"> that, in his experience,</w:t>
      </w:r>
      <w:r w:rsidRPr="00EA7665">
        <w:rPr>
          <w:rFonts w:ascii="Arial" w:hAnsi="Arial" w:cs="Arial"/>
        </w:rPr>
        <w:t xml:space="preserve"> Europe has more varied options for real estate project development as compared to the US</w:t>
      </w:r>
      <w:r>
        <w:rPr>
          <w:rFonts w:ascii="Arial" w:hAnsi="Arial" w:cs="Arial"/>
        </w:rPr>
        <w:t xml:space="preserve">. </w:t>
      </w:r>
      <w:r w:rsidRPr="00EA7665">
        <w:rPr>
          <w:rFonts w:ascii="Arial" w:hAnsi="Arial" w:cs="Arial"/>
        </w:rPr>
        <w:t xml:space="preserve"> </w:t>
      </w:r>
    </w:p>
    <w:p w14:paraId="1C374447" w14:textId="7943B21A" w:rsidR="00CD6352" w:rsidRPr="00EA7665" w:rsidRDefault="00CD6352" w:rsidP="00CD6352">
      <w:pPr>
        <w:spacing w:line="360" w:lineRule="auto"/>
        <w:ind w:left="720"/>
        <w:jc w:val="both"/>
        <w:rPr>
          <w:rFonts w:ascii="Arial" w:hAnsi="Arial" w:cs="Arial"/>
          <w:i/>
        </w:rPr>
      </w:pPr>
      <w:r w:rsidRPr="00EA7665">
        <w:rPr>
          <w:rFonts w:ascii="Arial" w:hAnsi="Arial" w:cs="Arial"/>
          <w:i/>
        </w:rPr>
        <w:t xml:space="preserve">“The US is, in some </w:t>
      </w:r>
      <w:r w:rsidR="006141CB" w:rsidRPr="00EA7665">
        <w:rPr>
          <w:rFonts w:ascii="Arial" w:hAnsi="Arial" w:cs="Arial"/>
          <w:i/>
        </w:rPr>
        <w:t xml:space="preserve">respects, </w:t>
      </w:r>
      <w:r w:rsidR="006141CB">
        <w:rPr>
          <w:rFonts w:ascii="Arial" w:hAnsi="Arial" w:cs="Arial"/>
          <w:i/>
        </w:rPr>
        <w:t xml:space="preserve">is </w:t>
      </w:r>
      <w:r w:rsidR="006141CB" w:rsidRPr="00EA7665">
        <w:rPr>
          <w:rFonts w:ascii="Arial" w:hAnsi="Arial" w:cs="Arial"/>
          <w:i/>
        </w:rPr>
        <w:t>at</w:t>
      </w:r>
      <w:r w:rsidRPr="00EA7665">
        <w:rPr>
          <w:rFonts w:ascii="Arial" w:hAnsi="Arial" w:cs="Arial"/>
          <w:i/>
        </w:rPr>
        <w:t xml:space="preserve"> the forefront of change, but in othe</w:t>
      </w:r>
      <w:r>
        <w:rPr>
          <w:rFonts w:ascii="Arial" w:hAnsi="Arial" w:cs="Arial"/>
          <w:i/>
        </w:rPr>
        <w:t>rs</w:t>
      </w:r>
      <w:r w:rsidRPr="00EA7665">
        <w:rPr>
          <w:rFonts w:ascii="Arial" w:hAnsi="Arial" w:cs="Arial"/>
          <w:i/>
        </w:rPr>
        <w:t xml:space="preserve">, it's well behind what you see in Europe. Funding in Seattle is very </w:t>
      </w:r>
      <w:r w:rsidR="006141CB" w:rsidRPr="00EA7665">
        <w:rPr>
          <w:rFonts w:ascii="Arial" w:hAnsi="Arial" w:cs="Arial"/>
          <w:i/>
        </w:rPr>
        <w:t>traditional</w:t>
      </w:r>
      <w:r w:rsidRPr="00EA7665">
        <w:rPr>
          <w:rFonts w:ascii="Arial" w:hAnsi="Arial" w:cs="Arial"/>
          <w:i/>
        </w:rPr>
        <w:t xml:space="preserve"> and sort of bank</w:t>
      </w:r>
      <w:r w:rsidR="00277188">
        <w:rPr>
          <w:rFonts w:ascii="Arial" w:hAnsi="Arial" w:cs="Arial"/>
          <w:i/>
        </w:rPr>
        <w:t>-</w:t>
      </w:r>
      <w:r w:rsidRPr="00EA7665">
        <w:rPr>
          <w:rFonts w:ascii="Arial" w:hAnsi="Arial" w:cs="Arial"/>
          <w:i/>
        </w:rPr>
        <w:t>based compared to what you get in London, where you obviously</w:t>
      </w:r>
      <w:r w:rsidR="006D4C3C">
        <w:rPr>
          <w:rFonts w:ascii="Arial" w:hAnsi="Arial" w:cs="Arial"/>
          <w:i/>
        </w:rPr>
        <w:t xml:space="preserve"> get many</w:t>
      </w:r>
      <w:r w:rsidRPr="00EA7665">
        <w:rPr>
          <w:rFonts w:ascii="Arial" w:hAnsi="Arial" w:cs="Arial"/>
          <w:i/>
        </w:rPr>
        <w:t xml:space="preserve"> international buyers. There </w:t>
      </w:r>
      <w:r>
        <w:rPr>
          <w:rFonts w:ascii="Arial" w:hAnsi="Arial" w:cs="Arial"/>
          <w:i/>
        </w:rPr>
        <w:t>are</w:t>
      </w:r>
      <w:r w:rsidRPr="00EA7665">
        <w:rPr>
          <w:rFonts w:ascii="Arial" w:hAnsi="Arial" w:cs="Arial"/>
          <w:i/>
        </w:rPr>
        <w:t xml:space="preserve"> very few or far fewer of those kinds of funding opportunities in the US. It's a lot more sort of traditional. The scale of the projects tends to </w:t>
      </w:r>
      <w:r w:rsidR="006141CB" w:rsidRPr="00EA7665">
        <w:rPr>
          <w:rFonts w:ascii="Arial" w:hAnsi="Arial" w:cs="Arial"/>
          <w:i/>
        </w:rPr>
        <w:t>be somewhat</w:t>
      </w:r>
      <w:r w:rsidRPr="00EA7665">
        <w:rPr>
          <w:rFonts w:ascii="Arial" w:hAnsi="Arial" w:cs="Arial"/>
          <w:i/>
        </w:rPr>
        <w:t xml:space="preserve"> smaller, especially here in Seattle. It is a mixture of very traditional bank financing on the debt side. Then, on the equity side, it's mostly individuals. It's high net</w:t>
      </w:r>
      <w:r w:rsidR="00277188">
        <w:rPr>
          <w:rFonts w:ascii="Arial" w:hAnsi="Arial" w:cs="Arial"/>
          <w:i/>
        </w:rPr>
        <w:t>,</w:t>
      </w:r>
      <w:r w:rsidRPr="00EA7665">
        <w:rPr>
          <w:rFonts w:ascii="Arial" w:hAnsi="Arial" w:cs="Arial"/>
          <w:i/>
        </w:rPr>
        <w:t xml:space="preserve"> worth individuals. You know, you're starting to see some of the players, and I think it's a scale issue, a lot of this is. “ </w:t>
      </w:r>
    </w:p>
    <w:p w14:paraId="0F431550" w14:textId="2B2FC223"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Managers interviewed in China, just like the developed economies</w:t>
      </w:r>
      <w:r w:rsidR="00BF0C6E">
        <w:rPr>
          <w:rFonts w:ascii="Arial" w:eastAsia="Calibri" w:hAnsi="Arial" w:cs="Arial"/>
        </w:rPr>
        <w:t>,</w:t>
      </w:r>
      <w:r w:rsidRPr="00EA7665">
        <w:rPr>
          <w:rFonts w:ascii="Arial" w:eastAsia="Calibri" w:hAnsi="Arial" w:cs="Arial"/>
        </w:rPr>
        <w:t xml:space="preserve"> do not have challenges with accessing finance for real estate project development. </w:t>
      </w:r>
      <w:r w:rsidR="00BE0A42">
        <w:rPr>
          <w:rFonts w:ascii="Arial" w:eastAsia="Calibri" w:hAnsi="Arial" w:cs="Arial"/>
        </w:rPr>
        <w:t>Some</w:t>
      </w:r>
      <w:r w:rsidRPr="00EA7665">
        <w:rPr>
          <w:rFonts w:ascii="Arial" w:eastAsia="Calibri" w:hAnsi="Arial" w:cs="Arial"/>
        </w:rPr>
        <w:t xml:space="preserve"> </w:t>
      </w:r>
      <w:r w:rsidR="00BE0A42">
        <w:rPr>
          <w:rFonts w:ascii="Arial" w:eastAsia="Calibri" w:hAnsi="Arial" w:cs="Arial"/>
        </w:rPr>
        <w:t xml:space="preserve">managers in China </w:t>
      </w:r>
      <w:r w:rsidRPr="00EA7665">
        <w:rPr>
          <w:rFonts w:ascii="Arial" w:eastAsia="Calibri" w:hAnsi="Arial" w:cs="Arial"/>
        </w:rPr>
        <w:t>are so liquid that they use central treasury within their firms</w:t>
      </w:r>
      <w:r w:rsidR="00156C15">
        <w:rPr>
          <w:rFonts w:ascii="Arial" w:eastAsia="Calibri" w:hAnsi="Arial" w:cs="Arial"/>
        </w:rPr>
        <w:t>;</w:t>
      </w:r>
      <w:r w:rsidR="00156C15" w:rsidRPr="00EA7665">
        <w:rPr>
          <w:rFonts w:ascii="Arial" w:eastAsia="Calibri" w:hAnsi="Arial" w:cs="Arial"/>
        </w:rPr>
        <w:t xml:space="preserve"> </w:t>
      </w:r>
      <w:r w:rsidRPr="00EA7665">
        <w:rPr>
          <w:rFonts w:ascii="Arial" w:eastAsia="Calibri" w:hAnsi="Arial" w:cs="Arial"/>
        </w:rPr>
        <w:t xml:space="preserve">some use direct equity </w:t>
      </w:r>
      <w:r>
        <w:rPr>
          <w:rFonts w:ascii="Arial" w:eastAsia="Calibri" w:hAnsi="Arial" w:cs="Arial"/>
        </w:rPr>
        <w:t xml:space="preserve">and </w:t>
      </w:r>
      <w:r w:rsidRPr="00EA7665">
        <w:rPr>
          <w:rFonts w:ascii="Arial" w:eastAsia="Calibri" w:hAnsi="Arial" w:cs="Arial"/>
        </w:rPr>
        <w:t xml:space="preserve">a combination </w:t>
      </w:r>
      <w:r w:rsidRPr="00EA7665">
        <w:rPr>
          <w:rFonts w:ascii="Arial" w:eastAsia="Calibri" w:hAnsi="Arial" w:cs="Arial"/>
        </w:rPr>
        <w:lastRenderedPageBreak/>
        <w:t>of senior</w:t>
      </w:r>
      <w:r>
        <w:rPr>
          <w:rFonts w:ascii="Arial" w:eastAsia="Calibri" w:hAnsi="Arial" w:cs="Arial"/>
        </w:rPr>
        <w:t>/</w:t>
      </w:r>
      <w:r w:rsidRPr="00EA7665">
        <w:rPr>
          <w:rFonts w:ascii="Arial" w:eastAsia="Calibri" w:hAnsi="Arial" w:cs="Arial"/>
        </w:rPr>
        <w:t xml:space="preserve"> junior debts and equity from funds. The interviewees also attested to banks be</w:t>
      </w:r>
      <w:r>
        <w:rPr>
          <w:rFonts w:ascii="Arial" w:eastAsia="Calibri" w:hAnsi="Arial" w:cs="Arial"/>
        </w:rPr>
        <w:t>ing</w:t>
      </w:r>
      <w:r w:rsidRPr="00EA7665">
        <w:rPr>
          <w:rFonts w:ascii="Arial" w:eastAsia="Calibri" w:hAnsi="Arial" w:cs="Arial"/>
        </w:rPr>
        <w:t xml:space="preserve"> the major financiers of real estate projects in China</w:t>
      </w:r>
      <w:r>
        <w:rPr>
          <w:rFonts w:ascii="Arial" w:eastAsia="Calibri" w:hAnsi="Arial" w:cs="Arial"/>
        </w:rPr>
        <w:t xml:space="preserve">, </w:t>
      </w:r>
      <w:r w:rsidR="006141CB">
        <w:rPr>
          <w:rFonts w:ascii="Arial" w:eastAsia="Calibri" w:hAnsi="Arial" w:cs="Arial"/>
        </w:rPr>
        <w:t xml:space="preserve">with </w:t>
      </w:r>
      <w:r w:rsidR="006141CB" w:rsidRPr="00EA7665">
        <w:rPr>
          <w:rFonts w:ascii="Arial" w:eastAsia="Calibri" w:hAnsi="Arial" w:cs="Arial"/>
        </w:rPr>
        <w:t>mezzanine</w:t>
      </w:r>
      <w:r w:rsidRPr="00EA7665">
        <w:rPr>
          <w:rFonts w:ascii="Arial" w:eastAsia="Calibri" w:hAnsi="Arial" w:cs="Arial"/>
        </w:rPr>
        <w:t xml:space="preserve"> debt</w:t>
      </w:r>
      <w:r>
        <w:rPr>
          <w:rFonts w:ascii="Arial" w:eastAsia="Calibri" w:hAnsi="Arial" w:cs="Arial"/>
        </w:rPr>
        <w:t xml:space="preserve"> being used occasionally</w:t>
      </w:r>
      <w:r w:rsidRPr="00EA7665">
        <w:rPr>
          <w:rFonts w:ascii="Arial" w:eastAsia="Calibri" w:hAnsi="Arial" w:cs="Arial"/>
        </w:rPr>
        <w:t>.</w:t>
      </w:r>
    </w:p>
    <w:p w14:paraId="1B955669" w14:textId="170E33C7"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The interviews revealed that managers in Nigeria are predominantly dependent on off-takers for finance for their real estate project development</w:t>
      </w:r>
      <w:r w:rsidR="00BF0C6E">
        <w:rPr>
          <w:rFonts w:ascii="Arial" w:eastAsia="Calibri" w:hAnsi="Arial" w:cs="Arial"/>
        </w:rPr>
        <w:t>. This is in line with the literature, which shows that managers have great difficulty</w:t>
      </w:r>
      <w:r w:rsidRPr="00EA7665">
        <w:rPr>
          <w:rFonts w:ascii="Arial" w:eastAsia="Calibri" w:hAnsi="Arial" w:cs="Arial"/>
        </w:rPr>
        <w:t xml:space="preserve"> securing funding for project development in Nigeria (Kelilume, 2016 &amp; Ogbenjuwa et al., 2018).  Managers in the real estate sector in Nigeria sometimes get into a </w:t>
      </w:r>
      <w:r>
        <w:rPr>
          <w:rFonts w:ascii="Arial" w:eastAsia="Calibri" w:hAnsi="Arial" w:cs="Arial"/>
        </w:rPr>
        <w:t>j</w:t>
      </w:r>
      <w:r w:rsidRPr="00EA7665">
        <w:rPr>
          <w:rFonts w:ascii="Arial" w:eastAsia="Calibri" w:hAnsi="Arial" w:cs="Arial"/>
        </w:rPr>
        <w:t>oint venture agreement with landowners to gain access to the land. However, the interview revealed that most landowners do not like their land title documents used to secure bank loans. The managers in Nigeria sometimes use bank debt to acquire the property</w:t>
      </w:r>
      <w:r w:rsidR="00BF0C6E">
        <w:rPr>
          <w:rFonts w:ascii="Arial" w:eastAsia="Calibri" w:hAnsi="Arial" w:cs="Arial"/>
        </w:rPr>
        <w:t>,</w:t>
      </w:r>
      <w:r w:rsidRPr="00EA7665">
        <w:rPr>
          <w:rFonts w:ascii="Arial" w:eastAsia="Calibri" w:hAnsi="Arial" w:cs="Arial"/>
        </w:rPr>
        <w:t xml:space="preserve"> and then they use about 30% </w:t>
      </w:r>
      <w:r w:rsidR="00277188">
        <w:rPr>
          <w:rFonts w:ascii="Arial" w:eastAsia="Calibri" w:hAnsi="Arial" w:cs="Arial"/>
        </w:rPr>
        <w:t xml:space="preserve">of </w:t>
      </w:r>
      <w:r w:rsidRPr="00EA7665">
        <w:rPr>
          <w:rFonts w:ascii="Arial" w:eastAsia="Calibri" w:hAnsi="Arial" w:cs="Arial"/>
        </w:rPr>
        <w:t xml:space="preserve">initial payments from off-takers to liquidate the debt. </w:t>
      </w:r>
    </w:p>
    <w:p w14:paraId="4B20C466" w14:textId="632323C8"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Furthermore, managers involved with real estate developments in Nigeria buy building material on credit and then pay</w:t>
      </w:r>
      <w:r>
        <w:rPr>
          <w:rFonts w:ascii="Arial" w:eastAsia="Calibri" w:hAnsi="Arial" w:cs="Arial"/>
        </w:rPr>
        <w:t xml:space="preserve"> for it by</w:t>
      </w:r>
      <w:r w:rsidRPr="00EA7665">
        <w:rPr>
          <w:rFonts w:ascii="Arial" w:eastAsia="Calibri" w:hAnsi="Arial" w:cs="Arial"/>
        </w:rPr>
        <w:t xml:space="preserve"> </w:t>
      </w:r>
      <w:r>
        <w:rPr>
          <w:rFonts w:ascii="Arial" w:eastAsia="Calibri" w:hAnsi="Arial" w:cs="Arial"/>
        </w:rPr>
        <w:t xml:space="preserve">instalment using </w:t>
      </w:r>
      <w:r w:rsidR="00BF0C6E">
        <w:rPr>
          <w:rFonts w:ascii="Arial" w:eastAsia="Calibri" w:hAnsi="Arial" w:cs="Arial"/>
        </w:rPr>
        <w:t>off-takers proceed</w:t>
      </w:r>
      <w:r w:rsidRPr="00EA7665">
        <w:rPr>
          <w:rFonts w:ascii="Arial" w:eastAsia="Calibri" w:hAnsi="Arial" w:cs="Arial"/>
        </w:rPr>
        <w:t xml:space="preserve">s. The usage of credit purchases confirmed through the interview collaborates </w:t>
      </w:r>
      <w:r w:rsidR="006D4C3C">
        <w:rPr>
          <w:rFonts w:ascii="Arial" w:eastAsia="Calibri" w:hAnsi="Arial" w:cs="Arial"/>
        </w:rPr>
        <w:t>with derivatives indicated in the questionnaire survey by managers operating in Nigeria, which is arguably</w:t>
      </w:r>
      <w:r w:rsidRPr="00EA7665">
        <w:rPr>
          <w:rFonts w:ascii="Arial" w:eastAsia="Calibri" w:hAnsi="Arial" w:cs="Arial"/>
        </w:rPr>
        <w:t xml:space="preserve"> forward transactions.  Some Nigerian managers have also adopted innovative access </w:t>
      </w:r>
      <w:r>
        <w:rPr>
          <w:rFonts w:ascii="Arial" w:eastAsia="Calibri" w:hAnsi="Arial" w:cs="Arial"/>
        </w:rPr>
        <w:t>to private investment</w:t>
      </w:r>
      <w:r w:rsidR="00BF0C6E">
        <w:rPr>
          <w:rFonts w:ascii="Arial" w:eastAsia="Calibri" w:hAnsi="Arial" w:cs="Arial"/>
        </w:rPr>
        <w:t>,</w:t>
      </w:r>
      <w:r>
        <w:rPr>
          <w:rFonts w:ascii="Arial" w:eastAsia="Calibri" w:hAnsi="Arial" w:cs="Arial"/>
        </w:rPr>
        <w:t xml:space="preserve"> which </w:t>
      </w:r>
      <w:r w:rsidRPr="00EA7665">
        <w:rPr>
          <w:rFonts w:ascii="Arial" w:eastAsia="Calibri" w:hAnsi="Arial" w:cs="Arial"/>
        </w:rPr>
        <w:t xml:space="preserve">involves partnering with working-class people who are willing to invest a fraction of their income monthly. </w:t>
      </w:r>
    </w:p>
    <w:p w14:paraId="431B571E" w14:textId="3BD70153" w:rsidR="00CD6352" w:rsidRPr="00EA7665" w:rsidRDefault="00156C15" w:rsidP="00CD6352">
      <w:pPr>
        <w:spacing w:line="360" w:lineRule="auto"/>
        <w:rPr>
          <w:rFonts w:ascii="Arial" w:eastAsia="Calibri" w:hAnsi="Arial" w:cs="Arial"/>
        </w:rPr>
      </w:pPr>
      <w:r>
        <w:rPr>
          <w:rFonts w:ascii="Arial" w:eastAsia="Calibri" w:hAnsi="Arial" w:cs="Arial"/>
        </w:rPr>
        <w:t>Most</w:t>
      </w:r>
      <w:r w:rsidR="00CD6352" w:rsidRPr="00EA7665">
        <w:rPr>
          <w:rFonts w:ascii="Arial" w:eastAsia="Calibri" w:hAnsi="Arial" w:cs="Arial"/>
        </w:rPr>
        <w:t xml:space="preserve"> </w:t>
      </w:r>
      <w:r w:rsidR="00BF0C6E">
        <w:rPr>
          <w:rFonts w:ascii="Arial" w:eastAsia="Calibri" w:hAnsi="Arial" w:cs="Arial"/>
        </w:rPr>
        <w:t>South Africa managers</w:t>
      </w:r>
      <w:r w:rsidR="00CD6352" w:rsidRPr="00EA7665">
        <w:rPr>
          <w:rFonts w:ascii="Arial" w:eastAsia="Calibri" w:hAnsi="Arial" w:cs="Arial"/>
        </w:rPr>
        <w:t xml:space="preserve"> use a mix of funding</w:t>
      </w:r>
      <w:r w:rsidR="006D4C3C">
        <w:rPr>
          <w:rFonts w:ascii="Arial" w:eastAsia="Calibri" w:hAnsi="Arial" w:cs="Arial"/>
        </w:rPr>
        <w:t>: debt, equity,</w:t>
      </w:r>
      <w:r w:rsidR="00CD6352" w:rsidRPr="00EA7665">
        <w:rPr>
          <w:rFonts w:ascii="Arial" w:eastAsia="Calibri" w:hAnsi="Arial" w:cs="Arial"/>
        </w:rPr>
        <w:t xml:space="preserve"> or owner financing. Debt funding is </w:t>
      </w:r>
      <w:r w:rsidR="000944F4">
        <w:rPr>
          <w:rFonts w:ascii="Arial" w:eastAsia="Calibri" w:hAnsi="Arial" w:cs="Arial"/>
        </w:rPr>
        <w:t xml:space="preserve">either </w:t>
      </w:r>
      <w:r w:rsidR="000944F4" w:rsidRPr="00EA7665">
        <w:rPr>
          <w:rFonts w:ascii="Arial" w:eastAsia="Calibri" w:hAnsi="Arial" w:cs="Arial"/>
        </w:rPr>
        <w:t>from</w:t>
      </w:r>
      <w:r w:rsidR="00CD6352" w:rsidRPr="00EA7665">
        <w:rPr>
          <w:rFonts w:ascii="Arial" w:eastAsia="Calibri" w:hAnsi="Arial" w:cs="Arial"/>
        </w:rPr>
        <w:t xml:space="preserve"> government-owned debt funding institutions or private debt funding institutions.  The intervie</w:t>
      </w:r>
      <w:r w:rsidR="00CD6352">
        <w:rPr>
          <w:rFonts w:ascii="Arial" w:eastAsia="Calibri" w:hAnsi="Arial" w:cs="Arial"/>
        </w:rPr>
        <w:t xml:space="preserve">ws </w:t>
      </w:r>
      <w:r w:rsidR="00CD6352" w:rsidRPr="00EA7665">
        <w:rPr>
          <w:rFonts w:ascii="Arial" w:eastAsia="Calibri" w:hAnsi="Arial" w:cs="Arial"/>
        </w:rPr>
        <w:t>demonstrat</w:t>
      </w:r>
      <w:r w:rsidR="00CD6352">
        <w:rPr>
          <w:rFonts w:ascii="Arial" w:eastAsia="Calibri" w:hAnsi="Arial" w:cs="Arial"/>
        </w:rPr>
        <w:t>e</w:t>
      </w:r>
      <w:r w:rsidR="00CD6352" w:rsidRPr="00EA7665">
        <w:rPr>
          <w:rFonts w:ascii="Arial" w:eastAsia="Calibri" w:hAnsi="Arial" w:cs="Arial"/>
        </w:rPr>
        <w:t xml:space="preserve"> that when a manager is involved with affordable housing for low-income communities, </w:t>
      </w:r>
      <w:r w:rsidR="00CD6352">
        <w:rPr>
          <w:rFonts w:ascii="Arial" w:eastAsia="Calibri" w:hAnsi="Arial" w:cs="Arial"/>
        </w:rPr>
        <w:t>they</w:t>
      </w:r>
      <w:r w:rsidR="00CD6352" w:rsidRPr="00EA7665">
        <w:rPr>
          <w:rFonts w:ascii="Arial" w:eastAsia="Calibri" w:hAnsi="Arial" w:cs="Arial"/>
        </w:rPr>
        <w:t xml:space="preserve"> may be able to access finance from government-owned debt-financing institutions in South Africa. </w:t>
      </w:r>
    </w:p>
    <w:p w14:paraId="0AEA007B" w14:textId="77777777" w:rsidR="00CD6352" w:rsidRPr="00EA7665" w:rsidRDefault="00CD6352" w:rsidP="00CD6352">
      <w:pPr>
        <w:rPr>
          <w:rFonts w:ascii="Arial" w:hAnsi="Arial" w:cs="Arial"/>
        </w:rPr>
      </w:pPr>
      <w:r w:rsidRPr="00EA7665">
        <w:rPr>
          <w:rFonts w:ascii="Arial" w:hAnsi="Arial" w:cs="Arial"/>
        </w:rPr>
        <w:t xml:space="preserve"> </w:t>
      </w:r>
    </w:p>
    <w:p w14:paraId="4E211559" w14:textId="45614B7E" w:rsidR="00CD6352" w:rsidRPr="00EA7665" w:rsidRDefault="00711CE8" w:rsidP="00CD6352">
      <w:pPr>
        <w:pStyle w:val="Heading3"/>
        <w:rPr>
          <w:sz w:val="22"/>
          <w:szCs w:val="22"/>
        </w:rPr>
      </w:pPr>
      <w:bookmarkStart w:id="1128" w:name="_Toc78983845"/>
      <w:r>
        <w:rPr>
          <w:sz w:val="22"/>
          <w:szCs w:val="22"/>
        </w:rPr>
        <w:t>C</w:t>
      </w:r>
      <w:r w:rsidR="00CD6352" w:rsidRPr="00EA7665">
        <w:rPr>
          <w:sz w:val="22"/>
          <w:szCs w:val="22"/>
        </w:rPr>
        <w:t xml:space="preserve">omparison of the </w:t>
      </w:r>
      <w:r w:rsidR="00BF1829">
        <w:rPr>
          <w:sz w:val="22"/>
          <w:szCs w:val="22"/>
        </w:rPr>
        <w:t xml:space="preserve">finance options for real estate project development in the </w:t>
      </w:r>
      <w:r w:rsidR="00CD6352" w:rsidRPr="00EA7665">
        <w:rPr>
          <w:sz w:val="22"/>
          <w:szCs w:val="22"/>
        </w:rPr>
        <w:t>developed and emerging economies</w:t>
      </w:r>
      <w:bookmarkEnd w:id="1128"/>
      <w:r w:rsidR="00CD6352" w:rsidRPr="00EA7665">
        <w:rPr>
          <w:sz w:val="22"/>
          <w:szCs w:val="22"/>
        </w:rPr>
        <w:t xml:space="preserve"> </w:t>
      </w:r>
    </w:p>
    <w:p w14:paraId="663CC6AE" w14:textId="77777777" w:rsidR="00CD6352" w:rsidRPr="00EA7665" w:rsidRDefault="00CD6352" w:rsidP="00CD6352">
      <w:pPr>
        <w:spacing w:after="0"/>
        <w:rPr>
          <w:rFonts w:ascii="Arial" w:hAnsi="Arial" w:cs="Arial"/>
        </w:rPr>
      </w:pPr>
    </w:p>
    <w:p w14:paraId="449EE8C3" w14:textId="5E58DABB" w:rsidR="00CD6352" w:rsidRPr="00EA7665" w:rsidRDefault="00CD6352" w:rsidP="00CD6352">
      <w:pPr>
        <w:spacing w:line="360" w:lineRule="auto"/>
        <w:rPr>
          <w:rFonts w:ascii="Arial" w:hAnsi="Arial" w:cs="Arial"/>
        </w:rPr>
      </w:pPr>
      <w:r w:rsidRPr="00EA7665">
        <w:rPr>
          <w:rFonts w:ascii="Arial" w:hAnsi="Arial" w:cs="Arial"/>
        </w:rPr>
        <w:t xml:space="preserve">The </w:t>
      </w:r>
      <w:r w:rsidR="00BF0C6E">
        <w:rPr>
          <w:rFonts w:ascii="Arial" w:hAnsi="Arial" w:cs="Arial"/>
        </w:rPr>
        <w:t>aggregate level findings</w:t>
      </w:r>
      <w:r w:rsidRPr="00EA7665">
        <w:rPr>
          <w:rFonts w:ascii="Arial" w:hAnsi="Arial" w:cs="Arial"/>
        </w:rPr>
        <w:t xml:space="preserve"> show that all eighteen (18) finance options listed </w:t>
      </w:r>
      <w:r>
        <w:rPr>
          <w:rFonts w:ascii="Arial" w:hAnsi="Arial" w:cs="Arial"/>
        </w:rPr>
        <w:t xml:space="preserve">in the questionnaire survey </w:t>
      </w:r>
      <w:r w:rsidRPr="00EA7665">
        <w:rPr>
          <w:rFonts w:ascii="Arial" w:hAnsi="Arial" w:cs="Arial"/>
        </w:rPr>
        <w:t>are used</w:t>
      </w:r>
      <w:r>
        <w:rPr>
          <w:rFonts w:ascii="Arial" w:hAnsi="Arial" w:cs="Arial"/>
        </w:rPr>
        <w:t xml:space="preserve">, in varying degrees, </w:t>
      </w:r>
      <w:r w:rsidRPr="00EA7665">
        <w:rPr>
          <w:rFonts w:ascii="Arial" w:hAnsi="Arial" w:cs="Arial"/>
        </w:rPr>
        <w:t xml:space="preserve">by managers in both the developed and emerging economies. The findings </w:t>
      </w:r>
      <w:r>
        <w:rPr>
          <w:rFonts w:ascii="Arial" w:hAnsi="Arial" w:cs="Arial"/>
        </w:rPr>
        <w:t>at</w:t>
      </w:r>
      <w:r w:rsidRPr="00EA7665">
        <w:rPr>
          <w:rFonts w:ascii="Arial" w:hAnsi="Arial" w:cs="Arial"/>
        </w:rPr>
        <w:t xml:space="preserve"> the aggregate level </w:t>
      </w:r>
      <w:r>
        <w:rPr>
          <w:rFonts w:ascii="Arial" w:hAnsi="Arial" w:cs="Arial"/>
        </w:rPr>
        <w:t>show</w:t>
      </w:r>
      <w:r w:rsidRPr="00EA7665">
        <w:rPr>
          <w:rFonts w:ascii="Arial" w:hAnsi="Arial" w:cs="Arial"/>
        </w:rPr>
        <w:t xml:space="preserve"> the ranking of the </w:t>
      </w:r>
      <w:r>
        <w:rPr>
          <w:rFonts w:ascii="Arial" w:hAnsi="Arial" w:cs="Arial"/>
        </w:rPr>
        <w:t xml:space="preserve">five </w:t>
      </w:r>
      <w:r w:rsidRPr="00EA7665">
        <w:rPr>
          <w:rFonts w:ascii="Arial" w:hAnsi="Arial" w:cs="Arial"/>
        </w:rPr>
        <w:t>most highly used finance optio</w:t>
      </w:r>
      <w:r>
        <w:rPr>
          <w:rFonts w:ascii="Arial" w:hAnsi="Arial" w:cs="Arial"/>
        </w:rPr>
        <w:t>ns</w:t>
      </w:r>
      <w:r w:rsidRPr="00EA7665">
        <w:rPr>
          <w:rFonts w:ascii="Arial" w:hAnsi="Arial" w:cs="Arial"/>
        </w:rPr>
        <w:t xml:space="preserve"> for real estate project development to be as follows:</w:t>
      </w:r>
    </w:p>
    <w:p w14:paraId="1F545BBB" w14:textId="77777777" w:rsidR="00CD6352" w:rsidRPr="00D30BFC" w:rsidRDefault="00CD6352" w:rsidP="00C74AEC">
      <w:pPr>
        <w:pStyle w:val="ListParagraph"/>
        <w:numPr>
          <w:ilvl w:val="0"/>
          <w:numId w:val="220"/>
        </w:numPr>
        <w:spacing w:line="360" w:lineRule="auto"/>
        <w:rPr>
          <w:rFonts w:ascii="Arial" w:hAnsi="Arial" w:cs="Arial"/>
        </w:rPr>
      </w:pPr>
      <w:r w:rsidRPr="00D30BFC">
        <w:rPr>
          <w:rFonts w:ascii="Arial" w:hAnsi="Arial" w:cs="Arial"/>
        </w:rPr>
        <w:t>Bank loan</w:t>
      </w:r>
    </w:p>
    <w:p w14:paraId="024FD514" w14:textId="77777777" w:rsidR="00CD6352" w:rsidRPr="00D30BFC" w:rsidRDefault="00CD6352" w:rsidP="00C74AEC">
      <w:pPr>
        <w:pStyle w:val="ListParagraph"/>
        <w:numPr>
          <w:ilvl w:val="0"/>
          <w:numId w:val="220"/>
        </w:numPr>
        <w:spacing w:line="360" w:lineRule="auto"/>
        <w:rPr>
          <w:rFonts w:ascii="Arial" w:hAnsi="Arial" w:cs="Arial"/>
        </w:rPr>
      </w:pPr>
      <w:r w:rsidRPr="00D30BFC">
        <w:rPr>
          <w:rFonts w:ascii="Arial" w:hAnsi="Arial" w:cs="Arial"/>
        </w:rPr>
        <w:t xml:space="preserve">Cash flow from business </w:t>
      </w:r>
      <w:r>
        <w:rPr>
          <w:rFonts w:ascii="Arial" w:hAnsi="Arial" w:cs="Arial"/>
        </w:rPr>
        <w:t>operations</w:t>
      </w:r>
    </w:p>
    <w:p w14:paraId="4BADFFF6" w14:textId="77777777" w:rsidR="00CD6352" w:rsidRPr="00D30BFC" w:rsidRDefault="00CD6352" w:rsidP="00C74AEC">
      <w:pPr>
        <w:pStyle w:val="ListParagraph"/>
        <w:numPr>
          <w:ilvl w:val="0"/>
          <w:numId w:val="220"/>
        </w:numPr>
        <w:spacing w:line="360" w:lineRule="auto"/>
        <w:rPr>
          <w:rFonts w:ascii="Arial" w:hAnsi="Arial" w:cs="Arial"/>
        </w:rPr>
      </w:pPr>
      <w:r w:rsidRPr="00D30BFC">
        <w:rPr>
          <w:rFonts w:ascii="Arial" w:hAnsi="Arial" w:cs="Arial"/>
        </w:rPr>
        <w:t>High net worth individuals</w:t>
      </w:r>
    </w:p>
    <w:p w14:paraId="6D4153D6" w14:textId="77777777" w:rsidR="00CD6352" w:rsidRPr="00D30BFC" w:rsidRDefault="00CD6352" w:rsidP="00C74AEC">
      <w:pPr>
        <w:pStyle w:val="ListParagraph"/>
        <w:numPr>
          <w:ilvl w:val="0"/>
          <w:numId w:val="220"/>
        </w:numPr>
        <w:spacing w:line="360" w:lineRule="auto"/>
        <w:rPr>
          <w:rFonts w:ascii="Arial" w:hAnsi="Arial" w:cs="Arial"/>
        </w:rPr>
      </w:pPr>
      <w:r w:rsidRPr="00D30BFC">
        <w:rPr>
          <w:rFonts w:ascii="Arial" w:hAnsi="Arial" w:cs="Arial"/>
        </w:rPr>
        <w:t xml:space="preserve">Equity funds </w:t>
      </w:r>
    </w:p>
    <w:p w14:paraId="7E3A36EB" w14:textId="77777777" w:rsidR="00CD6352" w:rsidRPr="00D30BFC" w:rsidRDefault="00CD6352" w:rsidP="00C74AEC">
      <w:pPr>
        <w:pStyle w:val="ListParagraph"/>
        <w:numPr>
          <w:ilvl w:val="0"/>
          <w:numId w:val="220"/>
        </w:numPr>
        <w:spacing w:line="360" w:lineRule="auto"/>
        <w:rPr>
          <w:rFonts w:ascii="Arial" w:hAnsi="Arial" w:cs="Arial"/>
        </w:rPr>
      </w:pPr>
      <w:r w:rsidRPr="00D30BFC">
        <w:rPr>
          <w:rFonts w:ascii="Arial" w:hAnsi="Arial" w:cs="Arial"/>
        </w:rPr>
        <w:t xml:space="preserve">Joint ventures. </w:t>
      </w:r>
    </w:p>
    <w:p w14:paraId="1A59D115" w14:textId="6021347A" w:rsidR="00CD6352" w:rsidRPr="00EA7665" w:rsidRDefault="00CD6352" w:rsidP="00CD6352">
      <w:pPr>
        <w:spacing w:line="360" w:lineRule="auto"/>
        <w:rPr>
          <w:rFonts w:ascii="Arial" w:hAnsi="Arial" w:cs="Arial"/>
        </w:rPr>
      </w:pPr>
      <w:r>
        <w:rPr>
          <w:rFonts w:ascii="Arial" w:hAnsi="Arial" w:cs="Arial"/>
        </w:rPr>
        <w:lastRenderedPageBreak/>
        <w:t>D</w:t>
      </w:r>
      <w:r w:rsidRPr="00EA7665">
        <w:rPr>
          <w:rFonts w:ascii="Arial" w:hAnsi="Arial" w:cs="Arial"/>
        </w:rPr>
        <w:t xml:space="preserve">ebentures, derivatives, and equity crowdfunding are the least used. The findings from both the questionnaire survey and interviews show that the most highly used finance option for real estate project development by managers in the developed and emerging economies </w:t>
      </w:r>
      <w:r w:rsidR="00BF0C6E">
        <w:rPr>
          <w:rFonts w:ascii="Arial" w:hAnsi="Arial" w:cs="Arial"/>
        </w:rPr>
        <w:t>is bank finance, which</w:t>
      </w:r>
      <w:r w:rsidRPr="00EA7665">
        <w:rPr>
          <w:rFonts w:ascii="Arial" w:hAnsi="Arial" w:cs="Arial"/>
        </w:rPr>
        <w:t xml:space="preserve"> is in line with existing literature (Delmendo, 2019; Irving &amp; Manroth, 2009).  </w:t>
      </w:r>
    </w:p>
    <w:p w14:paraId="02B6C1EA" w14:textId="73344C39" w:rsidR="00CD6352" w:rsidRPr="00EA7665" w:rsidRDefault="00CD6352" w:rsidP="00CD6352">
      <w:pPr>
        <w:spacing w:line="360" w:lineRule="auto"/>
        <w:rPr>
          <w:rFonts w:ascii="Arial" w:hAnsi="Arial" w:cs="Arial"/>
        </w:rPr>
      </w:pPr>
      <w:r w:rsidRPr="00764E2B">
        <w:rPr>
          <w:rFonts w:ascii="Arial" w:hAnsi="Arial" w:cs="Arial"/>
        </w:rPr>
        <w:t xml:space="preserve">The findings demonstrate that </w:t>
      </w:r>
      <w:r w:rsidR="00544B06" w:rsidRPr="00764E2B">
        <w:rPr>
          <w:rFonts w:ascii="Arial" w:hAnsi="Arial" w:cs="Arial"/>
        </w:rPr>
        <w:t>the developed</w:t>
      </w:r>
      <w:r w:rsidRPr="00764E2B">
        <w:rPr>
          <w:rFonts w:ascii="Arial" w:hAnsi="Arial" w:cs="Arial"/>
        </w:rPr>
        <w:t xml:space="preserve"> economies of Germany, the UK, and the US all have similar finance options for real estate project development</w:t>
      </w:r>
      <w:r w:rsidR="00156C15">
        <w:rPr>
          <w:rFonts w:ascii="Arial" w:hAnsi="Arial" w:cs="Arial"/>
        </w:rPr>
        <w:t>,</w:t>
      </w:r>
      <w:r w:rsidRPr="00764E2B">
        <w:rPr>
          <w:rFonts w:ascii="Arial" w:hAnsi="Arial" w:cs="Arial"/>
        </w:rPr>
        <w:t xml:space="preserve"> with bank loans being significantly used by all of them</w:t>
      </w:r>
      <w:r w:rsidR="005E48DC">
        <w:rPr>
          <w:rFonts w:ascii="Arial" w:hAnsi="Arial" w:cs="Arial"/>
        </w:rPr>
        <w:t xml:space="preserve"> </w:t>
      </w:r>
      <w:r w:rsidR="0069232E" w:rsidRPr="005E48DC">
        <w:rPr>
          <w:rFonts w:ascii="Arial" w:hAnsi="Arial" w:cs="Arial"/>
        </w:rPr>
        <w:t>( see</w:t>
      </w:r>
      <w:r w:rsidR="005E48DC" w:rsidRPr="007625E7">
        <w:rPr>
          <w:rFonts w:ascii="Arial" w:hAnsi="Arial" w:cs="Arial"/>
        </w:rPr>
        <w:t xml:space="preserve"> </w:t>
      </w:r>
      <w:r w:rsidR="005E48DC" w:rsidRPr="000F3619">
        <w:rPr>
          <w:rFonts w:ascii="Arial" w:hAnsi="Arial" w:cs="Arial"/>
        </w:rPr>
        <w:t>table 5.2.4</w:t>
      </w:r>
      <w:r w:rsidR="0069232E" w:rsidRPr="000F3619">
        <w:rPr>
          <w:rFonts w:ascii="Arial" w:hAnsi="Arial" w:cs="Arial"/>
        </w:rPr>
        <w:t xml:space="preserve"> </w:t>
      </w:r>
      <w:r w:rsidR="005E48DC" w:rsidRPr="000F3619">
        <w:rPr>
          <w:rFonts w:ascii="Arial" w:hAnsi="Arial" w:cs="Arial"/>
        </w:rPr>
        <w:t>&amp; 5.2.2</w:t>
      </w:r>
      <w:r w:rsidR="0069232E" w:rsidRPr="000F3619">
        <w:rPr>
          <w:rFonts w:ascii="Arial" w:hAnsi="Arial" w:cs="Arial"/>
        </w:rPr>
        <w:t>)</w:t>
      </w:r>
      <w:r w:rsidRPr="000F3619">
        <w:rPr>
          <w:rFonts w:ascii="Arial" w:hAnsi="Arial" w:cs="Arial"/>
        </w:rPr>
        <w:t>.</w:t>
      </w:r>
      <w:r w:rsidRPr="00764E2B">
        <w:rPr>
          <w:rFonts w:ascii="Arial" w:hAnsi="Arial" w:cs="Arial"/>
        </w:rPr>
        <w:t xml:space="preserve"> The developed economies in this study all have excellent access to debt finance as compared to</w:t>
      </w:r>
      <w:r w:rsidRPr="00EA7665">
        <w:rPr>
          <w:rFonts w:ascii="Arial" w:hAnsi="Arial" w:cs="Arial"/>
        </w:rPr>
        <w:t xml:space="preserve"> the emerging economies</w:t>
      </w:r>
      <w:r>
        <w:rPr>
          <w:rFonts w:ascii="Arial" w:hAnsi="Arial" w:cs="Arial"/>
        </w:rPr>
        <w:t>,</w:t>
      </w:r>
      <w:r w:rsidRPr="00EA7665">
        <w:rPr>
          <w:rFonts w:ascii="Arial" w:hAnsi="Arial" w:cs="Arial"/>
        </w:rPr>
        <w:t xml:space="preserve"> despite debt finance being dominant in both regions. German </w:t>
      </w:r>
      <w:r>
        <w:rPr>
          <w:rFonts w:ascii="Arial" w:hAnsi="Arial" w:cs="Arial"/>
        </w:rPr>
        <w:t>debt</w:t>
      </w:r>
      <w:r w:rsidRPr="00EA7665">
        <w:rPr>
          <w:rFonts w:ascii="Arial" w:hAnsi="Arial" w:cs="Arial"/>
        </w:rPr>
        <w:t xml:space="preserve"> comes in two primary forms</w:t>
      </w:r>
      <w:r w:rsidR="00BF0C6E">
        <w:rPr>
          <w:rFonts w:ascii="Arial" w:hAnsi="Arial" w:cs="Arial"/>
        </w:rPr>
        <w:t>: bank debt and (Pfandbrief) mortgage-backed bonds representing</w:t>
      </w:r>
      <w:r>
        <w:rPr>
          <w:rFonts w:ascii="Arial" w:hAnsi="Arial" w:cs="Arial"/>
        </w:rPr>
        <w:t xml:space="preserve"> </w:t>
      </w:r>
      <w:r w:rsidRPr="00EA7665">
        <w:rPr>
          <w:rFonts w:ascii="Arial" w:hAnsi="Arial" w:cs="Arial"/>
        </w:rPr>
        <w:t xml:space="preserve">the largest segment of the private debt market (Jil, 2019). The UK real estate managers also have great support from </w:t>
      </w:r>
      <w:r>
        <w:rPr>
          <w:rFonts w:ascii="Arial" w:hAnsi="Arial" w:cs="Arial"/>
        </w:rPr>
        <w:t>banks</w:t>
      </w:r>
      <w:r w:rsidRPr="00EA7665">
        <w:rPr>
          <w:rFonts w:ascii="Arial" w:hAnsi="Arial" w:cs="Arial"/>
        </w:rPr>
        <w:t xml:space="preserve">, building societies and mortgage brokers who collectively are the primary financiers of real estate project development in the UK (Zhou, 2019; IPF, 2017). </w:t>
      </w:r>
      <w:r>
        <w:rPr>
          <w:rFonts w:ascii="Arial" w:hAnsi="Arial" w:cs="Arial"/>
        </w:rPr>
        <w:t>The c</w:t>
      </w:r>
      <w:r w:rsidRPr="00EA7665">
        <w:rPr>
          <w:rFonts w:ascii="Arial" w:hAnsi="Arial" w:cs="Arial"/>
        </w:rPr>
        <w:t xml:space="preserve">ommercial </w:t>
      </w:r>
      <w:r>
        <w:rPr>
          <w:rFonts w:ascii="Arial" w:hAnsi="Arial" w:cs="Arial"/>
        </w:rPr>
        <w:t>r</w:t>
      </w:r>
      <w:r w:rsidRPr="00EA7665">
        <w:rPr>
          <w:rFonts w:ascii="Arial" w:hAnsi="Arial" w:cs="Arial"/>
        </w:rPr>
        <w:t>eal estate sector gets 60% of its loans from UK banks (IPF, 2017). Banks and mortgage brokers are the primary lenders for real estate project development in the US</w:t>
      </w:r>
      <w:r w:rsidR="00156C15">
        <w:rPr>
          <w:rFonts w:ascii="Arial" w:hAnsi="Arial" w:cs="Arial"/>
        </w:rPr>
        <w:t>,</w:t>
      </w:r>
      <w:r w:rsidRPr="00EA7665">
        <w:rPr>
          <w:rFonts w:ascii="Arial" w:hAnsi="Arial" w:cs="Arial"/>
        </w:rPr>
        <w:t xml:space="preserve"> with approximately 40% of </w:t>
      </w:r>
      <w:r>
        <w:rPr>
          <w:rFonts w:ascii="Arial" w:hAnsi="Arial" w:cs="Arial"/>
        </w:rPr>
        <w:t xml:space="preserve">the </w:t>
      </w:r>
      <w:r w:rsidR="00544B06" w:rsidRPr="00EA7665">
        <w:rPr>
          <w:rFonts w:ascii="Arial" w:hAnsi="Arial" w:cs="Arial"/>
        </w:rPr>
        <w:t>debt split</w:t>
      </w:r>
      <w:r w:rsidRPr="00EA7665">
        <w:rPr>
          <w:rFonts w:ascii="Arial" w:hAnsi="Arial" w:cs="Arial"/>
        </w:rPr>
        <w:t xml:space="preserve"> between domestic and foreign banks (Kane, 2018). Managers in the selected developed economies all have access to long term debts through bonds</w:t>
      </w:r>
      <w:r w:rsidR="001006E8">
        <w:rPr>
          <w:rFonts w:ascii="Arial" w:hAnsi="Arial" w:cs="Arial"/>
        </w:rPr>
        <w:t>,</w:t>
      </w:r>
      <w:r w:rsidRPr="00EA7665">
        <w:rPr>
          <w:rFonts w:ascii="Arial" w:hAnsi="Arial" w:cs="Arial"/>
        </w:rPr>
        <w:t xml:space="preserve"> with those in the US and Germany attesting to the usage of Sovereign wealth funds. There is good support </w:t>
      </w:r>
      <w:r>
        <w:rPr>
          <w:rFonts w:ascii="Arial" w:hAnsi="Arial" w:cs="Arial"/>
        </w:rPr>
        <w:t>from</w:t>
      </w:r>
      <w:r w:rsidRPr="00EA7665">
        <w:rPr>
          <w:rFonts w:ascii="Arial" w:hAnsi="Arial" w:cs="Arial"/>
        </w:rPr>
        <w:t xml:space="preserve"> the banking sector and debt markets for real estate project development in the developed economies because of governmental influence through monetary policies that have influenced interest rates and enhanced funding availability through quantitative easing (Madura, 2017). </w:t>
      </w:r>
    </w:p>
    <w:p w14:paraId="3839D2B9" w14:textId="425A93A9" w:rsidR="00CD6352" w:rsidRPr="00EA7665" w:rsidRDefault="00CD6352" w:rsidP="00CD6352">
      <w:pPr>
        <w:spacing w:line="360" w:lineRule="auto"/>
        <w:rPr>
          <w:rFonts w:ascii="Arial" w:hAnsi="Arial" w:cs="Arial"/>
        </w:rPr>
      </w:pPr>
      <w:r w:rsidRPr="00EA7665">
        <w:rPr>
          <w:rFonts w:ascii="Arial" w:hAnsi="Arial" w:cs="Arial"/>
        </w:rPr>
        <w:t>In the same light, the managers in the emerging economies also have access to debt for real estate project development. Managers in China have as much access to debt as those in the developed economies</w:t>
      </w:r>
      <w:r w:rsidR="005E48DC">
        <w:rPr>
          <w:rFonts w:ascii="Arial" w:hAnsi="Arial" w:cs="Arial"/>
        </w:rPr>
        <w:t xml:space="preserve"> </w:t>
      </w:r>
      <w:r w:rsidR="005E48DC" w:rsidRPr="005E48DC">
        <w:rPr>
          <w:rFonts w:ascii="Arial" w:hAnsi="Arial" w:cs="Arial"/>
        </w:rPr>
        <w:t>( see table 5.2.5</w:t>
      </w:r>
      <w:r w:rsidR="005E48DC" w:rsidRPr="007625E7">
        <w:rPr>
          <w:rFonts w:ascii="Arial" w:hAnsi="Arial" w:cs="Arial"/>
        </w:rPr>
        <w:t xml:space="preserve"> &amp; table 5.2.2</w:t>
      </w:r>
      <w:r w:rsidR="005E48DC" w:rsidRPr="005E48DC">
        <w:rPr>
          <w:rFonts w:ascii="Arial" w:hAnsi="Arial" w:cs="Arial"/>
        </w:rPr>
        <w:t>)</w:t>
      </w:r>
      <w:r w:rsidRPr="005E48DC">
        <w:rPr>
          <w:rFonts w:ascii="Arial" w:hAnsi="Arial" w:cs="Arial"/>
        </w:rPr>
        <w:t>.</w:t>
      </w:r>
      <w:r w:rsidRPr="00EA7665">
        <w:rPr>
          <w:rFonts w:ascii="Arial" w:hAnsi="Arial" w:cs="Arial"/>
        </w:rPr>
        <w:t xml:space="preserve"> Furthermore, managers in China have access to sovereign wealth funds and REITs (Liu, 2004; Zhou, 2019). Managers in China have greater access to debt finance than those in Nigeria and South Africa</w:t>
      </w:r>
      <w:r w:rsidR="00EB50FB">
        <w:rPr>
          <w:rFonts w:ascii="Arial" w:hAnsi="Arial" w:cs="Arial"/>
        </w:rPr>
        <w:t>,</w:t>
      </w:r>
      <w:r w:rsidRPr="00EA7665">
        <w:rPr>
          <w:rFonts w:ascii="Arial" w:hAnsi="Arial" w:cs="Arial"/>
        </w:rPr>
        <w:t xml:space="preserve"> while</w:t>
      </w:r>
      <w:r>
        <w:rPr>
          <w:rFonts w:ascii="Arial" w:hAnsi="Arial" w:cs="Arial"/>
        </w:rPr>
        <w:t xml:space="preserve"> managers</w:t>
      </w:r>
      <w:r w:rsidRPr="00EA7665">
        <w:rPr>
          <w:rFonts w:ascii="Arial" w:hAnsi="Arial" w:cs="Arial"/>
        </w:rPr>
        <w:t xml:space="preserve"> in Nigeria have the least access </w:t>
      </w:r>
      <w:r w:rsidR="00544B06" w:rsidRPr="00EA7665">
        <w:rPr>
          <w:rFonts w:ascii="Arial" w:hAnsi="Arial" w:cs="Arial"/>
        </w:rPr>
        <w:t>to bank</w:t>
      </w:r>
      <w:r w:rsidR="00544B06">
        <w:rPr>
          <w:rFonts w:ascii="Arial" w:hAnsi="Arial" w:cs="Arial"/>
        </w:rPr>
        <w:t xml:space="preserve"> finance</w:t>
      </w:r>
      <w:r w:rsidRPr="00EA7665">
        <w:rPr>
          <w:rFonts w:ascii="Arial" w:hAnsi="Arial" w:cs="Arial"/>
        </w:rPr>
        <w:t xml:space="preserve">, private debt finance and REITs for real estate project development (Ebi and Kalu, 2016). The comparative shortfall in debt finance in Nigeria and South Africa as compared to China and the selected development economies is partly a result of </w:t>
      </w:r>
      <w:r>
        <w:rPr>
          <w:rFonts w:ascii="Arial" w:hAnsi="Arial" w:cs="Arial"/>
        </w:rPr>
        <w:t>their governments’</w:t>
      </w:r>
      <w:r w:rsidRPr="00EA7665">
        <w:rPr>
          <w:rFonts w:ascii="Arial" w:hAnsi="Arial" w:cs="Arial"/>
        </w:rPr>
        <w:t xml:space="preserve"> unfavourable monetary policies</w:t>
      </w:r>
      <w:r w:rsidR="00764E2B">
        <w:rPr>
          <w:rFonts w:ascii="Arial" w:hAnsi="Arial" w:cs="Arial"/>
        </w:rPr>
        <w:t>. M</w:t>
      </w:r>
      <w:r w:rsidRPr="00EA7665">
        <w:rPr>
          <w:rFonts w:ascii="Arial" w:hAnsi="Arial" w:cs="Arial"/>
        </w:rPr>
        <w:t xml:space="preserve">ortgage institutions in Nigeria </w:t>
      </w:r>
      <w:r w:rsidR="00156C15">
        <w:rPr>
          <w:rFonts w:ascii="Arial" w:hAnsi="Arial" w:cs="Arial"/>
        </w:rPr>
        <w:t xml:space="preserve">are </w:t>
      </w:r>
      <w:r w:rsidRPr="00EA7665">
        <w:rPr>
          <w:rFonts w:ascii="Arial" w:hAnsi="Arial" w:cs="Arial"/>
        </w:rPr>
        <w:t>plagued with bureaucrac</w:t>
      </w:r>
      <w:r>
        <w:rPr>
          <w:rFonts w:ascii="Arial" w:hAnsi="Arial" w:cs="Arial"/>
        </w:rPr>
        <w:t>y</w:t>
      </w:r>
      <w:r w:rsidRPr="00EA7665">
        <w:rPr>
          <w:rFonts w:ascii="Arial" w:hAnsi="Arial" w:cs="Arial"/>
        </w:rPr>
        <w:t>, high</w:t>
      </w:r>
      <w:r w:rsidR="00156C15">
        <w:rPr>
          <w:rFonts w:ascii="Arial" w:hAnsi="Arial" w:cs="Arial"/>
        </w:rPr>
        <w:t xml:space="preserve"> </w:t>
      </w:r>
      <w:r w:rsidRPr="00EA7665">
        <w:rPr>
          <w:rFonts w:ascii="Arial" w:hAnsi="Arial" w:cs="Arial"/>
        </w:rPr>
        <w:t xml:space="preserve">interest rates, </w:t>
      </w:r>
      <w:r>
        <w:rPr>
          <w:rFonts w:ascii="Arial" w:hAnsi="Arial" w:cs="Arial"/>
        </w:rPr>
        <w:t xml:space="preserve">and </w:t>
      </w:r>
      <w:r w:rsidRPr="00EA7665">
        <w:rPr>
          <w:rFonts w:ascii="Arial" w:hAnsi="Arial" w:cs="Arial"/>
        </w:rPr>
        <w:t>high collateral request</w:t>
      </w:r>
      <w:r w:rsidR="0054456B">
        <w:rPr>
          <w:rFonts w:ascii="Arial" w:hAnsi="Arial" w:cs="Arial"/>
        </w:rPr>
        <w:t>s</w:t>
      </w:r>
      <w:r w:rsidRPr="00EA7665">
        <w:rPr>
          <w:rFonts w:ascii="Arial" w:hAnsi="Arial" w:cs="Arial"/>
        </w:rPr>
        <w:t xml:space="preserve"> and problems of historical inequalities in South Africa (Brown, 2008; Nurick et al., 2017 and Ezimuo et al., 2018). </w:t>
      </w:r>
    </w:p>
    <w:p w14:paraId="1D55DD33" w14:textId="6D680F33" w:rsidR="00CD6352" w:rsidRPr="00EA7665" w:rsidRDefault="00CD6352" w:rsidP="00CD6352">
      <w:pPr>
        <w:spacing w:line="360" w:lineRule="auto"/>
        <w:rPr>
          <w:rFonts w:ascii="Arial" w:hAnsi="Arial" w:cs="Arial"/>
        </w:rPr>
      </w:pPr>
      <w:r w:rsidRPr="00EA7665">
        <w:rPr>
          <w:rFonts w:ascii="Arial" w:hAnsi="Arial" w:cs="Arial"/>
        </w:rPr>
        <w:lastRenderedPageBreak/>
        <w:t>China, in terms of usage of equity and innovative finance, is similar to the developed economies.  However, the intervie</w:t>
      </w:r>
      <w:r>
        <w:rPr>
          <w:rFonts w:ascii="Arial" w:hAnsi="Arial" w:cs="Arial"/>
        </w:rPr>
        <w:t>ws</w:t>
      </w:r>
      <w:r w:rsidRPr="00EA7665">
        <w:rPr>
          <w:rFonts w:ascii="Arial" w:hAnsi="Arial" w:cs="Arial"/>
        </w:rPr>
        <w:t xml:space="preserve"> revealed that China has a strong government presence </w:t>
      </w:r>
      <w:r>
        <w:rPr>
          <w:rFonts w:ascii="Arial" w:hAnsi="Arial" w:cs="Arial"/>
        </w:rPr>
        <w:t>in</w:t>
      </w:r>
      <w:r w:rsidRPr="00EA7665">
        <w:rPr>
          <w:rFonts w:ascii="Arial" w:hAnsi="Arial" w:cs="Arial"/>
        </w:rPr>
        <w:t xml:space="preserve"> the control mechanism, which affects the expatriation of funds from real estate to other countries. Notably, Nigeria appears to be an outlier based on the findings because 90% of </w:t>
      </w:r>
      <w:r w:rsidR="00156C15">
        <w:rPr>
          <w:rFonts w:ascii="Arial" w:hAnsi="Arial" w:cs="Arial"/>
        </w:rPr>
        <w:t>real estate project development finance comes from off-takers, with minimal support</w:t>
      </w:r>
      <w:r>
        <w:rPr>
          <w:rFonts w:ascii="Arial" w:hAnsi="Arial" w:cs="Arial"/>
        </w:rPr>
        <w:t xml:space="preserve"> </w:t>
      </w:r>
      <w:r w:rsidRPr="00EA7665">
        <w:rPr>
          <w:rFonts w:ascii="Arial" w:hAnsi="Arial" w:cs="Arial"/>
        </w:rPr>
        <w:t xml:space="preserve">from the banking sector and the government. </w:t>
      </w:r>
      <w:r w:rsidR="00EB50FB">
        <w:rPr>
          <w:rFonts w:ascii="Arial" w:hAnsi="Arial" w:cs="Arial"/>
        </w:rPr>
        <w:t>On the other hand, South Africa</w:t>
      </w:r>
      <w:r w:rsidRPr="00EA7665">
        <w:rPr>
          <w:rFonts w:ascii="Arial" w:hAnsi="Arial" w:cs="Arial"/>
        </w:rPr>
        <w:t xml:space="preserve"> has a good </w:t>
      </w:r>
      <w:r>
        <w:rPr>
          <w:rFonts w:ascii="Arial" w:hAnsi="Arial" w:cs="Arial"/>
        </w:rPr>
        <w:t>mix of</w:t>
      </w:r>
      <w:r w:rsidRPr="00EA7665">
        <w:rPr>
          <w:rFonts w:ascii="Arial" w:hAnsi="Arial" w:cs="Arial"/>
        </w:rPr>
        <w:t xml:space="preserve"> bank, private and public equity finance based on the findings</w:t>
      </w:r>
      <w:r>
        <w:rPr>
          <w:rFonts w:ascii="Arial" w:hAnsi="Arial" w:cs="Arial"/>
        </w:rPr>
        <w:t>.  However,</w:t>
      </w:r>
      <w:r w:rsidRPr="00EA7665">
        <w:rPr>
          <w:rFonts w:ascii="Arial" w:hAnsi="Arial" w:cs="Arial"/>
        </w:rPr>
        <w:t xml:space="preserve"> there is still some fundamental imbalance in access to funding because of the effect of historical racial problems in South Africa.</w:t>
      </w:r>
      <w:r>
        <w:rPr>
          <w:rFonts w:ascii="Arial" w:hAnsi="Arial" w:cs="Arial"/>
        </w:rPr>
        <w:t xml:space="preserve"> </w:t>
      </w:r>
      <w:r w:rsidRPr="00EA7665">
        <w:rPr>
          <w:rFonts w:ascii="Arial" w:hAnsi="Arial" w:cs="Arial"/>
        </w:rPr>
        <w:t xml:space="preserve">The </w:t>
      </w:r>
      <w:r w:rsidR="006D10C9" w:rsidRPr="00EA7665">
        <w:rPr>
          <w:rFonts w:ascii="Arial" w:hAnsi="Arial" w:cs="Arial"/>
        </w:rPr>
        <w:t>findings show</w:t>
      </w:r>
      <w:r w:rsidRPr="00EA7665">
        <w:rPr>
          <w:rFonts w:ascii="Arial" w:hAnsi="Arial" w:cs="Arial"/>
        </w:rPr>
        <w:t xml:space="preserve"> government support and grants as sources of finance for all the developed economies as well as China and South Africa, but government grants and subsidies are not accessible to managers involved in real estate project development in Nigeria.</w:t>
      </w:r>
    </w:p>
    <w:p w14:paraId="0213BDC8" w14:textId="77777777" w:rsidR="00CD6352" w:rsidRPr="00EA7665" w:rsidRDefault="00CD6352" w:rsidP="00CD6352">
      <w:pPr>
        <w:pStyle w:val="Heading3"/>
        <w:rPr>
          <w:rFonts w:eastAsia="Calibri"/>
          <w:sz w:val="22"/>
          <w:szCs w:val="22"/>
        </w:rPr>
      </w:pPr>
      <w:bookmarkStart w:id="1129" w:name="_Toc78983846"/>
      <w:r w:rsidRPr="00EA7665">
        <w:rPr>
          <w:rFonts w:eastAsia="Calibri"/>
          <w:sz w:val="22"/>
          <w:szCs w:val="22"/>
        </w:rPr>
        <w:t>The implication of the findings on finance options for real estate project development in developed and emerging economies</w:t>
      </w:r>
      <w:bookmarkEnd w:id="1129"/>
      <w:r w:rsidRPr="00EA7665">
        <w:rPr>
          <w:rFonts w:eastAsia="Calibri"/>
          <w:sz w:val="22"/>
          <w:szCs w:val="22"/>
        </w:rPr>
        <w:t xml:space="preserve"> </w:t>
      </w:r>
    </w:p>
    <w:p w14:paraId="6577AD81" w14:textId="2FAECB66" w:rsidR="00CD6352" w:rsidRPr="00EA7665" w:rsidRDefault="00CD6352" w:rsidP="00277188">
      <w:pPr>
        <w:spacing w:line="360" w:lineRule="auto"/>
        <w:jc w:val="both"/>
        <w:rPr>
          <w:rFonts w:ascii="Arial" w:hAnsi="Arial" w:cs="Arial"/>
          <w:sz w:val="16"/>
          <w:szCs w:val="16"/>
        </w:rPr>
      </w:pPr>
      <w:r>
        <w:rPr>
          <w:rFonts w:ascii="Arial" w:hAnsi="Arial" w:cs="Arial"/>
        </w:rPr>
        <w:t>Knowledge</w:t>
      </w:r>
      <w:r w:rsidRPr="00EA7665">
        <w:rPr>
          <w:rFonts w:ascii="Arial" w:hAnsi="Arial" w:cs="Arial"/>
        </w:rPr>
        <w:t xml:space="preserve"> of the </w:t>
      </w:r>
      <w:r w:rsidR="00EB50FB">
        <w:rPr>
          <w:rFonts w:ascii="Arial" w:hAnsi="Arial" w:cs="Arial"/>
        </w:rPr>
        <w:t>various</w:t>
      </w:r>
      <w:r w:rsidRPr="00EA7665">
        <w:rPr>
          <w:rFonts w:ascii="Arial" w:hAnsi="Arial" w:cs="Arial"/>
        </w:rPr>
        <w:t xml:space="preserve"> finance options</w:t>
      </w:r>
      <w:r>
        <w:rPr>
          <w:rFonts w:ascii="Arial" w:hAnsi="Arial" w:cs="Arial"/>
        </w:rPr>
        <w:t xml:space="preserve"> available</w:t>
      </w:r>
      <w:r w:rsidRPr="00EA7665">
        <w:rPr>
          <w:rFonts w:ascii="Arial" w:hAnsi="Arial" w:cs="Arial"/>
        </w:rPr>
        <w:t xml:space="preserve"> is meant to support the manager in the real estate development sector </w:t>
      </w:r>
      <w:r w:rsidR="00EB50FB">
        <w:rPr>
          <w:rFonts w:ascii="Arial" w:hAnsi="Arial" w:cs="Arial"/>
        </w:rPr>
        <w:t>to secure</w:t>
      </w:r>
      <w:r w:rsidRPr="00EA7665">
        <w:rPr>
          <w:rFonts w:ascii="Arial" w:hAnsi="Arial" w:cs="Arial"/>
        </w:rPr>
        <w:t xml:space="preserve"> finance for real estate project development. </w:t>
      </w:r>
      <w:r w:rsidR="00156C15">
        <w:rPr>
          <w:rFonts w:ascii="Arial" w:hAnsi="Arial" w:cs="Arial"/>
        </w:rPr>
        <w:t>This research establishes that finance options for real estate project development are a composition of equity, debt and innovative real estate finance. Accordingly, the findings show that access to capital is not a problem for most managers involved in real estate project development in developed countries and China.  However, access to finance for real estate projects is a problem in Nigeria and South Africa. Furthermore, the study demonstrates that there is no established inventory of finance options for real estate project development, which is composed of debt, equity and innovative and creative options. Hence this research developed an inventory of finance options for real estate project development, and it forms part of the toolkit for securing finance for real estate project development (See chapter 10)</w:t>
      </w:r>
      <w:r w:rsidR="00277188">
        <w:rPr>
          <w:rFonts w:ascii="Arial" w:hAnsi="Arial" w:cs="Arial"/>
        </w:rPr>
        <w:t>.</w:t>
      </w:r>
    </w:p>
    <w:p w14:paraId="57B7FAE7" w14:textId="3F710CB2" w:rsidR="00CD6352" w:rsidRPr="00EA7665" w:rsidRDefault="00CD6352" w:rsidP="00CD6352">
      <w:pPr>
        <w:spacing w:line="360" w:lineRule="auto"/>
        <w:rPr>
          <w:rFonts w:ascii="Arial" w:hAnsi="Arial" w:cs="Arial"/>
        </w:rPr>
      </w:pPr>
      <w:r w:rsidRPr="00EA7665">
        <w:rPr>
          <w:rFonts w:ascii="Arial" w:hAnsi="Arial" w:cs="Arial"/>
        </w:rPr>
        <w:t xml:space="preserve">The findings demonstrate </w:t>
      </w:r>
      <w:r w:rsidR="00EB50FB">
        <w:rPr>
          <w:rFonts w:ascii="Arial" w:hAnsi="Arial" w:cs="Arial"/>
        </w:rPr>
        <w:t>a comparative funding gap for real estate project development in Nigeria and South Africa compared to Germany, the US, the UK,</w:t>
      </w:r>
      <w:r w:rsidRPr="00EA7665">
        <w:rPr>
          <w:rFonts w:ascii="Arial" w:hAnsi="Arial" w:cs="Arial"/>
        </w:rPr>
        <w:t xml:space="preserve"> and China. Enhanced efforts by different stakeholders can help to bridge this funding gap in the following ways:</w:t>
      </w:r>
    </w:p>
    <w:p w14:paraId="48215A3E" w14:textId="40E5F83C" w:rsidR="00CD6352" w:rsidRPr="00EA7665" w:rsidRDefault="00CD6352" w:rsidP="00C74AEC">
      <w:pPr>
        <w:pStyle w:val="ListParagraph"/>
        <w:numPr>
          <w:ilvl w:val="0"/>
          <w:numId w:val="89"/>
        </w:numPr>
        <w:spacing w:line="360" w:lineRule="auto"/>
        <w:rPr>
          <w:rFonts w:ascii="Arial" w:hAnsi="Arial" w:cs="Arial"/>
        </w:rPr>
      </w:pPr>
      <w:r w:rsidRPr="00EA7665">
        <w:rPr>
          <w:rFonts w:ascii="Arial" w:hAnsi="Arial" w:cs="Arial"/>
        </w:rPr>
        <w:t xml:space="preserve">Governments should develop economic stability through fiscal and monetary policies as well </w:t>
      </w:r>
      <w:r w:rsidR="00FC2B88">
        <w:rPr>
          <w:rFonts w:ascii="Arial" w:hAnsi="Arial" w:cs="Arial"/>
        </w:rPr>
        <w:t xml:space="preserve">as </w:t>
      </w:r>
      <w:r w:rsidR="00297994">
        <w:rPr>
          <w:rFonts w:ascii="Arial" w:hAnsi="Arial" w:cs="Arial"/>
        </w:rPr>
        <w:t>providing</w:t>
      </w:r>
      <w:r w:rsidR="00297994" w:rsidRPr="00EA7665">
        <w:rPr>
          <w:rFonts w:ascii="Arial" w:hAnsi="Arial" w:cs="Arial"/>
        </w:rPr>
        <w:t xml:space="preserve"> robust</w:t>
      </w:r>
      <w:r w:rsidRPr="00EA7665">
        <w:rPr>
          <w:rFonts w:ascii="Arial" w:hAnsi="Arial" w:cs="Arial"/>
        </w:rPr>
        <w:t xml:space="preserve"> sovereign wealth funds to enhance the provision of </w:t>
      </w:r>
      <w:r w:rsidR="005B66B1" w:rsidRPr="00EA7665">
        <w:rPr>
          <w:rFonts w:ascii="Arial" w:hAnsi="Arial" w:cs="Arial"/>
        </w:rPr>
        <w:t>long-term</w:t>
      </w:r>
      <w:r w:rsidRPr="00EA7665">
        <w:rPr>
          <w:rFonts w:ascii="Arial" w:hAnsi="Arial" w:cs="Arial"/>
        </w:rPr>
        <w:t xml:space="preserve"> debt for real estate project development.</w:t>
      </w:r>
    </w:p>
    <w:p w14:paraId="428FCCB2" w14:textId="1037BDF4" w:rsidR="00CD6352" w:rsidRPr="00EA7665" w:rsidRDefault="00CD6352" w:rsidP="00C74AEC">
      <w:pPr>
        <w:pStyle w:val="ListParagraph"/>
        <w:numPr>
          <w:ilvl w:val="0"/>
          <w:numId w:val="89"/>
        </w:numPr>
        <w:spacing w:line="360" w:lineRule="auto"/>
        <w:rPr>
          <w:rFonts w:ascii="Arial" w:hAnsi="Arial" w:cs="Arial"/>
        </w:rPr>
      </w:pPr>
      <w:r w:rsidRPr="00EA7665">
        <w:rPr>
          <w:rFonts w:ascii="Arial" w:hAnsi="Arial" w:cs="Arial"/>
        </w:rPr>
        <w:t xml:space="preserve">Multilateral development banks should create a more engaging platform to influence </w:t>
      </w:r>
      <w:r w:rsidR="00EB50FB">
        <w:rPr>
          <w:rFonts w:ascii="Arial" w:hAnsi="Arial" w:cs="Arial"/>
        </w:rPr>
        <w:t>emerging economies' monetary and fiscal polic</w:t>
      </w:r>
      <w:r w:rsidRPr="00EA7665">
        <w:rPr>
          <w:rFonts w:ascii="Arial" w:hAnsi="Arial" w:cs="Arial"/>
        </w:rPr>
        <w:t xml:space="preserve">ies to facilitate </w:t>
      </w:r>
      <w:r>
        <w:rPr>
          <w:rFonts w:ascii="Arial" w:hAnsi="Arial" w:cs="Arial"/>
        </w:rPr>
        <w:t xml:space="preserve">the </w:t>
      </w:r>
      <w:r w:rsidRPr="00EA7665">
        <w:rPr>
          <w:rFonts w:ascii="Arial" w:hAnsi="Arial" w:cs="Arial"/>
        </w:rPr>
        <w:t>provision</w:t>
      </w:r>
      <w:r>
        <w:rPr>
          <w:rFonts w:ascii="Arial" w:hAnsi="Arial" w:cs="Arial"/>
        </w:rPr>
        <w:t xml:space="preserve"> of</w:t>
      </w:r>
      <w:r w:rsidRPr="00EA7665">
        <w:rPr>
          <w:rFonts w:ascii="Arial" w:hAnsi="Arial" w:cs="Arial"/>
        </w:rPr>
        <w:t xml:space="preserve"> finance for real estate project development.</w:t>
      </w:r>
    </w:p>
    <w:p w14:paraId="21ACB024" w14:textId="77777777" w:rsidR="00CD6352" w:rsidRPr="00EA7665" w:rsidRDefault="00CD6352" w:rsidP="00C74AEC">
      <w:pPr>
        <w:pStyle w:val="ListParagraph"/>
        <w:numPr>
          <w:ilvl w:val="0"/>
          <w:numId w:val="89"/>
        </w:numPr>
        <w:spacing w:line="360" w:lineRule="auto"/>
        <w:rPr>
          <w:rFonts w:ascii="Arial" w:hAnsi="Arial" w:cs="Arial"/>
        </w:rPr>
      </w:pPr>
      <w:r>
        <w:rPr>
          <w:rFonts w:ascii="Arial" w:hAnsi="Arial" w:cs="Arial"/>
        </w:rPr>
        <w:t xml:space="preserve">The </w:t>
      </w:r>
      <w:r w:rsidRPr="00EA7665">
        <w:rPr>
          <w:rFonts w:ascii="Arial" w:hAnsi="Arial" w:cs="Arial"/>
        </w:rPr>
        <w:t>Research Community should undertake more research in innovative financing to assess the funding requirements for real estate project development</w:t>
      </w:r>
    </w:p>
    <w:p w14:paraId="78EE28FF" w14:textId="29EF8A68" w:rsidR="00CD6352" w:rsidRPr="00EA7665" w:rsidRDefault="00CD6352" w:rsidP="00CD6352">
      <w:pPr>
        <w:spacing w:after="0" w:line="360" w:lineRule="auto"/>
        <w:rPr>
          <w:rFonts w:ascii="Arial" w:hAnsi="Arial" w:cs="Arial"/>
        </w:rPr>
      </w:pPr>
      <w:r w:rsidRPr="00EA7665">
        <w:rPr>
          <w:rFonts w:ascii="Arial" w:hAnsi="Arial" w:cs="Arial"/>
        </w:rPr>
        <w:lastRenderedPageBreak/>
        <w:t xml:space="preserve">The major practical contribution of this segment of the study is that it provides details of the different finance options for real estate project development for both the developed and the emerging economies. Furthermore, the details of the different finance options </w:t>
      </w:r>
      <w:r w:rsidR="00FC2B88">
        <w:rPr>
          <w:rFonts w:ascii="Arial" w:hAnsi="Arial" w:cs="Arial"/>
        </w:rPr>
        <w:t>are</w:t>
      </w:r>
      <w:r w:rsidRPr="00EA7665">
        <w:rPr>
          <w:rFonts w:ascii="Arial" w:hAnsi="Arial" w:cs="Arial"/>
        </w:rPr>
        <w:t xml:space="preserve"> used to </w:t>
      </w:r>
      <w:r w:rsidRPr="00F236B4">
        <w:rPr>
          <w:rFonts w:ascii="Arial" w:hAnsi="Arial" w:cs="Arial"/>
        </w:rPr>
        <w:t>develop an inventory of finance options</w:t>
      </w:r>
      <w:r w:rsidR="00F236B4">
        <w:rPr>
          <w:rFonts w:ascii="Arial" w:hAnsi="Arial" w:cs="Arial"/>
        </w:rPr>
        <w:t xml:space="preserve"> and criteria for securing real estate development finance in chapter 5.4, which</w:t>
      </w:r>
      <w:r w:rsidRPr="00F236B4">
        <w:rPr>
          <w:rFonts w:ascii="Arial" w:hAnsi="Arial" w:cs="Arial"/>
        </w:rPr>
        <w:t xml:space="preserve"> </w:t>
      </w:r>
      <w:r w:rsidR="00F236B4">
        <w:rPr>
          <w:rFonts w:ascii="Arial" w:hAnsi="Arial" w:cs="Arial"/>
        </w:rPr>
        <w:t>is a component</w:t>
      </w:r>
      <w:r w:rsidRPr="00F236B4">
        <w:rPr>
          <w:rFonts w:ascii="Arial" w:hAnsi="Arial" w:cs="Arial"/>
        </w:rPr>
        <w:t xml:space="preserve"> of the toolkit for securing finance for real estate project development (see chapter </w:t>
      </w:r>
      <w:r w:rsidR="00E479C4" w:rsidRPr="00F236B4">
        <w:rPr>
          <w:rFonts w:ascii="Arial" w:hAnsi="Arial" w:cs="Arial"/>
        </w:rPr>
        <w:t>10</w:t>
      </w:r>
      <w:r w:rsidRPr="00F236B4">
        <w:rPr>
          <w:rFonts w:ascii="Arial" w:hAnsi="Arial" w:cs="Arial"/>
        </w:rPr>
        <w:t>).</w:t>
      </w:r>
      <w:r w:rsidRPr="00EA7665">
        <w:rPr>
          <w:rFonts w:ascii="Arial" w:hAnsi="Arial" w:cs="Arial"/>
        </w:rPr>
        <w:t xml:space="preserve"> </w:t>
      </w:r>
    </w:p>
    <w:p w14:paraId="63A7A942" w14:textId="209FD905" w:rsidR="00CD6352" w:rsidRPr="00EA7665" w:rsidRDefault="00EB50FB" w:rsidP="00CD6352">
      <w:pPr>
        <w:pStyle w:val="Heading2"/>
        <w:spacing w:after="240"/>
        <w:rPr>
          <w:rFonts w:eastAsia="Calibri"/>
          <w:sz w:val="22"/>
          <w:szCs w:val="22"/>
        </w:rPr>
      </w:pPr>
      <w:bookmarkStart w:id="1130" w:name="_Toc78983847"/>
      <w:r>
        <w:rPr>
          <w:rFonts w:eastAsia="Calibri"/>
          <w:sz w:val="22"/>
          <w:szCs w:val="22"/>
        </w:rPr>
        <w:t>The c</w:t>
      </w:r>
      <w:r w:rsidR="00CD6352" w:rsidRPr="00EA7665">
        <w:rPr>
          <w:rFonts w:eastAsia="Calibri"/>
          <w:sz w:val="22"/>
          <w:szCs w:val="22"/>
        </w:rPr>
        <w:t>riteria for securing finance for real estate project development</w:t>
      </w:r>
      <w:r w:rsidR="00CD6352">
        <w:rPr>
          <w:rFonts w:eastAsia="Calibri"/>
          <w:sz w:val="22"/>
          <w:szCs w:val="22"/>
        </w:rPr>
        <w:t xml:space="preserve"> </w:t>
      </w:r>
      <w:r w:rsidR="00CD6352" w:rsidRPr="00EA7665">
        <w:rPr>
          <w:rFonts w:eastAsia="Calibri"/>
          <w:sz w:val="22"/>
          <w:szCs w:val="22"/>
        </w:rPr>
        <w:t>in developed and emerging economies.</w:t>
      </w:r>
      <w:bookmarkEnd w:id="1130"/>
    </w:p>
    <w:p w14:paraId="32153519" w14:textId="0FCF9F8D" w:rsidR="00CD6352" w:rsidRDefault="00CD6352" w:rsidP="00CD6352">
      <w:pPr>
        <w:spacing w:line="360" w:lineRule="auto"/>
        <w:jc w:val="both"/>
        <w:rPr>
          <w:rFonts w:ascii="Arial" w:eastAsia="Calibri" w:hAnsi="Arial" w:cs="Arial"/>
        </w:rPr>
      </w:pPr>
      <w:r w:rsidRPr="00EA7665">
        <w:rPr>
          <w:rFonts w:ascii="Arial" w:eastAsia="Calibri" w:hAnsi="Arial" w:cs="Arial"/>
        </w:rPr>
        <w:t xml:space="preserve">This segment of the study is undertaken </w:t>
      </w:r>
      <w:r w:rsidR="00773778">
        <w:rPr>
          <w:rFonts w:ascii="Arial" w:eastAsia="Calibri" w:hAnsi="Arial" w:cs="Arial"/>
        </w:rPr>
        <w:t>to create</w:t>
      </w:r>
      <w:r>
        <w:rPr>
          <w:rFonts w:ascii="Arial" w:eastAsia="Calibri" w:hAnsi="Arial" w:cs="Arial"/>
        </w:rPr>
        <w:t xml:space="preserve"> </w:t>
      </w:r>
      <w:r w:rsidRPr="00EA7665">
        <w:rPr>
          <w:rFonts w:ascii="Arial" w:eastAsia="Calibri" w:hAnsi="Arial" w:cs="Arial"/>
        </w:rPr>
        <w:t xml:space="preserve">a better understanding of the criteria required for securing finance for real estate project development by financiers in both the developed and emerging economies. The </w:t>
      </w:r>
      <w:r w:rsidR="00156C15">
        <w:rPr>
          <w:rFonts w:ascii="Arial" w:eastAsia="Calibri" w:hAnsi="Arial" w:cs="Arial"/>
        </w:rPr>
        <w:t xml:space="preserve">criteria for securing finance for real estate project development </w:t>
      </w:r>
      <w:r w:rsidR="003E20BC">
        <w:rPr>
          <w:rFonts w:ascii="Arial" w:eastAsia="Calibri" w:hAnsi="Arial" w:cs="Arial"/>
        </w:rPr>
        <w:t>is</w:t>
      </w:r>
      <w:r w:rsidR="00156C15">
        <w:rPr>
          <w:rFonts w:ascii="Arial" w:eastAsia="Calibri" w:hAnsi="Arial" w:cs="Arial"/>
        </w:rPr>
        <w:t xml:space="preserve"> analysed through questionnaire surveys and interviews of managers operating in the real estate development sector of both</w:t>
      </w:r>
      <w:r w:rsidRPr="00EA7665">
        <w:rPr>
          <w:rFonts w:ascii="Arial" w:eastAsia="Calibri" w:hAnsi="Arial" w:cs="Arial"/>
        </w:rPr>
        <w:t xml:space="preserve"> developed and emerging economies. </w:t>
      </w:r>
    </w:p>
    <w:p w14:paraId="72A2DE0A" w14:textId="4878CADE" w:rsidR="00CD6352" w:rsidRPr="00EA7665" w:rsidRDefault="005B66B1" w:rsidP="00CD6352">
      <w:pPr>
        <w:spacing w:line="360" w:lineRule="auto"/>
        <w:jc w:val="both"/>
        <w:rPr>
          <w:rFonts w:ascii="Arial" w:eastAsia="Calibri" w:hAnsi="Arial" w:cs="Arial"/>
        </w:rPr>
      </w:pPr>
      <w:r>
        <w:rPr>
          <w:rFonts w:ascii="Arial" w:eastAsia="Calibri" w:hAnsi="Arial" w:cs="Arial"/>
        </w:rPr>
        <w:t xml:space="preserve">This </w:t>
      </w:r>
      <w:r w:rsidRPr="00EA7665">
        <w:rPr>
          <w:rFonts w:ascii="Arial" w:eastAsia="Calibri" w:hAnsi="Arial" w:cs="Arial"/>
        </w:rPr>
        <w:t>was</w:t>
      </w:r>
      <w:r w:rsidR="00CD6352" w:rsidRPr="00EA7665">
        <w:rPr>
          <w:rFonts w:ascii="Arial" w:eastAsia="Calibri" w:hAnsi="Arial" w:cs="Arial"/>
        </w:rPr>
        <w:t xml:space="preserve"> discussed in two major parts, as </w:t>
      </w:r>
      <w:r w:rsidR="00CD6352">
        <w:rPr>
          <w:rFonts w:ascii="Arial" w:eastAsia="Calibri" w:hAnsi="Arial" w:cs="Arial"/>
        </w:rPr>
        <w:t>shown</w:t>
      </w:r>
      <w:r w:rsidR="00CD6352" w:rsidRPr="00EA7665">
        <w:rPr>
          <w:rFonts w:ascii="Arial" w:eastAsia="Calibri" w:hAnsi="Arial" w:cs="Arial"/>
        </w:rPr>
        <w:t xml:space="preserve"> below:</w:t>
      </w:r>
    </w:p>
    <w:p w14:paraId="6D2D1D4A" w14:textId="77777777" w:rsidR="00CD6352" w:rsidRPr="00EA7665" w:rsidRDefault="00CD6352" w:rsidP="007625E7">
      <w:pPr>
        <w:numPr>
          <w:ilvl w:val="0"/>
          <w:numId w:val="378"/>
        </w:numPr>
        <w:spacing w:line="360" w:lineRule="auto"/>
        <w:jc w:val="both"/>
        <w:rPr>
          <w:rFonts w:ascii="Arial" w:eastAsia="Calibri" w:hAnsi="Arial" w:cs="Arial"/>
        </w:rPr>
      </w:pPr>
      <w:r w:rsidRPr="00EA7665">
        <w:rPr>
          <w:rFonts w:ascii="Arial" w:eastAsia="Calibri" w:hAnsi="Arial" w:cs="Arial"/>
        </w:rPr>
        <w:t xml:space="preserve">The aggregate level discussed the percentage request for the different criteria; it focused on the criteria often requested to criteria that are never requested. The aggregate level also discussed the criteria based on the ranking of the mean scores. </w:t>
      </w:r>
    </w:p>
    <w:p w14:paraId="76C9A33B" w14:textId="3FD3AF67" w:rsidR="00CD6352" w:rsidRPr="00EA7665" w:rsidRDefault="00CD6352" w:rsidP="007625E7">
      <w:pPr>
        <w:numPr>
          <w:ilvl w:val="0"/>
          <w:numId w:val="378"/>
        </w:numPr>
        <w:spacing w:line="360" w:lineRule="auto"/>
        <w:jc w:val="both"/>
        <w:rPr>
          <w:rFonts w:ascii="Arial" w:eastAsia="Calibri" w:hAnsi="Arial" w:cs="Arial"/>
        </w:rPr>
      </w:pPr>
      <w:r w:rsidRPr="00EA7665">
        <w:rPr>
          <w:rFonts w:ascii="Arial" w:eastAsia="Calibri" w:hAnsi="Arial" w:cs="Arial"/>
        </w:rPr>
        <w:t xml:space="preserve">The disaggregate level explores the criteria most requested from the managers in the individual countries based on the </w:t>
      </w:r>
      <w:r w:rsidR="00773778">
        <w:rPr>
          <w:rFonts w:ascii="Arial" w:eastAsia="Calibri" w:hAnsi="Arial" w:cs="Arial"/>
        </w:rPr>
        <w:t>mean scores' ranking</w:t>
      </w:r>
      <w:r w:rsidRPr="00EA7665">
        <w:rPr>
          <w:rFonts w:ascii="Arial" w:eastAsia="Calibri" w:hAnsi="Arial" w:cs="Arial"/>
        </w:rPr>
        <w:t xml:space="preserve">. </w:t>
      </w:r>
      <w:r>
        <w:rPr>
          <w:rFonts w:ascii="Arial" w:eastAsia="Calibri" w:hAnsi="Arial" w:cs="Arial"/>
        </w:rPr>
        <w:t>The study also used responses to the semi-structured interview to discuss criteria for securing finance for real estate project development at the disaggregate level.</w:t>
      </w:r>
    </w:p>
    <w:p w14:paraId="3087F84F" w14:textId="77777777" w:rsidR="00CD6352" w:rsidRPr="00EA7665" w:rsidRDefault="00CD6352" w:rsidP="00CD6352">
      <w:pPr>
        <w:spacing w:line="360" w:lineRule="auto"/>
        <w:jc w:val="both"/>
        <w:rPr>
          <w:rFonts w:ascii="Arial" w:eastAsia="Calibri" w:hAnsi="Arial" w:cs="Arial"/>
        </w:rPr>
      </w:pPr>
    </w:p>
    <w:p w14:paraId="6B4DBB80" w14:textId="77777777" w:rsidR="00CD6352" w:rsidRPr="00EA7665" w:rsidRDefault="00CD6352" w:rsidP="00CD6352">
      <w:pPr>
        <w:pStyle w:val="Heading3"/>
        <w:spacing w:after="240"/>
        <w:rPr>
          <w:rFonts w:eastAsia="Calibri"/>
          <w:sz w:val="22"/>
          <w:szCs w:val="22"/>
        </w:rPr>
      </w:pPr>
      <w:bookmarkStart w:id="1131" w:name="_Toc33468124"/>
      <w:bookmarkStart w:id="1132" w:name="_Toc78983848"/>
      <w:r w:rsidRPr="00EA7665">
        <w:rPr>
          <w:rFonts w:eastAsia="Calibri"/>
          <w:sz w:val="22"/>
          <w:szCs w:val="22"/>
        </w:rPr>
        <w:t>Questionnaire survey analysis and discussion at the aggregate level.</w:t>
      </w:r>
      <w:bookmarkEnd w:id="1131"/>
      <w:bookmarkEnd w:id="1132"/>
      <w:r w:rsidRPr="00EA7665">
        <w:rPr>
          <w:rFonts w:eastAsia="Calibri"/>
          <w:sz w:val="22"/>
          <w:szCs w:val="22"/>
        </w:rPr>
        <w:t xml:space="preserve"> </w:t>
      </w:r>
    </w:p>
    <w:p w14:paraId="201EFE4F" w14:textId="2DCDB29C" w:rsidR="00CD6352" w:rsidRDefault="00CD6352" w:rsidP="00CD6352">
      <w:pPr>
        <w:spacing w:line="360" w:lineRule="auto"/>
        <w:jc w:val="both"/>
        <w:rPr>
          <w:rFonts w:ascii="Arial" w:eastAsia="Calibri" w:hAnsi="Arial" w:cs="Arial"/>
        </w:rPr>
      </w:pPr>
      <w:r w:rsidRPr="00EA7665">
        <w:rPr>
          <w:rFonts w:ascii="Arial" w:eastAsia="Calibri" w:hAnsi="Arial" w:cs="Arial"/>
        </w:rPr>
        <w:t>A list of 16 criteria for securing finance w</w:t>
      </w:r>
      <w:r w:rsidR="00243053">
        <w:rPr>
          <w:rFonts w:ascii="Arial" w:eastAsia="Calibri" w:hAnsi="Arial" w:cs="Arial"/>
        </w:rPr>
        <w:t>ere</w:t>
      </w:r>
      <w:r w:rsidRPr="00EA7665">
        <w:rPr>
          <w:rFonts w:ascii="Arial" w:eastAsia="Calibri" w:hAnsi="Arial" w:cs="Arial"/>
        </w:rPr>
        <w:t xml:space="preserve"> derived through a general </w:t>
      </w:r>
      <w:r w:rsidR="00243053">
        <w:rPr>
          <w:rFonts w:ascii="Arial" w:eastAsia="Calibri" w:hAnsi="Arial" w:cs="Arial"/>
        </w:rPr>
        <w:t>literature review</w:t>
      </w:r>
      <w:r w:rsidRPr="00EA7665">
        <w:rPr>
          <w:rFonts w:ascii="Arial" w:eastAsia="Calibri" w:hAnsi="Arial" w:cs="Arial"/>
        </w:rPr>
        <w:t xml:space="preserve"> on criteria for securing finance </w:t>
      </w:r>
      <w:r w:rsidR="0008610B" w:rsidRPr="00EA7665">
        <w:rPr>
          <w:rFonts w:ascii="Arial" w:eastAsia="Calibri" w:hAnsi="Arial" w:cs="Arial"/>
        </w:rPr>
        <w:t>(see</w:t>
      </w:r>
      <w:r w:rsidRPr="00EA7665">
        <w:rPr>
          <w:rFonts w:ascii="Arial" w:eastAsia="Calibri" w:hAnsi="Arial" w:cs="Arial"/>
        </w:rPr>
        <w:t xml:space="preserve"> chapter 3</w:t>
      </w:r>
      <w:r w:rsidR="0008610B">
        <w:rPr>
          <w:rFonts w:ascii="Arial" w:eastAsia="Calibri" w:hAnsi="Arial" w:cs="Arial"/>
        </w:rPr>
        <w:t>.3</w:t>
      </w:r>
      <w:r w:rsidR="0008610B" w:rsidRPr="00EA7665">
        <w:rPr>
          <w:rFonts w:ascii="Arial" w:eastAsia="Calibri" w:hAnsi="Arial" w:cs="Arial"/>
        </w:rPr>
        <w:t>).</w:t>
      </w:r>
      <w:r w:rsidRPr="00EA7665">
        <w:rPr>
          <w:rFonts w:ascii="Arial" w:eastAsia="Calibri" w:hAnsi="Arial" w:cs="Arial"/>
        </w:rPr>
        <w:t xml:space="preserve"> Respondents were then asked to indicate the level </w:t>
      </w:r>
      <w:r>
        <w:rPr>
          <w:rFonts w:ascii="Arial" w:eastAsia="Calibri" w:hAnsi="Arial" w:cs="Arial"/>
        </w:rPr>
        <w:t xml:space="preserve">at which </w:t>
      </w:r>
      <w:r w:rsidRPr="00EA7665">
        <w:rPr>
          <w:rFonts w:ascii="Arial" w:eastAsia="Calibri" w:hAnsi="Arial" w:cs="Arial"/>
        </w:rPr>
        <w:t xml:space="preserve">they were requested </w:t>
      </w:r>
      <w:r w:rsidR="00784038">
        <w:rPr>
          <w:rFonts w:ascii="Arial" w:eastAsia="Calibri" w:hAnsi="Arial" w:cs="Arial"/>
        </w:rPr>
        <w:t>to obtain real estate project development funding</w:t>
      </w:r>
      <w:r w:rsidR="0008610B" w:rsidRPr="00EA7665">
        <w:rPr>
          <w:rFonts w:ascii="Arial" w:eastAsia="Calibri" w:hAnsi="Arial" w:cs="Arial"/>
        </w:rPr>
        <w:t>.</w:t>
      </w:r>
      <w:r>
        <w:rPr>
          <w:rFonts w:ascii="Arial" w:eastAsia="Calibri" w:hAnsi="Arial" w:cs="Arial"/>
        </w:rPr>
        <w:t xml:space="preserve"> </w:t>
      </w:r>
    </w:p>
    <w:p w14:paraId="600EEA40" w14:textId="5113CB65"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The first approach was to collate how respondents ranked the criteria that were requested on a five-point scale: never requested, rarely requested, sometimes requested, often requested and always requested. The results relating to the extent to which the different criteria are requested in </w:t>
      </w:r>
      <w:r w:rsidR="00773778">
        <w:rPr>
          <w:rFonts w:ascii="Arial" w:eastAsia="Calibri" w:hAnsi="Arial" w:cs="Arial"/>
        </w:rPr>
        <w:t>securing finance for real estate project development are</w:t>
      </w:r>
      <w:r w:rsidRPr="00EA7665">
        <w:rPr>
          <w:rFonts w:ascii="Arial" w:eastAsia="Calibri" w:hAnsi="Arial" w:cs="Arial"/>
        </w:rPr>
        <w:t xml:space="preserve"> shown in table </w:t>
      </w:r>
      <w:r w:rsidR="006E6091">
        <w:rPr>
          <w:rFonts w:ascii="Arial" w:eastAsia="Calibri" w:hAnsi="Arial" w:cs="Arial"/>
        </w:rPr>
        <w:t>5.3.1</w:t>
      </w:r>
      <w:r w:rsidRPr="00EA7665">
        <w:rPr>
          <w:rFonts w:ascii="Arial" w:eastAsia="Calibri" w:hAnsi="Arial" w:cs="Arial"/>
        </w:rPr>
        <w:t xml:space="preserve">.  The findings revealed that </w:t>
      </w:r>
      <w:r w:rsidR="00773778">
        <w:rPr>
          <w:rFonts w:ascii="Arial" w:eastAsia="Calibri" w:hAnsi="Arial" w:cs="Arial"/>
        </w:rPr>
        <w:t>the proposed project's details</w:t>
      </w:r>
      <w:r w:rsidRPr="00EA7665">
        <w:rPr>
          <w:rFonts w:ascii="Arial" w:eastAsia="Calibri" w:hAnsi="Arial" w:cs="Arial"/>
        </w:rPr>
        <w:t xml:space="preserve"> are the most requested criteria for securing </w:t>
      </w:r>
      <w:r w:rsidR="003E20BC">
        <w:rPr>
          <w:rFonts w:ascii="Arial" w:eastAsia="Calibri" w:hAnsi="Arial" w:cs="Arial"/>
        </w:rPr>
        <w:t>real estate project development finance,</w:t>
      </w:r>
      <w:r w:rsidRPr="00EA7665">
        <w:rPr>
          <w:rFonts w:ascii="Arial" w:eastAsia="Calibri" w:hAnsi="Arial" w:cs="Arial"/>
        </w:rPr>
        <w:t xml:space="preserve"> with a response rate of 63.8%. This is closely followed by contractual documentation on land acquisition at 61.7%, loan agreement, feasibility report and collateral at 59.6%, 56.5%, and 55.1%</w:t>
      </w:r>
      <w:r w:rsidR="00773778">
        <w:rPr>
          <w:rFonts w:ascii="Arial" w:eastAsia="Calibri" w:hAnsi="Arial" w:cs="Arial"/>
        </w:rPr>
        <w:t>,</w:t>
      </w:r>
      <w:r w:rsidRPr="00EA7665">
        <w:rPr>
          <w:rFonts w:ascii="Arial" w:eastAsia="Calibri" w:hAnsi="Arial" w:cs="Arial"/>
        </w:rPr>
        <w:t xml:space="preserve"> respectively. The rest </w:t>
      </w:r>
      <w:r>
        <w:rPr>
          <w:rFonts w:ascii="Arial" w:eastAsia="Calibri" w:hAnsi="Arial" w:cs="Arial"/>
        </w:rPr>
        <w:t xml:space="preserve">of the </w:t>
      </w:r>
      <w:r w:rsidRPr="00EA7665">
        <w:rPr>
          <w:rFonts w:ascii="Arial" w:eastAsia="Calibri" w:hAnsi="Arial" w:cs="Arial"/>
        </w:rPr>
        <w:lastRenderedPageBreak/>
        <w:t xml:space="preserve">criteria have percentage response rates of 47.8% and below. The lowest-ranked criteria </w:t>
      </w:r>
      <w:r>
        <w:rPr>
          <w:rFonts w:ascii="Arial" w:eastAsia="Calibri" w:hAnsi="Arial" w:cs="Arial"/>
        </w:rPr>
        <w:t>are</w:t>
      </w:r>
      <w:r w:rsidRPr="00EA7665">
        <w:rPr>
          <w:rFonts w:ascii="Arial" w:eastAsia="Calibri" w:hAnsi="Arial" w:cs="Arial"/>
        </w:rPr>
        <w:t xml:space="preserve"> </w:t>
      </w:r>
      <w:r w:rsidR="00773778">
        <w:rPr>
          <w:rFonts w:ascii="Arial" w:eastAsia="Calibri" w:hAnsi="Arial" w:cs="Arial"/>
        </w:rPr>
        <w:t>hedging instruments, performance support guarantees, and indemnification, which</w:t>
      </w:r>
      <w:r w:rsidRPr="00EA7665">
        <w:rPr>
          <w:rFonts w:ascii="Arial" w:eastAsia="Calibri" w:hAnsi="Arial" w:cs="Arial"/>
        </w:rPr>
        <w:t xml:space="preserve"> is consistent with existing literature (see chapter 3.3).</w:t>
      </w:r>
    </w:p>
    <w:p w14:paraId="7CFE00CF" w14:textId="5A0541D7" w:rsidR="006E6091" w:rsidRPr="006E6091" w:rsidRDefault="006E6091" w:rsidP="006E6091">
      <w:pPr>
        <w:pStyle w:val="Caption"/>
        <w:keepNext/>
        <w:rPr>
          <w:rFonts w:ascii="Arial" w:hAnsi="Arial" w:cs="Arial"/>
          <w:sz w:val="16"/>
          <w:szCs w:val="16"/>
        </w:rPr>
      </w:pPr>
      <w:bookmarkStart w:id="1133" w:name="_Toc78983972"/>
      <w:r w:rsidRPr="006E6091">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6E6091">
        <w:rPr>
          <w:rFonts w:ascii="Arial" w:hAnsi="Arial" w:cs="Arial"/>
          <w:sz w:val="16"/>
          <w:szCs w:val="16"/>
        </w:rPr>
        <w:t>:</w:t>
      </w:r>
      <w:r w:rsidRPr="006E6091">
        <w:rPr>
          <w:rFonts w:ascii="Arial" w:eastAsia="Calibri" w:hAnsi="Arial" w:cs="Arial"/>
          <w:sz w:val="16"/>
          <w:szCs w:val="16"/>
        </w:rPr>
        <w:t xml:space="preserve"> Criteria that financing institutions use in lending for real estate project development.</w:t>
      </w:r>
      <w:bookmarkEnd w:id="1133"/>
    </w:p>
    <w:tbl>
      <w:tblPr>
        <w:tblStyle w:val="TableGrid"/>
        <w:tblW w:w="0" w:type="auto"/>
        <w:tblLayout w:type="fixed"/>
        <w:tblLook w:val="04A0" w:firstRow="1" w:lastRow="0" w:firstColumn="1" w:lastColumn="0" w:noHBand="0" w:noVBand="1"/>
      </w:tblPr>
      <w:tblGrid>
        <w:gridCol w:w="3964"/>
        <w:gridCol w:w="1134"/>
        <w:gridCol w:w="851"/>
        <w:gridCol w:w="1134"/>
        <w:gridCol w:w="992"/>
        <w:gridCol w:w="941"/>
      </w:tblGrid>
      <w:tr w:rsidR="00CD6352" w:rsidRPr="006E6091" w14:paraId="68ADA1C5" w14:textId="77777777" w:rsidTr="00CD6352">
        <w:trPr>
          <w:trHeight w:val="465"/>
        </w:trPr>
        <w:tc>
          <w:tcPr>
            <w:tcW w:w="3964" w:type="dxa"/>
            <w:hideMark/>
          </w:tcPr>
          <w:p w14:paraId="58F322D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 </w:t>
            </w:r>
          </w:p>
        </w:tc>
        <w:tc>
          <w:tcPr>
            <w:tcW w:w="1134" w:type="dxa"/>
            <w:hideMark/>
          </w:tcPr>
          <w:p w14:paraId="028CAE2F"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Never requested</w:t>
            </w:r>
          </w:p>
        </w:tc>
        <w:tc>
          <w:tcPr>
            <w:tcW w:w="851" w:type="dxa"/>
            <w:hideMark/>
          </w:tcPr>
          <w:p w14:paraId="6A030242"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Rarely requested</w:t>
            </w:r>
          </w:p>
        </w:tc>
        <w:tc>
          <w:tcPr>
            <w:tcW w:w="1134" w:type="dxa"/>
            <w:hideMark/>
          </w:tcPr>
          <w:p w14:paraId="107A9F3C"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Sometimes requested</w:t>
            </w:r>
          </w:p>
        </w:tc>
        <w:tc>
          <w:tcPr>
            <w:tcW w:w="992" w:type="dxa"/>
            <w:hideMark/>
          </w:tcPr>
          <w:p w14:paraId="4B3B7193"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Often requested</w:t>
            </w:r>
          </w:p>
        </w:tc>
        <w:tc>
          <w:tcPr>
            <w:tcW w:w="941" w:type="dxa"/>
            <w:hideMark/>
          </w:tcPr>
          <w:p w14:paraId="4280F7C2"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Always requested</w:t>
            </w:r>
          </w:p>
        </w:tc>
      </w:tr>
      <w:tr w:rsidR="00CD6352" w:rsidRPr="006E6091" w14:paraId="4BFC992D" w14:textId="77777777" w:rsidTr="00CD6352">
        <w:trPr>
          <w:trHeight w:val="315"/>
        </w:trPr>
        <w:tc>
          <w:tcPr>
            <w:tcW w:w="3964" w:type="dxa"/>
            <w:hideMark/>
          </w:tcPr>
          <w:p w14:paraId="6823E9A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 xml:space="preserve">Criteria </w:t>
            </w:r>
          </w:p>
        </w:tc>
        <w:tc>
          <w:tcPr>
            <w:tcW w:w="5052" w:type="dxa"/>
            <w:gridSpan w:val="5"/>
            <w:hideMark/>
          </w:tcPr>
          <w:p w14:paraId="44C81C90"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Percentage (%)</w:t>
            </w:r>
          </w:p>
        </w:tc>
      </w:tr>
      <w:tr w:rsidR="00CD6352" w:rsidRPr="006E6091" w14:paraId="0BF1F37B" w14:textId="77777777" w:rsidTr="00CD6352">
        <w:trPr>
          <w:trHeight w:val="375"/>
        </w:trPr>
        <w:tc>
          <w:tcPr>
            <w:tcW w:w="3964" w:type="dxa"/>
            <w:hideMark/>
          </w:tcPr>
          <w:p w14:paraId="348D3D8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Details of the proposed project</w:t>
            </w:r>
          </w:p>
        </w:tc>
        <w:tc>
          <w:tcPr>
            <w:tcW w:w="1134" w:type="dxa"/>
            <w:hideMark/>
          </w:tcPr>
          <w:p w14:paraId="297DFFEB"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Nil</w:t>
            </w:r>
          </w:p>
        </w:tc>
        <w:tc>
          <w:tcPr>
            <w:tcW w:w="851" w:type="dxa"/>
            <w:hideMark/>
          </w:tcPr>
          <w:p w14:paraId="61CFA3B9"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6.4</w:t>
            </w:r>
          </w:p>
        </w:tc>
        <w:tc>
          <w:tcPr>
            <w:tcW w:w="1134" w:type="dxa"/>
            <w:hideMark/>
          </w:tcPr>
          <w:p w14:paraId="75C8E9B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10.6</w:t>
            </w:r>
          </w:p>
        </w:tc>
        <w:tc>
          <w:tcPr>
            <w:tcW w:w="992" w:type="dxa"/>
            <w:hideMark/>
          </w:tcPr>
          <w:p w14:paraId="37BBE95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19.1</w:t>
            </w:r>
          </w:p>
        </w:tc>
        <w:tc>
          <w:tcPr>
            <w:tcW w:w="941" w:type="dxa"/>
            <w:hideMark/>
          </w:tcPr>
          <w:p w14:paraId="3EF3041F"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63.8</w:t>
            </w:r>
          </w:p>
        </w:tc>
      </w:tr>
      <w:tr w:rsidR="00CD6352" w:rsidRPr="006E6091" w14:paraId="2D1C8528" w14:textId="77777777" w:rsidTr="00CD6352">
        <w:trPr>
          <w:trHeight w:val="551"/>
        </w:trPr>
        <w:tc>
          <w:tcPr>
            <w:tcW w:w="3964" w:type="dxa"/>
            <w:hideMark/>
          </w:tcPr>
          <w:p w14:paraId="5C165D7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Contractual documentation on land acquisition / land title</w:t>
            </w:r>
          </w:p>
        </w:tc>
        <w:tc>
          <w:tcPr>
            <w:tcW w:w="1134" w:type="dxa"/>
            <w:hideMark/>
          </w:tcPr>
          <w:p w14:paraId="610CAFB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Nil</w:t>
            </w:r>
          </w:p>
        </w:tc>
        <w:tc>
          <w:tcPr>
            <w:tcW w:w="851" w:type="dxa"/>
            <w:hideMark/>
          </w:tcPr>
          <w:p w14:paraId="3EBEDC1F"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6.4</w:t>
            </w:r>
          </w:p>
        </w:tc>
        <w:tc>
          <w:tcPr>
            <w:tcW w:w="1134" w:type="dxa"/>
            <w:hideMark/>
          </w:tcPr>
          <w:p w14:paraId="3B0F71C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10.6</w:t>
            </w:r>
          </w:p>
        </w:tc>
        <w:tc>
          <w:tcPr>
            <w:tcW w:w="992" w:type="dxa"/>
            <w:hideMark/>
          </w:tcPr>
          <w:p w14:paraId="5A8C6A9B"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21.3</w:t>
            </w:r>
          </w:p>
        </w:tc>
        <w:tc>
          <w:tcPr>
            <w:tcW w:w="941" w:type="dxa"/>
            <w:hideMark/>
          </w:tcPr>
          <w:p w14:paraId="57E2A68E"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61.7</w:t>
            </w:r>
          </w:p>
        </w:tc>
      </w:tr>
      <w:tr w:rsidR="00CD6352" w:rsidRPr="006E6091" w14:paraId="0D827888" w14:textId="77777777" w:rsidTr="00CD6352">
        <w:trPr>
          <w:trHeight w:val="275"/>
        </w:trPr>
        <w:tc>
          <w:tcPr>
            <w:tcW w:w="3964" w:type="dxa"/>
            <w:hideMark/>
          </w:tcPr>
          <w:p w14:paraId="3A2D14C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Loan agreement</w:t>
            </w:r>
          </w:p>
        </w:tc>
        <w:tc>
          <w:tcPr>
            <w:tcW w:w="1134" w:type="dxa"/>
            <w:hideMark/>
          </w:tcPr>
          <w:p w14:paraId="6E8276BF"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2.1</w:t>
            </w:r>
          </w:p>
        </w:tc>
        <w:tc>
          <w:tcPr>
            <w:tcW w:w="851" w:type="dxa"/>
            <w:hideMark/>
          </w:tcPr>
          <w:p w14:paraId="1E126B89"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2.1</w:t>
            </w:r>
          </w:p>
        </w:tc>
        <w:tc>
          <w:tcPr>
            <w:tcW w:w="1134" w:type="dxa"/>
            <w:hideMark/>
          </w:tcPr>
          <w:p w14:paraId="43B41AD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8.5</w:t>
            </w:r>
          </w:p>
        </w:tc>
        <w:tc>
          <w:tcPr>
            <w:tcW w:w="992" w:type="dxa"/>
            <w:hideMark/>
          </w:tcPr>
          <w:p w14:paraId="6F76B38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27.7</w:t>
            </w:r>
          </w:p>
        </w:tc>
        <w:tc>
          <w:tcPr>
            <w:tcW w:w="941" w:type="dxa"/>
            <w:hideMark/>
          </w:tcPr>
          <w:p w14:paraId="37D1FA77"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59.6</w:t>
            </w:r>
          </w:p>
        </w:tc>
      </w:tr>
      <w:tr w:rsidR="00CD6352" w:rsidRPr="006E6091" w14:paraId="397E50A6" w14:textId="77777777" w:rsidTr="00CD6352">
        <w:trPr>
          <w:trHeight w:val="323"/>
        </w:trPr>
        <w:tc>
          <w:tcPr>
            <w:tcW w:w="3964" w:type="dxa"/>
            <w:hideMark/>
          </w:tcPr>
          <w:p w14:paraId="6156AFF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Feasibility report( economic &amp; technical feasibility)</w:t>
            </w:r>
          </w:p>
        </w:tc>
        <w:tc>
          <w:tcPr>
            <w:tcW w:w="1134" w:type="dxa"/>
            <w:hideMark/>
          </w:tcPr>
          <w:p w14:paraId="55A9067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851" w:type="dxa"/>
            <w:hideMark/>
          </w:tcPr>
          <w:p w14:paraId="506A19D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1134" w:type="dxa"/>
            <w:hideMark/>
          </w:tcPr>
          <w:p w14:paraId="116E045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13</w:t>
            </w:r>
          </w:p>
        </w:tc>
        <w:tc>
          <w:tcPr>
            <w:tcW w:w="992" w:type="dxa"/>
            <w:hideMark/>
          </w:tcPr>
          <w:p w14:paraId="44A8DF5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26.1</w:t>
            </w:r>
          </w:p>
        </w:tc>
        <w:tc>
          <w:tcPr>
            <w:tcW w:w="941" w:type="dxa"/>
            <w:hideMark/>
          </w:tcPr>
          <w:p w14:paraId="1D8CB16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56.5</w:t>
            </w:r>
          </w:p>
        </w:tc>
      </w:tr>
      <w:tr w:rsidR="00CD6352" w:rsidRPr="006E6091" w14:paraId="70CE5941" w14:textId="77777777" w:rsidTr="00CD6352">
        <w:trPr>
          <w:trHeight w:val="272"/>
        </w:trPr>
        <w:tc>
          <w:tcPr>
            <w:tcW w:w="3964" w:type="dxa"/>
            <w:hideMark/>
          </w:tcPr>
          <w:p w14:paraId="3DE8CBCB"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Collateral to mitigate default risk</w:t>
            </w:r>
          </w:p>
        </w:tc>
        <w:tc>
          <w:tcPr>
            <w:tcW w:w="1134" w:type="dxa"/>
            <w:hideMark/>
          </w:tcPr>
          <w:p w14:paraId="26DEFC4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w:t>
            </w:r>
          </w:p>
        </w:tc>
        <w:tc>
          <w:tcPr>
            <w:tcW w:w="851" w:type="dxa"/>
            <w:hideMark/>
          </w:tcPr>
          <w:p w14:paraId="5380AE8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8.2</w:t>
            </w:r>
          </w:p>
        </w:tc>
        <w:tc>
          <w:tcPr>
            <w:tcW w:w="1134" w:type="dxa"/>
            <w:hideMark/>
          </w:tcPr>
          <w:p w14:paraId="0AB3FAC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16.3</w:t>
            </w:r>
          </w:p>
        </w:tc>
        <w:tc>
          <w:tcPr>
            <w:tcW w:w="992" w:type="dxa"/>
            <w:hideMark/>
          </w:tcPr>
          <w:p w14:paraId="35A8BC0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18.4</w:t>
            </w:r>
          </w:p>
        </w:tc>
        <w:tc>
          <w:tcPr>
            <w:tcW w:w="941" w:type="dxa"/>
            <w:hideMark/>
          </w:tcPr>
          <w:p w14:paraId="2542053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55.1</w:t>
            </w:r>
          </w:p>
        </w:tc>
      </w:tr>
      <w:tr w:rsidR="00CD6352" w:rsidRPr="006E6091" w14:paraId="473C61DB" w14:textId="77777777" w:rsidTr="00CD6352">
        <w:trPr>
          <w:trHeight w:val="277"/>
        </w:trPr>
        <w:tc>
          <w:tcPr>
            <w:tcW w:w="3964" w:type="dxa"/>
            <w:hideMark/>
          </w:tcPr>
          <w:p w14:paraId="374309C0"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Capital base</w:t>
            </w:r>
          </w:p>
        </w:tc>
        <w:tc>
          <w:tcPr>
            <w:tcW w:w="1134" w:type="dxa"/>
            <w:hideMark/>
          </w:tcPr>
          <w:p w14:paraId="21D9DD6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851" w:type="dxa"/>
            <w:hideMark/>
          </w:tcPr>
          <w:p w14:paraId="3E0F52F1"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6.5</w:t>
            </w:r>
          </w:p>
        </w:tc>
        <w:tc>
          <w:tcPr>
            <w:tcW w:w="1134" w:type="dxa"/>
            <w:hideMark/>
          </w:tcPr>
          <w:p w14:paraId="6CEDCCE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17.4</w:t>
            </w:r>
          </w:p>
        </w:tc>
        <w:tc>
          <w:tcPr>
            <w:tcW w:w="992" w:type="dxa"/>
            <w:hideMark/>
          </w:tcPr>
          <w:p w14:paraId="79DB971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26.1</w:t>
            </w:r>
          </w:p>
        </w:tc>
        <w:tc>
          <w:tcPr>
            <w:tcW w:w="941" w:type="dxa"/>
            <w:hideMark/>
          </w:tcPr>
          <w:p w14:paraId="783FEB8C"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47.8</w:t>
            </w:r>
          </w:p>
        </w:tc>
      </w:tr>
      <w:tr w:rsidR="00CD6352" w:rsidRPr="006E6091" w14:paraId="70632F9C" w14:textId="77777777" w:rsidTr="00CD6352">
        <w:trPr>
          <w:trHeight w:val="280"/>
        </w:trPr>
        <w:tc>
          <w:tcPr>
            <w:tcW w:w="3964" w:type="dxa"/>
            <w:hideMark/>
          </w:tcPr>
          <w:p w14:paraId="7282DC1B"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Due diligence</w:t>
            </w:r>
          </w:p>
        </w:tc>
        <w:tc>
          <w:tcPr>
            <w:tcW w:w="1134" w:type="dxa"/>
            <w:hideMark/>
          </w:tcPr>
          <w:p w14:paraId="2142F7F0"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851" w:type="dxa"/>
            <w:hideMark/>
          </w:tcPr>
          <w:p w14:paraId="212E7D0B"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8.7</w:t>
            </w:r>
          </w:p>
        </w:tc>
        <w:tc>
          <w:tcPr>
            <w:tcW w:w="1134" w:type="dxa"/>
            <w:hideMark/>
          </w:tcPr>
          <w:p w14:paraId="0F7FD41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8.7</w:t>
            </w:r>
          </w:p>
        </w:tc>
        <w:tc>
          <w:tcPr>
            <w:tcW w:w="992" w:type="dxa"/>
            <w:hideMark/>
          </w:tcPr>
          <w:p w14:paraId="35F7EF3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32.6</w:t>
            </w:r>
          </w:p>
        </w:tc>
        <w:tc>
          <w:tcPr>
            <w:tcW w:w="941" w:type="dxa"/>
            <w:hideMark/>
          </w:tcPr>
          <w:p w14:paraId="03A1C730"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47.8</w:t>
            </w:r>
          </w:p>
        </w:tc>
      </w:tr>
      <w:tr w:rsidR="00CD6352" w:rsidRPr="006E6091" w14:paraId="6FB36D7B" w14:textId="77777777" w:rsidTr="00CD6352">
        <w:trPr>
          <w:trHeight w:val="315"/>
        </w:trPr>
        <w:tc>
          <w:tcPr>
            <w:tcW w:w="3964" w:type="dxa"/>
            <w:hideMark/>
          </w:tcPr>
          <w:p w14:paraId="28267633"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Cash flow</w:t>
            </w:r>
          </w:p>
        </w:tc>
        <w:tc>
          <w:tcPr>
            <w:tcW w:w="1134" w:type="dxa"/>
            <w:hideMark/>
          </w:tcPr>
          <w:p w14:paraId="66914630"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Nil</w:t>
            </w:r>
          </w:p>
        </w:tc>
        <w:tc>
          <w:tcPr>
            <w:tcW w:w="851" w:type="dxa"/>
            <w:hideMark/>
          </w:tcPr>
          <w:p w14:paraId="6E3E7A19"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6.4</w:t>
            </w:r>
          </w:p>
        </w:tc>
        <w:tc>
          <w:tcPr>
            <w:tcW w:w="1134" w:type="dxa"/>
            <w:hideMark/>
          </w:tcPr>
          <w:p w14:paraId="6DDF090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14.9</w:t>
            </w:r>
          </w:p>
        </w:tc>
        <w:tc>
          <w:tcPr>
            <w:tcW w:w="992" w:type="dxa"/>
            <w:hideMark/>
          </w:tcPr>
          <w:p w14:paraId="206ABD7F"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31.9</w:t>
            </w:r>
          </w:p>
        </w:tc>
        <w:tc>
          <w:tcPr>
            <w:tcW w:w="941" w:type="dxa"/>
            <w:hideMark/>
          </w:tcPr>
          <w:p w14:paraId="39F4642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46.8</w:t>
            </w:r>
          </w:p>
        </w:tc>
      </w:tr>
      <w:tr w:rsidR="00CD6352" w:rsidRPr="006E6091" w14:paraId="49706348" w14:textId="77777777" w:rsidTr="00CD6352">
        <w:trPr>
          <w:trHeight w:val="517"/>
        </w:trPr>
        <w:tc>
          <w:tcPr>
            <w:tcW w:w="3964" w:type="dxa"/>
            <w:hideMark/>
          </w:tcPr>
          <w:p w14:paraId="517BF9CC" w14:textId="233F33FF"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Management capabilities</w:t>
            </w:r>
            <w:r w:rsidR="006E6091" w:rsidRPr="006E6091">
              <w:rPr>
                <w:rFonts w:ascii="Arial" w:eastAsia="Calibri" w:hAnsi="Arial" w:cs="Arial"/>
                <w:i/>
                <w:iCs/>
                <w:sz w:val="16"/>
                <w:szCs w:val="16"/>
              </w:rPr>
              <w:t>/</w:t>
            </w:r>
            <w:r w:rsidRPr="006E6091">
              <w:rPr>
                <w:rFonts w:ascii="Arial" w:eastAsia="Calibri" w:hAnsi="Arial" w:cs="Arial"/>
                <w:i/>
                <w:iCs/>
                <w:sz w:val="16"/>
                <w:szCs w:val="16"/>
              </w:rPr>
              <w:t>management profile</w:t>
            </w:r>
          </w:p>
        </w:tc>
        <w:tc>
          <w:tcPr>
            <w:tcW w:w="1134" w:type="dxa"/>
            <w:hideMark/>
          </w:tcPr>
          <w:p w14:paraId="1C2AF987"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Nil</w:t>
            </w:r>
          </w:p>
        </w:tc>
        <w:tc>
          <w:tcPr>
            <w:tcW w:w="851" w:type="dxa"/>
            <w:hideMark/>
          </w:tcPr>
          <w:p w14:paraId="37B3718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6.4</w:t>
            </w:r>
          </w:p>
        </w:tc>
        <w:tc>
          <w:tcPr>
            <w:tcW w:w="1134" w:type="dxa"/>
            <w:hideMark/>
          </w:tcPr>
          <w:p w14:paraId="7A173EC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19.1</w:t>
            </w:r>
          </w:p>
        </w:tc>
        <w:tc>
          <w:tcPr>
            <w:tcW w:w="992" w:type="dxa"/>
            <w:hideMark/>
          </w:tcPr>
          <w:p w14:paraId="68D13AD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27.7</w:t>
            </w:r>
          </w:p>
        </w:tc>
        <w:tc>
          <w:tcPr>
            <w:tcW w:w="941" w:type="dxa"/>
            <w:hideMark/>
          </w:tcPr>
          <w:p w14:paraId="3DCBAB1E"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46.8</w:t>
            </w:r>
          </w:p>
        </w:tc>
      </w:tr>
      <w:tr w:rsidR="00CD6352" w:rsidRPr="006E6091" w14:paraId="30323B1B" w14:textId="77777777" w:rsidTr="00CD6352">
        <w:trPr>
          <w:trHeight w:val="365"/>
        </w:trPr>
        <w:tc>
          <w:tcPr>
            <w:tcW w:w="3964" w:type="dxa"/>
            <w:hideMark/>
          </w:tcPr>
          <w:p w14:paraId="779DA2A3"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Track records( records of accomplishment</w:t>
            </w:r>
          </w:p>
        </w:tc>
        <w:tc>
          <w:tcPr>
            <w:tcW w:w="1134" w:type="dxa"/>
            <w:hideMark/>
          </w:tcPr>
          <w:p w14:paraId="75752D1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851" w:type="dxa"/>
            <w:hideMark/>
          </w:tcPr>
          <w:p w14:paraId="2B50B2F0"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4.3</w:t>
            </w:r>
          </w:p>
        </w:tc>
        <w:tc>
          <w:tcPr>
            <w:tcW w:w="1134" w:type="dxa"/>
            <w:hideMark/>
          </w:tcPr>
          <w:p w14:paraId="51ED6F5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13</w:t>
            </w:r>
          </w:p>
        </w:tc>
        <w:tc>
          <w:tcPr>
            <w:tcW w:w="992" w:type="dxa"/>
            <w:hideMark/>
          </w:tcPr>
          <w:p w14:paraId="1CD5216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34.8</w:t>
            </w:r>
          </w:p>
        </w:tc>
        <w:tc>
          <w:tcPr>
            <w:tcW w:w="941" w:type="dxa"/>
            <w:hideMark/>
          </w:tcPr>
          <w:p w14:paraId="376EC96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45.7</w:t>
            </w:r>
          </w:p>
        </w:tc>
      </w:tr>
      <w:tr w:rsidR="00CD6352" w:rsidRPr="006E6091" w14:paraId="0CB028C1" w14:textId="77777777" w:rsidTr="00CD6352">
        <w:trPr>
          <w:trHeight w:val="387"/>
        </w:trPr>
        <w:tc>
          <w:tcPr>
            <w:tcW w:w="3964" w:type="dxa"/>
            <w:hideMark/>
          </w:tcPr>
          <w:p w14:paraId="121252D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Audited financial reports/ independent audit committee</w:t>
            </w:r>
          </w:p>
        </w:tc>
        <w:tc>
          <w:tcPr>
            <w:tcW w:w="1134" w:type="dxa"/>
            <w:hideMark/>
          </w:tcPr>
          <w:p w14:paraId="6401391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w:t>
            </w:r>
          </w:p>
        </w:tc>
        <w:tc>
          <w:tcPr>
            <w:tcW w:w="851" w:type="dxa"/>
            <w:hideMark/>
          </w:tcPr>
          <w:p w14:paraId="1DF7A3D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10.2</w:t>
            </w:r>
          </w:p>
        </w:tc>
        <w:tc>
          <w:tcPr>
            <w:tcW w:w="1134" w:type="dxa"/>
            <w:hideMark/>
          </w:tcPr>
          <w:p w14:paraId="40550DF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26.5</w:t>
            </w:r>
          </w:p>
        </w:tc>
        <w:tc>
          <w:tcPr>
            <w:tcW w:w="992" w:type="dxa"/>
            <w:hideMark/>
          </w:tcPr>
          <w:p w14:paraId="1A06035E"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16.3</w:t>
            </w:r>
          </w:p>
        </w:tc>
        <w:tc>
          <w:tcPr>
            <w:tcW w:w="941" w:type="dxa"/>
            <w:hideMark/>
          </w:tcPr>
          <w:p w14:paraId="73BBF4E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44.9</w:t>
            </w:r>
          </w:p>
        </w:tc>
      </w:tr>
      <w:tr w:rsidR="00CD6352" w:rsidRPr="006E6091" w14:paraId="2A72E767" w14:textId="77777777" w:rsidTr="00CD6352">
        <w:trPr>
          <w:trHeight w:val="239"/>
        </w:trPr>
        <w:tc>
          <w:tcPr>
            <w:tcW w:w="3964" w:type="dxa"/>
            <w:hideMark/>
          </w:tcPr>
          <w:p w14:paraId="5D1822F1"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Necessary permits &amp; site clearance</w:t>
            </w:r>
          </w:p>
        </w:tc>
        <w:tc>
          <w:tcPr>
            <w:tcW w:w="1134" w:type="dxa"/>
            <w:hideMark/>
          </w:tcPr>
          <w:p w14:paraId="0201658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Nil</w:t>
            </w:r>
          </w:p>
        </w:tc>
        <w:tc>
          <w:tcPr>
            <w:tcW w:w="851" w:type="dxa"/>
            <w:hideMark/>
          </w:tcPr>
          <w:p w14:paraId="0AA17837"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4.3</w:t>
            </w:r>
          </w:p>
        </w:tc>
        <w:tc>
          <w:tcPr>
            <w:tcW w:w="1134" w:type="dxa"/>
            <w:hideMark/>
          </w:tcPr>
          <w:p w14:paraId="6F8D8CF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21.3</w:t>
            </w:r>
          </w:p>
        </w:tc>
        <w:tc>
          <w:tcPr>
            <w:tcW w:w="992" w:type="dxa"/>
            <w:hideMark/>
          </w:tcPr>
          <w:p w14:paraId="2466501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29.8</w:t>
            </w:r>
          </w:p>
        </w:tc>
        <w:tc>
          <w:tcPr>
            <w:tcW w:w="941" w:type="dxa"/>
            <w:hideMark/>
          </w:tcPr>
          <w:p w14:paraId="041B680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44.7</w:t>
            </w:r>
          </w:p>
        </w:tc>
      </w:tr>
      <w:tr w:rsidR="00CD6352" w:rsidRPr="006E6091" w14:paraId="3DC1C3EE" w14:textId="77777777" w:rsidTr="00CD6352">
        <w:trPr>
          <w:trHeight w:val="344"/>
        </w:trPr>
        <w:tc>
          <w:tcPr>
            <w:tcW w:w="3964" w:type="dxa"/>
            <w:hideMark/>
          </w:tcPr>
          <w:p w14:paraId="152434DC"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Risk and returns</w:t>
            </w:r>
          </w:p>
        </w:tc>
        <w:tc>
          <w:tcPr>
            <w:tcW w:w="1134" w:type="dxa"/>
            <w:hideMark/>
          </w:tcPr>
          <w:p w14:paraId="290C989E"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6.5</w:t>
            </w:r>
          </w:p>
        </w:tc>
        <w:tc>
          <w:tcPr>
            <w:tcW w:w="851" w:type="dxa"/>
            <w:hideMark/>
          </w:tcPr>
          <w:p w14:paraId="63479DD1"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1134" w:type="dxa"/>
            <w:hideMark/>
          </w:tcPr>
          <w:p w14:paraId="4D7E5283"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17.4</w:t>
            </w:r>
          </w:p>
        </w:tc>
        <w:tc>
          <w:tcPr>
            <w:tcW w:w="992" w:type="dxa"/>
            <w:hideMark/>
          </w:tcPr>
          <w:p w14:paraId="02304189"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37</w:t>
            </w:r>
          </w:p>
        </w:tc>
        <w:tc>
          <w:tcPr>
            <w:tcW w:w="941" w:type="dxa"/>
            <w:hideMark/>
          </w:tcPr>
          <w:p w14:paraId="104EE55C"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37</w:t>
            </w:r>
          </w:p>
        </w:tc>
      </w:tr>
      <w:tr w:rsidR="00CD6352" w:rsidRPr="006E6091" w14:paraId="4660723C" w14:textId="77777777" w:rsidTr="00CD6352">
        <w:trPr>
          <w:trHeight w:val="274"/>
        </w:trPr>
        <w:tc>
          <w:tcPr>
            <w:tcW w:w="3964" w:type="dxa"/>
            <w:hideMark/>
          </w:tcPr>
          <w:p w14:paraId="4D86533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Indemnification</w:t>
            </w:r>
          </w:p>
        </w:tc>
        <w:tc>
          <w:tcPr>
            <w:tcW w:w="1134" w:type="dxa"/>
            <w:hideMark/>
          </w:tcPr>
          <w:p w14:paraId="3532F89D"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4.3</w:t>
            </w:r>
          </w:p>
        </w:tc>
        <w:tc>
          <w:tcPr>
            <w:tcW w:w="851" w:type="dxa"/>
            <w:hideMark/>
          </w:tcPr>
          <w:p w14:paraId="7F786923"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12.8</w:t>
            </w:r>
          </w:p>
        </w:tc>
        <w:tc>
          <w:tcPr>
            <w:tcW w:w="1134" w:type="dxa"/>
            <w:hideMark/>
          </w:tcPr>
          <w:p w14:paraId="4966563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19.1</w:t>
            </w:r>
          </w:p>
        </w:tc>
        <w:tc>
          <w:tcPr>
            <w:tcW w:w="992" w:type="dxa"/>
            <w:hideMark/>
          </w:tcPr>
          <w:p w14:paraId="7605F7B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38.3</w:t>
            </w:r>
          </w:p>
        </w:tc>
        <w:tc>
          <w:tcPr>
            <w:tcW w:w="941" w:type="dxa"/>
            <w:hideMark/>
          </w:tcPr>
          <w:p w14:paraId="5DFCCD6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25.5</w:t>
            </w:r>
          </w:p>
        </w:tc>
      </w:tr>
      <w:tr w:rsidR="00CD6352" w:rsidRPr="006E6091" w14:paraId="1010C830" w14:textId="77777777" w:rsidTr="00CD6352">
        <w:trPr>
          <w:trHeight w:val="243"/>
        </w:trPr>
        <w:tc>
          <w:tcPr>
            <w:tcW w:w="3964" w:type="dxa"/>
            <w:hideMark/>
          </w:tcPr>
          <w:p w14:paraId="7D0B39C4"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Performance support guarantees</w:t>
            </w:r>
          </w:p>
        </w:tc>
        <w:tc>
          <w:tcPr>
            <w:tcW w:w="1134" w:type="dxa"/>
            <w:hideMark/>
          </w:tcPr>
          <w:p w14:paraId="32B40978"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2.2</w:t>
            </w:r>
          </w:p>
        </w:tc>
        <w:tc>
          <w:tcPr>
            <w:tcW w:w="851" w:type="dxa"/>
            <w:hideMark/>
          </w:tcPr>
          <w:p w14:paraId="3FDBFE69"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8.9</w:t>
            </w:r>
          </w:p>
        </w:tc>
        <w:tc>
          <w:tcPr>
            <w:tcW w:w="1134" w:type="dxa"/>
            <w:hideMark/>
          </w:tcPr>
          <w:p w14:paraId="75BBD65C"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33.3</w:t>
            </w:r>
          </w:p>
        </w:tc>
        <w:tc>
          <w:tcPr>
            <w:tcW w:w="992" w:type="dxa"/>
            <w:hideMark/>
          </w:tcPr>
          <w:p w14:paraId="421B8DEB"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40</w:t>
            </w:r>
          </w:p>
        </w:tc>
        <w:tc>
          <w:tcPr>
            <w:tcW w:w="941" w:type="dxa"/>
            <w:hideMark/>
          </w:tcPr>
          <w:p w14:paraId="36204C02"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15.6</w:t>
            </w:r>
          </w:p>
        </w:tc>
      </w:tr>
      <w:tr w:rsidR="00CD6352" w:rsidRPr="006E6091" w14:paraId="56728B88" w14:textId="77777777" w:rsidTr="00CD6352">
        <w:trPr>
          <w:trHeight w:val="261"/>
        </w:trPr>
        <w:tc>
          <w:tcPr>
            <w:tcW w:w="3964" w:type="dxa"/>
            <w:hideMark/>
          </w:tcPr>
          <w:p w14:paraId="6EDC9CA5"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Usage of hedging instruments</w:t>
            </w:r>
          </w:p>
        </w:tc>
        <w:tc>
          <w:tcPr>
            <w:tcW w:w="1134" w:type="dxa"/>
            <w:hideMark/>
          </w:tcPr>
          <w:p w14:paraId="20726386"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8.9</w:t>
            </w:r>
          </w:p>
        </w:tc>
        <w:tc>
          <w:tcPr>
            <w:tcW w:w="851" w:type="dxa"/>
            <w:hideMark/>
          </w:tcPr>
          <w:p w14:paraId="5F60CFA3"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11.1</w:t>
            </w:r>
          </w:p>
        </w:tc>
        <w:tc>
          <w:tcPr>
            <w:tcW w:w="1134" w:type="dxa"/>
            <w:hideMark/>
          </w:tcPr>
          <w:p w14:paraId="200A96C1"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37.8</w:t>
            </w:r>
          </w:p>
        </w:tc>
        <w:tc>
          <w:tcPr>
            <w:tcW w:w="992" w:type="dxa"/>
            <w:hideMark/>
          </w:tcPr>
          <w:p w14:paraId="51462B3A"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26.7</w:t>
            </w:r>
          </w:p>
        </w:tc>
        <w:tc>
          <w:tcPr>
            <w:tcW w:w="941" w:type="dxa"/>
            <w:hideMark/>
          </w:tcPr>
          <w:p w14:paraId="0BF523FE" w14:textId="77777777" w:rsidR="00CD6352" w:rsidRPr="006E6091" w:rsidRDefault="00CD6352" w:rsidP="00CD6352">
            <w:pPr>
              <w:jc w:val="both"/>
              <w:rPr>
                <w:rFonts w:ascii="Arial" w:eastAsia="Calibri" w:hAnsi="Arial" w:cs="Arial"/>
                <w:i/>
                <w:iCs/>
                <w:sz w:val="16"/>
                <w:szCs w:val="16"/>
              </w:rPr>
            </w:pPr>
            <w:r w:rsidRPr="006E6091">
              <w:rPr>
                <w:rFonts w:ascii="Arial" w:eastAsia="Calibri" w:hAnsi="Arial" w:cs="Arial"/>
                <w:i/>
                <w:iCs/>
                <w:sz w:val="16"/>
                <w:szCs w:val="16"/>
              </w:rPr>
              <w:t>15.6</w:t>
            </w:r>
          </w:p>
        </w:tc>
      </w:tr>
    </w:tbl>
    <w:p w14:paraId="035FCC75" w14:textId="77777777" w:rsidR="00CD6352" w:rsidRDefault="00CD6352" w:rsidP="00CD6352">
      <w:pPr>
        <w:spacing w:line="360" w:lineRule="auto"/>
        <w:jc w:val="both"/>
        <w:rPr>
          <w:rFonts w:ascii="Arial" w:eastAsia="Calibri" w:hAnsi="Arial" w:cs="Arial"/>
          <w:i/>
          <w:iCs/>
          <w:sz w:val="16"/>
          <w:szCs w:val="16"/>
        </w:rPr>
      </w:pPr>
    </w:p>
    <w:p w14:paraId="0D335523" w14:textId="4089308D" w:rsidR="00CD6352" w:rsidRPr="00EA7665" w:rsidRDefault="00CD6352" w:rsidP="00CD6352">
      <w:pPr>
        <w:spacing w:line="360" w:lineRule="auto"/>
        <w:jc w:val="both"/>
        <w:rPr>
          <w:rFonts w:ascii="Arial" w:eastAsia="Calibri" w:hAnsi="Arial" w:cs="Arial"/>
          <w:iCs/>
        </w:rPr>
      </w:pPr>
      <w:r w:rsidRPr="00EA7665">
        <w:rPr>
          <w:rFonts w:ascii="Arial" w:eastAsia="Calibri" w:hAnsi="Arial" w:cs="Arial"/>
          <w:iCs/>
        </w:rPr>
        <w:t>Figure 5.3</w:t>
      </w:r>
      <w:r w:rsidR="006E6091">
        <w:rPr>
          <w:rFonts w:ascii="Arial" w:eastAsia="Calibri" w:hAnsi="Arial" w:cs="Arial"/>
          <w:iCs/>
        </w:rPr>
        <w:t>.1</w:t>
      </w:r>
      <w:r w:rsidRPr="00EA7665">
        <w:rPr>
          <w:rFonts w:ascii="Arial" w:eastAsia="Calibri" w:hAnsi="Arial" w:cs="Arial"/>
          <w:iCs/>
        </w:rPr>
        <w:t>. is also used to depict the percentage response by managers at the aggregate level</w:t>
      </w:r>
      <w:r w:rsidR="00773778">
        <w:rPr>
          <w:rFonts w:ascii="Arial" w:eastAsia="Calibri" w:hAnsi="Arial" w:cs="Arial"/>
          <w:iCs/>
        </w:rPr>
        <w:t>,</w:t>
      </w:r>
      <w:r w:rsidRPr="00EA7665">
        <w:rPr>
          <w:rFonts w:ascii="Arial" w:eastAsia="Calibri" w:hAnsi="Arial" w:cs="Arial"/>
          <w:iCs/>
        </w:rPr>
        <w:t xml:space="preserve"> indicating the degree </w:t>
      </w:r>
      <w:r w:rsidR="006E6091">
        <w:rPr>
          <w:rFonts w:ascii="Arial" w:eastAsia="Calibri" w:hAnsi="Arial" w:cs="Arial"/>
          <w:iCs/>
        </w:rPr>
        <w:t>to</w:t>
      </w:r>
      <w:r w:rsidRPr="00EA7665">
        <w:rPr>
          <w:rFonts w:ascii="Arial" w:eastAsia="Calibri" w:hAnsi="Arial" w:cs="Arial"/>
          <w:iCs/>
        </w:rPr>
        <w:t xml:space="preserve"> which the different factors are “always requested” by financiers for providing funds for real estate project development.</w:t>
      </w:r>
    </w:p>
    <w:p w14:paraId="0555CEC6" w14:textId="77777777" w:rsidR="00CD6352" w:rsidRPr="00EA7665" w:rsidRDefault="00CD6352" w:rsidP="00CD6352">
      <w:pPr>
        <w:keepNext/>
        <w:spacing w:line="360" w:lineRule="auto"/>
        <w:jc w:val="both"/>
      </w:pPr>
      <w:r w:rsidRPr="00EA7665">
        <w:rPr>
          <w:noProof/>
          <w:lang w:eastAsia="en-GB"/>
        </w:rPr>
        <w:lastRenderedPageBreak/>
        <w:drawing>
          <wp:inline distT="0" distB="0" distL="0" distR="0" wp14:anchorId="6EAB0BD9" wp14:editId="23119E86">
            <wp:extent cx="6050280" cy="2163651"/>
            <wp:effectExtent l="0" t="0" r="762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EA381A" w14:textId="20C43295" w:rsidR="00CD6352" w:rsidRPr="00EA7665" w:rsidRDefault="00CD6352" w:rsidP="00CD6352">
      <w:pPr>
        <w:pStyle w:val="Caption"/>
        <w:jc w:val="both"/>
        <w:rPr>
          <w:rFonts w:ascii="Arial" w:eastAsia="Calibri" w:hAnsi="Arial" w:cs="Arial"/>
          <w:i w:val="0"/>
          <w:iCs w:val="0"/>
          <w:sz w:val="16"/>
          <w:szCs w:val="16"/>
        </w:rPr>
      </w:pPr>
      <w:bookmarkStart w:id="1134" w:name="_Toc78739575"/>
      <w:r w:rsidRPr="00EA7665">
        <w:t xml:space="preserve">Figure </w:t>
      </w:r>
      <w:fldSimple w:instr=" STYLEREF 2 \s ">
        <w:r w:rsidR="00324B0D">
          <w:rPr>
            <w:noProof/>
          </w:rPr>
          <w:t>5.3</w:t>
        </w:r>
      </w:fldSimple>
      <w:r w:rsidR="00324B0D">
        <w:noBreakHyphen/>
      </w:r>
      <w:fldSimple w:instr=" SEQ Figure \* ARABIC \s 2 ">
        <w:r w:rsidR="00324B0D">
          <w:rPr>
            <w:noProof/>
          </w:rPr>
          <w:t>1</w:t>
        </w:r>
      </w:fldSimple>
      <w:r w:rsidRPr="00EA7665">
        <w:t>: Criteria always requested (%)</w:t>
      </w:r>
      <w:bookmarkEnd w:id="1134"/>
    </w:p>
    <w:p w14:paraId="7F7723CB" w14:textId="6DA040EA" w:rsidR="00CD6352" w:rsidRPr="00EA7665" w:rsidRDefault="00CD6352" w:rsidP="00CD6352">
      <w:pPr>
        <w:spacing w:line="360" w:lineRule="auto"/>
        <w:jc w:val="both"/>
        <w:rPr>
          <w:rFonts w:ascii="Arial" w:eastAsia="Calibri" w:hAnsi="Arial" w:cs="Arial"/>
        </w:rPr>
      </w:pPr>
      <w:r w:rsidRPr="00F72399">
        <w:rPr>
          <w:rFonts w:ascii="Arial" w:eastAsia="Calibri" w:hAnsi="Arial" w:cs="Arial"/>
        </w:rPr>
        <w:t xml:space="preserve">The mean score and its ranking are also adopted to analyse the criteria requested </w:t>
      </w:r>
      <w:r w:rsidR="00243053">
        <w:rPr>
          <w:rFonts w:ascii="Arial" w:eastAsia="Calibri" w:hAnsi="Arial" w:cs="Arial"/>
        </w:rPr>
        <w:t>to secure real estate project development finance</w:t>
      </w:r>
      <w:r w:rsidRPr="00F72399">
        <w:rPr>
          <w:rFonts w:ascii="Arial" w:eastAsia="Calibri" w:hAnsi="Arial" w:cs="Arial"/>
        </w:rPr>
        <w:t xml:space="preserve"> at the aggregate level </w:t>
      </w:r>
      <w:r w:rsidR="00B605C7" w:rsidRPr="00F72399">
        <w:rPr>
          <w:rFonts w:ascii="Arial" w:eastAsia="Calibri" w:hAnsi="Arial" w:cs="Arial"/>
        </w:rPr>
        <w:t>(see</w:t>
      </w:r>
      <w:r w:rsidRPr="00F72399">
        <w:rPr>
          <w:rFonts w:ascii="Arial" w:eastAsia="Calibri" w:hAnsi="Arial" w:cs="Arial"/>
        </w:rPr>
        <w:t xml:space="preserve"> table 5.</w:t>
      </w:r>
      <w:r w:rsidR="002417A7">
        <w:rPr>
          <w:rFonts w:ascii="Arial" w:eastAsia="Calibri" w:hAnsi="Arial" w:cs="Arial"/>
        </w:rPr>
        <w:t>3.2</w:t>
      </w:r>
      <w:r w:rsidRPr="00F72399">
        <w:rPr>
          <w:rFonts w:ascii="Arial" w:eastAsia="Calibri" w:hAnsi="Arial" w:cs="Arial"/>
        </w:rPr>
        <w:t>). As the mean score increases, the extent to which the criteria is requested increases. The data shows that</w:t>
      </w:r>
      <w:r w:rsidRPr="00EA7665">
        <w:rPr>
          <w:rFonts w:ascii="Arial" w:eastAsia="Calibri" w:hAnsi="Arial" w:cs="Arial"/>
        </w:rPr>
        <w:t xml:space="preserve"> the overall mean score rang</w:t>
      </w:r>
      <w:r>
        <w:rPr>
          <w:rFonts w:ascii="Arial" w:eastAsia="Calibri" w:hAnsi="Arial" w:cs="Arial"/>
        </w:rPr>
        <w:t>es</w:t>
      </w:r>
      <w:r w:rsidRPr="00EA7665">
        <w:rPr>
          <w:rFonts w:ascii="Arial" w:eastAsia="Calibri" w:hAnsi="Arial" w:cs="Arial"/>
        </w:rPr>
        <w:t xml:space="preserve"> from 3.32 to 4.43. This means that all 16 criteria for securing finance for real estate project development are significant and fall in the category of “often requested” or “sometimes requested </w:t>
      </w:r>
      <w:r w:rsidR="00F50E6D">
        <w:rPr>
          <w:rFonts w:ascii="Arial" w:eastAsia="Calibri" w:hAnsi="Arial" w:cs="Arial"/>
        </w:rPr>
        <w:t xml:space="preserve">“ </w:t>
      </w:r>
      <w:r w:rsidR="00871E66" w:rsidRPr="00EA7665">
        <w:rPr>
          <w:rFonts w:ascii="Arial" w:eastAsia="Calibri" w:hAnsi="Arial" w:cs="Arial"/>
        </w:rPr>
        <w:t>for</w:t>
      </w:r>
      <w:r w:rsidRPr="00EA7665">
        <w:rPr>
          <w:rFonts w:ascii="Arial" w:eastAsia="Calibri" w:hAnsi="Arial" w:cs="Arial"/>
        </w:rPr>
        <w:t xml:space="preserve"> securing finance for real estate project development.</w:t>
      </w:r>
    </w:p>
    <w:p w14:paraId="14565102" w14:textId="3465F9A1" w:rsidR="002417A7" w:rsidRPr="002417A7" w:rsidRDefault="002417A7" w:rsidP="002417A7">
      <w:pPr>
        <w:pStyle w:val="Caption"/>
        <w:keepNext/>
        <w:rPr>
          <w:rFonts w:ascii="Arial" w:hAnsi="Arial" w:cs="Arial"/>
          <w:sz w:val="16"/>
          <w:szCs w:val="16"/>
        </w:rPr>
      </w:pPr>
      <w:bookmarkStart w:id="1135" w:name="_Toc78983973"/>
      <w:r w:rsidRPr="002417A7">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2417A7">
        <w:rPr>
          <w:rFonts w:ascii="Arial" w:hAnsi="Arial" w:cs="Arial"/>
          <w:sz w:val="16"/>
          <w:szCs w:val="16"/>
        </w:rPr>
        <w:t xml:space="preserve">: </w:t>
      </w:r>
      <w:r w:rsidRPr="002417A7">
        <w:rPr>
          <w:rFonts w:ascii="Arial" w:hAnsi="Arial" w:cs="Arial"/>
          <w:i w:val="0"/>
          <w:iCs w:val="0"/>
          <w:sz w:val="16"/>
          <w:szCs w:val="16"/>
        </w:rPr>
        <w:t xml:space="preserve">Mean score for criteria for securing </w:t>
      </w:r>
      <w:r w:rsidR="003E20BC">
        <w:rPr>
          <w:rFonts w:ascii="Arial" w:hAnsi="Arial" w:cs="Arial"/>
          <w:i w:val="0"/>
          <w:iCs w:val="0"/>
          <w:sz w:val="16"/>
          <w:szCs w:val="16"/>
        </w:rPr>
        <w:t>real estate project development finance</w:t>
      </w:r>
      <w:r w:rsidRPr="002417A7">
        <w:rPr>
          <w:rFonts w:ascii="Arial" w:hAnsi="Arial" w:cs="Arial"/>
          <w:i w:val="0"/>
          <w:iCs w:val="0"/>
          <w:sz w:val="16"/>
          <w:szCs w:val="16"/>
        </w:rPr>
        <w:t xml:space="preserve"> at the aggregate level.</w:t>
      </w:r>
      <w:bookmarkEnd w:id="1135"/>
    </w:p>
    <w:tbl>
      <w:tblPr>
        <w:tblStyle w:val="TableGrid"/>
        <w:tblW w:w="0" w:type="auto"/>
        <w:tblLook w:val="04A0" w:firstRow="1" w:lastRow="0" w:firstColumn="1" w:lastColumn="0" w:noHBand="0" w:noVBand="1"/>
      </w:tblPr>
      <w:tblGrid>
        <w:gridCol w:w="5137"/>
        <w:gridCol w:w="1321"/>
        <w:gridCol w:w="1148"/>
      </w:tblGrid>
      <w:tr w:rsidR="00CD6352" w:rsidRPr="002417A7" w14:paraId="6E56152A" w14:textId="77777777" w:rsidTr="00CD6352">
        <w:trPr>
          <w:trHeight w:val="450"/>
        </w:trPr>
        <w:tc>
          <w:tcPr>
            <w:tcW w:w="5137" w:type="dxa"/>
            <w:vMerge w:val="restart"/>
            <w:hideMark/>
          </w:tcPr>
          <w:p w14:paraId="12ECCE0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Criteria for securing finance for real estate project development</w:t>
            </w:r>
          </w:p>
        </w:tc>
        <w:tc>
          <w:tcPr>
            <w:tcW w:w="1321" w:type="dxa"/>
            <w:vMerge w:val="restart"/>
            <w:hideMark/>
          </w:tcPr>
          <w:p w14:paraId="21A7E9C3" w14:textId="30701F59" w:rsidR="00CD6352" w:rsidRPr="002417A7" w:rsidRDefault="00CD6352" w:rsidP="00CD6352">
            <w:pPr>
              <w:contextualSpacing/>
              <w:rPr>
                <w:rFonts w:ascii="Arial" w:hAnsi="Arial" w:cs="Arial"/>
                <w:sz w:val="16"/>
                <w:szCs w:val="16"/>
              </w:rPr>
            </w:pPr>
            <w:r w:rsidRPr="002417A7">
              <w:rPr>
                <w:rFonts w:ascii="Arial" w:hAnsi="Arial" w:cs="Arial"/>
                <w:sz w:val="16"/>
                <w:szCs w:val="16"/>
              </w:rPr>
              <w:t xml:space="preserve">Mean score </w:t>
            </w:r>
            <w:r w:rsidR="0069767B" w:rsidRPr="002417A7">
              <w:rPr>
                <w:rFonts w:ascii="Arial" w:hAnsi="Arial" w:cs="Arial"/>
                <w:sz w:val="16"/>
                <w:szCs w:val="16"/>
              </w:rPr>
              <w:t>(N</w:t>
            </w:r>
            <w:r w:rsidRPr="002417A7">
              <w:rPr>
                <w:rFonts w:ascii="Arial" w:hAnsi="Arial" w:cs="Arial"/>
                <w:sz w:val="16"/>
                <w:szCs w:val="16"/>
              </w:rPr>
              <w:t>= 81)</w:t>
            </w:r>
          </w:p>
        </w:tc>
        <w:tc>
          <w:tcPr>
            <w:tcW w:w="1148" w:type="dxa"/>
            <w:vMerge w:val="restart"/>
            <w:hideMark/>
          </w:tcPr>
          <w:p w14:paraId="41BF98CF"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Rank</w:t>
            </w:r>
          </w:p>
        </w:tc>
      </w:tr>
      <w:tr w:rsidR="00CD6352" w:rsidRPr="002417A7" w14:paraId="76B66565" w14:textId="77777777" w:rsidTr="00CD6352">
        <w:trPr>
          <w:trHeight w:val="450"/>
        </w:trPr>
        <w:tc>
          <w:tcPr>
            <w:tcW w:w="5137" w:type="dxa"/>
            <w:vMerge/>
            <w:hideMark/>
          </w:tcPr>
          <w:p w14:paraId="7776CF89" w14:textId="77777777" w:rsidR="00CD6352" w:rsidRPr="002417A7" w:rsidRDefault="00CD6352" w:rsidP="00CD6352">
            <w:pPr>
              <w:contextualSpacing/>
              <w:rPr>
                <w:rFonts w:ascii="Arial" w:hAnsi="Arial" w:cs="Arial"/>
                <w:sz w:val="16"/>
                <w:szCs w:val="16"/>
              </w:rPr>
            </w:pPr>
          </w:p>
        </w:tc>
        <w:tc>
          <w:tcPr>
            <w:tcW w:w="1321" w:type="dxa"/>
            <w:vMerge/>
            <w:hideMark/>
          </w:tcPr>
          <w:p w14:paraId="2404AE89" w14:textId="77777777" w:rsidR="00CD6352" w:rsidRPr="002417A7" w:rsidRDefault="00CD6352" w:rsidP="00CD6352">
            <w:pPr>
              <w:contextualSpacing/>
              <w:rPr>
                <w:rFonts w:ascii="Arial" w:hAnsi="Arial" w:cs="Arial"/>
                <w:sz w:val="16"/>
                <w:szCs w:val="16"/>
              </w:rPr>
            </w:pPr>
          </w:p>
        </w:tc>
        <w:tc>
          <w:tcPr>
            <w:tcW w:w="1148" w:type="dxa"/>
            <w:vMerge/>
            <w:hideMark/>
          </w:tcPr>
          <w:p w14:paraId="62A889AC" w14:textId="77777777" w:rsidR="00CD6352" w:rsidRPr="002417A7" w:rsidRDefault="00CD6352" w:rsidP="00CD6352">
            <w:pPr>
              <w:contextualSpacing/>
              <w:rPr>
                <w:rFonts w:ascii="Arial" w:hAnsi="Arial" w:cs="Arial"/>
                <w:sz w:val="16"/>
                <w:szCs w:val="16"/>
              </w:rPr>
            </w:pPr>
          </w:p>
        </w:tc>
      </w:tr>
      <w:tr w:rsidR="00CD6352" w:rsidRPr="002417A7" w14:paraId="7EC8ADB7" w14:textId="77777777" w:rsidTr="00CD6352">
        <w:trPr>
          <w:trHeight w:val="280"/>
        </w:trPr>
        <w:tc>
          <w:tcPr>
            <w:tcW w:w="5137" w:type="dxa"/>
            <w:hideMark/>
          </w:tcPr>
          <w:p w14:paraId="4E5CD2B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Details of the proposed project</w:t>
            </w:r>
          </w:p>
        </w:tc>
        <w:tc>
          <w:tcPr>
            <w:tcW w:w="1321" w:type="dxa"/>
            <w:hideMark/>
          </w:tcPr>
          <w:p w14:paraId="5A0BCC0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4.43</w:t>
            </w:r>
          </w:p>
        </w:tc>
        <w:tc>
          <w:tcPr>
            <w:tcW w:w="1148" w:type="dxa"/>
            <w:hideMark/>
          </w:tcPr>
          <w:p w14:paraId="119E3E4C"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w:t>
            </w:r>
          </w:p>
        </w:tc>
      </w:tr>
      <w:tr w:rsidR="00CD6352" w:rsidRPr="002417A7" w14:paraId="568E0B72" w14:textId="77777777" w:rsidTr="00CD6352">
        <w:trPr>
          <w:trHeight w:val="274"/>
        </w:trPr>
        <w:tc>
          <w:tcPr>
            <w:tcW w:w="5137" w:type="dxa"/>
            <w:hideMark/>
          </w:tcPr>
          <w:p w14:paraId="73BD49F3" w14:textId="77777777" w:rsidR="00CD6352" w:rsidRPr="002417A7" w:rsidRDefault="00CD6352" w:rsidP="00CD6352">
            <w:pPr>
              <w:tabs>
                <w:tab w:val="left" w:pos="3964"/>
              </w:tabs>
              <w:contextualSpacing/>
              <w:rPr>
                <w:rFonts w:ascii="Arial" w:hAnsi="Arial" w:cs="Arial"/>
                <w:sz w:val="16"/>
                <w:szCs w:val="16"/>
              </w:rPr>
            </w:pPr>
            <w:r w:rsidRPr="002417A7">
              <w:rPr>
                <w:rFonts w:ascii="Arial" w:hAnsi="Arial" w:cs="Arial"/>
                <w:sz w:val="16"/>
                <w:szCs w:val="16"/>
              </w:rPr>
              <w:t>Loan agreement</w:t>
            </w:r>
            <w:r w:rsidRPr="002417A7">
              <w:rPr>
                <w:rFonts w:ascii="Arial" w:hAnsi="Arial" w:cs="Arial"/>
                <w:sz w:val="16"/>
                <w:szCs w:val="16"/>
              </w:rPr>
              <w:tab/>
            </w:r>
          </w:p>
        </w:tc>
        <w:tc>
          <w:tcPr>
            <w:tcW w:w="1321" w:type="dxa"/>
            <w:hideMark/>
          </w:tcPr>
          <w:p w14:paraId="3FCAF4E0"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4.43</w:t>
            </w:r>
          </w:p>
        </w:tc>
        <w:tc>
          <w:tcPr>
            <w:tcW w:w="1148" w:type="dxa"/>
            <w:hideMark/>
          </w:tcPr>
          <w:p w14:paraId="68210A1E"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2</w:t>
            </w:r>
          </w:p>
        </w:tc>
      </w:tr>
      <w:tr w:rsidR="00CD6352" w:rsidRPr="002417A7" w14:paraId="1E5BA95D" w14:textId="77777777" w:rsidTr="00CD6352">
        <w:trPr>
          <w:trHeight w:val="111"/>
        </w:trPr>
        <w:tc>
          <w:tcPr>
            <w:tcW w:w="5137" w:type="dxa"/>
            <w:hideMark/>
          </w:tcPr>
          <w:p w14:paraId="2259F97F" w14:textId="32619AD2" w:rsidR="00CD6352" w:rsidRPr="002417A7" w:rsidRDefault="00CD6352" w:rsidP="00CD6352">
            <w:pPr>
              <w:contextualSpacing/>
              <w:rPr>
                <w:rFonts w:ascii="Arial" w:hAnsi="Arial" w:cs="Arial"/>
                <w:sz w:val="16"/>
                <w:szCs w:val="16"/>
              </w:rPr>
            </w:pPr>
            <w:r w:rsidRPr="002417A7">
              <w:rPr>
                <w:rFonts w:ascii="Arial" w:hAnsi="Arial" w:cs="Arial"/>
                <w:sz w:val="16"/>
                <w:szCs w:val="16"/>
              </w:rPr>
              <w:t>Contractual documentation on land acquisition</w:t>
            </w:r>
            <w:r w:rsidR="002417A7">
              <w:rPr>
                <w:rFonts w:ascii="Arial" w:hAnsi="Arial" w:cs="Arial"/>
                <w:sz w:val="16"/>
                <w:szCs w:val="16"/>
              </w:rPr>
              <w:t>/</w:t>
            </w:r>
            <w:r w:rsidRPr="002417A7">
              <w:rPr>
                <w:rFonts w:ascii="Arial" w:hAnsi="Arial" w:cs="Arial"/>
                <w:sz w:val="16"/>
                <w:szCs w:val="16"/>
              </w:rPr>
              <w:t>land title</w:t>
            </w:r>
          </w:p>
        </w:tc>
        <w:tc>
          <w:tcPr>
            <w:tcW w:w="1321" w:type="dxa"/>
            <w:hideMark/>
          </w:tcPr>
          <w:p w14:paraId="70C531E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4.39</w:t>
            </w:r>
          </w:p>
        </w:tc>
        <w:tc>
          <w:tcPr>
            <w:tcW w:w="1148" w:type="dxa"/>
            <w:hideMark/>
          </w:tcPr>
          <w:p w14:paraId="5817A68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3</w:t>
            </w:r>
          </w:p>
        </w:tc>
      </w:tr>
      <w:tr w:rsidR="00CD6352" w:rsidRPr="002417A7" w14:paraId="7726F192" w14:textId="77777777" w:rsidTr="00CD6352">
        <w:trPr>
          <w:trHeight w:val="215"/>
        </w:trPr>
        <w:tc>
          <w:tcPr>
            <w:tcW w:w="5137" w:type="dxa"/>
            <w:hideMark/>
          </w:tcPr>
          <w:p w14:paraId="3D7D09FC" w14:textId="5C2D2366" w:rsidR="00CD6352" w:rsidRPr="002417A7" w:rsidRDefault="00CD6352" w:rsidP="00CD6352">
            <w:pPr>
              <w:contextualSpacing/>
              <w:rPr>
                <w:rFonts w:ascii="Arial" w:hAnsi="Arial" w:cs="Arial"/>
                <w:sz w:val="16"/>
                <w:szCs w:val="16"/>
              </w:rPr>
            </w:pPr>
            <w:r w:rsidRPr="002417A7">
              <w:rPr>
                <w:rFonts w:ascii="Arial" w:hAnsi="Arial" w:cs="Arial"/>
                <w:sz w:val="16"/>
                <w:szCs w:val="16"/>
              </w:rPr>
              <w:t xml:space="preserve">Feasibility </w:t>
            </w:r>
            <w:r w:rsidR="001D5647" w:rsidRPr="002417A7">
              <w:rPr>
                <w:rFonts w:ascii="Arial" w:hAnsi="Arial" w:cs="Arial"/>
                <w:sz w:val="16"/>
                <w:szCs w:val="16"/>
              </w:rPr>
              <w:t>report (economic</w:t>
            </w:r>
            <w:r w:rsidRPr="002417A7">
              <w:rPr>
                <w:rFonts w:ascii="Arial" w:hAnsi="Arial" w:cs="Arial"/>
                <w:sz w:val="16"/>
                <w:szCs w:val="16"/>
              </w:rPr>
              <w:t xml:space="preserve"> &amp; technical feasibility)</w:t>
            </w:r>
          </w:p>
        </w:tc>
        <w:tc>
          <w:tcPr>
            <w:tcW w:w="1321" w:type="dxa"/>
            <w:hideMark/>
          </w:tcPr>
          <w:p w14:paraId="00F4E10B"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4.33</w:t>
            </w:r>
          </w:p>
        </w:tc>
        <w:tc>
          <w:tcPr>
            <w:tcW w:w="1148" w:type="dxa"/>
            <w:hideMark/>
          </w:tcPr>
          <w:p w14:paraId="4D6A03F7"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w:t>
            </w:r>
          </w:p>
        </w:tc>
      </w:tr>
      <w:tr w:rsidR="00CD6352" w:rsidRPr="002417A7" w14:paraId="7C896A0B" w14:textId="77777777" w:rsidTr="00CD6352">
        <w:trPr>
          <w:trHeight w:val="280"/>
        </w:trPr>
        <w:tc>
          <w:tcPr>
            <w:tcW w:w="5137" w:type="dxa"/>
            <w:hideMark/>
          </w:tcPr>
          <w:p w14:paraId="2C0E6759"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Due diligence</w:t>
            </w:r>
          </w:p>
        </w:tc>
        <w:tc>
          <w:tcPr>
            <w:tcW w:w="1321" w:type="dxa"/>
            <w:hideMark/>
          </w:tcPr>
          <w:p w14:paraId="3F9F9E2B"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4.19</w:t>
            </w:r>
          </w:p>
        </w:tc>
        <w:tc>
          <w:tcPr>
            <w:tcW w:w="1148" w:type="dxa"/>
            <w:hideMark/>
          </w:tcPr>
          <w:p w14:paraId="6983B37B"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5</w:t>
            </w:r>
          </w:p>
        </w:tc>
      </w:tr>
      <w:tr w:rsidR="00CD6352" w:rsidRPr="002417A7" w14:paraId="7996F5DE" w14:textId="77777777" w:rsidTr="00CD6352">
        <w:trPr>
          <w:trHeight w:val="280"/>
        </w:trPr>
        <w:tc>
          <w:tcPr>
            <w:tcW w:w="5137" w:type="dxa"/>
            <w:hideMark/>
          </w:tcPr>
          <w:p w14:paraId="3EB62B92" w14:textId="712A83DF" w:rsidR="00CD6352" w:rsidRPr="002417A7" w:rsidRDefault="00CD6352" w:rsidP="00CD6352">
            <w:pPr>
              <w:contextualSpacing/>
              <w:rPr>
                <w:rFonts w:ascii="Arial" w:hAnsi="Arial" w:cs="Arial"/>
                <w:sz w:val="16"/>
                <w:szCs w:val="16"/>
              </w:rPr>
            </w:pPr>
            <w:r w:rsidRPr="002417A7">
              <w:rPr>
                <w:rFonts w:ascii="Arial" w:hAnsi="Arial" w:cs="Arial"/>
                <w:sz w:val="16"/>
                <w:szCs w:val="16"/>
              </w:rPr>
              <w:t>Track records</w:t>
            </w:r>
            <w:r w:rsidR="001D5647" w:rsidRPr="002417A7">
              <w:rPr>
                <w:rFonts w:ascii="Arial" w:hAnsi="Arial" w:cs="Arial"/>
                <w:sz w:val="16"/>
                <w:szCs w:val="16"/>
              </w:rPr>
              <w:t xml:space="preserve"> (records</w:t>
            </w:r>
            <w:r w:rsidRPr="002417A7">
              <w:rPr>
                <w:rFonts w:ascii="Arial" w:hAnsi="Arial" w:cs="Arial"/>
                <w:sz w:val="16"/>
                <w:szCs w:val="16"/>
              </w:rPr>
              <w:t xml:space="preserve"> of accomplishment</w:t>
            </w:r>
          </w:p>
        </w:tc>
        <w:tc>
          <w:tcPr>
            <w:tcW w:w="1321" w:type="dxa"/>
            <w:hideMark/>
          </w:tcPr>
          <w:p w14:paraId="6DB25861"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4.19</w:t>
            </w:r>
          </w:p>
        </w:tc>
        <w:tc>
          <w:tcPr>
            <w:tcW w:w="1148" w:type="dxa"/>
            <w:hideMark/>
          </w:tcPr>
          <w:p w14:paraId="6DF560FF"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6</w:t>
            </w:r>
          </w:p>
        </w:tc>
      </w:tr>
      <w:tr w:rsidR="00CD6352" w:rsidRPr="002417A7" w14:paraId="2A5F04F6" w14:textId="77777777" w:rsidTr="00CD6352">
        <w:trPr>
          <w:trHeight w:val="280"/>
        </w:trPr>
        <w:tc>
          <w:tcPr>
            <w:tcW w:w="5137" w:type="dxa"/>
            <w:hideMark/>
          </w:tcPr>
          <w:p w14:paraId="2F6340C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Necessary permits &amp; site clearance</w:t>
            </w:r>
          </w:p>
        </w:tc>
        <w:tc>
          <w:tcPr>
            <w:tcW w:w="1321" w:type="dxa"/>
            <w:hideMark/>
          </w:tcPr>
          <w:p w14:paraId="0DB816BD"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4.18</w:t>
            </w:r>
          </w:p>
        </w:tc>
        <w:tc>
          <w:tcPr>
            <w:tcW w:w="1148" w:type="dxa"/>
            <w:hideMark/>
          </w:tcPr>
          <w:p w14:paraId="6A4D1657"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7</w:t>
            </w:r>
          </w:p>
        </w:tc>
      </w:tr>
      <w:tr w:rsidR="00CD6352" w:rsidRPr="002417A7" w14:paraId="418DFFAC" w14:textId="77777777" w:rsidTr="00CD6352">
        <w:trPr>
          <w:trHeight w:val="280"/>
        </w:trPr>
        <w:tc>
          <w:tcPr>
            <w:tcW w:w="5137" w:type="dxa"/>
            <w:hideMark/>
          </w:tcPr>
          <w:p w14:paraId="1A4E26CA"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Cash flow</w:t>
            </w:r>
          </w:p>
        </w:tc>
        <w:tc>
          <w:tcPr>
            <w:tcW w:w="1321" w:type="dxa"/>
            <w:hideMark/>
          </w:tcPr>
          <w:p w14:paraId="4332C98E"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4.16</w:t>
            </w:r>
          </w:p>
        </w:tc>
        <w:tc>
          <w:tcPr>
            <w:tcW w:w="1148" w:type="dxa"/>
            <w:hideMark/>
          </w:tcPr>
          <w:p w14:paraId="0E6B32F1"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8</w:t>
            </w:r>
          </w:p>
        </w:tc>
      </w:tr>
      <w:tr w:rsidR="00CD6352" w:rsidRPr="002417A7" w14:paraId="6C951929" w14:textId="77777777" w:rsidTr="00CD6352">
        <w:trPr>
          <w:trHeight w:val="280"/>
        </w:trPr>
        <w:tc>
          <w:tcPr>
            <w:tcW w:w="5137" w:type="dxa"/>
            <w:hideMark/>
          </w:tcPr>
          <w:p w14:paraId="7F964531"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Collateral to mitigate default risk</w:t>
            </w:r>
          </w:p>
        </w:tc>
        <w:tc>
          <w:tcPr>
            <w:tcW w:w="1321" w:type="dxa"/>
            <w:hideMark/>
          </w:tcPr>
          <w:p w14:paraId="42E97597"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4.16</w:t>
            </w:r>
          </w:p>
        </w:tc>
        <w:tc>
          <w:tcPr>
            <w:tcW w:w="1148" w:type="dxa"/>
            <w:hideMark/>
          </w:tcPr>
          <w:p w14:paraId="11510763"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9</w:t>
            </w:r>
          </w:p>
        </w:tc>
      </w:tr>
      <w:tr w:rsidR="00CD6352" w:rsidRPr="002417A7" w14:paraId="2FBEE017" w14:textId="77777777" w:rsidTr="00CD6352">
        <w:trPr>
          <w:trHeight w:val="280"/>
        </w:trPr>
        <w:tc>
          <w:tcPr>
            <w:tcW w:w="5137" w:type="dxa"/>
            <w:hideMark/>
          </w:tcPr>
          <w:p w14:paraId="2EF31C94"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Management capabilities / management profile</w:t>
            </w:r>
          </w:p>
        </w:tc>
        <w:tc>
          <w:tcPr>
            <w:tcW w:w="1321" w:type="dxa"/>
            <w:hideMark/>
          </w:tcPr>
          <w:p w14:paraId="3F9C15C9"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4.16</w:t>
            </w:r>
          </w:p>
        </w:tc>
        <w:tc>
          <w:tcPr>
            <w:tcW w:w="1148" w:type="dxa"/>
            <w:hideMark/>
          </w:tcPr>
          <w:p w14:paraId="61FC8673"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10</w:t>
            </w:r>
          </w:p>
        </w:tc>
      </w:tr>
      <w:tr w:rsidR="00CD6352" w:rsidRPr="002417A7" w14:paraId="454644E9" w14:textId="77777777" w:rsidTr="00CD6352">
        <w:trPr>
          <w:trHeight w:val="121"/>
        </w:trPr>
        <w:tc>
          <w:tcPr>
            <w:tcW w:w="5137" w:type="dxa"/>
            <w:hideMark/>
          </w:tcPr>
          <w:p w14:paraId="48A7A4ED"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Capital base</w:t>
            </w:r>
          </w:p>
        </w:tc>
        <w:tc>
          <w:tcPr>
            <w:tcW w:w="1321" w:type="dxa"/>
            <w:hideMark/>
          </w:tcPr>
          <w:p w14:paraId="626EF861"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4.08</w:t>
            </w:r>
          </w:p>
        </w:tc>
        <w:tc>
          <w:tcPr>
            <w:tcW w:w="1148" w:type="dxa"/>
            <w:hideMark/>
          </w:tcPr>
          <w:p w14:paraId="563B8ABC"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11</w:t>
            </w:r>
          </w:p>
        </w:tc>
      </w:tr>
      <w:tr w:rsidR="00CD6352" w:rsidRPr="002417A7" w14:paraId="37E435F8" w14:textId="77777777" w:rsidTr="00CD6352">
        <w:trPr>
          <w:trHeight w:val="280"/>
        </w:trPr>
        <w:tc>
          <w:tcPr>
            <w:tcW w:w="5137" w:type="dxa"/>
            <w:hideMark/>
          </w:tcPr>
          <w:p w14:paraId="33CE66BA"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Risk and returns</w:t>
            </w:r>
          </w:p>
        </w:tc>
        <w:tc>
          <w:tcPr>
            <w:tcW w:w="1321" w:type="dxa"/>
            <w:hideMark/>
          </w:tcPr>
          <w:p w14:paraId="1047BD5F"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3.96</w:t>
            </w:r>
          </w:p>
        </w:tc>
        <w:tc>
          <w:tcPr>
            <w:tcW w:w="1148" w:type="dxa"/>
            <w:hideMark/>
          </w:tcPr>
          <w:p w14:paraId="2B38AA26"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12</w:t>
            </w:r>
          </w:p>
        </w:tc>
      </w:tr>
      <w:tr w:rsidR="00CD6352" w:rsidRPr="002417A7" w14:paraId="6D8B3CCD" w14:textId="77777777" w:rsidTr="00CD6352">
        <w:trPr>
          <w:trHeight w:val="280"/>
        </w:trPr>
        <w:tc>
          <w:tcPr>
            <w:tcW w:w="5137" w:type="dxa"/>
            <w:hideMark/>
          </w:tcPr>
          <w:p w14:paraId="48F72D7B"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Indemnification</w:t>
            </w:r>
          </w:p>
        </w:tc>
        <w:tc>
          <w:tcPr>
            <w:tcW w:w="1321" w:type="dxa"/>
            <w:hideMark/>
          </w:tcPr>
          <w:p w14:paraId="4D989EF9"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3.67</w:t>
            </w:r>
          </w:p>
        </w:tc>
        <w:tc>
          <w:tcPr>
            <w:tcW w:w="1148" w:type="dxa"/>
            <w:hideMark/>
          </w:tcPr>
          <w:p w14:paraId="7317A7BF"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13</w:t>
            </w:r>
          </w:p>
        </w:tc>
      </w:tr>
      <w:tr w:rsidR="00CD6352" w:rsidRPr="002417A7" w14:paraId="0E66E32D" w14:textId="77777777" w:rsidTr="00CD6352">
        <w:trPr>
          <w:trHeight w:val="280"/>
        </w:trPr>
        <w:tc>
          <w:tcPr>
            <w:tcW w:w="5137" w:type="dxa"/>
            <w:hideMark/>
          </w:tcPr>
          <w:p w14:paraId="11A86C67"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Performance support guarantees</w:t>
            </w:r>
          </w:p>
        </w:tc>
        <w:tc>
          <w:tcPr>
            <w:tcW w:w="1321" w:type="dxa"/>
            <w:hideMark/>
          </w:tcPr>
          <w:p w14:paraId="05535C80"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3.62</w:t>
            </w:r>
          </w:p>
        </w:tc>
        <w:tc>
          <w:tcPr>
            <w:tcW w:w="1148" w:type="dxa"/>
            <w:hideMark/>
          </w:tcPr>
          <w:p w14:paraId="6A104D00"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14</w:t>
            </w:r>
          </w:p>
        </w:tc>
      </w:tr>
      <w:tr w:rsidR="00CD6352" w:rsidRPr="002417A7" w14:paraId="547257D1" w14:textId="77777777" w:rsidTr="00CD6352">
        <w:trPr>
          <w:trHeight w:val="249"/>
        </w:trPr>
        <w:tc>
          <w:tcPr>
            <w:tcW w:w="5137" w:type="dxa"/>
            <w:hideMark/>
          </w:tcPr>
          <w:p w14:paraId="1C25F796"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Audited financial reports / independent audit committee</w:t>
            </w:r>
          </w:p>
        </w:tc>
        <w:tc>
          <w:tcPr>
            <w:tcW w:w="1321" w:type="dxa"/>
            <w:hideMark/>
          </w:tcPr>
          <w:p w14:paraId="7797FED8"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3.35</w:t>
            </w:r>
          </w:p>
        </w:tc>
        <w:tc>
          <w:tcPr>
            <w:tcW w:w="1148" w:type="dxa"/>
            <w:hideMark/>
          </w:tcPr>
          <w:p w14:paraId="1D189E01"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15</w:t>
            </w:r>
          </w:p>
        </w:tc>
      </w:tr>
      <w:tr w:rsidR="00CD6352" w:rsidRPr="002417A7" w14:paraId="60B7244D" w14:textId="77777777" w:rsidTr="00CD6352">
        <w:trPr>
          <w:trHeight w:val="280"/>
        </w:trPr>
        <w:tc>
          <w:tcPr>
            <w:tcW w:w="5137" w:type="dxa"/>
            <w:hideMark/>
          </w:tcPr>
          <w:p w14:paraId="419FC365"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Usage of hedging instruments</w:t>
            </w:r>
          </w:p>
        </w:tc>
        <w:tc>
          <w:tcPr>
            <w:tcW w:w="1321" w:type="dxa"/>
            <w:hideMark/>
          </w:tcPr>
          <w:p w14:paraId="2917C4B2"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3.32</w:t>
            </w:r>
          </w:p>
        </w:tc>
        <w:tc>
          <w:tcPr>
            <w:tcW w:w="1148" w:type="dxa"/>
            <w:hideMark/>
          </w:tcPr>
          <w:p w14:paraId="0FE1B3B0" w14:textId="77777777" w:rsidR="00CD6352" w:rsidRPr="002417A7" w:rsidRDefault="00CD6352" w:rsidP="00CD6352">
            <w:pPr>
              <w:contextualSpacing/>
              <w:rPr>
                <w:rFonts w:ascii="Arial" w:hAnsi="Arial" w:cs="Arial"/>
                <w:sz w:val="16"/>
                <w:szCs w:val="16"/>
              </w:rPr>
            </w:pPr>
            <w:r w:rsidRPr="002417A7">
              <w:rPr>
                <w:rFonts w:ascii="Arial" w:hAnsi="Arial" w:cs="Arial"/>
                <w:sz w:val="16"/>
                <w:szCs w:val="16"/>
              </w:rPr>
              <w:t>16</w:t>
            </w:r>
          </w:p>
        </w:tc>
      </w:tr>
    </w:tbl>
    <w:p w14:paraId="6CF8951B" w14:textId="77777777" w:rsidR="00CD6352" w:rsidRPr="002417A7" w:rsidRDefault="00CD6352" w:rsidP="00CD6352">
      <w:pPr>
        <w:spacing w:line="360" w:lineRule="auto"/>
        <w:jc w:val="both"/>
        <w:rPr>
          <w:rFonts w:ascii="Arial" w:eastAsia="Calibri" w:hAnsi="Arial" w:cs="Arial"/>
          <w:sz w:val="16"/>
          <w:szCs w:val="16"/>
        </w:rPr>
      </w:pPr>
    </w:p>
    <w:p w14:paraId="177D25AC" w14:textId="77777777" w:rsidR="00CD6352" w:rsidRPr="002417A7" w:rsidRDefault="00CD6352" w:rsidP="00CD6352">
      <w:pPr>
        <w:spacing w:line="360" w:lineRule="auto"/>
        <w:jc w:val="both"/>
        <w:rPr>
          <w:rFonts w:ascii="Arial" w:eastAsia="Calibri" w:hAnsi="Arial" w:cs="Arial"/>
          <w:sz w:val="16"/>
          <w:szCs w:val="16"/>
        </w:rPr>
      </w:pPr>
      <w:r w:rsidRPr="002417A7">
        <w:rPr>
          <w:rFonts w:ascii="Arial" w:eastAsia="Calibri" w:hAnsi="Arial" w:cs="Arial"/>
          <w:sz w:val="16"/>
          <w:szCs w:val="16"/>
        </w:rPr>
        <w:t>1 (Never requested), 2 (Rarely requested), 3(Sometimes requested), 4 (Often requested), 5 (Always requested).</w:t>
      </w:r>
    </w:p>
    <w:p w14:paraId="371AEA83" w14:textId="77777777"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The next segments</w:t>
      </w:r>
      <w:r>
        <w:rPr>
          <w:rFonts w:ascii="Arial" w:eastAsia="Calibri" w:hAnsi="Arial" w:cs="Arial"/>
        </w:rPr>
        <w:t xml:space="preserve"> adopt</w:t>
      </w:r>
      <w:r w:rsidRPr="00EA7665">
        <w:rPr>
          <w:rFonts w:ascii="Arial" w:eastAsia="Calibri" w:hAnsi="Arial" w:cs="Arial"/>
        </w:rPr>
        <w:t xml:space="preserve"> the mean score to analyse the ranking of the different criteria for securing finance for real estate project development at the disaggregate level.</w:t>
      </w:r>
    </w:p>
    <w:p w14:paraId="1EA371D1" w14:textId="77777777" w:rsidR="00CD6352" w:rsidRPr="00EA7665" w:rsidRDefault="00CD6352" w:rsidP="00CD6352">
      <w:pPr>
        <w:pStyle w:val="Heading3"/>
        <w:spacing w:after="240"/>
        <w:rPr>
          <w:sz w:val="22"/>
          <w:szCs w:val="22"/>
        </w:rPr>
      </w:pPr>
      <w:bookmarkStart w:id="1136" w:name="_Toc33468125"/>
      <w:bookmarkStart w:id="1137" w:name="_Toc78983849"/>
      <w:r w:rsidRPr="00EA7665">
        <w:rPr>
          <w:sz w:val="22"/>
          <w:szCs w:val="22"/>
        </w:rPr>
        <w:lastRenderedPageBreak/>
        <w:t>Questionnaire survey analysis and discussion at the disaggregate level.</w:t>
      </w:r>
      <w:bookmarkEnd w:id="1136"/>
      <w:bookmarkEnd w:id="1137"/>
      <w:r w:rsidRPr="00EA7665">
        <w:rPr>
          <w:sz w:val="22"/>
          <w:szCs w:val="22"/>
        </w:rPr>
        <w:t xml:space="preserve"> </w:t>
      </w:r>
    </w:p>
    <w:p w14:paraId="7F522AAD" w14:textId="3DB1181F" w:rsidR="00CD6352" w:rsidRPr="00EA7665" w:rsidRDefault="00CD6352" w:rsidP="00CD6352">
      <w:pPr>
        <w:spacing w:line="360" w:lineRule="auto"/>
        <w:rPr>
          <w:rFonts w:ascii="Arial" w:hAnsi="Arial" w:cs="Arial"/>
        </w:rPr>
      </w:pPr>
      <w:r w:rsidRPr="00EA7665">
        <w:rPr>
          <w:rFonts w:ascii="Arial" w:hAnsi="Arial" w:cs="Arial"/>
        </w:rPr>
        <w:t>The approach adopted to analyse the criteria requested at the aggregate level using the mean value is also employed to analyse the results at the dis-aggregate level.  As the mean value increases, the extent to which the various selected criteria are required for securing finance for real estate project development also increases. Table 5.</w:t>
      </w:r>
      <w:r w:rsidR="001031DF">
        <w:rPr>
          <w:rFonts w:ascii="Arial" w:hAnsi="Arial" w:cs="Arial"/>
        </w:rPr>
        <w:t>3.3</w:t>
      </w:r>
      <w:r w:rsidRPr="00EA7665">
        <w:rPr>
          <w:rFonts w:ascii="Arial" w:hAnsi="Arial" w:cs="Arial"/>
        </w:rPr>
        <w:t xml:space="preserve"> presents a mean value compari</w:t>
      </w:r>
      <w:r>
        <w:rPr>
          <w:rFonts w:ascii="Arial" w:hAnsi="Arial" w:cs="Arial"/>
        </w:rPr>
        <w:t>son</w:t>
      </w:r>
      <w:r w:rsidRPr="00EA7665">
        <w:rPr>
          <w:rFonts w:ascii="Arial" w:hAnsi="Arial" w:cs="Arial"/>
        </w:rPr>
        <w:t xml:space="preserve"> for the six countries </w:t>
      </w:r>
      <w:r w:rsidR="004E59E0">
        <w:rPr>
          <w:rFonts w:ascii="Arial" w:hAnsi="Arial" w:cs="Arial"/>
        </w:rPr>
        <w:t>concerning</w:t>
      </w:r>
      <w:r w:rsidRPr="00EA7665">
        <w:rPr>
          <w:rFonts w:ascii="Arial" w:hAnsi="Arial" w:cs="Arial"/>
        </w:rPr>
        <w:t xml:space="preserve"> criteria for securing finance for real estate project development. </w:t>
      </w:r>
    </w:p>
    <w:p w14:paraId="3EC00E66" w14:textId="2FCE0ED9" w:rsidR="001031DF" w:rsidRPr="004E59E0" w:rsidRDefault="001031DF" w:rsidP="001031DF">
      <w:pPr>
        <w:pStyle w:val="Caption"/>
        <w:keepNext/>
        <w:rPr>
          <w:rFonts w:ascii="Arial" w:hAnsi="Arial" w:cs="Arial"/>
          <w:sz w:val="16"/>
          <w:szCs w:val="16"/>
        </w:rPr>
      </w:pPr>
      <w:bookmarkStart w:id="1138" w:name="_Toc78983974"/>
      <w:r w:rsidRPr="004E59E0">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4E59E0">
        <w:rPr>
          <w:rFonts w:ascii="Arial" w:hAnsi="Arial" w:cs="Arial"/>
          <w:sz w:val="16"/>
          <w:szCs w:val="16"/>
        </w:rPr>
        <w:t xml:space="preserve">: </w:t>
      </w:r>
      <w:r w:rsidRPr="004E59E0">
        <w:rPr>
          <w:rFonts w:ascii="Arial" w:hAnsi="Arial" w:cs="Arial"/>
          <w:i w:val="0"/>
          <w:iCs w:val="0"/>
          <w:sz w:val="16"/>
          <w:szCs w:val="16"/>
        </w:rPr>
        <w:t>Criteria requested for securing finance for real estate project development at the disaggregate level</w:t>
      </w:r>
      <w:bookmarkEnd w:id="1138"/>
    </w:p>
    <w:tbl>
      <w:tblPr>
        <w:tblStyle w:val="TableGrid"/>
        <w:tblW w:w="5000" w:type="pct"/>
        <w:tblLook w:val="04A0" w:firstRow="1" w:lastRow="0" w:firstColumn="1" w:lastColumn="0" w:noHBand="0" w:noVBand="1"/>
      </w:tblPr>
      <w:tblGrid>
        <w:gridCol w:w="1643"/>
        <w:gridCol w:w="617"/>
        <w:gridCol w:w="590"/>
        <w:gridCol w:w="617"/>
        <w:gridCol w:w="590"/>
        <w:gridCol w:w="617"/>
        <w:gridCol w:w="590"/>
        <w:gridCol w:w="617"/>
        <w:gridCol w:w="590"/>
        <w:gridCol w:w="617"/>
        <w:gridCol w:w="590"/>
        <w:gridCol w:w="744"/>
        <w:gridCol w:w="594"/>
      </w:tblGrid>
      <w:tr w:rsidR="00CD6352" w:rsidRPr="004E59E0" w14:paraId="52E1F074" w14:textId="77777777" w:rsidTr="001031DF">
        <w:tc>
          <w:tcPr>
            <w:tcW w:w="912" w:type="pct"/>
            <w:vMerge w:val="restart"/>
          </w:tcPr>
          <w:p w14:paraId="33D20F79" w14:textId="77777777" w:rsidR="00CD6352" w:rsidRPr="004E59E0" w:rsidRDefault="00CD6352" w:rsidP="00CD6352">
            <w:pPr>
              <w:jc w:val="both"/>
              <w:rPr>
                <w:rFonts w:ascii="Arial" w:eastAsia="Calibri" w:hAnsi="Arial" w:cs="Arial"/>
                <w:sz w:val="16"/>
                <w:szCs w:val="16"/>
              </w:rPr>
            </w:pPr>
          </w:p>
          <w:p w14:paraId="1CA8510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 xml:space="preserve">Criteria </w:t>
            </w:r>
          </w:p>
        </w:tc>
        <w:tc>
          <w:tcPr>
            <w:tcW w:w="4088" w:type="pct"/>
            <w:gridSpan w:val="12"/>
          </w:tcPr>
          <w:p w14:paraId="003A2D2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Criteria always requested by financiers (mean values &amp; ranking)</w:t>
            </w:r>
          </w:p>
        </w:tc>
      </w:tr>
      <w:tr w:rsidR="00CD6352" w:rsidRPr="004E59E0" w14:paraId="27C4093A" w14:textId="77777777" w:rsidTr="001031DF">
        <w:tc>
          <w:tcPr>
            <w:tcW w:w="912" w:type="pct"/>
            <w:vMerge/>
          </w:tcPr>
          <w:p w14:paraId="40D26517" w14:textId="77777777" w:rsidR="00CD6352" w:rsidRPr="004E59E0" w:rsidRDefault="00CD6352" w:rsidP="00CD6352">
            <w:pPr>
              <w:jc w:val="both"/>
              <w:rPr>
                <w:rFonts w:ascii="Arial" w:eastAsia="Calibri" w:hAnsi="Arial" w:cs="Arial"/>
                <w:sz w:val="16"/>
                <w:szCs w:val="16"/>
              </w:rPr>
            </w:pPr>
          </w:p>
        </w:tc>
        <w:tc>
          <w:tcPr>
            <w:tcW w:w="669" w:type="pct"/>
            <w:gridSpan w:val="2"/>
          </w:tcPr>
          <w:p w14:paraId="627CE82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D1= Germany</w:t>
            </w:r>
          </w:p>
          <w:p w14:paraId="6CE27D2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N=5</w:t>
            </w:r>
          </w:p>
        </w:tc>
        <w:tc>
          <w:tcPr>
            <w:tcW w:w="669" w:type="pct"/>
            <w:gridSpan w:val="2"/>
          </w:tcPr>
          <w:p w14:paraId="47E907DB"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D2=UK</w:t>
            </w:r>
          </w:p>
          <w:p w14:paraId="51DF349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N=20</w:t>
            </w:r>
          </w:p>
        </w:tc>
        <w:tc>
          <w:tcPr>
            <w:tcW w:w="669" w:type="pct"/>
            <w:gridSpan w:val="2"/>
          </w:tcPr>
          <w:p w14:paraId="7AF1BBD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D3=US</w:t>
            </w:r>
          </w:p>
          <w:p w14:paraId="26BFA39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N=8</w:t>
            </w:r>
          </w:p>
        </w:tc>
        <w:tc>
          <w:tcPr>
            <w:tcW w:w="669" w:type="pct"/>
            <w:gridSpan w:val="2"/>
          </w:tcPr>
          <w:p w14:paraId="20F376C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E1=China</w:t>
            </w:r>
          </w:p>
          <w:p w14:paraId="372170F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N=11</w:t>
            </w:r>
          </w:p>
        </w:tc>
        <w:tc>
          <w:tcPr>
            <w:tcW w:w="669" w:type="pct"/>
            <w:gridSpan w:val="2"/>
          </w:tcPr>
          <w:p w14:paraId="18F85D9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E2= Nigeria</w:t>
            </w:r>
          </w:p>
          <w:p w14:paraId="0B2A84B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N=26</w:t>
            </w:r>
          </w:p>
        </w:tc>
        <w:tc>
          <w:tcPr>
            <w:tcW w:w="741" w:type="pct"/>
            <w:gridSpan w:val="2"/>
          </w:tcPr>
          <w:p w14:paraId="7931BEF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E2=South Africa</w:t>
            </w:r>
          </w:p>
          <w:p w14:paraId="0478C25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N=11</w:t>
            </w:r>
          </w:p>
        </w:tc>
      </w:tr>
      <w:tr w:rsidR="00CD6352" w:rsidRPr="004E59E0" w14:paraId="077BB579" w14:textId="77777777" w:rsidTr="001031DF">
        <w:tc>
          <w:tcPr>
            <w:tcW w:w="912" w:type="pct"/>
          </w:tcPr>
          <w:p w14:paraId="26A2C173" w14:textId="77777777" w:rsidR="00CD6352" w:rsidRPr="004E59E0" w:rsidRDefault="00CD6352" w:rsidP="00CD6352">
            <w:pPr>
              <w:jc w:val="both"/>
              <w:rPr>
                <w:rFonts w:ascii="Arial" w:eastAsia="Calibri" w:hAnsi="Arial" w:cs="Arial"/>
                <w:sz w:val="16"/>
                <w:szCs w:val="16"/>
              </w:rPr>
            </w:pPr>
          </w:p>
        </w:tc>
        <w:tc>
          <w:tcPr>
            <w:tcW w:w="342" w:type="pct"/>
          </w:tcPr>
          <w:p w14:paraId="4CE4284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Mean</w:t>
            </w:r>
          </w:p>
        </w:tc>
        <w:tc>
          <w:tcPr>
            <w:tcW w:w="327" w:type="pct"/>
          </w:tcPr>
          <w:p w14:paraId="67E9FAE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Rank</w:t>
            </w:r>
          </w:p>
        </w:tc>
        <w:tc>
          <w:tcPr>
            <w:tcW w:w="342" w:type="pct"/>
          </w:tcPr>
          <w:p w14:paraId="164BDC0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Mean</w:t>
            </w:r>
          </w:p>
        </w:tc>
        <w:tc>
          <w:tcPr>
            <w:tcW w:w="327" w:type="pct"/>
          </w:tcPr>
          <w:p w14:paraId="77446CB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Rank</w:t>
            </w:r>
          </w:p>
        </w:tc>
        <w:tc>
          <w:tcPr>
            <w:tcW w:w="342" w:type="pct"/>
          </w:tcPr>
          <w:p w14:paraId="170B1AC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Mean</w:t>
            </w:r>
          </w:p>
        </w:tc>
        <w:tc>
          <w:tcPr>
            <w:tcW w:w="327" w:type="pct"/>
          </w:tcPr>
          <w:p w14:paraId="200EC84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Rank</w:t>
            </w:r>
          </w:p>
        </w:tc>
        <w:tc>
          <w:tcPr>
            <w:tcW w:w="342" w:type="pct"/>
          </w:tcPr>
          <w:p w14:paraId="7225A43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Mean</w:t>
            </w:r>
          </w:p>
        </w:tc>
        <w:tc>
          <w:tcPr>
            <w:tcW w:w="327" w:type="pct"/>
          </w:tcPr>
          <w:p w14:paraId="291A48D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Rank</w:t>
            </w:r>
          </w:p>
        </w:tc>
        <w:tc>
          <w:tcPr>
            <w:tcW w:w="342" w:type="pct"/>
          </w:tcPr>
          <w:p w14:paraId="706A59F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Mean</w:t>
            </w:r>
          </w:p>
        </w:tc>
        <w:tc>
          <w:tcPr>
            <w:tcW w:w="327" w:type="pct"/>
          </w:tcPr>
          <w:p w14:paraId="3B0A597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Rank</w:t>
            </w:r>
          </w:p>
        </w:tc>
        <w:tc>
          <w:tcPr>
            <w:tcW w:w="413" w:type="pct"/>
          </w:tcPr>
          <w:p w14:paraId="1716B9B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Mean</w:t>
            </w:r>
          </w:p>
        </w:tc>
        <w:tc>
          <w:tcPr>
            <w:tcW w:w="328" w:type="pct"/>
          </w:tcPr>
          <w:p w14:paraId="5DE0788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Rank</w:t>
            </w:r>
          </w:p>
        </w:tc>
      </w:tr>
      <w:tr w:rsidR="00CD6352" w:rsidRPr="004E59E0" w14:paraId="1EF0BB38" w14:textId="77777777" w:rsidTr="001031DF">
        <w:tc>
          <w:tcPr>
            <w:tcW w:w="912" w:type="pct"/>
          </w:tcPr>
          <w:p w14:paraId="2FED96C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Audited financial reports/ independent audit committee</w:t>
            </w:r>
          </w:p>
        </w:tc>
        <w:tc>
          <w:tcPr>
            <w:tcW w:w="342" w:type="pct"/>
          </w:tcPr>
          <w:p w14:paraId="48BF515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2.67</w:t>
            </w:r>
          </w:p>
        </w:tc>
        <w:tc>
          <w:tcPr>
            <w:tcW w:w="327" w:type="pct"/>
          </w:tcPr>
          <w:p w14:paraId="6EA0AE7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13</w:t>
            </w:r>
          </w:p>
        </w:tc>
        <w:tc>
          <w:tcPr>
            <w:tcW w:w="342" w:type="pct"/>
          </w:tcPr>
          <w:p w14:paraId="255274C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3.36</w:t>
            </w:r>
          </w:p>
        </w:tc>
        <w:tc>
          <w:tcPr>
            <w:tcW w:w="327" w:type="pct"/>
          </w:tcPr>
          <w:p w14:paraId="6756FD3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12</w:t>
            </w:r>
          </w:p>
        </w:tc>
        <w:tc>
          <w:tcPr>
            <w:tcW w:w="342" w:type="pct"/>
          </w:tcPr>
          <w:p w14:paraId="0F3DEC2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3.57</w:t>
            </w:r>
          </w:p>
        </w:tc>
        <w:tc>
          <w:tcPr>
            <w:tcW w:w="327" w:type="pct"/>
          </w:tcPr>
          <w:p w14:paraId="559A13B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14</w:t>
            </w:r>
          </w:p>
        </w:tc>
        <w:tc>
          <w:tcPr>
            <w:tcW w:w="342" w:type="pct"/>
          </w:tcPr>
          <w:p w14:paraId="12F4765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3.82</w:t>
            </w:r>
          </w:p>
        </w:tc>
        <w:tc>
          <w:tcPr>
            <w:tcW w:w="327" w:type="pct"/>
          </w:tcPr>
          <w:p w14:paraId="476C5C9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12</w:t>
            </w:r>
          </w:p>
        </w:tc>
        <w:tc>
          <w:tcPr>
            <w:tcW w:w="342" w:type="pct"/>
          </w:tcPr>
          <w:p w14:paraId="2328F22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3.71</w:t>
            </w:r>
          </w:p>
        </w:tc>
        <w:tc>
          <w:tcPr>
            <w:tcW w:w="327" w:type="pct"/>
          </w:tcPr>
          <w:p w14:paraId="74DED88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13</w:t>
            </w:r>
          </w:p>
        </w:tc>
        <w:tc>
          <w:tcPr>
            <w:tcW w:w="413" w:type="pct"/>
          </w:tcPr>
          <w:p w14:paraId="242661E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4.11</w:t>
            </w:r>
          </w:p>
        </w:tc>
        <w:tc>
          <w:tcPr>
            <w:tcW w:w="328" w:type="pct"/>
          </w:tcPr>
          <w:p w14:paraId="6F86BC3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12</w:t>
            </w:r>
          </w:p>
        </w:tc>
      </w:tr>
      <w:tr w:rsidR="00CD6352" w:rsidRPr="004E59E0" w14:paraId="38467FC8" w14:textId="77777777" w:rsidTr="001031DF">
        <w:tc>
          <w:tcPr>
            <w:tcW w:w="912" w:type="pct"/>
          </w:tcPr>
          <w:p w14:paraId="144B106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Capital base</w:t>
            </w:r>
          </w:p>
        </w:tc>
        <w:tc>
          <w:tcPr>
            <w:tcW w:w="342" w:type="pct"/>
          </w:tcPr>
          <w:p w14:paraId="1EC1676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3.0</w:t>
            </w:r>
          </w:p>
        </w:tc>
        <w:tc>
          <w:tcPr>
            <w:tcW w:w="327" w:type="pct"/>
          </w:tcPr>
          <w:p w14:paraId="7CA8E3C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11</w:t>
            </w:r>
          </w:p>
        </w:tc>
        <w:tc>
          <w:tcPr>
            <w:tcW w:w="342" w:type="pct"/>
          </w:tcPr>
          <w:p w14:paraId="763687A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3.45</w:t>
            </w:r>
          </w:p>
        </w:tc>
        <w:tc>
          <w:tcPr>
            <w:tcW w:w="327" w:type="pct"/>
          </w:tcPr>
          <w:p w14:paraId="24FF0D6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10</w:t>
            </w:r>
          </w:p>
        </w:tc>
        <w:tc>
          <w:tcPr>
            <w:tcW w:w="342" w:type="pct"/>
          </w:tcPr>
          <w:p w14:paraId="67B0F18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3.20</w:t>
            </w:r>
          </w:p>
        </w:tc>
        <w:tc>
          <w:tcPr>
            <w:tcW w:w="327" w:type="pct"/>
          </w:tcPr>
          <w:p w14:paraId="0A2E466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15</w:t>
            </w:r>
          </w:p>
        </w:tc>
        <w:tc>
          <w:tcPr>
            <w:tcW w:w="342" w:type="pct"/>
          </w:tcPr>
          <w:p w14:paraId="2C4F6AA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7DBC74D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9</w:t>
            </w:r>
          </w:p>
        </w:tc>
        <w:tc>
          <w:tcPr>
            <w:tcW w:w="342" w:type="pct"/>
          </w:tcPr>
          <w:p w14:paraId="41DA6D7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3.91</w:t>
            </w:r>
          </w:p>
        </w:tc>
        <w:tc>
          <w:tcPr>
            <w:tcW w:w="327" w:type="pct"/>
          </w:tcPr>
          <w:p w14:paraId="73A530B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8</w:t>
            </w:r>
          </w:p>
        </w:tc>
        <w:tc>
          <w:tcPr>
            <w:tcW w:w="413" w:type="pct"/>
          </w:tcPr>
          <w:p w14:paraId="234B8E5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4.44</w:t>
            </w:r>
          </w:p>
        </w:tc>
        <w:tc>
          <w:tcPr>
            <w:tcW w:w="328" w:type="pct"/>
          </w:tcPr>
          <w:p w14:paraId="24A064C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7</w:t>
            </w:r>
          </w:p>
        </w:tc>
      </w:tr>
      <w:tr w:rsidR="00CD6352" w:rsidRPr="004E59E0" w14:paraId="3F1DCD0E" w14:textId="77777777" w:rsidTr="001031DF">
        <w:tc>
          <w:tcPr>
            <w:tcW w:w="912" w:type="pct"/>
          </w:tcPr>
          <w:p w14:paraId="03A0E79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Cash flow</w:t>
            </w:r>
          </w:p>
        </w:tc>
        <w:tc>
          <w:tcPr>
            <w:tcW w:w="342" w:type="pct"/>
          </w:tcPr>
          <w:p w14:paraId="4EE032D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0A0C20E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w:t>
            </w:r>
          </w:p>
        </w:tc>
        <w:tc>
          <w:tcPr>
            <w:tcW w:w="342" w:type="pct"/>
          </w:tcPr>
          <w:p w14:paraId="0E57F95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3.82</w:t>
            </w:r>
          </w:p>
        </w:tc>
        <w:tc>
          <w:tcPr>
            <w:tcW w:w="327" w:type="pct"/>
          </w:tcPr>
          <w:p w14:paraId="600659B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7</w:t>
            </w:r>
          </w:p>
        </w:tc>
        <w:tc>
          <w:tcPr>
            <w:tcW w:w="342" w:type="pct"/>
          </w:tcPr>
          <w:p w14:paraId="6EADE2F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4.33</w:t>
            </w:r>
          </w:p>
        </w:tc>
        <w:tc>
          <w:tcPr>
            <w:tcW w:w="327" w:type="pct"/>
          </w:tcPr>
          <w:p w14:paraId="1FE994E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5</w:t>
            </w:r>
          </w:p>
        </w:tc>
        <w:tc>
          <w:tcPr>
            <w:tcW w:w="342" w:type="pct"/>
          </w:tcPr>
          <w:p w14:paraId="5F02DE3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4.27</w:t>
            </w:r>
          </w:p>
        </w:tc>
        <w:tc>
          <w:tcPr>
            <w:tcW w:w="327" w:type="pct"/>
          </w:tcPr>
          <w:p w14:paraId="0C133AC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5</w:t>
            </w:r>
          </w:p>
        </w:tc>
        <w:tc>
          <w:tcPr>
            <w:tcW w:w="342" w:type="pct"/>
          </w:tcPr>
          <w:p w14:paraId="58C2752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3.96</w:t>
            </w:r>
          </w:p>
        </w:tc>
        <w:tc>
          <w:tcPr>
            <w:tcW w:w="327" w:type="pct"/>
          </w:tcPr>
          <w:p w14:paraId="37152DF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7</w:t>
            </w:r>
          </w:p>
        </w:tc>
        <w:tc>
          <w:tcPr>
            <w:tcW w:w="413" w:type="pct"/>
          </w:tcPr>
          <w:p w14:paraId="42920E1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4.67</w:t>
            </w:r>
          </w:p>
        </w:tc>
        <w:tc>
          <w:tcPr>
            <w:tcW w:w="328" w:type="pct"/>
          </w:tcPr>
          <w:p w14:paraId="78325CC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w:t>
            </w:r>
          </w:p>
        </w:tc>
      </w:tr>
      <w:tr w:rsidR="00CD6352" w:rsidRPr="004E59E0" w14:paraId="06B01006" w14:textId="77777777" w:rsidTr="001031DF">
        <w:tc>
          <w:tcPr>
            <w:tcW w:w="912" w:type="pct"/>
          </w:tcPr>
          <w:p w14:paraId="755063A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Collateral to mitigate default risk</w:t>
            </w:r>
          </w:p>
        </w:tc>
        <w:tc>
          <w:tcPr>
            <w:tcW w:w="342" w:type="pct"/>
          </w:tcPr>
          <w:p w14:paraId="280D02F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3.00</w:t>
            </w:r>
          </w:p>
        </w:tc>
        <w:tc>
          <w:tcPr>
            <w:tcW w:w="327" w:type="pct"/>
          </w:tcPr>
          <w:p w14:paraId="1638C2F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12</w:t>
            </w:r>
          </w:p>
        </w:tc>
        <w:tc>
          <w:tcPr>
            <w:tcW w:w="342" w:type="pct"/>
          </w:tcPr>
          <w:p w14:paraId="1A9D08E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3.27</w:t>
            </w:r>
          </w:p>
        </w:tc>
        <w:tc>
          <w:tcPr>
            <w:tcW w:w="327" w:type="pct"/>
          </w:tcPr>
          <w:p w14:paraId="156C3B9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14</w:t>
            </w:r>
          </w:p>
        </w:tc>
        <w:tc>
          <w:tcPr>
            <w:tcW w:w="342" w:type="pct"/>
          </w:tcPr>
          <w:p w14:paraId="74372BB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0394916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10</w:t>
            </w:r>
          </w:p>
        </w:tc>
        <w:tc>
          <w:tcPr>
            <w:tcW w:w="342" w:type="pct"/>
          </w:tcPr>
          <w:p w14:paraId="759ADD6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3.73</w:t>
            </w:r>
          </w:p>
        </w:tc>
        <w:tc>
          <w:tcPr>
            <w:tcW w:w="327" w:type="pct"/>
          </w:tcPr>
          <w:p w14:paraId="512BBE9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13</w:t>
            </w:r>
          </w:p>
        </w:tc>
        <w:tc>
          <w:tcPr>
            <w:tcW w:w="342" w:type="pct"/>
          </w:tcPr>
          <w:p w14:paraId="163B4D2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4.26</w:t>
            </w:r>
          </w:p>
        </w:tc>
        <w:tc>
          <w:tcPr>
            <w:tcW w:w="327" w:type="pct"/>
          </w:tcPr>
          <w:p w14:paraId="7C0B574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w:t>
            </w:r>
          </w:p>
        </w:tc>
        <w:tc>
          <w:tcPr>
            <w:tcW w:w="413" w:type="pct"/>
          </w:tcPr>
          <w:p w14:paraId="5A216DDB"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4.10</w:t>
            </w:r>
          </w:p>
        </w:tc>
        <w:tc>
          <w:tcPr>
            <w:tcW w:w="328" w:type="pct"/>
          </w:tcPr>
          <w:p w14:paraId="4F8043A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13</w:t>
            </w:r>
          </w:p>
        </w:tc>
      </w:tr>
      <w:tr w:rsidR="00CD6352" w:rsidRPr="004E59E0" w14:paraId="32FFF688" w14:textId="77777777" w:rsidTr="001031DF">
        <w:tc>
          <w:tcPr>
            <w:tcW w:w="912" w:type="pct"/>
          </w:tcPr>
          <w:p w14:paraId="2B636C0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Contractual documentation on land acquisition / land title</w:t>
            </w:r>
          </w:p>
        </w:tc>
        <w:tc>
          <w:tcPr>
            <w:tcW w:w="342" w:type="pct"/>
          </w:tcPr>
          <w:p w14:paraId="20351F9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3.67</w:t>
            </w:r>
          </w:p>
        </w:tc>
        <w:tc>
          <w:tcPr>
            <w:tcW w:w="327" w:type="pct"/>
          </w:tcPr>
          <w:p w14:paraId="3108C64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6</w:t>
            </w:r>
          </w:p>
        </w:tc>
        <w:tc>
          <w:tcPr>
            <w:tcW w:w="342" w:type="pct"/>
          </w:tcPr>
          <w:p w14:paraId="38AB925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4.09</w:t>
            </w:r>
          </w:p>
        </w:tc>
        <w:tc>
          <w:tcPr>
            <w:tcW w:w="327" w:type="pct"/>
          </w:tcPr>
          <w:p w14:paraId="291B14A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w:t>
            </w:r>
          </w:p>
        </w:tc>
        <w:tc>
          <w:tcPr>
            <w:tcW w:w="342" w:type="pct"/>
          </w:tcPr>
          <w:p w14:paraId="0EF4828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4.17</w:t>
            </w:r>
          </w:p>
        </w:tc>
        <w:tc>
          <w:tcPr>
            <w:tcW w:w="327" w:type="pct"/>
          </w:tcPr>
          <w:p w14:paraId="5540DE9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6</w:t>
            </w:r>
          </w:p>
        </w:tc>
        <w:tc>
          <w:tcPr>
            <w:tcW w:w="342" w:type="pct"/>
          </w:tcPr>
          <w:p w14:paraId="34A84DB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4.36</w:t>
            </w:r>
          </w:p>
        </w:tc>
        <w:tc>
          <w:tcPr>
            <w:tcW w:w="327" w:type="pct"/>
          </w:tcPr>
          <w:p w14:paraId="37BAB09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w:t>
            </w:r>
          </w:p>
        </w:tc>
        <w:tc>
          <w:tcPr>
            <w:tcW w:w="342" w:type="pct"/>
          </w:tcPr>
          <w:p w14:paraId="10163AE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4.30</w:t>
            </w:r>
          </w:p>
        </w:tc>
        <w:tc>
          <w:tcPr>
            <w:tcW w:w="327" w:type="pct"/>
          </w:tcPr>
          <w:p w14:paraId="3FDF38F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w:t>
            </w:r>
          </w:p>
        </w:tc>
        <w:tc>
          <w:tcPr>
            <w:tcW w:w="413" w:type="pct"/>
          </w:tcPr>
          <w:p w14:paraId="71983AC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4.33</w:t>
            </w:r>
          </w:p>
        </w:tc>
        <w:tc>
          <w:tcPr>
            <w:tcW w:w="328" w:type="pct"/>
          </w:tcPr>
          <w:p w14:paraId="7814049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9</w:t>
            </w:r>
          </w:p>
        </w:tc>
      </w:tr>
      <w:tr w:rsidR="00CD6352" w:rsidRPr="004E59E0" w14:paraId="6E16D22E" w14:textId="77777777" w:rsidTr="001031DF">
        <w:tc>
          <w:tcPr>
            <w:tcW w:w="912" w:type="pct"/>
          </w:tcPr>
          <w:p w14:paraId="20A1A0B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Details of the proposed project</w:t>
            </w:r>
          </w:p>
        </w:tc>
        <w:tc>
          <w:tcPr>
            <w:tcW w:w="342" w:type="pct"/>
          </w:tcPr>
          <w:p w14:paraId="73A04AA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675BBF6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w:t>
            </w:r>
          </w:p>
        </w:tc>
        <w:tc>
          <w:tcPr>
            <w:tcW w:w="342" w:type="pct"/>
          </w:tcPr>
          <w:p w14:paraId="45CAC62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4.18</w:t>
            </w:r>
          </w:p>
        </w:tc>
        <w:tc>
          <w:tcPr>
            <w:tcW w:w="327" w:type="pct"/>
          </w:tcPr>
          <w:p w14:paraId="0F21C4E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w:t>
            </w:r>
          </w:p>
        </w:tc>
        <w:tc>
          <w:tcPr>
            <w:tcW w:w="342" w:type="pct"/>
          </w:tcPr>
          <w:p w14:paraId="1D8BA4D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4.17</w:t>
            </w:r>
          </w:p>
        </w:tc>
        <w:tc>
          <w:tcPr>
            <w:tcW w:w="327" w:type="pct"/>
          </w:tcPr>
          <w:p w14:paraId="11408F0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7</w:t>
            </w:r>
          </w:p>
        </w:tc>
        <w:tc>
          <w:tcPr>
            <w:tcW w:w="342" w:type="pct"/>
          </w:tcPr>
          <w:p w14:paraId="74BC944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4.45</w:t>
            </w:r>
          </w:p>
        </w:tc>
        <w:tc>
          <w:tcPr>
            <w:tcW w:w="327" w:type="pct"/>
          </w:tcPr>
          <w:p w14:paraId="019053B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w:t>
            </w:r>
          </w:p>
        </w:tc>
        <w:tc>
          <w:tcPr>
            <w:tcW w:w="342" w:type="pct"/>
          </w:tcPr>
          <w:p w14:paraId="18E9302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4.13</w:t>
            </w:r>
          </w:p>
        </w:tc>
        <w:tc>
          <w:tcPr>
            <w:tcW w:w="327" w:type="pct"/>
          </w:tcPr>
          <w:p w14:paraId="44E8643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w:t>
            </w:r>
          </w:p>
        </w:tc>
        <w:tc>
          <w:tcPr>
            <w:tcW w:w="413" w:type="pct"/>
          </w:tcPr>
          <w:p w14:paraId="22596B7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4.67</w:t>
            </w:r>
          </w:p>
        </w:tc>
        <w:tc>
          <w:tcPr>
            <w:tcW w:w="328" w:type="pct"/>
          </w:tcPr>
          <w:p w14:paraId="5B7D399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w:t>
            </w:r>
          </w:p>
        </w:tc>
      </w:tr>
      <w:tr w:rsidR="00CD6352" w:rsidRPr="004E59E0" w14:paraId="3AA644B4" w14:textId="77777777" w:rsidTr="001031DF">
        <w:tc>
          <w:tcPr>
            <w:tcW w:w="912" w:type="pct"/>
          </w:tcPr>
          <w:p w14:paraId="7C8A32BB"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Due diligence</w:t>
            </w:r>
          </w:p>
        </w:tc>
        <w:tc>
          <w:tcPr>
            <w:tcW w:w="342" w:type="pct"/>
          </w:tcPr>
          <w:p w14:paraId="5CC9323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2D98FCD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w:t>
            </w:r>
          </w:p>
        </w:tc>
        <w:tc>
          <w:tcPr>
            <w:tcW w:w="342" w:type="pct"/>
          </w:tcPr>
          <w:p w14:paraId="6128A42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3.91</w:t>
            </w:r>
          </w:p>
        </w:tc>
        <w:tc>
          <w:tcPr>
            <w:tcW w:w="327" w:type="pct"/>
          </w:tcPr>
          <w:p w14:paraId="6F2EB3D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5</w:t>
            </w:r>
          </w:p>
        </w:tc>
        <w:tc>
          <w:tcPr>
            <w:tcW w:w="342" w:type="pct"/>
          </w:tcPr>
          <w:p w14:paraId="6DB68EC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4.17</w:t>
            </w:r>
          </w:p>
        </w:tc>
        <w:tc>
          <w:tcPr>
            <w:tcW w:w="327" w:type="pct"/>
          </w:tcPr>
          <w:p w14:paraId="0F91622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8</w:t>
            </w:r>
          </w:p>
        </w:tc>
        <w:tc>
          <w:tcPr>
            <w:tcW w:w="342" w:type="pct"/>
          </w:tcPr>
          <w:p w14:paraId="576F72F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4.45</w:t>
            </w:r>
          </w:p>
        </w:tc>
        <w:tc>
          <w:tcPr>
            <w:tcW w:w="327" w:type="pct"/>
          </w:tcPr>
          <w:p w14:paraId="699A772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w:t>
            </w:r>
          </w:p>
        </w:tc>
        <w:tc>
          <w:tcPr>
            <w:tcW w:w="342" w:type="pct"/>
          </w:tcPr>
          <w:p w14:paraId="65D9CB9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3.86</w:t>
            </w:r>
          </w:p>
        </w:tc>
        <w:tc>
          <w:tcPr>
            <w:tcW w:w="327" w:type="pct"/>
          </w:tcPr>
          <w:p w14:paraId="6F64311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11</w:t>
            </w:r>
          </w:p>
        </w:tc>
        <w:tc>
          <w:tcPr>
            <w:tcW w:w="413" w:type="pct"/>
          </w:tcPr>
          <w:p w14:paraId="71BBA23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4.33</w:t>
            </w:r>
          </w:p>
        </w:tc>
        <w:tc>
          <w:tcPr>
            <w:tcW w:w="328" w:type="pct"/>
          </w:tcPr>
          <w:p w14:paraId="464AB24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8</w:t>
            </w:r>
          </w:p>
        </w:tc>
      </w:tr>
      <w:tr w:rsidR="00CD6352" w:rsidRPr="004E59E0" w14:paraId="6A622E2D" w14:textId="77777777" w:rsidTr="001031DF">
        <w:tc>
          <w:tcPr>
            <w:tcW w:w="912" w:type="pct"/>
          </w:tcPr>
          <w:p w14:paraId="17A6915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Feasibility report( economic &amp; technical feasibility)</w:t>
            </w:r>
          </w:p>
        </w:tc>
        <w:tc>
          <w:tcPr>
            <w:tcW w:w="342" w:type="pct"/>
          </w:tcPr>
          <w:p w14:paraId="6C22C2A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0C92207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5</w:t>
            </w:r>
          </w:p>
        </w:tc>
        <w:tc>
          <w:tcPr>
            <w:tcW w:w="342" w:type="pct"/>
          </w:tcPr>
          <w:p w14:paraId="5CF3432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4.27</w:t>
            </w:r>
          </w:p>
        </w:tc>
        <w:tc>
          <w:tcPr>
            <w:tcW w:w="327" w:type="pct"/>
          </w:tcPr>
          <w:p w14:paraId="7B6305A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w:t>
            </w:r>
          </w:p>
        </w:tc>
        <w:tc>
          <w:tcPr>
            <w:tcW w:w="342" w:type="pct"/>
          </w:tcPr>
          <w:p w14:paraId="20DDC2F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4.60</w:t>
            </w:r>
          </w:p>
        </w:tc>
        <w:tc>
          <w:tcPr>
            <w:tcW w:w="327" w:type="pct"/>
          </w:tcPr>
          <w:p w14:paraId="768E81EE" w14:textId="77777777" w:rsidR="00CD6352" w:rsidRPr="004E59E0" w:rsidRDefault="00CD6352" w:rsidP="00CD6352">
            <w:pPr>
              <w:rPr>
                <w:rFonts w:ascii="Arial" w:hAnsi="Arial" w:cs="Arial"/>
                <w:sz w:val="16"/>
                <w:szCs w:val="16"/>
              </w:rPr>
            </w:pPr>
            <w:r w:rsidRPr="004E59E0">
              <w:rPr>
                <w:rFonts w:ascii="Arial" w:hAnsi="Arial" w:cs="Arial"/>
                <w:sz w:val="16"/>
                <w:szCs w:val="16"/>
              </w:rPr>
              <w:t>2</w:t>
            </w:r>
          </w:p>
        </w:tc>
        <w:tc>
          <w:tcPr>
            <w:tcW w:w="342" w:type="pct"/>
          </w:tcPr>
          <w:p w14:paraId="541B8AB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4.27</w:t>
            </w:r>
          </w:p>
        </w:tc>
        <w:tc>
          <w:tcPr>
            <w:tcW w:w="327" w:type="pct"/>
          </w:tcPr>
          <w:p w14:paraId="3FA6312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6</w:t>
            </w:r>
          </w:p>
        </w:tc>
        <w:tc>
          <w:tcPr>
            <w:tcW w:w="342" w:type="pct"/>
          </w:tcPr>
          <w:p w14:paraId="65B788D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4.09</w:t>
            </w:r>
          </w:p>
        </w:tc>
        <w:tc>
          <w:tcPr>
            <w:tcW w:w="327" w:type="pct"/>
          </w:tcPr>
          <w:p w14:paraId="4D0A8A3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5</w:t>
            </w:r>
          </w:p>
        </w:tc>
        <w:tc>
          <w:tcPr>
            <w:tcW w:w="413" w:type="pct"/>
          </w:tcPr>
          <w:p w14:paraId="2865F49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4.78</w:t>
            </w:r>
          </w:p>
        </w:tc>
        <w:tc>
          <w:tcPr>
            <w:tcW w:w="328" w:type="pct"/>
          </w:tcPr>
          <w:p w14:paraId="6A661C8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w:t>
            </w:r>
          </w:p>
        </w:tc>
      </w:tr>
      <w:tr w:rsidR="00CD6352" w:rsidRPr="004E59E0" w14:paraId="70C12B52" w14:textId="77777777" w:rsidTr="001031DF">
        <w:tc>
          <w:tcPr>
            <w:tcW w:w="912" w:type="pct"/>
          </w:tcPr>
          <w:p w14:paraId="5392763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Indemnification</w:t>
            </w:r>
          </w:p>
        </w:tc>
        <w:tc>
          <w:tcPr>
            <w:tcW w:w="342" w:type="pct"/>
          </w:tcPr>
          <w:p w14:paraId="34CD540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2.67</w:t>
            </w:r>
          </w:p>
        </w:tc>
        <w:tc>
          <w:tcPr>
            <w:tcW w:w="327" w:type="pct"/>
          </w:tcPr>
          <w:p w14:paraId="441E422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14</w:t>
            </w:r>
          </w:p>
        </w:tc>
        <w:tc>
          <w:tcPr>
            <w:tcW w:w="342" w:type="pct"/>
          </w:tcPr>
          <w:p w14:paraId="57DD8ED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3.09</w:t>
            </w:r>
          </w:p>
        </w:tc>
        <w:tc>
          <w:tcPr>
            <w:tcW w:w="327" w:type="pct"/>
          </w:tcPr>
          <w:p w14:paraId="69BCB2E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15</w:t>
            </w:r>
          </w:p>
        </w:tc>
        <w:tc>
          <w:tcPr>
            <w:tcW w:w="342" w:type="pct"/>
          </w:tcPr>
          <w:p w14:paraId="0729277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50DC7D6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12</w:t>
            </w:r>
          </w:p>
        </w:tc>
        <w:tc>
          <w:tcPr>
            <w:tcW w:w="342" w:type="pct"/>
          </w:tcPr>
          <w:p w14:paraId="35C41C4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3.55</w:t>
            </w:r>
          </w:p>
        </w:tc>
        <w:tc>
          <w:tcPr>
            <w:tcW w:w="327" w:type="pct"/>
          </w:tcPr>
          <w:p w14:paraId="3F7DC8A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15</w:t>
            </w:r>
          </w:p>
        </w:tc>
        <w:tc>
          <w:tcPr>
            <w:tcW w:w="342" w:type="pct"/>
          </w:tcPr>
          <w:p w14:paraId="578787FB"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3.52</w:t>
            </w:r>
          </w:p>
        </w:tc>
        <w:tc>
          <w:tcPr>
            <w:tcW w:w="327" w:type="pct"/>
          </w:tcPr>
          <w:p w14:paraId="057895C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14</w:t>
            </w:r>
          </w:p>
        </w:tc>
        <w:tc>
          <w:tcPr>
            <w:tcW w:w="413" w:type="pct"/>
          </w:tcPr>
          <w:p w14:paraId="7E17CFB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3.89</w:t>
            </w:r>
          </w:p>
        </w:tc>
        <w:tc>
          <w:tcPr>
            <w:tcW w:w="328" w:type="pct"/>
          </w:tcPr>
          <w:p w14:paraId="728844B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14</w:t>
            </w:r>
          </w:p>
        </w:tc>
      </w:tr>
      <w:tr w:rsidR="00CD6352" w:rsidRPr="004E59E0" w14:paraId="48B7ADEA" w14:textId="77777777" w:rsidTr="001031DF">
        <w:tc>
          <w:tcPr>
            <w:tcW w:w="912" w:type="pct"/>
          </w:tcPr>
          <w:p w14:paraId="3DA7D8F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Loan agreement</w:t>
            </w:r>
          </w:p>
        </w:tc>
        <w:tc>
          <w:tcPr>
            <w:tcW w:w="342" w:type="pct"/>
          </w:tcPr>
          <w:p w14:paraId="6B3B05B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3.67</w:t>
            </w:r>
          </w:p>
        </w:tc>
        <w:tc>
          <w:tcPr>
            <w:tcW w:w="327" w:type="pct"/>
          </w:tcPr>
          <w:p w14:paraId="52565D9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7</w:t>
            </w:r>
          </w:p>
        </w:tc>
        <w:tc>
          <w:tcPr>
            <w:tcW w:w="342" w:type="pct"/>
          </w:tcPr>
          <w:p w14:paraId="5650970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4.08</w:t>
            </w:r>
          </w:p>
        </w:tc>
        <w:tc>
          <w:tcPr>
            <w:tcW w:w="327" w:type="pct"/>
          </w:tcPr>
          <w:p w14:paraId="6CBFFF4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w:t>
            </w:r>
          </w:p>
        </w:tc>
        <w:tc>
          <w:tcPr>
            <w:tcW w:w="342" w:type="pct"/>
          </w:tcPr>
          <w:p w14:paraId="1CB2198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4.17</w:t>
            </w:r>
          </w:p>
        </w:tc>
        <w:tc>
          <w:tcPr>
            <w:tcW w:w="327" w:type="pct"/>
          </w:tcPr>
          <w:p w14:paraId="778ACAF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9</w:t>
            </w:r>
          </w:p>
        </w:tc>
        <w:tc>
          <w:tcPr>
            <w:tcW w:w="342" w:type="pct"/>
          </w:tcPr>
          <w:p w14:paraId="2299BEB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4.27</w:t>
            </w:r>
          </w:p>
        </w:tc>
        <w:tc>
          <w:tcPr>
            <w:tcW w:w="327" w:type="pct"/>
          </w:tcPr>
          <w:p w14:paraId="7F369A3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7</w:t>
            </w:r>
          </w:p>
        </w:tc>
        <w:tc>
          <w:tcPr>
            <w:tcW w:w="342" w:type="pct"/>
          </w:tcPr>
          <w:p w14:paraId="6CC830F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4.27</w:t>
            </w:r>
          </w:p>
        </w:tc>
        <w:tc>
          <w:tcPr>
            <w:tcW w:w="327" w:type="pct"/>
          </w:tcPr>
          <w:p w14:paraId="570B31B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w:t>
            </w:r>
          </w:p>
        </w:tc>
        <w:tc>
          <w:tcPr>
            <w:tcW w:w="413" w:type="pct"/>
          </w:tcPr>
          <w:p w14:paraId="637E5BE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4.22</w:t>
            </w:r>
          </w:p>
        </w:tc>
        <w:tc>
          <w:tcPr>
            <w:tcW w:w="328" w:type="pct"/>
          </w:tcPr>
          <w:p w14:paraId="01983F0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10</w:t>
            </w:r>
          </w:p>
        </w:tc>
      </w:tr>
      <w:tr w:rsidR="00CD6352" w:rsidRPr="004E59E0" w14:paraId="334A94BC" w14:textId="77777777" w:rsidTr="001031DF">
        <w:tc>
          <w:tcPr>
            <w:tcW w:w="912" w:type="pct"/>
          </w:tcPr>
          <w:p w14:paraId="4997BBD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Management capabilities / management profile</w:t>
            </w:r>
          </w:p>
        </w:tc>
        <w:tc>
          <w:tcPr>
            <w:tcW w:w="342" w:type="pct"/>
          </w:tcPr>
          <w:p w14:paraId="5D0DA6C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3.67</w:t>
            </w:r>
          </w:p>
        </w:tc>
        <w:tc>
          <w:tcPr>
            <w:tcW w:w="327" w:type="pct"/>
          </w:tcPr>
          <w:p w14:paraId="6FC5112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8</w:t>
            </w:r>
          </w:p>
        </w:tc>
        <w:tc>
          <w:tcPr>
            <w:tcW w:w="342" w:type="pct"/>
          </w:tcPr>
          <w:p w14:paraId="76305A6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3.73</w:t>
            </w:r>
          </w:p>
        </w:tc>
        <w:tc>
          <w:tcPr>
            <w:tcW w:w="327" w:type="pct"/>
          </w:tcPr>
          <w:p w14:paraId="38096C8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9</w:t>
            </w:r>
          </w:p>
        </w:tc>
        <w:tc>
          <w:tcPr>
            <w:tcW w:w="342" w:type="pct"/>
          </w:tcPr>
          <w:p w14:paraId="5C96212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4.50</w:t>
            </w:r>
          </w:p>
        </w:tc>
        <w:tc>
          <w:tcPr>
            <w:tcW w:w="327" w:type="pct"/>
          </w:tcPr>
          <w:p w14:paraId="0683D84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w:t>
            </w:r>
          </w:p>
        </w:tc>
        <w:tc>
          <w:tcPr>
            <w:tcW w:w="342" w:type="pct"/>
          </w:tcPr>
          <w:p w14:paraId="0B0BD05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4.09</w:t>
            </w:r>
          </w:p>
        </w:tc>
        <w:tc>
          <w:tcPr>
            <w:tcW w:w="327" w:type="pct"/>
          </w:tcPr>
          <w:p w14:paraId="5F4553B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8</w:t>
            </w:r>
          </w:p>
        </w:tc>
        <w:tc>
          <w:tcPr>
            <w:tcW w:w="342" w:type="pct"/>
          </w:tcPr>
          <w:p w14:paraId="01A90B0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3.91</w:t>
            </w:r>
          </w:p>
        </w:tc>
        <w:tc>
          <w:tcPr>
            <w:tcW w:w="327" w:type="pct"/>
          </w:tcPr>
          <w:p w14:paraId="4D185E2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9</w:t>
            </w:r>
          </w:p>
        </w:tc>
        <w:tc>
          <w:tcPr>
            <w:tcW w:w="413" w:type="pct"/>
          </w:tcPr>
          <w:p w14:paraId="3AE03BB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4.56</w:t>
            </w:r>
          </w:p>
        </w:tc>
        <w:tc>
          <w:tcPr>
            <w:tcW w:w="328" w:type="pct"/>
          </w:tcPr>
          <w:p w14:paraId="475F6FA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5</w:t>
            </w:r>
          </w:p>
        </w:tc>
      </w:tr>
      <w:tr w:rsidR="00CD6352" w:rsidRPr="004E59E0" w14:paraId="2BDA8921" w14:textId="77777777" w:rsidTr="001031DF">
        <w:tc>
          <w:tcPr>
            <w:tcW w:w="912" w:type="pct"/>
          </w:tcPr>
          <w:p w14:paraId="4F38C5F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Necessary permits &amp; site clearance</w:t>
            </w:r>
          </w:p>
        </w:tc>
        <w:tc>
          <w:tcPr>
            <w:tcW w:w="342" w:type="pct"/>
          </w:tcPr>
          <w:p w14:paraId="500E79A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4.33</w:t>
            </w:r>
          </w:p>
        </w:tc>
        <w:tc>
          <w:tcPr>
            <w:tcW w:w="327" w:type="pct"/>
          </w:tcPr>
          <w:p w14:paraId="565CEF7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w:t>
            </w:r>
          </w:p>
        </w:tc>
        <w:tc>
          <w:tcPr>
            <w:tcW w:w="342" w:type="pct"/>
          </w:tcPr>
          <w:p w14:paraId="465BFAE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3.91</w:t>
            </w:r>
          </w:p>
        </w:tc>
        <w:tc>
          <w:tcPr>
            <w:tcW w:w="327" w:type="pct"/>
          </w:tcPr>
          <w:p w14:paraId="51B64D9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6</w:t>
            </w:r>
          </w:p>
        </w:tc>
        <w:tc>
          <w:tcPr>
            <w:tcW w:w="342" w:type="pct"/>
          </w:tcPr>
          <w:p w14:paraId="59CC28A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4.67</w:t>
            </w:r>
          </w:p>
        </w:tc>
        <w:tc>
          <w:tcPr>
            <w:tcW w:w="327" w:type="pct"/>
          </w:tcPr>
          <w:p w14:paraId="08402D0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w:t>
            </w:r>
          </w:p>
        </w:tc>
        <w:tc>
          <w:tcPr>
            <w:tcW w:w="342" w:type="pct"/>
          </w:tcPr>
          <w:p w14:paraId="210BBB9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5A2827C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10</w:t>
            </w:r>
          </w:p>
        </w:tc>
        <w:tc>
          <w:tcPr>
            <w:tcW w:w="342" w:type="pct"/>
          </w:tcPr>
          <w:p w14:paraId="518A152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3959F3D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6</w:t>
            </w:r>
          </w:p>
        </w:tc>
        <w:tc>
          <w:tcPr>
            <w:tcW w:w="413" w:type="pct"/>
          </w:tcPr>
          <w:p w14:paraId="4AECA9A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4.67</w:t>
            </w:r>
          </w:p>
        </w:tc>
        <w:tc>
          <w:tcPr>
            <w:tcW w:w="328" w:type="pct"/>
          </w:tcPr>
          <w:p w14:paraId="7434E24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w:t>
            </w:r>
          </w:p>
        </w:tc>
      </w:tr>
      <w:tr w:rsidR="00CD6352" w:rsidRPr="004E59E0" w14:paraId="2CEDD950" w14:textId="77777777" w:rsidTr="001031DF">
        <w:tc>
          <w:tcPr>
            <w:tcW w:w="912" w:type="pct"/>
          </w:tcPr>
          <w:p w14:paraId="79CB72D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Performance support guarantees</w:t>
            </w:r>
          </w:p>
        </w:tc>
        <w:tc>
          <w:tcPr>
            <w:tcW w:w="342" w:type="pct"/>
          </w:tcPr>
          <w:p w14:paraId="0D021A6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3.33</w:t>
            </w:r>
          </w:p>
        </w:tc>
        <w:tc>
          <w:tcPr>
            <w:tcW w:w="327" w:type="pct"/>
          </w:tcPr>
          <w:p w14:paraId="24BC533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10</w:t>
            </w:r>
          </w:p>
        </w:tc>
        <w:tc>
          <w:tcPr>
            <w:tcW w:w="342" w:type="pct"/>
          </w:tcPr>
          <w:p w14:paraId="67D11E6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3.36</w:t>
            </w:r>
          </w:p>
        </w:tc>
        <w:tc>
          <w:tcPr>
            <w:tcW w:w="327" w:type="pct"/>
          </w:tcPr>
          <w:p w14:paraId="5C8727F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13</w:t>
            </w:r>
          </w:p>
        </w:tc>
        <w:tc>
          <w:tcPr>
            <w:tcW w:w="342" w:type="pct"/>
          </w:tcPr>
          <w:p w14:paraId="4814CF1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4.00</w:t>
            </w:r>
          </w:p>
        </w:tc>
        <w:tc>
          <w:tcPr>
            <w:tcW w:w="327" w:type="pct"/>
          </w:tcPr>
          <w:p w14:paraId="6159DDE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11</w:t>
            </w:r>
          </w:p>
        </w:tc>
        <w:tc>
          <w:tcPr>
            <w:tcW w:w="342" w:type="pct"/>
          </w:tcPr>
          <w:p w14:paraId="4FA2CF5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3.64</w:t>
            </w:r>
          </w:p>
        </w:tc>
        <w:tc>
          <w:tcPr>
            <w:tcW w:w="327" w:type="pct"/>
          </w:tcPr>
          <w:p w14:paraId="33FA2AE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14</w:t>
            </w:r>
          </w:p>
        </w:tc>
        <w:tc>
          <w:tcPr>
            <w:tcW w:w="342" w:type="pct"/>
          </w:tcPr>
          <w:p w14:paraId="1F4DC7E0"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3.32</w:t>
            </w:r>
          </w:p>
        </w:tc>
        <w:tc>
          <w:tcPr>
            <w:tcW w:w="327" w:type="pct"/>
          </w:tcPr>
          <w:p w14:paraId="05F9A6E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15</w:t>
            </w:r>
          </w:p>
        </w:tc>
        <w:tc>
          <w:tcPr>
            <w:tcW w:w="413" w:type="pct"/>
          </w:tcPr>
          <w:p w14:paraId="5585C80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3.89</w:t>
            </w:r>
          </w:p>
        </w:tc>
        <w:tc>
          <w:tcPr>
            <w:tcW w:w="328" w:type="pct"/>
          </w:tcPr>
          <w:p w14:paraId="0857D75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15</w:t>
            </w:r>
          </w:p>
        </w:tc>
      </w:tr>
      <w:tr w:rsidR="00CD6352" w:rsidRPr="004E59E0" w14:paraId="0D817EA3" w14:textId="77777777" w:rsidTr="001031DF">
        <w:tc>
          <w:tcPr>
            <w:tcW w:w="912" w:type="pct"/>
          </w:tcPr>
          <w:p w14:paraId="3BB6935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Risk and returns</w:t>
            </w:r>
          </w:p>
        </w:tc>
        <w:tc>
          <w:tcPr>
            <w:tcW w:w="342" w:type="pct"/>
          </w:tcPr>
          <w:p w14:paraId="663EB90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2.67</w:t>
            </w:r>
          </w:p>
        </w:tc>
        <w:tc>
          <w:tcPr>
            <w:tcW w:w="327" w:type="pct"/>
          </w:tcPr>
          <w:p w14:paraId="0F4C641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15</w:t>
            </w:r>
          </w:p>
        </w:tc>
        <w:tc>
          <w:tcPr>
            <w:tcW w:w="342" w:type="pct"/>
          </w:tcPr>
          <w:p w14:paraId="00A94C9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3.40</w:t>
            </w:r>
          </w:p>
        </w:tc>
        <w:tc>
          <w:tcPr>
            <w:tcW w:w="327" w:type="pct"/>
          </w:tcPr>
          <w:p w14:paraId="79ECA64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11</w:t>
            </w:r>
          </w:p>
        </w:tc>
        <w:tc>
          <w:tcPr>
            <w:tcW w:w="342" w:type="pct"/>
          </w:tcPr>
          <w:p w14:paraId="06B3048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3.67</w:t>
            </w:r>
          </w:p>
        </w:tc>
        <w:tc>
          <w:tcPr>
            <w:tcW w:w="327" w:type="pct"/>
          </w:tcPr>
          <w:p w14:paraId="1CC25AA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13</w:t>
            </w:r>
          </w:p>
        </w:tc>
        <w:tc>
          <w:tcPr>
            <w:tcW w:w="342" w:type="pct"/>
          </w:tcPr>
          <w:p w14:paraId="671DADA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3.91</w:t>
            </w:r>
          </w:p>
        </w:tc>
        <w:tc>
          <w:tcPr>
            <w:tcW w:w="327" w:type="pct"/>
          </w:tcPr>
          <w:p w14:paraId="789C0E2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11</w:t>
            </w:r>
          </w:p>
        </w:tc>
        <w:tc>
          <w:tcPr>
            <w:tcW w:w="342" w:type="pct"/>
          </w:tcPr>
          <w:p w14:paraId="15D8AFC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3.83</w:t>
            </w:r>
          </w:p>
        </w:tc>
        <w:tc>
          <w:tcPr>
            <w:tcW w:w="327" w:type="pct"/>
          </w:tcPr>
          <w:p w14:paraId="34DB966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12</w:t>
            </w:r>
          </w:p>
        </w:tc>
        <w:tc>
          <w:tcPr>
            <w:tcW w:w="413" w:type="pct"/>
          </w:tcPr>
          <w:p w14:paraId="67257043"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4.11</w:t>
            </w:r>
          </w:p>
        </w:tc>
        <w:tc>
          <w:tcPr>
            <w:tcW w:w="328" w:type="pct"/>
          </w:tcPr>
          <w:p w14:paraId="2250B6C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11</w:t>
            </w:r>
          </w:p>
        </w:tc>
      </w:tr>
      <w:tr w:rsidR="00CD6352" w:rsidRPr="004E59E0" w14:paraId="69B7A67B" w14:textId="77777777" w:rsidTr="001031DF">
        <w:tc>
          <w:tcPr>
            <w:tcW w:w="912" w:type="pct"/>
          </w:tcPr>
          <w:p w14:paraId="3BE3F47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Track records( records of accomplishment</w:t>
            </w:r>
          </w:p>
        </w:tc>
        <w:tc>
          <w:tcPr>
            <w:tcW w:w="342" w:type="pct"/>
          </w:tcPr>
          <w:p w14:paraId="3326CE2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3.67</w:t>
            </w:r>
          </w:p>
        </w:tc>
        <w:tc>
          <w:tcPr>
            <w:tcW w:w="327" w:type="pct"/>
          </w:tcPr>
          <w:p w14:paraId="72C076B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9</w:t>
            </w:r>
          </w:p>
        </w:tc>
        <w:tc>
          <w:tcPr>
            <w:tcW w:w="342" w:type="pct"/>
          </w:tcPr>
          <w:p w14:paraId="5C97AA5D"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3.82</w:t>
            </w:r>
          </w:p>
        </w:tc>
        <w:tc>
          <w:tcPr>
            <w:tcW w:w="327" w:type="pct"/>
          </w:tcPr>
          <w:p w14:paraId="416FA81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8</w:t>
            </w:r>
          </w:p>
        </w:tc>
        <w:tc>
          <w:tcPr>
            <w:tcW w:w="342" w:type="pct"/>
          </w:tcPr>
          <w:p w14:paraId="739099A6"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4.40</w:t>
            </w:r>
          </w:p>
        </w:tc>
        <w:tc>
          <w:tcPr>
            <w:tcW w:w="327" w:type="pct"/>
          </w:tcPr>
          <w:p w14:paraId="0D637BF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w:t>
            </w:r>
          </w:p>
        </w:tc>
        <w:tc>
          <w:tcPr>
            <w:tcW w:w="342" w:type="pct"/>
          </w:tcPr>
          <w:p w14:paraId="3C9702D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4.36</w:t>
            </w:r>
          </w:p>
        </w:tc>
        <w:tc>
          <w:tcPr>
            <w:tcW w:w="327" w:type="pct"/>
          </w:tcPr>
          <w:p w14:paraId="08553C6A"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w:t>
            </w:r>
          </w:p>
        </w:tc>
        <w:tc>
          <w:tcPr>
            <w:tcW w:w="342" w:type="pct"/>
          </w:tcPr>
          <w:p w14:paraId="48FB727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3.91</w:t>
            </w:r>
          </w:p>
        </w:tc>
        <w:tc>
          <w:tcPr>
            <w:tcW w:w="327" w:type="pct"/>
          </w:tcPr>
          <w:p w14:paraId="716335C4"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10</w:t>
            </w:r>
          </w:p>
        </w:tc>
        <w:tc>
          <w:tcPr>
            <w:tcW w:w="413" w:type="pct"/>
          </w:tcPr>
          <w:p w14:paraId="061287AF"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4.56</w:t>
            </w:r>
          </w:p>
        </w:tc>
        <w:tc>
          <w:tcPr>
            <w:tcW w:w="328" w:type="pct"/>
          </w:tcPr>
          <w:p w14:paraId="0FEBF23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6</w:t>
            </w:r>
          </w:p>
        </w:tc>
      </w:tr>
      <w:tr w:rsidR="00CD6352" w:rsidRPr="004E59E0" w14:paraId="56DA09A4" w14:textId="77777777" w:rsidTr="001031DF">
        <w:tc>
          <w:tcPr>
            <w:tcW w:w="912" w:type="pct"/>
          </w:tcPr>
          <w:p w14:paraId="457AA49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Usage of hedging instruments</w:t>
            </w:r>
          </w:p>
        </w:tc>
        <w:tc>
          <w:tcPr>
            <w:tcW w:w="342" w:type="pct"/>
          </w:tcPr>
          <w:p w14:paraId="0D09CC0B"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2.67</w:t>
            </w:r>
          </w:p>
        </w:tc>
        <w:tc>
          <w:tcPr>
            <w:tcW w:w="327" w:type="pct"/>
          </w:tcPr>
          <w:p w14:paraId="4BE56D8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16</w:t>
            </w:r>
          </w:p>
        </w:tc>
        <w:tc>
          <w:tcPr>
            <w:tcW w:w="342" w:type="pct"/>
          </w:tcPr>
          <w:p w14:paraId="3BA7C257"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3.09</w:t>
            </w:r>
          </w:p>
        </w:tc>
        <w:tc>
          <w:tcPr>
            <w:tcW w:w="327" w:type="pct"/>
          </w:tcPr>
          <w:p w14:paraId="2DD74578"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16</w:t>
            </w:r>
          </w:p>
        </w:tc>
        <w:tc>
          <w:tcPr>
            <w:tcW w:w="342" w:type="pct"/>
          </w:tcPr>
          <w:p w14:paraId="3690D979"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3.00</w:t>
            </w:r>
          </w:p>
        </w:tc>
        <w:tc>
          <w:tcPr>
            <w:tcW w:w="327" w:type="pct"/>
          </w:tcPr>
          <w:p w14:paraId="6DF3B85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16</w:t>
            </w:r>
          </w:p>
        </w:tc>
        <w:tc>
          <w:tcPr>
            <w:tcW w:w="342" w:type="pct"/>
          </w:tcPr>
          <w:p w14:paraId="39F4DDF1"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2.91</w:t>
            </w:r>
          </w:p>
        </w:tc>
        <w:tc>
          <w:tcPr>
            <w:tcW w:w="327" w:type="pct"/>
          </w:tcPr>
          <w:p w14:paraId="01F340B2"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16</w:t>
            </w:r>
          </w:p>
        </w:tc>
        <w:tc>
          <w:tcPr>
            <w:tcW w:w="342" w:type="pct"/>
          </w:tcPr>
          <w:p w14:paraId="6C058D7B"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3.35</w:t>
            </w:r>
          </w:p>
        </w:tc>
        <w:tc>
          <w:tcPr>
            <w:tcW w:w="327" w:type="pct"/>
          </w:tcPr>
          <w:p w14:paraId="2C1196F5"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16</w:t>
            </w:r>
          </w:p>
        </w:tc>
        <w:tc>
          <w:tcPr>
            <w:tcW w:w="413" w:type="pct"/>
          </w:tcPr>
          <w:p w14:paraId="39D8F55E"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3.11</w:t>
            </w:r>
          </w:p>
        </w:tc>
        <w:tc>
          <w:tcPr>
            <w:tcW w:w="328" w:type="pct"/>
          </w:tcPr>
          <w:p w14:paraId="5349F21C" w14:textId="77777777" w:rsidR="00CD6352" w:rsidRPr="004E59E0" w:rsidRDefault="00CD6352" w:rsidP="00CD6352">
            <w:pPr>
              <w:jc w:val="both"/>
              <w:rPr>
                <w:rFonts w:ascii="Arial" w:eastAsia="Calibri" w:hAnsi="Arial" w:cs="Arial"/>
                <w:sz w:val="16"/>
                <w:szCs w:val="16"/>
              </w:rPr>
            </w:pPr>
            <w:r w:rsidRPr="004E59E0">
              <w:rPr>
                <w:rFonts w:ascii="Arial" w:eastAsia="Calibri" w:hAnsi="Arial" w:cs="Arial"/>
                <w:sz w:val="16"/>
                <w:szCs w:val="16"/>
              </w:rPr>
              <w:t>16</w:t>
            </w:r>
          </w:p>
        </w:tc>
      </w:tr>
    </w:tbl>
    <w:p w14:paraId="05B0C0E2" w14:textId="77777777" w:rsidR="00CD6352" w:rsidRPr="004E59E0" w:rsidRDefault="00CD6352" w:rsidP="00CD6352">
      <w:pPr>
        <w:spacing w:line="360" w:lineRule="auto"/>
        <w:jc w:val="both"/>
        <w:rPr>
          <w:rFonts w:ascii="Arial" w:eastAsia="Calibri" w:hAnsi="Arial" w:cs="Arial"/>
          <w:sz w:val="16"/>
          <w:szCs w:val="16"/>
        </w:rPr>
      </w:pPr>
      <w:r w:rsidRPr="004E59E0">
        <w:rPr>
          <w:rFonts w:ascii="Arial" w:eastAsia="Calibri" w:hAnsi="Arial" w:cs="Arial"/>
          <w:sz w:val="16"/>
          <w:szCs w:val="16"/>
        </w:rPr>
        <w:lastRenderedPageBreak/>
        <w:t>1 (Never requested), 2 (Rarely requested), 3(Sometimes requested), 4 (Often requested), 5 (Always requested).</w:t>
      </w:r>
    </w:p>
    <w:p w14:paraId="68E44B95" w14:textId="6C56C8D9" w:rsidR="00CD6352" w:rsidRPr="00EA7665" w:rsidRDefault="00CD6352" w:rsidP="00CD6352">
      <w:pPr>
        <w:spacing w:line="360" w:lineRule="auto"/>
        <w:rPr>
          <w:rFonts w:ascii="Arial" w:hAnsi="Arial" w:cs="Arial"/>
        </w:rPr>
      </w:pPr>
      <w:r w:rsidRPr="00EA7665">
        <w:rPr>
          <w:rFonts w:ascii="Arial" w:hAnsi="Arial" w:cs="Arial"/>
        </w:rPr>
        <w:t xml:space="preserve">An inspection of </w:t>
      </w:r>
      <w:r w:rsidR="004E59E0">
        <w:rPr>
          <w:rFonts w:ascii="Arial" w:hAnsi="Arial" w:cs="Arial"/>
        </w:rPr>
        <w:t>T</w:t>
      </w:r>
      <w:r w:rsidRPr="00EA7665">
        <w:rPr>
          <w:rFonts w:ascii="Arial" w:hAnsi="Arial" w:cs="Arial"/>
        </w:rPr>
        <w:t>able 5.</w:t>
      </w:r>
      <w:r w:rsidR="004E59E0">
        <w:rPr>
          <w:rFonts w:ascii="Arial" w:hAnsi="Arial" w:cs="Arial"/>
        </w:rPr>
        <w:t>3.3</w:t>
      </w:r>
      <w:r w:rsidRPr="00EA7665">
        <w:rPr>
          <w:rFonts w:ascii="Arial" w:hAnsi="Arial" w:cs="Arial"/>
        </w:rPr>
        <w:t xml:space="preserve"> reveals that the top five criteria requested for real estate project development finance in the three developed and emerging economies</w:t>
      </w:r>
      <w:r w:rsidR="00A3658F">
        <w:rPr>
          <w:rFonts w:ascii="Arial" w:hAnsi="Arial" w:cs="Arial"/>
        </w:rPr>
        <w:t>,</w:t>
      </w:r>
      <w:r w:rsidRPr="00EA7665">
        <w:rPr>
          <w:rFonts w:ascii="Arial" w:hAnsi="Arial" w:cs="Arial"/>
        </w:rPr>
        <w:t xml:space="preserve"> respectively</w:t>
      </w:r>
      <w:r w:rsidR="00200564">
        <w:rPr>
          <w:rFonts w:ascii="Arial" w:hAnsi="Arial" w:cs="Arial"/>
        </w:rPr>
        <w:t>,</w:t>
      </w:r>
      <w:r w:rsidRPr="00EA7665">
        <w:rPr>
          <w:rFonts w:ascii="Arial" w:hAnsi="Arial" w:cs="Arial"/>
        </w:rPr>
        <w:t xml:space="preserve"> </w:t>
      </w:r>
      <w:r w:rsidR="00A3658F">
        <w:rPr>
          <w:rFonts w:ascii="Arial" w:hAnsi="Arial" w:cs="Arial"/>
        </w:rPr>
        <w:t>are</w:t>
      </w:r>
      <w:r w:rsidRPr="00EA7665">
        <w:rPr>
          <w:rFonts w:ascii="Arial" w:hAnsi="Arial" w:cs="Arial"/>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428"/>
        <w:gridCol w:w="1343"/>
        <w:gridCol w:w="2827"/>
      </w:tblGrid>
      <w:tr w:rsidR="004E59E0" w:rsidRPr="00EA7665" w14:paraId="4D7BA795" w14:textId="77777777" w:rsidTr="004E59E0">
        <w:tc>
          <w:tcPr>
            <w:tcW w:w="2428" w:type="dxa"/>
          </w:tcPr>
          <w:p w14:paraId="193476C9" w14:textId="77777777" w:rsidR="004E59E0" w:rsidRPr="004E59E0" w:rsidRDefault="004E59E0" w:rsidP="00CD6352">
            <w:pPr>
              <w:spacing w:line="360" w:lineRule="auto"/>
              <w:rPr>
                <w:rFonts w:ascii="Arial" w:hAnsi="Arial" w:cs="Arial"/>
                <w:b/>
                <w:bCs/>
                <w:sz w:val="16"/>
                <w:szCs w:val="16"/>
              </w:rPr>
            </w:pPr>
            <w:r w:rsidRPr="004E59E0">
              <w:rPr>
                <w:rFonts w:ascii="Arial" w:hAnsi="Arial" w:cs="Arial"/>
                <w:b/>
                <w:bCs/>
                <w:sz w:val="16"/>
                <w:szCs w:val="16"/>
              </w:rPr>
              <w:t>Germany:</w:t>
            </w:r>
          </w:p>
          <w:p w14:paraId="0CBDC6D4" w14:textId="77777777" w:rsidR="004E59E0" w:rsidRPr="00EA7665" w:rsidRDefault="004E59E0" w:rsidP="00C74AEC">
            <w:pPr>
              <w:pStyle w:val="ListParagraph"/>
              <w:numPr>
                <w:ilvl w:val="0"/>
                <w:numId w:val="113"/>
              </w:numPr>
              <w:spacing w:after="0" w:line="360" w:lineRule="auto"/>
              <w:rPr>
                <w:rFonts w:ascii="Arial" w:hAnsi="Arial" w:cs="Arial"/>
                <w:sz w:val="16"/>
                <w:szCs w:val="16"/>
              </w:rPr>
            </w:pPr>
            <w:r w:rsidRPr="00EA7665">
              <w:rPr>
                <w:rFonts w:ascii="Arial" w:eastAsia="Calibri" w:hAnsi="Arial" w:cs="Arial"/>
                <w:sz w:val="16"/>
                <w:szCs w:val="16"/>
              </w:rPr>
              <w:t>Necessary permits &amp; site clearance</w:t>
            </w:r>
          </w:p>
          <w:p w14:paraId="67816344" w14:textId="77777777" w:rsidR="004E59E0" w:rsidRPr="00EA7665" w:rsidRDefault="004E59E0" w:rsidP="00C74AEC">
            <w:pPr>
              <w:pStyle w:val="ListParagraph"/>
              <w:numPr>
                <w:ilvl w:val="0"/>
                <w:numId w:val="113"/>
              </w:numPr>
              <w:spacing w:after="0" w:line="360" w:lineRule="auto"/>
              <w:rPr>
                <w:rFonts w:ascii="Arial" w:hAnsi="Arial" w:cs="Arial"/>
                <w:sz w:val="16"/>
                <w:szCs w:val="16"/>
              </w:rPr>
            </w:pPr>
            <w:r w:rsidRPr="00EA7665">
              <w:rPr>
                <w:rFonts w:ascii="Arial" w:eastAsia="Calibri" w:hAnsi="Arial" w:cs="Arial"/>
                <w:sz w:val="16"/>
                <w:szCs w:val="16"/>
              </w:rPr>
              <w:t>Cash flow</w:t>
            </w:r>
          </w:p>
          <w:p w14:paraId="69CA2701" w14:textId="77777777" w:rsidR="004E59E0" w:rsidRPr="00EA7665" w:rsidRDefault="004E59E0" w:rsidP="00C74AEC">
            <w:pPr>
              <w:pStyle w:val="ListParagraph"/>
              <w:numPr>
                <w:ilvl w:val="0"/>
                <w:numId w:val="113"/>
              </w:numPr>
              <w:spacing w:after="0" w:line="360" w:lineRule="auto"/>
              <w:rPr>
                <w:rFonts w:ascii="Arial" w:hAnsi="Arial" w:cs="Arial"/>
                <w:sz w:val="16"/>
                <w:szCs w:val="16"/>
              </w:rPr>
            </w:pPr>
            <w:r w:rsidRPr="00EA7665">
              <w:rPr>
                <w:rFonts w:ascii="Arial" w:eastAsia="Calibri" w:hAnsi="Arial" w:cs="Arial"/>
                <w:sz w:val="16"/>
                <w:szCs w:val="16"/>
              </w:rPr>
              <w:t>Details of the proposed project</w:t>
            </w:r>
          </w:p>
          <w:p w14:paraId="0B474282" w14:textId="77777777" w:rsidR="004E59E0" w:rsidRPr="00EA7665" w:rsidRDefault="004E59E0" w:rsidP="00C74AEC">
            <w:pPr>
              <w:pStyle w:val="ListParagraph"/>
              <w:numPr>
                <w:ilvl w:val="0"/>
                <w:numId w:val="113"/>
              </w:numPr>
              <w:spacing w:after="0" w:line="360" w:lineRule="auto"/>
              <w:rPr>
                <w:rFonts w:ascii="Arial" w:hAnsi="Arial" w:cs="Arial"/>
                <w:sz w:val="16"/>
                <w:szCs w:val="16"/>
              </w:rPr>
            </w:pPr>
            <w:r w:rsidRPr="00EA7665">
              <w:rPr>
                <w:rFonts w:ascii="Arial" w:eastAsia="Calibri" w:hAnsi="Arial" w:cs="Arial"/>
                <w:sz w:val="16"/>
                <w:szCs w:val="16"/>
              </w:rPr>
              <w:t>Due diligence</w:t>
            </w:r>
          </w:p>
          <w:p w14:paraId="47CF3358" w14:textId="77777777" w:rsidR="004E59E0" w:rsidRPr="00EA7665" w:rsidRDefault="004E59E0" w:rsidP="00C74AEC">
            <w:pPr>
              <w:pStyle w:val="ListParagraph"/>
              <w:numPr>
                <w:ilvl w:val="0"/>
                <w:numId w:val="113"/>
              </w:numPr>
              <w:spacing w:after="0" w:line="360" w:lineRule="auto"/>
              <w:rPr>
                <w:rFonts w:ascii="Arial" w:hAnsi="Arial" w:cs="Arial"/>
                <w:sz w:val="16"/>
                <w:szCs w:val="16"/>
              </w:rPr>
            </w:pPr>
            <w:r w:rsidRPr="00EA7665">
              <w:rPr>
                <w:rFonts w:ascii="Arial" w:eastAsia="Calibri" w:hAnsi="Arial" w:cs="Arial"/>
                <w:sz w:val="16"/>
                <w:szCs w:val="16"/>
              </w:rPr>
              <w:t>Feasibility report(</w:t>
            </w:r>
          </w:p>
        </w:tc>
        <w:tc>
          <w:tcPr>
            <w:tcW w:w="2428" w:type="dxa"/>
          </w:tcPr>
          <w:p w14:paraId="72F180B2" w14:textId="77777777" w:rsidR="004E59E0" w:rsidRPr="004E59E0" w:rsidRDefault="004E59E0" w:rsidP="00CD6352">
            <w:pPr>
              <w:spacing w:line="360" w:lineRule="auto"/>
              <w:rPr>
                <w:rFonts w:ascii="Arial" w:hAnsi="Arial" w:cs="Arial"/>
                <w:b/>
                <w:bCs/>
                <w:sz w:val="16"/>
                <w:szCs w:val="16"/>
              </w:rPr>
            </w:pPr>
            <w:r w:rsidRPr="004E59E0">
              <w:rPr>
                <w:rFonts w:ascii="Arial" w:hAnsi="Arial" w:cs="Arial"/>
                <w:b/>
                <w:bCs/>
                <w:sz w:val="16"/>
                <w:szCs w:val="16"/>
              </w:rPr>
              <w:t>UK:</w:t>
            </w:r>
          </w:p>
          <w:p w14:paraId="35E322AD" w14:textId="77777777" w:rsidR="004E59E0" w:rsidRPr="00EA7665" w:rsidRDefault="004E59E0" w:rsidP="00C74AEC">
            <w:pPr>
              <w:pStyle w:val="ListParagraph"/>
              <w:numPr>
                <w:ilvl w:val="0"/>
                <w:numId w:val="114"/>
              </w:numPr>
              <w:spacing w:after="0" w:line="360" w:lineRule="auto"/>
              <w:rPr>
                <w:rFonts w:ascii="Arial" w:hAnsi="Arial" w:cs="Arial"/>
                <w:sz w:val="16"/>
                <w:szCs w:val="16"/>
              </w:rPr>
            </w:pPr>
            <w:r w:rsidRPr="00EA7665">
              <w:rPr>
                <w:rFonts w:ascii="Arial" w:eastAsia="Calibri" w:hAnsi="Arial" w:cs="Arial"/>
                <w:sz w:val="16"/>
                <w:szCs w:val="16"/>
              </w:rPr>
              <w:t>Feasibility report</w:t>
            </w:r>
          </w:p>
          <w:p w14:paraId="65B623FB" w14:textId="77777777" w:rsidR="004E59E0" w:rsidRPr="00EA7665" w:rsidRDefault="004E59E0" w:rsidP="00C74AEC">
            <w:pPr>
              <w:pStyle w:val="ListParagraph"/>
              <w:numPr>
                <w:ilvl w:val="0"/>
                <w:numId w:val="114"/>
              </w:numPr>
              <w:spacing w:after="0" w:line="360" w:lineRule="auto"/>
              <w:rPr>
                <w:rFonts w:ascii="Arial" w:hAnsi="Arial" w:cs="Arial"/>
                <w:sz w:val="16"/>
                <w:szCs w:val="16"/>
              </w:rPr>
            </w:pPr>
            <w:r w:rsidRPr="00EA7665">
              <w:rPr>
                <w:rFonts w:ascii="Arial" w:eastAsia="Calibri" w:hAnsi="Arial" w:cs="Arial"/>
                <w:sz w:val="16"/>
                <w:szCs w:val="16"/>
              </w:rPr>
              <w:t>Details of the proposed project</w:t>
            </w:r>
          </w:p>
          <w:p w14:paraId="178F4BEC" w14:textId="2009B21F" w:rsidR="004E59E0" w:rsidRPr="00EA7665" w:rsidRDefault="004E59E0" w:rsidP="00C74AEC">
            <w:pPr>
              <w:pStyle w:val="ListParagraph"/>
              <w:numPr>
                <w:ilvl w:val="0"/>
                <w:numId w:val="114"/>
              </w:numPr>
              <w:spacing w:after="0" w:line="360" w:lineRule="auto"/>
              <w:rPr>
                <w:rFonts w:ascii="Arial" w:hAnsi="Arial" w:cs="Arial"/>
                <w:sz w:val="16"/>
                <w:szCs w:val="16"/>
              </w:rPr>
            </w:pPr>
            <w:r w:rsidRPr="00EA7665">
              <w:rPr>
                <w:rFonts w:ascii="Arial" w:eastAsia="Calibri" w:hAnsi="Arial" w:cs="Arial"/>
                <w:sz w:val="16"/>
                <w:szCs w:val="16"/>
              </w:rPr>
              <w:t>Contractual documentation on land acquisition</w:t>
            </w:r>
            <w:r>
              <w:rPr>
                <w:rFonts w:ascii="Arial" w:eastAsia="Calibri" w:hAnsi="Arial" w:cs="Arial"/>
                <w:sz w:val="16"/>
                <w:szCs w:val="16"/>
              </w:rPr>
              <w:t>/</w:t>
            </w:r>
            <w:r w:rsidRPr="00EA7665">
              <w:rPr>
                <w:rFonts w:ascii="Arial" w:eastAsia="Calibri" w:hAnsi="Arial" w:cs="Arial"/>
                <w:sz w:val="16"/>
                <w:szCs w:val="16"/>
              </w:rPr>
              <w:t>land title</w:t>
            </w:r>
          </w:p>
          <w:p w14:paraId="6F605A3F" w14:textId="77777777" w:rsidR="004E59E0" w:rsidRPr="00EA7665" w:rsidRDefault="004E59E0" w:rsidP="00C74AEC">
            <w:pPr>
              <w:pStyle w:val="ListParagraph"/>
              <w:numPr>
                <w:ilvl w:val="0"/>
                <w:numId w:val="114"/>
              </w:numPr>
              <w:spacing w:after="0" w:line="360" w:lineRule="auto"/>
              <w:rPr>
                <w:rFonts w:ascii="Arial" w:hAnsi="Arial" w:cs="Arial"/>
                <w:sz w:val="16"/>
                <w:szCs w:val="16"/>
              </w:rPr>
            </w:pPr>
            <w:r w:rsidRPr="00EA7665">
              <w:rPr>
                <w:rFonts w:ascii="Arial" w:hAnsi="Arial" w:cs="Arial"/>
                <w:sz w:val="16"/>
                <w:szCs w:val="16"/>
              </w:rPr>
              <w:t>Loan agreement</w:t>
            </w:r>
          </w:p>
          <w:p w14:paraId="5E7327F5" w14:textId="77777777" w:rsidR="004E59E0" w:rsidRPr="00EA7665" w:rsidRDefault="004E59E0" w:rsidP="00C74AEC">
            <w:pPr>
              <w:pStyle w:val="ListParagraph"/>
              <w:numPr>
                <w:ilvl w:val="0"/>
                <w:numId w:val="114"/>
              </w:numPr>
              <w:spacing w:after="0" w:line="360" w:lineRule="auto"/>
              <w:rPr>
                <w:rFonts w:ascii="Arial" w:hAnsi="Arial" w:cs="Arial"/>
                <w:sz w:val="16"/>
                <w:szCs w:val="16"/>
              </w:rPr>
            </w:pPr>
            <w:r w:rsidRPr="00EA7665">
              <w:rPr>
                <w:rFonts w:ascii="Arial" w:eastAsia="Calibri" w:hAnsi="Arial" w:cs="Arial"/>
                <w:sz w:val="16"/>
                <w:szCs w:val="16"/>
              </w:rPr>
              <w:t>Due diligence</w:t>
            </w:r>
          </w:p>
        </w:tc>
        <w:tc>
          <w:tcPr>
            <w:tcW w:w="1343" w:type="dxa"/>
          </w:tcPr>
          <w:p w14:paraId="15A41024" w14:textId="77777777" w:rsidR="004E59E0" w:rsidRPr="00EA7665" w:rsidRDefault="004E59E0" w:rsidP="00CD6352">
            <w:pPr>
              <w:spacing w:line="360" w:lineRule="auto"/>
              <w:rPr>
                <w:rFonts w:ascii="Arial" w:hAnsi="Arial" w:cs="Arial"/>
                <w:sz w:val="16"/>
                <w:szCs w:val="16"/>
              </w:rPr>
            </w:pPr>
          </w:p>
        </w:tc>
        <w:tc>
          <w:tcPr>
            <w:tcW w:w="2827" w:type="dxa"/>
          </w:tcPr>
          <w:p w14:paraId="02D0D2A0" w14:textId="79D5AEE9" w:rsidR="004E59E0" w:rsidRPr="004E59E0" w:rsidRDefault="004E59E0" w:rsidP="00CD6352">
            <w:pPr>
              <w:spacing w:line="360" w:lineRule="auto"/>
              <w:rPr>
                <w:rFonts w:ascii="Arial" w:hAnsi="Arial" w:cs="Arial"/>
                <w:b/>
                <w:bCs/>
                <w:sz w:val="16"/>
                <w:szCs w:val="16"/>
              </w:rPr>
            </w:pPr>
            <w:r w:rsidRPr="004E59E0">
              <w:rPr>
                <w:rFonts w:ascii="Arial" w:hAnsi="Arial" w:cs="Arial"/>
                <w:b/>
                <w:bCs/>
                <w:sz w:val="16"/>
                <w:szCs w:val="16"/>
              </w:rPr>
              <w:t>US:</w:t>
            </w:r>
          </w:p>
          <w:p w14:paraId="202CF7D4" w14:textId="77777777" w:rsidR="004E59E0" w:rsidRPr="00EA7665" w:rsidRDefault="004E59E0" w:rsidP="00C74AEC">
            <w:pPr>
              <w:pStyle w:val="ListParagraph"/>
              <w:numPr>
                <w:ilvl w:val="0"/>
                <w:numId w:val="115"/>
              </w:numPr>
              <w:spacing w:after="0" w:line="360" w:lineRule="auto"/>
              <w:rPr>
                <w:rFonts w:ascii="Arial" w:hAnsi="Arial" w:cs="Arial"/>
                <w:sz w:val="16"/>
                <w:szCs w:val="16"/>
              </w:rPr>
            </w:pPr>
            <w:r w:rsidRPr="00EA7665">
              <w:rPr>
                <w:rFonts w:ascii="Arial" w:eastAsia="Calibri" w:hAnsi="Arial" w:cs="Arial"/>
                <w:sz w:val="16"/>
                <w:szCs w:val="16"/>
              </w:rPr>
              <w:t>Necessary permits &amp; site clearance</w:t>
            </w:r>
          </w:p>
          <w:p w14:paraId="782C403A" w14:textId="77777777" w:rsidR="004E59E0" w:rsidRPr="00EA7665" w:rsidRDefault="004E59E0" w:rsidP="00C74AEC">
            <w:pPr>
              <w:pStyle w:val="ListParagraph"/>
              <w:numPr>
                <w:ilvl w:val="0"/>
                <w:numId w:val="115"/>
              </w:numPr>
              <w:spacing w:after="0" w:line="360" w:lineRule="auto"/>
              <w:rPr>
                <w:rFonts w:ascii="Arial" w:hAnsi="Arial" w:cs="Arial"/>
                <w:sz w:val="16"/>
                <w:szCs w:val="16"/>
              </w:rPr>
            </w:pPr>
            <w:r w:rsidRPr="00EA7665">
              <w:rPr>
                <w:rFonts w:ascii="Arial" w:eastAsia="Calibri" w:hAnsi="Arial" w:cs="Arial"/>
                <w:sz w:val="16"/>
                <w:szCs w:val="16"/>
              </w:rPr>
              <w:t>Feasibility report</w:t>
            </w:r>
          </w:p>
          <w:p w14:paraId="54A8FB76" w14:textId="217B9F1C" w:rsidR="004E59E0" w:rsidRPr="00EA7665" w:rsidRDefault="004E59E0" w:rsidP="00C74AEC">
            <w:pPr>
              <w:pStyle w:val="ListParagraph"/>
              <w:numPr>
                <w:ilvl w:val="0"/>
                <w:numId w:val="115"/>
              </w:numPr>
              <w:spacing w:after="0" w:line="360" w:lineRule="auto"/>
              <w:rPr>
                <w:rFonts w:ascii="Arial" w:hAnsi="Arial" w:cs="Arial"/>
                <w:sz w:val="16"/>
                <w:szCs w:val="16"/>
              </w:rPr>
            </w:pPr>
            <w:r w:rsidRPr="00EA7665">
              <w:rPr>
                <w:rFonts w:ascii="Arial" w:eastAsia="Calibri" w:hAnsi="Arial" w:cs="Arial"/>
                <w:sz w:val="16"/>
                <w:szCs w:val="16"/>
              </w:rPr>
              <w:t>Management capabilities</w:t>
            </w:r>
            <w:r>
              <w:rPr>
                <w:rFonts w:ascii="Arial" w:eastAsia="Calibri" w:hAnsi="Arial" w:cs="Arial"/>
                <w:sz w:val="16"/>
                <w:szCs w:val="16"/>
              </w:rPr>
              <w:t>/</w:t>
            </w:r>
            <w:r w:rsidRPr="00EA7665">
              <w:rPr>
                <w:rFonts w:ascii="Arial" w:eastAsia="Calibri" w:hAnsi="Arial" w:cs="Arial"/>
                <w:sz w:val="16"/>
                <w:szCs w:val="16"/>
              </w:rPr>
              <w:t>management profile</w:t>
            </w:r>
          </w:p>
          <w:p w14:paraId="71C3CA96" w14:textId="77777777" w:rsidR="004E59E0" w:rsidRPr="00EA7665" w:rsidRDefault="004E59E0" w:rsidP="00C74AEC">
            <w:pPr>
              <w:pStyle w:val="ListParagraph"/>
              <w:numPr>
                <w:ilvl w:val="0"/>
                <w:numId w:val="115"/>
              </w:numPr>
              <w:spacing w:after="0" w:line="360" w:lineRule="auto"/>
              <w:rPr>
                <w:rFonts w:ascii="Arial" w:hAnsi="Arial" w:cs="Arial"/>
                <w:sz w:val="16"/>
                <w:szCs w:val="16"/>
              </w:rPr>
            </w:pPr>
            <w:r w:rsidRPr="00EA7665">
              <w:rPr>
                <w:rFonts w:ascii="Arial" w:eastAsia="Calibri" w:hAnsi="Arial" w:cs="Arial"/>
                <w:sz w:val="16"/>
                <w:szCs w:val="16"/>
              </w:rPr>
              <w:t>Track records</w:t>
            </w:r>
          </w:p>
          <w:p w14:paraId="7F3FCBD5" w14:textId="77777777" w:rsidR="004E59E0" w:rsidRPr="00EA7665" w:rsidRDefault="004E59E0" w:rsidP="00C74AEC">
            <w:pPr>
              <w:pStyle w:val="ListParagraph"/>
              <w:numPr>
                <w:ilvl w:val="0"/>
                <w:numId w:val="115"/>
              </w:numPr>
              <w:spacing w:after="0" w:line="360" w:lineRule="auto"/>
              <w:rPr>
                <w:rFonts w:ascii="Arial" w:hAnsi="Arial" w:cs="Arial"/>
                <w:sz w:val="16"/>
                <w:szCs w:val="16"/>
              </w:rPr>
            </w:pPr>
            <w:r w:rsidRPr="00EA7665">
              <w:rPr>
                <w:rFonts w:ascii="Arial" w:eastAsia="Calibri" w:hAnsi="Arial" w:cs="Arial"/>
                <w:sz w:val="16"/>
                <w:szCs w:val="16"/>
              </w:rPr>
              <w:t>Cash flow</w:t>
            </w:r>
          </w:p>
        </w:tc>
      </w:tr>
      <w:tr w:rsidR="004E59E0" w:rsidRPr="00EA7665" w14:paraId="7698A901" w14:textId="77777777" w:rsidTr="004E59E0">
        <w:tc>
          <w:tcPr>
            <w:tcW w:w="2428" w:type="dxa"/>
          </w:tcPr>
          <w:p w14:paraId="1BD8ED0D" w14:textId="77777777" w:rsidR="004E59E0" w:rsidRPr="004E59E0" w:rsidRDefault="004E59E0" w:rsidP="00CD6352">
            <w:pPr>
              <w:spacing w:line="360" w:lineRule="auto"/>
              <w:rPr>
                <w:rFonts w:ascii="Arial" w:hAnsi="Arial" w:cs="Arial"/>
                <w:b/>
                <w:bCs/>
                <w:sz w:val="16"/>
                <w:szCs w:val="16"/>
              </w:rPr>
            </w:pPr>
            <w:r w:rsidRPr="004E59E0">
              <w:rPr>
                <w:rFonts w:ascii="Arial" w:hAnsi="Arial" w:cs="Arial"/>
                <w:b/>
                <w:bCs/>
                <w:sz w:val="16"/>
                <w:szCs w:val="16"/>
              </w:rPr>
              <w:t>China :</w:t>
            </w:r>
          </w:p>
          <w:p w14:paraId="6C0AD11B" w14:textId="77777777" w:rsidR="004E59E0" w:rsidRPr="00EA7665" w:rsidRDefault="004E59E0" w:rsidP="00C74AEC">
            <w:pPr>
              <w:pStyle w:val="ListParagraph"/>
              <w:numPr>
                <w:ilvl w:val="0"/>
                <w:numId w:val="116"/>
              </w:numPr>
              <w:spacing w:after="0" w:line="360" w:lineRule="auto"/>
              <w:rPr>
                <w:rFonts w:ascii="Arial" w:hAnsi="Arial" w:cs="Arial"/>
                <w:sz w:val="16"/>
                <w:szCs w:val="16"/>
              </w:rPr>
            </w:pPr>
            <w:r w:rsidRPr="00EA7665">
              <w:rPr>
                <w:rFonts w:ascii="Arial" w:eastAsia="Calibri" w:hAnsi="Arial" w:cs="Arial"/>
                <w:sz w:val="16"/>
                <w:szCs w:val="16"/>
              </w:rPr>
              <w:t>Details of the proposed project</w:t>
            </w:r>
          </w:p>
          <w:p w14:paraId="7604DA4A" w14:textId="77777777" w:rsidR="004E59E0" w:rsidRPr="00EA7665" w:rsidRDefault="004E59E0" w:rsidP="00C74AEC">
            <w:pPr>
              <w:pStyle w:val="ListParagraph"/>
              <w:numPr>
                <w:ilvl w:val="0"/>
                <w:numId w:val="116"/>
              </w:numPr>
              <w:spacing w:after="0" w:line="360" w:lineRule="auto"/>
              <w:rPr>
                <w:rFonts w:ascii="Arial" w:hAnsi="Arial" w:cs="Arial"/>
                <w:sz w:val="16"/>
                <w:szCs w:val="16"/>
              </w:rPr>
            </w:pPr>
            <w:r w:rsidRPr="00EA7665">
              <w:rPr>
                <w:rFonts w:ascii="Arial" w:hAnsi="Arial" w:cs="Arial"/>
                <w:sz w:val="16"/>
                <w:szCs w:val="16"/>
              </w:rPr>
              <w:t>Due diligence</w:t>
            </w:r>
          </w:p>
          <w:p w14:paraId="33372EDD" w14:textId="77777777" w:rsidR="004E59E0" w:rsidRPr="00EA7665" w:rsidRDefault="004E59E0" w:rsidP="00C74AEC">
            <w:pPr>
              <w:pStyle w:val="ListParagraph"/>
              <w:numPr>
                <w:ilvl w:val="0"/>
                <w:numId w:val="116"/>
              </w:numPr>
              <w:spacing w:after="0" w:line="360" w:lineRule="auto"/>
              <w:rPr>
                <w:rFonts w:ascii="Arial" w:hAnsi="Arial" w:cs="Arial"/>
                <w:sz w:val="16"/>
                <w:szCs w:val="16"/>
              </w:rPr>
            </w:pPr>
            <w:r w:rsidRPr="00EA7665">
              <w:rPr>
                <w:rFonts w:ascii="Arial" w:eastAsia="Calibri" w:hAnsi="Arial" w:cs="Arial"/>
                <w:sz w:val="16"/>
                <w:szCs w:val="16"/>
              </w:rPr>
              <w:t>Track records</w:t>
            </w:r>
          </w:p>
          <w:p w14:paraId="670D9000" w14:textId="0429AC60" w:rsidR="004E59E0" w:rsidRPr="00EA7665" w:rsidRDefault="004E59E0" w:rsidP="00C74AEC">
            <w:pPr>
              <w:pStyle w:val="ListParagraph"/>
              <w:numPr>
                <w:ilvl w:val="0"/>
                <w:numId w:val="116"/>
              </w:numPr>
              <w:spacing w:after="0" w:line="360" w:lineRule="auto"/>
              <w:rPr>
                <w:rFonts w:ascii="Arial" w:hAnsi="Arial" w:cs="Arial"/>
                <w:sz w:val="16"/>
                <w:szCs w:val="16"/>
              </w:rPr>
            </w:pPr>
            <w:r w:rsidRPr="00EA7665">
              <w:rPr>
                <w:rFonts w:ascii="Arial" w:eastAsia="Calibri" w:hAnsi="Arial" w:cs="Arial"/>
                <w:sz w:val="16"/>
                <w:szCs w:val="16"/>
              </w:rPr>
              <w:t>Contractual documentation on land acquisition</w:t>
            </w:r>
            <w:r>
              <w:rPr>
                <w:rFonts w:ascii="Arial" w:eastAsia="Calibri" w:hAnsi="Arial" w:cs="Arial"/>
                <w:sz w:val="16"/>
                <w:szCs w:val="16"/>
              </w:rPr>
              <w:t>/</w:t>
            </w:r>
            <w:r w:rsidRPr="00EA7665">
              <w:rPr>
                <w:rFonts w:ascii="Arial" w:eastAsia="Calibri" w:hAnsi="Arial" w:cs="Arial"/>
                <w:sz w:val="16"/>
                <w:szCs w:val="16"/>
              </w:rPr>
              <w:t>land title</w:t>
            </w:r>
          </w:p>
          <w:p w14:paraId="0E5A474A" w14:textId="77777777" w:rsidR="004E59E0" w:rsidRPr="00EA7665" w:rsidRDefault="004E59E0" w:rsidP="00C74AEC">
            <w:pPr>
              <w:pStyle w:val="ListParagraph"/>
              <w:numPr>
                <w:ilvl w:val="0"/>
                <w:numId w:val="116"/>
              </w:numPr>
              <w:spacing w:after="0" w:line="360" w:lineRule="auto"/>
              <w:rPr>
                <w:rFonts w:ascii="Arial" w:hAnsi="Arial" w:cs="Arial"/>
                <w:sz w:val="16"/>
                <w:szCs w:val="16"/>
              </w:rPr>
            </w:pPr>
            <w:r w:rsidRPr="00EA7665">
              <w:rPr>
                <w:rFonts w:ascii="Arial" w:eastAsia="Calibri" w:hAnsi="Arial" w:cs="Arial"/>
                <w:sz w:val="16"/>
                <w:szCs w:val="16"/>
              </w:rPr>
              <w:t>Cash flow</w:t>
            </w:r>
          </w:p>
        </w:tc>
        <w:tc>
          <w:tcPr>
            <w:tcW w:w="2428" w:type="dxa"/>
          </w:tcPr>
          <w:p w14:paraId="386D9BF4" w14:textId="77777777" w:rsidR="004E59E0" w:rsidRPr="004E59E0" w:rsidRDefault="004E59E0" w:rsidP="00CD6352">
            <w:pPr>
              <w:spacing w:line="360" w:lineRule="auto"/>
              <w:rPr>
                <w:rFonts w:ascii="Arial" w:hAnsi="Arial" w:cs="Arial"/>
                <w:b/>
                <w:bCs/>
                <w:sz w:val="16"/>
                <w:szCs w:val="16"/>
              </w:rPr>
            </w:pPr>
            <w:r w:rsidRPr="004E59E0">
              <w:rPr>
                <w:rFonts w:ascii="Arial" w:hAnsi="Arial" w:cs="Arial"/>
                <w:b/>
                <w:bCs/>
                <w:sz w:val="16"/>
                <w:szCs w:val="16"/>
              </w:rPr>
              <w:t>Nigeria:</w:t>
            </w:r>
          </w:p>
          <w:p w14:paraId="6004B0B6" w14:textId="255D1014" w:rsidR="004E59E0" w:rsidRPr="00EA7665" w:rsidRDefault="004E59E0" w:rsidP="00C74AEC">
            <w:pPr>
              <w:pStyle w:val="ListParagraph"/>
              <w:numPr>
                <w:ilvl w:val="0"/>
                <w:numId w:val="117"/>
              </w:numPr>
              <w:spacing w:after="0" w:line="360" w:lineRule="auto"/>
              <w:rPr>
                <w:rFonts w:ascii="Arial" w:hAnsi="Arial" w:cs="Arial"/>
                <w:sz w:val="16"/>
                <w:szCs w:val="16"/>
              </w:rPr>
            </w:pPr>
            <w:r w:rsidRPr="00EA7665">
              <w:rPr>
                <w:rFonts w:ascii="Arial" w:eastAsia="Calibri" w:hAnsi="Arial" w:cs="Arial"/>
                <w:sz w:val="16"/>
                <w:szCs w:val="16"/>
              </w:rPr>
              <w:t>Contractual documentation on land acquisition</w:t>
            </w:r>
            <w:r>
              <w:rPr>
                <w:rFonts w:ascii="Arial" w:eastAsia="Calibri" w:hAnsi="Arial" w:cs="Arial"/>
                <w:sz w:val="16"/>
                <w:szCs w:val="16"/>
              </w:rPr>
              <w:t>/</w:t>
            </w:r>
            <w:r w:rsidRPr="00EA7665">
              <w:rPr>
                <w:rFonts w:ascii="Arial" w:eastAsia="Calibri" w:hAnsi="Arial" w:cs="Arial"/>
                <w:sz w:val="16"/>
                <w:szCs w:val="16"/>
              </w:rPr>
              <w:t>land title</w:t>
            </w:r>
          </w:p>
          <w:p w14:paraId="2EFC247D" w14:textId="77777777" w:rsidR="004E59E0" w:rsidRPr="00EA7665" w:rsidRDefault="004E59E0" w:rsidP="00C74AEC">
            <w:pPr>
              <w:pStyle w:val="ListParagraph"/>
              <w:numPr>
                <w:ilvl w:val="0"/>
                <w:numId w:val="117"/>
              </w:numPr>
              <w:spacing w:after="0" w:line="360" w:lineRule="auto"/>
              <w:rPr>
                <w:rFonts w:ascii="Arial" w:hAnsi="Arial" w:cs="Arial"/>
                <w:sz w:val="16"/>
                <w:szCs w:val="16"/>
              </w:rPr>
            </w:pPr>
            <w:r w:rsidRPr="00EA7665">
              <w:rPr>
                <w:rFonts w:ascii="Arial" w:eastAsia="Calibri" w:hAnsi="Arial" w:cs="Arial"/>
                <w:sz w:val="16"/>
                <w:szCs w:val="16"/>
              </w:rPr>
              <w:t>Loan agreement</w:t>
            </w:r>
          </w:p>
          <w:p w14:paraId="1A10983E" w14:textId="77777777" w:rsidR="004E59E0" w:rsidRPr="00EA7665" w:rsidRDefault="004E59E0" w:rsidP="00C74AEC">
            <w:pPr>
              <w:pStyle w:val="ListParagraph"/>
              <w:numPr>
                <w:ilvl w:val="0"/>
                <w:numId w:val="117"/>
              </w:numPr>
              <w:spacing w:after="0" w:line="360" w:lineRule="auto"/>
              <w:rPr>
                <w:rFonts w:ascii="Arial" w:hAnsi="Arial" w:cs="Arial"/>
                <w:sz w:val="16"/>
                <w:szCs w:val="16"/>
              </w:rPr>
            </w:pPr>
            <w:r w:rsidRPr="00EA7665">
              <w:rPr>
                <w:rFonts w:ascii="Arial" w:eastAsia="Calibri" w:hAnsi="Arial" w:cs="Arial"/>
                <w:sz w:val="16"/>
                <w:szCs w:val="16"/>
              </w:rPr>
              <w:t>Collateral to mitigate default risk</w:t>
            </w:r>
          </w:p>
          <w:p w14:paraId="09AD4B48" w14:textId="77777777" w:rsidR="004E59E0" w:rsidRPr="00EA7665" w:rsidRDefault="004E59E0" w:rsidP="00C74AEC">
            <w:pPr>
              <w:pStyle w:val="ListParagraph"/>
              <w:numPr>
                <w:ilvl w:val="0"/>
                <w:numId w:val="117"/>
              </w:numPr>
              <w:spacing w:after="0" w:line="360" w:lineRule="auto"/>
              <w:rPr>
                <w:rFonts w:ascii="Arial" w:hAnsi="Arial" w:cs="Arial"/>
                <w:sz w:val="16"/>
                <w:szCs w:val="16"/>
              </w:rPr>
            </w:pPr>
            <w:r w:rsidRPr="00EA7665">
              <w:rPr>
                <w:rFonts w:ascii="Arial" w:eastAsia="Calibri" w:hAnsi="Arial" w:cs="Arial"/>
                <w:sz w:val="16"/>
                <w:szCs w:val="16"/>
              </w:rPr>
              <w:t>Details of the proposed project</w:t>
            </w:r>
          </w:p>
          <w:p w14:paraId="582DCAF1" w14:textId="77777777" w:rsidR="004E59E0" w:rsidRPr="00EA7665" w:rsidRDefault="004E59E0" w:rsidP="00C74AEC">
            <w:pPr>
              <w:pStyle w:val="ListParagraph"/>
              <w:numPr>
                <w:ilvl w:val="0"/>
                <w:numId w:val="117"/>
              </w:numPr>
              <w:spacing w:after="0" w:line="360" w:lineRule="auto"/>
              <w:rPr>
                <w:rFonts w:ascii="Arial" w:hAnsi="Arial" w:cs="Arial"/>
                <w:sz w:val="16"/>
                <w:szCs w:val="16"/>
              </w:rPr>
            </w:pPr>
            <w:r w:rsidRPr="00EA7665">
              <w:rPr>
                <w:rFonts w:ascii="Arial" w:eastAsia="Calibri" w:hAnsi="Arial" w:cs="Arial"/>
                <w:sz w:val="16"/>
                <w:szCs w:val="16"/>
              </w:rPr>
              <w:t>Feasibility report</w:t>
            </w:r>
          </w:p>
        </w:tc>
        <w:tc>
          <w:tcPr>
            <w:tcW w:w="1343" w:type="dxa"/>
          </w:tcPr>
          <w:p w14:paraId="2F834EA3" w14:textId="77777777" w:rsidR="004E59E0" w:rsidRPr="00EA7665" w:rsidRDefault="004E59E0" w:rsidP="00CD6352">
            <w:pPr>
              <w:spacing w:line="360" w:lineRule="auto"/>
              <w:rPr>
                <w:rFonts w:ascii="Arial" w:hAnsi="Arial" w:cs="Arial"/>
                <w:sz w:val="16"/>
                <w:szCs w:val="16"/>
              </w:rPr>
            </w:pPr>
          </w:p>
        </w:tc>
        <w:tc>
          <w:tcPr>
            <w:tcW w:w="2827" w:type="dxa"/>
          </w:tcPr>
          <w:p w14:paraId="6FCF6BD2" w14:textId="520BF358" w:rsidR="004E59E0" w:rsidRPr="004E59E0" w:rsidRDefault="004E59E0" w:rsidP="00CD6352">
            <w:pPr>
              <w:spacing w:line="360" w:lineRule="auto"/>
              <w:rPr>
                <w:rFonts w:ascii="Arial" w:hAnsi="Arial" w:cs="Arial"/>
                <w:b/>
                <w:bCs/>
                <w:sz w:val="16"/>
                <w:szCs w:val="16"/>
              </w:rPr>
            </w:pPr>
            <w:r w:rsidRPr="004E59E0">
              <w:rPr>
                <w:rFonts w:ascii="Arial" w:hAnsi="Arial" w:cs="Arial"/>
                <w:b/>
                <w:bCs/>
                <w:sz w:val="16"/>
                <w:szCs w:val="16"/>
              </w:rPr>
              <w:t>South Africa:</w:t>
            </w:r>
          </w:p>
          <w:p w14:paraId="03684331" w14:textId="77777777" w:rsidR="004E59E0" w:rsidRPr="00EA7665" w:rsidRDefault="004E59E0" w:rsidP="00C74AEC">
            <w:pPr>
              <w:pStyle w:val="ListParagraph"/>
              <w:numPr>
                <w:ilvl w:val="0"/>
                <w:numId w:val="118"/>
              </w:numPr>
              <w:spacing w:after="0" w:line="360" w:lineRule="auto"/>
              <w:rPr>
                <w:rFonts w:ascii="Arial" w:hAnsi="Arial" w:cs="Arial"/>
                <w:sz w:val="16"/>
                <w:szCs w:val="16"/>
              </w:rPr>
            </w:pPr>
            <w:r w:rsidRPr="00EA7665">
              <w:rPr>
                <w:rFonts w:ascii="Arial" w:eastAsia="Calibri" w:hAnsi="Arial" w:cs="Arial"/>
                <w:sz w:val="16"/>
                <w:szCs w:val="16"/>
              </w:rPr>
              <w:t>Feasibility report</w:t>
            </w:r>
          </w:p>
          <w:p w14:paraId="51E6517E" w14:textId="77777777" w:rsidR="004E59E0" w:rsidRPr="00EA7665" w:rsidRDefault="004E59E0" w:rsidP="00C74AEC">
            <w:pPr>
              <w:pStyle w:val="ListParagraph"/>
              <w:numPr>
                <w:ilvl w:val="0"/>
                <w:numId w:val="118"/>
              </w:numPr>
              <w:spacing w:after="0" w:line="360" w:lineRule="auto"/>
              <w:rPr>
                <w:rFonts w:ascii="Arial" w:hAnsi="Arial" w:cs="Arial"/>
                <w:sz w:val="16"/>
                <w:szCs w:val="16"/>
              </w:rPr>
            </w:pPr>
            <w:r w:rsidRPr="00EA7665">
              <w:rPr>
                <w:rFonts w:ascii="Arial" w:eastAsia="Calibri" w:hAnsi="Arial" w:cs="Arial"/>
                <w:sz w:val="16"/>
                <w:szCs w:val="16"/>
              </w:rPr>
              <w:t>Cash flow</w:t>
            </w:r>
          </w:p>
          <w:p w14:paraId="0BD12C70" w14:textId="77777777" w:rsidR="004E59E0" w:rsidRPr="00EA7665" w:rsidRDefault="004E59E0" w:rsidP="00C74AEC">
            <w:pPr>
              <w:pStyle w:val="ListParagraph"/>
              <w:numPr>
                <w:ilvl w:val="0"/>
                <w:numId w:val="118"/>
              </w:numPr>
              <w:spacing w:after="0" w:line="360" w:lineRule="auto"/>
              <w:rPr>
                <w:rFonts w:ascii="Arial" w:hAnsi="Arial" w:cs="Arial"/>
                <w:sz w:val="16"/>
                <w:szCs w:val="16"/>
              </w:rPr>
            </w:pPr>
            <w:r w:rsidRPr="00EA7665">
              <w:rPr>
                <w:rFonts w:ascii="Arial" w:eastAsia="Calibri" w:hAnsi="Arial" w:cs="Arial"/>
                <w:sz w:val="16"/>
                <w:szCs w:val="16"/>
              </w:rPr>
              <w:t>Details of the proposed project</w:t>
            </w:r>
          </w:p>
          <w:p w14:paraId="72A27A1C" w14:textId="77777777" w:rsidR="004E59E0" w:rsidRPr="00EA7665" w:rsidRDefault="004E59E0" w:rsidP="00C74AEC">
            <w:pPr>
              <w:pStyle w:val="ListParagraph"/>
              <w:numPr>
                <w:ilvl w:val="0"/>
                <w:numId w:val="118"/>
              </w:numPr>
              <w:spacing w:after="0" w:line="360" w:lineRule="auto"/>
              <w:rPr>
                <w:rFonts w:ascii="Arial" w:hAnsi="Arial" w:cs="Arial"/>
                <w:sz w:val="16"/>
                <w:szCs w:val="16"/>
              </w:rPr>
            </w:pPr>
            <w:r w:rsidRPr="00EA7665">
              <w:rPr>
                <w:rFonts w:ascii="Arial" w:eastAsia="Calibri" w:hAnsi="Arial" w:cs="Arial"/>
                <w:sz w:val="16"/>
                <w:szCs w:val="16"/>
              </w:rPr>
              <w:t>Necessary permits &amp; site clearance</w:t>
            </w:r>
          </w:p>
          <w:p w14:paraId="5E337191" w14:textId="4038B88A" w:rsidR="004E59E0" w:rsidRPr="00EA7665" w:rsidRDefault="004E59E0" w:rsidP="00C74AEC">
            <w:pPr>
              <w:pStyle w:val="ListParagraph"/>
              <w:numPr>
                <w:ilvl w:val="0"/>
                <w:numId w:val="118"/>
              </w:numPr>
              <w:spacing w:after="0" w:line="360" w:lineRule="auto"/>
              <w:rPr>
                <w:rFonts w:ascii="Arial" w:hAnsi="Arial" w:cs="Arial"/>
                <w:sz w:val="16"/>
                <w:szCs w:val="16"/>
              </w:rPr>
            </w:pPr>
            <w:r w:rsidRPr="00EA7665">
              <w:rPr>
                <w:rFonts w:ascii="Arial" w:eastAsia="Calibri" w:hAnsi="Arial" w:cs="Arial"/>
                <w:sz w:val="16"/>
                <w:szCs w:val="16"/>
              </w:rPr>
              <w:t>Management capabilities</w:t>
            </w:r>
            <w:r>
              <w:rPr>
                <w:rFonts w:ascii="Arial" w:eastAsia="Calibri" w:hAnsi="Arial" w:cs="Arial"/>
                <w:sz w:val="16"/>
                <w:szCs w:val="16"/>
              </w:rPr>
              <w:t>/</w:t>
            </w:r>
            <w:r w:rsidRPr="00EA7665">
              <w:rPr>
                <w:rFonts w:ascii="Arial" w:eastAsia="Calibri" w:hAnsi="Arial" w:cs="Arial"/>
                <w:sz w:val="16"/>
                <w:szCs w:val="16"/>
              </w:rPr>
              <w:t>management profile</w:t>
            </w:r>
          </w:p>
        </w:tc>
      </w:tr>
    </w:tbl>
    <w:p w14:paraId="599889B1" w14:textId="77777777" w:rsidR="00CD6352" w:rsidRPr="00EA7665" w:rsidRDefault="00CD6352" w:rsidP="00CD6352">
      <w:pPr>
        <w:spacing w:line="360" w:lineRule="auto"/>
        <w:rPr>
          <w:rFonts w:ascii="Arial" w:hAnsi="Arial" w:cs="Arial"/>
        </w:rPr>
      </w:pPr>
    </w:p>
    <w:p w14:paraId="4BE72EBB" w14:textId="79D4ADE8" w:rsidR="00CD6352" w:rsidRPr="00EA7665" w:rsidRDefault="00CD6352" w:rsidP="00CD6352">
      <w:pPr>
        <w:spacing w:line="360" w:lineRule="auto"/>
        <w:rPr>
          <w:rFonts w:ascii="Arial" w:hAnsi="Arial" w:cs="Arial"/>
        </w:rPr>
      </w:pPr>
      <w:r w:rsidRPr="00EA7665">
        <w:rPr>
          <w:rFonts w:ascii="Arial" w:hAnsi="Arial" w:cs="Arial"/>
        </w:rPr>
        <w:t>Table 5.</w:t>
      </w:r>
      <w:r w:rsidR="00014F37">
        <w:rPr>
          <w:rFonts w:ascii="Arial" w:hAnsi="Arial" w:cs="Arial"/>
        </w:rPr>
        <w:t>3.3</w:t>
      </w:r>
      <w:r w:rsidRPr="00EA7665">
        <w:rPr>
          <w:rFonts w:ascii="Arial" w:hAnsi="Arial" w:cs="Arial"/>
        </w:rPr>
        <w:t xml:space="preserve"> shows that all the criteria for securing finance for real estate project development </w:t>
      </w:r>
      <w:r>
        <w:rPr>
          <w:rFonts w:ascii="Arial" w:hAnsi="Arial" w:cs="Arial"/>
        </w:rPr>
        <w:t xml:space="preserve">are </w:t>
      </w:r>
      <w:r w:rsidRPr="00EA7665">
        <w:rPr>
          <w:rFonts w:ascii="Arial" w:hAnsi="Arial" w:cs="Arial"/>
        </w:rPr>
        <w:t xml:space="preserve">within the range of 2.6 to 4.78 for both the developed and emerging economies. This demonstrates that </w:t>
      </w:r>
      <w:r w:rsidR="006941DB">
        <w:rPr>
          <w:rFonts w:ascii="Arial" w:hAnsi="Arial" w:cs="Arial"/>
        </w:rPr>
        <w:t>financiers request the criteria</w:t>
      </w:r>
      <w:r w:rsidRPr="00EA7665">
        <w:rPr>
          <w:rFonts w:ascii="Arial" w:hAnsi="Arial" w:cs="Arial"/>
        </w:rPr>
        <w:t xml:space="preserve"> in all the countries but with differences in ranking</w:t>
      </w:r>
      <w:r w:rsidR="006941DB">
        <w:rPr>
          <w:rFonts w:ascii="Arial" w:hAnsi="Arial" w:cs="Arial"/>
        </w:rPr>
        <w:t>,</w:t>
      </w:r>
      <w:r w:rsidRPr="00EA7665">
        <w:rPr>
          <w:rFonts w:ascii="Arial" w:hAnsi="Arial" w:cs="Arial"/>
        </w:rPr>
        <w:t xml:space="preserve"> which </w:t>
      </w:r>
      <w:r>
        <w:rPr>
          <w:rFonts w:ascii="Arial" w:hAnsi="Arial" w:cs="Arial"/>
        </w:rPr>
        <w:t>arguably</w:t>
      </w:r>
      <w:r w:rsidRPr="00EA7665">
        <w:rPr>
          <w:rFonts w:ascii="Arial" w:hAnsi="Arial" w:cs="Arial"/>
        </w:rPr>
        <w:t xml:space="preserve"> is as a result of the different social and macro-economic conditions in the various countries.</w:t>
      </w:r>
    </w:p>
    <w:p w14:paraId="7EF89731" w14:textId="590DD460" w:rsidR="00CD6352" w:rsidRPr="00EA7665" w:rsidRDefault="00CD6352" w:rsidP="00CD6352">
      <w:pPr>
        <w:spacing w:line="360" w:lineRule="auto"/>
        <w:rPr>
          <w:rFonts w:ascii="Arial" w:hAnsi="Arial" w:cs="Arial"/>
        </w:rPr>
      </w:pPr>
      <w:r w:rsidRPr="00EA7665">
        <w:rPr>
          <w:rFonts w:ascii="Arial" w:hAnsi="Arial" w:cs="Arial"/>
        </w:rPr>
        <w:t xml:space="preserve">German managers ranked necessary permits and site clearance as the most often requested criteria for securing </w:t>
      </w:r>
      <w:r w:rsidR="003E20BC">
        <w:rPr>
          <w:rFonts w:ascii="Arial" w:hAnsi="Arial" w:cs="Arial"/>
        </w:rPr>
        <w:t>real estate project development finance</w:t>
      </w:r>
      <w:r w:rsidRPr="00EA7665">
        <w:rPr>
          <w:rFonts w:ascii="Arial" w:hAnsi="Arial" w:cs="Arial"/>
        </w:rPr>
        <w:t>. This is closely followed by cash flow, details of the proposed project, due diligence and feasibility results. While us</w:t>
      </w:r>
      <w:r w:rsidR="00200564">
        <w:rPr>
          <w:rFonts w:ascii="Arial" w:hAnsi="Arial" w:cs="Arial"/>
        </w:rPr>
        <w:t>age of hedging instruments, indemnification and risk and returns are the least ranked and</w:t>
      </w:r>
      <w:r w:rsidRPr="00EA7665">
        <w:rPr>
          <w:rFonts w:ascii="Arial" w:hAnsi="Arial" w:cs="Arial"/>
        </w:rPr>
        <w:t xml:space="preserve"> rarely requested by financiers. </w:t>
      </w:r>
      <w:r>
        <w:rPr>
          <w:rFonts w:ascii="Arial" w:hAnsi="Arial" w:cs="Arial"/>
        </w:rPr>
        <w:t>M</w:t>
      </w:r>
      <w:r w:rsidRPr="00EA7665">
        <w:rPr>
          <w:rFonts w:ascii="Arial" w:hAnsi="Arial" w:cs="Arial"/>
        </w:rPr>
        <w:t>arket transparency in the developed economies like Germany enables easy access to information about companies to determine their risk profile and track records. Due diligence aims to reduce the risk associated with property financing by identifying potential risks associated with the transaction</w:t>
      </w:r>
      <w:r w:rsidR="00200564">
        <w:rPr>
          <w:rFonts w:ascii="Arial" w:hAnsi="Arial" w:cs="Arial"/>
        </w:rPr>
        <w:t>,</w:t>
      </w:r>
      <w:r w:rsidRPr="00EA7665">
        <w:rPr>
          <w:rFonts w:ascii="Arial" w:hAnsi="Arial" w:cs="Arial"/>
        </w:rPr>
        <w:t xml:space="preserve"> and this could be technical, legal, tax and other areas of due diligence ( Just </w:t>
      </w:r>
      <w:r w:rsidR="00B20037">
        <w:rPr>
          <w:rFonts w:ascii="Arial" w:hAnsi="Arial" w:cs="Arial"/>
        </w:rPr>
        <w:t xml:space="preserve">and </w:t>
      </w:r>
      <w:r w:rsidR="0000223B" w:rsidRPr="0000223B">
        <w:rPr>
          <w:rFonts w:ascii="Arial" w:hAnsi="Arial" w:cs="Arial"/>
        </w:rPr>
        <w:t>Maennig</w:t>
      </w:r>
      <w:r w:rsidR="00B20037">
        <w:rPr>
          <w:rFonts w:ascii="Arial" w:hAnsi="Arial" w:cs="Arial"/>
        </w:rPr>
        <w:t xml:space="preserve">, </w:t>
      </w:r>
      <w:r w:rsidRPr="00EA7665">
        <w:rPr>
          <w:rFonts w:ascii="Arial" w:hAnsi="Arial" w:cs="Arial"/>
        </w:rPr>
        <w:t xml:space="preserve">2012). Due </w:t>
      </w:r>
      <w:r w:rsidRPr="00EA7665">
        <w:rPr>
          <w:rFonts w:ascii="Arial" w:hAnsi="Arial" w:cs="Arial"/>
        </w:rPr>
        <w:lastRenderedPageBreak/>
        <w:t>diligence also incorporates financial due diligence</w:t>
      </w:r>
      <w:r w:rsidR="00200564">
        <w:rPr>
          <w:rFonts w:ascii="Arial" w:hAnsi="Arial" w:cs="Arial"/>
        </w:rPr>
        <w:t>,</w:t>
      </w:r>
      <w:r w:rsidRPr="00EA7665">
        <w:rPr>
          <w:rFonts w:ascii="Arial" w:hAnsi="Arial" w:cs="Arial"/>
        </w:rPr>
        <w:t xml:space="preserve"> which analys</w:t>
      </w:r>
      <w:r>
        <w:rPr>
          <w:rFonts w:ascii="Arial" w:hAnsi="Arial" w:cs="Arial"/>
        </w:rPr>
        <w:t>es</w:t>
      </w:r>
      <w:r w:rsidRPr="00EA7665">
        <w:rPr>
          <w:rFonts w:ascii="Arial" w:hAnsi="Arial" w:cs="Arial"/>
        </w:rPr>
        <w:t xml:space="preserve"> market and location information vis-a-vis profitability hence a </w:t>
      </w:r>
      <w:r w:rsidR="00667A52" w:rsidRPr="00EA7665">
        <w:rPr>
          <w:rFonts w:ascii="Arial" w:hAnsi="Arial" w:cs="Arial"/>
        </w:rPr>
        <w:t>very important criterion</w:t>
      </w:r>
      <w:r w:rsidRPr="00EA7665">
        <w:rPr>
          <w:rFonts w:ascii="Arial" w:hAnsi="Arial" w:cs="Arial"/>
        </w:rPr>
        <w:t>.</w:t>
      </w:r>
    </w:p>
    <w:p w14:paraId="21CD3C26" w14:textId="66E45ED3" w:rsidR="00CD6352" w:rsidRPr="00EA7665" w:rsidRDefault="00CD6352" w:rsidP="00CD6352">
      <w:pPr>
        <w:spacing w:line="360" w:lineRule="auto"/>
        <w:rPr>
          <w:rFonts w:ascii="Arial" w:hAnsi="Arial" w:cs="Arial"/>
        </w:rPr>
      </w:pPr>
      <w:r w:rsidRPr="00EA7665">
        <w:rPr>
          <w:rFonts w:ascii="Arial" w:hAnsi="Arial" w:cs="Arial"/>
        </w:rPr>
        <w:t>Managers in the UK ranked feasibility report</w:t>
      </w:r>
      <w:r w:rsidR="00E54798">
        <w:rPr>
          <w:rFonts w:ascii="Arial" w:hAnsi="Arial" w:cs="Arial"/>
        </w:rPr>
        <w:t>s</w:t>
      </w:r>
      <w:r w:rsidRPr="00EA7665">
        <w:rPr>
          <w:rFonts w:ascii="Arial" w:hAnsi="Arial" w:cs="Arial"/>
        </w:rPr>
        <w:t xml:space="preserve"> as the top criteria often requested for securing finance for real estate project development. This is followed closely by details of </w:t>
      </w:r>
      <w:r w:rsidR="0081709A">
        <w:rPr>
          <w:rFonts w:ascii="Arial" w:hAnsi="Arial" w:cs="Arial"/>
        </w:rPr>
        <w:t xml:space="preserve">the </w:t>
      </w:r>
      <w:r w:rsidRPr="00EA7665">
        <w:rPr>
          <w:rFonts w:ascii="Arial" w:hAnsi="Arial" w:cs="Arial"/>
        </w:rPr>
        <w:t xml:space="preserve">proposed project, contractual documentation on land acquisition, loan agreement and due diligence. While the least ranked criteria in the UK are </w:t>
      </w:r>
      <w:r w:rsidR="0081709A">
        <w:rPr>
          <w:rFonts w:ascii="Arial" w:hAnsi="Arial" w:cs="Arial"/>
        </w:rPr>
        <w:t xml:space="preserve">the </w:t>
      </w:r>
      <w:r w:rsidRPr="00EA7665">
        <w:rPr>
          <w:rFonts w:ascii="Arial" w:hAnsi="Arial" w:cs="Arial"/>
        </w:rPr>
        <w:t>usage of hedging instruments, collateral and indemnification</w:t>
      </w:r>
      <w:r w:rsidR="00E54798">
        <w:rPr>
          <w:rFonts w:ascii="Arial" w:hAnsi="Arial" w:cs="Arial"/>
        </w:rPr>
        <w:t>. M</w:t>
      </w:r>
      <w:r w:rsidRPr="00EA7665">
        <w:rPr>
          <w:rFonts w:ascii="Arial" w:hAnsi="Arial" w:cs="Arial"/>
        </w:rPr>
        <w:t>anagers in the US</w:t>
      </w:r>
      <w:r>
        <w:rPr>
          <w:rFonts w:ascii="Arial" w:hAnsi="Arial" w:cs="Arial"/>
        </w:rPr>
        <w:t>,</w:t>
      </w:r>
      <w:r w:rsidRPr="00EA7665">
        <w:rPr>
          <w:rFonts w:ascii="Arial" w:hAnsi="Arial" w:cs="Arial"/>
        </w:rPr>
        <w:t xml:space="preserve"> just like the German managers</w:t>
      </w:r>
      <w:r>
        <w:rPr>
          <w:rFonts w:ascii="Arial" w:hAnsi="Arial" w:cs="Arial"/>
        </w:rPr>
        <w:t>,</w:t>
      </w:r>
      <w:r w:rsidRPr="00EA7665">
        <w:rPr>
          <w:rFonts w:ascii="Arial" w:hAnsi="Arial" w:cs="Arial"/>
        </w:rPr>
        <w:t xml:space="preserve"> ranked </w:t>
      </w:r>
      <w:r>
        <w:rPr>
          <w:rFonts w:ascii="Arial" w:hAnsi="Arial" w:cs="Arial"/>
        </w:rPr>
        <w:t>n</w:t>
      </w:r>
      <w:r w:rsidRPr="00EA7665">
        <w:rPr>
          <w:rFonts w:ascii="Arial" w:hAnsi="Arial" w:cs="Arial"/>
        </w:rPr>
        <w:t>ecessary permits and site clearance as the top criteria requested by financiers for real estate project development</w:t>
      </w:r>
      <w:r w:rsidR="001006E8">
        <w:rPr>
          <w:rFonts w:ascii="Arial" w:hAnsi="Arial" w:cs="Arial"/>
        </w:rPr>
        <w:t>;</w:t>
      </w:r>
      <w:r w:rsidRPr="00EA7665">
        <w:rPr>
          <w:rFonts w:ascii="Arial" w:hAnsi="Arial" w:cs="Arial"/>
        </w:rPr>
        <w:t xml:space="preserve"> </w:t>
      </w:r>
      <w:r>
        <w:rPr>
          <w:rFonts w:ascii="Arial" w:hAnsi="Arial" w:cs="Arial"/>
        </w:rPr>
        <w:t>this</w:t>
      </w:r>
      <w:r w:rsidRPr="00EA7665">
        <w:rPr>
          <w:rFonts w:ascii="Arial" w:hAnsi="Arial" w:cs="Arial"/>
        </w:rPr>
        <w:t xml:space="preserve"> is followed by feasibility report, management capability, track record and cash flow. The least ranked criteria in the US for securing real estate project development finance is </w:t>
      </w:r>
      <w:r w:rsidR="00E54798">
        <w:rPr>
          <w:rFonts w:ascii="Arial" w:hAnsi="Arial" w:cs="Arial"/>
        </w:rPr>
        <w:t>A</w:t>
      </w:r>
      <w:r w:rsidRPr="00EA7665">
        <w:rPr>
          <w:rFonts w:ascii="Arial" w:hAnsi="Arial" w:cs="Arial"/>
        </w:rPr>
        <w:t xml:space="preserve">udited financial report, capital base and usage of hedging instruments. One possible explanation for this is that the projects are usually so large that the real estate development firm involved may not have an adequate capital </w:t>
      </w:r>
      <w:r w:rsidR="000552B1" w:rsidRPr="00EA7665">
        <w:rPr>
          <w:rFonts w:ascii="Arial" w:hAnsi="Arial" w:cs="Arial"/>
        </w:rPr>
        <w:t>base</w:t>
      </w:r>
      <w:r w:rsidR="00E54798">
        <w:rPr>
          <w:rFonts w:ascii="Arial" w:hAnsi="Arial" w:cs="Arial"/>
        </w:rPr>
        <w:t>,</w:t>
      </w:r>
      <w:r w:rsidR="000552B1" w:rsidRPr="00EA7665">
        <w:rPr>
          <w:rFonts w:ascii="Arial" w:hAnsi="Arial" w:cs="Arial"/>
        </w:rPr>
        <w:t xml:space="preserve"> and</w:t>
      </w:r>
      <w:r w:rsidRPr="00EA7665">
        <w:rPr>
          <w:rFonts w:ascii="Arial" w:hAnsi="Arial" w:cs="Arial"/>
        </w:rPr>
        <w:t xml:space="preserve"> hence financiers provide project financing without recourse to the capital base of the contractor. This finding supports the study by Manu et al</w:t>
      </w:r>
      <w:r w:rsidR="00E54798">
        <w:rPr>
          <w:rFonts w:ascii="Arial" w:hAnsi="Arial" w:cs="Arial"/>
        </w:rPr>
        <w:t>.</w:t>
      </w:r>
      <w:r w:rsidRPr="00EA7665">
        <w:rPr>
          <w:rFonts w:ascii="Arial" w:hAnsi="Arial" w:cs="Arial"/>
        </w:rPr>
        <w:t xml:space="preserve"> (2015)</w:t>
      </w:r>
      <w:r w:rsidR="006941DB">
        <w:rPr>
          <w:rFonts w:ascii="Arial" w:hAnsi="Arial" w:cs="Arial"/>
        </w:rPr>
        <w:t>, which revealed that turnkey projects could be financed without recourse to the contractor's capital base</w:t>
      </w:r>
      <w:r w:rsidRPr="00EA7665">
        <w:rPr>
          <w:rFonts w:ascii="Arial" w:hAnsi="Arial" w:cs="Arial"/>
        </w:rPr>
        <w:t>.</w:t>
      </w:r>
    </w:p>
    <w:p w14:paraId="59892F55" w14:textId="7E6E9991" w:rsidR="00CD6352" w:rsidRPr="00EA7665" w:rsidRDefault="00CD6352" w:rsidP="00CD6352">
      <w:pPr>
        <w:spacing w:line="360" w:lineRule="auto"/>
        <w:rPr>
          <w:rFonts w:ascii="Arial" w:hAnsi="Arial" w:cs="Arial"/>
        </w:rPr>
      </w:pPr>
      <w:r w:rsidRPr="00EA7665">
        <w:rPr>
          <w:rFonts w:ascii="Arial" w:hAnsi="Arial" w:cs="Arial"/>
        </w:rPr>
        <w:t>Managers in China ranked details of the proposed project as the top criteria often requested by financiers. This is followed by due diligence, track record, contractual documentation and cash flow. The least ranked criteria by Chinese managers is performance support guarantees, indemnification and usage of hedging instruments</w:t>
      </w:r>
      <w:r>
        <w:rPr>
          <w:rFonts w:ascii="Arial" w:hAnsi="Arial" w:cs="Arial"/>
        </w:rPr>
        <w:t>,</w:t>
      </w:r>
      <w:r w:rsidRPr="00EA7665">
        <w:rPr>
          <w:rFonts w:ascii="Arial" w:hAnsi="Arial" w:cs="Arial"/>
        </w:rPr>
        <w:t xml:space="preserve"> </w:t>
      </w:r>
      <w:r>
        <w:rPr>
          <w:rFonts w:ascii="Arial" w:hAnsi="Arial" w:cs="Arial"/>
        </w:rPr>
        <w:t>w</w:t>
      </w:r>
      <w:r w:rsidRPr="00EA7665">
        <w:rPr>
          <w:rFonts w:ascii="Arial" w:hAnsi="Arial" w:cs="Arial"/>
        </w:rPr>
        <w:t>hile Nigerian managers ranked contractual documentation on land acquisition as the criteria most often requested by financiers. Th</w:t>
      </w:r>
      <w:r w:rsidR="00EF38E2">
        <w:rPr>
          <w:rFonts w:ascii="Arial" w:hAnsi="Arial" w:cs="Arial"/>
        </w:rPr>
        <w:t>e loan agreement follows this</w:t>
      </w:r>
      <w:r w:rsidRPr="00EA7665">
        <w:rPr>
          <w:rFonts w:ascii="Arial" w:hAnsi="Arial" w:cs="Arial"/>
        </w:rPr>
        <w:t xml:space="preserve">, collateral to mitigate default risk, details of the proposed project and feasibility report. However, managers’ ranked indemnification, performance support guarantees and usage of hedging instruments the least ranked criteria requested by financiers. Collateral </w:t>
      </w:r>
      <w:r w:rsidR="00FA6F13">
        <w:rPr>
          <w:rFonts w:ascii="Arial" w:hAnsi="Arial" w:cs="Arial"/>
        </w:rPr>
        <w:t xml:space="preserve">is </w:t>
      </w:r>
      <w:r w:rsidRPr="00EA7665">
        <w:rPr>
          <w:rFonts w:ascii="Arial" w:hAnsi="Arial" w:cs="Arial"/>
        </w:rPr>
        <w:t xml:space="preserve">featured amongst the top five criteria by managers in </w:t>
      </w:r>
      <w:r w:rsidR="00E31552" w:rsidRPr="00EA7665">
        <w:rPr>
          <w:rFonts w:ascii="Arial" w:hAnsi="Arial" w:cs="Arial"/>
        </w:rPr>
        <w:t>Nigeria,</w:t>
      </w:r>
      <w:r w:rsidRPr="00EA7665">
        <w:rPr>
          <w:rFonts w:ascii="Arial" w:hAnsi="Arial" w:cs="Arial"/>
        </w:rPr>
        <w:t xml:space="preserve"> but </w:t>
      </w:r>
      <w:r>
        <w:rPr>
          <w:rFonts w:ascii="Arial" w:hAnsi="Arial" w:cs="Arial"/>
        </w:rPr>
        <w:t xml:space="preserve">this </w:t>
      </w:r>
      <w:r w:rsidRPr="00EA7665">
        <w:rPr>
          <w:rFonts w:ascii="Arial" w:hAnsi="Arial" w:cs="Arial"/>
        </w:rPr>
        <w:t>is not so for the other five countries in this study.</w:t>
      </w:r>
    </w:p>
    <w:p w14:paraId="7EE9AC30" w14:textId="70C4E053" w:rsidR="00CD6352" w:rsidRDefault="00CD6352" w:rsidP="00CD6352">
      <w:pPr>
        <w:spacing w:line="360" w:lineRule="auto"/>
        <w:rPr>
          <w:rFonts w:ascii="Arial" w:hAnsi="Arial" w:cs="Arial"/>
        </w:rPr>
      </w:pPr>
      <w:r w:rsidRPr="00EA7665">
        <w:rPr>
          <w:rFonts w:ascii="Arial" w:hAnsi="Arial" w:cs="Arial"/>
        </w:rPr>
        <w:t>Finally, South African managers ranked feasibility report as the highest</w:t>
      </w:r>
      <w:r w:rsidR="0081709A">
        <w:rPr>
          <w:rFonts w:ascii="Arial" w:hAnsi="Arial" w:cs="Arial"/>
        </w:rPr>
        <w:t>-</w:t>
      </w:r>
      <w:r w:rsidRPr="00EA7665">
        <w:rPr>
          <w:rFonts w:ascii="Arial" w:hAnsi="Arial" w:cs="Arial"/>
        </w:rPr>
        <w:t xml:space="preserve">ranked criteria for securing </w:t>
      </w:r>
      <w:r w:rsidR="00EF38E2">
        <w:rPr>
          <w:rFonts w:ascii="Arial" w:hAnsi="Arial" w:cs="Arial"/>
        </w:rPr>
        <w:t>real estate project development finance</w:t>
      </w:r>
      <w:r w:rsidRPr="00EA7665">
        <w:rPr>
          <w:rFonts w:ascii="Arial" w:hAnsi="Arial" w:cs="Arial"/>
        </w:rPr>
        <w:t>. This</w:t>
      </w:r>
      <w:r>
        <w:rPr>
          <w:rFonts w:ascii="Arial" w:hAnsi="Arial" w:cs="Arial"/>
        </w:rPr>
        <w:t xml:space="preserve"> is</w:t>
      </w:r>
      <w:r w:rsidRPr="00EA7665">
        <w:rPr>
          <w:rFonts w:ascii="Arial" w:hAnsi="Arial" w:cs="Arial"/>
        </w:rPr>
        <w:t xml:space="preserve"> followed by cash flow, details of the proposed project, necessary permits</w:t>
      </w:r>
      <w:r>
        <w:rPr>
          <w:rFonts w:ascii="Arial" w:hAnsi="Arial" w:cs="Arial"/>
        </w:rPr>
        <w:t>,</w:t>
      </w:r>
      <w:r w:rsidRPr="00EA7665">
        <w:rPr>
          <w:rFonts w:ascii="Arial" w:hAnsi="Arial" w:cs="Arial"/>
        </w:rPr>
        <w:t xml:space="preserve"> </w:t>
      </w:r>
      <w:r>
        <w:rPr>
          <w:rFonts w:ascii="Arial" w:hAnsi="Arial" w:cs="Arial"/>
        </w:rPr>
        <w:t>and</w:t>
      </w:r>
      <w:r w:rsidRPr="00EA7665">
        <w:rPr>
          <w:rFonts w:ascii="Arial" w:hAnsi="Arial" w:cs="Arial"/>
        </w:rPr>
        <w:t xml:space="preserve"> site clearance and management capabilities. While </w:t>
      </w:r>
      <w:r w:rsidR="006941DB">
        <w:rPr>
          <w:rFonts w:ascii="Arial" w:hAnsi="Arial" w:cs="Arial"/>
        </w:rPr>
        <w:t>South African managers' least ranked</w:t>
      </w:r>
      <w:r w:rsidR="00EF38E2">
        <w:rPr>
          <w:rFonts w:ascii="Arial" w:hAnsi="Arial" w:cs="Arial"/>
        </w:rPr>
        <w:t>,</w:t>
      </w:r>
      <w:r w:rsidR="006941DB">
        <w:rPr>
          <w:rFonts w:ascii="Arial" w:hAnsi="Arial" w:cs="Arial"/>
        </w:rPr>
        <w:t xml:space="preserve"> criteria are</w:t>
      </w:r>
      <w:r w:rsidRPr="00EA7665">
        <w:rPr>
          <w:rFonts w:ascii="Arial" w:hAnsi="Arial" w:cs="Arial"/>
        </w:rPr>
        <w:t xml:space="preserve"> indemnification, performance support guarantee and usage of hedging instruments.</w:t>
      </w:r>
    </w:p>
    <w:p w14:paraId="4BDEB3F5" w14:textId="39AA95BF" w:rsidR="00B97407" w:rsidRDefault="00B97407" w:rsidP="00CD6352">
      <w:pPr>
        <w:spacing w:line="360" w:lineRule="auto"/>
        <w:rPr>
          <w:rFonts w:ascii="Arial" w:hAnsi="Arial" w:cs="Arial"/>
        </w:rPr>
      </w:pPr>
    </w:p>
    <w:p w14:paraId="603F8EC3" w14:textId="77777777" w:rsidR="00B97407" w:rsidRDefault="00B97407" w:rsidP="00CD6352">
      <w:pPr>
        <w:spacing w:line="360" w:lineRule="auto"/>
        <w:rPr>
          <w:rFonts w:ascii="Arial" w:hAnsi="Arial" w:cs="Arial"/>
        </w:rPr>
      </w:pPr>
    </w:p>
    <w:p w14:paraId="657FA53F" w14:textId="61C1742C" w:rsidR="00CD6352" w:rsidRPr="00673165" w:rsidRDefault="00CD6352" w:rsidP="00CD6352">
      <w:pPr>
        <w:pStyle w:val="Heading3"/>
        <w:rPr>
          <w:rFonts w:eastAsia="Calibri"/>
          <w:sz w:val="22"/>
          <w:szCs w:val="22"/>
        </w:rPr>
      </w:pPr>
      <w:bookmarkStart w:id="1139" w:name="_Toc78983850"/>
      <w:r w:rsidRPr="00673165">
        <w:rPr>
          <w:rFonts w:eastAsia="Calibri"/>
          <w:sz w:val="22"/>
          <w:szCs w:val="22"/>
        </w:rPr>
        <w:lastRenderedPageBreak/>
        <w:t xml:space="preserve">Relationship between the managerial level and the criteria requested by </w:t>
      </w:r>
      <w:r w:rsidR="00673165" w:rsidRPr="00673165">
        <w:rPr>
          <w:rFonts w:eastAsia="Calibri"/>
          <w:sz w:val="22"/>
          <w:szCs w:val="22"/>
        </w:rPr>
        <w:t>financiers.</w:t>
      </w:r>
      <w:bookmarkEnd w:id="1139"/>
    </w:p>
    <w:p w14:paraId="6CF34CCF" w14:textId="77777777" w:rsidR="00CD6352" w:rsidRPr="00EA7665" w:rsidRDefault="00CD6352" w:rsidP="00CD6352"/>
    <w:p w14:paraId="12E30FF4" w14:textId="6D3178CD" w:rsidR="0081709A" w:rsidRPr="0081709A" w:rsidRDefault="0081709A" w:rsidP="0081709A">
      <w:pPr>
        <w:pStyle w:val="Caption"/>
        <w:keepNext/>
        <w:jc w:val="both"/>
        <w:rPr>
          <w:rFonts w:ascii="Arial" w:hAnsi="Arial" w:cs="Arial"/>
          <w:sz w:val="16"/>
          <w:szCs w:val="16"/>
        </w:rPr>
      </w:pPr>
      <w:bookmarkStart w:id="1140" w:name="_Toc78983975"/>
      <w:r w:rsidRPr="0081709A">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4</w:t>
      </w:r>
      <w:r w:rsidR="008F25B1">
        <w:rPr>
          <w:rFonts w:ascii="Arial" w:hAnsi="Arial" w:cs="Arial"/>
          <w:sz w:val="16"/>
          <w:szCs w:val="16"/>
        </w:rPr>
        <w:fldChar w:fldCharType="end"/>
      </w:r>
      <w:r w:rsidRPr="0081709A">
        <w:rPr>
          <w:rFonts w:ascii="Arial" w:hAnsi="Arial" w:cs="Arial"/>
          <w:sz w:val="16"/>
          <w:szCs w:val="16"/>
        </w:rPr>
        <w:t>: Spearman’s rank correlation on the relationship between management level &amp; the criteria requested by financiers</w:t>
      </w:r>
      <w:bookmarkEnd w:id="1140"/>
    </w:p>
    <w:tbl>
      <w:tblPr>
        <w:tblW w:w="7792" w:type="dxa"/>
        <w:tblLook w:val="04A0" w:firstRow="1" w:lastRow="0" w:firstColumn="1" w:lastColumn="0" w:noHBand="0" w:noVBand="1"/>
      </w:tblPr>
      <w:tblGrid>
        <w:gridCol w:w="5949"/>
        <w:gridCol w:w="1843"/>
      </w:tblGrid>
      <w:tr w:rsidR="00CD6352" w:rsidRPr="0081709A" w14:paraId="77FC8B75" w14:textId="77777777" w:rsidTr="00CD6352">
        <w:trPr>
          <w:trHeight w:val="467"/>
        </w:trPr>
        <w:tc>
          <w:tcPr>
            <w:tcW w:w="59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31322"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Spearman rho</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5FE1E434"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Correlation Coefficient Sig. (2-tailed)</w:t>
            </w:r>
          </w:p>
        </w:tc>
      </w:tr>
      <w:tr w:rsidR="00CD6352" w:rsidRPr="0081709A" w14:paraId="6B1501F1"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2E7F0F46"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Level of management</w:t>
            </w:r>
          </w:p>
        </w:tc>
        <w:tc>
          <w:tcPr>
            <w:tcW w:w="1843" w:type="dxa"/>
            <w:tcBorders>
              <w:top w:val="nil"/>
              <w:left w:val="nil"/>
              <w:bottom w:val="single" w:sz="4" w:space="0" w:color="auto"/>
              <w:right w:val="single" w:sz="4" w:space="0" w:color="auto"/>
            </w:tcBorders>
            <w:shd w:val="clear" w:color="auto" w:fill="auto"/>
            <w:noWrap/>
            <w:vAlign w:val="bottom"/>
            <w:hideMark/>
          </w:tcPr>
          <w:p w14:paraId="5B79CF5D"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1</w:t>
            </w:r>
          </w:p>
        </w:tc>
      </w:tr>
      <w:tr w:rsidR="00CD6352" w:rsidRPr="0081709A" w14:paraId="750048FD"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1FF86E9E"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Usage of hedging instruments</w:t>
            </w:r>
          </w:p>
        </w:tc>
        <w:tc>
          <w:tcPr>
            <w:tcW w:w="1843" w:type="dxa"/>
            <w:tcBorders>
              <w:top w:val="nil"/>
              <w:left w:val="nil"/>
              <w:bottom w:val="single" w:sz="4" w:space="0" w:color="auto"/>
              <w:right w:val="single" w:sz="4" w:space="0" w:color="auto"/>
            </w:tcBorders>
            <w:shd w:val="clear" w:color="auto" w:fill="auto"/>
            <w:noWrap/>
            <w:vAlign w:val="bottom"/>
            <w:hideMark/>
          </w:tcPr>
          <w:p w14:paraId="18B864D0"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0.97</w:t>
            </w:r>
          </w:p>
        </w:tc>
      </w:tr>
      <w:tr w:rsidR="00CD6352" w:rsidRPr="0081709A" w14:paraId="16A6B614"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26FD126A"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Performance support guarantees</w:t>
            </w:r>
          </w:p>
        </w:tc>
        <w:tc>
          <w:tcPr>
            <w:tcW w:w="1843" w:type="dxa"/>
            <w:tcBorders>
              <w:top w:val="nil"/>
              <w:left w:val="nil"/>
              <w:bottom w:val="single" w:sz="4" w:space="0" w:color="auto"/>
              <w:right w:val="single" w:sz="4" w:space="0" w:color="auto"/>
            </w:tcBorders>
            <w:shd w:val="clear" w:color="auto" w:fill="auto"/>
            <w:noWrap/>
            <w:vAlign w:val="bottom"/>
            <w:hideMark/>
          </w:tcPr>
          <w:p w14:paraId="55B833C3"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0.826</w:t>
            </w:r>
          </w:p>
        </w:tc>
      </w:tr>
      <w:tr w:rsidR="00CD6352" w:rsidRPr="0081709A" w14:paraId="23E2E8D9"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14A3E8DF"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Collateral to mitigate default risk</w:t>
            </w:r>
          </w:p>
        </w:tc>
        <w:tc>
          <w:tcPr>
            <w:tcW w:w="1843" w:type="dxa"/>
            <w:tcBorders>
              <w:top w:val="nil"/>
              <w:left w:val="nil"/>
              <w:bottom w:val="single" w:sz="4" w:space="0" w:color="auto"/>
              <w:right w:val="single" w:sz="4" w:space="0" w:color="auto"/>
            </w:tcBorders>
            <w:shd w:val="clear" w:color="auto" w:fill="auto"/>
            <w:noWrap/>
            <w:vAlign w:val="bottom"/>
            <w:hideMark/>
          </w:tcPr>
          <w:p w14:paraId="6F29710D"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0.656</w:t>
            </w:r>
          </w:p>
        </w:tc>
      </w:tr>
      <w:tr w:rsidR="00CD6352" w:rsidRPr="0081709A" w14:paraId="645A4EAA"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530BA0AD"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Indemnification</w:t>
            </w:r>
          </w:p>
        </w:tc>
        <w:tc>
          <w:tcPr>
            <w:tcW w:w="1843" w:type="dxa"/>
            <w:tcBorders>
              <w:top w:val="nil"/>
              <w:left w:val="nil"/>
              <w:bottom w:val="single" w:sz="4" w:space="0" w:color="auto"/>
              <w:right w:val="single" w:sz="4" w:space="0" w:color="auto"/>
            </w:tcBorders>
            <w:shd w:val="clear" w:color="auto" w:fill="auto"/>
            <w:noWrap/>
            <w:vAlign w:val="bottom"/>
            <w:hideMark/>
          </w:tcPr>
          <w:p w14:paraId="001FF082"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0.609</w:t>
            </w:r>
          </w:p>
        </w:tc>
      </w:tr>
      <w:tr w:rsidR="00CD6352" w:rsidRPr="0081709A" w14:paraId="24A690F8"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7788CCBD"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Risk and returns</w:t>
            </w:r>
          </w:p>
        </w:tc>
        <w:tc>
          <w:tcPr>
            <w:tcW w:w="1843" w:type="dxa"/>
            <w:tcBorders>
              <w:top w:val="nil"/>
              <w:left w:val="nil"/>
              <w:bottom w:val="single" w:sz="4" w:space="0" w:color="auto"/>
              <w:right w:val="single" w:sz="4" w:space="0" w:color="auto"/>
            </w:tcBorders>
            <w:shd w:val="clear" w:color="auto" w:fill="auto"/>
            <w:noWrap/>
            <w:vAlign w:val="bottom"/>
            <w:hideMark/>
          </w:tcPr>
          <w:p w14:paraId="562355FC"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0.587</w:t>
            </w:r>
          </w:p>
        </w:tc>
      </w:tr>
      <w:tr w:rsidR="00CD6352" w:rsidRPr="0081709A" w14:paraId="21B1BDD2"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25144D91"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 xml:space="preserve">Track record </w:t>
            </w:r>
          </w:p>
        </w:tc>
        <w:tc>
          <w:tcPr>
            <w:tcW w:w="1843" w:type="dxa"/>
            <w:tcBorders>
              <w:top w:val="nil"/>
              <w:left w:val="nil"/>
              <w:bottom w:val="single" w:sz="4" w:space="0" w:color="auto"/>
              <w:right w:val="single" w:sz="4" w:space="0" w:color="auto"/>
            </w:tcBorders>
            <w:shd w:val="clear" w:color="auto" w:fill="auto"/>
            <w:noWrap/>
            <w:vAlign w:val="bottom"/>
            <w:hideMark/>
          </w:tcPr>
          <w:p w14:paraId="16F0747E"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0.501</w:t>
            </w:r>
          </w:p>
        </w:tc>
      </w:tr>
      <w:tr w:rsidR="00CD6352" w:rsidRPr="0081709A" w14:paraId="504EF638" w14:textId="77777777" w:rsidTr="00CD6352">
        <w:trPr>
          <w:trHeight w:val="199"/>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3ACBF609"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Audited financial reports / Independent audit committee</w:t>
            </w:r>
          </w:p>
        </w:tc>
        <w:tc>
          <w:tcPr>
            <w:tcW w:w="1843" w:type="dxa"/>
            <w:tcBorders>
              <w:top w:val="nil"/>
              <w:left w:val="nil"/>
              <w:bottom w:val="single" w:sz="4" w:space="0" w:color="auto"/>
              <w:right w:val="single" w:sz="4" w:space="0" w:color="auto"/>
            </w:tcBorders>
            <w:shd w:val="clear" w:color="auto" w:fill="auto"/>
            <w:noWrap/>
            <w:vAlign w:val="bottom"/>
            <w:hideMark/>
          </w:tcPr>
          <w:p w14:paraId="3DAA7B74"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0.291</w:t>
            </w:r>
          </w:p>
        </w:tc>
      </w:tr>
      <w:tr w:rsidR="00CD6352" w:rsidRPr="0081709A" w14:paraId="6EE3E8EB"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00489D76"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Necessary permits &amp; site clearance</w:t>
            </w:r>
          </w:p>
        </w:tc>
        <w:tc>
          <w:tcPr>
            <w:tcW w:w="1843" w:type="dxa"/>
            <w:tcBorders>
              <w:top w:val="nil"/>
              <w:left w:val="nil"/>
              <w:bottom w:val="single" w:sz="4" w:space="0" w:color="auto"/>
              <w:right w:val="single" w:sz="4" w:space="0" w:color="auto"/>
            </w:tcBorders>
            <w:shd w:val="clear" w:color="auto" w:fill="auto"/>
            <w:noWrap/>
            <w:vAlign w:val="bottom"/>
            <w:hideMark/>
          </w:tcPr>
          <w:p w14:paraId="7CCD668B"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0.222</w:t>
            </w:r>
          </w:p>
        </w:tc>
      </w:tr>
      <w:tr w:rsidR="00CD6352" w:rsidRPr="0081709A" w14:paraId="0DD5CCCF"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386B625A"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Capital base</w:t>
            </w:r>
          </w:p>
        </w:tc>
        <w:tc>
          <w:tcPr>
            <w:tcW w:w="1843" w:type="dxa"/>
            <w:tcBorders>
              <w:top w:val="nil"/>
              <w:left w:val="nil"/>
              <w:bottom w:val="single" w:sz="4" w:space="0" w:color="auto"/>
              <w:right w:val="single" w:sz="4" w:space="0" w:color="auto"/>
            </w:tcBorders>
            <w:shd w:val="clear" w:color="auto" w:fill="auto"/>
            <w:noWrap/>
            <w:vAlign w:val="bottom"/>
            <w:hideMark/>
          </w:tcPr>
          <w:p w14:paraId="0AA8EE97"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0.185</w:t>
            </w:r>
          </w:p>
        </w:tc>
      </w:tr>
      <w:tr w:rsidR="00CD6352" w:rsidRPr="0081709A" w14:paraId="4E51EDF3"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5E1ECC48"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Cash flow</w:t>
            </w:r>
          </w:p>
        </w:tc>
        <w:tc>
          <w:tcPr>
            <w:tcW w:w="1843" w:type="dxa"/>
            <w:tcBorders>
              <w:top w:val="nil"/>
              <w:left w:val="nil"/>
              <w:bottom w:val="single" w:sz="4" w:space="0" w:color="auto"/>
              <w:right w:val="single" w:sz="4" w:space="0" w:color="auto"/>
            </w:tcBorders>
            <w:shd w:val="clear" w:color="auto" w:fill="auto"/>
            <w:noWrap/>
            <w:vAlign w:val="bottom"/>
            <w:hideMark/>
          </w:tcPr>
          <w:p w14:paraId="5E8FD101"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0.142</w:t>
            </w:r>
          </w:p>
        </w:tc>
      </w:tr>
      <w:tr w:rsidR="00CD6352" w:rsidRPr="0081709A" w14:paraId="71EE9FA4"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38227445"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Feasibility report</w:t>
            </w:r>
          </w:p>
        </w:tc>
        <w:tc>
          <w:tcPr>
            <w:tcW w:w="1843" w:type="dxa"/>
            <w:tcBorders>
              <w:top w:val="nil"/>
              <w:left w:val="nil"/>
              <w:bottom w:val="single" w:sz="4" w:space="0" w:color="auto"/>
              <w:right w:val="single" w:sz="4" w:space="0" w:color="auto"/>
            </w:tcBorders>
            <w:shd w:val="clear" w:color="auto" w:fill="auto"/>
            <w:noWrap/>
            <w:vAlign w:val="bottom"/>
            <w:hideMark/>
          </w:tcPr>
          <w:p w14:paraId="1CD3519C"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0.08</w:t>
            </w:r>
          </w:p>
        </w:tc>
      </w:tr>
      <w:tr w:rsidR="00CD6352" w:rsidRPr="0081709A" w14:paraId="5D63D3BD"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6A6F4BD7"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Management profile</w:t>
            </w:r>
          </w:p>
        </w:tc>
        <w:tc>
          <w:tcPr>
            <w:tcW w:w="1843" w:type="dxa"/>
            <w:tcBorders>
              <w:top w:val="nil"/>
              <w:left w:val="nil"/>
              <w:bottom w:val="single" w:sz="4" w:space="0" w:color="auto"/>
              <w:right w:val="single" w:sz="4" w:space="0" w:color="auto"/>
            </w:tcBorders>
            <w:shd w:val="clear" w:color="auto" w:fill="auto"/>
            <w:noWrap/>
            <w:vAlign w:val="bottom"/>
            <w:hideMark/>
          </w:tcPr>
          <w:p w14:paraId="4ABD5B49"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0.06</w:t>
            </w:r>
          </w:p>
        </w:tc>
      </w:tr>
      <w:tr w:rsidR="00CD6352" w:rsidRPr="0081709A" w14:paraId="2A68DB31"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59BED9CB"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Land title</w:t>
            </w:r>
          </w:p>
        </w:tc>
        <w:tc>
          <w:tcPr>
            <w:tcW w:w="1843" w:type="dxa"/>
            <w:tcBorders>
              <w:top w:val="nil"/>
              <w:left w:val="nil"/>
              <w:bottom w:val="single" w:sz="4" w:space="0" w:color="auto"/>
              <w:right w:val="single" w:sz="4" w:space="0" w:color="auto"/>
            </w:tcBorders>
            <w:shd w:val="clear" w:color="auto" w:fill="auto"/>
            <w:noWrap/>
            <w:vAlign w:val="bottom"/>
            <w:hideMark/>
          </w:tcPr>
          <w:p w14:paraId="09B61C50"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0.003</w:t>
            </w:r>
          </w:p>
        </w:tc>
      </w:tr>
      <w:tr w:rsidR="00CD6352" w:rsidRPr="0081709A" w14:paraId="18E5B6A6"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13ADAE23"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Loan agreement</w:t>
            </w:r>
          </w:p>
        </w:tc>
        <w:tc>
          <w:tcPr>
            <w:tcW w:w="1843" w:type="dxa"/>
            <w:tcBorders>
              <w:top w:val="nil"/>
              <w:left w:val="nil"/>
              <w:bottom w:val="single" w:sz="4" w:space="0" w:color="auto"/>
              <w:right w:val="single" w:sz="4" w:space="0" w:color="auto"/>
            </w:tcBorders>
            <w:shd w:val="clear" w:color="auto" w:fill="auto"/>
            <w:noWrap/>
            <w:vAlign w:val="bottom"/>
            <w:hideMark/>
          </w:tcPr>
          <w:p w14:paraId="08FE2532"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0.001</w:t>
            </w:r>
          </w:p>
        </w:tc>
      </w:tr>
      <w:tr w:rsidR="00CD6352" w:rsidRPr="0081709A" w14:paraId="677D2EF1"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3F9CBCB8"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Details of the proposed project</w:t>
            </w:r>
          </w:p>
        </w:tc>
        <w:tc>
          <w:tcPr>
            <w:tcW w:w="1843" w:type="dxa"/>
            <w:tcBorders>
              <w:top w:val="nil"/>
              <w:left w:val="nil"/>
              <w:bottom w:val="single" w:sz="4" w:space="0" w:color="auto"/>
              <w:right w:val="single" w:sz="4" w:space="0" w:color="auto"/>
            </w:tcBorders>
            <w:shd w:val="clear" w:color="auto" w:fill="auto"/>
            <w:noWrap/>
            <w:vAlign w:val="bottom"/>
            <w:hideMark/>
          </w:tcPr>
          <w:p w14:paraId="7B00C471"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w:t>
            </w:r>
          </w:p>
        </w:tc>
      </w:tr>
      <w:tr w:rsidR="00CD6352" w:rsidRPr="0081709A" w14:paraId="2A83FD65" w14:textId="77777777" w:rsidTr="00CD6352">
        <w:trPr>
          <w:trHeight w:val="225"/>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487EB22F" w14:textId="77777777" w:rsidR="00CD6352" w:rsidRPr="0081709A" w:rsidRDefault="00CD6352" w:rsidP="00CD6352">
            <w:pPr>
              <w:spacing w:after="0" w:line="240" w:lineRule="auto"/>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Due diligence</w:t>
            </w:r>
          </w:p>
        </w:tc>
        <w:tc>
          <w:tcPr>
            <w:tcW w:w="1843" w:type="dxa"/>
            <w:tcBorders>
              <w:top w:val="nil"/>
              <w:left w:val="nil"/>
              <w:bottom w:val="single" w:sz="4" w:space="0" w:color="auto"/>
              <w:right w:val="single" w:sz="4" w:space="0" w:color="auto"/>
            </w:tcBorders>
            <w:shd w:val="clear" w:color="auto" w:fill="auto"/>
            <w:noWrap/>
            <w:vAlign w:val="bottom"/>
            <w:hideMark/>
          </w:tcPr>
          <w:p w14:paraId="3F869EB9" w14:textId="77777777" w:rsidR="00CD6352" w:rsidRPr="0081709A" w:rsidRDefault="00CD6352" w:rsidP="00CD6352">
            <w:pPr>
              <w:spacing w:after="0" w:line="240" w:lineRule="auto"/>
              <w:jc w:val="right"/>
              <w:rPr>
                <w:rFonts w:ascii="Arial" w:eastAsia="Times New Roman" w:hAnsi="Arial" w:cs="Arial"/>
                <w:color w:val="000000"/>
                <w:sz w:val="16"/>
                <w:szCs w:val="16"/>
                <w:lang w:eastAsia="en-GB"/>
              </w:rPr>
            </w:pPr>
            <w:r w:rsidRPr="0081709A">
              <w:rPr>
                <w:rFonts w:ascii="Arial" w:eastAsia="Times New Roman" w:hAnsi="Arial" w:cs="Arial"/>
                <w:color w:val="000000"/>
                <w:sz w:val="16"/>
                <w:szCs w:val="16"/>
                <w:lang w:eastAsia="en-GB"/>
              </w:rPr>
              <w:t>0</w:t>
            </w:r>
          </w:p>
        </w:tc>
      </w:tr>
    </w:tbl>
    <w:p w14:paraId="249CCB88" w14:textId="77777777" w:rsidR="00CD6352" w:rsidRPr="0081709A" w:rsidRDefault="00CD6352" w:rsidP="00CD6352">
      <w:pPr>
        <w:rPr>
          <w:rFonts w:ascii="Arial" w:hAnsi="Arial" w:cs="Arial"/>
          <w:sz w:val="16"/>
          <w:szCs w:val="16"/>
        </w:rPr>
      </w:pPr>
    </w:p>
    <w:p w14:paraId="2E38F0F5" w14:textId="34B035D3" w:rsidR="00CD6352" w:rsidRPr="003B79AD" w:rsidRDefault="00CD6352" w:rsidP="00CD6352">
      <w:pPr>
        <w:spacing w:line="360" w:lineRule="auto"/>
        <w:rPr>
          <w:rFonts w:ascii="Arial" w:hAnsi="Arial" w:cs="Arial"/>
        </w:rPr>
      </w:pPr>
      <w:r w:rsidRPr="007A074B">
        <w:rPr>
          <w:rFonts w:ascii="Arial" w:hAnsi="Arial" w:cs="Arial"/>
        </w:rPr>
        <w:t xml:space="preserve">The </w:t>
      </w:r>
      <w:r>
        <w:rPr>
          <w:rFonts w:ascii="Arial" w:hAnsi="Arial" w:cs="Arial"/>
        </w:rPr>
        <w:t>S</w:t>
      </w:r>
      <w:r w:rsidRPr="007A074B">
        <w:rPr>
          <w:rFonts w:ascii="Arial" w:hAnsi="Arial" w:cs="Arial"/>
        </w:rPr>
        <w:t xml:space="preserve">pearman correlation coefficient in </w:t>
      </w:r>
      <w:r w:rsidR="0081709A">
        <w:rPr>
          <w:rFonts w:ascii="Arial" w:hAnsi="Arial" w:cs="Arial"/>
        </w:rPr>
        <w:t>T</w:t>
      </w:r>
      <w:r w:rsidRPr="007A074B">
        <w:rPr>
          <w:rFonts w:ascii="Arial" w:hAnsi="Arial" w:cs="Arial"/>
        </w:rPr>
        <w:t>able 5.</w:t>
      </w:r>
      <w:r w:rsidR="0081709A">
        <w:rPr>
          <w:rFonts w:ascii="Arial" w:hAnsi="Arial" w:cs="Arial"/>
        </w:rPr>
        <w:t>3.4</w:t>
      </w:r>
      <w:r w:rsidRPr="007A074B">
        <w:rPr>
          <w:rFonts w:ascii="Arial" w:hAnsi="Arial" w:cs="Arial"/>
        </w:rPr>
        <w:t xml:space="preserve"> shows </w:t>
      </w:r>
      <w:r w:rsidRPr="00D410A3">
        <w:rPr>
          <w:rFonts w:ascii="Arial" w:hAnsi="Arial" w:cs="Arial"/>
        </w:rPr>
        <w:t xml:space="preserve">a strong to </w:t>
      </w:r>
      <w:r w:rsidR="0081709A">
        <w:rPr>
          <w:rFonts w:ascii="Arial" w:hAnsi="Arial" w:cs="Arial"/>
        </w:rPr>
        <w:t xml:space="preserve">a </w:t>
      </w:r>
      <w:r w:rsidRPr="00D410A3">
        <w:rPr>
          <w:rFonts w:ascii="Arial" w:hAnsi="Arial" w:cs="Arial"/>
        </w:rPr>
        <w:t>very strong correlation between levels of management and certain criteria required by financiers</w:t>
      </w:r>
      <w:r w:rsidR="001006E8">
        <w:rPr>
          <w:rFonts w:ascii="Arial" w:hAnsi="Arial" w:cs="Arial"/>
        </w:rPr>
        <w:t>,</w:t>
      </w:r>
      <w:r w:rsidRPr="00D410A3">
        <w:rPr>
          <w:rFonts w:ascii="Arial" w:hAnsi="Arial" w:cs="Arial"/>
        </w:rPr>
        <w:t xml:space="preserve"> which include </w:t>
      </w:r>
      <w:r w:rsidR="0081709A">
        <w:rPr>
          <w:rFonts w:ascii="Arial" w:hAnsi="Arial" w:cs="Arial"/>
        </w:rPr>
        <w:t xml:space="preserve">the </w:t>
      </w:r>
      <w:r w:rsidRPr="00D410A3">
        <w:rPr>
          <w:rFonts w:ascii="Arial" w:hAnsi="Arial" w:cs="Arial"/>
        </w:rPr>
        <w:t>usage of hedging instruments, performance support guarantees, collateral to mitigate default and indemnification. The arrangement of the management level on the</w:t>
      </w:r>
      <w:r w:rsidRPr="007A074B">
        <w:rPr>
          <w:rFonts w:ascii="Arial" w:hAnsi="Arial" w:cs="Arial"/>
        </w:rPr>
        <w:t xml:space="preserve"> questionnaire survey is inverse</w:t>
      </w:r>
      <w:r w:rsidR="001006E8">
        <w:rPr>
          <w:rFonts w:ascii="Arial" w:hAnsi="Arial" w:cs="Arial"/>
        </w:rPr>
        <w:t>;</w:t>
      </w:r>
      <w:r w:rsidRPr="007A074B">
        <w:rPr>
          <w:rFonts w:ascii="Arial" w:hAnsi="Arial" w:cs="Arial"/>
        </w:rPr>
        <w:t xml:space="preserve"> hence financiers request more for the </w:t>
      </w:r>
      <w:r w:rsidR="00E31552" w:rsidRPr="007A074B">
        <w:rPr>
          <w:rFonts w:ascii="Arial" w:hAnsi="Arial" w:cs="Arial"/>
        </w:rPr>
        <w:t>above-mentioned</w:t>
      </w:r>
      <w:r w:rsidRPr="007A074B">
        <w:rPr>
          <w:rFonts w:ascii="Arial" w:hAnsi="Arial" w:cs="Arial"/>
        </w:rPr>
        <w:t xml:space="preserve"> criteria </w:t>
      </w:r>
      <w:r>
        <w:rPr>
          <w:rFonts w:ascii="Arial" w:hAnsi="Arial" w:cs="Arial"/>
        </w:rPr>
        <w:t xml:space="preserve">with a positive correlation coefficient </w:t>
      </w:r>
      <w:r w:rsidRPr="007A074B">
        <w:rPr>
          <w:rFonts w:ascii="Arial" w:hAnsi="Arial" w:cs="Arial"/>
        </w:rPr>
        <w:t>as managers tend towards lower</w:t>
      </w:r>
      <w:r w:rsidR="0081709A">
        <w:rPr>
          <w:rFonts w:ascii="Arial" w:hAnsi="Arial" w:cs="Arial"/>
        </w:rPr>
        <w:t>-</w:t>
      </w:r>
      <w:r w:rsidRPr="007A074B">
        <w:rPr>
          <w:rFonts w:ascii="Arial" w:hAnsi="Arial" w:cs="Arial"/>
        </w:rPr>
        <w:t>level management.</w:t>
      </w:r>
      <w:r>
        <w:rPr>
          <w:rFonts w:ascii="Arial" w:hAnsi="Arial" w:cs="Arial"/>
        </w:rPr>
        <w:t xml:space="preserve"> Audited financial reports, capital base, feasibility report, loan agreements, management’s profile and necessary permits all have weak relationships with the levels of management while, land title, details of </w:t>
      </w:r>
      <w:r w:rsidR="0081709A">
        <w:rPr>
          <w:rFonts w:ascii="Arial" w:hAnsi="Arial" w:cs="Arial"/>
        </w:rPr>
        <w:t xml:space="preserve">the </w:t>
      </w:r>
      <w:r>
        <w:rPr>
          <w:rFonts w:ascii="Arial" w:hAnsi="Arial" w:cs="Arial"/>
        </w:rPr>
        <w:t xml:space="preserve">proposed project and due diligence </w:t>
      </w:r>
      <w:r w:rsidR="0081709A">
        <w:rPr>
          <w:rFonts w:ascii="Arial" w:hAnsi="Arial" w:cs="Arial"/>
        </w:rPr>
        <w:t>do not correlate</w:t>
      </w:r>
      <w:r>
        <w:rPr>
          <w:rFonts w:ascii="Arial" w:hAnsi="Arial" w:cs="Arial"/>
        </w:rPr>
        <w:t xml:space="preserve"> with the levels of </w:t>
      </w:r>
      <w:r w:rsidRPr="003B79AD">
        <w:rPr>
          <w:rFonts w:ascii="Arial" w:hAnsi="Arial" w:cs="Arial"/>
        </w:rPr>
        <w:t>management.</w:t>
      </w:r>
    </w:p>
    <w:p w14:paraId="72C019B9" w14:textId="74065DF6" w:rsidR="009A408A" w:rsidRDefault="009A408A" w:rsidP="003B79AD">
      <w:pPr>
        <w:shd w:val="clear" w:color="auto" w:fill="FFFFFF" w:themeFill="background1"/>
        <w:spacing w:line="360" w:lineRule="auto"/>
        <w:rPr>
          <w:rFonts w:ascii="Arial" w:hAnsi="Arial" w:cs="Arial"/>
        </w:rPr>
      </w:pPr>
      <w:bookmarkStart w:id="1141" w:name="_Hlk63791659"/>
      <w:r w:rsidRPr="003B79AD">
        <w:rPr>
          <w:rFonts w:ascii="Arial" w:hAnsi="Arial" w:cs="Arial"/>
        </w:rPr>
        <w:t>The strong correlation between lower managerial level</w:t>
      </w:r>
      <w:r w:rsidR="000F193C" w:rsidRPr="003B79AD">
        <w:rPr>
          <w:rFonts w:ascii="Arial" w:hAnsi="Arial" w:cs="Arial"/>
        </w:rPr>
        <w:t>s</w:t>
      </w:r>
      <w:r w:rsidRPr="003B79AD">
        <w:rPr>
          <w:rFonts w:ascii="Arial" w:hAnsi="Arial" w:cs="Arial"/>
        </w:rPr>
        <w:t xml:space="preserve"> and certain criteria been more demanded by financiers goes to show the relations between market</w:t>
      </w:r>
      <w:r w:rsidR="00847F11" w:rsidRPr="003B79AD">
        <w:rPr>
          <w:rFonts w:ascii="Arial" w:hAnsi="Arial" w:cs="Arial"/>
        </w:rPr>
        <w:t xml:space="preserve"> perception </w:t>
      </w:r>
      <w:r w:rsidR="007F742E" w:rsidRPr="003B79AD">
        <w:rPr>
          <w:rFonts w:ascii="Arial" w:hAnsi="Arial" w:cs="Arial"/>
        </w:rPr>
        <w:t>and managerial</w:t>
      </w:r>
      <w:r w:rsidRPr="003B79AD">
        <w:rPr>
          <w:rFonts w:ascii="Arial" w:hAnsi="Arial" w:cs="Arial"/>
        </w:rPr>
        <w:t xml:space="preserve"> hierarchies (</w:t>
      </w:r>
      <w:r w:rsidR="00847F11" w:rsidRPr="003B79AD">
        <w:rPr>
          <w:rFonts w:ascii="Arial" w:hAnsi="Arial" w:cs="Arial"/>
        </w:rPr>
        <w:t>Alexander,1979 &amp; McGuinness,1991).</w:t>
      </w:r>
      <w:r w:rsidR="00B557F8" w:rsidRPr="003B79AD">
        <w:rPr>
          <w:rFonts w:ascii="Arial" w:hAnsi="Arial" w:cs="Arial"/>
        </w:rPr>
        <w:t xml:space="preserve"> Arguably</w:t>
      </w:r>
      <w:r w:rsidR="006941DB">
        <w:rPr>
          <w:rFonts w:ascii="Arial" w:hAnsi="Arial" w:cs="Arial"/>
        </w:rPr>
        <w:t>, the risks in dealing with man</w:t>
      </w:r>
      <w:r w:rsidR="00FA6F13">
        <w:rPr>
          <w:rFonts w:ascii="Arial" w:hAnsi="Arial" w:cs="Arial"/>
        </w:rPr>
        <w:t>a</w:t>
      </w:r>
      <w:r w:rsidR="006941DB">
        <w:rPr>
          <w:rFonts w:ascii="Arial" w:hAnsi="Arial" w:cs="Arial"/>
        </w:rPr>
        <w:t>gers are higher at the lower levels, hence the need for financiers to demand more risks to mitigate and reduce tools such as hedging instruments, guarantees, collateral,</w:t>
      </w:r>
      <w:r w:rsidR="00B557F8" w:rsidRPr="003B79AD">
        <w:rPr>
          <w:rFonts w:ascii="Arial" w:hAnsi="Arial" w:cs="Arial"/>
        </w:rPr>
        <w:t xml:space="preserve"> and indemnification.</w:t>
      </w:r>
      <w:r w:rsidR="00B557F8">
        <w:rPr>
          <w:rFonts w:ascii="Arial" w:hAnsi="Arial" w:cs="Arial"/>
        </w:rPr>
        <w:t xml:space="preserve"> </w:t>
      </w:r>
    </w:p>
    <w:p w14:paraId="5980A498" w14:textId="77777777" w:rsidR="00CD6352" w:rsidRPr="00EA7665" w:rsidRDefault="00CD6352" w:rsidP="00CD6352">
      <w:pPr>
        <w:pStyle w:val="Heading3"/>
        <w:spacing w:after="240"/>
        <w:rPr>
          <w:rFonts w:eastAsia="Calibri"/>
          <w:sz w:val="22"/>
          <w:szCs w:val="22"/>
        </w:rPr>
      </w:pPr>
      <w:bookmarkStart w:id="1142" w:name="_Toc33468126"/>
      <w:bookmarkStart w:id="1143" w:name="_Toc78983851"/>
      <w:bookmarkEnd w:id="1141"/>
      <w:r w:rsidRPr="00EA7665">
        <w:rPr>
          <w:rFonts w:eastAsia="Calibri"/>
          <w:sz w:val="22"/>
          <w:szCs w:val="22"/>
        </w:rPr>
        <w:lastRenderedPageBreak/>
        <w:t>Semi-structured interview analysis and discussion</w:t>
      </w:r>
      <w:bookmarkEnd w:id="1142"/>
      <w:bookmarkEnd w:id="1143"/>
    </w:p>
    <w:p w14:paraId="373740E6" w14:textId="115A04ED" w:rsidR="00CD6352" w:rsidRDefault="00CD6352" w:rsidP="00CD6352">
      <w:pPr>
        <w:spacing w:line="360" w:lineRule="auto"/>
        <w:jc w:val="both"/>
        <w:rPr>
          <w:rFonts w:ascii="Arial" w:eastAsia="Calibri" w:hAnsi="Arial" w:cs="Arial"/>
        </w:rPr>
      </w:pPr>
      <w:r w:rsidRPr="000F193C">
        <w:rPr>
          <w:rFonts w:ascii="Arial" w:eastAsia="Calibri" w:hAnsi="Arial" w:cs="Arial"/>
        </w:rPr>
        <w:t>The summary of the major criteria for securing finance for real estate project development in the developed and emerging economies based</w:t>
      </w:r>
      <w:r>
        <w:rPr>
          <w:rFonts w:ascii="Arial" w:eastAsia="Calibri" w:hAnsi="Arial" w:cs="Arial"/>
        </w:rPr>
        <w:t xml:space="preserve"> on the semi-structured interview is contained in </w:t>
      </w:r>
      <w:r w:rsidR="00FA6F13">
        <w:rPr>
          <w:rFonts w:ascii="Arial" w:eastAsia="Calibri" w:hAnsi="Arial" w:cs="Arial"/>
        </w:rPr>
        <w:t>Tables</w:t>
      </w:r>
      <w:r>
        <w:rPr>
          <w:rFonts w:ascii="Arial" w:eastAsia="Calibri" w:hAnsi="Arial" w:cs="Arial"/>
        </w:rPr>
        <w:t xml:space="preserve"> 5.</w:t>
      </w:r>
      <w:r w:rsidR="0081709A">
        <w:rPr>
          <w:rFonts w:ascii="Arial" w:eastAsia="Calibri" w:hAnsi="Arial" w:cs="Arial"/>
        </w:rPr>
        <w:t>3.5</w:t>
      </w:r>
      <w:r>
        <w:rPr>
          <w:rFonts w:ascii="Arial" w:eastAsia="Calibri" w:hAnsi="Arial" w:cs="Arial"/>
        </w:rPr>
        <w:t xml:space="preserve"> and 5.</w:t>
      </w:r>
      <w:r w:rsidR="0081709A">
        <w:rPr>
          <w:rFonts w:ascii="Arial" w:eastAsia="Calibri" w:hAnsi="Arial" w:cs="Arial"/>
        </w:rPr>
        <w:t>3.6</w:t>
      </w:r>
      <w:r w:rsidR="003E20BC">
        <w:rPr>
          <w:rFonts w:ascii="Arial" w:eastAsia="Calibri" w:hAnsi="Arial" w:cs="Arial"/>
        </w:rPr>
        <w:t>,</w:t>
      </w:r>
      <w:r>
        <w:rPr>
          <w:rFonts w:ascii="Arial" w:eastAsia="Calibri" w:hAnsi="Arial" w:cs="Arial"/>
        </w:rPr>
        <w:t xml:space="preserve"> respectively.</w:t>
      </w:r>
    </w:p>
    <w:p w14:paraId="5DC17DB0" w14:textId="67EBC83C" w:rsidR="00CD6352" w:rsidRPr="002D7D4A" w:rsidRDefault="00CD6352" w:rsidP="00CD6352">
      <w:pPr>
        <w:spacing w:line="360" w:lineRule="auto"/>
        <w:ind w:left="720"/>
        <w:jc w:val="both"/>
        <w:rPr>
          <w:rFonts w:ascii="Arial" w:eastAsia="Calibri" w:hAnsi="Arial" w:cs="Arial"/>
          <w:i/>
          <w:iCs/>
        </w:rPr>
      </w:pPr>
      <w:r w:rsidRPr="002D7D4A">
        <w:rPr>
          <w:rFonts w:ascii="Arial" w:eastAsia="Calibri" w:hAnsi="Arial" w:cs="Arial"/>
          <w:i/>
          <w:iCs/>
        </w:rPr>
        <w:t>The managers interviewed were asked to discuss the main criteria required of them by funding institutions to avail them funds for real estate project development.</w:t>
      </w:r>
    </w:p>
    <w:p w14:paraId="46AE626F" w14:textId="6C5318DB" w:rsidR="0081709A" w:rsidRPr="0081709A" w:rsidRDefault="0081709A" w:rsidP="0081709A">
      <w:pPr>
        <w:pStyle w:val="Caption"/>
        <w:keepNext/>
        <w:rPr>
          <w:rFonts w:ascii="Arial" w:hAnsi="Arial" w:cs="Arial"/>
          <w:sz w:val="16"/>
          <w:szCs w:val="16"/>
        </w:rPr>
      </w:pPr>
      <w:r w:rsidRPr="0081709A">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5.3</w:t>
      </w:r>
      <w:r w:rsidR="008F25B1">
        <w:rPr>
          <w:rFonts w:ascii="Arial" w:hAnsi="Arial" w:cs="Arial"/>
          <w:sz w:val="16"/>
          <w:szCs w:val="16"/>
        </w:rPr>
        <w:fldChar w:fldCharType="end"/>
      </w:r>
      <w:r w:rsidR="008F25B1">
        <w:rPr>
          <w:rFonts w:ascii="Arial" w:hAnsi="Arial" w:cs="Arial"/>
          <w:sz w:val="16"/>
          <w:szCs w:val="16"/>
        </w:rPr>
        <w:noBreakHyphen/>
      </w:r>
      <w:r w:rsidR="003E20BC">
        <w:rPr>
          <w:rFonts w:ascii="Arial" w:hAnsi="Arial" w:cs="Arial"/>
          <w:sz w:val="16"/>
          <w:szCs w:val="16"/>
        </w:rPr>
        <w:t>5</w:t>
      </w:r>
      <w:r w:rsidRPr="0081709A">
        <w:rPr>
          <w:rFonts w:ascii="Arial" w:hAnsi="Arial" w:cs="Arial"/>
          <w:sz w:val="16"/>
          <w:szCs w:val="16"/>
        </w:rPr>
        <w:t xml:space="preserve">: </w:t>
      </w:r>
      <w:r w:rsidRPr="0081709A">
        <w:rPr>
          <w:rFonts w:ascii="Arial" w:hAnsi="Arial" w:cs="Arial"/>
          <w:i w:val="0"/>
          <w:iCs w:val="0"/>
          <w:sz w:val="16"/>
          <w:szCs w:val="16"/>
        </w:rPr>
        <w:t>Criteria financing institutions require for lending for real estate project development in developed economies.</w:t>
      </w:r>
    </w:p>
    <w:p w14:paraId="65643652" w14:textId="1AD65D63" w:rsidR="008F25B1" w:rsidRDefault="008F25B1" w:rsidP="007625E7">
      <w:pPr>
        <w:pStyle w:val="Caption"/>
        <w:keepNext/>
      </w:pPr>
    </w:p>
    <w:tbl>
      <w:tblPr>
        <w:tblStyle w:val="TableGrid"/>
        <w:tblW w:w="5000" w:type="pct"/>
        <w:tblLook w:val="04A0" w:firstRow="1" w:lastRow="0" w:firstColumn="1" w:lastColumn="0" w:noHBand="0" w:noVBand="1"/>
      </w:tblPr>
      <w:tblGrid>
        <w:gridCol w:w="1006"/>
        <w:gridCol w:w="8010"/>
      </w:tblGrid>
      <w:tr w:rsidR="00CD6352" w:rsidRPr="0081709A" w14:paraId="14BE631D" w14:textId="77777777" w:rsidTr="00CD6352">
        <w:tc>
          <w:tcPr>
            <w:tcW w:w="558" w:type="pct"/>
          </w:tcPr>
          <w:p w14:paraId="042B7CEF" w14:textId="77777777" w:rsidR="00CD6352" w:rsidRPr="0081709A" w:rsidRDefault="00CD6352" w:rsidP="00CD6352">
            <w:pPr>
              <w:jc w:val="both"/>
              <w:rPr>
                <w:rFonts w:ascii="Arial" w:eastAsia="Calibri" w:hAnsi="Arial" w:cs="Arial"/>
                <w:b/>
                <w:sz w:val="16"/>
                <w:szCs w:val="16"/>
              </w:rPr>
            </w:pPr>
            <w:r w:rsidRPr="0081709A">
              <w:rPr>
                <w:rFonts w:ascii="Arial" w:eastAsia="Calibri" w:hAnsi="Arial" w:cs="Arial"/>
                <w:b/>
                <w:sz w:val="16"/>
                <w:szCs w:val="16"/>
              </w:rPr>
              <w:t>Country &amp; Manager</w:t>
            </w:r>
          </w:p>
        </w:tc>
        <w:tc>
          <w:tcPr>
            <w:tcW w:w="4442" w:type="pct"/>
          </w:tcPr>
          <w:p w14:paraId="13649540" w14:textId="77777777" w:rsidR="00CD6352" w:rsidRPr="0081709A" w:rsidRDefault="00CD6352" w:rsidP="00CD6352">
            <w:pPr>
              <w:jc w:val="both"/>
              <w:rPr>
                <w:rFonts w:ascii="Arial" w:eastAsia="Calibri" w:hAnsi="Arial" w:cs="Arial"/>
                <w:b/>
                <w:sz w:val="16"/>
                <w:szCs w:val="16"/>
              </w:rPr>
            </w:pPr>
            <w:r w:rsidRPr="0081709A">
              <w:rPr>
                <w:rFonts w:ascii="Arial" w:eastAsia="Calibri" w:hAnsi="Arial" w:cs="Arial"/>
                <w:b/>
                <w:sz w:val="16"/>
                <w:szCs w:val="16"/>
              </w:rPr>
              <w:t>Major criteria required by financing institutions for real estate project financing in developed economies</w:t>
            </w:r>
          </w:p>
        </w:tc>
      </w:tr>
      <w:tr w:rsidR="00CD6352" w:rsidRPr="0081709A" w14:paraId="09149EEB" w14:textId="77777777" w:rsidTr="00CD6352">
        <w:tc>
          <w:tcPr>
            <w:tcW w:w="558" w:type="pct"/>
          </w:tcPr>
          <w:p w14:paraId="66ECFF1D"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Germany Mgr1</w:t>
            </w:r>
          </w:p>
        </w:tc>
        <w:tc>
          <w:tcPr>
            <w:tcW w:w="4442" w:type="pct"/>
          </w:tcPr>
          <w:p w14:paraId="2D03E27D"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Tax returns </w:t>
            </w:r>
          </w:p>
        </w:tc>
      </w:tr>
      <w:tr w:rsidR="00CD6352" w:rsidRPr="0081709A" w14:paraId="4F425BB9" w14:textId="77777777" w:rsidTr="00CD6352">
        <w:tc>
          <w:tcPr>
            <w:tcW w:w="558" w:type="pct"/>
          </w:tcPr>
          <w:p w14:paraId="7721581D"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Germany Mgr 2</w:t>
            </w:r>
          </w:p>
        </w:tc>
        <w:tc>
          <w:tcPr>
            <w:tcW w:w="4442" w:type="pct"/>
          </w:tcPr>
          <w:p w14:paraId="553E39F5"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Equity contribution, details of potential rent, details of the property to be developed, information on the location of the property, information on the prime mover / Know your customer (KYC) information.</w:t>
            </w:r>
          </w:p>
        </w:tc>
      </w:tr>
      <w:tr w:rsidR="00CD6352" w:rsidRPr="0081709A" w14:paraId="1D1CD407" w14:textId="77777777" w:rsidTr="00CD6352">
        <w:tc>
          <w:tcPr>
            <w:tcW w:w="558" w:type="pct"/>
          </w:tcPr>
          <w:p w14:paraId="3FC59B61"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Germany Mgr3</w:t>
            </w:r>
          </w:p>
        </w:tc>
        <w:tc>
          <w:tcPr>
            <w:tcW w:w="4442" w:type="pct"/>
          </w:tcPr>
          <w:p w14:paraId="1AE6A38B" w14:textId="14B41713"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Understanding </w:t>
            </w:r>
            <w:r w:rsidR="006941DB">
              <w:rPr>
                <w:rFonts w:ascii="Arial" w:eastAsia="Calibri" w:hAnsi="Arial" w:cs="Arial"/>
                <w:sz w:val="16"/>
                <w:szCs w:val="16"/>
              </w:rPr>
              <w:t>the risk, ensure the developer/ real estate manager has plans to mitigate potential risk,</w:t>
            </w:r>
            <w:r w:rsidRPr="0081709A">
              <w:rPr>
                <w:rFonts w:ascii="Arial" w:eastAsia="Calibri" w:hAnsi="Arial" w:cs="Arial"/>
                <w:sz w:val="16"/>
                <w:szCs w:val="16"/>
              </w:rPr>
              <w:t xml:space="preserve"> which include letting, construction and contractual risk, availability of pre-letting arrangement of up to 30% of the price of building and establishment of KYC (Know your customer) procedures. </w:t>
            </w:r>
          </w:p>
        </w:tc>
      </w:tr>
      <w:tr w:rsidR="00CD6352" w:rsidRPr="0081709A" w14:paraId="0EEE8798" w14:textId="77777777" w:rsidTr="00CD6352">
        <w:tc>
          <w:tcPr>
            <w:tcW w:w="558" w:type="pct"/>
          </w:tcPr>
          <w:p w14:paraId="75FEE3C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Germany Mgr 4</w:t>
            </w:r>
          </w:p>
        </w:tc>
        <w:tc>
          <w:tcPr>
            <w:tcW w:w="4442" w:type="pct"/>
          </w:tcPr>
          <w:p w14:paraId="4E758EA7" w14:textId="112DCF81"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Availability of prospective tenants, formal due diligence process, access to expected rents based on contracted tenants’ agreement, legal</w:t>
            </w:r>
            <w:r w:rsidR="001006E8">
              <w:rPr>
                <w:rFonts w:ascii="Arial" w:eastAsia="Calibri" w:hAnsi="Arial" w:cs="Arial"/>
                <w:sz w:val="16"/>
                <w:szCs w:val="16"/>
              </w:rPr>
              <w:t>,</w:t>
            </w:r>
            <w:r w:rsidRPr="0081709A">
              <w:rPr>
                <w:rFonts w:ascii="Arial" w:eastAsia="Calibri" w:hAnsi="Arial" w:cs="Arial"/>
                <w:sz w:val="16"/>
                <w:szCs w:val="16"/>
              </w:rPr>
              <w:t xml:space="preserve"> due diligence, technical due diligence</w:t>
            </w:r>
            <w:r w:rsidR="001006E8">
              <w:rPr>
                <w:rFonts w:ascii="Arial" w:eastAsia="Calibri" w:hAnsi="Arial" w:cs="Arial"/>
                <w:sz w:val="16"/>
                <w:szCs w:val="16"/>
              </w:rPr>
              <w:t>,</w:t>
            </w:r>
            <w:r w:rsidRPr="0081709A">
              <w:rPr>
                <w:rFonts w:ascii="Arial" w:eastAsia="Calibri" w:hAnsi="Arial" w:cs="Arial"/>
                <w:sz w:val="16"/>
                <w:szCs w:val="16"/>
              </w:rPr>
              <w:t xml:space="preserve"> and track records </w:t>
            </w:r>
          </w:p>
        </w:tc>
      </w:tr>
      <w:tr w:rsidR="00CD6352" w:rsidRPr="0081709A" w14:paraId="22888A72" w14:textId="77777777" w:rsidTr="00CD6352">
        <w:tc>
          <w:tcPr>
            <w:tcW w:w="558" w:type="pct"/>
          </w:tcPr>
          <w:p w14:paraId="6FD48D6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Germany Mgr 5</w:t>
            </w:r>
          </w:p>
        </w:tc>
        <w:tc>
          <w:tcPr>
            <w:tcW w:w="4442" w:type="pct"/>
          </w:tcPr>
          <w:p w14:paraId="4841E204"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Information on the asset from the land register, ground plans, rental details, information on the real estate company, information on the directors of the real estate company, financial statement and  Company’s ownership structure  </w:t>
            </w:r>
          </w:p>
        </w:tc>
      </w:tr>
      <w:tr w:rsidR="00CD6352" w:rsidRPr="0081709A" w14:paraId="2CB7AE70" w14:textId="77777777" w:rsidTr="00CD6352">
        <w:tc>
          <w:tcPr>
            <w:tcW w:w="558" w:type="pct"/>
          </w:tcPr>
          <w:p w14:paraId="6B340CD4"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Germany Mgr6</w:t>
            </w:r>
          </w:p>
        </w:tc>
        <w:tc>
          <w:tcPr>
            <w:tcW w:w="4442" w:type="pct"/>
          </w:tcPr>
          <w:p w14:paraId="46DD23EA"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Track record, collateral, and a guarantee that they can be taken- over if the developers are not performing well  </w:t>
            </w:r>
          </w:p>
        </w:tc>
      </w:tr>
      <w:tr w:rsidR="00CD6352" w:rsidRPr="0081709A" w14:paraId="68248EE7" w14:textId="77777777" w:rsidTr="00CD6352">
        <w:tc>
          <w:tcPr>
            <w:tcW w:w="558" w:type="pct"/>
          </w:tcPr>
          <w:p w14:paraId="1DABBDC8"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Mgr1</w:t>
            </w:r>
          </w:p>
        </w:tc>
        <w:tc>
          <w:tcPr>
            <w:tcW w:w="4442" w:type="pct"/>
          </w:tcPr>
          <w:p w14:paraId="609C52E2" w14:textId="719B1B71"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Track record and experience in the industry and properties </w:t>
            </w:r>
          </w:p>
        </w:tc>
      </w:tr>
      <w:tr w:rsidR="00CD6352" w:rsidRPr="0081709A" w14:paraId="049D4064" w14:textId="77777777" w:rsidTr="00CD6352">
        <w:tc>
          <w:tcPr>
            <w:tcW w:w="558" w:type="pct"/>
          </w:tcPr>
          <w:p w14:paraId="5D8B15D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 2</w:t>
            </w:r>
          </w:p>
        </w:tc>
        <w:tc>
          <w:tcPr>
            <w:tcW w:w="4442" w:type="pct"/>
          </w:tcPr>
          <w:p w14:paraId="3BD20F2F"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Track record, a good relationship with the developers and cost of the project</w:t>
            </w:r>
          </w:p>
        </w:tc>
      </w:tr>
      <w:tr w:rsidR="00CD6352" w:rsidRPr="0081709A" w14:paraId="3C326381" w14:textId="77777777" w:rsidTr="00CD6352">
        <w:tc>
          <w:tcPr>
            <w:tcW w:w="558" w:type="pct"/>
          </w:tcPr>
          <w:p w14:paraId="1FBBE64A"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Mgr3</w:t>
            </w:r>
          </w:p>
        </w:tc>
        <w:tc>
          <w:tcPr>
            <w:tcW w:w="4442" w:type="pct"/>
          </w:tcPr>
          <w:p w14:paraId="067E73F0"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Business plan, cash flow, and  due diligence </w:t>
            </w:r>
          </w:p>
        </w:tc>
      </w:tr>
      <w:tr w:rsidR="00CD6352" w:rsidRPr="0081709A" w14:paraId="23BD0D9A" w14:textId="77777777" w:rsidTr="00CD6352">
        <w:tc>
          <w:tcPr>
            <w:tcW w:w="558" w:type="pct"/>
          </w:tcPr>
          <w:p w14:paraId="742010DF"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 4</w:t>
            </w:r>
          </w:p>
        </w:tc>
        <w:tc>
          <w:tcPr>
            <w:tcW w:w="4442" w:type="pct"/>
          </w:tcPr>
          <w:p w14:paraId="0D342005"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Collateral </w:t>
            </w:r>
          </w:p>
        </w:tc>
      </w:tr>
      <w:tr w:rsidR="00CD6352" w:rsidRPr="0081709A" w14:paraId="301A64A8" w14:textId="77777777" w:rsidTr="00CD6352">
        <w:trPr>
          <w:trHeight w:val="277"/>
        </w:trPr>
        <w:tc>
          <w:tcPr>
            <w:tcW w:w="558" w:type="pct"/>
          </w:tcPr>
          <w:p w14:paraId="26BF7FC0"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Mgr5</w:t>
            </w:r>
          </w:p>
        </w:tc>
        <w:tc>
          <w:tcPr>
            <w:tcW w:w="4442" w:type="pct"/>
          </w:tcPr>
          <w:p w14:paraId="1B94A213"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Track record, balance sheet, and  project viability</w:t>
            </w:r>
          </w:p>
        </w:tc>
      </w:tr>
      <w:tr w:rsidR="00CD6352" w:rsidRPr="0081709A" w14:paraId="08C4CEFC" w14:textId="77777777" w:rsidTr="00CD6352">
        <w:tc>
          <w:tcPr>
            <w:tcW w:w="558" w:type="pct"/>
          </w:tcPr>
          <w:p w14:paraId="7F944BE2"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Mgr6</w:t>
            </w:r>
          </w:p>
        </w:tc>
        <w:tc>
          <w:tcPr>
            <w:tcW w:w="4442" w:type="pct"/>
          </w:tcPr>
          <w:p w14:paraId="7730088C"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Loan document, first charge, land document, due diligence process and  guarantees </w:t>
            </w:r>
          </w:p>
        </w:tc>
      </w:tr>
      <w:tr w:rsidR="00CD6352" w:rsidRPr="0081709A" w14:paraId="33FC9E77" w14:textId="77777777" w:rsidTr="00CD6352">
        <w:tc>
          <w:tcPr>
            <w:tcW w:w="558" w:type="pct"/>
          </w:tcPr>
          <w:p w14:paraId="0145513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UK Mgr7</w:t>
            </w:r>
          </w:p>
        </w:tc>
        <w:tc>
          <w:tcPr>
            <w:tcW w:w="4442" w:type="pct"/>
          </w:tcPr>
          <w:p w14:paraId="5B49A99C"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Quality of income and value of an asset</w:t>
            </w:r>
          </w:p>
        </w:tc>
      </w:tr>
      <w:tr w:rsidR="00CD6352" w:rsidRPr="0081709A" w14:paraId="0D9C9798" w14:textId="77777777" w:rsidTr="00CD6352">
        <w:tc>
          <w:tcPr>
            <w:tcW w:w="558" w:type="pct"/>
          </w:tcPr>
          <w:p w14:paraId="7D580388"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US Mgr1</w:t>
            </w:r>
          </w:p>
        </w:tc>
        <w:tc>
          <w:tcPr>
            <w:tcW w:w="4442" w:type="pct"/>
          </w:tcPr>
          <w:p w14:paraId="348C837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Business plan, financing memorandum, and  detailed underwriting, </w:t>
            </w:r>
          </w:p>
        </w:tc>
      </w:tr>
      <w:tr w:rsidR="00CD6352" w:rsidRPr="0081709A" w14:paraId="4E238690" w14:textId="77777777" w:rsidTr="00CD6352">
        <w:tc>
          <w:tcPr>
            <w:tcW w:w="558" w:type="pct"/>
          </w:tcPr>
          <w:p w14:paraId="4B706581"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US Mgr2</w:t>
            </w:r>
          </w:p>
        </w:tc>
        <w:tc>
          <w:tcPr>
            <w:tcW w:w="4442" w:type="pct"/>
          </w:tcPr>
          <w:p w14:paraId="31F2E40D"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Return on investment  </w:t>
            </w:r>
          </w:p>
        </w:tc>
      </w:tr>
      <w:tr w:rsidR="00CD6352" w:rsidRPr="0081709A" w14:paraId="508F280D" w14:textId="77777777" w:rsidTr="00CD6352">
        <w:tc>
          <w:tcPr>
            <w:tcW w:w="558" w:type="pct"/>
          </w:tcPr>
          <w:p w14:paraId="43EE12DC"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US Mgr3</w:t>
            </w:r>
          </w:p>
        </w:tc>
        <w:tc>
          <w:tcPr>
            <w:tcW w:w="4442" w:type="pct"/>
          </w:tcPr>
          <w:p w14:paraId="1F5665E1"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Track record</w:t>
            </w:r>
          </w:p>
        </w:tc>
      </w:tr>
      <w:tr w:rsidR="00CD6352" w:rsidRPr="0081709A" w14:paraId="157240B7" w14:textId="77777777" w:rsidTr="00CD6352">
        <w:tc>
          <w:tcPr>
            <w:tcW w:w="558" w:type="pct"/>
          </w:tcPr>
          <w:p w14:paraId="1F00673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Us Mgr 4</w:t>
            </w:r>
          </w:p>
        </w:tc>
        <w:tc>
          <w:tcPr>
            <w:tcW w:w="4442" w:type="pct"/>
          </w:tcPr>
          <w:p w14:paraId="6D84A9C8"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Financial models, supporting documents that describe the site, geotechnical study, topographical survey, recent sales, market sales, rent, budget, schedule of the project for soft cost, hard cost and construction timing. </w:t>
            </w:r>
          </w:p>
        </w:tc>
      </w:tr>
      <w:tr w:rsidR="00CD6352" w:rsidRPr="0081709A" w14:paraId="20A7E5CE" w14:textId="77777777" w:rsidTr="00CD6352">
        <w:tc>
          <w:tcPr>
            <w:tcW w:w="558" w:type="pct"/>
          </w:tcPr>
          <w:p w14:paraId="5B29650D"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US Mgr 5</w:t>
            </w:r>
          </w:p>
        </w:tc>
        <w:tc>
          <w:tcPr>
            <w:tcW w:w="4442" w:type="pct"/>
          </w:tcPr>
          <w:p w14:paraId="5E1682E1"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Cash flow and track records</w:t>
            </w:r>
          </w:p>
        </w:tc>
      </w:tr>
    </w:tbl>
    <w:p w14:paraId="6427D12C" w14:textId="7270A75A" w:rsidR="00CD6352" w:rsidRDefault="00CD6352" w:rsidP="00CD6352">
      <w:pPr>
        <w:spacing w:line="360" w:lineRule="auto"/>
        <w:jc w:val="both"/>
        <w:rPr>
          <w:rFonts w:ascii="Arial" w:eastAsia="Calibri" w:hAnsi="Arial" w:cs="Arial"/>
          <w:i/>
          <w:iCs/>
        </w:rPr>
      </w:pPr>
    </w:p>
    <w:p w14:paraId="66D1208D" w14:textId="77777777" w:rsidR="00DA3ABF" w:rsidRPr="00EA7665" w:rsidRDefault="00DA3ABF" w:rsidP="00CD6352">
      <w:pPr>
        <w:spacing w:line="360" w:lineRule="auto"/>
        <w:jc w:val="both"/>
        <w:rPr>
          <w:rFonts w:ascii="Arial" w:eastAsia="Calibri" w:hAnsi="Arial" w:cs="Arial"/>
          <w:i/>
          <w:iCs/>
        </w:rPr>
      </w:pPr>
    </w:p>
    <w:p w14:paraId="19A346CD" w14:textId="402FF1F1" w:rsidR="0081709A" w:rsidRPr="0081709A" w:rsidRDefault="0081709A" w:rsidP="0081709A">
      <w:pPr>
        <w:pStyle w:val="Caption"/>
        <w:keepNext/>
        <w:rPr>
          <w:rFonts w:ascii="Arial" w:hAnsi="Arial" w:cs="Arial"/>
          <w:sz w:val="16"/>
          <w:szCs w:val="16"/>
        </w:rPr>
      </w:pPr>
      <w:r w:rsidRPr="0081709A">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5.3</w:t>
      </w:r>
      <w:r w:rsidR="008F25B1">
        <w:rPr>
          <w:rFonts w:ascii="Arial" w:hAnsi="Arial" w:cs="Arial"/>
          <w:sz w:val="16"/>
          <w:szCs w:val="16"/>
        </w:rPr>
        <w:fldChar w:fldCharType="end"/>
      </w:r>
      <w:r w:rsidR="008F25B1">
        <w:rPr>
          <w:rFonts w:ascii="Arial" w:hAnsi="Arial" w:cs="Arial"/>
          <w:sz w:val="16"/>
          <w:szCs w:val="16"/>
        </w:rPr>
        <w:noBreakHyphen/>
      </w:r>
      <w:r w:rsidR="003E20BC">
        <w:rPr>
          <w:rFonts w:ascii="Arial" w:hAnsi="Arial" w:cs="Arial"/>
          <w:sz w:val="16"/>
          <w:szCs w:val="16"/>
        </w:rPr>
        <w:t>6</w:t>
      </w:r>
      <w:r w:rsidRPr="0081709A">
        <w:rPr>
          <w:rFonts w:ascii="Arial" w:hAnsi="Arial" w:cs="Arial"/>
          <w:sz w:val="16"/>
          <w:szCs w:val="16"/>
        </w:rPr>
        <w:t>: Criteria financing institutions require for lending for real estate project development in emerging economies.</w:t>
      </w:r>
    </w:p>
    <w:tbl>
      <w:tblPr>
        <w:tblStyle w:val="TableGrid"/>
        <w:tblW w:w="0" w:type="auto"/>
        <w:tblLook w:val="04A0" w:firstRow="1" w:lastRow="0" w:firstColumn="1" w:lastColumn="0" w:noHBand="0" w:noVBand="1"/>
      </w:tblPr>
      <w:tblGrid>
        <w:gridCol w:w="1307"/>
        <w:gridCol w:w="7709"/>
      </w:tblGrid>
      <w:tr w:rsidR="00CD6352" w:rsidRPr="0081709A" w14:paraId="409B9646" w14:textId="77777777" w:rsidTr="00CD6352">
        <w:tc>
          <w:tcPr>
            <w:tcW w:w="0" w:type="auto"/>
          </w:tcPr>
          <w:p w14:paraId="4DD17C75" w14:textId="77777777" w:rsidR="00CD6352" w:rsidRPr="0081709A" w:rsidRDefault="00CD6352" w:rsidP="00CD6352">
            <w:pPr>
              <w:jc w:val="both"/>
              <w:rPr>
                <w:rFonts w:ascii="Arial" w:eastAsia="Calibri" w:hAnsi="Arial" w:cs="Arial"/>
                <w:b/>
                <w:sz w:val="16"/>
                <w:szCs w:val="16"/>
              </w:rPr>
            </w:pPr>
            <w:r w:rsidRPr="0081709A">
              <w:rPr>
                <w:rFonts w:ascii="Arial" w:eastAsia="Calibri" w:hAnsi="Arial" w:cs="Arial"/>
                <w:b/>
                <w:sz w:val="16"/>
                <w:szCs w:val="16"/>
              </w:rPr>
              <w:t>Country &amp; Manager</w:t>
            </w:r>
          </w:p>
        </w:tc>
        <w:tc>
          <w:tcPr>
            <w:tcW w:w="0" w:type="auto"/>
          </w:tcPr>
          <w:p w14:paraId="78A081AC" w14:textId="77777777" w:rsidR="00CD6352" w:rsidRPr="0081709A" w:rsidRDefault="00CD6352" w:rsidP="00CD6352">
            <w:pPr>
              <w:jc w:val="both"/>
              <w:rPr>
                <w:rFonts w:ascii="Arial" w:eastAsia="Calibri" w:hAnsi="Arial" w:cs="Arial"/>
                <w:b/>
                <w:sz w:val="16"/>
                <w:szCs w:val="16"/>
              </w:rPr>
            </w:pPr>
            <w:r w:rsidRPr="0081709A">
              <w:rPr>
                <w:rFonts w:ascii="Arial" w:eastAsia="Calibri" w:hAnsi="Arial" w:cs="Arial"/>
                <w:b/>
                <w:sz w:val="16"/>
                <w:szCs w:val="16"/>
              </w:rPr>
              <w:t>Major criteria required by financing institutions for real estate project financing in emerging economies</w:t>
            </w:r>
          </w:p>
        </w:tc>
      </w:tr>
      <w:tr w:rsidR="00CD6352" w:rsidRPr="0081709A" w14:paraId="0CCCD9BF" w14:textId="77777777" w:rsidTr="00CD6352">
        <w:tc>
          <w:tcPr>
            <w:tcW w:w="0" w:type="auto"/>
          </w:tcPr>
          <w:p w14:paraId="2BE0DFC3"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 1</w:t>
            </w:r>
          </w:p>
        </w:tc>
        <w:tc>
          <w:tcPr>
            <w:tcW w:w="0" w:type="auto"/>
          </w:tcPr>
          <w:p w14:paraId="6CF4F7A1"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Detail of pre-sale</w:t>
            </w:r>
          </w:p>
        </w:tc>
      </w:tr>
      <w:tr w:rsidR="00CD6352" w:rsidRPr="0081709A" w14:paraId="193912AE" w14:textId="77777777" w:rsidTr="00CD6352">
        <w:tc>
          <w:tcPr>
            <w:tcW w:w="0" w:type="auto"/>
          </w:tcPr>
          <w:p w14:paraId="29CA2A6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 2</w:t>
            </w:r>
          </w:p>
        </w:tc>
        <w:tc>
          <w:tcPr>
            <w:tcW w:w="0" w:type="auto"/>
          </w:tcPr>
          <w:p w14:paraId="4BC9D68F"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Projected returns and adherence to government regulations</w:t>
            </w:r>
          </w:p>
        </w:tc>
      </w:tr>
      <w:tr w:rsidR="00CD6352" w:rsidRPr="0081709A" w14:paraId="55940B6C" w14:textId="77777777" w:rsidTr="00CD6352">
        <w:tc>
          <w:tcPr>
            <w:tcW w:w="0" w:type="auto"/>
          </w:tcPr>
          <w:p w14:paraId="3D8E51D0"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 3</w:t>
            </w:r>
          </w:p>
        </w:tc>
        <w:tc>
          <w:tcPr>
            <w:tcW w:w="0" w:type="auto"/>
          </w:tcPr>
          <w:p w14:paraId="17E55FAC" w14:textId="0F98CF03"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Detailed track record of previous funds/investments request for personal meetings with senior management; Some investors will also request for asset tours to visit the actual projects</w:t>
            </w:r>
          </w:p>
        </w:tc>
      </w:tr>
      <w:tr w:rsidR="00CD6352" w:rsidRPr="0081709A" w14:paraId="22FBD38A" w14:textId="77777777" w:rsidTr="00CD6352">
        <w:tc>
          <w:tcPr>
            <w:tcW w:w="0" w:type="auto"/>
          </w:tcPr>
          <w:p w14:paraId="2B870215"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Mgr4</w:t>
            </w:r>
          </w:p>
        </w:tc>
        <w:tc>
          <w:tcPr>
            <w:tcW w:w="0" w:type="auto"/>
          </w:tcPr>
          <w:p w14:paraId="75679CEB"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Track record, adherence to government policies and projected return on investment</w:t>
            </w:r>
          </w:p>
        </w:tc>
      </w:tr>
      <w:tr w:rsidR="00CD6352" w:rsidRPr="0081709A" w14:paraId="7187E3F8" w14:textId="77777777" w:rsidTr="00CD6352">
        <w:tc>
          <w:tcPr>
            <w:tcW w:w="0" w:type="auto"/>
          </w:tcPr>
          <w:p w14:paraId="31EF2BD3"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Mgr5</w:t>
            </w:r>
          </w:p>
        </w:tc>
        <w:tc>
          <w:tcPr>
            <w:tcW w:w="0" w:type="auto"/>
          </w:tcPr>
          <w:p w14:paraId="3F711D90"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Cash flow and track record</w:t>
            </w:r>
          </w:p>
        </w:tc>
      </w:tr>
      <w:tr w:rsidR="00CD6352" w:rsidRPr="0081709A" w14:paraId="03C61333" w14:textId="77777777" w:rsidTr="00CD6352">
        <w:tc>
          <w:tcPr>
            <w:tcW w:w="0" w:type="auto"/>
          </w:tcPr>
          <w:p w14:paraId="054185F3"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Mgr6</w:t>
            </w:r>
          </w:p>
        </w:tc>
        <w:tc>
          <w:tcPr>
            <w:tcW w:w="0" w:type="auto"/>
          </w:tcPr>
          <w:p w14:paraId="3DBC81A3"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Cash flow and track record</w:t>
            </w:r>
          </w:p>
        </w:tc>
      </w:tr>
      <w:tr w:rsidR="00CD6352" w:rsidRPr="0081709A" w14:paraId="2EAE6241" w14:textId="77777777" w:rsidTr="00CD6352">
        <w:tc>
          <w:tcPr>
            <w:tcW w:w="0" w:type="auto"/>
          </w:tcPr>
          <w:p w14:paraId="60DB3BDB"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China Mgr7</w:t>
            </w:r>
          </w:p>
        </w:tc>
        <w:tc>
          <w:tcPr>
            <w:tcW w:w="0" w:type="auto"/>
          </w:tcPr>
          <w:p w14:paraId="55942077"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Return profile, asset quality, partner/development manager quality, governance arrangements, market positioning, and viability.</w:t>
            </w:r>
          </w:p>
        </w:tc>
      </w:tr>
      <w:tr w:rsidR="00CD6352" w:rsidRPr="0081709A" w14:paraId="3D810AEF" w14:textId="77777777" w:rsidTr="00CD6352">
        <w:tc>
          <w:tcPr>
            <w:tcW w:w="0" w:type="auto"/>
          </w:tcPr>
          <w:p w14:paraId="72FC161A"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Nigeria Mgr1</w:t>
            </w:r>
          </w:p>
        </w:tc>
        <w:tc>
          <w:tcPr>
            <w:tcW w:w="0" w:type="auto"/>
          </w:tcPr>
          <w:p w14:paraId="4BE8D004" w14:textId="760107E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Develop a sales product and land </w:t>
            </w:r>
            <w:r w:rsidR="0081709A" w:rsidRPr="0081709A">
              <w:rPr>
                <w:rFonts w:ascii="Arial" w:eastAsia="Calibri" w:hAnsi="Arial" w:cs="Arial"/>
                <w:sz w:val="16"/>
                <w:szCs w:val="16"/>
              </w:rPr>
              <w:t>acquisition</w:t>
            </w:r>
          </w:p>
        </w:tc>
      </w:tr>
      <w:tr w:rsidR="00CD6352" w:rsidRPr="0081709A" w14:paraId="5F7DD8BF" w14:textId="77777777" w:rsidTr="00CD6352">
        <w:tc>
          <w:tcPr>
            <w:tcW w:w="0" w:type="auto"/>
          </w:tcPr>
          <w:p w14:paraId="1A8D58BB"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Nigeria Mgr2</w:t>
            </w:r>
          </w:p>
        </w:tc>
        <w:tc>
          <w:tcPr>
            <w:tcW w:w="0" w:type="auto"/>
          </w:tcPr>
          <w:p w14:paraId="3B91B29C"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Company profile, director’s profile, certificate of incorporation and due diligence report, upfront cheque payment to building material sellers, business plan and loan proposal,</w:t>
            </w:r>
          </w:p>
        </w:tc>
      </w:tr>
      <w:tr w:rsidR="00CD6352" w:rsidRPr="0081709A" w14:paraId="0454DA54" w14:textId="77777777" w:rsidTr="00CD6352">
        <w:tc>
          <w:tcPr>
            <w:tcW w:w="0" w:type="auto"/>
          </w:tcPr>
          <w:p w14:paraId="79F0FB90"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Nigeria Mgr3</w:t>
            </w:r>
          </w:p>
        </w:tc>
        <w:tc>
          <w:tcPr>
            <w:tcW w:w="0" w:type="auto"/>
          </w:tcPr>
          <w:p w14:paraId="2CEFBDE6"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Land legal search report and physical inspection of the land by the investors</w:t>
            </w:r>
          </w:p>
        </w:tc>
      </w:tr>
      <w:tr w:rsidR="00CD6352" w:rsidRPr="0081709A" w14:paraId="691DF0C9" w14:textId="77777777" w:rsidTr="00CD6352">
        <w:tc>
          <w:tcPr>
            <w:tcW w:w="0" w:type="auto"/>
          </w:tcPr>
          <w:p w14:paraId="46487DB7"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Nigeria Mgr4</w:t>
            </w:r>
          </w:p>
        </w:tc>
        <w:tc>
          <w:tcPr>
            <w:tcW w:w="0" w:type="auto"/>
          </w:tcPr>
          <w:p w14:paraId="660BADF8"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Legal documentation for land, evidence of prospective return on investment, business plan, financial background  and availability of off-takers</w:t>
            </w:r>
          </w:p>
        </w:tc>
      </w:tr>
      <w:tr w:rsidR="00CD6352" w:rsidRPr="0081709A" w14:paraId="6F594A00" w14:textId="77777777" w:rsidTr="00CD6352">
        <w:tc>
          <w:tcPr>
            <w:tcW w:w="0" w:type="auto"/>
          </w:tcPr>
          <w:p w14:paraId="3CAB4C3A"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Nigeria Mgr5</w:t>
            </w:r>
          </w:p>
        </w:tc>
        <w:tc>
          <w:tcPr>
            <w:tcW w:w="0" w:type="auto"/>
          </w:tcPr>
          <w:p w14:paraId="1298148E"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Cash flow</w:t>
            </w:r>
          </w:p>
        </w:tc>
      </w:tr>
      <w:tr w:rsidR="00CD6352" w:rsidRPr="0081709A" w14:paraId="57E5B484" w14:textId="77777777" w:rsidTr="00CD6352">
        <w:tc>
          <w:tcPr>
            <w:tcW w:w="0" w:type="auto"/>
          </w:tcPr>
          <w:p w14:paraId="4F78C79A"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Nigeria Mgr6</w:t>
            </w:r>
          </w:p>
        </w:tc>
        <w:tc>
          <w:tcPr>
            <w:tcW w:w="0" w:type="auto"/>
          </w:tcPr>
          <w:p w14:paraId="678E447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Track record, location of the property, existing relationship with financier and  title document of the property</w:t>
            </w:r>
          </w:p>
        </w:tc>
      </w:tr>
      <w:tr w:rsidR="00CD6352" w:rsidRPr="0081709A" w14:paraId="43ECC75C" w14:textId="77777777" w:rsidTr="00CD6352">
        <w:tc>
          <w:tcPr>
            <w:tcW w:w="0" w:type="auto"/>
          </w:tcPr>
          <w:p w14:paraId="224B0EA3"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South African Mgr1</w:t>
            </w:r>
          </w:p>
        </w:tc>
        <w:tc>
          <w:tcPr>
            <w:tcW w:w="0" w:type="auto"/>
          </w:tcPr>
          <w:p w14:paraId="347D3F29" w14:textId="35A29EC8"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Links to potential </w:t>
            </w:r>
            <w:r w:rsidR="004B71D5" w:rsidRPr="0081709A">
              <w:rPr>
                <w:rFonts w:ascii="Arial" w:eastAsia="Calibri" w:hAnsi="Arial" w:cs="Arial"/>
                <w:sz w:val="16"/>
                <w:szCs w:val="16"/>
              </w:rPr>
              <w:t>tenants and</w:t>
            </w:r>
            <w:r w:rsidRPr="0081709A">
              <w:rPr>
                <w:rFonts w:ascii="Arial" w:eastAsia="Calibri" w:hAnsi="Arial" w:cs="Arial"/>
                <w:sz w:val="16"/>
                <w:szCs w:val="16"/>
              </w:rPr>
              <w:t xml:space="preserve"> lease profile</w:t>
            </w:r>
          </w:p>
        </w:tc>
      </w:tr>
      <w:tr w:rsidR="00CD6352" w:rsidRPr="0081709A" w14:paraId="0F2E3CFA" w14:textId="77777777" w:rsidTr="00CD6352">
        <w:tc>
          <w:tcPr>
            <w:tcW w:w="0" w:type="auto"/>
          </w:tcPr>
          <w:p w14:paraId="6DA8E87D"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South Africa Mgr2</w:t>
            </w:r>
          </w:p>
        </w:tc>
        <w:tc>
          <w:tcPr>
            <w:tcW w:w="0" w:type="auto"/>
          </w:tcPr>
          <w:p w14:paraId="03EBFBF9"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Historical track record, collateral, equity contribution, company balance sheet, and existing banking relationship</w:t>
            </w:r>
          </w:p>
        </w:tc>
      </w:tr>
      <w:tr w:rsidR="00CD6352" w:rsidRPr="0081709A" w14:paraId="22CDED84" w14:textId="77777777" w:rsidTr="00CD6352">
        <w:tc>
          <w:tcPr>
            <w:tcW w:w="0" w:type="auto"/>
          </w:tcPr>
          <w:p w14:paraId="7BE5FB2A"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South Africa Mgr3</w:t>
            </w:r>
          </w:p>
        </w:tc>
        <w:tc>
          <w:tcPr>
            <w:tcW w:w="0" w:type="auto"/>
          </w:tcPr>
          <w:p w14:paraId="40E16AE0"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Information on return on equity, evidence of good profit margin, full feasibility with income projections and cost predictions</w:t>
            </w:r>
          </w:p>
        </w:tc>
      </w:tr>
      <w:tr w:rsidR="00CD6352" w:rsidRPr="0081709A" w14:paraId="0B0C167D" w14:textId="77777777" w:rsidTr="00CD6352">
        <w:tc>
          <w:tcPr>
            <w:tcW w:w="0" w:type="auto"/>
          </w:tcPr>
          <w:p w14:paraId="511DA822"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South Africa 4</w:t>
            </w:r>
          </w:p>
        </w:tc>
        <w:tc>
          <w:tcPr>
            <w:tcW w:w="0" w:type="auto"/>
          </w:tcPr>
          <w:p w14:paraId="79C80F9E" w14:textId="77777777" w:rsidR="00CD6352" w:rsidRPr="0081709A" w:rsidRDefault="00CD6352" w:rsidP="00CD6352">
            <w:pPr>
              <w:jc w:val="both"/>
              <w:rPr>
                <w:rFonts w:ascii="Arial" w:eastAsia="Calibri" w:hAnsi="Arial" w:cs="Arial"/>
                <w:sz w:val="16"/>
                <w:szCs w:val="16"/>
              </w:rPr>
            </w:pPr>
            <w:r w:rsidRPr="0081709A">
              <w:rPr>
                <w:rFonts w:ascii="Arial" w:eastAsia="Calibri" w:hAnsi="Arial" w:cs="Arial"/>
                <w:sz w:val="16"/>
                <w:szCs w:val="16"/>
              </w:rPr>
              <w:t xml:space="preserve">Collateral, projected income and revenue, required skill and viable proposal, </w:t>
            </w:r>
          </w:p>
        </w:tc>
      </w:tr>
    </w:tbl>
    <w:p w14:paraId="69C77713" w14:textId="77777777" w:rsidR="00CD6352" w:rsidRPr="00EA7665" w:rsidRDefault="00CD6352" w:rsidP="00CD6352">
      <w:pPr>
        <w:spacing w:line="360" w:lineRule="auto"/>
        <w:jc w:val="both"/>
        <w:rPr>
          <w:rFonts w:ascii="Arial" w:eastAsia="Calibri" w:hAnsi="Arial" w:cs="Arial"/>
        </w:rPr>
      </w:pPr>
    </w:p>
    <w:p w14:paraId="2430008D" w14:textId="792FADD3" w:rsidR="00CD6352" w:rsidRPr="00EA7665" w:rsidRDefault="00CD6352" w:rsidP="00CD6352">
      <w:pPr>
        <w:spacing w:before="240" w:line="360" w:lineRule="auto"/>
        <w:jc w:val="both"/>
        <w:rPr>
          <w:rFonts w:ascii="Arial" w:eastAsia="Calibri" w:hAnsi="Arial" w:cs="Arial"/>
        </w:rPr>
      </w:pPr>
      <w:bookmarkStart w:id="1144" w:name="_Toc16936062"/>
      <w:r w:rsidRPr="00EA7665">
        <w:rPr>
          <w:rFonts w:ascii="Arial" w:eastAsia="Calibri" w:hAnsi="Arial" w:cs="Arial"/>
        </w:rPr>
        <w:t>The criteria for securing real estate project development finance for both developed and emerging economies are very similar</w:t>
      </w:r>
      <w:r w:rsidR="006941DB">
        <w:rPr>
          <w:rFonts w:ascii="Arial" w:eastAsia="Calibri" w:hAnsi="Arial" w:cs="Arial"/>
        </w:rPr>
        <w:t>. This is arguabl</w:t>
      </w:r>
      <w:r w:rsidR="00E46A44">
        <w:rPr>
          <w:rFonts w:ascii="Arial" w:eastAsia="Calibri" w:hAnsi="Arial" w:cs="Arial"/>
        </w:rPr>
        <w:t>y</w:t>
      </w:r>
      <w:r w:rsidRPr="00EA7665">
        <w:rPr>
          <w:rFonts w:ascii="Arial" w:eastAsia="Calibri" w:hAnsi="Arial" w:cs="Arial"/>
        </w:rPr>
        <w:t xml:space="preserve"> because the world has become a global village </w:t>
      </w:r>
      <w:r w:rsidR="00AA5699">
        <w:rPr>
          <w:rFonts w:ascii="Arial" w:eastAsia="Calibri" w:hAnsi="Arial" w:cs="Arial"/>
        </w:rPr>
        <w:t>for</w:t>
      </w:r>
      <w:r w:rsidRPr="00EA7665">
        <w:rPr>
          <w:rFonts w:ascii="Arial" w:eastAsia="Calibri" w:hAnsi="Arial" w:cs="Arial"/>
        </w:rPr>
        <w:t xml:space="preserve"> information on how financial risk can be avoided and mitigated. Th</w:t>
      </w:r>
      <w:r w:rsidR="001006E8">
        <w:rPr>
          <w:rFonts w:ascii="Arial" w:eastAsia="Calibri" w:hAnsi="Arial" w:cs="Arial"/>
        </w:rPr>
        <w:t>e various governments have set guidelines for the financial sectors through their central bank</w:t>
      </w:r>
      <w:r w:rsidR="001E0977">
        <w:rPr>
          <w:rFonts w:ascii="Arial" w:eastAsia="Calibri" w:hAnsi="Arial" w:cs="Arial"/>
        </w:rPr>
        <w:t>s,</w:t>
      </w:r>
      <w:r w:rsidRPr="00EA7665">
        <w:rPr>
          <w:rFonts w:ascii="Arial" w:eastAsia="Calibri" w:hAnsi="Arial" w:cs="Arial"/>
        </w:rPr>
        <w:t xml:space="preserve"> which </w:t>
      </w:r>
      <w:r>
        <w:rPr>
          <w:rFonts w:ascii="Arial" w:eastAsia="Calibri" w:hAnsi="Arial" w:cs="Arial"/>
        </w:rPr>
        <w:t>have</w:t>
      </w:r>
      <w:r w:rsidRPr="00EA7665">
        <w:rPr>
          <w:rFonts w:ascii="Arial" w:eastAsia="Calibri" w:hAnsi="Arial" w:cs="Arial"/>
        </w:rPr>
        <w:t xml:space="preserve"> also greatly influenced real estate project development finance. Furthermore, there is lots of global economic coordination amongst governments of different countries</w:t>
      </w:r>
      <w:r w:rsidR="00F71F5E">
        <w:rPr>
          <w:rFonts w:ascii="Arial" w:eastAsia="Calibri" w:hAnsi="Arial" w:cs="Arial"/>
        </w:rPr>
        <w:t>, bringing</w:t>
      </w:r>
      <w:r w:rsidRPr="00EA7665">
        <w:rPr>
          <w:rFonts w:ascii="Arial" w:eastAsia="Calibri" w:hAnsi="Arial" w:cs="Arial"/>
        </w:rPr>
        <w:t xml:space="preserve"> about </w:t>
      </w:r>
      <w:r>
        <w:rPr>
          <w:rFonts w:ascii="Arial" w:eastAsia="Calibri" w:hAnsi="Arial" w:cs="Arial"/>
        </w:rPr>
        <w:t xml:space="preserve">the </w:t>
      </w:r>
      <w:r w:rsidRPr="00EA7665">
        <w:rPr>
          <w:rFonts w:ascii="Arial" w:eastAsia="Calibri" w:hAnsi="Arial" w:cs="Arial"/>
        </w:rPr>
        <w:t>replication of financial rules and regulations amongst nations (Madura, 2017).</w:t>
      </w:r>
      <w:r>
        <w:rPr>
          <w:rFonts w:ascii="Arial" w:eastAsia="Calibri" w:hAnsi="Arial" w:cs="Arial"/>
        </w:rPr>
        <w:t xml:space="preserve"> </w:t>
      </w:r>
      <w:r w:rsidRPr="00EA7665">
        <w:rPr>
          <w:rFonts w:ascii="Arial" w:eastAsia="Calibri" w:hAnsi="Arial" w:cs="Arial"/>
        </w:rPr>
        <w:t>The findings from both the semi-structured interviews and questionnaire surve</w:t>
      </w:r>
      <w:r>
        <w:rPr>
          <w:rFonts w:ascii="Arial" w:eastAsia="Calibri" w:hAnsi="Arial" w:cs="Arial"/>
        </w:rPr>
        <w:t>ys</w:t>
      </w:r>
      <w:r w:rsidRPr="00EA7665">
        <w:rPr>
          <w:rFonts w:ascii="Arial" w:eastAsia="Calibri" w:hAnsi="Arial" w:cs="Arial"/>
        </w:rPr>
        <w:t xml:space="preserve"> collaborat</w:t>
      </w:r>
      <w:r>
        <w:rPr>
          <w:rFonts w:ascii="Arial" w:eastAsia="Calibri" w:hAnsi="Arial" w:cs="Arial"/>
        </w:rPr>
        <w:t>e</w:t>
      </w:r>
      <w:r w:rsidRPr="00EA7665">
        <w:rPr>
          <w:rFonts w:ascii="Arial" w:eastAsia="Calibri" w:hAnsi="Arial" w:cs="Arial"/>
        </w:rPr>
        <w:t xml:space="preserve"> findings from the </w:t>
      </w:r>
      <w:r w:rsidR="00F71F5E">
        <w:rPr>
          <w:rFonts w:ascii="Arial" w:eastAsia="Calibri" w:hAnsi="Arial" w:cs="Arial"/>
        </w:rPr>
        <w:t>literature review</w:t>
      </w:r>
      <w:r w:rsidRPr="00EA7665">
        <w:rPr>
          <w:rFonts w:ascii="Arial" w:eastAsia="Calibri" w:hAnsi="Arial" w:cs="Arial"/>
        </w:rPr>
        <w:t xml:space="preserve"> (</w:t>
      </w:r>
      <w:r w:rsidR="00AA373D">
        <w:rPr>
          <w:rFonts w:ascii="Arial" w:eastAsia="Calibri" w:hAnsi="Arial" w:cs="Arial"/>
        </w:rPr>
        <w:t>see chapter 3.4</w:t>
      </w:r>
      <w:r w:rsidRPr="00EA7665">
        <w:rPr>
          <w:rFonts w:ascii="Arial" w:eastAsia="Calibri" w:hAnsi="Arial" w:cs="Arial"/>
        </w:rPr>
        <w:t>).</w:t>
      </w:r>
    </w:p>
    <w:p w14:paraId="6091E33C" w14:textId="77777777" w:rsidR="00CD6352" w:rsidRPr="00EA7665" w:rsidRDefault="00CD6352" w:rsidP="00CD6352">
      <w:pPr>
        <w:spacing w:line="360" w:lineRule="auto"/>
        <w:rPr>
          <w:rFonts w:ascii="Arial" w:hAnsi="Arial" w:cs="Arial"/>
        </w:rPr>
      </w:pPr>
    </w:p>
    <w:p w14:paraId="57C74F9C" w14:textId="35BCF51B" w:rsidR="00CD6352" w:rsidRPr="00EA7665" w:rsidRDefault="00017251" w:rsidP="00CD6352">
      <w:pPr>
        <w:pStyle w:val="Heading3"/>
        <w:spacing w:after="240"/>
        <w:rPr>
          <w:sz w:val="22"/>
          <w:szCs w:val="22"/>
        </w:rPr>
      </w:pPr>
      <w:bookmarkStart w:id="1145" w:name="_Toc78983852"/>
      <w:r>
        <w:rPr>
          <w:sz w:val="22"/>
          <w:szCs w:val="22"/>
        </w:rPr>
        <w:lastRenderedPageBreak/>
        <w:t>C</w:t>
      </w:r>
      <w:r w:rsidR="00CD6352" w:rsidRPr="00EA7665">
        <w:rPr>
          <w:sz w:val="22"/>
          <w:szCs w:val="22"/>
        </w:rPr>
        <w:t xml:space="preserve">omparison of the </w:t>
      </w:r>
      <w:r w:rsidR="00BF1829">
        <w:rPr>
          <w:sz w:val="22"/>
          <w:szCs w:val="22"/>
        </w:rPr>
        <w:t xml:space="preserve">criteria for securing finance for real estate project development in the </w:t>
      </w:r>
      <w:r w:rsidR="00CD6352" w:rsidRPr="00EA7665">
        <w:rPr>
          <w:sz w:val="22"/>
          <w:szCs w:val="22"/>
        </w:rPr>
        <w:t xml:space="preserve">developed and emerging </w:t>
      </w:r>
      <w:r w:rsidR="001D34C7" w:rsidRPr="00EA7665">
        <w:rPr>
          <w:sz w:val="22"/>
          <w:szCs w:val="22"/>
        </w:rPr>
        <w:t>economies.</w:t>
      </w:r>
      <w:bookmarkEnd w:id="1145"/>
      <w:r w:rsidR="00CD6352" w:rsidRPr="00EA7665">
        <w:rPr>
          <w:sz w:val="22"/>
          <w:szCs w:val="22"/>
        </w:rPr>
        <w:t xml:space="preserve"> </w:t>
      </w:r>
    </w:p>
    <w:p w14:paraId="1445F335" w14:textId="2B46A7A5" w:rsidR="00CD6352" w:rsidRPr="00EA7665" w:rsidRDefault="00CD6352" w:rsidP="00CD6352">
      <w:pPr>
        <w:spacing w:line="360" w:lineRule="auto"/>
        <w:jc w:val="both"/>
        <w:rPr>
          <w:rFonts w:ascii="Arial" w:eastAsia="Calibri" w:hAnsi="Arial" w:cs="Arial"/>
        </w:rPr>
      </w:pPr>
      <w:r w:rsidRPr="00523595">
        <w:rPr>
          <w:rFonts w:ascii="Arial" w:eastAsia="Calibri" w:hAnsi="Arial" w:cs="Arial"/>
        </w:rPr>
        <w:t xml:space="preserve">The findings </w:t>
      </w:r>
      <w:r>
        <w:rPr>
          <w:rFonts w:ascii="Arial" w:eastAsia="Calibri" w:hAnsi="Arial" w:cs="Arial"/>
        </w:rPr>
        <w:t>show</w:t>
      </w:r>
      <w:r w:rsidRPr="00523595">
        <w:rPr>
          <w:rFonts w:ascii="Arial" w:eastAsia="Calibri" w:hAnsi="Arial" w:cs="Arial"/>
        </w:rPr>
        <w:t xml:space="preserve"> that all sixteen (16) criteria for securing finance for real estate project development based on the questionnaire survey are requested by financiers in both the developed and emerging economies. However, the degree </w:t>
      </w:r>
      <w:r w:rsidR="00AA5699">
        <w:rPr>
          <w:rFonts w:ascii="Arial" w:eastAsia="Calibri" w:hAnsi="Arial" w:cs="Arial"/>
        </w:rPr>
        <w:t>to</w:t>
      </w:r>
      <w:r w:rsidRPr="00523595">
        <w:rPr>
          <w:rFonts w:ascii="Arial" w:eastAsia="Calibri" w:hAnsi="Arial" w:cs="Arial"/>
        </w:rPr>
        <w:t xml:space="preserve"> which they are requested varies in different countries. </w:t>
      </w:r>
      <w:r w:rsidR="00E31552" w:rsidRPr="00523595">
        <w:rPr>
          <w:rFonts w:ascii="Arial" w:eastAsia="Times New Roman" w:hAnsi="Arial" w:cs="Times New Roman"/>
        </w:rPr>
        <w:t>T</w:t>
      </w:r>
      <w:r w:rsidR="00E31552" w:rsidRPr="00523595">
        <w:rPr>
          <w:rFonts w:ascii="Arial" w:eastAsia="Calibri" w:hAnsi="Arial" w:cs="Arial"/>
        </w:rPr>
        <w:t xml:space="preserve">he </w:t>
      </w:r>
      <w:r w:rsidR="00E31552">
        <w:rPr>
          <w:rFonts w:ascii="Arial" w:eastAsia="Calibri" w:hAnsi="Arial" w:cs="Arial"/>
        </w:rPr>
        <w:t xml:space="preserve">top </w:t>
      </w:r>
      <w:r w:rsidR="00E31552" w:rsidRPr="00523595">
        <w:rPr>
          <w:rFonts w:ascii="Arial" w:eastAsia="Calibri" w:hAnsi="Arial" w:cs="Arial"/>
        </w:rPr>
        <w:t>five</w:t>
      </w:r>
      <w:r w:rsidRPr="00523595">
        <w:rPr>
          <w:rFonts w:ascii="Arial" w:eastAsia="Calibri" w:hAnsi="Arial" w:cs="Arial"/>
        </w:rPr>
        <w:t xml:space="preserve"> criteria always requested by financiers in both the developed and emerging economies on an aggregate level </w:t>
      </w:r>
      <w:r>
        <w:rPr>
          <w:rFonts w:ascii="Arial" w:eastAsia="Calibri" w:hAnsi="Arial" w:cs="Arial"/>
        </w:rPr>
        <w:t>are</w:t>
      </w:r>
      <w:r w:rsidRPr="00523595">
        <w:rPr>
          <w:rFonts w:ascii="Arial" w:eastAsia="Calibri" w:hAnsi="Arial" w:cs="Arial"/>
        </w:rPr>
        <w:t xml:space="preserve"> ranked as follows:</w:t>
      </w:r>
    </w:p>
    <w:p w14:paraId="5A90026E" w14:textId="77777777" w:rsidR="00CD6352" w:rsidRPr="00EA7665" w:rsidRDefault="00CD6352" w:rsidP="00C74AEC">
      <w:pPr>
        <w:pStyle w:val="ListParagraph"/>
        <w:numPr>
          <w:ilvl w:val="0"/>
          <w:numId w:val="221"/>
        </w:numPr>
        <w:spacing w:after="0" w:line="360" w:lineRule="auto"/>
        <w:jc w:val="both"/>
        <w:rPr>
          <w:rFonts w:ascii="Arial" w:eastAsia="Calibri" w:hAnsi="Arial" w:cs="Arial"/>
        </w:rPr>
      </w:pPr>
      <w:r w:rsidRPr="00EA7665">
        <w:rPr>
          <w:rFonts w:ascii="Arial" w:eastAsia="Calibri" w:hAnsi="Arial" w:cs="Arial"/>
        </w:rPr>
        <w:t>Details of the proposed project</w:t>
      </w:r>
    </w:p>
    <w:p w14:paraId="61BA2F6B" w14:textId="77777777" w:rsidR="00CD6352" w:rsidRPr="00EA7665" w:rsidRDefault="00CD6352" w:rsidP="00C74AEC">
      <w:pPr>
        <w:pStyle w:val="ListParagraph"/>
        <w:numPr>
          <w:ilvl w:val="0"/>
          <w:numId w:val="221"/>
        </w:numPr>
        <w:spacing w:after="0" w:line="360" w:lineRule="auto"/>
        <w:jc w:val="both"/>
        <w:rPr>
          <w:rFonts w:ascii="Arial" w:eastAsia="Calibri" w:hAnsi="Arial" w:cs="Arial"/>
        </w:rPr>
      </w:pPr>
      <w:r w:rsidRPr="00EA7665">
        <w:rPr>
          <w:rFonts w:ascii="Arial" w:eastAsia="Calibri" w:hAnsi="Arial" w:cs="Arial"/>
        </w:rPr>
        <w:t>Contractual document on land acquisition/ land title</w:t>
      </w:r>
    </w:p>
    <w:p w14:paraId="3EBA0692" w14:textId="77777777" w:rsidR="00CD6352" w:rsidRPr="00EA7665" w:rsidRDefault="00CD6352" w:rsidP="00C74AEC">
      <w:pPr>
        <w:pStyle w:val="ListParagraph"/>
        <w:numPr>
          <w:ilvl w:val="0"/>
          <w:numId w:val="221"/>
        </w:numPr>
        <w:spacing w:after="0" w:line="360" w:lineRule="auto"/>
        <w:jc w:val="both"/>
        <w:rPr>
          <w:rFonts w:ascii="Arial" w:eastAsia="Calibri" w:hAnsi="Arial" w:cs="Arial"/>
        </w:rPr>
      </w:pPr>
      <w:r w:rsidRPr="00EA7665">
        <w:rPr>
          <w:rFonts w:ascii="Arial" w:eastAsia="Calibri" w:hAnsi="Arial" w:cs="Arial"/>
        </w:rPr>
        <w:t>Loan agreement</w:t>
      </w:r>
    </w:p>
    <w:p w14:paraId="019ADBB2" w14:textId="3AB220D2" w:rsidR="00CD6352" w:rsidRPr="00EA7665" w:rsidRDefault="00CD6352" w:rsidP="00C74AEC">
      <w:pPr>
        <w:pStyle w:val="ListParagraph"/>
        <w:numPr>
          <w:ilvl w:val="0"/>
          <w:numId w:val="221"/>
        </w:numPr>
        <w:spacing w:after="0" w:line="360" w:lineRule="auto"/>
        <w:jc w:val="both"/>
        <w:rPr>
          <w:rFonts w:ascii="Arial" w:eastAsia="Calibri" w:hAnsi="Arial" w:cs="Arial"/>
        </w:rPr>
      </w:pPr>
      <w:r w:rsidRPr="00EA7665">
        <w:rPr>
          <w:rFonts w:ascii="Arial" w:eastAsia="Calibri" w:hAnsi="Arial" w:cs="Arial"/>
        </w:rPr>
        <w:t>Feasibility report (economic &amp; technical feasibility)</w:t>
      </w:r>
    </w:p>
    <w:p w14:paraId="2CEAE82C" w14:textId="77777777" w:rsidR="00CD6352" w:rsidRPr="00EA7665" w:rsidRDefault="00CD6352" w:rsidP="00C74AEC">
      <w:pPr>
        <w:pStyle w:val="ListParagraph"/>
        <w:numPr>
          <w:ilvl w:val="0"/>
          <w:numId w:val="221"/>
        </w:numPr>
        <w:spacing w:after="0" w:line="360" w:lineRule="auto"/>
        <w:jc w:val="both"/>
        <w:rPr>
          <w:rFonts w:ascii="Arial" w:eastAsia="Calibri" w:hAnsi="Arial" w:cs="Arial"/>
        </w:rPr>
      </w:pPr>
      <w:r w:rsidRPr="00EA7665">
        <w:rPr>
          <w:rFonts w:ascii="Arial" w:eastAsia="Calibri" w:hAnsi="Arial" w:cs="Arial"/>
        </w:rPr>
        <w:t xml:space="preserve">Collateral </w:t>
      </w:r>
    </w:p>
    <w:p w14:paraId="4AD9B5C7" w14:textId="64191344"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While the</w:t>
      </w:r>
      <w:r>
        <w:rPr>
          <w:rFonts w:ascii="Arial" w:eastAsia="Calibri" w:hAnsi="Arial" w:cs="Arial"/>
        </w:rPr>
        <w:t xml:space="preserve"> </w:t>
      </w:r>
      <w:r w:rsidR="00343954">
        <w:rPr>
          <w:rFonts w:ascii="Arial" w:eastAsia="Calibri" w:hAnsi="Arial" w:cs="Arial"/>
        </w:rPr>
        <w:t xml:space="preserve">criteria </w:t>
      </w:r>
      <w:r w:rsidR="00343954" w:rsidRPr="00EA7665">
        <w:rPr>
          <w:rFonts w:ascii="Arial" w:eastAsia="Calibri" w:hAnsi="Arial" w:cs="Arial"/>
        </w:rPr>
        <w:t>requested</w:t>
      </w:r>
      <w:r>
        <w:rPr>
          <w:rFonts w:ascii="Arial" w:eastAsia="Calibri" w:hAnsi="Arial" w:cs="Arial"/>
        </w:rPr>
        <w:t xml:space="preserve"> least</w:t>
      </w:r>
      <w:r w:rsidRPr="00EA7665">
        <w:rPr>
          <w:rFonts w:ascii="Arial" w:eastAsia="Calibri" w:hAnsi="Arial" w:cs="Arial"/>
        </w:rPr>
        <w:t xml:space="preserve"> by financiers for real estate project finance on an aggregate level is the </w:t>
      </w:r>
      <w:r w:rsidR="00106393">
        <w:rPr>
          <w:rFonts w:ascii="Arial" w:eastAsia="Calibri" w:hAnsi="Arial" w:cs="Arial"/>
        </w:rPr>
        <w:t>hedging instrument's usage</w:t>
      </w:r>
      <w:r w:rsidRPr="00EA7665">
        <w:rPr>
          <w:rFonts w:ascii="Arial" w:eastAsia="Calibri" w:hAnsi="Arial" w:cs="Arial"/>
        </w:rPr>
        <w:t>. The semi</w:t>
      </w:r>
      <w:r w:rsidR="00AA5699">
        <w:rPr>
          <w:rFonts w:ascii="Arial" w:eastAsia="Calibri" w:hAnsi="Arial" w:cs="Arial"/>
        </w:rPr>
        <w:t>-</w:t>
      </w:r>
      <w:r w:rsidRPr="00EA7665">
        <w:rPr>
          <w:rFonts w:ascii="Arial" w:eastAsia="Calibri" w:hAnsi="Arial" w:cs="Arial"/>
        </w:rPr>
        <w:t xml:space="preserve">structured interview also highlights additional criteria for securing finance for real estate project development </w:t>
      </w:r>
      <w:r>
        <w:rPr>
          <w:rFonts w:ascii="Arial" w:eastAsia="Calibri" w:hAnsi="Arial" w:cs="Arial"/>
        </w:rPr>
        <w:t>common to</w:t>
      </w:r>
      <w:r w:rsidRPr="00EA7665">
        <w:rPr>
          <w:rFonts w:ascii="Arial" w:eastAsia="Calibri" w:hAnsi="Arial" w:cs="Arial"/>
        </w:rPr>
        <w:t xml:space="preserve"> both the developed and the emerging economies</w:t>
      </w:r>
      <w:r w:rsidR="00106393">
        <w:rPr>
          <w:rFonts w:ascii="Arial" w:eastAsia="Calibri" w:hAnsi="Arial" w:cs="Arial"/>
        </w:rPr>
        <w:t>,</w:t>
      </w:r>
      <w:r w:rsidRPr="00EA7665">
        <w:rPr>
          <w:rFonts w:ascii="Arial" w:eastAsia="Calibri" w:hAnsi="Arial" w:cs="Arial"/>
        </w:rPr>
        <w:t xml:space="preserve"> with the most cited criteria be</w:t>
      </w:r>
      <w:r w:rsidR="00023B07">
        <w:rPr>
          <w:rFonts w:ascii="Arial" w:eastAsia="Calibri" w:hAnsi="Arial" w:cs="Arial"/>
        </w:rPr>
        <w:t>en</w:t>
      </w:r>
      <w:r w:rsidRPr="00EA7665">
        <w:rPr>
          <w:rFonts w:ascii="Arial" w:eastAsia="Calibri" w:hAnsi="Arial" w:cs="Arial"/>
        </w:rPr>
        <w:t>:</w:t>
      </w:r>
    </w:p>
    <w:p w14:paraId="1D1F77D0" w14:textId="77777777" w:rsidR="00CD6352" w:rsidRPr="00EA7665" w:rsidRDefault="00CD6352" w:rsidP="007625E7">
      <w:pPr>
        <w:pStyle w:val="ListParagraph"/>
        <w:numPr>
          <w:ilvl w:val="0"/>
          <w:numId w:val="301"/>
        </w:numPr>
        <w:spacing w:before="240" w:line="360" w:lineRule="auto"/>
        <w:jc w:val="both"/>
        <w:rPr>
          <w:rFonts w:ascii="Arial" w:eastAsia="Calibri" w:hAnsi="Arial" w:cs="Arial"/>
        </w:rPr>
      </w:pPr>
      <w:r w:rsidRPr="00EA7665">
        <w:rPr>
          <w:rFonts w:ascii="Arial" w:eastAsia="Calibri" w:hAnsi="Arial" w:cs="Arial"/>
        </w:rPr>
        <w:t>Track record</w:t>
      </w:r>
    </w:p>
    <w:p w14:paraId="5B44208E" w14:textId="77777777" w:rsidR="00CD6352" w:rsidRPr="00EA7665" w:rsidRDefault="00CD6352" w:rsidP="007625E7">
      <w:pPr>
        <w:pStyle w:val="ListParagraph"/>
        <w:numPr>
          <w:ilvl w:val="0"/>
          <w:numId w:val="301"/>
        </w:numPr>
        <w:spacing w:before="240" w:line="360" w:lineRule="auto"/>
        <w:jc w:val="both"/>
        <w:rPr>
          <w:rFonts w:ascii="Arial" w:eastAsia="Calibri" w:hAnsi="Arial" w:cs="Arial"/>
        </w:rPr>
      </w:pPr>
      <w:r w:rsidRPr="00EA7665">
        <w:rPr>
          <w:rFonts w:ascii="Arial" w:eastAsia="Calibri" w:hAnsi="Arial" w:cs="Arial"/>
        </w:rPr>
        <w:t>Cash flow</w:t>
      </w:r>
    </w:p>
    <w:p w14:paraId="5FA1D80D" w14:textId="77777777" w:rsidR="00CD6352" w:rsidRPr="00EA7665" w:rsidRDefault="00CD6352" w:rsidP="007625E7">
      <w:pPr>
        <w:pStyle w:val="ListParagraph"/>
        <w:numPr>
          <w:ilvl w:val="0"/>
          <w:numId w:val="301"/>
        </w:numPr>
        <w:spacing w:before="240" w:line="360" w:lineRule="auto"/>
        <w:jc w:val="both"/>
        <w:rPr>
          <w:rFonts w:ascii="Arial" w:eastAsia="Calibri" w:hAnsi="Arial" w:cs="Arial"/>
        </w:rPr>
      </w:pPr>
      <w:r w:rsidRPr="00EA7665">
        <w:rPr>
          <w:rFonts w:ascii="Arial" w:eastAsia="Calibri" w:hAnsi="Arial" w:cs="Arial"/>
        </w:rPr>
        <w:t>Business plan</w:t>
      </w:r>
    </w:p>
    <w:p w14:paraId="5EEA5D36" w14:textId="77777777" w:rsidR="00CD6352" w:rsidRPr="00EA7665" w:rsidRDefault="00CD6352" w:rsidP="007625E7">
      <w:pPr>
        <w:pStyle w:val="ListParagraph"/>
        <w:numPr>
          <w:ilvl w:val="0"/>
          <w:numId w:val="301"/>
        </w:numPr>
        <w:spacing w:before="240" w:line="360" w:lineRule="auto"/>
        <w:jc w:val="both"/>
        <w:rPr>
          <w:rFonts w:ascii="Arial" w:eastAsia="Calibri" w:hAnsi="Arial" w:cs="Arial"/>
        </w:rPr>
      </w:pPr>
      <w:r w:rsidRPr="00EA7665">
        <w:rPr>
          <w:rFonts w:ascii="Arial" w:eastAsia="Calibri" w:hAnsi="Arial" w:cs="Arial"/>
        </w:rPr>
        <w:t xml:space="preserve">Collateral </w:t>
      </w:r>
    </w:p>
    <w:p w14:paraId="6006CF6F" w14:textId="77777777" w:rsidR="00CD6352" w:rsidRPr="00EA7665" w:rsidRDefault="00CD6352" w:rsidP="007625E7">
      <w:pPr>
        <w:pStyle w:val="ListParagraph"/>
        <w:numPr>
          <w:ilvl w:val="0"/>
          <w:numId w:val="301"/>
        </w:numPr>
        <w:spacing w:before="240" w:line="360" w:lineRule="auto"/>
        <w:jc w:val="both"/>
        <w:rPr>
          <w:rFonts w:ascii="Arial" w:eastAsia="Calibri" w:hAnsi="Arial" w:cs="Arial"/>
        </w:rPr>
      </w:pPr>
      <w:r w:rsidRPr="00EA7665">
        <w:rPr>
          <w:rFonts w:ascii="Arial" w:eastAsia="Calibri" w:hAnsi="Arial" w:cs="Arial"/>
        </w:rPr>
        <w:t>Projected returns</w:t>
      </w:r>
    </w:p>
    <w:p w14:paraId="0050C7F8" w14:textId="1215CAAA" w:rsidR="00CD6352" w:rsidRPr="00EA7665" w:rsidRDefault="00CD6352" w:rsidP="00CD6352">
      <w:pPr>
        <w:spacing w:before="240" w:line="360" w:lineRule="auto"/>
        <w:jc w:val="both"/>
        <w:rPr>
          <w:rFonts w:ascii="Arial" w:eastAsia="Calibri" w:hAnsi="Arial" w:cs="Arial"/>
        </w:rPr>
      </w:pPr>
      <w:r w:rsidRPr="00EA7665">
        <w:rPr>
          <w:rFonts w:ascii="Arial" w:eastAsia="Calibri" w:hAnsi="Arial" w:cs="Arial"/>
        </w:rPr>
        <w:t xml:space="preserve">However, the ranking of the most cited criteria requested by financiers in developed economies </w:t>
      </w:r>
      <w:r w:rsidR="00343954">
        <w:rPr>
          <w:rFonts w:ascii="Arial" w:eastAsia="Calibri" w:hAnsi="Arial" w:cs="Arial"/>
        </w:rPr>
        <w:t xml:space="preserve">using NVIVO </w:t>
      </w:r>
      <w:r w:rsidR="00AA5699">
        <w:rPr>
          <w:rFonts w:ascii="Arial" w:eastAsia="Calibri" w:hAnsi="Arial" w:cs="Arial"/>
        </w:rPr>
        <w:t>is</w:t>
      </w:r>
      <w:r w:rsidRPr="00EA7665">
        <w:rPr>
          <w:rFonts w:ascii="Arial" w:eastAsia="Calibri" w:hAnsi="Arial" w:cs="Arial"/>
        </w:rPr>
        <w:t>:</w:t>
      </w:r>
    </w:p>
    <w:p w14:paraId="36142520" w14:textId="77777777" w:rsidR="00CD6352" w:rsidRPr="00EA7665" w:rsidRDefault="00CD6352" w:rsidP="007625E7">
      <w:pPr>
        <w:pStyle w:val="ListParagraph"/>
        <w:numPr>
          <w:ilvl w:val="0"/>
          <w:numId w:val="302"/>
        </w:numPr>
        <w:spacing w:before="240" w:after="0" w:line="360" w:lineRule="auto"/>
        <w:jc w:val="both"/>
        <w:rPr>
          <w:rFonts w:ascii="Arial" w:eastAsia="Calibri" w:hAnsi="Arial" w:cs="Arial"/>
        </w:rPr>
      </w:pPr>
      <w:r w:rsidRPr="00EA7665">
        <w:rPr>
          <w:rFonts w:ascii="Arial" w:eastAsia="Calibri" w:hAnsi="Arial" w:cs="Arial"/>
        </w:rPr>
        <w:t>Track record</w:t>
      </w:r>
    </w:p>
    <w:p w14:paraId="3DE100A9" w14:textId="77777777" w:rsidR="00CD6352" w:rsidRPr="00EA7665" w:rsidRDefault="00CD6352" w:rsidP="007625E7">
      <w:pPr>
        <w:pStyle w:val="ListParagraph"/>
        <w:numPr>
          <w:ilvl w:val="0"/>
          <w:numId w:val="302"/>
        </w:numPr>
        <w:spacing w:before="240" w:after="0" w:line="360" w:lineRule="auto"/>
        <w:jc w:val="both"/>
        <w:rPr>
          <w:rFonts w:ascii="Arial" w:eastAsia="Calibri" w:hAnsi="Arial" w:cs="Arial"/>
        </w:rPr>
      </w:pPr>
      <w:r w:rsidRPr="00EA7665">
        <w:rPr>
          <w:rFonts w:ascii="Arial" w:eastAsia="Calibri" w:hAnsi="Arial" w:cs="Arial"/>
        </w:rPr>
        <w:t>Due diligence</w:t>
      </w:r>
    </w:p>
    <w:p w14:paraId="7BE338EB" w14:textId="77777777" w:rsidR="00CD6352" w:rsidRPr="00EA7665" w:rsidRDefault="00CD6352" w:rsidP="007625E7">
      <w:pPr>
        <w:pStyle w:val="ListParagraph"/>
        <w:numPr>
          <w:ilvl w:val="0"/>
          <w:numId w:val="302"/>
        </w:numPr>
        <w:spacing w:before="240" w:after="0" w:line="360" w:lineRule="auto"/>
        <w:jc w:val="both"/>
        <w:rPr>
          <w:rFonts w:ascii="Arial" w:eastAsia="Calibri" w:hAnsi="Arial" w:cs="Arial"/>
        </w:rPr>
      </w:pPr>
      <w:r w:rsidRPr="00EA7665">
        <w:rPr>
          <w:rFonts w:ascii="Arial" w:eastAsia="Calibri" w:hAnsi="Arial" w:cs="Arial"/>
        </w:rPr>
        <w:t>Details of projected rent</w:t>
      </w:r>
    </w:p>
    <w:p w14:paraId="570B944B" w14:textId="77777777" w:rsidR="00CD6352" w:rsidRPr="00EA7665" w:rsidRDefault="00CD6352" w:rsidP="007625E7">
      <w:pPr>
        <w:pStyle w:val="ListParagraph"/>
        <w:numPr>
          <w:ilvl w:val="0"/>
          <w:numId w:val="302"/>
        </w:numPr>
        <w:spacing w:before="240" w:after="0" w:line="360" w:lineRule="auto"/>
        <w:jc w:val="both"/>
        <w:rPr>
          <w:rFonts w:ascii="Arial" w:eastAsia="Calibri" w:hAnsi="Arial" w:cs="Arial"/>
        </w:rPr>
      </w:pPr>
      <w:r w:rsidRPr="00EA7665">
        <w:rPr>
          <w:rFonts w:ascii="Arial" w:eastAsia="Calibri" w:hAnsi="Arial" w:cs="Arial"/>
        </w:rPr>
        <w:t>Business plan</w:t>
      </w:r>
    </w:p>
    <w:p w14:paraId="7244E413" w14:textId="77777777" w:rsidR="00CD6352" w:rsidRPr="00EA7665" w:rsidRDefault="00CD6352" w:rsidP="007625E7">
      <w:pPr>
        <w:pStyle w:val="ListParagraph"/>
        <w:numPr>
          <w:ilvl w:val="0"/>
          <w:numId w:val="302"/>
        </w:numPr>
        <w:spacing w:before="240" w:after="0" w:line="360" w:lineRule="auto"/>
        <w:jc w:val="both"/>
        <w:rPr>
          <w:rFonts w:ascii="Arial" w:eastAsia="Calibri" w:hAnsi="Arial" w:cs="Arial"/>
        </w:rPr>
      </w:pPr>
      <w:r w:rsidRPr="00EA7665">
        <w:rPr>
          <w:rFonts w:ascii="Arial" w:eastAsia="Calibri" w:hAnsi="Arial" w:cs="Arial"/>
        </w:rPr>
        <w:t>Cash flow</w:t>
      </w:r>
    </w:p>
    <w:p w14:paraId="57EE9D25" w14:textId="77777777" w:rsidR="00CD6352" w:rsidRPr="00EA7665" w:rsidRDefault="00CD6352" w:rsidP="007625E7">
      <w:pPr>
        <w:pStyle w:val="ListParagraph"/>
        <w:numPr>
          <w:ilvl w:val="0"/>
          <w:numId w:val="302"/>
        </w:numPr>
        <w:spacing w:before="240" w:after="0" w:line="360" w:lineRule="auto"/>
        <w:jc w:val="both"/>
        <w:rPr>
          <w:rFonts w:ascii="Arial" w:eastAsia="Calibri" w:hAnsi="Arial" w:cs="Arial"/>
        </w:rPr>
      </w:pPr>
      <w:r w:rsidRPr="00EA7665">
        <w:rPr>
          <w:rFonts w:ascii="Arial" w:eastAsia="Calibri" w:hAnsi="Arial" w:cs="Arial"/>
        </w:rPr>
        <w:t xml:space="preserve">Collateral </w:t>
      </w:r>
    </w:p>
    <w:p w14:paraId="780F722C" w14:textId="77777777" w:rsidR="00CD6352" w:rsidRPr="00EA7665" w:rsidRDefault="00CD6352" w:rsidP="00CD6352">
      <w:pPr>
        <w:spacing w:before="240" w:line="360" w:lineRule="auto"/>
        <w:jc w:val="both"/>
        <w:rPr>
          <w:rFonts w:ascii="Arial" w:eastAsia="Calibri" w:hAnsi="Arial" w:cs="Arial"/>
        </w:rPr>
      </w:pPr>
      <w:r w:rsidRPr="00EA7665">
        <w:rPr>
          <w:rFonts w:ascii="Arial" w:eastAsia="Calibri" w:hAnsi="Arial" w:cs="Arial"/>
        </w:rPr>
        <w:t xml:space="preserve">While the ranking of the most </w:t>
      </w:r>
      <w:r>
        <w:rPr>
          <w:rFonts w:ascii="Arial" w:eastAsia="Calibri" w:hAnsi="Arial" w:cs="Arial"/>
        </w:rPr>
        <w:t>cited</w:t>
      </w:r>
      <w:r w:rsidRPr="00EA7665">
        <w:rPr>
          <w:rFonts w:ascii="Arial" w:eastAsia="Calibri" w:hAnsi="Arial" w:cs="Arial"/>
        </w:rPr>
        <w:t xml:space="preserve"> criteria requested by financiers in the emerging economies is:</w:t>
      </w:r>
    </w:p>
    <w:p w14:paraId="039C0B1B"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t>Track record</w:t>
      </w:r>
    </w:p>
    <w:p w14:paraId="1462CDDF"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t>Projected returns</w:t>
      </w:r>
    </w:p>
    <w:p w14:paraId="2D80AD4B"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lastRenderedPageBreak/>
        <w:t>Cash flow</w:t>
      </w:r>
    </w:p>
    <w:p w14:paraId="3C84E273"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t>Existing relationships with financiers</w:t>
      </w:r>
    </w:p>
    <w:p w14:paraId="50F02533"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t>Adherence to government policies</w:t>
      </w:r>
    </w:p>
    <w:p w14:paraId="27D0040C"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t>Business plan</w:t>
      </w:r>
    </w:p>
    <w:p w14:paraId="72381720" w14:textId="77777777" w:rsidR="00CD6352" w:rsidRPr="00EA7665" w:rsidRDefault="00CD6352" w:rsidP="007625E7">
      <w:pPr>
        <w:pStyle w:val="ListParagraph"/>
        <w:numPr>
          <w:ilvl w:val="0"/>
          <w:numId w:val="303"/>
        </w:numPr>
        <w:spacing w:before="240" w:after="0" w:line="360" w:lineRule="auto"/>
        <w:jc w:val="both"/>
        <w:rPr>
          <w:rFonts w:ascii="Arial" w:eastAsia="Calibri" w:hAnsi="Arial" w:cs="Arial"/>
        </w:rPr>
      </w:pPr>
      <w:r w:rsidRPr="00EA7665">
        <w:rPr>
          <w:rFonts w:ascii="Arial" w:eastAsia="Calibri" w:hAnsi="Arial" w:cs="Arial"/>
        </w:rPr>
        <w:t>Collateral</w:t>
      </w:r>
    </w:p>
    <w:p w14:paraId="6CDC0D80" w14:textId="0A617F4C" w:rsidR="00CD6352" w:rsidRPr="00EA7665" w:rsidRDefault="00CD6352" w:rsidP="00CD6352">
      <w:pPr>
        <w:spacing w:before="240" w:line="360" w:lineRule="auto"/>
        <w:jc w:val="both"/>
        <w:rPr>
          <w:rFonts w:ascii="Arial" w:eastAsia="Calibri" w:hAnsi="Arial" w:cs="Arial"/>
        </w:rPr>
      </w:pPr>
      <w:r w:rsidRPr="00EA7665">
        <w:rPr>
          <w:rFonts w:ascii="Arial" w:eastAsia="Calibri" w:hAnsi="Arial" w:cs="Arial"/>
        </w:rPr>
        <w:t>The findings from both the survey questionnaires and interviews with managers demonstrat</w:t>
      </w:r>
      <w:r>
        <w:rPr>
          <w:rFonts w:ascii="Arial" w:eastAsia="Calibri" w:hAnsi="Arial" w:cs="Arial"/>
        </w:rPr>
        <w:t xml:space="preserve">e </w:t>
      </w:r>
      <w:r w:rsidRPr="00EA7665">
        <w:rPr>
          <w:rFonts w:ascii="Arial" w:eastAsia="Calibri" w:hAnsi="Arial" w:cs="Arial"/>
        </w:rPr>
        <w:t>that financers in both the developed and emerging economies require similar criteria. This position is also consistent with existing literature (see chapter 3.</w:t>
      </w:r>
      <w:r w:rsidR="00DD3082">
        <w:rPr>
          <w:rFonts w:ascii="Arial" w:eastAsia="Calibri" w:hAnsi="Arial" w:cs="Arial"/>
        </w:rPr>
        <w:t>4</w:t>
      </w:r>
      <w:r w:rsidRPr="00EA7665">
        <w:rPr>
          <w:rFonts w:ascii="Arial" w:eastAsia="Calibri" w:hAnsi="Arial" w:cs="Arial"/>
        </w:rPr>
        <w:t>)</w:t>
      </w:r>
    </w:p>
    <w:p w14:paraId="50FED079" w14:textId="6AC42281" w:rsidR="00CD6352" w:rsidRPr="00EA7665" w:rsidRDefault="00CD6352" w:rsidP="00CD6352">
      <w:pPr>
        <w:pStyle w:val="Heading3"/>
        <w:rPr>
          <w:sz w:val="22"/>
          <w:szCs w:val="22"/>
        </w:rPr>
      </w:pPr>
      <w:bookmarkStart w:id="1146" w:name="_Toc78983853"/>
      <w:r w:rsidRPr="00EA7665">
        <w:rPr>
          <w:sz w:val="22"/>
          <w:szCs w:val="22"/>
        </w:rPr>
        <w:t>The implication of the findings</w:t>
      </w:r>
      <w:bookmarkEnd w:id="1144"/>
      <w:r w:rsidRPr="00EA7665">
        <w:rPr>
          <w:sz w:val="22"/>
          <w:szCs w:val="22"/>
        </w:rPr>
        <w:t xml:space="preserve"> on criteria for securing finance for real estate project development in developed and emerging </w:t>
      </w:r>
      <w:r w:rsidR="00987578" w:rsidRPr="00EA7665">
        <w:rPr>
          <w:sz w:val="22"/>
          <w:szCs w:val="22"/>
        </w:rPr>
        <w:t>economies.</w:t>
      </w:r>
      <w:bookmarkEnd w:id="1146"/>
      <w:r w:rsidRPr="00EA7665">
        <w:rPr>
          <w:sz w:val="22"/>
          <w:szCs w:val="22"/>
        </w:rPr>
        <w:t xml:space="preserve"> </w:t>
      </w:r>
    </w:p>
    <w:p w14:paraId="5A909E3A" w14:textId="1E13087C" w:rsidR="00CD6352" w:rsidRDefault="00CD6352" w:rsidP="00CD6352">
      <w:pPr>
        <w:spacing w:before="240" w:line="360" w:lineRule="auto"/>
        <w:jc w:val="both"/>
        <w:rPr>
          <w:rFonts w:ascii="Arial" w:eastAsia="Calibri" w:hAnsi="Arial" w:cs="Arial"/>
        </w:rPr>
      </w:pPr>
      <w:r w:rsidRPr="00EA7665">
        <w:rPr>
          <w:rFonts w:ascii="Arial" w:eastAsia="Calibri" w:hAnsi="Arial" w:cs="Arial"/>
        </w:rPr>
        <w:t>The criteria for</w:t>
      </w:r>
      <w:r>
        <w:rPr>
          <w:rFonts w:ascii="Arial" w:eastAsia="Calibri" w:hAnsi="Arial" w:cs="Arial"/>
        </w:rPr>
        <w:t xml:space="preserve"> securing</w:t>
      </w:r>
      <w:r w:rsidRPr="00EA7665">
        <w:rPr>
          <w:rFonts w:ascii="Arial" w:eastAsia="Calibri" w:hAnsi="Arial" w:cs="Arial"/>
        </w:rPr>
        <w:t xml:space="preserve"> real estate project development finance for both developed and emerging economies are very similar. This similarity could be attributable to global economic policy coordination and governmental decisions</w:t>
      </w:r>
      <w:r w:rsidR="003E20BC">
        <w:rPr>
          <w:rFonts w:ascii="Arial" w:eastAsia="Calibri" w:hAnsi="Arial" w:cs="Arial"/>
        </w:rPr>
        <w:t>,</w:t>
      </w:r>
      <w:r w:rsidRPr="00EA7665">
        <w:rPr>
          <w:rFonts w:ascii="Arial" w:eastAsia="Calibri" w:hAnsi="Arial" w:cs="Arial"/>
        </w:rPr>
        <w:t xml:space="preserve"> which are offshoo</w:t>
      </w:r>
      <w:r>
        <w:rPr>
          <w:rFonts w:ascii="Arial" w:eastAsia="Calibri" w:hAnsi="Arial" w:cs="Arial"/>
        </w:rPr>
        <w:t>ts</w:t>
      </w:r>
      <w:r w:rsidRPr="00EA7665">
        <w:rPr>
          <w:rFonts w:ascii="Arial" w:eastAsia="Calibri" w:hAnsi="Arial" w:cs="Arial"/>
        </w:rPr>
        <w:t xml:space="preserve"> of the post</w:t>
      </w:r>
      <w:r w:rsidR="00AA5699">
        <w:rPr>
          <w:rFonts w:ascii="Arial" w:eastAsia="Calibri" w:hAnsi="Arial" w:cs="Arial"/>
        </w:rPr>
        <w:t>-</w:t>
      </w:r>
      <w:r w:rsidRPr="00EA7665">
        <w:rPr>
          <w:rFonts w:ascii="Arial" w:eastAsia="Calibri" w:hAnsi="Arial" w:cs="Arial"/>
        </w:rPr>
        <w:t xml:space="preserve">2007/2008 financial crisis (Madura, 2017). The policy coordination by different countries is aimed at making the financial sector safer and more sustainable. Some of these policies cover capital ratio, leverage ratio, liquidity ratio of financing institutions and proper oversights of financing institutions by regional and global regulatory authorities (Krugman et al., 2010; Madura, 2017). </w:t>
      </w:r>
    </w:p>
    <w:p w14:paraId="7E87885D" w14:textId="2D3A7AB0" w:rsidR="003B79AD" w:rsidRPr="00EA7665" w:rsidRDefault="003B79AD" w:rsidP="002F715D">
      <w:pPr>
        <w:spacing w:before="240" w:line="360" w:lineRule="auto"/>
        <w:jc w:val="both"/>
        <w:rPr>
          <w:rFonts w:ascii="Arial" w:eastAsia="Calibri" w:hAnsi="Arial" w:cs="Arial"/>
        </w:rPr>
      </w:pPr>
      <w:r w:rsidRPr="003B79AD">
        <w:rPr>
          <w:rFonts w:ascii="Arial" w:eastAsia="Calibri" w:hAnsi="Arial" w:cs="Arial"/>
        </w:rPr>
        <w:t>The</w:t>
      </w:r>
      <w:r w:rsidR="002F715D">
        <w:rPr>
          <w:rFonts w:ascii="Arial" w:eastAsia="Calibri" w:hAnsi="Arial" w:cs="Arial"/>
        </w:rPr>
        <w:t xml:space="preserve"> findings show</w:t>
      </w:r>
      <w:r w:rsidRPr="003B79AD">
        <w:rPr>
          <w:rFonts w:ascii="Arial" w:eastAsia="Calibri" w:hAnsi="Arial" w:cs="Arial"/>
        </w:rPr>
        <w:t xml:space="preserve"> </w:t>
      </w:r>
      <w:r w:rsidR="00AA5699">
        <w:rPr>
          <w:rFonts w:ascii="Arial" w:eastAsia="Calibri" w:hAnsi="Arial" w:cs="Arial"/>
        </w:rPr>
        <w:t xml:space="preserve">a </w:t>
      </w:r>
      <w:r w:rsidRPr="003B79AD">
        <w:rPr>
          <w:rFonts w:ascii="Arial" w:eastAsia="Calibri" w:hAnsi="Arial" w:cs="Arial"/>
        </w:rPr>
        <w:t xml:space="preserve">strong correlation between lower managerial levels and certain criteria been more demanded by </w:t>
      </w:r>
      <w:r w:rsidR="002F715D" w:rsidRPr="003B79AD">
        <w:rPr>
          <w:rFonts w:ascii="Arial" w:eastAsia="Calibri" w:hAnsi="Arial" w:cs="Arial"/>
        </w:rPr>
        <w:t>financiers.</w:t>
      </w:r>
      <w:r w:rsidR="002F715D">
        <w:rPr>
          <w:rFonts w:ascii="Arial" w:eastAsia="Calibri" w:hAnsi="Arial" w:cs="Arial"/>
        </w:rPr>
        <w:t xml:space="preserve"> This </w:t>
      </w:r>
      <w:r w:rsidRPr="003B79AD">
        <w:rPr>
          <w:rFonts w:ascii="Arial" w:eastAsia="Calibri" w:hAnsi="Arial" w:cs="Arial"/>
        </w:rPr>
        <w:t>goes to show the relations between market perception and managerial hierarchies (Alexander,1979 &amp; McGuinness,1991). Arguably the risks in dealing with man</w:t>
      </w:r>
      <w:r w:rsidR="0034799A">
        <w:rPr>
          <w:rFonts w:ascii="Arial" w:eastAsia="Calibri" w:hAnsi="Arial" w:cs="Arial"/>
        </w:rPr>
        <w:t>a</w:t>
      </w:r>
      <w:r w:rsidRPr="003B79AD">
        <w:rPr>
          <w:rFonts w:ascii="Arial" w:eastAsia="Calibri" w:hAnsi="Arial" w:cs="Arial"/>
        </w:rPr>
        <w:t xml:space="preserve">gers </w:t>
      </w:r>
      <w:r w:rsidR="00BF5EEE">
        <w:rPr>
          <w:rFonts w:ascii="Arial" w:eastAsia="Calibri" w:hAnsi="Arial" w:cs="Arial"/>
        </w:rPr>
        <w:t>are</w:t>
      </w:r>
      <w:r w:rsidRPr="003B79AD">
        <w:rPr>
          <w:rFonts w:ascii="Arial" w:eastAsia="Calibri" w:hAnsi="Arial" w:cs="Arial"/>
        </w:rPr>
        <w:t xml:space="preserve"> perceived to be higher at the lower levels hence the need for financiers to demand more risk mitigating and reduction tools such as hedging instruments, guarantees, collateral and indemnification.</w:t>
      </w:r>
      <w:r w:rsidR="002F715D">
        <w:rPr>
          <w:rFonts w:ascii="Arial" w:eastAsia="Calibri" w:hAnsi="Arial" w:cs="Arial"/>
        </w:rPr>
        <w:t xml:space="preserve"> The implication of this by managers and educators is to be aware and create awareness, respectively. This brings to fore the need for a comprehensive checklist of criteria required by financiers.</w:t>
      </w:r>
    </w:p>
    <w:p w14:paraId="791302F7" w14:textId="1FF70D77" w:rsidR="00CD6352" w:rsidRPr="00EA7665" w:rsidRDefault="00CD6352" w:rsidP="00CD6352">
      <w:pPr>
        <w:spacing w:before="240" w:line="360" w:lineRule="auto"/>
        <w:jc w:val="both"/>
        <w:rPr>
          <w:rFonts w:ascii="Arial" w:eastAsia="Calibri" w:hAnsi="Arial" w:cs="Arial"/>
        </w:rPr>
      </w:pPr>
      <w:r w:rsidRPr="00EA7665">
        <w:rPr>
          <w:rFonts w:ascii="Arial" w:eastAsia="Calibri" w:hAnsi="Arial" w:cs="Arial"/>
        </w:rPr>
        <w:t xml:space="preserve">The findings show that there is no established checklist for securing finance for real estate project development. This study developed this checklist by </w:t>
      </w:r>
      <w:r>
        <w:rPr>
          <w:rFonts w:ascii="Arial" w:eastAsia="Calibri" w:hAnsi="Arial" w:cs="Arial"/>
        </w:rPr>
        <w:t xml:space="preserve">providing an inventory of </w:t>
      </w:r>
      <w:r w:rsidR="0034799A">
        <w:rPr>
          <w:rFonts w:ascii="Arial" w:eastAsia="Calibri" w:hAnsi="Arial" w:cs="Arial"/>
        </w:rPr>
        <w:t xml:space="preserve">finance options and </w:t>
      </w:r>
      <w:r>
        <w:rPr>
          <w:rFonts w:ascii="Arial" w:eastAsia="Calibri" w:hAnsi="Arial" w:cs="Arial"/>
        </w:rPr>
        <w:t>criteria for securing finance for real estate project development</w:t>
      </w:r>
      <w:r w:rsidR="0034799A">
        <w:rPr>
          <w:rFonts w:ascii="Arial" w:eastAsia="Calibri" w:hAnsi="Arial" w:cs="Arial"/>
        </w:rPr>
        <w:t xml:space="preserve"> in chapter 5.4,</w:t>
      </w:r>
      <w:r>
        <w:rPr>
          <w:rFonts w:ascii="Arial" w:eastAsia="Calibri" w:hAnsi="Arial" w:cs="Arial"/>
        </w:rPr>
        <w:t xml:space="preserve"> which is a </w:t>
      </w:r>
      <w:r w:rsidR="0034799A">
        <w:rPr>
          <w:rFonts w:ascii="Arial" w:eastAsia="Calibri" w:hAnsi="Arial" w:cs="Arial"/>
        </w:rPr>
        <w:t xml:space="preserve">component </w:t>
      </w:r>
      <w:r>
        <w:rPr>
          <w:rFonts w:ascii="Arial" w:eastAsia="Calibri" w:hAnsi="Arial" w:cs="Arial"/>
        </w:rPr>
        <w:t>of the toolkit for securing finance for real estate project development</w:t>
      </w:r>
      <w:r w:rsidRPr="00EA7665">
        <w:rPr>
          <w:rFonts w:ascii="Arial" w:eastAsia="Calibri" w:hAnsi="Arial" w:cs="Arial"/>
        </w:rPr>
        <w:t xml:space="preserve"> </w:t>
      </w:r>
      <w:r w:rsidR="0034799A">
        <w:rPr>
          <w:rFonts w:ascii="Arial" w:eastAsia="Calibri" w:hAnsi="Arial" w:cs="Arial"/>
        </w:rPr>
        <w:t>in chapter 10.</w:t>
      </w:r>
    </w:p>
    <w:p w14:paraId="6965AD26" w14:textId="7C790E20" w:rsidR="00CD6352" w:rsidRPr="00BE782A" w:rsidRDefault="00CD6352" w:rsidP="00CD6352">
      <w:pPr>
        <w:pStyle w:val="Heading2"/>
        <w:spacing w:after="240"/>
        <w:rPr>
          <w:sz w:val="22"/>
          <w:szCs w:val="22"/>
        </w:rPr>
      </w:pPr>
      <w:bookmarkStart w:id="1147" w:name="_Toc78983854"/>
      <w:r w:rsidRPr="00BE782A">
        <w:rPr>
          <w:sz w:val="22"/>
          <w:szCs w:val="22"/>
        </w:rPr>
        <w:t xml:space="preserve">Development of </w:t>
      </w:r>
      <w:r w:rsidR="00BF5EEE">
        <w:rPr>
          <w:sz w:val="22"/>
          <w:szCs w:val="22"/>
        </w:rPr>
        <w:t xml:space="preserve">an </w:t>
      </w:r>
      <w:r w:rsidRPr="00BE782A">
        <w:rPr>
          <w:sz w:val="22"/>
          <w:szCs w:val="22"/>
        </w:rPr>
        <w:t>inventory of options and criteria for securing finance for real estate project development</w:t>
      </w:r>
      <w:bookmarkEnd w:id="1147"/>
    </w:p>
    <w:p w14:paraId="7CB06889" w14:textId="4792B645" w:rsidR="00CD6352" w:rsidRDefault="00CD6352" w:rsidP="00CD6352">
      <w:pPr>
        <w:spacing w:line="360" w:lineRule="auto"/>
        <w:rPr>
          <w:rFonts w:ascii="Arial" w:hAnsi="Arial" w:cs="Arial"/>
        </w:rPr>
      </w:pPr>
      <w:r w:rsidRPr="00B55032">
        <w:rPr>
          <w:rFonts w:ascii="Arial" w:hAnsi="Arial" w:cs="Arial"/>
        </w:rPr>
        <w:t xml:space="preserve">The </w:t>
      </w:r>
      <w:r>
        <w:rPr>
          <w:rFonts w:ascii="Arial" w:hAnsi="Arial" w:cs="Arial"/>
        </w:rPr>
        <w:t xml:space="preserve">data from the questionnaire survey and the semi-structured interviews with the support of some relevant theories </w:t>
      </w:r>
      <w:r w:rsidR="00323811">
        <w:rPr>
          <w:rFonts w:ascii="Arial" w:hAnsi="Arial" w:cs="Arial"/>
        </w:rPr>
        <w:t xml:space="preserve">were </w:t>
      </w:r>
      <w:r>
        <w:rPr>
          <w:rFonts w:ascii="Arial" w:hAnsi="Arial" w:cs="Arial"/>
        </w:rPr>
        <w:t xml:space="preserve">used in the development of the inventory of finance options </w:t>
      </w:r>
      <w:r>
        <w:rPr>
          <w:rFonts w:ascii="Arial" w:hAnsi="Arial" w:cs="Arial"/>
        </w:rPr>
        <w:lastRenderedPageBreak/>
        <w:t xml:space="preserve">and criteria for securing finance for real estate project development.  The inventory of </w:t>
      </w:r>
      <w:r w:rsidR="00FB059C">
        <w:rPr>
          <w:rFonts w:ascii="Arial" w:hAnsi="Arial" w:cs="Arial"/>
        </w:rPr>
        <w:t xml:space="preserve">finance </w:t>
      </w:r>
      <w:r>
        <w:rPr>
          <w:rFonts w:ascii="Arial" w:hAnsi="Arial" w:cs="Arial"/>
        </w:rPr>
        <w:t xml:space="preserve">options development is divided into four major </w:t>
      </w:r>
      <w:r w:rsidR="00763106">
        <w:rPr>
          <w:rFonts w:ascii="Arial" w:hAnsi="Arial" w:cs="Arial"/>
        </w:rPr>
        <w:t>segments</w:t>
      </w:r>
      <w:r w:rsidR="003E20BC">
        <w:rPr>
          <w:rFonts w:ascii="Arial" w:hAnsi="Arial" w:cs="Arial"/>
        </w:rPr>
        <w:t>: finance types, finance options, the decision on capital structure,</w:t>
      </w:r>
      <w:r>
        <w:rPr>
          <w:rFonts w:ascii="Arial" w:hAnsi="Arial" w:cs="Arial"/>
        </w:rPr>
        <w:t xml:space="preserve"> and criteria</w:t>
      </w:r>
      <w:r w:rsidR="003E20BC">
        <w:rPr>
          <w:rFonts w:ascii="Arial" w:hAnsi="Arial" w:cs="Arial"/>
        </w:rPr>
        <w:t xml:space="preserve"> ( see table 5.4.1)</w:t>
      </w:r>
      <w:r>
        <w:rPr>
          <w:rFonts w:ascii="Arial" w:hAnsi="Arial" w:cs="Arial"/>
        </w:rPr>
        <w:t xml:space="preserve">. The finance type is divided into equity, debt and innovative and creative finance in line with the findings based on the primary data </w:t>
      </w:r>
      <w:r w:rsidR="00A05AD4">
        <w:rPr>
          <w:rFonts w:ascii="Arial" w:hAnsi="Arial" w:cs="Arial"/>
        </w:rPr>
        <w:t>collection.</w:t>
      </w:r>
      <w:r>
        <w:rPr>
          <w:rFonts w:ascii="Arial" w:hAnsi="Arial" w:cs="Arial"/>
        </w:rPr>
        <w:t xml:space="preserve"> The classification into debt, equity and innovative and creative finance </w:t>
      </w:r>
      <w:r w:rsidR="00BF5EEE">
        <w:rPr>
          <w:rFonts w:ascii="Arial" w:hAnsi="Arial" w:cs="Arial"/>
        </w:rPr>
        <w:t>are</w:t>
      </w:r>
      <w:r>
        <w:rPr>
          <w:rFonts w:ascii="Arial" w:hAnsi="Arial" w:cs="Arial"/>
        </w:rPr>
        <w:t xml:space="preserve"> in line with existing literature which created a platform for the data collection </w:t>
      </w:r>
      <w:r w:rsidR="00A05AD4">
        <w:rPr>
          <w:rFonts w:ascii="Arial" w:hAnsi="Arial" w:cs="Arial"/>
        </w:rPr>
        <w:t>(Ogbenjuwa</w:t>
      </w:r>
      <w:r>
        <w:rPr>
          <w:rFonts w:ascii="Arial" w:hAnsi="Arial" w:cs="Arial"/>
        </w:rPr>
        <w:t xml:space="preserve"> &amp; Egbu, 2017; Kavishe and Chilesche, 2017 &amp; Ke et al</w:t>
      </w:r>
      <w:r w:rsidR="00323811">
        <w:rPr>
          <w:rFonts w:ascii="Arial" w:hAnsi="Arial" w:cs="Arial"/>
        </w:rPr>
        <w:t>.</w:t>
      </w:r>
      <w:r>
        <w:rPr>
          <w:rFonts w:ascii="Arial" w:hAnsi="Arial" w:cs="Arial"/>
        </w:rPr>
        <w:t xml:space="preserve">, 2007). </w:t>
      </w:r>
    </w:p>
    <w:p w14:paraId="16A758E4" w14:textId="3BAB2FF2" w:rsidR="00CD6352" w:rsidRDefault="00CD6352" w:rsidP="00CD6352">
      <w:pPr>
        <w:spacing w:line="360" w:lineRule="auto"/>
        <w:rPr>
          <w:rFonts w:ascii="Arial" w:hAnsi="Arial" w:cs="Arial"/>
        </w:rPr>
      </w:pPr>
      <w:r>
        <w:rPr>
          <w:rFonts w:ascii="Arial" w:hAnsi="Arial" w:cs="Arial"/>
        </w:rPr>
        <w:t xml:space="preserve">The </w:t>
      </w:r>
      <w:r w:rsidR="00763106">
        <w:rPr>
          <w:rFonts w:ascii="Arial" w:hAnsi="Arial" w:cs="Arial"/>
        </w:rPr>
        <w:t>pecking order and trade</w:t>
      </w:r>
      <w:r w:rsidR="0027591A">
        <w:rPr>
          <w:rFonts w:ascii="Arial" w:hAnsi="Arial" w:cs="Arial"/>
        </w:rPr>
        <w:t>-</w:t>
      </w:r>
      <w:r w:rsidR="00763106">
        <w:rPr>
          <w:rFonts w:ascii="Arial" w:hAnsi="Arial" w:cs="Arial"/>
        </w:rPr>
        <w:t xml:space="preserve">off theories </w:t>
      </w:r>
      <w:r>
        <w:rPr>
          <w:rFonts w:ascii="Arial" w:hAnsi="Arial" w:cs="Arial"/>
        </w:rPr>
        <w:t>support the development of the inventory of options and criteria for securing finance for real estate project development:</w:t>
      </w:r>
    </w:p>
    <w:p w14:paraId="3EAC5711" w14:textId="77777777" w:rsidR="0011760D" w:rsidRDefault="00CD6352" w:rsidP="0011760D">
      <w:pPr>
        <w:rPr>
          <w:rFonts w:ascii="Arial" w:hAnsi="Arial" w:cs="Arial"/>
          <w:u w:val="single"/>
        </w:rPr>
      </w:pPr>
      <w:r w:rsidRPr="000D09EC">
        <w:rPr>
          <w:rFonts w:ascii="Arial" w:hAnsi="Arial" w:cs="Arial"/>
          <w:u w:val="single"/>
        </w:rPr>
        <w:t>Peckin</w:t>
      </w:r>
      <w:r>
        <w:rPr>
          <w:rFonts w:ascii="Arial" w:hAnsi="Arial" w:cs="Arial"/>
          <w:u w:val="single"/>
        </w:rPr>
        <w:t>g</w:t>
      </w:r>
      <w:r w:rsidRPr="000D09EC">
        <w:rPr>
          <w:rFonts w:ascii="Arial" w:hAnsi="Arial" w:cs="Arial"/>
          <w:u w:val="single"/>
        </w:rPr>
        <w:t xml:space="preserve"> order theory</w:t>
      </w:r>
    </w:p>
    <w:p w14:paraId="0E75FE74" w14:textId="352C5F21" w:rsidR="003E20BC" w:rsidRDefault="00CD6352">
      <w:pPr>
        <w:spacing w:line="360" w:lineRule="auto"/>
        <w:rPr>
          <w:rFonts w:ascii="Arial" w:hAnsi="Arial" w:cs="Arial"/>
        </w:rPr>
      </w:pPr>
      <w:r w:rsidRPr="00EA7665">
        <w:rPr>
          <w:rFonts w:ascii="Arial" w:hAnsi="Arial" w:cs="Arial"/>
        </w:rPr>
        <w:t>Peckin</w:t>
      </w:r>
      <w:r>
        <w:rPr>
          <w:rFonts w:ascii="Arial" w:hAnsi="Arial" w:cs="Arial"/>
        </w:rPr>
        <w:t>g</w:t>
      </w:r>
      <w:r w:rsidR="0011760D">
        <w:rPr>
          <w:rFonts w:ascii="Arial" w:hAnsi="Arial" w:cs="Arial"/>
        </w:rPr>
        <w:t>’s</w:t>
      </w:r>
      <w:r w:rsidRPr="00EA7665">
        <w:rPr>
          <w:rFonts w:ascii="Arial" w:hAnsi="Arial" w:cs="Arial"/>
        </w:rPr>
        <w:t xml:space="preserve"> order theory is a widely known model which assis</w:t>
      </w:r>
      <w:r>
        <w:rPr>
          <w:rFonts w:ascii="Arial" w:hAnsi="Arial" w:cs="Arial"/>
        </w:rPr>
        <w:t>ts</w:t>
      </w:r>
      <w:r w:rsidRPr="00EA7665">
        <w:rPr>
          <w:rFonts w:ascii="Arial" w:hAnsi="Arial" w:cs="Arial"/>
        </w:rPr>
        <w:t xml:space="preserve"> the manager in making capital structure choices. It advocates that businesses adhere strictly to the hierarchy, which is that internal finance is used </w:t>
      </w:r>
      <w:r w:rsidR="00EA23C7" w:rsidRPr="00EA7665">
        <w:rPr>
          <w:rFonts w:ascii="Arial" w:hAnsi="Arial" w:cs="Arial"/>
        </w:rPr>
        <w:t>first</w:t>
      </w:r>
      <w:r w:rsidR="00323811">
        <w:rPr>
          <w:rFonts w:ascii="Arial" w:hAnsi="Arial" w:cs="Arial"/>
        </w:rPr>
        <w:t>;</w:t>
      </w:r>
      <w:r w:rsidR="00EA23C7">
        <w:rPr>
          <w:rFonts w:ascii="Arial" w:hAnsi="Arial" w:cs="Arial"/>
        </w:rPr>
        <w:t xml:space="preserve"> </w:t>
      </w:r>
      <w:r w:rsidR="00EA23C7" w:rsidRPr="00EA7665">
        <w:rPr>
          <w:rFonts w:ascii="Arial" w:hAnsi="Arial" w:cs="Arial"/>
        </w:rPr>
        <w:t>if</w:t>
      </w:r>
      <w:r w:rsidRPr="00EA7665">
        <w:rPr>
          <w:rFonts w:ascii="Arial" w:hAnsi="Arial" w:cs="Arial"/>
        </w:rPr>
        <w:t xml:space="preserve"> depleted</w:t>
      </w:r>
      <w:r w:rsidR="00323811">
        <w:rPr>
          <w:rFonts w:ascii="Arial" w:hAnsi="Arial" w:cs="Arial"/>
        </w:rPr>
        <w:t>, the debt is issued</w:t>
      </w:r>
      <w:r w:rsidR="001006E8">
        <w:rPr>
          <w:rFonts w:ascii="Arial" w:hAnsi="Arial" w:cs="Arial"/>
        </w:rPr>
        <w:t>,</w:t>
      </w:r>
      <w:r w:rsidR="00323811">
        <w:rPr>
          <w:rFonts w:ascii="Arial" w:hAnsi="Arial" w:cs="Arial"/>
        </w:rPr>
        <w:t xml:space="preserve"> and when debt is no longer ideal,</w:t>
      </w:r>
      <w:r w:rsidR="00AC353E" w:rsidRPr="00EA7665">
        <w:rPr>
          <w:rFonts w:ascii="Arial" w:hAnsi="Arial" w:cs="Arial"/>
        </w:rPr>
        <w:t xml:space="preserve"> equity</w:t>
      </w:r>
      <w:r w:rsidRPr="00EA7665">
        <w:rPr>
          <w:rFonts w:ascii="Arial" w:hAnsi="Arial" w:cs="Arial"/>
        </w:rPr>
        <w:t xml:space="preserve"> is used (Myers &amp; Maliuf, 1984). </w:t>
      </w:r>
      <w:r w:rsidR="0043787E">
        <w:rPr>
          <w:rFonts w:ascii="Arial" w:hAnsi="Arial" w:cs="Arial"/>
        </w:rPr>
        <w:t>The findings from this study</w:t>
      </w:r>
      <w:r w:rsidR="00323811">
        <w:rPr>
          <w:rFonts w:ascii="Arial" w:hAnsi="Arial" w:cs="Arial"/>
        </w:rPr>
        <w:t>,</w:t>
      </w:r>
      <w:r w:rsidR="0043787E">
        <w:rPr>
          <w:rFonts w:ascii="Arial" w:hAnsi="Arial" w:cs="Arial"/>
        </w:rPr>
        <w:t xml:space="preserve"> just as it is with the Pecking order theory</w:t>
      </w:r>
      <w:r w:rsidR="00323811">
        <w:rPr>
          <w:rFonts w:ascii="Arial" w:hAnsi="Arial" w:cs="Arial"/>
        </w:rPr>
        <w:t>,</w:t>
      </w:r>
      <w:r w:rsidR="0043787E">
        <w:rPr>
          <w:rFonts w:ascii="Arial" w:hAnsi="Arial" w:cs="Arial"/>
        </w:rPr>
        <w:t xml:space="preserve"> shows that managers involved in real estate project development use debt, equity and internally generated funds for project development. H</w:t>
      </w:r>
      <w:r w:rsidRPr="00EA7665">
        <w:rPr>
          <w:rFonts w:ascii="Arial" w:hAnsi="Arial" w:cs="Arial"/>
        </w:rPr>
        <w:t xml:space="preserve">owever, </w:t>
      </w:r>
      <w:r w:rsidR="0043787E">
        <w:rPr>
          <w:rFonts w:ascii="Arial" w:hAnsi="Arial" w:cs="Arial"/>
        </w:rPr>
        <w:t xml:space="preserve">this study </w:t>
      </w:r>
      <w:r w:rsidRPr="00EA7665">
        <w:rPr>
          <w:rFonts w:ascii="Arial" w:hAnsi="Arial" w:cs="Arial"/>
        </w:rPr>
        <w:t>suggest</w:t>
      </w:r>
      <w:r w:rsidR="003E20BC">
        <w:rPr>
          <w:rFonts w:ascii="Arial" w:hAnsi="Arial" w:cs="Arial"/>
        </w:rPr>
        <w:t>s some slight modifications in that the finance options most used by managers for real estate project development are</w:t>
      </w:r>
      <w:r w:rsidR="0043787E" w:rsidRPr="00EA7665">
        <w:rPr>
          <w:rFonts w:ascii="Arial" w:hAnsi="Arial" w:cs="Arial"/>
        </w:rPr>
        <w:t xml:space="preserve"> </w:t>
      </w:r>
      <w:r w:rsidRPr="00EA7665">
        <w:rPr>
          <w:rFonts w:ascii="Arial" w:hAnsi="Arial" w:cs="Arial"/>
        </w:rPr>
        <w:t xml:space="preserve">debt, followed by cash flow from business operations/ undistributed profit </w:t>
      </w:r>
      <w:r w:rsidR="00EA23C7">
        <w:rPr>
          <w:rFonts w:ascii="Arial" w:hAnsi="Arial" w:cs="Arial"/>
        </w:rPr>
        <w:t xml:space="preserve">and </w:t>
      </w:r>
      <w:r w:rsidR="00EA23C7" w:rsidRPr="00EA7665">
        <w:rPr>
          <w:rFonts w:ascii="Arial" w:hAnsi="Arial" w:cs="Arial"/>
        </w:rPr>
        <w:t>some</w:t>
      </w:r>
      <w:r w:rsidRPr="00EA7665">
        <w:rPr>
          <w:rFonts w:ascii="Arial" w:hAnsi="Arial" w:cs="Arial"/>
        </w:rPr>
        <w:t xml:space="preserve"> degree of equity finance. These findings reflect </w:t>
      </w:r>
      <w:r>
        <w:rPr>
          <w:rFonts w:ascii="Arial" w:hAnsi="Arial" w:cs="Arial"/>
        </w:rPr>
        <w:t xml:space="preserve">the </w:t>
      </w:r>
      <w:r w:rsidRPr="00EA7665">
        <w:rPr>
          <w:rFonts w:ascii="Arial" w:hAnsi="Arial" w:cs="Arial"/>
        </w:rPr>
        <w:t>Peckin</w:t>
      </w:r>
      <w:r>
        <w:rPr>
          <w:rFonts w:ascii="Arial" w:hAnsi="Arial" w:cs="Arial"/>
        </w:rPr>
        <w:t xml:space="preserve">g </w:t>
      </w:r>
      <w:r w:rsidRPr="00EA7665">
        <w:rPr>
          <w:rFonts w:ascii="Arial" w:hAnsi="Arial" w:cs="Arial"/>
        </w:rPr>
        <w:t xml:space="preserve">order theory to a great extent, </w:t>
      </w:r>
      <w:r>
        <w:rPr>
          <w:rFonts w:ascii="Arial" w:hAnsi="Arial" w:cs="Arial"/>
        </w:rPr>
        <w:t>as</w:t>
      </w:r>
      <w:r w:rsidRPr="00EA7665">
        <w:rPr>
          <w:rFonts w:ascii="Arial" w:hAnsi="Arial" w:cs="Arial"/>
        </w:rPr>
        <w:t xml:space="preserve"> the theory states that equity is usually the last resort</w:t>
      </w:r>
      <w:r w:rsidR="003E20BC">
        <w:rPr>
          <w:rFonts w:ascii="Arial" w:hAnsi="Arial" w:cs="Arial"/>
        </w:rPr>
        <w:t>, which is in line with this research's findings.</w:t>
      </w:r>
      <w:r w:rsidRPr="00EA7665">
        <w:rPr>
          <w:rFonts w:ascii="Arial" w:hAnsi="Arial" w:cs="Arial"/>
        </w:rPr>
        <w:t xml:space="preserve">  However, the order is sometimes debt</w:t>
      </w:r>
      <w:r w:rsidR="00697DC2">
        <w:rPr>
          <w:rFonts w:ascii="Arial" w:hAnsi="Arial" w:cs="Arial"/>
        </w:rPr>
        <w:t xml:space="preserve"> first</w:t>
      </w:r>
      <w:r w:rsidRPr="00EA7665">
        <w:rPr>
          <w:rFonts w:ascii="Arial" w:hAnsi="Arial" w:cs="Arial"/>
        </w:rPr>
        <w:t>, internally generated finance and then equity issuance</w:t>
      </w:r>
      <w:r w:rsidR="003E20BC" w:rsidRPr="00EA7665">
        <w:rPr>
          <w:rFonts w:ascii="Arial" w:hAnsi="Arial" w:cs="Arial"/>
        </w:rPr>
        <w:t>.</w:t>
      </w:r>
    </w:p>
    <w:p w14:paraId="5F16855F" w14:textId="176B01B6" w:rsidR="00CD6352" w:rsidRPr="0011760D" w:rsidRDefault="00F34ADC">
      <w:pPr>
        <w:spacing w:line="360" w:lineRule="auto"/>
        <w:rPr>
          <w:rFonts w:ascii="Arial" w:hAnsi="Arial" w:cs="Arial"/>
          <w:u w:val="single"/>
        </w:rPr>
      </w:pPr>
      <w:r>
        <w:rPr>
          <w:rFonts w:ascii="Arial" w:hAnsi="Arial" w:cs="Arial"/>
        </w:rPr>
        <w:t xml:space="preserve">Conversely, finance for real estate project development does not have to </w:t>
      </w:r>
      <w:r w:rsidR="003E20BC">
        <w:rPr>
          <w:rFonts w:ascii="Arial" w:hAnsi="Arial" w:cs="Arial"/>
        </w:rPr>
        <w:t>strictly follow the pecking order theory as debt could be the initial source of finance contrary to the Pecking order,</w:t>
      </w:r>
      <w:r w:rsidR="00D53DE5">
        <w:rPr>
          <w:rFonts w:ascii="Arial" w:hAnsi="Arial" w:cs="Arial"/>
        </w:rPr>
        <w:t xml:space="preserve"> which advocates internally generated funds first. Arguably, this is because some real estate project developments are too large to commence with internally generated funds. </w:t>
      </w:r>
      <w:r w:rsidR="00CD6352" w:rsidRPr="00EA7665">
        <w:rPr>
          <w:rFonts w:ascii="Arial" w:hAnsi="Arial" w:cs="Arial"/>
        </w:rPr>
        <w:t xml:space="preserve">The </w:t>
      </w:r>
      <w:r w:rsidR="003E20BC">
        <w:rPr>
          <w:rFonts w:ascii="Arial" w:hAnsi="Arial" w:cs="Arial"/>
        </w:rPr>
        <w:t>industry managers' results</w:t>
      </w:r>
      <w:r w:rsidR="00CD6352" w:rsidRPr="00EA7665">
        <w:rPr>
          <w:rFonts w:ascii="Arial" w:hAnsi="Arial" w:cs="Arial"/>
        </w:rPr>
        <w:t xml:space="preserve"> show minimal usage of creative and innovative finance options for real estate project development. </w:t>
      </w:r>
    </w:p>
    <w:p w14:paraId="7E078312" w14:textId="77777777" w:rsidR="00CD6352" w:rsidRDefault="00CD6352" w:rsidP="00CD6352">
      <w:pPr>
        <w:spacing w:line="360" w:lineRule="auto"/>
        <w:jc w:val="both"/>
        <w:rPr>
          <w:rFonts w:ascii="Arial" w:hAnsi="Arial" w:cs="Arial"/>
          <w:u w:val="single"/>
        </w:rPr>
      </w:pPr>
      <w:r w:rsidRPr="00531631">
        <w:rPr>
          <w:rFonts w:ascii="Arial" w:hAnsi="Arial" w:cs="Arial"/>
          <w:u w:val="single"/>
        </w:rPr>
        <w:t>The trade-off theory</w:t>
      </w:r>
    </w:p>
    <w:p w14:paraId="013C4985" w14:textId="5D11D84E" w:rsidR="00CD6352" w:rsidRDefault="00CD6352" w:rsidP="00CD6352">
      <w:pPr>
        <w:spacing w:line="360" w:lineRule="auto"/>
        <w:jc w:val="both"/>
        <w:rPr>
          <w:rFonts w:ascii="Arial" w:hAnsi="Arial" w:cs="Arial"/>
        </w:rPr>
      </w:pPr>
      <w:r w:rsidRPr="00315004">
        <w:rPr>
          <w:rFonts w:ascii="Arial" w:hAnsi="Arial" w:cs="Arial"/>
        </w:rPr>
        <w:t xml:space="preserve">The trade-off </w:t>
      </w:r>
      <w:r>
        <w:rPr>
          <w:rFonts w:ascii="Arial" w:hAnsi="Arial" w:cs="Arial"/>
        </w:rPr>
        <w:t xml:space="preserve">theory emphasises that the manager’s </w:t>
      </w:r>
      <w:r w:rsidR="006D4C3C">
        <w:rPr>
          <w:rFonts w:ascii="Arial" w:hAnsi="Arial" w:cs="Arial"/>
        </w:rPr>
        <w:t>debt or equity choice</w:t>
      </w:r>
      <w:r>
        <w:rPr>
          <w:rFonts w:ascii="Arial" w:hAnsi="Arial" w:cs="Arial"/>
        </w:rPr>
        <w:t xml:space="preserve"> should be based on the cost-benefit analysis. This theory stresses the significance of using </w:t>
      </w:r>
      <w:r w:rsidR="008F7F91">
        <w:rPr>
          <w:rFonts w:ascii="Arial" w:hAnsi="Arial" w:cs="Arial"/>
        </w:rPr>
        <w:t>debt,</w:t>
      </w:r>
      <w:r>
        <w:rPr>
          <w:rFonts w:ascii="Arial" w:hAnsi="Arial" w:cs="Arial"/>
        </w:rPr>
        <w:t xml:space="preserve"> which is fundamentally the tax benefit of debt. It also highlights the associated danger of </w:t>
      </w:r>
      <w:r w:rsidR="008F7F91">
        <w:rPr>
          <w:rFonts w:ascii="Arial" w:hAnsi="Arial" w:cs="Arial"/>
        </w:rPr>
        <w:t>debt which</w:t>
      </w:r>
      <w:r>
        <w:rPr>
          <w:rFonts w:ascii="Arial" w:hAnsi="Arial" w:cs="Arial"/>
        </w:rPr>
        <w:t xml:space="preserve"> is bankruptcy and distress (Tarver, 2018). In line with existing findings, the inventory of options and criteria for securing finance for real estate project development also has a list of possible decisions associated with securing funds </w:t>
      </w:r>
      <w:r w:rsidR="00926349">
        <w:rPr>
          <w:rFonts w:ascii="Arial" w:hAnsi="Arial" w:cs="Arial"/>
        </w:rPr>
        <w:t>(see</w:t>
      </w:r>
      <w:r>
        <w:rPr>
          <w:rFonts w:ascii="Arial" w:hAnsi="Arial" w:cs="Arial"/>
        </w:rPr>
        <w:t xml:space="preserve"> table 5:</w:t>
      </w:r>
      <w:r w:rsidR="00BF5EEE">
        <w:rPr>
          <w:rFonts w:ascii="Arial" w:hAnsi="Arial" w:cs="Arial"/>
        </w:rPr>
        <w:t>4.1</w:t>
      </w:r>
      <w:r>
        <w:rPr>
          <w:rFonts w:ascii="Arial" w:hAnsi="Arial" w:cs="Arial"/>
        </w:rPr>
        <w:t xml:space="preserve">). Hence target debt-equity ratios </w:t>
      </w:r>
      <w:r>
        <w:rPr>
          <w:rFonts w:ascii="Arial" w:hAnsi="Arial" w:cs="Arial"/>
        </w:rPr>
        <w:lastRenderedPageBreak/>
        <w:t>should vary across firms. Real estate firms with lots of taxable income to shield could have high debt-equity ratios</w:t>
      </w:r>
      <w:r w:rsidR="00106393">
        <w:rPr>
          <w:rFonts w:ascii="Arial" w:hAnsi="Arial" w:cs="Arial"/>
        </w:rPr>
        <w:t>,</w:t>
      </w:r>
      <w:r>
        <w:rPr>
          <w:rFonts w:ascii="Arial" w:hAnsi="Arial" w:cs="Arial"/>
        </w:rPr>
        <w:t xml:space="preserve"> while unprofitable firms could rely more on equity financing (Gu &amp; Ku, 1997). This may sometimes not be the real-life situation as </w:t>
      </w:r>
      <w:r w:rsidR="00C6283F">
        <w:rPr>
          <w:rFonts w:ascii="Arial" w:hAnsi="Arial" w:cs="Arial"/>
        </w:rPr>
        <w:t>some</w:t>
      </w:r>
      <w:r>
        <w:rPr>
          <w:rFonts w:ascii="Arial" w:hAnsi="Arial" w:cs="Arial"/>
        </w:rPr>
        <w:t xml:space="preserve"> socio-economic conditions may </w:t>
      </w:r>
      <w:r w:rsidR="006D4C3C">
        <w:rPr>
          <w:rFonts w:ascii="Arial" w:hAnsi="Arial" w:cs="Arial"/>
        </w:rPr>
        <w:t>directly influence</w:t>
      </w:r>
      <w:r>
        <w:rPr>
          <w:rFonts w:ascii="Arial" w:hAnsi="Arial" w:cs="Arial"/>
        </w:rPr>
        <w:t xml:space="preserve"> </w:t>
      </w:r>
      <w:r w:rsidR="003239CD">
        <w:rPr>
          <w:rFonts w:ascii="Arial" w:hAnsi="Arial" w:cs="Arial"/>
        </w:rPr>
        <w:t>real estate project development funding</w:t>
      </w:r>
      <w:r w:rsidR="007825DD">
        <w:rPr>
          <w:rFonts w:ascii="Arial" w:hAnsi="Arial" w:cs="Arial"/>
        </w:rPr>
        <w:t xml:space="preserve"> and </w:t>
      </w:r>
      <w:r w:rsidR="003E20BC">
        <w:rPr>
          <w:rFonts w:ascii="Arial" w:hAnsi="Arial" w:cs="Arial"/>
        </w:rPr>
        <w:t>managers' choices</w:t>
      </w:r>
      <w:r w:rsidR="007825DD">
        <w:rPr>
          <w:rFonts w:ascii="Arial" w:hAnsi="Arial" w:cs="Arial"/>
        </w:rPr>
        <w:t>.</w:t>
      </w:r>
    </w:p>
    <w:p w14:paraId="485B2531" w14:textId="5E4B5644" w:rsidR="00BF5EEE" w:rsidRPr="00563369" w:rsidRDefault="00BF5EEE" w:rsidP="00BF5EEE">
      <w:pPr>
        <w:pStyle w:val="Caption"/>
        <w:keepNext/>
        <w:rPr>
          <w:rFonts w:ascii="Arial" w:hAnsi="Arial" w:cs="Arial"/>
          <w:sz w:val="16"/>
          <w:szCs w:val="16"/>
        </w:rPr>
      </w:pPr>
      <w:bookmarkStart w:id="1148" w:name="_Toc78983976"/>
      <w:r>
        <w:t xml:space="preserve">Table </w:t>
      </w:r>
      <w:fldSimple w:instr=" STYLEREF 2 \s ">
        <w:r w:rsidR="008F25B1">
          <w:rPr>
            <w:noProof/>
          </w:rPr>
          <w:t>5.4</w:t>
        </w:r>
      </w:fldSimple>
      <w:r w:rsidR="008F25B1">
        <w:noBreakHyphen/>
      </w:r>
      <w:fldSimple w:instr=" SEQ Table \* ARABIC \s 2 ">
        <w:r w:rsidR="008F25B1">
          <w:rPr>
            <w:noProof/>
          </w:rPr>
          <w:t>1</w:t>
        </w:r>
      </w:fldSimple>
      <w:r>
        <w:t xml:space="preserve">: </w:t>
      </w:r>
      <w:r w:rsidRPr="00563369">
        <w:rPr>
          <w:rFonts w:ascii="Arial" w:hAnsi="Arial" w:cs="Arial"/>
          <w:sz w:val="16"/>
          <w:szCs w:val="16"/>
        </w:rPr>
        <w:t>Inventory of options and criteria for securing finance for real estate project development.</w:t>
      </w:r>
      <w:bookmarkEnd w:id="1148"/>
    </w:p>
    <w:tbl>
      <w:tblPr>
        <w:tblStyle w:val="TableGrid"/>
        <w:tblW w:w="1020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dashSmallGap" w:sz="4" w:space="0" w:color="auto"/>
          <w:insideV w:val="dashSmallGap" w:sz="4" w:space="0" w:color="auto"/>
        </w:tblBorders>
        <w:tblLayout w:type="fixed"/>
        <w:tblLook w:val="04A0" w:firstRow="1" w:lastRow="0" w:firstColumn="1" w:lastColumn="0" w:noHBand="0" w:noVBand="1"/>
      </w:tblPr>
      <w:tblGrid>
        <w:gridCol w:w="1271"/>
        <w:gridCol w:w="3544"/>
        <w:gridCol w:w="2410"/>
        <w:gridCol w:w="2976"/>
      </w:tblGrid>
      <w:tr w:rsidR="00CD6352" w:rsidRPr="000A560E" w14:paraId="68E40710" w14:textId="77777777" w:rsidTr="00CD6352">
        <w:trPr>
          <w:trHeight w:val="544"/>
        </w:trPr>
        <w:tc>
          <w:tcPr>
            <w:tcW w:w="1271" w:type="dxa"/>
            <w:shd w:val="clear" w:color="auto" w:fill="auto"/>
          </w:tcPr>
          <w:p w14:paraId="1BAC3734" w14:textId="77777777" w:rsidR="00CD6352" w:rsidRPr="000A560E" w:rsidRDefault="00CD6352" w:rsidP="00CD6352">
            <w:pPr>
              <w:jc w:val="both"/>
              <w:rPr>
                <w:rFonts w:ascii="Arial" w:hAnsi="Arial" w:cs="Arial"/>
                <w:b/>
                <w:sz w:val="16"/>
                <w:szCs w:val="16"/>
              </w:rPr>
            </w:pPr>
            <w:r w:rsidRPr="000A560E">
              <w:rPr>
                <w:rFonts w:ascii="Arial" w:hAnsi="Arial" w:cs="Arial"/>
                <w:b/>
                <w:sz w:val="16"/>
                <w:szCs w:val="16"/>
              </w:rPr>
              <w:t>Finance types</w:t>
            </w:r>
          </w:p>
          <w:p w14:paraId="38CE93E4" w14:textId="77777777" w:rsidR="00CD6352" w:rsidRPr="000A560E" w:rsidRDefault="00CD6352" w:rsidP="00CD6352">
            <w:pPr>
              <w:jc w:val="both"/>
              <w:rPr>
                <w:rStyle w:val="Strong"/>
                <w:rFonts w:ascii="Arial" w:hAnsi="Arial" w:cs="Arial"/>
                <w:sz w:val="16"/>
                <w:szCs w:val="16"/>
              </w:rPr>
            </w:pPr>
          </w:p>
        </w:tc>
        <w:tc>
          <w:tcPr>
            <w:tcW w:w="3544" w:type="dxa"/>
            <w:shd w:val="clear" w:color="auto" w:fill="auto"/>
          </w:tcPr>
          <w:p w14:paraId="680C6F09" w14:textId="77777777" w:rsidR="00CD6352" w:rsidRPr="000A560E" w:rsidRDefault="00CD6352" w:rsidP="00CD6352">
            <w:pPr>
              <w:jc w:val="both"/>
              <w:rPr>
                <w:rStyle w:val="Strong"/>
                <w:rFonts w:ascii="Arial" w:hAnsi="Arial" w:cs="Arial"/>
                <w:sz w:val="16"/>
                <w:szCs w:val="16"/>
              </w:rPr>
            </w:pPr>
            <w:r w:rsidRPr="000A560E">
              <w:rPr>
                <w:rStyle w:val="Strong"/>
                <w:rFonts w:ascii="Arial" w:hAnsi="Arial" w:cs="Arial"/>
                <w:sz w:val="16"/>
                <w:szCs w:val="16"/>
              </w:rPr>
              <w:t>Finance options</w:t>
            </w:r>
          </w:p>
        </w:tc>
        <w:tc>
          <w:tcPr>
            <w:tcW w:w="2410" w:type="dxa"/>
          </w:tcPr>
          <w:p w14:paraId="400CAAF9" w14:textId="4A88A06C" w:rsidR="00CD6352" w:rsidRPr="000A560E" w:rsidRDefault="00BF5EEE" w:rsidP="00CD6352">
            <w:pPr>
              <w:jc w:val="both"/>
              <w:rPr>
                <w:rStyle w:val="Strong"/>
                <w:rFonts w:ascii="Arial" w:hAnsi="Arial" w:cs="Arial"/>
                <w:sz w:val="16"/>
                <w:szCs w:val="16"/>
              </w:rPr>
            </w:pPr>
            <w:r>
              <w:rPr>
                <w:rStyle w:val="Strong"/>
                <w:rFonts w:ascii="Arial" w:hAnsi="Arial" w:cs="Arial"/>
                <w:sz w:val="16"/>
                <w:szCs w:val="16"/>
              </w:rPr>
              <w:t>The d</w:t>
            </w:r>
            <w:r w:rsidR="00CD6352" w:rsidRPr="000A560E">
              <w:rPr>
                <w:rStyle w:val="Strong"/>
                <w:rFonts w:ascii="Arial" w:hAnsi="Arial" w:cs="Arial"/>
                <w:sz w:val="16"/>
                <w:szCs w:val="16"/>
              </w:rPr>
              <w:t>ecision on capital structure</w:t>
            </w:r>
          </w:p>
        </w:tc>
        <w:tc>
          <w:tcPr>
            <w:tcW w:w="2976" w:type="dxa"/>
          </w:tcPr>
          <w:p w14:paraId="4107F237" w14:textId="77777777" w:rsidR="00CD6352" w:rsidRPr="000A560E" w:rsidRDefault="00CD6352" w:rsidP="00CD6352">
            <w:pPr>
              <w:jc w:val="both"/>
              <w:rPr>
                <w:rStyle w:val="Strong"/>
                <w:rFonts w:ascii="Arial" w:hAnsi="Arial" w:cs="Arial"/>
                <w:sz w:val="16"/>
                <w:szCs w:val="16"/>
              </w:rPr>
            </w:pPr>
            <w:r w:rsidRPr="000A560E">
              <w:rPr>
                <w:rStyle w:val="Strong"/>
                <w:rFonts w:ascii="Arial" w:hAnsi="Arial" w:cs="Arial"/>
                <w:sz w:val="16"/>
                <w:szCs w:val="16"/>
              </w:rPr>
              <w:t xml:space="preserve">Criteria </w:t>
            </w:r>
          </w:p>
        </w:tc>
      </w:tr>
      <w:tr w:rsidR="00CD6352" w:rsidRPr="000A560E" w14:paraId="044EE8E7" w14:textId="77777777" w:rsidTr="00CD6352">
        <w:trPr>
          <w:trHeight w:val="1187"/>
        </w:trPr>
        <w:tc>
          <w:tcPr>
            <w:tcW w:w="1271" w:type="dxa"/>
            <w:shd w:val="clear" w:color="auto" w:fill="auto"/>
          </w:tcPr>
          <w:p w14:paraId="0EEFDDE9" w14:textId="380FDFAD" w:rsidR="00CD6352" w:rsidRPr="000A560E" w:rsidRDefault="00CD6352" w:rsidP="00CD6352">
            <w:pPr>
              <w:jc w:val="both"/>
              <w:rPr>
                <w:rStyle w:val="Strong"/>
                <w:rFonts w:ascii="Arial" w:hAnsi="Arial" w:cs="Arial"/>
                <w:sz w:val="16"/>
                <w:szCs w:val="16"/>
              </w:rPr>
            </w:pPr>
            <w:r w:rsidRPr="000A560E">
              <w:rPr>
                <w:rFonts w:ascii="Arial" w:hAnsi="Arial" w:cs="Arial"/>
                <w:sz w:val="16"/>
                <w:szCs w:val="16"/>
              </w:rPr>
              <w:t xml:space="preserve">Equity Finance </w:t>
            </w:r>
            <w:r w:rsidR="00563369" w:rsidRPr="000A560E">
              <w:rPr>
                <w:rFonts w:ascii="Arial" w:hAnsi="Arial" w:cs="Arial"/>
                <w:sz w:val="16"/>
                <w:szCs w:val="16"/>
              </w:rPr>
              <w:t>(See</w:t>
            </w:r>
            <w:r w:rsidRPr="000A560E">
              <w:rPr>
                <w:rFonts w:ascii="Arial" w:hAnsi="Arial" w:cs="Arial"/>
                <w:sz w:val="16"/>
                <w:szCs w:val="16"/>
              </w:rPr>
              <w:t xml:space="preserve"> chapter 2 &amp; 5)</w:t>
            </w:r>
          </w:p>
        </w:tc>
        <w:tc>
          <w:tcPr>
            <w:tcW w:w="3544" w:type="dxa"/>
            <w:shd w:val="clear" w:color="auto" w:fill="auto"/>
          </w:tcPr>
          <w:p w14:paraId="2320F91B" w14:textId="77777777" w:rsidR="00CD6352" w:rsidRPr="000A560E" w:rsidRDefault="00CD6352" w:rsidP="00C74AEC">
            <w:pPr>
              <w:numPr>
                <w:ilvl w:val="0"/>
                <w:numId w:val="38"/>
              </w:numPr>
              <w:spacing w:after="0" w:line="240" w:lineRule="auto"/>
              <w:jc w:val="both"/>
              <w:rPr>
                <w:rFonts w:ascii="Arial" w:hAnsi="Arial" w:cs="Arial"/>
                <w:sz w:val="16"/>
                <w:szCs w:val="16"/>
              </w:rPr>
            </w:pPr>
            <w:r w:rsidRPr="000A560E">
              <w:rPr>
                <w:rFonts w:ascii="Arial" w:hAnsi="Arial" w:cs="Arial"/>
                <w:sz w:val="16"/>
                <w:szCs w:val="16"/>
              </w:rPr>
              <w:t>Cash flow from business/ undistributed profit</w:t>
            </w:r>
          </w:p>
          <w:p w14:paraId="430142E5" w14:textId="77777777" w:rsidR="00CD6352" w:rsidRPr="000A560E" w:rsidRDefault="00CD6352" w:rsidP="00C74AEC">
            <w:pPr>
              <w:numPr>
                <w:ilvl w:val="0"/>
                <w:numId w:val="38"/>
              </w:numPr>
              <w:spacing w:after="0" w:line="240" w:lineRule="auto"/>
              <w:jc w:val="both"/>
              <w:rPr>
                <w:rFonts w:ascii="Arial" w:hAnsi="Arial" w:cs="Arial"/>
                <w:b/>
                <w:bCs/>
                <w:sz w:val="16"/>
                <w:szCs w:val="16"/>
              </w:rPr>
            </w:pPr>
            <w:r w:rsidRPr="000A560E">
              <w:rPr>
                <w:rFonts w:ascii="Arial" w:hAnsi="Arial" w:cs="Arial"/>
                <w:sz w:val="16"/>
                <w:szCs w:val="16"/>
              </w:rPr>
              <w:t>Equity crowdfunding</w:t>
            </w:r>
          </w:p>
          <w:p w14:paraId="22702CFA" w14:textId="77777777" w:rsidR="00CD6352" w:rsidRPr="000A560E" w:rsidRDefault="00CD6352" w:rsidP="00C74AEC">
            <w:pPr>
              <w:numPr>
                <w:ilvl w:val="0"/>
                <w:numId w:val="38"/>
              </w:numPr>
              <w:spacing w:after="0" w:line="240" w:lineRule="auto"/>
              <w:jc w:val="both"/>
              <w:rPr>
                <w:rFonts w:ascii="Arial" w:hAnsi="Arial" w:cs="Arial"/>
                <w:b/>
                <w:bCs/>
                <w:sz w:val="16"/>
                <w:szCs w:val="16"/>
              </w:rPr>
            </w:pPr>
            <w:r w:rsidRPr="000A560E">
              <w:rPr>
                <w:rFonts w:ascii="Arial" w:hAnsi="Arial" w:cs="Arial"/>
                <w:sz w:val="16"/>
                <w:szCs w:val="16"/>
              </w:rPr>
              <w:t>Equity fund</w:t>
            </w:r>
          </w:p>
          <w:p w14:paraId="447A27DF" w14:textId="77777777" w:rsidR="00CD6352" w:rsidRPr="000A560E" w:rsidRDefault="00CD6352" w:rsidP="00C74AEC">
            <w:pPr>
              <w:numPr>
                <w:ilvl w:val="0"/>
                <w:numId w:val="38"/>
              </w:numPr>
              <w:spacing w:after="0" w:line="240" w:lineRule="auto"/>
              <w:jc w:val="both"/>
              <w:rPr>
                <w:rFonts w:ascii="Arial" w:hAnsi="Arial" w:cs="Arial"/>
                <w:b/>
                <w:bCs/>
                <w:sz w:val="16"/>
                <w:szCs w:val="16"/>
              </w:rPr>
            </w:pPr>
            <w:r w:rsidRPr="000A560E">
              <w:rPr>
                <w:rFonts w:ascii="Arial" w:hAnsi="Arial" w:cs="Arial"/>
                <w:sz w:val="16"/>
                <w:szCs w:val="16"/>
              </w:rPr>
              <w:t>Equity REITs</w:t>
            </w:r>
          </w:p>
          <w:p w14:paraId="1D586091" w14:textId="77777777" w:rsidR="00CD6352" w:rsidRPr="000A560E" w:rsidRDefault="00CD6352" w:rsidP="00C74AEC">
            <w:pPr>
              <w:numPr>
                <w:ilvl w:val="0"/>
                <w:numId w:val="38"/>
              </w:numPr>
              <w:spacing w:after="0" w:line="240" w:lineRule="auto"/>
              <w:jc w:val="both"/>
              <w:rPr>
                <w:rFonts w:ascii="Arial" w:hAnsi="Arial" w:cs="Arial"/>
                <w:b/>
                <w:bCs/>
                <w:sz w:val="16"/>
                <w:szCs w:val="16"/>
              </w:rPr>
            </w:pPr>
            <w:r w:rsidRPr="000A560E">
              <w:rPr>
                <w:rFonts w:ascii="Arial" w:hAnsi="Arial" w:cs="Arial"/>
                <w:sz w:val="16"/>
                <w:szCs w:val="16"/>
              </w:rPr>
              <w:t>High net worth individuals</w:t>
            </w:r>
          </w:p>
          <w:p w14:paraId="627D6A3F" w14:textId="0BA8A9B5" w:rsidR="00CD6352" w:rsidRPr="000A560E" w:rsidRDefault="00CD6352" w:rsidP="00C74AEC">
            <w:pPr>
              <w:numPr>
                <w:ilvl w:val="0"/>
                <w:numId w:val="38"/>
              </w:numPr>
              <w:spacing w:after="0" w:line="240" w:lineRule="auto"/>
              <w:jc w:val="both"/>
              <w:rPr>
                <w:rFonts w:ascii="Arial" w:hAnsi="Arial" w:cs="Arial"/>
                <w:b/>
                <w:bCs/>
                <w:sz w:val="16"/>
                <w:szCs w:val="16"/>
              </w:rPr>
            </w:pPr>
            <w:r w:rsidRPr="000A560E">
              <w:rPr>
                <w:rFonts w:ascii="Arial" w:hAnsi="Arial" w:cs="Arial"/>
                <w:sz w:val="16"/>
                <w:szCs w:val="16"/>
              </w:rPr>
              <w:t xml:space="preserve">Private equity </w:t>
            </w:r>
            <w:r w:rsidR="00563369" w:rsidRPr="000A560E">
              <w:rPr>
                <w:rFonts w:ascii="Arial" w:hAnsi="Arial" w:cs="Arial"/>
                <w:sz w:val="16"/>
                <w:szCs w:val="16"/>
              </w:rPr>
              <w:t>(pension</w:t>
            </w:r>
            <w:r w:rsidRPr="000A560E">
              <w:rPr>
                <w:rFonts w:ascii="Arial" w:hAnsi="Arial" w:cs="Arial"/>
                <w:sz w:val="16"/>
                <w:szCs w:val="16"/>
              </w:rPr>
              <w:t xml:space="preserve"> funds &amp; insurance companies</w:t>
            </w:r>
          </w:p>
          <w:p w14:paraId="0061EF59" w14:textId="717D4D56" w:rsidR="00CD6352" w:rsidRPr="000A560E" w:rsidRDefault="00CD6352" w:rsidP="00C74AEC">
            <w:pPr>
              <w:numPr>
                <w:ilvl w:val="0"/>
                <w:numId w:val="38"/>
              </w:numPr>
              <w:spacing w:after="0" w:line="240" w:lineRule="auto"/>
              <w:jc w:val="both"/>
              <w:rPr>
                <w:rStyle w:val="Strong"/>
                <w:rFonts w:ascii="Arial" w:hAnsi="Arial" w:cs="Arial"/>
                <w:sz w:val="16"/>
                <w:szCs w:val="16"/>
              </w:rPr>
            </w:pPr>
            <w:r w:rsidRPr="000A560E">
              <w:rPr>
                <w:rStyle w:val="Strong"/>
                <w:rFonts w:ascii="Arial" w:hAnsi="Arial" w:cs="Arial"/>
                <w:b w:val="0"/>
                <w:sz w:val="16"/>
                <w:szCs w:val="16"/>
              </w:rPr>
              <w:t xml:space="preserve">Public equity </w:t>
            </w:r>
            <w:r w:rsidR="005220F1" w:rsidRPr="000A560E">
              <w:rPr>
                <w:rStyle w:val="Strong"/>
                <w:rFonts w:ascii="Arial" w:hAnsi="Arial" w:cs="Arial"/>
                <w:b w:val="0"/>
                <w:sz w:val="16"/>
                <w:szCs w:val="16"/>
              </w:rPr>
              <w:t>(public</w:t>
            </w:r>
            <w:r w:rsidRPr="000A560E">
              <w:rPr>
                <w:rStyle w:val="Strong"/>
                <w:rFonts w:ascii="Arial" w:hAnsi="Arial" w:cs="Arial"/>
                <w:b w:val="0"/>
                <w:sz w:val="16"/>
                <w:szCs w:val="16"/>
              </w:rPr>
              <w:t xml:space="preserve"> listing &amp;</w:t>
            </w:r>
            <w:r w:rsidRPr="000A560E">
              <w:rPr>
                <w:rStyle w:val="Strong"/>
                <w:rFonts w:ascii="Arial" w:hAnsi="Arial" w:cs="Arial"/>
                <w:sz w:val="16"/>
                <w:szCs w:val="16"/>
              </w:rPr>
              <w:t xml:space="preserve"> IPO)</w:t>
            </w:r>
          </w:p>
          <w:p w14:paraId="4827D17E" w14:textId="77777777" w:rsidR="00CD6352" w:rsidRPr="000A560E" w:rsidRDefault="00CD6352" w:rsidP="00C74AEC">
            <w:pPr>
              <w:numPr>
                <w:ilvl w:val="0"/>
                <w:numId w:val="38"/>
              </w:numPr>
              <w:spacing w:after="0" w:line="240" w:lineRule="auto"/>
              <w:jc w:val="both"/>
              <w:rPr>
                <w:rFonts w:ascii="Arial" w:hAnsi="Arial" w:cs="Arial"/>
                <w:sz w:val="16"/>
                <w:szCs w:val="16"/>
              </w:rPr>
            </w:pPr>
            <w:r w:rsidRPr="000A560E">
              <w:rPr>
                <w:rFonts w:ascii="Arial" w:hAnsi="Arial" w:cs="Arial"/>
                <w:sz w:val="16"/>
                <w:szCs w:val="16"/>
              </w:rPr>
              <w:t>Sale of common stock</w:t>
            </w:r>
          </w:p>
          <w:p w14:paraId="3A9CB667" w14:textId="77777777" w:rsidR="00CD6352" w:rsidRPr="000A560E" w:rsidRDefault="00CD6352" w:rsidP="00C74AEC">
            <w:pPr>
              <w:numPr>
                <w:ilvl w:val="0"/>
                <w:numId w:val="38"/>
              </w:numPr>
              <w:spacing w:after="0" w:line="240" w:lineRule="auto"/>
              <w:jc w:val="both"/>
              <w:rPr>
                <w:rStyle w:val="Strong"/>
                <w:rFonts w:ascii="Arial" w:hAnsi="Arial" w:cs="Arial"/>
                <w:sz w:val="16"/>
                <w:szCs w:val="16"/>
              </w:rPr>
            </w:pPr>
            <w:r w:rsidRPr="000A560E">
              <w:rPr>
                <w:rFonts w:ascii="Arial" w:hAnsi="Arial" w:cs="Arial"/>
                <w:sz w:val="16"/>
                <w:szCs w:val="16"/>
              </w:rPr>
              <w:t>Sale of preferred stock</w:t>
            </w:r>
          </w:p>
        </w:tc>
        <w:tc>
          <w:tcPr>
            <w:tcW w:w="2410" w:type="dxa"/>
            <w:vMerge w:val="restart"/>
          </w:tcPr>
          <w:p w14:paraId="290E574D" w14:textId="0F918834" w:rsidR="00CD6352" w:rsidRPr="000A560E" w:rsidRDefault="00C6283F" w:rsidP="00C74AEC">
            <w:pPr>
              <w:pStyle w:val="ListParagraph"/>
              <w:numPr>
                <w:ilvl w:val="0"/>
                <w:numId w:val="226"/>
              </w:numPr>
              <w:spacing w:after="0" w:line="240" w:lineRule="auto"/>
              <w:jc w:val="both"/>
              <w:rPr>
                <w:rFonts w:ascii="Arial" w:hAnsi="Arial" w:cs="Arial"/>
                <w:sz w:val="16"/>
                <w:szCs w:val="16"/>
              </w:rPr>
            </w:pPr>
            <w:r>
              <w:rPr>
                <w:rFonts w:ascii="Arial" w:hAnsi="Arial" w:cs="Arial"/>
                <w:sz w:val="16"/>
                <w:szCs w:val="16"/>
              </w:rPr>
              <w:t>A c</w:t>
            </w:r>
            <w:r w:rsidR="00CD6352" w:rsidRPr="000A560E">
              <w:rPr>
                <w:rFonts w:ascii="Arial" w:hAnsi="Arial" w:cs="Arial"/>
                <w:sz w:val="16"/>
                <w:szCs w:val="16"/>
              </w:rPr>
              <w:t>ost-benefit analysis should be</w:t>
            </w:r>
          </w:p>
          <w:p w14:paraId="2637DC32" w14:textId="77777777" w:rsidR="00CD6352" w:rsidRPr="000A560E" w:rsidRDefault="00CD6352" w:rsidP="00CD6352">
            <w:pPr>
              <w:jc w:val="both"/>
              <w:rPr>
                <w:rFonts w:ascii="Arial" w:hAnsi="Arial" w:cs="Arial"/>
                <w:sz w:val="16"/>
                <w:szCs w:val="16"/>
              </w:rPr>
            </w:pPr>
            <w:r w:rsidRPr="000A560E">
              <w:rPr>
                <w:rFonts w:ascii="Arial" w:hAnsi="Arial" w:cs="Arial"/>
                <w:sz w:val="16"/>
                <w:szCs w:val="16"/>
              </w:rPr>
              <w:t xml:space="preserve">                a primary decision</w:t>
            </w:r>
          </w:p>
          <w:p w14:paraId="48073EFC" w14:textId="77777777" w:rsidR="00CD6352" w:rsidRPr="000A560E" w:rsidRDefault="00CD6352" w:rsidP="00C74AEC">
            <w:pPr>
              <w:pStyle w:val="ListParagraph"/>
              <w:numPr>
                <w:ilvl w:val="0"/>
                <w:numId w:val="226"/>
              </w:numPr>
              <w:spacing w:after="0" w:line="240" w:lineRule="auto"/>
              <w:jc w:val="both"/>
              <w:rPr>
                <w:rFonts w:ascii="Arial" w:hAnsi="Arial" w:cs="Arial"/>
                <w:sz w:val="16"/>
                <w:szCs w:val="16"/>
              </w:rPr>
            </w:pPr>
            <w:r w:rsidRPr="000A560E">
              <w:rPr>
                <w:rFonts w:ascii="Arial" w:hAnsi="Arial" w:cs="Arial"/>
                <w:sz w:val="16"/>
                <w:szCs w:val="16"/>
              </w:rPr>
              <w:t>A blend of debt and equity</w:t>
            </w:r>
          </w:p>
          <w:p w14:paraId="590814B3" w14:textId="77777777" w:rsidR="00CD6352" w:rsidRPr="000A560E" w:rsidRDefault="00CD6352" w:rsidP="00CD6352">
            <w:pPr>
              <w:jc w:val="both"/>
              <w:rPr>
                <w:rFonts w:ascii="Arial" w:hAnsi="Arial" w:cs="Arial"/>
                <w:sz w:val="16"/>
                <w:szCs w:val="16"/>
              </w:rPr>
            </w:pPr>
          </w:p>
          <w:p w14:paraId="260EF7FD" w14:textId="77777777" w:rsidR="00CD6352" w:rsidRPr="000A560E" w:rsidRDefault="00CD6352" w:rsidP="00C74AEC">
            <w:pPr>
              <w:pStyle w:val="ListParagraph"/>
              <w:numPr>
                <w:ilvl w:val="0"/>
                <w:numId w:val="226"/>
              </w:numPr>
              <w:spacing w:after="0" w:line="240" w:lineRule="auto"/>
              <w:jc w:val="both"/>
              <w:rPr>
                <w:rFonts w:ascii="Arial" w:hAnsi="Arial" w:cs="Arial"/>
                <w:sz w:val="16"/>
                <w:szCs w:val="16"/>
              </w:rPr>
            </w:pPr>
            <w:r w:rsidRPr="000A560E">
              <w:rPr>
                <w:rFonts w:ascii="Arial" w:hAnsi="Arial" w:cs="Arial"/>
                <w:sz w:val="16"/>
                <w:szCs w:val="16"/>
              </w:rPr>
              <w:t>Increased debt-equity ratio if the company has plenty of taxable income to shield.</w:t>
            </w:r>
          </w:p>
          <w:p w14:paraId="274C5A09" w14:textId="77777777" w:rsidR="00CD6352" w:rsidRPr="000A560E" w:rsidRDefault="00CD6352" w:rsidP="00CD6352">
            <w:pPr>
              <w:jc w:val="both"/>
              <w:rPr>
                <w:rFonts w:ascii="Arial" w:hAnsi="Arial" w:cs="Arial"/>
                <w:sz w:val="16"/>
                <w:szCs w:val="16"/>
              </w:rPr>
            </w:pPr>
          </w:p>
          <w:p w14:paraId="3726DCCB" w14:textId="3A3A0937" w:rsidR="00CD6352" w:rsidRPr="000A560E" w:rsidRDefault="00CD6352" w:rsidP="00C74AEC">
            <w:pPr>
              <w:pStyle w:val="ListParagraph"/>
              <w:numPr>
                <w:ilvl w:val="0"/>
                <w:numId w:val="226"/>
              </w:numPr>
              <w:spacing w:after="0" w:line="240" w:lineRule="auto"/>
              <w:jc w:val="both"/>
              <w:rPr>
                <w:rFonts w:ascii="Arial" w:hAnsi="Arial" w:cs="Arial"/>
                <w:sz w:val="16"/>
                <w:szCs w:val="16"/>
              </w:rPr>
            </w:pPr>
            <w:r w:rsidRPr="000A560E">
              <w:rPr>
                <w:rFonts w:ascii="Arial" w:hAnsi="Arial" w:cs="Arial"/>
                <w:sz w:val="16"/>
                <w:szCs w:val="16"/>
              </w:rPr>
              <w:t xml:space="preserve">Unprofitable firms may rely more on equity in the short term to reduce </w:t>
            </w:r>
            <w:r w:rsidR="00C6283F">
              <w:rPr>
                <w:rFonts w:ascii="Arial" w:hAnsi="Arial" w:cs="Arial"/>
                <w:sz w:val="16"/>
                <w:szCs w:val="16"/>
              </w:rPr>
              <w:t xml:space="preserve">the </w:t>
            </w:r>
            <w:r w:rsidRPr="000A560E">
              <w:rPr>
                <w:rFonts w:ascii="Arial" w:hAnsi="Arial" w:cs="Arial"/>
                <w:sz w:val="16"/>
                <w:szCs w:val="16"/>
              </w:rPr>
              <w:t>impact of debt burden</w:t>
            </w:r>
          </w:p>
        </w:tc>
        <w:tc>
          <w:tcPr>
            <w:tcW w:w="2976" w:type="dxa"/>
            <w:vMerge w:val="restart"/>
          </w:tcPr>
          <w:p w14:paraId="68F12332"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Details of the proposed project</w:t>
            </w:r>
          </w:p>
          <w:p w14:paraId="05E03200"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Contractual documentation on land acquisition/land title</w:t>
            </w:r>
          </w:p>
          <w:p w14:paraId="04EACEA5"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Loan agreement</w:t>
            </w:r>
          </w:p>
          <w:p w14:paraId="3F063C99" w14:textId="4B87A994"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 xml:space="preserve">Feasibility </w:t>
            </w:r>
            <w:r w:rsidR="00563369" w:rsidRPr="000A560E">
              <w:rPr>
                <w:rFonts w:ascii="Arial" w:hAnsi="Arial" w:cs="Arial"/>
                <w:sz w:val="16"/>
                <w:szCs w:val="16"/>
              </w:rPr>
              <w:t>report (economic</w:t>
            </w:r>
            <w:r w:rsidRPr="000A560E">
              <w:rPr>
                <w:rFonts w:ascii="Arial" w:hAnsi="Arial" w:cs="Arial"/>
                <w:sz w:val="16"/>
                <w:szCs w:val="16"/>
              </w:rPr>
              <w:t xml:space="preserve"> &amp; technical feasibility)</w:t>
            </w:r>
          </w:p>
          <w:p w14:paraId="6D4F9D4F"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Collateral to mitigate default risk</w:t>
            </w:r>
          </w:p>
          <w:p w14:paraId="2252D6D6" w14:textId="711C88F1"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 xml:space="preserve">Capital </w:t>
            </w:r>
            <w:r w:rsidR="00563369" w:rsidRPr="000A560E">
              <w:rPr>
                <w:rFonts w:ascii="Arial" w:hAnsi="Arial" w:cs="Arial"/>
                <w:sz w:val="16"/>
                <w:szCs w:val="16"/>
              </w:rPr>
              <w:t>base.</w:t>
            </w:r>
          </w:p>
          <w:p w14:paraId="5F08A263"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Due diligence</w:t>
            </w:r>
          </w:p>
          <w:p w14:paraId="694A9737"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Cash flow</w:t>
            </w:r>
          </w:p>
          <w:p w14:paraId="6D97FE5B"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Management capabilities/management profile</w:t>
            </w:r>
          </w:p>
          <w:p w14:paraId="7B05E00B" w14:textId="0E7C653B"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 xml:space="preserve">Track </w:t>
            </w:r>
            <w:r w:rsidR="005220F1" w:rsidRPr="000A560E">
              <w:rPr>
                <w:rFonts w:ascii="Arial" w:hAnsi="Arial" w:cs="Arial"/>
                <w:sz w:val="16"/>
                <w:szCs w:val="16"/>
              </w:rPr>
              <w:t>records(records</w:t>
            </w:r>
            <w:r w:rsidRPr="000A560E">
              <w:rPr>
                <w:rFonts w:ascii="Arial" w:hAnsi="Arial" w:cs="Arial"/>
                <w:sz w:val="16"/>
                <w:szCs w:val="16"/>
              </w:rPr>
              <w:t xml:space="preserve"> of accomplishment</w:t>
            </w:r>
          </w:p>
          <w:p w14:paraId="2B70F0EC" w14:textId="40C3F2BA"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 xml:space="preserve">Audited financial reports/ independent audit </w:t>
            </w:r>
            <w:r w:rsidR="005220F1" w:rsidRPr="000A560E">
              <w:rPr>
                <w:rFonts w:ascii="Arial" w:hAnsi="Arial" w:cs="Arial"/>
                <w:sz w:val="16"/>
                <w:szCs w:val="16"/>
              </w:rPr>
              <w:t>committee.</w:t>
            </w:r>
          </w:p>
          <w:p w14:paraId="26D74901"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Necessary permits &amp; site clearance</w:t>
            </w:r>
          </w:p>
          <w:p w14:paraId="2C1878D7" w14:textId="5C719C95"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 xml:space="preserve">Risk and </w:t>
            </w:r>
            <w:r w:rsidR="005220F1" w:rsidRPr="000A560E">
              <w:rPr>
                <w:rFonts w:ascii="Arial" w:hAnsi="Arial" w:cs="Arial"/>
                <w:sz w:val="16"/>
                <w:szCs w:val="16"/>
              </w:rPr>
              <w:t>returns.</w:t>
            </w:r>
          </w:p>
          <w:p w14:paraId="41E0A2E7"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Indemnification</w:t>
            </w:r>
          </w:p>
          <w:p w14:paraId="61D646BE"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Performance support guarantees</w:t>
            </w:r>
          </w:p>
          <w:p w14:paraId="7464C428"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Usage of hedging instruments</w:t>
            </w:r>
          </w:p>
          <w:p w14:paraId="58C62A44"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Tax returns</w:t>
            </w:r>
          </w:p>
          <w:p w14:paraId="455056BB"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Equity contribution</w:t>
            </w:r>
          </w:p>
          <w:p w14:paraId="361C3095"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Potential rent</w:t>
            </w:r>
          </w:p>
          <w:p w14:paraId="72808623"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 xml:space="preserve">Availability of prospective tenants </w:t>
            </w:r>
          </w:p>
          <w:p w14:paraId="47A6EDE4"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Due diligence</w:t>
            </w:r>
          </w:p>
          <w:p w14:paraId="6A01235C"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Track records</w:t>
            </w:r>
          </w:p>
          <w:p w14:paraId="48B670F7"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Cost relationship with developers</w:t>
            </w:r>
          </w:p>
          <w:p w14:paraId="1A1886D4"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Business plan</w:t>
            </w:r>
          </w:p>
          <w:p w14:paraId="39F9375A"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Financial models</w:t>
            </w:r>
          </w:p>
          <w:p w14:paraId="28CD4459"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Supporting documents that describe the site</w:t>
            </w:r>
          </w:p>
          <w:p w14:paraId="65C3DD33"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Geotechnical study</w:t>
            </w:r>
            <w:permStart w:id="1272712881" w:edGrp="everyone"/>
            <w:permEnd w:id="1272712881"/>
          </w:p>
          <w:p w14:paraId="2609E9AF"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Topographical survey</w:t>
            </w:r>
          </w:p>
          <w:p w14:paraId="6556B796"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Pre-sale details</w:t>
            </w:r>
          </w:p>
          <w:p w14:paraId="4ACDED9A"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Projected returns</w:t>
            </w:r>
          </w:p>
          <w:p w14:paraId="59210D4D"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Proof of adherence to government regulations</w:t>
            </w:r>
          </w:p>
          <w:p w14:paraId="64083370"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Company profile</w:t>
            </w:r>
          </w:p>
          <w:p w14:paraId="29AA422E" w14:textId="77777777" w:rsidR="00CD6352" w:rsidRPr="000A560E" w:rsidRDefault="00CD6352" w:rsidP="00C74AEC">
            <w:pPr>
              <w:pStyle w:val="ListParagraph"/>
              <w:numPr>
                <w:ilvl w:val="0"/>
                <w:numId w:val="222"/>
              </w:numPr>
              <w:spacing w:after="0" w:line="240" w:lineRule="auto"/>
              <w:jc w:val="both"/>
              <w:rPr>
                <w:rFonts w:ascii="Arial" w:hAnsi="Arial" w:cs="Arial"/>
                <w:b/>
                <w:sz w:val="16"/>
                <w:szCs w:val="16"/>
              </w:rPr>
            </w:pPr>
            <w:r w:rsidRPr="000A560E">
              <w:rPr>
                <w:rFonts w:ascii="Arial" w:hAnsi="Arial" w:cs="Arial"/>
                <w:sz w:val="16"/>
                <w:szCs w:val="16"/>
              </w:rPr>
              <w:t>Collateral</w:t>
            </w:r>
          </w:p>
          <w:p w14:paraId="03B9A72C" w14:textId="77777777" w:rsidR="00CD6352" w:rsidRPr="000A560E" w:rsidRDefault="00CD6352" w:rsidP="00C74AEC">
            <w:pPr>
              <w:pStyle w:val="ListParagraph"/>
              <w:numPr>
                <w:ilvl w:val="0"/>
                <w:numId w:val="222"/>
              </w:numPr>
              <w:spacing w:after="0" w:line="240" w:lineRule="auto"/>
              <w:jc w:val="both"/>
              <w:rPr>
                <w:rFonts w:ascii="Arial" w:hAnsi="Arial" w:cs="Arial"/>
                <w:sz w:val="16"/>
                <w:szCs w:val="16"/>
              </w:rPr>
            </w:pPr>
            <w:r w:rsidRPr="000A560E">
              <w:rPr>
                <w:rFonts w:ascii="Arial" w:hAnsi="Arial" w:cs="Arial"/>
                <w:sz w:val="16"/>
                <w:szCs w:val="16"/>
              </w:rPr>
              <w:t>Projected revenue and income</w:t>
            </w:r>
          </w:p>
        </w:tc>
      </w:tr>
      <w:tr w:rsidR="00CD6352" w:rsidRPr="000A560E" w14:paraId="59329A32" w14:textId="77777777" w:rsidTr="00CD6352">
        <w:trPr>
          <w:trHeight w:val="557"/>
        </w:trPr>
        <w:tc>
          <w:tcPr>
            <w:tcW w:w="1271" w:type="dxa"/>
            <w:shd w:val="clear" w:color="auto" w:fill="auto"/>
          </w:tcPr>
          <w:p w14:paraId="624995F2" w14:textId="77777777" w:rsidR="00CD6352" w:rsidRPr="000A560E" w:rsidRDefault="00CD6352" w:rsidP="00CD6352">
            <w:pPr>
              <w:jc w:val="both"/>
              <w:rPr>
                <w:rFonts w:ascii="Arial" w:hAnsi="Arial" w:cs="Arial"/>
                <w:sz w:val="16"/>
                <w:szCs w:val="16"/>
              </w:rPr>
            </w:pPr>
            <w:r w:rsidRPr="000A560E">
              <w:rPr>
                <w:rFonts w:ascii="Arial" w:hAnsi="Arial" w:cs="Arial"/>
                <w:sz w:val="16"/>
                <w:szCs w:val="16"/>
              </w:rPr>
              <w:t>Debt  Finance ( See chapter 2 &amp; 6)</w:t>
            </w:r>
          </w:p>
        </w:tc>
        <w:tc>
          <w:tcPr>
            <w:tcW w:w="3544" w:type="dxa"/>
            <w:shd w:val="clear" w:color="auto" w:fill="auto"/>
          </w:tcPr>
          <w:p w14:paraId="3C0A4F50"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Bank loans</w:t>
            </w:r>
          </w:p>
          <w:p w14:paraId="72918734"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Bonds</w:t>
            </w:r>
          </w:p>
          <w:p w14:paraId="53FCB93F"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Debenture</w:t>
            </w:r>
          </w:p>
          <w:p w14:paraId="215B7A55"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Debt fund</w:t>
            </w:r>
          </w:p>
          <w:p w14:paraId="4D70DD8E"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Hybrid REITs</w:t>
            </w:r>
          </w:p>
          <w:p w14:paraId="7DF05FC8"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Limited Partnership.</w:t>
            </w:r>
          </w:p>
          <w:p w14:paraId="09977BA3"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Mortgage Bonds.</w:t>
            </w:r>
          </w:p>
          <w:p w14:paraId="136ED8FC"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Mortgage Loans.</w:t>
            </w:r>
          </w:p>
          <w:p w14:paraId="1E86FAF0"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Mortgage REITs.</w:t>
            </w:r>
          </w:p>
          <w:p w14:paraId="3B55964A"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Participating mortgages</w:t>
            </w:r>
          </w:p>
          <w:p w14:paraId="5D736B33"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Sale and Leaseback arrangement.</w:t>
            </w:r>
          </w:p>
          <w:p w14:paraId="2FE466F5"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Sale of collateralised mortgage-backed obligation</w:t>
            </w:r>
          </w:p>
          <w:p w14:paraId="684EA044"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Sale of Commercial mortgage-backed securities</w:t>
            </w:r>
          </w:p>
          <w:p w14:paraId="2B6733AF"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Sale of commercial paper</w:t>
            </w:r>
          </w:p>
          <w:p w14:paraId="31369864" w14:textId="77777777" w:rsidR="00CD6352" w:rsidRPr="000A560E" w:rsidRDefault="00CD6352" w:rsidP="00C74AEC">
            <w:pPr>
              <w:pStyle w:val="ListParagraph"/>
              <w:numPr>
                <w:ilvl w:val="0"/>
                <w:numId w:val="223"/>
              </w:numPr>
              <w:spacing w:after="0" w:line="240" w:lineRule="auto"/>
              <w:jc w:val="both"/>
              <w:rPr>
                <w:rFonts w:ascii="Arial" w:hAnsi="Arial" w:cs="Arial"/>
                <w:sz w:val="16"/>
                <w:szCs w:val="16"/>
              </w:rPr>
            </w:pPr>
            <w:r w:rsidRPr="000A560E">
              <w:rPr>
                <w:rFonts w:ascii="Arial" w:hAnsi="Arial" w:cs="Arial"/>
                <w:sz w:val="16"/>
                <w:szCs w:val="16"/>
              </w:rPr>
              <w:t>Sale of unsecured bonds</w:t>
            </w:r>
          </w:p>
        </w:tc>
        <w:tc>
          <w:tcPr>
            <w:tcW w:w="2410" w:type="dxa"/>
            <w:vMerge/>
          </w:tcPr>
          <w:p w14:paraId="168109AD" w14:textId="77777777" w:rsidR="00CD6352" w:rsidRPr="000A560E" w:rsidRDefault="00CD6352" w:rsidP="00C74AEC">
            <w:pPr>
              <w:pStyle w:val="ListParagraph"/>
              <w:numPr>
                <w:ilvl w:val="0"/>
                <w:numId w:val="38"/>
              </w:numPr>
              <w:spacing w:after="0" w:line="240" w:lineRule="auto"/>
              <w:jc w:val="both"/>
              <w:rPr>
                <w:rFonts w:ascii="Arial" w:hAnsi="Arial" w:cs="Arial"/>
                <w:sz w:val="16"/>
                <w:szCs w:val="16"/>
              </w:rPr>
            </w:pPr>
          </w:p>
        </w:tc>
        <w:tc>
          <w:tcPr>
            <w:tcW w:w="2976" w:type="dxa"/>
            <w:vMerge/>
          </w:tcPr>
          <w:p w14:paraId="6F5CE10D" w14:textId="77777777" w:rsidR="00CD6352" w:rsidRPr="000A560E" w:rsidRDefault="00CD6352" w:rsidP="00C74AEC">
            <w:pPr>
              <w:pStyle w:val="ListParagraph"/>
              <w:numPr>
                <w:ilvl w:val="0"/>
                <w:numId w:val="38"/>
              </w:numPr>
              <w:spacing w:after="0" w:line="240" w:lineRule="auto"/>
              <w:jc w:val="both"/>
              <w:rPr>
                <w:rFonts w:ascii="Arial" w:hAnsi="Arial" w:cs="Arial"/>
                <w:sz w:val="16"/>
                <w:szCs w:val="16"/>
              </w:rPr>
            </w:pPr>
          </w:p>
        </w:tc>
      </w:tr>
      <w:tr w:rsidR="00CD6352" w:rsidRPr="000A560E" w14:paraId="179BF4C1" w14:textId="77777777" w:rsidTr="00CD6352">
        <w:trPr>
          <w:trHeight w:val="1329"/>
        </w:trPr>
        <w:tc>
          <w:tcPr>
            <w:tcW w:w="1271" w:type="dxa"/>
            <w:shd w:val="clear" w:color="auto" w:fill="auto"/>
          </w:tcPr>
          <w:p w14:paraId="05524E5A" w14:textId="6DBC23D3" w:rsidR="00CD6352" w:rsidRPr="000A560E" w:rsidRDefault="00CD6352" w:rsidP="00CD6352">
            <w:pPr>
              <w:jc w:val="both"/>
              <w:rPr>
                <w:rFonts w:ascii="Arial" w:hAnsi="Arial" w:cs="Arial"/>
                <w:sz w:val="16"/>
                <w:szCs w:val="16"/>
              </w:rPr>
            </w:pPr>
            <w:r w:rsidRPr="000A560E">
              <w:rPr>
                <w:rFonts w:ascii="Arial" w:hAnsi="Arial" w:cs="Arial"/>
                <w:sz w:val="16"/>
                <w:szCs w:val="16"/>
              </w:rPr>
              <w:t xml:space="preserve">Innovative &amp; creative finance </w:t>
            </w:r>
            <w:r w:rsidR="005220F1" w:rsidRPr="000A560E">
              <w:rPr>
                <w:rFonts w:ascii="Arial" w:hAnsi="Arial" w:cs="Arial"/>
                <w:sz w:val="16"/>
                <w:szCs w:val="16"/>
              </w:rPr>
              <w:t>(See</w:t>
            </w:r>
            <w:r w:rsidRPr="000A560E">
              <w:rPr>
                <w:rFonts w:ascii="Arial" w:hAnsi="Arial" w:cs="Arial"/>
                <w:sz w:val="16"/>
                <w:szCs w:val="16"/>
              </w:rPr>
              <w:t xml:space="preserve"> chapter 2 &amp; 6)</w:t>
            </w:r>
          </w:p>
        </w:tc>
        <w:tc>
          <w:tcPr>
            <w:tcW w:w="3544" w:type="dxa"/>
            <w:shd w:val="clear" w:color="auto" w:fill="auto"/>
          </w:tcPr>
          <w:p w14:paraId="41949289"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Community-based housing finance initiatives</w:t>
            </w:r>
          </w:p>
          <w:p w14:paraId="7BC66250"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Convertible Mortgages</w:t>
            </w:r>
          </w:p>
          <w:p w14:paraId="04B6A162"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Crowdfunding</w:t>
            </w:r>
          </w:p>
          <w:p w14:paraId="6D59EC10"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Derivatives</w:t>
            </w:r>
          </w:p>
          <w:p w14:paraId="2DC21C3F"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Government grants and subsidies</w:t>
            </w:r>
          </w:p>
          <w:p w14:paraId="0AC26F3D"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bCs/>
                <w:sz w:val="16"/>
                <w:szCs w:val="16"/>
              </w:rPr>
              <w:t>Housing microfinance</w:t>
            </w:r>
          </w:p>
          <w:p w14:paraId="60321C2C"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Joint Ventures</w:t>
            </w:r>
          </w:p>
          <w:p w14:paraId="7D6FB9D8"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Long tenured Mortgage bond</w:t>
            </w:r>
          </w:p>
          <w:p w14:paraId="423988F5"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Mezzanine Capital Financing</w:t>
            </w:r>
          </w:p>
          <w:p w14:paraId="3447F1A7"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Participating Mortgages</w:t>
            </w:r>
          </w:p>
          <w:p w14:paraId="470E548E"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Pension Backed Housing Finance</w:t>
            </w:r>
          </w:p>
          <w:p w14:paraId="0BCEB0F8"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Project Financing</w:t>
            </w:r>
          </w:p>
          <w:p w14:paraId="1367C45B"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Public-Private Partnership (PPP)/ Private Finance Initiates (PFI)</w:t>
            </w:r>
          </w:p>
          <w:p w14:paraId="0EE49B9F"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Real estate investment trust ( REITs)</w:t>
            </w:r>
          </w:p>
          <w:p w14:paraId="7332DDF4"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Residential mortgage-backed securitisation (RMBS)</w:t>
            </w:r>
          </w:p>
          <w:p w14:paraId="0179C684"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Sovereign wealth fund</w:t>
            </w:r>
          </w:p>
          <w:p w14:paraId="37C16695"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Tax-exempt bond financing</w:t>
            </w:r>
          </w:p>
          <w:p w14:paraId="1189378D" w14:textId="77777777" w:rsidR="00CD6352" w:rsidRPr="000A560E" w:rsidRDefault="00CD6352" w:rsidP="00C74AEC">
            <w:pPr>
              <w:pStyle w:val="ListParagraph"/>
              <w:numPr>
                <w:ilvl w:val="0"/>
                <w:numId w:val="224"/>
              </w:numPr>
              <w:spacing w:after="0" w:line="240" w:lineRule="auto"/>
              <w:jc w:val="both"/>
              <w:rPr>
                <w:rFonts w:ascii="Arial" w:hAnsi="Arial" w:cs="Arial"/>
                <w:sz w:val="16"/>
                <w:szCs w:val="16"/>
              </w:rPr>
            </w:pPr>
            <w:r w:rsidRPr="000A560E">
              <w:rPr>
                <w:rFonts w:ascii="Arial" w:hAnsi="Arial" w:cs="Arial"/>
                <w:sz w:val="16"/>
                <w:szCs w:val="16"/>
              </w:rPr>
              <w:t>Venture capital</w:t>
            </w:r>
          </w:p>
        </w:tc>
        <w:tc>
          <w:tcPr>
            <w:tcW w:w="2410" w:type="dxa"/>
            <w:vMerge/>
          </w:tcPr>
          <w:p w14:paraId="5824DDDC" w14:textId="77777777" w:rsidR="00CD6352" w:rsidRPr="000A560E" w:rsidRDefault="00CD6352" w:rsidP="00C74AEC">
            <w:pPr>
              <w:numPr>
                <w:ilvl w:val="0"/>
                <w:numId w:val="38"/>
              </w:numPr>
              <w:spacing w:after="0" w:line="240" w:lineRule="auto"/>
              <w:jc w:val="both"/>
              <w:rPr>
                <w:rFonts w:ascii="Arial" w:hAnsi="Arial" w:cs="Arial"/>
                <w:sz w:val="16"/>
                <w:szCs w:val="16"/>
              </w:rPr>
            </w:pPr>
          </w:p>
        </w:tc>
        <w:tc>
          <w:tcPr>
            <w:tcW w:w="2976" w:type="dxa"/>
            <w:vMerge/>
          </w:tcPr>
          <w:p w14:paraId="19601F42" w14:textId="77777777" w:rsidR="00CD6352" w:rsidRPr="000A560E" w:rsidRDefault="00CD6352" w:rsidP="00C74AEC">
            <w:pPr>
              <w:numPr>
                <w:ilvl w:val="0"/>
                <w:numId w:val="38"/>
              </w:numPr>
              <w:spacing w:after="0" w:line="240" w:lineRule="auto"/>
              <w:jc w:val="both"/>
              <w:rPr>
                <w:rFonts w:ascii="Arial" w:hAnsi="Arial" w:cs="Arial"/>
                <w:sz w:val="16"/>
                <w:szCs w:val="16"/>
              </w:rPr>
            </w:pPr>
          </w:p>
        </w:tc>
      </w:tr>
    </w:tbl>
    <w:p w14:paraId="5509586B" w14:textId="535692F3"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Compilation by the author (2</w:t>
      </w:r>
      <w:r w:rsidR="005A1FB9">
        <w:rPr>
          <w:rFonts w:ascii="Arial" w:hAnsi="Arial" w:cs="Arial"/>
          <w:sz w:val="16"/>
          <w:szCs w:val="16"/>
        </w:rPr>
        <w:t>020</w:t>
      </w:r>
      <w:r w:rsidRPr="00EA7665">
        <w:rPr>
          <w:rFonts w:ascii="Arial" w:hAnsi="Arial" w:cs="Arial"/>
          <w:sz w:val="16"/>
          <w:szCs w:val="16"/>
        </w:rPr>
        <w:t>)</w:t>
      </w:r>
    </w:p>
    <w:p w14:paraId="6291E593" w14:textId="77777777" w:rsidR="00CD6352" w:rsidRPr="00EA7665" w:rsidRDefault="00CD6352" w:rsidP="00CD6352">
      <w:pPr>
        <w:spacing w:line="360" w:lineRule="auto"/>
        <w:jc w:val="both"/>
        <w:rPr>
          <w:rFonts w:ascii="Arial" w:hAnsi="Arial" w:cs="Arial"/>
        </w:rPr>
      </w:pPr>
    </w:p>
    <w:p w14:paraId="1221170A" w14:textId="77777777" w:rsidR="00CD6352" w:rsidRPr="00EA7665" w:rsidRDefault="00CD6352" w:rsidP="00CD6352">
      <w:pPr>
        <w:pStyle w:val="Heading2"/>
        <w:spacing w:after="240"/>
        <w:rPr>
          <w:sz w:val="22"/>
          <w:szCs w:val="22"/>
        </w:rPr>
      </w:pPr>
      <w:bookmarkStart w:id="1149" w:name="_Toc78983855"/>
      <w:r w:rsidRPr="00EA7665">
        <w:rPr>
          <w:sz w:val="22"/>
          <w:szCs w:val="22"/>
        </w:rPr>
        <w:t>Summary</w:t>
      </w:r>
      <w:bookmarkEnd w:id="1149"/>
    </w:p>
    <w:p w14:paraId="1A7D9DEC" w14:textId="4C98B3C1" w:rsidR="00CD6352" w:rsidRPr="00EA7665" w:rsidRDefault="00CD6352" w:rsidP="00CD6352">
      <w:pPr>
        <w:spacing w:line="360" w:lineRule="auto"/>
        <w:rPr>
          <w:rFonts w:ascii="Arial" w:hAnsi="Arial" w:cs="Arial"/>
        </w:rPr>
      </w:pPr>
      <w:r w:rsidRPr="00EA7665">
        <w:rPr>
          <w:rFonts w:ascii="Arial" w:hAnsi="Arial" w:cs="Arial"/>
        </w:rPr>
        <w:t xml:space="preserve">The </w:t>
      </w:r>
      <w:r w:rsidR="00543B02">
        <w:rPr>
          <w:rFonts w:ascii="Arial" w:hAnsi="Arial" w:cs="Arial"/>
        </w:rPr>
        <w:t>aggregate level findings</w:t>
      </w:r>
      <w:r w:rsidRPr="00EA7665">
        <w:rPr>
          <w:rFonts w:ascii="Arial" w:hAnsi="Arial" w:cs="Arial"/>
        </w:rPr>
        <w:t xml:space="preserve"> sho</w:t>
      </w:r>
      <w:r>
        <w:rPr>
          <w:rFonts w:ascii="Arial" w:hAnsi="Arial" w:cs="Arial"/>
        </w:rPr>
        <w:t>w</w:t>
      </w:r>
      <w:r w:rsidRPr="00EA7665">
        <w:rPr>
          <w:rFonts w:ascii="Arial" w:hAnsi="Arial" w:cs="Arial"/>
        </w:rPr>
        <w:t xml:space="preserve"> that all eighteen (18) finance options listed </w:t>
      </w:r>
      <w:r>
        <w:rPr>
          <w:rFonts w:ascii="Arial" w:hAnsi="Arial" w:cs="Arial"/>
        </w:rPr>
        <w:t>in the questionnaire</w:t>
      </w:r>
      <w:r w:rsidRPr="00EA7665">
        <w:rPr>
          <w:rFonts w:ascii="Arial" w:hAnsi="Arial" w:cs="Arial"/>
        </w:rPr>
        <w:t xml:space="preserve"> are used at the aggregate level with varying degre</w:t>
      </w:r>
      <w:r>
        <w:rPr>
          <w:rFonts w:ascii="Arial" w:hAnsi="Arial" w:cs="Arial"/>
        </w:rPr>
        <w:t xml:space="preserve">es </w:t>
      </w:r>
      <w:r w:rsidRPr="00EA7665">
        <w:rPr>
          <w:rFonts w:ascii="Arial" w:hAnsi="Arial" w:cs="Arial"/>
        </w:rPr>
        <w:t xml:space="preserve">of usage by managers in </w:t>
      </w:r>
      <w:r w:rsidRPr="00EA7665">
        <w:rPr>
          <w:rFonts w:ascii="Arial" w:hAnsi="Arial" w:cs="Arial"/>
        </w:rPr>
        <w:lastRenderedPageBreak/>
        <w:t>different countries.</w:t>
      </w:r>
      <w:r>
        <w:rPr>
          <w:rFonts w:ascii="Arial" w:hAnsi="Arial" w:cs="Arial"/>
        </w:rPr>
        <w:t xml:space="preserve"> </w:t>
      </w:r>
      <w:r w:rsidRPr="00EA7665">
        <w:rPr>
          <w:rFonts w:ascii="Arial" w:hAnsi="Arial" w:cs="Arial"/>
        </w:rPr>
        <w:t>However, the five most highly used finance options</w:t>
      </w:r>
      <w:r>
        <w:rPr>
          <w:rFonts w:ascii="Arial" w:hAnsi="Arial" w:cs="Arial"/>
        </w:rPr>
        <w:t xml:space="preserve"> for real estate project development at the aggregate level are ranked below:</w:t>
      </w:r>
      <w:r w:rsidRPr="00EA7665">
        <w:rPr>
          <w:rFonts w:ascii="Arial" w:hAnsi="Arial" w:cs="Arial"/>
        </w:rPr>
        <w:t xml:space="preserve"> </w:t>
      </w:r>
    </w:p>
    <w:p w14:paraId="60201E8E" w14:textId="77777777" w:rsidR="00CD6352" w:rsidRPr="00EA7665" w:rsidRDefault="00CD6352" w:rsidP="00C74AEC">
      <w:pPr>
        <w:pStyle w:val="ListParagraph"/>
        <w:numPr>
          <w:ilvl w:val="0"/>
          <w:numId w:val="119"/>
        </w:numPr>
        <w:spacing w:line="240" w:lineRule="auto"/>
        <w:jc w:val="both"/>
        <w:rPr>
          <w:rFonts w:ascii="Arial" w:hAnsi="Arial" w:cs="Arial"/>
        </w:rPr>
      </w:pPr>
      <w:r w:rsidRPr="00EA7665">
        <w:rPr>
          <w:rFonts w:ascii="Arial" w:hAnsi="Arial" w:cs="Arial"/>
        </w:rPr>
        <w:t>Bank loan</w:t>
      </w:r>
    </w:p>
    <w:p w14:paraId="4B4113CA" w14:textId="77777777" w:rsidR="00CD6352" w:rsidRPr="00EA7665" w:rsidRDefault="00CD6352" w:rsidP="00C74AEC">
      <w:pPr>
        <w:pStyle w:val="ListParagraph"/>
        <w:numPr>
          <w:ilvl w:val="0"/>
          <w:numId w:val="119"/>
        </w:numPr>
        <w:spacing w:line="240" w:lineRule="auto"/>
        <w:jc w:val="both"/>
        <w:rPr>
          <w:rFonts w:ascii="Arial" w:hAnsi="Arial" w:cs="Arial"/>
        </w:rPr>
      </w:pPr>
      <w:r w:rsidRPr="00EA7665">
        <w:rPr>
          <w:rFonts w:ascii="Arial" w:hAnsi="Arial" w:cs="Arial"/>
        </w:rPr>
        <w:t>Cash flow from business operation</w:t>
      </w:r>
    </w:p>
    <w:p w14:paraId="1AA0FCEF" w14:textId="77777777" w:rsidR="00CD6352" w:rsidRPr="00EA7665" w:rsidRDefault="00CD6352" w:rsidP="00C74AEC">
      <w:pPr>
        <w:pStyle w:val="ListParagraph"/>
        <w:numPr>
          <w:ilvl w:val="0"/>
          <w:numId w:val="119"/>
        </w:numPr>
        <w:spacing w:line="240" w:lineRule="auto"/>
        <w:jc w:val="both"/>
        <w:rPr>
          <w:rFonts w:ascii="Arial" w:hAnsi="Arial" w:cs="Arial"/>
        </w:rPr>
      </w:pPr>
      <w:r w:rsidRPr="00EA7665">
        <w:rPr>
          <w:rFonts w:ascii="Arial" w:hAnsi="Arial" w:cs="Arial"/>
        </w:rPr>
        <w:t>High net worth individuals</w:t>
      </w:r>
    </w:p>
    <w:p w14:paraId="2D141A6B" w14:textId="77777777" w:rsidR="00CD6352" w:rsidRPr="00EA7665" w:rsidRDefault="00CD6352" w:rsidP="00C74AEC">
      <w:pPr>
        <w:pStyle w:val="ListParagraph"/>
        <w:numPr>
          <w:ilvl w:val="0"/>
          <w:numId w:val="119"/>
        </w:numPr>
        <w:spacing w:line="240" w:lineRule="auto"/>
        <w:jc w:val="both"/>
        <w:rPr>
          <w:rFonts w:ascii="Arial" w:hAnsi="Arial" w:cs="Arial"/>
        </w:rPr>
      </w:pPr>
      <w:r w:rsidRPr="00EA7665">
        <w:rPr>
          <w:rFonts w:ascii="Arial" w:hAnsi="Arial" w:cs="Arial"/>
        </w:rPr>
        <w:t xml:space="preserve">Equity funds </w:t>
      </w:r>
    </w:p>
    <w:p w14:paraId="77463A2F" w14:textId="77777777" w:rsidR="00CD6352" w:rsidRPr="00EA7665" w:rsidRDefault="00CD6352" w:rsidP="00C74AEC">
      <w:pPr>
        <w:pStyle w:val="ListParagraph"/>
        <w:numPr>
          <w:ilvl w:val="0"/>
          <w:numId w:val="119"/>
        </w:numPr>
        <w:spacing w:line="240" w:lineRule="auto"/>
        <w:jc w:val="both"/>
        <w:rPr>
          <w:rFonts w:ascii="Arial" w:hAnsi="Arial" w:cs="Arial"/>
        </w:rPr>
      </w:pPr>
      <w:r w:rsidRPr="00EA7665">
        <w:rPr>
          <w:rFonts w:ascii="Arial" w:hAnsi="Arial" w:cs="Arial"/>
        </w:rPr>
        <w:t xml:space="preserve"> Joint ventures. </w:t>
      </w:r>
    </w:p>
    <w:p w14:paraId="5C330992" w14:textId="77777777" w:rsidR="00CD6352" w:rsidRDefault="00CD6352" w:rsidP="00CD6352">
      <w:pPr>
        <w:spacing w:line="360" w:lineRule="auto"/>
        <w:rPr>
          <w:rFonts w:ascii="Arial" w:hAnsi="Arial" w:cs="Arial"/>
        </w:rPr>
      </w:pPr>
      <w:r w:rsidRPr="00EA7665">
        <w:rPr>
          <w:rFonts w:ascii="Arial" w:hAnsi="Arial" w:cs="Arial"/>
        </w:rPr>
        <w:t>While debentures, derivatives, and equity crowdfunding are the least used</w:t>
      </w:r>
      <w:r>
        <w:rPr>
          <w:rFonts w:ascii="Arial" w:hAnsi="Arial" w:cs="Arial"/>
        </w:rPr>
        <w:t>,</w:t>
      </w:r>
      <w:r w:rsidRPr="00EA7665">
        <w:rPr>
          <w:rFonts w:ascii="Arial" w:hAnsi="Arial" w:cs="Arial"/>
        </w:rPr>
        <w:t xml:space="preserve"> </w:t>
      </w:r>
      <w:r>
        <w:rPr>
          <w:rFonts w:ascii="Arial" w:hAnsi="Arial" w:cs="Arial"/>
        </w:rPr>
        <w:t>the</w:t>
      </w:r>
      <w:r w:rsidRPr="00EA7665">
        <w:rPr>
          <w:rFonts w:ascii="Arial" w:hAnsi="Arial" w:cs="Arial"/>
        </w:rPr>
        <w:t xml:space="preserve"> findings from both the questionnaire survey and interviews show that bank debt is used highly in both the developed and emerging economies for real estate project development.</w:t>
      </w:r>
      <w:r>
        <w:rPr>
          <w:rFonts w:ascii="Arial" w:hAnsi="Arial" w:cs="Arial"/>
        </w:rPr>
        <w:t xml:space="preserve"> </w:t>
      </w:r>
    </w:p>
    <w:p w14:paraId="2D03007B" w14:textId="2AD27F7E" w:rsidR="00CD6352" w:rsidRPr="00EA7665" w:rsidRDefault="00CD6352" w:rsidP="00CD6352">
      <w:pPr>
        <w:spacing w:line="360" w:lineRule="auto"/>
        <w:rPr>
          <w:rFonts w:ascii="Arial" w:hAnsi="Arial" w:cs="Arial"/>
        </w:rPr>
      </w:pPr>
      <w:r w:rsidRPr="00EA7665">
        <w:rPr>
          <w:rFonts w:ascii="Arial" w:hAnsi="Arial" w:cs="Arial"/>
        </w:rPr>
        <w:t>Managers in the selected developed economies all have access to long term debts through bonds</w:t>
      </w:r>
      <w:r w:rsidR="006D4C3C">
        <w:rPr>
          <w:rFonts w:ascii="Arial" w:hAnsi="Arial" w:cs="Arial"/>
        </w:rPr>
        <w:t>,</w:t>
      </w:r>
      <w:r>
        <w:rPr>
          <w:rFonts w:ascii="Arial" w:hAnsi="Arial" w:cs="Arial"/>
        </w:rPr>
        <w:t xml:space="preserve"> while managers in the U.S </w:t>
      </w:r>
      <w:r w:rsidRPr="00EA7665">
        <w:rPr>
          <w:rFonts w:ascii="Arial" w:hAnsi="Arial" w:cs="Arial"/>
        </w:rPr>
        <w:t xml:space="preserve">use </w:t>
      </w:r>
      <w:r>
        <w:rPr>
          <w:rFonts w:ascii="Arial" w:hAnsi="Arial" w:cs="Arial"/>
        </w:rPr>
        <w:t>s</w:t>
      </w:r>
      <w:r w:rsidRPr="00EA7665">
        <w:rPr>
          <w:rFonts w:ascii="Arial" w:hAnsi="Arial" w:cs="Arial"/>
        </w:rPr>
        <w:t>overeign wealth funds</w:t>
      </w:r>
      <w:r>
        <w:rPr>
          <w:rFonts w:ascii="Arial" w:hAnsi="Arial" w:cs="Arial"/>
        </w:rPr>
        <w:t xml:space="preserve"> in addition to bonds</w:t>
      </w:r>
      <w:r w:rsidRPr="00EA7665">
        <w:rPr>
          <w:rFonts w:ascii="Arial" w:hAnsi="Arial" w:cs="Arial"/>
        </w:rPr>
        <w:t xml:space="preserve">. There is a good support of the banking sector and debt markets for real estate project development in the developed economies because of governmental influence through monetary policies that have influenced interest rates and enhanced funding availability through quantitative easing. </w:t>
      </w:r>
    </w:p>
    <w:p w14:paraId="67362B60" w14:textId="76DEB6C6" w:rsidR="00CD6352" w:rsidRPr="00EA7665" w:rsidRDefault="00CD6352" w:rsidP="00CD6352">
      <w:pPr>
        <w:spacing w:line="360" w:lineRule="auto"/>
        <w:rPr>
          <w:rFonts w:ascii="Arial" w:hAnsi="Arial" w:cs="Arial"/>
        </w:rPr>
      </w:pPr>
      <w:r w:rsidRPr="00EA7665">
        <w:rPr>
          <w:rFonts w:ascii="Arial" w:hAnsi="Arial" w:cs="Arial"/>
        </w:rPr>
        <w:t>Managers in emerging economies also have access to debt for real estate project development. Managers in China have as much access to debt as those in the developed economies</w:t>
      </w:r>
      <w:r w:rsidR="006D4C3C">
        <w:rPr>
          <w:rFonts w:ascii="Arial" w:hAnsi="Arial" w:cs="Arial"/>
        </w:rPr>
        <w:t>,</w:t>
      </w:r>
      <w:r>
        <w:rPr>
          <w:rFonts w:ascii="Arial" w:hAnsi="Arial" w:cs="Arial"/>
        </w:rPr>
        <w:t xml:space="preserve"> and they also have access </w:t>
      </w:r>
      <w:r w:rsidR="00AC353E">
        <w:rPr>
          <w:rFonts w:ascii="Arial" w:hAnsi="Arial" w:cs="Arial"/>
        </w:rPr>
        <w:t xml:space="preserve">to </w:t>
      </w:r>
      <w:r w:rsidR="00AC353E" w:rsidRPr="00EA7665">
        <w:rPr>
          <w:rFonts w:ascii="Arial" w:hAnsi="Arial" w:cs="Arial"/>
        </w:rPr>
        <w:t>sovereign</w:t>
      </w:r>
      <w:r w:rsidRPr="00EA7665">
        <w:rPr>
          <w:rFonts w:ascii="Arial" w:hAnsi="Arial" w:cs="Arial"/>
        </w:rPr>
        <w:t xml:space="preserve"> wealth funds and REITs. Managers in China have greater access to debt finance than those in Nigeria and South Africa. </w:t>
      </w:r>
      <w:r w:rsidR="0043185D">
        <w:rPr>
          <w:rFonts w:ascii="Arial" w:hAnsi="Arial" w:cs="Arial"/>
        </w:rPr>
        <w:t>In contrast,</w:t>
      </w:r>
      <w:r w:rsidRPr="00EA7665">
        <w:rPr>
          <w:rFonts w:ascii="Arial" w:hAnsi="Arial" w:cs="Arial"/>
        </w:rPr>
        <w:t xml:space="preserve"> man</w:t>
      </w:r>
      <w:r w:rsidR="00BF5EEE">
        <w:rPr>
          <w:rFonts w:ascii="Arial" w:hAnsi="Arial" w:cs="Arial"/>
        </w:rPr>
        <w:t>a</w:t>
      </w:r>
      <w:r w:rsidRPr="00EA7665">
        <w:rPr>
          <w:rFonts w:ascii="Arial" w:hAnsi="Arial" w:cs="Arial"/>
        </w:rPr>
        <w:t xml:space="preserve">gers in Nigeria have the least access to bank, private debt finance and REITs for real estate project development. </w:t>
      </w:r>
      <w:r w:rsidR="003E20BC">
        <w:rPr>
          <w:rFonts w:ascii="Arial" w:hAnsi="Arial" w:cs="Arial"/>
        </w:rPr>
        <w:t>Compared to China and the selected developed economies, the comparative shortfall in debt finance in Nigeria and South Africa</w:t>
      </w:r>
      <w:r w:rsidRPr="00EA7665">
        <w:rPr>
          <w:rFonts w:ascii="Arial" w:hAnsi="Arial" w:cs="Arial"/>
        </w:rPr>
        <w:t xml:space="preserve"> is partly a result of </w:t>
      </w:r>
      <w:r>
        <w:rPr>
          <w:rFonts w:ascii="Arial" w:hAnsi="Arial" w:cs="Arial"/>
        </w:rPr>
        <w:t xml:space="preserve">the Nigerian </w:t>
      </w:r>
      <w:r w:rsidRPr="00EA7665">
        <w:rPr>
          <w:rFonts w:ascii="Arial" w:hAnsi="Arial" w:cs="Arial"/>
        </w:rPr>
        <w:t>government</w:t>
      </w:r>
      <w:r>
        <w:rPr>
          <w:rFonts w:ascii="Arial" w:hAnsi="Arial" w:cs="Arial"/>
        </w:rPr>
        <w:t>’s</w:t>
      </w:r>
      <w:r w:rsidRPr="00EA7665">
        <w:rPr>
          <w:rFonts w:ascii="Arial" w:hAnsi="Arial" w:cs="Arial"/>
        </w:rPr>
        <w:t xml:space="preserve"> unfavourable monetary policies, mortgage institutions plagued with bureaucrac</w:t>
      </w:r>
      <w:r>
        <w:rPr>
          <w:rFonts w:ascii="Arial" w:hAnsi="Arial" w:cs="Arial"/>
        </w:rPr>
        <w:t>y</w:t>
      </w:r>
      <w:r w:rsidRPr="00EA7665">
        <w:rPr>
          <w:rFonts w:ascii="Arial" w:hAnsi="Arial" w:cs="Arial"/>
        </w:rPr>
        <w:t>, high</w:t>
      </w:r>
      <w:r w:rsidR="001006E8">
        <w:rPr>
          <w:rFonts w:ascii="Arial" w:hAnsi="Arial" w:cs="Arial"/>
        </w:rPr>
        <w:t>-</w:t>
      </w:r>
      <w:r w:rsidRPr="00EA7665">
        <w:rPr>
          <w:rFonts w:ascii="Arial" w:hAnsi="Arial" w:cs="Arial"/>
        </w:rPr>
        <w:t>interest rates,</w:t>
      </w:r>
      <w:r>
        <w:rPr>
          <w:rFonts w:ascii="Arial" w:hAnsi="Arial" w:cs="Arial"/>
        </w:rPr>
        <w:t xml:space="preserve"> and</w:t>
      </w:r>
      <w:r w:rsidRPr="00EA7665">
        <w:rPr>
          <w:rFonts w:ascii="Arial" w:hAnsi="Arial" w:cs="Arial"/>
        </w:rPr>
        <w:t xml:space="preserve"> high collateral reques</w:t>
      </w:r>
      <w:r>
        <w:rPr>
          <w:rFonts w:ascii="Arial" w:hAnsi="Arial" w:cs="Arial"/>
        </w:rPr>
        <w:t>ts</w:t>
      </w:r>
      <w:r w:rsidRPr="00EA7665">
        <w:rPr>
          <w:rFonts w:ascii="Arial" w:hAnsi="Arial" w:cs="Arial"/>
        </w:rPr>
        <w:t xml:space="preserve"> and problems of historical inequalities in South Africa. </w:t>
      </w:r>
    </w:p>
    <w:p w14:paraId="242AE0A9" w14:textId="2FE746B9" w:rsidR="00CD6352" w:rsidRPr="00EA7665" w:rsidRDefault="00CD6352" w:rsidP="00CD6352">
      <w:pPr>
        <w:spacing w:line="360" w:lineRule="auto"/>
        <w:rPr>
          <w:rFonts w:ascii="Arial" w:hAnsi="Arial" w:cs="Arial"/>
        </w:rPr>
      </w:pPr>
      <w:r w:rsidRPr="00EA7665">
        <w:rPr>
          <w:rFonts w:ascii="Arial" w:hAnsi="Arial" w:cs="Arial"/>
        </w:rPr>
        <w:t>China, in terms of usage of equity and innovative finance</w:t>
      </w:r>
      <w:r w:rsidR="00BF5EEE">
        <w:rPr>
          <w:rFonts w:ascii="Arial" w:hAnsi="Arial" w:cs="Arial"/>
        </w:rPr>
        <w:t>,</w:t>
      </w:r>
      <w:r w:rsidRPr="00EA7665">
        <w:rPr>
          <w:rFonts w:ascii="Arial" w:hAnsi="Arial" w:cs="Arial"/>
        </w:rPr>
        <w:t xml:space="preserve"> is similar to the developed economies.  However, China has a strong government presence </w:t>
      </w:r>
      <w:r>
        <w:rPr>
          <w:rFonts w:ascii="Arial" w:hAnsi="Arial" w:cs="Arial"/>
        </w:rPr>
        <w:t>involved in</w:t>
      </w:r>
      <w:r w:rsidRPr="00EA7665">
        <w:rPr>
          <w:rFonts w:ascii="Arial" w:hAnsi="Arial" w:cs="Arial"/>
        </w:rPr>
        <w:t xml:space="preserve"> the control mechanism, which affects the expatriation of funds</w:t>
      </w:r>
      <w:r>
        <w:rPr>
          <w:rFonts w:ascii="Arial" w:hAnsi="Arial" w:cs="Arial"/>
        </w:rPr>
        <w:t xml:space="preserve"> to other countries</w:t>
      </w:r>
      <w:r w:rsidRPr="00EA7665">
        <w:rPr>
          <w:rFonts w:ascii="Arial" w:hAnsi="Arial" w:cs="Arial"/>
        </w:rPr>
        <w:t>. Notably, Nigeria appears to be an outlier based on the findings because 90% of the finance for real estate project development comes from off-takers</w:t>
      </w:r>
      <w:r>
        <w:rPr>
          <w:rFonts w:ascii="Arial" w:hAnsi="Arial" w:cs="Arial"/>
        </w:rPr>
        <w:t xml:space="preserve">, </w:t>
      </w:r>
      <w:r w:rsidR="00926349">
        <w:rPr>
          <w:rFonts w:ascii="Arial" w:hAnsi="Arial" w:cs="Arial"/>
        </w:rPr>
        <w:t xml:space="preserve">with </w:t>
      </w:r>
      <w:r w:rsidR="00926349" w:rsidRPr="00EA7665">
        <w:rPr>
          <w:rFonts w:ascii="Arial" w:hAnsi="Arial" w:cs="Arial"/>
        </w:rPr>
        <w:t>minimal</w:t>
      </w:r>
      <w:r w:rsidRPr="00EA7665">
        <w:rPr>
          <w:rFonts w:ascii="Arial" w:hAnsi="Arial" w:cs="Arial"/>
        </w:rPr>
        <w:t xml:space="preserve"> support from the banking sector and government</w:t>
      </w:r>
      <w:r>
        <w:rPr>
          <w:rFonts w:ascii="Arial" w:hAnsi="Arial" w:cs="Arial"/>
        </w:rPr>
        <w:t xml:space="preserve"> being present</w:t>
      </w:r>
      <w:r w:rsidRPr="00EA7665">
        <w:rPr>
          <w:rFonts w:ascii="Arial" w:hAnsi="Arial" w:cs="Arial"/>
        </w:rPr>
        <w:t>. South Africa, on the other hand, has a good</w:t>
      </w:r>
      <w:r>
        <w:rPr>
          <w:rFonts w:ascii="Arial" w:hAnsi="Arial" w:cs="Arial"/>
        </w:rPr>
        <w:t xml:space="preserve"> mix of</w:t>
      </w:r>
      <w:r w:rsidRPr="00EA7665">
        <w:rPr>
          <w:rFonts w:ascii="Arial" w:hAnsi="Arial" w:cs="Arial"/>
        </w:rPr>
        <w:t xml:space="preserve"> bank, private and public equity finance based on the findings but there is still </w:t>
      </w:r>
      <w:r w:rsidR="009D2BE1">
        <w:rPr>
          <w:rFonts w:ascii="Arial" w:hAnsi="Arial" w:cs="Arial"/>
        </w:rPr>
        <w:t xml:space="preserve">has </w:t>
      </w:r>
      <w:r w:rsidRPr="00EA7665">
        <w:rPr>
          <w:rFonts w:ascii="Arial" w:hAnsi="Arial" w:cs="Arial"/>
        </w:rPr>
        <w:t>some fundamental imbalance in access to funding because of the effect of historical racial problems in South Africa.</w:t>
      </w:r>
    </w:p>
    <w:p w14:paraId="1BF9849F" w14:textId="6BCD970F" w:rsidR="00CD6352" w:rsidRPr="00EA7665" w:rsidRDefault="00CD6352" w:rsidP="00CD6352">
      <w:pPr>
        <w:spacing w:line="360" w:lineRule="auto"/>
        <w:rPr>
          <w:rFonts w:ascii="Arial" w:hAnsi="Arial" w:cs="Arial"/>
        </w:rPr>
      </w:pPr>
      <w:r w:rsidRPr="00EA7665">
        <w:rPr>
          <w:rFonts w:ascii="Arial" w:hAnsi="Arial" w:cs="Arial"/>
        </w:rPr>
        <w:t xml:space="preserve">The </w:t>
      </w:r>
      <w:r w:rsidR="00926349" w:rsidRPr="00EA7665">
        <w:rPr>
          <w:rFonts w:ascii="Arial" w:hAnsi="Arial" w:cs="Arial"/>
        </w:rPr>
        <w:t>findings show</w:t>
      </w:r>
      <w:r w:rsidRPr="00EA7665">
        <w:rPr>
          <w:rFonts w:ascii="Arial" w:hAnsi="Arial" w:cs="Arial"/>
        </w:rPr>
        <w:t xml:space="preserve"> government support and grants as sources of finance for all the developed economies as well as China and South Africa, but government grants and </w:t>
      </w:r>
      <w:r w:rsidRPr="00EA7665">
        <w:rPr>
          <w:rFonts w:ascii="Arial" w:hAnsi="Arial" w:cs="Arial"/>
        </w:rPr>
        <w:lastRenderedPageBreak/>
        <w:t>subsidies</w:t>
      </w:r>
      <w:r>
        <w:rPr>
          <w:rFonts w:ascii="Arial" w:hAnsi="Arial" w:cs="Arial"/>
        </w:rPr>
        <w:t>, based on the findings,</w:t>
      </w:r>
      <w:r w:rsidRPr="00EA7665">
        <w:rPr>
          <w:rFonts w:ascii="Arial" w:hAnsi="Arial" w:cs="Arial"/>
        </w:rPr>
        <w:t xml:space="preserve"> are not available in Nigeria</w:t>
      </w:r>
      <w:r>
        <w:rPr>
          <w:rFonts w:ascii="Arial" w:hAnsi="Arial" w:cs="Arial"/>
        </w:rPr>
        <w:t>.</w:t>
      </w:r>
      <w:r w:rsidRPr="00EA7665">
        <w:rPr>
          <w:rFonts w:ascii="Arial" w:hAnsi="Arial" w:cs="Arial"/>
        </w:rPr>
        <w:t xml:space="preserve"> The findings revea</w:t>
      </w:r>
      <w:r>
        <w:rPr>
          <w:rFonts w:ascii="Arial" w:hAnsi="Arial" w:cs="Arial"/>
        </w:rPr>
        <w:t xml:space="preserve">l </w:t>
      </w:r>
      <w:r w:rsidRPr="00EA7665">
        <w:rPr>
          <w:rFonts w:ascii="Arial" w:hAnsi="Arial" w:cs="Arial"/>
        </w:rPr>
        <w:t xml:space="preserve">that there is </w:t>
      </w:r>
      <w:r>
        <w:rPr>
          <w:rFonts w:ascii="Arial" w:hAnsi="Arial" w:cs="Arial"/>
        </w:rPr>
        <w:t>no</w:t>
      </w:r>
      <w:r w:rsidRPr="00EA7665">
        <w:rPr>
          <w:rFonts w:ascii="Arial" w:hAnsi="Arial" w:cs="Arial"/>
        </w:rPr>
        <w:t xml:space="preserve"> </w:t>
      </w:r>
      <w:r w:rsidRPr="007A2E13">
        <w:rPr>
          <w:rFonts w:ascii="Arial" w:hAnsi="Arial" w:cs="Arial"/>
        </w:rPr>
        <w:t xml:space="preserve">correlation between the level of managers and the finance options for real estate project development. </w:t>
      </w:r>
      <w:r w:rsidR="00926349" w:rsidRPr="007A2E13">
        <w:rPr>
          <w:rFonts w:ascii="Arial" w:hAnsi="Arial" w:cs="Arial"/>
        </w:rPr>
        <w:t>Furthermore,</w:t>
      </w:r>
      <w:r w:rsidRPr="007A2E13">
        <w:rPr>
          <w:rFonts w:ascii="Arial" w:hAnsi="Arial" w:cs="Arial"/>
        </w:rPr>
        <w:t xml:space="preserve"> it demonstrat</w:t>
      </w:r>
      <w:r>
        <w:rPr>
          <w:rFonts w:ascii="Arial" w:hAnsi="Arial" w:cs="Arial"/>
        </w:rPr>
        <w:t xml:space="preserve">es </w:t>
      </w:r>
      <w:r w:rsidR="00E268B2">
        <w:rPr>
          <w:rFonts w:ascii="Arial" w:hAnsi="Arial" w:cs="Arial"/>
        </w:rPr>
        <w:t>a comparative funding gap for real estate project development in Nigeria and South Africa compared to Germany, the US, the UK,</w:t>
      </w:r>
      <w:r w:rsidRPr="00EA7665">
        <w:rPr>
          <w:rFonts w:ascii="Arial" w:hAnsi="Arial" w:cs="Arial"/>
        </w:rPr>
        <w:t xml:space="preserve"> and China. </w:t>
      </w:r>
    </w:p>
    <w:p w14:paraId="4E617757" w14:textId="09C6127F" w:rsidR="00CD6352" w:rsidRPr="00EA7665" w:rsidRDefault="00CD6352" w:rsidP="00CD6352">
      <w:pPr>
        <w:spacing w:before="240" w:after="0" w:line="360" w:lineRule="auto"/>
        <w:jc w:val="both"/>
        <w:rPr>
          <w:rFonts w:ascii="Arial" w:eastAsia="Calibri" w:hAnsi="Arial" w:cs="Arial"/>
        </w:rPr>
      </w:pPr>
      <w:r w:rsidRPr="00EA7665">
        <w:rPr>
          <w:rFonts w:ascii="Arial" w:eastAsia="Calibri" w:hAnsi="Arial" w:cs="Arial"/>
        </w:rPr>
        <w:t xml:space="preserve">The criteria for real estate project development finance for both developed and emerging economies are very similar, and this is because the world has become a global village with respect to </w:t>
      </w:r>
      <w:r w:rsidR="00FB2859">
        <w:rPr>
          <w:rFonts w:ascii="Arial" w:eastAsia="Calibri" w:hAnsi="Arial" w:cs="Arial"/>
        </w:rPr>
        <w:t xml:space="preserve">the </w:t>
      </w:r>
      <w:r w:rsidRPr="00EA7665">
        <w:rPr>
          <w:rFonts w:ascii="Arial" w:eastAsia="Calibri" w:hAnsi="Arial" w:cs="Arial"/>
        </w:rPr>
        <w:t xml:space="preserve">information and how financial risk can be avoided and mitigated. The survey response at the aggregate level shows that all the sixteen criteria for securing finance for real estate project development as listed </w:t>
      </w:r>
      <w:r>
        <w:rPr>
          <w:rFonts w:ascii="Arial" w:eastAsia="Calibri" w:hAnsi="Arial" w:cs="Arial"/>
        </w:rPr>
        <w:t>in the questionnaire</w:t>
      </w:r>
      <w:r w:rsidRPr="00EA7665">
        <w:rPr>
          <w:rFonts w:ascii="Arial" w:eastAsia="Calibri" w:hAnsi="Arial" w:cs="Arial"/>
        </w:rPr>
        <w:t xml:space="preserve"> are request</w:t>
      </w:r>
      <w:r w:rsidR="00FB2859">
        <w:rPr>
          <w:rFonts w:ascii="Arial" w:eastAsia="Calibri" w:hAnsi="Arial" w:cs="Arial"/>
        </w:rPr>
        <w:t>ed</w:t>
      </w:r>
      <w:r w:rsidRPr="00EA7665">
        <w:rPr>
          <w:rFonts w:ascii="Arial" w:eastAsia="Calibri" w:hAnsi="Arial" w:cs="Arial"/>
        </w:rPr>
        <w:t xml:space="preserve"> by financiers in all the six countries</w:t>
      </w:r>
      <w:r w:rsidR="00E268B2">
        <w:rPr>
          <w:rFonts w:ascii="Arial" w:eastAsia="Calibri" w:hAnsi="Arial" w:cs="Arial"/>
        </w:rPr>
        <w:t>;</w:t>
      </w:r>
      <w:r w:rsidRPr="00EA7665">
        <w:rPr>
          <w:rFonts w:ascii="Arial" w:eastAsia="Calibri" w:hAnsi="Arial" w:cs="Arial"/>
        </w:rPr>
        <w:t xml:space="preserve"> </w:t>
      </w:r>
      <w:r>
        <w:rPr>
          <w:rFonts w:ascii="Arial" w:eastAsia="Calibri" w:hAnsi="Arial" w:cs="Arial"/>
        </w:rPr>
        <w:t>h</w:t>
      </w:r>
      <w:r w:rsidRPr="00EA7665">
        <w:rPr>
          <w:rFonts w:ascii="Arial" w:eastAsia="Calibri" w:hAnsi="Arial" w:cs="Arial"/>
        </w:rPr>
        <w:t>owever</w:t>
      </w:r>
      <w:r w:rsidR="00FB2859">
        <w:rPr>
          <w:rFonts w:ascii="Arial" w:eastAsia="Calibri" w:hAnsi="Arial" w:cs="Arial"/>
        </w:rPr>
        <w:t>,</w:t>
      </w:r>
      <w:r>
        <w:rPr>
          <w:rFonts w:ascii="Arial" w:eastAsia="Calibri" w:hAnsi="Arial" w:cs="Arial"/>
        </w:rPr>
        <w:t xml:space="preserve"> the</w:t>
      </w:r>
      <w:r w:rsidRPr="00EA7665">
        <w:rPr>
          <w:rFonts w:ascii="Arial" w:eastAsia="Calibri" w:hAnsi="Arial" w:cs="Arial"/>
        </w:rPr>
        <w:t xml:space="preserve"> rankin</w:t>
      </w:r>
      <w:r>
        <w:rPr>
          <w:rFonts w:ascii="Arial" w:eastAsia="Calibri" w:hAnsi="Arial" w:cs="Arial"/>
        </w:rPr>
        <w:t xml:space="preserve">gs vary </w:t>
      </w:r>
      <w:r w:rsidRPr="00EA7665">
        <w:rPr>
          <w:rFonts w:ascii="Arial" w:eastAsia="Calibri" w:hAnsi="Arial" w:cs="Arial"/>
        </w:rPr>
        <w:t xml:space="preserve">with respect to the degree </w:t>
      </w:r>
      <w:r w:rsidR="00FB2859">
        <w:rPr>
          <w:rFonts w:ascii="Arial" w:eastAsia="Calibri" w:hAnsi="Arial" w:cs="Arial"/>
        </w:rPr>
        <w:t>to</w:t>
      </w:r>
      <w:r w:rsidRPr="00EA7665">
        <w:rPr>
          <w:rFonts w:ascii="Arial" w:eastAsia="Calibri" w:hAnsi="Arial" w:cs="Arial"/>
        </w:rPr>
        <w:t xml:space="preserve"> which </w:t>
      </w:r>
      <w:r w:rsidR="00E268B2">
        <w:rPr>
          <w:rFonts w:ascii="Arial" w:eastAsia="Calibri" w:hAnsi="Arial" w:cs="Arial"/>
        </w:rPr>
        <w:t>financiers request them</w:t>
      </w:r>
      <w:r w:rsidRPr="00EA7665">
        <w:rPr>
          <w:rFonts w:ascii="Arial" w:eastAsia="Calibri" w:hAnsi="Arial" w:cs="Arial"/>
        </w:rPr>
        <w:t xml:space="preserve"> in different countries.</w:t>
      </w:r>
      <w:r>
        <w:rPr>
          <w:rFonts w:ascii="Arial" w:eastAsia="Calibri" w:hAnsi="Arial" w:cs="Arial"/>
        </w:rPr>
        <w:t xml:space="preserve"> </w:t>
      </w:r>
      <w:r w:rsidRPr="00EA7665">
        <w:rPr>
          <w:rFonts w:ascii="Arial" w:eastAsia="Calibri" w:hAnsi="Arial" w:cs="Arial"/>
        </w:rPr>
        <w:t xml:space="preserve">The five </w:t>
      </w:r>
      <w:r>
        <w:rPr>
          <w:rFonts w:ascii="Arial" w:eastAsia="Calibri" w:hAnsi="Arial" w:cs="Arial"/>
        </w:rPr>
        <w:t>top</w:t>
      </w:r>
      <w:r w:rsidRPr="00EA7665">
        <w:rPr>
          <w:rFonts w:ascii="Arial" w:eastAsia="Calibri" w:hAnsi="Arial" w:cs="Arial"/>
        </w:rPr>
        <w:t xml:space="preserve"> criteria always requested by financiers in both the developed and emerging economies on an aggregate level is ranked as follows:</w:t>
      </w:r>
    </w:p>
    <w:p w14:paraId="0C2C2B8F" w14:textId="77777777" w:rsidR="00CD6352" w:rsidRPr="00EA7665" w:rsidRDefault="00CD6352" w:rsidP="00C74AEC">
      <w:pPr>
        <w:pStyle w:val="ListParagraph"/>
        <w:numPr>
          <w:ilvl w:val="0"/>
          <w:numId w:val="120"/>
        </w:numPr>
        <w:spacing w:after="0" w:line="240" w:lineRule="auto"/>
        <w:jc w:val="both"/>
        <w:rPr>
          <w:rFonts w:ascii="Arial" w:eastAsia="Calibri" w:hAnsi="Arial" w:cs="Arial"/>
        </w:rPr>
      </w:pPr>
      <w:r w:rsidRPr="00EA7665">
        <w:rPr>
          <w:rFonts w:ascii="Arial" w:eastAsia="Calibri" w:hAnsi="Arial" w:cs="Arial"/>
        </w:rPr>
        <w:t>Details of the proposed project</w:t>
      </w:r>
    </w:p>
    <w:p w14:paraId="158FD675" w14:textId="77777777" w:rsidR="00CD6352" w:rsidRPr="00EA7665" w:rsidRDefault="00CD6352" w:rsidP="00C74AEC">
      <w:pPr>
        <w:pStyle w:val="ListParagraph"/>
        <w:numPr>
          <w:ilvl w:val="0"/>
          <w:numId w:val="120"/>
        </w:numPr>
        <w:spacing w:after="0" w:line="240" w:lineRule="auto"/>
        <w:jc w:val="both"/>
        <w:rPr>
          <w:rFonts w:ascii="Arial" w:eastAsia="Calibri" w:hAnsi="Arial" w:cs="Arial"/>
        </w:rPr>
      </w:pPr>
      <w:r w:rsidRPr="00EA7665">
        <w:rPr>
          <w:rFonts w:ascii="Arial" w:eastAsia="Calibri" w:hAnsi="Arial" w:cs="Arial"/>
        </w:rPr>
        <w:t>Contractual document on land acquisition/ land title</w:t>
      </w:r>
    </w:p>
    <w:p w14:paraId="4A23013F" w14:textId="77777777" w:rsidR="00CD6352" w:rsidRPr="00EA7665" w:rsidRDefault="00CD6352" w:rsidP="00C74AEC">
      <w:pPr>
        <w:pStyle w:val="ListParagraph"/>
        <w:numPr>
          <w:ilvl w:val="0"/>
          <w:numId w:val="120"/>
        </w:numPr>
        <w:spacing w:after="0" w:line="240" w:lineRule="auto"/>
        <w:jc w:val="both"/>
        <w:rPr>
          <w:rFonts w:ascii="Arial" w:eastAsia="Calibri" w:hAnsi="Arial" w:cs="Arial"/>
        </w:rPr>
      </w:pPr>
      <w:r w:rsidRPr="00EA7665">
        <w:rPr>
          <w:rFonts w:ascii="Arial" w:eastAsia="Calibri" w:hAnsi="Arial" w:cs="Arial"/>
        </w:rPr>
        <w:t>Loan agreement</w:t>
      </w:r>
    </w:p>
    <w:p w14:paraId="3BF3B750" w14:textId="35BA7785" w:rsidR="00CD6352" w:rsidRPr="00EA7665" w:rsidRDefault="00CD6352" w:rsidP="00C74AEC">
      <w:pPr>
        <w:pStyle w:val="ListParagraph"/>
        <w:numPr>
          <w:ilvl w:val="0"/>
          <w:numId w:val="120"/>
        </w:numPr>
        <w:spacing w:after="0" w:line="240" w:lineRule="auto"/>
        <w:jc w:val="both"/>
        <w:rPr>
          <w:rFonts w:ascii="Arial" w:eastAsia="Calibri" w:hAnsi="Arial" w:cs="Arial"/>
        </w:rPr>
      </w:pPr>
      <w:r w:rsidRPr="00EA7665">
        <w:rPr>
          <w:rFonts w:ascii="Arial" w:eastAsia="Calibri" w:hAnsi="Arial" w:cs="Arial"/>
        </w:rPr>
        <w:t xml:space="preserve">Feasibility report </w:t>
      </w:r>
      <w:r w:rsidR="001F007B" w:rsidRPr="00EA7665">
        <w:rPr>
          <w:rFonts w:ascii="Arial" w:eastAsia="Calibri" w:hAnsi="Arial" w:cs="Arial"/>
        </w:rPr>
        <w:t>(economic</w:t>
      </w:r>
      <w:r w:rsidRPr="00EA7665">
        <w:rPr>
          <w:rFonts w:ascii="Arial" w:eastAsia="Calibri" w:hAnsi="Arial" w:cs="Arial"/>
        </w:rPr>
        <w:t xml:space="preserve"> &amp; technical feasibility)</w:t>
      </w:r>
    </w:p>
    <w:p w14:paraId="0FCC4158" w14:textId="77777777" w:rsidR="00CD6352" w:rsidRPr="00EA7665" w:rsidRDefault="00CD6352" w:rsidP="00C74AEC">
      <w:pPr>
        <w:pStyle w:val="ListParagraph"/>
        <w:numPr>
          <w:ilvl w:val="0"/>
          <w:numId w:val="120"/>
        </w:numPr>
        <w:spacing w:line="240" w:lineRule="auto"/>
        <w:jc w:val="both"/>
        <w:rPr>
          <w:rFonts w:ascii="Arial" w:eastAsia="Calibri" w:hAnsi="Arial" w:cs="Arial"/>
        </w:rPr>
      </w:pPr>
      <w:r w:rsidRPr="00EA7665">
        <w:rPr>
          <w:rFonts w:ascii="Arial" w:eastAsia="Calibri" w:hAnsi="Arial" w:cs="Arial"/>
        </w:rPr>
        <w:t xml:space="preserve">Collateral </w:t>
      </w:r>
    </w:p>
    <w:p w14:paraId="29F3992C" w14:textId="040CE940"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While the criteria </w:t>
      </w:r>
      <w:r>
        <w:rPr>
          <w:rFonts w:ascii="Arial" w:eastAsia="Calibri" w:hAnsi="Arial" w:cs="Arial"/>
        </w:rPr>
        <w:t xml:space="preserve">least </w:t>
      </w:r>
      <w:r w:rsidRPr="00EA7665">
        <w:rPr>
          <w:rFonts w:ascii="Arial" w:eastAsia="Calibri" w:hAnsi="Arial" w:cs="Arial"/>
        </w:rPr>
        <w:t xml:space="preserve">requested by financiers for real estate project finance on an aggregate level is the </w:t>
      </w:r>
      <w:r w:rsidR="00E268B2">
        <w:rPr>
          <w:rFonts w:ascii="Arial" w:eastAsia="Calibri" w:hAnsi="Arial" w:cs="Arial"/>
        </w:rPr>
        <w:t>hedging instrument's usage</w:t>
      </w:r>
      <w:r w:rsidRPr="00EA7665">
        <w:rPr>
          <w:rFonts w:ascii="Arial" w:eastAsia="Calibri" w:hAnsi="Arial" w:cs="Arial"/>
        </w:rPr>
        <w:t>. Track record is a criterion required by financiers in both the developed and emerging economies, and it is the most cited criteria by the managers who were interviewed. It is followed closely by cash flow, business plan and then collateral. However, the ranking of the most mentioned criteria for both developed and emerging economies, respectively are as follows:</w:t>
      </w:r>
    </w:p>
    <w:p w14:paraId="0147FC6A" w14:textId="77777777" w:rsidR="00CD6352" w:rsidRPr="00EA7665" w:rsidRDefault="00CD6352" w:rsidP="00CD6352">
      <w:pPr>
        <w:spacing w:before="240" w:line="360" w:lineRule="auto"/>
        <w:jc w:val="both"/>
        <w:rPr>
          <w:rFonts w:ascii="Arial" w:eastAsia="Calibri" w:hAnsi="Arial" w:cs="Arial"/>
        </w:rPr>
      </w:pPr>
      <w:r w:rsidRPr="00EA7665">
        <w:rPr>
          <w:rFonts w:ascii="Arial" w:eastAsia="Calibri" w:hAnsi="Arial" w:cs="Arial"/>
        </w:rPr>
        <w:t>The ranking of the most cited criteria requested by financiers in developed economies interviewed are:</w:t>
      </w:r>
    </w:p>
    <w:p w14:paraId="41AB104D" w14:textId="77777777" w:rsidR="00CD6352" w:rsidRPr="00EA7665" w:rsidRDefault="00CD6352" w:rsidP="008D4A4F">
      <w:pPr>
        <w:pStyle w:val="ListParagraph"/>
        <w:numPr>
          <w:ilvl w:val="0"/>
          <w:numId w:val="240"/>
        </w:numPr>
        <w:spacing w:before="240" w:after="0" w:line="360" w:lineRule="auto"/>
        <w:jc w:val="both"/>
        <w:rPr>
          <w:rFonts w:ascii="Arial" w:eastAsia="Calibri" w:hAnsi="Arial" w:cs="Arial"/>
        </w:rPr>
      </w:pPr>
      <w:r w:rsidRPr="00EA7665">
        <w:rPr>
          <w:rFonts w:ascii="Arial" w:eastAsia="Calibri" w:hAnsi="Arial" w:cs="Arial"/>
        </w:rPr>
        <w:t>Track record</w:t>
      </w:r>
    </w:p>
    <w:p w14:paraId="5A9D30BD" w14:textId="77777777" w:rsidR="00CD6352" w:rsidRPr="00EA7665" w:rsidRDefault="00CD6352" w:rsidP="008D4A4F">
      <w:pPr>
        <w:pStyle w:val="ListParagraph"/>
        <w:numPr>
          <w:ilvl w:val="0"/>
          <w:numId w:val="240"/>
        </w:numPr>
        <w:spacing w:before="240" w:after="0" w:line="360" w:lineRule="auto"/>
        <w:jc w:val="both"/>
        <w:rPr>
          <w:rFonts w:ascii="Arial" w:eastAsia="Calibri" w:hAnsi="Arial" w:cs="Arial"/>
        </w:rPr>
      </w:pPr>
      <w:r w:rsidRPr="00EA7665">
        <w:rPr>
          <w:rFonts w:ascii="Arial" w:eastAsia="Calibri" w:hAnsi="Arial" w:cs="Arial"/>
        </w:rPr>
        <w:t>Due diligence</w:t>
      </w:r>
    </w:p>
    <w:p w14:paraId="5B63B500" w14:textId="77777777" w:rsidR="00CD6352" w:rsidRPr="00EA7665" w:rsidRDefault="00CD6352" w:rsidP="008D4A4F">
      <w:pPr>
        <w:pStyle w:val="ListParagraph"/>
        <w:numPr>
          <w:ilvl w:val="0"/>
          <w:numId w:val="240"/>
        </w:numPr>
        <w:spacing w:before="240" w:after="0" w:line="360" w:lineRule="auto"/>
        <w:jc w:val="both"/>
        <w:rPr>
          <w:rFonts w:ascii="Arial" w:eastAsia="Calibri" w:hAnsi="Arial" w:cs="Arial"/>
        </w:rPr>
      </w:pPr>
      <w:r w:rsidRPr="00EA7665">
        <w:rPr>
          <w:rFonts w:ascii="Arial" w:eastAsia="Calibri" w:hAnsi="Arial" w:cs="Arial"/>
        </w:rPr>
        <w:t>Details of projected rent</w:t>
      </w:r>
    </w:p>
    <w:p w14:paraId="1B23A1E3" w14:textId="77777777" w:rsidR="00CD6352" w:rsidRPr="00EA7665" w:rsidRDefault="00CD6352" w:rsidP="008D4A4F">
      <w:pPr>
        <w:pStyle w:val="ListParagraph"/>
        <w:numPr>
          <w:ilvl w:val="0"/>
          <w:numId w:val="240"/>
        </w:numPr>
        <w:spacing w:before="240" w:after="0" w:line="360" w:lineRule="auto"/>
        <w:jc w:val="both"/>
        <w:rPr>
          <w:rFonts w:ascii="Arial" w:eastAsia="Calibri" w:hAnsi="Arial" w:cs="Arial"/>
        </w:rPr>
      </w:pPr>
      <w:r w:rsidRPr="00EA7665">
        <w:rPr>
          <w:rFonts w:ascii="Arial" w:eastAsia="Calibri" w:hAnsi="Arial" w:cs="Arial"/>
        </w:rPr>
        <w:t>Business plan</w:t>
      </w:r>
    </w:p>
    <w:p w14:paraId="41062F9F" w14:textId="77777777" w:rsidR="00CD6352" w:rsidRPr="00EA7665" w:rsidRDefault="00CD6352" w:rsidP="008D4A4F">
      <w:pPr>
        <w:pStyle w:val="ListParagraph"/>
        <w:numPr>
          <w:ilvl w:val="0"/>
          <w:numId w:val="240"/>
        </w:numPr>
        <w:spacing w:before="240" w:after="0" w:line="360" w:lineRule="auto"/>
        <w:jc w:val="both"/>
        <w:rPr>
          <w:rFonts w:ascii="Arial" w:eastAsia="Calibri" w:hAnsi="Arial" w:cs="Arial"/>
        </w:rPr>
      </w:pPr>
      <w:r w:rsidRPr="00EA7665">
        <w:rPr>
          <w:rFonts w:ascii="Arial" w:eastAsia="Calibri" w:hAnsi="Arial" w:cs="Arial"/>
        </w:rPr>
        <w:t>Cash flow</w:t>
      </w:r>
    </w:p>
    <w:p w14:paraId="255DBC68" w14:textId="77777777" w:rsidR="00CD6352" w:rsidRPr="00EA7665" w:rsidRDefault="00CD6352" w:rsidP="008D4A4F">
      <w:pPr>
        <w:pStyle w:val="ListParagraph"/>
        <w:numPr>
          <w:ilvl w:val="0"/>
          <w:numId w:val="240"/>
        </w:numPr>
        <w:spacing w:before="240" w:after="0" w:line="360" w:lineRule="auto"/>
        <w:jc w:val="both"/>
        <w:rPr>
          <w:rFonts w:ascii="Arial" w:eastAsia="Calibri" w:hAnsi="Arial" w:cs="Arial"/>
        </w:rPr>
      </w:pPr>
      <w:r w:rsidRPr="00EA7665">
        <w:rPr>
          <w:rFonts w:ascii="Arial" w:eastAsia="Calibri" w:hAnsi="Arial" w:cs="Arial"/>
        </w:rPr>
        <w:t xml:space="preserve">Collateral </w:t>
      </w:r>
    </w:p>
    <w:p w14:paraId="1811ACDD" w14:textId="77777777" w:rsidR="00CD6352" w:rsidRPr="00EA7665" w:rsidRDefault="00CD6352" w:rsidP="00CD6352">
      <w:pPr>
        <w:spacing w:before="240" w:line="360" w:lineRule="auto"/>
        <w:jc w:val="both"/>
        <w:rPr>
          <w:rFonts w:ascii="Arial" w:eastAsia="Calibri" w:hAnsi="Arial" w:cs="Arial"/>
        </w:rPr>
      </w:pPr>
      <w:r w:rsidRPr="00EA7665">
        <w:rPr>
          <w:rFonts w:ascii="Arial" w:eastAsia="Calibri" w:hAnsi="Arial" w:cs="Arial"/>
        </w:rPr>
        <w:t>While the ranking of the most mentioned criteria requested by financiers in the emerging economies based on the interview are:</w:t>
      </w:r>
    </w:p>
    <w:p w14:paraId="79214DE8"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t>Track record</w:t>
      </w:r>
    </w:p>
    <w:p w14:paraId="0DB6C342"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lastRenderedPageBreak/>
        <w:t>Projected returns</w:t>
      </w:r>
    </w:p>
    <w:p w14:paraId="376D65C3"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t>Cash flow</w:t>
      </w:r>
    </w:p>
    <w:p w14:paraId="7AE5B8D0"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t>Existing relationships with financiers</w:t>
      </w:r>
    </w:p>
    <w:p w14:paraId="59EFEEA2"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t>Adherence to government policies</w:t>
      </w:r>
    </w:p>
    <w:p w14:paraId="64A2AC6B"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t>Business plan</w:t>
      </w:r>
    </w:p>
    <w:p w14:paraId="4FBD7078" w14:textId="77777777" w:rsidR="00CD6352" w:rsidRPr="00EA7665" w:rsidRDefault="00CD6352" w:rsidP="008D4A4F">
      <w:pPr>
        <w:pStyle w:val="ListParagraph"/>
        <w:numPr>
          <w:ilvl w:val="0"/>
          <w:numId w:val="241"/>
        </w:numPr>
        <w:spacing w:before="240" w:after="0" w:line="360" w:lineRule="auto"/>
        <w:jc w:val="both"/>
        <w:rPr>
          <w:rFonts w:ascii="Arial" w:eastAsia="Calibri" w:hAnsi="Arial" w:cs="Arial"/>
        </w:rPr>
      </w:pPr>
      <w:r w:rsidRPr="00EA7665">
        <w:rPr>
          <w:rFonts w:ascii="Arial" w:eastAsia="Calibri" w:hAnsi="Arial" w:cs="Arial"/>
        </w:rPr>
        <w:t>Collateral</w:t>
      </w:r>
    </w:p>
    <w:p w14:paraId="31907F24" w14:textId="25CC5DC3" w:rsidR="00CD6352" w:rsidRDefault="00CD6352" w:rsidP="00CD6352">
      <w:pPr>
        <w:spacing w:before="240" w:after="0" w:line="360" w:lineRule="auto"/>
        <w:jc w:val="both"/>
        <w:rPr>
          <w:rFonts w:ascii="Arial" w:hAnsi="Arial" w:cs="Arial"/>
        </w:rPr>
      </w:pPr>
      <w:r w:rsidRPr="00EA7665">
        <w:rPr>
          <w:rFonts w:ascii="Arial" w:eastAsia="Calibri" w:hAnsi="Arial" w:cs="Arial"/>
        </w:rPr>
        <w:t>The findings also sho</w:t>
      </w:r>
      <w:r>
        <w:rPr>
          <w:rFonts w:ascii="Arial" w:eastAsia="Calibri" w:hAnsi="Arial" w:cs="Arial"/>
        </w:rPr>
        <w:t>w</w:t>
      </w:r>
      <w:r w:rsidRPr="00EA7665">
        <w:rPr>
          <w:rFonts w:ascii="Arial" w:eastAsia="Calibri" w:hAnsi="Arial" w:cs="Arial"/>
        </w:rPr>
        <w:t xml:space="preserve"> a significant positive correlation between the level of the managers and </w:t>
      </w:r>
      <w:r>
        <w:rPr>
          <w:rFonts w:ascii="Arial" w:eastAsia="Calibri" w:hAnsi="Arial" w:cs="Arial"/>
        </w:rPr>
        <w:t xml:space="preserve">some of </w:t>
      </w:r>
      <w:r w:rsidRPr="007A2E13">
        <w:rPr>
          <w:rFonts w:ascii="Arial" w:eastAsia="Calibri" w:hAnsi="Arial" w:cs="Arial"/>
        </w:rPr>
        <w:t>the criteria for securing finance for real estate project development.</w:t>
      </w:r>
      <w:r>
        <w:rPr>
          <w:rFonts w:ascii="Arial" w:eastAsia="Calibri" w:hAnsi="Arial" w:cs="Arial"/>
        </w:rPr>
        <w:t xml:space="preserve"> </w:t>
      </w:r>
      <w:r w:rsidRPr="00EA7665">
        <w:rPr>
          <w:rFonts w:ascii="Arial" w:hAnsi="Arial" w:cs="Arial"/>
        </w:rPr>
        <w:t>The criteri</w:t>
      </w:r>
      <w:r>
        <w:rPr>
          <w:rFonts w:ascii="Arial" w:hAnsi="Arial" w:cs="Arial"/>
        </w:rPr>
        <w:t>a</w:t>
      </w:r>
      <w:r w:rsidRPr="00EA7665">
        <w:rPr>
          <w:rFonts w:ascii="Arial" w:hAnsi="Arial" w:cs="Arial"/>
        </w:rPr>
        <w:t xml:space="preserve"> with a positive relationship include </w:t>
      </w:r>
      <w:r w:rsidR="00FB2859">
        <w:rPr>
          <w:rFonts w:ascii="Arial" w:hAnsi="Arial" w:cs="Arial"/>
        </w:rPr>
        <w:t xml:space="preserve">the </w:t>
      </w:r>
      <w:r>
        <w:rPr>
          <w:rFonts w:ascii="Arial" w:hAnsi="Arial" w:cs="Arial"/>
        </w:rPr>
        <w:t xml:space="preserve">collateral request to mitigate default, indemnification, performance support guarantee, risk and returns, track records and usage of hedging instruments.  Audited financial reports, capital base, feasibility report, loan agreements, management’s profile and necessary permits all have weak relationships with the levels of management while land title, details of </w:t>
      </w:r>
      <w:r w:rsidR="00FB2859">
        <w:rPr>
          <w:rFonts w:ascii="Arial" w:hAnsi="Arial" w:cs="Arial"/>
        </w:rPr>
        <w:t xml:space="preserve">the </w:t>
      </w:r>
      <w:r>
        <w:rPr>
          <w:rFonts w:ascii="Arial" w:hAnsi="Arial" w:cs="Arial"/>
        </w:rPr>
        <w:t xml:space="preserve">proposed project and due diligence have no correlation with the levels of </w:t>
      </w:r>
      <w:r w:rsidR="00EE7E20">
        <w:rPr>
          <w:rFonts w:ascii="Arial" w:hAnsi="Arial" w:cs="Arial"/>
        </w:rPr>
        <w:t>management.</w:t>
      </w:r>
    </w:p>
    <w:p w14:paraId="0F6A4FDD" w14:textId="2C35CBA5" w:rsidR="00CD6352" w:rsidRPr="00EA7665" w:rsidRDefault="00CD6352" w:rsidP="00CD6352">
      <w:pPr>
        <w:spacing w:before="240" w:after="0" w:line="360" w:lineRule="auto"/>
        <w:jc w:val="both"/>
        <w:rPr>
          <w:rFonts w:ascii="Arial" w:eastAsia="Calibri" w:hAnsi="Arial" w:cs="Arial"/>
        </w:rPr>
      </w:pPr>
      <w:r w:rsidRPr="007A2E13">
        <w:rPr>
          <w:rFonts w:ascii="Arial" w:eastAsia="Calibri" w:hAnsi="Arial" w:cs="Arial"/>
        </w:rPr>
        <w:t>This study developed an</w:t>
      </w:r>
      <w:r>
        <w:rPr>
          <w:rFonts w:ascii="Arial" w:eastAsia="Calibri" w:hAnsi="Arial" w:cs="Arial"/>
        </w:rPr>
        <w:t xml:space="preserve"> inventory </w:t>
      </w:r>
      <w:r w:rsidR="00DA6382">
        <w:rPr>
          <w:rFonts w:ascii="Arial" w:eastAsia="Calibri" w:hAnsi="Arial" w:cs="Arial"/>
        </w:rPr>
        <w:t>of finance</w:t>
      </w:r>
      <w:r>
        <w:rPr>
          <w:rFonts w:ascii="Arial" w:eastAsia="Calibri" w:hAnsi="Arial" w:cs="Arial"/>
        </w:rPr>
        <w:t xml:space="preserve"> options and </w:t>
      </w:r>
      <w:r w:rsidR="00DA6382">
        <w:rPr>
          <w:rFonts w:ascii="Arial" w:eastAsia="Calibri" w:hAnsi="Arial" w:cs="Arial"/>
        </w:rPr>
        <w:t>criteria for</w:t>
      </w:r>
      <w:r>
        <w:rPr>
          <w:rFonts w:ascii="Arial" w:eastAsia="Calibri" w:hAnsi="Arial" w:cs="Arial"/>
        </w:rPr>
        <w:t xml:space="preserve"> securing finance for real estate project development. This is to act as a guide for managers</w:t>
      </w:r>
      <w:r w:rsidR="00CE2863">
        <w:rPr>
          <w:rFonts w:ascii="Arial" w:eastAsia="Calibri" w:hAnsi="Arial" w:cs="Arial"/>
        </w:rPr>
        <w:t>,</w:t>
      </w:r>
      <w:r>
        <w:rPr>
          <w:rFonts w:ascii="Arial" w:eastAsia="Calibri" w:hAnsi="Arial" w:cs="Arial"/>
        </w:rPr>
        <w:t xml:space="preserve"> and it also </w:t>
      </w:r>
      <w:r w:rsidR="00DA6382">
        <w:rPr>
          <w:rFonts w:ascii="Arial" w:eastAsia="Calibri" w:hAnsi="Arial" w:cs="Arial"/>
        </w:rPr>
        <w:t>forms part</w:t>
      </w:r>
      <w:r>
        <w:rPr>
          <w:rFonts w:ascii="Arial" w:eastAsia="Calibri" w:hAnsi="Arial" w:cs="Arial"/>
        </w:rPr>
        <w:t xml:space="preserve"> of the toolkit for securing finance for real estate project development.</w:t>
      </w:r>
      <w:r w:rsidR="00433F50">
        <w:rPr>
          <w:rFonts w:ascii="Arial" w:eastAsia="Calibri" w:hAnsi="Arial" w:cs="Arial"/>
        </w:rPr>
        <w:t xml:space="preserve"> It is also important for the managers responsible for securing finance for real estate project development in both the developed and emerging economies to have a good understanding of the critical success factors, the opportunities and challenges </w:t>
      </w:r>
      <w:r w:rsidR="00341936">
        <w:rPr>
          <w:rFonts w:ascii="Arial" w:eastAsia="Calibri" w:hAnsi="Arial" w:cs="Arial"/>
        </w:rPr>
        <w:t>associated with</w:t>
      </w:r>
      <w:r w:rsidR="00433F50">
        <w:rPr>
          <w:rFonts w:ascii="Arial" w:eastAsia="Calibri" w:hAnsi="Arial" w:cs="Arial"/>
        </w:rPr>
        <w:t xml:space="preserve"> securing finance for real estate project development as this would enhance their chances of securing finance for their project development. This is discussed in detail in the next chapter.</w:t>
      </w:r>
    </w:p>
    <w:p w14:paraId="7C868535" w14:textId="77777777" w:rsidR="00CD6352" w:rsidRPr="00EA7665" w:rsidRDefault="00CD6352" w:rsidP="00CD6352">
      <w:pPr>
        <w:spacing w:before="240" w:after="0" w:line="360" w:lineRule="auto"/>
        <w:jc w:val="both"/>
        <w:rPr>
          <w:rFonts w:ascii="Arial" w:eastAsia="Calibri" w:hAnsi="Arial" w:cs="Arial"/>
        </w:rPr>
      </w:pPr>
    </w:p>
    <w:p w14:paraId="4FB13DBC" w14:textId="3BFE091A" w:rsidR="00CD6352" w:rsidRDefault="00CD6352" w:rsidP="00CD6352">
      <w:pPr>
        <w:spacing w:before="240" w:after="0" w:line="360" w:lineRule="auto"/>
        <w:jc w:val="both"/>
        <w:rPr>
          <w:rFonts w:ascii="Arial" w:eastAsia="Calibri" w:hAnsi="Arial" w:cs="Arial"/>
        </w:rPr>
      </w:pPr>
    </w:p>
    <w:p w14:paraId="1BAFFAFF" w14:textId="493CC63A" w:rsidR="0012700C" w:rsidRDefault="0012700C" w:rsidP="00CD6352">
      <w:pPr>
        <w:spacing w:before="240" w:after="0" w:line="360" w:lineRule="auto"/>
        <w:jc w:val="both"/>
        <w:rPr>
          <w:rFonts w:ascii="Arial" w:eastAsia="Calibri" w:hAnsi="Arial" w:cs="Arial"/>
        </w:rPr>
      </w:pPr>
    </w:p>
    <w:p w14:paraId="3B8D84C0" w14:textId="3F2A7FE2" w:rsidR="0012700C" w:rsidRDefault="0012700C" w:rsidP="00CD6352">
      <w:pPr>
        <w:spacing w:before="240" w:after="0" w:line="360" w:lineRule="auto"/>
        <w:jc w:val="both"/>
        <w:rPr>
          <w:rFonts w:ascii="Arial" w:eastAsia="Calibri" w:hAnsi="Arial" w:cs="Arial"/>
        </w:rPr>
      </w:pPr>
    </w:p>
    <w:p w14:paraId="5C78DB8A" w14:textId="238B2031" w:rsidR="0012700C" w:rsidRDefault="0012700C" w:rsidP="00CD6352">
      <w:pPr>
        <w:spacing w:before="240" w:after="0" w:line="360" w:lineRule="auto"/>
        <w:jc w:val="both"/>
        <w:rPr>
          <w:rFonts w:ascii="Arial" w:eastAsia="Calibri" w:hAnsi="Arial" w:cs="Arial"/>
        </w:rPr>
      </w:pPr>
    </w:p>
    <w:p w14:paraId="2B5EB039" w14:textId="5C55EBBB" w:rsidR="0012700C" w:rsidRDefault="0012700C" w:rsidP="00CD6352">
      <w:pPr>
        <w:spacing w:before="240" w:after="0" w:line="360" w:lineRule="auto"/>
        <w:jc w:val="both"/>
        <w:rPr>
          <w:rFonts w:ascii="Arial" w:eastAsia="Calibri" w:hAnsi="Arial" w:cs="Arial"/>
        </w:rPr>
      </w:pPr>
    </w:p>
    <w:p w14:paraId="67414AAF" w14:textId="77777777" w:rsidR="00F004AC" w:rsidRDefault="00F004AC" w:rsidP="00CD6352">
      <w:pPr>
        <w:spacing w:before="240" w:after="0" w:line="360" w:lineRule="auto"/>
        <w:jc w:val="both"/>
        <w:rPr>
          <w:rFonts w:ascii="Arial" w:eastAsia="Calibri" w:hAnsi="Arial" w:cs="Arial"/>
        </w:rPr>
      </w:pPr>
    </w:p>
    <w:p w14:paraId="62BCBF67" w14:textId="7E07B95E" w:rsidR="0012700C" w:rsidRDefault="0012700C" w:rsidP="00CD6352">
      <w:pPr>
        <w:spacing w:before="240" w:after="0" w:line="360" w:lineRule="auto"/>
        <w:jc w:val="both"/>
        <w:rPr>
          <w:rFonts w:ascii="Arial" w:eastAsia="Calibri" w:hAnsi="Arial" w:cs="Arial"/>
        </w:rPr>
      </w:pPr>
    </w:p>
    <w:p w14:paraId="01090CA1" w14:textId="77777777" w:rsidR="00CD6352" w:rsidRPr="009A5D4C" w:rsidRDefault="00CD6352" w:rsidP="00CD6352">
      <w:pPr>
        <w:pStyle w:val="Heading1"/>
        <w:rPr>
          <w:sz w:val="22"/>
          <w:szCs w:val="22"/>
        </w:rPr>
      </w:pPr>
      <w:bookmarkStart w:id="1150" w:name="_Toc33468131"/>
      <w:bookmarkStart w:id="1151" w:name="_Toc78983856"/>
      <w:r w:rsidRPr="009A5D4C">
        <w:rPr>
          <w:sz w:val="22"/>
          <w:szCs w:val="22"/>
        </w:rPr>
        <w:lastRenderedPageBreak/>
        <w:t>Critical Success factors, challenges &amp; opportunities for securing finance for real estate project development in the developed and emerging economies</w:t>
      </w:r>
      <w:bookmarkEnd w:id="1150"/>
      <w:bookmarkEnd w:id="1151"/>
      <w:r w:rsidRPr="009A5D4C">
        <w:rPr>
          <w:sz w:val="22"/>
          <w:szCs w:val="22"/>
        </w:rPr>
        <w:t xml:space="preserve"> </w:t>
      </w:r>
    </w:p>
    <w:p w14:paraId="5336331C" w14:textId="77777777" w:rsidR="00CD6352" w:rsidRPr="009A5D4C" w:rsidRDefault="00CD6352" w:rsidP="00CD6352">
      <w:pPr>
        <w:pStyle w:val="Heading2"/>
        <w:spacing w:after="240"/>
        <w:rPr>
          <w:sz w:val="22"/>
          <w:szCs w:val="22"/>
        </w:rPr>
      </w:pPr>
      <w:bookmarkStart w:id="1152" w:name="_Toc33468132"/>
      <w:bookmarkStart w:id="1153" w:name="_Toc78983857"/>
      <w:r w:rsidRPr="009A5D4C">
        <w:rPr>
          <w:sz w:val="22"/>
          <w:szCs w:val="22"/>
        </w:rPr>
        <w:t>Introduction</w:t>
      </w:r>
      <w:bookmarkEnd w:id="1152"/>
      <w:bookmarkEnd w:id="1153"/>
    </w:p>
    <w:p w14:paraId="6153A2F8" w14:textId="25D71B9C" w:rsidR="00CD6352" w:rsidRPr="00EA7665" w:rsidRDefault="00CD6352" w:rsidP="00CD6352">
      <w:pPr>
        <w:spacing w:line="360" w:lineRule="auto"/>
        <w:jc w:val="both"/>
        <w:rPr>
          <w:rFonts w:ascii="Arial" w:hAnsi="Arial" w:cs="Arial"/>
        </w:rPr>
      </w:pPr>
      <w:r w:rsidRPr="00622E9C">
        <w:rPr>
          <w:rFonts w:ascii="Arial" w:hAnsi="Arial" w:cs="Arial"/>
        </w:rPr>
        <w:t>This chapter presents findings on the critical success factors (CSF), challenges</w:t>
      </w:r>
      <w:r w:rsidR="00622E9C" w:rsidRPr="00622E9C">
        <w:rPr>
          <w:rFonts w:ascii="Arial" w:hAnsi="Arial" w:cs="Arial"/>
        </w:rPr>
        <w:t>, and opportunities associated with securing real estate project development finance</w:t>
      </w:r>
      <w:r w:rsidRPr="00622E9C">
        <w:rPr>
          <w:rFonts w:ascii="Arial" w:hAnsi="Arial" w:cs="Arial"/>
        </w:rPr>
        <w:t xml:space="preserve"> in developed and emerging economies. It aims at fulfilling the second objective for this research which is, “</w:t>
      </w:r>
      <w:r w:rsidRPr="00622E9C">
        <w:rPr>
          <w:rFonts w:ascii="Arial" w:eastAsia="Calibri" w:hAnsi="Arial" w:cs="Arial"/>
        </w:rPr>
        <w:t>to ascertain and document the critical success factors, explore</w:t>
      </w:r>
      <w:r w:rsidRPr="00622E9C">
        <w:rPr>
          <w:rFonts w:ascii="Arial" w:hAnsi="Arial" w:cs="Arial"/>
        </w:rPr>
        <w:t xml:space="preserve"> and document the challenges affecting and opportunities available to managers in securing finance for real estate</w:t>
      </w:r>
      <w:r w:rsidRPr="009A5D4C">
        <w:rPr>
          <w:rFonts w:ascii="Arial" w:hAnsi="Arial" w:cs="Arial"/>
        </w:rPr>
        <w:t xml:space="preserve"> proje</w:t>
      </w:r>
      <w:r w:rsidRPr="00EA7665">
        <w:rPr>
          <w:rFonts w:ascii="Arial" w:hAnsi="Arial" w:cs="Arial"/>
        </w:rPr>
        <w:t xml:space="preserve">ct development. </w:t>
      </w:r>
    </w:p>
    <w:p w14:paraId="7A941218" w14:textId="77777777" w:rsidR="00CD6352" w:rsidRPr="00EA7665" w:rsidRDefault="00CD6352" w:rsidP="00CD6352">
      <w:pPr>
        <w:spacing w:line="360" w:lineRule="auto"/>
        <w:jc w:val="both"/>
        <w:rPr>
          <w:rFonts w:ascii="Arial" w:hAnsi="Arial" w:cs="Arial"/>
        </w:rPr>
      </w:pPr>
    </w:p>
    <w:p w14:paraId="1D870986" w14:textId="77777777" w:rsidR="00CD6352" w:rsidRPr="00EA7665" w:rsidRDefault="00CD6352" w:rsidP="00CD6352">
      <w:pPr>
        <w:pStyle w:val="Heading2"/>
        <w:spacing w:after="240"/>
        <w:rPr>
          <w:rFonts w:eastAsia="Calibri"/>
          <w:sz w:val="22"/>
          <w:szCs w:val="22"/>
        </w:rPr>
      </w:pPr>
      <w:bookmarkStart w:id="1154" w:name="_Toc33468133"/>
      <w:bookmarkStart w:id="1155" w:name="_Toc78983858"/>
      <w:r w:rsidRPr="00EA7665">
        <w:rPr>
          <w:rFonts w:eastAsia="Calibri"/>
          <w:sz w:val="22"/>
          <w:szCs w:val="22"/>
        </w:rPr>
        <w:t>Critical success factors for securing finance for real estate project development</w:t>
      </w:r>
      <w:bookmarkEnd w:id="1154"/>
      <w:bookmarkEnd w:id="1155"/>
    </w:p>
    <w:p w14:paraId="6085153F" w14:textId="0BC3EAB9" w:rsidR="00CD6352" w:rsidRDefault="00CD6352" w:rsidP="00CD6352">
      <w:pPr>
        <w:spacing w:line="360" w:lineRule="auto"/>
        <w:jc w:val="both"/>
        <w:rPr>
          <w:rFonts w:ascii="Arial" w:hAnsi="Arial" w:cs="Arial"/>
        </w:rPr>
      </w:pPr>
      <w:r w:rsidRPr="00EA7665">
        <w:rPr>
          <w:rFonts w:ascii="Arial" w:hAnsi="Arial" w:cs="Arial"/>
        </w:rPr>
        <w:t xml:space="preserve">This study investigates and documents the critical success factors for obtaining finance for real estate project development to enable the real estate manager </w:t>
      </w:r>
      <w:r>
        <w:rPr>
          <w:rFonts w:ascii="Arial" w:hAnsi="Arial" w:cs="Arial"/>
        </w:rPr>
        <w:t>to</w:t>
      </w:r>
      <w:r w:rsidRPr="00EA7665">
        <w:rPr>
          <w:rFonts w:ascii="Arial" w:hAnsi="Arial" w:cs="Arial"/>
        </w:rPr>
        <w:t xml:space="preserve"> have an understanding of conditions associated with the likelihood of them securing funding for real estate project development (Ranong, 2009, Osaily et al</w:t>
      </w:r>
      <w:r w:rsidR="003F3157">
        <w:rPr>
          <w:rFonts w:ascii="Arial" w:hAnsi="Arial" w:cs="Arial"/>
        </w:rPr>
        <w:t>.</w:t>
      </w:r>
      <w:r w:rsidRPr="00EA7665">
        <w:rPr>
          <w:rFonts w:ascii="Arial" w:hAnsi="Arial" w:cs="Arial"/>
        </w:rPr>
        <w:t>, 2018).</w:t>
      </w:r>
      <w:r>
        <w:rPr>
          <w:rFonts w:ascii="Arial" w:hAnsi="Arial" w:cs="Arial"/>
        </w:rPr>
        <w:t xml:space="preserve"> </w:t>
      </w:r>
    </w:p>
    <w:p w14:paraId="6C8CFB3C" w14:textId="499BCAA2" w:rsidR="00CD6352" w:rsidRPr="00C31064" w:rsidRDefault="00CD6352" w:rsidP="00CD6352">
      <w:pPr>
        <w:spacing w:line="360" w:lineRule="auto"/>
        <w:jc w:val="both"/>
        <w:rPr>
          <w:rFonts w:ascii="Arial" w:hAnsi="Arial" w:cs="Arial"/>
        </w:rPr>
      </w:pPr>
      <w:r w:rsidRPr="00C31064">
        <w:rPr>
          <w:rFonts w:ascii="Arial" w:hAnsi="Arial" w:cs="Arial"/>
        </w:rPr>
        <w:t>A list of 20 critical success factors associated with securing finance</w:t>
      </w:r>
      <w:r>
        <w:rPr>
          <w:rFonts w:ascii="Arial" w:hAnsi="Arial" w:cs="Arial"/>
        </w:rPr>
        <w:t>,</w:t>
      </w:r>
      <w:r w:rsidRPr="00C31064">
        <w:rPr>
          <w:rFonts w:ascii="Arial" w:hAnsi="Arial" w:cs="Arial"/>
        </w:rPr>
        <w:t xml:space="preserve"> </w:t>
      </w:r>
      <w:r>
        <w:rPr>
          <w:rFonts w:ascii="Arial" w:hAnsi="Arial" w:cs="Arial"/>
        </w:rPr>
        <w:t>taken</w:t>
      </w:r>
      <w:r w:rsidRPr="00C31064">
        <w:rPr>
          <w:rFonts w:ascii="Arial" w:hAnsi="Arial" w:cs="Arial"/>
        </w:rPr>
        <w:t xml:space="preserve"> from existing literature</w:t>
      </w:r>
      <w:r>
        <w:rPr>
          <w:rFonts w:ascii="Arial" w:hAnsi="Arial" w:cs="Arial"/>
        </w:rPr>
        <w:t>,</w:t>
      </w:r>
      <w:r w:rsidRPr="00C31064">
        <w:rPr>
          <w:rFonts w:ascii="Arial" w:hAnsi="Arial" w:cs="Arial"/>
        </w:rPr>
        <w:t xml:space="preserve"> w</w:t>
      </w:r>
      <w:r w:rsidR="00CB75C0">
        <w:rPr>
          <w:rFonts w:ascii="Arial" w:hAnsi="Arial" w:cs="Arial"/>
        </w:rPr>
        <w:t>as</w:t>
      </w:r>
      <w:r w:rsidRPr="00C31064">
        <w:rPr>
          <w:rFonts w:ascii="Arial" w:hAnsi="Arial" w:cs="Arial"/>
        </w:rPr>
        <w:t xml:space="preserve"> presented for the managers to indicate the degree of their criticality </w:t>
      </w:r>
      <w:r>
        <w:rPr>
          <w:rFonts w:ascii="Arial" w:hAnsi="Arial" w:cs="Arial"/>
        </w:rPr>
        <w:t>in</w:t>
      </w:r>
      <w:r w:rsidRPr="00C31064">
        <w:rPr>
          <w:rFonts w:ascii="Arial" w:hAnsi="Arial" w:cs="Arial"/>
        </w:rPr>
        <w:t xml:space="preserve"> securing finance for real estate project development</w:t>
      </w:r>
      <w:r w:rsidR="001E7DC4">
        <w:rPr>
          <w:rFonts w:ascii="Arial" w:hAnsi="Arial" w:cs="Arial"/>
        </w:rPr>
        <w:t xml:space="preserve"> ( see chapter 3.5)</w:t>
      </w:r>
      <w:r>
        <w:rPr>
          <w:rFonts w:ascii="Arial" w:hAnsi="Arial" w:cs="Arial"/>
        </w:rPr>
        <w:t>. This</w:t>
      </w:r>
      <w:r w:rsidRPr="00C31064">
        <w:rPr>
          <w:rFonts w:ascii="Arial" w:hAnsi="Arial" w:cs="Arial"/>
        </w:rPr>
        <w:t xml:space="preserve"> was discussed in two major parts.</w:t>
      </w:r>
    </w:p>
    <w:p w14:paraId="778F1578" w14:textId="1E4E0F79" w:rsidR="00CD6352" w:rsidRPr="00CA1C92" w:rsidRDefault="00CD6352" w:rsidP="007625E7">
      <w:pPr>
        <w:numPr>
          <w:ilvl w:val="0"/>
          <w:numId w:val="379"/>
        </w:numPr>
        <w:spacing w:line="360" w:lineRule="auto"/>
        <w:contextualSpacing/>
        <w:jc w:val="both"/>
        <w:rPr>
          <w:rFonts w:ascii="Arial" w:hAnsi="Arial" w:cs="Arial"/>
        </w:rPr>
      </w:pPr>
      <w:r w:rsidRPr="00EA7665">
        <w:rPr>
          <w:rFonts w:ascii="Arial" w:hAnsi="Arial" w:cs="Arial"/>
        </w:rPr>
        <w:t>The aggregate level discusse</w:t>
      </w:r>
      <w:r>
        <w:rPr>
          <w:rFonts w:ascii="Arial" w:hAnsi="Arial" w:cs="Arial"/>
        </w:rPr>
        <w:t>d</w:t>
      </w:r>
      <w:r w:rsidRPr="00EA7665">
        <w:rPr>
          <w:rFonts w:ascii="Arial" w:hAnsi="Arial" w:cs="Arial"/>
        </w:rPr>
        <w:t xml:space="preserve"> the percentage criticality of the different factors</w:t>
      </w:r>
      <w:r w:rsidR="00B130A6">
        <w:rPr>
          <w:rFonts w:ascii="Arial" w:hAnsi="Arial" w:cs="Arial"/>
        </w:rPr>
        <w:t>, focusing</w:t>
      </w:r>
      <w:r w:rsidRPr="00EA7665">
        <w:rPr>
          <w:rFonts w:ascii="Arial" w:hAnsi="Arial" w:cs="Arial"/>
        </w:rPr>
        <w:t xml:space="preserve"> on the not critical to extremely critical</w:t>
      </w:r>
      <w:r w:rsidR="00065727">
        <w:rPr>
          <w:rFonts w:ascii="Arial" w:hAnsi="Arial" w:cs="Arial"/>
        </w:rPr>
        <w:t xml:space="preserve"> factor</w:t>
      </w:r>
      <w:r w:rsidRPr="00EA7665">
        <w:rPr>
          <w:rFonts w:ascii="Arial" w:hAnsi="Arial" w:cs="Arial"/>
        </w:rPr>
        <w:t xml:space="preserve"> for securing </w:t>
      </w:r>
      <w:r w:rsidR="00072F32">
        <w:rPr>
          <w:rFonts w:ascii="Arial" w:hAnsi="Arial" w:cs="Arial"/>
        </w:rPr>
        <w:t>real estate project development finance</w:t>
      </w:r>
      <w:r w:rsidRPr="00EA7665">
        <w:rPr>
          <w:rFonts w:ascii="Arial" w:hAnsi="Arial" w:cs="Arial"/>
        </w:rPr>
        <w:t xml:space="preserve">.  </w:t>
      </w:r>
      <w:r w:rsidRPr="00CA1C92">
        <w:rPr>
          <w:rFonts w:ascii="Arial" w:hAnsi="Arial" w:cs="Arial"/>
        </w:rPr>
        <w:t xml:space="preserve">The aggregate level </w:t>
      </w:r>
      <w:r>
        <w:rPr>
          <w:rFonts w:ascii="Arial" w:hAnsi="Arial" w:cs="Arial"/>
        </w:rPr>
        <w:t xml:space="preserve">also discussed </w:t>
      </w:r>
      <w:r w:rsidRPr="00CA1C92">
        <w:rPr>
          <w:rFonts w:ascii="Arial" w:hAnsi="Arial" w:cs="Arial"/>
        </w:rPr>
        <w:t>the ranking of the extremely critical facto</w:t>
      </w:r>
      <w:r>
        <w:rPr>
          <w:rFonts w:ascii="Arial" w:hAnsi="Arial" w:cs="Arial"/>
        </w:rPr>
        <w:t>rs</w:t>
      </w:r>
      <w:r w:rsidRPr="00CA1C92">
        <w:rPr>
          <w:rFonts w:ascii="Arial" w:hAnsi="Arial" w:cs="Arial"/>
        </w:rPr>
        <w:t xml:space="preserve"> using the mean values and ranking.</w:t>
      </w:r>
    </w:p>
    <w:p w14:paraId="4737935B" w14:textId="77777777" w:rsidR="00CD6352" w:rsidRDefault="00CD6352" w:rsidP="007625E7">
      <w:pPr>
        <w:numPr>
          <w:ilvl w:val="0"/>
          <w:numId w:val="379"/>
        </w:numPr>
        <w:spacing w:line="360" w:lineRule="auto"/>
        <w:contextualSpacing/>
        <w:jc w:val="both"/>
        <w:rPr>
          <w:rFonts w:ascii="Arial" w:hAnsi="Arial" w:cs="Arial"/>
        </w:rPr>
      </w:pPr>
      <w:r w:rsidRPr="00EA7665">
        <w:rPr>
          <w:rFonts w:ascii="Arial" w:hAnsi="Arial" w:cs="Arial"/>
        </w:rPr>
        <w:t xml:space="preserve">The </w:t>
      </w:r>
      <w:r>
        <w:rPr>
          <w:rFonts w:ascii="Arial" w:hAnsi="Arial" w:cs="Arial"/>
        </w:rPr>
        <w:t>dis</w:t>
      </w:r>
      <w:r w:rsidRPr="00EA7665">
        <w:rPr>
          <w:rFonts w:ascii="Arial" w:hAnsi="Arial" w:cs="Arial"/>
        </w:rPr>
        <w:t>aggregate level further discusses the ranking of the extremely critical factor using the mean values and ranking</w:t>
      </w:r>
      <w:r>
        <w:rPr>
          <w:rFonts w:ascii="Arial" w:hAnsi="Arial" w:cs="Arial"/>
        </w:rPr>
        <w:t xml:space="preserve"> for managers in the three developed and emerging economies respectively.</w:t>
      </w:r>
    </w:p>
    <w:p w14:paraId="3A1CE027" w14:textId="4D6E0361" w:rsidR="00CD6352" w:rsidRDefault="00CD6352" w:rsidP="007625E7">
      <w:pPr>
        <w:spacing w:line="360" w:lineRule="auto"/>
        <w:contextualSpacing/>
        <w:jc w:val="both"/>
        <w:rPr>
          <w:rFonts w:ascii="Arial" w:hAnsi="Arial" w:cs="Arial"/>
        </w:rPr>
      </w:pPr>
      <w:r>
        <w:rPr>
          <w:rFonts w:ascii="Arial" w:hAnsi="Arial" w:cs="Arial"/>
        </w:rPr>
        <w:t xml:space="preserve">The semi-structured interview was used to explore the factors the different managers </w:t>
      </w:r>
      <w:r w:rsidR="00652875">
        <w:rPr>
          <w:rFonts w:ascii="Arial" w:hAnsi="Arial" w:cs="Arial"/>
        </w:rPr>
        <w:t>considered critical</w:t>
      </w:r>
      <w:r>
        <w:rPr>
          <w:rFonts w:ascii="Arial" w:hAnsi="Arial" w:cs="Arial"/>
        </w:rPr>
        <w:t xml:space="preserve"> to securing </w:t>
      </w:r>
      <w:r w:rsidR="00072F32">
        <w:rPr>
          <w:rFonts w:ascii="Arial" w:hAnsi="Arial" w:cs="Arial"/>
        </w:rPr>
        <w:t>real estate project development finance</w:t>
      </w:r>
      <w:r>
        <w:rPr>
          <w:rFonts w:ascii="Arial" w:hAnsi="Arial" w:cs="Arial"/>
        </w:rPr>
        <w:t xml:space="preserve"> in </w:t>
      </w:r>
      <w:r w:rsidR="00072F32">
        <w:rPr>
          <w:rFonts w:ascii="Arial" w:hAnsi="Arial" w:cs="Arial"/>
        </w:rPr>
        <w:t>the selected developed and emerging economies.</w:t>
      </w:r>
    </w:p>
    <w:p w14:paraId="00D006B2" w14:textId="77777777" w:rsidR="00CD6352" w:rsidRPr="00EA7665" w:rsidRDefault="00CD6352" w:rsidP="002450EB">
      <w:pPr>
        <w:spacing w:line="360" w:lineRule="auto"/>
        <w:jc w:val="both"/>
        <w:rPr>
          <w:rFonts w:ascii="Arial" w:hAnsi="Arial" w:cs="Arial"/>
        </w:rPr>
      </w:pPr>
    </w:p>
    <w:p w14:paraId="479D9BED" w14:textId="77777777" w:rsidR="00CD6352" w:rsidRDefault="00CD6352" w:rsidP="00CD6352">
      <w:pPr>
        <w:pStyle w:val="Heading3"/>
        <w:spacing w:after="240"/>
        <w:rPr>
          <w:sz w:val="22"/>
          <w:szCs w:val="22"/>
        </w:rPr>
      </w:pPr>
      <w:bookmarkStart w:id="1156" w:name="_Toc33468134"/>
      <w:bookmarkStart w:id="1157" w:name="_Toc78983859"/>
      <w:r w:rsidRPr="00EA7665">
        <w:rPr>
          <w:sz w:val="22"/>
          <w:szCs w:val="22"/>
        </w:rPr>
        <w:t>Questionnaire survey analysis and discussion at the aggregate level.</w:t>
      </w:r>
      <w:bookmarkEnd w:id="1156"/>
      <w:bookmarkEnd w:id="1157"/>
      <w:r w:rsidRPr="00EA7665">
        <w:rPr>
          <w:sz w:val="22"/>
          <w:szCs w:val="22"/>
        </w:rPr>
        <w:t xml:space="preserve"> </w:t>
      </w:r>
    </w:p>
    <w:p w14:paraId="0473B4F6" w14:textId="2D5984AB" w:rsidR="00CD6352" w:rsidRDefault="00CD6352" w:rsidP="00CD6352">
      <w:pPr>
        <w:spacing w:before="240" w:line="360" w:lineRule="auto"/>
        <w:jc w:val="both"/>
        <w:rPr>
          <w:rFonts w:ascii="Arial" w:hAnsi="Arial" w:cs="Arial"/>
        </w:rPr>
      </w:pPr>
      <w:r w:rsidRPr="00EA7665">
        <w:rPr>
          <w:rFonts w:ascii="Arial" w:hAnsi="Arial" w:cs="Arial"/>
        </w:rPr>
        <w:t xml:space="preserve">The results relating to the critical success factors for securing finance for real estate project development at the aggregate level </w:t>
      </w:r>
      <w:r>
        <w:rPr>
          <w:rFonts w:ascii="Arial" w:hAnsi="Arial" w:cs="Arial"/>
        </w:rPr>
        <w:t xml:space="preserve">is contained in table </w:t>
      </w:r>
      <w:r w:rsidR="00652875">
        <w:rPr>
          <w:rFonts w:ascii="Arial" w:hAnsi="Arial" w:cs="Arial"/>
        </w:rPr>
        <w:t>6.</w:t>
      </w:r>
      <w:r w:rsidR="00CB75C0">
        <w:rPr>
          <w:rFonts w:ascii="Arial" w:hAnsi="Arial" w:cs="Arial"/>
        </w:rPr>
        <w:t>2.</w:t>
      </w:r>
      <w:r w:rsidR="00652875">
        <w:rPr>
          <w:rFonts w:ascii="Arial" w:hAnsi="Arial" w:cs="Arial"/>
        </w:rPr>
        <w:t>1.</w:t>
      </w:r>
      <w:r>
        <w:rPr>
          <w:rFonts w:ascii="Arial" w:hAnsi="Arial" w:cs="Arial"/>
        </w:rPr>
        <w:t xml:space="preserve"> The findings </w:t>
      </w:r>
      <w:r w:rsidRPr="00EA7665">
        <w:rPr>
          <w:rFonts w:ascii="Arial" w:hAnsi="Arial" w:cs="Arial"/>
        </w:rPr>
        <w:t>show that</w:t>
      </w:r>
      <w:r>
        <w:rPr>
          <w:rFonts w:ascii="Arial" w:hAnsi="Arial" w:cs="Arial"/>
        </w:rPr>
        <w:t xml:space="preserve"> 53% of the managers who responded to the questionnaire survey are of the view </w:t>
      </w:r>
      <w:r w:rsidR="00652875">
        <w:rPr>
          <w:rFonts w:ascii="Arial" w:hAnsi="Arial" w:cs="Arial"/>
        </w:rPr>
        <w:t xml:space="preserve">that </w:t>
      </w:r>
      <w:r w:rsidR="00652875" w:rsidRPr="00EA7665">
        <w:rPr>
          <w:rFonts w:ascii="Arial" w:hAnsi="Arial" w:cs="Arial"/>
        </w:rPr>
        <w:t>access</w:t>
      </w:r>
      <w:r w:rsidRPr="00EA7665">
        <w:rPr>
          <w:rFonts w:ascii="Arial" w:hAnsi="Arial" w:cs="Arial"/>
        </w:rPr>
        <w:t xml:space="preserve"> to land </w:t>
      </w:r>
      <w:r w:rsidRPr="00EA7665">
        <w:rPr>
          <w:rFonts w:ascii="Arial" w:hAnsi="Arial" w:cs="Arial"/>
        </w:rPr>
        <w:lastRenderedPageBreak/>
        <w:t>is the most extremely critical</w:t>
      </w:r>
      <w:r>
        <w:rPr>
          <w:rFonts w:ascii="Arial" w:hAnsi="Arial" w:cs="Arial"/>
        </w:rPr>
        <w:t xml:space="preserve"> factor for securing finance for real estate project development at the aggregate level. </w:t>
      </w:r>
      <w:r w:rsidRPr="00EA7665">
        <w:rPr>
          <w:rFonts w:ascii="Arial" w:hAnsi="Arial" w:cs="Arial"/>
        </w:rPr>
        <w:t xml:space="preserve"> </w:t>
      </w:r>
      <w:r>
        <w:rPr>
          <w:rFonts w:ascii="Arial" w:hAnsi="Arial" w:cs="Arial"/>
        </w:rPr>
        <w:t>This is followed by</w:t>
      </w:r>
      <w:r w:rsidRPr="00E0277A">
        <w:rPr>
          <w:rFonts w:ascii="Arial" w:hAnsi="Arial" w:cs="Arial"/>
        </w:rPr>
        <w:t xml:space="preserve"> the profitability of the project</w:t>
      </w:r>
      <w:r>
        <w:rPr>
          <w:rFonts w:ascii="Arial" w:hAnsi="Arial" w:cs="Arial"/>
        </w:rPr>
        <w:t xml:space="preserve"> (46.8%)</w:t>
      </w:r>
      <w:r w:rsidRPr="00E0277A">
        <w:rPr>
          <w:rFonts w:ascii="Arial" w:hAnsi="Arial" w:cs="Arial"/>
        </w:rPr>
        <w:t>; financial modelling with realistic assumpti</w:t>
      </w:r>
      <w:r w:rsidRPr="00EA7665">
        <w:rPr>
          <w:rFonts w:ascii="Arial" w:hAnsi="Arial" w:cs="Arial"/>
        </w:rPr>
        <w:t>ons</w:t>
      </w:r>
      <w:r>
        <w:rPr>
          <w:rFonts w:ascii="Arial" w:hAnsi="Arial" w:cs="Arial"/>
        </w:rPr>
        <w:t xml:space="preserve"> (38.3%); </w:t>
      </w:r>
      <w:r w:rsidRPr="00EA7665">
        <w:rPr>
          <w:rFonts w:ascii="Arial" w:hAnsi="Arial" w:cs="Arial"/>
        </w:rPr>
        <w:t>business plan</w:t>
      </w:r>
      <w:r>
        <w:rPr>
          <w:rFonts w:ascii="Arial" w:hAnsi="Arial" w:cs="Arial"/>
        </w:rPr>
        <w:t xml:space="preserve"> (37.5%), meeting project timeline and control of project performance, expected debt payment ability, and the financial capacity of the organisation all had responses from 37% of the managers who considered them as extremely critical for securing finance for real estate project development. </w:t>
      </w:r>
      <w:r w:rsidRPr="00EA7665">
        <w:rPr>
          <w:rFonts w:ascii="Arial" w:hAnsi="Arial" w:cs="Arial"/>
        </w:rPr>
        <w:t xml:space="preserve">The other </w:t>
      </w:r>
      <w:r>
        <w:rPr>
          <w:rFonts w:ascii="Arial" w:hAnsi="Arial" w:cs="Arial"/>
        </w:rPr>
        <w:t xml:space="preserve">factors considered as </w:t>
      </w:r>
      <w:r w:rsidRPr="00EA7665">
        <w:rPr>
          <w:rFonts w:ascii="Arial" w:hAnsi="Arial" w:cs="Arial"/>
        </w:rPr>
        <w:t xml:space="preserve">extremely critical </w:t>
      </w:r>
      <w:r>
        <w:rPr>
          <w:rFonts w:ascii="Arial" w:hAnsi="Arial" w:cs="Arial"/>
        </w:rPr>
        <w:t xml:space="preserve">for securing finance for real estate project development </w:t>
      </w:r>
      <w:r w:rsidRPr="00EA7665">
        <w:rPr>
          <w:rFonts w:ascii="Arial" w:hAnsi="Arial" w:cs="Arial"/>
        </w:rPr>
        <w:t xml:space="preserve">were ranked below 37%.  The least extremely critical factors are shared responsibility between the public and private </w:t>
      </w:r>
      <w:r w:rsidR="007D2AC6" w:rsidRPr="00EA7665">
        <w:rPr>
          <w:rFonts w:ascii="Arial" w:hAnsi="Arial" w:cs="Arial"/>
        </w:rPr>
        <w:t>sector</w:t>
      </w:r>
      <w:r w:rsidR="007D2AC6">
        <w:rPr>
          <w:rFonts w:ascii="Arial" w:hAnsi="Arial" w:cs="Arial"/>
        </w:rPr>
        <w:t xml:space="preserve"> (</w:t>
      </w:r>
      <w:r>
        <w:rPr>
          <w:rFonts w:ascii="Arial" w:hAnsi="Arial" w:cs="Arial"/>
        </w:rPr>
        <w:t>15.2%)</w:t>
      </w:r>
      <w:r w:rsidR="008B28A9">
        <w:rPr>
          <w:rFonts w:ascii="Arial" w:hAnsi="Arial" w:cs="Arial"/>
        </w:rPr>
        <w:t>,</w:t>
      </w:r>
      <w:r w:rsidRPr="00EA7665">
        <w:rPr>
          <w:rFonts w:ascii="Arial" w:hAnsi="Arial" w:cs="Arial"/>
        </w:rPr>
        <w:t xml:space="preserve"> stable political and social environment</w:t>
      </w:r>
      <w:r>
        <w:rPr>
          <w:rFonts w:ascii="Arial" w:hAnsi="Arial" w:cs="Arial"/>
        </w:rPr>
        <w:t xml:space="preserve"> (17.4%)</w:t>
      </w:r>
      <w:r w:rsidR="008B28A9">
        <w:rPr>
          <w:rFonts w:ascii="Arial" w:hAnsi="Arial" w:cs="Arial"/>
        </w:rPr>
        <w:t>,</w:t>
      </w:r>
      <w:r w:rsidRPr="00EA7665">
        <w:rPr>
          <w:rFonts w:ascii="Arial" w:hAnsi="Arial" w:cs="Arial"/>
        </w:rPr>
        <w:t xml:space="preserve"> establishing an appropriate length and form of </w:t>
      </w:r>
      <w:r w:rsidR="001E7DC4" w:rsidRPr="00EA7665">
        <w:rPr>
          <w:rFonts w:ascii="Arial" w:hAnsi="Arial" w:cs="Arial"/>
        </w:rPr>
        <w:t>contract</w:t>
      </w:r>
      <w:r w:rsidR="001E7DC4">
        <w:rPr>
          <w:rFonts w:ascii="Arial" w:hAnsi="Arial" w:cs="Arial"/>
        </w:rPr>
        <w:t xml:space="preserve"> (</w:t>
      </w:r>
      <w:r>
        <w:rPr>
          <w:rFonts w:ascii="Arial" w:hAnsi="Arial" w:cs="Arial"/>
        </w:rPr>
        <w:t>19.1%)</w:t>
      </w:r>
      <w:r w:rsidRPr="00EA7665">
        <w:rPr>
          <w:rFonts w:ascii="Arial" w:hAnsi="Arial" w:cs="Arial"/>
        </w:rPr>
        <w:t xml:space="preserve">. </w:t>
      </w:r>
    </w:p>
    <w:p w14:paraId="65F1E27C" w14:textId="089E4B54" w:rsidR="00CD6352" w:rsidRPr="00122AEE" w:rsidRDefault="00CD6352" w:rsidP="00CD6352">
      <w:pPr>
        <w:spacing w:after="200" w:line="240" w:lineRule="auto"/>
        <w:rPr>
          <w:rFonts w:ascii="Arial" w:hAnsi="Arial" w:cs="Arial"/>
          <w:color w:val="44546A" w:themeColor="text2"/>
          <w:sz w:val="16"/>
          <w:szCs w:val="16"/>
        </w:rPr>
      </w:pPr>
      <w:bookmarkStart w:id="1158" w:name="_Toc78983977"/>
      <w:r w:rsidRPr="00122AEE">
        <w:rPr>
          <w:rFonts w:ascii="Arial" w:hAnsi="Arial" w:cs="Arial"/>
          <w:color w:val="44546A" w:themeColor="text2"/>
          <w:sz w:val="16"/>
          <w:szCs w:val="16"/>
        </w:rPr>
        <w:t xml:space="preserve">Table </w:t>
      </w:r>
      <w:r w:rsidR="008F25B1">
        <w:rPr>
          <w:rFonts w:ascii="Arial" w:hAnsi="Arial" w:cs="Arial"/>
          <w:color w:val="44546A" w:themeColor="text2"/>
          <w:sz w:val="16"/>
          <w:szCs w:val="16"/>
        </w:rPr>
        <w:fldChar w:fldCharType="begin"/>
      </w:r>
      <w:r w:rsidR="008F25B1">
        <w:rPr>
          <w:rFonts w:ascii="Arial" w:hAnsi="Arial" w:cs="Arial"/>
          <w:color w:val="44546A" w:themeColor="text2"/>
          <w:sz w:val="16"/>
          <w:szCs w:val="16"/>
        </w:rPr>
        <w:instrText xml:space="preserve"> STYLEREF 2 \s </w:instrText>
      </w:r>
      <w:r w:rsidR="008F25B1">
        <w:rPr>
          <w:rFonts w:ascii="Arial" w:hAnsi="Arial" w:cs="Arial"/>
          <w:color w:val="44546A" w:themeColor="text2"/>
          <w:sz w:val="16"/>
          <w:szCs w:val="16"/>
        </w:rPr>
        <w:fldChar w:fldCharType="separate"/>
      </w:r>
      <w:r w:rsidR="008F25B1">
        <w:rPr>
          <w:rFonts w:ascii="Arial" w:hAnsi="Arial" w:cs="Arial"/>
          <w:noProof/>
          <w:color w:val="44546A" w:themeColor="text2"/>
          <w:sz w:val="16"/>
          <w:szCs w:val="16"/>
        </w:rPr>
        <w:t>6.2</w:t>
      </w:r>
      <w:r w:rsidR="008F25B1">
        <w:rPr>
          <w:rFonts w:ascii="Arial" w:hAnsi="Arial" w:cs="Arial"/>
          <w:color w:val="44546A" w:themeColor="text2"/>
          <w:sz w:val="16"/>
          <w:szCs w:val="16"/>
        </w:rPr>
        <w:fldChar w:fldCharType="end"/>
      </w:r>
      <w:r w:rsidR="008F25B1">
        <w:rPr>
          <w:rFonts w:ascii="Arial" w:hAnsi="Arial" w:cs="Arial"/>
          <w:color w:val="44546A" w:themeColor="text2"/>
          <w:sz w:val="16"/>
          <w:szCs w:val="16"/>
        </w:rPr>
        <w:noBreakHyphen/>
      </w:r>
      <w:r w:rsidR="008F25B1">
        <w:rPr>
          <w:rFonts w:ascii="Arial" w:hAnsi="Arial" w:cs="Arial"/>
          <w:color w:val="44546A" w:themeColor="text2"/>
          <w:sz w:val="16"/>
          <w:szCs w:val="16"/>
        </w:rPr>
        <w:fldChar w:fldCharType="begin"/>
      </w:r>
      <w:r w:rsidR="008F25B1">
        <w:rPr>
          <w:rFonts w:ascii="Arial" w:hAnsi="Arial" w:cs="Arial"/>
          <w:color w:val="44546A" w:themeColor="text2"/>
          <w:sz w:val="16"/>
          <w:szCs w:val="16"/>
        </w:rPr>
        <w:instrText xml:space="preserve"> SEQ Table \* ARABIC \s 2 </w:instrText>
      </w:r>
      <w:r w:rsidR="008F25B1">
        <w:rPr>
          <w:rFonts w:ascii="Arial" w:hAnsi="Arial" w:cs="Arial"/>
          <w:color w:val="44546A" w:themeColor="text2"/>
          <w:sz w:val="16"/>
          <w:szCs w:val="16"/>
        </w:rPr>
        <w:fldChar w:fldCharType="separate"/>
      </w:r>
      <w:r w:rsidR="008F25B1">
        <w:rPr>
          <w:rFonts w:ascii="Arial" w:hAnsi="Arial" w:cs="Arial"/>
          <w:noProof/>
          <w:color w:val="44546A" w:themeColor="text2"/>
          <w:sz w:val="16"/>
          <w:szCs w:val="16"/>
        </w:rPr>
        <w:t>1</w:t>
      </w:r>
      <w:r w:rsidR="008F25B1">
        <w:rPr>
          <w:rFonts w:ascii="Arial" w:hAnsi="Arial" w:cs="Arial"/>
          <w:color w:val="44546A" w:themeColor="text2"/>
          <w:sz w:val="16"/>
          <w:szCs w:val="16"/>
        </w:rPr>
        <w:fldChar w:fldCharType="end"/>
      </w:r>
      <w:r w:rsidRPr="00122AEE">
        <w:rPr>
          <w:rFonts w:ascii="Arial" w:hAnsi="Arial" w:cs="Arial"/>
          <w:color w:val="44546A" w:themeColor="text2"/>
          <w:sz w:val="16"/>
          <w:szCs w:val="16"/>
        </w:rPr>
        <w:t>: Critical success factors for securing finance for real estate project development at the aggregate level</w:t>
      </w:r>
      <w:bookmarkEnd w:id="1158"/>
    </w:p>
    <w:tbl>
      <w:tblPr>
        <w:tblW w:w="8720" w:type="dxa"/>
        <w:tblLook w:val="04A0" w:firstRow="1" w:lastRow="0" w:firstColumn="1" w:lastColumn="0" w:noHBand="0" w:noVBand="1"/>
      </w:tblPr>
      <w:tblGrid>
        <w:gridCol w:w="4480"/>
        <w:gridCol w:w="1142"/>
        <w:gridCol w:w="670"/>
        <w:gridCol w:w="705"/>
        <w:gridCol w:w="1000"/>
        <w:gridCol w:w="928"/>
      </w:tblGrid>
      <w:tr w:rsidR="00CD6352" w:rsidRPr="001E7DC4" w14:paraId="0F576CF8" w14:textId="77777777" w:rsidTr="00CD6352">
        <w:trPr>
          <w:trHeight w:val="465"/>
        </w:trPr>
        <w:tc>
          <w:tcPr>
            <w:tcW w:w="44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B8A93D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 xml:space="preserve">Critical success factors </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14:paraId="5E55EB41"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Not critical</w:t>
            </w:r>
          </w:p>
        </w:tc>
        <w:tc>
          <w:tcPr>
            <w:tcW w:w="631" w:type="dxa"/>
            <w:tcBorders>
              <w:top w:val="single" w:sz="4" w:space="0" w:color="auto"/>
              <w:left w:val="nil"/>
              <w:bottom w:val="single" w:sz="4" w:space="0" w:color="auto"/>
              <w:right w:val="single" w:sz="4" w:space="0" w:color="auto"/>
            </w:tcBorders>
            <w:shd w:val="clear" w:color="auto" w:fill="auto"/>
            <w:vAlign w:val="bottom"/>
            <w:hideMark/>
          </w:tcPr>
          <w:p w14:paraId="212F0225"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Fairly critical</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2371FDA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Critical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71C38E5"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Very critical</w:t>
            </w:r>
          </w:p>
        </w:tc>
        <w:tc>
          <w:tcPr>
            <w:tcW w:w="787" w:type="dxa"/>
            <w:tcBorders>
              <w:top w:val="single" w:sz="4" w:space="0" w:color="auto"/>
              <w:left w:val="nil"/>
              <w:bottom w:val="single" w:sz="4" w:space="0" w:color="auto"/>
              <w:right w:val="single" w:sz="4" w:space="0" w:color="auto"/>
            </w:tcBorders>
            <w:shd w:val="clear" w:color="auto" w:fill="auto"/>
            <w:vAlign w:val="bottom"/>
            <w:hideMark/>
          </w:tcPr>
          <w:p w14:paraId="40BF8B7F"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Extremely critical</w:t>
            </w:r>
          </w:p>
        </w:tc>
      </w:tr>
      <w:tr w:rsidR="00CD6352" w:rsidRPr="001E7DC4" w14:paraId="03DA1B5B" w14:textId="77777777" w:rsidTr="00CD6352">
        <w:trPr>
          <w:trHeight w:val="300"/>
        </w:trPr>
        <w:tc>
          <w:tcPr>
            <w:tcW w:w="4480" w:type="dxa"/>
            <w:vMerge/>
            <w:tcBorders>
              <w:top w:val="single" w:sz="4" w:space="0" w:color="auto"/>
              <w:left w:val="single" w:sz="4" w:space="0" w:color="auto"/>
              <w:bottom w:val="single" w:sz="4" w:space="0" w:color="000000"/>
              <w:right w:val="single" w:sz="4" w:space="0" w:color="auto"/>
            </w:tcBorders>
            <w:vAlign w:val="center"/>
            <w:hideMark/>
          </w:tcPr>
          <w:p w14:paraId="27FC13CD" w14:textId="77777777" w:rsidR="00CD6352" w:rsidRPr="001E7DC4" w:rsidRDefault="00CD6352" w:rsidP="00CD6352">
            <w:pPr>
              <w:spacing w:after="0" w:line="240" w:lineRule="auto"/>
              <w:rPr>
                <w:rFonts w:ascii="Arial" w:eastAsia="Times New Roman" w:hAnsi="Arial" w:cs="Arial"/>
                <w:color w:val="000000"/>
                <w:sz w:val="16"/>
                <w:szCs w:val="16"/>
                <w:lang w:eastAsia="en-GB"/>
              </w:rPr>
            </w:pPr>
          </w:p>
        </w:tc>
        <w:tc>
          <w:tcPr>
            <w:tcW w:w="1142" w:type="dxa"/>
            <w:tcBorders>
              <w:top w:val="nil"/>
              <w:left w:val="nil"/>
              <w:bottom w:val="single" w:sz="4" w:space="0" w:color="auto"/>
              <w:right w:val="single" w:sz="4" w:space="0" w:color="auto"/>
            </w:tcBorders>
            <w:shd w:val="clear" w:color="auto" w:fill="auto"/>
            <w:noWrap/>
            <w:vAlign w:val="bottom"/>
            <w:hideMark/>
          </w:tcPr>
          <w:p w14:paraId="0C9071AC"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Percentage (%)</w:t>
            </w:r>
          </w:p>
        </w:tc>
        <w:tc>
          <w:tcPr>
            <w:tcW w:w="631" w:type="dxa"/>
            <w:tcBorders>
              <w:top w:val="nil"/>
              <w:left w:val="nil"/>
              <w:bottom w:val="single" w:sz="4" w:space="0" w:color="auto"/>
              <w:right w:val="single" w:sz="4" w:space="0" w:color="auto"/>
            </w:tcBorders>
            <w:shd w:val="clear" w:color="auto" w:fill="auto"/>
            <w:noWrap/>
            <w:vAlign w:val="bottom"/>
            <w:hideMark/>
          </w:tcPr>
          <w:p w14:paraId="1C6590EE"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 </w:t>
            </w:r>
          </w:p>
        </w:tc>
        <w:tc>
          <w:tcPr>
            <w:tcW w:w="680" w:type="dxa"/>
            <w:tcBorders>
              <w:top w:val="nil"/>
              <w:left w:val="nil"/>
              <w:bottom w:val="single" w:sz="4" w:space="0" w:color="auto"/>
              <w:right w:val="single" w:sz="4" w:space="0" w:color="auto"/>
            </w:tcBorders>
            <w:shd w:val="clear" w:color="auto" w:fill="auto"/>
            <w:noWrap/>
            <w:vAlign w:val="bottom"/>
            <w:hideMark/>
          </w:tcPr>
          <w:p w14:paraId="7F75ABD6"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604E257B"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 </w:t>
            </w:r>
          </w:p>
        </w:tc>
        <w:tc>
          <w:tcPr>
            <w:tcW w:w="787" w:type="dxa"/>
            <w:tcBorders>
              <w:top w:val="nil"/>
              <w:left w:val="nil"/>
              <w:bottom w:val="single" w:sz="4" w:space="0" w:color="auto"/>
              <w:right w:val="single" w:sz="4" w:space="0" w:color="auto"/>
            </w:tcBorders>
            <w:shd w:val="clear" w:color="auto" w:fill="auto"/>
            <w:noWrap/>
            <w:vAlign w:val="bottom"/>
            <w:hideMark/>
          </w:tcPr>
          <w:p w14:paraId="3100B986"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 </w:t>
            </w:r>
          </w:p>
        </w:tc>
      </w:tr>
      <w:tr w:rsidR="00CD6352" w:rsidRPr="001E7DC4" w14:paraId="722B557A"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1582515"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Access to land</w:t>
            </w:r>
          </w:p>
        </w:tc>
        <w:tc>
          <w:tcPr>
            <w:tcW w:w="1142" w:type="dxa"/>
            <w:tcBorders>
              <w:top w:val="nil"/>
              <w:left w:val="nil"/>
              <w:bottom w:val="single" w:sz="4" w:space="0" w:color="auto"/>
              <w:right w:val="single" w:sz="4" w:space="0" w:color="auto"/>
            </w:tcBorders>
            <w:shd w:val="clear" w:color="auto" w:fill="auto"/>
            <w:noWrap/>
            <w:vAlign w:val="bottom"/>
            <w:hideMark/>
          </w:tcPr>
          <w:p w14:paraId="0D938B3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7050AF1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4.1</w:t>
            </w:r>
          </w:p>
        </w:tc>
        <w:tc>
          <w:tcPr>
            <w:tcW w:w="680" w:type="dxa"/>
            <w:tcBorders>
              <w:top w:val="nil"/>
              <w:left w:val="nil"/>
              <w:bottom w:val="single" w:sz="4" w:space="0" w:color="auto"/>
              <w:right w:val="single" w:sz="4" w:space="0" w:color="auto"/>
            </w:tcBorders>
            <w:shd w:val="clear" w:color="auto" w:fill="auto"/>
            <w:noWrap/>
            <w:vAlign w:val="bottom"/>
            <w:hideMark/>
          </w:tcPr>
          <w:p w14:paraId="625A1E0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22.4</w:t>
            </w:r>
          </w:p>
        </w:tc>
        <w:tc>
          <w:tcPr>
            <w:tcW w:w="1000" w:type="dxa"/>
            <w:tcBorders>
              <w:top w:val="nil"/>
              <w:left w:val="nil"/>
              <w:bottom w:val="single" w:sz="4" w:space="0" w:color="auto"/>
              <w:right w:val="single" w:sz="4" w:space="0" w:color="auto"/>
            </w:tcBorders>
            <w:shd w:val="clear" w:color="auto" w:fill="auto"/>
            <w:noWrap/>
            <w:vAlign w:val="bottom"/>
            <w:hideMark/>
          </w:tcPr>
          <w:p w14:paraId="3640067B"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20.4</w:t>
            </w:r>
          </w:p>
        </w:tc>
        <w:tc>
          <w:tcPr>
            <w:tcW w:w="787" w:type="dxa"/>
            <w:tcBorders>
              <w:top w:val="nil"/>
              <w:left w:val="nil"/>
              <w:bottom w:val="single" w:sz="4" w:space="0" w:color="auto"/>
              <w:right w:val="single" w:sz="4" w:space="0" w:color="auto"/>
            </w:tcBorders>
            <w:shd w:val="clear" w:color="auto" w:fill="auto"/>
            <w:noWrap/>
            <w:vAlign w:val="bottom"/>
            <w:hideMark/>
          </w:tcPr>
          <w:p w14:paraId="51457F2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53.1</w:t>
            </w:r>
          </w:p>
        </w:tc>
      </w:tr>
      <w:tr w:rsidR="00CD6352" w:rsidRPr="001E7DC4" w14:paraId="070C9974"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37B1B8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Profitability of the project</w:t>
            </w:r>
          </w:p>
        </w:tc>
        <w:tc>
          <w:tcPr>
            <w:tcW w:w="1142" w:type="dxa"/>
            <w:tcBorders>
              <w:top w:val="nil"/>
              <w:left w:val="nil"/>
              <w:bottom w:val="single" w:sz="4" w:space="0" w:color="auto"/>
              <w:right w:val="single" w:sz="4" w:space="0" w:color="auto"/>
            </w:tcBorders>
            <w:shd w:val="clear" w:color="auto" w:fill="auto"/>
            <w:noWrap/>
            <w:vAlign w:val="bottom"/>
            <w:hideMark/>
          </w:tcPr>
          <w:p w14:paraId="24DB438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2.1</w:t>
            </w:r>
          </w:p>
        </w:tc>
        <w:tc>
          <w:tcPr>
            <w:tcW w:w="631" w:type="dxa"/>
            <w:tcBorders>
              <w:top w:val="nil"/>
              <w:left w:val="nil"/>
              <w:bottom w:val="single" w:sz="4" w:space="0" w:color="auto"/>
              <w:right w:val="single" w:sz="4" w:space="0" w:color="auto"/>
            </w:tcBorders>
            <w:shd w:val="clear" w:color="auto" w:fill="auto"/>
            <w:noWrap/>
            <w:vAlign w:val="bottom"/>
            <w:hideMark/>
          </w:tcPr>
          <w:p w14:paraId="0ABABB8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2.1</w:t>
            </w:r>
          </w:p>
        </w:tc>
        <w:tc>
          <w:tcPr>
            <w:tcW w:w="680" w:type="dxa"/>
            <w:tcBorders>
              <w:top w:val="nil"/>
              <w:left w:val="nil"/>
              <w:bottom w:val="single" w:sz="4" w:space="0" w:color="auto"/>
              <w:right w:val="single" w:sz="4" w:space="0" w:color="auto"/>
            </w:tcBorders>
            <w:shd w:val="clear" w:color="auto" w:fill="auto"/>
            <w:noWrap/>
            <w:vAlign w:val="bottom"/>
            <w:hideMark/>
          </w:tcPr>
          <w:p w14:paraId="38B9254D"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25.5</w:t>
            </w:r>
          </w:p>
        </w:tc>
        <w:tc>
          <w:tcPr>
            <w:tcW w:w="1000" w:type="dxa"/>
            <w:tcBorders>
              <w:top w:val="nil"/>
              <w:left w:val="nil"/>
              <w:bottom w:val="single" w:sz="4" w:space="0" w:color="auto"/>
              <w:right w:val="single" w:sz="4" w:space="0" w:color="auto"/>
            </w:tcBorders>
            <w:shd w:val="clear" w:color="auto" w:fill="auto"/>
            <w:noWrap/>
            <w:vAlign w:val="bottom"/>
            <w:hideMark/>
          </w:tcPr>
          <w:p w14:paraId="31D8CD1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23.4</w:t>
            </w:r>
          </w:p>
        </w:tc>
        <w:tc>
          <w:tcPr>
            <w:tcW w:w="787" w:type="dxa"/>
            <w:tcBorders>
              <w:top w:val="nil"/>
              <w:left w:val="nil"/>
              <w:bottom w:val="single" w:sz="4" w:space="0" w:color="auto"/>
              <w:right w:val="single" w:sz="4" w:space="0" w:color="auto"/>
            </w:tcBorders>
            <w:shd w:val="clear" w:color="auto" w:fill="auto"/>
            <w:noWrap/>
            <w:vAlign w:val="bottom"/>
            <w:hideMark/>
          </w:tcPr>
          <w:p w14:paraId="6540EE8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46.8</w:t>
            </w:r>
          </w:p>
        </w:tc>
      </w:tr>
      <w:tr w:rsidR="00CD6352" w:rsidRPr="001E7DC4" w14:paraId="66DA84BC"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9679EC8"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Financial modelling with realistic assumptions</w:t>
            </w:r>
          </w:p>
        </w:tc>
        <w:tc>
          <w:tcPr>
            <w:tcW w:w="1142" w:type="dxa"/>
            <w:tcBorders>
              <w:top w:val="nil"/>
              <w:left w:val="nil"/>
              <w:bottom w:val="single" w:sz="4" w:space="0" w:color="auto"/>
              <w:right w:val="single" w:sz="4" w:space="0" w:color="auto"/>
            </w:tcBorders>
            <w:shd w:val="clear" w:color="auto" w:fill="auto"/>
            <w:noWrap/>
            <w:vAlign w:val="bottom"/>
            <w:hideMark/>
          </w:tcPr>
          <w:p w14:paraId="67431580"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139CCE3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4.3</w:t>
            </w:r>
          </w:p>
        </w:tc>
        <w:tc>
          <w:tcPr>
            <w:tcW w:w="680" w:type="dxa"/>
            <w:tcBorders>
              <w:top w:val="nil"/>
              <w:left w:val="nil"/>
              <w:bottom w:val="single" w:sz="4" w:space="0" w:color="auto"/>
              <w:right w:val="single" w:sz="4" w:space="0" w:color="auto"/>
            </w:tcBorders>
            <w:shd w:val="clear" w:color="auto" w:fill="auto"/>
            <w:noWrap/>
            <w:vAlign w:val="bottom"/>
            <w:hideMark/>
          </w:tcPr>
          <w:p w14:paraId="019F80A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31.9</w:t>
            </w:r>
          </w:p>
        </w:tc>
        <w:tc>
          <w:tcPr>
            <w:tcW w:w="1000" w:type="dxa"/>
            <w:tcBorders>
              <w:top w:val="nil"/>
              <w:left w:val="nil"/>
              <w:bottom w:val="single" w:sz="4" w:space="0" w:color="auto"/>
              <w:right w:val="single" w:sz="4" w:space="0" w:color="auto"/>
            </w:tcBorders>
            <w:shd w:val="clear" w:color="auto" w:fill="auto"/>
            <w:noWrap/>
            <w:vAlign w:val="bottom"/>
            <w:hideMark/>
          </w:tcPr>
          <w:p w14:paraId="5F173F6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25.5</w:t>
            </w:r>
          </w:p>
        </w:tc>
        <w:tc>
          <w:tcPr>
            <w:tcW w:w="787" w:type="dxa"/>
            <w:tcBorders>
              <w:top w:val="nil"/>
              <w:left w:val="nil"/>
              <w:bottom w:val="single" w:sz="4" w:space="0" w:color="auto"/>
              <w:right w:val="single" w:sz="4" w:space="0" w:color="auto"/>
            </w:tcBorders>
            <w:shd w:val="clear" w:color="auto" w:fill="auto"/>
            <w:noWrap/>
            <w:vAlign w:val="bottom"/>
            <w:hideMark/>
          </w:tcPr>
          <w:p w14:paraId="19E7A610"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38.3</w:t>
            </w:r>
          </w:p>
        </w:tc>
      </w:tr>
      <w:tr w:rsidR="00CD6352" w:rsidRPr="001E7DC4" w14:paraId="69CAF341"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82300BA"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Business plan</w:t>
            </w:r>
          </w:p>
        </w:tc>
        <w:tc>
          <w:tcPr>
            <w:tcW w:w="1142" w:type="dxa"/>
            <w:tcBorders>
              <w:top w:val="nil"/>
              <w:left w:val="nil"/>
              <w:bottom w:val="single" w:sz="4" w:space="0" w:color="auto"/>
              <w:right w:val="single" w:sz="4" w:space="0" w:color="auto"/>
            </w:tcBorders>
            <w:shd w:val="clear" w:color="auto" w:fill="auto"/>
            <w:noWrap/>
            <w:vAlign w:val="bottom"/>
            <w:hideMark/>
          </w:tcPr>
          <w:p w14:paraId="21DFD702"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23482FBC"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2.1</w:t>
            </w:r>
          </w:p>
        </w:tc>
        <w:tc>
          <w:tcPr>
            <w:tcW w:w="680" w:type="dxa"/>
            <w:tcBorders>
              <w:top w:val="nil"/>
              <w:left w:val="nil"/>
              <w:bottom w:val="single" w:sz="4" w:space="0" w:color="auto"/>
              <w:right w:val="single" w:sz="4" w:space="0" w:color="auto"/>
            </w:tcBorders>
            <w:shd w:val="clear" w:color="auto" w:fill="auto"/>
            <w:noWrap/>
            <w:vAlign w:val="bottom"/>
            <w:hideMark/>
          </w:tcPr>
          <w:p w14:paraId="235C082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22.9</w:t>
            </w:r>
          </w:p>
        </w:tc>
        <w:tc>
          <w:tcPr>
            <w:tcW w:w="1000" w:type="dxa"/>
            <w:tcBorders>
              <w:top w:val="nil"/>
              <w:left w:val="nil"/>
              <w:bottom w:val="single" w:sz="4" w:space="0" w:color="auto"/>
              <w:right w:val="single" w:sz="4" w:space="0" w:color="auto"/>
            </w:tcBorders>
            <w:shd w:val="clear" w:color="auto" w:fill="auto"/>
            <w:noWrap/>
            <w:vAlign w:val="bottom"/>
            <w:hideMark/>
          </w:tcPr>
          <w:p w14:paraId="1CB0A2B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37.5</w:t>
            </w:r>
          </w:p>
        </w:tc>
        <w:tc>
          <w:tcPr>
            <w:tcW w:w="787" w:type="dxa"/>
            <w:tcBorders>
              <w:top w:val="nil"/>
              <w:left w:val="nil"/>
              <w:bottom w:val="single" w:sz="4" w:space="0" w:color="auto"/>
              <w:right w:val="single" w:sz="4" w:space="0" w:color="auto"/>
            </w:tcBorders>
            <w:shd w:val="clear" w:color="auto" w:fill="auto"/>
            <w:noWrap/>
            <w:vAlign w:val="bottom"/>
            <w:hideMark/>
          </w:tcPr>
          <w:p w14:paraId="3F603B2D"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37.5</w:t>
            </w:r>
          </w:p>
        </w:tc>
      </w:tr>
      <w:tr w:rsidR="00CD6352" w:rsidRPr="001E7DC4" w14:paraId="36F6E33B"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9E2F083"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Meeting of project timeline &amp; control of project performance</w:t>
            </w:r>
          </w:p>
        </w:tc>
        <w:tc>
          <w:tcPr>
            <w:tcW w:w="1142" w:type="dxa"/>
            <w:tcBorders>
              <w:top w:val="nil"/>
              <w:left w:val="nil"/>
              <w:bottom w:val="single" w:sz="4" w:space="0" w:color="auto"/>
              <w:right w:val="single" w:sz="4" w:space="0" w:color="auto"/>
            </w:tcBorders>
            <w:shd w:val="clear" w:color="auto" w:fill="auto"/>
            <w:noWrap/>
            <w:vAlign w:val="bottom"/>
            <w:hideMark/>
          </w:tcPr>
          <w:p w14:paraId="02319AA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31" w:type="dxa"/>
            <w:tcBorders>
              <w:top w:val="nil"/>
              <w:left w:val="nil"/>
              <w:bottom w:val="single" w:sz="4" w:space="0" w:color="auto"/>
              <w:right w:val="single" w:sz="4" w:space="0" w:color="auto"/>
            </w:tcBorders>
            <w:shd w:val="clear" w:color="auto" w:fill="auto"/>
            <w:noWrap/>
            <w:vAlign w:val="bottom"/>
            <w:hideMark/>
          </w:tcPr>
          <w:p w14:paraId="4406899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80" w:type="dxa"/>
            <w:tcBorders>
              <w:top w:val="nil"/>
              <w:left w:val="nil"/>
              <w:bottom w:val="single" w:sz="4" w:space="0" w:color="auto"/>
              <w:right w:val="single" w:sz="4" w:space="0" w:color="auto"/>
            </w:tcBorders>
            <w:shd w:val="clear" w:color="auto" w:fill="auto"/>
            <w:noWrap/>
            <w:vAlign w:val="bottom"/>
            <w:hideMark/>
          </w:tcPr>
          <w:p w14:paraId="49D9B4BC"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28.3</w:t>
            </w:r>
          </w:p>
        </w:tc>
        <w:tc>
          <w:tcPr>
            <w:tcW w:w="1000" w:type="dxa"/>
            <w:tcBorders>
              <w:top w:val="nil"/>
              <w:left w:val="nil"/>
              <w:bottom w:val="single" w:sz="4" w:space="0" w:color="auto"/>
              <w:right w:val="single" w:sz="4" w:space="0" w:color="auto"/>
            </w:tcBorders>
            <w:shd w:val="clear" w:color="auto" w:fill="auto"/>
            <w:noWrap/>
            <w:vAlign w:val="bottom"/>
            <w:hideMark/>
          </w:tcPr>
          <w:p w14:paraId="3FF76E5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30.4</w:t>
            </w:r>
          </w:p>
        </w:tc>
        <w:tc>
          <w:tcPr>
            <w:tcW w:w="787" w:type="dxa"/>
            <w:tcBorders>
              <w:top w:val="nil"/>
              <w:left w:val="nil"/>
              <w:bottom w:val="single" w:sz="4" w:space="0" w:color="auto"/>
              <w:right w:val="single" w:sz="4" w:space="0" w:color="auto"/>
            </w:tcBorders>
            <w:shd w:val="clear" w:color="auto" w:fill="auto"/>
            <w:noWrap/>
            <w:vAlign w:val="bottom"/>
            <w:hideMark/>
          </w:tcPr>
          <w:p w14:paraId="12508B2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w:t>
            </w:r>
          </w:p>
        </w:tc>
      </w:tr>
      <w:tr w:rsidR="00CD6352" w:rsidRPr="001E7DC4" w14:paraId="24604ACC"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87831A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The expected debt-paying ability of the project</w:t>
            </w:r>
          </w:p>
        </w:tc>
        <w:tc>
          <w:tcPr>
            <w:tcW w:w="1142" w:type="dxa"/>
            <w:tcBorders>
              <w:top w:val="nil"/>
              <w:left w:val="nil"/>
              <w:bottom w:val="single" w:sz="4" w:space="0" w:color="auto"/>
              <w:right w:val="single" w:sz="4" w:space="0" w:color="auto"/>
            </w:tcBorders>
            <w:shd w:val="clear" w:color="auto" w:fill="auto"/>
            <w:noWrap/>
            <w:vAlign w:val="bottom"/>
            <w:hideMark/>
          </w:tcPr>
          <w:p w14:paraId="761526E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31" w:type="dxa"/>
            <w:tcBorders>
              <w:top w:val="nil"/>
              <w:left w:val="nil"/>
              <w:bottom w:val="single" w:sz="4" w:space="0" w:color="auto"/>
              <w:right w:val="single" w:sz="4" w:space="0" w:color="auto"/>
            </w:tcBorders>
            <w:shd w:val="clear" w:color="auto" w:fill="auto"/>
            <w:noWrap/>
            <w:vAlign w:val="bottom"/>
            <w:hideMark/>
          </w:tcPr>
          <w:p w14:paraId="24838E2B"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4.3</w:t>
            </w:r>
          </w:p>
        </w:tc>
        <w:tc>
          <w:tcPr>
            <w:tcW w:w="680" w:type="dxa"/>
            <w:tcBorders>
              <w:top w:val="nil"/>
              <w:left w:val="nil"/>
              <w:bottom w:val="single" w:sz="4" w:space="0" w:color="auto"/>
              <w:right w:val="single" w:sz="4" w:space="0" w:color="auto"/>
            </w:tcBorders>
            <w:shd w:val="clear" w:color="auto" w:fill="auto"/>
            <w:noWrap/>
            <w:vAlign w:val="bottom"/>
            <w:hideMark/>
          </w:tcPr>
          <w:p w14:paraId="65F1DE7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28.3</w:t>
            </w:r>
          </w:p>
        </w:tc>
        <w:tc>
          <w:tcPr>
            <w:tcW w:w="1000" w:type="dxa"/>
            <w:tcBorders>
              <w:top w:val="nil"/>
              <w:left w:val="nil"/>
              <w:bottom w:val="single" w:sz="4" w:space="0" w:color="auto"/>
              <w:right w:val="single" w:sz="4" w:space="0" w:color="auto"/>
            </w:tcBorders>
            <w:shd w:val="clear" w:color="auto" w:fill="auto"/>
            <w:noWrap/>
            <w:vAlign w:val="bottom"/>
            <w:hideMark/>
          </w:tcPr>
          <w:p w14:paraId="0AF042B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28.3</w:t>
            </w:r>
          </w:p>
        </w:tc>
        <w:tc>
          <w:tcPr>
            <w:tcW w:w="787" w:type="dxa"/>
            <w:tcBorders>
              <w:top w:val="nil"/>
              <w:left w:val="nil"/>
              <w:bottom w:val="single" w:sz="4" w:space="0" w:color="auto"/>
              <w:right w:val="single" w:sz="4" w:space="0" w:color="auto"/>
            </w:tcBorders>
            <w:shd w:val="clear" w:color="auto" w:fill="auto"/>
            <w:noWrap/>
            <w:vAlign w:val="bottom"/>
            <w:hideMark/>
          </w:tcPr>
          <w:p w14:paraId="3E3C24E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w:t>
            </w:r>
          </w:p>
        </w:tc>
      </w:tr>
      <w:tr w:rsidR="00CD6352" w:rsidRPr="001E7DC4" w14:paraId="5DE5DE23"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D223347"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The financial capacity of the organisation</w:t>
            </w:r>
          </w:p>
        </w:tc>
        <w:tc>
          <w:tcPr>
            <w:tcW w:w="1142" w:type="dxa"/>
            <w:tcBorders>
              <w:top w:val="nil"/>
              <w:left w:val="nil"/>
              <w:bottom w:val="single" w:sz="4" w:space="0" w:color="auto"/>
              <w:right w:val="single" w:sz="4" w:space="0" w:color="auto"/>
            </w:tcBorders>
            <w:shd w:val="clear" w:color="auto" w:fill="auto"/>
            <w:noWrap/>
            <w:vAlign w:val="bottom"/>
            <w:hideMark/>
          </w:tcPr>
          <w:p w14:paraId="4415E2FD"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31" w:type="dxa"/>
            <w:tcBorders>
              <w:top w:val="nil"/>
              <w:left w:val="nil"/>
              <w:bottom w:val="single" w:sz="4" w:space="0" w:color="auto"/>
              <w:right w:val="single" w:sz="4" w:space="0" w:color="auto"/>
            </w:tcBorders>
            <w:shd w:val="clear" w:color="auto" w:fill="auto"/>
            <w:noWrap/>
            <w:vAlign w:val="bottom"/>
            <w:hideMark/>
          </w:tcPr>
          <w:p w14:paraId="16B1E69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6.5</w:t>
            </w:r>
          </w:p>
        </w:tc>
        <w:tc>
          <w:tcPr>
            <w:tcW w:w="680" w:type="dxa"/>
            <w:tcBorders>
              <w:top w:val="nil"/>
              <w:left w:val="nil"/>
              <w:bottom w:val="single" w:sz="4" w:space="0" w:color="auto"/>
              <w:right w:val="single" w:sz="4" w:space="0" w:color="auto"/>
            </w:tcBorders>
            <w:shd w:val="clear" w:color="auto" w:fill="auto"/>
            <w:noWrap/>
            <w:vAlign w:val="bottom"/>
            <w:hideMark/>
          </w:tcPr>
          <w:p w14:paraId="41E8112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17.4</w:t>
            </w:r>
          </w:p>
        </w:tc>
        <w:tc>
          <w:tcPr>
            <w:tcW w:w="1000" w:type="dxa"/>
            <w:tcBorders>
              <w:top w:val="nil"/>
              <w:left w:val="nil"/>
              <w:bottom w:val="single" w:sz="4" w:space="0" w:color="auto"/>
              <w:right w:val="single" w:sz="4" w:space="0" w:color="auto"/>
            </w:tcBorders>
            <w:shd w:val="clear" w:color="auto" w:fill="auto"/>
            <w:noWrap/>
            <w:vAlign w:val="bottom"/>
            <w:hideMark/>
          </w:tcPr>
          <w:p w14:paraId="7EE737B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w:t>
            </w:r>
          </w:p>
        </w:tc>
        <w:tc>
          <w:tcPr>
            <w:tcW w:w="787" w:type="dxa"/>
            <w:tcBorders>
              <w:top w:val="nil"/>
              <w:left w:val="nil"/>
              <w:bottom w:val="single" w:sz="4" w:space="0" w:color="auto"/>
              <w:right w:val="single" w:sz="4" w:space="0" w:color="auto"/>
            </w:tcBorders>
            <w:shd w:val="clear" w:color="auto" w:fill="auto"/>
            <w:noWrap/>
            <w:vAlign w:val="bottom"/>
            <w:hideMark/>
          </w:tcPr>
          <w:p w14:paraId="0751884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w:t>
            </w:r>
          </w:p>
        </w:tc>
      </w:tr>
      <w:tr w:rsidR="00CD6352" w:rsidRPr="001E7DC4" w14:paraId="70897562"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687D67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 xml:space="preserve">Liquidity management </w:t>
            </w:r>
          </w:p>
        </w:tc>
        <w:tc>
          <w:tcPr>
            <w:tcW w:w="1142" w:type="dxa"/>
            <w:tcBorders>
              <w:top w:val="nil"/>
              <w:left w:val="nil"/>
              <w:bottom w:val="single" w:sz="4" w:space="0" w:color="auto"/>
              <w:right w:val="single" w:sz="4" w:space="0" w:color="auto"/>
            </w:tcBorders>
            <w:shd w:val="clear" w:color="auto" w:fill="auto"/>
            <w:noWrap/>
            <w:vAlign w:val="bottom"/>
            <w:hideMark/>
          </w:tcPr>
          <w:p w14:paraId="343B160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2.3</w:t>
            </w:r>
          </w:p>
        </w:tc>
        <w:tc>
          <w:tcPr>
            <w:tcW w:w="631" w:type="dxa"/>
            <w:tcBorders>
              <w:top w:val="nil"/>
              <w:left w:val="nil"/>
              <w:bottom w:val="single" w:sz="4" w:space="0" w:color="auto"/>
              <w:right w:val="single" w:sz="4" w:space="0" w:color="auto"/>
            </w:tcBorders>
            <w:shd w:val="clear" w:color="auto" w:fill="auto"/>
            <w:noWrap/>
            <w:vAlign w:val="bottom"/>
            <w:hideMark/>
          </w:tcPr>
          <w:p w14:paraId="59C7F37C"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2.3</w:t>
            </w:r>
          </w:p>
        </w:tc>
        <w:tc>
          <w:tcPr>
            <w:tcW w:w="680" w:type="dxa"/>
            <w:tcBorders>
              <w:top w:val="nil"/>
              <w:left w:val="nil"/>
              <w:bottom w:val="single" w:sz="4" w:space="0" w:color="auto"/>
              <w:right w:val="single" w:sz="4" w:space="0" w:color="auto"/>
            </w:tcBorders>
            <w:shd w:val="clear" w:color="auto" w:fill="auto"/>
            <w:noWrap/>
            <w:vAlign w:val="bottom"/>
            <w:hideMark/>
          </w:tcPr>
          <w:p w14:paraId="66D4D50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39.5</w:t>
            </w:r>
          </w:p>
        </w:tc>
        <w:tc>
          <w:tcPr>
            <w:tcW w:w="1000" w:type="dxa"/>
            <w:tcBorders>
              <w:top w:val="nil"/>
              <w:left w:val="nil"/>
              <w:bottom w:val="single" w:sz="4" w:space="0" w:color="auto"/>
              <w:right w:val="single" w:sz="4" w:space="0" w:color="auto"/>
            </w:tcBorders>
            <w:shd w:val="clear" w:color="auto" w:fill="auto"/>
            <w:noWrap/>
            <w:vAlign w:val="bottom"/>
            <w:hideMark/>
          </w:tcPr>
          <w:p w14:paraId="0DFE615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23.3</w:t>
            </w:r>
          </w:p>
        </w:tc>
        <w:tc>
          <w:tcPr>
            <w:tcW w:w="787" w:type="dxa"/>
            <w:tcBorders>
              <w:top w:val="nil"/>
              <w:left w:val="nil"/>
              <w:bottom w:val="single" w:sz="4" w:space="0" w:color="auto"/>
              <w:right w:val="single" w:sz="4" w:space="0" w:color="auto"/>
            </w:tcBorders>
            <w:shd w:val="clear" w:color="auto" w:fill="auto"/>
            <w:noWrap/>
            <w:vAlign w:val="bottom"/>
            <w:hideMark/>
          </w:tcPr>
          <w:p w14:paraId="72E9059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32.6</w:t>
            </w:r>
          </w:p>
        </w:tc>
      </w:tr>
      <w:tr w:rsidR="00CD6352" w:rsidRPr="001E7DC4" w14:paraId="206DAD4C"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4691B86"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Manager’s ability and skills</w:t>
            </w:r>
          </w:p>
        </w:tc>
        <w:tc>
          <w:tcPr>
            <w:tcW w:w="1142" w:type="dxa"/>
            <w:tcBorders>
              <w:top w:val="nil"/>
              <w:left w:val="nil"/>
              <w:bottom w:val="single" w:sz="4" w:space="0" w:color="auto"/>
              <w:right w:val="single" w:sz="4" w:space="0" w:color="auto"/>
            </w:tcBorders>
            <w:shd w:val="clear" w:color="auto" w:fill="auto"/>
            <w:noWrap/>
            <w:vAlign w:val="bottom"/>
            <w:hideMark/>
          </w:tcPr>
          <w:p w14:paraId="2F51C550"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31" w:type="dxa"/>
            <w:tcBorders>
              <w:top w:val="nil"/>
              <w:left w:val="nil"/>
              <w:bottom w:val="single" w:sz="4" w:space="0" w:color="auto"/>
              <w:right w:val="single" w:sz="4" w:space="0" w:color="auto"/>
            </w:tcBorders>
            <w:shd w:val="clear" w:color="auto" w:fill="auto"/>
            <w:noWrap/>
            <w:vAlign w:val="bottom"/>
            <w:hideMark/>
          </w:tcPr>
          <w:p w14:paraId="6F0B5B8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6.5</w:t>
            </w:r>
          </w:p>
        </w:tc>
        <w:tc>
          <w:tcPr>
            <w:tcW w:w="680" w:type="dxa"/>
            <w:tcBorders>
              <w:top w:val="nil"/>
              <w:left w:val="nil"/>
              <w:bottom w:val="single" w:sz="4" w:space="0" w:color="auto"/>
              <w:right w:val="single" w:sz="4" w:space="0" w:color="auto"/>
            </w:tcBorders>
            <w:shd w:val="clear" w:color="auto" w:fill="auto"/>
            <w:noWrap/>
            <w:vAlign w:val="bottom"/>
            <w:hideMark/>
          </w:tcPr>
          <w:p w14:paraId="21C38FE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17.4</w:t>
            </w:r>
          </w:p>
        </w:tc>
        <w:tc>
          <w:tcPr>
            <w:tcW w:w="1000" w:type="dxa"/>
            <w:tcBorders>
              <w:top w:val="nil"/>
              <w:left w:val="nil"/>
              <w:bottom w:val="single" w:sz="4" w:space="0" w:color="auto"/>
              <w:right w:val="single" w:sz="4" w:space="0" w:color="auto"/>
            </w:tcBorders>
            <w:shd w:val="clear" w:color="auto" w:fill="auto"/>
            <w:noWrap/>
            <w:vAlign w:val="bottom"/>
            <w:hideMark/>
          </w:tcPr>
          <w:p w14:paraId="66756C5C"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41.3</w:t>
            </w:r>
          </w:p>
        </w:tc>
        <w:tc>
          <w:tcPr>
            <w:tcW w:w="787" w:type="dxa"/>
            <w:tcBorders>
              <w:top w:val="nil"/>
              <w:left w:val="nil"/>
              <w:bottom w:val="single" w:sz="4" w:space="0" w:color="auto"/>
              <w:right w:val="single" w:sz="4" w:space="0" w:color="auto"/>
            </w:tcBorders>
            <w:shd w:val="clear" w:color="auto" w:fill="auto"/>
            <w:noWrap/>
            <w:vAlign w:val="bottom"/>
            <w:hideMark/>
          </w:tcPr>
          <w:p w14:paraId="41CAE98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32.6</w:t>
            </w:r>
          </w:p>
        </w:tc>
      </w:tr>
      <w:tr w:rsidR="00CD6352" w:rsidRPr="001E7DC4" w14:paraId="4003AFDD"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A9DFA80"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Project technical feasibility</w:t>
            </w:r>
          </w:p>
        </w:tc>
        <w:tc>
          <w:tcPr>
            <w:tcW w:w="1142" w:type="dxa"/>
            <w:tcBorders>
              <w:top w:val="nil"/>
              <w:left w:val="nil"/>
              <w:bottom w:val="single" w:sz="4" w:space="0" w:color="auto"/>
              <w:right w:val="single" w:sz="4" w:space="0" w:color="auto"/>
            </w:tcBorders>
            <w:shd w:val="clear" w:color="auto" w:fill="auto"/>
            <w:noWrap/>
            <w:vAlign w:val="bottom"/>
            <w:hideMark/>
          </w:tcPr>
          <w:p w14:paraId="099FDBB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54BBCAF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80" w:type="dxa"/>
            <w:tcBorders>
              <w:top w:val="nil"/>
              <w:left w:val="nil"/>
              <w:bottom w:val="single" w:sz="4" w:space="0" w:color="auto"/>
              <w:right w:val="single" w:sz="4" w:space="0" w:color="auto"/>
            </w:tcBorders>
            <w:shd w:val="clear" w:color="auto" w:fill="auto"/>
            <w:noWrap/>
            <w:vAlign w:val="bottom"/>
            <w:hideMark/>
          </w:tcPr>
          <w:p w14:paraId="4365A83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26.1</w:t>
            </w:r>
          </w:p>
        </w:tc>
        <w:tc>
          <w:tcPr>
            <w:tcW w:w="1000" w:type="dxa"/>
            <w:tcBorders>
              <w:top w:val="nil"/>
              <w:left w:val="nil"/>
              <w:bottom w:val="single" w:sz="4" w:space="0" w:color="auto"/>
              <w:right w:val="single" w:sz="4" w:space="0" w:color="auto"/>
            </w:tcBorders>
            <w:shd w:val="clear" w:color="auto" w:fill="auto"/>
            <w:noWrap/>
            <w:vAlign w:val="bottom"/>
            <w:hideMark/>
          </w:tcPr>
          <w:p w14:paraId="2DF31AF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39.1</w:t>
            </w:r>
          </w:p>
        </w:tc>
        <w:tc>
          <w:tcPr>
            <w:tcW w:w="787" w:type="dxa"/>
            <w:tcBorders>
              <w:top w:val="nil"/>
              <w:left w:val="nil"/>
              <w:bottom w:val="single" w:sz="4" w:space="0" w:color="auto"/>
              <w:right w:val="single" w:sz="4" w:space="0" w:color="auto"/>
            </w:tcBorders>
            <w:shd w:val="clear" w:color="auto" w:fill="auto"/>
            <w:noWrap/>
            <w:vAlign w:val="bottom"/>
            <w:hideMark/>
          </w:tcPr>
          <w:p w14:paraId="625DB55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32.6</w:t>
            </w:r>
          </w:p>
        </w:tc>
      </w:tr>
      <w:tr w:rsidR="00CD6352" w:rsidRPr="001E7DC4" w14:paraId="5B70A350"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87E8D85"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Risks allocation and risk-sharing</w:t>
            </w:r>
          </w:p>
        </w:tc>
        <w:tc>
          <w:tcPr>
            <w:tcW w:w="1142" w:type="dxa"/>
            <w:tcBorders>
              <w:top w:val="nil"/>
              <w:left w:val="nil"/>
              <w:bottom w:val="single" w:sz="4" w:space="0" w:color="auto"/>
              <w:right w:val="single" w:sz="4" w:space="0" w:color="auto"/>
            </w:tcBorders>
            <w:shd w:val="clear" w:color="auto" w:fill="auto"/>
            <w:noWrap/>
            <w:vAlign w:val="bottom"/>
            <w:hideMark/>
          </w:tcPr>
          <w:p w14:paraId="5A08182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0393A58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8.7</w:t>
            </w:r>
          </w:p>
        </w:tc>
        <w:tc>
          <w:tcPr>
            <w:tcW w:w="680" w:type="dxa"/>
            <w:tcBorders>
              <w:top w:val="nil"/>
              <w:left w:val="nil"/>
              <w:bottom w:val="single" w:sz="4" w:space="0" w:color="auto"/>
              <w:right w:val="single" w:sz="4" w:space="0" w:color="auto"/>
            </w:tcBorders>
            <w:shd w:val="clear" w:color="auto" w:fill="auto"/>
            <w:noWrap/>
            <w:vAlign w:val="bottom"/>
            <w:hideMark/>
          </w:tcPr>
          <w:p w14:paraId="5240F9B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32.6</w:t>
            </w:r>
          </w:p>
        </w:tc>
        <w:tc>
          <w:tcPr>
            <w:tcW w:w="1000" w:type="dxa"/>
            <w:tcBorders>
              <w:top w:val="nil"/>
              <w:left w:val="nil"/>
              <w:bottom w:val="single" w:sz="4" w:space="0" w:color="auto"/>
              <w:right w:val="single" w:sz="4" w:space="0" w:color="auto"/>
            </w:tcBorders>
            <w:shd w:val="clear" w:color="auto" w:fill="auto"/>
            <w:noWrap/>
            <w:vAlign w:val="bottom"/>
            <w:hideMark/>
          </w:tcPr>
          <w:p w14:paraId="21B8AFA2"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26.1</w:t>
            </w:r>
          </w:p>
        </w:tc>
        <w:tc>
          <w:tcPr>
            <w:tcW w:w="787" w:type="dxa"/>
            <w:tcBorders>
              <w:top w:val="nil"/>
              <w:left w:val="nil"/>
              <w:bottom w:val="single" w:sz="4" w:space="0" w:color="auto"/>
              <w:right w:val="single" w:sz="4" w:space="0" w:color="auto"/>
            </w:tcBorders>
            <w:shd w:val="clear" w:color="auto" w:fill="auto"/>
            <w:noWrap/>
            <w:vAlign w:val="bottom"/>
            <w:hideMark/>
          </w:tcPr>
          <w:p w14:paraId="45369EA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32.6</w:t>
            </w:r>
          </w:p>
        </w:tc>
      </w:tr>
      <w:tr w:rsidR="00CD6352" w:rsidRPr="001E7DC4" w14:paraId="469FE18D"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B361493"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Existence of enabling policy and legal framework</w:t>
            </w:r>
          </w:p>
        </w:tc>
        <w:tc>
          <w:tcPr>
            <w:tcW w:w="1142" w:type="dxa"/>
            <w:tcBorders>
              <w:top w:val="nil"/>
              <w:left w:val="nil"/>
              <w:bottom w:val="single" w:sz="4" w:space="0" w:color="auto"/>
              <w:right w:val="single" w:sz="4" w:space="0" w:color="auto"/>
            </w:tcBorders>
            <w:shd w:val="clear" w:color="auto" w:fill="auto"/>
            <w:noWrap/>
            <w:vAlign w:val="bottom"/>
            <w:hideMark/>
          </w:tcPr>
          <w:p w14:paraId="34BFFD1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445CD284"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4.2</w:t>
            </w:r>
          </w:p>
        </w:tc>
        <w:tc>
          <w:tcPr>
            <w:tcW w:w="680" w:type="dxa"/>
            <w:tcBorders>
              <w:top w:val="nil"/>
              <w:left w:val="nil"/>
              <w:bottom w:val="single" w:sz="4" w:space="0" w:color="auto"/>
              <w:right w:val="single" w:sz="4" w:space="0" w:color="auto"/>
            </w:tcBorders>
            <w:shd w:val="clear" w:color="auto" w:fill="auto"/>
            <w:noWrap/>
            <w:vAlign w:val="bottom"/>
            <w:hideMark/>
          </w:tcPr>
          <w:p w14:paraId="3804DB2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31.3</w:t>
            </w:r>
          </w:p>
        </w:tc>
        <w:tc>
          <w:tcPr>
            <w:tcW w:w="1000" w:type="dxa"/>
            <w:tcBorders>
              <w:top w:val="nil"/>
              <w:left w:val="nil"/>
              <w:bottom w:val="single" w:sz="4" w:space="0" w:color="auto"/>
              <w:right w:val="single" w:sz="4" w:space="0" w:color="auto"/>
            </w:tcBorders>
            <w:shd w:val="clear" w:color="auto" w:fill="auto"/>
            <w:noWrap/>
            <w:vAlign w:val="bottom"/>
            <w:hideMark/>
          </w:tcPr>
          <w:p w14:paraId="2D58792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33.3</w:t>
            </w:r>
          </w:p>
        </w:tc>
        <w:tc>
          <w:tcPr>
            <w:tcW w:w="787" w:type="dxa"/>
            <w:tcBorders>
              <w:top w:val="nil"/>
              <w:left w:val="nil"/>
              <w:bottom w:val="single" w:sz="4" w:space="0" w:color="auto"/>
              <w:right w:val="single" w:sz="4" w:space="0" w:color="auto"/>
            </w:tcBorders>
            <w:shd w:val="clear" w:color="auto" w:fill="auto"/>
            <w:noWrap/>
            <w:vAlign w:val="bottom"/>
            <w:hideMark/>
          </w:tcPr>
          <w:p w14:paraId="362BBA8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31.3</w:t>
            </w:r>
          </w:p>
        </w:tc>
      </w:tr>
      <w:tr w:rsidR="00CD6352" w:rsidRPr="001E7DC4" w14:paraId="217A82BD"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E9CB882"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Project manager’s experience</w:t>
            </w:r>
          </w:p>
        </w:tc>
        <w:tc>
          <w:tcPr>
            <w:tcW w:w="1142" w:type="dxa"/>
            <w:tcBorders>
              <w:top w:val="nil"/>
              <w:left w:val="nil"/>
              <w:bottom w:val="single" w:sz="4" w:space="0" w:color="auto"/>
              <w:right w:val="single" w:sz="4" w:space="0" w:color="auto"/>
            </w:tcBorders>
            <w:shd w:val="clear" w:color="auto" w:fill="auto"/>
            <w:noWrap/>
            <w:vAlign w:val="bottom"/>
            <w:hideMark/>
          </w:tcPr>
          <w:p w14:paraId="5D5F4EB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31" w:type="dxa"/>
            <w:tcBorders>
              <w:top w:val="nil"/>
              <w:left w:val="nil"/>
              <w:bottom w:val="single" w:sz="4" w:space="0" w:color="auto"/>
              <w:right w:val="single" w:sz="4" w:space="0" w:color="auto"/>
            </w:tcBorders>
            <w:shd w:val="clear" w:color="auto" w:fill="auto"/>
            <w:noWrap/>
            <w:vAlign w:val="bottom"/>
            <w:hideMark/>
          </w:tcPr>
          <w:p w14:paraId="2C5B5CC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80" w:type="dxa"/>
            <w:tcBorders>
              <w:top w:val="nil"/>
              <w:left w:val="nil"/>
              <w:bottom w:val="single" w:sz="4" w:space="0" w:color="auto"/>
              <w:right w:val="single" w:sz="4" w:space="0" w:color="auto"/>
            </w:tcBorders>
            <w:shd w:val="clear" w:color="auto" w:fill="auto"/>
            <w:noWrap/>
            <w:vAlign w:val="bottom"/>
            <w:hideMark/>
          </w:tcPr>
          <w:p w14:paraId="4803352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26.7</w:t>
            </w:r>
          </w:p>
        </w:tc>
        <w:tc>
          <w:tcPr>
            <w:tcW w:w="1000" w:type="dxa"/>
            <w:tcBorders>
              <w:top w:val="nil"/>
              <w:left w:val="nil"/>
              <w:bottom w:val="single" w:sz="4" w:space="0" w:color="auto"/>
              <w:right w:val="single" w:sz="4" w:space="0" w:color="auto"/>
            </w:tcBorders>
            <w:shd w:val="clear" w:color="auto" w:fill="auto"/>
            <w:noWrap/>
            <w:vAlign w:val="bottom"/>
            <w:hideMark/>
          </w:tcPr>
          <w:p w14:paraId="3E1A0FF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40</w:t>
            </w:r>
          </w:p>
        </w:tc>
        <w:tc>
          <w:tcPr>
            <w:tcW w:w="787" w:type="dxa"/>
            <w:tcBorders>
              <w:top w:val="nil"/>
              <w:left w:val="nil"/>
              <w:bottom w:val="single" w:sz="4" w:space="0" w:color="auto"/>
              <w:right w:val="single" w:sz="4" w:space="0" w:color="auto"/>
            </w:tcBorders>
            <w:shd w:val="clear" w:color="auto" w:fill="auto"/>
            <w:noWrap/>
            <w:vAlign w:val="bottom"/>
            <w:hideMark/>
          </w:tcPr>
          <w:p w14:paraId="08E3AD42"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28.9</w:t>
            </w:r>
          </w:p>
        </w:tc>
      </w:tr>
      <w:tr w:rsidR="00CD6352" w:rsidRPr="001E7DC4" w14:paraId="4140DB87"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3F64441"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Access to relevant update data</w:t>
            </w:r>
          </w:p>
        </w:tc>
        <w:tc>
          <w:tcPr>
            <w:tcW w:w="1142" w:type="dxa"/>
            <w:tcBorders>
              <w:top w:val="nil"/>
              <w:left w:val="nil"/>
              <w:bottom w:val="single" w:sz="4" w:space="0" w:color="auto"/>
              <w:right w:val="single" w:sz="4" w:space="0" w:color="auto"/>
            </w:tcBorders>
            <w:shd w:val="clear" w:color="auto" w:fill="auto"/>
            <w:noWrap/>
            <w:vAlign w:val="bottom"/>
            <w:hideMark/>
          </w:tcPr>
          <w:p w14:paraId="49A5694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2.2</w:t>
            </w:r>
          </w:p>
        </w:tc>
        <w:tc>
          <w:tcPr>
            <w:tcW w:w="631" w:type="dxa"/>
            <w:tcBorders>
              <w:top w:val="nil"/>
              <w:left w:val="nil"/>
              <w:bottom w:val="single" w:sz="4" w:space="0" w:color="auto"/>
              <w:right w:val="single" w:sz="4" w:space="0" w:color="auto"/>
            </w:tcBorders>
            <w:shd w:val="clear" w:color="auto" w:fill="auto"/>
            <w:noWrap/>
            <w:vAlign w:val="bottom"/>
            <w:hideMark/>
          </w:tcPr>
          <w:p w14:paraId="69C47F6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8.7</w:t>
            </w:r>
          </w:p>
        </w:tc>
        <w:tc>
          <w:tcPr>
            <w:tcW w:w="680" w:type="dxa"/>
            <w:tcBorders>
              <w:top w:val="nil"/>
              <w:left w:val="nil"/>
              <w:bottom w:val="single" w:sz="4" w:space="0" w:color="auto"/>
              <w:right w:val="single" w:sz="4" w:space="0" w:color="auto"/>
            </w:tcBorders>
            <w:shd w:val="clear" w:color="auto" w:fill="auto"/>
            <w:noWrap/>
            <w:vAlign w:val="bottom"/>
            <w:hideMark/>
          </w:tcPr>
          <w:p w14:paraId="3258EF4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34.8</w:t>
            </w:r>
          </w:p>
        </w:tc>
        <w:tc>
          <w:tcPr>
            <w:tcW w:w="1000" w:type="dxa"/>
            <w:tcBorders>
              <w:top w:val="nil"/>
              <w:left w:val="nil"/>
              <w:bottom w:val="single" w:sz="4" w:space="0" w:color="auto"/>
              <w:right w:val="single" w:sz="4" w:space="0" w:color="auto"/>
            </w:tcBorders>
            <w:shd w:val="clear" w:color="auto" w:fill="auto"/>
            <w:noWrap/>
            <w:vAlign w:val="bottom"/>
            <w:hideMark/>
          </w:tcPr>
          <w:p w14:paraId="18E16F7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26.1</w:t>
            </w:r>
          </w:p>
        </w:tc>
        <w:tc>
          <w:tcPr>
            <w:tcW w:w="787" w:type="dxa"/>
            <w:tcBorders>
              <w:top w:val="nil"/>
              <w:left w:val="nil"/>
              <w:bottom w:val="single" w:sz="4" w:space="0" w:color="auto"/>
              <w:right w:val="single" w:sz="4" w:space="0" w:color="auto"/>
            </w:tcBorders>
            <w:shd w:val="clear" w:color="auto" w:fill="auto"/>
            <w:noWrap/>
            <w:vAlign w:val="bottom"/>
            <w:hideMark/>
          </w:tcPr>
          <w:p w14:paraId="1B7DB97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28.3</w:t>
            </w:r>
          </w:p>
        </w:tc>
      </w:tr>
      <w:tr w:rsidR="00CD6352" w:rsidRPr="001E7DC4" w14:paraId="3F4A4705"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032A6F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Familiarity with local legislation &amp; clear contract terms</w:t>
            </w:r>
          </w:p>
        </w:tc>
        <w:tc>
          <w:tcPr>
            <w:tcW w:w="1142" w:type="dxa"/>
            <w:tcBorders>
              <w:top w:val="nil"/>
              <w:left w:val="nil"/>
              <w:bottom w:val="single" w:sz="4" w:space="0" w:color="auto"/>
              <w:right w:val="single" w:sz="4" w:space="0" w:color="auto"/>
            </w:tcBorders>
            <w:shd w:val="clear" w:color="auto" w:fill="auto"/>
            <w:noWrap/>
            <w:vAlign w:val="bottom"/>
            <w:hideMark/>
          </w:tcPr>
          <w:p w14:paraId="623BC178"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297A08E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8.5</w:t>
            </w:r>
          </w:p>
        </w:tc>
        <w:tc>
          <w:tcPr>
            <w:tcW w:w="680" w:type="dxa"/>
            <w:tcBorders>
              <w:top w:val="nil"/>
              <w:left w:val="nil"/>
              <w:bottom w:val="single" w:sz="4" w:space="0" w:color="auto"/>
              <w:right w:val="single" w:sz="4" w:space="0" w:color="auto"/>
            </w:tcBorders>
            <w:shd w:val="clear" w:color="auto" w:fill="auto"/>
            <w:noWrap/>
            <w:vAlign w:val="bottom"/>
            <w:hideMark/>
          </w:tcPr>
          <w:p w14:paraId="49B4B73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19.1</w:t>
            </w:r>
          </w:p>
        </w:tc>
        <w:tc>
          <w:tcPr>
            <w:tcW w:w="1000" w:type="dxa"/>
            <w:tcBorders>
              <w:top w:val="nil"/>
              <w:left w:val="nil"/>
              <w:bottom w:val="single" w:sz="4" w:space="0" w:color="auto"/>
              <w:right w:val="single" w:sz="4" w:space="0" w:color="auto"/>
            </w:tcBorders>
            <w:shd w:val="clear" w:color="auto" w:fill="auto"/>
            <w:noWrap/>
            <w:vAlign w:val="bottom"/>
            <w:hideMark/>
          </w:tcPr>
          <w:p w14:paraId="34E4F03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44.7</w:t>
            </w:r>
          </w:p>
        </w:tc>
        <w:tc>
          <w:tcPr>
            <w:tcW w:w="787" w:type="dxa"/>
            <w:tcBorders>
              <w:top w:val="nil"/>
              <w:left w:val="nil"/>
              <w:bottom w:val="single" w:sz="4" w:space="0" w:color="auto"/>
              <w:right w:val="single" w:sz="4" w:space="0" w:color="auto"/>
            </w:tcBorders>
            <w:shd w:val="clear" w:color="auto" w:fill="auto"/>
            <w:noWrap/>
            <w:vAlign w:val="bottom"/>
            <w:hideMark/>
          </w:tcPr>
          <w:p w14:paraId="4DE0AC9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27.7</w:t>
            </w:r>
          </w:p>
        </w:tc>
      </w:tr>
      <w:tr w:rsidR="00CD6352" w:rsidRPr="001E7DC4" w14:paraId="0AC67594"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1F9351B3"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Stable macro-economic environment</w:t>
            </w:r>
          </w:p>
        </w:tc>
        <w:tc>
          <w:tcPr>
            <w:tcW w:w="1142" w:type="dxa"/>
            <w:tcBorders>
              <w:top w:val="nil"/>
              <w:left w:val="nil"/>
              <w:bottom w:val="single" w:sz="4" w:space="0" w:color="auto"/>
              <w:right w:val="single" w:sz="4" w:space="0" w:color="auto"/>
            </w:tcBorders>
            <w:shd w:val="clear" w:color="auto" w:fill="auto"/>
            <w:noWrap/>
            <w:vAlign w:val="bottom"/>
            <w:hideMark/>
          </w:tcPr>
          <w:p w14:paraId="71B2136B"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579FF67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8.7</w:t>
            </w:r>
          </w:p>
        </w:tc>
        <w:tc>
          <w:tcPr>
            <w:tcW w:w="680" w:type="dxa"/>
            <w:tcBorders>
              <w:top w:val="nil"/>
              <w:left w:val="nil"/>
              <w:bottom w:val="single" w:sz="4" w:space="0" w:color="auto"/>
              <w:right w:val="single" w:sz="4" w:space="0" w:color="auto"/>
            </w:tcBorders>
            <w:shd w:val="clear" w:color="auto" w:fill="auto"/>
            <w:noWrap/>
            <w:vAlign w:val="bottom"/>
            <w:hideMark/>
          </w:tcPr>
          <w:p w14:paraId="2EBE2F9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37</w:t>
            </w:r>
          </w:p>
        </w:tc>
        <w:tc>
          <w:tcPr>
            <w:tcW w:w="1000" w:type="dxa"/>
            <w:tcBorders>
              <w:top w:val="nil"/>
              <w:left w:val="nil"/>
              <w:bottom w:val="single" w:sz="4" w:space="0" w:color="auto"/>
              <w:right w:val="single" w:sz="4" w:space="0" w:color="auto"/>
            </w:tcBorders>
            <w:shd w:val="clear" w:color="auto" w:fill="auto"/>
            <w:noWrap/>
            <w:vAlign w:val="bottom"/>
            <w:hideMark/>
          </w:tcPr>
          <w:p w14:paraId="51343B7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30.4</w:t>
            </w:r>
          </w:p>
        </w:tc>
        <w:tc>
          <w:tcPr>
            <w:tcW w:w="787" w:type="dxa"/>
            <w:tcBorders>
              <w:top w:val="nil"/>
              <w:left w:val="nil"/>
              <w:bottom w:val="single" w:sz="4" w:space="0" w:color="auto"/>
              <w:right w:val="single" w:sz="4" w:space="0" w:color="auto"/>
            </w:tcBorders>
            <w:shd w:val="clear" w:color="auto" w:fill="auto"/>
            <w:noWrap/>
            <w:vAlign w:val="bottom"/>
            <w:hideMark/>
          </w:tcPr>
          <w:p w14:paraId="5BDB6534"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23.9</w:t>
            </w:r>
          </w:p>
        </w:tc>
      </w:tr>
      <w:tr w:rsidR="00CD6352" w:rsidRPr="001E7DC4" w14:paraId="6B71ADCD"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A9961A4"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Assembling the right team of advisors</w:t>
            </w:r>
          </w:p>
        </w:tc>
        <w:tc>
          <w:tcPr>
            <w:tcW w:w="1142" w:type="dxa"/>
            <w:tcBorders>
              <w:top w:val="nil"/>
              <w:left w:val="nil"/>
              <w:bottom w:val="single" w:sz="4" w:space="0" w:color="auto"/>
              <w:right w:val="single" w:sz="4" w:space="0" w:color="auto"/>
            </w:tcBorders>
            <w:shd w:val="clear" w:color="auto" w:fill="auto"/>
            <w:noWrap/>
            <w:vAlign w:val="bottom"/>
            <w:hideMark/>
          </w:tcPr>
          <w:p w14:paraId="6943B73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65D92693"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2.1</w:t>
            </w:r>
          </w:p>
        </w:tc>
        <w:tc>
          <w:tcPr>
            <w:tcW w:w="680" w:type="dxa"/>
            <w:tcBorders>
              <w:top w:val="nil"/>
              <w:left w:val="nil"/>
              <w:bottom w:val="single" w:sz="4" w:space="0" w:color="auto"/>
              <w:right w:val="single" w:sz="4" w:space="0" w:color="auto"/>
            </w:tcBorders>
            <w:shd w:val="clear" w:color="auto" w:fill="auto"/>
            <w:noWrap/>
            <w:vAlign w:val="bottom"/>
            <w:hideMark/>
          </w:tcPr>
          <w:p w14:paraId="56A9D4E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31.9</w:t>
            </w:r>
          </w:p>
        </w:tc>
        <w:tc>
          <w:tcPr>
            <w:tcW w:w="1000" w:type="dxa"/>
            <w:tcBorders>
              <w:top w:val="nil"/>
              <w:left w:val="nil"/>
              <w:bottom w:val="single" w:sz="4" w:space="0" w:color="auto"/>
              <w:right w:val="single" w:sz="4" w:space="0" w:color="auto"/>
            </w:tcBorders>
            <w:shd w:val="clear" w:color="auto" w:fill="auto"/>
            <w:noWrap/>
            <w:vAlign w:val="bottom"/>
            <w:hideMark/>
          </w:tcPr>
          <w:p w14:paraId="4C5A8E2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44.7</w:t>
            </w:r>
          </w:p>
        </w:tc>
        <w:tc>
          <w:tcPr>
            <w:tcW w:w="787" w:type="dxa"/>
            <w:tcBorders>
              <w:top w:val="nil"/>
              <w:left w:val="nil"/>
              <w:bottom w:val="single" w:sz="4" w:space="0" w:color="auto"/>
              <w:right w:val="single" w:sz="4" w:space="0" w:color="auto"/>
            </w:tcBorders>
            <w:shd w:val="clear" w:color="auto" w:fill="auto"/>
            <w:noWrap/>
            <w:vAlign w:val="bottom"/>
            <w:hideMark/>
          </w:tcPr>
          <w:p w14:paraId="490BF98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21.3</w:t>
            </w:r>
          </w:p>
        </w:tc>
      </w:tr>
      <w:tr w:rsidR="00CD6352" w:rsidRPr="001E7DC4" w14:paraId="63989B91"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03257CED"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Establishing an appropriate length and form of contract</w:t>
            </w:r>
          </w:p>
        </w:tc>
        <w:tc>
          <w:tcPr>
            <w:tcW w:w="1142" w:type="dxa"/>
            <w:tcBorders>
              <w:top w:val="nil"/>
              <w:left w:val="nil"/>
              <w:bottom w:val="single" w:sz="4" w:space="0" w:color="auto"/>
              <w:right w:val="single" w:sz="4" w:space="0" w:color="auto"/>
            </w:tcBorders>
            <w:shd w:val="clear" w:color="auto" w:fill="auto"/>
            <w:noWrap/>
            <w:vAlign w:val="bottom"/>
            <w:hideMark/>
          </w:tcPr>
          <w:p w14:paraId="50362F7E"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2.1</w:t>
            </w:r>
          </w:p>
        </w:tc>
        <w:tc>
          <w:tcPr>
            <w:tcW w:w="631" w:type="dxa"/>
            <w:tcBorders>
              <w:top w:val="nil"/>
              <w:left w:val="nil"/>
              <w:bottom w:val="single" w:sz="4" w:space="0" w:color="auto"/>
              <w:right w:val="single" w:sz="4" w:space="0" w:color="auto"/>
            </w:tcBorders>
            <w:shd w:val="clear" w:color="auto" w:fill="auto"/>
            <w:noWrap/>
            <w:vAlign w:val="bottom"/>
            <w:hideMark/>
          </w:tcPr>
          <w:p w14:paraId="49C8D2BC"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4.3</w:t>
            </w:r>
          </w:p>
        </w:tc>
        <w:tc>
          <w:tcPr>
            <w:tcW w:w="680" w:type="dxa"/>
            <w:tcBorders>
              <w:top w:val="nil"/>
              <w:left w:val="nil"/>
              <w:bottom w:val="single" w:sz="4" w:space="0" w:color="auto"/>
              <w:right w:val="single" w:sz="4" w:space="0" w:color="auto"/>
            </w:tcBorders>
            <w:shd w:val="clear" w:color="auto" w:fill="auto"/>
            <w:noWrap/>
            <w:vAlign w:val="bottom"/>
            <w:hideMark/>
          </w:tcPr>
          <w:p w14:paraId="38495E9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44.7</w:t>
            </w:r>
          </w:p>
        </w:tc>
        <w:tc>
          <w:tcPr>
            <w:tcW w:w="1000" w:type="dxa"/>
            <w:tcBorders>
              <w:top w:val="nil"/>
              <w:left w:val="nil"/>
              <w:bottom w:val="single" w:sz="4" w:space="0" w:color="auto"/>
              <w:right w:val="single" w:sz="4" w:space="0" w:color="auto"/>
            </w:tcBorders>
            <w:shd w:val="clear" w:color="auto" w:fill="auto"/>
            <w:noWrap/>
            <w:vAlign w:val="bottom"/>
            <w:hideMark/>
          </w:tcPr>
          <w:p w14:paraId="71BEE76D"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29.8</w:t>
            </w:r>
          </w:p>
        </w:tc>
        <w:tc>
          <w:tcPr>
            <w:tcW w:w="787" w:type="dxa"/>
            <w:tcBorders>
              <w:top w:val="nil"/>
              <w:left w:val="nil"/>
              <w:bottom w:val="single" w:sz="4" w:space="0" w:color="auto"/>
              <w:right w:val="single" w:sz="4" w:space="0" w:color="auto"/>
            </w:tcBorders>
            <w:shd w:val="clear" w:color="auto" w:fill="auto"/>
            <w:noWrap/>
            <w:vAlign w:val="bottom"/>
            <w:hideMark/>
          </w:tcPr>
          <w:p w14:paraId="43C12441"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19.1</w:t>
            </w:r>
          </w:p>
        </w:tc>
      </w:tr>
      <w:tr w:rsidR="00CD6352" w:rsidRPr="001E7DC4" w14:paraId="4E04AD98"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7094EE3A"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Stable political and social environment</w:t>
            </w:r>
          </w:p>
        </w:tc>
        <w:tc>
          <w:tcPr>
            <w:tcW w:w="1142" w:type="dxa"/>
            <w:tcBorders>
              <w:top w:val="nil"/>
              <w:left w:val="nil"/>
              <w:bottom w:val="single" w:sz="4" w:space="0" w:color="auto"/>
              <w:right w:val="single" w:sz="4" w:space="0" w:color="auto"/>
            </w:tcBorders>
            <w:shd w:val="clear" w:color="auto" w:fill="auto"/>
            <w:noWrap/>
            <w:vAlign w:val="bottom"/>
            <w:hideMark/>
          </w:tcPr>
          <w:p w14:paraId="1C841E22"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Nil</w:t>
            </w:r>
          </w:p>
        </w:tc>
        <w:tc>
          <w:tcPr>
            <w:tcW w:w="631" w:type="dxa"/>
            <w:tcBorders>
              <w:top w:val="nil"/>
              <w:left w:val="nil"/>
              <w:bottom w:val="single" w:sz="4" w:space="0" w:color="auto"/>
              <w:right w:val="single" w:sz="4" w:space="0" w:color="auto"/>
            </w:tcBorders>
            <w:shd w:val="clear" w:color="auto" w:fill="auto"/>
            <w:noWrap/>
            <w:vAlign w:val="bottom"/>
            <w:hideMark/>
          </w:tcPr>
          <w:p w14:paraId="1384C9F5"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8.7</w:t>
            </w:r>
          </w:p>
        </w:tc>
        <w:tc>
          <w:tcPr>
            <w:tcW w:w="680" w:type="dxa"/>
            <w:tcBorders>
              <w:top w:val="nil"/>
              <w:left w:val="nil"/>
              <w:bottom w:val="single" w:sz="4" w:space="0" w:color="auto"/>
              <w:right w:val="single" w:sz="4" w:space="0" w:color="auto"/>
            </w:tcBorders>
            <w:shd w:val="clear" w:color="auto" w:fill="auto"/>
            <w:noWrap/>
            <w:vAlign w:val="bottom"/>
            <w:hideMark/>
          </w:tcPr>
          <w:p w14:paraId="68447A0B"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34.8</w:t>
            </w:r>
          </w:p>
        </w:tc>
        <w:tc>
          <w:tcPr>
            <w:tcW w:w="1000" w:type="dxa"/>
            <w:tcBorders>
              <w:top w:val="nil"/>
              <w:left w:val="nil"/>
              <w:bottom w:val="single" w:sz="4" w:space="0" w:color="auto"/>
              <w:right w:val="single" w:sz="4" w:space="0" w:color="auto"/>
            </w:tcBorders>
            <w:shd w:val="clear" w:color="auto" w:fill="auto"/>
            <w:noWrap/>
            <w:vAlign w:val="bottom"/>
            <w:hideMark/>
          </w:tcPr>
          <w:p w14:paraId="260AE11F"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39.1</w:t>
            </w:r>
          </w:p>
        </w:tc>
        <w:tc>
          <w:tcPr>
            <w:tcW w:w="787" w:type="dxa"/>
            <w:tcBorders>
              <w:top w:val="nil"/>
              <w:left w:val="nil"/>
              <w:bottom w:val="single" w:sz="4" w:space="0" w:color="auto"/>
              <w:right w:val="single" w:sz="4" w:space="0" w:color="auto"/>
            </w:tcBorders>
            <w:shd w:val="clear" w:color="auto" w:fill="auto"/>
            <w:noWrap/>
            <w:vAlign w:val="bottom"/>
            <w:hideMark/>
          </w:tcPr>
          <w:p w14:paraId="0A6B3609"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17.4</w:t>
            </w:r>
          </w:p>
        </w:tc>
      </w:tr>
      <w:tr w:rsidR="00CD6352" w:rsidRPr="001E7DC4" w14:paraId="4BD6CB27" w14:textId="77777777" w:rsidTr="00CD635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24846E25" w14:textId="77777777" w:rsidR="00CD6352" w:rsidRPr="001E7DC4" w:rsidRDefault="00CD6352" w:rsidP="00CD6352">
            <w:pPr>
              <w:spacing w:after="0" w:line="240" w:lineRule="auto"/>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Shared responsibility between the public and private sector</w:t>
            </w:r>
          </w:p>
        </w:tc>
        <w:tc>
          <w:tcPr>
            <w:tcW w:w="1142" w:type="dxa"/>
            <w:tcBorders>
              <w:top w:val="nil"/>
              <w:left w:val="nil"/>
              <w:bottom w:val="single" w:sz="4" w:space="0" w:color="auto"/>
              <w:right w:val="single" w:sz="4" w:space="0" w:color="auto"/>
            </w:tcBorders>
            <w:shd w:val="clear" w:color="auto" w:fill="auto"/>
            <w:noWrap/>
            <w:vAlign w:val="bottom"/>
            <w:hideMark/>
          </w:tcPr>
          <w:p w14:paraId="078257B0"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4.3</w:t>
            </w:r>
          </w:p>
        </w:tc>
        <w:tc>
          <w:tcPr>
            <w:tcW w:w="631" w:type="dxa"/>
            <w:tcBorders>
              <w:top w:val="nil"/>
              <w:left w:val="nil"/>
              <w:bottom w:val="single" w:sz="4" w:space="0" w:color="auto"/>
              <w:right w:val="single" w:sz="4" w:space="0" w:color="auto"/>
            </w:tcBorders>
            <w:shd w:val="clear" w:color="auto" w:fill="auto"/>
            <w:noWrap/>
            <w:vAlign w:val="bottom"/>
            <w:hideMark/>
          </w:tcPr>
          <w:p w14:paraId="2E6AB10A"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15.2</w:t>
            </w:r>
          </w:p>
        </w:tc>
        <w:tc>
          <w:tcPr>
            <w:tcW w:w="680" w:type="dxa"/>
            <w:tcBorders>
              <w:top w:val="nil"/>
              <w:left w:val="nil"/>
              <w:bottom w:val="single" w:sz="4" w:space="0" w:color="auto"/>
              <w:right w:val="single" w:sz="4" w:space="0" w:color="auto"/>
            </w:tcBorders>
            <w:shd w:val="clear" w:color="auto" w:fill="auto"/>
            <w:noWrap/>
            <w:vAlign w:val="bottom"/>
            <w:hideMark/>
          </w:tcPr>
          <w:p w14:paraId="4E1685A7"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23.9</w:t>
            </w:r>
          </w:p>
        </w:tc>
        <w:tc>
          <w:tcPr>
            <w:tcW w:w="1000" w:type="dxa"/>
            <w:tcBorders>
              <w:top w:val="nil"/>
              <w:left w:val="nil"/>
              <w:bottom w:val="single" w:sz="4" w:space="0" w:color="auto"/>
              <w:right w:val="single" w:sz="4" w:space="0" w:color="auto"/>
            </w:tcBorders>
            <w:shd w:val="clear" w:color="auto" w:fill="auto"/>
            <w:noWrap/>
            <w:vAlign w:val="bottom"/>
            <w:hideMark/>
          </w:tcPr>
          <w:p w14:paraId="51123A46"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41.3</w:t>
            </w:r>
          </w:p>
        </w:tc>
        <w:tc>
          <w:tcPr>
            <w:tcW w:w="787" w:type="dxa"/>
            <w:tcBorders>
              <w:top w:val="nil"/>
              <w:left w:val="nil"/>
              <w:bottom w:val="single" w:sz="4" w:space="0" w:color="auto"/>
              <w:right w:val="single" w:sz="4" w:space="0" w:color="auto"/>
            </w:tcBorders>
            <w:shd w:val="clear" w:color="auto" w:fill="auto"/>
            <w:noWrap/>
            <w:vAlign w:val="bottom"/>
            <w:hideMark/>
          </w:tcPr>
          <w:p w14:paraId="43526AC4" w14:textId="77777777" w:rsidR="00CD6352" w:rsidRPr="001E7DC4" w:rsidRDefault="00CD6352" w:rsidP="00CD6352">
            <w:pPr>
              <w:spacing w:after="0" w:line="240" w:lineRule="auto"/>
              <w:jc w:val="right"/>
              <w:rPr>
                <w:rFonts w:ascii="Arial" w:eastAsia="Times New Roman" w:hAnsi="Arial" w:cs="Arial"/>
                <w:color w:val="000000"/>
                <w:sz w:val="16"/>
                <w:szCs w:val="16"/>
                <w:lang w:eastAsia="en-GB"/>
              </w:rPr>
            </w:pPr>
            <w:r w:rsidRPr="001E7DC4">
              <w:rPr>
                <w:rFonts w:ascii="Arial" w:eastAsia="Times New Roman" w:hAnsi="Arial" w:cs="Arial"/>
                <w:color w:val="000000"/>
                <w:sz w:val="16"/>
                <w:szCs w:val="16"/>
                <w:lang w:eastAsia="en-GB"/>
              </w:rPr>
              <w:t>15.2</w:t>
            </w:r>
          </w:p>
        </w:tc>
      </w:tr>
    </w:tbl>
    <w:p w14:paraId="0A3C6ADE" w14:textId="468E5779"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Author’s compilation from SPSS analysis (20</w:t>
      </w:r>
      <w:r w:rsidR="001E7DC4">
        <w:rPr>
          <w:rFonts w:ascii="Arial" w:hAnsi="Arial" w:cs="Arial"/>
          <w:sz w:val="16"/>
          <w:szCs w:val="16"/>
        </w:rPr>
        <w:t>20</w:t>
      </w:r>
      <w:r w:rsidRPr="00EA7665">
        <w:rPr>
          <w:rFonts w:ascii="Arial" w:hAnsi="Arial" w:cs="Arial"/>
          <w:sz w:val="16"/>
          <w:szCs w:val="16"/>
        </w:rPr>
        <w:t>)</w:t>
      </w:r>
    </w:p>
    <w:p w14:paraId="4ADC7601" w14:textId="5E5DE6BC" w:rsidR="00CD6352" w:rsidRPr="001E7DC4" w:rsidRDefault="001E7DC4" w:rsidP="001E7DC4">
      <w:pPr>
        <w:rPr>
          <w:rFonts w:ascii="Arial" w:hAnsi="Arial" w:cs="Arial"/>
        </w:rPr>
      </w:pPr>
      <w:r w:rsidRPr="001E7DC4">
        <w:rPr>
          <w:rFonts w:ascii="Arial" w:hAnsi="Arial" w:cs="Arial"/>
        </w:rPr>
        <w:t>Table 6.2</w:t>
      </w:r>
      <w:r w:rsidR="00CB75C0">
        <w:rPr>
          <w:rFonts w:ascii="Arial" w:hAnsi="Arial" w:cs="Arial"/>
        </w:rPr>
        <w:t>.2</w:t>
      </w:r>
      <w:r w:rsidRPr="001E7DC4">
        <w:rPr>
          <w:rFonts w:ascii="Arial" w:hAnsi="Arial" w:cs="Arial"/>
        </w:rPr>
        <w:t xml:space="preserve"> represents the overall mean scores and the ranking of the critical success factors for securing finance for real estate project development. The level of criticality increases as the mean score increases. However, where two or more factors have the same mean, </w:t>
      </w:r>
      <w:r w:rsidR="008B28A9">
        <w:rPr>
          <w:rFonts w:ascii="Arial" w:hAnsi="Arial" w:cs="Arial"/>
        </w:rPr>
        <w:t>the highest standard deviation (SD) is given priority</w:t>
      </w:r>
      <w:r w:rsidRPr="001E7DC4">
        <w:rPr>
          <w:rFonts w:ascii="Arial" w:hAnsi="Arial" w:cs="Arial"/>
        </w:rPr>
        <w:t>. Notably, the mean score ranges between 3.44 to 4.24</w:t>
      </w:r>
      <w:r w:rsidR="008B28A9">
        <w:rPr>
          <w:rFonts w:ascii="Arial" w:hAnsi="Arial" w:cs="Arial"/>
        </w:rPr>
        <w:t>, indicating that all twenty factors are significant as they are either critical or</w:t>
      </w:r>
      <w:r w:rsidRPr="001E7DC4">
        <w:rPr>
          <w:rFonts w:ascii="Arial" w:hAnsi="Arial" w:cs="Arial"/>
        </w:rPr>
        <w:t xml:space="preserve"> </w:t>
      </w:r>
      <w:r w:rsidR="008B28A9">
        <w:rPr>
          <w:rFonts w:ascii="Arial" w:hAnsi="Arial" w:cs="Arial"/>
        </w:rPr>
        <w:t xml:space="preserve">very </w:t>
      </w:r>
      <w:r w:rsidRPr="001E7DC4">
        <w:rPr>
          <w:rFonts w:ascii="Arial" w:hAnsi="Arial" w:cs="Arial"/>
        </w:rPr>
        <w:t>critical to securing finance for real estate project development.</w:t>
      </w:r>
    </w:p>
    <w:p w14:paraId="1562A188" w14:textId="7CC12BFF" w:rsidR="00CB75C0" w:rsidRPr="007C5820" w:rsidRDefault="00CB75C0" w:rsidP="00CB75C0">
      <w:pPr>
        <w:pStyle w:val="Caption"/>
        <w:keepNext/>
        <w:rPr>
          <w:rFonts w:ascii="Arial" w:hAnsi="Arial" w:cs="Arial"/>
          <w:i w:val="0"/>
          <w:iCs w:val="0"/>
          <w:sz w:val="16"/>
          <w:szCs w:val="16"/>
        </w:rPr>
      </w:pPr>
      <w:bookmarkStart w:id="1159" w:name="_Toc78983978"/>
      <w:r w:rsidRPr="007C5820">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7C5820">
        <w:rPr>
          <w:rFonts w:ascii="Arial" w:hAnsi="Arial" w:cs="Arial"/>
          <w:sz w:val="16"/>
          <w:szCs w:val="16"/>
        </w:rPr>
        <w:t xml:space="preserve">: </w:t>
      </w:r>
      <w:r w:rsidRPr="007C5820">
        <w:rPr>
          <w:rFonts w:ascii="Arial" w:hAnsi="Arial" w:cs="Arial"/>
          <w:i w:val="0"/>
          <w:iCs w:val="0"/>
          <w:sz w:val="16"/>
          <w:szCs w:val="16"/>
        </w:rPr>
        <w:t xml:space="preserve">mean score of critical success factors for securing </w:t>
      </w:r>
      <w:r w:rsidR="00D85D1C">
        <w:rPr>
          <w:rFonts w:ascii="Arial" w:hAnsi="Arial" w:cs="Arial"/>
          <w:i w:val="0"/>
          <w:iCs w:val="0"/>
          <w:sz w:val="16"/>
          <w:szCs w:val="16"/>
        </w:rPr>
        <w:t>real estate project development finance</w:t>
      </w:r>
      <w:r w:rsidRPr="007C5820">
        <w:rPr>
          <w:rFonts w:ascii="Arial" w:hAnsi="Arial" w:cs="Arial"/>
          <w:i w:val="0"/>
          <w:iCs w:val="0"/>
          <w:sz w:val="16"/>
          <w:szCs w:val="16"/>
        </w:rPr>
        <w:t xml:space="preserve"> at the aggregate level.</w:t>
      </w:r>
      <w:bookmarkEnd w:id="1159"/>
    </w:p>
    <w:tbl>
      <w:tblPr>
        <w:tblStyle w:val="TableGrid"/>
        <w:tblW w:w="5037" w:type="pct"/>
        <w:tblLook w:val="04A0" w:firstRow="1" w:lastRow="0" w:firstColumn="1" w:lastColumn="0" w:noHBand="0" w:noVBand="1"/>
      </w:tblPr>
      <w:tblGrid>
        <w:gridCol w:w="5877"/>
        <w:gridCol w:w="2394"/>
        <w:gridCol w:w="812"/>
      </w:tblGrid>
      <w:tr w:rsidR="00CD6352" w:rsidRPr="0076450C" w14:paraId="28F304B9" w14:textId="77777777" w:rsidTr="0076450C">
        <w:trPr>
          <w:trHeight w:val="208"/>
        </w:trPr>
        <w:tc>
          <w:tcPr>
            <w:tcW w:w="3235" w:type="pct"/>
            <w:noWrap/>
            <w:hideMark/>
          </w:tcPr>
          <w:p w14:paraId="6FD95002" w14:textId="77777777" w:rsidR="00CD6352" w:rsidRPr="0076450C" w:rsidRDefault="00CD6352" w:rsidP="00CD6352">
            <w:pPr>
              <w:contextualSpacing/>
              <w:rPr>
                <w:rFonts w:ascii="Arial" w:hAnsi="Arial" w:cs="Arial"/>
                <w:b/>
                <w:sz w:val="16"/>
                <w:szCs w:val="16"/>
              </w:rPr>
            </w:pPr>
            <w:r w:rsidRPr="0076450C">
              <w:rPr>
                <w:rFonts w:ascii="Arial" w:hAnsi="Arial" w:cs="Arial"/>
                <w:b/>
                <w:sz w:val="16"/>
                <w:szCs w:val="16"/>
              </w:rPr>
              <w:t xml:space="preserve">Critical success factors </w:t>
            </w:r>
          </w:p>
        </w:tc>
        <w:tc>
          <w:tcPr>
            <w:tcW w:w="1318" w:type="pct"/>
            <w:noWrap/>
            <w:hideMark/>
          </w:tcPr>
          <w:p w14:paraId="7EDF6312" w14:textId="77777777" w:rsidR="00CD6352" w:rsidRPr="0076450C" w:rsidRDefault="00CD6352" w:rsidP="00CD6352">
            <w:pPr>
              <w:contextualSpacing/>
              <w:rPr>
                <w:rFonts w:ascii="Arial" w:hAnsi="Arial" w:cs="Arial"/>
                <w:b/>
                <w:sz w:val="16"/>
                <w:szCs w:val="16"/>
              </w:rPr>
            </w:pPr>
            <w:r w:rsidRPr="0076450C">
              <w:rPr>
                <w:rFonts w:ascii="Arial" w:hAnsi="Arial" w:cs="Arial"/>
                <w:b/>
                <w:sz w:val="16"/>
                <w:szCs w:val="16"/>
              </w:rPr>
              <w:t>Mean values ( N= 81)</w:t>
            </w:r>
          </w:p>
        </w:tc>
        <w:tc>
          <w:tcPr>
            <w:tcW w:w="447" w:type="pct"/>
            <w:noWrap/>
            <w:hideMark/>
          </w:tcPr>
          <w:p w14:paraId="5AE89D9A" w14:textId="77777777" w:rsidR="00CD6352" w:rsidRPr="0076450C" w:rsidRDefault="00CD6352" w:rsidP="00CD6352">
            <w:pPr>
              <w:contextualSpacing/>
              <w:rPr>
                <w:rFonts w:ascii="Arial" w:hAnsi="Arial" w:cs="Arial"/>
                <w:b/>
                <w:sz w:val="16"/>
                <w:szCs w:val="16"/>
              </w:rPr>
            </w:pPr>
            <w:r w:rsidRPr="0076450C">
              <w:rPr>
                <w:rFonts w:ascii="Arial" w:hAnsi="Arial" w:cs="Arial"/>
                <w:b/>
                <w:sz w:val="16"/>
                <w:szCs w:val="16"/>
              </w:rPr>
              <w:t>Rank</w:t>
            </w:r>
          </w:p>
        </w:tc>
      </w:tr>
      <w:tr w:rsidR="00CD6352" w:rsidRPr="0076450C" w14:paraId="3677226E" w14:textId="77777777" w:rsidTr="0076450C">
        <w:trPr>
          <w:trHeight w:val="300"/>
        </w:trPr>
        <w:tc>
          <w:tcPr>
            <w:tcW w:w="3235" w:type="pct"/>
            <w:noWrap/>
            <w:hideMark/>
          </w:tcPr>
          <w:p w14:paraId="0E08F6A4"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Access to land</w:t>
            </w:r>
          </w:p>
        </w:tc>
        <w:tc>
          <w:tcPr>
            <w:tcW w:w="1318" w:type="pct"/>
            <w:noWrap/>
            <w:hideMark/>
          </w:tcPr>
          <w:p w14:paraId="08EAA55B"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4.24</w:t>
            </w:r>
          </w:p>
        </w:tc>
        <w:tc>
          <w:tcPr>
            <w:tcW w:w="447" w:type="pct"/>
            <w:noWrap/>
            <w:hideMark/>
          </w:tcPr>
          <w:p w14:paraId="2CD65B3E"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w:t>
            </w:r>
          </w:p>
        </w:tc>
      </w:tr>
      <w:tr w:rsidR="00CD6352" w:rsidRPr="0076450C" w14:paraId="0571873C" w14:textId="77777777" w:rsidTr="0076450C">
        <w:trPr>
          <w:trHeight w:val="273"/>
        </w:trPr>
        <w:tc>
          <w:tcPr>
            <w:tcW w:w="3235" w:type="pct"/>
            <w:noWrap/>
            <w:hideMark/>
          </w:tcPr>
          <w:p w14:paraId="1370A5B0"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The profitability of the project</w:t>
            </w:r>
          </w:p>
        </w:tc>
        <w:tc>
          <w:tcPr>
            <w:tcW w:w="1318" w:type="pct"/>
            <w:noWrap/>
            <w:hideMark/>
          </w:tcPr>
          <w:p w14:paraId="63910E9A"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4.08</w:t>
            </w:r>
          </w:p>
        </w:tc>
        <w:tc>
          <w:tcPr>
            <w:tcW w:w="447" w:type="pct"/>
            <w:noWrap/>
            <w:hideMark/>
          </w:tcPr>
          <w:p w14:paraId="4EEA1697"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2</w:t>
            </w:r>
          </w:p>
        </w:tc>
      </w:tr>
      <w:tr w:rsidR="00CD6352" w:rsidRPr="0076450C" w14:paraId="5EAD8B8C" w14:textId="77777777" w:rsidTr="0076450C">
        <w:trPr>
          <w:trHeight w:val="263"/>
        </w:trPr>
        <w:tc>
          <w:tcPr>
            <w:tcW w:w="3235" w:type="pct"/>
            <w:noWrap/>
            <w:hideMark/>
          </w:tcPr>
          <w:p w14:paraId="6F5DBD3E"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Business plan</w:t>
            </w:r>
          </w:p>
        </w:tc>
        <w:tc>
          <w:tcPr>
            <w:tcW w:w="1318" w:type="pct"/>
            <w:noWrap/>
            <w:hideMark/>
          </w:tcPr>
          <w:p w14:paraId="7A31F96B"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4.08</w:t>
            </w:r>
          </w:p>
        </w:tc>
        <w:tc>
          <w:tcPr>
            <w:tcW w:w="447" w:type="pct"/>
            <w:noWrap/>
            <w:hideMark/>
          </w:tcPr>
          <w:p w14:paraId="6A3A6E7C"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w:t>
            </w:r>
          </w:p>
        </w:tc>
      </w:tr>
      <w:tr w:rsidR="00CD6352" w:rsidRPr="0076450C" w14:paraId="618D1B6C" w14:textId="77777777" w:rsidTr="0076450C">
        <w:trPr>
          <w:trHeight w:val="300"/>
        </w:trPr>
        <w:tc>
          <w:tcPr>
            <w:tcW w:w="3235" w:type="pct"/>
            <w:noWrap/>
            <w:hideMark/>
          </w:tcPr>
          <w:p w14:paraId="42CF6768"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Project technical feasibility</w:t>
            </w:r>
          </w:p>
        </w:tc>
        <w:tc>
          <w:tcPr>
            <w:tcW w:w="1318" w:type="pct"/>
            <w:noWrap/>
            <w:hideMark/>
          </w:tcPr>
          <w:p w14:paraId="29BEC9B0"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3.98</w:t>
            </w:r>
          </w:p>
        </w:tc>
        <w:tc>
          <w:tcPr>
            <w:tcW w:w="447" w:type="pct"/>
            <w:noWrap/>
            <w:hideMark/>
          </w:tcPr>
          <w:p w14:paraId="174C34AA"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4</w:t>
            </w:r>
          </w:p>
        </w:tc>
      </w:tr>
      <w:tr w:rsidR="00CD6352" w:rsidRPr="0076450C" w14:paraId="7163CEBC" w14:textId="77777777" w:rsidTr="0076450C">
        <w:trPr>
          <w:trHeight w:val="300"/>
        </w:trPr>
        <w:tc>
          <w:tcPr>
            <w:tcW w:w="3235" w:type="pct"/>
            <w:noWrap/>
            <w:hideMark/>
          </w:tcPr>
          <w:p w14:paraId="7D61EAE1"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Project manager’s experience</w:t>
            </w:r>
          </w:p>
        </w:tc>
        <w:tc>
          <w:tcPr>
            <w:tcW w:w="1318" w:type="pct"/>
            <w:noWrap/>
            <w:hideMark/>
          </w:tcPr>
          <w:p w14:paraId="307CA21D"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3.98</w:t>
            </w:r>
          </w:p>
        </w:tc>
        <w:tc>
          <w:tcPr>
            <w:tcW w:w="447" w:type="pct"/>
            <w:noWrap/>
            <w:hideMark/>
          </w:tcPr>
          <w:p w14:paraId="38640D6D"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5</w:t>
            </w:r>
          </w:p>
        </w:tc>
      </w:tr>
      <w:tr w:rsidR="00CD6352" w:rsidRPr="0076450C" w14:paraId="382FFC9C" w14:textId="77777777" w:rsidTr="0076450C">
        <w:trPr>
          <w:trHeight w:val="300"/>
        </w:trPr>
        <w:tc>
          <w:tcPr>
            <w:tcW w:w="3235" w:type="pct"/>
            <w:noWrap/>
            <w:hideMark/>
          </w:tcPr>
          <w:p w14:paraId="1CFEEEB8"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Meeting of project timeline &amp; control of project performance</w:t>
            </w:r>
          </w:p>
        </w:tc>
        <w:tc>
          <w:tcPr>
            <w:tcW w:w="1318" w:type="pct"/>
            <w:noWrap/>
            <w:hideMark/>
          </w:tcPr>
          <w:p w14:paraId="7B18DC63"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3.98</w:t>
            </w:r>
          </w:p>
        </w:tc>
        <w:tc>
          <w:tcPr>
            <w:tcW w:w="447" w:type="pct"/>
            <w:noWrap/>
            <w:hideMark/>
          </w:tcPr>
          <w:p w14:paraId="03CBB01D"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6</w:t>
            </w:r>
          </w:p>
        </w:tc>
      </w:tr>
      <w:tr w:rsidR="00CD6352" w:rsidRPr="0076450C" w14:paraId="4CCCFD19" w14:textId="77777777" w:rsidTr="0076450C">
        <w:trPr>
          <w:trHeight w:val="117"/>
        </w:trPr>
        <w:tc>
          <w:tcPr>
            <w:tcW w:w="3235" w:type="pct"/>
            <w:noWrap/>
            <w:hideMark/>
          </w:tcPr>
          <w:p w14:paraId="23FACFBB"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The financial capacity of the organisation</w:t>
            </w:r>
          </w:p>
        </w:tc>
        <w:tc>
          <w:tcPr>
            <w:tcW w:w="1318" w:type="pct"/>
            <w:noWrap/>
            <w:hideMark/>
          </w:tcPr>
          <w:p w14:paraId="67FFF15A"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3.96</w:t>
            </w:r>
          </w:p>
        </w:tc>
        <w:tc>
          <w:tcPr>
            <w:tcW w:w="447" w:type="pct"/>
            <w:noWrap/>
            <w:hideMark/>
          </w:tcPr>
          <w:p w14:paraId="60DB0147"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7</w:t>
            </w:r>
          </w:p>
        </w:tc>
      </w:tr>
      <w:tr w:rsidR="00CD6352" w:rsidRPr="0076450C" w14:paraId="7DCFD890" w14:textId="77777777" w:rsidTr="0076450C">
        <w:trPr>
          <w:trHeight w:val="300"/>
        </w:trPr>
        <w:tc>
          <w:tcPr>
            <w:tcW w:w="3235" w:type="pct"/>
            <w:noWrap/>
            <w:hideMark/>
          </w:tcPr>
          <w:p w14:paraId="6F168F08"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Manager’s ability and skills</w:t>
            </w:r>
          </w:p>
        </w:tc>
        <w:tc>
          <w:tcPr>
            <w:tcW w:w="1318" w:type="pct"/>
            <w:noWrap/>
            <w:hideMark/>
          </w:tcPr>
          <w:p w14:paraId="4F7A15C6"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3.96</w:t>
            </w:r>
          </w:p>
        </w:tc>
        <w:tc>
          <w:tcPr>
            <w:tcW w:w="447" w:type="pct"/>
            <w:noWrap/>
            <w:hideMark/>
          </w:tcPr>
          <w:p w14:paraId="19A22E1D"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8</w:t>
            </w:r>
          </w:p>
        </w:tc>
      </w:tr>
      <w:tr w:rsidR="00CD6352" w:rsidRPr="0076450C" w14:paraId="31448C42" w14:textId="77777777" w:rsidTr="0076450C">
        <w:trPr>
          <w:trHeight w:val="300"/>
        </w:trPr>
        <w:tc>
          <w:tcPr>
            <w:tcW w:w="3235" w:type="pct"/>
            <w:noWrap/>
            <w:hideMark/>
          </w:tcPr>
          <w:p w14:paraId="29B3F7D6"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Financial modelling with realistic assumptions</w:t>
            </w:r>
          </w:p>
        </w:tc>
        <w:tc>
          <w:tcPr>
            <w:tcW w:w="1318" w:type="pct"/>
            <w:noWrap/>
            <w:hideMark/>
          </w:tcPr>
          <w:p w14:paraId="78379964"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3.96</w:t>
            </w:r>
          </w:p>
        </w:tc>
        <w:tc>
          <w:tcPr>
            <w:tcW w:w="447" w:type="pct"/>
            <w:noWrap/>
            <w:hideMark/>
          </w:tcPr>
          <w:p w14:paraId="08048A91"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9</w:t>
            </w:r>
          </w:p>
        </w:tc>
      </w:tr>
      <w:tr w:rsidR="00CD6352" w:rsidRPr="0076450C" w14:paraId="5701F059" w14:textId="77777777" w:rsidTr="0076450C">
        <w:trPr>
          <w:trHeight w:val="300"/>
        </w:trPr>
        <w:tc>
          <w:tcPr>
            <w:tcW w:w="3235" w:type="pct"/>
            <w:noWrap/>
            <w:hideMark/>
          </w:tcPr>
          <w:p w14:paraId="2DC58091"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Familiarity with local legislation &amp; clear contract terms</w:t>
            </w:r>
          </w:p>
        </w:tc>
        <w:tc>
          <w:tcPr>
            <w:tcW w:w="1318" w:type="pct"/>
            <w:noWrap/>
            <w:hideMark/>
          </w:tcPr>
          <w:p w14:paraId="0CE2042F"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3.92</w:t>
            </w:r>
          </w:p>
        </w:tc>
        <w:tc>
          <w:tcPr>
            <w:tcW w:w="447" w:type="pct"/>
            <w:noWrap/>
            <w:hideMark/>
          </w:tcPr>
          <w:p w14:paraId="55C739D1"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10</w:t>
            </w:r>
          </w:p>
        </w:tc>
      </w:tr>
      <w:tr w:rsidR="00CD6352" w:rsidRPr="0076450C" w14:paraId="277AB2F8" w14:textId="77777777" w:rsidTr="0076450C">
        <w:trPr>
          <w:trHeight w:val="300"/>
        </w:trPr>
        <w:tc>
          <w:tcPr>
            <w:tcW w:w="3235" w:type="pct"/>
            <w:noWrap/>
            <w:hideMark/>
          </w:tcPr>
          <w:p w14:paraId="006E75FB"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The expected debt-paying ability of the project</w:t>
            </w:r>
          </w:p>
        </w:tc>
        <w:tc>
          <w:tcPr>
            <w:tcW w:w="1318" w:type="pct"/>
            <w:noWrap/>
            <w:hideMark/>
          </w:tcPr>
          <w:p w14:paraId="28B0C406"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w:t>
            </w:r>
          </w:p>
        </w:tc>
        <w:tc>
          <w:tcPr>
            <w:tcW w:w="447" w:type="pct"/>
            <w:noWrap/>
            <w:hideMark/>
          </w:tcPr>
          <w:p w14:paraId="205CE99B"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11</w:t>
            </w:r>
          </w:p>
        </w:tc>
      </w:tr>
      <w:tr w:rsidR="00CD6352" w:rsidRPr="0076450C" w14:paraId="60EE58BD" w14:textId="77777777" w:rsidTr="0076450C">
        <w:trPr>
          <w:trHeight w:val="300"/>
        </w:trPr>
        <w:tc>
          <w:tcPr>
            <w:tcW w:w="3235" w:type="pct"/>
            <w:noWrap/>
            <w:hideMark/>
          </w:tcPr>
          <w:p w14:paraId="29309326"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Existence of enabling policy and legal framework</w:t>
            </w:r>
          </w:p>
        </w:tc>
        <w:tc>
          <w:tcPr>
            <w:tcW w:w="1318" w:type="pct"/>
            <w:noWrap/>
            <w:hideMark/>
          </w:tcPr>
          <w:p w14:paraId="4789D9BB"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3.9</w:t>
            </w:r>
          </w:p>
        </w:tc>
        <w:tc>
          <w:tcPr>
            <w:tcW w:w="447" w:type="pct"/>
            <w:noWrap/>
            <w:hideMark/>
          </w:tcPr>
          <w:p w14:paraId="0E72B09E"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12</w:t>
            </w:r>
          </w:p>
        </w:tc>
      </w:tr>
      <w:tr w:rsidR="00CD6352" w:rsidRPr="0076450C" w14:paraId="6966CB51" w14:textId="77777777" w:rsidTr="0076450C">
        <w:trPr>
          <w:trHeight w:val="300"/>
        </w:trPr>
        <w:tc>
          <w:tcPr>
            <w:tcW w:w="3235" w:type="pct"/>
            <w:noWrap/>
            <w:hideMark/>
          </w:tcPr>
          <w:p w14:paraId="32CF4578"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Assembling the right team of advisors</w:t>
            </w:r>
          </w:p>
        </w:tc>
        <w:tc>
          <w:tcPr>
            <w:tcW w:w="1318" w:type="pct"/>
            <w:noWrap/>
            <w:hideMark/>
          </w:tcPr>
          <w:p w14:paraId="54A8DB44"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3.84</w:t>
            </w:r>
          </w:p>
        </w:tc>
        <w:tc>
          <w:tcPr>
            <w:tcW w:w="447" w:type="pct"/>
            <w:noWrap/>
            <w:hideMark/>
          </w:tcPr>
          <w:p w14:paraId="6CF0B543"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13</w:t>
            </w:r>
          </w:p>
        </w:tc>
      </w:tr>
      <w:tr w:rsidR="00CD6352" w:rsidRPr="0076450C" w14:paraId="3422E213" w14:textId="77777777" w:rsidTr="0076450C">
        <w:trPr>
          <w:trHeight w:val="300"/>
        </w:trPr>
        <w:tc>
          <w:tcPr>
            <w:tcW w:w="3235" w:type="pct"/>
            <w:noWrap/>
            <w:hideMark/>
          </w:tcPr>
          <w:p w14:paraId="2792C58F"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Risks allocation and risk-sharing</w:t>
            </w:r>
          </w:p>
        </w:tc>
        <w:tc>
          <w:tcPr>
            <w:tcW w:w="1318" w:type="pct"/>
            <w:noWrap/>
            <w:hideMark/>
          </w:tcPr>
          <w:p w14:paraId="44B1BE57"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3.81</w:t>
            </w:r>
          </w:p>
        </w:tc>
        <w:tc>
          <w:tcPr>
            <w:tcW w:w="447" w:type="pct"/>
            <w:noWrap/>
            <w:hideMark/>
          </w:tcPr>
          <w:p w14:paraId="71DFDCB4"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14</w:t>
            </w:r>
          </w:p>
        </w:tc>
      </w:tr>
      <w:tr w:rsidR="00CD6352" w:rsidRPr="0076450C" w14:paraId="42AA5D73" w14:textId="77777777" w:rsidTr="0076450C">
        <w:trPr>
          <w:trHeight w:val="300"/>
        </w:trPr>
        <w:tc>
          <w:tcPr>
            <w:tcW w:w="3235" w:type="pct"/>
            <w:noWrap/>
            <w:hideMark/>
          </w:tcPr>
          <w:p w14:paraId="3947AFF8"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 xml:space="preserve">Liquidity management </w:t>
            </w:r>
          </w:p>
        </w:tc>
        <w:tc>
          <w:tcPr>
            <w:tcW w:w="1318" w:type="pct"/>
            <w:noWrap/>
            <w:hideMark/>
          </w:tcPr>
          <w:p w14:paraId="0E36985C"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3.78</w:t>
            </w:r>
          </w:p>
        </w:tc>
        <w:tc>
          <w:tcPr>
            <w:tcW w:w="447" w:type="pct"/>
            <w:noWrap/>
            <w:hideMark/>
          </w:tcPr>
          <w:p w14:paraId="5F7FBE0A"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15</w:t>
            </w:r>
          </w:p>
        </w:tc>
      </w:tr>
      <w:tr w:rsidR="00CD6352" w:rsidRPr="0076450C" w14:paraId="6A7F3898" w14:textId="77777777" w:rsidTr="0076450C">
        <w:trPr>
          <w:trHeight w:val="300"/>
        </w:trPr>
        <w:tc>
          <w:tcPr>
            <w:tcW w:w="3235" w:type="pct"/>
            <w:noWrap/>
            <w:hideMark/>
          </w:tcPr>
          <w:p w14:paraId="1CCFDA20"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Stable macro-economic environment</w:t>
            </w:r>
          </w:p>
        </w:tc>
        <w:tc>
          <w:tcPr>
            <w:tcW w:w="1318" w:type="pct"/>
            <w:noWrap/>
            <w:hideMark/>
          </w:tcPr>
          <w:p w14:paraId="6CEFACD4"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3.69</w:t>
            </w:r>
          </w:p>
        </w:tc>
        <w:tc>
          <w:tcPr>
            <w:tcW w:w="447" w:type="pct"/>
            <w:noWrap/>
            <w:hideMark/>
          </w:tcPr>
          <w:p w14:paraId="41C62B7D"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16</w:t>
            </w:r>
          </w:p>
        </w:tc>
      </w:tr>
      <w:tr w:rsidR="00CD6352" w:rsidRPr="0076450C" w14:paraId="68A48259" w14:textId="77777777" w:rsidTr="0076450C">
        <w:trPr>
          <w:trHeight w:val="300"/>
        </w:trPr>
        <w:tc>
          <w:tcPr>
            <w:tcW w:w="3235" w:type="pct"/>
            <w:noWrap/>
            <w:hideMark/>
          </w:tcPr>
          <w:p w14:paraId="2DAB056C"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Access to relevant update data</w:t>
            </w:r>
          </w:p>
        </w:tc>
        <w:tc>
          <w:tcPr>
            <w:tcW w:w="1318" w:type="pct"/>
            <w:noWrap/>
            <w:hideMark/>
          </w:tcPr>
          <w:p w14:paraId="14FBD0C9"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3.67</w:t>
            </w:r>
          </w:p>
        </w:tc>
        <w:tc>
          <w:tcPr>
            <w:tcW w:w="447" w:type="pct"/>
            <w:noWrap/>
            <w:hideMark/>
          </w:tcPr>
          <w:p w14:paraId="1B856C9D"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17</w:t>
            </w:r>
          </w:p>
        </w:tc>
      </w:tr>
      <w:tr w:rsidR="00CD6352" w:rsidRPr="0076450C" w14:paraId="2B6CB11A" w14:textId="77777777" w:rsidTr="0076450C">
        <w:trPr>
          <w:trHeight w:val="300"/>
        </w:trPr>
        <w:tc>
          <w:tcPr>
            <w:tcW w:w="3235" w:type="pct"/>
            <w:noWrap/>
            <w:hideMark/>
          </w:tcPr>
          <w:p w14:paraId="0A297CD5"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Stable political and social environment</w:t>
            </w:r>
          </w:p>
        </w:tc>
        <w:tc>
          <w:tcPr>
            <w:tcW w:w="1318" w:type="pct"/>
            <w:noWrap/>
            <w:hideMark/>
          </w:tcPr>
          <w:p w14:paraId="74A6AB74"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3.65</w:t>
            </w:r>
          </w:p>
        </w:tc>
        <w:tc>
          <w:tcPr>
            <w:tcW w:w="447" w:type="pct"/>
            <w:noWrap/>
            <w:hideMark/>
          </w:tcPr>
          <w:p w14:paraId="390C6432"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18</w:t>
            </w:r>
          </w:p>
        </w:tc>
      </w:tr>
      <w:tr w:rsidR="00CD6352" w:rsidRPr="0076450C" w14:paraId="289A579C" w14:textId="77777777" w:rsidTr="0076450C">
        <w:trPr>
          <w:trHeight w:val="300"/>
        </w:trPr>
        <w:tc>
          <w:tcPr>
            <w:tcW w:w="3235" w:type="pct"/>
            <w:noWrap/>
            <w:hideMark/>
          </w:tcPr>
          <w:p w14:paraId="03D2EB3F"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Establishing an appropriate length and form of contract</w:t>
            </w:r>
          </w:p>
        </w:tc>
        <w:tc>
          <w:tcPr>
            <w:tcW w:w="1318" w:type="pct"/>
            <w:noWrap/>
            <w:hideMark/>
          </w:tcPr>
          <w:p w14:paraId="4D977739"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3.59</w:t>
            </w:r>
          </w:p>
        </w:tc>
        <w:tc>
          <w:tcPr>
            <w:tcW w:w="447" w:type="pct"/>
            <w:noWrap/>
            <w:hideMark/>
          </w:tcPr>
          <w:p w14:paraId="46C5AD68"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19</w:t>
            </w:r>
          </w:p>
        </w:tc>
      </w:tr>
      <w:tr w:rsidR="00CD6352" w:rsidRPr="0076450C" w14:paraId="5289D34E" w14:textId="77777777" w:rsidTr="0076450C">
        <w:trPr>
          <w:trHeight w:val="300"/>
        </w:trPr>
        <w:tc>
          <w:tcPr>
            <w:tcW w:w="3235" w:type="pct"/>
            <w:noWrap/>
            <w:hideMark/>
          </w:tcPr>
          <w:p w14:paraId="441FB392"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Shared responsibility between the public and private sector</w:t>
            </w:r>
          </w:p>
        </w:tc>
        <w:tc>
          <w:tcPr>
            <w:tcW w:w="1318" w:type="pct"/>
            <w:noWrap/>
            <w:hideMark/>
          </w:tcPr>
          <w:p w14:paraId="0F38AED9"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3.44</w:t>
            </w:r>
          </w:p>
        </w:tc>
        <w:tc>
          <w:tcPr>
            <w:tcW w:w="447" w:type="pct"/>
            <w:noWrap/>
            <w:hideMark/>
          </w:tcPr>
          <w:p w14:paraId="0C988743" w14:textId="77777777" w:rsidR="00CD6352" w:rsidRPr="0076450C" w:rsidRDefault="00CD6352" w:rsidP="00CD6352">
            <w:pPr>
              <w:contextualSpacing/>
              <w:rPr>
                <w:rFonts w:ascii="Arial" w:hAnsi="Arial" w:cs="Arial"/>
                <w:sz w:val="16"/>
                <w:szCs w:val="16"/>
              </w:rPr>
            </w:pPr>
            <w:r w:rsidRPr="0076450C">
              <w:rPr>
                <w:rFonts w:ascii="Arial" w:hAnsi="Arial" w:cs="Arial"/>
                <w:sz w:val="16"/>
                <w:szCs w:val="16"/>
              </w:rPr>
              <w:t>20</w:t>
            </w:r>
          </w:p>
        </w:tc>
      </w:tr>
    </w:tbl>
    <w:p w14:paraId="0C7C397F" w14:textId="77777777" w:rsidR="00CD6352" w:rsidRPr="007C5820" w:rsidRDefault="00CD6352" w:rsidP="00CD6352">
      <w:pPr>
        <w:spacing w:before="240" w:line="360" w:lineRule="auto"/>
        <w:jc w:val="both"/>
        <w:rPr>
          <w:rFonts w:ascii="Arial" w:hAnsi="Arial" w:cs="Arial"/>
          <w:sz w:val="16"/>
          <w:szCs w:val="16"/>
        </w:rPr>
      </w:pPr>
      <w:r w:rsidRPr="007C5820">
        <w:rPr>
          <w:rFonts w:ascii="Arial" w:hAnsi="Arial" w:cs="Arial"/>
          <w:sz w:val="16"/>
          <w:szCs w:val="16"/>
        </w:rPr>
        <w:t xml:space="preserve">1 (Not critical), 2 (fairly critical), 3 (critical), 4(very critical) &amp; 5 (extremely critical) </w:t>
      </w:r>
    </w:p>
    <w:p w14:paraId="35C04C12" w14:textId="77777777" w:rsidR="00CD6352" w:rsidRPr="00EA7665" w:rsidRDefault="00CD6352" w:rsidP="00CD6352">
      <w:pPr>
        <w:pStyle w:val="Heading3"/>
        <w:spacing w:after="240"/>
        <w:rPr>
          <w:sz w:val="22"/>
          <w:szCs w:val="22"/>
        </w:rPr>
      </w:pPr>
      <w:bookmarkStart w:id="1160" w:name="_Toc33468135"/>
      <w:bookmarkStart w:id="1161" w:name="_Toc78983860"/>
      <w:r w:rsidRPr="00EA7665">
        <w:rPr>
          <w:sz w:val="22"/>
          <w:szCs w:val="22"/>
        </w:rPr>
        <w:t>Questionnaire survey analysis and discussion at the disaggregate level.</w:t>
      </w:r>
      <w:bookmarkEnd w:id="1160"/>
      <w:bookmarkEnd w:id="1161"/>
      <w:r w:rsidRPr="00EA7665">
        <w:rPr>
          <w:sz w:val="22"/>
          <w:szCs w:val="22"/>
        </w:rPr>
        <w:t xml:space="preserve"> </w:t>
      </w:r>
    </w:p>
    <w:p w14:paraId="2D331FFD" w14:textId="3D913B21" w:rsidR="00CD6352" w:rsidRPr="00EA7665" w:rsidRDefault="00CD6352" w:rsidP="00CD6352">
      <w:pPr>
        <w:spacing w:line="360" w:lineRule="auto"/>
        <w:rPr>
          <w:rFonts w:ascii="Arial" w:hAnsi="Arial" w:cs="Arial"/>
        </w:rPr>
      </w:pPr>
      <w:r w:rsidRPr="00EA7665">
        <w:rPr>
          <w:rFonts w:ascii="Arial" w:hAnsi="Arial" w:cs="Arial"/>
        </w:rPr>
        <w:t>The mean score</w:t>
      </w:r>
      <w:r>
        <w:rPr>
          <w:rFonts w:ascii="Arial" w:hAnsi="Arial" w:cs="Arial"/>
        </w:rPr>
        <w:t xml:space="preserve"> rankings of the twenty factors at the disaggregate </w:t>
      </w:r>
      <w:r w:rsidR="007D2AC6">
        <w:rPr>
          <w:rFonts w:ascii="Arial" w:hAnsi="Arial" w:cs="Arial"/>
        </w:rPr>
        <w:t>level in</w:t>
      </w:r>
      <w:r>
        <w:rPr>
          <w:rFonts w:ascii="Arial" w:hAnsi="Arial" w:cs="Arial"/>
        </w:rPr>
        <w:t xml:space="preserve"> table 6.</w:t>
      </w:r>
      <w:r w:rsidR="00173455">
        <w:rPr>
          <w:rFonts w:ascii="Arial" w:hAnsi="Arial" w:cs="Arial"/>
        </w:rPr>
        <w:t>2.</w:t>
      </w:r>
      <w:r>
        <w:rPr>
          <w:rFonts w:ascii="Arial" w:hAnsi="Arial" w:cs="Arial"/>
        </w:rPr>
        <w:t>3 show</w:t>
      </w:r>
      <w:r w:rsidR="00D85D1C">
        <w:rPr>
          <w:rFonts w:ascii="Arial" w:hAnsi="Arial" w:cs="Arial"/>
        </w:rPr>
        <w:t xml:space="preserve"> that they are all considered critical for securing real estate project development in both</w:t>
      </w:r>
      <w:r>
        <w:rPr>
          <w:rFonts w:ascii="Arial" w:hAnsi="Arial" w:cs="Arial"/>
        </w:rPr>
        <w:t xml:space="preserve"> developed and emerging economies.</w:t>
      </w:r>
    </w:p>
    <w:p w14:paraId="0001C5FF" w14:textId="01A3528A" w:rsidR="00D845F6" w:rsidRPr="00D845F6" w:rsidRDefault="00D845F6" w:rsidP="00D845F6">
      <w:pPr>
        <w:spacing w:line="360" w:lineRule="auto"/>
        <w:rPr>
          <w:rFonts w:ascii="Arial" w:hAnsi="Arial" w:cs="Arial"/>
          <w:color w:val="44546A" w:themeColor="text2"/>
          <w:sz w:val="16"/>
          <w:szCs w:val="16"/>
        </w:rPr>
      </w:pPr>
      <w:bookmarkStart w:id="1162" w:name="_Toc78983979"/>
      <w:r w:rsidRPr="00D845F6">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D845F6">
        <w:rPr>
          <w:rFonts w:ascii="Arial" w:hAnsi="Arial" w:cs="Arial"/>
          <w:sz w:val="16"/>
          <w:szCs w:val="16"/>
        </w:rPr>
        <w:t xml:space="preserve">: </w:t>
      </w:r>
      <w:r w:rsidRPr="00D845F6">
        <w:rPr>
          <w:rFonts w:ascii="Arial" w:hAnsi="Arial" w:cs="Arial"/>
          <w:color w:val="44546A" w:themeColor="text2"/>
          <w:sz w:val="16"/>
          <w:szCs w:val="16"/>
        </w:rPr>
        <w:t>Critical success factors for securing finance for real estate project development at the dis-aggregate level</w:t>
      </w:r>
      <w:bookmarkEnd w:id="1162"/>
      <w:r w:rsidRPr="00D845F6">
        <w:rPr>
          <w:rFonts w:ascii="Arial" w:hAnsi="Arial" w:cs="Arial"/>
          <w:color w:val="44546A" w:themeColor="text2"/>
          <w:sz w:val="16"/>
          <w:szCs w:val="16"/>
        </w:rPr>
        <w:t xml:space="preserve"> </w:t>
      </w:r>
    </w:p>
    <w:tbl>
      <w:tblPr>
        <w:tblStyle w:val="TableGrid8"/>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765"/>
        <w:gridCol w:w="617"/>
        <w:gridCol w:w="590"/>
        <w:gridCol w:w="58"/>
        <w:gridCol w:w="559"/>
        <w:gridCol w:w="590"/>
        <w:gridCol w:w="79"/>
        <w:gridCol w:w="538"/>
        <w:gridCol w:w="591"/>
        <w:gridCol w:w="92"/>
        <w:gridCol w:w="525"/>
        <w:gridCol w:w="590"/>
        <w:gridCol w:w="617"/>
        <w:gridCol w:w="590"/>
        <w:gridCol w:w="45"/>
        <w:gridCol w:w="572"/>
        <w:gridCol w:w="590"/>
        <w:gridCol w:w="8"/>
      </w:tblGrid>
      <w:tr w:rsidR="0076450C" w:rsidRPr="000706BC" w14:paraId="69C2BB2F" w14:textId="77777777" w:rsidTr="0076450C">
        <w:trPr>
          <w:trHeight w:val="844"/>
        </w:trPr>
        <w:tc>
          <w:tcPr>
            <w:tcW w:w="1093" w:type="pct"/>
            <w:vMerge w:val="restart"/>
          </w:tcPr>
          <w:p w14:paraId="5E5F8A47" w14:textId="77777777" w:rsidR="00CD6352" w:rsidRPr="000706BC" w:rsidRDefault="00CD6352" w:rsidP="00CD6352">
            <w:pPr>
              <w:rPr>
                <w:rFonts w:ascii="Arial" w:hAnsi="Arial" w:cs="Arial"/>
                <w:sz w:val="16"/>
                <w:szCs w:val="16"/>
              </w:rPr>
            </w:pPr>
            <w:r w:rsidRPr="000706BC">
              <w:rPr>
                <w:rFonts w:ascii="Arial" w:hAnsi="Arial" w:cs="Arial"/>
                <w:sz w:val="16"/>
                <w:szCs w:val="16"/>
              </w:rPr>
              <w:t xml:space="preserve">Critical success factors </w:t>
            </w:r>
          </w:p>
        </w:tc>
        <w:tc>
          <w:tcPr>
            <w:tcW w:w="731" w:type="pct"/>
            <w:gridSpan w:val="3"/>
          </w:tcPr>
          <w:p w14:paraId="1248B6CA" w14:textId="77777777" w:rsidR="00CD6352" w:rsidRPr="000706BC" w:rsidRDefault="00CD6352" w:rsidP="00CD6352">
            <w:pPr>
              <w:rPr>
                <w:rFonts w:ascii="Arial" w:hAnsi="Arial" w:cs="Arial"/>
                <w:sz w:val="16"/>
                <w:szCs w:val="16"/>
              </w:rPr>
            </w:pPr>
            <w:r w:rsidRPr="000706BC">
              <w:rPr>
                <w:rFonts w:ascii="Arial" w:hAnsi="Arial" w:cs="Arial"/>
                <w:sz w:val="16"/>
                <w:szCs w:val="16"/>
              </w:rPr>
              <w:t>D1= Germany</w:t>
            </w:r>
          </w:p>
          <w:p w14:paraId="0A991391" w14:textId="77777777" w:rsidR="00CD6352" w:rsidRPr="000706BC" w:rsidRDefault="00CD6352" w:rsidP="00CD6352">
            <w:pPr>
              <w:rPr>
                <w:rFonts w:ascii="Arial" w:hAnsi="Arial" w:cs="Arial"/>
                <w:sz w:val="16"/>
                <w:szCs w:val="16"/>
              </w:rPr>
            </w:pPr>
            <w:r w:rsidRPr="000706BC">
              <w:rPr>
                <w:rFonts w:ascii="Arial" w:hAnsi="Arial" w:cs="Arial"/>
                <w:sz w:val="16"/>
                <w:szCs w:val="16"/>
              </w:rPr>
              <w:t>N= 5</w:t>
            </w:r>
          </w:p>
        </w:tc>
        <w:tc>
          <w:tcPr>
            <w:tcW w:w="658" w:type="pct"/>
            <w:gridSpan w:val="3"/>
          </w:tcPr>
          <w:p w14:paraId="2D904D49" w14:textId="77777777" w:rsidR="00CD6352" w:rsidRPr="000706BC" w:rsidRDefault="00CD6352" w:rsidP="00CD6352">
            <w:pPr>
              <w:rPr>
                <w:rFonts w:ascii="Arial" w:hAnsi="Arial" w:cs="Arial"/>
                <w:sz w:val="16"/>
                <w:szCs w:val="16"/>
              </w:rPr>
            </w:pPr>
            <w:r w:rsidRPr="000706BC">
              <w:rPr>
                <w:rFonts w:ascii="Arial" w:hAnsi="Arial" w:cs="Arial"/>
                <w:sz w:val="16"/>
                <w:szCs w:val="16"/>
              </w:rPr>
              <w:t>D2= UK</w:t>
            </w:r>
          </w:p>
          <w:p w14:paraId="13F1B86C" w14:textId="77777777" w:rsidR="00CD6352" w:rsidRPr="000706BC" w:rsidRDefault="00CD6352" w:rsidP="00CD6352">
            <w:pPr>
              <w:rPr>
                <w:rFonts w:ascii="Arial" w:hAnsi="Arial" w:cs="Arial"/>
                <w:sz w:val="16"/>
                <w:szCs w:val="16"/>
              </w:rPr>
            </w:pPr>
            <w:r w:rsidRPr="000706BC">
              <w:rPr>
                <w:rFonts w:ascii="Arial" w:hAnsi="Arial" w:cs="Arial"/>
                <w:sz w:val="16"/>
                <w:szCs w:val="16"/>
              </w:rPr>
              <w:t>N=20</w:t>
            </w:r>
          </w:p>
          <w:p w14:paraId="3B3CC4FA" w14:textId="77777777" w:rsidR="00CD6352" w:rsidRPr="000706BC" w:rsidRDefault="00CD6352" w:rsidP="00CD6352">
            <w:pPr>
              <w:rPr>
                <w:rFonts w:ascii="Arial" w:hAnsi="Arial" w:cs="Arial"/>
                <w:sz w:val="16"/>
                <w:szCs w:val="16"/>
              </w:rPr>
            </w:pPr>
          </w:p>
        </w:tc>
        <w:tc>
          <w:tcPr>
            <w:tcW w:w="657" w:type="pct"/>
            <w:gridSpan w:val="3"/>
          </w:tcPr>
          <w:p w14:paraId="255D7813" w14:textId="77777777" w:rsidR="00CD6352" w:rsidRPr="000706BC" w:rsidRDefault="00CD6352" w:rsidP="00CD6352">
            <w:pPr>
              <w:rPr>
                <w:rFonts w:ascii="Arial" w:hAnsi="Arial" w:cs="Arial"/>
                <w:sz w:val="16"/>
                <w:szCs w:val="16"/>
              </w:rPr>
            </w:pPr>
            <w:r w:rsidRPr="000706BC">
              <w:rPr>
                <w:rFonts w:ascii="Arial" w:hAnsi="Arial" w:cs="Arial"/>
                <w:sz w:val="16"/>
                <w:szCs w:val="16"/>
              </w:rPr>
              <w:t>D3=US</w:t>
            </w:r>
          </w:p>
          <w:p w14:paraId="0DD42ECC" w14:textId="77777777" w:rsidR="00CD6352" w:rsidRPr="000706BC" w:rsidRDefault="00CD6352" w:rsidP="00CD6352">
            <w:pPr>
              <w:rPr>
                <w:rFonts w:ascii="Arial" w:hAnsi="Arial" w:cs="Arial"/>
                <w:sz w:val="16"/>
                <w:szCs w:val="16"/>
              </w:rPr>
            </w:pPr>
            <w:r w:rsidRPr="000706BC">
              <w:rPr>
                <w:rFonts w:ascii="Arial" w:hAnsi="Arial" w:cs="Arial"/>
                <w:sz w:val="16"/>
                <w:szCs w:val="16"/>
              </w:rPr>
              <w:t>N= 8</w:t>
            </w:r>
          </w:p>
        </w:tc>
        <w:tc>
          <w:tcPr>
            <w:tcW w:w="586" w:type="pct"/>
            <w:gridSpan w:val="2"/>
          </w:tcPr>
          <w:p w14:paraId="2013FCF0" w14:textId="77777777" w:rsidR="00CD6352" w:rsidRPr="000706BC" w:rsidRDefault="00CD6352" w:rsidP="00CD6352">
            <w:pPr>
              <w:rPr>
                <w:rFonts w:ascii="Arial" w:hAnsi="Arial" w:cs="Arial"/>
                <w:sz w:val="16"/>
                <w:szCs w:val="16"/>
              </w:rPr>
            </w:pPr>
            <w:r w:rsidRPr="000706BC">
              <w:rPr>
                <w:rFonts w:ascii="Arial" w:hAnsi="Arial" w:cs="Arial"/>
                <w:sz w:val="16"/>
                <w:szCs w:val="16"/>
              </w:rPr>
              <w:t>E1=China</w:t>
            </w:r>
          </w:p>
          <w:p w14:paraId="39DB38D6" w14:textId="77777777" w:rsidR="00CD6352" w:rsidRPr="000706BC" w:rsidRDefault="00CD6352" w:rsidP="00CD6352">
            <w:pPr>
              <w:rPr>
                <w:rFonts w:ascii="Arial" w:hAnsi="Arial" w:cs="Arial"/>
                <w:sz w:val="16"/>
                <w:szCs w:val="16"/>
              </w:rPr>
            </w:pPr>
            <w:r w:rsidRPr="000706BC">
              <w:rPr>
                <w:rFonts w:ascii="Arial" w:hAnsi="Arial" w:cs="Arial"/>
                <w:sz w:val="16"/>
                <w:szCs w:val="16"/>
              </w:rPr>
              <w:t>N= 11</w:t>
            </w:r>
          </w:p>
        </w:tc>
        <w:tc>
          <w:tcPr>
            <w:tcW w:w="658" w:type="pct"/>
            <w:gridSpan w:val="3"/>
          </w:tcPr>
          <w:p w14:paraId="2A2045AE" w14:textId="77777777" w:rsidR="00CD6352" w:rsidRPr="000706BC" w:rsidRDefault="00CD6352" w:rsidP="00CD6352">
            <w:pPr>
              <w:rPr>
                <w:rFonts w:ascii="Arial" w:hAnsi="Arial" w:cs="Arial"/>
                <w:sz w:val="16"/>
                <w:szCs w:val="16"/>
              </w:rPr>
            </w:pPr>
            <w:r w:rsidRPr="000706BC">
              <w:rPr>
                <w:rFonts w:ascii="Arial" w:hAnsi="Arial" w:cs="Arial"/>
                <w:sz w:val="16"/>
                <w:szCs w:val="16"/>
              </w:rPr>
              <w:t>E2= Nigeria</w:t>
            </w:r>
          </w:p>
          <w:p w14:paraId="331DF92E" w14:textId="77777777" w:rsidR="00CD6352" w:rsidRPr="000706BC" w:rsidRDefault="00CD6352" w:rsidP="00CD6352">
            <w:pPr>
              <w:rPr>
                <w:rFonts w:ascii="Arial" w:hAnsi="Arial" w:cs="Arial"/>
                <w:sz w:val="16"/>
                <w:szCs w:val="16"/>
              </w:rPr>
            </w:pPr>
            <w:r w:rsidRPr="000706BC">
              <w:rPr>
                <w:rFonts w:ascii="Arial" w:hAnsi="Arial" w:cs="Arial"/>
                <w:sz w:val="16"/>
                <w:szCs w:val="16"/>
              </w:rPr>
              <w:t>N= 26</w:t>
            </w:r>
          </w:p>
        </w:tc>
        <w:tc>
          <w:tcPr>
            <w:tcW w:w="618" w:type="pct"/>
            <w:gridSpan w:val="3"/>
          </w:tcPr>
          <w:p w14:paraId="1FED32CE" w14:textId="77777777" w:rsidR="00CD6352" w:rsidRPr="000706BC" w:rsidRDefault="00CD6352" w:rsidP="00CD6352">
            <w:pPr>
              <w:rPr>
                <w:rFonts w:ascii="Arial" w:hAnsi="Arial" w:cs="Arial"/>
                <w:sz w:val="16"/>
                <w:szCs w:val="16"/>
              </w:rPr>
            </w:pPr>
            <w:r w:rsidRPr="000706BC">
              <w:rPr>
                <w:rFonts w:ascii="Arial" w:hAnsi="Arial" w:cs="Arial"/>
                <w:sz w:val="16"/>
                <w:szCs w:val="16"/>
              </w:rPr>
              <w:t>E3= South Africa N= 11</w:t>
            </w:r>
          </w:p>
        </w:tc>
      </w:tr>
      <w:tr w:rsidR="00CD6352" w:rsidRPr="000706BC" w14:paraId="36AE482B" w14:textId="77777777" w:rsidTr="0076450C">
        <w:trPr>
          <w:gridAfter w:val="1"/>
          <w:wAfter w:w="8" w:type="pct"/>
          <w:trHeight w:val="405"/>
        </w:trPr>
        <w:tc>
          <w:tcPr>
            <w:tcW w:w="1093" w:type="pct"/>
            <w:vMerge/>
          </w:tcPr>
          <w:p w14:paraId="6E93FCAC" w14:textId="77777777" w:rsidR="00CD6352" w:rsidRPr="000706BC" w:rsidRDefault="00CD6352" w:rsidP="00CD6352">
            <w:pPr>
              <w:rPr>
                <w:rFonts w:ascii="Arial" w:hAnsi="Arial" w:cs="Arial"/>
                <w:sz w:val="16"/>
                <w:szCs w:val="16"/>
              </w:rPr>
            </w:pPr>
          </w:p>
        </w:tc>
        <w:tc>
          <w:tcPr>
            <w:tcW w:w="361" w:type="pct"/>
          </w:tcPr>
          <w:p w14:paraId="3E514354" w14:textId="77777777" w:rsidR="00CD6352" w:rsidRPr="000706BC" w:rsidRDefault="00CD6352" w:rsidP="00CD6352">
            <w:pPr>
              <w:rPr>
                <w:rFonts w:ascii="Arial" w:hAnsi="Arial" w:cs="Arial"/>
                <w:sz w:val="16"/>
                <w:szCs w:val="16"/>
              </w:rPr>
            </w:pPr>
            <w:r w:rsidRPr="000706BC">
              <w:rPr>
                <w:rFonts w:ascii="Arial" w:hAnsi="Arial" w:cs="Arial"/>
                <w:sz w:val="16"/>
                <w:szCs w:val="16"/>
              </w:rPr>
              <w:t>Mean score</w:t>
            </w:r>
          </w:p>
        </w:tc>
        <w:tc>
          <w:tcPr>
            <w:tcW w:w="340" w:type="pct"/>
          </w:tcPr>
          <w:p w14:paraId="4E90B645" w14:textId="77777777" w:rsidR="00CD6352" w:rsidRPr="000706BC" w:rsidRDefault="00CD6352" w:rsidP="00CD6352">
            <w:pPr>
              <w:rPr>
                <w:rFonts w:ascii="Arial" w:hAnsi="Arial" w:cs="Arial"/>
                <w:sz w:val="16"/>
                <w:szCs w:val="16"/>
              </w:rPr>
            </w:pPr>
            <w:r w:rsidRPr="000706BC">
              <w:rPr>
                <w:rFonts w:ascii="Arial" w:hAnsi="Arial" w:cs="Arial"/>
                <w:sz w:val="16"/>
                <w:szCs w:val="16"/>
              </w:rPr>
              <w:t>Rank</w:t>
            </w:r>
          </w:p>
        </w:tc>
        <w:tc>
          <w:tcPr>
            <w:tcW w:w="324" w:type="pct"/>
            <w:gridSpan w:val="2"/>
          </w:tcPr>
          <w:p w14:paraId="20AD5D38" w14:textId="77777777" w:rsidR="00CD6352" w:rsidRPr="000706BC" w:rsidRDefault="00CD6352" w:rsidP="00CD6352">
            <w:pPr>
              <w:rPr>
                <w:rFonts w:ascii="Arial" w:hAnsi="Arial" w:cs="Arial"/>
                <w:sz w:val="16"/>
                <w:szCs w:val="16"/>
              </w:rPr>
            </w:pPr>
            <w:r w:rsidRPr="000706BC">
              <w:rPr>
                <w:rFonts w:ascii="Arial" w:hAnsi="Arial" w:cs="Arial"/>
                <w:sz w:val="16"/>
                <w:szCs w:val="16"/>
              </w:rPr>
              <w:t>Mean score</w:t>
            </w:r>
          </w:p>
        </w:tc>
        <w:tc>
          <w:tcPr>
            <w:tcW w:w="323" w:type="pct"/>
          </w:tcPr>
          <w:p w14:paraId="35DDF341" w14:textId="77777777" w:rsidR="00CD6352" w:rsidRPr="000706BC" w:rsidRDefault="00CD6352" w:rsidP="00CD6352">
            <w:pPr>
              <w:rPr>
                <w:rFonts w:ascii="Arial" w:hAnsi="Arial" w:cs="Arial"/>
                <w:sz w:val="16"/>
                <w:szCs w:val="16"/>
              </w:rPr>
            </w:pPr>
            <w:r w:rsidRPr="000706BC">
              <w:rPr>
                <w:rFonts w:ascii="Arial" w:hAnsi="Arial" w:cs="Arial"/>
                <w:sz w:val="16"/>
                <w:szCs w:val="16"/>
              </w:rPr>
              <w:t>Rank</w:t>
            </w:r>
          </w:p>
        </w:tc>
        <w:tc>
          <w:tcPr>
            <w:tcW w:w="324" w:type="pct"/>
            <w:gridSpan w:val="2"/>
          </w:tcPr>
          <w:p w14:paraId="1EC9CA26" w14:textId="77777777" w:rsidR="00CD6352" w:rsidRPr="000706BC" w:rsidRDefault="00CD6352" w:rsidP="00CD6352">
            <w:pPr>
              <w:rPr>
                <w:rFonts w:ascii="Arial" w:hAnsi="Arial" w:cs="Arial"/>
                <w:sz w:val="16"/>
                <w:szCs w:val="16"/>
              </w:rPr>
            </w:pPr>
            <w:r w:rsidRPr="000706BC">
              <w:rPr>
                <w:rFonts w:ascii="Arial" w:hAnsi="Arial" w:cs="Arial"/>
                <w:sz w:val="16"/>
                <w:szCs w:val="16"/>
              </w:rPr>
              <w:t>Mean score</w:t>
            </w:r>
          </w:p>
        </w:tc>
        <w:tc>
          <w:tcPr>
            <w:tcW w:w="326" w:type="pct"/>
          </w:tcPr>
          <w:p w14:paraId="3E5CDCDC" w14:textId="77777777" w:rsidR="00CD6352" w:rsidRPr="000706BC" w:rsidRDefault="00CD6352" w:rsidP="00CD6352">
            <w:pPr>
              <w:rPr>
                <w:rFonts w:ascii="Arial" w:hAnsi="Arial" w:cs="Arial"/>
                <w:sz w:val="16"/>
                <w:szCs w:val="16"/>
              </w:rPr>
            </w:pPr>
            <w:r w:rsidRPr="000706BC">
              <w:rPr>
                <w:rFonts w:ascii="Arial" w:hAnsi="Arial" w:cs="Arial"/>
                <w:sz w:val="16"/>
                <w:szCs w:val="16"/>
              </w:rPr>
              <w:t>Rank</w:t>
            </w:r>
          </w:p>
        </w:tc>
        <w:tc>
          <w:tcPr>
            <w:tcW w:w="324" w:type="pct"/>
            <w:gridSpan w:val="2"/>
          </w:tcPr>
          <w:p w14:paraId="0B91C196" w14:textId="77777777" w:rsidR="00CD6352" w:rsidRPr="000706BC" w:rsidRDefault="00CD6352" w:rsidP="00CD6352">
            <w:pPr>
              <w:rPr>
                <w:rFonts w:ascii="Arial" w:hAnsi="Arial" w:cs="Arial"/>
                <w:sz w:val="16"/>
                <w:szCs w:val="16"/>
              </w:rPr>
            </w:pPr>
            <w:r w:rsidRPr="000706BC">
              <w:rPr>
                <w:rFonts w:ascii="Arial" w:hAnsi="Arial" w:cs="Arial"/>
                <w:sz w:val="16"/>
                <w:szCs w:val="16"/>
              </w:rPr>
              <w:t>Mean score</w:t>
            </w:r>
          </w:p>
        </w:tc>
        <w:tc>
          <w:tcPr>
            <w:tcW w:w="310" w:type="pct"/>
          </w:tcPr>
          <w:p w14:paraId="71BC4CEA" w14:textId="77777777" w:rsidR="00CD6352" w:rsidRPr="000706BC" w:rsidRDefault="00CD6352" w:rsidP="00CD6352">
            <w:pPr>
              <w:rPr>
                <w:rFonts w:ascii="Arial" w:hAnsi="Arial" w:cs="Arial"/>
                <w:sz w:val="16"/>
                <w:szCs w:val="16"/>
              </w:rPr>
            </w:pPr>
            <w:r w:rsidRPr="000706BC">
              <w:rPr>
                <w:rFonts w:ascii="Arial" w:hAnsi="Arial" w:cs="Arial"/>
                <w:sz w:val="16"/>
                <w:szCs w:val="16"/>
              </w:rPr>
              <w:t>Rank</w:t>
            </w:r>
          </w:p>
        </w:tc>
        <w:tc>
          <w:tcPr>
            <w:tcW w:w="324" w:type="pct"/>
          </w:tcPr>
          <w:p w14:paraId="5FDF9A67" w14:textId="77777777" w:rsidR="00CD6352" w:rsidRPr="000706BC" w:rsidRDefault="00CD6352" w:rsidP="00CD6352">
            <w:pPr>
              <w:rPr>
                <w:rFonts w:ascii="Arial" w:hAnsi="Arial" w:cs="Arial"/>
                <w:sz w:val="16"/>
                <w:szCs w:val="16"/>
              </w:rPr>
            </w:pPr>
            <w:r w:rsidRPr="000706BC">
              <w:rPr>
                <w:rFonts w:ascii="Arial" w:hAnsi="Arial" w:cs="Arial"/>
                <w:sz w:val="16"/>
                <w:szCs w:val="16"/>
              </w:rPr>
              <w:t>Mean score</w:t>
            </w:r>
          </w:p>
        </w:tc>
        <w:tc>
          <w:tcPr>
            <w:tcW w:w="310" w:type="pct"/>
          </w:tcPr>
          <w:p w14:paraId="203342C1" w14:textId="77777777" w:rsidR="00CD6352" w:rsidRPr="000706BC" w:rsidRDefault="00CD6352" w:rsidP="00CD6352">
            <w:pPr>
              <w:rPr>
                <w:rFonts w:ascii="Arial" w:hAnsi="Arial" w:cs="Arial"/>
                <w:sz w:val="16"/>
                <w:szCs w:val="16"/>
              </w:rPr>
            </w:pPr>
            <w:r w:rsidRPr="000706BC">
              <w:rPr>
                <w:rFonts w:ascii="Arial" w:hAnsi="Arial" w:cs="Arial"/>
                <w:sz w:val="16"/>
                <w:szCs w:val="16"/>
              </w:rPr>
              <w:t>Rank</w:t>
            </w:r>
          </w:p>
        </w:tc>
        <w:tc>
          <w:tcPr>
            <w:tcW w:w="324" w:type="pct"/>
            <w:gridSpan w:val="2"/>
          </w:tcPr>
          <w:p w14:paraId="699497B7" w14:textId="77777777" w:rsidR="00CD6352" w:rsidRPr="000706BC" w:rsidRDefault="00CD6352" w:rsidP="00CD6352">
            <w:pPr>
              <w:rPr>
                <w:rFonts w:ascii="Arial" w:hAnsi="Arial" w:cs="Arial"/>
                <w:sz w:val="16"/>
                <w:szCs w:val="16"/>
              </w:rPr>
            </w:pPr>
            <w:r w:rsidRPr="000706BC">
              <w:rPr>
                <w:rFonts w:ascii="Arial" w:hAnsi="Arial" w:cs="Arial"/>
                <w:sz w:val="16"/>
                <w:szCs w:val="16"/>
              </w:rPr>
              <w:t>Mean score</w:t>
            </w:r>
          </w:p>
        </w:tc>
        <w:tc>
          <w:tcPr>
            <w:tcW w:w="310" w:type="pct"/>
          </w:tcPr>
          <w:p w14:paraId="048D2AC4" w14:textId="77777777" w:rsidR="00CD6352" w:rsidRPr="000706BC" w:rsidRDefault="00CD6352" w:rsidP="00CD6352">
            <w:pPr>
              <w:rPr>
                <w:rFonts w:ascii="Arial" w:hAnsi="Arial" w:cs="Arial"/>
                <w:sz w:val="16"/>
                <w:szCs w:val="16"/>
              </w:rPr>
            </w:pPr>
            <w:r w:rsidRPr="000706BC">
              <w:rPr>
                <w:rFonts w:ascii="Arial" w:hAnsi="Arial" w:cs="Arial"/>
                <w:sz w:val="16"/>
                <w:szCs w:val="16"/>
              </w:rPr>
              <w:t>Rank</w:t>
            </w:r>
          </w:p>
        </w:tc>
      </w:tr>
      <w:tr w:rsidR="00CD6352" w:rsidRPr="000706BC" w14:paraId="6B0A30F6" w14:textId="77777777" w:rsidTr="0076450C">
        <w:trPr>
          <w:gridAfter w:val="1"/>
          <w:wAfter w:w="8" w:type="pct"/>
          <w:trHeight w:val="167"/>
        </w:trPr>
        <w:tc>
          <w:tcPr>
            <w:tcW w:w="1093" w:type="pct"/>
          </w:tcPr>
          <w:p w14:paraId="57135E7B" w14:textId="77777777" w:rsidR="00CD6352" w:rsidRPr="000706BC" w:rsidRDefault="00CD6352" w:rsidP="00CD6352">
            <w:pPr>
              <w:rPr>
                <w:rFonts w:ascii="Arial" w:hAnsi="Arial" w:cs="Arial"/>
                <w:sz w:val="16"/>
                <w:szCs w:val="16"/>
              </w:rPr>
            </w:pPr>
            <w:r w:rsidRPr="000706BC">
              <w:rPr>
                <w:rFonts w:ascii="Arial" w:hAnsi="Arial" w:cs="Arial"/>
                <w:sz w:val="16"/>
                <w:szCs w:val="16"/>
              </w:rPr>
              <w:t>Access to land</w:t>
            </w:r>
          </w:p>
        </w:tc>
        <w:tc>
          <w:tcPr>
            <w:tcW w:w="361" w:type="pct"/>
          </w:tcPr>
          <w:p w14:paraId="1D1C6BC1" w14:textId="77777777" w:rsidR="00CD6352" w:rsidRPr="000706BC" w:rsidRDefault="00CD6352" w:rsidP="00CD6352">
            <w:pPr>
              <w:rPr>
                <w:rFonts w:ascii="Arial" w:hAnsi="Arial" w:cs="Arial"/>
                <w:sz w:val="16"/>
                <w:szCs w:val="16"/>
              </w:rPr>
            </w:pPr>
            <w:r w:rsidRPr="000706BC">
              <w:rPr>
                <w:rFonts w:ascii="Arial" w:hAnsi="Arial" w:cs="Arial"/>
                <w:sz w:val="16"/>
                <w:szCs w:val="16"/>
              </w:rPr>
              <w:t>4.67</w:t>
            </w:r>
          </w:p>
        </w:tc>
        <w:tc>
          <w:tcPr>
            <w:tcW w:w="340" w:type="pct"/>
          </w:tcPr>
          <w:p w14:paraId="665E8122" w14:textId="77777777" w:rsidR="00CD6352" w:rsidRPr="000706BC" w:rsidRDefault="00CD6352" w:rsidP="00CD6352">
            <w:pPr>
              <w:rPr>
                <w:rFonts w:ascii="Arial" w:hAnsi="Arial" w:cs="Arial"/>
                <w:sz w:val="16"/>
                <w:szCs w:val="16"/>
              </w:rPr>
            </w:pPr>
            <w:r w:rsidRPr="000706BC">
              <w:rPr>
                <w:rFonts w:ascii="Arial" w:hAnsi="Arial" w:cs="Arial"/>
                <w:sz w:val="16"/>
                <w:szCs w:val="16"/>
              </w:rPr>
              <w:t>2</w:t>
            </w:r>
          </w:p>
        </w:tc>
        <w:tc>
          <w:tcPr>
            <w:tcW w:w="324" w:type="pct"/>
            <w:gridSpan w:val="2"/>
          </w:tcPr>
          <w:p w14:paraId="528CF421"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3" w:type="pct"/>
          </w:tcPr>
          <w:p w14:paraId="047E7CB8" w14:textId="77777777" w:rsidR="00CD6352" w:rsidRPr="000706BC" w:rsidRDefault="00CD6352" w:rsidP="00CD6352">
            <w:pPr>
              <w:rPr>
                <w:rFonts w:ascii="Arial" w:hAnsi="Arial" w:cs="Arial"/>
                <w:sz w:val="16"/>
                <w:szCs w:val="16"/>
              </w:rPr>
            </w:pPr>
            <w:r w:rsidRPr="000706BC">
              <w:rPr>
                <w:rFonts w:ascii="Arial" w:hAnsi="Arial" w:cs="Arial"/>
                <w:sz w:val="16"/>
                <w:szCs w:val="16"/>
              </w:rPr>
              <w:t>1</w:t>
            </w:r>
          </w:p>
        </w:tc>
        <w:tc>
          <w:tcPr>
            <w:tcW w:w="324" w:type="pct"/>
            <w:gridSpan w:val="2"/>
          </w:tcPr>
          <w:p w14:paraId="03835373"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6" w:type="pct"/>
          </w:tcPr>
          <w:p w14:paraId="60250385" w14:textId="77777777" w:rsidR="00CD6352" w:rsidRPr="000706BC" w:rsidRDefault="00CD6352" w:rsidP="00CD6352">
            <w:pPr>
              <w:rPr>
                <w:rFonts w:ascii="Arial" w:hAnsi="Arial" w:cs="Arial"/>
                <w:sz w:val="16"/>
                <w:szCs w:val="16"/>
              </w:rPr>
            </w:pPr>
            <w:r w:rsidRPr="000706BC">
              <w:rPr>
                <w:rFonts w:ascii="Arial" w:hAnsi="Arial" w:cs="Arial"/>
                <w:sz w:val="16"/>
                <w:szCs w:val="16"/>
              </w:rPr>
              <w:t>5</w:t>
            </w:r>
          </w:p>
        </w:tc>
        <w:tc>
          <w:tcPr>
            <w:tcW w:w="324" w:type="pct"/>
            <w:gridSpan w:val="2"/>
          </w:tcPr>
          <w:p w14:paraId="0704ED9F" w14:textId="77777777" w:rsidR="00CD6352" w:rsidRPr="000706BC" w:rsidRDefault="00CD6352" w:rsidP="00CD6352">
            <w:pPr>
              <w:rPr>
                <w:rFonts w:ascii="Arial" w:hAnsi="Arial" w:cs="Arial"/>
                <w:sz w:val="16"/>
                <w:szCs w:val="16"/>
              </w:rPr>
            </w:pPr>
            <w:r w:rsidRPr="000706BC">
              <w:rPr>
                <w:rFonts w:ascii="Arial" w:hAnsi="Arial" w:cs="Arial"/>
                <w:sz w:val="16"/>
                <w:szCs w:val="16"/>
              </w:rPr>
              <w:t>4.64</w:t>
            </w:r>
          </w:p>
        </w:tc>
        <w:tc>
          <w:tcPr>
            <w:tcW w:w="310" w:type="pct"/>
          </w:tcPr>
          <w:p w14:paraId="631C9A3E" w14:textId="77777777" w:rsidR="00CD6352" w:rsidRPr="000706BC" w:rsidRDefault="00CD6352" w:rsidP="00CD6352">
            <w:pPr>
              <w:rPr>
                <w:rFonts w:ascii="Arial" w:hAnsi="Arial" w:cs="Arial"/>
                <w:sz w:val="16"/>
                <w:szCs w:val="16"/>
              </w:rPr>
            </w:pPr>
            <w:r w:rsidRPr="000706BC">
              <w:rPr>
                <w:rFonts w:ascii="Arial" w:hAnsi="Arial" w:cs="Arial"/>
                <w:sz w:val="16"/>
                <w:szCs w:val="16"/>
              </w:rPr>
              <w:t>1</w:t>
            </w:r>
          </w:p>
        </w:tc>
        <w:tc>
          <w:tcPr>
            <w:tcW w:w="324" w:type="pct"/>
          </w:tcPr>
          <w:p w14:paraId="5B56202D" w14:textId="77777777" w:rsidR="00CD6352" w:rsidRPr="000706BC" w:rsidRDefault="00CD6352" w:rsidP="00CD6352">
            <w:pPr>
              <w:rPr>
                <w:rFonts w:ascii="Arial" w:hAnsi="Arial" w:cs="Arial"/>
                <w:sz w:val="16"/>
                <w:szCs w:val="16"/>
              </w:rPr>
            </w:pPr>
            <w:r w:rsidRPr="000706BC">
              <w:rPr>
                <w:rFonts w:ascii="Arial" w:hAnsi="Arial" w:cs="Arial"/>
                <w:sz w:val="16"/>
                <w:szCs w:val="16"/>
              </w:rPr>
              <w:t>4.13</w:t>
            </w:r>
          </w:p>
        </w:tc>
        <w:tc>
          <w:tcPr>
            <w:tcW w:w="310" w:type="pct"/>
          </w:tcPr>
          <w:p w14:paraId="121D4E85" w14:textId="77777777" w:rsidR="00CD6352" w:rsidRPr="000706BC" w:rsidRDefault="00CD6352" w:rsidP="00CD6352">
            <w:pPr>
              <w:rPr>
                <w:rFonts w:ascii="Arial" w:hAnsi="Arial" w:cs="Arial"/>
                <w:sz w:val="16"/>
                <w:szCs w:val="16"/>
              </w:rPr>
            </w:pPr>
            <w:r w:rsidRPr="000706BC">
              <w:rPr>
                <w:rFonts w:ascii="Arial" w:hAnsi="Arial" w:cs="Arial"/>
                <w:sz w:val="16"/>
                <w:szCs w:val="16"/>
              </w:rPr>
              <w:t>2</w:t>
            </w:r>
          </w:p>
        </w:tc>
        <w:tc>
          <w:tcPr>
            <w:tcW w:w="324" w:type="pct"/>
            <w:gridSpan w:val="2"/>
          </w:tcPr>
          <w:p w14:paraId="0959F493" w14:textId="77777777" w:rsidR="00CD6352" w:rsidRPr="000706BC" w:rsidRDefault="00CD6352" w:rsidP="00CD6352">
            <w:pPr>
              <w:rPr>
                <w:rFonts w:ascii="Arial" w:hAnsi="Arial" w:cs="Arial"/>
                <w:sz w:val="16"/>
                <w:szCs w:val="16"/>
              </w:rPr>
            </w:pPr>
            <w:r w:rsidRPr="000706BC">
              <w:rPr>
                <w:rFonts w:ascii="Arial" w:hAnsi="Arial" w:cs="Arial"/>
                <w:sz w:val="16"/>
                <w:szCs w:val="16"/>
              </w:rPr>
              <w:t>4.67</w:t>
            </w:r>
          </w:p>
        </w:tc>
        <w:tc>
          <w:tcPr>
            <w:tcW w:w="310" w:type="pct"/>
          </w:tcPr>
          <w:p w14:paraId="5B085DFA" w14:textId="77777777" w:rsidR="00CD6352" w:rsidRPr="000706BC" w:rsidRDefault="00CD6352" w:rsidP="00CD6352">
            <w:pPr>
              <w:rPr>
                <w:rFonts w:ascii="Arial" w:hAnsi="Arial" w:cs="Arial"/>
                <w:sz w:val="16"/>
                <w:szCs w:val="16"/>
              </w:rPr>
            </w:pPr>
            <w:r w:rsidRPr="000706BC">
              <w:rPr>
                <w:rFonts w:ascii="Arial" w:hAnsi="Arial" w:cs="Arial"/>
                <w:sz w:val="16"/>
                <w:szCs w:val="16"/>
              </w:rPr>
              <w:t>2</w:t>
            </w:r>
          </w:p>
        </w:tc>
      </w:tr>
      <w:tr w:rsidR="00CD6352" w:rsidRPr="000706BC" w14:paraId="4C5CDC78" w14:textId="77777777" w:rsidTr="0076450C">
        <w:trPr>
          <w:gridAfter w:val="1"/>
          <w:wAfter w:w="8" w:type="pct"/>
          <w:trHeight w:val="167"/>
        </w:trPr>
        <w:tc>
          <w:tcPr>
            <w:tcW w:w="1093" w:type="pct"/>
          </w:tcPr>
          <w:p w14:paraId="010531DA" w14:textId="77777777" w:rsidR="00CD6352" w:rsidRPr="000706BC" w:rsidRDefault="00CD6352" w:rsidP="00CD6352">
            <w:pPr>
              <w:rPr>
                <w:rFonts w:ascii="Arial" w:hAnsi="Arial" w:cs="Arial"/>
                <w:sz w:val="16"/>
                <w:szCs w:val="16"/>
              </w:rPr>
            </w:pPr>
            <w:r w:rsidRPr="000706BC">
              <w:rPr>
                <w:rFonts w:ascii="Arial" w:hAnsi="Arial" w:cs="Arial"/>
                <w:sz w:val="16"/>
                <w:szCs w:val="16"/>
              </w:rPr>
              <w:t>Access to relevant update data</w:t>
            </w:r>
          </w:p>
        </w:tc>
        <w:tc>
          <w:tcPr>
            <w:tcW w:w="361" w:type="pct"/>
          </w:tcPr>
          <w:p w14:paraId="3F561BA3" w14:textId="77777777" w:rsidR="00CD6352" w:rsidRPr="000706BC" w:rsidRDefault="00CD6352" w:rsidP="00CD6352">
            <w:pPr>
              <w:rPr>
                <w:rFonts w:ascii="Arial" w:hAnsi="Arial" w:cs="Arial"/>
                <w:sz w:val="16"/>
                <w:szCs w:val="16"/>
              </w:rPr>
            </w:pPr>
            <w:r w:rsidRPr="000706BC">
              <w:rPr>
                <w:rFonts w:ascii="Arial" w:hAnsi="Arial" w:cs="Arial"/>
                <w:sz w:val="16"/>
                <w:szCs w:val="16"/>
              </w:rPr>
              <w:t>3.33</w:t>
            </w:r>
          </w:p>
        </w:tc>
        <w:tc>
          <w:tcPr>
            <w:tcW w:w="340" w:type="pct"/>
          </w:tcPr>
          <w:p w14:paraId="656F12D5" w14:textId="77777777" w:rsidR="00CD6352" w:rsidRPr="000706BC" w:rsidRDefault="00CD6352" w:rsidP="00CD6352">
            <w:pPr>
              <w:rPr>
                <w:rFonts w:ascii="Arial" w:hAnsi="Arial" w:cs="Arial"/>
                <w:sz w:val="16"/>
                <w:szCs w:val="16"/>
              </w:rPr>
            </w:pPr>
            <w:r w:rsidRPr="000706BC">
              <w:rPr>
                <w:rFonts w:ascii="Arial" w:hAnsi="Arial" w:cs="Arial"/>
                <w:sz w:val="16"/>
                <w:szCs w:val="16"/>
              </w:rPr>
              <w:t>19</w:t>
            </w:r>
          </w:p>
        </w:tc>
        <w:tc>
          <w:tcPr>
            <w:tcW w:w="324" w:type="pct"/>
            <w:gridSpan w:val="2"/>
          </w:tcPr>
          <w:p w14:paraId="713259C8" w14:textId="77777777" w:rsidR="00CD6352" w:rsidRPr="000706BC" w:rsidRDefault="00CD6352" w:rsidP="00CD6352">
            <w:pPr>
              <w:rPr>
                <w:rFonts w:ascii="Arial" w:hAnsi="Arial" w:cs="Arial"/>
                <w:sz w:val="16"/>
                <w:szCs w:val="16"/>
              </w:rPr>
            </w:pPr>
            <w:r w:rsidRPr="000706BC">
              <w:rPr>
                <w:rFonts w:ascii="Arial" w:hAnsi="Arial" w:cs="Arial"/>
                <w:sz w:val="16"/>
                <w:szCs w:val="16"/>
              </w:rPr>
              <w:t>3.10</w:t>
            </w:r>
          </w:p>
        </w:tc>
        <w:tc>
          <w:tcPr>
            <w:tcW w:w="323" w:type="pct"/>
          </w:tcPr>
          <w:p w14:paraId="33AB36C8" w14:textId="77777777" w:rsidR="00CD6352" w:rsidRPr="000706BC" w:rsidRDefault="00CD6352" w:rsidP="00CD6352">
            <w:pPr>
              <w:rPr>
                <w:rFonts w:ascii="Arial" w:hAnsi="Arial" w:cs="Arial"/>
                <w:sz w:val="16"/>
                <w:szCs w:val="16"/>
              </w:rPr>
            </w:pPr>
            <w:r w:rsidRPr="000706BC">
              <w:rPr>
                <w:rFonts w:ascii="Arial" w:hAnsi="Arial" w:cs="Arial"/>
                <w:sz w:val="16"/>
                <w:szCs w:val="16"/>
              </w:rPr>
              <w:t>20</w:t>
            </w:r>
          </w:p>
        </w:tc>
        <w:tc>
          <w:tcPr>
            <w:tcW w:w="324" w:type="pct"/>
            <w:gridSpan w:val="2"/>
          </w:tcPr>
          <w:p w14:paraId="4A616A80" w14:textId="77777777" w:rsidR="00CD6352" w:rsidRPr="000706BC" w:rsidRDefault="00CD6352" w:rsidP="00CD6352">
            <w:pPr>
              <w:rPr>
                <w:rFonts w:ascii="Arial" w:hAnsi="Arial" w:cs="Arial"/>
                <w:sz w:val="16"/>
                <w:szCs w:val="16"/>
              </w:rPr>
            </w:pPr>
            <w:r w:rsidRPr="000706BC">
              <w:rPr>
                <w:rFonts w:ascii="Arial" w:hAnsi="Arial" w:cs="Arial"/>
                <w:sz w:val="16"/>
                <w:szCs w:val="16"/>
              </w:rPr>
              <w:t>3.33</w:t>
            </w:r>
          </w:p>
        </w:tc>
        <w:tc>
          <w:tcPr>
            <w:tcW w:w="326" w:type="pct"/>
          </w:tcPr>
          <w:p w14:paraId="163F9428" w14:textId="77777777" w:rsidR="00CD6352" w:rsidRPr="000706BC" w:rsidRDefault="00CD6352" w:rsidP="00CD6352">
            <w:pPr>
              <w:rPr>
                <w:rFonts w:ascii="Arial" w:hAnsi="Arial" w:cs="Arial"/>
                <w:sz w:val="16"/>
                <w:szCs w:val="16"/>
              </w:rPr>
            </w:pPr>
            <w:r w:rsidRPr="000706BC">
              <w:rPr>
                <w:rFonts w:ascii="Arial" w:hAnsi="Arial" w:cs="Arial"/>
                <w:sz w:val="16"/>
                <w:szCs w:val="16"/>
              </w:rPr>
              <w:t>19</w:t>
            </w:r>
          </w:p>
        </w:tc>
        <w:tc>
          <w:tcPr>
            <w:tcW w:w="324" w:type="pct"/>
            <w:gridSpan w:val="2"/>
          </w:tcPr>
          <w:p w14:paraId="20238C56"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10" w:type="pct"/>
          </w:tcPr>
          <w:p w14:paraId="0ECB95DD" w14:textId="77777777" w:rsidR="00CD6352" w:rsidRPr="000706BC" w:rsidRDefault="00CD6352" w:rsidP="00CD6352">
            <w:pPr>
              <w:rPr>
                <w:rFonts w:ascii="Arial" w:hAnsi="Arial" w:cs="Arial"/>
                <w:sz w:val="16"/>
                <w:szCs w:val="16"/>
              </w:rPr>
            </w:pPr>
            <w:r w:rsidRPr="000706BC">
              <w:rPr>
                <w:rFonts w:ascii="Arial" w:hAnsi="Arial" w:cs="Arial"/>
                <w:sz w:val="16"/>
                <w:szCs w:val="16"/>
              </w:rPr>
              <w:t>12</w:t>
            </w:r>
          </w:p>
        </w:tc>
        <w:tc>
          <w:tcPr>
            <w:tcW w:w="324" w:type="pct"/>
          </w:tcPr>
          <w:p w14:paraId="3340F1DD" w14:textId="77777777" w:rsidR="00CD6352" w:rsidRPr="000706BC" w:rsidRDefault="00CD6352" w:rsidP="00CD6352">
            <w:pPr>
              <w:rPr>
                <w:rFonts w:ascii="Arial" w:hAnsi="Arial" w:cs="Arial"/>
                <w:sz w:val="16"/>
                <w:szCs w:val="16"/>
              </w:rPr>
            </w:pPr>
            <w:r w:rsidRPr="000706BC">
              <w:rPr>
                <w:rFonts w:ascii="Arial" w:hAnsi="Arial" w:cs="Arial"/>
                <w:sz w:val="16"/>
                <w:szCs w:val="16"/>
              </w:rPr>
              <w:t>3.70</w:t>
            </w:r>
          </w:p>
        </w:tc>
        <w:tc>
          <w:tcPr>
            <w:tcW w:w="310" w:type="pct"/>
          </w:tcPr>
          <w:p w14:paraId="5D8B7610" w14:textId="77777777" w:rsidR="00CD6352" w:rsidRPr="000706BC" w:rsidRDefault="00CD6352" w:rsidP="00CD6352">
            <w:pPr>
              <w:rPr>
                <w:rFonts w:ascii="Arial" w:hAnsi="Arial" w:cs="Arial"/>
                <w:sz w:val="16"/>
                <w:szCs w:val="16"/>
              </w:rPr>
            </w:pPr>
            <w:r w:rsidRPr="000706BC">
              <w:rPr>
                <w:rFonts w:ascii="Arial" w:hAnsi="Arial" w:cs="Arial"/>
                <w:sz w:val="16"/>
                <w:szCs w:val="16"/>
              </w:rPr>
              <w:t>16</w:t>
            </w:r>
          </w:p>
        </w:tc>
        <w:tc>
          <w:tcPr>
            <w:tcW w:w="324" w:type="pct"/>
            <w:gridSpan w:val="2"/>
          </w:tcPr>
          <w:p w14:paraId="4A3D284B" w14:textId="77777777" w:rsidR="00CD6352" w:rsidRPr="000706BC" w:rsidRDefault="00CD6352" w:rsidP="00CD6352">
            <w:pPr>
              <w:rPr>
                <w:rFonts w:ascii="Arial" w:hAnsi="Arial" w:cs="Arial"/>
                <w:sz w:val="16"/>
                <w:szCs w:val="16"/>
              </w:rPr>
            </w:pPr>
            <w:r w:rsidRPr="000706BC">
              <w:rPr>
                <w:rFonts w:ascii="Arial" w:hAnsi="Arial" w:cs="Arial"/>
                <w:sz w:val="16"/>
                <w:szCs w:val="16"/>
              </w:rPr>
              <w:t>3.89</w:t>
            </w:r>
          </w:p>
        </w:tc>
        <w:tc>
          <w:tcPr>
            <w:tcW w:w="310" w:type="pct"/>
          </w:tcPr>
          <w:p w14:paraId="273F8EFA" w14:textId="77777777" w:rsidR="00CD6352" w:rsidRPr="000706BC" w:rsidRDefault="00CD6352" w:rsidP="00CD6352">
            <w:pPr>
              <w:rPr>
                <w:rFonts w:ascii="Arial" w:hAnsi="Arial" w:cs="Arial"/>
                <w:sz w:val="16"/>
                <w:szCs w:val="16"/>
              </w:rPr>
            </w:pPr>
            <w:r w:rsidRPr="000706BC">
              <w:rPr>
                <w:rFonts w:ascii="Arial" w:hAnsi="Arial" w:cs="Arial"/>
                <w:sz w:val="16"/>
                <w:szCs w:val="16"/>
              </w:rPr>
              <w:t>17</w:t>
            </w:r>
          </w:p>
        </w:tc>
      </w:tr>
      <w:tr w:rsidR="00CD6352" w:rsidRPr="000706BC" w14:paraId="317AB68C" w14:textId="77777777" w:rsidTr="0076450C">
        <w:trPr>
          <w:gridAfter w:val="1"/>
          <w:wAfter w:w="8" w:type="pct"/>
          <w:trHeight w:val="167"/>
        </w:trPr>
        <w:tc>
          <w:tcPr>
            <w:tcW w:w="1093" w:type="pct"/>
          </w:tcPr>
          <w:p w14:paraId="2182C4A8" w14:textId="77777777" w:rsidR="00CD6352" w:rsidRPr="000706BC" w:rsidRDefault="00CD6352" w:rsidP="00CD6352">
            <w:pPr>
              <w:rPr>
                <w:rFonts w:ascii="Arial" w:hAnsi="Arial" w:cs="Arial"/>
                <w:sz w:val="16"/>
                <w:szCs w:val="16"/>
              </w:rPr>
            </w:pPr>
            <w:r w:rsidRPr="000706BC">
              <w:rPr>
                <w:rFonts w:ascii="Arial" w:hAnsi="Arial" w:cs="Arial"/>
                <w:sz w:val="16"/>
                <w:szCs w:val="16"/>
              </w:rPr>
              <w:t>Assembling the right team of advisors</w:t>
            </w:r>
          </w:p>
        </w:tc>
        <w:tc>
          <w:tcPr>
            <w:tcW w:w="361" w:type="pct"/>
          </w:tcPr>
          <w:p w14:paraId="30BF2B70"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40" w:type="pct"/>
          </w:tcPr>
          <w:p w14:paraId="30F22953" w14:textId="77777777" w:rsidR="00CD6352" w:rsidRPr="000706BC" w:rsidRDefault="00CD6352" w:rsidP="00CD6352">
            <w:pPr>
              <w:rPr>
                <w:rFonts w:ascii="Arial" w:hAnsi="Arial" w:cs="Arial"/>
                <w:sz w:val="16"/>
                <w:szCs w:val="16"/>
              </w:rPr>
            </w:pPr>
            <w:r w:rsidRPr="000706BC">
              <w:rPr>
                <w:rFonts w:ascii="Arial" w:hAnsi="Arial" w:cs="Arial"/>
                <w:sz w:val="16"/>
                <w:szCs w:val="16"/>
              </w:rPr>
              <w:t>13</w:t>
            </w:r>
          </w:p>
        </w:tc>
        <w:tc>
          <w:tcPr>
            <w:tcW w:w="324" w:type="pct"/>
            <w:gridSpan w:val="2"/>
          </w:tcPr>
          <w:p w14:paraId="5528337C" w14:textId="77777777" w:rsidR="00CD6352" w:rsidRPr="000706BC" w:rsidRDefault="00CD6352" w:rsidP="00CD6352">
            <w:pPr>
              <w:rPr>
                <w:rFonts w:ascii="Arial" w:hAnsi="Arial" w:cs="Arial"/>
                <w:sz w:val="16"/>
                <w:szCs w:val="16"/>
              </w:rPr>
            </w:pPr>
            <w:r w:rsidRPr="000706BC">
              <w:rPr>
                <w:rFonts w:ascii="Arial" w:hAnsi="Arial" w:cs="Arial"/>
                <w:sz w:val="16"/>
                <w:szCs w:val="16"/>
              </w:rPr>
              <w:t>3.30</w:t>
            </w:r>
          </w:p>
        </w:tc>
        <w:tc>
          <w:tcPr>
            <w:tcW w:w="323" w:type="pct"/>
          </w:tcPr>
          <w:p w14:paraId="024C1031" w14:textId="77777777" w:rsidR="00CD6352" w:rsidRPr="000706BC" w:rsidRDefault="00CD6352" w:rsidP="00CD6352">
            <w:pPr>
              <w:rPr>
                <w:rFonts w:ascii="Arial" w:hAnsi="Arial" w:cs="Arial"/>
                <w:sz w:val="16"/>
                <w:szCs w:val="16"/>
              </w:rPr>
            </w:pPr>
            <w:r w:rsidRPr="000706BC">
              <w:rPr>
                <w:rFonts w:ascii="Arial" w:hAnsi="Arial" w:cs="Arial"/>
                <w:sz w:val="16"/>
                <w:szCs w:val="16"/>
              </w:rPr>
              <w:t>17</w:t>
            </w:r>
          </w:p>
        </w:tc>
        <w:tc>
          <w:tcPr>
            <w:tcW w:w="324" w:type="pct"/>
            <w:gridSpan w:val="2"/>
          </w:tcPr>
          <w:p w14:paraId="3B15C9BE" w14:textId="77777777" w:rsidR="00CD6352" w:rsidRPr="000706BC" w:rsidRDefault="00CD6352" w:rsidP="00CD6352">
            <w:pPr>
              <w:rPr>
                <w:rFonts w:ascii="Arial" w:hAnsi="Arial" w:cs="Arial"/>
                <w:sz w:val="16"/>
                <w:szCs w:val="16"/>
              </w:rPr>
            </w:pPr>
            <w:r w:rsidRPr="000706BC">
              <w:rPr>
                <w:rFonts w:ascii="Arial" w:hAnsi="Arial" w:cs="Arial"/>
                <w:sz w:val="16"/>
                <w:szCs w:val="16"/>
              </w:rPr>
              <w:t>3.57</w:t>
            </w:r>
          </w:p>
        </w:tc>
        <w:tc>
          <w:tcPr>
            <w:tcW w:w="326" w:type="pct"/>
          </w:tcPr>
          <w:p w14:paraId="4DE962BB" w14:textId="77777777" w:rsidR="00CD6352" w:rsidRPr="000706BC" w:rsidRDefault="00CD6352" w:rsidP="00CD6352">
            <w:pPr>
              <w:rPr>
                <w:rFonts w:ascii="Arial" w:hAnsi="Arial" w:cs="Arial"/>
                <w:sz w:val="16"/>
                <w:szCs w:val="16"/>
              </w:rPr>
            </w:pPr>
            <w:r w:rsidRPr="000706BC">
              <w:rPr>
                <w:rFonts w:ascii="Arial" w:hAnsi="Arial" w:cs="Arial"/>
                <w:sz w:val="16"/>
                <w:szCs w:val="16"/>
              </w:rPr>
              <w:t>18</w:t>
            </w:r>
          </w:p>
        </w:tc>
        <w:tc>
          <w:tcPr>
            <w:tcW w:w="324" w:type="pct"/>
            <w:gridSpan w:val="2"/>
          </w:tcPr>
          <w:p w14:paraId="0D7D6F36" w14:textId="77777777" w:rsidR="00CD6352" w:rsidRPr="000706BC" w:rsidRDefault="00CD6352" w:rsidP="00CD6352">
            <w:pPr>
              <w:rPr>
                <w:rFonts w:ascii="Arial" w:hAnsi="Arial" w:cs="Arial"/>
                <w:sz w:val="16"/>
                <w:szCs w:val="16"/>
              </w:rPr>
            </w:pPr>
            <w:r w:rsidRPr="000706BC">
              <w:rPr>
                <w:rFonts w:ascii="Arial" w:hAnsi="Arial" w:cs="Arial"/>
                <w:sz w:val="16"/>
                <w:szCs w:val="16"/>
              </w:rPr>
              <w:t>4.09</w:t>
            </w:r>
          </w:p>
        </w:tc>
        <w:tc>
          <w:tcPr>
            <w:tcW w:w="310" w:type="pct"/>
          </w:tcPr>
          <w:p w14:paraId="202024D7" w14:textId="77777777" w:rsidR="00CD6352" w:rsidRPr="000706BC" w:rsidRDefault="00CD6352" w:rsidP="00CD6352">
            <w:pPr>
              <w:rPr>
                <w:rFonts w:ascii="Arial" w:hAnsi="Arial" w:cs="Arial"/>
                <w:sz w:val="16"/>
                <w:szCs w:val="16"/>
              </w:rPr>
            </w:pPr>
            <w:r w:rsidRPr="000706BC">
              <w:rPr>
                <w:rFonts w:ascii="Arial" w:hAnsi="Arial" w:cs="Arial"/>
                <w:sz w:val="16"/>
                <w:szCs w:val="16"/>
              </w:rPr>
              <w:t>6</w:t>
            </w:r>
          </w:p>
        </w:tc>
        <w:tc>
          <w:tcPr>
            <w:tcW w:w="324" w:type="pct"/>
          </w:tcPr>
          <w:p w14:paraId="0C3204C1" w14:textId="77777777" w:rsidR="00CD6352" w:rsidRPr="000706BC" w:rsidRDefault="00CD6352" w:rsidP="00CD6352">
            <w:pPr>
              <w:rPr>
                <w:rFonts w:ascii="Arial" w:hAnsi="Arial" w:cs="Arial"/>
                <w:sz w:val="16"/>
                <w:szCs w:val="16"/>
              </w:rPr>
            </w:pPr>
            <w:r w:rsidRPr="000706BC">
              <w:rPr>
                <w:rFonts w:ascii="Arial" w:hAnsi="Arial" w:cs="Arial"/>
                <w:sz w:val="16"/>
                <w:szCs w:val="16"/>
              </w:rPr>
              <w:t>3.91</w:t>
            </w:r>
          </w:p>
        </w:tc>
        <w:tc>
          <w:tcPr>
            <w:tcW w:w="310" w:type="pct"/>
          </w:tcPr>
          <w:p w14:paraId="75ED1FE0" w14:textId="77777777" w:rsidR="00CD6352" w:rsidRPr="000706BC" w:rsidRDefault="00CD6352" w:rsidP="00CD6352">
            <w:pPr>
              <w:rPr>
                <w:rFonts w:ascii="Arial" w:hAnsi="Arial" w:cs="Arial"/>
                <w:sz w:val="16"/>
                <w:szCs w:val="16"/>
              </w:rPr>
            </w:pPr>
            <w:r w:rsidRPr="000706BC">
              <w:rPr>
                <w:rFonts w:ascii="Arial" w:hAnsi="Arial" w:cs="Arial"/>
                <w:sz w:val="16"/>
                <w:szCs w:val="16"/>
              </w:rPr>
              <w:t>4</w:t>
            </w:r>
          </w:p>
        </w:tc>
        <w:tc>
          <w:tcPr>
            <w:tcW w:w="324" w:type="pct"/>
            <w:gridSpan w:val="2"/>
          </w:tcPr>
          <w:p w14:paraId="24ECC452" w14:textId="77777777" w:rsidR="00CD6352" w:rsidRPr="000706BC" w:rsidRDefault="00CD6352" w:rsidP="00CD6352">
            <w:pPr>
              <w:rPr>
                <w:rFonts w:ascii="Arial" w:hAnsi="Arial" w:cs="Arial"/>
                <w:sz w:val="16"/>
                <w:szCs w:val="16"/>
              </w:rPr>
            </w:pPr>
            <w:r w:rsidRPr="000706BC">
              <w:rPr>
                <w:rFonts w:ascii="Arial" w:hAnsi="Arial" w:cs="Arial"/>
                <w:sz w:val="16"/>
                <w:szCs w:val="16"/>
              </w:rPr>
              <w:t>4.22</w:t>
            </w:r>
          </w:p>
        </w:tc>
        <w:tc>
          <w:tcPr>
            <w:tcW w:w="310" w:type="pct"/>
          </w:tcPr>
          <w:p w14:paraId="2A343FA7" w14:textId="77777777" w:rsidR="00CD6352" w:rsidRPr="000706BC" w:rsidRDefault="00CD6352" w:rsidP="00CD6352">
            <w:pPr>
              <w:rPr>
                <w:rFonts w:ascii="Arial" w:hAnsi="Arial" w:cs="Arial"/>
                <w:sz w:val="16"/>
                <w:szCs w:val="16"/>
              </w:rPr>
            </w:pPr>
            <w:r w:rsidRPr="000706BC">
              <w:rPr>
                <w:rFonts w:ascii="Arial" w:hAnsi="Arial" w:cs="Arial"/>
                <w:sz w:val="16"/>
                <w:szCs w:val="16"/>
              </w:rPr>
              <w:t>12</w:t>
            </w:r>
          </w:p>
        </w:tc>
      </w:tr>
      <w:tr w:rsidR="00CD6352" w:rsidRPr="000706BC" w14:paraId="6FC7AAE0" w14:textId="77777777" w:rsidTr="0076450C">
        <w:trPr>
          <w:gridAfter w:val="1"/>
          <w:wAfter w:w="8" w:type="pct"/>
          <w:trHeight w:val="167"/>
        </w:trPr>
        <w:tc>
          <w:tcPr>
            <w:tcW w:w="1093" w:type="pct"/>
          </w:tcPr>
          <w:p w14:paraId="4BB9DA45" w14:textId="77777777" w:rsidR="00CD6352" w:rsidRPr="000706BC" w:rsidRDefault="00CD6352" w:rsidP="00CD6352">
            <w:pPr>
              <w:rPr>
                <w:rFonts w:ascii="Arial" w:hAnsi="Arial" w:cs="Arial"/>
                <w:sz w:val="16"/>
                <w:szCs w:val="16"/>
              </w:rPr>
            </w:pPr>
            <w:r w:rsidRPr="000706BC">
              <w:rPr>
                <w:rFonts w:ascii="Arial" w:hAnsi="Arial" w:cs="Arial"/>
                <w:sz w:val="16"/>
                <w:szCs w:val="16"/>
              </w:rPr>
              <w:t>Business plan</w:t>
            </w:r>
          </w:p>
        </w:tc>
        <w:tc>
          <w:tcPr>
            <w:tcW w:w="361" w:type="pct"/>
          </w:tcPr>
          <w:p w14:paraId="33F778DC" w14:textId="77777777" w:rsidR="00CD6352" w:rsidRPr="000706BC" w:rsidRDefault="00CD6352" w:rsidP="00CD6352">
            <w:pPr>
              <w:rPr>
                <w:rFonts w:ascii="Arial" w:hAnsi="Arial" w:cs="Arial"/>
                <w:sz w:val="16"/>
                <w:szCs w:val="16"/>
              </w:rPr>
            </w:pPr>
            <w:r w:rsidRPr="000706BC">
              <w:rPr>
                <w:rFonts w:ascii="Arial" w:hAnsi="Arial" w:cs="Arial"/>
                <w:sz w:val="16"/>
                <w:szCs w:val="16"/>
              </w:rPr>
              <w:t>4.0</w:t>
            </w:r>
          </w:p>
        </w:tc>
        <w:tc>
          <w:tcPr>
            <w:tcW w:w="340" w:type="pct"/>
          </w:tcPr>
          <w:p w14:paraId="37E46A10" w14:textId="77777777" w:rsidR="00CD6352" w:rsidRPr="000706BC" w:rsidRDefault="00CD6352" w:rsidP="00CD6352">
            <w:pPr>
              <w:rPr>
                <w:rFonts w:ascii="Arial" w:hAnsi="Arial" w:cs="Arial"/>
                <w:sz w:val="16"/>
                <w:szCs w:val="16"/>
              </w:rPr>
            </w:pPr>
            <w:r w:rsidRPr="000706BC">
              <w:rPr>
                <w:rFonts w:ascii="Arial" w:hAnsi="Arial" w:cs="Arial"/>
                <w:sz w:val="16"/>
                <w:szCs w:val="16"/>
              </w:rPr>
              <w:t>9</w:t>
            </w:r>
          </w:p>
        </w:tc>
        <w:tc>
          <w:tcPr>
            <w:tcW w:w="324" w:type="pct"/>
            <w:gridSpan w:val="2"/>
          </w:tcPr>
          <w:p w14:paraId="50C5AEFE"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3" w:type="pct"/>
          </w:tcPr>
          <w:p w14:paraId="4AD7358B" w14:textId="77777777" w:rsidR="00CD6352" w:rsidRPr="000706BC" w:rsidRDefault="00CD6352" w:rsidP="00CD6352">
            <w:pPr>
              <w:rPr>
                <w:rFonts w:ascii="Arial" w:hAnsi="Arial" w:cs="Arial"/>
                <w:sz w:val="16"/>
                <w:szCs w:val="16"/>
              </w:rPr>
            </w:pPr>
            <w:r w:rsidRPr="000706BC">
              <w:rPr>
                <w:rFonts w:ascii="Arial" w:hAnsi="Arial" w:cs="Arial"/>
                <w:sz w:val="16"/>
                <w:szCs w:val="16"/>
              </w:rPr>
              <w:t>2</w:t>
            </w:r>
          </w:p>
        </w:tc>
        <w:tc>
          <w:tcPr>
            <w:tcW w:w="324" w:type="pct"/>
            <w:gridSpan w:val="2"/>
          </w:tcPr>
          <w:p w14:paraId="3D2DE538" w14:textId="77777777" w:rsidR="00CD6352" w:rsidRPr="000706BC" w:rsidRDefault="00CD6352" w:rsidP="00CD6352">
            <w:pPr>
              <w:rPr>
                <w:rFonts w:ascii="Arial" w:hAnsi="Arial" w:cs="Arial"/>
                <w:sz w:val="16"/>
                <w:szCs w:val="16"/>
              </w:rPr>
            </w:pPr>
            <w:r w:rsidRPr="000706BC">
              <w:rPr>
                <w:rFonts w:ascii="Arial" w:hAnsi="Arial" w:cs="Arial"/>
                <w:sz w:val="16"/>
                <w:szCs w:val="16"/>
              </w:rPr>
              <w:t>3.83</w:t>
            </w:r>
          </w:p>
        </w:tc>
        <w:tc>
          <w:tcPr>
            <w:tcW w:w="326" w:type="pct"/>
          </w:tcPr>
          <w:p w14:paraId="24BF7960" w14:textId="77777777" w:rsidR="00CD6352" w:rsidRPr="000706BC" w:rsidRDefault="00CD6352" w:rsidP="00CD6352">
            <w:pPr>
              <w:rPr>
                <w:rFonts w:ascii="Arial" w:hAnsi="Arial" w:cs="Arial"/>
                <w:sz w:val="16"/>
                <w:szCs w:val="16"/>
              </w:rPr>
            </w:pPr>
            <w:r w:rsidRPr="000706BC">
              <w:rPr>
                <w:rFonts w:ascii="Arial" w:hAnsi="Arial" w:cs="Arial"/>
                <w:sz w:val="16"/>
                <w:szCs w:val="16"/>
              </w:rPr>
              <w:t>8</w:t>
            </w:r>
          </w:p>
        </w:tc>
        <w:tc>
          <w:tcPr>
            <w:tcW w:w="324" w:type="pct"/>
            <w:gridSpan w:val="2"/>
          </w:tcPr>
          <w:p w14:paraId="60A01E28" w14:textId="77777777" w:rsidR="00CD6352" w:rsidRPr="000706BC" w:rsidRDefault="00CD6352" w:rsidP="00CD6352">
            <w:pPr>
              <w:rPr>
                <w:rFonts w:ascii="Arial" w:hAnsi="Arial" w:cs="Arial"/>
                <w:sz w:val="16"/>
                <w:szCs w:val="16"/>
              </w:rPr>
            </w:pPr>
            <w:r w:rsidRPr="000706BC">
              <w:rPr>
                <w:rFonts w:ascii="Arial" w:hAnsi="Arial" w:cs="Arial"/>
                <w:sz w:val="16"/>
                <w:szCs w:val="16"/>
              </w:rPr>
              <w:t>4.27</w:t>
            </w:r>
          </w:p>
        </w:tc>
        <w:tc>
          <w:tcPr>
            <w:tcW w:w="310" w:type="pct"/>
          </w:tcPr>
          <w:p w14:paraId="79B1CCE7" w14:textId="77777777" w:rsidR="00CD6352" w:rsidRPr="000706BC" w:rsidRDefault="00CD6352" w:rsidP="00CD6352">
            <w:pPr>
              <w:rPr>
                <w:rFonts w:ascii="Arial" w:hAnsi="Arial" w:cs="Arial"/>
                <w:sz w:val="16"/>
                <w:szCs w:val="16"/>
              </w:rPr>
            </w:pPr>
            <w:r w:rsidRPr="000706BC">
              <w:rPr>
                <w:rFonts w:ascii="Arial" w:hAnsi="Arial" w:cs="Arial"/>
                <w:sz w:val="16"/>
                <w:szCs w:val="16"/>
              </w:rPr>
              <w:t>3</w:t>
            </w:r>
          </w:p>
        </w:tc>
        <w:tc>
          <w:tcPr>
            <w:tcW w:w="324" w:type="pct"/>
          </w:tcPr>
          <w:p w14:paraId="350EBB18" w14:textId="77777777" w:rsidR="00CD6352" w:rsidRPr="000706BC" w:rsidRDefault="00CD6352" w:rsidP="00CD6352">
            <w:pPr>
              <w:rPr>
                <w:rFonts w:ascii="Arial" w:hAnsi="Arial" w:cs="Arial"/>
                <w:sz w:val="16"/>
                <w:szCs w:val="16"/>
              </w:rPr>
            </w:pPr>
            <w:r w:rsidRPr="000706BC">
              <w:rPr>
                <w:rFonts w:ascii="Arial" w:hAnsi="Arial" w:cs="Arial"/>
                <w:sz w:val="16"/>
                <w:szCs w:val="16"/>
              </w:rPr>
              <w:t>4.22</w:t>
            </w:r>
          </w:p>
        </w:tc>
        <w:tc>
          <w:tcPr>
            <w:tcW w:w="310" w:type="pct"/>
          </w:tcPr>
          <w:p w14:paraId="112C6741" w14:textId="77777777" w:rsidR="00CD6352" w:rsidRPr="000706BC" w:rsidRDefault="00CD6352" w:rsidP="00CD6352">
            <w:pPr>
              <w:rPr>
                <w:rFonts w:ascii="Arial" w:hAnsi="Arial" w:cs="Arial"/>
                <w:sz w:val="16"/>
                <w:szCs w:val="16"/>
              </w:rPr>
            </w:pPr>
            <w:r w:rsidRPr="000706BC">
              <w:rPr>
                <w:rFonts w:ascii="Arial" w:hAnsi="Arial" w:cs="Arial"/>
                <w:sz w:val="16"/>
                <w:szCs w:val="16"/>
              </w:rPr>
              <w:t>1</w:t>
            </w:r>
          </w:p>
        </w:tc>
        <w:tc>
          <w:tcPr>
            <w:tcW w:w="324" w:type="pct"/>
            <w:gridSpan w:val="2"/>
          </w:tcPr>
          <w:p w14:paraId="6F81F2CA" w14:textId="77777777" w:rsidR="00CD6352" w:rsidRPr="000706BC" w:rsidRDefault="00CD6352" w:rsidP="00CD6352">
            <w:pPr>
              <w:rPr>
                <w:rFonts w:ascii="Arial" w:hAnsi="Arial" w:cs="Arial"/>
                <w:sz w:val="16"/>
                <w:szCs w:val="16"/>
              </w:rPr>
            </w:pPr>
            <w:r w:rsidRPr="000706BC">
              <w:rPr>
                <w:rFonts w:ascii="Arial" w:hAnsi="Arial" w:cs="Arial"/>
                <w:sz w:val="16"/>
                <w:szCs w:val="16"/>
              </w:rPr>
              <w:t>4.10</w:t>
            </w:r>
          </w:p>
        </w:tc>
        <w:tc>
          <w:tcPr>
            <w:tcW w:w="310" w:type="pct"/>
          </w:tcPr>
          <w:p w14:paraId="674C28D7" w14:textId="77777777" w:rsidR="00CD6352" w:rsidRPr="000706BC" w:rsidRDefault="00CD6352" w:rsidP="00CD6352">
            <w:pPr>
              <w:rPr>
                <w:rFonts w:ascii="Arial" w:hAnsi="Arial" w:cs="Arial"/>
                <w:sz w:val="16"/>
                <w:szCs w:val="16"/>
              </w:rPr>
            </w:pPr>
            <w:r w:rsidRPr="000706BC">
              <w:rPr>
                <w:rFonts w:ascii="Arial" w:hAnsi="Arial" w:cs="Arial"/>
                <w:sz w:val="16"/>
                <w:szCs w:val="16"/>
              </w:rPr>
              <w:t>14</w:t>
            </w:r>
          </w:p>
        </w:tc>
      </w:tr>
      <w:tr w:rsidR="00CD6352" w:rsidRPr="000706BC" w14:paraId="365D5477" w14:textId="77777777" w:rsidTr="0076450C">
        <w:trPr>
          <w:gridAfter w:val="1"/>
          <w:wAfter w:w="8" w:type="pct"/>
          <w:trHeight w:val="336"/>
        </w:trPr>
        <w:tc>
          <w:tcPr>
            <w:tcW w:w="1093" w:type="pct"/>
          </w:tcPr>
          <w:p w14:paraId="59F34D5B" w14:textId="77777777" w:rsidR="00CD6352" w:rsidRPr="000706BC" w:rsidRDefault="00CD6352" w:rsidP="00CD6352">
            <w:pPr>
              <w:rPr>
                <w:rFonts w:ascii="Arial" w:hAnsi="Arial" w:cs="Arial"/>
                <w:sz w:val="16"/>
                <w:szCs w:val="16"/>
              </w:rPr>
            </w:pPr>
            <w:r w:rsidRPr="000706BC">
              <w:rPr>
                <w:rFonts w:ascii="Arial" w:hAnsi="Arial" w:cs="Arial"/>
                <w:sz w:val="16"/>
                <w:szCs w:val="16"/>
              </w:rPr>
              <w:t>Establishing an appropriate length and form of contract</w:t>
            </w:r>
          </w:p>
        </w:tc>
        <w:tc>
          <w:tcPr>
            <w:tcW w:w="361" w:type="pct"/>
          </w:tcPr>
          <w:p w14:paraId="65EB912B"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40" w:type="pct"/>
          </w:tcPr>
          <w:p w14:paraId="192D1B28" w14:textId="77777777" w:rsidR="00CD6352" w:rsidRPr="000706BC" w:rsidRDefault="00CD6352" w:rsidP="00CD6352">
            <w:pPr>
              <w:rPr>
                <w:rFonts w:ascii="Arial" w:hAnsi="Arial" w:cs="Arial"/>
                <w:sz w:val="16"/>
                <w:szCs w:val="16"/>
              </w:rPr>
            </w:pPr>
            <w:r w:rsidRPr="000706BC">
              <w:rPr>
                <w:rFonts w:ascii="Arial" w:hAnsi="Arial" w:cs="Arial"/>
                <w:sz w:val="16"/>
                <w:szCs w:val="16"/>
              </w:rPr>
              <w:t>14</w:t>
            </w:r>
          </w:p>
        </w:tc>
        <w:tc>
          <w:tcPr>
            <w:tcW w:w="324" w:type="pct"/>
            <w:gridSpan w:val="2"/>
          </w:tcPr>
          <w:p w14:paraId="72777CA9" w14:textId="77777777" w:rsidR="00CD6352" w:rsidRPr="000706BC" w:rsidRDefault="00CD6352" w:rsidP="00CD6352">
            <w:pPr>
              <w:rPr>
                <w:rFonts w:ascii="Arial" w:hAnsi="Arial" w:cs="Arial"/>
                <w:sz w:val="16"/>
                <w:szCs w:val="16"/>
              </w:rPr>
            </w:pPr>
            <w:r w:rsidRPr="000706BC">
              <w:rPr>
                <w:rFonts w:ascii="Arial" w:hAnsi="Arial" w:cs="Arial"/>
                <w:sz w:val="16"/>
                <w:szCs w:val="16"/>
              </w:rPr>
              <w:t>3.40</w:t>
            </w:r>
          </w:p>
        </w:tc>
        <w:tc>
          <w:tcPr>
            <w:tcW w:w="323" w:type="pct"/>
          </w:tcPr>
          <w:p w14:paraId="6CF642E6" w14:textId="77777777" w:rsidR="00CD6352" w:rsidRPr="000706BC" w:rsidRDefault="00CD6352" w:rsidP="00CD6352">
            <w:pPr>
              <w:rPr>
                <w:rFonts w:ascii="Arial" w:hAnsi="Arial" w:cs="Arial"/>
                <w:sz w:val="16"/>
                <w:szCs w:val="16"/>
              </w:rPr>
            </w:pPr>
            <w:r w:rsidRPr="000706BC">
              <w:rPr>
                <w:rFonts w:ascii="Arial" w:hAnsi="Arial" w:cs="Arial"/>
                <w:sz w:val="16"/>
                <w:szCs w:val="16"/>
              </w:rPr>
              <w:t>16</w:t>
            </w:r>
          </w:p>
        </w:tc>
        <w:tc>
          <w:tcPr>
            <w:tcW w:w="324" w:type="pct"/>
            <w:gridSpan w:val="2"/>
          </w:tcPr>
          <w:p w14:paraId="3E7153C9" w14:textId="77777777" w:rsidR="00CD6352" w:rsidRPr="000706BC" w:rsidRDefault="00CD6352" w:rsidP="00CD6352">
            <w:pPr>
              <w:rPr>
                <w:rFonts w:ascii="Arial" w:hAnsi="Arial" w:cs="Arial"/>
                <w:sz w:val="16"/>
                <w:szCs w:val="16"/>
              </w:rPr>
            </w:pPr>
            <w:r w:rsidRPr="000706BC">
              <w:rPr>
                <w:rFonts w:ascii="Arial" w:hAnsi="Arial" w:cs="Arial"/>
                <w:sz w:val="16"/>
                <w:szCs w:val="16"/>
              </w:rPr>
              <w:t>3.71</w:t>
            </w:r>
          </w:p>
        </w:tc>
        <w:tc>
          <w:tcPr>
            <w:tcW w:w="326" w:type="pct"/>
          </w:tcPr>
          <w:p w14:paraId="1CA824F5" w14:textId="77777777" w:rsidR="00CD6352" w:rsidRPr="000706BC" w:rsidRDefault="00CD6352" w:rsidP="00CD6352">
            <w:pPr>
              <w:rPr>
                <w:rFonts w:ascii="Arial" w:hAnsi="Arial" w:cs="Arial"/>
                <w:sz w:val="16"/>
                <w:szCs w:val="16"/>
              </w:rPr>
            </w:pPr>
            <w:r w:rsidRPr="000706BC">
              <w:rPr>
                <w:rFonts w:ascii="Arial" w:hAnsi="Arial" w:cs="Arial"/>
                <w:sz w:val="16"/>
                <w:szCs w:val="16"/>
              </w:rPr>
              <w:t>14</w:t>
            </w:r>
          </w:p>
        </w:tc>
        <w:tc>
          <w:tcPr>
            <w:tcW w:w="324" w:type="pct"/>
            <w:gridSpan w:val="2"/>
          </w:tcPr>
          <w:p w14:paraId="799E83CC" w14:textId="77777777" w:rsidR="00CD6352" w:rsidRPr="000706BC" w:rsidRDefault="00CD6352" w:rsidP="00CD6352">
            <w:pPr>
              <w:rPr>
                <w:rFonts w:ascii="Arial" w:hAnsi="Arial" w:cs="Arial"/>
                <w:sz w:val="16"/>
                <w:szCs w:val="16"/>
              </w:rPr>
            </w:pPr>
            <w:r w:rsidRPr="000706BC">
              <w:rPr>
                <w:rFonts w:ascii="Arial" w:hAnsi="Arial" w:cs="Arial"/>
                <w:sz w:val="16"/>
                <w:szCs w:val="16"/>
              </w:rPr>
              <w:t>3.82</w:t>
            </w:r>
          </w:p>
        </w:tc>
        <w:tc>
          <w:tcPr>
            <w:tcW w:w="310" w:type="pct"/>
          </w:tcPr>
          <w:p w14:paraId="51331D2C" w14:textId="77777777" w:rsidR="00CD6352" w:rsidRPr="000706BC" w:rsidRDefault="00CD6352" w:rsidP="00CD6352">
            <w:pPr>
              <w:rPr>
                <w:rFonts w:ascii="Arial" w:hAnsi="Arial" w:cs="Arial"/>
                <w:sz w:val="16"/>
                <w:szCs w:val="16"/>
              </w:rPr>
            </w:pPr>
            <w:r w:rsidRPr="000706BC">
              <w:rPr>
                <w:rFonts w:ascii="Arial" w:hAnsi="Arial" w:cs="Arial"/>
                <w:sz w:val="16"/>
                <w:szCs w:val="16"/>
              </w:rPr>
              <w:t>17</w:t>
            </w:r>
          </w:p>
        </w:tc>
        <w:tc>
          <w:tcPr>
            <w:tcW w:w="324" w:type="pct"/>
          </w:tcPr>
          <w:p w14:paraId="30F308C3" w14:textId="77777777" w:rsidR="00CD6352" w:rsidRPr="000706BC" w:rsidRDefault="00CD6352" w:rsidP="00CD6352">
            <w:pPr>
              <w:rPr>
                <w:rFonts w:ascii="Arial" w:hAnsi="Arial" w:cs="Arial"/>
                <w:sz w:val="16"/>
                <w:szCs w:val="16"/>
              </w:rPr>
            </w:pPr>
            <w:r w:rsidRPr="000706BC">
              <w:rPr>
                <w:rFonts w:ascii="Arial" w:hAnsi="Arial" w:cs="Arial"/>
                <w:sz w:val="16"/>
                <w:szCs w:val="16"/>
              </w:rPr>
              <w:t>3.57</w:t>
            </w:r>
          </w:p>
        </w:tc>
        <w:tc>
          <w:tcPr>
            <w:tcW w:w="310" w:type="pct"/>
          </w:tcPr>
          <w:p w14:paraId="76A3EA44" w14:textId="77777777" w:rsidR="00CD6352" w:rsidRPr="000706BC" w:rsidRDefault="00CD6352" w:rsidP="00CD6352">
            <w:pPr>
              <w:rPr>
                <w:rFonts w:ascii="Arial" w:hAnsi="Arial" w:cs="Arial"/>
                <w:sz w:val="16"/>
                <w:szCs w:val="16"/>
              </w:rPr>
            </w:pPr>
            <w:r w:rsidRPr="000706BC">
              <w:rPr>
                <w:rFonts w:ascii="Arial" w:hAnsi="Arial" w:cs="Arial"/>
                <w:sz w:val="16"/>
                <w:szCs w:val="16"/>
              </w:rPr>
              <w:t>19</w:t>
            </w:r>
          </w:p>
        </w:tc>
        <w:tc>
          <w:tcPr>
            <w:tcW w:w="324" w:type="pct"/>
            <w:gridSpan w:val="2"/>
          </w:tcPr>
          <w:p w14:paraId="095F3335" w14:textId="77777777" w:rsidR="00CD6352" w:rsidRPr="000706BC" w:rsidRDefault="00CD6352" w:rsidP="00CD6352">
            <w:pPr>
              <w:rPr>
                <w:rFonts w:ascii="Arial" w:hAnsi="Arial" w:cs="Arial"/>
                <w:sz w:val="16"/>
                <w:szCs w:val="16"/>
              </w:rPr>
            </w:pPr>
            <w:r w:rsidRPr="000706BC">
              <w:rPr>
                <w:rFonts w:ascii="Arial" w:hAnsi="Arial" w:cs="Arial"/>
                <w:sz w:val="16"/>
                <w:szCs w:val="16"/>
              </w:rPr>
              <w:t>3.78</w:t>
            </w:r>
          </w:p>
        </w:tc>
        <w:tc>
          <w:tcPr>
            <w:tcW w:w="310" w:type="pct"/>
          </w:tcPr>
          <w:p w14:paraId="243C3F83" w14:textId="77777777" w:rsidR="00CD6352" w:rsidRPr="000706BC" w:rsidRDefault="00CD6352" w:rsidP="00CD6352">
            <w:pPr>
              <w:rPr>
                <w:rFonts w:ascii="Arial" w:hAnsi="Arial" w:cs="Arial"/>
                <w:sz w:val="16"/>
                <w:szCs w:val="16"/>
              </w:rPr>
            </w:pPr>
            <w:r w:rsidRPr="000706BC">
              <w:rPr>
                <w:rFonts w:ascii="Arial" w:hAnsi="Arial" w:cs="Arial"/>
                <w:sz w:val="16"/>
                <w:szCs w:val="16"/>
              </w:rPr>
              <w:t>18</w:t>
            </w:r>
          </w:p>
        </w:tc>
      </w:tr>
      <w:tr w:rsidR="00CD6352" w:rsidRPr="000706BC" w14:paraId="48CD859D" w14:textId="77777777" w:rsidTr="0076450C">
        <w:trPr>
          <w:gridAfter w:val="1"/>
          <w:wAfter w:w="8" w:type="pct"/>
          <w:trHeight w:val="167"/>
        </w:trPr>
        <w:tc>
          <w:tcPr>
            <w:tcW w:w="1093" w:type="pct"/>
          </w:tcPr>
          <w:p w14:paraId="357E24D6" w14:textId="77777777" w:rsidR="00CD6352" w:rsidRPr="000706BC" w:rsidRDefault="00CD6352" w:rsidP="00CD6352">
            <w:pPr>
              <w:rPr>
                <w:rFonts w:ascii="Arial" w:hAnsi="Arial" w:cs="Arial"/>
                <w:sz w:val="16"/>
                <w:szCs w:val="16"/>
              </w:rPr>
            </w:pPr>
            <w:r w:rsidRPr="000706BC">
              <w:rPr>
                <w:rFonts w:ascii="Arial" w:hAnsi="Arial" w:cs="Arial"/>
                <w:sz w:val="16"/>
                <w:szCs w:val="16"/>
              </w:rPr>
              <w:lastRenderedPageBreak/>
              <w:t>Existence of enabling policy and legal framework</w:t>
            </w:r>
          </w:p>
        </w:tc>
        <w:tc>
          <w:tcPr>
            <w:tcW w:w="361" w:type="pct"/>
          </w:tcPr>
          <w:p w14:paraId="4357E3C8"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40" w:type="pct"/>
          </w:tcPr>
          <w:p w14:paraId="1DCA58C8" w14:textId="77777777" w:rsidR="00CD6352" w:rsidRPr="000706BC" w:rsidRDefault="00CD6352" w:rsidP="00CD6352">
            <w:pPr>
              <w:rPr>
                <w:rFonts w:ascii="Arial" w:hAnsi="Arial" w:cs="Arial"/>
                <w:sz w:val="16"/>
                <w:szCs w:val="16"/>
              </w:rPr>
            </w:pPr>
            <w:r w:rsidRPr="000706BC">
              <w:rPr>
                <w:rFonts w:ascii="Arial" w:hAnsi="Arial" w:cs="Arial"/>
                <w:sz w:val="16"/>
                <w:szCs w:val="16"/>
              </w:rPr>
              <w:t>5</w:t>
            </w:r>
          </w:p>
        </w:tc>
        <w:tc>
          <w:tcPr>
            <w:tcW w:w="324" w:type="pct"/>
            <w:gridSpan w:val="2"/>
          </w:tcPr>
          <w:p w14:paraId="76BCC46C" w14:textId="77777777" w:rsidR="00CD6352" w:rsidRPr="000706BC" w:rsidRDefault="00CD6352" w:rsidP="00CD6352">
            <w:pPr>
              <w:rPr>
                <w:rFonts w:ascii="Arial" w:hAnsi="Arial" w:cs="Arial"/>
                <w:sz w:val="16"/>
                <w:szCs w:val="16"/>
              </w:rPr>
            </w:pPr>
            <w:r w:rsidRPr="000706BC">
              <w:rPr>
                <w:rFonts w:ascii="Arial" w:hAnsi="Arial" w:cs="Arial"/>
                <w:sz w:val="16"/>
                <w:szCs w:val="16"/>
              </w:rPr>
              <w:t>3.80</w:t>
            </w:r>
          </w:p>
        </w:tc>
        <w:tc>
          <w:tcPr>
            <w:tcW w:w="323" w:type="pct"/>
          </w:tcPr>
          <w:p w14:paraId="42C86649" w14:textId="77777777" w:rsidR="00CD6352" w:rsidRPr="000706BC" w:rsidRDefault="00CD6352" w:rsidP="00CD6352">
            <w:pPr>
              <w:rPr>
                <w:rFonts w:ascii="Arial" w:hAnsi="Arial" w:cs="Arial"/>
                <w:sz w:val="16"/>
                <w:szCs w:val="16"/>
              </w:rPr>
            </w:pPr>
            <w:r w:rsidRPr="000706BC">
              <w:rPr>
                <w:rFonts w:ascii="Arial" w:hAnsi="Arial" w:cs="Arial"/>
                <w:sz w:val="16"/>
                <w:szCs w:val="16"/>
              </w:rPr>
              <w:t>6</w:t>
            </w:r>
          </w:p>
        </w:tc>
        <w:tc>
          <w:tcPr>
            <w:tcW w:w="324" w:type="pct"/>
            <w:gridSpan w:val="2"/>
          </w:tcPr>
          <w:p w14:paraId="1D08CC86" w14:textId="77777777" w:rsidR="00CD6352" w:rsidRPr="000706BC" w:rsidRDefault="00CD6352" w:rsidP="00CD6352">
            <w:pPr>
              <w:rPr>
                <w:rFonts w:ascii="Arial" w:hAnsi="Arial" w:cs="Arial"/>
                <w:sz w:val="16"/>
                <w:szCs w:val="16"/>
              </w:rPr>
            </w:pPr>
            <w:r w:rsidRPr="000706BC">
              <w:rPr>
                <w:rFonts w:ascii="Arial" w:hAnsi="Arial" w:cs="Arial"/>
                <w:sz w:val="16"/>
                <w:szCs w:val="16"/>
              </w:rPr>
              <w:t>3.43</w:t>
            </w:r>
          </w:p>
        </w:tc>
        <w:tc>
          <w:tcPr>
            <w:tcW w:w="326" w:type="pct"/>
          </w:tcPr>
          <w:p w14:paraId="759AE786" w14:textId="77777777" w:rsidR="00CD6352" w:rsidRPr="000706BC" w:rsidRDefault="00CD6352" w:rsidP="00CD6352">
            <w:pPr>
              <w:rPr>
                <w:rFonts w:ascii="Arial" w:hAnsi="Arial" w:cs="Arial"/>
                <w:sz w:val="16"/>
                <w:szCs w:val="16"/>
              </w:rPr>
            </w:pPr>
            <w:r w:rsidRPr="000706BC">
              <w:rPr>
                <w:rFonts w:ascii="Arial" w:hAnsi="Arial" w:cs="Arial"/>
                <w:sz w:val="16"/>
                <w:szCs w:val="16"/>
              </w:rPr>
              <w:t>2</w:t>
            </w:r>
          </w:p>
        </w:tc>
        <w:tc>
          <w:tcPr>
            <w:tcW w:w="324" w:type="pct"/>
            <w:gridSpan w:val="2"/>
          </w:tcPr>
          <w:p w14:paraId="52B0FE62" w14:textId="77777777" w:rsidR="00CD6352" w:rsidRPr="000706BC" w:rsidRDefault="00CD6352" w:rsidP="00CD6352">
            <w:pPr>
              <w:rPr>
                <w:rFonts w:ascii="Arial" w:hAnsi="Arial" w:cs="Arial"/>
                <w:sz w:val="16"/>
                <w:szCs w:val="16"/>
              </w:rPr>
            </w:pPr>
            <w:r w:rsidRPr="000706BC">
              <w:rPr>
                <w:rFonts w:ascii="Arial" w:hAnsi="Arial" w:cs="Arial"/>
                <w:sz w:val="16"/>
                <w:szCs w:val="16"/>
              </w:rPr>
              <w:t>4.09</w:t>
            </w:r>
          </w:p>
        </w:tc>
        <w:tc>
          <w:tcPr>
            <w:tcW w:w="310" w:type="pct"/>
          </w:tcPr>
          <w:p w14:paraId="6B1BD56F" w14:textId="77777777" w:rsidR="00CD6352" w:rsidRPr="000706BC" w:rsidRDefault="00CD6352" w:rsidP="00CD6352">
            <w:pPr>
              <w:rPr>
                <w:rFonts w:ascii="Arial" w:hAnsi="Arial" w:cs="Arial"/>
                <w:sz w:val="16"/>
                <w:szCs w:val="16"/>
              </w:rPr>
            </w:pPr>
            <w:r w:rsidRPr="000706BC">
              <w:rPr>
                <w:rFonts w:ascii="Arial" w:hAnsi="Arial" w:cs="Arial"/>
                <w:sz w:val="16"/>
                <w:szCs w:val="16"/>
              </w:rPr>
              <w:t>7</w:t>
            </w:r>
          </w:p>
        </w:tc>
        <w:tc>
          <w:tcPr>
            <w:tcW w:w="324" w:type="pct"/>
          </w:tcPr>
          <w:p w14:paraId="25D7E961" w14:textId="77777777" w:rsidR="00CD6352" w:rsidRPr="000706BC" w:rsidRDefault="00CD6352" w:rsidP="00CD6352">
            <w:pPr>
              <w:rPr>
                <w:rFonts w:ascii="Arial" w:hAnsi="Arial" w:cs="Arial"/>
                <w:sz w:val="16"/>
                <w:szCs w:val="16"/>
              </w:rPr>
            </w:pPr>
            <w:r w:rsidRPr="000706BC">
              <w:rPr>
                <w:rFonts w:ascii="Arial" w:hAnsi="Arial" w:cs="Arial"/>
                <w:sz w:val="16"/>
                <w:szCs w:val="16"/>
              </w:rPr>
              <w:t>3.88</w:t>
            </w:r>
          </w:p>
        </w:tc>
        <w:tc>
          <w:tcPr>
            <w:tcW w:w="310" w:type="pct"/>
          </w:tcPr>
          <w:p w14:paraId="6720F0FF" w14:textId="77777777" w:rsidR="00CD6352" w:rsidRPr="000706BC" w:rsidRDefault="00CD6352" w:rsidP="00CD6352">
            <w:pPr>
              <w:rPr>
                <w:rFonts w:ascii="Arial" w:hAnsi="Arial" w:cs="Arial"/>
                <w:sz w:val="16"/>
                <w:szCs w:val="16"/>
              </w:rPr>
            </w:pPr>
            <w:r w:rsidRPr="000706BC">
              <w:rPr>
                <w:rFonts w:ascii="Arial" w:hAnsi="Arial" w:cs="Arial"/>
                <w:sz w:val="16"/>
                <w:szCs w:val="16"/>
              </w:rPr>
              <w:t>6</w:t>
            </w:r>
          </w:p>
        </w:tc>
        <w:tc>
          <w:tcPr>
            <w:tcW w:w="324" w:type="pct"/>
            <w:gridSpan w:val="2"/>
          </w:tcPr>
          <w:p w14:paraId="75CA60C4" w14:textId="77777777" w:rsidR="00CD6352" w:rsidRPr="000706BC" w:rsidRDefault="00CD6352" w:rsidP="00CD6352">
            <w:pPr>
              <w:rPr>
                <w:rFonts w:ascii="Arial" w:hAnsi="Arial" w:cs="Arial"/>
                <w:sz w:val="16"/>
                <w:szCs w:val="16"/>
              </w:rPr>
            </w:pPr>
            <w:r w:rsidRPr="000706BC">
              <w:rPr>
                <w:rFonts w:ascii="Arial" w:hAnsi="Arial" w:cs="Arial"/>
                <w:sz w:val="16"/>
                <w:szCs w:val="16"/>
              </w:rPr>
              <w:t>4.44</w:t>
            </w:r>
          </w:p>
        </w:tc>
        <w:tc>
          <w:tcPr>
            <w:tcW w:w="310" w:type="pct"/>
          </w:tcPr>
          <w:p w14:paraId="6FEF4240" w14:textId="77777777" w:rsidR="00CD6352" w:rsidRPr="000706BC" w:rsidRDefault="00CD6352" w:rsidP="00CD6352">
            <w:pPr>
              <w:rPr>
                <w:rFonts w:ascii="Arial" w:hAnsi="Arial" w:cs="Arial"/>
                <w:sz w:val="16"/>
                <w:szCs w:val="16"/>
              </w:rPr>
            </w:pPr>
            <w:r w:rsidRPr="000706BC">
              <w:rPr>
                <w:rFonts w:ascii="Arial" w:hAnsi="Arial" w:cs="Arial"/>
                <w:sz w:val="16"/>
                <w:szCs w:val="16"/>
              </w:rPr>
              <w:t>6</w:t>
            </w:r>
          </w:p>
        </w:tc>
      </w:tr>
      <w:tr w:rsidR="00CD6352" w:rsidRPr="000706BC" w14:paraId="77BB9F8B" w14:textId="77777777" w:rsidTr="0076450C">
        <w:trPr>
          <w:gridAfter w:val="1"/>
          <w:wAfter w:w="8" w:type="pct"/>
          <w:trHeight w:val="336"/>
        </w:trPr>
        <w:tc>
          <w:tcPr>
            <w:tcW w:w="1093" w:type="pct"/>
          </w:tcPr>
          <w:p w14:paraId="0F8BB553" w14:textId="77777777" w:rsidR="00CD6352" w:rsidRPr="000706BC" w:rsidRDefault="00CD6352" w:rsidP="00CD6352">
            <w:pPr>
              <w:rPr>
                <w:rFonts w:ascii="Arial" w:hAnsi="Arial" w:cs="Arial"/>
                <w:sz w:val="16"/>
                <w:szCs w:val="16"/>
              </w:rPr>
            </w:pPr>
            <w:r w:rsidRPr="000706BC">
              <w:rPr>
                <w:rFonts w:ascii="Arial" w:hAnsi="Arial" w:cs="Arial"/>
                <w:sz w:val="16"/>
                <w:szCs w:val="16"/>
              </w:rPr>
              <w:t>Familiarity with local legislation &amp; clear contract terms</w:t>
            </w:r>
          </w:p>
        </w:tc>
        <w:tc>
          <w:tcPr>
            <w:tcW w:w="361" w:type="pct"/>
          </w:tcPr>
          <w:p w14:paraId="7DB7EA18" w14:textId="77777777" w:rsidR="00CD6352" w:rsidRPr="000706BC" w:rsidRDefault="00CD6352" w:rsidP="00CD6352">
            <w:pPr>
              <w:rPr>
                <w:rFonts w:ascii="Arial" w:hAnsi="Arial" w:cs="Arial"/>
                <w:sz w:val="16"/>
                <w:szCs w:val="16"/>
              </w:rPr>
            </w:pPr>
            <w:r w:rsidRPr="000706BC">
              <w:rPr>
                <w:rFonts w:ascii="Arial" w:hAnsi="Arial" w:cs="Arial"/>
                <w:sz w:val="16"/>
                <w:szCs w:val="16"/>
              </w:rPr>
              <w:t>5.00</w:t>
            </w:r>
          </w:p>
        </w:tc>
        <w:tc>
          <w:tcPr>
            <w:tcW w:w="340" w:type="pct"/>
          </w:tcPr>
          <w:p w14:paraId="139C9CB9" w14:textId="77777777" w:rsidR="00CD6352" w:rsidRPr="000706BC" w:rsidRDefault="00CD6352" w:rsidP="00CD6352">
            <w:pPr>
              <w:rPr>
                <w:rFonts w:ascii="Arial" w:hAnsi="Arial" w:cs="Arial"/>
                <w:sz w:val="16"/>
                <w:szCs w:val="16"/>
              </w:rPr>
            </w:pPr>
            <w:r w:rsidRPr="000706BC">
              <w:rPr>
                <w:rFonts w:ascii="Arial" w:hAnsi="Arial" w:cs="Arial"/>
                <w:sz w:val="16"/>
                <w:szCs w:val="16"/>
              </w:rPr>
              <w:t>1</w:t>
            </w:r>
          </w:p>
        </w:tc>
        <w:tc>
          <w:tcPr>
            <w:tcW w:w="324" w:type="pct"/>
            <w:gridSpan w:val="2"/>
          </w:tcPr>
          <w:p w14:paraId="7A351E60" w14:textId="77777777" w:rsidR="00CD6352" w:rsidRPr="000706BC" w:rsidRDefault="00CD6352" w:rsidP="00CD6352">
            <w:pPr>
              <w:rPr>
                <w:rFonts w:ascii="Arial" w:hAnsi="Arial" w:cs="Arial"/>
                <w:sz w:val="16"/>
                <w:szCs w:val="16"/>
              </w:rPr>
            </w:pPr>
            <w:r w:rsidRPr="000706BC">
              <w:rPr>
                <w:rFonts w:ascii="Arial" w:hAnsi="Arial" w:cs="Arial"/>
                <w:sz w:val="16"/>
                <w:szCs w:val="16"/>
              </w:rPr>
              <w:t>3.70</w:t>
            </w:r>
          </w:p>
        </w:tc>
        <w:tc>
          <w:tcPr>
            <w:tcW w:w="323" w:type="pct"/>
          </w:tcPr>
          <w:p w14:paraId="62DB396A" w14:textId="77777777" w:rsidR="00CD6352" w:rsidRPr="000706BC" w:rsidRDefault="00CD6352" w:rsidP="00CD6352">
            <w:pPr>
              <w:rPr>
                <w:rFonts w:ascii="Arial" w:hAnsi="Arial" w:cs="Arial"/>
                <w:sz w:val="16"/>
                <w:szCs w:val="16"/>
              </w:rPr>
            </w:pPr>
            <w:r w:rsidRPr="000706BC">
              <w:rPr>
                <w:rFonts w:ascii="Arial" w:hAnsi="Arial" w:cs="Arial"/>
                <w:sz w:val="16"/>
                <w:szCs w:val="16"/>
              </w:rPr>
              <w:t>7</w:t>
            </w:r>
          </w:p>
        </w:tc>
        <w:tc>
          <w:tcPr>
            <w:tcW w:w="324" w:type="pct"/>
            <w:gridSpan w:val="2"/>
          </w:tcPr>
          <w:p w14:paraId="0F36911F"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26" w:type="pct"/>
          </w:tcPr>
          <w:p w14:paraId="3B69FE2C" w14:textId="77777777" w:rsidR="00CD6352" w:rsidRPr="000706BC" w:rsidRDefault="00CD6352" w:rsidP="00CD6352">
            <w:pPr>
              <w:rPr>
                <w:rFonts w:ascii="Arial" w:hAnsi="Arial" w:cs="Arial"/>
                <w:sz w:val="16"/>
                <w:szCs w:val="16"/>
              </w:rPr>
            </w:pPr>
            <w:r w:rsidRPr="000706BC">
              <w:rPr>
                <w:rFonts w:ascii="Arial" w:hAnsi="Arial" w:cs="Arial"/>
                <w:sz w:val="16"/>
                <w:szCs w:val="16"/>
              </w:rPr>
              <w:t>3</w:t>
            </w:r>
          </w:p>
        </w:tc>
        <w:tc>
          <w:tcPr>
            <w:tcW w:w="324" w:type="pct"/>
            <w:gridSpan w:val="2"/>
          </w:tcPr>
          <w:p w14:paraId="6C48A264" w14:textId="77777777" w:rsidR="00CD6352" w:rsidRPr="000706BC" w:rsidRDefault="00CD6352" w:rsidP="00CD6352">
            <w:pPr>
              <w:rPr>
                <w:rFonts w:ascii="Arial" w:hAnsi="Arial" w:cs="Arial"/>
                <w:sz w:val="16"/>
                <w:szCs w:val="16"/>
              </w:rPr>
            </w:pPr>
            <w:r w:rsidRPr="000706BC">
              <w:rPr>
                <w:rFonts w:ascii="Arial" w:hAnsi="Arial" w:cs="Arial"/>
                <w:sz w:val="16"/>
                <w:szCs w:val="16"/>
              </w:rPr>
              <w:t>4.36</w:t>
            </w:r>
          </w:p>
        </w:tc>
        <w:tc>
          <w:tcPr>
            <w:tcW w:w="310" w:type="pct"/>
          </w:tcPr>
          <w:p w14:paraId="398AD050" w14:textId="77777777" w:rsidR="00CD6352" w:rsidRPr="000706BC" w:rsidRDefault="00CD6352" w:rsidP="00CD6352">
            <w:pPr>
              <w:rPr>
                <w:rFonts w:ascii="Arial" w:hAnsi="Arial" w:cs="Arial"/>
                <w:sz w:val="16"/>
                <w:szCs w:val="16"/>
              </w:rPr>
            </w:pPr>
            <w:r w:rsidRPr="000706BC">
              <w:rPr>
                <w:rFonts w:ascii="Arial" w:hAnsi="Arial" w:cs="Arial"/>
                <w:sz w:val="16"/>
                <w:szCs w:val="16"/>
              </w:rPr>
              <w:t>2</w:t>
            </w:r>
          </w:p>
        </w:tc>
        <w:tc>
          <w:tcPr>
            <w:tcW w:w="324" w:type="pct"/>
          </w:tcPr>
          <w:p w14:paraId="1D665BD1"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10" w:type="pct"/>
          </w:tcPr>
          <w:p w14:paraId="7ADD10BA" w14:textId="77777777" w:rsidR="00CD6352" w:rsidRPr="000706BC" w:rsidRDefault="00CD6352" w:rsidP="00CD6352">
            <w:pPr>
              <w:rPr>
                <w:rFonts w:ascii="Arial" w:hAnsi="Arial" w:cs="Arial"/>
                <w:sz w:val="16"/>
                <w:szCs w:val="16"/>
              </w:rPr>
            </w:pPr>
            <w:r w:rsidRPr="000706BC">
              <w:rPr>
                <w:rFonts w:ascii="Arial" w:hAnsi="Arial" w:cs="Arial"/>
                <w:sz w:val="16"/>
                <w:szCs w:val="16"/>
              </w:rPr>
              <w:t>17</w:t>
            </w:r>
          </w:p>
        </w:tc>
        <w:tc>
          <w:tcPr>
            <w:tcW w:w="324" w:type="pct"/>
            <w:gridSpan w:val="2"/>
          </w:tcPr>
          <w:p w14:paraId="0DD7AB6E" w14:textId="77777777" w:rsidR="00CD6352" w:rsidRPr="000706BC" w:rsidRDefault="00CD6352" w:rsidP="00CD6352">
            <w:pPr>
              <w:rPr>
                <w:rFonts w:ascii="Arial" w:hAnsi="Arial" w:cs="Arial"/>
                <w:sz w:val="16"/>
                <w:szCs w:val="16"/>
              </w:rPr>
            </w:pPr>
            <w:r w:rsidRPr="000706BC">
              <w:rPr>
                <w:rFonts w:ascii="Arial" w:hAnsi="Arial" w:cs="Arial"/>
                <w:sz w:val="16"/>
                <w:szCs w:val="16"/>
              </w:rPr>
              <w:t>4.56</w:t>
            </w:r>
          </w:p>
        </w:tc>
        <w:tc>
          <w:tcPr>
            <w:tcW w:w="310" w:type="pct"/>
          </w:tcPr>
          <w:p w14:paraId="25D8582E" w14:textId="77777777" w:rsidR="00CD6352" w:rsidRPr="000706BC" w:rsidRDefault="00CD6352" w:rsidP="00CD6352">
            <w:pPr>
              <w:rPr>
                <w:rFonts w:ascii="Arial" w:hAnsi="Arial" w:cs="Arial"/>
                <w:sz w:val="16"/>
                <w:szCs w:val="16"/>
              </w:rPr>
            </w:pPr>
            <w:r w:rsidRPr="000706BC">
              <w:rPr>
                <w:rFonts w:ascii="Arial" w:hAnsi="Arial" w:cs="Arial"/>
                <w:sz w:val="16"/>
                <w:szCs w:val="16"/>
              </w:rPr>
              <w:t>3</w:t>
            </w:r>
          </w:p>
        </w:tc>
      </w:tr>
      <w:tr w:rsidR="00CD6352" w:rsidRPr="000706BC" w14:paraId="3EEBA793" w14:textId="77777777" w:rsidTr="0076450C">
        <w:trPr>
          <w:gridAfter w:val="1"/>
          <w:wAfter w:w="8" w:type="pct"/>
          <w:trHeight w:val="167"/>
        </w:trPr>
        <w:tc>
          <w:tcPr>
            <w:tcW w:w="1093" w:type="pct"/>
          </w:tcPr>
          <w:p w14:paraId="73E49898" w14:textId="77777777" w:rsidR="00CD6352" w:rsidRPr="000706BC" w:rsidRDefault="00CD6352" w:rsidP="00CD6352">
            <w:pPr>
              <w:rPr>
                <w:rFonts w:ascii="Arial" w:hAnsi="Arial" w:cs="Arial"/>
                <w:sz w:val="16"/>
                <w:szCs w:val="16"/>
              </w:rPr>
            </w:pPr>
            <w:r w:rsidRPr="000706BC">
              <w:rPr>
                <w:rFonts w:ascii="Arial" w:hAnsi="Arial" w:cs="Arial"/>
                <w:sz w:val="16"/>
                <w:szCs w:val="16"/>
              </w:rPr>
              <w:t>Financial modelling with realistic assumptions</w:t>
            </w:r>
          </w:p>
        </w:tc>
        <w:tc>
          <w:tcPr>
            <w:tcW w:w="361" w:type="pct"/>
          </w:tcPr>
          <w:p w14:paraId="23BEFE39" w14:textId="77777777" w:rsidR="00CD6352" w:rsidRPr="000706BC" w:rsidRDefault="00CD6352" w:rsidP="00CD6352">
            <w:pPr>
              <w:rPr>
                <w:rFonts w:ascii="Arial" w:hAnsi="Arial" w:cs="Arial"/>
                <w:sz w:val="16"/>
                <w:szCs w:val="16"/>
              </w:rPr>
            </w:pPr>
            <w:r w:rsidRPr="000706BC">
              <w:rPr>
                <w:rFonts w:ascii="Arial" w:hAnsi="Arial" w:cs="Arial"/>
                <w:sz w:val="16"/>
                <w:szCs w:val="16"/>
              </w:rPr>
              <w:t>4.67</w:t>
            </w:r>
          </w:p>
        </w:tc>
        <w:tc>
          <w:tcPr>
            <w:tcW w:w="340" w:type="pct"/>
          </w:tcPr>
          <w:p w14:paraId="712BA60C" w14:textId="77777777" w:rsidR="00CD6352" w:rsidRPr="000706BC" w:rsidRDefault="00CD6352" w:rsidP="00CD6352">
            <w:pPr>
              <w:rPr>
                <w:rFonts w:ascii="Arial" w:hAnsi="Arial" w:cs="Arial"/>
                <w:sz w:val="16"/>
                <w:szCs w:val="16"/>
              </w:rPr>
            </w:pPr>
            <w:r w:rsidRPr="000706BC">
              <w:rPr>
                <w:rFonts w:ascii="Arial" w:hAnsi="Arial" w:cs="Arial"/>
                <w:sz w:val="16"/>
                <w:szCs w:val="16"/>
              </w:rPr>
              <w:t>3</w:t>
            </w:r>
          </w:p>
        </w:tc>
        <w:tc>
          <w:tcPr>
            <w:tcW w:w="324" w:type="pct"/>
            <w:gridSpan w:val="2"/>
          </w:tcPr>
          <w:p w14:paraId="328E164B" w14:textId="77777777" w:rsidR="00CD6352" w:rsidRPr="000706BC" w:rsidRDefault="00CD6352" w:rsidP="00CD6352">
            <w:pPr>
              <w:rPr>
                <w:rFonts w:ascii="Arial" w:hAnsi="Arial" w:cs="Arial"/>
                <w:sz w:val="16"/>
                <w:szCs w:val="16"/>
              </w:rPr>
            </w:pPr>
            <w:r w:rsidRPr="000706BC">
              <w:rPr>
                <w:rFonts w:ascii="Arial" w:hAnsi="Arial" w:cs="Arial"/>
                <w:sz w:val="16"/>
                <w:szCs w:val="16"/>
              </w:rPr>
              <w:t>3.70</w:t>
            </w:r>
          </w:p>
        </w:tc>
        <w:tc>
          <w:tcPr>
            <w:tcW w:w="323" w:type="pct"/>
          </w:tcPr>
          <w:p w14:paraId="0FF9FF82" w14:textId="77777777" w:rsidR="00CD6352" w:rsidRPr="000706BC" w:rsidRDefault="00CD6352" w:rsidP="00CD6352">
            <w:pPr>
              <w:rPr>
                <w:rFonts w:ascii="Arial" w:hAnsi="Arial" w:cs="Arial"/>
                <w:sz w:val="16"/>
                <w:szCs w:val="16"/>
              </w:rPr>
            </w:pPr>
            <w:r w:rsidRPr="000706BC">
              <w:rPr>
                <w:rFonts w:ascii="Arial" w:hAnsi="Arial" w:cs="Arial"/>
                <w:sz w:val="16"/>
                <w:szCs w:val="16"/>
              </w:rPr>
              <w:t>8</w:t>
            </w:r>
          </w:p>
        </w:tc>
        <w:tc>
          <w:tcPr>
            <w:tcW w:w="324" w:type="pct"/>
            <w:gridSpan w:val="2"/>
          </w:tcPr>
          <w:p w14:paraId="04CBE3EA" w14:textId="77777777" w:rsidR="00CD6352" w:rsidRPr="000706BC" w:rsidRDefault="00CD6352" w:rsidP="00CD6352">
            <w:pPr>
              <w:rPr>
                <w:rFonts w:ascii="Arial" w:hAnsi="Arial" w:cs="Arial"/>
                <w:sz w:val="16"/>
                <w:szCs w:val="16"/>
              </w:rPr>
            </w:pPr>
            <w:r w:rsidRPr="000706BC">
              <w:rPr>
                <w:rFonts w:ascii="Arial" w:hAnsi="Arial" w:cs="Arial"/>
                <w:sz w:val="16"/>
                <w:szCs w:val="16"/>
              </w:rPr>
              <w:t>4.50</w:t>
            </w:r>
          </w:p>
        </w:tc>
        <w:tc>
          <w:tcPr>
            <w:tcW w:w="326" w:type="pct"/>
          </w:tcPr>
          <w:p w14:paraId="1CF338A4" w14:textId="77777777" w:rsidR="00CD6352" w:rsidRPr="000706BC" w:rsidRDefault="00CD6352" w:rsidP="00CD6352">
            <w:pPr>
              <w:rPr>
                <w:rFonts w:ascii="Arial" w:hAnsi="Arial" w:cs="Arial"/>
                <w:sz w:val="16"/>
                <w:szCs w:val="16"/>
              </w:rPr>
            </w:pPr>
            <w:r w:rsidRPr="000706BC">
              <w:rPr>
                <w:rFonts w:ascii="Arial" w:hAnsi="Arial" w:cs="Arial"/>
                <w:sz w:val="16"/>
                <w:szCs w:val="16"/>
              </w:rPr>
              <w:t>1</w:t>
            </w:r>
          </w:p>
        </w:tc>
        <w:tc>
          <w:tcPr>
            <w:tcW w:w="324" w:type="pct"/>
            <w:gridSpan w:val="2"/>
          </w:tcPr>
          <w:p w14:paraId="39D09AA2" w14:textId="77777777" w:rsidR="00CD6352" w:rsidRPr="000706BC" w:rsidRDefault="00CD6352" w:rsidP="00CD6352">
            <w:pPr>
              <w:rPr>
                <w:rFonts w:ascii="Arial" w:hAnsi="Arial" w:cs="Arial"/>
                <w:sz w:val="16"/>
                <w:szCs w:val="16"/>
              </w:rPr>
            </w:pPr>
            <w:r w:rsidRPr="000706BC">
              <w:rPr>
                <w:rFonts w:ascii="Arial" w:hAnsi="Arial" w:cs="Arial"/>
                <w:sz w:val="16"/>
                <w:szCs w:val="16"/>
              </w:rPr>
              <w:t>4.18</w:t>
            </w:r>
          </w:p>
        </w:tc>
        <w:tc>
          <w:tcPr>
            <w:tcW w:w="310" w:type="pct"/>
          </w:tcPr>
          <w:p w14:paraId="12C91564" w14:textId="77777777" w:rsidR="00CD6352" w:rsidRPr="000706BC" w:rsidRDefault="00CD6352" w:rsidP="00CD6352">
            <w:pPr>
              <w:rPr>
                <w:rFonts w:ascii="Arial" w:hAnsi="Arial" w:cs="Arial"/>
                <w:sz w:val="16"/>
                <w:szCs w:val="16"/>
              </w:rPr>
            </w:pPr>
            <w:r w:rsidRPr="000706BC">
              <w:rPr>
                <w:rFonts w:ascii="Arial" w:hAnsi="Arial" w:cs="Arial"/>
                <w:sz w:val="16"/>
                <w:szCs w:val="16"/>
              </w:rPr>
              <w:t>5</w:t>
            </w:r>
          </w:p>
        </w:tc>
        <w:tc>
          <w:tcPr>
            <w:tcW w:w="324" w:type="pct"/>
          </w:tcPr>
          <w:p w14:paraId="47465D51" w14:textId="77777777" w:rsidR="00CD6352" w:rsidRPr="000706BC" w:rsidRDefault="00CD6352" w:rsidP="00CD6352">
            <w:pPr>
              <w:rPr>
                <w:rFonts w:ascii="Arial" w:hAnsi="Arial" w:cs="Arial"/>
                <w:sz w:val="16"/>
                <w:szCs w:val="16"/>
              </w:rPr>
            </w:pPr>
            <w:r w:rsidRPr="000706BC">
              <w:rPr>
                <w:rFonts w:ascii="Arial" w:hAnsi="Arial" w:cs="Arial"/>
                <w:sz w:val="16"/>
                <w:szCs w:val="16"/>
              </w:rPr>
              <w:t>3.75</w:t>
            </w:r>
          </w:p>
        </w:tc>
        <w:tc>
          <w:tcPr>
            <w:tcW w:w="310" w:type="pct"/>
          </w:tcPr>
          <w:p w14:paraId="7176CAE8" w14:textId="77777777" w:rsidR="00CD6352" w:rsidRPr="000706BC" w:rsidRDefault="00CD6352" w:rsidP="00CD6352">
            <w:pPr>
              <w:rPr>
                <w:rFonts w:ascii="Arial" w:hAnsi="Arial" w:cs="Arial"/>
                <w:sz w:val="16"/>
                <w:szCs w:val="16"/>
              </w:rPr>
            </w:pPr>
            <w:r w:rsidRPr="000706BC">
              <w:rPr>
                <w:rFonts w:ascii="Arial" w:hAnsi="Arial" w:cs="Arial"/>
                <w:sz w:val="16"/>
                <w:szCs w:val="16"/>
              </w:rPr>
              <w:t>12</w:t>
            </w:r>
          </w:p>
        </w:tc>
        <w:tc>
          <w:tcPr>
            <w:tcW w:w="324" w:type="pct"/>
            <w:gridSpan w:val="2"/>
          </w:tcPr>
          <w:p w14:paraId="7553285B" w14:textId="77777777" w:rsidR="00CD6352" w:rsidRPr="000706BC" w:rsidRDefault="00CD6352" w:rsidP="00CD6352">
            <w:pPr>
              <w:rPr>
                <w:rFonts w:ascii="Arial" w:hAnsi="Arial" w:cs="Arial"/>
                <w:sz w:val="16"/>
                <w:szCs w:val="16"/>
              </w:rPr>
            </w:pPr>
            <w:r w:rsidRPr="000706BC">
              <w:rPr>
                <w:rFonts w:ascii="Arial" w:hAnsi="Arial" w:cs="Arial"/>
                <w:sz w:val="16"/>
                <w:szCs w:val="16"/>
              </w:rPr>
              <w:t>4.78</w:t>
            </w:r>
          </w:p>
        </w:tc>
        <w:tc>
          <w:tcPr>
            <w:tcW w:w="310" w:type="pct"/>
          </w:tcPr>
          <w:p w14:paraId="1240117D" w14:textId="77777777" w:rsidR="00CD6352" w:rsidRPr="000706BC" w:rsidRDefault="00CD6352" w:rsidP="00CD6352">
            <w:pPr>
              <w:rPr>
                <w:rFonts w:ascii="Arial" w:hAnsi="Arial" w:cs="Arial"/>
                <w:sz w:val="16"/>
                <w:szCs w:val="16"/>
              </w:rPr>
            </w:pPr>
            <w:r w:rsidRPr="000706BC">
              <w:rPr>
                <w:rFonts w:ascii="Arial" w:hAnsi="Arial" w:cs="Arial"/>
                <w:sz w:val="16"/>
                <w:szCs w:val="16"/>
              </w:rPr>
              <w:t>1</w:t>
            </w:r>
          </w:p>
        </w:tc>
      </w:tr>
      <w:tr w:rsidR="00CD6352" w:rsidRPr="000706BC" w14:paraId="5A2137E4" w14:textId="77777777" w:rsidTr="0076450C">
        <w:trPr>
          <w:gridAfter w:val="1"/>
          <w:wAfter w:w="8" w:type="pct"/>
          <w:trHeight w:val="167"/>
        </w:trPr>
        <w:tc>
          <w:tcPr>
            <w:tcW w:w="1093" w:type="pct"/>
          </w:tcPr>
          <w:p w14:paraId="718890F6" w14:textId="77777777" w:rsidR="00CD6352" w:rsidRPr="000706BC" w:rsidRDefault="00CD6352" w:rsidP="00CD6352">
            <w:pPr>
              <w:rPr>
                <w:rFonts w:ascii="Arial" w:hAnsi="Arial" w:cs="Arial"/>
                <w:sz w:val="16"/>
                <w:szCs w:val="16"/>
              </w:rPr>
            </w:pPr>
            <w:r w:rsidRPr="000706BC">
              <w:rPr>
                <w:rFonts w:ascii="Arial" w:hAnsi="Arial" w:cs="Arial"/>
                <w:sz w:val="16"/>
                <w:szCs w:val="16"/>
              </w:rPr>
              <w:t xml:space="preserve">Liquidity management </w:t>
            </w:r>
          </w:p>
        </w:tc>
        <w:tc>
          <w:tcPr>
            <w:tcW w:w="361" w:type="pct"/>
          </w:tcPr>
          <w:p w14:paraId="1F2E100D"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40" w:type="pct"/>
          </w:tcPr>
          <w:p w14:paraId="452A7EBD" w14:textId="77777777" w:rsidR="00CD6352" w:rsidRPr="000706BC" w:rsidRDefault="00CD6352" w:rsidP="00CD6352">
            <w:pPr>
              <w:rPr>
                <w:rFonts w:ascii="Arial" w:hAnsi="Arial" w:cs="Arial"/>
                <w:sz w:val="16"/>
                <w:szCs w:val="16"/>
              </w:rPr>
            </w:pPr>
            <w:r w:rsidRPr="000706BC">
              <w:rPr>
                <w:rFonts w:ascii="Arial" w:hAnsi="Arial" w:cs="Arial"/>
                <w:sz w:val="16"/>
                <w:szCs w:val="16"/>
              </w:rPr>
              <w:t>10</w:t>
            </w:r>
          </w:p>
        </w:tc>
        <w:tc>
          <w:tcPr>
            <w:tcW w:w="324" w:type="pct"/>
            <w:gridSpan w:val="2"/>
          </w:tcPr>
          <w:p w14:paraId="0A4D0576" w14:textId="77777777" w:rsidR="00CD6352" w:rsidRPr="000706BC" w:rsidRDefault="00CD6352" w:rsidP="00CD6352">
            <w:pPr>
              <w:rPr>
                <w:rFonts w:ascii="Arial" w:hAnsi="Arial" w:cs="Arial"/>
                <w:sz w:val="16"/>
                <w:szCs w:val="16"/>
              </w:rPr>
            </w:pPr>
            <w:r w:rsidRPr="000706BC">
              <w:rPr>
                <w:rFonts w:ascii="Arial" w:hAnsi="Arial" w:cs="Arial"/>
                <w:sz w:val="16"/>
                <w:szCs w:val="16"/>
              </w:rPr>
              <w:t>3.50</w:t>
            </w:r>
          </w:p>
        </w:tc>
        <w:tc>
          <w:tcPr>
            <w:tcW w:w="323" w:type="pct"/>
          </w:tcPr>
          <w:p w14:paraId="47D72974" w14:textId="77777777" w:rsidR="00CD6352" w:rsidRPr="000706BC" w:rsidRDefault="00CD6352" w:rsidP="00CD6352">
            <w:pPr>
              <w:rPr>
                <w:rFonts w:ascii="Arial" w:hAnsi="Arial" w:cs="Arial"/>
                <w:sz w:val="16"/>
                <w:szCs w:val="16"/>
              </w:rPr>
            </w:pPr>
            <w:r w:rsidRPr="000706BC">
              <w:rPr>
                <w:rFonts w:ascii="Arial" w:hAnsi="Arial" w:cs="Arial"/>
                <w:sz w:val="16"/>
                <w:szCs w:val="16"/>
              </w:rPr>
              <w:t>14</w:t>
            </w:r>
          </w:p>
        </w:tc>
        <w:tc>
          <w:tcPr>
            <w:tcW w:w="324" w:type="pct"/>
            <w:gridSpan w:val="2"/>
          </w:tcPr>
          <w:p w14:paraId="245E19B7"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26" w:type="pct"/>
          </w:tcPr>
          <w:p w14:paraId="490D3B66" w14:textId="77777777" w:rsidR="00CD6352" w:rsidRPr="000706BC" w:rsidRDefault="00CD6352" w:rsidP="00CD6352">
            <w:pPr>
              <w:rPr>
                <w:rFonts w:ascii="Arial" w:hAnsi="Arial" w:cs="Arial"/>
                <w:sz w:val="16"/>
                <w:szCs w:val="16"/>
              </w:rPr>
            </w:pPr>
            <w:r w:rsidRPr="000706BC">
              <w:rPr>
                <w:rFonts w:ascii="Arial" w:hAnsi="Arial" w:cs="Arial"/>
                <w:sz w:val="16"/>
                <w:szCs w:val="16"/>
              </w:rPr>
              <w:t>15</w:t>
            </w:r>
          </w:p>
        </w:tc>
        <w:tc>
          <w:tcPr>
            <w:tcW w:w="324" w:type="pct"/>
            <w:gridSpan w:val="2"/>
          </w:tcPr>
          <w:p w14:paraId="1BACA18E"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10" w:type="pct"/>
          </w:tcPr>
          <w:p w14:paraId="48BE94D5" w14:textId="77777777" w:rsidR="00CD6352" w:rsidRPr="000706BC" w:rsidRDefault="00CD6352" w:rsidP="00CD6352">
            <w:pPr>
              <w:rPr>
                <w:rFonts w:ascii="Arial" w:hAnsi="Arial" w:cs="Arial"/>
                <w:sz w:val="16"/>
                <w:szCs w:val="16"/>
              </w:rPr>
            </w:pPr>
            <w:r w:rsidRPr="000706BC">
              <w:rPr>
                <w:rFonts w:ascii="Arial" w:hAnsi="Arial" w:cs="Arial"/>
                <w:sz w:val="16"/>
                <w:szCs w:val="16"/>
              </w:rPr>
              <w:t>13</w:t>
            </w:r>
          </w:p>
        </w:tc>
        <w:tc>
          <w:tcPr>
            <w:tcW w:w="324" w:type="pct"/>
          </w:tcPr>
          <w:p w14:paraId="52609DD3" w14:textId="77777777" w:rsidR="00CD6352" w:rsidRPr="000706BC" w:rsidRDefault="00CD6352" w:rsidP="00CD6352">
            <w:pPr>
              <w:rPr>
                <w:rFonts w:ascii="Arial" w:hAnsi="Arial" w:cs="Arial"/>
                <w:sz w:val="16"/>
                <w:szCs w:val="16"/>
              </w:rPr>
            </w:pPr>
            <w:r w:rsidRPr="000706BC">
              <w:rPr>
                <w:rFonts w:ascii="Arial" w:hAnsi="Arial" w:cs="Arial"/>
                <w:sz w:val="16"/>
                <w:szCs w:val="16"/>
              </w:rPr>
              <w:t>3.71</w:t>
            </w:r>
          </w:p>
        </w:tc>
        <w:tc>
          <w:tcPr>
            <w:tcW w:w="310" w:type="pct"/>
          </w:tcPr>
          <w:p w14:paraId="5F937773" w14:textId="77777777" w:rsidR="00CD6352" w:rsidRPr="000706BC" w:rsidRDefault="00CD6352" w:rsidP="00CD6352">
            <w:pPr>
              <w:rPr>
                <w:rFonts w:ascii="Arial" w:hAnsi="Arial" w:cs="Arial"/>
                <w:sz w:val="16"/>
                <w:szCs w:val="16"/>
              </w:rPr>
            </w:pPr>
            <w:r w:rsidRPr="000706BC">
              <w:rPr>
                <w:rFonts w:ascii="Arial" w:hAnsi="Arial" w:cs="Arial"/>
                <w:sz w:val="16"/>
                <w:szCs w:val="16"/>
              </w:rPr>
              <w:t>15</w:t>
            </w:r>
          </w:p>
        </w:tc>
        <w:tc>
          <w:tcPr>
            <w:tcW w:w="324" w:type="pct"/>
            <w:gridSpan w:val="2"/>
          </w:tcPr>
          <w:p w14:paraId="375A61C7" w14:textId="77777777" w:rsidR="00CD6352" w:rsidRPr="000706BC" w:rsidRDefault="00CD6352" w:rsidP="00CD6352">
            <w:pPr>
              <w:rPr>
                <w:rFonts w:ascii="Arial" w:hAnsi="Arial" w:cs="Arial"/>
                <w:sz w:val="16"/>
                <w:szCs w:val="16"/>
              </w:rPr>
            </w:pPr>
            <w:r w:rsidRPr="000706BC">
              <w:rPr>
                <w:rFonts w:ascii="Arial" w:hAnsi="Arial" w:cs="Arial"/>
                <w:sz w:val="16"/>
                <w:szCs w:val="16"/>
              </w:rPr>
              <w:t>4.50</w:t>
            </w:r>
          </w:p>
        </w:tc>
        <w:tc>
          <w:tcPr>
            <w:tcW w:w="310" w:type="pct"/>
          </w:tcPr>
          <w:p w14:paraId="2165D175" w14:textId="77777777" w:rsidR="00CD6352" w:rsidRPr="000706BC" w:rsidRDefault="00CD6352" w:rsidP="00CD6352">
            <w:pPr>
              <w:rPr>
                <w:rFonts w:ascii="Arial" w:hAnsi="Arial" w:cs="Arial"/>
                <w:sz w:val="16"/>
                <w:szCs w:val="16"/>
              </w:rPr>
            </w:pPr>
            <w:r w:rsidRPr="000706BC">
              <w:rPr>
                <w:rFonts w:ascii="Arial" w:hAnsi="Arial" w:cs="Arial"/>
                <w:sz w:val="16"/>
                <w:szCs w:val="16"/>
              </w:rPr>
              <w:t>5</w:t>
            </w:r>
          </w:p>
        </w:tc>
      </w:tr>
      <w:tr w:rsidR="00CD6352" w:rsidRPr="000706BC" w14:paraId="635BC2AD" w14:textId="77777777" w:rsidTr="0076450C">
        <w:trPr>
          <w:gridAfter w:val="1"/>
          <w:wAfter w:w="8" w:type="pct"/>
          <w:trHeight w:val="167"/>
        </w:trPr>
        <w:tc>
          <w:tcPr>
            <w:tcW w:w="1093" w:type="pct"/>
          </w:tcPr>
          <w:p w14:paraId="4769FD1F" w14:textId="77777777" w:rsidR="00CD6352" w:rsidRPr="000706BC" w:rsidRDefault="00CD6352" w:rsidP="00CD6352">
            <w:pPr>
              <w:rPr>
                <w:rFonts w:ascii="Arial" w:hAnsi="Arial" w:cs="Arial"/>
                <w:sz w:val="16"/>
                <w:szCs w:val="16"/>
              </w:rPr>
            </w:pPr>
            <w:r w:rsidRPr="000706BC">
              <w:rPr>
                <w:rFonts w:ascii="Arial" w:hAnsi="Arial" w:cs="Arial"/>
                <w:sz w:val="16"/>
                <w:szCs w:val="16"/>
              </w:rPr>
              <w:t>Manager’s ability and skills</w:t>
            </w:r>
          </w:p>
        </w:tc>
        <w:tc>
          <w:tcPr>
            <w:tcW w:w="361" w:type="pct"/>
          </w:tcPr>
          <w:p w14:paraId="48205931"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40" w:type="pct"/>
          </w:tcPr>
          <w:p w14:paraId="1C0A78DB" w14:textId="77777777" w:rsidR="00CD6352" w:rsidRPr="000706BC" w:rsidRDefault="00CD6352" w:rsidP="00CD6352">
            <w:pPr>
              <w:rPr>
                <w:rFonts w:ascii="Arial" w:hAnsi="Arial" w:cs="Arial"/>
                <w:sz w:val="16"/>
                <w:szCs w:val="16"/>
              </w:rPr>
            </w:pPr>
            <w:r w:rsidRPr="000706BC">
              <w:rPr>
                <w:rFonts w:ascii="Arial" w:hAnsi="Arial" w:cs="Arial"/>
                <w:sz w:val="16"/>
                <w:szCs w:val="16"/>
              </w:rPr>
              <w:t>11</w:t>
            </w:r>
          </w:p>
        </w:tc>
        <w:tc>
          <w:tcPr>
            <w:tcW w:w="324" w:type="pct"/>
            <w:gridSpan w:val="2"/>
          </w:tcPr>
          <w:p w14:paraId="58CB2B0B"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3" w:type="pct"/>
          </w:tcPr>
          <w:p w14:paraId="053F3BC3" w14:textId="77777777" w:rsidR="00CD6352" w:rsidRPr="000706BC" w:rsidRDefault="00CD6352" w:rsidP="00CD6352">
            <w:pPr>
              <w:rPr>
                <w:rFonts w:ascii="Arial" w:hAnsi="Arial" w:cs="Arial"/>
                <w:sz w:val="16"/>
                <w:szCs w:val="16"/>
              </w:rPr>
            </w:pPr>
            <w:r w:rsidRPr="000706BC">
              <w:rPr>
                <w:rFonts w:ascii="Arial" w:hAnsi="Arial" w:cs="Arial"/>
                <w:sz w:val="16"/>
                <w:szCs w:val="16"/>
              </w:rPr>
              <w:t>3</w:t>
            </w:r>
          </w:p>
        </w:tc>
        <w:tc>
          <w:tcPr>
            <w:tcW w:w="324" w:type="pct"/>
            <w:gridSpan w:val="2"/>
          </w:tcPr>
          <w:p w14:paraId="65E4577E"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26" w:type="pct"/>
          </w:tcPr>
          <w:p w14:paraId="03FD6AB2" w14:textId="77777777" w:rsidR="00CD6352" w:rsidRPr="000706BC" w:rsidRDefault="00CD6352" w:rsidP="00CD6352">
            <w:pPr>
              <w:rPr>
                <w:rFonts w:ascii="Arial" w:hAnsi="Arial" w:cs="Arial"/>
                <w:sz w:val="16"/>
                <w:szCs w:val="16"/>
              </w:rPr>
            </w:pPr>
            <w:r w:rsidRPr="000706BC">
              <w:rPr>
                <w:rFonts w:ascii="Arial" w:hAnsi="Arial" w:cs="Arial"/>
                <w:sz w:val="16"/>
                <w:szCs w:val="16"/>
              </w:rPr>
              <w:t>16</w:t>
            </w:r>
          </w:p>
        </w:tc>
        <w:tc>
          <w:tcPr>
            <w:tcW w:w="324" w:type="pct"/>
            <w:gridSpan w:val="2"/>
          </w:tcPr>
          <w:p w14:paraId="2BF2F40D" w14:textId="77777777" w:rsidR="00CD6352" w:rsidRPr="000706BC" w:rsidRDefault="00CD6352" w:rsidP="00CD6352">
            <w:pPr>
              <w:rPr>
                <w:rFonts w:ascii="Arial" w:hAnsi="Arial" w:cs="Arial"/>
                <w:sz w:val="16"/>
                <w:szCs w:val="16"/>
              </w:rPr>
            </w:pPr>
            <w:r w:rsidRPr="000706BC">
              <w:rPr>
                <w:rFonts w:ascii="Arial" w:hAnsi="Arial" w:cs="Arial"/>
                <w:sz w:val="16"/>
                <w:szCs w:val="16"/>
              </w:rPr>
              <w:t>4.09</w:t>
            </w:r>
          </w:p>
        </w:tc>
        <w:tc>
          <w:tcPr>
            <w:tcW w:w="310" w:type="pct"/>
          </w:tcPr>
          <w:p w14:paraId="228951D8" w14:textId="77777777" w:rsidR="00CD6352" w:rsidRPr="000706BC" w:rsidRDefault="00CD6352" w:rsidP="00CD6352">
            <w:pPr>
              <w:rPr>
                <w:rFonts w:ascii="Arial" w:hAnsi="Arial" w:cs="Arial"/>
                <w:sz w:val="16"/>
                <w:szCs w:val="16"/>
              </w:rPr>
            </w:pPr>
            <w:r w:rsidRPr="000706BC">
              <w:rPr>
                <w:rFonts w:ascii="Arial" w:hAnsi="Arial" w:cs="Arial"/>
                <w:sz w:val="16"/>
                <w:szCs w:val="16"/>
              </w:rPr>
              <w:t>8</w:t>
            </w:r>
          </w:p>
        </w:tc>
        <w:tc>
          <w:tcPr>
            <w:tcW w:w="324" w:type="pct"/>
          </w:tcPr>
          <w:p w14:paraId="09158B03" w14:textId="77777777" w:rsidR="00CD6352" w:rsidRPr="000706BC" w:rsidRDefault="00CD6352" w:rsidP="00CD6352">
            <w:pPr>
              <w:rPr>
                <w:rFonts w:ascii="Arial" w:hAnsi="Arial" w:cs="Arial"/>
                <w:sz w:val="16"/>
                <w:szCs w:val="16"/>
              </w:rPr>
            </w:pPr>
            <w:r w:rsidRPr="000706BC">
              <w:rPr>
                <w:rFonts w:ascii="Arial" w:hAnsi="Arial" w:cs="Arial"/>
                <w:sz w:val="16"/>
                <w:szCs w:val="16"/>
              </w:rPr>
              <w:t>3.74</w:t>
            </w:r>
          </w:p>
        </w:tc>
        <w:tc>
          <w:tcPr>
            <w:tcW w:w="310" w:type="pct"/>
          </w:tcPr>
          <w:p w14:paraId="1A82A6C4" w14:textId="77777777" w:rsidR="00CD6352" w:rsidRPr="000706BC" w:rsidRDefault="00CD6352" w:rsidP="00CD6352">
            <w:pPr>
              <w:rPr>
                <w:rFonts w:ascii="Arial" w:hAnsi="Arial" w:cs="Arial"/>
                <w:sz w:val="16"/>
                <w:szCs w:val="16"/>
              </w:rPr>
            </w:pPr>
            <w:r w:rsidRPr="000706BC">
              <w:rPr>
                <w:rFonts w:ascii="Arial" w:hAnsi="Arial" w:cs="Arial"/>
                <w:sz w:val="16"/>
                <w:szCs w:val="16"/>
              </w:rPr>
              <w:t>13</w:t>
            </w:r>
          </w:p>
        </w:tc>
        <w:tc>
          <w:tcPr>
            <w:tcW w:w="324" w:type="pct"/>
            <w:gridSpan w:val="2"/>
          </w:tcPr>
          <w:p w14:paraId="21447B48"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10" w:type="pct"/>
          </w:tcPr>
          <w:p w14:paraId="5B3A36F9" w14:textId="77777777" w:rsidR="00CD6352" w:rsidRPr="000706BC" w:rsidRDefault="00CD6352" w:rsidP="00CD6352">
            <w:pPr>
              <w:rPr>
                <w:rFonts w:ascii="Arial" w:hAnsi="Arial" w:cs="Arial"/>
                <w:sz w:val="16"/>
                <w:szCs w:val="16"/>
              </w:rPr>
            </w:pPr>
            <w:r w:rsidRPr="000706BC">
              <w:rPr>
                <w:rFonts w:ascii="Arial" w:hAnsi="Arial" w:cs="Arial"/>
                <w:sz w:val="16"/>
                <w:szCs w:val="16"/>
              </w:rPr>
              <w:t>7</w:t>
            </w:r>
          </w:p>
        </w:tc>
      </w:tr>
      <w:tr w:rsidR="00CD6352" w:rsidRPr="000706BC" w14:paraId="643EEB25" w14:textId="77777777" w:rsidTr="0076450C">
        <w:trPr>
          <w:gridAfter w:val="1"/>
          <w:wAfter w:w="8" w:type="pct"/>
          <w:trHeight w:val="336"/>
        </w:trPr>
        <w:tc>
          <w:tcPr>
            <w:tcW w:w="1093" w:type="pct"/>
          </w:tcPr>
          <w:p w14:paraId="524846FB" w14:textId="77777777" w:rsidR="00CD6352" w:rsidRPr="000706BC" w:rsidRDefault="00CD6352" w:rsidP="00CD6352">
            <w:pPr>
              <w:rPr>
                <w:rFonts w:ascii="Arial" w:hAnsi="Arial" w:cs="Arial"/>
                <w:sz w:val="16"/>
                <w:szCs w:val="16"/>
              </w:rPr>
            </w:pPr>
            <w:r w:rsidRPr="000706BC">
              <w:rPr>
                <w:rFonts w:ascii="Arial" w:hAnsi="Arial" w:cs="Arial"/>
                <w:sz w:val="16"/>
                <w:szCs w:val="16"/>
              </w:rPr>
              <w:t>Meeting of project timeline &amp; control of project performance</w:t>
            </w:r>
          </w:p>
        </w:tc>
        <w:tc>
          <w:tcPr>
            <w:tcW w:w="361" w:type="pct"/>
          </w:tcPr>
          <w:p w14:paraId="39D7E6BF"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40" w:type="pct"/>
          </w:tcPr>
          <w:p w14:paraId="2ABC05E1" w14:textId="77777777" w:rsidR="00CD6352" w:rsidRPr="000706BC" w:rsidRDefault="00CD6352" w:rsidP="00CD6352">
            <w:pPr>
              <w:rPr>
                <w:rFonts w:ascii="Arial" w:hAnsi="Arial" w:cs="Arial"/>
                <w:sz w:val="16"/>
                <w:szCs w:val="16"/>
              </w:rPr>
            </w:pPr>
            <w:r w:rsidRPr="000706BC">
              <w:rPr>
                <w:rFonts w:ascii="Arial" w:hAnsi="Arial" w:cs="Arial"/>
                <w:sz w:val="16"/>
                <w:szCs w:val="16"/>
              </w:rPr>
              <w:t>6</w:t>
            </w:r>
          </w:p>
        </w:tc>
        <w:tc>
          <w:tcPr>
            <w:tcW w:w="324" w:type="pct"/>
            <w:gridSpan w:val="2"/>
          </w:tcPr>
          <w:p w14:paraId="0A3A5013" w14:textId="77777777" w:rsidR="00CD6352" w:rsidRPr="000706BC" w:rsidRDefault="00CD6352" w:rsidP="00CD6352">
            <w:pPr>
              <w:rPr>
                <w:rFonts w:ascii="Arial" w:hAnsi="Arial" w:cs="Arial"/>
                <w:sz w:val="16"/>
                <w:szCs w:val="16"/>
              </w:rPr>
            </w:pPr>
            <w:r w:rsidRPr="000706BC">
              <w:rPr>
                <w:rFonts w:ascii="Arial" w:hAnsi="Arial" w:cs="Arial"/>
                <w:sz w:val="16"/>
                <w:szCs w:val="16"/>
              </w:rPr>
              <w:t>3.70</w:t>
            </w:r>
          </w:p>
        </w:tc>
        <w:tc>
          <w:tcPr>
            <w:tcW w:w="323" w:type="pct"/>
          </w:tcPr>
          <w:p w14:paraId="7A1E9961" w14:textId="77777777" w:rsidR="00CD6352" w:rsidRPr="000706BC" w:rsidRDefault="00CD6352" w:rsidP="00CD6352">
            <w:pPr>
              <w:rPr>
                <w:rFonts w:ascii="Arial" w:hAnsi="Arial" w:cs="Arial"/>
                <w:sz w:val="16"/>
                <w:szCs w:val="16"/>
              </w:rPr>
            </w:pPr>
            <w:r w:rsidRPr="000706BC">
              <w:rPr>
                <w:rFonts w:ascii="Arial" w:hAnsi="Arial" w:cs="Arial"/>
                <w:sz w:val="16"/>
                <w:szCs w:val="16"/>
              </w:rPr>
              <w:t>9</w:t>
            </w:r>
          </w:p>
        </w:tc>
        <w:tc>
          <w:tcPr>
            <w:tcW w:w="324" w:type="pct"/>
            <w:gridSpan w:val="2"/>
          </w:tcPr>
          <w:p w14:paraId="02EF0C16" w14:textId="77777777" w:rsidR="00CD6352" w:rsidRPr="000706BC" w:rsidRDefault="00CD6352" w:rsidP="00CD6352">
            <w:pPr>
              <w:rPr>
                <w:rFonts w:ascii="Arial" w:hAnsi="Arial" w:cs="Arial"/>
                <w:sz w:val="16"/>
                <w:szCs w:val="16"/>
              </w:rPr>
            </w:pPr>
            <w:r w:rsidRPr="000706BC">
              <w:rPr>
                <w:rFonts w:ascii="Arial" w:hAnsi="Arial" w:cs="Arial"/>
                <w:sz w:val="16"/>
                <w:szCs w:val="16"/>
              </w:rPr>
              <w:t>3.83</w:t>
            </w:r>
          </w:p>
        </w:tc>
        <w:tc>
          <w:tcPr>
            <w:tcW w:w="326" w:type="pct"/>
          </w:tcPr>
          <w:p w14:paraId="27AF668F" w14:textId="77777777" w:rsidR="00CD6352" w:rsidRPr="000706BC" w:rsidRDefault="00CD6352" w:rsidP="00CD6352">
            <w:pPr>
              <w:rPr>
                <w:rFonts w:ascii="Arial" w:hAnsi="Arial" w:cs="Arial"/>
                <w:sz w:val="16"/>
                <w:szCs w:val="16"/>
              </w:rPr>
            </w:pPr>
            <w:r w:rsidRPr="000706BC">
              <w:rPr>
                <w:rFonts w:ascii="Arial" w:hAnsi="Arial" w:cs="Arial"/>
                <w:sz w:val="16"/>
                <w:szCs w:val="16"/>
              </w:rPr>
              <w:t>12</w:t>
            </w:r>
          </w:p>
        </w:tc>
        <w:tc>
          <w:tcPr>
            <w:tcW w:w="324" w:type="pct"/>
            <w:gridSpan w:val="2"/>
          </w:tcPr>
          <w:p w14:paraId="0EFE4922" w14:textId="77777777" w:rsidR="00CD6352" w:rsidRPr="000706BC" w:rsidRDefault="00CD6352" w:rsidP="00CD6352">
            <w:pPr>
              <w:rPr>
                <w:rFonts w:ascii="Arial" w:hAnsi="Arial" w:cs="Arial"/>
                <w:sz w:val="16"/>
                <w:szCs w:val="16"/>
              </w:rPr>
            </w:pPr>
            <w:r w:rsidRPr="000706BC">
              <w:rPr>
                <w:rFonts w:ascii="Arial" w:hAnsi="Arial" w:cs="Arial"/>
                <w:sz w:val="16"/>
                <w:szCs w:val="16"/>
              </w:rPr>
              <w:t>3.91</w:t>
            </w:r>
          </w:p>
        </w:tc>
        <w:tc>
          <w:tcPr>
            <w:tcW w:w="310" w:type="pct"/>
          </w:tcPr>
          <w:p w14:paraId="4C4844EA" w14:textId="77777777" w:rsidR="00CD6352" w:rsidRPr="000706BC" w:rsidRDefault="00CD6352" w:rsidP="00CD6352">
            <w:pPr>
              <w:rPr>
                <w:rFonts w:ascii="Arial" w:hAnsi="Arial" w:cs="Arial"/>
                <w:sz w:val="16"/>
                <w:szCs w:val="16"/>
              </w:rPr>
            </w:pPr>
            <w:r w:rsidRPr="000706BC">
              <w:rPr>
                <w:rFonts w:ascii="Arial" w:hAnsi="Arial" w:cs="Arial"/>
                <w:sz w:val="16"/>
                <w:szCs w:val="16"/>
              </w:rPr>
              <w:t>15</w:t>
            </w:r>
          </w:p>
        </w:tc>
        <w:tc>
          <w:tcPr>
            <w:tcW w:w="324" w:type="pct"/>
          </w:tcPr>
          <w:p w14:paraId="0B889B41" w14:textId="77777777" w:rsidR="00CD6352" w:rsidRPr="000706BC" w:rsidRDefault="00CD6352" w:rsidP="00CD6352">
            <w:pPr>
              <w:rPr>
                <w:rFonts w:ascii="Arial" w:hAnsi="Arial" w:cs="Arial"/>
                <w:sz w:val="16"/>
                <w:szCs w:val="16"/>
              </w:rPr>
            </w:pPr>
            <w:r w:rsidRPr="000706BC">
              <w:rPr>
                <w:rFonts w:ascii="Arial" w:hAnsi="Arial" w:cs="Arial"/>
                <w:sz w:val="16"/>
                <w:szCs w:val="16"/>
              </w:rPr>
              <w:t>3.87</w:t>
            </w:r>
          </w:p>
        </w:tc>
        <w:tc>
          <w:tcPr>
            <w:tcW w:w="310" w:type="pct"/>
          </w:tcPr>
          <w:p w14:paraId="12B8C2B7" w14:textId="77777777" w:rsidR="00CD6352" w:rsidRPr="000706BC" w:rsidRDefault="00CD6352" w:rsidP="00CD6352">
            <w:pPr>
              <w:rPr>
                <w:rFonts w:ascii="Arial" w:hAnsi="Arial" w:cs="Arial"/>
                <w:sz w:val="16"/>
                <w:szCs w:val="16"/>
              </w:rPr>
            </w:pPr>
            <w:r w:rsidRPr="000706BC">
              <w:rPr>
                <w:rFonts w:ascii="Arial" w:hAnsi="Arial" w:cs="Arial"/>
                <w:sz w:val="16"/>
                <w:szCs w:val="16"/>
              </w:rPr>
              <w:t>7</w:t>
            </w:r>
          </w:p>
        </w:tc>
        <w:tc>
          <w:tcPr>
            <w:tcW w:w="324" w:type="pct"/>
            <w:gridSpan w:val="2"/>
          </w:tcPr>
          <w:p w14:paraId="55129F80"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10" w:type="pct"/>
          </w:tcPr>
          <w:p w14:paraId="467DD41B" w14:textId="77777777" w:rsidR="00CD6352" w:rsidRPr="000706BC" w:rsidRDefault="00CD6352" w:rsidP="00CD6352">
            <w:pPr>
              <w:rPr>
                <w:rFonts w:ascii="Arial" w:hAnsi="Arial" w:cs="Arial"/>
                <w:sz w:val="16"/>
                <w:szCs w:val="16"/>
              </w:rPr>
            </w:pPr>
            <w:r w:rsidRPr="000706BC">
              <w:rPr>
                <w:rFonts w:ascii="Arial" w:hAnsi="Arial" w:cs="Arial"/>
                <w:sz w:val="16"/>
                <w:szCs w:val="16"/>
              </w:rPr>
              <w:t>8</w:t>
            </w:r>
          </w:p>
        </w:tc>
      </w:tr>
      <w:tr w:rsidR="00CD6352" w:rsidRPr="000706BC" w14:paraId="1A284BF4" w14:textId="77777777" w:rsidTr="0076450C">
        <w:trPr>
          <w:gridAfter w:val="1"/>
          <w:wAfter w:w="8" w:type="pct"/>
          <w:trHeight w:val="167"/>
        </w:trPr>
        <w:tc>
          <w:tcPr>
            <w:tcW w:w="1093" w:type="pct"/>
          </w:tcPr>
          <w:p w14:paraId="5CCFD463" w14:textId="77777777" w:rsidR="00CD6352" w:rsidRPr="000706BC" w:rsidRDefault="00CD6352" w:rsidP="00CD6352">
            <w:pPr>
              <w:rPr>
                <w:rFonts w:ascii="Arial" w:hAnsi="Arial" w:cs="Arial"/>
                <w:sz w:val="16"/>
                <w:szCs w:val="16"/>
              </w:rPr>
            </w:pPr>
            <w:r w:rsidRPr="000706BC">
              <w:rPr>
                <w:rFonts w:ascii="Arial" w:hAnsi="Arial" w:cs="Arial"/>
                <w:sz w:val="16"/>
                <w:szCs w:val="16"/>
              </w:rPr>
              <w:t>Profitability of the project</w:t>
            </w:r>
          </w:p>
        </w:tc>
        <w:tc>
          <w:tcPr>
            <w:tcW w:w="361" w:type="pct"/>
          </w:tcPr>
          <w:p w14:paraId="2C13D406"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40" w:type="pct"/>
          </w:tcPr>
          <w:p w14:paraId="0FB9BFE7" w14:textId="77777777" w:rsidR="00CD6352" w:rsidRPr="000706BC" w:rsidRDefault="00CD6352" w:rsidP="00CD6352">
            <w:pPr>
              <w:rPr>
                <w:rFonts w:ascii="Arial" w:hAnsi="Arial" w:cs="Arial"/>
                <w:sz w:val="16"/>
                <w:szCs w:val="16"/>
              </w:rPr>
            </w:pPr>
            <w:r w:rsidRPr="000706BC">
              <w:rPr>
                <w:rFonts w:ascii="Arial" w:hAnsi="Arial" w:cs="Arial"/>
                <w:sz w:val="16"/>
                <w:szCs w:val="16"/>
              </w:rPr>
              <w:t>15</w:t>
            </w:r>
          </w:p>
        </w:tc>
        <w:tc>
          <w:tcPr>
            <w:tcW w:w="324" w:type="pct"/>
            <w:gridSpan w:val="2"/>
          </w:tcPr>
          <w:p w14:paraId="6403AC99" w14:textId="77777777" w:rsidR="00CD6352" w:rsidRPr="000706BC" w:rsidRDefault="00CD6352" w:rsidP="00CD6352">
            <w:pPr>
              <w:rPr>
                <w:rFonts w:ascii="Arial" w:hAnsi="Arial" w:cs="Arial"/>
                <w:sz w:val="16"/>
                <w:szCs w:val="16"/>
              </w:rPr>
            </w:pPr>
            <w:r w:rsidRPr="000706BC">
              <w:rPr>
                <w:rFonts w:ascii="Arial" w:hAnsi="Arial" w:cs="Arial"/>
                <w:sz w:val="16"/>
                <w:szCs w:val="16"/>
              </w:rPr>
              <w:t>3.50</w:t>
            </w:r>
          </w:p>
        </w:tc>
        <w:tc>
          <w:tcPr>
            <w:tcW w:w="323" w:type="pct"/>
          </w:tcPr>
          <w:p w14:paraId="7C0165CF" w14:textId="77777777" w:rsidR="00CD6352" w:rsidRPr="000706BC" w:rsidRDefault="00CD6352" w:rsidP="00CD6352">
            <w:pPr>
              <w:rPr>
                <w:rFonts w:ascii="Arial" w:hAnsi="Arial" w:cs="Arial"/>
                <w:sz w:val="16"/>
                <w:szCs w:val="16"/>
              </w:rPr>
            </w:pPr>
            <w:r w:rsidRPr="000706BC">
              <w:rPr>
                <w:rFonts w:ascii="Arial" w:hAnsi="Arial" w:cs="Arial"/>
                <w:sz w:val="16"/>
                <w:szCs w:val="16"/>
              </w:rPr>
              <w:t>15</w:t>
            </w:r>
          </w:p>
        </w:tc>
        <w:tc>
          <w:tcPr>
            <w:tcW w:w="324" w:type="pct"/>
            <w:gridSpan w:val="2"/>
          </w:tcPr>
          <w:p w14:paraId="5CABBC8B"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6" w:type="pct"/>
          </w:tcPr>
          <w:p w14:paraId="436D148F" w14:textId="77777777" w:rsidR="00CD6352" w:rsidRPr="000706BC" w:rsidRDefault="00CD6352" w:rsidP="00CD6352">
            <w:pPr>
              <w:rPr>
                <w:rFonts w:ascii="Arial" w:hAnsi="Arial" w:cs="Arial"/>
                <w:sz w:val="16"/>
                <w:szCs w:val="16"/>
              </w:rPr>
            </w:pPr>
            <w:r w:rsidRPr="000706BC">
              <w:rPr>
                <w:rFonts w:ascii="Arial" w:hAnsi="Arial" w:cs="Arial"/>
                <w:sz w:val="16"/>
                <w:szCs w:val="16"/>
              </w:rPr>
              <w:t>6</w:t>
            </w:r>
          </w:p>
        </w:tc>
        <w:tc>
          <w:tcPr>
            <w:tcW w:w="324" w:type="pct"/>
            <w:gridSpan w:val="2"/>
          </w:tcPr>
          <w:p w14:paraId="4ABA99A6" w14:textId="77777777" w:rsidR="00CD6352" w:rsidRPr="000706BC" w:rsidRDefault="00CD6352" w:rsidP="00CD6352">
            <w:pPr>
              <w:rPr>
                <w:rFonts w:ascii="Arial" w:hAnsi="Arial" w:cs="Arial"/>
                <w:sz w:val="16"/>
                <w:szCs w:val="16"/>
              </w:rPr>
            </w:pPr>
            <w:r w:rsidRPr="000706BC">
              <w:rPr>
                <w:rFonts w:ascii="Arial" w:hAnsi="Arial" w:cs="Arial"/>
                <w:sz w:val="16"/>
                <w:szCs w:val="16"/>
              </w:rPr>
              <w:t>4.27</w:t>
            </w:r>
          </w:p>
        </w:tc>
        <w:tc>
          <w:tcPr>
            <w:tcW w:w="310" w:type="pct"/>
          </w:tcPr>
          <w:p w14:paraId="73A55E20" w14:textId="77777777" w:rsidR="00CD6352" w:rsidRPr="000706BC" w:rsidRDefault="00CD6352" w:rsidP="00CD6352">
            <w:pPr>
              <w:rPr>
                <w:rFonts w:ascii="Arial" w:hAnsi="Arial" w:cs="Arial"/>
                <w:sz w:val="16"/>
                <w:szCs w:val="16"/>
              </w:rPr>
            </w:pPr>
            <w:r w:rsidRPr="000706BC">
              <w:rPr>
                <w:rFonts w:ascii="Arial" w:hAnsi="Arial" w:cs="Arial"/>
                <w:sz w:val="16"/>
                <w:szCs w:val="16"/>
              </w:rPr>
              <w:t>4</w:t>
            </w:r>
          </w:p>
        </w:tc>
        <w:tc>
          <w:tcPr>
            <w:tcW w:w="324" w:type="pct"/>
          </w:tcPr>
          <w:p w14:paraId="2A18F640" w14:textId="77777777" w:rsidR="00CD6352" w:rsidRPr="000706BC" w:rsidRDefault="00CD6352" w:rsidP="00CD6352">
            <w:pPr>
              <w:rPr>
                <w:rFonts w:ascii="Arial" w:hAnsi="Arial" w:cs="Arial"/>
                <w:sz w:val="16"/>
                <w:szCs w:val="16"/>
              </w:rPr>
            </w:pPr>
            <w:r w:rsidRPr="000706BC">
              <w:rPr>
                <w:rFonts w:ascii="Arial" w:hAnsi="Arial" w:cs="Arial"/>
                <w:sz w:val="16"/>
                <w:szCs w:val="16"/>
              </w:rPr>
              <w:t>3.91</w:t>
            </w:r>
          </w:p>
        </w:tc>
        <w:tc>
          <w:tcPr>
            <w:tcW w:w="310" w:type="pct"/>
          </w:tcPr>
          <w:p w14:paraId="1AABBC36" w14:textId="77777777" w:rsidR="00CD6352" w:rsidRPr="000706BC" w:rsidRDefault="00CD6352" w:rsidP="00CD6352">
            <w:pPr>
              <w:rPr>
                <w:rFonts w:ascii="Arial" w:hAnsi="Arial" w:cs="Arial"/>
                <w:sz w:val="16"/>
                <w:szCs w:val="16"/>
              </w:rPr>
            </w:pPr>
            <w:r w:rsidRPr="000706BC">
              <w:rPr>
                <w:rFonts w:ascii="Arial" w:hAnsi="Arial" w:cs="Arial"/>
                <w:sz w:val="16"/>
                <w:szCs w:val="16"/>
              </w:rPr>
              <w:t>5</w:t>
            </w:r>
          </w:p>
        </w:tc>
        <w:tc>
          <w:tcPr>
            <w:tcW w:w="324" w:type="pct"/>
            <w:gridSpan w:val="2"/>
          </w:tcPr>
          <w:p w14:paraId="4960179E"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10" w:type="pct"/>
          </w:tcPr>
          <w:p w14:paraId="0676E47D" w14:textId="77777777" w:rsidR="00CD6352" w:rsidRPr="000706BC" w:rsidRDefault="00CD6352" w:rsidP="00CD6352">
            <w:pPr>
              <w:rPr>
                <w:rFonts w:ascii="Arial" w:hAnsi="Arial" w:cs="Arial"/>
                <w:sz w:val="16"/>
                <w:szCs w:val="16"/>
              </w:rPr>
            </w:pPr>
            <w:r w:rsidRPr="000706BC">
              <w:rPr>
                <w:rFonts w:ascii="Arial" w:hAnsi="Arial" w:cs="Arial"/>
                <w:sz w:val="16"/>
                <w:szCs w:val="16"/>
              </w:rPr>
              <w:t>9</w:t>
            </w:r>
          </w:p>
        </w:tc>
      </w:tr>
      <w:tr w:rsidR="00CD6352" w:rsidRPr="000706BC" w14:paraId="11E4937B" w14:textId="77777777" w:rsidTr="0076450C">
        <w:trPr>
          <w:gridAfter w:val="1"/>
          <w:wAfter w:w="8" w:type="pct"/>
          <w:trHeight w:val="167"/>
        </w:trPr>
        <w:tc>
          <w:tcPr>
            <w:tcW w:w="1093" w:type="pct"/>
          </w:tcPr>
          <w:p w14:paraId="16F6A07E" w14:textId="77777777" w:rsidR="00CD6352" w:rsidRPr="000706BC" w:rsidRDefault="00CD6352" w:rsidP="00CD6352">
            <w:pPr>
              <w:rPr>
                <w:rFonts w:ascii="Arial" w:hAnsi="Arial" w:cs="Arial"/>
                <w:sz w:val="16"/>
                <w:szCs w:val="16"/>
              </w:rPr>
            </w:pPr>
            <w:r w:rsidRPr="000706BC">
              <w:rPr>
                <w:rFonts w:ascii="Arial" w:hAnsi="Arial" w:cs="Arial"/>
                <w:sz w:val="16"/>
                <w:szCs w:val="16"/>
              </w:rPr>
              <w:t>Project manager’s experience</w:t>
            </w:r>
          </w:p>
        </w:tc>
        <w:tc>
          <w:tcPr>
            <w:tcW w:w="361" w:type="pct"/>
          </w:tcPr>
          <w:p w14:paraId="0E77B4E1"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40" w:type="pct"/>
          </w:tcPr>
          <w:p w14:paraId="2162CA92" w14:textId="77777777" w:rsidR="00CD6352" w:rsidRPr="000706BC" w:rsidRDefault="00CD6352" w:rsidP="00CD6352">
            <w:pPr>
              <w:rPr>
                <w:rFonts w:ascii="Arial" w:hAnsi="Arial" w:cs="Arial"/>
                <w:sz w:val="16"/>
                <w:szCs w:val="16"/>
              </w:rPr>
            </w:pPr>
            <w:r w:rsidRPr="000706BC">
              <w:rPr>
                <w:rFonts w:ascii="Arial" w:hAnsi="Arial" w:cs="Arial"/>
                <w:sz w:val="16"/>
                <w:szCs w:val="16"/>
              </w:rPr>
              <w:t>16</w:t>
            </w:r>
          </w:p>
        </w:tc>
        <w:tc>
          <w:tcPr>
            <w:tcW w:w="324" w:type="pct"/>
            <w:gridSpan w:val="2"/>
          </w:tcPr>
          <w:p w14:paraId="66020AAB" w14:textId="77777777" w:rsidR="00CD6352" w:rsidRPr="000706BC" w:rsidRDefault="00CD6352" w:rsidP="00CD6352">
            <w:pPr>
              <w:rPr>
                <w:rFonts w:ascii="Arial" w:hAnsi="Arial" w:cs="Arial"/>
                <w:sz w:val="16"/>
                <w:szCs w:val="16"/>
              </w:rPr>
            </w:pPr>
            <w:r w:rsidRPr="000706BC">
              <w:rPr>
                <w:rFonts w:ascii="Arial" w:hAnsi="Arial" w:cs="Arial"/>
                <w:sz w:val="16"/>
                <w:szCs w:val="16"/>
              </w:rPr>
              <w:t>3.82</w:t>
            </w:r>
          </w:p>
        </w:tc>
        <w:tc>
          <w:tcPr>
            <w:tcW w:w="323" w:type="pct"/>
          </w:tcPr>
          <w:p w14:paraId="776034D5" w14:textId="77777777" w:rsidR="00CD6352" w:rsidRPr="000706BC" w:rsidRDefault="00CD6352" w:rsidP="00CD6352">
            <w:pPr>
              <w:rPr>
                <w:rFonts w:ascii="Arial" w:hAnsi="Arial" w:cs="Arial"/>
                <w:sz w:val="16"/>
                <w:szCs w:val="16"/>
              </w:rPr>
            </w:pPr>
            <w:r w:rsidRPr="000706BC">
              <w:rPr>
                <w:rFonts w:ascii="Arial" w:hAnsi="Arial" w:cs="Arial"/>
                <w:sz w:val="16"/>
                <w:szCs w:val="16"/>
              </w:rPr>
              <w:t>5</w:t>
            </w:r>
          </w:p>
        </w:tc>
        <w:tc>
          <w:tcPr>
            <w:tcW w:w="324" w:type="pct"/>
            <w:gridSpan w:val="2"/>
          </w:tcPr>
          <w:p w14:paraId="40D7D31A"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26" w:type="pct"/>
          </w:tcPr>
          <w:p w14:paraId="32CA72E0" w14:textId="77777777" w:rsidR="00CD6352" w:rsidRPr="000706BC" w:rsidRDefault="00CD6352" w:rsidP="00CD6352">
            <w:pPr>
              <w:rPr>
                <w:rFonts w:ascii="Arial" w:hAnsi="Arial" w:cs="Arial"/>
                <w:sz w:val="16"/>
                <w:szCs w:val="16"/>
              </w:rPr>
            </w:pPr>
            <w:r w:rsidRPr="000706BC">
              <w:rPr>
                <w:rFonts w:ascii="Arial" w:hAnsi="Arial" w:cs="Arial"/>
                <w:sz w:val="16"/>
                <w:szCs w:val="16"/>
              </w:rPr>
              <w:t>17</w:t>
            </w:r>
          </w:p>
        </w:tc>
        <w:tc>
          <w:tcPr>
            <w:tcW w:w="324" w:type="pct"/>
            <w:gridSpan w:val="2"/>
          </w:tcPr>
          <w:p w14:paraId="1BA5BA78" w14:textId="77777777" w:rsidR="00CD6352" w:rsidRPr="000706BC" w:rsidRDefault="00CD6352" w:rsidP="00CD6352">
            <w:pPr>
              <w:rPr>
                <w:rFonts w:ascii="Arial" w:hAnsi="Arial" w:cs="Arial"/>
                <w:sz w:val="16"/>
                <w:szCs w:val="16"/>
              </w:rPr>
            </w:pPr>
            <w:r w:rsidRPr="000706BC">
              <w:rPr>
                <w:rFonts w:ascii="Arial" w:hAnsi="Arial" w:cs="Arial"/>
                <w:sz w:val="16"/>
                <w:szCs w:val="16"/>
              </w:rPr>
              <w:t>4.09</w:t>
            </w:r>
          </w:p>
        </w:tc>
        <w:tc>
          <w:tcPr>
            <w:tcW w:w="310" w:type="pct"/>
          </w:tcPr>
          <w:p w14:paraId="3FEF3ED2" w14:textId="77777777" w:rsidR="00CD6352" w:rsidRPr="000706BC" w:rsidRDefault="00CD6352" w:rsidP="00CD6352">
            <w:pPr>
              <w:rPr>
                <w:rFonts w:ascii="Arial" w:hAnsi="Arial" w:cs="Arial"/>
                <w:sz w:val="16"/>
                <w:szCs w:val="16"/>
              </w:rPr>
            </w:pPr>
            <w:r w:rsidRPr="000706BC">
              <w:rPr>
                <w:rFonts w:ascii="Arial" w:hAnsi="Arial" w:cs="Arial"/>
                <w:sz w:val="16"/>
                <w:szCs w:val="16"/>
              </w:rPr>
              <w:t>9</w:t>
            </w:r>
          </w:p>
        </w:tc>
        <w:tc>
          <w:tcPr>
            <w:tcW w:w="324" w:type="pct"/>
          </w:tcPr>
          <w:p w14:paraId="5849E517" w14:textId="77777777" w:rsidR="00CD6352" w:rsidRPr="000706BC" w:rsidRDefault="00CD6352" w:rsidP="00CD6352">
            <w:pPr>
              <w:rPr>
                <w:rFonts w:ascii="Arial" w:hAnsi="Arial" w:cs="Arial"/>
                <w:sz w:val="16"/>
                <w:szCs w:val="16"/>
              </w:rPr>
            </w:pPr>
            <w:r w:rsidRPr="000706BC">
              <w:rPr>
                <w:rFonts w:ascii="Arial" w:hAnsi="Arial" w:cs="Arial"/>
                <w:sz w:val="16"/>
                <w:szCs w:val="16"/>
              </w:rPr>
              <w:t>3.64</w:t>
            </w:r>
          </w:p>
        </w:tc>
        <w:tc>
          <w:tcPr>
            <w:tcW w:w="310" w:type="pct"/>
          </w:tcPr>
          <w:p w14:paraId="25E6854A" w14:textId="77777777" w:rsidR="00CD6352" w:rsidRPr="000706BC" w:rsidRDefault="00CD6352" w:rsidP="00CD6352">
            <w:pPr>
              <w:rPr>
                <w:rFonts w:ascii="Arial" w:hAnsi="Arial" w:cs="Arial"/>
                <w:sz w:val="16"/>
                <w:szCs w:val="16"/>
              </w:rPr>
            </w:pPr>
            <w:r w:rsidRPr="000706BC">
              <w:rPr>
                <w:rFonts w:ascii="Arial" w:hAnsi="Arial" w:cs="Arial"/>
                <w:sz w:val="16"/>
                <w:szCs w:val="16"/>
              </w:rPr>
              <w:t>18</w:t>
            </w:r>
          </w:p>
        </w:tc>
        <w:tc>
          <w:tcPr>
            <w:tcW w:w="324" w:type="pct"/>
            <w:gridSpan w:val="2"/>
          </w:tcPr>
          <w:p w14:paraId="17942ADF"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10" w:type="pct"/>
          </w:tcPr>
          <w:p w14:paraId="2A3D6F53" w14:textId="77777777" w:rsidR="00CD6352" w:rsidRPr="000706BC" w:rsidRDefault="00CD6352" w:rsidP="00CD6352">
            <w:pPr>
              <w:rPr>
                <w:rFonts w:ascii="Arial" w:hAnsi="Arial" w:cs="Arial"/>
                <w:sz w:val="16"/>
                <w:szCs w:val="16"/>
              </w:rPr>
            </w:pPr>
            <w:r w:rsidRPr="000706BC">
              <w:rPr>
                <w:rFonts w:ascii="Arial" w:hAnsi="Arial" w:cs="Arial"/>
                <w:sz w:val="16"/>
                <w:szCs w:val="16"/>
              </w:rPr>
              <w:t>15</w:t>
            </w:r>
          </w:p>
        </w:tc>
      </w:tr>
      <w:tr w:rsidR="00CD6352" w:rsidRPr="000706BC" w14:paraId="0B0C0BDB" w14:textId="77777777" w:rsidTr="0076450C">
        <w:trPr>
          <w:gridAfter w:val="1"/>
          <w:wAfter w:w="8" w:type="pct"/>
          <w:trHeight w:val="167"/>
        </w:trPr>
        <w:tc>
          <w:tcPr>
            <w:tcW w:w="1093" w:type="pct"/>
          </w:tcPr>
          <w:p w14:paraId="08FA7E60" w14:textId="77777777" w:rsidR="00CD6352" w:rsidRPr="000706BC" w:rsidRDefault="00CD6352" w:rsidP="00CD6352">
            <w:pPr>
              <w:rPr>
                <w:rFonts w:ascii="Arial" w:hAnsi="Arial" w:cs="Arial"/>
                <w:sz w:val="16"/>
                <w:szCs w:val="16"/>
              </w:rPr>
            </w:pPr>
            <w:r w:rsidRPr="000706BC">
              <w:rPr>
                <w:rFonts w:ascii="Arial" w:hAnsi="Arial" w:cs="Arial"/>
                <w:sz w:val="16"/>
                <w:szCs w:val="16"/>
              </w:rPr>
              <w:t>Project technical feasibility</w:t>
            </w:r>
          </w:p>
        </w:tc>
        <w:tc>
          <w:tcPr>
            <w:tcW w:w="361" w:type="pct"/>
          </w:tcPr>
          <w:p w14:paraId="0CCECE31"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40" w:type="pct"/>
          </w:tcPr>
          <w:p w14:paraId="74C8F2CF" w14:textId="77777777" w:rsidR="00CD6352" w:rsidRPr="000706BC" w:rsidRDefault="00CD6352" w:rsidP="00CD6352">
            <w:pPr>
              <w:rPr>
                <w:rFonts w:ascii="Arial" w:hAnsi="Arial" w:cs="Arial"/>
                <w:sz w:val="16"/>
                <w:szCs w:val="16"/>
              </w:rPr>
            </w:pPr>
            <w:r w:rsidRPr="000706BC">
              <w:rPr>
                <w:rFonts w:ascii="Arial" w:hAnsi="Arial" w:cs="Arial"/>
                <w:sz w:val="16"/>
                <w:szCs w:val="16"/>
              </w:rPr>
              <w:t>12</w:t>
            </w:r>
          </w:p>
        </w:tc>
        <w:tc>
          <w:tcPr>
            <w:tcW w:w="324" w:type="pct"/>
            <w:gridSpan w:val="2"/>
          </w:tcPr>
          <w:p w14:paraId="5C17D433" w14:textId="77777777" w:rsidR="00CD6352" w:rsidRPr="000706BC" w:rsidRDefault="00CD6352" w:rsidP="00CD6352">
            <w:pPr>
              <w:rPr>
                <w:rFonts w:ascii="Arial" w:hAnsi="Arial" w:cs="Arial"/>
                <w:sz w:val="16"/>
                <w:szCs w:val="16"/>
              </w:rPr>
            </w:pPr>
            <w:r w:rsidRPr="000706BC">
              <w:rPr>
                <w:rFonts w:ascii="Arial" w:hAnsi="Arial" w:cs="Arial"/>
                <w:sz w:val="16"/>
                <w:szCs w:val="16"/>
              </w:rPr>
              <w:t>3.70</w:t>
            </w:r>
          </w:p>
        </w:tc>
        <w:tc>
          <w:tcPr>
            <w:tcW w:w="323" w:type="pct"/>
          </w:tcPr>
          <w:p w14:paraId="1934A30A" w14:textId="77777777" w:rsidR="00CD6352" w:rsidRPr="000706BC" w:rsidRDefault="00CD6352" w:rsidP="00CD6352">
            <w:pPr>
              <w:rPr>
                <w:rFonts w:ascii="Arial" w:hAnsi="Arial" w:cs="Arial"/>
                <w:sz w:val="16"/>
                <w:szCs w:val="16"/>
              </w:rPr>
            </w:pPr>
            <w:r w:rsidRPr="000706BC">
              <w:rPr>
                <w:rFonts w:ascii="Arial" w:hAnsi="Arial" w:cs="Arial"/>
                <w:sz w:val="16"/>
                <w:szCs w:val="16"/>
              </w:rPr>
              <w:t>10</w:t>
            </w:r>
          </w:p>
        </w:tc>
        <w:tc>
          <w:tcPr>
            <w:tcW w:w="324" w:type="pct"/>
            <w:gridSpan w:val="2"/>
          </w:tcPr>
          <w:p w14:paraId="135F6970"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6" w:type="pct"/>
          </w:tcPr>
          <w:p w14:paraId="4E5CA702" w14:textId="77777777" w:rsidR="00CD6352" w:rsidRPr="000706BC" w:rsidRDefault="00CD6352" w:rsidP="00CD6352">
            <w:pPr>
              <w:rPr>
                <w:rFonts w:ascii="Arial" w:hAnsi="Arial" w:cs="Arial"/>
                <w:sz w:val="16"/>
                <w:szCs w:val="16"/>
              </w:rPr>
            </w:pPr>
            <w:r w:rsidRPr="000706BC">
              <w:rPr>
                <w:rFonts w:ascii="Arial" w:hAnsi="Arial" w:cs="Arial"/>
                <w:sz w:val="16"/>
                <w:szCs w:val="16"/>
              </w:rPr>
              <w:t>7</w:t>
            </w:r>
          </w:p>
        </w:tc>
        <w:tc>
          <w:tcPr>
            <w:tcW w:w="324" w:type="pct"/>
            <w:gridSpan w:val="2"/>
          </w:tcPr>
          <w:p w14:paraId="537FCFD7" w14:textId="77777777" w:rsidR="00CD6352" w:rsidRPr="000706BC" w:rsidRDefault="00CD6352" w:rsidP="00CD6352">
            <w:pPr>
              <w:rPr>
                <w:rFonts w:ascii="Arial" w:hAnsi="Arial" w:cs="Arial"/>
                <w:sz w:val="16"/>
                <w:szCs w:val="16"/>
              </w:rPr>
            </w:pPr>
            <w:r w:rsidRPr="000706BC">
              <w:rPr>
                <w:rFonts w:ascii="Arial" w:hAnsi="Arial" w:cs="Arial"/>
                <w:sz w:val="16"/>
                <w:szCs w:val="16"/>
              </w:rPr>
              <w:t>4.09</w:t>
            </w:r>
          </w:p>
        </w:tc>
        <w:tc>
          <w:tcPr>
            <w:tcW w:w="310" w:type="pct"/>
          </w:tcPr>
          <w:p w14:paraId="69555C52" w14:textId="77777777" w:rsidR="00CD6352" w:rsidRPr="000706BC" w:rsidRDefault="00CD6352" w:rsidP="00CD6352">
            <w:pPr>
              <w:rPr>
                <w:rFonts w:ascii="Arial" w:hAnsi="Arial" w:cs="Arial"/>
                <w:sz w:val="16"/>
                <w:szCs w:val="16"/>
              </w:rPr>
            </w:pPr>
            <w:r w:rsidRPr="000706BC">
              <w:rPr>
                <w:rFonts w:ascii="Arial" w:hAnsi="Arial" w:cs="Arial"/>
                <w:sz w:val="16"/>
                <w:szCs w:val="16"/>
              </w:rPr>
              <w:t>10</w:t>
            </w:r>
          </w:p>
        </w:tc>
        <w:tc>
          <w:tcPr>
            <w:tcW w:w="324" w:type="pct"/>
          </w:tcPr>
          <w:p w14:paraId="0AC3A13D" w14:textId="77777777" w:rsidR="00CD6352" w:rsidRPr="000706BC" w:rsidRDefault="00CD6352" w:rsidP="00CD6352">
            <w:pPr>
              <w:rPr>
                <w:rFonts w:ascii="Arial" w:hAnsi="Arial" w:cs="Arial"/>
                <w:sz w:val="16"/>
                <w:szCs w:val="16"/>
              </w:rPr>
            </w:pPr>
            <w:r w:rsidRPr="000706BC">
              <w:rPr>
                <w:rFonts w:ascii="Arial" w:hAnsi="Arial" w:cs="Arial"/>
                <w:sz w:val="16"/>
                <w:szCs w:val="16"/>
              </w:rPr>
              <w:t>3.87</w:t>
            </w:r>
          </w:p>
        </w:tc>
        <w:tc>
          <w:tcPr>
            <w:tcW w:w="310" w:type="pct"/>
          </w:tcPr>
          <w:p w14:paraId="0E0D66C6" w14:textId="77777777" w:rsidR="00CD6352" w:rsidRPr="000706BC" w:rsidRDefault="00CD6352" w:rsidP="00CD6352">
            <w:pPr>
              <w:rPr>
                <w:rFonts w:ascii="Arial" w:hAnsi="Arial" w:cs="Arial"/>
                <w:sz w:val="16"/>
                <w:szCs w:val="16"/>
              </w:rPr>
            </w:pPr>
            <w:r w:rsidRPr="000706BC">
              <w:rPr>
                <w:rFonts w:ascii="Arial" w:hAnsi="Arial" w:cs="Arial"/>
                <w:sz w:val="16"/>
                <w:szCs w:val="16"/>
              </w:rPr>
              <w:t>8</w:t>
            </w:r>
          </w:p>
        </w:tc>
        <w:tc>
          <w:tcPr>
            <w:tcW w:w="324" w:type="pct"/>
            <w:gridSpan w:val="2"/>
          </w:tcPr>
          <w:p w14:paraId="332C6397"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10" w:type="pct"/>
          </w:tcPr>
          <w:p w14:paraId="48F57165" w14:textId="77777777" w:rsidR="00CD6352" w:rsidRPr="000706BC" w:rsidRDefault="00CD6352" w:rsidP="00CD6352">
            <w:pPr>
              <w:rPr>
                <w:rFonts w:ascii="Arial" w:hAnsi="Arial" w:cs="Arial"/>
                <w:sz w:val="16"/>
                <w:szCs w:val="16"/>
              </w:rPr>
            </w:pPr>
            <w:r w:rsidRPr="000706BC">
              <w:rPr>
                <w:rFonts w:ascii="Arial" w:hAnsi="Arial" w:cs="Arial"/>
                <w:sz w:val="16"/>
                <w:szCs w:val="16"/>
              </w:rPr>
              <w:t>10</w:t>
            </w:r>
          </w:p>
        </w:tc>
      </w:tr>
      <w:tr w:rsidR="00CD6352" w:rsidRPr="000706BC" w14:paraId="15C5733E" w14:textId="77777777" w:rsidTr="0076450C">
        <w:trPr>
          <w:gridAfter w:val="1"/>
          <w:wAfter w:w="8" w:type="pct"/>
          <w:trHeight w:val="167"/>
        </w:trPr>
        <w:tc>
          <w:tcPr>
            <w:tcW w:w="1093" w:type="pct"/>
          </w:tcPr>
          <w:p w14:paraId="682F9411" w14:textId="77777777" w:rsidR="00CD6352" w:rsidRPr="000706BC" w:rsidRDefault="00CD6352" w:rsidP="00CD6352">
            <w:pPr>
              <w:rPr>
                <w:rFonts w:ascii="Arial" w:hAnsi="Arial" w:cs="Arial"/>
                <w:sz w:val="16"/>
                <w:szCs w:val="16"/>
              </w:rPr>
            </w:pPr>
            <w:r w:rsidRPr="000706BC">
              <w:rPr>
                <w:rFonts w:ascii="Arial" w:hAnsi="Arial" w:cs="Arial"/>
                <w:sz w:val="16"/>
                <w:szCs w:val="16"/>
              </w:rPr>
              <w:t>Risks allocation and risk-sharing</w:t>
            </w:r>
          </w:p>
        </w:tc>
        <w:tc>
          <w:tcPr>
            <w:tcW w:w="361" w:type="pct"/>
          </w:tcPr>
          <w:p w14:paraId="04504345"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40" w:type="pct"/>
          </w:tcPr>
          <w:p w14:paraId="1631618C" w14:textId="77777777" w:rsidR="00CD6352" w:rsidRPr="000706BC" w:rsidRDefault="00CD6352" w:rsidP="00CD6352">
            <w:pPr>
              <w:rPr>
                <w:rFonts w:ascii="Arial" w:hAnsi="Arial" w:cs="Arial"/>
                <w:sz w:val="16"/>
                <w:szCs w:val="16"/>
              </w:rPr>
            </w:pPr>
            <w:r w:rsidRPr="000706BC">
              <w:rPr>
                <w:rFonts w:ascii="Arial" w:hAnsi="Arial" w:cs="Arial"/>
                <w:sz w:val="16"/>
                <w:szCs w:val="16"/>
              </w:rPr>
              <w:t>17</w:t>
            </w:r>
          </w:p>
        </w:tc>
        <w:tc>
          <w:tcPr>
            <w:tcW w:w="324" w:type="pct"/>
            <w:gridSpan w:val="2"/>
          </w:tcPr>
          <w:p w14:paraId="7F77E32A" w14:textId="77777777" w:rsidR="00CD6352" w:rsidRPr="000706BC" w:rsidRDefault="00CD6352" w:rsidP="00CD6352">
            <w:pPr>
              <w:rPr>
                <w:rFonts w:ascii="Arial" w:hAnsi="Arial" w:cs="Arial"/>
                <w:sz w:val="16"/>
                <w:szCs w:val="16"/>
              </w:rPr>
            </w:pPr>
            <w:r w:rsidRPr="000706BC">
              <w:rPr>
                <w:rFonts w:ascii="Arial" w:hAnsi="Arial" w:cs="Arial"/>
                <w:sz w:val="16"/>
                <w:szCs w:val="16"/>
              </w:rPr>
              <w:t>3.30</w:t>
            </w:r>
          </w:p>
        </w:tc>
        <w:tc>
          <w:tcPr>
            <w:tcW w:w="323" w:type="pct"/>
          </w:tcPr>
          <w:p w14:paraId="3552C203" w14:textId="77777777" w:rsidR="00CD6352" w:rsidRPr="000706BC" w:rsidRDefault="00CD6352" w:rsidP="00CD6352">
            <w:pPr>
              <w:rPr>
                <w:rFonts w:ascii="Arial" w:hAnsi="Arial" w:cs="Arial"/>
                <w:sz w:val="16"/>
                <w:szCs w:val="16"/>
              </w:rPr>
            </w:pPr>
            <w:r w:rsidRPr="000706BC">
              <w:rPr>
                <w:rFonts w:ascii="Arial" w:hAnsi="Arial" w:cs="Arial"/>
                <w:sz w:val="16"/>
                <w:szCs w:val="16"/>
              </w:rPr>
              <w:t>18</w:t>
            </w:r>
          </w:p>
        </w:tc>
        <w:tc>
          <w:tcPr>
            <w:tcW w:w="324" w:type="pct"/>
            <w:gridSpan w:val="2"/>
          </w:tcPr>
          <w:p w14:paraId="42E9BB64" w14:textId="77777777" w:rsidR="00CD6352" w:rsidRPr="000706BC" w:rsidRDefault="00CD6352" w:rsidP="00CD6352">
            <w:pPr>
              <w:rPr>
                <w:rFonts w:ascii="Arial" w:hAnsi="Arial" w:cs="Arial"/>
                <w:sz w:val="16"/>
                <w:szCs w:val="16"/>
              </w:rPr>
            </w:pPr>
            <w:r w:rsidRPr="000706BC">
              <w:rPr>
                <w:rFonts w:ascii="Arial" w:hAnsi="Arial" w:cs="Arial"/>
                <w:sz w:val="16"/>
                <w:szCs w:val="16"/>
              </w:rPr>
              <w:t>3.33</w:t>
            </w:r>
          </w:p>
        </w:tc>
        <w:tc>
          <w:tcPr>
            <w:tcW w:w="326" w:type="pct"/>
          </w:tcPr>
          <w:p w14:paraId="1BC6BE0D" w14:textId="77777777" w:rsidR="00CD6352" w:rsidRPr="000706BC" w:rsidRDefault="00CD6352" w:rsidP="00CD6352">
            <w:pPr>
              <w:rPr>
                <w:rFonts w:ascii="Arial" w:hAnsi="Arial" w:cs="Arial"/>
                <w:sz w:val="16"/>
                <w:szCs w:val="16"/>
              </w:rPr>
            </w:pPr>
            <w:r w:rsidRPr="000706BC">
              <w:rPr>
                <w:rFonts w:ascii="Arial" w:hAnsi="Arial" w:cs="Arial"/>
                <w:sz w:val="16"/>
                <w:szCs w:val="16"/>
              </w:rPr>
              <w:t>20</w:t>
            </w:r>
          </w:p>
        </w:tc>
        <w:tc>
          <w:tcPr>
            <w:tcW w:w="324" w:type="pct"/>
            <w:gridSpan w:val="2"/>
          </w:tcPr>
          <w:p w14:paraId="3275C094" w14:textId="77777777" w:rsidR="00CD6352" w:rsidRPr="000706BC" w:rsidRDefault="00CD6352" w:rsidP="00CD6352">
            <w:pPr>
              <w:rPr>
                <w:rFonts w:ascii="Arial" w:hAnsi="Arial" w:cs="Arial"/>
                <w:sz w:val="16"/>
                <w:szCs w:val="16"/>
              </w:rPr>
            </w:pPr>
            <w:r w:rsidRPr="000706BC">
              <w:rPr>
                <w:rFonts w:ascii="Arial" w:hAnsi="Arial" w:cs="Arial"/>
                <w:sz w:val="16"/>
                <w:szCs w:val="16"/>
              </w:rPr>
              <w:t>3.64</w:t>
            </w:r>
          </w:p>
        </w:tc>
        <w:tc>
          <w:tcPr>
            <w:tcW w:w="310" w:type="pct"/>
          </w:tcPr>
          <w:p w14:paraId="6A69CF05" w14:textId="77777777" w:rsidR="00CD6352" w:rsidRPr="000706BC" w:rsidRDefault="00CD6352" w:rsidP="00CD6352">
            <w:pPr>
              <w:rPr>
                <w:rFonts w:ascii="Arial" w:hAnsi="Arial" w:cs="Arial"/>
                <w:sz w:val="16"/>
                <w:szCs w:val="16"/>
              </w:rPr>
            </w:pPr>
            <w:r w:rsidRPr="000706BC">
              <w:rPr>
                <w:rFonts w:ascii="Arial" w:hAnsi="Arial" w:cs="Arial"/>
                <w:sz w:val="16"/>
                <w:szCs w:val="16"/>
              </w:rPr>
              <w:t>19</w:t>
            </w:r>
          </w:p>
        </w:tc>
        <w:tc>
          <w:tcPr>
            <w:tcW w:w="324" w:type="pct"/>
          </w:tcPr>
          <w:p w14:paraId="7837EA2D" w14:textId="77777777" w:rsidR="00CD6352" w:rsidRPr="000706BC" w:rsidRDefault="00CD6352" w:rsidP="00CD6352">
            <w:pPr>
              <w:rPr>
                <w:rFonts w:ascii="Arial" w:hAnsi="Arial" w:cs="Arial"/>
                <w:sz w:val="16"/>
                <w:szCs w:val="16"/>
              </w:rPr>
            </w:pPr>
            <w:r w:rsidRPr="000706BC">
              <w:rPr>
                <w:rFonts w:ascii="Arial" w:hAnsi="Arial" w:cs="Arial"/>
                <w:sz w:val="16"/>
                <w:szCs w:val="16"/>
              </w:rPr>
              <w:t>3.83</w:t>
            </w:r>
          </w:p>
        </w:tc>
        <w:tc>
          <w:tcPr>
            <w:tcW w:w="310" w:type="pct"/>
          </w:tcPr>
          <w:p w14:paraId="141FA7C0" w14:textId="77777777" w:rsidR="00CD6352" w:rsidRPr="000706BC" w:rsidRDefault="00CD6352" w:rsidP="00CD6352">
            <w:pPr>
              <w:rPr>
                <w:rFonts w:ascii="Arial" w:hAnsi="Arial" w:cs="Arial"/>
                <w:sz w:val="16"/>
                <w:szCs w:val="16"/>
              </w:rPr>
            </w:pPr>
            <w:r w:rsidRPr="000706BC">
              <w:rPr>
                <w:rFonts w:ascii="Arial" w:hAnsi="Arial" w:cs="Arial"/>
                <w:sz w:val="16"/>
                <w:szCs w:val="16"/>
              </w:rPr>
              <w:t>9</w:t>
            </w:r>
          </w:p>
        </w:tc>
        <w:tc>
          <w:tcPr>
            <w:tcW w:w="324" w:type="pct"/>
            <w:gridSpan w:val="2"/>
          </w:tcPr>
          <w:p w14:paraId="1D733DB4" w14:textId="77777777" w:rsidR="00CD6352" w:rsidRPr="000706BC" w:rsidRDefault="00CD6352" w:rsidP="00CD6352">
            <w:pPr>
              <w:rPr>
                <w:rFonts w:ascii="Arial" w:hAnsi="Arial" w:cs="Arial"/>
                <w:sz w:val="16"/>
                <w:szCs w:val="16"/>
              </w:rPr>
            </w:pPr>
            <w:r w:rsidRPr="000706BC">
              <w:rPr>
                <w:rFonts w:ascii="Arial" w:hAnsi="Arial" w:cs="Arial"/>
                <w:sz w:val="16"/>
                <w:szCs w:val="16"/>
              </w:rPr>
              <w:t>4.22</w:t>
            </w:r>
          </w:p>
        </w:tc>
        <w:tc>
          <w:tcPr>
            <w:tcW w:w="310" w:type="pct"/>
          </w:tcPr>
          <w:p w14:paraId="6912EAC5" w14:textId="77777777" w:rsidR="00CD6352" w:rsidRPr="000706BC" w:rsidRDefault="00CD6352" w:rsidP="00CD6352">
            <w:pPr>
              <w:rPr>
                <w:rFonts w:ascii="Arial" w:hAnsi="Arial" w:cs="Arial"/>
                <w:sz w:val="16"/>
                <w:szCs w:val="16"/>
              </w:rPr>
            </w:pPr>
            <w:r w:rsidRPr="000706BC">
              <w:rPr>
                <w:rFonts w:ascii="Arial" w:hAnsi="Arial" w:cs="Arial"/>
                <w:sz w:val="16"/>
                <w:szCs w:val="16"/>
              </w:rPr>
              <w:t>13</w:t>
            </w:r>
          </w:p>
        </w:tc>
      </w:tr>
      <w:tr w:rsidR="00CD6352" w:rsidRPr="000706BC" w14:paraId="0425212C" w14:textId="77777777" w:rsidTr="0076450C">
        <w:trPr>
          <w:gridAfter w:val="1"/>
          <w:wAfter w:w="8" w:type="pct"/>
          <w:trHeight w:val="336"/>
        </w:trPr>
        <w:tc>
          <w:tcPr>
            <w:tcW w:w="1093" w:type="pct"/>
          </w:tcPr>
          <w:p w14:paraId="52E2C5AC" w14:textId="77777777" w:rsidR="00CD6352" w:rsidRPr="000706BC" w:rsidRDefault="00CD6352" w:rsidP="00CD6352">
            <w:pPr>
              <w:rPr>
                <w:rFonts w:ascii="Arial" w:hAnsi="Arial" w:cs="Arial"/>
                <w:sz w:val="16"/>
                <w:szCs w:val="16"/>
              </w:rPr>
            </w:pPr>
            <w:r w:rsidRPr="000706BC">
              <w:rPr>
                <w:rFonts w:ascii="Arial" w:hAnsi="Arial" w:cs="Arial"/>
                <w:sz w:val="16"/>
                <w:szCs w:val="16"/>
              </w:rPr>
              <w:t>Shared responsibility between the public and private sector</w:t>
            </w:r>
          </w:p>
        </w:tc>
        <w:tc>
          <w:tcPr>
            <w:tcW w:w="361" w:type="pct"/>
          </w:tcPr>
          <w:p w14:paraId="60C64182" w14:textId="77777777" w:rsidR="00CD6352" w:rsidRPr="000706BC" w:rsidRDefault="00CD6352" w:rsidP="00CD6352">
            <w:pPr>
              <w:rPr>
                <w:rFonts w:ascii="Arial" w:hAnsi="Arial" w:cs="Arial"/>
                <w:sz w:val="16"/>
                <w:szCs w:val="16"/>
              </w:rPr>
            </w:pPr>
            <w:r w:rsidRPr="000706BC">
              <w:rPr>
                <w:rFonts w:ascii="Arial" w:hAnsi="Arial" w:cs="Arial"/>
                <w:sz w:val="16"/>
                <w:szCs w:val="16"/>
              </w:rPr>
              <w:t>3.00</w:t>
            </w:r>
          </w:p>
        </w:tc>
        <w:tc>
          <w:tcPr>
            <w:tcW w:w="340" w:type="pct"/>
          </w:tcPr>
          <w:p w14:paraId="30CBF2E4" w14:textId="77777777" w:rsidR="00CD6352" w:rsidRPr="000706BC" w:rsidRDefault="00CD6352" w:rsidP="00CD6352">
            <w:pPr>
              <w:rPr>
                <w:rFonts w:ascii="Arial" w:hAnsi="Arial" w:cs="Arial"/>
                <w:sz w:val="16"/>
                <w:szCs w:val="16"/>
              </w:rPr>
            </w:pPr>
            <w:r w:rsidRPr="000706BC">
              <w:rPr>
                <w:rFonts w:ascii="Arial" w:hAnsi="Arial" w:cs="Arial"/>
                <w:sz w:val="16"/>
                <w:szCs w:val="16"/>
              </w:rPr>
              <w:t>20</w:t>
            </w:r>
          </w:p>
        </w:tc>
        <w:tc>
          <w:tcPr>
            <w:tcW w:w="324" w:type="pct"/>
            <w:gridSpan w:val="2"/>
          </w:tcPr>
          <w:p w14:paraId="1B31E66D" w14:textId="77777777" w:rsidR="00CD6352" w:rsidRPr="000706BC" w:rsidRDefault="00CD6352" w:rsidP="00CD6352">
            <w:pPr>
              <w:rPr>
                <w:rFonts w:ascii="Arial" w:hAnsi="Arial" w:cs="Arial"/>
                <w:sz w:val="16"/>
                <w:szCs w:val="16"/>
              </w:rPr>
            </w:pPr>
            <w:r w:rsidRPr="000706BC">
              <w:rPr>
                <w:rFonts w:ascii="Arial" w:hAnsi="Arial" w:cs="Arial"/>
                <w:sz w:val="16"/>
                <w:szCs w:val="16"/>
              </w:rPr>
              <w:t>3.20</w:t>
            </w:r>
          </w:p>
        </w:tc>
        <w:tc>
          <w:tcPr>
            <w:tcW w:w="323" w:type="pct"/>
          </w:tcPr>
          <w:p w14:paraId="6461B604" w14:textId="77777777" w:rsidR="00CD6352" w:rsidRPr="000706BC" w:rsidRDefault="00CD6352" w:rsidP="00CD6352">
            <w:pPr>
              <w:rPr>
                <w:rFonts w:ascii="Arial" w:hAnsi="Arial" w:cs="Arial"/>
                <w:sz w:val="16"/>
                <w:szCs w:val="16"/>
              </w:rPr>
            </w:pPr>
            <w:r w:rsidRPr="000706BC">
              <w:rPr>
                <w:rFonts w:ascii="Arial" w:hAnsi="Arial" w:cs="Arial"/>
                <w:sz w:val="16"/>
                <w:szCs w:val="16"/>
              </w:rPr>
              <w:t>19</w:t>
            </w:r>
          </w:p>
        </w:tc>
        <w:tc>
          <w:tcPr>
            <w:tcW w:w="324" w:type="pct"/>
            <w:gridSpan w:val="2"/>
          </w:tcPr>
          <w:p w14:paraId="1390B02A" w14:textId="77777777" w:rsidR="00CD6352" w:rsidRPr="000706BC" w:rsidRDefault="00CD6352" w:rsidP="00CD6352">
            <w:pPr>
              <w:rPr>
                <w:rFonts w:ascii="Arial" w:hAnsi="Arial" w:cs="Arial"/>
                <w:sz w:val="16"/>
                <w:szCs w:val="16"/>
              </w:rPr>
            </w:pPr>
            <w:r w:rsidRPr="000706BC">
              <w:rPr>
                <w:rFonts w:ascii="Arial" w:hAnsi="Arial" w:cs="Arial"/>
                <w:sz w:val="16"/>
                <w:szCs w:val="16"/>
              </w:rPr>
              <w:t>2.83</w:t>
            </w:r>
          </w:p>
        </w:tc>
        <w:tc>
          <w:tcPr>
            <w:tcW w:w="326" w:type="pct"/>
          </w:tcPr>
          <w:p w14:paraId="30C306A3" w14:textId="77777777" w:rsidR="00CD6352" w:rsidRPr="000706BC" w:rsidRDefault="00CD6352" w:rsidP="00CD6352">
            <w:pPr>
              <w:rPr>
                <w:rFonts w:ascii="Arial" w:hAnsi="Arial" w:cs="Arial"/>
                <w:sz w:val="16"/>
                <w:szCs w:val="16"/>
              </w:rPr>
            </w:pPr>
            <w:r w:rsidRPr="000706BC">
              <w:rPr>
                <w:rFonts w:ascii="Arial" w:hAnsi="Arial" w:cs="Arial"/>
                <w:sz w:val="16"/>
                <w:szCs w:val="16"/>
              </w:rPr>
              <w:t>9</w:t>
            </w:r>
          </w:p>
        </w:tc>
        <w:tc>
          <w:tcPr>
            <w:tcW w:w="324" w:type="pct"/>
            <w:gridSpan w:val="2"/>
          </w:tcPr>
          <w:p w14:paraId="44E26AB7" w14:textId="77777777" w:rsidR="00CD6352" w:rsidRPr="000706BC" w:rsidRDefault="00CD6352" w:rsidP="00CD6352">
            <w:pPr>
              <w:rPr>
                <w:rFonts w:ascii="Arial" w:hAnsi="Arial" w:cs="Arial"/>
                <w:sz w:val="16"/>
                <w:szCs w:val="16"/>
              </w:rPr>
            </w:pPr>
            <w:r w:rsidRPr="000706BC">
              <w:rPr>
                <w:rFonts w:ascii="Arial" w:hAnsi="Arial" w:cs="Arial"/>
                <w:sz w:val="16"/>
                <w:szCs w:val="16"/>
              </w:rPr>
              <w:t>3.27</w:t>
            </w:r>
          </w:p>
        </w:tc>
        <w:tc>
          <w:tcPr>
            <w:tcW w:w="310" w:type="pct"/>
          </w:tcPr>
          <w:p w14:paraId="3D24BD9B" w14:textId="77777777" w:rsidR="00CD6352" w:rsidRPr="000706BC" w:rsidRDefault="00CD6352" w:rsidP="00CD6352">
            <w:pPr>
              <w:rPr>
                <w:rFonts w:ascii="Arial" w:hAnsi="Arial" w:cs="Arial"/>
                <w:sz w:val="16"/>
                <w:szCs w:val="16"/>
              </w:rPr>
            </w:pPr>
            <w:r w:rsidRPr="000706BC">
              <w:rPr>
                <w:rFonts w:ascii="Arial" w:hAnsi="Arial" w:cs="Arial"/>
                <w:sz w:val="16"/>
                <w:szCs w:val="16"/>
              </w:rPr>
              <w:t>20</w:t>
            </w:r>
          </w:p>
        </w:tc>
        <w:tc>
          <w:tcPr>
            <w:tcW w:w="324" w:type="pct"/>
          </w:tcPr>
          <w:p w14:paraId="458AB5F4" w14:textId="77777777" w:rsidR="00CD6352" w:rsidRPr="000706BC" w:rsidRDefault="00CD6352" w:rsidP="00CD6352">
            <w:pPr>
              <w:rPr>
                <w:rFonts w:ascii="Arial" w:hAnsi="Arial" w:cs="Arial"/>
                <w:sz w:val="16"/>
                <w:szCs w:val="16"/>
              </w:rPr>
            </w:pPr>
            <w:r w:rsidRPr="000706BC">
              <w:rPr>
                <w:rFonts w:ascii="Arial" w:hAnsi="Arial" w:cs="Arial"/>
                <w:sz w:val="16"/>
                <w:szCs w:val="16"/>
              </w:rPr>
              <w:t>3.48</w:t>
            </w:r>
          </w:p>
        </w:tc>
        <w:tc>
          <w:tcPr>
            <w:tcW w:w="310" w:type="pct"/>
          </w:tcPr>
          <w:p w14:paraId="757338E4" w14:textId="77777777" w:rsidR="00CD6352" w:rsidRPr="000706BC" w:rsidRDefault="00CD6352" w:rsidP="00CD6352">
            <w:pPr>
              <w:rPr>
                <w:rFonts w:ascii="Arial" w:hAnsi="Arial" w:cs="Arial"/>
                <w:sz w:val="16"/>
                <w:szCs w:val="16"/>
              </w:rPr>
            </w:pPr>
            <w:r w:rsidRPr="000706BC">
              <w:rPr>
                <w:rFonts w:ascii="Arial" w:hAnsi="Arial" w:cs="Arial"/>
                <w:sz w:val="16"/>
                <w:szCs w:val="16"/>
              </w:rPr>
              <w:t>20</w:t>
            </w:r>
          </w:p>
        </w:tc>
        <w:tc>
          <w:tcPr>
            <w:tcW w:w="324" w:type="pct"/>
            <w:gridSpan w:val="2"/>
          </w:tcPr>
          <w:p w14:paraId="605A6834" w14:textId="77777777" w:rsidR="00CD6352" w:rsidRPr="000706BC" w:rsidRDefault="00CD6352" w:rsidP="00CD6352">
            <w:pPr>
              <w:rPr>
                <w:rFonts w:ascii="Arial" w:hAnsi="Arial" w:cs="Arial"/>
                <w:sz w:val="16"/>
                <w:szCs w:val="16"/>
              </w:rPr>
            </w:pPr>
            <w:r w:rsidRPr="000706BC">
              <w:rPr>
                <w:rFonts w:ascii="Arial" w:hAnsi="Arial" w:cs="Arial"/>
                <w:sz w:val="16"/>
                <w:szCs w:val="16"/>
              </w:rPr>
              <w:t>3.44</w:t>
            </w:r>
          </w:p>
        </w:tc>
        <w:tc>
          <w:tcPr>
            <w:tcW w:w="310" w:type="pct"/>
          </w:tcPr>
          <w:p w14:paraId="075C89F5" w14:textId="77777777" w:rsidR="00CD6352" w:rsidRPr="000706BC" w:rsidRDefault="00CD6352" w:rsidP="00CD6352">
            <w:pPr>
              <w:rPr>
                <w:rFonts w:ascii="Arial" w:hAnsi="Arial" w:cs="Arial"/>
                <w:sz w:val="16"/>
                <w:szCs w:val="16"/>
              </w:rPr>
            </w:pPr>
            <w:r w:rsidRPr="000706BC">
              <w:rPr>
                <w:rFonts w:ascii="Arial" w:hAnsi="Arial" w:cs="Arial"/>
                <w:sz w:val="16"/>
                <w:szCs w:val="16"/>
              </w:rPr>
              <w:t>20</w:t>
            </w:r>
          </w:p>
        </w:tc>
      </w:tr>
      <w:tr w:rsidR="00CD6352" w:rsidRPr="000706BC" w14:paraId="7CADCE81" w14:textId="77777777" w:rsidTr="0076450C">
        <w:trPr>
          <w:gridAfter w:val="1"/>
          <w:wAfter w:w="8" w:type="pct"/>
          <w:trHeight w:val="697"/>
        </w:trPr>
        <w:tc>
          <w:tcPr>
            <w:tcW w:w="1093" w:type="pct"/>
          </w:tcPr>
          <w:p w14:paraId="1F764C0F" w14:textId="77777777" w:rsidR="00CD6352" w:rsidRPr="000706BC" w:rsidRDefault="00CD6352" w:rsidP="00CD6352">
            <w:pPr>
              <w:rPr>
                <w:rFonts w:ascii="Arial" w:hAnsi="Arial" w:cs="Arial"/>
                <w:sz w:val="16"/>
                <w:szCs w:val="16"/>
              </w:rPr>
            </w:pPr>
            <w:r w:rsidRPr="000706BC">
              <w:rPr>
                <w:rFonts w:ascii="Arial" w:hAnsi="Arial" w:cs="Arial"/>
                <w:sz w:val="16"/>
                <w:szCs w:val="16"/>
              </w:rPr>
              <w:t>Stable macro-economic environment</w:t>
            </w:r>
          </w:p>
        </w:tc>
        <w:tc>
          <w:tcPr>
            <w:tcW w:w="361" w:type="pct"/>
          </w:tcPr>
          <w:p w14:paraId="1850A256" w14:textId="77777777" w:rsidR="00CD6352" w:rsidRPr="000706BC" w:rsidRDefault="00CD6352" w:rsidP="00CD6352">
            <w:pPr>
              <w:rPr>
                <w:rFonts w:ascii="Arial" w:hAnsi="Arial" w:cs="Arial"/>
                <w:sz w:val="16"/>
                <w:szCs w:val="16"/>
              </w:rPr>
            </w:pPr>
            <w:r w:rsidRPr="000706BC">
              <w:rPr>
                <w:rFonts w:ascii="Arial" w:hAnsi="Arial" w:cs="Arial"/>
                <w:sz w:val="16"/>
                <w:szCs w:val="16"/>
              </w:rPr>
              <w:t>4.67</w:t>
            </w:r>
          </w:p>
        </w:tc>
        <w:tc>
          <w:tcPr>
            <w:tcW w:w="340" w:type="pct"/>
          </w:tcPr>
          <w:p w14:paraId="68706A46" w14:textId="77777777" w:rsidR="00CD6352" w:rsidRPr="000706BC" w:rsidRDefault="00CD6352" w:rsidP="00CD6352">
            <w:pPr>
              <w:rPr>
                <w:rFonts w:ascii="Arial" w:hAnsi="Arial" w:cs="Arial"/>
                <w:sz w:val="16"/>
                <w:szCs w:val="16"/>
              </w:rPr>
            </w:pPr>
            <w:r w:rsidRPr="000706BC">
              <w:rPr>
                <w:rFonts w:ascii="Arial" w:hAnsi="Arial" w:cs="Arial"/>
                <w:sz w:val="16"/>
                <w:szCs w:val="16"/>
              </w:rPr>
              <w:t>4</w:t>
            </w:r>
          </w:p>
        </w:tc>
        <w:tc>
          <w:tcPr>
            <w:tcW w:w="324" w:type="pct"/>
            <w:gridSpan w:val="2"/>
          </w:tcPr>
          <w:p w14:paraId="3BA9DFA3" w14:textId="77777777" w:rsidR="00CD6352" w:rsidRPr="000706BC" w:rsidRDefault="00CD6352" w:rsidP="00CD6352">
            <w:pPr>
              <w:rPr>
                <w:rFonts w:ascii="Arial" w:hAnsi="Arial" w:cs="Arial"/>
                <w:sz w:val="16"/>
                <w:szCs w:val="16"/>
              </w:rPr>
            </w:pPr>
            <w:r w:rsidRPr="000706BC">
              <w:rPr>
                <w:rFonts w:ascii="Arial" w:hAnsi="Arial" w:cs="Arial"/>
                <w:sz w:val="16"/>
                <w:szCs w:val="16"/>
              </w:rPr>
              <w:t>3.70</w:t>
            </w:r>
          </w:p>
        </w:tc>
        <w:tc>
          <w:tcPr>
            <w:tcW w:w="323" w:type="pct"/>
          </w:tcPr>
          <w:p w14:paraId="7EF552BE" w14:textId="77777777" w:rsidR="00CD6352" w:rsidRPr="000706BC" w:rsidRDefault="00CD6352" w:rsidP="00CD6352">
            <w:pPr>
              <w:rPr>
                <w:rFonts w:ascii="Arial" w:hAnsi="Arial" w:cs="Arial"/>
                <w:sz w:val="16"/>
                <w:szCs w:val="16"/>
              </w:rPr>
            </w:pPr>
            <w:r w:rsidRPr="000706BC">
              <w:rPr>
                <w:rFonts w:ascii="Arial" w:hAnsi="Arial" w:cs="Arial"/>
                <w:sz w:val="16"/>
                <w:szCs w:val="16"/>
              </w:rPr>
              <w:t>11</w:t>
            </w:r>
          </w:p>
        </w:tc>
        <w:tc>
          <w:tcPr>
            <w:tcW w:w="324" w:type="pct"/>
            <w:gridSpan w:val="2"/>
          </w:tcPr>
          <w:p w14:paraId="24743DC2" w14:textId="77777777" w:rsidR="00CD6352" w:rsidRPr="000706BC" w:rsidRDefault="00CD6352" w:rsidP="00CD6352">
            <w:pPr>
              <w:rPr>
                <w:rFonts w:ascii="Arial" w:hAnsi="Arial" w:cs="Arial"/>
                <w:sz w:val="16"/>
                <w:szCs w:val="16"/>
              </w:rPr>
            </w:pPr>
            <w:r w:rsidRPr="000706BC">
              <w:rPr>
                <w:rFonts w:ascii="Arial" w:hAnsi="Arial" w:cs="Arial"/>
                <w:sz w:val="16"/>
                <w:szCs w:val="16"/>
              </w:rPr>
              <w:t>3.83</w:t>
            </w:r>
          </w:p>
        </w:tc>
        <w:tc>
          <w:tcPr>
            <w:tcW w:w="326" w:type="pct"/>
          </w:tcPr>
          <w:p w14:paraId="1A720356" w14:textId="77777777" w:rsidR="00CD6352" w:rsidRPr="000706BC" w:rsidRDefault="00CD6352" w:rsidP="00CD6352">
            <w:pPr>
              <w:rPr>
                <w:rFonts w:ascii="Arial" w:hAnsi="Arial" w:cs="Arial"/>
                <w:sz w:val="16"/>
                <w:szCs w:val="16"/>
              </w:rPr>
            </w:pPr>
            <w:r w:rsidRPr="000706BC">
              <w:rPr>
                <w:rFonts w:ascii="Arial" w:hAnsi="Arial" w:cs="Arial"/>
                <w:sz w:val="16"/>
                <w:szCs w:val="16"/>
              </w:rPr>
              <w:t>10</w:t>
            </w:r>
          </w:p>
        </w:tc>
        <w:tc>
          <w:tcPr>
            <w:tcW w:w="324" w:type="pct"/>
            <w:gridSpan w:val="2"/>
          </w:tcPr>
          <w:p w14:paraId="22F6B523" w14:textId="77777777" w:rsidR="00CD6352" w:rsidRPr="000706BC" w:rsidRDefault="00CD6352" w:rsidP="00CD6352">
            <w:pPr>
              <w:rPr>
                <w:rFonts w:ascii="Arial" w:hAnsi="Arial" w:cs="Arial"/>
                <w:sz w:val="16"/>
                <w:szCs w:val="16"/>
              </w:rPr>
            </w:pPr>
            <w:r w:rsidRPr="000706BC">
              <w:rPr>
                <w:rFonts w:ascii="Arial" w:hAnsi="Arial" w:cs="Arial"/>
                <w:sz w:val="16"/>
                <w:szCs w:val="16"/>
              </w:rPr>
              <w:t>3.82</w:t>
            </w:r>
          </w:p>
        </w:tc>
        <w:tc>
          <w:tcPr>
            <w:tcW w:w="310" w:type="pct"/>
          </w:tcPr>
          <w:p w14:paraId="6D8FD0B6" w14:textId="77777777" w:rsidR="00CD6352" w:rsidRPr="000706BC" w:rsidRDefault="00CD6352" w:rsidP="00CD6352">
            <w:pPr>
              <w:rPr>
                <w:rFonts w:ascii="Arial" w:hAnsi="Arial" w:cs="Arial"/>
                <w:sz w:val="16"/>
                <w:szCs w:val="16"/>
              </w:rPr>
            </w:pPr>
            <w:r w:rsidRPr="000706BC">
              <w:rPr>
                <w:rFonts w:ascii="Arial" w:hAnsi="Arial" w:cs="Arial"/>
                <w:sz w:val="16"/>
                <w:szCs w:val="16"/>
              </w:rPr>
              <w:t>18</w:t>
            </w:r>
          </w:p>
        </w:tc>
        <w:tc>
          <w:tcPr>
            <w:tcW w:w="324" w:type="pct"/>
          </w:tcPr>
          <w:p w14:paraId="4146BD85" w14:textId="77777777" w:rsidR="00CD6352" w:rsidRPr="000706BC" w:rsidRDefault="00CD6352" w:rsidP="00CD6352">
            <w:pPr>
              <w:rPr>
                <w:rFonts w:ascii="Arial" w:hAnsi="Arial" w:cs="Arial"/>
                <w:sz w:val="16"/>
                <w:szCs w:val="16"/>
              </w:rPr>
            </w:pPr>
            <w:r w:rsidRPr="000706BC">
              <w:rPr>
                <w:rFonts w:ascii="Arial" w:hAnsi="Arial" w:cs="Arial"/>
                <w:sz w:val="16"/>
                <w:szCs w:val="16"/>
              </w:rPr>
              <w:t>3.78</w:t>
            </w:r>
          </w:p>
        </w:tc>
        <w:tc>
          <w:tcPr>
            <w:tcW w:w="310" w:type="pct"/>
          </w:tcPr>
          <w:p w14:paraId="51E16444" w14:textId="77777777" w:rsidR="00CD6352" w:rsidRPr="000706BC" w:rsidRDefault="00CD6352" w:rsidP="00CD6352">
            <w:pPr>
              <w:rPr>
                <w:rFonts w:ascii="Arial" w:hAnsi="Arial" w:cs="Arial"/>
                <w:sz w:val="16"/>
                <w:szCs w:val="16"/>
              </w:rPr>
            </w:pPr>
            <w:r w:rsidRPr="000706BC">
              <w:rPr>
                <w:rFonts w:ascii="Arial" w:hAnsi="Arial" w:cs="Arial"/>
                <w:sz w:val="16"/>
                <w:szCs w:val="16"/>
              </w:rPr>
              <w:t>10</w:t>
            </w:r>
          </w:p>
        </w:tc>
        <w:tc>
          <w:tcPr>
            <w:tcW w:w="324" w:type="pct"/>
            <w:gridSpan w:val="2"/>
          </w:tcPr>
          <w:p w14:paraId="4ED07372"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10" w:type="pct"/>
          </w:tcPr>
          <w:p w14:paraId="2DE9C816" w14:textId="77777777" w:rsidR="00CD6352" w:rsidRPr="000706BC" w:rsidRDefault="00CD6352" w:rsidP="00CD6352">
            <w:pPr>
              <w:rPr>
                <w:rFonts w:ascii="Arial" w:hAnsi="Arial" w:cs="Arial"/>
                <w:sz w:val="16"/>
                <w:szCs w:val="16"/>
              </w:rPr>
            </w:pPr>
            <w:r w:rsidRPr="000706BC">
              <w:rPr>
                <w:rFonts w:ascii="Arial" w:hAnsi="Arial" w:cs="Arial"/>
                <w:sz w:val="16"/>
                <w:szCs w:val="16"/>
              </w:rPr>
              <w:t>16</w:t>
            </w:r>
          </w:p>
        </w:tc>
      </w:tr>
      <w:tr w:rsidR="00CD6352" w:rsidRPr="000706BC" w14:paraId="198896AC" w14:textId="77777777" w:rsidTr="0076450C">
        <w:trPr>
          <w:gridAfter w:val="1"/>
          <w:wAfter w:w="8" w:type="pct"/>
          <w:trHeight w:val="167"/>
        </w:trPr>
        <w:tc>
          <w:tcPr>
            <w:tcW w:w="1093" w:type="pct"/>
          </w:tcPr>
          <w:p w14:paraId="32D814E3" w14:textId="77777777" w:rsidR="00CD6352" w:rsidRPr="000706BC" w:rsidRDefault="00CD6352" w:rsidP="00CD6352">
            <w:pPr>
              <w:rPr>
                <w:rFonts w:ascii="Arial" w:hAnsi="Arial" w:cs="Arial"/>
                <w:sz w:val="16"/>
                <w:szCs w:val="16"/>
              </w:rPr>
            </w:pPr>
            <w:r w:rsidRPr="000706BC">
              <w:rPr>
                <w:rFonts w:ascii="Arial" w:hAnsi="Arial" w:cs="Arial"/>
                <w:sz w:val="16"/>
                <w:szCs w:val="16"/>
              </w:rPr>
              <w:t>Stable political and social environment</w:t>
            </w:r>
          </w:p>
        </w:tc>
        <w:tc>
          <w:tcPr>
            <w:tcW w:w="361" w:type="pct"/>
          </w:tcPr>
          <w:p w14:paraId="26A62334"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40" w:type="pct"/>
          </w:tcPr>
          <w:p w14:paraId="4EA15A75" w14:textId="77777777" w:rsidR="00CD6352" w:rsidRPr="000706BC" w:rsidRDefault="00CD6352" w:rsidP="00CD6352">
            <w:pPr>
              <w:rPr>
                <w:rFonts w:ascii="Arial" w:hAnsi="Arial" w:cs="Arial"/>
                <w:sz w:val="16"/>
                <w:szCs w:val="16"/>
              </w:rPr>
            </w:pPr>
            <w:r w:rsidRPr="000706BC">
              <w:rPr>
                <w:rFonts w:ascii="Arial" w:hAnsi="Arial" w:cs="Arial"/>
                <w:sz w:val="16"/>
                <w:szCs w:val="16"/>
              </w:rPr>
              <w:t>7</w:t>
            </w:r>
          </w:p>
        </w:tc>
        <w:tc>
          <w:tcPr>
            <w:tcW w:w="324" w:type="pct"/>
            <w:gridSpan w:val="2"/>
          </w:tcPr>
          <w:p w14:paraId="1F1808CE" w14:textId="77777777" w:rsidR="00CD6352" w:rsidRPr="000706BC" w:rsidRDefault="00CD6352" w:rsidP="00CD6352">
            <w:pPr>
              <w:rPr>
                <w:rFonts w:ascii="Arial" w:hAnsi="Arial" w:cs="Arial"/>
                <w:sz w:val="16"/>
                <w:szCs w:val="16"/>
              </w:rPr>
            </w:pPr>
            <w:r w:rsidRPr="000706BC">
              <w:rPr>
                <w:rFonts w:ascii="Arial" w:hAnsi="Arial" w:cs="Arial"/>
                <w:sz w:val="16"/>
                <w:szCs w:val="16"/>
              </w:rPr>
              <w:t>3.60</w:t>
            </w:r>
          </w:p>
        </w:tc>
        <w:tc>
          <w:tcPr>
            <w:tcW w:w="323" w:type="pct"/>
          </w:tcPr>
          <w:p w14:paraId="7816998E" w14:textId="77777777" w:rsidR="00CD6352" w:rsidRPr="000706BC" w:rsidRDefault="00CD6352" w:rsidP="00CD6352">
            <w:pPr>
              <w:rPr>
                <w:rFonts w:ascii="Arial" w:hAnsi="Arial" w:cs="Arial"/>
                <w:sz w:val="16"/>
                <w:szCs w:val="16"/>
              </w:rPr>
            </w:pPr>
            <w:r w:rsidRPr="000706BC">
              <w:rPr>
                <w:rFonts w:ascii="Arial" w:hAnsi="Arial" w:cs="Arial"/>
                <w:sz w:val="16"/>
                <w:szCs w:val="16"/>
              </w:rPr>
              <w:t>12</w:t>
            </w:r>
          </w:p>
        </w:tc>
        <w:tc>
          <w:tcPr>
            <w:tcW w:w="324" w:type="pct"/>
            <w:gridSpan w:val="2"/>
          </w:tcPr>
          <w:p w14:paraId="160DCACF" w14:textId="77777777" w:rsidR="00CD6352" w:rsidRPr="000706BC" w:rsidRDefault="00CD6352" w:rsidP="00CD6352">
            <w:pPr>
              <w:rPr>
                <w:rFonts w:ascii="Arial" w:hAnsi="Arial" w:cs="Arial"/>
                <w:sz w:val="16"/>
                <w:szCs w:val="16"/>
              </w:rPr>
            </w:pPr>
            <w:r w:rsidRPr="000706BC">
              <w:rPr>
                <w:rFonts w:ascii="Arial" w:hAnsi="Arial" w:cs="Arial"/>
                <w:sz w:val="16"/>
                <w:szCs w:val="16"/>
              </w:rPr>
              <w:t>3.83</w:t>
            </w:r>
          </w:p>
        </w:tc>
        <w:tc>
          <w:tcPr>
            <w:tcW w:w="326" w:type="pct"/>
          </w:tcPr>
          <w:p w14:paraId="2A2A222B" w14:textId="77777777" w:rsidR="00CD6352" w:rsidRPr="000706BC" w:rsidRDefault="00CD6352" w:rsidP="00CD6352">
            <w:pPr>
              <w:rPr>
                <w:rFonts w:ascii="Arial" w:hAnsi="Arial" w:cs="Arial"/>
                <w:sz w:val="16"/>
                <w:szCs w:val="16"/>
              </w:rPr>
            </w:pPr>
            <w:r w:rsidRPr="000706BC">
              <w:rPr>
                <w:rFonts w:ascii="Arial" w:hAnsi="Arial" w:cs="Arial"/>
                <w:sz w:val="16"/>
                <w:szCs w:val="16"/>
              </w:rPr>
              <w:t>11</w:t>
            </w:r>
          </w:p>
        </w:tc>
        <w:tc>
          <w:tcPr>
            <w:tcW w:w="324" w:type="pct"/>
            <w:gridSpan w:val="2"/>
          </w:tcPr>
          <w:p w14:paraId="2D6DA397" w14:textId="77777777" w:rsidR="00CD6352" w:rsidRPr="000706BC" w:rsidRDefault="00CD6352" w:rsidP="00CD6352">
            <w:pPr>
              <w:rPr>
                <w:rFonts w:ascii="Arial" w:hAnsi="Arial" w:cs="Arial"/>
                <w:sz w:val="16"/>
                <w:szCs w:val="16"/>
              </w:rPr>
            </w:pPr>
            <w:r w:rsidRPr="000706BC">
              <w:rPr>
                <w:rFonts w:ascii="Arial" w:hAnsi="Arial" w:cs="Arial"/>
                <w:sz w:val="16"/>
                <w:szCs w:val="16"/>
              </w:rPr>
              <w:t>3.91</w:t>
            </w:r>
          </w:p>
        </w:tc>
        <w:tc>
          <w:tcPr>
            <w:tcW w:w="310" w:type="pct"/>
          </w:tcPr>
          <w:p w14:paraId="622994C5" w14:textId="77777777" w:rsidR="00CD6352" w:rsidRPr="000706BC" w:rsidRDefault="00CD6352" w:rsidP="00CD6352">
            <w:pPr>
              <w:rPr>
                <w:rFonts w:ascii="Arial" w:hAnsi="Arial" w:cs="Arial"/>
                <w:sz w:val="16"/>
                <w:szCs w:val="16"/>
              </w:rPr>
            </w:pPr>
            <w:r w:rsidRPr="000706BC">
              <w:rPr>
                <w:rFonts w:ascii="Arial" w:hAnsi="Arial" w:cs="Arial"/>
                <w:sz w:val="16"/>
                <w:szCs w:val="16"/>
              </w:rPr>
              <w:t>16</w:t>
            </w:r>
          </w:p>
        </w:tc>
        <w:tc>
          <w:tcPr>
            <w:tcW w:w="324" w:type="pct"/>
          </w:tcPr>
          <w:p w14:paraId="703D3D41" w14:textId="77777777" w:rsidR="00CD6352" w:rsidRPr="000706BC" w:rsidRDefault="00CD6352" w:rsidP="00CD6352">
            <w:pPr>
              <w:rPr>
                <w:rFonts w:ascii="Arial" w:hAnsi="Arial" w:cs="Arial"/>
                <w:sz w:val="16"/>
                <w:szCs w:val="16"/>
              </w:rPr>
            </w:pPr>
            <w:r w:rsidRPr="000706BC">
              <w:rPr>
                <w:rFonts w:ascii="Arial" w:hAnsi="Arial" w:cs="Arial"/>
                <w:sz w:val="16"/>
                <w:szCs w:val="16"/>
              </w:rPr>
              <w:t>3.74</w:t>
            </w:r>
          </w:p>
        </w:tc>
        <w:tc>
          <w:tcPr>
            <w:tcW w:w="310" w:type="pct"/>
          </w:tcPr>
          <w:p w14:paraId="7863D1D5" w14:textId="77777777" w:rsidR="00CD6352" w:rsidRPr="000706BC" w:rsidRDefault="00CD6352" w:rsidP="00CD6352">
            <w:pPr>
              <w:rPr>
                <w:rFonts w:ascii="Arial" w:hAnsi="Arial" w:cs="Arial"/>
                <w:sz w:val="16"/>
                <w:szCs w:val="16"/>
              </w:rPr>
            </w:pPr>
            <w:r w:rsidRPr="000706BC">
              <w:rPr>
                <w:rFonts w:ascii="Arial" w:hAnsi="Arial" w:cs="Arial"/>
                <w:sz w:val="16"/>
                <w:szCs w:val="16"/>
              </w:rPr>
              <w:t>14</w:t>
            </w:r>
          </w:p>
        </w:tc>
        <w:tc>
          <w:tcPr>
            <w:tcW w:w="324" w:type="pct"/>
            <w:gridSpan w:val="2"/>
          </w:tcPr>
          <w:p w14:paraId="2875D5E3" w14:textId="77777777" w:rsidR="00CD6352" w:rsidRPr="000706BC" w:rsidRDefault="00CD6352" w:rsidP="00CD6352">
            <w:pPr>
              <w:rPr>
                <w:rFonts w:ascii="Arial" w:hAnsi="Arial" w:cs="Arial"/>
                <w:sz w:val="16"/>
                <w:szCs w:val="16"/>
              </w:rPr>
            </w:pPr>
            <w:r w:rsidRPr="000706BC">
              <w:rPr>
                <w:rFonts w:ascii="Arial" w:hAnsi="Arial" w:cs="Arial"/>
                <w:sz w:val="16"/>
                <w:szCs w:val="16"/>
              </w:rPr>
              <w:t>3.78</w:t>
            </w:r>
          </w:p>
        </w:tc>
        <w:tc>
          <w:tcPr>
            <w:tcW w:w="310" w:type="pct"/>
          </w:tcPr>
          <w:p w14:paraId="4B9B2288" w14:textId="77777777" w:rsidR="00CD6352" w:rsidRPr="000706BC" w:rsidRDefault="00CD6352" w:rsidP="00CD6352">
            <w:pPr>
              <w:rPr>
                <w:rFonts w:ascii="Arial" w:hAnsi="Arial" w:cs="Arial"/>
                <w:sz w:val="16"/>
                <w:szCs w:val="16"/>
              </w:rPr>
            </w:pPr>
            <w:r w:rsidRPr="000706BC">
              <w:rPr>
                <w:rFonts w:ascii="Arial" w:hAnsi="Arial" w:cs="Arial"/>
                <w:sz w:val="16"/>
                <w:szCs w:val="16"/>
              </w:rPr>
              <w:t>19</w:t>
            </w:r>
          </w:p>
        </w:tc>
      </w:tr>
      <w:tr w:rsidR="00CD6352" w:rsidRPr="000706BC" w14:paraId="7CF31BF7" w14:textId="77777777" w:rsidTr="0076450C">
        <w:trPr>
          <w:gridAfter w:val="1"/>
          <w:wAfter w:w="8" w:type="pct"/>
          <w:trHeight w:val="519"/>
        </w:trPr>
        <w:tc>
          <w:tcPr>
            <w:tcW w:w="1093" w:type="pct"/>
          </w:tcPr>
          <w:p w14:paraId="2809011A" w14:textId="77777777" w:rsidR="00CD6352" w:rsidRPr="000706BC" w:rsidRDefault="00CD6352" w:rsidP="00CD6352">
            <w:pPr>
              <w:rPr>
                <w:rFonts w:ascii="Arial" w:hAnsi="Arial" w:cs="Arial"/>
                <w:sz w:val="16"/>
                <w:szCs w:val="16"/>
              </w:rPr>
            </w:pPr>
            <w:r w:rsidRPr="000706BC">
              <w:rPr>
                <w:rFonts w:ascii="Arial" w:hAnsi="Arial" w:cs="Arial"/>
                <w:sz w:val="16"/>
                <w:szCs w:val="16"/>
              </w:rPr>
              <w:t>The expected debt-paying ability of the project</w:t>
            </w:r>
          </w:p>
        </w:tc>
        <w:tc>
          <w:tcPr>
            <w:tcW w:w="361" w:type="pct"/>
          </w:tcPr>
          <w:p w14:paraId="7C7C1A42" w14:textId="77777777" w:rsidR="00CD6352" w:rsidRPr="000706BC" w:rsidRDefault="00CD6352" w:rsidP="00CD6352">
            <w:pPr>
              <w:rPr>
                <w:rFonts w:ascii="Arial" w:hAnsi="Arial" w:cs="Arial"/>
                <w:sz w:val="16"/>
                <w:szCs w:val="16"/>
              </w:rPr>
            </w:pPr>
            <w:r w:rsidRPr="000706BC">
              <w:rPr>
                <w:rFonts w:ascii="Arial" w:hAnsi="Arial" w:cs="Arial"/>
                <w:sz w:val="16"/>
                <w:szCs w:val="16"/>
              </w:rPr>
              <w:t>3.67</w:t>
            </w:r>
          </w:p>
        </w:tc>
        <w:tc>
          <w:tcPr>
            <w:tcW w:w="340" w:type="pct"/>
          </w:tcPr>
          <w:p w14:paraId="400851AF" w14:textId="77777777" w:rsidR="00CD6352" w:rsidRPr="000706BC" w:rsidRDefault="00CD6352" w:rsidP="00CD6352">
            <w:pPr>
              <w:rPr>
                <w:rFonts w:ascii="Arial" w:hAnsi="Arial" w:cs="Arial"/>
                <w:sz w:val="16"/>
                <w:szCs w:val="16"/>
              </w:rPr>
            </w:pPr>
            <w:r w:rsidRPr="000706BC">
              <w:rPr>
                <w:rFonts w:ascii="Arial" w:hAnsi="Arial" w:cs="Arial"/>
                <w:sz w:val="16"/>
                <w:szCs w:val="16"/>
              </w:rPr>
              <w:t>18</w:t>
            </w:r>
          </w:p>
        </w:tc>
        <w:tc>
          <w:tcPr>
            <w:tcW w:w="324" w:type="pct"/>
            <w:gridSpan w:val="2"/>
          </w:tcPr>
          <w:p w14:paraId="1A327C38" w14:textId="77777777" w:rsidR="00CD6352" w:rsidRPr="000706BC" w:rsidRDefault="00CD6352" w:rsidP="00CD6352">
            <w:pPr>
              <w:rPr>
                <w:rFonts w:ascii="Arial" w:hAnsi="Arial" w:cs="Arial"/>
                <w:sz w:val="16"/>
                <w:szCs w:val="16"/>
              </w:rPr>
            </w:pPr>
            <w:r w:rsidRPr="000706BC">
              <w:rPr>
                <w:rFonts w:ascii="Arial" w:hAnsi="Arial" w:cs="Arial"/>
                <w:sz w:val="16"/>
                <w:szCs w:val="16"/>
              </w:rPr>
              <w:t>3.60</w:t>
            </w:r>
          </w:p>
        </w:tc>
        <w:tc>
          <w:tcPr>
            <w:tcW w:w="323" w:type="pct"/>
          </w:tcPr>
          <w:p w14:paraId="1DD43B6D" w14:textId="77777777" w:rsidR="00CD6352" w:rsidRPr="000706BC" w:rsidRDefault="00CD6352" w:rsidP="00CD6352">
            <w:pPr>
              <w:rPr>
                <w:rFonts w:ascii="Arial" w:hAnsi="Arial" w:cs="Arial"/>
                <w:sz w:val="16"/>
                <w:szCs w:val="16"/>
              </w:rPr>
            </w:pPr>
            <w:r w:rsidRPr="000706BC">
              <w:rPr>
                <w:rFonts w:ascii="Arial" w:hAnsi="Arial" w:cs="Arial"/>
                <w:sz w:val="16"/>
                <w:szCs w:val="16"/>
              </w:rPr>
              <w:t>13</w:t>
            </w:r>
          </w:p>
        </w:tc>
        <w:tc>
          <w:tcPr>
            <w:tcW w:w="324" w:type="pct"/>
            <w:gridSpan w:val="2"/>
          </w:tcPr>
          <w:p w14:paraId="71F87838" w14:textId="77777777" w:rsidR="00CD6352" w:rsidRPr="000706BC" w:rsidRDefault="00CD6352" w:rsidP="00CD6352">
            <w:pPr>
              <w:rPr>
                <w:rFonts w:ascii="Arial" w:hAnsi="Arial" w:cs="Arial"/>
                <w:sz w:val="16"/>
                <w:szCs w:val="16"/>
              </w:rPr>
            </w:pPr>
            <w:r w:rsidRPr="000706BC">
              <w:rPr>
                <w:rFonts w:ascii="Arial" w:hAnsi="Arial" w:cs="Arial"/>
                <w:sz w:val="16"/>
                <w:szCs w:val="16"/>
              </w:rPr>
              <w:t>3.83</w:t>
            </w:r>
          </w:p>
        </w:tc>
        <w:tc>
          <w:tcPr>
            <w:tcW w:w="326" w:type="pct"/>
          </w:tcPr>
          <w:p w14:paraId="64290250" w14:textId="77777777" w:rsidR="00CD6352" w:rsidRPr="000706BC" w:rsidRDefault="00CD6352" w:rsidP="00CD6352">
            <w:pPr>
              <w:rPr>
                <w:rFonts w:ascii="Arial" w:hAnsi="Arial" w:cs="Arial"/>
                <w:sz w:val="16"/>
                <w:szCs w:val="16"/>
              </w:rPr>
            </w:pPr>
            <w:r w:rsidRPr="000706BC">
              <w:rPr>
                <w:rFonts w:ascii="Arial" w:hAnsi="Arial" w:cs="Arial"/>
                <w:sz w:val="16"/>
                <w:szCs w:val="16"/>
              </w:rPr>
              <w:t>13</w:t>
            </w:r>
          </w:p>
        </w:tc>
        <w:tc>
          <w:tcPr>
            <w:tcW w:w="324" w:type="pct"/>
            <w:gridSpan w:val="2"/>
          </w:tcPr>
          <w:p w14:paraId="144AAE93"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10" w:type="pct"/>
          </w:tcPr>
          <w:p w14:paraId="10180C61" w14:textId="77777777" w:rsidR="00CD6352" w:rsidRPr="000706BC" w:rsidRDefault="00CD6352" w:rsidP="00CD6352">
            <w:pPr>
              <w:rPr>
                <w:rFonts w:ascii="Arial" w:hAnsi="Arial" w:cs="Arial"/>
                <w:sz w:val="16"/>
                <w:szCs w:val="16"/>
              </w:rPr>
            </w:pPr>
            <w:r w:rsidRPr="000706BC">
              <w:rPr>
                <w:rFonts w:ascii="Arial" w:hAnsi="Arial" w:cs="Arial"/>
                <w:sz w:val="16"/>
                <w:szCs w:val="16"/>
              </w:rPr>
              <w:t>14</w:t>
            </w:r>
          </w:p>
        </w:tc>
        <w:tc>
          <w:tcPr>
            <w:tcW w:w="324" w:type="pct"/>
          </w:tcPr>
          <w:p w14:paraId="059FA9F4" w14:textId="77777777" w:rsidR="00CD6352" w:rsidRPr="000706BC" w:rsidRDefault="00CD6352" w:rsidP="00CD6352">
            <w:pPr>
              <w:rPr>
                <w:rFonts w:ascii="Arial" w:hAnsi="Arial" w:cs="Arial"/>
                <w:sz w:val="16"/>
                <w:szCs w:val="16"/>
              </w:rPr>
            </w:pPr>
            <w:r w:rsidRPr="000706BC">
              <w:rPr>
                <w:rFonts w:ascii="Arial" w:hAnsi="Arial" w:cs="Arial"/>
                <w:sz w:val="16"/>
                <w:szCs w:val="16"/>
              </w:rPr>
              <w:t>3.78</w:t>
            </w:r>
          </w:p>
        </w:tc>
        <w:tc>
          <w:tcPr>
            <w:tcW w:w="310" w:type="pct"/>
          </w:tcPr>
          <w:p w14:paraId="59479868" w14:textId="77777777" w:rsidR="00CD6352" w:rsidRPr="000706BC" w:rsidRDefault="00CD6352" w:rsidP="00CD6352">
            <w:pPr>
              <w:rPr>
                <w:rFonts w:ascii="Arial" w:hAnsi="Arial" w:cs="Arial"/>
                <w:sz w:val="16"/>
                <w:szCs w:val="16"/>
              </w:rPr>
            </w:pPr>
            <w:r w:rsidRPr="000706BC">
              <w:rPr>
                <w:rFonts w:ascii="Arial" w:hAnsi="Arial" w:cs="Arial"/>
                <w:sz w:val="16"/>
                <w:szCs w:val="16"/>
              </w:rPr>
              <w:t>11</w:t>
            </w:r>
          </w:p>
        </w:tc>
        <w:tc>
          <w:tcPr>
            <w:tcW w:w="324" w:type="pct"/>
            <w:gridSpan w:val="2"/>
          </w:tcPr>
          <w:p w14:paraId="2AAEB269" w14:textId="77777777" w:rsidR="00CD6352" w:rsidRPr="000706BC" w:rsidRDefault="00CD6352" w:rsidP="00CD6352">
            <w:pPr>
              <w:rPr>
                <w:rFonts w:ascii="Arial" w:hAnsi="Arial" w:cs="Arial"/>
                <w:sz w:val="16"/>
                <w:szCs w:val="16"/>
              </w:rPr>
            </w:pPr>
            <w:r w:rsidRPr="000706BC">
              <w:rPr>
                <w:rFonts w:ascii="Arial" w:hAnsi="Arial" w:cs="Arial"/>
                <w:sz w:val="16"/>
                <w:szCs w:val="16"/>
              </w:rPr>
              <w:t>4.56</w:t>
            </w:r>
          </w:p>
        </w:tc>
        <w:tc>
          <w:tcPr>
            <w:tcW w:w="310" w:type="pct"/>
          </w:tcPr>
          <w:p w14:paraId="0AFF3DD0" w14:textId="77777777" w:rsidR="00CD6352" w:rsidRPr="000706BC" w:rsidRDefault="00CD6352" w:rsidP="00CD6352">
            <w:pPr>
              <w:rPr>
                <w:rFonts w:ascii="Arial" w:hAnsi="Arial" w:cs="Arial"/>
                <w:sz w:val="16"/>
                <w:szCs w:val="16"/>
              </w:rPr>
            </w:pPr>
            <w:r w:rsidRPr="000706BC">
              <w:rPr>
                <w:rFonts w:ascii="Arial" w:hAnsi="Arial" w:cs="Arial"/>
                <w:sz w:val="16"/>
                <w:szCs w:val="16"/>
              </w:rPr>
              <w:t>4</w:t>
            </w:r>
          </w:p>
        </w:tc>
      </w:tr>
      <w:tr w:rsidR="00CD6352" w:rsidRPr="000706BC" w14:paraId="10FFC461" w14:textId="77777777" w:rsidTr="0076450C">
        <w:trPr>
          <w:gridAfter w:val="1"/>
          <w:wAfter w:w="8" w:type="pct"/>
          <w:trHeight w:val="615"/>
        </w:trPr>
        <w:tc>
          <w:tcPr>
            <w:tcW w:w="1093" w:type="pct"/>
            <w:tcBorders>
              <w:bottom w:val="dashSmallGap" w:sz="4" w:space="0" w:color="auto"/>
            </w:tcBorders>
          </w:tcPr>
          <w:p w14:paraId="1584D6E8" w14:textId="77777777" w:rsidR="00CD6352" w:rsidRPr="000706BC" w:rsidRDefault="00CD6352" w:rsidP="00CD6352">
            <w:pPr>
              <w:rPr>
                <w:rFonts w:ascii="Arial" w:hAnsi="Arial" w:cs="Arial"/>
                <w:sz w:val="16"/>
                <w:szCs w:val="16"/>
              </w:rPr>
            </w:pPr>
            <w:r w:rsidRPr="000706BC">
              <w:rPr>
                <w:rFonts w:ascii="Arial" w:hAnsi="Arial" w:cs="Arial"/>
                <w:sz w:val="16"/>
                <w:szCs w:val="16"/>
              </w:rPr>
              <w:t>The financial capacity of the organisation</w:t>
            </w:r>
          </w:p>
        </w:tc>
        <w:tc>
          <w:tcPr>
            <w:tcW w:w="361" w:type="pct"/>
            <w:tcBorders>
              <w:bottom w:val="dashSmallGap" w:sz="4" w:space="0" w:color="auto"/>
            </w:tcBorders>
          </w:tcPr>
          <w:p w14:paraId="243545A5"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40" w:type="pct"/>
            <w:tcBorders>
              <w:bottom w:val="dashSmallGap" w:sz="4" w:space="0" w:color="auto"/>
            </w:tcBorders>
          </w:tcPr>
          <w:p w14:paraId="2ABD89BC" w14:textId="77777777" w:rsidR="00CD6352" w:rsidRPr="000706BC" w:rsidRDefault="00CD6352" w:rsidP="00CD6352">
            <w:pPr>
              <w:rPr>
                <w:rFonts w:ascii="Arial" w:hAnsi="Arial" w:cs="Arial"/>
                <w:sz w:val="16"/>
                <w:szCs w:val="16"/>
              </w:rPr>
            </w:pPr>
            <w:r w:rsidRPr="000706BC">
              <w:rPr>
                <w:rFonts w:ascii="Arial" w:hAnsi="Arial" w:cs="Arial"/>
                <w:sz w:val="16"/>
                <w:szCs w:val="16"/>
              </w:rPr>
              <w:t>8</w:t>
            </w:r>
          </w:p>
        </w:tc>
        <w:tc>
          <w:tcPr>
            <w:tcW w:w="324" w:type="pct"/>
            <w:gridSpan w:val="2"/>
            <w:tcBorders>
              <w:bottom w:val="dashSmallGap" w:sz="4" w:space="0" w:color="auto"/>
            </w:tcBorders>
          </w:tcPr>
          <w:p w14:paraId="4459AD04"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23" w:type="pct"/>
            <w:tcBorders>
              <w:bottom w:val="dashSmallGap" w:sz="4" w:space="0" w:color="auto"/>
            </w:tcBorders>
          </w:tcPr>
          <w:p w14:paraId="3F4F4360" w14:textId="77777777" w:rsidR="00CD6352" w:rsidRPr="000706BC" w:rsidRDefault="00CD6352" w:rsidP="00CD6352">
            <w:pPr>
              <w:rPr>
                <w:rFonts w:ascii="Arial" w:hAnsi="Arial" w:cs="Arial"/>
                <w:sz w:val="16"/>
                <w:szCs w:val="16"/>
              </w:rPr>
            </w:pPr>
            <w:r w:rsidRPr="000706BC">
              <w:rPr>
                <w:rFonts w:ascii="Arial" w:hAnsi="Arial" w:cs="Arial"/>
                <w:sz w:val="16"/>
                <w:szCs w:val="16"/>
              </w:rPr>
              <w:t>4</w:t>
            </w:r>
          </w:p>
        </w:tc>
        <w:tc>
          <w:tcPr>
            <w:tcW w:w="324" w:type="pct"/>
            <w:gridSpan w:val="2"/>
            <w:tcBorders>
              <w:bottom w:val="dashSmallGap" w:sz="4" w:space="0" w:color="auto"/>
            </w:tcBorders>
          </w:tcPr>
          <w:p w14:paraId="5ED89A4E" w14:textId="77777777" w:rsidR="00CD6352" w:rsidRPr="000706BC" w:rsidRDefault="00CD6352" w:rsidP="00CD6352">
            <w:pPr>
              <w:rPr>
                <w:rFonts w:ascii="Arial" w:hAnsi="Arial" w:cs="Arial"/>
                <w:sz w:val="16"/>
                <w:szCs w:val="16"/>
              </w:rPr>
            </w:pPr>
            <w:r w:rsidRPr="000706BC">
              <w:rPr>
                <w:rFonts w:ascii="Arial" w:hAnsi="Arial" w:cs="Arial"/>
                <w:sz w:val="16"/>
                <w:szCs w:val="16"/>
              </w:rPr>
              <w:t>4.20</w:t>
            </w:r>
          </w:p>
        </w:tc>
        <w:tc>
          <w:tcPr>
            <w:tcW w:w="326" w:type="pct"/>
            <w:tcBorders>
              <w:bottom w:val="dashSmallGap" w:sz="4" w:space="0" w:color="auto"/>
            </w:tcBorders>
          </w:tcPr>
          <w:p w14:paraId="36A499C6" w14:textId="77777777" w:rsidR="00CD6352" w:rsidRPr="000706BC" w:rsidRDefault="00CD6352" w:rsidP="00CD6352">
            <w:pPr>
              <w:rPr>
                <w:rFonts w:ascii="Arial" w:hAnsi="Arial" w:cs="Arial"/>
                <w:sz w:val="16"/>
                <w:szCs w:val="16"/>
              </w:rPr>
            </w:pPr>
            <w:r w:rsidRPr="000706BC">
              <w:rPr>
                <w:rFonts w:ascii="Arial" w:hAnsi="Arial" w:cs="Arial"/>
                <w:sz w:val="16"/>
                <w:szCs w:val="16"/>
              </w:rPr>
              <w:t>4</w:t>
            </w:r>
          </w:p>
        </w:tc>
        <w:tc>
          <w:tcPr>
            <w:tcW w:w="324" w:type="pct"/>
            <w:gridSpan w:val="2"/>
            <w:tcBorders>
              <w:bottom w:val="dashSmallGap" w:sz="4" w:space="0" w:color="auto"/>
            </w:tcBorders>
          </w:tcPr>
          <w:p w14:paraId="63AC08EF" w14:textId="77777777" w:rsidR="00CD6352" w:rsidRPr="000706BC" w:rsidRDefault="00CD6352" w:rsidP="00CD6352">
            <w:pPr>
              <w:rPr>
                <w:rFonts w:ascii="Arial" w:hAnsi="Arial" w:cs="Arial"/>
                <w:sz w:val="16"/>
                <w:szCs w:val="16"/>
              </w:rPr>
            </w:pPr>
            <w:r w:rsidRPr="000706BC">
              <w:rPr>
                <w:rFonts w:ascii="Arial" w:hAnsi="Arial" w:cs="Arial"/>
                <w:sz w:val="16"/>
                <w:szCs w:val="16"/>
              </w:rPr>
              <w:t>4.09</w:t>
            </w:r>
          </w:p>
        </w:tc>
        <w:tc>
          <w:tcPr>
            <w:tcW w:w="310" w:type="pct"/>
            <w:tcBorders>
              <w:bottom w:val="dashSmallGap" w:sz="4" w:space="0" w:color="auto"/>
            </w:tcBorders>
          </w:tcPr>
          <w:p w14:paraId="59DFA804" w14:textId="77777777" w:rsidR="00CD6352" w:rsidRPr="000706BC" w:rsidRDefault="00CD6352" w:rsidP="00CD6352">
            <w:pPr>
              <w:rPr>
                <w:rFonts w:ascii="Arial" w:hAnsi="Arial" w:cs="Arial"/>
                <w:sz w:val="16"/>
                <w:szCs w:val="16"/>
              </w:rPr>
            </w:pPr>
            <w:r w:rsidRPr="000706BC">
              <w:rPr>
                <w:rFonts w:ascii="Arial" w:hAnsi="Arial" w:cs="Arial"/>
                <w:sz w:val="16"/>
                <w:szCs w:val="16"/>
              </w:rPr>
              <w:t>11</w:t>
            </w:r>
          </w:p>
        </w:tc>
        <w:tc>
          <w:tcPr>
            <w:tcW w:w="324" w:type="pct"/>
            <w:tcBorders>
              <w:bottom w:val="dashSmallGap" w:sz="4" w:space="0" w:color="auto"/>
            </w:tcBorders>
          </w:tcPr>
          <w:p w14:paraId="743D9092" w14:textId="77777777" w:rsidR="00CD6352" w:rsidRPr="000706BC" w:rsidRDefault="00CD6352" w:rsidP="00CD6352">
            <w:pPr>
              <w:rPr>
                <w:rFonts w:ascii="Arial" w:hAnsi="Arial" w:cs="Arial"/>
                <w:sz w:val="16"/>
                <w:szCs w:val="16"/>
              </w:rPr>
            </w:pPr>
            <w:r w:rsidRPr="000706BC">
              <w:rPr>
                <w:rFonts w:ascii="Arial" w:hAnsi="Arial" w:cs="Arial"/>
                <w:sz w:val="16"/>
                <w:szCs w:val="16"/>
              </w:rPr>
              <w:t>4.00</w:t>
            </w:r>
          </w:p>
        </w:tc>
        <w:tc>
          <w:tcPr>
            <w:tcW w:w="310" w:type="pct"/>
            <w:tcBorders>
              <w:bottom w:val="dashSmallGap" w:sz="4" w:space="0" w:color="auto"/>
            </w:tcBorders>
          </w:tcPr>
          <w:p w14:paraId="78E01930" w14:textId="77777777" w:rsidR="00CD6352" w:rsidRPr="000706BC" w:rsidRDefault="00CD6352" w:rsidP="00CD6352">
            <w:pPr>
              <w:rPr>
                <w:rFonts w:ascii="Arial" w:hAnsi="Arial" w:cs="Arial"/>
                <w:sz w:val="16"/>
                <w:szCs w:val="16"/>
              </w:rPr>
            </w:pPr>
            <w:r w:rsidRPr="000706BC">
              <w:rPr>
                <w:rFonts w:ascii="Arial" w:hAnsi="Arial" w:cs="Arial"/>
                <w:sz w:val="16"/>
                <w:szCs w:val="16"/>
              </w:rPr>
              <w:t>3</w:t>
            </w:r>
          </w:p>
        </w:tc>
        <w:tc>
          <w:tcPr>
            <w:tcW w:w="324" w:type="pct"/>
            <w:gridSpan w:val="2"/>
            <w:tcBorders>
              <w:bottom w:val="dashSmallGap" w:sz="4" w:space="0" w:color="auto"/>
            </w:tcBorders>
          </w:tcPr>
          <w:p w14:paraId="483332DC" w14:textId="77777777" w:rsidR="00CD6352" w:rsidRPr="000706BC" w:rsidRDefault="00CD6352" w:rsidP="00CD6352">
            <w:pPr>
              <w:rPr>
                <w:rFonts w:ascii="Arial" w:hAnsi="Arial" w:cs="Arial"/>
                <w:sz w:val="16"/>
                <w:szCs w:val="16"/>
              </w:rPr>
            </w:pPr>
            <w:r w:rsidRPr="000706BC">
              <w:rPr>
                <w:rFonts w:ascii="Arial" w:hAnsi="Arial" w:cs="Arial"/>
                <w:sz w:val="16"/>
                <w:szCs w:val="16"/>
              </w:rPr>
              <w:t>4.33</w:t>
            </w:r>
          </w:p>
        </w:tc>
        <w:tc>
          <w:tcPr>
            <w:tcW w:w="310" w:type="pct"/>
            <w:tcBorders>
              <w:bottom w:val="dashSmallGap" w:sz="4" w:space="0" w:color="auto"/>
            </w:tcBorders>
          </w:tcPr>
          <w:p w14:paraId="6F32F577" w14:textId="77777777" w:rsidR="00CD6352" w:rsidRPr="000706BC" w:rsidRDefault="00CD6352" w:rsidP="00CD6352">
            <w:pPr>
              <w:rPr>
                <w:rFonts w:ascii="Arial" w:hAnsi="Arial" w:cs="Arial"/>
                <w:sz w:val="16"/>
                <w:szCs w:val="16"/>
              </w:rPr>
            </w:pPr>
            <w:r w:rsidRPr="000706BC">
              <w:rPr>
                <w:rFonts w:ascii="Arial" w:hAnsi="Arial" w:cs="Arial"/>
                <w:sz w:val="16"/>
                <w:szCs w:val="16"/>
              </w:rPr>
              <w:t>11</w:t>
            </w:r>
          </w:p>
        </w:tc>
      </w:tr>
    </w:tbl>
    <w:p w14:paraId="3F1D7150" w14:textId="77777777" w:rsidR="00CD6352" w:rsidRPr="00EA7665" w:rsidRDefault="00CD6352" w:rsidP="00CD6352">
      <w:pPr>
        <w:keepNext/>
        <w:spacing w:after="200" w:line="240" w:lineRule="auto"/>
        <w:rPr>
          <w:rFonts w:ascii="Arial" w:hAnsi="Arial" w:cs="Arial"/>
          <w:iCs/>
          <w:sz w:val="16"/>
          <w:szCs w:val="16"/>
        </w:rPr>
      </w:pPr>
      <w:r w:rsidRPr="00EA7665">
        <w:rPr>
          <w:rFonts w:ascii="Arial" w:hAnsi="Arial" w:cs="Arial"/>
          <w:iCs/>
          <w:sz w:val="16"/>
          <w:szCs w:val="16"/>
        </w:rPr>
        <w:lastRenderedPageBreak/>
        <w:t>1 (Not critical), 2 (fairly critical), 3 (critical), 4(very critical) &amp; 5 (extremely critical)</w:t>
      </w:r>
    </w:p>
    <w:p w14:paraId="6790ED1E" w14:textId="1E58B057" w:rsidR="00CD6352" w:rsidRPr="00EA7665" w:rsidRDefault="00CD6352" w:rsidP="00CD6352">
      <w:pPr>
        <w:keepNext/>
        <w:spacing w:after="200" w:line="240" w:lineRule="auto"/>
        <w:rPr>
          <w:rFonts w:ascii="Arial" w:hAnsi="Arial" w:cs="Arial"/>
          <w:iCs/>
          <w:color w:val="000000" w:themeColor="text1"/>
        </w:rPr>
      </w:pPr>
      <w:r w:rsidRPr="00EA7665">
        <w:rPr>
          <w:rFonts w:ascii="Arial" w:hAnsi="Arial" w:cs="Arial"/>
          <w:iCs/>
          <w:color w:val="000000" w:themeColor="text1"/>
        </w:rPr>
        <w:t>The ranking of the top five critical success factors for securing finance for real estate project development in the</w:t>
      </w:r>
      <w:r>
        <w:rPr>
          <w:rFonts w:ascii="Arial" w:hAnsi="Arial" w:cs="Arial"/>
          <w:iCs/>
          <w:color w:val="000000" w:themeColor="text1"/>
        </w:rPr>
        <w:t xml:space="preserve"> </w:t>
      </w:r>
      <w:r w:rsidR="007D2AC6">
        <w:rPr>
          <w:rFonts w:ascii="Arial" w:hAnsi="Arial" w:cs="Arial"/>
          <w:iCs/>
          <w:color w:val="000000" w:themeColor="text1"/>
        </w:rPr>
        <w:t xml:space="preserve">individual </w:t>
      </w:r>
      <w:r w:rsidR="007D2AC6" w:rsidRPr="00EA7665">
        <w:rPr>
          <w:rFonts w:ascii="Arial" w:hAnsi="Arial" w:cs="Arial"/>
          <w:iCs/>
          <w:color w:val="000000" w:themeColor="text1"/>
        </w:rPr>
        <w:t>developed</w:t>
      </w:r>
      <w:r w:rsidRPr="00EA7665">
        <w:rPr>
          <w:rFonts w:ascii="Arial" w:hAnsi="Arial" w:cs="Arial"/>
          <w:iCs/>
          <w:color w:val="000000" w:themeColor="text1"/>
        </w:rPr>
        <w:t xml:space="preserve"> and emerging economies in this study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11"/>
        <w:gridCol w:w="3009"/>
      </w:tblGrid>
      <w:tr w:rsidR="00CD6352" w:rsidRPr="00EA7665" w14:paraId="741382BC" w14:textId="77777777" w:rsidTr="00CD6352">
        <w:tc>
          <w:tcPr>
            <w:tcW w:w="3080" w:type="dxa"/>
          </w:tcPr>
          <w:p w14:paraId="3DE576AF" w14:textId="77777777" w:rsidR="00CD6352" w:rsidRPr="00EA7665" w:rsidRDefault="00CD6352" w:rsidP="00CD6352">
            <w:pPr>
              <w:keepNext/>
              <w:spacing w:after="200"/>
              <w:rPr>
                <w:rFonts w:ascii="Arial" w:hAnsi="Arial" w:cs="Arial"/>
                <w:iCs/>
                <w:sz w:val="16"/>
                <w:szCs w:val="16"/>
              </w:rPr>
            </w:pPr>
            <w:r w:rsidRPr="00EA7665">
              <w:rPr>
                <w:rFonts w:ascii="Arial" w:hAnsi="Arial" w:cs="Arial"/>
                <w:iCs/>
                <w:sz w:val="16"/>
                <w:szCs w:val="16"/>
              </w:rPr>
              <w:t>Germany:</w:t>
            </w:r>
          </w:p>
          <w:p w14:paraId="2706E8CC" w14:textId="77777777" w:rsidR="00CD6352" w:rsidRPr="00EA7665" w:rsidRDefault="00CD6352" w:rsidP="00C74AEC">
            <w:pPr>
              <w:pStyle w:val="ListParagraph"/>
              <w:keepNext/>
              <w:numPr>
                <w:ilvl w:val="0"/>
                <w:numId w:val="94"/>
              </w:numPr>
              <w:spacing w:after="200" w:line="240" w:lineRule="auto"/>
              <w:rPr>
                <w:rFonts w:ascii="Arial" w:hAnsi="Arial" w:cs="Arial"/>
                <w:iCs/>
                <w:sz w:val="16"/>
                <w:szCs w:val="16"/>
              </w:rPr>
            </w:pPr>
            <w:r w:rsidRPr="00EA7665">
              <w:rPr>
                <w:rFonts w:ascii="Arial" w:hAnsi="Arial" w:cs="Arial"/>
                <w:iCs/>
                <w:sz w:val="16"/>
                <w:szCs w:val="16"/>
              </w:rPr>
              <w:t>Familiarity with local legislation &amp; clear contract terms</w:t>
            </w:r>
          </w:p>
          <w:p w14:paraId="4F1DB00D" w14:textId="77777777" w:rsidR="00CD6352" w:rsidRPr="00EA7665" w:rsidRDefault="00CD6352" w:rsidP="00C74AEC">
            <w:pPr>
              <w:pStyle w:val="ListParagraph"/>
              <w:keepNext/>
              <w:numPr>
                <w:ilvl w:val="0"/>
                <w:numId w:val="94"/>
              </w:numPr>
              <w:spacing w:after="200" w:line="240" w:lineRule="auto"/>
              <w:rPr>
                <w:rFonts w:ascii="Arial" w:hAnsi="Arial" w:cs="Arial"/>
                <w:iCs/>
                <w:sz w:val="16"/>
                <w:szCs w:val="16"/>
              </w:rPr>
            </w:pPr>
            <w:r w:rsidRPr="00EA7665">
              <w:rPr>
                <w:rFonts w:ascii="Arial" w:hAnsi="Arial" w:cs="Arial"/>
                <w:iCs/>
                <w:sz w:val="16"/>
                <w:szCs w:val="16"/>
              </w:rPr>
              <w:t>Access to land</w:t>
            </w:r>
          </w:p>
          <w:p w14:paraId="40F7C9AD" w14:textId="77777777" w:rsidR="00CD6352" w:rsidRPr="00EA7665" w:rsidRDefault="00CD6352" w:rsidP="00C74AEC">
            <w:pPr>
              <w:pStyle w:val="ListParagraph"/>
              <w:keepNext/>
              <w:numPr>
                <w:ilvl w:val="0"/>
                <w:numId w:val="94"/>
              </w:numPr>
              <w:spacing w:after="200" w:line="240" w:lineRule="auto"/>
              <w:rPr>
                <w:rFonts w:ascii="Arial" w:hAnsi="Arial" w:cs="Arial"/>
                <w:iCs/>
                <w:sz w:val="16"/>
                <w:szCs w:val="16"/>
              </w:rPr>
            </w:pPr>
            <w:r w:rsidRPr="00EA7665">
              <w:rPr>
                <w:rFonts w:ascii="Arial" w:hAnsi="Arial" w:cs="Arial"/>
                <w:iCs/>
                <w:sz w:val="16"/>
                <w:szCs w:val="16"/>
              </w:rPr>
              <w:t>Financial modelling with realistic assumptions</w:t>
            </w:r>
          </w:p>
          <w:p w14:paraId="7D00BB59" w14:textId="77777777" w:rsidR="00CD6352" w:rsidRPr="00EA7665" w:rsidRDefault="00CD6352" w:rsidP="00C74AEC">
            <w:pPr>
              <w:pStyle w:val="ListParagraph"/>
              <w:keepNext/>
              <w:numPr>
                <w:ilvl w:val="0"/>
                <w:numId w:val="94"/>
              </w:numPr>
              <w:spacing w:after="200" w:line="240" w:lineRule="auto"/>
              <w:rPr>
                <w:rFonts w:ascii="Arial" w:hAnsi="Arial" w:cs="Arial"/>
                <w:iCs/>
                <w:sz w:val="16"/>
                <w:szCs w:val="16"/>
              </w:rPr>
            </w:pPr>
            <w:r w:rsidRPr="00EA7665">
              <w:rPr>
                <w:rFonts w:ascii="Arial" w:hAnsi="Arial" w:cs="Arial"/>
                <w:iCs/>
                <w:sz w:val="16"/>
                <w:szCs w:val="16"/>
              </w:rPr>
              <w:t>Stable macro-economic environment</w:t>
            </w:r>
          </w:p>
          <w:p w14:paraId="20204CCE" w14:textId="77777777" w:rsidR="00CD6352" w:rsidRPr="00EA7665" w:rsidRDefault="00CD6352" w:rsidP="00C74AEC">
            <w:pPr>
              <w:pStyle w:val="ListParagraph"/>
              <w:keepNext/>
              <w:numPr>
                <w:ilvl w:val="0"/>
                <w:numId w:val="94"/>
              </w:numPr>
              <w:spacing w:after="200" w:line="240" w:lineRule="auto"/>
              <w:rPr>
                <w:rFonts w:ascii="Arial" w:hAnsi="Arial" w:cs="Arial"/>
                <w:iCs/>
                <w:sz w:val="16"/>
                <w:szCs w:val="16"/>
              </w:rPr>
            </w:pPr>
            <w:r w:rsidRPr="00EA7665">
              <w:rPr>
                <w:rFonts w:ascii="Arial" w:hAnsi="Arial" w:cs="Arial"/>
                <w:iCs/>
                <w:sz w:val="16"/>
                <w:szCs w:val="16"/>
              </w:rPr>
              <w:t>Existence of enabling policy and legal framework</w:t>
            </w:r>
          </w:p>
        </w:tc>
        <w:tc>
          <w:tcPr>
            <w:tcW w:w="3081" w:type="dxa"/>
          </w:tcPr>
          <w:p w14:paraId="122F3DE6" w14:textId="77777777" w:rsidR="00CD6352" w:rsidRPr="00EA7665" w:rsidRDefault="00CD6352" w:rsidP="00CD6352">
            <w:pPr>
              <w:keepNext/>
              <w:spacing w:after="200"/>
              <w:rPr>
                <w:rFonts w:ascii="Arial" w:hAnsi="Arial" w:cs="Arial"/>
                <w:iCs/>
                <w:sz w:val="16"/>
                <w:szCs w:val="16"/>
              </w:rPr>
            </w:pPr>
            <w:r w:rsidRPr="00EA7665">
              <w:rPr>
                <w:rFonts w:ascii="Arial" w:hAnsi="Arial" w:cs="Arial"/>
                <w:iCs/>
                <w:sz w:val="16"/>
                <w:szCs w:val="16"/>
              </w:rPr>
              <w:t>United Kingdom:</w:t>
            </w:r>
          </w:p>
          <w:p w14:paraId="396669D6" w14:textId="77777777" w:rsidR="00CD6352" w:rsidRPr="00EA7665" w:rsidRDefault="00CD6352" w:rsidP="00C74AEC">
            <w:pPr>
              <w:pStyle w:val="ListParagraph"/>
              <w:keepNext/>
              <w:numPr>
                <w:ilvl w:val="0"/>
                <w:numId w:val="95"/>
              </w:numPr>
              <w:spacing w:after="200" w:line="240" w:lineRule="auto"/>
              <w:rPr>
                <w:rFonts w:ascii="Arial" w:hAnsi="Arial" w:cs="Arial"/>
                <w:iCs/>
                <w:sz w:val="16"/>
                <w:szCs w:val="16"/>
              </w:rPr>
            </w:pPr>
            <w:r w:rsidRPr="00EA7665">
              <w:rPr>
                <w:rFonts w:ascii="Arial" w:hAnsi="Arial" w:cs="Arial"/>
                <w:iCs/>
                <w:sz w:val="16"/>
                <w:szCs w:val="16"/>
              </w:rPr>
              <w:t>Access to land</w:t>
            </w:r>
          </w:p>
          <w:p w14:paraId="28F702F2" w14:textId="77777777" w:rsidR="00CD6352" w:rsidRPr="00EA7665" w:rsidRDefault="00CD6352" w:rsidP="00C74AEC">
            <w:pPr>
              <w:pStyle w:val="ListParagraph"/>
              <w:keepNext/>
              <w:numPr>
                <w:ilvl w:val="0"/>
                <w:numId w:val="95"/>
              </w:numPr>
              <w:spacing w:after="200" w:line="240" w:lineRule="auto"/>
              <w:rPr>
                <w:rFonts w:ascii="Arial" w:hAnsi="Arial" w:cs="Arial"/>
                <w:iCs/>
                <w:sz w:val="16"/>
                <w:szCs w:val="16"/>
              </w:rPr>
            </w:pPr>
            <w:r w:rsidRPr="00EA7665">
              <w:rPr>
                <w:rFonts w:ascii="Arial" w:hAnsi="Arial" w:cs="Arial"/>
                <w:iCs/>
                <w:sz w:val="16"/>
                <w:szCs w:val="16"/>
              </w:rPr>
              <w:t>Business plan</w:t>
            </w:r>
          </w:p>
          <w:p w14:paraId="2738CD57" w14:textId="77777777" w:rsidR="00CD6352" w:rsidRPr="00EA7665" w:rsidRDefault="00CD6352" w:rsidP="00C74AEC">
            <w:pPr>
              <w:pStyle w:val="ListParagraph"/>
              <w:keepNext/>
              <w:numPr>
                <w:ilvl w:val="0"/>
                <w:numId w:val="95"/>
              </w:numPr>
              <w:spacing w:after="200" w:line="240" w:lineRule="auto"/>
              <w:rPr>
                <w:rFonts w:ascii="Arial" w:hAnsi="Arial" w:cs="Arial"/>
                <w:iCs/>
                <w:sz w:val="16"/>
                <w:szCs w:val="16"/>
              </w:rPr>
            </w:pPr>
            <w:r w:rsidRPr="00EA7665">
              <w:rPr>
                <w:rFonts w:ascii="Arial" w:hAnsi="Arial" w:cs="Arial"/>
                <w:iCs/>
                <w:sz w:val="16"/>
                <w:szCs w:val="16"/>
              </w:rPr>
              <w:t>Manager’s ability and skills</w:t>
            </w:r>
          </w:p>
          <w:p w14:paraId="492A4AC3" w14:textId="77777777" w:rsidR="00CD6352" w:rsidRPr="00EA7665" w:rsidRDefault="00CD6352" w:rsidP="00C74AEC">
            <w:pPr>
              <w:pStyle w:val="ListParagraph"/>
              <w:keepNext/>
              <w:numPr>
                <w:ilvl w:val="0"/>
                <w:numId w:val="95"/>
              </w:numPr>
              <w:spacing w:after="200" w:line="240" w:lineRule="auto"/>
              <w:rPr>
                <w:rFonts w:ascii="Arial" w:hAnsi="Arial" w:cs="Arial"/>
                <w:iCs/>
                <w:sz w:val="16"/>
                <w:szCs w:val="16"/>
              </w:rPr>
            </w:pPr>
            <w:r w:rsidRPr="00EA7665">
              <w:rPr>
                <w:rFonts w:ascii="Arial" w:hAnsi="Arial" w:cs="Arial"/>
                <w:iCs/>
                <w:sz w:val="16"/>
                <w:szCs w:val="16"/>
              </w:rPr>
              <w:t>Financial capacity of the company</w:t>
            </w:r>
          </w:p>
          <w:p w14:paraId="7682F19B" w14:textId="77777777" w:rsidR="00CD6352" w:rsidRPr="00EA7665" w:rsidRDefault="00CD6352" w:rsidP="00C74AEC">
            <w:pPr>
              <w:pStyle w:val="ListParagraph"/>
              <w:keepNext/>
              <w:numPr>
                <w:ilvl w:val="0"/>
                <w:numId w:val="95"/>
              </w:numPr>
              <w:spacing w:after="200" w:line="240" w:lineRule="auto"/>
              <w:rPr>
                <w:rFonts w:ascii="Arial" w:hAnsi="Arial" w:cs="Arial"/>
                <w:iCs/>
                <w:sz w:val="16"/>
                <w:szCs w:val="16"/>
              </w:rPr>
            </w:pPr>
            <w:r w:rsidRPr="00EA7665">
              <w:rPr>
                <w:rFonts w:ascii="Arial" w:hAnsi="Arial" w:cs="Arial"/>
                <w:iCs/>
                <w:sz w:val="16"/>
                <w:szCs w:val="16"/>
              </w:rPr>
              <w:t>Project manager’s experience</w:t>
            </w:r>
          </w:p>
        </w:tc>
        <w:tc>
          <w:tcPr>
            <w:tcW w:w="3081" w:type="dxa"/>
          </w:tcPr>
          <w:p w14:paraId="187BAE30" w14:textId="77777777" w:rsidR="00CD6352" w:rsidRPr="00EA7665" w:rsidRDefault="00CD6352" w:rsidP="00CD6352">
            <w:pPr>
              <w:keepNext/>
              <w:spacing w:after="200"/>
              <w:rPr>
                <w:rFonts w:ascii="Arial" w:hAnsi="Arial" w:cs="Arial"/>
                <w:iCs/>
                <w:sz w:val="16"/>
                <w:szCs w:val="16"/>
              </w:rPr>
            </w:pPr>
            <w:r w:rsidRPr="00EA7665">
              <w:rPr>
                <w:rFonts w:ascii="Arial" w:hAnsi="Arial" w:cs="Arial"/>
                <w:iCs/>
                <w:sz w:val="16"/>
                <w:szCs w:val="16"/>
              </w:rPr>
              <w:t>United Kingdom</w:t>
            </w:r>
          </w:p>
          <w:p w14:paraId="5BD62A0C" w14:textId="77777777" w:rsidR="00CD6352" w:rsidRPr="00EA7665" w:rsidRDefault="00CD6352" w:rsidP="00C74AEC">
            <w:pPr>
              <w:pStyle w:val="ListParagraph"/>
              <w:keepNext/>
              <w:numPr>
                <w:ilvl w:val="0"/>
                <w:numId w:val="96"/>
              </w:numPr>
              <w:spacing w:after="200" w:line="240" w:lineRule="auto"/>
              <w:rPr>
                <w:rFonts w:ascii="Arial" w:hAnsi="Arial" w:cs="Arial"/>
                <w:iCs/>
                <w:sz w:val="16"/>
                <w:szCs w:val="16"/>
              </w:rPr>
            </w:pPr>
            <w:r w:rsidRPr="00EA7665">
              <w:rPr>
                <w:rFonts w:ascii="Arial" w:hAnsi="Arial" w:cs="Arial"/>
                <w:iCs/>
                <w:sz w:val="16"/>
                <w:szCs w:val="16"/>
              </w:rPr>
              <w:t>Financial models with realistic assumptions</w:t>
            </w:r>
          </w:p>
          <w:p w14:paraId="4217FA8E" w14:textId="77777777" w:rsidR="00CD6352" w:rsidRPr="00EA7665" w:rsidRDefault="00CD6352" w:rsidP="00C74AEC">
            <w:pPr>
              <w:pStyle w:val="ListParagraph"/>
              <w:keepNext/>
              <w:numPr>
                <w:ilvl w:val="0"/>
                <w:numId w:val="96"/>
              </w:numPr>
              <w:spacing w:after="200" w:line="240" w:lineRule="auto"/>
              <w:rPr>
                <w:rFonts w:ascii="Arial" w:hAnsi="Arial" w:cs="Arial"/>
                <w:iCs/>
                <w:sz w:val="16"/>
                <w:szCs w:val="16"/>
              </w:rPr>
            </w:pPr>
            <w:r w:rsidRPr="00EA7665">
              <w:rPr>
                <w:rFonts w:ascii="Arial" w:hAnsi="Arial" w:cs="Arial"/>
                <w:iCs/>
                <w:sz w:val="16"/>
                <w:szCs w:val="16"/>
              </w:rPr>
              <w:t>Existence of enabling policy and legal framework</w:t>
            </w:r>
          </w:p>
          <w:p w14:paraId="2CF3FE84" w14:textId="77777777" w:rsidR="00CD6352" w:rsidRPr="00EA7665" w:rsidRDefault="00CD6352" w:rsidP="00C74AEC">
            <w:pPr>
              <w:pStyle w:val="ListParagraph"/>
              <w:keepNext/>
              <w:numPr>
                <w:ilvl w:val="0"/>
                <w:numId w:val="96"/>
              </w:numPr>
              <w:spacing w:after="200" w:line="240" w:lineRule="auto"/>
              <w:rPr>
                <w:rFonts w:ascii="Arial" w:hAnsi="Arial" w:cs="Arial"/>
                <w:iCs/>
                <w:sz w:val="16"/>
                <w:szCs w:val="16"/>
              </w:rPr>
            </w:pPr>
            <w:r w:rsidRPr="00EA7665">
              <w:rPr>
                <w:rFonts w:ascii="Arial" w:hAnsi="Arial" w:cs="Arial"/>
                <w:iCs/>
                <w:sz w:val="16"/>
                <w:szCs w:val="16"/>
              </w:rPr>
              <w:t>Familiarity with local legislation &amp; clear contract terms</w:t>
            </w:r>
          </w:p>
          <w:p w14:paraId="2777DB22" w14:textId="77777777" w:rsidR="00CD6352" w:rsidRPr="00EA7665" w:rsidRDefault="00CD6352" w:rsidP="00C74AEC">
            <w:pPr>
              <w:pStyle w:val="ListParagraph"/>
              <w:keepNext/>
              <w:numPr>
                <w:ilvl w:val="0"/>
                <w:numId w:val="96"/>
              </w:numPr>
              <w:spacing w:after="200" w:line="240" w:lineRule="auto"/>
              <w:rPr>
                <w:rFonts w:ascii="Arial" w:hAnsi="Arial" w:cs="Arial"/>
                <w:iCs/>
                <w:sz w:val="16"/>
                <w:szCs w:val="16"/>
              </w:rPr>
            </w:pPr>
            <w:r w:rsidRPr="00EA7665">
              <w:rPr>
                <w:rFonts w:ascii="Arial" w:hAnsi="Arial" w:cs="Arial"/>
                <w:iCs/>
                <w:sz w:val="16"/>
                <w:szCs w:val="16"/>
              </w:rPr>
              <w:t>Financial capacity of the organisation</w:t>
            </w:r>
          </w:p>
          <w:p w14:paraId="3C1E5E46" w14:textId="77777777" w:rsidR="00CD6352" w:rsidRPr="00EA7665" w:rsidRDefault="00CD6352" w:rsidP="00C74AEC">
            <w:pPr>
              <w:pStyle w:val="ListParagraph"/>
              <w:keepNext/>
              <w:numPr>
                <w:ilvl w:val="0"/>
                <w:numId w:val="96"/>
              </w:numPr>
              <w:spacing w:after="200" w:line="240" w:lineRule="auto"/>
              <w:rPr>
                <w:rFonts w:ascii="Arial" w:hAnsi="Arial" w:cs="Arial"/>
                <w:iCs/>
                <w:sz w:val="16"/>
                <w:szCs w:val="16"/>
              </w:rPr>
            </w:pPr>
            <w:r w:rsidRPr="00EA7665">
              <w:rPr>
                <w:rFonts w:ascii="Arial" w:hAnsi="Arial" w:cs="Arial"/>
                <w:iCs/>
                <w:sz w:val="16"/>
                <w:szCs w:val="16"/>
              </w:rPr>
              <w:t>Access to land</w:t>
            </w:r>
          </w:p>
        </w:tc>
      </w:tr>
      <w:tr w:rsidR="00CD6352" w:rsidRPr="00EA7665" w14:paraId="3C2CD4B8" w14:textId="77777777" w:rsidTr="00CD6352">
        <w:tc>
          <w:tcPr>
            <w:tcW w:w="3080" w:type="dxa"/>
          </w:tcPr>
          <w:p w14:paraId="2B8B684D" w14:textId="77777777" w:rsidR="00CD6352" w:rsidRPr="00EA7665" w:rsidRDefault="00CD6352" w:rsidP="00CD6352">
            <w:pPr>
              <w:keepNext/>
              <w:spacing w:after="200"/>
              <w:rPr>
                <w:rFonts w:ascii="Arial" w:hAnsi="Arial" w:cs="Arial"/>
                <w:iCs/>
                <w:sz w:val="16"/>
                <w:szCs w:val="16"/>
              </w:rPr>
            </w:pPr>
            <w:r w:rsidRPr="00EA7665">
              <w:rPr>
                <w:rFonts w:ascii="Arial" w:hAnsi="Arial" w:cs="Arial"/>
                <w:iCs/>
                <w:sz w:val="16"/>
                <w:szCs w:val="16"/>
              </w:rPr>
              <w:t>China:</w:t>
            </w:r>
          </w:p>
          <w:p w14:paraId="1E2D0B25" w14:textId="77777777" w:rsidR="00CD6352" w:rsidRPr="00EA7665" w:rsidRDefault="00CD6352" w:rsidP="00C74AEC">
            <w:pPr>
              <w:pStyle w:val="ListParagraph"/>
              <w:keepNext/>
              <w:numPr>
                <w:ilvl w:val="0"/>
                <w:numId w:val="97"/>
              </w:numPr>
              <w:spacing w:after="200" w:line="240" w:lineRule="auto"/>
              <w:rPr>
                <w:rFonts w:ascii="Arial" w:hAnsi="Arial" w:cs="Arial"/>
                <w:iCs/>
                <w:sz w:val="16"/>
                <w:szCs w:val="16"/>
              </w:rPr>
            </w:pPr>
            <w:r w:rsidRPr="00EA7665">
              <w:rPr>
                <w:rFonts w:ascii="Arial" w:hAnsi="Arial" w:cs="Arial"/>
                <w:iCs/>
                <w:sz w:val="16"/>
                <w:szCs w:val="16"/>
              </w:rPr>
              <w:t>Access to land</w:t>
            </w:r>
          </w:p>
          <w:p w14:paraId="4111549F" w14:textId="77777777" w:rsidR="00CD6352" w:rsidRPr="00EA7665" w:rsidRDefault="00CD6352" w:rsidP="00C74AEC">
            <w:pPr>
              <w:pStyle w:val="ListParagraph"/>
              <w:keepNext/>
              <w:numPr>
                <w:ilvl w:val="0"/>
                <w:numId w:val="97"/>
              </w:numPr>
              <w:spacing w:after="200" w:line="240" w:lineRule="auto"/>
              <w:rPr>
                <w:rFonts w:ascii="Arial" w:hAnsi="Arial" w:cs="Arial"/>
                <w:iCs/>
                <w:sz w:val="16"/>
                <w:szCs w:val="16"/>
              </w:rPr>
            </w:pPr>
            <w:r w:rsidRPr="00EA7665">
              <w:rPr>
                <w:rFonts w:ascii="Arial" w:hAnsi="Arial" w:cs="Arial"/>
                <w:iCs/>
                <w:sz w:val="16"/>
                <w:szCs w:val="16"/>
              </w:rPr>
              <w:t>Familiarity with local legislation &amp; clear contract terms</w:t>
            </w:r>
          </w:p>
          <w:p w14:paraId="50E82ADB" w14:textId="77777777" w:rsidR="00CD6352" w:rsidRPr="00EA7665" w:rsidRDefault="00CD6352" w:rsidP="00C74AEC">
            <w:pPr>
              <w:pStyle w:val="ListParagraph"/>
              <w:keepNext/>
              <w:numPr>
                <w:ilvl w:val="0"/>
                <w:numId w:val="97"/>
              </w:numPr>
              <w:spacing w:after="200" w:line="240" w:lineRule="auto"/>
              <w:rPr>
                <w:rFonts w:ascii="Arial" w:hAnsi="Arial" w:cs="Arial"/>
                <w:iCs/>
                <w:sz w:val="16"/>
                <w:szCs w:val="16"/>
              </w:rPr>
            </w:pPr>
            <w:r w:rsidRPr="00EA7665">
              <w:rPr>
                <w:rFonts w:ascii="Arial" w:hAnsi="Arial" w:cs="Arial"/>
                <w:iCs/>
                <w:sz w:val="16"/>
                <w:szCs w:val="16"/>
              </w:rPr>
              <w:t>Business plan</w:t>
            </w:r>
          </w:p>
          <w:p w14:paraId="75C0FE41" w14:textId="079A0B16" w:rsidR="00CD6352" w:rsidRPr="00EA7665" w:rsidRDefault="00173455" w:rsidP="00C74AEC">
            <w:pPr>
              <w:pStyle w:val="ListParagraph"/>
              <w:keepNext/>
              <w:numPr>
                <w:ilvl w:val="0"/>
                <w:numId w:val="97"/>
              </w:numPr>
              <w:spacing w:after="200" w:line="240" w:lineRule="auto"/>
              <w:rPr>
                <w:rFonts w:ascii="Arial" w:hAnsi="Arial" w:cs="Arial"/>
                <w:iCs/>
                <w:sz w:val="16"/>
                <w:szCs w:val="16"/>
              </w:rPr>
            </w:pPr>
            <w:r>
              <w:rPr>
                <w:rFonts w:ascii="Arial" w:hAnsi="Arial" w:cs="Arial"/>
                <w:iCs/>
                <w:sz w:val="16"/>
                <w:szCs w:val="16"/>
              </w:rPr>
              <w:t>The p</w:t>
            </w:r>
            <w:r w:rsidR="00CD6352" w:rsidRPr="00EA7665">
              <w:rPr>
                <w:rFonts w:ascii="Arial" w:hAnsi="Arial" w:cs="Arial"/>
                <w:iCs/>
                <w:sz w:val="16"/>
                <w:szCs w:val="16"/>
              </w:rPr>
              <w:t>rofitability of the project</w:t>
            </w:r>
          </w:p>
          <w:p w14:paraId="07E6F6A2" w14:textId="77777777" w:rsidR="00CD6352" w:rsidRPr="00EA7665" w:rsidRDefault="00CD6352" w:rsidP="00C74AEC">
            <w:pPr>
              <w:pStyle w:val="ListParagraph"/>
              <w:keepNext/>
              <w:numPr>
                <w:ilvl w:val="0"/>
                <w:numId w:val="97"/>
              </w:numPr>
              <w:spacing w:after="200" w:line="240" w:lineRule="auto"/>
              <w:rPr>
                <w:rFonts w:ascii="Arial" w:hAnsi="Arial" w:cs="Arial"/>
                <w:iCs/>
                <w:sz w:val="16"/>
                <w:szCs w:val="16"/>
              </w:rPr>
            </w:pPr>
            <w:r w:rsidRPr="00EA7665">
              <w:rPr>
                <w:rFonts w:ascii="Arial" w:hAnsi="Arial" w:cs="Arial"/>
                <w:iCs/>
                <w:sz w:val="16"/>
                <w:szCs w:val="16"/>
              </w:rPr>
              <w:t>Financial modelling with realistic assumptions</w:t>
            </w:r>
          </w:p>
        </w:tc>
        <w:tc>
          <w:tcPr>
            <w:tcW w:w="3081" w:type="dxa"/>
          </w:tcPr>
          <w:p w14:paraId="4290516F" w14:textId="77777777" w:rsidR="00CD6352" w:rsidRPr="00EA7665" w:rsidRDefault="00CD6352" w:rsidP="00CD6352">
            <w:pPr>
              <w:keepNext/>
              <w:spacing w:after="200"/>
              <w:rPr>
                <w:rFonts w:ascii="Arial" w:hAnsi="Arial" w:cs="Arial"/>
                <w:iCs/>
                <w:sz w:val="16"/>
                <w:szCs w:val="16"/>
              </w:rPr>
            </w:pPr>
            <w:r w:rsidRPr="00EA7665">
              <w:rPr>
                <w:rFonts w:ascii="Arial" w:hAnsi="Arial" w:cs="Arial"/>
                <w:iCs/>
                <w:sz w:val="16"/>
                <w:szCs w:val="16"/>
              </w:rPr>
              <w:t>Nigeria:</w:t>
            </w:r>
          </w:p>
          <w:p w14:paraId="3590EC16" w14:textId="77777777" w:rsidR="00CD6352" w:rsidRPr="00EA7665" w:rsidRDefault="00CD6352" w:rsidP="00C74AEC">
            <w:pPr>
              <w:pStyle w:val="ListParagraph"/>
              <w:keepNext/>
              <w:numPr>
                <w:ilvl w:val="0"/>
                <w:numId w:val="98"/>
              </w:numPr>
              <w:spacing w:after="200" w:line="240" w:lineRule="auto"/>
              <w:rPr>
                <w:rFonts w:ascii="Arial" w:hAnsi="Arial" w:cs="Arial"/>
                <w:iCs/>
                <w:sz w:val="16"/>
                <w:szCs w:val="16"/>
              </w:rPr>
            </w:pPr>
            <w:r w:rsidRPr="00EA7665">
              <w:rPr>
                <w:rFonts w:ascii="Arial" w:hAnsi="Arial" w:cs="Arial"/>
                <w:iCs/>
                <w:sz w:val="16"/>
                <w:szCs w:val="16"/>
              </w:rPr>
              <w:t>Business plan</w:t>
            </w:r>
          </w:p>
          <w:p w14:paraId="13BDDCE4" w14:textId="77777777" w:rsidR="00CD6352" w:rsidRPr="00EA7665" w:rsidRDefault="00CD6352" w:rsidP="00C74AEC">
            <w:pPr>
              <w:pStyle w:val="ListParagraph"/>
              <w:keepNext/>
              <w:numPr>
                <w:ilvl w:val="0"/>
                <w:numId w:val="98"/>
              </w:numPr>
              <w:spacing w:after="200" w:line="240" w:lineRule="auto"/>
              <w:rPr>
                <w:rFonts w:ascii="Arial" w:hAnsi="Arial" w:cs="Arial"/>
                <w:iCs/>
                <w:sz w:val="16"/>
                <w:szCs w:val="16"/>
              </w:rPr>
            </w:pPr>
            <w:r w:rsidRPr="00EA7665">
              <w:rPr>
                <w:rFonts w:ascii="Arial" w:hAnsi="Arial" w:cs="Arial"/>
                <w:iCs/>
                <w:sz w:val="16"/>
                <w:szCs w:val="16"/>
              </w:rPr>
              <w:t>Access to land</w:t>
            </w:r>
          </w:p>
          <w:p w14:paraId="75CFC295" w14:textId="77777777" w:rsidR="00CD6352" w:rsidRPr="00EA7665" w:rsidRDefault="00CD6352" w:rsidP="00C74AEC">
            <w:pPr>
              <w:pStyle w:val="ListParagraph"/>
              <w:keepNext/>
              <w:numPr>
                <w:ilvl w:val="0"/>
                <w:numId w:val="98"/>
              </w:numPr>
              <w:spacing w:after="200" w:line="240" w:lineRule="auto"/>
              <w:rPr>
                <w:rFonts w:ascii="Arial" w:hAnsi="Arial" w:cs="Arial"/>
                <w:iCs/>
                <w:sz w:val="16"/>
                <w:szCs w:val="16"/>
              </w:rPr>
            </w:pPr>
            <w:r w:rsidRPr="00EA7665">
              <w:rPr>
                <w:rFonts w:ascii="Arial" w:hAnsi="Arial" w:cs="Arial"/>
                <w:iCs/>
                <w:sz w:val="16"/>
                <w:szCs w:val="16"/>
              </w:rPr>
              <w:t>Financial capacity of the organisation</w:t>
            </w:r>
          </w:p>
          <w:p w14:paraId="3E68D154" w14:textId="77777777" w:rsidR="00CD6352" w:rsidRPr="00EA7665" w:rsidRDefault="00CD6352" w:rsidP="00C74AEC">
            <w:pPr>
              <w:pStyle w:val="ListParagraph"/>
              <w:keepNext/>
              <w:numPr>
                <w:ilvl w:val="0"/>
                <w:numId w:val="98"/>
              </w:numPr>
              <w:spacing w:after="200" w:line="240" w:lineRule="auto"/>
              <w:rPr>
                <w:rFonts w:ascii="Arial" w:hAnsi="Arial" w:cs="Arial"/>
                <w:iCs/>
                <w:sz w:val="16"/>
                <w:szCs w:val="16"/>
              </w:rPr>
            </w:pPr>
            <w:r w:rsidRPr="00EA7665">
              <w:rPr>
                <w:rFonts w:ascii="Arial" w:hAnsi="Arial" w:cs="Arial"/>
                <w:iCs/>
                <w:sz w:val="16"/>
                <w:szCs w:val="16"/>
              </w:rPr>
              <w:t>Assembling of the right team</w:t>
            </w:r>
          </w:p>
          <w:p w14:paraId="56335F74" w14:textId="21CC2A8A" w:rsidR="00CD6352" w:rsidRPr="00EA7665" w:rsidRDefault="00173455" w:rsidP="00C74AEC">
            <w:pPr>
              <w:pStyle w:val="ListParagraph"/>
              <w:keepNext/>
              <w:numPr>
                <w:ilvl w:val="0"/>
                <w:numId w:val="98"/>
              </w:numPr>
              <w:spacing w:after="200" w:line="240" w:lineRule="auto"/>
              <w:rPr>
                <w:rFonts w:ascii="Arial" w:hAnsi="Arial" w:cs="Arial"/>
                <w:iCs/>
                <w:sz w:val="16"/>
                <w:szCs w:val="16"/>
              </w:rPr>
            </w:pPr>
            <w:r>
              <w:rPr>
                <w:rFonts w:ascii="Arial" w:hAnsi="Arial" w:cs="Arial"/>
                <w:iCs/>
                <w:sz w:val="16"/>
                <w:szCs w:val="16"/>
              </w:rPr>
              <w:t>The p</w:t>
            </w:r>
            <w:r w:rsidR="00CD6352" w:rsidRPr="00EA7665">
              <w:rPr>
                <w:rFonts w:ascii="Arial" w:hAnsi="Arial" w:cs="Arial"/>
                <w:iCs/>
                <w:sz w:val="16"/>
                <w:szCs w:val="16"/>
              </w:rPr>
              <w:t>rofitability of the project</w:t>
            </w:r>
          </w:p>
        </w:tc>
        <w:tc>
          <w:tcPr>
            <w:tcW w:w="3081" w:type="dxa"/>
          </w:tcPr>
          <w:p w14:paraId="0BE1BA1D" w14:textId="77777777" w:rsidR="00CD6352" w:rsidRPr="00EA7665" w:rsidRDefault="00CD6352" w:rsidP="00CD6352">
            <w:pPr>
              <w:keepNext/>
              <w:spacing w:after="200"/>
              <w:rPr>
                <w:rFonts w:ascii="Arial" w:hAnsi="Arial" w:cs="Arial"/>
                <w:iCs/>
                <w:sz w:val="16"/>
                <w:szCs w:val="16"/>
              </w:rPr>
            </w:pPr>
            <w:r w:rsidRPr="00EA7665">
              <w:rPr>
                <w:rFonts w:ascii="Arial" w:hAnsi="Arial" w:cs="Arial"/>
                <w:iCs/>
                <w:sz w:val="16"/>
                <w:szCs w:val="16"/>
              </w:rPr>
              <w:t>South Africa:</w:t>
            </w:r>
          </w:p>
          <w:p w14:paraId="6DAD9D42" w14:textId="77777777" w:rsidR="00CD6352" w:rsidRPr="00EA7665" w:rsidRDefault="00CD6352" w:rsidP="00C74AEC">
            <w:pPr>
              <w:pStyle w:val="ListParagraph"/>
              <w:keepNext/>
              <w:numPr>
                <w:ilvl w:val="0"/>
                <w:numId w:val="99"/>
              </w:numPr>
              <w:spacing w:after="200" w:line="240" w:lineRule="auto"/>
              <w:rPr>
                <w:rFonts w:ascii="Arial" w:hAnsi="Arial" w:cs="Arial"/>
                <w:iCs/>
                <w:sz w:val="16"/>
                <w:szCs w:val="16"/>
              </w:rPr>
            </w:pPr>
            <w:r w:rsidRPr="00EA7665">
              <w:rPr>
                <w:rFonts w:ascii="Arial" w:hAnsi="Arial" w:cs="Arial"/>
                <w:iCs/>
                <w:sz w:val="16"/>
                <w:szCs w:val="16"/>
              </w:rPr>
              <w:t>Financial modelling with realistic assumptions</w:t>
            </w:r>
          </w:p>
          <w:p w14:paraId="3876EC0E" w14:textId="77777777" w:rsidR="00CD6352" w:rsidRPr="00EA7665" w:rsidRDefault="00CD6352" w:rsidP="00C74AEC">
            <w:pPr>
              <w:pStyle w:val="ListParagraph"/>
              <w:keepNext/>
              <w:numPr>
                <w:ilvl w:val="0"/>
                <w:numId w:val="99"/>
              </w:numPr>
              <w:spacing w:after="200" w:line="240" w:lineRule="auto"/>
              <w:rPr>
                <w:rFonts w:ascii="Arial" w:hAnsi="Arial" w:cs="Arial"/>
                <w:iCs/>
                <w:sz w:val="16"/>
                <w:szCs w:val="16"/>
              </w:rPr>
            </w:pPr>
            <w:r w:rsidRPr="00EA7665">
              <w:rPr>
                <w:rFonts w:ascii="Arial" w:hAnsi="Arial" w:cs="Arial"/>
                <w:iCs/>
                <w:sz w:val="16"/>
                <w:szCs w:val="16"/>
              </w:rPr>
              <w:t>Access to land</w:t>
            </w:r>
          </w:p>
          <w:p w14:paraId="454AB153" w14:textId="77777777" w:rsidR="00CD6352" w:rsidRPr="00EA7665" w:rsidRDefault="00CD6352" w:rsidP="00C74AEC">
            <w:pPr>
              <w:pStyle w:val="ListParagraph"/>
              <w:keepNext/>
              <w:numPr>
                <w:ilvl w:val="0"/>
                <w:numId w:val="99"/>
              </w:numPr>
              <w:spacing w:after="200" w:line="240" w:lineRule="auto"/>
              <w:rPr>
                <w:rFonts w:ascii="Arial" w:hAnsi="Arial" w:cs="Arial"/>
                <w:iCs/>
                <w:sz w:val="16"/>
                <w:szCs w:val="16"/>
              </w:rPr>
            </w:pPr>
            <w:r w:rsidRPr="00EA7665">
              <w:rPr>
                <w:rFonts w:ascii="Arial" w:hAnsi="Arial" w:cs="Arial"/>
                <w:iCs/>
                <w:sz w:val="16"/>
                <w:szCs w:val="16"/>
              </w:rPr>
              <w:t>Familiarity with  local legislation &amp; clear contract term</w:t>
            </w:r>
          </w:p>
          <w:p w14:paraId="5D8187A1" w14:textId="35FF9D18" w:rsidR="00CD6352" w:rsidRPr="00EA7665" w:rsidRDefault="00CD6352" w:rsidP="00C74AEC">
            <w:pPr>
              <w:pStyle w:val="ListParagraph"/>
              <w:keepNext/>
              <w:numPr>
                <w:ilvl w:val="0"/>
                <w:numId w:val="99"/>
              </w:numPr>
              <w:spacing w:after="200" w:line="240" w:lineRule="auto"/>
              <w:rPr>
                <w:rFonts w:ascii="Arial" w:hAnsi="Arial" w:cs="Arial"/>
                <w:iCs/>
                <w:sz w:val="16"/>
                <w:szCs w:val="16"/>
              </w:rPr>
            </w:pPr>
            <w:r w:rsidRPr="00EA7665">
              <w:rPr>
                <w:rFonts w:ascii="Arial" w:hAnsi="Arial" w:cs="Arial"/>
                <w:iCs/>
                <w:sz w:val="16"/>
                <w:szCs w:val="16"/>
              </w:rPr>
              <w:t>The expected debt</w:t>
            </w:r>
            <w:r w:rsidR="00173455">
              <w:rPr>
                <w:rFonts w:ascii="Arial" w:hAnsi="Arial" w:cs="Arial"/>
                <w:iCs/>
                <w:sz w:val="16"/>
                <w:szCs w:val="16"/>
              </w:rPr>
              <w:t>-</w:t>
            </w:r>
            <w:r w:rsidRPr="00EA7665">
              <w:rPr>
                <w:rFonts w:ascii="Arial" w:hAnsi="Arial" w:cs="Arial"/>
                <w:iCs/>
                <w:sz w:val="16"/>
                <w:szCs w:val="16"/>
              </w:rPr>
              <w:t>paying ability of the project</w:t>
            </w:r>
          </w:p>
          <w:p w14:paraId="4D3D1A75" w14:textId="77777777" w:rsidR="00CD6352" w:rsidRPr="00EA7665" w:rsidRDefault="00CD6352" w:rsidP="00C74AEC">
            <w:pPr>
              <w:pStyle w:val="ListParagraph"/>
              <w:keepNext/>
              <w:numPr>
                <w:ilvl w:val="0"/>
                <w:numId w:val="99"/>
              </w:numPr>
              <w:spacing w:after="200" w:line="240" w:lineRule="auto"/>
              <w:rPr>
                <w:rFonts w:ascii="Arial" w:hAnsi="Arial" w:cs="Arial"/>
                <w:iCs/>
                <w:sz w:val="16"/>
                <w:szCs w:val="16"/>
              </w:rPr>
            </w:pPr>
            <w:r w:rsidRPr="00EA7665">
              <w:rPr>
                <w:rFonts w:ascii="Arial" w:hAnsi="Arial" w:cs="Arial"/>
                <w:iCs/>
                <w:sz w:val="16"/>
                <w:szCs w:val="16"/>
              </w:rPr>
              <w:t>Liquidity management</w:t>
            </w:r>
          </w:p>
        </w:tc>
      </w:tr>
    </w:tbl>
    <w:p w14:paraId="7AD44F6B" w14:textId="7ACC2037" w:rsidR="00CD6352" w:rsidRPr="00EA7665" w:rsidRDefault="00CD6352" w:rsidP="00CD6352">
      <w:pPr>
        <w:spacing w:before="240" w:line="360" w:lineRule="auto"/>
        <w:jc w:val="both"/>
        <w:rPr>
          <w:rFonts w:ascii="Arial" w:eastAsia="Calibri" w:hAnsi="Arial" w:cs="Arial"/>
        </w:rPr>
      </w:pPr>
      <w:r w:rsidRPr="00EA7665">
        <w:rPr>
          <w:rFonts w:ascii="Arial" w:hAnsi="Arial" w:cs="Arial"/>
          <w:iCs/>
          <w:color w:val="000000" w:themeColor="text1"/>
        </w:rPr>
        <w:t>At the disaggregate level</w:t>
      </w:r>
      <w:r w:rsidR="00173455">
        <w:rPr>
          <w:rFonts w:ascii="Arial" w:hAnsi="Arial" w:cs="Arial"/>
          <w:iCs/>
          <w:color w:val="000000" w:themeColor="text1"/>
        </w:rPr>
        <w:t>,</w:t>
      </w:r>
      <w:r w:rsidRPr="00EA7665">
        <w:rPr>
          <w:rFonts w:ascii="Arial" w:hAnsi="Arial" w:cs="Arial"/>
          <w:iCs/>
          <w:color w:val="000000" w:themeColor="text1"/>
        </w:rPr>
        <w:t xml:space="preserve"> the managers in both </w:t>
      </w:r>
      <w:r w:rsidR="0076450C">
        <w:rPr>
          <w:rFonts w:ascii="Arial" w:hAnsi="Arial" w:cs="Arial"/>
          <w:iCs/>
          <w:color w:val="000000" w:themeColor="text1"/>
        </w:rPr>
        <w:t>developed and emerging economies ranked land among the top five critical success factors for securing real estate project development finance</w:t>
      </w:r>
      <w:r w:rsidRPr="00EA7665">
        <w:rPr>
          <w:rFonts w:ascii="Arial" w:hAnsi="Arial" w:cs="Arial"/>
          <w:iCs/>
          <w:color w:val="000000" w:themeColor="text1"/>
        </w:rPr>
        <w:t>.</w:t>
      </w:r>
      <w:r w:rsidRPr="00EA7665">
        <w:rPr>
          <w:rFonts w:ascii="Arial" w:eastAsia="Calibri" w:hAnsi="Arial" w:cs="Arial"/>
        </w:rPr>
        <w:t xml:space="preserve"> This finding is in line with existing literature </w:t>
      </w:r>
      <w:r w:rsidR="00B130A6">
        <w:rPr>
          <w:rFonts w:ascii="Arial" w:eastAsia="Calibri" w:hAnsi="Arial" w:cs="Arial"/>
        </w:rPr>
        <w:t>that demonstrates that physical resources such as land are considered internal critical success factors,</w:t>
      </w:r>
      <w:r w:rsidRPr="00EA7665">
        <w:rPr>
          <w:rFonts w:ascii="Arial" w:eastAsia="Calibri" w:hAnsi="Arial" w:cs="Arial"/>
        </w:rPr>
        <w:t xml:space="preserve"> and firms with superior resources and capabilities would witness more growth (Kim et al</w:t>
      </w:r>
      <w:r w:rsidR="00B130A6">
        <w:rPr>
          <w:rFonts w:ascii="Arial" w:eastAsia="Calibri" w:hAnsi="Arial" w:cs="Arial"/>
        </w:rPr>
        <w:t>.</w:t>
      </w:r>
      <w:r w:rsidRPr="00EA7665">
        <w:rPr>
          <w:rFonts w:ascii="Arial" w:eastAsia="Calibri" w:hAnsi="Arial" w:cs="Arial"/>
        </w:rPr>
        <w:t xml:space="preserve">, 2018; Khadijah et al, 2017). </w:t>
      </w:r>
    </w:p>
    <w:p w14:paraId="3DF7B255" w14:textId="3C91216E" w:rsidR="00CD6352" w:rsidRPr="00EA7665" w:rsidRDefault="00CD6352" w:rsidP="00CD6352">
      <w:pPr>
        <w:spacing w:before="240" w:line="360" w:lineRule="auto"/>
        <w:jc w:val="both"/>
        <w:rPr>
          <w:rFonts w:ascii="Arial" w:hAnsi="Arial" w:cs="Arial"/>
        </w:rPr>
      </w:pPr>
      <w:r w:rsidRPr="00EA7665">
        <w:rPr>
          <w:rFonts w:ascii="Arial" w:hAnsi="Arial" w:cs="Arial"/>
        </w:rPr>
        <w:t xml:space="preserve">The developed economies generally have favourable macro-economic </w:t>
      </w:r>
      <w:r w:rsidR="00997245" w:rsidRPr="00EA7665">
        <w:rPr>
          <w:rFonts w:ascii="Arial" w:hAnsi="Arial" w:cs="Arial"/>
        </w:rPr>
        <w:t>conditions,</w:t>
      </w:r>
      <w:r w:rsidRPr="00EA7665">
        <w:rPr>
          <w:rFonts w:ascii="Arial" w:hAnsi="Arial" w:cs="Arial"/>
        </w:rPr>
        <w:t xml:space="preserve"> matured economies, transparent markets and high-quality legal syste</w:t>
      </w:r>
      <w:r>
        <w:rPr>
          <w:rFonts w:ascii="Arial" w:hAnsi="Arial" w:cs="Arial"/>
        </w:rPr>
        <w:t>ms</w:t>
      </w:r>
      <w:r w:rsidRPr="00EA7665">
        <w:rPr>
          <w:rFonts w:ascii="Arial" w:hAnsi="Arial" w:cs="Arial"/>
        </w:rPr>
        <w:t xml:space="preserve">. Hence the external critical success factors for securing finance </w:t>
      </w:r>
      <w:r>
        <w:rPr>
          <w:rFonts w:ascii="Arial" w:hAnsi="Arial" w:cs="Arial"/>
        </w:rPr>
        <w:t xml:space="preserve">in </w:t>
      </w:r>
      <w:r w:rsidRPr="00EA7665">
        <w:rPr>
          <w:rFonts w:ascii="Arial" w:hAnsi="Arial" w:cs="Arial"/>
        </w:rPr>
        <w:t xml:space="preserve">the developed economies have been mostly fulfilled. The external critical success factors for securing finance for real estate project development are factors external to the firm but critical to their ability to secure finance. They include social, technological, economic, </w:t>
      </w:r>
      <w:r w:rsidR="00997245" w:rsidRPr="00EA7665">
        <w:rPr>
          <w:rFonts w:ascii="Arial" w:hAnsi="Arial" w:cs="Arial"/>
        </w:rPr>
        <w:t>political,</w:t>
      </w:r>
      <w:r w:rsidRPr="00EA7665">
        <w:rPr>
          <w:rFonts w:ascii="Arial" w:hAnsi="Arial" w:cs="Arial"/>
        </w:rPr>
        <w:t xml:space="preserve"> and legal factors (Oladokun and Ogunbiyi, 2018)</w:t>
      </w:r>
    </w:p>
    <w:p w14:paraId="62814776" w14:textId="5916B1DB" w:rsidR="00CD6352" w:rsidRPr="00EA7665" w:rsidRDefault="00CD6352" w:rsidP="00CD6352">
      <w:pPr>
        <w:spacing w:before="240" w:line="360" w:lineRule="auto"/>
        <w:jc w:val="both"/>
        <w:rPr>
          <w:rFonts w:ascii="Arial" w:hAnsi="Arial" w:cs="Arial"/>
        </w:rPr>
      </w:pPr>
      <w:r w:rsidRPr="00EA7665">
        <w:rPr>
          <w:rFonts w:ascii="Arial" w:hAnsi="Arial" w:cs="Arial"/>
        </w:rPr>
        <w:t>In addition to land</w:t>
      </w:r>
      <w:r>
        <w:rPr>
          <w:rFonts w:ascii="Arial" w:hAnsi="Arial" w:cs="Arial"/>
        </w:rPr>
        <w:t>,</w:t>
      </w:r>
      <w:r w:rsidRPr="00EA7665">
        <w:rPr>
          <w:rFonts w:ascii="Arial" w:hAnsi="Arial" w:cs="Arial"/>
        </w:rPr>
        <w:t xml:space="preserve"> managers in Germany also consider familiarity with local legislations and clear contract terms, financial modelling with realistic assumptions, stable macro-economic environment, </w:t>
      </w:r>
      <w:r w:rsidR="00173455">
        <w:rPr>
          <w:rFonts w:ascii="Arial" w:hAnsi="Arial" w:cs="Arial"/>
        </w:rPr>
        <w:t xml:space="preserve">the </w:t>
      </w:r>
      <w:r w:rsidRPr="00EA7665">
        <w:rPr>
          <w:rFonts w:ascii="Arial" w:hAnsi="Arial" w:cs="Arial"/>
        </w:rPr>
        <w:t xml:space="preserve">existence of enabling policy and legal framework </w:t>
      </w:r>
      <w:r>
        <w:rPr>
          <w:rFonts w:ascii="Arial" w:hAnsi="Arial" w:cs="Arial"/>
        </w:rPr>
        <w:t>amongst the top five factors</w:t>
      </w:r>
      <w:r w:rsidRPr="00EA7665">
        <w:rPr>
          <w:rFonts w:ascii="Arial" w:hAnsi="Arial" w:cs="Arial"/>
        </w:rPr>
        <w:t xml:space="preserve"> critical to their ability to secure finance for real estate project development. Managers in the UK consider the business plan, </w:t>
      </w:r>
      <w:r w:rsidR="0076450C">
        <w:rPr>
          <w:rFonts w:ascii="Arial" w:hAnsi="Arial" w:cs="Arial"/>
        </w:rPr>
        <w:t>the company's financial capacity,</w:t>
      </w:r>
      <w:r w:rsidRPr="00EA7665">
        <w:rPr>
          <w:rFonts w:ascii="Arial" w:hAnsi="Arial" w:cs="Arial"/>
        </w:rPr>
        <w:t xml:space="preserve"> and </w:t>
      </w:r>
      <w:r w:rsidR="0076450C">
        <w:rPr>
          <w:rFonts w:ascii="Arial" w:hAnsi="Arial" w:cs="Arial"/>
        </w:rPr>
        <w:t xml:space="preserve">the </w:t>
      </w:r>
      <w:r w:rsidRPr="00EA7665">
        <w:rPr>
          <w:rFonts w:ascii="Arial" w:hAnsi="Arial" w:cs="Arial"/>
        </w:rPr>
        <w:t xml:space="preserve">project manager’s experience as </w:t>
      </w:r>
      <w:r>
        <w:rPr>
          <w:rFonts w:ascii="Arial" w:hAnsi="Arial" w:cs="Arial"/>
        </w:rPr>
        <w:t xml:space="preserve">top </w:t>
      </w:r>
      <w:r w:rsidRPr="00EA7665">
        <w:rPr>
          <w:rFonts w:ascii="Arial" w:hAnsi="Arial" w:cs="Arial"/>
        </w:rPr>
        <w:t>critical</w:t>
      </w:r>
      <w:r>
        <w:rPr>
          <w:rFonts w:ascii="Arial" w:hAnsi="Arial" w:cs="Arial"/>
        </w:rPr>
        <w:t xml:space="preserve"> factors</w:t>
      </w:r>
      <w:r w:rsidRPr="00EA7665">
        <w:rPr>
          <w:rFonts w:ascii="Arial" w:hAnsi="Arial" w:cs="Arial"/>
        </w:rPr>
        <w:t xml:space="preserve"> for securing </w:t>
      </w:r>
      <w:r w:rsidR="0076450C">
        <w:rPr>
          <w:rFonts w:ascii="Arial" w:hAnsi="Arial" w:cs="Arial"/>
        </w:rPr>
        <w:t>real estate project development finance</w:t>
      </w:r>
      <w:r w:rsidRPr="00EA7665">
        <w:rPr>
          <w:rFonts w:ascii="Arial" w:hAnsi="Arial" w:cs="Arial"/>
        </w:rPr>
        <w:t xml:space="preserve">. The </w:t>
      </w:r>
      <w:r>
        <w:rPr>
          <w:rFonts w:ascii="Arial" w:hAnsi="Arial" w:cs="Arial"/>
        </w:rPr>
        <w:t xml:space="preserve">top </w:t>
      </w:r>
      <w:r w:rsidRPr="00EA7665">
        <w:rPr>
          <w:rFonts w:ascii="Arial" w:hAnsi="Arial" w:cs="Arial"/>
        </w:rPr>
        <w:t>critical success factors in the US also includ</w:t>
      </w:r>
      <w:r>
        <w:rPr>
          <w:rFonts w:ascii="Arial" w:hAnsi="Arial" w:cs="Arial"/>
        </w:rPr>
        <w:t xml:space="preserve">e </w:t>
      </w:r>
      <w:r w:rsidRPr="00EA7665">
        <w:rPr>
          <w:rFonts w:ascii="Arial" w:hAnsi="Arial" w:cs="Arial"/>
        </w:rPr>
        <w:t>familiarity with local legislation &amp; clear contract terms, financial modelling with realistic assumptions, profitability of the project,</w:t>
      </w:r>
      <w:r w:rsidRPr="00EA7665">
        <w:rPr>
          <w:rFonts w:ascii="Arial" w:hAnsi="Arial" w:cs="Arial"/>
          <w:sz w:val="16"/>
          <w:szCs w:val="16"/>
        </w:rPr>
        <w:t xml:space="preserve"> </w:t>
      </w:r>
      <w:r w:rsidRPr="00EA7665">
        <w:rPr>
          <w:rFonts w:ascii="Arial" w:hAnsi="Arial" w:cs="Arial"/>
        </w:rPr>
        <w:t xml:space="preserve">project technical feasibility, stable macro-economic environment, stable political and social </w:t>
      </w:r>
      <w:r w:rsidRPr="00EA7665">
        <w:rPr>
          <w:rFonts w:ascii="Arial" w:hAnsi="Arial" w:cs="Arial"/>
        </w:rPr>
        <w:lastRenderedPageBreak/>
        <w:t xml:space="preserve">environment, the financial capacity of the organisation. All these responses </w:t>
      </w:r>
      <w:r>
        <w:rPr>
          <w:rFonts w:ascii="Arial" w:hAnsi="Arial" w:cs="Arial"/>
        </w:rPr>
        <w:t>highlight</w:t>
      </w:r>
      <w:r w:rsidRPr="00EA7665">
        <w:rPr>
          <w:rFonts w:ascii="Arial" w:hAnsi="Arial" w:cs="Arial"/>
        </w:rPr>
        <w:t xml:space="preserve"> the importance of the internal critical success factors to managers in the developed economies and these factors are </w:t>
      </w:r>
      <w:r>
        <w:rPr>
          <w:rFonts w:ascii="Arial" w:hAnsi="Arial" w:cs="Arial"/>
        </w:rPr>
        <w:t xml:space="preserve">mostly </w:t>
      </w:r>
      <w:r w:rsidRPr="00EA7665">
        <w:rPr>
          <w:rFonts w:ascii="Arial" w:hAnsi="Arial" w:cs="Arial"/>
        </w:rPr>
        <w:t>within the control of the managers (</w:t>
      </w:r>
      <w:r w:rsidR="0039761D" w:rsidRPr="0039761D">
        <w:rPr>
          <w:rFonts w:ascii="Arial" w:hAnsi="Arial" w:cs="Arial"/>
        </w:rPr>
        <w:t>Khadijah et al</w:t>
      </w:r>
      <w:r w:rsidR="001006E8">
        <w:rPr>
          <w:rFonts w:ascii="Arial" w:hAnsi="Arial" w:cs="Arial"/>
        </w:rPr>
        <w:t>.</w:t>
      </w:r>
      <w:r w:rsidR="0039761D" w:rsidRPr="0039761D">
        <w:rPr>
          <w:rFonts w:ascii="Arial" w:hAnsi="Arial" w:cs="Arial"/>
        </w:rPr>
        <w:t>, 2017</w:t>
      </w:r>
      <w:r w:rsidRPr="00EA7665">
        <w:rPr>
          <w:rFonts w:ascii="Arial" w:hAnsi="Arial" w:cs="Arial"/>
        </w:rPr>
        <w:t xml:space="preserve">). </w:t>
      </w:r>
    </w:p>
    <w:p w14:paraId="149F58E1" w14:textId="481F4271" w:rsidR="00CD6352" w:rsidRDefault="00CD6352" w:rsidP="00CD6352">
      <w:pPr>
        <w:spacing w:before="240" w:line="360" w:lineRule="auto"/>
        <w:jc w:val="both"/>
        <w:rPr>
          <w:rFonts w:ascii="Arial" w:hAnsi="Arial" w:cs="Arial"/>
        </w:rPr>
      </w:pPr>
      <w:r w:rsidRPr="00EA7665">
        <w:rPr>
          <w:rFonts w:ascii="Arial" w:hAnsi="Arial" w:cs="Arial"/>
        </w:rPr>
        <w:t xml:space="preserve">The </w:t>
      </w:r>
      <w:r w:rsidR="00B130A6">
        <w:rPr>
          <w:rFonts w:ascii="Arial" w:hAnsi="Arial" w:cs="Arial"/>
        </w:rPr>
        <w:t>emerging economies' manager</w:t>
      </w:r>
      <w:r w:rsidRPr="00EA7665">
        <w:rPr>
          <w:rFonts w:ascii="Arial" w:hAnsi="Arial" w:cs="Arial"/>
        </w:rPr>
        <w:t xml:space="preserve">s also consider a blend of both internal and external factors </w:t>
      </w:r>
      <w:r w:rsidR="0076450C">
        <w:rPr>
          <w:rFonts w:ascii="Arial" w:hAnsi="Arial" w:cs="Arial"/>
        </w:rPr>
        <w:t>extremely critical for securing real estate project development finance</w:t>
      </w:r>
      <w:r w:rsidRPr="00EA7665">
        <w:rPr>
          <w:rFonts w:ascii="Arial" w:hAnsi="Arial" w:cs="Arial"/>
        </w:rPr>
        <w:t>. Managers in China consider the profitability of</w:t>
      </w:r>
      <w:r>
        <w:rPr>
          <w:rFonts w:ascii="Arial" w:hAnsi="Arial" w:cs="Arial"/>
        </w:rPr>
        <w:t xml:space="preserve"> </w:t>
      </w:r>
      <w:r w:rsidR="00997245">
        <w:rPr>
          <w:rFonts w:ascii="Arial" w:hAnsi="Arial" w:cs="Arial"/>
        </w:rPr>
        <w:t xml:space="preserve">a </w:t>
      </w:r>
      <w:r w:rsidR="00997245" w:rsidRPr="00EA7665">
        <w:rPr>
          <w:rFonts w:ascii="Arial" w:hAnsi="Arial" w:cs="Arial"/>
        </w:rPr>
        <w:t>project</w:t>
      </w:r>
      <w:r w:rsidRPr="00EA7665">
        <w:rPr>
          <w:rFonts w:ascii="Arial" w:hAnsi="Arial" w:cs="Arial"/>
        </w:rPr>
        <w:t xml:space="preserve"> </w:t>
      </w:r>
      <w:r>
        <w:rPr>
          <w:rFonts w:ascii="Arial" w:hAnsi="Arial" w:cs="Arial"/>
        </w:rPr>
        <w:t>as</w:t>
      </w:r>
      <w:r w:rsidRPr="00EA7665">
        <w:rPr>
          <w:rFonts w:ascii="Arial" w:hAnsi="Arial" w:cs="Arial"/>
        </w:rPr>
        <w:t xml:space="preserve"> extremely critical as access to land. The next se</w:t>
      </w:r>
      <w:r>
        <w:rPr>
          <w:rFonts w:ascii="Arial" w:hAnsi="Arial" w:cs="Arial"/>
        </w:rPr>
        <w:t>t</w:t>
      </w:r>
      <w:r w:rsidRPr="00EA7665">
        <w:rPr>
          <w:rFonts w:ascii="Arial" w:hAnsi="Arial" w:cs="Arial"/>
        </w:rPr>
        <w:t xml:space="preserve"> of factors considered </w:t>
      </w:r>
      <w:r w:rsidR="00B130A6">
        <w:rPr>
          <w:rFonts w:ascii="Arial" w:hAnsi="Arial" w:cs="Arial"/>
        </w:rPr>
        <w:t>extremely critical for managers in China is liquidity management, the manager’s ability and skills, the project manager’s experience, and the project's expected debt-paying ability</w:t>
      </w:r>
      <w:r w:rsidRPr="00EA7665">
        <w:rPr>
          <w:rFonts w:ascii="Arial" w:hAnsi="Arial" w:cs="Arial"/>
        </w:rPr>
        <w:t>.</w:t>
      </w:r>
      <w:r>
        <w:rPr>
          <w:rFonts w:ascii="Arial" w:hAnsi="Arial" w:cs="Arial"/>
        </w:rPr>
        <w:t xml:space="preserve"> </w:t>
      </w:r>
      <w:r w:rsidRPr="00EA7665">
        <w:rPr>
          <w:rFonts w:ascii="Arial" w:hAnsi="Arial" w:cs="Arial"/>
        </w:rPr>
        <w:t xml:space="preserve">However, managers in Nigeria consider the </w:t>
      </w:r>
      <w:r w:rsidR="00B130A6">
        <w:rPr>
          <w:rFonts w:ascii="Arial" w:hAnsi="Arial" w:cs="Arial"/>
        </w:rPr>
        <w:t>organisation's financial capacity</w:t>
      </w:r>
      <w:r w:rsidRPr="00EA7665">
        <w:rPr>
          <w:rFonts w:ascii="Arial" w:hAnsi="Arial" w:cs="Arial"/>
        </w:rPr>
        <w:t xml:space="preserve"> and meeting of project timeline </w:t>
      </w:r>
      <w:r>
        <w:rPr>
          <w:rFonts w:ascii="Arial" w:hAnsi="Arial" w:cs="Arial"/>
        </w:rPr>
        <w:t>and</w:t>
      </w:r>
      <w:r w:rsidRPr="00EA7665">
        <w:rPr>
          <w:rFonts w:ascii="Arial" w:hAnsi="Arial" w:cs="Arial"/>
        </w:rPr>
        <w:t xml:space="preserve"> control of project performance extremely critical to access to land (see </w:t>
      </w:r>
      <w:r w:rsidRPr="008C5C0B">
        <w:rPr>
          <w:rFonts w:ascii="Arial" w:hAnsi="Arial" w:cs="Arial"/>
        </w:rPr>
        <w:t>table 6.</w:t>
      </w:r>
      <w:r w:rsidR="008C5C0B">
        <w:rPr>
          <w:rFonts w:ascii="Arial" w:hAnsi="Arial" w:cs="Arial"/>
        </w:rPr>
        <w:t>2.</w:t>
      </w:r>
      <w:r w:rsidRPr="008C5C0B">
        <w:rPr>
          <w:rFonts w:ascii="Arial" w:hAnsi="Arial" w:cs="Arial"/>
        </w:rPr>
        <w:t>3). This</w:t>
      </w:r>
      <w:r w:rsidRPr="00EA7665">
        <w:rPr>
          <w:rFonts w:ascii="Arial" w:hAnsi="Arial" w:cs="Arial"/>
        </w:rPr>
        <w:t xml:space="preserve"> </w:t>
      </w:r>
      <w:r>
        <w:rPr>
          <w:rFonts w:ascii="Arial" w:hAnsi="Arial" w:cs="Arial"/>
        </w:rPr>
        <w:t>arguably is</w:t>
      </w:r>
      <w:r w:rsidRPr="00EA7665">
        <w:rPr>
          <w:rFonts w:ascii="Arial" w:hAnsi="Arial" w:cs="Arial"/>
        </w:rPr>
        <w:t xml:space="preserve"> because of the various public/ private partnership initiatives in Nigeria</w:t>
      </w:r>
      <w:r w:rsidR="008C5C0B">
        <w:rPr>
          <w:rFonts w:ascii="Arial" w:hAnsi="Arial" w:cs="Arial"/>
        </w:rPr>
        <w:t>,</w:t>
      </w:r>
      <w:r w:rsidRPr="00EA7665">
        <w:rPr>
          <w:rFonts w:ascii="Arial" w:hAnsi="Arial" w:cs="Arial"/>
        </w:rPr>
        <w:t xml:space="preserve"> which enables the real </w:t>
      </w:r>
      <w:r>
        <w:rPr>
          <w:rFonts w:ascii="Arial" w:hAnsi="Arial" w:cs="Arial"/>
        </w:rPr>
        <w:t>estate</w:t>
      </w:r>
      <w:r w:rsidRPr="00EA7665">
        <w:rPr>
          <w:rFonts w:ascii="Arial" w:hAnsi="Arial" w:cs="Arial"/>
        </w:rPr>
        <w:t xml:space="preserve"> </w:t>
      </w:r>
      <w:r>
        <w:rPr>
          <w:rFonts w:ascii="Arial" w:hAnsi="Arial" w:cs="Arial"/>
        </w:rPr>
        <w:t>manager</w:t>
      </w:r>
      <w:r w:rsidRPr="00EA7665">
        <w:rPr>
          <w:rFonts w:ascii="Arial" w:hAnsi="Arial" w:cs="Arial"/>
        </w:rPr>
        <w:t xml:space="preserve"> and his team</w:t>
      </w:r>
      <w:r>
        <w:rPr>
          <w:rFonts w:ascii="Arial" w:hAnsi="Arial" w:cs="Arial"/>
        </w:rPr>
        <w:t xml:space="preserve"> to</w:t>
      </w:r>
      <w:r w:rsidRPr="00EA7665">
        <w:rPr>
          <w:rFonts w:ascii="Arial" w:hAnsi="Arial" w:cs="Arial"/>
        </w:rPr>
        <w:t xml:space="preserve"> bring onboard their skills while the government provides the land and an enabling environment (Ameyaw E.E and Chan. A. P.C, 2016). Conversely, </w:t>
      </w:r>
      <w:r w:rsidR="00C7137F">
        <w:rPr>
          <w:rFonts w:ascii="Arial" w:hAnsi="Arial" w:cs="Arial"/>
        </w:rPr>
        <w:t>South African managers consider the project's profitability as extremely critical as access to land; this is followed by project technical feasibility, risks allocation and risk sharing, the expected debt-paying ability of the project,</w:t>
      </w:r>
      <w:r w:rsidRPr="00EA7665">
        <w:rPr>
          <w:rFonts w:ascii="Arial" w:hAnsi="Arial" w:cs="Arial"/>
        </w:rPr>
        <w:t xml:space="preserve"> and the project manager</w:t>
      </w:r>
      <w:r>
        <w:rPr>
          <w:rFonts w:ascii="Arial" w:hAnsi="Arial" w:cs="Arial"/>
        </w:rPr>
        <w:t>’s</w:t>
      </w:r>
      <w:r w:rsidRPr="00EA7665">
        <w:rPr>
          <w:rFonts w:ascii="Arial" w:hAnsi="Arial" w:cs="Arial"/>
        </w:rPr>
        <w:t xml:space="preserve"> experience (see table 6.</w:t>
      </w:r>
      <w:r w:rsidR="00173455">
        <w:rPr>
          <w:rFonts w:ascii="Arial" w:hAnsi="Arial" w:cs="Arial"/>
        </w:rPr>
        <w:t>2.</w:t>
      </w:r>
      <w:r w:rsidR="00557763">
        <w:rPr>
          <w:rFonts w:ascii="Arial" w:hAnsi="Arial" w:cs="Arial"/>
        </w:rPr>
        <w:t>3</w:t>
      </w:r>
      <w:r w:rsidRPr="00EA7665">
        <w:rPr>
          <w:rFonts w:ascii="Arial" w:hAnsi="Arial" w:cs="Arial"/>
        </w:rPr>
        <w:t xml:space="preserve">). </w:t>
      </w:r>
    </w:p>
    <w:p w14:paraId="40216F81" w14:textId="77777777" w:rsidR="00CD6352" w:rsidRDefault="00CD6352" w:rsidP="00CD6352">
      <w:pPr>
        <w:pStyle w:val="Heading3"/>
        <w:rPr>
          <w:sz w:val="22"/>
          <w:szCs w:val="22"/>
        </w:rPr>
      </w:pPr>
      <w:bookmarkStart w:id="1163" w:name="_Toc78983861"/>
      <w:r w:rsidRPr="004E58CD">
        <w:rPr>
          <w:sz w:val="22"/>
          <w:szCs w:val="22"/>
        </w:rPr>
        <w:t>The relationship between the management level and the critical success factors</w:t>
      </w:r>
      <w:bookmarkEnd w:id="1163"/>
    </w:p>
    <w:p w14:paraId="5DBF7171" w14:textId="77777777" w:rsidR="00CD6352" w:rsidRPr="005022CC" w:rsidRDefault="00CD6352" w:rsidP="00CD6352"/>
    <w:p w14:paraId="55E39E57" w14:textId="65B7E98C" w:rsidR="00173455" w:rsidRPr="00997245" w:rsidRDefault="00173455" w:rsidP="00173455">
      <w:pPr>
        <w:pStyle w:val="Caption"/>
        <w:keepNext/>
        <w:rPr>
          <w:rFonts w:ascii="Arial" w:hAnsi="Arial" w:cs="Arial"/>
        </w:rPr>
      </w:pPr>
      <w:bookmarkStart w:id="1164" w:name="_Toc78983980"/>
      <w:r>
        <w:t xml:space="preserve">Table </w:t>
      </w:r>
      <w:fldSimple w:instr=" STYLEREF 2 \s ">
        <w:r w:rsidR="008F25B1">
          <w:rPr>
            <w:noProof/>
          </w:rPr>
          <w:t>6.2</w:t>
        </w:r>
      </w:fldSimple>
      <w:r w:rsidR="008F25B1">
        <w:noBreakHyphen/>
      </w:r>
      <w:fldSimple w:instr=" SEQ Table \* ARABIC \s 2 ">
        <w:r w:rsidR="008F25B1">
          <w:rPr>
            <w:noProof/>
          </w:rPr>
          <w:t>4</w:t>
        </w:r>
      </w:fldSimple>
      <w:r>
        <w:t xml:space="preserve">: </w:t>
      </w:r>
      <w:r w:rsidRPr="00997245">
        <w:rPr>
          <w:rFonts w:ascii="Arial" w:hAnsi="Arial" w:cs="Arial"/>
        </w:rPr>
        <w:t>Spearman correlation test for the relationship between the critical success factors for securing finance for real estate project development and the level of management</w:t>
      </w:r>
      <w:bookmarkEnd w:id="1164"/>
    </w:p>
    <w:tbl>
      <w:tblPr>
        <w:tblW w:w="8075" w:type="dxa"/>
        <w:tblLook w:val="04A0" w:firstRow="1" w:lastRow="0" w:firstColumn="1" w:lastColumn="0" w:noHBand="0" w:noVBand="1"/>
      </w:tblPr>
      <w:tblGrid>
        <w:gridCol w:w="6084"/>
        <w:gridCol w:w="1991"/>
      </w:tblGrid>
      <w:tr w:rsidR="00CD6352" w:rsidRPr="006D4C3C" w14:paraId="09060F95" w14:textId="77777777" w:rsidTr="006D4C3C">
        <w:trPr>
          <w:trHeight w:val="371"/>
        </w:trPr>
        <w:tc>
          <w:tcPr>
            <w:tcW w:w="60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8F84EE"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Spearman rho</w:t>
            </w:r>
          </w:p>
        </w:tc>
        <w:tc>
          <w:tcPr>
            <w:tcW w:w="1991" w:type="dxa"/>
            <w:tcBorders>
              <w:top w:val="single" w:sz="4" w:space="0" w:color="auto"/>
              <w:left w:val="nil"/>
              <w:bottom w:val="single" w:sz="4" w:space="0" w:color="auto"/>
              <w:right w:val="single" w:sz="4" w:space="0" w:color="auto"/>
            </w:tcBorders>
            <w:shd w:val="clear" w:color="auto" w:fill="auto"/>
            <w:vAlign w:val="bottom"/>
            <w:hideMark/>
          </w:tcPr>
          <w:p w14:paraId="53EB681D"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Correlation Coefficient Sig. (2-tailed)</w:t>
            </w:r>
          </w:p>
        </w:tc>
      </w:tr>
      <w:tr w:rsidR="00CD6352" w:rsidRPr="006D4C3C" w14:paraId="3162C8DC"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489081F3"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Mgt level/Job title</w:t>
            </w:r>
          </w:p>
        </w:tc>
        <w:tc>
          <w:tcPr>
            <w:tcW w:w="1991" w:type="dxa"/>
            <w:tcBorders>
              <w:top w:val="nil"/>
              <w:left w:val="nil"/>
              <w:bottom w:val="single" w:sz="4" w:space="0" w:color="auto"/>
              <w:right w:val="single" w:sz="4" w:space="0" w:color="auto"/>
            </w:tcBorders>
            <w:shd w:val="clear" w:color="auto" w:fill="auto"/>
            <w:noWrap/>
            <w:vAlign w:val="bottom"/>
            <w:hideMark/>
          </w:tcPr>
          <w:p w14:paraId="6AD6114E"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1</w:t>
            </w:r>
          </w:p>
        </w:tc>
      </w:tr>
      <w:tr w:rsidR="00CD6352" w:rsidRPr="006D4C3C" w14:paraId="7AED5138"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35C06C93"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Stable macro-economic environment</w:t>
            </w:r>
          </w:p>
        </w:tc>
        <w:tc>
          <w:tcPr>
            <w:tcW w:w="1991" w:type="dxa"/>
            <w:tcBorders>
              <w:top w:val="nil"/>
              <w:left w:val="nil"/>
              <w:bottom w:val="single" w:sz="4" w:space="0" w:color="auto"/>
              <w:right w:val="single" w:sz="4" w:space="0" w:color="auto"/>
            </w:tcBorders>
            <w:shd w:val="clear" w:color="auto" w:fill="auto"/>
            <w:noWrap/>
            <w:vAlign w:val="bottom"/>
            <w:hideMark/>
          </w:tcPr>
          <w:p w14:paraId="32121646"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0.979</w:t>
            </w:r>
          </w:p>
        </w:tc>
      </w:tr>
      <w:tr w:rsidR="00CD6352" w:rsidRPr="006D4C3C" w14:paraId="7933E312" w14:textId="77777777" w:rsidTr="00CD6352">
        <w:trPr>
          <w:trHeight w:val="203"/>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7D51D0B8"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Establishing an appropriate length and form of contract</w:t>
            </w:r>
          </w:p>
        </w:tc>
        <w:tc>
          <w:tcPr>
            <w:tcW w:w="1991" w:type="dxa"/>
            <w:tcBorders>
              <w:top w:val="nil"/>
              <w:left w:val="nil"/>
              <w:bottom w:val="single" w:sz="4" w:space="0" w:color="auto"/>
              <w:right w:val="single" w:sz="4" w:space="0" w:color="auto"/>
            </w:tcBorders>
            <w:shd w:val="clear" w:color="auto" w:fill="auto"/>
            <w:noWrap/>
            <w:vAlign w:val="bottom"/>
            <w:hideMark/>
          </w:tcPr>
          <w:p w14:paraId="46C11AF4"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0.968</w:t>
            </w:r>
          </w:p>
        </w:tc>
      </w:tr>
      <w:tr w:rsidR="00CD6352" w:rsidRPr="006D4C3C" w14:paraId="5812F396"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569B20F9"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Project technical feasibility</w:t>
            </w:r>
          </w:p>
        </w:tc>
        <w:tc>
          <w:tcPr>
            <w:tcW w:w="1991" w:type="dxa"/>
            <w:tcBorders>
              <w:top w:val="nil"/>
              <w:left w:val="nil"/>
              <w:bottom w:val="single" w:sz="4" w:space="0" w:color="auto"/>
              <w:right w:val="single" w:sz="4" w:space="0" w:color="auto"/>
            </w:tcBorders>
            <w:shd w:val="clear" w:color="auto" w:fill="auto"/>
            <w:noWrap/>
            <w:vAlign w:val="bottom"/>
            <w:hideMark/>
          </w:tcPr>
          <w:p w14:paraId="184CDEFB"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0.955</w:t>
            </w:r>
          </w:p>
        </w:tc>
      </w:tr>
      <w:tr w:rsidR="00CD6352" w:rsidRPr="006D4C3C" w14:paraId="11523C97"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6A17A85E"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Business plan</w:t>
            </w:r>
          </w:p>
        </w:tc>
        <w:tc>
          <w:tcPr>
            <w:tcW w:w="1991" w:type="dxa"/>
            <w:tcBorders>
              <w:top w:val="nil"/>
              <w:left w:val="nil"/>
              <w:bottom w:val="single" w:sz="4" w:space="0" w:color="auto"/>
              <w:right w:val="single" w:sz="4" w:space="0" w:color="auto"/>
            </w:tcBorders>
            <w:shd w:val="clear" w:color="auto" w:fill="auto"/>
            <w:noWrap/>
            <w:vAlign w:val="bottom"/>
            <w:hideMark/>
          </w:tcPr>
          <w:p w14:paraId="28A3070D"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0.636</w:t>
            </w:r>
          </w:p>
        </w:tc>
      </w:tr>
      <w:tr w:rsidR="00CD6352" w:rsidRPr="006D4C3C" w14:paraId="4990A86B"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1AEB2F8B"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Project manager’s experience</w:t>
            </w:r>
          </w:p>
        </w:tc>
        <w:tc>
          <w:tcPr>
            <w:tcW w:w="1991" w:type="dxa"/>
            <w:tcBorders>
              <w:top w:val="nil"/>
              <w:left w:val="nil"/>
              <w:bottom w:val="single" w:sz="4" w:space="0" w:color="auto"/>
              <w:right w:val="single" w:sz="4" w:space="0" w:color="auto"/>
            </w:tcBorders>
            <w:shd w:val="clear" w:color="auto" w:fill="auto"/>
            <w:noWrap/>
            <w:vAlign w:val="bottom"/>
            <w:hideMark/>
          </w:tcPr>
          <w:p w14:paraId="4B8BB44C"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0.632</w:t>
            </w:r>
          </w:p>
        </w:tc>
      </w:tr>
      <w:tr w:rsidR="00CD6352" w:rsidRPr="006D4C3C" w14:paraId="6CA45DB3"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4D99DE6C" w14:textId="18B54F6C"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Risks allocation and risk</w:t>
            </w:r>
            <w:r w:rsidR="00557763" w:rsidRPr="006D4C3C">
              <w:rPr>
                <w:rFonts w:ascii="Arial" w:eastAsia="Times New Roman" w:hAnsi="Arial" w:cs="Arial"/>
                <w:color w:val="000000"/>
                <w:sz w:val="16"/>
                <w:szCs w:val="16"/>
                <w:lang w:eastAsia="en-GB"/>
              </w:rPr>
              <w:t>-</w:t>
            </w:r>
            <w:r w:rsidRPr="006D4C3C">
              <w:rPr>
                <w:rFonts w:ascii="Arial" w:eastAsia="Times New Roman" w:hAnsi="Arial" w:cs="Arial"/>
                <w:color w:val="000000"/>
                <w:sz w:val="16"/>
                <w:szCs w:val="16"/>
                <w:lang w:eastAsia="en-GB"/>
              </w:rPr>
              <w:t>sharing</w:t>
            </w:r>
          </w:p>
        </w:tc>
        <w:tc>
          <w:tcPr>
            <w:tcW w:w="1991" w:type="dxa"/>
            <w:tcBorders>
              <w:top w:val="nil"/>
              <w:left w:val="nil"/>
              <w:bottom w:val="single" w:sz="4" w:space="0" w:color="auto"/>
              <w:right w:val="single" w:sz="4" w:space="0" w:color="auto"/>
            </w:tcBorders>
            <w:shd w:val="clear" w:color="auto" w:fill="auto"/>
            <w:noWrap/>
            <w:vAlign w:val="bottom"/>
            <w:hideMark/>
          </w:tcPr>
          <w:p w14:paraId="22F6AF00"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0.582</w:t>
            </w:r>
          </w:p>
        </w:tc>
      </w:tr>
      <w:tr w:rsidR="00CD6352" w:rsidRPr="006D4C3C" w14:paraId="19690AEB"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78AB9FE6"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Stable political and social environment</w:t>
            </w:r>
          </w:p>
        </w:tc>
        <w:tc>
          <w:tcPr>
            <w:tcW w:w="1991" w:type="dxa"/>
            <w:tcBorders>
              <w:top w:val="nil"/>
              <w:left w:val="nil"/>
              <w:bottom w:val="single" w:sz="4" w:space="0" w:color="auto"/>
              <w:right w:val="single" w:sz="4" w:space="0" w:color="auto"/>
            </w:tcBorders>
            <w:shd w:val="clear" w:color="auto" w:fill="auto"/>
            <w:noWrap/>
            <w:vAlign w:val="bottom"/>
            <w:hideMark/>
          </w:tcPr>
          <w:p w14:paraId="6B222EC4"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0.556</w:t>
            </w:r>
          </w:p>
        </w:tc>
      </w:tr>
      <w:tr w:rsidR="00CD6352" w:rsidRPr="006D4C3C" w14:paraId="1336744A"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6DD49AA2"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Access to relevant update data</w:t>
            </w:r>
          </w:p>
        </w:tc>
        <w:tc>
          <w:tcPr>
            <w:tcW w:w="1991" w:type="dxa"/>
            <w:tcBorders>
              <w:top w:val="nil"/>
              <w:left w:val="nil"/>
              <w:bottom w:val="single" w:sz="4" w:space="0" w:color="auto"/>
              <w:right w:val="single" w:sz="4" w:space="0" w:color="auto"/>
            </w:tcBorders>
            <w:shd w:val="clear" w:color="auto" w:fill="auto"/>
            <w:noWrap/>
            <w:vAlign w:val="bottom"/>
            <w:hideMark/>
          </w:tcPr>
          <w:p w14:paraId="103D1AB6"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0.483</w:t>
            </w:r>
          </w:p>
        </w:tc>
      </w:tr>
      <w:tr w:rsidR="00CD6352" w:rsidRPr="006D4C3C" w14:paraId="07286D18" w14:textId="77777777" w:rsidTr="00CD6352">
        <w:trPr>
          <w:trHeight w:val="31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2B17E8E4"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Shared responsibility between the public and private sector</w:t>
            </w:r>
          </w:p>
        </w:tc>
        <w:tc>
          <w:tcPr>
            <w:tcW w:w="1991" w:type="dxa"/>
            <w:tcBorders>
              <w:top w:val="nil"/>
              <w:left w:val="nil"/>
              <w:bottom w:val="single" w:sz="4" w:space="0" w:color="auto"/>
              <w:right w:val="single" w:sz="4" w:space="0" w:color="auto"/>
            </w:tcBorders>
            <w:shd w:val="clear" w:color="auto" w:fill="auto"/>
            <w:noWrap/>
            <w:vAlign w:val="bottom"/>
            <w:hideMark/>
          </w:tcPr>
          <w:p w14:paraId="4F4E3A89"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0.434</w:t>
            </w:r>
          </w:p>
        </w:tc>
      </w:tr>
      <w:tr w:rsidR="00CD6352" w:rsidRPr="006D4C3C" w14:paraId="0EEE1C02"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34EDE499"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The financial capacity of the organisation</w:t>
            </w:r>
          </w:p>
        </w:tc>
        <w:tc>
          <w:tcPr>
            <w:tcW w:w="1991" w:type="dxa"/>
            <w:tcBorders>
              <w:top w:val="nil"/>
              <w:left w:val="nil"/>
              <w:bottom w:val="single" w:sz="4" w:space="0" w:color="auto"/>
              <w:right w:val="single" w:sz="4" w:space="0" w:color="auto"/>
            </w:tcBorders>
            <w:shd w:val="clear" w:color="auto" w:fill="auto"/>
            <w:noWrap/>
            <w:vAlign w:val="bottom"/>
            <w:hideMark/>
          </w:tcPr>
          <w:p w14:paraId="256781DF"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0.411</w:t>
            </w:r>
          </w:p>
        </w:tc>
      </w:tr>
      <w:tr w:rsidR="00CD6352" w:rsidRPr="006D4C3C" w14:paraId="48B3C50B"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5FB543F4"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Existence of enabling policy and legal framework</w:t>
            </w:r>
          </w:p>
        </w:tc>
        <w:tc>
          <w:tcPr>
            <w:tcW w:w="1991" w:type="dxa"/>
            <w:tcBorders>
              <w:top w:val="nil"/>
              <w:left w:val="nil"/>
              <w:bottom w:val="single" w:sz="4" w:space="0" w:color="auto"/>
              <w:right w:val="single" w:sz="4" w:space="0" w:color="auto"/>
            </w:tcBorders>
            <w:shd w:val="clear" w:color="auto" w:fill="auto"/>
            <w:noWrap/>
            <w:vAlign w:val="bottom"/>
            <w:hideMark/>
          </w:tcPr>
          <w:p w14:paraId="47FCCF91"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0.392</w:t>
            </w:r>
          </w:p>
        </w:tc>
      </w:tr>
      <w:tr w:rsidR="00CD6352" w:rsidRPr="006D4C3C" w14:paraId="6A84EA7C"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339B08E5" w14:textId="74CE4B86"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The expected debt</w:t>
            </w:r>
            <w:r w:rsidR="00557763" w:rsidRPr="006D4C3C">
              <w:rPr>
                <w:rFonts w:ascii="Arial" w:eastAsia="Times New Roman" w:hAnsi="Arial" w:cs="Arial"/>
                <w:color w:val="000000"/>
                <w:sz w:val="16"/>
                <w:szCs w:val="16"/>
                <w:lang w:eastAsia="en-GB"/>
              </w:rPr>
              <w:t>-</w:t>
            </w:r>
            <w:r w:rsidRPr="006D4C3C">
              <w:rPr>
                <w:rFonts w:ascii="Arial" w:eastAsia="Times New Roman" w:hAnsi="Arial" w:cs="Arial"/>
                <w:color w:val="000000"/>
                <w:sz w:val="16"/>
                <w:szCs w:val="16"/>
                <w:lang w:eastAsia="en-GB"/>
              </w:rPr>
              <w:t>paying ability of the project</w:t>
            </w:r>
          </w:p>
        </w:tc>
        <w:tc>
          <w:tcPr>
            <w:tcW w:w="1991" w:type="dxa"/>
            <w:tcBorders>
              <w:top w:val="nil"/>
              <w:left w:val="nil"/>
              <w:bottom w:val="single" w:sz="4" w:space="0" w:color="auto"/>
              <w:right w:val="single" w:sz="4" w:space="0" w:color="auto"/>
            </w:tcBorders>
            <w:shd w:val="clear" w:color="auto" w:fill="auto"/>
            <w:noWrap/>
            <w:vAlign w:val="bottom"/>
            <w:hideMark/>
          </w:tcPr>
          <w:p w14:paraId="5DB1011F"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0.289</w:t>
            </w:r>
          </w:p>
        </w:tc>
      </w:tr>
      <w:tr w:rsidR="00CD6352" w:rsidRPr="006D4C3C" w14:paraId="5163FF0A"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08248A4A" w14:textId="29343C82"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 xml:space="preserve">Assembling </w:t>
            </w:r>
            <w:r w:rsidR="00557763" w:rsidRPr="006D4C3C">
              <w:rPr>
                <w:rFonts w:ascii="Arial" w:eastAsia="Times New Roman" w:hAnsi="Arial" w:cs="Arial"/>
                <w:color w:val="000000"/>
                <w:sz w:val="16"/>
                <w:szCs w:val="16"/>
                <w:lang w:eastAsia="en-GB"/>
              </w:rPr>
              <w:t xml:space="preserve">the </w:t>
            </w:r>
            <w:r w:rsidRPr="006D4C3C">
              <w:rPr>
                <w:rFonts w:ascii="Arial" w:eastAsia="Times New Roman" w:hAnsi="Arial" w:cs="Arial"/>
                <w:color w:val="000000"/>
                <w:sz w:val="16"/>
                <w:szCs w:val="16"/>
                <w:lang w:eastAsia="en-GB"/>
              </w:rPr>
              <w:t>right team of advisors</w:t>
            </w:r>
          </w:p>
        </w:tc>
        <w:tc>
          <w:tcPr>
            <w:tcW w:w="1991" w:type="dxa"/>
            <w:tcBorders>
              <w:top w:val="nil"/>
              <w:left w:val="nil"/>
              <w:bottom w:val="single" w:sz="4" w:space="0" w:color="auto"/>
              <w:right w:val="single" w:sz="4" w:space="0" w:color="auto"/>
            </w:tcBorders>
            <w:shd w:val="clear" w:color="auto" w:fill="auto"/>
            <w:noWrap/>
            <w:vAlign w:val="bottom"/>
            <w:hideMark/>
          </w:tcPr>
          <w:p w14:paraId="7CD9FA4B"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0.273</w:t>
            </w:r>
          </w:p>
        </w:tc>
      </w:tr>
      <w:tr w:rsidR="00CD6352" w:rsidRPr="006D4C3C" w14:paraId="66B3C470"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043BFCC7"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Mgr.’s ability and skills</w:t>
            </w:r>
          </w:p>
        </w:tc>
        <w:tc>
          <w:tcPr>
            <w:tcW w:w="1991" w:type="dxa"/>
            <w:tcBorders>
              <w:top w:val="nil"/>
              <w:left w:val="nil"/>
              <w:bottom w:val="single" w:sz="4" w:space="0" w:color="auto"/>
              <w:right w:val="single" w:sz="4" w:space="0" w:color="auto"/>
            </w:tcBorders>
            <w:shd w:val="clear" w:color="auto" w:fill="auto"/>
            <w:noWrap/>
            <w:vAlign w:val="bottom"/>
            <w:hideMark/>
          </w:tcPr>
          <w:p w14:paraId="0C5CFF1D"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0.212</w:t>
            </w:r>
          </w:p>
        </w:tc>
      </w:tr>
      <w:tr w:rsidR="00CD6352" w:rsidRPr="006D4C3C" w14:paraId="4B2498A6"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1983F2C7"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Liquidity mgt</w:t>
            </w:r>
          </w:p>
        </w:tc>
        <w:tc>
          <w:tcPr>
            <w:tcW w:w="1991" w:type="dxa"/>
            <w:tcBorders>
              <w:top w:val="nil"/>
              <w:left w:val="nil"/>
              <w:bottom w:val="single" w:sz="4" w:space="0" w:color="auto"/>
              <w:right w:val="single" w:sz="4" w:space="0" w:color="auto"/>
            </w:tcBorders>
            <w:shd w:val="clear" w:color="auto" w:fill="auto"/>
            <w:noWrap/>
            <w:vAlign w:val="bottom"/>
            <w:hideMark/>
          </w:tcPr>
          <w:p w14:paraId="760579F5"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0.171</w:t>
            </w:r>
          </w:p>
        </w:tc>
      </w:tr>
      <w:tr w:rsidR="00CD6352" w:rsidRPr="006D4C3C" w14:paraId="5FDC0F7E" w14:textId="77777777" w:rsidTr="00CD6352">
        <w:trPr>
          <w:trHeight w:val="238"/>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560100D4"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Meeting of project timeline &amp; control of project performance</w:t>
            </w:r>
          </w:p>
        </w:tc>
        <w:tc>
          <w:tcPr>
            <w:tcW w:w="1991" w:type="dxa"/>
            <w:tcBorders>
              <w:top w:val="nil"/>
              <w:left w:val="nil"/>
              <w:bottom w:val="single" w:sz="4" w:space="0" w:color="auto"/>
              <w:right w:val="single" w:sz="4" w:space="0" w:color="auto"/>
            </w:tcBorders>
            <w:shd w:val="clear" w:color="auto" w:fill="auto"/>
            <w:noWrap/>
            <w:vAlign w:val="bottom"/>
            <w:hideMark/>
          </w:tcPr>
          <w:p w14:paraId="7F89ADC3"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0.093</w:t>
            </w:r>
          </w:p>
        </w:tc>
      </w:tr>
      <w:tr w:rsidR="00CD6352" w:rsidRPr="006D4C3C" w14:paraId="04C6F0D1"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184B4625"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Financial modelling with realistic assumptions</w:t>
            </w:r>
          </w:p>
        </w:tc>
        <w:tc>
          <w:tcPr>
            <w:tcW w:w="1991" w:type="dxa"/>
            <w:tcBorders>
              <w:top w:val="nil"/>
              <w:left w:val="nil"/>
              <w:bottom w:val="single" w:sz="4" w:space="0" w:color="auto"/>
              <w:right w:val="single" w:sz="4" w:space="0" w:color="auto"/>
            </w:tcBorders>
            <w:shd w:val="clear" w:color="auto" w:fill="auto"/>
            <w:noWrap/>
            <w:vAlign w:val="bottom"/>
            <w:hideMark/>
          </w:tcPr>
          <w:p w14:paraId="1ACEA61A"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0.069</w:t>
            </w:r>
          </w:p>
        </w:tc>
      </w:tr>
      <w:tr w:rsidR="00CD6352" w:rsidRPr="006D4C3C" w14:paraId="6A5578F9"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5F112C55" w14:textId="1F668164" w:rsidR="00CD6352" w:rsidRPr="006D4C3C" w:rsidRDefault="0063235D"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The p</w:t>
            </w:r>
            <w:r w:rsidR="00CD6352" w:rsidRPr="006D4C3C">
              <w:rPr>
                <w:rFonts w:ascii="Arial" w:eastAsia="Times New Roman" w:hAnsi="Arial" w:cs="Arial"/>
                <w:color w:val="000000"/>
                <w:sz w:val="16"/>
                <w:szCs w:val="16"/>
                <w:lang w:eastAsia="en-GB"/>
              </w:rPr>
              <w:t>rofitability of the project</w:t>
            </w:r>
          </w:p>
        </w:tc>
        <w:tc>
          <w:tcPr>
            <w:tcW w:w="1991" w:type="dxa"/>
            <w:tcBorders>
              <w:top w:val="nil"/>
              <w:left w:val="nil"/>
              <w:bottom w:val="single" w:sz="4" w:space="0" w:color="auto"/>
              <w:right w:val="single" w:sz="4" w:space="0" w:color="auto"/>
            </w:tcBorders>
            <w:shd w:val="clear" w:color="auto" w:fill="auto"/>
            <w:noWrap/>
            <w:vAlign w:val="bottom"/>
            <w:hideMark/>
          </w:tcPr>
          <w:p w14:paraId="30DEB1BD"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0.035</w:t>
            </w:r>
          </w:p>
        </w:tc>
      </w:tr>
      <w:tr w:rsidR="00CD6352" w:rsidRPr="006D4C3C" w14:paraId="3E2E69D5" w14:textId="77777777" w:rsidTr="00CD6352">
        <w:trPr>
          <w:trHeight w:val="220"/>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6C0ED613"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Familiarity with local legislation &amp; clear contract terms</w:t>
            </w:r>
          </w:p>
        </w:tc>
        <w:tc>
          <w:tcPr>
            <w:tcW w:w="1991" w:type="dxa"/>
            <w:tcBorders>
              <w:top w:val="nil"/>
              <w:left w:val="nil"/>
              <w:bottom w:val="single" w:sz="4" w:space="0" w:color="auto"/>
              <w:right w:val="single" w:sz="4" w:space="0" w:color="auto"/>
            </w:tcBorders>
            <w:shd w:val="clear" w:color="auto" w:fill="auto"/>
            <w:noWrap/>
            <w:vAlign w:val="bottom"/>
            <w:hideMark/>
          </w:tcPr>
          <w:p w14:paraId="10378D24"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0.02</w:t>
            </w:r>
          </w:p>
        </w:tc>
      </w:tr>
      <w:tr w:rsidR="00CD6352" w:rsidRPr="006D4C3C" w14:paraId="496B4512" w14:textId="77777777" w:rsidTr="00CD6352">
        <w:trPr>
          <w:trHeight w:val="225"/>
        </w:trPr>
        <w:tc>
          <w:tcPr>
            <w:tcW w:w="6084" w:type="dxa"/>
            <w:tcBorders>
              <w:top w:val="nil"/>
              <w:left w:val="single" w:sz="4" w:space="0" w:color="auto"/>
              <w:bottom w:val="single" w:sz="4" w:space="0" w:color="auto"/>
              <w:right w:val="single" w:sz="4" w:space="0" w:color="auto"/>
            </w:tcBorders>
            <w:shd w:val="clear" w:color="auto" w:fill="auto"/>
            <w:vAlign w:val="bottom"/>
            <w:hideMark/>
          </w:tcPr>
          <w:p w14:paraId="159EDC5C" w14:textId="77777777" w:rsidR="00CD6352" w:rsidRPr="006D4C3C" w:rsidRDefault="00CD6352" w:rsidP="00CD6352">
            <w:pPr>
              <w:spacing w:after="0" w:line="240" w:lineRule="auto"/>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Access to land</w:t>
            </w:r>
          </w:p>
        </w:tc>
        <w:tc>
          <w:tcPr>
            <w:tcW w:w="1991" w:type="dxa"/>
            <w:tcBorders>
              <w:top w:val="nil"/>
              <w:left w:val="nil"/>
              <w:bottom w:val="single" w:sz="4" w:space="0" w:color="auto"/>
              <w:right w:val="single" w:sz="4" w:space="0" w:color="auto"/>
            </w:tcBorders>
            <w:shd w:val="clear" w:color="auto" w:fill="auto"/>
            <w:noWrap/>
            <w:vAlign w:val="bottom"/>
            <w:hideMark/>
          </w:tcPr>
          <w:p w14:paraId="0A786FF2" w14:textId="77777777" w:rsidR="00CD6352" w:rsidRPr="006D4C3C" w:rsidRDefault="00CD6352" w:rsidP="00CD6352">
            <w:pPr>
              <w:spacing w:after="0" w:line="240" w:lineRule="auto"/>
              <w:jc w:val="right"/>
              <w:rPr>
                <w:rFonts w:ascii="Arial" w:eastAsia="Times New Roman" w:hAnsi="Arial" w:cs="Arial"/>
                <w:color w:val="000000"/>
                <w:sz w:val="16"/>
                <w:szCs w:val="16"/>
                <w:lang w:eastAsia="en-GB"/>
              </w:rPr>
            </w:pPr>
            <w:r w:rsidRPr="006D4C3C">
              <w:rPr>
                <w:rFonts w:ascii="Arial" w:eastAsia="Times New Roman" w:hAnsi="Arial" w:cs="Arial"/>
                <w:color w:val="000000"/>
                <w:sz w:val="16"/>
                <w:szCs w:val="16"/>
                <w:lang w:eastAsia="en-GB"/>
              </w:rPr>
              <w:t>0.005</w:t>
            </w:r>
          </w:p>
        </w:tc>
      </w:tr>
    </w:tbl>
    <w:p w14:paraId="3345992F" w14:textId="77777777" w:rsidR="00CD6352" w:rsidRDefault="00CD6352" w:rsidP="00CD6352"/>
    <w:p w14:paraId="10126B28" w14:textId="0DB2B1DE" w:rsidR="00CD6352" w:rsidRPr="0021058D" w:rsidRDefault="00CD6352" w:rsidP="00CD6352">
      <w:pPr>
        <w:spacing w:line="360" w:lineRule="auto"/>
        <w:rPr>
          <w:rFonts w:ascii="Arial" w:hAnsi="Arial" w:cs="Arial"/>
        </w:rPr>
      </w:pPr>
      <w:r>
        <w:rPr>
          <w:rFonts w:ascii="Arial" w:hAnsi="Arial" w:cs="Arial"/>
        </w:rPr>
        <w:t>Table 6.</w:t>
      </w:r>
      <w:r w:rsidR="00557763">
        <w:rPr>
          <w:rFonts w:ascii="Arial" w:hAnsi="Arial" w:cs="Arial"/>
        </w:rPr>
        <w:t>2.</w:t>
      </w:r>
      <w:r w:rsidR="00010F73">
        <w:rPr>
          <w:rFonts w:ascii="Arial" w:hAnsi="Arial" w:cs="Arial"/>
        </w:rPr>
        <w:t>4</w:t>
      </w:r>
      <w:r>
        <w:rPr>
          <w:rFonts w:ascii="Arial" w:hAnsi="Arial" w:cs="Arial"/>
        </w:rPr>
        <w:t xml:space="preserve"> </w:t>
      </w:r>
      <w:bookmarkStart w:id="1165" w:name="_Hlk63933283"/>
      <w:r>
        <w:rPr>
          <w:rFonts w:ascii="Arial" w:hAnsi="Arial" w:cs="Arial"/>
        </w:rPr>
        <w:t>shows that some critical success factors have strong positive correlations with the management level</w:t>
      </w:r>
      <w:r w:rsidR="0095796D">
        <w:rPr>
          <w:rFonts w:ascii="Arial" w:hAnsi="Arial" w:cs="Arial"/>
        </w:rPr>
        <w:t>,</w:t>
      </w:r>
      <w:r>
        <w:rPr>
          <w:rFonts w:ascii="Arial" w:hAnsi="Arial" w:cs="Arial"/>
        </w:rPr>
        <w:t xml:space="preserve"> while others have moderate, weak or no correlation </w:t>
      </w:r>
      <w:r w:rsidR="0095796D">
        <w:rPr>
          <w:rFonts w:ascii="Arial" w:hAnsi="Arial" w:cs="Arial"/>
        </w:rPr>
        <w:t>with</w:t>
      </w:r>
      <w:r>
        <w:rPr>
          <w:rFonts w:ascii="Arial" w:hAnsi="Arial" w:cs="Arial"/>
        </w:rPr>
        <w:t xml:space="preserve"> critical success </w:t>
      </w:r>
      <w:r w:rsidR="004414C7">
        <w:rPr>
          <w:rFonts w:ascii="Arial" w:hAnsi="Arial" w:cs="Arial"/>
        </w:rPr>
        <w:t>factors.</w:t>
      </w:r>
      <w:r>
        <w:rPr>
          <w:rFonts w:ascii="Arial" w:hAnsi="Arial" w:cs="Arial"/>
        </w:rPr>
        <w:t xml:space="preserve"> </w:t>
      </w:r>
      <w:bookmarkStart w:id="1166" w:name="_Hlk45892478"/>
      <w:r>
        <w:rPr>
          <w:rFonts w:ascii="Arial" w:hAnsi="Arial" w:cs="Arial"/>
        </w:rPr>
        <w:t>The factors with strong correlations show that as managers tend</w:t>
      </w:r>
      <w:r w:rsidR="00C7137F">
        <w:rPr>
          <w:rFonts w:ascii="Arial" w:hAnsi="Arial" w:cs="Arial"/>
        </w:rPr>
        <w:t xml:space="preserve"> towards lower management levels, factors such as project manager’s experience, business plan, establishing an appropriate length &amp; form of contract, and stable macro-economic environment become more critical to their accessing finance</w:t>
      </w:r>
      <w:r>
        <w:rPr>
          <w:rFonts w:ascii="Arial" w:hAnsi="Arial" w:cs="Arial"/>
        </w:rPr>
        <w:t xml:space="preserve"> real estate project development. </w:t>
      </w:r>
      <w:bookmarkEnd w:id="1165"/>
      <w:bookmarkEnd w:id="1166"/>
      <w:r>
        <w:rPr>
          <w:rFonts w:ascii="Arial" w:hAnsi="Arial" w:cs="Arial"/>
        </w:rPr>
        <w:t xml:space="preserve">However, factors such as access to </w:t>
      </w:r>
      <w:r w:rsidR="00AC353E">
        <w:rPr>
          <w:rFonts w:ascii="Arial" w:hAnsi="Arial" w:cs="Arial"/>
        </w:rPr>
        <w:t>land,</w:t>
      </w:r>
      <w:r>
        <w:rPr>
          <w:rFonts w:ascii="Arial" w:hAnsi="Arial" w:cs="Arial"/>
        </w:rPr>
        <w:t xml:space="preserve"> familiarity with local legislation &amp; clear contract terms, </w:t>
      </w:r>
      <w:r w:rsidR="00557763">
        <w:rPr>
          <w:rFonts w:ascii="Arial" w:hAnsi="Arial" w:cs="Arial"/>
        </w:rPr>
        <w:t xml:space="preserve">the </w:t>
      </w:r>
      <w:r>
        <w:rPr>
          <w:rFonts w:ascii="Arial" w:hAnsi="Arial" w:cs="Arial"/>
        </w:rPr>
        <w:t>pro</w:t>
      </w:r>
      <w:r w:rsidR="00C7137F">
        <w:rPr>
          <w:rFonts w:ascii="Arial" w:hAnsi="Arial" w:cs="Arial"/>
        </w:rPr>
        <w:t>ject's profitability, financial modelling with realistic assumptions, the meeting of project timeline and control project performance and liquidity management do not correlate with the management level</w:t>
      </w:r>
      <w:r>
        <w:rPr>
          <w:rFonts w:ascii="Arial" w:hAnsi="Arial" w:cs="Arial"/>
        </w:rPr>
        <w:t>.</w:t>
      </w:r>
      <w:r w:rsidR="00C4329A">
        <w:rPr>
          <w:rFonts w:ascii="Arial" w:hAnsi="Arial" w:cs="Arial"/>
        </w:rPr>
        <w:t xml:space="preserve"> Amongst other factors, the positive correlation of some critical success factors as man</w:t>
      </w:r>
      <w:r w:rsidR="00557763">
        <w:rPr>
          <w:rFonts w:ascii="Arial" w:hAnsi="Arial" w:cs="Arial"/>
        </w:rPr>
        <w:t>a</w:t>
      </w:r>
      <w:r w:rsidR="00C4329A">
        <w:rPr>
          <w:rFonts w:ascii="Arial" w:hAnsi="Arial" w:cs="Arial"/>
        </w:rPr>
        <w:t xml:space="preserve">gers at the lower levels highlights the significance of </w:t>
      </w:r>
      <w:r w:rsidR="00557763">
        <w:rPr>
          <w:rFonts w:ascii="Arial" w:hAnsi="Arial" w:cs="Arial"/>
        </w:rPr>
        <w:t xml:space="preserve">the </w:t>
      </w:r>
      <w:r w:rsidR="00C4329A">
        <w:rPr>
          <w:rFonts w:ascii="Arial" w:hAnsi="Arial" w:cs="Arial"/>
        </w:rPr>
        <w:t xml:space="preserve">manager’s technical skills. Managers skills </w:t>
      </w:r>
      <w:r w:rsidR="0063235D">
        <w:rPr>
          <w:rFonts w:ascii="Arial" w:hAnsi="Arial" w:cs="Arial"/>
        </w:rPr>
        <w:t>are</w:t>
      </w:r>
      <w:r w:rsidR="00C4329A">
        <w:rPr>
          <w:rFonts w:ascii="Arial" w:hAnsi="Arial" w:cs="Arial"/>
        </w:rPr>
        <w:t xml:space="preserve"> covered more broadly in chapter chapter</w:t>
      </w:r>
      <w:r w:rsidR="00833118">
        <w:rPr>
          <w:rFonts w:ascii="Arial" w:hAnsi="Arial" w:cs="Arial"/>
        </w:rPr>
        <w:t>s</w:t>
      </w:r>
      <w:r w:rsidR="00C4329A">
        <w:rPr>
          <w:rFonts w:ascii="Arial" w:hAnsi="Arial" w:cs="Arial"/>
        </w:rPr>
        <w:t xml:space="preserve"> 3.8 and 8.2.</w:t>
      </w:r>
    </w:p>
    <w:p w14:paraId="2DA59129" w14:textId="77777777" w:rsidR="00CD6352" w:rsidRDefault="00CD6352" w:rsidP="00CD6352"/>
    <w:p w14:paraId="43BE8B24" w14:textId="77777777" w:rsidR="00CD6352" w:rsidRPr="00EA7665" w:rsidRDefault="00CD6352" w:rsidP="00CD6352">
      <w:pPr>
        <w:pStyle w:val="Heading3"/>
        <w:rPr>
          <w:sz w:val="22"/>
          <w:szCs w:val="22"/>
        </w:rPr>
      </w:pPr>
      <w:bookmarkStart w:id="1167" w:name="_Toc33468136"/>
      <w:bookmarkStart w:id="1168" w:name="_Toc78983862"/>
      <w:r w:rsidRPr="00EA7665">
        <w:rPr>
          <w:sz w:val="22"/>
          <w:szCs w:val="22"/>
        </w:rPr>
        <w:t>Semi-structur</w:t>
      </w:r>
      <w:r>
        <w:rPr>
          <w:sz w:val="22"/>
          <w:szCs w:val="22"/>
        </w:rPr>
        <w:t>ed</w:t>
      </w:r>
      <w:r w:rsidRPr="00EA7665">
        <w:rPr>
          <w:sz w:val="22"/>
          <w:szCs w:val="22"/>
        </w:rPr>
        <w:t xml:space="preserve"> interview analysis and discussion</w:t>
      </w:r>
      <w:bookmarkEnd w:id="1167"/>
      <w:bookmarkEnd w:id="1168"/>
    </w:p>
    <w:p w14:paraId="7FECB539" w14:textId="656000C8" w:rsidR="00CD6352" w:rsidRPr="006A0E2D" w:rsidRDefault="00CD6352" w:rsidP="006A0E2D">
      <w:pPr>
        <w:spacing w:before="240" w:line="360" w:lineRule="auto"/>
        <w:jc w:val="both"/>
        <w:rPr>
          <w:rFonts w:ascii="Arial" w:hAnsi="Arial" w:cs="Arial"/>
        </w:rPr>
      </w:pPr>
      <w:r w:rsidRPr="006A0E2D">
        <w:rPr>
          <w:rFonts w:ascii="Arial" w:hAnsi="Arial" w:cs="Arial"/>
        </w:rPr>
        <w:t xml:space="preserve">The disaggregate levels also explore the critical success factors for securing finance for real estate project development by managers operating in the different countries based on the qualitative data. The </w:t>
      </w:r>
      <w:r w:rsidR="00C7137F">
        <w:rPr>
          <w:rFonts w:ascii="Arial" w:hAnsi="Arial" w:cs="Arial"/>
        </w:rPr>
        <w:t>findings for the developed and emerging economies based on the semi-structured interviews are summaris</w:t>
      </w:r>
      <w:r w:rsidRPr="006A0E2D">
        <w:rPr>
          <w:rFonts w:ascii="Arial" w:hAnsi="Arial" w:cs="Arial"/>
        </w:rPr>
        <w:t>ed in table</w:t>
      </w:r>
      <w:r w:rsidR="00C7137F">
        <w:rPr>
          <w:rFonts w:ascii="Arial" w:hAnsi="Arial" w:cs="Arial"/>
        </w:rPr>
        <w:t>s</w:t>
      </w:r>
      <w:r w:rsidRPr="006A0E2D">
        <w:rPr>
          <w:rFonts w:ascii="Arial" w:hAnsi="Arial" w:cs="Arial"/>
        </w:rPr>
        <w:t xml:space="preserve"> 6.</w:t>
      </w:r>
      <w:r w:rsidR="00557763">
        <w:rPr>
          <w:rFonts w:ascii="Arial" w:hAnsi="Arial" w:cs="Arial"/>
        </w:rPr>
        <w:t>2.</w:t>
      </w:r>
      <w:r w:rsidR="005929E5">
        <w:rPr>
          <w:rFonts w:ascii="Arial" w:hAnsi="Arial" w:cs="Arial"/>
        </w:rPr>
        <w:t>5</w:t>
      </w:r>
      <w:r w:rsidRPr="006A0E2D">
        <w:rPr>
          <w:rFonts w:ascii="Arial" w:hAnsi="Arial" w:cs="Arial"/>
        </w:rPr>
        <w:t xml:space="preserve"> &amp; 6.</w:t>
      </w:r>
      <w:r w:rsidR="00557763">
        <w:rPr>
          <w:rFonts w:ascii="Arial" w:hAnsi="Arial" w:cs="Arial"/>
        </w:rPr>
        <w:t>2.</w:t>
      </w:r>
      <w:r w:rsidR="005929E5">
        <w:rPr>
          <w:rFonts w:ascii="Arial" w:hAnsi="Arial" w:cs="Arial"/>
        </w:rPr>
        <w:t>6</w:t>
      </w:r>
      <w:r w:rsidR="00E53D4B">
        <w:rPr>
          <w:rFonts w:ascii="Arial" w:hAnsi="Arial" w:cs="Arial"/>
        </w:rPr>
        <w:t>,</w:t>
      </w:r>
      <w:r w:rsidR="00D4693F">
        <w:rPr>
          <w:rFonts w:ascii="Arial" w:hAnsi="Arial" w:cs="Arial"/>
        </w:rPr>
        <w:t xml:space="preserve"> respectively</w:t>
      </w:r>
      <w:r w:rsidRPr="006A0E2D">
        <w:rPr>
          <w:rFonts w:ascii="Arial" w:hAnsi="Arial" w:cs="Arial"/>
        </w:rPr>
        <w:t>.</w:t>
      </w:r>
    </w:p>
    <w:p w14:paraId="36F1410C" w14:textId="77777777" w:rsidR="00CD6352" w:rsidRPr="006A0E2D" w:rsidRDefault="00CD6352" w:rsidP="006A0E2D">
      <w:pPr>
        <w:spacing w:before="240" w:line="360" w:lineRule="auto"/>
        <w:ind w:left="720"/>
        <w:jc w:val="both"/>
        <w:rPr>
          <w:rFonts w:ascii="Arial" w:hAnsi="Arial" w:cs="Arial"/>
          <w:i/>
          <w:iCs/>
        </w:rPr>
      </w:pPr>
      <w:r w:rsidRPr="006A0E2D">
        <w:rPr>
          <w:rFonts w:ascii="Arial" w:hAnsi="Arial" w:cs="Arial"/>
          <w:i/>
          <w:iCs/>
        </w:rPr>
        <w:t>The managers interviewed were asked to give some insights into the critical success factors for effectively securing finance for real estate project development.</w:t>
      </w:r>
    </w:p>
    <w:p w14:paraId="5072AF52" w14:textId="69A88984" w:rsidR="00557763" w:rsidRPr="00557763" w:rsidRDefault="00557763" w:rsidP="00557763">
      <w:pPr>
        <w:spacing w:after="200" w:line="240" w:lineRule="auto"/>
        <w:rPr>
          <w:rFonts w:ascii="Arial" w:hAnsi="Arial" w:cs="Arial"/>
          <w:b/>
          <w:color w:val="44546A" w:themeColor="text2"/>
          <w:sz w:val="16"/>
          <w:szCs w:val="16"/>
        </w:rPr>
      </w:pPr>
      <w:bookmarkStart w:id="1169" w:name="_Toc78983981"/>
      <w:r w:rsidRPr="00557763">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5</w:t>
      </w:r>
      <w:r w:rsidR="008F25B1">
        <w:rPr>
          <w:rFonts w:ascii="Arial" w:hAnsi="Arial" w:cs="Arial"/>
          <w:sz w:val="16"/>
          <w:szCs w:val="16"/>
        </w:rPr>
        <w:fldChar w:fldCharType="end"/>
      </w:r>
      <w:r w:rsidRPr="00557763">
        <w:rPr>
          <w:rFonts w:ascii="Arial" w:hAnsi="Arial" w:cs="Arial"/>
          <w:sz w:val="16"/>
          <w:szCs w:val="16"/>
        </w:rPr>
        <w:t xml:space="preserve">: </w:t>
      </w:r>
      <w:r w:rsidRPr="00557763">
        <w:rPr>
          <w:rFonts w:ascii="Arial" w:hAnsi="Arial" w:cs="Arial"/>
          <w:color w:val="44546A" w:themeColor="text2"/>
          <w:sz w:val="16"/>
          <w:szCs w:val="16"/>
        </w:rPr>
        <w:t>Critical success factors for securing finance for project development in the developed economies.</w:t>
      </w:r>
      <w:bookmarkEnd w:id="1169"/>
    </w:p>
    <w:tbl>
      <w:tblPr>
        <w:tblStyle w:val="TableGrid8"/>
        <w:tblW w:w="5265" w:type="pct"/>
        <w:tblLook w:val="04A0" w:firstRow="1" w:lastRow="0" w:firstColumn="1" w:lastColumn="0" w:noHBand="0" w:noVBand="1"/>
      </w:tblPr>
      <w:tblGrid>
        <w:gridCol w:w="987"/>
        <w:gridCol w:w="8507"/>
      </w:tblGrid>
      <w:tr w:rsidR="00CD6352" w:rsidRPr="00557763" w14:paraId="67902587" w14:textId="77777777" w:rsidTr="00CD6352">
        <w:tc>
          <w:tcPr>
            <w:tcW w:w="5000" w:type="pct"/>
            <w:gridSpan w:val="2"/>
          </w:tcPr>
          <w:p w14:paraId="584EF169" w14:textId="77777777" w:rsidR="00CD6352" w:rsidRPr="00557763" w:rsidRDefault="00CD6352" w:rsidP="00CD6352">
            <w:pPr>
              <w:jc w:val="both"/>
              <w:rPr>
                <w:rFonts w:ascii="Arial" w:hAnsi="Arial" w:cs="Arial"/>
                <w:b/>
                <w:sz w:val="16"/>
                <w:szCs w:val="16"/>
              </w:rPr>
            </w:pPr>
            <w:r w:rsidRPr="00557763">
              <w:rPr>
                <w:rFonts w:ascii="Arial" w:hAnsi="Arial" w:cs="Arial"/>
                <w:b/>
                <w:sz w:val="16"/>
                <w:szCs w:val="16"/>
              </w:rPr>
              <w:t xml:space="preserve">Critical success factors for developed economies </w:t>
            </w:r>
          </w:p>
        </w:tc>
      </w:tr>
      <w:tr w:rsidR="00CD6352" w:rsidRPr="00557763" w14:paraId="0D29716B" w14:textId="77777777" w:rsidTr="00CD6352">
        <w:tc>
          <w:tcPr>
            <w:tcW w:w="520" w:type="pct"/>
          </w:tcPr>
          <w:p w14:paraId="1FFCAAD3"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Countries</w:t>
            </w:r>
          </w:p>
        </w:tc>
        <w:tc>
          <w:tcPr>
            <w:tcW w:w="4480" w:type="pct"/>
          </w:tcPr>
          <w:p w14:paraId="3B322104"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 xml:space="preserve">Critical success factors </w:t>
            </w:r>
          </w:p>
        </w:tc>
      </w:tr>
      <w:tr w:rsidR="00CD6352" w:rsidRPr="00557763" w14:paraId="3B00B81B" w14:textId="77777777" w:rsidTr="00CD6352">
        <w:tc>
          <w:tcPr>
            <w:tcW w:w="520" w:type="pct"/>
          </w:tcPr>
          <w:p w14:paraId="09F0DCFB"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Germany Mgr1</w:t>
            </w:r>
          </w:p>
        </w:tc>
        <w:tc>
          <w:tcPr>
            <w:tcW w:w="4480" w:type="pct"/>
          </w:tcPr>
          <w:p w14:paraId="785A4B1E"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Market</w:t>
            </w:r>
          </w:p>
        </w:tc>
      </w:tr>
      <w:tr w:rsidR="00CD6352" w:rsidRPr="00557763" w14:paraId="5F909BC7" w14:textId="77777777" w:rsidTr="00CD6352">
        <w:tc>
          <w:tcPr>
            <w:tcW w:w="520" w:type="pct"/>
          </w:tcPr>
          <w:p w14:paraId="25A3C78A"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Germany Mgr2</w:t>
            </w:r>
          </w:p>
        </w:tc>
        <w:tc>
          <w:tcPr>
            <w:tcW w:w="4480" w:type="pct"/>
          </w:tcPr>
          <w:p w14:paraId="172AC9E9" w14:textId="1AD38911" w:rsidR="00CD6352" w:rsidRPr="00557763" w:rsidRDefault="00CD6352" w:rsidP="00CD6352">
            <w:pPr>
              <w:jc w:val="both"/>
              <w:rPr>
                <w:rFonts w:ascii="Arial" w:hAnsi="Arial" w:cs="Arial"/>
                <w:sz w:val="16"/>
                <w:szCs w:val="16"/>
              </w:rPr>
            </w:pPr>
            <w:r w:rsidRPr="00557763">
              <w:rPr>
                <w:rFonts w:ascii="Arial" w:hAnsi="Arial" w:cs="Arial"/>
                <w:sz w:val="16"/>
                <w:szCs w:val="16"/>
              </w:rPr>
              <w:t xml:space="preserve">An understanding of the financer and how they </w:t>
            </w:r>
            <w:r w:rsidR="005D164D" w:rsidRPr="00557763">
              <w:rPr>
                <w:rFonts w:ascii="Arial" w:hAnsi="Arial" w:cs="Arial"/>
                <w:sz w:val="16"/>
                <w:szCs w:val="16"/>
              </w:rPr>
              <w:t>operate,</w:t>
            </w:r>
            <w:r w:rsidRPr="00557763">
              <w:rPr>
                <w:rFonts w:ascii="Arial" w:hAnsi="Arial" w:cs="Arial"/>
                <w:sz w:val="16"/>
                <w:szCs w:val="16"/>
              </w:rPr>
              <w:t xml:space="preserve"> understanding the terms and conditions of the bank</w:t>
            </w:r>
          </w:p>
        </w:tc>
      </w:tr>
      <w:tr w:rsidR="00CD6352" w:rsidRPr="00557763" w14:paraId="56C6EF55" w14:textId="77777777" w:rsidTr="00CD6352">
        <w:tc>
          <w:tcPr>
            <w:tcW w:w="520" w:type="pct"/>
          </w:tcPr>
          <w:p w14:paraId="49B4FA9B"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Germany Mgr3</w:t>
            </w:r>
          </w:p>
        </w:tc>
        <w:tc>
          <w:tcPr>
            <w:tcW w:w="4480" w:type="pct"/>
          </w:tcPr>
          <w:p w14:paraId="3EFEF9EE" w14:textId="04345CD0" w:rsidR="00CD6352" w:rsidRPr="00557763" w:rsidRDefault="00CD6352" w:rsidP="00CD6352">
            <w:pPr>
              <w:jc w:val="both"/>
              <w:rPr>
                <w:rFonts w:ascii="Arial" w:hAnsi="Arial" w:cs="Arial"/>
                <w:sz w:val="16"/>
                <w:szCs w:val="16"/>
              </w:rPr>
            </w:pPr>
            <w:r w:rsidRPr="00557763">
              <w:rPr>
                <w:rFonts w:ascii="Arial" w:hAnsi="Arial" w:cs="Arial"/>
                <w:sz w:val="16"/>
                <w:szCs w:val="16"/>
              </w:rPr>
              <w:t xml:space="preserve">A successful track record in having delivered developments, having a good network with banks </w:t>
            </w:r>
            <w:r w:rsidR="005D164D" w:rsidRPr="00557763">
              <w:rPr>
                <w:rFonts w:ascii="Arial" w:hAnsi="Arial" w:cs="Arial"/>
                <w:sz w:val="16"/>
                <w:szCs w:val="16"/>
              </w:rPr>
              <w:t>and having</w:t>
            </w:r>
            <w:r w:rsidRPr="00557763">
              <w:rPr>
                <w:rFonts w:ascii="Arial" w:hAnsi="Arial" w:cs="Arial"/>
                <w:sz w:val="16"/>
                <w:szCs w:val="16"/>
              </w:rPr>
              <w:t xml:space="preserve"> borrowed money and repaid  successfully and never defaulted on any bank</w:t>
            </w:r>
          </w:p>
        </w:tc>
      </w:tr>
      <w:tr w:rsidR="00CD6352" w:rsidRPr="00557763" w14:paraId="5AA59723" w14:textId="77777777" w:rsidTr="00CD6352">
        <w:tc>
          <w:tcPr>
            <w:tcW w:w="520" w:type="pct"/>
          </w:tcPr>
          <w:p w14:paraId="28D881D9"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Germany Mgr4</w:t>
            </w:r>
          </w:p>
        </w:tc>
        <w:tc>
          <w:tcPr>
            <w:tcW w:w="4480" w:type="pct"/>
          </w:tcPr>
          <w:p w14:paraId="14FA1FE0"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Being both optimistic and open; demonstration of credibility; competence on your work; track record and access to land</w:t>
            </w:r>
          </w:p>
        </w:tc>
      </w:tr>
      <w:tr w:rsidR="00CD6352" w:rsidRPr="00557763" w14:paraId="3F091C39" w14:textId="77777777" w:rsidTr="00CD6352">
        <w:tc>
          <w:tcPr>
            <w:tcW w:w="520" w:type="pct"/>
          </w:tcPr>
          <w:p w14:paraId="1DA3ED7D"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Germany Mgr5</w:t>
            </w:r>
          </w:p>
        </w:tc>
        <w:tc>
          <w:tcPr>
            <w:tcW w:w="4480" w:type="pct"/>
          </w:tcPr>
          <w:p w14:paraId="34DA8ABC"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good relationships with lenders; effective communication; looking at alternative types of lenders; ensuring the performance of the asset and not running into covenant breaches as it will ensure repayments</w:t>
            </w:r>
          </w:p>
        </w:tc>
      </w:tr>
      <w:tr w:rsidR="00CD6352" w:rsidRPr="00557763" w14:paraId="65298C0B" w14:textId="77777777" w:rsidTr="00CD6352">
        <w:tc>
          <w:tcPr>
            <w:tcW w:w="520" w:type="pct"/>
          </w:tcPr>
          <w:p w14:paraId="5B8C8CF3"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Germany Mgr6</w:t>
            </w:r>
          </w:p>
        </w:tc>
        <w:tc>
          <w:tcPr>
            <w:tcW w:w="4480" w:type="pct"/>
          </w:tcPr>
          <w:p w14:paraId="3A0822BD"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Having all the relevant documents for the development available,</w:t>
            </w:r>
          </w:p>
        </w:tc>
      </w:tr>
      <w:tr w:rsidR="00CD6352" w:rsidRPr="00557763" w14:paraId="10A00B1C" w14:textId="77777777" w:rsidTr="00CD6352">
        <w:tc>
          <w:tcPr>
            <w:tcW w:w="520" w:type="pct"/>
          </w:tcPr>
          <w:p w14:paraId="05EE649B"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UK Mgr1</w:t>
            </w:r>
          </w:p>
        </w:tc>
        <w:tc>
          <w:tcPr>
            <w:tcW w:w="4480" w:type="pct"/>
          </w:tcPr>
          <w:p w14:paraId="25964349"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Experience</w:t>
            </w:r>
          </w:p>
        </w:tc>
      </w:tr>
      <w:tr w:rsidR="00CD6352" w:rsidRPr="00557763" w14:paraId="3EA8B62D" w14:textId="77777777" w:rsidTr="00CD6352">
        <w:tc>
          <w:tcPr>
            <w:tcW w:w="520" w:type="pct"/>
          </w:tcPr>
          <w:p w14:paraId="66D6DE80"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lastRenderedPageBreak/>
              <w:t>UK Mgr2</w:t>
            </w:r>
          </w:p>
        </w:tc>
        <w:tc>
          <w:tcPr>
            <w:tcW w:w="4480" w:type="pct"/>
          </w:tcPr>
          <w:p w14:paraId="5C22D094"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Track record</w:t>
            </w:r>
          </w:p>
        </w:tc>
      </w:tr>
      <w:tr w:rsidR="00CD6352" w:rsidRPr="00557763" w14:paraId="404A1C5B" w14:textId="77777777" w:rsidTr="00CD6352">
        <w:tc>
          <w:tcPr>
            <w:tcW w:w="520" w:type="pct"/>
          </w:tcPr>
          <w:p w14:paraId="6961B237"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UK Mgr3</w:t>
            </w:r>
          </w:p>
        </w:tc>
        <w:tc>
          <w:tcPr>
            <w:tcW w:w="4480" w:type="pct"/>
          </w:tcPr>
          <w:p w14:paraId="63FEC7F6"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Occupiers /market</w:t>
            </w:r>
          </w:p>
        </w:tc>
      </w:tr>
      <w:tr w:rsidR="00CD6352" w:rsidRPr="00557763" w14:paraId="3611058D" w14:textId="77777777" w:rsidTr="00CD6352">
        <w:tc>
          <w:tcPr>
            <w:tcW w:w="520" w:type="pct"/>
          </w:tcPr>
          <w:p w14:paraId="762EAFCA"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UK Mgr4</w:t>
            </w:r>
          </w:p>
        </w:tc>
        <w:tc>
          <w:tcPr>
            <w:tcW w:w="4480" w:type="pct"/>
          </w:tcPr>
          <w:p w14:paraId="781AC553"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Value of the property</w:t>
            </w:r>
          </w:p>
        </w:tc>
      </w:tr>
      <w:tr w:rsidR="00CD6352" w:rsidRPr="00557763" w14:paraId="368A4FA0" w14:textId="77777777" w:rsidTr="00CD6352">
        <w:tc>
          <w:tcPr>
            <w:tcW w:w="520" w:type="pct"/>
          </w:tcPr>
          <w:p w14:paraId="460ECA90"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UK Mgr5</w:t>
            </w:r>
          </w:p>
        </w:tc>
        <w:tc>
          <w:tcPr>
            <w:tcW w:w="4480" w:type="pct"/>
          </w:tcPr>
          <w:p w14:paraId="407DD612"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Track record; balance sheet and strong project fundamentals</w:t>
            </w:r>
          </w:p>
        </w:tc>
      </w:tr>
      <w:tr w:rsidR="00CD6352" w:rsidRPr="00557763" w14:paraId="31CD65C4" w14:textId="77777777" w:rsidTr="00CD6352">
        <w:tc>
          <w:tcPr>
            <w:tcW w:w="520" w:type="pct"/>
          </w:tcPr>
          <w:p w14:paraId="731D73DB"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UK Mgr6</w:t>
            </w:r>
          </w:p>
        </w:tc>
        <w:tc>
          <w:tcPr>
            <w:tcW w:w="4480" w:type="pct"/>
          </w:tcPr>
          <w:p w14:paraId="4BF28461"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Planning permission; access to land and demonstration of skills to execute the job</w:t>
            </w:r>
          </w:p>
        </w:tc>
      </w:tr>
      <w:tr w:rsidR="00CD6352" w:rsidRPr="00557763" w14:paraId="7720F6BB" w14:textId="77777777" w:rsidTr="00CD6352">
        <w:tc>
          <w:tcPr>
            <w:tcW w:w="520" w:type="pct"/>
          </w:tcPr>
          <w:p w14:paraId="2FC5D297"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UK Mgr7</w:t>
            </w:r>
          </w:p>
        </w:tc>
        <w:tc>
          <w:tcPr>
            <w:tcW w:w="4480" w:type="pct"/>
          </w:tcPr>
          <w:p w14:paraId="532CC225"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Pre-let space; the development risk and having a good professional team involved in the development and track records</w:t>
            </w:r>
          </w:p>
        </w:tc>
      </w:tr>
      <w:tr w:rsidR="00CD6352" w:rsidRPr="00557763" w14:paraId="48EAC758" w14:textId="77777777" w:rsidTr="00CD6352">
        <w:tc>
          <w:tcPr>
            <w:tcW w:w="520" w:type="pct"/>
          </w:tcPr>
          <w:p w14:paraId="46A65659"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US Mgr1</w:t>
            </w:r>
          </w:p>
        </w:tc>
        <w:tc>
          <w:tcPr>
            <w:tcW w:w="4480" w:type="pct"/>
          </w:tcPr>
          <w:p w14:paraId="764B7C41"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Cash flow</w:t>
            </w:r>
          </w:p>
        </w:tc>
      </w:tr>
      <w:tr w:rsidR="00CD6352" w:rsidRPr="00557763" w14:paraId="4367F1EC" w14:textId="77777777" w:rsidTr="00CD6352">
        <w:tc>
          <w:tcPr>
            <w:tcW w:w="520" w:type="pct"/>
          </w:tcPr>
          <w:p w14:paraId="71EE4D03"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US Mgr2</w:t>
            </w:r>
          </w:p>
        </w:tc>
        <w:tc>
          <w:tcPr>
            <w:tcW w:w="4480" w:type="pct"/>
          </w:tcPr>
          <w:p w14:paraId="5E0D6852" w14:textId="5490F551" w:rsidR="00CD6352" w:rsidRPr="00557763" w:rsidRDefault="00CD6352" w:rsidP="00CD6352">
            <w:pPr>
              <w:jc w:val="both"/>
              <w:rPr>
                <w:rFonts w:ascii="Arial" w:hAnsi="Arial" w:cs="Arial"/>
                <w:sz w:val="16"/>
                <w:szCs w:val="16"/>
              </w:rPr>
            </w:pPr>
            <w:r w:rsidRPr="00557763">
              <w:rPr>
                <w:rFonts w:ascii="Arial" w:hAnsi="Arial" w:cs="Arial"/>
                <w:sz w:val="16"/>
                <w:szCs w:val="16"/>
              </w:rPr>
              <w:t xml:space="preserve">A proper and </w:t>
            </w:r>
            <w:r w:rsidR="00AC353E" w:rsidRPr="00557763">
              <w:rPr>
                <w:rFonts w:ascii="Arial" w:hAnsi="Arial" w:cs="Arial"/>
                <w:sz w:val="16"/>
                <w:szCs w:val="16"/>
              </w:rPr>
              <w:t>convincing presentation</w:t>
            </w:r>
            <w:r w:rsidRPr="00557763">
              <w:rPr>
                <w:rFonts w:ascii="Arial" w:hAnsi="Arial" w:cs="Arial"/>
                <w:sz w:val="16"/>
                <w:szCs w:val="16"/>
              </w:rPr>
              <w:t xml:space="preserve"> of the request </w:t>
            </w:r>
          </w:p>
        </w:tc>
      </w:tr>
      <w:tr w:rsidR="00CD6352" w:rsidRPr="00557763" w14:paraId="2E07EEC7" w14:textId="77777777" w:rsidTr="00CD6352">
        <w:tc>
          <w:tcPr>
            <w:tcW w:w="520" w:type="pct"/>
          </w:tcPr>
          <w:p w14:paraId="05B8C64D"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US Mgr3</w:t>
            </w:r>
          </w:p>
        </w:tc>
        <w:tc>
          <w:tcPr>
            <w:tcW w:w="4480" w:type="pct"/>
          </w:tcPr>
          <w:p w14:paraId="1C9C2A1A"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Track record and viability of the project</w:t>
            </w:r>
          </w:p>
        </w:tc>
      </w:tr>
      <w:tr w:rsidR="00CD6352" w:rsidRPr="00557763" w14:paraId="49DFE7F2" w14:textId="77777777" w:rsidTr="00CD6352">
        <w:tc>
          <w:tcPr>
            <w:tcW w:w="520" w:type="pct"/>
          </w:tcPr>
          <w:p w14:paraId="01601F24"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US Mgr4</w:t>
            </w:r>
          </w:p>
        </w:tc>
        <w:tc>
          <w:tcPr>
            <w:tcW w:w="4480" w:type="pct"/>
          </w:tcPr>
          <w:p w14:paraId="5F974932" w14:textId="145DDD56" w:rsidR="00CD6352" w:rsidRPr="00557763" w:rsidRDefault="00CD6352" w:rsidP="00CD6352">
            <w:pPr>
              <w:jc w:val="both"/>
              <w:rPr>
                <w:rFonts w:ascii="Arial" w:hAnsi="Arial" w:cs="Arial"/>
                <w:sz w:val="16"/>
                <w:szCs w:val="16"/>
              </w:rPr>
            </w:pPr>
            <w:r w:rsidRPr="00557763">
              <w:rPr>
                <w:rFonts w:ascii="Arial" w:hAnsi="Arial" w:cs="Arial"/>
                <w:sz w:val="16"/>
                <w:szCs w:val="16"/>
              </w:rPr>
              <w:t xml:space="preserve">Project in a high revenue area, a market that supports an investor’s interest in the project. </w:t>
            </w:r>
            <w:r w:rsidR="005D164D" w:rsidRPr="00557763">
              <w:rPr>
                <w:rFonts w:ascii="Arial" w:hAnsi="Arial" w:cs="Arial"/>
                <w:sz w:val="16"/>
                <w:szCs w:val="16"/>
              </w:rPr>
              <w:t>Having a</w:t>
            </w:r>
            <w:r w:rsidRPr="00557763">
              <w:rPr>
                <w:rFonts w:ascii="Arial" w:hAnsi="Arial" w:cs="Arial"/>
                <w:sz w:val="16"/>
                <w:szCs w:val="16"/>
              </w:rPr>
              <w:t xml:space="preserve"> market that supports investor’s interests in the project; being able to run a good financial model; being able to explain in pictures and graphics </w:t>
            </w:r>
            <w:r w:rsidR="005D164D" w:rsidRPr="00557763">
              <w:rPr>
                <w:rFonts w:ascii="Arial" w:hAnsi="Arial" w:cs="Arial"/>
                <w:sz w:val="16"/>
                <w:szCs w:val="16"/>
              </w:rPr>
              <w:t>in simple</w:t>
            </w:r>
            <w:r w:rsidRPr="00557763">
              <w:rPr>
                <w:rFonts w:ascii="Arial" w:hAnsi="Arial" w:cs="Arial"/>
                <w:sz w:val="16"/>
                <w:szCs w:val="16"/>
              </w:rPr>
              <w:t xml:space="preserve"> ways that investors can get interested; marketing and sales ability to sell your project to investors</w:t>
            </w:r>
          </w:p>
        </w:tc>
      </w:tr>
      <w:tr w:rsidR="00CD6352" w:rsidRPr="00557763" w14:paraId="29A35B7F" w14:textId="77777777" w:rsidTr="00CD6352">
        <w:tc>
          <w:tcPr>
            <w:tcW w:w="520" w:type="pct"/>
          </w:tcPr>
          <w:p w14:paraId="2DD1F99E"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US Mgr 5</w:t>
            </w:r>
          </w:p>
        </w:tc>
        <w:tc>
          <w:tcPr>
            <w:tcW w:w="4480" w:type="pct"/>
          </w:tcPr>
          <w:p w14:paraId="6B61FFE8" w14:textId="77777777" w:rsidR="00CD6352" w:rsidRPr="00557763" w:rsidRDefault="00CD6352" w:rsidP="00CD6352">
            <w:pPr>
              <w:jc w:val="both"/>
              <w:rPr>
                <w:rFonts w:ascii="Arial" w:hAnsi="Arial" w:cs="Arial"/>
                <w:sz w:val="16"/>
                <w:szCs w:val="16"/>
              </w:rPr>
            </w:pPr>
            <w:r w:rsidRPr="00557763">
              <w:rPr>
                <w:rFonts w:ascii="Arial" w:hAnsi="Arial" w:cs="Arial"/>
                <w:sz w:val="16"/>
                <w:szCs w:val="16"/>
              </w:rPr>
              <w:t>Relationship with financiers, strong track records and cash flow</w:t>
            </w:r>
          </w:p>
        </w:tc>
      </w:tr>
    </w:tbl>
    <w:p w14:paraId="7AF9E67C" w14:textId="77777777" w:rsidR="00CD6352" w:rsidRPr="00EA7665" w:rsidRDefault="00CD6352" w:rsidP="00CD6352">
      <w:pPr>
        <w:spacing w:line="360" w:lineRule="auto"/>
        <w:jc w:val="both"/>
        <w:rPr>
          <w:rFonts w:ascii="Arial" w:hAnsi="Arial" w:cs="Arial"/>
        </w:rPr>
      </w:pPr>
    </w:p>
    <w:p w14:paraId="561AA263" w14:textId="28CB0E96" w:rsidR="005D1D3E" w:rsidRPr="005D1D3E" w:rsidRDefault="005D1D3E" w:rsidP="005D1D3E">
      <w:pPr>
        <w:pStyle w:val="Caption"/>
        <w:keepNext/>
        <w:rPr>
          <w:rFonts w:ascii="Arial" w:hAnsi="Arial" w:cs="Arial"/>
          <w:sz w:val="16"/>
          <w:szCs w:val="16"/>
        </w:rPr>
      </w:pPr>
      <w:bookmarkStart w:id="1170" w:name="_Toc78983982"/>
      <w:r w:rsidRPr="005D1D3E">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6</w:t>
      </w:r>
      <w:r w:rsidR="008F25B1">
        <w:rPr>
          <w:rFonts w:ascii="Arial" w:hAnsi="Arial" w:cs="Arial"/>
          <w:sz w:val="16"/>
          <w:szCs w:val="16"/>
        </w:rPr>
        <w:fldChar w:fldCharType="end"/>
      </w:r>
      <w:r w:rsidRPr="005D1D3E">
        <w:rPr>
          <w:rFonts w:ascii="Arial" w:hAnsi="Arial" w:cs="Arial"/>
          <w:sz w:val="16"/>
          <w:szCs w:val="16"/>
        </w:rPr>
        <w:t>: Critical success factors for securing finance for project development in emerging economies.</w:t>
      </w:r>
      <w:bookmarkEnd w:id="1170"/>
    </w:p>
    <w:tbl>
      <w:tblPr>
        <w:tblStyle w:val="TableGrid8"/>
        <w:tblW w:w="5265" w:type="pct"/>
        <w:tblLook w:val="04A0" w:firstRow="1" w:lastRow="0" w:firstColumn="1" w:lastColumn="0" w:noHBand="0" w:noVBand="1"/>
      </w:tblPr>
      <w:tblGrid>
        <w:gridCol w:w="1360"/>
        <w:gridCol w:w="8134"/>
      </w:tblGrid>
      <w:tr w:rsidR="00CD6352" w:rsidRPr="005D1D3E" w14:paraId="09AA23D7" w14:textId="77777777" w:rsidTr="00CD6352">
        <w:tc>
          <w:tcPr>
            <w:tcW w:w="5000" w:type="pct"/>
            <w:gridSpan w:val="2"/>
          </w:tcPr>
          <w:p w14:paraId="48FF6A9F" w14:textId="4E36B75A" w:rsidR="00CD6352" w:rsidRPr="005D1D3E" w:rsidRDefault="00CD6352" w:rsidP="00CD6352">
            <w:pPr>
              <w:jc w:val="both"/>
              <w:rPr>
                <w:rFonts w:ascii="Arial" w:hAnsi="Arial" w:cs="Arial"/>
                <w:b/>
                <w:sz w:val="16"/>
                <w:szCs w:val="16"/>
              </w:rPr>
            </w:pPr>
            <w:r w:rsidRPr="005D1D3E">
              <w:rPr>
                <w:rFonts w:ascii="Arial" w:hAnsi="Arial" w:cs="Arial"/>
                <w:b/>
                <w:sz w:val="16"/>
                <w:szCs w:val="16"/>
              </w:rPr>
              <w:t xml:space="preserve">Critical success factors for </w:t>
            </w:r>
            <w:r w:rsidR="00AC353E" w:rsidRPr="005D1D3E">
              <w:rPr>
                <w:rFonts w:ascii="Arial" w:hAnsi="Arial" w:cs="Arial"/>
                <w:b/>
                <w:sz w:val="16"/>
                <w:szCs w:val="16"/>
              </w:rPr>
              <w:t>emerging economies</w:t>
            </w:r>
          </w:p>
        </w:tc>
      </w:tr>
      <w:tr w:rsidR="00CD6352" w:rsidRPr="005D1D3E" w14:paraId="69D149C5" w14:textId="77777777" w:rsidTr="00CD6352">
        <w:tc>
          <w:tcPr>
            <w:tcW w:w="716" w:type="pct"/>
          </w:tcPr>
          <w:p w14:paraId="5F2DACEB" w14:textId="77777777" w:rsidR="00CD6352" w:rsidRPr="005D1D3E" w:rsidRDefault="00CD6352" w:rsidP="00CD6352">
            <w:pPr>
              <w:rPr>
                <w:rFonts w:ascii="Arial" w:hAnsi="Arial" w:cs="Arial"/>
                <w:sz w:val="16"/>
                <w:szCs w:val="16"/>
              </w:rPr>
            </w:pPr>
            <w:r w:rsidRPr="005D1D3E">
              <w:rPr>
                <w:rFonts w:ascii="Arial" w:hAnsi="Arial" w:cs="Arial"/>
                <w:sz w:val="16"/>
                <w:szCs w:val="16"/>
              </w:rPr>
              <w:t>Countries</w:t>
            </w:r>
          </w:p>
        </w:tc>
        <w:tc>
          <w:tcPr>
            <w:tcW w:w="4284" w:type="pct"/>
          </w:tcPr>
          <w:p w14:paraId="764FADF3"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 xml:space="preserve">Critical success factors </w:t>
            </w:r>
          </w:p>
        </w:tc>
      </w:tr>
      <w:tr w:rsidR="00CD6352" w:rsidRPr="005D1D3E" w14:paraId="49AD5FED" w14:textId="77777777" w:rsidTr="00CD6352">
        <w:tc>
          <w:tcPr>
            <w:tcW w:w="716" w:type="pct"/>
          </w:tcPr>
          <w:p w14:paraId="1D080C92" w14:textId="77777777" w:rsidR="00CD6352" w:rsidRPr="005D1D3E" w:rsidRDefault="00CD6352" w:rsidP="00CD6352">
            <w:pPr>
              <w:rPr>
                <w:rFonts w:ascii="Arial" w:hAnsi="Arial" w:cs="Arial"/>
                <w:sz w:val="16"/>
                <w:szCs w:val="16"/>
              </w:rPr>
            </w:pPr>
            <w:r w:rsidRPr="005D1D3E">
              <w:rPr>
                <w:rFonts w:ascii="Arial" w:hAnsi="Arial" w:cs="Arial"/>
                <w:sz w:val="16"/>
                <w:szCs w:val="16"/>
              </w:rPr>
              <w:t>China Mgr1</w:t>
            </w:r>
          </w:p>
        </w:tc>
        <w:tc>
          <w:tcPr>
            <w:tcW w:w="4284" w:type="pct"/>
          </w:tcPr>
          <w:p w14:paraId="58D6F622" w14:textId="11F19B92" w:rsidR="00CD6352" w:rsidRPr="005D1D3E" w:rsidRDefault="00CD6352" w:rsidP="00CD6352">
            <w:pPr>
              <w:jc w:val="both"/>
              <w:rPr>
                <w:rFonts w:ascii="Arial" w:hAnsi="Arial" w:cs="Arial"/>
                <w:sz w:val="16"/>
                <w:szCs w:val="16"/>
              </w:rPr>
            </w:pPr>
            <w:r w:rsidRPr="005D1D3E">
              <w:rPr>
                <w:rFonts w:ascii="Arial" w:hAnsi="Arial" w:cs="Arial"/>
                <w:sz w:val="16"/>
                <w:szCs w:val="16"/>
              </w:rPr>
              <w:t>Ow</w:t>
            </w:r>
            <w:r w:rsidR="005D164D" w:rsidRPr="005D1D3E">
              <w:rPr>
                <w:rFonts w:ascii="Arial" w:hAnsi="Arial" w:cs="Arial"/>
                <w:sz w:val="16"/>
                <w:szCs w:val="16"/>
              </w:rPr>
              <w:t>n</w:t>
            </w:r>
            <w:r w:rsidRPr="005D1D3E">
              <w:rPr>
                <w:rFonts w:ascii="Arial" w:hAnsi="Arial" w:cs="Arial"/>
                <w:sz w:val="16"/>
                <w:szCs w:val="16"/>
              </w:rPr>
              <w:t xml:space="preserve">ing or having access </w:t>
            </w:r>
            <w:r w:rsidR="00AC353E" w:rsidRPr="005D1D3E">
              <w:rPr>
                <w:rFonts w:ascii="Arial" w:hAnsi="Arial" w:cs="Arial"/>
                <w:sz w:val="16"/>
                <w:szCs w:val="16"/>
              </w:rPr>
              <w:t>to land</w:t>
            </w:r>
            <w:r w:rsidRPr="005D1D3E">
              <w:rPr>
                <w:rFonts w:ascii="Arial" w:hAnsi="Arial" w:cs="Arial"/>
                <w:sz w:val="16"/>
                <w:szCs w:val="16"/>
              </w:rPr>
              <w:t>, an understanding of the processes to secure consent to build and having an understanding of the sales process</w:t>
            </w:r>
          </w:p>
        </w:tc>
      </w:tr>
      <w:tr w:rsidR="00CD6352" w:rsidRPr="005D1D3E" w14:paraId="4632DF23" w14:textId="77777777" w:rsidTr="00CD6352">
        <w:tc>
          <w:tcPr>
            <w:tcW w:w="716" w:type="pct"/>
          </w:tcPr>
          <w:p w14:paraId="1B45DE51" w14:textId="77777777" w:rsidR="00CD6352" w:rsidRPr="005D1D3E" w:rsidRDefault="00CD6352" w:rsidP="00CD6352">
            <w:pPr>
              <w:rPr>
                <w:rFonts w:ascii="Arial" w:hAnsi="Arial" w:cs="Arial"/>
                <w:sz w:val="16"/>
                <w:szCs w:val="16"/>
              </w:rPr>
            </w:pPr>
            <w:r w:rsidRPr="005D1D3E">
              <w:rPr>
                <w:rFonts w:ascii="Arial" w:hAnsi="Arial" w:cs="Arial"/>
                <w:sz w:val="16"/>
                <w:szCs w:val="16"/>
              </w:rPr>
              <w:t>China Mgr2</w:t>
            </w:r>
          </w:p>
        </w:tc>
        <w:tc>
          <w:tcPr>
            <w:tcW w:w="4284" w:type="pct"/>
          </w:tcPr>
          <w:p w14:paraId="626E8D62"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Financial capacity</w:t>
            </w:r>
          </w:p>
        </w:tc>
      </w:tr>
      <w:tr w:rsidR="00CD6352" w:rsidRPr="005D1D3E" w14:paraId="5B624D77" w14:textId="77777777" w:rsidTr="00CD6352">
        <w:tc>
          <w:tcPr>
            <w:tcW w:w="716" w:type="pct"/>
          </w:tcPr>
          <w:p w14:paraId="28A72931" w14:textId="77777777" w:rsidR="00CD6352" w:rsidRPr="005D1D3E" w:rsidRDefault="00CD6352" w:rsidP="00CD6352">
            <w:pPr>
              <w:rPr>
                <w:rFonts w:ascii="Arial" w:hAnsi="Arial" w:cs="Arial"/>
                <w:sz w:val="16"/>
                <w:szCs w:val="16"/>
              </w:rPr>
            </w:pPr>
            <w:r w:rsidRPr="005D1D3E">
              <w:rPr>
                <w:rFonts w:ascii="Arial" w:hAnsi="Arial" w:cs="Arial"/>
                <w:sz w:val="16"/>
                <w:szCs w:val="16"/>
              </w:rPr>
              <w:t>China Mgr3</w:t>
            </w:r>
          </w:p>
        </w:tc>
        <w:tc>
          <w:tcPr>
            <w:tcW w:w="4284" w:type="pct"/>
          </w:tcPr>
          <w:p w14:paraId="2FE410B9"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Relationship with financiers</w:t>
            </w:r>
          </w:p>
        </w:tc>
      </w:tr>
      <w:tr w:rsidR="00CD6352" w:rsidRPr="005D1D3E" w14:paraId="7984506F" w14:textId="77777777" w:rsidTr="00CD6352">
        <w:tc>
          <w:tcPr>
            <w:tcW w:w="716" w:type="pct"/>
          </w:tcPr>
          <w:p w14:paraId="6542BA46" w14:textId="77777777" w:rsidR="00CD6352" w:rsidRPr="005D1D3E" w:rsidRDefault="00CD6352" w:rsidP="00CD6352">
            <w:pPr>
              <w:rPr>
                <w:rFonts w:ascii="Arial" w:hAnsi="Arial" w:cs="Arial"/>
                <w:sz w:val="16"/>
                <w:szCs w:val="16"/>
              </w:rPr>
            </w:pPr>
            <w:r w:rsidRPr="005D1D3E">
              <w:rPr>
                <w:rFonts w:ascii="Arial" w:hAnsi="Arial" w:cs="Arial"/>
                <w:sz w:val="16"/>
                <w:szCs w:val="16"/>
              </w:rPr>
              <w:t>China Mgr4</w:t>
            </w:r>
          </w:p>
        </w:tc>
        <w:tc>
          <w:tcPr>
            <w:tcW w:w="4284" w:type="pct"/>
          </w:tcPr>
          <w:p w14:paraId="4BF10CC9"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Strong track record</w:t>
            </w:r>
          </w:p>
        </w:tc>
      </w:tr>
      <w:tr w:rsidR="00CD6352" w:rsidRPr="005D1D3E" w14:paraId="16CF27CF" w14:textId="77777777" w:rsidTr="00CD6352">
        <w:tc>
          <w:tcPr>
            <w:tcW w:w="716" w:type="pct"/>
          </w:tcPr>
          <w:p w14:paraId="640EB539" w14:textId="77777777" w:rsidR="00CD6352" w:rsidRPr="005D1D3E" w:rsidRDefault="00CD6352" w:rsidP="00CD6352">
            <w:pPr>
              <w:rPr>
                <w:rFonts w:ascii="Arial" w:hAnsi="Arial" w:cs="Arial"/>
                <w:sz w:val="16"/>
                <w:szCs w:val="16"/>
              </w:rPr>
            </w:pPr>
            <w:r w:rsidRPr="005D1D3E">
              <w:rPr>
                <w:rFonts w:ascii="Arial" w:hAnsi="Arial" w:cs="Arial"/>
                <w:sz w:val="16"/>
                <w:szCs w:val="16"/>
              </w:rPr>
              <w:t>China Mgr5</w:t>
            </w:r>
          </w:p>
        </w:tc>
        <w:tc>
          <w:tcPr>
            <w:tcW w:w="4284" w:type="pct"/>
          </w:tcPr>
          <w:p w14:paraId="234B3223"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Strong cash flow that is sufficient to cover interest and enough equity allocated as a buffer if cash flow is not strong enough</w:t>
            </w:r>
          </w:p>
        </w:tc>
      </w:tr>
      <w:tr w:rsidR="00CD6352" w:rsidRPr="005D1D3E" w14:paraId="1DD69FFD" w14:textId="77777777" w:rsidTr="00CD6352">
        <w:trPr>
          <w:trHeight w:val="332"/>
        </w:trPr>
        <w:tc>
          <w:tcPr>
            <w:tcW w:w="716" w:type="pct"/>
            <w:vMerge w:val="restart"/>
          </w:tcPr>
          <w:p w14:paraId="2436E16E" w14:textId="77777777" w:rsidR="00CD6352" w:rsidRPr="005D1D3E" w:rsidRDefault="00CD6352" w:rsidP="00CD6352">
            <w:pPr>
              <w:rPr>
                <w:rFonts w:ascii="Arial" w:hAnsi="Arial" w:cs="Arial"/>
                <w:sz w:val="16"/>
                <w:szCs w:val="16"/>
              </w:rPr>
            </w:pPr>
            <w:r w:rsidRPr="005D1D3E">
              <w:rPr>
                <w:rFonts w:ascii="Arial" w:hAnsi="Arial" w:cs="Arial"/>
                <w:sz w:val="16"/>
                <w:szCs w:val="16"/>
              </w:rPr>
              <w:t>China Mgr6</w:t>
            </w:r>
          </w:p>
        </w:tc>
        <w:tc>
          <w:tcPr>
            <w:tcW w:w="4284" w:type="pct"/>
            <w:vMerge w:val="restart"/>
          </w:tcPr>
          <w:p w14:paraId="6872F966"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Developing a strong relationship with concerned financiers and the capability of delivering returns and repaying loans</w:t>
            </w:r>
          </w:p>
        </w:tc>
      </w:tr>
      <w:tr w:rsidR="00CD6352" w:rsidRPr="005D1D3E" w14:paraId="63F9F0F8" w14:textId="77777777" w:rsidTr="00CD6352">
        <w:trPr>
          <w:trHeight w:val="332"/>
        </w:trPr>
        <w:tc>
          <w:tcPr>
            <w:tcW w:w="716" w:type="pct"/>
            <w:vMerge/>
          </w:tcPr>
          <w:p w14:paraId="4DC46FE5" w14:textId="77777777" w:rsidR="00CD6352" w:rsidRPr="005D1D3E" w:rsidRDefault="00CD6352" w:rsidP="00CD6352">
            <w:pPr>
              <w:rPr>
                <w:rFonts w:ascii="Arial" w:hAnsi="Arial" w:cs="Arial"/>
                <w:sz w:val="16"/>
                <w:szCs w:val="16"/>
              </w:rPr>
            </w:pPr>
          </w:p>
        </w:tc>
        <w:tc>
          <w:tcPr>
            <w:tcW w:w="4284" w:type="pct"/>
            <w:vMerge/>
          </w:tcPr>
          <w:p w14:paraId="04058CDF" w14:textId="77777777" w:rsidR="00CD6352" w:rsidRPr="005D1D3E" w:rsidRDefault="00CD6352" w:rsidP="00CD6352">
            <w:pPr>
              <w:jc w:val="both"/>
              <w:rPr>
                <w:rFonts w:ascii="Arial" w:hAnsi="Arial" w:cs="Arial"/>
                <w:sz w:val="16"/>
                <w:szCs w:val="16"/>
              </w:rPr>
            </w:pPr>
          </w:p>
        </w:tc>
      </w:tr>
      <w:tr w:rsidR="00CD6352" w:rsidRPr="005D1D3E" w14:paraId="43EBFE4A" w14:textId="77777777" w:rsidTr="00CD6352">
        <w:tc>
          <w:tcPr>
            <w:tcW w:w="716" w:type="pct"/>
          </w:tcPr>
          <w:p w14:paraId="069E4F83" w14:textId="77777777" w:rsidR="00CD6352" w:rsidRPr="005D1D3E" w:rsidRDefault="00CD6352" w:rsidP="00CD6352">
            <w:pPr>
              <w:rPr>
                <w:rFonts w:ascii="Arial" w:hAnsi="Arial" w:cs="Arial"/>
                <w:sz w:val="16"/>
                <w:szCs w:val="16"/>
              </w:rPr>
            </w:pPr>
            <w:r w:rsidRPr="005D1D3E">
              <w:rPr>
                <w:rFonts w:ascii="Arial" w:hAnsi="Arial" w:cs="Arial"/>
                <w:sz w:val="16"/>
                <w:szCs w:val="16"/>
              </w:rPr>
              <w:t>China Mgr7</w:t>
            </w:r>
          </w:p>
        </w:tc>
        <w:tc>
          <w:tcPr>
            <w:tcW w:w="4284" w:type="pct"/>
          </w:tcPr>
          <w:p w14:paraId="025CF9E9"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Discipline focused approach to underwriting and transaction execution</w:t>
            </w:r>
          </w:p>
        </w:tc>
      </w:tr>
      <w:tr w:rsidR="00CD6352" w:rsidRPr="005D1D3E" w14:paraId="3DDA3322" w14:textId="77777777" w:rsidTr="00CD6352">
        <w:tc>
          <w:tcPr>
            <w:tcW w:w="716" w:type="pct"/>
          </w:tcPr>
          <w:p w14:paraId="4F8741E3" w14:textId="77777777" w:rsidR="00CD6352" w:rsidRPr="005D1D3E" w:rsidRDefault="00CD6352" w:rsidP="00CD6352">
            <w:pPr>
              <w:rPr>
                <w:rFonts w:ascii="Arial" w:hAnsi="Arial" w:cs="Arial"/>
                <w:sz w:val="16"/>
                <w:szCs w:val="16"/>
              </w:rPr>
            </w:pPr>
            <w:r w:rsidRPr="005D1D3E">
              <w:rPr>
                <w:rFonts w:ascii="Arial" w:hAnsi="Arial" w:cs="Arial"/>
                <w:sz w:val="16"/>
                <w:szCs w:val="16"/>
              </w:rPr>
              <w:t>Nigeria Mgr1</w:t>
            </w:r>
          </w:p>
        </w:tc>
        <w:tc>
          <w:tcPr>
            <w:tcW w:w="4284" w:type="pct"/>
          </w:tcPr>
          <w:p w14:paraId="12F78C9E"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Land and verifiable land document</w:t>
            </w:r>
          </w:p>
        </w:tc>
      </w:tr>
      <w:tr w:rsidR="00CD6352" w:rsidRPr="005D1D3E" w14:paraId="0ADEB1B2" w14:textId="77777777" w:rsidTr="00CD6352">
        <w:tc>
          <w:tcPr>
            <w:tcW w:w="716" w:type="pct"/>
          </w:tcPr>
          <w:p w14:paraId="76E87FDB" w14:textId="77777777" w:rsidR="00CD6352" w:rsidRPr="005D1D3E" w:rsidRDefault="00CD6352" w:rsidP="00CD6352">
            <w:pPr>
              <w:rPr>
                <w:rFonts w:ascii="Arial" w:hAnsi="Arial" w:cs="Arial"/>
                <w:sz w:val="16"/>
                <w:szCs w:val="16"/>
              </w:rPr>
            </w:pPr>
            <w:r w:rsidRPr="005D1D3E">
              <w:rPr>
                <w:rFonts w:ascii="Arial" w:hAnsi="Arial" w:cs="Arial"/>
                <w:sz w:val="16"/>
                <w:szCs w:val="16"/>
              </w:rPr>
              <w:t>Nigeria Mgr2</w:t>
            </w:r>
          </w:p>
        </w:tc>
        <w:tc>
          <w:tcPr>
            <w:tcW w:w="4284" w:type="pct"/>
          </w:tcPr>
          <w:p w14:paraId="507DF2F6"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Network, site for development</w:t>
            </w:r>
          </w:p>
        </w:tc>
      </w:tr>
      <w:tr w:rsidR="00CD6352" w:rsidRPr="005D1D3E" w14:paraId="2ABBB63F" w14:textId="77777777" w:rsidTr="00CD6352">
        <w:tc>
          <w:tcPr>
            <w:tcW w:w="716" w:type="pct"/>
          </w:tcPr>
          <w:p w14:paraId="1C53A37A" w14:textId="77777777" w:rsidR="00CD6352" w:rsidRPr="005D1D3E" w:rsidRDefault="00CD6352" w:rsidP="00CD6352">
            <w:pPr>
              <w:rPr>
                <w:rFonts w:ascii="Arial" w:hAnsi="Arial" w:cs="Arial"/>
                <w:sz w:val="16"/>
                <w:szCs w:val="16"/>
              </w:rPr>
            </w:pPr>
            <w:r w:rsidRPr="005D1D3E">
              <w:rPr>
                <w:rFonts w:ascii="Arial" w:hAnsi="Arial" w:cs="Arial"/>
                <w:sz w:val="16"/>
                <w:szCs w:val="16"/>
              </w:rPr>
              <w:t>Nigeria Mgr3</w:t>
            </w:r>
          </w:p>
        </w:tc>
        <w:tc>
          <w:tcPr>
            <w:tcW w:w="4284" w:type="pct"/>
          </w:tcPr>
          <w:p w14:paraId="4FB3406F"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 xml:space="preserve">Favourable legal search report on land </w:t>
            </w:r>
          </w:p>
        </w:tc>
      </w:tr>
      <w:tr w:rsidR="00CD6352" w:rsidRPr="005D1D3E" w14:paraId="60E9F88D" w14:textId="77777777" w:rsidTr="00CD6352">
        <w:tc>
          <w:tcPr>
            <w:tcW w:w="716" w:type="pct"/>
          </w:tcPr>
          <w:p w14:paraId="7E4B5325" w14:textId="77777777" w:rsidR="00CD6352" w:rsidRPr="005D1D3E" w:rsidRDefault="00CD6352" w:rsidP="00CD6352">
            <w:pPr>
              <w:rPr>
                <w:rFonts w:ascii="Arial" w:hAnsi="Arial" w:cs="Arial"/>
                <w:sz w:val="16"/>
                <w:szCs w:val="16"/>
              </w:rPr>
            </w:pPr>
            <w:r w:rsidRPr="005D1D3E">
              <w:rPr>
                <w:rFonts w:ascii="Arial" w:hAnsi="Arial" w:cs="Arial"/>
                <w:sz w:val="16"/>
                <w:szCs w:val="16"/>
              </w:rPr>
              <w:t>Nigeria Mgr4</w:t>
            </w:r>
          </w:p>
        </w:tc>
        <w:tc>
          <w:tcPr>
            <w:tcW w:w="4284" w:type="pct"/>
          </w:tcPr>
          <w:p w14:paraId="2AC19E7D"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Off-takers commitment</w:t>
            </w:r>
          </w:p>
        </w:tc>
      </w:tr>
      <w:tr w:rsidR="00CD6352" w:rsidRPr="005D1D3E" w14:paraId="260DDC8D" w14:textId="77777777" w:rsidTr="00CD6352">
        <w:tc>
          <w:tcPr>
            <w:tcW w:w="716" w:type="pct"/>
          </w:tcPr>
          <w:p w14:paraId="0AF11C95" w14:textId="77777777" w:rsidR="00CD6352" w:rsidRPr="005D1D3E" w:rsidRDefault="00CD6352" w:rsidP="00CD6352">
            <w:pPr>
              <w:rPr>
                <w:rFonts w:ascii="Arial" w:hAnsi="Arial" w:cs="Arial"/>
                <w:sz w:val="16"/>
                <w:szCs w:val="16"/>
              </w:rPr>
            </w:pPr>
            <w:r w:rsidRPr="005D1D3E">
              <w:rPr>
                <w:rFonts w:ascii="Arial" w:hAnsi="Arial" w:cs="Arial"/>
                <w:sz w:val="16"/>
                <w:szCs w:val="16"/>
              </w:rPr>
              <w:t>Nigeria Mgr5</w:t>
            </w:r>
          </w:p>
        </w:tc>
        <w:tc>
          <w:tcPr>
            <w:tcW w:w="4284" w:type="pct"/>
          </w:tcPr>
          <w:p w14:paraId="5EE22E0F"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Cash flow &amp; projected cash flow</w:t>
            </w:r>
          </w:p>
        </w:tc>
      </w:tr>
      <w:tr w:rsidR="00CD6352" w:rsidRPr="005D1D3E" w14:paraId="78258C15" w14:textId="77777777" w:rsidTr="00CD6352">
        <w:tc>
          <w:tcPr>
            <w:tcW w:w="716" w:type="pct"/>
          </w:tcPr>
          <w:p w14:paraId="7CD2E4A9" w14:textId="77777777" w:rsidR="00CD6352" w:rsidRPr="005D1D3E" w:rsidRDefault="00CD6352" w:rsidP="00CD6352">
            <w:pPr>
              <w:rPr>
                <w:rFonts w:ascii="Arial" w:hAnsi="Arial" w:cs="Arial"/>
                <w:sz w:val="16"/>
                <w:szCs w:val="16"/>
              </w:rPr>
            </w:pPr>
            <w:r w:rsidRPr="005D1D3E">
              <w:rPr>
                <w:rFonts w:ascii="Arial" w:hAnsi="Arial" w:cs="Arial"/>
                <w:sz w:val="16"/>
                <w:szCs w:val="16"/>
              </w:rPr>
              <w:t>Nigeria Mgr6</w:t>
            </w:r>
          </w:p>
        </w:tc>
        <w:tc>
          <w:tcPr>
            <w:tcW w:w="4284" w:type="pct"/>
          </w:tcPr>
          <w:p w14:paraId="419B269F"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Profitability</w:t>
            </w:r>
          </w:p>
        </w:tc>
      </w:tr>
      <w:tr w:rsidR="00CD6352" w:rsidRPr="005D1D3E" w14:paraId="6501A1F5" w14:textId="77777777" w:rsidTr="00CD6352">
        <w:tc>
          <w:tcPr>
            <w:tcW w:w="716" w:type="pct"/>
          </w:tcPr>
          <w:p w14:paraId="537BF82A" w14:textId="77777777" w:rsidR="00CD6352" w:rsidRPr="005D1D3E" w:rsidRDefault="00CD6352" w:rsidP="00CD6352">
            <w:pPr>
              <w:rPr>
                <w:rFonts w:ascii="Arial" w:hAnsi="Arial" w:cs="Arial"/>
                <w:sz w:val="16"/>
                <w:szCs w:val="16"/>
              </w:rPr>
            </w:pPr>
            <w:r w:rsidRPr="005D1D3E">
              <w:rPr>
                <w:rFonts w:ascii="Arial" w:hAnsi="Arial" w:cs="Arial"/>
                <w:sz w:val="16"/>
                <w:szCs w:val="16"/>
              </w:rPr>
              <w:t>South Africa Mgr 1</w:t>
            </w:r>
          </w:p>
        </w:tc>
        <w:tc>
          <w:tcPr>
            <w:tcW w:w="4284" w:type="pct"/>
          </w:tcPr>
          <w:p w14:paraId="55EC4AE2"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Land ownership</w:t>
            </w:r>
          </w:p>
        </w:tc>
      </w:tr>
      <w:tr w:rsidR="00CD6352" w:rsidRPr="005D1D3E" w14:paraId="1E020B01" w14:textId="77777777" w:rsidTr="00CD6352">
        <w:tc>
          <w:tcPr>
            <w:tcW w:w="716" w:type="pct"/>
          </w:tcPr>
          <w:p w14:paraId="0AAF1663" w14:textId="77777777" w:rsidR="00CD6352" w:rsidRPr="005D1D3E" w:rsidRDefault="00CD6352" w:rsidP="00CD6352">
            <w:pPr>
              <w:rPr>
                <w:rFonts w:ascii="Arial" w:hAnsi="Arial" w:cs="Arial"/>
                <w:sz w:val="16"/>
                <w:szCs w:val="16"/>
              </w:rPr>
            </w:pPr>
            <w:r w:rsidRPr="005D1D3E">
              <w:rPr>
                <w:rFonts w:ascii="Arial" w:hAnsi="Arial" w:cs="Arial"/>
                <w:sz w:val="16"/>
                <w:szCs w:val="16"/>
              </w:rPr>
              <w:t>South Africa Mgr2</w:t>
            </w:r>
          </w:p>
        </w:tc>
        <w:tc>
          <w:tcPr>
            <w:tcW w:w="4284" w:type="pct"/>
          </w:tcPr>
          <w:p w14:paraId="79FA9A65"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 xml:space="preserve">Equity, track record, and practical experience, </w:t>
            </w:r>
          </w:p>
        </w:tc>
      </w:tr>
      <w:tr w:rsidR="00CD6352" w:rsidRPr="005D1D3E" w14:paraId="3C369B33" w14:textId="77777777" w:rsidTr="00CD6352">
        <w:tc>
          <w:tcPr>
            <w:tcW w:w="716" w:type="pct"/>
          </w:tcPr>
          <w:p w14:paraId="4F6CF802" w14:textId="77777777" w:rsidR="00CD6352" w:rsidRPr="005D1D3E" w:rsidRDefault="00CD6352" w:rsidP="00CD6352">
            <w:pPr>
              <w:rPr>
                <w:rFonts w:ascii="Arial" w:hAnsi="Arial" w:cs="Arial"/>
                <w:sz w:val="16"/>
                <w:szCs w:val="16"/>
              </w:rPr>
            </w:pPr>
            <w:r w:rsidRPr="005D1D3E">
              <w:rPr>
                <w:rFonts w:ascii="Arial" w:hAnsi="Arial" w:cs="Arial"/>
                <w:sz w:val="16"/>
                <w:szCs w:val="16"/>
              </w:rPr>
              <w:t>South Africa Mgr3</w:t>
            </w:r>
          </w:p>
        </w:tc>
        <w:tc>
          <w:tcPr>
            <w:tcW w:w="4284" w:type="pct"/>
          </w:tcPr>
          <w:p w14:paraId="22734BFB" w14:textId="72D526B1" w:rsidR="00CD6352" w:rsidRPr="005D1D3E" w:rsidRDefault="00CD6352" w:rsidP="00CD6352">
            <w:pPr>
              <w:jc w:val="both"/>
              <w:rPr>
                <w:rFonts w:ascii="Arial" w:hAnsi="Arial" w:cs="Arial"/>
                <w:sz w:val="16"/>
                <w:szCs w:val="16"/>
              </w:rPr>
            </w:pPr>
            <w:r w:rsidRPr="005D1D3E">
              <w:rPr>
                <w:rFonts w:ascii="Arial" w:hAnsi="Arial" w:cs="Arial"/>
                <w:sz w:val="16"/>
                <w:szCs w:val="16"/>
              </w:rPr>
              <w:t>Location, visibility of the project and guarantee that financiers will get their funds back</w:t>
            </w:r>
          </w:p>
        </w:tc>
      </w:tr>
      <w:tr w:rsidR="00CD6352" w:rsidRPr="005D1D3E" w14:paraId="73AD5120" w14:textId="77777777" w:rsidTr="00CD6352">
        <w:tc>
          <w:tcPr>
            <w:tcW w:w="716" w:type="pct"/>
          </w:tcPr>
          <w:p w14:paraId="15ECC427"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South Africa Mgr4</w:t>
            </w:r>
          </w:p>
        </w:tc>
        <w:tc>
          <w:tcPr>
            <w:tcW w:w="4284" w:type="pct"/>
          </w:tcPr>
          <w:p w14:paraId="372DD0BA" w14:textId="77777777" w:rsidR="00CD6352" w:rsidRPr="005D1D3E" w:rsidRDefault="00CD6352" w:rsidP="00CD6352">
            <w:pPr>
              <w:jc w:val="both"/>
              <w:rPr>
                <w:rFonts w:ascii="Arial" w:hAnsi="Arial" w:cs="Arial"/>
                <w:sz w:val="16"/>
                <w:szCs w:val="16"/>
              </w:rPr>
            </w:pPr>
            <w:r w:rsidRPr="005D1D3E">
              <w:rPr>
                <w:rFonts w:ascii="Arial" w:hAnsi="Arial" w:cs="Arial"/>
                <w:sz w:val="16"/>
                <w:szCs w:val="16"/>
              </w:rPr>
              <w:t>Essential skills and capacity, ability to demonstrate an understanding of the product, i.e. retail or commercial real estate, demonstrating an ability to deliver the product, ability to put together a business proposal that is acceptable to financiers according to the finance type sought and pre-sale of a certain percentage  as it shows the viability</w:t>
            </w:r>
          </w:p>
        </w:tc>
      </w:tr>
    </w:tbl>
    <w:p w14:paraId="5B0E257F" w14:textId="77777777" w:rsidR="00CD6352" w:rsidRPr="00EA7665" w:rsidRDefault="00CD6352" w:rsidP="00CD6352">
      <w:pPr>
        <w:spacing w:after="0"/>
      </w:pPr>
    </w:p>
    <w:p w14:paraId="48C15021" w14:textId="779F9BC2"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Developed and emerging economies have similar critical success factors based on semi-structured interviews. </w:t>
      </w:r>
      <w:r w:rsidR="00C7137F">
        <w:rPr>
          <w:rFonts w:ascii="Arial" w:hAnsi="Arial" w:cs="Arial"/>
        </w:rPr>
        <w:t>However, the semi-structured interviews</w:t>
      </w:r>
      <w:r w:rsidRPr="00EA7665">
        <w:rPr>
          <w:rFonts w:ascii="Arial" w:hAnsi="Arial" w:cs="Arial"/>
        </w:rPr>
        <w:t xml:space="preserve"> shed light on a lot of critical success factors that were not covered by the questionnaire survey</w:t>
      </w:r>
      <w:r w:rsidR="00C7137F">
        <w:rPr>
          <w:rFonts w:ascii="Arial" w:hAnsi="Arial" w:cs="Arial"/>
        </w:rPr>
        <w:t>,</w:t>
      </w:r>
      <w:r w:rsidRPr="00EA7665">
        <w:rPr>
          <w:rFonts w:ascii="Arial" w:hAnsi="Arial" w:cs="Arial"/>
        </w:rPr>
        <w:t xml:space="preserve"> thereby providing more depth and robustness to the study</w:t>
      </w:r>
      <w:r w:rsidR="007D2AC6">
        <w:rPr>
          <w:rFonts w:ascii="Arial" w:hAnsi="Arial" w:cs="Arial"/>
        </w:rPr>
        <w:t xml:space="preserve"> </w:t>
      </w:r>
      <w:r w:rsidR="00AC353E" w:rsidRPr="00EA7665">
        <w:rPr>
          <w:rFonts w:ascii="Arial" w:hAnsi="Arial" w:cs="Arial"/>
        </w:rPr>
        <w:t>(see</w:t>
      </w:r>
      <w:r w:rsidRPr="00EA7665">
        <w:rPr>
          <w:rFonts w:ascii="Arial" w:hAnsi="Arial" w:cs="Arial"/>
        </w:rPr>
        <w:t xml:space="preserve"> table 6.</w:t>
      </w:r>
      <w:r w:rsidR="005D1D3E">
        <w:rPr>
          <w:rFonts w:ascii="Arial" w:hAnsi="Arial" w:cs="Arial"/>
        </w:rPr>
        <w:t>2.</w:t>
      </w:r>
      <w:r w:rsidR="006846B5">
        <w:rPr>
          <w:rFonts w:ascii="Arial" w:hAnsi="Arial" w:cs="Arial"/>
        </w:rPr>
        <w:t>5</w:t>
      </w:r>
      <w:r w:rsidRPr="00EA7665">
        <w:rPr>
          <w:rFonts w:ascii="Arial" w:hAnsi="Arial" w:cs="Arial"/>
        </w:rPr>
        <w:t xml:space="preserve"> &amp; 6.</w:t>
      </w:r>
      <w:r w:rsidR="005D1D3E">
        <w:rPr>
          <w:rFonts w:ascii="Arial" w:hAnsi="Arial" w:cs="Arial"/>
        </w:rPr>
        <w:t>2.</w:t>
      </w:r>
      <w:r w:rsidR="006846B5">
        <w:rPr>
          <w:rFonts w:ascii="Arial" w:hAnsi="Arial" w:cs="Arial"/>
        </w:rPr>
        <w:t>6</w:t>
      </w:r>
      <w:r w:rsidRPr="00EA7665">
        <w:rPr>
          <w:rFonts w:ascii="Arial" w:hAnsi="Arial" w:cs="Arial"/>
        </w:rPr>
        <w:t xml:space="preserve">).  The most dominant critical success factors mentioned by managers in the interview include track records, land, and relationship with financiers, experience, and understanding of how financiers operate and profitability of the project. </w:t>
      </w:r>
      <w:r>
        <w:rPr>
          <w:rFonts w:ascii="Arial" w:hAnsi="Arial" w:cs="Arial"/>
        </w:rPr>
        <w:t>The factors mentioned as critical in the semi-structured interview are consistent with both the survey questionnaire and existing literature (see chapter 3</w:t>
      </w:r>
      <w:r w:rsidR="005D164D">
        <w:rPr>
          <w:rFonts w:ascii="Arial" w:hAnsi="Arial" w:cs="Arial"/>
        </w:rPr>
        <w:t>.5</w:t>
      </w:r>
      <w:r>
        <w:rPr>
          <w:rFonts w:ascii="Arial" w:hAnsi="Arial" w:cs="Arial"/>
        </w:rPr>
        <w:t>).</w:t>
      </w:r>
    </w:p>
    <w:p w14:paraId="3B2BD768" w14:textId="023CB8C3" w:rsidR="00CD6352" w:rsidRPr="00EA7665" w:rsidRDefault="00CD6352" w:rsidP="00CD6352">
      <w:pPr>
        <w:spacing w:line="360" w:lineRule="auto"/>
        <w:jc w:val="both"/>
        <w:rPr>
          <w:rFonts w:ascii="Arial" w:hAnsi="Arial" w:cs="Arial"/>
        </w:rPr>
      </w:pPr>
      <w:r w:rsidRPr="00EA7665">
        <w:rPr>
          <w:rFonts w:ascii="Arial" w:hAnsi="Arial" w:cs="Arial"/>
        </w:rPr>
        <w:t xml:space="preserve">The managers interviewed in both the developed and emerging economies cited the following critical success criteria in </w:t>
      </w:r>
      <w:r w:rsidR="00AC353E" w:rsidRPr="00EA7665">
        <w:rPr>
          <w:rFonts w:ascii="Arial" w:hAnsi="Arial" w:cs="Arial"/>
        </w:rPr>
        <w:t>common</w:t>
      </w:r>
      <w:r w:rsidR="00AC353E">
        <w:rPr>
          <w:rFonts w:ascii="Arial" w:hAnsi="Arial" w:cs="Arial"/>
        </w:rPr>
        <w:t>:</w:t>
      </w:r>
    </w:p>
    <w:p w14:paraId="1BF38D52" w14:textId="77777777" w:rsidR="00CD6352" w:rsidRPr="007625E7" w:rsidRDefault="00CD6352" w:rsidP="007625E7">
      <w:pPr>
        <w:pStyle w:val="ListParagraph"/>
        <w:numPr>
          <w:ilvl w:val="0"/>
          <w:numId w:val="312"/>
        </w:numPr>
        <w:spacing w:line="360" w:lineRule="auto"/>
        <w:jc w:val="both"/>
        <w:rPr>
          <w:rFonts w:ascii="Arial" w:hAnsi="Arial" w:cs="Arial"/>
        </w:rPr>
      </w:pPr>
      <w:r w:rsidRPr="007625E7">
        <w:rPr>
          <w:rFonts w:ascii="Arial" w:hAnsi="Arial" w:cs="Arial"/>
        </w:rPr>
        <w:t>Track records</w:t>
      </w:r>
    </w:p>
    <w:p w14:paraId="698142C7" w14:textId="77777777" w:rsidR="00CD6352" w:rsidRPr="007625E7" w:rsidRDefault="00CD6352" w:rsidP="007625E7">
      <w:pPr>
        <w:pStyle w:val="ListParagraph"/>
        <w:numPr>
          <w:ilvl w:val="0"/>
          <w:numId w:val="312"/>
        </w:numPr>
        <w:spacing w:line="360" w:lineRule="auto"/>
        <w:jc w:val="both"/>
        <w:rPr>
          <w:rFonts w:ascii="Arial" w:hAnsi="Arial" w:cs="Arial"/>
        </w:rPr>
      </w:pPr>
      <w:r w:rsidRPr="007625E7">
        <w:rPr>
          <w:rFonts w:ascii="Arial" w:hAnsi="Arial" w:cs="Arial"/>
        </w:rPr>
        <w:t xml:space="preserve">Access to land </w:t>
      </w:r>
    </w:p>
    <w:p w14:paraId="1EEBAAC8" w14:textId="77777777" w:rsidR="00CD6352" w:rsidRPr="007625E7" w:rsidRDefault="00CD6352" w:rsidP="007625E7">
      <w:pPr>
        <w:pStyle w:val="ListParagraph"/>
        <w:numPr>
          <w:ilvl w:val="0"/>
          <w:numId w:val="312"/>
        </w:numPr>
        <w:spacing w:line="360" w:lineRule="auto"/>
        <w:jc w:val="both"/>
        <w:rPr>
          <w:rFonts w:ascii="Arial" w:hAnsi="Arial" w:cs="Arial"/>
        </w:rPr>
      </w:pPr>
      <w:r w:rsidRPr="007625E7">
        <w:rPr>
          <w:rFonts w:ascii="Arial" w:hAnsi="Arial" w:cs="Arial"/>
        </w:rPr>
        <w:t>Cash flow</w:t>
      </w:r>
    </w:p>
    <w:p w14:paraId="52037001" w14:textId="77777777" w:rsidR="00CD6352" w:rsidRPr="007625E7" w:rsidRDefault="00CD6352" w:rsidP="007625E7">
      <w:pPr>
        <w:pStyle w:val="ListParagraph"/>
        <w:numPr>
          <w:ilvl w:val="0"/>
          <w:numId w:val="312"/>
        </w:numPr>
        <w:spacing w:line="360" w:lineRule="auto"/>
        <w:jc w:val="both"/>
        <w:rPr>
          <w:rFonts w:ascii="Arial" w:hAnsi="Arial" w:cs="Arial"/>
        </w:rPr>
      </w:pPr>
      <w:r w:rsidRPr="007625E7">
        <w:rPr>
          <w:rFonts w:ascii="Arial" w:hAnsi="Arial" w:cs="Arial"/>
        </w:rPr>
        <w:t>Relationship with financiers</w:t>
      </w:r>
    </w:p>
    <w:p w14:paraId="68ECBCCA" w14:textId="77777777" w:rsidR="00CD6352" w:rsidRPr="007625E7" w:rsidRDefault="00CD6352" w:rsidP="007625E7">
      <w:pPr>
        <w:pStyle w:val="ListParagraph"/>
        <w:numPr>
          <w:ilvl w:val="0"/>
          <w:numId w:val="312"/>
        </w:numPr>
        <w:spacing w:line="360" w:lineRule="auto"/>
        <w:jc w:val="both"/>
        <w:rPr>
          <w:rFonts w:ascii="Arial" w:hAnsi="Arial" w:cs="Arial"/>
        </w:rPr>
      </w:pPr>
      <w:r w:rsidRPr="007625E7">
        <w:rPr>
          <w:rFonts w:ascii="Arial" w:hAnsi="Arial" w:cs="Arial"/>
        </w:rPr>
        <w:t>Access to market</w:t>
      </w:r>
    </w:p>
    <w:p w14:paraId="5D1376D6" w14:textId="77777777" w:rsidR="00CD6352" w:rsidRPr="00EA7665" w:rsidRDefault="00CD6352" w:rsidP="00CD6352">
      <w:pPr>
        <w:spacing w:line="360" w:lineRule="auto"/>
        <w:jc w:val="both"/>
        <w:rPr>
          <w:rFonts w:ascii="Arial" w:hAnsi="Arial" w:cs="Arial"/>
        </w:rPr>
      </w:pPr>
      <w:r w:rsidRPr="00EA7665">
        <w:rPr>
          <w:rFonts w:ascii="Arial" w:hAnsi="Arial" w:cs="Arial"/>
        </w:rPr>
        <w:t>However, the ranking of the top five critical success factors most cited by managers interviewed in the developed economies are:</w:t>
      </w:r>
    </w:p>
    <w:p w14:paraId="4EC2C755" w14:textId="77777777" w:rsidR="00CD6352" w:rsidRPr="007625E7" w:rsidRDefault="00CD6352" w:rsidP="007625E7">
      <w:pPr>
        <w:pStyle w:val="ListParagraph"/>
        <w:numPr>
          <w:ilvl w:val="0"/>
          <w:numId w:val="313"/>
        </w:numPr>
        <w:spacing w:line="360" w:lineRule="auto"/>
        <w:jc w:val="both"/>
        <w:rPr>
          <w:rFonts w:ascii="Arial" w:hAnsi="Arial" w:cs="Arial"/>
        </w:rPr>
      </w:pPr>
      <w:r w:rsidRPr="007625E7">
        <w:rPr>
          <w:rFonts w:ascii="Arial" w:hAnsi="Arial" w:cs="Arial"/>
        </w:rPr>
        <w:t>Track records</w:t>
      </w:r>
    </w:p>
    <w:p w14:paraId="2165EEAF" w14:textId="77777777" w:rsidR="00CD6352" w:rsidRPr="007625E7" w:rsidRDefault="00CD6352" w:rsidP="007625E7">
      <w:pPr>
        <w:pStyle w:val="ListParagraph"/>
        <w:numPr>
          <w:ilvl w:val="0"/>
          <w:numId w:val="313"/>
        </w:numPr>
        <w:spacing w:line="360" w:lineRule="auto"/>
        <w:jc w:val="both"/>
        <w:rPr>
          <w:rFonts w:ascii="Arial" w:hAnsi="Arial" w:cs="Arial"/>
        </w:rPr>
      </w:pPr>
      <w:r w:rsidRPr="007625E7">
        <w:rPr>
          <w:rFonts w:ascii="Arial" w:hAnsi="Arial" w:cs="Arial"/>
        </w:rPr>
        <w:t>Cash flow</w:t>
      </w:r>
    </w:p>
    <w:p w14:paraId="5E826B24" w14:textId="77777777" w:rsidR="00CD6352" w:rsidRPr="007625E7" w:rsidRDefault="00CD6352" w:rsidP="007625E7">
      <w:pPr>
        <w:pStyle w:val="ListParagraph"/>
        <w:numPr>
          <w:ilvl w:val="0"/>
          <w:numId w:val="313"/>
        </w:numPr>
        <w:spacing w:line="360" w:lineRule="auto"/>
        <w:jc w:val="both"/>
        <w:rPr>
          <w:rFonts w:ascii="Arial" w:hAnsi="Arial" w:cs="Arial"/>
        </w:rPr>
      </w:pPr>
      <w:r w:rsidRPr="007625E7">
        <w:rPr>
          <w:rFonts w:ascii="Arial" w:hAnsi="Arial" w:cs="Arial"/>
        </w:rPr>
        <w:t>Access to land</w:t>
      </w:r>
    </w:p>
    <w:p w14:paraId="4C552D6D" w14:textId="77777777" w:rsidR="00CD6352" w:rsidRPr="007625E7" w:rsidRDefault="00CD6352" w:rsidP="007625E7">
      <w:pPr>
        <w:pStyle w:val="ListParagraph"/>
        <w:numPr>
          <w:ilvl w:val="0"/>
          <w:numId w:val="313"/>
        </w:numPr>
        <w:spacing w:line="360" w:lineRule="auto"/>
        <w:jc w:val="both"/>
        <w:rPr>
          <w:rFonts w:ascii="Arial" w:hAnsi="Arial" w:cs="Arial"/>
        </w:rPr>
      </w:pPr>
      <w:r w:rsidRPr="007625E7">
        <w:rPr>
          <w:rFonts w:ascii="Arial" w:hAnsi="Arial" w:cs="Arial"/>
        </w:rPr>
        <w:t>Access to market</w:t>
      </w:r>
    </w:p>
    <w:p w14:paraId="7ABC9745" w14:textId="77777777" w:rsidR="00CD6352" w:rsidRPr="007625E7" w:rsidRDefault="00CD6352" w:rsidP="007625E7">
      <w:pPr>
        <w:pStyle w:val="ListParagraph"/>
        <w:numPr>
          <w:ilvl w:val="0"/>
          <w:numId w:val="313"/>
        </w:numPr>
        <w:spacing w:line="360" w:lineRule="auto"/>
        <w:jc w:val="both"/>
        <w:rPr>
          <w:rFonts w:ascii="Arial" w:hAnsi="Arial" w:cs="Arial"/>
        </w:rPr>
      </w:pPr>
      <w:r w:rsidRPr="007625E7">
        <w:rPr>
          <w:rFonts w:ascii="Arial" w:hAnsi="Arial" w:cs="Arial"/>
        </w:rPr>
        <w:t>Experience</w:t>
      </w:r>
    </w:p>
    <w:p w14:paraId="300428C1" w14:textId="77777777" w:rsidR="00CD6352" w:rsidRPr="00EA7665" w:rsidRDefault="00CD6352" w:rsidP="00CD6352">
      <w:pPr>
        <w:spacing w:line="360" w:lineRule="auto"/>
        <w:jc w:val="both"/>
        <w:rPr>
          <w:rFonts w:ascii="Arial" w:hAnsi="Arial" w:cs="Arial"/>
        </w:rPr>
      </w:pPr>
      <w:r w:rsidRPr="00EA7665">
        <w:rPr>
          <w:rFonts w:ascii="Arial" w:hAnsi="Arial" w:cs="Arial"/>
        </w:rPr>
        <w:t>While the ranking of the top five critical success factors for securing finance for real estate project development most cited by managers in the emerging economies are as follows:</w:t>
      </w:r>
    </w:p>
    <w:p w14:paraId="2A9C432A" w14:textId="77777777" w:rsidR="00CD6352" w:rsidRPr="007625E7" w:rsidRDefault="00CD6352" w:rsidP="007625E7">
      <w:pPr>
        <w:pStyle w:val="ListParagraph"/>
        <w:numPr>
          <w:ilvl w:val="0"/>
          <w:numId w:val="314"/>
        </w:numPr>
        <w:spacing w:line="360" w:lineRule="auto"/>
        <w:jc w:val="both"/>
        <w:rPr>
          <w:rFonts w:ascii="Arial" w:hAnsi="Arial" w:cs="Arial"/>
        </w:rPr>
      </w:pPr>
      <w:r w:rsidRPr="007625E7">
        <w:rPr>
          <w:rFonts w:ascii="Arial" w:hAnsi="Arial" w:cs="Arial"/>
        </w:rPr>
        <w:t>Access to land</w:t>
      </w:r>
    </w:p>
    <w:p w14:paraId="47C96DEF" w14:textId="77777777" w:rsidR="00CD6352" w:rsidRPr="007625E7" w:rsidRDefault="00CD6352" w:rsidP="007625E7">
      <w:pPr>
        <w:pStyle w:val="ListParagraph"/>
        <w:numPr>
          <w:ilvl w:val="0"/>
          <w:numId w:val="314"/>
        </w:numPr>
        <w:spacing w:line="360" w:lineRule="auto"/>
        <w:jc w:val="both"/>
        <w:rPr>
          <w:rFonts w:ascii="Arial" w:hAnsi="Arial" w:cs="Arial"/>
        </w:rPr>
      </w:pPr>
      <w:r w:rsidRPr="007625E7">
        <w:rPr>
          <w:rFonts w:ascii="Arial" w:hAnsi="Arial" w:cs="Arial"/>
        </w:rPr>
        <w:t>Track records</w:t>
      </w:r>
    </w:p>
    <w:p w14:paraId="158B5533" w14:textId="77777777" w:rsidR="00CD6352" w:rsidRPr="007625E7" w:rsidRDefault="00CD6352" w:rsidP="007625E7">
      <w:pPr>
        <w:pStyle w:val="ListParagraph"/>
        <w:numPr>
          <w:ilvl w:val="0"/>
          <w:numId w:val="314"/>
        </w:numPr>
        <w:spacing w:line="360" w:lineRule="auto"/>
        <w:jc w:val="both"/>
        <w:rPr>
          <w:rFonts w:ascii="Arial" w:hAnsi="Arial" w:cs="Arial"/>
        </w:rPr>
      </w:pPr>
      <w:r w:rsidRPr="007625E7">
        <w:rPr>
          <w:rFonts w:ascii="Arial" w:hAnsi="Arial" w:cs="Arial"/>
        </w:rPr>
        <w:t>Cash flow/ Off takers</w:t>
      </w:r>
    </w:p>
    <w:p w14:paraId="1D50442B" w14:textId="77777777" w:rsidR="00CD6352" w:rsidRPr="007625E7" w:rsidRDefault="00CD6352" w:rsidP="007625E7">
      <w:pPr>
        <w:pStyle w:val="ListParagraph"/>
        <w:numPr>
          <w:ilvl w:val="0"/>
          <w:numId w:val="314"/>
        </w:numPr>
        <w:spacing w:line="360" w:lineRule="auto"/>
        <w:jc w:val="both"/>
        <w:rPr>
          <w:rFonts w:ascii="Arial" w:hAnsi="Arial" w:cs="Arial"/>
        </w:rPr>
      </w:pPr>
      <w:r w:rsidRPr="007625E7">
        <w:rPr>
          <w:rFonts w:ascii="Arial" w:hAnsi="Arial" w:cs="Arial"/>
        </w:rPr>
        <w:t>Equity</w:t>
      </w:r>
    </w:p>
    <w:p w14:paraId="2B53F9C4" w14:textId="77777777" w:rsidR="00CD6352" w:rsidRPr="007625E7" w:rsidRDefault="00CD6352" w:rsidP="007625E7">
      <w:pPr>
        <w:pStyle w:val="ListParagraph"/>
        <w:numPr>
          <w:ilvl w:val="0"/>
          <w:numId w:val="314"/>
        </w:numPr>
        <w:spacing w:line="360" w:lineRule="auto"/>
        <w:jc w:val="both"/>
        <w:rPr>
          <w:rFonts w:ascii="Arial" w:hAnsi="Arial" w:cs="Arial"/>
        </w:rPr>
      </w:pPr>
      <w:r w:rsidRPr="007625E7">
        <w:rPr>
          <w:rFonts w:ascii="Arial" w:hAnsi="Arial" w:cs="Arial"/>
        </w:rPr>
        <w:t>Relationship with financiers</w:t>
      </w:r>
    </w:p>
    <w:p w14:paraId="4FA1AD5E" w14:textId="2341571A" w:rsidR="00CD6352" w:rsidRPr="00EA7665" w:rsidRDefault="00742EFD" w:rsidP="00CD6352">
      <w:pPr>
        <w:pStyle w:val="Heading3"/>
        <w:spacing w:after="240"/>
        <w:rPr>
          <w:sz w:val="22"/>
          <w:szCs w:val="22"/>
        </w:rPr>
      </w:pPr>
      <w:bookmarkStart w:id="1171" w:name="_Toc33468137"/>
      <w:bookmarkStart w:id="1172" w:name="_Toc78983863"/>
      <w:r>
        <w:rPr>
          <w:sz w:val="22"/>
          <w:szCs w:val="22"/>
        </w:rPr>
        <w:t>C</w:t>
      </w:r>
      <w:r w:rsidR="00CD6352" w:rsidRPr="00EA7665">
        <w:rPr>
          <w:sz w:val="22"/>
          <w:szCs w:val="22"/>
        </w:rPr>
        <w:t xml:space="preserve">omparison of the </w:t>
      </w:r>
      <w:r w:rsidR="00B24E7D">
        <w:rPr>
          <w:sz w:val="22"/>
          <w:szCs w:val="22"/>
        </w:rPr>
        <w:t xml:space="preserve">critical success factors for securing finance for real estate project development in the </w:t>
      </w:r>
      <w:r w:rsidR="00CD6352" w:rsidRPr="00EA7665">
        <w:rPr>
          <w:sz w:val="22"/>
          <w:szCs w:val="22"/>
        </w:rPr>
        <w:t>developed and emerging economies</w:t>
      </w:r>
      <w:bookmarkEnd w:id="1171"/>
      <w:bookmarkEnd w:id="1172"/>
    </w:p>
    <w:p w14:paraId="0884CED6" w14:textId="2F4FACE5" w:rsidR="00CD6352" w:rsidRPr="00EA7665" w:rsidRDefault="00CD6352" w:rsidP="00CD6352">
      <w:pPr>
        <w:rPr>
          <w:rFonts w:ascii="Arial" w:hAnsi="Arial" w:cs="Arial"/>
        </w:rPr>
      </w:pPr>
      <w:r>
        <w:rPr>
          <w:rFonts w:ascii="Arial" w:hAnsi="Arial" w:cs="Arial"/>
        </w:rPr>
        <w:t xml:space="preserve">All twenty factors </w:t>
      </w:r>
      <w:r w:rsidR="007D2AC6">
        <w:rPr>
          <w:rFonts w:ascii="Arial" w:hAnsi="Arial" w:cs="Arial"/>
        </w:rPr>
        <w:t>are considered</w:t>
      </w:r>
      <w:r>
        <w:rPr>
          <w:rFonts w:ascii="Arial" w:hAnsi="Arial" w:cs="Arial"/>
        </w:rPr>
        <w:t xml:space="preserve"> critical at the disaggregate level by managers in the six countries. The </w:t>
      </w:r>
      <w:r w:rsidRPr="00EA7665">
        <w:rPr>
          <w:rFonts w:ascii="Arial" w:hAnsi="Arial" w:cs="Arial"/>
        </w:rPr>
        <w:t>five top</w:t>
      </w:r>
      <w:r w:rsidR="005D1D3E">
        <w:rPr>
          <w:rFonts w:ascii="Arial" w:hAnsi="Arial" w:cs="Arial"/>
        </w:rPr>
        <w:t>-</w:t>
      </w:r>
      <w:r w:rsidRPr="00EA7665">
        <w:rPr>
          <w:rFonts w:ascii="Arial" w:hAnsi="Arial" w:cs="Arial"/>
        </w:rPr>
        <w:t xml:space="preserve">ranked critical success factors for securing finance for real estate project development at the aggregate level </w:t>
      </w:r>
      <w:r>
        <w:rPr>
          <w:rFonts w:ascii="Arial" w:hAnsi="Arial" w:cs="Arial"/>
        </w:rPr>
        <w:t xml:space="preserve">based on the findings from the questionnaire survey </w:t>
      </w:r>
      <w:r w:rsidR="00455CAC">
        <w:rPr>
          <w:rFonts w:ascii="Arial" w:hAnsi="Arial" w:cs="Arial"/>
        </w:rPr>
        <w:t>are:</w:t>
      </w:r>
    </w:p>
    <w:p w14:paraId="69FF997E" w14:textId="77777777" w:rsidR="00CD6352" w:rsidRPr="00EA7665" w:rsidRDefault="00CD6352" w:rsidP="00C74AEC">
      <w:pPr>
        <w:numPr>
          <w:ilvl w:val="0"/>
          <w:numId w:val="121"/>
        </w:numPr>
        <w:spacing w:after="0" w:line="240" w:lineRule="auto"/>
        <w:contextualSpacing/>
        <w:rPr>
          <w:rFonts w:ascii="Arial" w:eastAsia="Times New Roman" w:hAnsi="Arial" w:cs="Times New Roman"/>
        </w:rPr>
      </w:pPr>
      <w:r w:rsidRPr="00EA7665">
        <w:rPr>
          <w:rFonts w:ascii="Arial" w:eastAsia="Times New Roman" w:hAnsi="Arial" w:cs="Times New Roman"/>
        </w:rPr>
        <w:lastRenderedPageBreak/>
        <w:t>Access to land</w:t>
      </w:r>
    </w:p>
    <w:p w14:paraId="0DB067FE" w14:textId="77777777" w:rsidR="00CD6352" w:rsidRPr="00EA7665" w:rsidRDefault="00CD6352" w:rsidP="00C74AEC">
      <w:pPr>
        <w:numPr>
          <w:ilvl w:val="0"/>
          <w:numId w:val="121"/>
        </w:numPr>
        <w:spacing w:after="0" w:line="240" w:lineRule="auto"/>
        <w:contextualSpacing/>
        <w:rPr>
          <w:rFonts w:ascii="Arial" w:eastAsia="Times New Roman" w:hAnsi="Arial" w:cs="Times New Roman"/>
        </w:rPr>
      </w:pPr>
      <w:r w:rsidRPr="00EA7665">
        <w:rPr>
          <w:rFonts w:ascii="Arial" w:eastAsia="Times New Roman" w:hAnsi="Arial" w:cs="Times New Roman"/>
        </w:rPr>
        <w:t>The profitability of the project</w:t>
      </w:r>
    </w:p>
    <w:p w14:paraId="4392405C" w14:textId="77777777" w:rsidR="00CD6352" w:rsidRPr="00EA7665" w:rsidRDefault="00CD6352" w:rsidP="00C74AEC">
      <w:pPr>
        <w:numPr>
          <w:ilvl w:val="0"/>
          <w:numId w:val="121"/>
        </w:numPr>
        <w:spacing w:after="0" w:line="240" w:lineRule="auto"/>
        <w:contextualSpacing/>
        <w:rPr>
          <w:rFonts w:ascii="Arial" w:eastAsia="Times New Roman" w:hAnsi="Arial" w:cs="Times New Roman"/>
        </w:rPr>
      </w:pPr>
      <w:r w:rsidRPr="00EA7665">
        <w:rPr>
          <w:rFonts w:ascii="Arial" w:eastAsia="Times New Roman" w:hAnsi="Arial" w:cs="Times New Roman"/>
        </w:rPr>
        <w:t>Business plan</w:t>
      </w:r>
    </w:p>
    <w:p w14:paraId="5CBBCF07" w14:textId="77777777" w:rsidR="00CD6352" w:rsidRPr="00EA7665" w:rsidRDefault="00CD6352" w:rsidP="00C74AEC">
      <w:pPr>
        <w:numPr>
          <w:ilvl w:val="0"/>
          <w:numId w:val="121"/>
        </w:numPr>
        <w:spacing w:after="0" w:line="240" w:lineRule="auto"/>
        <w:contextualSpacing/>
        <w:rPr>
          <w:rFonts w:ascii="Arial" w:eastAsia="Times New Roman" w:hAnsi="Arial" w:cs="Times New Roman"/>
        </w:rPr>
      </w:pPr>
      <w:r w:rsidRPr="00EA7665">
        <w:rPr>
          <w:rFonts w:ascii="Arial" w:eastAsia="Times New Roman" w:hAnsi="Arial" w:cs="Times New Roman"/>
        </w:rPr>
        <w:t>Project technical feasibility</w:t>
      </w:r>
    </w:p>
    <w:p w14:paraId="2C0235EE" w14:textId="77777777" w:rsidR="00CD6352" w:rsidRPr="00EA7665" w:rsidRDefault="00CD6352" w:rsidP="00C74AEC">
      <w:pPr>
        <w:numPr>
          <w:ilvl w:val="0"/>
          <w:numId w:val="121"/>
        </w:numPr>
        <w:spacing w:after="0" w:line="240" w:lineRule="auto"/>
        <w:contextualSpacing/>
        <w:rPr>
          <w:rFonts w:ascii="Arial" w:eastAsia="Times New Roman" w:hAnsi="Arial" w:cs="Times New Roman"/>
        </w:rPr>
      </w:pPr>
      <w:r w:rsidRPr="00EA7665">
        <w:rPr>
          <w:rFonts w:ascii="Arial" w:eastAsia="Times New Roman" w:hAnsi="Arial" w:cs="Times New Roman"/>
        </w:rPr>
        <w:t>Project manager’s experience</w:t>
      </w:r>
    </w:p>
    <w:p w14:paraId="6BDBC4FF" w14:textId="4DE7AAC5" w:rsidR="00CD6352" w:rsidRPr="00EA7665" w:rsidRDefault="00CD6352" w:rsidP="00CD6352">
      <w:pPr>
        <w:spacing w:before="240" w:line="360" w:lineRule="auto"/>
        <w:jc w:val="both"/>
        <w:rPr>
          <w:rFonts w:ascii="Arial" w:hAnsi="Arial" w:cs="Arial"/>
        </w:rPr>
      </w:pPr>
      <w:r w:rsidRPr="00EA7665">
        <w:rPr>
          <w:rFonts w:ascii="Arial" w:hAnsi="Arial" w:cs="Arial"/>
        </w:rPr>
        <w:t xml:space="preserve">Managers in Germany consider familiarity with local legislation and clear contract terms </w:t>
      </w:r>
      <w:r w:rsidR="006C1744">
        <w:rPr>
          <w:rFonts w:ascii="Arial" w:hAnsi="Arial" w:cs="Arial"/>
        </w:rPr>
        <w:t>extremely critical for securing real estate project development finance</w:t>
      </w:r>
      <w:r w:rsidRPr="00EA7665">
        <w:rPr>
          <w:rFonts w:ascii="Arial" w:hAnsi="Arial" w:cs="Arial"/>
        </w:rPr>
        <w:t xml:space="preserve">. Familiarity with local legislation &amp; clear contract terms is considered very critical by managers in South Africa, China and </w:t>
      </w:r>
      <w:r w:rsidR="005D1D3E">
        <w:rPr>
          <w:rFonts w:ascii="Arial" w:hAnsi="Arial" w:cs="Arial"/>
        </w:rPr>
        <w:t xml:space="preserve">the </w:t>
      </w:r>
      <w:r w:rsidRPr="00EA7665">
        <w:rPr>
          <w:rFonts w:ascii="Arial" w:hAnsi="Arial" w:cs="Arial"/>
        </w:rPr>
        <w:t>United States of America. It is</w:t>
      </w:r>
      <w:r w:rsidR="005D1D3E">
        <w:rPr>
          <w:rFonts w:ascii="Arial" w:hAnsi="Arial" w:cs="Arial"/>
        </w:rPr>
        <w:t>,</w:t>
      </w:r>
      <w:r w:rsidRPr="00EA7665">
        <w:rPr>
          <w:rFonts w:ascii="Arial" w:hAnsi="Arial" w:cs="Arial"/>
        </w:rPr>
        <w:t xml:space="preserve"> however, considered critical by managers in </w:t>
      </w:r>
      <w:r>
        <w:rPr>
          <w:rFonts w:ascii="Arial" w:hAnsi="Arial" w:cs="Arial"/>
        </w:rPr>
        <w:t xml:space="preserve">the </w:t>
      </w:r>
      <w:r w:rsidRPr="00EA7665">
        <w:rPr>
          <w:rFonts w:ascii="Arial" w:hAnsi="Arial" w:cs="Arial"/>
        </w:rPr>
        <w:t xml:space="preserve">United Kingdom and Nigeria. No doubt, understanding the legal framework of any contract and familiarity with local legislation will enhance the success rate of any venture (Zhang &amp; Cheung, 2012 &amp; Rohm, 2017). The other critical factors considered by managers in Germany to be top-ranked are access to land, financial modelling with realistic assumptions, </w:t>
      </w:r>
      <w:r w:rsidR="00601943">
        <w:rPr>
          <w:rFonts w:ascii="Arial" w:hAnsi="Arial" w:cs="Arial"/>
        </w:rPr>
        <w:t xml:space="preserve">a </w:t>
      </w:r>
      <w:r w:rsidRPr="00EA7665">
        <w:rPr>
          <w:rFonts w:ascii="Arial" w:hAnsi="Arial" w:cs="Arial"/>
        </w:rPr>
        <w:t xml:space="preserve">stable macro-economic environment and </w:t>
      </w:r>
      <w:r w:rsidR="00601943">
        <w:rPr>
          <w:rFonts w:ascii="Arial" w:hAnsi="Arial" w:cs="Arial"/>
        </w:rPr>
        <w:t xml:space="preserve">the </w:t>
      </w:r>
      <w:r w:rsidRPr="00EA7665">
        <w:rPr>
          <w:rFonts w:ascii="Arial" w:hAnsi="Arial" w:cs="Arial"/>
        </w:rPr>
        <w:t xml:space="preserve">existence of enabling policy and legal framework. </w:t>
      </w:r>
      <w:r>
        <w:rPr>
          <w:rFonts w:ascii="Arial" w:hAnsi="Arial" w:cs="Arial"/>
        </w:rPr>
        <w:t xml:space="preserve">The </w:t>
      </w:r>
      <w:r w:rsidRPr="00EA7665">
        <w:rPr>
          <w:rFonts w:ascii="Arial" w:hAnsi="Arial" w:cs="Arial"/>
        </w:rPr>
        <w:t>UK ranked “business plan as the 2</w:t>
      </w:r>
      <w:r w:rsidRPr="00EA7665">
        <w:rPr>
          <w:rFonts w:ascii="Arial" w:hAnsi="Arial" w:cs="Arial"/>
          <w:vertAlign w:val="superscript"/>
        </w:rPr>
        <w:t>nd</w:t>
      </w:r>
      <w:r w:rsidRPr="00EA7665">
        <w:rPr>
          <w:rFonts w:ascii="Arial" w:hAnsi="Arial" w:cs="Arial"/>
        </w:rPr>
        <w:t xml:space="preserve"> most critical facto</w:t>
      </w:r>
      <w:r>
        <w:rPr>
          <w:rFonts w:ascii="Arial" w:hAnsi="Arial" w:cs="Arial"/>
        </w:rPr>
        <w:t xml:space="preserve">r </w:t>
      </w:r>
      <w:r w:rsidRPr="00EA7665">
        <w:rPr>
          <w:rFonts w:ascii="Arial" w:hAnsi="Arial" w:cs="Arial"/>
        </w:rPr>
        <w:t xml:space="preserve">for securing finance for real estate project development. The “business plan” is ranked </w:t>
      </w:r>
      <w:r w:rsidR="006C1744">
        <w:rPr>
          <w:rFonts w:ascii="Arial" w:hAnsi="Arial" w:cs="Arial"/>
        </w:rPr>
        <w:t>1st in Nigeria and 3rd for China but not among</w:t>
      </w:r>
      <w:r w:rsidRPr="00EA7665">
        <w:rPr>
          <w:rFonts w:ascii="Arial" w:hAnsi="Arial" w:cs="Arial"/>
        </w:rPr>
        <w:t xml:space="preserve"> the 1</w:t>
      </w:r>
      <w:r w:rsidRPr="00EA7665">
        <w:rPr>
          <w:rFonts w:ascii="Arial" w:hAnsi="Arial" w:cs="Arial"/>
          <w:vertAlign w:val="superscript"/>
        </w:rPr>
        <w:t>st</w:t>
      </w:r>
      <w:r w:rsidRPr="00EA7665">
        <w:rPr>
          <w:rFonts w:ascii="Arial" w:hAnsi="Arial" w:cs="Arial"/>
        </w:rPr>
        <w:t xml:space="preserve"> five critical success factors for the other three countries. The business plan is very important in both the developed and emerging economies because it helps to provide relevant information to financiers. The information </w:t>
      </w:r>
      <w:r>
        <w:rPr>
          <w:rFonts w:ascii="Arial" w:hAnsi="Arial" w:cs="Arial"/>
        </w:rPr>
        <w:t xml:space="preserve">in </w:t>
      </w:r>
      <w:r w:rsidRPr="00EA7665">
        <w:rPr>
          <w:rFonts w:ascii="Arial" w:hAnsi="Arial" w:cs="Arial"/>
        </w:rPr>
        <w:t>a business plan includ</w:t>
      </w:r>
      <w:r>
        <w:rPr>
          <w:rFonts w:ascii="Arial" w:hAnsi="Arial" w:cs="Arial"/>
        </w:rPr>
        <w:t>es</w:t>
      </w:r>
      <w:r w:rsidRPr="00EA7665">
        <w:rPr>
          <w:rFonts w:ascii="Arial" w:hAnsi="Arial" w:cs="Arial"/>
        </w:rPr>
        <w:t xml:space="preserve"> the level of project finance needed, the expected debt-repayment ability and associated risk (Lukkarinen et al, 2016). The United States has financial modelling with realistic assumption</w:t>
      </w:r>
      <w:r w:rsidR="00023D95">
        <w:rPr>
          <w:rFonts w:ascii="Arial" w:hAnsi="Arial" w:cs="Arial"/>
        </w:rPr>
        <w:t>s</w:t>
      </w:r>
      <w:r w:rsidRPr="00EA7665">
        <w:rPr>
          <w:rFonts w:ascii="Arial" w:hAnsi="Arial" w:cs="Arial"/>
        </w:rPr>
        <w:t xml:space="preserve"> ranked 1</w:t>
      </w:r>
      <w:r w:rsidRPr="00EA7665">
        <w:rPr>
          <w:rFonts w:ascii="Arial" w:hAnsi="Arial" w:cs="Arial"/>
          <w:vertAlign w:val="superscript"/>
        </w:rPr>
        <w:t>st</w:t>
      </w:r>
      <w:r w:rsidRPr="00EA7665">
        <w:rPr>
          <w:rFonts w:ascii="Arial" w:hAnsi="Arial" w:cs="Arial"/>
        </w:rPr>
        <w:t xml:space="preserve"> and this is also ranked 1</w:t>
      </w:r>
      <w:r w:rsidRPr="00EA7665">
        <w:rPr>
          <w:rFonts w:ascii="Arial" w:hAnsi="Arial" w:cs="Arial"/>
          <w:vertAlign w:val="superscript"/>
        </w:rPr>
        <w:t>st</w:t>
      </w:r>
      <w:r w:rsidRPr="00EA7665">
        <w:rPr>
          <w:rFonts w:ascii="Arial" w:hAnsi="Arial" w:cs="Arial"/>
        </w:rPr>
        <w:t xml:space="preserve"> by managers in South Africa. While </w:t>
      </w:r>
      <w:r w:rsidR="00601943">
        <w:rPr>
          <w:rFonts w:ascii="Arial" w:hAnsi="Arial" w:cs="Arial"/>
        </w:rPr>
        <w:t xml:space="preserve">the </w:t>
      </w:r>
      <w:r w:rsidRPr="00EA7665">
        <w:rPr>
          <w:rFonts w:ascii="Arial" w:hAnsi="Arial" w:cs="Arial"/>
        </w:rPr>
        <w:t>existence of enabling policy and legal framework is ranked 2</w:t>
      </w:r>
      <w:r w:rsidRPr="00EA7665">
        <w:rPr>
          <w:rFonts w:ascii="Arial" w:hAnsi="Arial" w:cs="Arial"/>
          <w:vertAlign w:val="superscript"/>
        </w:rPr>
        <w:t>nd</w:t>
      </w:r>
      <w:r w:rsidRPr="00EA7665">
        <w:rPr>
          <w:rFonts w:ascii="Arial" w:hAnsi="Arial" w:cs="Arial"/>
        </w:rPr>
        <w:t xml:space="preserve"> by the US and this is followed </w:t>
      </w:r>
      <w:r>
        <w:rPr>
          <w:rFonts w:ascii="Arial" w:hAnsi="Arial" w:cs="Arial"/>
        </w:rPr>
        <w:t xml:space="preserve">by </w:t>
      </w:r>
      <w:r w:rsidRPr="00EA7665">
        <w:rPr>
          <w:rFonts w:ascii="Arial" w:hAnsi="Arial" w:cs="Arial"/>
        </w:rPr>
        <w:t xml:space="preserve">familiarity with local legislation &amp; clear contract terms; the </w:t>
      </w:r>
      <w:r w:rsidR="00C24321">
        <w:rPr>
          <w:rFonts w:ascii="Arial" w:hAnsi="Arial" w:cs="Arial"/>
        </w:rPr>
        <w:t>organisation's financial capacity</w:t>
      </w:r>
      <w:r w:rsidRPr="00EA7665">
        <w:rPr>
          <w:rFonts w:ascii="Arial" w:hAnsi="Arial" w:cs="Arial"/>
        </w:rPr>
        <w:t xml:space="preserve"> and then access to land. </w:t>
      </w:r>
    </w:p>
    <w:p w14:paraId="69216D29" w14:textId="6EE244E7" w:rsidR="00CD6352" w:rsidRPr="00EA7665" w:rsidRDefault="00CD6352" w:rsidP="00CD6352">
      <w:pPr>
        <w:spacing w:line="360" w:lineRule="auto"/>
        <w:rPr>
          <w:rFonts w:ascii="Arial" w:hAnsi="Arial" w:cs="Arial"/>
        </w:rPr>
      </w:pPr>
      <w:bookmarkStart w:id="1173" w:name="_Hlk45889312"/>
      <w:r w:rsidRPr="00EA7665">
        <w:rPr>
          <w:rFonts w:ascii="Arial" w:hAnsi="Arial" w:cs="Arial"/>
        </w:rPr>
        <w:t xml:space="preserve">The rankings of the critical success factors for securing </w:t>
      </w:r>
      <w:r w:rsidR="006C1744">
        <w:rPr>
          <w:rFonts w:ascii="Arial" w:hAnsi="Arial" w:cs="Arial"/>
        </w:rPr>
        <w:t>real estate project development finance based on quantitative data show a strong link between</w:t>
      </w:r>
      <w:r w:rsidRPr="00EA7665">
        <w:rPr>
          <w:rFonts w:ascii="Arial" w:hAnsi="Arial" w:cs="Arial"/>
        </w:rPr>
        <w:t xml:space="preserve"> developed and emerging economies. </w:t>
      </w:r>
      <w:bookmarkEnd w:id="1173"/>
      <w:r w:rsidRPr="00EA7665">
        <w:rPr>
          <w:rFonts w:ascii="Arial" w:hAnsi="Arial" w:cs="Arial"/>
        </w:rPr>
        <w:t xml:space="preserve">Furthermore, the managers interviewed in both the developed and emerging economies cited the following critical success criteria in </w:t>
      </w:r>
      <w:r w:rsidR="00455CAC" w:rsidRPr="00EA7665">
        <w:rPr>
          <w:rFonts w:ascii="Arial" w:hAnsi="Arial" w:cs="Arial"/>
        </w:rPr>
        <w:t>common</w:t>
      </w:r>
      <w:r w:rsidR="00455CAC">
        <w:rPr>
          <w:rFonts w:ascii="Arial" w:hAnsi="Arial" w:cs="Arial"/>
        </w:rPr>
        <w:t>:</w:t>
      </w:r>
    </w:p>
    <w:p w14:paraId="4265A7EB" w14:textId="10FB5E0C" w:rsidR="00CD6352" w:rsidRPr="007625E7" w:rsidRDefault="00CD6352" w:rsidP="007625E7">
      <w:pPr>
        <w:pStyle w:val="ListParagraph"/>
        <w:numPr>
          <w:ilvl w:val="1"/>
          <w:numId w:val="305"/>
        </w:numPr>
        <w:rPr>
          <w:rFonts w:ascii="Arial" w:hAnsi="Arial" w:cs="Arial"/>
        </w:rPr>
      </w:pPr>
      <w:bookmarkStart w:id="1174" w:name="_Hlk45889484"/>
      <w:r w:rsidRPr="007625E7">
        <w:rPr>
          <w:rFonts w:ascii="Arial" w:hAnsi="Arial" w:cs="Arial"/>
        </w:rPr>
        <w:t>Track records</w:t>
      </w:r>
    </w:p>
    <w:p w14:paraId="50E7BD09" w14:textId="1653A5C3" w:rsidR="00CD6352" w:rsidRPr="007625E7" w:rsidRDefault="00CD6352" w:rsidP="007625E7">
      <w:pPr>
        <w:pStyle w:val="ListParagraph"/>
        <w:numPr>
          <w:ilvl w:val="1"/>
          <w:numId w:val="305"/>
        </w:numPr>
        <w:rPr>
          <w:rFonts w:ascii="Arial" w:hAnsi="Arial" w:cs="Arial"/>
        </w:rPr>
      </w:pPr>
      <w:r w:rsidRPr="007625E7">
        <w:rPr>
          <w:rFonts w:ascii="Arial" w:hAnsi="Arial" w:cs="Arial"/>
        </w:rPr>
        <w:t xml:space="preserve">Access to land </w:t>
      </w:r>
    </w:p>
    <w:p w14:paraId="654BD3DD" w14:textId="220AF48C" w:rsidR="00CD6352" w:rsidRPr="007625E7" w:rsidRDefault="00CD6352" w:rsidP="007625E7">
      <w:pPr>
        <w:pStyle w:val="ListParagraph"/>
        <w:numPr>
          <w:ilvl w:val="1"/>
          <w:numId w:val="305"/>
        </w:numPr>
        <w:rPr>
          <w:rFonts w:ascii="Arial" w:hAnsi="Arial" w:cs="Arial"/>
        </w:rPr>
      </w:pPr>
      <w:r w:rsidRPr="007625E7">
        <w:rPr>
          <w:rFonts w:ascii="Arial" w:hAnsi="Arial" w:cs="Arial"/>
        </w:rPr>
        <w:t>Cash flow</w:t>
      </w:r>
    </w:p>
    <w:p w14:paraId="290BBE12" w14:textId="19545602" w:rsidR="00CD6352" w:rsidRPr="007625E7" w:rsidRDefault="00CD6352" w:rsidP="007625E7">
      <w:pPr>
        <w:pStyle w:val="ListParagraph"/>
        <w:numPr>
          <w:ilvl w:val="1"/>
          <w:numId w:val="305"/>
        </w:numPr>
        <w:rPr>
          <w:rFonts w:ascii="Arial" w:hAnsi="Arial" w:cs="Arial"/>
        </w:rPr>
      </w:pPr>
      <w:r w:rsidRPr="007625E7">
        <w:rPr>
          <w:rFonts w:ascii="Arial" w:hAnsi="Arial" w:cs="Arial"/>
        </w:rPr>
        <w:t>Relationship with financiers</w:t>
      </w:r>
    </w:p>
    <w:p w14:paraId="42878AE3" w14:textId="53745894" w:rsidR="00CD6352" w:rsidRPr="007625E7" w:rsidRDefault="00CD6352" w:rsidP="007625E7">
      <w:pPr>
        <w:pStyle w:val="ListParagraph"/>
        <w:numPr>
          <w:ilvl w:val="1"/>
          <w:numId w:val="305"/>
        </w:numPr>
        <w:rPr>
          <w:rFonts w:ascii="Arial" w:hAnsi="Arial" w:cs="Arial"/>
        </w:rPr>
      </w:pPr>
      <w:r w:rsidRPr="007625E7">
        <w:rPr>
          <w:rFonts w:ascii="Arial" w:hAnsi="Arial" w:cs="Arial"/>
        </w:rPr>
        <w:t>Access to market</w:t>
      </w:r>
    </w:p>
    <w:bookmarkEnd w:id="1174"/>
    <w:p w14:paraId="64E7F1D7" w14:textId="77777777" w:rsidR="00CD6352" w:rsidRPr="00EA7665" w:rsidRDefault="00CD6352" w:rsidP="00CD6352">
      <w:pPr>
        <w:rPr>
          <w:rFonts w:ascii="Arial" w:hAnsi="Arial" w:cs="Arial"/>
        </w:rPr>
      </w:pPr>
      <w:r w:rsidRPr="00EA7665">
        <w:rPr>
          <w:rFonts w:ascii="Arial" w:hAnsi="Arial" w:cs="Arial"/>
        </w:rPr>
        <w:t>The ranking of the critical success factors most cited by managers interviewed in the developed economies are:</w:t>
      </w:r>
    </w:p>
    <w:p w14:paraId="3135BAF8" w14:textId="3176F50A" w:rsidR="00CD6352" w:rsidRPr="007625E7" w:rsidRDefault="00CD6352" w:rsidP="007625E7">
      <w:pPr>
        <w:pStyle w:val="ListParagraph"/>
        <w:numPr>
          <w:ilvl w:val="1"/>
          <w:numId w:val="306"/>
        </w:numPr>
        <w:rPr>
          <w:rFonts w:ascii="Arial" w:hAnsi="Arial" w:cs="Arial"/>
        </w:rPr>
      </w:pPr>
      <w:r w:rsidRPr="007625E7">
        <w:rPr>
          <w:rFonts w:ascii="Arial" w:hAnsi="Arial" w:cs="Arial"/>
        </w:rPr>
        <w:t>Track records</w:t>
      </w:r>
    </w:p>
    <w:p w14:paraId="75528B37" w14:textId="3BA36137" w:rsidR="00CD6352" w:rsidRPr="007625E7" w:rsidRDefault="00CD6352" w:rsidP="007625E7">
      <w:pPr>
        <w:pStyle w:val="ListParagraph"/>
        <w:numPr>
          <w:ilvl w:val="1"/>
          <w:numId w:val="306"/>
        </w:numPr>
        <w:rPr>
          <w:rFonts w:ascii="Arial" w:hAnsi="Arial" w:cs="Arial"/>
        </w:rPr>
      </w:pPr>
      <w:r w:rsidRPr="007625E7">
        <w:rPr>
          <w:rFonts w:ascii="Arial" w:hAnsi="Arial" w:cs="Arial"/>
        </w:rPr>
        <w:t>Cash flow</w:t>
      </w:r>
    </w:p>
    <w:p w14:paraId="7AB3B5FD" w14:textId="05D559FE" w:rsidR="00CD6352" w:rsidRPr="007625E7" w:rsidRDefault="00CD6352" w:rsidP="007625E7">
      <w:pPr>
        <w:pStyle w:val="ListParagraph"/>
        <w:numPr>
          <w:ilvl w:val="1"/>
          <w:numId w:val="306"/>
        </w:numPr>
        <w:rPr>
          <w:rFonts w:ascii="Arial" w:hAnsi="Arial" w:cs="Arial"/>
        </w:rPr>
      </w:pPr>
      <w:r w:rsidRPr="007625E7">
        <w:rPr>
          <w:rFonts w:ascii="Arial" w:hAnsi="Arial" w:cs="Arial"/>
        </w:rPr>
        <w:t>Access to land</w:t>
      </w:r>
    </w:p>
    <w:p w14:paraId="5B59923C" w14:textId="64EA2509" w:rsidR="00CD6352" w:rsidRPr="007625E7" w:rsidRDefault="00CD6352" w:rsidP="007625E7">
      <w:pPr>
        <w:pStyle w:val="ListParagraph"/>
        <w:numPr>
          <w:ilvl w:val="1"/>
          <w:numId w:val="306"/>
        </w:numPr>
        <w:rPr>
          <w:rFonts w:ascii="Arial" w:hAnsi="Arial" w:cs="Arial"/>
        </w:rPr>
      </w:pPr>
      <w:r w:rsidRPr="007625E7">
        <w:rPr>
          <w:rFonts w:ascii="Arial" w:hAnsi="Arial" w:cs="Arial"/>
        </w:rPr>
        <w:t>Access to market</w:t>
      </w:r>
    </w:p>
    <w:p w14:paraId="164BF439" w14:textId="059BBA37" w:rsidR="00CD6352" w:rsidRPr="007625E7" w:rsidRDefault="00CD6352" w:rsidP="007625E7">
      <w:pPr>
        <w:pStyle w:val="ListParagraph"/>
        <w:numPr>
          <w:ilvl w:val="1"/>
          <w:numId w:val="306"/>
        </w:numPr>
        <w:rPr>
          <w:rFonts w:ascii="Arial" w:hAnsi="Arial" w:cs="Arial"/>
        </w:rPr>
      </w:pPr>
      <w:r w:rsidRPr="007625E7">
        <w:rPr>
          <w:rFonts w:ascii="Arial" w:hAnsi="Arial" w:cs="Arial"/>
        </w:rPr>
        <w:lastRenderedPageBreak/>
        <w:t>Experience</w:t>
      </w:r>
    </w:p>
    <w:p w14:paraId="7AE4DBD0" w14:textId="77777777" w:rsidR="00CD6352" w:rsidRPr="00EA7665" w:rsidRDefault="00CD6352" w:rsidP="00CD6352">
      <w:pPr>
        <w:rPr>
          <w:rFonts w:ascii="Arial" w:hAnsi="Arial" w:cs="Arial"/>
        </w:rPr>
      </w:pPr>
      <w:r w:rsidRPr="00EA7665">
        <w:rPr>
          <w:rFonts w:ascii="Arial" w:hAnsi="Arial" w:cs="Arial"/>
        </w:rPr>
        <w:t>While the ranking of critical success factors for securing finance for real estate project development most cited by managers in the emerging economies are:</w:t>
      </w:r>
    </w:p>
    <w:p w14:paraId="38D1A1BD" w14:textId="424391B1" w:rsidR="00CD6352" w:rsidRPr="007625E7" w:rsidRDefault="00CD6352" w:rsidP="007625E7">
      <w:pPr>
        <w:pStyle w:val="ListParagraph"/>
        <w:numPr>
          <w:ilvl w:val="1"/>
          <w:numId w:val="308"/>
        </w:numPr>
        <w:rPr>
          <w:rFonts w:ascii="Arial" w:hAnsi="Arial" w:cs="Arial"/>
        </w:rPr>
      </w:pPr>
      <w:r w:rsidRPr="007625E7">
        <w:rPr>
          <w:rFonts w:ascii="Arial" w:hAnsi="Arial" w:cs="Arial"/>
        </w:rPr>
        <w:t>Access to land</w:t>
      </w:r>
    </w:p>
    <w:p w14:paraId="5D36AE25" w14:textId="3539189B" w:rsidR="00CD6352" w:rsidRPr="007625E7" w:rsidRDefault="00CD6352" w:rsidP="007625E7">
      <w:pPr>
        <w:pStyle w:val="ListParagraph"/>
        <w:numPr>
          <w:ilvl w:val="1"/>
          <w:numId w:val="308"/>
        </w:numPr>
        <w:rPr>
          <w:rFonts w:ascii="Arial" w:hAnsi="Arial" w:cs="Arial"/>
        </w:rPr>
      </w:pPr>
      <w:r w:rsidRPr="007625E7">
        <w:rPr>
          <w:rFonts w:ascii="Arial" w:hAnsi="Arial" w:cs="Arial"/>
        </w:rPr>
        <w:t>Track records</w:t>
      </w:r>
    </w:p>
    <w:p w14:paraId="15C39D28" w14:textId="6A71BBF6" w:rsidR="00CD6352" w:rsidRPr="007625E7" w:rsidRDefault="00CD6352" w:rsidP="007625E7">
      <w:pPr>
        <w:pStyle w:val="ListParagraph"/>
        <w:numPr>
          <w:ilvl w:val="1"/>
          <w:numId w:val="308"/>
        </w:numPr>
        <w:rPr>
          <w:rFonts w:ascii="Arial" w:hAnsi="Arial" w:cs="Arial"/>
        </w:rPr>
      </w:pPr>
      <w:r w:rsidRPr="007625E7">
        <w:rPr>
          <w:rFonts w:ascii="Arial" w:hAnsi="Arial" w:cs="Arial"/>
        </w:rPr>
        <w:t>Cash flow</w:t>
      </w:r>
    </w:p>
    <w:p w14:paraId="0C70C799" w14:textId="2844BB6A" w:rsidR="00CD6352" w:rsidRPr="007625E7" w:rsidRDefault="00CD6352" w:rsidP="007625E7">
      <w:pPr>
        <w:pStyle w:val="ListParagraph"/>
        <w:numPr>
          <w:ilvl w:val="1"/>
          <w:numId w:val="308"/>
        </w:numPr>
        <w:rPr>
          <w:rFonts w:ascii="Arial" w:hAnsi="Arial" w:cs="Arial"/>
        </w:rPr>
      </w:pPr>
      <w:r w:rsidRPr="007625E7">
        <w:rPr>
          <w:rFonts w:ascii="Arial" w:hAnsi="Arial" w:cs="Arial"/>
        </w:rPr>
        <w:t>Equity</w:t>
      </w:r>
    </w:p>
    <w:p w14:paraId="5DA5F7AC" w14:textId="6FD68C53" w:rsidR="00CD6352" w:rsidRPr="007625E7" w:rsidRDefault="00CD6352" w:rsidP="007625E7">
      <w:pPr>
        <w:pStyle w:val="ListParagraph"/>
        <w:numPr>
          <w:ilvl w:val="1"/>
          <w:numId w:val="308"/>
        </w:numPr>
        <w:rPr>
          <w:rFonts w:ascii="Arial" w:hAnsi="Arial" w:cs="Arial"/>
        </w:rPr>
      </w:pPr>
      <w:r w:rsidRPr="007625E7">
        <w:rPr>
          <w:rFonts w:ascii="Arial" w:hAnsi="Arial" w:cs="Arial"/>
        </w:rPr>
        <w:t>Relationship with financiers</w:t>
      </w:r>
    </w:p>
    <w:p w14:paraId="431B5913" w14:textId="14D23C8C" w:rsidR="00CD6352" w:rsidRPr="007625E7" w:rsidRDefault="00CD6352" w:rsidP="007625E7">
      <w:pPr>
        <w:pStyle w:val="ListParagraph"/>
        <w:numPr>
          <w:ilvl w:val="1"/>
          <w:numId w:val="308"/>
        </w:numPr>
        <w:rPr>
          <w:rFonts w:ascii="Arial" w:hAnsi="Arial" w:cs="Arial"/>
        </w:rPr>
      </w:pPr>
      <w:r w:rsidRPr="007625E7">
        <w:rPr>
          <w:rFonts w:ascii="Arial" w:hAnsi="Arial" w:cs="Arial"/>
        </w:rPr>
        <w:t>Off takers</w:t>
      </w:r>
    </w:p>
    <w:p w14:paraId="0B3514B5" w14:textId="77777777" w:rsidR="00CD6352" w:rsidRPr="00EA7665" w:rsidRDefault="00CD6352" w:rsidP="00CD6352">
      <w:pPr>
        <w:ind w:left="720"/>
        <w:contextualSpacing/>
        <w:rPr>
          <w:rFonts w:ascii="Arial" w:hAnsi="Arial" w:cs="Arial"/>
        </w:rPr>
      </w:pPr>
    </w:p>
    <w:p w14:paraId="0E681F53" w14:textId="5738FAD5" w:rsidR="00CD6352" w:rsidRPr="00EA7665" w:rsidRDefault="00CD6352" w:rsidP="00CD6352">
      <w:pPr>
        <w:pStyle w:val="Heading3"/>
        <w:spacing w:after="240"/>
        <w:rPr>
          <w:sz w:val="22"/>
          <w:szCs w:val="22"/>
        </w:rPr>
      </w:pPr>
      <w:bookmarkStart w:id="1175" w:name="_Toc33468138"/>
      <w:bookmarkStart w:id="1176" w:name="_Toc78983864"/>
      <w:r w:rsidRPr="00EA7665">
        <w:rPr>
          <w:sz w:val="22"/>
          <w:szCs w:val="22"/>
        </w:rPr>
        <w:t>The implication of the findings</w:t>
      </w:r>
      <w:bookmarkEnd w:id="1175"/>
      <w:r w:rsidRPr="00EA7665">
        <w:rPr>
          <w:sz w:val="22"/>
          <w:szCs w:val="22"/>
        </w:rPr>
        <w:t xml:space="preserve"> </w:t>
      </w:r>
      <w:r w:rsidR="00CB1489">
        <w:rPr>
          <w:sz w:val="22"/>
          <w:szCs w:val="22"/>
        </w:rPr>
        <w:t xml:space="preserve">on critical success factors for securing finance for real estate project </w:t>
      </w:r>
      <w:r w:rsidR="00EE60BC">
        <w:rPr>
          <w:sz w:val="22"/>
          <w:szCs w:val="22"/>
        </w:rPr>
        <w:t>development in the developed and emerging economies.</w:t>
      </w:r>
      <w:bookmarkEnd w:id="1176"/>
    </w:p>
    <w:p w14:paraId="4B867623" w14:textId="52E147B4" w:rsidR="00CD6352" w:rsidRDefault="00CD6352" w:rsidP="00CD6352">
      <w:pPr>
        <w:spacing w:line="360" w:lineRule="auto"/>
        <w:jc w:val="both"/>
        <w:rPr>
          <w:rFonts w:ascii="Arial" w:hAnsi="Arial" w:cs="Arial"/>
        </w:rPr>
      </w:pPr>
      <w:bookmarkStart w:id="1177" w:name="_Hlk45889611"/>
      <w:r w:rsidRPr="00EA7665">
        <w:rPr>
          <w:rFonts w:ascii="Arial" w:hAnsi="Arial" w:cs="Arial"/>
        </w:rPr>
        <w:t>The critical success factors are very similar and often the same for both the developed and emerging economies. Arguably, this is a result of the integration and the global nature of the financial markets, which, to a great extent, dictat</w:t>
      </w:r>
      <w:r>
        <w:rPr>
          <w:rFonts w:ascii="Arial" w:hAnsi="Arial" w:cs="Arial"/>
        </w:rPr>
        <w:t>e</w:t>
      </w:r>
      <w:r w:rsidRPr="00EA7665">
        <w:rPr>
          <w:rFonts w:ascii="Arial" w:hAnsi="Arial" w:cs="Arial"/>
        </w:rPr>
        <w:t xml:space="preserve"> the critical success factors</w:t>
      </w:r>
      <w:bookmarkEnd w:id="1177"/>
      <w:r w:rsidRPr="00EA7665">
        <w:rPr>
          <w:rFonts w:ascii="Arial" w:hAnsi="Arial" w:cs="Arial"/>
        </w:rPr>
        <w:t xml:space="preserve"> (Pilbeam, 2006</w:t>
      </w:r>
      <w:r>
        <w:rPr>
          <w:rFonts w:ascii="Arial" w:hAnsi="Arial" w:cs="Arial"/>
        </w:rPr>
        <w:t xml:space="preserve">; </w:t>
      </w:r>
      <w:r w:rsidRPr="00EA7665">
        <w:rPr>
          <w:rFonts w:ascii="Arial" w:hAnsi="Arial" w:cs="Arial"/>
        </w:rPr>
        <w:t xml:space="preserve">Zhang &amp; Cheung, 2012). This study discovered there is no existing inventory of critical factors for securing finance for real estate project development. Consequently, the critical success factors form parts of the </w:t>
      </w:r>
      <w:r>
        <w:rPr>
          <w:rFonts w:ascii="Arial" w:hAnsi="Arial" w:cs="Arial"/>
        </w:rPr>
        <w:t xml:space="preserve">conceptual framework for environmental scan developed by this study and this framework also </w:t>
      </w:r>
      <w:r w:rsidR="00881517">
        <w:rPr>
          <w:rFonts w:ascii="Arial" w:hAnsi="Arial" w:cs="Arial"/>
        </w:rPr>
        <w:t>forms part</w:t>
      </w:r>
      <w:r>
        <w:rPr>
          <w:rFonts w:ascii="Arial" w:hAnsi="Arial" w:cs="Arial"/>
        </w:rPr>
        <w:t xml:space="preserve"> of the toolkit for securing finance for real estate project development.</w:t>
      </w:r>
      <w:r w:rsidRPr="00EA7665">
        <w:rPr>
          <w:rFonts w:ascii="Arial" w:hAnsi="Arial" w:cs="Arial"/>
        </w:rPr>
        <w:t xml:space="preserve"> (See chapter </w:t>
      </w:r>
      <w:r w:rsidR="00455CAC">
        <w:rPr>
          <w:rFonts w:ascii="Arial" w:hAnsi="Arial" w:cs="Arial"/>
        </w:rPr>
        <w:t>10</w:t>
      </w:r>
      <w:r w:rsidRPr="00EA7665">
        <w:rPr>
          <w:rFonts w:ascii="Arial" w:hAnsi="Arial" w:cs="Arial"/>
        </w:rPr>
        <w:t>).</w:t>
      </w:r>
    </w:p>
    <w:p w14:paraId="2788A98C" w14:textId="7CF24AD7" w:rsidR="00AF1F27" w:rsidRPr="00EA7665" w:rsidRDefault="00AF1F27" w:rsidP="00CD6352">
      <w:pPr>
        <w:spacing w:line="360" w:lineRule="auto"/>
        <w:jc w:val="both"/>
        <w:rPr>
          <w:rFonts w:ascii="Arial" w:hAnsi="Arial" w:cs="Arial"/>
        </w:rPr>
      </w:pPr>
      <w:r>
        <w:rPr>
          <w:rFonts w:ascii="Arial" w:hAnsi="Arial" w:cs="Arial"/>
        </w:rPr>
        <w:t xml:space="preserve">Furthermore, the findings show that </w:t>
      </w:r>
      <w:r w:rsidRPr="00AF1F27">
        <w:rPr>
          <w:rFonts w:ascii="Arial" w:hAnsi="Arial" w:cs="Arial"/>
        </w:rPr>
        <w:t>some critical success factors have strong positive correlations with the management level</w:t>
      </w:r>
      <w:r w:rsidR="00B30651">
        <w:rPr>
          <w:rFonts w:ascii="Arial" w:hAnsi="Arial" w:cs="Arial"/>
        </w:rPr>
        <w:t>,</w:t>
      </w:r>
      <w:r w:rsidRPr="00AF1F27">
        <w:rPr>
          <w:rFonts w:ascii="Arial" w:hAnsi="Arial" w:cs="Arial"/>
        </w:rPr>
        <w:t xml:space="preserve"> while others have moderate, weak or no correlation at all with the critical success factors. The factors with strong correlations show that as managers tend towards lower levels of management, factors such as project manager’s experience, business plan, establishing an appropriate length &amp; form of contract and stable macro-economic environment become more critical to their accessing finance for real estate project development</w:t>
      </w:r>
      <w:r>
        <w:rPr>
          <w:rFonts w:ascii="Arial" w:hAnsi="Arial" w:cs="Arial"/>
        </w:rPr>
        <w:t xml:space="preserve">. The implication of the aspect of the findings shows </w:t>
      </w:r>
      <w:r w:rsidR="00601943">
        <w:rPr>
          <w:rFonts w:ascii="Arial" w:hAnsi="Arial" w:cs="Arial"/>
        </w:rPr>
        <w:t xml:space="preserve">a </w:t>
      </w:r>
      <w:r>
        <w:rPr>
          <w:rFonts w:ascii="Arial" w:hAnsi="Arial" w:cs="Arial"/>
        </w:rPr>
        <w:t>great need for managers and the academia to incorporate the need for training and education of critical success factors for securing finance for real estate project development as part of CPD and school curriculum</w:t>
      </w:r>
      <w:r w:rsidR="003F315D">
        <w:rPr>
          <w:rFonts w:ascii="Arial" w:hAnsi="Arial" w:cs="Arial"/>
        </w:rPr>
        <w:t>,</w:t>
      </w:r>
      <w:r>
        <w:rPr>
          <w:rFonts w:ascii="Arial" w:hAnsi="Arial" w:cs="Arial"/>
        </w:rPr>
        <w:t xml:space="preserve"> respectively.</w:t>
      </w:r>
    </w:p>
    <w:p w14:paraId="006F0565" w14:textId="77777777" w:rsidR="00CD6352" w:rsidRPr="00EA7665" w:rsidRDefault="00CD6352" w:rsidP="00CD6352">
      <w:pPr>
        <w:spacing w:line="360" w:lineRule="auto"/>
        <w:jc w:val="both"/>
        <w:rPr>
          <w:rFonts w:ascii="Arial" w:eastAsia="Calibri" w:hAnsi="Arial" w:cs="Arial"/>
        </w:rPr>
      </w:pPr>
    </w:p>
    <w:p w14:paraId="3E2E9DA7" w14:textId="77777777" w:rsidR="00CD6352" w:rsidRPr="00AA176B" w:rsidRDefault="00CD6352" w:rsidP="00CD6352">
      <w:pPr>
        <w:pStyle w:val="Heading2"/>
        <w:spacing w:after="240"/>
        <w:rPr>
          <w:sz w:val="22"/>
          <w:szCs w:val="22"/>
        </w:rPr>
      </w:pPr>
      <w:bookmarkStart w:id="1178" w:name="_Toc78983865"/>
      <w:r w:rsidRPr="00AA176B">
        <w:rPr>
          <w:sz w:val="22"/>
          <w:szCs w:val="22"/>
        </w:rPr>
        <w:t>Challenges associated with securing finance for real estate project development</w:t>
      </w:r>
      <w:bookmarkEnd w:id="1178"/>
    </w:p>
    <w:p w14:paraId="1D62DEB9" w14:textId="6B3F4F9F" w:rsidR="00CD6352" w:rsidRPr="00EA7665" w:rsidRDefault="003F315D" w:rsidP="00CD6352">
      <w:pPr>
        <w:spacing w:line="360" w:lineRule="auto"/>
        <w:jc w:val="both"/>
        <w:rPr>
          <w:rFonts w:ascii="Arial" w:hAnsi="Arial" w:cs="Arial"/>
        </w:rPr>
      </w:pPr>
      <w:r>
        <w:rPr>
          <w:rFonts w:ascii="Arial" w:hAnsi="Arial" w:cs="Arial"/>
        </w:rPr>
        <w:t>Understanding</w:t>
      </w:r>
      <w:r w:rsidR="00CD6352" w:rsidRPr="00AA176B">
        <w:rPr>
          <w:rFonts w:ascii="Arial" w:hAnsi="Arial" w:cs="Arial"/>
        </w:rPr>
        <w:t xml:space="preserve"> the challenges </w:t>
      </w:r>
      <w:r w:rsidR="001F46D2">
        <w:rPr>
          <w:rFonts w:ascii="Arial" w:hAnsi="Arial" w:cs="Arial"/>
        </w:rPr>
        <w:t>associated with</w:t>
      </w:r>
      <w:r w:rsidR="00CD6352" w:rsidRPr="00AA176B">
        <w:rPr>
          <w:rFonts w:ascii="Arial" w:hAnsi="Arial" w:cs="Arial"/>
        </w:rPr>
        <w:t xml:space="preserve"> securing finance for real estate project development is essential because it provid</w:t>
      </w:r>
      <w:r w:rsidR="00CD6352">
        <w:rPr>
          <w:rFonts w:ascii="Arial" w:hAnsi="Arial" w:cs="Arial"/>
        </w:rPr>
        <w:t>es</w:t>
      </w:r>
      <w:r w:rsidR="00CD6352" w:rsidRPr="00AA176B">
        <w:rPr>
          <w:rFonts w:ascii="Arial" w:hAnsi="Arial" w:cs="Arial"/>
        </w:rPr>
        <w:t xml:space="preserve"> a platform for management to develop strategies that will mitigate, eradicate or reduce the impact of such </w:t>
      </w:r>
      <w:r w:rsidR="00CD6352">
        <w:rPr>
          <w:rFonts w:ascii="Arial" w:hAnsi="Arial" w:cs="Arial"/>
        </w:rPr>
        <w:t>challenges</w:t>
      </w:r>
      <w:r w:rsidR="00CD6352" w:rsidRPr="00AA176B">
        <w:rPr>
          <w:rFonts w:ascii="Arial" w:hAnsi="Arial" w:cs="Arial"/>
        </w:rPr>
        <w:t xml:space="preserve"> (Nurrick et al., 2017). Elimination</w:t>
      </w:r>
      <w:r w:rsidR="00CD6352">
        <w:rPr>
          <w:rFonts w:ascii="Arial" w:hAnsi="Arial" w:cs="Arial"/>
        </w:rPr>
        <w:t xml:space="preserve">, reduction or mitigation of identified challenges could lead to the </w:t>
      </w:r>
      <w:r w:rsidR="00AC353E">
        <w:rPr>
          <w:rFonts w:ascii="Arial" w:hAnsi="Arial" w:cs="Arial"/>
        </w:rPr>
        <w:t>following:</w:t>
      </w:r>
    </w:p>
    <w:p w14:paraId="75070FFC" w14:textId="77777777" w:rsidR="00CD6352" w:rsidRPr="00EA7665" w:rsidRDefault="00CD6352" w:rsidP="007625E7">
      <w:pPr>
        <w:numPr>
          <w:ilvl w:val="0"/>
          <w:numId w:val="380"/>
        </w:numPr>
        <w:spacing w:after="0" w:line="360" w:lineRule="auto"/>
        <w:jc w:val="both"/>
        <w:rPr>
          <w:rFonts w:ascii="Arial" w:hAnsi="Arial" w:cs="Arial"/>
        </w:rPr>
      </w:pPr>
      <w:r w:rsidRPr="00EA7665">
        <w:rPr>
          <w:rFonts w:ascii="Arial" w:hAnsi="Arial" w:cs="Arial"/>
        </w:rPr>
        <w:lastRenderedPageBreak/>
        <w:t>Cheaper access to finance for real estate project development</w:t>
      </w:r>
    </w:p>
    <w:p w14:paraId="2AFD19E7" w14:textId="77777777" w:rsidR="00CD6352" w:rsidRPr="00EA7665" w:rsidRDefault="00CD6352" w:rsidP="007625E7">
      <w:pPr>
        <w:numPr>
          <w:ilvl w:val="0"/>
          <w:numId w:val="380"/>
        </w:numPr>
        <w:spacing w:after="0" w:line="360" w:lineRule="auto"/>
        <w:jc w:val="both"/>
        <w:rPr>
          <w:rFonts w:ascii="Arial" w:hAnsi="Arial" w:cs="Arial"/>
        </w:rPr>
      </w:pPr>
      <w:r w:rsidRPr="00EA7665">
        <w:rPr>
          <w:rFonts w:ascii="Arial" w:hAnsi="Arial" w:cs="Arial"/>
        </w:rPr>
        <w:t>Reduction in the prospects of the debt becoming bad or doubtful</w:t>
      </w:r>
    </w:p>
    <w:p w14:paraId="4AD7875D" w14:textId="77777777" w:rsidR="00CD6352" w:rsidRPr="00EA7665" w:rsidRDefault="00CD6352" w:rsidP="007625E7">
      <w:pPr>
        <w:numPr>
          <w:ilvl w:val="0"/>
          <w:numId w:val="380"/>
        </w:numPr>
        <w:spacing w:after="0" w:line="360" w:lineRule="auto"/>
        <w:jc w:val="both"/>
        <w:rPr>
          <w:rFonts w:ascii="Arial" w:hAnsi="Arial" w:cs="Arial"/>
        </w:rPr>
      </w:pPr>
      <w:r w:rsidRPr="00EA7665">
        <w:rPr>
          <w:rFonts w:ascii="Arial" w:hAnsi="Arial" w:cs="Arial"/>
        </w:rPr>
        <w:t>Enhanced chances of project completion and less abandoned project</w:t>
      </w:r>
      <w:r>
        <w:rPr>
          <w:rFonts w:ascii="Arial" w:hAnsi="Arial" w:cs="Arial"/>
        </w:rPr>
        <w:t>s</w:t>
      </w:r>
    </w:p>
    <w:p w14:paraId="4970C976" w14:textId="77777777" w:rsidR="00CD6352" w:rsidRPr="00EA7665" w:rsidRDefault="00CD6352" w:rsidP="007625E7">
      <w:pPr>
        <w:numPr>
          <w:ilvl w:val="0"/>
          <w:numId w:val="380"/>
        </w:numPr>
        <w:spacing w:after="0" w:line="360" w:lineRule="auto"/>
        <w:jc w:val="both"/>
        <w:rPr>
          <w:rFonts w:ascii="Arial" w:hAnsi="Arial" w:cs="Arial"/>
        </w:rPr>
      </w:pPr>
      <w:r w:rsidRPr="00EA7665">
        <w:rPr>
          <w:rFonts w:ascii="Arial" w:hAnsi="Arial" w:cs="Arial"/>
        </w:rPr>
        <w:t>Increased opportunities for cross-border financing</w:t>
      </w:r>
    </w:p>
    <w:p w14:paraId="06ED8312" w14:textId="325A1B37" w:rsidR="00CD6352" w:rsidRPr="00EA7665" w:rsidRDefault="00CD6352" w:rsidP="00CD6352">
      <w:pPr>
        <w:spacing w:before="240" w:line="360" w:lineRule="auto"/>
        <w:jc w:val="both"/>
        <w:rPr>
          <w:rFonts w:ascii="Arial" w:hAnsi="Arial" w:cs="Arial"/>
        </w:rPr>
      </w:pPr>
      <w:r w:rsidRPr="00EA7665">
        <w:rPr>
          <w:rFonts w:ascii="Arial" w:hAnsi="Arial" w:cs="Arial"/>
        </w:rPr>
        <w:t xml:space="preserve">A list </w:t>
      </w:r>
      <w:r w:rsidR="006C03F1" w:rsidRPr="00EA7665">
        <w:rPr>
          <w:rFonts w:ascii="Arial" w:hAnsi="Arial" w:cs="Arial"/>
        </w:rPr>
        <w:t xml:space="preserve">of </w:t>
      </w:r>
      <w:r w:rsidR="006C03F1">
        <w:rPr>
          <w:rFonts w:ascii="Arial" w:hAnsi="Arial" w:cs="Arial"/>
        </w:rPr>
        <w:t>nineteen</w:t>
      </w:r>
      <w:r>
        <w:rPr>
          <w:rFonts w:ascii="Arial" w:hAnsi="Arial" w:cs="Arial"/>
        </w:rPr>
        <w:t xml:space="preserve"> (19) </w:t>
      </w:r>
      <w:r w:rsidRPr="00EA7665">
        <w:rPr>
          <w:rFonts w:ascii="Arial" w:hAnsi="Arial" w:cs="Arial"/>
        </w:rPr>
        <w:t xml:space="preserve">challenges faced by managers </w:t>
      </w:r>
      <w:r>
        <w:rPr>
          <w:rFonts w:ascii="Arial" w:hAnsi="Arial" w:cs="Arial"/>
        </w:rPr>
        <w:t>in securing finance w</w:t>
      </w:r>
      <w:r w:rsidR="00ED152E">
        <w:rPr>
          <w:rFonts w:ascii="Arial" w:hAnsi="Arial" w:cs="Arial"/>
        </w:rPr>
        <w:t>as derived through a literature review</w:t>
      </w:r>
      <w:r w:rsidR="006C03F1">
        <w:rPr>
          <w:rFonts w:ascii="Arial" w:hAnsi="Arial" w:cs="Arial"/>
        </w:rPr>
        <w:t xml:space="preserve"> (see chapter 3.6)</w:t>
      </w:r>
      <w:r w:rsidRPr="00EA7665">
        <w:rPr>
          <w:rFonts w:ascii="Arial" w:hAnsi="Arial" w:cs="Arial"/>
        </w:rPr>
        <w:t>. The managers were asked to indicate the extent to which they perceived the factors to be challenging to their ability to secure finance for real estate project development. The ranking of the results showing the degree to which they are a challenge was determined using a 5-point Likert scale:  not challenging, less challenging, fairly challenging, challenging and very challenging.  The quantitative analysis of the data was mainly through the ranking of the challenges affecting the manager’s ability to secure finance for real estate project development, and it was in two parts:</w:t>
      </w:r>
    </w:p>
    <w:p w14:paraId="60C9FCCA" w14:textId="49DCA9BB" w:rsidR="00CD6352" w:rsidRPr="00EA7665" w:rsidRDefault="00CD6352" w:rsidP="007625E7">
      <w:pPr>
        <w:numPr>
          <w:ilvl w:val="0"/>
          <w:numId w:val="381"/>
        </w:numPr>
        <w:spacing w:after="0" w:line="360" w:lineRule="auto"/>
        <w:jc w:val="both"/>
        <w:rPr>
          <w:rFonts w:ascii="Arial" w:hAnsi="Arial" w:cs="Arial"/>
        </w:rPr>
      </w:pPr>
      <w:r w:rsidRPr="00EA7665">
        <w:rPr>
          <w:rFonts w:ascii="Arial" w:hAnsi="Arial" w:cs="Arial"/>
        </w:rPr>
        <w:t>The first stage</w:t>
      </w:r>
      <w:r>
        <w:rPr>
          <w:rFonts w:ascii="Arial" w:hAnsi="Arial" w:cs="Arial"/>
        </w:rPr>
        <w:t>s</w:t>
      </w:r>
      <w:r w:rsidRPr="00EA7665">
        <w:rPr>
          <w:rFonts w:ascii="Arial" w:hAnsi="Arial" w:cs="Arial"/>
        </w:rPr>
        <w:t xml:space="preserve"> present the aggregate</w:t>
      </w:r>
      <w:r>
        <w:rPr>
          <w:rFonts w:ascii="Arial" w:hAnsi="Arial" w:cs="Arial"/>
        </w:rPr>
        <w:t xml:space="preserve"> and then </w:t>
      </w:r>
      <w:r w:rsidR="00AC353E">
        <w:rPr>
          <w:rFonts w:ascii="Arial" w:hAnsi="Arial" w:cs="Arial"/>
        </w:rPr>
        <w:t xml:space="preserve">the </w:t>
      </w:r>
      <w:r w:rsidR="00711C38">
        <w:rPr>
          <w:rFonts w:ascii="Arial" w:hAnsi="Arial" w:cs="Arial"/>
        </w:rPr>
        <w:t xml:space="preserve">disaggregate </w:t>
      </w:r>
      <w:r w:rsidR="00711C38" w:rsidRPr="00EA7665">
        <w:rPr>
          <w:rFonts w:ascii="Arial" w:hAnsi="Arial" w:cs="Arial"/>
        </w:rPr>
        <w:t>results</w:t>
      </w:r>
      <w:r w:rsidRPr="00EA7665">
        <w:rPr>
          <w:rFonts w:ascii="Arial" w:hAnsi="Arial" w:cs="Arial"/>
        </w:rPr>
        <w:t xml:space="preserve"> of the extent of the challenges associated with securing finance for real estate project development by managers involved with securing finance in real estate </w:t>
      </w:r>
      <w:r>
        <w:rPr>
          <w:rFonts w:ascii="Arial" w:hAnsi="Arial" w:cs="Arial"/>
        </w:rPr>
        <w:t xml:space="preserve">project </w:t>
      </w:r>
      <w:r w:rsidRPr="00EA7665">
        <w:rPr>
          <w:rFonts w:ascii="Arial" w:hAnsi="Arial" w:cs="Arial"/>
        </w:rPr>
        <w:t>development.</w:t>
      </w:r>
    </w:p>
    <w:p w14:paraId="3FF3B483" w14:textId="77777777" w:rsidR="00CD6352" w:rsidRPr="00EA7665" w:rsidRDefault="00CD6352" w:rsidP="007625E7">
      <w:pPr>
        <w:numPr>
          <w:ilvl w:val="0"/>
          <w:numId w:val="381"/>
        </w:numPr>
        <w:spacing w:after="0" w:line="360" w:lineRule="auto"/>
        <w:jc w:val="both"/>
        <w:rPr>
          <w:rFonts w:ascii="Arial" w:hAnsi="Arial" w:cs="Arial"/>
        </w:rPr>
      </w:pPr>
      <w:r w:rsidRPr="00EA7665">
        <w:rPr>
          <w:rFonts w:ascii="Arial" w:hAnsi="Arial" w:cs="Arial"/>
        </w:rPr>
        <w:t xml:space="preserve">The second analysis presents the disaggregate results of the relationship between the extent of the challenges and the different countries of operation using the qualitative data.  </w:t>
      </w:r>
    </w:p>
    <w:p w14:paraId="0360EB59" w14:textId="77777777" w:rsidR="00CD6352" w:rsidRPr="00EA7665" w:rsidRDefault="00CD6352" w:rsidP="00CD6352">
      <w:pPr>
        <w:spacing w:before="240" w:after="0" w:line="360" w:lineRule="auto"/>
        <w:jc w:val="both"/>
        <w:rPr>
          <w:rFonts w:ascii="Arial" w:hAnsi="Arial" w:cs="Arial"/>
        </w:rPr>
      </w:pPr>
    </w:p>
    <w:p w14:paraId="38315C12" w14:textId="77777777" w:rsidR="00CD6352" w:rsidRPr="00EA7665" w:rsidRDefault="00CD6352" w:rsidP="00CD6352">
      <w:pPr>
        <w:pStyle w:val="Heading3"/>
        <w:rPr>
          <w:sz w:val="22"/>
          <w:szCs w:val="22"/>
        </w:rPr>
      </w:pPr>
      <w:bookmarkStart w:id="1179" w:name="_Toc78983866"/>
      <w:r w:rsidRPr="00EA7665">
        <w:rPr>
          <w:sz w:val="22"/>
          <w:szCs w:val="22"/>
        </w:rPr>
        <w:t>Questionnaire survey analysis and discussion at the aggregate level</w:t>
      </w:r>
      <w:bookmarkEnd w:id="1179"/>
    </w:p>
    <w:p w14:paraId="58A5F4DB" w14:textId="77777777" w:rsidR="00CD6352" w:rsidRDefault="00CD6352" w:rsidP="00CD6352">
      <w:pPr>
        <w:spacing w:line="360" w:lineRule="auto"/>
        <w:jc w:val="both"/>
        <w:rPr>
          <w:rFonts w:ascii="Arial" w:eastAsiaTheme="majorEastAsia" w:hAnsi="Arial" w:cstheme="majorBidi"/>
          <w:b/>
        </w:rPr>
      </w:pPr>
    </w:p>
    <w:p w14:paraId="71AF58FC" w14:textId="3056A624" w:rsidR="00CD6352" w:rsidRDefault="00CD6352" w:rsidP="00CD6352">
      <w:pPr>
        <w:spacing w:line="360" w:lineRule="auto"/>
        <w:jc w:val="both"/>
        <w:rPr>
          <w:rFonts w:ascii="Arial" w:hAnsi="Arial" w:cs="Arial"/>
        </w:rPr>
      </w:pPr>
      <w:r w:rsidRPr="00EA7665">
        <w:rPr>
          <w:rFonts w:ascii="Arial" w:hAnsi="Arial" w:cs="Arial"/>
        </w:rPr>
        <w:t xml:space="preserve">An observation of </w:t>
      </w:r>
      <w:r>
        <w:rPr>
          <w:rFonts w:ascii="Arial" w:hAnsi="Arial" w:cs="Arial"/>
        </w:rPr>
        <w:t>table</w:t>
      </w:r>
      <w:r w:rsidRPr="00EA7665">
        <w:rPr>
          <w:rFonts w:ascii="Arial" w:hAnsi="Arial" w:cs="Arial"/>
        </w:rPr>
        <w:t xml:space="preserve"> </w:t>
      </w:r>
      <w:r w:rsidR="00416544">
        <w:rPr>
          <w:rFonts w:ascii="Arial" w:hAnsi="Arial" w:cs="Arial"/>
        </w:rPr>
        <w:t>6.3.1</w:t>
      </w:r>
      <w:r w:rsidRPr="00EA7665">
        <w:rPr>
          <w:rFonts w:ascii="Arial" w:hAnsi="Arial" w:cs="Arial"/>
        </w:rPr>
        <w:t xml:space="preserve"> reveals that all the 1</w:t>
      </w:r>
      <w:r>
        <w:rPr>
          <w:rFonts w:ascii="Arial" w:hAnsi="Arial" w:cs="Arial"/>
        </w:rPr>
        <w:t>9</w:t>
      </w:r>
      <w:r w:rsidRPr="00EA7665">
        <w:rPr>
          <w:rFonts w:ascii="Arial" w:hAnsi="Arial" w:cs="Arial"/>
        </w:rPr>
        <w:t xml:space="preserve"> factors are </w:t>
      </w:r>
      <w:r>
        <w:rPr>
          <w:rFonts w:ascii="Arial" w:hAnsi="Arial" w:cs="Arial"/>
        </w:rPr>
        <w:t xml:space="preserve">considered </w:t>
      </w:r>
      <w:r w:rsidRPr="00EA7665">
        <w:rPr>
          <w:rFonts w:ascii="Arial" w:hAnsi="Arial" w:cs="Arial"/>
        </w:rPr>
        <w:t xml:space="preserve">as being very challenging </w:t>
      </w:r>
      <w:r>
        <w:rPr>
          <w:rFonts w:ascii="Arial" w:hAnsi="Arial" w:cs="Arial"/>
        </w:rPr>
        <w:t>by the survey respondents</w:t>
      </w:r>
      <w:r w:rsidRPr="00EA7665">
        <w:rPr>
          <w:rFonts w:ascii="Arial" w:hAnsi="Arial" w:cs="Arial"/>
        </w:rPr>
        <w:t xml:space="preserve">. </w:t>
      </w:r>
      <w:r>
        <w:rPr>
          <w:rFonts w:ascii="Arial" w:hAnsi="Arial" w:cs="Arial"/>
        </w:rPr>
        <w:t xml:space="preserve">About 34.7% of the survey respondents </w:t>
      </w:r>
      <w:r w:rsidR="00C24321">
        <w:rPr>
          <w:rFonts w:ascii="Arial" w:hAnsi="Arial" w:cs="Arial"/>
        </w:rPr>
        <w:t>believed that they consider high-interest rate</w:t>
      </w:r>
      <w:r>
        <w:rPr>
          <w:rFonts w:ascii="Arial" w:hAnsi="Arial" w:cs="Arial"/>
        </w:rPr>
        <w:t xml:space="preserve">s a very challenging factor in securing finance for real estate project </w:t>
      </w:r>
      <w:r w:rsidR="00AC353E">
        <w:rPr>
          <w:rFonts w:ascii="Arial" w:hAnsi="Arial" w:cs="Arial"/>
        </w:rPr>
        <w:t>development.</w:t>
      </w:r>
      <w:r>
        <w:rPr>
          <w:rFonts w:ascii="Arial" w:hAnsi="Arial" w:cs="Arial"/>
        </w:rPr>
        <w:t xml:space="preserve"> This is followed </w:t>
      </w:r>
      <w:r w:rsidR="00AC353E">
        <w:rPr>
          <w:rFonts w:ascii="Arial" w:hAnsi="Arial" w:cs="Arial"/>
        </w:rPr>
        <w:t xml:space="preserve">by </w:t>
      </w:r>
      <w:r w:rsidR="00AC353E" w:rsidRPr="00EA7665">
        <w:rPr>
          <w:rFonts w:ascii="Arial" w:hAnsi="Arial" w:cs="Arial"/>
        </w:rPr>
        <w:t>corruption</w:t>
      </w:r>
      <w:r w:rsidR="00AC353E">
        <w:rPr>
          <w:rFonts w:ascii="Arial" w:hAnsi="Arial" w:cs="Arial"/>
        </w:rPr>
        <w:t>(34</w:t>
      </w:r>
      <w:r>
        <w:rPr>
          <w:rFonts w:ascii="Arial" w:hAnsi="Arial" w:cs="Arial"/>
        </w:rPr>
        <w:t>%)</w:t>
      </w:r>
      <w:r w:rsidRPr="00EA7665">
        <w:rPr>
          <w:rFonts w:ascii="Arial" w:hAnsi="Arial" w:cs="Arial"/>
        </w:rPr>
        <w:t>, currency risk</w:t>
      </w:r>
      <w:r>
        <w:rPr>
          <w:rFonts w:ascii="Arial" w:hAnsi="Arial" w:cs="Arial"/>
        </w:rPr>
        <w:t xml:space="preserve"> (32.6%)</w:t>
      </w:r>
      <w:r w:rsidRPr="00EA7665">
        <w:rPr>
          <w:rFonts w:ascii="Arial" w:hAnsi="Arial" w:cs="Arial"/>
        </w:rPr>
        <w:t xml:space="preserve">, </w:t>
      </w:r>
      <w:r>
        <w:rPr>
          <w:rFonts w:ascii="Arial" w:hAnsi="Arial" w:cs="Arial"/>
        </w:rPr>
        <w:t xml:space="preserve">government’s ineffective policies (31.9%), </w:t>
      </w:r>
      <w:r w:rsidRPr="00EA7665">
        <w:rPr>
          <w:rFonts w:ascii="Arial" w:hAnsi="Arial" w:cs="Arial"/>
        </w:rPr>
        <w:t>difficult lending criteria by financiers</w:t>
      </w:r>
      <w:r>
        <w:rPr>
          <w:rFonts w:ascii="Arial" w:hAnsi="Arial" w:cs="Arial"/>
        </w:rPr>
        <w:t>(30.6%)</w:t>
      </w:r>
      <w:r w:rsidRPr="00EA7665">
        <w:rPr>
          <w:rFonts w:ascii="Arial" w:hAnsi="Arial" w:cs="Arial"/>
        </w:rPr>
        <w:t xml:space="preserve"> and excessive collateral requirements</w:t>
      </w:r>
      <w:r>
        <w:rPr>
          <w:rFonts w:ascii="Arial" w:hAnsi="Arial" w:cs="Arial"/>
        </w:rPr>
        <w:t xml:space="preserve"> (30.4%).</w:t>
      </w:r>
      <w:r w:rsidRPr="00EA7665">
        <w:rPr>
          <w:rFonts w:ascii="Arial" w:hAnsi="Arial" w:cs="Arial"/>
        </w:rPr>
        <w:t xml:space="preserve"> </w:t>
      </w:r>
      <w:r>
        <w:rPr>
          <w:rFonts w:ascii="Arial" w:hAnsi="Arial" w:cs="Arial"/>
        </w:rPr>
        <w:t>The</w:t>
      </w:r>
      <w:r w:rsidRPr="00EA7665">
        <w:rPr>
          <w:rFonts w:ascii="Arial" w:hAnsi="Arial" w:cs="Arial"/>
        </w:rPr>
        <w:t xml:space="preserve"> lowest-ranked very challenging factors in securing finance for real estate project development is terrorism</w:t>
      </w:r>
      <w:r>
        <w:rPr>
          <w:rFonts w:ascii="Arial" w:hAnsi="Arial" w:cs="Arial"/>
        </w:rPr>
        <w:t>(15.2%)</w:t>
      </w:r>
      <w:r w:rsidRPr="00EA7665">
        <w:rPr>
          <w:rFonts w:ascii="Arial" w:hAnsi="Arial" w:cs="Arial"/>
        </w:rPr>
        <w:t>, regulatory quality</w:t>
      </w:r>
      <w:r>
        <w:rPr>
          <w:rFonts w:ascii="Arial" w:hAnsi="Arial" w:cs="Arial"/>
        </w:rPr>
        <w:t>(12.8%)</w:t>
      </w:r>
      <w:r w:rsidRPr="00EA7665">
        <w:rPr>
          <w:rFonts w:ascii="Arial" w:hAnsi="Arial" w:cs="Arial"/>
        </w:rPr>
        <w:t>, lack of skills and professionalism in project development</w:t>
      </w:r>
      <w:r>
        <w:rPr>
          <w:rFonts w:ascii="Arial" w:hAnsi="Arial" w:cs="Arial"/>
        </w:rPr>
        <w:t xml:space="preserve"> (8.5%)</w:t>
      </w:r>
      <w:r w:rsidRPr="00EA7665">
        <w:rPr>
          <w:rFonts w:ascii="Arial" w:hAnsi="Arial" w:cs="Arial"/>
        </w:rPr>
        <w:t>, low demand for real estate</w:t>
      </w:r>
      <w:r>
        <w:rPr>
          <w:rFonts w:ascii="Arial" w:hAnsi="Arial" w:cs="Arial"/>
        </w:rPr>
        <w:t xml:space="preserve">(6.5%), </w:t>
      </w:r>
      <w:r w:rsidRPr="00EA7665">
        <w:rPr>
          <w:rFonts w:ascii="Arial" w:hAnsi="Arial" w:cs="Arial"/>
        </w:rPr>
        <w:t>properties, real estate market transparency</w:t>
      </w:r>
      <w:r>
        <w:rPr>
          <w:rFonts w:ascii="Arial" w:hAnsi="Arial" w:cs="Arial"/>
        </w:rPr>
        <w:t>(6.5%) and</w:t>
      </w:r>
      <w:r w:rsidRPr="00EA7665">
        <w:rPr>
          <w:rFonts w:ascii="Arial" w:hAnsi="Arial" w:cs="Arial"/>
        </w:rPr>
        <w:t xml:space="preserve"> population shrinking and ageing</w:t>
      </w:r>
      <w:r>
        <w:rPr>
          <w:rFonts w:ascii="Arial" w:hAnsi="Arial" w:cs="Arial"/>
        </w:rPr>
        <w:t xml:space="preserve"> (4.3%)</w:t>
      </w:r>
      <w:r w:rsidRPr="00EA7665">
        <w:rPr>
          <w:rFonts w:ascii="Arial" w:hAnsi="Arial" w:cs="Arial"/>
        </w:rPr>
        <w:t xml:space="preserve">. </w:t>
      </w:r>
    </w:p>
    <w:p w14:paraId="073089C6" w14:textId="6C222A79" w:rsidR="00CD3FF0" w:rsidRDefault="00CD3FF0" w:rsidP="00CD6352">
      <w:pPr>
        <w:spacing w:line="360" w:lineRule="auto"/>
        <w:jc w:val="both"/>
        <w:rPr>
          <w:rFonts w:ascii="Arial" w:hAnsi="Arial" w:cs="Arial"/>
        </w:rPr>
      </w:pPr>
    </w:p>
    <w:p w14:paraId="75C450FA" w14:textId="45D2DF40" w:rsidR="00CD3FF0" w:rsidRDefault="00CD3FF0" w:rsidP="00CD6352">
      <w:pPr>
        <w:spacing w:line="360" w:lineRule="auto"/>
        <w:jc w:val="both"/>
        <w:rPr>
          <w:rFonts w:ascii="Arial" w:hAnsi="Arial" w:cs="Arial"/>
        </w:rPr>
      </w:pPr>
    </w:p>
    <w:p w14:paraId="45CB8506" w14:textId="2BBB0ACD" w:rsidR="00ED152E" w:rsidRDefault="00ED152E" w:rsidP="00CD6352">
      <w:pPr>
        <w:spacing w:line="360" w:lineRule="auto"/>
        <w:jc w:val="both"/>
        <w:rPr>
          <w:rFonts w:ascii="Arial" w:hAnsi="Arial" w:cs="Arial"/>
        </w:rPr>
      </w:pPr>
    </w:p>
    <w:p w14:paraId="419A2939" w14:textId="77777777" w:rsidR="00ED152E" w:rsidRPr="00EA7665" w:rsidRDefault="00ED152E" w:rsidP="00CD6352">
      <w:pPr>
        <w:spacing w:line="360" w:lineRule="auto"/>
        <w:jc w:val="both"/>
        <w:rPr>
          <w:rFonts w:ascii="Arial" w:hAnsi="Arial" w:cs="Arial"/>
        </w:rPr>
      </w:pPr>
    </w:p>
    <w:p w14:paraId="4DA7AF10" w14:textId="050AB699" w:rsidR="00416544" w:rsidRPr="00416544" w:rsidRDefault="00416544" w:rsidP="00416544">
      <w:pPr>
        <w:spacing w:line="360" w:lineRule="auto"/>
        <w:jc w:val="both"/>
        <w:rPr>
          <w:rFonts w:ascii="Arial" w:hAnsi="Arial" w:cs="Arial"/>
          <w:sz w:val="16"/>
          <w:szCs w:val="16"/>
        </w:rPr>
      </w:pPr>
      <w:bookmarkStart w:id="1180" w:name="_Toc78983983"/>
      <w:r w:rsidRPr="00416544">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416544">
        <w:rPr>
          <w:rFonts w:ascii="Arial" w:hAnsi="Arial" w:cs="Arial"/>
          <w:sz w:val="16"/>
          <w:szCs w:val="16"/>
        </w:rPr>
        <w:t>: Challenges in securing finance for real estate project development.</w:t>
      </w:r>
      <w:bookmarkEnd w:id="1180"/>
      <w:r w:rsidRPr="00416544">
        <w:rPr>
          <w:rFonts w:ascii="Arial" w:hAnsi="Arial" w:cs="Arial"/>
          <w:sz w:val="16"/>
          <w:szCs w:val="16"/>
        </w:rPr>
        <w:t xml:space="preserve"> </w:t>
      </w:r>
    </w:p>
    <w:tbl>
      <w:tblPr>
        <w:tblW w:w="8406" w:type="dxa"/>
        <w:tblLook w:val="04A0" w:firstRow="1" w:lastRow="0" w:firstColumn="1" w:lastColumn="0" w:noHBand="0" w:noVBand="1"/>
      </w:tblPr>
      <w:tblGrid>
        <w:gridCol w:w="3240"/>
        <w:gridCol w:w="1026"/>
        <w:gridCol w:w="1026"/>
        <w:gridCol w:w="1026"/>
        <w:gridCol w:w="1062"/>
        <w:gridCol w:w="1026"/>
      </w:tblGrid>
      <w:tr w:rsidR="00CD6352" w:rsidRPr="00416544" w14:paraId="72D9007B" w14:textId="77777777" w:rsidTr="00416544">
        <w:trPr>
          <w:trHeight w:val="690"/>
        </w:trPr>
        <w:tc>
          <w:tcPr>
            <w:tcW w:w="32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3E1525C"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Challenges in securing finance for real estate project development</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6218DDB"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Not challenging at all</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04BDCC1"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Less challenging</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960BBEB"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Fairly challenging</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6F15FE1C"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 xml:space="preserve">Challenging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9C26CE9"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Very challenging</w:t>
            </w:r>
          </w:p>
        </w:tc>
      </w:tr>
      <w:tr w:rsidR="00CD6352" w:rsidRPr="00416544" w14:paraId="5304DDC3" w14:textId="77777777" w:rsidTr="00416544">
        <w:trPr>
          <w:trHeight w:val="300"/>
        </w:trPr>
        <w:tc>
          <w:tcPr>
            <w:tcW w:w="3240" w:type="dxa"/>
            <w:vMerge/>
            <w:tcBorders>
              <w:top w:val="single" w:sz="4" w:space="0" w:color="auto"/>
              <w:left w:val="single" w:sz="4" w:space="0" w:color="auto"/>
              <w:bottom w:val="single" w:sz="4" w:space="0" w:color="000000"/>
              <w:right w:val="single" w:sz="4" w:space="0" w:color="auto"/>
            </w:tcBorders>
            <w:vAlign w:val="center"/>
            <w:hideMark/>
          </w:tcPr>
          <w:p w14:paraId="09F466B9" w14:textId="77777777" w:rsidR="00CD6352" w:rsidRPr="00416544" w:rsidRDefault="00CD6352" w:rsidP="00CD6352">
            <w:pPr>
              <w:spacing w:after="0" w:line="240" w:lineRule="auto"/>
              <w:rPr>
                <w:rFonts w:ascii="Arial" w:eastAsia="Times New Roman" w:hAnsi="Arial" w:cs="Arial"/>
                <w:color w:val="000000"/>
                <w:sz w:val="16"/>
                <w:szCs w:val="16"/>
                <w:lang w:eastAsia="en-GB"/>
              </w:rPr>
            </w:pPr>
          </w:p>
        </w:tc>
        <w:tc>
          <w:tcPr>
            <w:tcW w:w="516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0157A63"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Percentage (%)</w:t>
            </w:r>
          </w:p>
        </w:tc>
      </w:tr>
      <w:tr w:rsidR="00CD6352" w:rsidRPr="00416544" w14:paraId="17693D01"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CBC6BB6"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High interest rate</w:t>
            </w:r>
          </w:p>
        </w:tc>
        <w:tc>
          <w:tcPr>
            <w:tcW w:w="1026" w:type="dxa"/>
            <w:tcBorders>
              <w:top w:val="nil"/>
              <w:left w:val="nil"/>
              <w:bottom w:val="single" w:sz="4" w:space="0" w:color="auto"/>
              <w:right w:val="single" w:sz="4" w:space="0" w:color="auto"/>
            </w:tcBorders>
            <w:shd w:val="clear" w:color="auto" w:fill="auto"/>
            <w:noWrap/>
            <w:vAlign w:val="bottom"/>
            <w:hideMark/>
          </w:tcPr>
          <w:p w14:paraId="637D25D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6.1</w:t>
            </w:r>
          </w:p>
        </w:tc>
        <w:tc>
          <w:tcPr>
            <w:tcW w:w="1026" w:type="dxa"/>
            <w:tcBorders>
              <w:top w:val="nil"/>
              <w:left w:val="nil"/>
              <w:bottom w:val="single" w:sz="4" w:space="0" w:color="auto"/>
              <w:right w:val="single" w:sz="4" w:space="0" w:color="auto"/>
            </w:tcBorders>
            <w:shd w:val="clear" w:color="auto" w:fill="auto"/>
            <w:noWrap/>
            <w:vAlign w:val="bottom"/>
            <w:hideMark/>
          </w:tcPr>
          <w:p w14:paraId="5321ABB4"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10.2</w:t>
            </w:r>
          </w:p>
        </w:tc>
        <w:tc>
          <w:tcPr>
            <w:tcW w:w="1026" w:type="dxa"/>
            <w:tcBorders>
              <w:top w:val="nil"/>
              <w:left w:val="nil"/>
              <w:bottom w:val="single" w:sz="4" w:space="0" w:color="auto"/>
              <w:right w:val="single" w:sz="4" w:space="0" w:color="auto"/>
            </w:tcBorders>
            <w:shd w:val="clear" w:color="auto" w:fill="auto"/>
            <w:noWrap/>
            <w:vAlign w:val="bottom"/>
            <w:hideMark/>
          </w:tcPr>
          <w:p w14:paraId="4DC5093B"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16.3</w:t>
            </w:r>
          </w:p>
        </w:tc>
        <w:tc>
          <w:tcPr>
            <w:tcW w:w="1062" w:type="dxa"/>
            <w:tcBorders>
              <w:top w:val="nil"/>
              <w:left w:val="nil"/>
              <w:bottom w:val="single" w:sz="4" w:space="0" w:color="auto"/>
              <w:right w:val="single" w:sz="4" w:space="0" w:color="auto"/>
            </w:tcBorders>
            <w:shd w:val="clear" w:color="auto" w:fill="auto"/>
            <w:noWrap/>
            <w:vAlign w:val="bottom"/>
            <w:hideMark/>
          </w:tcPr>
          <w:p w14:paraId="1B000B6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32.7</w:t>
            </w:r>
          </w:p>
        </w:tc>
        <w:tc>
          <w:tcPr>
            <w:tcW w:w="1026" w:type="dxa"/>
            <w:tcBorders>
              <w:top w:val="nil"/>
              <w:left w:val="nil"/>
              <w:bottom w:val="single" w:sz="4" w:space="0" w:color="auto"/>
              <w:right w:val="single" w:sz="4" w:space="0" w:color="auto"/>
            </w:tcBorders>
            <w:shd w:val="clear" w:color="auto" w:fill="auto"/>
            <w:noWrap/>
            <w:vAlign w:val="bottom"/>
            <w:hideMark/>
          </w:tcPr>
          <w:p w14:paraId="6BC248A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34.7</w:t>
            </w:r>
          </w:p>
        </w:tc>
      </w:tr>
      <w:tr w:rsidR="00CD6352" w:rsidRPr="00416544" w14:paraId="35557348"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B561439"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Corruption</w:t>
            </w:r>
          </w:p>
        </w:tc>
        <w:tc>
          <w:tcPr>
            <w:tcW w:w="1026" w:type="dxa"/>
            <w:tcBorders>
              <w:top w:val="nil"/>
              <w:left w:val="nil"/>
              <w:bottom w:val="single" w:sz="4" w:space="0" w:color="auto"/>
              <w:right w:val="single" w:sz="4" w:space="0" w:color="auto"/>
            </w:tcBorders>
            <w:shd w:val="clear" w:color="auto" w:fill="auto"/>
            <w:noWrap/>
            <w:vAlign w:val="bottom"/>
            <w:hideMark/>
          </w:tcPr>
          <w:p w14:paraId="7052A5C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12</w:t>
            </w:r>
          </w:p>
        </w:tc>
        <w:tc>
          <w:tcPr>
            <w:tcW w:w="1026" w:type="dxa"/>
            <w:tcBorders>
              <w:top w:val="nil"/>
              <w:left w:val="nil"/>
              <w:bottom w:val="single" w:sz="4" w:space="0" w:color="auto"/>
              <w:right w:val="single" w:sz="4" w:space="0" w:color="auto"/>
            </w:tcBorders>
            <w:shd w:val="clear" w:color="auto" w:fill="auto"/>
            <w:noWrap/>
            <w:vAlign w:val="bottom"/>
            <w:hideMark/>
          </w:tcPr>
          <w:p w14:paraId="2DAE795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10</w:t>
            </w:r>
          </w:p>
        </w:tc>
        <w:tc>
          <w:tcPr>
            <w:tcW w:w="1026" w:type="dxa"/>
            <w:tcBorders>
              <w:top w:val="nil"/>
              <w:left w:val="nil"/>
              <w:bottom w:val="single" w:sz="4" w:space="0" w:color="auto"/>
              <w:right w:val="single" w:sz="4" w:space="0" w:color="auto"/>
            </w:tcBorders>
            <w:shd w:val="clear" w:color="auto" w:fill="auto"/>
            <w:noWrap/>
            <w:vAlign w:val="bottom"/>
            <w:hideMark/>
          </w:tcPr>
          <w:p w14:paraId="1970F0EB"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22</w:t>
            </w:r>
          </w:p>
        </w:tc>
        <w:tc>
          <w:tcPr>
            <w:tcW w:w="1062" w:type="dxa"/>
            <w:tcBorders>
              <w:top w:val="nil"/>
              <w:left w:val="nil"/>
              <w:bottom w:val="single" w:sz="4" w:space="0" w:color="auto"/>
              <w:right w:val="single" w:sz="4" w:space="0" w:color="auto"/>
            </w:tcBorders>
            <w:shd w:val="clear" w:color="auto" w:fill="auto"/>
            <w:noWrap/>
            <w:vAlign w:val="bottom"/>
            <w:hideMark/>
          </w:tcPr>
          <w:p w14:paraId="1CD72EB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22</w:t>
            </w:r>
          </w:p>
        </w:tc>
        <w:tc>
          <w:tcPr>
            <w:tcW w:w="1026" w:type="dxa"/>
            <w:tcBorders>
              <w:top w:val="nil"/>
              <w:left w:val="nil"/>
              <w:bottom w:val="single" w:sz="4" w:space="0" w:color="auto"/>
              <w:right w:val="single" w:sz="4" w:space="0" w:color="auto"/>
            </w:tcBorders>
            <w:shd w:val="clear" w:color="auto" w:fill="auto"/>
            <w:noWrap/>
            <w:vAlign w:val="bottom"/>
            <w:hideMark/>
          </w:tcPr>
          <w:p w14:paraId="0627863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w:t>
            </w:r>
          </w:p>
        </w:tc>
      </w:tr>
      <w:tr w:rsidR="00CD6352" w:rsidRPr="00416544" w14:paraId="34B0F29E"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A344F93"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 xml:space="preserve">Currency risk/ exchange rate volatility </w:t>
            </w:r>
          </w:p>
        </w:tc>
        <w:tc>
          <w:tcPr>
            <w:tcW w:w="1026" w:type="dxa"/>
            <w:tcBorders>
              <w:top w:val="nil"/>
              <w:left w:val="nil"/>
              <w:bottom w:val="single" w:sz="4" w:space="0" w:color="auto"/>
              <w:right w:val="single" w:sz="4" w:space="0" w:color="auto"/>
            </w:tcBorders>
            <w:shd w:val="clear" w:color="auto" w:fill="auto"/>
            <w:noWrap/>
            <w:vAlign w:val="bottom"/>
            <w:hideMark/>
          </w:tcPr>
          <w:p w14:paraId="33DD79A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13</w:t>
            </w:r>
          </w:p>
        </w:tc>
        <w:tc>
          <w:tcPr>
            <w:tcW w:w="1026" w:type="dxa"/>
            <w:tcBorders>
              <w:top w:val="nil"/>
              <w:left w:val="nil"/>
              <w:bottom w:val="single" w:sz="4" w:space="0" w:color="auto"/>
              <w:right w:val="single" w:sz="4" w:space="0" w:color="auto"/>
            </w:tcBorders>
            <w:shd w:val="clear" w:color="auto" w:fill="auto"/>
            <w:noWrap/>
            <w:vAlign w:val="bottom"/>
            <w:hideMark/>
          </w:tcPr>
          <w:p w14:paraId="52906E1B"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6.5</w:t>
            </w:r>
          </w:p>
        </w:tc>
        <w:tc>
          <w:tcPr>
            <w:tcW w:w="1026" w:type="dxa"/>
            <w:tcBorders>
              <w:top w:val="nil"/>
              <w:left w:val="nil"/>
              <w:bottom w:val="single" w:sz="4" w:space="0" w:color="auto"/>
              <w:right w:val="single" w:sz="4" w:space="0" w:color="auto"/>
            </w:tcBorders>
            <w:shd w:val="clear" w:color="auto" w:fill="auto"/>
            <w:noWrap/>
            <w:vAlign w:val="bottom"/>
            <w:hideMark/>
          </w:tcPr>
          <w:p w14:paraId="09DCE05F"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21.7</w:t>
            </w:r>
          </w:p>
        </w:tc>
        <w:tc>
          <w:tcPr>
            <w:tcW w:w="1062" w:type="dxa"/>
            <w:tcBorders>
              <w:top w:val="nil"/>
              <w:left w:val="nil"/>
              <w:bottom w:val="single" w:sz="4" w:space="0" w:color="auto"/>
              <w:right w:val="single" w:sz="4" w:space="0" w:color="auto"/>
            </w:tcBorders>
            <w:shd w:val="clear" w:color="auto" w:fill="auto"/>
            <w:noWrap/>
            <w:vAlign w:val="bottom"/>
            <w:hideMark/>
          </w:tcPr>
          <w:p w14:paraId="799858D3"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26.1</w:t>
            </w:r>
          </w:p>
        </w:tc>
        <w:tc>
          <w:tcPr>
            <w:tcW w:w="1026" w:type="dxa"/>
            <w:tcBorders>
              <w:top w:val="nil"/>
              <w:left w:val="nil"/>
              <w:bottom w:val="single" w:sz="4" w:space="0" w:color="auto"/>
              <w:right w:val="single" w:sz="4" w:space="0" w:color="auto"/>
            </w:tcBorders>
            <w:shd w:val="clear" w:color="auto" w:fill="auto"/>
            <w:noWrap/>
            <w:vAlign w:val="bottom"/>
            <w:hideMark/>
          </w:tcPr>
          <w:p w14:paraId="64949F5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32.6</w:t>
            </w:r>
          </w:p>
        </w:tc>
      </w:tr>
      <w:tr w:rsidR="00CD6352" w:rsidRPr="00416544" w14:paraId="46EADB62"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3586B79"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Government’s ineffective policies</w:t>
            </w:r>
          </w:p>
        </w:tc>
        <w:tc>
          <w:tcPr>
            <w:tcW w:w="1026" w:type="dxa"/>
            <w:tcBorders>
              <w:top w:val="nil"/>
              <w:left w:val="nil"/>
              <w:bottom w:val="single" w:sz="4" w:space="0" w:color="auto"/>
              <w:right w:val="single" w:sz="4" w:space="0" w:color="auto"/>
            </w:tcBorders>
            <w:shd w:val="clear" w:color="auto" w:fill="auto"/>
            <w:noWrap/>
            <w:vAlign w:val="bottom"/>
            <w:hideMark/>
          </w:tcPr>
          <w:p w14:paraId="721FACC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w:t>
            </w:r>
          </w:p>
        </w:tc>
        <w:tc>
          <w:tcPr>
            <w:tcW w:w="1026" w:type="dxa"/>
            <w:tcBorders>
              <w:top w:val="nil"/>
              <w:left w:val="nil"/>
              <w:bottom w:val="single" w:sz="4" w:space="0" w:color="auto"/>
              <w:right w:val="single" w:sz="4" w:space="0" w:color="auto"/>
            </w:tcBorders>
            <w:shd w:val="clear" w:color="auto" w:fill="auto"/>
            <w:noWrap/>
            <w:vAlign w:val="bottom"/>
            <w:hideMark/>
          </w:tcPr>
          <w:p w14:paraId="4434A530"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8.5</w:t>
            </w:r>
          </w:p>
        </w:tc>
        <w:tc>
          <w:tcPr>
            <w:tcW w:w="1026" w:type="dxa"/>
            <w:tcBorders>
              <w:top w:val="nil"/>
              <w:left w:val="nil"/>
              <w:bottom w:val="single" w:sz="4" w:space="0" w:color="auto"/>
              <w:right w:val="single" w:sz="4" w:space="0" w:color="auto"/>
            </w:tcBorders>
            <w:shd w:val="clear" w:color="auto" w:fill="auto"/>
            <w:noWrap/>
            <w:vAlign w:val="bottom"/>
            <w:hideMark/>
          </w:tcPr>
          <w:p w14:paraId="32B1FA2E"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19.1</w:t>
            </w:r>
          </w:p>
        </w:tc>
        <w:tc>
          <w:tcPr>
            <w:tcW w:w="1062" w:type="dxa"/>
            <w:tcBorders>
              <w:top w:val="nil"/>
              <w:left w:val="nil"/>
              <w:bottom w:val="single" w:sz="4" w:space="0" w:color="auto"/>
              <w:right w:val="single" w:sz="4" w:space="0" w:color="auto"/>
            </w:tcBorders>
            <w:shd w:val="clear" w:color="auto" w:fill="auto"/>
            <w:noWrap/>
            <w:vAlign w:val="bottom"/>
            <w:hideMark/>
          </w:tcPr>
          <w:p w14:paraId="70D7851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38.3</w:t>
            </w:r>
          </w:p>
        </w:tc>
        <w:tc>
          <w:tcPr>
            <w:tcW w:w="1026" w:type="dxa"/>
            <w:tcBorders>
              <w:top w:val="nil"/>
              <w:left w:val="nil"/>
              <w:bottom w:val="single" w:sz="4" w:space="0" w:color="auto"/>
              <w:right w:val="single" w:sz="4" w:space="0" w:color="auto"/>
            </w:tcBorders>
            <w:shd w:val="clear" w:color="auto" w:fill="auto"/>
            <w:noWrap/>
            <w:vAlign w:val="bottom"/>
            <w:hideMark/>
          </w:tcPr>
          <w:p w14:paraId="171976AF"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31.9</w:t>
            </w:r>
          </w:p>
        </w:tc>
      </w:tr>
      <w:tr w:rsidR="00CD6352" w:rsidRPr="00416544" w14:paraId="14FB839A"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AEF2734"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Difficult lending criteria by financiers</w:t>
            </w:r>
          </w:p>
        </w:tc>
        <w:tc>
          <w:tcPr>
            <w:tcW w:w="1026" w:type="dxa"/>
            <w:tcBorders>
              <w:top w:val="nil"/>
              <w:left w:val="nil"/>
              <w:bottom w:val="single" w:sz="4" w:space="0" w:color="auto"/>
              <w:right w:val="single" w:sz="4" w:space="0" w:color="auto"/>
            </w:tcBorders>
            <w:shd w:val="clear" w:color="auto" w:fill="auto"/>
            <w:noWrap/>
            <w:vAlign w:val="bottom"/>
            <w:hideMark/>
          </w:tcPr>
          <w:p w14:paraId="03BFBF40"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w:t>
            </w:r>
          </w:p>
        </w:tc>
        <w:tc>
          <w:tcPr>
            <w:tcW w:w="1026" w:type="dxa"/>
            <w:tcBorders>
              <w:top w:val="nil"/>
              <w:left w:val="nil"/>
              <w:bottom w:val="single" w:sz="4" w:space="0" w:color="auto"/>
              <w:right w:val="single" w:sz="4" w:space="0" w:color="auto"/>
            </w:tcBorders>
            <w:shd w:val="clear" w:color="auto" w:fill="auto"/>
            <w:noWrap/>
            <w:vAlign w:val="bottom"/>
            <w:hideMark/>
          </w:tcPr>
          <w:p w14:paraId="6E18A70E"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6.1</w:t>
            </w:r>
          </w:p>
        </w:tc>
        <w:tc>
          <w:tcPr>
            <w:tcW w:w="1026" w:type="dxa"/>
            <w:tcBorders>
              <w:top w:val="nil"/>
              <w:left w:val="nil"/>
              <w:bottom w:val="single" w:sz="4" w:space="0" w:color="auto"/>
              <w:right w:val="single" w:sz="4" w:space="0" w:color="auto"/>
            </w:tcBorders>
            <w:shd w:val="clear" w:color="auto" w:fill="auto"/>
            <w:noWrap/>
            <w:vAlign w:val="bottom"/>
            <w:hideMark/>
          </w:tcPr>
          <w:p w14:paraId="42CDB5C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26.5</w:t>
            </w:r>
          </w:p>
        </w:tc>
        <w:tc>
          <w:tcPr>
            <w:tcW w:w="1062" w:type="dxa"/>
            <w:tcBorders>
              <w:top w:val="nil"/>
              <w:left w:val="nil"/>
              <w:bottom w:val="single" w:sz="4" w:space="0" w:color="auto"/>
              <w:right w:val="single" w:sz="4" w:space="0" w:color="auto"/>
            </w:tcBorders>
            <w:shd w:val="clear" w:color="auto" w:fill="auto"/>
            <w:noWrap/>
            <w:vAlign w:val="bottom"/>
            <w:hideMark/>
          </w:tcPr>
          <w:p w14:paraId="68C275B7"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34.7</w:t>
            </w:r>
          </w:p>
        </w:tc>
        <w:tc>
          <w:tcPr>
            <w:tcW w:w="1026" w:type="dxa"/>
            <w:tcBorders>
              <w:top w:val="nil"/>
              <w:left w:val="nil"/>
              <w:bottom w:val="single" w:sz="4" w:space="0" w:color="auto"/>
              <w:right w:val="single" w:sz="4" w:space="0" w:color="auto"/>
            </w:tcBorders>
            <w:shd w:val="clear" w:color="auto" w:fill="auto"/>
            <w:noWrap/>
            <w:vAlign w:val="bottom"/>
            <w:hideMark/>
          </w:tcPr>
          <w:p w14:paraId="072AEE10"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30.6</w:t>
            </w:r>
          </w:p>
        </w:tc>
      </w:tr>
      <w:tr w:rsidR="00CD6352" w:rsidRPr="00416544" w14:paraId="75432436"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FF46FBC"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Excessive collateral requirement</w:t>
            </w:r>
          </w:p>
        </w:tc>
        <w:tc>
          <w:tcPr>
            <w:tcW w:w="1026" w:type="dxa"/>
            <w:tcBorders>
              <w:top w:val="nil"/>
              <w:left w:val="nil"/>
              <w:bottom w:val="single" w:sz="4" w:space="0" w:color="auto"/>
              <w:right w:val="single" w:sz="4" w:space="0" w:color="auto"/>
            </w:tcBorders>
            <w:shd w:val="clear" w:color="auto" w:fill="auto"/>
            <w:noWrap/>
            <w:vAlign w:val="bottom"/>
            <w:hideMark/>
          </w:tcPr>
          <w:p w14:paraId="2F6F2909"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2.2</w:t>
            </w:r>
          </w:p>
        </w:tc>
        <w:tc>
          <w:tcPr>
            <w:tcW w:w="1026" w:type="dxa"/>
            <w:tcBorders>
              <w:top w:val="nil"/>
              <w:left w:val="nil"/>
              <w:bottom w:val="single" w:sz="4" w:space="0" w:color="auto"/>
              <w:right w:val="single" w:sz="4" w:space="0" w:color="auto"/>
            </w:tcBorders>
            <w:shd w:val="clear" w:color="auto" w:fill="auto"/>
            <w:noWrap/>
            <w:vAlign w:val="bottom"/>
            <w:hideMark/>
          </w:tcPr>
          <w:p w14:paraId="5685F86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8.7</w:t>
            </w:r>
          </w:p>
        </w:tc>
        <w:tc>
          <w:tcPr>
            <w:tcW w:w="1026" w:type="dxa"/>
            <w:tcBorders>
              <w:top w:val="nil"/>
              <w:left w:val="nil"/>
              <w:bottom w:val="single" w:sz="4" w:space="0" w:color="auto"/>
              <w:right w:val="single" w:sz="4" w:space="0" w:color="auto"/>
            </w:tcBorders>
            <w:shd w:val="clear" w:color="auto" w:fill="auto"/>
            <w:noWrap/>
            <w:vAlign w:val="bottom"/>
            <w:hideMark/>
          </w:tcPr>
          <w:p w14:paraId="6C97D28C"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19.6</w:t>
            </w:r>
          </w:p>
        </w:tc>
        <w:tc>
          <w:tcPr>
            <w:tcW w:w="1062" w:type="dxa"/>
            <w:tcBorders>
              <w:top w:val="nil"/>
              <w:left w:val="nil"/>
              <w:bottom w:val="single" w:sz="4" w:space="0" w:color="auto"/>
              <w:right w:val="single" w:sz="4" w:space="0" w:color="auto"/>
            </w:tcBorders>
            <w:shd w:val="clear" w:color="auto" w:fill="auto"/>
            <w:noWrap/>
            <w:vAlign w:val="bottom"/>
            <w:hideMark/>
          </w:tcPr>
          <w:p w14:paraId="17752F1C"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39.1</w:t>
            </w:r>
          </w:p>
        </w:tc>
        <w:tc>
          <w:tcPr>
            <w:tcW w:w="1026" w:type="dxa"/>
            <w:tcBorders>
              <w:top w:val="nil"/>
              <w:left w:val="nil"/>
              <w:bottom w:val="single" w:sz="4" w:space="0" w:color="auto"/>
              <w:right w:val="single" w:sz="4" w:space="0" w:color="auto"/>
            </w:tcBorders>
            <w:shd w:val="clear" w:color="auto" w:fill="auto"/>
            <w:noWrap/>
            <w:vAlign w:val="bottom"/>
            <w:hideMark/>
          </w:tcPr>
          <w:p w14:paraId="059D0E8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30.4</w:t>
            </w:r>
          </w:p>
        </w:tc>
      </w:tr>
      <w:tr w:rsidR="00CD6352" w:rsidRPr="00416544" w14:paraId="05A1A256"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BD11D49"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Inflation</w:t>
            </w:r>
          </w:p>
        </w:tc>
        <w:tc>
          <w:tcPr>
            <w:tcW w:w="1026" w:type="dxa"/>
            <w:tcBorders>
              <w:top w:val="nil"/>
              <w:left w:val="nil"/>
              <w:bottom w:val="single" w:sz="4" w:space="0" w:color="auto"/>
              <w:right w:val="single" w:sz="4" w:space="0" w:color="auto"/>
            </w:tcBorders>
            <w:shd w:val="clear" w:color="auto" w:fill="auto"/>
            <w:noWrap/>
            <w:vAlign w:val="bottom"/>
            <w:hideMark/>
          </w:tcPr>
          <w:p w14:paraId="105D422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6.4</w:t>
            </w:r>
          </w:p>
        </w:tc>
        <w:tc>
          <w:tcPr>
            <w:tcW w:w="1026" w:type="dxa"/>
            <w:tcBorders>
              <w:top w:val="nil"/>
              <w:left w:val="nil"/>
              <w:bottom w:val="single" w:sz="4" w:space="0" w:color="auto"/>
              <w:right w:val="single" w:sz="4" w:space="0" w:color="auto"/>
            </w:tcBorders>
            <w:shd w:val="clear" w:color="auto" w:fill="auto"/>
            <w:noWrap/>
            <w:vAlign w:val="bottom"/>
            <w:hideMark/>
          </w:tcPr>
          <w:p w14:paraId="64BE9FD6"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12.8</w:t>
            </w:r>
          </w:p>
        </w:tc>
        <w:tc>
          <w:tcPr>
            <w:tcW w:w="1026" w:type="dxa"/>
            <w:tcBorders>
              <w:top w:val="nil"/>
              <w:left w:val="nil"/>
              <w:bottom w:val="single" w:sz="4" w:space="0" w:color="auto"/>
              <w:right w:val="single" w:sz="4" w:space="0" w:color="auto"/>
            </w:tcBorders>
            <w:shd w:val="clear" w:color="auto" w:fill="auto"/>
            <w:noWrap/>
            <w:vAlign w:val="bottom"/>
            <w:hideMark/>
          </w:tcPr>
          <w:p w14:paraId="0006C943"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23.4</w:t>
            </w:r>
          </w:p>
        </w:tc>
        <w:tc>
          <w:tcPr>
            <w:tcW w:w="1062" w:type="dxa"/>
            <w:tcBorders>
              <w:top w:val="nil"/>
              <w:left w:val="nil"/>
              <w:bottom w:val="single" w:sz="4" w:space="0" w:color="auto"/>
              <w:right w:val="single" w:sz="4" w:space="0" w:color="auto"/>
            </w:tcBorders>
            <w:shd w:val="clear" w:color="auto" w:fill="auto"/>
            <w:noWrap/>
            <w:vAlign w:val="bottom"/>
            <w:hideMark/>
          </w:tcPr>
          <w:p w14:paraId="1F63ADC3"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27.7</w:t>
            </w:r>
          </w:p>
        </w:tc>
        <w:tc>
          <w:tcPr>
            <w:tcW w:w="1026" w:type="dxa"/>
            <w:tcBorders>
              <w:top w:val="nil"/>
              <w:left w:val="nil"/>
              <w:bottom w:val="single" w:sz="4" w:space="0" w:color="auto"/>
              <w:right w:val="single" w:sz="4" w:space="0" w:color="auto"/>
            </w:tcBorders>
            <w:shd w:val="clear" w:color="auto" w:fill="auto"/>
            <w:noWrap/>
            <w:vAlign w:val="bottom"/>
            <w:hideMark/>
          </w:tcPr>
          <w:p w14:paraId="4E0DE1F0"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29.8</w:t>
            </w:r>
          </w:p>
        </w:tc>
      </w:tr>
      <w:tr w:rsidR="00CD6352" w:rsidRPr="00416544" w14:paraId="431D0B24"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4DD712B"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Lack of long term financing</w:t>
            </w:r>
          </w:p>
        </w:tc>
        <w:tc>
          <w:tcPr>
            <w:tcW w:w="1026" w:type="dxa"/>
            <w:tcBorders>
              <w:top w:val="nil"/>
              <w:left w:val="nil"/>
              <w:bottom w:val="single" w:sz="4" w:space="0" w:color="auto"/>
              <w:right w:val="single" w:sz="4" w:space="0" w:color="auto"/>
            </w:tcBorders>
            <w:shd w:val="clear" w:color="auto" w:fill="auto"/>
            <w:noWrap/>
            <w:vAlign w:val="bottom"/>
            <w:hideMark/>
          </w:tcPr>
          <w:p w14:paraId="5E4B53B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8.5</w:t>
            </w:r>
          </w:p>
        </w:tc>
        <w:tc>
          <w:tcPr>
            <w:tcW w:w="1026" w:type="dxa"/>
            <w:tcBorders>
              <w:top w:val="nil"/>
              <w:left w:val="nil"/>
              <w:bottom w:val="single" w:sz="4" w:space="0" w:color="auto"/>
              <w:right w:val="single" w:sz="4" w:space="0" w:color="auto"/>
            </w:tcBorders>
            <w:shd w:val="clear" w:color="auto" w:fill="auto"/>
            <w:noWrap/>
            <w:vAlign w:val="bottom"/>
            <w:hideMark/>
          </w:tcPr>
          <w:p w14:paraId="0AD860B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w:t>
            </w:r>
          </w:p>
        </w:tc>
        <w:tc>
          <w:tcPr>
            <w:tcW w:w="1026" w:type="dxa"/>
            <w:tcBorders>
              <w:top w:val="nil"/>
              <w:left w:val="nil"/>
              <w:bottom w:val="single" w:sz="4" w:space="0" w:color="auto"/>
              <w:right w:val="single" w:sz="4" w:space="0" w:color="auto"/>
            </w:tcBorders>
            <w:shd w:val="clear" w:color="auto" w:fill="auto"/>
            <w:noWrap/>
            <w:vAlign w:val="bottom"/>
            <w:hideMark/>
          </w:tcPr>
          <w:p w14:paraId="2A02106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14.9</w:t>
            </w:r>
          </w:p>
        </w:tc>
        <w:tc>
          <w:tcPr>
            <w:tcW w:w="1062" w:type="dxa"/>
            <w:tcBorders>
              <w:top w:val="nil"/>
              <w:left w:val="nil"/>
              <w:bottom w:val="single" w:sz="4" w:space="0" w:color="auto"/>
              <w:right w:val="single" w:sz="4" w:space="0" w:color="auto"/>
            </w:tcBorders>
            <w:shd w:val="clear" w:color="auto" w:fill="auto"/>
            <w:noWrap/>
            <w:vAlign w:val="bottom"/>
            <w:hideMark/>
          </w:tcPr>
          <w:p w14:paraId="2C3C692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46.8</w:t>
            </w:r>
          </w:p>
        </w:tc>
        <w:tc>
          <w:tcPr>
            <w:tcW w:w="1026" w:type="dxa"/>
            <w:tcBorders>
              <w:top w:val="nil"/>
              <w:left w:val="nil"/>
              <w:bottom w:val="single" w:sz="4" w:space="0" w:color="auto"/>
              <w:right w:val="single" w:sz="4" w:space="0" w:color="auto"/>
            </w:tcBorders>
            <w:shd w:val="clear" w:color="auto" w:fill="auto"/>
            <w:noWrap/>
            <w:vAlign w:val="bottom"/>
            <w:hideMark/>
          </w:tcPr>
          <w:p w14:paraId="249A00C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27.7</w:t>
            </w:r>
          </w:p>
        </w:tc>
      </w:tr>
      <w:tr w:rsidR="00CD6352" w:rsidRPr="00416544" w14:paraId="010D4CB2"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C41420A"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High cost of inputs and labour</w:t>
            </w:r>
          </w:p>
        </w:tc>
        <w:tc>
          <w:tcPr>
            <w:tcW w:w="1026" w:type="dxa"/>
            <w:tcBorders>
              <w:top w:val="nil"/>
              <w:left w:val="nil"/>
              <w:bottom w:val="single" w:sz="4" w:space="0" w:color="auto"/>
              <w:right w:val="single" w:sz="4" w:space="0" w:color="auto"/>
            </w:tcBorders>
            <w:shd w:val="clear" w:color="auto" w:fill="auto"/>
            <w:noWrap/>
            <w:vAlign w:val="bottom"/>
            <w:hideMark/>
          </w:tcPr>
          <w:p w14:paraId="7E8F4AE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4.2</w:t>
            </w:r>
          </w:p>
        </w:tc>
        <w:tc>
          <w:tcPr>
            <w:tcW w:w="1026" w:type="dxa"/>
            <w:tcBorders>
              <w:top w:val="nil"/>
              <w:left w:val="nil"/>
              <w:bottom w:val="single" w:sz="4" w:space="0" w:color="auto"/>
              <w:right w:val="single" w:sz="4" w:space="0" w:color="auto"/>
            </w:tcBorders>
            <w:shd w:val="clear" w:color="auto" w:fill="auto"/>
            <w:noWrap/>
            <w:vAlign w:val="bottom"/>
            <w:hideMark/>
          </w:tcPr>
          <w:p w14:paraId="5A3A695F"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8.3</w:t>
            </w:r>
          </w:p>
        </w:tc>
        <w:tc>
          <w:tcPr>
            <w:tcW w:w="1026" w:type="dxa"/>
            <w:tcBorders>
              <w:top w:val="nil"/>
              <w:left w:val="nil"/>
              <w:bottom w:val="single" w:sz="4" w:space="0" w:color="auto"/>
              <w:right w:val="single" w:sz="4" w:space="0" w:color="auto"/>
            </w:tcBorders>
            <w:shd w:val="clear" w:color="auto" w:fill="auto"/>
            <w:noWrap/>
            <w:vAlign w:val="bottom"/>
            <w:hideMark/>
          </w:tcPr>
          <w:p w14:paraId="0DE9445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31.3</w:t>
            </w:r>
          </w:p>
        </w:tc>
        <w:tc>
          <w:tcPr>
            <w:tcW w:w="1062" w:type="dxa"/>
            <w:tcBorders>
              <w:top w:val="nil"/>
              <w:left w:val="nil"/>
              <w:bottom w:val="single" w:sz="4" w:space="0" w:color="auto"/>
              <w:right w:val="single" w:sz="4" w:space="0" w:color="auto"/>
            </w:tcBorders>
            <w:shd w:val="clear" w:color="auto" w:fill="auto"/>
            <w:noWrap/>
            <w:vAlign w:val="bottom"/>
            <w:hideMark/>
          </w:tcPr>
          <w:p w14:paraId="48EFADD9"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29.2</w:t>
            </w:r>
          </w:p>
        </w:tc>
        <w:tc>
          <w:tcPr>
            <w:tcW w:w="1026" w:type="dxa"/>
            <w:tcBorders>
              <w:top w:val="nil"/>
              <w:left w:val="nil"/>
              <w:bottom w:val="single" w:sz="4" w:space="0" w:color="auto"/>
              <w:right w:val="single" w:sz="4" w:space="0" w:color="auto"/>
            </w:tcBorders>
            <w:shd w:val="clear" w:color="auto" w:fill="auto"/>
            <w:noWrap/>
            <w:vAlign w:val="bottom"/>
            <w:hideMark/>
          </w:tcPr>
          <w:p w14:paraId="2DED3B6B"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27.1</w:t>
            </w:r>
          </w:p>
        </w:tc>
      </w:tr>
      <w:tr w:rsidR="00CD6352" w:rsidRPr="00416544" w14:paraId="64E65850"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643ED73"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Unemployment</w:t>
            </w:r>
          </w:p>
        </w:tc>
        <w:tc>
          <w:tcPr>
            <w:tcW w:w="1026" w:type="dxa"/>
            <w:tcBorders>
              <w:top w:val="nil"/>
              <w:left w:val="nil"/>
              <w:bottom w:val="single" w:sz="4" w:space="0" w:color="auto"/>
              <w:right w:val="single" w:sz="4" w:space="0" w:color="auto"/>
            </w:tcBorders>
            <w:shd w:val="clear" w:color="auto" w:fill="auto"/>
            <w:noWrap/>
            <w:vAlign w:val="bottom"/>
            <w:hideMark/>
          </w:tcPr>
          <w:p w14:paraId="26F95C1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31.9</w:t>
            </w:r>
          </w:p>
        </w:tc>
        <w:tc>
          <w:tcPr>
            <w:tcW w:w="1026" w:type="dxa"/>
            <w:tcBorders>
              <w:top w:val="nil"/>
              <w:left w:val="nil"/>
              <w:bottom w:val="single" w:sz="4" w:space="0" w:color="auto"/>
              <w:right w:val="single" w:sz="4" w:space="0" w:color="auto"/>
            </w:tcBorders>
            <w:shd w:val="clear" w:color="auto" w:fill="auto"/>
            <w:noWrap/>
            <w:vAlign w:val="bottom"/>
            <w:hideMark/>
          </w:tcPr>
          <w:p w14:paraId="474F121C"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10.6</w:t>
            </w:r>
          </w:p>
        </w:tc>
        <w:tc>
          <w:tcPr>
            <w:tcW w:w="1026" w:type="dxa"/>
            <w:tcBorders>
              <w:top w:val="nil"/>
              <w:left w:val="nil"/>
              <w:bottom w:val="single" w:sz="4" w:space="0" w:color="auto"/>
              <w:right w:val="single" w:sz="4" w:space="0" w:color="auto"/>
            </w:tcBorders>
            <w:shd w:val="clear" w:color="auto" w:fill="auto"/>
            <w:noWrap/>
            <w:vAlign w:val="bottom"/>
            <w:hideMark/>
          </w:tcPr>
          <w:p w14:paraId="3F768CA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14.9</w:t>
            </w:r>
          </w:p>
        </w:tc>
        <w:tc>
          <w:tcPr>
            <w:tcW w:w="1062" w:type="dxa"/>
            <w:tcBorders>
              <w:top w:val="nil"/>
              <w:left w:val="nil"/>
              <w:bottom w:val="single" w:sz="4" w:space="0" w:color="auto"/>
              <w:right w:val="single" w:sz="4" w:space="0" w:color="auto"/>
            </w:tcBorders>
            <w:shd w:val="clear" w:color="auto" w:fill="auto"/>
            <w:noWrap/>
            <w:vAlign w:val="bottom"/>
            <w:hideMark/>
          </w:tcPr>
          <w:p w14:paraId="41FE72E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17</w:t>
            </w:r>
          </w:p>
        </w:tc>
        <w:tc>
          <w:tcPr>
            <w:tcW w:w="1026" w:type="dxa"/>
            <w:tcBorders>
              <w:top w:val="nil"/>
              <w:left w:val="nil"/>
              <w:bottom w:val="single" w:sz="4" w:space="0" w:color="auto"/>
              <w:right w:val="single" w:sz="4" w:space="0" w:color="auto"/>
            </w:tcBorders>
            <w:shd w:val="clear" w:color="auto" w:fill="auto"/>
            <w:noWrap/>
            <w:vAlign w:val="bottom"/>
            <w:hideMark/>
          </w:tcPr>
          <w:p w14:paraId="598BD7E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25.5</w:t>
            </w:r>
          </w:p>
        </w:tc>
      </w:tr>
      <w:tr w:rsidR="00CD6352" w:rsidRPr="00416544" w14:paraId="0E04EC9E"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3D6D305"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Difficult land use and ownership laws</w:t>
            </w:r>
          </w:p>
        </w:tc>
        <w:tc>
          <w:tcPr>
            <w:tcW w:w="1026" w:type="dxa"/>
            <w:tcBorders>
              <w:top w:val="nil"/>
              <w:left w:val="nil"/>
              <w:bottom w:val="single" w:sz="4" w:space="0" w:color="auto"/>
              <w:right w:val="single" w:sz="4" w:space="0" w:color="auto"/>
            </w:tcBorders>
            <w:shd w:val="clear" w:color="auto" w:fill="auto"/>
            <w:noWrap/>
            <w:vAlign w:val="bottom"/>
            <w:hideMark/>
          </w:tcPr>
          <w:p w14:paraId="136A5E7B"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w:t>
            </w:r>
          </w:p>
        </w:tc>
        <w:tc>
          <w:tcPr>
            <w:tcW w:w="1026" w:type="dxa"/>
            <w:tcBorders>
              <w:top w:val="nil"/>
              <w:left w:val="nil"/>
              <w:bottom w:val="single" w:sz="4" w:space="0" w:color="auto"/>
              <w:right w:val="single" w:sz="4" w:space="0" w:color="auto"/>
            </w:tcBorders>
            <w:shd w:val="clear" w:color="auto" w:fill="auto"/>
            <w:noWrap/>
            <w:vAlign w:val="bottom"/>
            <w:hideMark/>
          </w:tcPr>
          <w:p w14:paraId="72B74B4E"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10.6</w:t>
            </w:r>
          </w:p>
        </w:tc>
        <w:tc>
          <w:tcPr>
            <w:tcW w:w="1026" w:type="dxa"/>
            <w:tcBorders>
              <w:top w:val="nil"/>
              <w:left w:val="nil"/>
              <w:bottom w:val="single" w:sz="4" w:space="0" w:color="auto"/>
              <w:right w:val="single" w:sz="4" w:space="0" w:color="auto"/>
            </w:tcBorders>
            <w:shd w:val="clear" w:color="auto" w:fill="auto"/>
            <w:noWrap/>
            <w:vAlign w:val="bottom"/>
            <w:hideMark/>
          </w:tcPr>
          <w:p w14:paraId="7CD0D92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29.8</w:t>
            </w:r>
          </w:p>
        </w:tc>
        <w:tc>
          <w:tcPr>
            <w:tcW w:w="1062" w:type="dxa"/>
            <w:tcBorders>
              <w:top w:val="nil"/>
              <w:left w:val="nil"/>
              <w:bottom w:val="single" w:sz="4" w:space="0" w:color="auto"/>
              <w:right w:val="single" w:sz="4" w:space="0" w:color="auto"/>
            </w:tcBorders>
            <w:shd w:val="clear" w:color="auto" w:fill="auto"/>
            <w:noWrap/>
            <w:vAlign w:val="bottom"/>
            <w:hideMark/>
          </w:tcPr>
          <w:p w14:paraId="7326D97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w:t>
            </w:r>
          </w:p>
        </w:tc>
        <w:tc>
          <w:tcPr>
            <w:tcW w:w="1026" w:type="dxa"/>
            <w:tcBorders>
              <w:top w:val="nil"/>
              <w:left w:val="nil"/>
              <w:bottom w:val="single" w:sz="4" w:space="0" w:color="auto"/>
              <w:right w:val="single" w:sz="4" w:space="0" w:color="auto"/>
            </w:tcBorders>
            <w:shd w:val="clear" w:color="auto" w:fill="auto"/>
            <w:noWrap/>
            <w:vAlign w:val="bottom"/>
            <w:hideMark/>
          </w:tcPr>
          <w:p w14:paraId="3471D4FE"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23.4</w:t>
            </w:r>
          </w:p>
        </w:tc>
      </w:tr>
      <w:tr w:rsidR="00CD6352" w:rsidRPr="00416544" w14:paraId="62B9FDD7"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DF622CB"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Internal political issues</w:t>
            </w:r>
          </w:p>
        </w:tc>
        <w:tc>
          <w:tcPr>
            <w:tcW w:w="1026" w:type="dxa"/>
            <w:tcBorders>
              <w:top w:val="nil"/>
              <w:left w:val="nil"/>
              <w:bottom w:val="single" w:sz="4" w:space="0" w:color="auto"/>
              <w:right w:val="single" w:sz="4" w:space="0" w:color="auto"/>
            </w:tcBorders>
            <w:shd w:val="clear" w:color="auto" w:fill="auto"/>
            <w:noWrap/>
            <w:vAlign w:val="bottom"/>
            <w:hideMark/>
          </w:tcPr>
          <w:p w14:paraId="16A1A4D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4.3</w:t>
            </w:r>
          </w:p>
        </w:tc>
        <w:tc>
          <w:tcPr>
            <w:tcW w:w="1026" w:type="dxa"/>
            <w:tcBorders>
              <w:top w:val="nil"/>
              <w:left w:val="nil"/>
              <w:bottom w:val="single" w:sz="4" w:space="0" w:color="auto"/>
              <w:right w:val="single" w:sz="4" w:space="0" w:color="auto"/>
            </w:tcBorders>
            <w:shd w:val="clear" w:color="auto" w:fill="auto"/>
            <w:noWrap/>
            <w:vAlign w:val="bottom"/>
            <w:hideMark/>
          </w:tcPr>
          <w:p w14:paraId="523D462F"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19.6</w:t>
            </w:r>
          </w:p>
        </w:tc>
        <w:tc>
          <w:tcPr>
            <w:tcW w:w="1026" w:type="dxa"/>
            <w:tcBorders>
              <w:top w:val="nil"/>
              <w:left w:val="nil"/>
              <w:bottom w:val="single" w:sz="4" w:space="0" w:color="auto"/>
              <w:right w:val="single" w:sz="4" w:space="0" w:color="auto"/>
            </w:tcBorders>
            <w:shd w:val="clear" w:color="auto" w:fill="auto"/>
            <w:noWrap/>
            <w:vAlign w:val="bottom"/>
            <w:hideMark/>
          </w:tcPr>
          <w:p w14:paraId="13BA6BDE"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26.1</w:t>
            </w:r>
          </w:p>
        </w:tc>
        <w:tc>
          <w:tcPr>
            <w:tcW w:w="1062" w:type="dxa"/>
            <w:tcBorders>
              <w:top w:val="nil"/>
              <w:left w:val="nil"/>
              <w:bottom w:val="single" w:sz="4" w:space="0" w:color="auto"/>
              <w:right w:val="single" w:sz="4" w:space="0" w:color="auto"/>
            </w:tcBorders>
            <w:shd w:val="clear" w:color="auto" w:fill="auto"/>
            <w:noWrap/>
            <w:vAlign w:val="bottom"/>
            <w:hideMark/>
          </w:tcPr>
          <w:p w14:paraId="71C8E19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28.3</w:t>
            </w:r>
          </w:p>
        </w:tc>
        <w:tc>
          <w:tcPr>
            <w:tcW w:w="1026" w:type="dxa"/>
            <w:tcBorders>
              <w:top w:val="nil"/>
              <w:left w:val="nil"/>
              <w:bottom w:val="single" w:sz="4" w:space="0" w:color="auto"/>
              <w:right w:val="single" w:sz="4" w:space="0" w:color="auto"/>
            </w:tcBorders>
            <w:shd w:val="clear" w:color="auto" w:fill="auto"/>
            <w:noWrap/>
            <w:vAlign w:val="bottom"/>
            <w:hideMark/>
          </w:tcPr>
          <w:p w14:paraId="4284263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21.7</w:t>
            </w:r>
          </w:p>
        </w:tc>
      </w:tr>
      <w:tr w:rsidR="00CD6352" w:rsidRPr="00416544" w14:paraId="659D8BC7"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44C0B5B"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Lack of fiscal and regulatory incentives</w:t>
            </w:r>
          </w:p>
        </w:tc>
        <w:tc>
          <w:tcPr>
            <w:tcW w:w="1026" w:type="dxa"/>
            <w:tcBorders>
              <w:top w:val="nil"/>
              <w:left w:val="nil"/>
              <w:bottom w:val="single" w:sz="4" w:space="0" w:color="auto"/>
              <w:right w:val="single" w:sz="4" w:space="0" w:color="auto"/>
            </w:tcBorders>
            <w:shd w:val="clear" w:color="auto" w:fill="auto"/>
            <w:noWrap/>
            <w:vAlign w:val="bottom"/>
            <w:hideMark/>
          </w:tcPr>
          <w:p w14:paraId="445C6B43"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6.5</w:t>
            </w:r>
          </w:p>
        </w:tc>
        <w:tc>
          <w:tcPr>
            <w:tcW w:w="1026" w:type="dxa"/>
            <w:tcBorders>
              <w:top w:val="nil"/>
              <w:left w:val="nil"/>
              <w:bottom w:val="single" w:sz="4" w:space="0" w:color="auto"/>
              <w:right w:val="single" w:sz="4" w:space="0" w:color="auto"/>
            </w:tcBorders>
            <w:shd w:val="clear" w:color="auto" w:fill="auto"/>
            <w:noWrap/>
            <w:vAlign w:val="bottom"/>
            <w:hideMark/>
          </w:tcPr>
          <w:p w14:paraId="288BD4F0"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13</w:t>
            </w:r>
          </w:p>
        </w:tc>
        <w:tc>
          <w:tcPr>
            <w:tcW w:w="1026" w:type="dxa"/>
            <w:tcBorders>
              <w:top w:val="nil"/>
              <w:left w:val="nil"/>
              <w:bottom w:val="single" w:sz="4" w:space="0" w:color="auto"/>
              <w:right w:val="single" w:sz="4" w:space="0" w:color="auto"/>
            </w:tcBorders>
            <w:shd w:val="clear" w:color="auto" w:fill="auto"/>
            <w:noWrap/>
            <w:vAlign w:val="bottom"/>
            <w:hideMark/>
          </w:tcPr>
          <w:p w14:paraId="1774CEBC"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34.8</w:t>
            </w:r>
          </w:p>
        </w:tc>
        <w:tc>
          <w:tcPr>
            <w:tcW w:w="1062" w:type="dxa"/>
            <w:tcBorders>
              <w:top w:val="nil"/>
              <w:left w:val="nil"/>
              <w:bottom w:val="single" w:sz="4" w:space="0" w:color="auto"/>
              <w:right w:val="single" w:sz="4" w:space="0" w:color="auto"/>
            </w:tcBorders>
            <w:shd w:val="clear" w:color="auto" w:fill="auto"/>
            <w:noWrap/>
            <w:vAlign w:val="bottom"/>
            <w:hideMark/>
          </w:tcPr>
          <w:p w14:paraId="772BCA13"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30.4</w:t>
            </w:r>
          </w:p>
        </w:tc>
        <w:tc>
          <w:tcPr>
            <w:tcW w:w="1026" w:type="dxa"/>
            <w:tcBorders>
              <w:top w:val="nil"/>
              <w:left w:val="nil"/>
              <w:bottom w:val="single" w:sz="4" w:space="0" w:color="auto"/>
              <w:right w:val="single" w:sz="4" w:space="0" w:color="auto"/>
            </w:tcBorders>
            <w:shd w:val="clear" w:color="auto" w:fill="auto"/>
            <w:noWrap/>
            <w:vAlign w:val="bottom"/>
            <w:hideMark/>
          </w:tcPr>
          <w:p w14:paraId="65F43B8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15.2</w:t>
            </w:r>
          </w:p>
        </w:tc>
      </w:tr>
      <w:tr w:rsidR="00CD6352" w:rsidRPr="00416544" w14:paraId="4D22C830"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8083F49"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 xml:space="preserve">Terrorism </w:t>
            </w:r>
          </w:p>
        </w:tc>
        <w:tc>
          <w:tcPr>
            <w:tcW w:w="1026" w:type="dxa"/>
            <w:tcBorders>
              <w:top w:val="nil"/>
              <w:left w:val="nil"/>
              <w:bottom w:val="single" w:sz="4" w:space="0" w:color="auto"/>
              <w:right w:val="single" w:sz="4" w:space="0" w:color="auto"/>
            </w:tcBorders>
            <w:shd w:val="clear" w:color="auto" w:fill="auto"/>
            <w:noWrap/>
            <w:vAlign w:val="bottom"/>
            <w:hideMark/>
          </w:tcPr>
          <w:p w14:paraId="1F70C63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32.6</w:t>
            </w:r>
          </w:p>
        </w:tc>
        <w:tc>
          <w:tcPr>
            <w:tcW w:w="1026" w:type="dxa"/>
            <w:tcBorders>
              <w:top w:val="nil"/>
              <w:left w:val="nil"/>
              <w:bottom w:val="single" w:sz="4" w:space="0" w:color="auto"/>
              <w:right w:val="single" w:sz="4" w:space="0" w:color="auto"/>
            </w:tcBorders>
            <w:shd w:val="clear" w:color="auto" w:fill="auto"/>
            <w:noWrap/>
            <w:vAlign w:val="bottom"/>
            <w:hideMark/>
          </w:tcPr>
          <w:p w14:paraId="4471C92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15.2</w:t>
            </w:r>
          </w:p>
        </w:tc>
        <w:tc>
          <w:tcPr>
            <w:tcW w:w="1026" w:type="dxa"/>
            <w:tcBorders>
              <w:top w:val="nil"/>
              <w:left w:val="nil"/>
              <w:bottom w:val="single" w:sz="4" w:space="0" w:color="auto"/>
              <w:right w:val="single" w:sz="4" w:space="0" w:color="auto"/>
            </w:tcBorders>
            <w:shd w:val="clear" w:color="auto" w:fill="auto"/>
            <w:noWrap/>
            <w:vAlign w:val="bottom"/>
            <w:hideMark/>
          </w:tcPr>
          <w:p w14:paraId="5C3EE9CF"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23.9</w:t>
            </w:r>
          </w:p>
        </w:tc>
        <w:tc>
          <w:tcPr>
            <w:tcW w:w="1062" w:type="dxa"/>
            <w:tcBorders>
              <w:top w:val="nil"/>
              <w:left w:val="nil"/>
              <w:bottom w:val="single" w:sz="4" w:space="0" w:color="auto"/>
              <w:right w:val="single" w:sz="4" w:space="0" w:color="auto"/>
            </w:tcBorders>
            <w:shd w:val="clear" w:color="auto" w:fill="auto"/>
            <w:noWrap/>
            <w:vAlign w:val="bottom"/>
            <w:hideMark/>
          </w:tcPr>
          <w:p w14:paraId="749C81B6"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13</w:t>
            </w:r>
          </w:p>
        </w:tc>
        <w:tc>
          <w:tcPr>
            <w:tcW w:w="1026" w:type="dxa"/>
            <w:tcBorders>
              <w:top w:val="nil"/>
              <w:left w:val="nil"/>
              <w:bottom w:val="single" w:sz="4" w:space="0" w:color="auto"/>
              <w:right w:val="single" w:sz="4" w:space="0" w:color="auto"/>
            </w:tcBorders>
            <w:shd w:val="clear" w:color="auto" w:fill="auto"/>
            <w:noWrap/>
            <w:vAlign w:val="bottom"/>
            <w:hideMark/>
          </w:tcPr>
          <w:p w14:paraId="3329295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15.2</w:t>
            </w:r>
          </w:p>
        </w:tc>
      </w:tr>
      <w:tr w:rsidR="00CD6352" w:rsidRPr="00416544" w14:paraId="6E50A7BE"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A66C961"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Regulatory quality</w:t>
            </w:r>
          </w:p>
        </w:tc>
        <w:tc>
          <w:tcPr>
            <w:tcW w:w="1026" w:type="dxa"/>
            <w:tcBorders>
              <w:top w:val="nil"/>
              <w:left w:val="nil"/>
              <w:bottom w:val="single" w:sz="4" w:space="0" w:color="auto"/>
              <w:right w:val="single" w:sz="4" w:space="0" w:color="auto"/>
            </w:tcBorders>
            <w:shd w:val="clear" w:color="auto" w:fill="auto"/>
            <w:noWrap/>
            <w:vAlign w:val="bottom"/>
            <w:hideMark/>
          </w:tcPr>
          <w:p w14:paraId="64487650"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8.5</w:t>
            </w:r>
          </w:p>
        </w:tc>
        <w:tc>
          <w:tcPr>
            <w:tcW w:w="1026" w:type="dxa"/>
            <w:tcBorders>
              <w:top w:val="nil"/>
              <w:left w:val="nil"/>
              <w:bottom w:val="single" w:sz="4" w:space="0" w:color="auto"/>
              <w:right w:val="single" w:sz="4" w:space="0" w:color="auto"/>
            </w:tcBorders>
            <w:shd w:val="clear" w:color="auto" w:fill="auto"/>
            <w:noWrap/>
            <w:vAlign w:val="bottom"/>
            <w:hideMark/>
          </w:tcPr>
          <w:p w14:paraId="4AEFC05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w:t>
            </w:r>
          </w:p>
        </w:tc>
        <w:tc>
          <w:tcPr>
            <w:tcW w:w="1026" w:type="dxa"/>
            <w:tcBorders>
              <w:top w:val="nil"/>
              <w:left w:val="nil"/>
              <w:bottom w:val="single" w:sz="4" w:space="0" w:color="auto"/>
              <w:right w:val="single" w:sz="4" w:space="0" w:color="auto"/>
            </w:tcBorders>
            <w:shd w:val="clear" w:color="auto" w:fill="auto"/>
            <w:noWrap/>
            <w:vAlign w:val="bottom"/>
            <w:hideMark/>
          </w:tcPr>
          <w:p w14:paraId="6AB39FCD"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14.9</w:t>
            </w:r>
          </w:p>
        </w:tc>
        <w:tc>
          <w:tcPr>
            <w:tcW w:w="1062" w:type="dxa"/>
            <w:tcBorders>
              <w:top w:val="nil"/>
              <w:left w:val="nil"/>
              <w:bottom w:val="single" w:sz="4" w:space="0" w:color="auto"/>
              <w:right w:val="single" w:sz="4" w:space="0" w:color="auto"/>
            </w:tcBorders>
            <w:shd w:val="clear" w:color="auto" w:fill="auto"/>
            <w:noWrap/>
            <w:vAlign w:val="bottom"/>
            <w:hideMark/>
          </w:tcPr>
          <w:p w14:paraId="08066A8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29.8</w:t>
            </w:r>
          </w:p>
        </w:tc>
        <w:tc>
          <w:tcPr>
            <w:tcW w:w="1026" w:type="dxa"/>
            <w:tcBorders>
              <w:top w:val="nil"/>
              <w:left w:val="nil"/>
              <w:bottom w:val="single" w:sz="4" w:space="0" w:color="auto"/>
              <w:right w:val="single" w:sz="4" w:space="0" w:color="auto"/>
            </w:tcBorders>
            <w:shd w:val="clear" w:color="auto" w:fill="auto"/>
            <w:noWrap/>
            <w:vAlign w:val="bottom"/>
            <w:hideMark/>
          </w:tcPr>
          <w:p w14:paraId="79312B2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12.8</w:t>
            </w:r>
          </w:p>
        </w:tc>
      </w:tr>
      <w:tr w:rsidR="00CD6352" w:rsidRPr="00416544" w14:paraId="3EAECA43" w14:textId="77777777" w:rsidTr="00416544">
        <w:trPr>
          <w:trHeight w:val="465"/>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27400F8C"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Lack of skills and professionalism in project development</w:t>
            </w:r>
          </w:p>
        </w:tc>
        <w:tc>
          <w:tcPr>
            <w:tcW w:w="1026" w:type="dxa"/>
            <w:tcBorders>
              <w:top w:val="nil"/>
              <w:left w:val="nil"/>
              <w:bottom w:val="single" w:sz="4" w:space="0" w:color="auto"/>
              <w:right w:val="single" w:sz="4" w:space="0" w:color="auto"/>
            </w:tcBorders>
            <w:shd w:val="clear" w:color="auto" w:fill="auto"/>
            <w:noWrap/>
            <w:vAlign w:val="bottom"/>
            <w:hideMark/>
          </w:tcPr>
          <w:p w14:paraId="5FA13A8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12.8</w:t>
            </w:r>
          </w:p>
        </w:tc>
        <w:tc>
          <w:tcPr>
            <w:tcW w:w="1026" w:type="dxa"/>
            <w:tcBorders>
              <w:top w:val="nil"/>
              <w:left w:val="nil"/>
              <w:bottom w:val="single" w:sz="4" w:space="0" w:color="auto"/>
              <w:right w:val="single" w:sz="4" w:space="0" w:color="auto"/>
            </w:tcBorders>
            <w:shd w:val="clear" w:color="auto" w:fill="auto"/>
            <w:noWrap/>
            <w:vAlign w:val="bottom"/>
            <w:hideMark/>
          </w:tcPr>
          <w:p w14:paraId="474E8676"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23.4</w:t>
            </w:r>
          </w:p>
        </w:tc>
        <w:tc>
          <w:tcPr>
            <w:tcW w:w="1026" w:type="dxa"/>
            <w:tcBorders>
              <w:top w:val="nil"/>
              <w:left w:val="nil"/>
              <w:bottom w:val="single" w:sz="4" w:space="0" w:color="auto"/>
              <w:right w:val="single" w:sz="4" w:space="0" w:color="auto"/>
            </w:tcBorders>
            <w:shd w:val="clear" w:color="auto" w:fill="auto"/>
            <w:noWrap/>
            <w:vAlign w:val="bottom"/>
            <w:hideMark/>
          </w:tcPr>
          <w:p w14:paraId="2A8932A9"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31.9</w:t>
            </w:r>
          </w:p>
        </w:tc>
        <w:tc>
          <w:tcPr>
            <w:tcW w:w="1062" w:type="dxa"/>
            <w:tcBorders>
              <w:top w:val="nil"/>
              <w:left w:val="nil"/>
              <w:bottom w:val="single" w:sz="4" w:space="0" w:color="auto"/>
              <w:right w:val="single" w:sz="4" w:space="0" w:color="auto"/>
            </w:tcBorders>
            <w:shd w:val="clear" w:color="auto" w:fill="auto"/>
            <w:noWrap/>
            <w:vAlign w:val="bottom"/>
            <w:hideMark/>
          </w:tcPr>
          <w:p w14:paraId="6C695668"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23.4</w:t>
            </w:r>
          </w:p>
        </w:tc>
        <w:tc>
          <w:tcPr>
            <w:tcW w:w="1026" w:type="dxa"/>
            <w:tcBorders>
              <w:top w:val="nil"/>
              <w:left w:val="nil"/>
              <w:bottom w:val="single" w:sz="4" w:space="0" w:color="auto"/>
              <w:right w:val="single" w:sz="4" w:space="0" w:color="auto"/>
            </w:tcBorders>
            <w:shd w:val="clear" w:color="auto" w:fill="auto"/>
            <w:noWrap/>
            <w:vAlign w:val="bottom"/>
            <w:hideMark/>
          </w:tcPr>
          <w:p w14:paraId="2024CBE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8.5</w:t>
            </w:r>
          </w:p>
        </w:tc>
      </w:tr>
      <w:tr w:rsidR="00CD6352" w:rsidRPr="00416544" w14:paraId="728B70AA"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2923D69"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Low demand for real estates and properties</w:t>
            </w:r>
          </w:p>
        </w:tc>
        <w:tc>
          <w:tcPr>
            <w:tcW w:w="1026" w:type="dxa"/>
            <w:tcBorders>
              <w:top w:val="nil"/>
              <w:left w:val="nil"/>
              <w:bottom w:val="single" w:sz="4" w:space="0" w:color="auto"/>
              <w:right w:val="single" w:sz="4" w:space="0" w:color="auto"/>
            </w:tcBorders>
            <w:shd w:val="clear" w:color="auto" w:fill="auto"/>
            <w:noWrap/>
            <w:vAlign w:val="bottom"/>
            <w:hideMark/>
          </w:tcPr>
          <w:p w14:paraId="4F4AD383"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21.7</w:t>
            </w:r>
          </w:p>
        </w:tc>
        <w:tc>
          <w:tcPr>
            <w:tcW w:w="1026" w:type="dxa"/>
            <w:tcBorders>
              <w:top w:val="nil"/>
              <w:left w:val="nil"/>
              <w:bottom w:val="single" w:sz="4" w:space="0" w:color="auto"/>
              <w:right w:val="single" w:sz="4" w:space="0" w:color="auto"/>
            </w:tcBorders>
            <w:shd w:val="clear" w:color="auto" w:fill="auto"/>
            <w:noWrap/>
            <w:vAlign w:val="bottom"/>
            <w:hideMark/>
          </w:tcPr>
          <w:p w14:paraId="04A137C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21.7</w:t>
            </w:r>
          </w:p>
        </w:tc>
        <w:tc>
          <w:tcPr>
            <w:tcW w:w="1026" w:type="dxa"/>
            <w:tcBorders>
              <w:top w:val="nil"/>
              <w:left w:val="nil"/>
              <w:bottom w:val="single" w:sz="4" w:space="0" w:color="auto"/>
              <w:right w:val="single" w:sz="4" w:space="0" w:color="auto"/>
            </w:tcBorders>
            <w:shd w:val="clear" w:color="auto" w:fill="auto"/>
            <w:noWrap/>
            <w:vAlign w:val="bottom"/>
            <w:hideMark/>
          </w:tcPr>
          <w:p w14:paraId="37E5E2C7"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30.4</w:t>
            </w:r>
          </w:p>
        </w:tc>
        <w:tc>
          <w:tcPr>
            <w:tcW w:w="1062" w:type="dxa"/>
            <w:tcBorders>
              <w:top w:val="nil"/>
              <w:left w:val="nil"/>
              <w:bottom w:val="single" w:sz="4" w:space="0" w:color="auto"/>
              <w:right w:val="single" w:sz="4" w:space="0" w:color="auto"/>
            </w:tcBorders>
            <w:shd w:val="clear" w:color="auto" w:fill="auto"/>
            <w:noWrap/>
            <w:vAlign w:val="bottom"/>
            <w:hideMark/>
          </w:tcPr>
          <w:p w14:paraId="0939AE1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19.6</w:t>
            </w:r>
          </w:p>
        </w:tc>
        <w:tc>
          <w:tcPr>
            <w:tcW w:w="1026" w:type="dxa"/>
            <w:tcBorders>
              <w:top w:val="nil"/>
              <w:left w:val="nil"/>
              <w:bottom w:val="single" w:sz="4" w:space="0" w:color="auto"/>
              <w:right w:val="single" w:sz="4" w:space="0" w:color="auto"/>
            </w:tcBorders>
            <w:shd w:val="clear" w:color="auto" w:fill="auto"/>
            <w:noWrap/>
            <w:vAlign w:val="bottom"/>
            <w:hideMark/>
          </w:tcPr>
          <w:p w14:paraId="04D8218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6.5</w:t>
            </w:r>
          </w:p>
        </w:tc>
      </w:tr>
      <w:tr w:rsidR="00CD6352" w:rsidRPr="00416544" w14:paraId="7DB92193"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A6E192D"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Real estate market transparency</w:t>
            </w:r>
          </w:p>
        </w:tc>
        <w:tc>
          <w:tcPr>
            <w:tcW w:w="1026" w:type="dxa"/>
            <w:tcBorders>
              <w:top w:val="nil"/>
              <w:left w:val="nil"/>
              <w:bottom w:val="single" w:sz="4" w:space="0" w:color="auto"/>
              <w:right w:val="single" w:sz="4" w:space="0" w:color="auto"/>
            </w:tcBorders>
            <w:shd w:val="clear" w:color="auto" w:fill="auto"/>
            <w:noWrap/>
            <w:vAlign w:val="bottom"/>
            <w:hideMark/>
          </w:tcPr>
          <w:p w14:paraId="1CC8B116"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13</w:t>
            </w:r>
          </w:p>
        </w:tc>
        <w:tc>
          <w:tcPr>
            <w:tcW w:w="1026" w:type="dxa"/>
            <w:tcBorders>
              <w:top w:val="nil"/>
              <w:left w:val="nil"/>
              <w:bottom w:val="single" w:sz="4" w:space="0" w:color="auto"/>
              <w:right w:val="single" w:sz="4" w:space="0" w:color="auto"/>
            </w:tcBorders>
            <w:shd w:val="clear" w:color="auto" w:fill="auto"/>
            <w:noWrap/>
            <w:vAlign w:val="bottom"/>
            <w:hideMark/>
          </w:tcPr>
          <w:p w14:paraId="5A3E556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28.3</w:t>
            </w:r>
          </w:p>
        </w:tc>
        <w:tc>
          <w:tcPr>
            <w:tcW w:w="1026" w:type="dxa"/>
            <w:tcBorders>
              <w:top w:val="nil"/>
              <w:left w:val="nil"/>
              <w:bottom w:val="single" w:sz="4" w:space="0" w:color="auto"/>
              <w:right w:val="single" w:sz="4" w:space="0" w:color="auto"/>
            </w:tcBorders>
            <w:shd w:val="clear" w:color="auto" w:fill="auto"/>
            <w:noWrap/>
            <w:vAlign w:val="bottom"/>
            <w:hideMark/>
          </w:tcPr>
          <w:p w14:paraId="245E79E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34.8</w:t>
            </w:r>
          </w:p>
        </w:tc>
        <w:tc>
          <w:tcPr>
            <w:tcW w:w="1062" w:type="dxa"/>
            <w:tcBorders>
              <w:top w:val="nil"/>
              <w:left w:val="nil"/>
              <w:bottom w:val="single" w:sz="4" w:space="0" w:color="auto"/>
              <w:right w:val="single" w:sz="4" w:space="0" w:color="auto"/>
            </w:tcBorders>
            <w:shd w:val="clear" w:color="auto" w:fill="auto"/>
            <w:noWrap/>
            <w:vAlign w:val="bottom"/>
            <w:hideMark/>
          </w:tcPr>
          <w:p w14:paraId="57766815"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17.4</w:t>
            </w:r>
          </w:p>
        </w:tc>
        <w:tc>
          <w:tcPr>
            <w:tcW w:w="1026" w:type="dxa"/>
            <w:tcBorders>
              <w:top w:val="nil"/>
              <w:left w:val="nil"/>
              <w:bottom w:val="single" w:sz="4" w:space="0" w:color="auto"/>
              <w:right w:val="single" w:sz="4" w:space="0" w:color="auto"/>
            </w:tcBorders>
            <w:shd w:val="clear" w:color="auto" w:fill="auto"/>
            <w:noWrap/>
            <w:vAlign w:val="bottom"/>
            <w:hideMark/>
          </w:tcPr>
          <w:p w14:paraId="7483C21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6.5</w:t>
            </w:r>
          </w:p>
        </w:tc>
      </w:tr>
      <w:tr w:rsidR="00CD6352" w:rsidRPr="00416544" w14:paraId="2A5F98AB" w14:textId="77777777" w:rsidTr="00416544">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249FA1D" w14:textId="77777777" w:rsidR="00CD6352" w:rsidRPr="00416544" w:rsidRDefault="00CD6352" w:rsidP="00CD6352">
            <w:pPr>
              <w:spacing w:after="0" w:line="240" w:lineRule="auto"/>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 xml:space="preserve">Population shrinking and aging </w:t>
            </w:r>
          </w:p>
        </w:tc>
        <w:tc>
          <w:tcPr>
            <w:tcW w:w="1026" w:type="dxa"/>
            <w:tcBorders>
              <w:top w:val="nil"/>
              <w:left w:val="nil"/>
              <w:bottom w:val="single" w:sz="4" w:space="0" w:color="auto"/>
              <w:right w:val="single" w:sz="4" w:space="0" w:color="auto"/>
            </w:tcBorders>
            <w:shd w:val="clear" w:color="auto" w:fill="auto"/>
            <w:noWrap/>
            <w:vAlign w:val="bottom"/>
            <w:hideMark/>
          </w:tcPr>
          <w:p w14:paraId="2B0D122A"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41.3</w:t>
            </w:r>
          </w:p>
        </w:tc>
        <w:tc>
          <w:tcPr>
            <w:tcW w:w="1026" w:type="dxa"/>
            <w:tcBorders>
              <w:top w:val="nil"/>
              <w:left w:val="nil"/>
              <w:bottom w:val="single" w:sz="4" w:space="0" w:color="auto"/>
              <w:right w:val="single" w:sz="4" w:space="0" w:color="auto"/>
            </w:tcBorders>
            <w:shd w:val="clear" w:color="auto" w:fill="auto"/>
            <w:noWrap/>
            <w:vAlign w:val="bottom"/>
            <w:hideMark/>
          </w:tcPr>
          <w:p w14:paraId="2F7E90C1"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23.9</w:t>
            </w:r>
          </w:p>
        </w:tc>
        <w:tc>
          <w:tcPr>
            <w:tcW w:w="1026" w:type="dxa"/>
            <w:tcBorders>
              <w:top w:val="nil"/>
              <w:left w:val="nil"/>
              <w:bottom w:val="single" w:sz="4" w:space="0" w:color="auto"/>
              <w:right w:val="single" w:sz="4" w:space="0" w:color="auto"/>
            </w:tcBorders>
            <w:shd w:val="clear" w:color="auto" w:fill="auto"/>
            <w:noWrap/>
            <w:vAlign w:val="bottom"/>
            <w:hideMark/>
          </w:tcPr>
          <w:p w14:paraId="2583F822"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15.2</w:t>
            </w:r>
          </w:p>
        </w:tc>
        <w:tc>
          <w:tcPr>
            <w:tcW w:w="1062" w:type="dxa"/>
            <w:tcBorders>
              <w:top w:val="nil"/>
              <w:left w:val="nil"/>
              <w:bottom w:val="single" w:sz="4" w:space="0" w:color="auto"/>
              <w:right w:val="single" w:sz="4" w:space="0" w:color="auto"/>
            </w:tcBorders>
            <w:shd w:val="clear" w:color="auto" w:fill="auto"/>
            <w:noWrap/>
            <w:vAlign w:val="bottom"/>
            <w:hideMark/>
          </w:tcPr>
          <w:p w14:paraId="52D2F6C9"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15.2</w:t>
            </w:r>
          </w:p>
        </w:tc>
        <w:tc>
          <w:tcPr>
            <w:tcW w:w="1026" w:type="dxa"/>
            <w:tcBorders>
              <w:top w:val="nil"/>
              <w:left w:val="nil"/>
              <w:bottom w:val="single" w:sz="4" w:space="0" w:color="auto"/>
              <w:right w:val="single" w:sz="4" w:space="0" w:color="auto"/>
            </w:tcBorders>
            <w:shd w:val="clear" w:color="auto" w:fill="auto"/>
            <w:noWrap/>
            <w:vAlign w:val="bottom"/>
            <w:hideMark/>
          </w:tcPr>
          <w:p w14:paraId="02524CF9" w14:textId="77777777" w:rsidR="00CD6352" w:rsidRPr="00416544" w:rsidRDefault="00CD6352" w:rsidP="00CD6352">
            <w:pPr>
              <w:spacing w:after="0" w:line="240" w:lineRule="auto"/>
              <w:jc w:val="right"/>
              <w:rPr>
                <w:rFonts w:ascii="Arial" w:eastAsia="Times New Roman" w:hAnsi="Arial" w:cs="Arial"/>
                <w:color w:val="000000"/>
                <w:sz w:val="16"/>
                <w:szCs w:val="16"/>
                <w:lang w:eastAsia="en-GB"/>
              </w:rPr>
            </w:pPr>
            <w:r w:rsidRPr="00416544">
              <w:rPr>
                <w:rFonts w:ascii="Arial" w:eastAsia="Times New Roman" w:hAnsi="Arial" w:cs="Arial"/>
                <w:color w:val="000000"/>
                <w:sz w:val="16"/>
                <w:szCs w:val="16"/>
                <w:lang w:eastAsia="en-GB"/>
              </w:rPr>
              <w:t>4.3</w:t>
            </w:r>
          </w:p>
        </w:tc>
      </w:tr>
    </w:tbl>
    <w:p w14:paraId="3070920B" w14:textId="77777777" w:rsidR="00CD6352" w:rsidRPr="00416544" w:rsidRDefault="00CD6352" w:rsidP="00CD6352">
      <w:pPr>
        <w:spacing w:line="360" w:lineRule="auto"/>
        <w:jc w:val="both"/>
        <w:rPr>
          <w:rFonts w:ascii="Arial" w:hAnsi="Arial" w:cs="Arial"/>
          <w:sz w:val="16"/>
          <w:szCs w:val="16"/>
        </w:rPr>
      </w:pPr>
      <w:r w:rsidRPr="00416544">
        <w:rPr>
          <w:rFonts w:ascii="Arial" w:hAnsi="Arial" w:cs="Arial"/>
          <w:sz w:val="16"/>
          <w:szCs w:val="16"/>
        </w:rPr>
        <w:t>Author’s compilation from SPSS analysis (2019)</w:t>
      </w:r>
    </w:p>
    <w:p w14:paraId="41555F43" w14:textId="77777777" w:rsidR="009A30D7" w:rsidRDefault="009A30D7" w:rsidP="009A30D7">
      <w:pPr>
        <w:spacing w:line="360" w:lineRule="auto"/>
        <w:jc w:val="both"/>
        <w:rPr>
          <w:rFonts w:ascii="Arial" w:hAnsi="Arial" w:cs="Arial"/>
        </w:rPr>
      </w:pPr>
    </w:p>
    <w:p w14:paraId="430B7296" w14:textId="0E6B5CC3" w:rsidR="009A30D7" w:rsidRPr="00EA7665" w:rsidRDefault="009A30D7" w:rsidP="009A30D7">
      <w:pPr>
        <w:spacing w:line="360" w:lineRule="auto"/>
        <w:jc w:val="both"/>
        <w:rPr>
          <w:rFonts w:ascii="Arial" w:hAnsi="Arial" w:cs="Arial"/>
        </w:rPr>
      </w:pPr>
      <w:r w:rsidRPr="00EA7665">
        <w:rPr>
          <w:rFonts w:ascii="Arial" w:hAnsi="Arial" w:cs="Arial"/>
        </w:rPr>
        <w:t xml:space="preserve">The overall mean score is also used to determine the extent of challenges associated with securing </w:t>
      </w:r>
      <w:r w:rsidR="00ED152E">
        <w:rPr>
          <w:rFonts w:ascii="Arial" w:hAnsi="Arial" w:cs="Arial"/>
        </w:rPr>
        <w:t>real estate project development finance</w:t>
      </w:r>
      <w:r w:rsidRPr="00EA7665">
        <w:rPr>
          <w:rFonts w:ascii="Arial" w:hAnsi="Arial" w:cs="Arial"/>
        </w:rPr>
        <w:t xml:space="preserve"> at the aggregate level</w:t>
      </w:r>
      <w:r>
        <w:rPr>
          <w:rFonts w:ascii="Arial" w:hAnsi="Arial" w:cs="Arial"/>
        </w:rPr>
        <w:t>.</w:t>
      </w:r>
      <w:r w:rsidRPr="00EA7665">
        <w:rPr>
          <w:rFonts w:ascii="Arial" w:hAnsi="Arial" w:cs="Arial"/>
        </w:rPr>
        <w:t xml:space="preserve"> An inspection of table </w:t>
      </w:r>
      <w:r w:rsidR="00416544">
        <w:rPr>
          <w:rFonts w:ascii="Arial" w:hAnsi="Arial" w:cs="Arial"/>
        </w:rPr>
        <w:t>6.3.2.</w:t>
      </w:r>
      <w:r w:rsidRPr="00EA7665">
        <w:rPr>
          <w:rFonts w:ascii="Arial" w:hAnsi="Arial" w:cs="Arial"/>
        </w:rPr>
        <w:t xml:space="preserve"> shows that the overall mean score rang</w:t>
      </w:r>
      <w:r>
        <w:rPr>
          <w:rFonts w:ascii="Arial" w:hAnsi="Arial" w:cs="Arial"/>
        </w:rPr>
        <w:t>es</w:t>
      </w:r>
      <w:r w:rsidRPr="00EA7665">
        <w:rPr>
          <w:rFonts w:ascii="Arial" w:hAnsi="Arial" w:cs="Arial"/>
        </w:rPr>
        <w:t xml:space="preserve"> from 2.13 to 3.83</w:t>
      </w:r>
      <w:r w:rsidR="00ED152E">
        <w:rPr>
          <w:rFonts w:ascii="Arial" w:hAnsi="Arial" w:cs="Arial"/>
        </w:rPr>
        <w:t>,</w:t>
      </w:r>
      <w:r w:rsidRPr="00EA7665">
        <w:rPr>
          <w:rFonts w:ascii="Arial" w:hAnsi="Arial" w:cs="Arial"/>
        </w:rPr>
        <w:t xml:space="preserve"> and this means that all the nineteen factors are significant and fall into the category of “challenging”</w:t>
      </w:r>
      <w:r w:rsidR="00645B9C">
        <w:rPr>
          <w:rFonts w:ascii="Arial" w:hAnsi="Arial" w:cs="Arial"/>
        </w:rPr>
        <w:t xml:space="preserve"> with </w:t>
      </w:r>
      <w:r w:rsidR="00416544">
        <w:rPr>
          <w:rFonts w:ascii="Arial" w:hAnsi="Arial" w:cs="Arial"/>
        </w:rPr>
        <w:t xml:space="preserve">the </w:t>
      </w:r>
      <w:r w:rsidR="00645B9C">
        <w:rPr>
          <w:rFonts w:ascii="Arial" w:hAnsi="Arial" w:cs="Arial"/>
        </w:rPr>
        <w:t xml:space="preserve">government’s ineffective policies ranking first, followed by excessive collateral requirement, difficult lending </w:t>
      </w:r>
      <w:r w:rsidR="006F7AB4">
        <w:rPr>
          <w:rFonts w:ascii="Arial" w:hAnsi="Arial" w:cs="Arial"/>
        </w:rPr>
        <w:t>criteria</w:t>
      </w:r>
      <w:r w:rsidR="00645B9C">
        <w:rPr>
          <w:rFonts w:ascii="Arial" w:hAnsi="Arial" w:cs="Arial"/>
        </w:rPr>
        <w:t xml:space="preserve"> by financiers and lack of long term financing </w:t>
      </w:r>
      <w:r w:rsidR="00ED152E">
        <w:rPr>
          <w:rFonts w:ascii="Arial" w:hAnsi="Arial" w:cs="Arial"/>
        </w:rPr>
        <w:t>as depicted in table 6.3.2.</w:t>
      </w:r>
    </w:p>
    <w:p w14:paraId="291E8497" w14:textId="77777777" w:rsidR="009A30D7" w:rsidRDefault="009A30D7" w:rsidP="00CD6352">
      <w:pPr>
        <w:pStyle w:val="Caption"/>
        <w:keepNext/>
        <w:rPr>
          <w:rFonts w:ascii="Arial" w:hAnsi="Arial" w:cs="Arial"/>
          <w:sz w:val="16"/>
          <w:szCs w:val="16"/>
        </w:rPr>
      </w:pPr>
    </w:p>
    <w:p w14:paraId="07DB30FA" w14:textId="77777777" w:rsidR="009A30D7" w:rsidRDefault="009A30D7" w:rsidP="00CD6352">
      <w:pPr>
        <w:pStyle w:val="Caption"/>
        <w:keepNext/>
        <w:rPr>
          <w:rFonts w:ascii="Arial" w:hAnsi="Arial" w:cs="Arial"/>
          <w:sz w:val="16"/>
          <w:szCs w:val="16"/>
        </w:rPr>
      </w:pPr>
    </w:p>
    <w:p w14:paraId="3D359A59" w14:textId="77777777" w:rsidR="009A30D7" w:rsidRDefault="009A30D7" w:rsidP="00CD6352">
      <w:pPr>
        <w:pStyle w:val="Caption"/>
        <w:keepNext/>
        <w:rPr>
          <w:rFonts w:ascii="Arial" w:hAnsi="Arial" w:cs="Arial"/>
          <w:sz w:val="16"/>
          <w:szCs w:val="16"/>
        </w:rPr>
      </w:pPr>
    </w:p>
    <w:p w14:paraId="71A923F0" w14:textId="4F930C8B" w:rsidR="00416544" w:rsidRPr="009D0FB3" w:rsidRDefault="00416544" w:rsidP="00416544">
      <w:pPr>
        <w:pStyle w:val="Caption"/>
        <w:keepNext/>
        <w:rPr>
          <w:rFonts w:ascii="Arial" w:hAnsi="Arial" w:cs="Arial"/>
          <w:i w:val="0"/>
          <w:iCs w:val="0"/>
          <w:sz w:val="16"/>
          <w:szCs w:val="16"/>
        </w:rPr>
      </w:pPr>
      <w:bookmarkStart w:id="1181" w:name="_Toc78983984"/>
      <w:r w:rsidRPr="009D0FB3">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9D0FB3">
        <w:rPr>
          <w:rFonts w:ascii="Arial" w:hAnsi="Arial" w:cs="Arial"/>
          <w:sz w:val="16"/>
          <w:szCs w:val="16"/>
        </w:rPr>
        <w:t>:</w:t>
      </w:r>
      <w:r w:rsidRPr="009D0FB3">
        <w:rPr>
          <w:rFonts w:ascii="Arial" w:hAnsi="Arial" w:cs="Arial"/>
          <w:i w:val="0"/>
          <w:iCs w:val="0"/>
          <w:sz w:val="16"/>
          <w:szCs w:val="16"/>
        </w:rPr>
        <w:t xml:space="preserve"> mean score of challenges associated with securing finance for real estate project development at the aggregate level</w:t>
      </w:r>
      <w:bookmarkEnd w:id="1181"/>
    </w:p>
    <w:tbl>
      <w:tblPr>
        <w:tblStyle w:val="TableGrid"/>
        <w:tblW w:w="0" w:type="auto"/>
        <w:tblLook w:val="04A0" w:firstRow="1" w:lastRow="0" w:firstColumn="1" w:lastColumn="0" w:noHBand="0" w:noVBand="1"/>
      </w:tblPr>
      <w:tblGrid>
        <w:gridCol w:w="5020"/>
        <w:gridCol w:w="1440"/>
        <w:gridCol w:w="1080"/>
      </w:tblGrid>
      <w:tr w:rsidR="00CD6352" w:rsidRPr="009D0FB3" w14:paraId="5C4C4DE2" w14:textId="77777777" w:rsidTr="00FC2689">
        <w:trPr>
          <w:trHeight w:val="465"/>
        </w:trPr>
        <w:tc>
          <w:tcPr>
            <w:tcW w:w="5020" w:type="dxa"/>
            <w:shd w:val="clear" w:color="auto" w:fill="auto"/>
            <w:noWrap/>
            <w:hideMark/>
          </w:tcPr>
          <w:p w14:paraId="288327E6" w14:textId="77777777" w:rsidR="00CD6352" w:rsidRPr="009D0FB3" w:rsidRDefault="00CD6352" w:rsidP="00CD6352">
            <w:pPr>
              <w:rPr>
                <w:rFonts w:ascii="Arial" w:hAnsi="Arial" w:cs="Arial"/>
                <w:b/>
                <w:bCs/>
                <w:sz w:val="16"/>
                <w:szCs w:val="16"/>
              </w:rPr>
            </w:pPr>
            <w:r w:rsidRPr="009D0FB3">
              <w:rPr>
                <w:rFonts w:ascii="Arial" w:hAnsi="Arial" w:cs="Arial"/>
                <w:b/>
                <w:bCs/>
                <w:sz w:val="16"/>
                <w:szCs w:val="16"/>
              </w:rPr>
              <w:t>Challenges in securing finance for real estate project development</w:t>
            </w:r>
          </w:p>
        </w:tc>
        <w:tc>
          <w:tcPr>
            <w:tcW w:w="1440" w:type="dxa"/>
            <w:shd w:val="clear" w:color="auto" w:fill="auto"/>
            <w:hideMark/>
          </w:tcPr>
          <w:p w14:paraId="4A9E6B76" w14:textId="77777777" w:rsidR="00CD6352" w:rsidRPr="009D0FB3" w:rsidRDefault="00CD6352" w:rsidP="00CD6352">
            <w:pPr>
              <w:rPr>
                <w:rFonts w:ascii="Arial" w:hAnsi="Arial" w:cs="Arial"/>
                <w:b/>
                <w:bCs/>
                <w:sz w:val="16"/>
                <w:szCs w:val="16"/>
              </w:rPr>
            </w:pPr>
            <w:r w:rsidRPr="009D0FB3">
              <w:rPr>
                <w:rFonts w:ascii="Arial" w:hAnsi="Arial" w:cs="Arial"/>
                <w:b/>
                <w:bCs/>
                <w:sz w:val="16"/>
                <w:szCs w:val="16"/>
              </w:rPr>
              <w:t>Mean values N =81</w:t>
            </w:r>
          </w:p>
        </w:tc>
        <w:tc>
          <w:tcPr>
            <w:tcW w:w="1080" w:type="dxa"/>
            <w:shd w:val="clear" w:color="auto" w:fill="auto"/>
            <w:noWrap/>
            <w:hideMark/>
          </w:tcPr>
          <w:p w14:paraId="3A8D5D97" w14:textId="77777777" w:rsidR="00CD6352" w:rsidRPr="009D0FB3" w:rsidRDefault="00CD6352" w:rsidP="00CD6352">
            <w:pPr>
              <w:rPr>
                <w:rFonts w:ascii="Arial" w:hAnsi="Arial" w:cs="Arial"/>
                <w:b/>
                <w:bCs/>
                <w:sz w:val="16"/>
                <w:szCs w:val="16"/>
              </w:rPr>
            </w:pPr>
            <w:r w:rsidRPr="009D0FB3">
              <w:rPr>
                <w:rFonts w:ascii="Arial" w:hAnsi="Arial" w:cs="Arial"/>
                <w:b/>
                <w:bCs/>
                <w:sz w:val="16"/>
                <w:szCs w:val="16"/>
              </w:rPr>
              <w:t>Rank</w:t>
            </w:r>
          </w:p>
        </w:tc>
      </w:tr>
      <w:tr w:rsidR="00CD6352" w:rsidRPr="009D0FB3" w14:paraId="2E897B13" w14:textId="77777777" w:rsidTr="00FC2689">
        <w:trPr>
          <w:trHeight w:val="285"/>
        </w:trPr>
        <w:tc>
          <w:tcPr>
            <w:tcW w:w="5020" w:type="dxa"/>
            <w:shd w:val="clear" w:color="auto" w:fill="auto"/>
            <w:noWrap/>
            <w:hideMark/>
          </w:tcPr>
          <w:p w14:paraId="7654C3BF" w14:textId="77777777" w:rsidR="00CD6352" w:rsidRPr="009D0FB3" w:rsidRDefault="00CD6352" w:rsidP="00CD6352">
            <w:pPr>
              <w:rPr>
                <w:rFonts w:ascii="Arial" w:hAnsi="Arial" w:cs="Arial"/>
                <w:sz w:val="16"/>
                <w:szCs w:val="16"/>
              </w:rPr>
            </w:pPr>
            <w:r w:rsidRPr="009D0FB3">
              <w:rPr>
                <w:rFonts w:ascii="Arial" w:hAnsi="Arial" w:cs="Arial"/>
                <w:sz w:val="16"/>
                <w:szCs w:val="16"/>
              </w:rPr>
              <w:t>Government’s ineffective policies</w:t>
            </w:r>
          </w:p>
        </w:tc>
        <w:tc>
          <w:tcPr>
            <w:tcW w:w="1440" w:type="dxa"/>
            <w:shd w:val="clear" w:color="auto" w:fill="auto"/>
            <w:noWrap/>
            <w:hideMark/>
          </w:tcPr>
          <w:p w14:paraId="2CE65EC3" w14:textId="77777777" w:rsidR="00CD6352" w:rsidRPr="009D0FB3" w:rsidRDefault="00CD6352" w:rsidP="00CD6352">
            <w:pPr>
              <w:rPr>
                <w:rFonts w:ascii="Arial" w:hAnsi="Arial" w:cs="Arial"/>
                <w:sz w:val="16"/>
                <w:szCs w:val="16"/>
              </w:rPr>
            </w:pPr>
            <w:r w:rsidRPr="009D0FB3">
              <w:rPr>
                <w:rFonts w:ascii="Arial" w:hAnsi="Arial" w:cs="Arial"/>
                <w:sz w:val="16"/>
                <w:szCs w:val="16"/>
              </w:rPr>
              <w:t>3.83</w:t>
            </w:r>
          </w:p>
        </w:tc>
        <w:tc>
          <w:tcPr>
            <w:tcW w:w="1080" w:type="dxa"/>
            <w:shd w:val="clear" w:color="auto" w:fill="auto"/>
            <w:noWrap/>
            <w:hideMark/>
          </w:tcPr>
          <w:p w14:paraId="1CCE39BB" w14:textId="77777777" w:rsidR="00CD6352" w:rsidRPr="009D0FB3" w:rsidRDefault="00CD6352" w:rsidP="00CD6352">
            <w:pPr>
              <w:rPr>
                <w:rFonts w:ascii="Arial" w:hAnsi="Arial" w:cs="Arial"/>
                <w:sz w:val="16"/>
                <w:szCs w:val="16"/>
              </w:rPr>
            </w:pPr>
            <w:r w:rsidRPr="009D0FB3">
              <w:rPr>
                <w:rFonts w:ascii="Arial" w:hAnsi="Arial" w:cs="Arial"/>
                <w:sz w:val="16"/>
                <w:szCs w:val="16"/>
              </w:rPr>
              <w:t>1</w:t>
            </w:r>
          </w:p>
        </w:tc>
      </w:tr>
      <w:tr w:rsidR="00CD6352" w:rsidRPr="009D0FB3" w14:paraId="23C79E86" w14:textId="77777777" w:rsidTr="00FC2689">
        <w:trPr>
          <w:trHeight w:val="285"/>
        </w:trPr>
        <w:tc>
          <w:tcPr>
            <w:tcW w:w="5020" w:type="dxa"/>
            <w:shd w:val="clear" w:color="auto" w:fill="auto"/>
            <w:noWrap/>
            <w:hideMark/>
          </w:tcPr>
          <w:p w14:paraId="6B434DF5" w14:textId="77777777" w:rsidR="00CD6352" w:rsidRPr="009D0FB3" w:rsidRDefault="00CD6352" w:rsidP="00CD6352">
            <w:pPr>
              <w:rPr>
                <w:rFonts w:ascii="Arial" w:hAnsi="Arial" w:cs="Arial"/>
                <w:sz w:val="16"/>
                <w:szCs w:val="16"/>
              </w:rPr>
            </w:pPr>
            <w:r w:rsidRPr="009D0FB3">
              <w:rPr>
                <w:rFonts w:ascii="Arial" w:hAnsi="Arial" w:cs="Arial"/>
                <w:sz w:val="16"/>
                <w:szCs w:val="16"/>
              </w:rPr>
              <w:t>Excessive collateral requirement</w:t>
            </w:r>
          </w:p>
        </w:tc>
        <w:tc>
          <w:tcPr>
            <w:tcW w:w="1440" w:type="dxa"/>
            <w:shd w:val="clear" w:color="auto" w:fill="auto"/>
            <w:noWrap/>
            <w:hideMark/>
          </w:tcPr>
          <w:p w14:paraId="1012A9D7" w14:textId="77777777" w:rsidR="00CD6352" w:rsidRPr="009D0FB3" w:rsidRDefault="00CD6352" w:rsidP="00CD6352">
            <w:pPr>
              <w:rPr>
                <w:rFonts w:ascii="Arial" w:hAnsi="Arial" w:cs="Arial"/>
                <w:sz w:val="16"/>
                <w:szCs w:val="16"/>
              </w:rPr>
            </w:pPr>
            <w:r w:rsidRPr="009D0FB3">
              <w:rPr>
                <w:rFonts w:ascii="Arial" w:hAnsi="Arial" w:cs="Arial"/>
                <w:sz w:val="16"/>
                <w:szCs w:val="16"/>
              </w:rPr>
              <w:t>3.83</w:t>
            </w:r>
          </w:p>
        </w:tc>
        <w:tc>
          <w:tcPr>
            <w:tcW w:w="1080" w:type="dxa"/>
            <w:shd w:val="clear" w:color="auto" w:fill="auto"/>
            <w:noWrap/>
            <w:hideMark/>
          </w:tcPr>
          <w:p w14:paraId="370A5E12" w14:textId="77777777" w:rsidR="00CD6352" w:rsidRPr="009D0FB3" w:rsidRDefault="00CD6352" w:rsidP="00CD6352">
            <w:pPr>
              <w:rPr>
                <w:rFonts w:ascii="Arial" w:hAnsi="Arial" w:cs="Arial"/>
                <w:sz w:val="16"/>
                <w:szCs w:val="16"/>
              </w:rPr>
            </w:pPr>
            <w:r w:rsidRPr="009D0FB3">
              <w:rPr>
                <w:rFonts w:ascii="Arial" w:hAnsi="Arial" w:cs="Arial"/>
                <w:sz w:val="16"/>
                <w:szCs w:val="16"/>
              </w:rPr>
              <w:t>2</w:t>
            </w:r>
          </w:p>
        </w:tc>
      </w:tr>
      <w:tr w:rsidR="00CD6352" w:rsidRPr="009D0FB3" w14:paraId="6743061A" w14:textId="77777777" w:rsidTr="00FC2689">
        <w:trPr>
          <w:trHeight w:val="285"/>
        </w:trPr>
        <w:tc>
          <w:tcPr>
            <w:tcW w:w="5020" w:type="dxa"/>
            <w:shd w:val="clear" w:color="auto" w:fill="auto"/>
            <w:noWrap/>
            <w:hideMark/>
          </w:tcPr>
          <w:p w14:paraId="3C19472F" w14:textId="77777777" w:rsidR="00CD6352" w:rsidRPr="009D0FB3" w:rsidRDefault="00CD6352" w:rsidP="00CD6352">
            <w:pPr>
              <w:rPr>
                <w:rFonts w:ascii="Arial" w:hAnsi="Arial" w:cs="Arial"/>
                <w:sz w:val="16"/>
                <w:szCs w:val="16"/>
              </w:rPr>
            </w:pPr>
            <w:r w:rsidRPr="009D0FB3">
              <w:rPr>
                <w:rFonts w:ascii="Arial" w:hAnsi="Arial" w:cs="Arial"/>
                <w:sz w:val="16"/>
                <w:szCs w:val="16"/>
              </w:rPr>
              <w:lastRenderedPageBreak/>
              <w:t>Difficult lending criteria by financiers</w:t>
            </w:r>
          </w:p>
        </w:tc>
        <w:tc>
          <w:tcPr>
            <w:tcW w:w="1440" w:type="dxa"/>
            <w:shd w:val="clear" w:color="auto" w:fill="auto"/>
            <w:noWrap/>
            <w:hideMark/>
          </w:tcPr>
          <w:p w14:paraId="30CC9B02" w14:textId="77777777" w:rsidR="00CD6352" w:rsidRPr="009D0FB3" w:rsidRDefault="00CD6352" w:rsidP="00CD6352">
            <w:pPr>
              <w:rPr>
                <w:rFonts w:ascii="Arial" w:hAnsi="Arial" w:cs="Arial"/>
                <w:sz w:val="16"/>
                <w:szCs w:val="16"/>
              </w:rPr>
            </w:pPr>
            <w:r w:rsidRPr="009D0FB3">
              <w:rPr>
                <w:rFonts w:ascii="Arial" w:hAnsi="Arial" w:cs="Arial"/>
                <w:sz w:val="16"/>
                <w:szCs w:val="16"/>
              </w:rPr>
              <w:t>3.8</w:t>
            </w:r>
          </w:p>
        </w:tc>
        <w:tc>
          <w:tcPr>
            <w:tcW w:w="1080" w:type="dxa"/>
            <w:shd w:val="clear" w:color="auto" w:fill="auto"/>
            <w:noWrap/>
            <w:hideMark/>
          </w:tcPr>
          <w:p w14:paraId="346379C3" w14:textId="77777777" w:rsidR="00CD6352" w:rsidRPr="009D0FB3" w:rsidRDefault="00CD6352" w:rsidP="00CD6352">
            <w:pPr>
              <w:rPr>
                <w:rFonts w:ascii="Arial" w:hAnsi="Arial" w:cs="Arial"/>
                <w:sz w:val="16"/>
                <w:szCs w:val="16"/>
              </w:rPr>
            </w:pPr>
            <w:r w:rsidRPr="009D0FB3">
              <w:rPr>
                <w:rFonts w:ascii="Arial" w:hAnsi="Arial" w:cs="Arial"/>
                <w:sz w:val="16"/>
                <w:szCs w:val="16"/>
              </w:rPr>
              <w:t>3</w:t>
            </w:r>
          </w:p>
        </w:tc>
      </w:tr>
      <w:tr w:rsidR="00CD6352" w:rsidRPr="009D0FB3" w14:paraId="77B2EB13" w14:textId="77777777" w:rsidTr="00FC2689">
        <w:trPr>
          <w:trHeight w:val="285"/>
        </w:trPr>
        <w:tc>
          <w:tcPr>
            <w:tcW w:w="5020" w:type="dxa"/>
            <w:shd w:val="clear" w:color="auto" w:fill="auto"/>
            <w:noWrap/>
            <w:hideMark/>
          </w:tcPr>
          <w:p w14:paraId="114E129A" w14:textId="77777777" w:rsidR="00CD6352" w:rsidRPr="009D0FB3" w:rsidRDefault="00CD6352" w:rsidP="00CD6352">
            <w:pPr>
              <w:rPr>
                <w:rFonts w:ascii="Arial" w:hAnsi="Arial" w:cs="Arial"/>
                <w:sz w:val="16"/>
                <w:szCs w:val="16"/>
              </w:rPr>
            </w:pPr>
            <w:r w:rsidRPr="009D0FB3">
              <w:rPr>
                <w:rFonts w:ascii="Arial" w:hAnsi="Arial" w:cs="Arial"/>
                <w:sz w:val="16"/>
                <w:szCs w:val="16"/>
              </w:rPr>
              <w:t>Lack of long term financing</w:t>
            </w:r>
          </w:p>
        </w:tc>
        <w:tc>
          <w:tcPr>
            <w:tcW w:w="1440" w:type="dxa"/>
            <w:shd w:val="clear" w:color="auto" w:fill="auto"/>
            <w:noWrap/>
            <w:hideMark/>
          </w:tcPr>
          <w:p w14:paraId="7B2C5AC9" w14:textId="77777777" w:rsidR="00CD6352" w:rsidRPr="009D0FB3" w:rsidRDefault="00CD6352" w:rsidP="00CD6352">
            <w:pPr>
              <w:rPr>
                <w:rFonts w:ascii="Arial" w:hAnsi="Arial" w:cs="Arial"/>
                <w:sz w:val="16"/>
                <w:szCs w:val="16"/>
              </w:rPr>
            </w:pPr>
            <w:r w:rsidRPr="009D0FB3">
              <w:rPr>
                <w:rFonts w:ascii="Arial" w:hAnsi="Arial" w:cs="Arial"/>
                <w:sz w:val="16"/>
                <w:szCs w:val="16"/>
              </w:rPr>
              <w:t>3.76</w:t>
            </w:r>
          </w:p>
        </w:tc>
        <w:tc>
          <w:tcPr>
            <w:tcW w:w="1080" w:type="dxa"/>
            <w:shd w:val="clear" w:color="auto" w:fill="auto"/>
            <w:noWrap/>
            <w:hideMark/>
          </w:tcPr>
          <w:p w14:paraId="6FA3BDBD" w14:textId="77777777" w:rsidR="00CD6352" w:rsidRPr="009D0FB3" w:rsidRDefault="00CD6352" w:rsidP="00CD6352">
            <w:pPr>
              <w:rPr>
                <w:rFonts w:ascii="Arial" w:hAnsi="Arial" w:cs="Arial"/>
                <w:sz w:val="16"/>
                <w:szCs w:val="16"/>
              </w:rPr>
            </w:pPr>
            <w:r w:rsidRPr="009D0FB3">
              <w:rPr>
                <w:rFonts w:ascii="Arial" w:hAnsi="Arial" w:cs="Arial"/>
                <w:sz w:val="16"/>
                <w:szCs w:val="16"/>
              </w:rPr>
              <w:t>4</w:t>
            </w:r>
          </w:p>
        </w:tc>
      </w:tr>
      <w:tr w:rsidR="00CD6352" w:rsidRPr="009D0FB3" w14:paraId="23C02090" w14:textId="77777777" w:rsidTr="00FC2689">
        <w:trPr>
          <w:trHeight w:val="285"/>
        </w:trPr>
        <w:tc>
          <w:tcPr>
            <w:tcW w:w="5020" w:type="dxa"/>
            <w:shd w:val="clear" w:color="auto" w:fill="auto"/>
            <w:noWrap/>
            <w:hideMark/>
          </w:tcPr>
          <w:p w14:paraId="25F13C01" w14:textId="77777777" w:rsidR="00CD6352" w:rsidRPr="009D0FB3" w:rsidRDefault="00CD6352" w:rsidP="00CD6352">
            <w:pPr>
              <w:rPr>
                <w:rFonts w:ascii="Arial" w:hAnsi="Arial" w:cs="Arial"/>
                <w:sz w:val="16"/>
                <w:szCs w:val="16"/>
              </w:rPr>
            </w:pPr>
            <w:r w:rsidRPr="009D0FB3">
              <w:rPr>
                <w:rFonts w:ascii="Arial" w:hAnsi="Arial" w:cs="Arial"/>
                <w:sz w:val="16"/>
                <w:szCs w:val="16"/>
              </w:rPr>
              <w:t>High-interest rate</w:t>
            </w:r>
          </w:p>
        </w:tc>
        <w:tc>
          <w:tcPr>
            <w:tcW w:w="1440" w:type="dxa"/>
            <w:shd w:val="clear" w:color="auto" w:fill="auto"/>
            <w:noWrap/>
            <w:hideMark/>
          </w:tcPr>
          <w:p w14:paraId="3297AED5" w14:textId="77777777" w:rsidR="00CD6352" w:rsidRPr="009D0FB3" w:rsidRDefault="00CD6352" w:rsidP="00CD6352">
            <w:pPr>
              <w:rPr>
                <w:rFonts w:ascii="Arial" w:hAnsi="Arial" w:cs="Arial"/>
                <w:sz w:val="16"/>
                <w:szCs w:val="16"/>
              </w:rPr>
            </w:pPr>
            <w:r w:rsidRPr="009D0FB3">
              <w:rPr>
                <w:rFonts w:ascii="Arial" w:hAnsi="Arial" w:cs="Arial"/>
                <w:sz w:val="16"/>
                <w:szCs w:val="16"/>
              </w:rPr>
              <w:t>3.73</w:t>
            </w:r>
          </w:p>
        </w:tc>
        <w:tc>
          <w:tcPr>
            <w:tcW w:w="1080" w:type="dxa"/>
            <w:shd w:val="clear" w:color="auto" w:fill="auto"/>
            <w:noWrap/>
            <w:hideMark/>
          </w:tcPr>
          <w:p w14:paraId="001AEB43" w14:textId="77777777" w:rsidR="00CD6352" w:rsidRPr="009D0FB3" w:rsidRDefault="00CD6352" w:rsidP="00CD6352">
            <w:pPr>
              <w:rPr>
                <w:rFonts w:ascii="Arial" w:hAnsi="Arial" w:cs="Arial"/>
                <w:sz w:val="16"/>
                <w:szCs w:val="16"/>
              </w:rPr>
            </w:pPr>
            <w:r w:rsidRPr="009D0FB3">
              <w:rPr>
                <w:rFonts w:ascii="Arial" w:hAnsi="Arial" w:cs="Arial"/>
                <w:sz w:val="16"/>
                <w:szCs w:val="16"/>
              </w:rPr>
              <w:t>5</w:t>
            </w:r>
          </w:p>
        </w:tc>
      </w:tr>
      <w:tr w:rsidR="00CD6352" w:rsidRPr="009D0FB3" w14:paraId="369D67C9" w14:textId="77777777" w:rsidTr="00FC2689">
        <w:trPr>
          <w:trHeight w:val="285"/>
        </w:trPr>
        <w:tc>
          <w:tcPr>
            <w:tcW w:w="5020" w:type="dxa"/>
            <w:shd w:val="clear" w:color="auto" w:fill="auto"/>
            <w:noWrap/>
            <w:hideMark/>
          </w:tcPr>
          <w:p w14:paraId="1CAE0923" w14:textId="77777777" w:rsidR="00CD6352" w:rsidRPr="009D0FB3" w:rsidRDefault="00CD6352" w:rsidP="00CD6352">
            <w:pPr>
              <w:rPr>
                <w:rFonts w:ascii="Arial" w:hAnsi="Arial" w:cs="Arial"/>
                <w:sz w:val="16"/>
                <w:szCs w:val="16"/>
              </w:rPr>
            </w:pPr>
            <w:r w:rsidRPr="009D0FB3">
              <w:rPr>
                <w:rFonts w:ascii="Arial" w:hAnsi="Arial" w:cs="Arial"/>
                <w:sz w:val="16"/>
                <w:szCs w:val="16"/>
              </w:rPr>
              <w:t>The high cost of inputs and labour</w:t>
            </w:r>
          </w:p>
        </w:tc>
        <w:tc>
          <w:tcPr>
            <w:tcW w:w="1440" w:type="dxa"/>
            <w:shd w:val="clear" w:color="auto" w:fill="auto"/>
            <w:noWrap/>
            <w:hideMark/>
          </w:tcPr>
          <w:p w14:paraId="5BA136E4" w14:textId="77777777" w:rsidR="00CD6352" w:rsidRPr="009D0FB3" w:rsidRDefault="00CD6352" w:rsidP="00CD6352">
            <w:pPr>
              <w:rPr>
                <w:rFonts w:ascii="Arial" w:hAnsi="Arial" w:cs="Arial"/>
                <w:sz w:val="16"/>
                <w:szCs w:val="16"/>
              </w:rPr>
            </w:pPr>
            <w:r w:rsidRPr="009D0FB3">
              <w:rPr>
                <w:rFonts w:ascii="Arial" w:hAnsi="Arial" w:cs="Arial"/>
                <w:sz w:val="16"/>
                <w:szCs w:val="16"/>
              </w:rPr>
              <w:t>3.66</w:t>
            </w:r>
          </w:p>
        </w:tc>
        <w:tc>
          <w:tcPr>
            <w:tcW w:w="1080" w:type="dxa"/>
            <w:shd w:val="clear" w:color="auto" w:fill="auto"/>
            <w:noWrap/>
            <w:hideMark/>
          </w:tcPr>
          <w:p w14:paraId="52C3A4FD" w14:textId="77777777" w:rsidR="00CD6352" w:rsidRPr="009D0FB3" w:rsidRDefault="00CD6352" w:rsidP="00CD6352">
            <w:pPr>
              <w:rPr>
                <w:rFonts w:ascii="Arial" w:hAnsi="Arial" w:cs="Arial"/>
                <w:sz w:val="16"/>
                <w:szCs w:val="16"/>
              </w:rPr>
            </w:pPr>
            <w:r w:rsidRPr="009D0FB3">
              <w:rPr>
                <w:rFonts w:ascii="Arial" w:hAnsi="Arial" w:cs="Arial"/>
                <w:sz w:val="16"/>
                <w:szCs w:val="16"/>
              </w:rPr>
              <w:t>6</w:t>
            </w:r>
          </w:p>
        </w:tc>
      </w:tr>
      <w:tr w:rsidR="00CD6352" w:rsidRPr="009D0FB3" w14:paraId="678B3B69" w14:textId="77777777" w:rsidTr="00FC2689">
        <w:trPr>
          <w:trHeight w:val="285"/>
        </w:trPr>
        <w:tc>
          <w:tcPr>
            <w:tcW w:w="5020" w:type="dxa"/>
            <w:shd w:val="clear" w:color="auto" w:fill="auto"/>
            <w:noWrap/>
            <w:hideMark/>
          </w:tcPr>
          <w:p w14:paraId="4FA356BF" w14:textId="77777777" w:rsidR="00CD6352" w:rsidRPr="009D0FB3" w:rsidRDefault="00CD6352" w:rsidP="00CD6352">
            <w:pPr>
              <w:rPr>
                <w:rFonts w:ascii="Arial" w:hAnsi="Arial" w:cs="Arial"/>
                <w:sz w:val="16"/>
                <w:szCs w:val="16"/>
              </w:rPr>
            </w:pPr>
            <w:r w:rsidRPr="009D0FB3">
              <w:rPr>
                <w:rFonts w:ascii="Arial" w:hAnsi="Arial" w:cs="Arial"/>
                <w:sz w:val="16"/>
                <w:szCs w:val="16"/>
              </w:rPr>
              <w:t>Difficult land use and ownership laws</w:t>
            </w:r>
          </w:p>
        </w:tc>
        <w:tc>
          <w:tcPr>
            <w:tcW w:w="1440" w:type="dxa"/>
            <w:shd w:val="clear" w:color="auto" w:fill="auto"/>
            <w:noWrap/>
            <w:hideMark/>
          </w:tcPr>
          <w:p w14:paraId="4843B73A" w14:textId="77777777" w:rsidR="00CD6352" w:rsidRPr="009D0FB3" w:rsidRDefault="00CD6352" w:rsidP="00CD6352">
            <w:pPr>
              <w:rPr>
                <w:rFonts w:ascii="Arial" w:hAnsi="Arial" w:cs="Arial"/>
                <w:sz w:val="16"/>
                <w:szCs w:val="16"/>
              </w:rPr>
            </w:pPr>
            <w:r w:rsidRPr="009D0FB3">
              <w:rPr>
                <w:rFonts w:ascii="Arial" w:hAnsi="Arial" w:cs="Arial"/>
                <w:sz w:val="16"/>
                <w:szCs w:val="16"/>
              </w:rPr>
              <w:t>3.59</w:t>
            </w:r>
          </w:p>
        </w:tc>
        <w:tc>
          <w:tcPr>
            <w:tcW w:w="1080" w:type="dxa"/>
            <w:shd w:val="clear" w:color="auto" w:fill="auto"/>
            <w:noWrap/>
            <w:hideMark/>
          </w:tcPr>
          <w:p w14:paraId="68D8FDBD" w14:textId="77777777" w:rsidR="00CD6352" w:rsidRPr="009D0FB3" w:rsidRDefault="00CD6352" w:rsidP="00CD6352">
            <w:pPr>
              <w:rPr>
                <w:rFonts w:ascii="Arial" w:hAnsi="Arial" w:cs="Arial"/>
                <w:sz w:val="16"/>
                <w:szCs w:val="16"/>
              </w:rPr>
            </w:pPr>
            <w:r w:rsidRPr="009D0FB3">
              <w:rPr>
                <w:rFonts w:ascii="Arial" w:hAnsi="Arial" w:cs="Arial"/>
                <w:sz w:val="16"/>
                <w:szCs w:val="16"/>
              </w:rPr>
              <w:t>7</w:t>
            </w:r>
          </w:p>
        </w:tc>
      </w:tr>
      <w:tr w:rsidR="00CD6352" w:rsidRPr="009D0FB3" w14:paraId="28710CE9" w14:textId="77777777" w:rsidTr="00FC2689">
        <w:trPr>
          <w:trHeight w:val="285"/>
        </w:trPr>
        <w:tc>
          <w:tcPr>
            <w:tcW w:w="5020" w:type="dxa"/>
            <w:shd w:val="clear" w:color="auto" w:fill="auto"/>
            <w:noWrap/>
            <w:hideMark/>
          </w:tcPr>
          <w:p w14:paraId="63731FBB" w14:textId="77777777" w:rsidR="00CD6352" w:rsidRPr="009D0FB3" w:rsidRDefault="00CD6352" w:rsidP="00CD6352">
            <w:pPr>
              <w:rPr>
                <w:rFonts w:ascii="Arial" w:hAnsi="Arial" w:cs="Arial"/>
                <w:sz w:val="16"/>
                <w:szCs w:val="16"/>
              </w:rPr>
            </w:pPr>
            <w:r w:rsidRPr="009D0FB3">
              <w:rPr>
                <w:rFonts w:ascii="Arial" w:hAnsi="Arial" w:cs="Arial"/>
                <w:sz w:val="16"/>
                <w:szCs w:val="16"/>
              </w:rPr>
              <w:t>Corruption</w:t>
            </w:r>
          </w:p>
        </w:tc>
        <w:tc>
          <w:tcPr>
            <w:tcW w:w="1440" w:type="dxa"/>
            <w:shd w:val="clear" w:color="auto" w:fill="auto"/>
            <w:noWrap/>
            <w:hideMark/>
          </w:tcPr>
          <w:p w14:paraId="52953B0C" w14:textId="77777777" w:rsidR="00CD6352" w:rsidRPr="009D0FB3" w:rsidRDefault="00CD6352" w:rsidP="00CD6352">
            <w:pPr>
              <w:rPr>
                <w:rFonts w:ascii="Arial" w:hAnsi="Arial" w:cs="Arial"/>
                <w:sz w:val="16"/>
                <w:szCs w:val="16"/>
              </w:rPr>
            </w:pPr>
            <w:r w:rsidRPr="009D0FB3">
              <w:rPr>
                <w:rFonts w:ascii="Arial" w:hAnsi="Arial" w:cs="Arial"/>
                <w:sz w:val="16"/>
                <w:szCs w:val="16"/>
              </w:rPr>
              <w:t>3.54</w:t>
            </w:r>
          </w:p>
        </w:tc>
        <w:tc>
          <w:tcPr>
            <w:tcW w:w="1080" w:type="dxa"/>
            <w:shd w:val="clear" w:color="auto" w:fill="auto"/>
            <w:noWrap/>
            <w:hideMark/>
          </w:tcPr>
          <w:p w14:paraId="42072DB3" w14:textId="77777777" w:rsidR="00CD6352" w:rsidRPr="009D0FB3" w:rsidRDefault="00CD6352" w:rsidP="00CD6352">
            <w:pPr>
              <w:rPr>
                <w:rFonts w:ascii="Arial" w:hAnsi="Arial" w:cs="Arial"/>
                <w:sz w:val="16"/>
                <w:szCs w:val="16"/>
              </w:rPr>
            </w:pPr>
            <w:r w:rsidRPr="009D0FB3">
              <w:rPr>
                <w:rFonts w:ascii="Arial" w:hAnsi="Arial" w:cs="Arial"/>
                <w:sz w:val="16"/>
                <w:szCs w:val="16"/>
              </w:rPr>
              <w:t>8</w:t>
            </w:r>
          </w:p>
        </w:tc>
      </w:tr>
      <w:tr w:rsidR="00CD6352" w:rsidRPr="009D0FB3" w14:paraId="07C57FA1" w14:textId="77777777" w:rsidTr="00FC2689">
        <w:trPr>
          <w:trHeight w:val="285"/>
        </w:trPr>
        <w:tc>
          <w:tcPr>
            <w:tcW w:w="5020" w:type="dxa"/>
            <w:shd w:val="clear" w:color="auto" w:fill="auto"/>
            <w:noWrap/>
            <w:hideMark/>
          </w:tcPr>
          <w:p w14:paraId="14091B2B" w14:textId="77777777" w:rsidR="00CD6352" w:rsidRPr="009D0FB3" w:rsidRDefault="00CD6352" w:rsidP="00CD6352">
            <w:pPr>
              <w:rPr>
                <w:rFonts w:ascii="Arial" w:hAnsi="Arial" w:cs="Arial"/>
                <w:sz w:val="16"/>
                <w:szCs w:val="16"/>
              </w:rPr>
            </w:pPr>
            <w:r w:rsidRPr="009D0FB3">
              <w:rPr>
                <w:rFonts w:ascii="Arial" w:hAnsi="Arial" w:cs="Arial"/>
                <w:sz w:val="16"/>
                <w:szCs w:val="16"/>
              </w:rPr>
              <w:t>Inflation</w:t>
            </w:r>
          </w:p>
        </w:tc>
        <w:tc>
          <w:tcPr>
            <w:tcW w:w="1440" w:type="dxa"/>
            <w:shd w:val="clear" w:color="auto" w:fill="auto"/>
            <w:noWrap/>
            <w:hideMark/>
          </w:tcPr>
          <w:p w14:paraId="3C63EFE7" w14:textId="77777777" w:rsidR="00CD6352" w:rsidRPr="009D0FB3" w:rsidRDefault="00CD6352" w:rsidP="00CD6352">
            <w:pPr>
              <w:rPr>
                <w:rFonts w:ascii="Arial" w:hAnsi="Arial" w:cs="Arial"/>
                <w:sz w:val="16"/>
                <w:szCs w:val="16"/>
              </w:rPr>
            </w:pPr>
            <w:r w:rsidRPr="009D0FB3">
              <w:rPr>
                <w:rFonts w:ascii="Arial" w:hAnsi="Arial" w:cs="Arial"/>
                <w:sz w:val="16"/>
                <w:szCs w:val="16"/>
              </w:rPr>
              <w:t>3.53</w:t>
            </w:r>
          </w:p>
        </w:tc>
        <w:tc>
          <w:tcPr>
            <w:tcW w:w="1080" w:type="dxa"/>
            <w:shd w:val="clear" w:color="auto" w:fill="auto"/>
            <w:noWrap/>
            <w:hideMark/>
          </w:tcPr>
          <w:p w14:paraId="60F73BFF" w14:textId="77777777" w:rsidR="00CD6352" w:rsidRPr="009D0FB3" w:rsidRDefault="00CD6352" w:rsidP="00CD6352">
            <w:pPr>
              <w:rPr>
                <w:rFonts w:ascii="Arial" w:hAnsi="Arial" w:cs="Arial"/>
                <w:sz w:val="16"/>
                <w:szCs w:val="16"/>
              </w:rPr>
            </w:pPr>
            <w:r w:rsidRPr="009D0FB3">
              <w:rPr>
                <w:rFonts w:ascii="Arial" w:hAnsi="Arial" w:cs="Arial"/>
                <w:sz w:val="16"/>
                <w:szCs w:val="16"/>
              </w:rPr>
              <w:t>9</w:t>
            </w:r>
          </w:p>
        </w:tc>
      </w:tr>
      <w:tr w:rsidR="00CD6352" w:rsidRPr="009D0FB3" w14:paraId="185D260A" w14:textId="77777777" w:rsidTr="00FC2689">
        <w:trPr>
          <w:trHeight w:val="285"/>
        </w:trPr>
        <w:tc>
          <w:tcPr>
            <w:tcW w:w="5020" w:type="dxa"/>
            <w:shd w:val="clear" w:color="auto" w:fill="auto"/>
            <w:noWrap/>
            <w:hideMark/>
          </w:tcPr>
          <w:p w14:paraId="3EBDFCBC" w14:textId="77777777" w:rsidR="00CD6352" w:rsidRPr="009D0FB3" w:rsidRDefault="00CD6352" w:rsidP="00CD6352">
            <w:pPr>
              <w:rPr>
                <w:rFonts w:ascii="Arial" w:hAnsi="Arial" w:cs="Arial"/>
                <w:sz w:val="16"/>
                <w:szCs w:val="16"/>
              </w:rPr>
            </w:pPr>
            <w:r w:rsidRPr="009D0FB3">
              <w:rPr>
                <w:rFonts w:ascii="Arial" w:hAnsi="Arial" w:cs="Arial"/>
                <w:sz w:val="16"/>
                <w:szCs w:val="16"/>
              </w:rPr>
              <w:t xml:space="preserve">Currency risk/ exchange rate volatility </w:t>
            </w:r>
          </w:p>
        </w:tc>
        <w:tc>
          <w:tcPr>
            <w:tcW w:w="1440" w:type="dxa"/>
            <w:shd w:val="clear" w:color="auto" w:fill="auto"/>
            <w:noWrap/>
            <w:hideMark/>
          </w:tcPr>
          <w:p w14:paraId="19958972" w14:textId="77777777" w:rsidR="00CD6352" w:rsidRPr="009D0FB3" w:rsidRDefault="00CD6352" w:rsidP="00CD6352">
            <w:pPr>
              <w:rPr>
                <w:rFonts w:ascii="Arial" w:hAnsi="Arial" w:cs="Arial"/>
                <w:sz w:val="16"/>
                <w:szCs w:val="16"/>
              </w:rPr>
            </w:pPr>
            <w:r w:rsidRPr="009D0FB3">
              <w:rPr>
                <w:rFonts w:ascii="Arial" w:hAnsi="Arial" w:cs="Arial"/>
                <w:sz w:val="16"/>
                <w:szCs w:val="16"/>
              </w:rPr>
              <w:t>3.52</w:t>
            </w:r>
          </w:p>
        </w:tc>
        <w:tc>
          <w:tcPr>
            <w:tcW w:w="1080" w:type="dxa"/>
            <w:shd w:val="clear" w:color="auto" w:fill="auto"/>
            <w:noWrap/>
            <w:hideMark/>
          </w:tcPr>
          <w:p w14:paraId="18C6A964" w14:textId="77777777" w:rsidR="00CD6352" w:rsidRPr="009D0FB3" w:rsidRDefault="00CD6352" w:rsidP="00CD6352">
            <w:pPr>
              <w:rPr>
                <w:rFonts w:ascii="Arial" w:hAnsi="Arial" w:cs="Arial"/>
                <w:sz w:val="16"/>
                <w:szCs w:val="16"/>
              </w:rPr>
            </w:pPr>
            <w:r w:rsidRPr="009D0FB3">
              <w:rPr>
                <w:rFonts w:ascii="Arial" w:hAnsi="Arial" w:cs="Arial"/>
                <w:sz w:val="16"/>
                <w:szCs w:val="16"/>
              </w:rPr>
              <w:t>10</w:t>
            </w:r>
          </w:p>
        </w:tc>
      </w:tr>
      <w:tr w:rsidR="00CD6352" w:rsidRPr="009D0FB3" w14:paraId="3CF2ABBF" w14:textId="77777777" w:rsidTr="00FC2689">
        <w:trPr>
          <w:trHeight w:val="285"/>
        </w:trPr>
        <w:tc>
          <w:tcPr>
            <w:tcW w:w="5020" w:type="dxa"/>
            <w:shd w:val="clear" w:color="auto" w:fill="auto"/>
            <w:noWrap/>
            <w:hideMark/>
          </w:tcPr>
          <w:p w14:paraId="488916C3" w14:textId="77777777" w:rsidR="00CD6352" w:rsidRPr="009D0FB3" w:rsidRDefault="00CD6352" w:rsidP="00CD6352">
            <w:pPr>
              <w:rPr>
                <w:rFonts w:ascii="Arial" w:hAnsi="Arial" w:cs="Arial"/>
                <w:sz w:val="16"/>
                <w:szCs w:val="16"/>
              </w:rPr>
            </w:pPr>
            <w:r w:rsidRPr="009D0FB3">
              <w:rPr>
                <w:rFonts w:ascii="Arial" w:hAnsi="Arial" w:cs="Arial"/>
                <w:sz w:val="16"/>
                <w:szCs w:val="16"/>
              </w:rPr>
              <w:t>Internal political issues</w:t>
            </w:r>
          </w:p>
        </w:tc>
        <w:tc>
          <w:tcPr>
            <w:tcW w:w="1440" w:type="dxa"/>
            <w:shd w:val="clear" w:color="auto" w:fill="auto"/>
            <w:noWrap/>
            <w:hideMark/>
          </w:tcPr>
          <w:p w14:paraId="4E3B1B78" w14:textId="77777777" w:rsidR="00CD6352" w:rsidRPr="009D0FB3" w:rsidRDefault="00CD6352" w:rsidP="00CD6352">
            <w:pPr>
              <w:rPr>
                <w:rFonts w:ascii="Arial" w:hAnsi="Arial" w:cs="Arial"/>
                <w:sz w:val="16"/>
                <w:szCs w:val="16"/>
              </w:rPr>
            </w:pPr>
            <w:r w:rsidRPr="009D0FB3">
              <w:rPr>
                <w:rFonts w:ascii="Arial" w:hAnsi="Arial" w:cs="Arial"/>
                <w:sz w:val="16"/>
                <w:szCs w:val="16"/>
              </w:rPr>
              <w:t>3.33</w:t>
            </w:r>
          </w:p>
        </w:tc>
        <w:tc>
          <w:tcPr>
            <w:tcW w:w="1080" w:type="dxa"/>
            <w:shd w:val="clear" w:color="auto" w:fill="auto"/>
            <w:noWrap/>
            <w:hideMark/>
          </w:tcPr>
          <w:p w14:paraId="4C99A242" w14:textId="77777777" w:rsidR="00CD6352" w:rsidRPr="009D0FB3" w:rsidRDefault="00CD6352" w:rsidP="00CD6352">
            <w:pPr>
              <w:rPr>
                <w:rFonts w:ascii="Arial" w:hAnsi="Arial" w:cs="Arial"/>
                <w:sz w:val="16"/>
                <w:szCs w:val="16"/>
              </w:rPr>
            </w:pPr>
            <w:r w:rsidRPr="009D0FB3">
              <w:rPr>
                <w:rFonts w:ascii="Arial" w:hAnsi="Arial" w:cs="Arial"/>
                <w:sz w:val="16"/>
                <w:szCs w:val="16"/>
              </w:rPr>
              <w:t>11</w:t>
            </w:r>
          </w:p>
        </w:tc>
      </w:tr>
      <w:tr w:rsidR="00CD6352" w:rsidRPr="009D0FB3" w14:paraId="5B371F7A" w14:textId="77777777" w:rsidTr="00FC2689">
        <w:trPr>
          <w:trHeight w:val="285"/>
        </w:trPr>
        <w:tc>
          <w:tcPr>
            <w:tcW w:w="5020" w:type="dxa"/>
            <w:shd w:val="clear" w:color="auto" w:fill="auto"/>
            <w:noWrap/>
            <w:hideMark/>
          </w:tcPr>
          <w:p w14:paraId="44B39C32" w14:textId="77777777" w:rsidR="00CD6352" w:rsidRPr="009D0FB3" w:rsidRDefault="00CD6352" w:rsidP="00CD6352">
            <w:pPr>
              <w:rPr>
                <w:rFonts w:ascii="Arial" w:hAnsi="Arial" w:cs="Arial"/>
                <w:sz w:val="16"/>
                <w:szCs w:val="16"/>
              </w:rPr>
            </w:pPr>
            <w:r w:rsidRPr="009D0FB3">
              <w:rPr>
                <w:rFonts w:ascii="Arial" w:hAnsi="Arial" w:cs="Arial"/>
                <w:sz w:val="16"/>
                <w:szCs w:val="16"/>
              </w:rPr>
              <w:t>Lack of fiscal and regulatory incentives</w:t>
            </w:r>
          </w:p>
        </w:tc>
        <w:tc>
          <w:tcPr>
            <w:tcW w:w="1440" w:type="dxa"/>
            <w:shd w:val="clear" w:color="auto" w:fill="auto"/>
            <w:noWrap/>
            <w:hideMark/>
          </w:tcPr>
          <w:p w14:paraId="397C13E3" w14:textId="77777777" w:rsidR="00CD6352" w:rsidRPr="009D0FB3" w:rsidRDefault="00CD6352" w:rsidP="00CD6352">
            <w:pPr>
              <w:rPr>
                <w:rFonts w:ascii="Arial" w:hAnsi="Arial" w:cs="Arial"/>
                <w:sz w:val="16"/>
                <w:szCs w:val="16"/>
              </w:rPr>
            </w:pPr>
            <w:r w:rsidRPr="009D0FB3">
              <w:rPr>
                <w:rFonts w:ascii="Arial" w:hAnsi="Arial" w:cs="Arial"/>
                <w:sz w:val="16"/>
                <w:szCs w:val="16"/>
              </w:rPr>
              <w:t>3.27</w:t>
            </w:r>
          </w:p>
        </w:tc>
        <w:tc>
          <w:tcPr>
            <w:tcW w:w="1080" w:type="dxa"/>
            <w:shd w:val="clear" w:color="auto" w:fill="auto"/>
            <w:noWrap/>
            <w:hideMark/>
          </w:tcPr>
          <w:p w14:paraId="6813D09E" w14:textId="77777777" w:rsidR="00CD6352" w:rsidRPr="009D0FB3" w:rsidRDefault="00CD6352" w:rsidP="00CD6352">
            <w:pPr>
              <w:rPr>
                <w:rFonts w:ascii="Arial" w:hAnsi="Arial" w:cs="Arial"/>
                <w:sz w:val="16"/>
                <w:szCs w:val="16"/>
              </w:rPr>
            </w:pPr>
            <w:r w:rsidRPr="009D0FB3">
              <w:rPr>
                <w:rFonts w:ascii="Arial" w:hAnsi="Arial" w:cs="Arial"/>
                <w:sz w:val="16"/>
                <w:szCs w:val="16"/>
              </w:rPr>
              <w:t>12</w:t>
            </w:r>
          </w:p>
        </w:tc>
      </w:tr>
      <w:tr w:rsidR="00CD6352" w:rsidRPr="009D0FB3" w14:paraId="59E73CF5" w14:textId="77777777" w:rsidTr="00FC2689">
        <w:trPr>
          <w:trHeight w:val="285"/>
        </w:trPr>
        <w:tc>
          <w:tcPr>
            <w:tcW w:w="5020" w:type="dxa"/>
            <w:shd w:val="clear" w:color="auto" w:fill="auto"/>
            <w:noWrap/>
            <w:hideMark/>
          </w:tcPr>
          <w:p w14:paraId="6CBF829B" w14:textId="77777777" w:rsidR="00CD6352" w:rsidRPr="009D0FB3" w:rsidRDefault="00CD6352" w:rsidP="00CD6352">
            <w:pPr>
              <w:rPr>
                <w:rFonts w:ascii="Arial" w:hAnsi="Arial" w:cs="Arial"/>
                <w:sz w:val="16"/>
                <w:szCs w:val="16"/>
              </w:rPr>
            </w:pPr>
            <w:r w:rsidRPr="009D0FB3">
              <w:rPr>
                <w:rFonts w:ascii="Arial" w:hAnsi="Arial" w:cs="Arial"/>
                <w:sz w:val="16"/>
                <w:szCs w:val="16"/>
              </w:rPr>
              <w:t>Regulatory quality</w:t>
            </w:r>
          </w:p>
        </w:tc>
        <w:tc>
          <w:tcPr>
            <w:tcW w:w="1440" w:type="dxa"/>
            <w:shd w:val="clear" w:color="auto" w:fill="auto"/>
            <w:noWrap/>
            <w:hideMark/>
          </w:tcPr>
          <w:p w14:paraId="0A0254BF" w14:textId="77777777" w:rsidR="00CD6352" w:rsidRPr="009D0FB3" w:rsidRDefault="00CD6352" w:rsidP="00CD6352">
            <w:pPr>
              <w:rPr>
                <w:rFonts w:ascii="Arial" w:hAnsi="Arial" w:cs="Arial"/>
                <w:sz w:val="16"/>
                <w:szCs w:val="16"/>
              </w:rPr>
            </w:pPr>
            <w:r w:rsidRPr="009D0FB3">
              <w:rPr>
                <w:rFonts w:ascii="Arial" w:hAnsi="Arial" w:cs="Arial"/>
                <w:sz w:val="16"/>
                <w:szCs w:val="16"/>
              </w:rPr>
              <w:t>3</w:t>
            </w:r>
          </w:p>
        </w:tc>
        <w:tc>
          <w:tcPr>
            <w:tcW w:w="1080" w:type="dxa"/>
            <w:shd w:val="clear" w:color="auto" w:fill="auto"/>
            <w:noWrap/>
            <w:hideMark/>
          </w:tcPr>
          <w:p w14:paraId="1679CE2C" w14:textId="77777777" w:rsidR="00CD6352" w:rsidRPr="009D0FB3" w:rsidRDefault="00CD6352" w:rsidP="00CD6352">
            <w:pPr>
              <w:rPr>
                <w:rFonts w:ascii="Arial" w:hAnsi="Arial" w:cs="Arial"/>
                <w:sz w:val="16"/>
                <w:szCs w:val="16"/>
              </w:rPr>
            </w:pPr>
            <w:r w:rsidRPr="009D0FB3">
              <w:rPr>
                <w:rFonts w:ascii="Arial" w:hAnsi="Arial" w:cs="Arial"/>
                <w:sz w:val="16"/>
                <w:szCs w:val="16"/>
              </w:rPr>
              <w:t>13</w:t>
            </w:r>
          </w:p>
        </w:tc>
      </w:tr>
      <w:tr w:rsidR="00CD6352" w:rsidRPr="009D0FB3" w14:paraId="7ED1DA87" w14:textId="77777777" w:rsidTr="00FC2689">
        <w:trPr>
          <w:trHeight w:val="285"/>
        </w:trPr>
        <w:tc>
          <w:tcPr>
            <w:tcW w:w="5020" w:type="dxa"/>
            <w:shd w:val="clear" w:color="auto" w:fill="auto"/>
            <w:noWrap/>
            <w:hideMark/>
          </w:tcPr>
          <w:p w14:paraId="171A6E14" w14:textId="77777777" w:rsidR="00CD6352" w:rsidRPr="009D0FB3" w:rsidRDefault="00CD6352" w:rsidP="00CD6352">
            <w:pPr>
              <w:rPr>
                <w:rFonts w:ascii="Arial" w:hAnsi="Arial" w:cs="Arial"/>
                <w:sz w:val="16"/>
                <w:szCs w:val="16"/>
              </w:rPr>
            </w:pPr>
            <w:r w:rsidRPr="009D0FB3">
              <w:rPr>
                <w:rFonts w:ascii="Arial" w:hAnsi="Arial" w:cs="Arial"/>
                <w:sz w:val="16"/>
                <w:szCs w:val="16"/>
              </w:rPr>
              <w:t>Unemployment</w:t>
            </w:r>
          </w:p>
        </w:tc>
        <w:tc>
          <w:tcPr>
            <w:tcW w:w="1440" w:type="dxa"/>
            <w:shd w:val="clear" w:color="auto" w:fill="auto"/>
            <w:noWrap/>
            <w:hideMark/>
          </w:tcPr>
          <w:p w14:paraId="6BFDBE65" w14:textId="77777777" w:rsidR="00CD6352" w:rsidRPr="009D0FB3" w:rsidRDefault="00CD6352" w:rsidP="00CD6352">
            <w:pPr>
              <w:rPr>
                <w:rFonts w:ascii="Arial" w:hAnsi="Arial" w:cs="Arial"/>
                <w:sz w:val="16"/>
                <w:szCs w:val="16"/>
              </w:rPr>
            </w:pPr>
            <w:r w:rsidRPr="009D0FB3">
              <w:rPr>
                <w:rFonts w:ascii="Arial" w:hAnsi="Arial" w:cs="Arial"/>
                <w:sz w:val="16"/>
                <w:szCs w:val="16"/>
              </w:rPr>
              <w:t>2.86</w:t>
            </w:r>
          </w:p>
        </w:tc>
        <w:tc>
          <w:tcPr>
            <w:tcW w:w="1080" w:type="dxa"/>
            <w:shd w:val="clear" w:color="auto" w:fill="auto"/>
            <w:noWrap/>
            <w:hideMark/>
          </w:tcPr>
          <w:p w14:paraId="007E0D53" w14:textId="77777777" w:rsidR="00CD6352" w:rsidRPr="009D0FB3" w:rsidRDefault="00CD6352" w:rsidP="00CD6352">
            <w:pPr>
              <w:rPr>
                <w:rFonts w:ascii="Arial" w:hAnsi="Arial" w:cs="Arial"/>
                <w:sz w:val="16"/>
                <w:szCs w:val="16"/>
              </w:rPr>
            </w:pPr>
            <w:r w:rsidRPr="009D0FB3">
              <w:rPr>
                <w:rFonts w:ascii="Arial" w:hAnsi="Arial" w:cs="Arial"/>
                <w:sz w:val="16"/>
                <w:szCs w:val="16"/>
              </w:rPr>
              <w:t>14</w:t>
            </w:r>
          </w:p>
        </w:tc>
      </w:tr>
      <w:tr w:rsidR="00CD6352" w:rsidRPr="009D0FB3" w14:paraId="32D259F8" w14:textId="77777777" w:rsidTr="00FC2689">
        <w:trPr>
          <w:trHeight w:val="285"/>
        </w:trPr>
        <w:tc>
          <w:tcPr>
            <w:tcW w:w="5020" w:type="dxa"/>
            <w:shd w:val="clear" w:color="auto" w:fill="auto"/>
            <w:noWrap/>
            <w:hideMark/>
          </w:tcPr>
          <w:p w14:paraId="53B961C8" w14:textId="77777777" w:rsidR="00CD6352" w:rsidRPr="009D0FB3" w:rsidRDefault="00CD6352" w:rsidP="00CD6352">
            <w:pPr>
              <w:rPr>
                <w:rFonts w:ascii="Arial" w:hAnsi="Arial" w:cs="Arial"/>
                <w:sz w:val="16"/>
                <w:szCs w:val="16"/>
              </w:rPr>
            </w:pPr>
            <w:r w:rsidRPr="009D0FB3">
              <w:rPr>
                <w:rFonts w:ascii="Arial" w:hAnsi="Arial" w:cs="Arial"/>
                <w:sz w:val="16"/>
                <w:szCs w:val="16"/>
              </w:rPr>
              <w:t>Lack of skills and professionalism in project development</w:t>
            </w:r>
          </w:p>
        </w:tc>
        <w:tc>
          <w:tcPr>
            <w:tcW w:w="1440" w:type="dxa"/>
            <w:shd w:val="clear" w:color="auto" w:fill="auto"/>
            <w:noWrap/>
            <w:hideMark/>
          </w:tcPr>
          <w:p w14:paraId="09E91AE3" w14:textId="77777777" w:rsidR="00CD6352" w:rsidRPr="009D0FB3" w:rsidRDefault="00CD6352" w:rsidP="00CD6352">
            <w:pPr>
              <w:rPr>
                <w:rFonts w:ascii="Arial" w:hAnsi="Arial" w:cs="Arial"/>
                <w:sz w:val="16"/>
                <w:szCs w:val="16"/>
              </w:rPr>
            </w:pPr>
            <w:r w:rsidRPr="009D0FB3">
              <w:rPr>
                <w:rFonts w:ascii="Arial" w:hAnsi="Arial" w:cs="Arial"/>
                <w:sz w:val="16"/>
                <w:szCs w:val="16"/>
              </w:rPr>
              <w:t>2.86</w:t>
            </w:r>
          </w:p>
        </w:tc>
        <w:tc>
          <w:tcPr>
            <w:tcW w:w="1080" w:type="dxa"/>
            <w:shd w:val="clear" w:color="auto" w:fill="auto"/>
            <w:noWrap/>
            <w:hideMark/>
          </w:tcPr>
          <w:p w14:paraId="4EB93927" w14:textId="77777777" w:rsidR="00CD6352" w:rsidRPr="009D0FB3" w:rsidRDefault="00CD6352" w:rsidP="00CD6352">
            <w:pPr>
              <w:rPr>
                <w:rFonts w:ascii="Arial" w:hAnsi="Arial" w:cs="Arial"/>
                <w:sz w:val="16"/>
                <w:szCs w:val="16"/>
              </w:rPr>
            </w:pPr>
            <w:r w:rsidRPr="009D0FB3">
              <w:rPr>
                <w:rFonts w:ascii="Arial" w:hAnsi="Arial" w:cs="Arial"/>
                <w:sz w:val="16"/>
                <w:szCs w:val="16"/>
              </w:rPr>
              <w:t>15</w:t>
            </w:r>
          </w:p>
        </w:tc>
      </w:tr>
      <w:tr w:rsidR="00CD6352" w:rsidRPr="009D0FB3" w14:paraId="5579D320" w14:textId="77777777" w:rsidTr="00FC2689">
        <w:trPr>
          <w:trHeight w:val="285"/>
        </w:trPr>
        <w:tc>
          <w:tcPr>
            <w:tcW w:w="5020" w:type="dxa"/>
            <w:shd w:val="clear" w:color="auto" w:fill="auto"/>
            <w:noWrap/>
            <w:hideMark/>
          </w:tcPr>
          <w:p w14:paraId="4AD25FE7" w14:textId="77777777" w:rsidR="00CD6352" w:rsidRPr="009D0FB3" w:rsidRDefault="00CD6352" w:rsidP="00CD6352">
            <w:pPr>
              <w:rPr>
                <w:rFonts w:ascii="Arial" w:hAnsi="Arial" w:cs="Arial"/>
                <w:sz w:val="16"/>
                <w:szCs w:val="16"/>
              </w:rPr>
            </w:pPr>
            <w:r w:rsidRPr="009D0FB3">
              <w:rPr>
                <w:rFonts w:ascii="Arial" w:hAnsi="Arial" w:cs="Arial"/>
                <w:sz w:val="16"/>
                <w:szCs w:val="16"/>
              </w:rPr>
              <w:t>Real estate market transparency</w:t>
            </w:r>
          </w:p>
        </w:tc>
        <w:tc>
          <w:tcPr>
            <w:tcW w:w="1440" w:type="dxa"/>
            <w:shd w:val="clear" w:color="auto" w:fill="auto"/>
            <w:noWrap/>
            <w:hideMark/>
          </w:tcPr>
          <w:p w14:paraId="03B5EE79" w14:textId="77777777" w:rsidR="00CD6352" w:rsidRPr="009D0FB3" w:rsidRDefault="00CD6352" w:rsidP="00CD6352">
            <w:pPr>
              <w:rPr>
                <w:rFonts w:ascii="Arial" w:hAnsi="Arial" w:cs="Arial"/>
                <w:sz w:val="16"/>
                <w:szCs w:val="16"/>
              </w:rPr>
            </w:pPr>
            <w:r w:rsidRPr="009D0FB3">
              <w:rPr>
                <w:rFonts w:ascii="Arial" w:hAnsi="Arial" w:cs="Arial"/>
                <w:sz w:val="16"/>
                <w:szCs w:val="16"/>
              </w:rPr>
              <w:t>2.71</w:t>
            </w:r>
          </w:p>
        </w:tc>
        <w:tc>
          <w:tcPr>
            <w:tcW w:w="1080" w:type="dxa"/>
            <w:shd w:val="clear" w:color="auto" w:fill="auto"/>
            <w:noWrap/>
            <w:hideMark/>
          </w:tcPr>
          <w:p w14:paraId="758A4B5B" w14:textId="77777777" w:rsidR="00CD6352" w:rsidRPr="009D0FB3" w:rsidRDefault="00CD6352" w:rsidP="00CD6352">
            <w:pPr>
              <w:rPr>
                <w:rFonts w:ascii="Arial" w:hAnsi="Arial" w:cs="Arial"/>
                <w:sz w:val="16"/>
                <w:szCs w:val="16"/>
              </w:rPr>
            </w:pPr>
            <w:r w:rsidRPr="009D0FB3">
              <w:rPr>
                <w:rFonts w:ascii="Arial" w:hAnsi="Arial" w:cs="Arial"/>
                <w:sz w:val="16"/>
                <w:szCs w:val="16"/>
              </w:rPr>
              <w:t>16</w:t>
            </w:r>
          </w:p>
        </w:tc>
      </w:tr>
      <w:tr w:rsidR="00CD6352" w:rsidRPr="009D0FB3" w14:paraId="6D215C0F" w14:textId="77777777" w:rsidTr="00FC2689">
        <w:trPr>
          <w:trHeight w:val="285"/>
        </w:trPr>
        <w:tc>
          <w:tcPr>
            <w:tcW w:w="5020" w:type="dxa"/>
            <w:shd w:val="clear" w:color="auto" w:fill="auto"/>
            <w:noWrap/>
            <w:hideMark/>
          </w:tcPr>
          <w:p w14:paraId="3DA55036" w14:textId="77777777" w:rsidR="00CD6352" w:rsidRPr="009D0FB3" w:rsidRDefault="00CD6352" w:rsidP="00CD6352">
            <w:pPr>
              <w:rPr>
                <w:rFonts w:ascii="Arial" w:hAnsi="Arial" w:cs="Arial"/>
                <w:sz w:val="16"/>
                <w:szCs w:val="16"/>
              </w:rPr>
            </w:pPr>
            <w:r w:rsidRPr="009D0FB3">
              <w:rPr>
                <w:rFonts w:ascii="Arial" w:hAnsi="Arial" w:cs="Arial"/>
                <w:sz w:val="16"/>
                <w:szCs w:val="16"/>
              </w:rPr>
              <w:t>Low demand for real estates and properties</w:t>
            </w:r>
          </w:p>
        </w:tc>
        <w:tc>
          <w:tcPr>
            <w:tcW w:w="1440" w:type="dxa"/>
            <w:shd w:val="clear" w:color="auto" w:fill="auto"/>
            <w:noWrap/>
            <w:hideMark/>
          </w:tcPr>
          <w:p w14:paraId="0A02FC71" w14:textId="77777777" w:rsidR="00CD6352" w:rsidRPr="009D0FB3" w:rsidRDefault="00CD6352" w:rsidP="00CD6352">
            <w:pPr>
              <w:rPr>
                <w:rFonts w:ascii="Arial" w:hAnsi="Arial" w:cs="Arial"/>
                <w:sz w:val="16"/>
                <w:szCs w:val="16"/>
              </w:rPr>
            </w:pPr>
            <w:r w:rsidRPr="009D0FB3">
              <w:rPr>
                <w:rFonts w:ascii="Arial" w:hAnsi="Arial" w:cs="Arial"/>
                <w:sz w:val="16"/>
                <w:szCs w:val="16"/>
              </w:rPr>
              <w:t>2.6</w:t>
            </w:r>
          </w:p>
        </w:tc>
        <w:tc>
          <w:tcPr>
            <w:tcW w:w="1080" w:type="dxa"/>
            <w:shd w:val="clear" w:color="auto" w:fill="auto"/>
            <w:noWrap/>
            <w:hideMark/>
          </w:tcPr>
          <w:p w14:paraId="2F9B1FD8" w14:textId="77777777" w:rsidR="00CD6352" w:rsidRPr="009D0FB3" w:rsidRDefault="00CD6352" w:rsidP="00CD6352">
            <w:pPr>
              <w:rPr>
                <w:rFonts w:ascii="Arial" w:hAnsi="Arial" w:cs="Arial"/>
                <w:sz w:val="16"/>
                <w:szCs w:val="16"/>
              </w:rPr>
            </w:pPr>
            <w:r w:rsidRPr="009D0FB3">
              <w:rPr>
                <w:rFonts w:ascii="Arial" w:hAnsi="Arial" w:cs="Arial"/>
                <w:sz w:val="16"/>
                <w:szCs w:val="16"/>
              </w:rPr>
              <w:t>17</w:t>
            </w:r>
          </w:p>
        </w:tc>
      </w:tr>
      <w:tr w:rsidR="00CD6352" w:rsidRPr="009D0FB3" w14:paraId="4CEE5C37" w14:textId="77777777" w:rsidTr="00FC2689">
        <w:trPr>
          <w:trHeight w:val="285"/>
        </w:trPr>
        <w:tc>
          <w:tcPr>
            <w:tcW w:w="5020" w:type="dxa"/>
            <w:shd w:val="clear" w:color="auto" w:fill="auto"/>
            <w:noWrap/>
            <w:hideMark/>
          </w:tcPr>
          <w:p w14:paraId="33D5AD4D" w14:textId="77777777" w:rsidR="00CD6352" w:rsidRPr="009D0FB3" w:rsidRDefault="00CD6352" w:rsidP="00CD6352">
            <w:pPr>
              <w:rPr>
                <w:rFonts w:ascii="Arial" w:hAnsi="Arial" w:cs="Arial"/>
                <w:sz w:val="16"/>
                <w:szCs w:val="16"/>
              </w:rPr>
            </w:pPr>
            <w:r w:rsidRPr="009D0FB3">
              <w:rPr>
                <w:rFonts w:ascii="Arial" w:hAnsi="Arial" w:cs="Arial"/>
                <w:sz w:val="16"/>
                <w:szCs w:val="16"/>
              </w:rPr>
              <w:t xml:space="preserve">Terrorism </w:t>
            </w:r>
          </w:p>
        </w:tc>
        <w:tc>
          <w:tcPr>
            <w:tcW w:w="1440" w:type="dxa"/>
            <w:shd w:val="clear" w:color="auto" w:fill="auto"/>
            <w:noWrap/>
            <w:hideMark/>
          </w:tcPr>
          <w:p w14:paraId="27663492" w14:textId="77777777" w:rsidR="00CD6352" w:rsidRPr="009D0FB3" w:rsidRDefault="00CD6352" w:rsidP="00CD6352">
            <w:pPr>
              <w:rPr>
                <w:rFonts w:ascii="Arial" w:hAnsi="Arial" w:cs="Arial"/>
                <w:sz w:val="16"/>
                <w:szCs w:val="16"/>
              </w:rPr>
            </w:pPr>
            <w:r w:rsidRPr="009D0FB3">
              <w:rPr>
                <w:rFonts w:ascii="Arial" w:hAnsi="Arial" w:cs="Arial"/>
                <w:sz w:val="16"/>
                <w:szCs w:val="16"/>
              </w:rPr>
              <w:t>2.56</w:t>
            </w:r>
          </w:p>
        </w:tc>
        <w:tc>
          <w:tcPr>
            <w:tcW w:w="1080" w:type="dxa"/>
            <w:shd w:val="clear" w:color="auto" w:fill="auto"/>
            <w:noWrap/>
            <w:hideMark/>
          </w:tcPr>
          <w:p w14:paraId="16FB9777" w14:textId="77777777" w:rsidR="00CD6352" w:rsidRPr="009D0FB3" w:rsidRDefault="00CD6352" w:rsidP="00CD6352">
            <w:pPr>
              <w:rPr>
                <w:rFonts w:ascii="Arial" w:hAnsi="Arial" w:cs="Arial"/>
                <w:sz w:val="16"/>
                <w:szCs w:val="16"/>
              </w:rPr>
            </w:pPr>
            <w:r w:rsidRPr="009D0FB3">
              <w:rPr>
                <w:rFonts w:ascii="Arial" w:hAnsi="Arial" w:cs="Arial"/>
                <w:sz w:val="16"/>
                <w:szCs w:val="16"/>
              </w:rPr>
              <w:t>18</w:t>
            </w:r>
          </w:p>
        </w:tc>
      </w:tr>
      <w:tr w:rsidR="00CD6352" w:rsidRPr="009D0FB3" w14:paraId="0B604771" w14:textId="77777777" w:rsidTr="00FC2689">
        <w:trPr>
          <w:trHeight w:val="285"/>
        </w:trPr>
        <w:tc>
          <w:tcPr>
            <w:tcW w:w="5020" w:type="dxa"/>
            <w:shd w:val="clear" w:color="auto" w:fill="auto"/>
            <w:noWrap/>
            <w:hideMark/>
          </w:tcPr>
          <w:p w14:paraId="6F54755B" w14:textId="77777777" w:rsidR="00CD6352" w:rsidRPr="009D0FB3" w:rsidRDefault="00CD6352" w:rsidP="00CD6352">
            <w:pPr>
              <w:rPr>
                <w:rFonts w:ascii="Arial" w:hAnsi="Arial" w:cs="Arial"/>
                <w:sz w:val="16"/>
                <w:szCs w:val="16"/>
              </w:rPr>
            </w:pPr>
            <w:r w:rsidRPr="009D0FB3">
              <w:rPr>
                <w:rFonts w:ascii="Arial" w:hAnsi="Arial" w:cs="Arial"/>
                <w:sz w:val="16"/>
                <w:szCs w:val="16"/>
              </w:rPr>
              <w:t xml:space="preserve">Population shrinking and ageing </w:t>
            </w:r>
          </w:p>
        </w:tc>
        <w:tc>
          <w:tcPr>
            <w:tcW w:w="1440" w:type="dxa"/>
            <w:shd w:val="clear" w:color="auto" w:fill="auto"/>
            <w:noWrap/>
            <w:hideMark/>
          </w:tcPr>
          <w:p w14:paraId="162719EC" w14:textId="77777777" w:rsidR="00CD6352" w:rsidRPr="009D0FB3" w:rsidRDefault="00CD6352" w:rsidP="00CD6352">
            <w:pPr>
              <w:rPr>
                <w:rFonts w:ascii="Arial" w:hAnsi="Arial" w:cs="Arial"/>
                <w:sz w:val="16"/>
                <w:szCs w:val="16"/>
              </w:rPr>
            </w:pPr>
            <w:r w:rsidRPr="009D0FB3">
              <w:rPr>
                <w:rFonts w:ascii="Arial" w:hAnsi="Arial" w:cs="Arial"/>
                <w:sz w:val="16"/>
                <w:szCs w:val="16"/>
              </w:rPr>
              <w:t>2.13</w:t>
            </w:r>
          </w:p>
        </w:tc>
        <w:tc>
          <w:tcPr>
            <w:tcW w:w="1080" w:type="dxa"/>
            <w:shd w:val="clear" w:color="auto" w:fill="auto"/>
            <w:noWrap/>
            <w:hideMark/>
          </w:tcPr>
          <w:p w14:paraId="751A41EE" w14:textId="77777777" w:rsidR="00CD6352" w:rsidRPr="009D0FB3" w:rsidRDefault="00CD6352" w:rsidP="00CD6352">
            <w:pPr>
              <w:rPr>
                <w:rFonts w:ascii="Arial" w:hAnsi="Arial" w:cs="Arial"/>
                <w:sz w:val="16"/>
                <w:szCs w:val="16"/>
              </w:rPr>
            </w:pPr>
            <w:r w:rsidRPr="009D0FB3">
              <w:rPr>
                <w:rFonts w:ascii="Arial" w:hAnsi="Arial" w:cs="Arial"/>
                <w:sz w:val="16"/>
                <w:szCs w:val="16"/>
              </w:rPr>
              <w:t>19</w:t>
            </w:r>
          </w:p>
        </w:tc>
      </w:tr>
    </w:tbl>
    <w:p w14:paraId="07A176D2" w14:textId="77777777" w:rsidR="00CD6352" w:rsidRPr="009D0FB3" w:rsidRDefault="00CD6352" w:rsidP="00CD6352">
      <w:pPr>
        <w:spacing w:line="360" w:lineRule="auto"/>
        <w:jc w:val="both"/>
        <w:rPr>
          <w:rFonts w:ascii="Arial" w:hAnsi="Arial" w:cs="Arial"/>
          <w:sz w:val="16"/>
          <w:szCs w:val="16"/>
        </w:rPr>
      </w:pPr>
      <w:r w:rsidRPr="009D0FB3">
        <w:rPr>
          <w:rFonts w:ascii="Arial" w:hAnsi="Arial" w:cs="Arial"/>
          <w:sz w:val="16"/>
          <w:szCs w:val="16"/>
        </w:rPr>
        <w:t>1(Not challenging at all), 2(Less challenging), 3(Fairly challenging), 4 (Challenging) 5 (very challenging)</w:t>
      </w:r>
    </w:p>
    <w:p w14:paraId="46448150" w14:textId="170DD385" w:rsidR="00CD6352" w:rsidRDefault="00CD6352" w:rsidP="00CD6352">
      <w:pPr>
        <w:spacing w:line="360" w:lineRule="auto"/>
        <w:jc w:val="both"/>
        <w:rPr>
          <w:rFonts w:ascii="Arial" w:hAnsi="Arial" w:cs="Arial"/>
        </w:rPr>
      </w:pPr>
      <w:r w:rsidRPr="00EA7665">
        <w:rPr>
          <w:rFonts w:ascii="Arial" w:hAnsi="Arial" w:cs="Arial"/>
        </w:rPr>
        <w:t xml:space="preserve">The challenges </w:t>
      </w:r>
      <w:r>
        <w:rPr>
          <w:rFonts w:ascii="Arial" w:hAnsi="Arial" w:cs="Arial"/>
        </w:rPr>
        <w:t>were</w:t>
      </w:r>
      <w:r w:rsidRPr="00EA7665">
        <w:rPr>
          <w:rFonts w:ascii="Arial" w:hAnsi="Arial" w:cs="Arial"/>
        </w:rPr>
        <w:t xml:space="preserve"> further analysed at the disaggregate level to show the degree of challenges associated with securing finance for real estate project development managers</w:t>
      </w:r>
      <w:r>
        <w:rPr>
          <w:rFonts w:ascii="Arial" w:hAnsi="Arial" w:cs="Arial"/>
        </w:rPr>
        <w:t xml:space="preserve"> </w:t>
      </w:r>
      <w:r w:rsidRPr="00EA7665">
        <w:rPr>
          <w:rFonts w:ascii="Arial" w:hAnsi="Arial" w:cs="Arial"/>
        </w:rPr>
        <w:t xml:space="preserve">in the </w:t>
      </w:r>
      <w:r w:rsidR="00C40C60">
        <w:rPr>
          <w:rFonts w:ascii="Arial" w:hAnsi="Arial" w:cs="Arial"/>
        </w:rPr>
        <w:t xml:space="preserve">individual </w:t>
      </w:r>
      <w:r w:rsidRPr="00EA7665">
        <w:rPr>
          <w:rFonts w:ascii="Arial" w:hAnsi="Arial" w:cs="Arial"/>
        </w:rPr>
        <w:t>developed and emerging economies</w:t>
      </w:r>
      <w:r>
        <w:rPr>
          <w:rFonts w:ascii="Arial" w:hAnsi="Arial" w:cs="Arial"/>
        </w:rPr>
        <w:t xml:space="preserve"> (see table 6.</w:t>
      </w:r>
      <w:r w:rsidR="002A67C0">
        <w:rPr>
          <w:rFonts w:ascii="Arial" w:hAnsi="Arial" w:cs="Arial"/>
        </w:rPr>
        <w:t>3.3</w:t>
      </w:r>
      <w:r>
        <w:rPr>
          <w:rFonts w:ascii="Arial" w:hAnsi="Arial" w:cs="Arial"/>
        </w:rPr>
        <w:t>).</w:t>
      </w:r>
      <w:r w:rsidRPr="00EA7665">
        <w:rPr>
          <w:rFonts w:ascii="Arial" w:hAnsi="Arial" w:cs="Arial"/>
        </w:rPr>
        <w:t xml:space="preserve"> </w:t>
      </w:r>
    </w:p>
    <w:p w14:paraId="4D21B061" w14:textId="540C1E2C" w:rsidR="00CD6352" w:rsidRPr="00EA7665" w:rsidRDefault="00CD6352" w:rsidP="00CD6352">
      <w:pPr>
        <w:pStyle w:val="Heading3"/>
        <w:rPr>
          <w:rFonts w:cs="Arial"/>
          <w:sz w:val="22"/>
          <w:szCs w:val="22"/>
        </w:rPr>
      </w:pPr>
      <w:bookmarkStart w:id="1182" w:name="_Toc76494123"/>
      <w:bookmarkStart w:id="1183" w:name="_Toc77600789"/>
      <w:bookmarkStart w:id="1184" w:name="_Toc77939361"/>
      <w:bookmarkStart w:id="1185" w:name="_Toc77949155"/>
      <w:bookmarkStart w:id="1186" w:name="_Toc76494124"/>
      <w:bookmarkStart w:id="1187" w:name="_Toc77600790"/>
      <w:bookmarkStart w:id="1188" w:name="_Toc77939362"/>
      <w:bookmarkStart w:id="1189" w:name="_Toc77949156"/>
      <w:bookmarkStart w:id="1190" w:name="_Toc76494125"/>
      <w:bookmarkStart w:id="1191" w:name="_Toc77600791"/>
      <w:bookmarkStart w:id="1192" w:name="_Toc77939363"/>
      <w:bookmarkStart w:id="1193" w:name="_Toc77949157"/>
      <w:bookmarkStart w:id="1194" w:name="_Toc76494126"/>
      <w:bookmarkStart w:id="1195" w:name="_Toc77600792"/>
      <w:bookmarkStart w:id="1196" w:name="_Toc77939364"/>
      <w:bookmarkStart w:id="1197" w:name="_Toc77949158"/>
      <w:bookmarkStart w:id="1198" w:name="_Toc76494127"/>
      <w:bookmarkStart w:id="1199" w:name="_Toc77600793"/>
      <w:bookmarkStart w:id="1200" w:name="_Toc77939365"/>
      <w:bookmarkStart w:id="1201" w:name="_Toc77949159"/>
      <w:bookmarkStart w:id="1202" w:name="_Toc76494128"/>
      <w:bookmarkStart w:id="1203" w:name="_Toc77600794"/>
      <w:bookmarkStart w:id="1204" w:name="_Toc77939366"/>
      <w:bookmarkStart w:id="1205" w:name="_Toc77949160"/>
      <w:bookmarkStart w:id="1206" w:name="_Toc76494129"/>
      <w:bookmarkStart w:id="1207" w:name="_Toc77600795"/>
      <w:bookmarkStart w:id="1208" w:name="_Toc77939367"/>
      <w:bookmarkStart w:id="1209" w:name="_Toc77949161"/>
      <w:bookmarkStart w:id="1210" w:name="_Toc78983867"/>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sidRPr="00EA7665">
        <w:rPr>
          <w:rFonts w:cs="Arial"/>
          <w:sz w:val="22"/>
          <w:szCs w:val="22"/>
        </w:rPr>
        <w:t xml:space="preserve">Questionnaire survey analysis and discussion at the disaggregate </w:t>
      </w:r>
      <w:r w:rsidR="001E27E7" w:rsidRPr="00EA7665">
        <w:rPr>
          <w:rFonts w:cs="Arial"/>
          <w:sz w:val="22"/>
          <w:szCs w:val="22"/>
        </w:rPr>
        <w:t>level.</w:t>
      </w:r>
      <w:bookmarkEnd w:id="1210"/>
    </w:p>
    <w:p w14:paraId="20785CAC" w14:textId="77777777" w:rsidR="00CD6352" w:rsidRPr="00EA7665" w:rsidRDefault="00CD6352" w:rsidP="00CD6352"/>
    <w:p w14:paraId="7215715C" w14:textId="77231CCB" w:rsidR="002A67C0" w:rsidRPr="002A67C0" w:rsidRDefault="002A67C0" w:rsidP="002A67C0">
      <w:pPr>
        <w:pStyle w:val="Caption"/>
        <w:keepNext/>
        <w:rPr>
          <w:rFonts w:ascii="Arial" w:hAnsi="Arial" w:cs="Arial"/>
          <w:sz w:val="16"/>
          <w:szCs w:val="16"/>
        </w:rPr>
      </w:pPr>
      <w:bookmarkStart w:id="1211" w:name="_Toc78983985"/>
      <w:r w:rsidRPr="002A67C0">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2A67C0">
        <w:rPr>
          <w:rFonts w:ascii="Arial" w:hAnsi="Arial" w:cs="Arial"/>
          <w:sz w:val="16"/>
          <w:szCs w:val="16"/>
        </w:rPr>
        <w:t>: The mean score of challenges associated with securing finance for real estate project development at the dis-aggregate level.</w:t>
      </w:r>
      <w:bookmarkEnd w:id="1211"/>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129"/>
        <w:gridCol w:w="567"/>
        <w:gridCol w:w="531"/>
        <w:gridCol w:w="664"/>
        <w:gridCol w:w="648"/>
        <w:gridCol w:w="709"/>
        <w:gridCol w:w="709"/>
        <w:gridCol w:w="708"/>
        <w:gridCol w:w="709"/>
        <w:gridCol w:w="709"/>
        <w:gridCol w:w="682"/>
        <w:gridCol w:w="643"/>
        <w:gridCol w:w="608"/>
      </w:tblGrid>
      <w:tr w:rsidR="00CD6352" w:rsidRPr="002A67C0" w14:paraId="3921685D" w14:textId="77777777" w:rsidTr="00CD6352">
        <w:tc>
          <w:tcPr>
            <w:tcW w:w="1129" w:type="dxa"/>
          </w:tcPr>
          <w:p w14:paraId="2CC47D95"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 xml:space="preserve">Challenges in securing finance for real estate project development </w:t>
            </w:r>
          </w:p>
        </w:tc>
        <w:tc>
          <w:tcPr>
            <w:tcW w:w="1098" w:type="dxa"/>
            <w:gridSpan w:val="2"/>
          </w:tcPr>
          <w:p w14:paraId="091294F3"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D1=Germany</w:t>
            </w:r>
          </w:p>
          <w:p w14:paraId="28E8DD42"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N= 5</w:t>
            </w:r>
          </w:p>
        </w:tc>
        <w:tc>
          <w:tcPr>
            <w:tcW w:w="1312" w:type="dxa"/>
            <w:gridSpan w:val="2"/>
          </w:tcPr>
          <w:p w14:paraId="087D028C"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D2= UK</w:t>
            </w:r>
          </w:p>
          <w:p w14:paraId="3ED778F8"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N= 20</w:t>
            </w:r>
          </w:p>
        </w:tc>
        <w:tc>
          <w:tcPr>
            <w:tcW w:w="1418" w:type="dxa"/>
            <w:gridSpan w:val="2"/>
          </w:tcPr>
          <w:p w14:paraId="6B48A034"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D3=US</w:t>
            </w:r>
          </w:p>
          <w:p w14:paraId="5C36CA20"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N= 8</w:t>
            </w:r>
          </w:p>
        </w:tc>
        <w:tc>
          <w:tcPr>
            <w:tcW w:w="1417" w:type="dxa"/>
            <w:gridSpan w:val="2"/>
          </w:tcPr>
          <w:p w14:paraId="3CF5025F"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E1=China</w:t>
            </w:r>
          </w:p>
          <w:p w14:paraId="1E68BAB3"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N=11</w:t>
            </w:r>
          </w:p>
        </w:tc>
        <w:tc>
          <w:tcPr>
            <w:tcW w:w="1391" w:type="dxa"/>
            <w:gridSpan w:val="2"/>
          </w:tcPr>
          <w:p w14:paraId="32CF23BE"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E2=Nigeria</w:t>
            </w:r>
          </w:p>
          <w:p w14:paraId="4F9B0B23"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N=26</w:t>
            </w:r>
          </w:p>
        </w:tc>
        <w:tc>
          <w:tcPr>
            <w:tcW w:w="1251" w:type="dxa"/>
            <w:gridSpan w:val="2"/>
          </w:tcPr>
          <w:p w14:paraId="0A0712C3"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E3= South Africa</w:t>
            </w:r>
          </w:p>
          <w:p w14:paraId="4C677C89"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N=11</w:t>
            </w:r>
          </w:p>
        </w:tc>
      </w:tr>
      <w:tr w:rsidR="00CD6352" w:rsidRPr="002A67C0" w14:paraId="086048F9" w14:textId="77777777" w:rsidTr="00CD6352">
        <w:tc>
          <w:tcPr>
            <w:tcW w:w="1129" w:type="dxa"/>
          </w:tcPr>
          <w:p w14:paraId="51AD9465" w14:textId="77777777" w:rsidR="00CD6352" w:rsidRPr="002A67C0" w:rsidRDefault="00CD6352" w:rsidP="00CD6352">
            <w:pPr>
              <w:jc w:val="both"/>
              <w:rPr>
                <w:rFonts w:ascii="Arial" w:hAnsi="Arial" w:cs="Arial"/>
                <w:b/>
                <w:sz w:val="16"/>
                <w:szCs w:val="16"/>
              </w:rPr>
            </w:pPr>
          </w:p>
        </w:tc>
        <w:tc>
          <w:tcPr>
            <w:tcW w:w="567" w:type="dxa"/>
          </w:tcPr>
          <w:p w14:paraId="0B22D404"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 xml:space="preserve">Mean score </w:t>
            </w:r>
          </w:p>
        </w:tc>
        <w:tc>
          <w:tcPr>
            <w:tcW w:w="531" w:type="dxa"/>
          </w:tcPr>
          <w:p w14:paraId="522C5174"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 xml:space="preserve">Rank </w:t>
            </w:r>
          </w:p>
        </w:tc>
        <w:tc>
          <w:tcPr>
            <w:tcW w:w="664" w:type="dxa"/>
          </w:tcPr>
          <w:p w14:paraId="093DAB3B"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 xml:space="preserve">Mean score </w:t>
            </w:r>
          </w:p>
        </w:tc>
        <w:tc>
          <w:tcPr>
            <w:tcW w:w="648" w:type="dxa"/>
          </w:tcPr>
          <w:p w14:paraId="1DDEB2FA"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 xml:space="preserve">Rank </w:t>
            </w:r>
          </w:p>
        </w:tc>
        <w:tc>
          <w:tcPr>
            <w:tcW w:w="709" w:type="dxa"/>
          </w:tcPr>
          <w:p w14:paraId="0384F1AC"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Mean score</w:t>
            </w:r>
          </w:p>
        </w:tc>
        <w:tc>
          <w:tcPr>
            <w:tcW w:w="709" w:type="dxa"/>
          </w:tcPr>
          <w:p w14:paraId="1E380696"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Rank</w:t>
            </w:r>
          </w:p>
        </w:tc>
        <w:tc>
          <w:tcPr>
            <w:tcW w:w="708" w:type="dxa"/>
          </w:tcPr>
          <w:p w14:paraId="66617DAF"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Mean score</w:t>
            </w:r>
          </w:p>
        </w:tc>
        <w:tc>
          <w:tcPr>
            <w:tcW w:w="709" w:type="dxa"/>
          </w:tcPr>
          <w:p w14:paraId="451F9092"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Rank</w:t>
            </w:r>
          </w:p>
        </w:tc>
        <w:tc>
          <w:tcPr>
            <w:tcW w:w="709" w:type="dxa"/>
          </w:tcPr>
          <w:p w14:paraId="66F9FD64"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Mean score</w:t>
            </w:r>
          </w:p>
        </w:tc>
        <w:tc>
          <w:tcPr>
            <w:tcW w:w="682" w:type="dxa"/>
          </w:tcPr>
          <w:p w14:paraId="1F7AC2B1"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Rank</w:t>
            </w:r>
          </w:p>
        </w:tc>
        <w:tc>
          <w:tcPr>
            <w:tcW w:w="643" w:type="dxa"/>
          </w:tcPr>
          <w:p w14:paraId="438BC037"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Mean score</w:t>
            </w:r>
          </w:p>
        </w:tc>
        <w:tc>
          <w:tcPr>
            <w:tcW w:w="608" w:type="dxa"/>
          </w:tcPr>
          <w:p w14:paraId="6359D57F" w14:textId="77777777" w:rsidR="00CD6352" w:rsidRPr="002A67C0" w:rsidRDefault="00CD6352" w:rsidP="00CD6352">
            <w:pPr>
              <w:jc w:val="both"/>
              <w:rPr>
                <w:rFonts w:ascii="Arial" w:hAnsi="Arial" w:cs="Arial"/>
                <w:b/>
                <w:sz w:val="16"/>
                <w:szCs w:val="16"/>
              </w:rPr>
            </w:pPr>
            <w:r w:rsidRPr="002A67C0">
              <w:rPr>
                <w:rFonts w:ascii="Arial" w:hAnsi="Arial" w:cs="Arial"/>
                <w:b/>
                <w:sz w:val="16"/>
                <w:szCs w:val="16"/>
              </w:rPr>
              <w:t>Rank</w:t>
            </w:r>
          </w:p>
        </w:tc>
      </w:tr>
      <w:tr w:rsidR="00CD6352" w:rsidRPr="002A67C0" w14:paraId="4D56C756" w14:textId="77777777" w:rsidTr="00CD6352">
        <w:tc>
          <w:tcPr>
            <w:tcW w:w="1129" w:type="dxa"/>
          </w:tcPr>
          <w:p w14:paraId="70DC382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Corruption</w:t>
            </w:r>
          </w:p>
        </w:tc>
        <w:tc>
          <w:tcPr>
            <w:tcW w:w="567" w:type="dxa"/>
          </w:tcPr>
          <w:p w14:paraId="4B62CC6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531" w:type="dxa"/>
          </w:tcPr>
          <w:p w14:paraId="2848EAC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c>
          <w:tcPr>
            <w:tcW w:w="664" w:type="dxa"/>
          </w:tcPr>
          <w:p w14:paraId="1063C03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48" w:type="dxa"/>
          </w:tcPr>
          <w:p w14:paraId="5DD0E0D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7</w:t>
            </w:r>
          </w:p>
        </w:tc>
        <w:tc>
          <w:tcPr>
            <w:tcW w:w="709" w:type="dxa"/>
          </w:tcPr>
          <w:p w14:paraId="314F0F3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2.00</w:t>
            </w:r>
          </w:p>
        </w:tc>
        <w:tc>
          <w:tcPr>
            <w:tcW w:w="709" w:type="dxa"/>
          </w:tcPr>
          <w:p w14:paraId="4107B32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w:t>
            </w:r>
          </w:p>
        </w:tc>
        <w:tc>
          <w:tcPr>
            <w:tcW w:w="708" w:type="dxa"/>
          </w:tcPr>
          <w:p w14:paraId="5F6FE66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3.40</w:t>
            </w:r>
          </w:p>
        </w:tc>
        <w:tc>
          <w:tcPr>
            <w:tcW w:w="709" w:type="dxa"/>
          </w:tcPr>
          <w:p w14:paraId="62E61EE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6</w:t>
            </w:r>
          </w:p>
        </w:tc>
        <w:tc>
          <w:tcPr>
            <w:tcW w:w="709" w:type="dxa"/>
          </w:tcPr>
          <w:p w14:paraId="313D8EC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4.38</w:t>
            </w:r>
          </w:p>
        </w:tc>
        <w:tc>
          <w:tcPr>
            <w:tcW w:w="682" w:type="dxa"/>
          </w:tcPr>
          <w:p w14:paraId="219BBEA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w:t>
            </w:r>
          </w:p>
        </w:tc>
        <w:tc>
          <w:tcPr>
            <w:tcW w:w="643" w:type="dxa"/>
          </w:tcPr>
          <w:p w14:paraId="6EEE4D1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08" w:type="dxa"/>
          </w:tcPr>
          <w:p w14:paraId="471009D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11</w:t>
            </w:r>
          </w:p>
        </w:tc>
      </w:tr>
      <w:tr w:rsidR="00CD6352" w:rsidRPr="002A67C0" w14:paraId="3C477E75" w14:textId="77777777" w:rsidTr="00CD6352">
        <w:tc>
          <w:tcPr>
            <w:tcW w:w="1129" w:type="dxa"/>
          </w:tcPr>
          <w:p w14:paraId="152A119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 xml:space="preserve">Currency risk/ exchange rate volatility </w:t>
            </w:r>
          </w:p>
        </w:tc>
        <w:tc>
          <w:tcPr>
            <w:tcW w:w="567" w:type="dxa"/>
          </w:tcPr>
          <w:p w14:paraId="09F1EEE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2.25</w:t>
            </w:r>
          </w:p>
        </w:tc>
        <w:tc>
          <w:tcPr>
            <w:tcW w:w="531" w:type="dxa"/>
          </w:tcPr>
          <w:p w14:paraId="2165EE7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w:t>
            </w:r>
          </w:p>
        </w:tc>
        <w:tc>
          <w:tcPr>
            <w:tcW w:w="664" w:type="dxa"/>
          </w:tcPr>
          <w:p w14:paraId="5E7A95C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2.67</w:t>
            </w:r>
          </w:p>
        </w:tc>
        <w:tc>
          <w:tcPr>
            <w:tcW w:w="648" w:type="dxa"/>
          </w:tcPr>
          <w:p w14:paraId="1FD032B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12</w:t>
            </w:r>
          </w:p>
        </w:tc>
        <w:tc>
          <w:tcPr>
            <w:tcW w:w="709" w:type="dxa"/>
          </w:tcPr>
          <w:p w14:paraId="11360D9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2.00</w:t>
            </w:r>
          </w:p>
        </w:tc>
        <w:tc>
          <w:tcPr>
            <w:tcW w:w="709" w:type="dxa"/>
          </w:tcPr>
          <w:p w14:paraId="61B335E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w:t>
            </w:r>
          </w:p>
        </w:tc>
        <w:tc>
          <w:tcPr>
            <w:tcW w:w="708" w:type="dxa"/>
          </w:tcPr>
          <w:p w14:paraId="33281B5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3.20</w:t>
            </w:r>
          </w:p>
        </w:tc>
        <w:tc>
          <w:tcPr>
            <w:tcW w:w="709" w:type="dxa"/>
          </w:tcPr>
          <w:p w14:paraId="24AE91F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9</w:t>
            </w:r>
          </w:p>
        </w:tc>
        <w:tc>
          <w:tcPr>
            <w:tcW w:w="709" w:type="dxa"/>
          </w:tcPr>
          <w:p w14:paraId="58222F4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4.25</w:t>
            </w:r>
          </w:p>
        </w:tc>
        <w:tc>
          <w:tcPr>
            <w:tcW w:w="682" w:type="dxa"/>
          </w:tcPr>
          <w:p w14:paraId="327DB23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5</w:t>
            </w:r>
          </w:p>
        </w:tc>
        <w:tc>
          <w:tcPr>
            <w:tcW w:w="643" w:type="dxa"/>
          </w:tcPr>
          <w:p w14:paraId="1B2B54A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3.75</w:t>
            </w:r>
          </w:p>
        </w:tc>
        <w:tc>
          <w:tcPr>
            <w:tcW w:w="608" w:type="dxa"/>
          </w:tcPr>
          <w:p w14:paraId="685C697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w:t>
            </w:r>
          </w:p>
        </w:tc>
      </w:tr>
      <w:tr w:rsidR="00CD6352" w:rsidRPr="002A67C0" w14:paraId="3BEEE8C7" w14:textId="77777777" w:rsidTr="00CD6352">
        <w:tc>
          <w:tcPr>
            <w:tcW w:w="1129" w:type="dxa"/>
          </w:tcPr>
          <w:p w14:paraId="1DCB222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Difficult land use and ownership laws</w:t>
            </w:r>
          </w:p>
        </w:tc>
        <w:tc>
          <w:tcPr>
            <w:tcW w:w="567" w:type="dxa"/>
          </w:tcPr>
          <w:p w14:paraId="14E8F46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531" w:type="dxa"/>
          </w:tcPr>
          <w:p w14:paraId="47F3DD0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7</w:t>
            </w:r>
          </w:p>
        </w:tc>
        <w:tc>
          <w:tcPr>
            <w:tcW w:w="664" w:type="dxa"/>
          </w:tcPr>
          <w:p w14:paraId="7173C47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4.25</w:t>
            </w:r>
          </w:p>
        </w:tc>
        <w:tc>
          <w:tcPr>
            <w:tcW w:w="648" w:type="dxa"/>
          </w:tcPr>
          <w:p w14:paraId="0145D2E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w:t>
            </w:r>
          </w:p>
        </w:tc>
        <w:tc>
          <w:tcPr>
            <w:tcW w:w="709" w:type="dxa"/>
          </w:tcPr>
          <w:p w14:paraId="6EB93D3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709" w:type="dxa"/>
          </w:tcPr>
          <w:p w14:paraId="536F2C0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7</w:t>
            </w:r>
          </w:p>
        </w:tc>
        <w:tc>
          <w:tcPr>
            <w:tcW w:w="708" w:type="dxa"/>
          </w:tcPr>
          <w:p w14:paraId="6AF89F8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3.75</w:t>
            </w:r>
          </w:p>
        </w:tc>
        <w:tc>
          <w:tcPr>
            <w:tcW w:w="709" w:type="dxa"/>
          </w:tcPr>
          <w:p w14:paraId="5F0D8EA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w:t>
            </w:r>
          </w:p>
        </w:tc>
        <w:tc>
          <w:tcPr>
            <w:tcW w:w="709" w:type="dxa"/>
          </w:tcPr>
          <w:p w14:paraId="2625AF8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3.64</w:t>
            </w:r>
          </w:p>
        </w:tc>
        <w:tc>
          <w:tcPr>
            <w:tcW w:w="682" w:type="dxa"/>
          </w:tcPr>
          <w:p w14:paraId="0ECA826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12</w:t>
            </w:r>
          </w:p>
        </w:tc>
        <w:tc>
          <w:tcPr>
            <w:tcW w:w="643" w:type="dxa"/>
          </w:tcPr>
          <w:p w14:paraId="09F8F55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08" w:type="dxa"/>
          </w:tcPr>
          <w:p w14:paraId="2EE9019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12</w:t>
            </w:r>
          </w:p>
        </w:tc>
      </w:tr>
      <w:tr w:rsidR="00CD6352" w:rsidRPr="002A67C0" w14:paraId="25BF88A8" w14:textId="77777777" w:rsidTr="00CD6352">
        <w:tc>
          <w:tcPr>
            <w:tcW w:w="1129" w:type="dxa"/>
          </w:tcPr>
          <w:p w14:paraId="5764FBD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lastRenderedPageBreak/>
              <w:t>Difficult lending criteria by financiers</w:t>
            </w:r>
          </w:p>
        </w:tc>
        <w:tc>
          <w:tcPr>
            <w:tcW w:w="567" w:type="dxa"/>
          </w:tcPr>
          <w:p w14:paraId="581EA0B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531" w:type="dxa"/>
          </w:tcPr>
          <w:p w14:paraId="2A07F04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8</w:t>
            </w:r>
          </w:p>
        </w:tc>
        <w:tc>
          <w:tcPr>
            <w:tcW w:w="664" w:type="dxa"/>
          </w:tcPr>
          <w:p w14:paraId="0D9AD52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48" w:type="dxa"/>
          </w:tcPr>
          <w:p w14:paraId="07EFF37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8</w:t>
            </w:r>
          </w:p>
        </w:tc>
        <w:tc>
          <w:tcPr>
            <w:tcW w:w="709" w:type="dxa"/>
          </w:tcPr>
          <w:p w14:paraId="1B5BDBD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2E0DCF7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w:t>
            </w:r>
          </w:p>
        </w:tc>
        <w:tc>
          <w:tcPr>
            <w:tcW w:w="708" w:type="dxa"/>
          </w:tcPr>
          <w:p w14:paraId="62DD454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3.80</w:t>
            </w:r>
          </w:p>
        </w:tc>
        <w:tc>
          <w:tcPr>
            <w:tcW w:w="709" w:type="dxa"/>
          </w:tcPr>
          <w:p w14:paraId="5DB772F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w:t>
            </w:r>
          </w:p>
        </w:tc>
        <w:tc>
          <w:tcPr>
            <w:tcW w:w="709" w:type="dxa"/>
          </w:tcPr>
          <w:p w14:paraId="61C2FE3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4.00</w:t>
            </w:r>
          </w:p>
        </w:tc>
        <w:tc>
          <w:tcPr>
            <w:tcW w:w="682" w:type="dxa"/>
          </w:tcPr>
          <w:p w14:paraId="10A0826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8</w:t>
            </w:r>
          </w:p>
        </w:tc>
        <w:tc>
          <w:tcPr>
            <w:tcW w:w="643" w:type="dxa"/>
          </w:tcPr>
          <w:p w14:paraId="78B7F9F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4.00</w:t>
            </w:r>
          </w:p>
        </w:tc>
        <w:tc>
          <w:tcPr>
            <w:tcW w:w="608" w:type="dxa"/>
          </w:tcPr>
          <w:p w14:paraId="44FC7FC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w:t>
            </w:r>
          </w:p>
        </w:tc>
      </w:tr>
      <w:tr w:rsidR="00CD6352" w:rsidRPr="002A67C0" w14:paraId="1F5AFD1F" w14:textId="77777777" w:rsidTr="00CD6352">
        <w:tc>
          <w:tcPr>
            <w:tcW w:w="1129" w:type="dxa"/>
          </w:tcPr>
          <w:p w14:paraId="3FEA5CD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Excessive collateral requirement</w:t>
            </w:r>
          </w:p>
        </w:tc>
        <w:tc>
          <w:tcPr>
            <w:tcW w:w="567" w:type="dxa"/>
          </w:tcPr>
          <w:p w14:paraId="1CF771D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531" w:type="dxa"/>
          </w:tcPr>
          <w:p w14:paraId="5BD78D5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w:t>
            </w:r>
          </w:p>
        </w:tc>
        <w:tc>
          <w:tcPr>
            <w:tcW w:w="664" w:type="dxa"/>
          </w:tcPr>
          <w:p w14:paraId="77551D1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48" w:type="dxa"/>
          </w:tcPr>
          <w:p w14:paraId="1749CBD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9</w:t>
            </w:r>
          </w:p>
        </w:tc>
        <w:tc>
          <w:tcPr>
            <w:tcW w:w="709" w:type="dxa"/>
          </w:tcPr>
          <w:p w14:paraId="051D612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5324E68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w:t>
            </w:r>
          </w:p>
        </w:tc>
        <w:tc>
          <w:tcPr>
            <w:tcW w:w="708" w:type="dxa"/>
          </w:tcPr>
          <w:p w14:paraId="49AD200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3.40</w:t>
            </w:r>
          </w:p>
        </w:tc>
        <w:tc>
          <w:tcPr>
            <w:tcW w:w="709" w:type="dxa"/>
          </w:tcPr>
          <w:p w14:paraId="11B1F1C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7</w:t>
            </w:r>
          </w:p>
        </w:tc>
        <w:tc>
          <w:tcPr>
            <w:tcW w:w="709" w:type="dxa"/>
          </w:tcPr>
          <w:p w14:paraId="72960FB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4.08</w:t>
            </w:r>
          </w:p>
        </w:tc>
        <w:tc>
          <w:tcPr>
            <w:tcW w:w="682" w:type="dxa"/>
          </w:tcPr>
          <w:p w14:paraId="01E62CA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7</w:t>
            </w:r>
          </w:p>
        </w:tc>
        <w:tc>
          <w:tcPr>
            <w:tcW w:w="643" w:type="dxa"/>
          </w:tcPr>
          <w:p w14:paraId="764B299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4.25</w:t>
            </w:r>
          </w:p>
        </w:tc>
        <w:tc>
          <w:tcPr>
            <w:tcW w:w="608" w:type="dxa"/>
          </w:tcPr>
          <w:p w14:paraId="3C86EDB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w:t>
            </w:r>
          </w:p>
        </w:tc>
      </w:tr>
      <w:tr w:rsidR="00CD6352" w:rsidRPr="002A67C0" w14:paraId="50ED52CF" w14:textId="77777777" w:rsidTr="00CD6352">
        <w:tc>
          <w:tcPr>
            <w:tcW w:w="1129" w:type="dxa"/>
          </w:tcPr>
          <w:p w14:paraId="00AD4E1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Government’s ineffective policies</w:t>
            </w:r>
          </w:p>
        </w:tc>
        <w:tc>
          <w:tcPr>
            <w:tcW w:w="567" w:type="dxa"/>
          </w:tcPr>
          <w:p w14:paraId="139A0BF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531" w:type="dxa"/>
          </w:tcPr>
          <w:p w14:paraId="17CAF33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9</w:t>
            </w:r>
          </w:p>
        </w:tc>
        <w:tc>
          <w:tcPr>
            <w:tcW w:w="664" w:type="dxa"/>
          </w:tcPr>
          <w:p w14:paraId="5FE1E93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3.50</w:t>
            </w:r>
          </w:p>
        </w:tc>
        <w:tc>
          <w:tcPr>
            <w:tcW w:w="648" w:type="dxa"/>
          </w:tcPr>
          <w:p w14:paraId="78BE110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w:t>
            </w:r>
          </w:p>
        </w:tc>
        <w:tc>
          <w:tcPr>
            <w:tcW w:w="709" w:type="dxa"/>
          </w:tcPr>
          <w:p w14:paraId="2EA03AB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53F9846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5</w:t>
            </w:r>
          </w:p>
        </w:tc>
        <w:tc>
          <w:tcPr>
            <w:tcW w:w="708" w:type="dxa"/>
          </w:tcPr>
          <w:p w14:paraId="2658476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3.60</w:t>
            </w:r>
          </w:p>
        </w:tc>
        <w:tc>
          <w:tcPr>
            <w:tcW w:w="709" w:type="dxa"/>
          </w:tcPr>
          <w:p w14:paraId="23B8A6F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w:t>
            </w:r>
          </w:p>
        </w:tc>
        <w:tc>
          <w:tcPr>
            <w:tcW w:w="709" w:type="dxa"/>
          </w:tcPr>
          <w:p w14:paraId="7DEA3C6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4.00</w:t>
            </w:r>
          </w:p>
        </w:tc>
        <w:tc>
          <w:tcPr>
            <w:tcW w:w="682" w:type="dxa"/>
          </w:tcPr>
          <w:p w14:paraId="1E1D149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9</w:t>
            </w:r>
          </w:p>
        </w:tc>
        <w:tc>
          <w:tcPr>
            <w:tcW w:w="643" w:type="dxa"/>
          </w:tcPr>
          <w:p w14:paraId="5CAC9DF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08" w:type="dxa"/>
          </w:tcPr>
          <w:p w14:paraId="653582F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6</w:t>
            </w:r>
          </w:p>
        </w:tc>
      </w:tr>
      <w:tr w:rsidR="00CD6352" w:rsidRPr="002A67C0" w14:paraId="3484B1A3" w14:textId="77777777" w:rsidTr="00CD6352">
        <w:tc>
          <w:tcPr>
            <w:tcW w:w="1129" w:type="dxa"/>
          </w:tcPr>
          <w:p w14:paraId="3B8EA15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High cost of inputs and labour</w:t>
            </w:r>
          </w:p>
        </w:tc>
        <w:tc>
          <w:tcPr>
            <w:tcW w:w="567" w:type="dxa"/>
          </w:tcPr>
          <w:p w14:paraId="69CFA39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4.50</w:t>
            </w:r>
          </w:p>
        </w:tc>
        <w:tc>
          <w:tcPr>
            <w:tcW w:w="531" w:type="dxa"/>
          </w:tcPr>
          <w:p w14:paraId="5DC50CF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w:t>
            </w:r>
          </w:p>
        </w:tc>
        <w:tc>
          <w:tcPr>
            <w:tcW w:w="664" w:type="dxa"/>
          </w:tcPr>
          <w:p w14:paraId="6B9013E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3.75</w:t>
            </w:r>
          </w:p>
        </w:tc>
        <w:tc>
          <w:tcPr>
            <w:tcW w:w="648" w:type="dxa"/>
          </w:tcPr>
          <w:p w14:paraId="1158AED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w:t>
            </w:r>
          </w:p>
        </w:tc>
        <w:tc>
          <w:tcPr>
            <w:tcW w:w="709" w:type="dxa"/>
          </w:tcPr>
          <w:p w14:paraId="1238DFE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3.33</w:t>
            </w:r>
          </w:p>
        </w:tc>
        <w:tc>
          <w:tcPr>
            <w:tcW w:w="709" w:type="dxa"/>
          </w:tcPr>
          <w:p w14:paraId="2AF25A5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w:t>
            </w:r>
          </w:p>
        </w:tc>
        <w:tc>
          <w:tcPr>
            <w:tcW w:w="708" w:type="dxa"/>
          </w:tcPr>
          <w:p w14:paraId="2E7F8E2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3.20</w:t>
            </w:r>
          </w:p>
        </w:tc>
        <w:tc>
          <w:tcPr>
            <w:tcW w:w="709" w:type="dxa"/>
          </w:tcPr>
          <w:p w14:paraId="6E7D0E8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10</w:t>
            </w:r>
          </w:p>
        </w:tc>
        <w:tc>
          <w:tcPr>
            <w:tcW w:w="709" w:type="dxa"/>
          </w:tcPr>
          <w:p w14:paraId="4EA3899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3.83</w:t>
            </w:r>
          </w:p>
        </w:tc>
        <w:tc>
          <w:tcPr>
            <w:tcW w:w="682" w:type="dxa"/>
          </w:tcPr>
          <w:p w14:paraId="72E24E6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10</w:t>
            </w:r>
          </w:p>
        </w:tc>
        <w:tc>
          <w:tcPr>
            <w:tcW w:w="643" w:type="dxa"/>
          </w:tcPr>
          <w:p w14:paraId="6EE5C7F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08" w:type="dxa"/>
          </w:tcPr>
          <w:p w14:paraId="00360C5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7</w:t>
            </w:r>
          </w:p>
        </w:tc>
      </w:tr>
      <w:tr w:rsidR="00CD6352" w:rsidRPr="002A67C0" w14:paraId="16CB2047" w14:textId="77777777" w:rsidTr="00CD6352">
        <w:tc>
          <w:tcPr>
            <w:tcW w:w="1129" w:type="dxa"/>
          </w:tcPr>
          <w:p w14:paraId="619F84F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High interest rate</w:t>
            </w:r>
          </w:p>
        </w:tc>
        <w:tc>
          <w:tcPr>
            <w:tcW w:w="567" w:type="dxa"/>
          </w:tcPr>
          <w:p w14:paraId="3FBDF72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3.50</w:t>
            </w:r>
          </w:p>
        </w:tc>
        <w:tc>
          <w:tcPr>
            <w:tcW w:w="531" w:type="dxa"/>
          </w:tcPr>
          <w:p w14:paraId="75BEE50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w:t>
            </w:r>
          </w:p>
        </w:tc>
        <w:tc>
          <w:tcPr>
            <w:tcW w:w="664" w:type="dxa"/>
          </w:tcPr>
          <w:p w14:paraId="3764822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48" w:type="dxa"/>
          </w:tcPr>
          <w:p w14:paraId="25E0DDF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6</w:t>
            </w:r>
          </w:p>
        </w:tc>
        <w:tc>
          <w:tcPr>
            <w:tcW w:w="709" w:type="dxa"/>
          </w:tcPr>
          <w:p w14:paraId="3EB02C7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709" w:type="dxa"/>
          </w:tcPr>
          <w:p w14:paraId="07A7967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w:t>
            </w:r>
          </w:p>
        </w:tc>
        <w:tc>
          <w:tcPr>
            <w:tcW w:w="708" w:type="dxa"/>
          </w:tcPr>
          <w:p w14:paraId="43454CD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54A2CC7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11</w:t>
            </w:r>
          </w:p>
        </w:tc>
        <w:tc>
          <w:tcPr>
            <w:tcW w:w="709" w:type="dxa"/>
          </w:tcPr>
          <w:p w14:paraId="048B000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4.42</w:t>
            </w:r>
          </w:p>
        </w:tc>
        <w:tc>
          <w:tcPr>
            <w:tcW w:w="682" w:type="dxa"/>
          </w:tcPr>
          <w:p w14:paraId="638D87C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w:t>
            </w:r>
          </w:p>
        </w:tc>
        <w:tc>
          <w:tcPr>
            <w:tcW w:w="643" w:type="dxa"/>
          </w:tcPr>
          <w:p w14:paraId="479EB8B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3.50</w:t>
            </w:r>
          </w:p>
        </w:tc>
        <w:tc>
          <w:tcPr>
            <w:tcW w:w="608" w:type="dxa"/>
          </w:tcPr>
          <w:p w14:paraId="2F20C24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w:t>
            </w:r>
          </w:p>
        </w:tc>
      </w:tr>
      <w:tr w:rsidR="00CD6352" w:rsidRPr="002A67C0" w14:paraId="2236B58E" w14:textId="77777777" w:rsidTr="00CD6352">
        <w:tc>
          <w:tcPr>
            <w:tcW w:w="1129" w:type="dxa"/>
          </w:tcPr>
          <w:p w14:paraId="09A1F38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Inflation</w:t>
            </w:r>
          </w:p>
        </w:tc>
        <w:tc>
          <w:tcPr>
            <w:tcW w:w="567" w:type="dxa"/>
          </w:tcPr>
          <w:p w14:paraId="25082A3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531" w:type="dxa"/>
          </w:tcPr>
          <w:p w14:paraId="4547F48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5</w:t>
            </w:r>
          </w:p>
        </w:tc>
        <w:tc>
          <w:tcPr>
            <w:tcW w:w="664" w:type="dxa"/>
          </w:tcPr>
          <w:p w14:paraId="747C4DC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648" w:type="dxa"/>
          </w:tcPr>
          <w:p w14:paraId="5FC1E09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10</w:t>
            </w:r>
          </w:p>
        </w:tc>
        <w:tc>
          <w:tcPr>
            <w:tcW w:w="709" w:type="dxa"/>
          </w:tcPr>
          <w:p w14:paraId="2BD17AA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1E5A962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9</w:t>
            </w:r>
          </w:p>
        </w:tc>
        <w:tc>
          <w:tcPr>
            <w:tcW w:w="708" w:type="dxa"/>
          </w:tcPr>
          <w:p w14:paraId="143E64C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38ADED2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14</w:t>
            </w:r>
          </w:p>
        </w:tc>
        <w:tc>
          <w:tcPr>
            <w:tcW w:w="709" w:type="dxa"/>
          </w:tcPr>
          <w:p w14:paraId="036EF0F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4.42</w:t>
            </w:r>
          </w:p>
        </w:tc>
        <w:tc>
          <w:tcPr>
            <w:tcW w:w="682" w:type="dxa"/>
          </w:tcPr>
          <w:p w14:paraId="521F15B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w:t>
            </w:r>
          </w:p>
        </w:tc>
        <w:tc>
          <w:tcPr>
            <w:tcW w:w="643" w:type="dxa"/>
          </w:tcPr>
          <w:p w14:paraId="0D91BD9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08" w:type="dxa"/>
          </w:tcPr>
          <w:p w14:paraId="2B24149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8</w:t>
            </w:r>
          </w:p>
        </w:tc>
      </w:tr>
      <w:tr w:rsidR="00CD6352" w:rsidRPr="002A67C0" w14:paraId="260D6011" w14:textId="77777777" w:rsidTr="00CD6352">
        <w:trPr>
          <w:trHeight w:val="189"/>
        </w:trPr>
        <w:tc>
          <w:tcPr>
            <w:tcW w:w="1129" w:type="dxa"/>
          </w:tcPr>
          <w:p w14:paraId="27DFD41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Internal political issues</w:t>
            </w:r>
          </w:p>
        </w:tc>
        <w:tc>
          <w:tcPr>
            <w:tcW w:w="567" w:type="dxa"/>
          </w:tcPr>
          <w:p w14:paraId="50D939F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531" w:type="dxa"/>
          </w:tcPr>
          <w:p w14:paraId="3891CC5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10</w:t>
            </w:r>
          </w:p>
        </w:tc>
        <w:tc>
          <w:tcPr>
            <w:tcW w:w="664" w:type="dxa"/>
          </w:tcPr>
          <w:p w14:paraId="4C58F90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2.67</w:t>
            </w:r>
          </w:p>
        </w:tc>
        <w:tc>
          <w:tcPr>
            <w:tcW w:w="648" w:type="dxa"/>
          </w:tcPr>
          <w:p w14:paraId="0C55553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c>
          <w:tcPr>
            <w:tcW w:w="709" w:type="dxa"/>
          </w:tcPr>
          <w:p w14:paraId="40B2B4C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22CE576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10</w:t>
            </w:r>
          </w:p>
        </w:tc>
        <w:tc>
          <w:tcPr>
            <w:tcW w:w="708" w:type="dxa"/>
          </w:tcPr>
          <w:p w14:paraId="60FB5F0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2.80</w:t>
            </w:r>
          </w:p>
        </w:tc>
        <w:tc>
          <w:tcPr>
            <w:tcW w:w="709" w:type="dxa"/>
          </w:tcPr>
          <w:p w14:paraId="2679AF9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c>
          <w:tcPr>
            <w:tcW w:w="709" w:type="dxa"/>
          </w:tcPr>
          <w:p w14:paraId="25520D1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3.42</w:t>
            </w:r>
          </w:p>
        </w:tc>
        <w:tc>
          <w:tcPr>
            <w:tcW w:w="682" w:type="dxa"/>
          </w:tcPr>
          <w:p w14:paraId="57CD385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w:t>
            </w:r>
          </w:p>
        </w:tc>
        <w:tc>
          <w:tcPr>
            <w:tcW w:w="643" w:type="dxa"/>
          </w:tcPr>
          <w:p w14:paraId="76F8688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08" w:type="dxa"/>
          </w:tcPr>
          <w:p w14:paraId="32CE0E7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9</w:t>
            </w:r>
          </w:p>
        </w:tc>
      </w:tr>
      <w:tr w:rsidR="00CD6352" w:rsidRPr="002A67C0" w14:paraId="1CF49A2E" w14:textId="77777777" w:rsidTr="00CD6352">
        <w:tc>
          <w:tcPr>
            <w:tcW w:w="1129" w:type="dxa"/>
          </w:tcPr>
          <w:p w14:paraId="6A2B438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Lack of fiscal and regulatory incentives</w:t>
            </w:r>
          </w:p>
        </w:tc>
        <w:tc>
          <w:tcPr>
            <w:tcW w:w="567" w:type="dxa"/>
          </w:tcPr>
          <w:p w14:paraId="18CAFD6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531" w:type="dxa"/>
          </w:tcPr>
          <w:p w14:paraId="3E67D39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11</w:t>
            </w:r>
          </w:p>
        </w:tc>
        <w:tc>
          <w:tcPr>
            <w:tcW w:w="664" w:type="dxa"/>
          </w:tcPr>
          <w:p w14:paraId="302E62F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3.33</w:t>
            </w:r>
          </w:p>
        </w:tc>
        <w:tc>
          <w:tcPr>
            <w:tcW w:w="648" w:type="dxa"/>
          </w:tcPr>
          <w:p w14:paraId="7E9850C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5</w:t>
            </w:r>
          </w:p>
        </w:tc>
        <w:tc>
          <w:tcPr>
            <w:tcW w:w="709" w:type="dxa"/>
          </w:tcPr>
          <w:p w14:paraId="346016C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6557599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6</w:t>
            </w:r>
          </w:p>
        </w:tc>
        <w:tc>
          <w:tcPr>
            <w:tcW w:w="708" w:type="dxa"/>
          </w:tcPr>
          <w:p w14:paraId="6315BD2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3.60</w:t>
            </w:r>
          </w:p>
        </w:tc>
        <w:tc>
          <w:tcPr>
            <w:tcW w:w="709" w:type="dxa"/>
          </w:tcPr>
          <w:p w14:paraId="5405F78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w:t>
            </w:r>
          </w:p>
        </w:tc>
        <w:tc>
          <w:tcPr>
            <w:tcW w:w="709" w:type="dxa"/>
          </w:tcPr>
          <w:p w14:paraId="03F4D92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82" w:type="dxa"/>
          </w:tcPr>
          <w:p w14:paraId="633B2CA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14</w:t>
            </w:r>
          </w:p>
        </w:tc>
        <w:tc>
          <w:tcPr>
            <w:tcW w:w="643" w:type="dxa"/>
          </w:tcPr>
          <w:p w14:paraId="702C855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608" w:type="dxa"/>
          </w:tcPr>
          <w:p w14:paraId="77052F4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10</w:t>
            </w:r>
          </w:p>
        </w:tc>
      </w:tr>
      <w:tr w:rsidR="00CD6352" w:rsidRPr="002A67C0" w14:paraId="05443830" w14:textId="77777777" w:rsidTr="00CD6352">
        <w:tc>
          <w:tcPr>
            <w:tcW w:w="1129" w:type="dxa"/>
          </w:tcPr>
          <w:p w14:paraId="6ECB9E4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Lack of long term financing</w:t>
            </w:r>
          </w:p>
        </w:tc>
        <w:tc>
          <w:tcPr>
            <w:tcW w:w="567" w:type="dxa"/>
          </w:tcPr>
          <w:p w14:paraId="1483827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3.50</w:t>
            </w:r>
          </w:p>
        </w:tc>
        <w:tc>
          <w:tcPr>
            <w:tcW w:w="531" w:type="dxa"/>
          </w:tcPr>
          <w:p w14:paraId="1430576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w:t>
            </w:r>
          </w:p>
        </w:tc>
        <w:tc>
          <w:tcPr>
            <w:tcW w:w="664" w:type="dxa"/>
          </w:tcPr>
          <w:p w14:paraId="1D96249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3.67</w:t>
            </w:r>
          </w:p>
        </w:tc>
        <w:tc>
          <w:tcPr>
            <w:tcW w:w="648" w:type="dxa"/>
          </w:tcPr>
          <w:p w14:paraId="2407BA8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w:t>
            </w:r>
          </w:p>
        </w:tc>
        <w:tc>
          <w:tcPr>
            <w:tcW w:w="709" w:type="dxa"/>
          </w:tcPr>
          <w:p w14:paraId="578CCEC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2.67</w:t>
            </w:r>
          </w:p>
        </w:tc>
        <w:tc>
          <w:tcPr>
            <w:tcW w:w="709" w:type="dxa"/>
          </w:tcPr>
          <w:p w14:paraId="4FE55F1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8</w:t>
            </w:r>
          </w:p>
        </w:tc>
        <w:tc>
          <w:tcPr>
            <w:tcW w:w="708" w:type="dxa"/>
          </w:tcPr>
          <w:p w14:paraId="2D7CE08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3.60</w:t>
            </w:r>
          </w:p>
        </w:tc>
        <w:tc>
          <w:tcPr>
            <w:tcW w:w="709" w:type="dxa"/>
          </w:tcPr>
          <w:p w14:paraId="2ABF3EB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5</w:t>
            </w:r>
          </w:p>
        </w:tc>
        <w:tc>
          <w:tcPr>
            <w:tcW w:w="709" w:type="dxa"/>
          </w:tcPr>
          <w:p w14:paraId="05D6B76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4.17</w:t>
            </w:r>
          </w:p>
        </w:tc>
        <w:tc>
          <w:tcPr>
            <w:tcW w:w="682" w:type="dxa"/>
          </w:tcPr>
          <w:p w14:paraId="194581C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6</w:t>
            </w:r>
          </w:p>
        </w:tc>
        <w:tc>
          <w:tcPr>
            <w:tcW w:w="643" w:type="dxa"/>
          </w:tcPr>
          <w:p w14:paraId="1A90164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3.50</w:t>
            </w:r>
          </w:p>
        </w:tc>
        <w:tc>
          <w:tcPr>
            <w:tcW w:w="608" w:type="dxa"/>
          </w:tcPr>
          <w:p w14:paraId="24B3154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5</w:t>
            </w:r>
          </w:p>
        </w:tc>
      </w:tr>
      <w:tr w:rsidR="00CD6352" w:rsidRPr="002A67C0" w14:paraId="357AF7B2" w14:textId="77777777" w:rsidTr="00CD6352">
        <w:tc>
          <w:tcPr>
            <w:tcW w:w="1129" w:type="dxa"/>
          </w:tcPr>
          <w:p w14:paraId="252C326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Lack of skills and professionalism in project development</w:t>
            </w:r>
          </w:p>
        </w:tc>
        <w:tc>
          <w:tcPr>
            <w:tcW w:w="567" w:type="dxa"/>
          </w:tcPr>
          <w:p w14:paraId="2B9740C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3.25</w:t>
            </w:r>
          </w:p>
        </w:tc>
        <w:tc>
          <w:tcPr>
            <w:tcW w:w="531" w:type="dxa"/>
          </w:tcPr>
          <w:p w14:paraId="649D39E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6</w:t>
            </w:r>
          </w:p>
        </w:tc>
        <w:tc>
          <w:tcPr>
            <w:tcW w:w="664" w:type="dxa"/>
          </w:tcPr>
          <w:p w14:paraId="7EC35FC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2.25</w:t>
            </w:r>
          </w:p>
        </w:tc>
        <w:tc>
          <w:tcPr>
            <w:tcW w:w="648" w:type="dxa"/>
          </w:tcPr>
          <w:p w14:paraId="283E681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w:t>
            </w:r>
          </w:p>
        </w:tc>
        <w:tc>
          <w:tcPr>
            <w:tcW w:w="709" w:type="dxa"/>
          </w:tcPr>
          <w:p w14:paraId="7D2B9AC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0CDEE55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11</w:t>
            </w:r>
          </w:p>
        </w:tc>
        <w:tc>
          <w:tcPr>
            <w:tcW w:w="708" w:type="dxa"/>
          </w:tcPr>
          <w:p w14:paraId="5E113B6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3.40</w:t>
            </w:r>
          </w:p>
        </w:tc>
        <w:tc>
          <w:tcPr>
            <w:tcW w:w="709" w:type="dxa"/>
          </w:tcPr>
          <w:p w14:paraId="5620E7D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8</w:t>
            </w:r>
          </w:p>
        </w:tc>
        <w:tc>
          <w:tcPr>
            <w:tcW w:w="709" w:type="dxa"/>
          </w:tcPr>
          <w:p w14:paraId="476ADB8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682" w:type="dxa"/>
          </w:tcPr>
          <w:p w14:paraId="69749B4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w:t>
            </w:r>
          </w:p>
        </w:tc>
        <w:tc>
          <w:tcPr>
            <w:tcW w:w="643" w:type="dxa"/>
          </w:tcPr>
          <w:p w14:paraId="397555A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608" w:type="dxa"/>
          </w:tcPr>
          <w:p w14:paraId="656381E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14</w:t>
            </w:r>
          </w:p>
        </w:tc>
      </w:tr>
      <w:tr w:rsidR="00CD6352" w:rsidRPr="002A67C0" w14:paraId="090013A2" w14:textId="77777777" w:rsidTr="00CD6352">
        <w:tc>
          <w:tcPr>
            <w:tcW w:w="1129" w:type="dxa"/>
          </w:tcPr>
          <w:p w14:paraId="497D48C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Low demand for real estates and properties</w:t>
            </w:r>
          </w:p>
        </w:tc>
        <w:tc>
          <w:tcPr>
            <w:tcW w:w="567" w:type="dxa"/>
          </w:tcPr>
          <w:p w14:paraId="665D96FD"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531" w:type="dxa"/>
          </w:tcPr>
          <w:p w14:paraId="2F76578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14</w:t>
            </w:r>
          </w:p>
        </w:tc>
        <w:tc>
          <w:tcPr>
            <w:tcW w:w="664" w:type="dxa"/>
          </w:tcPr>
          <w:p w14:paraId="6A09AEC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2.25</w:t>
            </w:r>
          </w:p>
        </w:tc>
        <w:tc>
          <w:tcPr>
            <w:tcW w:w="648" w:type="dxa"/>
          </w:tcPr>
          <w:p w14:paraId="10834AC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w:t>
            </w:r>
          </w:p>
        </w:tc>
        <w:tc>
          <w:tcPr>
            <w:tcW w:w="709" w:type="dxa"/>
          </w:tcPr>
          <w:p w14:paraId="17D9AF5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15290CD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12</w:t>
            </w:r>
          </w:p>
        </w:tc>
        <w:tc>
          <w:tcPr>
            <w:tcW w:w="708" w:type="dxa"/>
          </w:tcPr>
          <w:p w14:paraId="62DDE18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1.80</w:t>
            </w:r>
          </w:p>
        </w:tc>
        <w:tc>
          <w:tcPr>
            <w:tcW w:w="709" w:type="dxa"/>
          </w:tcPr>
          <w:p w14:paraId="7521E0F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w:t>
            </w:r>
          </w:p>
        </w:tc>
        <w:tc>
          <w:tcPr>
            <w:tcW w:w="709" w:type="dxa"/>
          </w:tcPr>
          <w:p w14:paraId="2FBF62C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682" w:type="dxa"/>
          </w:tcPr>
          <w:p w14:paraId="5C3D556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w:t>
            </w:r>
          </w:p>
        </w:tc>
        <w:tc>
          <w:tcPr>
            <w:tcW w:w="643" w:type="dxa"/>
          </w:tcPr>
          <w:p w14:paraId="3802BDA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2.33</w:t>
            </w:r>
          </w:p>
        </w:tc>
        <w:tc>
          <w:tcPr>
            <w:tcW w:w="608" w:type="dxa"/>
          </w:tcPr>
          <w:p w14:paraId="5C32194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15</w:t>
            </w:r>
          </w:p>
        </w:tc>
      </w:tr>
      <w:tr w:rsidR="00CD6352" w:rsidRPr="002A67C0" w14:paraId="6390E77C" w14:textId="77777777" w:rsidTr="00CD6352">
        <w:tc>
          <w:tcPr>
            <w:tcW w:w="1129" w:type="dxa"/>
          </w:tcPr>
          <w:p w14:paraId="62FDDDB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 xml:space="preserve">Population shrinking and aging </w:t>
            </w:r>
          </w:p>
        </w:tc>
        <w:tc>
          <w:tcPr>
            <w:tcW w:w="567" w:type="dxa"/>
          </w:tcPr>
          <w:p w14:paraId="40302B6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1.75</w:t>
            </w:r>
          </w:p>
        </w:tc>
        <w:tc>
          <w:tcPr>
            <w:tcW w:w="531" w:type="dxa"/>
          </w:tcPr>
          <w:p w14:paraId="12FDA11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w:t>
            </w:r>
          </w:p>
        </w:tc>
        <w:tc>
          <w:tcPr>
            <w:tcW w:w="664" w:type="dxa"/>
          </w:tcPr>
          <w:p w14:paraId="2719388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648" w:type="dxa"/>
          </w:tcPr>
          <w:p w14:paraId="0D99AE9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14</w:t>
            </w:r>
          </w:p>
        </w:tc>
        <w:tc>
          <w:tcPr>
            <w:tcW w:w="709" w:type="dxa"/>
          </w:tcPr>
          <w:p w14:paraId="5BCAB44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0A72420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c>
          <w:tcPr>
            <w:tcW w:w="708" w:type="dxa"/>
          </w:tcPr>
          <w:p w14:paraId="5C5C28F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1.60</w:t>
            </w:r>
          </w:p>
        </w:tc>
        <w:tc>
          <w:tcPr>
            <w:tcW w:w="709" w:type="dxa"/>
          </w:tcPr>
          <w:p w14:paraId="569D43F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w:t>
            </w:r>
          </w:p>
        </w:tc>
        <w:tc>
          <w:tcPr>
            <w:tcW w:w="709" w:type="dxa"/>
          </w:tcPr>
          <w:p w14:paraId="6A44E3D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1.91</w:t>
            </w:r>
          </w:p>
        </w:tc>
        <w:tc>
          <w:tcPr>
            <w:tcW w:w="682" w:type="dxa"/>
          </w:tcPr>
          <w:p w14:paraId="6FE6C1F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w:t>
            </w:r>
          </w:p>
        </w:tc>
        <w:tc>
          <w:tcPr>
            <w:tcW w:w="643" w:type="dxa"/>
          </w:tcPr>
          <w:p w14:paraId="02AD214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2.25</w:t>
            </w:r>
          </w:p>
        </w:tc>
        <w:tc>
          <w:tcPr>
            <w:tcW w:w="608" w:type="dxa"/>
          </w:tcPr>
          <w:p w14:paraId="46E1E81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w:t>
            </w:r>
          </w:p>
        </w:tc>
      </w:tr>
      <w:tr w:rsidR="00CD6352" w:rsidRPr="002A67C0" w14:paraId="1B5612CD" w14:textId="77777777" w:rsidTr="00CD6352">
        <w:tc>
          <w:tcPr>
            <w:tcW w:w="1129" w:type="dxa"/>
          </w:tcPr>
          <w:p w14:paraId="490D74E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Real estate market transparency</w:t>
            </w:r>
          </w:p>
        </w:tc>
        <w:tc>
          <w:tcPr>
            <w:tcW w:w="567" w:type="dxa"/>
          </w:tcPr>
          <w:p w14:paraId="244BDC7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531" w:type="dxa"/>
          </w:tcPr>
          <w:p w14:paraId="0D5509A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15</w:t>
            </w:r>
          </w:p>
        </w:tc>
        <w:tc>
          <w:tcPr>
            <w:tcW w:w="664" w:type="dxa"/>
          </w:tcPr>
          <w:p w14:paraId="125F6E3C"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648" w:type="dxa"/>
          </w:tcPr>
          <w:p w14:paraId="7214BA3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15</w:t>
            </w:r>
          </w:p>
        </w:tc>
        <w:tc>
          <w:tcPr>
            <w:tcW w:w="709" w:type="dxa"/>
          </w:tcPr>
          <w:p w14:paraId="2039396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4E5B373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14</w:t>
            </w:r>
          </w:p>
        </w:tc>
        <w:tc>
          <w:tcPr>
            <w:tcW w:w="708" w:type="dxa"/>
          </w:tcPr>
          <w:p w14:paraId="1C63532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2.00</w:t>
            </w:r>
          </w:p>
        </w:tc>
        <w:tc>
          <w:tcPr>
            <w:tcW w:w="709" w:type="dxa"/>
          </w:tcPr>
          <w:p w14:paraId="29794B1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w:t>
            </w:r>
          </w:p>
        </w:tc>
        <w:tc>
          <w:tcPr>
            <w:tcW w:w="709" w:type="dxa"/>
          </w:tcPr>
          <w:p w14:paraId="2D42A85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82" w:type="dxa"/>
          </w:tcPr>
          <w:p w14:paraId="7140FC8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15</w:t>
            </w:r>
          </w:p>
        </w:tc>
        <w:tc>
          <w:tcPr>
            <w:tcW w:w="643" w:type="dxa"/>
          </w:tcPr>
          <w:p w14:paraId="6524A89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2.33</w:t>
            </w:r>
          </w:p>
        </w:tc>
        <w:tc>
          <w:tcPr>
            <w:tcW w:w="608" w:type="dxa"/>
          </w:tcPr>
          <w:p w14:paraId="4A64E29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w:t>
            </w:r>
          </w:p>
        </w:tc>
      </w:tr>
      <w:tr w:rsidR="00CD6352" w:rsidRPr="002A67C0" w14:paraId="00EACBD2" w14:textId="77777777" w:rsidTr="00CD6352">
        <w:tc>
          <w:tcPr>
            <w:tcW w:w="1129" w:type="dxa"/>
          </w:tcPr>
          <w:p w14:paraId="501C08A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Regulatory quality</w:t>
            </w:r>
          </w:p>
        </w:tc>
        <w:tc>
          <w:tcPr>
            <w:tcW w:w="567" w:type="dxa"/>
          </w:tcPr>
          <w:p w14:paraId="5E85DC9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531" w:type="dxa"/>
          </w:tcPr>
          <w:p w14:paraId="506D785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w:t>
            </w:r>
          </w:p>
        </w:tc>
        <w:tc>
          <w:tcPr>
            <w:tcW w:w="664" w:type="dxa"/>
          </w:tcPr>
          <w:p w14:paraId="12AE340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648" w:type="dxa"/>
          </w:tcPr>
          <w:p w14:paraId="400F315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11</w:t>
            </w:r>
          </w:p>
        </w:tc>
        <w:tc>
          <w:tcPr>
            <w:tcW w:w="709" w:type="dxa"/>
          </w:tcPr>
          <w:p w14:paraId="21E4719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2.50</w:t>
            </w:r>
          </w:p>
        </w:tc>
        <w:tc>
          <w:tcPr>
            <w:tcW w:w="709" w:type="dxa"/>
          </w:tcPr>
          <w:p w14:paraId="53E6239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15</w:t>
            </w:r>
          </w:p>
        </w:tc>
        <w:tc>
          <w:tcPr>
            <w:tcW w:w="708" w:type="dxa"/>
          </w:tcPr>
          <w:p w14:paraId="3EF0361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709" w:type="dxa"/>
          </w:tcPr>
          <w:p w14:paraId="2058E3B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c>
          <w:tcPr>
            <w:tcW w:w="709" w:type="dxa"/>
          </w:tcPr>
          <w:p w14:paraId="0D24632F"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3.33</w:t>
            </w:r>
          </w:p>
        </w:tc>
        <w:tc>
          <w:tcPr>
            <w:tcW w:w="682" w:type="dxa"/>
          </w:tcPr>
          <w:p w14:paraId="47FDC00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c>
          <w:tcPr>
            <w:tcW w:w="643" w:type="dxa"/>
          </w:tcPr>
          <w:p w14:paraId="6CBD21C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1.67</w:t>
            </w:r>
          </w:p>
        </w:tc>
        <w:tc>
          <w:tcPr>
            <w:tcW w:w="608" w:type="dxa"/>
          </w:tcPr>
          <w:p w14:paraId="2EC61A4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w:t>
            </w:r>
          </w:p>
        </w:tc>
      </w:tr>
      <w:tr w:rsidR="00CD6352" w:rsidRPr="002A67C0" w14:paraId="22CA78F8" w14:textId="77777777" w:rsidTr="00CD6352">
        <w:tc>
          <w:tcPr>
            <w:tcW w:w="1129" w:type="dxa"/>
          </w:tcPr>
          <w:p w14:paraId="4A99E957"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 xml:space="preserve">Terrorism </w:t>
            </w:r>
          </w:p>
        </w:tc>
        <w:tc>
          <w:tcPr>
            <w:tcW w:w="567" w:type="dxa"/>
          </w:tcPr>
          <w:p w14:paraId="0D99955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1.75</w:t>
            </w:r>
          </w:p>
        </w:tc>
        <w:tc>
          <w:tcPr>
            <w:tcW w:w="531" w:type="dxa"/>
          </w:tcPr>
          <w:p w14:paraId="5802C44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w:t>
            </w:r>
          </w:p>
        </w:tc>
        <w:tc>
          <w:tcPr>
            <w:tcW w:w="664" w:type="dxa"/>
          </w:tcPr>
          <w:p w14:paraId="7D31C9C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1.25</w:t>
            </w:r>
          </w:p>
        </w:tc>
        <w:tc>
          <w:tcPr>
            <w:tcW w:w="648" w:type="dxa"/>
          </w:tcPr>
          <w:p w14:paraId="7A1721F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w:t>
            </w:r>
          </w:p>
        </w:tc>
        <w:tc>
          <w:tcPr>
            <w:tcW w:w="709" w:type="dxa"/>
          </w:tcPr>
          <w:p w14:paraId="647F345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2.00</w:t>
            </w:r>
          </w:p>
        </w:tc>
        <w:tc>
          <w:tcPr>
            <w:tcW w:w="709" w:type="dxa"/>
          </w:tcPr>
          <w:p w14:paraId="7F0789DA"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w:t>
            </w:r>
          </w:p>
        </w:tc>
        <w:tc>
          <w:tcPr>
            <w:tcW w:w="708" w:type="dxa"/>
          </w:tcPr>
          <w:p w14:paraId="5F405C64"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2.40</w:t>
            </w:r>
          </w:p>
        </w:tc>
        <w:tc>
          <w:tcPr>
            <w:tcW w:w="709" w:type="dxa"/>
          </w:tcPr>
          <w:p w14:paraId="43254D4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15</w:t>
            </w:r>
          </w:p>
        </w:tc>
        <w:tc>
          <w:tcPr>
            <w:tcW w:w="709" w:type="dxa"/>
          </w:tcPr>
          <w:p w14:paraId="0911AA2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82" w:type="dxa"/>
          </w:tcPr>
          <w:p w14:paraId="05B9777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w:t>
            </w:r>
          </w:p>
        </w:tc>
        <w:tc>
          <w:tcPr>
            <w:tcW w:w="643" w:type="dxa"/>
          </w:tcPr>
          <w:p w14:paraId="37287C73"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1.67</w:t>
            </w:r>
          </w:p>
        </w:tc>
        <w:tc>
          <w:tcPr>
            <w:tcW w:w="608" w:type="dxa"/>
          </w:tcPr>
          <w:p w14:paraId="273B236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w:t>
            </w:r>
          </w:p>
        </w:tc>
      </w:tr>
      <w:tr w:rsidR="00CD6352" w:rsidRPr="002A67C0" w14:paraId="7CEB469D" w14:textId="77777777" w:rsidTr="00CD6352">
        <w:tc>
          <w:tcPr>
            <w:tcW w:w="1129" w:type="dxa"/>
          </w:tcPr>
          <w:p w14:paraId="4C8F854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Unemployment</w:t>
            </w:r>
          </w:p>
        </w:tc>
        <w:tc>
          <w:tcPr>
            <w:tcW w:w="567" w:type="dxa"/>
          </w:tcPr>
          <w:p w14:paraId="38F9D88E"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2.75</w:t>
            </w:r>
          </w:p>
        </w:tc>
        <w:tc>
          <w:tcPr>
            <w:tcW w:w="531" w:type="dxa"/>
          </w:tcPr>
          <w:p w14:paraId="63F5838B"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12</w:t>
            </w:r>
          </w:p>
        </w:tc>
        <w:tc>
          <w:tcPr>
            <w:tcW w:w="664" w:type="dxa"/>
          </w:tcPr>
          <w:p w14:paraId="5CC46208"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1.75</w:t>
            </w:r>
          </w:p>
        </w:tc>
        <w:tc>
          <w:tcPr>
            <w:tcW w:w="648" w:type="dxa"/>
          </w:tcPr>
          <w:p w14:paraId="74F1B46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w:t>
            </w:r>
          </w:p>
        </w:tc>
        <w:tc>
          <w:tcPr>
            <w:tcW w:w="709" w:type="dxa"/>
          </w:tcPr>
          <w:p w14:paraId="77A1E785"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2.00</w:t>
            </w:r>
          </w:p>
        </w:tc>
        <w:tc>
          <w:tcPr>
            <w:tcW w:w="709" w:type="dxa"/>
          </w:tcPr>
          <w:p w14:paraId="193BC3F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19</w:t>
            </w:r>
          </w:p>
        </w:tc>
        <w:tc>
          <w:tcPr>
            <w:tcW w:w="708" w:type="dxa"/>
          </w:tcPr>
          <w:p w14:paraId="24D8BA50"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1.80</w:t>
            </w:r>
          </w:p>
        </w:tc>
        <w:tc>
          <w:tcPr>
            <w:tcW w:w="709" w:type="dxa"/>
          </w:tcPr>
          <w:p w14:paraId="297046A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18</w:t>
            </w:r>
          </w:p>
        </w:tc>
        <w:tc>
          <w:tcPr>
            <w:tcW w:w="709" w:type="dxa"/>
          </w:tcPr>
          <w:p w14:paraId="535392B1"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3.83</w:t>
            </w:r>
          </w:p>
        </w:tc>
        <w:tc>
          <w:tcPr>
            <w:tcW w:w="682" w:type="dxa"/>
          </w:tcPr>
          <w:p w14:paraId="482F6D36"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11</w:t>
            </w:r>
          </w:p>
        </w:tc>
        <w:tc>
          <w:tcPr>
            <w:tcW w:w="643" w:type="dxa"/>
          </w:tcPr>
          <w:p w14:paraId="5E7D9372"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3.00</w:t>
            </w:r>
          </w:p>
        </w:tc>
        <w:tc>
          <w:tcPr>
            <w:tcW w:w="608" w:type="dxa"/>
          </w:tcPr>
          <w:p w14:paraId="128E6CA9" w14:textId="77777777" w:rsidR="00CD6352" w:rsidRPr="002A67C0" w:rsidRDefault="00CD6352" w:rsidP="00CD6352">
            <w:pPr>
              <w:jc w:val="both"/>
              <w:rPr>
                <w:rFonts w:ascii="Arial" w:hAnsi="Arial" w:cs="Arial"/>
                <w:sz w:val="16"/>
                <w:szCs w:val="16"/>
              </w:rPr>
            </w:pPr>
            <w:r w:rsidRPr="002A67C0">
              <w:rPr>
                <w:rFonts w:ascii="Arial" w:hAnsi="Arial" w:cs="Arial"/>
                <w:sz w:val="16"/>
                <w:szCs w:val="16"/>
              </w:rPr>
              <w:t>13</w:t>
            </w:r>
          </w:p>
        </w:tc>
      </w:tr>
    </w:tbl>
    <w:p w14:paraId="6900F037" w14:textId="77777777" w:rsidR="00CD6352" w:rsidRPr="002A67C0" w:rsidRDefault="00CD6352" w:rsidP="00CD6352">
      <w:pPr>
        <w:spacing w:line="360" w:lineRule="auto"/>
        <w:jc w:val="both"/>
        <w:rPr>
          <w:rFonts w:ascii="Arial" w:hAnsi="Arial" w:cs="Arial"/>
          <w:sz w:val="16"/>
          <w:szCs w:val="16"/>
        </w:rPr>
      </w:pPr>
      <w:r w:rsidRPr="002A67C0">
        <w:rPr>
          <w:rFonts w:ascii="Arial" w:hAnsi="Arial" w:cs="Arial"/>
          <w:sz w:val="16"/>
          <w:szCs w:val="16"/>
        </w:rPr>
        <w:t>1 (Not challenging), 2 (Less challenging), 3 (Fairly challenging), 4(Challenging), 5(Very challenging)</w:t>
      </w:r>
    </w:p>
    <w:p w14:paraId="640C5F7F"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The top five challenges associated with securing finance for real estate project development in the </w:t>
      </w:r>
      <w:r>
        <w:rPr>
          <w:rFonts w:ascii="Arial" w:hAnsi="Arial" w:cs="Arial"/>
        </w:rPr>
        <w:t xml:space="preserve">individual </w:t>
      </w:r>
      <w:r w:rsidRPr="00EA7665">
        <w:rPr>
          <w:rFonts w:ascii="Arial" w:hAnsi="Arial" w:cs="Arial"/>
        </w:rPr>
        <w:t>developed and emerging economies at the disaggregate level based on the questionnaire survey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CD6352" w:rsidRPr="00EA7665" w14:paraId="058D2AC4" w14:textId="77777777" w:rsidTr="00CD6352">
        <w:tc>
          <w:tcPr>
            <w:tcW w:w="3005" w:type="dxa"/>
          </w:tcPr>
          <w:p w14:paraId="49B86C18" w14:textId="5A4A05C1" w:rsidR="00CD6352" w:rsidRPr="00EA7665" w:rsidRDefault="00AC353E" w:rsidP="00CD6352">
            <w:pPr>
              <w:spacing w:line="360" w:lineRule="auto"/>
              <w:jc w:val="both"/>
              <w:rPr>
                <w:rFonts w:ascii="Arial" w:hAnsi="Arial" w:cs="Arial"/>
                <w:b/>
                <w:sz w:val="16"/>
                <w:szCs w:val="16"/>
              </w:rPr>
            </w:pPr>
            <w:r w:rsidRPr="00EA7665">
              <w:rPr>
                <w:rFonts w:ascii="Arial" w:hAnsi="Arial" w:cs="Arial"/>
                <w:b/>
                <w:sz w:val="16"/>
                <w:szCs w:val="16"/>
              </w:rPr>
              <w:lastRenderedPageBreak/>
              <w:t>Germany:</w:t>
            </w:r>
          </w:p>
          <w:p w14:paraId="4317B035" w14:textId="586853A5" w:rsidR="00CD6352" w:rsidRPr="00EA7665" w:rsidRDefault="002A67C0" w:rsidP="00C74AEC">
            <w:pPr>
              <w:pStyle w:val="ListParagraph"/>
              <w:numPr>
                <w:ilvl w:val="0"/>
                <w:numId w:val="100"/>
              </w:numPr>
              <w:spacing w:after="0" w:line="360" w:lineRule="auto"/>
              <w:jc w:val="both"/>
              <w:rPr>
                <w:rFonts w:ascii="Arial" w:hAnsi="Arial" w:cs="Arial"/>
                <w:sz w:val="16"/>
                <w:szCs w:val="16"/>
              </w:rPr>
            </w:pPr>
            <w:r>
              <w:rPr>
                <w:rFonts w:ascii="Arial" w:hAnsi="Arial" w:cs="Arial"/>
                <w:sz w:val="16"/>
                <w:szCs w:val="16"/>
              </w:rPr>
              <w:t>The h</w:t>
            </w:r>
            <w:r w:rsidR="00CD6352" w:rsidRPr="00EA7665">
              <w:rPr>
                <w:rFonts w:ascii="Arial" w:hAnsi="Arial" w:cs="Arial"/>
                <w:sz w:val="16"/>
                <w:szCs w:val="16"/>
              </w:rPr>
              <w:t>igh cost of inputs &amp; labour</w:t>
            </w:r>
          </w:p>
          <w:p w14:paraId="7ECFB2C6" w14:textId="6BC16F10" w:rsidR="00CD6352" w:rsidRPr="00EA7665" w:rsidRDefault="00CD6352" w:rsidP="00C74AEC">
            <w:pPr>
              <w:pStyle w:val="ListParagraph"/>
              <w:numPr>
                <w:ilvl w:val="0"/>
                <w:numId w:val="100"/>
              </w:numPr>
              <w:spacing w:after="0" w:line="360" w:lineRule="auto"/>
              <w:jc w:val="both"/>
              <w:rPr>
                <w:rFonts w:ascii="Arial" w:hAnsi="Arial" w:cs="Arial"/>
                <w:sz w:val="16"/>
                <w:szCs w:val="16"/>
              </w:rPr>
            </w:pPr>
            <w:r w:rsidRPr="00EA7665">
              <w:rPr>
                <w:rFonts w:ascii="Arial" w:hAnsi="Arial" w:cs="Arial"/>
                <w:sz w:val="16"/>
                <w:szCs w:val="16"/>
              </w:rPr>
              <w:t>High</w:t>
            </w:r>
            <w:r w:rsidR="002A67C0">
              <w:rPr>
                <w:rFonts w:ascii="Arial" w:hAnsi="Arial" w:cs="Arial"/>
                <w:sz w:val="16"/>
                <w:szCs w:val="16"/>
              </w:rPr>
              <w:t>-</w:t>
            </w:r>
            <w:r w:rsidRPr="00EA7665">
              <w:rPr>
                <w:rFonts w:ascii="Arial" w:hAnsi="Arial" w:cs="Arial"/>
                <w:sz w:val="16"/>
                <w:szCs w:val="16"/>
              </w:rPr>
              <w:t>interest rate</w:t>
            </w:r>
          </w:p>
          <w:p w14:paraId="010A47C0" w14:textId="7F9B72F1" w:rsidR="00CD6352" w:rsidRPr="00EA7665" w:rsidRDefault="00CD6352" w:rsidP="00C74AEC">
            <w:pPr>
              <w:pStyle w:val="ListParagraph"/>
              <w:numPr>
                <w:ilvl w:val="0"/>
                <w:numId w:val="100"/>
              </w:numPr>
              <w:spacing w:after="0" w:line="360" w:lineRule="auto"/>
              <w:jc w:val="both"/>
              <w:rPr>
                <w:rFonts w:ascii="Arial" w:hAnsi="Arial" w:cs="Arial"/>
                <w:sz w:val="16"/>
                <w:szCs w:val="16"/>
              </w:rPr>
            </w:pPr>
            <w:r w:rsidRPr="00EA7665">
              <w:rPr>
                <w:rFonts w:ascii="Arial" w:hAnsi="Arial" w:cs="Arial"/>
                <w:sz w:val="16"/>
                <w:szCs w:val="16"/>
              </w:rPr>
              <w:t xml:space="preserve">Lack of </w:t>
            </w:r>
            <w:r w:rsidR="00AC353E" w:rsidRPr="00EA7665">
              <w:rPr>
                <w:rFonts w:ascii="Arial" w:hAnsi="Arial" w:cs="Arial"/>
                <w:sz w:val="16"/>
                <w:szCs w:val="16"/>
              </w:rPr>
              <w:t>long-term</w:t>
            </w:r>
            <w:r w:rsidRPr="00EA7665">
              <w:rPr>
                <w:rFonts w:ascii="Arial" w:hAnsi="Arial" w:cs="Arial"/>
                <w:sz w:val="16"/>
                <w:szCs w:val="16"/>
              </w:rPr>
              <w:t xml:space="preserve"> financing</w:t>
            </w:r>
          </w:p>
          <w:p w14:paraId="026F40EF" w14:textId="77777777" w:rsidR="00CD6352" w:rsidRPr="00EA7665" w:rsidRDefault="00CD6352" w:rsidP="00C74AEC">
            <w:pPr>
              <w:pStyle w:val="ListParagraph"/>
              <w:numPr>
                <w:ilvl w:val="0"/>
                <w:numId w:val="100"/>
              </w:numPr>
              <w:spacing w:after="0" w:line="360" w:lineRule="auto"/>
              <w:jc w:val="both"/>
              <w:rPr>
                <w:rFonts w:ascii="Arial" w:hAnsi="Arial" w:cs="Arial"/>
                <w:sz w:val="16"/>
                <w:szCs w:val="16"/>
              </w:rPr>
            </w:pPr>
            <w:r w:rsidRPr="00EA7665">
              <w:rPr>
                <w:rFonts w:ascii="Arial" w:hAnsi="Arial" w:cs="Arial"/>
                <w:sz w:val="16"/>
                <w:szCs w:val="16"/>
              </w:rPr>
              <w:t>Excessive collateral requirement</w:t>
            </w:r>
          </w:p>
          <w:p w14:paraId="011ABC70" w14:textId="77777777" w:rsidR="00CD6352" w:rsidRPr="00EA7665" w:rsidRDefault="00CD6352" w:rsidP="00C74AEC">
            <w:pPr>
              <w:pStyle w:val="ListParagraph"/>
              <w:numPr>
                <w:ilvl w:val="0"/>
                <w:numId w:val="100"/>
              </w:numPr>
              <w:spacing w:after="0" w:line="360" w:lineRule="auto"/>
              <w:jc w:val="both"/>
              <w:rPr>
                <w:rFonts w:ascii="Arial" w:hAnsi="Arial" w:cs="Arial"/>
                <w:sz w:val="16"/>
                <w:szCs w:val="16"/>
              </w:rPr>
            </w:pPr>
            <w:r w:rsidRPr="00EA7665">
              <w:rPr>
                <w:rFonts w:ascii="Arial" w:hAnsi="Arial" w:cs="Arial"/>
                <w:sz w:val="16"/>
                <w:szCs w:val="16"/>
              </w:rPr>
              <w:t>Inflation</w:t>
            </w:r>
          </w:p>
        </w:tc>
        <w:tc>
          <w:tcPr>
            <w:tcW w:w="3005" w:type="dxa"/>
          </w:tcPr>
          <w:p w14:paraId="79BBC8B8"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United Kingdom:</w:t>
            </w:r>
          </w:p>
          <w:p w14:paraId="34103CF7" w14:textId="77777777" w:rsidR="00CD6352" w:rsidRPr="00EA7665" w:rsidRDefault="00CD6352" w:rsidP="00C74AEC">
            <w:pPr>
              <w:pStyle w:val="ListParagraph"/>
              <w:numPr>
                <w:ilvl w:val="0"/>
                <w:numId w:val="101"/>
              </w:numPr>
              <w:spacing w:after="0" w:line="360" w:lineRule="auto"/>
              <w:jc w:val="both"/>
              <w:rPr>
                <w:rFonts w:ascii="Arial" w:hAnsi="Arial" w:cs="Arial"/>
                <w:sz w:val="16"/>
                <w:szCs w:val="16"/>
              </w:rPr>
            </w:pPr>
            <w:r w:rsidRPr="00EA7665">
              <w:rPr>
                <w:rFonts w:ascii="Arial" w:hAnsi="Arial" w:cs="Arial"/>
                <w:sz w:val="16"/>
                <w:szCs w:val="16"/>
              </w:rPr>
              <w:t>Difficult land use &amp; ownership laws</w:t>
            </w:r>
          </w:p>
          <w:p w14:paraId="6DFFAA51" w14:textId="701BC88C" w:rsidR="00CD6352" w:rsidRPr="00EA7665" w:rsidRDefault="002A67C0" w:rsidP="00C74AEC">
            <w:pPr>
              <w:pStyle w:val="ListParagraph"/>
              <w:numPr>
                <w:ilvl w:val="0"/>
                <w:numId w:val="101"/>
              </w:numPr>
              <w:spacing w:after="0" w:line="360" w:lineRule="auto"/>
              <w:jc w:val="both"/>
              <w:rPr>
                <w:rFonts w:ascii="Arial" w:hAnsi="Arial" w:cs="Arial"/>
                <w:sz w:val="16"/>
                <w:szCs w:val="16"/>
              </w:rPr>
            </w:pPr>
            <w:r>
              <w:rPr>
                <w:rFonts w:ascii="Arial" w:hAnsi="Arial" w:cs="Arial"/>
                <w:sz w:val="16"/>
                <w:szCs w:val="16"/>
              </w:rPr>
              <w:t>The h</w:t>
            </w:r>
            <w:r w:rsidR="00CD6352" w:rsidRPr="00EA7665">
              <w:rPr>
                <w:rFonts w:ascii="Arial" w:hAnsi="Arial" w:cs="Arial"/>
                <w:sz w:val="16"/>
                <w:szCs w:val="16"/>
              </w:rPr>
              <w:t>igh cost of inputs and labour</w:t>
            </w:r>
          </w:p>
          <w:p w14:paraId="0435D66C" w14:textId="4125AF82" w:rsidR="00CD6352" w:rsidRPr="00EA7665" w:rsidRDefault="00CD6352" w:rsidP="00C74AEC">
            <w:pPr>
              <w:pStyle w:val="ListParagraph"/>
              <w:numPr>
                <w:ilvl w:val="0"/>
                <w:numId w:val="101"/>
              </w:numPr>
              <w:spacing w:after="0" w:line="360" w:lineRule="auto"/>
              <w:jc w:val="both"/>
              <w:rPr>
                <w:rFonts w:ascii="Arial" w:hAnsi="Arial" w:cs="Arial"/>
                <w:sz w:val="16"/>
                <w:szCs w:val="16"/>
              </w:rPr>
            </w:pPr>
            <w:r w:rsidRPr="00EA7665">
              <w:rPr>
                <w:rFonts w:ascii="Arial" w:hAnsi="Arial" w:cs="Arial"/>
                <w:sz w:val="16"/>
                <w:szCs w:val="16"/>
              </w:rPr>
              <w:t xml:space="preserve">Lack of </w:t>
            </w:r>
            <w:r w:rsidR="00AC353E" w:rsidRPr="00EA7665">
              <w:rPr>
                <w:rFonts w:ascii="Arial" w:hAnsi="Arial" w:cs="Arial"/>
                <w:sz w:val="16"/>
                <w:szCs w:val="16"/>
              </w:rPr>
              <w:t>long-term</w:t>
            </w:r>
            <w:r w:rsidRPr="00EA7665">
              <w:rPr>
                <w:rFonts w:ascii="Arial" w:hAnsi="Arial" w:cs="Arial"/>
                <w:sz w:val="16"/>
                <w:szCs w:val="16"/>
              </w:rPr>
              <w:t xml:space="preserve"> financing</w:t>
            </w:r>
          </w:p>
          <w:p w14:paraId="206F9D6A" w14:textId="77777777" w:rsidR="00CD6352" w:rsidRPr="00EA7665" w:rsidRDefault="00CD6352" w:rsidP="00C74AEC">
            <w:pPr>
              <w:pStyle w:val="ListParagraph"/>
              <w:numPr>
                <w:ilvl w:val="0"/>
                <w:numId w:val="101"/>
              </w:numPr>
              <w:spacing w:after="0" w:line="360" w:lineRule="auto"/>
              <w:jc w:val="both"/>
              <w:rPr>
                <w:rFonts w:ascii="Arial" w:hAnsi="Arial" w:cs="Arial"/>
                <w:sz w:val="16"/>
                <w:szCs w:val="16"/>
              </w:rPr>
            </w:pPr>
            <w:r w:rsidRPr="00EA7665">
              <w:rPr>
                <w:rFonts w:ascii="Arial" w:hAnsi="Arial" w:cs="Arial"/>
                <w:sz w:val="16"/>
                <w:szCs w:val="16"/>
              </w:rPr>
              <w:t>Government ineffective policies</w:t>
            </w:r>
          </w:p>
          <w:p w14:paraId="74F6BD7A" w14:textId="77777777" w:rsidR="00CD6352" w:rsidRPr="00EA7665" w:rsidRDefault="00CD6352" w:rsidP="00C74AEC">
            <w:pPr>
              <w:pStyle w:val="ListParagraph"/>
              <w:numPr>
                <w:ilvl w:val="0"/>
                <w:numId w:val="101"/>
              </w:numPr>
              <w:spacing w:after="0" w:line="360" w:lineRule="auto"/>
              <w:jc w:val="both"/>
              <w:rPr>
                <w:rFonts w:ascii="Arial" w:hAnsi="Arial" w:cs="Arial"/>
                <w:sz w:val="16"/>
                <w:szCs w:val="16"/>
              </w:rPr>
            </w:pPr>
            <w:r w:rsidRPr="00EA7665">
              <w:rPr>
                <w:rFonts w:ascii="Arial" w:hAnsi="Arial" w:cs="Arial"/>
                <w:sz w:val="16"/>
                <w:szCs w:val="16"/>
              </w:rPr>
              <w:t>Lack of fiscal &amp; regulatory incentives</w:t>
            </w:r>
          </w:p>
        </w:tc>
        <w:tc>
          <w:tcPr>
            <w:tcW w:w="3006" w:type="dxa"/>
          </w:tcPr>
          <w:p w14:paraId="38CFE695"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United States of America</w:t>
            </w:r>
          </w:p>
          <w:p w14:paraId="1ACDC650" w14:textId="40558340" w:rsidR="00CD6352" w:rsidRPr="00EA7665" w:rsidRDefault="002A67C0" w:rsidP="00C74AEC">
            <w:pPr>
              <w:pStyle w:val="ListParagraph"/>
              <w:numPr>
                <w:ilvl w:val="0"/>
                <w:numId w:val="102"/>
              </w:numPr>
              <w:spacing w:after="0" w:line="360" w:lineRule="auto"/>
              <w:jc w:val="both"/>
              <w:rPr>
                <w:rFonts w:ascii="Arial" w:hAnsi="Arial" w:cs="Arial"/>
                <w:sz w:val="16"/>
                <w:szCs w:val="16"/>
              </w:rPr>
            </w:pPr>
            <w:r>
              <w:rPr>
                <w:rFonts w:ascii="Arial" w:hAnsi="Arial" w:cs="Arial"/>
                <w:sz w:val="16"/>
                <w:szCs w:val="16"/>
              </w:rPr>
              <w:t>The h</w:t>
            </w:r>
            <w:r w:rsidR="00CD6352" w:rsidRPr="00EA7665">
              <w:rPr>
                <w:rFonts w:ascii="Arial" w:hAnsi="Arial" w:cs="Arial"/>
                <w:sz w:val="16"/>
                <w:szCs w:val="16"/>
              </w:rPr>
              <w:t>igh cost of inputs and labour</w:t>
            </w:r>
          </w:p>
          <w:p w14:paraId="633D98EB" w14:textId="2AE9143C" w:rsidR="00CD6352" w:rsidRPr="00EA7665" w:rsidRDefault="00CD6352" w:rsidP="00C74AEC">
            <w:pPr>
              <w:pStyle w:val="ListParagraph"/>
              <w:numPr>
                <w:ilvl w:val="0"/>
                <w:numId w:val="102"/>
              </w:numPr>
              <w:spacing w:after="0" w:line="360" w:lineRule="auto"/>
              <w:jc w:val="both"/>
              <w:rPr>
                <w:rFonts w:ascii="Arial" w:hAnsi="Arial" w:cs="Arial"/>
                <w:sz w:val="16"/>
                <w:szCs w:val="16"/>
              </w:rPr>
            </w:pPr>
            <w:r w:rsidRPr="00EA7665">
              <w:rPr>
                <w:rFonts w:ascii="Arial" w:hAnsi="Arial" w:cs="Arial"/>
                <w:sz w:val="16"/>
                <w:szCs w:val="16"/>
              </w:rPr>
              <w:t>High</w:t>
            </w:r>
            <w:r w:rsidR="002A67C0">
              <w:rPr>
                <w:rFonts w:ascii="Arial" w:hAnsi="Arial" w:cs="Arial"/>
                <w:sz w:val="16"/>
                <w:szCs w:val="16"/>
              </w:rPr>
              <w:t>-</w:t>
            </w:r>
            <w:r w:rsidRPr="00EA7665">
              <w:rPr>
                <w:rFonts w:ascii="Arial" w:hAnsi="Arial" w:cs="Arial"/>
                <w:sz w:val="16"/>
                <w:szCs w:val="16"/>
              </w:rPr>
              <w:t>interest rates</w:t>
            </w:r>
          </w:p>
          <w:p w14:paraId="4D204F81" w14:textId="77777777" w:rsidR="00CD6352" w:rsidRPr="00EA7665" w:rsidRDefault="00CD6352" w:rsidP="00C74AEC">
            <w:pPr>
              <w:pStyle w:val="ListParagraph"/>
              <w:numPr>
                <w:ilvl w:val="0"/>
                <w:numId w:val="102"/>
              </w:numPr>
              <w:spacing w:after="0" w:line="360" w:lineRule="auto"/>
              <w:jc w:val="both"/>
              <w:rPr>
                <w:rFonts w:ascii="Arial" w:hAnsi="Arial" w:cs="Arial"/>
                <w:sz w:val="16"/>
                <w:szCs w:val="16"/>
              </w:rPr>
            </w:pPr>
            <w:r w:rsidRPr="00EA7665">
              <w:rPr>
                <w:rFonts w:ascii="Arial" w:hAnsi="Arial" w:cs="Arial"/>
                <w:sz w:val="16"/>
                <w:szCs w:val="16"/>
              </w:rPr>
              <w:t>Difficult lending criteria by financiers</w:t>
            </w:r>
          </w:p>
          <w:p w14:paraId="6B96E36C" w14:textId="77777777" w:rsidR="00CD6352" w:rsidRPr="00EA7665" w:rsidRDefault="00CD6352" w:rsidP="00C74AEC">
            <w:pPr>
              <w:pStyle w:val="ListParagraph"/>
              <w:numPr>
                <w:ilvl w:val="0"/>
                <w:numId w:val="102"/>
              </w:numPr>
              <w:spacing w:after="0" w:line="360" w:lineRule="auto"/>
              <w:jc w:val="both"/>
              <w:rPr>
                <w:rFonts w:ascii="Arial" w:hAnsi="Arial" w:cs="Arial"/>
                <w:sz w:val="16"/>
                <w:szCs w:val="16"/>
              </w:rPr>
            </w:pPr>
            <w:r w:rsidRPr="00EA7665">
              <w:rPr>
                <w:rFonts w:ascii="Arial" w:hAnsi="Arial" w:cs="Arial"/>
                <w:sz w:val="16"/>
                <w:szCs w:val="16"/>
              </w:rPr>
              <w:t>Excessive collateral requirement</w:t>
            </w:r>
          </w:p>
          <w:p w14:paraId="169FA517" w14:textId="77777777" w:rsidR="00CD6352" w:rsidRPr="00EA7665" w:rsidRDefault="00CD6352" w:rsidP="00C74AEC">
            <w:pPr>
              <w:pStyle w:val="ListParagraph"/>
              <w:numPr>
                <w:ilvl w:val="0"/>
                <w:numId w:val="102"/>
              </w:numPr>
              <w:spacing w:after="0" w:line="360" w:lineRule="auto"/>
              <w:jc w:val="both"/>
              <w:rPr>
                <w:rFonts w:ascii="Arial" w:hAnsi="Arial" w:cs="Arial"/>
                <w:sz w:val="16"/>
                <w:szCs w:val="16"/>
              </w:rPr>
            </w:pPr>
            <w:r w:rsidRPr="00EA7665">
              <w:rPr>
                <w:rFonts w:ascii="Arial" w:hAnsi="Arial" w:cs="Arial"/>
                <w:sz w:val="16"/>
                <w:szCs w:val="16"/>
              </w:rPr>
              <w:t>Government’s ineffective policies</w:t>
            </w:r>
          </w:p>
        </w:tc>
      </w:tr>
      <w:tr w:rsidR="00CD6352" w:rsidRPr="00EA7665" w14:paraId="08B0F6DC" w14:textId="77777777" w:rsidTr="00CD6352">
        <w:tc>
          <w:tcPr>
            <w:tcW w:w="3005" w:type="dxa"/>
          </w:tcPr>
          <w:p w14:paraId="13AE58A7"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China:</w:t>
            </w:r>
          </w:p>
          <w:p w14:paraId="228BC208" w14:textId="77777777" w:rsidR="00CD6352" w:rsidRPr="00EA7665" w:rsidRDefault="00CD6352" w:rsidP="00C74AEC">
            <w:pPr>
              <w:pStyle w:val="ListParagraph"/>
              <w:numPr>
                <w:ilvl w:val="0"/>
                <w:numId w:val="103"/>
              </w:numPr>
              <w:spacing w:after="0" w:line="360" w:lineRule="auto"/>
              <w:jc w:val="both"/>
              <w:rPr>
                <w:rFonts w:ascii="Arial" w:hAnsi="Arial" w:cs="Arial"/>
                <w:sz w:val="16"/>
                <w:szCs w:val="16"/>
              </w:rPr>
            </w:pPr>
            <w:r w:rsidRPr="00EA7665">
              <w:rPr>
                <w:rFonts w:ascii="Arial" w:hAnsi="Arial" w:cs="Arial"/>
                <w:sz w:val="16"/>
                <w:szCs w:val="16"/>
              </w:rPr>
              <w:t>Difficult lending criteria by financiers</w:t>
            </w:r>
          </w:p>
          <w:p w14:paraId="669F6BB2" w14:textId="77777777" w:rsidR="00CD6352" w:rsidRPr="00EA7665" w:rsidRDefault="00CD6352" w:rsidP="00C74AEC">
            <w:pPr>
              <w:pStyle w:val="ListParagraph"/>
              <w:numPr>
                <w:ilvl w:val="0"/>
                <w:numId w:val="103"/>
              </w:numPr>
              <w:spacing w:after="0" w:line="360" w:lineRule="auto"/>
              <w:jc w:val="both"/>
              <w:rPr>
                <w:rFonts w:ascii="Arial" w:hAnsi="Arial" w:cs="Arial"/>
                <w:sz w:val="16"/>
                <w:szCs w:val="16"/>
              </w:rPr>
            </w:pPr>
            <w:r w:rsidRPr="00EA7665">
              <w:rPr>
                <w:rFonts w:ascii="Arial" w:hAnsi="Arial" w:cs="Arial"/>
                <w:sz w:val="16"/>
                <w:szCs w:val="16"/>
              </w:rPr>
              <w:t>Difficult land use and ownership laws</w:t>
            </w:r>
          </w:p>
          <w:p w14:paraId="0CF36DC0" w14:textId="77777777" w:rsidR="00CD6352" w:rsidRPr="00EA7665" w:rsidRDefault="00CD6352" w:rsidP="00C74AEC">
            <w:pPr>
              <w:pStyle w:val="ListParagraph"/>
              <w:numPr>
                <w:ilvl w:val="0"/>
                <w:numId w:val="103"/>
              </w:numPr>
              <w:spacing w:after="0" w:line="360" w:lineRule="auto"/>
              <w:jc w:val="both"/>
              <w:rPr>
                <w:rFonts w:ascii="Arial" w:hAnsi="Arial" w:cs="Arial"/>
                <w:sz w:val="16"/>
                <w:szCs w:val="16"/>
              </w:rPr>
            </w:pPr>
            <w:r w:rsidRPr="00EA7665">
              <w:rPr>
                <w:rFonts w:ascii="Arial" w:hAnsi="Arial" w:cs="Arial"/>
                <w:sz w:val="16"/>
                <w:szCs w:val="16"/>
              </w:rPr>
              <w:t>Government ineffective policies</w:t>
            </w:r>
          </w:p>
          <w:p w14:paraId="71C6094E" w14:textId="77777777" w:rsidR="00CD6352" w:rsidRPr="00EA7665" w:rsidRDefault="00CD6352" w:rsidP="00C74AEC">
            <w:pPr>
              <w:pStyle w:val="ListParagraph"/>
              <w:numPr>
                <w:ilvl w:val="0"/>
                <w:numId w:val="103"/>
              </w:numPr>
              <w:spacing w:after="0" w:line="360" w:lineRule="auto"/>
              <w:jc w:val="both"/>
              <w:rPr>
                <w:rFonts w:ascii="Arial" w:hAnsi="Arial" w:cs="Arial"/>
                <w:sz w:val="16"/>
                <w:szCs w:val="16"/>
              </w:rPr>
            </w:pPr>
            <w:r w:rsidRPr="00EA7665">
              <w:rPr>
                <w:rFonts w:ascii="Arial" w:hAnsi="Arial" w:cs="Arial"/>
                <w:sz w:val="16"/>
                <w:szCs w:val="16"/>
              </w:rPr>
              <w:t>Lack of fiscal and regulatory incentives</w:t>
            </w:r>
          </w:p>
          <w:p w14:paraId="555FFC22" w14:textId="77777777" w:rsidR="00CD6352" w:rsidRPr="00EA7665" w:rsidRDefault="00CD6352" w:rsidP="00C74AEC">
            <w:pPr>
              <w:pStyle w:val="ListParagraph"/>
              <w:numPr>
                <w:ilvl w:val="0"/>
                <w:numId w:val="103"/>
              </w:numPr>
              <w:spacing w:after="0" w:line="360" w:lineRule="auto"/>
              <w:jc w:val="both"/>
              <w:rPr>
                <w:rFonts w:ascii="Arial" w:hAnsi="Arial" w:cs="Arial"/>
                <w:sz w:val="16"/>
                <w:szCs w:val="16"/>
              </w:rPr>
            </w:pPr>
            <w:r w:rsidRPr="00EA7665">
              <w:rPr>
                <w:rFonts w:ascii="Arial" w:hAnsi="Arial" w:cs="Arial"/>
                <w:sz w:val="16"/>
                <w:szCs w:val="16"/>
              </w:rPr>
              <w:t>Government’s ineffective policies</w:t>
            </w:r>
          </w:p>
        </w:tc>
        <w:tc>
          <w:tcPr>
            <w:tcW w:w="3005" w:type="dxa"/>
          </w:tcPr>
          <w:p w14:paraId="5E58757F" w14:textId="699ED9A7" w:rsidR="00CD6352" w:rsidRPr="00EA7665" w:rsidRDefault="00AC353E" w:rsidP="00CD6352">
            <w:pPr>
              <w:spacing w:line="360" w:lineRule="auto"/>
              <w:jc w:val="both"/>
              <w:rPr>
                <w:rFonts w:ascii="Arial" w:hAnsi="Arial" w:cs="Arial"/>
                <w:b/>
                <w:sz w:val="16"/>
                <w:szCs w:val="16"/>
              </w:rPr>
            </w:pPr>
            <w:r w:rsidRPr="00EA7665">
              <w:rPr>
                <w:rFonts w:ascii="Arial" w:hAnsi="Arial" w:cs="Arial"/>
                <w:b/>
                <w:sz w:val="16"/>
                <w:szCs w:val="16"/>
              </w:rPr>
              <w:t>Nigeria:</w:t>
            </w:r>
          </w:p>
          <w:p w14:paraId="02A07E7A" w14:textId="5C4B015B" w:rsidR="00CD6352" w:rsidRPr="00EA7665" w:rsidRDefault="00CD6352" w:rsidP="00C74AEC">
            <w:pPr>
              <w:pStyle w:val="ListParagraph"/>
              <w:numPr>
                <w:ilvl w:val="0"/>
                <w:numId w:val="104"/>
              </w:numPr>
              <w:spacing w:after="0" w:line="360" w:lineRule="auto"/>
              <w:jc w:val="both"/>
              <w:rPr>
                <w:rFonts w:ascii="Arial" w:hAnsi="Arial" w:cs="Arial"/>
                <w:sz w:val="16"/>
                <w:szCs w:val="16"/>
              </w:rPr>
            </w:pPr>
            <w:r w:rsidRPr="00EA7665">
              <w:rPr>
                <w:rFonts w:ascii="Arial" w:hAnsi="Arial" w:cs="Arial"/>
                <w:sz w:val="16"/>
                <w:szCs w:val="16"/>
              </w:rPr>
              <w:t>High</w:t>
            </w:r>
            <w:r w:rsidR="002A67C0">
              <w:rPr>
                <w:rFonts w:ascii="Arial" w:hAnsi="Arial" w:cs="Arial"/>
                <w:sz w:val="16"/>
                <w:szCs w:val="16"/>
              </w:rPr>
              <w:t>-</w:t>
            </w:r>
            <w:r w:rsidRPr="00EA7665">
              <w:rPr>
                <w:rFonts w:ascii="Arial" w:hAnsi="Arial" w:cs="Arial"/>
                <w:sz w:val="16"/>
                <w:szCs w:val="16"/>
              </w:rPr>
              <w:t>interest rate</w:t>
            </w:r>
          </w:p>
          <w:p w14:paraId="6220D307" w14:textId="77777777" w:rsidR="00CD6352" w:rsidRPr="00EA7665" w:rsidRDefault="00CD6352" w:rsidP="00C74AEC">
            <w:pPr>
              <w:pStyle w:val="ListParagraph"/>
              <w:numPr>
                <w:ilvl w:val="0"/>
                <w:numId w:val="104"/>
              </w:numPr>
              <w:spacing w:after="0" w:line="360" w:lineRule="auto"/>
              <w:jc w:val="both"/>
              <w:rPr>
                <w:rFonts w:ascii="Arial" w:hAnsi="Arial" w:cs="Arial"/>
                <w:sz w:val="16"/>
                <w:szCs w:val="16"/>
              </w:rPr>
            </w:pPr>
            <w:r w:rsidRPr="00EA7665">
              <w:rPr>
                <w:rFonts w:ascii="Arial" w:hAnsi="Arial" w:cs="Arial"/>
                <w:sz w:val="16"/>
                <w:szCs w:val="16"/>
              </w:rPr>
              <w:t>Inflation</w:t>
            </w:r>
          </w:p>
          <w:p w14:paraId="204CA30A" w14:textId="77777777" w:rsidR="00CD6352" w:rsidRPr="00EA7665" w:rsidRDefault="00CD6352" w:rsidP="00C74AEC">
            <w:pPr>
              <w:pStyle w:val="ListParagraph"/>
              <w:numPr>
                <w:ilvl w:val="0"/>
                <w:numId w:val="104"/>
              </w:numPr>
              <w:spacing w:after="0" w:line="360" w:lineRule="auto"/>
              <w:jc w:val="both"/>
              <w:rPr>
                <w:rFonts w:ascii="Arial" w:hAnsi="Arial" w:cs="Arial"/>
                <w:sz w:val="16"/>
                <w:szCs w:val="16"/>
              </w:rPr>
            </w:pPr>
            <w:r w:rsidRPr="00EA7665">
              <w:rPr>
                <w:rFonts w:ascii="Arial" w:hAnsi="Arial" w:cs="Arial"/>
                <w:sz w:val="16"/>
                <w:szCs w:val="16"/>
              </w:rPr>
              <w:t>Internal political issues</w:t>
            </w:r>
          </w:p>
          <w:p w14:paraId="37178BE7" w14:textId="77777777" w:rsidR="00CD6352" w:rsidRPr="00EA7665" w:rsidRDefault="00CD6352" w:rsidP="00C74AEC">
            <w:pPr>
              <w:pStyle w:val="ListParagraph"/>
              <w:numPr>
                <w:ilvl w:val="0"/>
                <w:numId w:val="104"/>
              </w:numPr>
              <w:spacing w:after="0" w:line="360" w:lineRule="auto"/>
              <w:jc w:val="both"/>
              <w:rPr>
                <w:rFonts w:ascii="Arial" w:hAnsi="Arial" w:cs="Arial"/>
                <w:sz w:val="16"/>
                <w:szCs w:val="16"/>
              </w:rPr>
            </w:pPr>
            <w:r w:rsidRPr="00EA7665">
              <w:rPr>
                <w:rFonts w:ascii="Arial" w:hAnsi="Arial" w:cs="Arial"/>
                <w:sz w:val="16"/>
                <w:szCs w:val="16"/>
              </w:rPr>
              <w:t>Corruption</w:t>
            </w:r>
          </w:p>
          <w:p w14:paraId="1D5EEB85" w14:textId="77777777" w:rsidR="00CD6352" w:rsidRPr="00EA7665" w:rsidRDefault="00CD6352" w:rsidP="00C74AEC">
            <w:pPr>
              <w:pStyle w:val="ListParagraph"/>
              <w:numPr>
                <w:ilvl w:val="0"/>
                <w:numId w:val="104"/>
              </w:numPr>
              <w:spacing w:after="0" w:line="360" w:lineRule="auto"/>
              <w:jc w:val="both"/>
              <w:rPr>
                <w:rFonts w:ascii="Arial" w:hAnsi="Arial" w:cs="Arial"/>
                <w:sz w:val="16"/>
                <w:szCs w:val="16"/>
              </w:rPr>
            </w:pPr>
            <w:r w:rsidRPr="00EA7665">
              <w:rPr>
                <w:rFonts w:ascii="Arial" w:hAnsi="Arial" w:cs="Arial"/>
                <w:sz w:val="16"/>
                <w:szCs w:val="16"/>
              </w:rPr>
              <w:t>Currency risk/ exchange rate volatility</w:t>
            </w:r>
          </w:p>
        </w:tc>
        <w:tc>
          <w:tcPr>
            <w:tcW w:w="3006" w:type="dxa"/>
          </w:tcPr>
          <w:p w14:paraId="5D7E158C"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South Africa:</w:t>
            </w:r>
          </w:p>
          <w:p w14:paraId="490D7998" w14:textId="77777777" w:rsidR="00CD6352" w:rsidRPr="00EA7665" w:rsidRDefault="00CD6352" w:rsidP="00C74AEC">
            <w:pPr>
              <w:pStyle w:val="ListParagraph"/>
              <w:numPr>
                <w:ilvl w:val="0"/>
                <w:numId w:val="105"/>
              </w:numPr>
              <w:spacing w:after="0" w:line="360" w:lineRule="auto"/>
              <w:jc w:val="both"/>
              <w:rPr>
                <w:rFonts w:ascii="Arial" w:hAnsi="Arial" w:cs="Arial"/>
                <w:sz w:val="16"/>
                <w:szCs w:val="16"/>
              </w:rPr>
            </w:pPr>
            <w:r w:rsidRPr="00EA7665">
              <w:rPr>
                <w:rFonts w:ascii="Arial" w:hAnsi="Arial" w:cs="Arial"/>
                <w:sz w:val="16"/>
                <w:szCs w:val="16"/>
              </w:rPr>
              <w:t>Excessive collateral requirement</w:t>
            </w:r>
          </w:p>
          <w:p w14:paraId="24FE9EFA" w14:textId="77777777" w:rsidR="00CD6352" w:rsidRPr="00EA7665" w:rsidRDefault="00CD6352" w:rsidP="00C74AEC">
            <w:pPr>
              <w:pStyle w:val="ListParagraph"/>
              <w:numPr>
                <w:ilvl w:val="0"/>
                <w:numId w:val="105"/>
              </w:numPr>
              <w:spacing w:after="0" w:line="360" w:lineRule="auto"/>
              <w:jc w:val="both"/>
              <w:rPr>
                <w:rFonts w:ascii="Arial" w:hAnsi="Arial" w:cs="Arial"/>
                <w:sz w:val="16"/>
                <w:szCs w:val="16"/>
              </w:rPr>
            </w:pPr>
            <w:r w:rsidRPr="00EA7665">
              <w:rPr>
                <w:rFonts w:ascii="Arial" w:hAnsi="Arial" w:cs="Arial"/>
                <w:sz w:val="16"/>
                <w:szCs w:val="16"/>
              </w:rPr>
              <w:t>Difficult lending criteria</w:t>
            </w:r>
          </w:p>
          <w:p w14:paraId="57259FBB" w14:textId="77777777" w:rsidR="00CD6352" w:rsidRPr="00EA7665" w:rsidRDefault="00CD6352" w:rsidP="00C74AEC">
            <w:pPr>
              <w:pStyle w:val="ListParagraph"/>
              <w:numPr>
                <w:ilvl w:val="0"/>
                <w:numId w:val="105"/>
              </w:numPr>
              <w:spacing w:after="0" w:line="360" w:lineRule="auto"/>
              <w:jc w:val="both"/>
              <w:rPr>
                <w:rFonts w:ascii="Arial" w:hAnsi="Arial" w:cs="Arial"/>
                <w:sz w:val="16"/>
                <w:szCs w:val="16"/>
              </w:rPr>
            </w:pPr>
            <w:r w:rsidRPr="00EA7665">
              <w:rPr>
                <w:rFonts w:ascii="Arial" w:hAnsi="Arial" w:cs="Arial"/>
                <w:sz w:val="16"/>
                <w:szCs w:val="16"/>
              </w:rPr>
              <w:t>Currency risk and exchange rate volatility</w:t>
            </w:r>
          </w:p>
          <w:p w14:paraId="596DAAA4" w14:textId="7C1B6D14" w:rsidR="00CD6352" w:rsidRPr="00EA7665" w:rsidRDefault="00CD6352" w:rsidP="00C74AEC">
            <w:pPr>
              <w:pStyle w:val="ListParagraph"/>
              <w:numPr>
                <w:ilvl w:val="0"/>
                <w:numId w:val="105"/>
              </w:numPr>
              <w:spacing w:after="0" w:line="360" w:lineRule="auto"/>
              <w:jc w:val="both"/>
              <w:rPr>
                <w:rFonts w:ascii="Arial" w:hAnsi="Arial" w:cs="Arial"/>
                <w:sz w:val="16"/>
                <w:szCs w:val="16"/>
              </w:rPr>
            </w:pPr>
            <w:r w:rsidRPr="00EA7665">
              <w:rPr>
                <w:rFonts w:ascii="Arial" w:hAnsi="Arial" w:cs="Arial"/>
                <w:sz w:val="16"/>
                <w:szCs w:val="16"/>
              </w:rPr>
              <w:t>High</w:t>
            </w:r>
            <w:r w:rsidR="002A67C0">
              <w:rPr>
                <w:rFonts w:ascii="Arial" w:hAnsi="Arial" w:cs="Arial"/>
                <w:sz w:val="16"/>
                <w:szCs w:val="16"/>
              </w:rPr>
              <w:t>-</w:t>
            </w:r>
            <w:r w:rsidRPr="00EA7665">
              <w:rPr>
                <w:rFonts w:ascii="Arial" w:hAnsi="Arial" w:cs="Arial"/>
                <w:sz w:val="16"/>
                <w:szCs w:val="16"/>
              </w:rPr>
              <w:t>interest rates</w:t>
            </w:r>
          </w:p>
          <w:p w14:paraId="5F382A05" w14:textId="24C9A46F" w:rsidR="00CD6352" w:rsidRPr="00EA7665" w:rsidRDefault="00CD6352" w:rsidP="00C74AEC">
            <w:pPr>
              <w:pStyle w:val="ListParagraph"/>
              <w:numPr>
                <w:ilvl w:val="0"/>
                <w:numId w:val="105"/>
              </w:numPr>
              <w:spacing w:after="0" w:line="360" w:lineRule="auto"/>
              <w:jc w:val="both"/>
              <w:rPr>
                <w:rFonts w:ascii="Arial" w:hAnsi="Arial" w:cs="Arial"/>
                <w:sz w:val="16"/>
                <w:szCs w:val="16"/>
              </w:rPr>
            </w:pPr>
            <w:r w:rsidRPr="00EA7665">
              <w:rPr>
                <w:rFonts w:ascii="Arial" w:hAnsi="Arial" w:cs="Arial"/>
                <w:sz w:val="16"/>
                <w:szCs w:val="16"/>
              </w:rPr>
              <w:t xml:space="preserve">Lack of </w:t>
            </w:r>
            <w:r w:rsidR="00AC353E" w:rsidRPr="00EA7665">
              <w:rPr>
                <w:rFonts w:ascii="Arial" w:hAnsi="Arial" w:cs="Arial"/>
                <w:sz w:val="16"/>
                <w:szCs w:val="16"/>
              </w:rPr>
              <w:t>long-term</w:t>
            </w:r>
            <w:r w:rsidRPr="00EA7665">
              <w:rPr>
                <w:rFonts w:ascii="Arial" w:hAnsi="Arial" w:cs="Arial"/>
                <w:sz w:val="16"/>
                <w:szCs w:val="16"/>
              </w:rPr>
              <w:t xml:space="preserve"> financing</w:t>
            </w:r>
          </w:p>
        </w:tc>
      </w:tr>
    </w:tbl>
    <w:p w14:paraId="07FAFEC3" w14:textId="77777777" w:rsidR="00CD6352" w:rsidRPr="00EA7665" w:rsidRDefault="00CD6352" w:rsidP="00CD6352">
      <w:pPr>
        <w:spacing w:line="360" w:lineRule="auto"/>
        <w:jc w:val="both"/>
        <w:rPr>
          <w:rFonts w:ascii="Arial" w:hAnsi="Arial" w:cs="Arial"/>
        </w:rPr>
      </w:pPr>
    </w:p>
    <w:p w14:paraId="430C3217" w14:textId="30079513" w:rsidR="00CD6352" w:rsidRDefault="00CD6352" w:rsidP="00CD6352">
      <w:pPr>
        <w:spacing w:line="360" w:lineRule="auto"/>
        <w:jc w:val="both"/>
        <w:rPr>
          <w:rFonts w:ascii="Arial" w:hAnsi="Arial" w:cs="Arial"/>
        </w:rPr>
      </w:pPr>
      <w:r>
        <w:rPr>
          <w:rFonts w:ascii="Arial" w:hAnsi="Arial" w:cs="Arial"/>
        </w:rPr>
        <w:t>The high</w:t>
      </w:r>
      <w:r w:rsidRPr="00EA7665">
        <w:rPr>
          <w:rFonts w:ascii="Arial" w:hAnsi="Arial" w:cs="Arial"/>
        </w:rPr>
        <w:t xml:space="preserve"> cost of inputs which is ranked the most challenging factor associated with securing finance by managers in Germany is also ranked 1</w:t>
      </w:r>
      <w:r w:rsidR="00881517" w:rsidRPr="00EA7665">
        <w:rPr>
          <w:rFonts w:ascii="Arial" w:hAnsi="Arial" w:cs="Arial"/>
          <w:vertAlign w:val="superscript"/>
        </w:rPr>
        <w:t>st</w:t>
      </w:r>
      <w:r w:rsidR="00881517" w:rsidRPr="00EA7665">
        <w:rPr>
          <w:rFonts w:ascii="Arial" w:hAnsi="Arial" w:cs="Arial"/>
        </w:rPr>
        <w:t xml:space="preserve"> </w:t>
      </w:r>
      <w:r w:rsidR="00881517">
        <w:rPr>
          <w:rFonts w:ascii="Arial" w:hAnsi="Arial" w:cs="Arial"/>
        </w:rPr>
        <w:t>by</w:t>
      </w:r>
      <w:r>
        <w:rPr>
          <w:rFonts w:ascii="Arial" w:hAnsi="Arial" w:cs="Arial"/>
        </w:rPr>
        <w:t xml:space="preserve"> respondents from the </w:t>
      </w:r>
      <w:r w:rsidRPr="00EA7665">
        <w:rPr>
          <w:rFonts w:ascii="Arial" w:hAnsi="Arial" w:cs="Arial"/>
        </w:rPr>
        <w:t>US and 2</w:t>
      </w:r>
      <w:r w:rsidR="00881517" w:rsidRPr="00EA7665">
        <w:rPr>
          <w:rFonts w:ascii="Arial" w:hAnsi="Arial" w:cs="Arial"/>
          <w:vertAlign w:val="superscript"/>
        </w:rPr>
        <w:t>nd</w:t>
      </w:r>
      <w:r w:rsidR="00881517" w:rsidRPr="00EA7665">
        <w:rPr>
          <w:rFonts w:ascii="Arial" w:hAnsi="Arial" w:cs="Arial"/>
        </w:rPr>
        <w:t xml:space="preserve"> by</w:t>
      </w:r>
      <w:r>
        <w:rPr>
          <w:rFonts w:ascii="Arial" w:hAnsi="Arial" w:cs="Arial"/>
        </w:rPr>
        <w:t xml:space="preserve"> </w:t>
      </w:r>
      <w:r w:rsidRPr="00EA7665">
        <w:rPr>
          <w:rFonts w:ascii="Arial" w:hAnsi="Arial" w:cs="Arial"/>
        </w:rPr>
        <w:t>the UK</w:t>
      </w:r>
      <w:r>
        <w:rPr>
          <w:rFonts w:ascii="Arial" w:hAnsi="Arial" w:cs="Arial"/>
        </w:rPr>
        <w:t xml:space="preserve"> </w:t>
      </w:r>
      <w:r w:rsidR="00AC353E">
        <w:rPr>
          <w:rFonts w:ascii="Arial" w:hAnsi="Arial" w:cs="Arial"/>
        </w:rPr>
        <w:t>respondents.</w:t>
      </w:r>
      <w:r w:rsidRPr="00EA7665">
        <w:rPr>
          <w:rFonts w:ascii="Arial" w:hAnsi="Arial" w:cs="Arial"/>
        </w:rPr>
        <w:t xml:space="preserve"> However, the </w:t>
      </w:r>
      <w:r w:rsidR="00CD50DB">
        <w:rPr>
          <w:rFonts w:ascii="Arial" w:hAnsi="Arial" w:cs="Arial"/>
        </w:rPr>
        <w:t>“high cost of input and labour” for emerging economies ranks between 7th and</w:t>
      </w:r>
      <w:r w:rsidRPr="00EA7665">
        <w:rPr>
          <w:rFonts w:ascii="Arial" w:hAnsi="Arial" w:cs="Arial"/>
        </w:rPr>
        <w:t xml:space="preserve"> 10</w:t>
      </w:r>
      <w:r w:rsidRPr="00EA7665">
        <w:rPr>
          <w:rFonts w:ascii="Arial" w:hAnsi="Arial" w:cs="Arial"/>
          <w:vertAlign w:val="superscript"/>
        </w:rPr>
        <w:t>th</w:t>
      </w:r>
      <w:r w:rsidRPr="00EA7665">
        <w:rPr>
          <w:rFonts w:ascii="Arial" w:hAnsi="Arial" w:cs="Arial"/>
        </w:rPr>
        <w:t xml:space="preserve"> positions.</w:t>
      </w:r>
      <w:r>
        <w:rPr>
          <w:rFonts w:ascii="Arial" w:hAnsi="Arial" w:cs="Arial"/>
        </w:rPr>
        <w:t xml:space="preserve"> Labour costs are generally lower </w:t>
      </w:r>
      <w:r w:rsidRPr="00EA7665">
        <w:rPr>
          <w:rFonts w:ascii="Arial" w:hAnsi="Arial" w:cs="Arial"/>
        </w:rPr>
        <w:t xml:space="preserve">in emerging economies </w:t>
      </w:r>
      <w:r>
        <w:rPr>
          <w:rFonts w:ascii="Arial" w:hAnsi="Arial" w:cs="Arial"/>
        </w:rPr>
        <w:t xml:space="preserve">than </w:t>
      </w:r>
      <w:r w:rsidR="00881517">
        <w:rPr>
          <w:rFonts w:ascii="Arial" w:hAnsi="Arial" w:cs="Arial"/>
        </w:rPr>
        <w:t xml:space="preserve">in </w:t>
      </w:r>
      <w:r w:rsidR="00881517" w:rsidRPr="00EA7665">
        <w:rPr>
          <w:rFonts w:ascii="Arial" w:hAnsi="Arial" w:cs="Arial"/>
        </w:rPr>
        <w:t>the</w:t>
      </w:r>
      <w:r w:rsidRPr="00EA7665">
        <w:rPr>
          <w:rFonts w:ascii="Arial" w:hAnsi="Arial" w:cs="Arial"/>
        </w:rPr>
        <w:t xml:space="preserve"> developed economies because of the large populatio</w:t>
      </w:r>
      <w:r>
        <w:rPr>
          <w:rFonts w:ascii="Arial" w:hAnsi="Arial" w:cs="Arial"/>
        </w:rPr>
        <w:t>ns</w:t>
      </w:r>
      <w:r w:rsidR="00CD50DB">
        <w:rPr>
          <w:rFonts w:ascii="Arial" w:hAnsi="Arial" w:cs="Arial"/>
        </w:rPr>
        <w:t>,</w:t>
      </w:r>
      <w:r>
        <w:rPr>
          <w:rFonts w:ascii="Arial" w:hAnsi="Arial" w:cs="Arial"/>
        </w:rPr>
        <w:t xml:space="preserve"> </w:t>
      </w:r>
      <w:r w:rsidR="00881517">
        <w:rPr>
          <w:rFonts w:ascii="Arial" w:hAnsi="Arial" w:cs="Arial"/>
        </w:rPr>
        <w:t>which create</w:t>
      </w:r>
      <w:r>
        <w:rPr>
          <w:rFonts w:ascii="Arial" w:hAnsi="Arial" w:cs="Arial"/>
        </w:rPr>
        <w:t xml:space="preserve"> cheap labour</w:t>
      </w:r>
      <w:r w:rsidR="00CD50DB">
        <w:rPr>
          <w:rFonts w:ascii="Arial" w:hAnsi="Arial" w:cs="Arial"/>
        </w:rPr>
        <w:t>.</w:t>
      </w:r>
      <w:r>
        <w:rPr>
          <w:rFonts w:ascii="Arial" w:hAnsi="Arial" w:cs="Arial"/>
        </w:rPr>
        <w:t xml:space="preserve"> </w:t>
      </w:r>
    </w:p>
    <w:p w14:paraId="45EA7F7C" w14:textId="4B8F3915" w:rsidR="00CD6352" w:rsidRDefault="00CD6352" w:rsidP="00CD6352">
      <w:pPr>
        <w:spacing w:line="360" w:lineRule="auto"/>
        <w:jc w:val="both"/>
        <w:rPr>
          <w:rFonts w:ascii="Arial" w:hAnsi="Arial" w:cs="Arial"/>
        </w:rPr>
      </w:pPr>
      <w:r w:rsidRPr="00EA7665">
        <w:rPr>
          <w:rFonts w:ascii="Arial" w:hAnsi="Arial" w:cs="Arial"/>
        </w:rPr>
        <w:t xml:space="preserve">Surprisingly, </w:t>
      </w:r>
      <w:r w:rsidR="002A67C0">
        <w:rPr>
          <w:rFonts w:ascii="Arial" w:hAnsi="Arial" w:cs="Arial"/>
        </w:rPr>
        <w:t xml:space="preserve">the </w:t>
      </w:r>
      <w:r w:rsidRPr="00EA7665">
        <w:rPr>
          <w:rFonts w:ascii="Arial" w:hAnsi="Arial" w:cs="Arial"/>
        </w:rPr>
        <w:t>high</w:t>
      </w:r>
      <w:r w:rsidR="00CD50DB">
        <w:rPr>
          <w:rFonts w:ascii="Arial" w:hAnsi="Arial" w:cs="Arial"/>
        </w:rPr>
        <w:t xml:space="preserve"> </w:t>
      </w:r>
      <w:r w:rsidRPr="00EA7665">
        <w:rPr>
          <w:rFonts w:ascii="Arial" w:hAnsi="Arial" w:cs="Arial"/>
        </w:rPr>
        <w:t>interest rate is ranked 2</w:t>
      </w:r>
      <w:r w:rsidRPr="00EA7665">
        <w:rPr>
          <w:rFonts w:ascii="Arial" w:hAnsi="Arial" w:cs="Arial"/>
          <w:vertAlign w:val="superscript"/>
        </w:rPr>
        <w:t>nd</w:t>
      </w:r>
      <w:r w:rsidRPr="00EA7665">
        <w:rPr>
          <w:rFonts w:ascii="Arial" w:hAnsi="Arial" w:cs="Arial"/>
        </w:rPr>
        <w:t xml:space="preserve"> by managers in Germany and lack of long term finance 3</w:t>
      </w:r>
      <w:r w:rsidRPr="00EA7665">
        <w:rPr>
          <w:rFonts w:ascii="Arial" w:hAnsi="Arial" w:cs="Arial"/>
          <w:vertAlign w:val="superscript"/>
        </w:rPr>
        <w:t>rd</w:t>
      </w:r>
      <w:r w:rsidR="00CD50DB">
        <w:rPr>
          <w:rFonts w:ascii="Arial" w:hAnsi="Arial" w:cs="Arial"/>
        </w:rPr>
        <w:t>;</w:t>
      </w:r>
      <w:r w:rsidRPr="00EA7665">
        <w:rPr>
          <w:rFonts w:ascii="Arial" w:hAnsi="Arial" w:cs="Arial"/>
        </w:rPr>
        <w:t xml:space="preserve"> incidentally, </w:t>
      </w:r>
      <w:r w:rsidR="002A67C0">
        <w:rPr>
          <w:rFonts w:ascii="Arial" w:hAnsi="Arial" w:cs="Arial"/>
        </w:rPr>
        <w:t xml:space="preserve">the </w:t>
      </w:r>
      <w:r w:rsidRPr="00EA7665">
        <w:rPr>
          <w:rFonts w:ascii="Arial" w:hAnsi="Arial" w:cs="Arial"/>
        </w:rPr>
        <w:t>high</w:t>
      </w:r>
      <w:r w:rsidR="002A67C0">
        <w:rPr>
          <w:rFonts w:ascii="Arial" w:hAnsi="Arial" w:cs="Arial"/>
        </w:rPr>
        <w:t>-</w:t>
      </w:r>
      <w:r w:rsidRPr="00EA7665">
        <w:rPr>
          <w:rFonts w:ascii="Arial" w:hAnsi="Arial" w:cs="Arial"/>
        </w:rPr>
        <w:t xml:space="preserve">interest rate is </w:t>
      </w:r>
      <w:r w:rsidR="00AC353E" w:rsidRPr="00EA7665">
        <w:rPr>
          <w:rFonts w:ascii="Arial" w:hAnsi="Arial" w:cs="Arial"/>
        </w:rPr>
        <w:t>ranked at</w:t>
      </w:r>
      <w:r w:rsidRPr="00EA7665">
        <w:rPr>
          <w:rFonts w:ascii="Arial" w:hAnsi="Arial" w:cs="Arial"/>
        </w:rPr>
        <w:t xml:space="preserve"> 2</w:t>
      </w:r>
      <w:r w:rsidRPr="00EA7665">
        <w:rPr>
          <w:rFonts w:ascii="Arial" w:hAnsi="Arial" w:cs="Arial"/>
          <w:vertAlign w:val="superscript"/>
        </w:rPr>
        <w:t>nd</w:t>
      </w:r>
      <w:r w:rsidRPr="00EA7665">
        <w:rPr>
          <w:rFonts w:ascii="Arial" w:hAnsi="Arial" w:cs="Arial"/>
        </w:rPr>
        <w:t xml:space="preserve"> position by managers in </w:t>
      </w:r>
      <w:r>
        <w:rPr>
          <w:rFonts w:ascii="Arial" w:hAnsi="Arial" w:cs="Arial"/>
        </w:rPr>
        <w:t xml:space="preserve">the </w:t>
      </w:r>
      <w:r w:rsidRPr="00EA7665">
        <w:rPr>
          <w:rFonts w:ascii="Arial" w:hAnsi="Arial" w:cs="Arial"/>
        </w:rPr>
        <w:t>US and ranked 1</w:t>
      </w:r>
      <w:r w:rsidRPr="00EA7665">
        <w:rPr>
          <w:rFonts w:ascii="Arial" w:hAnsi="Arial" w:cs="Arial"/>
          <w:vertAlign w:val="superscript"/>
        </w:rPr>
        <w:t>st</w:t>
      </w:r>
      <w:r w:rsidRPr="00EA7665">
        <w:rPr>
          <w:rFonts w:ascii="Arial" w:hAnsi="Arial" w:cs="Arial"/>
        </w:rPr>
        <w:t xml:space="preserve"> by managers in Nigeria. Arguably, interest rates are higher in emerging economies </w:t>
      </w:r>
      <w:r w:rsidR="00A22340">
        <w:rPr>
          <w:rFonts w:ascii="Arial" w:hAnsi="Arial" w:cs="Arial"/>
        </w:rPr>
        <w:t xml:space="preserve">than </w:t>
      </w:r>
      <w:r w:rsidR="00CD50DB">
        <w:rPr>
          <w:rFonts w:ascii="Arial" w:hAnsi="Arial" w:cs="Arial"/>
        </w:rPr>
        <w:t xml:space="preserve">in </w:t>
      </w:r>
      <w:r w:rsidR="00A22340">
        <w:rPr>
          <w:rFonts w:ascii="Arial" w:hAnsi="Arial" w:cs="Arial"/>
        </w:rPr>
        <w:t>China and the developed economies because interest rates in most emerging economies are in double digits, which</w:t>
      </w:r>
      <w:r w:rsidRPr="00EA7665">
        <w:rPr>
          <w:rFonts w:ascii="Arial" w:hAnsi="Arial" w:cs="Arial"/>
        </w:rPr>
        <w:t xml:space="preserve"> is detrimental to securing finance (Asu, 2017; Kelilume, 2016). </w:t>
      </w:r>
      <w:r w:rsidR="00A22340">
        <w:rPr>
          <w:rFonts w:ascii="Arial" w:hAnsi="Arial" w:cs="Arial"/>
        </w:rPr>
        <w:t>However,</w:t>
      </w:r>
      <w:r w:rsidR="00CD50DB">
        <w:rPr>
          <w:rFonts w:ascii="Arial" w:hAnsi="Arial" w:cs="Arial"/>
        </w:rPr>
        <w:t xml:space="preserve"> </w:t>
      </w:r>
      <w:r w:rsidR="00023D95">
        <w:rPr>
          <w:rFonts w:ascii="Arial" w:hAnsi="Arial" w:cs="Arial"/>
        </w:rPr>
        <w:t xml:space="preserve">the </w:t>
      </w:r>
      <w:r w:rsidR="00A22340">
        <w:rPr>
          <w:rFonts w:ascii="Arial" w:hAnsi="Arial" w:cs="Arial"/>
        </w:rPr>
        <w:t>interest rate is well-controlled and reduced in the developed economies because of economic coordination amongst these countries and their monetary policies that</w:t>
      </w:r>
      <w:r w:rsidRPr="00EA7665">
        <w:rPr>
          <w:rFonts w:ascii="Arial" w:hAnsi="Arial" w:cs="Arial"/>
        </w:rPr>
        <w:t xml:space="preserve"> have pegged interest rates (Lok, 2006; Goodhart et al., 2011). </w:t>
      </w:r>
    </w:p>
    <w:p w14:paraId="50299DCD" w14:textId="49220290" w:rsidR="00CD6352" w:rsidRPr="00EA7665" w:rsidRDefault="00CD50DB" w:rsidP="00CD6352">
      <w:pPr>
        <w:spacing w:line="360" w:lineRule="auto"/>
        <w:jc w:val="both"/>
        <w:rPr>
          <w:rFonts w:ascii="Arial" w:hAnsi="Arial" w:cs="Arial"/>
        </w:rPr>
      </w:pPr>
      <w:r>
        <w:rPr>
          <w:rFonts w:ascii="Arial" w:hAnsi="Arial" w:cs="Arial"/>
        </w:rPr>
        <w:t>Population shrinking and ageing is more evident in the developed economies, but it is significantly reduced through immigration in some developed countries like Germany (United Nations, 2015). Germany does not consider terrorism and population shrinking as challenges. Population shrinking is also not considered a challenge by Nigeria and China</w:t>
      </w:r>
      <w:r w:rsidR="00CD6352" w:rsidRPr="00EA7665">
        <w:rPr>
          <w:rFonts w:ascii="Arial" w:hAnsi="Arial" w:cs="Arial"/>
        </w:rPr>
        <w:t>.</w:t>
      </w:r>
    </w:p>
    <w:p w14:paraId="67978E92" w14:textId="686244FA" w:rsidR="00CD6352" w:rsidRDefault="00CD6352" w:rsidP="00CD6352">
      <w:pPr>
        <w:spacing w:line="360" w:lineRule="auto"/>
        <w:jc w:val="both"/>
        <w:rPr>
          <w:rFonts w:ascii="Arial" w:hAnsi="Arial" w:cs="Arial"/>
        </w:rPr>
      </w:pPr>
      <w:r w:rsidRPr="00EA7665">
        <w:rPr>
          <w:rFonts w:ascii="Arial" w:hAnsi="Arial" w:cs="Arial"/>
        </w:rPr>
        <w:t>Managers in the UK consider “difficult land use and ownership laws” as the most challenging factors associated with securing finance for real estate project development. Difficult land use and ownership laws</w:t>
      </w:r>
      <w:r>
        <w:rPr>
          <w:rFonts w:ascii="Arial" w:hAnsi="Arial" w:cs="Arial"/>
        </w:rPr>
        <w:t xml:space="preserve"> </w:t>
      </w:r>
      <w:r w:rsidR="00AC353E">
        <w:rPr>
          <w:rFonts w:ascii="Arial" w:hAnsi="Arial" w:cs="Arial"/>
        </w:rPr>
        <w:t xml:space="preserve">are </w:t>
      </w:r>
      <w:r w:rsidR="00AC353E" w:rsidRPr="00EA7665">
        <w:rPr>
          <w:rFonts w:ascii="Arial" w:hAnsi="Arial" w:cs="Arial"/>
        </w:rPr>
        <w:t>also</w:t>
      </w:r>
      <w:r w:rsidRPr="00EA7665">
        <w:rPr>
          <w:rFonts w:ascii="Arial" w:hAnsi="Arial" w:cs="Arial"/>
        </w:rPr>
        <w:t xml:space="preserve"> considered as greatly challenging by managers in China as they rank it 2</w:t>
      </w:r>
      <w:r w:rsidRPr="00EA7665">
        <w:rPr>
          <w:rFonts w:ascii="Arial" w:hAnsi="Arial" w:cs="Arial"/>
          <w:vertAlign w:val="superscript"/>
        </w:rPr>
        <w:t>nd</w:t>
      </w:r>
      <w:r w:rsidRPr="00EA7665">
        <w:rPr>
          <w:rFonts w:ascii="Arial" w:hAnsi="Arial" w:cs="Arial"/>
        </w:rPr>
        <w:t>. The supply of land for construction purposes in China is increasingly under strict state control</w:t>
      </w:r>
      <w:r w:rsidR="00CD50DB">
        <w:rPr>
          <w:rFonts w:ascii="Arial" w:hAnsi="Arial" w:cs="Arial"/>
        </w:rPr>
        <w:t>,</w:t>
      </w:r>
      <w:r>
        <w:rPr>
          <w:rFonts w:ascii="Arial" w:hAnsi="Arial" w:cs="Arial"/>
        </w:rPr>
        <w:t xml:space="preserve"> and this poses a strong challenge for managers in the real estate sector</w:t>
      </w:r>
      <w:r w:rsidRPr="00EA7665">
        <w:rPr>
          <w:rFonts w:ascii="Arial" w:hAnsi="Arial" w:cs="Arial"/>
        </w:rPr>
        <w:t xml:space="preserve"> (Lynn&amp; </w:t>
      </w:r>
      <w:r w:rsidRPr="00EA7665">
        <w:rPr>
          <w:rFonts w:ascii="Arial" w:hAnsi="Arial" w:cs="Arial"/>
        </w:rPr>
        <w:lastRenderedPageBreak/>
        <w:t xml:space="preserve">Wang, 2010). However, unemployment and terrorism are ranked very low in </w:t>
      </w:r>
      <w:r>
        <w:rPr>
          <w:rFonts w:ascii="Arial" w:hAnsi="Arial" w:cs="Arial"/>
        </w:rPr>
        <w:t xml:space="preserve">the </w:t>
      </w:r>
      <w:r w:rsidRPr="00EA7665">
        <w:rPr>
          <w:rFonts w:ascii="Arial" w:hAnsi="Arial" w:cs="Arial"/>
        </w:rPr>
        <w:t>UK</w:t>
      </w:r>
      <w:r w:rsidR="00A22340">
        <w:rPr>
          <w:rFonts w:ascii="Arial" w:hAnsi="Arial" w:cs="Arial"/>
        </w:rPr>
        <w:t>, which</w:t>
      </w:r>
      <w:r w:rsidRPr="00EA7665">
        <w:rPr>
          <w:rFonts w:ascii="Arial" w:hAnsi="Arial" w:cs="Arial"/>
        </w:rPr>
        <w:t xml:space="preserve"> is in line with existing literature (Fred, 2020; </w:t>
      </w:r>
      <w:r w:rsidR="00B56889">
        <w:rPr>
          <w:rFonts w:ascii="Arial" w:hAnsi="Arial" w:cs="Arial"/>
        </w:rPr>
        <w:t>T</w:t>
      </w:r>
      <w:r w:rsidRPr="00EA7665">
        <w:rPr>
          <w:rFonts w:ascii="Arial" w:hAnsi="Arial" w:cs="Arial"/>
        </w:rPr>
        <w:t xml:space="preserve">rading economics, 2020). Managers in China also do not consider unemployment as a challenge based </w:t>
      </w:r>
      <w:r>
        <w:rPr>
          <w:rFonts w:ascii="Arial" w:hAnsi="Arial" w:cs="Arial"/>
        </w:rPr>
        <w:t xml:space="preserve">on </w:t>
      </w:r>
      <w:r w:rsidRPr="00EA7665">
        <w:rPr>
          <w:rFonts w:ascii="Arial" w:hAnsi="Arial" w:cs="Arial"/>
        </w:rPr>
        <w:t>the ranking. However, unemployment is considered a challenge by managers in both Nigeria and South Africa</w:t>
      </w:r>
      <w:r w:rsidR="00CD50DB">
        <w:rPr>
          <w:rFonts w:ascii="Arial" w:hAnsi="Arial" w:cs="Arial"/>
        </w:rPr>
        <w:t>. This is due to</w:t>
      </w:r>
      <w:r w:rsidRPr="00EA7665">
        <w:rPr>
          <w:rFonts w:ascii="Arial" w:hAnsi="Arial" w:cs="Arial"/>
        </w:rPr>
        <w:t xml:space="preserve"> the prevailing unfavourable macro-economic environment in both countries and the historical racial imbalance in South Africa (trading economics, 2020). </w:t>
      </w:r>
    </w:p>
    <w:p w14:paraId="3C4573B8" w14:textId="1CFD22B5" w:rsidR="00CD6352" w:rsidRDefault="00CD6352" w:rsidP="00CD6352">
      <w:pPr>
        <w:spacing w:line="360" w:lineRule="auto"/>
        <w:jc w:val="both"/>
        <w:rPr>
          <w:rFonts w:ascii="Arial" w:hAnsi="Arial" w:cs="Arial"/>
        </w:rPr>
      </w:pPr>
      <w:r w:rsidRPr="00EA7665">
        <w:rPr>
          <w:rFonts w:ascii="Arial" w:hAnsi="Arial" w:cs="Arial"/>
        </w:rPr>
        <w:t xml:space="preserve">Real estate managers in South Africa involved with securing finance for real estate project development do not consider terrorism and regulatory quality as challenges to their ability to secure finance for real estate project development. However, </w:t>
      </w:r>
      <w:r w:rsidR="00A22340">
        <w:rPr>
          <w:rFonts w:ascii="Arial" w:hAnsi="Arial" w:cs="Arial"/>
        </w:rPr>
        <w:t>South Africa</w:t>
      </w:r>
      <w:r w:rsidR="00023D95">
        <w:rPr>
          <w:rFonts w:ascii="Arial" w:hAnsi="Arial" w:cs="Arial"/>
        </w:rPr>
        <w:t>n</w:t>
      </w:r>
      <w:r w:rsidR="00A22340">
        <w:rPr>
          <w:rFonts w:ascii="Arial" w:hAnsi="Arial" w:cs="Arial"/>
        </w:rPr>
        <w:t xml:space="preserve"> managers rank</w:t>
      </w:r>
      <w:r w:rsidRPr="00EA7665">
        <w:rPr>
          <w:rFonts w:ascii="Arial" w:hAnsi="Arial" w:cs="Arial"/>
        </w:rPr>
        <w:t xml:space="preserve"> “excessive collateral requirement” as the most challenging</w:t>
      </w:r>
      <w:r>
        <w:rPr>
          <w:rFonts w:ascii="Arial" w:hAnsi="Arial" w:cs="Arial"/>
        </w:rPr>
        <w:t xml:space="preserve"> factor</w:t>
      </w:r>
      <w:r w:rsidRPr="00EA7665">
        <w:rPr>
          <w:rFonts w:ascii="Arial" w:hAnsi="Arial" w:cs="Arial"/>
        </w:rPr>
        <w:t xml:space="preserve"> associated with securing </w:t>
      </w:r>
      <w:r w:rsidR="00CD50DB">
        <w:rPr>
          <w:rFonts w:ascii="Arial" w:hAnsi="Arial" w:cs="Arial"/>
        </w:rPr>
        <w:t>real estate project development finance</w:t>
      </w:r>
      <w:r w:rsidRPr="00EA7665">
        <w:rPr>
          <w:rFonts w:ascii="Arial" w:hAnsi="Arial" w:cs="Arial"/>
        </w:rPr>
        <w:t>. This is followed closely by difficult lending criteria by financiers and currency risk/ exchange rate volatility. The volatility of GDP in emerging economies averages twice that of developed economies</w:t>
      </w:r>
      <w:r w:rsidR="00B56889">
        <w:rPr>
          <w:rFonts w:ascii="Arial" w:hAnsi="Arial" w:cs="Arial"/>
        </w:rPr>
        <w:t>,</w:t>
      </w:r>
      <w:r w:rsidRPr="00EA7665">
        <w:rPr>
          <w:rFonts w:ascii="Arial" w:hAnsi="Arial" w:cs="Arial"/>
        </w:rPr>
        <w:t xml:space="preserve"> </w:t>
      </w:r>
      <w:r w:rsidR="00CD50DB">
        <w:rPr>
          <w:rFonts w:ascii="Arial" w:hAnsi="Arial" w:cs="Arial"/>
        </w:rPr>
        <w:t>which also results in great volatility on growth rates and</w:t>
      </w:r>
      <w:r w:rsidRPr="00EA7665">
        <w:rPr>
          <w:rFonts w:ascii="Arial" w:hAnsi="Arial" w:cs="Arial"/>
        </w:rPr>
        <w:t xml:space="preserve"> exchange rates (Converse, 2013).</w:t>
      </w:r>
    </w:p>
    <w:p w14:paraId="4F753D46" w14:textId="77777777" w:rsidR="00CD6352" w:rsidRDefault="00CD6352" w:rsidP="00CD6352">
      <w:pPr>
        <w:spacing w:line="360" w:lineRule="auto"/>
        <w:jc w:val="both"/>
        <w:rPr>
          <w:rFonts w:ascii="Arial" w:hAnsi="Arial" w:cs="Arial"/>
        </w:rPr>
      </w:pPr>
      <w:r>
        <w:rPr>
          <w:rFonts w:ascii="Arial" w:hAnsi="Arial" w:cs="Arial"/>
        </w:rPr>
        <w:t xml:space="preserve">It is important to ascertain if the level of management has any impact on the challenges associated with securing finance for real estate project development. This was investigated using the Spearman Rho. </w:t>
      </w:r>
    </w:p>
    <w:p w14:paraId="5FBC81B1" w14:textId="7C92CFCE" w:rsidR="00CD6352" w:rsidRDefault="00CD6352" w:rsidP="00CD6352">
      <w:pPr>
        <w:pStyle w:val="Heading3"/>
        <w:rPr>
          <w:rFonts w:eastAsia="Calibri"/>
          <w:sz w:val="22"/>
          <w:szCs w:val="22"/>
        </w:rPr>
      </w:pPr>
      <w:bookmarkStart w:id="1212" w:name="_Toc78983868"/>
      <w:r w:rsidRPr="009F4D4D">
        <w:rPr>
          <w:rFonts w:eastAsia="Calibri"/>
          <w:sz w:val="22"/>
          <w:szCs w:val="22"/>
        </w:rPr>
        <w:t xml:space="preserve">The relationship between the managerial level and the challenges associated with securing finance for real estate project </w:t>
      </w:r>
      <w:r w:rsidR="005C4FE6" w:rsidRPr="009F4D4D">
        <w:rPr>
          <w:rFonts w:eastAsia="Calibri"/>
          <w:sz w:val="22"/>
          <w:szCs w:val="22"/>
        </w:rPr>
        <w:t>development.</w:t>
      </w:r>
      <w:bookmarkEnd w:id="1212"/>
    </w:p>
    <w:p w14:paraId="5DC84648" w14:textId="77777777" w:rsidR="00CD6352" w:rsidRDefault="00CD6352" w:rsidP="00CD6352"/>
    <w:p w14:paraId="163686EA" w14:textId="097FC46C" w:rsidR="002A67C0" w:rsidRPr="002A67C0" w:rsidRDefault="002A67C0" w:rsidP="002A67C0">
      <w:pPr>
        <w:pStyle w:val="Caption"/>
        <w:keepNext/>
        <w:rPr>
          <w:rFonts w:ascii="Arial" w:hAnsi="Arial" w:cs="Arial"/>
          <w:i w:val="0"/>
          <w:iCs w:val="0"/>
          <w:sz w:val="16"/>
          <w:szCs w:val="16"/>
        </w:rPr>
      </w:pPr>
      <w:bookmarkStart w:id="1213" w:name="_Toc78983986"/>
      <w:r w:rsidRPr="002A67C0">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4</w:t>
      </w:r>
      <w:r w:rsidR="008F25B1">
        <w:rPr>
          <w:rFonts w:ascii="Arial" w:hAnsi="Arial" w:cs="Arial"/>
          <w:sz w:val="16"/>
          <w:szCs w:val="16"/>
        </w:rPr>
        <w:fldChar w:fldCharType="end"/>
      </w:r>
      <w:r w:rsidRPr="002A67C0">
        <w:rPr>
          <w:rFonts w:ascii="Arial" w:hAnsi="Arial" w:cs="Arial"/>
          <w:sz w:val="16"/>
          <w:szCs w:val="16"/>
        </w:rPr>
        <w:t xml:space="preserve">: </w:t>
      </w:r>
      <w:r w:rsidRPr="002A67C0">
        <w:rPr>
          <w:rFonts w:ascii="Arial" w:hAnsi="Arial" w:cs="Arial"/>
          <w:i w:val="0"/>
          <w:iCs w:val="0"/>
          <w:sz w:val="16"/>
          <w:szCs w:val="16"/>
        </w:rPr>
        <w:t>Spearman correlation coefficient test for the relationship between the management level and the different challenges associated with securing finance for real estate project development</w:t>
      </w:r>
      <w:bookmarkEnd w:id="1213"/>
    </w:p>
    <w:tbl>
      <w:tblPr>
        <w:tblW w:w="0" w:type="auto"/>
        <w:tblLayout w:type="fixed"/>
        <w:tblLook w:val="04A0" w:firstRow="1" w:lastRow="0" w:firstColumn="1" w:lastColumn="0" w:noHBand="0" w:noVBand="1"/>
      </w:tblPr>
      <w:tblGrid>
        <w:gridCol w:w="5098"/>
        <w:gridCol w:w="1418"/>
      </w:tblGrid>
      <w:tr w:rsidR="00CD6352" w:rsidRPr="002A67C0" w14:paraId="6FD6E1EA" w14:textId="77777777" w:rsidTr="00CD6352">
        <w:trPr>
          <w:trHeight w:val="281"/>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E4C60A"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Spearman rho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08E581C"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Sig. (2-tailed)</w:t>
            </w:r>
          </w:p>
        </w:tc>
      </w:tr>
      <w:tr w:rsidR="00CD6352" w:rsidRPr="002A67C0" w14:paraId="1816A75B" w14:textId="77777777" w:rsidTr="00CD6352">
        <w:trPr>
          <w:trHeight w:val="28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1A5D39C"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Level of mgt/job title</w:t>
            </w:r>
          </w:p>
        </w:tc>
        <w:tc>
          <w:tcPr>
            <w:tcW w:w="1418" w:type="dxa"/>
            <w:tcBorders>
              <w:top w:val="nil"/>
              <w:left w:val="nil"/>
              <w:bottom w:val="single" w:sz="4" w:space="0" w:color="auto"/>
              <w:right w:val="single" w:sz="4" w:space="0" w:color="auto"/>
            </w:tcBorders>
            <w:shd w:val="clear" w:color="auto" w:fill="auto"/>
            <w:noWrap/>
            <w:vAlign w:val="bottom"/>
            <w:hideMark/>
          </w:tcPr>
          <w:p w14:paraId="71B3C197"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1</w:t>
            </w:r>
          </w:p>
        </w:tc>
      </w:tr>
      <w:tr w:rsidR="00CD6352" w:rsidRPr="002A67C0" w14:paraId="0624BC75" w14:textId="77777777" w:rsidTr="00CD6352">
        <w:trPr>
          <w:trHeight w:val="261"/>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81F1E4F"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Difficult land use and ownership laws</w:t>
            </w:r>
          </w:p>
        </w:tc>
        <w:tc>
          <w:tcPr>
            <w:tcW w:w="1418" w:type="dxa"/>
            <w:tcBorders>
              <w:top w:val="nil"/>
              <w:left w:val="nil"/>
              <w:bottom w:val="single" w:sz="4" w:space="0" w:color="auto"/>
              <w:right w:val="single" w:sz="4" w:space="0" w:color="auto"/>
            </w:tcBorders>
            <w:shd w:val="clear" w:color="auto" w:fill="auto"/>
            <w:noWrap/>
            <w:vAlign w:val="bottom"/>
            <w:hideMark/>
          </w:tcPr>
          <w:p w14:paraId="1CDA84C8"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0.985</w:t>
            </w:r>
          </w:p>
        </w:tc>
      </w:tr>
      <w:tr w:rsidR="00CD6352" w:rsidRPr="002A67C0" w14:paraId="04B358EA" w14:textId="77777777" w:rsidTr="00CD6352">
        <w:trPr>
          <w:trHeight w:val="27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A5E9923"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Lack of fiscal and regulatory incentives</w:t>
            </w:r>
          </w:p>
        </w:tc>
        <w:tc>
          <w:tcPr>
            <w:tcW w:w="1418" w:type="dxa"/>
            <w:tcBorders>
              <w:top w:val="nil"/>
              <w:left w:val="nil"/>
              <w:bottom w:val="single" w:sz="4" w:space="0" w:color="auto"/>
              <w:right w:val="single" w:sz="4" w:space="0" w:color="auto"/>
            </w:tcBorders>
            <w:shd w:val="clear" w:color="auto" w:fill="auto"/>
            <w:noWrap/>
            <w:vAlign w:val="bottom"/>
            <w:hideMark/>
          </w:tcPr>
          <w:p w14:paraId="2A25BC3E"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0.811</w:t>
            </w:r>
          </w:p>
        </w:tc>
      </w:tr>
      <w:tr w:rsidR="00CD6352" w:rsidRPr="002A67C0" w14:paraId="0DD005F4" w14:textId="77777777" w:rsidTr="00CD6352">
        <w:trPr>
          <w:trHeight w:val="26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F66B9EF"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Lack of long-term financing</w:t>
            </w:r>
          </w:p>
        </w:tc>
        <w:tc>
          <w:tcPr>
            <w:tcW w:w="1418" w:type="dxa"/>
            <w:tcBorders>
              <w:top w:val="nil"/>
              <w:left w:val="nil"/>
              <w:bottom w:val="single" w:sz="4" w:space="0" w:color="auto"/>
              <w:right w:val="single" w:sz="4" w:space="0" w:color="auto"/>
            </w:tcBorders>
            <w:shd w:val="clear" w:color="auto" w:fill="auto"/>
            <w:noWrap/>
            <w:vAlign w:val="bottom"/>
            <w:hideMark/>
          </w:tcPr>
          <w:p w14:paraId="52F7F71D"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0.609</w:t>
            </w:r>
          </w:p>
        </w:tc>
      </w:tr>
      <w:tr w:rsidR="00CD6352" w:rsidRPr="002A67C0" w14:paraId="6C96A0FB" w14:textId="77777777" w:rsidTr="00CD6352">
        <w:trPr>
          <w:trHeight w:val="27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0812322"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Govt’s ineffective policies</w:t>
            </w:r>
          </w:p>
        </w:tc>
        <w:tc>
          <w:tcPr>
            <w:tcW w:w="1418" w:type="dxa"/>
            <w:tcBorders>
              <w:top w:val="nil"/>
              <w:left w:val="nil"/>
              <w:bottom w:val="single" w:sz="4" w:space="0" w:color="auto"/>
              <w:right w:val="single" w:sz="4" w:space="0" w:color="auto"/>
            </w:tcBorders>
            <w:shd w:val="clear" w:color="auto" w:fill="auto"/>
            <w:noWrap/>
            <w:vAlign w:val="bottom"/>
            <w:hideMark/>
          </w:tcPr>
          <w:p w14:paraId="752D7962"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0.59</w:t>
            </w:r>
          </w:p>
        </w:tc>
      </w:tr>
      <w:tr w:rsidR="00CD6352" w:rsidRPr="002A67C0" w14:paraId="51D3FC51" w14:textId="77777777" w:rsidTr="00CD6352">
        <w:trPr>
          <w:trHeight w:val="135"/>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9AAB6A4"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Inflation</w:t>
            </w:r>
          </w:p>
        </w:tc>
        <w:tc>
          <w:tcPr>
            <w:tcW w:w="1418" w:type="dxa"/>
            <w:tcBorders>
              <w:top w:val="nil"/>
              <w:left w:val="nil"/>
              <w:bottom w:val="single" w:sz="4" w:space="0" w:color="auto"/>
              <w:right w:val="single" w:sz="4" w:space="0" w:color="auto"/>
            </w:tcBorders>
            <w:shd w:val="clear" w:color="auto" w:fill="auto"/>
            <w:noWrap/>
            <w:vAlign w:val="bottom"/>
            <w:hideMark/>
          </w:tcPr>
          <w:p w14:paraId="552D9C5A"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0.577</w:t>
            </w:r>
          </w:p>
        </w:tc>
      </w:tr>
      <w:tr w:rsidR="00CD6352" w:rsidRPr="002A67C0" w14:paraId="02794F73" w14:textId="77777777" w:rsidTr="00CD6352">
        <w:trPr>
          <w:trHeight w:val="22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C837E2D"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Difficult lending criteria by financiers</w:t>
            </w:r>
          </w:p>
        </w:tc>
        <w:tc>
          <w:tcPr>
            <w:tcW w:w="1418" w:type="dxa"/>
            <w:tcBorders>
              <w:top w:val="nil"/>
              <w:left w:val="nil"/>
              <w:bottom w:val="single" w:sz="4" w:space="0" w:color="auto"/>
              <w:right w:val="single" w:sz="4" w:space="0" w:color="auto"/>
            </w:tcBorders>
            <w:shd w:val="clear" w:color="auto" w:fill="auto"/>
            <w:noWrap/>
            <w:vAlign w:val="bottom"/>
            <w:hideMark/>
          </w:tcPr>
          <w:p w14:paraId="6B8C5A83"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0.565</w:t>
            </w:r>
          </w:p>
        </w:tc>
      </w:tr>
      <w:tr w:rsidR="00CD6352" w:rsidRPr="002A67C0" w14:paraId="6F4FCBB1" w14:textId="77777777" w:rsidTr="00CD6352">
        <w:trPr>
          <w:trHeight w:val="269"/>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2E9ABFF"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Internal political issues</w:t>
            </w:r>
          </w:p>
        </w:tc>
        <w:tc>
          <w:tcPr>
            <w:tcW w:w="1418" w:type="dxa"/>
            <w:tcBorders>
              <w:top w:val="nil"/>
              <w:left w:val="nil"/>
              <w:bottom w:val="single" w:sz="4" w:space="0" w:color="auto"/>
              <w:right w:val="single" w:sz="4" w:space="0" w:color="auto"/>
            </w:tcBorders>
            <w:shd w:val="clear" w:color="auto" w:fill="auto"/>
            <w:noWrap/>
            <w:vAlign w:val="bottom"/>
            <w:hideMark/>
          </w:tcPr>
          <w:p w14:paraId="59781879"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0.52</w:t>
            </w:r>
          </w:p>
        </w:tc>
      </w:tr>
      <w:tr w:rsidR="00CD6352" w:rsidRPr="002A67C0" w14:paraId="278FF646" w14:textId="77777777" w:rsidTr="00CD635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3463385"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Unemployment</w:t>
            </w:r>
          </w:p>
        </w:tc>
        <w:tc>
          <w:tcPr>
            <w:tcW w:w="1418" w:type="dxa"/>
            <w:tcBorders>
              <w:top w:val="nil"/>
              <w:left w:val="nil"/>
              <w:bottom w:val="single" w:sz="4" w:space="0" w:color="auto"/>
              <w:right w:val="single" w:sz="4" w:space="0" w:color="auto"/>
            </w:tcBorders>
            <w:shd w:val="clear" w:color="auto" w:fill="auto"/>
            <w:noWrap/>
            <w:vAlign w:val="bottom"/>
            <w:hideMark/>
          </w:tcPr>
          <w:p w14:paraId="173356A7"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0.427</w:t>
            </w:r>
          </w:p>
        </w:tc>
      </w:tr>
      <w:tr w:rsidR="00CD6352" w:rsidRPr="002A67C0" w14:paraId="05E52742" w14:textId="77777777" w:rsidTr="00CD6352">
        <w:trPr>
          <w:trHeight w:val="315"/>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58E79858"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High interest rate</w:t>
            </w:r>
          </w:p>
        </w:tc>
        <w:tc>
          <w:tcPr>
            <w:tcW w:w="1418" w:type="dxa"/>
            <w:tcBorders>
              <w:top w:val="nil"/>
              <w:left w:val="nil"/>
              <w:bottom w:val="single" w:sz="4" w:space="0" w:color="auto"/>
              <w:right w:val="single" w:sz="4" w:space="0" w:color="auto"/>
            </w:tcBorders>
            <w:shd w:val="clear" w:color="auto" w:fill="auto"/>
            <w:noWrap/>
            <w:vAlign w:val="bottom"/>
            <w:hideMark/>
          </w:tcPr>
          <w:p w14:paraId="47CC5BA8"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0.405</w:t>
            </w:r>
          </w:p>
        </w:tc>
      </w:tr>
      <w:tr w:rsidR="00CD6352" w:rsidRPr="002A67C0" w14:paraId="64B28FFF" w14:textId="77777777" w:rsidTr="00CD6352">
        <w:trPr>
          <w:trHeight w:val="35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31FBFAE"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Lack of skills &amp; professionalism in project mgt &amp; development</w:t>
            </w:r>
          </w:p>
        </w:tc>
        <w:tc>
          <w:tcPr>
            <w:tcW w:w="1418" w:type="dxa"/>
            <w:tcBorders>
              <w:top w:val="nil"/>
              <w:left w:val="nil"/>
              <w:bottom w:val="single" w:sz="4" w:space="0" w:color="auto"/>
              <w:right w:val="single" w:sz="4" w:space="0" w:color="auto"/>
            </w:tcBorders>
            <w:shd w:val="clear" w:color="auto" w:fill="auto"/>
            <w:noWrap/>
            <w:vAlign w:val="bottom"/>
            <w:hideMark/>
          </w:tcPr>
          <w:p w14:paraId="34095299"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0.381</w:t>
            </w:r>
          </w:p>
        </w:tc>
      </w:tr>
      <w:tr w:rsidR="00CD6352" w:rsidRPr="002A67C0" w14:paraId="7CA07EDB" w14:textId="77777777" w:rsidTr="00CD6352">
        <w:trPr>
          <w:trHeight w:val="315"/>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14B105D"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Excessive collateral requirement</w:t>
            </w:r>
          </w:p>
        </w:tc>
        <w:tc>
          <w:tcPr>
            <w:tcW w:w="1418" w:type="dxa"/>
            <w:tcBorders>
              <w:top w:val="nil"/>
              <w:left w:val="nil"/>
              <w:bottom w:val="single" w:sz="4" w:space="0" w:color="auto"/>
              <w:right w:val="single" w:sz="4" w:space="0" w:color="auto"/>
            </w:tcBorders>
            <w:shd w:val="clear" w:color="auto" w:fill="auto"/>
            <w:noWrap/>
            <w:vAlign w:val="bottom"/>
            <w:hideMark/>
          </w:tcPr>
          <w:p w14:paraId="27BF9AC0"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0.346</w:t>
            </w:r>
          </w:p>
        </w:tc>
      </w:tr>
      <w:tr w:rsidR="00CD6352" w:rsidRPr="002A67C0" w14:paraId="11FCB8DC" w14:textId="77777777" w:rsidTr="00CD6352">
        <w:trPr>
          <w:trHeight w:val="285"/>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342F7FDC"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Regulatory quality</w:t>
            </w:r>
          </w:p>
        </w:tc>
        <w:tc>
          <w:tcPr>
            <w:tcW w:w="1418" w:type="dxa"/>
            <w:tcBorders>
              <w:top w:val="nil"/>
              <w:left w:val="nil"/>
              <w:bottom w:val="single" w:sz="4" w:space="0" w:color="auto"/>
              <w:right w:val="single" w:sz="4" w:space="0" w:color="auto"/>
            </w:tcBorders>
            <w:shd w:val="clear" w:color="auto" w:fill="auto"/>
            <w:noWrap/>
            <w:vAlign w:val="bottom"/>
            <w:hideMark/>
          </w:tcPr>
          <w:p w14:paraId="1D48EEC5"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0.3</w:t>
            </w:r>
          </w:p>
        </w:tc>
      </w:tr>
      <w:tr w:rsidR="00CD6352" w:rsidRPr="002A67C0" w14:paraId="12FB4961" w14:textId="77777777" w:rsidTr="00CD6352">
        <w:trPr>
          <w:trHeight w:val="353"/>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74C99BA"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Currency risk / exchange rate volatility</w:t>
            </w:r>
          </w:p>
        </w:tc>
        <w:tc>
          <w:tcPr>
            <w:tcW w:w="1418" w:type="dxa"/>
            <w:tcBorders>
              <w:top w:val="nil"/>
              <w:left w:val="nil"/>
              <w:bottom w:val="single" w:sz="4" w:space="0" w:color="auto"/>
              <w:right w:val="single" w:sz="4" w:space="0" w:color="auto"/>
            </w:tcBorders>
            <w:shd w:val="clear" w:color="auto" w:fill="auto"/>
            <w:noWrap/>
            <w:vAlign w:val="bottom"/>
            <w:hideMark/>
          </w:tcPr>
          <w:p w14:paraId="40B24B30"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0.261</w:t>
            </w:r>
          </w:p>
        </w:tc>
      </w:tr>
      <w:tr w:rsidR="00CD6352" w:rsidRPr="002A67C0" w14:paraId="6C0E648D" w14:textId="77777777" w:rsidTr="00CD6352">
        <w:trPr>
          <w:trHeight w:val="36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4D3AD904"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High cost of inputs and labour</w:t>
            </w:r>
          </w:p>
        </w:tc>
        <w:tc>
          <w:tcPr>
            <w:tcW w:w="1418" w:type="dxa"/>
            <w:tcBorders>
              <w:top w:val="nil"/>
              <w:left w:val="nil"/>
              <w:bottom w:val="single" w:sz="4" w:space="0" w:color="auto"/>
              <w:right w:val="single" w:sz="4" w:space="0" w:color="auto"/>
            </w:tcBorders>
            <w:shd w:val="clear" w:color="auto" w:fill="auto"/>
            <w:noWrap/>
            <w:vAlign w:val="bottom"/>
            <w:hideMark/>
          </w:tcPr>
          <w:p w14:paraId="65A452EE"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0.241</w:t>
            </w:r>
          </w:p>
        </w:tc>
      </w:tr>
      <w:tr w:rsidR="00CD6352" w:rsidRPr="002A67C0" w14:paraId="18A3D746" w14:textId="77777777" w:rsidTr="00CD6352">
        <w:trPr>
          <w:trHeight w:val="30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7F346B3B"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Terrorism</w:t>
            </w:r>
          </w:p>
        </w:tc>
        <w:tc>
          <w:tcPr>
            <w:tcW w:w="1418" w:type="dxa"/>
            <w:tcBorders>
              <w:top w:val="nil"/>
              <w:left w:val="nil"/>
              <w:bottom w:val="single" w:sz="4" w:space="0" w:color="auto"/>
              <w:right w:val="single" w:sz="4" w:space="0" w:color="auto"/>
            </w:tcBorders>
            <w:shd w:val="clear" w:color="auto" w:fill="auto"/>
            <w:noWrap/>
            <w:vAlign w:val="bottom"/>
            <w:hideMark/>
          </w:tcPr>
          <w:p w14:paraId="1902B9EF"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0.204</w:t>
            </w:r>
          </w:p>
        </w:tc>
      </w:tr>
      <w:tr w:rsidR="00CD6352" w:rsidRPr="002A67C0" w14:paraId="37D85336" w14:textId="77777777" w:rsidTr="00CD6352">
        <w:trPr>
          <w:trHeight w:val="345"/>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0865CEA"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Population shrinking &amp; ageing</w:t>
            </w:r>
          </w:p>
        </w:tc>
        <w:tc>
          <w:tcPr>
            <w:tcW w:w="1418" w:type="dxa"/>
            <w:tcBorders>
              <w:top w:val="nil"/>
              <w:left w:val="nil"/>
              <w:bottom w:val="single" w:sz="4" w:space="0" w:color="auto"/>
              <w:right w:val="single" w:sz="4" w:space="0" w:color="auto"/>
            </w:tcBorders>
            <w:shd w:val="clear" w:color="auto" w:fill="auto"/>
            <w:noWrap/>
            <w:vAlign w:val="bottom"/>
            <w:hideMark/>
          </w:tcPr>
          <w:p w14:paraId="1DA75799"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0.024</w:t>
            </w:r>
          </w:p>
        </w:tc>
      </w:tr>
      <w:tr w:rsidR="00CD6352" w:rsidRPr="002A67C0" w14:paraId="0BCBEE8D" w14:textId="77777777" w:rsidTr="00CD6352">
        <w:trPr>
          <w:trHeight w:val="231"/>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00FD152A"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lastRenderedPageBreak/>
              <w:t>Low demand for real estates and properties</w:t>
            </w:r>
          </w:p>
        </w:tc>
        <w:tc>
          <w:tcPr>
            <w:tcW w:w="1418" w:type="dxa"/>
            <w:tcBorders>
              <w:top w:val="nil"/>
              <w:left w:val="nil"/>
              <w:bottom w:val="single" w:sz="4" w:space="0" w:color="auto"/>
              <w:right w:val="single" w:sz="4" w:space="0" w:color="auto"/>
            </w:tcBorders>
            <w:shd w:val="clear" w:color="auto" w:fill="auto"/>
            <w:noWrap/>
            <w:vAlign w:val="bottom"/>
            <w:hideMark/>
          </w:tcPr>
          <w:p w14:paraId="082197DF"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0.02</w:t>
            </w:r>
          </w:p>
        </w:tc>
      </w:tr>
      <w:tr w:rsidR="00CD6352" w:rsidRPr="002A67C0" w14:paraId="27CC83A8" w14:textId="77777777" w:rsidTr="00CD635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98B6077"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Corruption</w:t>
            </w:r>
          </w:p>
        </w:tc>
        <w:tc>
          <w:tcPr>
            <w:tcW w:w="1418" w:type="dxa"/>
            <w:tcBorders>
              <w:top w:val="nil"/>
              <w:left w:val="nil"/>
              <w:bottom w:val="single" w:sz="4" w:space="0" w:color="auto"/>
              <w:right w:val="single" w:sz="4" w:space="0" w:color="auto"/>
            </w:tcBorders>
            <w:shd w:val="clear" w:color="auto" w:fill="auto"/>
            <w:noWrap/>
            <w:vAlign w:val="bottom"/>
            <w:hideMark/>
          </w:tcPr>
          <w:p w14:paraId="63009121"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0.018</w:t>
            </w:r>
          </w:p>
        </w:tc>
      </w:tr>
      <w:tr w:rsidR="00CD6352" w:rsidRPr="002A67C0" w14:paraId="47BD482C" w14:textId="77777777" w:rsidTr="00CD6352">
        <w:trPr>
          <w:trHeight w:val="254"/>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BE38BF6"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Real estate market transparency</w:t>
            </w:r>
          </w:p>
        </w:tc>
        <w:tc>
          <w:tcPr>
            <w:tcW w:w="1418" w:type="dxa"/>
            <w:tcBorders>
              <w:top w:val="nil"/>
              <w:left w:val="nil"/>
              <w:bottom w:val="single" w:sz="4" w:space="0" w:color="auto"/>
              <w:right w:val="single" w:sz="4" w:space="0" w:color="auto"/>
            </w:tcBorders>
            <w:shd w:val="clear" w:color="auto" w:fill="auto"/>
            <w:noWrap/>
            <w:vAlign w:val="bottom"/>
            <w:hideMark/>
          </w:tcPr>
          <w:p w14:paraId="137D4498" w14:textId="77777777" w:rsidR="00CD6352" w:rsidRPr="002A67C0" w:rsidRDefault="00CD6352" w:rsidP="00CD6352">
            <w:pPr>
              <w:spacing w:after="0" w:line="240" w:lineRule="auto"/>
              <w:rPr>
                <w:rFonts w:ascii="Arial" w:eastAsia="Times New Roman" w:hAnsi="Arial" w:cs="Arial"/>
                <w:color w:val="000000"/>
                <w:sz w:val="16"/>
                <w:szCs w:val="16"/>
                <w:lang w:eastAsia="en-GB"/>
              </w:rPr>
            </w:pPr>
            <w:r w:rsidRPr="002A67C0">
              <w:rPr>
                <w:rFonts w:ascii="Arial" w:eastAsia="Times New Roman" w:hAnsi="Arial" w:cs="Arial"/>
                <w:color w:val="000000"/>
                <w:sz w:val="16"/>
                <w:szCs w:val="16"/>
                <w:lang w:eastAsia="en-GB"/>
              </w:rPr>
              <w:t>0.016</w:t>
            </w:r>
          </w:p>
        </w:tc>
      </w:tr>
    </w:tbl>
    <w:p w14:paraId="4386885D" w14:textId="77777777" w:rsidR="00CD6352" w:rsidRDefault="00CD6352" w:rsidP="00CD6352">
      <w:pPr>
        <w:spacing w:line="360" w:lineRule="auto"/>
        <w:jc w:val="both"/>
        <w:rPr>
          <w:rFonts w:ascii="Arial" w:hAnsi="Arial" w:cs="Arial"/>
        </w:rPr>
      </w:pPr>
    </w:p>
    <w:p w14:paraId="3F6ABA05" w14:textId="5D22FD6D" w:rsidR="00CD6352" w:rsidRDefault="00CD6352" w:rsidP="00CD6352">
      <w:pPr>
        <w:spacing w:line="360" w:lineRule="auto"/>
        <w:jc w:val="both"/>
        <w:rPr>
          <w:rFonts w:ascii="Arial" w:hAnsi="Arial" w:cs="Arial"/>
        </w:rPr>
      </w:pPr>
      <w:bookmarkStart w:id="1214" w:name="_Hlk63934067"/>
      <w:r>
        <w:rPr>
          <w:rFonts w:ascii="Arial" w:hAnsi="Arial" w:cs="Arial"/>
        </w:rPr>
        <w:t xml:space="preserve">The significant positive correlation in </w:t>
      </w:r>
      <w:r w:rsidR="002A67C0">
        <w:rPr>
          <w:rFonts w:ascii="Arial" w:hAnsi="Arial" w:cs="Arial"/>
        </w:rPr>
        <w:t>T</w:t>
      </w:r>
      <w:r>
        <w:rPr>
          <w:rFonts w:ascii="Arial" w:hAnsi="Arial" w:cs="Arial"/>
        </w:rPr>
        <w:t>able 6.</w:t>
      </w:r>
      <w:r w:rsidR="002A67C0">
        <w:rPr>
          <w:rFonts w:ascii="Arial" w:hAnsi="Arial" w:cs="Arial"/>
        </w:rPr>
        <w:t>3.4</w:t>
      </w:r>
      <w:r>
        <w:rPr>
          <w:rFonts w:ascii="Arial" w:hAnsi="Arial" w:cs="Arial"/>
        </w:rPr>
        <w:t xml:space="preserve"> shows that as managers tend towards lower management</w:t>
      </w:r>
      <w:r w:rsidR="00776080">
        <w:rPr>
          <w:rFonts w:ascii="Arial" w:hAnsi="Arial" w:cs="Arial"/>
        </w:rPr>
        <w:t>,</w:t>
      </w:r>
      <w:r>
        <w:rPr>
          <w:rFonts w:ascii="Arial" w:hAnsi="Arial" w:cs="Arial"/>
        </w:rPr>
        <w:t xml:space="preserve"> they will have significantly more challenges in a number of areas, such as difficult land use and ownership laws, fiscal and regulatory incentives and lack of </w:t>
      </w:r>
      <w:r w:rsidR="00AC353E">
        <w:rPr>
          <w:rFonts w:ascii="Arial" w:hAnsi="Arial" w:cs="Arial"/>
        </w:rPr>
        <w:t>long-term</w:t>
      </w:r>
      <w:r>
        <w:rPr>
          <w:rFonts w:ascii="Arial" w:hAnsi="Arial" w:cs="Arial"/>
        </w:rPr>
        <w:t xml:space="preserve"> financing</w:t>
      </w:r>
      <w:bookmarkEnd w:id="1214"/>
      <w:r>
        <w:rPr>
          <w:rFonts w:ascii="Arial" w:hAnsi="Arial" w:cs="Arial"/>
        </w:rPr>
        <w:t xml:space="preserve">.  However, the table shows that the level of management has </w:t>
      </w:r>
      <w:r w:rsidR="002A67C0">
        <w:rPr>
          <w:rFonts w:ascii="Arial" w:hAnsi="Arial" w:cs="Arial"/>
        </w:rPr>
        <w:t xml:space="preserve">a </w:t>
      </w:r>
      <w:r>
        <w:rPr>
          <w:rFonts w:ascii="Arial" w:hAnsi="Arial" w:cs="Arial"/>
        </w:rPr>
        <w:t xml:space="preserve">weak or no relationship with factors such as currency risk, high cost of inputs, terrorism, population shrinking, low demands for real estate, corruption and real estate management transparency.  This is arguably because these latter factors are largely determined by government regulation and </w:t>
      </w:r>
      <w:r w:rsidR="00A22340">
        <w:rPr>
          <w:rFonts w:ascii="Arial" w:hAnsi="Arial" w:cs="Arial"/>
        </w:rPr>
        <w:t>countries' macro-economic condition</w:t>
      </w:r>
      <w:r>
        <w:rPr>
          <w:rFonts w:ascii="Arial" w:hAnsi="Arial" w:cs="Arial"/>
        </w:rPr>
        <w:t>s (Nurrick et al, 2011; Converse, 2013).</w:t>
      </w:r>
    </w:p>
    <w:p w14:paraId="7C6F1579" w14:textId="77777777" w:rsidR="00CD6352" w:rsidRPr="00EA7665" w:rsidRDefault="00CD6352" w:rsidP="00CD6352">
      <w:pPr>
        <w:spacing w:line="360" w:lineRule="auto"/>
        <w:jc w:val="both"/>
        <w:rPr>
          <w:rFonts w:ascii="Arial" w:hAnsi="Arial" w:cs="Arial"/>
        </w:rPr>
      </w:pPr>
      <w:r>
        <w:rPr>
          <w:rFonts w:ascii="Arial" w:hAnsi="Arial" w:cs="Arial"/>
        </w:rPr>
        <w:t xml:space="preserve">The next segment looks at </w:t>
      </w:r>
      <w:r w:rsidRPr="00C350F7">
        <w:rPr>
          <w:rFonts w:ascii="Arial" w:hAnsi="Arial" w:cs="Arial"/>
        </w:rPr>
        <w:t xml:space="preserve">the challenges associated with securing finance for real estate project development </w:t>
      </w:r>
      <w:r>
        <w:rPr>
          <w:rFonts w:ascii="Arial" w:hAnsi="Arial" w:cs="Arial"/>
        </w:rPr>
        <w:t xml:space="preserve">based on </w:t>
      </w:r>
      <w:r w:rsidRPr="00C350F7">
        <w:rPr>
          <w:rFonts w:ascii="Arial" w:hAnsi="Arial" w:cs="Arial"/>
        </w:rPr>
        <w:t>the semi-structured interviews.</w:t>
      </w:r>
      <w:r w:rsidRPr="00EA7665">
        <w:rPr>
          <w:rFonts w:ascii="Arial" w:hAnsi="Arial" w:cs="Arial"/>
        </w:rPr>
        <w:t xml:space="preserve"> </w:t>
      </w:r>
    </w:p>
    <w:p w14:paraId="4C97C3FC" w14:textId="77777777" w:rsidR="00CD6352" w:rsidRPr="00EA7665" w:rsidRDefault="00CD6352" w:rsidP="00CD6352">
      <w:pPr>
        <w:pStyle w:val="Heading3"/>
        <w:spacing w:after="240"/>
        <w:rPr>
          <w:rFonts w:cs="Arial"/>
          <w:sz w:val="22"/>
          <w:szCs w:val="22"/>
        </w:rPr>
      </w:pPr>
      <w:bookmarkStart w:id="1215" w:name="_Toc78983869"/>
      <w:r w:rsidRPr="00EA7665">
        <w:rPr>
          <w:rFonts w:cs="Arial"/>
          <w:sz w:val="22"/>
          <w:szCs w:val="22"/>
        </w:rPr>
        <w:t>Semi-structured interview analysis and discussion</w:t>
      </w:r>
      <w:bookmarkEnd w:id="1215"/>
    </w:p>
    <w:p w14:paraId="75466C4A" w14:textId="6D4168C2" w:rsidR="00CD6352" w:rsidRDefault="00CD6352" w:rsidP="00CD6352">
      <w:pPr>
        <w:spacing w:line="360" w:lineRule="auto"/>
        <w:jc w:val="both"/>
        <w:rPr>
          <w:rFonts w:ascii="Arial" w:hAnsi="Arial" w:cs="Arial"/>
        </w:rPr>
      </w:pPr>
      <w:r w:rsidRPr="00EA7665">
        <w:rPr>
          <w:rFonts w:ascii="Arial" w:hAnsi="Arial" w:cs="Arial"/>
        </w:rPr>
        <w:t>The summary of some of the findings on challenges associated with securing finance for real estate project development based on the semi-structured interviews is contained in table</w:t>
      </w:r>
      <w:r w:rsidR="0061450E">
        <w:rPr>
          <w:rFonts w:ascii="Arial" w:hAnsi="Arial" w:cs="Arial"/>
        </w:rPr>
        <w:t>s</w:t>
      </w:r>
      <w:r w:rsidRPr="00EA7665">
        <w:rPr>
          <w:rFonts w:ascii="Arial" w:hAnsi="Arial" w:cs="Arial"/>
        </w:rPr>
        <w:t xml:space="preserve"> 6.</w:t>
      </w:r>
      <w:r w:rsidR="002A67C0">
        <w:rPr>
          <w:rFonts w:ascii="Arial" w:hAnsi="Arial" w:cs="Arial"/>
        </w:rPr>
        <w:t>3.5</w:t>
      </w:r>
      <w:r w:rsidRPr="00EA7665">
        <w:rPr>
          <w:rFonts w:ascii="Arial" w:hAnsi="Arial" w:cs="Arial"/>
        </w:rPr>
        <w:t xml:space="preserve"> and 6.</w:t>
      </w:r>
      <w:r w:rsidR="002A67C0">
        <w:rPr>
          <w:rFonts w:ascii="Arial" w:hAnsi="Arial" w:cs="Arial"/>
        </w:rPr>
        <w:t>3.6</w:t>
      </w:r>
      <w:r w:rsidR="00755E7E">
        <w:rPr>
          <w:rFonts w:ascii="Arial" w:hAnsi="Arial" w:cs="Arial"/>
        </w:rPr>
        <w:t xml:space="preserve"> for the developed and emerging economies</w:t>
      </w:r>
      <w:r w:rsidR="00A22340">
        <w:rPr>
          <w:rFonts w:ascii="Arial" w:hAnsi="Arial" w:cs="Arial"/>
        </w:rPr>
        <w:t>,</w:t>
      </w:r>
      <w:r w:rsidR="00755E7E">
        <w:rPr>
          <w:rFonts w:ascii="Arial" w:hAnsi="Arial" w:cs="Arial"/>
        </w:rPr>
        <w:t xml:space="preserve"> respectively</w:t>
      </w:r>
      <w:r w:rsidRPr="00EA7665">
        <w:rPr>
          <w:rFonts w:ascii="Arial" w:hAnsi="Arial" w:cs="Arial"/>
        </w:rPr>
        <w:t>. They reflect a great extent, the findings from the review of the literature and the questionnaire survey. It also gives greater depth to the results as some of these findings did not reflect in the survey</w:t>
      </w:r>
      <w:r>
        <w:rPr>
          <w:rFonts w:ascii="Arial" w:hAnsi="Arial" w:cs="Arial"/>
        </w:rPr>
        <w:t xml:space="preserve"> questionnaire</w:t>
      </w:r>
      <w:r w:rsidRPr="00EA7665">
        <w:rPr>
          <w:rFonts w:ascii="Arial" w:hAnsi="Arial" w:cs="Arial"/>
        </w:rPr>
        <w:t>.</w:t>
      </w:r>
    </w:p>
    <w:p w14:paraId="29B5599B" w14:textId="4A8A9055" w:rsidR="00CD6352" w:rsidRDefault="00CD6352" w:rsidP="00CD6352">
      <w:pPr>
        <w:spacing w:line="360" w:lineRule="auto"/>
        <w:ind w:left="720"/>
        <w:jc w:val="both"/>
        <w:rPr>
          <w:rFonts w:ascii="Arial" w:hAnsi="Arial" w:cs="Arial"/>
          <w:i/>
          <w:iCs/>
        </w:rPr>
      </w:pPr>
      <w:r w:rsidRPr="00C52C0A">
        <w:rPr>
          <w:rFonts w:ascii="Arial" w:hAnsi="Arial" w:cs="Arial"/>
          <w:i/>
          <w:iCs/>
        </w:rPr>
        <w:t>The managers interviewed were asked to discuss the major challenges they encounter in the process of securing funding for real estate project development.</w:t>
      </w:r>
    </w:p>
    <w:p w14:paraId="1962A29E" w14:textId="25BD491D" w:rsidR="002A67C0" w:rsidRDefault="002A67C0" w:rsidP="002A67C0">
      <w:pPr>
        <w:pStyle w:val="Caption"/>
        <w:keepNext/>
      </w:pPr>
      <w:bookmarkStart w:id="1216" w:name="_Toc78983987"/>
      <w:r>
        <w:t xml:space="preserve">Table </w:t>
      </w:r>
      <w:fldSimple w:instr=" STYLEREF 2 \s ">
        <w:r w:rsidR="008F25B1">
          <w:rPr>
            <w:noProof/>
          </w:rPr>
          <w:t>6.3</w:t>
        </w:r>
      </w:fldSimple>
      <w:r w:rsidR="008F25B1">
        <w:noBreakHyphen/>
      </w:r>
      <w:fldSimple w:instr=" SEQ Table \* ARABIC \s 2 ">
        <w:r w:rsidR="008F25B1">
          <w:rPr>
            <w:noProof/>
          </w:rPr>
          <w:t>5</w:t>
        </w:r>
      </w:fldSimple>
      <w:r>
        <w:t xml:space="preserve">: </w:t>
      </w:r>
      <w:r w:rsidRPr="004C59E4">
        <w:rPr>
          <w:rFonts w:ascii="Arial" w:hAnsi="Arial" w:cs="Arial"/>
          <w:sz w:val="16"/>
          <w:szCs w:val="16"/>
        </w:rPr>
        <w:t>Challenges associated with securing finance for real estate project development in developed economies</w:t>
      </w:r>
      <w:bookmarkEnd w:id="1216"/>
    </w:p>
    <w:tbl>
      <w:tblPr>
        <w:tblStyle w:val="TableGrid"/>
        <w:tblW w:w="0" w:type="auto"/>
        <w:tblLook w:val="04A0" w:firstRow="1" w:lastRow="0" w:firstColumn="1" w:lastColumn="0" w:noHBand="0" w:noVBand="1"/>
      </w:tblPr>
      <w:tblGrid>
        <w:gridCol w:w="1271"/>
        <w:gridCol w:w="7745"/>
      </w:tblGrid>
      <w:tr w:rsidR="00CD6352" w:rsidRPr="004C59E4" w14:paraId="66CCCF2A" w14:textId="77777777" w:rsidTr="00CD6352">
        <w:tc>
          <w:tcPr>
            <w:tcW w:w="1271" w:type="dxa"/>
          </w:tcPr>
          <w:p w14:paraId="58E7C360" w14:textId="77777777" w:rsidR="00CD6352" w:rsidRPr="004C59E4" w:rsidRDefault="00CD6352" w:rsidP="00CD6352">
            <w:pPr>
              <w:jc w:val="both"/>
              <w:rPr>
                <w:rFonts w:ascii="Arial" w:hAnsi="Arial" w:cs="Arial"/>
                <w:b/>
                <w:sz w:val="16"/>
                <w:szCs w:val="16"/>
              </w:rPr>
            </w:pPr>
            <w:r w:rsidRPr="004C59E4">
              <w:rPr>
                <w:rFonts w:ascii="Arial" w:hAnsi="Arial" w:cs="Arial"/>
                <w:b/>
                <w:sz w:val="16"/>
                <w:szCs w:val="16"/>
              </w:rPr>
              <w:t>Country &amp; Manager</w:t>
            </w:r>
          </w:p>
        </w:tc>
        <w:tc>
          <w:tcPr>
            <w:tcW w:w="7745" w:type="dxa"/>
          </w:tcPr>
          <w:p w14:paraId="4E3F2074" w14:textId="77777777" w:rsidR="00CD6352" w:rsidRPr="004C59E4" w:rsidRDefault="00CD6352" w:rsidP="00CD6352">
            <w:pPr>
              <w:jc w:val="both"/>
              <w:rPr>
                <w:rFonts w:ascii="Arial" w:hAnsi="Arial" w:cs="Arial"/>
                <w:b/>
                <w:sz w:val="16"/>
                <w:szCs w:val="16"/>
              </w:rPr>
            </w:pPr>
            <w:r w:rsidRPr="004C59E4">
              <w:rPr>
                <w:rFonts w:ascii="Arial" w:hAnsi="Arial" w:cs="Arial"/>
                <w:b/>
                <w:sz w:val="16"/>
                <w:szCs w:val="16"/>
              </w:rPr>
              <w:t xml:space="preserve">Challenges associated with securing finance for real estate project </w:t>
            </w:r>
          </w:p>
        </w:tc>
      </w:tr>
      <w:tr w:rsidR="00CD6352" w:rsidRPr="004C59E4" w14:paraId="43F10CD4" w14:textId="77777777" w:rsidTr="00CD6352">
        <w:tc>
          <w:tcPr>
            <w:tcW w:w="1271" w:type="dxa"/>
          </w:tcPr>
          <w:p w14:paraId="5A3473F8"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Germany Mgr1</w:t>
            </w:r>
          </w:p>
        </w:tc>
        <w:tc>
          <w:tcPr>
            <w:tcW w:w="7745" w:type="dxa"/>
          </w:tcPr>
          <w:p w14:paraId="2951D8A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Most foreign buyers do not have accounts with European banks; the need for regular confirmation of inflows from abroad by banks and banks being too suspicious of foreign inflows for real estate project finance</w:t>
            </w:r>
          </w:p>
        </w:tc>
      </w:tr>
      <w:tr w:rsidR="00CD6352" w:rsidRPr="004C59E4" w14:paraId="3F1B1958" w14:textId="77777777" w:rsidTr="00CD6352">
        <w:tc>
          <w:tcPr>
            <w:tcW w:w="1271" w:type="dxa"/>
          </w:tcPr>
          <w:p w14:paraId="1186078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Germany Mgr 2</w:t>
            </w:r>
          </w:p>
        </w:tc>
        <w:tc>
          <w:tcPr>
            <w:tcW w:w="7745" w:type="dxa"/>
          </w:tcPr>
          <w:p w14:paraId="5DDB3F5F"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Difficulties experienced by foreign investors in getting loans from German banks. </w:t>
            </w:r>
          </w:p>
        </w:tc>
      </w:tr>
      <w:tr w:rsidR="00CD6352" w:rsidRPr="004C59E4" w14:paraId="61FA30F0" w14:textId="77777777" w:rsidTr="00CD6352">
        <w:trPr>
          <w:trHeight w:val="330"/>
        </w:trPr>
        <w:tc>
          <w:tcPr>
            <w:tcW w:w="1271" w:type="dxa"/>
          </w:tcPr>
          <w:p w14:paraId="0DA82C26"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Germany Mgr3</w:t>
            </w:r>
          </w:p>
        </w:tc>
        <w:tc>
          <w:tcPr>
            <w:tcW w:w="7745" w:type="dxa"/>
          </w:tcPr>
          <w:p w14:paraId="07B265DB"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Not challenging at all</w:t>
            </w:r>
          </w:p>
        </w:tc>
      </w:tr>
      <w:tr w:rsidR="00CD6352" w:rsidRPr="004C59E4" w14:paraId="4F6D03FD" w14:textId="77777777" w:rsidTr="00CD6352">
        <w:tc>
          <w:tcPr>
            <w:tcW w:w="1271" w:type="dxa"/>
          </w:tcPr>
          <w:p w14:paraId="563451BC"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Germany Mgr 4</w:t>
            </w:r>
          </w:p>
        </w:tc>
        <w:tc>
          <w:tcPr>
            <w:tcW w:w="7745" w:type="dxa"/>
          </w:tcPr>
          <w:p w14:paraId="30307E60"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Land</w:t>
            </w:r>
          </w:p>
        </w:tc>
      </w:tr>
      <w:tr w:rsidR="00CD6352" w:rsidRPr="004C59E4" w14:paraId="165394A0" w14:textId="77777777" w:rsidTr="00CD6352">
        <w:trPr>
          <w:trHeight w:val="381"/>
        </w:trPr>
        <w:tc>
          <w:tcPr>
            <w:tcW w:w="1271" w:type="dxa"/>
          </w:tcPr>
          <w:p w14:paraId="243ED5F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Germany Mgr 5</w:t>
            </w:r>
          </w:p>
        </w:tc>
        <w:tc>
          <w:tcPr>
            <w:tcW w:w="7745" w:type="dxa"/>
          </w:tcPr>
          <w:p w14:paraId="19A2D1B4" w14:textId="2ECE4332"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Contamination at industrial sites makes senior lending shy away from financing </w:t>
            </w:r>
          </w:p>
        </w:tc>
      </w:tr>
      <w:tr w:rsidR="00CD6352" w:rsidRPr="004C59E4" w14:paraId="6920BEBE" w14:textId="77777777" w:rsidTr="00CD6352">
        <w:tc>
          <w:tcPr>
            <w:tcW w:w="1271" w:type="dxa"/>
          </w:tcPr>
          <w:p w14:paraId="1F797460"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Germany Mgr6</w:t>
            </w:r>
          </w:p>
        </w:tc>
        <w:tc>
          <w:tcPr>
            <w:tcW w:w="7745" w:type="dxa"/>
          </w:tcPr>
          <w:p w14:paraId="11724DD6" w14:textId="47A0DF7E" w:rsidR="00CD6352" w:rsidRPr="004C59E4" w:rsidRDefault="00CD6352" w:rsidP="00CD6352">
            <w:pPr>
              <w:jc w:val="both"/>
              <w:rPr>
                <w:rFonts w:ascii="Arial" w:hAnsi="Arial" w:cs="Arial"/>
                <w:sz w:val="16"/>
                <w:szCs w:val="16"/>
              </w:rPr>
            </w:pPr>
            <w:r w:rsidRPr="004C59E4">
              <w:rPr>
                <w:rFonts w:ascii="Arial" w:hAnsi="Arial" w:cs="Arial"/>
                <w:sz w:val="16"/>
                <w:szCs w:val="16"/>
              </w:rPr>
              <w:t>Small developers have challenges in accessing finance because they don’t want partners that could take over their businesses; collateral</w:t>
            </w:r>
            <w:r w:rsidR="00B56889">
              <w:rPr>
                <w:rFonts w:ascii="Arial" w:hAnsi="Arial" w:cs="Arial"/>
                <w:sz w:val="16"/>
                <w:szCs w:val="16"/>
              </w:rPr>
              <w:t>,</w:t>
            </w:r>
            <w:r w:rsidRPr="004C59E4">
              <w:rPr>
                <w:rFonts w:ascii="Arial" w:hAnsi="Arial" w:cs="Arial"/>
                <w:sz w:val="16"/>
                <w:szCs w:val="16"/>
              </w:rPr>
              <w:t xml:space="preserve"> and it takes a long time to get permits (between 4 to 6weeks)</w:t>
            </w:r>
          </w:p>
        </w:tc>
      </w:tr>
      <w:tr w:rsidR="00CD6352" w:rsidRPr="004C59E4" w14:paraId="77AAE41C" w14:textId="77777777" w:rsidTr="00CD6352">
        <w:tc>
          <w:tcPr>
            <w:tcW w:w="1271" w:type="dxa"/>
          </w:tcPr>
          <w:p w14:paraId="28425B1D"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UK Mgr1</w:t>
            </w:r>
          </w:p>
        </w:tc>
        <w:tc>
          <w:tcPr>
            <w:tcW w:w="7745" w:type="dxa"/>
          </w:tcPr>
          <w:p w14:paraId="14AE241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Access to finance and delays in sign-off from professionals </w:t>
            </w:r>
          </w:p>
        </w:tc>
      </w:tr>
      <w:tr w:rsidR="00CD6352" w:rsidRPr="004C59E4" w14:paraId="5B421C9C" w14:textId="77777777" w:rsidTr="00CD6352">
        <w:tc>
          <w:tcPr>
            <w:tcW w:w="1271" w:type="dxa"/>
          </w:tcPr>
          <w:p w14:paraId="71FE05FF"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lastRenderedPageBreak/>
              <w:t>UK Mgr 2</w:t>
            </w:r>
          </w:p>
        </w:tc>
        <w:tc>
          <w:tcPr>
            <w:tcW w:w="7745" w:type="dxa"/>
          </w:tcPr>
          <w:p w14:paraId="39390358"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The need for the pension fund to pay out benefits earlier than anticipated </w:t>
            </w:r>
          </w:p>
        </w:tc>
      </w:tr>
      <w:tr w:rsidR="00CD6352" w:rsidRPr="004C59E4" w14:paraId="4E050C4A" w14:textId="77777777" w:rsidTr="00CD6352">
        <w:tc>
          <w:tcPr>
            <w:tcW w:w="1271" w:type="dxa"/>
          </w:tcPr>
          <w:p w14:paraId="12507E1E"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UK Mgr3</w:t>
            </w:r>
          </w:p>
        </w:tc>
        <w:tc>
          <w:tcPr>
            <w:tcW w:w="7745" w:type="dxa"/>
          </w:tcPr>
          <w:p w14:paraId="3502F886"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Physical retail space</w:t>
            </w:r>
          </w:p>
        </w:tc>
      </w:tr>
      <w:tr w:rsidR="00CD6352" w:rsidRPr="004C59E4" w14:paraId="62F163CF" w14:textId="77777777" w:rsidTr="00CD6352">
        <w:tc>
          <w:tcPr>
            <w:tcW w:w="1271" w:type="dxa"/>
          </w:tcPr>
          <w:p w14:paraId="32B54408"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UK Mgr 4</w:t>
            </w:r>
          </w:p>
        </w:tc>
        <w:tc>
          <w:tcPr>
            <w:tcW w:w="7745" w:type="dxa"/>
          </w:tcPr>
          <w:p w14:paraId="6EFFB5E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Non</w:t>
            </w:r>
          </w:p>
        </w:tc>
      </w:tr>
      <w:tr w:rsidR="00CD6352" w:rsidRPr="004C59E4" w14:paraId="3239F105" w14:textId="77777777" w:rsidTr="00CD6352">
        <w:trPr>
          <w:trHeight w:val="351"/>
        </w:trPr>
        <w:tc>
          <w:tcPr>
            <w:tcW w:w="1271" w:type="dxa"/>
          </w:tcPr>
          <w:p w14:paraId="618EEBC4"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UK Mgr5</w:t>
            </w:r>
          </w:p>
        </w:tc>
        <w:tc>
          <w:tcPr>
            <w:tcW w:w="7745" w:type="dxa"/>
          </w:tcPr>
          <w:p w14:paraId="42F7A9CD"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Fit with project cash flow, funding for pre-planning phases and cost of debt (fees)</w:t>
            </w:r>
          </w:p>
        </w:tc>
      </w:tr>
      <w:tr w:rsidR="00CD6352" w:rsidRPr="004C59E4" w14:paraId="1C6B3F35" w14:textId="77777777" w:rsidTr="00CD6352">
        <w:tc>
          <w:tcPr>
            <w:tcW w:w="1271" w:type="dxa"/>
          </w:tcPr>
          <w:p w14:paraId="73E01498"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UK Mgr6</w:t>
            </w:r>
          </w:p>
        </w:tc>
        <w:tc>
          <w:tcPr>
            <w:tcW w:w="7745" w:type="dxa"/>
          </w:tcPr>
          <w:p w14:paraId="76830BDE"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The process of securing senior debt</w:t>
            </w:r>
          </w:p>
        </w:tc>
      </w:tr>
      <w:tr w:rsidR="00CD6352" w:rsidRPr="004C59E4" w14:paraId="77C0DC2D" w14:textId="77777777" w:rsidTr="00CD6352">
        <w:tc>
          <w:tcPr>
            <w:tcW w:w="1271" w:type="dxa"/>
          </w:tcPr>
          <w:p w14:paraId="59649BF6"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UK Mgr7</w:t>
            </w:r>
          </w:p>
        </w:tc>
        <w:tc>
          <w:tcPr>
            <w:tcW w:w="7745" w:type="dxa"/>
          </w:tcPr>
          <w:p w14:paraId="03BFFFB1" w14:textId="39F49E72" w:rsidR="00CD6352" w:rsidRPr="004C59E4" w:rsidRDefault="00CD6352" w:rsidP="00CD6352">
            <w:pPr>
              <w:jc w:val="both"/>
              <w:rPr>
                <w:rFonts w:ascii="Arial" w:hAnsi="Arial" w:cs="Arial"/>
                <w:sz w:val="16"/>
                <w:szCs w:val="16"/>
              </w:rPr>
            </w:pPr>
            <w:r w:rsidRPr="004C59E4">
              <w:rPr>
                <w:rFonts w:ascii="Arial" w:hAnsi="Arial" w:cs="Arial"/>
                <w:sz w:val="16"/>
                <w:szCs w:val="16"/>
              </w:rPr>
              <w:t>The degree of risks lenders is ready to cope</w:t>
            </w:r>
            <w:r w:rsidR="006F17AE">
              <w:rPr>
                <w:rFonts w:ascii="Arial" w:hAnsi="Arial" w:cs="Arial"/>
                <w:sz w:val="16"/>
                <w:szCs w:val="16"/>
              </w:rPr>
              <w:t xml:space="preserve"> with</w:t>
            </w:r>
            <w:r w:rsidRPr="004C59E4">
              <w:rPr>
                <w:rFonts w:ascii="Arial" w:hAnsi="Arial" w:cs="Arial"/>
                <w:sz w:val="16"/>
                <w:szCs w:val="16"/>
              </w:rPr>
              <w:t>.</w:t>
            </w:r>
          </w:p>
        </w:tc>
      </w:tr>
      <w:tr w:rsidR="00CD6352" w:rsidRPr="004C59E4" w14:paraId="0B15419C" w14:textId="77777777" w:rsidTr="00CD6352">
        <w:trPr>
          <w:trHeight w:val="592"/>
        </w:trPr>
        <w:tc>
          <w:tcPr>
            <w:tcW w:w="1271" w:type="dxa"/>
          </w:tcPr>
          <w:p w14:paraId="3CCB9100"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US Mgr1</w:t>
            </w:r>
          </w:p>
        </w:tc>
        <w:tc>
          <w:tcPr>
            <w:tcW w:w="7745" w:type="dxa"/>
          </w:tcPr>
          <w:p w14:paraId="68868124" w14:textId="015CDDAE" w:rsidR="00CD6352" w:rsidRPr="004C59E4" w:rsidRDefault="00CD6352" w:rsidP="00CD6352">
            <w:pPr>
              <w:jc w:val="both"/>
              <w:rPr>
                <w:rFonts w:ascii="Arial" w:hAnsi="Arial" w:cs="Arial"/>
                <w:sz w:val="16"/>
                <w:szCs w:val="16"/>
              </w:rPr>
            </w:pPr>
            <w:r w:rsidRPr="004C59E4">
              <w:rPr>
                <w:rFonts w:ascii="Arial" w:hAnsi="Arial" w:cs="Arial"/>
                <w:sz w:val="16"/>
                <w:szCs w:val="16"/>
              </w:rPr>
              <w:t>A lot of lenders are not equipped to review construction cost</w:t>
            </w:r>
            <w:r w:rsidR="0061450E">
              <w:rPr>
                <w:rFonts w:ascii="Arial" w:hAnsi="Arial" w:cs="Arial"/>
                <w:sz w:val="16"/>
                <w:szCs w:val="16"/>
              </w:rPr>
              <w:t>s</w:t>
            </w:r>
            <w:r w:rsidRPr="004C59E4">
              <w:rPr>
                <w:rFonts w:ascii="Arial" w:hAnsi="Arial" w:cs="Arial"/>
                <w:sz w:val="16"/>
                <w:szCs w:val="16"/>
              </w:rPr>
              <w:t xml:space="preserve"> and plans, and as a result, they’re scared of providing the construction loan. They also don’t have the staff and the expertise in-house to be able to monitor construction and make sure that the money draw-down is used appropriately</w:t>
            </w:r>
          </w:p>
        </w:tc>
      </w:tr>
      <w:tr w:rsidR="00CD6352" w:rsidRPr="004C59E4" w14:paraId="0D08F52F" w14:textId="77777777" w:rsidTr="00CD6352">
        <w:tc>
          <w:tcPr>
            <w:tcW w:w="1271" w:type="dxa"/>
          </w:tcPr>
          <w:p w14:paraId="4982B6FE"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US Mgr2</w:t>
            </w:r>
          </w:p>
        </w:tc>
        <w:tc>
          <w:tcPr>
            <w:tcW w:w="7745" w:type="dxa"/>
          </w:tcPr>
          <w:p w14:paraId="36B30664"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Size of deal</w:t>
            </w:r>
          </w:p>
        </w:tc>
      </w:tr>
      <w:tr w:rsidR="00CD6352" w:rsidRPr="004C59E4" w14:paraId="026E3FE4" w14:textId="77777777" w:rsidTr="00CD6352">
        <w:tc>
          <w:tcPr>
            <w:tcW w:w="1271" w:type="dxa"/>
          </w:tcPr>
          <w:p w14:paraId="2BB2D129"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US Mgr3</w:t>
            </w:r>
          </w:p>
        </w:tc>
        <w:tc>
          <w:tcPr>
            <w:tcW w:w="7745" w:type="dxa"/>
          </w:tcPr>
          <w:p w14:paraId="060ED782" w14:textId="78419BC7"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Gradual rising </w:t>
            </w:r>
            <w:r w:rsidR="00AC353E" w:rsidRPr="004C59E4">
              <w:rPr>
                <w:rFonts w:ascii="Arial" w:hAnsi="Arial" w:cs="Arial"/>
                <w:sz w:val="16"/>
                <w:szCs w:val="16"/>
              </w:rPr>
              <w:t>of interest</w:t>
            </w:r>
            <w:r w:rsidRPr="004C59E4">
              <w:rPr>
                <w:rFonts w:ascii="Arial" w:hAnsi="Arial" w:cs="Arial"/>
                <w:sz w:val="16"/>
                <w:szCs w:val="16"/>
              </w:rPr>
              <w:t xml:space="preserve"> rate, increasing cost of constriction &amp; shortages of labour</w:t>
            </w:r>
          </w:p>
        </w:tc>
      </w:tr>
      <w:tr w:rsidR="00CD6352" w:rsidRPr="004C59E4" w14:paraId="0B38588F" w14:textId="77777777" w:rsidTr="00CD6352">
        <w:tc>
          <w:tcPr>
            <w:tcW w:w="1271" w:type="dxa"/>
          </w:tcPr>
          <w:p w14:paraId="5A95C10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US Mgr 4</w:t>
            </w:r>
          </w:p>
        </w:tc>
        <w:tc>
          <w:tcPr>
            <w:tcW w:w="7745" w:type="dxa"/>
          </w:tcPr>
          <w:p w14:paraId="3E1A1F87" w14:textId="6EE0E759"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Inconsistent investment committee criteria of big institutional investors </w:t>
            </w:r>
            <w:r w:rsidR="00AC353E" w:rsidRPr="004C59E4">
              <w:rPr>
                <w:rFonts w:ascii="Arial" w:hAnsi="Arial" w:cs="Arial"/>
                <w:sz w:val="16"/>
                <w:szCs w:val="16"/>
              </w:rPr>
              <w:t>and pre</w:t>
            </w:r>
            <w:r w:rsidRPr="004C59E4">
              <w:rPr>
                <w:rFonts w:ascii="Arial" w:hAnsi="Arial" w:cs="Arial"/>
                <w:sz w:val="16"/>
                <w:szCs w:val="16"/>
              </w:rPr>
              <w:t xml:space="preserve">-loan approval appraisals by bank staff who are not knowledgeable about projects </w:t>
            </w:r>
          </w:p>
        </w:tc>
      </w:tr>
    </w:tbl>
    <w:p w14:paraId="0BAA299D"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Author’s compilation (2019)</w:t>
      </w:r>
    </w:p>
    <w:p w14:paraId="68CCF29B" w14:textId="0B49C0EA" w:rsidR="006F17AE" w:rsidRDefault="006F17AE" w:rsidP="006F17AE">
      <w:pPr>
        <w:pStyle w:val="Caption"/>
        <w:keepNext/>
      </w:pPr>
      <w:bookmarkStart w:id="1217" w:name="_Toc78983988"/>
      <w:r>
        <w:t xml:space="preserve">Table </w:t>
      </w:r>
      <w:fldSimple w:instr=" STYLEREF 2 \s ">
        <w:r w:rsidR="008F25B1">
          <w:rPr>
            <w:noProof/>
          </w:rPr>
          <w:t>6.3</w:t>
        </w:r>
      </w:fldSimple>
      <w:r w:rsidR="008F25B1">
        <w:noBreakHyphen/>
      </w:r>
      <w:fldSimple w:instr=" SEQ Table \* ARABIC \s 2 ">
        <w:r w:rsidR="008F25B1">
          <w:rPr>
            <w:noProof/>
          </w:rPr>
          <w:t>6</w:t>
        </w:r>
      </w:fldSimple>
      <w:r>
        <w:t xml:space="preserve">: </w:t>
      </w:r>
      <w:r w:rsidRPr="004C59E4">
        <w:rPr>
          <w:rFonts w:ascii="Arial" w:hAnsi="Arial" w:cs="Arial"/>
          <w:i w:val="0"/>
          <w:iCs w:val="0"/>
          <w:sz w:val="16"/>
          <w:szCs w:val="16"/>
        </w:rPr>
        <w:t>Challenges associated with securing finance for real estate project development in emerging economies</w:t>
      </w:r>
      <w:bookmarkEnd w:id="1217"/>
    </w:p>
    <w:tbl>
      <w:tblPr>
        <w:tblStyle w:val="TableGrid"/>
        <w:tblW w:w="0" w:type="auto"/>
        <w:tblLook w:val="04A0" w:firstRow="1" w:lastRow="0" w:firstColumn="1" w:lastColumn="0" w:noHBand="0" w:noVBand="1"/>
      </w:tblPr>
      <w:tblGrid>
        <w:gridCol w:w="1080"/>
        <w:gridCol w:w="7936"/>
      </w:tblGrid>
      <w:tr w:rsidR="00CD6352" w:rsidRPr="004C59E4" w14:paraId="4A43A364" w14:textId="77777777" w:rsidTr="00CD6352">
        <w:tc>
          <w:tcPr>
            <w:tcW w:w="0" w:type="auto"/>
          </w:tcPr>
          <w:p w14:paraId="37E454D7" w14:textId="77777777" w:rsidR="00CD6352" w:rsidRPr="004C59E4" w:rsidRDefault="00CD6352" w:rsidP="00CD6352">
            <w:pPr>
              <w:jc w:val="both"/>
              <w:rPr>
                <w:rFonts w:ascii="Arial" w:hAnsi="Arial" w:cs="Arial"/>
                <w:b/>
                <w:sz w:val="16"/>
                <w:szCs w:val="16"/>
              </w:rPr>
            </w:pPr>
            <w:r w:rsidRPr="004C59E4">
              <w:rPr>
                <w:rFonts w:ascii="Arial" w:hAnsi="Arial" w:cs="Arial"/>
                <w:b/>
                <w:sz w:val="16"/>
                <w:szCs w:val="16"/>
              </w:rPr>
              <w:t>Country &amp; Manager</w:t>
            </w:r>
          </w:p>
        </w:tc>
        <w:tc>
          <w:tcPr>
            <w:tcW w:w="0" w:type="auto"/>
          </w:tcPr>
          <w:p w14:paraId="4D978E87" w14:textId="77777777" w:rsidR="00CD6352" w:rsidRPr="004C59E4" w:rsidRDefault="00CD6352" w:rsidP="00CD6352">
            <w:pPr>
              <w:jc w:val="both"/>
              <w:rPr>
                <w:rFonts w:ascii="Arial" w:hAnsi="Arial" w:cs="Arial"/>
                <w:b/>
                <w:sz w:val="16"/>
                <w:szCs w:val="16"/>
              </w:rPr>
            </w:pPr>
            <w:r w:rsidRPr="004C59E4">
              <w:rPr>
                <w:rFonts w:ascii="Arial" w:hAnsi="Arial" w:cs="Arial"/>
                <w:b/>
                <w:sz w:val="16"/>
                <w:szCs w:val="16"/>
              </w:rPr>
              <w:t>Challenges associated with securing finance for real estate project</w:t>
            </w:r>
          </w:p>
        </w:tc>
      </w:tr>
      <w:tr w:rsidR="00CD6352" w:rsidRPr="004C59E4" w14:paraId="4D76CDBD" w14:textId="77777777" w:rsidTr="00CD6352">
        <w:tc>
          <w:tcPr>
            <w:tcW w:w="0" w:type="auto"/>
          </w:tcPr>
          <w:p w14:paraId="1FDFFEB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Mgr1</w:t>
            </w:r>
          </w:p>
        </w:tc>
        <w:tc>
          <w:tcPr>
            <w:tcW w:w="0" w:type="auto"/>
          </w:tcPr>
          <w:p w14:paraId="6F3B3540" w14:textId="601B47D2" w:rsidR="00CD6352" w:rsidRPr="004C59E4" w:rsidRDefault="00CD6352" w:rsidP="00CD6352">
            <w:pPr>
              <w:jc w:val="both"/>
              <w:rPr>
                <w:rFonts w:ascii="Arial" w:hAnsi="Arial" w:cs="Arial"/>
                <w:sz w:val="16"/>
                <w:szCs w:val="16"/>
              </w:rPr>
            </w:pPr>
            <w:r w:rsidRPr="004C59E4">
              <w:rPr>
                <w:rFonts w:ascii="Arial" w:hAnsi="Arial" w:cs="Arial"/>
                <w:sz w:val="16"/>
                <w:szCs w:val="16"/>
              </w:rPr>
              <w:t>Access to the land, complicated process of getting land lease, laws change regularly, so many rules and regulations concerning expatriation of equity, finance and income inequity between the east and the west making it challenging to operate,</w:t>
            </w:r>
            <w:r w:rsidR="006F17AE">
              <w:rPr>
                <w:rFonts w:ascii="Arial" w:hAnsi="Arial" w:cs="Arial"/>
                <w:sz w:val="16"/>
                <w:szCs w:val="16"/>
              </w:rPr>
              <w:t xml:space="preserve"> </w:t>
            </w:r>
            <w:r w:rsidRPr="004C59E4">
              <w:rPr>
                <w:rFonts w:ascii="Arial" w:hAnsi="Arial" w:cs="Arial"/>
                <w:sz w:val="16"/>
                <w:szCs w:val="16"/>
              </w:rPr>
              <w:t xml:space="preserve">lots of government interventions &amp; significant taxes on second homes in China, </w:t>
            </w:r>
          </w:p>
        </w:tc>
      </w:tr>
      <w:tr w:rsidR="00CD6352" w:rsidRPr="004C59E4" w14:paraId="329548DF" w14:textId="77777777" w:rsidTr="00CD6352">
        <w:trPr>
          <w:trHeight w:val="403"/>
        </w:trPr>
        <w:tc>
          <w:tcPr>
            <w:tcW w:w="0" w:type="auto"/>
          </w:tcPr>
          <w:p w14:paraId="61BF9E4E"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Mgr2</w:t>
            </w:r>
          </w:p>
        </w:tc>
        <w:tc>
          <w:tcPr>
            <w:tcW w:w="0" w:type="auto"/>
          </w:tcPr>
          <w:p w14:paraId="0F28FD97"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Real estate in China is highly regulated.</w:t>
            </w:r>
          </w:p>
        </w:tc>
      </w:tr>
      <w:tr w:rsidR="00CD6352" w:rsidRPr="004C59E4" w14:paraId="6FF9157C" w14:textId="77777777" w:rsidTr="00CD6352">
        <w:tc>
          <w:tcPr>
            <w:tcW w:w="0" w:type="auto"/>
          </w:tcPr>
          <w:p w14:paraId="241963A3"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 3</w:t>
            </w:r>
          </w:p>
        </w:tc>
        <w:tc>
          <w:tcPr>
            <w:tcW w:w="0" w:type="auto"/>
          </w:tcPr>
          <w:p w14:paraId="7D1028C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One major challenge is negotiating and finalising a term sheet with a lender in time to meet acquisition deadlines. Sometimes negotiations can take longer than expected; challenge in setting up the required bank accounts on time. In current times, banks require many stages of KYC/AML before confirming the opening of a bank account, which may hinder the closing timelines of a deal</w:t>
            </w:r>
          </w:p>
        </w:tc>
      </w:tr>
      <w:tr w:rsidR="00CD6352" w:rsidRPr="004C59E4" w14:paraId="5E6F60FC" w14:textId="77777777" w:rsidTr="00CD6352">
        <w:tc>
          <w:tcPr>
            <w:tcW w:w="0" w:type="auto"/>
          </w:tcPr>
          <w:p w14:paraId="41BA231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Mgr4</w:t>
            </w:r>
          </w:p>
        </w:tc>
        <w:tc>
          <w:tcPr>
            <w:tcW w:w="0" w:type="auto"/>
          </w:tcPr>
          <w:p w14:paraId="1CE0281B"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Sometimes-long negotiation period with financiers.</w:t>
            </w:r>
          </w:p>
        </w:tc>
      </w:tr>
      <w:tr w:rsidR="00CD6352" w:rsidRPr="004C59E4" w14:paraId="36751D93" w14:textId="77777777" w:rsidTr="00CD6352">
        <w:tc>
          <w:tcPr>
            <w:tcW w:w="0" w:type="auto"/>
          </w:tcPr>
          <w:p w14:paraId="71E880D4"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Mgr5</w:t>
            </w:r>
          </w:p>
        </w:tc>
        <w:tc>
          <w:tcPr>
            <w:tcW w:w="0" w:type="auto"/>
          </w:tcPr>
          <w:p w14:paraId="7FA34AAF"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Lengthy and challenging banking criteria</w:t>
            </w:r>
          </w:p>
        </w:tc>
      </w:tr>
      <w:tr w:rsidR="00CD6352" w:rsidRPr="004C59E4" w14:paraId="5A9D2D3E" w14:textId="77777777" w:rsidTr="00CD6352">
        <w:tc>
          <w:tcPr>
            <w:tcW w:w="0" w:type="auto"/>
          </w:tcPr>
          <w:p w14:paraId="45FC6FF0"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Mgr6</w:t>
            </w:r>
          </w:p>
        </w:tc>
        <w:tc>
          <w:tcPr>
            <w:tcW w:w="0" w:type="auto"/>
          </w:tcPr>
          <w:p w14:paraId="005F145F"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Lengthy and challenging banking criteria</w:t>
            </w:r>
          </w:p>
        </w:tc>
      </w:tr>
      <w:tr w:rsidR="00CD6352" w:rsidRPr="004C59E4" w14:paraId="7AB79C75" w14:textId="77777777" w:rsidTr="00CD6352">
        <w:tc>
          <w:tcPr>
            <w:tcW w:w="0" w:type="auto"/>
          </w:tcPr>
          <w:p w14:paraId="5ADD8E39"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China Mgr7</w:t>
            </w:r>
          </w:p>
        </w:tc>
        <w:tc>
          <w:tcPr>
            <w:tcW w:w="0" w:type="auto"/>
          </w:tcPr>
          <w:p w14:paraId="00A5FBC0"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Rigorous funding process</w:t>
            </w:r>
          </w:p>
        </w:tc>
      </w:tr>
      <w:tr w:rsidR="00CD6352" w:rsidRPr="004C59E4" w14:paraId="12EF30EE" w14:textId="77777777" w:rsidTr="00CD6352">
        <w:tc>
          <w:tcPr>
            <w:tcW w:w="0" w:type="auto"/>
          </w:tcPr>
          <w:p w14:paraId="70FA3F0B"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Nigeria Mgr1</w:t>
            </w:r>
          </w:p>
        </w:tc>
        <w:tc>
          <w:tcPr>
            <w:tcW w:w="0" w:type="auto"/>
          </w:tcPr>
          <w:p w14:paraId="4B518F3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Difficulty in accessing loans from a federal mortgage bank, banks do not give real estate development loans, difficulty in accessing land, land speculation, unfriendly &amp; unstable government policies</w:t>
            </w:r>
          </w:p>
        </w:tc>
      </w:tr>
      <w:tr w:rsidR="00CD6352" w:rsidRPr="004C59E4" w14:paraId="09887423" w14:textId="77777777" w:rsidTr="00CD6352">
        <w:tc>
          <w:tcPr>
            <w:tcW w:w="0" w:type="auto"/>
          </w:tcPr>
          <w:p w14:paraId="7D34E40A"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Nigeria Mgr2</w:t>
            </w:r>
          </w:p>
        </w:tc>
        <w:tc>
          <w:tcPr>
            <w:tcW w:w="0" w:type="auto"/>
          </w:tcPr>
          <w:p w14:paraId="711D3BB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Corrupt government officials </w:t>
            </w:r>
          </w:p>
        </w:tc>
      </w:tr>
      <w:tr w:rsidR="00CD6352" w:rsidRPr="004C59E4" w14:paraId="5704AFAF" w14:textId="77777777" w:rsidTr="00CD6352">
        <w:tc>
          <w:tcPr>
            <w:tcW w:w="0" w:type="auto"/>
          </w:tcPr>
          <w:p w14:paraId="52DC0D0C"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Nigeria Mgr3</w:t>
            </w:r>
          </w:p>
        </w:tc>
        <w:tc>
          <w:tcPr>
            <w:tcW w:w="0" w:type="auto"/>
          </w:tcPr>
          <w:p w14:paraId="5EED7740" w14:textId="277A8D2D" w:rsidR="00CD6352" w:rsidRPr="004C59E4" w:rsidRDefault="00CD6352" w:rsidP="00CD6352">
            <w:pPr>
              <w:jc w:val="both"/>
              <w:rPr>
                <w:rFonts w:ascii="Arial" w:hAnsi="Arial" w:cs="Arial"/>
                <w:sz w:val="16"/>
                <w:szCs w:val="16"/>
              </w:rPr>
            </w:pPr>
            <w:r w:rsidRPr="004C59E4">
              <w:rPr>
                <w:rFonts w:ascii="Arial" w:hAnsi="Arial" w:cs="Arial"/>
                <w:sz w:val="16"/>
                <w:szCs w:val="16"/>
              </w:rPr>
              <w:t>High</w:t>
            </w:r>
            <w:r w:rsidR="0061450E">
              <w:rPr>
                <w:rFonts w:ascii="Arial" w:hAnsi="Arial" w:cs="Arial"/>
                <w:sz w:val="16"/>
                <w:szCs w:val="16"/>
              </w:rPr>
              <w:t xml:space="preserve"> </w:t>
            </w:r>
            <w:r w:rsidRPr="004C59E4">
              <w:rPr>
                <w:rFonts w:ascii="Arial" w:hAnsi="Arial" w:cs="Arial"/>
                <w:sz w:val="16"/>
                <w:szCs w:val="16"/>
              </w:rPr>
              <w:t>interest rate</w:t>
            </w:r>
            <w:r w:rsidR="0061450E">
              <w:rPr>
                <w:rFonts w:ascii="Arial" w:hAnsi="Arial" w:cs="Arial"/>
                <w:sz w:val="16"/>
                <w:szCs w:val="16"/>
              </w:rPr>
              <w:t>s</w:t>
            </w:r>
            <w:r w:rsidRPr="004C59E4">
              <w:rPr>
                <w:rFonts w:ascii="Arial" w:hAnsi="Arial" w:cs="Arial"/>
                <w:sz w:val="16"/>
                <w:szCs w:val="16"/>
              </w:rPr>
              <w:t xml:space="preserve"> and corrupt government officials </w:t>
            </w:r>
          </w:p>
        </w:tc>
      </w:tr>
      <w:tr w:rsidR="00CD6352" w:rsidRPr="004C59E4" w14:paraId="38FA99C8" w14:textId="77777777" w:rsidTr="00CD6352">
        <w:tc>
          <w:tcPr>
            <w:tcW w:w="0" w:type="auto"/>
          </w:tcPr>
          <w:p w14:paraId="69D4B9D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Nigeria Mgr4</w:t>
            </w:r>
          </w:p>
        </w:tc>
        <w:tc>
          <w:tcPr>
            <w:tcW w:w="0" w:type="auto"/>
          </w:tcPr>
          <w:p w14:paraId="20E980B0" w14:textId="0F147A19"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Commercial banks do not give loans without confirming that the off-takers are financially committed, low-income workers, high cost of land acquisition and Boko </w:t>
            </w:r>
            <w:r w:rsidR="00AC353E" w:rsidRPr="004C59E4">
              <w:rPr>
                <w:rFonts w:ascii="Arial" w:hAnsi="Arial" w:cs="Arial"/>
                <w:sz w:val="16"/>
                <w:szCs w:val="16"/>
              </w:rPr>
              <w:t>Haram(terrorism</w:t>
            </w:r>
            <w:r w:rsidRPr="004C59E4">
              <w:rPr>
                <w:rFonts w:ascii="Arial" w:hAnsi="Arial" w:cs="Arial"/>
                <w:sz w:val="16"/>
                <w:szCs w:val="16"/>
              </w:rPr>
              <w:t xml:space="preserve"> )</w:t>
            </w:r>
          </w:p>
        </w:tc>
      </w:tr>
      <w:tr w:rsidR="00CD6352" w:rsidRPr="004C59E4" w14:paraId="46F18DE8" w14:textId="77777777" w:rsidTr="00CD6352">
        <w:tc>
          <w:tcPr>
            <w:tcW w:w="0" w:type="auto"/>
          </w:tcPr>
          <w:p w14:paraId="00EA703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Nigeria Mgr 5</w:t>
            </w:r>
          </w:p>
        </w:tc>
        <w:tc>
          <w:tcPr>
            <w:tcW w:w="0" w:type="auto"/>
          </w:tcPr>
          <w:p w14:paraId="3CDEB5CF"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High-interest rate</w:t>
            </w:r>
          </w:p>
        </w:tc>
      </w:tr>
      <w:tr w:rsidR="00CD6352" w:rsidRPr="004C59E4" w14:paraId="281CA400" w14:textId="77777777" w:rsidTr="00CD6352">
        <w:tc>
          <w:tcPr>
            <w:tcW w:w="0" w:type="auto"/>
          </w:tcPr>
          <w:p w14:paraId="3BDDDC11"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Nigeria Mgr6</w:t>
            </w:r>
          </w:p>
        </w:tc>
        <w:tc>
          <w:tcPr>
            <w:tcW w:w="0" w:type="auto"/>
          </w:tcPr>
          <w:p w14:paraId="49504966"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 xml:space="preserve">Collateral </w:t>
            </w:r>
          </w:p>
        </w:tc>
      </w:tr>
      <w:tr w:rsidR="00CD6352" w:rsidRPr="004C59E4" w14:paraId="7426209A" w14:textId="77777777" w:rsidTr="00CD6352">
        <w:tc>
          <w:tcPr>
            <w:tcW w:w="0" w:type="auto"/>
          </w:tcPr>
          <w:p w14:paraId="6DCC5496"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South Africa Mgr 1</w:t>
            </w:r>
          </w:p>
        </w:tc>
        <w:tc>
          <w:tcPr>
            <w:tcW w:w="0" w:type="auto"/>
          </w:tcPr>
          <w:p w14:paraId="52D5EE5C" w14:textId="634F6CCF" w:rsidR="00CD6352" w:rsidRPr="004C59E4" w:rsidRDefault="00CD6352" w:rsidP="00CD6352">
            <w:pPr>
              <w:jc w:val="both"/>
              <w:rPr>
                <w:rFonts w:ascii="Arial" w:hAnsi="Arial" w:cs="Arial"/>
                <w:sz w:val="16"/>
                <w:szCs w:val="16"/>
              </w:rPr>
            </w:pPr>
            <w:r w:rsidRPr="004C59E4">
              <w:rPr>
                <w:rFonts w:ascii="Arial" w:hAnsi="Arial" w:cs="Arial"/>
                <w:sz w:val="16"/>
                <w:szCs w:val="16"/>
              </w:rPr>
              <w:t>Finding viable investment which meets the client’s mandate and aligns with various government initiatives, land appropriation issue</w:t>
            </w:r>
            <w:r w:rsidR="0024231A">
              <w:rPr>
                <w:rFonts w:ascii="Arial" w:hAnsi="Arial" w:cs="Arial"/>
                <w:sz w:val="16"/>
                <w:szCs w:val="16"/>
              </w:rPr>
              <w:t>s</w:t>
            </w:r>
            <w:r w:rsidRPr="004C59E4">
              <w:rPr>
                <w:rFonts w:ascii="Arial" w:hAnsi="Arial" w:cs="Arial"/>
                <w:sz w:val="16"/>
                <w:szCs w:val="16"/>
              </w:rPr>
              <w:t xml:space="preserve"> and multiple ownership of land  </w:t>
            </w:r>
          </w:p>
        </w:tc>
      </w:tr>
      <w:tr w:rsidR="00CD6352" w:rsidRPr="004C59E4" w14:paraId="1817C5DC" w14:textId="77777777" w:rsidTr="00CD6352">
        <w:tc>
          <w:tcPr>
            <w:tcW w:w="0" w:type="auto"/>
          </w:tcPr>
          <w:p w14:paraId="75BDA456"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South Africa Mgr2</w:t>
            </w:r>
          </w:p>
        </w:tc>
        <w:tc>
          <w:tcPr>
            <w:tcW w:w="0" w:type="auto"/>
          </w:tcPr>
          <w:p w14:paraId="075662C5"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Banks require large equity inputs from developers and well as track records</w:t>
            </w:r>
          </w:p>
        </w:tc>
      </w:tr>
      <w:tr w:rsidR="00CD6352" w:rsidRPr="004C59E4" w14:paraId="1D1ECF21" w14:textId="77777777" w:rsidTr="00CD6352">
        <w:tc>
          <w:tcPr>
            <w:tcW w:w="0" w:type="auto"/>
          </w:tcPr>
          <w:p w14:paraId="630E356D"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lastRenderedPageBreak/>
              <w:t>South Africa Mgr3</w:t>
            </w:r>
          </w:p>
        </w:tc>
        <w:tc>
          <w:tcPr>
            <w:tcW w:w="0" w:type="auto"/>
          </w:tcPr>
          <w:p w14:paraId="332492C1" w14:textId="2386CBB8" w:rsidR="00CD6352" w:rsidRPr="004C59E4" w:rsidRDefault="00CD6352" w:rsidP="00CD6352">
            <w:pPr>
              <w:jc w:val="both"/>
              <w:rPr>
                <w:rFonts w:ascii="Arial" w:hAnsi="Arial" w:cs="Arial"/>
                <w:sz w:val="16"/>
                <w:szCs w:val="16"/>
              </w:rPr>
            </w:pPr>
            <w:r w:rsidRPr="004C59E4">
              <w:rPr>
                <w:rFonts w:ascii="Arial" w:hAnsi="Arial" w:cs="Arial"/>
                <w:sz w:val="16"/>
                <w:szCs w:val="16"/>
              </w:rPr>
              <w:t>Along a period of 5 years to break even because of the gearing ratio versus return on equity</w:t>
            </w:r>
          </w:p>
        </w:tc>
      </w:tr>
      <w:tr w:rsidR="00CD6352" w:rsidRPr="004C59E4" w14:paraId="2C127923" w14:textId="77777777" w:rsidTr="00CD6352">
        <w:tc>
          <w:tcPr>
            <w:tcW w:w="0" w:type="auto"/>
          </w:tcPr>
          <w:p w14:paraId="41FCF6BC"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South Africa Mgr4</w:t>
            </w:r>
          </w:p>
        </w:tc>
        <w:tc>
          <w:tcPr>
            <w:tcW w:w="0" w:type="auto"/>
          </w:tcPr>
          <w:p w14:paraId="20926AA8" w14:textId="77777777" w:rsidR="00CD6352" w:rsidRPr="004C59E4" w:rsidRDefault="00CD6352" w:rsidP="00CD6352">
            <w:pPr>
              <w:jc w:val="both"/>
              <w:rPr>
                <w:rFonts w:ascii="Arial" w:hAnsi="Arial" w:cs="Arial"/>
                <w:sz w:val="16"/>
                <w:szCs w:val="16"/>
              </w:rPr>
            </w:pPr>
            <w:r w:rsidRPr="004C59E4">
              <w:rPr>
                <w:rFonts w:ascii="Arial" w:hAnsi="Arial" w:cs="Arial"/>
                <w:sz w:val="16"/>
                <w:szCs w:val="16"/>
              </w:rPr>
              <w:t>Poor skills in structuring transactions &amp; proposal for funding, racial discrimination in South Africa &amp; funding structure</w:t>
            </w:r>
          </w:p>
        </w:tc>
      </w:tr>
    </w:tbl>
    <w:p w14:paraId="5BBDFFD7" w14:textId="77777777" w:rsidR="00CD6352" w:rsidRPr="004C59E4" w:rsidRDefault="00CD6352" w:rsidP="00CD6352">
      <w:pPr>
        <w:spacing w:line="360" w:lineRule="auto"/>
        <w:jc w:val="both"/>
        <w:rPr>
          <w:rFonts w:ascii="Arial" w:hAnsi="Arial" w:cs="Arial"/>
          <w:sz w:val="16"/>
          <w:szCs w:val="16"/>
        </w:rPr>
      </w:pPr>
      <w:r w:rsidRPr="004C59E4">
        <w:rPr>
          <w:rFonts w:ascii="Arial" w:hAnsi="Arial" w:cs="Arial"/>
          <w:sz w:val="16"/>
          <w:szCs w:val="16"/>
        </w:rPr>
        <w:t>Author’s compilation (2019)</w:t>
      </w:r>
    </w:p>
    <w:p w14:paraId="230CC9ED" w14:textId="2D674337" w:rsidR="00CD6352" w:rsidRPr="00EA7665" w:rsidRDefault="00CD6352" w:rsidP="00CD6352">
      <w:pPr>
        <w:spacing w:line="360" w:lineRule="auto"/>
        <w:jc w:val="both"/>
        <w:rPr>
          <w:rFonts w:ascii="Arial" w:hAnsi="Arial" w:cs="Arial"/>
        </w:rPr>
      </w:pPr>
      <w:r w:rsidRPr="00EA7665">
        <w:rPr>
          <w:rFonts w:ascii="Arial" w:hAnsi="Arial" w:cs="Arial"/>
        </w:rPr>
        <w:t>The interview demonstrates that managers in Germany,</w:t>
      </w:r>
      <w:r>
        <w:rPr>
          <w:rFonts w:ascii="Arial" w:hAnsi="Arial" w:cs="Arial"/>
        </w:rPr>
        <w:t xml:space="preserve"> </w:t>
      </w:r>
      <w:r w:rsidR="004D0239">
        <w:rPr>
          <w:rFonts w:ascii="Arial" w:hAnsi="Arial" w:cs="Arial"/>
        </w:rPr>
        <w:t xml:space="preserve">the </w:t>
      </w:r>
      <w:r w:rsidR="004D0239" w:rsidRPr="00EA7665">
        <w:rPr>
          <w:rFonts w:ascii="Arial" w:hAnsi="Arial" w:cs="Arial"/>
        </w:rPr>
        <w:t>US</w:t>
      </w:r>
      <w:r w:rsidR="0024231A">
        <w:rPr>
          <w:rFonts w:ascii="Arial" w:hAnsi="Arial" w:cs="Arial"/>
        </w:rPr>
        <w:t>, and the UK do not have significant challenges accessing real estate project development finance</w:t>
      </w:r>
      <w:r w:rsidRPr="00EA7665">
        <w:rPr>
          <w:rFonts w:ascii="Arial" w:hAnsi="Arial" w:cs="Arial"/>
        </w:rPr>
        <w:t xml:space="preserve">. These countries enjoy buoyant economies and </w:t>
      </w:r>
      <w:r>
        <w:rPr>
          <w:rFonts w:ascii="Arial" w:hAnsi="Arial" w:cs="Arial"/>
        </w:rPr>
        <w:t xml:space="preserve">are </w:t>
      </w:r>
      <w:r w:rsidRPr="00EA7665">
        <w:rPr>
          <w:rFonts w:ascii="Arial" w:hAnsi="Arial" w:cs="Arial"/>
        </w:rPr>
        <w:t>therefore conducive for attracting international investors (Parsa et al</w:t>
      </w:r>
      <w:r w:rsidR="0024231A">
        <w:rPr>
          <w:rFonts w:ascii="Arial" w:hAnsi="Arial" w:cs="Arial"/>
        </w:rPr>
        <w:t>.</w:t>
      </w:r>
      <w:r w:rsidRPr="00EA7665">
        <w:rPr>
          <w:rFonts w:ascii="Arial" w:hAnsi="Arial" w:cs="Arial"/>
        </w:rPr>
        <w:t>, 1999). Excerpts from statements made by the managers from Germany and China are a reflection of the access to finance for real estate project development in these countries.</w:t>
      </w:r>
    </w:p>
    <w:p w14:paraId="3CAB5560" w14:textId="56B20CED" w:rsidR="00CD6352" w:rsidRPr="00EA7665" w:rsidRDefault="00CD6352" w:rsidP="00CD6352">
      <w:pPr>
        <w:spacing w:line="360" w:lineRule="auto"/>
        <w:ind w:left="720"/>
        <w:jc w:val="both"/>
        <w:rPr>
          <w:rFonts w:ascii="Arial" w:hAnsi="Arial" w:cs="Arial"/>
          <w:i/>
        </w:rPr>
      </w:pPr>
      <w:r w:rsidRPr="00EA7665">
        <w:rPr>
          <w:rFonts w:ascii="Arial" w:hAnsi="Arial" w:cs="Arial"/>
          <w:i/>
        </w:rPr>
        <w:t>“In countries like Germany</w:t>
      </w:r>
      <w:r w:rsidR="001006E8">
        <w:rPr>
          <w:rFonts w:ascii="Arial" w:hAnsi="Arial" w:cs="Arial"/>
          <w:i/>
        </w:rPr>
        <w:t>,</w:t>
      </w:r>
      <w:r w:rsidRPr="00EA7665">
        <w:rPr>
          <w:rFonts w:ascii="Arial" w:hAnsi="Arial" w:cs="Arial"/>
          <w:i/>
        </w:rPr>
        <w:t xml:space="preserve"> it has not been very challenging at all because there is a very deep funding market for senior loans</w:t>
      </w:r>
      <w:r w:rsidR="00A22340">
        <w:rPr>
          <w:rFonts w:ascii="Arial" w:hAnsi="Arial" w:cs="Arial"/>
          <w:i/>
        </w:rPr>
        <w:t>,</w:t>
      </w:r>
      <w:r w:rsidRPr="00EA7665">
        <w:rPr>
          <w:rFonts w:ascii="Arial" w:hAnsi="Arial" w:cs="Arial"/>
          <w:i/>
        </w:rPr>
        <w:t xml:space="preserve"> and there it is quite easy to get debt; you also get better margins from German debts” Germany Mgr 3.</w:t>
      </w:r>
    </w:p>
    <w:p w14:paraId="13F71A45" w14:textId="77777777" w:rsidR="00CD6352" w:rsidRPr="00EA7665" w:rsidRDefault="00CD6352" w:rsidP="00CD6352">
      <w:pPr>
        <w:spacing w:line="360" w:lineRule="auto"/>
        <w:ind w:left="720"/>
        <w:jc w:val="both"/>
        <w:rPr>
          <w:rFonts w:ascii="Arial" w:hAnsi="Arial" w:cs="Arial"/>
          <w:i/>
        </w:rPr>
      </w:pPr>
      <w:r w:rsidRPr="00EA7665">
        <w:rPr>
          <w:rFonts w:ascii="Arial" w:hAnsi="Arial" w:cs="Arial"/>
          <w:i/>
        </w:rPr>
        <w:t>“China is a vast country; the finance and the income inequity is pronounced across the country. There is a huge diversity between east and west China in terms of income, and this makes it very difficult to operate there. There are lots of regulations and rules concerning the expatriation of equity”. China Mgr1</w:t>
      </w:r>
    </w:p>
    <w:p w14:paraId="09B78D1B" w14:textId="0A705ABE" w:rsidR="00CD6352" w:rsidRPr="00EA7665" w:rsidRDefault="00CD6352" w:rsidP="00CD6352">
      <w:pPr>
        <w:spacing w:line="360" w:lineRule="auto"/>
        <w:jc w:val="both"/>
        <w:rPr>
          <w:rFonts w:ascii="Arial" w:hAnsi="Arial" w:cs="Arial"/>
        </w:rPr>
      </w:pPr>
      <w:r w:rsidRPr="00EA7665">
        <w:rPr>
          <w:rFonts w:ascii="Arial" w:hAnsi="Arial" w:cs="Arial"/>
        </w:rPr>
        <w:t xml:space="preserve">The </w:t>
      </w:r>
      <w:r w:rsidR="00A22340">
        <w:rPr>
          <w:rFonts w:ascii="Arial" w:hAnsi="Arial" w:cs="Arial"/>
        </w:rPr>
        <w:t>matured economy's political and social stability builds investors’ confidence and reduces market risk, which</w:t>
      </w:r>
      <w:r w:rsidRPr="00EA7665">
        <w:rPr>
          <w:rFonts w:ascii="Arial" w:hAnsi="Arial" w:cs="Arial"/>
        </w:rPr>
        <w:t xml:space="preserve"> largely constitutes an opportunity (Nurick et al., 2017). Conversely, the instability experienced politically and socially in some emerging economies makes them not as opened as the developed economies for investment purposes, and this largely affects finance for real estate project development. </w:t>
      </w:r>
    </w:p>
    <w:p w14:paraId="61ACF596" w14:textId="4E3AD487" w:rsidR="00CD6352" w:rsidRPr="00EA7665" w:rsidRDefault="00CD6352" w:rsidP="00CD6352">
      <w:pPr>
        <w:spacing w:line="360" w:lineRule="auto"/>
        <w:jc w:val="both"/>
        <w:rPr>
          <w:rFonts w:ascii="Arial" w:hAnsi="Arial" w:cs="Arial"/>
        </w:rPr>
      </w:pPr>
      <w:r w:rsidRPr="00EA7665">
        <w:rPr>
          <w:rFonts w:ascii="Arial" w:hAnsi="Arial" w:cs="Arial"/>
        </w:rPr>
        <w:t xml:space="preserve">However, despite the liquidity in the developed economies and China, managers in Germany and China emphatically mentioned “access to land </w:t>
      </w:r>
      <w:r w:rsidR="00AC353E" w:rsidRPr="00EA7665">
        <w:rPr>
          <w:rFonts w:ascii="Arial" w:hAnsi="Arial" w:cs="Arial"/>
        </w:rPr>
        <w:t>“as</w:t>
      </w:r>
      <w:r w:rsidRPr="00EA7665">
        <w:rPr>
          <w:rFonts w:ascii="Arial" w:hAnsi="Arial" w:cs="Arial"/>
        </w:rPr>
        <w:t xml:space="preserve"> a fundamental challenge the</w:t>
      </w:r>
      <w:r>
        <w:rPr>
          <w:rFonts w:ascii="Arial" w:hAnsi="Arial" w:cs="Arial"/>
        </w:rPr>
        <w:t>y</w:t>
      </w:r>
      <w:r w:rsidRPr="00EA7665">
        <w:rPr>
          <w:rFonts w:ascii="Arial" w:hAnsi="Arial" w:cs="Arial"/>
        </w:rPr>
        <w:t xml:space="preserve"> encounter in securing finance for real estate project development. In the same light</w:t>
      </w:r>
      <w:r w:rsidR="001006E8">
        <w:rPr>
          <w:rFonts w:ascii="Arial" w:hAnsi="Arial" w:cs="Arial"/>
        </w:rPr>
        <w:t>,</w:t>
      </w:r>
      <w:r w:rsidRPr="00EA7665">
        <w:rPr>
          <w:rFonts w:ascii="Arial" w:hAnsi="Arial" w:cs="Arial"/>
        </w:rPr>
        <w:t xml:space="preserve"> “difficult land use and ownership laws” </w:t>
      </w:r>
      <w:r>
        <w:rPr>
          <w:rFonts w:ascii="Arial" w:hAnsi="Arial" w:cs="Arial"/>
        </w:rPr>
        <w:t>were</w:t>
      </w:r>
      <w:r w:rsidRPr="00EA7665">
        <w:rPr>
          <w:rFonts w:ascii="Arial" w:hAnsi="Arial" w:cs="Arial"/>
        </w:rPr>
        <w:t xml:space="preserve"> also ranked as the most challenging factors associated with securing finance for real estate project development in the survey questionnaire response. </w:t>
      </w:r>
    </w:p>
    <w:p w14:paraId="43565ED9" w14:textId="01AACD01" w:rsidR="00CD6352" w:rsidRPr="00EA7665" w:rsidRDefault="00CD6352" w:rsidP="00CD6352">
      <w:pPr>
        <w:spacing w:line="360" w:lineRule="auto"/>
        <w:ind w:left="720"/>
        <w:jc w:val="both"/>
        <w:rPr>
          <w:rFonts w:ascii="Arial" w:hAnsi="Arial" w:cs="Arial"/>
        </w:rPr>
      </w:pPr>
      <w:r w:rsidRPr="00EA7665">
        <w:rPr>
          <w:rFonts w:ascii="Arial" w:hAnsi="Arial" w:cs="Arial"/>
        </w:rPr>
        <w:t xml:space="preserve"> “</w:t>
      </w:r>
      <w:r w:rsidRPr="00EA7665">
        <w:rPr>
          <w:rFonts w:ascii="Arial" w:hAnsi="Arial" w:cs="Arial"/>
          <w:i/>
        </w:rPr>
        <w:t>Access to capital is not a challenge in Germany. Capital</w:t>
      </w:r>
      <w:r>
        <w:rPr>
          <w:rFonts w:ascii="Arial" w:hAnsi="Arial" w:cs="Arial"/>
          <w:i/>
        </w:rPr>
        <w:t xml:space="preserve">, both equity and </w:t>
      </w:r>
      <w:r w:rsidR="00AC353E">
        <w:rPr>
          <w:rFonts w:ascii="Arial" w:hAnsi="Arial" w:cs="Arial"/>
          <w:i/>
        </w:rPr>
        <w:t xml:space="preserve">debt, </w:t>
      </w:r>
      <w:r w:rsidR="00AC353E" w:rsidRPr="00EA7665">
        <w:rPr>
          <w:rFonts w:ascii="Arial" w:hAnsi="Arial" w:cs="Arial"/>
          <w:i/>
        </w:rPr>
        <w:t>is</w:t>
      </w:r>
      <w:r w:rsidRPr="00EA7665">
        <w:rPr>
          <w:rFonts w:ascii="Arial" w:hAnsi="Arial" w:cs="Arial"/>
          <w:i/>
        </w:rPr>
        <w:t xml:space="preserve"> abundant</w:t>
      </w:r>
      <w:r>
        <w:rPr>
          <w:rFonts w:ascii="Arial" w:hAnsi="Arial" w:cs="Arial"/>
          <w:i/>
        </w:rPr>
        <w:t xml:space="preserve"> </w:t>
      </w:r>
      <w:r w:rsidRPr="00EA7665">
        <w:rPr>
          <w:rFonts w:ascii="Arial" w:hAnsi="Arial" w:cs="Arial"/>
          <w:i/>
        </w:rPr>
        <w:t>in Germany. Well, the main challeng</w:t>
      </w:r>
      <w:r>
        <w:rPr>
          <w:rFonts w:ascii="Arial" w:hAnsi="Arial" w:cs="Arial"/>
          <w:i/>
        </w:rPr>
        <w:t>e</w:t>
      </w:r>
      <w:r w:rsidRPr="00EA7665">
        <w:rPr>
          <w:rFonts w:ascii="Arial" w:hAnsi="Arial" w:cs="Arial"/>
          <w:i/>
        </w:rPr>
        <w:t xml:space="preserve"> at the moment </w:t>
      </w:r>
      <w:r>
        <w:rPr>
          <w:rFonts w:ascii="Arial" w:hAnsi="Arial" w:cs="Arial"/>
          <w:i/>
        </w:rPr>
        <w:t>is</w:t>
      </w:r>
      <w:r w:rsidRPr="00EA7665">
        <w:rPr>
          <w:rFonts w:ascii="Arial" w:hAnsi="Arial" w:cs="Arial"/>
          <w:i/>
        </w:rPr>
        <w:t xml:space="preserve"> to find a piece of land. </w:t>
      </w:r>
      <w:r w:rsidR="002275DF">
        <w:rPr>
          <w:rFonts w:ascii="Arial" w:hAnsi="Arial" w:cs="Arial"/>
          <w:i/>
        </w:rPr>
        <w:t>A</w:t>
      </w:r>
      <w:r w:rsidRPr="00EA7665">
        <w:rPr>
          <w:rFonts w:ascii="Arial" w:hAnsi="Arial" w:cs="Arial"/>
          <w:i/>
        </w:rPr>
        <w:t>ccess to capital is not a big problem now, at least here in Germany</w:t>
      </w:r>
      <w:r w:rsidR="00B56889">
        <w:rPr>
          <w:rFonts w:ascii="Arial" w:hAnsi="Arial" w:cs="Arial"/>
          <w:i/>
        </w:rPr>
        <w:t>,</w:t>
      </w:r>
      <w:r w:rsidRPr="00EA7665">
        <w:rPr>
          <w:rFonts w:ascii="Arial" w:hAnsi="Arial" w:cs="Arial"/>
          <w:i/>
        </w:rPr>
        <w:t xml:space="preserve"> because capital is abundant, both equity and debt. So, the banks are currently </w:t>
      </w:r>
      <w:r w:rsidR="00AC353E">
        <w:rPr>
          <w:rFonts w:ascii="Arial" w:hAnsi="Arial" w:cs="Arial"/>
          <w:i/>
        </w:rPr>
        <w:t xml:space="preserve">experiencing </w:t>
      </w:r>
      <w:r w:rsidR="00AC353E" w:rsidRPr="00EA7665">
        <w:rPr>
          <w:rFonts w:ascii="Arial" w:hAnsi="Arial" w:cs="Arial"/>
          <w:i/>
        </w:rPr>
        <w:t>very</w:t>
      </w:r>
      <w:r w:rsidRPr="00EA7665">
        <w:rPr>
          <w:rFonts w:ascii="Arial" w:hAnsi="Arial" w:cs="Arial"/>
          <w:i/>
        </w:rPr>
        <w:t xml:space="preserve"> fierce competition for clients. So, I guess the biggest problem for developers at the moment is not so much on finance but the piece of land</w:t>
      </w:r>
      <w:r w:rsidRPr="00EA7665">
        <w:rPr>
          <w:rFonts w:ascii="Arial" w:hAnsi="Arial" w:cs="Arial"/>
        </w:rPr>
        <w:t>” (Germany Mgr4).</w:t>
      </w:r>
    </w:p>
    <w:p w14:paraId="63817F20" w14:textId="108745E1" w:rsidR="00CD6352" w:rsidRPr="00EA7665" w:rsidRDefault="00CD6352" w:rsidP="00CD6352">
      <w:pPr>
        <w:spacing w:line="360" w:lineRule="auto"/>
        <w:jc w:val="both"/>
        <w:rPr>
          <w:rFonts w:ascii="Arial" w:hAnsi="Arial" w:cs="Arial"/>
        </w:rPr>
      </w:pPr>
      <w:r w:rsidRPr="00EA7665">
        <w:rPr>
          <w:rFonts w:ascii="Arial" w:hAnsi="Arial" w:cs="Arial"/>
        </w:rPr>
        <w:lastRenderedPageBreak/>
        <w:t>Furthermore, the interview revealed that smaller developers have challenges accessing finance in Germany</w:t>
      </w:r>
      <w:r w:rsidR="00B56889">
        <w:rPr>
          <w:rFonts w:ascii="Arial" w:hAnsi="Arial" w:cs="Arial"/>
        </w:rPr>
        <w:t>,</w:t>
      </w:r>
      <w:r w:rsidRPr="00EA7665">
        <w:rPr>
          <w:rFonts w:ascii="Arial" w:hAnsi="Arial" w:cs="Arial"/>
        </w:rPr>
        <w:t xml:space="preserve"> and they are also not willing to partner with bigger firms for fear of take-overs. The demand for collateral by financiers in Germany and the delays in getting permits are also fundamental challenges associated with securing finance for real estate project development in Germany. These findings substantiate the </w:t>
      </w:r>
      <w:r w:rsidR="00A22340">
        <w:rPr>
          <w:rFonts w:ascii="Arial" w:hAnsi="Arial" w:cs="Arial"/>
        </w:rPr>
        <w:t>survey questions' finding</w:t>
      </w:r>
      <w:r w:rsidRPr="00EA7665">
        <w:rPr>
          <w:rFonts w:ascii="Arial" w:hAnsi="Arial" w:cs="Arial"/>
        </w:rPr>
        <w:t>s with respect to the top</w:t>
      </w:r>
      <w:r w:rsidR="002275DF">
        <w:rPr>
          <w:rFonts w:ascii="Arial" w:hAnsi="Arial" w:cs="Arial"/>
        </w:rPr>
        <w:t>-</w:t>
      </w:r>
      <w:r w:rsidRPr="00EA7665">
        <w:rPr>
          <w:rFonts w:ascii="Arial" w:hAnsi="Arial" w:cs="Arial"/>
        </w:rPr>
        <w:t xml:space="preserve">ranked five challenges associated with securing </w:t>
      </w:r>
      <w:r w:rsidRPr="00783646">
        <w:rPr>
          <w:rFonts w:ascii="Arial" w:hAnsi="Arial" w:cs="Arial"/>
        </w:rPr>
        <w:t xml:space="preserve">finance for real estate project development in Germany </w:t>
      </w:r>
      <w:r w:rsidR="004D0239" w:rsidRPr="00783646">
        <w:rPr>
          <w:rFonts w:ascii="Arial" w:hAnsi="Arial" w:cs="Arial"/>
        </w:rPr>
        <w:t>(see</w:t>
      </w:r>
      <w:r w:rsidRPr="00783646">
        <w:rPr>
          <w:rFonts w:ascii="Arial" w:hAnsi="Arial" w:cs="Arial"/>
        </w:rPr>
        <w:t xml:space="preserve"> table 6.8). Furthermore, some of the German managers interviewed consider the regular confirmation of inflow</w:t>
      </w:r>
      <w:r>
        <w:rPr>
          <w:rFonts w:ascii="Arial" w:hAnsi="Arial" w:cs="Arial"/>
        </w:rPr>
        <w:t>s</w:t>
      </w:r>
      <w:r w:rsidRPr="00783646">
        <w:rPr>
          <w:rFonts w:ascii="Arial" w:hAnsi="Arial" w:cs="Arial"/>
        </w:rPr>
        <w:t xml:space="preserve"> from</w:t>
      </w:r>
      <w:r w:rsidRPr="00EA7665">
        <w:rPr>
          <w:rFonts w:ascii="Arial" w:hAnsi="Arial" w:cs="Arial"/>
        </w:rPr>
        <w:t xml:space="preserve"> foreigners by banks and the suspicious ways they are treated </w:t>
      </w:r>
      <w:r>
        <w:rPr>
          <w:rFonts w:ascii="Arial" w:hAnsi="Arial" w:cs="Arial"/>
        </w:rPr>
        <w:t>as</w:t>
      </w:r>
      <w:r w:rsidRPr="00EA7665">
        <w:rPr>
          <w:rFonts w:ascii="Arial" w:hAnsi="Arial" w:cs="Arial"/>
        </w:rPr>
        <w:t xml:space="preserve"> </w:t>
      </w:r>
      <w:r w:rsidR="004D0239">
        <w:rPr>
          <w:rFonts w:ascii="Arial" w:hAnsi="Arial" w:cs="Arial"/>
        </w:rPr>
        <w:t xml:space="preserve">impediments </w:t>
      </w:r>
      <w:r w:rsidR="004D0239" w:rsidRPr="00EA7665">
        <w:rPr>
          <w:rFonts w:ascii="Arial" w:hAnsi="Arial" w:cs="Arial"/>
        </w:rPr>
        <w:t>to</w:t>
      </w:r>
      <w:r w:rsidRPr="00EA7665">
        <w:rPr>
          <w:rFonts w:ascii="Arial" w:hAnsi="Arial" w:cs="Arial"/>
        </w:rPr>
        <w:t xml:space="preserve"> </w:t>
      </w:r>
      <w:r>
        <w:rPr>
          <w:rFonts w:ascii="Arial" w:hAnsi="Arial" w:cs="Arial"/>
        </w:rPr>
        <w:t xml:space="preserve">the </w:t>
      </w:r>
      <w:r w:rsidRPr="00EA7665">
        <w:rPr>
          <w:rFonts w:ascii="Arial" w:hAnsi="Arial" w:cs="Arial"/>
        </w:rPr>
        <w:t>inflow of finance.</w:t>
      </w:r>
    </w:p>
    <w:p w14:paraId="79F6D5B9" w14:textId="5E1D4FDC" w:rsidR="00CD6352" w:rsidRPr="00EA7665" w:rsidRDefault="0024231A" w:rsidP="00CD6352">
      <w:pPr>
        <w:spacing w:line="360" w:lineRule="auto"/>
        <w:jc w:val="both"/>
        <w:rPr>
          <w:rFonts w:ascii="Arial" w:hAnsi="Arial" w:cs="Arial"/>
        </w:rPr>
      </w:pPr>
      <w:r>
        <w:rPr>
          <w:rFonts w:ascii="Arial" w:hAnsi="Arial" w:cs="Arial"/>
        </w:rPr>
        <w:t>Based on the interviews, the challenges experienced by managers in the UK</w:t>
      </w:r>
      <w:r w:rsidR="00CD6352" w:rsidRPr="00EA7665">
        <w:rPr>
          <w:rFonts w:ascii="Arial" w:hAnsi="Arial" w:cs="Arial"/>
        </w:rPr>
        <w:t xml:space="preserve"> include </w:t>
      </w:r>
      <w:r w:rsidR="00CD6352">
        <w:rPr>
          <w:rFonts w:ascii="Arial" w:hAnsi="Arial" w:cs="Arial"/>
        </w:rPr>
        <w:t xml:space="preserve">delays </w:t>
      </w:r>
      <w:r w:rsidR="00CD6352" w:rsidRPr="00EA7665">
        <w:rPr>
          <w:rFonts w:ascii="Arial" w:hAnsi="Arial" w:cs="Arial"/>
        </w:rPr>
        <w:t>in getting sign-off</w:t>
      </w:r>
      <w:r w:rsidR="00CD6352">
        <w:rPr>
          <w:rFonts w:ascii="Arial" w:hAnsi="Arial" w:cs="Arial"/>
        </w:rPr>
        <w:t xml:space="preserve">s from the different professionals as payments are made in stages in the course of development. </w:t>
      </w:r>
      <w:r w:rsidR="00B56889">
        <w:rPr>
          <w:rFonts w:ascii="Arial" w:hAnsi="Arial" w:cs="Arial"/>
        </w:rPr>
        <w:t>In this regard, the fundamental challenge for managers in the UK is getting the right people to do the work and do it correctly</w:t>
      </w:r>
      <w:r w:rsidR="00CD6352" w:rsidRPr="00EA7665">
        <w:rPr>
          <w:rFonts w:ascii="Arial" w:hAnsi="Arial" w:cs="Arial"/>
        </w:rPr>
        <w:t xml:space="preserve"> within the </w:t>
      </w:r>
      <w:r w:rsidR="00CD6352">
        <w:rPr>
          <w:rFonts w:ascii="Arial" w:hAnsi="Arial" w:cs="Arial"/>
        </w:rPr>
        <w:t>required time frame</w:t>
      </w:r>
      <w:r w:rsidR="00CD6352" w:rsidRPr="00EA7665">
        <w:rPr>
          <w:rFonts w:ascii="Arial" w:hAnsi="Arial" w:cs="Arial"/>
        </w:rPr>
        <w:t xml:space="preserve">. Skills and competences in the real estate sector are in shortfall </w:t>
      </w:r>
      <w:r>
        <w:rPr>
          <w:rFonts w:ascii="Arial" w:hAnsi="Arial" w:cs="Arial"/>
        </w:rPr>
        <w:t>compared to the sector's needs</w:t>
      </w:r>
      <w:r w:rsidR="00CD6352" w:rsidRPr="00EA7665">
        <w:rPr>
          <w:rFonts w:ascii="Arial" w:hAnsi="Arial" w:cs="Arial"/>
        </w:rPr>
        <w:t xml:space="preserve">. </w:t>
      </w:r>
      <w:r>
        <w:rPr>
          <w:rFonts w:ascii="Arial" w:hAnsi="Arial" w:cs="Arial"/>
        </w:rPr>
        <w:t xml:space="preserve">This is in line with existing literature, which shows </w:t>
      </w:r>
      <w:r w:rsidR="00CD6352" w:rsidRPr="00EA7665">
        <w:rPr>
          <w:rFonts w:ascii="Arial" w:hAnsi="Arial" w:cs="Arial"/>
        </w:rPr>
        <w:t xml:space="preserve">a shortage </w:t>
      </w:r>
      <w:r>
        <w:rPr>
          <w:rFonts w:ascii="Arial" w:hAnsi="Arial" w:cs="Arial"/>
        </w:rPr>
        <w:t xml:space="preserve">of skills and </w:t>
      </w:r>
      <w:r w:rsidR="00CD6352" w:rsidRPr="00EA7665">
        <w:rPr>
          <w:rFonts w:ascii="Arial" w:hAnsi="Arial" w:cs="Arial"/>
        </w:rPr>
        <w:t>the type of experiences required (Blanksby and Iles, 1992; Ogbenjuwa et al, 2018).</w:t>
      </w:r>
    </w:p>
    <w:p w14:paraId="0D721804" w14:textId="2CACA914" w:rsidR="00CD6352" w:rsidRPr="00EA7665" w:rsidRDefault="00CD6352" w:rsidP="00CD6352">
      <w:pPr>
        <w:spacing w:line="360" w:lineRule="auto"/>
        <w:jc w:val="both"/>
        <w:rPr>
          <w:rFonts w:ascii="Arial" w:hAnsi="Arial" w:cs="Arial"/>
        </w:rPr>
      </w:pPr>
      <w:r w:rsidRPr="00EA7665">
        <w:rPr>
          <w:rFonts w:ascii="Arial" w:hAnsi="Arial" w:cs="Arial"/>
        </w:rPr>
        <w:t xml:space="preserve">The managers interviewed in the US also claim they do not have challenges getting access to finance for real estate project development. However, there are a number of challenges which some of them said constitutes a significant challenge to their access to finance for real estate project development. These challenges affecting managers in the US include </w:t>
      </w:r>
      <w:r>
        <w:rPr>
          <w:rFonts w:ascii="Arial" w:hAnsi="Arial" w:cs="Arial"/>
        </w:rPr>
        <w:t xml:space="preserve">the </w:t>
      </w:r>
      <w:r w:rsidRPr="00EA7665">
        <w:rPr>
          <w:rFonts w:ascii="Arial" w:hAnsi="Arial" w:cs="Arial"/>
        </w:rPr>
        <w:t xml:space="preserve">gradual rise of interest rates, </w:t>
      </w:r>
      <w:r>
        <w:rPr>
          <w:rFonts w:ascii="Arial" w:hAnsi="Arial" w:cs="Arial"/>
        </w:rPr>
        <w:t xml:space="preserve">an </w:t>
      </w:r>
      <w:r w:rsidRPr="00EA7665">
        <w:rPr>
          <w:rFonts w:ascii="Arial" w:hAnsi="Arial" w:cs="Arial"/>
        </w:rPr>
        <w:t xml:space="preserve">increasing cost of construction, </w:t>
      </w:r>
      <w:r>
        <w:rPr>
          <w:rFonts w:ascii="Arial" w:hAnsi="Arial" w:cs="Arial"/>
        </w:rPr>
        <w:t xml:space="preserve">and </w:t>
      </w:r>
      <w:r w:rsidRPr="00EA7665">
        <w:rPr>
          <w:rFonts w:ascii="Arial" w:hAnsi="Arial" w:cs="Arial"/>
        </w:rPr>
        <w:t>inconsistent criteria requested by financiers such as institutional investors and banks. To a great extent</w:t>
      </w:r>
      <w:r w:rsidR="002275DF">
        <w:rPr>
          <w:rFonts w:ascii="Arial" w:hAnsi="Arial" w:cs="Arial"/>
        </w:rPr>
        <w:t>,</w:t>
      </w:r>
      <w:r w:rsidRPr="00EA7665">
        <w:rPr>
          <w:rFonts w:ascii="Arial" w:hAnsi="Arial" w:cs="Arial"/>
        </w:rPr>
        <w:t xml:space="preserve"> the challenges associated with securing finance for real estate project development in the US </w:t>
      </w:r>
      <w:r w:rsidR="00090450">
        <w:rPr>
          <w:rFonts w:ascii="Arial" w:hAnsi="Arial" w:cs="Arial"/>
        </w:rPr>
        <w:t xml:space="preserve">are consistent with the challenges affecting US managers </w:t>
      </w:r>
      <w:r w:rsidRPr="00EA7665">
        <w:rPr>
          <w:rFonts w:ascii="Arial" w:hAnsi="Arial" w:cs="Arial"/>
        </w:rPr>
        <w:t xml:space="preserve">based on the questionnaire survey. </w:t>
      </w:r>
    </w:p>
    <w:p w14:paraId="6D100407" w14:textId="41F81CB4" w:rsidR="00CD6352" w:rsidRPr="00EA7665" w:rsidRDefault="00CD6352" w:rsidP="00CD6352">
      <w:pPr>
        <w:spacing w:line="360" w:lineRule="auto"/>
        <w:jc w:val="both"/>
        <w:rPr>
          <w:rFonts w:ascii="Arial" w:hAnsi="Arial" w:cs="Arial"/>
        </w:rPr>
      </w:pPr>
      <w:r w:rsidRPr="00EA7665">
        <w:rPr>
          <w:rFonts w:ascii="Arial" w:hAnsi="Arial" w:cs="Arial"/>
        </w:rPr>
        <w:t>The local Chinese managers claim they do not have challenges accessing funding for real estate project development. However, some foreign nationals who are managers in the real estate development sector in China claim they have challenge</w:t>
      </w:r>
      <w:r>
        <w:rPr>
          <w:rFonts w:ascii="Arial" w:hAnsi="Arial" w:cs="Arial"/>
        </w:rPr>
        <w:t>s</w:t>
      </w:r>
      <w:r w:rsidRPr="00EA7665">
        <w:rPr>
          <w:rFonts w:ascii="Arial" w:hAnsi="Arial" w:cs="Arial"/>
        </w:rPr>
        <w:t xml:space="preserve"> with </w:t>
      </w:r>
      <w:r>
        <w:rPr>
          <w:rFonts w:ascii="Arial" w:hAnsi="Arial" w:cs="Arial"/>
        </w:rPr>
        <w:t xml:space="preserve">the </w:t>
      </w:r>
      <w:r w:rsidRPr="00EA7665">
        <w:rPr>
          <w:rFonts w:ascii="Arial" w:hAnsi="Arial" w:cs="Arial"/>
        </w:rPr>
        <w:t>expatriation of capital because of the strict rules in China</w:t>
      </w:r>
      <w:r w:rsidR="001006E8">
        <w:rPr>
          <w:rFonts w:ascii="Arial" w:hAnsi="Arial" w:cs="Arial"/>
        </w:rPr>
        <w:t>,</w:t>
      </w:r>
      <w:r w:rsidRPr="00EA7665">
        <w:rPr>
          <w:rFonts w:ascii="Arial" w:hAnsi="Arial" w:cs="Arial"/>
        </w:rPr>
        <w:t xml:space="preserve"> and this is consistent with the respons</w:t>
      </w:r>
      <w:r>
        <w:rPr>
          <w:rFonts w:ascii="Arial" w:hAnsi="Arial" w:cs="Arial"/>
        </w:rPr>
        <w:t>es</w:t>
      </w:r>
      <w:r w:rsidRPr="00EA7665">
        <w:rPr>
          <w:rFonts w:ascii="Arial" w:hAnsi="Arial" w:cs="Arial"/>
        </w:rPr>
        <w:t xml:space="preserve"> from the survey questionnaire</w:t>
      </w:r>
      <w:r w:rsidR="00090450">
        <w:rPr>
          <w:rFonts w:ascii="Arial" w:hAnsi="Arial" w:cs="Arial"/>
        </w:rPr>
        <w:t>,</w:t>
      </w:r>
      <w:r w:rsidRPr="00EA7665">
        <w:rPr>
          <w:rFonts w:ascii="Arial" w:hAnsi="Arial" w:cs="Arial"/>
        </w:rPr>
        <w:t xml:space="preserve"> which demonstrates there are difficult land use and ownership laws. The managers in China also claim they have difficulties in getting funding that matches development at a particular point in time.</w:t>
      </w:r>
    </w:p>
    <w:p w14:paraId="1A7771B0" w14:textId="77777777" w:rsidR="00CD6352" w:rsidRPr="00EA7665" w:rsidRDefault="00CD6352" w:rsidP="00CD6352">
      <w:pPr>
        <w:spacing w:line="360" w:lineRule="auto"/>
        <w:jc w:val="both"/>
        <w:rPr>
          <w:rFonts w:ascii="Arial" w:hAnsi="Arial" w:cs="Arial"/>
        </w:rPr>
      </w:pPr>
      <w:r w:rsidRPr="00EA7665">
        <w:rPr>
          <w:rFonts w:ascii="Arial" w:hAnsi="Arial" w:cs="Arial"/>
        </w:rPr>
        <w:t>All the managers interviewed in Nigeria claim they face enormous challenges in accessing finance for real estate project development. They claim they have never had access to government support concerning real estate finance and have great difficulties getting bank funding</w:t>
      </w:r>
    </w:p>
    <w:p w14:paraId="73512B33" w14:textId="77777777" w:rsidR="00CD6352" w:rsidRPr="00EA7665" w:rsidRDefault="00CD6352" w:rsidP="00CD6352">
      <w:pPr>
        <w:spacing w:line="360" w:lineRule="auto"/>
        <w:ind w:left="720"/>
        <w:jc w:val="both"/>
        <w:rPr>
          <w:rFonts w:ascii="Arial" w:hAnsi="Arial" w:cs="Arial"/>
          <w:i/>
        </w:rPr>
      </w:pPr>
      <w:r w:rsidRPr="00EA7665">
        <w:rPr>
          <w:rFonts w:ascii="Arial" w:hAnsi="Arial" w:cs="Arial"/>
        </w:rPr>
        <w:lastRenderedPageBreak/>
        <w:t>“</w:t>
      </w:r>
      <w:r w:rsidRPr="00EA7665">
        <w:rPr>
          <w:rFonts w:ascii="Arial" w:hAnsi="Arial" w:cs="Arial"/>
          <w:i/>
        </w:rPr>
        <w:t>The Estate development loan is meant to come from the federal mortgage bank, but this is difficult to access. We, however, get small amounts of bridging loans from commercial banks after projects must have commenced. These types of loa</w:t>
      </w:r>
      <w:r>
        <w:rPr>
          <w:rFonts w:ascii="Arial" w:hAnsi="Arial" w:cs="Arial"/>
          <w:i/>
        </w:rPr>
        <w:t>ns</w:t>
      </w:r>
      <w:r w:rsidRPr="00EA7665">
        <w:rPr>
          <w:rFonts w:ascii="Arial" w:hAnsi="Arial" w:cs="Arial"/>
          <w:i/>
        </w:rPr>
        <w:t xml:space="preserve"> are usually not more than 30days </w:t>
      </w:r>
      <w:r>
        <w:rPr>
          <w:rFonts w:ascii="Arial" w:hAnsi="Arial" w:cs="Arial"/>
          <w:i/>
        </w:rPr>
        <w:t>tenure</w:t>
      </w:r>
      <w:r w:rsidRPr="00EA7665">
        <w:rPr>
          <w:rFonts w:ascii="Arial" w:hAnsi="Arial" w:cs="Arial"/>
          <w:i/>
        </w:rPr>
        <w:t>. The property is expected to be sold within the 30days and payments made back to the banks. Default in paying back as and when due will militate against getting such loans in the future.</w:t>
      </w:r>
    </w:p>
    <w:p w14:paraId="0BF3418F" w14:textId="77777777" w:rsidR="00CD6352" w:rsidRDefault="00CD6352" w:rsidP="00CD6352">
      <w:pPr>
        <w:spacing w:line="360" w:lineRule="auto"/>
        <w:ind w:left="720"/>
        <w:jc w:val="both"/>
        <w:rPr>
          <w:rFonts w:ascii="Arial" w:hAnsi="Arial" w:cs="Arial"/>
          <w:i/>
        </w:rPr>
      </w:pPr>
      <w:r>
        <w:rPr>
          <w:rFonts w:ascii="Arial" w:hAnsi="Arial" w:cs="Arial"/>
          <w:i/>
        </w:rPr>
        <w:t xml:space="preserve">The </w:t>
      </w:r>
      <w:r w:rsidRPr="00EA7665">
        <w:rPr>
          <w:rFonts w:ascii="Arial" w:hAnsi="Arial" w:cs="Arial"/>
          <w:i/>
        </w:rPr>
        <w:t xml:space="preserve">banks do not give </w:t>
      </w:r>
      <w:r>
        <w:rPr>
          <w:rFonts w:ascii="Arial" w:hAnsi="Arial" w:cs="Arial"/>
          <w:i/>
        </w:rPr>
        <w:t xml:space="preserve">real </w:t>
      </w:r>
      <w:r w:rsidRPr="00EA7665">
        <w:rPr>
          <w:rFonts w:ascii="Arial" w:hAnsi="Arial" w:cs="Arial"/>
          <w:i/>
        </w:rPr>
        <w:t>estate development loans. It is difficult also to access funding from the federal mortgage bank because the competition is very stiff. You could put in an application and may have to wait up to 6 years to access funding. We have</w:t>
      </w:r>
      <w:r>
        <w:rPr>
          <w:rFonts w:ascii="Arial" w:hAnsi="Arial" w:cs="Arial"/>
          <w:i/>
        </w:rPr>
        <w:t xml:space="preserve"> repeatedly attempted</w:t>
      </w:r>
      <w:r w:rsidRPr="00EA7665">
        <w:rPr>
          <w:rFonts w:ascii="Arial" w:hAnsi="Arial" w:cs="Arial"/>
          <w:i/>
        </w:rPr>
        <w:t xml:space="preserve"> to get loans from the government but have never secured any loan in our 15 years of operations “. </w:t>
      </w:r>
      <w:r>
        <w:rPr>
          <w:rFonts w:ascii="Arial" w:hAnsi="Arial" w:cs="Arial"/>
          <w:i/>
        </w:rPr>
        <w:t>Nigeria mgr 1</w:t>
      </w:r>
    </w:p>
    <w:p w14:paraId="0E26D282" w14:textId="32EDE356" w:rsidR="00CD6352" w:rsidRPr="00EA7665" w:rsidRDefault="00CD6352" w:rsidP="00CD6352">
      <w:pPr>
        <w:spacing w:line="360" w:lineRule="auto"/>
        <w:jc w:val="both"/>
        <w:rPr>
          <w:rFonts w:ascii="Arial" w:hAnsi="Arial" w:cs="Arial"/>
        </w:rPr>
      </w:pPr>
      <w:r w:rsidRPr="0066103F">
        <w:rPr>
          <w:rFonts w:ascii="Arial" w:hAnsi="Arial" w:cs="Arial"/>
          <w:iCs/>
        </w:rPr>
        <w:t>Most of the interviewees claim there are no opportunities that facilitate their access to finance for real estate project development in Nigeria.</w:t>
      </w:r>
      <w:r>
        <w:rPr>
          <w:rFonts w:ascii="Arial" w:hAnsi="Arial" w:cs="Arial"/>
          <w:iCs/>
        </w:rPr>
        <w:t xml:space="preserve"> </w:t>
      </w:r>
      <w:r w:rsidRPr="00EA7665">
        <w:rPr>
          <w:rFonts w:ascii="Arial" w:hAnsi="Arial" w:cs="Arial"/>
        </w:rPr>
        <w:t>Managers in Nigeria also complained of high</w:t>
      </w:r>
      <w:r w:rsidR="0061450E">
        <w:rPr>
          <w:rFonts w:ascii="Arial" w:hAnsi="Arial" w:cs="Arial"/>
        </w:rPr>
        <w:t xml:space="preserve"> </w:t>
      </w:r>
      <w:r w:rsidRPr="00EA7665">
        <w:rPr>
          <w:rFonts w:ascii="Arial" w:hAnsi="Arial" w:cs="Arial"/>
        </w:rPr>
        <w:t xml:space="preserve">interest rates, </w:t>
      </w:r>
      <w:r w:rsidR="002275DF">
        <w:rPr>
          <w:rFonts w:ascii="Arial" w:hAnsi="Arial" w:cs="Arial"/>
        </w:rPr>
        <w:t xml:space="preserve">a </w:t>
      </w:r>
      <w:r w:rsidRPr="00EA7665">
        <w:rPr>
          <w:rFonts w:ascii="Arial" w:hAnsi="Arial" w:cs="Arial"/>
        </w:rPr>
        <w:t xml:space="preserve">high collateral requirement by </w:t>
      </w:r>
      <w:r w:rsidR="004D0239" w:rsidRPr="00EA7665">
        <w:rPr>
          <w:rFonts w:ascii="Arial" w:hAnsi="Arial" w:cs="Arial"/>
        </w:rPr>
        <w:t>financiers,</w:t>
      </w:r>
      <w:r w:rsidRPr="00EA7665">
        <w:rPr>
          <w:rFonts w:ascii="Arial" w:hAnsi="Arial" w:cs="Arial"/>
        </w:rPr>
        <w:t xml:space="preserve"> corrupt government officials, </w:t>
      </w:r>
      <w:r>
        <w:rPr>
          <w:rFonts w:ascii="Arial" w:hAnsi="Arial" w:cs="Arial"/>
        </w:rPr>
        <w:t xml:space="preserve">high </w:t>
      </w:r>
      <w:r w:rsidRPr="00EA7665">
        <w:rPr>
          <w:rFonts w:ascii="Arial" w:hAnsi="Arial" w:cs="Arial"/>
        </w:rPr>
        <w:t>equity contributions required by banks, terrorism, high cost of land acquisition</w:t>
      </w:r>
      <w:r w:rsidR="00A22340">
        <w:rPr>
          <w:rFonts w:ascii="Arial" w:hAnsi="Arial" w:cs="Arial"/>
        </w:rPr>
        <w:t>, and commercial banks' refusal</w:t>
      </w:r>
      <w:r w:rsidRPr="00EA7665">
        <w:rPr>
          <w:rFonts w:ascii="Arial" w:hAnsi="Arial" w:cs="Arial"/>
        </w:rPr>
        <w:t xml:space="preserve"> </w:t>
      </w:r>
      <w:r>
        <w:rPr>
          <w:rFonts w:ascii="Arial" w:hAnsi="Arial" w:cs="Arial"/>
        </w:rPr>
        <w:t>to give</w:t>
      </w:r>
      <w:r w:rsidRPr="00EA7665">
        <w:rPr>
          <w:rFonts w:ascii="Arial" w:hAnsi="Arial" w:cs="Arial"/>
        </w:rPr>
        <w:t xml:space="preserve"> loans for construction projects. The challenges enumerated by managers in Nigeria via the interviews collaborat</w:t>
      </w:r>
      <w:r>
        <w:rPr>
          <w:rFonts w:ascii="Arial" w:hAnsi="Arial" w:cs="Arial"/>
        </w:rPr>
        <w:t>e</w:t>
      </w:r>
      <w:r w:rsidRPr="00EA7665">
        <w:rPr>
          <w:rFonts w:ascii="Arial" w:hAnsi="Arial" w:cs="Arial"/>
        </w:rPr>
        <w:t xml:space="preserve"> findings from </w:t>
      </w:r>
      <w:r w:rsidR="00E31C8D">
        <w:rPr>
          <w:rFonts w:ascii="Arial" w:hAnsi="Arial" w:cs="Arial"/>
        </w:rPr>
        <w:t>the survey questionnaire and the literature review</w:t>
      </w:r>
      <w:r w:rsidRPr="00EA7665">
        <w:rPr>
          <w:rFonts w:ascii="Arial" w:hAnsi="Arial" w:cs="Arial"/>
        </w:rPr>
        <w:t>.</w:t>
      </w:r>
    </w:p>
    <w:p w14:paraId="02668A9D" w14:textId="3F6B8016" w:rsidR="00CD6352" w:rsidRPr="00EA7665" w:rsidRDefault="00E31C8D" w:rsidP="00CD6352">
      <w:pPr>
        <w:spacing w:line="360" w:lineRule="auto"/>
        <w:jc w:val="both"/>
        <w:rPr>
          <w:rFonts w:ascii="Arial" w:hAnsi="Arial" w:cs="Arial"/>
        </w:rPr>
      </w:pPr>
      <w:r>
        <w:rPr>
          <w:rFonts w:ascii="Arial" w:hAnsi="Arial" w:cs="Arial"/>
        </w:rPr>
        <w:t>According to the interviews, challenges in real estate financing in South Africa are racially based</w:t>
      </w:r>
      <w:r w:rsidR="00A22340">
        <w:rPr>
          <w:rFonts w:ascii="Arial" w:hAnsi="Arial" w:cs="Arial"/>
        </w:rPr>
        <w:t>, which</w:t>
      </w:r>
      <w:r w:rsidR="00CD6352" w:rsidRPr="00EA7665">
        <w:rPr>
          <w:rFonts w:ascii="Arial" w:hAnsi="Arial" w:cs="Arial"/>
        </w:rPr>
        <w:t xml:space="preserve"> is also in line with existing literature (Powell et al., 2016). Housing ownership was one of the ways the apartheid </w:t>
      </w:r>
      <w:r w:rsidR="004806C5" w:rsidRPr="00EA7665">
        <w:rPr>
          <w:rFonts w:ascii="Arial" w:hAnsi="Arial" w:cs="Arial"/>
        </w:rPr>
        <w:t>government-controlled</w:t>
      </w:r>
      <w:r w:rsidR="00CD6352" w:rsidRPr="00EA7665">
        <w:rPr>
          <w:rFonts w:ascii="Arial" w:hAnsi="Arial" w:cs="Arial"/>
        </w:rPr>
        <w:t xml:space="preserve"> ownership of properties by Black Africans with its influence on their ability to provide collateral (Simon, 2014). The impact of the historical imbalance is still evident despite interventions by </w:t>
      </w:r>
      <w:r w:rsidR="00CD6352">
        <w:rPr>
          <w:rFonts w:ascii="Arial" w:hAnsi="Arial" w:cs="Arial"/>
        </w:rPr>
        <w:t>g</w:t>
      </w:r>
      <w:r w:rsidR="00CD6352" w:rsidRPr="00EA7665">
        <w:rPr>
          <w:rFonts w:ascii="Arial" w:hAnsi="Arial" w:cs="Arial"/>
        </w:rPr>
        <w:t xml:space="preserve">overnments. Other factors </w:t>
      </w:r>
      <w:r w:rsidR="00A22340">
        <w:rPr>
          <w:rFonts w:ascii="Arial" w:hAnsi="Arial" w:cs="Arial"/>
        </w:rPr>
        <w:t>that managers interviewed in South Africa consider as challenges associated with securing finance for real estate project development include equity requirements by banks, the collateral requirement by financiers, track records,</w:t>
      </w:r>
      <w:r w:rsidR="00CD6352" w:rsidRPr="00EA7665">
        <w:rPr>
          <w:rFonts w:ascii="Arial" w:hAnsi="Arial" w:cs="Arial"/>
        </w:rPr>
        <w:t xml:space="preserve"> and poor skills in structuring transactions and proposals. </w:t>
      </w:r>
    </w:p>
    <w:p w14:paraId="32E06428" w14:textId="3AAA86D7" w:rsidR="00CD6352" w:rsidRPr="00EA7665" w:rsidRDefault="00CD6352" w:rsidP="00CD6352">
      <w:pPr>
        <w:pStyle w:val="Heading3"/>
        <w:spacing w:after="240"/>
        <w:rPr>
          <w:sz w:val="22"/>
          <w:szCs w:val="22"/>
        </w:rPr>
      </w:pPr>
      <w:bookmarkStart w:id="1218" w:name="_Toc78983870"/>
      <w:r>
        <w:rPr>
          <w:sz w:val="22"/>
          <w:szCs w:val="22"/>
        </w:rPr>
        <w:t>A c</w:t>
      </w:r>
      <w:r w:rsidRPr="00EA7665">
        <w:rPr>
          <w:sz w:val="22"/>
          <w:szCs w:val="22"/>
        </w:rPr>
        <w:t>omparison of the</w:t>
      </w:r>
      <w:r w:rsidR="002871BB">
        <w:rPr>
          <w:sz w:val="22"/>
          <w:szCs w:val="22"/>
        </w:rPr>
        <w:t xml:space="preserve"> challenges associated with securing finance for real estate project development in the </w:t>
      </w:r>
      <w:r w:rsidRPr="00EA7665">
        <w:rPr>
          <w:sz w:val="22"/>
          <w:szCs w:val="22"/>
        </w:rPr>
        <w:t>developed and emerging economies</w:t>
      </w:r>
      <w:bookmarkEnd w:id="1218"/>
      <w:r w:rsidRPr="00EA7665">
        <w:rPr>
          <w:sz w:val="22"/>
          <w:szCs w:val="22"/>
        </w:rPr>
        <w:t xml:space="preserve"> </w:t>
      </w:r>
    </w:p>
    <w:p w14:paraId="656F1212" w14:textId="18283794" w:rsidR="00CD6352" w:rsidRPr="00EA7665" w:rsidRDefault="00CD6352" w:rsidP="00CD6352">
      <w:pPr>
        <w:spacing w:line="360" w:lineRule="auto"/>
        <w:jc w:val="both"/>
        <w:rPr>
          <w:rFonts w:ascii="Arial" w:hAnsi="Arial" w:cs="Arial"/>
        </w:rPr>
      </w:pPr>
      <w:r w:rsidRPr="0090503F">
        <w:rPr>
          <w:rFonts w:ascii="Arial" w:hAnsi="Arial" w:cs="Arial"/>
        </w:rPr>
        <w:t xml:space="preserve">The following is </w:t>
      </w:r>
      <w:r w:rsidR="00A22340">
        <w:rPr>
          <w:rFonts w:ascii="Arial" w:hAnsi="Arial" w:cs="Arial"/>
        </w:rPr>
        <w:t>ranking</w:t>
      </w:r>
      <w:r w:rsidRPr="0090503F">
        <w:rPr>
          <w:rFonts w:ascii="Arial" w:hAnsi="Arial" w:cs="Arial"/>
        </w:rPr>
        <w:t xml:space="preserve"> </w:t>
      </w:r>
      <w:r w:rsidR="004D0239" w:rsidRPr="0090503F">
        <w:rPr>
          <w:rFonts w:ascii="Arial" w:hAnsi="Arial" w:cs="Arial"/>
        </w:rPr>
        <w:t xml:space="preserve">the </w:t>
      </w:r>
      <w:r w:rsidR="004D0239">
        <w:rPr>
          <w:rFonts w:ascii="Arial" w:hAnsi="Arial" w:cs="Arial"/>
        </w:rPr>
        <w:t>top</w:t>
      </w:r>
      <w:r>
        <w:rPr>
          <w:rFonts w:ascii="Arial" w:hAnsi="Arial" w:cs="Arial"/>
        </w:rPr>
        <w:t xml:space="preserve"> five </w:t>
      </w:r>
      <w:r w:rsidRPr="0090503F">
        <w:rPr>
          <w:rFonts w:ascii="Arial" w:hAnsi="Arial" w:cs="Arial"/>
        </w:rPr>
        <w:t>challenges associated with securing finance for real estate project development in both the developed and emerging economies at the aggregate level based on the survey questionnaire responses.</w:t>
      </w:r>
    </w:p>
    <w:p w14:paraId="71152E94" w14:textId="77777777" w:rsidR="00CD6352" w:rsidRPr="00EA7665" w:rsidRDefault="00CD6352" w:rsidP="00C74AEC">
      <w:pPr>
        <w:pStyle w:val="ListParagraph"/>
        <w:numPr>
          <w:ilvl w:val="0"/>
          <w:numId w:val="122"/>
        </w:numPr>
        <w:spacing w:line="240" w:lineRule="auto"/>
        <w:jc w:val="both"/>
        <w:rPr>
          <w:rFonts w:ascii="Arial" w:hAnsi="Arial" w:cs="Arial"/>
        </w:rPr>
      </w:pPr>
      <w:r w:rsidRPr="00EA7665">
        <w:rPr>
          <w:rFonts w:ascii="Arial" w:hAnsi="Arial" w:cs="Arial"/>
        </w:rPr>
        <w:t>Government’s ineffective policies</w:t>
      </w:r>
    </w:p>
    <w:p w14:paraId="54A8CF23" w14:textId="77777777" w:rsidR="00CD6352" w:rsidRPr="00EA7665" w:rsidRDefault="00CD6352" w:rsidP="00C74AEC">
      <w:pPr>
        <w:pStyle w:val="ListParagraph"/>
        <w:numPr>
          <w:ilvl w:val="0"/>
          <w:numId w:val="122"/>
        </w:numPr>
        <w:spacing w:line="240" w:lineRule="auto"/>
        <w:jc w:val="both"/>
        <w:rPr>
          <w:rFonts w:ascii="Arial" w:hAnsi="Arial" w:cs="Arial"/>
        </w:rPr>
      </w:pPr>
      <w:r w:rsidRPr="00EA7665">
        <w:rPr>
          <w:rFonts w:ascii="Arial" w:hAnsi="Arial" w:cs="Arial"/>
        </w:rPr>
        <w:t>Excessive collateral requirement</w:t>
      </w:r>
    </w:p>
    <w:p w14:paraId="6B1F56CA" w14:textId="77777777" w:rsidR="00CD6352" w:rsidRPr="00EA7665" w:rsidRDefault="00CD6352" w:rsidP="00C74AEC">
      <w:pPr>
        <w:pStyle w:val="ListParagraph"/>
        <w:numPr>
          <w:ilvl w:val="0"/>
          <w:numId w:val="122"/>
        </w:numPr>
        <w:spacing w:line="240" w:lineRule="auto"/>
        <w:jc w:val="both"/>
        <w:rPr>
          <w:rFonts w:ascii="Arial" w:hAnsi="Arial" w:cs="Arial"/>
        </w:rPr>
      </w:pPr>
      <w:r w:rsidRPr="00EA7665">
        <w:rPr>
          <w:rFonts w:ascii="Arial" w:hAnsi="Arial" w:cs="Arial"/>
        </w:rPr>
        <w:t>Difficult lending criteria by financiers</w:t>
      </w:r>
    </w:p>
    <w:p w14:paraId="2C5184DC" w14:textId="77777777" w:rsidR="00CD6352" w:rsidRPr="00EA7665" w:rsidRDefault="00CD6352" w:rsidP="00C74AEC">
      <w:pPr>
        <w:pStyle w:val="ListParagraph"/>
        <w:numPr>
          <w:ilvl w:val="0"/>
          <w:numId w:val="122"/>
        </w:numPr>
        <w:spacing w:line="240" w:lineRule="auto"/>
        <w:jc w:val="both"/>
        <w:rPr>
          <w:rFonts w:ascii="Arial" w:hAnsi="Arial" w:cs="Arial"/>
        </w:rPr>
      </w:pPr>
      <w:r w:rsidRPr="00EA7665">
        <w:rPr>
          <w:rFonts w:ascii="Arial" w:hAnsi="Arial" w:cs="Arial"/>
        </w:rPr>
        <w:t>Lack of long term financing</w:t>
      </w:r>
    </w:p>
    <w:p w14:paraId="4E62C0F7" w14:textId="77777777" w:rsidR="00CD6352" w:rsidRPr="00EA7665" w:rsidRDefault="00CD6352" w:rsidP="00C74AEC">
      <w:pPr>
        <w:pStyle w:val="ListParagraph"/>
        <w:numPr>
          <w:ilvl w:val="0"/>
          <w:numId w:val="122"/>
        </w:numPr>
        <w:spacing w:line="240" w:lineRule="auto"/>
        <w:jc w:val="both"/>
        <w:rPr>
          <w:rFonts w:ascii="Arial" w:hAnsi="Arial" w:cs="Arial"/>
        </w:rPr>
      </w:pPr>
      <w:r w:rsidRPr="00EA7665">
        <w:rPr>
          <w:rFonts w:ascii="Arial" w:hAnsi="Arial" w:cs="Arial"/>
        </w:rPr>
        <w:lastRenderedPageBreak/>
        <w:t>High-interest rate</w:t>
      </w:r>
    </w:p>
    <w:p w14:paraId="3D91A3CA" w14:textId="77777777" w:rsidR="00CD6352" w:rsidRPr="00EA7665" w:rsidRDefault="00CD6352" w:rsidP="00CD6352">
      <w:pPr>
        <w:spacing w:line="360" w:lineRule="auto"/>
        <w:jc w:val="both"/>
        <w:rPr>
          <w:rFonts w:ascii="Arial" w:hAnsi="Arial" w:cs="Arial"/>
        </w:rPr>
      </w:pPr>
      <w:bookmarkStart w:id="1219" w:name="_Hlk45892772"/>
      <w:r w:rsidRPr="00EA7665">
        <w:rPr>
          <w:rFonts w:ascii="Arial" w:hAnsi="Arial" w:cs="Arial"/>
        </w:rPr>
        <w:t>The dominant challenges for securing finance for real estate project development common to both the developed and emerging economies from the interview are:</w:t>
      </w:r>
    </w:p>
    <w:p w14:paraId="174550FB" w14:textId="77777777" w:rsidR="00CD6352" w:rsidRPr="00EA7665" w:rsidRDefault="00CD6352" w:rsidP="007625E7">
      <w:pPr>
        <w:numPr>
          <w:ilvl w:val="0"/>
          <w:numId w:val="309"/>
        </w:numPr>
        <w:spacing w:line="360" w:lineRule="auto"/>
        <w:jc w:val="both"/>
        <w:rPr>
          <w:rFonts w:ascii="Arial" w:hAnsi="Arial" w:cs="Arial"/>
        </w:rPr>
      </w:pPr>
      <w:r w:rsidRPr="00EA7665">
        <w:rPr>
          <w:rFonts w:ascii="Arial" w:hAnsi="Arial" w:cs="Arial"/>
        </w:rPr>
        <w:t>Access to land</w:t>
      </w:r>
    </w:p>
    <w:p w14:paraId="5940636E" w14:textId="77777777" w:rsidR="00CD6352" w:rsidRPr="00EA7665" w:rsidRDefault="00CD6352" w:rsidP="007625E7">
      <w:pPr>
        <w:numPr>
          <w:ilvl w:val="0"/>
          <w:numId w:val="309"/>
        </w:numPr>
        <w:spacing w:line="360" w:lineRule="auto"/>
        <w:jc w:val="both"/>
        <w:rPr>
          <w:rFonts w:ascii="Arial" w:hAnsi="Arial" w:cs="Arial"/>
        </w:rPr>
      </w:pPr>
      <w:r w:rsidRPr="00EA7665">
        <w:rPr>
          <w:rFonts w:ascii="Arial" w:hAnsi="Arial" w:cs="Arial"/>
        </w:rPr>
        <w:t>Collateral</w:t>
      </w:r>
    </w:p>
    <w:p w14:paraId="16336049" w14:textId="77777777" w:rsidR="00CD6352" w:rsidRPr="00EA7665" w:rsidRDefault="00CD6352" w:rsidP="007625E7">
      <w:pPr>
        <w:numPr>
          <w:ilvl w:val="0"/>
          <w:numId w:val="309"/>
        </w:numPr>
        <w:spacing w:line="360" w:lineRule="auto"/>
        <w:jc w:val="both"/>
        <w:rPr>
          <w:rFonts w:ascii="Arial" w:hAnsi="Arial" w:cs="Arial"/>
        </w:rPr>
      </w:pPr>
      <w:r w:rsidRPr="00EA7665">
        <w:rPr>
          <w:rFonts w:ascii="Arial" w:hAnsi="Arial" w:cs="Arial"/>
        </w:rPr>
        <w:t xml:space="preserve">Rising interest rates </w:t>
      </w:r>
    </w:p>
    <w:bookmarkEnd w:id="1219"/>
    <w:p w14:paraId="4C018485" w14:textId="77777777" w:rsidR="00CD6352" w:rsidRPr="00EA7665" w:rsidRDefault="00CD6352" w:rsidP="00CD6352">
      <w:pPr>
        <w:spacing w:line="360" w:lineRule="auto"/>
        <w:jc w:val="both"/>
        <w:rPr>
          <w:rFonts w:ascii="Arial" w:hAnsi="Arial" w:cs="Arial"/>
        </w:rPr>
      </w:pPr>
      <w:r w:rsidRPr="00EA7665">
        <w:rPr>
          <w:rFonts w:ascii="Arial" w:hAnsi="Arial" w:cs="Arial"/>
        </w:rPr>
        <w:t>However, the five most cited challenges associated with securing finance for both the developed and emerging economies from the interviews respectively are as follows-</w:t>
      </w:r>
    </w:p>
    <w:p w14:paraId="7145BE67" w14:textId="77777777" w:rsidR="00CD6352" w:rsidRPr="00EA7665" w:rsidRDefault="00CD6352" w:rsidP="00CD6352">
      <w:pPr>
        <w:spacing w:line="360" w:lineRule="auto"/>
        <w:jc w:val="both"/>
        <w:rPr>
          <w:rFonts w:ascii="Arial" w:hAnsi="Arial" w:cs="Arial"/>
          <w:b/>
        </w:rPr>
      </w:pPr>
      <w:r w:rsidRPr="00EA7665">
        <w:rPr>
          <w:rFonts w:ascii="Arial" w:hAnsi="Arial" w:cs="Arial"/>
          <w:b/>
        </w:rPr>
        <w:t>Developed economies:</w:t>
      </w:r>
    </w:p>
    <w:p w14:paraId="1BA65853" w14:textId="77777777" w:rsidR="00CD6352" w:rsidRPr="00EA7665" w:rsidRDefault="00CD6352" w:rsidP="007625E7">
      <w:pPr>
        <w:numPr>
          <w:ilvl w:val="0"/>
          <w:numId w:val="310"/>
        </w:numPr>
        <w:spacing w:line="360" w:lineRule="auto"/>
        <w:jc w:val="both"/>
        <w:rPr>
          <w:rFonts w:ascii="Arial" w:hAnsi="Arial" w:cs="Arial"/>
        </w:rPr>
      </w:pPr>
      <w:r w:rsidRPr="00EA7665">
        <w:rPr>
          <w:rFonts w:ascii="Arial" w:hAnsi="Arial" w:cs="Arial"/>
        </w:rPr>
        <w:t>Access to land</w:t>
      </w:r>
    </w:p>
    <w:p w14:paraId="57973900" w14:textId="03CE7D6F" w:rsidR="00CD6352" w:rsidRPr="00EA7665" w:rsidRDefault="00CD6352" w:rsidP="007625E7">
      <w:pPr>
        <w:numPr>
          <w:ilvl w:val="0"/>
          <w:numId w:val="310"/>
        </w:numPr>
        <w:spacing w:line="360" w:lineRule="auto"/>
        <w:jc w:val="both"/>
        <w:rPr>
          <w:rFonts w:ascii="Arial" w:hAnsi="Arial" w:cs="Arial"/>
        </w:rPr>
      </w:pPr>
      <w:r w:rsidRPr="00EA7665">
        <w:rPr>
          <w:rFonts w:ascii="Arial" w:hAnsi="Arial" w:cs="Arial"/>
        </w:rPr>
        <w:t xml:space="preserve">Lenders do not </w:t>
      </w:r>
      <w:r w:rsidR="00AC353E" w:rsidRPr="00EA7665">
        <w:rPr>
          <w:rFonts w:ascii="Arial" w:hAnsi="Arial" w:cs="Arial"/>
        </w:rPr>
        <w:t>have staff</w:t>
      </w:r>
      <w:r w:rsidRPr="00EA7665">
        <w:rPr>
          <w:rFonts w:ascii="Arial" w:hAnsi="Arial" w:cs="Arial"/>
        </w:rPr>
        <w:t xml:space="preserve"> and the expertise in-house to be able to monitor </w:t>
      </w:r>
      <w:r w:rsidR="006846B5" w:rsidRPr="00EA7665">
        <w:rPr>
          <w:rFonts w:ascii="Arial" w:hAnsi="Arial" w:cs="Arial"/>
        </w:rPr>
        <w:t>construction.</w:t>
      </w:r>
      <w:r w:rsidRPr="00EA7665">
        <w:rPr>
          <w:rFonts w:ascii="Arial" w:hAnsi="Arial" w:cs="Arial"/>
        </w:rPr>
        <w:t xml:space="preserve"> </w:t>
      </w:r>
    </w:p>
    <w:p w14:paraId="5F728E76" w14:textId="67038E10" w:rsidR="00CD6352" w:rsidRPr="00EA7665" w:rsidRDefault="00AC353E" w:rsidP="007625E7">
      <w:pPr>
        <w:numPr>
          <w:ilvl w:val="0"/>
          <w:numId w:val="310"/>
        </w:numPr>
        <w:spacing w:line="360" w:lineRule="auto"/>
        <w:jc w:val="both"/>
        <w:rPr>
          <w:rFonts w:ascii="Arial" w:hAnsi="Arial" w:cs="Arial"/>
        </w:rPr>
      </w:pPr>
      <w:r w:rsidRPr="00EA7665">
        <w:rPr>
          <w:rFonts w:ascii="Arial" w:hAnsi="Arial" w:cs="Arial"/>
        </w:rPr>
        <w:t>Banks too</w:t>
      </w:r>
      <w:r w:rsidR="00CD6352" w:rsidRPr="00EA7665">
        <w:rPr>
          <w:rFonts w:ascii="Arial" w:hAnsi="Arial" w:cs="Arial"/>
        </w:rPr>
        <w:t xml:space="preserve"> suspicious of foreign inflows for real estate project finance</w:t>
      </w:r>
    </w:p>
    <w:p w14:paraId="48D0406C" w14:textId="77777777" w:rsidR="00CD6352" w:rsidRPr="00EA7665" w:rsidRDefault="00CD6352" w:rsidP="007625E7">
      <w:pPr>
        <w:numPr>
          <w:ilvl w:val="0"/>
          <w:numId w:val="310"/>
        </w:numPr>
        <w:spacing w:line="360" w:lineRule="auto"/>
        <w:jc w:val="both"/>
        <w:rPr>
          <w:rFonts w:ascii="Arial" w:hAnsi="Arial" w:cs="Arial"/>
        </w:rPr>
      </w:pPr>
      <w:r w:rsidRPr="00EA7665">
        <w:rPr>
          <w:rFonts w:ascii="Arial" w:hAnsi="Arial" w:cs="Arial"/>
        </w:rPr>
        <w:t>Criteria of big institutional investors</w:t>
      </w:r>
    </w:p>
    <w:p w14:paraId="78445D3A" w14:textId="059F1706" w:rsidR="00CD6352" w:rsidRDefault="00CD6352" w:rsidP="007625E7">
      <w:pPr>
        <w:numPr>
          <w:ilvl w:val="0"/>
          <w:numId w:val="310"/>
        </w:numPr>
        <w:spacing w:line="360" w:lineRule="auto"/>
        <w:jc w:val="both"/>
        <w:rPr>
          <w:rFonts w:ascii="Arial" w:hAnsi="Arial" w:cs="Arial"/>
        </w:rPr>
      </w:pPr>
      <w:r w:rsidRPr="00EA7665">
        <w:rPr>
          <w:rFonts w:ascii="Arial" w:hAnsi="Arial" w:cs="Arial"/>
        </w:rPr>
        <w:t>Collateral</w:t>
      </w:r>
    </w:p>
    <w:p w14:paraId="4342E2D3" w14:textId="7804817B" w:rsidR="00B56889" w:rsidRDefault="00B56889" w:rsidP="00B56889">
      <w:pPr>
        <w:spacing w:line="360" w:lineRule="auto"/>
        <w:ind w:left="360"/>
        <w:jc w:val="both"/>
        <w:rPr>
          <w:rFonts w:ascii="Arial" w:hAnsi="Arial" w:cs="Arial"/>
        </w:rPr>
      </w:pPr>
    </w:p>
    <w:p w14:paraId="71B96CC8" w14:textId="77777777" w:rsidR="00CD6352" w:rsidRPr="00EA7665" w:rsidRDefault="00CD6352" w:rsidP="00CD6352">
      <w:pPr>
        <w:spacing w:line="360" w:lineRule="auto"/>
        <w:jc w:val="both"/>
        <w:rPr>
          <w:rFonts w:ascii="Arial" w:hAnsi="Arial" w:cs="Arial"/>
          <w:b/>
        </w:rPr>
      </w:pPr>
      <w:r w:rsidRPr="00EA7665">
        <w:rPr>
          <w:rFonts w:ascii="Arial" w:hAnsi="Arial" w:cs="Arial"/>
          <w:b/>
        </w:rPr>
        <w:t>Emerging economies:</w:t>
      </w:r>
    </w:p>
    <w:p w14:paraId="718F3874" w14:textId="77777777" w:rsidR="00CD6352" w:rsidRPr="00EA7665" w:rsidRDefault="00CD6352" w:rsidP="007625E7">
      <w:pPr>
        <w:numPr>
          <w:ilvl w:val="0"/>
          <w:numId w:val="311"/>
        </w:numPr>
        <w:spacing w:line="360" w:lineRule="auto"/>
        <w:jc w:val="both"/>
        <w:rPr>
          <w:rFonts w:ascii="Arial" w:hAnsi="Arial" w:cs="Arial"/>
        </w:rPr>
      </w:pPr>
      <w:r w:rsidRPr="00EA7665">
        <w:rPr>
          <w:rFonts w:ascii="Arial" w:hAnsi="Arial" w:cs="Arial"/>
        </w:rPr>
        <w:t>Access to land &amp; multiple ownership of land</w:t>
      </w:r>
    </w:p>
    <w:p w14:paraId="1E75A777" w14:textId="77777777" w:rsidR="00CD6352" w:rsidRPr="00EA7665" w:rsidRDefault="00CD6352" w:rsidP="007625E7">
      <w:pPr>
        <w:numPr>
          <w:ilvl w:val="0"/>
          <w:numId w:val="311"/>
        </w:numPr>
        <w:spacing w:line="360" w:lineRule="auto"/>
        <w:jc w:val="both"/>
        <w:rPr>
          <w:rFonts w:ascii="Arial" w:hAnsi="Arial" w:cs="Arial"/>
        </w:rPr>
      </w:pPr>
      <w:r w:rsidRPr="00EA7665">
        <w:rPr>
          <w:rFonts w:ascii="Arial" w:hAnsi="Arial" w:cs="Arial"/>
        </w:rPr>
        <w:t>Corrupt government officials</w:t>
      </w:r>
    </w:p>
    <w:p w14:paraId="22A6344F" w14:textId="77777777" w:rsidR="00CD6352" w:rsidRPr="00EA7665" w:rsidRDefault="00CD6352" w:rsidP="007625E7">
      <w:pPr>
        <w:numPr>
          <w:ilvl w:val="0"/>
          <w:numId w:val="311"/>
        </w:numPr>
        <w:spacing w:line="360" w:lineRule="auto"/>
        <w:jc w:val="both"/>
        <w:rPr>
          <w:rFonts w:ascii="Arial" w:hAnsi="Arial" w:cs="Arial"/>
        </w:rPr>
      </w:pPr>
      <w:r w:rsidRPr="00EA7665">
        <w:rPr>
          <w:rFonts w:ascii="Arial" w:hAnsi="Arial" w:cs="Arial"/>
        </w:rPr>
        <w:t>Difficult lending criteria &amp; high-interest rate</w:t>
      </w:r>
    </w:p>
    <w:p w14:paraId="5D317764" w14:textId="77777777" w:rsidR="00CD6352" w:rsidRPr="00EA7665" w:rsidRDefault="00CD6352" w:rsidP="007625E7">
      <w:pPr>
        <w:numPr>
          <w:ilvl w:val="0"/>
          <w:numId w:val="311"/>
        </w:numPr>
        <w:spacing w:line="360" w:lineRule="auto"/>
        <w:jc w:val="both"/>
        <w:rPr>
          <w:rFonts w:ascii="Arial" w:hAnsi="Arial" w:cs="Arial"/>
        </w:rPr>
      </w:pPr>
      <w:r w:rsidRPr="00EA7665">
        <w:rPr>
          <w:rFonts w:ascii="Arial" w:hAnsi="Arial" w:cs="Arial"/>
        </w:rPr>
        <w:t>Government interventions</w:t>
      </w:r>
    </w:p>
    <w:p w14:paraId="4DBE161D" w14:textId="77777777" w:rsidR="00CD6352" w:rsidRPr="00EA7665" w:rsidRDefault="00CD6352" w:rsidP="007625E7">
      <w:pPr>
        <w:numPr>
          <w:ilvl w:val="0"/>
          <w:numId w:val="311"/>
        </w:numPr>
        <w:spacing w:line="360" w:lineRule="auto"/>
        <w:jc w:val="both"/>
        <w:rPr>
          <w:rFonts w:ascii="Arial" w:hAnsi="Arial" w:cs="Arial"/>
        </w:rPr>
      </w:pPr>
      <w:r w:rsidRPr="00EA7665">
        <w:rPr>
          <w:rFonts w:ascii="Arial" w:hAnsi="Arial" w:cs="Arial"/>
        </w:rPr>
        <w:t>Long negotiation period</w:t>
      </w:r>
    </w:p>
    <w:p w14:paraId="106327C3" w14:textId="417CEAC5" w:rsidR="00CD6352" w:rsidRPr="00EA7665" w:rsidRDefault="00CD6352" w:rsidP="00CD6352">
      <w:pPr>
        <w:pStyle w:val="Heading3"/>
        <w:spacing w:after="240"/>
        <w:rPr>
          <w:sz w:val="22"/>
          <w:szCs w:val="22"/>
        </w:rPr>
      </w:pPr>
      <w:bookmarkStart w:id="1220" w:name="_Toc78983871"/>
      <w:r w:rsidRPr="00EA7665">
        <w:rPr>
          <w:sz w:val="22"/>
          <w:szCs w:val="22"/>
        </w:rPr>
        <w:t xml:space="preserve">The implication of the findings </w:t>
      </w:r>
      <w:r w:rsidR="00742BAE">
        <w:rPr>
          <w:sz w:val="22"/>
          <w:szCs w:val="22"/>
        </w:rPr>
        <w:t>on the challenges associated with securing finance for real estate project development in the developed and emerging economies</w:t>
      </w:r>
      <w:bookmarkEnd w:id="1220"/>
    </w:p>
    <w:p w14:paraId="46F9136B" w14:textId="57322914" w:rsidR="00CD6352" w:rsidRDefault="00CD6352" w:rsidP="00CD6352">
      <w:pPr>
        <w:spacing w:line="360" w:lineRule="auto"/>
        <w:jc w:val="both"/>
        <w:rPr>
          <w:rFonts w:ascii="Arial" w:hAnsi="Arial" w:cs="Arial"/>
        </w:rPr>
      </w:pPr>
      <w:bookmarkStart w:id="1221" w:name="_Hlk45892882"/>
      <w:r w:rsidRPr="00CB00D3">
        <w:rPr>
          <w:rFonts w:ascii="Arial" w:hAnsi="Arial" w:cs="Arial"/>
        </w:rPr>
        <w:t xml:space="preserve">The results show various challenges associated with securing </w:t>
      </w:r>
      <w:r w:rsidR="00E31C8D">
        <w:rPr>
          <w:rFonts w:ascii="Arial" w:hAnsi="Arial" w:cs="Arial"/>
        </w:rPr>
        <w:t>real estate project development finance</w:t>
      </w:r>
      <w:r w:rsidRPr="00CB00D3">
        <w:rPr>
          <w:rFonts w:ascii="Arial" w:hAnsi="Arial" w:cs="Arial"/>
        </w:rPr>
        <w:t xml:space="preserve"> in both developed and emerging economies.</w:t>
      </w:r>
      <w:bookmarkEnd w:id="1221"/>
      <w:r w:rsidRPr="00CB00D3">
        <w:rPr>
          <w:rFonts w:ascii="Arial" w:hAnsi="Arial" w:cs="Arial"/>
        </w:rPr>
        <w:t xml:space="preserve"> The managers involved </w:t>
      </w:r>
      <w:r w:rsidR="002275DF">
        <w:rPr>
          <w:rFonts w:ascii="Arial" w:hAnsi="Arial" w:cs="Arial"/>
        </w:rPr>
        <w:t>in</w:t>
      </w:r>
      <w:r w:rsidRPr="00CB00D3">
        <w:rPr>
          <w:rFonts w:ascii="Arial" w:hAnsi="Arial" w:cs="Arial"/>
        </w:rPr>
        <w:t xml:space="preserve"> securing finance for real estate development need to have</w:t>
      </w:r>
      <w:r w:rsidRPr="00EA7665">
        <w:rPr>
          <w:rFonts w:ascii="Arial" w:hAnsi="Arial" w:cs="Arial"/>
        </w:rPr>
        <w:t xml:space="preserve"> an understanding of possible challenges they may encounter in securing finance for project development. This </w:t>
      </w:r>
      <w:r w:rsidR="00E31C8D">
        <w:rPr>
          <w:rFonts w:ascii="Arial" w:hAnsi="Arial" w:cs="Arial"/>
        </w:rPr>
        <w:t>study</w:t>
      </w:r>
      <w:r w:rsidRPr="00EA7665">
        <w:rPr>
          <w:rFonts w:ascii="Arial" w:hAnsi="Arial" w:cs="Arial"/>
        </w:rPr>
        <w:t xml:space="preserve"> developed</w:t>
      </w:r>
      <w:r>
        <w:rPr>
          <w:rFonts w:ascii="Arial" w:hAnsi="Arial" w:cs="Arial"/>
        </w:rPr>
        <w:t xml:space="preserve"> a </w:t>
      </w:r>
      <w:r w:rsidR="00B170FF">
        <w:rPr>
          <w:rFonts w:ascii="Arial" w:hAnsi="Arial" w:cs="Arial"/>
        </w:rPr>
        <w:t xml:space="preserve">conceptual </w:t>
      </w:r>
      <w:r>
        <w:rPr>
          <w:rFonts w:ascii="Arial" w:hAnsi="Arial" w:cs="Arial"/>
        </w:rPr>
        <w:t xml:space="preserve">framework </w:t>
      </w:r>
      <w:r w:rsidR="00B170FF">
        <w:rPr>
          <w:rFonts w:ascii="Arial" w:hAnsi="Arial" w:cs="Arial"/>
        </w:rPr>
        <w:t>for environmental</w:t>
      </w:r>
      <w:r>
        <w:rPr>
          <w:rFonts w:ascii="Arial" w:hAnsi="Arial" w:cs="Arial"/>
        </w:rPr>
        <w:t xml:space="preserve"> scan for securing finance for real estate project development. Th</w:t>
      </w:r>
      <w:r w:rsidR="00A22340">
        <w:rPr>
          <w:rFonts w:ascii="Arial" w:hAnsi="Arial" w:cs="Arial"/>
        </w:rPr>
        <w:t>e</w:t>
      </w:r>
      <w:r>
        <w:rPr>
          <w:rFonts w:ascii="Arial" w:hAnsi="Arial" w:cs="Arial"/>
        </w:rPr>
        <w:t xml:space="preserve"> framework contains a guide on possible challenges the real estate manager </w:t>
      </w:r>
      <w:r>
        <w:rPr>
          <w:rFonts w:ascii="Arial" w:hAnsi="Arial" w:cs="Arial"/>
        </w:rPr>
        <w:lastRenderedPageBreak/>
        <w:t>c</w:t>
      </w:r>
      <w:r w:rsidR="00E31C8D">
        <w:rPr>
          <w:rFonts w:ascii="Arial" w:hAnsi="Arial" w:cs="Arial"/>
        </w:rPr>
        <w:t>ould</w:t>
      </w:r>
      <w:r>
        <w:rPr>
          <w:rFonts w:ascii="Arial" w:hAnsi="Arial" w:cs="Arial"/>
        </w:rPr>
        <w:t xml:space="preserve"> encounter in securing </w:t>
      </w:r>
      <w:r w:rsidR="00E31C8D">
        <w:rPr>
          <w:rFonts w:ascii="Arial" w:hAnsi="Arial" w:cs="Arial"/>
        </w:rPr>
        <w:t>real estate project development finance</w:t>
      </w:r>
      <w:r>
        <w:rPr>
          <w:rFonts w:ascii="Arial" w:hAnsi="Arial" w:cs="Arial"/>
        </w:rPr>
        <w:t xml:space="preserve">. This framework forms part of the toolkit for securing finance for real estate project development in chapter </w:t>
      </w:r>
      <w:r w:rsidR="00CB00D3">
        <w:rPr>
          <w:rFonts w:ascii="Arial" w:hAnsi="Arial" w:cs="Arial"/>
        </w:rPr>
        <w:t>10</w:t>
      </w:r>
      <w:r>
        <w:rPr>
          <w:rFonts w:ascii="Arial" w:hAnsi="Arial" w:cs="Arial"/>
        </w:rPr>
        <w:t>.</w:t>
      </w:r>
    </w:p>
    <w:p w14:paraId="41EBAF2C" w14:textId="5F766611" w:rsidR="00CB00D3" w:rsidRDefault="006846B5" w:rsidP="00CD6352">
      <w:pPr>
        <w:spacing w:line="360" w:lineRule="auto"/>
        <w:jc w:val="both"/>
        <w:rPr>
          <w:rFonts w:ascii="Arial" w:hAnsi="Arial" w:cs="Arial"/>
        </w:rPr>
      </w:pPr>
      <w:r>
        <w:rPr>
          <w:rFonts w:ascii="Arial" w:hAnsi="Arial" w:cs="Arial"/>
        </w:rPr>
        <w:t xml:space="preserve">Furthermore, the findings </w:t>
      </w:r>
      <w:r w:rsidR="00CD2E49">
        <w:rPr>
          <w:rFonts w:ascii="Arial" w:hAnsi="Arial" w:cs="Arial"/>
        </w:rPr>
        <w:t>show</w:t>
      </w:r>
      <w:r>
        <w:rPr>
          <w:rFonts w:ascii="Arial" w:hAnsi="Arial" w:cs="Arial"/>
        </w:rPr>
        <w:t xml:space="preserve"> that as managers tend towards lower management, they will have significantly more challenges in a number of areas, such as difficult land use and ownership laws, fiscal and regulatory incentives and lack of long-term financing (see table 6:10). The implication</w:t>
      </w:r>
      <w:r w:rsidR="002D346F">
        <w:rPr>
          <w:rFonts w:ascii="Arial" w:hAnsi="Arial" w:cs="Arial"/>
        </w:rPr>
        <w:t xml:space="preserve"> of this aspect of the findings to both managers and educator</w:t>
      </w:r>
      <w:r w:rsidR="0061450E">
        <w:rPr>
          <w:rFonts w:ascii="Arial" w:hAnsi="Arial" w:cs="Arial"/>
        </w:rPr>
        <w:t>s</w:t>
      </w:r>
      <w:r w:rsidR="002D346F">
        <w:rPr>
          <w:rFonts w:ascii="Arial" w:hAnsi="Arial" w:cs="Arial"/>
        </w:rPr>
        <w:t xml:space="preserve"> is to provide different platforms for training and education in the Built Environment</w:t>
      </w:r>
      <w:r w:rsidR="00744DA2">
        <w:rPr>
          <w:rFonts w:ascii="Arial" w:hAnsi="Arial" w:cs="Arial"/>
        </w:rPr>
        <w:t>. These platforms would</w:t>
      </w:r>
      <w:r w:rsidR="002D346F">
        <w:rPr>
          <w:rFonts w:ascii="Arial" w:hAnsi="Arial" w:cs="Arial"/>
        </w:rPr>
        <w:t xml:space="preserve"> </w:t>
      </w:r>
      <w:r w:rsidR="00E31C8D">
        <w:rPr>
          <w:rFonts w:ascii="Arial" w:hAnsi="Arial" w:cs="Arial"/>
        </w:rPr>
        <w:t>guide</w:t>
      </w:r>
      <w:r w:rsidR="002D346F">
        <w:rPr>
          <w:rFonts w:ascii="Arial" w:hAnsi="Arial" w:cs="Arial"/>
        </w:rPr>
        <w:t xml:space="preserve"> managers and prospective managers in </w:t>
      </w:r>
      <w:r w:rsidR="001D32B0">
        <w:rPr>
          <w:rFonts w:ascii="Arial" w:hAnsi="Arial" w:cs="Arial"/>
        </w:rPr>
        <w:t xml:space="preserve">reducing the impact or avoiding these challenges when </w:t>
      </w:r>
      <w:r w:rsidR="002D346F">
        <w:rPr>
          <w:rFonts w:ascii="Arial" w:hAnsi="Arial" w:cs="Arial"/>
        </w:rPr>
        <w:t xml:space="preserve">securing finance for real estate project development. </w:t>
      </w:r>
      <w:r w:rsidR="001D32B0">
        <w:rPr>
          <w:rFonts w:ascii="Arial" w:hAnsi="Arial" w:cs="Arial"/>
        </w:rPr>
        <w:t xml:space="preserve">Some guidelines on education and training for securing finance for real estate project development is provided in </w:t>
      </w:r>
      <w:r w:rsidR="006731F4">
        <w:rPr>
          <w:rFonts w:ascii="Arial" w:hAnsi="Arial" w:cs="Arial"/>
        </w:rPr>
        <w:t>this study (see c</w:t>
      </w:r>
      <w:r w:rsidR="001D32B0">
        <w:rPr>
          <w:rFonts w:ascii="Arial" w:hAnsi="Arial" w:cs="Arial"/>
        </w:rPr>
        <w:t>hapter</w:t>
      </w:r>
      <w:r w:rsidR="00FA4037">
        <w:rPr>
          <w:rFonts w:ascii="Arial" w:hAnsi="Arial" w:cs="Arial"/>
        </w:rPr>
        <w:t xml:space="preserve"> 9.2 and </w:t>
      </w:r>
      <w:r w:rsidR="00CD2E49">
        <w:rPr>
          <w:rFonts w:ascii="Arial" w:hAnsi="Arial" w:cs="Arial"/>
        </w:rPr>
        <w:t>10.2</w:t>
      </w:r>
      <w:r w:rsidR="004806C5">
        <w:rPr>
          <w:rFonts w:ascii="Arial" w:hAnsi="Arial" w:cs="Arial"/>
        </w:rPr>
        <w:t>).</w:t>
      </w:r>
    </w:p>
    <w:p w14:paraId="5C6AD6D2" w14:textId="77777777" w:rsidR="00CD6352" w:rsidRPr="00EA7665" w:rsidRDefault="00CD6352" w:rsidP="00CD6352">
      <w:pPr>
        <w:pStyle w:val="Heading2"/>
        <w:rPr>
          <w:sz w:val="22"/>
          <w:szCs w:val="22"/>
        </w:rPr>
      </w:pPr>
      <w:bookmarkStart w:id="1222" w:name="_Toc78983872"/>
      <w:r w:rsidRPr="00EA7665">
        <w:rPr>
          <w:sz w:val="22"/>
          <w:szCs w:val="22"/>
        </w:rPr>
        <w:t>Opportunities associated with securing finance for real estate project development</w:t>
      </w:r>
      <w:bookmarkEnd w:id="1222"/>
    </w:p>
    <w:p w14:paraId="09C02629" w14:textId="77777777" w:rsidR="00CD6352" w:rsidRPr="00EA7665" w:rsidRDefault="00CD6352" w:rsidP="00CD6352"/>
    <w:p w14:paraId="2B84ADA4" w14:textId="61AC8D4A" w:rsidR="00CD6352" w:rsidRPr="00BD7B2F" w:rsidRDefault="00CD6352" w:rsidP="00CD6352">
      <w:pPr>
        <w:spacing w:line="360" w:lineRule="auto"/>
        <w:rPr>
          <w:rFonts w:ascii="Arial" w:hAnsi="Arial" w:cs="Arial"/>
        </w:rPr>
      </w:pPr>
      <w:r w:rsidRPr="00BD7B2F">
        <w:rPr>
          <w:rFonts w:ascii="Arial" w:hAnsi="Arial" w:cs="Arial"/>
        </w:rPr>
        <w:t xml:space="preserve">A thorough review of </w:t>
      </w:r>
      <w:r w:rsidR="002275DF">
        <w:rPr>
          <w:rFonts w:ascii="Arial" w:hAnsi="Arial" w:cs="Arial"/>
        </w:rPr>
        <w:t xml:space="preserve">the </w:t>
      </w:r>
      <w:r w:rsidRPr="00BD7B2F">
        <w:rPr>
          <w:rFonts w:ascii="Arial" w:hAnsi="Arial" w:cs="Arial"/>
        </w:rPr>
        <w:t xml:space="preserve">literature on opportunities associated with securing finance for real estate project development does not provide much information. Published material tends not to focus on real estate finance with respect to opportunities that facilitate access to finance for project development. </w:t>
      </w:r>
      <w:r w:rsidR="00EE2B6E">
        <w:rPr>
          <w:rFonts w:ascii="Arial" w:hAnsi="Arial" w:cs="Arial"/>
        </w:rPr>
        <w:t>Limited publications make inferences to opportunities associated with securing finance for real estate project development  (see chapter 3.6),</w:t>
      </w:r>
      <w:r w:rsidRPr="00BD7B2F">
        <w:rPr>
          <w:rFonts w:ascii="Arial" w:hAnsi="Arial" w:cs="Arial"/>
        </w:rPr>
        <w:t xml:space="preserve"> hence the need for an empirical study.  </w:t>
      </w:r>
    </w:p>
    <w:p w14:paraId="1C062FA4" w14:textId="418380B9" w:rsidR="00CD6352" w:rsidRPr="00EA7665" w:rsidRDefault="00CD6352" w:rsidP="00CD6352">
      <w:pPr>
        <w:spacing w:line="360" w:lineRule="auto"/>
        <w:rPr>
          <w:rFonts w:ascii="Arial" w:hAnsi="Arial" w:cs="Arial"/>
        </w:rPr>
      </w:pPr>
      <w:r w:rsidRPr="00BD7B2F">
        <w:rPr>
          <w:rFonts w:ascii="Arial" w:hAnsi="Arial" w:cs="Arial"/>
        </w:rPr>
        <w:t xml:space="preserve">The findings of opportunities for securing finance for real estate project development will </w:t>
      </w:r>
      <w:r w:rsidR="00EE2B6E">
        <w:rPr>
          <w:rFonts w:ascii="Arial" w:hAnsi="Arial" w:cs="Arial"/>
        </w:rPr>
        <w:t>guide</w:t>
      </w:r>
      <w:r w:rsidRPr="00BD7B2F">
        <w:rPr>
          <w:rFonts w:ascii="Arial" w:hAnsi="Arial" w:cs="Arial"/>
        </w:rPr>
        <w:t xml:space="preserve"> managers in the real estate sector</w:t>
      </w:r>
      <w:r w:rsidR="00EE2B6E">
        <w:rPr>
          <w:rFonts w:ascii="Arial" w:hAnsi="Arial" w:cs="Arial"/>
        </w:rPr>
        <w:t xml:space="preserve"> on securing real estate project development finance</w:t>
      </w:r>
      <w:r w:rsidRPr="00BD7B2F">
        <w:rPr>
          <w:rFonts w:ascii="Arial" w:hAnsi="Arial" w:cs="Arial"/>
        </w:rPr>
        <w:t xml:space="preserve">. It will also be of great benefit for training and development </w:t>
      </w:r>
      <w:r w:rsidRPr="00D249F4">
        <w:rPr>
          <w:rFonts w:ascii="Arial" w:hAnsi="Arial" w:cs="Arial"/>
        </w:rPr>
        <w:t>both for academia and the industry. This segment of the study presents findings on opportunities for securing finance for</w:t>
      </w:r>
      <w:r w:rsidRPr="00EA7665">
        <w:rPr>
          <w:rFonts w:ascii="Arial" w:hAnsi="Arial" w:cs="Arial"/>
        </w:rPr>
        <w:t xml:space="preserve"> real estate project development based on responses from </w:t>
      </w:r>
      <w:r>
        <w:rPr>
          <w:rFonts w:ascii="Arial" w:hAnsi="Arial" w:cs="Arial"/>
        </w:rPr>
        <w:t xml:space="preserve">the </w:t>
      </w:r>
      <w:r w:rsidRPr="00EA7665">
        <w:rPr>
          <w:rFonts w:ascii="Arial" w:hAnsi="Arial" w:cs="Arial"/>
        </w:rPr>
        <w:t>survey questionnaire and semi-structured interviews.</w:t>
      </w:r>
    </w:p>
    <w:p w14:paraId="345E6FDC" w14:textId="77777777" w:rsidR="00CD6352" w:rsidRPr="00EA7665" w:rsidRDefault="00CD6352" w:rsidP="00CD6352"/>
    <w:p w14:paraId="25F61720" w14:textId="77777777" w:rsidR="00CD6352" w:rsidRPr="00EA7665" w:rsidRDefault="00CD6352" w:rsidP="00CD6352">
      <w:pPr>
        <w:pStyle w:val="Heading3"/>
        <w:spacing w:after="240"/>
        <w:rPr>
          <w:sz w:val="22"/>
          <w:szCs w:val="22"/>
        </w:rPr>
      </w:pPr>
      <w:bookmarkStart w:id="1223" w:name="_Toc78983873"/>
      <w:r w:rsidRPr="00EA7665">
        <w:rPr>
          <w:sz w:val="22"/>
          <w:szCs w:val="22"/>
        </w:rPr>
        <w:t>Questionnaire survey analysis and discussion at the aggregate level</w:t>
      </w:r>
      <w:bookmarkEnd w:id="1223"/>
    </w:p>
    <w:p w14:paraId="6CE1F60C" w14:textId="6B24B2B2" w:rsidR="00CD6352" w:rsidRDefault="00CD6352" w:rsidP="00CD6352">
      <w:pPr>
        <w:spacing w:line="360" w:lineRule="auto"/>
        <w:jc w:val="both"/>
        <w:rPr>
          <w:rFonts w:ascii="Arial" w:hAnsi="Arial" w:cs="Arial"/>
        </w:rPr>
      </w:pPr>
      <w:r w:rsidRPr="00EA7665">
        <w:rPr>
          <w:rFonts w:ascii="Arial" w:hAnsi="Arial" w:cs="Arial"/>
        </w:rPr>
        <w:t>A list of opportunities available to managers in securing finance for real estate project development was derived through a review of the literature (Chapter 3.</w:t>
      </w:r>
      <w:r w:rsidR="00BD7B2F">
        <w:rPr>
          <w:rFonts w:ascii="Arial" w:hAnsi="Arial" w:cs="Arial"/>
        </w:rPr>
        <w:t>6</w:t>
      </w:r>
      <w:r w:rsidRPr="00EA7665">
        <w:rPr>
          <w:rFonts w:ascii="Arial" w:hAnsi="Arial" w:cs="Arial"/>
        </w:rPr>
        <w:t xml:space="preserve">). Overall, </w:t>
      </w:r>
      <w:r>
        <w:rPr>
          <w:rFonts w:ascii="Arial" w:hAnsi="Arial" w:cs="Arial"/>
        </w:rPr>
        <w:t>nineteen</w:t>
      </w:r>
      <w:r w:rsidRPr="00EA7665">
        <w:rPr>
          <w:rFonts w:ascii="Arial" w:hAnsi="Arial" w:cs="Arial"/>
        </w:rPr>
        <w:t xml:space="preserve"> (</w:t>
      </w:r>
      <w:r>
        <w:rPr>
          <w:rFonts w:ascii="Arial" w:hAnsi="Arial" w:cs="Arial"/>
        </w:rPr>
        <w:t>19</w:t>
      </w:r>
      <w:r w:rsidRPr="00EA7665">
        <w:rPr>
          <w:rFonts w:ascii="Arial" w:hAnsi="Arial" w:cs="Arial"/>
        </w:rPr>
        <w:t>) opportunities available in securing finance were identified (see questionnaire in appendix). The managers indicated the extent to which they perceived them to be opportunities in securing finance for real estate project development. The ranking of the results showing the degree to which they are opportunities is</w:t>
      </w:r>
      <w:r>
        <w:rPr>
          <w:rFonts w:ascii="Arial" w:hAnsi="Arial" w:cs="Arial"/>
        </w:rPr>
        <w:t xml:space="preserve"> contained</w:t>
      </w:r>
      <w:r w:rsidRPr="00EA7665">
        <w:rPr>
          <w:rFonts w:ascii="Arial" w:hAnsi="Arial" w:cs="Arial"/>
        </w:rPr>
        <w:t xml:space="preserve"> in table 6.</w:t>
      </w:r>
      <w:r w:rsidR="00AA39B4">
        <w:rPr>
          <w:rFonts w:ascii="Arial" w:hAnsi="Arial" w:cs="Arial"/>
        </w:rPr>
        <w:t>4.1</w:t>
      </w:r>
      <w:r w:rsidR="00B56889">
        <w:rPr>
          <w:rFonts w:ascii="Arial" w:hAnsi="Arial" w:cs="Arial"/>
        </w:rPr>
        <w:t>,</w:t>
      </w:r>
      <w:r w:rsidRPr="00EA7665">
        <w:rPr>
          <w:rFonts w:ascii="Arial" w:hAnsi="Arial" w:cs="Arial"/>
        </w:rPr>
        <w:t xml:space="preserve"> and </w:t>
      </w:r>
      <w:r>
        <w:rPr>
          <w:rFonts w:ascii="Arial" w:hAnsi="Arial" w:cs="Arial"/>
        </w:rPr>
        <w:t>it</w:t>
      </w:r>
      <w:r w:rsidRPr="00EA7665">
        <w:rPr>
          <w:rFonts w:ascii="Arial" w:hAnsi="Arial" w:cs="Arial"/>
        </w:rPr>
        <w:t xml:space="preserve"> used a </w:t>
      </w:r>
      <w:r w:rsidRPr="00EA7665">
        <w:rPr>
          <w:rFonts w:ascii="Arial" w:hAnsi="Arial" w:cs="Arial"/>
        </w:rPr>
        <w:lastRenderedPageBreak/>
        <w:t xml:space="preserve">5-point Likert scale:  not an opportunity, rarely an opportunity, occasionally an opportunity, to a great extent an opportunity and a very great extent an opportunity. </w:t>
      </w:r>
    </w:p>
    <w:p w14:paraId="33A918E1" w14:textId="12ADBE9F" w:rsidR="00CD6352" w:rsidRPr="00EA7665" w:rsidRDefault="00CD6352" w:rsidP="00CD6352">
      <w:pPr>
        <w:spacing w:line="360" w:lineRule="auto"/>
        <w:jc w:val="both"/>
        <w:rPr>
          <w:rFonts w:ascii="Arial" w:hAnsi="Arial" w:cs="Arial"/>
        </w:rPr>
      </w:pPr>
      <w:r w:rsidRPr="00EA7665">
        <w:rPr>
          <w:rFonts w:ascii="Arial" w:hAnsi="Arial" w:cs="Arial"/>
        </w:rPr>
        <w:t xml:space="preserve">At the aggregate level, </w:t>
      </w:r>
      <w:r>
        <w:rPr>
          <w:rFonts w:ascii="Arial" w:hAnsi="Arial" w:cs="Arial"/>
        </w:rPr>
        <w:t>about 37% of the survey respondents consider growing demand in the property market, to a very great extent an opportunity for securing finance for real estate project development</w:t>
      </w:r>
      <w:r w:rsidR="00DD3046">
        <w:rPr>
          <w:rFonts w:ascii="Arial" w:hAnsi="Arial" w:cs="Arial"/>
        </w:rPr>
        <w:t xml:space="preserve"> (see table 6:</w:t>
      </w:r>
      <w:r w:rsidR="00BD4456">
        <w:rPr>
          <w:rFonts w:ascii="Arial" w:hAnsi="Arial" w:cs="Arial"/>
        </w:rPr>
        <w:t>4.1</w:t>
      </w:r>
      <w:r w:rsidR="00DD3046">
        <w:rPr>
          <w:rFonts w:ascii="Arial" w:hAnsi="Arial" w:cs="Arial"/>
        </w:rPr>
        <w:t>)</w:t>
      </w:r>
      <w:r>
        <w:rPr>
          <w:rFonts w:ascii="Arial" w:hAnsi="Arial" w:cs="Arial"/>
        </w:rPr>
        <w:t>. This is followed by political stability (31.8%), low</w:t>
      </w:r>
      <w:r w:rsidR="00EB1E13">
        <w:rPr>
          <w:rFonts w:ascii="Arial" w:hAnsi="Arial" w:cs="Arial"/>
        </w:rPr>
        <w:t>-</w:t>
      </w:r>
      <w:r>
        <w:rPr>
          <w:rFonts w:ascii="Arial" w:hAnsi="Arial" w:cs="Arial"/>
        </w:rPr>
        <w:t>interest rates (30.4%), availability of long-term funds (28.9%) and positive and sustained economic growth (23.9%).</w:t>
      </w:r>
      <w:r w:rsidR="00EB1E13">
        <w:rPr>
          <w:rFonts w:ascii="Arial" w:hAnsi="Arial" w:cs="Arial"/>
        </w:rPr>
        <w:t xml:space="preserve"> </w:t>
      </w:r>
      <w:r w:rsidRPr="00EA7665">
        <w:rPr>
          <w:rFonts w:ascii="Arial" w:hAnsi="Arial" w:cs="Arial"/>
        </w:rPr>
        <w:t>Conversely, the least ranked factors which are considered “opportunities to a very great extent” are foreign exchange stability</w:t>
      </w:r>
      <w:r>
        <w:rPr>
          <w:rFonts w:ascii="Arial" w:hAnsi="Arial" w:cs="Arial"/>
        </w:rPr>
        <w:t>(10.9%)</w:t>
      </w:r>
      <w:r w:rsidRPr="00EA7665">
        <w:rPr>
          <w:rFonts w:ascii="Arial" w:hAnsi="Arial" w:cs="Arial"/>
        </w:rPr>
        <w:t>, institutional real estate market size</w:t>
      </w:r>
      <w:r>
        <w:rPr>
          <w:rFonts w:ascii="Arial" w:hAnsi="Arial" w:cs="Arial"/>
        </w:rPr>
        <w:t xml:space="preserve"> (11.4%)</w:t>
      </w:r>
      <w:r w:rsidRPr="00EA7665">
        <w:rPr>
          <w:rFonts w:ascii="Arial" w:hAnsi="Arial" w:cs="Arial"/>
        </w:rPr>
        <w:t xml:space="preserve">, </w:t>
      </w:r>
      <w:r w:rsidR="00295710">
        <w:rPr>
          <w:rFonts w:ascii="Arial" w:hAnsi="Arial" w:cs="Arial"/>
        </w:rPr>
        <w:t xml:space="preserve">the </w:t>
      </w:r>
      <w:r>
        <w:rPr>
          <w:rFonts w:ascii="Arial" w:hAnsi="Arial" w:cs="Arial"/>
        </w:rPr>
        <w:t xml:space="preserve">high skilled labour force (13%), </w:t>
      </w:r>
      <w:r w:rsidRPr="00EA7665">
        <w:rPr>
          <w:rFonts w:ascii="Arial" w:hAnsi="Arial" w:cs="Arial"/>
        </w:rPr>
        <w:t>government monetary and fiscal policies</w:t>
      </w:r>
      <w:r>
        <w:rPr>
          <w:rFonts w:ascii="Arial" w:hAnsi="Arial" w:cs="Arial"/>
        </w:rPr>
        <w:t xml:space="preserve"> (13%)</w:t>
      </w:r>
      <w:r w:rsidRPr="00EA7665">
        <w:rPr>
          <w:rFonts w:ascii="Arial" w:hAnsi="Arial" w:cs="Arial"/>
        </w:rPr>
        <w:t xml:space="preserve"> and market maturity</w:t>
      </w:r>
      <w:r>
        <w:rPr>
          <w:rFonts w:ascii="Arial" w:hAnsi="Arial" w:cs="Arial"/>
        </w:rPr>
        <w:t>( 13.3%)</w:t>
      </w:r>
      <w:r w:rsidRPr="00EA7665">
        <w:rPr>
          <w:rFonts w:ascii="Arial" w:hAnsi="Arial" w:cs="Arial"/>
        </w:rPr>
        <w:t>.</w:t>
      </w:r>
    </w:p>
    <w:p w14:paraId="19DDFF6E" w14:textId="7C41CA45" w:rsidR="00AA39B4" w:rsidRPr="00295710" w:rsidRDefault="00AA39B4" w:rsidP="00AA39B4">
      <w:pPr>
        <w:spacing w:line="360" w:lineRule="auto"/>
        <w:jc w:val="both"/>
        <w:rPr>
          <w:rFonts w:ascii="Arial" w:hAnsi="Arial" w:cs="Arial"/>
          <w:sz w:val="16"/>
          <w:szCs w:val="16"/>
        </w:rPr>
      </w:pPr>
      <w:bookmarkStart w:id="1224" w:name="_Toc78983989"/>
      <w:r w:rsidRPr="00295710">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295710">
        <w:rPr>
          <w:rFonts w:ascii="Arial" w:hAnsi="Arial" w:cs="Arial"/>
          <w:sz w:val="16"/>
          <w:szCs w:val="16"/>
        </w:rPr>
        <w:t>: Opportunities associated with securing finance for real estate project development.</w:t>
      </w:r>
      <w:bookmarkEnd w:id="1224"/>
      <w:r w:rsidRPr="00295710">
        <w:rPr>
          <w:rFonts w:ascii="Arial" w:hAnsi="Arial" w:cs="Arial"/>
          <w:sz w:val="16"/>
          <w:szCs w:val="16"/>
        </w:rPr>
        <w:t xml:space="preserve"> </w:t>
      </w:r>
    </w:p>
    <w:tbl>
      <w:tblPr>
        <w:tblW w:w="9308" w:type="dxa"/>
        <w:tblLook w:val="04A0" w:firstRow="1" w:lastRow="0" w:firstColumn="1" w:lastColumn="0" w:noHBand="0" w:noVBand="1"/>
      </w:tblPr>
      <w:tblGrid>
        <w:gridCol w:w="3681"/>
        <w:gridCol w:w="1227"/>
        <w:gridCol w:w="1008"/>
        <w:gridCol w:w="1124"/>
        <w:gridCol w:w="1035"/>
        <w:gridCol w:w="1233"/>
      </w:tblGrid>
      <w:tr w:rsidR="00CD6352" w:rsidRPr="00295710" w14:paraId="49A0636F" w14:textId="77777777" w:rsidTr="00295710">
        <w:trPr>
          <w:trHeight w:val="547"/>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29C899D"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Opportunities</w:t>
            </w:r>
          </w:p>
        </w:tc>
        <w:tc>
          <w:tcPr>
            <w:tcW w:w="1227" w:type="dxa"/>
            <w:tcBorders>
              <w:top w:val="single" w:sz="4" w:space="0" w:color="auto"/>
              <w:left w:val="nil"/>
              <w:bottom w:val="single" w:sz="4" w:space="0" w:color="auto"/>
              <w:right w:val="single" w:sz="4" w:space="0" w:color="auto"/>
            </w:tcBorders>
            <w:shd w:val="clear" w:color="auto" w:fill="auto"/>
            <w:vAlign w:val="bottom"/>
            <w:hideMark/>
          </w:tcPr>
          <w:p w14:paraId="3A580A9A"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Not an opportunity at all</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14:paraId="5E9B831F"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Rarely an opportunity</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14:paraId="0F02198D"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Occasionally an opportunity</w:t>
            </w:r>
          </w:p>
        </w:tc>
        <w:tc>
          <w:tcPr>
            <w:tcW w:w="1035" w:type="dxa"/>
            <w:tcBorders>
              <w:top w:val="single" w:sz="4" w:space="0" w:color="auto"/>
              <w:left w:val="nil"/>
              <w:bottom w:val="single" w:sz="4" w:space="0" w:color="auto"/>
              <w:right w:val="single" w:sz="4" w:space="0" w:color="auto"/>
            </w:tcBorders>
            <w:shd w:val="clear" w:color="auto" w:fill="auto"/>
            <w:vAlign w:val="bottom"/>
            <w:hideMark/>
          </w:tcPr>
          <w:p w14:paraId="5E9AEF2B" w14:textId="2E7690C3"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To a great extent</w:t>
            </w:r>
            <w:r w:rsidR="005C67EF">
              <w:rPr>
                <w:rFonts w:ascii="Arial" w:eastAsia="Times New Roman" w:hAnsi="Arial" w:cs="Arial"/>
                <w:color w:val="000000"/>
                <w:sz w:val="16"/>
                <w:szCs w:val="16"/>
                <w:lang w:eastAsia="en-GB"/>
              </w:rPr>
              <w:t>,</w:t>
            </w:r>
            <w:r w:rsidRPr="00295710">
              <w:rPr>
                <w:rFonts w:ascii="Arial" w:eastAsia="Times New Roman" w:hAnsi="Arial" w:cs="Arial"/>
                <w:color w:val="000000"/>
                <w:sz w:val="16"/>
                <w:szCs w:val="16"/>
                <w:lang w:eastAsia="en-GB"/>
              </w:rPr>
              <w:t xml:space="preserve"> an opportunity</w:t>
            </w:r>
          </w:p>
        </w:tc>
        <w:tc>
          <w:tcPr>
            <w:tcW w:w="1233" w:type="dxa"/>
            <w:tcBorders>
              <w:top w:val="single" w:sz="4" w:space="0" w:color="auto"/>
              <w:left w:val="nil"/>
              <w:bottom w:val="single" w:sz="4" w:space="0" w:color="auto"/>
              <w:right w:val="single" w:sz="4" w:space="0" w:color="auto"/>
            </w:tcBorders>
            <w:shd w:val="clear" w:color="auto" w:fill="auto"/>
            <w:vAlign w:val="bottom"/>
            <w:hideMark/>
          </w:tcPr>
          <w:p w14:paraId="78D62041" w14:textId="0296C5EA"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To a very great extent</w:t>
            </w:r>
            <w:r w:rsidR="00583770">
              <w:rPr>
                <w:rFonts w:ascii="Arial" w:eastAsia="Times New Roman" w:hAnsi="Arial" w:cs="Arial"/>
                <w:color w:val="000000"/>
                <w:sz w:val="16"/>
                <w:szCs w:val="16"/>
                <w:lang w:eastAsia="en-GB"/>
              </w:rPr>
              <w:t>,</w:t>
            </w:r>
            <w:r w:rsidRPr="00295710">
              <w:rPr>
                <w:rFonts w:ascii="Arial" w:eastAsia="Times New Roman" w:hAnsi="Arial" w:cs="Arial"/>
                <w:color w:val="000000"/>
                <w:sz w:val="16"/>
                <w:szCs w:val="16"/>
                <w:lang w:eastAsia="en-GB"/>
              </w:rPr>
              <w:t xml:space="preserve"> an opportunity</w:t>
            </w:r>
          </w:p>
        </w:tc>
      </w:tr>
      <w:tr w:rsidR="00CD6352" w:rsidRPr="00295710" w14:paraId="02C5ABAD" w14:textId="77777777" w:rsidTr="00295710">
        <w:trPr>
          <w:trHeight w:val="75"/>
        </w:trPr>
        <w:tc>
          <w:tcPr>
            <w:tcW w:w="3681" w:type="dxa"/>
            <w:vMerge/>
            <w:tcBorders>
              <w:top w:val="single" w:sz="4" w:space="0" w:color="auto"/>
              <w:left w:val="single" w:sz="4" w:space="0" w:color="auto"/>
              <w:bottom w:val="single" w:sz="4" w:space="0" w:color="000000"/>
              <w:right w:val="single" w:sz="4" w:space="0" w:color="auto"/>
            </w:tcBorders>
            <w:vAlign w:val="center"/>
            <w:hideMark/>
          </w:tcPr>
          <w:p w14:paraId="2913830D" w14:textId="77777777" w:rsidR="00CD6352" w:rsidRPr="00295710" w:rsidRDefault="00CD6352" w:rsidP="00CD6352">
            <w:pPr>
              <w:spacing w:after="0" w:line="240" w:lineRule="auto"/>
              <w:rPr>
                <w:rFonts w:ascii="Arial" w:eastAsia="Times New Roman" w:hAnsi="Arial" w:cs="Arial"/>
                <w:color w:val="000000"/>
                <w:sz w:val="16"/>
                <w:szCs w:val="16"/>
                <w:lang w:eastAsia="en-GB"/>
              </w:rPr>
            </w:pPr>
          </w:p>
        </w:tc>
        <w:tc>
          <w:tcPr>
            <w:tcW w:w="562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C974883"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Percentage (%)</w:t>
            </w:r>
          </w:p>
        </w:tc>
      </w:tr>
      <w:tr w:rsidR="00CD6352" w:rsidRPr="00295710" w14:paraId="1DA17EFE"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457B67B"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Growing demand in the property market</w:t>
            </w:r>
          </w:p>
        </w:tc>
        <w:tc>
          <w:tcPr>
            <w:tcW w:w="1227" w:type="dxa"/>
            <w:tcBorders>
              <w:top w:val="nil"/>
              <w:left w:val="nil"/>
              <w:bottom w:val="single" w:sz="4" w:space="0" w:color="auto"/>
              <w:right w:val="single" w:sz="4" w:space="0" w:color="auto"/>
            </w:tcBorders>
            <w:shd w:val="clear" w:color="auto" w:fill="auto"/>
            <w:noWrap/>
            <w:vAlign w:val="bottom"/>
            <w:hideMark/>
          </w:tcPr>
          <w:p w14:paraId="64007416"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Nil</w:t>
            </w:r>
          </w:p>
        </w:tc>
        <w:tc>
          <w:tcPr>
            <w:tcW w:w="1008" w:type="dxa"/>
            <w:tcBorders>
              <w:top w:val="nil"/>
              <w:left w:val="nil"/>
              <w:bottom w:val="single" w:sz="4" w:space="0" w:color="auto"/>
              <w:right w:val="single" w:sz="4" w:space="0" w:color="auto"/>
            </w:tcBorders>
            <w:shd w:val="clear" w:color="auto" w:fill="auto"/>
            <w:noWrap/>
            <w:vAlign w:val="bottom"/>
            <w:hideMark/>
          </w:tcPr>
          <w:p w14:paraId="0072540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5.9</w:t>
            </w:r>
          </w:p>
        </w:tc>
        <w:tc>
          <w:tcPr>
            <w:tcW w:w="1124" w:type="dxa"/>
            <w:tcBorders>
              <w:top w:val="nil"/>
              <w:left w:val="nil"/>
              <w:bottom w:val="single" w:sz="4" w:space="0" w:color="auto"/>
              <w:right w:val="single" w:sz="4" w:space="0" w:color="auto"/>
            </w:tcBorders>
            <w:shd w:val="clear" w:color="auto" w:fill="auto"/>
            <w:noWrap/>
            <w:vAlign w:val="bottom"/>
            <w:hideMark/>
          </w:tcPr>
          <w:p w14:paraId="3D0E307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13.7</w:t>
            </w:r>
          </w:p>
        </w:tc>
        <w:tc>
          <w:tcPr>
            <w:tcW w:w="1035" w:type="dxa"/>
            <w:tcBorders>
              <w:top w:val="nil"/>
              <w:left w:val="nil"/>
              <w:bottom w:val="single" w:sz="4" w:space="0" w:color="auto"/>
              <w:right w:val="single" w:sz="4" w:space="0" w:color="auto"/>
            </w:tcBorders>
            <w:shd w:val="clear" w:color="auto" w:fill="auto"/>
            <w:noWrap/>
            <w:vAlign w:val="bottom"/>
            <w:hideMark/>
          </w:tcPr>
          <w:p w14:paraId="6466073E"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43.1</w:t>
            </w:r>
          </w:p>
        </w:tc>
        <w:tc>
          <w:tcPr>
            <w:tcW w:w="1233" w:type="dxa"/>
            <w:tcBorders>
              <w:top w:val="nil"/>
              <w:left w:val="nil"/>
              <w:bottom w:val="single" w:sz="4" w:space="0" w:color="auto"/>
              <w:right w:val="single" w:sz="4" w:space="0" w:color="auto"/>
            </w:tcBorders>
            <w:shd w:val="clear" w:color="auto" w:fill="auto"/>
            <w:noWrap/>
            <w:vAlign w:val="bottom"/>
            <w:hideMark/>
          </w:tcPr>
          <w:p w14:paraId="3930BBCD"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37.3</w:t>
            </w:r>
          </w:p>
        </w:tc>
      </w:tr>
      <w:tr w:rsidR="00CD6352" w:rsidRPr="00295710" w14:paraId="0031885B"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7918FBE"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Political stability</w:t>
            </w:r>
          </w:p>
        </w:tc>
        <w:tc>
          <w:tcPr>
            <w:tcW w:w="1227" w:type="dxa"/>
            <w:tcBorders>
              <w:top w:val="nil"/>
              <w:left w:val="nil"/>
              <w:bottom w:val="single" w:sz="4" w:space="0" w:color="auto"/>
              <w:right w:val="single" w:sz="4" w:space="0" w:color="auto"/>
            </w:tcBorders>
            <w:shd w:val="clear" w:color="auto" w:fill="auto"/>
            <w:noWrap/>
            <w:vAlign w:val="bottom"/>
            <w:hideMark/>
          </w:tcPr>
          <w:p w14:paraId="06445214"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11.4</w:t>
            </w:r>
          </w:p>
        </w:tc>
        <w:tc>
          <w:tcPr>
            <w:tcW w:w="1008" w:type="dxa"/>
            <w:tcBorders>
              <w:top w:val="nil"/>
              <w:left w:val="nil"/>
              <w:bottom w:val="single" w:sz="4" w:space="0" w:color="auto"/>
              <w:right w:val="single" w:sz="4" w:space="0" w:color="auto"/>
            </w:tcBorders>
            <w:shd w:val="clear" w:color="auto" w:fill="auto"/>
            <w:noWrap/>
            <w:vAlign w:val="bottom"/>
            <w:hideMark/>
          </w:tcPr>
          <w:p w14:paraId="060D8BE1"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11.4</w:t>
            </w:r>
          </w:p>
        </w:tc>
        <w:tc>
          <w:tcPr>
            <w:tcW w:w="1124" w:type="dxa"/>
            <w:tcBorders>
              <w:top w:val="nil"/>
              <w:left w:val="nil"/>
              <w:bottom w:val="single" w:sz="4" w:space="0" w:color="auto"/>
              <w:right w:val="single" w:sz="4" w:space="0" w:color="auto"/>
            </w:tcBorders>
            <w:shd w:val="clear" w:color="auto" w:fill="auto"/>
            <w:noWrap/>
            <w:vAlign w:val="bottom"/>
            <w:hideMark/>
          </w:tcPr>
          <w:p w14:paraId="50BBFC9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11.4</w:t>
            </w:r>
          </w:p>
        </w:tc>
        <w:tc>
          <w:tcPr>
            <w:tcW w:w="1035" w:type="dxa"/>
            <w:tcBorders>
              <w:top w:val="nil"/>
              <w:left w:val="nil"/>
              <w:bottom w:val="single" w:sz="4" w:space="0" w:color="auto"/>
              <w:right w:val="single" w:sz="4" w:space="0" w:color="auto"/>
            </w:tcBorders>
            <w:shd w:val="clear" w:color="auto" w:fill="auto"/>
            <w:noWrap/>
            <w:vAlign w:val="bottom"/>
            <w:hideMark/>
          </w:tcPr>
          <w:p w14:paraId="56D551F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34.1</w:t>
            </w:r>
          </w:p>
        </w:tc>
        <w:tc>
          <w:tcPr>
            <w:tcW w:w="1233" w:type="dxa"/>
            <w:tcBorders>
              <w:top w:val="nil"/>
              <w:left w:val="nil"/>
              <w:bottom w:val="single" w:sz="4" w:space="0" w:color="auto"/>
              <w:right w:val="single" w:sz="4" w:space="0" w:color="auto"/>
            </w:tcBorders>
            <w:shd w:val="clear" w:color="auto" w:fill="auto"/>
            <w:noWrap/>
            <w:vAlign w:val="bottom"/>
            <w:hideMark/>
          </w:tcPr>
          <w:p w14:paraId="50B6644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31.8</w:t>
            </w:r>
          </w:p>
        </w:tc>
      </w:tr>
      <w:tr w:rsidR="00CD6352" w:rsidRPr="00295710" w14:paraId="270D24CA"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48C402"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Low interest rates</w:t>
            </w:r>
          </w:p>
        </w:tc>
        <w:tc>
          <w:tcPr>
            <w:tcW w:w="1227" w:type="dxa"/>
            <w:tcBorders>
              <w:top w:val="nil"/>
              <w:left w:val="nil"/>
              <w:bottom w:val="single" w:sz="4" w:space="0" w:color="auto"/>
              <w:right w:val="single" w:sz="4" w:space="0" w:color="auto"/>
            </w:tcBorders>
            <w:shd w:val="clear" w:color="auto" w:fill="auto"/>
            <w:noWrap/>
            <w:vAlign w:val="bottom"/>
            <w:hideMark/>
          </w:tcPr>
          <w:p w14:paraId="0D943601"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15.2</w:t>
            </w:r>
          </w:p>
        </w:tc>
        <w:tc>
          <w:tcPr>
            <w:tcW w:w="1008" w:type="dxa"/>
            <w:tcBorders>
              <w:top w:val="nil"/>
              <w:left w:val="nil"/>
              <w:bottom w:val="single" w:sz="4" w:space="0" w:color="auto"/>
              <w:right w:val="single" w:sz="4" w:space="0" w:color="auto"/>
            </w:tcBorders>
            <w:shd w:val="clear" w:color="auto" w:fill="auto"/>
            <w:noWrap/>
            <w:vAlign w:val="bottom"/>
            <w:hideMark/>
          </w:tcPr>
          <w:p w14:paraId="09E88BD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15.2</w:t>
            </w:r>
          </w:p>
        </w:tc>
        <w:tc>
          <w:tcPr>
            <w:tcW w:w="1124" w:type="dxa"/>
            <w:tcBorders>
              <w:top w:val="nil"/>
              <w:left w:val="nil"/>
              <w:bottom w:val="single" w:sz="4" w:space="0" w:color="auto"/>
              <w:right w:val="single" w:sz="4" w:space="0" w:color="auto"/>
            </w:tcBorders>
            <w:shd w:val="clear" w:color="auto" w:fill="auto"/>
            <w:noWrap/>
            <w:vAlign w:val="bottom"/>
            <w:hideMark/>
          </w:tcPr>
          <w:p w14:paraId="3949664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15.2</w:t>
            </w:r>
          </w:p>
        </w:tc>
        <w:tc>
          <w:tcPr>
            <w:tcW w:w="1035" w:type="dxa"/>
            <w:tcBorders>
              <w:top w:val="nil"/>
              <w:left w:val="nil"/>
              <w:bottom w:val="single" w:sz="4" w:space="0" w:color="auto"/>
              <w:right w:val="single" w:sz="4" w:space="0" w:color="auto"/>
            </w:tcBorders>
            <w:shd w:val="clear" w:color="auto" w:fill="auto"/>
            <w:noWrap/>
            <w:vAlign w:val="bottom"/>
            <w:hideMark/>
          </w:tcPr>
          <w:p w14:paraId="4FE55F3D"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23.9</w:t>
            </w:r>
          </w:p>
        </w:tc>
        <w:tc>
          <w:tcPr>
            <w:tcW w:w="1233" w:type="dxa"/>
            <w:tcBorders>
              <w:top w:val="nil"/>
              <w:left w:val="nil"/>
              <w:bottom w:val="single" w:sz="4" w:space="0" w:color="auto"/>
              <w:right w:val="single" w:sz="4" w:space="0" w:color="auto"/>
            </w:tcBorders>
            <w:shd w:val="clear" w:color="auto" w:fill="auto"/>
            <w:noWrap/>
            <w:vAlign w:val="bottom"/>
            <w:hideMark/>
          </w:tcPr>
          <w:p w14:paraId="2D83743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30.4</w:t>
            </w:r>
          </w:p>
        </w:tc>
      </w:tr>
      <w:tr w:rsidR="00CD6352" w:rsidRPr="00295710" w14:paraId="15896600"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E491A92"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Availability of long-term funds</w:t>
            </w:r>
          </w:p>
        </w:tc>
        <w:tc>
          <w:tcPr>
            <w:tcW w:w="1227" w:type="dxa"/>
            <w:tcBorders>
              <w:top w:val="nil"/>
              <w:left w:val="nil"/>
              <w:bottom w:val="single" w:sz="4" w:space="0" w:color="auto"/>
              <w:right w:val="single" w:sz="4" w:space="0" w:color="auto"/>
            </w:tcBorders>
            <w:shd w:val="clear" w:color="auto" w:fill="auto"/>
            <w:noWrap/>
            <w:vAlign w:val="bottom"/>
            <w:hideMark/>
          </w:tcPr>
          <w:p w14:paraId="158D2DEE"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w:t>
            </w:r>
          </w:p>
        </w:tc>
        <w:tc>
          <w:tcPr>
            <w:tcW w:w="1008" w:type="dxa"/>
            <w:tcBorders>
              <w:top w:val="nil"/>
              <w:left w:val="nil"/>
              <w:bottom w:val="single" w:sz="4" w:space="0" w:color="auto"/>
              <w:right w:val="single" w:sz="4" w:space="0" w:color="auto"/>
            </w:tcBorders>
            <w:shd w:val="clear" w:color="auto" w:fill="auto"/>
            <w:noWrap/>
            <w:vAlign w:val="bottom"/>
            <w:hideMark/>
          </w:tcPr>
          <w:p w14:paraId="6427C39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13.3</w:t>
            </w:r>
          </w:p>
        </w:tc>
        <w:tc>
          <w:tcPr>
            <w:tcW w:w="1124" w:type="dxa"/>
            <w:tcBorders>
              <w:top w:val="nil"/>
              <w:left w:val="nil"/>
              <w:bottom w:val="single" w:sz="4" w:space="0" w:color="auto"/>
              <w:right w:val="single" w:sz="4" w:space="0" w:color="auto"/>
            </w:tcBorders>
            <w:shd w:val="clear" w:color="auto" w:fill="auto"/>
            <w:noWrap/>
            <w:vAlign w:val="bottom"/>
            <w:hideMark/>
          </w:tcPr>
          <w:p w14:paraId="6487B10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26.7</w:t>
            </w:r>
          </w:p>
        </w:tc>
        <w:tc>
          <w:tcPr>
            <w:tcW w:w="1035" w:type="dxa"/>
            <w:tcBorders>
              <w:top w:val="nil"/>
              <w:left w:val="nil"/>
              <w:bottom w:val="single" w:sz="4" w:space="0" w:color="auto"/>
              <w:right w:val="single" w:sz="4" w:space="0" w:color="auto"/>
            </w:tcBorders>
            <w:shd w:val="clear" w:color="auto" w:fill="auto"/>
            <w:noWrap/>
            <w:vAlign w:val="bottom"/>
            <w:hideMark/>
          </w:tcPr>
          <w:p w14:paraId="449E46D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28.9</w:t>
            </w:r>
          </w:p>
        </w:tc>
        <w:tc>
          <w:tcPr>
            <w:tcW w:w="1233" w:type="dxa"/>
            <w:tcBorders>
              <w:top w:val="nil"/>
              <w:left w:val="nil"/>
              <w:bottom w:val="single" w:sz="4" w:space="0" w:color="auto"/>
              <w:right w:val="single" w:sz="4" w:space="0" w:color="auto"/>
            </w:tcBorders>
            <w:shd w:val="clear" w:color="auto" w:fill="auto"/>
            <w:noWrap/>
            <w:vAlign w:val="bottom"/>
            <w:hideMark/>
          </w:tcPr>
          <w:p w14:paraId="0710408F"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28.9</w:t>
            </w:r>
          </w:p>
        </w:tc>
      </w:tr>
      <w:tr w:rsidR="00CD6352" w:rsidRPr="00295710" w14:paraId="118202A9"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31ABC61"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Positive and sustained economic growth</w:t>
            </w:r>
          </w:p>
        </w:tc>
        <w:tc>
          <w:tcPr>
            <w:tcW w:w="1227" w:type="dxa"/>
            <w:tcBorders>
              <w:top w:val="nil"/>
              <w:left w:val="nil"/>
              <w:bottom w:val="single" w:sz="4" w:space="0" w:color="auto"/>
              <w:right w:val="single" w:sz="4" w:space="0" w:color="auto"/>
            </w:tcBorders>
            <w:shd w:val="clear" w:color="auto" w:fill="auto"/>
            <w:noWrap/>
            <w:vAlign w:val="bottom"/>
            <w:hideMark/>
          </w:tcPr>
          <w:p w14:paraId="43B9BFC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4.3</w:t>
            </w:r>
          </w:p>
        </w:tc>
        <w:tc>
          <w:tcPr>
            <w:tcW w:w="1008" w:type="dxa"/>
            <w:tcBorders>
              <w:top w:val="nil"/>
              <w:left w:val="nil"/>
              <w:bottom w:val="single" w:sz="4" w:space="0" w:color="auto"/>
              <w:right w:val="single" w:sz="4" w:space="0" w:color="auto"/>
            </w:tcBorders>
            <w:shd w:val="clear" w:color="auto" w:fill="auto"/>
            <w:noWrap/>
            <w:vAlign w:val="bottom"/>
            <w:hideMark/>
          </w:tcPr>
          <w:p w14:paraId="47FF671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8.7</w:t>
            </w:r>
          </w:p>
        </w:tc>
        <w:tc>
          <w:tcPr>
            <w:tcW w:w="1124" w:type="dxa"/>
            <w:tcBorders>
              <w:top w:val="nil"/>
              <w:left w:val="nil"/>
              <w:bottom w:val="single" w:sz="4" w:space="0" w:color="auto"/>
              <w:right w:val="single" w:sz="4" w:space="0" w:color="auto"/>
            </w:tcBorders>
            <w:shd w:val="clear" w:color="auto" w:fill="auto"/>
            <w:noWrap/>
            <w:vAlign w:val="bottom"/>
            <w:hideMark/>
          </w:tcPr>
          <w:p w14:paraId="2C23053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19.6</w:t>
            </w:r>
          </w:p>
        </w:tc>
        <w:tc>
          <w:tcPr>
            <w:tcW w:w="1035" w:type="dxa"/>
            <w:tcBorders>
              <w:top w:val="nil"/>
              <w:left w:val="nil"/>
              <w:bottom w:val="single" w:sz="4" w:space="0" w:color="auto"/>
              <w:right w:val="single" w:sz="4" w:space="0" w:color="auto"/>
            </w:tcBorders>
            <w:shd w:val="clear" w:color="auto" w:fill="auto"/>
            <w:noWrap/>
            <w:vAlign w:val="bottom"/>
            <w:hideMark/>
          </w:tcPr>
          <w:p w14:paraId="568B243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43.5</w:t>
            </w:r>
          </w:p>
        </w:tc>
        <w:tc>
          <w:tcPr>
            <w:tcW w:w="1233" w:type="dxa"/>
            <w:tcBorders>
              <w:top w:val="nil"/>
              <w:left w:val="nil"/>
              <w:bottom w:val="single" w:sz="4" w:space="0" w:color="auto"/>
              <w:right w:val="single" w:sz="4" w:space="0" w:color="auto"/>
            </w:tcBorders>
            <w:shd w:val="clear" w:color="auto" w:fill="auto"/>
            <w:noWrap/>
            <w:vAlign w:val="bottom"/>
            <w:hideMark/>
          </w:tcPr>
          <w:p w14:paraId="32F8E55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23.9</w:t>
            </w:r>
          </w:p>
        </w:tc>
      </w:tr>
      <w:tr w:rsidR="00CD6352" w:rsidRPr="00295710" w14:paraId="5641D3BD"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3ACC3A5"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Government housing subsidies and credit inventions</w:t>
            </w:r>
          </w:p>
        </w:tc>
        <w:tc>
          <w:tcPr>
            <w:tcW w:w="1227" w:type="dxa"/>
            <w:tcBorders>
              <w:top w:val="nil"/>
              <w:left w:val="nil"/>
              <w:bottom w:val="single" w:sz="4" w:space="0" w:color="auto"/>
              <w:right w:val="single" w:sz="4" w:space="0" w:color="auto"/>
            </w:tcBorders>
            <w:shd w:val="clear" w:color="auto" w:fill="auto"/>
            <w:noWrap/>
            <w:vAlign w:val="bottom"/>
            <w:hideMark/>
          </w:tcPr>
          <w:p w14:paraId="55DA57E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11.1</w:t>
            </w:r>
          </w:p>
        </w:tc>
        <w:tc>
          <w:tcPr>
            <w:tcW w:w="1008" w:type="dxa"/>
            <w:tcBorders>
              <w:top w:val="nil"/>
              <w:left w:val="nil"/>
              <w:bottom w:val="single" w:sz="4" w:space="0" w:color="auto"/>
              <w:right w:val="single" w:sz="4" w:space="0" w:color="auto"/>
            </w:tcBorders>
            <w:shd w:val="clear" w:color="auto" w:fill="auto"/>
            <w:noWrap/>
            <w:vAlign w:val="bottom"/>
            <w:hideMark/>
          </w:tcPr>
          <w:p w14:paraId="346AECEB"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c>
          <w:tcPr>
            <w:tcW w:w="1124" w:type="dxa"/>
            <w:tcBorders>
              <w:top w:val="nil"/>
              <w:left w:val="nil"/>
              <w:bottom w:val="single" w:sz="4" w:space="0" w:color="auto"/>
              <w:right w:val="single" w:sz="4" w:space="0" w:color="auto"/>
            </w:tcBorders>
            <w:shd w:val="clear" w:color="auto" w:fill="auto"/>
            <w:noWrap/>
            <w:vAlign w:val="bottom"/>
            <w:hideMark/>
          </w:tcPr>
          <w:p w14:paraId="050FCF7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17.8</w:t>
            </w:r>
          </w:p>
        </w:tc>
        <w:tc>
          <w:tcPr>
            <w:tcW w:w="1035" w:type="dxa"/>
            <w:tcBorders>
              <w:top w:val="nil"/>
              <w:left w:val="nil"/>
              <w:bottom w:val="single" w:sz="4" w:space="0" w:color="auto"/>
              <w:right w:val="single" w:sz="4" w:space="0" w:color="auto"/>
            </w:tcBorders>
            <w:shd w:val="clear" w:color="auto" w:fill="auto"/>
            <w:noWrap/>
            <w:vAlign w:val="bottom"/>
            <w:hideMark/>
          </w:tcPr>
          <w:p w14:paraId="4A969E6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33.3</w:t>
            </w:r>
          </w:p>
        </w:tc>
        <w:tc>
          <w:tcPr>
            <w:tcW w:w="1233" w:type="dxa"/>
            <w:tcBorders>
              <w:top w:val="nil"/>
              <w:left w:val="nil"/>
              <w:bottom w:val="single" w:sz="4" w:space="0" w:color="auto"/>
              <w:right w:val="single" w:sz="4" w:space="0" w:color="auto"/>
            </w:tcBorders>
            <w:shd w:val="clear" w:color="auto" w:fill="auto"/>
            <w:noWrap/>
            <w:vAlign w:val="bottom"/>
            <w:hideMark/>
          </w:tcPr>
          <w:p w14:paraId="0F47F2FF"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22.2</w:t>
            </w:r>
          </w:p>
        </w:tc>
      </w:tr>
      <w:tr w:rsidR="00CD6352" w:rsidRPr="00295710" w14:paraId="79FD262B"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664CEDB"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Multiple finance sources</w:t>
            </w:r>
          </w:p>
        </w:tc>
        <w:tc>
          <w:tcPr>
            <w:tcW w:w="1227" w:type="dxa"/>
            <w:tcBorders>
              <w:top w:val="nil"/>
              <w:left w:val="nil"/>
              <w:bottom w:val="single" w:sz="4" w:space="0" w:color="auto"/>
              <w:right w:val="single" w:sz="4" w:space="0" w:color="auto"/>
            </w:tcBorders>
            <w:shd w:val="clear" w:color="auto" w:fill="auto"/>
            <w:noWrap/>
            <w:vAlign w:val="bottom"/>
            <w:hideMark/>
          </w:tcPr>
          <w:p w14:paraId="54606F3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11.1</w:t>
            </w:r>
          </w:p>
        </w:tc>
        <w:tc>
          <w:tcPr>
            <w:tcW w:w="1008" w:type="dxa"/>
            <w:tcBorders>
              <w:top w:val="nil"/>
              <w:left w:val="nil"/>
              <w:bottom w:val="single" w:sz="4" w:space="0" w:color="auto"/>
              <w:right w:val="single" w:sz="4" w:space="0" w:color="auto"/>
            </w:tcBorders>
            <w:shd w:val="clear" w:color="auto" w:fill="auto"/>
            <w:noWrap/>
            <w:vAlign w:val="bottom"/>
            <w:hideMark/>
          </w:tcPr>
          <w:p w14:paraId="12967728"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11.1</w:t>
            </w:r>
          </w:p>
        </w:tc>
        <w:tc>
          <w:tcPr>
            <w:tcW w:w="1124" w:type="dxa"/>
            <w:tcBorders>
              <w:top w:val="nil"/>
              <w:left w:val="nil"/>
              <w:bottom w:val="single" w:sz="4" w:space="0" w:color="auto"/>
              <w:right w:val="single" w:sz="4" w:space="0" w:color="auto"/>
            </w:tcBorders>
            <w:shd w:val="clear" w:color="auto" w:fill="auto"/>
            <w:noWrap/>
            <w:vAlign w:val="bottom"/>
            <w:hideMark/>
          </w:tcPr>
          <w:p w14:paraId="3165F088"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c>
          <w:tcPr>
            <w:tcW w:w="1035" w:type="dxa"/>
            <w:tcBorders>
              <w:top w:val="nil"/>
              <w:left w:val="nil"/>
              <w:bottom w:val="single" w:sz="4" w:space="0" w:color="auto"/>
              <w:right w:val="single" w:sz="4" w:space="0" w:color="auto"/>
            </w:tcBorders>
            <w:shd w:val="clear" w:color="auto" w:fill="auto"/>
            <w:noWrap/>
            <w:vAlign w:val="bottom"/>
            <w:hideMark/>
          </w:tcPr>
          <w:p w14:paraId="2EC9515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40</w:t>
            </w:r>
          </w:p>
        </w:tc>
        <w:tc>
          <w:tcPr>
            <w:tcW w:w="1233" w:type="dxa"/>
            <w:tcBorders>
              <w:top w:val="nil"/>
              <w:left w:val="nil"/>
              <w:bottom w:val="single" w:sz="4" w:space="0" w:color="auto"/>
              <w:right w:val="single" w:sz="4" w:space="0" w:color="auto"/>
            </w:tcBorders>
            <w:shd w:val="clear" w:color="auto" w:fill="auto"/>
            <w:noWrap/>
            <w:vAlign w:val="bottom"/>
            <w:hideMark/>
          </w:tcPr>
          <w:p w14:paraId="7C418E4D"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22.2</w:t>
            </w:r>
          </w:p>
        </w:tc>
      </w:tr>
      <w:tr w:rsidR="00CD6352" w:rsidRPr="00295710" w14:paraId="03239861"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FAE25BF"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Government housing regulations and policies</w:t>
            </w:r>
          </w:p>
        </w:tc>
        <w:tc>
          <w:tcPr>
            <w:tcW w:w="1227" w:type="dxa"/>
            <w:tcBorders>
              <w:top w:val="nil"/>
              <w:left w:val="nil"/>
              <w:bottom w:val="single" w:sz="4" w:space="0" w:color="auto"/>
              <w:right w:val="single" w:sz="4" w:space="0" w:color="auto"/>
            </w:tcBorders>
            <w:shd w:val="clear" w:color="auto" w:fill="auto"/>
            <w:noWrap/>
            <w:vAlign w:val="bottom"/>
            <w:hideMark/>
          </w:tcPr>
          <w:p w14:paraId="56EB006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10.9</w:t>
            </w:r>
          </w:p>
        </w:tc>
        <w:tc>
          <w:tcPr>
            <w:tcW w:w="1008" w:type="dxa"/>
            <w:tcBorders>
              <w:top w:val="nil"/>
              <w:left w:val="nil"/>
              <w:bottom w:val="single" w:sz="4" w:space="0" w:color="auto"/>
              <w:right w:val="single" w:sz="4" w:space="0" w:color="auto"/>
            </w:tcBorders>
            <w:shd w:val="clear" w:color="auto" w:fill="auto"/>
            <w:noWrap/>
            <w:vAlign w:val="bottom"/>
            <w:hideMark/>
          </w:tcPr>
          <w:p w14:paraId="107B5E8A"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8.7</w:t>
            </w:r>
          </w:p>
        </w:tc>
        <w:tc>
          <w:tcPr>
            <w:tcW w:w="1124" w:type="dxa"/>
            <w:tcBorders>
              <w:top w:val="nil"/>
              <w:left w:val="nil"/>
              <w:bottom w:val="single" w:sz="4" w:space="0" w:color="auto"/>
              <w:right w:val="single" w:sz="4" w:space="0" w:color="auto"/>
            </w:tcBorders>
            <w:shd w:val="clear" w:color="auto" w:fill="auto"/>
            <w:noWrap/>
            <w:vAlign w:val="bottom"/>
            <w:hideMark/>
          </w:tcPr>
          <w:p w14:paraId="67E695EB"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23.9</w:t>
            </w:r>
          </w:p>
        </w:tc>
        <w:tc>
          <w:tcPr>
            <w:tcW w:w="1035" w:type="dxa"/>
            <w:tcBorders>
              <w:top w:val="nil"/>
              <w:left w:val="nil"/>
              <w:bottom w:val="single" w:sz="4" w:space="0" w:color="auto"/>
              <w:right w:val="single" w:sz="4" w:space="0" w:color="auto"/>
            </w:tcBorders>
            <w:shd w:val="clear" w:color="auto" w:fill="auto"/>
            <w:noWrap/>
            <w:vAlign w:val="bottom"/>
            <w:hideMark/>
          </w:tcPr>
          <w:p w14:paraId="141244A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37</w:t>
            </w:r>
          </w:p>
        </w:tc>
        <w:tc>
          <w:tcPr>
            <w:tcW w:w="1233" w:type="dxa"/>
            <w:tcBorders>
              <w:top w:val="nil"/>
              <w:left w:val="nil"/>
              <w:bottom w:val="single" w:sz="4" w:space="0" w:color="auto"/>
              <w:right w:val="single" w:sz="4" w:space="0" w:color="auto"/>
            </w:tcBorders>
            <w:shd w:val="clear" w:color="auto" w:fill="auto"/>
            <w:noWrap/>
            <w:vAlign w:val="bottom"/>
            <w:hideMark/>
          </w:tcPr>
          <w:p w14:paraId="1BE0337A"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19.6</w:t>
            </w:r>
          </w:p>
        </w:tc>
      </w:tr>
      <w:tr w:rsidR="00CD6352" w:rsidRPr="00295710" w14:paraId="2E745054"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99788A"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Emerging technologies</w:t>
            </w:r>
          </w:p>
        </w:tc>
        <w:tc>
          <w:tcPr>
            <w:tcW w:w="1227" w:type="dxa"/>
            <w:tcBorders>
              <w:top w:val="nil"/>
              <w:left w:val="nil"/>
              <w:bottom w:val="single" w:sz="4" w:space="0" w:color="auto"/>
              <w:right w:val="single" w:sz="4" w:space="0" w:color="auto"/>
            </w:tcBorders>
            <w:shd w:val="clear" w:color="auto" w:fill="auto"/>
            <w:noWrap/>
            <w:vAlign w:val="bottom"/>
            <w:hideMark/>
          </w:tcPr>
          <w:p w14:paraId="25B1FB9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4.3</w:t>
            </w:r>
          </w:p>
        </w:tc>
        <w:tc>
          <w:tcPr>
            <w:tcW w:w="1008" w:type="dxa"/>
            <w:tcBorders>
              <w:top w:val="nil"/>
              <w:left w:val="nil"/>
              <w:bottom w:val="single" w:sz="4" w:space="0" w:color="auto"/>
              <w:right w:val="single" w:sz="4" w:space="0" w:color="auto"/>
            </w:tcBorders>
            <w:shd w:val="clear" w:color="auto" w:fill="auto"/>
            <w:noWrap/>
            <w:vAlign w:val="bottom"/>
            <w:hideMark/>
          </w:tcPr>
          <w:p w14:paraId="380C7AFA"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10.9</w:t>
            </w:r>
          </w:p>
        </w:tc>
        <w:tc>
          <w:tcPr>
            <w:tcW w:w="1124" w:type="dxa"/>
            <w:tcBorders>
              <w:top w:val="nil"/>
              <w:left w:val="nil"/>
              <w:bottom w:val="single" w:sz="4" w:space="0" w:color="auto"/>
              <w:right w:val="single" w:sz="4" w:space="0" w:color="auto"/>
            </w:tcBorders>
            <w:shd w:val="clear" w:color="auto" w:fill="auto"/>
            <w:noWrap/>
            <w:vAlign w:val="bottom"/>
            <w:hideMark/>
          </w:tcPr>
          <w:p w14:paraId="51D691D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39.1</w:t>
            </w:r>
          </w:p>
        </w:tc>
        <w:tc>
          <w:tcPr>
            <w:tcW w:w="1035" w:type="dxa"/>
            <w:tcBorders>
              <w:top w:val="nil"/>
              <w:left w:val="nil"/>
              <w:bottom w:val="single" w:sz="4" w:space="0" w:color="auto"/>
              <w:right w:val="single" w:sz="4" w:space="0" w:color="auto"/>
            </w:tcBorders>
            <w:shd w:val="clear" w:color="auto" w:fill="auto"/>
            <w:noWrap/>
            <w:vAlign w:val="bottom"/>
            <w:hideMark/>
          </w:tcPr>
          <w:p w14:paraId="2FA5AC24"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28.3</w:t>
            </w:r>
          </w:p>
        </w:tc>
        <w:tc>
          <w:tcPr>
            <w:tcW w:w="1233" w:type="dxa"/>
            <w:tcBorders>
              <w:top w:val="nil"/>
              <w:left w:val="nil"/>
              <w:bottom w:val="single" w:sz="4" w:space="0" w:color="auto"/>
              <w:right w:val="single" w:sz="4" w:space="0" w:color="auto"/>
            </w:tcBorders>
            <w:shd w:val="clear" w:color="auto" w:fill="auto"/>
            <w:noWrap/>
            <w:vAlign w:val="bottom"/>
            <w:hideMark/>
          </w:tcPr>
          <w:p w14:paraId="01C99C0D"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17.4</w:t>
            </w:r>
          </w:p>
        </w:tc>
      </w:tr>
      <w:tr w:rsidR="00CD6352" w:rsidRPr="00295710" w14:paraId="3FB96BAE"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F3A636F"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Favourable land use and ownership laws</w:t>
            </w:r>
          </w:p>
        </w:tc>
        <w:tc>
          <w:tcPr>
            <w:tcW w:w="1227" w:type="dxa"/>
            <w:tcBorders>
              <w:top w:val="nil"/>
              <w:left w:val="nil"/>
              <w:bottom w:val="single" w:sz="4" w:space="0" w:color="auto"/>
              <w:right w:val="single" w:sz="4" w:space="0" w:color="auto"/>
            </w:tcBorders>
            <w:shd w:val="clear" w:color="auto" w:fill="auto"/>
            <w:noWrap/>
            <w:vAlign w:val="bottom"/>
            <w:hideMark/>
          </w:tcPr>
          <w:p w14:paraId="3E057DA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4.4</w:t>
            </w:r>
          </w:p>
        </w:tc>
        <w:tc>
          <w:tcPr>
            <w:tcW w:w="1008" w:type="dxa"/>
            <w:tcBorders>
              <w:top w:val="nil"/>
              <w:left w:val="nil"/>
              <w:bottom w:val="single" w:sz="4" w:space="0" w:color="auto"/>
              <w:right w:val="single" w:sz="4" w:space="0" w:color="auto"/>
            </w:tcBorders>
            <w:shd w:val="clear" w:color="auto" w:fill="auto"/>
            <w:noWrap/>
            <w:vAlign w:val="bottom"/>
            <w:hideMark/>
          </w:tcPr>
          <w:p w14:paraId="73B251D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13.3</w:t>
            </w:r>
          </w:p>
        </w:tc>
        <w:tc>
          <w:tcPr>
            <w:tcW w:w="1124" w:type="dxa"/>
            <w:tcBorders>
              <w:top w:val="nil"/>
              <w:left w:val="nil"/>
              <w:bottom w:val="single" w:sz="4" w:space="0" w:color="auto"/>
              <w:right w:val="single" w:sz="4" w:space="0" w:color="auto"/>
            </w:tcBorders>
            <w:shd w:val="clear" w:color="auto" w:fill="auto"/>
            <w:noWrap/>
            <w:vAlign w:val="bottom"/>
            <w:hideMark/>
          </w:tcPr>
          <w:p w14:paraId="1AF9E38C"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35.6</w:t>
            </w:r>
          </w:p>
        </w:tc>
        <w:tc>
          <w:tcPr>
            <w:tcW w:w="1035" w:type="dxa"/>
            <w:tcBorders>
              <w:top w:val="nil"/>
              <w:left w:val="nil"/>
              <w:bottom w:val="single" w:sz="4" w:space="0" w:color="auto"/>
              <w:right w:val="single" w:sz="4" w:space="0" w:color="auto"/>
            </w:tcBorders>
            <w:shd w:val="clear" w:color="auto" w:fill="auto"/>
            <w:noWrap/>
            <w:vAlign w:val="bottom"/>
            <w:hideMark/>
          </w:tcPr>
          <w:p w14:paraId="7F9B27E1"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31.1</w:t>
            </w:r>
          </w:p>
        </w:tc>
        <w:tc>
          <w:tcPr>
            <w:tcW w:w="1233" w:type="dxa"/>
            <w:tcBorders>
              <w:top w:val="nil"/>
              <w:left w:val="nil"/>
              <w:bottom w:val="single" w:sz="4" w:space="0" w:color="auto"/>
              <w:right w:val="single" w:sz="4" w:space="0" w:color="auto"/>
            </w:tcBorders>
            <w:shd w:val="clear" w:color="auto" w:fill="auto"/>
            <w:noWrap/>
            <w:vAlign w:val="bottom"/>
            <w:hideMark/>
          </w:tcPr>
          <w:p w14:paraId="7E55E183"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r>
      <w:tr w:rsidR="00CD6352" w:rsidRPr="00295710" w14:paraId="39BF5603"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764CD40"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Favourable tax platforms</w:t>
            </w:r>
          </w:p>
        </w:tc>
        <w:tc>
          <w:tcPr>
            <w:tcW w:w="1227" w:type="dxa"/>
            <w:tcBorders>
              <w:top w:val="nil"/>
              <w:left w:val="nil"/>
              <w:bottom w:val="single" w:sz="4" w:space="0" w:color="auto"/>
              <w:right w:val="single" w:sz="4" w:space="0" w:color="auto"/>
            </w:tcBorders>
            <w:shd w:val="clear" w:color="auto" w:fill="auto"/>
            <w:noWrap/>
            <w:vAlign w:val="bottom"/>
            <w:hideMark/>
          </w:tcPr>
          <w:p w14:paraId="0122DE54"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c>
          <w:tcPr>
            <w:tcW w:w="1008" w:type="dxa"/>
            <w:tcBorders>
              <w:top w:val="nil"/>
              <w:left w:val="nil"/>
              <w:bottom w:val="single" w:sz="4" w:space="0" w:color="auto"/>
              <w:right w:val="single" w:sz="4" w:space="0" w:color="auto"/>
            </w:tcBorders>
            <w:shd w:val="clear" w:color="auto" w:fill="auto"/>
            <w:noWrap/>
            <w:vAlign w:val="bottom"/>
            <w:hideMark/>
          </w:tcPr>
          <w:p w14:paraId="31B7FA5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17.8</w:t>
            </w:r>
          </w:p>
        </w:tc>
        <w:tc>
          <w:tcPr>
            <w:tcW w:w="1124" w:type="dxa"/>
            <w:tcBorders>
              <w:top w:val="nil"/>
              <w:left w:val="nil"/>
              <w:bottom w:val="single" w:sz="4" w:space="0" w:color="auto"/>
              <w:right w:val="single" w:sz="4" w:space="0" w:color="auto"/>
            </w:tcBorders>
            <w:shd w:val="clear" w:color="auto" w:fill="auto"/>
            <w:noWrap/>
            <w:vAlign w:val="bottom"/>
            <w:hideMark/>
          </w:tcPr>
          <w:p w14:paraId="7A0B631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22.2</w:t>
            </w:r>
          </w:p>
        </w:tc>
        <w:tc>
          <w:tcPr>
            <w:tcW w:w="1035" w:type="dxa"/>
            <w:tcBorders>
              <w:top w:val="nil"/>
              <w:left w:val="nil"/>
              <w:bottom w:val="single" w:sz="4" w:space="0" w:color="auto"/>
              <w:right w:val="single" w:sz="4" w:space="0" w:color="auto"/>
            </w:tcBorders>
            <w:shd w:val="clear" w:color="auto" w:fill="auto"/>
            <w:noWrap/>
            <w:vAlign w:val="bottom"/>
            <w:hideMark/>
          </w:tcPr>
          <w:p w14:paraId="21E5A1B8"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28.9</w:t>
            </w:r>
          </w:p>
        </w:tc>
        <w:tc>
          <w:tcPr>
            <w:tcW w:w="1233" w:type="dxa"/>
            <w:tcBorders>
              <w:top w:val="nil"/>
              <w:left w:val="nil"/>
              <w:bottom w:val="single" w:sz="4" w:space="0" w:color="auto"/>
              <w:right w:val="single" w:sz="4" w:space="0" w:color="auto"/>
            </w:tcBorders>
            <w:shd w:val="clear" w:color="auto" w:fill="auto"/>
            <w:noWrap/>
            <w:vAlign w:val="bottom"/>
            <w:hideMark/>
          </w:tcPr>
          <w:p w14:paraId="0179D3CF"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r>
      <w:tr w:rsidR="00CD6352" w:rsidRPr="00295710" w14:paraId="29821A93"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C537233"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Strong judiciary system</w:t>
            </w:r>
          </w:p>
        </w:tc>
        <w:tc>
          <w:tcPr>
            <w:tcW w:w="1227" w:type="dxa"/>
            <w:tcBorders>
              <w:top w:val="nil"/>
              <w:left w:val="nil"/>
              <w:bottom w:val="single" w:sz="4" w:space="0" w:color="auto"/>
              <w:right w:val="single" w:sz="4" w:space="0" w:color="auto"/>
            </w:tcBorders>
            <w:shd w:val="clear" w:color="auto" w:fill="auto"/>
            <w:noWrap/>
            <w:vAlign w:val="bottom"/>
            <w:hideMark/>
          </w:tcPr>
          <w:p w14:paraId="2851144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8.7</w:t>
            </w:r>
          </w:p>
        </w:tc>
        <w:tc>
          <w:tcPr>
            <w:tcW w:w="1008" w:type="dxa"/>
            <w:tcBorders>
              <w:top w:val="nil"/>
              <w:left w:val="nil"/>
              <w:bottom w:val="single" w:sz="4" w:space="0" w:color="auto"/>
              <w:right w:val="single" w:sz="4" w:space="0" w:color="auto"/>
            </w:tcBorders>
            <w:shd w:val="clear" w:color="auto" w:fill="auto"/>
            <w:noWrap/>
            <w:vAlign w:val="bottom"/>
            <w:hideMark/>
          </w:tcPr>
          <w:p w14:paraId="4983A41C"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w:t>
            </w:r>
          </w:p>
        </w:tc>
        <w:tc>
          <w:tcPr>
            <w:tcW w:w="1124" w:type="dxa"/>
            <w:tcBorders>
              <w:top w:val="nil"/>
              <w:left w:val="nil"/>
              <w:bottom w:val="single" w:sz="4" w:space="0" w:color="auto"/>
              <w:right w:val="single" w:sz="4" w:space="0" w:color="auto"/>
            </w:tcBorders>
            <w:shd w:val="clear" w:color="auto" w:fill="auto"/>
            <w:noWrap/>
            <w:vAlign w:val="bottom"/>
            <w:hideMark/>
          </w:tcPr>
          <w:p w14:paraId="5A3BA87A"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30.4</w:t>
            </w:r>
          </w:p>
        </w:tc>
        <w:tc>
          <w:tcPr>
            <w:tcW w:w="1035" w:type="dxa"/>
            <w:tcBorders>
              <w:top w:val="nil"/>
              <w:left w:val="nil"/>
              <w:bottom w:val="single" w:sz="4" w:space="0" w:color="auto"/>
              <w:right w:val="single" w:sz="4" w:space="0" w:color="auto"/>
            </w:tcBorders>
            <w:shd w:val="clear" w:color="auto" w:fill="auto"/>
            <w:noWrap/>
            <w:vAlign w:val="bottom"/>
            <w:hideMark/>
          </w:tcPr>
          <w:p w14:paraId="3DBB362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32.6</w:t>
            </w:r>
          </w:p>
        </w:tc>
        <w:tc>
          <w:tcPr>
            <w:tcW w:w="1233" w:type="dxa"/>
            <w:tcBorders>
              <w:top w:val="nil"/>
              <w:left w:val="nil"/>
              <w:bottom w:val="single" w:sz="4" w:space="0" w:color="auto"/>
              <w:right w:val="single" w:sz="4" w:space="0" w:color="auto"/>
            </w:tcBorders>
            <w:shd w:val="clear" w:color="auto" w:fill="auto"/>
            <w:noWrap/>
            <w:vAlign w:val="bottom"/>
            <w:hideMark/>
          </w:tcPr>
          <w:p w14:paraId="521923E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15.2</w:t>
            </w:r>
          </w:p>
        </w:tc>
      </w:tr>
      <w:tr w:rsidR="00CD6352" w:rsidRPr="00295710" w14:paraId="730DE621"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F4236D7"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Infrastructure quality</w:t>
            </w:r>
          </w:p>
        </w:tc>
        <w:tc>
          <w:tcPr>
            <w:tcW w:w="1227" w:type="dxa"/>
            <w:tcBorders>
              <w:top w:val="nil"/>
              <w:left w:val="nil"/>
              <w:bottom w:val="single" w:sz="4" w:space="0" w:color="auto"/>
              <w:right w:val="single" w:sz="4" w:space="0" w:color="auto"/>
            </w:tcBorders>
            <w:shd w:val="clear" w:color="auto" w:fill="auto"/>
            <w:noWrap/>
            <w:vAlign w:val="bottom"/>
            <w:hideMark/>
          </w:tcPr>
          <w:p w14:paraId="2A3ED43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11.1</w:t>
            </w:r>
          </w:p>
        </w:tc>
        <w:tc>
          <w:tcPr>
            <w:tcW w:w="1008" w:type="dxa"/>
            <w:tcBorders>
              <w:top w:val="nil"/>
              <w:left w:val="nil"/>
              <w:bottom w:val="single" w:sz="4" w:space="0" w:color="auto"/>
              <w:right w:val="single" w:sz="4" w:space="0" w:color="auto"/>
            </w:tcBorders>
            <w:shd w:val="clear" w:color="auto" w:fill="auto"/>
            <w:noWrap/>
            <w:vAlign w:val="bottom"/>
            <w:hideMark/>
          </w:tcPr>
          <w:p w14:paraId="475FEA11"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8.9</w:t>
            </w:r>
          </w:p>
        </w:tc>
        <w:tc>
          <w:tcPr>
            <w:tcW w:w="1124" w:type="dxa"/>
            <w:tcBorders>
              <w:top w:val="nil"/>
              <w:left w:val="nil"/>
              <w:bottom w:val="single" w:sz="4" w:space="0" w:color="auto"/>
              <w:right w:val="single" w:sz="4" w:space="0" w:color="auto"/>
            </w:tcBorders>
            <w:shd w:val="clear" w:color="auto" w:fill="auto"/>
            <w:noWrap/>
            <w:vAlign w:val="bottom"/>
            <w:hideMark/>
          </w:tcPr>
          <w:p w14:paraId="45A36ED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26.7</w:t>
            </w:r>
          </w:p>
        </w:tc>
        <w:tc>
          <w:tcPr>
            <w:tcW w:w="1035" w:type="dxa"/>
            <w:tcBorders>
              <w:top w:val="nil"/>
              <w:left w:val="nil"/>
              <w:bottom w:val="single" w:sz="4" w:space="0" w:color="auto"/>
              <w:right w:val="single" w:sz="4" w:space="0" w:color="auto"/>
            </w:tcBorders>
            <w:shd w:val="clear" w:color="auto" w:fill="auto"/>
            <w:noWrap/>
            <w:vAlign w:val="bottom"/>
            <w:hideMark/>
          </w:tcPr>
          <w:p w14:paraId="29DFC75C"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40</w:t>
            </w:r>
          </w:p>
        </w:tc>
        <w:tc>
          <w:tcPr>
            <w:tcW w:w="1233" w:type="dxa"/>
            <w:tcBorders>
              <w:top w:val="nil"/>
              <w:left w:val="nil"/>
              <w:bottom w:val="single" w:sz="4" w:space="0" w:color="auto"/>
              <w:right w:val="single" w:sz="4" w:space="0" w:color="auto"/>
            </w:tcBorders>
            <w:shd w:val="clear" w:color="auto" w:fill="auto"/>
            <w:noWrap/>
            <w:vAlign w:val="bottom"/>
            <w:hideMark/>
          </w:tcPr>
          <w:p w14:paraId="08EFD01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13.3</w:t>
            </w:r>
          </w:p>
        </w:tc>
      </w:tr>
      <w:tr w:rsidR="00CD6352" w:rsidRPr="00295710" w14:paraId="2D72C138"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742648A"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Market liquidity</w:t>
            </w:r>
          </w:p>
        </w:tc>
        <w:tc>
          <w:tcPr>
            <w:tcW w:w="1227" w:type="dxa"/>
            <w:tcBorders>
              <w:top w:val="nil"/>
              <w:left w:val="nil"/>
              <w:bottom w:val="single" w:sz="4" w:space="0" w:color="auto"/>
              <w:right w:val="single" w:sz="4" w:space="0" w:color="auto"/>
            </w:tcBorders>
            <w:shd w:val="clear" w:color="auto" w:fill="auto"/>
            <w:noWrap/>
            <w:vAlign w:val="bottom"/>
            <w:hideMark/>
          </w:tcPr>
          <w:p w14:paraId="4917F958"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8.9</w:t>
            </w:r>
          </w:p>
        </w:tc>
        <w:tc>
          <w:tcPr>
            <w:tcW w:w="1008" w:type="dxa"/>
            <w:tcBorders>
              <w:top w:val="nil"/>
              <w:left w:val="nil"/>
              <w:bottom w:val="single" w:sz="4" w:space="0" w:color="auto"/>
              <w:right w:val="single" w:sz="4" w:space="0" w:color="auto"/>
            </w:tcBorders>
            <w:shd w:val="clear" w:color="auto" w:fill="auto"/>
            <w:noWrap/>
            <w:vAlign w:val="bottom"/>
            <w:hideMark/>
          </w:tcPr>
          <w:p w14:paraId="37C57E8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c>
          <w:tcPr>
            <w:tcW w:w="1124" w:type="dxa"/>
            <w:tcBorders>
              <w:top w:val="nil"/>
              <w:left w:val="nil"/>
              <w:bottom w:val="single" w:sz="4" w:space="0" w:color="auto"/>
              <w:right w:val="single" w:sz="4" w:space="0" w:color="auto"/>
            </w:tcBorders>
            <w:shd w:val="clear" w:color="auto" w:fill="auto"/>
            <w:noWrap/>
            <w:vAlign w:val="bottom"/>
            <w:hideMark/>
          </w:tcPr>
          <w:p w14:paraId="2E931D64"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22.2</w:t>
            </w:r>
          </w:p>
        </w:tc>
        <w:tc>
          <w:tcPr>
            <w:tcW w:w="1035" w:type="dxa"/>
            <w:tcBorders>
              <w:top w:val="nil"/>
              <w:left w:val="nil"/>
              <w:bottom w:val="single" w:sz="4" w:space="0" w:color="auto"/>
              <w:right w:val="single" w:sz="4" w:space="0" w:color="auto"/>
            </w:tcBorders>
            <w:shd w:val="clear" w:color="auto" w:fill="auto"/>
            <w:noWrap/>
            <w:vAlign w:val="bottom"/>
            <w:hideMark/>
          </w:tcPr>
          <w:p w14:paraId="5CDB48D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40</w:t>
            </w:r>
          </w:p>
        </w:tc>
        <w:tc>
          <w:tcPr>
            <w:tcW w:w="1233" w:type="dxa"/>
            <w:tcBorders>
              <w:top w:val="nil"/>
              <w:left w:val="nil"/>
              <w:bottom w:val="single" w:sz="4" w:space="0" w:color="auto"/>
              <w:right w:val="single" w:sz="4" w:space="0" w:color="auto"/>
            </w:tcBorders>
            <w:shd w:val="clear" w:color="auto" w:fill="auto"/>
            <w:noWrap/>
            <w:vAlign w:val="bottom"/>
            <w:hideMark/>
          </w:tcPr>
          <w:p w14:paraId="63862CD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13.3</w:t>
            </w:r>
          </w:p>
        </w:tc>
      </w:tr>
      <w:tr w:rsidR="00CD6352" w:rsidRPr="00295710" w14:paraId="11FA4F01"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66B5304"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 xml:space="preserve">Market maturity and transparency </w:t>
            </w:r>
          </w:p>
        </w:tc>
        <w:tc>
          <w:tcPr>
            <w:tcW w:w="1227" w:type="dxa"/>
            <w:tcBorders>
              <w:top w:val="nil"/>
              <w:left w:val="nil"/>
              <w:bottom w:val="single" w:sz="4" w:space="0" w:color="auto"/>
              <w:right w:val="single" w:sz="4" w:space="0" w:color="auto"/>
            </w:tcBorders>
            <w:shd w:val="clear" w:color="auto" w:fill="auto"/>
            <w:noWrap/>
            <w:vAlign w:val="bottom"/>
            <w:hideMark/>
          </w:tcPr>
          <w:p w14:paraId="7E5C99D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8.9</w:t>
            </w:r>
          </w:p>
        </w:tc>
        <w:tc>
          <w:tcPr>
            <w:tcW w:w="1008" w:type="dxa"/>
            <w:tcBorders>
              <w:top w:val="nil"/>
              <w:left w:val="nil"/>
              <w:bottom w:val="single" w:sz="4" w:space="0" w:color="auto"/>
              <w:right w:val="single" w:sz="4" w:space="0" w:color="auto"/>
            </w:tcBorders>
            <w:shd w:val="clear" w:color="auto" w:fill="auto"/>
            <w:noWrap/>
            <w:vAlign w:val="bottom"/>
            <w:hideMark/>
          </w:tcPr>
          <w:p w14:paraId="4186C1B2"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15.6</w:t>
            </w:r>
          </w:p>
        </w:tc>
        <w:tc>
          <w:tcPr>
            <w:tcW w:w="1124" w:type="dxa"/>
            <w:tcBorders>
              <w:top w:val="nil"/>
              <w:left w:val="nil"/>
              <w:bottom w:val="single" w:sz="4" w:space="0" w:color="auto"/>
              <w:right w:val="single" w:sz="4" w:space="0" w:color="auto"/>
            </w:tcBorders>
            <w:shd w:val="clear" w:color="auto" w:fill="auto"/>
            <w:noWrap/>
            <w:vAlign w:val="bottom"/>
            <w:hideMark/>
          </w:tcPr>
          <w:p w14:paraId="69C1956A"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22.2</w:t>
            </w:r>
          </w:p>
        </w:tc>
        <w:tc>
          <w:tcPr>
            <w:tcW w:w="1035" w:type="dxa"/>
            <w:tcBorders>
              <w:top w:val="nil"/>
              <w:left w:val="nil"/>
              <w:bottom w:val="single" w:sz="4" w:space="0" w:color="auto"/>
              <w:right w:val="single" w:sz="4" w:space="0" w:color="auto"/>
            </w:tcBorders>
            <w:shd w:val="clear" w:color="auto" w:fill="auto"/>
            <w:noWrap/>
            <w:vAlign w:val="bottom"/>
            <w:hideMark/>
          </w:tcPr>
          <w:p w14:paraId="428DF5D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40</w:t>
            </w:r>
          </w:p>
        </w:tc>
        <w:tc>
          <w:tcPr>
            <w:tcW w:w="1233" w:type="dxa"/>
            <w:tcBorders>
              <w:top w:val="nil"/>
              <w:left w:val="nil"/>
              <w:bottom w:val="single" w:sz="4" w:space="0" w:color="auto"/>
              <w:right w:val="single" w:sz="4" w:space="0" w:color="auto"/>
            </w:tcBorders>
            <w:shd w:val="clear" w:color="auto" w:fill="auto"/>
            <w:noWrap/>
            <w:vAlign w:val="bottom"/>
            <w:hideMark/>
          </w:tcPr>
          <w:p w14:paraId="5B1D66B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13.3</w:t>
            </w:r>
          </w:p>
        </w:tc>
      </w:tr>
      <w:tr w:rsidR="00CD6352" w:rsidRPr="00295710" w14:paraId="572497A2"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05D4059"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Government monetary and fiscal policies</w:t>
            </w:r>
          </w:p>
        </w:tc>
        <w:tc>
          <w:tcPr>
            <w:tcW w:w="1227" w:type="dxa"/>
            <w:tcBorders>
              <w:top w:val="nil"/>
              <w:left w:val="nil"/>
              <w:bottom w:val="single" w:sz="4" w:space="0" w:color="auto"/>
              <w:right w:val="single" w:sz="4" w:space="0" w:color="auto"/>
            </w:tcBorders>
            <w:shd w:val="clear" w:color="auto" w:fill="auto"/>
            <w:noWrap/>
            <w:vAlign w:val="bottom"/>
            <w:hideMark/>
          </w:tcPr>
          <w:p w14:paraId="447A7AF6"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10.9</w:t>
            </w:r>
          </w:p>
        </w:tc>
        <w:tc>
          <w:tcPr>
            <w:tcW w:w="1008" w:type="dxa"/>
            <w:tcBorders>
              <w:top w:val="nil"/>
              <w:left w:val="nil"/>
              <w:bottom w:val="single" w:sz="4" w:space="0" w:color="auto"/>
              <w:right w:val="single" w:sz="4" w:space="0" w:color="auto"/>
            </w:tcBorders>
            <w:shd w:val="clear" w:color="auto" w:fill="auto"/>
            <w:noWrap/>
            <w:vAlign w:val="bottom"/>
            <w:hideMark/>
          </w:tcPr>
          <w:p w14:paraId="29CC071C"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w:t>
            </w:r>
          </w:p>
        </w:tc>
        <w:tc>
          <w:tcPr>
            <w:tcW w:w="1124" w:type="dxa"/>
            <w:tcBorders>
              <w:top w:val="nil"/>
              <w:left w:val="nil"/>
              <w:bottom w:val="single" w:sz="4" w:space="0" w:color="auto"/>
              <w:right w:val="single" w:sz="4" w:space="0" w:color="auto"/>
            </w:tcBorders>
            <w:shd w:val="clear" w:color="auto" w:fill="auto"/>
            <w:noWrap/>
            <w:vAlign w:val="bottom"/>
            <w:hideMark/>
          </w:tcPr>
          <w:p w14:paraId="13398B8D"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23.9</w:t>
            </w:r>
          </w:p>
        </w:tc>
        <w:tc>
          <w:tcPr>
            <w:tcW w:w="1035" w:type="dxa"/>
            <w:tcBorders>
              <w:top w:val="nil"/>
              <w:left w:val="nil"/>
              <w:bottom w:val="single" w:sz="4" w:space="0" w:color="auto"/>
              <w:right w:val="single" w:sz="4" w:space="0" w:color="auto"/>
            </w:tcBorders>
            <w:shd w:val="clear" w:color="auto" w:fill="auto"/>
            <w:noWrap/>
            <w:vAlign w:val="bottom"/>
            <w:hideMark/>
          </w:tcPr>
          <w:p w14:paraId="21AB538D"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39.1</w:t>
            </w:r>
          </w:p>
        </w:tc>
        <w:tc>
          <w:tcPr>
            <w:tcW w:w="1233" w:type="dxa"/>
            <w:tcBorders>
              <w:top w:val="nil"/>
              <w:left w:val="nil"/>
              <w:bottom w:val="single" w:sz="4" w:space="0" w:color="auto"/>
              <w:right w:val="single" w:sz="4" w:space="0" w:color="auto"/>
            </w:tcBorders>
            <w:shd w:val="clear" w:color="auto" w:fill="auto"/>
            <w:noWrap/>
            <w:vAlign w:val="bottom"/>
            <w:hideMark/>
          </w:tcPr>
          <w:p w14:paraId="44B10BF5"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w:t>
            </w:r>
          </w:p>
        </w:tc>
      </w:tr>
      <w:tr w:rsidR="00CD6352" w:rsidRPr="00295710" w14:paraId="4AB1E221"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1DA15B1"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Highly skilled labour force</w:t>
            </w:r>
          </w:p>
        </w:tc>
        <w:tc>
          <w:tcPr>
            <w:tcW w:w="1227" w:type="dxa"/>
            <w:tcBorders>
              <w:top w:val="nil"/>
              <w:left w:val="nil"/>
              <w:bottom w:val="single" w:sz="4" w:space="0" w:color="auto"/>
              <w:right w:val="single" w:sz="4" w:space="0" w:color="auto"/>
            </w:tcBorders>
            <w:shd w:val="clear" w:color="auto" w:fill="auto"/>
            <w:noWrap/>
            <w:vAlign w:val="bottom"/>
            <w:hideMark/>
          </w:tcPr>
          <w:p w14:paraId="167EFA1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10.9</w:t>
            </w:r>
          </w:p>
        </w:tc>
        <w:tc>
          <w:tcPr>
            <w:tcW w:w="1008" w:type="dxa"/>
            <w:tcBorders>
              <w:top w:val="nil"/>
              <w:left w:val="nil"/>
              <w:bottom w:val="single" w:sz="4" w:space="0" w:color="auto"/>
              <w:right w:val="single" w:sz="4" w:space="0" w:color="auto"/>
            </w:tcBorders>
            <w:shd w:val="clear" w:color="auto" w:fill="auto"/>
            <w:noWrap/>
            <w:vAlign w:val="bottom"/>
            <w:hideMark/>
          </w:tcPr>
          <w:p w14:paraId="204D5FE9"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w:t>
            </w:r>
          </w:p>
        </w:tc>
        <w:tc>
          <w:tcPr>
            <w:tcW w:w="1124" w:type="dxa"/>
            <w:tcBorders>
              <w:top w:val="nil"/>
              <w:left w:val="nil"/>
              <w:bottom w:val="single" w:sz="4" w:space="0" w:color="auto"/>
              <w:right w:val="single" w:sz="4" w:space="0" w:color="auto"/>
            </w:tcBorders>
            <w:shd w:val="clear" w:color="auto" w:fill="auto"/>
            <w:noWrap/>
            <w:vAlign w:val="bottom"/>
            <w:hideMark/>
          </w:tcPr>
          <w:p w14:paraId="5365246B"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37</w:t>
            </w:r>
          </w:p>
        </w:tc>
        <w:tc>
          <w:tcPr>
            <w:tcW w:w="1035" w:type="dxa"/>
            <w:tcBorders>
              <w:top w:val="nil"/>
              <w:left w:val="nil"/>
              <w:bottom w:val="single" w:sz="4" w:space="0" w:color="auto"/>
              <w:right w:val="single" w:sz="4" w:space="0" w:color="auto"/>
            </w:tcBorders>
            <w:shd w:val="clear" w:color="auto" w:fill="auto"/>
            <w:noWrap/>
            <w:vAlign w:val="bottom"/>
            <w:hideMark/>
          </w:tcPr>
          <w:p w14:paraId="6A32EE3E"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26.1</w:t>
            </w:r>
          </w:p>
        </w:tc>
        <w:tc>
          <w:tcPr>
            <w:tcW w:w="1233" w:type="dxa"/>
            <w:tcBorders>
              <w:top w:val="nil"/>
              <w:left w:val="nil"/>
              <w:bottom w:val="single" w:sz="4" w:space="0" w:color="auto"/>
              <w:right w:val="single" w:sz="4" w:space="0" w:color="auto"/>
            </w:tcBorders>
            <w:shd w:val="clear" w:color="auto" w:fill="auto"/>
            <w:noWrap/>
            <w:vAlign w:val="bottom"/>
            <w:hideMark/>
          </w:tcPr>
          <w:p w14:paraId="3EEAA46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13</w:t>
            </w:r>
          </w:p>
        </w:tc>
      </w:tr>
      <w:tr w:rsidR="00CD6352" w:rsidRPr="00295710" w14:paraId="1FC999D3"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53CD63F"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Institutional real estate market size</w:t>
            </w:r>
          </w:p>
        </w:tc>
        <w:tc>
          <w:tcPr>
            <w:tcW w:w="1227" w:type="dxa"/>
            <w:tcBorders>
              <w:top w:val="nil"/>
              <w:left w:val="nil"/>
              <w:bottom w:val="single" w:sz="4" w:space="0" w:color="auto"/>
              <w:right w:val="single" w:sz="4" w:space="0" w:color="auto"/>
            </w:tcBorders>
            <w:shd w:val="clear" w:color="auto" w:fill="auto"/>
            <w:noWrap/>
            <w:vAlign w:val="bottom"/>
            <w:hideMark/>
          </w:tcPr>
          <w:p w14:paraId="29F3E29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9.1</w:t>
            </w:r>
          </w:p>
        </w:tc>
        <w:tc>
          <w:tcPr>
            <w:tcW w:w="1008" w:type="dxa"/>
            <w:tcBorders>
              <w:top w:val="nil"/>
              <w:left w:val="nil"/>
              <w:bottom w:val="single" w:sz="4" w:space="0" w:color="auto"/>
              <w:right w:val="single" w:sz="4" w:space="0" w:color="auto"/>
            </w:tcBorders>
            <w:shd w:val="clear" w:color="auto" w:fill="auto"/>
            <w:noWrap/>
            <w:vAlign w:val="bottom"/>
            <w:hideMark/>
          </w:tcPr>
          <w:p w14:paraId="0C487B13"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9.1</w:t>
            </w:r>
          </w:p>
        </w:tc>
        <w:tc>
          <w:tcPr>
            <w:tcW w:w="1124" w:type="dxa"/>
            <w:tcBorders>
              <w:top w:val="nil"/>
              <w:left w:val="nil"/>
              <w:bottom w:val="single" w:sz="4" w:space="0" w:color="auto"/>
              <w:right w:val="single" w:sz="4" w:space="0" w:color="auto"/>
            </w:tcBorders>
            <w:shd w:val="clear" w:color="auto" w:fill="auto"/>
            <w:noWrap/>
            <w:vAlign w:val="bottom"/>
            <w:hideMark/>
          </w:tcPr>
          <w:p w14:paraId="53A62E91"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22.7</w:t>
            </w:r>
          </w:p>
        </w:tc>
        <w:tc>
          <w:tcPr>
            <w:tcW w:w="1035" w:type="dxa"/>
            <w:tcBorders>
              <w:top w:val="nil"/>
              <w:left w:val="nil"/>
              <w:bottom w:val="single" w:sz="4" w:space="0" w:color="auto"/>
              <w:right w:val="single" w:sz="4" w:space="0" w:color="auto"/>
            </w:tcBorders>
            <w:shd w:val="clear" w:color="auto" w:fill="auto"/>
            <w:noWrap/>
            <w:vAlign w:val="bottom"/>
            <w:hideMark/>
          </w:tcPr>
          <w:p w14:paraId="29554007"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47.7</w:t>
            </w:r>
          </w:p>
        </w:tc>
        <w:tc>
          <w:tcPr>
            <w:tcW w:w="1233" w:type="dxa"/>
            <w:tcBorders>
              <w:top w:val="nil"/>
              <w:left w:val="nil"/>
              <w:bottom w:val="single" w:sz="4" w:space="0" w:color="auto"/>
              <w:right w:val="single" w:sz="4" w:space="0" w:color="auto"/>
            </w:tcBorders>
            <w:shd w:val="clear" w:color="auto" w:fill="auto"/>
            <w:noWrap/>
            <w:vAlign w:val="bottom"/>
            <w:hideMark/>
          </w:tcPr>
          <w:p w14:paraId="46860DBB"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11.4</w:t>
            </w:r>
          </w:p>
        </w:tc>
      </w:tr>
      <w:tr w:rsidR="00CD6352" w:rsidRPr="00295710" w14:paraId="1DEB4102" w14:textId="77777777" w:rsidTr="0029571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41EF3CB" w14:textId="77777777" w:rsidR="00CD6352" w:rsidRPr="00295710" w:rsidRDefault="00CD6352" w:rsidP="00CD6352">
            <w:pPr>
              <w:spacing w:after="0" w:line="240" w:lineRule="auto"/>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Foreign exchange stability</w:t>
            </w:r>
          </w:p>
        </w:tc>
        <w:tc>
          <w:tcPr>
            <w:tcW w:w="1227" w:type="dxa"/>
            <w:tcBorders>
              <w:top w:val="nil"/>
              <w:left w:val="nil"/>
              <w:bottom w:val="single" w:sz="4" w:space="0" w:color="auto"/>
              <w:right w:val="single" w:sz="4" w:space="0" w:color="auto"/>
            </w:tcBorders>
            <w:shd w:val="clear" w:color="auto" w:fill="auto"/>
            <w:noWrap/>
            <w:vAlign w:val="bottom"/>
            <w:hideMark/>
          </w:tcPr>
          <w:p w14:paraId="027B78CF"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15.2</w:t>
            </w:r>
          </w:p>
        </w:tc>
        <w:tc>
          <w:tcPr>
            <w:tcW w:w="1008" w:type="dxa"/>
            <w:tcBorders>
              <w:top w:val="nil"/>
              <w:left w:val="nil"/>
              <w:bottom w:val="single" w:sz="4" w:space="0" w:color="auto"/>
              <w:right w:val="single" w:sz="4" w:space="0" w:color="auto"/>
            </w:tcBorders>
            <w:shd w:val="clear" w:color="auto" w:fill="auto"/>
            <w:noWrap/>
            <w:vAlign w:val="bottom"/>
            <w:hideMark/>
          </w:tcPr>
          <w:p w14:paraId="55D64A4E"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15.2</w:t>
            </w:r>
          </w:p>
        </w:tc>
        <w:tc>
          <w:tcPr>
            <w:tcW w:w="1124" w:type="dxa"/>
            <w:tcBorders>
              <w:top w:val="nil"/>
              <w:left w:val="nil"/>
              <w:bottom w:val="single" w:sz="4" w:space="0" w:color="auto"/>
              <w:right w:val="single" w:sz="4" w:space="0" w:color="auto"/>
            </w:tcBorders>
            <w:shd w:val="clear" w:color="auto" w:fill="auto"/>
            <w:noWrap/>
            <w:vAlign w:val="bottom"/>
            <w:hideMark/>
          </w:tcPr>
          <w:p w14:paraId="18ED7984"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30.4</w:t>
            </w:r>
          </w:p>
        </w:tc>
        <w:tc>
          <w:tcPr>
            <w:tcW w:w="1035" w:type="dxa"/>
            <w:tcBorders>
              <w:top w:val="nil"/>
              <w:left w:val="nil"/>
              <w:bottom w:val="single" w:sz="4" w:space="0" w:color="auto"/>
              <w:right w:val="single" w:sz="4" w:space="0" w:color="auto"/>
            </w:tcBorders>
            <w:shd w:val="clear" w:color="auto" w:fill="auto"/>
            <w:noWrap/>
            <w:vAlign w:val="bottom"/>
            <w:hideMark/>
          </w:tcPr>
          <w:p w14:paraId="695B8C00"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28.3</w:t>
            </w:r>
          </w:p>
        </w:tc>
        <w:tc>
          <w:tcPr>
            <w:tcW w:w="1233" w:type="dxa"/>
            <w:tcBorders>
              <w:top w:val="nil"/>
              <w:left w:val="nil"/>
              <w:bottom w:val="single" w:sz="4" w:space="0" w:color="auto"/>
              <w:right w:val="single" w:sz="4" w:space="0" w:color="auto"/>
            </w:tcBorders>
            <w:shd w:val="clear" w:color="auto" w:fill="auto"/>
            <w:noWrap/>
            <w:vAlign w:val="bottom"/>
            <w:hideMark/>
          </w:tcPr>
          <w:p w14:paraId="7816CE0A" w14:textId="77777777" w:rsidR="00CD6352" w:rsidRPr="00295710" w:rsidRDefault="00CD6352" w:rsidP="00CD6352">
            <w:pPr>
              <w:spacing w:after="0" w:line="240" w:lineRule="auto"/>
              <w:jc w:val="right"/>
              <w:rPr>
                <w:rFonts w:ascii="Arial" w:eastAsia="Times New Roman" w:hAnsi="Arial" w:cs="Arial"/>
                <w:color w:val="000000"/>
                <w:sz w:val="16"/>
                <w:szCs w:val="16"/>
                <w:lang w:eastAsia="en-GB"/>
              </w:rPr>
            </w:pPr>
            <w:r w:rsidRPr="00295710">
              <w:rPr>
                <w:rFonts w:ascii="Arial" w:eastAsia="Times New Roman" w:hAnsi="Arial" w:cs="Arial"/>
                <w:color w:val="000000"/>
                <w:sz w:val="16"/>
                <w:szCs w:val="16"/>
                <w:lang w:eastAsia="en-GB"/>
              </w:rPr>
              <w:t>10.9</w:t>
            </w:r>
          </w:p>
        </w:tc>
      </w:tr>
    </w:tbl>
    <w:p w14:paraId="6529A871" w14:textId="77777777" w:rsidR="00CD6352" w:rsidRPr="00AA39B4" w:rsidRDefault="00CD6352" w:rsidP="00CD6352">
      <w:pPr>
        <w:spacing w:line="360" w:lineRule="auto"/>
        <w:jc w:val="both"/>
        <w:rPr>
          <w:rFonts w:ascii="Arial" w:hAnsi="Arial" w:cs="Arial"/>
          <w:i/>
          <w:iCs/>
          <w:sz w:val="16"/>
          <w:szCs w:val="16"/>
        </w:rPr>
      </w:pPr>
    </w:p>
    <w:p w14:paraId="0A2FD22B" w14:textId="77777777" w:rsidR="00CD6352" w:rsidRPr="00AA39B4" w:rsidRDefault="00CD6352" w:rsidP="00CD6352">
      <w:pPr>
        <w:spacing w:line="360" w:lineRule="auto"/>
        <w:jc w:val="both"/>
        <w:rPr>
          <w:rFonts w:ascii="Arial" w:hAnsi="Arial" w:cs="Arial"/>
          <w:sz w:val="16"/>
          <w:szCs w:val="16"/>
        </w:rPr>
      </w:pPr>
      <w:r w:rsidRPr="00AA39B4">
        <w:rPr>
          <w:rFonts w:ascii="Arial" w:hAnsi="Arial" w:cs="Arial"/>
          <w:sz w:val="16"/>
          <w:szCs w:val="16"/>
        </w:rPr>
        <w:t>Author’s compilation from SPSS analysis (2019)</w:t>
      </w:r>
    </w:p>
    <w:p w14:paraId="37BEF25F" w14:textId="048A4FDE" w:rsidR="000650B5" w:rsidRDefault="000650B5" w:rsidP="000650B5">
      <w:pPr>
        <w:spacing w:line="360" w:lineRule="auto"/>
        <w:jc w:val="both"/>
        <w:rPr>
          <w:rFonts w:ascii="Arial" w:hAnsi="Arial" w:cs="Arial"/>
        </w:rPr>
      </w:pPr>
      <w:r w:rsidRPr="00EA7665">
        <w:rPr>
          <w:rFonts w:ascii="Arial" w:hAnsi="Arial" w:cs="Arial"/>
        </w:rPr>
        <w:t xml:space="preserve">An inspection of </w:t>
      </w:r>
      <w:r w:rsidR="009D1247">
        <w:rPr>
          <w:rFonts w:ascii="Arial" w:hAnsi="Arial" w:cs="Arial"/>
        </w:rPr>
        <w:t>T</w:t>
      </w:r>
      <w:r w:rsidRPr="00EA7665">
        <w:rPr>
          <w:rFonts w:ascii="Arial" w:hAnsi="Arial" w:cs="Arial"/>
        </w:rPr>
        <w:t>able 6.</w:t>
      </w:r>
      <w:r w:rsidR="00EB1E13">
        <w:rPr>
          <w:rFonts w:ascii="Arial" w:hAnsi="Arial" w:cs="Arial"/>
        </w:rPr>
        <w:t>4.2</w:t>
      </w:r>
      <w:r w:rsidRPr="00EA7665">
        <w:rPr>
          <w:rFonts w:ascii="Arial" w:hAnsi="Arial" w:cs="Arial"/>
        </w:rPr>
        <w:t xml:space="preserve"> shows that the overall mean score rang</w:t>
      </w:r>
      <w:r>
        <w:rPr>
          <w:rFonts w:ascii="Arial" w:hAnsi="Arial" w:cs="Arial"/>
        </w:rPr>
        <w:t>es</w:t>
      </w:r>
      <w:r w:rsidRPr="00EA7665">
        <w:rPr>
          <w:rFonts w:ascii="Arial" w:hAnsi="Arial" w:cs="Arial"/>
        </w:rPr>
        <w:t xml:space="preserve"> from 3.06 to 4.09 at the aggregate level. This means that all 19 factors are considered as opportunities associated with securing finance for real estate project development. </w:t>
      </w:r>
      <w:r>
        <w:rPr>
          <w:rFonts w:ascii="Arial" w:hAnsi="Arial" w:cs="Arial"/>
        </w:rPr>
        <w:t xml:space="preserve"> T</w:t>
      </w:r>
      <w:r w:rsidRPr="00EA7665">
        <w:rPr>
          <w:rFonts w:ascii="Arial" w:hAnsi="Arial" w:cs="Arial"/>
        </w:rPr>
        <w:t xml:space="preserve">he mean scores </w:t>
      </w:r>
      <w:r>
        <w:rPr>
          <w:rFonts w:ascii="Arial" w:hAnsi="Arial" w:cs="Arial"/>
        </w:rPr>
        <w:t>are</w:t>
      </w:r>
      <w:r w:rsidRPr="00EA7665">
        <w:rPr>
          <w:rFonts w:ascii="Arial" w:hAnsi="Arial" w:cs="Arial"/>
        </w:rPr>
        <w:t xml:space="preserve"> also used to analyse the questionnaire survey data </w:t>
      </w:r>
      <w:r>
        <w:rPr>
          <w:rFonts w:ascii="Arial" w:hAnsi="Arial" w:cs="Arial"/>
        </w:rPr>
        <w:t>at</w:t>
      </w:r>
      <w:r w:rsidRPr="00EA7665">
        <w:rPr>
          <w:rFonts w:ascii="Arial" w:hAnsi="Arial" w:cs="Arial"/>
        </w:rPr>
        <w:t xml:space="preserve"> the disaggregate level to understand what managers </w:t>
      </w:r>
      <w:r w:rsidRPr="00EA7665">
        <w:rPr>
          <w:rFonts w:ascii="Arial" w:hAnsi="Arial" w:cs="Arial"/>
        </w:rPr>
        <w:lastRenderedPageBreak/>
        <w:t>in the different countries consider as opportunities associated with securing finance for real estate project development</w:t>
      </w:r>
      <w:r w:rsidR="009D1247">
        <w:rPr>
          <w:rFonts w:ascii="Arial" w:hAnsi="Arial" w:cs="Arial"/>
        </w:rPr>
        <w:t>.</w:t>
      </w:r>
    </w:p>
    <w:p w14:paraId="1468C1F3" w14:textId="1D874C60" w:rsidR="00EB1E13" w:rsidRPr="00EB1E13" w:rsidRDefault="00EB1E13" w:rsidP="00EB1E13">
      <w:pPr>
        <w:pStyle w:val="Caption"/>
        <w:keepNext/>
        <w:rPr>
          <w:rFonts w:ascii="Arial" w:hAnsi="Arial" w:cs="Arial"/>
          <w:sz w:val="16"/>
          <w:szCs w:val="16"/>
        </w:rPr>
      </w:pPr>
      <w:bookmarkStart w:id="1225" w:name="_Toc78983990"/>
      <w:r w:rsidRPr="00EB1E13">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EB1E13">
        <w:rPr>
          <w:rFonts w:ascii="Arial" w:hAnsi="Arial" w:cs="Arial"/>
          <w:sz w:val="16"/>
          <w:szCs w:val="16"/>
        </w:rPr>
        <w:t>: The mean score of opportunities associated with securing finance for real estate project development at the dis-aggregate level.</w:t>
      </w:r>
      <w:bookmarkEnd w:id="1225"/>
    </w:p>
    <w:tbl>
      <w:tblPr>
        <w:tblW w:w="8720" w:type="dxa"/>
        <w:tblInd w:w="93" w:type="dxa"/>
        <w:tblLook w:val="04A0" w:firstRow="1" w:lastRow="0" w:firstColumn="1" w:lastColumn="0" w:noHBand="0" w:noVBand="1"/>
      </w:tblPr>
      <w:tblGrid>
        <w:gridCol w:w="5560"/>
        <w:gridCol w:w="2200"/>
        <w:gridCol w:w="960"/>
      </w:tblGrid>
      <w:tr w:rsidR="00CD6352" w:rsidRPr="00EB1E13" w14:paraId="670C7123" w14:textId="77777777" w:rsidTr="00CD6352">
        <w:trPr>
          <w:trHeight w:val="300"/>
        </w:trPr>
        <w:tc>
          <w:tcPr>
            <w:tcW w:w="5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BC37F"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Opportunities for securing finance for real estate project development</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0D97E21D"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Mean values N= 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CA397F"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Rank</w:t>
            </w:r>
          </w:p>
        </w:tc>
      </w:tr>
      <w:tr w:rsidR="00CD6352" w:rsidRPr="00EB1E13" w14:paraId="0B514D76"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635D27CD"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Growing demand in the property market</w:t>
            </w:r>
          </w:p>
        </w:tc>
        <w:tc>
          <w:tcPr>
            <w:tcW w:w="2200" w:type="dxa"/>
            <w:tcBorders>
              <w:top w:val="nil"/>
              <w:left w:val="nil"/>
              <w:bottom w:val="single" w:sz="4" w:space="0" w:color="auto"/>
              <w:right w:val="single" w:sz="4" w:space="0" w:color="auto"/>
            </w:tcBorders>
            <w:shd w:val="clear" w:color="auto" w:fill="auto"/>
            <w:noWrap/>
            <w:vAlign w:val="bottom"/>
            <w:hideMark/>
          </w:tcPr>
          <w:p w14:paraId="07CCC662"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4.09</w:t>
            </w:r>
          </w:p>
        </w:tc>
        <w:tc>
          <w:tcPr>
            <w:tcW w:w="960" w:type="dxa"/>
            <w:tcBorders>
              <w:top w:val="nil"/>
              <w:left w:val="nil"/>
              <w:bottom w:val="single" w:sz="4" w:space="0" w:color="auto"/>
              <w:right w:val="single" w:sz="4" w:space="0" w:color="auto"/>
            </w:tcBorders>
            <w:shd w:val="clear" w:color="auto" w:fill="auto"/>
            <w:noWrap/>
            <w:vAlign w:val="bottom"/>
            <w:hideMark/>
          </w:tcPr>
          <w:p w14:paraId="55E34816"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w:t>
            </w:r>
          </w:p>
        </w:tc>
      </w:tr>
      <w:tr w:rsidR="00CD6352" w:rsidRPr="00EB1E13" w14:paraId="100157C0"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491556B2"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Positive and sustained economic growth</w:t>
            </w:r>
          </w:p>
        </w:tc>
        <w:tc>
          <w:tcPr>
            <w:tcW w:w="2200" w:type="dxa"/>
            <w:tcBorders>
              <w:top w:val="nil"/>
              <w:left w:val="nil"/>
              <w:bottom w:val="single" w:sz="4" w:space="0" w:color="auto"/>
              <w:right w:val="single" w:sz="4" w:space="0" w:color="auto"/>
            </w:tcBorders>
            <w:shd w:val="clear" w:color="auto" w:fill="auto"/>
            <w:noWrap/>
            <w:vAlign w:val="bottom"/>
            <w:hideMark/>
          </w:tcPr>
          <w:p w14:paraId="52ABD8A8"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3.73</w:t>
            </w:r>
          </w:p>
        </w:tc>
        <w:tc>
          <w:tcPr>
            <w:tcW w:w="960" w:type="dxa"/>
            <w:tcBorders>
              <w:top w:val="nil"/>
              <w:left w:val="nil"/>
              <w:bottom w:val="single" w:sz="4" w:space="0" w:color="auto"/>
              <w:right w:val="single" w:sz="4" w:space="0" w:color="auto"/>
            </w:tcBorders>
            <w:shd w:val="clear" w:color="auto" w:fill="auto"/>
            <w:noWrap/>
            <w:vAlign w:val="bottom"/>
            <w:hideMark/>
          </w:tcPr>
          <w:p w14:paraId="25A397C0"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2</w:t>
            </w:r>
          </w:p>
        </w:tc>
      </w:tr>
      <w:tr w:rsidR="00CD6352" w:rsidRPr="00EB1E13" w14:paraId="0614F265"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1E9020AB"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Availability of long-term funds</w:t>
            </w:r>
          </w:p>
        </w:tc>
        <w:tc>
          <w:tcPr>
            <w:tcW w:w="2200" w:type="dxa"/>
            <w:tcBorders>
              <w:top w:val="nil"/>
              <w:left w:val="nil"/>
              <w:bottom w:val="single" w:sz="4" w:space="0" w:color="auto"/>
              <w:right w:val="single" w:sz="4" w:space="0" w:color="auto"/>
            </w:tcBorders>
            <w:shd w:val="clear" w:color="auto" w:fill="auto"/>
            <w:noWrap/>
            <w:vAlign w:val="bottom"/>
            <w:hideMark/>
          </w:tcPr>
          <w:p w14:paraId="1A41F147"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3.68</w:t>
            </w:r>
          </w:p>
        </w:tc>
        <w:tc>
          <w:tcPr>
            <w:tcW w:w="960" w:type="dxa"/>
            <w:tcBorders>
              <w:top w:val="nil"/>
              <w:left w:val="nil"/>
              <w:bottom w:val="single" w:sz="4" w:space="0" w:color="auto"/>
              <w:right w:val="single" w:sz="4" w:space="0" w:color="auto"/>
            </w:tcBorders>
            <w:shd w:val="clear" w:color="auto" w:fill="auto"/>
            <w:noWrap/>
            <w:vAlign w:val="bottom"/>
            <w:hideMark/>
          </w:tcPr>
          <w:p w14:paraId="6ED1EA43"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w:t>
            </w:r>
          </w:p>
        </w:tc>
      </w:tr>
      <w:tr w:rsidR="00CD6352" w:rsidRPr="00EB1E13" w14:paraId="6BC83D8B"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6CA3CF73"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Political stability</w:t>
            </w:r>
          </w:p>
        </w:tc>
        <w:tc>
          <w:tcPr>
            <w:tcW w:w="2200" w:type="dxa"/>
            <w:tcBorders>
              <w:top w:val="nil"/>
              <w:left w:val="nil"/>
              <w:bottom w:val="single" w:sz="4" w:space="0" w:color="auto"/>
              <w:right w:val="single" w:sz="4" w:space="0" w:color="auto"/>
            </w:tcBorders>
            <w:shd w:val="clear" w:color="auto" w:fill="auto"/>
            <w:noWrap/>
            <w:vAlign w:val="bottom"/>
            <w:hideMark/>
          </w:tcPr>
          <w:p w14:paraId="635A68E9"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3.65</w:t>
            </w:r>
          </w:p>
        </w:tc>
        <w:tc>
          <w:tcPr>
            <w:tcW w:w="960" w:type="dxa"/>
            <w:tcBorders>
              <w:top w:val="nil"/>
              <w:left w:val="nil"/>
              <w:bottom w:val="single" w:sz="4" w:space="0" w:color="auto"/>
              <w:right w:val="single" w:sz="4" w:space="0" w:color="auto"/>
            </w:tcBorders>
            <w:shd w:val="clear" w:color="auto" w:fill="auto"/>
            <w:noWrap/>
            <w:vAlign w:val="bottom"/>
            <w:hideMark/>
          </w:tcPr>
          <w:p w14:paraId="1E778F7C"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4</w:t>
            </w:r>
          </w:p>
        </w:tc>
      </w:tr>
      <w:tr w:rsidR="00CD6352" w:rsidRPr="00EB1E13" w14:paraId="13BFD1E6"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7BEDF1DB"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Multiple finance sources</w:t>
            </w:r>
          </w:p>
        </w:tc>
        <w:tc>
          <w:tcPr>
            <w:tcW w:w="2200" w:type="dxa"/>
            <w:tcBorders>
              <w:top w:val="nil"/>
              <w:left w:val="nil"/>
              <w:bottom w:val="single" w:sz="4" w:space="0" w:color="auto"/>
              <w:right w:val="single" w:sz="4" w:space="0" w:color="auto"/>
            </w:tcBorders>
            <w:shd w:val="clear" w:color="auto" w:fill="auto"/>
            <w:noWrap/>
            <w:vAlign w:val="bottom"/>
            <w:hideMark/>
          </w:tcPr>
          <w:p w14:paraId="72646234"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3.53</w:t>
            </w:r>
          </w:p>
        </w:tc>
        <w:tc>
          <w:tcPr>
            <w:tcW w:w="960" w:type="dxa"/>
            <w:tcBorders>
              <w:top w:val="nil"/>
              <w:left w:val="nil"/>
              <w:bottom w:val="single" w:sz="4" w:space="0" w:color="auto"/>
              <w:right w:val="single" w:sz="4" w:space="0" w:color="auto"/>
            </w:tcBorders>
            <w:shd w:val="clear" w:color="auto" w:fill="auto"/>
            <w:noWrap/>
            <w:vAlign w:val="bottom"/>
            <w:hideMark/>
          </w:tcPr>
          <w:p w14:paraId="10186AA4"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5</w:t>
            </w:r>
          </w:p>
        </w:tc>
      </w:tr>
      <w:tr w:rsidR="00CD6352" w:rsidRPr="00EB1E13" w14:paraId="70AF5AAB"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40E4207F"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Institutional real estate market size</w:t>
            </w:r>
          </w:p>
        </w:tc>
        <w:tc>
          <w:tcPr>
            <w:tcW w:w="2200" w:type="dxa"/>
            <w:tcBorders>
              <w:top w:val="nil"/>
              <w:left w:val="nil"/>
              <w:bottom w:val="single" w:sz="4" w:space="0" w:color="auto"/>
              <w:right w:val="single" w:sz="4" w:space="0" w:color="auto"/>
            </w:tcBorders>
            <w:shd w:val="clear" w:color="auto" w:fill="auto"/>
            <w:noWrap/>
            <w:vAlign w:val="bottom"/>
            <w:hideMark/>
          </w:tcPr>
          <w:p w14:paraId="0ABF8DF8"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3.43</w:t>
            </w:r>
          </w:p>
        </w:tc>
        <w:tc>
          <w:tcPr>
            <w:tcW w:w="960" w:type="dxa"/>
            <w:tcBorders>
              <w:top w:val="nil"/>
              <w:left w:val="nil"/>
              <w:bottom w:val="single" w:sz="4" w:space="0" w:color="auto"/>
              <w:right w:val="single" w:sz="4" w:space="0" w:color="auto"/>
            </w:tcBorders>
            <w:shd w:val="clear" w:color="auto" w:fill="auto"/>
            <w:noWrap/>
            <w:vAlign w:val="bottom"/>
            <w:hideMark/>
          </w:tcPr>
          <w:p w14:paraId="71B610CC"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6</w:t>
            </w:r>
          </w:p>
        </w:tc>
      </w:tr>
      <w:tr w:rsidR="00CD6352" w:rsidRPr="00EB1E13" w14:paraId="6F8EAC77"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12363601"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Emerging technologies</w:t>
            </w:r>
          </w:p>
        </w:tc>
        <w:tc>
          <w:tcPr>
            <w:tcW w:w="2200" w:type="dxa"/>
            <w:tcBorders>
              <w:top w:val="nil"/>
              <w:left w:val="nil"/>
              <w:bottom w:val="single" w:sz="4" w:space="0" w:color="auto"/>
              <w:right w:val="single" w:sz="4" w:space="0" w:color="auto"/>
            </w:tcBorders>
            <w:shd w:val="clear" w:color="auto" w:fill="auto"/>
            <w:noWrap/>
            <w:vAlign w:val="bottom"/>
            <w:hideMark/>
          </w:tcPr>
          <w:p w14:paraId="44C27CC9"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3.42</w:t>
            </w:r>
          </w:p>
        </w:tc>
        <w:tc>
          <w:tcPr>
            <w:tcW w:w="960" w:type="dxa"/>
            <w:tcBorders>
              <w:top w:val="nil"/>
              <w:left w:val="nil"/>
              <w:bottom w:val="single" w:sz="4" w:space="0" w:color="auto"/>
              <w:right w:val="single" w:sz="4" w:space="0" w:color="auto"/>
            </w:tcBorders>
            <w:shd w:val="clear" w:color="auto" w:fill="auto"/>
            <w:noWrap/>
            <w:vAlign w:val="bottom"/>
            <w:hideMark/>
          </w:tcPr>
          <w:p w14:paraId="7439FC3D"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7</w:t>
            </w:r>
          </w:p>
        </w:tc>
      </w:tr>
      <w:tr w:rsidR="00CD6352" w:rsidRPr="00EB1E13" w14:paraId="27CEB088"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4F7B3842"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Low-interest rates</w:t>
            </w:r>
          </w:p>
        </w:tc>
        <w:tc>
          <w:tcPr>
            <w:tcW w:w="2200" w:type="dxa"/>
            <w:tcBorders>
              <w:top w:val="nil"/>
              <w:left w:val="nil"/>
              <w:bottom w:val="single" w:sz="4" w:space="0" w:color="auto"/>
              <w:right w:val="single" w:sz="4" w:space="0" w:color="auto"/>
            </w:tcBorders>
            <w:shd w:val="clear" w:color="auto" w:fill="auto"/>
            <w:noWrap/>
            <w:vAlign w:val="bottom"/>
            <w:hideMark/>
          </w:tcPr>
          <w:p w14:paraId="452A0C86"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3.4</w:t>
            </w:r>
          </w:p>
        </w:tc>
        <w:tc>
          <w:tcPr>
            <w:tcW w:w="960" w:type="dxa"/>
            <w:tcBorders>
              <w:top w:val="nil"/>
              <w:left w:val="nil"/>
              <w:bottom w:val="single" w:sz="4" w:space="0" w:color="auto"/>
              <w:right w:val="single" w:sz="4" w:space="0" w:color="auto"/>
            </w:tcBorders>
            <w:shd w:val="clear" w:color="auto" w:fill="auto"/>
            <w:noWrap/>
            <w:vAlign w:val="bottom"/>
            <w:hideMark/>
          </w:tcPr>
          <w:p w14:paraId="792F54A2"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8</w:t>
            </w:r>
          </w:p>
        </w:tc>
      </w:tr>
      <w:tr w:rsidR="00CD6352" w:rsidRPr="00EB1E13" w14:paraId="657D36B4"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F57179D"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Government housing subsidies and credit inventions</w:t>
            </w:r>
          </w:p>
        </w:tc>
        <w:tc>
          <w:tcPr>
            <w:tcW w:w="2200" w:type="dxa"/>
            <w:tcBorders>
              <w:top w:val="nil"/>
              <w:left w:val="nil"/>
              <w:bottom w:val="single" w:sz="4" w:space="0" w:color="auto"/>
              <w:right w:val="single" w:sz="4" w:space="0" w:color="auto"/>
            </w:tcBorders>
            <w:shd w:val="clear" w:color="auto" w:fill="auto"/>
            <w:noWrap/>
            <w:vAlign w:val="bottom"/>
            <w:hideMark/>
          </w:tcPr>
          <w:p w14:paraId="0B31C372"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3.36</w:t>
            </w:r>
          </w:p>
        </w:tc>
        <w:tc>
          <w:tcPr>
            <w:tcW w:w="960" w:type="dxa"/>
            <w:tcBorders>
              <w:top w:val="nil"/>
              <w:left w:val="nil"/>
              <w:bottom w:val="single" w:sz="4" w:space="0" w:color="auto"/>
              <w:right w:val="single" w:sz="4" w:space="0" w:color="auto"/>
            </w:tcBorders>
            <w:shd w:val="clear" w:color="auto" w:fill="auto"/>
            <w:noWrap/>
            <w:vAlign w:val="bottom"/>
            <w:hideMark/>
          </w:tcPr>
          <w:p w14:paraId="0F23A4FD"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9</w:t>
            </w:r>
          </w:p>
        </w:tc>
      </w:tr>
      <w:tr w:rsidR="00CD6352" w:rsidRPr="00EB1E13" w14:paraId="56E430B8"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0FA88B75"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Government housing regulations and policies</w:t>
            </w:r>
          </w:p>
        </w:tc>
        <w:tc>
          <w:tcPr>
            <w:tcW w:w="2200" w:type="dxa"/>
            <w:tcBorders>
              <w:top w:val="nil"/>
              <w:left w:val="nil"/>
              <w:bottom w:val="single" w:sz="4" w:space="0" w:color="auto"/>
              <w:right w:val="single" w:sz="4" w:space="0" w:color="auto"/>
            </w:tcBorders>
            <w:shd w:val="clear" w:color="auto" w:fill="auto"/>
            <w:noWrap/>
            <w:vAlign w:val="bottom"/>
            <w:hideMark/>
          </w:tcPr>
          <w:p w14:paraId="4FFAC8D7"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3.36</w:t>
            </w:r>
          </w:p>
        </w:tc>
        <w:tc>
          <w:tcPr>
            <w:tcW w:w="960" w:type="dxa"/>
            <w:tcBorders>
              <w:top w:val="nil"/>
              <w:left w:val="nil"/>
              <w:bottom w:val="single" w:sz="4" w:space="0" w:color="auto"/>
              <w:right w:val="single" w:sz="4" w:space="0" w:color="auto"/>
            </w:tcBorders>
            <w:shd w:val="clear" w:color="auto" w:fill="auto"/>
            <w:noWrap/>
            <w:vAlign w:val="bottom"/>
            <w:hideMark/>
          </w:tcPr>
          <w:p w14:paraId="62F7C8EE"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10</w:t>
            </w:r>
          </w:p>
        </w:tc>
      </w:tr>
      <w:tr w:rsidR="00CD6352" w:rsidRPr="00EB1E13" w14:paraId="4DA11768"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0B2DF005"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Favourable tax platforms</w:t>
            </w:r>
          </w:p>
        </w:tc>
        <w:tc>
          <w:tcPr>
            <w:tcW w:w="2200" w:type="dxa"/>
            <w:tcBorders>
              <w:top w:val="nil"/>
              <w:left w:val="nil"/>
              <w:bottom w:val="single" w:sz="4" w:space="0" w:color="auto"/>
              <w:right w:val="single" w:sz="4" w:space="0" w:color="auto"/>
            </w:tcBorders>
            <w:shd w:val="clear" w:color="auto" w:fill="auto"/>
            <w:noWrap/>
            <w:vAlign w:val="bottom"/>
            <w:hideMark/>
          </w:tcPr>
          <w:p w14:paraId="7C5D95E0"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3.34</w:t>
            </w:r>
          </w:p>
        </w:tc>
        <w:tc>
          <w:tcPr>
            <w:tcW w:w="960" w:type="dxa"/>
            <w:tcBorders>
              <w:top w:val="nil"/>
              <w:left w:val="nil"/>
              <w:bottom w:val="single" w:sz="4" w:space="0" w:color="auto"/>
              <w:right w:val="single" w:sz="4" w:space="0" w:color="auto"/>
            </w:tcBorders>
            <w:shd w:val="clear" w:color="auto" w:fill="auto"/>
            <w:noWrap/>
            <w:vAlign w:val="bottom"/>
            <w:hideMark/>
          </w:tcPr>
          <w:p w14:paraId="2D4BBD12"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11</w:t>
            </w:r>
          </w:p>
        </w:tc>
      </w:tr>
      <w:tr w:rsidR="00CD6352" w:rsidRPr="00EB1E13" w14:paraId="76BA664A"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80BCFA4"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Strong judiciary system</w:t>
            </w:r>
          </w:p>
        </w:tc>
        <w:tc>
          <w:tcPr>
            <w:tcW w:w="2200" w:type="dxa"/>
            <w:tcBorders>
              <w:top w:val="nil"/>
              <w:left w:val="nil"/>
              <w:bottom w:val="single" w:sz="4" w:space="0" w:color="auto"/>
              <w:right w:val="single" w:sz="4" w:space="0" w:color="auto"/>
            </w:tcBorders>
            <w:shd w:val="clear" w:color="auto" w:fill="auto"/>
            <w:noWrap/>
            <w:vAlign w:val="bottom"/>
            <w:hideMark/>
          </w:tcPr>
          <w:p w14:paraId="38299EC5"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3.34</w:t>
            </w:r>
          </w:p>
        </w:tc>
        <w:tc>
          <w:tcPr>
            <w:tcW w:w="960" w:type="dxa"/>
            <w:tcBorders>
              <w:top w:val="nil"/>
              <w:left w:val="nil"/>
              <w:bottom w:val="single" w:sz="4" w:space="0" w:color="auto"/>
              <w:right w:val="single" w:sz="4" w:space="0" w:color="auto"/>
            </w:tcBorders>
            <w:shd w:val="clear" w:color="auto" w:fill="auto"/>
            <w:noWrap/>
            <w:vAlign w:val="bottom"/>
            <w:hideMark/>
          </w:tcPr>
          <w:p w14:paraId="2FBCBD64"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12</w:t>
            </w:r>
          </w:p>
        </w:tc>
      </w:tr>
      <w:tr w:rsidR="00CD6352" w:rsidRPr="00EB1E13" w14:paraId="5E95F33A"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67F3113A"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Infrastructure quality</w:t>
            </w:r>
          </w:p>
        </w:tc>
        <w:tc>
          <w:tcPr>
            <w:tcW w:w="2200" w:type="dxa"/>
            <w:tcBorders>
              <w:top w:val="nil"/>
              <w:left w:val="nil"/>
              <w:bottom w:val="single" w:sz="4" w:space="0" w:color="auto"/>
              <w:right w:val="single" w:sz="4" w:space="0" w:color="auto"/>
            </w:tcBorders>
            <w:shd w:val="clear" w:color="auto" w:fill="auto"/>
            <w:noWrap/>
            <w:vAlign w:val="bottom"/>
            <w:hideMark/>
          </w:tcPr>
          <w:p w14:paraId="72E8D115"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3.32</w:t>
            </w:r>
          </w:p>
        </w:tc>
        <w:tc>
          <w:tcPr>
            <w:tcW w:w="960" w:type="dxa"/>
            <w:tcBorders>
              <w:top w:val="nil"/>
              <w:left w:val="nil"/>
              <w:bottom w:val="single" w:sz="4" w:space="0" w:color="auto"/>
              <w:right w:val="single" w:sz="4" w:space="0" w:color="auto"/>
            </w:tcBorders>
            <w:shd w:val="clear" w:color="auto" w:fill="auto"/>
            <w:noWrap/>
            <w:vAlign w:val="bottom"/>
            <w:hideMark/>
          </w:tcPr>
          <w:p w14:paraId="68AA0BDC"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13</w:t>
            </w:r>
          </w:p>
        </w:tc>
      </w:tr>
      <w:tr w:rsidR="00CD6352" w:rsidRPr="00EB1E13" w14:paraId="4A8530A2"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39A0DF06"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Market liquidity</w:t>
            </w:r>
          </w:p>
        </w:tc>
        <w:tc>
          <w:tcPr>
            <w:tcW w:w="2200" w:type="dxa"/>
            <w:tcBorders>
              <w:top w:val="nil"/>
              <w:left w:val="nil"/>
              <w:bottom w:val="single" w:sz="4" w:space="0" w:color="auto"/>
              <w:right w:val="single" w:sz="4" w:space="0" w:color="auto"/>
            </w:tcBorders>
            <w:shd w:val="clear" w:color="auto" w:fill="auto"/>
            <w:noWrap/>
            <w:vAlign w:val="bottom"/>
            <w:hideMark/>
          </w:tcPr>
          <w:p w14:paraId="6B98B2AF"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5C0BC4AE"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14</w:t>
            </w:r>
          </w:p>
        </w:tc>
      </w:tr>
      <w:tr w:rsidR="00CD6352" w:rsidRPr="00EB1E13" w14:paraId="4A2261EF"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72A7A67E"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 xml:space="preserve">Market maturity and transparency </w:t>
            </w:r>
          </w:p>
        </w:tc>
        <w:tc>
          <w:tcPr>
            <w:tcW w:w="2200" w:type="dxa"/>
            <w:tcBorders>
              <w:top w:val="nil"/>
              <w:left w:val="nil"/>
              <w:bottom w:val="single" w:sz="4" w:space="0" w:color="auto"/>
              <w:right w:val="single" w:sz="4" w:space="0" w:color="auto"/>
            </w:tcBorders>
            <w:shd w:val="clear" w:color="auto" w:fill="auto"/>
            <w:noWrap/>
            <w:vAlign w:val="bottom"/>
            <w:hideMark/>
          </w:tcPr>
          <w:p w14:paraId="24AB2257"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3.3</w:t>
            </w:r>
          </w:p>
        </w:tc>
        <w:tc>
          <w:tcPr>
            <w:tcW w:w="960" w:type="dxa"/>
            <w:tcBorders>
              <w:top w:val="nil"/>
              <w:left w:val="nil"/>
              <w:bottom w:val="single" w:sz="4" w:space="0" w:color="auto"/>
              <w:right w:val="single" w:sz="4" w:space="0" w:color="auto"/>
            </w:tcBorders>
            <w:shd w:val="clear" w:color="auto" w:fill="auto"/>
            <w:noWrap/>
            <w:vAlign w:val="bottom"/>
            <w:hideMark/>
          </w:tcPr>
          <w:p w14:paraId="5451331A"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15</w:t>
            </w:r>
          </w:p>
        </w:tc>
      </w:tr>
      <w:tr w:rsidR="00CD6352" w:rsidRPr="00EB1E13" w14:paraId="440D7E74"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2413E079"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 xml:space="preserve">Government monetary and fiscal policies </w:t>
            </w:r>
          </w:p>
        </w:tc>
        <w:tc>
          <w:tcPr>
            <w:tcW w:w="2200" w:type="dxa"/>
            <w:tcBorders>
              <w:top w:val="nil"/>
              <w:left w:val="nil"/>
              <w:bottom w:val="single" w:sz="4" w:space="0" w:color="auto"/>
              <w:right w:val="single" w:sz="4" w:space="0" w:color="auto"/>
            </w:tcBorders>
            <w:shd w:val="clear" w:color="auto" w:fill="auto"/>
            <w:noWrap/>
            <w:vAlign w:val="bottom"/>
            <w:hideMark/>
          </w:tcPr>
          <w:p w14:paraId="299742D9"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3.27</w:t>
            </w:r>
          </w:p>
        </w:tc>
        <w:tc>
          <w:tcPr>
            <w:tcW w:w="960" w:type="dxa"/>
            <w:tcBorders>
              <w:top w:val="nil"/>
              <w:left w:val="nil"/>
              <w:bottom w:val="single" w:sz="4" w:space="0" w:color="auto"/>
              <w:right w:val="single" w:sz="4" w:space="0" w:color="auto"/>
            </w:tcBorders>
            <w:shd w:val="clear" w:color="auto" w:fill="auto"/>
            <w:noWrap/>
            <w:vAlign w:val="bottom"/>
            <w:hideMark/>
          </w:tcPr>
          <w:p w14:paraId="2AEC3DD9"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16</w:t>
            </w:r>
          </w:p>
        </w:tc>
      </w:tr>
      <w:tr w:rsidR="00CD6352" w:rsidRPr="00EB1E13" w14:paraId="5D2ECBBB"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54B91310"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Highly skilled labour force</w:t>
            </w:r>
          </w:p>
        </w:tc>
        <w:tc>
          <w:tcPr>
            <w:tcW w:w="2200" w:type="dxa"/>
            <w:tcBorders>
              <w:top w:val="nil"/>
              <w:left w:val="nil"/>
              <w:bottom w:val="single" w:sz="4" w:space="0" w:color="auto"/>
              <w:right w:val="single" w:sz="4" w:space="0" w:color="auto"/>
            </w:tcBorders>
            <w:shd w:val="clear" w:color="auto" w:fill="auto"/>
            <w:noWrap/>
            <w:vAlign w:val="bottom"/>
            <w:hideMark/>
          </w:tcPr>
          <w:p w14:paraId="5B1D2E5E"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3.15</w:t>
            </w:r>
          </w:p>
        </w:tc>
        <w:tc>
          <w:tcPr>
            <w:tcW w:w="960" w:type="dxa"/>
            <w:tcBorders>
              <w:top w:val="nil"/>
              <w:left w:val="nil"/>
              <w:bottom w:val="single" w:sz="4" w:space="0" w:color="auto"/>
              <w:right w:val="single" w:sz="4" w:space="0" w:color="auto"/>
            </w:tcBorders>
            <w:shd w:val="clear" w:color="auto" w:fill="auto"/>
            <w:noWrap/>
            <w:vAlign w:val="bottom"/>
            <w:hideMark/>
          </w:tcPr>
          <w:p w14:paraId="0988B906"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17</w:t>
            </w:r>
          </w:p>
        </w:tc>
      </w:tr>
      <w:tr w:rsidR="00CD6352" w:rsidRPr="00EB1E13" w14:paraId="6F2FCE76"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674AB9BF"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Favourable land use and ownership laws</w:t>
            </w:r>
          </w:p>
        </w:tc>
        <w:tc>
          <w:tcPr>
            <w:tcW w:w="2200" w:type="dxa"/>
            <w:tcBorders>
              <w:top w:val="nil"/>
              <w:left w:val="nil"/>
              <w:bottom w:val="single" w:sz="4" w:space="0" w:color="auto"/>
              <w:right w:val="single" w:sz="4" w:space="0" w:color="auto"/>
            </w:tcBorders>
            <w:shd w:val="clear" w:color="auto" w:fill="auto"/>
            <w:noWrap/>
            <w:vAlign w:val="bottom"/>
            <w:hideMark/>
          </w:tcPr>
          <w:p w14:paraId="38C4B50C"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3.06</w:t>
            </w:r>
          </w:p>
        </w:tc>
        <w:tc>
          <w:tcPr>
            <w:tcW w:w="960" w:type="dxa"/>
            <w:tcBorders>
              <w:top w:val="nil"/>
              <w:left w:val="nil"/>
              <w:bottom w:val="single" w:sz="4" w:space="0" w:color="auto"/>
              <w:right w:val="single" w:sz="4" w:space="0" w:color="auto"/>
            </w:tcBorders>
            <w:shd w:val="clear" w:color="auto" w:fill="auto"/>
            <w:noWrap/>
            <w:vAlign w:val="bottom"/>
            <w:hideMark/>
          </w:tcPr>
          <w:p w14:paraId="6D624CF9"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18</w:t>
            </w:r>
          </w:p>
        </w:tc>
      </w:tr>
      <w:tr w:rsidR="00CD6352" w:rsidRPr="00EB1E13" w14:paraId="6F5FE3DA" w14:textId="77777777" w:rsidTr="00CD6352">
        <w:trPr>
          <w:trHeight w:val="300"/>
        </w:trPr>
        <w:tc>
          <w:tcPr>
            <w:tcW w:w="5560" w:type="dxa"/>
            <w:tcBorders>
              <w:top w:val="nil"/>
              <w:left w:val="single" w:sz="4" w:space="0" w:color="auto"/>
              <w:bottom w:val="single" w:sz="4" w:space="0" w:color="auto"/>
              <w:right w:val="single" w:sz="4" w:space="0" w:color="auto"/>
            </w:tcBorders>
            <w:shd w:val="clear" w:color="auto" w:fill="auto"/>
            <w:noWrap/>
            <w:vAlign w:val="bottom"/>
            <w:hideMark/>
          </w:tcPr>
          <w:p w14:paraId="18107530" w14:textId="77777777" w:rsidR="00CD6352" w:rsidRPr="00EB1E13" w:rsidRDefault="00CD6352" w:rsidP="00CD6352">
            <w:pPr>
              <w:spacing w:after="0" w:line="240" w:lineRule="auto"/>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Foreign exchange stability</w:t>
            </w:r>
          </w:p>
        </w:tc>
        <w:tc>
          <w:tcPr>
            <w:tcW w:w="2200" w:type="dxa"/>
            <w:tcBorders>
              <w:top w:val="nil"/>
              <w:left w:val="nil"/>
              <w:bottom w:val="single" w:sz="4" w:space="0" w:color="auto"/>
              <w:right w:val="single" w:sz="4" w:space="0" w:color="auto"/>
            </w:tcBorders>
            <w:shd w:val="clear" w:color="auto" w:fill="auto"/>
            <w:noWrap/>
            <w:vAlign w:val="bottom"/>
            <w:hideMark/>
          </w:tcPr>
          <w:p w14:paraId="4A6C70B4"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3.06</w:t>
            </w:r>
          </w:p>
        </w:tc>
        <w:tc>
          <w:tcPr>
            <w:tcW w:w="960" w:type="dxa"/>
            <w:tcBorders>
              <w:top w:val="nil"/>
              <w:left w:val="nil"/>
              <w:bottom w:val="single" w:sz="4" w:space="0" w:color="auto"/>
              <w:right w:val="single" w:sz="4" w:space="0" w:color="auto"/>
            </w:tcBorders>
            <w:shd w:val="clear" w:color="auto" w:fill="auto"/>
            <w:noWrap/>
            <w:vAlign w:val="bottom"/>
            <w:hideMark/>
          </w:tcPr>
          <w:p w14:paraId="3D2C810F" w14:textId="77777777" w:rsidR="00CD6352" w:rsidRPr="00EB1E13" w:rsidRDefault="00CD6352" w:rsidP="00CD6352">
            <w:pPr>
              <w:spacing w:after="0" w:line="240" w:lineRule="auto"/>
              <w:jc w:val="right"/>
              <w:rPr>
                <w:rFonts w:ascii="Arial" w:eastAsia="Times New Roman" w:hAnsi="Arial" w:cs="Arial"/>
                <w:color w:val="000000"/>
                <w:sz w:val="16"/>
                <w:szCs w:val="16"/>
                <w:lang w:eastAsia="en-GB"/>
              </w:rPr>
            </w:pPr>
            <w:r w:rsidRPr="00EB1E13">
              <w:rPr>
                <w:rFonts w:ascii="Arial" w:eastAsia="Times New Roman" w:hAnsi="Arial" w:cs="Arial"/>
                <w:color w:val="000000"/>
                <w:sz w:val="16"/>
                <w:szCs w:val="16"/>
                <w:lang w:eastAsia="en-GB"/>
              </w:rPr>
              <w:t>19</w:t>
            </w:r>
          </w:p>
        </w:tc>
      </w:tr>
    </w:tbl>
    <w:p w14:paraId="4CB5265E" w14:textId="3364F111" w:rsidR="00CD6352" w:rsidRPr="00EB1E13" w:rsidRDefault="00CD6352" w:rsidP="00CD6352">
      <w:pPr>
        <w:spacing w:line="360" w:lineRule="auto"/>
        <w:jc w:val="both"/>
        <w:rPr>
          <w:rFonts w:ascii="Arial" w:hAnsi="Arial" w:cs="Arial"/>
          <w:sz w:val="16"/>
          <w:szCs w:val="16"/>
        </w:rPr>
      </w:pPr>
      <w:r w:rsidRPr="00EB1E13">
        <w:rPr>
          <w:rFonts w:ascii="Arial" w:hAnsi="Arial" w:cs="Arial"/>
          <w:sz w:val="16"/>
          <w:szCs w:val="16"/>
        </w:rPr>
        <w:t>1 (Not an opportunity at all) 2(Rarely an opportunity) 3(Occasionally an opportunity) 4 (To a great extent an opportunity) 5(To a very great extent an opportunity)</w:t>
      </w:r>
    </w:p>
    <w:p w14:paraId="4280E8C0" w14:textId="0CBE8DC7" w:rsidR="000650B5" w:rsidRDefault="000650B5" w:rsidP="00CD6352">
      <w:pPr>
        <w:spacing w:line="360" w:lineRule="auto"/>
        <w:jc w:val="both"/>
        <w:rPr>
          <w:rFonts w:ascii="Arial" w:hAnsi="Arial" w:cs="Arial"/>
          <w:sz w:val="16"/>
          <w:szCs w:val="16"/>
        </w:rPr>
      </w:pPr>
    </w:p>
    <w:p w14:paraId="0551D45A" w14:textId="5F680AD8" w:rsidR="000650B5" w:rsidRDefault="000650B5" w:rsidP="00CD6352">
      <w:pPr>
        <w:spacing w:line="360" w:lineRule="auto"/>
        <w:jc w:val="both"/>
        <w:rPr>
          <w:rFonts w:ascii="Arial" w:hAnsi="Arial" w:cs="Arial"/>
        </w:rPr>
      </w:pPr>
      <w:r w:rsidRPr="000650B5">
        <w:rPr>
          <w:rFonts w:ascii="Arial" w:hAnsi="Arial" w:cs="Arial"/>
        </w:rPr>
        <w:t>The nex</w:t>
      </w:r>
      <w:r>
        <w:rPr>
          <w:rFonts w:ascii="Arial" w:hAnsi="Arial" w:cs="Arial"/>
        </w:rPr>
        <w:t xml:space="preserve">t segment shows the </w:t>
      </w:r>
      <w:r w:rsidR="00B56889">
        <w:rPr>
          <w:rFonts w:ascii="Arial" w:hAnsi="Arial" w:cs="Arial"/>
        </w:rPr>
        <w:t>questionnaire survey findings</w:t>
      </w:r>
      <w:r>
        <w:rPr>
          <w:rFonts w:ascii="Arial" w:hAnsi="Arial" w:cs="Arial"/>
        </w:rPr>
        <w:t xml:space="preserve"> detailing the mean scores of the factors considered as opportunities associated with securing finance for real estate project development by managers in both the developed and emerging economies</w:t>
      </w:r>
      <w:r w:rsidR="009D1247">
        <w:rPr>
          <w:rFonts w:ascii="Arial" w:hAnsi="Arial" w:cs="Arial"/>
        </w:rPr>
        <w:t>.</w:t>
      </w:r>
    </w:p>
    <w:p w14:paraId="471FC92A" w14:textId="77777777" w:rsidR="00CD6352" w:rsidRPr="00EA7665" w:rsidRDefault="00CD6352" w:rsidP="00CD6352">
      <w:pPr>
        <w:pStyle w:val="Heading3"/>
        <w:spacing w:after="240"/>
        <w:rPr>
          <w:sz w:val="22"/>
          <w:szCs w:val="22"/>
        </w:rPr>
      </w:pPr>
      <w:bookmarkStart w:id="1226" w:name="_Toc78983874"/>
      <w:r w:rsidRPr="00EA7665">
        <w:rPr>
          <w:sz w:val="22"/>
          <w:szCs w:val="22"/>
        </w:rPr>
        <w:t>Questionnaire survey analysis and discussion at the disaggregate level.</w:t>
      </w:r>
      <w:bookmarkEnd w:id="1226"/>
    </w:p>
    <w:p w14:paraId="6E91C80F" w14:textId="071FD232" w:rsidR="009D1247" w:rsidRPr="009D1247" w:rsidRDefault="009D1247" w:rsidP="009D1247">
      <w:pPr>
        <w:spacing w:line="360" w:lineRule="auto"/>
        <w:jc w:val="both"/>
        <w:rPr>
          <w:rFonts w:ascii="Arial" w:hAnsi="Arial" w:cs="Arial"/>
          <w:i/>
          <w:iCs/>
          <w:sz w:val="16"/>
          <w:szCs w:val="16"/>
        </w:rPr>
      </w:pPr>
      <w:bookmarkStart w:id="1227" w:name="_Toc78983991"/>
      <w:r w:rsidRPr="009D1247">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9D1247">
        <w:rPr>
          <w:rFonts w:ascii="Arial" w:hAnsi="Arial" w:cs="Arial"/>
          <w:sz w:val="16"/>
          <w:szCs w:val="16"/>
        </w:rPr>
        <w:t xml:space="preserve">: </w:t>
      </w:r>
      <w:r w:rsidRPr="009D1247">
        <w:rPr>
          <w:rFonts w:ascii="Arial" w:hAnsi="Arial" w:cs="Arial"/>
          <w:i/>
          <w:iCs/>
          <w:sz w:val="16"/>
          <w:szCs w:val="16"/>
        </w:rPr>
        <w:t xml:space="preserve">The mean score of </w:t>
      </w:r>
      <w:r w:rsidRPr="009D1247">
        <w:rPr>
          <w:rFonts w:ascii="Arial" w:hAnsi="Arial" w:cs="Arial"/>
          <w:sz w:val="16"/>
          <w:szCs w:val="16"/>
        </w:rPr>
        <w:t>opportunities</w:t>
      </w:r>
      <w:r w:rsidRPr="009D1247">
        <w:rPr>
          <w:rFonts w:ascii="Arial" w:hAnsi="Arial" w:cs="Arial"/>
          <w:i/>
          <w:iCs/>
          <w:sz w:val="16"/>
          <w:szCs w:val="16"/>
        </w:rPr>
        <w:t xml:space="preserve"> associated with securing </w:t>
      </w:r>
      <w:r w:rsidR="00BC1C24">
        <w:rPr>
          <w:rFonts w:ascii="Arial" w:hAnsi="Arial" w:cs="Arial"/>
          <w:i/>
          <w:iCs/>
          <w:sz w:val="16"/>
          <w:szCs w:val="16"/>
        </w:rPr>
        <w:t>real estate project development finance</w:t>
      </w:r>
      <w:r w:rsidRPr="009D1247">
        <w:rPr>
          <w:rFonts w:ascii="Arial" w:hAnsi="Arial" w:cs="Arial"/>
          <w:i/>
          <w:iCs/>
          <w:sz w:val="16"/>
          <w:szCs w:val="16"/>
        </w:rPr>
        <w:t xml:space="preserve"> at the dis-aggregate level.</w:t>
      </w:r>
      <w:bookmarkEnd w:id="1227"/>
    </w:p>
    <w:tbl>
      <w:tblPr>
        <w:tblStyle w:val="TableGrid"/>
        <w:tblW w:w="903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162"/>
        <w:gridCol w:w="626"/>
        <w:gridCol w:w="705"/>
        <w:gridCol w:w="15"/>
        <w:gridCol w:w="626"/>
        <w:gridCol w:w="667"/>
        <w:gridCol w:w="16"/>
        <w:gridCol w:w="643"/>
        <w:gridCol w:w="640"/>
        <w:gridCol w:w="15"/>
        <w:gridCol w:w="643"/>
        <w:gridCol w:w="665"/>
        <w:gridCol w:w="15"/>
        <w:gridCol w:w="645"/>
        <w:gridCol w:w="567"/>
        <w:gridCol w:w="775"/>
        <w:gridCol w:w="584"/>
        <w:gridCol w:w="24"/>
      </w:tblGrid>
      <w:tr w:rsidR="00CD6352" w:rsidRPr="009D1247" w14:paraId="360697DA" w14:textId="77777777" w:rsidTr="00CD6352">
        <w:trPr>
          <w:gridAfter w:val="1"/>
          <w:wAfter w:w="24" w:type="dxa"/>
          <w:trHeight w:val="1100"/>
        </w:trPr>
        <w:tc>
          <w:tcPr>
            <w:tcW w:w="1162" w:type="dxa"/>
            <w:vMerge w:val="restart"/>
          </w:tcPr>
          <w:p w14:paraId="10190488" w14:textId="77777777" w:rsidR="00CD6352" w:rsidRPr="009D1247" w:rsidRDefault="00CD6352" w:rsidP="00CD6352">
            <w:pPr>
              <w:jc w:val="both"/>
              <w:rPr>
                <w:rFonts w:ascii="Arial" w:hAnsi="Arial" w:cs="Arial"/>
                <w:b/>
                <w:sz w:val="16"/>
                <w:szCs w:val="16"/>
              </w:rPr>
            </w:pPr>
          </w:p>
          <w:p w14:paraId="2ACF8F7A"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Opportunities for securing finance for real estate project development</w:t>
            </w:r>
          </w:p>
        </w:tc>
        <w:tc>
          <w:tcPr>
            <w:tcW w:w="1331" w:type="dxa"/>
            <w:gridSpan w:val="2"/>
          </w:tcPr>
          <w:p w14:paraId="77C00C64"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D1= Germany</w:t>
            </w:r>
          </w:p>
          <w:p w14:paraId="1DA846B3"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 xml:space="preserve">N=5 </w:t>
            </w:r>
          </w:p>
        </w:tc>
        <w:tc>
          <w:tcPr>
            <w:tcW w:w="1308" w:type="dxa"/>
            <w:gridSpan w:val="3"/>
          </w:tcPr>
          <w:p w14:paraId="5BAD09EE"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D2= UK</w:t>
            </w:r>
          </w:p>
          <w:p w14:paraId="1862E58D"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N=20</w:t>
            </w:r>
          </w:p>
        </w:tc>
        <w:tc>
          <w:tcPr>
            <w:tcW w:w="1299" w:type="dxa"/>
            <w:gridSpan w:val="3"/>
          </w:tcPr>
          <w:p w14:paraId="250D0FE4"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D3=US</w:t>
            </w:r>
          </w:p>
          <w:p w14:paraId="0127641D"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N=8</w:t>
            </w:r>
          </w:p>
        </w:tc>
        <w:tc>
          <w:tcPr>
            <w:tcW w:w="1323" w:type="dxa"/>
            <w:gridSpan w:val="3"/>
          </w:tcPr>
          <w:p w14:paraId="5F386E8C"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E1= China</w:t>
            </w:r>
          </w:p>
          <w:p w14:paraId="12F5CBAD"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N=11</w:t>
            </w:r>
          </w:p>
        </w:tc>
        <w:tc>
          <w:tcPr>
            <w:tcW w:w="1227" w:type="dxa"/>
            <w:gridSpan w:val="3"/>
          </w:tcPr>
          <w:p w14:paraId="7A93707B"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E2= Nigeria</w:t>
            </w:r>
          </w:p>
          <w:p w14:paraId="054F0736"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N=26</w:t>
            </w:r>
          </w:p>
        </w:tc>
        <w:tc>
          <w:tcPr>
            <w:tcW w:w="1359" w:type="dxa"/>
            <w:gridSpan w:val="2"/>
          </w:tcPr>
          <w:p w14:paraId="43D46514"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E3= South Africa</w:t>
            </w:r>
          </w:p>
          <w:p w14:paraId="46368E86"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N=11</w:t>
            </w:r>
          </w:p>
        </w:tc>
      </w:tr>
      <w:tr w:rsidR="00CD6352" w:rsidRPr="009D1247" w14:paraId="62523FB1" w14:textId="77777777" w:rsidTr="00CD6352">
        <w:trPr>
          <w:trHeight w:val="355"/>
        </w:trPr>
        <w:tc>
          <w:tcPr>
            <w:tcW w:w="1162" w:type="dxa"/>
            <w:vMerge/>
          </w:tcPr>
          <w:p w14:paraId="35FC52A0" w14:textId="77777777" w:rsidR="00CD6352" w:rsidRPr="009D1247" w:rsidRDefault="00CD6352" w:rsidP="00CD6352">
            <w:pPr>
              <w:jc w:val="both"/>
              <w:rPr>
                <w:rFonts w:ascii="Arial" w:hAnsi="Arial" w:cs="Arial"/>
                <w:b/>
                <w:sz w:val="16"/>
                <w:szCs w:val="16"/>
              </w:rPr>
            </w:pPr>
          </w:p>
        </w:tc>
        <w:tc>
          <w:tcPr>
            <w:tcW w:w="626" w:type="dxa"/>
          </w:tcPr>
          <w:p w14:paraId="2BFA8218"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Mean value</w:t>
            </w:r>
          </w:p>
        </w:tc>
        <w:tc>
          <w:tcPr>
            <w:tcW w:w="720" w:type="dxa"/>
            <w:gridSpan w:val="2"/>
          </w:tcPr>
          <w:p w14:paraId="445D8E83"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Rank</w:t>
            </w:r>
          </w:p>
        </w:tc>
        <w:tc>
          <w:tcPr>
            <w:tcW w:w="626" w:type="dxa"/>
          </w:tcPr>
          <w:p w14:paraId="54310F7B"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Mean value</w:t>
            </w:r>
          </w:p>
        </w:tc>
        <w:tc>
          <w:tcPr>
            <w:tcW w:w="683" w:type="dxa"/>
            <w:gridSpan w:val="2"/>
          </w:tcPr>
          <w:p w14:paraId="792BBDFE"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Rank</w:t>
            </w:r>
          </w:p>
        </w:tc>
        <w:tc>
          <w:tcPr>
            <w:tcW w:w="643" w:type="dxa"/>
          </w:tcPr>
          <w:p w14:paraId="1E24B116"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Mean score</w:t>
            </w:r>
          </w:p>
        </w:tc>
        <w:tc>
          <w:tcPr>
            <w:tcW w:w="655" w:type="dxa"/>
            <w:gridSpan w:val="2"/>
          </w:tcPr>
          <w:p w14:paraId="00AA5D8E"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Rank</w:t>
            </w:r>
          </w:p>
        </w:tc>
        <w:tc>
          <w:tcPr>
            <w:tcW w:w="643" w:type="dxa"/>
          </w:tcPr>
          <w:p w14:paraId="22D3CBC8"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Mean score</w:t>
            </w:r>
          </w:p>
        </w:tc>
        <w:tc>
          <w:tcPr>
            <w:tcW w:w="680" w:type="dxa"/>
            <w:gridSpan w:val="2"/>
          </w:tcPr>
          <w:p w14:paraId="323D7E2B"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Rank</w:t>
            </w:r>
          </w:p>
        </w:tc>
        <w:tc>
          <w:tcPr>
            <w:tcW w:w="645" w:type="dxa"/>
          </w:tcPr>
          <w:p w14:paraId="7C1DF3AC"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Mean score</w:t>
            </w:r>
          </w:p>
        </w:tc>
        <w:tc>
          <w:tcPr>
            <w:tcW w:w="567" w:type="dxa"/>
          </w:tcPr>
          <w:p w14:paraId="241A10F3"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Rank</w:t>
            </w:r>
          </w:p>
        </w:tc>
        <w:tc>
          <w:tcPr>
            <w:tcW w:w="775" w:type="dxa"/>
          </w:tcPr>
          <w:p w14:paraId="1708F519"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Mean score</w:t>
            </w:r>
          </w:p>
        </w:tc>
        <w:tc>
          <w:tcPr>
            <w:tcW w:w="608" w:type="dxa"/>
            <w:gridSpan w:val="2"/>
          </w:tcPr>
          <w:p w14:paraId="4DAF8A1C" w14:textId="77777777" w:rsidR="00CD6352" w:rsidRPr="009D1247" w:rsidRDefault="00CD6352" w:rsidP="00CD6352">
            <w:pPr>
              <w:jc w:val="both"/>
              <w:rPr>
                <w:rFonts w:ascii="Arial" w:hAnsi="Arial" w:cs="Arial"/>
                <w:b/>
                <w:sz w:val="16"/>
                <w:szCs w:val="16"/>
              </w:rPr>
            </w:pPr>
            <w:r w:rsidRPr="009D1247">
              <w:rPr>
                <w:rFonts w:ascii="Arial" w:hAnsi="Arial" w:cs="Arial"/>
                <w:b/>
                <w:sz w:val="16"/>
                <w:szCs w:val="16"/>
              </w:rPr>
              <w:t>Rank</w:t>
            </w:r>
          </w:p>
        </w:tc>
      </w:tr>
      <w:tr w:rsidR="00CD6352" w:rsidRPr="009D1247" w14:paraId="27EC0C22" w14:textId="77777777" w:rsidTr="00CD6352">
        <w:trPr>
          <w:trHeight w:val="550"/>
        </w:trPr>
        <w:tc>
          <w:tcPr>
            <w:tcW w:w="1162" w:type="dxa"/>
          </w:tcPr>
          <w:p w14:paraId="08625C3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 xml:space="preserve">Growing demand in </w:t>
            </w:r>
            <w:r w:rsidRPr="009D1247">
              <w:rPr>
                <w:rFonts w:ascii="Arial" w:hAnsi="Arial" w:cs="Arial"/>
                <w:sz w:val="16"/>
                <w:szCs w:val="16"/>
              </w:rPr>
              <w:lastRenderedPageBreak/>
              <w:t>the property market</w:t>
            </w:r>
          </w:p>
        </w:tc>
        <w:tc>
          <w:tcPr>
            <w:tcW w:w="626" w:type="dxa"/>
          </w:tcPr>
          <w:p w14:paraId="4079826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lastRenderedPageBreak/>
              <w:t>4.00</w:t>
            </w:r>
          </w:p>
        </w:tc>
        <w:tc>
          <w:tcPr>
            <w:tcW w:w="720" w:type="dxa"/>
            <w:gridSpan w:val="2"/>
          </w:tcPr>
          <w:p w14:paraId="108D698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5</w:t>
            </w:r>
          </w:p>
        </w:tc>
        <w:tc>
          <w:tcPr>
            <w:tcW w:w="626" w:type="dxa"/>
          </w:tcPr>
          <w:p w14:paraId="1C159F3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683" w:type="dxa"/>
            <w:gridSpan w:val="2"/>
          </w:tcPr>
          <w:p w14:paraId="048A6FB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w:t>
            </w:r>
          </w:p>
        </w:tc>
        <w:tc>
          <w:tcPr>
            <w:tcW w:w="643" w:type="dxa"/>
          </w:tcPr>
          <w:p w14:paraId="4DEC1AF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4.17</w:t>
            </w:r>
          </w:p>
        </w:tc>
        <w:tc>
          <w:tcPr>
            <w:tcW w:w="655" w:type="dxa"/>
            <w:gridSpan w:val="2"/>
          </w:tcPr>
          <w:p w14:paraId="75D44A8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w:t>
            </w:r>
          </w:p>
        </w:tc>
        <w:tc>
          <w:tcPr>
            <w:tcW w:w="643" w:type="dxa"/>
          </w:tcPr>
          <w:p w14:paraId="6C3B149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4.30</w:t>
            </w:r>
          </w:p>
        </w:tc>
        <w:tc>
          <w:tcPr>
            <w:tcW w:w="680" w:type="dxa"/>
            <w:gridSpan w:val="2"/>
          </w:tcPr>
          <w:p w14:paraId="3192146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w:t>
            </w:r>
          </w:p>
        </w:tc>
        <w:tc>
          <w:tcPr>
            <w:tcW w:w="645" w:type="dxa"/>
          </w:tcPr>
          <w:p w14:paraId="4C25F07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3.96</w:t>
            </w:r>
          </w:p>
        </w:tc>
        <w:tc>
          <w:tcPr>
            <w:tcW w:w="567" w:type="dxa"/>
          </w:tcPr>
          <w:p w14:paraId="6686C36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w:t>
            </w:r>
          </w:p>
        </w:tc>
        <w:tc>
          <w:tcPr>
            <w:tcW w:w="775" w:type="dxa"/>
          </w:tcPr>
          <w:p w14:paraId="5B03D6E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4.67</w:t>
            </w:r>
          </w:p>
        </w:tc>
        <w:tc>
          <w:tcPr>
            <w:tcW w:w="608" w:type="dxa"/>
            <w:gridSpan w:val="2"/>
          </w:tcPr>
          <w:p w14:paraId="3D595A5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w:t>
            </w:r>
          </w:p>
        </w:tc>
      </w:tr>
      <w:tr w:rsidR="00CD6352" w:rsidRPr="009D1247" w14:paraId="28A24BE5" w14:textId="77777777" w:rsidTr="00CD6352">
        <w:trPr>
          <w:trHeight w:val="355"/>
        </w:trPr>
        <w:tc>
          <w:tcPr>
            <w:tcW w:w="1162" w:type="dxa"/>
          </w:tcPr>
          <w:p w14:paraId="259A3B3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Availability of long-term funds</w:t>
            </w:r>
          </w:p>
        </w:tc>
        <w:tc>
          <w:tcPr>
            <w:tcW w:w="626" w:type="dxa"/>
          </w:tcPr>
          <w:p w14:paraId="28DF403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4.33</w:t>
            </w:r>
          </w:p>
        </w:tc>
        <w:tc>
          <w:tcPr>
            <w:tcW w:w="720" w:type="dxa"/>
            <w:gridSpan w:val="2"/>
          </w:tcPr>
          <w:p w14:paraId="17AE780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w:t>
            </w:r>
          </w:p>
        </w:tc>
        <w:tc>
          <w:tcPr>
            <w:tcW w:w="626" w:type="dxa"/>
          </w:tcPr>
          <w:p w14:paraId="1B3EC74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3.80</w:t>
            </w:r>
          </w:p>
        </w:tc>
        <w:tc>
          <w:tcPr>
            <w:tcW w:w="683" w:type="dxa"/>
            <w:gridSpan w:val="2"/>
          </w:tcPr>
          <w:p w14:paraId="526F035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5</w:t>
            </w:r>
          </w:p>
        </w:tc>
        <w:tc>
          <w:tcPr>
            <w:tcW w:w="643" w:type="dxa"/>
          </w:tcPr>
          <w:p w14:paraId="07E0350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3.67</w:t>
            </w:r>
          </w:p>
        </w:tc>
        <w:tc>
          <w:tcPr>
            <w:tcW w:w="655" w:type="dxa"/>
            <w:gridSpan w:val="2"/>
          </w:tcPr>
          <w:p w14:paraId="3F5F93F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8</w:t>
            </w:r>
          </w:p>
        </w:tc>
        <w:tc>
          <w:tcPr>
            <w:tcW w:w="643" w:type="dxa"/>
          </w:tcPr>
          <w:p w14:paraId="50BBD0E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3.90</w:t>
            </w:r>
          </w:p>
        </w:tc>
        <w:tc>
          <w:tcPr>
            <w:tcW w:w="680" w:type="dxa"/>
            <w:gridSpan w:val="2"/>
          </w:tcPr>
          <w:p w14:paraId="50492E6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w:t>
            </w:r>
          </w:p>
        </w:tc>
        <w:tc>
          <w:tcPr>
            <w:tcW w:w="645" w:type="dxa"/>
          </w:tcPr>
          <w:p w14:paraId="2285865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3.64</w:t>
            </w:r>
          </w:p>
        </w:tc>
        <w:tc>
          <w:tcPr>
            <w:tcW w:w="567" w:type="dxa"/>
          </w:tcPr>
          <w:p w14:paraId="777EE96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w:t>
            </w:r>
          </w:p>
        </w:tc>
        <w:tc>
          <w:tcPr>
            <w:tcW w:w="775" w:type="dxa"/>
          </w:tcPr>
          <w:p w14:paraId="5ACC162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4.13</w:t>
            </w:r>
          </w:p>
        </w:tc>
        <w:tc>
          <w:tcPr>
            <w:tcW w:w="608" w:type="dxa"/>
            <w:gridSpan w:val="2"/>
          </w:tcPr>
          <w:p w14:paraId="627B20B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w:t>
            </w:r>
          </w:p>
        </w:tc>
      </w:tr>
      <w:tr w:rsidR="00CD6352" w:rsidRPr="009D1247" w14:paraId="2682E6B7" w14:textId="77777777" w:rsidTr="00CD6352">
        <w:trPr>
          <w:trHeight w:val="355"/>
        </w:trPr>
        <w:tc>
          <w:tcPr>
            <w:tcW w:w="1162" w:type="dxa"/>
          </w:tcPr>
          <w:p w14:paraId="7546540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Emerging technologies</w:t>
            </w:r>
          </w:p>
        </w:tc>
        <w:tc>
          <w:tcPr>
            <w:tcW w:w="626" w:type="dxa"/>
          </w:tcPr>
          <w:p w14:paraId="26116C9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2.67</w:t>
            </w:r>
          </w:p>
        </w:tc>
        <w:tc>
          <w:tcPr>
            <w:tcW w:w="720" w:type="dxa"/>
            <w:gridSpan w:val="2"/>
          </w:tcPr>
          <w:p w14:paraId="0580194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14</w:t>
            </w:r>
          </w:p>
        </w:tc>
        <w:tc>
          <w:tcPr>
            <w:tcW w:w="626" w:type="dxa"/>
          </w:tcPr>
          <w:p w14:paraId="1E57722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3.64</w:t>
            </w:r>
          </w:p>
        </w:tc>
        <w:tc>
          <w:tcPr>
            <w:tcW w:w="683" w:type="dxa"/>
            <w:gridSpan w:val="2"/>
          </w:tcPr>
          <w:p w14:paraId="1BC2C0B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7</w:t>
            </w:r>
          </w:p>
        </w:tc>
        <w:tc>
          <w:tcPr>
            <w:tcW w:w="643" w:type="dxa"/>
          </w:tcPr>
          <w:p w14:paraId="196927E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655" w:type="dxa"/>
            <w:gridSpan w:val="2"/>
          </w:tcPr>
          <w:p w14:paraId="722D359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12</w:t>
            </w:r>
          </w:p>
        </w:tc>
        <w:tc>
          <w:tcPr>
            <w:tcW w:w="643" w:type="dxa"/>
          </w:tcPr>
          <w:p w14:paraId="4B6EC0A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3.10</w:t>
            </w:r>
          </w:p>
        </w:tc>
        <w:tc>
          <w:tcPr>
            <w:tcW w:w="680" w:type="dxa"/>
            <w:gridSpan w:val="2"/>
          </w:tcPr>
          <w:p w14:paraId="72E24B0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16</w:t>
            </w:r>
          </w:p>
        </w:tc>
        <w:tc>
          <w:tcPr>
            <w:tcW w:w="645" w:type="dxa"/>
          </w:tcPr>
          <w:p w14:paraId="6E65C68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3.45</w:t>
            </w:r>
          </w:p>
        </w:tc>
        <w:tc>
          <w:tcPr>
            <w:tcW w:w="567" w:type="dxa"/>
          </w:tcPr>
          <w:p w14:paraId="517EFC3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9</w:t>
            </w:r>
          </w:p>
        </w:tc>
        <w:tc>
          <w:tcPr>
            <w:tcW w:w="775" w:type="dxa"/>
          </w:tcPr>
          <w:p w14:paraId="0F9FBB7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08" w:type="dxa"/>
            <w:gridSpan w:val="2"/>
          </w:tcPr>
          <w:p w14:paraId="7DE71E5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12</w:t>
            </w:r>
          </w:p>
        </w:tc>
      </w:tr>
      <w:tr w:rsidR="00CD6352" w:rsidRPr="009D1247" w14:paraId="7331C001" w14:textId="77777777" w:rsidTr="00CD6352">
        <w:trPr>
          <w:trHeight w:val="550"/>
        </w:trPr>
        <w:tc>
          <w:tcPr>
            <w:tcW w:w="1162" w:type="dxa"/>
          </w:tcPr>
          <w:p w14:paraId="06D9B38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Favourable land use and ownership laws</w:t>
            </w:r>
          </w:p>
        </w:tc>
        <w:tc>
          <w:tcPr>
            <w:tcW w:w="626" w:type="dxa"/>
          </w:tcPr>
          <w:p w14:paraId="68C8181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2.47</w:t>
            </w:r>
          </w:p>
        </w:tc>
        <w:tc>
          <w:tcPr>
            <w:tcW w:w="720" w:type="dxa"/>
            <w:gridSpan w:val="2"/>
          </w:tcPr>
          <w:p w14:paraId="5F519F2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19</w:t>
            </w:r>
          </w:p>
        </w:tc>
        <w:tc>
          <w:tcPr>
            <w:tcW w:w="626" w:type="dxa"/>
          </w:tcPr>
          <w:p w14:paraId="5953386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83" w:type="dxa"/>
            <w:gridSpan w:val="2"/>
          </w:tcPr>
          <w:p w14:paraId="68A7280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11</w:t>
            </w:r>
          </w:p>
        </w:tc>
        <w:tc>
          <w:tcPr>
            <w:tcW w:w="643" w:type="dxa"/>
          </w:tcPr>
          <w:p w14:paraId="6FB743E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655" w:type="dxa"/>
            <w:gridSpan w:val="2"/>
          </w:tcPr>
          <w:p w14:paraId="64B4A09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13</w:t>
            </w:r>
          </w:p>
        </w:tc>
        <w:tc>
          <w:tcPr>
            <w:tcW w:w="643" w:type="dxa"/>
          </w:tcPr>
          <w:p w14:paraId="008209E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3.70</w:t>
            </w:r>
          </w:p>
        </w:tc>
        <w:tc>
          <w:tcPr>
            <w:tcW w:w="680" w:type="dxa"/>
            <w:gridSpan w:val="2"/>
          </w:tcPr>
          <w:p w14:paraId="17C2306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5</w:t>
            </w:r>
          </w:p>
        </w:tc>
        <w:tc>
          <w:tcPr>
            <w:tcW w:w="645" w:type="dxa"/>
          </w:tcPr>
          <w:p w14:paraId="0FC8426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3.05</w:t>
            </w:r>
          </w:p>
        </w:tc>
        <w:tc>
          <w:tcPr>
            <w:tcW w:w="567" w:type="dxa"/>
          </w:tcPr>
          <w:p w14:paraId="10A7497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18</w:t>
            </w:r>
          </w:p>
        </w:tc>
        <w:tc>
          <w:tcPr>
            <w:tcW w:w="775" w:type="dxa"/>
          </w:tcPr>
          <w:p w14:paraId="7CBAEBC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3.38</w:t>
            </w:r>
          </w:p>
        </w:tc>
        <w:tc>
          <w:tcPr>
            <w:tcW w:w="608" w:type="dxa"/>
            <w:gridSpan w:val="2"/>
          </w:tcPr>
          <w:p w14:paraId="29F33B2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14</w:t>
            </w:r>
          </w:p>
        </w:tc>
      </w:tr>
      <w:tr w:rsidR="00CD6352" w:rsidRPr="009D1247" w14:paraId="5E0F73AB" w14:textId="77777777" w:rsidTr="00CD6352">
        <w:trPr>
          <w:trHeight w:val="355"/>
        </w:trPr>
        <w:tc>
          <w:tcPr>
            <w:tcW w:w="1162" w:type="dxa"/>
          </w:tcPr>
          <w:p w14:paraId="569FC8F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Favourable tax platforms</w:t>
            </w:r>
          </w:p>
        </w:tc>
        <w:tc>
          <w:tcPr>
            <w:tcW w:w="626" w:type="dxa"/>
          </w:tcPr>
          <w:p w14:paraId="4AEDAD6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2.67</w:t>
            </w:r>
          </w:p>
        </w:tc>
        <w:tc>
          <w:tcPr>
            <w:tcW w:w="720" w:type="dxa"/>
            <w:gridSpan w:val="2"/>
          </w:tcPr>
          <w:p w14:paraId="1B233EE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15</w:t>
            </w:r>
          </w:p>
        </w:tc>
        <w:tc>
          <w:tcPr>
            <w:tcW w:w="626" w:type="dxa"/>
          </w:tcPr>
          <w:p w14:paraId="3231445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3" w:type="dxa"/>
            <w:gridSpan w:val="2"/>
          </w:tcPr>
          <w:p w14:paraId="2717935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16</w:t>
            </w:r>
          </w:p>
        </w:tc>
        <w:tc>
          <w:tcPr>
            <w:tcW w:w="643" w:type="dxa"/>
          </w:tcPr>
          <w:p w14:paraId="4E7BA93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3.67</w:t>
            </w:r>
          </w:p>
        </w:tc>
        <w:tc>
          <w:tcPr>
            <w:tcW w:w="655" w:type="dxa"/>
            <w:gridSpan w:val="2"/>
          </w:tcPr>
          <w:p w14:paraId="7916DF6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9</w:t>
            </w:r>
          </w:p>
        </w:tc>
        <w:tc>
          <w:tcPr>
            <w:tcW w:w="643" w:type="dxa"/>
          </w:tcPr>
          <w:p w14:paraId="7D8505A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0" w:type="dxa"/>
            <w:gridSpan w:val="2"/>
          </w:tcPr>
          <w:p w14:paraId="73378B8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12</w:t>
            </w:r>
          </w:p>
        </w:tc>
        <w:tc>
          <w:tcPr>
            <w:tcW w:w="645" w:type="dxa"/>
          </w:tcPr>
          <w:p w14:paraId="34F161A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3.05</w:t>
            </w:r>
          </w:p>
        </w:tc>
        <w:tc>
          <w:tcPr>
            <w:tcW w:w="567" w:type="dxa"/>
          </w:tcPr>
          <w:p w14:paraId="2B3B73B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19</w:t>
            </w:r>
          </w:p>
        </w:tc>
        <w:tc>
          <w:tcPr>
            <w:tcW w:w="775" w:type="dxa"/>
          </w:tcPr>
          <w:p w14:paraId="22D33AF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3.25</w:t>
            </w:r>
          </w:p>
        </w:tc>
        <w:tc>
          <w:tcPr>
            <w:tcW w:w="608" w:type="dxa"/>
            <w:gridSpan w:val="2"/>
          </w:tcPr>
          <w:p w14:paraId="1C8965B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16</w:t>
            </w:r>
          </w:p>
        </w:tc>
      </w:tr>
      <w:tr w:rsidR="00CD6352" w:rsidRPr="009D1247" w14:paraId="0489E4E9" w14:textId="77777777" w:rsidTr="00CD6352">
        <w:trPr>
          <w:trHeight w:val="355"/>
        </w:trPr>
        <w:tc>
          <w:tcPr>
            <w:tcW w:w="1162" w:type="dxa"/>
          </w:tcPr>
          <w:p w14:paraId="11D559B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Foreign exchange stability</w:t>
            </w:r>
          </w:p>
        </w:tc>
        <w:tc>
          <w:tcPr>
            <w:tcW w:w="626" w:type="dxa"/>
          </w:tcPr>
          <w:p w14:paraId="40DE845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720" w:type="dxa"/>
            <w:gridSpan w:val="2"/>
          </w:tcPr>
          <w:p w14:paraId="3388ABF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12</w:t>
            </w:r>
          </w:p>
        </w:tc>
        <w:tc>
          <w:tcPr>
            <w:tcW w:w="626" w:type="dxa"/>
          </w:tcPr>
          <w:p w14:paraId="1D39135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3.27</w:t>
            </w:r>
          </w:p>
        </w:tc>
        <w:tc>
          <w:tcPr>
            <w:tcW w:w="683" w:type="dxa"/>
            <w:gridSpan w:val="2"/>
          </w:tcPr>
          <w:p w14:paraId="31A6F14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19</w:t>
            </w:r>
          </w:p>
        </w:tc>
        <w:tc>
          <w:tcPr>
            <w:tcW w:w="643" w:type="dxa"/>
          </w:tcPr>
          <w:p w14:paraId="6C83FFD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655" w:type="dxa"/>
            <w:gridSpan w:val="2"/>
          </w:tcPr>
          <w:p w14:paraId="1EFBF33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14</w:t>
            </w:r>
          </w:p>
        </w:tc>
        <w:tc>
          <w:tcPr>
            <w:tcW w:w="643" w:type="dxa"/>
          </w:tcPr>
          <w:p w14:paraId="42AF544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680" w:type="dxa"/>
            <w:gridSpan w:val="2"/>
          </w:tcPr>
          <w:p w14:paraId="5B41484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18</w:t>
            </w:r>
          </w:p>
        </w:tc>
        <w:tc>
          <w:tcPr>
            <w:tcW w:w="645" w:type="dxa"/>
          </w:tcPr>
          <w:p w14:paraId="727F1B9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3.36</w:t>
            </w:r>
          </w:p>
        </w:tc>
        <w:tc>
          <w:tcPr>
            <w:tcW w:w="567" w:type="dxa"/>
          </w:tcPr>
          <w:p w14:paraId="11517DF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11</w:t>
            </w:r>
          </w:p>
        </w:tc>
        <w:tc>
          <w:tcPr>
            <w:tcW w:w="775" w:type="dxa"/>
          </w:tcPr>
          <w:p w14:paraId="7E5A42F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2.75</w:t>
            </w:r>
          </w:p>
        </w:tc>
        <w:tc>
          <w:tcPr>
            <w:tcW w:w="608" w:type="dxa"/>
            <w:gridSpan w:val="2"/>
          </w:tcPr>
          <w:p w14:paraId="67C826E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19</w:t>
            </w:r>
          </w:p>
        </w:tc>
      </w:tr>
      <w:tr w:rsidR="00CD6352" w:rsidRPr="009D1247" w14:paraId="67978F56" w14:textId="77777777" w:rsidTr="00CD6352">
        <w:trPr>
          <w:trHeight w:val="728"/>
        </w:trPr>
        <w:tc>
          <w:tcPr>
            <w:tcW w:w="1162" w:type="dxa"/>
          </w:tcPr>
          <w:p w14:paraId="391F627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Government housing regulations and policies</w:t>
            </w:r>
          </w:p>
        </w:tc>
        <w:tc>
          <w:tcPr>
            <w:tcW w:w="626" w:type="dxa"/>
          </w:tcPr>
          <w:p w14:paraId="04111BF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720" w:type="dxa"/>
            <w:gridSpan w:val="2"/>
          </w:tcPr>
          <w:p w14:paraId="1F6A971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13</w:t>
            </w:r>
          </w:p>
        </w:tc>
        <w:tc>
          <w:tcPr>
            <w:tcW w:w="626" w:type="dxa"/>
          </w:tcPr>
          <w:p w14:paraId="573233D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83" w:type="dxa"/>
            <w:gridSpan w:val="2"/>
          </w:tcPr>
          <w:p w14:paraId="3BFB1EE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12</w:t>
            </w:r>
          </w:p>
        </w:tc>
        <w:tc>
          <w:tcPr>
            <w:tcW w:w="643" w:type="dxa"/>
          </w:tcPr>
          <w:p w14:paraId="2BDCC04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55" w:type="dxa"/>
            <w:gridSpan w:val="2"/>
          </w:tcPr>
          <w:p w14:paraId="4EC87CF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10</w:t>
            </w:r>
          </w:p>
        </w:tc>
        <w:tc>
          <w:tcPr>
            <w:tcW w:w="643" w:type="dxa"/>
          </w:tcPr>
          <w:p w14:paraId="7C6FEE0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3.60</w:t>
            </w:r>
          </w:p>
        </w:tc>
        <w:tc>
          <w:tcPr>
            <w:tcW w:w="680" w:type="dxa"/>
            <w:gridSpan w:val="2"/>
          </w:tcPr>
          <w:p w14:paraId="6D0B162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7</w:t>
            </w:r>
          </w:p>
        </w:tc>
        <w:tc>
          <w:tcPr>
            <w:tcW w:w="645" w:type="dxa"/>
          </w:tcPr>
          <w:p w14:paraId="5D5E869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3.64</w:t>
            </w:r>
          </w:p>
        </w:tc>
        <w:tc>
          <w:tcPr>
            <w:tcW w:w="567" w:type="dxa"/>
          </w:tcPr>
          <w:p w14:paraId="0E5E9C1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w:t>
            </w:r>
          </w:p>
        </w:tc>
        <w:tc>
          <w:tcPr>
            <w:tcW w:w="775" w:type="dxa"/>
          </w:tcPr>
          <w:p w14:paraId="5E96BF2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3.86</w:t>
            </w:r>
          </w:p>
        </w:tc>
        <w:tc>
          <w:tcPr>
            <w:tcW w:w="608" w:type="dxa"/>
            <w:gridSpan w:val="2"/>
          </w:tcPr>
          <w:p w14:paraId="5830EA4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5</w:t>
            </w:r>
          </w:p>
        </w:tc>
      </w:tr>
      <w:tr w:rsidR="00CD6352" w:rsidRPr="009D1247" w14:paraId="76013B0D" w14:textId="77777777" w:rsidTr="00CD6352">
        <w:trPr>
          <w:trHeight w:val="728"/>
        </w:trPr>
        <w:tc>
          <w:tcPr>
            <w:tcW w:w="1162" w:type="dxa"/>
          </w:tcPr>
          <w:p w14:paraId="3C62BA4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Government housing subsidies and credit inventions</w:t>
            </w:r>
          </w:p>
        </w:tc>
        <w:tc>
          <w:tcPr>
            <w:tcW w:w="626" w:type="dxa"/>
          </w:tcPr>
          <w:p w14:paraId="3290D5B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2.67</w:t>
            </w:r>
          </w:p>
        </w:tc>
        <w:tc>
          <w:tcPr>
            <w:tcW w:w="720" w:type="dxa"/>
            <w:gridSpan w:val="2"/>
          </w:tcPr>
          <w:p w14:paraId="79638F7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16</w:t>
            </w:r>
          </w:p>
        </w:tc>
        <w:tc>
          <w:tcPr>
            <w:tcW w:w="626" w:type="dxa"/>
          </w:tcPr>
          <w:p w14:paraId="7B84AF9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3" w:type="dxa"/>
            <w:gridSpan w:val="2"/>
          </w:tcPr>
          <w:p w14:paraId="2C50ED0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17</w:t>
            </w:r>
          </w:p>
        </w:tc>
        <w:tc>
          <w:tcPr>
            <w:tcW w:w="643" w:type="dxa"/>
          </w:tcPr>
          <w:p w14:paraId="37A1EFC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3.80</w:t>
            </w:r>
          </w:p>
        </w:tc>
        <w:tc>
          <w:tcPr>
            <w:tcW w:w="655" w:type="dxa"/>
            <w:gridSpan w:val="2"/>
          </w:tcPr>
          <w:p w14:paraId="5A793F2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6</w:t>
            </w:r>
          </w:p>
        </w:tc>
        <w:tc>
          <w:tcPr>
            <w:tcW w:w="643" w:type="dxa"/>
          </w:tcPr>
          <w:p w14:paraId="7879618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0" w:type="dxa"/>
            <w:gridSpan w:val="2"/>
          </w:tcPr>
          <w:p w14:paraId="63A09E5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13</w:t>
            </w:r>
          </w:p>
        </w:tc>
        <w:tc>
          <w:tcPr>
            <w:tcW w:w="645" w:type="dxa"/>
          </w:tcPr>
          <w:p w14:paraId="23E73EF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3.17</w:t>
            </w:r>
          </w:p>
        </w:tc>
        <w:tc>
          <w:tcPr>
            <w:tcW w:w="567" w:type="dxa"/>
          </w:tcPr>
          <w:p w14:paraId="7966FE3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15</w:t>
            </w:r>
          </w:p>
        </w:tc>
        <w:tc>
          <w:tcPr>
            <w:tcW w:w="775" w:type="dxa"/>
          </w:tcPr>
          <w:p w14:paraId="7F3278A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3.13</w:t>
            </w:r>
          </w:p>
        </w:tc>
        <w:tc>
          <w:tcPr>
            <w:tcW w:w="608" w:type="dxa"/>
            <w:gridSpan w:val="2"/>
          </w:tcPr>
          <w:p w14:paraId="4E4CDE8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17</w:t>
            </w:r>
          </w:p>
        </w:tc>
      </w:tr>
      <w:tr w:rsidR="00CD6352" w:rsidRPr="009D1247" w14:paraId="33338A25" w14:textId="77777777" w:rsidTr="00CD6352">
        <w:trPr>
          <w:trHeight w:val="550"/>
        </w:trPr>
        <w:tc>
          <w:tcPr>
            <w:tcW w:w="1162" w:type="dxa"/>
          </w:tcPr>
          <w:p w14:paraId="28435E6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 xml:space="preserve">Government monetary and fiscal policies </w:t>
            </w:r>
          </w:p>
        </w:tc>
        <w:tc>
          <w:tcPr>
            <w:tcW w:w="626" w:type="dxa"/>
          </w:tcPr>
          <w:p w14:paraId="3B8978D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720" w:type="dxa"/>
            <w:gridSpan w:val="2"/>
          </w:tcPr>
          <w:p w14:paraId="23EDF81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6</w:t>
            </w:r>
          </w:p>
        </w:tc>
        <w:tc>
          <w:tcPr>
            <w:tcW w:w="626" w:type="dxa"/>
          </w:tcPr>
          <w:p w14:paraId="7B5393B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3" w:type="dxa"/>
            <w:gridSpan w:val="2"/>
          </w:tcPr>
          <w:p w14:paraId="505611D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18</w:t>
            </w:r>
          </w:p>
        </w:tc>
        <w:tc>
          <w:tcPr>
            <w:tcW w:w="643" w:type="dxa"/>
          </w:tcPr>
          <w:p w14:paraId="10F760D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3.75</w:t>
            </w:r>
          </w:p>
        </w:tc>
        <w:tc>
          <w:tcPr>
            <w:tcW w:w="655" w:type="dxa"/>
            <w:gridSpan w:val="2"/>
          </w:tcPr>
          <w:p w14:paraId="7D49E12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7</w:t>
            </w:r>
          </w:p>
        </w:tc>
        <w:tc>
          <w:tcPr>
            <w:tcW w:w="643" w:type="dxa"/>
          </w:tcPr>
          <w:p w14:paraId="164E997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3.70</w:t>
            </w:r>
          </w:p>
        </w:tc>
        <w:tc>
          <w:tcPr>
            <w:tcW w:w="680" w:type="dxa"/>
            <w:gridSpan w:val="2"/>
          </w:tcPr>
          <w:p w14:paraId="6062220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6</w:t>
            </w:r>
          </w:p>
        </w:tc>
        <w:tc>
          <w:tcPr>
            <w:tcW w:w="645" w:type="dxa"/>
          </w:tcPr>
          <w:p w14:paraId="2FC132E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3.41</w:t>
            </w:r>
          </w:p>
        </w:tc>
        <w:tc>
          <w:tcPr>
            <w:tcW w:w="567" w:type="dxa"/>
          </w:tcPr>
          <w:p w14:paraId="21CB7EA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10</w:t>
            </w:r>
          </w:p>
        </w:tc>
        <w:tc>
          <w:tcPr>
            <w:tcW w:w="775" w:type="dxa"/>
          </w:tcPr>
          <w:p w14:paraId="16C663E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608" w:type="dxa"/>
            <w:gridSpan w:val="2"/>
          </w:tcPr>
          <w:p w14:paraId="53F32DD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18</w:t>
            </w:r>
          </w:p>
        </w:tc>
      </w:tr>
      <w:tr w:rsidR="00CD6352" w:rsidRPr="009D1247" w14:paraId="7D0B82C3" w14:textId="77777777" w:rsidTr="00CD6352">
        <w:trPr>
          <w:trHeight w:val="355"/>
        </w:trPr>
        <w:tc>
          <w:tcPr>
            <w:tcW w:w="1162" w:type="dxa"/>
          </w:tcPr>
          <w:p w14:paraId="5B4787E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Highly skilled labour force</w:t>
            </w:r>
          </w:p>
        </w:tc>
        <w:tc>
          <w:tcPr>
            <w:tcW w:w="626" w:type="dxa"/>
          </w:tcPr>
          <w:p w14:paraId="6234A5C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2.67</w:t>
            </w:r>
          </w:p>
        </w:tc>
        <w:tc>
          <w:tcPr>
            <w:tcW w:w="720" w:type="dxa"/>
            <w:gridSpan w:val="2"/>
          </w:tcPr>
          <w:p w14:paraId="18C93B8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17</w:t>
            </w:r>
          </w:p>
        </w:tc>
        <w:tc>
          <w:tcPr>
            <w:tcW w:w="626" w:type="dxa"/>
          </w:tcPr>
          <w:p w14:paraId="7AFDA1A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3.45</w:t>
            </w:r>
          </w:p>
        </w:tc>
        <w:tc>
          <w:tcPr>
            <w:tcW w:w="683" w:type="dxa"/>
            <w:gridSpan w:val="2"/>
          </w:tcPr>
          <w:p w14:paraId="6F2E736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14</w:t>
            </w:r>
          </w:p>
        </w:tc>
        <w:tc>
          <w:tcPr>
            <w:tcW w:w="643" w:type="dxa"/>
          </w:tcPr>
          <w:p w14:paraId="640F29F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655" w:type="dxa"/>
            <w:gridSpan w:val="2"/>
          </w:tcPr>
          <w:p w14:paraId="34CA9F7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18</w:t>
            </w:r>
          </w:p>
        </w:tc>
        <w:tc>
          <w:tcPr>
            <w:tcW w:w="643" w:type="dxa"/>
          </w:tcPr>
          <w:p w14:paraId="5C542F7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680" w:type="dxa"/>
            <w:gridSpan w:val="2"/>
          </w:tcPr>
          <w:p w14:paraId="24AD812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19</w:t>
            </w:r>
          </w:p>
        </w:tc>
        <w:tc>
          <w:tcPr>
            <w:tcW w:w="645" w:type="dxa"/>
          </w:tcPr>
          <w:p w14:paraId="2F41AE3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3.14</w:t>
            </w:r>
          </w:p>
        </w:tc>
        <w:tc>
          <w:tcPr>
            <w:tcW w:w="567" w:type="dxa"/>
          </w:tcPr>
          <w:p w14:paraId="05C501B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16</w:t>
            </w:r>
          </w:p>
        </w:tc>
        <w:tc>
          <w:tcPr>
            <w:tcW w:w="775" w:type="dxa"/>
          </w:tcPr>
          <w:p w14:paraId="71DEC65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608" w:type="dxa"/>
            <w:gridSpan w:val="2"/>
          </w:tcPr>
          <w:p w14:paraId="0A6C6FD9" w14:textId="77777777" w:rsidR="00CD6352" w:rsidRPr="009D1247" w:rsidRDefault="00CD6352" w:rsidP="00CD6352">
            <w:pPr>
              <w:jc w:val="both"/>
              <w:rPr>
                <w:rFonts w:ascii="Arial" w:hAnsi="Arial" w:cs="Arial"/>
                <w:sz w:val="16"/>
                <w:szCs w:val="16"/>
              </w:rPr>
            </w:pPr>
          </w:p>
        </w:tc>
      </w:tr>
      <w:tr w:rsidR="00CD6352" w:rsidRPr="009D1247" w14:paraId="2AB09A57" w14:textId="77777777" w:rsidTr="00CD6352">
        <w:trPr>
          <w:trHeight w:val="355"/>
        </w:trPr>
        <w:tc>
          <w:tcPr>
            <w:tcW w:w="1162" w:type="dxa"/>
          </w:tcPr>
          <w:p w14:paraId="3DA4761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Infrastructure quality</w:t>
            </w:r>
          </w:p>
        </w:tc>
        <w:tc>
          <w:tcPr>
            <w:tcW w:w="626" w:type="dxa"/>
          </w:tcPr>
          <w:p w14:paraId="6954195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2.67</w:t>
            </w:r>
          </w:p>
        </w:tc>
        <w:tc>
          <w:tcPr>
            <w:tcW w:w="720" w:type="dxa"/>
            <w:gridSpan w:val="2"/>
          </w:tcPr>
          <w:p w14:paraId="5A5DF50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18</w:t>
            </w:r>
          </w:p>
        </w:tc>
        <w:tc>
          <w:tcPr>
            <w:tcW w:w="626" w:type="dxa"/>
          </w:tcPr>
          <w:p w14:paraId="618DEB2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3.70</w:t>
            </w:r>
          </w:p>
        </w:tc>
        <w:tc>
          <w:tcPr>
            <w:tcW w:w="683" w:type="dxa"/>
            <w:gridSpan w:val="2"/>
          </w:tcPr>
          <w:p w14:paraId="1C8225C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6</w:t>
            </w:r>
          </w:p>
        </w:tc>
        <w:tc>
          <w:tcPr>
            <w:tcW w:w="643" w:type="dxa"/>
          </w:tcPr>
          <w:p w14:paraId="47F1415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655" w:type="dxa"/>
            <w:gridSpan w:val="2"/>
          </w:tcPr>
          <w:p w14:paraId="0D64FAA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15</w:t>
            </w:r>
          </w:p>
        </w:tc>
        <w:tc>
          <w:tcPr>
            <w:tcW w:w="643" w:type="dxa"/>
          </w:tcPr>
          <w:p w14:paraId="75F0B42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3.40</w:t>
            </w:r>
          </w:p>
        </w:tc>
        <w:tc>
          <w:tcPr>
            <w:tcW w:w="680" w:type="dxa"/>
            <w:gridSpan w:val="2"/>
          </w:tcPr>
          <w:p w14:paraId="2E3C340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11</w:t>
            </w:r>
          </w:p>
        </w:tc>
        <w:tc>
          <w:tcPr>
            <w:tcW w:w="645" w:type="dxa"/>
          </w:tcPr>
          <w:p w14:paraId="56A5C88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3.36</w:t>
            </w:r>
          </w:p>
        </w:tc>
        <w:tc>
          <w:tcPr>
            <w:tcW w:w="567" w:type="dxa"/>
          </w:tcPr>
          <w:p w14:paraId="310B2C9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12</w:t>
            </w:r>
          </w:p>
        </w:tc>
        <w:tc>
          <w:tcPr>
            <w:tcW w:w="775" w:type="dxa"/>
          </w:tcPr>
          <w:p w14:paraId="14BADAF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3.38</w:t>
            </w:r>
          </w:p>
        </w:tc>
        <w:tc>
          <w:tcPr>
            <w:tcW w:w="608" w:type="dxa"/>
            <w:gridSpan w:val="2"/>
          </w:tcPr>
          <w:p w14:paraId="5F6E6F4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15</w:t>
            </w:r>
          </w:p>
        </w:tc>
      </w:tr>
      <w:tr w:rsidR="00CD6352" w:rsidRPr="009D1247" w14:paraId="4E00D90A" w14:textId="77777777" w:rsidTr="00CD6352">
        <w:trPr>
          <w:trHeight w:val="550"/>
        </w:trPr>
        <w:tc>
          <w:tcPr>
            <w:tcW w:w="1162" w:type="dxa"/>
          </w:tcPr>
          <w:p w14:paraId="541DCC6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Institutional real estate market size</w:t>
            </w:r>
          </w:p>
        </w:tc>
        <w:tc>
          <w:tcPr>
            <w:tcW w:w="626" w:type="dxa"/>
          </w:tcPr>
          <w:p w14:paraId="163677B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4.50</w:t>
            </w:r>
          </w:p>
        </w:tc>
        <w:tc>
          <w:tcPr>
            <w:tcW w:w="720" w:type="dxa"/>
            <w:gridSpan w:val="2"/>
          </w:tcPr>
          <w:p w14:paraId="429C409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w:t>
            </w:r>
          </w:p>
        </w:tc>
        <w:tc>
          <w:tcPr>
            <w:tcW w:w="626" w:type="dxa"/>
          </w:tcPr>
          <w:p w14:paraId="7F678E4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3.60</w:t>
            </w:r>
          </w:p>
        </w:tc>
        <w:tc>
          <w:tcPr>
            <w:tcW w:w="683" w:type="dxa"/>
            <w:gridSpan w:val="2"/>
          </w:tcPr>
          <w:p w14:paraId="42CAA31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8</w:t>
            </w:r>
          </w:p>
        </w:tc>
        <w:tc>
          <w:tcPr>
            <w:tcW w:w="643" w:type="dxa"/>
          </w:tcPr>
          <w:p w14:paraId="72E0A80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655" w:type="dxa"/>
            <w:gridSpan w:val="2"/>
          </w:tcPr>
          <w:p w14:paraId="2F9A6D6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16</w:t>
            </w:r>
          </w:p>
        </w:tc>
        <w:tc>
          <w:tcPr>
            <w:tcW w:w="643" w:type="dxa"/>
          </w:tcPr>
          <w:p w14:paraId="5264F5F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3.60</w:t>
            </w:r>
          </w:p>
        </w:tc>
        <w:tc>
          <w:tcPr>
            <w:tcW w:w="680" w:type="dxa"/>
            <w:gridSpan w:val="2"/>
          </w:tcPr>
          <w:p w14:paraId="063DF3B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8</w:t>
            </w:r>
          </w:p>
        </w:tc>
        <w:tc>
          <w:tcPr>
            <w:tcW w:w="645" w:type="dxa"/>
          </w:tcPr>
          <w:p w14:paraId="11BC1A5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567" w:type="dxa"/>
          </w:tcPr>
          <w:p w14:paraId="784B211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7</w:t>
            </w:r>
          </w:p>
        </w:tc>
        <w:tc>
          <w:tcPr>
            <w:tcW w:w="775" w:type="dxa"/>
          </w:tcPr>
          <w:p w14:paraId="7540827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3.75</w:t>
            </w:r>
          </w:p>
        </w:tc>
        <w:tc>
          <w:tcPr>
            <w:tcW w:w="608" w:type="dxa"/>
            <w:gridSpan w:val="2"/>
          </w:tcPr>
          <w:p w14:paraId="46DAABE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6</w:t>
            </w:r>
          </w:p>
        </w:tc>
      </w:tr>
      <w:tr w:rsidR="00CD6352" w:rsidRPr="009D1247" w14:paraId="4D1DB8A3" w14:textId="77777777" w:rsidTr="00CD6352">
        <w:trPr>
          <w:trHeight w:val="355"/>
        </w:trPr>
        <w:tc>
          <w:tcPr>
            <w:tcW w:w="1162" w:type="dxa"/>
          </w:tcPr>
          <w:p w14:paraId="1193299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Low interest rates</w:t>
            </w:r>
          </w:p>
        </w:tc>
        <w:tc>
          <w:tcPr>
            <w:tcW w:w="626" w:type="dxa"/>
          </w:tcPr>
          <w:p w14:paraId="55AFD20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720" w:type="dxa"/>
            <w:gridSpan w:val="2"/>
          </w:tcPr>
          <w:p w14:paraId="55197BF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7</w:t>
            </w:r>
          </w:p>
        </w:tc>
        <w:tc>
          <w:tcPr>
            <w:tcW w:w="626" w:type="dxa"/>
          </w:tcPr>
          <w:p w14:paraId="4DB64EC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3.55</w:t>
            </w:r>
          </w:p>
        </w:tc>
        <w:tc>
          <w:tcPr>
            <w:tcW w:w="683" w:type="dxa"/>
            <w:gridSpan w:val="2"/>
          </w:tcPr>
          <w:p w14:paraId="65F93F7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10</w:t>
            </w:r>
          </w:p>
        </w:tc>
        <w:tc>
          <w:tcPr>
            <w:tcW w:w="643" w:type="dxa"/>
          </w:tcPr>
          <w:p w14:paraId="2605DA1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55" w:type="dxa"/>
            <w:gridSpan w:val="2"/>
          </w:tcPr>
          <w:p w14:paraId="498D180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11</w:t>
            </w:r>
          </w:p>
        </w:tc>
        <w:tc>
          <w:tcPr>
            <w:tcW w:w="643" w:type="dxa"/>
          </w:tcPr>
          <w:p w14:paraId="44DF6C5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0" w:type="dxa"/>
            <w:gridSpan w:val="2"/>
          </w:tcPr>
          <w:p w14:paraId="4A4BBDA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14</w:t>
            </w:r>
          </w:p>
        </w:tc>
        <w:tc>
          <w:tcPr>
            <w:tcW w:w="645" w:type="dxa"/>
          </w:tcPr>
          <w:p w14:paraId="56B7F2D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3.57</w:t>
            </w:r>
          </w:p>
        </w:tc>
        <w:tc>
          <w:tcPr>
            <w:tcW w:w="567" w:type="dxa"/>
          </w:tcPr>
          <w:p w14:paraId="69EC9C1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5</w:t>
            </w:r>
          </w:p>
        </w:tc>
        <w:tc>
          <w:tcPr>
            <w:tcW w:w="775" w:type="dxa"/>
          </w:tcPr>
          <w:p w14:paraId="352C103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3.75</w:t>
            </w:r>
          </w:p>
        </w:tc>
        <w:tc>
          <w:tcPr>
            <w:tcW w:w="608" w:type="dxa"/>
            <w:gridSpan w:val="2"/>
          </w:tcPr>
          <w:p w14:paraId="7676F83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7</w:t>
            </w:r>
          </w:p>
        </w:tc>
      </w:tr>
      <w:tr w:rsidR="00CD6352" w:rsidRPr="009D1247" w14:paraId="279BCB25" w14:textId="77777777" w:rsidTr="00CD6352">
        <w:trPr>
          <w:trHeight w:val="178"/>
        </w:trPr>
        <w:tc>
          <w:tcPr>
            <w:tcW w:w="1162" w:type="dxa"/>
          </w:tcPr>
          <w:p w14:paraId="084130E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Market liquidity</w:t>
            </w:r>
          </w:p>
        </w:tc>
        <w:tc>
          <w:tcPr>
            <w:tcW w:w="626" w:type="dxa"/>
          </w:tcPr>
          <w:p w14:paraId="47FD4EF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3.67</w:t>
            </w:r>
          </w:p>
        </w:tc>
        <w:tc>
          <w:tcPr>
            <w:tcW w:w="720" w:type="dxa"/>
            <w:gridSpan w:val="2"/>
          </w:tcPr>
          <w:p w14:paraId="5BCBB6D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9</w:t>
            </w:r>
          </w:p>
        </w:tc>
        <w:tc>
          <w:tcPr>
            <w:tcW w:w="626" w:type="dxa"/>
          </w:tcPr>
          <w:p w14:paraId="3132572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3.40</w:t>
            </w:r>
          </w:p>
        </w:tc>
        <w:tc>
          <w:tcPr>
            <w:tcW w:w="683" w:type="dxa"/>
            <w:gridSpan w:val="2"/>
          </w:tcPr>
          <w:p w14:paraId="734584F2" w14:textId="77777777" w:rsidR="00CD6352" w:rsidRPr="009D1247" w:rsidRDefault="00CD6352" w:rsidP="00CD6352">
            <w:pPr>
              <w:jc w:val="both"/>
              <w:rPr>
                <w:rFonts w:ascii="Arial" w:hAnsi="Arial" w:cs="Arial"/>
                <w:sz w:val="16"/>
                <w:szCs w:val="16"/>
              </w:rPr>
            </w:pPr>
          </w:p>
        </w:tc>
        <w:tc>
          <w:tcPr>
            <w:tcW w:w="643" w:type="dxa"/>
          </w:tcPr>
          <w:p w14:paraId="4D0A30B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655" w:type="dxa"/>
            <w:gridSpan w:val="2"/>
          </w:tcPr>
          <w:p w14:paraId="1AFB156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w:t>
            </w:r>
          </w:p>
        </w:tc>
        <w:tc>
          <w:tcPr>
            <w:tcW w:w="643" w:type="dxa"/>
          </w:tcPr>
          <w:p w14:paraId="2D6FCF4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80" w:type="dxa"/>
            <w:gridSpan w:val="2"/>
          </w:tcPr>
          <w:p w14:paraId="356EC01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10</w:t>
            </w:r>
          </w:p>
        </w:tc>
        <w:tc>
          <w:tcPr>
            <w:tcW w:w="645" w:type="dxa"/>
          </w:tcPr>
          <w:p w14:paraId="74CCE7A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3.23</w:t>
            </w:r>
          </w:p>
        </w:tc>
        <w:tc>
          <w:tcPr>
            <w:tcW w:w="567" w:type="dxa"/>
          </w:tcPr>
          <w:p w14:paraId="73E0110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13</w:t>
            </w:r>
          </w:p>
        </w:tc>
        <w:tc>
          <w:tcPr>
            <w:tcW w:w="775" w:type="dxa"/>
          </w:tcPr>
          <w:p w14:paraId="75FA93F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3.75</w:t>
            </w:r>
          </w:p>
        </w:tc>
        <w:tc>
          <w:tcPr>
            <w:tcW w:w="608" w:type="dxa"/>
            <w:gridSpan w:val="2"/>
          </w:tcPr>
          <w:p w14:paraId="290B0A6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8</w:t>
            </w:r>
          </w:p>
        </w:tc>
      </w:tr>
      <w:tr w:rsidR="00CD6352" w:rsidRPr="009D1247" w14:paraId="53AF9AEB" w14:textId="77777777" w:rsidTr="00CD6352">
        <w:trPr>
          <w:trHeight w:val="550"/>
        </w:trPr>
        <w:tc>
          <w:tcPr>
            <w:tcW w:w="1162" w:type="dxa"/>
          </w:tcPr>
          <w:p w14:paraId="1ECD123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 xml:space="preserve">Market maturity and transparency </w:t>
            </w:r>
          </w:p>
        </w:tc>
        <w:tc>
          <w:tcPr>
            <w:tcW w:w="626" w:type="dxa"/>
          </w:tcPr>
          <w:p w14:paraId="3C40EEF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3.67</w:t>
            </w:r>
          </w:p>
        </w:tc>
        <w:tc>
          <w:tcPr>
            <w:tcW w:w="720" w:type="dxa"/>
            <w:gridSpan w:val="2"/>
          </w:tcPr>
          <w:p w14:paraId="221D81C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10</w:t>
            </w:r>
          </w:p>
        </w:tc>
        <w:tc>
          <w:tcPr>
            <w:tcW w:w="626" w:type="dxa"/>
          </w:tcPr>
          <w:p w14:paraId="6107B02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683" w:type="dxa"/>
            <w:gridSpan w:val="2"/>
          </w:tcPr>
          <w:p w14:paraId="7EFD258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13</w:t>
            </w:r>
          </w:p>
        </w:tc>
        <w:tc>
          <w:tcPr>
            <w:tcW w:w="643" w:type="dxa"/>
          </w:tcPr>
          <w:p w14:paraId="50966F3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3.00</w:t>
            </w:r>
          </w:p>
        </w:tc>
        <w:tc>
          <w:tcPr>
            <w:tcW w:w="655" w:type="dxa"/>
            <w:gridSpan w:val="2"/>
          </w:tcPr>
          <w:p w14:paraId="36352E2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19</w:t>
            </w:r>
          </w:p>
        </w:tc>
        <w:tc>
          <w:tcPr>
            <w:tcW w:w="643" w:type="dxa"/>
          </w:tcPr>
          <w:p w14:paraId="313774B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3.10</w:t>
            </w:r>
          </w:p>
        </w:tc>
        <w:tc>
          <w:tcPr>
            <w:tcW w:w="680" w:type="dxa"/>
            <w:gridSpan w:val="2"/>
          </w:tcPr>
          <w:p w14:paraId="37856A5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17</w:t>
            </w:r>
          </w:p>
        </w:tc>
        <w:tc>
          <w:tcPr>
            <w:tcW w:w="645" w:type="dxa"/>
          </w:tcPr>
          <w:p w14:paraId="144C9D7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3.23</w:t>
            </w:r>
          </w:p>
        </w:tc>
        <w:tc>
          <w:tcPr>
            <w:tcW w:w="567" w:type="dxa"/>
          </w:tcPr>
          <w:p w14:paraId="5A41914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14</w:t>
            </w:r>
          </w:p>
        </w:tc>
        <w:tc>
          <w:tcPr>
            <w:tcW w:w="775" w:type="dxa"/>
          </w:tcPr>
          <w:p w14:paraId="206E5F3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3.43</w:t>
            </w:r>
          </w:p>
        </w:tc>
        <w:tc>
          <w:tcPr>
            <w:tcW w:w="608" w:type="dxa"/>
            <w:gridSpan w:val="2"/>
          </w:tcPr>
          <w:p w14:paraId="454719A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13</w:t>
            </w:r>
          </w:p>
        </w:tc>
      </w:tr>
      <w:tr w:rsidR="00CD6352" w:rsidRPr="009D1247" w14:paraId="11A391AB" w14:textId="77777777" w:rsidTr="00CD6352">
        <w:trPr>
          <w:trHeight w:val="355"/>
        </w:trPr>
        <w:tc>
          <w:tcPr>
            <w:tcW w:w="1162" w:type="dxa"/>
          </w:tcPr>
          <w:p w14:paraId="12D70A4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Multiple finance sources</w:t>
            </w:r>
          </w:p>
        </w:tc>
        <w:tc>
          <w:tcPr>
            <w:tcW w:w="626" w:type="dxa"/>
          </w:tcPr>
          <w:p w14:paraId="5EB1342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3.67</w:t>
            </w:r>
          </w:p>
        </w:tc>
        <w:tc>
          <w:tcPr>
            <w:tcW w:w="720" w:type="dxa"/>
            <w:gridSpan w:val="2"/>
          </w:tcPr>
          <w:p w14:paraId="4F29D1F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11</w:t>
            </w:r>
          </w:p>
        </w:tc>
        <w:tc>
          <w:tcPr>
            <w:tcW w:w="626" w:type="dxa"/>
          </w:tcPr>
          <w:p w14:paraId="1269EEB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3.90</w:t>
            </w:r>
          </w:p>
        </w:tc>
        <w:tc>
          <w:tcPr>
            <w:tcW w:w="683" w:type="dxa"/>
            <w:gridSpan w:val="2"/>
          </w:tcPr>
          <w:p w14:paraId="04F7BC79"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w:t>
            </w:r>
          </w:p>
        </w:tc>
        <w:tc>
          <w:tcPr>
            <w:tcW w:w="643" w:type="dxa"/>
          </w:tcPr>
          <w:p w14:paraId="2F062734"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655" w:type="dxa"/>
            <w:gridSpan w:val="2"/>
          </w:tcPr>
          <w:p w14:paraId="1A1AC70A"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w:t>
            </w:r>
          </w:p>
        </w:tc>
        <w:tc>
          <w:tcPr>
            <w:tcW w:w="643" w:type="dxa"/>
          </w:tcPr>
          <w:p w14:paraId="1052999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3.30</w:t>
            </w:r>
          </w:p>
        </w:tc>
        <w:tc>
          <w:tcPr>
            <w:tcW w:w="680" w:type="dxa"/>
            <w:gridSpan w:val="2"/>
          </w:tcPr>
          <w:p w14:paraId="4BDBBA6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15</w:t>
            </w:r>
          </w:p>
        </w:tc>
        <w:tc>
          <w:tcPr>
            <w:tcW w:w="645" w:type="dxa"/>
          </w:tcPr>
          <w:p w14:paraId="478A0AB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3.57</w:t>
            </w:r>
          </w:p>
        </w:tc>
        <w:tc>
          <w:tcPr>
            <w:tcW w:w="567" w:type="dxa"/>
          </w:tcPr>
          <w:p w14:paraId="15CA8C9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w:t>
            </w:r>
          </w:p>
        </w:tc>
        <w:tc>
          <w:tcPr>
            <w:tcW w:w="775" w:type="dxa"/>
          </w:tcPr>
          <w:p w14:paraId="167F47F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4.13</w:t>
            </w:r>
          </w:p>
        </w:tc>
        <w:tc>
          <w:tcPr>
            <w:tcW w:w="608" w:type="dxa"/>
            <w:gridSpan w:val="2"/>
          </w:tcPr>
          <w:p w14:paraId="2BF92F98"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w:t>
            </w:r>
          </w:p>
        </w:tc>
      </w:tr>
      <w:tr w:rsidR="00CD6352" w:rsidRPr="009D1247" w14:paraId="43E2BBAA" w14:textId="77777777" w:rsidTr="00CD6352">
        <w:trPr>
          <w:trHeight w:val="178"/>
        </w:trPr>
        <w:tc>
          <w:tcPr>
            <w:tcW w:w="1162" w:type="dxa"/>
          </w:tcPr>
          <w:p w14:paraId="4B18107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Political stability</w:t>
            </w:r>
          </w:p>
        </w:tc>
        <w:tc>
          <w:tcPr>
            <w:tcW w:w="626" w:type="dxa"/>
          </w:tcPr>
          <w:p w14:paraId="753D23D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720" w:type="dxa"/>
            <w:gridSpan w:val="2"/>
          </w:tcPr>
          <w:p w14:paraId="4594AAD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8</w:t>
            </w:r>
          </w:p>
        </w:tc>
        <w:tc>
          <w:tcPr>
            <w:tcW w:w="626" w:type="dxa"/>
          </w:tcPr>
          <w:p w14:paraId="736A31A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3.82</w:t>
            </w:r>
          </w:p>
        </w:tc>
        <w:tc>
          <w:tcPr>
            <w:tcW w:w="683" w:type="dxa"/>
            <w:gridSpan w:val="2"/>
          </w:tcPr>
          <w:p w14:paraId="4BFF94B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w:t>
            </w:r>
          </w:p>
        </w:tc>
        <w:tc>
          <w:tcPr>
            <w:tcW w:w="643" w:type="dxa"/>
          </w:tcPr>
          <w:p w14:paraId="26F8B0B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4.33</w:t>
            </w:r>
          </w:p>
        </w:tc>
        <w:tc>
          <w:tcPr>
            <w:tcW w:w="655" w:type="dxa"/>
            <w:gridSpan w:val="2"/>
          </w:tcPr>
          <w:p w14:paraId="2D9FD82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w:t>
            </w:r>
          </w:p>
        </w:tc>
        <w:tc>
          <w:tcPr>
            <w:tcW w:w="643" w:type="dxa"/>
          </w:tcPr>
          <w:p w14:paraId="68337C0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4.30</w:t>
            </w:r>
          </w:p>
        </w:tc>
        <w:tc>
          <w:tcPr>
            <w:tcW w:w="680" w:type="dxa"/>
            <w:gridSpan w:val="2"/>
          </w:tcPr>
          <w:p w14:paraId="1A29CCB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w:t>
            </w:r>
          </w:p>
        </w:tc>
        <w:tc>
          <w:tcPr>
            <w:tcW w:w="645" w:type="dxa"/>
          </w:tcPr>
          <w:p w14:paraId="509E8C5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3.50</w:t>
            </w:r>
          </w:p>
        </w:tc>
        <w:tc>
          <w:tcPr>
            <w:tcW w:w="567" w:type="dxa"/>
          </w:tcPr>
          <w:p w14:paraId="6D7A26D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8</w:t>
            </w:r>
          </w:p>
        </w:tc>
        <w:tc>
          <w:tcPr>
            <w:tcW w:w="775" w:type="dxa"/>
          </w:tcPr>
          <w:p w14:paraId="022FF18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3.75</w:t>
            </w:r>
          </w:p>
        </w:tc>
        <w:tc>
          <w:tcPr>
            <w:tcW w:w="608" w:type="dxa"/>
            <w:gridSpan w:val="2"/>
          </w:tcPr>
          <w:p w14:paraId="0451742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9</w:t>
            </w:r>
          </w:p>
        </w:tc>
      </w:tr>
      <w:tr w:rsidR="00CD6352" w:rsidRPr="009D1247" w14:paraId="5808A95E" w14:textId="77777777" w:rsidTr="00CD6352">
        <w:trPr>
          <w:trHeight w:val="550"/>
        </w:trPr>
        <w:tc>
          <w:tcPr>
            <w:tcW w:w="1162" w:type="dxa"/>
          </w:tcPr>
          <w:p w14:paraId="6C46470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Positive and sustained economic growth</w:t>
            </w:r>
          </w:p>
        </w:tc>
        <w:tc>
          <w:tcPr>
            <w:tcW w:w="626" w:type="dxa"/>
          </w:tcPr>
          <w:p w14:paraId="5F1EF59C"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4.67</w:t>
            </w:r>
          </w:p>
        </w:tc>
        <w:tc>
          <w:tcPr>
            <w:tcW w:w="720" w:type="dxa"/>
            <w:gridSpan w:val="2"/>
          </w:tcPr>
          <w:p w14:paraId="41C1527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w:t>
            </w:r>
          </w:p>
        </w:tc>
        <w:tc>
          <w:tcPr>
            <w:tcW w:w="626" w:type="dxa"/>
          </w:tcPr>
          <w:p w14:paraId="30847AB0"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683" w:type="dxa"/>
            <w:gridSpan w:val="2"/>
          </w:tcPr>
          <w:p w14:paraId="6563904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2</w:t>
            </w:r>
          </w:p>
        </w:tc>
        <w:tc>
          <w:tcPr>
            <w:tcW w:w="643" w:type="dxa"/>
          </w:tcPr>
          <w:p w14:paraId="37A29B3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655" w:type="dxa"/>
            <w:gridSpan w:val="2"/>
          </w:tcPr>
          <w:p w14:paraId="7429088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5</w:t>
            </w:r>
          </w:p>
        </w:tc>
        <w:tc>
          <w:tcPr>
            <w:tcW w:w="643" w:type="dxa"/>
          </w:tcPr>
          <w:p w14:paraId="653A3AA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4.00</w:t>
            </w:r>
          </w:p>
        </w:tc>
        <w:tc>
          <w:tcPr>
            <w:tcW w:w="680" w:type="dxa"/>
            <w:gridSpan w:val="2"/>
          </w:tcPr>
          <w:p w14:paraId="05E8F74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w:t>
            </w:r>
          </w:p>
        </w:tc>
        <w:tc>
          <w:tcPr>
            <w:tcW w:w="645" w:type="dxa"/>
          </w:tcPr>
          <w:p w14:paraId="55642E9F"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3.55</w:t>
            </w:r>
          </w:p>
        </w:tc>
        <w:tc>
          <w:tcPr>
            <w:tcW w:w="567" w:type="dxa"/>
          </w:tcPr>
          <w:p w14:paraId="7F5D67F1"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6</w:t>
            </w:r>
          </w:p>
        </w:tc>
        <w:tc>
          <w:tcPr>
            <w:tcW w:w="775" w:type="dxa"/>
          </w:tcPr>
          <w:p w14:paraId="3D69951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3.88</w:t>
            </w:r>
          </w:p>
        </w:tc>
        <w:tc>
          <w:tcPr>
            <w:tcW w:w="608" w:type="dxa"/>
            <w:gridSpan w:val="2"/>
          </w:tcPr>
          <w:p w14:paraId="168A707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w:t>
            </w:r>
          </w:p>
        </w:tc>
      </w:tr>
      <w:tr w:rsidR="00CD6352" w:rsidRPr="009D1247" w14:paraId="0BDA767C" w14:textId="77777777" w:rsidTr="00CD6352">
        <w:trPr>
          <w:trHeight w:val="355"/>
        </w:trPr>
        <w:tc>
          <w:tcPr>
            <w:tcW w:w="1162" w:type="dxa"/>
          </w:tcPr>
          <w:p w14:paraId="5F5660D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lastRenderedPageBreak/>
              <w:t>Strong judiciary system</w:t>
            </w:r>
          </w:p>
        </w:tc>
        <w:tc>
          <w:tcPr>
            <w:tcW w:w="626" w:type="dxa"/>
          </w:tcPr>
          <w:p w14:paraId="0FCD6B2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4.33</w:t>
            </w:r>
          </w:p>
        </w:tc>
        <w:tc>
          <w:tcPr>
            <w:tcW w:w="720" w:type="dxa"/>
            <w:gridSpan w:val="2"/>
          </w:tcPr>
          <w:p w14:paraId="56946B3E"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4</w:t>
            </w:r>
          </w:p>
        </w:tc>
        <w:tc>
          <w:tcPr>
            <w:tcW w:w="626" w:type="dxa"/>
          </w:tcPr>
          <w:p w14:paraId="16E30C95"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3.36</w:t>
            </w:r>
          </w:p>
        </w:tc>
        <w:tc>
          <w:tcPr>
            <w:tcW w:w="683" w:type="dxa"/>
            <w:gridSpan w:val="2"/>
          </w:tcPr>
          <w:p w14:paraId="1F66688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15</w:t>
            </w:r>
          </w:p>
        </w:tc>
        <w:tc>
          <w:tcPr>
            <w:tcW w:w="643" w:type="dxa"/>
          </w:tcPr>
          <w:p w14:paraId="36C5BA72"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3.33</w:t>
            </w:r>
          </w:p>
        </w:tc>
        <w:tc>
          <w:tcPr>
            <w:tcW w:w="655" w:type="dxa"/>
            <w:gridSpan w:val="2"/>
          </w:tcPr>
          <w:p w14:paraId="5A8E7D5B"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17</w:t>
            </w:r>
          </w:p>
        </w:tc>
        <w:tc>
          <w:tcPr>
            <w:tcW w:w="643" w:type="dxa"/>
          </w:tcPr>
          <w:p w14:paraId="276BF30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3.60</w:t>
            </w:r>
          </w:p>
        </w:tc>
        <w:tc>
          <w:tcPr>
            <w:tcW w:w="680" w:type="dxa"/>
            <w:gridSpan w:val="2"/>
          </w:tcPr>
          <w:p w14:paraId="73568397"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9</w:t>
            </w:r>
          </w:p>
        </w:tc>
        <w:tc>
          <w:tcPr>
            <w:tcW w:w="645" w:type="dxa"/>
          </w:tcPr>
          <w:p w14:paraId="59033F5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3.14</w:t>
            </w:r>
          </w:p>
        </w:tc>
        <w:tc>
          <w:tcPr>
            <w:tcW w:w="567" w:type="dxa"/>
          </w:tcPr>
          <w:p w14:paraId="6CA13C93"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17</w:t>
            </w:r>
          </w:p>
        </w:tc>
        <w:tc>
          <w:tcPr>
            <w:tcW w:w="775" w:type="dxa"/>
          </w:tcPr>
          <w:p w14:paraId="009DC30D"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3.75</w:t>
            </w:r>
          </w:p>
        </w:tc>
        <w:tc>
          <w:tcPr>
            <w:tcW w:w="608" w:type="dxa"/>
            <w:gridSpan w:val="2"/>
          </w:tcPr>
          <w:p w14:paraId="3F506FB6" w14:textId="77777777" w:rsidR="00CD6352" w:rsidRPr="009D1247" w:rsidRDefault="00CD6352" w:rsidP="00CD6352">
            <w:pPr>
              <w:jc w:val="both"/>
              <w:rPr>
                <w:rFonts w:ascii="Arial" w:hAnsi="Arial" w:cs="Arial"/>
                <w:sz w:val="16"/>
                <w:szCs w:val="16"/>
              </w:rPr>
            </w:pPr>
            <w:r w:rsidRPr="009D1247">
              <w:rPr>
                <w:rFonts w:ascii="Arial" w:hAnsi="Arial" w:cs="Arial"/>
                <w:sz w:val="16"/>
                <w:szCs w:val="16"/>
              </w:rPr>
              <w:t>10</w:t>
            </w:r>
          </w:p>
        </w:tc>
      </w:tr>
    </w:tbl>
    <w:p w14:paraId="5700180F" w14:textId="77777777" w:rsidR="00CD6352" w:rsidRPr="009D1247" w:rsidRDefault="00CD6352" w:rsidP="00CD6352">
      <w:pPr>
        <w:spacing w:line="360" w:lineRule="auto"/>
        <w:jc w:val="both"/>
        <w:rPr>
          <w:rFonts w:ascii="Arial" w:hAnsi="Arial" w:cs="Arial"/>
          <w:sz w:val="16"/>
          <w:szCs w:val="16"/>
        </w:rPr>
      </w:pPr>
      <w:r w:rsidRPr="009D1247">
        <w:rPr>
          <w:rFonts w:ascii="Arial" w:hAnsi="Arial" w:cs="Arial"/>
          <w:sz w:val="16"/>
          <w:szCs w:val="16"/>
        </w:rPr>
        <w:t>1 (Not an opportunity at all) 2(Rarely an opportunity) 3(Occasionally an opportunity) 4 (To a great extent an opportunity) 5(To a very great extent an opportunity)</w:t>
      </w:r>
    </w:p>
    <w:p w14:paraId="7A47E52F" w14:textId="56DFED7B" w:rsidR="00CD6352" w:rsidRPr="00EA7665" w:rsidRDefault="00CD6352" w:rsidP="00CD6352">
      <w:pPr>
        <w:spacing w:line="360" w:lineRule="auto"/>
        <w:jc w:val="both"/>
        <w:rPr>
          <w:rFonts w:ascii="Arial" w:hAnsi="Arial" w:cs="Arial"/>
        </w:rPr>
      </w:pPr>
      <w:r w:rsidRPr="00EA7665">
        <w:rPr>
          <w:rFonts w:ascii="Arial" w:hAnsi="Arial" w:cs="Arial"/>
        </w:rPr>
        <w:t>The ranking of the top five factors considered as opportunities associated with securing finance for real estate project development at the disaggregate level based on the questionnaire survey is as follows</w:t>
      </w:r>
      <w:r>
        <w:rPr>
          <w:rFonts w:ascii="Arial" w:hAnsi="Arial" w:cs="Arial"/>
        </w:rPr>
        <w:t xml:space="preserve"> </w:t>
      </w:r>
      <w:r w:rsidR="00B35D01">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5"/>
        <w:gridCol w:w="3013"/>
      </w:tblGrid>
      <w:tr w:rsidR="00CD6352" w:rsidRPr="00EA7665" w14:paraId="04D6C0E1" w14:textId="77777777" w:rsidTr="00CD6352">
        <w:tc>
          <w:tcPr>
            <w:tcW w:w="3080" w:type="dxa"/>
          </w:tcPr>
          <w:p w14:paraId="33303516" w14:textId="77777777" w:rsidR="00CD6352" w:rsidRPr="004C6828" w:rsidRDefault="00CD6352" w:rsidP="00CD6352">
            <w:pPr>
              <w:spacing w:line="360" w:lineRule="auto"/>
              <w:jc w:val="both"/>
              <w:rPr>
                <w:rFonts w:ascii="Arial" w:hAnsi="Arial" w:cs="Arial"/>
                <w:b/>
                <w:bCs/>
                <w:sz w:val="16"/>
                <w:szCs w:val="16"/>
              </w:rPr>
            </w:pPr>
            <w:r w:rsidRPr="004C6828">
              <w:rPr>
                <w:rFonts w:ascii="Arial" w:hAnsi="Arial" w:cs="Arial"/>
                <w:b/>
                <w:bCs/>
                <w:sz w:val="16"/>
                <w:szCs w:val="16"/>
              </w:rPr>
              <w:t>Germany</w:t>
            </w:r>
          </w:p>
          <w:p w14:paraId="5B714DF4" w14:textId="77777777" w:rsidR="00CD6352" w:rsidRPr="00EA7665" w:rsidRDefault="00CD6352" w:rsidP="00C74AEC">
            <w:pPr>
              <w:numPr>
                <w:ilvl w:val="0"/>
                <w:numId w:val="106"/>
              </w:numPr>
              <w:spacing w:after="0" w:line="240" w:lineRule="auto"/>
              <w:contextualSpacing/>
              <w:rPr>
                <w:rFonts w:ascii="Arial" w:eastAsia="Times New Roman" w:hAnsi="Arial" w:cs="Arial"/>
                <w:sz w:val="16"/>
                <w:szCs w:val="16"/>
              </w:rPr>
            </w:pPr>
            <w:r w:rsidRPr="00EA7665">
              <w:rPr>
                <w:rFonts w:ascii="Arial" w:eastAsia="Times New Roman" w:hAnsi="Arial" w:cs="Arial"/>
                <w:sz w:val="16"/>
                <w:szCs w:val="16"/>
              </w:rPr>
              <w:t>Positive and sustained economic growth</w:t>
            </w:r>
          </w:p>
          <w:p w14:paraId="24C875FD" w14:textId="77777777" w:rsidR="00CD6352" w:rsidRPr="00EA7665" w:rsidRDefault="00CD6352" w:rsidP="00C74AEC">
            <w:pPr>
              <w:numPr>
                <w:ilvl w:val="0"/>
                <w:numId w:val="106"/>
              </w:numPr>
              <w:spacing w:after="0" w:line="240" w:lineRule="auto"/>
              <w:contextualSpacing/>
              <w:rPr>
                <w:rFonts w:ascii="Arial" w:eastAsia="Times New Roman" w:hAnsi="Arial" w:cs="Arial"/>
                <w:sz w:val="16"/>
                <w:szCs w:val="16"/>
              </w:rPr>
            </w:pPr>
            <w:r w:rsidRPr="00EA7665">
              <w:rPr>
                <w:rFonts w:ascii="Arial" w:eastAsia="Times New Roman" w:hAnsi="Arial" w:cs="Arial"/>
                <w:sz w:val="16"/>
                <w:szCs w:val="16"/>
              </w:rPr>
              <w:t>Institutional real estate market</w:t>
            </w:r>
          </w:p>
          <w:p w14:paraId="3963376A" w14:textId="77777777" w:rsidR="00CD6352" w:rsidRPr="00EA7665" w:rsidRDefault="00CD6352" w:rsidP="00C74AEC">
            <w:pPr>
              <w:numPr>
                <w:ilvl w:val="0"/>
                <w:numId w:val="106"/>
              </w:numPr>
              <w:spacing w:after="0" w:line="240" w:lineRule="auto"/>
              <w:contextualSpacing/>
              <w:rPr>
                <w:rFonts w:ascii="Arial" w:eastAsia="Times New Roman" w:hAnsi="Arial" w:cs="Arial"/>
                <w:sz w:val="16"/>
                <w:szCs w:val="16"/>
              </w:rPr>
            </w:pPr>
            <w:r w:rsidRPr="00EA7665">
              <w:rPr>
                <w:rFonts w:ascii="Arial" w:eastAsia="Times New Roman" w:hAnsi="Arial" w:cs="Arial"/>
                <w:sz w:val="16"/>
                <w:szCs w:val="16"/>
              </w:rPr>
              <w:t>Availability of long-term funds</w:t>
            </w:r>
          </w:p>
          <w:p w14:paraId="2E51A271" w14:textId="77777777" w:rsidR="00CD6352" w:rsidRPr="00EA7665" w:rsidRDefault="00CD6352" w:rsidP="00C74AEC">
            <w:pPr>
              <w:numPr>
                <w:ilvl w:val="0"/>
                <w:numId w:val="106"/>
              </w:numPr>
              <w:spacing w:after="0" w:line="240" w:lineRule="auto"/>
              <w:contextualSpacing/>
              <w:rPr>
                <w:rFonts w:ascii="Arial" w:eastAsia="Times New Roman" w:hAnsi="Arial" w:cs="Arial"/>
                <w:sz w:val="16"/>
                <w:szCs w:val="16"/>
              </w:rPr>
            </w:pPr>
            <w:r w:rsidRPr="00EA7665">
              <w:rPr>
                <w:rFonts w:ascii="Arial" w:eastAsia="Times New Roman" w:hAnsi="Arial" w:cs="Arial"/>
                <w:sz w:val="16"/>
                <w:szCs w:val="16"/>
              </w:rPr>
              <w:t>Strong judiciary system</w:t>
            </w:r>
          </w:p>
          <w:p w14:paraId="0CD1A717" w14:textId="77777777" w:rsidR="00CD6352" w:rsidRPr="00EA7665" w:rsidRDefault="00CD6352" w:rsidP="00C74AEC">
            <w:pPr>
              <w:numPr>
                <w:ilvl w:val="0"/>
                <w:numId w:val="106"/>
              </w:numPr>
              <w:spacing w:after="0" w:line="240" w:lineRule="auto"/>
              <w:contextualSpacing/>
              <w:rPr>
                <w:rFonts w:ascii="Arial" w:eastAsia="Times New Roman" w:hAnsi="Arial" w:cs="Arial"/>
                <w:sz w:val="16"/>
                <w:szCs w:val="16"/>
              </w:rPr>
            </w:pPr>
            <w:r w:rsidRPr="00EA7665">
              <w:rPr>
                <w:rFonts w:ascii="Arial" w:eastAsia="Times New Roman" w:hAnsi="Arial" w:cs="Arial"/>
                <w:sz w:val="16"/>
                <w:szCs w:val="16"/>
              </w:rPr>
              <w:t>Growing demand in the property market</w:t>
            </w:r>
          </w:p>
          <w:p w14:paraId="6203CF42" w14:textId="77777777" w:rsidR="00CD6352" w:rsidRPr="00EA7665" w:rsidRDefault="00CD6352" w:rsidP="00CD6352">
            <w:pPr>
              <w:pStyle w:val="ListParagraph"/>
              <w:spacing w:line="360" w:lineRule="auto"/>
              <w:jc w:val="both"/>
              <w:rPr>
                <w:rFonts w:ascii="Arial" w:hAnsi="Arial" w:cs="Arial"/>
                <w:sz w:val="16"/>
                <w:szCs w:val="16"/>
              </w:rPr>
            </w:pPr>
          </w:p>
        </w:tc>
        <w:tc>
          <w:tcPr>
            <w:tcW w:w="3081" w:type="dxa"/>
          </w:tcPr>
          <w:p w14:paraId="4732EFC4" w14:textId="77777777" w:rsidR="00CD6352" w:rsidRPr="004C6828" w:rsidRDefault="00CD6352" w:rsidP="00CD6352">
            <w:pPr>
              <w:spacing w:line="360" w:lineRule="auto"/>
              <w:jc w:val="both"/>
              <w:rPr>
                <w:rFonts w:ascii="Arial" w:hAnsi="Arial" w:cs="Arial"/>
                <w:b/>
                <w:bCs/>
                <w:sz w:val="16"/>
                <w:szCs w:val="16"/>
              </w:rPr>
            </w:pPr>
            <w:r w:rsidRPr="004C6828">
              <w:rPr>
                <w:rFonts w:ascii="Arial" w:hAnsi="Arial" w:cs="Arial"/>
                <w:b/>
                <w:bCs/>
                <w:sz w:val="16"/>
                <w:szCs w:val="16"/>
              </w:rPr>
              <w:t>United Kingdom</w:t>
            </w:r>
          </w:p>
          <w:p w14:paraId="08251569" w14:textId="77777777" w:rsidR="00CD6352" w:rsidRPr="00EA7665" w:rsidRDefault="00CD6352" w:rsidP="008D4A4F">
            <w:pPr>
              <w:pStyle w:val="ListParagraph"/>
              <w:numPr>
                <w:ilvl w:val="1"/>
                <w:numId w:val="262"/>
              </w:numPr>
              <w:spacing w:after="0" w:line="360" w:lineRule="auto"/>
              <w:jc w:val="both"/>
              <w:rPr>
                <w:rFonts w:ascii="Arial" w:hAnsi="Arial" w:cs="Arial"/>
                <w:sz w:val="16"/>
                <w:szCs w:val="16"/>
              </w:rPr>
            </w:pPr>
            <w:r w:rsidRPr="00EA7665">
              <w:rPr>
                <w:rFonts w:ascii="Arial" w:hAnsi="Arial" w:cs="Arial"/>
                <w:sz w:val="16"/>
                <w:szCs w:val="16"/>
              </w:rPr>
              <w:t>Growing demand in the property market</w:t>
            </w:r>
          </w:p>
          <w:p w14:paraId="11B32381" w14:textId="77777777" w:rsidR="00CD6352" w:rsidRPr="00EA7665" w:rsidRDefault="00CD6352" w:rsidP="008D4A4F">
            <w:pPr>
              <w:pStyle w:val="ListParagraph"/>
              <w:numPr>
                <w:ilvl w:val="1"/>
                <w:numId w:val="262"/>
              </w:numPr>
              <w:spacing w:after="0" w:line="360" w:lineRule="auto"/>
              <w:jc w:val="both"/>
              <w:rPr>
                <w:rFonts w:ascii="Arial" w:hAnsi="Arial" w:cs="Arial"/>
                <w:sz w:val="16"/>
                <w:szCs w:val="16"/>
              </w:rPr>
            </w:pPr>
            <w:r w:rsidRPr="00EA7665">
              <w:rPr>
                <w:rFonts w:ascii="Arial" w:hAnsi="Arial" w:cs="Arial"/>
                <w:sz w:val="16"/>
                <w:szCs w:val="16"/>
              </w:rPr>
              <w:t>Positive and sustained economic growth</w:t>
            </w:r>
          </w:p>
          <w:p w14:paraId="2065D4D8" w14:textId="77777777" w:rsidR="00CD6352" w:rsidRPr="00EA7665" w:rsidRDefault="00CD6352" w:rsidP="008D4A4F">
            <w:pPr>
              <w:pStyle w:val="ListParagraph"/>
              <w:numPr>
                <w:ilvl w:val="1"/>
                <w:numId w:val="262"/>
              </w:numPr>
              <w:spacing w:after="0" w:line="360" w:lineRule="auto"/>
              <w:jc w:val="both"/>
              <w:rPr>
                <w:rFonts w:ascii="Arial" w:hAnsi="Arial" w:cs="Arial"/>
                <w:sz w:val="16"/>
                <w:szCs w:val="16"/>
              </w:rPr>
            </w:pPr>
            <w:r w:rsidRPr="00EA7665">
              <w:rPr>
                <w:rFonts w:ascii="Arial" w:hAnsi="Arial" w:cs="Arial"/>
                <w:sz w:val="16"/>
                <w:szCs w:val="16"/>
              </w:rPr>
              <w:t>Multiple finance sources</w:t>
            </w:r>
          </w:p>
          <w:p w14:paraId="7DA33928" w14:textId="77777777" w:rsidR="00CD6352" w:rsidRPr="00EA7665" w:rsidRDefault="00CD6352" w:rsidP="008D4A4F">
            <w:pPr>
              <w:pStyle w:val="ListParagraph"/>
              <w:numPr>
                <w:ilvl w:val="1"/>
                <w:numId w:val="262"/>
              </w:numPr>
              <w:spacing w:after="0" w:line="360" w:lineRule="auto"/>
              <w:jc w:val="both"/>
              <w:rPr>
                <w:rFonts w:ascii="Arial" w:hAnsi="Arial" w:cs="Arial"/>
                <w:sz w:val="16"/>
                <w:szCs w:val="16"/>
              </w:rPr>
            </w:pPr>
            <w:r w:rsidRPr="00EA7665">
              <w:rPr>
                <w:rFonts w:ascii="Arial" w:hAnsi="Arial" w:cs="Arial"/>
                <w:sz w:val="16"/>
                <w:szCs w:val="16"/>
              </w:rPr>
              <w:t>Political stability</w:t>
            </w:r>
          </w:p>
          <w:p w14:paraId="79D4B9CD" w14:textId="77777777" w:rsidR="00CD6352" w:rsidRPr="00EA7665" w:rsidRDefault="00CD6352" w:rsidP="008D4A4F">
            <w:pPr>
              <w:pStyle w:val="ListParagraph"/>
              <w:numPr>
                <w:ilvl w:val="1"/>
                <w:numId w:val="262"/>
              </w:numPr>
              <w:spacing w:after="0" w:line="360" w:lineRule="auto"/>
              <w:jc w:val="both"/>
              <w:rPr>
                <w:rFonts w:ascii="Arial" w:hAnsi="Arial" w:cs="Arial"/>
                <w:sz w:val="16"/>
                <w:szCs w:val="16"/>
              </w:rPr>
            </w:pPr>
            <w:r w:rsidRPr="00EA7665">
              <w:rPr>
                <w:rFonts w:ascii="Arial" w:hAnsi="Arial" w:cs="Arial"/>
                <w:sz w:val="16"/>
                <w:szCs w:val="16"/>
              </w:rPr>
              <w:t>Availability of long-term finance</w:t>
            </w:r>
          </w:p>
        </w:tc>
        <w:tc>
          <w:tcPr>
            <w:tcW w:w="3081" w:type="dxa"/>
          </w:tcPr>
          <w:p w14:paraId="70E8DA7E" w14:textId="77777777" w:rsidR="00CD6352" w:rsidRPr="004C6828" w:rsidRDefault="00CD6352" w:rsidP="00CD6352">
            <w:pPr>
              <w:spacing w:line="360" w:lineRule="auto"/>
              <w:jc w:val="both"/>
              <w:rPr>
                <w:rFonts w:ascii="Arial" w:hAnsi="Arial" w:cs="Arial"/>
                <w:b/>
                <w:bCs/>
                <w:sz w:val="16"/>
                <w:szCs w:val="16"/>
              </w:rPr>
            </w:pPr>
            <w:r w:rsidRPr="004C6828">
              <w:rPr>
                <w:rFonts w:ascii="Arial" w:hAnsi="Arial" w:cs="Arial"/>
                <w:b/>
                <w:bCs/>
                <w:sz w:val="16"/>
                <w:szCs w:val="16"/>
              </w:rPr>
              <w:t>United States of America</w:t>
            </w:r>
          </w:p>
          <w:p w14:paraId="3012F8B4" w14:textId="77777777" w:rsidR="00CD6352" w:rsidRPr="00EA7665" w:rsidRDefault="00CD6352" w:rsidP="008D4A4F">
            <w:pPr>
              <w:pStyle w:val="ListParagraph"/>
              <w:numPr>
                <w:ilvl w:val="2"/>
                <w:numId w:val="262"/>
              </w:numPr>
              <w:spacing w:after="0" w:line="360" w:lineRule="auto"/>
              <w:jc w:val="both"/>
              <w:rPr>
                <w:rFonts w:ascii="Arial" w:hAnsi="Arial" w:cs="Arial"/>
                <w:sz w:val="16"/>
                <w:szCs w:val="16"/>
              </w:rPr>
            </w:pPr>
            <w:r w:rsidRPr="00EA7665">
              <w:rPr>
                <w:rFonts w:ascii="Arial" w:hAnsi="Arial" w:cs="Arial"/>
                <w:sz w:val="16"/>
                <w:szCs w:val="16"/>
              </w:rPr>
              <w:t>Political stability</w:t>
            </w:r>
          </w:p>
          <w:p w14:paraId="62DBDEA4" w14:textId="77777777" w:rsidR="00CD6352" w:rsidRPr="00EA7665" w:rsidRDefault="00CD6352" w:rsidP="008D4A4F">
            <w:pPr>
              <w:pStyle w:val="ListParagraph"/>
              <w:numPr>
                <w:ilvl w:val="2"/>
                <w:numId w:val="262"/>
              </w:numPr>
              <w:spacing w:after="0" w:line="360" w:lineRule="auto"/>
              <w:jc w:val="both"/>
              <w:rPr>
                <w:rFonts w:ascii="Arial" w:hAnsi="Arial" w:cs="Arial"/>
                <w:sz w:val="16"/>
                <w:szCs w:val="16"/>
              </w:rPr>
            </w:pPr>
            <w:r w:rsidRPr="00EA7665">
              <w:rPr>
                <w:rFonts w:ascii="Arial" w:hAnsi="Arial" w:cs="Arial"/>
                <w:sz w:val="16"/>
                <w:szCs w:val="16"/>
              </w:rPr>
              <w:t>Growing demand in the property market</w:t>
            </w:r>
          </w:p>
          <w:p w14:paraId="27F91DD5" w14:textId="77777777" w:rsidR="00CD6352" w:rsidRPr="00EA7665" w:rsidRDefault="00CD6352" w:rsidP="008D4A4F">
            <w:pPr>
              <w:pStyle w:val="ListParagraph"/>
              <w:numPr>
                <w:ilvl w:val="2"/>
                <w:numId w:val="262"/>
              </w:numPr>
              <w:spacing w:after="0" w:line="360" w:lineRule="auto"/>
              <w:jc w:val="both"/>
              <w:rPr>
                <w:rFonts w:ascii="Arial" w:hAnsi="Arial" w:cs="Arial"/>
                <w:sz w:val="16"/>
                <w:szCs w:val="16"/>
              </w:rPr>
            </w:pPr>
            <w:r w:rsidRPr="00EA7665">
              <w:rPr>
                <w:rFonts w:ascii="Arial" w:hAnsi="Arial" w:cs="Arial"/>
                <w:sz w:val="16"/>
                <w:szCs w:val="16"/>
              </w:rPr>
              <w:t>Market liquidity</w:t>
            </w:r>
          </w:p>
          <w:p w14:paraId="1AFA4F92" w14:textId="77777777" w:rsidR="00CD6352" w:rsidRPr="00EA7665" w:rsidRDefault="00CD6352" w:rsidP="008D4A4F">
            <w:pPr>
              <w:pStyle w:val="ListParagraph"/>
              <w:numPr>
                <w:ilvl w:val="2"/>
                <w:numId w:val="262"/>
              </w:numPr>
              <w:spacing w:after="0" w:line="360" w:lineRule="auto"/>
              <w:jc w:val="both"/>
              <w:rPr>
                <w:rFonts w:ascii="Arial" w:hAnsi="Arial" w:cs="Arial"/>
                <w:sz w:val="16"/>
                <w:szCs w:val="16"/>
              </w:rPr>
            </w:pPr>
            <w:r w:rsidRPr="00EA7665">
              <w:rPr>
                <w:rFonts w:ascii="Arial" w:hAnsi="Arial" w:cs="Arial"/>
                <w:sz w:val="16"/>
                <w:szCs w:val="16"/>
              </w:rPr>
              <w:t>Multiple finance sources</w:t>
            </w:r>
          </w:p>
          <w:p w14:paraId="0FCB49B1" w14:textId="77777777" w:rsidR="00CD6352" w:rsidRPr="00EA7665" w:rsidRDefault="00CD6352" w:rsidP="008D4A4F">
            <w:pPr>
              <w:pStyle w:val="ListParagraph"/>
              <w:numPr>
                <w:ilvl w:val="2"/>
                <w:numId w:val="262"/>
              </w:numPr>
              <w:spacing w:after="0" w:line="360" w:lineRule="auto"/>
              <w:jc w:val="both"/>
              <w:rPr>
                <w:rFonts w:ascii="Arial" w:hAnsi="Arial" w:cs="Arial"/>
                <w:sz w:val="16"/>
                <w:szCs w:val="16"/>
              </w:rPr>
            </w:pPr>
            <w:r w:rsidRPr="00EA7665">
              <w:rPr>
                <w:rFonts w:ascii="Arial" w:hAnsi="Arial" w:cs="Arial"/>
                <w:sz w:val="16"/>
                <w:szCs w:val="16"/>
              </w:rPr>
              <w:t>Availability of long-term funds</w:t>
            </w:r>
          </w:p>
        </w:tc>
      </w:tr>
      <w:tr w:rsidR="00CD6352" w:rsidRPr="00EA7665" w14:paraId="771EFE43" w14:textId="77777777" w:rsidTr="00CD6352">
        <w:tc>
          <w:tcPr>
            <w:tcW w:w="3080" w:type="dxa"/>
          </w:tcPr>
          <w:p w14:paraId="3DB22658" w14:textId="77777777" w:rsidR="00CD6352" w:rsidRPr="004C6828" w:rsidRDefault="00CD6352" w:rsidP="00CD6352">
            <w:pPr>
              <w:spacing w:line="360" w:lineRule="auto"/>
              <w:jc w:val="both"/>
              <w:rPr>
                <w:rFonts w:ascii="Arial" w:hAnsi="Arial" w:cs="Arial"/>
                <w:b/>
                <w:bCs/>
                <w:sz w:val="16"/>
                <w:szCs w:val="16"/>
              </w:rPr>
            </w:pPr>
            <w:r w:rsidRPr="004C6828">
              <w:rPr>
                <w:rFonts w:ascii="Arial" w:hAnsi="Arial" w:cs="Arial"/>
                <w:b/>
                <w:bCs/>
                <w:sz w:val="16"/>
                <w:szCs w:val="16"/>
              </w:rPr>
              <w:t>China</w:t>
            </w:r>
          </w:p>
          <w:p w14:paraId="7675D70E" w14:textId="77777777" w:rsidR="00CD6352" w:rsidRPr="00EA7665" w:rsidRDefault="00CD6352" w:rsidP="008D4A4F">
            <w:pPr>
              <w:pStyle w:val="ListParagraph"/>
              <w:numPr>
                <w:ilvl w:val="3"/>
                <w:numId w:val="262"/>
              </w:numPr>
              <w:spacing w:after="0" w:line="360" w:lineRule="auto"/>
              <w:jc w:val="both"/>
              <w:rPr>
                <w:rFonts w:ascii="Arial" w:hAnsi="Arial" w:cs="Arial"/>
                <w:sz w:val="16"/>
                <w:szCs w:val="16"/>
              </w:rPr>
            </w:pPr>
            <w:r w:rsidRPr="00EA7665">
              <w:rPr>
                <w:rFonts w:ascii="Arial" w:hAnsi="Arial" w:cs="Arial"/>
                <w:sz w:val="16"/>
                <w:szCs w:val="16"/>
              </w:rPr>
              <w:t>Growing demand in the property market</w:t>
            </w:r>
          </w:p>
          <w:p w14:paraId="21C8332B" w14:textId="77777777" w:rsidR="00CD6352" w:rsidRPr="00EA7665" w:rsidRDefault="00CD6352" w:rsidP="008D4A4F">
            <w:pPr>
              <w:pStyle w:val="ListParagraph"/>
              <w:numPr>
                <w:ilvl w:val="3"/>
                <w:numId w:val="262"/>
              </w:numPr>
              <w:spacing w:after="0" w:line="360" w:lineRule="auto"/>
              <w:jc w:val="both"/>
              <w:rPr>
                <w:rFonts w:ascii="Arial" w:hAnsi="Arial" w:cs="Arial"/>
                <w:sz w:val="16"/>
                <w:szCs w:val="16"/>
              </w:rPr>
            </w:pPr>
            <w:r w:rsidRPr="00EA7665">
              <w:rPr>
                <w:rFonts w:ascii="Arial" w:hAnsi="Arial" w:cs="Arial"/>
                <w:sz w:val="16"/>
                <w:szCs w:val="16"/>
              </w:rPr>
              <w:t>Political stability</w:t>
            </w:r>
          </w:p>
          <w:p w14:paraId="185FAE7F" w14:textId="77777777" w:rsidR="00CD6352" w:rsidRPr="00EA7665" w:rsidRDefault="00CD6352" w:rsidP="008D4A4F">
            <w:pPr>
              <w:pStyle w:val="ListParagraph"/>
              <w:numPr>
                <w:ilvl w:val="3"/>
                <w:numId w:val="262"/>
              </w:numPr>
              <w:spacing w:after="0" w:line="360" w:lineRule="auto"/>
              <w:jc w:val="both"/>
              <w:rPr>
                <w:rFonts w:ascii="Arial" w:hAnsi="Arial" w:cs="Arial"/>
                <w:sz w:val="16"/>
                <w:szCs w:val="16"/>
              </w:rPr>
            </w:pPr>
            <w:r w:rsidRPr="00EA7665">
              <w:rPr>
                <w:rFonts w:ascii="Arial" w:hAnsi="Arial" w:cs="Arial"/>
                <w:sz w:val="16"/>
                <w:szCs w:val="16"/>
              </w:rPr>
              <w:t>Positive and sustained economic growth</w:t>
            </w:r>
          </w:p>
          <w:p w14:paraId="29B6089E" w14:textId="77777777" w:rsidR="00CD6352" w:rsidRPr="00EA7665" w:rsidRDefault="00CD6352" w:rsidP="008D4A4F">
            <w:pPr>
              <w:pStyle w:val="ListParagraph"/>
              <w:numPr>
                <w:ilvl w:val="3"/>
                <w:numId w:val="262"/>
              </w:numPr>
              <w:spacing w:after="0" w:line="360" w:lineRule="auto"/>
              <w:jc w:val="both"/>
              <w:rPr>
                <w:rFonts w:ascii="Arial" w:hAnsi="Arial" w:cs="Arial"/>
                <w:sz w:val="16"/>
                <w:szCs w:val="16"/>
              </w:rPr>
            </w:pPr>
            <w:r w:rsidRPr="00EA7665">
              <w:rPr>
                <w:rFonts w:ascii="Arial" w:hAnsi="Arial" w:cs="Arial"/>
                <w:sz w:val="16"/>
                <w:szCs w:val="16"/>
              </w:rPr>
              <w:t>Availability of long term funds</w:t>
            </w:r>
          </w:p>
          <w:p w14:paraId="47755E01" w14:textId="77777777" w:rsidR="00CD6352" w:rsidRPr="00EA7665" w:rsidRDefault="00CD6352" w:rsidP="008D4A4F">
            <w:pPr>
              <w:pStyle w:val="ListParagraph"/>
              <w:numPr>
                <w:ilvl w:val="3"/>
                <w:numId w:val="262"/>
              </w:numPr>
              <w:spacing w:after="0" w:line="360" w:lineRule="auto"/>
              <w:jc w:val="both"/>
              <w:rPr>
                <w:rFonts w:ascii="Arial" w:hAnsi="Arial" w:cs="Arial"/>
                <w:sz w:val="16"/>
                <w:szCs w:val="16"/>
              </w:rPr>
            </w:pPr>
            <w:r w:rsidRPr="00EA7665">
              <w:rPr>
                <w:rFonts w:ascii="Arial" w:hAnsi="Arial" w:cs="Arial"/>
                <w:sz w:val="16"/>
                <w:szCs w:val="16"/>
              </w:rPr>
              <w:t>Favourable land use and ownership laws</w:t>
            </w:r>
          </w:p>
        </w:tc>
        <w:tc>
          <w:tcPr>
            <w:tcW w:w="3081" w:type="dxa"/>
          </w:tcPr>
          <w:p w14:paraId="7CA42693" w14:textId="77777777" w:rsidR="00CD6352" w:rsidRPr="004C6828" w:rsidRDefault="00CD6352" w:rsidP="00CD6352">
            <w:pPr>
              <w:spacing w:line="360" w:lineRule="auto"/>
              <w:jc w:val="both"/>
              <w:rPr>
                <w:rFonts w:ascii="Arial" w:hAnsi="Arial" w:cs="Arial"/>
                <w:b/>
                <w:bCs/>
                <w:sz w:val="16"/>
                <w:szCs w:val="16"/>
              </w:rPr>
            </w:pPr>
            <w:r w:rsidRPr="004C6828">
              <w:rPr>
                <w:rFonts w:ascii="Arial" w:hAnsi="Arial" w:cs="Arial"/>
                <w:b/>
                <w:bCs/>
                <w:sz w:val="16"/>
                <w:szCs w:val="16"/>
              </w:rPr>
              <w:t>Nigeria</w:t>
            </w:r>
          </w:p>
          <w:p w14:paraId="4068C9EB" w14:textId="77777777" w:rsidR="00CD6352" w:rsidRPr="00EA7665" w:rsidRDefault="00CD6352" w:rsidP="00CD6352">
            <w:pPr>
              <w:spacing w:line="360" w:lineRule="auto"/>
              <w:ind w:left="360"/>
              <w:jc w:val="both"/>
              <w:rPr>
                <w:rFonts w:ascii="Arial" w:hAnsi="Arial" w:cs="Arial"/>
                <w:sz w:val="16"/>
                <w:szCs w:val="16"/>
              </w:rPr>
            </w:pPr>
            <w:r w:rsidRPr="00EA7665">
              <w:rPr>
                <w:rFonts w:ascii="Arial" w:hAnsi="Arial" w:cs="Arial"/>
                <w:sz w:val="16"/>
                <w:szCs w:val="16"/>
              </w:rPr>
              <w:t>1. Growing demand in the property market</w:t>
            </w:r>
          </w:p>
          <w:p w14:paraId="0F17013C" w14:textId="77777777" w:rsidR="00CD6352" w:rsidRPr="00EA7665" w:rsidRDefault="00CD6352" w:rsidP="00CD6352">
            <w:pPr>
              <w:spacing w:line="360" w:lineRule="auto"/>
              <w:ind w:left="360"/>
              <w:jc w:val="both"/>
              <w:rPr>
                <w:rFonts w:ascii="Arial" w:hAnsi="Arial" w:cs="Arial"/>
                <w:sz w:val="16"/>
                <w:szCs w:val="16"/>
              </w:rPr>
            </w:pPr>
            <w:r w:rsidRPr="00EA7665">
              <w:rPr>
                <w:rFonts w:ascii="Arial" w:hAnsi="Arial" w:cs="Arial"/>
                <w:sz w:val="16"/>
                <w:szCs w:val="16"/>
              </w:rPr>
              <w:t>2. Availability of long term funds</w:t>
            </w:r>
          </w:p>
          <w:p w14:paraId="00970B81" w14:textId="77777777" w:rsidR="00CD6352" w:rsidRPr="00EA7665" w:rsidRDefault="00CD6352" w:rsidP="00CD6352">
            <w:pPr>
              <w:spacing w:line="360" w:lineRule="auto"/>
              <w:ind w:left="360"/>
              <w:jc w:val="both"/>
              <w:rPr>
                <w:rFonts w:ascii="Arial" w:hAnsi="Arial" w:cs="Arial"/>
                <w:sz w:val="16"/>
                <w:szCs w:val="16"/>
              </w:rPr>
            </w:pPr>
            <w:r w:rsidRPr="00EA7665">
              <w:rPr>
                <w:rFonts w:ascii="Arial" w:hAnsi="Arial" w:cs="Arial"/>
                <w:sz w:val="16"/>
                <w:szCs w:val="16"/>
              </w:rPr>
              <w:t>3. Government housing regulations and policies</w:t>
            </w:r>
          </w:p>
          <w:p w14:paraId="3DA109E3" w14:textId="77777777" w:rsidR="00CD6352" w:rsidRPr="00EA7665" w:rsidRDefault="00CD6352" w:rsidP="00CD6352">
            <w:pPr>
              <w:spacing w:line="360" w:lineRule="auto"/>
              <w:ind w:left="360"/>
              <w:jc w:val="both"/>
              <w:rPr>
                <w:rFonts w:ascii="Arial" w:hAnsi="Arial" w:cs="Arial"/>
                <w:sz w:val="16"/>
                <w:szCs w:val="16"/>
              </w:rPr>
            </w:pPr>
            <w:r w:rsidRPr="00EA7665">
              <w:rPr>
                <w:rFonts w:ascii="Arial" w:hAnsi="Arial" w:cs="Arial"/>
                <w:sz w:val="16"/>
                <w:szCs w:val="16"/>
              </w:rPr>
              <w:t>4. Multiple finance options</w:t>
            </w:r>
          </w:p>
          <w:p w14:paraId="660521E1" w14:textId="77777777" w:rsidR="00CD6352" w:rsidRPr="00EA7665" w:rsidRDefault="00CD6352" w:rsidP="00CD6352">
            <w:pPr>
              <w:spacing w:line="360" w:lineRule="auto"/>
              <w:ind w:left="360"/>
              <w:jc w:val="both"/>
              <w:rPr>
                <w:rFonts w:ascii="Arial" w:hAnsi="Arial" w:cs="Arial"/>
                <w:sz w:val="16"/>
                <w:szCs w:val="16"/>
              </w:rPr>
            </w:pPr>
            <w:r w:rsidRPr="00EA7665">
              <w:rPr>
                <w:rFonts w:ascii="Arial" w:hAnsi="Arial" w:cs="Arial"/>
                <w:sz w:val="16"/>
                <w:szCs w:val="16"/>
              </w:rPr>
              <w:t>5. Positive and sustained economic growth</w:t>
            </w:r>
          </w:p>
        </w:tc>
        <w:tc>
          <w:tcPr>
            <w:tcW w:w="3081" w:type="dxa"/>
          </w:tcPr>
          <w:p w14:paraId="6DF1A6ED" w14:textId="77777777" w:rsidR="00CD6352" w:rsidRPr="004C6828" w:rsidRDefault="00CD6352" w:rsidP="00CD6352">
            <w:pPr>
              <w:spacing w:line="360" w:lineRule="auto"/>
              <w:jc w:val="both"/>
              <w:rPr>
                <w:rFonts w:ascii="Arial" w:hAnsi="Arial" w:cs="Arial"/>
                <w:b/>
                <w:bCs/>
                <w:sz w:val="16"/>
                <w:szCs w:val="16"/>
              </w:rPr>
            </w:pPr>
            <w:r w:rsidRPr="004C6828">
              <w:rPr>
                <w:rFonts w:ascii="Arial" w:hAnsi="Arial" w:cs="Arial"/>
                <w:b/>
                <w:bCs/>
                <w:sz w:val="16"/>
                <w:szCs w:val="16"/>
              </w:rPr>
              <w:t>South Africa</w:t>
            </w:r>
          </w:p>
          <w:p w14:paraId="6A9DCB67" w14:textId="77777777" w:rsidR="00CD6352" w:rsidRPr="00EA7665" w:rsidRDefault="00CD6352" w:rsidP="00C74AEC">
            <w:pPr>
              <w:pStyle w:val="ListParagraph"/>
              <w:numPr>
                <w:ilvl w:val="3"/>
                <w:numId w:val="29"/>
              </w:numPr>
              <w:spacing w:after="0" w:line="360" w:lineRule="auto"/>
              <w:jc w:val="both"/>
              <w:rPr>
                <w:rFonts w:ascii="Arial" w:hAnsi="Arial" w:cs="Arial"/>
                <w:sz w:val="16"/>
                <w:szCs w:val="16"/>
              </w:rPr>
            </w:pPr>
            <w:r w:rsidRPr="00EA7665">
              <w:rPr>
                <w:rFonts w:ascii="Arial" w:hAnsi="Arial" w:cs="Arial"/>
                <w:sz w:val="16"/>
                <w:szCs w:val="16"/>
              </w:rPr>
              <w:t>Growing demand in the property market</w:t>
            </w:r>
          </w:p>
          <w:p w14:paraId="4291319E" w14:textId="77777777" w:rsidR="00CD6352" w:rsidRPr="00EA7665" w:rsidRDefault="00CD6352" w:rsidP="00C74AEC">
            <w:pPr>
              <w:pStyle w:val="ListParagraph"/>
              <w:numPr>
                <w:ilvl w:val="3"/>
                <w:numId w:val="29"/>
              </w:numPr>
              <w:spacing w:after="0" w:line="360" w:lineRule="auto"/>
              <w:jc w:val="both"/>
              <w:rPr>
                <w:rFonts w:ascii="Arial" w:hAnsi="Arial" w:cs="Arial"/>
                <w:sz w:val="16"/>
                <w:szCs w:val="16"/>
              </w:rPr>
            </w:pPr>
            <w:r w:rsidRPr="00EA7665">
              <w:rPr>
                <w:rFonts w:ascii="Arial" w:hAnsi="Arial" w:cs="Arial"/>
                <w:sz w:val="16"/>
                <w:szCs w:val="16"/>
              </w:rPr>
              <w:t>Availability of long term funds</w:t>
            </w:r>
          </w:p>
          <w:p w14:paraId="57295642" w14:textId="77777777" w:rsidR="00CD6352" w:rsidRPr="00EA7665" w:rsidRDefault="00CD6352" w:rsidP="00C74AEC">
            <w:pPr>
              <w:pStyle w:val="ListParagraph"/>
              <w:numPr>
                <w:ilvl w:val="3"/>
                <w:numId w:val="29"/>
              </w:numPr>
              <w:spacing w:after="0" w:line="360" w:lineRule="auto"/>
              <w:jc w:val="both"/>
              <w:rPr>
                <w:rFonts w:ascii="Arial" w:hAnsi="Arial" w:cs="Arial"/>
                <w:sz w:val="16"/>
                <w:szCs w:val="16"/>
              </w:rPr>
            </w:pPr>
            <w:r w:rsidRPr="00EA7665">
              <w:rPr>
                <w:rFonts w:ascii="Arial" w:hAnsi="Arial" w:cs="Arial"/>
                <w:sz w:val="16"/>
                <w:szCs w:val="16"/>
              </w:rPr>
              <w:t>Multiple finance sources</w:t>
            </w:r>
          </w:p>
          <w:p w14:paraId="67DF1657" w14:textId="77777777" w:rsidR="00CD6352" w:rsidRPr="00EA7665" w:rsidRDefault="00CD6352" w:rsidP="00C74AEC">
            <w:pPr>
              <w:pStyle w:val="ListParagraph"/>
              <w:numPr>
                <w:ilvl w:val="3"/>
                <w:numId w:val="29"/>
              </w:numPr>
              <w:spacing w:after="0" w:line="360" w:lineRule="auto"/>
              <w:jc w:val="both"/>
              <w:rPr>
                <w:rFonts w:ascii="Arial" w:hAnsi="Arial" w:cs="Arial"/>
                <w:sz w:val="16"/>
                <w:szCs w:val="16"/>
              </w:rPr>
            </w:pPr>
            <w:r w:rsidRPr="00EA7665">
              <w:rPr>
                <w:rFonts w:ascii="Arial" w:hAnsi="Arial" w:cs="Arial"/>
                <w:sz w:val="16"/>
                <w:szCs w:val="16"/>
              </w:rPr>
              <w:t>Positive and sustained economic growth</w:t>
            </w:r>
          </w:p>
          <w:p w14:paraId="7468E4D0" w14:textId="77777777" w:rsidR="00CD6352" w:rsidRPr="00EA7665" w:rsidRDefault="00CD6352" w:rsidP="00C74AEC">
            <w:pPr>
              <w:pStyle w:val="ListParagraph"/>
              <w:numPr>
                <w:ilvl w:val="3"/>
                <w:numId w:val="29"/>
              </w:numPr>
              <w:spacing w:after="0" w:line="360" w:lineRule="auto"/>
              <w:jc w:val="both"/>
              <w:rPr>
                <w:rFonts w:ascii="Arial" w:hAnsi="Arial" w:cs="Arial"/>
                <w:sz w:val="16"/>
                <w:szCs w:val="16"/>
              </w:rPr>
            </w:pPr>
            <w:r w:rsidRPr="00EA7665">
              <w:rPr>
                <w:rFonts w:ascii="Arial" w:hAnsi="Arial" w:cs="Arial"/>
                <w:sz w:val="16"/>
                <w:szCs w:val="16"/>
              </w:rPr>
              <w:t>Government housing regulations and policies</w:t>
            </w:r>
          </w:p>
        </w:tc>
      </w:tr>
    </w:tbl>
    <w:p w14:paraId="7B0D5688" w14:textId="77777777" w:rsidR="00CD6352" w:rsidRPr="00EA7665" w:rsidRDefault="00CD6352" w:rsidP="00CD6352">
      <w:pPr>
        <w:spacing w:line="360" w:lineRule="auto"/>
        <w:jc w:val="both"/>
        <w:rPr>
          <w:rFonts w:ascii="Arial" w:hAnsi="Arial" w:cs="Arial"/>
        </w:rPr>
      </w:pPr>
    </w:p>
    <w:p w14:paraId="49BDABE6" w14:textId="09B68C90" w:rsidR="00CD6352" w:rsidRPr="00EA7665" w:rsidRDefault="00CD6352" w:rsidP="00CD6352">
      <w:pPr>
        <w:spacing w:line="360" w:lineRule="auto"/>
        <w:jc w:val="both"/>
        <w:rPr>
          <w:rFonts w:ascii="Arial" w:hAnsi="Arial" w:cs="Arial"/>
        </w:rPr>
      </w:pPr>
      <w:r w:rsidRPr="00EA7665">
        <w:rPr>
          <w:rFonts w:ascii="Arial" w:hAnsi="Arial" w:cs="Arial"/>
        </w:rPr>
        <w:t xml:space="preserve">All the nineteen factors are considered as opportunities in both the developed and emerging economies but with different </w:t>
      </w:r>
      <w:r w:rsidR="00954056" w:rsidRPr="00EA7665">
        <w:rPr>
          <w:rFonts w:ascii="Arial" w:hAnsi="Arial" w:cs="Arial"/>
        </w:rPr>
        <w:t>rankings.</w:t>
      </w:r>
      <w:r>
        <w:rPr>
          <w:rFonts w:ascii="Arial" w:hAnsi="Arial" w:cs="Arial"/>
        </w:rPr>
        <w:t xml:space="preserve"> </w:t>
      </w:r>
      <w:r w:rsidRPr="00EA7665">
        <w:rPr>
          <w:rFonts w:ascii="Arial" w:hAnsi="Arial" w:cs="Arial"/>
        </w:rPr>
        <w:t xml:space="preserve">Managers at the disaggregate level in both the developed and emerging economies unanimously agreed that </w:t>
      </w:r>
      <w:r w:rsidR="00954056" w:rsidRPr="00EA7665">
        <w:rPr>
          <w:rFonts w:ascii="Arial" w:hAnsi="Arial" w:cs="Arial"/>
        </w:rPr>
        <w:t>“a</w:t>
      </w:r>
      <w:r w:rsidRPr="00EA7665">
        <w:rPr>
          <w:rFonts w:ascii="Arial" w:hAnsi="Arial" w:cs="Arial"/>
        </w:rPr>
        <w:t xml:space="preserve"> growing demand in the property market” is an opportunity that facilitates access to finance for real estate project development. This is not a surprise because of the increasingly growing world population as a result of immigration in the developed economies and increased birth rates in the emerging economies (Zang et al., 2014; Awofeso, 2010).</w:t>
      </w:r>
      <w:r>
        <w:rPr>
          <w:rFonts w:ascii="Arial" w:hAnsi="Arial" w:cs="Arial"/>
        </w:rPr>
        <w:t xml:space="preserve"> </w:t>
      </w:r>
      <w:r w:rsidRPr="00EA7665">
        <w:rPr>
          <w:rFonts w:ascii="Arial" w:hAnsi="Arial" w:cs="Arial"/>
        </w:rPr>
        <w:t>Notably, managers in Germany ranked “institutional real estate market as an opportunity” 2</w:t>
      </w:r>
      <w:r w:rsidRPr="00EA7665">
        <w:rPr>
          <w:rFonts w:ascii="Arial" w:hAnsi="Arial" w:cs="Arial"/>
          <w:vertAlign w:val="superscript"/>
        </w:rPr>
        <w:t>nd</w:t>
      </w:r>
      <w:r w:rsidRPr="00EA7665">
        <w:rPr>
          <w:rFonts w:ascii="Arial" w:hAnsi="Arial" w:cs="Arial"/>
        </w:rPr>
        <w:t>. Surprisingly, this was ranked 8</w:t>
      </w:r>
      <w:r w:rsidRPr="00EA7665">
        <w:rPr>
          <w:rFonts w:ascii="Arial" w:hAnsi="Arial" w:cs="Arial"/>
          <w:vertAlign w:val="superscript"/>
        </w:rPr>
        <w:t>th</w:t>
      </w:r>
      <w:r w:rsidRPr="00EA7665">
        <w:rPr>
          <w:rFonts w:ascii="Arial" w:hAnsi="Arial" w:cs="Arial"/>
        </w:rPr>
        <w:t xml:space="preserve"> in </w:t>
      </w:r>
      <w:r>
        <w:rPr>
          <w:rFonts w:ascii="Arial" w:hAnsi="Arial" w:cs="Arial"/>
        </w:rPr>
        <w:t xml:space="preserve">the </w:t>
      </w:r>
      <w:r w:rsidRPr="00EA7665">
        <w:rPr>
          <w:rFonts w:ascii="Arial" w:hAnsi="Arial" w:cs="Arial"/>
        </w:rPr>
        <w:t>UK and 16</w:t>
      </w:r>
      <w:r w:rsidRPr="00EA7665">
        <w:rPr>
          <w:rFonts w:ascii="Arial" w:hAnsi="Arial" w:cs="Arial"/>
          <w:vertAlign w:val="superscript"/>
        </w:rPr>
        <w:t>th</w:t>
      </w:r>
      <w:r w:rsidRPr="00EA7665">
        <w:rPr>
          <w:rFonts w:ascii="Arial" w:hAnsi="Arial" w:cs="Arial"/>
        </w:rPr>
        <w:t xml:space="preserve"> in</w:t>
      </w:r>
      <w:r>
        <w:rPr>
          <w:rFonts w:ascii="Arial" w:hAnsi="Arial" w:cs="Arial"/>
        </w:rPr>
        <w:t xml:space="preserve"> the </w:t>
      </w:r>
      <w:r w:rsidRPr="00EA7665">
        <w:rPr>
          <w:rFonts w:ascii="Arial" w:hAnsi="Arial" w:cs="Arial"/>
        </w:rPr>
        <w:t xml:space="preserve"> US and 8</w:t>
      </w:r>
      <w:r w:rsidRPr="00EA7665">
        <w:rPr>
          <w:rFonts w:ascii="Arial" w:hAnsi="Arial" w:cs="Arial"/>
          <w:vertAlign w:val="superscript"/>
        </w:rPr>
        <w:t>th</w:t>
      </w:r>
      <w:r w:rsidRPr="00EA7665">
        <w:rPr>
          <w:rFonts w:ascii="Arial" w:hAnsi="Arial" w:cs="Arial"/>
        </w:rPr>
        <w:t>, 7th and 6</w:t>
      </w:r>
      <w:r w:rsidRPr="00EA7665">
        <w:rPr>
          <w:rFonts w:ascii="Arial" w:hAnsi="Arial" w:cs="Arial"/>
          <w:vertAlign w:val="superscript"/>
        </w:rPr>
        <w:t>th</w:t>
      </w:r>
      <w:r w:rsidRPr="00EA7665">
        <w:rPr>
          <w:rFonts w:ascii="Arial" w:hAnsi="Arial" w:cs="Arial"/>
        </w:rPr>
        <w:t xml:space="preserve"> for China, Nigeria</w:t>
      </w:r>
      <w:r w:rsidR="000B10BE">
        <w:rPr>
          <w:rFonts w:ascii="Arial" w:hAnsi="Arial" w:cs="Arial"/>
        </w:rPr>
        <w:t>, and South Africa</w:t>
      </w:r>
      <w:r w:rsidRPr="00EA7665">
        <w:rPr>
          <w:rFonts w:ascii="Arial" w:hAnsi="Arial" w:cs="Arial"/>
        </w:rPr>
        <w:t>. To a large extent</w:t>
      </w:r>
      <w:r w:rsidR="00B56889">
        <w:rPr>
          <w:rFonts w:ascii="Arial" w:hAnsi="Arial" w:cs="Arial"/>
        </w:rPr>
        <w:t>,</w:t>
      </w:r>
      <w:r w:rsidRPr="00EA7665">
        <w:rPr>
          <w:rFonts w:ascii="Arial" w:hAnsi="Arial" w:cs="Arial"/>
        </w:rPr>
        <w:t xml:space="preserve"> the institutional environment</w:t>
      </w:r>
      <w:r w:rsidR="00B56889">
        <w:rPr>
          <w:rFonts w:ascii="Arial" w:hAnsi="Arial" w:cs="Arial"/>
        </w:rPr>
        <w:t>,</w:t>
      </w:r>
      <w:r w:rsidRPr="00EA7665">
        <w:rPr>
          <w:rFonts w:ascii="Arial" w:hAnsi="Arial" w:cs="Arial"/>
        </w:rPr>
        <w:t xml:space="preserve"> economic and social conditio</w:t>
      </w:r>
      <w:r>
        <w:rPr>
          <w:rFonts w:ascii="Arial" w:hAnsi="Arial" w:cs="Arial"/>
        </w:rPr>
        <w:t>ns</w:t>
      </w:r>
      <w:r w:rsidR="00B56889">
        <w:rPr>
          <w:rFonts w:ascii="Arial" w:hAnsi="Arial" w:cs="Arial"/>
        </w:rPr>
        <w:t>,</w:t>
      </w:r>
      <w:r w:rsidRPr="00EA7665">
        <w:rPr>
          <w:rFonts w:ascii="Arial" w:hAnsi="Arial" w:cs="Arial"/>
        </w:rPr>
        <w:t xml:space="preserve"> government policies and the legal framework are fundamental drivers of opportunities in securing finance for real estate project development (D’Archy and Keogh, 2002; Salem, 2011).  </w:t>
      </w:r>
    </w:p>
    <w:p w14:paraId="0C786036" w14:textId="15D57B03" w:rsidR="00CD6352" w:rsidRPr="00EA7665" w:rsidRDefault="00CD6352" w:rsidP="00CD6352">
      <w:pPr>
        <w:spacing w:line="360" w:lineRule="auto"/>
        <w:jc w:val="both"/>
        <w:rPr>
          <w:rFonts w:ascii="Arial" w:hAnsi="Arial" w:cs="Arial"/>
        </w:rPr>
      </w:pPr>
      <w:r w:rsidRPr="00EA7665">
        <w:rPr>
          <w:rFonts w:ascii="Arial" w:hAnsi="Arial" w:cs="Arial"/>
        </w:rPr>
        <w:lastRenderedPageBreak/>
        <w:t>Conversely, the least ranked factors that are considered as opportunities associated with securing finance for real estate project development in Germany are “favourable land use and ownership laws” and</w:t>
      </w:r>
      <w:r w:rsidR="00B56889">
        <w:rPr>
          <w:rFonts w:ascii="Arial" w:hAnsi="Arial" w:cs="Arial"/>
        </w:rPr>
        <w:t>,</w:t>
      </w:r>
      <w:r w:rsidRPr="00EA7665">
        <w:rPr>
          <w:rFonts w:ascii="Arial" w:hAnsi="Arial" w:cs="Arial"/>
        </w:rPr>
        <w:t xml:space="preserve"> surprisingly, “infrastructure quality”. Nigeria also has a low ranking for “favourable land use and ownership laws”. The least ranked factor in the UK and South Africa is foreign exchange stability and government monetary and fiscal policies. Arguably, it can be said that the developed economies have a reasonably stable exchange rate because of political and economic stability</w:t>
      </w:r>
      <w:r w:rsidR="005C4880">
        <w:rPr>
          <w:rFonts w:ascii="Arial" w:hAnsi="Arial" w:cs="Arial"/>
        </w:rPr>
        <w:t>,</w:t>
      </w:r>
      <w:r w:rsidRPr="00EA7665">
        <w:rPr>
          <w:rFonts w:ascii="Arial" w:hAnsi="Arial" w:cs="Arial"/>
        </w:rPr>
        <w:t xml:space="preserve"> but </w:t>
      </w:r>
      <w:r w:rsidR="00954056">
        <w:rPr>
          <w:rFonts w:ascii="Arial" w:hAnsi="Arial" w:cs="Arial"/>
        </w:rPr>
        <w:t>Brexit and</w:t>
      </w:r>
      <w:r>
        <w:rPr>
          <w:rFonts w:ascii="Arial" w:hAnsi="Arial" w:cs="Arial"/>
        </w:rPr>
        <w:t xml:space="preserve"> </w:t>
      </w:r>
      <w:r w:rsidRPr="00EA7665">
        <w:rPr>
          <w:rFonts w:ascii="Arial" w:hAnsi="Arial" w:cs="Arial"/>
        </w:rPr>
        <w:t xml:space="preserve">its </w:t>
      </w:r>
      <w:r>
        <w:rPr>
          <w:rFonts w:ascii="Arial" w:hAnsi="Arial" w:cs="Arial"/>
        </w:rPr>
        <w:t xml:space="preserve">possible </w:t>
      </w:r>
      <w:r w:rsidRPr="00EA7665">
        <w:rPr>
          <w:rFonts w:ascii="Arial" w:hAnsi="Arial" w:cs="Arial"/>
        </w:rPr>
        <w:t>impact on international trade</w:t>
      </w:r>
      <w:r>
        <w:rPr>
          <w:rFonts w:ascii="Arial" w:hAnsi="Arial" w:cs="Arial"/>
        </w:rPr>
        <w:t xml:space="preserve"> could negatively affect the UK exchange rate.</w:t>
      </w:r>
      <w:r w:rsidRPr="00EA7665">
        <w:rPr>
          <w:rFonts w:ascii="Arial" w:hAnsi="Arial" w:cs="Arial"/>
        </w:rPr>
        <w:t xml:space="preserve"> (Akinbogun et al., 2017; BBC, 2019).</w:t>
      </w:r>
    </w:p>
    <w:p w14:paraId="010FC04D" w14:textId="691F2027" w:rsidR="00CD6352" w:rsidRDefault="00CD6352" w:rsidP="00CD6352">
      <w:pPr>
        <w:spacing w:line="360" w:lineRule="auto"/>
        <w:jc w:val="both"/>
        <w:rPr>
          <w:rFonts w:ascii="Arial" w:hAnsi="Arial" w:cs="Arial"/>
        </w:rPr>
      </w:pPr>
      <w:r w:rsidRPr="00EA7665">
        <w:rPr>
          <w:rFonts w:ascii="Arial" w:hAnsi="Arial" w:cs="Arial"/>
        </w:rPr>
        <w:t xml:space="preserve">The least ranked factors considered as opportunities in the US are Market maturity and transparency and </w:t>
      </w:r>
      <w:r w:rsidR="00CC2238">
        <w:rPr>
          <w:rFonts w:ascii="Arial" w:hAnsi="Arial" w:cs="Arial"/>
        </w:rPr>
        <w:t xml:space="preserve">a </w:t>
      </w:r>
      <w:r w:rsidRPr="00EA7665">
        <w:rPr>
          <w:rFonts w:ascii="Arial" w:hAnsi="Arial" w:cs="Arial"/>
        </w:rPr>
        <w:t xml:space="preserve">highly skilled labour force. Enhanced managerial skills and competences are important in meeting the demand of financiers ( Nitz, 1996; Ogbenjuwa, 2017). Technical skills and professional competences </w:t>
      </w:r>
      <w:r>
        <w:rPr>
          <w:rFonts w:ascii="Arial" w:hAnsi="Arial" w:cs="Arial"/>
        </w:rPr>
        <w:t>are</w:t>
      </w:r>
      <w:r w:rsidRPr="00EA7665">
        <w:rPr>
          <w:rFonts w:ascii="Arial" w:hAnsi="Arial" w:cs="Arial"/>
        </w:rPr>
        <w:t xml:space="preserve"> mandatory for successful project execution and th</w:t>
      </w:r>
      <w:r>
        <w:rPr>
          <w:rFonts w:ascii="Arial" w:hAnsi="Arial" w:cs="Arial"/>
        </w:rPr>
        <w:t xml:space="preserve">ese </w:t>
      </w:r>
      <w:r w:rsidR="0097564C" w:rsidRPr="00EA7665">
        <w:rPr>
          <w:rFonts w:ascii="Arial" w:hAnsi="Arial" w:cs="Arial"/>
        </w:rPr>
        <w:t>constitut</w:t>
      </w:r>
      <w:r w:rsidR="0097564C">
        <w:rPr>
          <w:rFonts w:ascii="Arial" w:hAnsi="Arial" w:cs="Arial"/>
        </w:rPr>
        <w:t>e</w:t>
      </w:r>
      <w:r w:rsidR="0097564C" w:rsidRPr="00EA7665">
        <w:rPr>
          <w:rFonts w:ascii="Arial" w:hAnsi="Arial" w:cs="Arial"/>
        </w:rPr>
        <w:t xml:space="preserve"> part</w:t>
      </w:r>
      <w:r w:rsidRPr="00EA7665">
        <w:rPr>
          <w:rFonts w:ascii="Arial" w:hAnsi="Arial" w:cs="Arial"/>
        </w:rPr>
        <w:t xml:space="preserve"> of the traits financiers </w:t>
      </w:r>
      <w:r>
        <w:rPr>
          <w:rFonts w:ascii="Arial" w:hAnsi="Arial" w:cs="Arial"/>
        </w:rPr>
        <w:t xml:space="preserve">historically </w:t>
      </w:r>
      <w:r w:rsidRPr="00EA7665">
        <w:rPr>
          <w:rFonts w:ascii="Arial" w:hAnsi="Arial" w:cs="Arial"/>
        </w:rPr>
        <w:t xml:space="preserve">look for as conditions precedent to funding (Rector, 2002). Managers in China also consider </w:t>
      </w:r>
      <w:r w:rsidR="0061450E">
        <w:rPr>
          <w:rFonts w:ascii="Arial" w:hAnsi="Arial" w:cs="Arial"/>
        </w:rPr>
        <w:t xml:space="preserve">the </w:t>
      </w:r>
      <w:r w:rsidRPr="00EA7665">
        <w:rPr>
          <w:rFonts w:ascii="Arial" w:hAnsi="Arial" w:cs="Arial"/>
        </w:rPr>
        <w:t>“</w:t>
      </w:r>
      <w:r>
        <w:rPr>
          <w:rFonts w:ascii="Arial" w:hAnsi="Arial" w:cs="Arial"/>
        </w:rPr>
        <w:t>h</w:t>
      </w:r>
      <w:r w:rsidRPr="00EA7665">
        <w:rPr>
          <w:rFonts w:ascii="Arial" w:hAnsi="Arial" w:cs="Arial"/>
        </w:rPr>
        <w:t xml:space="preserve">ighly skilled labour force” </w:t>
      </w:r>
      <w:r w:rsidR="005C4880">
        <w:rPr>
          <w:rFonts w:ascii="Arial" w:hAnsi="Arial" w:cs="Arial"/>
        </w:rPr>
        <w:t>the least ranked opportunity for securing real estate project development finance</w:t>
      </w:r>
      <w:r w:rsidRPr="00EA7665">
        <w:rPr>
          <w:rFonts w:ascii="Arial" w:hAnsi="Arial" w:cs="Arial"/>
        </w:rPr>
        <w:t>. This is followed by “foreign exchange stability”. While managers in Nigeria consider “</w:t>
      </w:r>
      <w:r>
        <w:rPr>
          <w:rFonts w:ascii="Arial" w:hAnsi="Arial" w:cs="Arial"/>
        </w:rPr>
        <w:t>f</w:t>
      </w:r>
      <w:r w:rsidRPr="00EA7665">
        <w:rPr>
          <w:rFonts w:ascii="Arial" w:hAnsi="Arial" w:cs="Arial"/>
        </w:rPr>
        <w:t>avourable tax platforms” as the least ranked criteria followed by “favourable land use and ownership laws”.</w:t>
      </w:r>
    </w:p>
    <w:p w14:paraId="545104CA" w14:textId="010065A0" w:rsidR="00CD6352" w:rsidRDefault="00CD6352" w:rsidP="00CD6352">
      <w:pPr>
        <w:spacing w:line="360" w:lineRule="auto"/>
        <w:jc w:val="both"/>
        <w:rPr>
          <w:rFonts w:ascii="Arial" w:hAnsi="Arial" w:cs="Arial"/>
        </w:rPr>
      </w:pPr>
      <w:r>
        <w:rPr>
          <w:rFonts w:ascii="Arial" w:hAnsi="Arial" w:cs="Arial"/>
        </w:rPr>
        <w:t xml:space="preserve">The next segment discusses the relationship between the management level and the opportunity for securing finance for real estate project development using the </w:t>
      </w:r>
      <w:r w:rsidR="00CC2238">
        <w:rPr>
          <w:rFonts w:ascii="Arial" w:hAnsi="Arial" w:cs="Arial"/>
        </w:rPr>
        <w:t>S</w:t>
      </w:r>
      <w:r>
        <w:rPr>
          <w:rFonts w:ascii="Arial" w:hAnsi="Arial" w:cs="Arial"/>
        </w:rPr>
        <w:t>pearman rho.</w:t>
      </w:r>
    </w:p>
    <w:p w14:paraId="3291A6A5" w14:textId="72BE6737" w:rsidR="00CC2238" w:rsidRDefault="00CC2238" w:rsidP="00CD6352">
      <w:pPr>
        <w:spacing w:line="360" w:lineRule="auto"/>
        <w:jc w:val="both"/>
        <w:rPr>
          <w:rFonts w:ascii="Arial" w:hAnsi="Arial" w:cs="Arial"/>
        </w:rPr>
      </w:pPr>
    </w:p>
    <w:p w14:paraId="4331A9C7" w14:textId="30D38659" w:rsidR="00CD6352" w:rsidRDefault="00CD6352" w:rsidP="00CD6352">
      <w:pPr>
        <w:pStyle w:val="Heading3"/>
        <w:rPr>
          <w:sz w:val="22"/>
          <w:szCs w:val="22"/>
        </w:rPr>
      </w:pPr>
      <w:bookmarkStart w:id="1228" w:name="_Toc78983875"/>
      <w:r w:rsidRPr="00966DAC">
        <w:rPr>
          <w:sz w:val="22"/>
          <w:szCs w:val="22"/>
        </w:rPr>
        <w:t xml:space="preserve">Relationship between the management level and the opportunities for securing finance for real estate project </w:t>
      </w:r>
      <w:r w:rsidR="005867E6" w:rsidRPr="00966DAC">
        <w:rPr>
          <w:sz w:val="22"/>
          <w:szCs w:val="22"/>
        </w:rPr>
        <w:t>development.</w:t>
      </w:r>
      <w:bookmarkEnd w:id="1228"/>
    </w:p>
    <w:p w14:paraId="634B07EA" w14:textId="4A8BB462" w:rsidR="00CD6352" w:rsidRDefault="00CD6352" w:rsidP="00CD6352"/>
    <w:p w14:paraId="48342D0E" w14:textId="0946B286" w:rsidR="00CC2238" w:rsidRDefault="00CC2238" w:rsidP="00CC2238">
      <w:pPr>
        <w:pStyle w:val="Caption"/>
        <w:keepNext/>
      </w:pPr>
      <w:bookmarkStart w:id="1229" w:name="_Toc78983992"/>
      <w:r>
        <w:t xml:space="preserve">Table </w:t>
      </w:r>
      <w:fldSimple w:instr=" STYLEREF 2 \s ">
        <w:r w:rsidR="008F25B1">
          <w:rPr>
            <w:noProof/>
          </w:rPr>
          <w:t>6.4</w:t>
        </w:r>
      </w:fldSimple>
      <w:r w:rsidR="008F25B1">
        <w:noBreakHyphen/>
      </w:r>
      <w:fldSimple w:instr=" SEQ Table \* ARABIC \s 2 ">
        <w:r w:rsidR="008F25B1">
          <w:rPr>
            <w:noProof/>
          </w:rPr>
          <w:t>4</w:t>
        </w:r>
      </w:fldSimple>
      <w:r>
        <w:t>: Spearman correlation on the relationship between the management level and the opportunities associated with securing finance for real estate project development</w:t>
      </w:r>
      <w:bookmarkEnd w:id="1229"/>
    </w:p>
    <w:tbl>
      <w:tblPr>
        <w:tblW w:w="6593" w:type="dxa"/>
        <w:tblLook w:val="04A0" w:firstRow="1" w:lastRow="0" w:firstColumn="1" w:lastColumn="0" w:noHBand="0" w:noVBand="1"/>
      </w:tblPr>
      <w:tblGrid>
        <w:gridCol w:w="4641"/>
        <w:gridCol w:w="1308"/>
        <w:gridCol w:w="644"/>
      </w:tblGrid>
      <w:tr w:rsidR="00CD6352" w:rsidRPr="003107DE" w14:paraId="6869A3FD" w14:textId="77777777" w:rsidTr="00CD6352">
        <w:trPr>
          <w:trHeight w:val="300"/>
        </w:trPr>
        <w:tc>
          <w:tcPr>
            <w:tcW w:w="4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43A05"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Spearman rho</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0D629854"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Sig. (2-tailed)</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14:paraId="1A7A7F12"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N</w:t>
            </w:r>
          </w:p>
        </w:tc>
      </w:tr>
      <w:tr w:rsidR="00CD6352" w:rsidRPr="003107DE" w14:paraId="294CA3CE"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37C50192"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Management level/ job title</w:t>
            </w:r>
          </w:p>
        </w:tc>
        <w:tc>
          <w:tcPr>
            <w:tcW w:w="1308" w:type="dxa"/>
            <w:tcBorders>
              <w:top w:val="nil"/>
              <w:left w:val="nil"/>
              <w:bottom w:val="single" w:sz="4" w:space="0" w:color="auto"/>
              <w:right w:val="single" w:sz="4" w:space="0" w:color="auto"/>
            </w:tcBorders>
            <w:shd w:val="clear" w:color="auto" w:fill="auto"/>
            <w:noWrap/>
            <w:vAlign w:val="bottom"/>
            <w:hideMark/>
          </w:tcPr>
          <w:p w14:paraId="1BD9FDA8"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1</w:t>
            </w:r>
          </w:p>
        </w:tc>
        <w:tc>
          <w:tcPr>
            <w:tcW w:w="644" w:type="dxa"/>
            <w:tcBorders>
              <w:top w:val="nil"/>
              <w:left w:val="nil"/>
              <w:bottom w:val="single" w:sz="4" w:space="0" w:color="auto"/>
              <w:right w:val="single" w:sz="4" w:space="0" w:color="auto"/>
            </w:tcBorders>
            <w:shd w:val="clear" w:color="auto" w:fill="auto"/>
            <w:noWrap/>
            <w:vAlign w:val="bottom"/>
            <w:hideMark/>
          </w:tcPr>
          <w:p w14:paraId="14E4D1AD"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050F5708"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7C34D406"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Institutional real estate market size</w:t>
            </w:r>
          </w:p>
        </w:tc>
        <w:tc>
          <w:tcPr>
            <w:tcW w:w="1308" w:type="dxa"/>
            <w:tcBorders>
              <w:top w:val="nil"/>
              <w:left w:val="nil"/>
              <w:bottom w:val="single" w:sz="4" w:space="0" w:color="auto"/>
              <w:right w:val="single" w:sz="4" w:space="0" w:color="auto"/>
            </w:tcBorders>
            <w:shd w:val="clear" w:color="auto" w:fill="auto"/>
            <w:noWrap/>
            <w:vAlign w:val="bottom"/>
            <w:hideMark/>
          </w:tcPr>
          <w:p w14:paraId="11B6E13E"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0.98</w:t>
            </w:r>
          </w:p>
        </w:tc>
        <w:tc>
          <w:tcPr>
            <w:tcW w:w="644" w:type="dxa"/>
            <w:tcBorders>
              <w:top w:val="nil"/>
              <w:left w:val="nil"/>
              <w:bottom w:val="single" w:sz="4" w:space="0" w:color="auto"/>
              <w:right w:val="single" w:sz="4" w:space="0" w:color="auto"/>
            </w:tcBorders>
            <w:shd w:val="clear" w:color="auto" w:fill="auto"/>
            <w:noWrap/>
            <w:vAlign w:val="bottom"/>
            <w:hideMark/>
          </w:tcPr>
          <w:p w14:paraId="2FEBD321"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028C3BE2"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388A90AB"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Infrastructure quality</w:t>
            </w:r>
          </w:p>
        </w:tc>
        <w:tc>
          <w:tcPr>
            <w:tcW w:w="1308" w:type="dxa"/>
            <w:tcBorders>
              <w:top w:val="nil"/>
              <w:left w:val="nil"/>
              <w:bottom w:val="single" w:sz="4" w:space="0" w:color="auto"/>
              <w:right w:val="single" w:sz="4" w:space="0" w:color="auto"/>
            </w:tcBorders>
            <w:shd w:val="clear" w:color="auto" w:fill="auto"/>
            <w:noWrap/>
            <w:vAlign w:val="bottom"/>
            <w:hideMark/>
          </w:tcPr>
          <w:p w14:paraId="36DCC3E4"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0.976</w:t>
            </w:r>
          </w:p>
        </w:tc>
        <w:tc>
          <w:tcPr>
            <w:tcW w:w="644" w:type="dxa"/>
            <w:tcBorders>
              <w:top w:val="nil"/>
              <w:left w:val="nil"/>
              <w:bottom w:val="single" w:sz="4" w:space="0" w:color="auto"/>
              <w:right w:val="single" w:sz="4" w:space="0" w:color="auto"/>
            </w:tcBorders>
            <w:shd w:val="clear" w:color="auto" w:fill="auto"/>
            <w:noWrap/>
            <w:vAlign w:val="bottom"/>
            <w:hideMark/>
          </w:tcPr>
          <w:p w14:paraId="4E53DE84"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722A4D0D"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58E1FCFB"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Government monetary and fiscal policies</w:t>
            </w:r>
          </w:p>
        </w:tc>
        <w:tc>
          <w:tcPr>
            <w:tcW w:w="1308" w:type="dxa"/>
            <w:tcBorders>
              <w:top w:val="nil"/>
              <w:left w:val="nil"/>
              <w:bottom w:val="single" w:sz="4" w:space="0" w:color="auto"/>
              <w:right w:val="single" w:sz="4" w:space="0" w:color="auto"/>
            </w:tcBorders>
            <w:shd w:val="clear" w:color="auto" w:fill="auto"/>
            <w:noWrap/>
            <w:vAlign w:val="bottom"/>
            <w:hideMark/>
          </w:tcPr>
          <w:p w14:paraId="70B305A5"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0.894</w:t>
            </w:r>
          </w:p>
        </w:tc>
        <w:tc>
          <w:tcPr>
            <w:tcW w:w="644" w:type="dxa"/>
            <w:tcBorders>
              <w:top w:val="nil"/>
              <w:left w:val="nil"/>
              <w:bottom w:val="single" w:sz="4" w:space="0" w:color="auto"/>
              <w:right w:val="single" w:sz="4" w:space="0" w:color="auto"/>
            </w:tcBorders>
            <w:shd w:val="clear" w:color="auto" w:fill="auto"/>
            <w:noWrap/>
            <w:vAlign w:val="bottom"/>
            <w:hideMark/>
          </w:tcPr>
          <w:p w14:paraId="1EEC8155"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7CE68971"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5BDAEE3F"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Availability of long-term funds</w:t>
            </w:r>
          </w:p>
        </w:tc>
        <w:tc>
          <w:tcPr>
            <w:tcW w:w="1308" w:type="dxa"/>
            <w:tcBorders>
              <w:top w:val="nil"/>
              <w:left w:val="nil"/>
              <w:bottom w:val="single" w:sz="4" w:space="0" w:color="auto"/>
              <w:right w:val="single" w:sz="4" w:space="0" w:color="auto"/>
            </w:tcBorders>
            <w:shd w:val="clear" w:color="auto" w:fill="auto"/>
            <w:noWrap/>
            <w:vAlign w:val="bottom"/>
            <w:hideMark/>
          </w:tcPr>
          <w:p w14:paraId="78F2D0E8"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0.837</w:t>
            </w:r>
          </w:p>
        </w:tc>
        <w:tc>
          <w:tcPr>
            <w:tcW w:w="644" w:type="dxa"/>
            <w:tcBorders>
              <w:top w:val="nil"/>
              <w:left w:val="nil"/>
              <w:bottom w:val="single" w:sz="4" w:space="0" w:color="auto"/>
              <w:right w:val="single" w:sz="4" w:space="0" w:color="auto"/>
            </w:tcBorders>
            <w:shd w:val="clear" w:color="auto" w:fill="auto"/>
            <w:noWrap/>
            <w:vAlign w:val="bottom"/>
            <w:hideMark/>
          </w:tcPr>
          <w:p w14:paraId="16455550"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54119E4A"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3333BAC6"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Foreign exchange stability</w:t>
            </w:r>
          </w:p>
        </w:tc>
        <w:tc>
          <w:tcPr>
            <w:tcW w:w="1308" w:type="dxa"/>
            <w:tcBorders>
              <w:top w:val="nil"/>
              <w:left w:val="nil"/>
              <w:bottom w:val="single" w:sz="4" w:space="0" w:color="auto"/>
              <w:right w:val="single" w:sz="4" w:space="0" w:color="auto"/>
            </w:tcBorders>
            <w:shd w:val="clear" w:color="auto" w:fill="auto"/>
            <w:noWrap/>
            <w:vAlign w:val="bottom"/>
            <w:hideMark/>
          </w:tcPr>
          <w:p w14:paraId="6291082F"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0.821</w:t>
            </w:r>
          </w:p>
        </w:tc>
        <w:tc>
          <w:tcPr>
            <w:tcW w:w="644" w:type="dxa"/>
            <w:tcBorders>
              <w:top w:val="nil"/>
              <w:left w:val="nil"/>
              <w:bottom w:val="single" w:sz="4" w:space="0" w:color="auto"/>
              <w:right w:val="single" w:sz="4" w:space="0" w:color="auto"/>
            </w:tcBorders>
            <w:shd w:val="clear" w:color="auto" w:fill="auto"/>
            <w:noWrap/>
            <w:vAlign w:val="bottom"/>
            <w:hideMark/>
          </w:tcPr>
          <w:p w14:paraId="70F3CD23"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07179A90"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42F27059"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Government housing regulations and policies</w:t>
            </w:r>
          </w:p>
        </w:tc>
        <w:tc>
          <w:tcPr>
            <w:tcW w:w="1308" w:type="dxa"/>
            <w:tcBorders>
              <w:top w:val="nil"/>
              <w:left w:val="nil"/>
              <w:bottom w:val="single" w:sz="4" w:space="0" w:color="auto"/>
              <w:right w:val="single" w:sz="4" w:space="0" w:color="auto"/>
            </w:tcBorders>
            <w:shd w:val="clear" w:color="auto" w:fill="auto"/>
            <w:noWrap/>
            <w:vAlign w:val="bottom"/>
            <w:hideMark/>
          </w:tcPr>
          <w:p w14:paraId="69CCDCA6"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0.511</w:t>
            </w:r>
          </w:p>
        </w:tc>
        <w:tc>
          <w:tcPr>
            <w:tcW w:w="644" w:type="dxa"/>
            <w:tcBorders>
              <w:top w:val="nil"/>
              <w:left w:val="nil"/>
              <w:bottom w:val="single" w:sz="4" w:space="0" w:color="auto"/>
              <w:right w:val="single" w:sz="4" w:space="0" w:color="auto"/>
            </w:tcBorders>
            <w:shd w:val="clear" w:color="auto" w:fill="auto"/>
            <w:noWrap/>
            <w:vAlign w:val="bottom"/>
            <w:hideMark/>
          </w:tcPr>
          <w:p w14:paraId="7339AFBB"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6B9E05C3"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2F914315"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Market liquidity</w:t>
            </w:r>
          </w:p>
        </w:tc>
        <w:tc>
          <w:tcPr>
            <w:tcW w:w="1308" w:type="dxa"/>
            <w:tcBorders>
              <w:top w:val="nil"/>
              <w:left w:val="nil"/>
              <w:bottom w:val="single" w:sz="4" w:space="0" w:color="auto"/>
              <w:right w:val="single" w:sz="4" w:space="0" w:color="auto"/>
            </w:tcBorders>
            <w:shd w:val="clear" w:color="auto" w:fill="auto"/>
            <w:noWrap/>
            <w:vAlign w:val="bottom"/>
            <w:hideMark/>
          </w:tcPr>
          <w:p w14:paraId="72C73C04"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0.504</w:t>
            </w:r>
          </w:p>
        </w:tc>
        <w:tc>
          <w:tcPr>
            <w:tcW w:w="644" w:type="dxa"/>
            <w:tcBorders>
              <w:top w:val="nil"/>
              <w:left w:val="nil"/>
              <w:bottom w:val="single" w:sz="4" w:space="0" w:color="auto"/>
              <w:right w:val="single" w:sz="4" w:space="0" w:color="auto"/>
            </w:tcBorders>
            <w:shd w:val="clear" w:color="auto" w:fill="auto"/>
            <w:noWrap/>
            <w:vAlign w:val="bottom"/>
            <w:hideMark/>
          </w:tcPr>
          <w:p w14:paraId="605658EA"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32E7DAD0"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284FF43D"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Political stability</w:t>
            </w:r>
          </w:p>
        </w:tc>
        <w:tc>
          <w:tcPr>
            <w:tcW w:w="1308" w:type="dxa"/>
            <w:tcBorders>
              <w:top w:val="nil"/>
              <w:left w:val="nil"/>
              <w:bottom w:val="single" w:sz="4" w:space="0" w:color="auto"/>
              <w:right w:val="single" w:sz="4" w:space="0" w:color="auto"/>
            </w:tcBorders>
            <w:shd w:val="clear" w:color="auto" w:fill="auto"/>
            <w:noWrap/>
            <w:vAlign w:val="bottom"/>
            <w:hideMark/>
          </w:tcPr>
          <w:p w14:paraId="1E599F4E"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0.457</w:t>
            </w:r>
          </w:p>
        </w:tc>
        <w:tc>
          <w:tcPr>
            <w:tcW w:w="644" w:type="dxa"/>
            <w:tcBorders>
              <w:top w:val="nil"/>
              <w:left w:val="nil"/>
              <w:bottom w:val="single" w:sz="4" w:space="0" w:color="auto"/>
              <w:right w:val="single" w:sz="4" w:space="0" w:color="auto"/>
            </w:tcBorders>
            <w:shd w:val="clear" w:color="auto" w:fill="auto"/>
            <w:noWrap/>
            <w:vAlign w:val="bottom"/>
            <w:hideMark/>
          </w:tcPr>
          <w:p w14:paraId="6F413053"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549524E3"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03C21E61"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Favourable land use and ownership laws</w:t>
            </w:r>
          </w:p>
        </w:tc>
        <w:tc>
          <w:tcPr>
            <w:tcW w:w="1308" w:type="dxa"/>
            <w:tcBorders>
              <w:top w:val="nil"/>
              <w:left w:val="nil"/>
              <w:bottom w:val="single" w:sz="4" w:space="0" w:color="auto"/>
              <w:right w:val="single" w:sz="4" w:space="0" w:color="auto"/>
            </w:tcBorders>
            <w:shd w:val="clear" w:color="auto" w:fill="auto"/>
            <w:noWrap/>
            <w:vAlign w:val="bottom"/>
            <w:hideMark/>
          </w:tcPr>
          <w:p w14:paraId="49142749"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0.425</w:t>
            </w:r>
          </w:p>
        </w:tc>
        <w:tc>
          <w:tcPr>
            <w:tcW w:w="644" w:type="dxa"/>
            <w:tcBorders>
              <w:top w:val="nil"/>
              <w:left w:val="nil"/>
              <w:bottom w:val="single" w:sz="4" w:space="0" w:color="auto"/>
              <w:right w:val="single" w:sz="4" w:space="0" w:color="auto"/>
            </w:tcBorders>
            <w:shd w:val="clear" w:color="auto" w:fill="auto"/>
            <w:noWrap/>
            <w:vAlign w:val="bottom"/>
            <w:hideMark/>
          </w:tcPr>
          <w:p w14:paraId="2533F044"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5C03E58A"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78B4FD8A"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Government housing regulations and policies</w:t>
            </w:r>
          </w:p>
        </w:tc>
        <w:tc>
          <w:tcPr>
            <w:tcW w:w="1308" w:type="dxa"/>
            <w:tcBorders>
              <w:top w:val="nil"/>
              <w:left w:val="nil"/>
              <w:bottom w:val="single" w:sz="4" w:space="0" w:color="auto"/>
              <w:right w:val="single" w:sz="4" w:space="0" w:color="auto"/>
            </w:tcBorders>
            <w:shd w:val="clear" w:color="auto" w:fill="auto"/>
            <w:noWrap/>
            <w:vAlign w:val="bottom"/>
            <w:hideMark/>
          </w:tcPr>
          <w:p w14:paraId="526F989C"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0.424</w:t>
            </w:r>
          </w:p>
        </w:tc>
        <w:tc>
          <w:tcPr>
            <w:tcW w:w="644" w:type="dxa"/>
            <w:tcBorders>
              <w:top w:val="nil"/>
              <w:left w:val="nil"/>
              <w:bottom w:val="single" w:sz="4" w:space="0" w:color="auto"/>
              <w:right w:val="single" w:sz="4" w:space="0" w:color="auto"/>
            </w:tcBorders>
            <w:shd w:val="clear" w:color="auto" w:fill="auto"/>
            <w:noWrap/>
            <w:vAlign w:val="bottom"/>
            <w:hideMark/>
          </w:tcPr>
          <w:p w14:paraId="1E3E6DB8"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37BD7245"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1C89B3BB"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Favourable tax platforms</w:t>
            </w:r>
          </w:p>
        </w:tc>
        <w:tc>
          <w:tcPr>
            <w:tcW w:w="1308" w:type="dxa"/>
            <w:tcBorders>
              <w:top w:val="nil"/>
              <w:left w:val="nil"/>
              <w:bottom w:val="single" w:sz="4" w:space="0" w:color="auto"/>
              <w:right w:val="single" w:sz="4" w:space="0" w:color="auto"/>
            </w:tcBorders>
            <w:shd w:val="clear" w:color="auto" w:fill="auto"/>
            <w:noWrap/>
            <w:vAlign w:val="bottom"/>
            <w:hideMark/>
          </w:tcPr>
          <w:p w14:paraId="69C0C32E"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0.354</w:t>
            </w:r>
          </w:p>
        </w:tc>
        <w:tc>
          <w:tcPr>
            <w:tcW w:w="644" w:type="dxa"/>
            <w:tcBorders>
              <w:top w:val="nil"/>
              <w:left w:val="nil"/>
              <w:bottom w:val="single" w:sz="4" w:space="0" w:color="auto"/>
              <w:right w:val="single" w:sz="4" w:space="0" w:color="auto"/>
            </w:tcBorders>
            <w:shd w:val="clear" w:color="auto" w:fill="auto"/>
            <w:noWrap/>
            <w:vAlign w:val="bottom"/>
            <w:hideMark/>
          </w:tcPr>
          <w:p w14:paraId="230CA909"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0887E838"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79D59D26"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lastRenderedPageBreak/>
              <w:t>Positive and sustained economic growth</w:t>
            </w:r>
          </w:p>
        </w:tc>
        <w:tc>
          <w:tcPr>
            <w:tcW w:w="1308" w:type="dxa"/>
            <w:tcBorders>
              <w:top w:val="nil"/>
              <w:left w:val="nil"/>
              <w:bottom w:val="single" w:sz="4" w:space="0" w:color="auto"/>
              <w:right w:val="single" w:sz="4" w:space="0" w:color="auto"/>
            </w:tcBorders>
            <w:shd w:val="clear" w:color="auto" w:fill="auto"/>
            <w:noWrap/>
            <w:vAlign w:val="bottom"/>
            <w:hideMark/>
          </w:tcPr>
          <w:p w14:paraId="12FAC414"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0.28</w:t>
            </w:r>
          </w:p>
        </w:tc>
        <w:tc>
          <w:tcPr>
            <w:tcW w:w="644" w:type="dxa"/>
            <w:tcBorders>
              <w:top w:val="nil"/>
              <w:left w:val="nil"/>
              <w:bottom w:val="single" w:sz="4" w:space="0" w:color="auto"/>
              <w:right w:val="single" w:sz="4" w:space="0" w:color="auto"/>
            </w:tcBorders>
            <w:shd w:val="clear" w:color="auto" w:fill="auto"/>
            <w:noWrap/>
            <w:vAlign w:val="bottom"/>
            <w:hideMark/>
          </w:tcPr>
          <w:p w14:paraId="3940DDC0"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2B19BE22"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60E45B2C"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Government housing subsidies and credit inventions</w:t>
            </w:r>
          </w:p>
        </w:tc>
        <w:tc>
          <w:tcPr>
            <w:tcW w:w="1308" w:type="dxa"/>
            <w:tcBorders>
              <w:top w:val="nil"/>
              <w:left w:val="nil"/>
              <w:bottom w:val="single" w:sz="4" w:space="0" w:color="auto"/>
              <w:right w:val="single" w:sz="4" w:space="0" w:color="auto"/>
            </w:tcBorders>
            <w:shd w:val="clear" w:color="auto" w:fill="auto"/>
            <w:noWrap/>
            <w:vAlign w:val="bottom"/>
            <w:hideMark/>
          </w:tcPr>
          <w:p w14:paraId="338A94FB"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0.236</w:t>
            </w:r>
          </w:p>
        </w:tc>
        <w:tc>
          <w:tcPr>
            <w:tcW w:w="644" w:type="dxa"/>
            <w:tcBorders>
              <w:top w:val="nil"/>
              <w:left w:val="nil"/>
              <w:bottom w:val="single" w:sz="4" w:space="0" w:color="auto"/>
              <w:right w:val="single" w:sz="4" w:space="0" w:color="auto"/>
            </w:tcBorders>
            <w:shd w:val="clear" w:color="auto" w:fill="auto"/>
            <w:noWrap/>
            <w:vAlign w:val="bottom"/>
            <w:hideMark/>
          </w:tcPr>
          <w:p w14:paraId="66822D89"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2371F667"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159FDE45"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Emerging technologies</w:t>
            </w:r>
          </w:p>
        </w:tc>
        <w:tc>
          <w:tcPr>
            <w:tcW w:w="1308" w:type="dxa"/>
            <w:tcBorders>
              <w:top w:val="nil"/>
              <w:left w:val="nil"/>
              <w:bottom w:val="single" w:sz="4" w:space="0" w:color="auto"/>
              <w:right w:val="single" w:sz="4" w:space="0" w:color="auto"/>
            </w:tcBorders>
            <w:shd w:val="clear" w:color="auto" w:fill="auto"/>
            <w:noWrap/>
            <w:vAlign w:val="bottom"/>
            <w:hideMark/>
          </w:tcPr>
          <w:p w14:paraId="311EAE38"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0.193</w:t>
            </w:r>
          </w:p>
        </w:tc>
        <w:tc>
          <w:tcPr>
            <w:tcW w:w="644" w:type="dxa"/>
            <w:tcBorders>
              <w:top w:val="nil"/>
              <w:left w:val="nil"/>
              <w:bottom w:val="single" w:sz="4" w:space="0" w:color="auto"/>
              <w:right w:val="single" w:sz="4" w:space="0" w:color="auto"/>
            </w:tcBorders>
            <w:shd w:val="clear" w:color="auto" w:fill="auto"/>
            <w:noWrap/>
            <w:vAlign w:val="bottom"/>
            <w:hideMark/>
          </w:tcPr>
          <w:p w14:paraId="010E7A2E"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1B2DFF51"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66069007"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Market maturity and transparency</w:t>
            </w:r>
          </w:p>
        </w:tc>
        <w:tc>
          <w:tcPr>
            <w:tcW w:w="1308" w:type="dxa"/>
            <w:tcBorders>
              <w:top w:val="nil"/>
              <w:left w:val="nil"/>
              <w:bottom w:val="single" w:sz="4" w:space="0" w:color="auto"/>
              <w:right w:val="single" w:sz="4" w:space="0" w:color="auto"/>
            </w:tcBorders>
            <w:shd w:val="clear" w:color="auto" w:fill="auto"/>
            <w:noWrap/>
            <w:vAlign w:val="bottom"/>
            <w:hideMark/>
          </w:tcPr>
          <w:p w14:paraId="24D0543E"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0.097</w:t>
            </w:r>
          </w:p>
        </w:tc>
        <w:tc>
          <w:tcPr>
            <w:tcW w:w="644" w:type="dxa"/>
            <w:tcBorders>
              <w:top w:val="nil"/>
              <w:left w:val="nil"/>
              <w:bottom w:val="single" w:sz="4" w:space="0" w:color="auto"/>
              <w:right w:val="single" w:sz="4" w:space="0" w:color="auto"/>
            </w:tcBorders>
            <w:shd w:val="clear" w:color="auto" w:fill="auto"/>
            <w:noWrap/>
            <w:vAlign w:val="bottom"/>
            <w:hideMark/>
          </w:tcPr>
          <w:p w14:paraId="673C9BB3"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3CDBF3EA"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4EA87F5F"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Strong judiciary system</w:t>
            </w:r>
          </w:p>
        </w:tc>
        <w:tc>
          <w:tcPr>
            <w:tcW w:w="1308" w:type="dxa"/>
            <w:tcBorders>
              <w:top w:val="nil"/>
              <w:left w:val="nil"/>
              <w:bottom w:val="single" w:sz="4" w:space="0" w:color="auto"/>
              <w:right w:val="single" w:sz="4" w:space="0" w:color="auto"/>
            </w:tcBorders>
            <w:shd w:val="clear" w:color="auto" w:fill="auto"/>
            <w:noWrap/>
            <w:vAlign w:val="bottom"/>
            <w:hideMark/>
          </w:tcPr>
          <w:p w14:paraId="312B3B26"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0.077</w:t>
            </w:r>
          </w:p>
        </w:tc>
        <w:tc>
          <w:tcPr>
            <w:tcW w:w="644" w:type="dxa"/>
            <w:tcBorders>
              <w:top w:val="nil"/>
              <w:left w:val="nil"/>
              <w:bottom w:val="single" w:sz="4" w:space="0" w:color="auto"/>
              <w:right w:val="single" w:sz="4" w:space="0" w:color="auto"/>
            </w:tcBorders>
            <w:shd w:val="clear" w:color="auto" w:fill="auto"/>
            <w:noWrap/>
            <w:vAlign w:val="bottom"/>
            <w:hideMark/>
          </w:tcPr>
          <w:p w14:paraId="62890043"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2558C5BE" w14:textId="77777777" w:rsidTr="00CD6352">
        <w:trPr>
          <w:trHeight w:val="375"/>
        </w:trPr>
        <w:tc>
          <w:tcPr>
            <w:tcW w:w="4641" w:type="dxa"/>
            <w:tcBorders>
              <w:top w:val="nil"/>
              <w:left w:val="single" w:sz="4" w:space="0" w:color="auto"/>
              <w:bottom w:val="single" w:sz="4" w:space="0" w:color="auto"/>
              <w:right w:val="single" w:sz="4" w:space="0" w:color="auto"/>
            </w:tcBorders>
            <w:shd w:val="clear" w:color="auto" w:fill="auto"/>
            <w:vAlign w:val="bottom"/>
            <w:hideMark/>
          </w:tcPr>
          <w:p w14:paraId="5D292F39" w14:textId="10F7CFF3" w:rsidR="00CD6352" w:rsidRPr="003107DE" w:rsidRDefault="00BA64C3" w:rsidP="00CD6352">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G</w:t>
            </w:r>
            <w:r w:rsidR="00CD6352" w:rsidRPr="003107DE">
              <w:rPr>
                <w:rFonts w:ascii="Arial" w:eastAsia="Times New Roman" w:hAnsi="Arial" w:cs="Arial"/>
                <w:color w:val="000000"/>
                <w:sz w:val="16"/>
                <w:szCs w:val="16"/>
                <w:lang w:eastAsia="en-GB"/>
              </w:rPr>
              <w:t>rowing demand in the property market</w:t>
            </w:r>
          </w:p>
        </w:tc>
        <w:tc>
          <w:tcPr>
            <w:tcW w:w="1308" w:type="dxa"/>
            <w:tcBorders>
              <w:top w:val="nil"/>
              <w:left w:val="nil"/>
              <w:bottom w:val="single" w:sz="4" w:space="0" w:color="auto"/>
              <w:right w:val="single" w:sz="4" w:space="0" w:color="auto"/>
            </w:tcBorders>
            <w:shd w:val="clear" w:color="auto" w:fill="auto"/>
            <w:noWrap/>
            <w:vAlign w:val="bottom"/>
            <w:hideMark/>
          </w:tcPr>
          <w:p w14:paraId="10058809"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0.067</w:t>
            </w:r>
          </w:p>
        </w:tc>
        <w:tc>
          <w:tcPr>
            <w:tcW w:w="644" w:type="dxa"/>
            <w:tcBorders>
              <w:top w:val="nil"/>
              <w:left w:val="nil"/>
              <w:bottom w:val="single" w:sz="4" w:space="0" w:color="auto"/>
              <w:right w:val="single" w:sz="4" w:space="0" w:color="auto"/>
            </w:tcBorders>
            <w:shd w:val="clear" w:color="auto" w:fill="auto"/>
            <w:noWrap/>
            <w:vAlign w:val="bottom"/>
            <w:hideMark/>
          </w:tcPr>
          <w:p w14:paraId="3F406B14"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1F0E970D"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59A6DDF1"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Multiple finance sources</w:t>
            </w:r>
          </w:p>
        </w:tc>
        <w:tc>
          <w:tcPr>
            <w:tcW w:w="1308" w:type="dxa"/>
            <w:tcBorders>
              <w:top w:val="nil"/>
              <w:left w:val="nil"/>
              <w:bottom w:val="single" w:sz="4" w:space="0" w:color="auto"/>
              <w:right w:val="single" w:sz="4" w:space="0" w:color="auto"/>
            </w:tcBorders>
            <w:shd w:val="clear" w:color="auto" w:fill="auto"/>
            <w:noWrap/>
            <w:vAlign w:val="bottom"/>
            <w:hideMark/>
          </w:tcPr>
          <w:p w14:paraId="719D512C"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0.044</w:t>
            </w:r>
          </w:p>
        </w:tc>
        <w:tc>
          <w:tcPr>
            <w:tcW w:w="644" w:type="dxa"/>
            <w:tcBorders>
              <w:top w:val="nil"/>
              <w:left w:val="nil"/>
              <w:bottom w:val="single" w:sz="4" w:space="0" w:color="auto"/>
              <w:right w:val="single" w:sz="4" w:space="0" w:color="auto"/>
            </w:tcBorders>
            <w:shd w:val="clear" w:color="auto" w:fill="auto"/>
            <w:noWrap/>
            <w:vAlign w:val="bottom"/>
            <w:hideMark/>
          </w:tcPr>
          <w:p w14:paraId="3B3FF108"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6BDD6358"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0DC58AB8" w14:textId="77777777" w:rsidR="00CD6352" w:rsidRPr="003107DE" w:rsidRDefault="00CD6352"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Highly skilled labour force</w:t>
            </w:r>
          </w:p>
        </w:tc>
        <w:tc>
          <w:tcPr>
            <w:tcW w:w="1308" w:type="dxa"/>
            <w:tcBorders>
              <w:top w:val="nil"/>
              <w:left w:val="nil"/>
              <w:bottom w:val="single" w:sz="4" w:space="0" w:color="auto"/>
              <w:right w:val="single" w:sz="4" w:space="0" w:color="auto"/>
            </w:tcBorders>
            <w:shd w:val="clear" w:color="auto" w:fill="auto"/>
            <w:noWrap/>
            <w:vAlign w:val="bottom"/>
            <w:hideMark/>
          </w:tcPr>
          <w:p w14:paraId="6E6762C6"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0.012</w:t>
            </w:r>
          </w:p>
        </w:tc>
        <w:tc>
          <w:tcPr>
            <w:tcW w:w="644" w:type="dxa"/>
            <w:tcBorders>
              <w:top w:val="nil"/>
              <w:left w:val="nil"/>
              <w:bottom w:val="single" w:sz="4" w:space="0" w:color="auto"/>
              <w:right w:val="single" w:sz="4" w:space="0" w:color="auto"/>
            </w:tcBorders>
            <w:shd w:val="clear" w:color="auto" w:fill="auto"/>
            <w:noWrap/>
            <w:vAlign w:val="bottom"/>
            <w:hideMark/>
          </w:tcPr>
          <w:p w14:paraId="0F452D09"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r w:rsidR="00CD6352" w:rsidRPr="003107DE" w14:paraId="4BD6209B" w14:textId="77777777" w:rsidTr="00CD6352">
        <w:trPr>
          <w:trHeight w:val="300"/>
        </w:trPr>
        <w:tc>
          <w:tcPr>
            <w:tcW w:w="4641" w:type="dxa"/>
            <w:tcBorders>
              <w:top w:val="nil"/>
              <w:left w:val="single" w:sz="4" w:space="0" w:color="auto"/>
              <w:bottom w:val="single" w:sz="4" w:space="0" w:color="auto"/>
              <w:right w:val="single" w:sz="4" w:space="0" w:color="auto"/>
            </w:tcBorders>
            <w:shd w:val="clear" w:color="auto" w:fill="auto"/>
            <w:noWrap/>
            <w:vAlign w:val="bottom"/>
            <w:hideMark/>
          </w:tcPr>
          <w:p w14:paraId="27392633" w14:textId="783B7214" w:rsidR="00CD6352" w:rsidRPr="003107DE" w:rsidRDefault="0061450E" w:rsidP="00CD6352">
            <w:pPr>
              <w:spacing w:after="0" w:line="240" w:lineRule="auto"/>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Low</w:t>
            </w:r>
            <w:r>
              <w:rPr>
                <w:rFonts w:ascii="Arial" w:eastAsia="Times New Roman" w:hAnsi="Arial" w:cs="Arial"/>
                <w:color w:val="000000"/>
                <w:sz w:val="16"/>
                <w:szCs w:val="16"/>
                <w:lang w:eastAsia="en-GB"/>
              </w:rPr>
              <w:t>-</w:t>
            </w:r>
            <w:r w:rsidR="00CD6352" w:rsidRPr="003107DE">
              <w:rPr>
                <w:rFonts w:ascii="Arial" w:eastAsia="Times New Roman" w:hAnsi="Arial" w:cs="Arial"/>
                <w:color w:val="000000"/>
                <w:sz w:val="16"/>
                <w:szCs w:val="16"/>
                <w:lang w:eastAsia="en-GB"/>
              </w:rPr>
              <w:t>interest rates</w:t>
            </w:r>
          </w:p>
        </w:tc>
        <w:tc>
          <w:tcPr>
            <w:tcW w:w="1308" w:type="dxa"/>
            <w:tcBorders>
              <w:top w:val="nil"/>
              <w:left w:val="nil"/>
              <w:bottom w:val="single" w:sz="4" w:space="0" w:color="auto"/>
              <w:right w:val="single" w:sz="4" w:space="0" w:color="auto"/>
            </w:tcBorders>
            <w:shd w:val="clear" w:color="auto" w:fill="auto"/>
            <w:noWrap/>
            <w:vAlign w:val="bottom"/>
            <w:hideMark/>
          </w:tcPr>
          <w:p w14:paraId="567B367C"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0.009</w:t>
            </w:r>
          </w:p>
        </w:tc>
        <w:tc>
          <w:tcPr>
            <w:tcW w:w="644" w:type="dxa"/>
            <w:tcBorders>
              <w:top w:val="nil"/>
              <w:left w:val="nil"/>
              <w:bottom w:val="single" w:sz="4" w:space="0" w:color="auto"/>
              <w:right w:val="single" w:sz="4" w:space="0" w:color="auto"/>
            </w:tcBorders>
            <w:shd w:val="clear" w:color="auto" w:fill="auto"/>
            <w:noWrap/>
            <w:vAlign w:val="bottom"/>
            <w:hideMark/>
          </w:tcPr>
          <w:p w14:paraId="4FE62995" w14:textId="77777777" w:rsidR="00CD6352" w:rsidRPr="003107DE" w:rsidRDefault="00CD6352" w:rsidP="00CD6352">
            <w:pPr>
              <w:spacing w:after="0" w:line="240" w:lineRule="auto"/>
              <w:jc w:val="right"/>
              <w:rPr>
                <w:rFonts w:ascii="Arial" w:eastAsia="Times New Roman" w:hAnsi="Arial" w:cs="Arial"/>
                <w:color w:val="000000"/>
                <w:sz w:val="16"/>
                <w:szCs w:val="16"/>
                <w:lang w:eastAsia="en-GB"/>
              </w:rPr>
            </w:pPr>
            <w:r w:rsidRPr="003107DE">
              <w:rPr>
                <w:rFonts w:ascii="Arial" w:eastAsia="Times New Roman" w:hAnsi="Arial" w:cs="Arial"/>
                <w:color w:val="000000"/>
                <w:sz w:val="16"/>
                <w:szCs w:val="16"/>
                <w:lang w:eastAsia="en-GB"/>
              </w:rPr>
              <w:t>81</w:t>
            </w:r>
          </w:p>
        </w:tc>
      </w:tr>
    </w:tbl>
    <w:p w14:paraId="70ADAE3A" w14:textId="77777777" w:rsidR="00CD6352" w:rsidRPr="00966DAC" w:rsidRDefault="00CD6352" w:rsidP="00CD6352"/>
    <w:p w14:paraId="2AD65F6D" w14:textId="380A0B23" w:rsidR="00CD6352" w:rsidRPr="00EA7665" w:rsidRDefault="00CD6352" w:rsidP="005A146D">
      <w:pPr>
        <w:spacing w:line="360" w:lineRule="auto"/>
        <w:jc w:val="both"/>
        <w:rPr>
          <w:rFonts w:ascii="Arial" w:hAnsi="Arial" w:cs="Arial"/>
        </w:rPr>
      </w:pPr>
      <w:r w:rsidDel="001F3EBA">
        <w:rPr>
          <w:rFonts w:ascii="Arial" w:hAnsi="Arial" w:cs="Arial"/>
        </w:rPr>
        <w:t xml:space="preserve">  </w:t>
      </w:r>
      <w:bookmarkStart w:id="1230" w:name="_Hlk63941064"/>
      <w:r>
        <w:rPr>
          <w:rFonts w:ascii="Arial" w:hAnsi="Arial" w:cs="Arial"/>
        </w:rPr>
        <w:t>Table 6.</w:t>
      </w:r>
      <w:r w:rsidR="00CC2238">
        <w:rPr>
          <w:rFonts w:ascii="Arial" w:hAnsi="Arial" w:cs="Arial"/>
        </w:rPr>
        <w:t>4.4</w:t>
      </w:r>
      <w:r>
        <w:rPr>
          <w:rFonts w:ascii="Arial" w:hAnsi="Arial" w:cs="Arial"/>
        </w:rPr>
        <w:t xml:space="preserve"> shows a significant positive correlation between the level of management and institutional real estate market, infrastructure quality, government monetary and fiscal policies, availability of </w:t>
      </w:r>
      <w:r w:rsidR="007E2D79">
        <w:rPr>
          <w:rFonts w:ascii="Arial" w:hAnsi="Arial" w:cs="Arial"/>
        </w:rPr>
        <w:t>long-term</w:t>
      </w:r>
      <w:r>
        <w:rPr>
          <w:rFonts w:ascii="Arial" w:hAnsi="Arial" w:cs="Arial"/>
        </w:rPr>
        <w:t xml:space="preserve"> funds and foreign exchange stability.  This could be argued to mean that the lower the management level</w:t>
      </w:r>
      <w:r w:rsidR="00C2346B">
        <w:rPr>
          <w:rFonts w:ascii="Arial" w:hAnsi="Arial" w:cs="Arial"/>
        </w:rPr>
        <w:t>,</w:t>
      </w:r>
      <w:r>
        <w:rPr>
          <w:rFonts w:ascii="Arial" w:hAnsi="Arial" w:cs="Arial"/>
        </w:rPr>
        <w:t xml:space="preserve"> the more significant these opportunities become</w:t>
      </w:r>
      <w:bookmarkEnd w:id="1230"/>
      <w:r>
        <w:rPr>
          <w:rFonts w:ascii="Arial" w:hAnsi="Arial" w:cs="Arial"/>
        </w:rPr>
        <w:t>.  However, table 6.</w:t>
      </w:r>
      <w:r w:rsidR="00BA64C3">
        <w:rPr>
          <w:rFonts w:ascii="Arial" w:hAnsi="Arial" w:cs="Arial"/>
        </w:rPr>
        <w:t>4.4</w:t>
      </w:r>
      <w:r>
        <w:rPr>
          <w:rFonts w:ascii="Arial" w:hAnsi="Arial" w:cs="Arial"/>
        </w:rPr>
        <w:t xml:space="preserve"> shows weak or no relationships between management level and low</w:t>
      </w:r>
      <w:r w:rsidR="00BA64C3">
        <w:rPr>
          <w:rFonts w:ascii="Arial" w:hAnsi="Arial" w:cs="Arial"/>
        </w:rPr>
        <w:t>-</w:t>
      </w:r>
      <w:r>
        <w:rPr>
          <w:rFonts w:ascii="Arial" w:hAnsi="Arial" w:cs="Arial"/>
        </w:rPr>
        <w:t>interest rates, highly skilled labour force, multiple finance sources, growing demand for the real estate sector, strong judiciary and market maturity and transparency.  It</w:t>
      </w:r>
      <w:r w:rsidR="007E2D79">
        <w:rPr>
          <w:rFonts w:ascii="Arial" w:hAnsi="Arial" w:cs="Arial"/>
        </w:rPr>
        <w:t xml:space="preserve"> could</w:t>
      </w:r>
      <w:r>
        <w:rPr>
          <w:rFonts w:ascii="Arial" w:hAnsi="Arial" w:cs="Arial"/>
        </w:rPr>
        <w:t xml:space="preserve"> be argued that the level of management is insignificant to the latter factors as they are mainly determined by government policy and </w:t>
      </w:r>
      <w:r w:rsidR="007E2D79">
        <w:rPr>
          <w:rFonts w:ascii="Arial" w:hAnsi="Arial" w:cs="Arial"/>
        </w:rPr>
        <w:t>affects</w:t>
      </w:r>
      <w:r>
        <w:rPr>
          <w:rFonts w:ascii="Arial" w:hAnsi="Arial" w:cs="Arial"/>
        </w:rPr>
        <w:t xml:space="preserve"> all </w:t>
      </w:r>
      <w:r w:rsidR="007E2D79">
        <w:rPr>
          <w:rFonts w:ascii="Arial" w:hAnsi="Arial" w:cs="Arial"/>
        </w:rPr>
        <w:t xml:space="preserve">irrespective of their roles </w:t>
      </w:r>
      <w:r>
        <w:rPr>
          <w:rFonts w:ascii="Arial" w:hAnsi="Arial" w:cs="Arial"/>
        </w:rPr>
        <w:t>(Barcham, 2013)</w:t>
      </w:r>
    </w:p>
    <w:p w14:paraId="7D179031" w14:textId="11248261" w:rsidR="00CD6352" w:rsidRDefault="00CD6352" w:rsidP="00CD6352">
      <w:pPr>
        <w:spacing w:line="360" w:lineRule="auto"/>
        <w:jc w:val="both"/>
        <w:rPr>
          <w:rFonts w:ascii="Arial" w:hAnsi="Arial" w:cs="Arial"/>
        </w:rPr>
      </w:pPr>
      <w:r w:rsidRPr="00DE589A">
        <w:rPr>
          <w:rFonts w:ascii="Arial" w:hAnsi="Arial" w:cs="Arial"/>
        </w:rPr>
        <w:t>The next segment discusses the opportunities for securing finance for real estate project development based on semi-structured interviews.</w:t>
      </w:r>
    </w:p>
    <w:p w14:paraId="0C039F77" w14:textId="77777777" w:rsidR="00CD6352" w:rsidRPr="00EA7665" w:rsidRDefault="00CD6352" w:rsidP="00CD6352">
      <w:pPr>
        <w:spacing w:line="360" w:lineRule="auto"/>
        <w:jc w:val="both"/>
        <w:rPr>
          <w:rFonts w:ascii="Arial" w:hAnsi="Arial" w:cs="Arial"/>
        </w:rPr>
      </w:pPr>
    </w:p>
    <w:p w14:paraId="02094EDB" w14:textId="77777777" w:rsidR="00CD6352" w:rsidRPr="00EA7665" w:rsidRDefault="00CD6352" w:rsidP="00CD6352">
      <w:pPr>
        <w:pStyle w:val="Heading3"/>
        <w:spacing w:after="240"/>
        <w:rPr>
          <w:sz w:val="22"/>
          <w:szCs w:val="22"/>
        </w:rPr>
      </w:pPr>
      <w:bookmarkStart w:id="1231" w:name="_Toc78983876"/>
      <w:r w:rsidRPr="00EA7665">
        <w:rPr>
          <w:sz w:val="22"/>
          <w:szCs w:val="22"/>
        </w:rPr>
        <w:t>Semi-structur</w:t>
      </w:r>
      <w:r>
        <w:rPr>
          <w:sz w:val="22"/>
          <w:szCs w:val="22"/>
        </w:rPr>
        <w:t>ed</w:t>
      </w:r>
      <w:r w:rsidRPr="00EA7665">
        <w:rPr>
          <w:sz w:val="22"/>
          <w:szCs w:val="22"/>
        </w:rPr>
        <w:t xml:space="preserve"> interview analysis and discussion</w:t>
      </w:r>
      <w:bookmarkEnd w:id="1231"/>
      <w:r w:rsidRPr="00EA7665">
        <w:rPr>
          <w:sz w:val="22"/>
          <w:szCs w:val="22"/>
        </w:rPr>
        <w:t xml:space="preserve"> </w:t>
      </w:r>
    </w:p>
    <w:p w14:paraId="3A22EAFF" w14:textId="1DA0C07D" w:rsidR="00CD6352" w:rsidRDefault="00CD6352" w:rsidP="00CD6352">
      <w:pPr>
        <w:spacing w:line="360" w:lineRule="auto"/>
        <w:jc w:val="both"/>
        <w:rPr>
          <w:rFonts w:ascii="Arial" w:hAnsi="Arial" w:cs="Arial"/>
        </w:rPr>
      </w:pPr>
      <w:r w:rsidRPr="0015684E">
        <w:rPr>
          <w:rFonts w:ascii="Arial" w:hAnsi="Arial" w:cs="Arial"/>
        </w:rPr>
        <w:t>The summary of the findings on the opportunities associated with securing finance for real estate project development in the developed and emerging economies based on semi</w:t>
      </w:r>
      <w:r w:rsidR="00BA64C3">
        <w:rPr>
          <w:rFonts w:ascii="Arial" w:hAnsi="Arial" w:cs="Arial"/>
        </w:rPr>
        <w:t>-</w:t>
      </w:r>
      <w:r w:rsidRPr="0015684E">
        <w:rPr>
          <w:rFonts w:ascii="Arial" w:hAnsi="Arial" w:cs="Arial"/>
        </w:rPr>
        <w:t>structured interviews is contained in table</w:t>
      </w:r>
      <w:r w:rsidR="0061450E">
        <w:rPr>
          <w:rFonts w:ascii="Arial" w:hAnsi="Arial" w:cs="Arial"/>
        </w:rPr>
        <w:t>s</w:t>
      </w:r>
      <w:r w:rsidRPr="0015684E">
        <w:rPr>
          <w:rFonts w:ascii="Arial" w:hAnsi="Arial" w:cs="Arial"/>
        </w:rPr>
        <w:t xml:space="preserve"> 6.</w:t>
      </w:r>
      <w:r w:rsidR="00BA64C3">
        <w:rPr>
          <w:rFonts w:ascii="Arial" w:hAnsi="Arial" w:cs="Arial"/>
        </w:rPr>
        <w:t>4.5</w:t>
      </w:r>
      <w:r w:rsidRPr="0015684E">
        <w:rPr>
          <w:rFonts w:ascii="Arial" w:hAnsi="Arial" w:cs="Arial"/>
        </w:rPr>
        <w:t xml:space="preserve"> and 6.</w:t>
      </w:r>
      <w:r w:rsidR="00BA64C3">
        <w:rPr>
          <w:rFonts w:ascii="Arial" w:hAnsi="Arial" w:cs="Arial"/>
        </w:rPr>
        <w:t>4.6</w:t>
      </w:r>
      <w:r w:rsidRPr="0015684E">
        <w:rPr>
          <w:rFonts w:ascii="Arial" w:hAnsi="Arial" w:cs="Arial"/>
        </w:rPr>
        <w:t>. It reflec</w:t>
      </w:r>
      <w:r>
        <w:rPr>
          <w:rFonts w:ascii="Arial" w:hAnsi="Arial" w:cs="Arial"/>
        </w:rPr>
        <w:t xml:space="preserve">ts </w:t>
      </w:r>
      <w:r w:rsidRPr="0015684E">
        <w:rPr>
          <w:rFonts w:ascii="Arial" w:hAnsi="Arial" w:cs="Arial"/>
        </w:rPr>
        <w:t xml:space="preserve">some of the information obtained from the questionnaire survey. </w:t>
      </w:r>
      <w:r w:rsidR="005C67EF">
        <w:rPr>
          <w:rFonts w:ascii="Arial" w:hAnsi="Arial" w:cs="Arial"/>
        </w:rPr>
        <w:t xml:space="preserve">However, it also brought to light some information </w:t>
      </w:r>
      <w:r w:rsidR="00456D46">
        <w:rPr>
          <w:rFonts w:ascii="Arial" w:hAnsi="Arial" w:cs="Arial"/>
        </w:rPr>
        <w:t>not contained in the survey questionnaire, making</w:t>
      </w:r>
      <w:r w:rsidRPr="0015684E">
        <w:rPr>
          <w:rFonts w:ascii="Arial" w:hAnsi="Arial" w:cs="Arial"/>
        </w:rPr>
        <w:t xml:space="preserve"> the study more robust.</w:t>
      </w:r>
    </w:p>
    <w:p w14:paraId="689DFE65" w14:textId="77777777" w:rsidR="00CD6352" w:rsidRPr="008B094E" w:rsidRDefault="00CD6352" w:rsidP="00CD6352">
      <w:pPr>
        <w:spacing w:line="360" w:lineRule="auto"/>
        <w:ind w:left="720"/>
        <w:jc w:val="both"/>
        <w:rPr>
          <w:rFonts w:ascii="Arial" w:hAnsi="Arial" w:cs="Arial"/>
          <w:i/>
          <w:iCs/>
        </w:rPr>
      </w:pPr>
      <w:r w:rsidRPr="008B094E">
        <w:rPr>
          <w:rFonts w:ascii="Arial" w:hAnsi="Arial" w:cs="Arial"/>
          <w:i/>
          <w:iCs/>
        </w:rPr>
        <w:t>The managers interviewed were asked to give examples of specific opportunities available to them that facilitates their ability to secure funding for real estate project development.</w:t>
      </w:r>
    </w:p>
    <w:p w14:paraId="69BF065E" w14:textId="1434460D" w:rsidR="00BA64C3" w:rsidRPr="00BA64C3" w:rsidRDefault="00CD6352" w:rsidP="00BA64C3">
      <w:pPr>
        <w:spacing w:line="360" w:lineRule="auto"/>
        <w:jc w:val="both"/>
        <w:rPr>
          <w:rFonts w:ascii="Arial" w:hAnsi="Arial" w:cs="Arial"/>
          <w:sz w:val="16"/>
          <w:szCs w:val="16"/>
        </w:rPr>
      </w:pPr>
      <w:r w:rsidRPr="00BA64C3">
        <w:rPr>
          <w:rFonts w:ascii="Arial" w:hAnsi="Arial" w:cs="Arial"/>
          <w:sz w:val="16"/>
          <w:szCs w:val="16"/>
        </w:rPr>
        <w:t xml:space="preserve"> </w:t>
      </w:r>
      <w:bookmarkStart w:id="1232" w:name="_Toc78983993"/>
      <w:r w:rsidR="00BA64C3" w:rsidRPr="00BA64C3">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5</w:t>
      </w:r>
      <w:r w:rsidR="008F25B1">
        <w:rPr>
          <w:rFonts w:ascii="Arial" w:hAnsi="Arial" w:cs="Arial"/>
          <w:sz w:val="16"/>
          <w:szCs w:val="16"/>
        </w:rPr>
        <w:fldChar w:fldCharType="end"/>
      </w:r>
      <w:r w:rsidR="00BA64C3" w:rsidRPr="00BA64C3">
        <w:rPr>
          <w:rFonts w:ascii="Arial" w:hAnsi="Arial" w:cs="Arial"/>
          <w:sz w:val="16"/>
          <w:szCs w:val="16"/>
        </w:rPr>
        <w:t>: Opportunities for securing finance for real estate project development in developed economies.</w:t>
      </w:r>
      <w:bookmarkEnd w:id="1232"/>
    </w:p>
    <w:tbl>
      <w:tblPr>
        <w:tblStyle w:val="TableGrid"/>
        <w:tblW w:w="0" w:type="auto"/>
        <w:tblLook w:val="04A0" w:firstRow="1" w:lastRow="0" w:firstColumn="1" w:lastColumn="0" w:noHBand="0" w:noVBand="1"/>
      </w:tblPr>
      <w:tblGrid>
        <w:gridCol w:w="1413"/>
        <w:gridCol w:w="7603"/>
      </w:tblGrid>
      <w:tr w:rsidR="00CD6352" w:rsidRPr="00BA64C3" w14:paraId="233331A9" w14:textId="77777777" w:rsidTr="00CD6352">
        <w:tc>
          <w:tcPr>
            <w:tcW w:w="1413" w:type="dxa"/>
          </w:tcPr>
          <w:p w14:paraId="6A56BE43" w14:textId="77777777" w:rsidR="00CD6352" w:rsidRPr="00BA64C3" w:rsidRDefault="00CD6352" w:rsidP="00CD6352">
            <w:pPr>
              <w:jc w:val="both"/>
              <w:rPr>
                <w:rFonts w:ascii="Arial" w:hAnsi="Arial" w:cs="Arial"/>
                <w:b/>
                <w:sz w:val="16"/>
                <w:szCs w:val="16"/>
              </w:rPr>
            </w:pPr>
            <w:r w:rsidRPr="00BA64C3">
              <w:rPr>
                <w:rFonts w:ascii="Arial" w:hAnsi="Arial" w:cs="Arial"/>
                <w:b/>
                <w:sz w:val="16"/>
                <w:szCs w:val="16"/>
              </w:rPr>
              <w:t>Countries &amp; Manager</w:t>
            </w:r>
          </w:p>
        </w:tc>
        <w:tc>
          <w:tcPr>
            <w:tcW w:w="7603" w:type="dxa"/>
          </w:tcPr>
          <w:p w14:paraId="1CCDEE14" w14:textId="77777777" w:rsidR="00CD6352" w:rsidRPr="00BA64C3" w:rsidRDefault="00CD6352" w:rsidP="00CD6352">
            <w:pPr>
              <w:jc w:val="both"/>
              <w:rPr>
                <w:rFonts w:ascii="Arial" w:hAnsi="Arial" w:cs="Arial"/>
                <w:b/>
                <w:sz w:val="16"/>
                <w:szCs w:val="16"/>
              </w:rPr>
            </w:pPr>
            <w:r w:rsidRPr="00BA64C3">
              <w:rPr>
                <w:rFonts w:ascii="Arial" w:hAnsi="Arial" w:cs="Arial"/>
                <w:b/>
                <w:sz w:val="16"/>
                <w:szCs w:val="16"/>
              </w:rPr>
              <w:t xml:space="preserve">Opportunities </w:t>
            </w:r>
          </w:p>
        </w:tc>
      </w:tr>
      <w:tr w:rsidR="00CD6352" w:rsidRPr="00BA64C3" w14:paraId="0314BF72" w14:textId="77777777" w:rsidTr="00CD6352">
        <w:tc>
          <w:tcPr>
            <w:tcW w:w="1413" w:type="dxa"/>
          </w:tcPr>
          <w:p w14:paraId="7E04E34D"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Germany Mgr1</w:t>
            </w:r>
          </w:p>
        </w:tc>
        <w:tc>
          <w:tcPr>
            <w:tcW w:w="7603" w:type="dxa"/>
          </w:tcPr>
          <w:p w14:paraId="1C91090B"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International market’s interest in Germany</w:t>
            </w:r>
          </w:p>
        </w:tc>
      </w:tr>
      <w:tr w:rsidR="00CD6352" w:rsidRPr="00BA64C3" w14:paraId="7647CC2E" w14:textId="77777777" w:rsidTr="00CD6352">
        <w:tc>
          <w:tcPr>
            <w:tcW w:w="1413" w:type="dxa"/>
          </w:tcPr>
          <w:p w14:paraId="4E0120BA"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Germany Mgr 2</w:t>
            </w:r>
          </w:p>
        </w:tc>
        <w:tc>
          <w:tcPr>
            <w:tcW w:w="7603" w:type="dxa"/>
          </w:tcPr>
          <w:p w14:paraId="1C514EC6"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Ability to get a loan from German banks and the low-interest rate </w:t>
            </w:r>
          </w:p>
        </w:tc>
      </w:tr>
      <w:tr w:rsidR="00CD6352" w:rsidRPr="00BA64C3" w14:paraId="7AAA0403" w14:textId="77777777" w:rsidTr="00CD6352">
        <w:trPr>
          <w:trHeight w:val="456"/>
        </w:trPr>
        <w:tc>
          <w:tcPr>
            <w:tcW w:w="1413" w:type="dxa"/>
          </w:tcPr>
          <w:p w14:paraId="3B710123"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lastRenderedPageBreak/>
              <w:t>Germany Mgr3</w:t>
            </w:r>
          </w:p>
        </w:tc>
        <w:tc>
          <w:tcPr>
            <w:tcW w:w="7603" w:type="dxa"/>
          </w:tcPr>
          <w:p w14:paraId="79458270"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German banks are matured and familiar with the sector; deep funding markets for senior loans; local savings banks; German bankers have the expertise and understand the risk.</w:t>
            </w:r>
          </w:p>
        </w:tc>
      </w:tr>
      <w:tr w:rsidR="00CD6352" w:rsidRPr="00BA64C3" w14:paraId="2DB5D0C0" w14:textId="77777777" w:rsidTr="00CD6352">
        <w:tc>
          <w:tcPr>
            <w:tcW w:w="1413" w:type="dxa"/>
          </w:tcPr>
          <w:p w14:paraId="6768D4B5"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Germany Mgr 4</w:t>
            </w:r>
          </w:p>
        </w:tc>
        <w:tc>
          <w:tcPr>
            <w:tcW w:w="7603" w:type="dxa"/>
          </w:tcPr>
          <w:p w14:paraId="3BB51A11"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The abundance of both equity and debt, low cost of finance, low vacancy rates and as such a need for more developments, </w:t>
            </w:r>
          </w:p>
        </w:tc>
      </w:tr>
      <w:tr w:rsidR="00CD6352" w:rsidRPr="00BA64C3" w14:paraId="46DF3003" w14:textId="77777777" w:rsidTr="00CD6352">
        <w:trPr>
          <w:trHeight w:val="249"/>
        </w:trPr>
        <w:tc>
          <w:tcPr>
            <w:tcW w:w="1413" w:type="dxa"/>
          </w:tcPr>
          <w:p w14:paraId="33160FAC"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Germany Mgr 5</w:t>
            </w:r>
          </w:p>
        </w:tc>
        <w:tc>
          <w:tcPr>
            <w:tcW w:w="7603" w:type="dxa"/>
          </w:tcPr>
          <w:p w14:paraId="7063FC9E"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Experience working with lenders</w:t>
            </w:r>
          </w:p>
        </w:tc>
      </w:tr>
      <w:tr w:rsidR="00CD6352" w:rsidRPr="00BA64C3" w14:paraId="1795FBB2" w14:textId="77777777" w:rsidTr="00CD6352">
        <w:trPr>
          <w:trHeight w:val="205"/>
        </w:trPr>
        <w:tc>
          <w:tcPr>
            <w:tcW w:w="1413" w:type="dxa"/>
          </w:tcPr>
          <w:p w14:paraId="7B41AB3E"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Germany Mgr6</w:t>
            </w:r>
          </w:p>
        </w:tc>
        <w:tc>
          <w:tcPr>
            <w:tcW w:w="7603" w:type="dxa"/>
          </w:tcPr>
          <w:p w14:paraId="215366A8"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Good track records and  personal guarantees</w:t>
            </w:r>
          </w:p>
        </w:tc>
      </w:tr>
      <w:tr w:rsidR="00CD6352" w:rsidRPr="00BA64C3" w14:paraId="600D97E6" w14:textId="77777777" w:rsidTr="00CD6352">
        <w:tc>
          <w:tcPr>
            <w:tcW w:w="1413" w:type="dxa"/>
          </w:tcPr>
          <w:p w14:paraId="6FE5AC22"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Mgr1</w:t>
            </w:r>
          </w:p>
        </w:tc>
        <w:tc>
          <w:tcPr>
            <w:tcW w:w="7603" w:type="dxa"/>
          </w:tcPr>
          <w:p w14:paraId="590997B3"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Government support to first-time homeowners;</w:t>
            </w:r>
          </w:p>
        </w:tc>
      </w:tr>
      <w:tr w:rsidR="00CD6352" w:rsidRPr="00BA64C3" w14:paraId="6E5B5E53" w14:textId="77777777" w:rsidTr="00CD6352">
        <w:tc>
          <w:tcPr>
            <w:tcW w:w="1413" w:type="dxa"/>
          </w:tcPr>
          <w:p w14:paraId="048945A6"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 2</w:t>
            </w:r>
          </w:p>
        </w:tc>
        <w:tc>
          <w:tcPr>
            <w:tcW w:w="7603" w:type="dxa"/>
          </w:tcPr>
          <w:p w14:paraId="2141A4C8"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Big portfolio investment in real estates in Europe</w:t>
            </w:r>
          </w:p>
        </w:tc>
      </w:tr>
      <w:tr w:rsidR="00CD6352" w:rsidRPr="00BA64C3" w14:paraId="6D3B2DD9" w14:textId="77777777" w:rsidTr="00CD6352">
        <w:tc>
          <w:tcPr>
            <w:tcW w:w="1413" w:type="dxa"/>
          </w:tcPr>
          <w:p w14:paraId="423E95E8"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Mgr3</w:t>
            </w:r>
          </w:p>
        </w:tc>
        <w:tc>
          <w:tcPr>
            <w:tcW w:w="7603" w:type="dxa"/>
          </w:tcPr>
          <w:p w14:paraId="7609B394"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An understanding of the investor’s profile and what they want to invest in </w:t>
            </w:r>
          </w:p>
        </w:tc>
      </w:tr>
      <w:tr w:rsidR="00CD6352" w:rsidRPr="00BA64C3" w14:paraId="48D0210D" w14:textId="77777777" w:rsidTr="00CD6352">
        <w:tc>
          <w:tcPr>
            <w:tcW w:w="1413" w:type="dxa"/>
          </w:tcPr>
          <w:p w14:paraId="125ACC0E"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 4</w:t>
            </w:r>
          </w:p>
        </w:tc>
        <w:tc>
          <w:tcPr>
            <w:tcW w:w="7603" w:type="dxa"/>
          </w:tcPr>
          <w:p w14:paraId="4052F00E"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Companies large asset base</w:t>
            </w:r>
          </w:p>
        </w:tc>
      </w:tr>
      <w:tr w:rsidR="00CD6352" w:rsidRPr="00BA64C3" w14:paraId="706A3D28" w14:textId="77777777" w:rsidTr="00CD6352">
        <w:trPr>
          <w:trHeight w:val="267"/>
        </w:trPr>
        <w:tc>
          <w:tcPr>
            <w:tcW w:w="1413" w:type="dxa"/>
          </w:tcPr>
          <w:p w14:paraId="7390D300"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Mgr5</w:t>
            </w:r>
          </w:p>
        </w:tc>
        <w:tc>
          <w:tcPr>
            <w:tcW w:w="7603" w:type="dxa"/>
          </w:tcPr>
          <w:p w14:paraId="15FB9AB1"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 Land secured at nil upfront cost and grants for infrastructure</w:t>
            </w:r>
          </w:p>
        </w:tc>
      </w:tr>
      <w:tr w:rsidR="00CD6352" w:rsidRPr="00BA64C3" w14:paraId="60A6FD45" w14:textId="77777777" w:rsidTr="00CD6352">
        <w:tc>
          <w:tcPr>
            <w:tcW w:w="1413" w:type="dxa"/>
          </w:tcPr>
          <w:p w14:paraId="36B924F6"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Mgr6</w:t>
            </w:r>
          </w:p>
        </w:tc>
        <w:tc>
          <w:tcPr>
            <w:tcW w:w="7603" w:type="dxa"/>
          </w:tcPr>
          <w:p w14:paraId="77CBCDE7"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Demographic change in the UK which is a growing population, and an ageing population seeking pretentious housing</w:t>
            </w:r>
          </w:p>
        </w:tc>
      </w:tr>
      <w:tr w:rsidR="00CD6352" w:rsidRPr="00BA64C3" w14:paraId="30C2A509" w14:textId="77777777" w:rsidTr="00CD6352">
        <w:tc>
          <w:tcPr>
            <w:tcW w:w="1413" w:type="dxa"/>
          </w:tcPr>
          <w:p w14:paraId="014F1EB4"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UK Mgr7</w:t>
            </w:r>
          </w:p>
        </w:tc>
        <w:tc>
          <w:tcPr>
            <w:tcW w:w="7603" w:type="dxa"/>
          </w:tcPr>
          <w:p w14:paraId="5359A2AD"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Involvement in large real estate deals </w:t>
            </w:r>
          </w:p>
        </w:tc>
      </w:tr>
      <w:tr w:rsidR="00CD6352" w:rsidRPr="00BA64C3" w14:paraId="2FF35412" w14:textId="77777777" w:rsidTr="00CD6352">
        <w:trPr>
          <w:trHeight w:val="410"/>
        </w:trPr>
        <w:tc>
          <w:tcPr>
            <w:tcW w:w="1413" w:type="dxa"/>
          </w:tcPr>
          <w:p w14:paraId="36421593"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US Mgr1</w:t>
            </w:r>
          </w:p>
        </w:tc>
        <w:tc>
          <w:tcPr>
            <w:tcW w:w="7603" w:type="dxa"/>
          </w:tcPr>
          <w:p w14:paraId="204270EF" w14:textId="755E04EF" w:rsidR="00CD6352" w:rsidRPr="00BA64C3" w:rsidRDefault="00CD6352" w:rsidP="00CD6352">
            <w:pPr>
              <w:jc w:val="both"/>
              <w:rPr>
                <w:rFonts w:ascii="Arial" w:hAnsi="Arial" w:cs="Arial"/>
                <w:sz w:val="16"/>
                <w:szCs w:val="16"/>
              </w:rPr>
            </w:pPr>
            <w:r w:rsidRPr="00BA64C3">
              <w:rPr>
                <w:rFonts w:ascii="Arial" w:hAnsi="Arial" w:cs="Arial"/>
                <w:sz w:val="16"/>
                <w:szCs w:val="16"/>
              </w:rPr>
              <w:t>Availability of finance for existing properties with a steady cash flow and properties in gateway cities where the market metrics are strong.</w:t>
            </w:r>
          </w:p>
        </w:tc>
      </w:tr>
      <w:tr w:rsidR="00CD6352" w:rsidRPr="00BA64C3" w14:paraId="74A53F13" w14:textId="77777777" w:rsidTr="00CD6352">
        <w:tc>
          <w:tcPr>
            <w:tcW w:w="1413" w:type="dxa"/>
          </w:tcPr>
          <w:p w14:paraId="24ED08D0"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US Mgr2</w:t>
            </w:r>
          </w:p>
        </w:tc>
        <w:tc>
          <w:tcPr>
            <w:tcW w:w="7603" w:type="dxa"/>
          </w:tcPr>
          <w:p w14:paraId="3477D7F9"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Access to capital and low-interest rate</w:t>
            </w:r>
          </w:p>
        </w:tc>
      </w:tr>
      <w:tr w:rsidR="00CD6352" w:rsidRPr="00BA64C3" w14:paraId="5773D520" w14:textId="77777777" w:rsidTr="00CD6352">
        <w:tc>
          <w:tcPr>
            <w:tcW w:w="1413" w:type="dxa"/>
          </w:tcPr>
          <w:p w14:paraId="0271B105"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US Mgr3</w:t>
            </w:r>
          </w:p>
        </w:tc>
        <w:tc>
          <w:tcPr>
            <w:tcW w:w="7603" w:type="dxa"/>
          </w:tcPr>
          <w:p w14:paraId="5EA0BCB2"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An increasing trend in the development of senior housing, an increase in demand for multi-family apartments, increasing demand for rental properties, an increase in modular housing, an increase in demand for workforce housing</w:t>
            </w:r>
          </w:p>
        </w:tc>
      </w:tr>
      <w:tr w:rsidR="00CD6352" w:rsidRPr="00BA64C3" w14:paraId="461813A6" w14:textId="77777777" w:rsidTr="00CD6352">
        <w:tc>
          <w:tcPr>
            <w:tcW w:w="1413" w:type="dxa"/>
          </w:tcPr>
          <w:p w14:paraId="11C42304"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US Mgr 4</w:t>
            </w:r>
          </w:p>
        </w:tc>
        <w:tc>
          <w:tcPr>
            <w:tcW w:w="7603" w:type="dxa"/>
          </w:tcPr>
          <w:p w14:paraId="2C8003A1" w14:textId="7E4B44C3"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Excellent track record with both equity &amp; debt investors and established relationship with different partners and </w:t>
            </w:r>
            <w:r w:rsidR="00C85705">
              <w:rPr>
                <w:rFonts w:ascii="Arial" w:hAnsi="Arial" w:cs="Arial"/>
                <w:sz w:val="16"/>
                <w:szCs w:val="16"/>
              </w:rPr>
              <w:t xml:space="preserve">a </w:t>
            </w:r>
            <w:r w:rsidRPr="00BA64C3">
              <w:rPr>
                <w:rFonts w:ascii="Arial" w:hAnsi="Arial" w:cs="Arial"/>
                <w:sz w:val="16"/>
                <w:szCs w:val="16"/>
              </w:rPr>
              <w:t xml:space="preserve">new opportunity with crowdfunding </w:t>
            </w:r>
          </w:p>
        </w:tc>
      </w:tr>
    </w:tbl>
    <w:p w14:paraId="24B6B12E" w14:textId="12A8A562" w:rsidR="00CD6352" w:rsidRDefault="00CD6352" w:rsidP="00CD6352">
      <w:pPr>
        <w:spacing w:line="360" w:lineRule="auto"/>
        <w:jc w:val="both"/>
        <w:rPr>
          <w:rFonts w:ascii="Arial" w:hAnsi="Arial" w:cs="Arial"/>
          <w:i/>
          <w:iCs/>
          <w:sz w:val="16"/>
          <w:szCs w:val="16"/>
        </w:rPr>
      </w:pPr>
    </w:p>
    <w:p w14:paraId="6ADD4996" w14:textId="465CE70B" w:rsidR="00C85705" w:rsidRDefault="00C85705" w:rsidP="00CD6352">
      <w:pPr>
        <w:spacing w:line="360" w:lineRule="auto"/>
        <w:jc w:val="both"/>
        <w:rPr>
          <w:rFonts w:ascii="Arial" w:hAnsi="Arial" w:cs="Arial"/>
          <w:i/>
          <w:iCs/>
          <w:sz w:val="16"/>
          <w:szCs w:val="16"/>
        </w:rPr>
      </w:pPr>
    </w:p>
    <w:p w14:paraId="75186C08" w14:textId="77777777" w:rsidR="00C85705" w:rsidRDefault="00C85705" w:rsidP="00CD6352">
      <w:pPr>
        <w:spacing w:line="360" w:lineRule="auto"/>
        <w:jc w:val="both"/>
        <w:rPr>
          <w:rFonts w:ascii="Arial" w:hAnsi="Arial" w:cs="Arial"/>
          <w:i/>
          <w:iCs/>
          <w:sz w:val="16"/>
          <w:szCs w:val="16"/>
        </w:rPr>
      </w:pPr>
    </w:p>
    <w:p w14:paraId="7722BDED" w14:textId="086178AD" w:rsidR="00BA64C3" w:rsidRPr="00BA64C3" w:rsidRDefault="00BA64C3" w:rsidP="00BA64C3">
      <w:pPr>
        <w:pStyle w:val="Caption"/>
        <w:keepNext/>
        <w:rPr>
          <w:rFonts w:ascii="Arial" w:hAnsi="Arial" w:cs="Arial"/>
          <w:sz w:val="16"/>
          <w:szCs w:val="16"/>
        </w:rPr>
      </w:pPr>
      <w:bookmarkStart w:id="1233" w:name="_Toc78983994"/>
      <w:r w:rsidRPr="00BA64C3">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6</w:t>
      </w:r>
      <w:r w:rsidR="008F25B1">
        <w:rPr>
          <w:rFonts w:ascii="Arial" w:hAnsi="Arial" w:cs="Arial"/>
          <w:sz w:val="16"/>
          <w:szCs w:val="16"/>
        </w:rPr>
        <w:fldChar w:fldCharType="end"/>
      </w:r>
      <w:r w:rsidRPr="00BA64C3">
        <w:rPr>
          <w:rFonts w:ascii="Arial" w:hAnsi="Arial" w:cs="Arial"/>
          <w:sz w:val="16"/>
          <w:szCs w:val="16"/>
        </w:rPr>
        <w:t xml:space="preserve">: Opportunities challenges for securing finance for real estate project development in emerging </w:t>
      </w:r>
      <w:r w:rsidR="00B7316E" w:rsidRPr="00BA64C3">
        <w:rPr>
          <w:rFonts w:ascii="Arial" w:hAnsi="Arial" w:cs="Arial"/>
          <w:sz w:val="16"/>
          <w:szCs w:val="16"/>
        </w:rPr>
        <w:t>economies.</w:t>
      </w:r>
      <w:bookmarkEnd w:id="1233"/>
    </w:p>
    <w:tbl>
      <w:tblPr>
        <w:tblStyle w:val="TableGrid"/>
        <w:tblW w:w="0" w:type="auto"/>
        <w:tblLook w:val="04A0" w:firstRow="1" w:lastRow="0" w:firstColumn="1" w:lastColumn="0" w:noHBand="0" w:noVBand="1"/>
      </w:tblPr>
      <w:tblGrid>
        <w:gridCol w:w="1555"/>
        <w:gridCol w:w="7461"/>
      </w:tblGrid>
      <w:tr w:rsidR="00CD6352" w:rsidRPr="00BA64C3" w14:paraId="4DD7C9DF" w14:textId="77777777" w:rsidTr="00CD6352">
        <w:tc>
          <w:tcPr>
            <w:tcW w:w="1555" w:type="dxa"/>
          </w:tcPr>
          <w:p w14:paraId="20A8E887" w14:textId="77777777" w:rsidR="00CD6352" w:rsidRPr="00BA64C3" w:rsidRDefault="00CD6352" w:rsidP="00CD6352">
            <w:pPr>
              <w:jc w:val="both"/>
              <w:rPr>
                <w:rFonts w:ascii="Arial" w:hAnsi="Arial" w:cs="Arial"/>
                <w:b/>
                <w:sz w:val="16"/>
                <w:szCs w:val="16"/>
              </w:rPr>
            </w:pPr>
            <w:r w:rsidRPr="00BA64C3">
              <w:rPr>
                <w:rFonts w:ascii="Arial" w:hAnsi="Arial" w:cs="Arial"/>
                <w:b/>
                <w:sz w:val="16"/>
                <w:szCs w:val="16"/>
              </w:rPr>
              <w:t>Countries &amp; Manager</w:t>
            </w:r>
          </w:p>
        </w:tc>
        <w:tc>
          <w:tcPr>
            <w:tcW w:w="7461" w:type="dxa"/>
          </w:tcPr>
          <w:p w14:paraId="0AED54B8" w14:textId="77777777" w:rsidR="00CD6352" w:rsidRPr="00BA64C3" w:rsidRDefault="00CD6352" w:rsidP="00CD6352">
            <w:pPr>
              <w:jc w:val="both"/>
              <w:rPr>
                <w:rFonts w:ascii="Arial" w:hAnsi="Arial" w:cs="Arial"/>
                <w:b/>
                <w:sz w:val="16"/>
                <w:szCs w:val="16"/>
              </w:rPr>
            </w:pPr>
            <w:r w:rsidRPr="00BA64C3">
              <w:rPr>
                <w:rFonts w:ascii="Arial" w:hAnsi="Arial" w:cs="Arial"/>
                <w:b/>
                <w:sz w:val="16"/>
                <w:szCs w:val="16"/>
              </w:rPr>
              <w:t xml:space="preserve">Opportunities </w:t>
            </w:r>
          </w:p>
        </w:tc>
      </w:tr>
      <w:tr w:rsidR="00CD6352" w:rsidRPr="00BA64C3" w14:paraId="77405DFB" w14:textId="77777777" w:rsidTr="00CD6352">
        <w:tc>
          <w:tcPr>
            <w:tcW w:w="1555" w:type="dxa"/>
          </w:tcPr>
          <w:p w14:paraId="6A683E3C"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Mgr1</w:t>
            </w:r>
          </w:p>
        </w:tc>
        <w:tc>
          <w:tcPr>
            <w:tcW w:w="7461" w:type="dxa"/>
          </w:tcPr>
          <w:p w14:paraId="3C2875EA"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The central government funds Chinese developers, and so they have access to a direct pool of equity </w:t>
            </w:r>
          </w:p>
        </w:tc>
      </w:tr>
      <w:tr w:rsidR="00CD6352" w:rsidRPr="00BA64C3" w14:paraId="2C68C946" w14:textId="77777777" w:rsidTr="00CD6352">
        <w:trPr>
          <w:trHeight w:val="146"/>
        </w:trPr>
        <w:tc>
          <w:tcPr>
            <w:tcW w:w="1555" w:type="dxa"/>
          </w:tcPr>
          <w:p w14:paraId="7B626D6D"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Mgr2</w:t>
            </w:r>
          </w:p>
        </w:tc>
        <w:tc>
          <w:tcPr>
            <w:tcW w:w="7461" w:type="dxa"/>
          </w:tcPr>
          <w:p w14:paraId="0A0CE98F"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Developers combine the construction of industrial, commercial, residential and health care centres</w:t>
            </w:r>
          </w:p>
        </w:tc>
      </w:tr>
      <w:tr w:rsidR="00CD6352" w:rsidRPr="00BA64C3" w14:paraId="34692B6F" w14:textId="77777777" w:rsidTr="00CD6352">
        <w:trPr>
          <w:trHeight w:val="390"/>
        </w:trPr>
        <w:tc>
          <w:tcPr>
            <w:tcW w:w="1555" w:type="dxa"/>
          </w:tcPr>
          <w:p w14:paraId="4AFE505B"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 3</w:t>
            </w:r>
          </w:p>
        </w:tc>
        <w:tc>
          <w:tcPr>
            <w:tcW w:w="7461" w:type="dxa"/>
          </w:tcPr>
          <w:p w14:paraId="195D894E" w14:textId="775DD702"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A long-standing relationship with existing bankers and senior lenders and quick access to finance in countries where these banks have coverage at reasonable interest rates.  </w:t>
            </w:r>
          </w:p>
        </w:tc>
      </w:tr>
      <w:tr w:rsidR="00CD6352" w:rsidRPr="00BA64C3" w14:paraId="5AFC7EC2" w14:textId="77777777" w:rsidTr="00CD6352">
        <w:tc>
          <w:tcPr>
            <w:tcW w:w="1555" w:type="dxa"/>
          </w:tcPr>
          <w:p w14:paraId="41B420B5"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Mgr4</w:t>
            </w:r>
          </w:p>
        </w:tc>
        <w:tc>
          <w:tcPr>
            <w:tcW w:w="7461" w:type="dxa"/>
          </w:tcPr>
          <w:p w14:paraId="3657A25C"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Favourable interest rates and long-standing relationship with financiers</w:t>
            </w:r>
          </w:p>
        </w:tc>
      </w:tr>
      <w:tr w:rsidR="00CD6352" w:rsidRPr="00BA64C3" w14:paraId="032749F8" w14:textId="77777777" w:rsidTr="00CD6352">
        <w:tc>
          <w:tcPr>
            <w:tcW w:w="1555" w:type="dxa"/>
          </w:tcPr>
          <w:p w14:paraId="2397C26D"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Mgr5</w:t>
            </w:r>
          </w:p>
        </w:tc>
        <w:tc>
          <w:tcPr>
            <w:tcW w:w="7461" w:type="dxa"/>
          </w:tcPr>
          <w:p w14:paraId="100AA34C"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Favourable interest rates and long-standing relationship with financiers</w:t>
            </w:r>
          </w:p>
        </w:tc>
      </w:tr>
      <w:tr w:rsidR="00CD6352" w:rsidRPr="00BA64C3" w14:paraId="49AFCDE1" w14:textId="77777777" w:rsidTr="00CD6352">
        <w:tc>
          <w:tcPr>
            <w:tcW w:w="1555" w:type="dxa"/>
          </w:tcPr>
          <w:p w14:paraId="154D5AC8"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Mgr6</w:t>
            </w:r>
          </w:p>
        </w:tc>
        <w:tc>
          <w:tcPr>
            <w:tcW w:w="7461" w:type="dxa"/>
          </w:tcPr>
          <w:p w14:paraId="53A05A2A"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Favourable interest rates and long-standing relationship with financiers</w:t>
            </w:r>
          </w:p>
        </w:tc>
      </w:tr>
      <w:tr w:rsidR="00CD6352" w:rsidRPr="00BA64C3" w14:paraId="06986E4D" w14:textId="77777777" w:rsidTr="00CD6352">
        <w:tc>
          <w:tcPr>
            <w:tcW w:w="1555" w:type="dxa"/>
          </w:tcPr>
          <w:p w14:paraId="787A1BA8"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China Mgr7</w:t>
            </w:r>
          </w:p>
        </w:tc>
        <w:tc>
          <w:tcPr>
            <w:tcW w:w="7461" w:type="dxa"/>
          </w:tcPr>
          <w:p w14:paraId="7F8403F3"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Existing markets for office retail and logistics sectors and key 2</w:t>
            </w:r>
            <w:r w:rsidRPr="00BA64C3">
              <w:rPr>
                <w:rFonts w:ascii="Arial" w:hAnsi="Arial" w:cs="Arial"/>
                <w:sz w:val="16"/>
                <w:szCs w:val="16"/>
                <w:vertAlign w:val="superscript"/>
              </w:rPr>
              <w:t>nd</w:t>
            </w:r>
            <w:r w:rsidRPr="00BA64C3">
              <w:rPr>
                <w:rFonts w:ascii="Arial" w:hAnsi="Arial" w:cs="Arial"/>
                <w:sz w:val="16"/>
                <w:szCs w:val="16"/>
              </w:rPr>
              <w:t xml:space="preserve"> tier cities across China</w:t>
            </w:r>
          </w:p>
        </w:tc>
      </w:tr>
      <w:tr w:rsidR="00CD6352" w:rsidRPr="00BA64C3" w14:paraId="3AA710FC" w14:textId="77777777" w:rsidTr="00CD6352">
        <w:tc>
          <w:tcPr>
            <w:tcW w:w="1555" w:type="dxa"/>
          </w:tcPr>
          <w:p w14:paraId="20CC3E8A"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Nigeria Mgr1</w:t>
            </w:r>
          </w:p>
        </w:tc>
        <w:tc>
          <w:tcPr>
            <w:tcW w:w="7461" w:type="dxa"/>
          </w:tcPr>
          <w:p w14:paraId="5688014F"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No opportunities</w:t>
            </w:r>
          </w:p>
        </w:tc>
      </w:tr>
      <w:tr w:rsidR="00CD6352" w:rsidRPr="00BA64C3" w14:paraId="3678B8A0" w14:textId="77777777" w:rsidTr="00CD6352">
        <w:tc>
          <w:tcPr>
            <w:tcW w:w="1555" w:type="dxa"/>
          </w:tcPr>
          <w:p w14:paraId="364372DB"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Nigeria Mgr2</w:t>
            </w:r>
          </w:p>
        </w:tc>
        <w:tc>
          <w:tcPr>
            <w:tcW w:w="7461" w:type="dxa"/>
          </w:tcPr>
          <w:p w14:paraId="549A1732"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No opportunities </w:t>
            </w:r>
          </w:p>
        </w:tc>
      </w:tr>
      <w:tr w:rsidR="00CD6352" w:rsidRPr="00BA64C3" w14:paraId="3F9001D4" w14:textId="77777777" w:rsidTr="00CD6352">
        <w:tc>
          <w:tcPr>
            <w:tcW w:w="1555" w:type="dxa"/>
          </w:tcPr>
          <w:p w14:paraId="504F9556"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Nigeria Mgr3</w:t>
            </w:r>
          </w:p>
        </w:tc>
        <w:tc>
          <w:tcPr>
            <w:tcW w:w="7461" w:type="dxa"/>
          </w:tcPr>
          <w:p w14:paraId="1820DB76" w14:textId="529EBCA8"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The government provides mortgage financing, but it is difficult to access because of corruption of the officials, </w:t>
            </w:r>
            <w:r w:rsidR="00BA64C3">
              <w:rPr>
                <w:rFonts w:ascii="Arial" w:hAnsi="Arial" w:cs="Arial"/>
                <w:sz w:val="16"/>
                <w:szCs w:val="16"/>
              </w:rPr>
              <w:t xml:space="preserve">the </w:t>
            </w:r>
            <w:r w:rsidRPr="00BA64C3">
              <w:rPr>
                <w:rFonts w:ascii="Arial" w:hAnsi="Arial" w:cs="Arial"/>
                <w:sz w:val="16"/>
                <w:szCs w:val="16"/>
              </w:rPr>
              <w:t xml:space="preserve">potentials of cheaper imports from China and </w:t>
            </w:r>
            <w:r w:rsidR="00BA64C3">
              <w:rPr>
                <w:rFonts w:ascii="Arial" w:hAnsi="Arial" w:cs="Arial"/>
                <w:sz w:val="16"/>
                <w:szCs w:val="16"/>
              </w:rPr>
              <w:t xml:space="preserve">the </w:t>
            </w:r>
            <w:r w:rsidRPr="00BA64C3">
              <w:rPr>
                <w:rFonts w:ascii="Arial" w:hAnsi="Arial" w:cs="Arial"/>
                <w:sz w:val="16"/>
                <w:szCs w:val="16"/>
              </w:rPr>
              <w:t xml:space="preserve">existence of off-takers </w:t>
            </w:r>
          </w:p>
        </w:tc>
      </w:tr>
      <w:tr w:rsidR="00CD6352" w:rsidRPr="00BA64C3" w14:paraId="69A69EED" w14:textId="77777777" w:rsidTr="00CD6352">
        <w:tc>
          <w:tcPr>
            <w:tcW w:w="1555" w:type="dxa"/>
          </w:tcPr>
          <w:p w14:paraId="12A2F231"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Nigeria Mgr4</w:t>
            </w:r>
          </w:p>
        </w:tc>
        <w:tc>
          <w:tcPr>
            <w:tcW w:w="7461" w:type="dxa"/>
          </w:tcPr>
          <w:p w14:paraId="103202EB"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None</w:t>
            </w:r>
          </w:p>
        </w:tc>
      </w:tr>
      <w:tr w:rsidR="00CD6352" w:rsidRPr="00BA64C3" w14:paraId="1D863BD3" w14:textId="77777777" w:rsidTr="00CD6352">
        <w:tc>
          <w:tcPr>
            <w:tcW w:w="1555" w:type="dxa"/>
          </w:tcPr>
          <w:p w14:paraId="382BD4B9"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Nigeria Mgr 5</w:t>
            </w:r>
          </w:p>
        </w:tc>
        <w:tc>
          <w:tcPr>
            <w:tcW w:w="7461" w:type="dxa"/>
          </w:tcPr>
          <w:p w14:paraId="048C82E5"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High demand for housing </w:t>
            </w:r>
          </w:p>
        </w:tc>
      </w:tr>
      <w:tr w:rsidR="00CD6352" w:rsidRPr="00BA64C3" w14:paraId="785F253B" w14:textId="77777777" w:rsidTr="00CD6352">
        <w:tc>
          <w:tcPr>
            <w:tcW w:w="1555" w:type="dxa"/>
          </w:tcPr>
          <w:p w14:paraId="41B1BCB5"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Nigeria Mgr6</w:t>
            </w:r>
          </w:p>
        </w:tc>
        <w:tc>
          <w:tcPr>
            <w:tcW w:w="7461" w:type="dxa"/>
          </w:tcPr>
          <w:p w14:paraId="5AA1484A"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Track records</w:t>
            </w:r>
          </w:p>
        </w:tc>
      </w:tr>
      <w:tr w:rsidR="00CD6352" w:rsidRPr="00BA64C3" w14:paraId="2E9F7106" w14:textId="77777777" w:rsidTr="00CD6352">
        <w:tc>
          <w:tcPr>
            <w:tcW w:w="1555" w:type="dxa"/>
          </w:tcPr>
          <w:p w14:paraId="75244D47"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South Africa Mgr 1</w:t>
            </w:r>
          </w:p>
        </w:tc>
        <w:tc>
          <w:tcPr>
            <w:tcW w:w="7461" w:type="dxa"/>
          </w:tcPr>
          <w:p w14:paraId="0CB59EF2"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No opportunities</w:t>
            </w:r>
          </w:p>
        </w:tc>
      </w:tr>
      <w:tr w:rsidR="00CD6352" w:rsidRPr="00BA64C3" w14:paraId="49C643AE" w14:textId="77777777" w:rsidTr="00CD6352">
        <w:tc>
          <w:tcPr>
            <w:tcW w:w="1555" w:type="dxa"/>
          </w:tcPr>
          <w:p w14:paraId="35BFB51E"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lastRenderedPageBreak/>
              <w:t>South Africa Mgr2</w:t>
            </w:r>
          </w:p>
        </w:tc>
        <w:tc>
          <w:tcPr>
            <w:tcW w:w="7461" w:type="dxa"/>
          </w:tcPr>
          <w:p w14:paraId="169413BF"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Commercial property development finance/ funding in South  Africa(TUHF)</w:t>
            </w:r>
          </w:p>
        </w:tc>
      </w:tr>
      <w:tr w:rsidR="00CD6352" w:rsidRPr="00BA64C3" w14:paraId="61750F7A" w14:textId="77777777" w:rsidTr="00CD6352">
        <w:tc>
          <w:tcPr>
            <w:tcW w:w="1555" w:type="dxa"/>
          </w:tcPr>
          <w:p w14:paraId="561F3404"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South Africa Mgr3</w:t>
            </w:r>
          </w:p>
        </w:tc>
        <w:tc>
          <w:tcPr>
            <w:tcW w:w="7461" w:type="dxa"/>
          </w:tcPr>
          <w:p w14:paraId="061B5413"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 xml:space="preserve">Many opportunities for project development </w:t>
            </w:r>
          </w:p>
        </w:tc>
      </w:tr>
      <w:tr w:rsidR="00CD6352" w:rsidRPr="00BA64C3" w14:paraId="16A19310" w14:textId="77777777" w:rsidTr="00CD6352">
        <w:tc>
          <w:tcPr>
            <w:tcW w:w="1555" w:type="dxa"/>
          </w:tcPr>
          <w:p w14:paraId="62DFAC76"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South Africa Mgr4</w:t>
            </w:r>
          </w:p>
        </w:tc>
        <w:tc>
          <w:tcPr>
            <w:tcW w:w="7461" w:type="dxa"/>
          </w:tcPr>
          <w:p w14:paraId="39E80F59" w14:textId="77777777" w:rsidR="00CD6352" w:rsidRPr="00BA64C3" w:rsidRDefault="00CD6352" w:rsidP="00CD6352">
            <w:pPr>
              <w:jc w:val="both"/>
              <w:rPr>
                <w:rFonts w:ascii="Arial" w:hAnsi="Arial" w:cs="Arial"/>
                <w:sz w:val="16"/>
                <w:szCs w:val="16"/>
              </w:rPr>
            </w:pPr>
            <w:r w:rsidRPr="00BA64C3">
              <w:rPr>
                <w:rFonts w:ascii="Arial" w:hAnsi="Arial" w:cs="Arial"/>
                <w:sz w:val="16"/>
                <w:szCs w:val="16"/>
              </w:rPr>
              <w:t>Access to private equity funding and  development funding institutions  (DFI)</w:t>
            </w:r>
          </w:p>
        </w:tc>
      </w:tr>
    </w:tbl>
    <w:p w14:paraId="4F939C76" w14:textId="77777777" w:rsidR="00CD6352" w:rsidRPr="00BA64C3" w:rsidRDefault="00CD6352" w:rsidP="00CD6352">
      <w:pPr>
        <w:spacing w:line="360" w:lineRule="auto"/>
        <w:jc w:val="both"/>
        <w:rPr>
          <w:rFonts w:ascii="Arial" w:hAnsi="Arial" w:cs="Arial"/>
          <w:sz w:val="16"/>
          <w:szCs w:val="16"/>
        </w:rPr>
      </w:pPr>
      <w:r w:rsidRPr="00BA64C3">
        <w:rPr>
          <w:rFonts w:ascii="Arial" w:hAnsi="Arial" w:cs="Arial"/>
          <w:sz w:val="16"/>
          <w:szCs w:val="16"/>
        </w:rPr>
        <w:t>Author’s compilation (2019)</w:t>
      </w:r>
    </w:p>
    <w:p w14:paraId="6CE637ED" w14:textId="55AF17C3" w:rsidR="00CD6352" w:rsidRDefault="00CD6352" w:rsidP="00CD6352">
      <w:pPr>
        <w:spacing w:line="360" w:lineRule="auto"/>
        <w:jc w:val="both"/>
        <w:rPr>
          <w:rFonts w:ascii="Arial" w:hAnsi="Arial" w:cs="Arial"/>
        </w:rPr>
      </w:pPr>
      <w:r w:rsidRPr="00EA7665">
        <w:rPr>
          <w:rFonts w:ascii="Arial" w:hAnsi="Arial" w:cs="Arial"/>
        </w:rPr>
        <w:t xml:space="preserve">The interviews </w:t>
      </w:r>
      <w:r>
        <w:rPr>
          <w:rFonts w:ascii="Arial" w:hAnsi="Arial" w:cs="Arial"/>
        </w:rPr>
        <w:t>demonstrate</w:t>
      </w:r>
      <w:r w:rsidRPr="00EA7665">
        <w:rPr>
          <w:rFonts w:ascii="Arial" w:hAnsi="Arial" w:cs="Arial"/>
        </w:rPr>
        <w:t xml:space="preserve"> that managers </w:t>
      </w:r>
      <w:r>
        <w:rPr>
          <w:rFonts w:ascii="Arial" w:hAnsi="Arial" w:cs="Arial"/>
        </w:rPr>
        <w:t xml:space="preserve">in </w:t>
      </w:r>
      <w:r w:rsidRPr="00EA7665">
        <w:rPr>
          <w:rFonts w:ascii="Arial" w:hAnsi="Arial" w:cs="Arial"/>
        </w:rPr>
        <w:t xml:space="preserve">both the developed and emerging economies agree that there is a high demand for </w:t>
      </w:r>
      <w:r w:rsidR="003E674F" w:rsidRPr="00EA7665">
        <w:rPr>
          <w:rFonts w:ascii="Arial" w:hAnsi="Arial" w:cs="Arial"/>
        </w:rPr>
        <w:t>housing,</w:t>
      </w:r>
      <w:r w:rsidRPr="00EA7665">
        <w:rPr>
          <w:rFonts w:ascii="Arial" w:hAnsi="Arial" w:cs="Arial"/>
        </w:rPr>
        <w:t xml:space="preserve"> and this is an opportunity associated with securing finance for real estate project development. The intervie</w:t>
      </w:r>
      <w:r>
        <w:rPr>
          <w:rFonts w:ascii="Arial" w:hAnsi="Arial" w:cs="Arial"/>
        </w:rPr>
        <w:t>ws</w:t>
      </w:r>
      <w:r w:rsidRPr="00EA7665">
        <w:rPr>
          <w:rFonts w:ascii="Arial" w:hAnsi="Arial" w:cs="Arial"/>
        </w:rPr>
        <w:t xml:space="preserve"> revealed that the developed economies of Germany, </w:t>
      </w:r>
      <w:r w:rsidR="00D53DAE">
        <w:rPr>
          <w:rFonts w:ascii="Arial" w:hAnsi="Arial" w:cs="Arial"/>
        </w:rPr>
        <w:t xml:space="preserve">the </w:t>
      </w:r>
      <w:r w:rsidRPr="00EA7665">
        <w:rPr>
          <w:rFonts w:ascii="Arial" w:hAnsi="Arial" w:cs="Arial"/>
        </w:rPr>
        <w:t xml:space="preserve">UK and </w:t>
      </w:r>
      <w:r w:rsidR="00D53DAE">
        <w:rPr>
          <w:rFonts w:ascii="Arial" w:hAnsi="Arial" w:cs="Arial"/>
        </w:rPr>
        <w:t xml:space="preserve">the </w:t>
      </w:r>
      <w:r w:rsidRPr="00EA7665">
        <w:rPr>
          <w:rFonts w:ascii="Arial" w:hAnsi="Arial" w:cs="Arial"/>
        </w:rPr>
        <w:t xml:space="preserve">US are international markets for real estate investments with large portfolios in real estate investments and hence very attractive to international investors. </w:t>
      </w:r>
      <w:r>
        <w:rPr>
          <w:rFonts w:ascii="Arial" w:hAnsi="Arial" w:cs="Arial"/>
        </w:rPr>
        <w:t xml:space="preserve">The interview also </w:t>
      </w:r>
      <w:r w:rsidRPr="00EA7665">
        <w:rPr>
          <w:rFonts w:ascii="Arial" w:hAnsi="Arial" w:cs="Arial"/>
        </w:rPr>
        <w:t xml:space="preserve">shows that there </w:t>
      </w:r>
      <w:r>
        <w:rPr>
          <w:rFonts w:ascii="Arial" w:hAnsi="Arial" w:cs="Arial"/>
        </w:rPr>
        <w:t>are</w:t>
      </w:r>
      <w:r w:rsidRPr="00EA7665">
        <w:rPr>
          <w:rFonts w:ascii="Arial" w:hAnsi="Arial" w:cs="Arial"/>
        </w:rPr>
        <w:t xml:space="preserve"> central government funds and direct access to </w:t>
      </w:r>
      <w:r>
        <w:rPr>
          <w:rFonts w:ascii="Arial" w:hAnsi="Arial" w:cs="Arial"/>
        </w:rPr>
        <w:t xml:space="preserve">a </w:t>
      </w:r>
      <w:r w:rsidRPr="00EA7665">
        <w:rPr>
          <w:rFonts w:ascii="Arial" w:hAnsi="Arial" w:cs="Arial"/>
        </w:rPr>
        <w:t>pool of equity in China which are all opportunities for managers with respect to accessing finance for real estate project development. Managers in the developed economies and China also consider low</w:t>
      </w:r>
      <w:r w:rsidR="00D53DAE">
        <w:rPr>
          <w:rFonts w:ascii="Arial" w:hAnsi="Arial" w:cs="Arial"/>
        </w:rPr>
        <w:t>-</w:t>
      </w:r>
      <w:r w:rsidRPr="00EA7665">
        <w:rPr>
          <w:rFonts w:ascii="Arial" w:hAnsi="Arial" w:cs="Arial"/>
        </w:rPr>
        <w:t xml:space="preserve">interest rates as opportunities available to them for securing finance for project development. </w:t>
      </w:r>
    </w:p>
    <w:p w14:paraId="56FC6FDD" w14:textId="1DA8AA8A" w:rsidR="00CD6352" w:rsidRPr="00EA7665" w:rsidRDefault="00CD6352" w:rsidP="00CD6352">
      <w:pPr>
        <w:spacing w:line="360" w:lineRule="auto"/>
        <w:jc w:val="both"/>
        <w:rPr>
          <w:rFonts w:ascii="Arial" w:hAnsi="Arial" w:cs="Arial"/>
        </w:rPr>
      </w:pPr>
      <w:r w:rsidRPr="00EA7665">
        <w:rPr>
          <w:rFonts w:ascii="Arial" w:hAnsi="Arial" w:cs="Arial"/>
        </w:rPr>
        <w:t xml:space="preserve">However, </w:t>
      </w:r>
      <w:r w:rsidR="005C67EF">
        <w:rPr>
          <w:rFonts w:ascii="Arial" w:hAnsi="Arial" w:cs="Arial"/>
        </w:rPr>
        <w:t>despite attesting to the fact that there is a large market for real estate, managers in Nigeria</w:t>
      </w:r>
      <w:r w:rsidRPr="00EA7665">
        <w:rPr>
          <w:rFonts w:ascii="Arial" w:hAnsi="Arial" w:cs="Arial"/>
        </w:rPr>
        <w:t xml:space="preserve"> do not consider that there are notable opportunities for accessing finance. The </w:t>
      </w:r>
      <w:r w:rsidR="005C67EF">
        <w:rPr>
          <w:rFonts w:ascii="Arial" w:hAnsi="Arial" w:cs="Arial"/>
        </w:rPr>
        <w:t>matured economy's political and social stability builds investors’ confidence and reduces market risk, which</w:t>
      </w:r>
      <w:r w:rsidRPr="00EA7665">
        <w:rPr>
          <w:rFonts w:ascii="Arial" w:hAnsi="Arial" w:cs="Arial"/>
        </w:rPr>
        <w:t xml:space="preserve"> largely constitutes an opportunity (Nurick et al., 2017). Conversely, the instability experienced politically and socially in some emerging economies makes them not as opened as the developed economies for investment purposes, and this largely affects access and </w:t>
      </w:r>
      <w:r>
        <w:rPr>
          <w:rFonts w:ascii="Arial" w:hAnsi="Arial" w:cs="Arial"/>
        </w:rPr>
        <w:t xml:space="preserve">the </w:t>
      </w:r>
      <w:r w:rsidRPr="00EA7665">
        <w:rPr>
          <w:rFonts w:ascii="Arial" w:hAnsi="Arial" w:cs="Arial"/>
        </w:rPr>
        <w:t xml:space="preserve">cost of finance for real estate project development. </w:t>
      </w:r>
      <w:r>
        <w:rPr>
          <w:rFonts w:ascii="Arial" w:hAnsi="Arial" w:cs="Arial"/>
        </w:rPr>
        <w:t>The quotes below from some of the managers interviewed reflect this position.</w:t>
      </w:r>
    </w:p>
    <w:p w14:paraId="2D5C595D" w14:textId="4C14E779" w:rsidR="00CD6352" w:rsidRPr="00EA7665" w:rsidRDefault="00CD6352" w:rsidP="00CD6352">
      <w:pPr>
        <w:spacing w:line="360" w:lineRule="auto"/>
        <w:ind w:left="720"/>
        <w:jc w:val="both"/>
        <w:rPr>
          <w:rFonts w:ascii="Arial" w:hAnsi="Arial" w:cs="Arial"/>
          <w:i/>
        </w:rPr>
      </w:pPr>
      <w:r w:rsidRPr="00EA7665">
        <w:rPr>
          <w:rFonts w:ascii="Arial" w:hAnsi="Arial" w:cs="Arial"/>
          <w:i/>
        </w:rPr>
        <w:t xml:space="preserve"> “In countries like Germany</w:t>
      </w:r>
      <w:r w:rsidR="00456D46">
        <w:rPr>
          <w:rFonts w:ascii="Arial" w:hAnsi="Arial" w:cs="Arial"/>
          <w:i/>
        </w:rPr>
        <w:t>,</w:t>
      </w:r>
      <w:r w:rsidRPr="00EA7665">
        <w:rPr>
          <w:rFonts w:ascii="Arial" w:hAnsi="Arial" w:cs="Arial"/>
          <w:i/>
        </w:rPr>
        <w:t xml:space="preserve"> it has not been very challenging at all because there is a very deep funding market for senior loans and there it is quite easy to get debt; you also get better margins from German debts” Germany Mgr 3.</w:t>
      </w:r>
    </w:p>
    <w:p w14:paraId="4ADD03B9" w14:textId="77777777" w:rsidR="00CD6352" w:rsidRPr="00EA7665" w:rsidRDefault="00CD6352" w:rsidP="00CD6352">
      <w:pPr>
        <w:spacing w:line="360" w:lineRule="auto"/>
        <w:jc w:val="both"/>
        <w:rPr>
          <w:rFonts w:ascii="Arial" w:hAnsi="Arial" w:cs="Arial"/>
        </w:rPr>
      </w:pPr>
      <w:r w:rsidRPr="00EA7665">
        <w:rPr>
          <w:rFonts w:ascii="Arial" w:hAnsi="Arial" w:cs="Arial"/>
        </w:rPr>
        <w:t xml:space="preserve">The interview shows that Germany has a very robust market for funding from senior loans, and they have matured banking sectors that are familiar with real estate. Some of the managers interviewed who operate both in the UK and Germany claim they have better access to finance in Germany than in the United Kingdom. </w:t>
      </w:r>
    </w:p>
    <w:p w14:paraId="1BE4C03A" w14:textId="77777777" w:rsidR="00CD6352" w:rsidRPr="00EA7665" w:rsidRDefault="00CD6352" w:rsidP="00CD6352">
      <w:pPr>
        <w:spacing w:line="360" w:lineRule="auto"/>
        <w:ind w:left="720"/>
        <w:jc w:val="both"/>
        <w:rPr>
          <w:rFonts w:ascii="Arial" w:hAnsi="Arial" w:cs="Arial"/>
        </w:rPr>
      </w:pPr>
      <w:r w:rsidRPr="00EA7665">
        <w:rPr>
          <w:rFonts w:ascii="Arial" w:hAnsi="Arial" w:cs="Arial"/>
        </w:rPr>
        <w:t>“</w:t>
      </w:r>
      <w:r w:rsidRPr="00EA7665">
        <w:rPr>
          <w:rFonts w:ascii="Arial" w:hAnsi="Arial" w:cs="Arial"/>
          <w:i/>
        </w:rPr>
        <w:t xml:space="preserve">Germany has local savings banks </w:t>
      </w:r>
      <w:r>
        <w:rPr>
          <w:rFonts w:ascii="Arial" w:hAnsi="Arial" w:cs="Arial"/>
          <w:i/>
        </w:rPr>
        <w:t>that</w:t>
      </w:r>
      <w:r w:rsidRPr="00EA7665">
        <w:rPr>
          <w:rFonts w:ascii="Arial" w:hAnsi="Arial" w:cs="Arial"/>
          <w:i/>
        </w:rPr>
        <w:t xml:space="preserve"> financ</w:t>
      </w:r>
      <w:r>
        <w:rPr>
          <w:rFonts w:ascii="Arial" w:hAnsi="Arial" w:cs="Arial"/>
          <w:i/>
        </w:rPr>
        <w:t xml:space="preserve">e </w:t>
      </w:r>
      <w:r w:rsidRPr="00EA7665">
        <w:rPr>
          <w:rFonts w:ascii="Arial" w:hAnsi="Arial" w:cs="Arial"/>
          <w:i/>
        </w:rPr>
        <w:t xml:space="preserve">projects in their areas. These local banks know the local market and provide good margins because they understand the risk. The banking sector in the UK is very centralised, and you do not have local savings banks.  The UK does not have local banks, the banks </w:t>
      </w:r>
      <w:r>
        <w:rPr>
          <w:rFonts w:ascii="Arial" w:hAnsi="Arial" w:cs="Arial"/>
          <w:i/>
        </w:rPr>
        <w:t xml:space="preserve">in the UK </w:t>
      </w:r>
      <w:r w:rsidRPr="00EA7665">
        <w:rPr>
          <w:rFonts w:ascii="Arial" w:hAnsi="Arial" w:cs="Arial"/>
          <w:i/>
        </w:rPr>
        <w:t>are highly risk-averse, and the skills sets of the lending officer are comparatively very poor when it comes to real estat</w:t>
      </w:r>
      <w:r>
        <w:rPr>
          <w:rFonts w:ascii="Arial" w:hAnsi="Arial" w:cs="Arial"/>
          <w:i/>
        </w:rPr>
        <w:t>e</w:t>
      </w:r>
      <w:r w:rsidRPr="00EA7665">
        <w:rPr>
          <w:rFonts w:ascii="Arial" w:hAnsi="Arial" w:cs="Arial"/>
          <w:i/>
        </w:rPr>
        <w:t>”</w:t>
      </w:r>
      <w:r w:rsidRPr="00EA7665">
        <w:rPr>
          <w:rFonts w:ascii="Arial" w:hAnsi="Arial" w:cs="Arial"/>
        </w:rPr>
        <w:t xml:space="preserve"> (Germany Mgr3). </w:t>
      </w:r>
    </w:p>
    <w:p w14:paraId="31AF39C1" w14:textId="77777777" w:rsidR="00CD6352" w:rsidRPr="00EA7665" w:rsidRDefault="00CD6352" w:rsidP="00CD6352">
      <w:pPr>
        <w:spacing w:line="360" w:lineRule="auto"/>
        <w:ind w:left="720"/>
        <w:jc w:val="both"/>
        <w:rPr>
          <w:rFonts w:ascii="Arial" w:hAnsi="Arial" w:cs="Arial"/>
        </w:rPr>
      </w:pPr>
      <w:r w:rsidRPr="00EA7665">
        <w:rPr>
          <w:rFonts w:ascii="Arial" w:hAnsi="Arial" w:cs="Arial"/>
        </w:rPr>
        <w:lastRenderedPageBreak/>
        <w:t>“</w:t>
      </w:r>
      <w:r w:rsidRPr="00EA7665">
        <w:rPr>
          <w:rFonts w:ascii="Arial" w:hAnsi="Arial" w:cs="Arial"/>
          <w:i/>
        </w:rPr>
        <w:t>Access to capital is not a challenge in Germany. Capital is abundant, both equity and debt in Germany</w:t>
      </w:r>
      <w:r>
        <w:rPr>
          <w:rFonts w:ascii="Arial" w:hAnsi="Arial" w:cs="Arial"/>
          <w:i/>
        </w:rPr>
        <w:t xml:space="preserve"> </w:t>
      </w:r>
      <w:r w:rsidRPr="00EA7665">
        <w:rPr>
          <w:rFonts w:ascii="Arial" w:hAnsi="Arial" w:cs="Arial"/>
        </w:rPr>
        <w:t>” (Germany Mgr4)</w:t>
      </w:r>
    </w:p>
    <w:p w14:paraId="2A475BEF" w14:textId="3FADEF9A" w:rsidR="00CD6352" w:rsidRPr="00EA7665" w:rsidRDefault="00C2346B" w:rsidP="00CD6352">
      <w:pPr>
        <w:spacing w:line="360" w:lineRule="auto"/>
        <w:jc w:val="both"/>
        <w:rPr>
          <w:rFonts w:ascii="Arial" w:hAnsi="Arial" w:cs="Arial"/>
        </w:rPr>
      </w:pPr>
      <w:r>
        <w:rPr>
          <w:rFonts w:ascii="Arial" w:hAnsi="Arial" w:cs="Arial"/>
        </w:rPr>
        <w:t>Based on the interview, a notable opportunity in the UK</w:t>
      </w:r>
      <w:r w:rsidR="00CD6352" w:rsidRPr="00EA7665">
        <w:rPr>
          <w:rFonts w:ascii="Arial" w:hAnsi="Arial" w:cs="Arial"/>
        </w:rPr>
        <w:t xml:space="preserve"> is government support for first-time homeowners, </w:t>
      </w:r>
      <w:r w:rsidR="005C67EF">
        <w:rPr>
          <w:rFonts w:ascii="Arial" w:hAnsi="Arial" w:cs="Arial"/>
        </w:rPr>
        <w:t>which positively impacts the developers' income</w:t>
      </w:r>
      <w:r w:rsidR="00CD6352" w:rsidRPr="00EA7665">
        <w:rPr>
          <w:rFonts w:ascii="Arial" w:hAnsi="Arial" w:cs="Arial"/>
        </w:rPr>
        <w:t xml:space="preserve">. Once a first-time buyer has some percentage of the cost of the house, the government could add 20% to aid the individual </w:t>
      </w:r>
      <w:r w:rsidR="00CD6352">
        <w:rPr>
          <w:rFonts w:ascii="Arial" w:hAnsi="Arial" w:cs="Arial"/>
        </w:rPr>
        <w:t>in</w:t>
      </w:r>
      <w:r w:rsidR="00CD6352" w:rsidRPr="00EA7665">
        <w:rPr>
          <w:rFonts w:ascii="Arial" w:hAnsi="Arial" w:cs="Arial"/>
        </w:rPr>
        <w:t xml:space="preserve"> buying the house. Furthermore, the interview shows that the UK and Germany have very robust pension funds that invest in the real estate sector, which is an opportunity. However, these pension funds may need to liquidate an investment earlier than anticipated, and this may pose an obstacle to them wanting to </w:t>
      </w:r>
      <w:r w:rsidR="00CD6352">
        <w:rPr>
          <w:rFonts w:ascii="Arial" w:hAnsi="Arial" w:cs="Arial"/>
        </w:rPr>
        <w:t>invest</w:t>
      </w:r>
      <w:r w:rsidR="00CD6352" w:rsidRPr="00EA7665">
        <w:rPr>
          <w:rFonts w:ascii="Arial" w:hAnsi="Arial" w:cs="Arial"/>
        </w:rPr>
        <w:t xml:space="preserve"> in real estate project development because of its </w:t>
      </w:r>
      <w:r w:rsidR="00917926" w:rsidRPr="00EA7665">
        <w:rPr>
          <w:rFonts w:ascii="Arial" w:hAnsi="Arial" w:cs="Arial"/>
        </w:rPr>
        <w:t>long-term</w:t>
      </w:r>
      <w:r w:rsidR="00CD6352" w:rsidRPr="00EA7665">
        <w:rPr>
          <w:rFonts w:ascii="Arial" w:hAnsi="Arial" w:cs="Arial"/>
        </w:rPr>
        <w:t xml:space="preserve"> nature. </w:t>
      </w:r>
    </w:p>
    <w:p w14:paraId="0E9EA9DB" w14:textId="77777777" w:rsidR="00CD6352" w:rsidRPr="00EA7665" w:rsidRDefault="00CD6352" w:rsidP="00CD6352">
      <w:pPr>
        <w:spacing w:line="360" w:lineRule="auto"/>
        <w:jc w:val="both"/>
        <w:rPr>
          <w:rFonts w:ascii="Arial" w:hAnsi="Arial" w:cs="Arial"/>
        </w:rPr>
      </w:pPr>
      <w:r w:rsidRPr="00EA7665">
        <w:rPr>
          <w:rFonts w:ascii="Arial" w:hAnsi="Arial" w:cs="Arial"/>
        </w:rPr>
        <w:t>The managers interviewed in the US also claim they do not have challenges accessing finance for real estate project development. US Mgr2 plays actively in both the UK and US markets. He is</w:t>
      </w:r>
      <w:r>
        <w:rPr>
          <w:rFonts w:ascii="Arial" w:hAnsi="Arial" w:cs="Arial"/>
        </w:rPr>
        <w:t xml:space="preserve"> of</w:t>
      </w:r>
      <w:r w:rsidRPr="00EA7665">
        <w:rPr>
          <w:rFonts w:ascii="Arial" w:hAnsi="Arial" w:cs="Arial"/>
        </w:rPr>
        <w:t xml:space="preserve"> the opinion that the BREXIT vote is an opportunity for the property market in some sense because it has helped to calm the market down as the price was increasing similarly to the rise in property prices, which preceded the 2007/2008 global financial crisis. </w:t>
      </w:r>
    </w:p>
    <w:p w14:paraId="77E6FBB7" w14:textId="132A0BB5" w:rsidR="00CD6352" w:rsidRPr="00EA7665" w:rsidRDefault="00CD6352" w:rsidP="00CD6352">
      <w:pPr>
        <w:spacing w:line="360" w:lineRule="auto"/>
        <w:jc w:val="both"/>
        <w:rPr>
          <w:rFonts w:ascii="Arial" w:hAnsi="Arial" w:cs="Arial"/>
        </w:rPr>
      </w:pPr>
      <w:r w:rsidRPr="00EA7665">
        <w:rPr>
          <w:rFonts w:ascii="Arial" w:hAnsi="Arial" w:cs="Arial"/>
        </w:rPr>
        <w:t xml:space="preserve">According to US Mgr. 3, more people in the US </w:t>
      </w:r>
      <w:r w:rsidR="00456D46">
        <w:rPr>
          <w:rFonts w:ascii="Arial" w:hAnsi="Arial" w:cs="Arial"/>
        </w:rPr>
        <w:t>spend 45% to 65% of their income on housing, which</w:t>
      </w:r>
      <w:r w:rsidRPr="00EA7665">
        <w:rPr>
          <w:rFonts w:ascii="Arial" w:hAnsi="Arial" w:cs="Arial"/>
        </w:rPr>
        <w:t xml:space="preserve"> is termed “housing- caused burden”. Consequently, this provides a strong opportunity for managers in the real estate sector to secure finance for project development, considering that </w:t>
      </w:r>
      <w:r>
        <w:rPr>
          <w:rFonts w:ascii="Arial" w:hAnsi="Arial" w:cs="Arial"/>
        </w:rPr>
        <w:t xml:space="preserve">the </w:t>
      </w:r>
      <w:r w:rsidRPr="00EA7665">
        <w:rPr>
          <w:rFonts w:ascii="Arial" w:hAnsi="Arial" w:cs="Arial"/>
        </w:rPr>
        <w:t xml:space="preserve">demand </w:t>
      </w:r>
      <w:r>
        <w:rPr>
          <w:rFonts w:ascii="Arial" w:hAnsi="Arial" w:cs="Arial"/>
        </w:rPr>
        <w:t xml:space="preserve">for housing in the US </w:t>
      </w:r>
      <w:r w:rsidRPr="00EA7665">
        <w:rPr>
          <w:rFonts w:ascii="Arial" w:hAnsi="Arial" w:cs="Arial"/>
        </w:rPr>
        <w:t>outweighs supply</w:t>
      </w:r>
      <w:r>
        <w:rPr>
          <w:rFonts w:ascii="Arial" w:hAnsi="Arial" w:cs="Arial"/>
        </w:rPr>
        <w:t>.</w:t>
      </w:r>
      <w:r w:rsidRPr="00EA7665">
        <w:rPr>
          <w:rFonts w:ascii="Arial" w:hAnsi="Arial" w:cs="Arial"/>
        </w:rPr>
        <w:t xml:space="preserve"> This finding is in line with existing literature</w:t>
      </w:r>
      <w:r w:rsidR="005C67EF">
        <w:rPr>
          <w:rFonts w:ascii="Arial" w:hAnsi="Arial" w:cs="Arial"/>
        </w:rPr>
        <w:t>, which show</w:t>
      </w:r>
      <w:r w:rsidRPr="00EA7665">
        <w:rPr>
          <w:rFonts w:ascii="Arial" w:hAnsi="Arial" w:cs="Arial"/>
        </w:rPr>
        <w:t xml:space="preserve">s a global increase in population with a commensurate need for housing (Simire, 2017). </w:t>
      </w:r>
    </w:p>
    <w:p w14:paraId="73538E6B" w14:textId="71C2E50F" w:rsidR="00CD6352" w:rsidRPr="00EA7665" w:rsidRDefault="00CD6352" w:rsidP="00CD6352">
      <w:pPr>
        <w:spacing w:line="360" w:lineRule="auto"/>
        <w:jc w:val="both"/>
        <w:rPr>
          <w:rFonts w:ascii="Arial" w:hAnsi="Arial" w:cs="Arial"/>
        </w:rPr>
      </w:pPr>
      <w:r w:rsidRPr="00EA7665">
        <w:rPr>
          <w:rFonts w:ascii="Arial" w:hAnsi="Arial" w:cs="Arial"/>
        </w:rPr>
        <w:t xml:space="preserve">Other opportunities associated with securing finance for real estate development mentioned by managers in China include </w:t>
      </w:r>
      <w:r w:rsidR="00131480">
        <w:rPr>
          <w:rFonts w:ascii="Arial" w:hAnsi="Arial" w:cs="Arial"/>
        </w:rPr>
        <w:t xml:space="preserve">a </w:t>
      </w:r>
      <w:r w:rsidRPr="00EA7665">
        <w:rPr>
          <w:rFonts w:ascii="Arial" w:hAnsi="Arial" w:cs="Arial"/>
        </w:rPr>
        <w:t>long</w:t>
      </w:r>
      <w:r w:rsidR="00131480">
        <w:rPr>
          <w:rFonts w:ascii="Arial" w:hAnsi="Arial" w:cs="Arial"/>
        </w:rPr>
        <w:t>-</w:t>
      </w:r>
      <w:r w:rsidRPr="00EA7665">
        <w:rPr>
          <w:rFonts w:ascii="Arial" w:hAnsi="Arial" w:cs="Arial"/>
        </w:rPr>
        <w:t>standing relationship with financiers,</w:t>
      </w:r>
      <w:r w:rsidRPr="00EA7665">
        <w:t xml:space="preserve"> </w:t>
      </w:r>
      <w:r w:rsidRPr="00EA7665">
        <w:rPr>
          <w:rFonts w:ascii="Arial" w:hAnsi="Arial" w:cs="Arial"/>
        </w:rPr>
        <w:t>existing markets for office retail and logistics sectors</w:t>
      </w:r>
      <w:r w:rsidR="005C67EF">
        <w:rPr>
          <w:rFonts w:ascii="Arial" w:hAnsi="Arial" w:cs="Arial"/>
        </w:rPr>
        <w:t>, and key 2nd tier cities across China, which</w:t>
      </w:r>
      <w:r w:rsidRPr="00EA7665">
        <w:rPr>
          <w:rFonts w:ascii="Arial" w:hAnsi="Arial" w:cs="Arial"/>
        </w:rPr>
        <w:t xml:space="preserve"> is consistent with existing literature (Liu, 2004 &amp; Zhou, 2019).</w:t>
      </w:r>
    </w:p>
    <w:p w14:paraId="678B9149" w14:textId="04C67242" w:rsidR="00CD6352" w:rsidRPr="00EA7665" w:rsidRDefault="00CD6352" w:rsidP="00CD6352">
      <w:pPr>
        <w:spacing w:line="360" w:lineRule="auto"/>
        <w:jc w:val="both"/>
        <w:rPr>
          <w:rFonts w:ascii="Arial" w:hAnsi="Arial" w:cs="Arial"/>
        </w:rPr>
      </w:pPr>
      <w:r w:rsidRPr="00EA7665">
        <w:rPr>
          <w:rFonts w:ascii="Arial" w:hAnsi="Arial" w:cs="Arial"/>
        </w:rPr>
        <w:t xml:space="preserve">Managers in Nigeria said they do not have significant opportunities associated with securing finance for real estate project development. They claim the federal mortgage bank would have been considered as an opportunity associated with securing finance for real estate project </w:t>
      </w:r>
      <w:r w:rsidR="00A67D6A" w:rsidRPr="00EA7665">
        <w:rPr>
          <w:rFonts w:ascii="Arial" w:hAnsi="Arial" w:cs="Arial"/>
        </w:rPr>
        <w:t>development,</w:t>
      </w:r>
      <w:r w:rsidRPr="00EA7665">
        <w:rPr>
          <w:rFonts w:ascii="Arial" w:hAnsi="Arial" w:cs="Arial"/>
        </w:rPr>
        <w:t xml:space="preserve"> but they complained that it is difficult getting funds from the bank. </w:t>
      </w:r>
    </w:p>
    <w:p w14:paraId="70518571" w14:textId="2006B7C3" w:rsidR="00CD6352" w:rsidRDefault="00CD6352" w:rsidP="00CD6352">
      <w:pPr>
        <w:spacing w:line="360" w:lineRule="auto"/>
        <w:ind w:left="720"/>
        <w:jc w:val="both"/>
        <w:rPr>
          <w:rFonts w:ascii="Arial" w:hAnsi="Arial" w:cs="Arial"/>
          <w:i/>
        </w:rPr>
      </w:pPr>
      <w:r w:rsidRPr="00EA7665">
        <w:rPr>
          <w:rFonts w:ascii="Arial" w:hAnsi="Arial" w:cs="Arial"/>
        </w:rPr>
        <w:t xml:space="preserve"> “</w:t>
      </w:r>
      <w:r w:rsidRPr="00EA7665">
        <w:rPr>
          <w:rFonts w:ascii="Arial" w:hAnsi="Arial" w:cs="Arial"/>
          <w:i/>
        </w:rPr>
        <w:t xml:space="preserve">The Estate development loan is meant to come from the federal mortgage bank, but this is difficult to access. It is difficult also to access funding from the federal mortgage bank because the competition is very stiff. You could put in an application and may have to wait up to 6 years to access funding. We have </w:t>
      </w:r>
      <w:r>
        <w:rPr>
          <w:rFonts w:ascii="Arial" w:hAnsi="Arial" w:cs="Arial"/>
          <w:i/>
        </w:rPr>
        <w:t xml:space="preserve">frequently </w:t>
      </w:r>
      <w:r w:rsidRPr="00EA7665">
        <w:rPr>
          <w:rFonts w:ascii="Arial" w:hAnsi="Arial" w:cs="Arial"/>
          <w:i/>
        </w:rPr>
        <w:t xml:space="preserve">attempted to get loans from the government but have never secured any loan in our 15 years of operations “. </w:t>
      </w:r>
    </w:p>
    <w:p w14:paraId="02793DC9" w14:textId="77777777" w:rsidR="00CD6352" w:rsidRPr="00CC6C4D" w:rsidRDefault="00CD6352" w:rsidP="00CD6352">
      <w:pPr>
        <w:spacing w:line="360" w:lineRule="auto"/>
        <w:jc w:val="both"/>
        <w:rPr>
          <w:rFonts w:ascii="Arial" w:hAnsi="Arial" w:cs="Arial"/>
          <w:iCs/>
        </w:rPr>
      </w:pPr>
      <w:r w:rsidRPr="00CC6C4D">
        <w:rPr>
          <w:rFonts w:ascii="Arial" w:hAnsi="Arial" w:cs="Arial"/>
          <w:iCs/>
        </w:rPr>
        <w:lastRenderedPageBreak/>
        <w:t>Most of the interviewees claim there are no opportunities that facilitate their access to finance for real estate project development in Nigeria.</w:t>
      </w:r>
    </w:p>
    <w:p w14:paraId="0043F3B5" w14:textId="7BA2C22D" w:rsidR="00CD6352" w:rsidRPr="00EA7665" w:rsidRDefault="00AE1B15" w:rsidP="00CD6352">
      <w:pPr>
        <w:spacing w:line="360" w:lineRule="auto"/>
        <w:jc w:val="both"/>
        <w:rPr>
          <w:rFonts w:ascii="Arial" w:hAnsi="Arial" w:cs="Arial"/>
        </w:rPr>
      </w:pPr>
      <w:r>
        <w:rPr>
          <w:rFonts w:ascii="Arial" w:hAnsi="Arial" w:cs="Arial"/>
        </w:rPr>
        <w:t>Like some of Nigeria's managers, some managers in South Africa</w:t>
      </w:r>
      <w:r w:rsidR="00CD6352" w:rsidRPr="00EA7665">
        <w:rPr>
          <w:rFonts w:ascii="Arial" w:hAnsi="Arial" w:cs="Arial"/>
        </w:rPr>
        <w:t xml:space="preserve"> said they do not have significant opportunities associated with securing finance for real estate project development. However, some of the South African managers see commercial property development finance in South Africa (TUHF), the Johannesburg stock exchange and the Development funding institutions as significant opportunit</w:t>
      </w:r>
      <w:r w:rsidR="00CD6352">
        <w:rPr>
          <w:rFonts w:ascii="Arial" w:hAnsi="Arial" w:cs="Arial"/>
        </w:rPr>
        <w:t>ies</w:t>
      </w:r>
      <w:r w:rsidR="00CD6352" w:rsidRPr="00EA7665">
        <w:rPr>
          <w:rFonts w:ascii="Arial" w:hAnsi="Arial" w:cs="Arial"/>
        </w:rPr>
        <w:t xml:space="preserve"> for real estate property finance in South Africa because they encourage </w:t>
      </w:r>
      <w:r w:rsidR="00CD6352">
        <w:rPr>
          <w:rFonts w:ascii="Arial" w:hAnsi="Arial" w:cs="Arial"/>
        </w:rPr>
        <w:t xml:space="preserve">both new </w:t>
      </w:r>
      <w:r w:rsidR="00CD6352" w:rsidRPr="00EA7665">
        <w:rPr>
          <w:rFonts w:ascii="Arial" w:hAnsi="Arial" w:cs="Arial"/>
        </w:rPr>
        <w:t>developmen</w:t>
      </w:r>
      <w:r w:rsidR="00CD6352">
        <w:rPr>
          <w:rFonts w:ascii="Arial" w:hAnsi="Arial" w:cs="Arial"/>
        </w:rPr>
        <w:t xml:space="preserve">ts and the regeneration of older buildings in inner cities. </w:t>
      </w:r>
      <w:r w:rsidR="00CD6352" w:rsidRPr="00EA7665">
        <w:rPr>
          <w:rFonts w:ascii="Arial" w:hAnsi="Arial" w:cs="Arial"/>
        </w:rPr>
        <w:t xml:space="preserve"> </w:t>
      </w:r>
      <w:r w:rsidR="00CD6352">
        <w:rPr>
          <w:rFonts w:ascii="Arial" w:hAnsi="Arial" w:cs="Arial"/>
        </w:rPr>
        <w:t xml:space="preserve">They </w:t>
      </w:r>
      <w:r w:rsidR="00CD6352" w:rsidRPr="00EA7665">
        <w:rPr>
          <w:rFonts w:ascii="Arial" w:hAnsi="Arial" w:cs="Arial"/>
        </w:rPr>
        <w:t>also see the opportunities of several available projects for development as facilitators to securing finance.</w:t>
      </w:r>
    </w:p>
    <w:p w14:paraId="49E91643" w14:textId="60C3A50B" w:rsidR="00CD6352" w:rsidRPr="00EA7665" w:rsidRDefault="00CD6352" w:rsidP="00CD6352">
      <w:pPr>
        <w:pStyle w:val="Heading3"/>
        <w:spacing w:after="240"/>
        <w:rPr>
          <w:sz w:val="22"/>
          <w:szCs w:val="22"/>
        </w:rPr>
      </w:pPr>
      <w:bookmarkStart w:id="1234" w:name="_Toc78983877"/>
      <w:r>
        <w:rPr>
          <w:sz w:val="22"/>
          <w:szCs w:val="22"/>
        </w:rPr>
        <w:t>A c</w:t>
      </w:r>
      <w:r w:rsidRPr="00EA7665">
        <w:rPr>
          <w:sz w:val="22"/>
          <w:szCs w:val="22"/>
        </w:rPr>
        <w:t xml:space="preserve">omparison of the </w:t>
      </w:r>
      <w:r w:rsidR="006A56BC">
        <w:rPr>
          <w:sz w:val="22"/>
          <w:szCs w:val="22"/>
        </w:rPr>
        <w:t xml:space="preserve">opportunities associated with securing finance for real estate project development in the </w:t>
      </w:r>
      <w:r w:rsidRPr="00EA7665">
        <w:rPr>
          <w:sz w:val="22"/>
          <w:szCs w:val="22"/>
        </w:rPr>
        <w:t>developed and emerging economies</w:t>
      </w:r>
      <w:bookmarkEnd w:id="1234"/>
      <w:r w:rsidRPr="00EA7665">
        <w:rPr>
          <w:sz w:val="22"/>
          <w:szCs w:val="22"/>
        </w:rPr>
        <w:t xml:space="preserve"> </w:t>
      </w:r>
    </w:p>
    <w:p w14:paraId="0E07D8F6" w14:textId="7F658474" w:rsidR="00CD6352" w:rsidRPr="00EA7665" w:rsidRDefault="00CD6352" w:rsidP="00CD6352">
      <w:pPr>
        <w:spacing w:line="360" w:lineRule="auto"/>
        <w:rPr>
          <w:rFonts w:ascii="Arial" w:hAnsi="Arial" w:cs="Arial"/>
        </w:rPr>
      </w:pPr>
      <w:r w:rsidRPr="00EA7665">
        <w:rPr>
          <w:rFonts w:ascii="Arial" w:hAnsi="Arial" w:cs="Arial"/>
        </w:rPr>
        <w:t>The opportunities for securing</w:t>
      </w:r>
      <w:r>
        <w:rPr>
          <w:rFonts w:ascii="Arial" w:hAnsi="Arial" w:cs="Arial"/>
        </w:rPr>
        <w:t xml:space="preserve"> </w:t>
      </w:r>
      <w:r w:rsidRPr="00EA7665">
        <w:rPr>
          <w:rFonts w:ascii="Arial" w:hAnsi="Arial" w:cs="Arial"/>
        </w:rPr>
        <w:t>finance for real estate project development at the aggregate level for both the developed and emerging economies based on the questionnaire includes all the nineteen (19) factors listed</w:t>
      </w:r>
      <w:r w:rsidR="00A67D6A">
        <w:rPr>
          <w:rFonts w:ascii="Arial" w:hAnsi="Arial" w:cs="Arial"/>
        </w:rPr>
        <w:t xml:space="preserve"> in the </w:t>
      </w:r>
      <w:r w:rsidR="0038498F">
        <w:rPr>
          <w:rFonts w:ascii="Arial" w:hAnsi="Arial" w:cs="Arial"/>
        </w:rPr>
        <w:t xml:space="preserve">questionnaire, </w:t>
      </w:r>
      <w:r w:rsidR="0038498F" w:rsidRPr="00EA7665">
        <w:rPr>
          <w:rFonts w:ascii="Arial" w:hAnsi="Arial" w:cs="Arial"/>
        </w:rPr>
        <w:t>however</w:t>
      </w:r>
      <w:r w:rsidR="00131480">
        <w:rPr>
          <w:rFonts w:ascii="Arial" w:hAnsi="Arial" w:cs="Arial"/>
        </w:rPr>
        <w:t>,</w:t>
      </w:r>
      <w:r w:rsidRPr="00EA7665">
        <w:rPr>
          <w:rFonts w:ascii="Arial" w:hAnsi="Arial" w:cs="Arial"/>
        </w:rPr>
        <w:t xml:space="preserve"> </w:t>
      </w:r>
      <w:r>
        <w:rPr>
          <w:rFonts w:ascii="Arial" w:hAnsi="Arial" w:cs="Arial"/>
        </w:rPr>
        <w:t xml:space="preserve">there are </w:t>
      </w:r>
      <w:r w:rsidRPr="00EA7665">
        <w:rPr>
          <w:rFonts w:ascii="Arial" w:hAnsi="Arial" w:cs="Arial"/>
        </w:rPr>
        <w:t xml:space="preserve">differing rankings for the individual developed and emerging economies based on the mean values (see table </w:t>
      </w:r>
      <w:r w:rsidRPr="0038498F">
        <w:rPr>
          <w:rFonts w:ascii="Arial" w:hAnsi="Arial" w:cs="Arial"/>
        </w:rPr>
        <w:t>6.1</w:t>
      </w:r>
      <w:r w:rsidR="00BA69CE">
        <w:rPr>
          <w:rFonts w:ascii="Arial" w:hAnsi="Arial" w:cs="Arial"/>
        </w:rPr>
        <w:t>4</w:t>
      </w:r>
      <w:r w:rsidRPr="0038498F">
        <w:rPr>
          <w:rFonts w:ascii="Arial" w:hAnsi="Arial" w:cs="Arial"/>
        </w:rPr>
        <w:t>). Notably, all the managers</w:t>
      </w:r>
      <w:r w:rsidRPr="00EA7665">
        <w:rPr>
          <w:rFonts w:ascii="Arial" w:hAnsi="Arial" w:cs="Arial"/>
        </w:rPr>
        <w:t xml:space="preserve"> who responded to the survey questionnaire ranked amongst their five top factors</w:t>
      </w:r>
      <w:r>
        <w:rPr>
          <w:rFonts w:ascii="Arial" w:hAnsi="Arial" w:cs="Arial"/>
        </w:rPr>
        <w:t>,</w:t>
      </w:r>
      <w:r w:rsidRPr="00EA7665">
        <w:rPr>
          <w:rFonts w:ascii="Arial" w:hAnsi="Arial" w:cs="Arial"/>
        </w:rPr>
        <w:t xml:space="preserve"> </w:t>
      </w:r>
      <w:r>
        <w:rPr>
          <w:rFonts w:ascii="Arial" w:hAnsi="Arial" w:cs="Arial"/>
        </w:rPr>
        <w:t xml:space="preserve">which they </w:t>
      </w:r>
      <w:r w:rsidRPr="00EA7665">
        <w:rPr>
          <w:rFonts w:ascii="Arial" w:hAnsi="Arial" w:cs="Arial"/>
        </w:rPr>
        <w:t>considered a</w:t>
      </w:r>
      <w:r w:rsidR="005C67EF">
        <w:rPr>
          <w:rFonts w:ascii="Arial" w:hAnsi="Arial" w:cs="Arial"/>
        </w:rPr>
        <w:t>n opportunity to secure</w:t>
      </w:r>
      <w:r w:rsidRPr="00EA7665">
        <w:rPr>
          <w:rFonts w:ascii="Arial" w:hAnsi="Arial" w:cs="Arial"/>
        </w:rPr>
        <w:t xml:space="preserve"> finance for real estate project development, “growing demand in the property market”. The list below shows the ranking of </w:t>
      </w:r>
      <w:r>
        <w:rPr>
          <w:rFonts w:ascii="Arial" w:hAnsi="Arial" w:cs="Arial"/>
        </w:rPr>
        <w:t>the top five</w:t>
      </w:r>
      <w:r w:rsidRPr="00EA7665">
        <w:rPr>
          <w:rFonts w:ascii="Arial" w:hAnsi="Arial" w:cs="Arial"/>
        </w:rPr>
        <w:t xml:space="preserve"> factors at the aggregate level. </w:t>
      </w:r>
    </w:p>
    <w:p w14:paraId="5E1B09AA" w14:textId="77777777" w:rsidR="00CD6352" w:rsidRPr="00EA7665" w:rsidRDefault="00CD6352" w:rsidP="00C74AEC">
      <w:pPr>
        <w:pStyle w:val="ListParagraph"/>
        <w:numPr>
          <w:ilvl w:val="0"/>
          <w:numId w:val="123"/>
        </w:numPr>
        <w:spacing w:line="240" w:lineRule="auto"/>
        <w:rPr>
          <w:rFonts w:ascii="Arial" w:hAnsi="Arial" w:cs="Arial"/>
        </w:rPr>
      </w:pPr>
      <w:r w:rsidRPr="00EA7665">
        <w:rPr>
          <w:rFonts w:ascii="Arial" w:hAnsi="Arial" w:cs="Arial"/>
        </w:rPr>
        <w:t>Growing demand in the property market</w:t>
      </w:r>
    </w:p>
    <w:p w14:paraId="4E4EB6B8" w14:textId="77777777" w:rsidR="00CD6352" w:rsidRPr="00EA7665" w:rsidRDefault="00CD6352" w:rsidP="00C74AEC">
      <w:pPr>
        <w:pStyle w:val="ListParagraph"/>
        <w:numPr>
          <w:ilvl w:val="0"/>
          <w:numId w:val="123"/>
        </w:numPr>
        <w:spacing w:line="240" w:lineRule="auto"/>
        <w:rPr>
          <w:rFonts w:ascii="Arial" w:hAnsi="Arial" w:cs="Arial"/>
        </w:rPr>
      </w:pPr>
      <w:r w:rsidRPr="00EA7665">
        <w:rPr>
          <w:rFonts w:ascii="Arial" w:hAnsi="Arial" w:cs="Arial"/>
        </w:rPr>
        <w:t>Positive and sustained economic growth</w:t>
      </w:r>
    </w:p>
    <w:p w14:paraId="3CC48344" w14:textId="77777777" w:rsidR="00CD6352" w:rsidRPr="00EA7665" w:rsidRDefault="00CD6352" w:rsidP="00C74AEC">
      <w:pPr>
        <w:pStyle w:val="ListParagraph"/>
        <w:numPr>
          <w:ilvl w:val="0"/>
          <w:numId w:val="123"/>
        </w:numPr>
        <w:spacing w:line="240" w:lineRule="auto"/>
        <w:rPr>
          <w:rFonts w:ascii="Arial" w:hAnsi="Arial" w:cs="Arial"/>
        </w:rPr>
      </w:pPr>
      <w:r w:rsidRPr="00EA7665">
        <w:rPr>
          <w:rFonts w:ascii="Arial" w:hAnsi="Arial" w:cs="Arial"/>
        </w:rPr>
        <w:t>Availability of long-term funds</w:t>
      </w:r>
    </w:p>
    <w:p w14:paraId="59EC9A0C" w14:textId="77777777" w:rsidR="00CD6352" w:rsidRPr="00EA7665" w:rsidRDefault="00CD6352" w:rsidP="00C74AEC">
      <w:pPr>
        <w:pStyle w:val="ListParagraph"/>
        <w:numPr>
          <w:ilvl w:val="0"/>
          <w:numId w:val="123"/>
        </w:numPr>
        <w:spacing w:line="240" w:lineRule="auto"/>
        <w:rPr>
          <w:rFonts w:ascii="Arial" w:hAnsi="Arial" w:cs="Arial"/>
        </w:rPr>
      </w:pPr>
      <w:r w:rsidRPr="00EA7665">
        <w:rPr>
          <w:rFonts w:ascii="Arial" w:hAnsi="Arial" w:cs="Arial"/>
        </w:rPr>
        <w:t>Political stability</w:t>
      </w:r>
    </w:p>
    <w:p w14:paraId="64DEB019" w14:textId="77777777" w:rsidR="00CD6352" w:rsidRPr="00EA7665" w:rsidRDefault="00CD6352" w:rsidP="00C74AEC">
      <w:pPr>
        <w:pStyle w:val="ListParagraph"/>
        <w:numPr>
          <w:ilvl w:val="0"/>
          <w:numId w:val="123"/>
        </w:numPr>
        <w:spacing w:line="240" w:lineRule="auto"/>
        <w:rPr>
          <w:rFonts w:ascii="Arial" w:hAnsi="Arial" w:cs="Arial"/>
        </w:rPr>
      </w:pPr>
      <w:r w:rsidRPr="00EA7665">
        <w:rPr>
          <w:rFonts w:ascii="Arial" w:hAnsi="Arial" w:cs="Arial"/>
        </w:rPr>
        <w:t>Multiple finance sources</w:t>
      </w:r>
    </w:p>
    <w:p w14:paraId="4E16A4F2" w14:textId="43D8B2A8" w:rsidR="00CD6352" w:rsidRPr="00EA7665" w:rsidRDefault="00CD6352" w:rsidP="00CD6352">
      <w:pPr>
        <w:rPr>
          <w:rFonts w:ascii="Arial" w:hAnsi="Arial" w:cs="Arial"/>
        </w:rPr>
      </w:pPr>
      <w:r w:rsidRPr="00EA7665">
        <w:rPr>
          <w:rFonts w:ascii="Arial" w:hAnsi="Arial" w:cs="Arial"/>
        </w:rPr>
        <w:t>The factors which are considered as opportunities in common by managers in both the developed and emerging economies based on the semi-structured interviews are</w:t>
      </w:r>
      <w:r w:rsidR="00B7316E">
        <w:rPr>
          <w:rFonts w:ascii="Arial" w:hAnsi="Arial" w:cs="Arial"/>
        </w:rPr>
        <w:t xml:space="preserve"> h</w:t>
      </w:r>
      <w:r w:rsidR="00B7316E" w:rsidRPr="00B7316E">
        <w:rPr>
          <w:rFonts w:ascii="Arial" w:hAnsi="Arial" w:cs="Arial"/>
        </w:rPr>
        <w:t>igh demand for housing</w:t>
      </w:r>
      <w:r w:rsidR="00B7316E" w:rsidRPr="00B7316E">
        <w:t xml:space="preserve"> </w:t>
      </w:r>
      <w:r w:rsidR="00B7316E">
        <w:rPr>
          <w:rFonts w:ascii="Arial" w:hAnsi="Arial" w:cs="Arial"/>
        </w:rPr>
        <w:t>a</w:t>
      </w:r>
      <w:r w:rsidR="00B7316E" w:rsidRPr="00B7316E">
        <w:rPr>
          <w:rFonts w:ascii="Arial" w:hAnsi="Arial" w:cs="Arial"/>
        </w:rPr>
        <w:t>nd long-standing relationships with financiers.</w:t>
      </w:r>
    </w:p>
    <w:p w14:paraId="3397740C" w14:textId="74974748" w:rsidR="00CD6352" w:rsidRPr="00EA7665" w:rsidRDefault="00CD6352" w:rsidP="00CD6352">
      <w:pPr>
        <w:rPr>
          <w:rFonts w:ascii="Arial" w:hAnsi="Arial" w:cs="Arial"/>
        </w:rPr>
      </w:pPr>
      <w:r w:rsidRPr="00EA7665">
        <w:rPr>
          <w:rFonts w:ascii="Arial" w:hAnsi="Arial" w:cs="Arial"/>
        </w:rPr>
        <w:t>However, the five most cited opportunities associated with securing finance for real estate project development for the developed and emerging economies</w:t>
      </w:r>
      <w:r w:rsidR="005C67EF">
        <w:rPr>
          <w:rFonts w:ascii="Arial" w:hAnsi="Arial" w:cs="Arial"/>
        </w:rPr>
        <w:t>,</w:t>
      </w:r>
      <w:r w:rsidRPr="00EA7665">
        <w:rPr>
          <w:rFonts w:ascii="Arial" w:hAnsi="Arial" w:cs="Arial"/>
        </w:rPr>
        <w:t xml:space="preserve"> respectively are – </w:t>
      </w:r>
    </w:p>
    <w:p w14:paraId="544BAF60" w14:textId="77777777" w:rsidR="00CD6352" w:rsidRPr="00EA7665" w:rsidRDefault="00CD6352" w:rsidP="00CD6352">
      <w:pPr>
        <w:rPr>
          <w:rFonts w:ascii="Arial" w:hAnsi="Arial" w:cs="Arial"/>
          <w:b/>
        </w:rPr>
      </w:pPr>
      <w:r w:rsidRPr="00EA7665">
        <w:rPr>
          <w:rFonts w:ascii="Arial" w:hAnsi="Arial" w:cs="Arial"/>
          <w:b/>
        </w:rPr>
        <w:t xml:space="preserve">Developed economies: </w:t>
      </w:r>
    </w:p>
    <w:p w14:paraId="7693C67F" w14:textId="77777777" w:rsidR="00CD6352" w:rsidRPr="00EA7665" w:rsidRDefault="00CD6352" w:rsidP="007625E7">
      <w:pPr>
        <w:numPr>
          <w:ilvl w:val="0"/>
          <w:numId w:val="315"/>
        </w:numPr>
        <w:spacing w:after="0" w:line="360" w:lineRule="auto"/>
        <w:contextualSpacing/>
        <w:jc w:val="both"/>
        <w:rPr>
          <w:rFonts w:ascii="Arial" w:hAnsi="Arial" w:cs="Arial"/>
        </w:rPr>
      </w:pPr>
      <w:r w:rsidRPr="00EA7665">
        <w:rPr>
          <w:rFonts w:ascii="Arial" w:hAnsi="Arial" w:cs="Arial"/>
        </w:rPr>
        <w:t>An abundance of both equity and debt</w:t>
      </w:r>
    </w:p>
    <w:p w14:paraId="1E32E110" w14:textId="77777777" w:rsidR="00CD6352" w:rsidRPr="00EA7665" w:rsidRDefault="00CD6352" w:rsidP="007625E7">
      <w:pPr>
        <w:numPr>
          <w:ilvl w:val="0"/>
          <w:numId w:val="315"/>
        </w:numPr>
        <w:spacing w:after="0" w:line="360" w:lineRule="auto"/>
        <w:contextualSpacing/>
        <w:jc w:val="both"/>
        <w:rPr>
          <w:rFonts w:ascii="Arial" w:hAnsi="Arial" w:cs="Arial"/>
        </w:rPr>
      </w:pPr>
      <w:r w:rsidRPr="00EA7665">
        <w:rPr>
          <w:rFonts w:ascii="Arial" w:hAnsi="Arial" w:cs="Arial"/>
        </w:rPr>
        <w:t>Government support to first-time homeowners</w:t>
      </w:r>
    </w:p>
    <w:p w14:paraId="20F0DE15" w14:textId="77777777" w:rsidR="00CD6352" w:rsidRPr="00EA7665" w:rsidRDefault="00CD6352" w:rsidP="007625E7">
      <w:pPr>
        <w:numPr>
          <w:ilvl w:val="0"/>
          <w:numId w:val="315"/>
        </w:numPr>
        <w:spacing w:after="0" w:line="360" w:lineRule="auto"/>
        <w:contextualSpacing/>
        <w:jc w:val="both"/>
        <w:rPr>
          <w:rFonts w:ascii="Arial" w:hAnsi="Arial" w:cs="Arial"/>
        </w:rPr>
      </w:pPr>
      <w:r w:rsidRPr="00EA7665">
        <w:rPr>
          <w:rFonts w:ascii="Arial" w:hAnsi="Arial" w:cs="Arial"/>
        </w:rPr>
        <w:t>Increase in demand for housing</w:t>
      </w:r>
    </w:p>
    <w:p w14:paraId="5384991B" w14:textId="77777777" w:rsidR="00CD6352" w:rsidRPr="00EA7665" w:rsidRDefault="00CD6352" w:rsidP="007625E7">
      <w:pPr>
        <w:numPr>
          <w:ilvl w:val="0"/>
          <w:numId w:val="315"/>
        </w:numPr>
        <w:spacing w:after="0" w:line="360" w:lineRule="auto"/>
        <w:contextualSpacing/>
        <w:jc w:val="both"/>
        <w:rPr>
          <w:rFonts w:ascii="Arial" w:hAnsi="Arial" w:cs="Arial"/>
        </w:rPr>
      </w:pPr>
      <w:r w:rsidRPr="00EA7665">
        <w:rPr>
          <w:rFonts w:ascii="Arial" w:hAnsi="Arial" w:cs="Arial"/>
        </w:rPr>
        <w:t>International market</w:t>
      </w:r>
    </w:p>
    <w:p w14:paraId="20F2739B" w14:textId="001A2C81" w:rsidR="00CD6352" w:rsidRDefault="00CD6352" w:rsidP="007625E7">
      <w:pPr>
        <w:numPr>
          <w:ilvl w:val="0"/>
          <w:numId w:val="315"/>
        </w:numPr>
        <w:spacing w:after="0" w:line="360" w:lineRule="auto"/>
        <w:contextualSpacing/>
        <w:jc w:val="both"/>
        <w:rPr>
          <w:rFonts w:ascii="Arial" w:hAnsi="Arial" w:cs="Arial"/>
        </w:rPr>
      </w:pPr>
      <w:r w:rsidRPr="00EA7665">
        <w:rPr>
          <w:rFonts w:ascii="Arial" w:hAnsi="Arial" w:cs="Arial"/>
        </w:rPr>
        <w:t>Low-interest rate</w:t>
      </w:r>
    </w:p>
    <w:p w14:paraId="072A0158" w14:textId="77777777" w:rsidR="003D3508" w:rsidRPr="00EA7665" w:rsidRDefault="003D3508" w:rsidP="003D3508">
      <w:pPr>
        <w:spacing w:after="0" w:line="360" w:lineRule="auto"/>
        <w:ind w:left="360"/>
        <w:contextualSpacing/>
        <w:jc w:val="both"/>
        <w:rPr>
          <w:rFonts w:ascii="Arial" w:hAnsi="Arial" w:cs="Arial"/>
        </w:rPr>
      </w:pPr>
    </w:p>
    <w:p w14:paraId="1049D023" w14:textId="77777777" w:rsidR="00CD6352" w:rsidRPr="00EA7665" w:rsidRDefault="00CD6352" w:rsidP="00CD6352">
      <w:pPr>
        <w:ind w:left="360"/>
        <w:rPr>
          <w:rFonts w:ascii="Arial" w:hAnsi="Arial" w:cs="Arial"/>
          <w:b/>
        </w:rPr>
      </w:pPr>
      <w:r w:rsidRPr="00EA7665">
        <w:rPr>
          <w:rFonts w:ascii="Arial" w:hAnsi="Arial" w:cs="Arial"/>
          <w:b/>
        </w:rPr>
        <w:lastRenderedPageBreak/>
        <w:t xml:space="preserve">Emerging economies: </w:t>
      </w:r>
    </w:p>
    <w:p w14:paraId="7AC2857C" w14:textId="77777777" w:rsidR="00CD6352" w:rsidRPr="00EA7665" w:rsidRDefault="00CD6352" w:rsidP="007625E7">
      <w:pPr>
        <w:pStyle w:val="ListParagraph"/>
        <w:numPr>
          <w:ilvl w:val="0"/>
          <w:numId w:val="316"/>
        </w:numPr>
        <w:rPr>
          <w:rFonts w:ascii="Arial" w:hAnsi="Arial" w:cs="Arial"/>
        </w:rPr>
      </w:pPr>
      <w:r w:rsidRPr="00EA7665">
        <w:rPr>
          <w:rFonts w:ascii="Arial" w:hAnsi="Arial" w:cs="Arial"/>
        </w:rPr>
        <w:t>High demand for housing</w:t>
      </w:r>
    </w:p>
    <w:p w14:paraId="1387DDC9" w14:textId="77777777" w:rsidR="00CD6352" w:rsidRPr="00EA7665" w:rsidRDefault="00CD6352" w:rsidP="007625E7">
      <w:pPr>
        <w:pStyle w:val="ListParagraph"/>
        <w:numPr>
          <w:ilvl w:val="0"/>
          <w:numId w:val="316"/>
        </w:numPr>
        <w:rPr>
          <w:rFonts w:ascii="Arial" w:hAnsi="Arial" w:cs="Arial"/>
        </w:rPr>
      </w:pPr>
      <w:r w:rsidRPr="00EA7665">
        <w:rPr>
          <w:rFonts w:ascii="Arial" w:hAnsi="Arial" w:cs="Arial"/>
        </w:rPr>
        <w:t xml:space="preserve">A long-standing relationship with financiers </w:t>
      </w:r>
    </w:p>
    <w:p w14:paraId="5E5425AF" w14:textId="77777777" w:rsidR="00CD6352" w:rsidRPr="00EA7665" w:rsidRDefault="00CD6352" w:rsidP="007625E7">
      <w:pPr>
        <w:pStyle w:val="ListParagraph"/>
        <w:numPr>
          <w:ilvl w:val="0"/>
          <w:numId w:val="316"/>
        </w:numPr>
        <w:spacing w:line="360" w:lineRule="auto"/>
        <w:jc w:val="both"/>
        <w:rPr>
          <w:rFonts w:ascii="Arial" w:hAnsi="Arial" w:cs="Arial"/>
        </w:rPr>
      </w:pPr>
      <w:r w:rsidRPr="00EA7665">
        <w:rPr>
          <w:rFonts w:ascii="Arial" w:hAnsi="Arial" w:cs="Arial"/>
        </w:rPr>
        <w:t>Existing markets for office retail and logistics sectors and key 2nd tier cities across China</w:t>
      </w:r>
    </w:p>
    <w:p w14:paraId="5D369738" w14:textId="77777777" w:rsidR="00CD6352" w:rsidRPr="00EA7665" w:rsidRDefault="00CD6352" w:rsidP="007625E7">
      <w:pPr>
        <w:pStyle w:val="ListParagraph"/>
        <w:numPr>
          <w:ilvl w:val="0"/>
          <w:numId w:val="316"/>
        </w:numPr>
        <w:rPr>
          <w:rFonts w:ascii="Arial" w:hAnsi="Arial" w:cs="Arial"/>
        </w:rPr>
      </w:pPr>
      <w:r w:rsidRPr="00EA7665">
        <w:rPr>
          <w:rFonts w:ascii="Arial" w:hAnsi="Arial" w:cs="Arial"/>
        </w:rPr>
        <w:t>Private equity/offtakes</w:t>
      </w:r>
    </w:p>
    <w:p w14:paraId="125427B9" w14:textId="6A9679C8" w:rsidR="00CD6352" w:rsidRPr="00EA7665" w:rsidRDefault="00CD6352" w:rsidP="007625E7">
      <w:pPr>
        <w:pStyle w:val="ListParagraph"/>
        <w:numPr>
          <w:ilvl w:val="0"/>
          <w:numId w:val="316"/>
        </w:numPr>
        <w:spacing w:line="360" w:lineRule="auto"/>
        <w:jc w:val="both"/>
        <w:rPr>
          <w:rFonts w:ascii="Arial" w:hAnsi="Arial" w:cs="Arial"/>
        </w:rPr>
      </w:pPr>
      <w:r w:rsidRPr="00EA7665">
        <w:rPr>
          <w:rFonts w:ascii="Arial" w:hAnsi="Arial" w:cs="Arial"/>
        </w:rPr>
        <w:t>Developers combining the construction of industrial, commercial, residential, health care centre</w:t>
      </w:r>
      <w:r w:rsidR="005C67EF">
        <w:rPr>
          <w:rFonts w:ascii="Arial" w:hAnsi="Arial" w:cs="Arial"/>
        </w:rPr>
        <w:t>,</w:t>
      </w:r>
      <w:r w:rsidRPr="00EA7665">
        <w:rPr>
          <w:rFonts w:ascii="Arial" w:hAnsi="Arial" w:cs="Arial"/>
        </w:rPr>
        <w:t xml:space="preserve"> especially in China</w:t>
      </w:r>
    </w:p>
    <w:p w14:paraId="418498A8" w14:textId="1B1A9E89" w:rsidR="00CD6352" w:rsidRPr="00EA7665" w:rsidRDefault="00CD6352" w:rsidP="00CD6352">
      <w:pPr>
        <w:pStyle w:val="Heading3"/>
        <w:spacing w:after="240"/>
        <w:rPr>
          <w:sz w:val="22"/>
          <w:szCs w:val="22"/>
        </w:rPr>
      </w:pPr>
      <w:bookmarkStart w:id="1235" w:name="_Toc78983878"/>
      <w:r w:rsidRPr="00EA7665">
        <w:rPr>
          <w:sz w:val="22"/>
          <w:szCs w:val="22"/>
        </w:rPr>
        <w:t xml:space="preserve">The implication of the findings </w:t>
      </w:r>
      <w:r w:rsidR="009C6F37">
        <w:rPr>
          <w:sz w:val="22"/>
          <w:szCs w:val="22"/>
        </w:rPr>
        <w:t>associated with opportunities for securing finance for real estate project development in the developed and emerging economies</w:t>
      </w:r>
      <w:bookmarkEnd w:id="1235"/>
    </w:p>
    <w:p w14:paraId="16E14491" w14:textId="4EEFC9FD" w:rsidR="00CD6352" w:rsidRDefault="00CD6352" w:rsidP="00CD6352">
      <w:pPr>
        <w:spacing w:line="360" w:lineRule="auto"/>
        <w:jc w:val="both"/>
        <w:rPr>
          <w:rFonts w:ascii="Arial" w:hAnsi="Arial" w:cs="Arial"/>
          <w:color w:val="000000"/>
        </w:rPr>
      </w:pPr>
      <w:r w:rsidRPr="00EA7665">
        <w:rPr>
          <w:rFonts w:ascii="Arial" w:hAnsi="Arial" w:cs="Arial"/>
        </w:rPr>
        <w:t xml:space="preserve">The findings show that the managers consider a number of factors </w:t>
      </w:r>
      <w:r>
        <w:rPr>
          <w:rFonts w:ascii="Arial" w:hAnsi="Arial" w:cs="Arial"/>
        </w:rPr>
        <w:t>as</w:t>
      </w:r>
      <w:r w:rsidRPr="00EA7665">
        <w:rPr>
          <w:rFonts w:ascii="Arial" w:hAnsi="Arial" w:cs="Arial"/>
        </w:rPr>
        <w:t xml:space="preserve"> opportunities associated with securing finance for real estate project development. </w:t>
      </w:r>
      <w:r w:rsidR="003F5A8A">
        <w:rPr>
          <w:rFonts w:ascii="Arial" w:hAnsi="Arial" w:cs="Arial"/>
        </w:rPr>
        <w:t>Managers must b</w:t>
      </w:r>
      <w:r w:rsidRPr="00EA7665">
        <w:rPr>
          <w:rFonts w:ascii="Arial" w:hAnsi="Arial" w:cs="Arial"/>
        </w:rPr>
        <w:t xml:space="preserve">e able to identify these opportunities so they can maximise their chances of securing finance for real estate project developments.  </w:t>
      </w:r>
      <w:r>
        <w:rPr>
          <w:rFonts w:ascii="Arial" w:hAnsi="Arial" w:cs="Arial"/>
        </w:rPr>
        <w:t>This</w:t>
      </w:r>
      <w:r w:rsidRPr="00EA7665">
        <w:rPr>
          <w:rFonts w:ascii="Arial" w:hAnsi="Arial" w:cs="Arial"/>
        </w:rPr>
        <w:t xml:space="preserve"> research includes the opportunities for securing finance for real estate project development as a part of the </w:t>
      </w:r>
      <w:r>
        <w:rPr>
          <w:rFonts w:ascii="Arial" w:hAnsi="Arial" w:cs="Arial"/>
        </w:rPr>
        <w:t xml:space="preserve">conceptual framework for </w:t>
      </w:r>
      <w:r w:rsidRPr="00EA7665">
        <w:rPr>
          <w:rFonts w:ascii="Arial" w:hAnsi="Arial" w:cs="Arial"/>
        </w:rPr>
        <w:t xml:space="preserve">environmental scan and </w:t>
      </w:r>
      <w:r>
        <w:rPr>
          <w:rFonts w:ascii="Arial" w:hAnsi="Arial" w:cs="Arial"/>
        </w:rPr>
        <w:t xml:space="preserve">it also forms part </w:t>
      </w:r>
      <w:r w:rsidR="00F615CD">
        <w:rPr>
          <w:rFonts w:ascii="Arial" w:hAnsi="Arial" w:cs="Arial"/>
        </w:rPr>
        <w:t xml:space="preserve">of </w:t>
      </w:r>
      <w:r w:rsidR="00F615CD" w:rsidRPr="00EA7665">
        <w:rPr>
          <w:rFonts w:ascii="Arial" w:hAnsi="Arial" w:cs="Arial"/>
        </w:rPr>
        <w:t>the</w:t>
      </w:r>
      <w:r w:rsidRPr="00EA7665">
        <w:rPr>
          <w:rFonts w:ascii="Arial" w:hAnsi="Arial" w:cs="Arial"/>
        </w:rPr>
        <w:t xml:space="preserve"> toolkit for securing finance for real estate project development (see chapter </w:t>
      </w:r>
      <w:r w:rsidR="009F153B">
        <w:rPr>
          <w:rFonts w:ascii="Arial" w:hAnsi="Arial" w:cs="Arial"/>
        </w:rPr>
        <w:t>10</w:t>
      </w:r>
      <w:r w:rsidRPr="00EA7665">
        <w:rPr>
          <w:rFonts w:ascii="Arial" w:hAnsi="Arial" w:cs="Arial"/>
        </w:rPr>
        <w:t>)</w:t>
      </w:r>
      <w:r w:rsidRPr="00EA7665">
        <w:rPr>
          <w:rFonts w:ascii="Arial" w:hAnsi="Arial" w:cs="Arial"/>
          <w:color w:val="000000"/>
        </w:rPr>
        <w:t>.</w:t>
      </w:r>
    </w:p>
    <w:p w14:paraId="0027BCCC" w14:textId="21FF6F1E" w:rsidR="00AE5C37" w:rsidRDefault="00AE5C37" w:rsidP="00CD6352">
      <w:pPr>
        <w:spacing w:line="360" w:lineRule="auto"/>
        <w:jc w:val="both"/>
        <w:rPr>
          <w:rFonts w:ascii="Arial" w:hAnsi="Arial" w:cs="Arial"/>
        </w:rPr>
      </w:pPr>
      <w:r>
        <w:rPr>
          <w:rFonts w:ascii="Arial" w:hAnsi="Arial" w:cs="Arial"/>
        </w:rPr>
        <w:t>Furthermore</w:t>
      </w:r>
      <w:r w:rsidR="00131480">
        <w:rPr>
          <w:rFonts w:ascii="Arial" w:hAnsi="Arial" w:cs="Arial"/>
        </w:rPr>
        <w:t>,</w:t>
      </w:r>
      <w:r>
        <w:rPr>
          <w:rFonts w:ascii="Arial" w:hAnsi="Arial" w:cs="Arial"/>
        </w:rPr>
        <w:t xml:space="preserve"> </w:t>
      </w:r>
      <w:r w:rsidRPr="00A11F92">
        <w:rPr>
          <w:rFonts w:ascii="Arial" w:hAnsi="Arial" w:cs="Arial"/>
        </w:rPr>
        <w:t>table 6:</w:t>
      </w:r>
      <w:r w:rsidR="00A11F92" w:rsidRPr="00A11F92">
        <w:rPr>
          <w:rFonts w:ascii="Arial" w:hAnsi="Arial" w:cs="Arial"/>
        </w:rPr>
        <w:t>.4.4</w:t>
      </w:r>
      <w:r w:rsidRPr="00A11F92">
        <w:rPr>
          <w:rFonts w:ascii="Arial" w:hAnsi="Arial" w:cs="Arial"/>
        </w:rPr>
        <w:t xml:space="preserve"> shows a significant positive correlation between the level of management and institutional real estate market, infrastructure quality, government monetary and fiscal policies, availability of long-term funds</w:t>
      </w:r>
      <w:r>
        <w:rPr>
          <w:rFonts w:ascii="Arial" w:hAnsi="Arial" w:cs="Arial"/>
        </w:rPr>
        <w:t xml:space="preserve"> and foreign exchange stability.  The results show that these factors become more significant as opportunities for securing finance at the lower levels of </w:t>
      </w:r>
      <w:r w:rsidR="00090114">
        <w:rPr>
          <w:rFonts w:ascii="Arial" w:hAnsi="Arial" w:cs="Arial"/>
        </w:rPr>
        <w:t>management.</w:t>
      </w:r>
      <w:r>
        <w:rPr>
          <w:rFonts w:ascii="Arial" w:hAnsi="Arial" w:cs="Arial"/>
        </w:rPr>
        <w:t xml:space="preserve"> The implication of this for both managers and educators is to provide enhanced training and education platforms that would educate students and managers on how to maximise</w:t>
      </w:r>
      <w:r w:rsidR="00090114">
        <w:rPr>
          <w:rFonts w:ascii="Arial" w:hAnsi="Arial" w:cs="Arial"/>
        </w:rPr>
        <w:t xml:space="preserve"> the benefits of </w:t>
      </w:r>
      <w:r>
        <w:rPr>
          <w:rFonts w:ascii="Arial" w:hAnsi="Arial" w:cs="Arial"/>
        </w:rPr>
        <w:t>these opportunities</w:t>
      </w:r>
      <w:r w:rsidR="00487945">
        <w:rPr>
          <w:rFonts w:ascii="Arial" w:hAnsi="Arial" w:cs="Arial"/>
        </w:rPr>
        <w:t xml:space="preserve"> when seeking finance</w:t>
      </w:r>
      <w:r>
        <w:rPr>
          <w:rFonts w:ascii="Arial" w:hAnsi="Arial" w:cs="Arial"/>
        </w:rPr>
        <w:t>.</w:t>
      </w:r>
    </w:p>
    <w:p w14:paraId="5B1038DA" w14:textId="77777777" w:rsidR="00CD6352" w:rsidRPr="008A7A64" w:rsidRDefault="00CD6352" w:rsidP="00CD6352">
      <w:pPr>
        <w:pStyle w:val="Heading2"/>
        <w:rPr>
          <w:sz w:val="22"/>
          <w:szCs w:val="22"/>
        </w:rPr>
      </w:pPr>
      <w:bookmarkStart w:id="1236" w:name="_Toc78983879"/>
      <w:r>
        <w:rPr>
          <w:sz w:val="22"/>
          <w:szCs w:val="22"/>
        </w:rPr>
        <w:t xml:space="preserve">Development of a conceptual framework for </w:t>
      </w:r>
      <w:r w:rsidRPr="008A7A64">
        <w:rPr>
          <w:sz w:val="22"/>
          <w:szCs w:val="22"/>
        </w:rPr>
        <w:t>environmental scan for securing finance for real estate project development.</w:t>
      </w:r>
      <w:bookmarkEnd w:id="1236"/>
    </w:p>
    <w:p w14:paraId="1861FCA8" w14:textId="77777777" w:rsidR="00CD6352" w:rsidRDefault="00CD6352" w:rsidP="00CD6352">
      <w:pPr>
        <w:spacing w:line="360" w:lineRule="auto"/>
        <w:jc w:val="both"/>
        <w:rPr>
          <w:rFonts w:ascii="Arial" w:hAnsi="Arial" w:cs="Arial"/>
        </w:rPr>
      </w:pPr>
    </w:p>
    <w:p w14:paraId="02267D5F" w14:textId="3EF9289D" w:rsidR="00CD6352" w:rsidRPr="00EA7665" w:rsidRDefault="00CD6352" w:rsidP="00CD6352">
      <w:pPr>
        <w:spacing w:line="360" w:lineRule="auto"/>
        <w:jc w:val="both"/>
        <w:rPr>
          <w:rFonts w:ascii="Arial" w:hAnsi="Arial" w:cs="Arial"/>
        </w:rPr>
      </w:pPr>
      <w:r w:rsidRPr="005867E6">
        <w:rPr>
          <w:rFonts w:ascii="Arial" w:hAnsi="Arial" w:cs="Arial"/>
        </w:rPr>
        <w:t>Th</w:t>
      </w:r>
      <w:r w:rsidR="005C67EF">
        <w:rPr>
          <w:rFonts w:ascii="Arial" w:hAnsi="Arial" w:cs="Arial"/>
        </w:rPr>
        <w:t>is section aim</w:t>
      </w:r>
      <w:r w:rsidRPr="005867E6">
        <w:rPr>
          <w:rFonts w:ascii="Arial" w:hAnsi="Arial" w:cs="Arial"/>
        </w:rPr>
        <w:t>s to develop a framework for environmental scan for securing finance for real estate project development. Environmental scanning enhances an organisation’s ability to monitor the internal and external environments and incorporate anticipated changes into its strategic plans that will foster its adaptability and</w:t>
      </w:r>
      <w:r>
        <w:rPr>
          <w:rFonts w:ascii="Arial" w:hAnsi="Arial" w:cs="Arial"/>
        </w:rPr>
        <w:t xml:space="preserve"> survival ( Frolick et al, 2007)</w:t>
      </w:r>
      <w:r w:rsidRPr="00EA7665">
        <w:rPr>
          <w:rFonts w:ascii="Arial" w:hAnsi="Arial" w:cs="Arial"/>
        </w:rPr>
        <w:t>. Th</w:t>
      </w:r>
      <w:r w:rsidR="00714AFC">
        <w:rPr>
          <w:rFonts w:ascii="Arial" w:hAnsi="Arial" w:cs="Arial"/>
        </w:rPr>
        <w:t>is knowledge</w:t>
      </w:r>
      <w:r w:rsidRPr="00EA7665">
        <w:rPr>
          <w:rFonts w:ascii="Arial" w:hAnsi="Arial" w:cs="Arial"/>
        </w:rPr>
        <w:t xml:space="preserve"> will enable the management</w:t>
      </w:r>
      <w:r>
        <w:rPr>
          <w:rFonts w:ascii="Arial" w:hAnsi="Arial" w:cs="Arial"/>
        </w:rPr>
        <w:t xml:space="preserve"> to</w:t>
      </w:r>
      <w:r w:rsidRPr="00EA7665">
        <w:rPr>
          <w:rFonts w:ascii="Arial" w:hAnsi="Arial" w:cs="Arial"/>
        </w:rPr>
        <w:t xml:space="preserve"> </w:t>
      </w:r>
      <w:r w:rsidR="005C67EF">
        <w:rPr>
          <w:rFonts w:ascii="Arial" w:hAnsi="Arial" w:cs="Arial"/>
        </w:rPr>
        <w:t>better plan the organisation's activities</w:t>
      </w:r>
      <w:r w:rsidRPr="00EA7665">
        <w:rPr>
          <w:rFonts w:ascii="Arial" w:hAnsi="Arial" w:cs="Arial"/>
        </w:rPr>
        <w:t xml:space="preserve"> and </w:t>
      </w:r>
      <w:r>
        <w:rPr>
          <w:rFonts w:ascii="Arial" w:hAnsi="Arial" w:cs="Arial"/>
        </w:rPr>
        <w:t xml:space="preserve">thus </w:t>
      </w:r>
      <w:r w:rsidRPr="00EA7665">
        <w:rPr>
          <w:rFonts w:ascii="Arial" w:hAnsi="Arial" w:cs="Arial"/>
        </w:rPr>
        <w:t xml:space="preserve">enhance their chances of securing finance. </w:t>
      </w:r>
      <w:r>
        <w:rPr>
          <w:rFonts w:ascii="Arial" w:hAnsi="Arial" w:cs="Arial"/>
        </w:rPr>
        <w:t xml:space="preserve">The </w:t>
      </w:r>
      <w:r w:rsidRPr="00EA7665">
        <w:rPr>
          <w:rFonts w:ascii="Arial" w:hAnsi="Arial" w:cs="Arial"/>
        </w:rPr>
        <w:t xml:space="preserve">environmental scan enables the management of the organisations to develop effective responses to secure the operations of the organisation and facilitates an effective SWOT (strength, weaknesses, opportunities, and threats) analysis. The external environmental scanning helps to focus on the organisation’s strategic and tactical </w:t>
      </w:r>
      <w:r w:rsidRPr="00EA7665">
        <w:rPr>
          <w:rFonts w:ascii="Arial" w:hAnsi="Arial" w:cs="Arial"/>
        </w:rPr>
        <w:lastRenderedPageBreak/>
        <w:t xml:space="preserve">plans on those factors that may threaten its stability and turn potential problems </w:t>
      </w:r>
      <w:r w:rsidR="00CE753E">
        <w:rPr>
          <w:rFonts w:ascii="Arial" w:hAnsi="Arial" w:cs="Arial"/>
        </w:rPr>
        <w:t>in</w:t>
      </w:r>
      <w:r w:rsidRPr="00EA7665">
        <w:rPr>
          <w:rFonts w:ascii="Arial" w:hAnsi="Arial" w:cs="Arial"/>
        </w:rPr>
        <w:t>to advantages (</w:t>
      </w:r>
      <w:r>
        <w:rPr>
          <w:rFonts w:ascii="Arial" w:hAnsi="Arial" w:cs="Arial"/>
        </w:rPr>
        <w:t xml:space="preserve">Choo, 2001; </w:t>
      </w:r>
      <w:r w:rsidRPr="00EA7665">
        <w:rPr>
          <w:rFonts w:ascii="Arial" w:hAnsi="Arial" w:cs="Arial"/>
        </w:rPr>
        <w:t>Albright, 2004).</w:t>
      </w:r>
    </w:p>
    <w:p w14:paraId="19A44BCE" w14:textId="77777777" w:rsidR="00CD6352" w:rsidRDefault="00CD6352" w:rsidP="00CD6352">
      <w:pPr>
        <w:spacing w:line="360" w:lineRule="auto"/>
        <w:jc w:val="both"/>
        <w:rPr>
          <w:rFonts w:ascii="Arial" w:hAnsi="Arial" w:cs="Arial"/>
        </w:rPr>
      </w:pPr>
      <w:r w:rsidRPr="00EA7665">
        <w:rPr>
          <w:rFonts w:ascii="Arial" w:hAnsi="Arial" w:cs="Arial"/>
        </w:rPr>
        <w:t xml:space="preserve">Certain environmental factors are vital for success in securing finance for real estate project development. These factors could be in the form of challenges or opportunities. The real estate managers involved with obtaining finance for real estate project development must understand how to mitigate against and reduce potential challenges and harness potential opportunities (Nurrick et al., 2017 &amp; Barkham, 2012). The real estate manager should scan the environment to identify these potential challenges and opportunities when preparing to secure finance for real estate project development. </w:t>
      </w:r>
    </w:p>
    <w:p w14:paraId="2F6AF527" w14:textId="62DFB80D" w:rsidR="00CD6352" w:rsidRPr="007625E7" w:rsidRDefault="00CD6352" w:rsidP="007625E7">
      <w:pPr>
        <w:spacing w:line="360" w:lineRule="auto"/>
        <w:jc w:val="both"/>
        <w:rPr>
          <w:rFonts w:ascii="Arial" w:hAnsi="Arial" w:cs="Arial"/>
        </w:rPr>
      </w:pPr>
      <w:r>
        <w:rPr>
          <w:rFonts w:ascii="Arial" w:hAnsi="Arial" w:cs="Arial"/>
        </w:rPr>
        <w:t>Some techniques/ theories used for environmental scan include</w:t>
      </w:r>
      <w:r w:rsidR="00264B7A">
        <w:rPr>
          <w:rFonts w:ascii="Arial" w:hAnsi="Arial" w:cs="Arial"/>
        </w:rPr>
        <w:t xml:space="preserve"> </w:t>
      </w:r>
      <w:r w:rsidR="0061450E">
        <w:rPr>
          <w:rFonts w:ascii="Arial" w:hAnsi="Arial" w:cs="Arial"/>
        </w:rPr>
        <w:t xml:space="preserve">the </w:t>
      </w:r>
      <w:r w:rsidRPr="007625E7">
        <w:rPr>
          <w:rFonts w:ascii="Arial" w:hAnsi="Arial" w:cs="Arial"/>
        </w:rPr>
        <w:t>SWOT analysis</w:t>
      </w:r>
      <w:r w:rsidR="00264B7A">
        <w:rPr>
          <w:rFonts w:ascii="Arial" w:hAnsi="Arial" w:cs="Arial"/>
        </w:rPr>
        <w:t xml:space="preserve"> and </w:t>
      </w:r>
      <w:r w:rsidRPr="007625E7">
        <w:rPr>
          <w:rFonts w:ascii="Arial" w:hAnsi="Arial" w:cs="Arial"/>
        </w:rPr>
        <w:t>PESTLE analysis</w:t>
      </w:r>
      <w:r w:rsidR="00264B7A">
        <w:rPr>
          <w:rFonts w:ascii="Arial" w:hAnsi="Arial" w:cs="Arial"/>
        </w:rPr>
        <w:t>.</w:t>
      </w:r>
    </w:p>
    <w:p w14:paraId="330851F2" w14:textId="3002E31D" w:rsidR="00CD6352" w:rsidRDefault="00CD6352" w:rsidP="003164AA">
      <w:pPr>
        <w:spacing w:line="360" w:lineRule="auto"/>
        <w:jc w:val="both"/>
        <w:rPr>
          <w:rFonts w:ascii="Arial" w:hAnsi="Arial" w:cs="Arial"/>
        </w:rPr>
      </w:pPr>
      <w:r>
        <w:rPr>
          <w:rFonts w:ascii="Arial" w:hAnsi="Arial" w:cs="Arial"/>
        </w:rPr>
        <w:t xml:space="preserve">The conceptual framework for environment scanning for securing finance for real estate project development is divided into three major segments.  They are the external </w:t>
      </w:r>
      <w:r w:rsidRPr="00E1512B">
        <w:rPr>
          <w:rFonts w:ascii="Arial" w:hAnsi="Arial" w:cs="Arial"/>
        </w:rPr>
        <w:t>environmental scan, the internal environmental scan</w:t>
      </w:r>
      <w:r w:rsidR="008222B5">
        <w:rPr>
          <w:rFonts w:ascii="Arial" w:hAnsi="Arial" w:cs="Arial"/>
        </w:rPr>
        <w:t>, and the feedback mechanism, as</w:t>
      </w:r>
      <w:r w:rsidRPr="00E1512B">
        <w:rPr>
          <w:rFonts w:ascii="Arial" w:hAnsi="Arial" w:cs="Arial"/>
        </w:rPr>
        <w:t xml:space="preserve"> in </w:t>
      </w:r>
      <w:r w:rsidR="005670AA" w:rsidRPr="00E1512B">
        <w:rPr>
          <w:rFonts w:ascii="Arial" w:hAnsi="Arial" w:cs="Arial"/>
        </w:rPr>
        <w:t xml:space="preserve">table </w:t>
      </w:r>
      <w:r w:rsidRPr="00E1512B">
        <w:rPr>
          <w:rFonts w:ascii="Arial" w:hAnsi="Arial" w:cs="Arial"/>
        </w:rPr>
        <w:t>6.</w:t>
      </w:r>
      <w:r w:rsidR="003164AA">
        <w:rPr>
          <w:rFonts w:ascii="Arial" w:hAnsi="Arial" w:cs="Arial"/>
        </w:rPr>
        <w:t>5.1</w:t>
      </w:r>
      <w:r w:rsidR="00E1512B">
        <w:rPr>
          <w:rFonts w:ascii="Arial" w:hAnsi="Arial" w:cs="Arial"/>
        </w:rPr>
        <w:t>.</w:t>
      </w:r>
    </w:p>
    <w:p w14:paraId="613C740C" w14:textId="46FBE5FC" w:rsidR="00CD6352" w:rsidRDefault="00CD6352" w:rsidP="00CD6352">
      <w:pPr>
        <w:spacing w:line="360" w:lineRule="auto"/>
        <w:jc w:val="both"/>
        <w:rPr>
          <w:rFonts w:ascii="Arial" w:hAnsi="Arial" w:cs="Arial"/>
        </w:rPr>
      </w:pPr>
      <w:r>
        <w:rPr>
          <w:rFonts w:ascii="Arial" w:hAnsi="Arial" w:cs="Arial"/>
        </w:rPr>
        <w:t xml:space="preserve">The PESTLE and SWOT analysis techniques for environmental </w:t>
      </w:r>
      <w:r w:rsidR="005670AA">
        <w:rPr>
          <w:rFonts w:ascii="Arial" w:hAnsi="Arial" w:cs="Arial"/>
        </w:rPr>
        <w:t>scanning provided</w:t>
      </w:r>
      <w:r>
        <w:rPr>
          <w:rFonts w:ascii="Arial" w:hAnsi="Arial" w:cs="Arial"/>
        </w:rPr>
        <w:t xml:space="preserve"> a guide for the framework. P</w:t>
      </w:r>
      <w:r w:rsidR="00714AFC">
        <w:rPr>
          <w:rFonts w:ascii="Arial" w:hAnsi="Arial" w:cs="Arial"/>
        </w:rPr>
        <w:t xml:space="preserve">ESTLE analysis helps analyse factors influencing an organisation that is external to the firm (Hassan et al., 2019). This study used the Pestle analytical tool in classifying the challenges and opportunities associated with securing finance for real estate project development into political, economic, social, technological, legal and environmental factors. The challenges and opportunities were information secured from managers involved in securing finance for real estate project development through the semi-structured interviews and the administered questionnaire surveys. Pestle theory helped elaborate the external environmental factors that the managers will need to monitor to secure </w:t>
      </w:r>
      <w:r w:rsidR="0060283B">
        <w:rPr>
          <w:rFonts w:ascii="Arial" w:hAnsi="Arial" w:cs="Arial"/>
        </w:rPr>
        <w:t>real estate project development finance</w:t>
      </w:r>
      <w:r w:rsidR="00714AFC">
        <w:rPr>
          <w:rFonts w:ascii="Arial" w:hAnsi="Arial" w:cs="Arial"/>
        </w:rPr>
        <w:t xml:space="preserve">. </w:t>
      </w:r>
      <w:r>
        <w:rPr>
          <w:rFonts w:ascii="Arial" w:hAnsi="Arial" w:cs="Arial"/>
        </w:rPr>
        <w:t xml:space="preserve">The manager is to mitigate and/or reduce the challenges while maximising the opportunities </w:t>
      </w:r>
      <w:r w:rsidR="005670AA">
        <w:rPr>
          <w:rFonts w:ascii="Arial" w:hAnsi="Arial" w:cs="Arial"/>
        </w:rPr>
        <w:t>(Tan</w:t>
      </w:r>
      <w:r>
        <w:rPr>
          <w:rFonts w:ascii="Arial" w:hAnsi="Arial" w:cs="Arial"/>
        </w:rPr>
        <w:t xml:space="preserve"> et al, 2012).</w:t>
      </w:r>
    </w:p>
    <w:p w14:paraId="673CE6F8" w14:textId="751D30B0" w:rsidR="00CD6352" w:rsidRDefault="00CD6352" w:rsidP="00CD6352">
      <w:pPr>
        <w:spacing w:line="360" w:lineRule="auto"/>
        <w:jc w:val="both"/>
        <w:rPr>
          <w:rFonts w:ascii="Arial" w:hAnsi="Arial" w:cs="Arial"/>
        </w:rPr>
      </w:pPr>
      <w:r>
        <w:rPr>
          <w:rFonts w:ascii="Arial" w:hAnsi="Arial" w:cs="Arial"/>
        </w:rPr>
        <w:t xml:space="preserve">The SWOT analysis theory also helps to provide an understanding of the framework for the environmental scan for securing finance for real estate project </w:t>
      </w:r>
      <w:r w:rsidR="00BD5096">
        <w:rPr>
          <w:rFonts w:ascii="Arial" w:hAnsi="Arial" w:cs="Arial"/>
        </w:rPr>
        <w:t>development.</w:t>
      </w:r>
      <w:r>
        <w:rPr>
          <w:rFonts w:ascii="Arial" w:hAnsi="Arial" w:cs="Arial"/>
        </w:rPr>
        <w:t xml:space="preserve"> SWOT </w:t>
      </w:r>
      <w:r w:rsidR="00BD5096">
        <w:rPr>
          <w:rFonts w:ascii="Arial" w:hAnsi="Arial" w:cs="Arial"/>
        </w:rPr>
        <w:t>(an</w:t>
      </w:r>
      <w:r>
        <w:rPr>
          <w:rFonts w:ascii="Arial" w:hAnsi="Arial" w:cs="Arial"/>
        </w:rPr>
        <w:t xml:space="preserve"> acronym for strength, weaknesses, opportunities and threats) supports the analysis of the internal </w:t>
      </w:r>
      <w:r w:rsidR="00526D00">
        <w:rPr>
          <w:rFonts w:ascii="Arial" w:hAnsi="Arial" w:cs="Arial"/>
        </w:rPr>
        <w:t>(strengths</w:t>
      </w:r>
      <w:r>
        <w:rPr>
          <w:rFonts w:ascii="Arial" w:hAnsi="Arial" w:cs="Arial"/>
        </w:rPr>
        <w:t xml:space="preserve">, weaknesses) and external </w:t>
      </w:r>
      <w:r w:rsidR="00EE69A9">
        <w:rPr>
          <w:rFonts w:ascii="Arial" w:hAnsi="Arial" w:cs="Arial"/>
        </w:rPr>
        <w:t>(opportunities</w:t>
      </w:r>
      <w:r>
        <w:rPr>
          <w:rFonts w:ascii="Arial" w:hAnsi="Arial" w:cs="Arial"/>
        </w:rPr>
        <w:t xml:space="preserve">, threats) factors for adopting a strategy which in this case is securing finance for real estate project development. SWOT </w:t>
      </w:r>
      <w:r w:rsidR="0025779B">
        <w:rPr>
          <w:rFonts w:ascii="Arial" w:hAnsi="Arial" w:cs="Arial"/>
        </w:rPr>
        <w:t>clarifies the internal environmental scan for this study, which is the critical success factor</w:t>
      </w:r>
      <w:r>
        <w:rPr>
          <w:rFonts w:ascii="Arial" w:hAnsi="Arial" w:cs="Arial"/>
        </w:rPr>
        <w:t xml:space="preserve"> </w:t>
      </w:r>
      <w:r w:rsidR="00714AFC">
        <w:rPr>
          <w:rFonts w:ascii="Arial" w:hAnsi="Arial" w:cs="Arial"/>
        </w:rPr>
        <w:t xml:space="preserve">provided through information from the managers via the semi-structured interviews and questionnaires. </w:t>
      </w:r>
      <w:r>
        <w:rPr>
          <w:rFonts w:ascii="Arial" w:hAnsi="Arial" w:cs="Arial"/>
        </w:rPr>
        <w:t xml:space="preserve"> </w:t>
      </w:r>
      <w:r w:rsidR="0025779B">
        <w:rPr>
          <w:rFonts w:ascii="Arial" w:hAnsi="Arial" w:cs="Arial"/>
        </w:rPr>
        <w:t>Understanding</w:t>
      </w:r>
      <w:r>
        <w:rPr>
          <w:rFonts w:ascii="Arial" w:hAnsi="Arial" w:cs="Arial"/>
        </w:rPr>
        <w:t xml:space="preserve"> the SWOT analysis will enable the manager to formulate strategies </w:t>
      </w:r>
      <w:r w:rsidR="00526D00">
        <w:rPr>
          <w:rFonts w:ascii="Arial" w:hAnsi="Arial" w:cs="Arial"/>
        </w:rPr>
        <w:t>that will</w:t>
      </w:r>
      <w:r>
        <w:rPr>
          <w:rFonts w:ascii="Arial" w:hAnsi="Arial" w:cs="Arial"/>
        </w:rPr>
        <w:t xml:space="preserve"> enhance strengths and opportunities and reduce threats and </w:t>
      </w:r>
      <w:r w:rsidR="00526D00">
        <w:rPr>
          <w:rFonts w:ascii="Arial" w:hAnsi="Arial" w:cs="Arial"/>
        </w:rPr>
        <w:t>weaknesses.</w:t>
      </w:r>
      <w:r>
        <w:rPr>
          <w:rFonts w:ascii="Arial" w:hAnsi="Arial" w:cs="Arial"/>
        </w:rPr>
        <w:t xml:space="preserve"> </w:t>
      </w:r>
      <w:r>
        <w:rPr>
          <w:rFonts w:ascii="Arial" w:hAnsi="Arial" w:cs="Arial"/>
        </w:rPr>
        <w:lastRenderedPageBreak/>
        <w:t xml:space="preserve">The SWOT analysis is an effective tool for analysing the strengths, weaknesses, opportunities </w:t>
      </w:r>
      <w:r w:rsidR="00526D00">
        <w:rPr>
          <w:rFonts w:ascii="Arial" w:hAnsi="Arial" w:cs="Arial"/>
        </w:rPr>
        <w:t>and threats</w:t>
      </w:r>
      <w:r>
        <w:rPr>
          <w:rFonts w:ascii="Arial" w:hAnsi="Arial" w:cs="Arial"/>
        </w:rPr>
        <w:t xml:space="preserve"> of an organisation or a project and facilitates effective planning (Sabbagbi and Vaidyanathan, 2004</w:t>
      </w:r>
      <w:r w:rsidR="00526D00">
        <w:rPr>
          <w:rFonts w:ascii="Arial" w:hAnsi="Arial" w:cs="Arial"/>
        </w:rPr>
        <w:t>).</w:t>
      </w:r>
      <w:r>
        <w:rPr>
          <w:rFonts w:ascii="Arial" w:hAnsi="Arial" w:cs="Arial"/>
        </w:rPr>
        <w:t xml:space="preserve"> </w:t>
      </w:r>
    </w:p>
    <w:p w14:paraId="2675A68A" w14:textId="2E74BB45" w:rsidR="00CD6352" w:rsidRDefault="00CD6352" w:rsidP="00CD6352">
      <w:pPr>
        <w:spacing w:line="360" w:lineRule="auto"/>
        <w:jc w:val="both"/>
        <w:rPr>
          <w:rFonts w:ascii="Arial" w:hAnsi="Arial" w:cs="Arial"/>
        </w:rPr>
      </w:pPr>
      <w:r>
        <w:rPr>
          <w:rFonts w:ascii="Arial" w:hAnsi="Arial" w:cs="Arial"/>
        </w:rPr>
        <w:t>According to Dergisi (2017</w:t>
      </w:r>
      <w:r w:rsidR="00526D00">
        <w:rPr>
          <w:rFonts w:ascii="Arial" w:hAnsi="Arial" w:cs="Arial"/>
        </w:rPr>
        <w:t>),</w:t>
      </w:r>
      <w:r>
        <w:rPr>
          <w:rFonts w:ascii="Arial" w:hAnsi="Arial" w:cs="Arial"/>
        </w:rPr>
        <w:t xml:space="preserve"> the SWOT analysis </w:t>
      </w:r>
      <w:r w:rsidR="005C0F41">
        <w:rPr>
          <w:rFonts w:ascii="Arial" w:hAnsi="Arial" w:cs="Arial"/>
        </w:rPr>
        <w:t>brings out</w:t>
      </w:r>
      <w:r>
        <w:rPr>
          <w:rFonts w:ascii="Arial" w:hAnsi="Arial" w:cs="Arial"/>
        </w:rPr>
        <w:t xml:space="preserve"> four elements in a 2*2 matrix and the matrix is composed of the following elements:</w:t>
      </w:r>
    </w:p>
    <w:p w14:paraId="0A82CBEF" w14:textId="77777777" w:rsidR="00CD6352" w:rsidRDefault="00CD6352" w:rsidP="007625E7">
      <w:pPr>
        <w:pStyle w:val="ListParagraph"/>
        <w:numPr>
          <w:ilvl w:val="0"/>
          <w:numId w:val="317"/>
        </w:numPr>
        <w:spacing w:line="360" w:lineRule="auto"/>
        <w:jc w:val="both"/>
        <w:rPr>
          <w:rFonts w:ascii="Arial" w:hAnsi="Arial" w:cs="Arial"/>
        </w:rPr>
      </w:pPr>
      <w:r>
        <w:rPr>
          <w:rFonts w:ascii="Arial" w:hAnsi="Arial" w:cs="Arial"/>
        </w:rPr>
        <w:t>Organisational strengths – Characteristics that give it an advantage over others in the industry</w:t>
      </w:r>
    </w:p>
    <w:p w14:paraId="56D65475" w14:textId="7CE87BF4" w:rsidR="00CD6352" w:rsidRDefault="00CD6352" w:rsidP="007625E7">
      <w:pPr>
        <w:pStyle w:val="ListParagraph"/>
        <w:numPr>
          <w:ilvl w:val="0"/>
          <w:numId w:val="317"/>
        </w:numPr>
        <w:spacing w:line="360" w:lineRule="auto"/>
        <w:jc w:val="both"/>
        <w:rPr>
          <w:rFonts w:ascii="Arial" w:hAnsi="Arial" w:cs="Arial"/>
        </w:rPr>
      </w:pPr>
      <w:r>
        <w:rPr>
          <w:rFonts w:ascii="Arial" w:hAnsi="Arial" w:cs="Arial"/>
        </w:rPr>
        <w:t xml:space="preserve">Organisational weaknesses – Characteristics that place </w:t>
      </w:r>
      <w:r w:rsidR="00526D00">
        <w:rPr>
          <w:rFonts w:ascii="Arial" w:hAnsi="Arial" w:cs="Arial"/>
        </w:rPr>
        <w:t>it at</w:t>
      </w:r>
      <w:r>
        <w:rPr>
          <w:rFonts w:ascii="Arial" w:hAnsi="Arial" w:cs="Arial"/>
        </w:rPr>
        <w:t xml:space="preserve"> a disadvantage relative to others</w:t>
      </w:r>
    </w:p>
    <w:p w14:paraId="7772F507" w14:textId="5CD2F1FB" w:rsidR="00CD6352" w:rsidRDefault="00CD6352" w:rsidP="007625E7">
      <w:pPr>
        <w:pStyle w:val="ListParagraph"/>
        <w:numPr>
          <w:ilvl w:val="0"/>
          <w:numId w:val="317"/>
        </w:numPr>
        <w:spacing w:line="360" w:lineRule="auto"/>
        <w:jc w:val="both"/>
        <w:rPr>
          <w:rFonts w:ascii="Arial" w:hAnsi="Arial" w:cs="Arial"/>
        </w:rPr>
      </w:pPr>
      <w:r>
        <w:rPr>
          <w:rFonts w:ascii="Arial" w:hAnsi="Arial" w:cs="Arial"/>
        </w:rPr>
        <w:t xml:space="preserve">Environmental opportunities – External elements in the environment that gives benefits </w:t>
      </w:r>
      <w:r w:rsidR="009F4B1E">
        <w:rPr>
          <w:rFonts w:ascii="Arial" w:hAnsi="Arial" w:cs="Arial"/>
        </w:rPr>
        <w:t>to</w:t>
      </w:r>
      <w:r>
        <w:rPr>
          <w:rFonts w:ascii="Arial" w:hAnsi="Arial" w:cs="Arial"/>
        </w:rPr>
        <w:t xml:space="preserve"> the organisation</w:t>
      </w:r>
    </w:p>
    <w:p w14:paraId="102EF64C" w14:textId="77777777" w:rsidR="00CD6352" w:rsidRDefault="00CD6352" w:rsidP="007625E7">
      <w:pPr>
        <w:pStyle w:val="ListParagraph"/>
        <w:numPr>
          <w:ilvl w:val="0"/>
          <w:numId w:val="317"/>
        </w:numPr>
        <w:spacing w:line="360" w:lineRule="auto"/>
        <w:jc w:val="both"/>
        <w:rPr>
          <w:rFonts w:ascii="Arial" w:hAnsi="Arial" w:cs="Arial"/>
        </w:rPr>
      </w:pPr>
      <w:r>
        <w:rPr>
          <w:rFonts w:ascii="Arial" w:hAnsi="Arial" w:cs="Arial"/>
        </w:rPr>
        <w:t>Environmental threats – External elements in the environment that could cause trouble for the organisation.</w:t>
      </w:r>
    </w:p>
    <w:p w14:paraId="74AB72AF" w14:textId="239A12EF" w:rsidR="00CD6352" w:rsidRDefault="00CD6352" w:rsidP="00CD6352">
      <w:pPr>
        <w:spacing w:line="360" w:lineRule="auto"/>
        <w:jc w:val="both"/>
        <w:rPr>
          <w:rFonts w:ascii="Arial" w:hAnsi="Arial" w:cs="Arial"/>
        </w:rPr>
      </w:pPr>
      <w:r>
        <w:rPr>
          <w:rFonts w:ascii="Arial" w:hAnsi="Arial" w:cs="Arial"/>
        </w:rPr>
        <w:t xml:space="preserve">The manager is expected to check the critical success factors to identify the strengths, weaknesses, </w:t>
      </w:r>
      <w:r w:rsidR="00420492">
        <w:rPr>
          <w:rFonts w:ascii="Arial" w:hAnsi="Arial" w:cs="Arial"/>
        </w:rPr>
        <w:t>opportunities,</w:t>
      </w:r>
      <w:r>
        <w:rPr>
          <w:rFonts w:ascii="Arial" w:hAnsi="Arial" w:cs="Arial"/>
        </w:rPr>
        <w:t xml:space="preserve"> and threats in his firm that could affect the process of securing finance to facilitate adequate planning, policy and strategy formulation. </w:t>
      </w:r>
    </w:p>
    <w:p w14:paraId="24801A59" w14:textId="6E132AB2" w:rsidR="00420492" w:rsidRDefault="00420492" w:rsidP="00CD6352">
      <w:pPr>
        <w:spacing w:line="360" w:lineRule="auto"/>
        <w:jc w:val="both"/>
        <w:rPr>
          <w:rFonts w:ascii="Arial" w:hAnsi="Arial" w:cs="Arial"/>
        </w:rPr>
      </w:pPr>
      <w:r>
        <w:rPr>
          <w:rFonts w:ascii="Arial" w:hAnsi="Arial" w:cs="Arial"/>
        </w:rPr>
        <w:t>The variables used in the development of the conceptual framework of environmental scan for securing finance for real estate project development are from the interviews and questionnaire responses. The framework is made up of two phases which is phase</w:t>
      </w:r>
      <w:r w:rsidR="0061450E">
        <w:rPr>
          <w:rFonts w:ascii="Arial" w:hAnsi="Arial" w:cs="Arial"/>
        </w:rPr>
        <w:t>s</w:t>
      </w:r>
      <w:r>
        <w:rPr>
          <w:rFonts w:ascii="Arial" w:hAnsi="Arial" w:cs="Arial"/>
        </w:rPr>
        <w:t xml:space="preserve"> 1 and 2. </w:t>
      </w:r>
      <w:r w:rsidR="009F4B1E">
        <w:rPr>
          <w:rFonts w:ascii="Arial" w:hAnsi="Arial" w:cs="Arial"/>
        </w:rPr>
        <w:t>P</w:t>
      </w:r>
      <w:r>
        <w:rPr>
          <w:rFonts w:ascii="Arial" w:hAnsi="Arial" w:cs="Arial"/>
        </w:rPr>
        <w:t>hase 1 is the external environmental scan which is made up of potential opportunities and challenges while phase 2 is the internal environmental scan.</w:t>
      </w:r>
    </w:p>
    <w:p w14:paraId="0189035E" w14:textId="507EE32B" w:rsidR="00420492" w:rsidRDefault="00420492" w:rsidP="00CD6352">
      <w:pPr>
        <w:spacing w:line="360" w:lineRule="auto"/>
        <w:jc w:val="both"/>
        <w:rPr>
          <w:rFonts w:ascii="Arial" w:hAnsi="Arial" w:cs="Arial"/>
        </w:rPr>
      </w:pPr>
      <w:r>
        <w:rPr>
          <w:rFonts w:ascii="Arial" w:hAnsi="Arial" w:cs="Arial"/>
        </w:rPr>
        <w:t>The external environment used specific variables on challenges and opportunities associated with securing finance for real estate project developments obtained from both the interviews and the questionnaire survey</w:t>
      </w:r>
      <w:r w:rsidR="001B0F7F">
        <w:rPr>
          <w:rFonts w:ascii="Arial" w:hAnsi="Arial" w:cs="Arial"/>
        </w:rPr>
        <w:t xml:space="preserve"> </w:t>
      </w:r>
      <w:r w:rsidR="0060283B">
        <w:rPr>
          <w:rFonts w:ascii="Arial" w:hAnsi="Arial" w:cs="Arial"/>
        </w:rPr>
        <w:t>in</w:t>
      </w:r>
      <w:r w:rsidR="00CF4956" w:rsidRPr="001B0F7F">
        <w:rPr>
          <w:rFonts w:ascii="Arial" w:hAnsi="Arial" w:cs="Arial"/>
        </w:rPr>
        <w:t xml:space="preserve"> chapter</w:t>
      </w:r>
      <w:r w:rsidR="0060283B">
        <w:rPr>
          <w:rFonts w:ascii="Arial" w:hAnsi="Arial" w:cs="Arial"/>
        </w:rPr>
        <w:t>s</w:t>
      </w:r>
      <w:r w:rsidR="00CF4956" w:rsidRPr="001B0F7F">
        <w:rPr>
          <w:rFonts w:ascii="Arial" w:hAnsi="Arial" w:cs="Arial"/>
        </w:rPr>
        <w:t xml:space="preserve"> 6.</w:t>
      </w:r>
      <w:r w:rsidR="001B0F7F" w:rsidRPr="001B0F7F">
        <w:rPr>
          <w:rFonts w:ascii="Arial" w:hAnsi="Arial" w:cs="Arial"/>
        </w:rPr>
        <w:t>3 &amp; 6.4</w:t>
      </w:r>
      <w:r w:rsidRPr="001B0F7F">
        <w:rPr>
          <w:rFonts w:ascii="Arial" w:hAnsi="Arial" w:cs="Arial"/>
        </w:rPr>
        <w:t>.</w:t>
      </w:r>
      <w:r>
        <w:rPr>
          <w:rFonts w:ascii="Arial" w:hAnsi="Arial" w:cs="Arial"/>
        </w:rPr>
        <w:t xml:space="preserve"> It is divided</w:t>
      </w:r>
      <w:r w:rsidR="009F4B1E">
        <w:rPr>
          <w:rFonts w:ascii="Arial" w:hAnsi="Arial" w:cs="Arial"/>
        </w:rPr>
        <w:t xml:space="preserve"> into</w:t>
      </w:r>
      <w:r>
        <w:rPr>
          <w:rFonts w:ascii="Arial" w:hAnsi="Arial" w:cs="Arial"/>
        </w:rPr>
        <w:t xml:space="preserve"> two sub-phases </w:t>
      </w:r>
      <w:r w:rsidR="00667A8B">
        <w:rPr>
          <w:rFonts w:ascii="Arial" w:hAnsi="Arial" w:cs="Arial"/>
        </w:rPr>
        <w:t>(see</w:t>
      </w:r>
      <w:r>
        <w:rPr>
          <w:rFonts w:ascii="Arial" w:hAnsi="Arial" w:cs="Arial"/>
        </w:rPr>
        <w:t xml:space="preserve"> table 6.</w:t>
      </w:r>
      <w:r w:rsidR="0060283B">
        <w:rPr>
          <w:rFonts w:ascii="Arial" w:hAnsi="Arial" w:cs="Arial"/>
        </w:rPr>
        <w:t>5.1</w:t>
      </w:r>
      <w:r>
        <w:rPr>
          <w:rFonts w:ascii="Arial" w:hAnsi="Arial" w:cs="Arial"/>
        </w:rPr>
        <w:t>). Conversely, the internal environmental scan variables were gotten from both the outcome of the questionnaire and interviews.</w:t>
      </w:r>
      <w:r w:rsidR="00196EDE">
        <w:rPr>
          <w:rFonts w:ascii="Arial" w:hAnsi="Arial" w:cs="Arial"/>
        </w:rPr>
        <w:t xml:space="preserve"> </w:t>
      </w:r>
      <w:r w:rsidR="00667A8B">
        <w:rPr>
          <w:rFonts w:ascii="Arial" w:hAnsi="Arial" w:cs="Arial"/>
        </w:rPr>
        <w:t>While</w:t>
      </w:r>
      <w:r w:rsidR="00196EDE">
        <w:rPr>
          <w:rFonts w:ascii="Arial" w:hAnsi="Arial" w:cs="Arial"/>
        </w:rPr>
        <w:t xml:space="preserve"> the variables used for the feedback mechanism is from </w:t>
      </w:r>
      <w:r w:rsidR="009F4B1E">
        <w:rPr>
          <w:rFonts w:ascii="Arial" w:hAnsi="Arial" w:cs="Arial"/>
        </w:rPr>
        <w:t xml:space="preserve">the </w:t>
      </w:r>
      <w:r w:rsidR="00AB7929">
        <w:rPr>
          <w:rFonts w:ascii="Arial" w:hAnsi="Arial" w:cs="Arial"/>
        </w:rPr>
        <w:t xml:space="preserve">review of </w:t>
      </w:r>
      <w:r w:rsidR="009F4B1E">
        <w:rPr>
          <w:rFonts w:ascii="Arial" w:hAnsi="Arial" w:cs="Arial"/>
        </w:rPr>
        <w:t xml:space="preserve">the </w:t>
      </w:r>
      <w:r w:rsidR="00AB7929">
        <w:rPr>
          <w:rFonts w:ascii="Arial" w:hAnsi="Arial" w:cs="Arial"/>
        </w:rPr>
        <w:t xml:space="preserve">literature </w:t>
      </w:r>
      <w:r w:rsidR="0060283B">
        <w:rPr>
          <w:rFonts w:ascii="Arial" w:hAnsi="Arial" w:cs="Arial"/>
        </w:rPr>
        <w:t>in</w:t>
      </w:r>
      <w:r w:rsidR="00AB7929">
        <w:rPr>
          <w:rFonts w:ascii="Arial" w:hAnsi="Arial" w:cs="Arial"/>
        </w:rPr>
        <w:t xml:space="preserve"> chapter</w:t>
      </w:r>
      <w:r w:rsidR="0060283B">
        <w:rPr>
          <w:rFonts w:ascii="Arial" w:hAnsi="Arial" w:cs="Arial"/>
        </w:rPr>
        <w:t xml:space="preserve"> 3.</w:t>
      </w:r>
      <w:r w:rsidR="00AB7929">
        <w:rPr>
          <w:rFonts w:ascii="Arial" w:hAnsi="Arial" w:cs="Arial"/>
        </w:rPr>
        <w:t>.</w:t>
      </w:r>
    </w:p>
    <w:p w14:paraId="657823F1" w14:textId="6C9C66FE" w:rsidR="000E2732" w:rsidRDefault="000E2732" w:rsidP="00CD6352">
      <w:pPr>
        <w:spacing w:line="360" w:lineRule="auto"/>
        <w:jc w:val="both"/>
        <w:rPr>
          <w:rFonts w:ascii="Arial" w:hAnsi="Arial" w:cs="Arial"/>
        </w:rPr>
      </w:pPr>
      <w:r>
        <w:rPr>
          <w:rFonts w:ascii="Arial" w:hAnsi="Arial" w:cs="Arial"/>
        </w:rPr>
        <w:t xml:space="preserve">This study does not recommend a strict approach to using the conceptual framework for environmental scan for securing finance for real estate project development. </w:t>
      </w:r>
      <w:r w:rsidR="005F280B">
        <w:rPr>
          <w:rFonts w:ascii="Arial" w:hAnsi="Arial" w:cs="Arial"/>
        </w:rPr>
        <w:t xml:space="preserve">The manager could </w:t>
      </w:r>
      <w:r w:rsidR="0025779B">
        <w:rPr>
          <w:rFonts w:ascii="Arial" w:hAnsi="Arial" w:cs="Arial"/>
        </w:rPr>
        <w:t>simultaneously appraise all the factors when deciding</w:t>
      </w:r>
      <w:r w:rsidR="005F280B">
        <w:rPr>
          <w:rFonts w:ascii="Arial" w:hAnsi="Arial" w:cs="Arial"/>
        </w:rPr>
        <w:t xml:space="preserve"> on securing finance for real estate project development.</w:t>
      </w:r>
    </w:p>
    <w:p w14:paraId="47280886" w14:textId="65DBC608" w:rsidR="00D478DB" w:rsidRDefault="00D478DB" w:rsidP="00CD6352">
      <w:pPr>
        <w:spacing w:line="360" w:lineRule="auto"/>
        <w:jc w:val="both"/>
        <w:rPr>
          <w:rFonts w:ascii="Arial" w:hAnsi="Arial" w:cs="Arial"/>
        </w:rPr>
      </w:pPr>
    </w:p>
    <w:p w14:paraId="3B491A71" w14:textId="77777777" w:rsidR="00D478DB" w:rsidRDefault="00D478DB" w:rsidP="00CD6352">
      <w:pPr>
        <w:spacing w:line="360" w:lineRule="auto"/>
        <w:jc w:val="both"/>
        <w:rPr>
          <w:rFonts w:ascii="Arial" w:hAnsi="Arial" w:cs="Arial"/>
        </w:rPr>
      </w:pPr>
    </w:p>
    <w:p w14:paraId="5783E2E5" w14:textId="5F2C315E" w:rsidR="003164AA" w:rsidRPr="003164AA" w:rsidRDefault="003164AA" w:rsidP="003164AA">
      <w:pPr>
        <w:pStyle w:val="Caption"/>
        <w:keepNext/>
        <w:rPr>
          <w:rFonts w:ascii="Arial" w:hAnsi="Arial" w:cs="Arial"/>
          <w:sz w:val="16"/>
          <w:szCs w:val="16"/>
        </w:rPr>
      </w:pPr>
      <w:bookmarkStart w:id="1237" w:name="_Toc78983995"/>
      <w:bookmarkStart w:id="1238" w:name="_Hlk42855466"/>
      <w:r w:rsidRPr="003164AA">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6.5</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3164AA">
        <w:rPr>
          <w:rFonts w:ascii="Arial" w:hAnsi="Arial" w:cs="Arial"/>
          <w:sz w:val="16"/>
          <w:szCs w:val="16"/>
        </w:rPr>
        <w:t xml:space="preserve">: Conceptual framework of environmental scan for securing finance for real estate project </w:t>
      </w:r>
      <w:r w:rsidR="00AC621F" w:rsidRPr="003164AA">
        <w:rPr>
          <w:rFonts w:ascii="Arial" w:hAnsi="Arial" w:cs="Arial"/>
          <w:sz w:val="16"/>
          <w:szCs w:val="16"/>
        </w:rPr>
        <w:t>development.</w:t>
      </w:r>
      <w:bookmarkEnd w:id="1237"/>
    </w:p>
    <w:tbl>
      <w:tblPr>
        <w:tblStyle w:val="TableGrid"/>
        <w:tblW w:w="0" w:type="auto"/>
        <w:tblLook w:val="04A0" w:firstRow="1" w:lastRow="0" w:firstColumn="1" w:lastColumn="0" w:noHBand="0" w:noVBand="1"/>
      </w:tblPr>
      <w:tblGrid>
        <w:gridCol w:w="688"/>
        <w:gridCol w:w="6217"/>
        <w:gridCol w:w="1755"/>
      </w:tblGrid>
      <w:tr w:rsidR="00CD6352" w:rsidRPr="00B00D17" w14:paraId="1B9A51DB" w14:textId="77777777" w:rsidTr="00CD6352">
        <w:tc>
          <w:tcPr>
            <w:tcW w:w="8534" w:type="dxa"/>
            <w:gridSpan w:val="3"/>
          </w:tcPr>
          <w:p w14:paraId="6A175164" w14:textId="77777777" w:rsidR="00CD6352" w:rsidRPr="00B00D17" w:rsidRDefault="00CD6352" w:rsidP="00CD6352">
            <w:pPr>
              <w:spacing w:line="360" w:lineRule="auto"/>
              <w:jc w:val="center"/>
              <w:rPr>
                <w:rFonts w:ascii="Arial" w:hAnsi="Arial" w:cs="Arial"/>
                <w:b/>
                <w:bCs/>
                <w:sz w:val="16"/>
                <w:szCs w:val="16"/>
              </w:rPr>
            </w:pPr>
            <w:r w:rsidRPr="00B00D17">
              <w:rPr>
                <w:rFonts w:ascii="Arial" w:hAnsi="Arial" w:cs="Arial"/>
                <w:b/>
                <w:bCs/>
                <w:sz w:val="16"/>
                <w:szCs w:val="16"/>
              </w:rPr>
              <w:t>Environmental scan for securing finance for real estate project development</w:t>
            </w:r>
          </w:p>
        </w:tc>
      </w:tr>
      <w:tr w:rsidR="00CD6352" w:rsidRPr="00B00D17" w14:paraId="50505620" w14:textId="77777777" w:rsidTr="001559B2">
        <w:trPr>
          <w:cantSplit/>
          <w:trHeight w:val="474"/>
        </w:trPr>
        <w:tc>
          <w:tcPr>
            <w:tcW w:w="562" w:type="dxa"/>
          </w:tcPr>
          <w:p w14:paraId="0A4300F3" w14:textId="77777777" w:rsidR="00CD6352" w:rsidRPr="00E56AF8" w:rsidRDefault="00CD6352" w:rsidP="00CD6352">
            <w:pPr>
              <w:spacing w:line="360" w:lineRule="auto"/>
              <w:jc w:val="both"/>
              <w:rPr>
                <w:rFonts w:ascii="Arial" w:hAnsi="Arial" w:cs="Arial"/>
                <w:b/>
                <w:bCs/>
                <w:sz w:val="16"/>
                <w:szCs w:val="16"/>
              </w:rPr>
            </w:pPr>
            <w:r w:rsidRPr="00E56AF8">
              <w:rPr>
                <w:rFonts w:ascii="Arial" w:hAnsi="Arial" w:cs="Arial"/>
                <w:b/>
                <w:bCs/>
                <w:sz w:val="16"/>
                <w:szCs w:val="16"/>
              </w:rPr>
              <w:t>Phase 1</w:t>
            </w:r>
          </w:p>
        </w:tc>
        <w:tc>
          <w:tcPr>
            <w:tcW w:w="6217" w:type="dxa"/>
          </w:tcPr>
          <w:p w14:paraId="47881B35" w14:textId="77777777" w:rsidR="00CD6352" w:rsidRPr="00E56AF8" w:rsidRDefault="00CD6352" w:rsidP="00CD6352">
            <w:pPr>
              <w:spacing w:line="360" w:lineRule="auto"/>
              <w:jc w:val="both"/>
              <w:rPr>
                <w:rFonts w:ascii="Arial" w:hAnsi="Arial" w:cs="Arial"/>
                <w:b/>
                <w:bCs/>
                <w:sz w:val="16"/>
                <w:szCs w:val="16"/>
              </w:rPr>
            </w:pPr>
            <w:r w:rsidRPr="00E56AF8">
              <w:rPr>
                <w:rFonts w:ascii="Arial" w:hAnsi="Arial" w:cs="Arial"/>
                <w:b/>
                <w:bCs/>
                <w:sz w:val="16"/>
                <w:szCs w:val="16"/>
              </w:rPr>
              <w:t>External environmental scan</w:t>
            </w:r>
          </w:p>
        </w:tc>
        <w:tc>
          <w:tcPr>
            <w:tcW w:w="1755" w:type="dxa"/>
          </w:tcPr>
          <w:p w14:paraId="4B888B2F" w14:textId="77777777" w:rsidR="00CD6352" w:rsidRPr="00B00D17" w:rsidRDefault="00CD6352" w:rsidP="007625E7">
            <w:pPr>
              <w:spacing w:line="360" w:lineRule="auto"/>
              <w:jc w:val="both"/>
              <w:rPr>
                <w:rFonts w:ascii="Arial" w:hAnsi="Arial" w:cs="Arial"/>
                <w:b/>
                <w:bCs/>
                <w:sz w:val="16"/>
                <w:szCs w:val="16"/>
              </w:rPr>
            </w:pPr>
            <w:r w:rsidRPr="00B00D17">
              <w:rPr>
                <w:rFonts w:ascii="Arial" w:hAnsi="Arial" w:cs="Arial"/>
                <w:b/>
                <w:bCs/>
                <w:sz w:val="16"/>
                <w:szCs w:val="16"/>
              </w:rPr>
              <w:t>Feedback mechanism</w:t>
            </w:r>
          </w:p>
        </w:tc>
      </w:tr>
      <w:tr w:rsidR="00CD6352" w:rsidRPr="00B00D17" w14:paraId="3B194BC0" w14:textId="77777777" w:rsidTr="007F257C">
        <w:tc>
          <w:tcPr>
            <w:tcW w:w="562" w:type="dxa"/>
            <w:vMerge w:val="restart"/>
          </w:tcPr>
          <w:p w14:paraId="3504F17A" w14:textId="77777777" w:rsidR="00CD6352" w:rsidRPr="00E56AF8" w:rsidRDefault="00CD6352" w:rsidP="007625E7">
            <w:pPr>
              <w:spacing w:line="360" w:lineRule="auto"/>
              <w:jc w:val="both"/>
              <w:rPr>
                <w:rFonts w:ascii="Arial" w:hAnsi="Arial" w:cs="Arial"/>
                <w:b/>
                <w:bCs/>
                <w:sz w:val="16"/>
                <w:szCs w:val="16"/>
              </w:rPr>
            </w:pPr>
            <w:r w:rsidRPr="00E56AF8">
              <w:rPr>
                <w:rFonts w:ascii="Arial" w:hAnsi="Arial" w:cs="Arial"/>
                <w:b/>
                <w:bCs/>
                <w:sz w:val="16"/>
                <w:szCs w:val="16"/>
              </w:rPr>
              <w:t>Phase 1 a</w:t>
            </w:r>
          </w:p>
        </w:tc>
        <w:tc>
          <w:tcPr>
            <w:tcW w:w="6217" w:type="dxa"/>
          </w:tcPr>
          <w:p w14:paraId="19B0A5B9" w14:textId="77777777" w:rsidR="00CD6352" w:rsidRPr="00E56AF8" w:rsidRDefault="00CD6352" w:rsidP="00CD6352">
            <w:pPr>
              <w:spacing w:line="360" w:lineRule="auto"/>
              <w:jc w:val="both"/>
              <w:rPr>
                <w:rFonts w:ascii="Arial" w:hAnsi="Arial" w:cs="Arial"/>
                <w:b/>
                <w:bCs/>
                <w:sz w:val="16"/>
                <w:szCs w:val="16"/>
              </w:rPr>
            </w:pPr>
            <w:r w:rsidRPr="00E56AF8">
              <w:rPr>
                <w:rFonts w:ascii="Arial" w:hAnsi="Arial" w:cs="Arial"/>
                <w:b/>
                <w:bCs/>
                <w:sz w:val="16"/>
                <w:szCs w:val="16"/>
              </w:rPr>
              <w:t>Potential challenges</w:t>
            </w:r>
          </w:p>
        </w:tc>
        <w:tc>
          <w:tcPr>
            <w:tcW w:w="1755" w:type="dxa"/>
            <w:vMerge w:val="restart"/>
          </w:tcPr>
          <w:p w14:paraId="28D259DD" w14:textId="77777777" w:rsidR="00CD6352" w:rsidRPr="00B00D17" w:rsidRDefault="00CD6352" w:rsidP="00C74AEC">
            <w:pPr>
              <w:pStyle w:val="ListParagraph"/>
              <w:numPr>
                <w:ilvl w:val="0"/>
                <w:numId w:val="228"/>
              </w:numPr>
              <w:spacing w:after="0" w:line="360" w:lineRule="auto"/>
              <w:jc w:val="both"/>
              <w:rPr>
                <w:rFonts w:ascii="Arial" w:hAnsi="Arial" w:cs="Arial"/>
                <w:sz w:val="16"/>
                <w:szCs w:val="16"/>
              </w:rPr>
            </w:pPr>
            <w:r w:rsidRPr="00B00D17">
              <w:rPr>
                <w:rFonts w:ascii="Arial" w:hAnsi="Arial" w:cs="Arial"/>
                <w:sz w:val="16"/>
                <w:szCs w:val="16"/>
              </w:rPr>
              <w:t>Access to finance</w:t>
            </w:r>
          </w:p>
          <w:p w14:paraId="28CE3AD8" w14:textId="05B24367" w:rsidR="00CD6352" w:rsidRPr="00B00D17" w:rsidRDefault="00CD6352" w:rsidP="00C74AEC">
            <w:pPr>
              <w:pStyle w:val="ListParagraph"/>
              <w:numPr>
                <w:ilvl w:val="0"/>
                <w:numId w:val="228"/>
              </w:numPr>
              <w:spacing w:after="0" w:line="360" w:lineRule="auto"/>
              <w:jc w:val="both"/>
              <w:rPr>
                <w:rFonts w:ascii="Arial" w:hAnsi="Arial" w:cs="Arial"/>
                <w:sz w:val="16"/>
                <w:szCs w:val="16"/>
              </w:rPr>
            </w:pPr>
            <w:r w:rsidRPr="00B00D17">
              <w:rPr>
                <w:rFonts w:ascii="Arial" w:hAnsi="Arial" w:cs="Arial"/>
                <w:sz w:val="16"/>
                <w:szCs w:val="16"/>
              </w:rPr>
              <w:t xml:space="preserve">Sustained relationship with </w:t>
            </w:r>
            <w:r w:rsidR="0090142A" w:rsidRPr="00B00D17">
              <w:rPr>
                <w:rFonts w:ascii="Arial" w:hAnsi="Arial" w:cs="Arial"/>
                <w:sz w:val="16"/>
                <w:szCs w:val="16"/>
              </w:rPr>
              <w:t>F</w:t>
            </w:r>
            <w:r w:rsidRPr="00B00D17">
              <w:rPr>
                <w:rFonts w:ascii="Arial" w:hAnsi="Arial" w:cs="Arial"/>
                <w:sz w:val="16"/>
                <w:szCs w:val="16"/>
              </w:rPr>
              <w:t>inanciers</w:t>
            </w:r>
          </w:p>
          <w:p w14:paraId="0AB435DB" w14:textId="77777777" w:rsidR="00CD6352" w:rsidRPr="00B00D17" w:rsidRDefault="00CD6352" w:rsidP="00C74AEC">
            <w:pPr>
              <w:pStyle w:val="ListParagraph"/>
              <w:numPr>
                <w:ilvl w:val="0"/>
                <w:numId w:val="228"/>
              </w:numPr>
              <w:spacing w:after="0" w:line="360" w:lineRule="auto"/>
              <w:jc w:val="both"/>
              <w:rPr>
                <w:rFonts w:ascii="Arial" w:hAnsi="Arial" w:cs="Arial"/>
                <w:sz w:val="16"/>
                <w:szCs w:val="16"/>
              </w:rPr>
            </w:pPr>
            <w:r w:rsidRPr="00B00D17">
              <w:rPr>
                <w:rFonts w:ascii="Arial" w:hAnsi="Arial" w:cs="Arial"/>
                <w:sz w:val="16"/>
                <w:szCs w:val="16"/>
              </w:rPr>
              <w:t xml:space="preserve">Reduced default in payback </w:t>
            </w:r>
          </w:p>
          <w:p w14:paraId="3E82CDAD" w14:textId="77777777" w:rsidR="00CD6352" w:rsidRPr="00B00D17" w:rsidRDefault="00CD6352" w:rsidP="00CD6352">
            <w:pPr>
              <w:spacing w:line="360" w:lineRule="auto"/>
              <w:jc w:val="both"/>
              <w:rPr>
                <w:rFonts w:ascii="Arial" w:hAnsi="Arial" w:cs="Arial"/>
                <w:sz w:val="16"/>
                <w:szCs w:val="16"/>
              </w:rPr>
            </w:pPr>
          </w:p>
        </w:tc>
      </w:tr>
      <w:tr w:rsidR="00CD6352" w:rsidRPr="00B00D17" w14:paraId="23E2B07C" w14:textId="77777777" w:rsidTr="001559B2">
        <w:trPr>
          <w:trHeight w:val="5519"/>
        </w:trPr>
        <w:tc>
          <w:tcPr>
            <w:tcW w:w="562" w:type="dxa"/>
            <w:vMerge/>
          </w:tcPr>
          <w:p w14:paraId="547BDFC9" w14:textId="77777777" w:rsidR="00CD6352" w:rsidRPr="00B00D17" w:rsidRDefault="00CD6352" w:rsidP="00CD6352">
            <w:pPr>
              <w:spacing w:line="360" w:lineRule="auto"/>
              <w:jc w:val="both"/>
              <w:rPr>
                <w:rFonts w:ascii="Arial" w:hAnsi="Arial" w:cs="Arial"/>
                <w:sz w:val="16"/>
                <w:szCs w:val="16"/>
              </w:rPr>
            </w:pPr>
          </w:p>
        </w:tc>
        <w:tc>
          <w:tcPr>
            <w:tcW w:w="6217" w:type="dxa"/>
          </w:tcPr>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47"/>
              <w:gridCol w:w="1878"/>
              <w:gridCol w:w="1261"/>
              <w:gridCol w:w="1915"/>
            </w:tblGrid>
            <w:tr w:rsidR="00CD6352" w:rsidRPr="00B00D17" w14:paraId="6CB75350" w14:textId="77777777" w:rsidTr="00CD6352">
              <w:trPr>
                <w:trHeight w:val="558"/>
              </w:trPr>
              <w:tc>
                <w:tcPr>
                  <w:tcW w:w="1560" w:type="dxa"/>
                  <w:shd w:val="clear" w:color="auto" w:fill="auto"/>
                </w:tcPr>
                <w:p w14:paraId="2F451676"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Economic factors</w:t>
                  </w:r>
                </w:p>
              </w:tc>
              <w:tc>
                <w:tcPr>
                  <w:tcW w:w="2948" w:type="dxa"/>
                  <w:shd w:val="clear" w:color="auto" w:fill="auto"/>
                </w:tcPr>
                <w:p w14:paraId="087B6AB0" w14:textId="77777777" w:rsidR="00CD6352" w:rsidRPr="00B00D17" w:rsidRDefault="00CD6352" w:rsidP="00CD6352">
                  <w:pPr>
                    <w:pStyle w:val="ListParagraph"/>
                    <w:numPr>
                      <w:ilvl w:val="0"/>
                      <w:numId w:val="9"/>
                    </w:numPr>
                    <w:spacing w:after="0" w:line="240" w:lineRule="auto"/>
                    <w:jc w:val="both"/>
                    <w:rPr>
                      <w:rFonts w:ascii="Arial" w:hAnsi="Arial" w:cs="Arial"/>
                      <w:sz w:val="16"/>
                      <w:szCs w:val="16"/>
                    </w:rPr>
                  </w:pPr>
                  <w:r w:rsidRPr="00B00D17">
                    <w:rPr>
                      <w:rFonts w:ascii="Arial" w:hAnsi="Arial" w:cs="Arial"/>
                      <w:sz w:val="16"/>
                      <w:szCs w:val="16"/>
                    </w:rPr>
                    <w:t>Access to land</w:t>
                  </w:r>
                </w:p>
                <w:p w14:paraId="01B88FCC"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Currency risk</w:t>
                  </w:r>
                </w:p>
                <w:p w14:paraId="20713EE2" w14:textId="77777777" w:rsidR="00CD6352" w:rsidRPr="00B00D17" w:rsidRDefault="00CD6352" w:rsidP="00CD6352">
                  <w:pPr>
                    <w:pStyle w:val="ListParagraph"/>
                    <w:numPr>
                      <w:ilvl w:val="0"/>
                      <w:numId w:val="9"/>
                    </w:numPr>
                    <w:spacing w:after="0" w:line="240" w:lineRule="auto"/>
                    <w:jc w:val="both"/>
                    <w:rPr>
                      <w:rFonts w:ascii="Arial" w:hAnsi="Arial" w:cs="Arial"/>
                      <w:sz w:val="16"/>
                      <w:szCs w:val="16"/>
                    </w:rPr>
                  </w:pPr>
                  <w:r w:rsidRPr="00B00D17">
                    <w:rPr>
                      <w:rFonts w:ascii="Arial" w:hAnsi="Arial" w:cs="Arial"/>
                      <w:sz w:val="16"/>
                      <w:szCs w:val="16"/>
                    </w:rPr>
                    <w:t>Lengthy and challenging banking criteria</w:t>
                  </w:r>
                </w:p>
                <w:p w14:paraId="3386194E" w14:textId="77777777" w:rsidR="00CD6352" w:rsidRPr="00B00D17" w:rsidRDefault="00CD6352" w:rsidP="00CD6352">
                  <w:pPr>
                    <w:pStyle w:val="ListParagraph"/>
                    <w:numPr>
                      <w:ilvl w:val="0"/>
                      <w:numId w:val="9"/>
                    </w:numPr>
                    <w:spacing w:after="0" w:line="240" w:lineRule="auto"/>
                    <w:jc w:val="both"/>
                    <w:rPr>
                      <w:rFonts w:ascii="Arial" w:hAnsi="Arial" w:cs="Arial"/>
                      <w:sz w:val="16"/>
                      <w:szCs w:val="16"/>
                    </w:rPr>
                  </w:pPr>
                  <w:r w:rsidRPr="00B00D17">
                    <w:rPr>
                      <w:rFonts w:ascii="Arial" w:hAnsi="Arial" w:cs="Arial"/>
                      <w:sz w:val="16"/>
                      <w:szCs w:val="16"/>
                    </w:rPr>
                    <w:t>Difficult experiences for foreign investors in getting loans</w:t>
                  </w:r>
                </w:p>
                <w:p w14:paraId="3A858E77"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Economic trends</w:t>
                  </w:r>
                </w:p>
                <w:p w14:paraId="30B74FDC"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Collateral requirement</w:t>
                  </w:r>
                </w:p>
                <w:p w14:paraId="037F8298"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Exchange rate volatility</w:t>
                  </w:r>
                </w:p>
                <w:p w14:paraId="4DC1A243"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High-interest rates</w:t>
                  </w:r>
                </w:p>
                <w:p w14:paraId="187AC227"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Import/export ratios</w:t>
                  </w:r>
                </w:p>
                <w:p w14:paraId="38771587" w14:textId="77777777" w:rsidR="00CD6352" w:rsidRPr="00B00D17" w:rsidRDefault="00CD6352" w:rsidP="00CD6352">
                  <w:pPr>
                    <w:pStyle w:val="ListParagraph"/>
                    <w:numPr>
                      <w:ilvl w:val="0"/>
                      <w:numId w:val="9"/>
                    </w:numPr>
                    <w:spacing w:after="0" w:line="240" w:lineRule="auto"/>
                    <w:jc w:val="both"/>
                    <w:rPr>
                      <w:rFonts w:ascii="Arial" w:hAnsi="Arial" w:cs="Arial"/>
                      <w:sz w:val="16"/>
                      <w:szCs w:val="16"/>
                    </w:rPr>
                  </w:pPr>
                  <w:r w:rsidRPr="00B00D17">
                    <w:rPr>
                      <w:rFonts w:ascii="Arial" w:hAnsi="Arial" w:cs="Arial"/>
                      <w:sz w:val="16"/>
                      <w:szCs w:val="16"/>
                    </w:rPr>
                    <w:t>The increasing cost of construction</w:t>
                  </w:r>
                </w:p>
                <w:p w14:paraId="4B81C132"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Industry growth</w:t>
                  </w:r>
                </w:p>
                <w:p w14:paraId="4BDD7D3F"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Inflation</w:t>
                  </w:r>
                </w:p>
                <w:p w14:paraId="0B1AAAD0"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International exchange rates</w:t>
                  </w:r>
                </w:p>
                <w:p w14:paraId="1917A7A2"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International trade</w:t>
                  </w:r>
                </w:p>
                <w:p w14:paraId="3B86C2ED"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Lack of long term financing</w:t>
                  </w:r>
                </w:p>
                <w:p w14:paraId="3BF0C61B" w14:textId="7D507F21" w:rsidR="00CD6352" w:rsidRPr="00B00D17" w:rsidRDefault="00CD6352" w:rsidP="00CD6352">
                  <w:pPr>
                    <w:pStyle w:val="ListParagraph"/>
                    <w:numPr>
                      <w:ilvl w:val="0"/>
                      <w:numId w:val="9"/>
                    </w:numPr>
                    <w:spacing w:after="0" w:line="240" w:lineRule="auto"/>
                    <w:jc w:val="both"/>
                    <w:rPr>
                      <w:rFonts w:ascii="Arial" w:hAnsi="Arial" w:cs="Arial"/>
                      <w:sz w:val="16"/>
                      <w:szCs w:val="16"/>
                    </w:rPr>
                  </w:pPr>
                  <w:r w:rsidRPr="00B00D17">
                    <w:rPr>
                      <w:rFonts w:ascii="Arial" w:hAnsi="Arial" w:cs="Arial"/>
                      <w:sz w:val="16"/>
                      <w:szCs w:val="16"/>
                    </w:rPr>
                    <w:t>Large equity input request</w:t>
                  </w:r>
                  <w:r w:rsidR="00E56AF8">
                    <w:rPr>
                      <w:rFonts w:ascii="Arial" w:hAnsi="Arial" w:cs="Arial"/>
                      <w:sz w:val="16"/>
                      <w:szCs w:val="16"/>
                    </w:rPr>
                    <w:t>s</w:t>
                  </w:r>
                  <w:r w:rsidRPr="00B00D17">
                    <w:rPr>
                      <w:rFonts w:ascii="Arial" w:hAnsi="Arial" w:cs="Arial"/>
                      <w:sz w:val="16"/>
                      <w:szCs w:val="16"/>
                    </w:rPr>
                    <w:t xml:space="preserve"> by banks</w:t>
                  </w:r>
                </w:p>
                <w:p w14:paraId="1EECC2A4"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Local economy</w:t>
                  </w:r>
                </w:p>
                <w:p w14:paraId="7BF3D655" w14:textId="142A011D"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Low demand for real estate and properties</w:t>
                  </w:r>
                </w:p>
                <w:p w14:paraId="54726307"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Seasonality issues</w:t>
                  </w:r>
                </w:p>
                <w:p w14:paraId="434DEFF7" w14:textId="77777777" w:rsidR="00CD6352" w:rsidRPr="00B00D17" w:rsidRDefault="00CD6352" w:rsidP="00CD6352">
                  <w:pPr>
                    <w:pStyle w:val="ListParagraph"/>
                    <w:numPr>
                      <w:ilvl w:val="0"/>
                      <w:numId w:val="9"/>
                    </w:numPr>
                    <w:spacing w:after="0" w:line="240" w:lineRule="auto"/>
                    <w:jc w:val="both"/>
                    <w:rPr>
                      <w:rFonts w:ascii="Arial" w:hAnsi="Arial" w:cs="Arial"/>
                      <w:sz w:val="16"/>
                      <w:szCs w:val="16"/>
                    </w:rPr>
                  </w:pPr>
                  <w:r w:rsidRPr="00B00D17">
                    <w:rPr>
                      <w:rFonts w:ascii="Arial" w:hAnsi="Arial" w:cs="Arial"/>
                      <w:sz w:val="16"/>
                      <w:szCs w:val="16"/>
                    </w:rPr>
                    <w:t>Size of transaction</w:t>
                  </w:r>
                </w:p>
                <w:p w14:paraId="1FFBAA34"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Taxation</w:t>
                  </w:r>
                </w:p>
                <w:p w14:paraId="14BD4DB5" w14:textId="77777777" w:rsidR="00CD6352" w:rsidRPr="00B00D17" w:rsidRDefault="00CD6352" w:rsidP="00CD6352">
                  <w:pPr>
                    <w:ind w:left="502"/>
                    <w:jc w:val="both"/>
                    <w:rPr>
                      <w:rFonts w:ascii="Arial" w:hAnsi="Arial" w:cs="Arial"/>
                      <w:sz w:val="16"/>
                      <w:szCs w:val="16"/>
                    </w:rPr>
                  </w:pPr>
                </w:p>
              </w:tc>
              <w:tc>
                <w:tcPr>
                  <w:tcW w:w="1729" w:type="dxa"/>
                  <w:shd w:val="clear" w:color="auto" w:fill="auto"/>
                </w:tcPr>
                <w:p w14:paraId="3D5AD0CD"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Political factors</w:t>
                  </w:r>
                </w:p>
              </w:tc>
              <w:tc>
                <w:tcPr>
                  <w:tcW w:w="2779" w:type="dxa"/>
                  <w:shd w:val="clear" w:color="auto" w:fill="auto"/>
                </w:tcPr>
                <w:p w14:paraId="60091D37"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Bureaucracy</w:t>
                  </w:r>
                </w:p>
                <w:p w14:paraId="58B2B187"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Corruption</w:t>
                  </w:r>
                </w:p>
                <w:p w14:paraId="5A516D1F"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Difficulties in accessing loan from the government</w:t>
                  </w:r>
                </w:p>
                <w:p w14:paraId="00D41961"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Elections and political trends</w:t>
                  </w:r>
                </w:p>
                <w:p w14:paraId="63DE4CEB"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Funding, grants, and initiatives</w:t>
                  </w:r>
                </w:p>
                <w:p w14:paraId="6239B36E"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Government policies</w:t>
                  </w:r>
                </w:p>
                <w:p w14:paraId="5AA56305"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Government terms and changes in policies</w:t>
                  </w:r>
                </w:p>
                <w:p w14:paraId="15D48B6A"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Inter-country relationships</w:t>
                  </w:r>
                </w:p>
                <w:p w14:paraId="15F517C2"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Internal political issues</w:t>
                  </w:r>
                </w:p>
                <w:p w14:paraId="769D346E"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Internal political issues</w:t>
                  </w:r>
                </w:p>
                <w:p w14:paraId="07F160B1"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Lobbying and pressure groups</w:t>
                  </w:r>
                </w:p>
                <w:p w14:paraId="52171C2C"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Local commissioning processes</w:t>
                  </w:r>
                </w:p>
                <w:p w14:paraId="5BA0B4D3"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Terrorism</w:t>
                  </w:r>
                </w:p>
                <w:p w14:paraId="3F45F19F"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Trading policies</w:t>
                  </w:r>
                </w:p>
                <w:p w14:paraId="79533AF9" w14:textId="77777777" w:rsidR="00CD6352" w:rsidRPr="00B00D17" w:rsidRDefault="00CD6352" w:rsidP="00CD6352">
                  <w:pPr>
                    <w:pStyle w:val="ListParagraph"/>
                    <w:numPr>
                      <w:ilvl w:val="0"/>
                      <w:numId w:val="8"/>
                    </w:numPr>
                    <w:spacing w:after="0" w:line="240" w:lineRule="auto"/>
                    <w:rPr>
                      <w:rFonts w:ascii="Arial" w:hAnsi="Arial" w:cs="Arial"/>
                      <w:sz w:val="16"/>
                      <w:szCs w:val="16"/>
                    </w:rPr>
                  </w:pPr>
                  <w:r w:rsidRPr="00B00D17">
                    <w:rPr>
                      <w:rFonts w:ascii="Arial" w:hAnsi="Arial" w:cs="Arial"/>
                      <w:sz w:val="16"/>
                      <w:szCs w:val="16"/>
                    </w:rPr>
                    <w:t>Wars, terrorism, and conflicts</w:t>
                  </w:r>
                </w:p>
                <w:p w14:paraId="090A56F9" w14:textId="77777777" w:rsidR="00CD6352" w:rsidRPr="00B00D17" w:rsidRDefault="00CD6352" w:rsidP="00CD6352">
                  <w:pPr>
                    <w:pStyle w:val="ListParagraph"/>
                    <w:ind w:left="501"/>
                    <w:jc w:val="both"/>
                    <w:rPr>
                      <w:rFonts w:ascii="Arial" w:hAnsi="Arial" w:cs="Arial"/>
                      <w:sz w:val="16"/>
                      <w:szCs w:val="16"/>
                    </w:rPr>
                  </w:pPr>
                </w:p>
              </w:tc>
            </w:tr>
            <w:tr w:rsidR="00CD6352" w:rsidRPr="00B00D17" w14:paraId="5A2EBD05" w14:textId="77777777" w:rsidTr="00CD6352">
              <w:trPr>
                <w:trHeight w:val="1124"/>
              </w:trPr>
              <w:tc>
                <w:tcPr>
                  <w:tcW w:w="1560" w:type="dxa"/>
                  <w:shd w:val="clear" w:color="auto" w:fill="auto"/>
                </w:tcPr>
                <w:p w14:paraId="5004217E"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Social factors</w:t>
                  </w:r>
                </w:p>
              </w:tc>
              <w:tc>
                <w:tcPr>
                  <w:tcW w:w="2948" w:type="dxa"/>
                  <w:shd w:val="clear" w:color="auto" w:fill="auto"/>
                </w:tcPr>
                <w:p w14:paraId="4985BB4F"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 Work ethic</w:t>
                  </w:r>
                </w:p>
                <w:p w14:paraId="2A6FAC0E"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 Advertising and publicity</w:t>
                  </w:r>
                </w:p>
                <w:p w14:paraId="19284D36"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Buying access and trends</w:t>
                  </w:r>
                </w:p>
                <w:p w14:paraId="3A26C5F8"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Consumer buying patterns</w:t>
                  </w:r>
                </w:p>
                <w:p w14:paraId="7C857B27"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Cultural Taboos</w:t>
                  </w:r>
                </w:p>
                <w:p w14:paraId="27D292FC"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Demographics </w:t>
                  </w:r>
                </w:p>
                <w:p w14:paraId="545DA549"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Ethical issues</w:t>
                  </w:r>
                </w:p>
                <w:p w14:paraId="279AD642"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Lack of skilled professionalism in project development</w:t>
                  </w:r>
                </w:p>
                <w:p w14:paraId="7A1A7BAA"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Lifestyle trends</w:t>
                  </w:r>
                </w:p>
                <w:p w14:paraId="650712DB"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Major events and influences</w:t>
                  </w:r>
                </w:p>
                <w:p w14:paraId="5B6B3D30"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lastRenderedPageBreak/>
                    <w:t>Population shrinking and ageing</w:t>
                  </w:r>
                </w:p>
                <w:p w14:paraId="3C174E47"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Real estate market transparency </w:t>
                  </w:r>
                </w:p>
                <w:p w14:paraId="6522CC96"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Unemployment</w:t>
                  </w:r>
                </w:p>
              </w:tc>
              <w:tc>
                <w:tcPr>
                  <w:tcW w:w="1729" w:type="dxa"/>
                  <w:shd w:val="clear" w:color="auto" w:fill="auto"/>
                </w:tcPr>
                <w:p w14:paraId="030F8BAF"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lastRenderedPageBreak/>
                    <w:t>Technological factors</w:t>
                  </w:r>
                </w:p>
              </w:tc>
              <w:tc>
                <w:tcPr>
                  <w:tcW w:w="2779" w:type="dxa"/>
                  <w:shd w:val="clear" w:color="auto" w:fill="auto"/>
                </w:tcPr>
                <w:p w14:paraId="066E6F5A"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Emerging technologies</w:t>
                  </w:r>
                </w:p>
                <w:p w14:paraId="55B27AB5"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Technology legislation</w:t>
                  </w:r>
                </w:p>
                <w:p w14:paraId="3B1A4644"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Research and Innovation</w:t>
                  </w:r>
                </w:p>
                <w:p w14:paraId="7A06650F"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Information and communications</w:t>
                  </w:r>
                </w:p>
                <w:p w14:paraId="625FDFCA"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Competitor technology development</w:t>
                  </w:r>
                </w:p>
                <w:p w14:paraId="13194597"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Intellectual property issues</w:t>
                  </w:r>
                </w:p>
                <w:p w14:paraId="4B8F7956" w14:textId="77777777" w:rsidR="00CD6352" w:rsidRPr="00B00D17" w:rsidRDefault="00CD6352" w:rsidP="00CD6352">
                  <w:pPr>
                    <w:jc w:val="both"/>
                    <w:rPr>
                      <w:rFonts w:ascii="Arial" w:hAnsi="Arial" w:cs="Arial"/>
                      <w:sz w:val="16"/>
                      <w:szCs w:val="16"/>
                    </w:rPr>
                  </w:pPr>
                </w:p>
              </w:tc>
            </w:tr>
            <w:tr w:rsidR="00CD6352" w:rsidRPr="00B00D17" w14:paraId="197C1B66" w14:textId="77777777" w:rsidTr="00CD6352">
              <w:trPr>
                <w:trHeight w:val="2409"/>
              </w:trPr>
              <w:tc>
                <w:tcPr>
                  <w:tcW w:w="1560" w:type="dxa"/>
                  <w:shd w:val="clear" w:color="auto" w:fill="auto"/>
                </w:tcPr>
                <w:p w14:paraId="4E164E6B"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Legal Factors</w:t>
                  </w:r>
                </w:p>
              </w:tc>
              <w:tc>
                <w:tcPr>
                  <w:tcW w:w="2948" w:type="dxa"/>
                  <w:shd w:val="clear" w:color="auto" w:fill="auto"/>
                </w:tcPr>
                <w:p w14:paraId="48CB4466" w14:textId="5598FDF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 xml:space="preserve">Complicated processes of getting </w:t>
                  </w:r>
                  <w:r w:rsidR="009F4B1E" w:rsidRPr="00B00D17">
                    <w:rPr>
                      <w:rFonts w:ascii="Arial" w:hAnsi="Arial" w:cs="Arial"/>
                      <w:sz w:val="16"/>
                      <w:szCs w:val="16"/>
                    </w:rPr>
                    <w:t xml:space="preserve">the </w:t>
                  </w:r>
                  <w:r w:rsidRPr="00B00D17">
                    <w:rPr>
                      <w:rFonts w:ascii="Arial" w:hAnsi="Arial" w:cs="Arial"/>
                      <w:sz w:val="16"/>
                      <w:szCs w:val="16"/>
                    </w:rPr>
                    <w:t>land lease</w:t>
                  </w:r>
                </w:p>
                <w:p w14:paraId="390BDB9D"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 xml:space="preserve">Current legislation </w:t>
                  </w:r>
                </w:p>
                <w:p w14:paraId="16F4F8B8"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Difficult land-use laws</w:t>
                  </w:r>
                </w:p>
                <w:p w14:paraId="4EF666C9"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Future legislation</w:t>
                  </w:r>
                </w:p>
                <w:p w14:paraId="5DD212D8"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Industry-specific regulations</w:t>
                  </w:r>
                </w:p>
                <w:p w14:paraId="5F29E2E6"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International legislation</w:t>
                  </w:r>
                </w:p>
                <w:p w14:paraId="64F28A1D"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Money laundering regulations</w:t>
                  </w:r>
                </w:p>
                <w:p w14:paraId="47A95E57"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Regulatory bodies and processes</w:t>
                  </w:r>
                </w:p>
                <w:p w14:paraId="47950759"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 xml:space="preserve">Tax regulations </w:t>
                  </w:r>
                </w:p>
              </w:tc>
              <w:tc>
                <w:tcPr>
                  <w:tcW w:w="1729" w:type="dxa"/>
                  <w:shd w:val="clear" w:color="auto" w:fill="auto"/>
                </w:tcPr>
                <w:p w14:paraId="3B47AFB5"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Environmental Factors</w:t>
                  </w:r>
                </w:p>
              </w:tc>
              <w:tc>
                <w:tcPr>
                  <w:tcW w:w="2779" w:type="dxa"/>
                  <w:shd w:val="clear" w:color="auto" w:fill="auto"/>
                </w:tcPr>
                <w:p w14:paraId="482C8C71"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Ecological regulations</w:t>
                  </w:r>
                </w:p>
                <w:p w14:paraId="7014B526"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 xml:space="preserve">Environmental regulations </w:t>
                  </w:r>
                </w:p>
                <w:p w14:paraId="6576546F"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Impact of adverse weather</w:t>
                  </w:r>
                </w:p>
                <w:p w14:paraId="07921A3E"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Lenders not equipped to review construction cost and projects</w:t>
                  </w:r>
                </w:p>
                <w:p w14:paraId="0B056FEE"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Reduction of carbon footprint</w:t>
                  </w:r>
                </w:p>
                <w:p w14:paraId="6AA3A1CD"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 xml:space="preserve"> Sustainability</w:t>
                  </w:r>
                </w:p>
                <w:p w14:paraId="228312FC" w14:textId="77777777" w:rsidR="00CD6352" w:rsidRPr="00B00D17" w:rsidRDefault="00CD6352" w:rsidP="00CD6352">
                  <w:pPr>
                    <w:ind w:left="502"/>
                    <w:contextualSpacing/>
                    <w:jc w:val="both"/>
                    <w:rPr>
                      <w:rFonts w:ascii="Arial" w:hAnsi="Arial" w:cs="Arial"/>
                      <w:sz w:val="16"/>
                      <w:szCs w:val="16"/>
                    </w:rPr>
                  </w:pPr>
                </w:p>
              </w:tc>
            </w:tr>
          </w:tbl>
          <w:p w14:paraId="673E6219" w14:textId="77777777" w:rsidR="00CD6352" w:rsidRPr="00B00D17" w:rsidRDefault="00CD6352" w:rsidP="00CD6352">
            <w:pPr>
              <w:spacing w:line="360" w:lineRule="auto"/>
              <w:jc w:val="both"/>
              <w:rPr>
                <w:rFonts w:ascii="Arial" w:hAnsi="Arial" w:cs="Arial"/>
                <w:sz w:val="16"/>
                <w:szCs w:val="16"/>
              </w:rPr>
            </w:pPr>
          </w:p>
        </w:tc>
        <w:tc>
          <w:tcPr>
            <w:tcW w:w="1755" w:type="dxa"/>
            <w:vMerge/>
          </w:tcPr>
          <w:p w14:paraId="5F463817" w14:textId="77777777" w:rsidR="00CD6352" w:rsidRPr="00B00D17" w:rsidRDefault="00CD6352" w:rsidP="00CD6352">
            <w:pPr>
              <w:spacing w:line="360" w:lineRule="auto"/>
              <w:jc w:val="both"/>
              <w:rPr>
                <w:rFonts w:ascii="Arial" w:hAnsi="Arial" w:cs="Arial"/>
                <w:sz w:val="16"/>
                <w:szCs w:val="16"/>
              </w:rPr>
            </w:pPr>
          </w:p>
        </w:tc>
      </w:tr>
      <w:tr w:rsidR="00CD6352" w:rsidRPr="00B00D17" w14:paraId="63FAE1D4" w14:textId="77777777" w:rsidTr="007625E7">
        <w:trPr>
          <w:trHeight w:val="259"/>
        </w:trPr>
        <w:tc>
          <w:tcPr>
            <w:tcW w:w="6779" w:type="dxa"/>
            <w:gridSpan w:val="2"/>
          </w:tcPr>
          <w:p w14:paraId="4A994EA0" w14:textId="77777777" w:rsidR="00CD6352" w:rsidRPr="00B00D17" w:rsidRDefault="00CD6352" w:rsidP="00CD6352">
            <w:pPr>
              <w:spacing w:line="360" w:lineRule="auto"/>
              <w:jc w:val="both"/>
              <w:rPr>
                <w:rFonts w:ascii="Arial" w:hAnsi="Arial" w:cs="Arial"/>
                <w:sz w:val="16"/>
                <w:szCs w:val="16"/>
              </w:rPr>
            </w:pPr>
          </w:p>
        </w:tc>
        <w:tc>
          <w:tcPr>
            <w:tcW w:w="1755" w:type="dxa"/>
            <w:vMerge/>
          </w:tcPr>
          <w:p w14:paraId="766A3833" w14:textId="77777777" w:rsidR="00CD6352" w:rsidRPr="00B00D17" w:rsidRDefault="00CD6352" w:rsidP="00CD6352">
            <w:pPr>
              <w:spacing w:line="360" w:lineRule="auto"/>
              <w:jc w:val="both"/>
              <w:rPr>
                <w:rFonts w:ascii="Arial" w:hAnsi="Arial" w:cs="Arial"/>
                <w:sz w:val="16"/>
                <w:szCs w:val="16"/>
              </w:rPr>
            </w:pPr>
          </w:p>
        </w:tc>
      </w:tr>
      <w:tr w:rsidR="00CD6352" w:rsidRPr="00B00D17" w14:paraId="6D3DDAE5" w14:textId="77777777" w:rsidTr="007F257C">
        <w:tc>
          <w:tcPr>
            <w:tcW w:w="562" w:type="dxa"/>
            <w:vMerge w:val="restart"/>
          </w:tcPr>
          <w:p w14:paraId="2AB67209" w14:textId="77777777" w:rsidR="00CD6352" w:rsidRPr="00E56AF8" w:rsidRDefault="00CD6352" w:rsidP="007F257C">
            <w:pPr>
              <w:spacing w:line="360" w:lineRule="auto"/>
              <w:jc w:val="right"/>
              <w:rPr>
                <w:rFonts w:ascii="Arial" w:hAnsi="Arial" w:cs="Arial"/>
                <w:b/>
                <w:bCs/>
                <w:sz w:val="16"/>
                <w:szCs w:val="16"/>
              </w:rPr>
            </w:pPr>
            <w:r w:rsidRPr="00E56AF8">
              <w:rPr>
                <w:rFonts w:ascii="Arial" w:hAnsi="Arial" w:cs="Arial"/>
                <w:b/>
                <w:bCs/>
                <w:sz w:val="16"/>
                <w:szCs w:val="16"/>
              </w:rPr>
              <w:t>Phase 1 b</w:t>
            </w:r>
          </w:p>
        </w:tc>
        <w:tc>
          <w:tcPr>
            <w:tcW w:w="6217" w:type="dxa"/>
          </w:tcPr>
          <w:p w14:paraId="34418BF3" w14:textId="77777777" w:rsidR="00CD6352" w:rsidRPr="00E56AF8" w:rsidRDefault="00CD6352" w:rsidP="00CD6352">
            <w:pPr>
              <w:spacing w:line="360" w:lineRule="auto"/>
              <w:jc w:val="both"/>
              <w:rPr>
                <w:rFonts w:ascii="Arial" w:hAnsi="Arial" w:cs="Arial"/>
                <w:b/>
                <w:bCs/>
                <w:sz w:val="16"/>
                <w:szCs w:val="16"/>
              </w:rPr>
            </w:pPr>
            <w:r w:rsidRPr="00E56AF8">
              <w:rPr>
                <w:rFonts w:ascii="Arial" w:hAnsi="Arial" w:cs="Arial"/>
                <w:b/>
                <w:bCs/>
                <w:sz w:val="16"/>
                <w:szCs w:val="16"/>
              </w:rPr>
              <w:t>Potential opportunities</w:t>
            </w:r>
          </w:p>
        </w:tc>
        <w:tc>
          <w:tcPr>
            <w:tcW w:w="1755" w:type="dxa"/>
            <w:vMerge/>
          </w:tcPr>
          <w:p w14:paraId="51A2CA75" w14:textId="77777777" w:rsidR="00CD6352" w:rsidRPr="00B00D17" w:rsidRDefault="00CD6352" w:rsidP="00CD6352">
            <w:pPr>
              <w:spacing w:line="360" w:lineRule="auto"/>
              <w:jc w:val="both"/>
              <w:rPr>
                <w:rFonts w:ascii="Arial" w:hAnsi="Arial" w:cs="Arial"/>
                <w:sz w:val="16"/>
                <w:szCs w:val="16"/>
              </w:rPr>
            </w:pPr>
          </w:p>
        </w:tc>
      </w:tr>
      <w:tr w:rsidR="00CD6352" w:rsidRPr="00B00D17" w14:paraId="189D3322" w14:textId="77777777" w:rsidTr="007625E7">
        <w:tc>
          <w:tcPr>
            <w:tcW w:w="562" w:type="dxa"/>
            <w:vMerge/>
          </w:tcPr>
          <w:p w14:paraId="79036EB6" w14:textId="77777777" w:rsidR="00CD6352" w:rsidRPr="00B00D17" w:rsidRDefault="00CD6352" w:rsidP="00CD6352">
            <w:pPr>
              <w:spacing w:line="360" w:lineRule="auto"/>
              <w:jc w:val="both"/>
              <w:rPr>
                <w:rFonts w:ascii="Arial" w:hAnsi="Arial" w:cs="Arial"/>
                <w:sz w:val="16"/>
                <w:szCs w:val="16"/>
              </w:rPr>
            </w:pPr>
          </w:p>
        </w:tc>
        <w:tc>
          <w:tcPr>
            <w:tcW w:w="6217" w:type="dxa"/>
          </w:tcPr>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51"/>
              <w:gridCol w:w="1854"/>
              <w:gridCol w:w="1264"/>
              <w:gridCol w:w="1922"/>
            </w:tblGrid>
            <w:tr w:rsidR="00CD6352" w:rsidRPr="00B00D17" w14:paraId="24A23896" w14:textId="77777777" w:rsidTr="00CD6352">
              <w:trPr>
                <w:trHeight w:val="1550"/>
              </w:trPr>
              <w:tc>
                <w:tcPr>
                  <w:tcW w:w="1555" w:type="dxa"/>
                  <w:shd w:val="clear" w:color="auto" w:fill="auto"/>
                </w:tcPr>
                <w:p w14:paraId="13BB2F23"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Economic factors</w:t>
                  </w:r>
                </w:p>
              </w:tc>
              <w:tc>
                <w:tcPr>
                  <w:tcW w:w="2953" w:type="dxa"/>
                  <w:shd w:val="clear" w:color="auto" w:fill="auto"/>
                </w:tcPr>
                <w:p w14:paraId="0F0BFE4D"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Local economy</w:t>
                  </w:r>
                </w:p>
                <w:p w14:paraId="5A27865F"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Growing demand in the property market</w:t>
                  </w:r>
                </w:p>
                <w:p w14:paraId="395ABF68"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 xml:space="preserve">Favourable tax platform </w:t>
                  </w:r>
                </w:p>
                <w:p w14:paraId="696DCAE7"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Foreign exchange stability</w:t>
                  </w:r>
                </w:p>
                <w:p w14:paraId="340DDCC1"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Low Inflation</w:t>
                  </w:r>
                </w:p>
                <w:p w14:paraId="12DAB3FA"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Low-interest rates</w:t>
                  </w:r>
                </w:p>
                <w:p w14:paraId="6B374BD1"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Economy trends</w:t>
                  </w:r>
                </w:p>
                <w:p w14:paraId="43649480"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Seasonality issues</w:t>
                  </w:r>
                </w:p>
                <w:p w14:paraId="04A1CAD8"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Industry growth</w:t>
                  </w:r>
                </w:p>
                <w:p w14:paraId="4DEF79DD"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Import/export ratios</w:t>
                  </w:r>
                </w:p>
                <w:p w14:paraId="7722F25E"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International trade</w:t>
                  </w:r>
                </w:p>
                <w:p w14:paraId="12B8ED3F"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International exchange rates</w:t>
                  </w:r>
                </w:p>
                <w:p w14:paraId="5B724F58"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Availability of long term funds</w:t>
                  </w:r>
                </w:p>
                <w:p w14:paraId="4B5ACB6B"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Market liquidity</w:t>
                  </w:r>
                </w:p>
                <w:p w14:paraId="753AA9A6"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Market maturity &amp; transparency</w:t>
                  </w:r>
                </w:p>
                <w:p w14:paraId="668B4714"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Multiple finance sources</w:t>
                  </w:r>
                </w:p>
                <w:p w14:paraId="0832BB30"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Positive and sustained economic growth</w:t>
                  </w:r>
                </w:p>
                <w:p w14:paraId="1D43C9A7"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Foreign exchange stability</w:t>
                  </w:r>
                </w:p>
                <w:p w14:paraId="4C9BBB66"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Presence of international market interest</w:t>
                  </w:r>
                </w:p>
                <w:p w14:paraId="0D710695"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lastRenderedPageBreak/>
                    <w:t>Access to bank loan</w:t>
                  </w:r>
                </w:p>
                <w:p w14:paraId="44164364"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Access to equity &amp; debt</w:t>
                  </w:r>
                </w:p>
                <w:p w14:paraId="25243530"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Involvements in large real estate deals</w:t>
                  </w:r>
                </w:p>
                <w:p w14:paraId="79192E74"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Availability of finance from existing properties</w:t>
                  </w:r>
                </w:p>
                <w:p w14:paraId="561804EF" w14:textId="77777777" w:rsidR="00CD6352" w:rsidRPr="00B00D17" w:rsidRDefault="00CD6352" w:rsidP="00CD6352">
                  <w:pPr>
                    <w:numPr>
                      <w:ilvl w:val="0"/>
                      <w:numId w:val="9"/>
                    </w:numPr>
                    <w:spacing w:after="0" w:line="240" w:lineRule="auto"/>
                    <w:jc w:val="both"/>
                    <w:rPr>
                      <w:rFonts w:ascii="Arial" w:hAnsi="Arial" w:cs="Arial"/>
                      <w:sz w:val="16"/>
                      <w:szCs w:val="16"/>
                    </w:rPr>
                  </w:pPr>
                  <w:r w:rsidRPr="00B00D17">
                    <w:rPr>
                      <w:rFonts w:ascii="Arial" w:hAnsi="Arial" w:cs="Arial"/>
                      <w:sz w:val="16"/>
                      <w:szCs w:val="16"/>
                    </w:rPr>
                    <w:t xml:space="preserve">A long-standing relationship with existing bankers </w:t>
                  </w:r>
                </w:p>
              </w:tc>
              <w:tc>
                <w:tcPr>
                  <w:tcW w:w="1724" w:type="dxa"/>
                  <w:shd w:val="clear" w:color="auto" w:fill="auto"/>
                </w:tcPr>
                <w:p w14:paraId="72823B22"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lastRenderedPageBreak/>
                    <w:t>Political factors</w:t>
                  </w:r>
                </w:p>
              </w:tc>
              <w:tc>
                <w:tcPr>
                  <w:tcW w:w="2784" w:type="dxa"/>
                  <w:shd w:val="clear" w:color="auto" w:fill="auto"/>
                </w:tcPr>
                <w:p w14:paraId="0923804A"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Funding, grants, and initiatives</w:t>
                  </w:r>
                </w:p>
                <w:p w14:paraId="31FD50F4"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Government housing regulations and policies</w:t>
                  </w:r>
                </w:p>
                <w:p w14:paraId="5E1771B6"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Government housing subsidies &amp; credit interventions </w:t>
                  </w:r>
                </w:p>
                <w:p w14:paraId="4472417D"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Government monetary and fiscal policies</w:t>
                  </w:r>
                </w:p>
                <w:p w14:paraId="6E47213D"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Government policies</w:t>
                  </w:r>
                </w:p>
                <w:p w14:paraId="39D31048"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Government support to first-time homeowners </w:t>
                  </w:r>
                </w:p>
                <w:p w14:paraId="71245C04"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Government term and change</w:t>
                  </w:r>
                </w:p>
                <w:p w14:paraId="1AEAF8B2"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Local commissioning processes</w:t>
                  </w:r>
                </w:p>
                <w:p w14:paraId="4353863A"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Political stability</w:t>
                  </w:r>
                </w:p>
                <w:p w14:paraId="7651366F"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Trading policies</w:t>
                  </w:r>
                </w:p>
              </w:tc>
            </w:tr>
            <w:tr w:rsidR="00CD6352" w:rsidRPr="00B00D17" w14:paraId="24465331" w14:textId="77777777" w:rsidTr="00CD6352">
              <w:tc>
                <w:tcPr>
                  <w:tcW w:w="1555" w:type="dxa"/>
                  <w:shd w:val="clear" w:color="auto" w:fill="auto"/>
                </w:tcPr>
                <w:p w14:paraId="7E619A7F"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Social factors</w:t>
                  </w:r>
                </w:p>
              </w:tc>
              <w:tc>
                <w:tcPr>
                  <w:tcW w:w="2953" w:type="dxa"/>
                  <w:shd w:val="clear" w:color="auto" w:fill="auto"/>
                </w:tcPr>
                <w:p w14:paraId="0170E956"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 Work ethic</w:t>
                  </w:r>
                </w:p>
                <w:p w14:paraId="63B42AA2"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 Advertising and publicity</w:t>
                  </w:r>
                </w:p>
                <w:p w14:paraId="11D47102"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 Buying access and trends</w:t>
                  </w:r>
                </w:p>
                <w:p w14:paraId="1E0004BD"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Consumer buying patterns</w:t>
                  </w:r>
                </w:p>
                <w:p w14:paraId="01C2842E"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Cultural Taboos</w:t>
                  </w:r>
                </w:p>
                <w:p w14:paraId="1E55910F"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Demographics: Growing population</w:t>
                  </w:r>
                </w:p>
                <w:p w14:paraId="53AAB6B4"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Developer’s rights to combining the construction of industrial, commercial, residential, health care centres.</w:t>
                  </w:r>
                </w:p>
                <w:p w14:paraId="57300875"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Ethical issues</w:t>
                  </w:r>
                </w:p>
                <w:p w14:paraId="68C14E03"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Experience working with the lender</w:t>
                  </w:r>
                </w:p>
                <w:p w14:paraId="5ADABD4D"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Highly skilled labour</w:t>
                  </w:r>
                </w:p>
                <w:p w14:paraId="149D289D"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Increase in demand for modular housing and workforce housing</w:t>
                  </w:r>
                </w:p>
                <w:p w14:paraId="6C2BC941"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An increasing trend in the development of senior housing </w:t>
                  </w:r>
                </w:p>
                <w:p w14:paraId="66D4A19F"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Infrastructure quality</w:t>
                  </w:r>
                </w:p>
                <w:p w14:paraId="064936E5" w14:textId="77777777" w:rsidR="00CD6352" w:rsidRPr="00B00D17" w:rsidRDefault="00CD6352" w:rsidP="00CD6352">
                  <w:pPr>
                    <w:numPr>
                      <w:ilvl w:val="0"/>
                      <w:numId w:val="8"/>
                    </w:numPr>
                    <w:spacing w:after="0" w:line="240" w:lineRule="auto"/>
                    <w:jc w:val="both"/>
                    <w:rPr>
                      <w:rFonts w:ascii="Arial" w:hAnsi="Arial" w:cs="Arial"/>
                      <w:sz w:val="16"/>
                      <w:szCs w:val="16"/>
                    </w:rPr>
                  </w:pPr>
                  <w:r w:rsidRPr="00B00D17">
                    <w:rPr>
                      <w:rFonts w:ascii="Arial" w:hAnsi="Arial" w:cs="Arial"/>
                      <w:sz w:val="16"/>
                      <w:szCs w:val="16"/>
                    </w:rPr>
                    <w:t>Lifestyle trends</w:t>
                  </w:r>
                </w:p>
                <w:p w14:paraId="41CB9268" w14:textId="77777777" w:rsidR="00CD6352" w:rsidRPr="00B00D17" w:rsidRDefault="00CD6352" w:rsidP="00CD6352">
                  <w:pPr>
                    <w:pStyle w:val="ListParagraph"/>
                    <w:numPr>
                      <w:ilvl w:val="0"/>
                      <w:numId w:val="8"/>
                    </w:numPr>
                    <w:spacing w:after="0" w:line="240" w:lineRule="auto"/>
                    <w:jc w:val="both"/>
                    <w:rPr>
                      <w:rFonts w:ascii="Arial" w:hAnsi="Arial" w:cs="Arial"/>
                      <w:sz w:val="16"/>
                      <w:szCs w:val="16"/>
                    </w:rPr>
                  </w:pPr>
                  <w:r w:rsidRPr="00B00D17">
                    <w:rPr>
                      <w:rFonts w:ascii="Arial" w:hAnsi="Arial" w:cs="Arial"/>
                      <w:sz w:val="16"/>
                      <w:szCs w:val="16"/>
                    </w:rPr>
                    <w:t xml:space="preserve"> Major events and influences</w:t>
                  </w:r>
                </w:p>
              </w:tc>
              <w:tc>
                <w:tcPr>
                  <w:tcW w:w="1724" w:type="dxa"/>
                  <w:shd w:val="clear" w:color="auto" w:fill="auto"/>
                </w:tcPr>
                <w:p w14:paraId="39BC87DB"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Technological factors</w:t>
                  </w:r>
                </w:p>
              </w:tc>
              <w:tc>
                <w:tcPr>
                  <w:tcW w:w="2784" w:type="dxa"/>
                  <w:shd w:val="clear" w:color="auto" w:fill="auto"/>
                </w:tcPr>
                <w:p w14:paraId="10B4C1DD"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Competitor technology development</w:t>
                  </w:r>
                </w:p>
                <w:p w14:paraId="017E04F2"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Emerging technologies</w:t>
                  </w:r>
                </w:p>
                <w:p w14:paraId="5A905A3B"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Information and communications</w:t>
                  </w:r>
                </w:p>
                <w:p w14:paraId="6EE26A9D"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Intellectual property issues</w:t>
                  </w:r>
                </w:p>
                <w:p w14:paraId="7F2104E3"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Maturity of technology</w:t>
                  </w:r>
                </w:p>
                <w:p w14:paraId="30C58269"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Research and Innovation</w:t>
                  </w:r>
                </w:p>
                <w:p w14:paraId="2428B90F" w14:textId="77777777" w:rsidR="00CD6352" w:rsidRPr="00B00D17" w:rsidRDefault="00CD6352" w:rsidP="00CD6352">
                  <w:pPr>
                    <w:numPr>
                      <w:ilvl w:val="0"/>
                      <w:numId w:val="11"/>
                    </w:numPr>
                    <w:spacing w:after="0" w:line="240" w:lineRule="auto"/>
                    <w:jc w:val="both"/>
                    <w:rPr>
                      <w:rFonts w:ascii="Arial" w:hAnsi="Arial" w:cs="Arial"/>
                      <w:sz w:val="16"/>
                      <w:szCs w:val="16"/>
                    </w:rPr>
                  </w:pPr>
                  <w:r w:rsidRPr="00B00D17">
                    <w:rPr>
                      <w:rFonts w:ascii="Arial" w:hAnsi="Arial" w:cs="Arial"/>
                      <w:sz w:val="16"/>
                      <w:szCs w:val="16"/>
                    </w:rPr>
                    <w:t>Technology legislation</w:t>
                  </w:r>
                </w:p>
                <w:p w14:paraId="49502FCB" w14:textId="77777777" w:rsidR="00CD6352" w:rsidRPr="00B00D17" w:rsidRDefault="00CD6352" w:rsidP="00CD6352">
                  <w:pPr>
                    <w:jc w:val="both"/>
                    <w:rPr>
                      <w:rFonts w:ascii="Arial" w:hAnsi="Arial" w:cs="Arial"/>
                      <w:sz w:val="16"/>
                      <w:szCs w:val="16"/>
                    </w:rPr>
                  </w:pPr>
                </w:p>
              </w:tc>
            </w:tr>
            <w:tr w:rsidR="00CD6352" w:rsidRPr="00B00D17" w14:paraId="7A4D05A7" w14:textId="77777777" w:rsidTr="00CD6352">
              <w:trPr>
                <w:trHeight w:val="983"/>
              </w:trPr>
              <w:tc>
                <w:tcPr>
                  <w:tcW w:w="1555" w:type="dxa"/>
                  <w:shd w:val="clear" w:color="auto" w:fill="auto"/>
                </w:tcPr>
                <w:p w14:paraId="38F24D7A"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t>Legal factors</w:t>
                  </w:r>
                </w:p>
              </w:tc>
              <w:tc>
                <w:tcPr>
                  <w:tcW w:w="2953" w:type="dxa"/>
                  <w:shd w:val="clear" w:color="auto" w:fill="auto"/>
                </w:tcPr>
                <w:p w14:paraId="42931085"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 xml:space="preserve">Current legislation </w:t>
                  </w:r>
                </w:p>
                <w:p w14:paraId="1EED97EF"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Future legislation</w:t>
                  </w:r>
                </w:p>
                <w:p w14:paraId="1BEA6898"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International legislation</w:t>
                  </w:r>
                </w:p>
                <w:p w14:paraId="0ABB4E9D"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Regulatory bodies and processes</w:t>
                  </w:r>
                </w:p>
                <w:p w14:paraId="4EC383C6"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Money laundering regulations</w:t>
                  </w:r>
                </w:p>
                <w:p w14:paraId="3DA3193F"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Tax regulations Competitive regulations</w:t>
                  </w:r>
                </w:p>
                <w:p w14:paraId="350C6951"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lastRenderedPageBreak/>
                    <w:t>Industry-specific regulations</w:t>
                  </w:r>
                </w:p>
                <w:p w14:paraId="383123B0" w14:textId="77777777" w:rsidR="00CD6352" w:rsidRPr="00B00D17" w:rsidRDefault="00CD6352" w:rsidP="00CD6352">
                  <w:pPr>
                    <w:numPr>
                      <w:ilvl w:val="0"/>
                      <w:numId w:val="10"/>
                    </w:numPr>
                    <w:spacing w:after="0" w:line="240" w:lineRule="auto"/>
                    <w:jc w:val="both"/>
                    <w:rPr>
                      <w:rFonts w:ascii="Arial" w:hAnsi="Arial" w:cs="Arial"/>
                      <w:sz w:val="16"/>
                      <w:szCs w:val="16"/>
                    </w:rPr>
                  </w:pPr>
                  <w:r w:rsidRPr="00B00D17">
                    <w:rPr>
                      <w:rFonts w:ascii="Arial" w:hAnsi="Arial" w:cs="Arial"/>
                      <w:sz w:val="16"/>
                      <w:szCs w:val="16"/>
                    </w:rPr>
                    <w:t xml:space="preserve">Strong judiciary system </w:t>
                  </w:r>
                </w:p>
                <w:p w14:paraId="4EAA8430" w14:textId="3D6ED50A" w:rsidR="00CD6352" w:rsidRPr="00B00D17" w:rsidRDefault="00CD6352" w:rsidP="007625E7">
                  <w:pPr>
                    <w:numPr>
                      <w:ilvl w:val="0"/>
                      <w:numId w:val="10"/>
                    </w:numPr>
                    <w:spacing w:after="0" w:line="240" w:lineRule="auto"/>
                    <w:jc w:val="both"/>
                    <w:rPr>
                      <w:rFonts w:ascii="Arial" w:hAnsi="Arial" w:cs="Arial"/>
                      <w:sz w:val="16"/>
                      <w:szCs w:val="16"/>
                    </w:rPr>
                  </w:pPr>
                  <w:r w:rsidRPr="00B00D17">
                    <w:rPr>
                      <w:rFonts w:ascii="Arial" w:hAnsi="Arial" w:cs="Arial"/>
                      <w:sz w:val="16"/>
                      <w:szCs w:val="16"/>
                    </w:rPr>
                    <w:t>Track records</w:t>
                  </w:r>
                </w:p>
              </w:tc>
              <w:tc>
                <w:tcPr>
                  <w:tcW w:w="1724" w:type="dxa"/>
                  <w:shd w:val="clear" w:color="auto" w:fill="auto"/>
                </w:tcPr>
                <w:p w14:paraId="7E9DFAC7" w14:textId="77777777" w:rsidR="00CD6352" w:rsidRPr="00B00D17" w:rsidRDefault="00CD6352" w:rsidP="00CD6352">
                  <w:pPr>
                    <w:jc w:val="both"/>
                    <w:rPr>
                      <w:rFonts w:ascii="Arial" w:hAnsi="Arial" w:cs="Arial"/>
                      <w:sz w:val="16"/>
                      <w:szCs w:val="16"/>
                    </w:rPr>
                  </w:pPr>
                  <w:r w:rsidRPr="00B00D17">
                    <w:rPr>
                      <w:rFonts w:ascii="Arial" w:hAnsi="Arial" w:cs="Arial"/>
                      <w:sz w:val="16"/>
                      <w:szCs w:val="16"/>
                    </w:rPr>
                    <w:lastRenderedPageBreak/>
                    <w:t>Environmental Factors</w:t>
                  </w:r>
                </w:p>
              </w:tc>
              <w:tc>
                <w:tcPr>
                  <w:tcW w:w="2784" w:type="dxa"/>
                  <w:shd w:val="clear" w:color="auto" w:fill="auto"/>
                </w:tcPr>
                <w:p w14:paraId="0DAAA03A"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Ecological regulations</w:t>
                  </w:r>
                </w:p>
                <w:p w14:paraId="65D19554"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 xml:space="preserve">Environmental regulations </w:t>
                  </w:r>
                </w:p>
                <w:p w14:paraId="345AA390"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Impact of adverse weather</w:t>
                  </w:r>
                </w:p>
                <w:p w14:paraId="1441A24F"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Reduction of carbon footprint</w:t>
                  </w:r>
                </w:p>
                <w:p w14:paraId="34FC5FC1" w14:textId="77777777" w:rsidR="00CD6352" w:rsidRPr="00B00D17" w:rsidRDefault="00CD6352" w:rsidP="00CD6352">
                  <w:pPr>
                    <w:numPr>
                      <w:ilvl w:val="0"/>
                      <w:numId w:val="12"/>
                    </w:numPr>
                    <w:spacing w:after="0" w:line="240" w:lineRule="auto"/>
                    <w:contextualSpacing/>
                    <w:jc w:val="both"/>
                    <w:rPr>
                      <w:rFonts w:ascii="Arial" w:hAnsi="Arial" w:cs="Arial"/>
                      <w:sz w:val="16"/>
                      <w:szCs w:val="16"/>
                    </w:rPr>
                  </w:pPr>
                  <w:r w:rsidRPr="00B00D17">
                    <w:rPr>
                      <w:rFonts w:ascii="Arial" w:hAnsi="Arial" w:cs="Arial"/>
                      <w:sz w:val="16"/>
                      <w:szCs w:val="16"/>
                    </w:rPr>
                    <w:t>Sustainability</w:t>
                  </w:r>
                </w:p>
                <w:p w14:paraId="50F24BA6" w14:textId="77777777" w:rsidR="00CD6352" w:rsidRPr="00B00D17" w:rsidRDefault="00CD6352" w:rsidP="00CD6352">
                  <w:pPr>
                    <w:ind w:left="502"/>
                    <w:contextualSpacing/>
                    <w:jc w:val="both"/>
                    <w:rPr>
                      <w:rFonts w:ascii="Arial" w:hAnsi="Arial" w:cs="Arial"/>
                      <w:sz w:val="16"/>
                      <w:szCs w:val="16"/>
                    </w:rPr>
                  </w:pPr>
                </w:p>
              </w:tc>
            </w:tr>
          </w:tbl>
          <w:p w14:paraId="77DEDC83" w14:textId="77777777" w:rsidR="00CD6352" w:rsidRPr="00B00D17" w:rsidRDefault="00CD6352" w:rsidP="00CD6352">
            <w:pPr>
              <w:spacing w:line="360" w:lineRule="auto"/>
              <w:jc w:val="both"/>
              <w:rPr>
                <w:rFonts w:ascii="Arial" w:hAnsi="Arial" w:cs="Arial"/>
                <w:sz w:val="16"/>
                <w:szCs w:val="16"/>
              </w:rPr>
            </w:pPr>
          </w:p>
        </w:tc>
        <w:tc>
          <w:tcPr>
            <w:tcW w:w="1755" w:type="dxa"/>
            <w:vMerge/>
          </w:tcPr>
          <w:p w14:paraId="3BBE8FBE" w14:textId="77777777" w:rsidR="00CD6352" w:rsidRPr="00B00D17" w:rsidRDefault="00CD6352" w:rsidP="00CD6352">
            <w:pPr>
              <w:spacing w:line="360" w:lineRule="auto"/>
              <w:jc w:val="both"/>
              <w:rPr>
                <w:rFonts w:ascii="Arial" w:hAnsi="Arial" w:cs="Arial"/>
                <w:sz w:val="16"/>
                <w:szCs w:val="16"/>
              </w:rPr>
            </w:pPr>
          </w:p>
        </w:tc>
      </w:tr>
      <w:tr w:rsidR="00CD6352" w:rsidRPr="00B00D17" w14:paraId="6874EE39" w14:textId="77777777" w:rsidTr="00CD6352">
        <w:tc>
          <w:tcPr>
            <w:tcW w:w="6779" w:type="dxa"/>
            <w:gridSpan w:val="2"/>
          </w:tcPr>
          <w:p w14:paraId="61BF6149" w14:textId="77777777" w:rsidR="00CD6352" w:rsidRPr="00B00D17" w:rsidRDefault="00CD6352" w:rsidP="00CD6352">
            <w:pPr>
              <w:spacing w:line="360" w:lineRule="auto"/>
              <w:jc w:val="both"/>
              <w:rPr>
                <w:rFonts w:ascii="Arial" w:hAnsi="Arial" w:cs="Arial"/>
                <w:sz w:val="16"/>
                <w:szCs w:val="16"/>
              </w:rPr>
            </w:pPr>
          </w:p>
        </w:tc>
        <w:tc>
          <w:tcPr>
            <w:tcW w:w="1755" w:type="dxa"/>
            <w:vMerge/>
          </w:tcPr>
          <w:p w14:paraId="060427BB" w14:textId="77777777" w:rsidR="00CD6352" w:rsidRPr="00B00D17" w:rsidRDefault="00CD6352" w:rsidP="00CD6352">
            <w:pPr>
              <w:spacing w:line="360" w:lineRule="auto"/>
              <w:jc w:val="both"/>
              <w:rPr>
                <w:rFonts w:ascii="Arial" w:hAnsi="Arial" w:cs="Arial"/>
                <w:sz w:val="16"/>
                <w:szCs w:val="16"/>
              </w:rPr>
            </w:pPr>
          </w:p>
        </w:tc>
      </w:tr>
      <w:tr w:rsidR="00CD6352" w:rsidRPr="00B00D17" w14:paraId="6D973CC2" w14:textId="77777777" w:rsidTr="007F257C">
        <w:tc>
          <w:tcPr>
            <w:tcW w:w="562" w:type="dxa"/>
            <w:vMerge w:val="restart"/>
          </w:tcPr>
          <w:p w14:paraId="68E3F0DF" w14:textId="77777777" w:rsidR="00CD6352" w:rsidRPr="00E56AF8" w:rsidRDefault="00CD6352" w:rsidP="007F257C">
            <w:pPr>
              <w:spacing w:line="360" w:lineRule="auto"/>
              <w:jc w:val="right"/>
              <w:rPr>
                <w:rFonts w:ascii="Arial" w:hAnsi="Arial" w:cs="Arial"/>
                <w:b/>
                <w:bCs/>
                <w:sz w:val="16"/>
                <w:szCs w:val="16"/>
              </w:rPr>
            </w:pPr>
            <w:r w:rsidRPr="00E56AF8">
              <w:rPr>
                <w:rFonts w:ascii="Arial" w:hAnsi="Arial" w:cs="Arial"/>
                <w:b/>
                <w:bCs/>
                <w:sz w:val="16"/>
                <w:szCs w:val="16"/>
              </w:rPr>
              <w:t>Phase 2</w:t>
            </w:r>
          </w:p>
        </w:tc>
        <w:tc>
          <w:tcPr>
            <w:tcW w:w="6217" w:type="dxa"/>
          </w:tcPr>
          <w:p w14:paraId="0B9C97FF" w14:textId="77777777" w:rsidR="00CD6352" w:rsidRPr="00E56AF8" w:rsidRDefault="00CD6352" w:rsidP="00CD6352">
            <w:pPr>
              <w:spacing w:line="360" w:lineRule="auto"/>
              <w:jc w:val="both"/>
              <w:rPr>
                <w:rFonts w:ascii="Arial" w:hAnsi="Arial" w:cs="Arial"/>
                <w:b/>
                <w:bCs/>
                <w:sz w:val="16"/>
                <w:szCs w:val="16"/>
              </w:rPr>
            </w:pPr>
            <w:r w:rsidRPr="00E56AF8">
              <w:rPr>
                <w:rFonts w:ascii="Arial" w:hAnsi="Arial" w:cs="Arial"/>
                <w:b/>
                <w:bCs/>
                <w:sz w:val="16"/>
                <w:szCs w:val="16"/>
              </w:rPr>
              <w:t>Internal environmental scan</w:t>
            </w:r>
          </w:p>
        </w:tc>
        <w:tc>
          <w:tcPr>
            <w:tcW w:w="1755" w:type="dxa"/>
            <w:vMerge/>
          </w:tcPr>
          <w:p w14:paraId="117FC437" w14:textId="77777777" w:rsidR="00CD6352" w:rsidRPr="00B00D17" w:rsidRDefault="00CD6352" w:rsidP="00CD6352">
            <w:pPr>
              <w:spacing w:line="360" w:lineRule="auto"/>
              <w:jc w:val="both"/>
              <w:rPr>
                <w:rFonts w:ascii="Arial" w:hAnsi="Arial" w:cs="Arial"/>
                <w:sz w:val="16"/>
                <w:szCs w:val="16"/>
              </w:rPr>
            </w:pPr>
          </w:p>
        </w:tc>
      </w:tr>
      <w:tr w:rsidR="00CD6352" w:rsidRPr="00B00D17" w14:paraId="459803DE" w14:textId="77777777" w:rsidTr="007625E7">
        <w:tc>
          <w:tcPr>
            <w:tcW w:w="562" w:type="dxa"/>
            <w:vMerge/>
          </w:tcPr>
          <w:p w14:paraId="5E02C2F4" w14:textId="77777777" w:rsidR="00CD6352" w:rsidRPr="00B00D17" w:rsidRDefault="00CD6352" w:rsidP="00CD6352">
            <w:pPr>
              <w:spacing w:line="360" w:lineRule="auto"/>
              <w:jc w:val="both"/>
              <w:rPr>
                <w:rFonts w:ascii="Arial" w:hAnsi="Arial" w:cs="Arial"/>
                <w:sz w:val="16"/>
                <w:szCs w:val="16"/>
              </w:rPr>
            </w:pPr>
          </w:p>
        </w:tc>
        <w:tc>
          <w:tcPr>
            <w:tcW w:w="6217" w:type="dxa"/>
          </w:tcPr>
          <w:p w14:paraId="2AFDFACF" w14:textId="77777777" w:rsidR="00CD6352" w:rsidRPr="00E56AF8" w:rsidRDefault="00CD6352" w:rsidP="00CD6352">
            <w:pPr>
              <w:spacing w:line="360" w:lineRule="auto"/>
              <w:jc w:val="both"/>
              <w:rPr>
                <w:rFonts w:ascii="Arial" w:hAnsi="Arial" w:cs="Arial"/>
                <w:b/>
                <w:bCs/>
                <w:sz w:val="16"/>
                <w:szCs w:val="16"/>
              </w:rPr>
            </w:pPr>
            <w:r w:rsidRPr="00E56AF8">
              <w:rPr>
                <w:rFonts w:ascii="Arial" w:hAnsi="Arial" w:cs="Arial"/>
                <w:b/>
                <w:bCs/>
                <w:sz w:val="16"/>
                <w:szCs w:val="16"/>
              </w:rPr>
              <w:t>Critical success factors</w:t>
            </w:r>
          </w:p>
        </w:tc>
        <w:tc>
          <w:tcPr>
            <w:tcW w:w="1755" w:type="dxa"/>
            <w:vMerge/>
          </w:tcPr>
          <w:p w14:paraId="6C8BADD0" w14:textId="77777777" w:rsidR="00CD6352" w:rsidRPr="00B00D17" w:rsidRDefault="00CD6352" w:rsidP="00CD6352">
            <w:pPr>
              <w:spacing w:line="360" w:lineRule="auto"/>
              <w:jc w:val="both"/>
              <w:rPr>
                <w:rFonts w:ascii="Arial" w:hAnsi="Arial" w:cs="Arial"/>
                <w:sz w:val="16"/>
                <w:szCs w:val="16"/>
              </w:rPr>
            </w:pPr>
          </w:p>
        </w:tc>
      </w:tr>
      <w:tr w:rsidR="00CD6352" w:rsidRPr="00B00D17" w14:paraId="196AB512" w14:textId="77777777" w:rsidTr="007625E7">
        <w:tc>
          <w:tcPr>
            <w:tcW w:w="562" w:type="dxa"/>
            <w:vMerge/>
          </w:tcPr>
          <w:p w14:paraId="73D92680" w14:textId="77777777" w:rsidR="00CD6352" w:rsidRPr="00B00D17" w:rsidRDefault="00CD6352" w:rsidP="00CD6352">
            <w:pPr>
              <w:spacing w:line="360" w:lineRule="auto"/>
              <w:jc w:val="both"/>
              <w:rPr>
                <w:rFonts w:ascii="Arial" w:hAnsi="Arial" w:cs="Arial"/>
                <w:sz w:val="16"/>
                <w:szCs w:val="16"/>
              </w:rPr>
            </w:pPr>
          </w:p>
        </w:tc>
        <w:tc>
          <w:tcPr>
            <w:tcW w:w="6217" w:type="dxa"/>
          </w:tcPr>
          <w:p w14:paraId="6CA6E7F2"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Access to land</w:t>
            </w:r>
          </w:p>
          <w:p w14:paraId="5A1D1B09"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Access to relevant update data</w:t>
            </w:r>
          </w:p>
          <w:p w14:paraId="29A3064E"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An understanding of the financiers and how they operate; understanding of the terms and conditions of banks</w:t>
            </w:r>
          </w:p>
          <w:p w14:paraId="6E35B699"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Assembling the right team of advisors</w:t>
            </w:r>
          </w:p>
          <w:p w14:paraId="1DAB0ABD"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Audited financial reports/ independent audit committee</w:t>
            </w:r>
          </w:p>
          <w:p w14:paraId="45C7B194"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 xml:space="preserve">Availability of prospective tenants </w:t>
            </w:r>
          </w:p>
          <w:p w14:paraId="18F44818"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Business plan</w:t>
            </w:r>
          </w:p>
          <w:p w14:paraId="6E7E8593"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Capital base</w:t>
            </w:r>
          </w:p>
          <w:p w14:paraId="06D755D6"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Cash flow</w:t>
            </w:r>
          </w:p>
          <w:p w14:paraId="0E04A8EB"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Collateral to mitigate default risk</w:t>
            </w:r>
          </w:p>
          <w:p w14:paraId="63D0FF5C"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Company profile</w:t>
            </w:r>
          </w:p>
          <w:p w14:paraId="63E14AE8"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Contractual documentation on land acquisition/land title</w:t>
            </w:r>
          </w:p>
          <w:p w14:paraId="550381FE" w14:textId="4F1AD385" w:rsidR="00CD6352" w:rsidRPr="00B00D17" w:rsidRDefault="009F4B1E"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A c</w:t>
            </w:r>
            <w:r w:rsidR="00CD6352" w:rsidRPr="00B00D17">
              <w:rPr>
                <w:rFonts w:ascii="Arial" w:hAnsi="Arial" w:cs="Arial"/>
                <w:sz w:val="16"/>
                <w:szCs w:val="16"/>
              </w:rPr>
              <w:t>lose relationship with developers</w:t>
            </w:r>
          </w:p>
          <w:p w14:paraId="029ED3B4"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Demonstration of skills to execute the job</w:t>
            </w:r>
          </w:p>
          <w:p w14:paraId="222C5F7B"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Details of the proposed project</w:t>
            </w:r>
          </w:p>
          <w:p w14:paraId="1B57C948"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Due diligence</w:t>
            </w:r>
          </w:p>
          <w:p w14:paraId="11D1803D"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Equity contribution</w:t>
            </w:r>
          </w:p>
          <w:p w14:paraId="2D3156AA"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Establishing an appropriate length and form of contract</w:t>
            </w:r>
          </w:p>
          <w:p w14:paraId="58D67B91"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Existence of enabling policy and legal framework</w:t>
            </w:r>
          </w:p>
          <w:p w14:paraId="374F5247"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Familiarity with local legislation &amp; clear contract terms</w:t>
            </w:r>
          </w:p>
          <w:p w14:paraId="79143725"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Feasibility report( economic &amp; technical feasibility)</w:t>
            </w:r>
          </w:p>
          <w:p w14:paraId="17947FFA"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Financial modelling with realistic assumptions</w:t>
            </w:r>
          </w:p>
          <w:p w14:paraId="36FE6546"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Financial models</w:t>
            </w:r>
          </w:p>
          <w:p w14:paraId="588004E5"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Geotechnical study</w:t>
            </w:r>
            <w:permStart w:id="1725724665" w:edGrp="everyone"/>
            <w:permEnd w:id="1725724665"/>
          </w:p>
          <w:p w14:paraId="4248B68F"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Good relationships with lenders &amp; effective communication</w:t>
            </w:r>
          </w:p>
          <w:p w14:paraId="7A905EF7"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Indemnification</w:t>
            </w:r>
          </w:p>
          <w:p w14:paraId="0F9833D4"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 xml:space="preserve">Liquidity management </w:t>
            </w:r>
          </w:p>
          <w:p w14:paraId="5D08F680"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Loan agreement</w:t>
            </w:r>
          </w:p>
          <w:p w14:paraId="3BE565F7" w14:textId="77777777" w:rsidR="00CD6352" w:rsidRPr="00B00D17" w:rsidRDefault="00CD6352" w:rsidP="00C74AEC">
            <w:pPr>
              <w:pStyle w:val="ListParagraph"/>
              <w:numPr>
                <w:ilvl w:val="0"/>
                <w:numId w:val="58"/>
              </w:numPr>
              <w:spacing w:after="0" w:line="360" w:lineRule="auto"/>
              <w:jc w:val="both"/>
              <w:rPr>
                <w:rFonts w:ascii="Arial" w:hAnsi="Arial" w:cs="Arial"/>
                <w:sz w:val="16"/>
                <w:szCs w:val="16"/>
              </w:rPr>
            </w:pPr>
            <w:r w:rsidRPr="00B00D17">
              <w:rPr>
                <w:rFonts w:ascii="Arial" w:hAnsi="Arial" w:cs="Arial"/>
                <w:sz w:val="16"/>
                <w:szCs w:val="16"/>
              </w:rPr>
              <w:t>Location and visibility of the project</w:t>
            </w:r>
          </w:p>
          <w:p w14:paraId="6A8589EC"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Management capabilities/management profile</w:t>
            </w:r>
          </w:p>
          <w:p w14:paraId="200910BB"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Manager’s knowledge and skills</w:t>
            </w:r>
          </w:p>
          <w:p w14:paraId="16D3A24A"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Meeting of project timeline &amp; control of project performance</w:t>
            </w:r>
          </w:p>
          <w:p w14:paraId="5005A7E1"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Necessary permits &amp; site clearance</w:t>
            </w:r>
          </w:p>
          <w:p w14:paraId="04064905"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Performance support guarantees</w:t>
            </w:r>
          </w:p>
          <w:p w14:paraId="002BF5F9"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Planning permission</w:t>
            </w:r>
          </w:p>
          <w:p w14:paraId="31880AEE"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Potential rent</w:t>
            </w:r>
          </w:p>
          <w:p w14:paraId="4B180C27"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Pre-sale details</w:t>
            </w:r>
          </w:p>
          <w:p w14:paraId="7497052A"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Project manager’s experience</w:t>
            </w:r>
          </w:p>
          <w:p w14:paraId="60AE03A8"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Project technical feasibility</w:t>
            </w:r>
          </w:p>
          <w:p w14:paraId="0ECF3759"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Projected returns</w:t>
            </w:r>
          </w:p>
          <w:p w14:paraId="3E8B19B7" w14:textId="77777777" w:rsidR="00CD6352" w:rsidRPr="00B00D17" w:rsidRDefault="00CD6352" w:rsidP="00C74AEC">
            <w:pPr>
              <w:pStyle w:val="ListParagraph"/>
              <w:numPr>
                <w:ilvl w:val="0"/>
                <w:numId w:val="58"/>
              </w:numPr>
              <w:spacing w:after="0" w:line="360" w:lineRule="auto"/>
              <w:jc w:val="both"/>
              <w:rPr>
                <w:rFonts w:ascii="Arial" w:hAnsi="Arial" w:cs="Arial"/>
                <w:sz w:val="16"/>
                <w:szCs w:val="16"/>
              </w:rPr>
            </w:pPr>
            <w:r w:rsidRPr="00B00D17">
              <w:rPr>
                <w:rFonts w:ascii="Arial" w:hAnsi="Arial" w:cs="Arial"/>
                <w:sz w:val="16"/>
                <w:szCs w:val="16"/>
              </w:rPr>
              <w:t>Projected revenue and income</w:t>
            </w:r>
          </w:p>
          <w:p w14:paraId="796646C9"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Proof of adherence to government regulations</w:t>
            </w:r>
          </w:p>
          <w:p w14:paraId="63B68DE5"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Risk and returns</w:t>
            </w:r>
          </w:p>
          <w:p w14:paraId="6D6E7436"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Risks allocation and risk-sharing</w:t>
            </w:r>
          </w:p>
          <w:p w14:paraId="416D3CA5"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Shared responsibility between the public and private sector</w:t>
            </w:r>
          </w:p>
          <w:p w14:paraId="16BC57B1"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Stable macro-economic environment</w:t>
            </w:r>
          </w:p>
          <w:p w14:paraId="527CDB4B"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Stable political and social environment</w:t>
            </w:r>
          </w:p>
          <w:p w14:paraId="1AF5BCB7"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Supporting documents that describe the site</w:t>
            </w:r>
          </w:p>
          <w:p w14:paraId="6055849B"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Tax returns</w:t>
            </w:r>
          </w:p>
          <w:p w14:paraId="4BCD1D21"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The expected debt-paying ability of the project</w:t>
            </w:r>
          </w:p>
          <w:p w14:paraId="16E34745"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The financial capacity of the organisation</w:t>
            </w:r>
          </w:p>
          <w:p w14:paraId="2831D219" w14:textId="77777777"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The profitability of the project</w:t>
            </w:r>
          </w:p>
          <w:p w14:paraId="1A55CD1F" w14:textId="77777777" w:rsidR="00CD6352" w:rsidRPr="00B00D17" w:rsidRDefault="00CD6352" w:rsidP="00C74AEC">
            <w:pPr>
              <w:pStyle w:val="ListParagraph"/>
              <w:numPr>
                <w:ilvl w:val="0"/>
                <w:numId w:val="58"/>
              </w:numPr>
              <w:spacing w:after="0" w:line="240" w:lineRule="auto"/>
              <w:jc w:val="both"/>
              <w:rPr>
                <w:rFonts w:ascii="Arial" w:hAnsi="Arial" w:cs="Arial"/>
                <w:b/>
                <w:sz w:val="16"/>
                <w:szCs w:val="16"/>
              </w:rPr>
            </w:pPr>
            <w:r w:rsidRPr="00B00D17">
              <w:rPr>
                <w:rFonts w:ascii="Arial" w:hAnsi="Arial" w:cs="Arial"/>
                <w:sz w:val="16"/>
                <w:szCs w:val="16"/>
              </w:rPr>
              <w:t>Topographical survey</w:t>
            </w:r>
          </w:p>
          <w:p w14:paraId="68AACF0A" w14:textId="0AFA1A63" w:rsidR="00CD6352" w:rsidRPr="00B00D17" w:rsidRDefault="00CD6352" w:rsidP="00C74AEC">
            <w:pPr>
              <w:pStyle w:val="ListParagraph"/>
              <w:numPr>
                <w:ilvl w:val="0"/>
                <w:numId w:val="58"/>
              </w:numPr>
              <w:spacing w:after="0" w:line="240" w:lineRule="auto"/>
              <w:jc w:val="both"/>
              <w:rPr>
                <w:rFonts w:ascii="Arial" w:hAnsi="Arial" w:cs="Arial"/>
                <w:sz w:val="16"/>
                <w:szCs w:val="16"/>
              </w:rPr>
            </w:pPr>
            <w:r w:rsidRPr="00B00D17">
              <w:rPr>
                <w:rFonts w:ascii="Arial" w:hAnsi="Arial" w:cs="Arial"/>
                <w:sz w:val="16"/>
                <w:szCs w:val="16"/>
              </w:rPr>
              <w:t xml:space="preserve">Track </w:t>
            </w:r>
            <w:r w:rsidR="00D41B82" w:rsidRPr="00B00D17">
              <w:rPr>
                <w:rFonts w:ascii="Arial" w:hAnsi="Arial" w:cs="Arial"/>
                <w:sz w:val="16"/>
                <w:szCs w:val="16"/>
              </w:rPr>
              <w:t>records(records</w:t>
            </w:r>
            <w:r w:rsidRPr="00B00D17">
              <w:rPr>
                <w:rFonts w:ascii="Arial" w:hAnsi="Arial" w:cs="Arial"/>
                <w:sz w:val="16"/>
                <w:szCs w:val="16"/>
              </w:rPr>
              <w:t xml:space="preserve"> of accomplishment)</w:t>
            </w:r>
          </w:p>
          <w:p w14:paraId="7BD595FC" w14:textId="77777777" w:rsidR="00CD6352" w:rsidRPr="00B00D17" w:rsidRDefault="00CD6352" w:rsidP="00C74AEC">
            <w:pPr>
              <w:pStyle w:val="ListParagraph"/>
              <w:numPr>
                <w:ilvl w:val="0"/>
                <w:numId w:val="58"/>
              </w:numPr>
              <w:spacing w:after="0" w:line="360" w:lineRule="auto"/>
              <w:jc w:val="both"/>
              <w:rPr>
                <w:rFonts w:ascii="Arial" w:hAnsi="Arial" w:cs="Arial"/>
                <w:sz w:val="16"/>
                <w:szCs w:val="16"/>
              </w:rPr>
            </w:pPr>
            <w:r w:rsidRPr="00B00D17">
              <w:rPr>
                <w:rFonts w:ascii="Arial" w:hAnsi="Arial" w:cs="Arial"/>
                <w:sz w:val="16"/>
                <w:szCs w:val="16"/>
              </w:rPr>
              <w:t>Usage of hedging instruments</w:t>
            </w:r>
          </w:p>
        </w:tc>
        <w:tc>
          <w:tcPr>
            <w:tcW w:w="1755" w:type="dxa"/>
            <w:vMerge/>
          </w:tcPr>
          <w:p w14:paraId="4BE7DF34" w14:textId="77777777" w:rsidR="00CD6352" w:rsidRPr="00B00D17" w:rsidRDefault="00CD6352" w:rsidP="00CD6352">
            <w:pPr>
              <w:spacing w:line="360" w:lineRule="auto"/>
              <w:jc w:val="both"/>
              <w:rPr>
                <w:rFonts w:ascii="Arial" w:hAnsi="Arial" w:cs="Arial"/>
                <w:sz w:val="16"/>
                <w:szCs w:val="16"/>
              </w:rPr>
            </w:pPr>
          </w:p>
        </w:tc>
      </w:tr>
      <w:bookmarkEnd w:id="1238"/>
    </w:tbl>
    <w:p w14:paraId="2DB12B96" w14:textId="77777777" w:rsidR="00CD6352" w:rsidRPr="006B6F92" w:rsidRDefault="00CD6352" w:rsidP="00CD6352">
      <w:pPr>
        <w:spacing w:line="360" w:lineRule="auto"/>
        <w:jc w:val="both"/>
        <w:rPr>
          <w:rFonts w:ascii="Arial" w:hAnsi="Arial" w:cs="Arial"/>
        </w:rPr>
      </w:pPr>
    </w:p>
    <w:p w14:paraId="00E1EE3E" w14:textId="77777777" w:rsidR="00CD6352" w:rsidRPr="00EA7665" w:rsidRDefault="00CD6352" w:rsidP="00CD6352">
      <w:pPr>
        <w:pStyle w:val="Heading2"/>
        <w:spacing w:after="240"/>
        <w:rPr>
          <w:sz w:val="22"/>
          <w:szCs w:val="22"/>
        </w:rPr>
      </w:pPr>
      <w:bookmarkStart w:id="1239" w:name="_Toc78983880"/>
      <w:r w:rsidRPr="00EA7665">
        <w:rPr>
          <w:sz w:val="22"/>
          <w:szCs w:val="22"/>
        </w:rPr>
        <w:lastRenderedPageBreak/>
        <w:t>Summary</w:t>
      </w:r>
      <w:bookmarkEnd w:id="1239"/>
    </w:p>
    <w:p w14:paraId="767D5E58" w14:textId="12769C43" w:rsidR="00CD6352" w:rsidRPr="009650A2" w:rsidRDefault="00CD6352" w:rsidP="00CD6352">
      <w:pPr>
        <w:rPr>
          <w:rFonts w:ascii="Arial" w:hAnsi="Arial" w:cs="Arial"/>
        </w:rPr>
      </w:pPr>
      <w:r w:rsidRPr="009650A2">
        <w:rPr>
          <w:rFonts w:ascii="Arial" w:hAnsi="Arial" w:cs="Arial"/>
        </w:rPr>
        <w:t xml:space="preserve">This segment contains </w:t>
      </w:r>
      <w:r w:rsidR="009F4B1E">
        <w:rPr>
          <w:rFonts w:ascii="Arial" w:hAnsi="Arial" w:cs="Arial"/>
        </w:rPr>
        <w:t>a</w:t>
      </w:r>
      <w:r w:rsidRPr="009650A2">
        <w:rPr>
          <w:rFonts w:ascii="Arial" w:hAnsi="Arial" w:cs="Arial"/>
        </w:rPr>
        <w:t xml:space="preserve"> summary o</w:t>
      </w:r>
      <w:r w:rsidR="009F4B1E">
        <w:rPr>
          <w:rFonts w:ascii="Arial" w:hAnsi="Arial" w:cs="Arial"/>
        </w:rPr>
        <w:t>f</w:t>
      </w:r>
      <w:r w:rsidRPr="009650A2">
        <w:rPr>
          <w:rFonts w:ascii="Arial" w:hAnsi="Arial" w:cs="Arial"/>
        </w:rPr>
        <w:t xml:space="preserve"> critical success factors, </w:t>
      </w:r>
      <w:r w:rsidR="004E2C49" w:rsidRPr="009650A2">
        <w:rPr>
          <w:rFonts w:ascii="Arial" w:hAnsi="Arial" w:cs="Arial"/>
        </w:rPr>
        <w:t>challenges,</w:t>
      </w:r>
      <w:r w:rsidRPr="009650A2">
        <w:rPr>
          <w:rFonts w:ascii="Arial" w:hAnsi="Arial" w:cs="Arial"/>
        </w:rPr>
        <w:t xml:space="preserve"> and opportunities for securing finance for real estate project development.</w:t>
      </w:r>
    </w:p>
    <w:p w14:paraId="623EFD20" w14:textId="1CD694AB" w:rsidR="00CD6352" w:rsidRPr="007625E7" w:rsidRDefault="00CD6352" w:rsidP="007625E7">
      <w:pPr>
        <w:rPr>
          <w:rFonts w:ascii="Arial" w:hAnsi="Arial" w:cs="Arial"/>
        </w:rPr>
      </w:pPr>
      <w:r w:rsidRPr="009650A2">
        <w:rPr>
          <w:rFonts w:ascii="Arial" w:hAnsi="Arial" w:cs="Arial"/>
        </w:rPr>
        <w:t xml:space="preserve">The </w:t>
      </w:r>
      <w:r w:rsidR="0025779B">
        <w:rPr>
          <w:rFonts w:ascii="Arial" w:hAnsi="Arial" w:cs="Arial"/>
        </w:rPr>
        <w:t>aggregate level findings</w:t>
      </w:r>
      <w:r w:rsidRPr="009650A2">
        <w:rPr>
          <w:rFonts w:ascii="Arial" w:hAnsi="Arial" w:cs="Arial"/>
        </w:rPr>
        <w:t xml:space="preserve"> based on the questionnaire survey demonstrate that all the twenty factors listed in the questionnaire survey are critical for securing finance for real estate project development in both the developed and emerging economies based on their </w:t>
      </w:r>
      <w:r w:rsidRPr="00AC621F">
        <w:rPr>
          <w:rFonts w:ascii="Arial" w:hAnsi="Arial" w:cs="Arial"/>
        </w:rPr>
        <w:t xml:space="preserve">mean values. The top five ranked critical success factors are </w:t>
      </w:r>
      <w:r w:rsidR="0062181B" w:rsidRPr="00AC621F">
        <w:rPr>
          <w:rFonts w:ascii="Arial" w:eastAsia="Times New Roman" w:hAnsi="Arial" w:cs="Times New Roman"/>
        </w:rPr>
        <w:t>a</w:t>
      </w:r>
      <w:r w:rsidRPr="00AC621F">
        <w:rPr>
          <w:rFonts w:ascii="Arial" w:eastAsia="Times New Roman" w:hAnsi="Arial" w:cs="Times New Roman"/>
        </w:rPr>
        <w:t>ccess to land</w:t>
      </w:r>
      <w:r w:rsidR="0062181B" w:rsidRPr="00AC621F">
        <w:rPr>
          <w:rFonts w:ascii="Arial" w:eastAsia="Times New Roman" w:hAnsi="Arial" w:cs="Times New Roman"/>
        </w:rPr>
        <w:t>,</w:t>
      </w:r>
      <w:r w:rsidR="0062181B" w:rsidRPr="00AC621F">
        <w:rPr>
          <w:rFonts w:ascii="Arial" w:hAnsi="Arial" w:cs="Arial"/>
        </w:rPr>
        <w:t xml:space="preserve"> </w:t>
      </w:r>
      <w:r w:rsidR="0062181B" w:rsidRPr="00AC621F">
        <w:rPr>
          <w:rFonts w:ascii="Arial" w:eastAsia="Times New Roman" w:hAnsi="Arial" w:cs="Times New Roman"/>
        </w:rPr>
        <w:t>the profitability of the project</w:t>
      </w:r>
      <w:r w:rsidR="00AC621F" w:rsidRPr="007625E7">
        <w:rPr>
          <w:rFonts w:ascii="Arial" w:eastAsia="Times New Roman" w:hAnsi="Arial" w:cs="Times New Roman"/>
        </w:rPr>
        <w:t xml:space="preserve">, </w:t>
      </w:r>
      <w:r w:rsidR="00AC621F" w:rsidRPr="007625E7">
        <w:rPr>
          <w:rFonts w:ascii="Arial" w:eastAsia="Times New Roman" w:hAnsi="Arial" w:cs="Arial"/>
          <w:lang w:val="en-US"/>
        </w:rPr>
        <w:t>b</w:t>
      </w:r>
      <w:r w:rsidRPr="007625E7">
        <w:rPr>
          <w:rFonts w:ascii="Arial" w:eastAsia="Times New Roman" w:hAnsi="Arial" w:cs="Arial"/>
          <w:lang w:val="en-US"/>
        </w:rPr>
        <w:t>usiness plan</w:t>
      </w:r>
      <w:r w:rsidR="00AC621F" w:rsidRPr="007625E7">
        <w:rPr>
          <w:rFonts w:ascii="Arial" w:eastAsia="Times New Roman" w:hAnsi="Arial" w:cs="Arial"/>
          <w:lang w:val="en-US"/>
        </w:rPr>
        <w:t xml:space="preserve">, </w:t>
      </w:r>
      <w:r w:rsidR="00AC621F" w:rsidRPr="007625E7">
        <w:rPr>
          <w:rFonts w:ascii="Arial" w:hAnsi="Arial" w:cs="Arial"/>
        </w:rPr>
        <w:t>p</w:t>
      </w:r>
      <w:r w:rsidRPr="007625E7">
        <w:rPr>
          <w:rFonts w:ascii="Arial" w:hAnsi="Arial" w:cs="Arial"/>
        </w:rPr>
        <w:t>roject technical feasibility</w:t>
      </w:r>
      <w:r w:rsidR="00AC621F" w:rsidRPr="007625E7">
        <w:rPr>
          <w:rFonts w:ascii="Arial" w:hAnsi="Arial" w:cs="Arial"/>
        </w:rPr>
        <w:t xml:space="preserve"> and p</w:t>
      </w:r>
      <w:r w:rsidRPr="007625E7">
        <w:rPr>
          <w:rFonts w:ascii="Arial" w:hAnsi="Arial" w:cs="Arial"/>
        </w:rPr>
        <w:t>roject manager’s experience</w:t>
      </w:r>
      <w:r w:rsidR="00AC621F" w:rsidRPr="00AC621F">
        <w:rPr>
          <w:rFonts w:ascii="Arial" w:hAnsi="Arial" w:cs="Arial"/>
        </w:rPr>
        <w:t>s.</w:t>
      </w:r>
    </w:p>
    <w:p w14:paraId="6C3352F0" w14:textId="103128AC" w:rsidR="00CD6352" w:rsidRPr="00EA7665" w:rsidRDefault="00CD6352" w:rsidP="00CD6352">
      <w:pPr>
        <w:spacing w:line="360" w:lineRule="auto"/>
        <w:rPr>
          <w:rFonts w:ascii="Arial" w:hAnsi="Arial" w:cs="Arial"/>
        </w:rPr>
      </w:pPr>
      <w:r w:rsidRPr="00EA7665">
        <w:rPr>
          <w:rFonts w:ascii="Arial" w:hAnsi="Arial" w:cs="Arial"/>
        </w:rPr>
        <w:t xml:space="preserve">The rankings of the critical success factors for securing </w:t>
      </w:r>
      <w:r w:rsidR="00BC17D6">
        <w:rPr>
          <w:rFonts w:ascii="Arial" w:hAnsi="Arial" w:cs="Arial"/>
        </w:rPr>
        <w:t>real estate project development finance based on quantitative data show a strong link between</w:t>
      </w:r>
      <w:r w:rsidRPr="00EA7665">
        <w:rPr>
          <w:rFonts w:ascii="Arial" w:hAnsi="Arial" w:cs="Arial"/>
        </w:rPr>
        <w:t xml:space="preserve"> developed and emerging economies. Furthermore, the managers interviewed in both the developed and emerging economies cited the following critical success criteria in common</w:t>
      </w:r>
      <w:r>
        <w:rPr>
          <w:rFonts w:ascii="Arial" w:hAnsi="Arial" w:cs="Arial"/>
        </w:rPr>
        <w:t>:</w:t>
      </w:r>
    </w:p>
    <w:p w14:paraId="0801A1A0" w14:textId="6F12315F" w:rsidR="00CD6352" w:rsidRPr="007625E7" w:rsidRDefault="00CD6352" w:rsidP="007625E7">
      <w:pPr>
        <w:pStyle w:val="ListParagraph"/>
        <w:numPr>
          <w:ilvl w:val="1"/>
          <w:numId w:val="319"/>
        </w:numPr>
        <w:rPr>
          <w:rFonts w:ascii="Arial" w:hAnsi="Arial" w:cs="Arial"/>
        </w:rPr>
      </w:pPr>
      <w:r w:rsidRPr="007625E7">
        <w:rPr>
          <w:rFonts w:ascii="Arial" w:hAnsi="Arial" w:cs="Arial"/>
        </w:rPr>
        <w:t>Track records</w:t>
      </w:r>
    </w:p>
    <w:p w14:paraId="41A221E9" w14:textId="27FCEDC5" w:rsidR="00CD6352" w:rsidRPr="007625E7" w:rsidRDefault="00CD6352" w:rsidP="007625E7">
      <w:pPr>
        <w:pStyle w:val="ListParagraph"/>
        <w:numPr>
          <w:ilvl w:val="1"/>
          <w:numId w:val="319"/>
        </w:numPr>
        <w:rPr>
          <w:rFonts w:ascii="Arial" w:hAnsi="Arial" w:cs="Arial"/>
        </w:rPr>
      </w:pPr>
      <w:r w:rsidRPr="007625E7">
        <w:rPr>
          <w:rFonts w:ascii="Arial" w:hAnsi="Arial" w:cs="Arial"/>
        </w:rPr>
        <w:t xml:space="preserve">Access to land </w:t>
      </w:r>
    </w:p>
    <w:p w14:paraId="03FBB69F" w14:textId="2D3A538B" w:rsidR="00CD6352" w:rsidRPr="007625E7" w:rsidRDefault="00CD6352" w:rsidP="007625E7">
      <w:pPr>
        <w:pStyle w:val="ListParagraph"/>
        <w:numPr>
          <w:ilvl w:val="1"/>
          <w:numId w:val="319"/>
        </w:numPr>
        <w:rPr>
          <w:rFonts w:ascii="Arial" w:hAnsi="Arial" w:cs="Arial"/>
        </w:rPr>
      </w:pPr>
      <w:r w:rsidRPr="007625E7">
        <w:rPr>
          <w:rFonts w:ascii="Arial" w:hAnsi="Arial" w:cs="Arial"/>
        </w:rPr>
        <w:t>Cash flow</w:t>
      </w:r>
    </w:p>
    <w:p w14:paraId="6A99B678" w14:textId="31A3BF15" w:rsidR="00CD6352" w:rsidRPr="007625E7" w:rsidRDefault="00CD6352" w:rsidP="007625E7">
      <w:pPr>
        <w:pStyle w:val="ListParagraph"/>
        <w:numPr>
          <w:ilvl w:val="1"/>
          <w:numId w:val="319"/>
        </w:numPr>
        <w:rPr>
          <w:rFonts w:ascii="Arial" w:hAnsi="Arial" w:cs="Arial"/>
        </w:rPr>
      </w:pPr>
      <w:r w:rsidRPr="007625E7">
        <w:rPr>
          <w:rFonts w:ascii="Arial" w:hAnsi="Arial" w:cs="Arial"/>
        </w:rPr>
        <w:t>Relationship with financiers</w:t>
      </w:r>
    </w:p>
    <w:p w14:paraId="25FA0917" w14:textId="71E65C52" w:rsidR="00CD6352" w:rsidRPr="007625E7" w:rsidRDefault="00CD6352" w:rsidP="007625E7">
      <w:pPr>
        <w:pStyle w:val="ListParagraph"/>
        <w:numPr>
          <w:ilvl w:val="1"/>
          <w:numId w:val="319"/>
        </w:numPr>
        <w:rPr>
          <w:rFonts w:ascii="Arial" w:hAnsi="Arial" w:cs="Arial"/>
        </w:rPr>
      </w:pPr>
      <w:r w:rsidRPr="007625E7">
        <w:rPr>
          <w:rFonts w:ascii="Arial" w:hAnsi="Arial" w:cs="Arial"/>
        </w:rPr>
        <w:t>Access to market</w:t>
      </w:r>
    </w:p>
    <w:p w14:paraId="043B75A0" w14:textId="77777777" w:rsidR="00CD6352" w:rsidRPr="00EA7665" w:rsidRDefault="00CD6352" w:rsidP="00CD6352">
      <w:pPr>
        <w:rPr>
          <w:rFonts w:ascii="Arial" w:hAnsi="Arial" w:cs="Arial"/>
        </w:rPr>
      </w:pPr>
      <w:r w:rsidRPr="00EA7665">
        <w:rPr>
          <w:rFonts w:ascii="Arial" w:hAnsi="Arial" w:cs="Arial"/>
        </w:rPr>
        <w:t>The ranking of the critical success factors most cited by managers interviewed in the developed economies are:</w:t>
      </w:r>
    </w:p>
    <w:p w14:paraId="781C2C6D" w14:textId="2D70B1DF" w:rsidR="00CD6352" w:rsidRPr="007625E7" w:rsidRDefault="00CD6352" w:rsidP="007625E7">
      <w:pPr>
        <w:pStyle w:val="ListParagraph"/>
        <w:numPr>
          <w:ilvl w:val="1"/>
          <w:numId w:val="321"/>
        </w:numPr>
        <w:rPr>
          <w:rFonts w:ascii="Arial" w:hAnsi="Arial" w:cs="Arial"/>
        </w:rPr>
      </w:pPr>
      <w:r w:rsidRPr="007625E7">
        <w:rPr>
          <w:rFonts w:ascii="Arial" w:hAnsi="Arial" w:cs="Arial"/>
        </w:rPr>
        <w:t>Track records</w:t>
      </w:r>
    </w:p>
    <w:p w14:paraId="6BE13F5E" w14:textId="57648A0F" w:rsidR="00CD6352" w:rsidRPr="007625E7" w:rsidRDefault="00CD6352" w:rsidP="007625E7">
      <w:pPr>
        <w:pStyle w:val="ListParagraph"/>
        <w:numPr>
          <w:ilvl w:val="1"/>
          <w:numId w:val="321"/>
        </w:numPr>
        <w:rPr>
          <w:rFonts w:ascii="Arial" w:hAnsi="Arial" w:cs="Arial"/>
        </w:rPr>
      </w:pPr>
      <w:r w:rsidRPr="007625E7">
        <w:rPr>
          <w:rFonts w:ascii="Arial" w:hAnsi="Arial" w:cs="Arial"/>
        </w:rPr>
        <w:t>Cash flow</w:t>
      </w:r>
    </w:p>
    <w:p w14:paraId="3B48D709" w14:textId="47113751" w:rsidR="00CD6352" w:rsidRPr="007625E7" w:rsidRDefault="00CD6352" w:rsidP="007625E7">
      <w:pPr>
        <w:pStyle w:val="ListParagraph"/>
        <w:numPr>
          <w:ilvl w:val="1"/>
          <w:numId w:val="321"/>
        </w:numPr>
        <w:rPr>
          <w:rFonts w:ascii="Arial" w:hAnsi="Arial" w:cs="Arial"/>
        </w:rPr>
      </w:pPr>
      <w:r w:rsidRPr="007625E7">
        <w:rPr>
          <w:rFonts w:ascii="Arial" w:hAnsi="Arial" w:cs="Arial"/>
        </w:rPr>
        <w:t>Access to land</w:t>
      </w:r>
    </w:p>
    <w:p w14:paraId="746E3EAC" w14:textId="7A83FE68" w:rsidR="00CD6352" w:rsidRPr="007625E7" w:rsidRDefault="00CD6352" w:rsidP="007625E7">
      <w:pPr>
        <w:pStyle w:val="ListParagraph"/>
        <w:numPr>
          <w:ilvl w:val="1"/>
          <w:numId w:val="321"/>
        </w:numPr>
        <w:rPr>
          <w:rFonts w:ascii="Arial" w:hAnsi="Arial" w:cs="Arial"/>
        </w:rPr>
      </w:pPr>
      <w:r w:rsidRPr="007625E7">
        <w:rPr>
          <w:rFonts w:ascii="Arial" w:hAnsi="Arial" w:cs="Arial"/>
        </w:rPr>
        <w:t>Access to market</w:t>
      </w:r>
    </w:p>
    <w:p w14:paraId="4467347C" w14:textId="34C3CFC5" w:rsidR="00CD6352" w:rsidRPr="007625E7" w:rsidRDefault="00CD6352" w:rsidP="007625E7">
      <w:pPr>
        <w:pStyle w:val="ListParagraph"/>
        <w:numPr>
          <w:ilvl w:val="1"/>
          <w:numId w:val="321"/>
        </w:numPr>
        <w:rPr>
          <w:rFonts w:ascii="Arial" w:hAnsi="Arial" w:cs="Arial"/>
        </w:rPr>
      </w:pPr>
      <w:r w:rsidRPr="007625E7">
        <w:rPr>
          <w:rFonts w:ascii="Arial" w:hAnsi="Arial" w:cs="Arial"/>
        </w:rPr>
        <w:t>Experience</w:t>
      </w:r>
    </w:p>
    <w:p w14:paraId="46555762" w14:textId="77777777" w:rsidR="00CD6352" w:rsidRPr="00EA7665" w:rsidRDefault="00CD6352" w:rsidP="00CD6352">
      <w:pPr>
        <w:rPr>
          <w:rFonts w:ascii="Arial" w:hAnsi="Arial" w:cs="Arial"/>
        </w:rPr>
      </w:pPr>
      <w:r w:rsidRPr="00EA7665">
        <w:rPr>
          <w:rFonts w:ascii="Arial" w:hAnsi="Arial" w:cs="Arial"/>
        </w:rPr>
        <w:t>While the ranking of critical success factors for securing finance for real estate project development most cited by managers in the emerging economies are as follows:</w:t>
      </w:r>
    </w:p>
    <w:p w14:paraId="53061860" w14:textId="5706994C" w:rsidR="00CD6352" w:rsidRPr="007625E7" w:rsidRDefault="00CD6352" w:rsidP="007625E7">
      <w:pPr>
        <w:pStyle w:val="ListParagraph"/>
        <w:numPr>
          <w:ilvl w:val="1"/>
          <w:numId w:val="323"/>
        </w:numPr>
        <w:rPr>
          <w:rFonts w:ascii="Arial" w:hAnsi="Arial" w:cs="Arial"/>
        </w:rPr>
      </w:pPr>
      <w:r w:rsidRPr="007625E7">
        <w:rPr>
          <w:rFonts w:ascii="Arial" w:hAnsi="Arial" w:cs="Arial"/>
        </w:rPr>
        <w:t>Access to land</w:t>
      </w:r>
    </w:p>
    <w:p w14:paraId="2BE2098C" w14:textId="3333E58E" w:rsidR="00CD6352" w:rsidRPr="007625E7" w:rsidRDefault="00CD6352" w:rsidP="007625E7">
      <w:pPr>
        <w:pStyle w:val="ListParagraph"/>
        <w:numPr>
          <w:ilvl w:val="1"/>
          <w:numId w:val="323"/>
        </w:numPr>
        <w:rPr>
          <w:rFonts w:ascii="Arial" w:hAnsi="Arial" w:cs="Arial"/>
        </w:rPr>
      </w:pPr>
      <w:r w:rsidRPr="007625E7">
        <w:rPr>
          <w:rFonts w:ascii="Arial" w:hAnsi="Arial" w:cs="Arial"/>
        </w:rPr>
        <w:t>Track records</w:t>
      </w:r>
    </w:p>
    <w:p w14:paraId="1994FE34" w14:textId="68FA5678" w:rsidR="00CD6352" w:rsidRPr="007625E7" w:rsidRDefault="00CD6352" w:rsidP="007625E7">
      <w:pPr>
        <w:pStyle w:val="ListParagraph"/>
        <w:numPr>
          <w:ilvl w:val="1"/>
          <w:numId w:val="323"/>
        </w:numPr>
        <w:rPr>
          <w:rFonts w:ascii="Arial" w:hAnsi="Arial" w:cs="Arial"/>
        </w:rPr>
      </w:pPr>
      <w:r w:rsidRPr="007625E7">
        <w:rPr>
          <w:rFonts w:ascii="Arial" w:hAnsi="Arial" w:cs="Arial"/>
        </w:rPr>
        <w:t>Cash flow</w:t>
      </w:r>
    </w:p>
    <w:p w14:paraId="03E8C92A" w14:textId="66D42A49" w:rsidR="00CD6352" w:rsidRPr="007625E7" w:rsidRDefault="00CD6352" w:rsidP="007625E7">
      <w:pPr>
        <w:pStyle w:val="ListParagraph"/>
        <w:numPr>
          <w:ilvl w:val="1"/>
          <w:numId w:val="323"/>
        </w:numPr>
        <w:rPr>
          <w:rFonts w:ascii="Arial" w:hAnsi="Arial" w:cs="Arial"/>
        </w:rPr>
      </w:pPr>
      <w:r w:rsidRPr="007625E7">
        <w:rPr>
          <w:rFonts w:ascii="Arial" w:hAnsi="Arial" w:cs="Arial"/>
        </w:rPr>
        <w:t>Equity</w:t>
      </w:r>
    </w:p>
    <w:p w14:paraId="147A138C" w14:textId="7467138C" w:rsidR="00CD6352" w:rsidRPr="007625E7" w:rsidRDefault="00CD6352" w:rsidP="007625E7">
      <w:pPr>
        <w:pStyle w:val="ListParagraph"/>
        <w:numPr>
          <w:ilvl w:val="1"/>
          <w:numId w:val="323"/>
        </w:numPr>
        <w:rPr>
          <w:rFonts w:ascii="Arial" w:hAnsi="Arial" w:cs="Arial"/>
        </w:rPr>
      </w:pPr>
      <w:r w:rsidRPr="007625E7">
        <w:rPr>
          <w:rFonts w:ascii="Arial" w:hAnsi="Arial" w:cs="Arial"/>
        </w:rPr>
        <w:t>Relationship with financiers</w:t>
      </w:r>
    </w:p>
    <w:p w14:paraId="2A4C99AF" w14:textId="3165EAAE" w:rsidR="00CD6352" w:rsidRPr="007625E7" w:rsidRDefault="00CD6352" w:rsidP="007625E7">
      <w:pPr>
        <w:pStyle w:val="ListParagraph"/>
        <w:numPr>
          <w:ilvl w:val="1"/>
          <w:numId w:val="323"/>
        </w:numPr>
        <w:rPr>
          <w:rFonts w:ascii="Arial" w:hAnsi="Arial" w:cs="Arial"/>
        </w:rPr>
      </w:pPr>
      <w:r w:rsidRPr="007625E7">
        <w:rPr>
          <w:rFonts w:ascii="Arial" w:hAnsi="Arial" w:cs="Arial"/>
        </w:rPr>
        <w:t>Off takers</w:t>
      </w:r>
    </w:p>
    <w:p w14:paraId="57B08E69" w14:textId="77777777" w:rsidR="00CD6352" w:rsidRPr="00A44238" w:rsidRDefault="00CD6352" w:rsidP="00CD6352">
      <w:pPr>
        <w:spacing w:line="360" w:lineRule="auto"/>
        <w:rPr>
          <w:rFonts w:ascii="Arial" w:hAnsi="Arial" w:cs="Arial"/>
        </w:rPr>
      </w:pPr>
      <w:r w:rsidRPr="00A44238">
        <w:rPr>
          <w:rFonts w:ascii="Arial" w:hAnsi="Arial" w:cs="Arial"/>
        </w:rPr>
        <w:t xml:space="preserve">The </w:t>
      </w:r>
      <w:r>
        <w:rPr>
          <w:rFonts w:ascii="Arial" w:hAnsi="Arial" w:cs="Arial"/>
        </w:rPr>
        <w:t>findings from the survey questionnaire also show that some critical success factors such as establishing appropriate length and form of contract, project technical feasibility, business plan and project manager’s experience have a positive correlation with the level of management.</w:t>
      </w:r>
    </w:p>
    <w:p w14:paraId="5B83820A" w14:textId="23DE8DAA" w:rsidR="00CD6352" w:rsidRPr="00EA7665" w:rsidRDefault="00677CFE" w:rsidP="00CD6352">
      <w:pPr>
        <w:spacing w:line="360" w:lineRule="auto"/>
        <w:jc w:val="both"/>
        <w:rPr>
          <w:rFonts w:ascii="Arial" w:hAnsi="Arial" w:cs="Arial"/>
        </w:rPr>
      </w:pPr>
      <w:r>
        <w:rPr>
          <w:rFonts w:ascii="Arial" w:hAnsi="Arial" w:cs="Arial"/>
        </w:rPr>
        <w:t>Furthermore, the</w:t>
      </w:r>
      <w:r w:rsidR="00CD6352" w:rsidRPr="00EA7665">
        <w:rPr>
          <w:rFonts w:ascii="Arial" w:hAnsi="Arial" w:cs="Arial"/>
        </w:rPr>
        <w:t xml:space="preserve"> ranking of the </w:t>
      </w:r>
      <w:r w:rsidR="00CD6352">
        <w:rPr>
          <w:rFonts w:ascii="Arial" w:hAnsi="Arial" w:cs="Arial"/>
        </w:rPr>
        <w:t xml:space="preserve">top five </w:t>
      </w:r>
      <w:r w:rsidR="00CD6352" w:rsidRPr="00EA7665">
        <w:rPr>
          <w:rFonts w:ascii="Arial" w:hAnsi="Arial" w:cs="Arial"/>
        </w:rPr>
        <w:t>challenges associated with securing finance for real estate project development in both the developed and emerging economies at the aggregate level based on the survey questionnaire responses</w:t>
      </w:r>
      <w:r w:rsidR="006C4053">
        <w:rPr>
          <w:rFonts w:ascii="Arial" w:hAnsi="Arial" w:cs="Arial"/>
        </w:rPr>
        <w:t xml:space="preserve"> are:</w:t>
      </w:r>
    </w:p>
    <w:p w14:paraId="5F209F4F" w14:textId="77777777" w:rsidR="00CD6352" w:rsidRPr="00EA7665" w:rsidRDefault="00CD6352" w:rsidP="00C74AEC">
      <w:pPr>
        <w:pStyle w:val="ListParagraph"/>
        <w:numPr>
          <w:ilvl w:val="0"/>
          <w:numId w:val="124"/>
        </w:numPr>
        <w:spacing w:line="240" w:lineRule="auto"/>
        <w:jc w:val="both"/>
        <w:rPr>
          <w:rFonts w:ascii="Arial" w:hAnsi="Arial" w:cs="Arial"/>
        </w:rPr>
      </w:pPr>
      <w:r w:rsidRPr="00EA7665">
        <w:rPr>
          <w:rFonts w:ascii="Arial" w:hAnsi="Arial" w:cs="Arial"/>
        </w:rPr>
        <w:lastRenderedPageBreak/>
        <w:t>Government’s ineffective policies</w:t>
      </w:r>
    </w:p>
    <w:p w14:paraId="018C8633" w14:textId="77777777" w:rsidR="00CD6352" w:rsidRPr="00EA7665" w:rsidRDefault="00CD6352" w:rsidP="00C74AEC">
      <w:pPr>
        <w:pStyle w:val="ListParagraph"/>
        <w:numPr>
          <w:ilvl w:val="0"/>
          <w:numId w:val="124"/>
        </w:numPr>
        <w:spacing w:line="240" w:lineRule="auto"/>
        <w:jc w:val="both"/>
        <w:rPr>
          <w:rFonts w:ascii="Arial" w:hAnsi="Arial" w:cs="Arial"/>
        </w:rPr>
      </w:pPr>
      <w:r w:rsidRPr="00EA7665">
        <w:rPr>
          <w:rFonts w:ascii="Arial" w:hAnsi="Arial" w:cs="Arial"/>
        </w:rPr>
        <w:t>Excessive collateral requirement</w:t>
      </w:r>
    </w:p>
    <w:p w14:paraId="0705069B" w14:textId="77777777" w:rsidR="00CD6352" w:rsidRPr="00EA7665" w:rsidRDefault="00CD6352" w:rsidP="00C74AEC">
      <w:pPr>
        <w:pStyle w:val="ListParagraph"/>
        <w:numPr>
          <w:ilvl w:val="0"/>
          <w:numId w:val="124"/>
        </w:numPr>
        <w:spacing w:line="240" w:lineRule="auto"/>
        <w:jc w:val="both"/>
        <w:rPr>
          <w:rFonts w:ascii="Arial" w:hAnsi="Arial" w:cs="Arial"/>
        </w:rPr>
      </w:pPr>
      <w:r w:rsidRPr="00EA7665">
        <w:rPr>
          <w:rFonts w:ascii="Arial" w:hAnsi="Arial" w:cs="Arial"/>
        </w:rPr>
        <w:t>Difficult lending criteria by financiers</w:t>
      </w:r>
    </w:p>
    <w:p w14:paraId="66DB2500" w14:textId="77777777" w:rsidR="00CD6352" w:rsidRPr="00EA7665" w:rsidRDefault="00CD6352" w:rsidP="00C74AEC">
      <w:pPr>
        <w:pStyle w:val="ListParagraph"/>
        <w:numPr>
          <w:ilvl w:val="0"/>
          <w:numId w:val="124"/>
        </w:numPr>
        <w:spacing w:line="240" w:lineRule="auto"/>
        <w:jc w:val="both"/>
        <w:rPr>
          <w:rFonts w:ascii="Arial" w:hAnsi="Arial" w:cs="Arial"/>
        </w:rPr>
      </w:pPr>
      <w:r w:rsidRPr="00EA7665">
        <w:rPr>
          <w:rFonts w:ascii="Arial" w:hAnsi="Arial" w:cs="Arial"/>
        </w:rPr>
        <w:t>Lack of long term financing</w:t>
      </w:r>
    </w:p>
    <w:p w14:paraId="00275B4A" w14:textId="77777777" w:rsidR="00CD6352" w:rsidRPr="00EA7665" w:rsidRDefault="00CD6352" w:rsidP="00C74AEC">
      <w:pPr>
        <w:pStyle w:val="ListParagraph"/>
        <w:numPr>
          <w:ilvl w:val="0"/>
          <w:numId w:val="124"/>
        </w:numPr>
        <w:spacing w:line="240" w:lineRule="auto"/>
        <w:jc w:val="both"/>
        <w:rPr>
          <w:rFonts w:ascii="Arial" w:hAnsi="Arial" w:cs="Arial"/>
        </w:rPr>
      </w:pPr>
      <w:r w:rsidRPr="00EA7665">
        <w:rPr>
          <w:rFonts w:ascii="Arial" w:hAnsi="Arial" w:cs="Arial"/>
        </w:rPr>
        <w:t>High-interest rate</w:t>
      </w:r>
    </w:p>
    <w:p w14:paraId="00E5DF6F" w14:textId="2DE8E2C3" w:rsidR="00CD6352" w:rsidRPr="00EA7665" w:rsidRDefault="00CD6352" w:rsidP="00CD6352">
      <w:pPr>
        <w:spacing w:line="360" w:lineRule="auto"/>
        <w:jc w:val="both"/>
        <w:rPr>
          <w:rFonts w:ascii="Arial" w:hAnsi="Arial" w:cs="Arial"/>
        </w:rPr>
      </w:pPr>
      <w:r>
        <w:rPr>
          <w:rFonts w:ascii="Arial" w:hAnsi="Arial" w:cs="Arial"/>
        </w:rPr>
        <w:t>Some of t</w:t>
      </w:r>
      <w:r w:rsidRPr="00EA7665">
        <w:rPr>
          <w:rFonts w:ascii="Arial" w:hAnsi="Arial" w:cs="Arial"/>
        </w:rPr>
        <w:t>he dominant challenges for securing finance for real estate project development common to both the developed and emerging economies</w:t>
      </w:r>
      <w:r w:rsidR="004C5C53">
        <w:rPr>
          <w:rFonts w:ascii="Arial" w:hAnsi="Arial" w:cs="Arial"/>
        </w:rPr>
        <w:t xml:space="preserve"> are access to land, collateral and rising interest rates.</w:t>
      </w:r>
    </w:p>
    <w:p w14:paraId="0AAE3102" w14:textId="77777777" w:rsidR="00CD6352" w:rsidRPr="00EA7665" w:rsidRDefault="00CD6352" w:rsidP="00CD6352">
      <w:pPr>
        <w:spacing w:line="360" w:lineRule="auto"/>
        <w:jc w:val="both"/>
        <w:rPr>
          <w:rFonts w:ascii="Arial" w:hAnsi="Arial" w:cs="Arial"/>
        </w:rPr>
      </w:pPr>
      <w:r w:rsidRPr="00EA7665">
        <w:rPr>
          <w:rFonts w:ascii="Arial" w:hAnsi="Arial" w:cs="Arial"/>
        </w:rPr>
        <w:t>However, the five most cited challenges associated with securing finance for both the developed and emerging economies from the interviews respectively are as follows-</w:t>
      </w:r>
    </w:p>
    <w:p w14:paraId="579ADA17" w14:textId="77777777" w:rsidR="00CD6352" w:rsidRPr="00EA7665" w:rsidRDefault="00CD6352" w:rsidP="00CD6352">
      <w:pPr>
        <w:spacing w:line="360" w:lineRule="auto"/>
        <w:jc w:val="both"/>
        <w:rPr>
          <w:rFonts w:ascii="Arial" w:hAnsi="Arial" w:cs="Arial"/>
          <w:b/>
        </w:rPr>
      </w:pPr>
      <w:r w:rsidRPr="00EA7665">
        <w:rPr>
          <w:rFonts w:ascii="Arial" w:hAnsi="Arial" w:cs="Arial"/>
          <w:b/>
        </w:rPr>
        <w:t>Developed economies:</w:t>
      </w:r>
    </w:p>
    <w:p w14:paraId="6AAD7F51" w14:textId="77777777" w:rsidR="00CD6352" w:rsidRPr="00B00D17" w:rsidRDefault="00CD6352" w:rsidP="00B00D17">
      <w:pPr>
        <w:pStyle w:val="ListParagraph"/>
        <w:numPr>
          <w:ilvl w:val="0"/>
          <w:numId w:val="394"/>
        </w:numPr>
        <w:spacing w:line="360" w:lineRule="auto"/>
        <w:jc w:val="both"/>
        <w:rPr>
          <w:rFonts w:ascii="Arial" w:hAnsi="Arial" w:cs="Arial"/>
        </w:rPr>
      </w:pPr>
      <w:r w:rsidRPr="00B00D17">
        <w:rPr>
          <w:rFonts w:ascii="Arial" w:hAnsi="Arial" w:cs="Arial"/>
        </w:rPr>
        <w:t>Access to land</w:t>
      </w:r>
    </w:p>
    <w:p w14:paraId="1CFA33E6" w14:textId="762BB29C" w:rsidR="00CD6352" w:rsidRPr="00B00D17" w:rsidRDefault="00CD6352" w:rsidP="00B00D17">
      <w:pPr>
        <w:pStyle w:val="ListParagraph"/>
        <w:numPr>
          <w:ilvl w:val="0"/>
          <w:numId w:val="394"/>
        </w:numPr>
        <w:spacing w:line="360" w:lineRule="auto"/>
        <w:jc w:val="both"/>
        <w:rPr>
          <w:rFonts w:ascii="Arial" w:hAnsi="Arial" w:cs="Arial"/>
        </w:rPr>
      </w:pPr>
      <w:r w:rsidRPr="00B00D17">
        <w:rPr>
          <w:rFonts w:ascii="Arial" w:hAnsi="Arial" w:cs="Arial"/>
        </w:rPr>
        <w:t xml:space="preserve">Lenders do not </w:t>
      </w:r>
      <w:r w:rsidR="005C0F41" w:rsidRPr="00B00D17">
        <w:rPr>
          <w:rFonts w:ascii="Arial" w:hAnsi="Arial" w:cs="Arial"/>
        </w:rPr>
        <w:t>have staff</w:t>
      </w:r>
      <w:r w:rsidRPr="00B00D17">
        <w:rPr>
          <w:rFonts w:ascii="Arial" w:hAnsi="Arial" w:cs="Arial"/>
        </w:rPr>
        <w:t xml:space="preserve"> and the expertise in-house to be able to monitor construction </w:t>
      </w:r>
    </w:p>
    <w:p w14:paraId="45A5C07E" w14:textId="77777777" w:rsidR="00CD6352" w:rsidRPr="00B00D17" w:rsidRDefault="00CD6352" w:rsidP="00B00D17">
      <w:pPr>
        <w:pStyle w:val="ListParagraph"/>
        <w:numPr>
          <w:ilvl w:val="0"/>
          <w:numId w:val="394"/>
        </w:numPr>
        <w:spacing w:line="360" w:lineRule="auto"/>
        <w:jc w:val="both"/>
        <w:rPr>
          <w:rFonts w:ascii="Arial" w:hAnsi="Arial" w:cs="Arial"/>
        </w:rPr>
      </w:pPr>
      <w:r w:rsidRPr="00B00D17">
        <w:rPr>
          <w:rFonts w:ascii="Arial" w:hAnsi="Arial" w:cs="Arial"/>
        </w:rPr>
        <w:t>Banks being too suspicious of foreign inflows for real estate project finance</w:t>
      </w:r>
    </w:p>
    <w:p w14:paraId="02D6759F" w14:textId="77777777" w:rsidR="00CD6352" w:rsidRPr="00B00D17" w:rsidRDefault="00CD6352" w:rsidP="00B00D17">
      <w:pPr>
        <w:pStyle w:val="ListParagraph"/>
        <w:numPr>
          <w:ilvl w:val="0"/>
          <w:numId w:val="394"/>
        </w:numPr>
        <w:spacing w:line="360" w:lineRule="auto"/>
        <w:jc w:val="both"/>
        <w:rPr>
          <w:rFonts w:ascii="Arial" w:hAnsi="Arial" w:cs="Arial"/>
        </w:rPr>
      </w:pPr>
      <w:r w:rsidRPr="00B00D17">
        <w:rPr>
          <w:rFonts w:ascii="Arial" w:hAnsi="Arial" w:cs="Arial"/>
        </w:rPr>
        <w:t>Criteria of big institutional investors</w:t>
      </w:r>
    </w:p>
    <w:p w14:paraId="786B120D" w14:textId="77777777" w:rsidR="00CD6352" w:rsidRPr="00B00D17" w:rsidRDefault="00CD6352" w:rsidP="00B00D17">
      <w:pPr>
        <w:pStyle w:val="ListParagraph"/>
        <w:numPr>
          <w:ilvl w:val="0"/>
          <w:numId w:val="394"/>
        </w:numPr>
        <w:spacing w:line="360" w:lineRule="auto"/>
        <w:jc w:val="both"/>
        <w:rPr>
          <w:rFonts w:ascii="Arial" w:hAnsi="Arial" w:cs="Arial"/>
        </w:rPr>
      </w:pPr>
      <w:r w:rsidRPr="00B00D17">
        <w:rPr>
          <w:rFonts w:ascii="Arial" w:hAnsi="Arial" w:cs="Arial"/>
        </w:rPr>
        <w:t>Collateral</w:t>
      </w:r>
    </w:p>
    <w:p w14:paraId="3EA06CE5" w14:textId="77777777" w:rsidR="00CD6352" w:rsidRPr="00EA7665" w:rsidRDefault="00CD6352" w:rsidP="00CD6352">
      <w:pPr>
        <w:spacing w:line="360" w:lineRule="auto"/>
        <w:jc w:val="both"/>
        <w:rPr>
          <w:rFonts w:ascii="Arial" w:hAnsi="Arial" w:cs="Arial"/>
          <w:b/>
        </w:rPr>
      </w:pPr>
      <w:r w:rsidRPr="00EA7665">
        <w:rPr>
          <w:rFonts w:ascii="Arial" w:hAnsi="Arial" w:cs="Arial"/>
          <w:b/>
        </w:rPr>
        <w:t>Emerging economies:</w:t>
      </w:r>
    </w:p>
    <w:p w14:paraId="2B7E5473" w14:textId="77777777" w:rsidR="00CD6352" w:rsidRPr="00B00D17" w:rsidRDefault="00CD6352" w:rsidP="00B00D17">
      <w:pPr>
        <w:pStyle w:val="ListParagraph"/>
        <w:numPr>
          <w:ilvl w:val="0"/>
          <w:numId w:val="395"/>
        </w:numPr>
        <w:spacing w:line="360" w:lineRule="auto"/>
        <w:jc w:val="both"/>
        <w:rPr>
          <w:rFonts w:ascii="Arial" w:hAnsi="Arial" w:cs="Arial"/>
        </w:rPr>
      </w:pPr>
      <w:r w:rsidRPr="00B00D17">
        <w:rPr>
          <w:rFonts w:ascii="Arial" w:hAnsi="Arial" w:cs="Arial"/>
        </w:rPr>
        <w:t>Access to land &amp; multiple ownership of land</w:t>
      </w:r>
    </w:p>
    <w:p w14:paraId="287A8FA7" w14:textId="77777777" w:rsidR="00CD6352" w:rsidRPr="00B00D17" w:rsidRDefault="00CD6352" w:rsidP="00B00D17">
      <w:pPr>
        <w:pStyle w:val="ListParagraph"/>
        <w:numPr>
          <w:ilvl w:val="0"/>
          <w:numId w:val="395"/>
        </w:numPr>
        <w:spacing w:line="360" w:lineRule="auto"/>
        <w:jc w:val="both"/>
        <w:rPr>
          <w:rFonts w:ascii="Arial" w:hAnsi="Arial" w:cs="Arial"/>
        </w:rPr>
      </w:pPr>
      <w:r w:rsidRPr="00B00D17">
        <w:rPr>
          <w:rFonts w:ascii="Arial" w:hAnsi="Arial" w:cs="Arial"/>
        </w:rPr>
        <w:t>Corrupt government officials</w:t>
      </w:r>
    </w:p>
    <w:p w14:paraId="00E5C546" w14:textId="53E1F362" w:rsidR="00CD6352" w:rsidRPr="00B00D17" w:rsidRDefault="00CD6352" w:rsidP="00B00D17">
      <w:pPr>
        <w:pStyle w:val="ListParagraph"/>
        <w:numPr>
          <w:ilvl w:val="0"/>
          <w:numId w:val="395"/>
        </w:numPr>
        <w:spacing w:line="360" w:lineRule="auto"/>
        <w:jc w:val="both"/>
        <w:rPr>
          <w:rFonts w:ascii="Arial" w:hAnsi="Arial" w:cs="Arial"/>
        </w:rPr>
      </w:pPr>
      <w:r w:rsidRPr="00B00D17">
        <w:rPr>
          <w:rFonts w:ascii="Arial" w:hAnsi="Arial" w:cs="Arial"/>
        </w:rPr>
        <w:t>Difficult lending criteria &amp; high</w:t>
      </w:r>
      <w:r w:rsidR="00323227" w:rsidRPr="00B00D17">
        <w:rPr>
          <w:rFonts w:ascii="Arial" w:hAnsi="Arial" w:cs="Arial"/>
        </w:rPr>
        <w:t xml:space="preserve"> </w:t>
      </w:r>
      <w:r w:rsidRPr="00B00D17">
        <w:rPr>
          <w:rFonts w:ascii="Arial" w:hAnsi="Arial" w:cs="Arial"/>
        </w:rPr>
        <w:t>interest rate</w:t>
      </w:r>
    </w:p>
    <w:p w14:paraId="09CDCC79" w14:textId="77777777" w:rsidR="00CD6352" w:rsidRPr="00B00D17" w:rsidRDefault="00CD6352" w:rsidP="00B00D17">
      <w:pPr>
        <w:pStyle w:val="ListParagraph"/>
        <w:numPr>
          <w:ilvl w:val="0"/>
          <w:numId w:val="395"/>
        </w:numPr>
        <w:spacing w:line="360" w:lineRule="auto"/>
        <w:jc w:val="both"/>
        <w:rPr>
          <w:rFonts w:ascii="Arial" w:hAnsi="Arial" w:cs="Arial"/>
        </w:rPr>
      </w:pPr>
      <w:r w:rsidRPr="00B00D17">
        <w:rPr>
          <w:rFonts w:ascii="Arial" w:hAnsi="Arial" w:cs="Arial"/>
        </w:rPr>
        <w:t>Government interventions</w:t>
      </w:r>
    </w:p>
    <w:p w14:paraId="372A00B8" w14:textId="77777777" w:rsidR="00CD6352" w:rsidRPr="00B00D17" w:rsidRDefault="00CD6352" w:rsidP="00B00D17">
      <w:pPr>
        <w:pStyle w:val="ListParagraph"/>
        <w:numPr>
          <w:ilvl w:val="0"/>
          <w:numId w:val="395"/>
        </w:numPr>
        <w:spacing w:line="360" w:lineRule="auto"/>
        <w:jc w:val="both"/>
        <w:rPr>
          <w:rFonts w:ascii="Arial" w:hAnsi="Arial" w:cs="Arial"/>
        </w:rPr>
      </w:pPr>
      <w:r w:rsidRPr="00B00D17">
        <w:rPr>
          <w:rFonts w:ascii="Arial" w:hAnsi="Arial" w:cs="Arial"/>
        </w:rPr>
        <w:t>Long negotiation period</w:t>
      </w:r>
    </w:p>
    <w:p w14:paraId="616A721D" w14:textId="76C67196" w:rsidR="00CD6352" w:rsidRPr="00EA7665" w:rsidRDefault="00CD6352" w:rsidP="00CD6352">
      <w:pPr>
        <w:spacing w:before="240" w:line="360" w:lineRule="auto"/>
        <w:rPr>
          <w:rFonts w:ascii="Arial" w:hAnsi="Arial" w:cs="Arial"/>
        </w:rPr>
      </w:pPr>
      <w:r>
        <w:rPr>
          <w:rFonts w:ascii="Arial" w:hAnsi="Arial" w:cs="Arial"/>
        </w:rPr>
        <w:t>Spearman rho’s correlation was used to test the relationship between management levels and the different factors considered as challenges in the questionnaire. The findings show a positive correlation between management levels and difficult land use &amp; ownership laws, lack of fiscal and regulatory incentives</w:t>
      </w:r>
      <w:r w:rsidR="008222B5">
        <w:rPr>
          <w:rFonts w:ascii="Arial" w:hAnsi="Arial" w:cs="Arial"/>
        </w:rPr>
        <w:t>, and</w:t>
      </w:r>
      <w:r>
        <w:rPr>
          <w:rFonts w:ascii="Arial" w:hAnsi="Arial" w:cs="Arial"/>
        </w:rPr>
        <w:t xml:space="preserve"> long-term financing.</w:t>
      </w:r>
    </w:p>
    <w:p w14:paraId="2121A26B" w14:textId="0986B1EB" w:rsidR="00CD6352" w:rsidRDefault="00D55A76" w:rsidP="007625E7">
      <w:pPr>
        <w:spacing w:line="360" w:lineRule="auto"/>
        <w:rPr>
          <w:rFonts w:ascii="Arial" w:hAnsi="Arial" w:cs="Arial"/>
        </w:rPr>
      </w:pPr>
      <w:r>
        <w:rPr>
          <w:rFonts w:ascii="Arial" w:hAnsi="Arial" w:cs="Arial"/>
        </w:rPr>
        <w:t xml:space="preserve">Finally, the findings on the opportunities associated with securing finance for real estate project development at </w:t>
      </w:r>
      <w:r w:rsidR="00CD6352" w:rsidRPr="00EA7665">
        <w:rPr>
          <w:rFonts w:ascii="Arial" w:hAnsi="Arial" w:cs="Arial"/>
        </w:rPr>
        <w:t xml:space="preserve">the aggregate level for </w:t>
      </w:r>
      <w:r w:rsidR="00BC17D6">
        <w:rPr>
          <w:rFonts w:ascii="Arial" w:hAnsi="Arial" w:cs="Arial"/>
        </w:rPr>
        <w:t>the developed and emerging economies based on the questionnaire include</w:t>
      </w:r>
      <w:r w:rsidR="00CD6352" w:rsidRPr="00EA7665">
        <w:rPr>
          <w:rFonts w:ascii="Arial" w:hAnsi="Arial" w:cs="Arial"/>
        </w:rPr>
        <w:t xml:space="preserve"> all the nineteen (19) factors listed in the questionnaire survey. However</w:t>
      </w:r>
      <w:r w:rsidR="00CD6352">
        <w:rPr>
          <w:rFonts w:ascii="Arial" w:hAnsi="Arial" w:cs="Arial"/>
        </w:rPr>
        <w:t>,</w:t>
      </w:r>
      <w:r w:rsidR="00CD6352" w:rsidRPr="00EA7665">
        <w:rPr>
          <w:rFonts w:ascii="Arial" w:hAnsi="Arial" w:cs="Arial"/>
        </w:rPr>
        <w:t xml:space="preserve"> with differing rankings for the individual developed and emerging economies based on the mean values. Notably, all the managers who responded to the survey questionnaire ranked amongst their five top factors considered a</w:t>
      </w:r>
      <w:r w:rsidR="008222B5">
        <w:rPr>
          <w:rFonts w:ascii="Arial" w:hAnsi="Arial" w:cs="Arial"/>
        </w:rPr>
        <w:t>n opportunity to secure</w:t>
      </w:r>
      <w:r w:rsidR="00CD6352" w:rsidRPr="00EA7665">
        <w:rPr>
          <w:rFonts w:ascii="Arial" w:hAnsi="Arial" w:cs="Arial"/>
        </w:rPr>
        <w:t xml:space="preserve"> finance for real estate project development, “growing demand in the property market”. The list below shows the ranking of </w:t>
      </w:r>
      <w:r w:rsidR="00CD6352">
        <w:rPr>
          <w:rFonts w:ascii="Arial" w:hAnsi="Arial" w:cs="Arial"/>
        </w:rPr>
        <w:t xml:space="preserve">the top five </w:t>
      </w:r>
      <w:r w:rsidR="00CD6352" w:rsidRPr="00EA7665">
        <w:rPr>
          <w:rFonts w:ascii="Arial" w:hAnsi="Arial" w:cs="Arial"/>
        </w:rPr>
        <w:t xml:space="preserve">factors at the aggregate level. </w:t>
      </w:r>
    </w:p>
    <w:p w14:paraId="226094C7" w14:textId="77777777" w:rsidR="00CD6352" w:rsidRPr="00EA7665" w:rsidRDefault="00CD6352" w:rsidP="00C74AEC">
      <w:pPr>
        <w:pStyle w:val="ListParagraph"/>
        <w:numPr>
          <w:ilvl w:val="0"/>
          <w:numId w:val="125"/>
        </w:numPr>
        <w:spacing w:line="240" w:lineRule="auto"/>
        <w:rPr>
          <w:rFonts w:ascii="Arial" w:hAnsi="Arial" w:cs="Arial"/>
        </w:rPr>
      </w:pPr>
      <w:r w:rsidRPr="00EA7665">
        <w:rPr>
          <w:rFonts w:ascii="Arial" w:hAnsi="Arial" w:cs="Arial"/>
        </w:rPr>
        <w:t>Growing demand in the property market</w:t>
      </w:r>
    </w:p>
    <w:p w14:paraId="6E3848B8" w14:textId="77777777" w:rsidR="00CD6352" w:rsidRPr="00EA7665" w:rsidRDefault="00CD6352" w:rsidP="00C74AEC">
      <w:pPr>
        <w:pStyle w:val="ListParagraph"/>
        <w:numPr>
          <w:ilvl w:val="0"/>
          <w:numId w:val="125"/>
        </w:numPr>
        <w:spacing w:line="240" w:lineRule="auto"/>
        <w:rPr>
          <w:rFonts w:ascii="Arial" w:hAnsi="Arial" w:cs="Arial"/>
        </w:rPr>
      </w:pPr>
      <w:r w:rsidRPr="00EA7665">
        <w:rPr>
          <w:rFonts w:ascii="Arial" w:hAnsi="Arial" w:cs="Arial"/>
        </w:rPr>
        <w:lastRenderedPageBreak/>
        <w:t>Positive and sustained economic growth</w:t>
      </w:r>
    </w:p>
    <w:p w14:paraId="004A9E0E" w14:textId="77777777" w:rsidR="00CD6352" w:rsidRPr="00EA7665" w:rsidRDefault="00CD6352" w:rsidP="00C74AEC">
      <w:pPr>
        <w:pStyle w:val="ListParagraph"/>
        <w:numPr>
          <w:ilvl w:val="0"/>
          <w:numId w:val="125"/>
        </w:numPr>
        <w:spacing w:line="240" w:lineRule="auto"/>
        <w:rPr>
          <w:rFonts w:ascii="Arial" w:hAnsi="Arial" w:cs="Arial"/>
        </w:rPr>
      </w:pPr>
      <w:r w:rsidRPr="00EA7665">
        <w:rPr>
          <w:rFonts w:ascii="Arial" w:hAnsi="Arial" w:cs="Arial"/>
        </w:rPr>
        <w:t>Availability of long-term funds</w:t>
      </w:r>
    </w:p>
    <w:p w14:paraId="499E1F14" w14:textId="77777777" w:rsidR="00CD6352" w:rsidRPr="00EA7665" w:rsidRDefault="00CD6352" w:rsidP="00C74AEC">
      <w:pPr>
        <w:pStyle w:val="ListParagraph"/>
        <w:numPr>
          <w:ilvl w:val="0"/>
          <w:numId w:val="125"/>
        </w:numPr>
        <w:spacing w:line="240" w:lineRule="auto"/>
        <w:rPr>
          <w:rFonts w:ascii="Arial" w:hAnsi="Arial" w:cs="Arial"/>
        </w:rPr>
      </w:pPr>
      <w:r w:rsidRPr="00EA7665">
        <w:rPr>
          <w:rFonts w:ascii="Arial" w:hAnsi="Arial" w:cs="Arial"/>
        </w:rPr>
        <w:t>Political stability</w:t>
      </w:r>
    </w:p>
    <w:p w14:paraId="521B319C" w14:textId="77777777" w:rsidR="00CD6352" w:rsidRPr="00EA7665" w:rsidRDefault="00CD6352" w:rsidP="00C74AEC">
      <w:pPr>
        <w:pStyle w:val="ListParagraph"/>
        <w:numPr>
          <w:ilvl w:val="0"/>
          <w:numId w:val="125"/>
        </w:numPr>
        <w:spacing w:line="240" w:lineRule="auto"/>
        <w:rPr>
          <w:rFonts w:ascii="Arial" w:hAnsi="Arial" w:cs="Arial"/>
        </w:rPr>
      </w:pPr>
      <w:r w:rsidRPr="00EA7665">
        <w:rPr>
          <w:rFonts w:ascii="Arial" w:hAnsi="Arial" w:cs="Arial"/>
        </w:rPr>
        <w:t>Multiple finance sources</w:t>
      </w:r>
    </w:p>
    <w:p w14:paraId="731B2ADC" w14:textId="1468BE5E" w:rsidR="00CD6352" w:rsidRPr="00EA7665" w:rsidRDefault="00CD6352" w:rsidP="00CD6352">
      <w:pPr>
        <w:rPr>
          <w:rFonts w:ascii="Arial" w:hAnsi="Arial" w:cs="Arial"/>
        </w:rPr>
      </w:pPr>
      <w:r w:rsidRPr="00EA7665">
        <w:rPr>
          <w:rFonts w:ascii="Arial" w:hAnsi="Arial" w:cs="Arial"/>
        </w:rPr>
        <w:t xml:space="preserve">The factors </w:t>
      </w:r>
      <w:r w:rsidR="00BC17D6">
        <w:rPr>
          <w:rFonts w:ascii="Arial" w:hAnsi="Arial" w:cs="Arial"/>
        </w:rPr>
        <w:t>that are considered opportunities in common by managers in both the developed and emerging economies based on the semi-structured interviews</w:t>
      </w:r>
      <w:r w:rsidR="00323227">
        <w:rPr>
          <w:rFonts w:ascii="Arial" w:hAnsi="Arial" w:cs="Arial"/>
        </w:rPr>
        <w:t xml:space="preserve"> are high demand for housing and long-standing relationship with financiers.</w:t>
      </w:r>
    </w:p>
    <w:p w14:paraId="61BC36F1" w14:textId="2CF16AD1" w:rsidR="00CD6352" w:rsidRPr="00EA7665" w:rsidRDefault="00CD6352" w:rsidP="00CD6352">
      <w:pPr>
        <w:rPr>
          <w:rFonts w:ascii="Arial" w:hAnsi="Arial" w:cs="Arial"/>
        </w:rPr>
      </w:pPr>
      <w:r w:rsidRPr="00EA7665">
        <w:rPr>
          <w:rFonts w:ascii="Arial" w:hAnsi="Arial" w:cs="Arial"/>
        </w:rPr>
        <w:t>However, the five most cited opportunities associated with securing finance for real estate project development for the developed and emerging economies</w:t>
      </w:r>
      <w:r w:rsidR="008222B5">
        <w:rPr>
          <w:rFonts w:ascii="Arial" w:hAnsi="Arial" w:cs="Arial"/>
        </w:rPr>
        <w:t>,</w:t>
      </w:r>
      <w:r w:rsidRPr="00EA7665">
        <w:rPr>
          <w:rFonts w:ascii="Arial" w:hAnsi="Arial" w:cs="Arial"/>
        </w:rPr>
        <w:t xml:space="preserve"> respectively are – </w:t>
      </w:r>
    </w:p>
    <w:p w14:paraId="0C949B03" w14:textId="77777777" w:rsidR="00CD6352" w:rsidRPr="00EA7665" w:rsidRDefault="00CD6352" w:rsidP="00CD6352">
      <w:pPr>
        <w:rPr>
          <w:rFonts w:ascii="Arial" w:hAnsi="Arial" w:cs="Arial"/>
          <w:b/>
        </w:rPr>
      </w:pPr>
      <w:r w:rsidRPr="00EA7665">
        <w:rPr>
          <w:rFonts w:ascii="Arial" w:hAnsi="Arial" w:cs="Arial"/>
          <w:b/>
        </w:rPr>
        <w:t xml:space="preserve">Developed economies: </w:t>
      </w:r>
    </w:p>
    <w:p w14:paraId="3C0B854D" w14:textId="77777777" w:rsidR="00CD6352" w:rsidRPr="00B00D17" w:rsidRDefault="00CD6352" w:rsidP="00B00D17">
      <w:pPr>
        <w:pStyle w:val="ListParagraph"/>
        <w:numPr>
          <w:ilvl w:val="0"/>
          <w:numId w:val="396"/>
        </w:numPr>
        <w:spacing w:after="0" w:line="360" w:lineRule="auto"/>
        <w:jc w:val="both"/>
        <w:rPr>
          <w:rFonts w:ascii="Arial" w:hAnsi="Arial" w:cs="Arial"/>
        </w:rPr>
      </w:pPr>
      <w:r w:rsidRPr="00B00D17">
        <w:rPr>
          <w:rFonts w:ascii="Arial" w:hAnsi="Arial" w:cs="Arial"/>
        </w:rPr>
        <w:t>An abundance of both equity and debt</w:t>
      </w:r>
    </w:p>
    <w:p w14:paraId="2105B231" w14:textId="77777777" w:rsidR="00CD6352" w:rsidRPr="00B00D17" w:rsidRDefault="00CD6352" w:rsidP="00B00D17">
      <w:pPr>
        <w:pStyle w:val="ListParagraph"/>
        <w:numPr>
          <w:ilvl w:val="0"/>
          <w:numId w:val="396"/>
        </w:numPr>
        <w:spacing w:after="0" w:line="360" w:lineRule="auto"/>
        <w:jc w:val="both"/>
        <w:rPr>
          <w:rFonts w:ascii="Arial" w:hAnsi="Arial" w:cs="Arial"/>
        </w:rPr>
      </w:pPr>
      <w:r w:rsidRPr="00B00D17">
        <w:rPr>
          <w:rFonts w:ascii="Arial" w:hAnsi="Arial" w:cs="Arial"/>
        </w:rPr>
        <w:t>Government support to first-time homeowners</w:t>
      </w:r>
    </w:p>
    <w:p w14:paraId="7291C5C2" w14:textId="77777777" w:rsidR="00CD6352" w:rsidRPr="00B00D17" w:rsidRDefault="00CD6352" w:rsidP="00B00D17">
      <w:pPr>
        <w:pStyle w:val="ListParagraph"/>
        <w:numPr>
          <w:ilvl w:val="0"/>
          <w:numId w:val="396"/>
        </w:numPr>
        <w:spacing w:after="0" w:line="360" w:lineRule="auto"/>
        <w:jc w:val="both"/>
        <w:rPr>
          <w:rFonts w:ascii="Arial" w:hAnsi="Arial" w:cs="Arial"/>
        </w:rPr>
      </w:pPr>
      <w:r w:rsidRPr="00B00D17">
        <w:rPr>
          <w:rFonts w:ascii="Arial" w:hAnsi="Arial" w:cs="Arial"/>
        </w:rPr>
        <w:t>Increase in demand for housing</w:t>
      </w:r>
    </w:p>
    <w:p w14:paraId="5D5C9A03" w14:textId="77777777" w:rsidR="00CD6352" w:rsidRPr="00B00D17" w:rsidRDefault="00CD6352" w:rsidP="00B00D17">
      <w:pPr>
        <w:pStyle w:val="ListParagraph"/>
        <w:numPr>
          <w:ilvl w:val="0"/>
          <w:numId w:val="396"/>
        </w:numPr>
        <w:spacing w:after="0" w:line="360" w:lineRule="auto"/>
        <w:jc w:val="both"/>
        <w:rPr>
          <w:rFonts w:ascii="Arial" w:hAnsi="Arial" w:cs="Arial"/>
        </w:rPr>
      </w:pPr>
      <w:r w:rsidRPr="00B00D17">
        <w:rPr>
          <w:rFonts w:ascii="Arial" w:hAnsi="Arial" w:cs="Arial"/>
        </w:rPr>
        <w:t>International market</w:t>
      </w:r>
    </w:p>
    <w:p w14:paraId="448D4CB7" w14:textId="77777777" w:rsidR="00CD6352" w:rsidRPr="00B00D17" w:rsidRDefault="00CD6352" w:rsidP="00B00D17">
      <w:pPr>
        <w:pStyle w:val="ListParagraph"/>
        <w:numPr>
          <w:ilvl w:val="0"/>
          <w:numId w:val="396"/>
        </w:numPr>
        <w:spacing w:after="0" w:line="360" w:lineRule="auto"/>
        <w:jc w:val="both"/>
        <w:rPr>
          <w:rFonts w:ascii="Arial" w:hAnsi="Arial" w:cs="Arial"/>
        </w:rPr>
      </w:pPr>
      <w:r w:rsidRPr="00B00D17">
        <w:rPr>
          <w:rFonts w:ascii="Arial" w:hAnsi="Arial" w:cs="Arial"/>
        </w:rPr>
        <w:t>Low-interest rate</w:t>
      </w:r>
    </w:p>
    <w:p w14:paraId="7BC4EA55" w14:textId="77777777" w:rsidR="00CD6352" w:rsidRPr="00EA7665" w:rsidRDefault="00CD6352" w:rsidP="00CD6352">
      <w:pPr>
        <w:ind w:left="360"/>
        <w:rPr>
          <w:rFonts w:ascii="Arial" w:hAnsi="Arial" w:cs="Arial"/>
          <w:b/>
        </w:rPr>
      </w:pPr>
      <w:r w:rsidRPr="00EA7665">
        <w:rPr>
          <w:rFonts w:ascii="Arial" w:hAnsi="Arial" w:cs="Arial"/>
          <w:b/>
        </w:rPr>
        <w:t xml:space="preserve">Emerging economies: </w:t>
      </w:r>
    </w:p>
    <w:p w14:paraId="4C5EC79F" w14:textId="77777777" w:rsidR="00CD6352" w:rsidRPr="00B00D17" w:rsidRDefault="00CD6352" w:rsidP="00B00D17">
      <w:pPr>
        <w:pStyle w:val="ListParagraph"/>
        <w:numPr>
          <w:ilvl w:val="0"/>
          <w:numId w:val="397"/>
        </w:numPr>
        <w:rPr>
          <w:rFonts w:ascii="Arial" w:hAnsi="Arial" w:cs="Arial"/>
        </w:rPr>
      </w:pPr>
      <w:r w:rsidRPr="00B00D17">
        <w:rPr>
          <w:rFonts w:ascii="Arial" w:hAnsi="Arial" w:cs="Arial"/>
        </w:rPr>
        <w:t>High demand for housing</w:t>
      </w:r>
    </w:p>
    <w:p w14:paraId="6B1D0BA1" w14:textId="77777777" w:rsidR="00CD6352" w:rsidRPr="00B00D17" w:rsidRDefault="00CD6352" w:rsidP="00B00D17">
      <w:pPr>
        <w:pStyle w:val="ListParagraph"/>
        <w:numPr>
          <w:ilvl w:val="0"/>
          <w:numId w:val="397"/>
        </w:numPr>
        <w:rPr>
          <w:rFonts w:ascii="Arial" w:hAnsi="Arial" w:cs="Arial"/>
        </w:rPr>
      </w:pPr>
      <w:r w:rsidRPr="00B00D17">
        <w:rPr>
          <w:rFonts w:ascii="Arial" w:hAnsi="Arial" w:cs="Arial"/>
        </w:rPr>
        <w:t xml:space="preserve">A long-standing relationship with financiers </w:t>
      </w:r>
    </w:p>
    <w:p w14:paraId="54541CC4" w14:textId="77777777" w:rsidR="00CD6352" w:rsidRPr="00B00D17" w:rsidRDefault="00CD6352" w:rsidP="00B00D17">
      <w:pPr>
        <w:pStyle w:val="ListParagraph"/>
        <w:numPr>
          <w:ilvl w:val="0"/>
          <w:numId w:val="397"/>
        </w:numPr>
        <w:spacing w:line="360" w:lineRule="auto"/>
        <w:jc w:val="both"/>
        <w:rPr>
          <w:rFonts w:ascii="Arial" w:hAnsi="Arial" w:cs="Arial"/>
        </w:rPr>
      </w:pPr>
      <w:r w:rsidRPr="00B00D17">
        <w:rPr>
          <w:rFonts w:ascii="Arial" w:hAnsi="Arial" w:cs="Arial"/>
        </w:rPr>
        <w:t>Existing markets for office retail and logistics sectors and key 2nd tier cities across China</w:t>
      </w:r>
    </w:p>
    <w:p w14:paraId="39E08004" w14:textId="77777777" w:rsidR="00CD6352" w:rsidRPr="00B00D17" w:rsidRDefault="00CD6352" w:rsidP="00B00D17">
      <w:pPr>
        <w:pStyle w:val="ListParagraph"/>
        <w:numPr>
          <w:ilvl w:val="0"/>
          <w:numId w:val="397"/>
        </w:numPr>
        <w:rPr>
          <w:rFonts w:ascii="Arial" w:hAnsi="Arial" w:cs="Arial"/>
        </w:rPr>
      </w:pPr>
      <w:r w:rsidRPr="00B00D17">
        <w:rPr>
          <w:rFonts w:ascii="Arial" w:hAnsi="Arial" w:cs="Arial"/>
        </w:rPr>
        <w:t>Private equity/offtakes</w:t>
      </w:r>
    </w:p>
    <w:p w14:paraId="749BFA1C" w14:textId="77777777" w:rsidR="00CD6352" w:rsidRPr="00B00D17" w:rsidRDefault="00CD6352" w:rsidP="00B00D17">
      <w:pPr>
        <w:pStyle w:val="ListParagraph"/>
        <w:numPr>
          <w:ilvl w:val="0"/>
          <w:numId w:val="397"/>
        </w:numPr>
        <w:spacing w:line="360" w:lineRule="auto"/>
        <w:jc w:val="both"/>
        <w:rPr>
          <w:rFonts w:ascii="Arial" w:hAnsi="Arial" w:cs="Arial"/>
        </w:rPr>
      </w:pPr>
      <w:r w:rsidRPr="00B00D17">
        <w:rPr>
          <w:rFonts w:ascii="Arial" w:hAnsi="Arial" w:cs="Arial"/>
        </w:rPr>
        <w:t>Developers combining the construction of industrial, commercial, residential, health care centre, especially in China</w:t>
      </w:r>
    </w:p>
    <w:p w14:paraId="1ED6EA27" w14:textId="0355C4C8" w:rsidR="00CD6352" w:rsidRPr="003A349E" w:rsidRDefault="00CD6352" w:rsidP="00CD6352">
      <w:pPr>
        <w:spacing w:line="360" w:lineRule="auto"/>
        <w:jc w:val="both"/>
        <w:rPr>
          <w:rFonts w:ascii="Arial" w:hAnsi="Arial" w:cs="Arial"/>
        </w:rPr>
      </w:pPr>
      <w:r w:rsidRPr="002D0FB2">
        <w:rPr>
          <w:rFonts w:ascii="Arial" w:hAnsi="Arial" w:cs="Arial"/>
        </w:rPr>
        <w:t xml:space="preserve">Spearman rho’s correlation coefficient was used to determine the relationship between </w:t>
      </w:r>
      <w:r w:rsidR="002D0FB2">
        <w:rPr>
          <w:rFonts w:ascii="Arial" w:hAnsi="Arial" w:cs="Arial"/>
        </w:rPr>
        <w:t xml:space="preserve"> the management level and the </w:t>
      </w:r>
      <w:r w:rsidRPr="002D0FB2">
        <w:rPr>
          <w:rFonts w:ascii="Arial" w:hAnsi="Arial" w:cs="Arial"/>
        </w:rPr>
        <w:t xml:space="preserve">opportunities associated with securing </w:t>
      </w:r>
      <w:r w:rsidR="002D0FB2">
        <w:rPr>
          <w:rFonts w:ascii="Arial" w:hAnsi="Arial" w:cs="Arial"/>
        </w:rPr>
        <w:t>real estate project development finance</w:t>
      </w:r>
      <w:r w:rsidR="00BD1F54" w:rsidRPr="002D0FB2">
        <w:rPr>
          <w:rFonts w:ascii="Arial" w:hAnsi="Arial" w:cs="Arial"/>
        </w:rPr>
        <w:t>.</w:t>
      </w:r>
      <w:r w:rsidRPr="002D0FB2">
        <w:rPr>
          <w:rFonts w:ascii="Arial" w:hAnsi="Arial" w:cs="Arial"/>
        </w:rPr>
        <w:t xml:space="preserve"> The findings showed a positive correlation between </w:t>
      </w:r>
      <w:r w:rsidR="002D0FB2">
        <w:rPr>
          <w:rFonts w:ascii="Arial" w:hAnsi="Arial" w:cs="Arial"/>
        </w:rPr>
        <w:t xml:space="preserve">management level and opportunities </w:t>
      </w:r>
      <w:r w:rsidRPr="002D0FB2">
        <w:rPr>
          <w:rFonts w:ascii="Arial" w:hAnsi="Arial" w:cs="Arial"/>
        </w:rPr>
        <w:t xml:space="preserve">for securing </w:t>
      </w:r>
      <w:r w:rsidR="002D0FB2">
        <w:rPr>
          <w:rFonts w:ascii="Arial" w:hAnsi="Arial" w:cs="Arial"/>
        </w:rPr>
        <w:t>real estate project development finance such as institutional real estate market size, Infrastructure quality, government monetary and fiscal policies, availability of long-term funds,</w:t>
      </w:r>
      <w:r w:rsidRPr="002D0FB2">
        <w:rPr>
          <w:rFonts w:ascii="Arial" w:hAnsi="Arial" w:cs="Arial"/>
        </w:rPr>
        <w:t xml:space="preserve"> and foreign exchange stability.</w:t>
      </w:r>
    </w:p>
    <w:p w14:paraId="35E195E3" w14:textId="470B659F" w:rsidR="00CD6352" w:rsidRPr="00EC1785" w:rsidRDefault="00CD6352" w:rsidP="00CD6352">
      <w:pPr>
        <w:spacing w:line="360" w:lineRule="auto"/>
        <w:jc w:val="both"/>
        <w:rPr>
          <w:rFonts w:ascii="Arial" w:hAnsi="Arial" w:cs="Arial"/>
        </w:rPr>
      </w:pPr>
      <w:r>
        <w:rPr>
          <w:rFonts w:ascii="Arial" w:hAnsi="Arial" w:cs="Arial"/>
        </w:rPr>
        <w:t xml:space="preserve">The study developed a conceptual framework for environmental scan for securing finance for real estate project development based on the findings from critical success factors, </w:t>
      </w:r>
      <w:r w:rsidR="00FC2920">
        <w:rPr>
          <w:rFonts w:ascii="Arial" w:hAnsi="Arial" w:cs="Arial"/>
        </w:rPr>
        <w:t>challenges,</w:t>
      </w:r>
      <w:r>
        <w:rPr>
          <w:rFonts w:ascii="Arial" w:hAnsi="Arial" w:cs="Arial"/>
        </w:rPr>
        <w:t xml:space="preserve"> and opportunities for securing finance for real estate project development. This framework forms part of the toolkit for securing finance for real estate project development</w:t>
      </w:r>
      <w:r w:rsidR="00BD1F54">
        <w:rPr>
          <w:rFonts w:ascii="Arial" w:hAnsi="Arial" w:cs="Arial"/>
        </w:rPr>
        <w:t xml:space="preserve"> in chapter </w:t>
      </w:r>
      <w:r w:rsidR="00FC2920">
        <w:rPr>
          <w:rFonts w:ascii="Arial" w:hAnsi="Arial" w:cs="Arial"/>
        </w:rPr>
        <w:t>10</w:t>
      </w:r>
      <w:r>
        <w:rPr>
          <w:rFonts w:ascii="Arial" w:hAnsi="Arial" w:cs="Arial"/>
        </w:rPr>
        <w:t>.</w:t>
      </w:r>
      <w:r w:rsidR="0089334E">
        <w:rPr>
          <w:rFonts w:ascii="Arial" w:hAnsi="Arial" w:cs="Arial"/>
        </w:rPr>
        <w:t xml:space="preserve"> The next chapter discusses the key decisions and processes for securing finance for real estate project development. It also discusses the development of </w:t>
      </w:r>
      <w:r w:rsidR="009F4B1E">
        <w:rPr>
          <w:rFonts w:ascii="Arial" w:hAnsi="Arial" w:cs="Arial"/>
        </w:rPr>
        <w:t xml:space="preserve">a </w:t>
      </w:r>
      <w:r w:rsidR="0089334E">
        <w:rPr>
          <w:rFonts w:ascii="Arial" w:hAnsi="Arial" w:cs="Arial"/>
        </w:rPr>
        <w:t>process map for securing finance for real estate project development.</w:t>
      </w:r>
    </w:p>
    <w:p w14:paraId="2A3FF664" w14:textId="2A25E6BE" w:rsidR="00CD6352" w:rsidRDefault="00CD6352" w:rsidP="00CD6352">
      <w:pPr>
        <w:spacing w:line="360" w:lineRule="auto"/>
        <w:jc w:val="both"/>
        <w:rPr>
          <w:rFonts w:ascii="Arial" w:hAnsi="Arial" w:cs="Arial"/>
        </w:rPr>
      </w:pPr>
    </w:p>
    <w:p w14:paraId="63E131FE" w14:textId="77777777" w:rsidR="0059386E" w:rsidRPr="00EA7665" w:rsidRDefault="0059386E" w:rsidP="00CD6352">
      <w:pPr>
        <w:spacing w:line="360" w:lineRule="auto"/>
        <w:jc w:val="both"/>
        <w:rPr>
          <w:rFonts w:ascii="Arial" w:hAnsi="Arial" w:cs="Arial"/>
        </w:rPr>
      </w:pPr>
    </w:p>
    <w:p w14:paraId="72DC1465" w14:textId="55875214" w:rsidR="00CD6352" w:rsidRPr="00EA7665" w:rsidRDefault="004D37CB" w:rsidP="00CD6352">
      <w:pPr>
        <w:pStyle w:val="Heading1"/>
        <w:spacing w:line="360" w:lineRule="auto"/>
        <w:jc w:val="both"/>
        <w:rPr>
          <w:rFonts w:cs="Arial"/>
          <w:sz w:val="22"/>
          <w:szCs w:val="22"/>
        </w:rPr>
      </w:pPr>
      <w:bookmarkStart w:id="1240" w:name="_Toc78983881"/>
      <w:r>
        <w:rPr>
          <w:rFonts w:cs="Arial"/>
          <w:sz w:val="22"/>
          <w:szCs w:val="22"/>
        </w:rPr>
        <w:t>The k</w:t>
      </w:r>
      <w:r w:rsidR="00CD6352" w:rsidRPr="00EA7665">
        <w:rPr>
          <w:rFonts w:cs="Arial"/>
          <w:sz w:val="22"/>
          <w:szCs w:val="22"/>
        </w:rPr>
        <w:t xml:space="preserve">ey decisions and processes for securing finance for real estate project development in developed and emerging </w:t>
      </w:r>
      <w:r w:rsidR="00FC626B" w:rsidRPr="00EA7665">
        <w:rPr>
          <w:rFonts w:cs="Arial"/>
          <w:sz w:val="22"/>
          <w:szCs w:val="22"/>
        </w:rPr>
        <w:t>economies.</w:t>
      </w:r>
      <w:bookmarkEnd w:id="1240"/>
      <w:r w:rsidR="00CD6352" w:rsidRPr="00EA7665">
        <w:rPr>
          <w:rFonts w:cs="Arial"/>
          <w:sz w:val="22"/>
          <w:szCs w:val="22"/>
        </w:rPr>
        <w:t xml:space="preserve"> </w:t>
      </w:r>
    </w:p>
    <w:p w14:paraId="00075E22" w14:textId="77777777" w:rsidR="00CD6352" w:rsidRPr="00EA7665" w:rsidRDefault="00CD6352" w:rsidP="00CD6352">
      <w:pPr>
        <w:pStyle w:val="Heading2"/>
        <w:spacing w:line="360" w:lineRule="auto"/>
        <w:jc w:val="both"/>
        <w:rPr>
          <w:rFonts w:cs="Arial"/>
          <w:sz w:val="22"/>
          <w:szCs w:val="22"/>
        </w:rPr>
      </w:pPr>
      <w:bookmarkStart w:id="1241" w:name="_Toc78983882"/>
      <w:r w:rsidRPr="00EA7665">
        <w:rPr>
          <w:rFonts w:cs="Arial"/>
          <w:sz w:val="22"/>
          <w:szCs w:val="22"/>
        </w:rPr>
        <w:t>Introduction</w:t>
      </w:r>
      <w:bookmarkEnd w:id="1241"/>
      <w:r w:rsidRPr="00EA7665">
        <w:rPr>
          <w:rFonts w:cs="Arial"/>
          <w:sz w:val="22"/>
          <w:szCs w:val="22"/>
        </w:rPr>
        <w:t xml:space="preserve"> </w:t>
      </w:r>
    </w:p>
    <w:p w14:paraId="35B2E025" w14:textId="7B35CBC9" w:rsidR="00CD6352" w:rsidRPr="00EA7665" w:rsidRDefault="00CD6352" w:rsidP="00CD6352">
      <w:pPr>
        <w:spacing w:line="360" w:lineRule="auto"/>
        <w:jc w:val="both"/>
        <w:rPr>
          <w:rFonts w:ascii="Arial" w:hAnsi="Arial" w:cs="Arial"/>
        </w:rPr>
      </w:pPr>
      <w:r w:rsidRPr="004D37CB">
        <w:rPr>
          <w:rFonts w:ascii="Arial" w:hAnsi="Arial" w:cs="Arial"/>
        </w:rPr>
        <w:t>This chapter presents and discusses the findings on the key decisions and processes for securing finance for real estate project development in the developed and emerging economies. It analyses and presents data from both the questionnaire and the semi-structured interviews</w:t>
      </w:r>
      <w:r w:rsidR="00DC7156" w:rsidRPr="004D37CB">
        <w:rPr>
          <w:rFonts w:ascii="Arial" w:hAnsi="Arial" w:cs="Arial"/>
        </w:rPr>
        <w:t>. This is to fulfil the third objective</w:t>
      </w:r>
      <w:r w:rsidRPr="004D37CB">
        <w:rPr>
          <w:rFonts w:ascii="Arial" w:hAnsi="Arial" w:cs="Arial"/>
        </w:rPr>
        <w:t>, “to document the processes and key decisions</w:t>
      </w:r>
      <w:r w:rsidRPr="002739A4">
        <w:rPr>
          <w:rFonts w:ascii="Arial" w:hAnsi="Arial" w:cs="Arial"/>
        </w:rPr>
        <w:t xml:space="preserve"> for securing finance for real estate project development in developed and emerging economies”.  </w:t>
      </w:r>
      <w:r w:rsidR="00207E1D" w:rsidRPr="002739A4">
        <w:rPr>
          <w:rFonts w:ascii="Arial" w:hAnsi="Arial" w:cs="Arial"/>
        </w:rPr>
        <w:t>The chapter also presents the development of the process map for securing finance for real estate project development based on variables from interviews and questionnaires responses.</w:t>
      </w:r>
      <w:r w:rsidR="00207E1D">
        <w:rPr>
          <w:rFonts w:ascii="Arial" w:hAnsi="Arial" w:cs="Arial"/>
        </w:rPr>
        <w:t xml:space="preserve"> </w:t>
      </w:r>
    </w:p>
    <w:p w14:paraId="49B0DD41" w14:textId="5AD13517" w:rsidR="00CD6352" w:rsidRPr="00EA7665" w:rsidRDefault="00CD6352" w:rsidP="00CD6352">
      <w:pPr>
        <w:pStyle w:val="Heading2"/>
        <w:spacing w:after="240" w:line="360" w:lineRule="auto"/>
        <w:jc w:val="both"/>
        <w:rPr>
          <w:rFonts w:cs="Arial"/>
          <w:sz w:val="22"/>
          <w:szCs w:val="22"/>
        </w:rPr>
      </w:pPr>
      <w:bookmarkStart w:id="1242" w:name="_Toc78983883"/>
      <w:r w:rsidRPr="00EA7665">
        <w:rPr>
          <w:rFonts w:cs="Arial"/>
          <w:sz w:val="22"/>
          <w:szCs w:val="22"/>
        </w:rPr>
        <w:t>Key decisions</w:t>
      </w:r>
      <w:r w:rsidR="000B7A9B">
        <w:rPr>
          <w:rFonts w:cs="Arial"/>
          <w:sz w:val="22"/>
          <w:szCs w:val="22"/>
        </w:rPr>
        <w:t xml:space="preserve"> and </w:t>
      </w:r>
      <w:r w:rsidR="000B7A9B" w:rsidRPr="000B7A9B">
        <w:rPr>
          <w:rFonts w:cs="Arial"/>
          <w:sz w:val="22"/>
          <w:szCs w:val="22"/>
        </w:rPr>
        <w:t xml:space="preserve">processes </w:t>
      </w:r>
      <w:r w:rsidRPr="00EA7665">
        <w:rPr>
          <w:rFonts w:cs="Arial"/>
          <w:sz w:val="22"/>
          <w:szCs w:val="22"/>
        </w:rPr>
        <w:t>for securing finance for real estate project development.</w:t>
      </w:r>
      <w:bookmarkEnd w:id="1242"/>
    </w:p>
    <w:p w14:paraId="2124DEA8" w14:textId="26ABF624" w:rsidR="00CD6352" w:rsidRPr="00EA7665" w:rsidRDefault="00CD6352" w:rsidP="00CD6352">
      <w:pPr>
        <w:spacing w:line="360" w:lineRule="auto"/>
        <w:jc w:val="both"/>
        <w:rPr>
          <w:rFonts w:ascii="Arial" w:hAnsi="Arial" w:cs="Arial"/>
        </w:rPr>
      </w:pPr>
      <w:r>
        <w:rPr>
          <w:rFonts w:ascii="Arial" w:hAnsi="Arial" w:cs="Arial"/>
        </w:rPr>
        <w:t>This</w:t>
      </w:r>
      <w:r w:rsidRPr="00EA7665">
        <w:rPr>
          <w:rFonts w:ascii="Arial" w:hAnsi="Arial" w:cs="Arial"/>
        </w:rPr>
        <w:t xml:space="preserve"> segment of the study was embarked on with </w:t>
      </w:r>
      <w:r>
        <w:rPr>
          <w:rFonts w:ascii="Arial" w:hAnsi="Arial" w:cs="Arial"/>
        </w:rPr>
        <w:t xml:space="preserve">a view to </w:t>
      </w:r>
      <w:r w:rsidRPr="00EA7665">
        <w:rPr>
          <w:rFonts w:ascii="Arial" w:hAnsi="Arial" w:cs="Arial"/>
        </w:rPr>
        <w:t xml:space="preserve">the </w:t>
      </w:r>
      <w:r w:rsidR="00E71D31" w:rsidRPr="00EA7665">
        <w:rPr>
          <w:rFonts w:ascii="Arial" w:hAnsi="Arial" w:cs="Arial"/>
        </w:rPr>
        <w:t>following</w:t>
      </w:r>
      <w:r w:rsidRPr="00EA7665">
        <w:rPr>
          <w:rFonts w:ascii="Arial" w:hAnsi="Arial" w:cs="Arial"/>
        </w:rPr>
        <w:t>:</w:t>
      </w:r>
    </w:p>
    <w:p w14:paraId="1E7E96EB" w14:textId="07A3EB0B" w:rsidR="00CD6352" w:rsidRPr="00EA7665" w:rsidRDefault="00CD6352" w:rsidP="007625E7">
      <w:pPr>
        <w:pStyle w:val="ListParagraph"/>
        <w:numPr>
          <w:ilvl w:val="0"/>
          <w:numId w:val="382"/>
        </w:numPr>
        <w:spacing w:line="360" w:lineRule="auto"/>
        <w:jc w:val="both"/>
        <w:rPr>
          <w:rFonts w:ascii="Arial" w:hAnsi="Arial" w:cs="Arial"/>
        </w:rPr>
      </w:pPr>
      <w:r w:rsidRPr="00EA7665">
        <w:rPr>
          <w:rFonts w:ascii="Arial" w:hAnsi="Arial" w:cs="Arial"/>
        </w:rPr>
        <w:t xml:space="preserve">Create a better understanding of the </w:t>
      </w:r>
      <w:r>
        <w:rPr>
          <w:rFonts w:ascii="Arial" w:hAnsi="Arial" w:cs="Arial"/>
        </w:rPr>
        <w:t xml:space="preserve">key </w:t>
      </w:r>
      <w:r w:rsidRPr="00EA7665">
        <w:rPr>
          <w:rFonts w:ascii="Arial" w:hAnsi="Arial" w:cs="Arial"/>
        </w:rPr>
        <w:t>decision</w:t>
      </w:r>
      <w:r>
        <w:rPr>
          <w:rFonts w:ascii="Arial" w:hAnsi="Arial" w:cs="Arial"/>
        </w:rPr>
        <w:t xml:space="preserve">s and </w:t>
      </w:r>
      <w:r w:rsidRPr="00EA7665">
        <w:rPr>
          <w:rFonts w:ascii="Arial" w:hAnsi="Arial" w:cs="Arial"/>
        </w:rPr>
        <w:t xml:space="preserve">processes involved in securing </w:t>
      </w:r>
      <w:r w:rsidR="004D37CB">
        <w:rPr>
          <w:rFonts w:ascii="Arial" w:hAnsi="Arial" w:cs="Arial"/>
        </w:rPr>
        <w:t>real estate project development finance</w:t>
      </w:r>
      <w:r w:rsidRPr="00EA7665">
        <w:rPr>
          <w:rFonts w:ascii="Arial" w:hAnsi="Arial" w:cs="Arial"/>
        </w:rPr>
        <w:t xml:space="preserve"> in developed and emerging economies.</w:t>
      </w:r>
    </w:p>
    <w:p w14:paraId="79707E93" w14:textId="6A9561ED" w:rsidR="00CD6352" w:rsidRPr="00EA7665" w:rsidRDefault="00CD6352" w:rsidP="007625E7">
      <w:pPr>
        <w:pStyle w:val="ListParagraph"/>
        <w:numPr>
          <w:ilvl w:val="0"/>
          <w:numId w:val="382"/>
        </w:numPr>
        <w:spacing w:line="360" w:lineRule="auto"/>
        <w:jc w:val="both"/>
        <w:rPr>
          <w:rFonts w:ascii="Arial" w:hAnsi="Arial" w:cs="Arial"/>
        </w:rPr>
      </w:pPr>
      <w:r w:rsidRPr="00EA7665">
        <w:rPr>
          <w:rFonts w:ascii="Arial" w:hAnsi="Arial" w:cs="Arial"/>
        </w:rPr>
        <w:t xml:space="preserve">Create a platform for </w:t>
      </w:r>
      <w:r w:rsidR="004D37CB">
        <w:rPr>
          <w:rFonts w:ascii="Arial" w:hAnsi="Arial" w:cs="Arial"/>
        </w:rPr>
        <w:t>developing</w:t>
      </w:r>
      <w:r w:rsidRPr="00EA7665">
        <w:rPr>
          <w:rFonts w:ascii="Arial" w:hAnsi="Arial" w:cs="Arial"/>
        </w:rPr>
        <w:t xml:space="preserve"> a process map for securing finance for real estate project development</w:t>
      </w:r>
      <w:r>
        <w:rPr>
          <w:rFonts w:ascii="Arial" w:hAnsi="Arial" w:cs="Arial"/>
        </w:rPr>
        <w:t xml:space="preserve"> which also forms part of the toolkit for securing finance for real estate project development</w:t>
      </w:r>
      <w:r w:rsidRPr="00EA7665">
        <w:rPr>
          <w:rFonts w:ascii="Arial" w:hAnsi="Arial" w:cs="Arial"/>
        </w:rPr>
        <w:t xml:space="preserve">. (See chapter </w:t>
      </w:r>
      <w:r w:rsidR="00611549">
        <w:rPr>
          <w:rFonts w:ascii="Arial" w:hAnsi="Arial" w:cs="Arial"/>
        </w:rPr>
        <w:t>10</w:t>
      </w:r>
      <w:r w:rsidRPr="00EA7665">
        <w:rPr>
          <w:rFonts w:ascii="Arial" w:hAnsi="Arial" w:cs="Arial"/>
        </w:rPr>
        <w:t>).</w:t>
      </w:r>
    </w:p>
    <w:p w14:paraId="6BB4B8FF" w14:textId="05D1DD2D" w:rsidR="00CD6352" w:rsidRPr="00EA7665" w:rsidRDefault="00CD6352" w:rsidP="00CD6352">
      <w:pPr>
        <w:spacing w:line="360" w:lineRule="auto"/>
        <w:jc w:val="both"/>
        <w:rPr>
          <w:rFonts w:ascii="Arial" w:hAnsi="Arial" w:cs="Arial"/>
        </w:rPr>
      </w:pPr>
      <w:r>
        <w:rPr>
          <w:rFonts w:ascii="Arial" w:hAnsi="Arial" w:cs="Arial"/>
        </w:rPr>
        <w:t>The r</w:t>
      </w:r>
      <w:r w:rsidRPr="00EA7665">
        <w:rPr>
          <w:rFonts w:ascii="Arial" w:hAnsi="Arial" w:cs="Arial"/>
        </w:rPr>
        <w:t xml:space="preserve">espondents were asked to indicate the key decisions and processes they undertake in securing finance for real estate project development in chronological order for the questionnaire survey. Consequently, this gave them the freedom to express themselves based on the peculiarity of their transaction models. SPSS 21 simplified this analysis by presenting </w:t>
      </w:r>
      <w:r w:rsidR="00E71D31">
        <w:rPr>
          <w:rFonts w:ascii="Arial" w:hAnsi="Arial" w:cs="Arial"/>
        </w:rPr>
        <w:t xml:space="preserve">the summary </w:t>
      </w:r>
      <w:r w:rsidRPr="00EA7665">
        <w:rPr>
          <w:rFonts w:ascii="Arial" w:hAnsi="Arial" w:cs="Arial"/>
        </w:rPr>
        <w:t xml:space="preserve">in a tabular </w:t>
      </w:r>
      <w:r>
        <w:rPr>
          <w:rFonts w:ascii="Arial" w:hAnsi="Arial" w:cs="Arial"/>
        </w:rPr>
        <w:t>format</w:t>
      </w:r>
      <w:r w:rsidRPr="00EA7665">
        <w:rPr>
          <w:rFonts w:ascii="Arial" w:hAnsi="Arial" w:cs="Arial"/>
        </w:rPr>
        <w:t xml:space="preserve"> based on the instruction inputted by the researcher. The key </w:t>
      </w:r>
      <w:r>
        <w:rPr>
          <w:rFonts w:ascii="Arial" w:hAnsi="Arial" w:cs="Arial"/>
        </w:rPr>
        <w:t>decisions and</w:t>
      </w:r>
      <w:r w:rsidRPr="00EA7665">
        <w:rPr>
          <w:rFonts w:ascii="Arial" w:hAnsi="Arial" w:cs="Arial"/>
        </w:rPr>
        <w:t xml:space="preserve"> processes for securing </w:t>
      </w:r>
      <w:r w:rsidR="004D37CB">
        <w:rPr>
          <w:rFonts w:ascii="Arial" w:hAnsi="Arial" w:cs="Arial"/>
        </w:rPr>
        <w:t>real estate project development finance</w:t>
      </w:r>
      <w:r w:rsidRPr="00EA7665">
        <w:rPr>
          <w:rFonts w:ascii="Arial" w:hAnsi="Arial" w:cs="Arial"/>
        </w:rPr>
        <w:t xml:space="preserve"> are discussed in two major parts.</w:t>
      </w:r>
    </w:p>
    <w:p w14:paraId="0F2A088C" w14:textId="4FB852AC" w:rsidR="00CD6352" w:rsidRPr="00EA7665" w:rsidRDefault="00CD6352" w:rsidP="007625E7">
      <w:pPr>
        <w:pStyle w:val="ListParagraph"/>
        <w:numPr>
          <w:ilvl w:val="0"/>
          <w:numId w:val="383"/>
        </w:numPr>
        <w:spacing w:line="360" w:lineRule="auto"/>
        <w:jc w:val="both"/>
        <w:rPr>
          <w:rFonts w:ascii="Arial" w:hAnsi="Arial" w:cs="Arial"/>
        </w:rPr>
      </w:pPr>
      <w:r w:rsidRPr="00EA7665">
        <w:rPr>
          <w:rFonts w:ascii="Arial" w:hAnsi="Arial" w:cs="Arial"/>
        </w:rPr>
        <w:t xml:space="preserve">The aggregate level </w:t>
      </w:r>
      <w:r w:rsidR="00B35482">
        <w:rPr>
          <w:rFonts w:ascii="Arial" w:hAnsi="Arial" w:cs="Arial"/>
        </w:rPr>
        <w:t xml:space="preserve">is </w:t>
      </w:r>
      <w:r w:rsidRPr="00EA7665">
        <w:rPr>
          <w:rFonts w:ascii="Arial" w:hAnsi="Arial" w:cs="Arial"/>
        </w:rPr>
        <w:t>based on the output from the questionnaire survey.</w:t>
      </w:r>
    </w:p>
    <w:p w14:paraId="5A96AAB7" w14:textId="6D4876AF" w:rsidR="00CD6352" w:rsidRPr="00EA7665" w:rsidRDefault="00CD6352" w:rsidP="007625E7">
      <w:pPr>
        <w:pStyle w:val="ListParagraph"/>
        <w:numPr>
          <w:ilvl w:val="0"/>
          <w:numId w:val="383"/>
        </w:numPr>
        <w:spacing w:line="360" w:lineRule="auto"/>
        <w:jc w:val="both"/>
        <w:rPr>
          <w:rFonts w:ascii="Arial" w:hAnsi="Arial" w:cs="Arial"/>
        </w:rPr>
      </w:pPr>
      <w:r w:rsidRPr="00EA7665">
        <w:rPr>
          <w:rFonts w:ascii="Arial" w:hAnsi="Arial" w:cs="Arial"/>
        </w:rPr>
        <w:t xml:space="preserve">The dis-aggregate </w:t>
      </w:r>
      <w:r>
        <w:rPr>
          <w:rFonts w:ascii="Arial" w:hAnsi="Arial" w:cs="Arial"/>
        </w:rPr>
        <w:t xml:space="preserve">level </w:t>
      </w:r>
      <w:r w:rsidR="00B35482">
        <w:rPr>
          <w:rFonts w:ascii="Arial" w:hAnsi="Arial" w:cs="Arial"/>
        </w:rPr>
        <w:t xml:space="preserve">is </w:t>
      </w:r>
      <w:r w:rsidRPr="00EA7665">
        <w:rPr>
          <w:rFonts w:ascii="Arial" w:hAnsi="Arial" w:cs="Arial"/>
        </w:rPr>
        <w:t>based on the key decisio</w:t>
      </w:r>
      <w:r>
        <w:rPr>
          <w:rFonts w:ascii="Arial" w:hAnsi="Arial" w:cs="Arial"/>
        </w:rPr>
        <w:t>ns</w:t>
      </w:r>
      <w:r w:rsidRPr="00EA7665">
        <w:rPr>
          <w:rFonts w:ascii="Arial" w:hAnsi="Arial" w:cs="Arial"/>
        </w:rPr>
        <w:t xml:space="preserve"> </w:t>
      </w:r>
      <w:r w:rsidR="00E71D31">
        <w:rPr>
          <w:rFonts w:ascii="Arial" w:hAnsi="Arial" w:cs="Arial"/>
        </w:rPr>
        <w:t xml:space="preserve">and </w:t>
      </w:r>
      <w:r w:rsidR="00E71D31" w:rsidRPr="00EA7665">
        <w:rPr>
          <w:rFonts w:ascii="Arial" w:hAnsi="Arial" w:cs="Arial"/>
        </w:rPr>
        <w:t>processes</w:t>
      </w:r>
      <w:r w:rsidRPr="00EA7665">
        <w:rPr>
          <w:rFonts w:ascii="Arial" w:hAnsi="Arial" w:cs="Arial"/>
        </w:rPr>
        <w:t xml:space="preserve"> obtained from semi-structured interviews.</w:t>
      </w:r>
    </w:p>
    <w:p w14:paraId="61200FBC" w14:textId="77777777" w:rsidR="00CD6352" w:rsidRPr="00EA7665" w:rsidRDefault="00CD6352" w:rsidP="00CD6352">
      <w:pPr>
        <w:pStyle w:val="Heading3"/>
        <w:rPr>
          <w:sz w:val="22"/>
          <w:szCs w:val="22"/>
        </w:rPr>
      </w:pPr>
      <w:bookmarkStart w:id="1243" w:name="_Toc78983884"/>
      <w:r w:rsidRPr="00EA7665">
        <w:rPr>
          <w:sz w:val="22"/>
          <w:szCs w:val="22"/>
        </w:rPr>
        <w:lastRenderedPageBreak/>
        <w:t>Questionnaire survey analysis and discussion at the aggregate level</w:t>
      </w:r>
      <w:bookmarkEnd w:id="1243"/>
    </w:p>
    <w:p w14:paraId="260896A9" w14:textId="6F03A8EA" w:rsidR="00CD6352" w:rsidRDefault="00CD6352" w:rsidP="00CD6352">
      <w:pPr>
        <w:spacing w:before="240" w:line="360" w:lineRule="auto"/>
        <w:jc w:val="both"/>
        <w:rPr>
          <w:rFonts w:ascii="Arial" w:hAnsi="Arial" w:cs="Arial"/>
        </w:rPr>
      </w:pPr>
      <w:r w:rsidRPr="00EA7665">
        <w:rPr>
          <w:rFonts w:ascii="Arial" w:hAnsi="Arial" w:cs="Arial"/>
        </w:rPr>
        <w:t xml:space="preserve">The results relating to the key </w:t>
      </w:r>
      <w:r>
        <w:rPr>
          <w:rFonts w:ascii="Arial" w:hAnsi="Arial" w:cs="Arial"/>
        </w:rPr>
        <w:t xml:space="preserve">decisions </w:t>
      </w:r>
      <w:r w:rsidR="00675108">
        <w:rPr>
          <w:rFonts w:ascii="Arial" w:hAnsi="Arial" w:cs="Arial"/>
        </w:rPr>
        <w:t xml:space="preserve">and </w:t>
      </w:r>
      <w:r w:rsidR="00675108" w:rsidRPr="00EA7665">
        <w:rPr>
          <w:rFonts w:ascii="Arial" w:hAnsi="Arial" w:cs="Arial"/>
        </w:rPr>
        <w:t>processes</w:t>
      </w:r>
      <w:r w:rsidRPr="00EA7665">
        <w:rPr>
          <w:rFonts w:ascii="Arial" w:hAnsi="Arial" w:cs="Arial"/>
        </w:rPr>
        <w:t xml:space="preserve"> for securing finance for real estate project development is summarised into five major steps based on the information provided by the respondents in the online questionnaire survey. (See table 7.1). The questionnaire survey response was not analysed on a </w:t>
      </w:r>
      <w:r w:rsidR="00711740" w:rsidRPr="00EA7665">
        <w:rPr>
          <w:rFonts w:ascii="Arial" w:hAnsi="Arial" w:cs="Arial"/>
        </w:rPr>
        <w:t>country-by-country</w:t>
      </w:r>
      <w:r w:rsidRPr="00EA7665">
        <w:rPr>
          <w:rFonts w:ascii="Arial" w:hAnsi="Arial" w:cs="Arial"/>
        </w:rPr>
        <w:t xml:space="preserve"> basis because of the fragmented nature of the responses.</w:t>
      </w:r>
    </w:p>
    <w:p w14:paraId="4F98DF37" w14:textId="0FFE0E7D" w:rsidR="003A148B" w:rsidRDefault="003A148B" w:rsidP="003A148B">
      <w:pPr>
        <w:spacing w:line="360" w:lineRule="auto"/>
        <w:jc w:val="both"/>
        <w:rPr>
          <w:rFonts w:ascii="Arial" w:hAnsi="Arial" w:cs="Arial"/>
        </w:rPr>
      </w:pPr>
      <w:r w:rsidRPr="00EA7665">
        <w:rPr>
          <w:rFonts w:ascii="Arial" w:hAnsi="Arial" w:cs="Arial"/>
        </w:rPr>
        <w:t xml:space="preserve">The findings from the questionnaire show that there are no strictly uniform key </w:t>
      </w:r>
      <w:r>
        <w:rPr>
          <w:rFonts w:ascii="Arial" w:hAnsi="Arial" w:cs="Arial"/>
        </w:rPr>
        <w:t xml:space="preserve">decisions and </w:t>
      </w:r>
      <w:r w:rsidRPr="00EA7665">
        <w:rPr>
          <w:rFonts w:ascii="Arial" w:hAnsi="Arial" w:cs="Arial"/>
        </w:rPr>
        <w:t xml:space="preserve">processes adopted by the managers. The </w:t>
      </w:r>
      <w:r>
        <w:rPr>
          <w:rFonts w:ascii="Arial" w:hAnsi="Arial" w:cs="Arial"/>
        </w:rPr>
        <w:t xml:space="preserve">decisions </w:t>
      </w:r>
      <w:r w:rsidRPr="00EA7665">
        <w:rPr>
          <w:rFonts w:ascii="Arial" w:hAnsi="Arial" w:cs="Arial"/>
        </w:rPr>
        <w:t>and</w:t>
      </w:r>
      <w:r>
        <w:rPr>
          <w:rFonts w:ascii="Arial" w:hAnsi="Arial" w:cs="Arial"/>
        </w:rPr>
        <w:t xml:space="preserve"> </w:t>
      </w:r>
      <w:r w:rsidRPr="00EA7665">
        <w:rPr>
          <w:rFonts w:ascii="Arial" w:hAnsi="Arial" w:cs="Arial"/>
        </w:rPr>
        <w:t>processes described by the respondents are similar and often contai</w:t>
      </w:r>
      <w:r>
        <w:rPr>
          <w:rFonts w:ascii="Arial" w:hAnsi="Arial" w:cs="Arial"/>
        </w:rPr>
        <w:t>n</w:t>
      </w:r>
      <w:r w:rsidRPr="00EA7665">
        <w:rPr>
          <w:rFonts w:ascii="Arial" w:hAnsi="Arial" w:cs="Arial"/>
        </w:rPr>
        <w:t xml:space="preserve"> the same elements but, </w:t>
      </w:r>
      <w:r>
        <w:rPr>
          <w:rFonts w:ascii="Arial" w:hAnsi="Arial" w:cs="Arial"/>
        </w:rPr>
        <w:t>in varying</w:t>
      </w:r>
      <w:r w:rsidRPr="00EA7665">
        <w:rPr>
          <w:rFonts w:ascii="Arial" w:hAnsi="Arial" w:cs="Arial"/>
        </w:rPr>
        <w:t xml:space="preserve"> order</w:t>
      </w:r>
      <w:r>
        <w:rPr>
          <w:rFonts w:ascii="Arial" w:hAnsi="Arial" w:cs="Arial"/>
        </w:rPr>
        <w:t>. The key decision-making processes are in five stages based on the researcher’s summary of the questionnaire response</w:t>
      </w:r>
      <w:r w:rsidR="007F38B5">
        <w:rPr>
          <w:rFonts w:ascii="Arial" w:hAnsi="Arial" w:cs="Arial"/>
        </w:rPr>
        <w:t>s</w:t>
      </w:r>
      <w:r>
        <w:rPr>
          <w:rFonts w:ascii="Arial" w:hAnsi="Arial" w:cs="Arial"/>
        </w:rPr>
        <w:t xml:space="preserve"> in </w:t>
      </w:r>
      <w:r w:rsidR="007F38B5">
        <w:rPr>
          <w:rFonts w:ascii="Arial" w:hAnsi="Arial" w:cs="Arial"/>
        </w:rPr>
        <w:t xml:space="preserve">the chronological </w:t>
      </w:r>
      <w:r>
        <w:rPr>
          <w:rFonts w:ascii="Arial" w:hAnsi="Arial" w:cs="Arial"/>
        </w:rPr>
        <w:t xml:space="preserve">order </w:t>
      </w:r>
      <w:r w:rsidR="007F38B5">
        <w:rPr>
          <w:rFonts w:ascii="Arial" w:hAnsi="Arial" w:cs="Arial"/>
        </w:rPr>
        <w:t>provided by the respondents</w:t>
      </w:r>
      <w:r>
        <w:rPr>
          <w:rFonts w:ascii="Arial" w:hAnsi="Arial" w:cs="Arial"/>
        </w:rPr>
        <w:t xml:space="preserve">. However, these different </w:t>
      </w:r>
      <w:r w:rsidR="00051741">
        <w:rPr>
          <w:rFonts w:ascii="Arial" w:hAnsi="Arial" w:cs="Arial"/>
        </w:rPr>
        <w:t>stages</w:t>
      </w:r>
      <w:r>
        <w:rPr>
          <w:rFonts w:ascii="Arial" w:hAnsi="Arial" w:cs="Arial"/>
        </w:rPr>
        <w:t xml:space="preserve"> as observed from the data collected</w:t>
      </w:r>
      <w:r w:rsidR="004D37CB">
        <w:rPr>
          <w:rFonts w:ascii="Arial" w:hAnsi="Arial" w:cs="Arial"/>
        </w:rPr>
        <w:t>,</w:t>
      </w:r>
      <w:r>
        <w:rPr>
          <w:rFonts w:ascii="Arial" w:hAnsi="Arial" w:cs="Arial"/>
        </w:rPr>
        <w:t xml:space="preserve"> sometimes overlap.</w:t>
      </w:r>
    </w:p>
    <w:p w14:paraId="2E2F56B8" w14:textId="36B82C5B" w:rsidR="003A148B" w:rsidRDefault="003A148B" w:rsidP="003A148B">
      <w:pPr>
        <w:spacing w:line="360" w:lineRule="auto"/>
        <w:jc w:val="both"/>
        <w:rPr>
          <w:rFonts w:ascii="Arial" w:hAnsi="Arial" w:cs="Arial"/>
        </w:rPr>
      </w:pPr>
      <w:r w:rsidRPr="00EA7665">
        <w:rPr>
          <w:rFonts w:ascii="Arial" w:hAnsi="Arial" w:cs="Arial"/>
        </w:rPr>
        <w:t xml:space="preserve">Consequently, </w:t>
      </w:r>
      <w:r>
        <w:rPr>
          <w:rFonts w:ascii="Arial" w:hAnsi="Arial" w:cs="Arial"/>
        </w:rPr>
        <w:t>the summary of th</w:t>
      </w:r>
      <w:r w:rsidRPr="00EA7665">
        <w:rPr>
          <w:rFonts w:ascii="Arial" w:hAnsi="Arial" w:cs="Arial"/>
        </w:rPr>
        <w:t xml:space="preserve">e above five steps </w:t>
      </w:r>
      <w:r w:rsidRPr="00D56811">
        <w:rPr>
          <w:rFonts w:ascii="Arial" w:hAnsi="Arial" w:cs="Arial"/>
        </w:rPr>
        <w:t>identified from the responses to the online questionnaire survey</w:t>
      </w:r>
      <w:r>
        <w:rPr>
          <w:rFonts w:ascii="Arial" w:hAnsi="Arial" w:cs="Arial"/>
        </w:rPr>
        <w:t xml:space="preserve"> will act as a guide and contribute to the development of the process map for securing finance for real estate project development.</w:t>
      </w:r>
    </w:p>
    <w:p w14:paraId="3288926F" w14:textId="20DD8100" w:rsidR="00CD6352" w:rsidRDefault="00CD6352" w:rsidP="00CD6352">
      <w:pPr>
        <w:spacing w:before="240" w:line="360" w:lineRule="auto"/>
        <w:ind w:left="720"/>
        <w:jc w:val="both"/>
        <w:rPr>
          <w:rFonts w:ascii="Arial" w:hAnsi="Arial" w:cs="Arial"/>
          <w:i/>
          <w:iCs/>
        </w:rPr>
      </w:pPr>
      <w:r w:rsidRPr="00BE2AF3">
        <w:rPr>
          <w:rFonts w:ascii="Arial" w:hAnsi="Arial" w:cs="Arial"/>
          <w:i/>
          <w:iCs/>
        </w:rPr>
        <w:t>The managers were asked to indicate the processes they undertake in securing finance for real estate project development in a chronological manner.</w:t>
      </w:r>
    </w:p>
    <w:p w14:paraId="3C667947" w14:textId="207E8F14" w:rsidR="00CD6352" w:rsidRPr="00711740" w:rsidRDefault="00CD6352" w:rsidP="00CD6352">
      <w:pPr>
        <w:pStyle w:val="Caption"/>
        <w:keepNext/>
        <w:rPr>
          <w:rFonts w:ascii="Arial" w:hAnsi="Arial" w:cs="Arial"/>
          <w:i w:val="0"/>
          <w:iCs w:val="0"/>
          <w:sz w:val="16"/>
          <w:szCs w:val="16"/>
        </w:rPr>
      </w:pPr>
      <w:r w:rsidRPr="00711740">
        <w:rPr>
          <w:rFonts w:ascii="Arial" w:hAnsi="Arial" w:cs="Arial"/>
          <w:i w:val="0"/>
          <w:iCs w:val="0"/>
          <w:sz w:val="16"/>
          <w:szCs w:val="16"/>
        </w:rPr>
        <w:t xml:space="preserve">Table </w:t>
      </w:r>
      <w:r w:rsidRPr="00711740">
        <w:rPr>
          <w:rFonts w:ascii="Arial" w:hAnsi="Arial" w:cs="Arial"/>
          <w:i w:val="0"/>
          <w:iCs w:val="0"/>
          <w:sz w:val="16"/>
          <w:szCs w:val="16"/>
        </w:rPr>
        <w:fldChar w:fldCharType="begin"/>
      </w:r>
      <w:r w:rsidRPr="00711740">
        <w:rPr>
          <w:rFonts w:ascii="Arial" w:hAnsi="Arial" w:cs="Arial"/>
          <w:i w:val="0"/>
          <w:iCs w:val="0"/>
          <w:sz w:val="16"/>
          <w:szCs w:val="16"/>
        </w:rPr>
        <w:instrText xml:space="preserve"> STYLEREF 1 \s </w:instrText>
      </w:r>
      <w:r w:rsidRPr="00711740">
        <w:rPr>
          <w:rFonts w:ascii="Arial" w:hAnsi="Arial" w:cs="Arial"/>
          <w:i w:val="0"/>
          <w:iCs w:val="0"/>
          <w:sz w:val="16"/>
          <w:szCs w:val="16"/>
        </w:rPr>
        <w:fldChar w:fldCharType="separate"/>
      </w:r>
      <w:r w:rsidRPr="00711740">
        <w:rPr>
          <w:rFonts w:ascii="Arial" w:hAnsi="Arial" w:cs="Arial"/>
          <w:i w:val="0"/>
          <w:iCs w:val="0"/>
          <w:noProof/>
          <w:sz w:val="16"/>
          <w:szCs w:val="16"/>
        </w:rPr>
        <w:t>7</w:t>
      </w:r>
      <w:r w:rsidRPr="00711740">
        <w:rPr>
          <w:rFonts w:ascii="Arial" w:hAnsi="Arial" w:cs="Arial"/>
          <w:i w:val="0"/>
          <w:iCs w:val="0"/>
          <w:sz w:val="16"/>
          <w:szCs w:val="16"/>
        </w:rPr>
        <w:fldChar w:fldCharType="end"/>
      </w:r>
      <w:r w:rsidRPr="00711740">
        <w:rPr>
          <w:rFonts w:ascii="Arial" w:hAnsi="Arial" w:cs="Arial"/>
          <w:i w:val="0"/>
          <w:iCs w:val="0"/>
          <w:sz w:val="16"/>
          <w:szCs w:val="16"/>
        </w:rPr>
        <w:noBreakHyphen/>
        <w:t xml:space="preserve">1: Key decisions </w:t>
      </w:r>
      <w:r w:rsidR="00675108" w:rsidRPr="00711740">
        <w:rPr>
          <w:rFonts w:ascii="Arial" w:hAnsi="Arial" w:cs="Arial"/>
          <w:i w:val="0"/>
          <w:iCs w:val="0"/>
          <w:sz w:val="16"/>
          <w:szCs w:val="16"/>
        </w:rPr>
        <w:t>and processes</w:t>
      </w:r>
      <w:r w:rsidRPr="00711740">
        <w:rPr>
          <w:rFonts w:ascii="Arial" w:hAnsi="Arial" w:cs="Arial"/>
          <w:i w:val="0"/>
          <w:iCs w:val="0"/>
          <w:sz w:val="16"/>
          <w:szCs w:val="16"/>
        </w:rPr>
        <w:t xml:space="preserve"> for securing finance for real estate project development in chronological </w:t>
      </w:r>
      <w:r w:rsidR="00DC7156">
        <w:rPr>
          <w:rFonts w:ascii="Arial" w:hAnsi="Arial" w:cs="Arial"/>
          <w:i w:val="0"/>
          <w:iCs w:val="0"/>
          <w:sz w:val="16"/>
          <w:szCs w:val="16"/>
        </w:rPr>
        <w:t>order</w:t>
      </w:r>
      <w:r w:rsidR="00136A31">
        <w:rPr>
          <w:rFonts w:ascii="Arial" w:hAnsi="Arial" w:cs="Arial"/>
          <w:i w:val="0"/>
          <w:iCs w:val="0"/>
          <w:sz w:val="16"/>
          <w:szCs w:val="16"/>
        </w:rPr>
        <w:t xml:space="preserve"> based on the questionnaire survey responses</w:t>
      </w:r>
      <w:r w:rsidR="00DC631B" w:rsidRPr="00711740">
        <w:rPr>
          <w:rFonts w:ascii="Arial" w:hAnsi="Arial" w:cs="Arial"/>
          <w:i w:val="0"/>
          <w:iCs w:val="0"/>
          <w:sz w:val="16"/>
          <w:szCs w:val="16"/>
        </w:rPr>
        <w:t>.</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6"/>
        <w:gridCol w:w="1856"/>
        <w:gridCol w:w="1626"/>
        <w:gridCol w:w="1488"/>
        <w:gridCol w:w="1741"/>
        <w:gridCol w:w="1839"/>
      </w:tblGrid>
      <w:tr w:rsidR="00CD6352" w:rsidRPr="00DC631B" w14:paraId="7256C78B" w14:textId="77777777" w:rsidTr="00CD6352">
        <w:tc>
          <w:tcPr>
            <w:tcW w:w="0" w:type="auto"/>
          </w:tcPr>
          <w:p w14:paraId="4247612D" w14:textId="77777777" w:rsidR="00CD6352" w:rsidRPr="00DC631B" w:rsidRDefault="00CD6352" w:rsidP="00CD6352">
            <w:pPr>
              <w:jc w:val="both"/>
              <w:rPr>
                <w:rFonts w:ascii="Arial" w:hAnsi="Arial" w:cs="Arial"/>
                <w:b/>
                <w:sz w:val="16"/>
                <w:szCs w:val="16"/>
              </w:rPr>
            </w:pPr>
          </w:p>
        </w:tc>
        <w:tc>
          <w:tcPr>
            <w:tcW w:w="0" w:type="auto"/>
            <w:gridSpan w:val="5"/>
          </w:tcPr>
          <w:p w14:paraId="4767C0A8" w14:textId="77777777" w:rsidR="00CD6352" w:rsidRPr="00DC631B" w:rsidRDefault="00CD6352" w:rsidP="00CD6352">
            <w:pPr>
              <w:jc w:val="both"/>
              <w:rPr>
                <w:rFonts w:ascii="Arial" w:hAnsi="Arial" w:cs="Arial"/>
                <w:b/>
                <w:sz w:val="16"/>
                <w:szCs w:val="16"/>
              </w:rPr>
            </w:pPr>
            <w:r w:rsidRPr="00DC631B">
              <w:rPr>
                <w:rFonts w:ascii="Arial" w:hAnsi="Arial" w:cs="Arial"/>
                <w:b/>
                <w:sz w:val="16"/>
                <w:szCs w:val="16"/>
              </w:rPr>
              <w:t>Key decision-making processes for securing finance</w:t>
            </w:r>
          </w:p>
        </w:tc>
      </w:tr>
      <w:tr w:rsidR="00CD6352" w:rsidRPr="00DC631B" w14:paraId="14E0A5EB" w14:textId="77777777" w:rsidTr="00CD6352">
        <w:tc>
          <w:tcPr>
            <w:tcW w:w="0" w:type="auto"/>
          </w:tcPr>
          <w:p w14:paraId="06320986" w14:textId="77777777" w:rsidR="00CD6352" w:rsidRPr="00DC631B" w:rsidRDefault="00CD6352" w:rsidP="00CD6352">
            <w:pPr>
              <w:jc w:val="both"/>
              <w:rPr>
                <w:rFonts w:ascii="Arial" w:hAnsi="Arial" w:cs="Arial"/>
                <w:b/>
                <w:sz w:val="16"/>
                <w:szCs w:val="16"/>
              </w:rPr>
            </w:pPr>
            <w:r w:rsidRPr="00DC631B">
              <w:rPr>
                <w:rFonts w:ascii="Arial" w:hAnsi="Arial" w:cs="Arial"/>
                <w:b/>
                <w:sz w:val="16"/>
                <w:szCs w:val="16"/>
              </w:rPr>
              <w:t>S/n</w:t>
            </w:r>
          </w:p>
        </w:tc>
        <w:tc>
          <w:tcPr>
            <w:tcW w:w="0" w:type="auto"/>
          </w:tcPr>
          <w:p w14:paraId="48A40E0E" w14:textId="77777777" w:rsidR="00CD6352" w:rsidRPr="00DC631B" w:rsidRDefault="00CD6352" w:rsidP="00CD6352">
            <w:pPr>
              <w:jc w:val="both"/>
              <w:rPr>
                <w:rFonts w:ascii="Arial" w:hAnsi="Arial" w:cs="Arial"/>
                <w:b/>
                <w:sz w:val="16"/>
                <w:szCs w:val="16"/>
              </w:rPr>
            </w:pPr>
            <w:r w:rsidRPr="00DC631B">
              <w:rPr>
                <w:rFonts w:ascii="Arial" w:hAnsi="Arial" w:cs="Arial"/>
                <w:b/>
                <w:sz w:val="16"/>
                <w:szCs w:val="16"/>
              </w:rPr>
              <w:t>Stage 1</w:t>
            </w:r>
          </w:p>
        </w:tc>
        <w:tc>
          <w:tcPr>
            <w:tcW w:w="0" w:type="auto"/>
          </w:tcPr>
          <w:p w14:paraId="58BC07A6" w14:textId="53734BB7" w:rsidR="00CD6352" w:rsidRPr="00DC631B" w:rsidRDefault="00675108" w:rsidP="00CD6352">
            <w:pPr>
              <w:jc w:val="both"/>
              <w:rPr>
                <w:rFonts w:ascii="Arial" w:hAnsi="Arial" w:cs="Arial"/>
                <w:b/>
                <w:sz w:val="16"/>
                <w:szCs w:val="16"/>
              </w:rPr>
            </w:pPr>
            <w:r w:rsidRPr="00DC631B">
              <w:rPr>
                <w:rFonts w:ascii="Arial" w:hAnsi="Arial" w:cs="Arial"/>
                <w:b/>
                <w:sz w:val="16"/>
                <w:szCs w:val="16"/>
              </w:rPr>
              <w:t>Stage 2</w:t>
            </w:r>
          </w:p>
        </w:tc>
        <w:tc>
          <w:tcPr>
            <w:tcW w:w="0" w:type="auto"/>
          </w:tcPr>
          <w:p w14:paraId="407E5FF8" w14:textId="40797666" w:rsidR="00CD6352" w:rsidRPr="00DC631B" w:rsidRDefault="00675108" w:rsidP="00CD6352">
            <w:pPr>
              <w:jc w:val="both"/>
              <w:rPr>
                <w:rFonts w:ascii="Arial" w:hAnsi="Arial" w:cs="Arial"/>
                <w:b/>
                <w:sz w:val="16"/>
                <w:szCs w:val="16"/>
              </w:rPr>
            </w:pPr>
            <w:r w:rsidRPr="00DC631B">
              <w:rPr>
                <w:rFonts w:ascii="Arial" w:hAnsi="Arial" w:cs="Arial"/>
                <w:b/>
                <w:sz w:val="16"/>
                <w:szCs w:val="16"/>
              </w:rPr>
              <w:t>Stage 3</w:t>
            </w:r>
          </w:p>
        </w:tc>
        <w:tc>
          <w:tcPr>
            <w:tcW w:w="0" w:type="auto"/>
          </w:tcPr>
          <w:p w14:paraId="4B347FD0" w14:textId="77777777" w:rsidR="00CD6352" w:rsidRPr="00DC631B" w:rsidRDefault="00CD6352" w:rsidP="00CD6352">
            <w:pPr>
              <w:jc w:val="both"/>
              <w:rPr>
                <w:rFonts w:ascii="Arial" w:hAnsi="Arial" w:cs="Arial"/>
                <w:b/>
                <w:sz w:val="16"/>
                <w:szCs w:val="16"/>
              </w:rPr>
            </w:pPr>
            <w:r w:rsidRPr="00DC631B">
              <w:rPr>
                <w:rFonts w:ascii="Arial" w:hAnsi="Arial" w:cs="Arial"/>
                <w:b/>
                <w:sz w:val="16"/>
                <w:szCs w:val="16"/>
              </w:rPr>
              <w:t>Stage 4</w:t>
            </w:r>
          </w:p>
        </w:tc>
        <w:tc>
          <w:tcPr>
            <w:tcW w:w="0" w:type="auto"/>
          </w:tcPr>
          <w:p w14:paraId="38183CC8" w14:textId="77777777" w:rsidR="00CD6352" w:rsidRPr="00DC631B" w:rsidRDefault="00CD6352" w:rsidP="00CD6352">
            <w:pPr>
              <w:jc w:val="both"/>
              <w:rPr>
                <w:rFonts w:ascii="Arial" w:hAnsi="Arial" w:cs="Arial"/>
                <w:b/>
                <w:sz w:val="16"/>
                <w:szCs w:val="16"/>
              </w:rPr>
            </w:pPr>
            <w:r w:rsidRPr="00DC631B">
              <w:rPr>
                <w:rFonts w:ascii="Arial" w:hAnsi="Arial" w:cs="Arial"/>
                <w:b/>
                <w:sz w:val="16"/>
                <w:szCs w:val="16"/>
              </w:rPr>
              <w:t>Stage 5</w:t>
            </w:r>
          </w:p>
        </w:tc>
      </w:tr>
      <w:tr w:rsidR="00CD6352" w:rsidRPr="00DC631B" w14:paraId="02228E6B" w14:textId="77777777" w:rsidTr="00CD6352">
        <w:tc>
          <w:tcPr>
            <w:tcW w:w="0" w:type="auto"/>
          </w:tcPr>
          <w:p w14:paraId="0949D30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w:t>
            </w:r>
          </w:p>
        </w:tc>
        <w:tc>
          <w:tcPr>
            <w:tcW w:w="0" w:type="auto"/>
          </w:tcPr>
          <w:p w14:paraId="7030B4C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 opportunities for real estate project</w:t>
            </w:r>
          </w:p>
        </w:tc>
        <w:tc>
          <w:tcPr>
            <w:tcW w:w="0" w:type="auto"/>
          </w:tcPr>
          <w:p w14:paraId="1793902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Form joint ventures</w:t>
            </w:r>
          </w:p>
        </w:tc>
        <w:tc>
          <w:tcPr>
            <w:tcW w:w="0" w:type="auto"/>
          </w:tcPr>
          <w:p w14:paraId="130E16F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Undertake feasibility studies</w:t>
            </w:r>
          </w:p>
        </w:tc>
        <w:tc>
          <w:tcPr>
            <w:tcW w:w="0" w:type="auto"/>
          </w:tcPr>
          <w:p w14:paraId="1E94B43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approval for funds</w:t>
            </w:r>
          </w:p>
        </w:tc>
        <w:tc>
          <w:tcPr>
            <w:tcW w:w="0" w:type="auto"/>
          </w:tcPr>
          <w:p w14:paraId="49D16BD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Execute construction</w:t>
            </w:r>
          </w:p>
        </w:tc>
      </w:tr>
      <w:tr w:rsidR="00CD6352" w:rsidRPr="00DC631B" w14:paraId="027D472A" w14:textId="77777777" w:rsidTr="00CD6352">
        <w:tc>
          <w:tcPr>
            <w:tcW w:w="0" w:type="auto"/>
          </w:tcPr>
          <w:p w14:paraId="02BE4FA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2</w:t>
            </w:r>
          </w:p>
        </w:tc>
        <w:tc>
          <w:tcPr>
            <w:tcW w:w="0" w:type="auto"/>
          </w:tcPr>
          <w:p w14:paraId="5A0276A9"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Apply for bank loans</w:t>
            </w:r>
          </w:p>
        </w:tc>
        <w:tc>
          <w:tcPr>
            <w:tcW w:w="0" w:type="auto"/>
          </w:tcPr>
          <w:p w14:paraId="2B8F1CB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Do a land registry search</w:t>
            </w:r>
          </w:p>
        </w:tc>
        <w:tc>
          <w:tcPr>
            <w:tcW w:w="0" w:type="auto"/>
          </w:tcPr>
          <w:p w14:paraId="2C4C6255"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Undertake project planning</w:t>
            </w:r>
          </w:p>
        </w:tc>
        <w:tc>
          <w:tcPr>
            <w:tcW w:w="0" w:type="auto"/>
          </w:tcPr>
          <w:p w14:paraId="09651AE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permission from local authorities</w:t>
            </w:r>
          </w:p>
        </w:tc>
        <w:tc>
          <w:tcPr>
            <w:tcW w:w="0" w:type="auto"/>
          </w:tcPr>
          <w:p w14:paraId="06C65A2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Contact financial companies</w:t>
            </w:r>
          </w:p>
        </w:tc>
      </w:tr>
      <w:tr w:rsidR="00CD6352" w:rsidRPr="00DC631B" w14:paraId="23653675" w14:textId="77777777" w:rsidTr="00CD6352">
        <w:tc>
          <w:tcPr>
            <w:tcW w:w="0" w:type="auto"/>
          </w:tcPr>
          <w:p w14:paraId="1B1FC43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3</w:t>
            </w:r>
          </w:p>
        </w:tc>
        <w:tc>
          <w:tcPr>
            <w:tcW w:w="0" w:type="auto"/>
          </w:tcPr>
          <w:p w14:paraId="2CB64C8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Budgeting and planning</w:t>
            </w:r>
          </w:p>
        </w:tc>
        <w:tc>
          <w:tcPr>
            <w:tcW w:w="0" w:type="auto"/>
          </w:tcPr>
          <w:p w14:paraId="68A3389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Funding source assessment</w:t>
            </w:r>
          </w:p>
        </w:tc>
        <w:tc>
          <w:tcPr>
            <w:tcW w:w="0" w:type="auto"/>
          </w:tcPr>
          <w:p w14:paraId="58BE559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Financial modelling</w:t>
            </w:r>
          </w:p>
        </w:tc>
        <w:tc>
          <w:tcPr>
            <w:tcW w:w="0" w:type="auto"/>
          </w:tcPr>
          <w:p w14:paraId="18E5605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Meeting and negotiating with financiers</w:t>
            </w:r>
          </w:p>
        </w:tc>
        <w:tc>
          <w:tcPr>
            <w:tcW w:w="0" w:type="auto"/>
          </w:tcPr>
          <w:p w14:paraId="32AC9F3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Selecting financing arrangements</w:t>
            </w:r>
          </w:p>
        </w:tc>
      </w:tr>
      <w:tr w:rsidR="00CD6352" w:rsidRPr="00DC631B" w14:paraId="03A00B97" w14:textId="77777777" w:rsidTr="00CD6352">
        <w:tc>
          <w:tcPr>
            <w:tcW w:w="0" w:type="auto"/>
          </w:tcPr>
          <w:p w14:paraId="7CE6FDC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4</w:t>
            </w:r>
          </w:p>
        </w:tc>
        <w:tc>
          <w:tcPr>
            <w:tcW w:w="0" w:type="auto"/>
          </w:tcPr>
          <w:p w14:paraId="44A3460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Concept</w:t>
            </w:r>
          </w:p>
        </w:tc>
        <w:tc>
          <w:tcPr>
            <w:tcW w:w="0" w:type="auto"/>
          </w:tcPr>
          <w:p w14:paraId="46C2B9A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Submitting plan for finance</w:t>
            </w:r>
          </w:p>
        </w:tc>
        <w:tc>
          <w:tcPr>
            <w:tcW w:w="0" w:type="auto"/>
          </w:tcPr>
          <w:p w14:paraId="375A566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Pre-approval</w:t>
            </w:r>
          </w:p>
        </w:tc>
        <w:tc>
          <w:tcPr>
            <w:tcW w:w="0" w:type="auto"/>
          </w:tcPr>
          <w:p w14:paraId="1FB263F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approval</w:t>
            </w:r>
          </w:p>
        </w:tc>
        <w:tc>
          <w:tcPr>
            <w:tcW w:w="0" w:type="auto"/>
          </w:tcPr>
          <w:p w14:paraId="19B303A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Nil</w:t>
            </w:r>
          </w:p>
        </w:tc>
      </w:tr>
      <w:tr w:rsidR="00CD6352" w:rsidRPr="00DC631B" w14:paraId="19200A5B" w14:textId="77777777" w:rsidTr="00CD6352">
        <w:tc>
          <w:tcPr>
            <w:tcW w:w="0" w:type="auto"/>
          </w:tcPr>
          <w:p w14:paraId="2DE9653E"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5</w:t>
            </w:r>
          </w:p>
        </w:tc>
        <w:tc>
          <w:tcPr>
            <w:tcW w:w="0" w:type="auto"/>
          </w:tcPr>
          <w:p w14:paraId="6DDDB6A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Exploration &amp; scanning for opportunities</w:t>
            </w:r>
          </w:p>
        </w:tc>
        <w:tc>
          <w:tcPr>
            <w:tcW w:w="0" w:type="auto"/>
          </w:tcPr>
          <w:p w14:paraId="6DB4977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Idea generation, budgeting and assessing risks</w:t>
            </w:r>
          </w:p>
        </w:tc>
        <w:tc>
          <w:tcPr>
            <w:tcW w:w="0" w:type="auto"/>
          </w:tcPr>
          <w:p w14:paraId="442424B9"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Pre-approval and contacting financiers</w:t>
            </w:r>
          </w:p>
        </w:tc>
        <w:tc>
          <w:tcPr>
            <w:tcW w:w="0" w:type="auto"/>
          </w:tcPr>
          <w:p w14:paraId="39A19B5C"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Secure approval and secure funding </w:t>
            </w:r>
          </w:p>
        </w:tc>
        <w:tc>
          <w:tcPr>
            <w:tcW w:w="0" w:type="auto"/>
          </w:tcPr>
          <w:p w14:paraId="07D1DD36"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Meet conditions for loan effectiveness &amp; financial management</w:t>
            </w:r>
          </w:p>
        </w:tc>
      </w:tr>
      <w:tr w:rsidR="00CD6352" w:rsidRPr="00DC631B" w14:paraId="1C73229D" w14:textId="77777777" w:rsidTr="00CD6352">
        <w:tc>
          <w:tcPr>
            <w:tcW w:w="0" w:type="auto"/>
          </w:tcPr>
          <w:p w14:paraId="7D39FF3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6</w:t>
            </w:r>
          </w:p>
        </w:tc>
        <w:tc>
          <w:tcPr>
            <w:tcW w:w="0" w:type="auto"/>
          </w:tcPr>
          <w:p w14:paraId="350045E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Exploration &amp; scanning for opportunities in the market</w:t>
            </w:r>
          </w:p>
        </w:tc>
        <w:tc>
          <w:tcPr>
            <w:tcW w:w="0" w:type="auto"/>
          </w:tcPr>
          <w:p w14:paraId="6687A5C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Idea generation</w:t>
            </w:r>
          </w:p>
        </w:tc>
        <w:tc>
          <w:tcPr>
            <w:tcW w:w="0" w:type="auto"/>
          </w:tcPr>
          <w:p w14:paraId="7CEFE030" w14:textId="5AA6050E"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Profit &amp; </w:t>
            </w:r>
            <w:r w:rsidR="005C0F41" w:rsidRPr="00DC631B">
              <w:rPr>
                <w:rFonts w:ascii="Arial" w:hAnsi="Arial" w:cs="Arial"/>
                <w:sz w:val="16"/>
                <w:szCs w:val="16"/>
              </w:rPr>
              <w:t>loss analysis</w:t>
            </w:r>
          </w:p>
        </w:tc>
        <w:tc>
          <w:tcPr>
            <w:tcW w:w="0" w:type="auto"/>
          </w:tcPr>
          <w:p w14:paraId="19789F4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Budgeting</w:t>
            </w:r>
          </w:p>
        </w:tc>
        <w:tc>
          <w:tcPr>
            <w:tcW w:w="0" w:type="auto"/>
          </w:tcPr>
          <w:p w14:paraId="43833ACA" w14:textId="378212E1"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Identify finance options; prepare </w:t>
            </w:r>
            <w:r w:rsidR="000A089D">
              <w:rPr>
                <w:rFonts w:ascii="Arial" w:hAnsi="Arial" w:cs="Arial"/>
                <w:sz w:val="16"/>
                <w:szCs w:val="16"/>
              </w:rPr>
              <w:t xml:space="preserve">the </w:t>
            </w:r>
            <w:r w:rsidRPr="00DC631B">
              <w:rPr>
                <w:rFonts w:ascii="Arial" w:hAnsi="Arial" w:cs="Arial"/>
                <w:sz w:val="16"/>
                <w:szCs w:val="16"/>
              </w:rPr>
              <w:t>proposal</w:t>
            </w:r>
            <w:r w:rsidR="004D37CB">
              <w:rPr>
                <w:rFonts w:ascii="Arial" w:hAnsi="Arial" w:cs="Arial"/>
                <w:sz w:val="16"/>
                <w:szCs w:val="16"/>
              </w:rPr>
              <w:t>,</w:t>
            </w:r>
            <w:r w:rsidRPr="00DC631B">
              <w:rPr>
                <w:rFonts w:ascii="Arial" w:hAnsi="Arial" w:cs="Arial"/>
                <w:sz w:val="16"/>
                <w:szCs w:val="16"/>
              </w:rPr>
              <w:t xml:space="preserve"> and get investor approvals</w:t>
            </w:r>
          </w:p>
        </w:tc>
      </w:tr>
      <w:tr w:rsidR="00CD6352" w:rsidRPr="00DC631B" w14:paraId="4C231613" w14:textId="77777777" w:rsidTr="00CD6352">
        <w:tc>
          <w:tcPr>
            <w:tcW w:w="0" w:type="auto"/>
          </w:tcPr>
          <w:p w14:paraId="0803A29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7</w:t>
            </w:r>
          </w:p>
        </w:tc>
        <w:tc>
          <w:tcPr>
            <w:tcW w:w="0" w:type="auto"/>
          </w:tcPr>
          <w:p w14:paraId="0E819EF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Exploration &amp; scanning for opportunities in the market. Identify finance options and sources</w:t>
            </w:r>
          </w:p>
        </w:tc>
        <w:tc>
          <w:tcPr>
            <w:tcW w:w="0" w:type="auto"/>
          </w:tcPr>
          <w:p w14:paraId="1DBBA22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Idea generation, budgeting, accessing risks profile</w:t>
            </w:r>
          </w:p>
        </w:tc>
        <w:tc>
          <w:tcPr>
            <w:tcW w:w="0" w:type="auto"/>
          </w:tcPr>
          <w:p w14:paraId="4249604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Pre-approval: contacting financiers &amp; preparing a proposal</w:t>
            </w:r>
          </w:p>
        </w:tc>
        <w:tc>
          <w:tcPr>
            <w:tcW w:w="0" w:type="auto"/>
          </w:tcPr>
          <w:p w14:paraId="13FF6C05"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Approval: secure funding; conditions for loan effectiveness &amp; financial management</w:t>
            </w:r>
          </w:p>
        </w:tc>
        <w:tc>
          <w:tcPr>
            <w:tcW w:w="0" w:type="auto"/>
          </w:tcPr>
          <w:p w14:paraId="48DFC8B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Nil</w:t>
            </w:r>
          </w:p>
        </w:tc>
      </w:tr>
      <w:tr w:rsidR="00CD6352" w:rsidRPr="00DC631B" w14:paraId="2AE44335" w14:textId="77777777" w:rsidTr="00CD6352">
        <w:tc>
          <w:tcPr>
            <w:tcW w:w="0" w:type="auto"/>
          </w:tcPr>
          <w:p w14:paraId="7912C6B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lastRenderedPageBreak/>
              <w:t>8</w:t>
            </w:r>
          </w:p>
        </w:tc>
        <w:tc>
          <w:tcPr>
            <w:tcW w:w="0" w:type="auto"/>
          </w:tcPr>
          <w:p w14:paraId="605D74C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Exploration of opportunities in the market</w:t>
            </w:r>
          </w:p>
        </w:tc>
        <w:tc>
          <w:tcPr>
            <w:tcW w:w="0" w:type="auto"/>
          </w:tcPr>
          <w:p w14:paraId="7C56CA17" w14:textId="59E379B5"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Research </w:t>
            </w:r>
            <w:r w:rsidR="005C0F41" w:rsidRPr="00DC631B">
              <w:rPr>
                <w:rFonts w:ascii="Arial" w:hAnsi="Arial" w:cs="Arial"/>
                <w:sz w:val="16"/>
                <w:szCs w:val="16"/>
              </w:rPr>
              <w:t>(market</w:t>
            </w:r>
            <w:r w:rsidRPr="00DC631B">
              <w:rPr>
                <w:rFonts w:ascii="Arial" w:hAnsi="Arial" w:cs="Arial"/>
                <w:sz w:val="16"/>
                <w:szCs w:val="16"/>
              </w:rPr>
              <w:t xml:space="preserve"> study &amp; project feasibility analysis</w:t>
            </w:r>
          </w:p>
        </w:tc>
        <w:tc>
          <w:tcPr>
            <w:tcW w:w="0" w:type="auto"/>
          </w:tcPr>
          <w:p w14:paraId="2893CA98" w14:textId="2C8CCF56"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Planning </w:t>
            </w:r>
            <w:r w:rsidR="005C0F41" w:rsidRPr="00DC631B">
              <w:rPr>
                <w:rFonts w:ascii="Arial" w:hAnsi="Arial" w:cs="Arial"/>
                <w:sz w:val="16"/>
                <w:szCs w:val="16"/>
              </w:rPr>
              <w:t>(Master</w:t>
            </w:r>
            <w:r w:rsidRPr="00DC631B">
              <w:rPr>
                <w:rFonts w:ascii="Arial" w:hAnsi="Arial" w:cs="Arial"/>
                <w:sz w:val="16"/>
                <w:szCs w:val="16"/>
              </w:rPr>
              <w:t xml:space="preserve"> planning + financial model)</w:t>
            </w:r>
          </w:p>
        </w:tc>
        <w:tc>
          <w:tcPr>
            <w:tcW w:w="0" w:type="auto"/>
          </w:tcPr>
          <w:p w14:paraId="48CFF4F9" w14:textId="318B492F"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Pre-approval </w:t>
            </w:r>
            <w:r w:rsidR="005C0F41" w:rsidRPr="00DC631B">
              <w:rPr>
                <w:rFonts w:ascii="Arial" w:hAnsi="Arial" w:cs="Arial"/>
                <w:sz w:val="16"/>
                <w:szCs w:val="16"/>
              </w:rPr>
              <w:t>(contacting</w:t>
            </w:r>
            <w:r w:rsidRPr="00DC631B">
              <w:rPr>
                <w:rFonts w:ascii="Arial" w:hAnsi="Arial" w:cs="Arial"/>
                <w:sz w:val="16"/>
                <w:szCs w:val="16"/>
              </w:rPr>
              <w:t xml:space="preserve"> financiers + preparing the final proposal</w:t>
            </w:r>
          </w:p>
        </w:tc>
        <w:tc>
          <w:tcPr>
            <w:tcW w:w="0" w:type="auto"/>
          </w:tcPr>
          <w:p w14:paraId="6CF5C06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Management final approval</w:t>
            </w:r>
          </w:p>
        </w:tc>
      </w:tr>
      <w:tr w:rsidR="00CD6352" w:rsidRPr="00DC631B" w14:paraId="271331A6" w14:textId="77777777" w:rsidTr="00CD6352">
        <w:tc>
          <w:tcPr>
            <w:tcW w:w="0" w:type="auto"/>
          </w:tcPr>
          <w:p w14:paraId="11F31CD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9</w:t>
            </w:r>
          </w:p>
        </w:tc>
        <w:tc>
          <w:tcPr>
            <w:tcW w:w="0" w:type="auto"/>
          </w:tcPr>
          <w:p w14:paraId="36A68D7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Feasibility and appraisal stage</w:t>
            </w:r>
          </w:p>
        </w:tc>
        <w:tc>
          <w:tcPr>
            <w:tcW w:w="0" w:type="auto"/>
          </w:tcPr>
          <w:p w14:paraId="2E8D155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Brainstorming stage</w:t>
            </w:r>
          </w:p>
        </w:tc>
        <w:tc>
          <w:tcPr>
            <w:tcW w:w="0" w:type="auto"/>
          </w:tcPr>
          <w:p w14:paraId="7579B7D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Budgeting stage</w:t>
            </w:r>
          </w:p>
        </w:tc>
        <w:tc>
          <w:tcPr>
            <w:tcW w:w="0" w:type="auto"/>
          </w:tcPr>
          <w:p w14:paraId="598FE876"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Planning and strategy stage</w:t>
            </w:r>
          </w:p>
        </w:tc>
        <w:tc>
          <w:tcPr>
            <w:tcW w:w="0" w:type="auto"/>
          </w:tcPr>
          <w:p w14:paraId="00D5D9D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Financial option and application for finance</w:t>
            </w:r>
          </w:p>
        </w:tc>
      </w:tr>
      <w:tr w:rsidR="00CD6352" w:rsidRPr="00DC631B" w14:paraId="2111D809" w14:textId="77777777" w:rsidTr="00CD6352">
        <w:tc>
          <w:tcPr>
            <w:tcW w:w="0" w:type="auto"/>
          </w:tcPr>
          <w:p w14:paraId="266482A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10</w:t>
            </w:r>
          </w:p>
        </w:tc>
        <w:tc>
          <w:tcPr>
            <w:tcW w:w="0" w:type="auto"/>
          </w:tcPr>
          <w:p w14:paraId="78F4FB5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Feasibility studies</w:t>
            </w:r>
          </w:p>
        </w:tc>
        <w:tc>
          <w:tcPr>
            <w:tcW w:w="0" w:type="auto"/>
          </w:tcPr>
          <w:p w14:paraId="695C64A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Land inspection</w:t>
            </w:r>
          </w:p>
        </w:tc>
        <w:tc>
          <w:tcPr>
            <w:tcW w:w="0" w:type="auto"/>
          </w:tcPr>
          <w:p w14:paraId="188D797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Source for fund</w:t>
            </w:r>
          </w:p>
        </w:tc>
        <w:tc>
          <w:tcPr>
            <w:tcW w:w="0" w:type="auto"/>
          </w:tcPr>
          <w:p w14:paraId="067A73B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Acquiring of land and authentication of land papers &amp; proposals</w:t>
            </w:r>
          </w:p>
        </w:tc>
        <w:tc>
          <w:tcPr>
            <w:tcW w:w="0" w:type="auto"/>
          </w:tcPr>
          <w:p w14:paraId="22B551D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Approval, strategizing and planning</w:t>
            </w:r>
          </w:p>
        </w:tc>
      </w:tr>
      <w:tr w:rsidR="00CD6352" w:rsidRPr="00DC631B" w14:paraId="515D4AB2" w14:textId="77777777" w:rsidTr="00CD6352">
        <w:tc>
          <w:tcPr>
            <w:tcW w:w="0" w:type="auto"/>
          </w:tcPr>
          <w:p w14:paraId="4499A1D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11</w:t>
            </w:r>
          </w:p>
        </w:tc>
        <w:tc>
          <w:tcPr>
            <w:tcW w:w="0" w:type="auto"/>
          </w:tcPr>
          <w:p w14:paraId="54E1B2E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Identifying markets</w:t>
            </w:r>
          </w:p>
        </w:tc>
        <w:tc>
          <w:tcPr>
            <w:tcW w:w="0" w:type="auto"/>
          </w:tcPr>
          <w:p w14:paraId="7198476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 sites</w:t>
            </w:r>
          </w:p>
        </w:tc>
        <w:tc>
          <w:tcPr>
            <w:tcW w:w="0" w:type="auto"/>
          </w:tcPr>
          <w:p w14:paraId="79F89A0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Underwrite site</w:t>
            </w:r>
          </w:p>
        </w:tc>
        <w:tc>
          <w:tcPr>
            <w:tcW w:w="0" w:type="auto"/>
          </w:tcPr>
          <w:p w14:paraId="5138F2C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Get site under control</w:t>
            </w:r>
          </w:p>
        </w:tc>
        <w:tc>
          <w:tcPr>
            <w:tcW w:w="0" w:type="auto"/>
          </w:tcPr>
          <w:p w14:paraId="10C7859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Conduct due diligence and approach lender/ equity</w:t>
            </w:r>
          </w:p>
        </w:tc>
      </w:tr>
      <w:tr w:rsidR="00CD6352" w:rsidRPr="00DC631B" w14:paraId="63FD59CE" w14:textId="77777777" w:rsidTr="00CD6352">
        <w:tc>
          <w:tcPr>
            <w:tcW w:w="0" w:type="auto"/>
          </w:tcPr>
          <w:p w14:paraId="0307822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12</w:t>
            </w:r>
          </w:p>
        </w:tc>
        <w:tc>
          <w:tcPr>
            <w:tcW w:w="0" w:type="auto"/>
          </w:tcPr>
          <w:p w14:paraId="5218024E"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Land sourcing</w:t>
            </w:r>
          </w:p>
        </w:tc>
        <w:tc>
          <w:tcPr>
            <w:tcW w:w="0" w:type="auto"/>
          </w:tcPr>
          <w:p w14:paraId="7E1D4DC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Design of project</w:t>
            </w:r>
          </w:p>
        </w:tc>
        <w:tc>
          <w:tcPr>
            <w:tcW w:w="0" w:type="auto"/>
          </w:tcPr>
          <w:p w14:paraId="453D4A7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Off taker sourcing</w:t>
            </w:r>
          </w:p>
        </w:tc>
        <w:tc>
          <w:tcPr>
            <w:tcW w:w="0" w:type="auto"/>
          </w:tcPr>
          <w:p w14:paraId="5B5EB795"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Financing</w:t>
            </w:r>
          </w:p>
        </w:tc>
        <w:tc>
          <w:tcPr>
            <w:tcW w:w="0" w:type="auto"/>
          </w:tcPr>
          <w:p w14:paraId="5BB5AEBC"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w:t>
            </w:r>
          </w:p>
        </w:tc>
      </w:tr>
      <w:tr w:rsidR="00CD6352" w:rsidRPr="00DC631B" w14:paraId="6A4AD0B7" w14:textId="77777777" w:rsidTr="00CD6352">
        <w:tc>
          <w:tcPr>
            <w:tcW w:w="0" w:type="auto"/>
          </w:tcPr>
          <w:p w14:paraId="096B292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13</w:t>
            </w:r>
          </w:p>
        </w:tc>
        <w:tc>
          <w:tcPr>
            <w:tcW w:w="0" w:type="auto"/>
          </w:tcPr>
          <w:p w14:paraId="6F17680E"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Look for property</w:t>
            </w:r>
          </w:p>
        </w:tc>
        <w:tc>
          <w:tcPr>
            <w:tcW w:w="0" w:type="auto"/>
          </w:tcPr>
          <w:p w14:paraId="6FFFD09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Proposal for loan</w:t>
            </w:r>
          </w:p>
        </w:tc>
        <w:tc>
          <w:tcPr>
            <w:tcW w:w="0" w:type="auto"/>
          </w:tcPr>
          <w:p w14:paraId="43F1A265"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Feasibility study</w:t>
            </w:r>
          </w:p>
        </w:tc>
        <w:tc>
          <w:tcPr>
            <w:tcW w:w="0" w:type="auto"/>
          </w:tcPr>
          <w:p w14:paraId="27EFD46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Inspection of the land or property</w:t>
            </w:r>
          </w:p>
        </w:tc>
        <w:tc>
          <w:tcPr>
            <w:tcW w:w="0" w:type="auto"/>
          </w:tcPr>
          <w:p w14:paraId="36B574B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Processing of loan </w:t>
            </w:r>
          </w:p>
        </w:tc>
      </w:tr>
      <w:tr w:rsidR="00CD6352" w:rsidRPr="00DC631B" w14:paraId="0F6877D9" w14:textId="77777777" w:rsidTr="00CD6352">
        <w:tc>
          <w:tcPr>
            <w:tcW w:w="0" w:type="auto"/>
          </w:tcPr>
          <w:p w14:paraId="5335E69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14</w:t>
            </w:r>
          </w:p>
        </w:tc>
        <w:tc>
          <w:tcPr>
            <w:tcW w:w="0" w:type="auto"/>
          </w:tcPr>
          <w:p w14:paraId="55DB9D65"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 opportunities</w:t>
            </w:r>
          </w:p>
        </w:tc>
        <w:tc>
          <w:tcPr>
            <w:tcW w:w="0" w:type="auto"/>
          </w:tcPr>
          <w:p w14:paraId="65321F8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Conduct feasibility studies</w:t>
            </w:r>
          </w:p>
        </w:tc>
        <w:tc>
          <w:tcPr>
            <w:tcW w:w="0" w:type="auto"/>
          </w:tcPr>
          <w:p w14:paraId="4EF0773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Determine market capability</w:t>
            </w:r>
          </w:p>
        </w:tc>
        <w:tc>
          <w:tcPr>
            <w:tcW w:w="0" w:type="auto"/>
          </w:tcPr>
          <w:p w14:paraId="7A19D4B6"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design/ approval</w:t>
            </w:r>
          </w:p>
        </w:tc>
        <w:tc>
          <w:tcPr>
            <w:tcW w:w="0" w:type="auto"/>
          </w:tcPr>
          <w:p w14:paraId="4C024D9E"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Risks assessment, presale assessment, contact financiers, assessment of project plan and profitability, meet conditions for loan &amp; loan approval</w:t>
            </w:r>
          </w:p>
        </w:tc>
      </w:tr>
      <w:tr w:rsidR="00CD6352" w:rsidRPr="00DC631B" w14:paraId="69B9DE05" w14:textId="77777777" w:rsidTr="00CD6352">
        <w:tc>
          <w:tcPr>
            <w:tcW w:w="0" w:type="auto"/>
          </w:tcPr>
          <w:p w14:paraId="35CA845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15</w:t>
            </w:r>
          </w:p>
        </w:tc>
        <w:tc>
          <w:tcPr>
            <w:tcW w:w="0" w:type="auto"/>
          </w:tcPr>
          <w:p w14:paraId="3542F20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Preliminary concept &amp; scheme</w:t>
            </w:r>
          </w:p>
        </w:tc>
        <w:tc>
          <w:tcPr>
            <w:tcW w:w="0" w:type="auto"/>
          </w:tcPr>
          <w:p w14:paraId="644B4E1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site and rights</w:t>
            </w:r>
          </w:p>
        </w:tc>
        <w:tc>
          <w:tcPr>
            <w:tcW w:w="0" w:type="auto"/>
          </w:tcPr>
          <w:p w14:paraId="37FF522C"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off -takers agreements (pre-sale/ pre-let agreement)</w:t>
            </w:r>
          </w:p>
        </w:tc>
        <w:tc>
          <w:tcPr>
            <w:tcW w:w="0" w:type="auto"/>
          </w:tcPr>
          <w:p w14:paraId="590033F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Finalise concept</w:t>
            </w:r>
          </w:p>
        </w:tc>
        <w:tc>
          <w:tcPr>
            <w:tcW w:w="0" w:type="auto"/>
          </w:tcPr>
          <w:p w14:paraId="77D60CE6"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debt/ equity</w:t>
            </w:r>
          </w:p>
        </w:tc>
      </w:tr>
      <w:tr w:rsidR="00CD6352" w:rsidRPr="00DC631B" w14:paraId="7CEAF4C8" w14:textId="77777777" w:rsidTr="00CD6352">
        <w:tc>
          <w:tcPr>
            <w:tcW w:w="0" w:type="auto"/>
          </w:tcPr>
          <w:p w14:paraId="1A87596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16</w:t>
            </w:r>
          </w:p>
        </w:tc>
        <w:tc>
          <w:tcPr>
            <w:tcW w:w="0" w:type="auto"/>
          </w:tcPr>
          <w:p w14:paraId="557EB53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the property</w:t>
            </w:r>
          </w:p>
        </w:tc>
        <w:tc>
          <w:tcPr>
            <w:tcW w:w="0" w:type="auto"/>
          </w:tcPr>
          <w:p w14:paraId="78FADA2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Surveying of land</w:t>
            </w:r>
          </w:p>
        </w:tc>
        <w:tc>
          <w:tcPr>
            <w:tcW w:w="0" w:type="auto"/>
          </w:tcPr>
          <w:p w14:paraId="4A907FA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Feasibility study</w:t>
            </w:r>
          </w:p>
        </w:tc>
        <w:tc>
          <w:tcPr>
            <w:tcW w:w="0" w:type="auto"/>
          </w:tcPr>
          <w:p w14:paraId="247D45C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Apply for loan</w:t>
            </w:r>
          </w:p>
        </w:tc>
        <w:tc>
          <w:tcPr>
            <w:tcW w:w="0" w:type="auto"/>
          </w:tcPr>
          <w:p w14:paraId="74EB2B59"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NIL</w:t>
            </w:r>
          </w:p>
        </w:tc>
      </w:tr>
      <w:tr w:rsidR="00CD6352" w:rsidRPr="00DC631B" w14:paraId="13A04484" w14:textId="77777777" w:rsidTr="00CD6352">
        <w:tc>
          <w:tcPr>
            <w:tcW w:w="0" w:type="auto"/>
          </w:tcPr>
          <w:p w14:paraId="5CBD9BC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17</w:t>
            </w:r>
          </w:p>
        </w:tc>
        <w:tc>
          <w:tcPr>
            <w:tcW w:w="0" w:type="auto"/>
          </w:tcPr>
          <w:p w14:paraId="710F377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Acquire property, </w:t>
            </w:r>
          </w:p>
        </w:tc>
        <w:tc>
          <w:tcPr>
            <w:tcW w:w="0" w:type="auto"/>
          </w:tcPr>
          <w:p w14:paraId="6FD0370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Commence construction</w:t>
            </w:r>
          </w:p>
        </w:tc>
        <w:tc>
          <w:tcPr>
            <w:tcW w:w="0" w:type="auto"/>
          </w:tcPr>
          <w:p w14:paraId="21DB32F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Develop a proposal with detailed budgets &amp; schedule with updated market data</w:t>
            </w:r>
          </w:p>
        </w:tc>
        <w:tc>
          <w:tcPr>
            <w:tcW w:w="0" w:type="auto"/>
          </w:tcPr>
          <w:p w14:paraId="713E6B6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Contact banks and private equity investors through the finance team and commence negotiations</w:t>
            </w:r>
          </w:p>
        </w:tc>
        <w:tc>
          <w:tcPr>
            <w:tcW w:w="0" w:type="auto"/>
          </w:tcPr>
          <w:p w14:paraId="02ABCB3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Sign agreements &amp; get financed</w:t>
            </w:r>
          </w:p>
        </w:tc>
      </w:tr>
      <w:tr w:rsidR="00CD6352" w:rsidRPr="00DC631B" w14:paraId="689EBE55" w14:textId="77777777" w:rsidTr="00CD6352">
        <w:tc>
          <w:tcPr>
            <w:tcW w:w="0" w:type="auto"/>
          </w:tcPr>
          <w:p w14:paraId="06714AA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18</w:t>
            </w:r>
          </w:p>
        </w:tc>
        <w:tc>
          <w:tcPr>
            <w:tcW w:w="0" w:type="auto"/>
          </w:tcPr>
          <w:p w14:paraId="4348E8B1"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Idea generation</w:t>
            </w:r>
          </w:p>
        </w:tc>
        <w:tc>
          <w:tcPr>
            <w:tcW w:w="0" w:type="auto"/>
          </w:tcPr>
          <w:p w14:paraId="5F139ED9"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Feasibility of the project</w:t>
            </w:r>
          </w:p>
        </w:tc>
        <w:tc>
          <w:tcPr>
            <w:tcW w:w="0" w:type="auto"/>
          </w:tcPr>
          <w:p w14:paraId="0EC1CEC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 the finance options</w:t>
            </w:r>
          </w:p>
        </w:tc>
        <w:tc>
          <w:tcPr>
            <w:tcW w:w="0" w:type="auto"/>
          </w:tcPr>
          <w:p w14:paraId="3C26DAB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Market analysis &amp; contacting capital investors</w:t>
            </w:r>
          </w:p>
        </w:tc>
        <w:tc>
          <w:tcPr>
            <w:tcW w:w="0" w:type="auto"/>
          </w:tcPr>
          <w:p w14:paraId="39A0CB29"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Secure funding</w:t>
            </w:r>
          </w:p>
        </w:tc>
      </w:tr>
      <w:tr w:rsidR="00CD6352" w:rsidRPr="00DC631B" w14:paraId="3E002937" w14:textId="77777777" w:rsidTr="00CD6352">
        <w:tc>
          <w:tcPr>
            <w:tcW w:w="0" w:type="auto"/>
          </w:tcPr>
          <w:p w14:paraId="2CF8A5F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19</w:t>
            </w:r>
          </w:p>
        </w:tc>
        <w:tc>
          <w:tcPr>
            <w:tcW w:w="0" w:type="auto"/>
          </w:tcPr>
          <w:p w14:paraId="5A02A09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Feasibility study</w:t>
            </w:r>
          </w:p>
        </w:tc>
        <w:tc>
          <w:tcPr>
            <w:tcW w:w="0" w:type="auto"/>
          </w:tcPr>
          <w:p w14:paraId="31D851E5"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Identifying the finance option</w:t>
            </w:r>
          </w:p>
        </w:tc>
        <w:tc>
          <w:tcPr>
            <w:tcW w:w="0" w:type="auto"/>
          </w:tcPr>
          <w:p w14:paraId="52CA942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Preparation of budget and engagement of skilful aids</w:t>
            </w:r>
          </w:p>
        </w:tc>
        <w:tc>
          <w:tcPr>
            <w:tcW w:w="0" w:type="auto"/>
          </w:tcPr>
          <w:p w14:paraId="40A1C34E"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Secure approval </w:t>
            </w:r>
          </w:p>
        </w:tc>
        <w:tc>
          <w:tcPr>
            <w:tcW w:w="0" w:type="auto"/>
          </w:tcPr>
          <w:p w14:paraId="18CE50D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Execution of the project</w:t>
            </w:r>
          </w:p>
        </w:tc>
      </w:tr>
      <w:tr w:rsidR="00CD6352" w:rsidRPr="00DC631B" w14:paraId="29A97A01" w14:textId="77777777" w:rsidTr="00CD6352">
        <w:tc>
          <w:tcPr>
            <w:tcW w:w="0" w:type="auto"/>
          </w:tcPr>
          <w:p w14:paraId="2739E60B"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20</w:t>
            </w:r>
          </w:p>
        </w:tc>
        <w:tc>
          <w:tcPr>
            <w:tcW w:w="0" w:type="auto"/>
          </w:tcPr>
          <w:p w14:paraId="733AFD46"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Exploration and searching for opportunities in the market</w:t>
            </w:r>
          </w:p>
        </w:tc>
        <w:tc>
          <w:tcPr>
            <w:tcW w:w="0" w:type="auto"/>
          </w:tcPr>
          <w:p w14:paraId="391358F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Idea generation, planning and identifying risk profile</w:t>
            </w:r>
          </w:p>
        </w:tc>
        <w:tc>
          <w:tcPr>
            <w:tcW w:w="0" w:type="auto"/>
          </w:tcPr>
          <w:p w14:paraId="3649FE2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Lobbying for the approval of facility stage</w:t>
            </w:r>
          </w:p>
        </w:tc>
        <w:tc>
          <w:tcPr>
            <w:tcW w:w="0" w:type="auto"/>
          </w:tcPr>
          <w:p w14:paraId="4FA753D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Approval</w:t>
            </w:r>
          </w:p>
        </w:tc>
        <w:tc>
          <w:tcPr>
            <w:tcW w:w="0" w:type="auto"/>
          </w:tcPr>
          <w:p w14:paraId="614831C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Securing facility</w:t>
            </w:r>
          </w:p>
        </w:tc>
      </w:tr>
      <w:tr w:rsidR="00CD6352" w:rsidRPr="00DC631B" w14:paraId="03D177E7" w14:textId="77777777" w:rsidTr="00CD6352">
        <w:tc>
          <w:tcPr>
            <w:tcW w:w="0" w:type="auto"/>
          </w:tcPr>
          <w:p w14:paraId="65BA3760"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21</w:t>
            </w:r>
          </w:p>
        </w:tc>
        <w:tc>
          <w:tcPr>
            <w:tcW w:w="0" w:type="auto"/>
          </w:tcPr>
          <w:p w14:paraId="33EB54D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Identify viable property development opportunities, i.e. vacant land with all town planning and municipal approval in place for outright purchase or joint ventures</w:t>
            </w:r>
          </w:p>
        </w:tc>
        <w:tc>
          <w:tcPr>
            <w:tcW w:w="0" w:type="auto"/>
          </w:tcPr>
          <w:p w14:paraId="662366D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Conducting a preliminary desktop study to test the financial viability using the approved township layouts</w:t>
            </w:r>
          </w:p>
        </w:tc>
        <w:tc>
          <w:tcPr>
            <w:tcW w:w="0" w:type="auto"/>
          </w:tcPr>
          <w:p w14:paraId="772D4E06"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Meeting with originating project Professionals to establish the development </w:t>
            </w:r>
          </w:p>
        </w:tc>
        <w:tc>
          <w:tcPr>
            <w:tcW w:w="0" w:type="auto"/>
          </w:tcPr>
          <w:p w14:paraId="2017290E"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Commissioning any outstanding external inputs from project professionals to complete the feasibility studies</w:t>
            </w:r>
          </w:p>
        </w:tc>
        <w:tc>
          <w:tcPr>
            <w:tcW w:w="0" w:type="auto"/>
          </w:tcPr>
          <w:p w14:paraId="338EAEB7"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Identify sources of finance &amp; negotiate for joint ventures/land availability with property owners to reduce the initial  capital outlay and contact financiers </w:t>
            </w:r>
          </w:p>
        </w:tc>
      </w:tr>
      <w:tr w:rsidR="00CD6352" w:rsidRPr="00DC631B" w14:paraId="2569054B" w14:textId="77777777" w:rsidTr="00CD6352">
        <w:tc>
          <w:tcPr>
            <w:tcW w:w="0" w:type="auto"/>
          </w:tcPr>
          <w:p w14:paraId="15F18F1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22</w:t>
            </w:r>
          </w:p>
        </w:tc>
        <w:tc>
          <w:tcPr>
            <w:tcW w:w="0" w:type="auto"/>
          </w:tcPr>
          <w:p w14:paraId="6F0B4BB4"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Scan appropriate financiers in the market</w:t>
            </w:r>
          </w:p>
          <w:p w14:paraId="1F643D3E" w14:textId="77777777" w:rsidR="00CD6352" w:rsidRPr="00DC631B" w:rsidRDefault="00CD6352" w:rsidP="00CD6352">
            <w:pPr>
              <w:jc w:val="both"/>
              <w:rPr>
                <w:rFonts w:ascii="Arial" w:hAnsi="Arial" w:cs="Arial"/>
                <w:sz w:val="16"/>
                <w:szCs w:val="16"/>
              </w:rPr>
            </w:pPr>
          </w:p>
        </w:tc>
        <w:tc>
          <w:tcPr>
            <w:tcW w:w="0" w:type="auto"/>
          </w:tcPr>
          <w:p w14:paraId="638E28F2" w14:textId="0AFD33ED" w:rsidR="00CD6352" w:rsidRPr="00DC631B" w:rsidRDefault="00CD6352" w:rsidP="00CD6352">
            <w:pPr>
              <w:jc w:val="both"/>
              <w:rPr>
                <w:rFonts w:ascii="Arial" w:hAnsi="Arial" w:cs="Arial"/>
                <w:sz w:val="16"/>
                <w:szCs w:val="16"/>
              </w:rPr>
            </w:pPr>
            <w:r w:rsidRPr="00DC631B">
              <w:rPr>
                <w:rFonts w:ascii="Arial" w:hAnsi="Arial" w:cs="Arial"/>
                <w:sz w:val="16"/>
                <w:szCs w:val="16"/>
              </w:rPr>
              <w:t xml:space="preserve">Assemble </w:t>
            </w:r>
            <w:r w:rsidR="000A089D">
              <w:rPr>
                <w:rFonts w:ascii="Arial" w:hAnsi="Arial" w:cs="Arial"/>
                <w:sz w:val="16"/>
                <w:szCs w:val="16"/>
              </w:rPr>
              <w:t xml:space="preserve">a </w:t>
            </w:r>
            <w:r w:rsidRPr="00DC631B">
              <w:rPr>
                <w:rFonts w:ascii="Arial" w:hAnsi="Arial" w:cs="Arial"/>
                <w:sz w:val="16"/>
                <w:szCs w:val="16"/>
              </w:rPr>
              <w:t xml:space="preserve">list of requirements and </w:t>
            </w:r>
            <w:r w:rsidRPr="00DC631B">
              <w:rPr>
                <w:rFonts w:ascii="Arial" w:hAnsi="Arial" w:cs="Arial"/>
                <w:sz w:val="16"/>
                <w:szCs w:val="16"/>
              </w:rPr>
              <w:lastRenderedPageBreak/>
              <w:t>necessary conditions</w:t>
            </w:r>
          </w:p>
        </w:tc>
        <w:tc>
          <w:tcPr>
            <w:tcW w:w="0" w:type="auto"/>
          </w:tcPr>
          <w:p w14:paraId="5FC5B94F" w14:textId="0FB6B334" w:rsidR="00CD6352" w:rsidRPr="00DC631B" w:rsidRDefault="00CD6352" w:rsidP="00CD6352">
            <w:pPr>
              <w:jc w:val="both"/>
              <w:rPr>
                <w:rFonts w:ascii="Arial" w:hAnsi="Arial" w:cs="Arial"/>
                <w:sz w:val="16"/>
                <w:szCs w:val="16"/>
              </w:rPr>
            </w:pPr>
            <w:r w:rsidRPr="00DC631B">
              <w:rPr>
                <w:rFonts w:ascii="Arial" w:hAnsi="Arial" w:cs="Arial"/>
                <w:sz w:val="16"/>
                <w:szCs w:val="16"/>
              </w:rPr>
              <w:lastRenderedPageBreak/>
              <w:t>Feasibility, budgeting, meet required return expectation</w:t>
            </w:r>
            <w:r w:rsidR="00323227">
              <w:rPr>
                <w:rFonts w:ascii="Arial" w:hAnsi="Arial" w:cs="Arial"/>
                <w:sz w:val="16"/>
                <w:szCs w:val="16"/>
              </w:rPr>
              <w:t>s</w:t>
            </w:r>
            <w:r w:rsidRPr="00DC631B">
              <w:rPr>
                <w:rFonts w:ascii="Arial" w:hAnsi="Arial" w:cs="Arial"/>
                <w:sz w:val="16"/>
                <w:szCs w:val="16"/>
              </w:rPr>
              <w:t xml:space="preserve"> &amp; </w:t>
            </w:r>
            <w:r w:rsidRPr="00DC631B">
              <w:rPr>
                <w:rFonts w:ascii="Arial" w:hAnsi="Arial" w:cs="Arial"/>
                <w:sz w:val="16"/>
                <w:szCs w:val="16"/>
              </w:rPr>
              <w:lastRenderedPageBreak/>
              <w:t xml:space="preserve">investment decisions </w:t>
            </w:r>
          </w:p>
        </w:tc>
        <w:tc>
          <w:tcPr>
            <w:tcW w:w="0" w:type="auto"/>
          </w:tcPr>
          <w:p w14:paraId="3F62ED08"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lastRenderedPageBreak/>
              <w:t>Funding application l</w:t>
            </w:r>
          </w:p>
        </w:tc>
        <w:tc>
          <w:tcPr>
            <w:tcW w:w="0" w:type="auto"/>
          </w:tcPr>
          <w:p w14:paraId="512C23DF"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Conclusion of the funding deal</w:t>
            </w:r>
          </w:p>
        </w:tc>
      </w:tr>
      <w:tr w:rsidR="00CD6352" w:rsidRPr="00DC631B" w14:paraId="1D6E54E3" w14:textId="77777777" w:rsidTr="00CD6352">
        <w:tc>
          <w:tcPr>
            <w:tcW w:w="0" w:type="auto"/>
          </w:tcPr>
          <w:p w14:paraId="48FCDB92"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23</w:t>
            </w:r>
          </w:p>
        </w:tc>
        <w:tc>
          <w:tcPr>
            <w:tcW w:w="0" w:type="auto"/>
          </w:tcPr>
          <w:p w14:paraId="27805B43"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Sourcing &amp; identification of opportunities</w:t>
            </w:r>
          </w:p>
        </w:tc>
        <w:tc>
          <w:tcPr>
            <w:tcW w:w="0" w:type="auto"/>
          </w:tcPr>
          <w:p w14:paraId="0239F069"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Appraisal and analysis</w:t>
            </w:r>
          </w:p>
        </w:tc>
        <w:tc>
          <w:tcPr>
            <w:tcW w:w="0" w:type="auto"/>
          </w:tcPr>
          <w:p w14:paraId="03C8A22C"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Securing opportunity</w:t>
            </w:r>
          </w:p>
        </w:tc>
        <w:tc>
          <w:tcPr>
            <w:tcW w:w="0" w:type="auto"/>
          </w:tcPr>
          <w:p w14:paraId="4302240A"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Building design and approval initiation</w:t>
            </w:r>
          </w:p>
        </w:tc>
        <w:tc>
          <w:tcPr>
            <w:tcW w:w="0" w:type="auto"/>
          </w:tcPr>
          <w:p w14:paraId="442D6AFD" w14:textId="77777777" w:rsidR="00CD6352" w:rsidRPr="00DC631B" w:rsidRDefault="00CD6352" w:rsidP="00CD6352">
            <w:pPr>
              <w:jc w:val="both"/>
              <w:rPr>
                <w:rFonts w:ascii="Arial" w:hAnsi="Arial" w:cs="Arial"/>
                <w:sz w:val="16"/>
                <w:szCs w:val="16"/>
              </w:rPr>
            </w:pPr>
            <w:r w:rsidRPr="00DC631B">
              <w:rPr>
                <w:rFonts w:ascii="Arial" w:hAnsi="Arial" w:cs="Arial"/>
                <w:sz w:val="16"/>
                <w:szCs w:val="16"/>
              </w:rPr>
              <w:t>Marketing/ sourcing funds</w:t>
            </w:r>
          </w:p>
        </w:tc>
      </w:tr>
    </w:tbl>
    <w:p w14:paraId="2CBB4E4D" w14:textId="77777777" w:rsidR="00CD6352" w:rsidRPr="00EA7665" w:rsidRDefault="00CD6352" w:rsidP="00CD6352"/>
    <w:p w14:paraId="27B9E429" w14:textId="7163D694" w:rsidR="008B38E0" w:rsidRDefault="008B38E0" w:rsidP="00CD6352">
      <w:pPr>
        <w:spacing w:line="360" w:lineRule="auto"/>
        <w:jc w:val="both"/>
        <w:rPr>
          <w:rFonts w:ascii="Arial" w:hAnsi="Arial" w:cs="Arial"/>
        </w:rPr>
      </w:pPr>
      <w:r>
        <w:rPr>
          <w:rFonts w:ascii="Arial" w:hAnsi="Arial" w:cs="Arial"/>
        </w:rPr>
        <w:t>The five stages summarised from the questionnaire survey responses</w:t>
      </w:r>
      <w:r w:rsidR="00A3591D">
        <w:rPr>
          <w:rFonts w:ascii="Arial" w:hAnsi="Arial" w:cs="Arial"/>
        </w:rPr>
        <w:t>,</w:t>
      </w:r>
      <w:r>
        <w:rPr>
          <w:rFonts w:ascii="Arial" w:hAnsi="Arial" w:cs="Arial"/>
        </w:rPr>
        <w:t xml:space="preserve"> which were given by the responden</w:t>
      </w:r>
      <w:r w:rsidR="00A3591D">
        <w:rPr>
          <w:rFonts w:ascii="Arial" w:hAnsi="Arial" w:cs="Arial"/>
        </w:rPr>
        <w:t>ts</w:t>
      </w:r>
      <w:r w:rsidR="009D5B7E">
        <w:rPr>
          <w:rFonts w:ascii="Arial" w:hAnsi="Arial" w:cs="Arial"/>
        </w:rPr>
        <w:t>,</w:t>
      </w:r>
      <w:r>
        <w:rPr>
          <w:rFonts w:ascii="Arial" w:hAnsi="Arial" w:cs="Arial"/>
        </w:rPr>
        <w:t xml:space="preserve"> align to a great extent with the RIBA plan of work 2020. The key variables in stage 1 include identifying opportunities, land </w:t>
      </w:r>
      <w:r w:rsidR="002E5AEA">
        <w:rPr>
          <w:rFonts w:ascii="Arial" w:hAnsi="Arial" w:cs="Arial"/>
        </w:rPr>
        <w:t>sourcing,</w:t>
      </w:r>
      <w:r>
        <w:rPr>
          <w:rFonts w:ascii="Arial" w:hAnsi="Arial" w:cs="Arial"/>
        </w:rPr>
        <w:t xml:space="preserve"> feasibility studies, preliminary </w:t>
      </w:r>
      <w:r w:rsidR="00FC7AD3">
        <w:rPr>
          <w:rFonts w:ascii="Arial" w:hAnsi="Arial" w:cs="Arial"/>
        </w:rPr>
        <w:t>concepts</w:t>
      </w:r>
      <w:r>
        <w:rPr>
          <w:rFonts w:ascii="Arial" w:hAnsi="Arial" w:cs="Arial"/>
        </w:rPr>
        <w:t xml:space="preserve"> and schemes</w:t>
      </w:r>
      <w:r w:rsidR="009D5B7E">
        <w:rPr>
          <w:rFonts w:ascii="Arial" w:hAnsi="Arial" w:cs="Arial"/>
        </w:rPr>
        <w:t>,</w:t>
      </w:r>
      <w:r>
        <w:rPr>
          <w:rFonts w:ascii="Arial" w:hAnsi="Arial" w:cs="Arial"/>
        </w:rPr>
        <w:t xml:space="preserve"> a</w:t>
      </w:r>
      <w:r w:rsidR="009D5B7E">
        <w:rPr>
          <w:rFonts w:ascii="Arial" w:hAnsi="Arial" w:cs="Arial"/>
        </w:rPr>
        <w:t>nd</w:t>
      </w:r>
      <w:r>
        <w:rPr>
          <w:rFonts w:ascii="Arial" w:hAnsi="Arial" w:cs="Arial"/>
        </w:rPr>
        <w:t xml:space="preserve"> identifying markets. </w:t>
      </w:r>
      <w:r w:rsidR="003B63CB">
        <w:rPr>
          <w:rFonts w:ascii="Arial" w:hAnsi="Arial" w:cs="Arial"/>
        </w:rPr>
        <w:t xml:space="preserve">The contents of </w:t>
      </w:r>
      <w:r w:rsidR="00361809">
        <w:rPr>
          <w:rFonts w:ascii="Arial" w:hAnsi="Arial" w:cs="Arial"/>
        </w:rPr>
        <w:t>stages</w:t>
      </w:r>
      <w:r w:rsidR="003B63CB">
        <w:rPr>
          <w:rFonts w:ascii="Arial" w:hAnsi="Arial" w:cs="Arial"/>
        </w:rPr>
        <w:t xml:space="preserve"> 1 </w:t>
      </w:r>
      <w:r w:rsidR="009D5B7E">
        <w:rPr>
          <w:rFonts w:ascii="Arial" w:hAnsi="Arial" w:cs="Arial"/>
        </w:rPr>
        <w:t xml:space="preserve">and 2 </w:t>
      </w:r>
      <w:r w:rsidR="00AC3361">
        <w:rPr>
          <w:rFonts w:ascii="Arial" w:hAnsi="Arial" w:cs="Arial"/>
        </w:rPr>
        <w:t>reflect</w:t>
      </w:r>
      <w:r w:rsidR="003B63CB">
        <w:rPr>
          <w:rFonts w:ascii="Arial" w:hAnsi="Arial" w:cs="Arial"/>
        </w:rPr>
        <w:t xml:space="preserve"> </w:t>
      </w:r>
      <w:r w:rsidR="000A089D">
        <w:rPr>
          <w:rFonts w:ascii="Arial" w:hAnsi="Arial" w:cs="Arial"/>
        </w:rPr>
        <w:t xml:space="preserve">the </w:t>
      </w:r>
      <w:r w:rsidR="003B63CB">
        <w:rPr>
          <w:rFonts w:ascii="Arial" w:hAnsi="Arial" w:cs="Arial"/>
        </w:rPr>
        <w:t>RIBA 2020</w:t>
      </w:r>
      <w:r w:rsidR="002075B5">
        <w:rPr>
          <w:rFonts w:ascii="Arial" w:hAnsi="Arial" w:cs="Arial"/>
        </w:rPr>
        <w:t xml:space="preserve"> plan of work</w:t>
      </w:r>
      <w:r w:rsidR="003B63CB">
        <w:rPr>
          <w:rFonts w:ascii="Arial" w:hAnsi="Arial" w:cs="Arial"/>
        </w:rPr>
        <w:t xml:space="preserve"> stages 0 and 1</w:t>
      </w:r>
      <w:r w:rsidR="009D5B7E">
        <w:rPr>
          <w:rFonts w:ascii="Arial" w:hAnsi="Arial" w:cs="Arial"/>
        </w:rPr>
        <w:t>,</w:t>
      </w:r>
      <w:r w:rsidR="003B63CB">
        <w:rPr>
          <w:rFonts w:ascii="Arial" w:hAnsi="Arial" w:cs="Arial"/>
        </w:rPr>
        <w:t xml:space="preserve"> which is the strategic </w:t>
      </w:r>
      <w:r w:rsidR="00361809">
        <w:rPr>
          <w:rFonts w:ascii="Arial" w:hAnsi="Arial" w:cs="Arial"/>
        </w:rPr>
        <w:t>definition</w:t>
      </w:r>
      <w:r w:rsidR="003B63CB">
        <w:rPr>
          <w:rFonts w:ascii="Arial" w:hAnsi="Arial" w:cs="Arial"/>
        </w:rPr>
        <w:t xml:space="preserve"> and preparation and briefing (RIBA,2020).</w:t>
      </w:r>
      <w:r w:rsidR="00DE35C0">
        <w:rPr>
          <w:rFonts w:ascii="Arial" w:hAnsi="Arial" w:cs="Arial"/>
        </w:rPr>
        <w:t xml:space="preserve"> The variables in stage 3 of the questionnaire responses </w:t>
      </w:r>
      <w:r w:rsidR="00AC3361">
        <w:rPr>
          <w:rFonts w:ascii="Arial" w:hAnsi="Arial" w:cs="Arial"/>
        </w:rPr>
        <w:t>have</w:t>
      </w:r>
      <w:r w:rsidR="00DE35C0">
        <w:rPr>
          <w:rFonts w:ascii="Arial" w:hAnsi="Arial" w:cs="Arial"/>
        </w:rPr>
        <w:t xml:space="preserve"> an overlap of </w:t>
      </w:r>
      <w:r w:rsidR="00323227">
        <w:rPr>
          <w:rFonts w:ascii="Arial" w:hAnsi="Arial" w:cs="Arial"/>
        </w:rPr>
        <w:t xml:space="preserve">the </w:t>
      </w:r>
      <w:r w:rsidR="00DE35C0">
        <w:rPr>
          <w:rFonts w:ascii="Arial" w:hAnsi="Arial" w:cs="Arial"/>
        </w:rPr>
        <w:t xml:space="preserve">RIBA 2020 </w:t>
      </w:r>
      <w:r w:rsidR="002075B5">
        <w:rPr>
          <w:rFonts w:ascii="Arial" w:hAnsi="Arial" w:cs="Arial"/>
        </w:rPr>
        <w:t xml:space="preserve">plan of work </w:t>
      </w:r>
      <w:r w:rsidR="00DE35C0">
        <w:rPr>
          <w:rFonts w:ascii="Arial" w:hAnsi="Arial" w:cs="Arial"/>
        </w:rPr>
        <w:t xml:space="preserve">stages 1, 2 and 3. This is because it contains details on the project budget, financial modelling, planning of advice and lobbying for approval of </w:t>
      </w:r>
      <w:r w:rsidR="000A089D">
        <w:rPr>
          <w:rFonts w:ascii="Arial" w:hAnsi="Arial" w:cs="Arial"/>
        </w:rPr>
        <w:t xml:space="preserve">the </w:t>
      </w:r>
      <w:r w:rsidR="00DE35C0">
        <w:rPr>
          <w:rFonts w:ascii="Arial" w:hAnsi="Arial" w:cs="Arial"/>
        </w:rPr>
        <w:t xml:space="preserve">facility. The variables contained in stages 4 and 5 of </w:t>
      </w:r>
      <w:r w:rsidR="000A089D">
        <w:rPr>
          <w:rFonts w:ascii="Arial" w:hAnsi="Arial" w:cs="Arial"/>
        </w:rPr>
        <w:t>T</w:t>
      </w:r>
      <w:r w:rsidR="00DE35C0">
        <w:rPr>
          <w:rFonts w:ascii="Arial" w:hAnsi="Arial" w:cs="Arial"/>
        </w:rPr>
        <w:t xml:space="preserve">able 7.1 </w:t>
      </w:r>
      <w:r w:rsidR="000F37B8">
        <w:rPr>
          <w:rFonts w:ascii="Arial" w:hAnsi="Arial" w:cs="Arial"/>
        </w:rPr>
        <w:t>reflects</w:t>
      </w:r>
      <w:r w:rsidR="00DE35C0">
        <w:rPr>
          <w:rFonts w:ascii="Arial" w:hAnsi="Arial" w:cs="Arial"/>
        </w:rPr>
        <w:t xml:space="preserve"> an overlap of </w:t>
      </w:r>
      <w:r w:rsidR="00323227">
        <w:rPr>
          <w:rFonts w:ascii="Arial" w:hAnsi="Arial" w:cs="Arial"/>
        </w:rPr>
        <w:t xml:space="preserve">the </w:t>
      </w:r>
      <w:r w:rsidR="00DE35C0">
        <w:rPr>
          <w:rFonts w:ascii="Arial" w:hAnsi="Arial" w:cs="Arial"/>
        </w:rPr>
        <w:t xml:space="preserve">RIBA </w:t>
      </w:r>
      <w:r w:rsidR="00AC3361">
        <w:rPr>
          <w:rFonts w:ascii="Arial" w:hAnsi="Arial" w:cs="Arial"/>
        </w:rPr>
        <w:t xml:space="preserve">2020 </w:t>
      </w:r>
      <w:r w:rsidR="002075B5">
        <w:rPr>
          <w:rFonts w:ascii="Arial" w:hAnsi="Arial" w:cs="Arial"/>
        </w:rPr>
        <w:t xml:space="preserve">plan of work </w:t>
      </w:r>
      <w:r w:rsidR="00AC3361">
        <w:rPr>
          <w:rFonts w:ascii="Arial" w:hAnsi="Arial" w:cs="Arial"/>
        </w:rPr>
        <w:t>stages</w:t>
      </w:r>
      <w:r w:rsidR="00DE35C0">
        <w:rPr>
          <w:rFonts w:ascii="Arial" w:hAnsi="Arial" w:cs="Arial"/>
        </w:rPr>
        <w:t xml:space="preserve"> 4,5, 6 and 7.</w:t>
      </w:r>
    </w:p>
    <w:p w14:paraId="2749E150" w14:textId="62F85F9F" w:rsidR="00CD6352" w:rsidRPr="00F43414" w:rsidRDefault="00B734EE" w:rsidP="00CD6352">
      <w:pPr>
        <w:spacing w:line="360" w:lineRule="auto"/>
        <w:jc w:val="both"/>
        <w:rPr>
          <w:rFonts w:ascii="Arial" w:hAnsi="Arial" w:cs="Arial"/>
        </w:rPr>
      </w:pPr>
      <w:r w:rsidRPr="00F43414">
        <w:rPr>
          <w:rFonts w:ascii="Arial" w:hAnsi="Arial" w:cs="Arial"/>
        </w:rPr>
        <w:t xml:space="preserve">The next segment of this study contains </w:t>
      </w:r>
      <w:r w:rsidR="000A089D">
        <w:rPr>
          <w:rFonts w:ascii="Arial" w:hAnsi="Arial" w:cs="Arial"/>
        </w:rPr>
        <w:t>a</w:t>
      </w:r>
      <w:r w:rsidRPr="00F43414">
        <w:rPr>
          <w:rFonts w:ascii="Arial" w:hAnsi="Arial" w:cs="Arial"/>
        </w:rPr>
        <w:t xml:space="preserve"> summary of the findings from the semi</w:t>
      </w:r>
      <w:r w:rsidR="000A089D">
        <w:rPr>
          <w:rFonts w:ascii="Arial" w:hAnsi="Arial" w:cs="Arial"/>
        </w:rPr>
        <w:t>-</w:t>
      </w:r>
      <w:r w:rsidRPr="00F43414">
        <w:rPr>
          <w:rFonts w:ascii="Arial" w:hAnsi="Arial" w:cs="Arial"/>
        </w:rPr>
        <w:t>structured interviews.</w:t>
      </w:r>
    </w:p>
    <w:p w14:paraId="585570FC" w14:textId="225EBACC" w:rsidR="00CD6352" w:rsidRPr="00EA7665" w:rsidRDefault="00CD6352" w:rsidP="00CD6352">
      <w:pPr>
        <w:pStyle w:val="Heading3"/>
        <w:spacing w:after="240"/>
        <w:rPr>
          <w:sz w:val="22"/>
          <w:szCs w:val="22"/>
        </w:rPr>
      </w:pPr>
      <w:bookmarkStart w:id="1244" w:name="_Toc78983885"/>
      <w:r w:rsidRPr="00EA7665">
        <w:rPr>
          <w:sz w:val="22"/>
          <w:szCs w:val="22"/>
        </w:rPr>
        <w:t xml:space="preserve">Semi-structured interview analysis and discussion at the disaggregate </w:t>
      </w:r>
      <w:r w:rsidR="000F37B8" w:rsidRPr="00EA7665">
        <w:rPr>
          <w:sz w:val="22"/>
          <w:szCs w:val="22"/>
        </w:rPr>
        <w:t>level.</w:t>
      </w:r>
      <w:bookmarkEnd w:id="1244"/>
    </w:p>
    <w:p w14:paraId="60DC52DB" w14:textId="381E3453" w:rsidR="00CD6352" w:rsidRDefault="00CD6352" w:rsidP="00CD6352">
      <w:pPr>
        <w:spacing w:line="360" w:lineRule="auto"/>
        <w:jc w:val="both"/>
        <w:rPr>
          <w:rFonts w:ascii="Arial" w:hAnsi="Arial" w:cs="Arial"/>
        </w:rPr>
      </w:pPr>
      <w:r w:rsidRPr="00EA7665">
        <w:rPr>
          <w:rFonts w:ascii="Arial" w:hAnsi="Arial" w:cs="Arial"/>
        </w:rPr>
        <w:t xml:space="preserve">The </w:t>
      </w:r>
      <w:r>
        <w:rPr>
          <w:rFonts w:ascii="Arial" w:hAnsi="Arial" w:cs="Arial"/>
        </w:rPr>
        <w:t>summary of the key decisions and processes for securing finance for real estate project development</w:t>
      </w:r>
      <w:r w:rsidRPr="00EA7665">
        <w:rPr>
          <w:rFonts w:ascii="Arial" w:hAnsi="Arial" w:cs="Arial"/>
        </w:rPr>
        <w:t xml:space="preserve"> </w:t>
      </w:r>
      <w:r>
        <w:rPr>
          <w:rFonts w:ascii="Arial" w:hAnsi="Arial" w:cs="Arial"/>
        </w:rPr>
        <w:t xml:space="preserve">based on the semi-structured interviews with managers in the developed and emerging economies is contained in </w:t>
      </w:r>
      <w:r w:rsidR="00323227">
        <w:rPr>
          <w:rFonts w:ascii="Arial" w:hAnsi="Arial" w:cs="Arial"/>
        </w:rPr>
        <w:t xml:space="preserve">Tables </w:t>
      </w:r>
      <w:r>
        <w:rPr>
          <w:rFonts w:ascii="Arial" w:hAnsi="Arial" w:cs="Arial"/>
        </w:rPr>
        <w:t xml:space="preserve">7.2 and </w:t>
      </w:r>
      <w:r w:rsidR="000F37B8">
        <w:rPr>
          <w:rFonts w:ascii="Arial" w:hAnsi="Arial" w:cs="Arial"/>
        </w:rPr>
        <w:t>7.3,</w:t>
      </w:r>
      <w:r>
        <w:rPr>
          <w:rFonts w:ascii="Arial" w:hAnsi="Arial" w:cs="Arial"/>
        </w:rPr>
        <w:t xml:space="preserve"> respectively. </w:t>
      </w:r>
      <w:r w:rsidRPr="00EA7665">
        <w:rPr>
          <w:rFonts w:ascii="Arial" w:hAnsi="Arial" w:cs="Arial"/>
        </w:rPr>
        <w:t>Notably, most of the interview</w:t>
      </w:r>
      <w:r>
        <w:rPr>
          <w:rFonts w:ascii="Arial" w:hAnsi="Arial" w:cs="Arial"/>
        </w:rPr>
        <w:t>ees</w:t>
      </w:r>
      <w:r w:rsidRPr="00EA7665">
        <w:rPr>
          <w:rFonts w:ascii="Arial" w:hAnsi="Arial" w:cs="Arial"/>
        </w:rPr>
        <w:t xml:space="preserve"> understan</w:t>
      </w:r>
      <w:r>
        <w:rPr>
          <w:rFonts w:ascii="Arial" w:hAnsi="Arial" w:cs="Arial"/>
        </w:rPr>
        <w:t>d</w:t>
      </w:r>
      <w:r w:rsidRPr="00EA7665">
        <w:rPr>
          <w:rFonts w:ascii="Arial" w:hAnsi="Arial" w:cs="Arial"/>
        </w:rPr>
        <w:t xml:space="preserve"> key decisions and processes to mean the same</w:t>
      </w:r>
      <w:r w:rsidR="0031489B">
        <w:rPr>
          <w:rFonts w:ascii="Arial" w:hAnsi="Arial" w:cs="Arial"/>
        </w:rPr>
        <w:t>,</w:t>
      </w:r>
      <w:r>
        <w:rPr>
          <w:rFonts w:ascii="Arial" w:hAnsi="Arial" w:cs="Arial"/>
        </w:rPr>
        <w:t xml:space="preserve"> and as such, this study will consider it to be so.</w:t>
      </w:r>
    </w:p>
    <w:p w14:paraId="7F637731" w14:textId="77777777" w:rsidR="00CD6352" w:rsidRPr="00EA7665" w:rsidRDefault="00CD6352" w:rsidP="00CD6352">
      <w:pPr>
        <w:spacing w:line="360" w:lineRule="auto"/>
        <w:ind w:left="720"/>
        <w:jc w:val="both"/>
        <w:rPr>
          <w:rFonts w:ascii="Arial" w:hAnsi="Arial" w:cs="Arial"/>
        </w:rPr>
      </w:pPr>
      <w:r w:rsidRPr="00BE2AF3">
        <w:rPr>
          <w:rFonts w:ascii="Arial" w:hAnsi="Arial" w:cs="Arial"/>
          <w:i/>
          <w:iCs/>
        </w:rPr>
        <w:t xml:space="preserve">The managers were specifically asked to give some insights into the processes and key decisions they undertake when sourcing </w:t>
      </w:r>
      <w:r>
        <w:rPr>
          <w:rFonts w:ascii="Arial" w:hAnsi="Arial" w:cs="Arial"/>
          <w:i/>
          <w:iCs/>
        </w:rPr>
        <w:t>finance</w:t>
      </w:r>
      <w:r w:rsidRPr="00BE2AF3">
        <w:rPr>
          <w:rFonts w:ascii="Arial" w:hAnsi="Arial" w:cs="Arial"/>
          <w:i/>
          <w:iCs/>
        </w:rPr>
        <w:t xml:space="preserve"> for</w:t>
      </w:r>
      <w:r>
        <w:rPr>
          <w:rFonts w:ascii="Arial" w:hAnsi="Arial" w:cs="Arial"/>
          <w:i/>
          <w:iCs/>
        </w:rPr>
        <w:t xml:space="preserve"> real estate </w:t>
      </w:r>
      <w:r w:rsidRPr="00BE2AF3">
        <w:rPr>
          <w:rFonts w:ascii="Arial" w:hAnsi="Arial" w:cs="Arial"/>
          <w:i/>
          <w:iCs/>
        </w:rPr>
        <w:t>project development</w:t>
      </w:r>
      <w:r>
        <w:rPr>
          <w:rFonts w:ascii="Arial" w:hAnsi="Arial" w:cs="Arial"/>
        </w:rPr>
        <w:t>.</w:t>
      </w:r>
    </w:p>
    <w:p w14:paraId="25E098A0" w14:textId="69E9A929" w:rsidR="00CD6352" w:rsidRPr="00136F39" w:rsidRDefault="00CD6352" w:rsidP="00CD6352">
      <w:pPr>
        <w:pStyle w:val="Caption"/>
        <w:rPr>
          <w:rFonts w:ascii="Arial" w:hAnsi="Arial" w:cs="Arial"/>
          <w:i w:val="0"/>
          <w:iCs w:val="0"/>
          <w:sz w:val="16"/>
          <w:szCs w:val="16"/>
        </w:rPr>
      </w:pPr>
      <w:r w:rsidRPr="00136F39">
        <w:rPr>
          <w:rFonts w:ascii="Arial" w:hAnsi="Arial" w:cs="Arial"/>
          <w:i w:val="0"/>
          <w:iCs w:val="0"/>
          <w:sz w:val="16"/>
          <w:szCs w:val="16"/>
        </w:rPr>
        <w:t>Table 7</w:t>
      </w:r>
      <w:r w:rsidRPr="00136F39">
        <w:rPr>
          <w:rFonts w:ascii="Arial" w:hAnsi="Arial" w:cs="Arial"/>
          <w:i w:val="0"/>
          <w:iCs w:val="0"/>
          <w:sz w:val="16"/>
          <w:szCs w:val="16"/>
        </w:rPr>
        <w:noBreakHyphen/>
        <w:t xml:space="preserve">2: Key findings on the key decision </w:t>
      </w:r>
      <w:r w:rsidR="005C0F41" w:rsidRPr="00136F39">
        <w:rPr>
          <w:rFonts w:ascii="Arial" w:hAnsi="Arial" w:cs="Arial"/>
          <w:i w:val="0"/>
          <w:iCs w:val="0"/>
          <w:sz w:val="16"/>
          <w:szCs w:val="16"/>
        </w:rPr>
        <w:t>and processes</w:t>
      </w:r>
      <w:r w:rsidRPr="00136F39">
        <w:rPr>
          <w:rFonts w:ascii="Arial" w:hAnsi="Arial" w:cs="Arial"/>
          <w:i w:val="0"/>
          <w:iCs w:val="0"/>
          <w:sz w:val="16"/>
          <w:szCs w:val="16"/>
        </w:rPr>
        <w:t xml:space="preserve"> for securing finance for real estate project development in the developed </w:t>
      </w:r>
      <w:r w:rsidR="00C03C9A" w:rsidRPr="00136F39">
        <w:rPr>
          <w:rFonts w:ascii="Arial" w:hAnsi="Arial" w:cs="Arial"/>
          <w:i w:val="0"/>
          <w:iCs w:val="0"/>
          <w:sz w:val="16"/>
          <w:szCs w:val="16"/>
        </w:rPr>
        <w:t>economies</w:t>
      </w:r>
      <w:r w:rsidR="00B30E3F">
        <w:rPr>
          <w:rFonts w:ascii="Arial" w:hAnsi="Arial" w:cs="Arial"/>
          <w:i w:val="0"/>
          <w:iCs w:val="0"/>
          <w:sz w:val="16"/>
          <w:szCs w:val="16"/>
        </w:rPr>
        <w:t xml:space="preserve"> based on the semi-structured interviews</w:t>
      </w:r>
      <w:r w:rsidRPr="00136F39">
        <w:rPr>
          <w:rFonts w:ascii="Arial" w:hAnsi="Arial" w:cs="Arial"/>
          <w:i w:val="0"/>
          <w:iCs w:val="0"/>
          <w:sz w:val="16"/>
          <w:szCs w:val="16"/>
        </w:rPr>
        <w:t xml:space="preserve"> </w:t>
      </w:r>
    </w:p>
    <w:tbl>
      <w:tblPr>
        <w:tblStyle w:val="TableGrid"/>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83"/>
        <w:gridCol w:w="8033"/>
      </w:tblGrid>
      <w:tr w:rsidR="00CD6352" w:rsidRPr="00EA7665" w14:paraId="1024359D" w14:textId="77777777" w:rsidTr="00CD6352">
        <w:tc>
          <w:tcPr>
            <w:tcW w:w="545" w:type="pct"/>
          </w:tcPr>
          <w:p w14:paraId="344BF57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Country</w:t>
            </w:r>
          </w:p>
        </w:tc>
        <w:tc>
          <w:tcPr>
            <w:tcW w:w="4455" w:type="pct"/>
          </w:tcPr>
          <w:p w14:paraId="61157B33" w14:textId="6444F817" w:rsidR="00CD6352" w:rsidRPr="00EA7665" w:rsidRDefault="00CD6352" w:rsidP="00CD6352">
            <w:pPr>
              <w:jc w:val="both"/>
              <w:rPr>
                <w:rFonts w:ascii="Arial" w:hAnsi="Arial" w:cs="Arial"/>
                <w:b/>
                <w:sz w:val="16"/>
                <w:szCs w:val="16"/>
              </w:rPr>
            </w:pPr>
            <w:r w:rsidRPr="00EA7665">
              <w:rPr>
                <w:rFonts w:ascii="Arial" w:hAnsi="Arial" w:cs="Arial"/>
                <w:b/>
                <w:sz w:val="16"/>
                <w:szCs w:val="16"/>
              </w:rPr>
              <w:t>Key decision</w:t>
            </w:r>
            <w:r>
              <w:rPr>
                <w:rFonts w:ascii="Arial" w:hAnsi="Arial" w:cs="Arial"/>
                <w:b/>
                <w:sz w:val="16"/>
                <w:szCs w:val="16"/>
              </w:rPr>
              <w:t xml:space="preserve">s </w:t>
            </w:r>
            <w:r w:rsidR="005C0F41">
              <w:rPr>
                <w:rFonts w:ascii="Arial" w:hAnsi="Arial" w:cs="Arial"/>
                <w:b/>
                <w:sz w:val="16"/>
                <w:szCs w:val="16"/>
              </w:rPr>
              <w:t xml:space="preserve">and </w:t>
            </w:r>
            <w:r w:rsidR="005C0F41" w:rsidRPr="00EA7665">
              <w:rPr>
                <w:rFonts w:ascii="Arial" w:hAnsi="Arial" w:cs="Arial"/>
                <w:b/>
                <w:sz w:val="16"/>
                <w:szCs w:val="16"/>
              </w:rPr>
              <w:t>processes</w:t>
            </w:r>
          </w:p>
        </w:tc>
      </w:tr>
      <w:tr w:rsidR="00CD6352" w:rsidRPr="00EA7665" w14:paraId="219804BE" w14:textId="77777777" w:rsidTr="00CD6352">
        <w:tc>
          <w:tcPr>
            <w:tcW w:w="545" w:type="pct"/>
          </w:tcPr>
          <w:p w14:paraId="5829729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Germany Mgr1</w:t>
            </w:r>
          </w:p>
        </w:tc>
        <w:tc>
          <w:tcPr>
            <w:tcW w:w="4455" w:type="pct"/>
          </w:tcPr>
          <w:p w14:paraId="491E11A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Specialised traders are used </w:t>
            </w:r>
            <w:r>
              <w:rPr>
                <w:rFonts w:ascii="Arial" w:hAnsi="Arial" w:cs="Arial"/>
                <w:sz w:val="16"/>
                <w:szCs w:val="16"/>
              </w:rPr>
              <w:t>in</w:t>
            </w:r>
            <w:r w:rsidRPr="00EA7665">
              <w:rPr>
                <w:rFonts w:ascii="Arial" w:hAnsi="Arial" w:cs="Arial"/>
                <w:sz w:val="16"/>
                <w:szCs w:val="16"/>
              </w:rPr>
              <w:t xml:space="preserve"> securing finance for project development and they also do the documentation </w:t>
            </w:r>
          </w:p>
        </w:tc>
      </w:tr>
      <w:tr w:rsidR="00CD6352" w:rsidRPr="00EA7665" w14:paraId="3AAB5A4E" w14:textId="77777777" w:rsidTr="00CD6352">
        <w:tc>
          <w:tcPr>
            <w:tcW w:w="545" w:type="pct"/>
          </w:tcPr>
          <w:p w14:paraId="5FFAB50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Germany Mgr2</w:t>
            </w:r>
          </w:p>
        </w:tc>
        <w:tc>
          <w:tcPr>
            <w:tcW w:w="4455" w:type="pct"/>
          </w:tcPr>
          <w:p w14:paraId="2FFFBCBD" w14:textId="77777777" w:rsidR="00CD6352" w:rsidRPr="00EA7665" w:rsidRDefault="00CD6352" w:rsidP="00C74AEC">
            <w:pPr>
              <w:numPr>
                <w:ilvl w:val="0"/>
                <w:numId w:val="126"/>
              </w:numPr>
              <w:spacing w:after="0" w:line="240" w:lineRule="auto"/>
              <w:jc w:val="both"/>
              <w:rPr>
                <w:rFonts w:ascii="Arial" w:hAnsi="Arial" w:cs="Arial"/>
                <w:sz w:val="16"/>
                <w:szCs w:val="16"/>
              </w:rPr>
            </w:pPr>
            <w:r w:rsidRPr="00EA7665">
              <w:rPr>
                <w:rFonts w:ascii="Arial" w:hAnsi="Arial" w:cs="Arial"/>
                <w:sz w:val="16"/>
                <w:szCs w:val="16"/>
              </w:rPr>
              <w:t xml:space="preserve">Determine the location of the prospective buyer, whether international or local. </w:t>
            </w:r>
          </w:p>
          <w:p w14:paraId="00F8676B" w14:textId="77777777" w:rsidR="00CD6352" w:rsidRPr="00EA7665" w:rsidRDefault="00CD6352" w:rsidP="00C74AEC">
            <w:pPr>
              <w:numPr>
                <w:ilvl w:val="0"/>
                <w:numId w:val="126"/>
              </w:numPr>
              <w:spacing w:after="0" w:line="240" w:lineRule="auto"/>
              <w:jc w:val="both"/>
              <w:rPr>
                <w:rFonts w:ascii="Arial" w:hAnsi="Arial" w:cs="Arial"/>
                <w:sz w:val="16"/>
                <w:szCs w:val="16"/>
              </w:rPr>
            </w:pPr>
            <w:r w:rsidRPr="00EA7665">
              <w:rPr>
                <w:rFonts w:ascii="Arial" w:hAnsi="Arial" w:cs="Arial"/>
                <w:sz w:val="16"/>
                <w:szCs w:val="16"/>
              </w:rPr>
              <w:t>Determine the bank that can best finance the project</w:t>
            </w:r>
          </w:p>
          <w:p w14:paraId="54A435A8" w14:textId="77777777" w:rsidR="00CD6352" w:rsidRPr="00EA7665" w:rsidRDefault="00CD6352" w:rsidP="00C74AEC">
            <w:pPr>
              <w:pStyle w:val="ListParagraph"/>
              <w:numPr>
                <w:ilvl w:val="0"/>
                <w:numId w:val="126"/>
              </w:numPr>
              <w:spacing w:after="0" w:line="240" w:lineRule="auto"/>
              <w:jc w:val="both"/>
              <w:rPr>
                <w:rFonts w:ascii="Arial" w:hAnsi="Arial" w:cs="Arial"/>
                <w:sz w:val="16"/>
                <w:szCs w:val="16"/>
              </w:rPr>
            </w:pPr>
            <w:r w:rsidRPr="00EA7665">
              <w:rPr>
                <w:rFonts w:ascii="Arial" w:hAnsi="Arial" w:cs="Arial"/>
                <w:sz w:val="16"/>
                <w:szCs w:val="16"/>
              </w:rPr>
              <w:t xml:space="preserve">Prepare loan request documentation </w:t>
            </w:r>
          </w:p>
        </w:tc>
      </w:tr>
      <w:tr w:rsidR="00CD6352" w:rsidRPr="00EA7665" w14:paraId="1B914B2C" w14:textId="77777777" w:rsidTr="00CD6352">
        <w:tc>
          <w:tcPr>
            <w:tcW w:w="545" w:type="pct"/>
          </w:tcPr>
          <w:p w14:paraId="5AB4335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Germany Mgr 3</w:t>
            </w:r>
          </w:p>
        </w:tc>
        <w:tc>
          <w:tcPr>
            <w:tcW w:w="4455" w:type="pct"/>
          </w:tcPr>
          <w:p w14:paraId="4E222B48" w14:textId="77777777" w:rsidR="00CD6352" w:rsidRPr="00EA7665" w:rsidRDefault="00CD6352" w:rsidP="00C74AEC">
            <w:pPr>
              <w:numPr>
                <w:ilvl w:val="0"/>
                <w:numId w:val="32"/>
              </w:numPr>
              <w:spacing w:after="0" w:line="240" w:lineRule="auto"/>
              <w:jc w:val="both"/>
              <w:rPr>
                <w:rFonts w:ascii="Arial" w:hAnsi="Arial" w:cs="Arial"/>
                <w:sz w:val="16"/>
                <w:szCs w:val="16"/>
              </w:rPr>
            </w:pPr>
            <w:r w:rsidRPr="00EA7665">
              <w:rPr>
                <w:rFonts w:ascii="Arial" w:hAnsi="Arial" w:cs="Arial"/>
                <w:sz w:val="16"/>
                <w:szCs w:val="16"/>
              </w:rPr>
              <w:t>The returns without debt funding are accessed to determine if it will be profitable. There should be an initial development profit of 15% on the cost</w:t>
            </w:r>
          </w:p>
          <w:p w14:paraId="0FE3361C" w14:textId="77777777" w:rsidR="00CD6352" w:rsidRPr="00EA7665" w:rsidRDefault="00CD6352" w:rsidP="00C74AEC">
            <w:pPr>
              <w:numPr>
                <w:ilvl w:val="0"/>
                <w:numId w:val="32"/>
              </w:numPr>
              <w:spacing w:after="0" w:line="240" w:lineRule="auto"/>
              <w:jc w:val="both"/>
              <w:rPr>
                <w:rFonts w:ascii="Arial" w:hAnsi="Arial" w:cs="Arial"/>
                <w:sz w:val="16"/>
                <w:szCs w:val="16"/>
              </w:rPr>
            </w:pPr>
            <w:r w:rsidRPr="00EA7665">
              <w:rPr>
                <w:rFonts w:ascii="Arial" w:hAnsi="Arial" w:cs="Arial"/>
                <w:sz w:val="16"/>
                <w:szCs w:val="16"/>
              </w:rPr>
              <w:t>Work out the possible risk around the leasing profile</w:t>
            </w:r>
          </w:p>
          <w:p w14:paraId="1A9F988E" w14:textId="77777777" w:rsidR="00CD6352" w:rsidRPr="00EA7665" w:rsidRDefault="00CD6352" w:rsidP="00C74AEC">
            <w:pPr>
              <w:numPr>
                <w:ilvl w:val="0"/>
                <w:numId w:val="32"/>
              </w:numPr>
              <w:spacing w:after="0" w:line="240" w:lineRule="auto"/>
              <w:jc w:val="both"/>
              <w:rPr>
                <w:rFonts w:ascii="Arial" w:hAnsi="Arial" w:cs="Arial"/>
                <w:sz w:val="16"/>
                <w:szCs w:val="16"/>
              </w:rPr>
            </w:pPr>
            <w:r w:rsidRPr="00EA7665">
              <w:rPr>
                <w:rFonts w:ascii="Arial" w:hAnsi="Arial" w:cs="Arial"/>
                <w:sz w:val="16"/>
                <w:szCs w:val="16"/>
              </w:rPr>
              <w:t>Ensure that the margin does not erode the returns on equity</w:t>
            </w:r>
          </w:p>
          <w:p w14:paraId="77AC44E4" w14:textId="77777777" w:rsidR="00CD6352" w:rsidRPr="00EA7665" w:rsidRDefault="00CD6352" w:rsidP="00C74AEC">
            <w:pPr>
              <w:numPr>
                <w:ilvl w:val="0"/>
                <w:numId w:val="32"/>
              </w:numPr>
              <w:spacing w:after="0" w:line="240" w:lineRule="auto"/>
              <w:jc w:val="both"/>
              <w:rPr>
                <w:rFonts w:ascii="Arial" w:hAnsi="Arial" w:cs="Arial"/>
                <w:sz w:val="16"/>
                <w:szCs w:val="16"/>
              </w:rPr>
            </w:pPr>
            <w:r w:rsidRPr="00EA7665">
              <w:rPr>
                <w:rFonts w:ascii="Arial" w:hAnsi="Arial" w:cs="Arial"/>
                <w:sz w:val="16"/>
                <w:szCs w:val="16"/>
              </w:rPr>
              <w:t xml:space="preserve">Analyse the debt and the level of risk to mitigate against any risk in the development phase and avoid getting cash trapped </w:t>
            </w:r>
          </w:p>
          <w:p w14:paraId="26DBDFB5" w14:textId="2763D111" w:rsidR="00CD6352" w:rsidRPr="00EA7665" w:rsidRDefault="00CD6352" w:rsidP="00C74AEC">
            <w:pPr>
              <w:numPr>
                <w:ilvl w:val="0"/>
                <w:numId w:val="32"/>
              </w:numPr>
              <w:spacing w:after="0" w:line="240" w:lineRule="auto"/>
              <w:jc w:val="both"/>
              <w:rPr>
                <w:rFonts w:ascii="Arial" w:hAnsi="Arial" w:cs="Arial"/>
                <w:sz w:val="16"/>
                <w:szCs w:val="16"/>
              </w:rPr>
            </w:pPr>
            <w:r w:rsidRPr="00EA7665">
              <w:rPr>
                <w:rFonts w:ascii="Arial" w:hAnsi="Arial" w:cs="Arial"/>
                <w:sz w:val="16"/>
                <w:szCs w:val="16"/>
              </w:rPr>
              <w:t>Assemble the right skill that can execute the project as the financiers will request</w:t>
            </w:r>
            <w:r>
              <w:rPr>
                <w:rFonts w:ascii="Arial" w:hAnsi="Arial" w:cs="Arial"/>
                <w:sz w:val="16"/>
                <w:szCs w:val="16"/>
              </w:rPr>
              <w:t xml:space="preserve"> </w:t>
            </w:r>
            <w:r w:rsidR="005C0F41">
              <w:rPr>
                <w:rFonts w:ascii="Arial" w:hAnsi="Arial" w:cs="Arial"/>
                <w:sz w:val="16"/>
                <w:szCs w:val="16"/>
              </w:rPr>
              <w:t xml:space="preserve">for </w:t>
            </w:r>
            <w:r w:rsidR="005C0F41" w:rsidRPr="00EA7665">
              <w:rPr>
                <w:rFonts w:ascii="Arial" w:hAnsi="Arial" w:cs="Arial"/>
                <w:sz w:val="16"/>
                <w:szCs w:val="16"/>
              </w:rPr>
              <w:t>this</w:t>
            </w:r>
          </w:p>
          <w:p w14:paraId="5C21E66A" w14:textId="77777777" w:rsidR="00CD6352" w:rsidRPr="00EA7665" w:rsidRDefault="00CD6352" w:rsidP="00C74AEC">
            <w:pPr>
              <w:pStyle w:val="ListParagraph"/>
              <w:numPr>
                <w:ilvl w:val="0"/>
                <w:numId w:val="32"/>
              </w:numPr>
              <w:spacing w:after="0" w:line="240" w:lineRule="auto"/>
              <w:jc w:val="both"/>
              <w:rPr>
                <w:rFonts w:ascii="Arial" w:hAnsi="Arial" w:cs="Arial"/>
                <w:sz w:val="16"/>
                <w:szCs w:val="16"/>
              </w:rPr>
            </w:pPr>
            <w:r w:rsidRPr="00EA7665">
              <w:rPr>
                <w:rFonts w:ascii="Arial" w:hAnsi="Arial" w:cs="Arial"/>
                <w:sz w:val="16"/>
                <w:szCs w:val="16"/>
              </w:rPr>
              <w:lastRenderedPageBreak/>
              <w:t>Delegate preparation of the financials such as cash flows to someone who has the financial skills and who understands how debt can be structured.</w:t>
            </w:r>
          </w:p>
        </w:tc>
      </w:tr>
      <w:tr w:rsidR="00CD6352" w:rsidRPr="00EA7665" w14:paraId="2F65116B" w14:textId="77777777" w:rsidTr="00CD6352">
        <w:tc>
          <w:tcPr>
            <w:tcW w:w="545" w:type="pct"/>
          </w:tcPr>
          <w:p w14:paraId="2FFDA89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Germany Mgr 4</w:t>
            </w:r>
          </w:p>
        </w:tc>
        <w:tc>
          <w:tcPr>
            <w:tcW w:w="4455" w:type="pct"/>
          </w:tcPr>
          <w:p w14:paraId="31392E8D" w14:textId="70B8B8DE" w:rsidR="00CD6352" w:rsidRPr="00EA7665" w:rsidRDefault="00CD6352" w:rsidP="00C74AEC">
            <w:pPr>
              <w:numPr>
                <w:ilvl w:val="0"/>
                <w:numId w:val="33"/>
              </w:numPr>
              <w:spacing w:after="0" w:line="240" w:lineRule="auto"/>
              <w:jc w:val="both"/>
              <w:rPr>
                <w:rFonts w:ascii="Arial" w:hAnsi="Arial" w:cs="Arial"/>
                <w:sz w:val="16"/>
                <w:szCs w:val="16"/>
              </w:rPr>
            </w:pPr>
            <w:r w:rsidRPr="00EA7665">
              <w:rPr>
                <w:rFonts w:ascii="Arial" w:hAnsi="Arial" w:cs="Arial"/>
                <w:sz w:val="16"/>
                <w:szCs w:val="16"/>
              </w:rPr>
              <w:t>Gain access to land</w:t>
            </w:r>
            <w:r w:rsidR="00693BC7">
              <w:rPr>
                <w:rFonts w:ascii="Arial" w:hAnsi="Arial" w:cs="Arial"/>
                <w:sz w:val="16"/>
                <w:szCs w:val="16"/>
              </w:rPr>
              <w:t>,</w:t>
            </w:r>
            <w:r w:rsidRPr="00EA7665">
              <w:rPr>
                <w:rFonts w:ascii="Arial" w:hAnsi="Arial" w:cs="Arial"/>
                <w:sz w:val="16"/>
                <w:szCs w:val="16"/>
              </w:rPr>
              <w:t xml:space="preserve"> and the most significant decision is the decision to either buy a piece of land or not.</w:t>
            </w:r>
          </w:p>
          <w:p w14:paraId="79BBA991" w14:textId="77777777" w:rsidR="00CD6352" w:rsidRPr="00EA7665" w:rsidRDefault="00CD6352" w:rsidP="00C74AEC">
            <w:pPr>
              <w:numPr>
                <w:ilvl w:val="0"/>
                <w:numId w:val="33"/>
              </w:numPr>
              <w:spacing w:after="0" w:line="240" w:lineRule="auto"/>
              <w:jc w:val="both"/>
              <w:rPr>
                <w:rFonts w:ascii="Arial" w:hAnsi="Arial" w:cs="Arial"/>
                <w:sz w:val="16"/>
                <w:szCs w:val="16"/>
              </w:rPr>
            </w:pPr>
            <w:r w:rsidRPr="00EA7665">
              <w:rPr>
                <w:rFonts w:ascii="Arial" w:hAnsi="Arial" w:cs="Arial"/>
                <w:sz w:val="16"/>
                <w:szCs w:val="16"/>
              </w:rPr>
              <w:t>Determine if the needed land is for building commercial or residential real estates</w:t>
            </w:r>
          </w:p>
        </w:tc>
      </w:tr>
      <w:tr w:rsidR="00CD6352" w:rsidRPr="00EA7665" w14:paraId="457AF21A" w14:textId="77777777" w:rsidTr="00CD6352">
        <w:tc>
          <w:tcPr>
            <w:tcW w:w="545" w:type="pct"/>
          </w:tcPr>
          <w:p w14:paraId="535A05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Germany Mgr5</w:t>
            </w:r>
          </w:p>
        </w:tc>
        <w:tc>
          <w:tcPr>
            <w:tcW w:w="4455" w:type="pct"/>
          </w:tcPr>
          <w:p w14:paraId="3F929C61" w14:textId="77777777" w:rsidR="00CD6352" w:rsidRPr="00EA7665" w:rsidRDefault="00CD6352" w:rsidP="00C74AEC">
            <w:pPr>
              <w:numPr>
                <w:ilvl w:val="0"/>
                <w:numId w:val="34"/>
              </w:numPr>
              <w:spacing w:after="0" w:line="240" w:lineRule="auto"/>
              <w:jc w:val="both"/>
              <w:rPr>
                <w:rFonts w:ascii="Arial" w:hAnsi="Arial" w:cs="Arial"/>
                <w:sz w:val="16"/>
                <w:szCs w:val="16"/>
              </w:rPr>
            </w:pPr>
            <w:r w:rsidRPr="00EA7665">
              <w:rPr>
                <w:rFonts w:ascii="Arial" w:hAnsi="Arial" w:cs="Arial"/>
                <w:sz w:val="16"/>
                <w:szCs w:val="16"/>
              </w:rPr>
              <w:t xml:space="preserve">Different lenders are approached for the offer when there is a new project to execute </w:t>
            </w:r>
          </w:p>
          <w:p w14:paraId="7685FFA4" w14:textId="77777777" w:rsidR="00CD6352" w:rsidRPr="00EA7665" w:rsidRDefault="00CD6352" w:rsidP="00C74AEC">
            <w:pPr>
              <w:numPr>
                <w:ilvl w:val="0"/>
                <w:numId w:val="34"/>
              </w:numPr>
              <w:spacing w:after="0" w:line="240" w:lineRule="auto"/>
              <w:jc w:val="both"/>
              <w:rPr>
                <w:rFonts w:ascii="Arial" w:hAnsi="Arial" w:cs="Arial"/>
                <w:sz w:val="16"/>
                <w:szCs w:val="16"/>
              </w:rPr>
            </w:pPr>
            <w:r w:rsidRPr="00EA7665">
              <w:rPr>
                <w:rFonts w:ascii="Arial" w:hAnsi="Arial" w:cs="Arial"/>
                <w:sz w:val="16"/>
                <w:szCs w:val="16"/>
              </w:rPr>
              <w:t>External advisors and consultants for sourcing debt or existing senior lenders are approached</w:t>
            </w:r>
          </w:p>
          <w:p w14:paraId="0DAD1E95" w14:textId="77777777" w:rsidR="00CD6352" w:rsidRPr="00EA7665" w:rsidRDefault="00CD6352" w:rsidP="00C74AEC">
            <w:pPr>
              <w:numPr>
                <w:ilvl w:val="0"/>
                <w:numId w:val="34"/>
              </w:numPr>
              <w:spacing w:after="0" w:line="240" w:lineRule="auto"/>
              <w:jc w:val="both"/>
              <w:rPr>
                <w:rFonts w:ascii="Arial" w:hAnsi="Arial" w:cs="Arial"/>
                <w:sz w:val="16"/>
                <w:szCs w:val="16"/>
              </w:rPr>
            </w:pPr>
            <w:r w:rsidRPr="00EA7665">
              <w:rPr>
                <w:rFonts w:ascii="Arial" w:hAnsi="Arial" w:cs="Arial"/>
                <w:sz w:val="16"/>
                <w:szCs w:val="16"/>
              </w:rPr>
              <w:t>Different lenders are contacted to choose what they might offer and then decide on the offer based on the LTB or LTC</w:t>
            </w:r>
          </w:p>
        </w:tc>
      </w:tr>
      <w:tr w:rsidR="00CD6352" w:rsidRPr="00EA7665" w14:paraId="65DC2161" w14:textId="77777777" w:rsidTr="00CD6352">
        <w:tc>
          <w:tcPr>
            <w:tcW w:w="545" w:type="pct"/>
          </w:tcPr>
          <w:p w14:paraId="18A69D3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Germany Mgr 6</w:t>
            </w:r>
          </w:p>
        </w:tc>
        <w:tc>
          <w:tcPr>
            <w:tcW w:w="4455" w:type="pct"/>
          </w:tcPr>
          <w:p w14:paraId="4AEA5C03" w14:textId="77777777" w:rsidR="00CD6352" w:rsidRPr="00EA7665" w:rsidRDefault="00CD6352" w:rsidP="00C74AEC">
            <w:pPr>
              <w:numPr>
                <w:ilvl w:val="0"/>
                <w:numId w:val="35"/>
              </w:numPr>
              <w:spacing w:after="0" w:line="240" w:lineRule="auto"/>
              <w:jc w:val="both"/>
              <w:rPr>
                <w:rFonts w:ascii="Arial" w:hAnsi="Arial" w:cs="Arial"/>
                <w:sz w:val="16"/>
                <w:szCs w:val="16"/>
              </w:rPr>
            </w:pPr>
            <w:r w:rsidRPr="00EA7665">
              <w:rPr>
                <w:rFonts w:ascii="Arial" w:hAnsi="Arial" w:cs="Arial"/>
                <w:sz w:val="16"/>
                <w:szCs w:val="16"/>
              </w:rPr>
              <w:t>Develop a personal relationship with the lenders.</w:t>
            </w:r>
          </w:p>
          <w:p w14:paraId="1BD8C3CC" w14:textId="77777777" w:rsidR="00CD6352" w:rsidRPr="00EA7665" w:rsidRDefault="00CD6352" w:rsidP="00C74AEC">
            <w:pPr>
              <w:pStyle w:val="ListParagraph"/>
              <w:numPr>
                <w:ilvl w:val="0"/>
                <w:numId w:val="35"/>
              </w:numPr>
              <w:spacing w:after="0" w:line="240" w:lineRule="auto"/>
              <w:jc w:val="both"/>
              <w:rPr>
                <w:rFonts w:ascii="Arial" w:hAnsi="Arial" w:cs="Arial"/>
                <w:sz w:val="16"/>
                <w:szCs w:val="16"/>
              </w:rPr>
            </w:pPr>
            <w:r w:rsidRPr="00EA7665">
              <w:rPr>
                <w:rFonts w:ascii="Arial" w:hAnsi="Arial" w:cs="Arial"/>
                <w:sz w:val="16"/>
                <w:szCs w:val="16"/>
              </w:rPr>
              <w:t xml:space="preserve">Enhance hard factors like the track record, having a good reputation and the product pipeline. </w:t>
            </w:r>
          </w:p>
        </w:tc>
      </w:tr>
      <w:tr w:rsidR="00CD6352" w:rsidRPr="00EA7665" w14:paraId="07D6E408" w14:textId="77777777" w:rsidTr="00C01811">
        <w:trPr>
          <w:trHeight w:val="2431"/>
        </w:trPr>
        <w:tc>
          <w:tcPr>
            <w:tcW w:w="545" w:type="pct"/>
          </w:tcPr>
          <w:p w14:paraId="48F96FE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 Mgr1</w:t>
            </w:r>
          </w:p>
        </w:tc>
        <w:tc>
          <w:tcPr>
            <w:tcW w:w="4455" w:type="pct"/>
          </w:tcPr>
          <w:p w14:paraId="244635A7"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Determine the potential cost of the project</w:t>
            </w:r>
          </w:p>
          <w:p w14:paraId="34850782"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Determine the possible profit and decide if the margin is good</w:t>
            </w:r>
          </w:p>
          <w:p w14:paraId="6E7DD6C6" w14:textId="3841D483"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If convinced  that the project is good</w:t>
            </w:r>
            <w:r w:rsidR="002F0E67">
              <w:rPr>
                <w:rFonts w:ascii="Arial" w:hAnsi="Arial" w:cs="Arial"/>
                <w:sz w:val="16"/>
                <w:szCs w:val="16"/>
              </w:rPr>
              <w:t>,</w:t>
            </w:r>
            <w:r w:rsidRPr="00EA7665">
              <w:rPr>
                <w:rFonts w:ascii="Arial" w:hAnsi="Arial" w:cs="Arial"/>
                <w:sz w:val="16"/>
                <w:szCs w:val="16"/>
              </w:rPr>
              <w:t xml:space="preserve"> then put in a planning application with the council</w:t>
            </w:r>
          </w:p>
          <w:p w14:paraId="6CA54DE2"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 xml:space="preserve">The council will take about eight (8) weeks to respond. </w:t>
            </w:r>
          </w:p>
          <w:p w14:paraId="1CA9BCEE"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The approval from the council authorises you to commence construction</w:t>
            </w:r>
          </w:p>
          <w:p w14:paraId="36C1CA9B"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You are also</w:t>
            </w:r>
            <w:r>
              <w:rPr>
                <w:rFonts w:ascii="Arial" w:hAnsi="Arial" w:cs="Arial"/>
                <w:sz w:val="16"/>
                <w:szCs w:val="16"/>
              </w:rPr>
              <w:t xml:space="preserve"> to get</w:t>
            </w:r>
            <w:r w:rsidRPr="00EA7665">
              <w:rPr>
                <w:rFonts w:ascii="Arial" w:hAnsi="Arial" w:cs="Arial"/>
                <w:sz w:val="16"/>
                <w:szCs w:val="16"/>
              </w:rPr>
              <w:t xml:space="preserve"> in touch with auditors and surveyors who come to sign at the different points in the development as this will mitigate against any structural problem which will invalidate the property and compromise the funds</w:t>
            </w:r>
          </w:p>
          <w:p w14:paraId="43867579"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You make decisions on the location</w:t>
            </w:r>
          </w:p>
          <w:p w14:paraId="185582A5"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You make decisions about the amount that will work</w:t>
            </w:r>
          </w:p>
          <w:p w14:paraId="2381A5B2"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Work with the Architects to come up with the design that will sell in the location</w:t>
            </w:r>
          </w:p>
          <w:p w14:paraId="3FBE6885" w14:textId="77777777" w:rsidR="00CD6352" w:rsidRPr="00EA7665" w:rsidRDefault="00CD6352" w:rsidP="00C74AEC">
            <w:pPr>
              <w:numPr>
                <w:ilvl w:val="0"/>
                <w:numId w:val="36"/>
              </w:numPr>
              <w:spacing w:after="0" w:line="240" w:lineRule="auto"/>
              <w:jc w:val="both"/>
              <w:rPr>
                <w:rFonts w:ascii="Arial" w:hAnsi="Arial" w:cs="Arial"/>
                <w:sz w:val="16"/>
                <w:szCs w:val="16"/>
              </w:rPr>
            </w:pPr>
            <w:r w:rsidRPr="00EA7665">
              <w:rPr>
                <w:rFonts w:ascii="Arial" w:hAnsi="Arial" w:cs="Arial"/>
                <w:sz w:val="16"/>
                <w:szCs w:val="16"/>
              </w:rPr>
              <w:t xml:space="preserve">You manage the building cost to ensure the cost is </w:t>
            </w:r>
            <w:r>
              <w:rPr>
                <w:rFonts w:ascii="Arial" w:hAnsi="Arial" w:cs="Arial"/>
                <w:sz w:val="16"/>
                <w:szCs w:val="16"/>
              </w:rPr>
              <w:t xml:space="preserve">as </w:t>
            </w:r>
            <w:r w:rsidRPr="00EA7665">
              <w:rPr>
                <w:rFonts w:ascii="Arial" w:hAnsi="Arial" w:cs="Arial"/>
                <w:sz w:val="16"/>
                <w:szCs w:val="16"/>
              </w:rPr>
              <w:t>reasonable as possible</w:t>
            </w:r>
          </w:p>
          <w:p w14:paraId="06BC7B67" w14:textId="77777777" w:rsidR="00CD6352" w:rsidRPr="00EA7665" w:rsidRDefault="00CD6352" w:rsidP="00CD6352">
            <w:pPr>
              <w:jc w:val="both"/>
              <w:rPr>
                <w:rFonts w:ascii="Arial" w:hAnsi="Arial" w:cs="Arial"/>
                <w:sz w:val="16"/>
                <w:szCs w:val="16"/>
              </w:rPr>
            </w:pPr>
          </w:p>
        </w:tc>
      </w:tr>
      <w:tr w:rsidR="00CD6352" w:rsidRPr="00EA7665" w14:paraId="5DA68795" w14:textId="77777777" w:rsidTr="00CD6352">
        <w:tc>
          <w:tcPr>
            <w:tcW w:w="545" w:type="pct"/>
          </w:tcPr>
          <w:p w14:paraId="59F6B09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UKMgr2</w:t>
            </w:r>
          </w:p>
        </w:tc>
        <w:tc>
          <w:tcPr>
            <w:tcW w:w="4455" w:type="pct"/>
          </w:tcPr>
          <w:p w14:paraId="67E0843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Appraise available plots</w:t>
            </w:r>
          </w:p>
          <w:p w14:paraId="2B3D0E25"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Ascertain the macro-economic condition of the location and determine the demand for the property</w:t>
            </w:r>
          </w:p>
          <w:p w14:paraId="605464F3"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cost of the development</w:t>
            </w:r>
          </w:p>
          <w:p w14:paraId="20B1B15F"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Ascertain the risk and the predictable  returns</w:t>
            </w:r>
          </w:p>
          <w:p w14:paraId="5BEE3CFC" w14:textId="77777777" w:rsidR="00CD6352" w:rsidRPr="00EA7665" w:rsidRDefault="00CD6352" w:rsidP="00C74AEC">
            <w:pPr>
              <w:pStyle w:val="ListParagraph"/>
              <w:numPr>
                <w:ilvl w:val="0"/>
                <w:numId w:val="31"/>
              </w:numPr>
              <w:spacing w:after="0" w:line="240" w:lineRule="auto"/>
              <w:jc w:val="both"/>
              <w:rPr>
                <w:rFonts w:ascii="Arial" w:hAnsi="Arial" w:cs="Arial"/>
                <w:sz w:val="16"/>
                <w:szCs w:val="16"/>
              </w:rPr>
            </w:pPr>
            <w:r w:rsidRPr="00EA7665">
              <w:rPr>
                <w:rFonts w:ascii="Arial" w:hAnsi="Arial" w:cs="Arial"/>
                <w:sz w:val="16"/>
                <w:szCs w:val="16"/>
              </w:rPr>
              <w:t>Identify the land, negotiate a reasonable price, possibly hold the land till a good time if need be and then develop.</w:t>
            </w:r>
          </w:p>
        </w:tc>
      </w:tr>
      <w:tr w:rsidR="00CD6352" w:rsidRPr="00EA7665" w14:paraId="6CCD4128" w14:textId="77777777" w:rsidTr="00CD6352">
        <w:tc>
          <w:tcPr>
            <w:tcW w:w="545" w:type="pct"/>
          </w:tcPr>
          <w:p w14:paraId="58AC388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 Mgr3</w:t>
            </w:r>
          </w:p>
        </w:tc>
        <w:tc>
          <w:tcPr>
            <w:tcW w:w="4455" w:type="pct"/>
          </w:tcPr>
          <w:p w14:paraId="6201148A"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A property is identified</w:t>
            </w:r>
          </w:p>
          <w:p w14:paraId="5E7DE43F"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various analysis is undertaken to determine if it is viable</w:t>
            </w:r>
          </w:p>
          <w:p w14:paraId="1EAA373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A business plan is put together</w:t>
            </w:r>
          </w:p>
          <w:p w14:paraId="03158CF5" w14:textId="77777777" w:rsidR="00CD6352" w:rsidRPr="00EA7665" w:rsidRDefault="00CD6352" w:rsidP="00C74AEC">
            <w:pPr>
              <w:pStyle w:val="ListParagraph"/>
              <w:numPr>
                <w:ilvl w:val="0"/>
                <w:numId w:val="31"/>
              </w:numPr>
              <w:spacing w:after="0" w:line="240" w:lineRule="auto"/>
              <w:jc w:val="both"/>
              <w:rPr>
                <w:rFonts w:ascii="Arial" w:hAnsi="Arial" w:cs="Arial"/>
                <w:sz w:val="16"/>
                <w:szCs w:val="16"/>
              </w:rPr>
            </w:pPr>
            <w:r w:rsidRPr="00EA7665">
              <w:rPr>
                <w:rFonts w:ascii="Arial" w:hAnsi="Arial" w:cs="Arial"/>
                <w:sz w:val="16"/>
                <w:szCs w:val="16"/>
              </w:rPr>
              <w:t>Cash flow is provided to support the purchase</w:t>
            </w:r>
          </w:p>
        </w:tc>
      </w:tr>
      <w:tr w:rsidR="00CD6352" w:rsidRPr="00EA7665" w14:paraId="072AD594" w14:textId="77777777" w:rsidTr="00CD6352">
        <w:tc>
          <w:tcPr>
            <w:tcW w:w="545" w:type="pct"/>
          </w:tcPr>
          <w:p w14:paraId="1949978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 Mgr4</w:t>
            </w:r>
          </w:p>
        </w:tc>
        <w:tc>
          <w:tcPr>
            <w:tcW w:w="4455" w:type="pct"/>
          </w:tcPr>
          <w:p w14:paraId="37476B3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Keep sales office in Asia for direct inward investment into the UK</w:t>
            </w:r>
          </w:p>
          <w:p w14:paraId="49E8EDE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List on the stock market to access finance</w:t>
            </w:r>
          </w:p>
          <w:p w14:paraId="07FB975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Sale of assets to raise additional cash</w:t>
            </w:r>
          </w:p>
          <w:p w14:paraId="59EA28C4"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Usage of the asset as collateral to raise extra cash</w:t>
            </w:r>
          </w:p>
        </w:tc>
      </w:tr>
      <w:tr w:rsidR="00CD6352" w:rsidRPr="00EA7665" w14:paraId="08927060" w14:textId="77777777" w:rsidTr="00CD6352">
        <w:tc>
          <w:tcPr>
            <w:tcW w:w="545" w:type="pct"/>
          </w:tcPr>
          <w:p w14:paraId="1150313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 Mgr5</w:t>
            </w:r>
          </w:p>
        </w:tc>
        <w:tc>
          <w:tcPr>
            <w:tcW w:w="4455" w:type="pct"/>
          </w:tcPr>
          <w:p w14:paraId="4C7D938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Equity returns in line with risk from the start, although these can evolve as the project progresses. Projects follow a four-stage process with the final stage being signing a construction contract.</w:t>
            </w:r>
          </w:p>
        </w:tc>
      </w:tr>
      <w:tr w:rsidR="00CD6352" w:rsidRPr="00EA7665" w14:paraId="09B763F3" w14:textId="77777777" w:rsidTr="00CD6352">
        <w:tc>
          <w:tcPr>
            <w:tcW w:w="545" w:type="pct"/>
          </w:tcPr>
          <w:p w14:paraId="74EDD8C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 Mgr6</w:t>
            </w:r>
          </w:p>
        </w:tc>
        <w:tc>
          <w:tcPr>
            <w:tcW w:w="4455" w:type="pct"/>
          </w:tcPr>
          <w:p w14:paraId="63A25C8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Buy the land</w:t>
            </w:r>
          </w:p>
          <w:p w14:paraId="66C57CA4"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Obtain planning permission</w:t>
            </w:r>
          </w:p>
          <w:p w14:paraId="414B7D3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Go through the process of dealing with local communities and authorities</w:t>
            </w:r>
          </w:p>
          <w:p w14:paraId="081068F3"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Bring in the Architects and the contractors to effect the design</w:t>
            </w:r>
          </w:p>
          <w:p w14:paraId="7896F94E"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Hire people and ensure you have the relevant skills, knowledge, and competences</w:t>
            </w:r>
          </w:p>
          <w:p w14:paraId="52E72D08"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Sell office space and residential units as the case may be </w:t>
            </w:r>
          </w:p>
        </w:tc>
      </w:tr>
      <w:tr w:rsidR="00CD6352" w:rsidRPr="00EA7665" w14:paraId="68192512" w14:textId="77777777" w:rsidTr="00CD6352">
        <w:tc>
          <w:tcPr>
            <w:tcW w:w="545" w:type="pct"/>
          </w:tcPr>
          <w:p w14:paraId="5B82252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UK Mgr7</w:t>
            </w:r>
          </w:p>
        </w:tc>
        <w:tc>
          <w:tcPr>
            <w:tcW w:w="4455" w:type="pct"/>
          </w:tcPr>
          <w:p w14:paraId="2AD8857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internal committee meets to discuss the authorisation of levels of debt and equity.</w:t>
            </w:r>
          </w:p>
          <w:p w14:paraId="4F84EB7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The internal committee will decide on if it is better to take on more equity of debt </w:t>
            </w:r>
          </w:p>
          <w:p w14:paraId="394A07C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Due diligence procedure is undertaken, and the committee signs off</w:t>
            </w:r>
          </w:p>
        </w:tc>
      </w:tr>
      <w:tr w:rsidR="00CD6352" w:rsidRPr="00EA7665" w14:paraId="5D2DB2F2" w14:textId="77777777" w:rsidTr="00CD6352">
        <w:tc>
          <w:tcPr>
            <w:tcW w:w="545" w:type="pct"/>
          </w:tcPr>
          <w:p w14:paraId="27B0243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 Mgr1</w:t>
            </w:r>
          </w:p>
        </w:tc>
        <w:tc>
          <w:tcPr>
            <w:tcW w:w="4455" w:type="pct"/>
          </w:tcPr>
          <w:p w14:paraId="2B6940E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amount of equity you want to invest in the project</w:t>
            </w:r>
          </w:p>
          <w:p w14:paraId="7FEC5E65"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if you will achieve the highest amount of return on the equity or debt</w:t>
            </w:r>
          </w:p>
          <w:p w14:paraId="29EE3F88"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associated risk</w:t>
            </w:r>
          </w:p>
          <w:p w14:paraId="3407FB2E" w14:textId="7999132F"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if you need an equity partnership</w:t>
            </w:r>
            <w:r w:rsidR="00693BC7">
              <w:rPr>
                <w:rFonts w:ascii="Arial" w:hAnsi="Arial" w:cs="Arial"/>
                <w:sz w:val="16"/>
                <w:szCs w:val="16"/>
              </w:rPr>
              <w:t>,</w:t>
            </w:r>
            <w:r w:rsidRPr="00EA7665">
              <w:rPr>
                <w:rFonts w:ascii="Arial" w:hAnsi="Arial" w:cs="Arial"/>
                <w:sz w:val="16"/>
                <w:szCs w:val="16"/>
              </w:rPr>
              <w:t xml:space="preserve"> or you can fund the project on your own. </w:t>
            </w:r>
          </w:p>
          <w:p w14:paraId="313BE516"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type and percentage of partnership or joint ventures</w:t>
            </w:r>
          </w:p>
          <w:p w14:paraId="61D03A82"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Determine returns threshold </w:t>
            </w:r>
          </w:p>
          <w:p w14:paraId="0C616BF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If you decide it is 100% debt, then prepare to meet up with the terms of the debt, i.e. financial covenants  and interest rates</w:t>
            </w:r>
          </w:p>
          <w:p w14:paraId="1076A072" w14:textId="440B6F33"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Put together documents/</w:t>
            </w:r>
            <w:r w:rsidR="00323227">
              <w:rPr>
                <w:rFonts w:ascii="Arial" w:hAnsi="Arial" w:cs="Arial"/>
                <w:sz w:val="16"/>
                <w:szCs w:val="16"/>
              </w:rPr>
              <w:t>memorandums</w:t>
            </w:r>
            <w:r w:rsidRPr="00EA7665">
              <w:rPr>
                <w:rFonts w:ascii="Arial" w:hAnsi="Arial" w:cs="Arial"/>
                <w:sz w:val="16"/>
                <w:szCs w:val="16"/>
              </w:rPr>
              <w:t xml:space="preserve"> to make the equity partner or debt issuers comfortable with the project. </w:t>
            </w:r>
          </w:p>
          <w:p w14:paraId="31F5E91E"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You will need to answer due diligence questions and get lenders excited about the opportunity.</w:t>
            </w:r>
          </w:p>
          <w:p w14:paraId="41FCE41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Negotiate terms and sign a term sheet</w:t>
            </w:r>
          </w:p>
          <w:p w14:paraId="1DC7F99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Seek legal counsel, and this will entail the legal documentation process.</w:t>
            </w:r>
          </w:p>
          <w:p w14:paraId="1BBDD8AA"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You work together with third party consultants </w:t>
            </w:r>
          </w:p>
        </w:tc>
      </w:tr>
      <w:tr w:rsidR="00CD6352" w:rsidRPr="00EA7665" w14:paraId="328D4D49" w14:textId="77777777" w:rsidTr="00CD6352">
        <w:tc>
          <w:tcPr>
            <w:tcW w:w="545" w:type="pct"/>
          </w:tcPr>
          <w:p w14:paraId="3D36C8C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USMgr2</w:t>
            </w:r>
          </w:p>
        </w:tc>
        <w:tc>
          <w:tcPr>
            <w:tcW w:w="4455" w:type="pct"/>
          </w:tcPr>
          <w:p w14:paraId="79C246F9"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same processes for accessing traditional bank finance</w:t>
            </w:r>
          </w:p>
          <w:p w14:paraId="2D29AAE1"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Understand that banks usually want quick returns</w:t>
            </w:r>
          </w:p>
        </w:tc>
      </w:tr>
      <w:tr w:rsidR="00CD6352" w:rsidRPr="00EA7665" w14:paraId="45BD4EF7" w14:textId="77777777" w:rsidTr="00CD6352">
        <w:tc>
          <w:tcPr>
            <w:tcW w:w="545" w:type="pct"/>
          </w:tcPr>
          <w:p w14:paraId="71DAB14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USMgr3</w:t>
            </w:r>
          </w:p>
        </w:tc>
        <w:tc>
          <w:tcPr>
            <w:tcW w:w="4455" w:type="pct"/>
          </w:tcPr>
          <w:p w14:paraId="6DD0B142"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Decide on the entrance, operations, and exits.</w:t>
            </w:r>
          </w:p>
          <w:p w14:paraId="7A2D2C88"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Decide on the goals and objectives of the project, which will help to decide if you are going to develop to sell or you are going to hold on to the property for more years. </w:t>
            </w:r>
          </w:p>
          <w:p w14:paraId="32124B7A" w14:textId="0081D9B4"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market for the project</w:t>
            </w:r>
            <w:r w:rsidR="00693BC7">
              <w:rPr>
                <w:rFonts w:ascii="Arial" w:hAnsi="Arial" w:cs="Arial"/>
                <w:sz w:val="16"/>
                <w:szCs w:val="16"/>
              </w:rPr>
              <w:t>,</w:t>
            </w:r>
            <w:r w:rsidRPr="00EA7665">
              <w:rPr>
                <w:rFonts w:ascii="Arial" w:hAnsi="Arial" w:cs="Arial"/>
                <w:sz w:val="16"/>
                <w:szCs w:val="16"/>
              </w:rPr>
              <w:t xml:space="preserve"> whether its small, medium or large market</w:t>
            </w:r>
          </w:p>
          <w:p w14:paraId="02E65AB8"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Decide on a specific prototype</w:t>
            </w:r>
          </w:p>
          <w:p w14:paraId="5A32FEB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lastRenderedPageBreak/>
              <w:t>Determine the source of funds</w:t>
            </w:r>
          </w:p>
          <w:p w14:paraId="71618878"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Understand the lender’s criteria</w:t>
            </w:r>
          </w:p>
        </w:tc>
      </w:tr>
      <w:tr w:rsidR="00CD6352" w:rsidRPr="00EA7665" w14:paraId="46752EA4" w14:textId="77777777" w:rsidTr="00CD6352">
        <w:tc>
          <w:tcPr>
            <w:tcW w:w="545" w:type="pct"/>
          </w:tcPr>
          <w:p w14:paraId="0A8B3ED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USMgr4</w:t>
            </w:r>
          </w:p>
        </w:tc>
        <w:tc>
          <w:tcPr>
            <w:tcW w:w="4455" w:type="pct"/>
          </w:tcPr>
          <w:p w14:paraId="1AF56651"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The processes commence several months before the land is purchased</w:t>
            </w:r>
          </w:p>
          <w:p w14:paraId="5362E01B"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Different contacts at different banks and equity investors are called and intimated of the proposed project, and funding needs months before construction commences after the purchase of land. The project is described to them in broad general terms to see if they are interested. </w:t>
            </w:r>
          </w:p>
          <w:p w14:paraId="133C4BDF"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Make a presentation describing the project details to the interested debt and equity investors.</w:t>
            </w:r>
          </w:p>
          <w:p w14:paraId="0B37583F"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The presentation will include the basic outline of the deal and the terms the company is willing to offer.</w:t>
            </w:r>
          </w:p>
          <w:p w14:paraId="65411F22"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The interested investors and banks will be narrowed down to three or four whose terms you will put through the company’s financial models.</w:t>
            </w:r>
          </w:p>
          <w:p w14:paraId="0E5448AD" w14:textId="108989F6"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The negotiation process commences</w:t>
            </w:r>
            <w:r w:rsidR="00693BC7">
              <w:rPr>
                <w:rFonts w:ascii="Arial" w:hAnsi="Arial" w:cs="Arial"/>
                <w:sz w:val="16"/>
                <w:szCs w:val="16"/>
              </w:rPr>
              <w:t>,</w:t>
            </w:r>
            <w:r w:rsidRPr="00EA7665">
              <w:rPr>
                <w:rFonts w:ascii="Arial" w:hAnsi="Arial" w:cs="Arial"/>
                <w:sz w:val="16"/>
                <w:szCs w:val="16"/>
              </w:rPr>
              <w:t xml:space="preserve"> and then it is eventually narrowed down to one bank and one equity partner. </w:t>
            </w:r>
          </w:p>
          <w:p w14:paraId="5274C8D9"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You get into negotiations with the banks and understand their terms such as tenor</w:t>
            </w:r>
            <w:r>
              <w:rPr>
                <w:rFonts w:ascii="Arial" w:hAnsi="Arial" w:cs="Arial"/>
                <w:sz w:val="16"/>
                <w:szCs w:val="16"/>
              </w:rPr>
              <w:t xml:space="preserve"> and</w:t>
            </w:r>
            <w:r w:rsidRPr="00EA7665">
              <w:rPr>
                <w:rFonts w:ascii="Arial" w:hAnsi="Arial" w:cs="Arial"/>
                <w:sz w:val="16"/>
                <w:szCs w:val="16"/>
              </w:rPr>
              <w:t xml:space="preserve"> fees</w:t>
            </w:r>
          </w:p>
          <w:p w14:paraId="654A08EB"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You decide to buy land with either equity or debt or a combination of both</w:t>
            </w:r>
          </w:p>
          <w:p w14:paraId="64450246"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The decision </w:t>
            </w:r>
            <w:r>
              <w:rPr>
                <w:rFonts w:ascii="Arial" w:hAnsi="Arial" w:cs="Arial"/>
                <w:sz w:val="16"/>
                <w:szCs w:val="16"/>
              </w:rPr>
              <w:t xml:space="preserve">made </w:t>
            </w:r>
            <w:r w:rsidRPr="00EA7665">
              <w:rPr>
                <w:rFonts w:ascii="Arial" w:hAnsi="Arial" w:cs="Arial"/>
                <w:sz w:val="16"/>
                <w:szCs w:val="16"/>
              </w:rPr>
              <w:t>to use own capital or is it equity partner and the type of ownership whether Joint ventures or others</w:t>
            </w:r>
          </w:p>
        </w:tc>
      </w:tr>
      <w:tr w:rsidR="00CD6352" w:rsidRPr="00EA7665" w14:paraId="2EE81136" w14:textId="77777777" w:rsidTr="00CD6352">
        <w:tc>
          <w:tcPr>
            <w:tcW w:w="545" w:type="pct"/>
          </w:tcPr>
          <w:p w14:paraId="188B230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 Mgr 5</w:t>
            </w:r>
          </w:p>
        </w:tc>
        <w:tc>
          <w:tcPr>
            <w:tcW w:w="4455" w:type="pct"/>
          </w:tcPr>
          <w:p w14:paraId="2CCC3231"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Balancing of equity: loan ratio for each investment in countries with cheaper interest rates</w:t>
            </w:r>
          </w:p>
          <w:p w14:paraId="30AE496F" w14:textId="591D2159"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Need to have sufficient </w:t>
            </w:r>
            <w:r w:rsidR="00BF4C56" w:rsidRPr="00EA7665">
              <w:rPr>
                <w:rFonts w:ascii="Arial" w:hAnsi="Arial" w:cs="Arial"/>
                <w:sz w:val="16"/>
                <w:szCs w:val="16"/>
              </w:rPr>
              <w:t>equity.</w:t>
            </w:r>
          </w:p>
          <w:p w14:paraId="2943F3AE"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Need to use leverage in countries where leverage is cheaper</w:t>
            </w:r>
          </w:p>
        </w:tc>
      </w:tr>
    </w:tbl>
    <w:p w14:paraId="17E90489" w14:textId="77777777" w:rsidR="00CD6352" w:rsidRPr="00EA7665" w:rsidRDefault="00CD6352" w:rsidP="00CD6352">
      <w:pPr>
        <w:spacing w:line="360" w:lineRule="auto"/>
        <w:ind w:left="576"/>
        <w:jc w:val="both"/>
        <w:rPr>
          <w:rFonts w:ascii="Arial" w:hAnsi="Arial" w:cs="Arial"/>
          <w:b/>
          <w:bCs/>
        </w:rPr>
      </w:pPr>
    </w:p>
    <w:p w14:paraId="615FACEC" w14:textId="2D076F14" w:rsidR="00CD6352" w:rsidRPr="00BF4C56" w:rsidRDefault="00CD6352" w:rsidP="00CD6352">
      <w:pPr>
        <w:pStyle w:val="Caption"/>
        <w:rPr>
          <w:rFonts w:ascii="Arial" w:hAnsi="Arial" w:cs="Arial"/>
          <w:i w:val="0"/>
          <w:iCs w:val="0"/>
          <w:sz w:val="16"/>
          <w:szCs w:val="16"/>
        </w:rPr>
      </w:pPr>
      <w:r w:rsidRPr="00BF4C56">
        <w:rPr>
          <w:rFonts w:ascii="Arial" w:hAnsi="Arial" w:cs="Arial"/>
          <w:i w:val="0"/>
          <w:iCs w:val="0"/>
          <w:sz w:val="16"/>
          <w:szCs w:val="16"/>
        </w:rPr>
        <w:t>Table 7</w:t>
      </w:r>
      <w:r w:rsidRPr="00BF4C56">
        <w:rPr>
          <w:rFonts w:ascii="Arial" w:hAnsi="Arial" w:cs="Arial"/>
          <w:i w:val="0"/>
          <w:iCs w:val="0"/>
          <w:sz w:val="16"/>
          <w:szCs w:val="16"/>
        </w:rPr>
        <w:noBreakHyphen/>
        <w:t xml:space="preserve">3: Key findings on the key decision </w:t>
      </w:r>
      <w:r w:rsidR="005C0F41" w:rsidRPr="00BF4C56">
        <w:rPr>
          <w:rFonts w:ascii="Arial" w:hAnsi="Arial" w:cs="Arial"/>
          <w:i w:val="0"/>
          <w:iCs w:val="0"/>
          <w:sz w:val="16"/>
          <w:szCs w:val="16"/>
        </w:rPr>
        <w:t>and processes</w:t>
      </w:r>
      <w:r w:rsidRPr="00BF4C56">
        <w:rPr>
          <w:rFonts w:ascii="Arial" w:hAnsi="Arial" w:cs="Arial"/>
          <w:i w:val="0"/>
          <w:iCs w:val="0"/>
          <w:sz w:val="16"/>
          <w:szCs w:val="16"/>
        </w:rPr>
        <w:t xml:space="preserve"> for securing finance for real estate project development in the emerging </w:t>
      </w:r>
      <w:r w:rsidR="00BF4C56" w:rsidRPr="00BF4C56">
        <w:rPr>
          <w:rFonts w:ascii="Arial" w:hAnsi="Arial" w:cs="Arial"/>
          <w:i w:val="0"/>
          <w:iCs w:val="0"/>
          <w:sz w:val="16"/>
          <w:szCs w:val="16"/>
        </w:rPr>
        <w:t>economies</w:t>
      </w:r>
      <w:r w:rsidR="00076DC3">
        <w:rPr>
          <w:rFonts w:ascii="Arial" w:hAnsi="Arial" w:cs="Arial"/>
          <w:i w:val="0"/>
          <w:iCs w:val="0"/>
          <w:sz w:val="16"/>
          <w:szCs w:val="16"/>
        </w:rPr>
        <w:t xml:space="preserve"> based on the semi-structured interviews</w:t>
      </w:r>
      <w:r w:rsidR="00BF4C56" w:rsidRPr="00BF4C56">
        <w:rPr>
          <w:rFonts w:ascii="Arial" w:hAnsi="Arial" w:cs="Arial"/>
          <w:i w:val="0"/>
          <w:iCs w:val="0"/>
          <w:sz w:val="16"/>
          <w:szCs w:val="16"/>
        </w:rPr>
        <w:t>.</w:t>
      </w:r>
      <w:r w:rsidRPr="00BF4C56">
        <w:rPr>
          <w:rFonts w:ascii="Arial" w:hAnsi="Arial" w:cs="Arial"/>
          <w:i w:val="0"/>
          <w:iCs w:val="0"/>
          <w:sz w:val="16"/>
          <w:szCs w:val="16"/>
        </w:rPr>
        <w:t xml:space="preserve"> </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224"/>
        <w:gridCol w:w="7792"/>
      </w:tblGrid>
      <w:tr w:rsidR="00CD6352" w:rsidRPr="00EA7665" w14:paraId="7CA4298B" w14:textId="77777777" w:rsidTr="00CD6352">
        <w:tc>
          <w:tcPr>
            <w:tcW w:w="0" w:type="auto"/>
          </w:tcPr>
          <w:p w14:paraId="2E79B992" w14:textId="77777777" w:rsidR="00CD6352" w:rsidRPr="00EA7665" w:rsidRDefault="00CD6352" w:rsidP="00CD6352">
            <w:pPr>
              <w:jc w:val="both"/>
              <w:rPr>
                <w:rFonts w:ascii="Arial" w:hAnsi="Arial" w:cs="Arial"/>
                <w:b/>
                <w:sz w:val="16"/>
                <w:szCs w:val="16"/>
              </w:rPr>
            </w:pPr>
            <w:r w:rsidRPr="00EA7665">
              <w:rPr>
                <w:rFonts w:ascii="Arial" w:hAnsi="Arial" w:cs="Arial"/>
                <w:b/>
                <w:sz w:val="16"/>
                <w:szCs w:val="16"/>
              </w:rPr>
              <w:t>Country</w:t>
            </w:r>
          </w:p>
        </w:tc>
        <w:tc>
          <w:tcPr>
            <w:tcW w:w="0" w:type="auto"/>
          </w:tcPr>
          <w:p w14:paraId="0ED0D5BB" w14:textId="77777777" w:rsidR="00CD6352" w:rsidRPr="00EA7665" w:rsidRDefault="00CD6352" w:rsidP="00CD6352">
            <w:pPr>
              <w:jc w:val="both"/>
              <w:rPr>
                <w:rFonts w:ascii="Arial" w:hAnsi="Arial" w:cs="Arial"/>
                <w:b/>
                <w:sz w:val="16"/>
                <w:szCs w:val="16"/>
              </w:rPr>
            </w:pPr>
            <w:r w:rsidRPr="00EA7665">
              <w:rPr>
                <w:rFonts w:ascii="Arial" w:hAnsi="Arial" w:cs="Arial"/>
                <w:b/>
                <w:sz w:val="16"/>
                <w:szCs w:val="16"/>
              </w:rPr>
              <w:t>Key decision-making processes</w:t>
            </w:r>
          </w:p>
        </w:tc>
      </w:tr>
      <w:tr w:rsidR="00CD6352" w:rsidRPr="00EA7665" w14:paraId="303B8BB3" w14:textId="77777777" w:rsidTr="00CD6352">
        <w:tc>
          <w:tcPr>
            <w:tcW w:w="0" w:type="auto"/>
          </w:tcPr>
          <w:p w14:paraId="40DAA5B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Mgr1</w:t>
            </w:r>
          </w:p>
        </w:tc>
        <w:tc>
          <w:tcPr>
            <w:tcW w:w="0" w:type="auto"/>
          </w:tcPr>
          <w:p w14:paraId="1F135C3B" w14:textId="77777777" w:rsidR="00CD6352" w:rsidRPr="00EA7665" w:rsidRDefault="00CD6352" w:rsidP="00C74AEC">
            <w:pPr>
              <w:pStyle w:val="ListParagraph"/>
              <w:numPr>
                <w:ilvl w:val="0"/>
                <w:numId w:val="62"/>
              </w:numPr>
              <w:spacing w:after="0" w:line="240" w:lineRule="auto"/>
              <w:jc w:val="both"/>
              <w:rPr>
                <w:rFonts w:ascii="Arial" w:hAnsi="Arial" w:cs="Arial"/>
                <w:sz w:val="16"/>
                <w:szCs w:val="16"/>
              </w:rPr>
            </w:pPr>
            <w:r w:rsidRPr="00EA7665">
              <w:rPr>
                <w:rFonts w:ascii="Arial" w:hAnsi="Arial" w:cs="Arial"/>
                <w:sz w:val="16"/>
                <w:szCs w:val="16"/>
              </w:rPr>
              <w:t xml:space="preserve">Put together an investment plan/ an investment case and go to the provider of the funds, whether equity or debt or the combination of both. </w:t>
            </w:r>
          </w:p>
          <w:p w14:paraId="44C6109C" w14:textId="77777777" w:rsidR="00CD6352" w:rsidRPr="00EA7665" w:rsidRDefault="00CD6352" w:rsidP="00C74AEC">
            <w:pPr>
              <w:pStyle w:val="ListParagraph"/>
              <w:numPr>
                <w:ilvl w:val="0"/>
                <w:numId w:val="62"/>
              </w:numPr>
              <w:spacing w:after="0" w:line="240" w:lineRule="auto"/>
              <w:jc w:val="both"/>
              <w:rPr>
                <w:rFonts w:ascii="Arial" w:hAnsi="Arial" w:cs="Arial"/>
                <w:sz w:val="16"/>
                <w:szCs w:val="16"/>
              </w:rPr>
            </w:pPr>
            <w:r w:rsidRPr="00EA7665">
              <w:rPr>
                <w:rFonts w:ascii="Arial" w:hAnsi="Arial" w:cs="Arial"/>
                <w:sz w:val="16"/>
                <w:szCs w:val="16"/>
              </w:rPr>
              <w:t xml:space="preserve">The group will then undertake some due diligence, which will </w:t>
            </w:r>
            <w:r>
              <w:rPr>
                <w:rFonts w:ascii="Arial" w:hAnsi="Arial" w:cs="Arial"/>
                <w:sz w:val="16"/>
                <w:szCs w:val="16"/>
              </w:rPr>
              <w:t>entail</w:t>
            </w:r>
            <w:r w:rsidRPr="00EA7665">
              <w:rPr>
                <w:rFonts w:ascii="Arial" w:hAnsi="Arial" w:cs="Arial"/>
                <w:sz w:val="16"/>
                <w:szCs w:val="16"/>
              </w:rPr>
              <w:t xml:space="preserve"> stress testing on the scenarios set</w:t>
            </w:r>
          </w:p>
          <w:p w14:paraId="7D780DF4" w14:textId="77777777" w:rsidR="00CD6352" w:rsidRPr="00EA7665" w:rsidRDefault="00CD6352" w:rsidP="00C74AEC">
            <w:pPr>
              <w:pStyle w:val="ListParagraph"/>
              <w:numPr>
                <w:ilvl w:val="0"/>
                <w:numId w:val="62"/>
              </w:numPr>
              <w:spacing w:after="0" w:line="240" w:lineRule="auto"/>
              <w:jc w:val="both"/>
              <w:rPr>
                <w:rFonts w:ascii="Arial" w:hAnsi="Arial" w:cs="Arial"/>
                <w:sz w:val="16"/>
                <w:szCs w:val="16"/>
              </w:rPr>
            </w:pPr>
            <w:r w:rsidRPr="00EA7665">
              <w:rPr>
                <w:rFonts w:ascii="Arial" w:hAnsi="Arial" w:cs="Arial"/>
                <w:sz w:val="16"/>
                <w:szCs w:val="16"/>
              </w:rPr>
              <w:t>Determine your capacity to deliver and the capacity of the market to purchase the properties</w:t>
            </w:r>
          </w:p>
          <w:p w14:paraId="01BC4F51" w14:textId="77777777" w:rsidR="00CD6352" w:rsidRPr="00EA7665" w:rsidRDefault="00CD6352" w:rsidP="00C74AEC">
            <w:pPr>
              <w:pStyle w:val="ListParagraph"/>
              <w:numPr>
                <w:ilvl w:val="0"/>
                <w:numId w:val="62"/>
              </w:numPr>
              <w:spacing w:after="0" w:line="240" w:lineRule="auto"/>
              <w:jc w:val="both"/>
              <w:rPr>
                <w:rFonts w:ascii="Arial" w:hAnsi="Arial" w:cs="Arial"/>
                <w:sz w:val="16"/>
                <w:szCs w:val="16"/>
              </w:rPr>
            </w:pPr>
            <w:r w:rsidRPr="00EA7665">
              <w:rPr>
                <w:rFonts w:ascii="Arial" w:hAnsi="Arial" w:cs="Arial"/>
                <w:sz w:val="16"/>
                <w:szCs w:val="16"/>
              </w:rPr>
              <w:t>Determine how quickly the products are sold</w:t>
            </w:r>
          </w:p>
        </w:tc>
      </w:tr>
      <w:tr w:rsidR="00CD6352" w:rsidRPr="00EA7665" w14:paraId="2B510294" w14:textId="77777777" w:rsidTr="00CD6352">
        <w:tc>
          <w:tcPr>
            <w:tcW w:w="0" w:type="auto"/>
          </w:tcPr>
          <w:p w14:paraId="776B317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Mgr2</w:t>
            </w:r>
          </w:p>
        </w:tc>
        <w:tc>
          <w:tcPr>
            <w:tcW w:w="0" w:type="auto"/>
          </w:tcPr>
          <w:p w14:paraId="6656629F" w14:textId="77777777" w:rsidR="00CD6352" w:rsidRPr="00EA7665" w:rsidRDefault="00CD6352" w:rsidP="00C74AEC">
            <w:pPr>
              <w:pStyle w:val="ListParagraph"/>
              <w:numPr>
                <w:ilvl w:val="0"/>
                <w:numId w:val="63"/>
              </w:numPr>
              <w:spacing w:after="0" w:line="240" w:lineRule="auto"/>
              <w:jc w:val="both"/>
              <w:rPr>
                <w:rFonts w:ascii="Arial" w:hAnsi="Arial" w:cs="Arial"/>
                <w:sz w:val="16"/>
                <w:szCs w:val="16"/>
              </w:rPr>
            </w:pPr>
            <w:r w:rsidRPr="00EA7665">
              <w:rPr>
                <w:rFonts w:ascii="Arial" w:hAnsi="Arial" w:cs="Arial"/>
                <w:sz w:val="16"/>
                <w:szCs w:val="16"/>
              </w:rPr>
              <w:t>The manager prepares all the required analyses and documents</w:t>
            </w:r>
            <w:r>
              <w:rPr>
                <w:rFonts w:ascii="Arial" w:hAnsi="Arial" w:cs="Arial"/>
                <w:sz w:val="16"/>
                <w:szCs w:val="16"/>
              </w:rPr>
              <w:t xml:space="preserve"> and then</w:t>
            </w:r>
            <w:r w:rsidRPr="00EA7665">
              <w:rPr>
                <w:rFonts w:ascii="Arial" w:hAnsi="Arial" w:cs="Arial"/>
                <w:sz w:val="16"/>
                <w:szCs w:val="16"/>
              </w:rPr>
              <w:t xml:space="preserve"> </w:t>
            </w:r>
            <w:r>
              <w:rPr>
                <w:rFonts w:ascii="Arial" w:hAnsi="Arial" w:cs="Arial"/>
                <w:sz w:val="16"/>
                <w:szCs w:val="16"/>
              </w:rPr>
              <w:t>goes</w:t>
            </w:r>
            <w:r w:rsidRPr="00EA7665">
              <w:rPr>
                <w:rFonts w:ascii="Arial" w:hAnsi="Arial" w:cs="Arial"/>
                <w:sz w:val="16"/>
                <w:szCs w:val="16"/>
              </w:rPr>
              <w:t xml:space="preserve"> through the regulatory authorities to facilitate the bank approval process. </w:t>
            </w:r>
          </w:p>
          <w:p w14:paraId="1B126247" w14:textId="77777777" w:rsidR="00CD6352" w:rsidRPr="00EA7665" w:rsidRDefault="00CD6352" w:rsidP="00C74AEC">
            <w:pPr>
              <w:pStyle w:val="ListParagraph"/>
              <w:numPr>
                <w:ilvl w:val="0"/>
                <w:numId w:val="63"/>
              </w:numPr>
              <w:spacing w:after="0" w:line="240" w:lineRule="auto"/>
              <w:jc w:val="both"/>
              <w:rPr>
                <w:rFonts w:ascii="Arial" w:hAnsi="Arial" w:cs="Arial"/>
                <w:sz w:val="16"/>
                <w:szCs w:val="16"/>
              </w:rPr>
            </w:pPr>
            <w:r>
              <w:rPr>
                <w:rFonts w:ascii="Arial" w:hAnsi="Arial" w:cs="Arial"/>
                <w:sz w:val="16"/>
                <w:szCs w:val="16"/>
              </w:rPr>
              <w:t>Provide</w:t>
            </w:r>
            <w:r w:rsidRPr="00EA7665">
              <w:rPr>
                <w:rFonts w:ascii="Arial" w:hAnsi="Arial" w:cs="Arial"/>
                <w:sz w:val="16"/>
                <w:szCs w:val="16"/>
              </w:rPr>
              <w:t xml:space="preserve"> information on the repayment, projected revenue, and why the project is bankable.</w:t>
            </w:r>
          </w:p>
        </w:tc>
      </w:tr>
      <w:tr w:rsidR="00CD6352" w:rsidRPr="00EA7665" w14:paraId="7CFB38C9" w14:textId="77777777" w:rsidTr="00CD6352">
        <w:tc>
          <w:tcPr>
            <w:tcW w:w="0" w:type="auto"/>
          </w:tcPr>
          <w:p w14:paraId="5DDCB7D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Mgr3</w:t>
            </w:r>
          </w:p>
        </w:tc>
        <w:tc>
          <w:tcPr>
            <w:tcW w:w="0" w:type="auto"/>
          </w:tcPr>
          <w:p w14:paraId="778679CA" w14:textId="77777777" w:rsidR="00CD6352" w:rsidRPr="00EA7665" w:rsidRDefault="00CD6352" w:rsidP="00C74AEC">
            <w:pPr>
              <w:pStyle w:val="ListParagraph"/>
              <w:numPr>
                <w:ilvl w:val="0"/>
                <w:numId w:val="64"/>
              </w:numPr>
              <w:spacing w:after="0" w:line="240" w:lineRule="auto"/>
              <w:jc w:val="both"/>
              <w:rPr>
                <w:rFonts w:ascii="Arial" w:hAnsi="Arial" w:cs="Arial"/>
                <w:sz w:val="16"/>
                <w:szCs w:val="16"/>
              </w:rPr>
            </w:pPr>
            <w:r w:rsidRPr="00EA7665">
              <w:rPr>
                <w:rFonts w:ascii="Arial" w:hAnsi="Arial" w:cs="Arial"/>
                <w:sz w:val="16"/>
                <w:szCs w:val="16"/>
              </w:rPr>
              <w:t xml:space="preserve">Balancing of equity loan ratio for each investment </w:t>
            </w:r>
          </w:p>
        </w:tc>
      </w:tr>
      <w:tr w:rsidR="00CD6352" w:rsidRPr="00EA7665" w14:paraId="7D9E556C" w14:textId="77777777" w:rsidTr="00CD6352">
        <w:tc>
          <w:tcPr>
            <w:tcW w:w="0" w:type="auto"/>
          </w:tcPr>
          <w:p w14:paraId="4CBE61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Mgr4</w:t>
            </w:r>
          </w:p>
        </w:tc>
        <w:tc>
          <w:tcPr>
            <w:tcW w:w="0" w:type="auto"/>
          </w:tcPr>
          <w:p w14:paraId="3EA93D38" w14:textId="7A1B44C5" w:rsidR="00CD6352" w:rsidRPr="00EA7665" w:rsidRDefault="00CD6352" w:rsidP="00C74AEC">
            <w:pPr>
              <w:pStyle w:val="ListParagraph"/>
              <w:numPr>
                <w:ilvl w:val="0"/>
                <w:numId w:val="64"/>
              </w:numPr>
              <w:spacing w:after="0" w:line="240" w:lineRule="auto"/>
              <w:jc w:val="both"/>
              <w:rPr>
                <w:rFonts w:ascii="Arial" w:hAnsi="Arial" w:cs="Arial"/>
                <w:sz w:val="16"/>
                <w:szCs w:val="16"/>
              </w:rPr>
            </w:pPr>
            <w:r w:rsidRPr="00EA7665">
              <w:rPr>
                <w:rFonts w:ascii="Arial" w:hAnsi="Arial" w:cs="Arial"/>
                <w:sz w:val="16"/>
                <w:szCs w:val="16"/>
              </w:rPr>
              <w:t xml:space="preserve">In countries in which interest rates are </w:t>
            </w:r>
            <w:r w:rsidR="005C0F41" w:rsidRPr="00EA7665">
              <w:rPr>
                <w:rFonts w:ascii="Arial" w:hAnsi="Arial" w:cs="Arial"/>
                <w:sz w:val="16"/>
                <w:szCs w:val="16"/>
              </w:rPr>
              <w:t>cheaper, more</w:t>
            </w:r>
            <w:r w:rsidRPr="00EA7665">
              <w:rPr>
                <w:rFonts w:ascii="Arial" w:hAnsi="Arial" w:cs="Arial"/>
                <w:sz w:val="16"/>
                <w:szCs w:val="16"/>
              </w:rPr>
              <w:t xml:space="preserve"> leverage</w:t>
            </w:r>
            <w:r>
              <w:rPr>
                <w:rFonts w:ascii="Arial" w:hAnsi="Arial" w:cs="Arial"/>
                <w:sz w:val="16"/>
                <w:szCs w:val="16"/>
              </w:rPr>
              <w:t xml:space="preserve"> is used</w:t>
            </w:r>
          </w:p>
        </w:tc>
      </w:tr>
      <w:tr w:rsidR="00CD6352" w:rsidRPr="00EA7665" w14:paraId="1AE97C83" w14:textId="77777777" w:rsidTr="00CD6352">
        <w:tc>
          <w:tcPr>
            <w:tcW w:w="0" w:type="auto"/>
          </w:tcPr>
          <w:p w14:paraId="3E40066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Mgr5</w:t>
            </w:r>
          </w:p>
        </w:tc>
        <w:tc>
          <w:tcPr>
            <w:tcW w:w="0" w:type="auto"/>
          </w:tcPr>
          <w:p w14:paraId="39423BC4" w14:textId="77777777" w:rsidR="00CD6352" w:rsidRPr="00EA7665" w:rsidRDefault="00CD6352" w:rsidP="00C74AEC">
            <w:pPr>
              <w:pStyle w:val="ListParagraph"/>
              <w:numPr>
                <w:ilvl w:val="0"/>
                <w:numId w:val="64"/>
              </w:numPr>
              <w:spacing w:after="0" w:line="240" w:lineRule="auto"/>
              <w:jc w:val="both"/>
              <w:rPr>
                <w:rFonts w:ascii="Arial" w:hAnsi="Arial" w:cs="Arial"/>
                <w:sz w:val="16"/>
                <w:szCs w:val="16"/>
              </w:rPr>
            </w:pPr>
            <w:r w:rsidRPr="00EA7665">
              <w:rPr>
                <w:rFonts w:ascii="Arial" w:hAnsi="Arial" w:cs="Arial"/>
                <w:sz w:val="16"/>
                <w:szCs w:val="16"/>
              </w:rPr>
              <w:t>If we do not have sufficient equity in our latest fund (for example, if the fund is almost exhausted, then obtain more loans</w:t>
            </w:r>
            <w:r>
              <w:rPr>
                <w:rFonts w:ascii="Arial" w:hAnsi="Arial" w:cs="Arial"/>
                <w:sz w:val="16"/>
                <w:szCs w:val="16"/>
              </w:rPr>
              <w:t>)</w:t>
            </w:r>
          </w:p>
          <w:p w14:paraId="3CFB9755" w14:textId="77777777" w:rsidR="00CD6352" w:rsidRPr="00EA7665" w:rsidRDefault="00CD6352" w:rsidP="00CD6352">
            <w:pPr>
              <w:pStyle w:val="ListParagraph"/>
              <w:jc w:val="both"/>
              <w:rPr>
                <w:rFonts w:ascii="Arial" w:hAnsi="Arial" w:cs="Arial"/>
                <w:sz w:val="16"/>
                <w:szCs w:val="16"/>
              </w:rPr>
            </w:pPr>
          </w:p>
        </w:tc>
      </w:tr>
      <w:tr w:rsidR="00CD6352" w:rsidRPr="00EA7665" w14:paraId="1324530E" w14:textId="77777777" w:rsidTr="00CD6352">
        <w:trPr>
          <w:trHeight w:val="557"/>
        </w:trPr>
        <w:tc>
          <w:tcPr>
            <w:tcW w:w="0" w:type="auto"/>
          </w:tcPr>
          <w:p w14:paraId="0A5A5EE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Mgr6</w:t>
            </w:r>
          </w:p>
          <w:p w14:paraId="47F73E99" w14:textId="77777777" w:rsidR="00CD6352" w:rsidRPr="00EA7665" w:rsidRDefault="00CD6352" w:rsidP="00CD6352">
            <w:pPr>
              <w:jc w:val="both"/>
              <w:rPr>
                <w:rFonts w:ascii="Arial" w:hAnsi="Arial" w:cs="Arial"/>
                <w:sz w:val="16"/>
                <w:szCs w:val="16"/>
              </w:rPr>
            </w:pPr>
          </w:p>
        </w:tc>
        <w:tc>
          <w:tcPr>
            <w:tcW w:w="0" w:type="auto"/>
          </w:tcPr>
          <w:p w14:paraId="73295164" w14:textId="77777777" w:rsidR="00CD6352" w:rsidRPr="00EA7665" w:rsidRDefault="00CD6352" w:rsidP="00C74AEC">
            <w:pPr>
              <w:pStyle w:val="ListParagraph"/>
              <w:numPr>
                <w:ilvl w:val="0"/>
                <w:numId w:val="64"/>
              </w:numPr>
              <w:spacing w:after="0" w:line="240" w:lineRule="auto"/>
              <w:jc w:val="both"/>
              <w:rPr>
                <w:rFonts w:ascii="Arial" w:hAnsi="Arial" w:cs="Arial"/>
                <w:sz w:val="16"/>
                <w:szCs w:val="16"/>
              </w:rPr>
            </w:pPr>
            <w:r w:rsidRPr="00EA7665">
              <w:rPr>
                <w:rFonts w:ascii="Arial" w:hAnsi="Arial" w:cs="Arial"/>
                <w:sz w:val="16"/>
                <w:szCs w:val="16"/>
              </w:rPr>
              <w:t xml:space="preserve">Balancing equity and loan for each project </w:t>
            </w:r>
          </w:p>
        </w:tc>
      </w:tr>
      <w:tr w:rsidR="00CD6352" w:rsidRPr="00EA7665" w14:paraId="5B59DBF9" w14:textId="77777777" w:rsidTr="00CD6352">
        <w:trPr>
          <w:trHeight w:val="810"/>
        </w:trPr>
        <w:tc>
          <w:tcPr>
            <w:tcW w:w="0" w:type="auto"/>
          </w:tcPr>
          <w:p w14:paraId="7392FE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Mgr7</w:t>
            </w:r>
          </w:p>
        </w:tc>
        <w:tc>
          <w:tcPr>
            <w:tcW w:w="0" w:type="auto"/>
          </w:tcPr>
          <w:p w14:paraId="694B9953" w14:textId="077E655C" w:rsidR="00CD6352" w:rsidRPr="00EA7665" w:rsidRDefault="00CD6352" w:rsidP="00C74AEC">
            <w:pPr>
              <w:pStyle w:val="ListParagraph"/>
              <w:numPr>
                <w:ilvl w:val="0"/>
                <w:numId w:val="64"/>
              </w:numPr>
              <w:spacing w:after="0" w:line="240" w:lineRule="auto"/>
              <w:jc w:val="both"/>
              <w:rPr>
                <w:rFonts w:ascii="Arial" w:hAnsi="Arial" w:cs="Arial"/>
                <w:sz w:val="16"/>
                <w:szCs w:val="16"/>
              </w:rPr>
            </w:pPr>
            <w:r w:rsidRPr="00EA7665">
              <w:rPr>
                <w:rFonts w:ascii="Arial" w:hAnsi="Arial" w:cs="Arial"/>
                <w:sz w:val="16"/>
                <w:szCs w:val="16"/>
              </w:rPr>
              <w:t xml:space="preserve">initial screening with a preliminary view of the project returns and analysis of the market the project is located </w:t>
            </w:r>
            <w:r>
              <w:rPr>
                <w:rFonts w:ascii="Arial" w:hAnsi="Arial" w:cs="Arial"/>
                <w:sz w:val="16"/>
                <w:szCs w:val="16"/>
              </w:rPr>
              <w:t xml:space="preserve">in </w:t>
            </w:r>
            <w:r w:rsidRPr="00EA7665">
              <w:rPr>
                <w:rFonts w:ascii="Arial" w:hAnsi="Arial" w:cs="Arial"/>
                <w:sz w:val="16"/>
                <w:szCs w:val="16"/>
              </w:rPr>
              <w:t>is undertaken</w:t>
            </w:r>
          </w:p>
          <w:p w14:paraId="1445F878" w14:textId="6254FB8C" w:rsidR="00CD6352" w:rsidRPr="00EA7665" w:rsidRDefault="00CD6352" w:rsidP="00C74AEC">
            <w:pPr>
              <w:pStyle w:val="ListParagraph"/>
              <w:numPr>
                <w:ilvl w:val="0"/>
                <w:numId w:val="64"/>
              </w:numPr>
              <w:spacing w:after="0" w:line="240" w:lineRule="auto"/>
              <w:jc w:val="both"/>
              <w:rPr>
                <w:rFonts w:ascii="Arial" w:hAnsi="Arial" w:cs="Arial"/>
                <w:sz w:val="16"/>
                <w:szCs w:val="16"/>
              </w:rPr>
            </w:pPr>
            <w:r w:rsidRPr="00EA7665">
              <w:rPr>
                <w:rFonts w:ascii="Arial" w:hAnsi="Arial" w:cs="Arial"/>
                <w:sz w:val="16"/>
                <w:szCs w:val="16"/>
              </w:rPr>
              <w:t xml:space="preserve">prepare an update </w:t>
            </w:r>
            <w:r w:rsidR="000A089D">
              <w:rPr>
                <w:rFonts w:ascii="Arial" w:hAnsi="Arial" w:cs="Arial"/>
                <w:sz w:val="16"/>
                <w:szCs w:val="16"/>
              </w:rPr>
              <w:t>that</w:t>
            </w:r>
            <w:r w:rsidRPr="00EA7665">
              <w:rPr>
                <w:rFonts w:ascii="Arial" w:hAnsi="Arial" w:cs="Arial"/>
                <w:sz w:val="16"/>
                <w:szCs w:val="16"/>
              </w:rPr>
              <w:t xml:space="preserve"> outlines the critical governance terms with the partner as negotiated to date and the essential due diligence areas to be undertaken</w:t>
            </w:r>
          </w:p>
        </w:tc>
      </w:tr>
      <w:tr w:rsidR="00CD6352" w:rsidRPr="00EA7665" w14:paraId="3AB0BEC1" w14:textId="77777777" w:rsidTr="00CD6352">
        <w:tc>
          <w:tcPr>
            <w:tcW w:w="0" w:type="auto"/>
          </w:tcPr>
          <w:p w14:paraId="2158CB2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Mgr1</w:t>
            </w:r>
          </w:p>
        </w:tc>
        <w:tc>
          <w:tcPr>
            <w:tcW w:w="0" w:type="auto"/>
          </w:tcPr>
          <w:p w14:paraId="66758B8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Inspect the property and do a topography survey. You then negotiate and acquire the property</w:t>
            </w:r>
          </w:p>
          <w:p w14:paraId="46759786" w14:textId="6E3746FB"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Do a draft, i.e. comprehensive drawing by the Architect</w:t>
            </w:r>
            <w:r w:rsidR="00693BC7">
              <w:rPr>
                <w:rFonts w:ascii="Arial" w:hAnsi="Arial" w:cs="Arial"/>
                <w:sz w:val="16"/>
                <w:szCs w:val="16"/>
              </w:rPr>
              <w:t>,</w:t>
            </w:r>
            <w:r w:rsidRPr="00EA7665">
              <w:rPr>
                <w:rFonts w:ascii="Arial" w:hAnsi="Arial" w:cs="Arial"/>
                <w:sz w:val="16"/>
                <w:szCs w:val="16"/>
              </w:rPr>
              <w:t xml:space="preserve"> as it will show the layout of the property and the house type.</w:t>
            </w:r>
          </w:p>
          <w:p w14:paraId="2842CA58" w14:textId="170321E0"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You take the draft to the district officer</w:t>
            </w:r>
            <w:r w:rsidR="00693BC7">
              <w:rPr>
                <w:rFonts w:ascii="Arial" w:hAnsi="Arial" w:cs="Arial"/>
                <w:sz w:val="16"/>
                <w:szCs w:val="16"/>
              </w:rPr>
              <w:t>,</w:t>
            </w:r>
            <w:r w:rsidRPr="00EA7665">
              <w:rPr>
                <w:rFonts w:ascii="Arial" w:hAnsi="Arial" w:cs="Arial"/>
                <w:sz w:val="16"/>
                <w:szCs w:val="16"/>
              </w:rPr>
              <w:t xml:space="preserve"> who looks at the detailed land use and gives you feedback on what to build.</w:t>
            </w:r>
          </w:p>
          <w:p w14:paraId="25596391"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You then come up with a detailed work plan and bill of quantities to assist you in developing your price and market.</w:t>
            </w:r>
          </w:p>
          <w:p w14:paraId="714D8418" w14:textId="105288AA"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The drawing you submitted to the district </w:t>
            </w:r>
            <w:r w:rsidR="00693BC7">
              <w:rPr>
                <w:rFonts w:ascii="Arial" w:hAnsi="Arial" w:cs="Arial"/>
                <w:sz w:val="16"/>
                <w:szCs w:val="16"/>
              </w:rPr>
              <w:t>O</w:t>
            </w:r>
            <w:r w:rsidRPr="00EA7665">
              <w:rPr>
                <w:rFonts w:ascii="Arial" w:hAnsi="Arial" w:cs="Arial"/>
                <w:sz w:val="16"/>
                <w:szCs w:val="16"/>
              </w:rPr>
              <w:t xml:space="preserve">fficer will be stamped and given to you with a cover letter as approval </w:t>
            </w:r>
          </w:p>
          <w:p w14:paraId="45D1856E"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Develop an OPM (other people’s money) after acquiring the site for mass housing.</w:t>
            </w:r>
          </w:p>
          <w:p w14:paraId="11F8986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Get approval for development plan</w:t>
            </w:r>
          </w:p>
          <w:p w14:paraId="08FBF0F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Put the project in the market for buyers</w:t>
            </w:r>
          </w:p>
          <w:p w14:paraId="445871D3"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Commence project with funds from those interested in the off-plan sales</w:t>
            </w:r>
          </w:p>
          <w:p w14:paraId="10137EA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Buyers can finish off the project for themselves or mandate you to finish it. </w:t>
            </w:r>
          </w:p>
          <w:p w14:paraId="56EF7036"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Determine the type of property you want and the class of location.</w:t>
            </w:r>
          </w:p>
        </w:tc>
      </w:tr>
      <w:tr w:rsidR="00CD6352" w:rsidRPr="00EA7665" w14:paraId="688EB945" w14:textId="77777777" w:rsidTr="00CD6352">
        <w:tc>
          <w:tcPr>
            <w:tcW w:w="0" w:type="auto"/>
          </w:tcPr>
          <w:p w14:paraId="2992C49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Mgr2</w:t>
            </w:r>
          </w:p>
        </w:tc>
        <w:tc>
          <w:tcPr>
            <w:tcW w:w="0" w:type="auto"/>
          </w:tcPr>
          <w:p w14:paraId="7E8D6DF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Do some due diligence.</w:t>
            </w:r>
          </w:p>
          <w:p w14:paraId="12C14A2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Take prospective investors to the site.</w:t>
            </w:r>
          </w:p>
          <w:p w14:paraId="1C472392"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source of funding</w:t>
            </w:r>
          </w:p>
          <w:p w14:paraId="702C6A9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Negotiate and see the impact on your bottom line</w:t>
            </w:r>
          </w:p>
          <w:p w14:paraId="7302C2F4"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Consummate the transaction </w:t>
            </w:r>
          </w:p>
          <w:p w14:paraId="4BFDF437"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Understand the payback rates and determine the profitability of the project.</w:t>
            </w:r>
          </w:p>
        </w:tc>
      </w:tr>
      <w:tr w:rsidR="00CD6352" w:rsidRPr="00EA7665" w14:paraId="1BF38E85" w14:textId="77777777" w:rsidTr="00CD6352">
        <w:tc>
          <w:tcPr>
            <w:tcW w:w="0" w:type="auto"/>
          </w:tcPr>
          <w:p w14:paraId="46667D5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Nigeria Mgr3</w:t>
            </w:r>
          </w:p>
        </w:tc>
        <w:tc>
          <w:tcPr>
            <w:tcW w:w="0" w:type="auto"/>
          </w:tcPr>
          <w:p w14:paraId="64E3FE79"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Architect does a feasibility study</w:t>
            </w:r>
          </w:p>
          <w:p w14:paraId="19A64FCF"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Architect draws the number of houses for the project and makes submissions to the local authority</w:t>
            </w:r>
          </w:p>
          <w:p w14:paraId="1C50889A"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business manager  does the financials</w:t>
            </w:r>
          </w:p>
          <w:p w14:paraId="58952B99"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A proposal is drafted and presented to the financier</w:t>
            </w:r>
          </w:p>
          <w:p w14:paraId="6DB67A8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Government officials visit the plot and investigate to ensure things work out with the master plan. </w:t>
            </w:r>
          </w:p>
          <w:p w14:paraId="0C866C40"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Government approval is secured</w:t>
            </w:r>
          </w:p>
        </w:tc>
      </w:tr>
      <w:tr w:rsidR="00CD6352" w:rsidRPr="00EA7665" w14:paraId="5DB723A2" w14:textId="77777777" w:rsidTr="00CD6352">
        <w:tc>
          <w:tcPr>
            <w:tcW w:w="0" w:type="auto"/>
          </w:tcPr>
          <w:p w14:paraId="69AF51C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Mgr4</w:t>
            </w:r>
          </w:p>
        </w:tc>
        <w:tc>
          <w:tcPr>
            <w:tcW w:w="0" w:type="auto"/>
          </w:tcPr>
          <w:p w14:paraId="05E1AB8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Write a business plan</w:t>
            </w:r>
          </w:p>
          <w:p w14:paraId="3D7EC252"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Convince private individuals and people with ideal funds</w:t>
            </w:r>
          </w:p>
          <w:p w14:paraId="42F1A0E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Off takers are secured for the project, and this will ensure there are people to take up the project after building.</w:t>
            </w:r>
          </w:p>
          <w:p w14:paraId="4AB77578" w14:textId="120037A2"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The banks </w:t>
            </w:r>
            <w:r w:rsidR="005C0F41" w:rsidRPr="00EA7665">
              <w:rPr>
                <w:rFonts w:ascii="Arial" w:hAnsi="Arial" w:cs="Arial"/>
                <w:sz w:val="16"/>
                <w:szCs w:val="16"/>
              </w:rPr>
              <w:t>are contacted</w:t>
            </w:r>
            <w:r w:rsidRPr="00EA7665">
              <w:rPr>
                <w:rFonts w:ascii="Arial" w:hAnsi="Arial" w:cs="Arial"/>
                <w:sz w:val="16"/>
                <w:szCs w:val="16"/>
              </w:rPr>
              <w:t xml:space="preserve"> to fund about 20% of the project</w:t>
            </w:r>
          </w:p>
          <w:p w14:paraId="7B226078" w14:textId="374D0986"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The </w:t>
            </w:r>
            <w:r w:rsidR="005C0F41" w:rsidRPr="00EA7665">
              <w:rPr>
                <w:rFonts w:ascii="Arial" w:hAnsi="Arial" w:cs="Arial"/>
                <w:sz w:val="16"/>
                <w:szCs w:val="16"/>
              </w:rPr>
              <w:t>off</w:t>
            </w:r>
            <w:r w:rsidR="000A089D">
              <w:rPr>
                <w:rFonts w:ascii="Arial" w:hAnsi="Arial" w:cs="Arial"/>
                <w:sz w:val="16"/>
                <w:szCs w:val="16"/>
              </w:rPr>
              <w:t>-</w:t>
            </w:r>
            <w:r w:rsidR="005C0F41" w:rsidRPr="00EA7665">
              <w:rPr>
                <w:rFonts w:ascii="Arial" w:hAnsi="Arial" w:cs="Arial"/>
                <w:sz w:val="16"/>
                <w:szCs w:val="16"/>
              </w:rPr>
              <w:t>takers</w:t>
            </w:r>
            <w:r w:rsidRPr="00EA7665">
              <w:rPr>
                <w:rFonts w:ascii="Arial" w:hAnsi="Arial" w:cs="Arial"/>
                <w:sz w:val="16"/>
                <w:szCs w:val="16"/>
              </w:rPr>
              <w:t xml:space="preserve"> make a down payment of 50%.</w:t>
            </w:r>
          </w:p>
          <w:p w14:paraId="70DBE0AA" w14:textId="05B5C130"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bank loans are paid</w:t>
            </w:r>
            <w:r w:rsidR="00323227">
              <w:rPr>
                <w:rFonts w:ascii="Arial" w:hAnsi="Arial" w:cs="Arial"/>
                <w:sz w:val="16"/>
                <w:szCs w:val="16"/>
              </w:rPr>
              <w:t xml:space="preserve"> </w:t>
            </w:r>
            <w:r w:rsidRPr="00EA7665">
              <w:rPr>
                <w:rFonts w:ascii="Arial" w:hAnsi="Arial" w:cs="Arial"/>
                <w:sz w:val="16"/>
                <w:szCs w:val="16"/>
              </w:rPr>
              <w:t>off after the off-takers make about 30% down payment.</w:t>
            </w:r>
          </w:p>
          <w:p w14:paraId="3E46CA6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100% per cent of building materials are collected based on an initial payment of 40% from the vendors with a post</w:t>
            </w:r>
            <w:r>
              <w:rPr>
                <w:rFonts w:ascii="Arial" w:hAnsi="Arial" w:cs="Arial"/>
                <w:sz w:val="16"/>
                <w:szCs w:val="16"/>
              </w:rPr>
              <w:t>-dated</w:t>
            </w:r>
            <w:r w:rsidRPr="00EA7665">
              <w:rPr>
                <w:rFonts w:ascii="Arial" w:hAnsi="Arial" w:cs="Arial"/>
                <w:sz w:val="16"/>
                <w:szCs w:val="16"/>
              </w:rPr>
              <w:t xml:space="preserve"> cheque for the balance and a written agreement. </w:t>
            </w:r>
          </w:p>
          <w:p w14:paraId="3CCE9F04" w14:textId="77777777" w:rsidR="00CD6352" w:rsidRPr="002C286C" w:rsidRDefault="00CD6352" w:rsidP="00C74AEC">
            <w:pPr>
              <w:pStyle w:val="ListParagraph"/>
              <w:numPr>
                <w:ilvl w:val="0"/>
                <w:numId w:val="31"/>
              </w:numPr>
              <w:spacing w:after="0" w:line="240" w:lineRule="auto"/>
              <w:jc w:val="both"/>
              <w:rPr>
                <w:rFonts w:ascii="Arial" w:hAnsi="Arial" w:cs="Arial"/>
                <w:sz w:val="16"/>
                <w:szCs w:val="16"/>
              </w:rPr>
            </w:pPr>
            <w:r w:rsidRPr="002C286C">
              <w:rPr>
                <w:rFonts w:ascii="Arial" w:hAnsi="Arial" w:cs="Arial"/>
                <w:sz w:val="16"/>
                <w:szCs w:val="16"/>
              </w:rPr>
              <w:t>The building materials vendors get the balance of their payment after full payment from the off-takers</w:t>
            </w:r>
          </w:p>
        </w:tc>
      </w:tr>
      <w:tr w:rsidR="00CD6352" w:rsidRPr="00EA7665" w14:paraId="5E2E540C" w14:textId="77777777" w:rsidTr="00CD6352">
        <w:tc>
          <w:tcPr>
            <w:tcW w:w="0" w:type="auto"/>
          </w:tcPr>
          <w:p w14:paraId="55DEED1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Mgr5</w:t>
            </w:r>
          </w:p>
        </w:tc>
        <w:tc>
          <w:tcPr>
            <w:tcW w:w="0" w:type="auto"/>
          </w:tcPr>
          <w:p w14:paraId="643B8DF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prospective buyers of the project to be developed</w:t>
            </w:r>
          </w:p>
          <w:p w14:paraId="5BC2E093"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payback period</w:t>
            </w:r>
          </w:p>
        </w:tc>
      </w:tr>
      <w:tr w:rsidR="00CD6352" w:rsidRPr="00EA7665" w14:paraId="02888566" w14:textId="77777777" w:rsidTr="00CD6352">
        <w:tc>
          <w:tcPr>
            <w:tcW w:w="0" w:type="auto"/>
          </w:tcPr>
          <w:p w14:paraId="325B38B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 6</w:t>
            </w:r>
          </w:p>
        </w:tc>
        <w:tc>
          <w:tcPr>
            <w:tcW w:w="0" w:type="auto"/>
          </w:tcPr>
          <w:p w14:paraId="709C5F1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Find a project site or location</w:t>
            </w:r>
          </w:p>
          <w:p w14:paraId="39F994B5"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feasibility and viability of the project</w:t>
            </w:r>
          </w:p>
          <w:p w14:paraId="36CAAE02"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Do an appraisal to determine the units of housing to be developed </w:t>
            </w:r>
          </w:p>
          <w:p w14:paraId="18825CC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income through sales or letting of the project</w:t>
            </w:r>
          </w:p>
          <w:p w14:paraId="5C2E97F5"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Determine the skills set that will be needed</w:t>
            </w:r>
          </w:p>
        </w:tc>
      </w:tr>
      <w:tr w:rsidR="00CD6352" w:rsidRPr="00EA7665" w14:paraId="1B2C4B30" w14:textId="77777777" w:rsidTr="00CD6352">
        <w:tc>
          <w:tcPr>
            <w:tcW w:w="0" w:type="auto"/>
          </w:tcPr>
          <w:p w14:paraId="4A72430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 1</w:t>
            </w:r>
          </w:p>
        </w:tc>
        <w:tc>
          <w:tcPr>
            <w:tcW w:w="0" w:type="auto"/>
          </w:tcPr>
          <w:p w14:paraId="1C82BE3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market and prospective tenants through market studies</w:t>
            </w:r>
          </w:p>
          <w:p w14:paraId="5EC702F7"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Your market studies will show the viability of the project</w:t>
            </w:r>
          </w:p>
          <w:p w14:paraId="13C99B2B"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Determine the lease profile</w:t>
            </w:r>
          </w:p>
          <w:p w14:paraId="38528781" w14:textId="595CCE9E"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 xml:space="preserve">Determine the credit risks of the prospective tenant to be sure they will not go </w:t>
            </w:r>
            <w:r w:rsidR="005C0F41">
              <w:rPr>
                <w:rFonts w:ascii="Arial" w:hAnsi="Arial" w:cs="Arial"/>
                <w:sz w:val="16"/>
                <w:szCs w:val="16"/>
              </w:rPr>
              <w:t xml:space="preserve">bust </w:t>
            </w:r>
            <w:r w:rsidR="005C0F41" w:rsidRPr="00EA7665">
              <w:rPr>
                <w:rFonts w:ascii="Arial" w:hAnsi="Arial" w:cs="Arial"/>
                <w:sz w:val="16"/>
                <w:szCs w:val="16"/>
              </w:rPr>
              <w:t>before</w:t>
            </w:r>
            <w:r w:rsidRPr="00EA7665">
              <w:rPr>
                <w:rFonts w:ascii="Arial" w:hAnsi="Arial" w:cs="Arial"/>
                <w:sz w:val="16"/>
                <w:szCs w:val="16"/>
              </w:rPr>
              <w:t xml:space="preserve"> full repayment</w:t>
            </w:r>
          </w:p>
          <w:p w14:paraId="51253342"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Determine what it will cost to develop the project</w:t>
            </w:r>
          </w:p>
        </w:tc>
      </w:tr>
      <w:tr w:rsidR="00CD6352" w:rsidRPr="00EA7665" w14:paraId="68E35D8A" w14:textId="77777777" w:rsidTr="00CD6352">
        <w:tc>
          <w:tcPr>
            <w:tcW w:w="0" w:type="auto"/>
          </w:tcPr>
          <w:p w14:paraId="0D4D2C9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Mgr2</w:t>
            </w:r>
          </w:p>
        </w:tc>
        <w:tc>
          <w:tcPr>
            <w:tcW w:w="0" w:type="auto"/>
          </w:tcPr>
          <w:p w14:paraId="64B50AAD"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Conduct a feasibility study</w:t>
            </w:r>
          </w:p>
          <w:p w14:paraId="10677CEC"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Provide equity contribution</w:t>
            </w:r>
          </w:p>
          <w:p w14:paraId="6D3016B0"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Request funding from the commercial bank</w:t>
            </w:r>
          </w:p>
        </w:tc>
      </w:tr>
      <w:tr w:rsidR="00CD6352" w:rsidRPr="00EA7665" w14:paraId="3170203C" w14:textId="77777777" w:rsidTr="00CD6352">
        <w:tc>
          <w:tcPr>
            <w:tcW w:w="0" w:type="auto"/>
          </w:tcPr>
          <w:p w14:paraId="75885DD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Mgr3</w:t>
            </w:r>
          </w:p>
        </w:tc>
        <w:tc>
          <w:tcPr>
            <w:tcW w:w="0" w:type="auto"/>
          </w:tcPr>
          <w:p w14:paraId="0B859BE3"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The manager makes decisions about the prospective project location</w:t>
            </w:r>
          </w:p>
          <w:p w14:paraId="1FBA1AB9" w14:textId="77777777" w:rsidR="00CD6352" w:rsidRPr="00EA7665" w:rsidRDefault="00CD6352" w:rsidP="00C74AEC">
            <w:pPr>
              <w:numPr>
                <w:ilvl w:val="0"/>
                <w:numId w:val="31"/>
              </w:numPr>
              <w:spacing w:after="0" w:line="240" w:lineRule="auto"/>
              <w:jc w:val="both"/>
              <w:rPr>
                <w:rFonts w:ascii="Arial" w:hAnsi="Arial" w:cs="Arial"/>
                <w:sz w:val="16"/>
                <w:szCs w:val="16"/>
              </w:rPr>
            </w:pPr>
            <w:r w:rsidRPr="00EA7665">
              <w:rPr>
                <w:rFonts w:ascii="Arial" w:hAnsi="Arial" w:cs="Arial"/>
                <w:sz w:val="16"/>
                <w:szCs w:val="16"/>
              </w:rPr>
              <w:t>When the land is identified, the Architects and other professionals will determine the viability by doing a risk analysis.</w:t>
            </w:r>
          </w:p>
          <w:p w14:paraId="419FFB15"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Once the viability is determined, and the cost is established; the details will be made available to management for approval and the right funds are gotten for the acquisition.</w:t>
            </w:r>
          </w:p>
        </w:tc>
      </w:tr>
      <w:tr w:rsidR="00CD6352" w:rsidRPr="00EA7665" w14:paraId="444BBB27" w14:textId="77777777" w:rsidTr="00CD6352">
        <w:tc>
          <w:tcPr>
            <w:tcW w:w="0" w:type="auto"/>
          </w:tcPr>
          <w:p w14:paraId="35915BD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Mgr4</w:t>
            </w:r>
          </w:p>
        </w:tc>
        <w:tc>
          <w:tcPr>
            <w:tcW w:w="0" w:type="auto"/>
          </w:tcPr>
          <w:p w14:paraId="247D09DE"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Determine the type of development that you want to construct</w:t>
            </w:r>
          </w:p>
          <w:p w14:paraId="6BF05D6A"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Conduct a feasibility study or market study which deals with both locational, geographical, type and size of the project</w:t>
            </w:r>
          </w:p>
          <w:p w14:paraId="7F3CAE8E"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Understanding of the market, the product and the location where the product is to be delivered</w:t>
            </w:r>
          </w:p>
          <w:p w14:paraId="560171F3"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Determine if there is a market for a particular product</w:t>
            </w:r>
          </w:p>
          <w:p w14:paraId="107D5491"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Test the viability of the market by doing some advertisement and talking with prospective tenants</w:t>
            </w:r>
          </w:p>
          <w:p w14:paraId="3321F79F"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Ensure that the funders are available in the market </w:t>
            </w:r>
          </w:p>
          <w:p w14:paraId="39256A66"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Secure the funds and undertake the construction</w:t>
            </w:r>
          </w:p>
          <w:p w14:paraId="6B6FAA83" w14:textId="4F3ED664"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Develop the ability to understand the location because </w:t>
            </w:r>
            <w:r w:rsidR="00062EE7" w:rsidRPr="00EA7665">
              <w:rPr>
                <w:rFonts w:ascii="Arial" w:hAnsi="Arial" w:cs="Arial"/>
                <w:sz w:val="16"/>
                <w:szCs w:val="16"/>
              </w:rPr>
              <w:t>financiers are</w:t>
            </w:r>
            <w:r w:rsidRPr="00EA7665">
              <w:rPr>
                <w:rFonts w:ascii="Arial" w:hAnsi="Arial" w:cs="Arial"/>
                <w:sz w:val="16"/>
                <w:szCs w:val="16"/>
              </w:rPr>
              <w:t xml:space="preserve"> very particular about the location </w:t>
            </w:r>
          </w:p>
          <w:p w14:paraId="35ED4D2A"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 xml:space="preserve">Understand the different financiers for different types of real estate projects </w:t>
            </w:r>
          </w:p>
          <w:p w14:paraId="6BB61B8C" w14:textId="77777777" w:rsidR="00CD6352" w:rsidRPr="00EA7665" w:rsidRDefault="00CD6352" w:rsidP="00C74AEC">
            <w:pPr>
              <w:numPr>
                <w:ilvl w:val="0"/>
                <w:numId w:val="30"/>
              </w:numPr>
              <w:spacing w:after="0" w:line="240" w:lineRule="auto"/>
              <w:jc w:val="both"/>
              <w:rPr>
                <w:rFonts w:ascii="Arial" w:hAnsi="Arial" w:cs="Arial"/>
                <w:sz w:val="16"/>
                <w:szCs w:val="16"/>
              </w:rPr>
            </w:pPr>
            <w:r w:rsidRPr="00EA7665">
              <w:rPr>
                <w:rFonts w:ascii="Arial" w:hAnsi="Arial" w:cs="Arial"/>
                <w:sz w:val="16"/>
                <w:szCs w:val="16"/>
              </w:rPr>
              <w:t>Look for the pre-sale tenant and pre-sale owners</w:t>
            </w:r>
          </w:p>
        </w:tc>
      </w:tr>
    </w:tbl>
    <w:p w14:paraId="28579339" w14:textId="77777777" w:rsidR="00CD6352" w:rsidRPr="00EA7665" w:rsidRDefault="00CD6352" w:rsidP="00CD6352">
      <w:pPr>
        <w:spacing w:line="360" w:lineRule="auto"/>
        <w:jc w:val="both"/>
        <w:rPr>
          <w:rFonts w:ascii="Arial" w:hAnsi="Arial" w:cs="Arial"/>
        </w:rPr>
      </w:pPr>
    </w:p>
    <w:p w14:paraId="42B7B332" w14:textId="17838ACE" w:rsidR="00CD6352" w:rsidRDefault="00CD6352" w:rsidP="00CD6352">
      <w:pPr>
        <w:spacing w:before="240" w:line="360" w:lineRule="auto"/>
        <w:rPr>
          <w:rFonts w:ascii="Arial" w:hAnsi="Arial" w:cs="Arial"/>
        </w:rPr>
      </w:pPr>
      <w:r w:rsidRPr="00EA7665">
        <w:rPr>
          <w:rFonts w:ascii="Arial" w:hAnsi="Arial" w:cs="Arial"/>
        </w:rPr>
        <w:t>The finding from the interviews creates a</w:t>
      </w:r>
      <w:r w:rsidR="00F40A79">
        <w:rPr>
          <w:rFonts w:ascii="Arial" w:hAnsi="Arial" w:cs="Arial"/>
        </w:rPr>
        <w:t>n enhanced</w:t>
      </w:r>
      <w:r w:rsidRPr="00EA7665">
        <w:rPr>
          <w:rFonts w:ascii="Arial" w:hAnsi="Arial" w:cs="Arial"/>
        </w:rPr>
        <w:t xml:space="preserve"> understanding </w:t>
      </w:r>
      <w:r w:rsidR="00F40A79">
        <w:rPr>
          <w:rFonts w:ascii="Arial" w:hAnsi="Arial" w:cs="Arial"/>
        </w:rPr>
        <w:t xml:space="preserve">of </w:t>
      </w:r>
      <w:r w:rsidR="00F40A79" w:rsidRPr="00EA7665">
        <w:rPr>
          <w:rFonts w:ascii="Arial" w:hAnsi="Arial" w:cs="Arial"/>
        </w:rPr>
        <w:t>the</w:t>
      </w:r>
      <w:r w:rsidRPr="00EA7665">
        <w:rPr>
          <w:rFonts w:ascii="Arial" w:hAnsi="Arial" w:cs="Arial"/>
        </w:rPr>
        <w:t xml:space="preserve"> findings from the survey questionnaire</w:t>
      </w:r>
      <w:r w:rsidR="00E65A0B">
        <w:rPr>
          <w:rFonts w:ascii="Arial" w:hAnsi="Arial" w:cs="Arial"/>
        </w:rPr>
        <w:t>,</w:t>
      </w:r>
      <w:r>
        <w:rPr>
          <w:rFonts w:ascii="Arial" w:hAnsi="Arial" w:cs="Arial"/>
        </w:rPr>
        <w:t xml:space="preserve"> and it provides </w:t>
      </w:r>
      <w:r w:rsidR="00F40A79">
        <w:rPr>
          <w:rFonts w:ascii="Arial" w:hAnsi="Arial" w:cs="Arial"/>
        </w:rPr>
        <w:t>greater</w:t>
      </w:r>
      <w:r>
        <w:rPr>
          <w:rFonts w:ascii="Arial" w:hAnsi="Arial" w:cs="Arial"/>
        </w:rPr>
        <w:t xml:space="preserve"> depth. However, the interview</w:t>
      </w:r>
      <w:r w:rsidR="00993503">
        <w:rPr>
          <w:rFonts w:ascii="Arial" w:hAnsi="Arial" w:cs="Arial"/>
        </w:rPr>
        <w:t>s</w:t>
      </w:r>
      <w:r>
        <w:rPr>
          <w:rFonts w:ascii="Arial" w:hAnsi="Arial" w:cs="Arial"/>
        </w:rPr>
        <w:t xml:space="preserve"> also show that there are no formal or </w:t>
      </w:r>
      <w:r w:rsidR="00062EE7">
        <w:rPr>
          <w:rFonts w:ascii="Arial" w:hAnsi="Arial" w:cs="Arial"/>
        </w:rPr>
        <w:t>uniform decisions</w:t>
      </w:r>
      <w:r>
        <w:rPr>
          <w:rFonts w:ascii="Arial" w:hAnsi="Arial" w:cs="Arial"/>
        </w:rPr>
        <w:t xml:space="preserve"> and processes used by managers in securing finance for real estate project development. The individual </w:t>
      </w:r>
      <w:r w:rsidR="00062EE7">
        <w:rPr>
          <w:rFonts w:ascii="Arial" w:hAnsi="Arial" w:cs="Arial"/>
        </w:rPr>
        <w:t>decision-making</w:t>
      </w:r>
      <w:r>
        <w:rPr>
          <w:rFonts w:ascii="Arial" w:hAnsi="Arial" w:cs="Arial"/>
        </w:rPr>
        <w:t xml:space="preserve"> processes are similar but not </w:t>
      </w:r>
      <w:r w:rsidR="00062EE7">
        <w:rPr>
          <w:rFonts w:ascii="Arial" w:hAnsi="Arial" w:cs="Arial"/>
        </w:rPr>
        <w:t>necessarily in</w:t>
      </w:r>
      <w:r>
        <w:rPr>
          <w:rFonts w:ascii="Arial" w:hAnsi="Arial" w:cs="Arial"/>
        </w:rPr>
        <w:t xml:space="preserve"> the same order. </w:t>
      </w:r>
      <w:r w:rsidR="00993503">
        <w:rPr>
          <w:rFonts w:ascii="Arial" w:hAnsi="Arial" w:cs="Arial"/>
        </w:rPr>
        <w:t>T</w:t>
      </w:r>
      <w:r w:rsidR="00F40A79">
        <w:rPr>
          <w:rFonts w:ascii="Arial" w:hAnsi="Arial" w:cs="Arial"/>
        </w:rPr>
        <w:t xml:space="preserve">he responses for both the interviews and questionnaire survey reflects the composition of </w:t>
      </w:r>
      <w:r w:rsidR="000A089D">
        <w:rPr>
          <w:rFonts w:ascii="Arial" w:hAnsi="Arial" w:cs="Arial"/>
        </w:rPr>
        <w:t xml:space="preserve">the </w:t>
      </w:r>
      <w:r w:rsidR="00F40A79">
        <w:rPr>
          <w:rFonts w:ascii="Arial" w:hAnsi="Arial" w:cs="Arial"/>
        </w:rPr>
        <w:t xml:space="preserve">RIBA 2020 Plan of work. However, it does not follow the stages of RIBA 2020 in strict order as </w:t>
      </w:r>
      <w:r w:rsidR="00993503">
        <w:rPr>
          <w:rFonts w:ascii="Arial" w:hAnsi="Arial" w:cs="Arial"/>
        </w:rPr>
        <w:t>many of the functions overlap</w:t>
      </w:r>
      <w:r w:rsidR="00F40A79">
        <w:rPr>
          <w:rFonts w:ascii="Arial" w:hAnsi="Arial" w:cs="Arial"/>
        </w:rPr>
        <w:t>.</w:t>
      </w:r>
    </w:p>
    <w:p w14:paraId="1C625591" w14:textId="0DD8124C" w:rsidR="00CD6352" w:rsidRDefault="00CD6352" w:rsidP="00CD6352">
      <w:pPr>
        <w:spacing w:line="360" w:lineRule="auto"/>
        <w:rPr>
          <w:rFonts w:ascii="Arial" w:hAnsi="Arial" w:cs="Arial"/>
        </w:rPr>
      </w:pPr>
      <w:r>
        <w:rPr>
          <w:rFonts w:ascii="Arial" w:hAnsi="Arial" w:cs="Arial"/>
        </w:rPr>
        <w:t xml:space="preserve">Both the interviews and the questionnaire surveys </w:t>
      </w:r>
      <w:r w:rsidR="00062EE7">
        <w:rPr>
          <w:rFonts w:ascii="Arial" w:hAnsi="Arial" w:cs="Arial"/>
        </w:rPr>
        <w:t>bring out</w:t>
      </w:r>
      <w:r>
        <w:rPr>
          <w:rFonts w:ascii="Arial" w:hAnsi="Arial" w:cs="Arial"/>
        </w:rPr>
        <w:t xml:space="preserve"> elements on </w:t>
      </w:r>
      <w:r w:rsidR="000A089D">
        <w:rPr>
          <w:rFonts w:ascii="Arial" w:hAnsi="Arial" w:cs="Arial"/>
        </w:rPr>
        <w:t xml:space="preserve">a </w:t>
      </w:r>
      <w:r>
        <w:rPr>
          <w:rFonts w:ascii="Arial" w:hAnsi="Arial" w:cs="Arial"/>
        </w:rPr>
        <w:t xml:space="preserve">strategic definition, commercial and technical feasibility, relationship with financiers and all the basic elements necessary for securing finance for real estate project development. </w:t>
      </w:r>
      <w:r w:rsidR="00CD7A6D">
        <w:rPr>
          <w:rFonts w:ascii="Arial" w:hAnsi="Arial" w:cs="Arial"/>
        </w:rPr>
        <w:t>H</w:t>
      </w:r>
      <w:r>
        <w:rPr>
          <w:rFonts w:ascii="Arial" w:hAnsi="Arial" w:cs="Arial"/>
        </w:rPr>
        <w:t>owever</w:t>
      </w:r>
      <w:r w:rsidR="00CD7A6D">
        <w:rPr>
          <w:rFonts w:ascii="Arial" w:hAnsi="Arial" w:cs="Arial"/>
        </w:rPr>
        <w:t>,</w:t>
      </w:r>
      <w:r>
        <w:rPr>
          <w:rFonts w:ascii="Arial" w:hAnsi="Arial" w:cs="Arial"/>
        </w:rPr>
        <w:t xml:space="preserve"> </w:t>
      </w:r>
      <w:r w:rsidR="00CD7A6D" w:rsidRPr="00CD7A6D">
        <w:rPr>
          <w:rFonts w:ascii="Arial" w:hAnsi="Arial" w:cs="Arial"/>
        </w:rPr>
        <w:t xml:space="preserve">It </w:t>
      </w:r>
      <w:r>
        <w:rPr>
          <w:rFonts w:ascii="Arial" w:hAnsi="Arial" w:cs="Arial"/>
        </w:rPr>
        <w:lastRenderedPageBreak/>
        <w:t>does not provide a clear structure of the processes and decisions.</w:t>
      </w:r>
      <w:r w:rsidR="00A01E6C">
        <w:rPr>
          <w:rFonts w:ascii="Arial" w:hAnsi="Arial" w:cs="Arial"/>
        </w:rPr>
        <w:t xml:space="preserve"> Consequently, this study provides a framework (process map) </w:t>
      </w:r>
      <w:r w:rsidR="000A089D">
        <w:rPr>
          <w:rFonts w:ascii="Arial" w:hAnsi="Arial" w:cs="Arial"/>
        </w:rPr>
        <w:t>that</w:t>
      </w:r>
      <w:r w:rsidR="00A01E6C">
        <w:rPr>
          <w:rFonts w:ascii="Arial" w:hAnsi="Arial" w:cs="Arial"/>
        </w:rPr>
        <w:t xml:space="preserve"> would give a practical guide for both managers and educators on securing finance for real estate project developme</w:t>
      </w:r>
      <w:r w:rsidR="00A01E6C" w:rsidRPr="001F3B25">
        <w:rPr>
          <w:rFonts w:ascii="Arial" w:hAnsi="Arial" w:cs="Arial"/>
        </w:rPr>
        <w:t>nt ( see</w:t>
      </w:r>
      <w:r w:rsidR="001F3B25">
        <w:rPr>
          <w:rFonts w:ascii="Arial" w:hAnsi="Arial" w:cs="Arial"/>
        </w:rPr>
        <w:t xml:space="preserve"> chapter 7.5).</w:t>
      </w:r>
    </w:p>
    <w:p w14:paraId="03794B56" w14:textId="77777777" w:rsidR="00CD6352" w:rsidRPr="00EA7665" w:rsidRDefault="00CD6352" w:rsidP="00CD6352">
      <w:pPr>
        <w:rPr>
          <w:rFonts w:ascii="Arial" w:hAnsi="Arial" w:cs="Arial"/>
        </w:rPr>
      </w:pPr>
      <w:r w:rsidRPr="00EA7665">
        <w:rPr>
          <w:rFonts w:ascii="Arial" w:hAnsi="Arial" w:cs="Arial"/>
        </w:rPr>
        <w:t xml:space="preserve"> </w:t>
      </w:r>
    </w:p>
    <w:p w14:paraId="5F4BC36F" w14:textId="699386C9" w:rsidR="00CD6352" w:rsidRPr="00B54B4A" w:rsidRDefault="00CD6352" w:rsidP="00CD6352">
      <w:pPr>
        <w:pStyle w:val="Heading2"/>
        <w:spacing w:after="240"/>
        <w:rPr>
          <w:sz w:val="22"/>
          <w:szCs w:val="22"/>
        </w:rPr>
      </w:pPr>
      <w:bookmarkStart w:id="1245" w:name="_Toc78983886"/>
      <w:r w:rsidRPr="00EA7665">
        <w:rPr>
          <w:sz w:val="22"/>
          <w:szCs w:val="22"/>
        </w:rPr>
        <w:t>Comparison of</w:t>
      </w:r>
      <w:r w:rsidR="00F64F43">
        <w:rPr>
          <w:sz w:val="22"/>
          <w:szCs w:val="22"/>
        </w:rPr>
        <w:t xml:space="preserve"> processes and key decisions in securing finance for real estate </w:t>
      </w:r>
      <w:r w:rsidR="00F64F43" w:rsidRPr="00B54B4A">
        <w:rPr>
          <w:sz w:val="22"/>
          <w:szCs w:val="22"/>
        </w:rPr>
        <w:t xml:space="preserve">project development in the </w:t>
      </w:r>
      <w:r w:rsidRPr="00B54B4A">
        <w:rPr>
          <w:sz w:val="22"/>
          <w:szCs w:val="22"/>
        </w:rPr>
        <w:t>developed and emerging economies</w:t>
      </w:r>
      <w:bookmarkEnd w:id="1245"/>
      <w:r w:rsidRPr="00B54B4A">
        <w:rPr>
          <w:sz w:val="22"/>
          <w:szCs w:val="22"/>
        </w:rPr>
        <w:t xml:space="preserve"> </w:t>
      </w:r>
    </w:p>
    <w:p w14:paraId="78956511" w14:textId="2520C55E" w:rsidR="00CD6352" w:rsidRPr="00EA7665" w:rsidRDefault="00CD6352" w:rsidP="00CD6352">
      <w:pPr>
        <w:spacing w:line="360" w:lineRule="auto"/>
        <w:jc w:val="both"/>
        <w:rPr>
          <w:rFonts w:ascii="Arial" w:hAnsi="Arial" w:cs="Arial"/>
        </w:rPr>
      </w:pPr>
      <w:r w:rsidRPr="00B54B4A">
        <w:rPr>
          <w:rFonts w:ascii="Arial" w:hAnsi="Arial" w:cs="Arial"/>
        </w:rPr>
        <w:t>The decisions and processes</w:t>
      </w:r>
      <w:r w:rsidR="00202282">
        <w:rPr>
          <w:rFonts w:ascii="Arial" w:hAnsi="Arial" w:cs="Arial"/>
        </w:rPr>
        <w:t xml:space="preserve"> for securing finance</w:t>
      </w:r>
      <w:r w:rsidRPr="00B54B4A">
        <w:rPr>
          <w:rFonts w:ascii="Arial" w:hAnsi="Arial" w:cs="Arial"/>
        </w:rPr>
        <w:t xml:space="preserve"> for </w:t>
      </w:r>
      <w:r w:rsidR="00202282">
        <w:rPr>
          <w:rFonts w:ascii="Arial" w:hAnsi="Arial" w:cs="Arial"/>
        </w:rPr>
        <w:t>man</w:t>
      </w:r>
      <w:r w:rsidR="000A089D">
        <w:rPr>
          <w:rFonts w:ascii="Arial" w:hAnsi="Arial" w:cs="Arial"/>
        </w:rPr>
        <w:t>a</w:t>
      </w:r>
      <w:r w:rsidR="00202282">
        <w:rPr>
          <w:rFonts w:ascii="Arial" w:hAnsi="Arial" w:cs="Arial"/>
        </w:rPr>
        <w:t xml:space="preserve">gers in </w:t>
      </w:r>
      <w:r w:rsidRPr="00B54B4A">
        <w:rPr>
          <w:rFonts w:ascii="Arial" w:hAnsi="Arial" w:cs="Arial"/>
        </w:rPr>
        <w:t xml:space="preserve">both the developed and </w:t>
      </w:r>
      <w:r w:rsidRPr="00A17ADB">
        <w:rPr>
          <w:rFonts w:ascii="Arial" w:hAnsi="Arial" w:cs="Arial"/>
        </w:rPr>
        <w:t>emerging economies are fundamentally the same. The questionnaire and interview responses show that the key processes and decisions taken by managers in the developed and emerging economies have the same composition with slight variations depend</w:t>
      </w:r>
      <w:r w:rsidR="000A089D" w:rsidRPr="00A17ADB">
        <w:rPr>
          <w:rFonts w:ascii="Arial" w:hAnsi="Arial" w:cs="Arial"/>
        </w:rPr>
        <w:t>ing</w:t>
      </w:r>
      <w:r w:rsidRPr="00A17ADB">
        <w:rPr>
          <w:rFonts w:ascii="Arial" w:hAnsi="Arial" w:cs="Arial"/>
        </w:rPr>
        <w:t xml:space="preserve"> on the size of the company, the exposure of the manager, the contacts of the managers and the country’s specific dynamics. This </w:t>
      </w:r>
      <w:r w:rsidR="008F3516">
        <w:rPr>
          <w:rFonts w:ascii="Arial" w:hAnsi="Arial" w:cs="Arial"/>
        </w:rPr>
        <w:t>remarkable</w:t>
      </w:r>
      <w:r w:rsidRPr="00A17ADB">
        <w:rPr>
          <w:rFonts w:ascii="Arial" w:hAnsi="Arial" w:cs="Arial"/>
        </w:rPr>
        <w:t xml:space="preserve"> similarity arguably is </w:t>
      </w:r>
      <w:r w:rsidR="00FB4F63" w:rsidRPr="00A17ADB">
        <w:rPr>
          <w:rFonts w:ascii="Arial" w:hAnsi="Arial" w:cs="Arial"/>
        </w:rPr>
        <w:t>because of</w:t>
      </w:r>
      <w:r w:rsidRPr="00A17ADB">
        <w:rPr>
          <w:rFonts w:ascii="Arial" w:hAnsi="Arial" w:cs="Arial"/>
        </w:rPr>
        <w:t xml:space="preserve"> global and</w:t>
      </w:r>
      <w:r w:rsidRPr="00B54B4A">
        <w:rPr>
          <w:rFonts w:ascii="Arial" w:hAnsi="Arial" w:cs="Arial"/>
        </w:rPr>
        <w:t xml:space="preserve"> regional coordination in the financial sector, </w:t>
      </w:r>
      <w:r w:rsidR="00354977">
        <w:rPr>
          <w:rFonts w:ascii="Arial" w:hAnsi="Arial" w:cs="Arial"/>
        </w:rPr>
        <w:t>aiming to make it more secure</w:t>
      </w:r>
      <w:r w:rsidRPr="00B54B4A">
        <w:rPr>
          <w:rFonts w:ascii="Arial" w:hAnsi="Arial" w:cs="Arial"/>
        </w:rPr>
        <w:t xml:space="preserve">. These best practices are often communicated through the central banks of each country </w:t>
      </w:r>
      <w:r w:rsidR="00BD3476" w:rsidRPr="00B54B4A">
        <w:rPr>
          <w:rFonts w:ascii="Arial" w:hAnsi="Arial" w:cs="Arial"/>
        </w:rPr>
        <w:t>(Krugman</w:t>
      </w:r>
      <w:r w:rsidRPr="00B54B4A">
        <w:rPr>
          <w:rFonts w:ascii="Arial" w:hAnsi="Arial" w:cs="Arial"/>
        </w:rPr>
        <w:t xml:space="preserve"> et al</w:t>
      </w:r>
      <w:r w:rsidR="00BB5BF6">
        <w:rPr>
          <w:rFonts w:ascii="Arial" w:hAnsi="Arial" w:cs="Arial"/>
        </w:rPr>
        <w:t>.</w:t>
      </w:r>
      <w:r w:rsidRPr="00B54B4A">
        <w:rPr>
          <w:rFonts w:ascii="Arial" w:hAnsi="Arial" w:cs="Arial"/>
        </w:rPr>
        <w:t>, 2010).</w:t>
      </w:r>
      <w:r w:rsidRPr="00EA7665">
        <w:rPr>
          <w:rFonts w:ascii="Arial" w:hAnsi="Arial" w:cs="Arial"/>
        </w:rPr>
        <w:t xml:space="preserve"> </w:t>
      </w:r>
    </w:p>
    <w:p w14:paraId="16534506" w14:textId="024FACBB" w:rsidR="00CD6352" w:rsidRPr="00EA7665" w:rsidRDefault="00CD6352" w:rsidP="00CD6352">
      <w:pPr>
        <w:pStyle w:val="Heading2"/>
        <w:spacing w:after="240"/>
        <w:rPr>
          <w:sz w:val="22"/>
          <w:szCs w:val="22"/>
        </w:rPr>
      </w:pPr>
      <w:bookmarkStart w:id="1246" w:name="_Toc78983887"/>
      <w:r w:rsidRPr="00EA7665">
        <w:rPr>
          <w:sz w:val="22"/>
          <w:szCs w:val="22"/>
        </w:rPr>
        <w:t>The implication of the findings</w:t>
      </w:r>
      <w:r w:rsidR="00FB4F63">
        <w:rPr>
          <w:sz w:val="22"/>
          <w:szCs w:val="22"/>
        </w:rPr>
        <w:t xml:space="preserve"> on the key processes and decisions for securing finance for real estate project development.</w:t>
      </w:r>
      <w:bookmarkEnd w:id="1246"/>
    </w:p>
    <w:p w14:paraId="138BB6CC" w14:textId="0CE0FD4C" w:rsidR="00CD6352" w:rsidRPr="00EA7665" w:rsidRDefault="00CD6352" w:rsidP="00CD6352">
      <w:pPr>
        <w:spacing w:line="360" w:lineRule="auto"/>
        <w:jc w:val="both"/>
        <w:rPr>
          <w:rFonts w:ascii="Arial" w:hAnsi="Arial" w:cs="Arial"/>
        </w:rPr>
      </w:pPr>
      <w:r w:rsidRPr="00EA7665">
        <w:rPr>
          <w:rFonts w:ascii="Arial" w:hAnsi="Arial" w:cs="Arial"/>
        </w:rPr>
        <w:t xml:space="preserve">The findings from the data collected from both the questionnaire &amp; interviews show that there </w:t>
      </w:r>
      <w:r>
        <w:rPr>
          <w:rFonts w:ascii="Arial" w:hAnsi="Arial" w:cs="Arial"/>
        </w:rPr>
        <w:t>are</w:t>
      </w:r>
      <w:r w:rsidRPr="00EA7665">
        <w:rPr>
          <w:rFonts w:ascii="Arial" w:hAnsi="Arial" w:cs="Arial"/>
        </w:rPr>
        <w:t xml:space="preserve"> no uniform </w:t>
      </w:r>
      <w:r>
        <w:rPr>
          <w:rFonts w:ascii="Arial" w:hAnsi="Arial" w:cs="Arial"/>
        </w:rPr>
        <w:t xml:space="preserve">key </w:t>
      </w:r>
      <w:r w:rsidRPr="00EA7665">
        <w:rPr>
          <w:rFonts w:ascii="Arial" w:hAnsi="Arial" w:cs="Arial"/>
        </w:rPr>
        <w:t>decisio</w:t>
      </w:r>
      <w:r>
        <w:rPr>
          <w:rFonts w:ascii="Arial" w:hAnsi="Arial" w:cs="Arial"/>
        </w:rPr>
        <w:t>ns and</w:t>
      </w:r>
      <w:r w:rsidRPr="00EA7665">
        <w:rPr>
          <w:rFonts w:ascii="Arial" w:hAnsi="Arial" w:cs="Arial"/>
        </w:rPr>
        <w:t xml:space="preserve"> process</w:t>
      </w:r>
      <w:r w:rsidR="00B84F4A">
        <w:rPr>
          <w:rFonts w:ascii="Arial" w:hAnsi="Arial" w:cs="Arial"/>
        </w:rPr>
        <w:t>es</w:t>
      </w:r>
      <w:r w:rsidRPr="00EA7665">
        <w:rPr>
          <w:rFonts w:ascii="Arial" w:hAnsi="Arial" w:cs="Arial"/>
        </w:rPr>
        <w:t xml:space="preserve"> for securing finance for real estate project development in both the developed and the emerging economies. However, the tren</w:t>
      </w:r>
      <w:r>
        <w:rPr>
          <w:rFonts w:ascii="Arial" w:hAnsi="Arial" w:cs="Arial"/>
        </w:rPr>
        <w:t>ds</w:t>
      </w:r>
      <w:r w:rsidRPr="00EA7665">
        <w:rPr>
          <w:rFonts w:ascii="Arial" w:hAnsi="Arial" w:cs="Arial"/>
        </w:rPr>
        <w:t xml:space="preserve"> and key decisio</w:t>
      </w:r>
      <w:r>
        <w:rPr>
          <w:rFonts w:ascii="Arial" w:hAnsi="Arial" w:cs="Arial"/>
        </w:rPr>
        <w:t>ns and</w:t>
      </w:r>
      <w:r w:rsidRPr="00EA7665">
        <w:rPr>
          <w:rFonts w:ascii="Arial" w:hAnsi="Arial" w:cs="Arial"/>
        </w:rPr>
        <w:t xml:space="preserve"> processes appear to be similar. The results </w:t>
      </w:r>
      <w:r w:rsidR="00354977">
        <w:rPr>
          <w:rFonts w:ascii="Arial" w:hAnsi="Arial" w:cs="Arial"/>
        </w:rPr>
        <w:t>indicate</w:t>
      </w:r>
      <w:r w:rsidRPr="00EA7665">
        <w:rPr>
          <w:rFonts w:ascii="Arial" w:hAnsi="Arial" w:cs="Arial"/>
        </w:rPr>
        <w:t xml:space="preserve"> that most of the processes overlap for both the developed and emerging economies depending on the individual manager’s mode of operation and the country’s specific dynamics. </w:t>
      </w:r>
    </w:p>
    <w:p w14:paraId="71F06BC0" w14:textId="2E6216A4" w:rsidR="00CD6352" w:rsidRDefault="00CD6352" w:rsidP="00CD6352">
      <w:pPr>
        <w:spacing w:line="360" w:lineRule="auto"/>
        <w:jc w:val="both"/>
        <w:rPr>
          <w:rFonts w:ascii="Arial" w:hAnsi="Arial" w:cs="Arial"/>
        </w:rPr>
      </w:pPr>
      <w:r w:rsidRPr="00EA7665">
        <w:rPr>
          <w:rFonts w:ascii="Arial" w:hAnsi="Arial" w:cs="Arial"/>
        </w:rPr>
        <w:t>When there is an available process to guide the</w:t>
      </w:r>
      <w:r>
        <w:rPr>
          <w:rFonts w:ascii="Arial" w:hAnsi="Arial" w:cs="Arial"/>
        </w:rPr>
        <w:t xml:space="preserve"> key</w:t>
      </w:r>
      <w:r w:rsidRPr="00EA7665">
        <w:rPr>
          <w:rFonts w:ascii="Arial" w:hAnsi="Arial" w:cs="Arial"/>
        </w:rPr>
        <w:t xml:space="preserve"> decision</w:t>
      </w:r>
      <w:r>
        <w:rPr>
          <w:rFonts w:ascii="Arial" w:hAnsi="Arial" w:cs="Arial"/>
        </w:rPr>
        <w:t xml:space="preserve">s and </w:t>
      </w:r>
      <w:r w:rsidRPr="00EA7665">
        <w:rPr>
          <w:rFonts w:ascii="Arial" w:hAnsi="Arial" w:cs="Arial"/>
        </w:rPr>
        <w:t>process</w:t>
      </w:r>
      <w:r>
        <w:rPr>
          <w:rFonts w:ascii="Arial" w:hAnsi="Arial" w:cs="Arial"/>
        </w:rPr>
        <w:t>es</w:t>
      </w:r>
      <w:r w:rsidRPr="00EA7665">
        <w:rPr>
          <w:rFonts w:ascii="Arial" w:hAnsi="Arial" w:cs="Arial"/>
        </w:rPr>
        <w:t xml:space="preserve"> for securing finance for real estate project </w:t>
      </w:r>
      <w:r w:rsidR="00B84F4A" w:rsidRPr="00EA7665">
        <w:rPr>
          <w:rFonts w:ascii="Arial" w:hAnsi="Arial" w:cs="Arial"/>
        </w:rPr>
        <w:t>development</w:t>
      </w:r>
      <w:r w:rsidR="00354977">
        <w:rPr>
          <w:rFonts w:ascii="Arial" w:hAnsi="Arial" w:cs="Arial"/>
        </w:rPr>
        <w:t>, it creates a uniform guide that will enhance communication, accountability, effectiveness and establish a powerful learning and knowledge management tool</w:t>
      </w:r>
      <w:r w:rsidRPr="00EA7665">
        <w:rPr>
          <w:rFonts w:ascii="Arial" w:hAnsi="Arial" w:cs="Arial"/>
        </w:rPr>
        <w:t>.</w:t>
      </w:r>
      <w:r>
        <w:rPr>
          <w:rFonts w:ascii="Arial" w:hAnsi="Arial" w:cs="Arial"/>
        </w:rPr>
        <w:t xml:space="preserve"> Consequently, this study used information from both the questionnaire surveys and semi-structured interviews of managers in both the developed and emerging economies to develop a process map for securing finance for real estate project development. This process map also forms a part of the toolkit for securing finance for real estate project development </w:t>
      </w:r>
      <w:r w:rsidR="00B84F4A">
        <w:rPr>
          <w:rFonts w:ascii="Arial" w:hAnsi="Arial" w:cs="Arial"/>
        </w:rPr>
        <w:t>(see</w:t>
      </w:r>
      <w:r>
        <w:rPr>
          <w:rFonts w:ascii="Arial" w:hAnsi="Arial" w:cs="Arial"/>
        </w:rPr>
        <w:t xml:space="preserve"> chapter </w:t>
      </w:r>
      <w:r w:rsidR="00F44F21">
        <w:rPr>
          <w:rFonts w:ascii="Arial" w:hAnsi="Arial" w:cs="Arial"/>
        </w:rPr>
        <w:t>10</w:t>
      </w:r>
      <w:r>
        <w:rPr>
          <w:rFonts w:ascii="Arial" w:hAnsi="Arial" w:cs="Arial"/>
        </w:rPr>
        <w:t>).</w:t>
      </w:r>
    </w:p>
    <w:p w14:paraId="2F629512" w14:textId="1505F83B" w:rsidR="00CD6352" w:rsidRDefault="00CD6352" w:rsidP="00CD6352">
      <w:pPr>
        <w:pStyle w:val="Heading2"/>
        <w:rPr>
          <w:sz w:val="22"/>
          <w:szCs w:val="22"/>
        </w:rPr>
      </w:pPr>
      <w:bookmarkStart w:id="1247" w:name="_Toc78983888"/>
      <w:r w:rsidRPr="008A00E1">
        <w:rPr>
          <w:sz w:val="22"/>
          <w:szCs w:val="22"/>
        </w:rPr>
        <w:t xml:space="preserve">Development of a process map for securing finance for real estate project </w:t>
      </w:r>
      <w:r w:rsidR="00364DDD" w:rsidRPr="008A00E1">
        <w:rPr>
          <w:sz w:val="22"/>
          <w:szCs w:val="22"/>
        </w:rPr>
        <w:t>development.</w:t>
      </w:r>
      <w:bookmarkEnd w:id="1247"/>
    </w:p>
    <w:p w14:paraId="73FD91CD" w14:textId="77777777" w:rsidR="00CD6352" w:rsidRDefault="00CD6352" w:rsidP="00CD6352"/>
    <w:p w14:paraId="61CF6380" w14:textId="6F75706B" w:rsidR="00CD6352" w:rsidRDefault="00BC1177" w:rsidP="00CD6352">
      <w:pPr>
        <w:spacing w:line="360" w:lineRule="auto"/>
        <w:jc w:val="both"/>
        <w:rPr>
          <w:rFonts w:ascii="Arial" w:hAnsi="Arial" w:cs="Arial"/>
        </w:rPr>
      </w:pPr>
      <w:r w:rsidRPr="00E85190">
        <w:rPr>
          <w:rFonts w:ascii="Arial" w:hAnsi="Arial" w:cs="Arial"/>
        </w:rPr>
        <w:t xml:space="preserve">The process map is one of the components of the toolkit for securing finance for real estate project development in chapter 10.2. </w:t>
      </w:r>
      <w:r w:rsidR="00CD6352" w:rsidRPr="00E85190">
        <w:rPr>
          <w:rFonts w:ascii="Arial" w:hAnsi="Arial" w:cs="Arial"/>
        </w:rPr>
        <w:t>The process map provides a sequence of activities to be</w:t>
      </w:r>
      <w:r w:rsidR="00CD6352" w:rsidRPr="00EA7665">
        <w:rPr>
          <w:rFonts w:ascii="Arial" w:hAnsi="Arial" w:cs="Arial"/>
        </w:rPr>
        <w:t xml:space="preserve"> </w:t>
      </w:r>
      <w:r w:rsidR="00CD6352" w:rsidRPr="00EA7665">
        <w:rPr>
          <w:rFonts w:ascii="Arial" w:hAnsi="Arial" w:cs="Arial"/>
        </w:rPr>
        <w:lastRenderedPageBreak/>
        <w:t xml:space="preserve">undertaken </w:t>
      </w:r>
      <w:r w:rsidR="00354977">
        <w:rPr>
          <w:rFonts w:ascii="Arial" w:hAnsi="Arial" w:cs="Arial"/>
        </w:rPr>
        <w:t>to secure</w:t>
      </w:r>
      <w:r w:rsidR="00CD6352" w:rsidRPr="00EA7665">
        <w:rPr>
          <w:rFonts w:ascii="Arial" w:hAnsi="Arial" w:cs="Arial"/>
        </w:rPr>
        <w:t xml:space="preserve"> finance for real estate project development. </w:t>
      </w:r>
      <w:r w:rsidR="00CD6352">
        <w:rPr>
          <w:rFonts w:ascii="Arial" w:hAnsi="Arial" w:cs="Arial"/>
        </w:rPr>
        <w:t>It</w:t>
      </w:r>
      <w:r w:rsidR="00CD6352" w:rsidRPr="00EA7665">
        <w:rPr>
          <w:rFonts w:ascii="Arial" w:hAnsi="Arial" w:cs="Arial"/>
        </w:rPr>
        <w:t xml:space="preserve"> is the sequence of activities that converts inputs to outputs</w:t>
      </w:r>
      <w:r w:rsidR="00CD6352">
        <w:rPr>
          <w:rFonts w:ascii="Arial" w:hAnsi="Arial" w:cs="Arial"/>
        </w:rPr>
        <w:t xml:space="preserve"> </w:t>
      </w:r>
      <w:r w:rsidR="00115B0F">
        <w:rPr>
          <w:rFonts w:ascii="Arial" w:hAnsi="Arial" w:cs="Arial"/>
        </w:rPr>
        <w:t xml:space="preserve">and </w:t>
      </w:r>
      <w:r w:rsidR="00354977">
        <w:rPr>
          <w:rFonts w:ascii="Arial" w:hAnsi="Arial" w:cs="Arial"/>
        </w:rPr>
        <w:t>represents</w:t>
      </w:r>
      <w:r w:rsidR="00CD6352" w:rsidRPr="00EA7665">
        <w:rPr>
          <w:rFonts w:ascii="Arial" w:hAnsi="Arial" w:cs="Arial"/>
        </w:rPr>
        <w:t xml:space="preserve"> the processes for all stakeholders </w:t>
      </w:r>
      <w:r w:rsidR="00115B0F" w:rsidRPr="00EA7665">
        <w:rPr>
          <w:rFonts w:ascii="Arial" w:hAnsi="Arial" w:cs="Arial"/>
        </w:rPr>
        <w:t>involved</w:t>
      </w:r>
      <w:r w:rsidR="00B92F08">
        <w:rPr>
          <w:rFonts w:ascii="Arial" w:hAnsi="Arial" w:cs="Arial"/>
        </w:rPr>
        <w:t xml:space="preserve"> (please see table 7.5.1)</w:t>
      </w:r>
      <w:r w:rsidR="006C19AD">
        <w:rPr>
          <w:rFonts w:ascii="Arial" w:hAnsi="Arial" w:cs="Arial"/>
        </w:rPr>
        <w:t>.</w:t>
      </w:r>
      <w:r w:rsidR="00346158">
        <w:rPr>
          <w:rFonts w:ascii="Arial" w:hAnsi="Arial" w:cs="Arial"/>
        </w:rPr>
        <w:t xml:space="preserve"> </w:t>
      </w:r>
      <w:r w:rsidR="00346158" w:rsidRPr="00346158">
        <w:rPr>
          <w:rFonts w:ascii="Arial" w:hAnsi="Arial" w:cs="Arial"/>
        </w:rPr>
        <w:t>This is an original contribution to knowledge as there is no detailed process map for securing finance for real estate project development</w:t>
      </w:r>
      <w:r w:rsidR="00B92F08">
        <w:rPr>
          <w:rFonts w:ascii="Arial" w:hAnsi="Arial" w:cs="Arial"/>
        </w:rPr>
        <w:t xml:space="preserve"> presently available through a review of the literature.</w:t>
      </w:r>
    </w:p>
    <w:p w14:paraId="3F8E3E99" w14:textId="139F7324" w:rsidR="009A553D" w:rsidRDefault="00CD6352" w:rsidP="00CD6352">
      <w:pPr>
        <w:spacing w:line="360" w:lineRule="auto"/>
        <w:rPr>
          <w:rFonts w:ascii="Arial" w:hAnsi="Arial" w:cs="Arial"/>
        </w:rPr>
      </w:pPr>
      <w:bookmarkStart w:id="1248" w:name="_Hlk43120172"/>
      <w:r>
        <w:rPr>
          <w:rFonts w:ascii="Arial" w:hAnsi="Arial" w:cs="Arial"/>
        </w:rPr>
        <w:t>The process map for securing finance for real estate project development is inspired by the advance work packing for construction projects by Ryan (2017)</w:t>
      </w:r>
      <w:r w:rsidR="00AB6D06">
        <w:rPr>
          <w:rFonts w:ascii="Arial" w:hAnsi="Arial" w:cs="Arial"/>
        </w:rPr>
        <w:t xml:space="preserve">, </w:t>
      </w:r>
      <w:r>
        <w:rPr>
          <w:rFonts w:ascii="Arial" w:hAnsi="Arial" w:cs="Arial"/>
        </w:rPr>
        <w:t>and the RIBA Plan of work 20</w:t>
      </w:r>
      <w:r w:rsidR="009D242B">
        <w:rPr>
          <w:rFonts w:ascii="Arial" w:hAnsi="Arial" w:cs="Arial"/>
        </w:rPr>
        <w:t>20</w:t>
      </w:r>
      <w:r>
        <w:rPr>
          <w:rFonts w:ascii="Arial" w:hAnsi="Arial" w:cs="Arial"/>
        </w:rPr>
        <w:t>. The process protocol mapping methodology also provided a guide for the development of the process map for securing finance for real estate project development (Wu et al</w:t>
      </w:r>
      <w:r w:rsidR="00AB6D06">
        <w:rPr>
          <w:rFonts w:ascii="Arial" w:hAnsi="Arial" w:cs="Arial"/>
        </w:rPr>
        <w:t>.</w:t>
      </w:r>
      <w:r>
        <w:rPr>
          <w:rFonts w:ascii="Arial" w:hAnsi="Arial" w:cs="Arial"/>
        </w:rPr>
        <w:t xml:space="preserve">, 2001). </w:t>
      </w:r>
      <w:r w:rsidR="009A553D">
        <w:rPr>
          <w:rFonts w:ascii="Arial" w:hAnsi="Arial" w:cs="Arial"/>
        </w:rPr>
        <w:t xml:space="preserve">The </w:t>
      </w:r>
      <w:r w:rsidR="009A553D" w:rsidRPr="009A553D">
        <w:rPr>
          <w:rFonts w:ascii="Arial" w:hAnsi="Arial" w:cs="Arial"/>
        </w:rPr>
        <w:t xml:space="preserve">work </w:t>
      </w:r>
      <w:r w:rsidR="00AB0500" w:rsidRPr="009A553D">
        <w:rPr>
          <w:rFonts w:ascii="Arial" w:hAnsi="Arial" w:cs="Arial"/>
        </w:rPr>
        <w:t>break</w:t>
      </w:r>
      <w:r w:rsidR="009A553D" w:rsidRPr="009A553D">
        <w:rPr>
          <w:rFonts w:ascii="Arial" w:hAnsi="Arial" w:cs="Arial"/>
        </w:rPr>
        <w:t>down structure concept (WBS)</w:t>
      </w:r>
      <w:r w:rsidR="009A553D">
        <w:rPr>
          <w:rFonts w:ascii="Arial" w:hAnsi="Arial" w:cs="Arial"/>
        </w:rPr>
        <w:t xml:space="preserve"> was also an inspiration for the development of the process map for securing finance for real estate project development. </w:t>
      </w:r>
      <w:r w:rsidR="00F0089D">
        <w:rPr>
          <w:rFonts w:ascii="Arial" w:hAnsi="Arial" w:cs="Arial"/>
        </w:rPr>
        <w:t xml:space="preserve">This is because the WBS ensures clear </w:t>
      </w:r>
      <w:r w:rsidR="00A71F30">
        <w:rPr>
          <w:rFonts w:ascii="Arial" w:hAnsi="Arial" w:cs="Arial"/>
        </w:rPr>
        <w:t>definition</w:t>
      </w:r>
      <w:r w:rsidR="00F0089D">
        <w:rPr>
          <w:rFonts w:ascii="Arial" w:hAnsi="Arial" w:cs="Arial"/>
        </w:rPr>
        <w:t xml:space="preserve"> and communication of project </w:t>
      </w:r>
      <w:r w:rsidR="00E85190">
        <w:rPr>
          <w:rFonts w:ascii="Arial" w:hAnsi="Arial" w:cs="Arial"/>
        </w:rPr>
        <w:t>scope and</w:t>
      </w:r>
      <w:r w:rsidR="00F0089D">
        <w:rPr>
          <w:rFonts w:ascii="Arial" w:hAnsi="Arial" w:cs="Arial"/>
        </w:rPr>
        <w:t xml:space="preserve"> provides a platform as a monitoring and control tool (Norman et al</w:t>
      </w:r>
      <w:r w:rsidR="00AB6D06">
        <w:rPr>
          <w:rFonts w:ascii="Arial" w:hAnsi="Arial" w:cs="Arial"/>
        </w:rPr>
        <w:t>.</w:t>
      </w:r>
      <w:r w:rsidR="00F0089D">
        <w:rPr>
          <w:rFonts w:ascii="Arial" w:hAnsi="Arial" w:cs="Arial"/>
        </w:rPr>
        <w:t>, 2008)</w:t>
      </w:r>
      <w:r w:rsidR="003A5AD1">
        <w:rPr>
          <w:rFonts w:ascii="Arial" w:hAnsi="Arial" w:cs="Arial"/>
        </w:rPr>
        <w:t>.</w:t>
      </w:r>
    </w:p>
    <w:p w14:paraId="7EDADB9D" w14:textId="3CBFEF9D" w:rsidR="00CD6352" w:rsidRPr="0064343F" w:rsidRDefault="00E85190" w:rsidP="00AB6D06">
      <w:pPr>
        <w:spacing w:line="360" w:lineRule="auto"/>
        <w:rPr>
          <w:rFonts w:ascii="Arial" w:hAnsi="Arial" w:cs="Arial"/>
        </w:rPr>
      </w:pPr>
      <w:r w:rsidRPr="0064343F">
        <w:rPr>
          <w:rFonts w:ascii="Arial" w:hAnsi="Arial" w:cs="Arial"/>
        </w:rPr>
        <w:t xml:space="preserve">Furthermore, </w:t>
      </w:r>
      <w:r>
        <w:rPr>
          <w:rFonts w:ascii="Arial" w:hAnsi="Arial" w:cs="Arial"/>
        </w:rPr>
        <w:t>Mintzberg’s</w:t>
      </w:r>
      <w:r w:rsidR="00323227" w:rsidRPr="00323227">
        <w:rPr>
          <w:rFonts w:ascii="Arial" w:hAnsi="Arial" w:cs="Arial"/>
        </w:rPr>
        <w:t xml:space="preserve"> general model of strategic decision process</w:t>
      </w:r>
      <w:r w:rsidR="00323227">
        <w:rPr>
          <w:rFonts w:ascii="Arial" w:hAnsi="Arial" w:cs="Arial"/>
        </w:rPr>
        <w:t xml:space="preserve"> and t</w:t>
      </w:r>
      <w:r w:rsidR="00323227" w:rsidRPr="00323227">
        <w:rPr>
          <w:rFonts w:ascii="Arial" w:hAnsi="Arial" w:cs="Arial"/>
        </w:rPr>
        <w:t>heory and methodology of sociotechnical analysis of process mapping techniques</w:t>
      </w:r>
      <w:r w:rsidR="00323227">
        <w:rPr>
          <w:rFonts w:ascii="Arial" w:hAnsi="Arial" w:cs="Arial"/>
        </w:rPr>
        <w:t xml:space="preserve"> </w:t>
      </w:r>
      <w:r w:rsidR="00F80B5A" w:rsidRPr="0064343F">
        <w:rPr>
          <w:rFonts w:ascii="Arial" w:hAnsi="Arial" w:cs="Arial"/>
        </w:rPr>
        <w:t>helped</w:t>
      </w:r>
      <w:r w:rsidR="00CD6352" w:rsidRPr="0064343F">
        <w:rPr>
          <w:rFonts w:ascii="Arial" w:hAnsi="Arial" w:cs="Arial"/>
        </w:rPr>
        <w:t xml:space="preserve"> in the development of a process map for securing finance for real estate project development.</w:t>
      </w:r>
    </w:p>
    <w:p w14:paraId="7EE351EB" w14:textId="4CF6FE11" w:rsidR="00CD6352" w:rsidRPr="001078A4" w:rsidRDefault="00CD6352" w:rsidP="00CD6352">
      <w:pPr>
        <w:rPr>
          <w:rFonts w:ascii="Arial" w:hAnsi="Arial" w:cs="Arial"/>
          <w:b/>
          <w:bCs/>
          <w:u w:val="single"/>
        </w:rPr>
      </w:pPr>
      <w:r w:rsidRPr="001078A4">
        <w:rPr>
          <w:rFonts w:ascii="Arial" w:hAnsi="Arial" w:cs="Arial"/>
          <w:b/>
          <w:bCs/>
          <w:u w:val="single"/>
        </w:rPr>
        <w:t xml:space="preserve">Mintzberg’s general model of </w:t>
      </w:r>
      <w:r w:rsidR="004D5935">
        <w:rPr>
          <w:rFonts w:ascii="Arial" w:hAnsi="Arial" w:cs="Arial"/>
          <w:b/>
          <w:bCs/>
          <w:u w:val="single"/>
        </w:rPr>
        <w:t xml:space="preserve">the </w:t>
      </w:r>
      <w:r w:rsidRPr="001078A4">
        <w:rPr>
          <w:rFonts w:ascii="Arial" w:hAnsi="Arial" w:cs="Arial"/>
          <w:b/>
          <w:bCs/>
          <w:u w:val="single"/>
        </w:rPr>
        <w:t>strategic decision process</w:t>
      </w:r>
    </w:p>
    <w:p w14:paraId="71CA8FE4" w14:textId="106A6B75" w:rsidR="00CD6352" w:rsidRDefault="00CD6352" w:rsidP="00CD6352">
      <w:pPr>
        <w:spacing w:line="360" w:lineRule="auto"/>
        <w:rPr>
          <w:rFonts w:ascii="Arial" w:hAnsi="Arial" w:cs="Arial"/>
        </w:rPr>
      </w:pPr>
      <w:r>
        <w:rPr>
          <w:rFonts w:ascii="Arial" w:hAnsi="Arial" w:cs="Arial"/>
        </w:rPr>
        <w:t>Mintzberg et al</w:t>
      </w:r>
      <w:r w:rsidR="000C594A">
        <w:rPr>
          <w:rFonts w:ascii="Arial" w:hAnsi="Arial" w:cs="Arial"/>
        </w:rPr>
        <w:t>.</w:t>
      </w:r>
      <w:r>
        <w:rPr>
          <w:rFonts w:ascii="Arial" w:hAnsi="Arial" w:cs="Arial"/>
        </w:rPr>
        <w:t xml:space="preserve"> (1976) developed a </w:t>
      </w:r>
      <w:r w:rsidR="00032952">
        <w:rPr>
          <w:rFonts w:ascii="Arial" w:hAnsi="Arial" w:cs="Arial"/>
        </w:rPr>
        <w:t>sequential three</w:t>
      </w:r>
      <w:r w:rsidR="000A089D">
        <w:rPr>
          <w:rFonts w:ascii="Arial" w:hAnsi="Arial" w:cs="Arial"/>
        </w:rPr>
        <w:t>-</w:t>
      </w:r>
      <w:r>
        <w:rPr>
          <w:rFonts w:ascii="Arial" w:hAnsi="Arial" w:cs="Arial"/>
        </w:rPr>
        <w:t xml:space="preserve">phase model of strategic decision making (SDM). This theory is meant to support managers in strategic decision making by facilitating </w:t>
      </w:r>
      <w:r w:rsidR="00032952">
        <w:rPr>
          <w:rFonts w:ascii="Arial" w:hAnsi="Arial" w:cs="Arial"/>
        </w:rPr>
        <w:t>the actions</w:t>
      </w:r>
      <w:r>
        <w:rPr>
          <w:rFonts w:ascii="Arial" w:hAnsi="Arial" w:cs="Arial"/>
        </w:rPr>
        <w:t xml:space="preserve"> necessary to achieve the main goals given the scarce resources </w:t>
      </w:r>
      <w:r w:rsidR="001078A4">
        <w:rPr>
          <w:rFonts w:ascii="Arial" w:hAnsi="Arial" w:cs="Arial"/>
        </w:rPr>
        <w:t>(Anwar</w:t>
      </w:r>
      <w:r>
        <w:rPr>
          <w:rFonts w:ascii="Arial" w:hAnsi="Arial" w:cs="Arial"/>
        </w:rPr>
        <w:t xml:space="preserve">, </w:t>
      </w:r>
      <w:r w:rsidR="003F5A8A">
        <w:rPr>
          <w:rFonts w:ascii="Arial" w:hAnsi="Arial" w:cs="Arial"/>
        </w:rPr>
        <w:t>e</w:t>
      </w:r>
      <w:r>
        <w:rPr>
          <w:rFonts w:ascii="Arial" w:hAnsi="Arial" w:cs="Arial"/>
        </w:rPr>
        <w:t>t al</w:t>
      </w:r>
      <w:r w:rsidR="000C594A">
        <w:rPr>
          <w:rFonts w:ascii="Arial" w:hAnsi="Arial" w:cs="Arial"/>
        </w:rPr>
        <w:t>.</w:t>
      </w:r>
      <w:r>
        <w:rPr>
          <w:rFonts w:ascii="Arial" w:hAnsi="Arial" w:cs="Arial"/>
        </w:rPr>
        <w:t xml:space="preserve">, 2014). The model </w:t>
      </w:r>
      <w:r w:rsidR="000C594A">
        <w:rPr>
          <w:rFonts w:ascii="Arial" w:hAnsi="Arial" w:cs="Arial"/>
        </w:rPr>
        <w:t>comprises the identification, development, and selection phases</w:t>
      </w:r>
      <w:r>
        <w:rPr>
          <w:rFonts w:ascii="Arial" w:hAnsi="Arial" w:cs="Arial"/>
        </w:rPr>
        <w:t xml:space="preserve"> (Aristodemou &amp; Tietze, 2019). </w:t>
      </w:r>
    </w:p>
    <w:p w14:paraId="02FF10D9" w14:textId="20E6307C" w:rsidR="00CD6352" w:rsidRDefault="00CD6352" w:rsidP="00CD6352">
      <w:pPr>
        <w:spacing w:line="360" w:lineRule="auto"/>
        <w:rPr>
          <w:rFonts w:ascii="Arial" w:hAnsi="Arial" w:cs="Arial"/>
        </w:rPr>
      </w:pPr>
      <w:r>
        <w:rPr>
          <w:rFonts w:ascii="Arial" w:hAnsi="Arial" w:cs="Arial"/>
        </w:rPr>
        <w:t>Opportunities and challenges arising from both within and outside the organisation are identified at the identification stage</w:t>
      </w:r>
      <w:r w:rsidR="00354977">
        <w:rPr>
          <w:rFonts w:ascii="Arial" w:hAnsi="Arial" w:cs="Arial"/>
        </w:rPr>
        <w:t>, which</w:t>
      </w:r>
      <w:r>
        <w:rPr>
          <w:rFonts w:ascii="Arial" w:hAnsi="Arial" w:cs="Arial"/>
        </w:rPr>
        <w:t xml:space="preserve"> will stir up decisional activities. The development phase provides modifications or design behaviours that could lead to alternatives for possible problem areas</w:t>
      </w:r>
      <w:r w:rsidR="00043552">
        <w:rPr>
          <w:rFonts w:ascii="Arial" w:hAnsi="Arial" w:cs="Arial"/>
        </w:rPr>
        <w:t>,</w:t>
      </w:r>
      <w:r>
        <w:rPr>
          <w:rFonts w:ascii="Arial" w:hAnsi="Arial" w:cs="Arial"/>
        </w:rPr>
        <w:t xml:space="preserve"> and then the final phase, which is the selection phase, narrows the process down to ready</w:t>
      </w:r>
      <w:r w:rsidR="000A089D">
        <w:rPr>
          <w:rFonts w:ascii="Arial" w:hAnsi="Arial" w:cs="Arial"/>
        </w:rPr>
        <w:t>-</w:t>
      </w:r>
      <w:r>
        <w:rPr>
          <w:rFonts w:ascii="Arial" w:hAnsi="Arial" w:cs="Arial"/>
        </w:rPr>
        <w:t>made alternatives and selections which are made based on the evaluation of some feasible options ( Ahmed et al</w:t>
      </w:r>
      <w:r w:rsidR="00043552">
        <w:rPr>
          <w:rFonts w:ascii="Arial" w:hAnsi="Arial" w:cs="Arial"/>
        </w:rPr>
        <w:t>.</w:t>
      </w:r>
      <w:r>
        <w:rPr>
          <w:rFonts w:ascii="Arial" w:hAnsi="Arial" w:cs="Arial"/>
        </w:rPr>
        <w:t>, 2014). Inside each of these three phases</w:t>
      </w:r>
      <w:r w:rsidR="00575498">
        <w:rPr>
          <w:rFonts w:ascii="Arial" w:hAnsi="Arial" w:cs="Arial"/>
        </w:rPr>
        <w:t xml:space="preserve"> are</w:t>
      </w:r>
      <w:r>
        <w:rPr>
          <w:rFonts w:ascii="Arial" w:hAnsi="Arial" w:cs="Arial"/>
        </w:rPr>
        <w:t xml:space="preserve"> seven (7) routines</w:t>
      </w:r>
      <w:r w:rsidR="00354977">
        <w:rPr>
          <w:rFonts w:ascii="Arial" w:hAnsi="Arial" w:cs="Arial"/>
        </w:rPr>
        <w:t>: recognition, diagnosis, search, design, evaluation, choice, and authorisation</w:t>
      </w:r>
      <w:r w:rsidR="00032952">
        <w:rPr>
          <w:rFonts w:ascii="Arial" w:hAnsi="Arial" w:cs="Arial"/>
        </w:rPr>
        <w:t>.</w:t>
      </w:r>
      <w:r>
        <w:rPr>
          <w:rFonts w:ascii="Arial" w:hAnsi="Arial" w:cs="Arial"/>
        </w:rPr>
        <w:t xml:space="preserve"> Support routines which are decision, communication and policies</w:t>
      </w:r>
      <w:r w:rsidR="00575498">
        <w:rPr>
          <w:rFonts w:ascii="Arial" w:hAnsi="Arial" w:cs="Arial"/>
        </w:rPr>
        <w:t>,</w:t>
      </w:r>
      <w:r>
        <w:rPr>
          <w:rFonts w:ascii="Arial" w:hAnsi="Arial" w:cs="Arial"/>
        </w:rPr>
        <w:t xml:space="preserve"> are also contained in each of the phases, including dynamic factors which may be determined ( Lamb et al, 2017).</w:t>
      </w:r>
    </w:p>
    <w:bookmarkEnd w:id="1248"/>
    <w:p w14:paraId="0E36016B" w14:textId="77777777" w:rsidR="00CD6352" w:rsidRDefault="00CD6352" w:rsidP="00CD6352">
      <w:pPr>
        <w:rPr>
          <w:rFonts w:ascii="Arial" w:hAnsi="Arial" w:cs="Arial"/>
        </w:rPr>
      </w:pPr>
    </w:p>
    <w:p w14:paraId="48E11C45" w14:textId="77777777" w:rsidR="00CD6352" w:rsidRDefault="00CD6352" w:rsidP="00CD6352">
      <w:pPr>
        <w:keepNext/>
      </w:pPr>
      <w:r w:rsidRPr="00424234">
        <w:rPr>
          <w:rFonts w:ascii="Arial" w:hAnsi="Arial" w:cs="Arial"/>
          <w:noProof/>
        </w:rPr>
        <w:lastRenderedPageBreak/>
        <w:drawing>
          <wp:inline distT="0" distB="0" distL="0" distR="0" wp14:anchorId="1CD15E3E" wp14:editId="27193828">
            <wp:extent cx="5731510" cy="2717165"/>
            <wp:effectExtent l="0" t="0" r="2540" b="6985"/>
            <wp:docPr id="15" name="Picture 15" descr="THE STRATEGIC DECISION-MAKING PROCESS IN MERGERS AND ACQUIS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RATEGIC DECISION-MAKING PROCESS IN MERGERS AND ACQUISITION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717165"/>
                    </a:xfrm>
                    <a:prstGeom prst="rect">
                      <a:avLst/>
                    </a:prstGeom>
                    <a:noFill/>
                    <a:ln>
                      <a:noFill/>
                    </a:ln>
                  </pic:spPr>
                </pic:pic>
              </a:graphicData>
            </a:graphic>
          </wp:inline>
        </w:drawing>
      </w:r>
    </w:p>
    <w:p w14:paraId="7F066EF6" w14:textId="6287BB6D" w:rsidR="00CD6352" w:rsidRDefault="00CD6352" w:rsidP="00CD6352">
      <w:pPr>
        <w:pStyle w:val="Caption"/>
      </w:pPr>
      <w:bookmarkStart w:id="1249" w:name="_Toc78739576"/>
      <w:r>
        <w:t xml:space="preserve">Figure </w:t>
      </w:r>
      <w:fldSimple w:instr=" STYLEREF 2 \s ">
        <w:r w:rsidR="00324B0D">
          <w:rPr>
            <w:noProof/>
          </w:rPr>
          <w:t>7.5</w:t>
        </w:r>
      </w:fldSimple>
      <w:r w:rsidR="00324B0D">
        <w:noBreakHyphen/>
      </w:r>
      <w:fldSimple w:instr=" SEQ Figure \* ARABIC \s 2 ">
        <w:r w:rsidR="00324B0D">
          <w:rPr>
            <w:noProof/>
          </w:rPr>
          <w:t>1</w:t>
        </w:r>
      </w:fldSimple>
      <w:r>
        <w:t>:General model of the strategic decision process by Mintzberg et al (1976)</w:t>
      </w:r>
      <w:bookmarkEnd w:id="1249"/>
    </w:p>
    <w:p w14:paraId="34DBC2C9" w14:textId="3043810B" w:rsidR="00CD6352" w:rsidRDefault="00CD6352" w:rsidP="00CD6352">
      <w:r>
        <w:t>Source:  Lam</w:t>
      </w:r>
      <w:r w:rsidR="00374A37">
        <w:t>b</w:t>
      </w:r>
      <w:r>
        <w:t xml:space="preserve"> et al (2017)</w:t>
      </w:r>
    </w:p>
    <w:p w14:paraId="6DCC76C1" w14:textId="7B7C7E36" w:rsidR="00CD6352" w:rsidRDefault="00CD6352" w:rsidP="00CD6352">
      <w:pPr>
        <w:spacing w:line="360" w:lineRule="auto"/>
        <w:rPr>
          <w:rFonts w:ascii="Arial" w:hAnsi="Arial" w:cs="Arial"/>
        </w:rPr>
      </w:pPr>
      <w:bookmarkStart w:id="1250" w:name="_Hlk43120374"/>
      <w:r w:rsidRPr="00A77AD9">
        <w:rPr>
          <w:rFonts w:ascii="Arial" w:hAnsi="Arial" w:cs="Arial"/>
        </w:rPr>
        <w:t xml:space="preserve">The </w:t>
      </w:r>
      <w:r>
        <w:rPr>
          <w:rFonts w:ascii="Arial" w:hAnsi="Arial" w:cs="Arial"/>
        </w:rPr>
        <w:t>process map for securing finance for real estate project development brings on-board knowledge of the environment and the organisation by incorporating other aspects of this research which includ</w:t>
      </w:r>
      <w:r w:rsidR="00CC3E16">
        <w:rPr>
          <w:rFonts w:ascii="Arial" w:hAnsi="Arial" w:cs="Arial"/>
        </w:rPr>
        <w:t>ing</w:t>
      </w:r>
      <w:r>
        <w:rPr>
          <w:rFonts w:ascii="Arial" w:hAnsi="Arial" w:cs="Arial"/>
        </w:rPr>
        <w:t xml:space="preserve"> skills, knowledge of the inventory of finance options and the criteria for securing finance, internal and external environmental scans for real estate project development</w:t>
      </w:r>
      <w:r w:rsidR="00AE0CE2">
        <w:rPr>
          <w:rFonts w:ascii="Arial" w:hAnsi="Arial" w:cs="Arial"/>
        </w:rPr>
        <w:t xml:space="preserve">. All these </w:t>
      </w:r>
      <w:r>
        <w:rPr>
          <w:rFonts w:ascii="Arial" w:hAnsi="Arial" w:cs="Arial"/>
        </w:rPr>
        <w:t xml:space="preserve">information </w:t>
      </w:r>
      <w:r w:rsidR="00AE0CE2">
        <w:rPr>
          <w:rFonts w:ascii="Arial" w:hAnsi="Arial" w:cs="Arial"/>
        </w:rPr>
        <w:t xml:space="preserve">were </w:t>
      </w:r>
      <w:r>
        <w:rPr>
          <w:rFonts w:ascii="Arial" w:hAnsi="Arial" w:cs="Arial"/>
        </w:rPr>
        <w:t xml:space="preserve">captured through both questionnaire surveys and semi-structured interviews on the decisions and processes for real estate project development. </w:t>
      </w:r>
    </w:p>
    <w:p w14:paraId="1CFDE857" w14:textId="0663586D" w:rsidR="00C750E5" w:rsidRDefault="00C750E5" w:rsidP="00CD6352">
      <w:pPr>
        <w:spacing w:line="360" w:lineRule="auto"/>
        <w:rPr>
          <w:rFonts w:ascii="Arial" w:hAnsi="Arial" w:cs="Arial"/>
        </w:rPr>
      </w:pPr>
      <w:r>
        <w:rPr>
          <w:rFonts w:ascii="Arial" w:hAnsi="Arial" w:cs="Arial"/>
        </w:rPr>
        <w:t xml:space="preserve">Mintzberg’s model of </w:t>
      </w:r>
      <w:r w:rsidR="007F79F0">
        <w:rPr>
          <w:rFonts w:ascii="Arial" w:hAnsi="Arial" w:cs="Arial"/>
        </w:rPr>
        <w:t xml:space="preserve">the </w:t>
      </w:r>
      <w:r>
        <w:rPr>
          <w:rFonts w:ascii="Arial" w:hAnsi="Arial" w:cs="Arial"/>
        </w:rPr>
        <w:t xml:space="preserve">strategic decision process is considered important in </w:t>
      </w:r>
      <w:r w:rsidR="00354977">
        <w:rPr>
          <w:rFonts w:ascii="Arial" w:hAnsi="Arial" w:cs="Arial"/>
        </w:rPr>
        <w:t>developing</w:t>
      </w:r>
      <w:r>
        <w:rPr>
          <w:rFonts w:ascii="Arial" w:hAnsi="Arial" w:cs="Arial"/>
        </w:rPr>
        <w:t xml:space="preserve"> the process map for securing finance for real estate project development because of the unstructured nature of the variables obtained from both the semi</w:t>
      </w:r>
      <w:r w:rsidR="007F79F0">
        <w:rPr>
          <w:rFonts w:ascii="Arial" w:hAnsi="Arial" w:cs="Arial"/>
        </w:rPr>
        <w:t>-</w:t>
      </w:r>
      <w:r>
        <w:rPr>
          <w:rFonts w:ascii="Arial" w:hAnsi="Arial" w:cs="Arial"/>
        </w:rPr>
        <w:t xml:space="preserve">structured interviews and questionnaire survey </w:t>
      </w:r>
      <w:r w:rsidR="00057DAC">
        <w:rPr>
          <w:rFonts w:ascii="Arial" w:hAnsi="Arial" w:cs="Arial"/>
        </w:rPr>
        <w:t>(see</w:t>
      </w:r>
      <w:r>
        <w:rPr>
          <w:rFonts w:ascii="Arial" w:hAnsi="Arial" w:cs="Arial"/>
        </w:rPr>
        <w:t xml:space="preserve"> table 7.2 and 7.3). </w:t>
      </w:r>
      <w:r w:rsidR="008D268E">
        <w:rPr>
          <w:rFonts w:ascii="Arial" w:hAnsi="Arial" w:cs="Arial"/>
        </w:rPr>
        <w:t>The variables obtained from the questionnaire and semi-structured interviews</w:t>
      </w:r>
      <w:r w:rsidR="00CC3E16">
        <w:rPr>
          <w:rFonts w:ascii="Arial" w:hAnsi="Arial" w:cs="Arial"/>
        </w:rPr>
        <w:t>,</w:t>
      </w:r>
      <w:r w:rsidR="00106032">
        <w:rPr>
          <w:rFonts w:ascii="Arial" w:hAnsi="Arial" w:cs="Arial"/>
        </w:rPr>
        <w:t xml:space="preserve"> </w:t>
      </w:r>
      <w:r w:rsidR="00CC3E16">
        <w:rPr>
          <w:rFonts w:ascii="Arial" w:hAnsi="Arial" w:cs="Arial"/>
        </w:rPr>
        <w:t>which were</w:t>
      </w:r>
      <w:r w:rsidR="00106032">
        <w:rPr>
          <w:rFonts w:ascii="Arial" w:hAnsi="Arial" w:cs="Arial"/>
        </w:rPr>
        <w:t xml:space="preserve"> essentially the constructs used in the development of the process map</w:t>
      </w:r>
      <w:r w:rsidR="0094261C">
        <w:rPr>
          <w:rFonts w:ascii="Arial" w:hAnsi="Arial" w:cs="Arial"/>
        </w:rPr>
        <w:t xml:space="preserve"> are considered unstructured because the decision processes</w:t>
      </w:r>
      <w:r w:rsidR="00CC3E16">
        <w:rPr>
          <w:rFonts w:ascii="Arial" w:hAnsi="Arial" w:cs="Arial"/>
        </w:rPr>
        <w:t xml:space="preserve"> by the different managers</w:t>
      </w:r>
      <w:r w:rsidR="0094261C">
        <w:rPr>
          <w:rFonts w:ascii="Arial" w:hAnsi="Arial" w:cs="Arial"/>
        </w:rPr>
        <w:t xml:space="preserve"> </w:t>
      </w:r>
      <w:r w:rsidR="007160AF">
        <w:rPr>
          <w:rFonts w:ascii="Arial" w:hAnsi="Arial" w:cs="Arial"/>
        </w:rPr>
        <w:t>are not</w:t>
      </w:r>
      <w:r w:rsidR="0094261C">
        <w:rPr>
          <w:rFonts w:ascii="Arial" w:hAnsi="Arial" w:cs="Arial"/>
        </w:rPr>
        <w:t xml:space="preserve"> in the same form. Furthermore, there </w:t>
      </w:r>
      <w:r w:rsidR="00AE0CE2">
        <w:rPr>
          <w:rFonts w:ascii="Arial" w:hAnsi="Arial" w:cs="Arial"/>
        </w:rPr>
        <w:t>are no predetermined and explicit sets of ordered responses on the process map to secure</w:t>
      </w:r>
      <w:r w:rsidR="0094261C">
        <w:rPr>
          <w:rFonts w:ascii="Arial" w:hAnsi="Arial" w:cs="Arial"/>
        </w:rPr>
        <w:t xml:space="preserve"> finance for real estate project development.</w:t>
      </w:r>
    </w:p>
    <w:p w14:paraId="7041FCAC" w14:textId="7CCDFDD6" w:rsidR="00DD5B25" w:rsidRDefault="00DD5B25" w:rsidP="00CD6352">
      <w:pPr>
        <w:spacing w:line="360" w:lineRule="auto"/>
        <w:rPr>
          <w:rFonts w:ascii="Arial" w:hAnsi="Arial" w:cs="Arial"/>
        </w:rPr>
      </w:pPr>
      <w:r>
        <w:rPr>
          <w:rFonts w:ascii="Arial" w:hAnsi="Arial" w:cs="Arial"/>
        </w:rPr>
        <w:t xml:space="preserve">The Mintzberg general model of </w:t>
      </w:r>
      <w:r w:rsidR="007F79F0">
        <w:rPr>
          <w:rFonts w:ascii="Arial" w:hAnsi="Arial" w:cs="Arial"/>
        </w:rPr>
        <w:t xml:space="preserve">the </w:t>
      </w:r>
      <w:r>
        <w:rPr>
          <w:rFonts w:ascii="Arial" w:hAnsi="Arial" w:cs="Arial"/>
        </w:rPr>
        <w:t>strategic decision process was adopted because it show</w:t>
      </w:r>
      <w:r w:rsidR="007F79F0">
        <w:rPr>
          <w:rFonts w:ascii="Arial" w:hAnsi="Arial" w:cs="Arial"/>
        </w:rPr>
        <w:t>s</w:t>
      </w:r>
      <w:r>
        <w:rPr>
          <w:rFonts w:ascii="Arial" w:hAnsi="Arial" w:cs="Arial"/>
        </w:rPr>
        <w:t xml:space="preserve"> cases the fact that while strategic decisions may</w:t>
      </w:r>
      <w:r w:rsidR="007F79F0">
        <w:rPr>
          <w:rFonts w:ascii="Arial" w:hAnsi="Arial" w:cs="Arial"/>
        </w:rPr>
        <w:t xml:space="preserve"> </w:t>
      </w:r>
      <w:r>
        <w:rPr>
          <w:rFonts w:ascii="Arial" w:hAnsi="Arial" w:cs="Arial"/>
        </w:rPr>
        <w:t>be complex and dynamic, it is possible to give them conceptual structuring</w:t>
      </w:r>
      <w:r w:rsidR="00B272CB">
        <w:rPr>
          <w:rFonts w:ascii="Arial" w:hAnsi="Arial" w:cs="Arial"/>
        </w:rPr>
        <w:t xml:space="preserve"> </w:t>
      </w:r>
      <w:r w:rsidR="009E7BAE">
        <w:rPr>
          <w:rFonts w:ascii="Arial" w:hAnsi="Arial" w:cs="Arial"/>
        </w:rPr>
        <w:t>(Wilson</w:t>
      </w:r>
      <w:r w:rsidR="00B272CB" w:rsidRPr="00B272CB">
        <w:rPr>
          <w:rFonts w:ascii="Arial" w:hAnsi="Arial" w:cs="Arial"/>
        </w:rPr>
        <w:t>,</w:t>
      </w:r>
      <w:r w:rsidR="00B272CB">
        <w:rPr>
          <w:rFonts w:ascii="Arial" w:hAnsi="Arial" w:cs="Arial"/>
        </w:rPr>
        <w:t xml:space="preserve"> </w:t>
      </w:r>
      <w:r w:rsidR="00B272CB" w:rsidRPr="00B272CB">
        <w:rPr>
          <w:rFonts w:ascii="Arial" w:hAnsi="Arial" w:cs="Arial"/>
        </w:rPr>
        <w:t>2001</w:t>
      </w:r>
      <w:r w:rsidR="00954A91">
        <w:rPr>
          <w:rFonts w:ascii="Arial" w:hAnsi="Arial" w:cs="Arial"/>
        </w:rPr>
        <w:t>).</w:t>
      </w:r>
      <w:r w:rsidR="003C0EB5">
        <w:rPr>
          <w:rFonts w:ascii="Arial" w:hAnsi="Arial" w:cs="Arial"/>
        </w:rPr>
        <w:t xml:space="preserve"> The process map for securing finance for real estate project development in table 7.4 adopts </w:t>
      </w:r>
      <w:r w:rsidR="00AE0CE2">
        <w:rPr>
          <w:rFonts w:ascii="Arial" w:hAnsi="Arial" w:cs="Arial"/>
        </w:rPr>
        <w:t>Mintzberg’s general model phases</w:t>
      </w:r>
      <w:r w:rsidR="007160AF">
        <w:rPr>
          <w:rFonts w:ascii="Arial" w:hAnsi="Arial" w:cs="Arial"/>
        </w:rPr>
        <w:t xml:space="preserve"> as the processes map is in stages (stage 0 to 4)</w:t>
      </w:r>
      <w:r w:rsidR="00CC3E16">
        <w:rPr>
          <w:rFonts w:ascii="Arial" w:hAnsi="Arial" w:cs="Arial"/>
        </w:rPr>
        <w:t>,</w:t>
      </w:r>
      <w:r w:rsidR="008A25DF">
        <w:rPr>
          <w:rFonts w:ascii="Arial" w:hAnsi="Arial" w:cs="Arial"/>
        </w:rPr>
        <w:t xml:space="preserve"> and this could be likened to the phases in the General model of </w:t>
      </w:r>
      <w:r w:rsidR="00A7795E">
        <w:rPr>
          <w:rFonts w:ascii="Arial" w:hAnsi="Arial" w:cs="Arial"/>
        </w:rPr>
        <w:t xml:space="preserve">the </w:t>
      </w:r>
      <w:r w:rsidR="008A25DF">
        <w:rPr>
          <w:rFonts w:ascii="Arial" w:hAnsi="Arial" w:cs="Arial"/>
        </w:rPr>
        <w:t>strategic decision process by Mintzberg</w:t>
      </w:r>
      <w:r w:rsidR="003C0EB5">
        <w:rPr>
          <w:rFonts w:ascii="Arial" w:hAnsi="Arial" w:cs="Arial"/>
        </w:rPr>
        <w:t>.</w:t>
      </w:r>
      <w:r w:rsidR="006152B8">
        <w:rPr>
          <w:rFonts w:ascii="Arial" w:hAnsi="Arial" w:cs="Arial"/>
        </w:rPr>
        <w:t xml:space="preserve"> The different </w:t>
      </w:r>
      <w:r w:rsidR="00227056">
        <w:rPr>
          <w:rFonts w:ascii="Arial" w:hAnsi="Arial" w:cs="Arial"/>
        </w:rPr>
        <w:lastRenderedPageBreak/>
        <w:t xml:space="preserve">stages of the process map for securing finance for real estate project development </w:t>
      </w:r>
      <w:r w:rsidR="006152B8">
        <w:rPr>
          <w:rFonts w:ascii="Arial" w:hAnsi="Arial" w:cs="Arial"/>
        </w:rPr>
        <w:t xml:space="preserve">have routines </w:t>
      </w:r>
      <w:r w:rsidR="004B7990">
        <w:rPr>
          <w:rFonts w:ascii="Arial" w:hAnsi="Arial" w:cs="Arial"/>
        </w:rPr>
        <w:t>that</w:t>
      </w:r>
      <w:r w:rsidR="006152B8">
        <w:rPr>
          <w:rFonts w:ascii="Arial" w:hAnsi="Arial" w:cs="Arial"/>
        </w:rPr>
        <w:t xml:space="preserve"> are patterned after the Mintzberg model. These routines are also known as the key decision</w:t>
      </w:r>
      <w:r w:rsidR="00CC3E16">
        <w:rPr>
          <w:rFonts w:ascii="Arial" w:hAnsi="Arial" w:cs="Arial"/>
        </w:rPr>
        <w:t>s and processes for securing real estate project development finance</w:t>
      </w:r>
      <w:r w:rsidR="003B1394">
        <w:rPr>
          <w:rFonts w:ascii="Arial" w:hAnsi="Arial" w:cs="Arial"/>
        </w:rPr>
        <w:t>.</w:t>
      </w:r>
    </w:p>
    <w:p w14:paraId="020D833B" w14:textId="27ACD5B3" w:rsidR="00BC0EE4" w:rsidRDefault="00BC0EE4" w:rsidP="00CD6352">
      <w:pPr>
        <w:spacing w:line="360" w:lineRule="auto"/>
        <w:rPr>
          <w:rFonts w:ascii="Arial" w:hAnsi="Arial" w:cs="Arial"/>
        </w:rPr>
      </w:pPr>
      <w:r>
        <w:rPr>
          <w:rFonts w:ascii="Arial" w:hAnsi="Arial" w:cs="Arial"/>
        </w:rPr>
        <w:t xml:space="preserve">The fundamental weakness of Mintzberg’s model visa-vis </w:t>
      </w:r>
      <w:r w:rsidR="006A62F3">
        <w:rPr>
          <w:rFonts w:ascii="Arial" w:hAnsi="Arial" w:cs="Arial"/>
        </w:rPr>
        <w:t xml:space="preserve">the process map for securing finance for real estate project development is the ambiguity of Mintzberg’s model. This ambiguity was avoided in </w:t>
      </w:r>
      <w:r w:rsidR="00AE0CE2">
        <w:rPr>
          <w:rFonts w:ascii="Arial" w:hAnsi="Arial" w:cs="Arial"/>
        </w:rPr>
        <w:t>developing</w:t>
      </w:r>
      <w:r w:rsidR="006A62F3">
        <w:rPr>
          <w:rFonts w:ascii="Arial" w:hAnsi="Arial" w:cs="Arial"/>
        </w:rPr>
        <w:t xml:space="preserve"> the process map to enhance acceptability and ease of understanding of the process map by an average manager in the real estate sector. </w:t>
      </w:r>
      <w:r w:rsidR="002D1257">
        <w:rPr>
          <w:rFonts w:ascii="Arial" w:hAnsi="Arial" w:cs="Arial"/>
        </w:rPr>
        <w:t xml:space="preserve">Consequently, the process map did not adopt the </w:t>
      </w:r>
      <w:r w:rsidR="00404ED3">
        <w:rPr>
          <w:rFonts w:ascii="Arial" w:hAnsi="Arial" w:cs="Arial"/>
        </w:rPr>
        <w:t>intricacies</w:t>
      </w:r>
      <w:r w:rsidR="002D1257">
        <w:rPr>
          <w:rFonts w:ascii="Arial" w:hAnsi="Arial" w:cs="Arial"/>
        </w:rPr>
        <w:t xml:space="preserve"> of the breakdown of the supporting routines in Mintzberg’s model.</w:t>
      </w:r>
      <w:r w:rsidR="00404ED3">
        <w:rPr>
          <w:rFonts w:ascii="Arial" w:hAnsi="Arial" w:cs="Arial"/>
        </w:rPr>
        <w:t xml:space="preserve"> The process map simply aligned </w:t>
      </w:r>
      <w:r w:rsidR="0080128D">
        <w:rPr>
          <w:rFonts w:ascii="Arial" w:hAnsi="Arial" w:cs="Arial"/>
        </w:rPr>
        <w:t>the variables</w:t>
      </w:r>
      <w:r w:rsidR="00404ED3">
        <w:rPr>
          <w:rFonts w:ascii="Arial" w:hAnsi="Arial" w:cs="Arial"/>
        </w:rPr>
        <w:t xml:space="preserve"> gotten from the semi</w:t>
      </w:r>
      <w:r w:rsidR="004B7990">
        <w:rPr>
          <w:rFonts w:ascii="Arial" w:hAnsi="Arial" w:cs="Arial"/>
        </w:rPr>
        <w:t>-</w:t>
      </w:r>
      <w:r w:rsidR="00404ED3">
        <w:rPr>
          <w:rFonts w:ascii="Arial" w:hAnsi="Arial" w:cs="Arial"/>
        </w:rPr>
        <w:t>structured interviews and the questionnaire survey to the phases of identification, development and selection.</w:t>
      </w:r>
    </w:p>
    <w:p w14:paraId="4BF2BB37" w14:textId="05D7C04E" w:rsidR="00DD5B25" w:rsidRPr="00A77AD9" w:rsidRDefault="0080128D" w:rsidP="00CD6352">
      <w:pPr>
        <w:spacing w:line="360" w:lineRule="auto"/>
        <w:rPr>
          <w:rFonts w:ascii="Arial" w:hAnsi="Arial" w:cs="Arial"/>
        </w:rPr>
      </w:pPr>
      <w:r>
        <w:rPr>
          <w:rFonts w:ascii="Arial" w:hAnsi="Arial" w:cs="Arial"/>
        </w:rPr>
        <w:t>This research also applied the soci</w:t>
      </w:r>
      <w:r w:rsidR="004B7661">
        <w:rPr>
          <w:rFonts w:ascii="Arial" w:hAnsi="Arial" w:cs="Arial"/>
        </w:rPr>
        <w:t>o</w:t>
      </w:r>
      <w:r>
        <w:rPr>
          <w:rFonts w:ascii="Arial" w:hAnsi="Arial" w:cs="Arial"/>
        </w:rPr>
        <w:t>-technical theory of process mapping techniques in the development of the process map for securing finance for real estate project development</w:t>
      </w:r>
      <w:r w:rsidR="00365C92">
        <w:rPr>
          <w:rFonts w:ascii="Arial" w:hAnsi="Arial" w:cs="Arial"/>
        </w:rPr>
        <w:t>,</w:t>
      </w:r>
      <w:r>
        <w:rPr>
          <w:rFonts w:ascii="Arial" w:hAnsi="Arial" w:cs="Arial"/>
        </w:rPr>
        <w:t xml:space="preserve"> as showed in the next segment.</w:t>
      </w:r>
    </w:p>
    <w:p w14:paraId="57F4ACDE" w14:textId="6E9858C4" w:rsidR="00CD6352" w:rsidRPr="00563018" w:rsidRDefault="00CD6352" w:rsidP="00CD6352">
      <w:pPr>
        <w:rPr>
          <w:rFonts w:ascii="Arial" w:hAnsi="Arial" w:cs="Arial"/>
          <w:b/>
          <w:bCs/>
          <w:u w:val="single"/>
        </w:rPr>
      </w:pPr>
      <w:r w:rsidRPr="00563018">
        <w:rPr>
          <w:rFonts w:ascii="Arial" w:hAnsi="Arial" w:cs="Arial"/>
          <w:b/>
          <w:bCs/>
          <w:u w:val="single"/>
        </w:rPr>
        <w:t xml:space="preserve">Socio-technical systems </w:t>
      </w:r>
      <w:r w:rsidR="00032952" w:rsidRPr="00563018">
        <w:rPr>
          <w:rFonts w:ascii="Arial" w:hAnsi="Arial" w:cs="Arial"/>
          <w:b/>
          <w:bCs/>
          <w:u w:val="single"/>
        </w:rPr>
        <w:t>theory as</w:t>
      </w:r>
      <w:r w:rsidRPr="00563018">
        <w:rPr>
          <w:rFonts w:ascii="Arial" w:hAnsi="Arial" w:cs="Arial"/>
          <w:b/>
          <w:bCs/>
          <w:u w:val="single"/>
        </w:rPr>
        <w:t xml:space="preserve"> a process mapping technique</w:t>
      </w:r>
    </w:p>
    <w:p w14:paraId="6098AA12" w14:textId="0881D221" w:rsidR="00CD6352" w:rsidRPr="00E71A0A" w:rsidRDefault="00CD6352" w:rsidP="00CD6352">
      <w:pPr>
        <w:spacing w:line="360" w:lineRule="auto"/>
        <w:rPr>
          <w:rFonts w:ascii="Arial" w:hAnsi="Arial" w:cs="Arial"/>
        </w:rPr>
      </w:pPr>
      <w:r w:rsidRPr="00563018">
        <w:rPr>
          <w:rFonts w:ascii="Arial" w:hAnsi="Arial" w:cs="Arial"/>
        </w:rPr>
        <w:t xml:space="preserve">The process mapping methods are also used in the development of the process map for securing finance for real estate project development. This is because process mapping </w:t>
      </w:r>
      <w:r w:rsidR="00CD728F" w:rsidRPr="00563018">
        <w:rPr>
          <w:rFonts w:ascii="Arial" w:hAnsi="Arial" w:cs="Arial"/>
        </w:rPr>
        <w:t>consists of</w:t>
      </w:r>
      <w:r w:rsidRPr="00563018">
        <w:rPr>
          <w:rFonts w:ascii="Arial" w:hAnsi="Arial" w:cs="Arial"/>
        </w:rPr>
        <w:t xml:space="preserve"> constructing models that show the relationship between the different activities (Biazzo, 1997). Socio-technical systems design (STSD) methods </w:t>
      </w:r>
      <w:r w:rsidR="00CD728F" w:rsidRPr="00563018">
        <w:rPr>
          <w:rFonts w:ascii="Arial" w:hAnsi="Arial" w:cs="Arial"/>
        </w:rPr>
        <w:t>are approaches</w:t>
      </w:r>
      <w:r w:rsidRPr="00563018">
        <w:rPr>
          <w:rFonts w:ascii="Arial" w:hAnsi="Arial" w:cs="Arial"/>
        </w:rPr>
        <w:t xml:space="preserve"> to design</w:t>
      </w:r>
      <w:r>
        <w:rPr>
          <w:rFonts w:ascii="Arial" w:hAnsi="Arial" w:cs="Arial"/>
        </w:rPr>
        <w:t xml:space="preserve"> that consider </w:t>
      </w:r>
      <w:r w:rsidR="007E765E">
        <w:rPr>
          <w:rFonts w:ascii="Arial" w:hAnsi="Arial" w:cs="Arial"/>
        </w:rPr>
        <w:t>technical, human</w:t>
      </w:r>
      <w:r>
        <w:rPr>
          <w:rFonts w:ascii="Arial" w:hAnsi="Arial" w:cs="Arial"/>
        </w:rPr>
        <w:t>, social and organisational aspects of a system together (</w:t>
      </w:r>
      <w:r w:rsidRPr="00CD728F">
        <w:rPr>
          <w:rFonts w:ascii="Arial" w:hAnsi="Arial" w:cs="Arial"/>
        </w:rPr>
        <w:t>Baxter</w:t>
      </w:r>
      <w:r>
        <w:t xml:space="preserve"> &amp; </w:t>
      </w:r>
      <w:r w:rsidRPr="00734078">
        <w:rPr>
          <w:rFonts w:ascii="Arial" w:hAnsi="Arial" w:cs="Arial"/>
        </w:rPr>
        <w:t>Sommerville, 2010). Socio</w:t>
      </w:r>
      <w:r w:rsidR="004B7990">
        <w:rPr>
          <w:rFonts w:ascii="Arial" w:hAnsi="Arial" w:cs="Arial"/>
        </w:rPr>
        <w:t>-</w:t>
      </w:r>
      <w:r w:rsidRPr="00734078">
        <w:rPr>
          <w:rFonts w:ascii="Arial" w:hAnsi="Arial" w:cs="Arial"/>
        </w:rPr>
        <w:t xml:space="preserve">technical design is based on the premise that an organisation or a work unit is a combination of </w:t>
      </w:r>
      <w:r w:rsidR="00A26A94" w:rsidRPr="00734078">
        <w:rPr>
          <w:rFonts w:ascii="Arial" w:hAnsi="Arial" w:cs="Arial"/>
        </w:rPr>
        <w:t>social and</w:t>
      </w:r>
      <w:r w:rsidRPr="00734078">
        <w:rPr>
          <w:rFonts w:ascii="Arial" w:hAnsi="Arial" w:cs="Arial"/>
        </w:rPr>
        <w:t xml:space="preserve"> technical parts that </w:t>
      </w:r>
      <w:r w:rsidR="004B7990">
        <w:rPr>
          <w:rFonts w:ascii="Arial" w:hAnsi="Arial" w:cs="Arial"/>
        </w:rPr>
        <w:t>are</w:t>
      </w:r>
      <w:r w:rsidRPr="00734078">
        <w:rPr>
          <w:rFonts w:ascii="Arial" w:hAnsi="Arial" w:cs="Arial"/>
        </w:rPr>
        <w:t xml:space="preserve"> open to its environment (Appelbaum, 1997).</w:t>
      </w:r>
      <w:r>
        <w:rPr>
          <w:rFonts w:ascii="Arial" w:hAnsi="Arial" w:cs="Arial"/>
        </w:rPr>
        <w:t xml:space="preserve"> </w:t>
      </w:r>
      <w:r w:rsidRPr="00E71A0A">
        <w:rPr>
          <w:rFonts w:ascii="Arial" w:hAnsi="Arial" w:cs="Arial"/>
        </w:rPr>
        <w:t xml:space="preserve">According to the work of Emery &amp; Trist ( 1978 &amp; Trist (1982) as </w:t>
      </w:r>
      <w:r>
        <w:rPr>
          <w:rFonts w:ascii="Arial" w:hAnsi="Arial" w:cs="Arial"/>
        </w:rPr>
        <w:t>outlined</w:t>
      </w:r>
      <w:r w:rsidRPr="00E71A0A">
        <w:rPr>
          <w:rFonts w:ascii="Arial" w:hAnsi="Arial" w:cs="Arial"/>
        </w:rPr>
        <w:t xml:space="preserve"> by ( Biazzo 1997)</w:t>
      </w:r>
      <w:r w:rsidR="00563018">
        <w:rPr>
          <w:rFonts w:ascii="Arial" w:hAnsi="Arial" w:cs="Arial"/>
        </w:rPr>
        <w:t>,</w:t>
      </w:r>
      <w:r w:rsidRPr="00E71A0A">
        <w:rPr>
          <w:rFonts w:ascii="Arial" w:hAnsi="Arial" w:cs="Arial"/>
        </w:rPr>
        <w:t xml:space="preserve"> the traditional methodology of sociotechnical analysis is usually in five stages which</w:t>
      </w:r>
      <w:r w:rsidR="00563018">
        <w:rPr>
          <w:rFonts w:ascii="Arial" w:hAnsi="Arial" w:cs="Arial"/>
        </w:rPr>
        <w:t>,</w:t>
      </w:r>
      <w:r w:rsidRPr="00E71A0A">
        <w:rPr>
          <w:rFonts w:ascii="Arial" w:hAnsi="Arial" w:cs="Arial"/>
        </w:rPr>
        <w:t xml:space="preserve"> are initial scanning, technical analysis, social analysis, analysis of external systems and work system design proposal.</w:t>
      </w:r>
    </w:p>
    <w:p w14:paraId="5BC1642E" w14:textId="7766E39F" w:rsidR="00CD6352" w:rsidRPr="00686AC0" w:rsidRDefault="00CD6352" w:rsidP="00CD6352">
      <w:pPr>
        <w:spacing w:line="360" w:lineRule="auto"/>
        <w:rPr>
          <w:rFonts w:ascii="Arial" w:hAnsi="Arial" w:cs="Arial"/>
        </w:rPr>
      </w:pPr>
      <w:r w:rsidRPr="00686AC0">
        <w:rPr>
          <w:rFonts w:ascii="Arial" w:hAnsi="Arial" w:cs="Arial"/>
        </w:rPr>
        <w:t xml:space="preserve">According </w:t>
      </w:r>
      <w:r>
        <w:rPr>
          <w:rFonts w:ascii="Arial" w:hAnsi="Arial" w:cs="Arial"/>
        </w:rPr>
        <w:t xml:space="preserve">to </w:t>
      </w:r>
      <w:r w:rsidRPr="00686AC0">
        <w:rPr>
          <w:rFonts w:ascii="Arial" w:hAnsi="Arial" w:cs="Arial"/>
        </w:rPr>
        <w:t>Badham et al</w:t>
      </w:r>
      <w:r w:rsidR="00563018">
        <w:rPr>
          <w:rFonts w:ascii="Arial" w:hAnsi="Arial" w:cs="Arial"/>
        </w:rPr>
        <w:t>.</w:t>
      </w:r>
      <w:r w:rsidRPr="00686AC0">
        <w:rPr>
          <w:rFonts w:ascii="Arial" w:hAnsi="Arial" w:cs="Arial"/>
        </w:rPr>
        <w:t xml:space="preserve">, 2000, socio-technical systems in contemporary times </w:t>
      </w:r>
      <w:r>
        <w:rPr>
          <w:rFonts w:ascii="Arial" w:hAnsi="Arial" w:cs="Arial"/>
        </w:rPr>
        <w:t>are</w:t>
      </w:r>
      <w:r w:rsidRPr="00686AC0">
        <w:rPr>
          <w:rFonts w:ascii="Arial" w:hAnsi="Arial" w:cs="Arial"/>
        </w:rPr>
        <w:t xml:space="preserve"> used to describe many complex systems</w:t>
      </w:r>
      <w:r w:rsidR="00563018">
        <w:rPr>
          <w:rFonts w:ascii="Arial" w:hAnsi="Arial" w:cs="Arial"/>
        </w:rPr>
        <w:t>,</w:t>
      </w:r>
      <w:r w:rsidRPr="00686AC0">
        <w:rPr>
          <w:rFonts w:ascii="Arial" w:hAnsi="Arial" w:cs="Arial"/>
        </w:rPr>
        <w:t xml:space="preserve"> but the characteristics of socio-technical systems are five (Baxter &amp; Sommerville, 2010):</w:t>
      </w:r>
    </w:p>
    <w:p w14:paraId="252D2B47" w14:textId="4AB14CD5" w:rsidR="00CD6352" w:rsidRDefault="00CD6352" w:rsidP="007625E7">
      <w:pPr>
        <w:pStyle w:val="ListParagraph"/>
        <w:numPr>
          <w:ilvl w:val="0"/>
          <w:numId w:val="328"/>
        </w:numPr>
        <w:spacing w:line="360" w:lineRule="auto"/>
        <w:rPr>
          <w:rFonts w:ascii="Arial" w:hAnsi="Arial" w:cs="Arial"/>
        </w:rPr>
      </w:pPr>
      <w:r>
        <w:rPr>
          <w:rFonts w:ascii="Arial" w:hAnsi="Arial" w:cs="Arial"/>
        </w:rPr>
        <w:t>Systems should have interdependent parts</w:t>
      </w:r>
    </w:p>
    <w:p w14:paraId="50E21237" w14:textId="77777777" w:rsidR="00CD6352" w:rsidRDefault="00CD6352" w:rsidP="007625E7">
      <w:pPr>
        <w:pStyle w:val="ListParagraph"/>
        <w:numPr>
          <w:ilvl w:val="0"/>
          <w:numId w:val="328"/>
        </w:numPr>
        <w:spacing w:line="360" w:lineRule="auto"/>
        <w:rPr>
          <w:rFonts w:ascii="Arial" w:hAnsi="Arial" w:cs="Arial"/>
        </w:rPr>
      </w:pPr>
      <w:r>
        <w:rPr>
          <w:rFonts w:ascii="Arial" w:hAnsi="Arial" w:cs="Arial"/>
        </w:rPr>
        <w:t>Systems should adapt to and pursue goals in external environments</w:t>
      </w:r>
    </w:p>
    <w:p w14:paraId="0BE1B681" w14:textId="41374E56" w:rsidR="00CD6352" w:rsidRDefault="00CD6352" w:rsidP="007625E7">
      <w:pPr>
        <w:pStyle w:val="ListParagraph"/>
        <w:numPr>
          <w:ilvl w:val="0"/>
          <w:numId w:val="328"/>
        </w:numPr>
        <w:spacing w:line="360" w:lineRule="auto"/>
        <w:rPr>
          <w:rFonts w:ascii="Arial" w:hAnsi="Arial" w:cs="Arial"/>
        </w:rPr>
      </w:pPr>
      <w:r>
        <w:rPr>
          <w:rFonts w:ascii="Arial" w:hAnsi="Arial" w:cs="Arial"/>
        </w:rPr>
        <w:t>Systems have equifinality</w:t>
      </w:r>
      <w:r w:rsidR="00563018">
        <w:rPr>
          <w:rFonts w:ascii="Arial" w:hAnsi="Arial" w:cs="Arial"/>
        </w:rPr>
        <w:t>,</w:t>
      </w:r>
      <w:r>
        <w:rPr>
          <w:rFonts w:ascii="Arial" w:hAnsi="Arial" w:cs="Arial"/>
        </w:rPr>
        <w:t xml:space="preserve"> and this means systems goals can be achieved by more than one means depending on the design choice made during the development.</w:t>
      </w:r>
    </w:p>
    <w:p w14:paraId="05068051" w14:textId="77777777" w:rsidR="00E2088E" w:rsidRDefault="00CD6352" w:rsidP="00E2088E">
      <w:pPr>
        <w:pStyle w:val="ListParagraph"/>
        <w:numPr>
          <w:ilvl w:val="0"/>
          <w:numId w:val="328"/>
        </w:numPr>
        <w:spacing w:line="360" w:lineRule="auto"/>
        <w:rPr>
          <w:rFonts w:ascii="Arial" w:hAnsi="Arial" w:cs="Arial"/>
        </w:rPr>
      </w:pPr>
      <w:r>
        <w:rPr>
          <w:rFonts w:ascii="Arial" w:hAnsi="Arial" w:cs="Arial"/>
        </w:rPr>
        <w:t xml:space="preserve">System performance relies on the joint optimisation of technical and social subsystems. </w:t>
      </w:r>
    </w:p>
    <w:p w14:paraId="6D232344" w14:textId="5FE15C41" w:rsidR="00CD6352" w:rsidRDefault="00CD6352" w:rsidP="007625E7">
      <w:pPr>
        <w:pStyle w:val="ListParagraph"/>
        <w:numPr>
          <w:ilvl w:val="0"/>
          <w:numId w:val="328"/>
        </w:numPr>
        <w:spacing w:line="360" w:lineRule="auto"/>
        <w:rPr>
          <w:rFonts w:ascii="Arial" w:hAnsi="Arial" w:cs="Arial"/>
        </w:rPr>
      </w:pPr>
      <w:r>
        <w:rPr>
          <w:rFonts w:ascii="Arial" w:hAnsi="Arial" w:cs="Arial"/>
        </w:rPr>
        <w:lastRenderedPageBreak/>
        <w:t>Consequently, focusing on one of these system</w:t>
      </w:r>
      <w:r w:rsidR="004B7990">
        <w:rPr>
          <w:rFonts w:ascii="Arial" w:hAnsi="Arial" w:cs="Arial"/>
        </w:rPr>
        <w:t>s</w:t>
      </w:r>
      <w:r>
        <w:rPr>
          <w:rFonts w:ascii="Arial" w:hAnsi="Arial" w:cs="Arial"/>
        </w:rPr>
        <w:t xml:space="preserve"> to the exclusion of the other is likely to lead to degraded system performance and utility</w:t>
      </w:r>
      <w:r w:rsidR="00B025D1">
        <w:rPr>
          <w:rFonts w:ascii="Arial" w:hAnsi="Arial" w:cs="Arial"/>
        </w:rPr>
        <w:t>.</w:t>
      </w:r>
    </w:p>
    <w:p w14:paraId="780CCE94" w14:textId="46121562" w:rsidR="00CD6352" w:rsidRDefault="00CD6352" w:rsidP="00CD6352">
      <w:pPr>
        <w:spacing w:line="360" w:lineRule="auto"/>
        <w:rPr>
          <w:rFonts w:ascii="Arial" w:hAnsi="Arial" w:cs="Arial"/>
        </w:rPr>
      </w:pPr>
      <w:r>
        <w:rPr>
          <w:rFonts w:ascii="Arial" w:hAnsi="Arial" w:cs="Arial"/>
        </w:rPr>
        <w:t>The process map for securing finance for real estate project development is divided into five stages</w:t>
      </w:r>
      <w:r w:rsidR="002F0E67">
        <w:rPr>
          <w:rFonts w:ascii="Arial" w:hAnsi="Arial" w:cs="Arial"/>
        </w:rPr>
        <w:t>:</w:t>
      </w:r>
      <w:r>
        <w:rPr>
          <w:rFonts w:ascii="Arial" w:hAnsi="Arial" w:cs="Arial"/>
        </w:rPr>
        <w:t xml:space="preserve"> stage zero to stage four. Stage 0 has to do with the identification stage. The manager identifies the market/ demand at this stage</w:t>
      </w:r>
      <w:r w:rsidR="00B025D1">
        <w:rPr>
          <w:rFonts w:ascii="Arial" w:hAnsi="Arial" w:cs="Arial"/>
        </w:rPr>
        <w:t>, decides on the project's location,</w:t>
      </w:r>
      <w:r>
        <w:rPr>
          <w:rFonts w:ascii="Arial" w:hAnsi="Arial" w:cs="Arial"/>
        </w:rPr>
        <w:t xml:space="preserve"> and makes decisions on whether it is a commercial or retail project </w:t>
      </w:r>
      <w:r w:rsidR="00523CC6">
        <w:rPr>
          <w:rFonts w:ascii="Arial" w:hAnsi="Arial" w:cs="Arial"/>
        </w:rPr>
        <w:t>(Geltner</w:t>
      </w:r>
      <w:r>
        <w:rPr>
          <w:rFonts w:ascii="Arial" w:hAnsi="Arial" w:cs="Arial"/>
        </w:rPr>
        <w:t xml:space="preserve"> et al</w:t>
      </w:r>
      <w:r w:rsidR="00B025D1">
        <w:rPr>
          <w:rFonts w:ascii="Arial" w:hAnsi="Arial" w:cs="Arial"/>
        </w:rPr>
        <w:t>.</w:t>
      </w:r>
      <w:r>
        <w:rPr>
          <w:rFonts w:ascii="Arial" w:hAnsi="Arial" w:cs="Arial"/>
        </w:rPr>
        <w:t xml:space="preserve">, 2001). The demand for real </w:t>
      </w:r>
      <w:r w:rsidR="00523CC6">
        <w:rPr>
          <w:rFonts w:ascii="Arial" w:hAnsi="Arial" w:cs="Arial"/>
        </w:rPr>
        <w:t>estate</w:t>
      </w:r>
      <w:r w:rsidR="002F0E67">
        <w:rPr>
          <w:rFonts w:ascii="Arial" w:hAnsi="Arial" w:cs="Arial"/>
        </w:rPr>
        <w:t>,</w:t>
      </w:r>
      <w:r w:rsidR="00523CC6">
        <w:rPr>
          <w:rFonts w:ascii="Arial" w:hAnsi="Arial" w:cs="Arial"/>
        </w:rPr>
        <w:t xml:space="preserve"> which</w:t>
      </w:r>
      <w:r>
        <w:rPr>
          <w:rFonts w:ascii="Arial" w:hAnsi="Arial" w:cs="Arial"/>
        </w:rPr>
        <w:t xml:space="preserve"> is often referred to as </w:t>
      </w:r>
      <w:r w:rsidR="00D252FD">
        <w:rPr>
          <w:rFonts w:ascii="Arial" w:hAnsi="Arial" w:cs="Arial"/>
        </w:rPr>
        <w:t xml:space="preserve">the </w:t>
      </w:r>
      <w:r>
        <w:rPr>
          <w:rFonts w:ascii="Arial" w:hAnsi="Arial" w:cs="Arial"/>
        </w:rPr>
        <w:t>market for real estate is a factor that the manager should assess critically before initiating the financing process. The demand for real estate is fundamental to economic decisions</w:t>
      </w:r>
      <w:r w:rsidR="00B025D1">
        <w:rPr>
          <w:rFonts w:ascii="Arial" w:hAnsi="Arial" w:cs="Arial"/>
        </w:rPr>
        <w:t>,</w:t>
      </w:r>
      <w:r>
        <w:rPr>
          <w:rFonts w:ascii="Arial" w:hAnsi="Arial" w:cs="Arial"/>
        </w:rPr>
        <w:t xml:space="preserve"> and </w:t>
      </w:r>
      <w:r w:rsidR="003F5A8A">
        <w:rPr>
          <w:rFonts w:ascii="Arial" w:hAnsi="Arial" w:cs="Arial"/>
        </w:rPr>
        <w:t>the manager needs</w:t>
      </w:r>
      <w:r>
        <w:rPr>
          <w:rFonts w:ascii="Arial" w:hAnsi="Arial" w:cs="Arial"/>
        </w:rPr>
        <w:t xml:space="preserve"> to gather enough data at this stage to understand the nature of the demand (Mueller, 2002).</w:t>
      </w:r>
    </w:p>
    <w:p w14:paraId="1E5DECBE" w14:textId="2C440E56" w:rsidR="00CD6352" w:rsidRDefault="00CD6352" w:rsidP="00CD6352">
      <w:pPr>
        <w:spacing w:line="360" w:lineRule="auto"/>
        <w:rPr>
          <w:rFonts w:ascii="Arial" w:hAnsi="Arial" w:cs="Arial"/>
        </w:rPr>
      </w:pPr>
      <w:r w:rsidRPr="00523CC6">
        <w:rPr>
          <w:rFonts w:ascii="Arial" w:hAnsi="Arial" w:cs="Arial"/>
        </w:rPr>
        <w:t>Stage 1 is identification phase 2 which is essentially the concept and strategic definition. At this stage</w:t>
      </w:r>
      <w:r w:rsidR="00B025D1">
        <w:rPr>
          <w:rFonts w:ascii="Arial" w:hAnsi="Arial" w:cs="Arial"/>
        </w:rPr>
        <w:t>,</w:t>
      </w:r>
      <w:r w:rsidRPr="00523CC6">
        <w:rPr>
          <w:rFonts w:ascii="Arial" w:hAnsi="Arial" w:cs="Arial"/>
        </w:rPr>
        <w:t xml:space="preserve"> the manager and his team undertake the external and internal environmental scan; determine the skills available to them</w:t>
      </w:r>
      <w:r w:rsidR="00B025D1">
        <w:rPr>
          <w:rFonts w:ascii="Arial" w:hAnsi="Arial" w:cs="Arial"/>
        </w:rPr>
        <w:t>,</w:t>
      </w:r>
      <w:r w:rsidRPr="00523CC6">
        <w:rPr>
          <w:rFonts w:ascii="Arial" w:hAnsi="Arial" w:cs="Arial"/>
        </w:rPr>
        <w:t xml:space="preserve"> and scan for financiers. A detailed environmental scan will enable the manager to</w:t>
      </w:r>
      <w:r>
        <w:rPr>
          <w:rFonts w:ascii="Arial" w:hAnsi="Arial" w:cs="Arial"/>
        </w:rPr>
        <w:t xml:space="preserve"> assess the strengths</w:t>
      </w:r>
      <w:r w:rsidR="00B025D1">
        <w:rPr>
          <w:rFonts w:ascii="Arial" w:hAnsi="Arial" w:cs="Arial"/>
        </w:rPr>
        <w:t>, weaknesses, opportunities, and threats the team may face in securing real estate project execution finance</w:t>
      </w:r>
      <w:r>
        <w:rPr>
          <w:rFonts w:ascii="Arial" w:hAnsi="Arial" w:cs="Arial"/>
        </w:rPr>
        <w:t xml:space="preserve">. A proper SWOT analysis will enable policies that will mitigate and /or reduce weaknesses and threats as well as enhance strengths and opportunities (Fine, 2009). Stage 1 also enables the managers to do a preliminary assessment of </w:t>
      </w:r>
      <w:r w:rsidR="00B025D1">
        <w:rPr>
          <w:rFonts w:ascii="Arial" w:hAnsi="Arial" w:cs="Arial"/>
        </w:rPr>
        <w:t>the hard and soft skills</w:t>
      </w:r>
      <w:r>
        <w:rPr>
          <w:rFonts w:ascii="Arial" w:hAnsi="Arial" w:cs="Arial"/>
        </w:rPr>
        <w:t xml:space="preserve"> available to them and what would be </w:t>
      </w:r>
      <w:r w:rsidR="00A26A94">
        <w:rPr>
          <w:rFonts w:ascii="Arial" w:hAnsi="Arial" w:cs="Arial"/>
        </w:rPr>
        <w:t>needed.</w:t>
      </w:r>
      <w:r>
        <w:rPr>
          <w:rFonts w:ascii="Arial" w:hAnsi="Arial" w:cs="Arial"/>
        </w:rPr>
        <w:t xml:space="preserve"> The skills budget will enable the manager </w:t>
      </w:r>
      <w:r w:rsidR="00A26A94">
        <w:rPr>
          <w:rFonts w:ascii="Arial" w:hAnsi="Arial" w:cs="Arial"/>
        </w:rPr>
        <w:t>to initiate</w:t>
      </w:r>
      <w:r>
        <w:rPr>
          <w:rFonts w:ascii="Arial" w:hAnsi="Arial" w:cs="Arial"/>
        </w:rPr>
        <w:t xml:space="preserve"> the process </w:t>
      </w:r>
      <w:r w:rsidR="005C0F41">
        <w:rPr>
          <w:rFonts w:ascii="Arial" w:hAnsi="Arial" w:cs="Arial"/>
        </w:rPr>
        <w:t>of assembling</w:t>
      </w:r>
      <w:r>
        <w:rPr>
          <w:rFonts w:ascii="Arial" w:hAnsi="Arial" w:cs="Arial"/>
        </w:rPr>
        <w:t xml:space="preserve"> the </w:t>
      </w:r>
      <w:r w:rsidR="005C0F41">
        <w:rPr>
          <w:rFonts w:ascii="Arial" w:hAnsi="Arial" w:cs="Arial"/>
        </w:rPr>
        <w:t>necessary skills</w:t>
      </w:r>
      <w:r>
        <w:rPr>
          <w:rFonts w:ascii="Arial" w:hAnsi="Arial" w:cs="Arial"/>
        </w:rPr>
        <w:t xml:space="preserve"> set. Lenders traditionally look at </w:t>
      </w:r>
      <w:r w:rsidR="00AE0CE2">
        <w:rPr>
          <w:rFonts w:ascii="Arial" w:hAnsi="Arial" w:cs="Arial"/>
        </w:rPr>
        <w:t>an organisation's skill set</w:t>
      </w:r>
      <w:r>
        <w:rPr>
          <w:rFonts w:ascii="Arial" w:hAnsi="Arial" w:cs="Arial"/>
        </w:rPr>
        <w:t xml:space="preserve"> in making decisions to either avail</w:t>
      </w:r>
      <w:r w:rsidR="00D252FD">
        <w:rPr>
          <w:rFonts w:ascii="Arial" w:hAnsi="Arial" w:cs="Arial"/>
        </w:rPr>
        <w:t>s</w:t>
      </w:r>
      <w:r>
        <w:rPr>
          <w:rFonts w:ascii="Arial" w:hAnsi="Arial" w:cs="Arial"/>
        </w:rPr>
        <w:t xml:space="preserve"> them </w:t>
      </w:r>
      <w:r w:rsidR="00763DDD">
        <w:rPr>
          <w:rFonts w:ascii="Arial" w:hAnsi="Arial" w:cs="Arial"/>
        </w:rPr>
        <w:t xml:space="preserve">of </w:t>
      </w:r>
      <w:r>
        <w:rPr>
          <w:rFonts w:ascii="Arial" w:hAnsi="Arial" w:cs="Arial"/>
        </w:rPr>
        <w:t>financing or not (Ogbenjuwa et al</w:t>
      </w:r>
      <w:r w:rsidR="00B025D1">
        <w:rPr>
          <w:rFonts w:ascii="Arial" w:hAnsi="Arial" w:cs="Arial"/>
        </w:rPr>
        <w:t>.</w:t>
      </w:r>
      <w:r>
        <w:rPr>
          <w:rFonts w:ascii="Arial" w:hAnsi="Arial" w:cs="Arial"/>
        </w:rPr>
        <w:t>, 2018).  The manager also scans for financiers at this stage and this could be either debt or equity finance via public or private platforms (Geltner et al</w:t>
      </w:r>
      <w:r w:rsidR="00B025D1">
        <w:rPr>
          <w:rFonts w:ascii="Arial" w:hAnsi="Arial" w:cs="Arial"/>
        </w:rPr>
        <w:t>.</w:t>
      </w:r>
      <w:r>
        <w:rPr>
          <w:rFonts w:ascii="Arial" w:hAnsi="Arial" w:cs="Arial"/>
        </w:rPr>
        <w:t>, 2001).</w:t>
      </w:r>
    </w:p>
    <w:p w14:paraId="144FFAEF" w14:textId="3B9E5C61" w:rsidR="00CD6352" w:rsidRDefault="00CD6352" w:rsidP="00CD6352">
      <w:pPr>
        <w:spacing w:line="360" w:lineRule="auto"/>
        <w:rPr>
          <w:rFonts w:ascii="Arial" w:hAnsi="Arial" w:cs="Arial"/>
        </w:rPr>
      </w:pPr>
      <w:r w:rsidRPr="00C0512A">
        <w:rPr>
          <w:rFonts w:ascii="Arial" w:hAnsi="Arial" w:cs="Arial"/>
        </w:rPr>
        <w:t>Stage 2 is the development stage</w:t>
      </w:r>
      <w:r>
        <w:rPr>
          <w:rFonts w:ascii="Arial" w:hAnsi="Arial" w:cs="Arial"/>
        </w:rPr>
        <w:t>,</w:t>
      </w:r>
      <w:r w:rsidRPr="00C0512A">
        <w:rPr>
          <w:rFonts w:ascii="Arial" w:hAnsi="Arial" w:cs="Arial"/>
        </w:rPr>
        <w:t xml:space="preserve"> </w:t>
      </w:r>
      <w:r>
        <w:rPr>
          <w:rFonts w:ascii="Arial" w:hAnsi="Arial" w:cs="Arial"/>
        </w:rPr>
        <w:t>which is</w:t>
      </w:r>
      <w:r w:rsidRPr="00C0512A">
        <w:rPr>
          <w:rFonts w:ascii="Arial" w:hAnsi="Arial" w:cs="Arial"/>
        </w:rPr>
        <w:t xml:space="preserve"> </w:t>
      </w:r>
      <w:r w:rsidR="00B025D1">
        <w:rPr>
          <w:rFonts w:ascii="Arial" w:hAnsi="Arial" w:cs="Arial"/>
        </w:rPr>
        <w:t>when</w:t>
      </w:r>
      <w:r>
        <w:rPr>
          <w:rFonts w:ascii="Arial" w:hAnsi="Arial" w:cs="Arial"/>
        </w:rPr>
        <w:t xml:space="preserve"> </w:t>
      </w:r>
      <w:r w:rsidRPr="00C0512A">
        <w:rPr>
          <w:rFonts w:ascii="Arial" w:hAnsi="Arial" w:cs="Arial"/>
        </w:rPr>
        <w:t>the manager and his team develop the feasibility study, consumer relatio</w:t>
      </w:r>
      <w:r>
        <w:rPr>
          <w:rFonts w:ascii="Arial" w:hAnsi="Arial" w:cs="Arial"/>
        </w:rPr>
        <w:t>nship</w:t>
      </w:r>
      <w:r w:rsidRPr="00C0512A">
        <w:rPr>
          <w:rFonts w:ascii="Arial" w:hAnsi="Arial" w:cs="Arial"/>
        </w:rPr>
        <w:t xml:space="preserve"> and </w:t>
      </w:r>
      <w:r>
        <w:rPr>
          <w:rFonts w:ascii="Arial" w:hAnsi="Arial" w:cs="Arial"/>
        </w:rPr>
        <w:t xml:space="preserve">the </w:t>
      </w:r>
      <w:r w:rsidRPr="00C0512A">
        <w:rPr>
          <w:rFonts w:ascii="Arial" w:hAnsi="Arial" w:cs="Arial"/>
        </w:rPr>
        <w:t xml:space="preserve">proposal </w:t>
      </w:r>
      <w:r w:rsidR="00A26A94">
        <w:rPr>
          <w:rFonts w:ascii="Arial" w:hAnsi="Arial" w:cs="Arial"/>
        </w:rPr>
        <w:t xml:space="preserve">request </w:t>
      </w:r>
      <w:r w:rsidR="00A26A94" w:rsidRPr="00C0512A">
        <w:rPr>
          <w:rFonts w:ascii="Arial" w:hAnsi="Arial" w:cs="Arial"/>
        </w:rPr>
        <w:t>for</w:t>
      </w:r>
      <w:r w:rsidRPr="00C0512A">
        <w:rPr>
          <w:rFonts w:ascii="Arial" w:hAnsi="Arial" w:cs="Arial"/>
        </w:rPr>
        <w:t xml:space="preserve"> finance. The feasibility study the manager develops at this stage is the legal, commercial and technical feasibility.</w:t>
      </w:r>
      <w:r>
        <w:rPr>
          <w:rFonts w:ascii="Arial" w:hAnsi="Arial" w:cs="Arial"/>
        </w:rPr>
        <w:t xml:space="preserve"> Development of consumer relationship</w:t>
      </w:r>
      <w:r w:rsidR="00B025D1">
        <w:rPr>
          <w:rFonts w:ascii="Arial" w:hAnsi="Arial" w:cs="Arial"/>
        </w:rPr>
        <w:t>s</w:t>
      </w:r>
      <w:r>
        <w:rPr>
          <w:rFonts w:ascii="Arial" w:hAnsi="Arial" w:cs="Arial"/>
        </w:rPr>
        <w:t xml:space="preserve"> at this stage entails building relations with off-takers and</w:t>
      </w:r>
      <w:r w:rsidR="00D252FD">
        <w:rPr>
          <w:rFonts w:ascii="Arial" w:hAnsi="Arial" w:cs="Arial"/>
        </w:rPr>
        <w:t>/</w:t>
      </w:r>
      <w:r>
        <w:rPr>
          <w:rFonts w:ascii="Arial" w:hAnsi="Arial" w:cs="Arial"/>
        </w:rPr>
        <w:t>or prospective tenants depending on the nature of the real estate. The feasibility study helps the manager and his team prepare to launch and manage their business</w:t>
      </w:r>
      <w:r w:rsidRPr="004423F4">
        <w:rPr>
          <w:rFonts w:ascii="Arial" w:hAnsi="Arial" w:cs="Arial"/>
        </w:rPr>
        <w:t xml:space="preserve"> (</w:t>
      </w:r>
      <w:r w:rsidR="00523CC6" w:rsidRPr="004423F4">
        <w:rPr>
          <w:rFonts w:ascii="Arial" w:hAnsi="Arial" w:cs="Arial"/>
        </w:rPr>
        <w:t>Wyckham and</w:t>
      </w:r>
      <w:r w:rsidRPr="004423F4">
        <w:rPr>
          <w:rFonts w:ascii="Arial" w:hAnsi="Arial" w:cs="Arial"/>
        </w:rPr>
        <w:t xml:space="preserve"> Wedley, 1990). Technical feasibility is multi-fac</w:t>
      </w:r>
      <w:r>
        <w:rPr>
          <w:rFonts w:ascii="Arial" w:hAnsi="Arial" w:cs="Arial"/>
        </w:rPr>
        <w:t>eted</w:t>
      </w:r>
      <w:r w:rsidRPr="004423F4">
        <w:rPr>
          <w:rFonts w:ascii="Arial" w:hAnsi="Arial" w:cs="Arial"/>
        </w:rPr>
        <w:t xml:space="preserve"> </w:t>
      </w:r>
      <w:r w:rsidR="00A26A94" w:rsidRPr="004423F4">
        <w:rPr>
          <w:rFonts w:ascii="Arial" w:hAnsi="Arial" w:cs="Arial"/>
        </w:rPr>
        <w:t>and could</w:t>
      </w:r>
      <w:r w:rsidRPr="004423F4">
        <w:rPr>
          <w:rFonts w:ascii="Arial" w:hAnsi="Arial" w:cs="Arial"/>
        </w:rPr>
        <w:t xml:space="preserve"> be </w:t>
      </w:r>
      <w:r w:rsidR="00523CC6">
        <w:rPr>
          <w:rFonts w:ascii="Arial" w:hAnsi="Arial" w:cs="Arial"/>
        </w:rPr>
        <w:t xml:space="preserve">related </w:t>
      </w:r>
      <w:r w:rsidR="00523CC6" w:rsidRPr="004423F4">
        <w:rPr>
          <w:rFonts w:ascii="Arial" w:hAnsi="Arial" w:cs="Arial"/>
        </w:rPr>
        <w:t>to</w:t>
      </w:r>
      <w:r w:rsidRPr="004423F4">
        <w:rPr>
          <w:rFonts w:ascii="Arial" w:hAnsi="Arial" w:cs="Arial"/>
        </w:rPr>
        <w:t xml:space="preserve"> skills acquisition, site-location analysis and customer location. Geographical informatio</w:t>
      </w:r>
      <w:r w:rsidRPr="002D60EE">
        <w:rPr>
          <w:rFonts w:ascii="Arial" w:hAnsi="Arial" w:cs="Arial"/>
        </w:rPr>
        <w:t xml:space="preserve">n systems (GIS) </w:t>
      </w:r>
      <w:r w:rsidR="00523CC6" w:rsidRPr="002D60EE">
        <w:rPr>
          <w:rFonts w:ascii="Arial" w:hAnsi="Arial" w:cs="Arial"/>
        </w:rPr>
        <w:t>are</w:t>
      </w:r>
      <w:r w:rsidRPr="002D60EE">
        <w:rPr>
          <w:rFonts w:ascii="Arial" w:hAnsi="Arial" w:cs="Arial"/>
        </w:rPr>
        <w:t xml:space="preserve"> a very good tool for site location analysis and customer location analysis (Pearson, 2007). The </w:t>
      </w:r>
      <w:r w:rsidR="00523CC6" w:rsidRPr="002D60EE">
        <w:rPr>
          <w:rFonts w:ascii="Arial" w:hAnsi="Arial" w:cs="Arial"/>
        </w:rPr>
        <w:t>GIS could</w:t>
      </w:r>
      <w:r w:rsidRPr="002D60EE">
        <w:rPr>
          <w:rFonts w:ascii="Arial" w:hAnsi="Arial" w:cs="Arial"/>
        </w:rPr>
        <w:t xml:space="preserve"> </w:t>
      </w:r>
      <w:r>
        <w:rPr>
          <w:rFonts w:ascii="Arial" w:hAnsi="Arial" w:cs="Arial"/>
        </w:rPr>
        <w:t xml:space="preserve">also </w:t>
      </w:r>
      <w:r w:rsidRPr="002D60EE">
        <w:rPr>
          <w:rFonts w:ascii="Arial" w:hAnsi="Arial" w:cs="Arial"/>
        </w:rPr>
        <w:t>support commercial feasibility because it he</w:t>
      </w:r>
      <w:r>
        <w:rPr>
          <w:rFonts w:ascii="Arial" w:hAnsi="Arial" w:cs="Arial"/>
        </w:rPr>
        <w:t>l</w:t>
      </w:r>
      <w:r w:rsidRPr="002D60EE">
        <w:rPr>
          <w:rFonts w:ascii="Arial" w:hAnsi="Arial" w:cs="Arial"/>
        </w:rPr>
        <w:t xml:space="preserve">ps to locate </w:t>
      </w:r>
      <w:r w:rsidR="007E5DD5">
        <w:rPr>
          <w:rFonts w:ascii="Arial" w:hAnsi="Arial" w:cs="Arial"/>
        </w:rPr>
        <w:t>future markets to determine where the manager will get the highest market for the real estate project depending on the business objective,</w:t>
      </w:r>
      <w:r w:rsidRPr="002D60EE">
        <w:rPr>
          <w:rFonts w:ascii="Arial" w:hAnsi="Arial" w:cs="Arial"/>
        </w:rPr>
        <w:t xml:space="preserve"> which could be profit maximisation or fulfilment of some noble cause such as corporate social responsibility.</w:t>
      </w:r>
      <w:r>
        <w:rPr>
          <w:rFonts w:ascii="Arial" w:hAnsi="Arial" w:cs="Arial"/>
        </w:rPr>
        <w:t xml:space="preserve"> Overall, the feasibility study will </w:t>
      </w:r>
      <w:r>
        <w:rPr>
          <w:rFonts w:ascii="Arial" w:hAnsi="Arial" w:cs="Arial"/>
        </w:rPr>
        <w:lastRenderedPageBreak/>
        <w:t>determine the economic/ commercial, legal and technical viability of the project</w:t>
      </w:r>
      <w:r w:rsidR="00501D71">
        <w:rPr>
          <w:rFonts w:ascii="Arial" w:hAnsi="Arial" w:cs="Arial"/>
        </w:rPr>
        <w:t>,</w:t>
      </w:r>
      <w:r>
        <w:rPr>
          <w:rFonts w:ascii="Arial" w:hAnsi="Arial" w:cs="Arial"/>
        </w:rPr>
        <w:t xml:space="preserve"> and it will aid the manager</w:t>
      </w:r>
      <w:r w:rsidR="00D252FD">
        <w:rPr>
          <w:rFonts w:ascii="Arial" w:hAnsi="Arial" w:cs="Arial"/>
        </w:rPr>
        <w:t>'</w:t>
      </w:r>
      <w:r>
        <w:rPr>
          <w:rFonts w:ascii="Arial" w:hAnsi="Arial" w:cs="Arial"/>
        </w:rPr>
        <w:t>s decisions on whether to proceed with the project or not (Siemieniako &amp; Gebarowski, 2014).</w:t>
      </w:r>
    </w:p>
    <w:p w14:paraId="5B5A685B" w14:textId="0B41BA71" w:rsidR="00CD6352" w:rsidRDefault="00CD6352" w:rsidP="00CD6352">
      <w:pPr>
        <w:spacing w:line="360" w:lineRule="auto"/>
        <w:rPr>
          <w:rFonts w:ascii="Arial" w:hAnsi="Arial" w:cs="Arial"/>
        </w:rPr>
      </w:pPr>
      <w:r>
        <w:rPr>
          <w:rFonts w:ascii="Arial" w:hAnsi="Arial" w:cs="Arial"/>
        </w:rPr>
        <w:t>The 3</w:t>
      </w:r>
      <w:r w:rsidRPr="00BB450A">
        <w:rPr>
          <w:rFonts w:ascii="Arial" w:hAnsi="Arial" w:cs="Arial"/>
          <w:vertAlign w:val="superscript"/>
        </w:rPr>
        <w:t>rd</w:t>
      </w:r>
      <w:r>
        <w:rPr>
          <w:rFonts w:ascii="Arial" w:hAnsi="Arial" w:cs="Arial"/>
        </w:rPr>
        <w:t xml:space="preserve"> stage</w:t>
      </w:r>
      <w:r w:rsidR="00501D71">
        <w:rPr>
          <w:rFonts w:ascii="Arial" w:hAnsi="Arial" w:cs="Arial"/>
        </w:rPr>
        <w:t>,</w:t>
      </w:r>
      <w:r>
        <w:rPr>
          <w:rFonts w:ascii="Arial" w:hAnsi="Arial" w:cs="Arial"/>
        </w:rPr>
        <w:t xml:space="preserve"> also known </w:t>
      </w:r>
      <w:r w:rsidR="00A26A94">
        <w:rPr>
          <w:rFonts w:ascii="Arial" w:hAnsi="Arial" w:cs="Arial"/>
        </w:rPr>
        <w:t>as the</w:t>
      </w:r>
      <w:r>
        <w:rPr>
          <w:rFonts w:ascii="Arial" w:hAnsi="Arial" w:cs="Arial"/>
        </w:rPr>
        <w:t xml:space="preserve"> selection </w:t>
      </w:r>
      <w:r w:rsidR="00816CA1">
        <w:rPr>
          <w:rFonts w:ascii="Arial" w:hAnsi="Arial" w:cs="Arial"/>
        </w:rPr>
        <w:t>stage</w:t>
      </w:r>
      <w:r w:rsidR="00501D71">
        <w:rPr>
          <w:rFonts w:ascii="Arial" w:hAnsi="Arial" w:cs="Arial"/>
        </w:rPr>
        <w:t>,</w:t>
      </w:r>
      <w:r w:rsidR="00816CA1">
        <w:rPr>
          <w:rFonts w:ascii="Arial" w:hAnsi="Arial" w:cs="Arial"/>
        </w:rPr>
        <w:t xml:space="preserve"> entails</w:t>
      </w:r>
      <w:r>
        <w:rPr>
          <w:rFonts w:ascii="Arial" w:hAnsi="Arial" w:cs="Arial"/>
        </w:rPr>
        <w:t xml:space="preserve"> contacting </w:t>
      </w:r>
      <w:r w:rsidR="00816CA1">
        <w:rPr>
          <w:rFonts w:ascii="Arial" w:hAnsi="Arial" w:cs="Arial"/>
        </w:rPr>
        <w:t>financiers,</w:t>
      </w:r>
      <w:r>
        <w:rPr>
          <w:rFonts w:ascii="Arial" w:hAnsi="Arial" w:cs="Arial"/>
        </w:rPr>
        <w:t xml:space="preserve"> obtaining </w:t>
      </w:r>
      <w:r w:rsidR="00C52D0D">
        <w:rPr>
          <w:rFonts w:ascii="Arial" w:hAnsi="Arial" w:cs="Arial"/>
        </w:rPr>
        <w:t>funds,</w:t>
      </w:r>
      <w:r>
        <w:rPr>
          <w:rFonts w:ascii="Arial" w:hAnsi="Arial" w:cs="Arial"/>
        </w:rPr>
        <w:t xml:space="preserve"> and executing project </w:t>
      </w:r>
      <w:r w:rsidR="00816CA1">
        <w:rPr>
          <w:rFonts w:ascii="Arial" w:hAnsi="Arial" w:cs="Arial"/>
        </w:rPr>
        <w:t>development.</w:t>
      </w:r>
      <w:r>
        <w:rPr>
          <w:rFonts w:ascii="Arial" w:hAnsi="Arial" w:cs="Arial"/>
        </w:rPr>
        <w:t xml:space="preserve"> The </w:t>
      </w:r>
      <w:r w:rsidR="00816CA1">
        <w:rPr>
          <w:rFonts w:ascii="Arial" w:hAnsi="Arial" w:cs="Arial"/>
        </w:rPr>
        <w:t>manager answers</w:t>
      </w:r>
      <w:r>
        <w:rPr>
          <w:rFonts w:ascii="Arial" w:hAnsi="Arial" w:cs="Arial"/>
        </w:rPr>
        <w:t xml:space="preserve"> the question of optimal capital structure at this </w:t>
      </w:r>
      <w:r w:rsidR="00816CA1">
        <w:rPr>
          <w:rFonts w:ascii="Arial" w:hAnsi="Arial" w:cs="Arial"/>
        </w:rPr>
        <w:t>stage.</w:t>
      </w:r>
      <w:r>
        <w:rPr>
          <w:rFonts w:ascii="Arial" w:hAnsi="Arial" w:cs="Arial"/>
        </w:rPr>
        <w:t xml:space="preserve"> </w:t>
      </w:r>
      <w:r w:rsidR="00AE0CE2">
        <w:rPr>
          <w:rFonts w:ascii="Arial" w:hAnsi="Arial" w:cs="Arial"/>
        </w:rPr>
        <w:t>At this stage,</w:t>
      </w:r>
      <w:r>
        <w:rPr>
          <w:rFonts w:ascii="Arial" w:hAnsi="Arial" w:cs="Arial"/>
        </w:rPr>
        <w:t xml:space="preserve"> the manager makes decisions on financiers and </w:t>
      </w:r>
      <w:r w:rsidR="00F03F16">
        <w:rPr>
          <w:rFonts w:ascii="Arial" w:hAnsi="Arial" w:cs="Arial"/>
        </w:rPr>
        <w:t>the types</w:t>
      </w:r>
      <w:r>
        <w:rPr>
          <w:rFonts w:ascii="Arial" w:hAnsi="Arial" w:cs="Arial"/>
        </w:rPr>
        <w:t xml:space="preserve"> of finance that should be used for the project. The manager determines the appropriate mix of inside and outside finance, otherwise known as the capital structure, at this stage and contacts and negotiates with financiers (Riddiough, 2004; Squires et al</w:t>
      </w:r>
      <w:r w:rsidR="00052B03">
        <w:rPr>
          <w:rFonts w:ascii="Arial" w:hAnsi="Arial" w:cs="Arial"/>
        </w:rPr>
        <w:t>.</w:t>
      </w:r>
      <w:r>
        <w:rPr>
          <w:rFonts w:ascii="Arial" w:hAnsi="Arial" w:cs="Arial"/>
        </w:rPr>
        <w:t>, 2016). The real estate project is developed at this stage</w:t>
      </w:r>
      <w:r w:rsidR="00052B03">
        <w:rPr>
          <w:rFonts w:ascii="Arial" w:hAnsi="Arial" w:cs="Arial"/>
        </w:rPr>
        <w:t>,</w:t>
      </w:r>
      <w:r>
        <w:rPr>
          <w:rFonts w:ascii="Arial" w:hAnsi="Arial" w:cs="Arial"/>
        </w:rPr>
        <w:t xml:space="preserve"> and the deal is closed.</w:t>
      </w:r>
    </w:p>
    <w:p w14:paraId="36625A7A" w14:textId="25573AE5" w:rsidR="00CD6352" w:rsidRDefault="00CD6352" w:rsidP="00CD6352">
      <w:pPr>
        <w:spacing w:line="360" w:lineRule="auto"/>
        <w:rPr>
          <w:rFonts w:ascii="Arial" w:hAnsi="Arial" w:cs="Arial"/>
        </w:rPr>
      </w:pPr>
      <w:r>
        <w:rPr>
          <w:rFonts w:ascii="Arial" w:hAnsi="Arial" w:cs="Arial"/>
        </w:rPr>
        <w:t>The 4</w:t>
      </w:r>
      <w:r w:rsidRPr="00316DD5">
        <w:rPr>
          <w:rFonts w:ascii="Arial" w:hAnsi="Arial" w:cs="Arial"/>
          <w:vertAlign w:val="superscript"/>
        </w:rPr>
        <w:t>th</w:t>
      </w:r>
      <w:r>
        <w:rPr>
          <w:rFonts w:ascii="Arial" w:hAnsi="Arial" w:cs="Arial"/>
        </w:rPr>
        <w:t xml:space="preserve"> stage is the final </w:t>
      </w:r>
      <w:r w:rsidR="00F03F16">
        <w:rPr>
          <w:rFonts w:ascii="Arial" w:hAnsi="Arial" w:cs="Arial"/>
        </w:rPr>
        <w:t>stage,</w:t>
      </w:r>
      <w:r>
        <w:rPr>
          <w:rFonts w:ascii="Arial" w:hAnsi="Arial" w:cs="Arial"/>
        </w:rPr>
        <w:t xml:space="preserve"> and this is also a feedback stage. At this stage</w:t>
      </w:r>
      <w:r w:rsidR="00D252FD">
        <w:rPr>
          <w:rFonts w:ascii="Arial" w:hAnsi="Arial" w:cs="Arial"/>
        </w:rPr>
        <w:t>,</w:t>
      </w:r>
      <w:r>
        <w:rPr>
          <w:rFonts w:ascii="Arial" w:hAnsi="Arial" w:cs="Arial"/>
        </w:rPr>
        <w:t xml:space="preserve"> the manager meets up with the debt and</w:t>
      </w:r>
      <w:r w:rsidR="00D252FD">
        <w:rPr>
          <w:rFonts w:ascii="Arial" w:hAnsi="Arial" w:cs="Arial"/>
        </w:rPr>
        <w:t>/</w:t>
      </w:r>
      <w:r>
        <w:rPr>
          <w:rFonts w:ascii="Arial" w:hAnsi="Arial" w:cs="Arial"/>
        </w:rPr>
        <w:t>or equity covenants, pays</w:t>
      </w:r>
      <w:r w:rsidR="001F746C">
        <w:rPr>
          <w:rFonts w:ascii="Arial" w:hAnsi="Arial" w:cs="Arial"/>
        </w:rPr>
        <w:t xml:space="preserve"> </w:t>
      </w:r>
      <w:r>
        <w:rPr>
          <w:rFonts w:ascii="Arial" w:hAnsi="Arial" w:cs="Arial"/>
        </w:rPr>
        <w:t xml:space="preserve">off debt and sustains relationships with the financiers. Debt/equity covenant violation has great cost and relationship implications </w:t>
      </w:r>
      <w:r w:rsidR="00DC059B">
        <w:rPr>
          <w:rFonts w:ascii="Arial" w:hAnsi="Arial" w:cs="Arial"/>
        </w:rPr>
        <w:t>for real</w:t>
      </w:r>
      <w:r>
        <w:rPr>
          <w:rFonts w:ascii="Arial" w:hAnsi="Arial" w:cs="Arial"/>
        </w:rPr>
        <w:t xml:space="preserve"> estate </w:t>
      </w:r>
      <w:r w:rsidR="003968A9">
        <w:rPr>
          <w:rFonts w:ascii="Arial" w:hAnsi="Arial" w:cs="Arial"/>
        </w:rPr>
        <w:t>managers;</w:t>
      </w:r>
      <w:r>
        <w:rPr>
          <w:rFonts w:ascii="Arial" w:hAnsi="Arial" w:cs="Arial"/>
        </w:rPr>
        <w:t xml:space="preserve"> hence</w:t>
      </w:r>
      <w:r w:rsidR="00AE0CE2">
        <w:rPr>
          <w:rFonts w:ascii="Arial" w:hAnsi="Arial" w:cs="Arial"/>
        </w:rPr>
        <w:t>, they are expected to make decisions to mitigate against covenants' violation</w:t>
      </w:r>
      <w:r w:rsidR="001F746C">
        <w:rPr>
          <w:rFonts w:ascii="Arial" w:hAnsi="Arial" w:cs="Arial"/>
        </w:rPr>
        <w:t>s</w:t>
      </w:r>
      <w:r>
        <w:rPr>
          <w:rFonts w:ascii="Arial" w:hAnsi="Arial" w:cs="Arial"/>
        </w:rPr>
        <w:t xml:space="preserve"> (Dyreng, 2009).</w:t>
      </w:r>
    </w:p>
    <w:bookmarkEnd w:id="1250"/>
    <w:p w14:paraId="7635D7FA" w14:textId="77777777" w:rsidR="00CD6352" w:rsidRDefault="00CD6352" w:rsidP="00CD6352">
      <w:pPr>
        <w:rPr>
          <w:rFonts w:ascii="Arial" w:hAnsi="Arial" w:cs="Arial"/>
        </w:rPr>
      </w:pPr>
    </w:p>
    <w:p w14:paraId="0AAB93F9" w14:textId="08172A1A" w:rsidR="00CD6352" w:rsidRPr="00C52D0D" w:rsidRDefault="00CD6352" w:rsidP="00CD6352">
      <w:pPr>
        <w:pStyle w:val="Caption"/>
        <w:keepNext/>
        <w:rPr>
          <w:rFonts w:ascii="Arial" w:hAnsi="Arial" w:cs="Arial"/>
          <w:sz w:val="16"/>
          <w:szCs w:val="16"/>
        </w:rPr>
      </w:pPr>
      <w:bookmarkStart w:id="1251" w:name="_Toc78983996"/>
      <w:bookmarkStart w:id="1252" w:name="_Hlk42856208"/>
      <w:r w:rsidRPr="00C52D0D">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7.5</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C52D0D">
        <w:rPr>
          <w:rFonts w:ascii="Arial" w:hAnsi="Arial" w:cs="Arial"/>
          <w:sz w:val="16"/>
          <w:szCs w:val="16"/>
        </w:rPr>
        <w:t xml:space="preserve">: Process map for securing finance for real estate project </w:t>
      </w:r>
      <w:r w:rsidR="00C52D0D" w:rsidRPr="00C52D0D">
        <w:rPr>
          <w:rFonts w:ascii="Arial" w:hAnsi="Arial" w:cs="Arial"/>
          <w:sz w:val="16"/>
          <w:szCs w:val="16"/>
        </w:rPr>
        <w:t>development.</w:t>
      </w:r>
      <w:bookmarkEnd w:id="1251"/>
    </w:p>
    <w:tbl>
      <w:tblPr>
        <w:tblStyle w:val="TableGrid"/>
        <w:tblW w:w="0" w:type="auto"/>
        <w:tblLook w:val="04A0" w:firstRow="1" w:lastRow="0" w:firstColumn="1" w:lastColumn="0" w:noHBand="0" w:noVBand="1"/>
      </w:tblPr>
      <w:tblGrid>
        <w:gridCol w:w="846"/>
        <w:gridCol w:w="1476"/>
        <w:gridCol w:w="2274"/>
        <w:gridCol w:w="1603"/>
        <w:gridCol w:w="1458"/>
        <w:gridCol w:w="1359"/>
      </w:tblGrid>
      <w:tr w:rsidR="00CD6352" w:rsidRPr="00C52D0D" w14:paraId="7C9454E0" w14:textId="77777777" w:rsidTr="000A1E19">
        <w:trPr>
          <w:cantSplit/>
          <w:trHeight w:val="294"/>
        </w:trPr>
        <w:tc>
          <w:tcPr>
            <w:tcW w:w="2322" w:type="dxa"/>
            <w:gridSpan w:val="2"/>
          </w:tcPr>
          <w:p w14:paraId="73587E90" w14:textId="77777777" w:rsidR="00CD6352" w:rsidRPr="00C52D0D" w:rsidRDefault="00CD6352" w:rsidP="00CD6352">
            <w:pPr>
              <w:ind w:left="113" w:right="113"/>
              <w:rPr>
                <w:rFonts w:ascii="Arial" w:hAnsi="Arial" w:cs="Arial"/>
                <w:sz w:val="16"/>
                <w:szCs w:val="16"/>
              </w:rPr>
            </w:pPr>
            <w:r w:rsidRPr="00C52D0D">
              <w:rPr>
                <w:rFonts w:ascii="Arial" w:hAnsi="Arial" w:cs="Arial"/>
                <w:sz w:val="16"/>
                <w:szCs w:val="16"/>
              </w:rPr>
              <w:t>Stages</w:t>
            </w:r>
          </w:p>
        </w:tc>
        <w:tc>
          <w:tcPr>
            <w:tcW w:w="6694" w:type="dxa"/>
            <w:gridSpan w:val="4"/>
          </w:tcPr>
          <w:p w14:paraId="24FC429D" w14:textId="0D640EB0" w:rsidR="00CD6352" w:rsidRPr="00C52D0D" w:rsidRDefault="00CD6352" w:rsidP="00CD6352">
            <w:pPr>
              <w:rPr>
                <w:rFonts w:ascii="Arial" w:hAnsi="Arial" w:cs="Arial"/>
                <w:noProof/>
                <w:sz w:val="16"/>
                <w:szCs w:val="16"/>
              </w:rPr>
            </w:pPr>
            <w:r w:rsidRPr="00C52D0D">
              <w:rPr>
                <w:rFonts w:ascii="Arial" w:hAnsi="Arial" w:cs="Arial"/>
                <w:noProof/>
                <w:sz w:val="16"/>
                <w:szCs w:val="16"/>
              </w:rPr>
              <w:t>Routines / Key dec</w:t>
            </w:r>
            <w:r w:rsidR="00D252FD">
              <w:rPr>
                <w:rFonts w:ascii="Arial" w:hAnsi="Arial" w:cs="Arial"/>
                <w:noProof/>
                <w:sz w:val="16"/>
                <w:szCs w:val="16"/>
              </w:rPr>
              <w:t>i</w:t>
            </w:r>
            <w:r w:rsidRPr="00C52D0D">
              <w:rPr>
                <w:rFonts w:ascii="Arial" w:hAnsi="Arial" w:cs="Arial"/>
                <w:noProof/>
                <w:sz w:val="16"/>
                <w:szCs w:val="16"/>
              </w:rPr>
              <w:t>sions and processes</w:t>
            </w:r>
          </w:p>
        </w:tc>
      </w:tr>
      <w:tr w:rsidR="00CD6352" w:rsidRPr="00C52D0D" w14:paraId="003BBC52" w14:textId="77777777" w:rsidTr="000A1E19">
        <w:trPr>
          <w:cantSplit/>
          <w:trHeight w:val="2666"/>
        </w:trPr>
        <w:tc>
          <w:tcPr>
            <w:tcW w:w="846" w:type="dxa"/>
          </w:tcPr>
          <w:p w14:paraId="61891F64" w14:textId="77777777" w:rsidR="00CD6352" w:rsidRPr="00C52D0D" w:rsidRDefault="00CD6352" w:rsidP="00CD6352">
            <w:pPr>
              <w:rPr>
                <w:rFonts w:ascii="Arial" w:hAnsi="Arial" w:cs="Arial"/>
                <w:sz w:val="16"/>
                <w:szCs w:val="16"/>
              </w:rPr>
            </w:pPr>
            <w:r w:rsidRPr="00C52D0D">
              <w:rPr>
                <w:rFonts w:ascii="Arial" w:hAnsi="Arial" w:cs="Arial"/>
                <w:sz w:val="16"/>
                <w:szCs w:val="16"/>
              </w:rPr>
              <w:t>Stage 0</w:t>
            </w:r>
          </w:p>
          <w:p w14:paraId="64862FA5" w14:textId="77777777" w:rsidR="00CD6352" w:rsidRPr="00C52D0D" w:rsidRDefault="00CD6352" w:rsidP="00CD6352">
            <w:pPr>
              <w:rPr>
                <w:rFonts w:ascii="Arial" w:hAnsi="Arial" w:cs="Arial"/>
                <w:sz w:val="16"/>
                <w:szCs w:val="16"/>
              </w:rPr>
            </w:pPr>
          </w:p>
          <w:p w14:paraId="0ADEB180" w14:textId="77777777" w:rsidR="00CD6352" w:rsidRPr="00C52D0D" w:rsidRDefault="00CD6352" w:rsidP="00CD6352">
            <w:pPr>
              <w:rPr>
                <w:rFonts w:ascii="Arial" w:hAnsi="Arial" w:cs="Arial"/>
                <w:sz w:val="16"/>
                <w:szCs w:val="16"/>
              </w:rPr>
            </w:pPr>
          </w:p>
          <w:p w14:paraId="1C4C25D6" w14:textId="77777777" w:rsidR="00CD6352" w:rsidRPr="00C52D0D" w:rsidRDefault="00CD6352" w:rsidP="00CD6352">
            <w:pPr>
              <w:rPr>
                <w:rFonts w:ascii="Arial" w:hAnsi="Arial" w:cs="Arial"/>
                <w:sz w:val="16"/>
                <w:szCs w:val="16"/>
              </w:rPr>
            </w:pPr>
          </w:p>
          <w:p w14:paraId="30544E45" w14:textId="77777777" w:rsidR="00CD6352" w:rsidRPr="00C52D0D" w:rsidRDefault="00CD6352" w:rsidP="00CD6352">
            <w:pPr>
              <w:rPr>
                <w:rFonts w:ascii="Arial" w:hAnsi="Arial" w:cs="Arial"/>
                <w:sz w:val="16"/>
                <w:szCs w:val="16"/>
              </w:rPr>
            </w:pPr>
          </w:p>
          <w:p w14:paraId="2D4B8A81" w14:textId="77777777" w:rsidR="00CD6352" w:rsidRPr="00C52D0D" w:rsidRDefault="00CD6352" w:rsidP="00CD6352">
            <w:pPr>
              <w:rPr>
                <w:rFonts w:ascii="Arial" w:hAnsi="Arial" w:cs="Arial"/>
                <w:sz w:val="16"/>
                <w:szCs w:val="16"/>
              </w:rPr>
            </w:pPr>
          </w:p>
          <w:p w14:paraId="460D3DBF" w14:textId="77777777" w:rsidR="00CD6352" w:rsidRPr="00C52D0D" w:rsidRDefault="00CD6352" w:rsidP="00CD6352">
            <w:pPr>
              <w:rPr>
                <w:rFonts w:ascii="Arial" w:hAnsi="Arial" w:cs="Arial"/>
                <w:sz w:val="16"/>
                <w:szCs w:val="16"/>
              </w:rPr>
            </w:pPr>
          </w:p>
          <w:p w14:paraId="05069BC9" w14:textId="77777777" w:rsidR="00CD6352" w:rsidRPr="00C52D0D" w:rsidRDefault="00CD6352" w:rsidP="00CD6352">
            <w:pPr>
              <w:rPr>
                <w:rFonts w:ascii="Arial" w:hAnsi="Arial" w:cs="Arial"/>
                <w:sz w:val="16"/>
                <w:szCs w:val="16"/>
              </w:rPr>
            </w:pPr>
          </w:p>
          <w:p w14:paraId="699327DD" w14:textId="77777777" w:rsidR="00CD6352" w:rsidRPr="00C52D0D" w:rsidRDefault="00CD6352" w:rsidP="00CD6352">
            <w:pPr>
              <w:rPr>
                <w:rFonts w:ascii="Arial" w:hAnsi="Arial" w:cs="Arial"/>
                <w:sz w:val="16"/>
                <w:szCs w:val="16"/>
              </w:rPr>
            </w:pPr>
          </w:p>
        </w:tc>
        <w:tc>
          <w:tcPr>
            <w:tcW w:w="1476" w:type="dxa"/>
          </w:tcPr>
          <w:p w14:paraId="4D6D2BD1" w14:textId="5027BDDE" w:rsidR="00CD6352" w:rsidRPr="00C52D0D" w:rsidRDefault="00CD6352" w:rsidP="000A1E19">
            <w:pPr>
              <w:rPr>
                <w:rFonts w:ascii="Arial" w:hAnsi="Arial" w:cs="Arial"/>
                <w:sz w:val="16"/>
                <w:szCs w:val="16"/>
              </w:rPr>
            </w:pPr>
            <w:r w:rsidRPr="00C52D0D">
              <w:rPr>
                <w:rFonts w:ascii="Arial" w:hAnsi="Arial" w:cs="Arial"/>
                <w:sz w:val="16"/>
                <w:szCs w:val="16"/>
              </w:rPr>
              <w:t xml:space="preserve">Identification </w:t>
            </w:r>
            <w:r w:rsidR="000A1E19">
              <w:rPr>
                <w:rFonts w:ascii="Arial" w:hAnsi="Arial" w:cs="Arial"/>
                <w:sz w:val="16"/>
                <w:szCs w:val="16"/>
              </w:rPr>
              <w:t>phase1</w:t>
            </w:r>
          </w:p>
        </w:tc>
        <w:tc>
          <w:tcPr>
            <w:tcW w:w="6694" w:type="dxa"/>
            <w:gridSpan w:val="4"/>
          </w:tcPr>
          <w:p w14:paraId="7036C54B"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22752" behindDoc="0" locked="0" layoutInCell="1" allowOverlap="1" wp14:anchorId="0D8C22E3" wp14:editId="54231576">
                      <wp:simplePos x="0" y="0"/>
                      <wp:positionH relativeFrom="column">
                        <wp:posOffset>2285365</wp:posOffset>
                      </wp:positionH>
                      <wp:positionV relativeFrom="paragraph">
                        <wp:posOffset>663640</wp:posOffset>
                      </wp:positionV>
                      <wp:extent cx="93966" cy="122505"/>
                      <wp:effectExtent l="19050" t="0" r="40005" b="30480"/>
                      <wp:wrapNone/>
                      <wp:docPr id="70" name="Arrow: Down 70"/>
                      <wp:cNvGraphicFramePr/>
                      <a:graphic xmlns:a="http://schemas.openxmlformats.org/drawingml/2006/main">
                        <a:graphicData uri="http://schemas.microsoft.com/office/word/2010/wordprocessingShape">
                          <wps:wsp>
                            <wps:cNvSpPr/>
                            <wps:spPr>
                              <a:xfrm>
                                <a:off x="0" y="0"/>
                                <a:ext cx="93966" cy="12250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6C866" id="Arrow: Down 70" o:spid="_x0000_s1026" type="#_x0000_t67" style="position:absolute;margin-left:179.95pt;margin-top:52.25pt;width:7.4pt;height: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" adj="13316" fillcolor="white [3201]" strokecolor="#70ad47 [3209]"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21728" behindDoc="0" locked="0" layoutInCell="1" allowOverlap="1" wp14:anchorId="60FB3625" wp14:editId="205900F6">
                      <wp:simplePos x="0" y="0"/>
                      <wp:positionH relativeFrom="column">
                        <wp:posOffset>1034001</wp:posOffset>
                      </wp:positionH>
                      <wp:positionV relativeFrom="paragraph">
                        <wp:posOffset>282426</wp:posOffset>
                      </wp:positionV>
                      <wp:extent cx="852755" cy="114514"/>
                      <wp:effectExtent l="0" t="19050" r="43180" b="38100"/>
                      <wp:wrapNone/>
                      <wp:docPr id="52" name="Arrow: Right 52"/>
                      <wp:cNvGraphicFramePr/>
                      <a:graphic xmlns:a="http://schemas.openxmlformats.org/drawingml/2006/main">
                        <a:graphicData uri="http://schemas.microsoft.com/office/word/2010/wordprocessingShape">
                          <wps:wsp>
                            <wps:cNvSpPr/>
                            <wps:spPr>
                              <a:xfrm>
                                <a:off x="0" y="0"/>
                                <a:ext cx="852755" cy="114514"/>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C6A49" id="Arrow: Right 52" o:spid="_x0000_s1026" type="#_x0000_t13" style="position:absolute;margin-left:81.4pt;margin-top:22.25pt;width:67.1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" adj="20150" fillcolor="white [3201]" strokecolor="#70ad47 [3209]"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06368" behindDoc="0" locked="0" layoutInCell="1" allowOverlap="1" wp14:anchorId="118696D7" wp14:editId="735575CB">
                      <wp:simplePos x="0" y="0"/>
                      <wp:positionH relativeFrom="column">
                        <wp:posOffset>1899024</wp:posOffset>
                      </wp:positionH>
                      <wp:positionV relativeFrom="paragraph">
                        <wp:posOffset>795468</wp:posOffset>
                      </wp:positionV>
                      <wp:extent cx="914400" cy="523912"/>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914400" cy="523912"/>
                              </a:xfrm>
                              <a:prstGeom prst="rect">
                                <a:avLst/>
                              </a:prstGeom>
                              <a:solidFill>
                                <a:sysClr val="window" lastClr="FFFFFF"/>
                              </a:solidFill>
                              <a:ln w="12700" cap="flat" cmpd="sng" algn="ctr">
                                <a:solidFill>
                                  <a:srgbClr val="70AD47"/>
                                </a:solidFill>
                                <a:prstDash val="solid"/>
                                <a:miter lim="800000"/>
                              </a:ln>
                              <a:effectLst/>
                            </wps:spPr>
                            <wps:txbx>
                              <w:txbxContent>
                                <w:p w14:paraId="03757296" w14:textId="2C0EA5BE" w:rsidR="004F5D57" w:rsidRPr="00CC7261" w:rsidRDefault="004F5D57" w:rsidP="00CD6352">
                                  <w:pPr>
                                    <w:jc w:val="center"/>
                                    <w:rPr>
                                      <w:rFonts w:ascii="Arial" w:hAnsi="Arial" w:cs="Arial"/>
                                      <w:sz w:val="16"/>
                                      <w:szCs w:val="16"/>
                                    </w:rPr>
                                  </w:pPr>
                                  <w:permStart w:id="2035226267" w:edGrp="everyone"/>
                                  <w:r>
                                    <w:rPr>
                                      <w:rFonts w:ascii="Arial" w:hAnsi="Arial" w:cs="Arial"/>
                                      <w:sz w:val="16"/>
                                      <w:szCs w:val="16"/>
                                    </w:rPr>
                                    <w:t>Identify usage or rental market.</w:t>
                                  </w:r>
                                  <w:permEnd w:id="20352262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696D7" id="Rectangle 94" o:spid="_x0000_s1036" style="position:absolute;margin-left:149.55pt;margin-top:62.65pt;width:1in;height:41.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" fillcolor="window" strokecolor="#70ad47" strokeweight="1pt">
                      <v:textbox>
                        <w:txbxContent>
                          <w:p w14:paraId="03757296" w14:textId="2C0EA5BE" w:rsidR="004F5D57" w:rsidRPr="00CC7261" w:rsidRDefault="004F5D57" w:rsidP="00CD6352">
                            <w:pPr>
                              <w:jc w:val="center"/>
                              <w:rPr>
                                <w:rFonts w:ascii="Arial" w:hAnsi="Arial" w:cs="Arial"/>
                                <w:sz w:val="16"/>
                                <w:szCs w:val="16"/>
                              </w:rPr>
                            </w:pPr>
                            <w:permStart w:id="2035226267" w:edGrp="everyone"/>
                            <w:r>
                              <w:rPr>
                                <w:rFonts w:ascii="Arial" w:hAnsi="Arial" w:cs="Arial"/>
                                <w:sz w:val="16"/>
                                <w:szCs w:val="16"/>
                              </w:rPr>
                              <w:t>Identify usage or rental market.</w:t>
                            </w:r>
                            <w:permEnd w:id="2035226267"/>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73600" behindDoc="0" locked="0" layoutInCell="1" allowOverlap="1" wp14:anchorId="3094D5B9" wp14:editId="58D7E01D">
                      <wp:simplePos x="0" y="0"/>
                      <wp:positionH relativeFrom="column">
                        <wp:posOffset>1931371</wp:posOffset>
                      </wp:positionH>
                      <wp:positionV relativeFrom="paragraph">
                        <wp:posOffset>129652</wp:posOffset>
                      </wp:positionV>
                      <wp:extent cx="914400" cy="523912"/>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914400" cy="5239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304077" w14:textId="3578B64B" w:rsidR="004F5D57" w:rsidRPr="00CC7261" w:rsidRDefault="004F5D57" w:rsidP="00CD6352">
                                  <w:pPr>
                                    <w:jc w:val="center"/>
                                    <w:rPr>
                                      <w:rFonts w:ascii="Arial" w:hAnsi="Arial" w:cs="Arial"/>
                                      <w:sz w:val="16"/>
                                      <w:szCs w:val="16"/>
                                    </w:rPr>
                                  </w:pPr>
                                  <w:permStart w:id="626864241" w:edGrp="everyone"/>
                                  <w:r w:rsidRPr="00CC7261">
                                    <w:rPr>
                                      <w:rFonts w:ascii="Arial" w:hAnsi="Arial" w:cs="Arial"/>
                                      <w:sz w:val="16"/>
                                      <w:szCs w:val="16"/>
                                    </w:rPr>
                                    <w:t>Identify demand/need for real estates.</w:t>
                                  </w:r>
                                  <w:permEnd w:id="6268642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4D5B9" id="Rectangle 25" o:spid="_x0000_s1037" style="position:absolute;margin-left:152.1pt;margin-top:10.2pt;width:1in;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" fillcolor="white [3201]" strokecolor="#70ad47 [3209]" strokeweight="1pt">
                      <v:textbox>
                        <w:txbxContent>
                          <w:p w14:paraId="29304077" w14:textId="3578B64B" w:rsidR="004F5D57" w:rsidRPr="00CC7261" w:rsidRDefault="004F5D57" w:rsidP="00CD6352">
                            <w:pPr>
                              <w:jc w:val="center"/>
                              <w:rPr>
                                <w:rFonts w:ascii="Arial" w:hAnsi="Arial" w:cs="Arial"/>
                                <w:sz w:val="16"/>
                                <w:szCs w:val="16"/>
                              </w:rPr>
                            </w:pPr>
                            <w:permStart w:id="626864241" w:edGrp="everyone"/>
                            <w:r w:rsidRPr="00CC7261">
                              <w:rPr>
                                <w:rFonts w:ascii="Arial" w:hAnsi="Arial" w:cs="Arial"/>
                                <w:sz w:val="16"/>
                                <w:szCs w:val="16"/>
                              </w:rPr>
                              <w:t>Identify demand/need for real estates.</w:t>
                            </w:r>
                            <w:permEnd w:id="626864241"/>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74624" behindDoc="0" locked="0" layoutInCell="1" allowOverlap="1" wp14:anchorId="6CBDA46E" wp14:editId="4259FF61">
                      <wp:simplePos x="0" y="0"/>
                      <wp:positionH relativeFrom="column">
                        <wp:posOffset>128009</wp:posOffset>
                      </wp:positionH>
                      <wp:positionV relativeFrom="paragraph">
                        <wp:posOffset>119380</wp:posOffset>
                      </wp:positionV>
                      <wp:extent cx="914400" cy="470087"/>
                      <wp:effectExtent l="0" t="0" r="19050" b="25400"/>
                      <wp:wrapNone/>
                      <wp:docPr id="57" name="Rectangle 57"/>
                      <wp:cNvGraphicFramePr/>
                      <a:graphic xmlns:a="http://schemas.openxmlformats.org/drawingml/2006/main">
                        <a:graphicData uri="http://schemas.microsoft.com/office/word/2010/wordprocessingShape">
                          <wps:wsp>
                            <wps:cNvSpPr/>
                            <wps:spPr>
                              <a:xfrm>
                                <a:off x="0" y="0"/>
                                <a:ext cx="914400" cy="470087"/>
                              </a:xfrm>
                              <a:prstGeom prst="rect">
                                <a:avLst/>
                              </a:prstGeom>
                              <a:solidFill>
                                <a:sysClr val="window" lastClr="FFFFFF"/>
                              </a:solidFill>
                              <a:ln w="12700" cap="flat" cmpd="sng" algn="ctr">
                                <a:solidFill>
                                  <a:srgbClr val="70AD47"/>
                                </a:solidFill>
                                <a:prstDash val="solid"/>
                                <a:miter lim="800000"/>
                              </a:ln>
                              <a:effectLst/>
                            </wps:spPr>
                            <wps:txbx>
                              <w:txbxContent>
                                <w:p w14:paraId="3993743D" w14:textId="0D183915" w:rsidR="004F5D57" w:rsidRPr="000A259E" w:rsidRDefault="004F5D57" w:rsidP="00CD6352">
                                  <w:pPr>
                                    <w:jc w:val="center"/>
                                    <w:rPr>
                                      <w:rFonts w:ascii="Arial" w:hAnsi="Arial" w:cs="Arial"/>
                                      <w:sz w:val="16"/>
                                      <w:szCs w:val="16"/>
                                    </w:rPr>
                                  </w:pPr>
                                  <w:permStart w:id="1245714735" w:edGrp="everyone"/>
                                  <w:r>
                                    <w:rPr>
                                      <w:rFonts w:ascii="Arial" w:hAnsi="Arial" w:cs="Arial"/>
                                      <w:sz w:val="16"/>
                                      <w:szCs w:val="16"/>
                                    </w:rPr>
                                    <w:t>Make decisions on location.</w:t>
                                  </w:r>
                                  <w:permEnd w:id="12457147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DA46E" id="Rectangle 57" o:spid="_x0000_s1038" style="position:absolute;margin-left:10.1pt;margin-top:9.4pt;width:1in;height:3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" fillcolor="window" strokecolor="#70ad47" strokeweight="1pt">
                      <v:textbox>
                        <w:txbxContent>
                          <w:p w14:paraId="3993743D" w14:textId="0D183915" w:rsidR="004F5D57" w:rsidRPr="000A259E" w:rsidRDefault="004F5D57" w:rsidP="00CD6352">
                            <w:pPr>
                              <w:jc w:val="center"/>
                              <w:rPr>
                                <w:rFonts w:ascii="Arial" w:hAnsi="Arial" w:cs="Arial"/>
                                <w:sz w:val="16"/>
                                <w:szCs w:val="16"/>
                              </w:rPr>
                            </w:pPr>
                            <w:permStart w:id="1245714735" w:edGrp="everyone"/>
                            <w:r>
                              <w:rPr>
                                <w:rFonts w:ascii="Arial" w:hAnsi="Arial" w:cs="Arial"/>
                                <w:sz w:val="16"/>
                                <w:szCs w:val="16"/>
                              </w:rPr>
                              <w:t>Make decisions on location.</w:t>
                            </w:r>
                            <w:permEnd w:id="1245714735"/>
                          </w:p>
                        </w:txbxContent>
                      </v:textbox>
                    </v:rect>
                  </w:pict>
                </mc:Fallback>
              </mc:AlternateContent>
            </w:r>
          </w:p>
        </w:tc>
      </w:tr>
      <w:tr w:rsidR="00CD6352" w:rsidRPr="00C52D0D" w14:paraId="61D172F1" w14:textId="77777777" w:rsidTr="000A1E19">
        <w:trPr>
          <w:cantSplit/>
          <w:trHeight w:val="6623"/>
        </w:trPr>
        <w:tc>
          <w:tcPr>
            <w:tcW w:w="846" w:type="dxa"/>
          </w:tcPr>
          <w:p w14:paraId="0EB442D3" w14:textId="77777777" w:rsidR="00CD6352" w:rsidRPr="00C52D0D" w:rsidRDefault="00CD6352" w:rsidP="00CD6352">
            <w:pPr>
              <w:rPr>
                <w:rFonts w:ascii="Arial" w:hAnsi="Arial" w:cs="Arial"/>
                <w:sz w:val="16"/>
                <w:szCs w:val="16"/>
              </w:rPr>
            </w:pPr>
            <w:r w:rsidRPr="00C52D0D">
              <w:rPr>
                <w:rFonts w:ascii="Arial" w:hAnsi="Arial" w:cs="Arial"/>
                <w:sz w:val="16"/>
                <w:szCs w:val="16"/>
              </w:rPr>
              <w:lastRenderedPageBreak/>
              <w:t>Stage 1</w:t>
            </w:r>
          </w:p>
        </w:tc>
        <w:tc>
          <w:tcPr>
            <w:tcW w:w="1476" w:type="dxa"/>
          </w:tcPr>
          <w:p w14:paraId="34745280" w14:textId="77777777" w:rsidR="00CD6352" w:rsidRPr="00C52D0D" w:rsidRDefault="00CD6352" w:rsidP="000A1E19">
            <w:pPr>
              <w:rPr>
                <w:rFonts w:ascii="Arial" w:hAnsi="Arial" w:cs="Arial"/>
                <w:sz w:val="16"/>
                <w:szCs w:val="16"/>
              </w:rPr>
            </w:pPr>
            <w:r w:rsidRPr="00C52D0D">
              <w:rPr>
                <w:rFonts w:ascii="Arial" w:hAnsi="Arial" w:cs="Arial"/>
                <w:sz w:val="16"/>
                <w:szCs w:val="16"/>
              </w:rPr>
              <w:t>Identification phase 2</w:t>
            </w:r>
          </w:p>
        </w:tc>
        <w:tc>
          <w:tcPr>
            <w:tcW w:w="6694" w:type="dxa"/>
            <w:gridSpan w:val="4"/>
          </w:tcPr>
          <w:p w14:paraId="6D8DC308" w14:textId="77777777" w:rsidR="00CD6352" w:rsidRPr="00C52D0D" w:rsidRDefault="00CD6352" w:rsidP="00CD6352">
            <w:pPr>
              <w:rPr>
                <w:rFonts w:ascii="Arial" w:hAnsi="Arial" w:cs="Arial"/>
                <w:sz w:val="16"/>
                <w:szCs w:val="16"/>
              </w:rPr>
            </w:pPr>
          </w:p>
          <w:p w14:paraId="728007B5"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63360" behindDoc="0" locked="0" layoutInCell="1" allowOverlap="1" wp14:anchorId="11A709FA" wp14:editId="50367836">
                      <wp:simplePos x="0" y="0"/>
                      <wp:positionH relativeFrom="column">
                        <wp:posOffset>252319</wp:posOffset>
                      </wp:positionH>
                      <wp:positionV relativeFrom="paragraph">
                        <wp:posOffset>23495</wp:posOffset>
                      </wp:positionV>
                      <wp:extent cx="1032734" cy="349623"/>
                      <wp:effectExtent l="0" t="0" r="15240" b="12700"/>
                      <wp:wrapNone/>
                      <wp:docPr id="13" name="Rectangle 13"/>
                      <wp:cNvGraphicFramePr/>
                      <a:graphic xmlns:a="http://schemas.openxmlformats.org/drawingml/2006/main">
                        <a:graphicData uri="http://schemas.microsoft.com/office/word/2010/wordprocessingShape">
                          <wps:wsp>
                            <wps:cNvSpPr/>
                            <wps:spPr>
                              <a:xfrm>
                                <a:off x="0" y="0"/>
                                <a:ext cx="1032734" cy="34962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622B9D" w14:textId="69E983F7" w:rsidR="004F5D57" w:rsidRPr="000169D2" w:rsidRDefault="004F5D57" w:rsidP="00CD6352">
                                  <w:pPr>
                                    <w:jc w:val="center"/>
                                    <w:rPr>
                                      <w:rFonts w:ascii="Arial" w:hAnsi="Arial" w:cs="Arial"/>
                                      <w:sz w:val="16"/>
                                      <w:szCs w:val="16"/>
                                    </w:rPr>
                                  </w:pPr>
                                  <w:permStart w:id="602221928" w:edGrp="everyone"/>
                                  <w:r>
                                    <w:rPr>
                                      <w:rFonts w:ascii="Arial" w:hAnsi="Arial" w:cs="Arial"/>
                                      <w:sz w:val="16"/>
                                      <w:szCs w:val="16"/>
                                    </w:rPr>
                                    <w:t>Concept/</w:t>
                                  </w:r>
                                  <w:r w:rsidRPr="000169D2">
                                    <w:rPr>
                                      <w:rFonts w:ascii="Arial" w:hAnsi="Arial" w:cs="Arial"/>
                                      <w:sz w:val="16"/>
                                      <w:szCs w:val="16"/>
                                    </w:rPr>
                                    <w:t>Strategic definition</w:t>
                                  </w:r>
                                  <w:permEnd w:id="6022219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709FA" id="Rectangle 13" o:spid="_x0000_s1039" style="position:absolute;margin-left:19.85pt;margin-top:1.85pt;width:81.3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" fillcolor="white [3201]" strokecolor="#70ad47 [3209]" strokeweight="1pt">
                      <v:textbox>
                        <w:txbxContent>
                          <w:p w14:paraId="50622B9D" w14:textId="69E983F7" w:rsidR="004F5D57" w:rsidRPr="000169D2" w:rsidRDefault="004F5D57" w:rsidP="00CD6352">
                            <w:pPr>
                              <w:jc w:val="center"/>
                              <w:rPr>
                                <w:rFonts w:ascii="Arial" w:hAnsi="Arial" w:cs="Arial"/>
                                <w:sz w:val="16"/>
                                <w:szCs w:val="16"/>
                              </w:rPr>
                            </w:pPr>
                            <w:permStart w:id="602221928" w:edGrp="everyone"/>
                            <w:r>
                              <w:rPr>
                                <w:rFonts w:ascii="Arial" w:hAnsi="Arial" w:cs="Arial"/>
                                <w:sz w:val="16"/>
                                <w:szCs w:val="16"/>
                              </w:rPr>
                              <w:t>Concept/</w:t>
                            </w:r>
                            <w:r w:rsidRPr="000169D2">
                              <w:rPr>
                                <w:rFonts w:ascii="Arial" w:hAnsi="Arial" w:cs="Arial"/>
                                <w:sz w:val="16"/>
                                <w:szCs w:val="16"/>
                              </w:rPr>
                              <w:t>Strategic definition</w:t>
                            </w:r>
                            <w:permEnd w:id="602221928"/>
                          </w:p>
                        </w:txbxContent>
                      </v:textbox>
                    </v:rect>
                  </w:pict>
                </mc:Fallback>
              </mc:AlternateContent>
            </w:r>
          </w:p>
          <w:p w14:paraId="34B4AA0F" w14:textId="77777777" w:rsidR="00CD6352" w:rsidRPr="00C52D0D" w:rsidRDefault="00CD6352" w:rsidP="00CD6352">
            <w:pPr>
              <w:rPr>
                <w:rFonts w:ascii="Arial" w:hAnsi="Arial" w:cs="Arial"/>
                <w:sz w:val="16"/>
                <w:szCs w:val="16"/>
              </w:rPr>
            </w:pPr>
          </w:p>
          <w:p w14:paraId="11ECCC4E"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23776" behindDoc="0" locked="0" layoutInCell="1" allowOverlap="1" wp14:anchorId="54AE98E4" wp14:editId="492C4489">
                      <wp:simplePos x="0" y="0"/>
                      <wp:positionH relativeFrom="column">
                        <wp:posOffset>600989</wp:posOffset>
                      </wp:positionH>
                      <wp:positionV relativeFrom="paragraph">
                        <wp:posOffset>75772</wp:posOffset>
                      </wp:positionV>
                      <wp:extent cx="73418" cy="133564"/>
                      <wp:effectExtent l="19050" t="0" r="41275" b="38100"/>
                      <wp:wrapNone/>
                      <wp:docPr id="78" name="Arrow: Down 78"/>
                      <wp:cNvGraphicFramePr/>
                      <a:graphic xmlns:a="http://schemas.openxmlformats.org/drawingml/2006/main">
                        <a:graphicData uri="http://schemas.microsoft.com/office/word/2010/wordprocessingShape">
                          <wps:wsp>
                            <wps:cNvSpPr/>
                            <wps:spPr>
                              <a:xfrm>
                                <a:off x="0" y="0"/>
                                <a:ext cx="73418" cy="133564"/>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863D" id="Arrow: Down 78" o:spid="_x0000_s1026" type="#_x0000_t67" style="position:absolute;margin-left:47.3pt;margin-top:5.95pt;width:5.8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" adj="15663" fillcolor="window" strokecolor="#70ad47" strokeweight="1pt"/>
                  </w:pict>
                </mc:Fallback>
              </mc:AlternateContent>
            </w:r>
          </w:p>
          <w:p w14:paraId="4466916B"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64384" behindDoc="0" locked="0" layoutInCell="1" allowOverlap="1" wp14:anchorId="424E1037" wp14:editId="47D0DCA8">
                      <wp:simplePos x="0" y="0"/>
                      <wp:positionH relativeFrom="column">
                        <wp:posOffset>253165</wp:posOffset>
                      </wp:positionH>
                      <wp:positionV relativeFrom="paragraph">
                        <wp:posOffset>89777</wp:posOffset>
                      </wp:positionV>
                      <wp:extent cx="779780" cy="503433"/>
                      <wp:effectExtent l="0" t="0" r="20320" b="11430"/>
                      <wp:wrapNone/>
                      <wp:docPr id="16" name="Rectangle 16"/>
                      <wp:cNvGraphicFramePr/>
                      <a:graphic xmlns:a="http://schemas.openxmlformats.org/drawingml/2006/main">
                        <a:graphicData uri="http://schemas.microsoft.com/office/word/2010/wordprocessingShape">
                          <wps:wsp>
                            <wps:cNvSpPr/>
                            <wps:spPr>
                              <a:xfrm>
                                <a:off x="0" y="0"/>
                                <a:ext cx="779780" cy="503433"/>
                              </a:xfrm>
                              <a:prstGeom prst="rect">
                                <a:avLst/>
                              </a:prstGeom>
                              <a:solidFill>
                                <a:sysClr val="window" lastClr="FFFFFF"/>
                              </a:solidFill>
                              <a:ln w="12700" cap="flat" cmpd="sng" algn="ctr">
                                <a:solidFill>
                                  <a:srgbClr val="70AD47"/>
                                </a:solidFill>
                                <a:prstDash val="solid"/>
                                <a:miter lim="800000"/>
                              </a:ln>
                              <a:effectLst/>
                            </wps:spPr>
                            <wps:txbx>
                              <w:txbxContent>
                                <w:p w14:paraId="0C778385" w14:textId="6B2A7244" w:rsidR="004F5D57" w:rsidRPr="000C3B03" w:rsidRDefault="004F5D57" w:rsidP="00CD6352">
                                  <w:pPr>
                                    <w:jc w:val="center"/>
                                    <w:rPr>
                                      <w:rFonts w:ascii="Arial" w:hAnsi="Arial" w:cs="Arial"/>
                                      <w:sz w:val="16"/>
                                      <w:szCs w:val="16"/>
                                    </w:rPr>
                                  </w:pPr>
                                  <w:permStart w:id="1953509481" w:edGrp="everyone"/>
                                  <w:r w:rsidRPr="000C3B03">
                                    <w:rPr>
                                      <w:rFonts w:ascii="Arial" w:hAnsi="Arial" w:cs="Arial"/>
                                      <w:sz w:val="16"/>
                                      <w:szCs w:val="16"/>
                                    </w:rPr>
                                    <w:t>External environmental scan</w:t>
                                  </w:r>
                                  <w:permEnd w:id="19535094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1037" id="Rectangle 16" o:spid="_x0000_s1040" style="position:absolute;margin-left:19.95pt;margin-top:7.05pt;width:61.4pt;height:3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" fillcolor="window" strokecolor="#70ad47" strokeweight="1pt">
                      <v:textbox>
                        <w:txbxContent>
                          <w:p w14:paraId="0C778385" w14:textId="6B2A7244" w:rsidR="004F5D57" w:rsidRPr="000C3B03" w:rsidRDefault="004F5D57" w:rsidP="00CD6352">
                            <w:pPr>
                              <w:jc w:val="center"/>
                              <w:rPr>
                                <w:rFonts w:ascii="Arial" w:hAnsi="Arial" w:cs="Arial"/>
                                <w:sz w:val="16"/>
                                <w:szCs w:val="16"/>
                              </w:rPr>
                            </w:pPr>
                            <w:permStart w:id="1953509481" w:edGrp="everyone"/>
                            <w:r w:rsidRPr="000C3B03">
                              <w:rPr>
                                <w:rFonts w:ascii="Arial" w:hAnsi="Arial" w:cs="Arial"/>
                                <w:sz w:val="16"/>
                                <w:szCs w:val="16"/>
                              </w:rPr>
                              <w:t>External environmental scan</w:t>
                            </w:r>
                            <w:permEnd w:id="1953509481"/>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67456" behindDoc="0" locked="0" layoutInCell="1" allowOverlap="1" wp14:anchorId="32ADE83B" wp14:editId="54B2F90C">
                      <wp:simplePos x="0" y="0"/>
                      <wp:positionH relativeFrom="column">
                        <wp:posOffset>3247016</wp:posOffset>
                      </wp:positionH>
                      <wp:positionV relativeFrom="paragraph">
                        <wp:posOffset>76574</wp:posOffset>
                      </wp:positionV>
                      <wp:extent cx="766483" cy="443454"/>
                      <wp:effectExtent l="0" t="0" r="14605" b="13970"/>
                      <wp:wrapNone/>
                      <wp:docPr id="24" name="Rectangle 24"/>
                      <wp:cNvGraphicFramePr/>
                      <a:graphic xmlns:a="http://schemas.openxmlformats.org/drawingml/2006/main">
                        <a:graphicData uri="http://schemas.microsoft.com/office/word/2010/wordprocessingShape">
                          <wps:wsp>
                            <wps:cNvSpPr/>
                            <wps:spPr>
                              <a:xfrm>
                                <a:off x="0" y="0"/>
                                <a:ext cx="766483" cy="443454"/>
                              </a:xfrm>
                              <a:prstGeom prst="rect">
                                <a:avLst/>
                              </a:prstGeom>
                              <a:solidFill>
                                <a:sysClr val="window" lastClr="FFFFFF"/>
                              </a:solidFill>
                              <a:ln w="12700" cap="flat" cmpd="sng" algn="ctr">
                                <a:solidFill>
                                  <a:srgbClr val="70AD47"/>
                                </a:solidFill>
                                <a:prstDash val="solid"/>
                                <a:miter lim="800000"/>
                              </a:ln>
                              <a:effectLst/>
                            </wps:spPr>
                            <wps:txbx>
                              <w:txbxContent>
                                <w:p w14:paraId="123BE11E" w14:textId="77777777" w:rsidR="004F5D57" w:rsidRPr="00E2111E" w:rsidRDefault="004F5D57" w:rsidP="00CD6352">
                                  <w:pPr>
                                    <w:jc w:val="center"/>
                                    <w:rPr>
                                      <w:rFonts w:ascii="Arial" w:hAnsi="Arial" w:cs="Arial"/>
                                      <w:sz w:val="16"/>
                                      <w:szCs w:val="16"/>
                                    </w:rPr>
                                  </w:pPr>
                                  <w:permStart w:id="1644318604" w:edGrp="everyone"/>
                                  <w:r>
                                    <w:rPr>
                                      <w:rFonts w:ascii="Arial" w:hAnsi="Arial" w:cs="Arial"/>
                                      <w:sz w:val="16"/>
                                      <w:szCs w:val="16"/>
                                    </w:rPr>
                                    <w:t xml:space="preserve">Scan for </w:t>
                                  </w:r>
                                  <w:r w:rsidRPr="00E2111E">
                                    <w:rPr>
                                      <w:rFonts w:ascii="Arial" w:hAnsi="Arial" w:cs="Arial"/>
                                      <w:sz w:val="16"/>
                                      <w:szCs w:val="16"/>
                                    </w:rPr>
                                    <w:t>Financiers</w:t>
                                  </w:r>
                                </w:p>
                                <w:permEnd w:id="1644318604"/>
                                <w:p w14:paraId="1E37F419" w14:textId="77777777" w:rsidR="004F5D57" w:rsidRPr="00E2111E" w:rsidRDefault="004F5D57" w:rsidP="00CD6352">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DE83B" id="Rectangle 24" o:spid="_x0000_s1041" style="position:absolute;margin-left:255.65pt;margin-top:6.05pt;width:60.35pt;height:3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" fillcolor="window" strokecolor="#70ad47" strokeweight="1pt">
                      <v:textbox>
                        <w:txbxContent>
                          <w:p w14:paraId="123BE11E" w14:textId="77777777" w:rsidR="004F5D57" w:rsidRPr="00E2111E" w:rsidRDefault="004F5D57" w:rsidP="00CD6352">
                            <w:pPr>
                              <w:jc w:val="center"/>
                              <w:rPr>
                                <w:rFonts w:ascii="Arial" w:hAnsi="Arial" w:cs="Arial"/>
                                <w:sz w:val="16"/>
                                <w:szCs w:val="16"/>
                              </w:rPr>
                            </w:pPr>
                            <w:permStart w:id="1644318604" w:edGrp="everyone"/>
                            <w:r>
                              <w:rPr>
                                <w:rFonts w:ascii="Arial" w:hAnsi="Arial" w:cs="Arial"/>
                                <w:sz w:val="16"/>
                                <w:szCs w:val="16"/>
                              </w:rPr>
                              <w:t xml:space="preserve">Scan for </w:t>
                            </w:r>
                            <w:r w:rsidRPr="00E2111E">
                              <w:rPr>
                                <w:rFonts w:ascii="Arial" w:hAnsi="Arial" w:cs="Arial"/>
                                <w:sz w:val="16"/>
                                <w:szCs w:val="16"/>
                              </w:rPr>
                              <w:t>Financiers</w:t>
                            </w:r>
                          </w:p>
                          <w:permEnd w:id="1644318604"/>
                          <w:p w14:paraId="1E37F419" w14:textId="77777777" w:rsidR="004F5D57" w:rsidRPr="00E2111E" w:rsidRDefault="004F5D57" w:rsidP="00CD6352">
                            <w:pPr>
                              <w:jc w:val="center"/>
                              <w:rPr>
                                <w:rFonts w:ascii="Arial" w:hAnsi="Arial" w:cs="Arial"/>
                                <w:sz w:val="16"/>
                                <w:szCs w:val="16"/>
                              </w:rPr>
                            </w:pPr>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66432" behindDoc="0" locked="0" layoutInCell="1" allowOverlap="1" wp14:anchorId="7109247D" wp14:editId="06C9B52B">
                      <wp:simplePos x="0" y="0"/>
                      <wp:positionH relativeFrom="column">
                        <wp:posOffset>2278828</wp:posOffset>
                      </wp:positionH>
                      <wp:positionV relativeFrom="paragraph">
                        <wp:posOffset>103468</wp:posOffset>
                      </wp:positionV>
                      <wp:extent cx="847016" cy="416858"/>
                      <wp:effectExtent l="0" t="0" r="10795" b="21590"/>
                      <wp:wrapNone/>
                      <wp:docPr id="23" name="Rectangle 23"/>
                      <wp:cNvGraphicFramePr/>
                      <a:graphic xmlns:a="http://schemas.openxmlformats.org/drawingml/2006/main">
                        <a:graphicData uri="http://schemas.microsoft.com/office/word/2010/wordprocessingShape">
                          <wps:wsp>
                            <wps:cNvSpPr/>
                            <wps:spPr>
                              <a:xfrm>
                                <a:off x="0" y="0"/>
                                <a:ext cx="847016" cy="416858"/>
                              </a:xfrm>
                              <a:prstGeom prst="rect">
                                <a:avLst/>
                              </a:prstGeom>
                              <a:solidFill>
                                <a:sysClr val="window" lastClr="FFFFFF"/>
                              </a:solidFill>
                              <a:ln w="12700" cap="flat" cmpd="sng" algn="ctr">
                                <a:solidFill>
                                  <a:srgbClr val="70AD47"/>
                                </a:solidFill>
                                <a:prstDash val="solid"/>
                                <a:miter lim="800000"/>
                              </a:ln>
                              <a:effectLst/>
                            </wps:spPr>
                            <wps:txbx>
                              <w:txbxContent>
                                <w:p w14:paraId="776D6E5C" w14:textId="77777777" w:rsidR="004F5D57" w:rsidRPr="000B015B" w:rsidRDefault="004F5D57" w:rsidP="00CD6352">
                                  <w:pPr>
                                    <w:jc w:val="center"/>
                                    <w:rPr>
                                      <w:rFonts w:ascii="Arial" w:hAnsi="Arial" w:cs="Arial"/>
                                      <w:sz w:val="16"/>
                                      <w:szCs w:val="16"/>
                                    </w:rPr>
                                  </w:pPr>
                                  <w:permStart w:id="1077027786" w:edGrp="everyone"/>
                                  <w:r w:rsidRPr="000B015B">
                                    <w:rPr>
                                      <w:rFonts w:ascii="Arial" w:hAnsi="Arial" w:cs="Arial"/>
                                      <w:sz w:val="16"/>
                                      <w:szCs w:val="16"/>
                                    </w:rPr>
                                    <w:t>Determine Skills</w:t>
                                  </w:r>
                                  <w:permEnd w:id="10770277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247D" id="Rectangle 23" o:spid="_x0000_s1042" style="position:absolute;margin-left:179.45pt;margin-top:8.15pt;width:66.7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" fillcolor="window" strokecolor="#70ad47" strokeweight="1pt">
                      <v:textbox>
                        <w:txbxContent>
                          <w:p w14:paraId="776D6E5C" w14:textId="77777777" w:rsidR="004F5D57" w:rsidRPr="000B015B" w:rsidRDefault="004F5D57" w:rsidP="00CD6352">
                            <w:pPr>
                              <w:jc w:val="center"/>
                              <w:rPr>
                                <w:rFonts w:ascii="Arial" w:hAnsi="Arial" w:cs="Arial"/>
                                <w:sz w:val="16"/>
                                <w:szCs w:val="16"/>
                              </w:rPr>
                            </w:pPr>
                            <w:permStart w:id="1077027786" w:edGrp="everyone"/>
                            <w:r w:rsidRPr="000B015B">
                              <w:rPr>
                                <w:rFonts w:ascii="Arial" w:hAnsi="Arial" w:cs="Arial"/>
                                <w:sz w:val="16"/>
                                <w:szCs w:val="16"/>
                              </w:rPr>
                              <w:t>Determine Skills</w:t>
                            </w:r>
                            <w:permEnd w:id="1077027786"/>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65408" behindDoc="0" locked="0" layoutInCell="1" allowOverlap="1" wp14:anchorId="0337D983" wp14:editId="10A0347C">
                      <wp:simplePos x="0" y="0"/>
                      <wp:positionH relativeFrom="column">
                        <wp:posOffset>1229958</wp:posOffset>
                      </wp:positionH>
                      <wp:positionV relativeFrom="paragraph">
                        <wp:posOffset>76574</wp:posOffset>
                      </wp:positionV>
                      <wp:extent cx="847164" cy="497541"/>
                      <wp:effectExtent l="0" t="0" r="10160" b="17145"/>
                      <wp:wrapNone/>
                      <wp:docPr id="21" name="Rectangle 21"/>
                      <wp:cNvGraphicFramePr/>
                      <a:graphic xmlns:a="http://schemas.openxmlformats.org/drawingml/2006/main">
                        <a:graphicData uri="http://schemas.microsoft.com/office/word/2010/wordprocessingShape">
                          <wps:wsp>
                            <wps:cNvSpPr/>
                            <wps:spPr>
                              <a:xfrm>
                                <a:off x="0" y="0"/>
                                <a:ext cx="847164" cy="497541"/>
                              </a:xfrm>
                              <a:prstGeom prst="rect">
                                <a:avLst/>
                              </a:prstGeom>
                              <a:solidFill>
                                <a:sysClr val="window" lastClr="FFFFFF"/>
                              </a:solidFill>
                              <a:ln w="12700" cap="flat" cmpd="sng" algn="ctr">
                                <a:solidFill>
                                  <a:srgbClr val="70AD47"/>
                                </a:solidFill>
                                <a:prstDash val="solid"/>
                                <a:miter lim="800000"/>
                              </a:ln>
                              <a:effectLst/>
                            </wps:spPr>
                            <wps:txbx>
                              <w:txbxContent>
                                <w:p w14:paraId="0AE35C66" w14:textId="77777777" w:rsidR="004F5D57" w:rsidRPr="00296620" w:rsidRDefault="004F5D57" w:rsidP="00CD6352">
                                  <w:pPr>
                                    <w:spacing w:after="0"/>
                                    <w:jc w:val="center"/>
                                    <w:rPr>
                                      <w:rFonts w:ascii="Arial" w:hAnsi="Arial" w:cs="Arial"/>
                                      <w:sz w:val="16"/>
                                      <w:szCs w:val="16"/>
                                    </w:rPr>
                                  </w:pPr>
                                  <w:permStart w:id="1889956514" w:edGrp="everyone"/>
                                  <w:r w:rsidRPr="00296620">
                                    <w:rPr>
                                      <w:rFonts w:ascii="Arial" w:hAnsi="Arial" w:cs="Arial"/>
                                      <w:sz w:val="16"/>
                                      <w:szCs w:val="16"/>
                                    </w:rPr>
                                    <w:t>Internal environmental scan</w:t>
                                  </w:r>
                                  <w:permEnd w:id="18899565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7D983" id="Rectangle 21" o:spid="_x0000_s1043" style="position:absolute;margin-left:96.85pt;margin-top:6.05pt;width:66.7pt;height:3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" fillcolor="window" strokecolor="#70ad47" strokeweight="1pt">
                      <v:textbox>
                        <w:txbxContent>
                          <w:p w14:paraId="0AE35C66" w14:textId="77777777" w:rsidR="004F5D57" w:rsidRPr="00296620" w:rsidRDefault="004F5D57" w:rsidP="00CD6352">
                            <w:pPr>
                              <w:spacing w:after="0"/>
                              <w:jc w:val="center"/>
                              <w:rPr>
                                <w:rFonts w:ascii="Arial" w:hAnsi="Arial" w:cs="Arial"/>
                                <w:sz w:val="16"/>
                                <w:szCs w:val="16"/>
                              </w:rPr>
                            </w:pPr>
                            <w:permStart w:id="1889956514" w:edGrp="everyone"/>
                            <w:r w:rsidRPr="00296620">
                              <w:rPr>
                                <w:rFonts w:ascii="Arial" w:hAnsi="Arial" w:cs="Arial"/>
                                <w:sz w:val="16"/>
                                <w:szCs w:val="16"/>
                              </w:rPr>
                              <w:t>Internal environmental scan</w:t>
                            </w:r>
                            <w:permEnd w:id="1889956514"/>
                          </w:p>
                        </w:txbxContent>
                      </v:textbox>
                    </v:rect>
                  </w:pict>
                </mc:Fallback>
              </mc:AlternateContent>
            </w:r>
          </w:p>
          <w:p w14:paraId="2DE5A1D8" w14:textId="77777777" w:rsidR="00CD6352" w:rsidRPr="00C52D0D" w:rsidRDefault="00CD6352" w:rsidP="00CD6352">
            <w:pPr>
              <w:tabs>
                <w:tab w:val="left" w:pos="5379"/>
              </w:tabs>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26848" behindDoc="0" locked="0" layoutInCell="1" allowOverlap="1" wp14:anchorId="6D0A2DDF" wp14:editId="3A8EB707">
                      <wp:simplePos x="0" y="0"/>
                      <wp:positionH relativeFrom="column">
                        <wp:posOffset>3150478</wp:posOffset>
                      </wp:positionH>
                      <wp:positionV relativeFrom="paragraph">
                        <wp:posOffset>102285</wp:posOffset>
                      </wp:positionV>
                      <wp:extent cx="79589" cy="145237"/>
                      <wp:effectExtent l="0" t="38100" r="34925" b="64770"/>
                      <wp:wrapNone/>
                      <wp:docPr id="81" name="Arrow: Right 81"/>
                      <wp:cNvGraphicFramePr/>
                      <a:graphic xmlns:a="http://schemas.openxmlformats.org/drawingml/2006/main">
                        <a:graphicData uri="http://schemas.microsoft.com/office/word/2010/wordprocessingShape">
                          <wps:wsp>
                            <wps:cNvSpPr/>
                            <wps:spPr>
                              <a:xfrm>
                                <a:off x="0" y="0"/>
                                <a:ext cx="79589" cy="145237"/>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CBF0" id="Arrow: Right 81" o:spid="_x0000_s1026" type="#_x0000_t13" style="position:absolute;margin-left:248.05pt;margin-top:8.05pt;width:6.25pt;height:1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25824" behindDoc="0" locked="0" layoutInCell="1" allowOverlap="1" wp14:anchorId="10105A7E" wp14:editId="5E6C4A2B">
                      <wp:simplePos x="0" y="0"/>
                      <wp:positionH relativeFrom="column">
                        <wp:posOffset>2146243</wp:posOffset>
                      </wp:positionH>
                      <wp:positionV relativeFrom="paragraph">
                        <wp:posOffset>148690</wp:posOffset>
                      </wp:positionV>
                      <wp:extent cx="164173" cy="104240"/>
                      <wp:effectExtent l="0" t="19050" r="45720" b="29210"/>
                      <wp:wrapNone/>
                      <wp:docPr id="80" name="Arrow: Right 80"/>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23E6" id="Arrow: Right 80" o:spid="_x0000_s1026" type="#_x0000_t13" style="position:absolute;margin-left:169pt;margin-top:11.7pt;width:12.95pt;height: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" adj="14743"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24800" behindDoc="0" locked="0" layoutInCell="1" allowOverlap="1" wp14:anchorId="7B664EE0" wp14:editId="1EECDFDD">
                      <wp:simplePos x="0" y="0"/>
                      <wp:positionH relativeFrom="column">
                        <wp:posOffset>1044275</wp:posOffset>
                      </wp:positionH>
                      <wp:positionV relativeFrom="paragraph">
                        <wp:posOffset>122833</wp:posOffset>
                      </wp:positionV>
                      <wp:extent cx="164173" cy="104240"/>
                      <wp:effectExtent l="0" t="19050" r="45720" b="29210"/>
                      <wp:wrapNone/>
                      <wp:docPr id="79" name="Arrow: Right 79"/>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0790" id="Arrow: Right 79" o:spid="_x0000_s1026" type="#_x0000_t13" style="position:absolute;margin-left:82.25pt;margin-top:9.65pt;width:12.95pt;height: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" adj="14743" fillcolor="window" strokecolor="#70ad47" strokeweight="1pt"/>
                  </w:pict>
                </mc:Fallback>
              </mc:AlternateContent>
            </w:r>
            <w:r w:rsidRPr="00C52D0D">
              <w:rPr>
                <w:rFonts w:ascii="Arial" w:hAnsi="Arial" w:cs="Arial"/>
                <w:sz w:val="16"/>
                <w:szCs w:val="16"/>
              </w:rPr>
              <w:tab/>
            </w:r>
          </w:p>
          <w:p w14:paraId="5D7EAB7E" w14:textId="77777777" w:rsidR="00CD6352" w:rsidRPr="00C52D0D" w:rsidRDefault="00CD6352" w:rsidP="00CD6352">
            <w:pPr>
              <w:rPr>
                <w:rFonts w:ascii="Arial" w:hAnsi="Arial" w:cs="Arial"/>
                <w:sz w:val="16"/>
                <w:szCs w:val="16"/>
              </w:rPr>
            </w:pPr>
          </w:p>
          <w:p w14:paraId="5F85DA50"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41184" behindDoc="0" locked="0" layoutInCell="1" allowOverlap="1" wp14:anchorId="0054D7C3" wp14:editId="51E60956">
                      <wp:simplePos x="0" y="0"/>
                      <wp:positionH relativeFrom="column">
                        <wp:posOffset>3554859</wp:posOffset>
                      </wp:positionH>
                      <wp:positionV relativeFrom="paragraph">
                        <wp:posOffset>75280</wp:posOffset>
                      </wp:positionV>
                      <wp:extent cx="124168" cy="123289"/>
                      <wp:effectExtent l="19050" t="0" r="47625" b="29210"/>
                      <wp:wrapNone/>
                      <wp:docPr id="117" name="Arrow: Down 117"/>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7865" id="Arrow: Down 117" o:spid="_x0000_s1026" type="#_x0000_t67" style="position:absolute;margin-left:279.9pt;margin-top:5.95pt;width:9.8pt;height: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38112" behindDoc="0" locked="0" layoutInCell="1" allowOverlap="1" wp14:anchorId="01011C9D" wp14:editId="22B351E8">
                      <wp:simplePos x="0" y="0"/>
                      <wp:positionH relativeFrom="column">
                        <wp:posOffset>2661007</wp:posOffset>
                      </wp:positionH>
                      <wp:positionV relativeFrom="paragraph">
                        <wp:posOffset>15854</wp:posOffset>
                      </wp:positionV>
                      <wp:extent cx="124168" cy="123289"/>
                      <wp:effectExtent l="19050" t="0" r="47625" b="29210"/>
                      <wp:wrapNone/>
                      <wp:docPr id="114" name="Arrow: Down 114"/>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72C3" id="Arrow: Down 114" o:spid="_x0000_s1026" type="#_x0000_t67" style="position:absolute;margin-left:209.55pt;margin-top:1.25pt;width:9.8pt;height: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34016" behindDoc="0" locked="0" layoutInCell="1" allowOverlap="1" wp14:anchorId="545A04D4" wp14:editId="1C780C4D">
                      <wp:simplePos x="0" y="0"/>
                      <wp:positionH relativeFrom="column">
                        <wp:posOffset>1551398</wp:posOffset>
                      </wp:positionH>
                      <wp:positionV relativeFrom="paragraph">
                        <wp:posOffset>146457</wp:posOffset>
                      </wp:positionV>
                      <wp:extent cx="124168" cy="123289"/>
                      <wp:effectExtent l="19050" t="0" r="47625" b="29210"/>
                      <wp:wrapNone/>
                      <wp:docPr id="108" name="Arrow: Down 108"/>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A6516" id="Arrow: Down 108" o:spid="_x0000_s1026" type="#_x0000_t67" style="position:absolute;margin-left:122.15pt;margin-top:11.55pt;width:9.8pt;height:9.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27872" behindDoc="0" locked="0" layoutInCell="1" allowOverlap="1" wp14:anchorId="447CA882" wp14:editId="7D596874">
                      <wp:simplePos x="0" y="0"/>
                      <wp:positionH relativeFrom="column">
                        <wp:posOffset>570159</wp:posOffset>
                      </wp:positionH>
                      <wp:positionV relativeFrom="paragraph">
                        <wp:posOffset>59512</wp:posOffset>
                      </wp:positionV>
                      <wp:extent cx="93966" cy="143838"/>
                      <wp:effectExtent l="19050" t="0" r="40005" b="46990"/>
                      <wp:wrapNone/>
                      <wp:docPr id="82" name="Arrow: Down 82"/>
                      <wp:cNvGraphicFramePr/>
                      <a:graphic xmlns:a="http://schemas.openxmlformats.org/drawingml/2006/main">
                        <a:graphicData uri="http://schemas.microsoft.com/office/word/2010/wordprocessingShape">
                          <wps:wsp>
                            <wps:cNvSpPr/>
                            <wps:spPr>
                              <a:xfrm>
                                <a:off x="0" y="0"/>
                                <a:ext cx="93966" cy="14383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29E6" id="Arrow: Down 82" o:spid="_x0000_s1026" type="#_x0000_t67" style="position:absolute;margin-left:44.9pt;margin-top:4.7pt;width:7.4pt;height:1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" adj="14545"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79744" behindDoc="0" locked="0" layoutInCell="1" allowOverlap="1" wp14:anchorId="6A091330" wp14:editId="79320BC0">
                      <wp:simplePos x="0" y="0"/>
                      <wp:positionH relativeFrom="column">
                        <wp:posOffset>2344345</wp:posOffset>
                      </wp:positionH>
                      <wp:positionV relativeFrom="paragraph">
                        <wp:posOffset>133125</wp:posOffset>
                      </wp:positionV>
                      <wp:extent cx="779930" cy="242047"/>
                      <wp:effectExtent l="0" t="0" r="20320" b="24765"/>
                      <wp:wrapNone/>
                      <wp:docPr id="63" name="Rectangle 63"/>
                      <wp:cNvGraphicFramePr/>
                      <a:graphic xmlns:a="http://schemas.openxmlformats.org/drawingml/2006/main">
                        <a:graphicData uri="http://schemas.microsoft.com/office/word/2010/wordprocessingShape">
                          <wps:wsp>
                            <wps:cNvSpPr/>
                            <wps:spPr>
                              <a:xfrm>
                                <a:off x="0" y="0"/>
                                <a:ext cx="779930" cy="242047"/>
                              </a:xfrm>
                              <a:prstGeom prst="rect">
                                <a:avLst/>
                              </a:prstGeom>
                              <a:solidFill>
                                <a:sysClr val="window" lastClr="FFFFFF"/>
                              </a:solidFill>
                              <a:ln w="12700" cap="flat" cmpd="sng" algn="ctr">
                                <a:solidFill>
                                  <a:srgbClr val="70AD47"/>
                                </a:solidFill>
                                <a:prstDash val="solid"/>
                                <a:miter lim="800000"/>
                              </a:ln>
                              <a:effectLst/>
                            </wps:spPr>
                            <wps:txbx>
                              <w:txbxContent>
                                <w:p w14:paraId="27091C3E" w14:textId="77777777" w:rsidR="004F5D57" w:rsidRPr="005D65D3" w:rsidRDefault="004F5D57" w:rsidP="00CD6352">
                                  <w:pPr>
                                    <w:jc w:val="center"/>
                                    <w:rPr>
                                      <w:rFonts w:ascii="Arial" w:hAnsi="Arial" w:cs="Arial"/>
                                      <w:sz w:val="16"/>
                                      <w:szCs w:val="16"/>
                                    </w:rPr>
                                  </w:pPr>
                                  <w:permStart w:id="932212671" w:edGrp="everyone"/>
                                  <w:r w:rsidRPr="005D65D3">
                                    <w:rPr>
                                      <w:rFonts w:ascii="Arial" w:hAnsi="Arial" w:cs="Arial"/>
                                      <w:sz w:val="16"/>
                                      <w:szCs w:val="16"/>
                                    </w:rPr>
                                    <w:t>Skill</w:t>
                                  </w:r>
                                  <w:permEnd w:id="9322126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91330" id="Rectangle 63" o:spid="_x0000_s1044" style="position:absolute;margin-left:184.6pt;margin-top:10.5pt;width:61.4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" fillcolor="window" strokecolor="#70ad47" strokeweight="1pt">
                      <v:textbox>
                        <w:txbxContent>
                          <w:p w14:paraId="27091C3E" w14:textId="77777777" w:rsidR="004F5D57" w:rsidRPr="005D65D3" w:rsidRDefault="004F5D57" w:rsidP="00CD6352">
                            <w:pPr>
                              <w:jc w:val="center"/>
                              <w:rPr>
                                <w:rFonts w:ascii="Arial" w:hAnsi="Arial" w:cs="Arial"/>
                                <w:sz w:val="16"/>
                                <w:szCs w:val="16"/>
                              </w:rPr>
                            </w:pPr>
                            <w:permStart w:id="932212671" w:edGrp="everyone"/>
                            <w:r w:rsidRPr="005D65D3">
                              <w:rPr>
                                <w:rFonts w:ascii="Arial" w:hAnsi="Arial" w:cs="Arial"/>
                                <w:sz w:val="16"/>
                                <w:szCs w:val="16"/>
                              </w:rPr>
                              <w:t>Skill</w:t>
                            </w:r>
                            <w:permEnd w:id="932212671"/>
                          </w:p>
                        </w:txbxContent>
                      </v:textbox>
                    </v:rect>
                  </w:pict>
                </mc:Fallback>
              </mc:AlternateContent>
            </w:r>
          </w:p>
          <w:p w14:paraId="2D150B3A"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82816" behindDoc="0" locked="0" layoutInCell="1" allowOverlap="1" wp14:anchorId="0FF9B37F" wp14:editId="7967D498">
                      <wp:simplePos x="0" y="0"/>
                      <wp:positionH relativeFrom="column">
                        <wp:posOffset>3232671</wp:posOffset>
                      </wp:positionH>
                      <wp:positionV relativeFrom="paragraph">
                        <wp:posOffset>12236</wp:posOffset>
                      </wp:positionV>
                      <wp:extent cx="779780" cy="482886"/>
                      <wp:effectExtent l="0" t="0" r="20320" b="12700"/>
                      <wp:wrapNone/>
                      <wp:docPr id="66" name="Rectangle 66"/>
                      <wp:cNvGraphicFramePr/>
                      <a:graphic xmlns:a="http://schemas.openxmlformats.org/drawingml/2006/main">
                        <a:graphicData uri="http://schemas.microsoft.com/office/word/2010/wordprocessingShape">
                          <wps:wsp>
                            <wps:cNvSpPr/>
                            <wps:spPr>
                              <a:xfrm>
                                <a:off x="0" y="0"/>
                                <a:ext cx="779780" cy="482886"/>
                              </a:xfrm>
                              <a:prstGeom prst="rect">
                                <a:avLst/>
                              </a:prstGeom>
                              <a:solidFill>
                                <a:sysClr val="window" lastClr="FFFFFF"/>
                              </a:solidFill>
                              <a:ln w="12700" cap="flat" cmpd="sng" algn="ctr">
                                <a:solidFill>
                                  <a:srgbClr val="70AD47"/>
                                </a:solidFill>
                                <a:prstDash val="solid"/>
                                <a:miter lim="800000"/>
                              </a:ln>
                              <a:effectLst/>
                            </wps:spPr>
                            <wps:txbx>
                              <w:txbxContent>
                                <w:p w14:paraId="7F0EB46E" w14:textId="77777777" w:rsidR="004F5D57" w:rsidRPr="004A2EC2" w:rsidRDefault="004F5D57" w:rsidP="00CD6352">
                                  <w:pPr>
                                    <w:spacing w:after="0" w:line="240" w:lineRule="auto"/>
                                    <w:jc w:val="center"/>
                                    <w:rPr>
                                      <w:rFonts w:ascii="Arial" w:hAnsi="Arial" w:cs="Arial"/>
                                      <w:sz w:val="16"/>
                                      <w:szCs w:val="16"/>
                                    </w:rPr>
                                  </w:pPr>
                                  <w:permStart w:id="867056955" w:edGrp="everyone"/>
                                  <w:r w:rsidRPr="004A2EC2">
                                    <w:rPr>
                                      <w:rFonts w:ascii="Arial" w:hAnsi="Arial" w:cs="Arial"/>
                                      <w:sz w:val="16"/>
                                      <w:szCs w:val="16"/>
                                    </w:rPr>
                                    <w:t>Debt &amp;</w:t>
                                  </w:r>
                                  <w:r>
                                    <w:rPr>
                                      <w:rFonts w:ascii="Arial" w:hAnsi="Arial" w:cs="Arial"/>
                                      <w:sz w:val="16"/>
                                      <w:szCs w:val="16"/>
                                    </w:rPr>
                                    <w:t>/</w:t>
                                  </w:r>
                                  <w:r w:rsidRPr="004A2EC2">
                                    <w:rPr>
                                      <w:rFonts w:ascii="Arial" w:hAnsi="Arial" w:cs="Arial"/>
                                      <w:sz w:val="16"/>
                                      <w:szCs w:val="16"/>
                                    </w:rPr>
                                    <w:t xml:space="preserve"> or</w:t>
                                  </w:r>
                                </w:p>
                                <w:p w14:paraId="722CCB68" w14:textId="77777777" w:rsidR="004F5D57" w:rsidRPr="004A2EC2" w:rsidRDefault="004F5D57" w:rsidP="00CD6352">
                                  <w:pPr>
                                    <w:spacing w:after="0" w:line="240" w:lineRule="auto"/>
                                    <w:jc w:val="center"/>
                                    <w:rPr>
                                      <w:rFonts w:ascii="Arial" w:hAnsi="Arial" w:cs="Arial"/>
                                      <w:sz w:val="16"/>
                                      <w:szCs w:val="16"/>
                                    </w:rPr>
                                  </w:pPr>
                                  <w:r w:rsidRPr="004A2EC2">
                                    <w:rPr>
                                      <w:rFonts w:ascii="Arial" w:hAnsi="Arial" w:cs="Arial"/>
                                      <w:sz w:val="16"/>
                                      <w:szCs w:val="16"/>
                                    </w:rPr>
                                    <w:t xml:space="preserve"> Equity</w:t>
                                  </w:r>
                                  <w:r>
                                    <w:rPr>
                                      <w:rFonts w:ascii="Arial" w:hAnsi="Arial" w:cs="Arial"/>
                                      <w:sz w:val="16"/>
                                      <w:szCs w:val="16"/>
                                    </w:rPr>
                                    <w:t xml:space="preserve"> decisions</w:t>
                                  </w:r>
                                  <w:permEnd w:id="8670569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9B37F" id="Rectangle 66" o:spid="_x0000_s1045" style="position:absolute;margin-left:254.55pt;margin-top:.95pt;width:61.4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" fillcolor="window" strokecolor="#70ad47" strokeweight="1pt">
                      <v:textbox>
                        <w:txbxContent>
                          <w:p w14:paraId="7F0EB46E" w14:textId="77777777" w:rsidR="004F5D57" w:rsidRPr="004A2EC2" w:rsidRDefault="004F5D57" w:rsidP="00CD6352">
                            <w:pPr>
                              <w:spacing w:after="0" w:line="240" w:lineRule="auto"/>
                              <w:jc w:val="center"/>
                              <w:rPr>
                                <w:rFonts w:ascii="Arial" w:hAnsi="Arial" w:cs="Arial"/>
                                <w:sz w:val="16"/>
                                <w:szCs w:val="16"/>
                              </w:rPr>
                            </w:pPr>
                            <w:permStart w:id="867056955" w:edGrp="everyone"/>
                            <w:r w:rsidRPr="004A2EC2">
                              <w:rPr>
                                <w:rFonts w:ascii="Arial" w:hAnsi="Arial" w:cs="Arial"/>
                                <w:sz w:val="16"/>
                                <w:szCs w:val="16"/>
                              </w:rPr>
                              <w:t>Debt &amp;</w:t>
                            </w:r>
                            <w:r>
                              <w:rPr>
                                <w:rFonts w:ascii="Arial" w:hAnsi="Arial" w:cs="Arial"/>
                                <w:sz w:val="16"/>
                                <w:szCs w:val="16"/>
                              </w:rPr>
                              <w:t>/</w:t>
                            </w:r>
                            <w:r w:rsidRPr="004A2EC2">
                              <w:rPr>
                                <w:rFonts w:ascii="Arial" w:hAnsi="Arial" w:cs="Arial"/>
                                <w:sz w:val="16"/>
                                <w:szCs w:val="16"/>
                              </w:rPr>
                              <w:t xml:space="preserve"> or</w:t>
                            </w:r>
                          </w:p>
                          <w:p w14:paraId="722CCB68" w14:textId="77777777" w:rsidR="004F5D57" w:rsidRPr="004A2EC2" w:rsidRDefault="004F5D57" w:rsidP="00CD6352">
                            <w:pPr>
                              <w:spacing w:after="0" w:line="240" w:lineRule="auto"/>
                              <w:jc w:val="center"/>
                              <w:rPr>
                                <w:rFonts w:ascii="Arial" w:hAnsi="Arial" w:cs="Arial"/>
                                <w:sz w:val="16"/>
                                <w:szCs w:val="16"/>
                              </w:rPr>
                            </w:pPr>
                            <w:r w:rsidRPr="004A2EC2">
                              <w:rPr>
                                <w:rFonts w:ascii="Arial" w:hAnsi="Arial" w:cs="Arial"/>
                                <w:sz w:val="16"/>
                                <w:szCs w:val="16"/>
                              </w:rPr>
                              <w:t xml:space="preserve"> Equity</w:t>
                            </w:r>
                            <w:r>
                              <w:rPr>
                                <w:rFonts w:ascii="Arial" w:hAnsi="Arial" w:cs="Arial"/>
                                <w:sz w:val="16"/>
                                <w:szCs w:val="16"/>
                              </w:rPr>
                              <w:t xml:space="preserve"> decisions</w:t>
                            </w:r>
                            <w:permEnd w:id="867056955"/>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68480" behindDoc="0" locked="0" layoutInCell="1" allowOverlap="1" wp14:anchorId="1F53B3AC" wp14:editId="6920890D">
                      <wp:simplePos x="0" y="0"/>
                      <wp:positionH relativeFrom="column">
                        <wp:posOffset>263439</wp:posOffset>
                      </wp:positionH>
                      <wp:positionV relativeFrom="paragraph">
                        <wp:posOffset>43059</wp:posOffset>
                      </wp:positionV>
                      <wp:extent cx="779780" cy="339047"/>
                      <wp:effectExtent l="0" t="0" r="20320" b="23495"/>
                      <wp:wrapNone/>
                      <wp:docPr id="44" name="Rectangle 44"/>
                      <wp:cNvGraphicFramePr/>
                      <a:graphic xmlns:a="http://schemas.openxmlformats.org/drawingml/2006/main">
                        <a:graphicData uri="http://schemas.microsoft.com/office/word/2010/wordprocessingShape">
                          <wps:wsp>
                            <wps:cNvSpPr/>
                            <wps:spPr>
                              <a:xfrm>
                                <a:off x="0" y="0"/>
                                <a:ext cx="779780" cy="339047"/>
                              </a:xfrm>
                              <a:prstGeom prst="rect">
                                <a:avLst/>
                              </a:prstGeom>
                              <a:solidFill>
                                <a:sysClr val="window" lastClr="FFFFFF"/>
                              </a:solidFill>
                              <a:ln w="12700" cap="flat" cmpd="sng" algn="ctr">
                                <a:solidFill>
                                  <a:srgbClr val="70AD47"/>
                                </a:solidFill>
                                <a:prstDash val="solid"/>
                                <a:miter lim="800000"/>
                              </a:ln>
                              <a:effectLst/>
                            </wps:spPr>
                            <wps:txbx>
                              <w:txbxContent>
                                <w:p w14:paraId="5BBABBF4" w14:textId="77777777" w:rsidR="004F5D57" w:rsidRPr="000B015B" w:rsidRDefault="004F5D57" w:rsidP="00CD6352">
                                  <w:pPr>
                                    <w:jc w:val="center"/>
                                    <w:rPr>
                                      <w:rFonts w:ascii="Arial" w:hAnsi="Arial" w:cs="Arial"/>
                                      <w:sz w:val="16"/>
                                      <w:szCs w:val="16"/>
                                    </w:rPr>
                                  </w:pPr>
                                  <w:permStart w:id="42354475" w:edGrp="everyone"/>
                                  <w:r w:rsidRPr="000B015B">
                                    <w:rPr>
                                      <w:rFonts w:ascii="Arial" w:hAnsi="Arial" w:cs="Arial"/>
                                      <w:sz w:val="16"/>
                                      <w:szCs w:val="16"/>
                                    </w:rPr>
                                    <w:t>Economic env</w:t>
                                  </w:r>
                                  <w:r>
                                    <w:rPr>
                                      <w:rFonts w:ascii="Arial" w:hAnsi="Arial" w:cs="Arial"/>
                                      <w:sz w:val="16"/>
                                      <w:szCs w:val="16"/>
                                    </w:rPr>
                                    <w:t>ironment</w:t>
                                  </w:r>
                                  <w:permEnd w:id="423544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B3AC" id="Rectangle 44" o:spid="_x0000_s1046" style="position:absolute;margin-left:20.75pt;margin-top:3.4pt;width:61.4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" fillcolor="window" strokecolor="#70ad47" strokeweight="1pt">
                      <v:textbox>
                        <w:txbxContent>
                          <w:p w14:paraId="5BBABBF4" w14:textId="77777777" w:rsidR="004F5D57" w:rsidRPr="000B015B" w:rsidRDefault="004F5D57" w:rsidP="00CD6352">
                            <w:pPr>
                              <w:jc w:val="center"/>
                              <w:rPr>
                                <w:rFonts w:ascii="Arial" w:hAnsi="Arial" w:cs="Arial"/>
                                <w:sz w:val="16"/>
                                <w:szCs w:val="16"/>
                              </w:rPr>
                            </w:pPr>
                            <w:permStart w:id="42354475" w:edGrp="everyone"/>
                            <w:r w:rsidRPr="000B015B">
                              <w:rPr>
                                <w:rFonts w:ascii="Arial" w:hAnsi="Arial" w:cs="Arial"/>
                                <w:sz w:val="16"/>
                                <w:szCs w:val="16"/>
                              </w:rPr>
                              <w:t>Economic env</w:t>
                            </w:r>
                            <w:r>
                              <w:rPr>
                                <w:rFonts w:ascii="Arial" w:hAnsi="Arial" w:cs="Arial"/>
                                <w:sz w:val="16"/>
                                <w:szCs w:val="16"/>
                              </w:rPr>
                              <w:t>ironment</w:t>
                            </w:r>
                            <w:permEnd w:id="42354475"/>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76672" behindDoc="0" locked="0" layoutInCell="1" allowOverlap="1" wp14:anchorId="2036A113" wp14:editId="6ACE1836">
                      <wp:simplePos x="0" y="0"/>
                      <wp:positionH relativeFrom="column">
                        <wp:posOffset>1283746</wp:posOffset>
                      </wp:positionH>
                      <wp:positionV relativeFrom="paragraph">
                        <wp:posOffset>119754</wp:posOffset>
                      </wp:positionV>
                      <wp:extent cx="779930" cy="336176"/>
                      <wp:effectExtent l="0" t="0" r="20320" b="26035"/>
                      <wp:wrapNone/>
                      <wp:docPr id="60" name="Rectangle 60"/>
                      <wp:cNvGraphicFramePr/>
                      <a:graphic xmlns:a="http://schemas.openxmlformats.org/drawingml/2006/main">
                        <a:graphicData uri="http://schemas.microsoft.com/office/word/2010/wordprocessingShape">
                          <wps:wsp>
                            <wps:cNvSpPr/>
                            <wps:spPr>
                              <a:xfrm>
                                <a:off x="0" y="0"/>
                                <a:ext cx="779930" cy="336176"/>
                              </a:xfrm>
                              <a:prstGeom prst="rect">
                                <a:avLst/>
                              </a:prstGeom>
                              <a:solidFill>
                                <a:sysClr val="window" lastClr="FFFFFF"/>
                              </a:solidFill>
                              <a:ln w="12700" cap="flat" cmpd="sng" algn="ctr">
                                <a:solidFill>
                                  <a:srgbClr val="70AD47"/>
                                </a:solidFill>
                                <a:prstDash val="solid"/>
                                <a:miter lim="800000"/>
                              </a:ln>
                              <a:effectLst/>
                            </wps:spPr>
                            <wps:txbx>
                              <w:txbxContent>
                                <w:p w14:paraId="383E3812" w14:textId="77777777" w:rsidR="004F5D57" w:rsidRPr="00F50782" w:rsidRDefault="004F5D57" w:rsidP="00CD6352">
                                  <w:pPr>
                                    <w:jc w:val="center"/>
                                    <w:rPr>
                                      <w:rFonts w:ascii="Arial" w:hAnsi="Arial" w:cs="Arial"/>
                                      <w:sz w:val="16"/>
                                      <w:szCs w:val="16"/>
                                    </w:rPr>
                                  </w:pPr>
                                  <w:permStart w:id="858787591" w:edGrp="everyone"/>
                                  <w:r w:rsidRPr="00F50782">
                                    <w:rPr>
                                      <w:rFonts w:ascii="Arial" w:hAnsi="Arial" w:cs="Arial"/>
                                      <w:sz w:val="16"/>
                                      <w:szCs w:val="16"/>
                                    </w:rPr>
                                    <w:t>Access to land</w:t>
                                  </w:r>
                                  <w:permEnd w:id="8587875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A113" id="Rectangle 60" o:spid="_x0000_s1047" style="position:absolute;margin-left:101.1pt;margin-top:9.45pt;width:61.4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" fillcolor="window" strokecolor="#70ad47" strokeweight="1pt">
                      <v:textbox>
                        <w:txbxContent>
                          <w:p w14:paraId="383E3812" w14:textId="77777777" w:rsidR="004F5D57" w:rsidRPr="00F50782" w:rsidRDefault="004F5D57" w:rsidP="00CD6352">
                            <w:pPr>
                              <w:jc w:val="center"/>
                              <w:rPr>
                                <w:rFonts w:ascii="Arial" w:hAnsi="Arial" w:cs="Arial"/>
                                <w:sz w:val="16"/>
                                <w:szCs w:val="16"/>
                              </w:rPr>
                            </w:pPr>
                            <w:permStart w:id="858787591" w:edGrp="everyone"/>
                            <w:r w:rsidRPr="00F50782">
                              <w:rPr>
                                <w:rFonts w:ascii="Arial" w:hAnsi="Arial" w:cs="Arial"/>
                                <w:sz w:val="16"/>
                                <w:szCs w:val="16"/>
                              </w:rPr>
                              <w:t>Access to land</w:t>
                            </w:r>
                            <w:permEnd w:id="858787591"/>
                          </w:p>
                        </w:txbxContent>
                      </v:textbox>
                    </v:rect>
                  </w:pict>
                </mc:Fallback>
              </mc:AlternateContent>
            </w:r>
          </w:p>
          <w:p w14:paraId="1B5C7395"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39136" behindDoc="0" locked="0" layoutInCell="1" allowOverlap="1" wp14:anchorId="7F83C64D" wp14:editId="7D5B6D62">
                      <wp:simplePos x="0" y="0"/>
                      <wp:positionH relativeFrom="column">
                        <wp:posOffset>2661349</wp:posOffset>
                      </wp:positionH>
                      <wp:positionV relativeFrom="paragraph">
                        <wp:posOffset>95621</wp:posOffset>
                      </wp:positionV>
                      <wp:extent cx="124168" cy="123289"/>
                      <wp:effectExtent l="19050" t="0" r="47625" b="29210"/>
                      <wp:wrapNone/>
                      <wp:docPr id="115" name="Arrow: Down 115"/>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5BCA" id="Arrow: Down 115" o:spid="_x0000_s1026" type="#_x0000_t67" style="position:absolute;margin-left:209.55pt;margin-top:7.55pt;width:9.8pt;height: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" adj="10800" fillcolor="window" strokecolor="#70ad47" strokeweight="1pt"/>
                  </w:pict>
                </mc:Fallback>
              </mc:AlternateContent>
            </w:r>
          </w:p>
          <w:p w14:paraId="44CAE7DB"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28896" behindDoc="0" locked="0" layoutInCell="1" allowOverlap="1" wp14:anchorId="37803AB8" wp14:editId="4D5970E5">
                      <wp:simplePos x="0" y="0"/>
                      <wp:positionH relativeFrom="column">
                        <wp:posOffset>539344</wp:posOffset>
                      </wp:positionH>
                      <wp:positionV relativeFrom="paragraph">
                        <wp:posOffset>40248</wp:posOffset>
                      </wp:positionV>
                      <wp:extent cx="124168" cy="123289"/>
                      <wp:effectExtent l="19050" t="0" r="47625" b="29210"/>
                      <wp:wrapNone/>
                      <wp:docPr id="84" name="Arrow: Down 84"/>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104E" id="Arrow: Down 84" o:spid="_x0000_s1026" type="#_x0000_t67" style="position:absolute;margin-left:42.45pt;margin-top:3.15pt;width:9.8pt;height: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69504" behindDoc="0" locked="0" layoutInCell="1" allowOverlap="1" wp14:anchorId="7B4CE90A" wp14:editId="50951B65">
                      <wp:simplePos x="0" y="0"/>
                      <wp:positionH relativeFrom="column">
                        <wp:posOffset>263439</wp:posOffset>
                      </wp:positionH>
                      <wp:positionV relativeFrom="paragraph">
                        <wp:posOffset>142989</wp:posOffset>
                      </wp:positionV>
                      <wp:extent cx="779780" cy="366738"/>
                      <wp:effectExtent l="0" t="0" r="20320" b="14605"/>
                      <wp:wrapNone/>
                      <wp:docPr id="46" name="Rectangle 46"/>
                      <wp:cNvGraphicFramePr/>
                      <a:graphic xmlns:a="http://schemas.openxmlformats.org/drawingml/2006/main">
                        <a:graphicData uri="http://schemas.microsoft.com/office/word/2010/wordprocessingShape">
                          <wps:wsp>
                            <wps:cNvSpPr/>
                            <wps:spPr>
                              <a:xfrm>
                                <a:off x="0" y="0"/>
                                <a:ext cx="779780" cy="366738"/>
                              </a:xfrm>
                              <a:prstGeom prst="rect">
                                <a:avLst/>
                              </a:prstGeom>
                              <a:solidFill>
                                <a:sysClr val="window" lastClr="FFFFFF"/>
                              </a:solidFill>
                              <a:ln w="12700" cap="flat" cmpd="sng" algn="ctr">
                                <a:solidFill>
                                  <a:srgbClr val="70AD47"/>
                                </a:solidFill>
                                <a:prstDash val="solid"/>
                                <a:miter lim="800000"/>
                              </a:ln>
                              <a:effectLst/>
                            </wps:spPr>
                            <wps:txbx>
                              <w:txbxContent>
                                <w:p w14:paraId="20227EBF" w14:textId="77777777" w:rsidR="004F5D57" w:rsidRPr="000B015B" w:rsidRDefault="004F5D57" w:rsidP="00CD6352">
                                  <w:pPr>
                                    <w:jc w:val="center"/>
                                    <w:rPr>
                                      <w:rFonts w:ascii="Arial" w:hAnsi="Arial" w:cs="Arial"/>
                                      <w:sz w:val="16"/>
                                      <w:szCs w:val="16"/>
                                    </w:rPr>
                                  </w:pPr>
                                  <w:permStart w:id="588279412" w:edGrp="everyone"/>
                                  <w:r w:rsidRPr="000B015B">
                                    <w:rPr>
                                      <w:rFonts w:ascii="Arial" w:hAnsi="Arial" w:cs="Arial"/>
                                      <w:sz w:val="16"/>
                                      <w:szCs w:val="16"/>
                                    </w:rPr>
                                    <w:t>Social</w:t>
                                  </w:r>
                                  <w:r>
                                    <w:rPr>
                                      <w:rFonts w:ascii="Arial" w:hAnsi="Arial" w:cs="Arial"/>
                                      <w:sz w:val="16"/>
                                      <w:szCs w:val="16"/>
                                    </w:rPr>
                                    <w:t xml:space="preserve"> environment</w:t>
                                  </w:r>
                                  <w:permEnd w:id="5882794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CE90A" id="Rectangle 46" o:spid="_x0000_s1048" style="position:absolute;margin-left:20.75pt;margin-top:11.25pt;width:61.4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" fillcolor="window" strokecolor="#70ad47" strokeweight="1pt">
                      <v:textbox>
                        <w:txbxContent>
                          <w:p w14:paraId="20227EBF" w14:textId="77777777" w:rsidR="004F5D57" w:rsidRPr="000B015B" w:rsidRDefault="004F5D57" w:rsidP="00CD6352">
                            <w:pPr>
                              <w:jc w:val="center"/>
                              <w:rPr>
                                <w:rFonts w:ascii="Arial" w:hAnsi="Arial" w:cs="Arial"/>
                                <w:sz w:val="16"/>
                                <w:szCs w:val="16"/>
                              </w:rPr>
                            </w:pPr>
                            <w:permStart w:id="588279412" w:edGrp="everyone"/>
                            <w:r w:rsidRPr="000B015B">
                              <w:rPr>
                                <w:rFonts w:ascii="Arial" w:hAnsi="Arial" w:cs="Arial"/>
                                <w:sz w:val="16"/>
                                <w:szCs w:val="16"/>
                              </w:rPr>
                              <w:t>Social</w:t>
                            </w:r>
                            <w:r>
                              <w:rPr>
                                <w:rFonts w:ascii="Arial" w:hAnsi="Arial" w:cs="Arial"/>
                                <w:sz w:val="16"/>
                                <w:szCs w:val="16"/>
                              </w:rPr>
                              <w:t xml:space="preserve"> environment</w:t>
                            </w:r>
                            <w:permEnd w:id="588279412"/>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80768" behindDoc="0" locked="0" layoutInCell="1" allowOverlap="1" wp14:anchorId="0348C7CA" wp14:editId="1A25388C">
                      <wp:simplePos x="0" y="0"/>
                      <wp:positionH relativeFrom="column">
                        <wp:posOffset>2344346</wp:posOffset>
                      </wp:positionH>
                      <wp:positionV relativeFrom="paragraph">
                        <wp:posOffset>78740</wp:posOffset>
                      </wp:positionV>
                      <wp:extent cx="779930" cy="242047"/>
                      <wp:effectExtent l="0" t="0" r="20320" b="24765"/>
                      <wp:wrapNone/>
                      <wp:docPr id="64" name="Rectangle 64"/>
                      <wp:cNvGraphicFramePr/>
                      <a:graphic xmlns:a="http://schemas.openxmlformats.org/drawingml/2006/main">
                        <a:graphicData uri="http://schemas.microsoft.com/office/word/2010/wordprocessingShape">
                          <wps:wsp>
                            <wps:cNvSpPr/>
                            <wps:spPr>
                              <a:xfrm>
                                <a:off x="0" y="0"/>
                                <a:ext cx="779930" cy="242047"/>
                              </a:xfrm>
                              <a:prstGeom prst="rect">
                                <a:avLst/>
                              </a:prstGeom>
                              <a:solidFill>
                                <a:sysClr val="window" lastClr="FFFFFF"/>
                              </a:solidFill>
                              <a:ln w="12700" cap="flat" cmpd="sng" algn="ctr">
                                <a:solidFill>
                                  <a:srgbClr val="70AD47"/>
                                </a:solidFill>
                                <a:prstDash val="solid"/>
                                <a:miter lim="800000"/>
                              </a:ln>
                              <a:effectLst/>
                            </wps:spPr>
                            <wps:txbx>
                              <w:txbxContent>
                                <w:p w14:paraId="52B0A2D7" w14:textId="77777777" w:rsidR="004F5D57" w:rsidRPr="005D65D3" w:rsidRDefault="004F5D57" w:rsidP="00CD6352">
                                  <w:pPr>
                                    <w:jc w:val="center"/>
                                    <w:rPr>
                                      <w:rFonts w:ascii="Arial" w:hAnsi="Arial" w:cs="Arial"/>
                                      <w:sz w:val="16"/>
                                      <w:szCs w:val="16"/>
                                    </w:rPr>
                                  </w:pPr>
                                  <w:permStart w:id="771244781" w:edGrp="everyone"/>
                                  <w:r w:rsidRPr="005D65D3">
                                    <w:rPr>
                                      <w:rFonts w:ascii="Arial" w:hAnsi="Arial" w:cs="Arial"/>
                                      <w:sz w:val="16"/>
                                      <w:szCs w:val="16"/>
                                    </w:rPr>
                                    <w:t>Knowledge</w:t>
                                  </w:r>
                                  <w:permEnd w:id="7712447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C7CA" id="Rectangle 64" o:spid="_x0000_s1049" style="position:absolute;margin-left:184.6pt;margin-top:6.2pt;width:61.4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" fillcolor="window" strokecolor="#70ad47" strokeweight="1pt">
                      <v:textbox>
                        <w:txbxContent>
                          <w:p w14:paraId="52B0A2D7" w14:textId="77777777" w:rsidR="004F5D57" w:rsidRPr="005D65D3" w:rsidRDefault="004F5D57" w:rsidP="00CD6352">
                            <w:pPr>
                              <w:jc w:val="center"/>
                              <w:rPr>
                                <w:rFonts w:ascii="Arial" w:hAnsi="Arial" w:cs="Arial"/>
                                <w:sz w:val="16"/>
                                <w:szCs w:val="16"/>
                              </w:rPr>
                            </w:pPr>
                            <w:permStart w:id="771244781" w:edGrp="everyone"/>
                            <w:r w:rsidRPr="005D65D3">
                              <w:rPr>
                                <w:rFonts w:ascii="Arial" w:hAnsi="Arial" w:cs="Arial"/>
                                <w:sz w:val="16"/>
                                <w:szCs w:val="16"/>
                              </w:rPr>
                              <w:t>Knowledge</w:t>
                            </w:r>
                            <w:permEnd w:id="771244781"/>
                          </w:p>
                        </w:txbxContent>
                      </v:textbox>
                    </v:rect>
                  </w:pict>
                </mc:Fallback>
              </mc:AlternateContent>
            </w:r>
          </w:p>
          <w:p w14:paraId="372D9666"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42208" behindDoc="0" locked="0" layoutInCell="1" allowOverlap="1" wp14:anchorId="20F71420" wp14:editId="41CBE21F">
                      <wp:simplePos x="0" y="0"/>
                      <wp:positionH relativeFrom="column">
                        <wp:posOffset>3575050</wp:posOffset>
                      </wp:positionH>
                      <wp:positionV relativeFrom="paragraph">
                        <wp:posOffset>58698</wp:posOffset>
                      </wp:positionV>
                      <wp:extent cx="124168" cy="123289"/>
                      <wp:effectExtent l="19050" t="0" r="47625" b="29210"/>
                      <wp:wrapNone/>
                      <wp:docPr id="118" name="Arrow: Down 118"/>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37ED" id="Arrow: Down 118" o:spid="_x0000_s1026" type="#_x0000_t67" style="position:absolute;margin-left:281.5pt;margin-top:4.6pt;width:9.8pt;height: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77696" behindDoc="0" locked="0" layoutInCell="1" allowOverlap="1" wp14:anchorId="45AE9894" wp14:editId="56202D05">
                      <wp:simplePos x="0" y="0"/>
                      <wp:positionH relativeFrom="column">
                        <wp:posOffset>1299845</wp:posOffset>
                      </wp:positionH>
                      <wp:positionV relativeFrom="paragraph">
                        <wp:posOffset>78105</wp:posOffset>
                      </wp:positionV>
                      <wp:extent cx="779780" cy="241935"/>
                      <wp:effectExtent l="0" t="0" r="20320" b="24765"/>
                      <wp:wrapNone/>
                      <wp:docPr id="61" name="Rectangle 61"/>
                      <wp:cNvGraphicFramePr/>
                      <a:graphic xmlns:a="http://schemas.openxmlformats.org/drawingml/2006/main">
                        <a:graphicData uri="http://schemas.microsoft.com/office/word/2010/wordprocessingShape">
                          <wps:wsp>
                            <wps:cNvSpPr/>
                            <wps:spPr>
                              <a:xfrm>
                                <a:off x="0" y="0"/>
                                <a:ext cx="779780" cy="241935"/>
                              </a:xfrm>
                              <a:prstGeom prst="rect">
                                <a:avLst/>
                              </a:prstGeom>
                              <a:solidFill>
                                <a:sysClr val="window" lastClr="FFFFFF"/>
                              </a:solidFill>
                              <a:ln w="12700" cap="flat" cmpd="sng" algn="ctr">
                                <a:solidFill>
                                  <a:srgbClr val="70AD47"/>
                                </a:solidFill>
                                <a:prstDash val="solid"/>
                                <a:miter lim="800000"/>
                              </a:ln>
                              <a:effectLst/>
                            </wps:spPr>
                            <wps:txbx>
                              <w:txbxContent>
                                <w:p w14:paraId="5E484A1C" w14:textId="77777777" w:rsidR="004F5D57" w:rsidRPr="00815A02" w:rsidRDefault="004F5D57" w:rsidP="00CD6352">
                                  <w:pPr>
                                    <w:jc w:val="center"/>
                                    <w:rPr>
                                      <w:rFonts w:ascii="Arial" w:hAnsi="Arial" w:cs="Arial"/>
                                      <w:sz w:val="16"/>
                                      <w:szCs w:val="16"/>
                                    </w:rPr>
                                  </w:pPr>
                                  <w:permStart w:id="1954625372" w:edGrp="everyone"/>
                                  <w:r w:rsidRPr="00815A02">
                                    <w:rPr>
                                      <w:rFonts w:ascii="Arial" w:hAnsi="Arial" w:cs="Arial"/>
                                      <w:sz w:val="16"/>
                                      <w:szCs w:val="16"/>
                                    </w:rPr>
                                    <w:t>Cash flow</w:t>
                                  </w:r>
                                  <w:permEnd w:id="19546253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E9894" id="Rectangle 61" o:spid="_x0000_s1050" style="position:absolute;margin-left:102.35pt;margin-top:6.15pt;width:61.4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" fillcolor="window" strokecolor="#70ad47" strokeweight="1pt">
                      <v:textbox>
                        <w:txbxContent>
                          <w:p w14:paraId="5E484A1C" w14:textId="77777777" w:rsidR="004F5D57" w:rsidRPr="00815A02" w:rsidRDefault="004F5D57" w:rsidP="00CD6352">
                            <w:pPr>
                              <w:jc w:val="center"/>
                              <w:rPr>
                                <w:rFonts w:ascii="Arial" w:hAnsi="Arial" w:cs="Arial"/>
                                <w:sz w:val="16"/>
                                <w:szCs w:val="16"/>
                              </w:rPr>
                            </w:pPr>
                            <w:permStart w:id="1954625372" w:edGrp="everyone"/>
                            <w:r w:rsidRPr="00815A02">
                              <w:rPr>
                                <w:rFonts w:ascii="Arial" w:hAnsi="Arial" w:cs="Arial"/>
                                <w:sz w:val="16"/>
                                <w:szCs w:val="16"/>
                              </w:rPr>
                              <w:t>Cash flow</w:t>
                            </w:r>
                            <w:permEnd w:id="1954625372"/>
                          </w:p>
                        </w:txbxContent>
                      </v:textbox>
                    </v:rect>
                  </w:pict>
                </mc:Fallback>
              </mc:AlternateContent>
            </w:r>
          </w:p>
          <w:p w14:paraId="6AEF98B9"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83840" behindDoc="0" locked="0" layoutInCell="1" allowOverlap="1" wp14:anchorId="2B6C0F0E" wp14:editId="6B8A57B0">
                      <wp:simplePos x="0" y="0"/>
                      <wp:positionH relativeFrom="column">
                        <wp:posOffset>3300730</wp:posOffset>
                      </wp:positionH>
                      <wp:positionV relativeFrom="paragraph">
                        <wp:posOffset>67410</wp:posOffset>
                      </wp:positionV>
                      <wp:extent cx="779930" cy="336177"/>
                      <wp:effectExtent l="0" t="0" r="20320" b="26035"/>
                      <wp:wrapNone/>
                      <wp:docPr id="67" name="Rectangle 67"/>
                      <wp:cNvGraphicFramePr/>
                      <a:graphic xmlns:a="http://schemas.openxmlformats.org/drawingml/2006/main">
                        <a:graphicData uri="http://schemas.microsoft.com/office/word/2010/wordprocessingShape">
                          <wps:wsp>
                            <wps:cNvSpPr/>
                            <wps:spPr>
                              <a:xfrm>
                                <a:off x="0" y="0"/>
                                <a:ext cx="779930" cy="336177"/>
                              </a:xfrm>
                              <a:prstGeom prst="rect">
                                <a:avLst/>
                              </a:prstGeom>
                              <a:solidFill>
                                <a:sysClr val="window" lastClr="FFFFFF"/>
                              </a:solidFill>
                              <a:ln w="12700" cap="flat" cmpd="sng" algn="ctr">
                                <a:solidFill>
                                  <a:srgbClr val="70AD47"/>
                                </a:solidFill>
                                <a:prstDash val="solid"/>
                                <a:miter lim="800000"/>
                              </a:ln>
                              <a:effectLst/>
                            </wps:spPr>
                            <wps:txbx>
                              <w:txbxContent>
                                <w:p w14:paraId="151147C1" w14:textId="77777777" w:rsidR="004F5D57" w:rsidRPr="00216C08" w:rsidRDefault="004F5D57" w:rsidP="00CD6352">
                                  <w:pPr>
                                    <w:jc w:val="center"/>
                                    <w:rPr>
                                      <w:rFonts w:ascii="Arial" w:hAnsi="Arial" w:cs="Arial"/>
                                      <w:sz w:val="16"/>
                                      <w:szCs w:val="16"/>
                                    </w:rPr>
                                  </w:pPr>
                                  <w:permStart w:id="414990016" w:edGrp="everyone"/>
                                  <w:r w:rsidRPr="00216C08">
                                    <w:rPr>
                                      <w:rFonts w:ascii="Arial" w:hAnsi="Arial" w:cs="Arial"/>
                                      <w:sz w:val="16"/>
                                      <w:szCs w:val="16"/>
                                    </w:rPr>
                                    <w:t>Cost of finance</w:t>
                                  </w:r>
                                  <w:permEnd w:id="4149900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C0F0E" id="Rectangle 67" o:spid="_x0000_s1051" style="position:absolute;margin-left:259.9pt;margin-top:5.3pt;width:61.4pt;height:2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" fillcolor="window" strokecolor="#70ad47" strokeweight="1pt">
                      <v:textbox>
                        <w:txbxContent>
                          <w:p w14:paraId="151147C1" w14:textId="77777777" w:rsidR="004F5D57" w:rsidRPr="00216C08" w:rsidRDefault="004F5D57" w:rsidP="00CD6352">
                            <w:pPr>
                              <w:jc w:val="center"/>
                              <w:rPr>
                                <w:rFonts w:ascii="Arial" w:hAnsi="Arial" w:cs="Arial"/>
                                <w:sz w:val="16"/>
                                <w:szCs w:val="16"/>
                              </w:rPr>
                            </w:pPr>
                            <w:permStart w:id="414990016" w:edGrp="everyone"/>
                            <w:r w:rsidRPr="00216C08">
                              <w:rPr>
                                <w:rFonts w:ascii="Arial" w:hAnsi="Arial" w:cs="Arial"/>
                                <w:sz w:val="16"/>
                                <w:szCs w:val="16"/>
                              </w:rPr>
                              <w:t>Cost of finance</w:t>
                            </w:r>
                            <w:permEnd w:id="414990016"/>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40160" behindDoc="0" locked="0" layoutInCell="1" allowOverlap="1" wp14:anchorId="3552DF58" wp14:editId="474EF5BB">
                      <wp:simplePos x="0" y="0"/>
                      <wp:positionH relativeFrom="column">
                        <wp:posOffset>2682518</wp:posOffset>
                      </wp:positionH>
                      <wp:positionV relativeFrom="paragraph">
                        <wp:posOffset>60311</wp:posOffset>
                      </wp:positionV>
                      <wp:extent cx="124168" cy="123289"/>
                      <wp:effectExtent l="19050" t="0" r="47625" b="29210"/>
                      <wp:wrapNone/>
                      <wp:docPr id="116" name="Arrow: Down 116"/>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44C7" id="Arrow: Down 116" o:spid="_x0000_s1026" type="#_x0000_t67" style="position:absolute;margin-left:211.2pt;margin-top:4.75pt;width:9.8pt;height: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" adj="10800" fillcolor="window" strokecolor="#70ad47" strokeweight="1pt"/>
                  </w:pict>
                </mc:Fallback>
              </mc:AlternateContent>
            </w:r>
          </w:p>
          <w:p w14:paraId="04C2F0F7"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35040" behindDoc="0" locked="0" layoutInCell="1" allowOverlap="1" wp14:anchorId="3B35DAB4" wp14:editId="1C140814">
                      <wp:simplePos x="0" y="0"/>
                      <wp:positionH relativeFrom="column">
                        <wp:posOffset>1623316</wp:posOffset>
                      </wp:positionH>
                      <wp:positionV relativeFrom="paragraph">
                        <wp:posOffset>37172</wp:posOffset>
                      </wp:positionV>
                      <wp:extent cx="124168" cy="123289"/>
                      <wp:effectExtent l="19050" t="0" r="47625" b="29210"/>
                      <wp:wrapNone/>
                      <wp:docPr id="109" name="Arrow: Down 109"/>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185A" id="Arrow: Down 109" o:spid="_x0000_s1026" type="#_x0000_t67" style="position:absolute;margin-left:127.8pt;margin-top:2.95pt;width:9.8pt;height: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78720" behindDoc="0" locked="0" layoutInCell="1" allowOverlap="1" wp14:anchorId="4786B531" wp14:editId="15E1EF0C">
                      <wp:simplePos x="0" y="0"/>
                      <wp:positionH relativeFrom="column">
                        <wp:posOffset>1301129</wp:posOffset>
                      </wp:positionH>
                      <wp:positionV relativeFrom="paragraph">
                        <wp:posOffset>154184</wp:posOffset>
                      </wp:positionV>
                      <wp:extent cx="810603" cy="267128"/>
                      <wp:effectExtent l="0" t="0" r="27940" b="19050"/>
                      <wp:wrapNone/>
                      <wp:docPr id="62" name="Rectangle 62"/>
                      <wp:cNvGraphicFramePr/>
                      <a:graphic xmlns:a="http://schemas.openxmlformats.org/drawingml/2006/main">
                        <a:graphicData uri="http://schemas.microsoft.com/office/word/2010/wordprocessingShape">
                          <wps:wsp>
                            <wps:cNvSpPr/>
                            <wps:spPr>
                              <a:xfrm>
                                <a:off x="0" y="0"/>
                                <a:ext cx="810603" cy="267128"/>
                              </a:xfrm>
                              <a:prstGeom prst="rect">
                                <a:avLst/>
                              </a:prstGeom>
                              <a:solidFill>
                                <a:sysClr val="window" lastClr="FFFFFF"/>
                              </a:solidFill>
                              <a:ln w="12700" cap="flat" cmpd="sng" algn="ctr">
                                <a:solidFill>
                                  <a:srgbClr val="70AD47"/>
                                </a:solidFill>
                                <a:prstDash val="solid"/>
                                <a:miter lim="800000"/>
                              </a:ln>
                              <a:effectLst/>
                            </wps:spPr>
                            <wps:txbx>
                              <w:txbxContent>
                                <w:p w14:paraId="6CFA4777" w14:textId="77777777" w:rsidR="004F5D57" w:rsidRPr="00815A02" w:rsidRDefault="004F5D57" w:rsidP="00CD6352">
                                  <w:pPr>
                                    <w:jc w:val="center"/>
                                    <w:rPr>
                                      <w:rFonts w:ascii="Arial" w:hAnsi="Arial" w:cs="Arial"/>
                                      <w:sz w:val="16"/>
                                      <w:szCs w:val="16"/>
                                    </w:rPr>
                                  </w:pPr>
                                  <w:permStart w:id="1752897136" w:edGrp="everyone"/>
                                  <w:r w:rsidRPr="00815A02">
                                    <w:rPr>
                                      <w:rFonts w:ascii="Arial" w:hAnsi="Arial" w:cs="Arial"/>
                                      <w:sz w:val="16"/>
                                      <w:szCs w:val="16"/>
                                    </w:rPr>
                                    <w:t>Collateral</w:t>
                                  </w:r>
                                  <w:permEnd w:id="17528971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6B531" id="Rectangle 62" o:spid="_x0000_s1052" style="position:absolute;margin-left:102.45pt;margin-top:12.15pt;width:63.8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" fillcolor="window" strokecolor="#70ad47" strokeweight="1pt">
                      <v:textbox>
                        <w:txbxContent>
                          <w:p w14:paraId="6CFA4777" w14:textId="77777777" w:rsidR="004F5D57" w:rsidRPr="00815A02" w:rsidRDefault="004F5D57" w:rsidP="00CD6352">
                            <w:pPr>
                              <w:jc w:val="center"/>
                              <w:rPr>
                                <w:rFonts w:ascii="Arial" w:hAnsi="Arial" w:cs="Arial"/>
                                <w:sz w:val="16"/>
                                <w:szCs w:val="16"/>
                              </w:rPr>
                            </w:pPr>
                            <w:permStart w:id="1752897136" w:edGrp="everyone"/>
                            <w:r w:rsidRPr="00815A02">
                              <w:rPr>
                                <w:rFonts w:ascii="Arial" w:hAnsi="Arial" w:cs="Arial"/>
                                <w:sz w:val="16"/>
                                <w:szCs w:val="16"/>
                              </w:rPr>
                              <w:t>Collateral</w:t>
                            </w:r>
                            <w:permEnd w:id="1752897136"/>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32992" behindDoc="0" locked="0" layoutInCell="1" allowOverlap="1" wp14:anchorId="179C5576" wp14:editId="638748E3">
                      <wp:simplePos x="0" y="0"/>
                      <wp:positionH relativeFrom="column">
                        <wp:posOffset>616450</wp:posOffset>
                      </wp:positionH>
                      <wp:positionV relativeFrom="paragraph">
                        <wp:posOffset>37272</wp:posOffset>
                      </wp:positionV>
                      <wp:extent cx="124168" cy="123289"/>
                      <wp:effectExtent l="19050" t="0" r="47625" b="29210"/>
                      <wp:wrapNone/>
                      <wp:docPr id="77" name="Arrow: Down 77"/>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EE2A" id="Arrow: Down 77" o:spid="_x0000_s1026" type="#_x0000_t67" style="position:absolute;margin-left:48.55pt;margin-top:2.95pt;width:9.8pt;height: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70528" behindDoc="0" locked="0" layoutInCell="1" allowOverlap="1" wp14:anchorId="58040F12" wp14:editId="2EC300E1">
                      <wp:simplePos x="0" y="0"/>
                      <wp:positionH relativeFrom="column">
                        <wp:posOffset>283988</wp:posOffset>
                      </wp:positionH>
                      <wp:positionV relativeFrom="paragraph">
                        <wp:posOffset>133635</wp:posOffset>
                      </wp:positionV>
                      <wp:extent cx="779780" cy="359596"/>
                      <wp:effectExtent l="0" t="0" r="20320" b="21590"/>
                      <wp:wrapNone/>
                      <wp:docPr id="48" name="Rectangle 48"/>
                      <wp:cNvGraphicFramePr/>
                      <a:graphic xmlns:a="http://schemas.openxmlformats.org/drawingml/2006/main">
                        <a:graphicData uri="http://schemas.microsoft.com/office/word/2010/wordprocessingShape">
                          <wps:wsp>
                            <wps:cNvSpPr/>
                            <wps:spPr>
                              <a:xfrm>
                                <a:off x="0" y="0"/>
                                <a:ext cx="779780" cy="359596"/>
                              </a:xfrm>
                              <a:prstGeom prst="rect">
                                <a:avLst/>
                              </a:prstGeom>
                              <a:solidFill>
                                <a:sysClr val="window" lastClr="FFFFFF"/>
                              </a:solidFill>
                              <a:ln w="12700" cap="flat" cmpd="sng" algn="ctr">
                                <a:solidFill>
                                  <a:srgbClr val="70AD47"/>
                                </a:solidFill>
                                <a:prstDash val="solid"/>
                                <a:miter lim="800000"/>
                              </a:ln>
                              <a:effectLst/>
                            </wps:spPr>
                            <wps:txbx>
                              <w:txbxContent>
                                <w:p w14:paraId="53E7ED2D" w14:textId="77777777" w:rsidR="004F5D57" w:rsidRPr="000B015B" w:rsidRDefault="004F5D57" w:rsidP="00CD6352">
                                  <w:pPr>
                                    <w:jc w:val="center"/>
                                    <w:rPr>
                                      <w:rFonts w:ascii="Arial" w:hAnsi="Arial" w:cs="Arial"/>
                                      <w:sz w:val="16"/>
                                      <w:szCs w:val="16"/>
                                    </w:rPr>
                                  </w:pPr>
                                  <w:permStart w:id="518458929" w:edGrp="everyone"/>
                                  <w:r w:rsidRPr="000B015B">
                                    <w:rPr>
                                      <w:rFonts w:ascii="Arial" w:hAnsi="Arial" w:cs="Arial"/>
                                      <w:sz w:val="16"/>
                                      <w:szCs w:val="16"/>
                                    </w:rPr>
                                    <w:t>Political</w:t>
                                  </w:r>
                                  <w:r>
                                    <w:rPr>
                                      <w:rFonts w:ascii="Arial" w:hAnsi="Arial" w:cs="Arial"/>
                                      <w:sz w:val="16"/>
                                      <w:szCs w:val="16"/>
                                    </w:rPr>
                                    <w:t xml:space="preserve"> environment</w:t>
                                  </w:r>
                                  <w:permEnd w:id="5184589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0F12" id="Rectangle 48" o:spid="_x0000_s1053" style="position:absolute;margin-left:22.35pt;margin-top:10.5pt;width:61.4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" fillcolor="window" strokecolor="#70ad47" strokeweight="1pt">
                      <v:textbox>
                        <w:txbxContent>
                          <w:p w14:paraId="53E7ED2D" w14:textId="77777777" w:rsidR="004F5D57" w:rsidRPr="000B015B" w:rsidRDefault="004F5D57" w:rsidP="00CD6352">
                            <w:pPr>
                              <w:jc w:val="center"/>
                              <w:rPr>
                                <w:rFonts w:ascii="Arial" w:hAnsi="Arial" w:cs="Arial"/>
                                <w:sz w:val="16"/>
                                <w:szCs w:val="16"/>
                              </w:rPr>
                            </w:pPr>
                            <w:permStart w:id="518458929" w:edGrp="everyone"/>
                            <w:r w:rsidRPr="000B015B">
                              <w:rPr>
                                <w:rFonts w:ascii="Arial" w:hAnsi="Arial" w:cs="Arial"/>
                                <w:sz w:val="16"/>
                                <w:szCs w:val="16"/>
                              </w:rPr>
                              <w:t>Political</w:t>
                            </w:r>
                            <w:r>
                              <w:rPr>
                                <w:rFonts w:ascii="Arial" w:hAnsi="Arial" w:cs="Arial"/>
                                <w:sz w:val="16"/>
                                <w:szCs w:val="16"/>
                              </w:rPr>
                              <w:t xml:space="preserve"> environment</w:t>
                            </w:r>
                            <w:permEnd w:id="518458929"/>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81792" behindDoc="0" locked="0" layoutInCell="1" allowOverlap="1" wp14:anchorId="0A057B54" wp14:editId="0F58F2DA">
                      <wp:simplePos x="0" y="0"/>
                      <wp:positionH relativeFrom="column">
                        <wp:posOffset>2372958</wp:posOffset>
                      </wp:positionH>
                      <wp:positionV relativeFrom="paragraph">
                        <wp:posOffset>69514</wp:posOffset>
                      </wp:positionV>
                      <wp:extent cx="860611" cy="241935"/>
                      <wp:effectExtent l="0" t="0" r="15875" b="24765"/>
                      <wp:wrapNone/>
                      <wp:docPr id="65" name="Rectangle 65"/>
                      <wp:cNvGraphicFramePr/>
                      <a:graphic xmlns:a="http://schemas.openxmlformats.org/drawingml/2006/main">
                        <a:graphicData uri="http://schemas.microsoft.com/office/word/2010/wordprocessingShape">
                          <wps:wsp>
                            <wps:cNvSpPr/>
                            <wps:spPr>
                              <a:xfrm>
                                <a:off x="0" y="0"/>
                                <a:ext cx="860611" cy="241935"/>
                              </a:xfrm>
                              <a:prstGeom prst="rect">
                                <a:avLst/>
                              </a:prstGeom>
                              <a:solidFill>
                                <a:sysClr val="window" lastClr="FFFFFF"/>
                              </a:solidFill>
                              <a:ln w="12700" cap="flat" cmpd="sng" algn="ctr">
                                <a:solidFill>
                                  <a:srgbClr val="70AD47"/>
                                </a:solidFill>
                                <a:prstDash val="solid"/>
                                <a:miter lim="800000"/>
                              </a:ln>
                              <a:effectLst/>
                            </wps:spPr>
                            <wps:txbx>
                              <w:txbxContent>
                                <w:p w14:paraId="4BFEC021" w14:textId="77777777" w:rsidR="004F5D57" w:rsidRPr="004A2EC2" w:rsidRDefault="004F5D57" w:rsidP="00CD6352">
                                  <w:pPr>
                                    <w:jc w:val="center"/>
                                    <w:rPr>
                                      <w:rFonts w:ascii="Arial" w:hAnsi="Arial" w:cs="Arial"/>
                                      <w:sz w:val="16"/>
                                      <w:szCs w:val="16"/>
                                    </w:rPr>
                                  </w:pPr>
                                  <w:permStart w:id="1165179996" w:edGrp="everyone"/>
                                  <w:r w:rsidRPr="004A2EC2">
                                    <w:rPr>
                                      <w:rFonts w:ascii="Arial" w:hAnsi="Arial" w:cs="Arial"/>
                                      <w:sz w:val="16"/>
                                      <w:szCs w:val="16"/>
                                    </w:rPr>
                                    <w:t>Competences</w:t>
                                  </w:r>
                                  <w:permEnd w:id="11651799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7B54" id="Rectangle 65" o:spid="_x0000_s1054" style="position:absolute;margin-left:186.85pt;margin-top:5.45pt;width:67.75pt;height:1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" fillcolor="window" strokecolor="#70ad47" strokeweight="1pt">
                      <v:textbox>
                        <w:txbxContent>
                          <w:p w14:paraId="4BFEC021" w14:textId="77777777" w:rsidR="004F5D57" w:rsidRPr="004A2EC2" w:rsidRDefault="004F5D57" w:rsidP="00CD6352">
                            <w:pPr>
                              <w:jc w:val="center"/>
                              <w:rPr>
                                <w:rFonts w:ascii="Arial" w:hAnsi="Arial" w:cs="Arial"/>
                                <w:sz w:val="16"/>
                                <w:szCs w:val="16"/>
                              </w:rPr>
                            </w:pPr>
                            <w:permStart w:id="1165179996" w:edGrp="everyone"/>
                            <w:r w:rsidRPr="004A2EC2">
                              <w:rPr>
                                <w:rFonts w:ascii="Arial" w:hAnsi="Arial" w:cs="Arial"/>
                                <w:sz w:val="16"/>
                                <w:szCs w:val="16"/>
                              </w:rPr>
                              <w:t>Competences</w:t>
                            </w:r>
                            <w:permEnd w:id="1165179996"/>
                          </w:p>
                        </w:txbxContent>
                      </v:textbox>
                    </v:rect>
                  </w:pict>
                </mc:Fallback>
              </mc:AlternateContent>
            </w:r>
          </w:p>
          <w:p w14:paraId="45A2DBAB" w14:textId="77777777" w:rsidR="00CD6352" w:rsidRPr="00C52D0D" w:rsidRDefault="00CD6352" w:rsidP="00CD6352">
            <w:pPr>
              <w:rPr>
                <w:rFonts w:ascii="Arial" w:hAnsi="Arial" w:cs="Arial"/>
                <w:sz w:val="16"/>
                <w:szCs w:val="16"/>
              </w:rPr>
            </w:pPr>
          </w:p>
          <w:p w14:paraId="13D201D8"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36064" behindDoc="0" locked="0" layoutInCell="1" allowOverlap="1" wp14:anchorId="6269448C" wp14:editId="7B77A744">
                      <wp:simplePos x="0" y="0"/>
                      <wp:positionH relativeFrom="column">
                        <wp:posOffset>1660604</wp:posOffset>
                      </wp:positionH>
                      <wp:positionV relativeFrom="paragraph">
                        <wp:posOffset>110155</wp:posOffset>
                      </wp:positionV>
                      <wp:extent cx="132601" cy="112916"/>
                      <wp:effectExtent l="19050" t="0" r="39370" b="40005"/>
                      <wp:wrapNone/>
                      <wp:docPr id="110" name="Arrow: Down 110"/>
                      <wp:cNvGraphicFramePr/>
                      <a:graphic xmlns:a="http://schemas.openxmlformats.org/drawingml/2006/main">
                        <a:graphicData uri="http://schemas.microsoft.com/office/word/2010/wordprocessingShape">
                          <wps:wsp>
                            <wps:cNvSpPr/>
                            <wps:spPr>
                              <a:xfrm>
                                <a:off x="0" y="0"/>
                                <a:ext cx="132601" cy="112916"/>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0457" id="Arrow: Down 110" o:spid="_x0000_s1026" type="#_x0000_t67" style="position:absolute;margin-left:130.75pt;margin-top:8.65pt;width:10.45pt;height: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" adj="10800" fillcolor="window" strokecolor="#70ad47" strokeweight="1pt"/>
                  </w:pict>
                </mc:Fallback>
              </mc:AlternateContent>
            </w:r>
          </w:p>
          <w:p w14:paraId="7A9D8352"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84864" behindDoc="0" locked="0" layoutInCell="1" allowOverlap="1" wp14:anchorId="3858D7EF" wp14:editId="4360CBF5">
                      <wp:simplePos x="0" y="0"/>
                      <wp:positionH relativeFrom="column">
                        <wp:posOffset>1311404</wp:posOffset>
                      </wp:positionH>
                      <wp:positionV relativeFrom="paragraph">
                        <wp:posOffset>43180</wp:posOffset>
                      </wp:positionV>
                      <wp:extent cx="860425" cy="362585"/>
                      <wp:effectExtent l="0" t="0" r="15875" b="18415"/>
                      <wp:wrapNone/>
                      <wp:docPr id="68" name="Rectangle 68"/>
                      <wp:cNvGraphicFramePr/>
                      <a:graphic xmlns:a="http://schemas.openxmlformats.org/drawingml/2006/main">
                        <a:graphicData uri="http://schemas.microsoft.com/office/word/2010/wordprocessingShape">
                          <wps:wsp>
                            <wps:cNvSpPr/>
                            <wps:spPr>
                              <a:xfrm>
                                <a:off x="0" y="0"/>
                                <a:ext cx="860425" cy="362585"/>
                              </a:xfrm>
                              <a:prstGeom prst="rect">
                                <a:avLst/>
                              </a:prstGeom>
                              <a:solidFill>
                                <a:sysClr val="window" lastClr="FFFFFF"/>
                              </a:solidFill>
                              <a:ln w="12700" cap="flat" cmpd="sng" algn="ctr">
                                <a:solidFill>
                                  <a:srgbClr val="70AD47"/>
                                </a:solidFill>
                                <a:prstDash val="solid"/>
                                <a:miter lim="800000"/>
                              </a:ln>
                              <a:effectLst/>
                            </wps:spPr>
                            <wps:txbx>
                              <w:txbxContent>
                                <w:p w14:paraId="14506CC4" w14:textId="77777777" w:rsidR="004F5D57" w:rsidRPr="00216C08" w:rsidRDefault="004F5D57" w:rsidP="00CD6352">
                                  <w:pPr>
                                    <w:jc w:val="center"/>
                                    <w:rPr>
                                      <w:rFonts w:ascii="Arial" w:hAnsi="Arial" w:cs="Arial"/>
                                      <w:sz w:val="16"/>
                                      <w:szCs w:val="16"/>
                                    </w:rPr>
                                  </w:pPr>
                                  <w:permStart w:id="1246764475" w:edGrp="everyone"/>
                                  <w:r w:rsidRPr="00216C08">
                                    <w:rPr>
                                      <w:rFonts w:ascii="Arial" w:hAnsi="Arial" w:cs="Arial"/>
                                      <w:sz w:val="16"/>
                                      <w:szCs w:val="16"/>
                                    </w:rPr>
                                    <w:t>Liquidity management</w:t>
                                  </w:r>
                                  <w:permEnd w:id="12467644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D7EF" id="Rectangle 68" o:spid="_x0000_s1055" style="position:absolute;margin-left:103.25pt;margin-top:3.4pt;width:67.75pt;height:2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" fillcolor="window" strokecolor="#70ad47" strokeweight="1pt">
                      <v:textbox>
                        <w:txbxContent>
                          <w:p w14:paraId="14506CC4" w14:textId="77777777" w:rsidR="004F5D57" w:rsidRPr="00216C08" w:rsidRDefault="004F5D57" w:rsidP="00CD6352">
                            <w:pPr>
                              <w:jc w:val="center"/>
                              <w:rPr>
                                <w:rFonts w:ascii="Arial" w:hAnsi="Arial" w:cs="Arial"/>
                                <w:sz w:val="16"/>
                                <w:szCs w:val="16"/>
                              </w:rPr>
                            </w:pPr>
                            <w:permStart w:id="1246764475" w:edGrp="everyone"/>
                            <w:r w:rsidRPr="00216C08">
                              <w:rPr>
                                <w:rFonts w:ascii="Arial" w:hAnsi="Arial" w:cs="Arial"/>
                                <w:sz w:val="16"/>
                                <w:szCs w:val="16"/>
                              </w:rPr>
                              <w:t>Liquidity management</w:t>
                            </w:r>
                            <w:permEnd w:id="1246764475"/>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29920" behindDoc="0" locked="0" layoutInCell="1" allowOverlap="1" wp14:anchorId="737D5190" wp14:editId="29AF002B">
                      <wp:simplePos x="0" y="0"/>
                      <wp:positionH relativeFrom="column">
                        <wp:posOffset>599490</wp:posOffset>
                      </wp:positionH>
                      <wp:positionV relativeFrom="paragraph">
                        <wp:posOffset>11266</wp:posOffset>
                      </wp:positionV>
                      <wp:extent cx="177657" cy="82193"/>
                      <wp:effectExtent l="38100" t="0" r="13335" b="32385"/>
                      <wp:wrapNone/>
                      <wp:docPr id="105" name="Arrow: Down 105"/>
                      <wp:cNvGraphicFramePr/>
                      <a:graphic xmlns:a="http://schemas.openxmlformats.org/drawingml/2006/main">
                        <a:graphicData uri="http://schemas.microsoft.com/office/word/2010/wordprocessingShape">
                          <wps:wsp>
                            <wps:cNvSpPr/>
                            <wps:spPr>
                              <a:xfrm>
                                <a:off x="0" y="0"/>
                                <a:ext cx="177657" cy="82193"/>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DAEE" id="Arrow: Down 105" o:spid="_x0000_s1026" type="#_x0000_t67" style="position:absolute;margin-left:47.2pt;margin-top:.9pt;width:14pt;height:6.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71552" behindDoc="0" locked="0" layoutInCell="1" allowOverlap="1" wp14:anchorId="39A63907" wp14:editId="38E69F5B">
                      <wp:simplePos x="0" y="0"/>
                      <wp:positionH relativeFrom="column">
                        <wp:posOffset>253165</wp:posOffset>
                      </wp:positionH>
                      <wp:positionV relativeFrom="paragraph">
                        <wp:posOffset>124282</wp:posOffset>
                      </wp:positionV>
                      <wp:extent cx="779930" cy="349321"/>
                      <wp:effectExtent l="0" t="0" r="20320" b="12700"/>
                      <wp:wrapNone/>
                      <wp:docPr id="53" name="Rectangle 53"/>
                      <wp:cNvGraphicFramePr/>
                      <a:graphic xmlns:a="http://schemas.openxmlformats.org/drawingml/2006/main">
                        <a:graphicData uri="http://schemas.microsoft.com/office/word/2010/wordprocessingShape">
                          <wps:wsp>
                            <wps:cNvSpPr/>
                            <wps:spPr>
                              <a:xfrm>
                                <a:off x="0" y="0"/>
                                <a:ext cx="779930" cy="349321"/>
                              </a:xfrm>
                              <a:prstGeom prst="rect">
                                <a:avLst/>
                              </a:prstGeom>
                              <a:solidFill>
                                <a:sysClr val="window" lastClr="FFFFFF"/>
                              </a:solidFill>
                              <a:ln w="12700" cap="flat" cmpd="sng" algn="ctr">
                                <a:solidFill>
                                  <a:srgbClr val="70AD47"/>
                                </a:solidFill>
                                <a:prstDash val="solid"/>
                                <a:miter lim="800000"/>
                              </a:ln>
                              <a:effectLst/>
                            </wps:spPr>
                            <wps:txbx>
                              <w:txbxContent>
                                <w:p w14:paraId="224C34BC" w14:textId="77777777" w:rsidR="004F5D57" w:rsidRPr="00473BEC" w:rsidRDefault="004F5D57" w:rsidP="00CD6352">
                                  <w:pPr>
                                    <w:jc w:val="center"/>
                                    <w:rPr>
                                      <w:rFonts w:ascii="Arial" w:hAnsi="Arial" w:cs="Arial"/>
                                      <w:sz w:val="16"/>
                                      <w:szCs w:val="16"/>
                                    </w:rPr>
                                  </w:pPr>
                                  <w:permStart w:id="669131108" w:edGrp="everyone"/>
                                  <w:r>
                                    <w:rPr>
                                      <w:rFonts w:ascii="Arial" w:hAnsi="Arial" w:cs="Arial"/>
                                      <w:sz w:val="16"/>
                                      <w:szCs w:val="16"/>
                                    </w:rPr>
                                    <w:t>Legal environment</w:t>
                                  </w:r>
                                  <w:permEnd w:id="66913110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63907" id="Rectangle 53" o:spid="_x0000_s1056" style="position:absolute;margin-left:19.95pt;margin-top:9.8pt;width:61.4pt;height: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" fillcolor="window" strokecolor="#70ad47" strokeweight="1pt">
                      <v:textbox>
                        <w:txbxContent>
                          <w:p w14:paraId="224C34BC" w14:textId="77777777" w:rsidR="004F5D57" w:rsidRPr="00473BEC" w:rsidRDefault="004F5D57" w:rsidP="00CD6352">
                            <w:pPr>
                              <w:jc w:val="center"/>
                              <w:rPr>
                                <w:rFonts w:ascii="Arial" w:hAnsi="Arial" w:cs="Arial"/>
                                <w:sz w:val="16"/>
                                <w:szCs w:val="16"/>
                              </w:rPr>
                            </w:pPr>
                            <w:permStart w:id="669131108" w:edGrp="everyone"/>
                            <w:r>
                              <w:rPr>
                                <w:rFonts w:ascii="Arial" w:hAnsi="Arial" w:cs="Arial"/>
                                <w:sz w:val="16"/>
                                <w:szCs w:val="16"/>
                              </w:rPr>
                              <w:t>Legal environment</w:t>
                            </w:r>
                            <w:permEnd w:id="669131108"/>
                          </w:p>
                        </w:txbxContent>
                      </v:textbox>
                    </v:rect>
                  </w:pict>
                </mc:Fallback>
              </mc:AlternateContent>
            </w:r>
          </w:p>
          <w:p w14:paraId="07C3E86A" w14:textId="46FC4CE0" w:rsidR="00CD6352" w:rsidRPr="00C52D0D" w:rsidRDefault="003968A9"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31968" behindDoc="0" locked="0" layoutInCell="1" allowOverlap="1" wp14:anchorId="74A56F43" wp14:editId="61E4F99C">
                      <wp:simplePos x="0" y="0"/>
                      <wp:positionH relativeFrom="column">
                        <wp:posOffset>572770</wp:posOffset>
                      </wp:positionH>
                      <wp:positionV relativeFrom="paragraph">
                        <wp:posOffset>222885</wp:posOffset>
                      </wp:positionV>
                      <wp:extent cx="123825" cy="123190"/>
                      <wp:effectExtent l="19050" t="0" r="47625" b="29210"/>
                      <wp:wrapNone/>
                      <wp:docPr id="74" name="Arrow: Down 74"/>
                      <wp:cNvGraphicFramePr/>
                      <a:graphic xmlns:a="http://schemas.openxmlformats.org/drawingml/2006/main">
                        <a:graphicData uri="http://schemas.microsoft.com/office/word/2010/wordprocessingShape">
                          <wps:wsp>
                            <wps:cNvSpPr/>
                            <wps:spPr>
                              <a:xfrm>
                                <a:off x="0" y="0"/>
                                <a:ext cx="123825" cy="12319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78F2" id="Arrow: Down 74" o:spid="_x0000_s1026" type="#_x0000_t67" style="position:absolute;margin-left:45.1pt;margin-top:17.55pt;width:9.75pt;height:9.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" adj="10800" fillcolor="window" strokecolor="#70ad47" strokeweight="1pt"/>
                  </w:pict>
                </mc:Fallback>
              </mc:AlternateContent>
            </w:r>
          </w:p>
          <w:p w14:paraId="01B7D54C" w14:textId="26D763A9" w:rsidR="00CD6352" w:rsidRPr="00C52D0D" w:rsidRDefault="003968A9"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72576" behindDoc="0" locked="0" layoutInCell="1" allowOverlap="1" wp14:anchorId="7ED78F81" wp14:editId="04E875DF">
                      <wp:simplePos x="0" y="0"/>
                      <wp:positionH relativeFrom="column">
                        <wp:posOffset>181007</wp:posOffset>
                      </wp:positionH>
                      <wp:positionV relativeFrom="paragraph">
                        <wp:posOffset>161025</wp:posOffset>
                      </wp:positionV>
                      <wp:extent cx="873760" cy="336729"/>
                      <wp:effectExtent l="0" t="0" r="21590" b="25400"/>
                      <wp:wrapNone/>
                      <wp:docPr id="55" name="Rectangle 55"/>
                      <wp:cNvGraphicFramePr/>
                      <a:graphic xmlns:a="http://schemas.openxmlformats.org/drawingml/2006/main">
                        <a:graphicData uri="http://schemas.microsoft.com/office/word/2010/wordprocessingShape">
                          <wps:wsp>
                            <wps:cNvSpPr/>
                            <wps:spPr>
                              <a:xfrm>
                                <a:off x="0" y="0"/>
                                <a:ext cx="873760" cy="336729"/>
                              </a:xfrm>
                              <a:prstGeom prst="rect">
                                <a:avLst/>
                              </a:prstGeom>
                              <a:solidFill>
                                <a:sysClr val="window" lastClr="FFFFFF"/>
                              </a:solidFill>
                              <a:ln w="12700" cap="flat" cmpd="sng" algn="ctr">
                                <a:solidFill>
                                  <a:srgbClr val="70AD47"/>
                                </a:solidFill>
                                <a:prstDash val="solid"/>
                                <a:miter lim="800000"/>
                              </a:ln>
                              <a:effectLst/>
                            </wps:spPr>
                            <wps:txbx>
                              <w:txbxContent>
                                <w:p w14:paraId="2A08FDB2" w14:textId="77777777" w:rsidR="004F5D57" w:rsidRPr="00807509" w:rsidRDefault="004F5D57" w:rsidP="00CD6352">
                                  <w:pPr>
                                    <w:jc w:val="center"/>
                                    <w:rPr>
                                      <w:rFonts w:ascii="Arial" w:hAnsi="Arial" w:cs="Arial"/>
                                      <w:sz w:val="16"/>
                                      <w:szCs w:val="16"/>
                                    </w:rPr>
                                  </w:pPr>
                                  <w:permStart w:id="1802907496" w:edGrp="everyone"/>
                                  <w:r w:rsidRPr="00807509">
                                    <w:rPr>
                                      <w:rFonts w:ascii="Arial" w:hAnsi="Arial" w:cs="Arial"/>
                                      <w:sz w:val="16"/>
                                      <w:szCs w:val="16"/>
                                    </w:rPr>
                                    <w:t>Technologica</w:t>
                                  </w:r>
                                  <w:r>
                                    <w:rPr>
                                      <w:rFonts w:ascii="Arial" w:hAnsi="Arial" w:cs="Arial"/>
                                      <w:sz w:val="16"/>
                                      <w:szCs w:val="16"/>
                                    </w:rPr>
                                    <w:t>l environment</w:t>
                                  </w:r>
                                  <w:permEnd w:id="18029074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78F81" id="Rectangle 55" o:spid="_x0000_s1057" style="position:absolute;margin-left:14.25pt;margin-top:12.7pt;width:68.8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" fillcolor="window" strokecolor="#70ad47" strokeweight="1pt">
                      <v:textbox>
                        <w:txbxContent>
                          <w:p w14:paraId="2A08FDB2" w14:textId="77777777" w:rsidR="004F5D57" w:rsidRPr="00807509" w:rsidRDefault="004F5D57" w:rsidP="00CD6352">
                            <w:pPr>
                              <w:jc w:val="center"/>
                              <w:rPr>
                                <w:rFonts w:ascii="Arial" w:hAnsi="Arial" w:cs="Arial"/>
                                <w:sz w:val="16"/>
                                <w:szCs w:val="16"/>
                              </w:rPr>
                            </w:pPr>
                            <w:permStart w:id="1802907496" w:edGrp="everyone"/>
                            <w:r w:rsidRPr="00807509">
                              <w:rPr>
                                <w:rFonts w:ascii="Arial" w:hAnsi="Arial" w:cs="Arial"/>
                                <w:sz w:val="16"/>
                                <w:szCs w:val="16"/>
                              </w:rPr>
                              <w:t>Technologica</w:t>
                            </w:r>
                            <w:r>
                              <w:rPr>
                                <w:rFonts w:ascii="Arial" w:hAnsi="Arial" w:cs="Arial"/>
                                <w:sz w:val="16"/>
                                <w:szCs w:val="16"/>
                              </w:rPr>
                              <w:t>l environment</w:t>
                            </w:r>
                            <w:permEnd w:id="1802907496"/>
                          </w:p>
                        </w:txbxContent>
                      </v:textbox>
                    </v:rect>
                  </w:pict>
                </mc:Fallback>
              </mc:AlternateContent>
            </w:r>
            <w:r w:rsidR="00CD6352" w:rsidRPr="00C52D0D">
              <w:rPr>
                <w:rFonts w:ascii="Arial" w:hAnsi="Arial" w:cs="Arial"/>
                <w:noProof/>
                <w:sz w:val="16"/>
                <w:szCs w:val="16"/>
              </w:rPr>
              <mc:AlternateContent>
                <mc:Choice Requires="wps">
                  <w:drawing>
                    <wp:anchor distT="0" distB="0" distL="114300" distR="114300" simplePos="0" relativeHeight="251737088" behindDoc="0" locked="0" layoutInCell="1" allowOverlap="1" wp14:anchorId="027C296C" wp14:editId="315E2A63">
                      <wp:simplePos x="0" y="0"/>
                      <wp:positionH relativeFrom="column">
                        <wp:posOffset>1633591</wp:posOffset>
                      </wp:positionH>
                      <wp:positionV relativeFrom="paragraph">
                        <wp:posOffset>84069</wp:posOffset>
                      </wp:positionV>
                      <wp:extent cx="124168" cy="123289"/>
                      <wp:effectExtent l="19050" t="0" r="47625" b="29210"/>
                      <wp:wrapNone/>
                      <wp:docPr id="111" name="Arrow: Down 111"/>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BF71" id="Arrow: Down 111" o:spid="_x0000_s1026" type="#_x0000_t67" style="position:absolute;margin-left:128.65pt;margin-top:6.6pt;width:9.8pt;height: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" adj="10800" fillcolor="window" strokecolor="#70ad47" strokeweight="1pt"/>
                  </w:pict>
                </mc:Fallback>
              </mc:AlternateContent>
            </w:r>
          </w:p>
          <w:p w14:paraId="047E6D39" w14:textId="2BFF1AED" w:rsidR="00CD6352" w:rsidRPr="00C52D0D" w:rsidRDefault="003968A9"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30944" behindDoc="0" locked="0" layoutInCell="1" allowOverlap="1" wp14:anchorId="3174CC5F" wp14:editId="5017EBD9">
                      <wp:simplePos x="0" y="0"/>
                      <wp:positionH relativeFrom="column">
                        <wp:posOffset>427419</wp:posOffset>
                      </wp:positionH>
                      <wp:positionV relativeFrom="paragraph">
                        <wp:posOffset>198000</wp:posOffset>
                      </wp:positionV>
                      <wp:extent cx="188136" cy="150471"/>
                      <wp:effectExtent l="19050" t="0" r="21590" b="40640"/>
                      <wp:wrapNone/>
                      <wp:docPr id="73" name="Arrow: Down 73"/>
                      <wp:cNvGraphicFramePr/>
                      <a:graphic xmlns:a="http://schemas.openxmlformats.org/drawingml/2006/main">
                        <a:graphicData uri="http://schemas.microsoft.com/office/word/2010/wordprocessingShape">
                          <wps:wsp>
                            <wps:cNvSpPr/>
                            <wps:spPr>
                              <a:xfrm>
                                <a:off x="0" y="0"/>
                                <a:ext cx="188136" cy="150471"/>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64DC" id="Arrow: Down 73" o:spid="_x0000_s1026" type="#_x0000_t67" style="position:absolute;margin-left:33.65pt;margin-top:15.6pt;width:14.8pt;height:1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" adj="10800" fillcolor="window" strokecolor="#70ad47" strokeweight="1pt"/>
                  </w:pict>
                </mc:Fallback>
              </mc:AlternateContent>
            </w:r>
            <w:r w:rsidR="00CD6352" w:rsidRPr="00C52D0D">
              <w:rPr>
                <w:rFonts w:ascii="Arial" w:hAnsi="Arial" w:cs="Arial"/>
                <w:noProof/>
                <w:sz w:val="16"/>
                <w:szCs w:val="16"/>
              </w:rPr>
              <mc:AlternateContent>
                <mc:Choice Requires="wps">
                  <w:drawing>
                    <wp:anchor distT="0" distB="0" distL="114300" distR="114300" simplePos="0" relativeHeight="251685888" behindDoc="0" locked="0" layoutInCell="1" allowOverlap="1" wp14:anchorId="64301924" wp14:editId="701B9741">
                      <wp:simplePos x="0" y="0"/>
                      <wp:positionH relativeFrom="column">
                        <wp:posOffset>1321678</wp:posOffset>
                      </wp:positionH>
                      <wp:positionV relativeFrom="paragraph">
                        <wp:posOffset>53283</wp:posOffset>
                      </wp:positionV>
                      <wp:extent cx="887506" cy="493159"/>
                      <wp:effectExtent l="0" t="0" r="27305" b="21590"/>
                      <wp:wrapNone/>
                      <wp:docPr id="69" name="Rectangle 69"/>
                      <wp:cNvGraphicFramePr/>
                      <a:graphic xmlns:a="http://schemas.openxmlformats.org/drawingml/2006/main">
                        <a:graphicData uri="http://schemas.microsoft.com/office/word/2010/wordprocessingShape">
                          <wps:wsp>
                            <wps:cNvSpPr/>
                            <wps:spPr>
                              <a:xfrm>
                                <a:off x="0" y="0"/>
                                <a:ext cx="887506" cy="493159"/>
                              </a:xfrm>
                              <a:prstGeom prst="rect">
                                <a:avLst/>
                              </a:prstGeom>
                              <a:solidFill>
                                <a:sysClr val="window" lastClr="FFFFFF"/>
                              </a:solidFill>
                              <a:ln w="12700" cap="flat" cmpd="sng" algn="ctr">
                                <a:solidFill>
                                  <a:srgbClr val="70AD47"/>
                                </a:solidFill>
                                <a:prstDash val="solid"/>
                                <a:miter lim="800000"/>
                              </a:ln>
                              <a:effectLst/>
                            </wps:spPr>
                            <wps:txbx>
                              <w:txbxContent>
                                <w:p w14:paraId="081100B0" w14:textId="77777777" w:rsidR="004F5D57" w:rsidRPr="00C0512A" w:rsidRDefault="004F5D57" w:rsidP="00CD6352">
                                  <w:pPr>
                                    <w:jc w:val="center"/>
                                    <w:rPr>
                                      <w:rFonts w:ascii="Arial" w:hAnsi="Arial" w:cs="Arial"/>
                                      <w:sz w:val="16"/>
                                      <w:szCs w:val="16"/>
                                    </w:rPr>
                                  </w:pPr>
                                  <w:permStart w:id="654259831" w:edGrp="everyone"/>
                                  <w:r w:rsidRPr="00C0512A">
                                    <w:rPr>
                                      <w:rFonts w:ascii="Arial" w:hAnsi="Arial" w:cs="Arial"/>
                                      <w:sz w:val="16"/>
                                      <w:szCs w:val="16"/>
                                    </w:rPr>
                                    <w:t>Risk assessment</w:t>
                                  </w:r>
                                  <w:r>
                                    <w:rPr>
                                      <w:rFonts w:ascii="Arial" w:hAnsi="Arial" w:cs="Arial"/>
                                      <w:sz w:val="16"/>
                                      <w:szCs w:val="16"/>
                                    </w:rPr>
                                    <w:t xml:space="preserve"> &amp; management</w:t>
                                  </w:r>
                                  <w:permEnd w:id="6542598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01924" id="Rectangle 69" o:spid="_x0000_s1058" style="position:absolute;margin-left:104.05pt;margin-top:4.2pt;width:69.9pt;height:3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" fillcolor="window" strokecolor="#70ad47" strokeweight="1pt">
                      <v:textbox>
                        <w:txbxContent>
                          <w:p w14:paraId="081100B0" w14:textId="77777777" w:rsidR="004F5D57" w:rsidRPr="00C0512A" w:rsidRDefault="004F5D57" w:rsidP="00CD6352">
                            <w:pPr>
                              <w:jc w:val="center"/>
                              <w:rPr>
                                <w:rFonts w:ascii="Arial" w:hAnsi="Arial" w:cs="Arial"/>
                                <w:sz w:val="16"/>
                                <w:szCs w:val="16"/>
                              </w:rPr>
                            </w:pPr>
                            <w:permStart w:id="654259831" w:edGrp="everyone"/>
                            <w:r w:rsidRPr="00C0512A">
                              <w:rPr>
                                <w:rFonts w:ascii="Arial" w:hAnsi="Arial" w:cs="Arial"/>
                                <w:sz w:val="16"/>
                                <w:szCs w:val="16"/>
                              </w:rPr>
                              <w:t>Risk assessment</w:t>
                            </w:r>
                            <w:r>
                              <w:rPr>
                                <w:rFonts w:ascii="Arial" w:hAnsi="Arial" w:cs="Arial"/>
                                <w:sz w:val="16"/>
                                <w:szCs w:val="16"/>
                              </w:rPr>
                              <w:t xml:space="preserve"> &amp; management</w:t>
                            </w:r>
                            <w:permEnd w:id="654259831"/>
                          </w:p>
                        </w:txbxContent>
                      </v:textbox>
                    </v:rect>
                  </w:pict>
                </mc:Fallback>
              </mc:AlternateContent>
            </w:r>
          </w:p>
          <w:p w14:paraId="0130E86C" w14:textId="0B0F60D0" w:rsidR="00CD6352" w:rsidRPr="00C52D0D" w:rsidRDefault="003968A9"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75648" behindDoc="0" locked="0" layoutInCell="1" allowOverlap="1" wp14:anchorId="3B85A3E1" wp14:editId="2FE86223">
                      <wp:simplePos x="0" y="0"/>
                      <wp:positionH relativeFrom="column">
                        <wp:posOffset>59907</wp:posOffset>
                      </wp:positionH>
                      <wp:positionV relativeFrom="paragraph">
                        <wp:posOffset>122668</wp:posOffset>
                      </wp:positionV>
                      <wp:extent cx="1143000" cy="335665"/>
                      <wp:effectExtent l="0" t="0" r="19050" b="26670"/>
                      <wp:wrapNone/>
                      <wp:docPr id="58" name="Rectangle 58"/>
                      <wp:cNvGraphicFramePr/>
                      <a:graphic xmlns:a="http://schemas.openxmlformats.org/drawingml/2006/main">
                        <a:graphicData uri="http://schemas.microsoft.com/office/word/2010/wordprocessingShape">
                          <wps:wsp>
                            <wps:cNvSpPr/>
                            <wps:spPr>
                              <a:xfrm>
                                <a:off x="0" y="0"/>
                                <a:ext cx="1143000" cy="335665"/>
                              </a:xfrm>
                              <a:prstGeom prst="rect">
                                <a:avLst/>
                              </a:prstGeom>
                              <a:solidFill>
                                <a:sysClr val="window" lastClr="FFFFFF"/>
                              </a:solidFill>
                              <a:ln w="12700" cap="flat" cmpd="sng" algn="ctr">
                                <a:solidFill>
                                  <a:srgbClr val="70AD47"/>
                                </a:solidFill>
                                <a:prstDash val="solid"/>
                                <a:miter lim="800000"/>
                              </a:ln>
                              <a:effectLst/>
                            </wps:spPr>
                            <wps:txbx>
                              <w:txbxContent>
                                <w:p w14:paraId="3A51DAE7" w14:textId="77777777" w:rsidR="004F5D57" w:rsidRPr="00473BEC" w:rsidRDefault="004F5D57" w:rsidP="00CD6352">
                                  <w:pPr>
                                    <w:jc w:val="center"/>
                                    <w:rPr>
                                      <w:rFonts w:ascii="Arial" w:hAnsi="Arial" w:cs="Arial"/>
                                      <w:sz w:val="16"/>
                                      <w:szCs w:val="16"/>
                                    </w:rPr>
                                  </w:pPr>
                                  <w:permStart w:id="1569088604" w:edGrp="everyone"/>
                                  <w:r>
                                    <w:rPr>
                                      <w:rFonts w:ascii="Arial" w:hAnsi="Arial" w:cs="Arial"/>
                                      <w:sz w:val="16"/>
                                      <w:szCs w:val="16"/>
                                    </w:rPr>
                                    <w:t xml:space="preserve">Physical </w:t>
                                  </w:r>
                                  <w:r w:rsidRPr="00473BEC">
                                    <w:rPr>
                                      <w:rFonts w:ascii="Arial" w:hAnsi="Arial" w:cs="Arial"/>
                                      <w:sz w:val="16"/>
                                      <w:szCs w:val="16"/>
                                    </w:rPr>
                                    <w:t>Environmental</w:t>
                                  </w:r>
                                  <w:permEnd w:id="15690886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5A3E1" id="Rectangle 58" o:spid="_x0000_s1059" style="position:absolute;margin-left:4.7pt;margin-top:9.65pt;width:90pt;height:2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" fillcolor="window" strokecolor="#70ad47" strokeweight="1pt">
                      <v:textbox>
                        <w:txbxContent>
                          <w:p w14:paraId="3A51DAE7" w14:textId="77777777" w:rsidR="004F5D57" w:rsidRPr="00473BEC" w:rsidRDefault="004F5D57" w:rsidP="00CD6352">
                            <w:pPr>
                              <w:jc w:val="center"/>
                              <w:rPr>
                                <w:rFonts w:ascii="Arial" w:hAnsi="Arial" w:cs="Arial"/>
                                <w:sz w:val="16"/>
                                <w:szCs w:val="16"/>
                              </w:rPr>
                            </w:pPr>
                            <w:permStart w:id="1569088604" w:edGrp="everyone"/>
                            <w:r>
                              <w:rPr>
                                <w:rFonts w:ascii="Arial" w:hAnsi="Arial" w:cs="Arial"/>
                                <w:sz w:val="16"/>
                                <w:szCs w:val="16"/>
                              </w:rPr>
                              <w:t xml:space="preserve">Physical </w:t>
                            </w:r>
                            <w:r w:rsidRPr="00473BEC">
                              <w:rPr>
                                <w:rFonts w:ascii="Arial" w:hAnsi="Arial" w:cs="Arial"/>
                                <w:sz w:val="16"/>
                                <w:szCs w:val="16"/>
                              </w:rPr>
                              <w:t>Environmental</w:t>
                            </w:r>
                            <w:permEnd w:id="1569088604"/>
                          </w:p>
                        </w:txbxContent>
                      </v:textbox>
                    </v:rect>
                  </w:pict>
                </mc:Fallback>
              </mc:AlternateContent>
            </w:r>
          </w:p>
          <w:p w14:paraId="4C5130FF" w14:textId="4404E699" w:rsidR="00CD6352" w:rsidRPr="00C52D0D" w:rsidRDefault="00CD6352" w:rsidP="00CD6352">
            <w:pPr>
              <w:rPr>
                <w:rFonts w:ascii="Arial" w:hAnsi="Arial" w:cs="Arial"/>
                <w:sz w:val="16"/>
                <w:szCs w:val="16"/>
              </w:rPr>
            </w:pPr>
          </w:p>
        </w:tc>
      </w:tr>
      <w:tr w:rsidR="00CD6352" w:rsidRPr="00C52D0D" w14:paraId="069F6AD5" w14:textId="77777777" w:rsidTr="000A1E19">
        <w:tc>
          <w:tcPr>
            <w:tcW w:w="846" w:type="dxa"/>
          </w:tcPr>
          <w:p w14:paraId="3B3370D3" w14:textId="77777777" w:rsidR="00CD6352" w:rsidRPr="00C52D0D" w:rsidRDefault="00CD6352" w:rsidP="00CD6352">
            <w:pPr>
              <w:rPr>
                <w:rFonts w:ascii="Arial" w:hAnsi="Arial" w:cs="Arial"/>
                <w:sz w:val="16"/>
                <w:szCs w:val="16"/>
              </w:rPr>
            </w:pPr>
          </w:p>
        </w:tc>
        <w:tc>
          <w:tcPr>
            <w:tcW w:w="1476" w:type="dxa"/>
          </w:tcPr>
          <w:p w14:paraId="3F7C305C" w14:textId="77777777" w:rsidR="00CD6352" w:rsidRPr="00C52D0D" w:rsidRDefault="00CD6352" w:rsidP="00CD6352">
            <w:pPr>
              <w:rPr>
                <w:rFonts w:ascii="Arial" w:hAnsi="Arial" w:cs="Arial"/>
                <w:sz w:val="16"/>
                <w:szCs w:val="16"/>
              </w:rPr>
            </w:pPr>
          </w:p>
        </w:tc>
        <w:tc>
          <w:tcPr>
            <w:tcW w:w="2274" w:type="dxa"/>
          </w:tcPr>
          <w:p w14:paraId="1A580DDE" w14:textId="77777777" w:rsidR="00CD6352" w:rsidRPr="00C52D0D" w:rsidRDefault="00CD6352" w:rsidP="00CD6352">
            <w:pPr>
              <w:rPr>
                <w:rFonts w:ascii="Arial" w:hAnsi="Arial" w:cs="Arial"/>
                <w:sz w:val="16"/>
                <w:szCs w:val="16"/>
              </w:rPr>
            </w:pPr>
          </w:p>
        </w:tc>
        <w:tc>
          <w:tcPr>
            <w:tcW w:w="1603" w:type="dxa"/>
          </w:tcPr>
          <w:p w14:paraId="3F18CC53" w14:textId="77777777" w:rsidR="00CD6352" w:rsidRPr="00C52D0D" w:rsidRDefault="00CD6352" w:rsidP="00CD6352">
            <w:pPr>
              <w:rPr>
                <w:rFonts w:ascii="Arial" w:hAnsi="Arial" w:cs="Arial"/>
                <w:sz w:val="16"/>
                <w:szCs w:val="16"/>
              </w:rPr>
            </w:pPr>
          </w:p>
        </w:tc>
        <w:tc>
          <w:tcPr>
            <w:tcW w:w="1458" w:type="dxa"/>
          </w:tcPr>
          <w:p w14:paraId="35635B5A" w14:textId="77777777" w:rsidR="00CD6352" w:rsidRPr="00C52D0D" w:rsidRDefault="00CD6352" w:rsidP="00CD6352">
            <w:pPr>
              <w:rPr>
                <w:rFonts w:ascii="Arial" w:hAnsi="Arial" w:cs="Arial"/>
                <w:sz w:val="16"/>
                <w:szCs w:val="16"/>
              </w:rPr>
            </w:pPr>
          </w:p>
        </w:tc>
        <w:tc>
          <w:tcPr>
            <w:tcW w:w="1359" w:type="dxa"/>
          </w:tcPr>
          <w:p w14:paraId="3FB4654F" w14:textId="77777777" w:rsidR="00CD6352" w:rsidRPr="00C52D0D" w:rsidRDefault="00CD6352" w:rsidP="00CD6352">
            <w:pPr>
              <w:rPr>
                <w:rFonts w:ascii="Arial" w:hAnsi="Arial" w:cs="Arial"/>
                <w:sz w:val="16"/>
                <w:szCs w:val="16"/>
              </w:rPr>
            </w:pPr>
          </w:p>
        </w:tc>
      </w:tr>
      <w:tr w:rsidR="00CD6352" w:rsidRPr="00C52D0D" w14:paraId="07D85F99" w14:textId="77777777" w:rsidTr="000220D5">
        <w:trPr>
          <w:cantSplit/>
          <w:trHeight w:val="1134"/>
        </w:trPr>
        <w:tc>
          <w:tcPr>
            <w:tcW w:w="846" w:type="dxa"/>
          </w:tcPr>
          <w:p w14:paraId="2CD22CC5" w14:textId="77777777" w:rsidR="00CD6352" w:rsidRPr="00C52D0D" w:rsidRDefault="00CD6352" w:rsidP="00CD6352">
            <w:pPr>
              <w:rPr>
                <w:rFonts w:ascii="Arial" w:hAnsi="Arial" w:cs="Arial"/>
                <w:sz w:val="16"/>
                <w:szCs w:val="16"/>
              </w:rPr>
            </w:pPr>
            <w:r w:rsidRPr="00C52D0D">
              <w:rPr>
                <w:rFonts w:ascii="Arial" w:hAnsi="Arial" w:cs="Arial"/>
                <w:sz w:val="16"/>
                <w:szCs w:val="16"/>
              </w:rPr>
              <w:t>Stage 2</w:t>
            </w:r>
          </w:p>
        </w:tc>
        <w:tc>
          <w:tcPr>
            <w:tcW w:w="1476" w:type="dxa"/>
          </w:tcPr>
          <w:p w14:paraId="160C4EAC" w14:textId="77777777" w:rsidR="00CD6352" w:rsidRPr="00C52D0D" w:rsidRDefault="00CD6352" w:rsidP="000220D5">
            <w:pPr>
              <w:rPr>
                <w:rFonts w:ascii="Arial" w:hAnsi="Arial" w:cs="Arial"/>
                <w:sz w:val="16"/>
                <w:szCs w:val="16"/>
              </w:rPr>
            </w:pPr>
            <w:r w:rsidRPr="00C52D0D">
              <w:rPr>
                <w:rFonts w:ascii="Arial" w:hAnsi="Arial" w:cs="Arial"/>
                <w:sz w:val="16"/>
                <w:szCs w:val="16"/>
              </w:rPr>
              <w:t>Development</w:t>
            </w:r>
          </w:p>
        </w:tc>
        <w:tc>
          <w:tcPr>
            <w:tcW w:w="6694" w:type="dxa"/>
            <w:gridSpan w:val="4"/>
          </w:tcPr>
          <w:p w14:paraId="7132CC70" w14:textId="77777777" w:rsidR="00CD6352" w:rsidRPr="00C52D0D" w:rsidRDefault="00CD6352" w:rsidP="00CD6352">
            <w:pPr>
              <w:rPr>
                <w:rFonts w:ascii="Arial" w:hAnsi="Arial" w:cs="Arial"/>
                <w:sz w:val="16"/>
                <w:szCs w:val="16"/>
              </w:rPr>
            </w:pPr>
          </w:p>
          <w:p w14:paraId="44D9C81E"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86912" behindDoc="0" locked="0" layoutInCell="1" allowOverlap="1" wp14:anchorId="643FA54F" wp14:editId="78B5C055">
                      <wp:simplePos x="0" y="0"/>
                      <wp:positionH relativeFrom="column">
                        <wp:posOffset>-3689</wp:posOffset>
                      </wp:positionH>
                      <wp:positionV relativeFrom="paragraph">
                        <wp:posOffset>158607</wp:posOffset>
                      </wp:positionV>
                      <wp:extent cx="1037690" cy="362585"/>
                      <wp:effectExtent l="0" t="0" r="10160" b="18415"/>
                      <wp:wrapNone/>
                      <wp:docPr id="72" name="Rectangle 72"/>
                      <wp:cNvGraphicFramePr/>
                      <a:graphic xmlns:a="http://schemas.openxmlformats.org/drawingml/2006/main">
                        <a:graphicData uri="http://schemas.microsoft.com/office/word/2010/wordprocessingShape">
                          <wps:wsp>
                            <wps:cNvSpPr/>
                            <wps:spPr>
                              <a:xfrm>
                                <a:off x="0" y="0"/>
                                <a:ext cx="1037690" cy="362585"/>
                              </a:xfrm>
                              <a:prstGeom prst="rect">
                                <a:avLst/>
                              </a:prstGeom>
                              <a:solidFill>
                                <a:sysClr val="window" lastClr="FFFFFF"/>
                              </a:solidFill>
                              <a:ln w="12700" cap="flat" cmpd="sng" algn="ctr">
                                <a:solidFill>
                                  <a:srgbClr val="70AD47"/>
                                </a:solidFill>
                                <a:prstDash val="solid"/>
                                <a:miter lim="800000"/>
                              </a:ln>
                              <a:effectLst/>
                            </wps:spPr>
                            <wps:txbx>
                              <w:txbxContent>
                                <w:p w14:paraId="63935CCE" w14:textId="77777777" w:rsidR="004F5D57" w:rsidRPr="00533B67" w:rsidRDefault="004F5D57" w:rsidP="00CD6352">
                                  <w:pPr>
                                    <w:spacing w:after="0"/>
                                    <w:jc w:val="center"/>
                                    <w:rPr>
                                      <w:rFonts w:ascii="Arial" w:hAnsi="Arial" w:cs="Arial"/>
                                      <w:sz w:val="16"/>
                                      <w:szCs w:val="16"/>
                                    </w:rPr>
                                  </w:pPr>
                                  <w:permStart w:id="229846148" w:edGrp="everyone"/>
                                  <w:r w:rsidRPr="00533B67">
                                    <w:rPr>
                                      <w:rFonts w:ascii="Arial" w:hAnsi="Arial" w:cs="Arial"/>
                                      <w:sz w:val="16"/>
                                      <w:szCs w:val="16"/>
                                    </w:rPr>
                                    <w:t>Feasibility report</w:t>
                                  </w:r>
                                  <w:permEnd w:id="2298461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FA54F" id="Rectangle 72" o:spid="_x0000_s1060" style="position:absolute;margin-left:-.3pt;margin-top:12.5pt;width:81.7pt;height:2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" fillcolor="window" strokecolor="#70ad47" strokeweight="1pt">
                      <v:textbox>
                        <w:txbxContent>
                          <w:p w14:paraId="63935CCE" w14:textId="77777777" w:rsidR="004F5D57" w:rsidRPr="00533B67" w:rsidRDefault="004F5D57" w:rsidP="00CD6352">
                            <w:pPr>
                              <w:spacing w:after="0"/>
                              <w:jc w:val="center"/>
                              <w:rPr>
                                <w:rFonts w:ascii="Arial" w:hAnsi="Arial" w:cs="Arial"/>
                                <w:sz w:val="16"/>
                                <w:szCs w:val="16"/>
                              </w:rPr>
                            </w:pPr>
                            <w:permStart w:id="229846148" w:edGrp="everyone"/>
                            <w:r w:rsidRPr="00533B67">
                              <w:rPr>
                                <w:rFonts w:ascii="Arial" w:hAnsi="Arial" w:cs="Arial"/>
                                <w:sz w:val="16"/>
                                <w:szCs w:val="16"/>
                              </w:rPr>
                              <w:t>Feasibility report</w:t>
                            </w:r>
                            <w:permEnd w:id="229846148"/>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89984" behindDoc="0" locked="0" layoutInCell="1" allowOverlap="1" wp14:anchorId="6FA067A6" wp14:editId="77B5455C">
                      <wp:simplePos x="0" y="0"/>
                      <wp:positionH relativeFrom="column">
                        <wp:posOffset>1256852</wp:posOffset>
                      </wp:positionH>
                      <wp:positionV relativeFrom="paragraph">
                        <wp:posOffset>145302</wp:posOffset>
                      </wp:positionV>
                      <wp:extent cx="914400" cy="52443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914400" cy="524435"/>
                              </a:xfrm>
                              <a:prstGeom prst="rect">
                                <a:avLst/>
                              </a:prstGeom>
                              <a:solidFill>
                                <a:sysClr val="window" lastClr="FFFFFF"/>
                              </a:solidFill>
                              <a:ln w="12700" cap="flat" cmpd="sng" algn="ctr">
                                <a:solidFill>
                                  <a:srgbClr val="70AD47"/>
                                </a:solidFill>
                                <a:prstDash val="solid"/>
                                <a:miter lim="800000"/>
                              </a:ln>
                              <a:effectLst/>
                            </wps:spPr>
                            <wps:txbx>
                              <w:txbxContent>
                                <w:p w14:paraId="16CF3D50" w14:textId="26F56B6C" w:rsidR="004F5D57" w:rsidRPr="00533B67" w:rsidRDefault="004F5D57" w:rsidP="00CD6352">
                                  <w:pPr>
                                    <w:jc w:val="center"/>
                                    <w:rPr>
                                      <w:rFonts w:ascii="Arial" w:hAnsi="Arial" w:cs="Arial"/>
                                      <w:sz w:val="16"/>
                                      <w:szCs w:val="16"/>
                                    </w:rPr>
                                  </w:pPr>
                                  <w:permStart w:id="1563705023" w:edGrp="everyone"/>
                                  <w:r w:rsidRPr="00533B67">
                                    <w:rPr>
                                      <w:rFonts w:ascii="Arial" w:hAnsi="Arial" w:cs="Arial"/>
                                      <w:sz w:val="16"/>
                                      <w:szCs w:val="16"/>
                                    </w:rPr>
                                    <w:t>Develop consumer relationship.</w:t>
                                  </w:r>
                                  <w:permEnd w:id="15637050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A067A6" id="Rectangle 83" o:spid="_x0000_s1061" style="position:absolute;margin-left:98.95pt;margin-top:11.45pt;width:1in;height:41.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" fillcolor="window" strokecolor="#70ad47" strokeweight="1pt">
                      <v:textbox>
                        <w:txbxContent>
                          <w:p w14:paraId="16CF3D50" w14:textId="26F56B6C" w:rsidR="004F5D57" w:rsidRPr="00533B67" w:rsidRDefault="004F5D57" w:rsidP="00CD6352">
                            <w:pPr>
                              <w:jc w:val="center"/>
                              <w:rPr>
                                <w:rFonts w:ascii="Arial" w:hAnsi="Arial" w:cs="Arial"/>
                                <w:sz w:val="16"/>
                                <w:szCs w:val="16"/>
                              </w:rPr>
                            </w:pPr>
                            <w:permStart w:id="1563705023" w:edGrp="everyone"/>
                            <w:r w:rsidRPr="00533B67">
                              <w:rPr>
                                <w:rFonts w:ascii="Arial" w:hAnsi="Arial" w:cs="Arial"/>
                                <w:sz w:val="16"/>
                                <w:szCs w:val="16"/>
                              </w:rPr>
                              <w:t>Develop consumer relationship.</w:t>
                            </w:r>
                            <w:permEnd w:id="1563705023"/>
                          </w:p>
                        </w:txbxContent>
                      </v:textbox>
                    </v:rect>
                  </w:pict>
                </mc:Fallback>
              </mc:AlternateContent>
            </w:r>
          </w:p>
          <w:p w14:paraId="71DF023C"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54496" behindDoc="0" locked="0" layoutInCell="1" allowOverlap="1" wp14:anchorId="0032D695" wp14:editId="395EC4DB">
                      <wp:simplePos x="0" y="0"/>
                      <wp:positionH relativeFrom="column">
                        <wp:posOffset>1099892</wp:posOffset>
                      </wp:positionH>
                      <wp:positionV relativeFrom="paragraph">
                        <wp:posOffset>122505</wp:posOffset>
                      </wp:positionV>
                      <wp:extent cx="164173" cy="104240"/>
                      <wp:effectExtent l="0" t="19050" r="45720" b="29210"/>
                      <wp:wrapNone/>
                      <wp:docPr id="130" name="Arrow: Right 130"/>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BA86" id="Arrow: Right 130" o:spid="_x0000_s1026" type="#_x0000_t13" style="position:absolute;margin-left:86.6pt;margin-top:9.65pt;width:12.95pt;height: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" adj="14743"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01248" behindDoc="0" locked="0" layoutInCell="1" allowOverlap="1" wp14:anchorId="03B2DE47" wp14:editId="00060E0F">
                      <wp:simplePos x="0" y="0"/>
                      <wp:positionH relativeFrom="column">
                        <wp:posOffset>2431869</wp:posOffset>
                      </wp:positionH>
                      <wp:positionV relativeFrom="paragraph">
                        <wp:posOffset>30752</wp:posOffset>
                      </wp:positionV>
                      <wp:extent cx="1273265" cy="391886"/>
                      <wp:effectExtent l="0" t="0" r="22225" b="27305"/>
                      <wp:wrapNone/>
                      <wp:docPr id="100" name="Rectangle 100"/>
                      <wp:cNvGraphicFramePr/>
                      <a:graphic xmlns:a="http://schemas.openxmlformats.org/drawingml/2006/main">
                        <a:graphicData uri="http://schemas.microsoft.com/office/word/2010/wordprocessingShape">
                          <wps:wsp>
                            <wps:cNvSpPr/>
                            <wps:spPr>
                              <a:xfrm>
                                <a:off x="0" y="0"/>
                                <a:ext cx="1273265" cy="391886"/>
                              </a:xfrm>
                              <a:prstGeom prst="rect">
                                <a:avLst/>
                              </a:prstGeom>
                              <a:solidFill>
                                <a:sysClr val="window" lastClr="FFFFFF"/>
                              </a:solidFill>
                              <a:ln w="12700" cap="flat" cmpd="sng" algn="ctr">
                                <a:solidFill>
                                  <a:srgbClr val="70AD47"/>
                                </a:solidFill>
                                <a:prstDash val="solid"/>
                                <a:miter lim="800000"/>
                              </a:ln>
                              <a:effectLst/>
                            </wps:spPr>
                            <wps:txbx>
                              <w:txbxContent>
                                <w:p w14:paraId="0B1B7C3C" w14:textId="77777777" w:rsidR="004F5D57" w:rsidRPr="00533B67" w:rsidRDefault="004F5D57" w:rsidP="00CD6352">
                                  <w:pPr>
                                    <w:spacing w:after="0"/>
                                    <w:jc w:val="center"/>
                                    <w:rPr>
                                      <w:rFonts w:ascii="Arial" w:hAnsi="Arial" w:cs="Arial"/>
                                      <w:sz w:val="16"/>
                                      <w:szCs w:val="16"/>
                                    </w:rPr>
                                  </w:pPr>
                                  <w:permStart w:id="1004425472" w:edGrp="everyone"/>
                                  <w:r>
                                    <w:rPr>
                                      <w:rFonts w:ascii="Arial" w:hAnsi="Arial" w:cs="Arial"/>
                                      <w:sz w:val="16"/>
                                      <w:szCs w:val="16"/>
                                    </w:rPr>
                                    <w:t>Proposal/ request for finance</w:t>
                                  </w:r>
                                  <w:permEnd w:id="10044254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2DE47" id="Rectangle 100" o:spid="_x0000_s1062" style="position:absolute;margin-left:191.5pt;margin-top:2.4pt;width:100.25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" fillcolor="window" strokecolor="#70ad47" strokeweight="1pt">
                      <v:textbox>
                        <w:txbxContent>
                          <w:p w14:paraId="0B1B7C3C" w14:textId="77777777" w:rsidR="004F5D57" w:rsidRPr="00533B67" w:rsidRDefault="004F5D57" w:rsidP="00CD6352">
                            <w:pPr>
                              <w:spacing w:after="0"/>
                              <w:jc w:val="center"/>
                              <w:rPr>
                                <w:rFonts w:ascii="Arial" w:hAnsi="Arial" w:cs="Arial"/>
                                <w:sz w:val="16"/>
                                <w:szCs w:val="16"/>
                              </w:rPr>
                            </w:pPr>
                            <w:permStart w:id="1004425472" w:edGrp="everyone"/>
                            <w:r>
                              <w:rPr>
                                <w:rFonts w:ascii="Arial" w:hAnsi="Arial" w:cs="Arial"/>
                                <w:sz w:val="16"/>
                                <w:szCs w:val="16"/>
                              </w:rPr>
                              <w:t>Proposal/ request for finance</w:t>
                            </w:r>
                            <w:permEnd w:id="1004425472"/>
                          </w:p>
                        </w:txbxContent>
                      </v:textbox>
                    </v:rect>
                  </w:pict>
                </mc:Fallback>
              </mc:AlternateContent>
            </w:r>
          </w:p>
          <w:p w14:paraId="1365A1C0"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55520" behindDoc="0" locked="0" layoutInCell="1" allowOverlap="1" wp14:anchorId="0355F4C6" wp14:editId="139C0090">
                      <wp:simplePos x="0" y="0"/>
                      <wp:positionH relativeFrom="column">
                        <wp:posOffset>2239767</wp:posOffset>
                      </wp:positionH>
                      <wp:positionV relativeFrom="paragraph">
                        <wp:posOffset>23395</wp:posOffset>
                      </wp:positionV>
                      <wp:extent cx="164173" cy="104240"/>
                      <wp:effectExtent l="0" t="19050" r="45720" b="29210"/>
                      <wp:wrapNone/>
                      <wp:docPr id="131" name="Arrow: Right 131"/>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6930" id="Arrow: Right 131" o:spid="_x0000_s1026" type="#_x0000_t13" style="position:absolute;margin-left:176.35pt;margin-top:1.85pt;width:12.95pt;height: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" adj="14743" fillcolor="window" strokecolor="#70ad47" strokeweight="1pt"/>
                  </w:pict>
                </mc:Fallback>
              </mc:AlternateContent>
            </w:r>
          </w:p>
          <w:p w14:paraId="3CFAF03B"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48352" behindDoc="0" locked="0" layoutInCell="1" allowOverlap="1" wp14:anchorId="62CE5105" wp14:editId="20072A1E">
                      <wp:simplePos x="0" y="0"/>
                      <wp:positionH relativeFrom="column">
                        <wp:posOffset>3025689</wp:posOffset>
                      </wp:positionH>
                      <wp:positionV relativeFrom="paragraph">
                        <wp:posOffset>97883</wp:posOffset>
                      </wp:positionV>
                      <wp:extent cx="101778" cy="92360"/>
                      <wp:effectExtent l="19050" t="0" r="31750" b="41275"/>
                      <wp:wrapNone/>
                      <wp:docPr id="124" name="Arrow: Down 124"/>
                      <wp:cNvGraphicFramePr/>
                      <a:graphic xmlns:a="http://schemas.openxmlformats.org/drawingml/2006/main">
                        <a:graphicData uri="http://schemas.microsoft.com/office/word/2010/wordprocessingShape">
                          <wps:wsp>
                            <wps:cNvSpPr/>
                            <wps:spPr>
                              <a:xfrm>
                                <a:off x="0" y="0"/>
                                <a:ext cx="101778" cy="9236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F233" id="Arrow: Down 124" o:spid="_x0000_s1026" type="#_x0000_t67" style="position:absolute;margin-left:238.25pt;margin-top:7.7pt;width:8pt;height: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45280" behindDoc="0" locked="0" layoutInCell="1" allowOverlap="1" wp14:anchorId="4DE7877B" wp14:editId="46455792">
                      <wp:simplePos x="0" y="0"/>
                      <wp:positionH relativeFrom="column">
                        <wp:posOffset>441254</wp:posOffset>
                      </wp:positionH>
                      <wp:positionV relativeFrom="paragraph">
                        <wp:posOffset>32606</wp:posOffset>
                      </wp:positionV>
                      <wp:extent cx="124168" cy="123289"/>
                      <wp:effectExtent l="19050" t="0" r="47625" b="29210"/>
                      <wp:wrapNone/>
                      <wp:docPr id="121" name="Arrow: Down 121"/>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D954" id="Arrow: Down 121" o:spid="_x0000_s1026" type="#_x0000_t67" style="position:absolute;margin-left:34.75pt;margin-top:2.55pt;width:9.8pt;height: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87936" behindDoc="0" locked="0" layoutInCell="1" allowOverlap="1" wp14:anchorId="6D3D465E" wp14:editId="62C1652E">
                      <wp:simplePos x="0" y="0"/>
                      <wp:positionH relativeFrom="column">
                        <wp:posOffset>-7172</wp:posOffset>
                      </wp:positionH>
                      <wp:positionV relativeFrom="paragraph">
                        <wp:posOffset>160879</wp:posOffset>
                      </wp:positionV>
                      <wp:extent cx="1048721" cy="349624"/>
                      <wp:effectExtent l="0" t="0" r="18415" b="12700"/>
                      <wp:wrapNone/>
                      <wp:docPr id="75" name="Rectangle 75"/>
                      <wp:cNvGraphicFramePr/>
                      <a:graphic xmlns:a="http://schemas.openxmlformats.org/drawingml/2006/main">
                        <a:graphicData uri="http://schemas.microsoft.com/office/word/2010/wordprocessingShape">
                          <wps:wsp>
                            <wps:cNvSpPr/>
                            <wps:spPr>
                              <a:xfrm>
                                <a:off x="0" y="0"/>
                                <a:ext cx="1048721" cy="349624"/>
                              </a:xfrm>
                              <a:prstGeom prst="rect">
                                <a:avLst/>
                              </a:prstGeom>
                              <a:solidFill>
                                <a:sysClr val="window" lastClr="FFFFFF"/>
                              </a:solidFill>
                              <a:ln w="12700" cap="flat" cmpd="sng" algn="ctr">
                                <a:solidFill>
                                  <a:srgbClr val="70AD47"/>
                                </a:solidFill>
                                <a:prstDash val="solid"/>
                                <a:miter lim="800000"/>
                              </a:ln>
                              <a:effectLst/>
                            </wps:spPr>
                            <wps:txbx>
                              <w:txbxContent>
                                <w:p w14:paraId="34B1D1D2" w14:textId="77777777" w:rsidR="004F5D57" w:rsidRPr="00533B67" w:rsidRDefault="004F5D57" w:rsidP="00CD6352">
                                  <w:pPr>
                                    <w:jc w:val="center"/>
                                    <w:rPr>
                                      <w:rFonts w:ascii="Arial" w:hAnsi="Arial" w:cs="Arial"/>
                                      <w:sz w:val="16"/>
                                      <w:szCs w:val="16"/>
                                    </w:rPr>
                                  </w:pPr>
                                  <w:permStart w:id="98174578" w:edGrp="everyone"/>
                                  <w:r>
                                    <w:rPr>
                                      <w:rFonts w:ascii="Arial" w:hAnsi="Arial" w:cs="Arial"/>
                                      <w:sz w:val="16"/>
                                      <w:szCs w:val="16"/>
                                    </w:rPr>
                                    <w:t>Legal</w:t>
                                  </w:r>
                                  <w:r w:rsidRPr="00533B67">
                                    <w:rPr>
                                      <w:rFonts w:ascii="Arial" w:hAnsi="Arial" w:cs="Arial"/>
                                      <w:sz w:val="16"/>
                                      <w:szCs w:val="16"/>
                                    </w:rPr>
                                    <w:t xml:space="preserve"> feasibility</w:t>
                                  </w:r>
                                  <w:permEnd w:id="981745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465E" id="Rectangle 75" o:spid="_x0000_s1063" style="position:absolute;margin-left:-.55pt;margin-top:12.65pt;width:82.6pt;height:2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" fillcolor="window" strokecolor="#70ad47" strokeweight="1pt">
                      <v:textbox>
                        <w:txbxContent>
                          <w:p w14:paraId="34B1D1D2" w14:textId="77777777" w:rsidR="004F5D57" w:rsidRPr="00533B67" w:rsidRDefault="004F5D57" w:rsidP="00CD6352">
                            <w:pPr>
                              <w:jc w:val="center"/>
                              <w:rPr>
                                <w:rFonts w:ascii="Arial" w:hAnsi="Arial" w:cs="Arial"/>
                                <w:sz w:val="16"/>
                                <w:szCs w:val="16"/>
                              </w:rPr>
                            </w:pPr>
                            <w:permStart w:id="98174578" w:edGrp="everyone"/>
                            <w:r>
                              <w:rPr>
                                <w:rFonts w:ascii="Arial" w:hAnsi="Arial" w:cs="Arial"/>
                                <w:sz w:val="16"/>
                                <w:szCs w:val="16"/>
                              </w:rPr>
                              <w:t>Legal</w:t>
                            </w:r>
                            <w:r w:rsidRPr="00533B67">
                              <w:rPr>
                                <w:rFonts w:ascii="Arial" w:hAnsi="Arial" w:cs="Arial"/>
                                <w:sz w:val="16"/>
                                <w:szCs w:val="16"/>
                              </w:rPr>
                              <w:t xml:space="preserve"> feasibility</w:t>
                            </w:r>
                            <w:permEnd w:id="98174578"/>
                          </w:p>
                        </w:txbxContent>
                      </v:textbox>
                    </v:rect>
                  </w:pict>
                </mc:Fallback>
              </mc:AlternateContent>
            </w:r>
          </w:p>
          <w:p w14:paraId="01DEEB18"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02272" behindDoc="0" locked="0" layoutInCell="1" allowOverlap="1" wp14:anchorId="3053783E" wp14:editId="0D38B6E5">
                      <wp:simplePos x="0" y="0"/>
                      <wp:positionH relativeFrom="column">
                        <wp:posOffset>2441561</wp:posOffset>
                      </wp:positionH>
                      <wp:positionV relativeFrom="paragraph">
                        <wp:posOffset>29695</wp:posOffset>
                      </wp:positionV>
                      <wp:extent cx="1258099" cy="500380"/>
                      <wp:effectExtent l="0" t="0" r="18415" b="13970"/>
                      <wp:wrapNone/>
                      <wp:docPr id="101" name="Rectangle 101"/>
                      <wp:cNvGraphicFramePr/>
                      <a:graphic xmlns:a="http://schemas.openxmlformats.org/drawingml/2006/main">
                        <a:graphicData uri="http://schemas.microsoft.com/office/word/2010/wordprocessingShape">
                          <wps:wsp>
                            <wps:cNvSpPr/>
                            <wps:spPr>
                              <a:xfrm>
                                <a:off x="0" y="0"/>
                                <a:ext cx="1258099" cy="500380"/>
                              </a:xfrm>
                              <a:prstGeom prst="rect">
                                <a:avLst/>
                              </a:prstGeom>
                              <a:solidFill>
                                <a:sysClr val="window" lastClr="FFFFFF"/>
                              </a:solidFill>
                              <a:ln w="12700" cap="flat" cmpd="sng" algn="ctr">
                                <a:solidFill>
                                  <a:srgbClr val="70AD47"/>
                                </a:solidFill>
                                <a:prstDash val="solid"/>
                                <a:miter lim="800000"/>
                              </a:ln>
                              <a:effectLst/>
                            </wps:spPr>
                            <wps:txbx>
                              <w:txbxContent>
                                <w:p w14:paraId="255B59FD" w14:textId="1667E346" w:rsidR="004F5D57" w:rsidRPr="00533B67" w:rsidRDefault="004F5D57" w:rsidP="00CD6352">
                                  <w:pPr>
                                    <w:jc w:val="center"/>
                                    <w:rPr>
                                      <w:rFonts w:ascii="Arial" w:hAnsi="Arial" w:cs="Arial"/>
                                      <w:sz w:val="16"/>
                                      <w:szCs w:val="16"/>
                                    </w:rPr>
                                  </w:pPr>
                                  <w:permStart w:id="1649098498" w:edGrp="everyone"/>
                                  <w:r>
                                    <w:rPr>
                                      <w:rFonts w:ascii="Arial" w:hAnsi="Arial" w:cs="Arial"/>
                                      <w:sz w:val="16"/>
                                      <w:szCs w:val="16"/>
                                    </w:rPr>
                                    <w:t>Provide financial modelling with realistic assumptions.</w:t>
                                  </w:r>
                                  <w:permEnd w:id="16490984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3783E" id="Rectangle 101" o:spid="_x0000_s1064" style="position:absolute;margin-left:192.25pt;margin-top:2.35pt;width:99.05pt;height:3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" fillcolor="window" strokecolor="#70ad47" strokeweight="1pt">
                      <v:textbox>
                        <w:txbxContent>
                          <w:p w14:paraId="255B59FD" w14:textId="1667E346" w:rsidR="004F5D57" w:rsidRPr="00533B67" w:rsidRDefault="004F5D57" w:rsidP="00CD6352">
                            <w:pPr>
                              <w:jc w:val="center"/>
                              <w:rPr>
                                <w:rFonts w:ascii="Arial" w:hAnsi="Arial" w:cs="Arial"/>
                                <w:sz w:val="16"/>
                                <w:szCs w:val="16"/>
                              </w:rPr>
                            </w:pPr>
                            <w:permStart w:id="1649098498" w:edGrp="everyone"/>
                            <w:r>
                              <w:rPr>
                                <w:rFonts w:ascii="Arial" w:hAnsi="Arial" w:cs="Arial"/>
                                <w:sz w:val="16"/>
                                <w:szCs w:val="16"/>
                              </w:rPr>
                              <w:t>Provide financial modelling with realistic assumptions.</w:t>
                            </w:r>
                            <w:permEnd w:id="1649098498"/>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46304" behindDoc="0" locked="0" layoutInCell="1" allowOverlap="1" wp14:anchorId="53CD36E6" wp14:editId="02BFE8E1">
                      <wp:simplePos x="0" y="0"/>
                      <wp:positionH relativeFrom="column">
                        <wp:posOffset>1643865</wp:posOffset>
                      </wp:positionH>
                      <wp:positionV relativeFrom="paragraph">
                        <wp:posOffset>45541</wp:posOffset>
                      </wp:positionV>
                      <wp:extent cx="124168" cy="123289"/>
                      <wp:effectExtent l="19050" t="0" r="47625" b="29210"/>
                      <wp:wrapNone/>
                      <wp:docPr id="122" name="Arrow: Down 122"/>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21B0" id="Arrow: Down 122" o:spid="_x0000_s1026" type="#_x0000_t67" style="position:absolute;margin-left:129.45pt;margin-top:3.6pt;width:9.8pt;height:9.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91008" behindDoc="0" locked="0" layoutInCell="1" allowOverlap="1" wp14:anchorId="1755B29E" wp14:editId="4DB217B0">
                      <wp:simplePos x="0" y="0"/>
                      <wp:positionH relativeFrom="column">
                        <wp:posOffset>1280581</wp:posOffset>
                      </wp:positionH>
                      <wp:positionV relativeFrom="paragraph">
                        <wp:posOffset>132437</wp:posOffset>
                      </wp:positionV>
                      <wp:extent cx="890841" cy="268605"/>
                      <wp:effectExtent l="0" t="0" r="24130" b="17145"/>
                      <wp:wrapNone/>
                      <wp:docPr id="85" name="Rectangle 85"/>
                      <wp:cNvGraphicFramePr/>
                      <a:graphic xmlns:a="http://schemas.openxmlformats.org/drawingml/2006/main">
                        <a:graphicData uri="http://schemas.microsoft.com/office/word/2010/wordprocessingShape">
                          <wps:wsp>
                            <wps:cNvSpPr/>
                            <wps:spPr>
                              <a:xfrm>
                                <a:off x="0" y="0"/>
                                <a:ext cx="890841" cy="268605"/>
                              </a:xfrm>
                              <a:prstGeom prst="rect">
                                <a:avLst/>
                              </a:prstGeom>
                              <a:solidFill>
                                <a:sysClr val="window" lastClr="FFFFFF"/>
                              </a:solidFill>
                              <a:ln w="12700" cap="flat" cmpd="sng" algn="ctr">
                                <a:solidFill>
                                  <a:srgbClr val="70AD47"/>
                                </a:solidFill>
                                <a:prstDash val="solid"/>
                                <a:miter lim="800000"/>
                              </a:ln>
                              <a:effectLst/>
                            </wps:spPr>
                            <wps:txbx>
                              <w:txbxContent>
                                <w:p w14:paraId="2EE0F31E" w14:textId="77777777" w:rsidR="004F5D57" w:rsidRPr="00575267" w:rsidRDefault="004F5D57" w:rsidP="00CD6352">
                                  <w:pPr>
                                    <w:jc w:val="center"/>
                                    <w:rPr>
                                      <w:rFonts w:ascii="Arial" w:hAnsi="Arial" w:cs="Arial"/>
                                      <w:sz w:val="16"/>
                                      <w:szCs w:val="16"/>
                                    </w:rPr>
                                  </w:pPr>
                                  <w:permStart w:id="2001806117" w:edGrp="everyone"/>
                                  <w:r w:rsidRPr="00575267">
                                    <w:rPr>
                                      <w:rFonts w:ascii="Arial" w:hAnsi="Arial" w:cs="Arial"/>
                                      <w:sz w:val="16"/>
                                      <w:szCs w:val="16"/>
                                    </w:rPr>
                                    <w:t>Off-takers</w:t>
                                  </w:r>
                                  <w:permEnd w:id="20018061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5B29E" id="Rectangle 85" o:spid="_x0000_s1065" style="position:absolute;margin-left:100.85pt;margin-top:10.45pt;width:70.15pt;height:2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" fillcolor="window" strokecolor="#70ad47" strokeweight="1pt">
                      <v:textbox>
                        <w:txbxContent>
                          <w:p w14:paraId="2EE0F31E" w14:textId="77777777" w:rsidR="004F5D57" w:rsidRPr="00575267" w:rsidRDefault="004F5D57" w:rsidP="00CD6352">
                            <w:pPr>
                              <w:jc w:val="center"/>
                              <w:rPr>
                                <w:rFonts w:ascii="Arial" w:hAnsi="Arial" w:cs="Arial"/>
                                <w:sz w:val="16"/>
                                <w:szCs w:val="16"/>
                              </w:rPr>
                            </w:pPr>
                            <w:permStart w:id="2001806117" w:edGrp="everyone"/>
                            <w:r w:rsidRPr="00575267">
                              <w:rPr>
                                <w:rFonts w:ascii="Arial" w:hAnsi="Arial" w:cs="Arial"/>
                                <w:sz w:val="16"/>
                                <w:szCs w:val="16"/>
                              </w:rPr>
                              <w:t>Off-takers</w:t>
                            </w:r>
                            <w:permEnd w:id="2001806117"/>
                          </w:p>
                        </w:txbxContent>
                      </v:textbox>
                    </v:rect>
                  </w:pict>
                </mc:Fallback>
              </mc:AlternateContent>
            </w:r>
          </w:p>
          <w:p w14:paraId="5FED9B29"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44256" behindDoc="0" locked="0" layoutInCell="1" allowOverlap="1" wp14:anchorId="4443A5EF" wp14:editId="7241AA59">
                      <wp:simplePos x="0" y="0"/>
                      <wp:positionH relativeFrom="column">
                        <wp:posOffset>405765</wp:posOffset>
                      </wp:positionH>
                      <wp:positionV relativeFrom="paragraph">
                        <wp:posOffset>144780</wp:posOffset>
                      </wp:positionV>
                      <wp:extent cx="144780" cy="153670"/>
                      <wp:effectExtent l="19050" t="0" r="26670" b="36830"/>
                      <wp:wrapNone/>
                      <wp:docPr id="120" name="Arrow: Down 120"/>
                      <wp:cNvGraphicFramePr/>
                      <a:graphic xmlns:a="http://schemas.openxmlformats.org/drawingml/2006/main">
                        <a:graphicData uri="http://schemas.microsoft.com/office/word/2010/wordprocessingShape">
                          <wps:wsp>
                            <wps:cNvSpPr/>
                            <wps:spPr>
                              <a:xfrm>
                                <a:off x="0" y="0"/>
                                <a:ext cx="144780" cy="15367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117C" id="Arrow: Down 120" o:spid="_x0000_s1026" type="#_x0000_t67" style="position:absolute;margin-left:31.95pt;margin-top:11.4pt;width:11.4pt;height: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" adj="11425" fillcolor="window" strokecolor="#70ad47" strokeweight="1pt"/>
                  </w:pict>
                </mc:Fallback>
              </mc:AlternateContent>
            </w:r>
          </w:p>
          <w:p w14:paraId="39664A84"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47328" behindDoc="0" locked="0" layoutInCell="1" allowOverlap="1" wp14:anchorId="5C310115" wp14:editId="5F035A12">
                      <wp:simplePos x="0" y="0"/>
                      <wp:positionH relativeFrom="column">
                        <wp:posOffset>1618130</wp:posOffset>
                      </wp:positionH>
                      <wp:positionV relativeFrom="paragraph">
                        <wp:posOffset>57707</wp:posOffset>
                      </wp:positionV>
                      <wp:extent cx="144373" cy="151058"/>
                      <wp:effectExtent l="19050" t="0" r="27305" b="40005"/>
                      <wp:wrapNone/>
                      <wp:docPr id="123" name="Arrow: Down 123"/>
                      <wp:cNvGraphicFramePr/>
                      <a:graphic xmlns:a="http://schemas.openxmlformats.org/drawingml/2006/main">
                        <a:graphicData uri="http://schemas.microsoft.com/office/word/2010/wordprocessingShape">
                          <wps:wsp>
                            <wps:cNvSpPr/>
                            <wps:spPr>
                              <a:xfrm flipH="1">
                                <a:off x="0" y="0"/>
                                <a:ext cx="144373" cy="15105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6471" id="Arrow: Down 123" o:spid="_x0000_s1026" type="#_x0000_t67" style="position:absolute;margin-left:127.4pt;margin-top:4.55pt;width:11.35pt;height:11.9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" adj="11278"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88960" behindDoc="0" locked="0" layoutInCell="1" allowOverlap="1" wp14:anchorId="1EA33D68" wp14:editId="77778297">
                      <wp:simplePos x="0" y="0"/>
                      <wp:positionH relativeFrom="column">
                        <wp:posOffset>-3689</wp:posOffset>
                      </wp:positionH>
                      <wp:positionV relativeFrom="paragraph">
                        <wp:posOffset>139900</wp:posOffset>
                      </wp:positionV>
                      <wp:extent cx="1047964" cy="349624"/>
                      <wp:effectExtent l="0" t="0" r="19050" b="12700"/>
                      <wp:wrapNone/>
                      <wp:docPr id="76" name="Rectangle 76"/>
                      <wp:cNvGraphicFramePr/>
                      <a:graphic xmlns:a="http://schemas.openxmlformats.org/drawingml/2006/main">
                        <a:graphicData uri="http://schemas.microsoft.com/office/word/2010/wordprocessingShape">
                          <wps:wsp>
                            <wps:cNvSpPr/>
                            <wps:spPr>
                              <a:xfrm>
                                <a:off x="0" y="0"/>
                                <a:ext cx="1047964" cy="349624"/>
                              </a:xfrm>
                              <a:prstGeom prst="rect">
                                <a:avLst/>
                              </a:prstGeom>
                              <a:solidFill>
                                <a:sysClr val="window" lastClr="FFFFFF"/>
                              </a:solidFill>
                              <a:ln w="12700" cap="flat" cmpd="sng" algn="ctr">
                                <a:solidFill>
                                  <a:srgbClr val="70AD47"/>
                                </a:solidFill>
                                <a:prstDash val="solid"/>
                                <a:miter lim="800000"/>
                              </a:ln>
                              <a:effectLst/>
                            </wps:spPr>
                            <wps:txbx>
                              <w:txbxContent>
                                <w:p w14:paraId="30753F63" w14:textId="77777777" w:rsidR="004F5D57" w:rsidRPr="00533B67" w:rsidRDefault="004F5D57" w:rsidP="00CD6352">
                                  <w:pPr>
                                    <w:jc w:val="center"/>
                                    <w:rPr>
                                      <w:rFonts w:ascii="Arial" w:hAnsi="Arial" w:cs="Arial"/>
                                      <w:sz w:val="16"/>
                                      <w:szCs w:val="16"/>
                                    </w:rPr>
                                  </w:pPr>
                                  <w:permStart w:id="2092050841" w:edGrp="everyone"/>
                                  <w:r w:rsidRPr="00533B67">
                                    <w:rPr>
                                      <w:rFonts w:ascii="Arial" w:hAnsi="Arial" w:cs="Arial"/>
                                      <w:sz w:val="16"/>
                                      <w:szCs w:val="16"/>
                                    </w:rPr>
                                    <w:t>Commercial feasibility</w:t>
                                  </w:r>
                                  <w:permEnd w:id="20920508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33D68" id="Rectangle 76" o:spid="_x0000_s1066" style="position:absolute;margin-left:-.3pt;margin-top:11pt;width:82.5pt;height:2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" fillcolor="window" strokecolor="#70ad47" strokeweight="1pt">
                      <v:textbox>
                        <w:txbxContent>
                          <w:p w14:paraId="30753F63" w14:textId="77777777" w:rsidR="004F5D57" w:rsidRPr="00533B67" w:rsidRDefault="004F5D57" w:rsidP="00CD6352">
                            <w:pPr>
                              <w:jc w:val="center"/>
                              <w:rPr>
                                <w:rFonts w:ascii="Arial" w:hAnsi="Arial" w:cs="Arial"/>
                                <w:sz w:val="16"/>
                                <w:szCs w:val="16"/>
                              </w:rPr>
                            </w:pPr>
                            <w:permStart w:id="2092050841" w:edGrp="everyone"/>
                            <w:r w:rsidRPr="00533B67">
                              <w:rPr>
                                <w:rFonts w:ascii="Arial" w:hAnsi="Arial" w:cs="Arial"/>
                                <w:sz w:val="16"/>
                                <w:szCs w:val="16"/>
                              </w:rPr>
                              <w:t>Commercial feasibility</w:t>
                            </w:r>
                            <w:permEnd w:id="2092050841"/>
                          </w:p>
                        </w:txbxContent>
                      </v:textbox>
                    </v:rect>
                  </w:pict>
                </mc:Fallback>
              </mc:AlternateContent>
            </w:r>
          </w:p>
          <w:p w14:paraId="24457389"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92032" behindDoc="0" locked="0" layoutInCell="1" allowOverlap="1" wp14:anchorId="3ED9C375" wp14:editId="432C28DC">
                      <wp:simplePos x="0" y="0"/>
                      <wp:positionH relativeFrom="column">
                        <wp:posOffset>1297826</wp:posOffset>
                      </wp:positionH>
                      <wp:positionV relativeFrom="paragraph">
                        <wp:posOffset>54575</wp:posOffset>
                      </wp:positionV>
                      <wp:extent cx="914400" cy="268942"/>
                      <wp:effectExtent l="0" t="0" r="19050" b="17145"/>
                      <wp:wrapNone/>
                      <wp:docPr id="86" name="Rectangle 86"/>
                      <wp:cNvGraphicFramePr/>
                      <a:graphic xmlns:a="http://schemas.openxmlformats.org/drawingml/2006/main">
                        <a:graphicData uri="http://schemas.microsoft.com/office/word/2010/wordprocessingShape">
                          <wps:wsp>
                            <wps:cNvSpPr/>
                            <wps:spPr>
                              <a:xfrm>
                                <a:off x="0" y="0"/>
                                <a:ext cx="914400" cy="268942"/>
                              </a:xfrm>
                              <a:prstGeom prst="rect">
                                <a:avLst/>
                              </a:prstGeom>
                              <a:solidFill>
                                <a:sysClr val="window" lastClr="FFFFFF"/>
                              </a:solidFill>
                              <a:ln w="12700" cap="flat" cmpd="sng" algn="ctr">
                                <a:solidFill>
                                  <a:srgbClr val="70AD47"/>
                                </a:solidFill>
                                <a:prstDash val="solid"/>
                                <a:miter lim="800000"/>
                              </a:ln>
                              <a:effectLst/>
                            </wps:spPr>
                            <wps:txbx>
                              <w:txbxContent>
                                <w:p w14:paraId="2C97BC94" w14:textId="77777777" w:rsidR="004F5D57" w:rsidRPr="00575267" w:rsidRDefault="004F5D57" w:rsidP="00CD6352">
                                  <w:pPr>
                                    <w:jc w:val="center"/>
                                    <w:rPr>
                                      <w:rFonts w:ascii="Arial" w:hAnsi="Arial" w:cs="Arial"/>
                                      <w:sz w:val="16"/>
                                      <w:szCs w:val="16"/>
                                    </w:rPr>
                                  </w:pPr>
                                  <w:permStart w:id="2002456112" w:edGrp="everyone"/>
                                  <w:r w:rsidRPr="00575267">
                                    <w:rPr>
                                      <w:rFonts w:ascii="Arial" w:hAnsi="Arial" w:cs="Arial"/>
                                      <w:sz w:val="16"/>
                                      <w:szCs w:val="16"/>
                                    </w:rPr>
                                    <w:t>Tenants</w:t>
                                  </w:r>
                                  <w:permEnd w:id="20024561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9C375" id="Rectangle 86" o:spid="_x0000_s1067" style="position:absolute;margin-left:102.2pt;margin-top:4.3pt;width:1in;height:21.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" fillcolor="window" strokecolor="#70ad47" strokeweight="1pt">
                      <v:textbox>
                        <w:txbxContent>
                          <w:p w14:paraId="2C97BC94" w14:textId="77777777" w:rsidR="004F5D57" w:rsidRPr="00575267" w:rsidRDefault="004F5D57" w:rsidP="00CD6352">
                            <w:pPr>
                              <w:jc w:val="center"/>
                              <w:rPr>
                                <w:rFonts w:ascii="Arial" w:hAnsi="Arial" w:cs="Arial"/>
                                <w:sz w:val="16"/>
                                <w:szCs w:val="16"/>
                              </w:rPr>
                            </w:pPr>
                            <w:permStart w:id="2002456112" w:edGrp="everyone"/>
                            <w:r w:rsidRPr="00575267">
                              <w:rPr>
                                <w:rFonts w:ascii="Arial" w:hAnsi="Arial" w:cs="Arial"/>
                                <w:sz w:val="16"/>
                                <w:szCs w:val="16"/>
                              </w:rPr>
                              <w:t>Tenants</w:t>
                            </w:r>
                            <w:permEnd w:id="2002456112"/>
                          </w:p>
                        </w:txbxContent>
                      </v:textbox>
                    </v:rect>
                  </w:pict>
                </mc:Fallback>
              </mc:AlternateContent>
            </w:r>
          </w:p>
          <w:p w14:paraId="176E107C" w14:textId="77777777" w:rsidR="00CD6352" w:rsidRPr="00C52D0D" w:rsidRDefault="00CD6352" w:rsidP="00CD6352">
            <w:pPr>
              <w:rPr>
                <w:rFonts w:ascii="Arial" w:hAnsi="Arial" w:cs="Arial"/>
                <w:sz w:val="16"/>
                <w:szCs w:val="16"/>
              </w:rPr>
            </w:pPr>
          </w:p>
          <w:p w14:paraId="747B23FC"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43232" behindDoc="0" locked="0" layoutInCell="1" allowOverlap="1" wp14:anchorId="10285318" wp14:editId="76088B05">
                      <wp:simplePos x="0" y="0"/>
                      <wp:positionH relativeFrom="column">
                        <wp:posOffset>410431</wp:posOffset>
                      </wp:positionH>
                      <wp:positionV relativeFrom="paragraph">
                        <wp:posOffset>41910</wp:posOffset>
                      </wp:positionV>
                      <wp:extent cx="124168" cy="123289"/>
                      <wp:effectExtent l="19050" t="0" r="47625" b="29210"/>
                      <wp:wrapNone/>
                      <wp:docPr id="119" name="Arrow: Down 119"/>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BFE2" id="Arrow: Down 119" o:spid="_x0000_s1026" type="#_x0000_t67" style="position:absolute;margin-left:32.3pt;margin-top:3.3pt;width:9.8pt;height: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" adj="10800" fillcolor="window" strokecolor="#70ad47" strokeweight="1pt"/>
                  </w:pict>
                </mc:Fallback>
              </mc:AlternateContent>
            </w:r>
          </w:p>
          <w:p w14:paraId="33206A91"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93056" behindDoc="0" locked="0" layoutInCell="1" allowOverlap="1" wp14:anchorId="40CA2DB6" wp14:editId="2748725D">
                      <wp:simplePos x="0" y="0"/>
                      <wp:positionH relativeFrom="column">
                        <wp:posOffset>-3689</wp:posOffset>
                      </wp:positionH>
                      <wp:positionV relativeFrom="paragraph">
                        <wp:posOffset>31536</wp:posOffset>
                      </wp:positionV>
                      <wp:extent cx="1047964" cy="349321"/>
                      <wp:effectExtent l="0" t="0" r="19050" b="12700"/>
                      <wp:wrapNone/>
                      <wp:docPr id="88" name="Rectangle 88"/>
                      <wp:cNvGraphicFramePr/>
                      <a:graphic xmlns:a="http://schemas.openxmlformats.org/drawingml/2006/main">
                        <a:graphicData uri="http://schemas.microsoft.com/office/word/2010/wordprocessingShape">
                          <wps:wsp>
                            <wps:cNvSpPr/>
                            <wps:spPr>
                              <a:xfrm>
                                <a:off x="0" y="0"/>
                                <a:ext cx="1047964" cy="349321"/>
                              </a:xfrm>
                              <a:prstGeom prst="rect">
                                <a:avLst/>
                              </a:prstGeom>
                              <a:solidFill>
                                <a:sysClr val="window" lastClr="FFFFFF"/>
                              </a:solidFill>
                              <a:ln w="12700" cap="flat" cmpd="sng" algn="ctr">
                                <a:solidFill>
                                  <a:srgbClr val="70AD47"/>
                                </a:solidFill>
                                <a:prstDash val="solid"/>
                                <a:miter lim="800000"/>
                              </a:ln>
                              <a:effectLst/>
                            </wps:spPr>
                            <wps:txbx>
                              <w:txbxContent>
                                <w:p w14:paraId="75270660" w14:textId="77777777" w:rsidR="004F5D57" w:rsidRPr="00533B67" w:rsidRDefault="004F5D57" w:rsidP="00CD6352">
                                  <w:pPr>
                                    <w:jc w:val="center"/>
                                    <w:rPr>
                                      <w:rFonts w:ascii="Arial" w:hAnsi="Arial" w:cs="Arial"/>
                                      <w:sz w:val="16"/>
                                      <w:szCs w:val="16"/>
                                    </w:rPr>
                                  </w:pPr>
                                  <w:permStart w:id="1753104654" w:edGrp="everyone"/>
                                  <w:r>
                                    <w:rPr>
                                      <w:rFonts w:ascii="Arial" w:hAnsi="Arial" w:cs="Arial"/>
                                      <w:sz w:val="16"/>
                                      <w:szCs w:val="16"/>
                                    </w:rPr>
                                    <w:t>Technical f</w:t>
                                  </w:r>
                                  <w:r w:rsidRPr="00533B67">
                                    <w:rPr>
                                      <w:rFonts w:ascii="Arial" w:hAnsi="Arial" w:cs="Arial"/>
                                      <w:sz w:val="16"/>
                                      <w:szCs w:val="16"/>
                                    </w:rPr>
                                    <w:t>easibility</w:t>
                                  </w:r>
                                  <w:permEnd w:id="17531046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2DB6" id="Rectangle 88" o:spid="_x0000_s1068" style="position:absolute;margin-left:-.3pt;margin-top:2.5pt;width:82.5pt;height: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" fillcolor="window" strokecolor="#70ad47" strokeweight="1pt">
                      <v:textbox>
                        <w:txbxContent>
                          <w:p w14:paraId="75270660" w14:textId="77777777" w:rsidR="004F5D57" w:rsidRPr="00533B67" w:rsidRDefault="004F5D57" w:rsidP="00CD6352">
                            <w:pPr>
                              <w:jc w:val="center"/>
                              <w:rPr>
                                <w:rFonts w:ascii="Arial" w:hAnsi="Arial" w:cs="Arial"/>
                                <w:sz w:val="16"/>
                                <w:szCs w:val="16"/>
                              </w:rPr>
                            </w:pPr>
                            <w:permStart w:id="1753104654" w:edGrp="everyone"/>
                            <w:r>
                              <w:rPr>
                                <w:rFonts w:ascii="Arial" w:hAnsi="Arial" w:cs="Arial"/>
                                <w:sz w:val="16"/>
                                <w:szCs w:val="16"/>
                              </w:rPr>
                              <w:t>Technical f</w:t>
                            </w:r>
                            <w:r w:rsidRPr="00533B67">
                              <w:rPr>
                                <w:rFonts w:ascii="Arial" w:hAnsi="Arial" w:cs="Arial"/>
                                <w:sz w:val="16"/>
                                <w:szCs w:val="16"/>
                              </w:rPr>
                              <w:t>easibility</w:t>
                            </w:r>
                            <w:permEnd w:id="1753104654"/>
                          </w:p>
                        </w:txbxContent>
                      </v:textbox>
                    </v:rect>
                  </w:pict>
                </mc:Fallback>
              </mc:AlternateContent>
            </w:r>
          </w:p>
          <w:p w14:paraId="7DA5056D" w14:textId="77777777" w:rsidR="00CD6352" w:rsidRPr="00C52D0D" w:rsidRDefault="00CD6352" w:rsidP="00CD6352">
            <w:pPr>
              <w:rPr>
                <w:rFonts w:ascii="Arial" w:hAnsi="Arial" w:cs="Arial"/>
                <w:sz w:val="16"/>
                <w:szCs w:val="16"/>
              </w:rPr>
            </w:pPr>
          </w:p>
          <w:p w14:paraId="3ECE351D" w14:textId="77777777" w:rsidR="00CD6352" w:rsidRPr="00C52D0D" w:rsidRDefault="00CD6352" w:rsidP="00CD6352">
            <w:pPr>
              <w:rPr>
                <w:rFonts w:ascii="Arial" w:hAnsi="Arial" w:cs="Arial"/>
                <w:sz w:val="16"/>
                <w:szCs w:val="16"/>
              </w:rPr>
            </w:pPr>
          </w:p>
        </w:tc>
      </w:tr>
      <w:tr w:rsidR="00CD6352" w:rsidRPr="00C52D0D" w14:paraId="5EA030F4" w14:textId="77777777" w:rsidTr="005025E5">
        <w:trPr>
          <w:cantSplit/>
          <w:trHeight w:val="3109"/>
        </w:trPr>
        <w:tc>
          <w:tcPr>
            <w:tcW w:w="846" w:type="dxa"/>
          </w:tcPr>
          <w:p w14:paraId="12D81DB1" w14:textId="77777777" w:rsidR="00CD6352" w:rsidRPr="00C52D0D" w:rsidRDefault="00CD6352" w:rsidP="00CD6352">
            <w:pPr>
              <w:rPr>
                <w:rFonts w:ascii="Arial" w:hAnsi="Arial" w:cs="Arial"/>
                <w:sz w:val="16"/>
                <w:szCs w:val="16"/>
              </w:rPr>
            </w:pPr>
            <w:r w:rsidRPr="00C52D0D">
              <w:rPr>
                <w:rFonts w:ascii="Arial" w:hAnsi="Arial" w:cs="Arial"/>
                <w:sz w:val="16"/>
                <w:szCs w:val="16"/>
              </w:rPr>
              <w:lastRenderedPageBreak/>
              <w:t>Stage 3</w:t>
            </w:r>
          </w:p>
        </w:tc>
        <w:tc>
          <w:tcPr>
            <w:tcW w:w="1476" w:type="dxa"/>
          </w:tcPr>
          <w:p w14:paraId="07F7D01E" w14:textId="77777777" w:rsidR="00CD6352" w:rsidRPr="00C52D0D" w:rsidRDefault="00CD6352" w:rsidP="000220D5">
            <w:pPr>
              <w:rPr>
                <w:rFonts w:ascii="Arial" w:hAnsi="Arial" w:cs="Arial"/>
                <w:sz w:val="16"/>
                <w:szCs w:val="16"/>
              </w:rPr>
            </w:pPr>
            <w:r w:rsidRPr="00C52D0D">
              <w:rPr>
                <w:rFonts w:ascii="Arial" w:hAnsi="Arial" w:cs="Arial"/>
                <w:sz w:val="16"/>
                <w:szCs w:val="16"/>
              </w:rPr>
              <w:t>Selection</w:t>
            </w:r>
          </w:p>
        </w:tc>
        <w:tc>
          <w:tcPr>
            <w:tcW w:w="6694" w:type="dxa"/>
            <w:gridSpan w:val="4"/>
          </w:tcPr>
          <w:p w14:paraId="48F7C6F2"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97152" behindDoc="0" locked="0" layoutInCell="1" allowOverlap="1" wp14:anchorId="21582C0F" wp14:editId="4E9EFFDC">
                      <wp:simplePos x="0" y="0"/>
                      <wp:positionH relativeFrom="column">
                        <wp:posOffset>1383323</wp:posOffset>
                      </wp:positionH>
                      <wp:positionV relativeFrom="paragraph">
                        <wp:posOffset>137488</wp:posOffset>
                      </wp:positionV>
                      <wp:extent cx="955496" cy="257746"/>
                      <wp:effectExtent l="0" t="0" r="16510" b="28575"/>
                      <wp:wrapNone/>
                      <wp:docPr id="92" name="Rectangle 92"/>
                      <wp:cNvGraphicFramePr/>
                      <a:graphic xmlns:a="http://schemas.openxmlformats.org/drawingml/2006/main">
                        <a:graphicData uri="http://schemas.microsoft.com/office/word/2010/wordprocessingShape">
                          <wps:wsp>
                            <wps:cNvSpPr/>
                            <wps:spPr>
                              <a:xfrm>
                                <a:off x="0" y="0"/>
                                <a:ext cx="955496" cy="257746"/>
                              </a:xfrm>
                              <a:prstGeom prst="rect">
                                <a:avLst/>
                              </a:prstGeom>
                              <a:solidFill>
                                <a:sysClr val="window" lastClr="FFFFFF"/>
                              </a:solidFill>
                              <a:ln w="12700" cap="flat" cmpd="sng" algn="ctr">
                                <a:solidFill>
                                  <a:srgbClr val="70AD47"/>
                                </a:solidFill>
                                <a:prstDash val="solid"/>
                                <a:miter lim="800000"/>
                              </a:ln>
                              <a:effectLst/>
                            </wps:spPr>
                            <wps:txbx>
                              <w:txbxContent>
                                <w:p w14:paraId="4A5BF74A" w14:textId="77777777" w:rsidR="004F5D57" w:rsidRPr="00533B67" w:rsidRDefault="004F5D57" w:rsidP="00CD6352">
                                  <w:pPr>
                                    <w:jc w:val="center"/>
                                    <w:rPr>
                                      <w:rFonts w:ascii="Arial" w:hAnsi="Arial" w:cs="Arial"/>
                                      <w:sz w:val="16"/>
                                      <w:szCs w:val="16"/>
                                    </w:rPr>
                                  </w:pPr>
                                  <w:permStart w:id="576288489" w:edGrp="everyone"/>
                                  <w:r>
                                    <w:rPr>
                                      <w:rFonts w:ascii="Arial" w:hAnsi="Arial" w:cs="Arial"/>
                                      <w:sz w:val="16"/>
                                      <w:szCs w:val="16"/>
                                    </w:rPr>
                                    <w:t>Secure funds</w:t>
                                  </w:r>
                                  <w:permEnd w:id="5762884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82C0F" id="Rectangle 92" o:spid="_x0000_s1069" style="position:absolute;margin-left:108.9pt;margin-top:10.85pt;width:75.25pt;height:2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" fillcolor="window" strokecolor="#70ad47" strokeweight="1pt">
                      <v:textbox>
                        <w:txbxContent>
                          <w:p w14:paraId="4A5BF74A" w14:textId="77777777" w:rsidR="004F5D57" w:rsidRPr="00533B67" w:rsidRDefault="004F5D57" w:rsidP="00CD6352">
                            <w:pPr>
                              <w:jc w:val="center"/>
                              <w:rPr>
                                <w:rFonts w:ascii="Arial" w:hAnsi="Arial" w:cs="Arial"/>
                                <w:sz w:val="16"/>
                                <w:szCs w:val="16"/>
                              </w:rPr>
                            </w:pPr>
                            <w:permStart w:id="576288489" w:edGrp="everyone"/>
                            <w:r>
                              <w:rPr>
                                <w:rFonts w:ascii="Arial" w:hAnsi="Arial" w:cs="Arial"/>
                                <w:sz w:val="16"/>
                                <w:szCs w:val="16"/>
                              </w:rPr>
                              <w:t>Secure funds</w:t>
                            </w:r>
                            <w:permEnd w:id="576288489"/>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99200" behindDoc="0" locked="0" layoutInCell="1" allowOverlap="1" wp14:anchorId="44CA6E8B" wp14:editId="24FF993F">
                      <wp:simplePos x="0" y="0"/>
                      <wp:positionH relativeFrom="column">
                        <wp:posOffset>2671354</wp:posOffset>
                      </wp:positionH>
                      <wp:positionV relativeFrom="paragraph">
                        <wp:posOffset>143691</wp:posOffset>
                      </wp:positionV>
                      <wp:extent cx="1034143" cy="279491"/>
                      <wp:effectExtent l="0" t="0" r="13970" b="25400"/>
                      <wp:wrapNone/>
                      <wp:docPr id="98" name="Rectangle 98"/>
                      <wp:cNvGraphicFramePr/>
                      <a:graphic xmlns:a="http://schemas.openxmlformats.org/drawingml/2006/main">
                        <a:graphicData uri="http://schemas.microsoft.com/office/word/2010/wordprocessingShape">
                          <wps:wsp>
                            <wps:cNvSpPr/>
                            <wps:spPr>
                              <a:xfrm>
                                <a:off x="0" y="0"/>
                                <a:ext cx="1034143" cy="279491"/>
                              </a:xfrm>
                              <a:prstGeom prst="rect">
                                <a:avLst/>
                              </a:prstGeom>
                              <a:solidFill>
                                <a:sysClr val="window" lastClr="FFFFFF"/>
                              </a:solidFill>
                              <a:ln w="12700" cap="flat" cmpd="sng" algn="ctr">
                                <a:solidFill>
                                  <a:srgbClr val="70AD47"/>
                                </a:solidFill>
                                <a:prstDash val="solid"/>
                                <a:miter lim="800000"/>
                              </a:ln>
                              <a:effectLst/>
                            </wps:spPr>
                            <wps:txbx>
                              <w:txbxContent>
                                <w:p w14:paraId="0EA9454D" w14:textId="77777777" w:rsidR="004F5D57" w:rsidRPr="00533B67" w:rsidRDefault="004F5D57" w:rsidP="00CD6352">
                                  <w:pPr>
                                    <w:jc w:val="center"/>
                                    <w:rPr>
                                      <w:rFonts w:ascii="Arial" w:hAnsi="Arial" w:cs="Arial"/>
                                      <w:sz w:val="16"/>
                                      <w:szCs w:val="16"/>
                                    </w:rPr>
                                  </w:pPr>
                                  <w:permStart w:id="546793089" w:edGrp="everyone"/>
                                  <w:r>
                                    <w:rPr>
                                      <w:rFonts w:ascii="Arial" w:hAnsi="Arial" w:cs="Arial"/>
                                      <w:sz w:val="16"/>
                                      <w:szCs w:val="16"/>
                                    </w:rPr>
                                    <w:t>Develop project</w:t>
                                  </w:r>
                                  <w:permEnd w:id="5467930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A6E8B" id="Rectangle 98" o:spid="_x0000_s1070" style="position:absolute;margin-left:210.35pt;margin-top:11.3pt;width:81.45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" fillcolor="window" strokecolor="#70ad47" strokeweight="1pt">
                      <v:textbox>
                        <w:txbxContent>
                          <w:p w14:paraId="0EA9454D" w14:textId="77777777" w:rsidR="004F5D57" w:rsidRPr="00533B67" w:rsidRDefault="004F5D57" w:rsidP="00CD6352">
                            <w:pPr>
                              <w:jc w:val="center"/>
                              <w:rPr>
                                <w:rFonts w:ascii="Arial" w:hAnsi="Arial" w:cs="Arial"/>
                                <w:sz w:val="16"/>
                                <w:szCs w:val="16"/>
                              </w:rPr>
                            </w:pPr>
                            <w:permStart w:id="546793089" w:edGrp="everyone"/>
                            <w:r>
                              <w:rPr>
                                <w:rFonts w:ascii="Arial" w:hAnsi="Arial" w:cs="Arial"/>
                                <w:sz w:val="16"/>
                                <w:szCs w:val="16"/>
                              </w:rPr>
                              <w:t>Develop project</w:t>
                            </w:r>
                            <w:permEnd w:id="546793089"/>
                          </w:p>
                        </w:txbxContent>
                      </v:textbox>
                    </v:rect>
                  </w:pict>
                </mc:Fallback>
              </mc:AlternateContent>
            </w:r>
          </w:p>
          <w:p w14:paraId="649806A8"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57568" behindDoc="0" locked="0" layoutInCell="1" allowOverlap="1" wp14:anchorId="7CA6DC0D" wp14:editId="2854DA95">
                      <wp:simplePos x="0" y="0"/>
                      <wp:positionH relativeFrom="column">
                        <wp:posOffset>2434976</wp:posOffset>
                      </wp:positionH>
                      <wp:positionV relativeFrom="paragraph">
                        <wp:posOffset>79310</wp:posOffset>
                      </wp:positionV>
                      <wp:extent cx="164173" cy="104240"/>
                      <wp:effectExtent l="0" t="19050" r="45720" b="29210"/>
                      <wp:wrapNone/>
                      <wp:docPr id="133" name="Arrow: Right 133"/>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B54C6" id="Arrow: Right 133" o:spid="_x0000_s1026" type="#_x0000_t13" style="position:absolute;margin-left:191.75pt;margin-top:6.25pt;width:12.95pt;height: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" adj="14743"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56544" behindDoc="0" locked="0" layoutInCell="1" allowOverlap="1" wp14:anchorId="5A524358" wp14:editId="20EE702C">
                      <wp:simplePos x="0" y="0"/>
                      <wp:positionH relativeFrom="column">
                        <wp:posOffset>1160980</wp:posOffset>
                      </wp:positionH>
                      <wp:positionV relativeFrom="paragraph">
                        <wp:posOffset>79311</wp:posOffset>
                      </wp:positionV>
                      <wp:extent cx="164173" cy="104240"/>
                      <wp:effectExtent l="0" t="19050" r="45720" b="29210"/>
                      <wp:wrapNone/>
                      <wp:docPr id="132" name="Arrow: Right 132"/>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ED0F" id="Arrow: Right 132" o:spid="_x0000_s1026" type="#_x0000_t13" style="position:absolute;margin-left:91.4pt;margin-top:6.25pt;width:12.95pt;height:8.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" adj="14743"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94080" behindDoc="0" locked="0" layoutInCell="1" allowOverlap="1" wp14:anchorId="7651FC5B" wp14:editId="424B2DFD">
                      <wp:simplePos x="0" y="0"/>
                      <wp:positionH relativeFrom="column">
                        <wp:posOffset>-8890</wp:posOffset>
                      </wp:positionH>
                      <wp:positionV relativeFrom="paragraph">
                        <wp:posOffset>-6350</wp:posOffset>
                      </wp:positionV>
                      <wp:extent cx="1102360" cy="268942"/>
                      <wp:effectExtent l="0" t="0" r="21590" b="17145"/>
                      <wp:wrapNone/>
                      <wp:docPr id="89" name="Rectangle 89"/>
                      <wp:cNvGraphicFramePr/>
                      <a:graphic xmlns:a="http://schemas.openxmlformats.org/drawingml/2006/main">
                        <a:graphicData uri="http://schemas.microsoft.com/office/word/2010/wordprocessingShape">
                          <wps:wsp>
                            <wps:cNvSpPr/>
                            <wps:spPr>
                              <a:xfrm>
                                <a:off x="0" y="0"/>
                                <a:ext cx="1102360" cy="268942"/>
                              </a:xfrm>
                              <a:prstGeom prst="rect">
                                <a:avLst/>
                              </a:prstGeom>
                              <a:solidFill>
                                <a:sysClr val="window" lastClr="FFFFFF"/>
                              </a:solidFill>
                              <a:ln w="12700" cap="flat" cmpd="sng" algn="ctr">
                                <a:solidFill>
                                  <a:srgbClr val="70AD47"/>
                                </a:solidFill>
                                <a:prstDash val="solid"/>
                                <a:miter lim="800000"/>
                              </a:ln>
                              <a:effectLst/>
                            </wps:spPr>
                            <wps:txbx>
                              <w:txbxContent>
                                <w:p w14:paraId="0073B33B" w14:textId="77777777" w:rsidR="004F5D57" w:rsidRPr="00533B67" w:rsidRDefault="004F5D57" w:rsidP="00CD6352">
                                  <w:pPr>
                                    <w:jc w:val="center"/>
                                    <w:rPr>
                                      <w:rFonts w:ascii="Arial" w:hAnsi="Arial" w:cs="Arial"/>
                                      <w:sz w:val="16"/>
                                      <w:szCs w:val="16"/>
                                    </w:rPr>
                                  </w:pPr>
                                  <w:permStart w:id="1971943274" w:edGrp="everyone"/>
                                  <w:r>
                                    <w:rPr>
                                      <w:rFonts w:ascii="Arial" w:hAnsi="Arial" w:cs="Arial"/>
                                      <w:sz w:val="16"/>
                                      <w:szCs w:val="16"/>
                                    </w:rPr>
                                    <w:t>Financiers</w:t>
                                  </w:r>
                                  <w:permEnd w:id="19719432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FC5B" id="Rectangle 89" o:spid="_x0000_s1071" style="position:absolute;margin-left:-.7pt;margin-top:-.5pt;width:86.8pt;height:2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" fillcolor="window" strokecolor="#70ad47" strokeweight="1pt">
                      <v:textbox>
                        <w:txbxContent>
                          <w:p w14:paraId="0073B33B" w14:textId="77777777" w:rsidR="004F5D57" w:rsidRPr="00533B67" w:rsidRDefault="004F5D57" w:rsidP="00CD6352">
                            <w:pPr>
                              <w:jc w:val="center"/>
                              <w:rPr>
                                <w:rFonts w:ascii="Arial" w:hAnsi="Arial" w:cs="Arial"/>
                                <w:sz w:val="16"/>
                                <w:szCs w:val="16"/>
                              </w:rPr>
                            </w:pPr>
                            <w:permStart w:id="1971943274" w:edGrp="everyone"/>
                            <w:r>
                              <w:rPr>
                                <w:rFonts w:ascii="Arial" w:hAnsi="Arial" w:cs="Arial"/>
                                <w:sz w:val="16"/>
                                <w:szCs w:val="16"/>
                              </w:rPr>
                              <w:t>Financiers</w:t>
                            </w:r>
                            <w:permEnd w:id="1971943274"/>
                          </w:p>
                        </w:txbxContent>
                      </v:textbox>
                    </v:rect>
                  </w:pict>
                </mc:Fallback>
              </mc:AlternateContent>
            </w:r>
          </w:p>
          <w:p w14:paraId="37444595"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53472" behindDoc="0" locked="0" layoutInCell="1" allowOverlap="1" wp14:anchorId="5930115C" wp14:editId="2416D715">
                      <wp:simplePos x="0" y="0"/>
                      <wp:positionH relativeFrom="column">
                        <wp:posOffset>3087334</wp:posOffset>
                      </wp:positionH>
                      <wp:positionV relativeFrom="paragraph">
                        <wp:posOffset>134678</wp:posOffset>
                      </wp:positionV>
                      <wp:extent cx="114514" cy="236042"/>
                      <wp:effectExtent l="19050" t="0" r="38100" b="31115"/>
                      <wp:wrapNone/>
                      <wp:docPr id="129" name="Arrow: Down 129"/>
                      <wp:cNvGraphicFramePr/>
                      <a:graphic xmlns:a="http://schemas.openxmlformats.org/drawingml/2006/main">
                        <a:graphicData uri="http://schemas.microsoft.com/office/word/2010/wordprocessingShape">
                          <wps:wsp>
                            <wps:cNvSpPr/>
                            <wps:spPr>
                              <a:xfrm flipH="1">
                                <a:off x="0" y="0"/>
                                <a:ext cx="114514" cy="236042"/>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4DBD" id="Arrow: Down 129" o:spid="_x0000_s1026" type="#_x0000_t67" style="position:absolute;margin-left:243.1pt;margin-top:10.6pt;width:9pt;height:18.6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" adj="1636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52448" behindDoc="0" locked="0" layoutInCell="1" allowOverlap="1" wp14:anchorId="1B46003F" wp14:editId="67842C87">
                      <wp:simplePos x="0" y="0"/>
                      <wp:positionH relativeFrom="column">
                        <wp:posOffset>1751686</wp:posOffset>
                      </wp:positionH>
                      <wp:positionV relativeFrom="paragraph">
                        <wp:posOffset>93495</wp:posOffset>
                      </wp:positionV>
                      <wp:extent cx="155611" cy="88850"/>
                      <wp:effectExtent l="38100" t="0" r="15875" b="45085"/>
                      <wp:wrapNone/>
                      <wp:docPr id="128" name="Arrow: Down 128"/>
                      <wp:cNvGraphicFramePr/>
                      <a:graphic xmlns:a="http://schemas.openxmlformats.org/drawingml/2006/main">
                        <a:graphicData uri="http://schemas.microsoft.com/office/word/2010/wordprocessingShape">
                          <wps:wsp>
                            <wps:cNvSpPr/>
                            <wps:spPr>
                              <a:xfrm flipH="1">
                                <a:off x="0" y="0"/>
                                <a:ext cx="155611" cy="8885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B794" id="Arrow: Down 128" o:spid="_x0000_s1026" type="#_x0000_t67" style="position:absolute;margin-left:137.95pt;margin-top:7.35pt;width:12.25pt;height:7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" adj="10800"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49376" behindDoc="0" locked="0" layoutInCell="1" allowOverlap="1" wp14:anchorId="54AD275C" wp14:editId="11CBD8FB">
                      <wp:simplePos x="0" y="0"/>
                      <wp:positionH relativeFrom="column">
                        <wp:posOffset>421240</wp:posOffset>
                      </wp:positionH>
                      <wp:positionV relativeFrom="paragraph">
                        <wp:posOffset>105246</wp:posOffset>
                      </wp:positionV>
                      <wp:extent cx="144373" cy="151058"/>
                      <wp:effectExtent l="19050" t="0" r="27305" b="40005"/>
                      <wp:wrapNone/>
                      <wp:docPr id="125" name="Arrow: Down 125"/>
                      <wp:cNvGraphicFramePr/>
                      <a:graphic xmlns:a="http://schemas.openxmlformats.org/drawingml/2006/main">
                        <a:graphicData uri="http://schemas.microsoft.com/office/word/2010/wordprocessingShape">
                          <wps:wsp>
                            <wps:cNvSpPr/>
                            <wps:spPr>
                              <a:xfrm flipH="1">
                                <a:off x="0" y="0"/>
                                <a:ext cx="144373" cy="15105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0EAD" id="Arrow: Down 125" o:spid="_x0000_s1026" type="#_x0000_t67" style="position:absolute;margin-left:33.15pt;margin-top:8.3pt;width:11.35pt;height:11.9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" adj="11278" fillcolor="window" strokecolor="#70ad47" strokeweight="1pt"/>
                  </w:pict>
                </mc:Fallback>
              </mc:AlternateContent>
            </w:r>
          </w:p>
          <w:p w14:paraId="512E23D8"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695104" behindDoc="0" locked="0" layoutInCell="1" allowOverlap="1" wp14:anchorId="544FBF84" wp14:editId="12731CD9">
                      <wp:simplePos x="0" y="0"/>
                      <wp:positionH relativeFrom="column">
                        <wp:posOffset>-9541</wp:posOffset>
                      </wp:positionH>
                      <wp:positionV relativeFrom="paragraph">
                        <wp:posOffset>148871</wp:posOffset>
                      </wp:positionV>
                      <wp:extent cx="1102360" cy="347241"/>
                      <wp:effectExtent l="0" t="0" r="21590" b="15240"/>
                      <wp:wrapNone/>
                      <wp:docPr id="90" name="Rectangle 90"/>
                      <wp:cNvGraphicFramePr/>
                      <a:graphic xmlns:a="http://schemas.openxmlformats.org/drawingml/2006/main">
                        <a:graphicData uri="http://schemas.microsoft.com/office/word/2010/wordprocessingShape">
                          <wps:wsp>
                            <wps:cNvSpPr/>
                            <wps:spPr>
                              <a:xfrm>
                                <a:off x="0" y="0"/>
                                <a:ext cx="1102360" cy="347241"/>
                              </a:xfrm>
                              <a:prstGeom prst="rect">
                                <a:avLst/>
                              </a:prstGeom>
                              <a:solidFill>
                                <a:sysClr val="window" lastClr="FFFFFF"/>
                              </a:solidFill>
                              <a:ln w="12700" cap="flat" cmpd="sng" algn="ctr">
                                <a:solidFill>
                                  <a:srgbClr val="70AD47"/>
                                </a:solidFill>
                                <a:prstDash val="solid"/>
                                <a:miter lim="800000"/>
                              </a:ln>
                              <a:effectLst/>
                            </wps:spPr>
                            <wps:txbx>
                              <w:txbxContent>
                                <w:p w14:paraId="7807631B" w14:textId="48369768" w:rsidR="004F5D57" w:rsidRPr="00533B67" w:rsidRDefault="004F5D57" w:rsidP="00CD6352">
                                  <w:pPr>
                                    <w:jc w:val="center"/>
                                    <w:rPr>
                                      <w:rFonts w:ascii="Arial" w:hAnsi="Arial" w:cs="Arial"/>
                                      <w:sz w:val="16"/>
                                      <w:szCs w:val="16"/>
                                    </w:rPr>
                                  </w:pPr>
                                  <w:permStart w:id="1316248043" w:edGrp="everyone"/>
                                  <w:r>
                                    <w:rPr>
                                      <w:rFonts w:ascii="Arial" w:hAnsi="Arial" w:cs="Arial"/>
                                      <w:sz w:val="16"/>
                                      <w:szCs w:val="16"/>
                                    </w:rPr>
                                    <w:t>Evaluate choices of financiers.</w:t>
                                  </w:r>
                                  <w:permEnd w:id="13162480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FBF84" id="Rectangle 90" o:spid="_x0000_s1072" style="position:absolute;margin-left:-.75pt;margin-top:11.7pt;width:86.8pt;height:2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" fillcolor="window" strokecolor="#70ad47" strokeweight="1pt">
                      <v:textbox>
                        <w:txbxContent>
                          <w:p w14:paraId="7807631B" w14:textId="48369768" w:rsidR="004F5D57" w:rsidRPr="00533B67" w:rsidRDefault="004F5D57" w:rsidP="00CD6352">
                            <w:pPr>
                              <w:jc w:val="center"/>
                              <w:rPr>
                                <w:rFonts w:ascii="Arial" w:hAnsi="Arial" w:cs="Arial"/>
                                <w:sz w:val="16"/>
                                <w:szCs w:val="16"/>
                              </w:rPr>
                            </w:pPr>
                            <w:permStart w:id="1316248043" w:edGrp="everyone"/>
                            <w:r>
                              <w:rPr>
                                <w:rFonts w:ascii="Arial" w:hAnsi="Arial" w:cs="Arial"/>
                                <w:sz w:val="16"/>
                                <w:szCs w:val="16"/>
                              </w:rPr>
                              <w:t>Evaluate choices of financiers.</w:t>
                            </w:r>
                            <w:permEnd w:id="1316248043"/>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698176" behindDoc="0" locked="0" layoutInCell="1" allowOverlap="1" wp14:anchorId="652667E7" wp14:editId="0D6CF62B">
                      <wp:simplePos x="0" y="0"/>
                      <wp:positionH relativeFrom="column">
                        <wp:posOffset>1371114</wp:posOffset>
                      </wp:positionH>
                      <wp:positionV relativeFrom="paragraph">
                        <wp:posOffset>33394</wp:posOffset>
                      </wp:positionV>
                      <wp:extent cx="1001486" cy="365760"/>
                      <wp:effectExtent l="0" t="0" r="27305" b="15240"/>
                      <wp:wrapNone/>
                      <wp:docPr id="96" name="Rectangle 96"/>
                      <wp:cNvGraphicFramePr/>
                      <a:graphic xmlns:a="http://schemas.openxmlformats.org/drawingml/2006/main">
                        <a:graphicData uri="http://schemas.microsoft.com/office/word/2010/wordprocessingShape">
                          <wps:wsp>
                            <wps:cNvSpPr/>
                            <wps:spPr>
                              <a:xfrm>
                                <a:off x="0" y="0"/>
                                <a:ext cx="1001486" cy="365760"/>
                              </a:xfrm>
                              <a:prstGeom prst="rect">
                                <a:avLst/>
                              </a:prstGeom>
                              <a:solidFill>
                                <a:sysClr val="window" lastClr="FFFFFF"/>
                              </a:solidFill>
                              <a:ln w="12700" cap="flat" cmpd="sng" algn="ctr">
                                <a:solidFill>
                                  <a:srgbClr val="70AD47"/>
                                </a:solidFill>
                                <a:prstDash val="solid"/>
                                <a:miter lim="800000"/>
                              </a:ln>
                              <a:effectLst/>
                            </wps:spPr>
                            <wps:txbx>
                              <w:txbxContent>
                                <w:p w14:paraId="07ADD30C" w14:textId="77777777" w:rsidR="004F5D57" w:rsidRPr="00533B67" w:rsidRDefault="004F5D57" w:rsidP="00CD6352">
                                  <w:pPr>
                                    <w:jc w:val="center"/>
                                    <w:rPr>
                                      <w:rFonts w:ascii="Arial" w:hAnsi="Arial" w:cs="Arial"/>
                                      <w:sz w:val="16"/>
                                      <w:szCs w:val="16"/>
                                    </w:rPr>
                                  </w:pPr>
                                  <w:permStart w:id="961379170" w:edGrp="everyone"/>
                                  <w:r>
                                    <w:rPr>
                                      <w:rFonts w:ascii="Arial" w:hAnsi="Arial" w:cs="Arial"/>
                                      <w:sz w:val="16"/>
                                      <w:szCs w:val="16"/>
                                    </w:rPr>
                                    <w:t>Debt &amp; /or equity finance</w:t>
                                  </w:r>
                                  <w:permEnd w:id="9613791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67E7" id="Rectangle 96" o:spid="_x0000_s1073" style="position:absolute;margin-left:107.95pt;margin-top:2.65pt;width:78.85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" fillcolor="window" strokecolor="#70ad47" strokeweight="1pt">
                      <v:textbox>
                        <w:txbxContent>
                          <w:p w14:paraId="07ADD30C" w14:textId="77777777" w:rsidR="004F5D57" w:rsidRPr="00533B67" w:rsidRDefault="004F5D57" w:rsidP="00CD6352">
                            <w:pPr>
                              <w:jc w:val="center"/>
                              <w:rPr>
                                <w:rFonts w:ascii="Arial" w:hAnsi="Arial" w:cs="Arial"/>
                                <w:sz w:val="16"/>
                                <w:szCs w:val="16"/>
                              </w:rPr>
                            </w:pPr>
                            <w:permStart w:id="961379170" w:edGrp="everyone"/>
                            <w:r>
                              <w:rPr>
                                <w:rFonts w:ascii="Arial" w:hAnsi="Arial" w:cs="Arial"/>
                                <w:sz w:val="16"/>
                                <w:szCs w:val="16"/>
                              </w:rPr>
                              <w:t>Debt &amp; /or equity finance</w:t>
                            </w:r>
                            <w:permEnd w:id="961379170"/>
                          </w:p>
                        </w:txbxContent>
                      </v:textbox>
                    </v:rect>
                  </w:pict>
                </mc:Fallback>
              </mc:AlternateContent>
            </w:r>
          </w:p>
          <w:p w14:paraId="7221F094"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00224" behindDoc="0" locked="0" layoutInCell="1" allowOverlap="1" wp14:anchorId="282C7CA8" wp14:editId="4DB6F2E0">
                      <wp:simplePos x="0" y="0"/>
                      <wp:positionH relativeFrom="column">
                        <wp:posOffset>2698416</wp:posOffset>
                      </wp:positionH>
                      <wp:positionV relativeFrom="paragraph">
                        <wp:posOffset>39399</wp:posOffset>
                      </wp:positionV>
                      <wp:extent cx="948740" cy="226031"/>
                      <wp:effectExtent l="0" t="0" r="22860" b="22225"/>
                      <wp:wrapNone/>
                      <wp:docPr id="99" name="Rectangle 99"/>
                      <wp:cNvGraphicFramePr/>
                      <a:graphic xmlns:a="http://schemas.openxmlformats.org/drawingml/2006/main">
                        <a:graphicData uri="http://schemas.microsoft.com/office/word/2010/wordprocessingShape">
                          <wps:wsp>
                            <wps:cNvSpPr/>
                            <wps:spPr>
                              <a:xfrm>
                                <a:off x="0" y="0"/>
                                <a:ext cx="948740" cy="226031"/>
                              </a:xfrm>
                              <a:prstGeom prst="rect">
                                <a:avLst/>
                              </a:prstGeom>
                              <a:solidFill>
                                <a:sysClr val="window" lastClr="FFFFFF"/>
                              </a:solidFill>
                              <a:ln w="12700" cap="flat" cmpd="sng" algn="ctr">
                                <a:solidFill>
                                  <a:srgbClr val="70AD47"/>
                                </a:solidFill>
                                <a:prstDash val="solid"/>
                                <a:miter lim="800000"/>
                              </a:ln>
                              <a:effectLst/>
                            </wps:spPr>
                            <wps:txbx>
                              <w:txbxContent>
                                <w:p w14:paraId="5EC65A56" w14:textId="77777777" w:rsidR="004F5D57" w:rsidRPr="00533B67" w:rsidRDefault="004F5D57" w:rsidP="00CD6352">
                                  <w:pPr>
                                    <w:jc w:val="center"/>
                                    <w:rPr>
                                      <w:rFonts w:ascii="Arial" w:hAnsi="Arial" w:cs="Arial"/>
                                      <w:sz w:val="16"/>
                                      <w:szCs w:val="16"/>
                                    </w:rPr>
                                  </w:pPr>
                                  <w:permStart w:id="364736860" w:edGrp="everyone"/>
                                  <w:r>
                                    <w:rPr>
                                      <w:rFonts w:ascii="Arial" w:hAnsi="Arial" w:cs="Arial"/>
                                      <w:sz w:val="16"/>
                                      <w:szCs w:val="16"/>
                                    </w:rPr>
                                    <w:t>Close deal</w:t>
                                  </w:r>
                                  <w:permEnd w:id="3647368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C7CA8" id="Rectangle 99" o:spid="_x0000_s1074" style="position:absolute;margin-left:212.45pt;margin-top:3.1pt;width:74.7pt;height:1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" fillcolor="window" strokecolor="#70ad47" strokeweight="1pt">
                      <v:textbox>
                        <w:txbxContent>
                          <w:p w14:paraId="5EC65A56" w14:textId="77777777" w:rsidR="004F5D57" w:rsidRPr="00533B67" w:rsidRDefault="004F5D57" w:rsidP="00CD6352">
                            <w:pPr>
                              <w:jc w:val="center"/>
                              <w:rPr>
                                <w:rFonts w:ascii="Arial" w:hAnsi="Arial" w:cs="Arial"/>
                                <w:sz w:val="16"/>
                                <w:szCs w:val="16"/>
                              </w:rPr>
                            </w:pPr>
                            <w:permStart w:id="364736860" w:edGrp="everyone"/>
                            <w:r>
                              <w:rPr>
                                <w:rFonts w:ascii="Arial" w:hAnsi="Arial" w:cs="Arial"/>
                                <w:sz w:val="16"/>
                                <w:szCs w:val="16"/>
                              </w:rPr>
                              <w:t>Close deal</w:t>
                            </w:r>
                            <w:permEnd w:id="364736860"/>
                          </w:p>
                        </w:txbxContent>
                      </v:textbox>
                    </v:rect>
                  </w:pict>
                </mc:Fallback>
              </mc:AlternateContent>
            </w:r>
          </w:p>
          <w:p w14:paraId="1B17592D"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51424" behindDoc="0" locked="0" layoutInCell="1" allowOverlap="1" wp14:anchorId="7E905DE7" wp14:editId="036F61A8">
                      <wp:simplePos x="0" y="0"/>
                      <wp:positionH relativeFrom="column">
                        <wp:posOffset>1772242</wp:posOffset>
                      </wp:positionH>
                      <wp:positionV relativeFrom="paragraph">
                        <wp:posOffset>104775</wp:posOffset>
                      </wp:positionV>
                      <wp:extent cx="124788" cy="82193"/>
                      <wp:effectExtent l="38100" t="0" r="46990" b="32385"/>
                      <wp:wrapNone/>
                      <wp:docPr id="127" name="Arrow: Down 127"/>
                      <wp:cNvGraphicFramePr/>
                      <a:graphic xmlns:a="http://schemas.openxmlformats.org/drawingml/2006/main">
                        <a:graphicData uri="http://schemas.microsoft.com/office/word/2010/wordprocessingShape">
                          <wps:wsp>
                            <wps:cNvSpPr/>
                            <wps:spPr>
                              <a:xfrm flipH="1">
                                <a:off x="0" y="0"/>
                                <a:ext cx="124788" cy="82193"/>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4638" id="Arrow: Down 127" o:spid="_x0000_s1026" type="#_x0000_t67" style="position:absolute;margin-left:139.55pt;margin-top:8.25pt;width:9.85pt;height:6.4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" adj="10800" fillcolor="window" strokecolor="#70ad47" strokeweight="1pt"/>
                  </w:pict>
                </mc:Fallback>
              </mc:AlternateContent>
            </w:r>
          </w:p>
          <w:p w14:paraId="69C4CD1D" w14:textId="77777777" w:rsidR="00CD6352" w:rsidRPr="00C52D0D" w:rsidRDefault="00CD6352" w:rsidP="00CD6352">
            <w:pPr>
              <w:rPr>
                <w:rFonts w:ascii="Arial" w:hAnsi="Arial" w:cs="Arial"/>
                <w:sz w:val="16"/>
                <w:szCs w:val="16"/>
              </w:rPr>
            </w:pPr>
            <w:r w:rsidRPr="00C52D0D">
              <w:rPr>
                <w:rFonts w:ascii="Arial" w:hAnsi="Arial" w:cs="Arial"/>
                <w:noProof/>
                <w:sz w:val="16"/>
                <w:szCs w:val="16"/>
              </w:rPr>
              <mc:AlternateContent>
                <mc:Choice Requires="wps">
                  <w:drawing>
                    <wp:anchor distT="0" distB="0" distL="114300" distR="114300" simplePos="0" relativeHeight="251707392" behindDoc="0" locked="0" layoutInCell="1" allowOverlap="1" wp14:anchorId="63020B86" wp14:editId="6080F4EF">
                      <wp:simplePos x="0" y="0"/>
                      <wp:positionH relativeFrom="column">
                        <wp:posOffset>1352500</wp:posOffset>
                      </wp:positionH>
                      <wp:positionV relativeFrom="paragraph">
                        <wp:posOffset>26313</wp:posOffset>
                      </wp:positionV>
                      <wp:extent cx="1021943" cy="375920"/>
                      <wp:effectExtent l="0" t="0" r="26035" b="24130"/>
                      <wp:wrapNone/>
                      <wp:docPr id="95" name="Rectangle 95"/>
                      <wp:cNvGraphicFramePr/>
                      <a:graphic xmlns:a="http://schemas.openxmlformats.org/drawingml/2006/main">
                        <a:graphicData uri="http://schemas.microsoft.com/office/word/2010/wordprocessingShape">
                          <wps:wsp>
                            <wps:cNvSpPr/>
                            <wps:spPr>
                              <a:xfrm>
                                <a:off x="0" y="0"/>
                                <a:ext cx="1021943" cy="375920"/>
                              </a:xfrm>
                              <a:prstGeom prst="rect">
                                <a:avLst/>
                              </a:prstGeom>
                              <a:solidFill>
                                <a:sysClr val="window" lastClr="FFFFFF"/>
                              </a:solidFill>
                              <a:ln w="12700" cap="flat" cmpd="sng" algn="ctr">
                                <a:solidFill>
                                  <a:srgbClr val="70AD47"/>
                                </a:solidFill>
                                <a:prstDash val="solid"/>
                                <a:miter lim="800000"/>
                              </a:ln>
                              <a:effectLst/>
                            </wps:spPr>
                            <wps:txbx>
                              <w:txbxContent>
                                <w:p w14:paraId="47F38FCA" w14:textId="77777777" w:rsidR="004F5D57" w:rsidRPr="00CC7261" w:rsidRDefault="004F5D57" w:rsidP="00CD6352">
                                  <w:pPr>
                                    <w:jc w:val="center"/>
                                    <w:rPr>
                                      <w:rFonts w:ascii="Arial" w:hAnsi="Arial" w:cs="Arial"/>
                                      <w:sz w:val="16"/>
                                      <w:szCs w:val="16"/>
                                    </w:rPr>
                                  </w:pPr>
                                  <w:permStart w:id="2039364160" w:edGrp="everyone"/>
                                  <w:r>
                                    <w:rPr>
                                      <w:rFonts w:ascii="Arial" w:hAnsi="Arial" w:cs="Arial"/>
                                      <w:sz w:val="16"/>
                                      <w:szCs w:val="16"/>
                                    </w:rPr>
                                    <w:t>Public or private source of finance</w:t>
                                  </w:r>
                                  <w:permEnd w:id="20393641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0B86" id="Rectangle 95" o:spid="_x0000_s1075" style="position:absolute;margin-left:106.5pt;margin-top:2.05pt;width:80.45pt;height:2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" fillcolor="window" strokecolor="#70ad47" strokeweight="1pt">
                      <v:textbox>
                        <w:txbxContent>
                          <w:p w14:paraId="47F38FCA" w14:textId="77777777" w:rsidR="004F5D57" w:rsidRPr="00CC7261" w:rsidRDefault="004F5D57" w:rsidP="00CD6352">
                            <w:pPr>
                              <w:jc w:val="center"/>
                              <w:rPr>
                                <w:rFonts w:ascii="Arial" w:hAnsi="Arial" w:cs="Arial"/>
                                <w:sz w:val="16"/>
                                <w:szCs w:val="16"/>
                              </w:rPr>
                            </w:pPr>
                            <w:permStart w:id="2039364160" w:edGrp="everyone"/>
                            <w:r>
                              <w:rPr>
                                <w:rFonts w:ascii="Arial" w:hAnsi="Arial" w:cs="Arial"/>
                                <w:sz w:val="16"/>
                                <w:szCs w:val="16"/>
                              </w:rPr>
                              <w:t>Public or private source of finance</w:t>
                            </w:r>
                            <w:permEnd w:id="2039364160"/>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50400" behindDoc="0" locked="0" layoutInCell="1" allowOverlap="1" wp14:anchorId="4E416C2F" wp14:editId="3EE02E7A">
                      <wp:simplePos x="0" y="0"/>
                      <wp:positionH relativeFrom="column">
                        <wp:posOffset>431515</wp:posOffset>
                      </wp:positionH>
                      <wp:positionV relativeFrom="paragraph">
                        <wp:posOffset>12822</wp:posOffset>
                      </wp:positionV>
                      <wp:extent cx="144373" cy="151058"/>
                      <wp:effectExtent l="19050" t="0" r="27305" b="40005"/>
                      <wp:wrapNone/>
                      <wp:docPr id="126" name="Arrow: Down 126"/>
                      <wp:cNvGraphicFramePr/>
                      <a:graphic xmlns:a="http://schemas.openxmlformats.org/drawingml/2006/main">
                        <a:graphicData uri="http://schemas.microsoft.com/office/word/2010/wordprocessingShape">
                          <wps:wsp>
                            <wps:cNvSpPr/>
                            <wps:spPr>
                              <a:xfrm flipH="1">
                                <a:off x="0" y="0"/>
                                <a:ext cx="144373" cy="15105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A5D62" id="Arrow: Down 126" o:spid="_x0000_s1026" type="#_x0000_t67" style="position:absolute;margin-left:34pt;margin-top:1pt;width:11.35pt;height:11.9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" adj="11278"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696128" behindDoc="0" locked="0" layoutInCell="1" allowOverlap="1" wp14:anchorId="3963CB46" wp14:editId="447A04CF">
                      <wp:simplePos x="0" y="0"/>
                      <wp:positionH relativeFrom="column">
                        <wp:posOffset>-20465</wp:posOffset>
                      </wp:positionH>
                      <wp:positionV relativeFrom="paragraph">
                        <wp:posOffset>135690</wp:posOffset>
                      </wp:positionV>
                      <wp:extent cx="1102360" cy="268942"/>
                      <wp:effectExtent l="0" t="0" r="21590" b="17145"/>
                      <wp:wrapNone/>
                      <wp:docPr id="91" name="Rectangle 91"/>
                      <wp:cNvGraphicFramePr/>
                      <a:graphic xmlns:a="http://schemas.openxmlformats.org/drawingml/2006/main">
                        <a:graphicData uri="http://schemas.microsoft.com/office/word/2010/wordprocessingShape">
                          <wps:wsp>
                            <wps:cNvSpPr/>
                            <wps:spPr>
                              <a:xfrm>
                                <a:off x="0" y="0"/>
                                <a:ext cx="1102360" cy="268942"/>
                              </a:xfrm>
                              <a:prstGeom prst="rect">
                                <a:avLst/>
                              </a:prstGeom>
                              <a:solidFill>
                                <a:sysClr val="window" lastClr="FFFFFF"/>
                              </a:solidFill>
                              <a:ln w="12700" cap="flat" cmpd="sng" algn="ctr">
                                <a:solidFill>
                                  <a:srgbClr val="70AD47"/>
                                </a:solidFill>
                                <a:prstDash val="solid"/>
                                <a:miter lim="800000"/>
                              </a:ln>
                              <a:effectLst/>
                            </wps:spPr>
                            <wps:txbx>
                              <w:txbxContent>
                                <w:p w14:paraId="5FF9E872" w14:textId="77777777" w:rsidR="004F5D57" w:rsidRPr="00533B67" w:rsidRDefault="004F5D57" w:rsidP="00CD6352">
                                  <w:pPr>
                                    <w:jc w:val="center"/>
                                    <w:rPr>
                                      <w:rFonts w:ascii="Arial" w:hAnsi="Arial" w:cs="Arial"/>
                                      <w:sz w:val="16"/>
                                      <w:szCs w:val="16"/>
                                    </w:rPr>
                                  </w:pPr>
                                  <w:permStart w:id="329058424" w:edGrp="everyone"/>
                                  <w:r>
                                    <w:rPr>
                                      <w:rFonts w:ascii="Arial" w:hAnsi="Arial" w:cs="Arial"/>
                                      <w:sz w:val="16"/>
                                      <w:szCs w:val="16"/>
                                    </w:rPr>
                                    <w:t>Negotiate</w:t>
                                  </w:r>
                                  <w:permEnd w:id="3290584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3CB46" id="Rectangle 91" o:spid="_x0000_s1076" style="position:absolute;margin-left:-1.6pt;margin-top:10.7pt;width:86.8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" fillcolor="window" strokecolor="#70ad47" strokeweight="1pt">
                      <v:textbox>
                        <w:txbxContent>
                          <w:p w14:paraId="5FF9E872" w14:textId="77777777" w:rsidR="004F5D57" w:rsidRPr="00533B67" w:rsidRDefault="004F5D57" w:rsidP="00CD6352">
                            <w:pPr>
                              <w:jc w:val="center"/>
                              <w:rPr>
                                <w:rFonts w:ascii="Arial" w:hAnsi="Arial" w:cs="Arial"/>
                                <w:sz w:val="16"/>
                                <w:szCs w:val="16"/>
                              </w:rPr>
                            </w:pPr>
                            <w:permStart w:id="329058424" w:edGrp="everyone"/>
                            <w:r>
                              <w:rPr>
                                <w:rFonts w:ascii="Arial" w:hAnsi="Arial" w:cs="Arial"/>
                                <w:sz w:val="16"/>
                                <w:szCs w:val="16"/>
                              </w:rPr>
                              <w:t>Negotiate</w:t>
                            </w:r>
                            <w:permEnd w:id="329058424"/>
                          </w:p>
                        </w:txbxContent>
                      </v:textbox>
                    </v:rect>
                  </w:pict>
                </mc:Fallback>
              </mc:AlternateContent>
            </w:r>
          </w:p>
          <w:p w14:paraId="3DFDD376" w14:textId="77777777" w:rsidR="00CD6352" w:rsidRPr="00C52D0D" w:rsidRDefault="00CD6352" w:rsidP="00CD6352">
            <w:pPr>
              <w:rPr>
                <w:rFonts w:ascii="Arial" w:hAnsi="Arial" w:cs="Arial"/>
                <w:sz w:val="16"/>
                <w:szCs w:val="16"/>
              </w:rPr>
            </w:pPr>
          </w:p>
          <w:p w14:paraId="4DA62E5B" w14:textId="77777777" w:rsidR="00CD6352" w:rsidRPr="00C52D0D" w:rsidRDefault="00CD6352" w:rsidP="00CD6352">
            <w:pPr>
              <w:rPr>
                <w:rFonts w:ascii="Arial" w:hAnsi="Arial" w:cs="Arial"/>
                <w:sz w:val="16"/>
                <w:szCs w:val="16"/>
              </w:rPr>
            </w:pPr>
          </w:p>
          <w:p w14:paraId="7B4D46C0" w14:textId="77777777" w:rsidR="00CD6352" w:rsidRPr="00C52D0D" w:rsidRDefault="00CD6352" w:rsidP="00CD6352">
            <w:pPr>
              <w:rPr>
                <w:rFonts w:ascii="Arial" w:hAnsi="Arial" w:cs="Arial"/>
                <w:sz w:val="16"/>
                <w:szCs w:val="16"/>
              </w:rPr>
            </w:pPr>
          </w:p>
        </w:tc>
      </w:tr>
      <w:tr w:rsidR="00CD6352" w:rsidRPr="00C52D0D" w14:paraId="28B08E58" w14:textId="77777777" w:rsidTr="000220D5">
        <w:trPr>
          <w:cantSplit/>
          <w:trHeight w:val="1134"/>
        </w:trPr>
        <w:tc>
          <w:tcPr>
            <w:tcW w:w="846" w:type="dxa"/>
          </w:tcPr>
          <w:p w14:paraId="4282EE90" w14:textId="77777777" w:rsidR="00CD6352" w:rsidRPr="00C52D0D" w:rsidRDefault="00CD6352" w:rsidP="00CD6352">
            <w:pPr>
              <w:rPr>
                <w:rFonts w:ascii="Arial" w:hAnsi="Arial" w:cs="Arial"/>
                <w:sz w:val="16"/>
                <w:szCs w:val="16"/>
              </w:rPr>
            </w:pPr>
            <w:r w:rsidRPr="00C52D0D">
              <w:rPr>
                <w:rFonts w:ascii="Arial" w:hAnsi="Arial" w:cs="Arial"/>
                <w:sz w:val="16"/>
                <w:szCs w:val="16"/>
              </w:rPr>
              <w:t>Stage 4</w:t>
            </w:r>
          </w:p>
        </w:tc>
        <w:tc>
          <w:tcPr>
            <w:tcW w:w="1476" w:type="dxa"/>
          </w:tcPr>
          <w:p w14:paraId="3406CFB2" w14:textId="77777777" w:rsidR="00CD6352" w:rsidRPr="00C52D0D" w:rsidRDefault="00CD6352" w:rsidP="000220D5">
            <w:pPr>
              <w:rPr>
                <w:rFonts w:ascii="Arial" w:hAnsi="Arial" w:cs="Arial"/>
                <w:sz w:val="16"/>
                <w:szCs w:val="16"/>
              </w:rPr>
            </w:pPr>
            <w:r w:rsidRPr="00C52D0D">
              <w:rPr>
                <w:rFonts w:ascii="Arial" w:hAnsi="Arial" w:cs="Arial"/>
                <w:sz w:val="16"/>
                <w:szCs w:val="16"/>
              </w:rPr>
              <w:t xml:space="preserve">Feedbacks </w:t>
            </w:r>
          </w:p>
        </w:tc>
        <w:tc>
          <w:tcPr>
            <w:tcW w:w="6694" w:type="dxa"/>
            <w:gridSpan w:val="4"/>
          </w:tcPr>
          <w:p w14:paraId="045AC126" w14:textId="77777777" w:rsidR="00CD6352" w:rsidRPr="00C52D0D" w:rsidRDefault="00CD6352" w:rsidP="00CD6352">
            <w:pPr>
              <w:rPr>
                <w:rFonts w:ascii="Arial" w:hAnsi="Arial" w:cs="Arial"/>
                <w:noProof/>
                <w:sz w:val="16"/>
                <w:szCs w:val="16"/>
              </w:rPr>
            </w:pPr>
            <w:r w:rsidRPr="00C52D0D">
              <w:rPr>
                <w:rFonts w:ascii="Arial" w:hAnsi="Arial" w:cs="Arial"/>
                <w:noProof/>
                <w:sz w:val="16"/>
                <w:szCs w:val="16"/>
              </w:rPr>
              <mc:AlternateContent>
                <mc:Choice Requires="wps">
                  <w:drawing>
                    <wp:anchor distT="0" distB="0" distL="114300" distR="114300" simplePos="0" relativeHeight="251759616" behindDoc="0" locked="0" layoutInCell="1" allowOverlap="1" wp14:anchorId="181764E0" wp14:editId="54859986">
                      <wp:simplePos x="0" y="0"/>
                      <wp:positionH relativeFrom="column">
                        <wp:posOffset>2014292</wp:posOffset>
                      </wp:positionH>
                      <wp:positionV relativeFrom="paragraph">
                        <wp:posOffset>325891</wp:posOffset>
                      </wp:positionV>
                      <wp:extent cx="164173" cy="104240"/>
                      <wp:effectExtent l="0" t="19050" r="45720" b="29210"/>
                      <wp:wrapNone/>
                      <wp:docPr id="135" name="Arrow: Right 135"/>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CEA41" id="Arrow: Right 135" o:spid="_x0000_s1026" type="#_x0000_t13" style="position:absolute;margin-left:158.6pt;margin-top:25.65pt;width:12.95pt;height:8.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" adj="14743"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58592" behindDoc="0" locked="0" layoutInCell="1" allowOverlap="1" wp14:anchorId="245F93B5" wp14:editId="01B23B0F">
                      <wp:simplePos x="0" y="0"/>
                      <wp:positionH relativeFrom="column">
                        <wp:posOffset>904125</wp:posOffset>
                      </wp:positionH>
                      <wp:positionV relativeFrom="paragraph">
                        <wp:posOffset>315616</wp:posOffset>
                      </wp:positionV>
                      <wp:extent cx="164173" cy="104240"/>
                      <wp:effectExtent l="0" t="19050" r="45720" b="29210"/>
                      <wp:wrapNone/>
                      <wp:docPr id="134" name="Arrow: Right 134"/>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FFEA" id="Arrow: Right 134" o:spid="_x0000_s1026" type="#_x0000_t13" style="position:absolute;margin-left:71.2pt;margin-top:24.85pt;width:12.95pt;height: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" adj="14743" fillcolor="window" strokecolor="#70ad47" strokeweight="1pt"/>
                  </w:pict>
                </mc:Fallback>
              </mc:AlternateContent>
            </w:r>
            <w:r w:rsidRPr="00C52D0D">
              <w:rPr>
                <w:rFonts w:ascii="Arial" w:hAnsi="Arial" w:cs="Arial"/>
                <w:noProof/>
                <w:sz w:val="16"/>
                <w:szCs w:val="16"/>
              </w:rPr>
              <mc:AlternateContent>
                <mc:Choice Requires="wps">
                  <w:drawing>
                    <wp:anchor distT="0" distB="0" distL="114300" distR="114300" simplePos="0" relativeHeight="251704320" behindDoc="0" locked="0" layoutInCell="1" allowOverlap="1" wp14:anchorId="2D9059AF" wp14:editId="15CD6100">
                      <wp:simplePos x="0" y="0"/>
                      <wp:positionH relativeFrom="column">
                        <wp:posOffset>1075098</wp:posOffset>
                      </wp:positionH>
                      <wp:positionV relativeFrom="paragraph">
                        <wp:posOffset>117082</wp:posOffset>
                      </wp:positionV>
                      <wp:extent cx="914400" cy="472611"/>
                      <wp:effectExtent l="0" t="0" r="19050" b="22860"/>
                      <wp:wrapNone/>
                      <wp:docPr id="56" name="Rectangle 56"/>
                      <wp:cNvGraphicFramePr/>
                      <a:graphic xmlns:a="http://schemas.openxmlformats.org/drawingml/2006/main">
                        <a:graphicData uri="http://schemas.microsoft.com/office/word/2010/wordprocessingShape">
                          <wps:wsp>
                            <wps:cNvSpPr/>
                            <wps:spPr>
                              <a:xfrm>
                                <a:off x="0" y="0"/>
                                <a:ext cx="914400" cy="472611"/>
                              </a:xfrm>
                              <a:prstGeom prst="rect">
                                <a:avLst/>
                              </a:prstGeom>
                              <a:solidFill>
                                <a:sysClr val="window" lastClr="FFFFFF"/>
                              </a:solidFill>
                              <a:ln w="12700" cap="flat" cmpd="sng" algn="ctr">
                                <a:solidFill>
                                  <a:srgbClr val="70AD47"/>
                                </a:solidFill>
                                <a:prstDash val="solid"/>
                                <a:miter lim="800000"/>
                              </a:ln>
                              <a:effectLst/>
                            </wps:spPr>
                            <wps:txbx>
                              <w:txbxContent>
                                <w:p w14:paraId="5E001B78" w14:textId="709A0C9D" w:rsidR="004F5D57" w:rsidRPr="00533B67" w:rsidRDefault="004F5D57" w:rsidP="00CD6352">
                                  <w:pPr>
                                    <w:jc w:val="center"/>
                                    <w:rPr>
                                      <w:rFonts w:ascii="Arial" w:hAnsi="Arial" w:cs="Arial"/>
                                      <w:sz w:val="16"/>
                                      <w:szCs w:val="16"/>
                                    </w:rPr>
                                  </w:pPr>
                                  <w:permStart w:id="969352689" w:edGrp="everyone"/>
                                  <w:r>
                                    <w:rPr>
                                      <w:rFonts w:ascii="Arial" w:hAnsi="Arial" w:cs="Arial"/>
                                      <w:sz w:val="16"/>
                                      <w:szCs w:val="16"/>
                                    </w:rPr>
                                    <w:t>Pay-off deb/ pay dividends.</w:t>
                                  </w:r>
                                  <w:permEnd w:id="9693526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59AF" id="Rectangle 56" o:spid="_x0000_s1077" style="position:absolute;margin-left:84.65pt;margin-top:9.2pt;width:1in;height:3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" fillcolor="window" strokecolor="#70ad47" strokeweight="1pt">
                      <v:textbox>
                        <w:txbxContent>
                          <w:p w14:paraId="5E001B78" w14:textId="709A0C9D" w:rsidR="004F5D57" w:rsidRPr="00533B67" w:rsidRDefault="004F5D57" w:rsidP="00CD6352">
                            <w:pPr>
                              <w:jc w:val="center"/>
                              <w:rPr>
                                <w:rFonts w:ascii="Arial" w:hAnsi="Arial" w:cs="Arial"/>
                                <w:sz w:val="16"/>
                                <w:szCs w:val="16"/>
                              </w:rPr>
                            </w:pPr>
                            <w:permStart w:id="969352689" w:edGrp="everyone"/>
                            <w:r>
                              <w:rPr>
                                <w:rFonts w:ascii="Arial" w:hAnsi="Arial" w:cs="Arial"/>
                                <w:sz w:val="16"/>
                                <w:szCs w:val="16"/>
                              </w:rPr>
                              <w:t>Pay-off deb/ pay dividends.</w:t>
                            </w:r>
                            <w:permEnd w:id="969352689"/>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05344" behindDoc="0" locked="0" layoutInCell="1" allowOverlap="1" wp14:anchorId="030EFFFD" wp14:editId="717F4F38">
                      <wp:simplePos x="0" y="0"/>
                      <wp:positionH relativeFrom="column">
                        <wp:posOffset>2177938</wp:posOffset>
                      </wp:positionH>
                      <wp:positionV relativeFrom="paragraph">
                        <wp:posOffset>125655</wp:posOffset>
                      </wp:positionV>
                      <wp:extent cx="914400" cy="559398"/>
                      <wp:effectExtent l="0" t="0" r="19050" b="12700"/>
                      <wp:wrapNone/>
                      <wp:docPr id="59" name="Rectangle 59"/>
                      <wp:cNvGraphicFramePr/>
                      <a:graphic xmlns:a="http://schemas.openxmlformats.org/drawingml/2006/main">
                        <a:graphicData uri="http://schemas.microsoft.com/office/word/2010/wordprocessingShape">
                          <wps:wsp>
                            <wps:cNvSpPr/>
                            <wps:spPr>
                              <a:xfrm>
                                <a:off x="0" y="0"/>
                                <a:ext cx="914400" cy="559398"/>
                              </a:xfrm>
                              <a:prstGeom prst="rect">
                                <a:avLst/>
                              </a:prstGeom>
                              <a:solidFill>
                                <a:sysClr val="window" lastClr="FFFFFF"/>
                              </a:solidFill>
                              <a:ln w="12700" cap="flat" cmpd="sng" algn="ctr">
                                <a:solidFill>
                                  <a:srgbClr val="70AD47"/>
                                </a:solidFill>
                                <a:prstDash val="solid"/>
                                <a:miter lim="800000"/>
                              </a:ln>
                              <a:effectLst/>
                            </wps:spPr>
                            <wps:txbx>
                              <w:txbxContent>
                                <w:p w14:paraId="10888146" w14:textId="0E15B86D" w:rsidR="004F5D57" w:rsidRPr="00533B67" w:rsidRDefault="004F5D57" w:rsidP="00CD6352">
                                  <w:pPr>
                                    <w:jc w:val="center"/>
                                    <w:rPr>
                                      <w:rFonts w:ascii="Arial" w:hAnsi="Arial" w:cs="Arial"/>
                                      <w:sz w:val="16"/>
                                      <w:szCs w:val="16"/>
                                    </w:rPr>
                                  </w:pPr>
                                  <w:permStart w:id="2130985544" w:edGrp="everyone"/>
                                  <w:r>
                                    <w:rPr>
                                      <w:rFonts w:ascii="Arial" w:hAnsi="Arial" w:cs="Arial"/>
                                      <w:sz w:val="16"/>
                                      <w:szCs w:val="16"/>
                                    </w:rPr>
                                    <w:t>Sustain relationship with financiers.</w:t>
                                  </w:r>
                                  <w:permEnd w:id="21309855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EFFFD" id="Rectangle 59" o:spid="_x0000_s1078" style="position:absolute;margin-left:171.5pt;margin-top:9.9pt;width:1in;height:4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" fillcolor="window" strokecolor="#70ad47" strokeweight="1pt">
                      <v:textbox>
                        <w:txbxContent>
                          <w:p w14:paraId="10888146" w14:textId="0E15B86D" w:rsidR="004F5D57" w:rsidRPr="00533B67" w:rsidRDefault="004F5D57" w:rsidP="00CD6352">
                            <w:pPr>
                              <w:jc w:val="center"/>
                              <w:rPr>
                                <w:rFonts w:ascii="Arial" w:hAnsi="Arial" w:cs="Arial"/>
                                <w:sz w:val="16"/>
                                <w:szCs w:val="16"/>
                              </w:rPr>
                            </w:pPr>
                            <w:permStart w:id="2130985544" w:edGrp="everyone"/>
                            <w:r>
                              <w:rPr>
                                <w:rFonts w:ascii="Arial" w:hAnsi="Arial" w:cs="Arial"/>
                                <w:sz w:val="16"/>
                                <w:szCs w:val="16"/>
                              </w:rPr>
                              <w:t>Sustain relationship with financiers.</w:t>
                            </w:r>
                            <w:permEnd w:id="2130985544"/>
                          </w:p>
                        </w:txbxContent>
                      </v:textbox>
                    </v:rect>
                  </w:pict>
                </mc:Fallback>
              </mc:AlternateContent>
            </w:r>
            <w:r w:rsidRPr="00C52D0D">
              <w:rPr>
                <w:rFonts w:ascii="Arial" w:hAnsi="Arial" w:cs="Arial"/>
                <w:noProof/>
                <w:sz w:val="16"/>
                <w:szCs w:val="16"/>
              </w:rPr>
              <mc:AlternateContent>
                <mc:Choice Requires="wps">
                  <w:drawing>
                    <wp:anchor distT="0" distB="0" distL="114300" distR="114300" simplePos="0" relativeHeight="251703296" behindDoc="0" locked="0" layoutInCell="1" allowOverlap="1" wp14:anchorId="3C0F0E08" wp14:editId="289A2F09">
                      <wp:simplePos x="0" y="0"/>
                      <wp:positionH relativeFrom="column">
                        <wp:posOffset>-5864</wp:posOffset>
                      </wp:positionH>
                      <wp:positionV relativeFrom="paragraph">
                        <wp:posOffset>125655</wp:posOffset>
                      </wp:positionV>
                      <wp:extent cx="914400" cy="505610"/>
                      <wp:effectExtent l="0" t="0" r="19050" b="27940"/>
                      <wp:wrapNone/>
                      <wp:docPr id="11" name="Rectangle 11"/>
                      <wp:cNvGraphicFramePr/>
                      <a:graphic xmlns:a="http://schemas.openxmlformats.org/drawingml/2006/main">
                        <a:graphicData uri="http://schemas.microsoft.com/office/word/2010/wordprocessingShape">
                          <wps:wsp>
                            <wps:cNvSpPr/>
                            <wps:spPr>
                              <a:xfrm>
                                <a:off x="0" y="0"/>
                                <a:ext cx="914400" cy="505610"/>
                              </a:xfrm>
                              <a:prstGeom prst="rect">
                                <a:avLst/>
                              </a:prstGeom>
                              <a:solidFill>
                                <a:sysClr val="window" lastClr="FFFFFF"/>
                              </a:solidFill>
                              <a:ln w="12700" cap="flat" cmpd="sng" algn="ctr">
                                <a:solidFill>
                                  <a:srgbClr val="70AD47"/>
                                </a:solidFill>
                                <a:prstDash val="solid"/>
                                <a:miter lim="800000"/>
                              </a:ln>
                              <a:effectLst/>
                            </wps:spPr>
                            <wps:txbx>
                              <w:txbxContent>
                                <w:p w14:paraId="6776744F" w14:textId="01E1B253" w:rsidR="004F5D57" w:rsidRPr="00533B67" w:rsidRDefault="004F5D57" w:rsidP="00CD6352">
                                  <w:pPr>
                                    <w:jc w:val="center"/>
                                    <w:rPr>
                                      <w:rFonts w:ascii="Arial" w:hAnsi="Arial" w:cs="Arial"/>
                                      <w:sz w:val="16"/>
                                      <w:szCs w:val="16"/>
                                    </w:rPr>
                                  </w:pPr>
                                  <w:permStart w:id="848756866" w:edGrp="everyone"/>
                                  <w:r>
                                    <w:rPr>
                                      <w:rFonts w:ascii="Arial" w:hAnsi="Arial" w:cs="Arial"/>
                                      <w:sz w:val="16"/>
                                      <w:szCs w:val="16"/>
                                    </w:rPr>
                                    <w:t>Meet up with debt/equity covenants.</w:t>
                                  </w:r>
                                  <w:permEnd w:id="8487568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F0E08" id="Rectangle 11" o:spid="_x0000_s1079" style="position:absolute;margin-left:-.45pt;margin-top:9.9pt;width:1in;height:3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" fillcolor="window" strokecolor="#70ad47" strokeweight="1pt">
                      <v:textbox>
                        <w:txbxContent>
                          <w:p w14:paraId="6776744F" w14:textId="01E1B253" w:rsidR="004F5D57" w:rsidRPr="00533B67" w:rsidRDefault="004F5D57" w:rsidP="00CD6352">
                            <w:pPr>
                              <w:jc w:val="center"/>
                              <w:rPr>
                                <w:rFonts w:ascii="Arial" w:hAnsi="Arial" w:cs="Arial"/>
                                <w:sz w:val="16"/>
                                <w:szCs w:val="16"/>
                              </w:rPr>
                            </w:pPr>
                            <w:permStart w:id="848756866" w:edGrp="everyone"/>
                            <w:r>
                              <w:rPr>
                                <w:rFonts w:ascii="Arial" w:hAnsi="Arial" w:cs="Arial"/>
                                <w:sz w:val="16"/>
                                <w:szCs w:val="16"/>
                              </w:rPr>
                              <w:t>Meet up with debt/equity covenants.</w:t>
                            </w:r>
                            <w:permEnd w:id="848756866"/>
                          </w:p>
                        </w:txbxContent>
                      </v:textbox>
                    </v:rect>
                  </w:pict>
                </mc:Fallback>
              </mc:AlternateContent>
            </w:r>
          </w:p>
        </w:tc>
      </w:tr>
      <w:bookmarkEnd w:id="1252"/>
    </w:tbl>
    <w:p w14:paraId="1851A102" w14:textId="77777777" w:rsidR="00CD6352" w:rsidRPr="00AF6250" w:rsidRDefault="00CD6352" w:rsidP="00CD6352">
      <w:pPr>
        <w:rPr>
          <w:rFonts w:ascii="Arial" w:hAnsi="Arial" w:cs="Arial"/>
        </w:rPr>
      </w:pPr>
    </w:p>
    <w:p w14:paraId="0E9A97CE" w14:textId="0CF234CB" w:rsidR="00CD6352" w:rsidRPr="00663D99" w:rsidRDefault="00B269B2" w:rsidP="00663D99">
      <w:pPr>
        <w:spacing w:line="360" w:lineRule="auto"/>
        <w:rPr>
          <w:rFonts w:ascii="Arial" w:hAnsi="Arial" w:cs="Arial"/>
        </w:rPr>
      </w:pPr>
      <w:r w:rsidRPr="00663D99">
        <w:rPr>
          <w:rFonts w:ascii="Arial" w:hAnsi="Arial" w:cs="Arial"/>
        </w:rPr>
        <w:t xml:space="preserve">It is recommended that the manager use the process map for securing finance for real estate project development in an orderly manner. </w:t>
      </w:r>
      <w:r w:rsidR="005025E5" w:rsidRPr="00663D99">
        <w:rPr>
          <w:rFonts w:ascii="Arial" w:hAnsi="Arial" w:cs="Arial"/>
        </w:rPr>
        <w:t>This mean</w:t>
      </w:r>
      <w:r w:rsidRPr="00663D99">
        <w:rPr>
          <w:rFonts w:ascii="Arial" w:hAnsi="Arial" w:cs="Arial"/>
        </w:rPr>
        <w:t>s that the manager should align their financing decisions in stages from stage 0</w:t>
      </w:r>
      <w:r w:rsidR="005025E5" w:rsidRPr="00663D99">
        <w:rPr>
          <w:rFonts w:ascii="Arial" w:hAnsi="Arial" w:cs="Arial"/>
        </w:rPr>
        <w:t>,</w:t>
      </w:r>
      <w:r w:rsidRPr="00663D99">
        <w:rPr>
          <w:rFonts w:ascii="Arial" w:hAnsi="Arial" w:cs="Arial"/>
        </w:rPr>
        <w:t xml:space="preserve"> then stages 1,2,3 and 4 in that order. However, some of these decisions may overlap</w:t>
      </w:r>
      <w:r w:rsidR="005025E5" w:rsidRPr="00663D99">
        <w:rPr>
          <w:rFonts w:ascii="Arial" w:hAnsi="Arial" w:cs="Arial"/>
        </w:rPr>
        <w:t>,</w:t>
      </w:r>
      <w:r w:rsidRPr="00663D99">
        <w:rPr>
          <w:rFonts w:ascii="Arial" w:hAnsi="Arial" w:cs="Arial"/>
        </w:rPr>
        <w:t xml:space="preserve"> just as is the case with the practical application of the RIBA 2020 plan of work. The sequential order of usage for the process map is to reduce and mitigate </w:t>
      </w:r>
      <w:r w:rsidR="00D252FD" w:rsidRPr="00663D99">
        <w:rPr>
          <w:rFonts w:ascii="Arial" w:hAnsi="Arial" w:cs="Arial"/>
        </w:rPr>
        <w:t xml:space="preserve">the </w:t>
      </w:r>
      <w:r w:rsidRPr="00663D99">
        <w:rPr>
          <w:rFonts w:ascii="Arial" w:hAnsi="Arial" w:cs="Arial"/>
        </w:rPr>
        <w:t xml:space="preserve">possible risk associated with securing finance for real estate project </w:t>
      </w:r>
      <w:r w:rsidR="003C13FF" w:rsidRPr="00663D99">
        <w:rPr>
          <w:rFonts w:ascii="Arial" w:hAnsi="Arial" w:cs="Arial"/>
        </w:rPr>
        <w:t>development.</w:t>
      </w:r>
      <w:r w:rsidR="00166056" w:rsidRPr="00663D99">
        <w:rPr>
          <w:rFonts w:ascii="Arial" w:hAnsi="Arial" w:cs="Arial"/>
        </w:rPr>
        <w:t xml:space="preserve"> </w:t>
      </w:r>
      <w:r w:rsidR="003C13FF" w:rsidRPr="00663D99">
        <w:rPr>
          <w:rFonts w:ascii="Arial" w:hAnsi="Arial" w:cs="Arial"/>
        </w:rPr>
        <w:t>These associated risks</w:t>
      </w:r>
      <w:r w:rsidR="00166056" w:rsidRPr="00663D99">
        <w:rPr>
          <w:rFonts w:ascii="Arial" w:hAnsi="Arial" w:cs="Arial"/>
        </w:rPr>
        <w:t xml:space="preserve"> could </w:t>
      </w:r>
      <w:r w:rsidR="005025E5" w:rsidRPr="00663D99">
        <w:rPr>
          <w:rFonts w:ascii="Arial" w:hAnsi="Arial" w:cs="Arial"/>
        </w:rPr>
        <w:t xml:space="preserve">be </w:t>
      </w:r>
      <w:r w:rsidR="00166056" w:rsidRPr="00663D99">
        <w:rPr>
          <w:rFonts w:ascii="Arial" w:hAnsi="Arial" w:cs="Arial"/>
        </w:rPr>
        <w:t xml:space="preserve">credit, market, operational risk or compliance </w:t>
      </w:r>
      <w:r w:rsidR="0069021F" w:rsidRPr="00663D99">
        <w:rPr>
          <w:rFonts w:ascii="Arial" w:hAnsi="Arial" w:cs="Arial"/>
        </w:rPr>
        <w:t>risk.</w:t>
      </w:r>
    </w:p>
    <w:p w14:paraId="25A6ADBB" w14:textId="6093F7E4" w:rsidR="0069021F" w:rsidRPr="00AF533A" w:rsidRDefault="0069021F" w:rsidP="00663D99">
      <w:pPr>
        <w:spacing w:line="360" w:lineRule="auto"/>
        <w:rPr>
          <w:rFonts w:ascii="Arial" w:hAnsi="Arial" w:cs="Arial"/>
        </w:rPr>
      </w:pPr>
      <w:r w:rsidRPr="00663D99">
        <w:rPr>
          <w:rFonts w:ascii="Arial" w:hAnsi="Arial" w:cs="Arial"/>
        </w:rPr>
        <w:t xml:space="preserve">A fundamental weakness </w:t>
      </w:r>
      <w:r w:rsidR="00036759" w:rsidRPr="00663D99">
        <w:rPr>
          <w:rFonts w:ascii="Arial" w:hAnsi="Arial" w:cs="Arial"/>
        </w:rPr>
        <w:t>of</w:t>
      </w:r>
      <w:r w:rsidRPr="00663D99">
        <w:rPr>
          <w:rFonts w:ascii="Arial" w:hAnsi="Arial" w:cs="Arial"/>
        </w:rPr>
        <w:t xml:space="preserve"> this process map is that it does not have responsible officers for the different levels of decisions. This is because it is meant to be adopted by real estate managers with </w:t>
      </w:r>
      <w:r w:rsidR="00485F78" w:rsidRPr="00663D99">
        <w:rPr>
          <w:rFonts w:ascii="Arial" w:hAnsi="Arial" w:cs="Arial"/>
        </w:rPr>
        <w:t>varying</w:t>
      </w:r>
      <w:r w:rsidRPr="00663D99">
        <w:rPr>
          <w:rFonts w:ascii="Arial" w:hAnsi="Arial" w:cs="Arial"/>
        </w:rPr>
        <w:t xml:space="preserve"> levels of organisation sizes. However, it is recommended that managers delegate the responsibility for the different stages and key decisions and processes to their subordinates depending on the</w:t>
      </w:r>
      <w:r w:rsidR="00AE0CE2" w:rsidRPr="00663D99">
        <w:rPr>
          <w:rFonts w:ascii="Arial" w:hAnsi="Arial" w:cs="Arial"/>
        </w:rPr>
        <w:t>ir organisation's size</w:t>
      </w:r>
      <w:r>
        <w:rPr>
          <w:rFonts w:ascii="Arial" w:hAnsi="Arial" w:cs="Arial"/>
        </w:rPr>
        <w:t>.</w:t>
      </w:r>
    </w:p>
    <w:p w14:paraId="5BBE77A7" w14:textId="77777777" w:rsidR="00CD6352" w:rsidRPr="00EA7665" w:rsidRDefault="00CD6352" w:rsidP="00CD6352">
      <w:pPr>
        <w:pStyle w:val="Heading2"/>
        <w:spacing w:after="240"/>
        <w:rPr>
          <w:sz w:val="22"/>
          <w:szCs w:val="22"/>
        </w:rPr>
      </w:pPr>
      <w:bookmarkStart w:id="1253" w:name="_Toc78983889"/>
      <w:r w:rsidRPr="00EA7665">
        <w:rPr>
          <w:sz w:val="22"/>
          <w:szCs w:val="22"/>
        </w:rPr>
        <w:t>Summary</w:t>
      </w:r>
      <w:bookmarkEnd w:id="1253"/>
    </w:p>
    <w:p w14:paraId="350115E3" w14:textId="10536E0E" w:rsidR="00CD6352" w:rsidRPr="00663D99" w:rsidRDefault="00CD6352" w:rsidP="00663D99">
      <w:pPr>
        <w:spacing w:line="360" w:lineRule="auto"/>
        <w:rPr>
          <w:rFonts w:ascii="Arial" w:hAnsi="Arial" w:cs="Arial"/>
        </w:rPr>
      </w:pPr>
      <w:bookmarkStart w:id="1254" w:name="_Hlk43211442"/>
      <w:r w:rsidRPr="00663D99">
        <w:rPr>
          <w:rFonts w:ascii="Arial" w:hAnsi="Arial" w:cs="Arial"/>
        </w:rPr>
        <w:t xml:space="preserve">The </w:t>
      </w:r>
      <w:r w:rsidR="00AE0CE2" w:rsidRPr="00663D99">
        <w:rPr>
          <w:rFonts w:ascii="Arial" w:hAnsi="Arial" w:cs="Arial"/>
        </w:rPr>
        <w:t>questionnaire and interviews' finding</w:t>
      </w:r>
      <w:r w:rsidRPr="00663D99">
        <w:rPr>
          <w:rFonts w:ascii="Arial" w:hAnsi="Arial" w:cs="Arial"/>
        </w:rPr>
        <w:t xml:space="preserve">s show that there are no strictly uniformed key decisions and processes for securing finance for real estate project development adopted by the managers in both the developed and emerging economies. The findings also show that the managers consider key decisions and processes as joint decision-making </w:t>
      </w:r>
      <w:r w:rsidR="00396BDC" w:rsidRPr="00663D99">
        <w:rPr>
          <w:rFonts w:ascii="Arial" w:hAnsi="Arial" w:cs="Arial"/>
        </w:rPr>
        <w:t>processes,</w:t>
      </w:r>
      <w:r w:rsidRPr="00663D99">
        <w:rPr>
          <w:rFonts w:ascii="Arial" w:hAnsi="Arial" w:cs="Arial"/>
        </w:rPr>
        <w:t xml:space="preserve"> and this position was adopted for the study. The key decisions and processes are similar but not strictly in the same order.  Consequently, this study used findings </w:t>
      </w:r>
      <w:r w:rsidR="00960D01" w:rsidRPr="00663D99">
        <w:rPr>
          <w:rFonts w:ascii="Arial" w:hAnsi="Arial" w:cs="Arial"/>
        </w:rPr>
        <w:t>from the</w:t>
      </w:r>
      <w:r w:rsidRPr="00663D99">
        <w:rPr>
          <w:rFonts w:ascii="Arial" w:hAnsi="Arial" w:cs="Arial"/>
        </w:rPr>
        <w:t xml:space="preserve"> survey questionnaires and semi-structured interviews to develop a process map for securing finance for real estate project development</w:t>
      </w:r>
      <w:r w:rsidR="006D6BDD" w:rsidRPr="00663D99">
        <w:rPr>
          <w:rFonts w:ascii="Arial" w:hAnsi="Arial" w:cs="Arial"/>
        </w:rPr>
        <w:t>,</w:t>
      </w:r>
      <w:r w:rsidRPr="00663D99">
        <w:rPr>
          <w:rFonts w:ascii="Arial" w:hAnsi="Arial" w:cs="Arial"/>
        </w:rPr>
        <w:t xml:space="preserve"> and this also forms part of the toolkit for securing </w:t>
      </w:r>
      <w:r w:rsidRPr="00663D99">
        <w:rPr>
          <w:rFonts w:ascii="Arial" w:hAnsi="Arial" w:cs="Arial"/>
        </w:rPr>
        <w:lastRenderedPageBreak/>
        <w:t xml:space="preserve">finance for real estate project development in chapter </w:t>
      </w:r>
      <w:r w:rsidR="00396BDC" w:rsidRPr="00663D99">
        <w:rPr>
          <w:rFonts w:ascii="Arial" w:hAnsi="Arial" w:cs="Arial"/>
        </w:rPr>
        <w:t>10</w:t>
      </w:r>
      <w:r w:rsidRPr="00663D99">
        <w:rPr>
          <w:rFonts w:ascii="Arial" w:hAnsi="Arial" w:cs="Arial"/>
        </w:rPr>
        <w:t>. The process map is divided into five major stages</w:t>
      </w:r>
      <w:r w:rsidR="006D6BDD" w:rsidRPr="00663D99">
        <w:rPr>
          <w:rFonts w:ascii="Arial" w:hAnsi="Arial" w:cs="Arial"/>
        </w:rPr>
        <w:t>,</w:t>
      </w:r>
      <w:r w:rsidRPr="00663D99">
        <w:rPr>
          <w:rFonts w:ascii="Arial" w:hAnsi="Arial" w:cs="Arial"/>
        </w:rPr>
        <w:t xml:space="preserve"> which </w:t>
      </w:r>
      <w:r w:rsidR="006D6BDD" w:rsidRPr="00663D99">
        <w:rPr>
          <w:rFonts w:ascii="Arial" w:hAnsi="Arial" w:cs="Arial"/>
        </w:rPr>
        <w:t>are</w:t>
      </w:r>
      <w:r w:rsidRPr="00663D99">
        <w:rPr>
          <w:rFonts w:ascii="Arial" w:hAnsi="Arial" w:cs="Arial"/>
        </w:rPr>
        <w:t xml:space="preserve"> stage</w:t>
      </w:r>
      <w:r w:rsidR="00543D1F" w:rsidRPr="00663D99">
        <w:rPr>
          <w:rFonts w:ascii="Arial" w:hAnsi="Arial" w:cs="Arial"/>
        </w:rPr>
        <w:t>s</w:t>
      </w:r>
      <w:r w:rsidRPr="00663D99">
        <w:rPr>
          <w:rFonts w:ascii="Arial" w:hAnsi="Arial" w:cs="Arial"/>
        </w:rPr>
        <w:t xml:space="preserve"> 0 to 4. </w:t>
      </w:r>
      <w:r w:rsidR="00D252FD" w:rsidRPr="00663D99">
        <w:rPr>
          <w:rFonts w:ascii="Arial" w:hAnsi="Arial" w:cs="Arial"/>
        </w:rPr>
        <w:t>S</w:t>
      </w:r>
      <w:r w:rsidRPr="00663D99">
        <w:rPr>
          <w:rFonts w:ascii="Arial" w:hAnsi="Arial" w:cs="Arial"/>
        </w:rPr>
        <w:t>tage zero is the identification stage 1</w:t>
      </w:r>
      <w:r w:rsidR="006D6BDD" w:rsidRPr="00663D99">
        <w:rPr>
          <w:rFonts w:ascii="Arial" w:hAnsi="Arial" w:cs="Arial"/>
        </w:rPr>
        <w:t>,</w:t>
      </w:r>
      <w:r w:rsidRPr="00663D99">
        <w:rPr>
          <w:rFonts w:ascii="Arial" w:hAnsi="Arial" w:cs="Arial"/>
        </w:rPr>
        <w:t xml:space="preserve"> and it is at </w:t>
      </w:r>
      <w:r w:rsidR="00960D01" w:rsidRPr="00663D99">
        <w:rPr>
          <w:rFonts w:ascii="Arial" w:hAnsi="Arial" w:cs="Arial"/>
        </w:rPr>
        <w:t>this stage</w:t>
      </w:r>
      <w:r w:rsidR="006D6BDD" w:rsidRPr="00663D99">
        <w:rPr>
          <w:rFonts w:ascii="Arial" w:hAnsi="Arial" w:cs="Arial"/>
        </w:rPr>
        <w:t>,</w:t>
      </w:r>
      <w:r w:rsidRPr="00663D99">
        <w:rPr>
          <w:rFonts w:ascii="Arial" w:hAnsi="Arial" w:cs="Arial"/>
        </w:rPr>
        <w:t xml:space="preserve"> the market is identified</w:t>
      </w:r>
      <w:r w:rsidR="006D6BDD" w:rsidRPr="00663D99">
        <w:rPr>
          <w:rFonts w:ascii="Arial" w:hAnsi="Arial" w:cs="Arial"/>
        </w:rPr>
        <w:t>,</w:t>
      </w:r>
      <w:r w:rsidRPr="00663D99">
        <w:rPr>
          <w:rFonts w:ascii="Arial" w:hAnsi="Arial" w:cs="Arial"/>
        </w:rPr>
        <w:t xml:space="preserve"> and decisions on </w:t>
      </w:r>
      <w:r w:rsidR="00D252FD" w:rsidRPr="00663D99">
        <w:rPr>
          <w:rFonts w:ascii="Arial" w:hAnsi="Arial" w:cs="Arial"/>
        </w:rPr>
        <w:t xml:space="preserve">the </w:t>
      </w:r>
      <w:r w:rsidRPr="00663D99">
        <w:rPr>
          <w:rFonts w:ascii="Arial" w:hAnsi="Arial" w:cs="Arial"/>
        </w:rPr>
        <w:t>location are made. Stage 1 is the identification stage 2</w:t>
      </w:r>
      <w:r w:rsidR="006D6BDD" w:rsidRPr="00663D99">
        <w:rPr>
          <w:rFonts w:ascii="Arial" w:hAnsi="Arial" w:cs="Arial"/>
        </w:rPr>
        <w:t>,</w:t>
      </w:r>
      <w:r w:rsidRPr="00663D99">
        <w:rPr>
          <w:rFonts w:ascii="Arial" w:hAnsi="Arial" w:cs="Arial"/>
        </w:rPr>
        <w:t xml:space="preserve"> which is the concept and strategic definition stage</w:t>
      </w:r>
      <w:r w:rsidR="00776FBD" w:rsidRPr="00663D99">
        <w:rPr>
          <w:rFonts w:ascii="Arial" w:hAnsi="Arial" w:cs="Arial"/>
        </w:rPr>
        <w:t>.</w:t>
      </w:r>
      <w:r w:rsidRPr="00663D99">
        <w:rPr>
          <w:rFonts w:ascii="Arial" w:hAnsi="Arial" w:cs="Arial"/>
        </w:rPr>
        <w:t xml:space="preserve"> This is the stage when the environmental scan is done, </w:t>
      </w:r>
      <w:r w:rsidR="00776FBD" w:rsidRPr="00663D99">
        <w:rPr>
          <w:rFonts w:ascii="Arial" w:hAnsi="Arial" w:cs="Arial"/>
        </w:rPr>
        <w:t xml:space="preserve">the </w:t>
      </w:r>
      <w:r w:rsidRPr="00663D99">
        <w:rPr>
          <w:rFonts w:ascii="Arial" w:hAnsi="Arial" w:cs="Arial"/>
        </w:rPr>
        <w:t>skills budget is executed</w:t>
      </w:r>
      <w:r w:rsidR="00776FBD" w:rsidRPr="00663D99">
        <w:rPr>
          <w:rFonts w:ascii="Arial" w:hAnsi="Arial" w:cs="Arial"/>
        </w:rPr>
        <w:t>,</w:t>
      </w:r>
      <w:r w:rsidRPr="00663D99">
        <w:rPr>
          <w:rFonts w:ascii="Arial" w:hAnsi="Arial" w:cs="Arial"/>
        </w:rPr>
        <w:t xml:space="preserve"> and scanning for financiers is put in place. Stage 2 is the development stage, and this is the stage where technical, legal and commercial feasibility is done. It is </w:t>
      </w:r>
      <w:r w:rsidR="00960D01" w:rsidRPr="00663D99">
        <w:rPr>
          <w:rFonts w:ascii="Arial" w:hAnsi="Arial" w:cs="Arial"/>
        </w:rPr>
        <w:t>also the</w:t>
      </w:r>
      <w:r w:rsidRPr="00663D99">
        <w:rPr>
          <w:rFonts w:ascii="Arial" w:hAnsi="Arial" w:cs="Arial"/>
        </w:rPr>
        <w:t xml:space="preserve"> stage at </w:t>
      </w:r>
      <w:r w:rsidR="000B5B96" w:rsidRPr="00663D99">
        <w:rPr>
          <w:rFonts w:ascii="Arial" w:hAnsi="Arial" w:cs="Arial"/>
        </w:rPr>
        <w:t>which a</w:t>
      </w:r>
      <w:r w:rsidRPr="00663D99">
        <w:rPr>
          <w:rFonts w:ascii="Arial" w:hAnsi="Arial" w:cs="Arial"/>
        </w:rPr>
        <w:t xml:space="preserve"> relationship is developed with potential consumers</w:t>
      </w:r>
      <w:r w:rsidR="00A6211D" w:rsidRPr="00663D99">
        <w:rPr>
          <w:rFonts w:ascii="Arial" w:hAnsi="Arial" w:cs="Arial"/>
        </w:rPr>
        <w:t>,</w:t>
      </w:r>
      <w:r w:rsidRPr="00663D99">
        <w:rPr>
          <w:rFonts w:ascii="Arial" w:hAnsi="Arial" w:cs="Arial"/>
        </w:rPr>
        <w:t xml:space="preserve"> the proposal is put in place</w:t>
      </w:r>
      <w:r w:rsidR="00A6211D" w:rsidRPr="00663D99">
        <w:rPr>
          <w:rFonts w:ascii="Arial" w:hAnsi="Arial" w:cs="Arial"/>
        </w:rPr>
        <w:t>,</w:t>
      </w:r>
      <w:r w:rsidRPr="00663D99">
        <w:rPr>
          <w:rFonts w:ascii="Arial" w:hAnsi="Arial" w:cs="Arial"/>
        </w:rPr>
        <w:t xml:space="preserve"> and </w:t>
      </w:r>
      <w:r w:rsidR="00D252FD" w:rsidRPr="00663D99">
        <w:rPr>
          <w:rFonts w:ascii="Arial" w:hAnsi="Arial" w:cs="Arial"/>
        </w:rPr>
        <w:t xml:space="preserve">a </w:t>
      </w:r>
      <w:r w:rsidR="00FA24F2" w:rsidRPr="00663D99">
        <w:rPr>
          <w:rFonts w:ascii="Arial" w:hAnsi="Arial" w:cs="Arial"/>
        </w:rPr>
        <w:t>finance request</w:t>
      </w:r>
      <w:r w:rsidRPr="00663D99">
        <w:rPr>
          <w:rFonts w:ascii="Arial" w:hAnsi="Arial" w:cs="Arial"/>
        </w:rPr>
        <w:t xml:space="preserve"> is initiated. </w:t>
      </w:r>
      <w:r w:rsidR="00D252FD" w:rsidRPr="00663D99">
        <w:rPr>
          <w:rFonts w:ascii="Arial" w:hAnsi="Arial" w:cs="Arial"/>
        </w:rPr>
        <w:t>S</w:t>
      </w:r>
      <w:r w:rsidRPr="00663D99">
        <w:rPr>
          <w:rFonts w:ascii="Arial" w:hAnsi="Arial" w:cs="Arial"/>
        </w:rPr>
        <w:t>tage 3 is the selection stage</w:t>
      </w:r>
      <w:r w:rsidR="00A6211D" w:rsidRPr="00663D99">
        <w:rPr>
          <w:rFonts w:ascii="Arial" w:hAnsi="Arial" w:cs="Arial"/>
        </w:rPr>
        <w:t>,</w:t>
      </w:r>
      <w:r w:rsidRPr="00663D99">
        <w:rPr>
          <w:rFonts w:ascii="Arial" w:hAnsi="Arial" w:cs="Arial"/>
        </w:rPr>
        <w:t xml:space="preserve"> and this is the stage where the financier is selected, negotiations are done, funds are secured, and the project is developed. </w:t>
      </w:r>
      <w:r w:rsidR="00D252FD" w:rsidRPr="00663D99">
        <w:rPr>
          <w:rFonts w:ascii="Arial" w:hAnsi="Arial" w:cs="Arial"/>
        </w:rPr>
        <w:t>S</w:t>
      </w:r>
      <w:r w:rsidRPr="00663D99">
        <w:rPr>
          <w:rFonts w:ascii="Arial" w:hAnsi="Arial" w:cs="Arial"/>
        </w:rPr>
        <w:t>tage 4 is the feedback stage</w:t>
      </w:r>
      <w:r w:rsidR="00A6211D" w:rsidRPr="00663D99">
        <w:rPr>
          <w:rFonts w:ascii="Arial" w:hAnsi="Arial" w:cs="Arial"/>
        </w:rPr>
        <w:t>,</w:t>
      </w:r>
      <w:r w:rsidRPr="00663D99">
        <w:rPr>
          <w:rFonts w:ascii="Arial" w:hAnsi="Arial" w:cs="Arial"/>
        </w:rPr>
        <w:t xml:space="preserve"> </w:t>
      </w:r>
      <w:r w:rsidR="00A6211D" w:rsidRPr="00663D99">
        <w:rPr>
          <w:rFonts w:ascii="Arial" w:hAnsi="Arial" w:cs="Arial"/>
        </w:rPr>
        <w:t>which</w:t>
      </w:r>
      <w:r w:rsidRPr="00663D99">
        <w:rPr>
          <w:rFonts w:ascii="Arial" w:hAnsi="Arial" w:cs="Arial"/>
        </w:rPr>
        <w:t xml:space="preserve"> entails meeting up with debt/ equity conditions, paying </w:t>
      </w:r>
      <w:r w:rsidR="00960D01" w:rsidRPr="00663D99">
        <w:rPr>
          <w:rFonts w:ascii="Arial" w:hAnsi="Arial" w:cs="Arial"/>
        </w:rPr>
        <w:t>off debt</w:t>
      </w:r>
      <w:r w:rsidRPr="00663D99">
        <w:rPr>
          <w:rFonts w:ascii="Arial" w:hAnsi="Arial" w:cs="Arial"/>
        </w:rPr>
        <w:t xml:space="preserve"> and sustaining relationships with financiers.</w:t>
      </w:r>
    </w:p>
    <w:p w14:paraId="065F1A26" w14:textId="6BB1B79F" w:rsidR="00CD6352" w:rsidRPr="00663D99" w:rsidRDefault="00CD6352" w:rsidP="00663D99">
      <w:pPr>
        <w:spacing w:after="0" w:line="360" w:lineRule="auto"/>
        <w:rPr>
          <w:rFonts w:ascii="Arial" w:hAnsi="Arial" w:cs="Arial"/>
        </w:rPr>
      </w:pPr>
      <w:r w:rsidRPr="00663D99">
        <w:rPr>
          <w:rFonts w:ascii="Arial" w:hAnsi="Arial" w:cs="Arial"/>
        </w:rPr>
        <w:t>The process map for securing finance for real estate projects was inspired by the advance</w:t>
      </w:r>
      <w:r w:rsidR="00543D1F" w:rsidRPr="00663D99">
        <w:rPr>
          <w:rFonts w:ascii="Arial" w:hAnsi="Arial" w:cs="Arial"/>
        </w:rPr>
        <w:t>d</w:t>
      </w:r>
      <w:r w:rsidRPr="00663D99">
        <w:rPr>
          <w:rFonts w:ascii="Arial" w:hAnsi="Arial" w:cs="Arial"/>
        </w:rPr>
        <w:t xml:space="preserve"> work package for construction project</w:t>
      </w:r>
      <w:r w:rsidR="00A6211D" w:rsidRPr="00663D99">
        <w:rPr>
          <w:rFonts w:ascii="Arial" w:hAnsi="Arial" w:cs="Arial"/>
        </w:rPr>
        <w:t>s</w:t>
      </w:r>
      <w:r w:rsidRPr="00663D99">
        <w:rPr>
          <w:rFonts w:ascii="Arial" w:hAnsi="Arial" w:cs="Arial"/>
        </w:rPr>
        <w:t xml:space="preserve"> by Ryan (2017</w:t>
      </w:r>
      <w:r w:rsidR="00E74C56" w:rsidRPr="00663D99">
        <w:rPr>
          <w:rFonts w:ascii="Arial" w:hAnsi="Arial" w:cs="Arial"/>
        </w:rPr>
        <w:t>),</w:t>
      </w:r>
      <w:r w:rsidR="00396BDC" w:rsidRPr="00663D99">
        <w:rPr>
          <w:rFonts w:ascii="Arial" w:hAnsi="Arial" w:cs="Arial"/>
        </w:rPr>
        <w:t xml:space="preserve"> </w:t>
      </w:r>
      <w:r w:rsidRPr="00663D99">
        <w:rPr>
          <w:rFonts w:ascii="Arial" w:hAnsi="Arial" w:cs="Arial"/>
        </w:rPr>
        <w:t xml:space="preserve">the RIBA Plan of work </w:t>
      </w:r>
      <w:r w:rsidR="00396BDC" w:rsidRPr="00663D99">
        <w:rPr>
          <w:rFonts w:ascii="Arial" w:hAnsi="Arial" w:cs="Arial"/>
        </w:rPr>
        <w:t>2020</w:t>
      </w:r>
      <w:r w:rsidR="00E74C56" w:rsidRPr="00663D99">
        <w:rPr>
          <w:rFonts w:ascii="Arial" w:hAnsi="Arial" w:cs="Arial"/>
        </w:rPr>
        <w:t xml:space="preserve">, </w:t>
      </w:r>
      <w:r w:rsidR="00396BDC" w:rsidRPr="00663D99">
        <w:rPr>
          <w:rFonts w:ascii="Arial" w:hAnsi="Arial" w:cs="Arial"/>
        </w:rPr>
        <w:t>the concept of work breakdown structure (WBS)</w:t>
      </w:r>
      <w:r w:rsidR="00E74C56" w:rsidRPr="00663D99">
        <w:rPr>
          <w:rFonts w:ascii="Arial" w:hAnsi="Arial" w:cs="Arial"/>
        </w:rPr>
        <w:t xml:space="preserve"> and t</w:t>
      </w:r>
      <w:r w:rsidRPr="00663D99">
        <w:rPr>
          <w:rFonts w:ascii="Arial" w:hAnsi="Arial" w:cs="Arial"/>
        </w:rPr>
        <w:t>he process protocol mapping methodology</w:t>
      </w:r>
      <w:r w:rsidR="00E74C56" w:rsidRPr="00663D99">
        <w:rPr>
          <w:rFonts w:ascii="Arial" w:hAnsi="Arial" w:cs="Arial"/>
        </w:rPr>
        <w:t xml:space="preserve">. </w:t>
      </w:r>
      <w:r w:rsidRPr="00663D99">
        <w:rPr>
          <w:rFonts w:ascii="Arial" w:hAnsi="Arial" w:cs="Arial"/>
        </w:rPr>
        <w:t>Mintzberg</w:t>
      </w:r>
      <w:r w:rsidR="00AE0CE2" w:rsidRPr="00663D99">
        <w:rPr>
          <w:rFonts w:ascii="Arial" w:hAnsi="Arial" w:cs="Arial"/>
        </w:rPr>
        <w:t>'s general model of strategic decision and theory and methodology of socio-technical analysis of process mapping techniques also provided a guide for developing</w:t>
      </w:r>
      <w:r w:rsidRPr="00663D99">
        <w:rPr>
          <w:rFonts w:ascii="Arial" w:hAnsi="Arial" w:cs="Arial"/>
        </w:rPr>
        <w:t xml:space="preserve"> the process map for securing finance for real estate project development.</w:t>
      </w:r>
      <w:r w:rsidR="00B903B9" w:rsidRPr="00663D99">
        <w:rPr>
          <w:rFonts w:ascii="Arial" w:hAnsi="Arial" w:cs="Arial"/>
        </w:rPr>
        <w:t xml:space="preserve"> The manager’s skills, knowledge and competences for securing finance for real estate project development is discussed in the next chapter.</w:t>
      </w:r>
    </w:p>
    <w:bookmarkEnd w:id="1254"/>
    <w:p w14:paraId="097AD5EF" w14:textId="77777777" w:rsidR="00CD6352" w:rsidRPr="00663D99" w:rsidRDefault="00CD6352" w:rsidP="00663D99">
      <w:pPr>
        <w:spacing w:line="360" w:lineRule="auto"/>
        <w:rPr>
          <w:rFonts w:ascii="Arial" w:hAnsi="Arial" w:cs="Arial"/>
        </w:rPr>
      </w:pPr>
    </w:p>
    <w:p w14:paraId="486DF928" w14:textId="600F7E41" w:rsidR="00CD6352" w:rsidRDefault="00CD6352" w:rsidP="00CD6352">
      <w:pPr>
        <w:spacing w:line="360" w:lineRule="auto"/>
        <w:rPr>
          <w:rFonts w:ascii="Arial" w:hAnsi="Arial" w:cs="Arial"/>
        </w:rPr>
      </w:pPr>
    </w:p>
    <w:p w14:paraId="4D6B6D00" w14:textId="2D417204" w:rsidR="00543D1F" w:rsidRDefault="00543D1F" w:rsidP="00CD6352">
      <w:pPr>
        <w:spacing w:line="360" w:lineRule="auto"/>
        <w:rPr>
          <w:rFonts w:ascii="Arial" w:hAnsi="Arial" w:cs="Arial"/>
        </w:rPr>
      </w:pPr>
    </w:p>
    <w:p w14:paraId="42BFD533" w14:textId="5462E5E2" w:rsidR="00543D1F" w:rsidRDefault="00543D1F" w:rsidP="00CD6352">
      <w:pPr>
        <w:spacing w:line="360" w:lineRule="auto"/>
        <w:rPr>
          <w:rFonts w:ascii="Arial" w:hAnsi="Arial" w:cs="Arial"/>
        </w:rPr>
      </w:pPr>
    </w:p>
    <w:p w14:paraId="7119FF91" w14:textId="0D6E502B" w:rsidR="00543D1F" w:rsidRDefault="00543D1F" w:rsidP="00CD6352">
      <w:pPr>
        <w:spacing w:line="360" w:lineRule="auto"/>
        <w:rPr>
          <w:rFonts w:ascii="Arial" w:hAnsi="Arial" w:cs="Arial"/>
        </w:rPr>
      </w:pPr>
    </w:p>
    <w:p w14:paraId="5C064A13" w14:textId="7854AD8A" w:rsidR="00543D1F" w:rsidRDefault="00543D1F" w:rsidP="00CD6352">
      <w:pPr>
        <w:spacing w:line="360" w:lineRule="auto"/>
        <w:rPr>
          <w:rFonts w:ascii="Arial" w:hAnsi="Arial" w:cs="Arial"/>
        </w:rPr>
      </w:pPr>
    </w:p>
    <w:p w14:paraId="639283E3" w14:textId="06DA85F1" w:rsidR="00543D1F" w:rsidRDefault="00543D1F" w:rsidP="00CD6352">
      <w:pPr>
        <w:spacing w:line="360" w:lineRule="auto"/>
        <w:rPr>
          <w:rFonts w:ascii="Arial" w:hAnsi="Arial" w:cs="Arial"/>
        </w:rPr>
      </w:pPr>
    </w:p>
    <w:p w14:paraId="0851264D" w14:textId="2C3710D8" w:rsidR="00543D1F" w:rsidRDefault="00543D1F" w:rsidP="00CD6352">
      <w:pPr>
        <w:spacing w:line="360" w:lineRule="auto"/>
        <w:rPr>
          <w:rFonts w:ascii="Arial" w:hAnsi="Arial" w:cs="Arial"/>
        </w:rPr>
      </w:pPr>
    </w:p>
    <w:p w14:paraId="578E0323" w14:textId="77777777" w:rsidR="00543D1F" w:rsidRDefault="00543D1F" w:rsidP="00CD6352">
      <w:pPr>
        <w:spacing w:line="360" w:lineRule="auto"/>
        <w:rPr>
          <w:rFonts w:ascii="Arial" w:hAnsi="Arial" w:cs="Arial"/>
        </w:rPr>
      </w:pPr>
    </w:p>
    <w:p w14:paraId="3DFC4A60" w14:textId="77777777" w:rsidR="00CD6352" w:rsidRDefault="00CD6352" w:rsidP="00CD6352">
      <w:pPr>
        <w:spacing w:line="360" w:lineRule="auto"/>
        <w:rPr>
          <w:rFonts w:ascii="Arial" w:hAnsi="Arial" w:cs="Arial"/>
        </w:rPr>
      </w:pPr>
    </w:p>
    <w:p w14:paraId="12BE0C5C" w14:textId="77777777" w:rsidR="00CD6352" w:rsidRDefault="00CD6352" w:rsidP="00CD6352">
      <w:pPr>
        <w:spacing w:line="360" w:lineRule="auto"/>
        <w:rPr>
          <w:rFonts w:ascii="Arial" w:hAnsi="Arial" w:cs="Arial"/>
        </w:rPr>
      </w:pPr>
    </w:p>
    <w:p w14:paraId="1FECE3D7" w14:textId="2B539A44" w:rsidR="00CD6352" w:rsidRDefault="00CD6352" w:rsidP="00CD6352">
      <w:pPr>
        <w:spacing w:line="360" w:lineRule="auto"/>
        <w:rPr>
          <w:rFonts w:ascii="Arial" w:hAnsi="Arial" w:cs="Arial"/>
        </w:rPr>
      </w:pPr>
    </w:p>
    <w:p w14:paraId="4151EEE8" w14:textId="7F4709B4" w:rsidR="00FA24F2" w:rsidRDefault="00FA24F2" w:rsidP="00CD6352">
      <w:pPr>
        <w:spacing w:line="360" w:lineRule="auto"/>
        <w:rPr>
          <w:rFonts w:ascii="Arial" w:hAnsi="Arial" w:cs="Arial"/>
        </w:rPr>
      </w:pPr>
    </w:p>
    <w:p w14:paraId="6027B76A" w14:textId="3251831A" w:rsidR="00CD6352" w:rsidRPr="00EA7665" w:rsidRDefault="00CD6352" w:rsidP="00CD6352">
      <w:pPr>
        <w:pStyle w:val="Heading1"/>
        <w:spacing w:line="360" w:lineRule="auto"/>
        <w:jc w:val="both"/>
        <w:rPr>
          <w:rFonts w:cs="Arial"/>
          <w:sz w:val="22"/>
          <w:szCs w:val="22"/>
        </w:rPr>
      </w:pPr>
      <w:bookmarkStart w:id="1255" w:name="_Toc76331036"/>
      <w:bookmarkStart w:id="1256" w:name="_Toc76331831"/>
      <w:bookmarkStart w:id="1257" w:name="_Toc76332087"/>
      <w:bookmarkStart w:id="1258" w:name="_Toc76460530"/>
      <w:bookmarkStart w:id="1259" w:name="_Toc76476206"/>
      <w:bookmarkStart w:id="1260" w:name="_Toc76494153"/>
      <w:bookmarkStart w:id="1261" w:name="_Toc77600819"/>
      <w:bookmarkStart w:id="1262" w:name="_Toc77939391"/>
      <w:bookmarkStart w:id="1263" w:name="_Toc77949185"/>
      <w:bookmarkStart w:id="1264" w:name="_Toc76331037"/>
      <w:bookmarkStart w:id="1265" w:name="_Toc76331832"/>
      <w:bookmarkStart w:id="1266" w:name="_Toc76332088"/>
      <w:bookmarkStart w:id="1267" w:name="_Toc76460531"/>
      <w:bookmarkStart w:id="1268" w:name="_Toc76476207"/>
      <w:bookmarkStart w:id="1269" w:name="_Toc76494154"/>
      <w:bookmarkStart w:id="1270" w:name="_Toc77600820"/>
      <w:bookmarkStart w:id="1271" w:name="_Toc77939392"/>
      <w:bookmarkStart w:id="1272" w:name="_Toc77949186"/>
      <w:bookmarkStart w:id="1273" w:name="_Toc76331038"/>
      <w:bookmarkStart w:id="1274" w:name="_Toc76331833"/>
      <w:bookmarkStart w:id="1275" w:name="_Toc76332089"/>
      <w:bookmarkStart w:id="1276" w:name="_Toc76460532"/>
      <w:bookmarkStart w:id="1277" w:name="_Toc76476208"/>
      <w:bookmarkStart w:id="1278" w:name="_Toc76494155"/>
      <w:bookmarkStart w:id="1279" w:name="_Toc77600821"/>
      <w:bookmarkStart w:id="1280" w:name="_Toc77939393"/>
      <w:bookmarkStart w:id="1281" w:name="_Toc77949187"/>
      <w:bookmarkStart w:id="1282" w:name="_Toc76331039"/>
      <w:bookmarkStart w:id="1283" w:name="_Toc76331834"/>
      <w:bookmarkStart w:id="1284" w:name="_Toc76332090"/>
      <w:bookmarkStart w:id="1285" w:name="_Toc76460533"/>
      <w:bookmarkStart w:id="1286" w:name="_Toc76476209"/>
      <w:bookmarkStart w:id="1287" w:name="_Toc76494156"/>
      <w:bookmarkStart w:id="1288" w:name="_Toc77600822"/>
      <w:bookmarkStart w:id="1289" w:name="_Toc77939394"/>
      <w:bookmarkStart w:id="1290" w:name="_Toc77949188"/>
      <w:bookmarkStart w:id="1291" w:name="_Toc76331040"/>
      <w:bookmarkStart w:id="1292" w:name="_Toc76331835"/>
      <w:bookmarkStart w:id="1293" w:name="_Toc76332091"/>
      <w:bookmarkStart w:id="1294" w:name="_Toc76460534"/>
      <w:bookmarkStart w:id="1295" w:name="_Toc76476210"/>
      <w:bookmarkStart w:id="1296" w:name="_Toc76494157"/>
      <w:bookmarkStart w:id="1297" w:name="_Toc77600823"/>
      <w:bookmarkStart w:id="1298" w:name="_Toc77939395"/>
      <w:bookmarkStart w:id="1299" w:name="_Toc77949189"/>
      <w:bookmarkStart w:id="1300" w:name="_Toc76331041"/>
      <w:bookmarkStart w:id="1301" w:name="_Toc76331836"/>
      <w:bookmarkStart w:id="1302" w:name="_Toc76332092"/>
      <w:bookmarkStart w:id="1303" w:name="_Toc76460535"/>
      <w:bookmarkStart w:id="1304" w:name="_Toc76476211"/>
      <w:bookmarkStart w:id="1305" w:name="_Toc76494158"/>
      <w:bookmarkStart w:id="1306" w:name="_Toc77600824"/>
      <w:bookmarkStart w:id="1307" w:name="_Toc77939396"/>
      <w:bookmarkStart w:id="1308" w:name="_Toc77949190"/>
      <w:bookmarkStart w:id="1309" w:name="_Toc78983890"/>
      <w:bookmarkStart w:id="1310" w:name="_Hlk64138735"/>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EA7665">
        <w:rPr>
          <w:rFonts w:cs="Arial"/>
          <w:sz w:val="22"/>
          <w:szCs w:val="22"/>
        </w:rPr>
        <w:lastRenderedPageBreak/>
        <w:t>Skills, knowledge</w:t>
      </w:r>
      <w:r w:rsidR="0042256D">
        <w:rPr>
          <w:rFonts w:cs="Arial"/>
          <w:sz w:val="22"/>
          <w:szCs w:val="22"/>
        </w:rPr>
        <w:t xml:space="preserve"> and</w:t>
      </w:r>
      <w:r w:rsidRPr="00EA7665">
        <w:rPr>
          <w:rFonts w:cs="Arial"/>
          <w:sz w:val="22"/>
          <w:szCs w:val="22"/>
        </w:rPr>
        <w:t xml:space="preserve"> competences</w:t>
      </w:r>
      <w:r w:rsidR="0042256D">
        <w:rPr>
          <w:rFonts w:cs="Arial"/>
          <w:sz w:val="22"/>
          <w:szCs w:val="22"/>
        </w:rPr>
        <w:t xml:space="preserve"> </w:t>
      </w:r>
      <w:r w:rsidRPr="00EA7665">
        <w:rPr>
          <w:rFonts w:cs="Arial"/>
          <w:sz w:val="22"/>
          <w:szCs w:val="22"/>
        </w:rPr>
        <w:t xml:space="preserve">for securing finance for real estate project development in developed and emerging </w:t>
      </w:r>
      <w:r w:rsidR="00B570C4" w:rsidRPr="00EA7665">
        <w:rPr>
          <w:rFonts w:cs="Arial"/>
          <w:sz w:val="22"/>
          <w:szCs w:val="22"/>
        </w:rPr>
        <w:t>economies.</w:t>
      </w:r>
      <w:bookmarkEnd w:id="1309"/>
      <w:r w:rsidRPr="00EA7665">
        <w:rPr>
          <w:rFonts w:cs="Arial"/>
          <w:sz w:val="22"/>
          <w:szCs w:val="22"/>
        </w:rPr>
        <w:t xml:space="preserve"> </w:t>
      </w:r>
    </w:p>
    <w:p w14:paraId="6EB446EE" w14:textId="77777777" w:rsidR="00CD6352" w:rsidRPr="00EA7665" w:rsidRDefault="00CD6352" w:rsidP="00CD6352">
      <w:pPr>
        <w:pStyle w:val="Heading2"/>
        <w:spacing w:line="360" w:lineRule="auto"/>
        <w:jc w:val="both"/>
        <w:rPr>
          <w:rFonts w:cs="Arial"/>
          <w:sz w:val="22"/>
          <w:szCs w:val="22"/>
        </w:rPr>
      </w:pPr>
      <w:bookmarkStart w:id="1311" w:name="_Toc78983891"/>
      <w:r w:rsidRPr="00EA7665">
        <w:rPr>
          <w:rFonts w:cs="Arial"/>
          <w:sz w:val="22"/>
          <w:szCs w:val="22"/>
        </w:rPr>
        <w:t>Introduction</w:t>
      </w:r>
      <w:bookmarkEnd w:id="1311"/>
      <w:r w:rsidRPr="00EA7665">
        <w:rPr>
          <w:rFonts w:cs="Arial"/>
          <w:sz w:val="22"/>
          <w:szCs w:val="22"/>
        </w:rPr>
        <w:t xml:space="preserve"> </w:t>
      </w:r>
    </w:p>
    <w:p w14:paraId="1512081B" w14:textId="5B4D0CB6" w:rsidR="00CD6352" w:rsidRPr="00EA7665" w:rsidRDefault="00CD6352" w:rsidP="00CD6352">
      <w:pPr>
        <w:spacing w:line="360" w:lineRule="auto"/>
        <w:jc w:val="both"/>
        <w:rPr>
          <w:rFonts w:ascii="Arial" w:hAnsi="Arial" w:cs="Arial"/>
          <w:lang w:val="en-US"/>
        </w:rPr>
      </w:pPr>
      <w:r w:rsidRPr="00EA7665">
        <w:rPr>
          <w:rFonts w:ascii="Arial" w:hAnsi="Arial" w:cs="Arial"/>
          <w:lang w:val="en-US"/>
        </w:rPr>
        <w:t xml:space="preserve">This chapter presents and discusses the findings on the manager’s skills, </w:t>
      </w:r>
      <w:r w:rsidR="00B570C4" w:rsidRPr="00EA7665">
        <w:rPr>
          <w:rFonts w:ascii="Arial" w:hAnsi="Arial" w:cs="Arial"/>
          <w:lang w:val="en-US"/>
        </w:rPr>
        <w:t>knowledge,</w:t>
      </w:r>
      <w:r w:rsidR="0042256D">
        <w:rPr>
          <w:rFonts w:ascii="Arial" w:hAnsi="Arial" w:cs="Arial"/>
          <w:lang w:val="en-US"/>
        </w:rPr>
        <w:t xml:space="preserve"> </w:t>
      </w:r>
      <w:r w:rsidR="009E112E">
        <w:rPr>
          <w:rFonts w:ascii="Arial" w:hAnsi="Arial" w:cs="Arial"/>
          <w:lang w:val="en-US"/>
        </w:rPr>
        <w:t xml:space="preserve">and </w:t>
      </w:r>
      <w:r w:rsidR="009E112E" w:rsidRPr="00EA7665">
        <w:rPr>
          <w:rFonts w:ascii="Arial" w:hAnsi="Arial" w:cs="Arial"/>
          <w:lang w:val="en-US"/>
        </w:rPr>
        <w:t>competences</w:t>
      </w:r>
      <w:r w:rsidR="00B570C4">
        <w:rPr>
          <w:rFonts w:ascii="Arial" w:hAnsi="Arial" w:cs="Arial"/>
          <w:lang w:val="en-US"/>
        </w:rPr>
        <w:t xml:space="preserve"> for securing finance for real estate project development</w:t>
      </w:r>
      <w:r w:rsidRPr="00EA7665">
        <w:rPr>
          <w:rFonts w:ascii="Arial" w:hAnsi="Arial" w:cs="Arial"/>
          <w:lang w:val="en-US"/>
        </w:rPr>
        <w:t xml:space="preserve">. The chapter fulfils the </w:t>
      </w:r>
      <w:r w:rsidR="005C2CC6">
        <w:rPr>
          <w:rFonts w:ascii="Arial" w:hAnsi="Arial" w:cs="Arial"/>
          <w:lang w:val="en-US"/>
        </w:rPr>
        <w:t xml:space="preserve">first part of the </w:t>
      </w:r>
      <w:r w:rsidRPr="00EA7665">
        <w:rPr>
          <w:rFonts w:ascii="Arial" w:hAnsi="Arial" w:cs="Arial"/>
          <w:lang w:val="en-US"/>
        </w:rPr>
        <w:t xml:space="preserve">fourth objective which is, “to document the skills, knowledge, </w:t>
      </w:r>
      <w:r>
        <w:rPr>
          <w:rFonts w:ascii="Arial" w:hAnsi="Arial" w:cs="Arial"/>
          <w:lang w:val="en-US"/>
        </w:rPr>
        <w:t xml:space="preserve">and </w:t>
      </w:r>
      <w:r w:rsidRPr="00EA7665">
        <w:rPr>
          <w:rFonts w:ascii="Arial" w:hAnsi="Arial" w:cs="Arial"/>
          <w:lang w:val="en-US"/>
        </w:rPr>
        <w:t xml:space="preserve">competences that the real estate development manager needs to be successful in securing finance for real estate project development”. </w:t>
      </w:r>
    </w:p>
    <w:p w14:paraId="6FCDC028" w14:textId="473B32E7" w:rsidR="00CD6352" w:rsidRPr="00EA7665" w:rsidRDefault="00CD6352" w:rsidP="00CD6352">
      <w:pPr>
        <w:spacing w:line="360" w:lineRule="auto"/>
        <w:jc w:val="both"/>
        <w:rPr>
          <w:rFonts w:ascii="Arial" w:hAnsi="Arial" w:cs="Arial"/>
        </w:rPr>
      </w:pPr>
      <w:r w:rsidRPr="00EA7665">
        <w:rPr>
          <w:rFonts w:ascii="Arial" w:hAnsi="Arial" w:cs="Arial"/>
        </w:rPr>
        <w:t>Th</w:t>
      </w:r>
      <w:r>
        <w:rPr>
          <w:rFonts w:ascii="Arial" w:hAnsi="Arial" w:cs="Arial"/>
        </w:rPr>
        <w:t>e</w:t>
      </w:r>
      <w:r w:rsidRPr="00EA7665">
        <w:rPr>
          <w:rFonts w:ascii="Arial" w:hAnsi="Arial" w:cs="Arial"/>
        </w:rPr>
        <w:t xml:space="preserve"> study of the manager’s skills, </w:t>
      </w:r>
      <w:r w:rsidR="00B570C4" w:rsidRPr="00EA7665">
        <w:rPr>
          <w:rFonts w:ascii="Arial" w:hAnsi="Arial" w:cs="Arial"/>
        </w:rPr>
        <w:t>knowledge,</w:t>
      </w:r>
      <w:r w:rsidR="005C2CC6">
        <w:rPr>
          <w:rFonts w:ascii="Arial" w:hAnsi="Arial" w:cs="Arial"/>
        </w:rPr>
        <w:t xml:space="preserve"> </w:t>
      </w:r>
      <w:r w:rsidR="009E112E">
        <w:rPr>
          <w:rFonts w:ascii="Arial" w:hAnsi="Arial" w:cs="Arial"/>
        </w:rPr>
        <w:t xml:space="preserve">and </w:t>
      </w:r>
      <w:r w:rsidR="009E112E" w:rsidRPr="00EA7665">
        <w:rPr>
          <w:rFonts w:ascii="Arial" w:hAnsi="Arial" w:cs="Arial"/>
        </w:rPr>
        <w:t>competences</w:t>
      </w:r>
      <w:r w:rsidR="005C2CC6">
        <w:rPr>
          <w:rFonts w:ascii="Arial" w:hAnsi="Arial" w:cs="Arial"/>
        </w:rPr>
        <w:t xml:space="preserve"> </w:t>
      </w:r>
      <w:r w:rsidRPr="00EA7665">
        <w:rPr>
          <w:rFonts w:ascii="Arial" w:hAnsi="Arial" w:cs="Arial"/>
        </w:rPr>
        <w:t xml:space="preserve">for securing finance for real estate project development </w:t>
      </w:r>
      <w:r>
        <w:rPr>
          <w:rFonts w:ascii="Arial" w:hAnsi="Arial" w:cs="Arial"/>
        </w:rPr>
        <w:t>is</w:t>
      </w:r>
      <w:r w:rsidRPr="00EA7665">
        <w:rPr>
          <w:rFonts w:ascii="Arial" w:hAnsi="Arial" w:cs="Arial"/>
        </w:rPr>
        <w:t xml:space="preserve"> for the following reasons:</w:t>
      </w:r>
    </w:p>
    <w:p w14:paraId="4351C241" w14:textId="65D2C139" w:rsidR="00CD6352" w:rsidRPr="00EA7665" w:rsidRDefault="00CD6352" w:rsidP="007625E7">
      <w:pPr>
        <w:numPr>
          <w:ilvl w:val="0"/>
          <w:numId w:val="384"/>
        </w:numPr>
        <w:spacing w:line="360" w:lineRule="auto"/>
        <w:jc w:val="both"/>
        <w:rPr>
          <w:rFonts w:ascii="Arial" w:hAnsi="Arial" w:cs="Arial"/>
        </w:rPr>
      </w:pPr>
      <w:r w:rsidRPr="00EA7665">
        <w:rPr>
          <w:rFonts w:ascii="Arial" w:hAnsi="Arial" w:cs="Arial"/>
        </w:rPr>
        <w:t xml:space="preserve">To create awareness of the skills, </w:t>
      </w:r>
      <w:r w:rsidR="00B570C4" w:rsidRPr="00EA7665">
        <w:rPr>
          <w:rFonts w:ascii="Arial" w:hAnsi="Arial" w:cs="Arial"/>
        </w:rPr>
        <w:t>knowledge,</w:t>
      </w:r>
      <w:r w:rsidR="005C2CC6">
        <w:rPr>
          <w:rFonts w:ascii="Arial" w:hAnsi="Arial" w:cs="Arial"/>
        </w:rPr>
        <w:t xml:space="preserve"> and</w:t>
      </w:r>
      <w:r w:rsidRPr="00EA7665">
        <w:rPr>
          <w:rFonts w:ascii="Arial" w:hAnsi="Arial" w:cs="Arial"/>
        </w:rPr>
        <w:t xml:space="preserve"> competences</w:t>
      </w:r>
      <w:r w:rsidR="005C2CC6">
        <w:rPr>
          <w:rFonts w:ascii="Arial" w:hAnsi="Arial" w:cs="Arial"/>
        </w:rPr>
        <w:t xml:space="preserve"> that </w:t>
      </w:r>
      <w:r w:rsidR="005C2CC6" w:rsidRPr="00EA7665">
        <w:rPr>
          <w:rFonts w:ascii="Arial" w:hAnsi="Arial" w:cs="Arial"/>
        </w:rPr>
        <w:t>managers</w:t>
      </w:r>
      <w:r w:rsidRPr="00EA7665">
        <w:rPr>
          <w:rFonts w:ascii="Arial" w:hAnsi="Arial" w:cs="Arial"/>
        </w:rPr>
        <w:t xml:space="preserve"> need to be able to obtain funding for real estate project development.</w:t>
      </w:r>
    </w:p>
    <w:p w14:paraId="32961E0B" w14:textId="1B168FE6" w:rsidR="00CD6352" w:rsidRPr="00EA7665" w:rsidRDefault="00CD6352" w:rsidP="007625E7">
      <w:pPr>
        <w:numPr>
          <w:ilvl w:val="0"/>
          <w:numId w:val="384"/>
        </w:numPr>
        <w:spacing w:line="360" w:lineRule="auto"/>
        <w:jc w:val="both"/>
        <w:rPr>
          <w:rFonts w:ascii="Arial" w:hAnsi="Arial" w:cs="Arial"/>
        </w:rPr>
      </w:pPr>
      <w:r w:rsidRPr="00EA7665">
        <w:rPr>
          <w:rFonts w:ascii="Arial" w:hAnsi="Arial" w:cs="Arial"/>
        </w:rPr>
        <w:t>To provide a platform for training and development on the skills, knowledge</w:t>
      </w:r>
      <w:r w:rsidR="005C2CC6">
        <w:rPr>
          <w:rFonts w:ascii="Arial" w:hAnsi="Arial" w:cs="Arial"/>
        </w:rPr>
        <w:t xml:space="preserve"> and</w:t>
      </w:r>
      <w:r w:rsidRPr="00EA7665">
        <w:rPr>
          <w:rFonts w:ascii="Arial" w:hAnsi="Arial" w:cs="Arial"/>
        </w:rPr>
        <w:t xml:space="preserve"> competences</w:t>
      </w:r>
      <w:r w:rsidR="005C2CC6">
        <w:rPr>
          <w:rFonts w:ascii="Arial" w:hAnsi="Arial" w:cs="Arial"/>
        </w:rPr>
        <w:t xml:space="preserve"> </w:t>
      </w:r>
      <w:r w:rsidRPr="00EA7665">
        <w:rPr>
          <w:rFonts w:ascii="Arial" w:hAnsi="Arial" w:cs="Arial"/>
        </w:rPr>
        <w:t xml:space="preserve">managers need to secure finance for real estate project development. </w:t>
      </w:r>
    </w:p>
    <w:p w14:paraId="440B4B16" w14:textId="77777777" w:rsidR="00CD6352" w:rsidRPr="00EA7665" w:rsidRDefault="00CD6352" w:rsidP="007625E7">
      <w:pPr>
        <w:numPr>
          <w:ilvl w:val="0"/>
          <w:numId w:val="384"/>
        </w:numPr>
        <w:spacing w:line="360" w:lineRule="auto"/>
        <w:jc w:val="both"/>
        <w:rPr>
          <w:rFonts w:ascii="Arial" w:hAnsi="Arial" w:cs="Arial"/>
        </w:rPr>
      </w:pPr>
      <w:r>
        <w:rPr>
          <w:rFonts w:ascii="Arial" w:hAnsi="Arial" w:cs="Arial"/>
        </w:rPr>
        <w:t>To</w:t>
      </w:r>
      <w:r w:rsidRPr="00EA7665">
        <w:rPr>
          <w:rFonts w:ascii="Arial" w:hAnsi="Arial" w:cs="Arial"/>
        </w:rPr>
        <w:t xml:space="preserve"> contribute to the development of a toolkit for securing finance for real estate project development. </w:t>
      </w:r>
    </w:p>
    <w:bookmarkEnd w:id="1310"/>
    <w:p w14:paraId="46345913" w14:textId="614A17C6" w:rsidR="00A66C23" w:rsidRPr="00EA7665" w:rsidRDefault="00CD6352" w:rsidP="00A66C23">
      <w:pPr>
        <w:spacing w:line="360" w:lineRule="auto"/>
        <w:jc w:val="both"/>
        <w:rPr>
          <w:rFonts w:ascii="Arial" w:hAnsi="Arial" w:cs="Arial"/>
          <w:lang w:val="en-US"/>
        </w:rPr>
      </w:pPr>
      <w:r w:rsidRPr="00EA7665">
        <w:rPr>
          <w:rFonts w:ascii="Arial" w:hAnsi="Arial" w:cs="Arial"/>
          <w:lang w:val="en-US"/>
        </w:rPr>
        <w:t xml:space="preserve"> </w:t>
      </w:r>
    </w:p>
    <w:p w14:paraId="59B183A8" w14:textId="3CDF37C9" w:rsidR="00CD6352" w:rsidRPr="00EA7665" w:rsidRDefault="00CD6352" w:rsidP="00CD6352">
      <w:pPr>
        <w:pStyle w:val="Heading2"/>
        <w:spacing w:after="240" w:line="360" w:lineRule="auto"/>
        <w:jc w:val="both"/>
        <w:rPr>
          <w:rFonts w:cs="Arial"/>
          <w:sz w:val="22"/>
          <w:szCs w:val="22"/>
        </w:rPr>
      </w:pPr>
      <w:bookmarkStart w:id="1312" w:name="_Toc78983892"/>
      <w:r w:rsidRPr="00EA7665">
        <w:rPr>
          <w:rFonts w:cs="Arial"/>
          <w:sz w:val="22"/>
          <w:szCs w:val="22"/>
        </w:rPr>
        <w:t xml:space="preserve">Managers skills for securing finance for real estate project </w:t>
      </w:r>
      <w:r w:rsidR="00B570C4" w:rsidRPr="00EA7665">
        <w:rPr>
          <w:rFonts w:cs="Arial"/>
          <w:sz w:val="22"/>
          <w:szCs w:val="22"/>
        </w:rPr>
        <w:t>development.</w:t>
      </w:r>
      <w:bookmarkEnd w:id="1312"/>
    </w:p>
    <w:p w14:paraId="0A149F86" w14:textId="6975272C" w:rsidR="00CD6352" w:rsidRPr="00EA7665" w:rsidRDefault="00CD6352" w:rsidP="00CD6352">
      <w:pPr>
        <w:spacing w:line="360" w:lineRule="auto"/>
        <w:jc w:val="both"/>
        <w:rPr>
          <w:rFonts w:ascii="Arial" w:hAnsi="Arial" w:cs="Arial"/>
        </w:rPr>
      </w:pPr>
      <w:r>
        <w:rPr>
          <w:rFonts w:ascii="Arial" w:hAnsi="Arial" w:cs="Arial"/>
        </w:rPr>
        <w:t xml:space="preserve">A </w:t>
      </w:r>
      <w:r w:rsidR="00B570C4">
        <w:rPr>
          <w:rFonts w:ascii="Arial" w:hAnsi="Arial" w:cs="Arial"/>
        </w:rPr>
        <w:t>l</w:t>
      </w:r>
      <w:r w:rsidR="00B570C4" w:rsidRPr="00EA7665">
        <w:rPr>
          <w:rFonts w:ascii="Arial" w:hAnsi="Arial" w:cs="Arial"/>
        </w:rPr>
        <w:t>ist</w:t>
      </w:r>
      <w:r w:rsidRPr="00EA7665">
        <w:rPr>
          <w:rFonts w:ascii="Arial" w:hAnsi="Arial" w:cs="Arial"/>
        </w:rPr>
        <w:t xml:space="preserve"> of </w:t>
      </w:r>
      <w:r w:rsidR="00B570C4" w:rsidRPr="00EA7665">
        <w:rPr>
          <w:rFonts w:ascii="Arial" w:hAnsi="Arial" w:cs="Arial"/>
        </w:rPr>
        <w:t>twenty-three</w:t>
      </w:r>
      <w:r w:rsidRPr="00EA7665">
        <w:rPr>
          <w:rFonts w:ascii="Arial" w:hAnsi="Arial" w:cs="Arial"/>
        </w:rPr>
        <w:t xml:space="preserve"> (23) management skills w</w:t>
      </w:r>
      <w:r w:rsidR="00241A70">
        <w:rPr>
          <w:rFonts w:ascii="Arial" w:hAnsi="Arial" w:cs="Arial"/>
        </w:rPr>
        <w:t>as</w:t>
      </w:r>
      <w:r w:rsidRPr="00EA7665">
        <w:rPr>
          <w:rFonts w:ascii="Arial" w:hAnsi="Arial" w:cs="Arial"/>
        </w:rPr>
        <w:t xml:space="preserve"> presented based on a review of the literature (See chapter </w:t>
      </w:r>
      <w:r w:rsidR="009E112E">
        <w:rPr>
          <w:rFonts w:ascii="Arial" w:hAnsi="Arial" w:cs="Arial"/>
        </w:rPr>
        <w:t>3.8</w:t>
      </w:r>
      <w:r w:rsidRPr="00EA7665">
        <w:rPr>
          <w:rFonts w:ascii="Arial" w:hAnsi="Arial" w:cs="Arial"/>
        </w:rPr>
        <w:t>). Respondents were requested to indicate the degree of importance for securing finance for real estate project development</w:t>
      </w:r>
      <w:r>
        <w:rPr>
          <w:rFonts w:ascii="Arial" w:hAnsi="Arial" w:cs="Arial"/>
        </w:rPr>
        <w:t>,</w:t>
      </w:r>
      <w:r w:rsidRPr="00EA7665">
        <w:rPr>
          <w:rFonts w:ascii="Arial" w:hAnsi="Arial" w:cs="Arial"/>
        </w:rPr>
        <w:t xml:space="preserve"> the need for training and education for the present and the need for training and education for the next five (5) years. </w:t>
      </w:r>
    </w:p>
    <w:p w14:paraId="543882D6" w14:textId="77777777" w:rsidR="00CD6352" w:rsidRPr="00EA7665" w:rsidRDefault="00CD6352" w:rsidP="00CD6352">
      <w:pPr>
        <w:spacing w:line="360" w:lineRule="auto"/>
        <w:jc w:val="both"/>
        <w:rPr>
          <w:rFonts w:ascii="Arial" w:hAnsi="Arial" w:cs="Arial"/>
        </w:rPr>
      </w:pPr>
      <w:r w:rsidRPr="00EA7665">
        <w:rPr>
          <w:rFonts w:ascii="Arial" w:hAnsi="Arial" w:cs="Arial"/>
        </w:rPr>
        <w:t>The statistical analysis used SPSS 21, and it was discussed in two major parts:</w:t>
      </w:r>
    </w:p>
    <w:p w14:paraId="17003D90" w14:textId="23422C47" w:rsidR="00CD6352" w:rsidRPr="00EA7665" w:rsidRDefault="00CD6352" w:rsidP="007625E7">
      <w:pPr>
        <w:pStyle w:val="ListParagraph"/>
        <w:numPr>
          <w:ilvl w:val="0"/>
          <w:numId w:val="385"/>
        </w:numPr>
        <w:spacing w:line="360" w:lineRule="auto"/>
        <w:jc w:val="both"/>
        <w:rPr>
          <w:rFonts w:ascii="Arial" w:hAnsi="Arial" w:cs="Arial"/>
        </w:rPr>
      </w:pPr>
      <w:r w:rsidRPr="00EA7665">
        <w:rPr>
          <w:rFonts w:ascii="Arial" w:hAnsi="Arial" w:cs="Arial"/>
        </w:rPr>
        <w:t xml:space="preserve">The </w:t>
      </w:r>
      <w:r w:rsidR="005C0F41" w:rsidRPr="00EA7665">
        <w:rPr>
          <w:rFonts w:ascii="Arial" w:hAnsi="Arial" w:cs="Arial"/>
        </w:rPr>
        <w:t xml:space="preserve">aggregate </w:t>
      </w:r>
      <w:r w:rsidR="005C0F41">
        <w:rPr>
          <w:rFonts w:ascii="Arial" w:hAnsi="Arial" w:cs="Arial"/>
        </w:rPr>
        <w:t>and</w:t>
      </w:r>
      <w:r>
        <w:rPr>
          <w:rFonts w:ascii="Arial" w:hAnsi="Arial" w:cs="Arial"/>
        </w:rPr>
        <w:t xml:space="preserve"> disaggregate </w:t>
      </w:r>
      <w:r w:rsidRPr="00EA7665">
        <w:rPr>
          <w:rFonts w:ascii="Arial" w:hAnsi="Arial" w:cs="Arial"/>
        </w:rPr>
        <w:t>level</w:t>
      </w:r>
      <w:r>
        <w:rPr>
          <w:rFonts w:ascii="Arial" w:hAnsi="Arial" w:cs="Arial"/>
        </w:rPr>
        <w:t>s</w:t>
      </w:r>
      <w:r w:rsidRPr="00EA7665">
        <w:rPr>
          <w:rFonts w:ascii="Arial" w:hAnsi="Arial" w:cs="Arial"/>
        </w:rPr>
        <w:t xml:space="preserve"> discussed the percentage usage</w:t>
      </w:r>
      <w:r w:rsidR="00B570C4">
        <w:rPr>
          <w:rFonts w:ascii="Arial" w:hAnsi="Arial" w:cs="Arial"/>
        </w:rPr>
        <w:t xml:space="preserve"> and the mean values</w:t>
      </w:r>
      <w:r w:rsidRPr="00EA7665">
        <w:rPr>
          <w:rFonts w:ascii="Arial" w:hAnsi="Arial" w:cs="Arial"/>
        </w:rPr>
        <w:t xml:space="preserve"> of the different management skills for securing finance for real estate project development based on the </w:t>
      </w:r>
      <w:r w:rsidR="00B570C4" w:rsidRPr="00EA7665">
        <w:rPr>
          <w:rFonts w:ascii="Arial" w:hAnsi="Arial" w:cs="Arial"/>
        </w:rPr>
        <w:t>importance,</w:t>
      </w:r>
      <w:r w:rsidRPr="00EA7665">
        <w:rPr>
          <w:rFonts w:ascii="Arial" w:hAnsi="Arial" w:cs="Arial"/>
        </w:rPr>
        <w:t xml:space="preserve"> the need for training for the present and the future.</w:t>
      </w:r>
      <w:r w:rsidR="00106D67">
        <w:rPr>
          <w:rFonts w:ascii="Arial" w:hAnsi="Arial" w:cs="Arial"/>
        </w:rPr>
        <w:t xml:space="preserve"> </w:t>
      </w:r>
    </w:p>
    <w:p w14:paraId="7F466D6A" w14:textId="5BF2780C" w:rsidR="00CD6352" w:rsidRPr="0070483C" w:rsidRDefault="00CD6352" w:rsidP="007625E7">
      <w:pPr>
        <w:pStyle w:val="ListParagraph"/>
        <w:numPr>
          <w:ilvl w:val="0"/>
          <w:numId w:val="385"/>
        </w:numPr>
        <w:spacing w:line="360" w:lineRule="auto"/>
        <w:jc w:val="both"/>
        <w:rPr>
          <w:rFonts w:ascii="Arial" w:hAnsi="Arial" w:cs="Arial"/>
        </w:rPr>
      </w:pPr>
      <w:r w:rsidRPr="0070483C">
        <w:rPr>
          <w:rFonts w:ascii="Arial" w:hAnsi="Arial" w:cs="Arial"/>
        </w:rPr>
        <w:t xml:space="preserve">The semi-structured interviews </w:t>
      </w:r>
      <w:r>
        <w:rPr>
          <w:rFonts w:ascii="Arial" w:hAnsi="Arial" w:cs="Arial"/>
        </w:rPr>
        <w:t>were</w:t>
      </w:r>
      <w:r w:rsidRPr="0070483C">
        <w:rPr>
          <w:rFonts w:ascii="Arial" w:hAnsi="Arial" w:cs="Arial"/>
        </w:rPr>
        <w:t xml:space="preserve"> </w:t>
      </w:r>
      <w:r w:rsidR="00B570C4">
        <w:rPr>
          <w:rFonts w:ascii="Arial" w:hAnsi="Arial" w:cs="Arial"/>
        </w:rPr>
        <w:t xml:space="preserve">also </w:t>
      </w:r>
      <w:r w:rsidRPr="0070483C">
        <w:rPr>
          <w:rFonts w:ascii="Arial" w:hAnsi="Arial" w:cs="Arial"/>
        </w:rPr>
        <w:t>analysed to explore the different skills used in both the developed and emerging economies for securing finance for real estate project development.</w:t>
      </w:r>
    </w:p>
    <w:p w14:paraId="4BE06CE0" w14:textId="4E065A49" w:rsidR="00CD6352" w:rsidRPr="00EA7665" w:rsidRDefault="00CD6352" w:rsidP="00CD6352">
      <w:pPr>
        <w:pStyle w:val="Heading3"/>
        <w:spacing w:after="240" w:line="360" w:lineRule="auto"/>
        <w:jc w:val="both"/>
        <w:rPr>
          <w:rFonts w:cs="Arial"/>
          <w:sz w:val="22"/>
          <w:szCs w:val="22"/>
        </w:rPr>
      </w:pPr>
      <w:bookmarkStart w:id="1313" w:name="_Toc78983893"/>
      <w:r w:rsidRPr="00EA7665">
        <w:rPr>
          <w:rFonts w:cs="Arial"/>
          <w:sz w:val="22"/>
          <w:szCs w:val="22"/>
        </w:rPr>
        <w:lastRenderedPageBreak/>
        <w:t xml:space="preserve">Degree of </w:t>
      </w:r>
      <w:r w:rsidR="00E548D8">
        <w:rPr>
          <w:rFonts w:cs="Arial"/>
          <w:sz w:val="22"/>
          <w:szCs w:val="22"/>
        </w:rPr>
        <w:t xml:space="preserve">the </w:t>
      </w:r>
      <w:r w:rsidRPr="00EA7665">
        <w:rPr>
          <w:rFonts w:cs="Arial"/>
          <w:sz w:val="22"/>
          <w:szCs w:val="22"/>
        </w:rPr>
        <w:t xml:space="preserve">importance of management skills for securing finance for real estate project </w:t>
      </w:r>
      <w:r w:rsidR="00815DFD" w:rsidRPr="00EA7665">
        <w:rPr>
          <w:rFonts w:cs="Arial"/>
          <w:sz w:val="22"/>
          <w:szCs w:val="22"/>
        </w:rPr>
        <w:t>development.</w:t>
      </w:r>
      <w:bookmarkEnd w:id="1313"/>
    </w:p>
    <w:p w14:paraId="7BBDA078" w14:textId="77777777" w:rsidR="00CD6352" w:rsidRPr="00EA7665" w:rsidRDefault="00CD6352" w:rsidP="00CD6352">
      <w:pPr>
        <w:pStyle w:val="Heading4"/>
        <w:spacing w:after="240" w:line="360" w:lineRule="auto"/>
        <w:jc w:val="both"/>
        <w:rPr>
          <w:rFonts w:ascii="Arial" w:hAnsi="Arial" w:cs="Arial"/>
          <w:color w:val="000000" w:themeColor="text1"/>
        </w:rPr>
      </w:pPr>
      <w:r w:rsidRPr="00EA7665">
        <w:rPr>
          <w:rFonts w:ascii="Arial" w:hAnsi="Arial" w:cs="Arial"/>
          <w:color w:val="000000" w:themeColor="text1"/>
        </w:rPr>
        <w:t>Questionnaire survey discussion and analysis at the aggregate level</w:t>
      </w:r>
    </w:p>
    <w:p w14:paraId="34C2064B" w14:textId="0ADF1125" w:rsidR="00CD6352" w:rsidRPr="00EA7665" w:rsidRDefault="00CD6352" w:rsidP="00CD6352">
      <w:pPr>
        <w:spacing w:line="360" w:lineRule="auto"/>
        <w:jc w:val="both"/>
        <w:rPr>
          <w:rFonts w:ascii="Arial" w:hAnsi="Arial" w:cs="Arial"/>
        </w:rPr>
      </w:pPr>
      <w:r w:rsidRPr="00EA7665">
        <w:rPr>
          <w:rFonts w:ascii="Arial" w:hAnsi="Arial" w:cs="Arial"/>
        </w:rPr>
        <w:t>The resu</w:t>
      </w:r>
      <w:r>
        <w:rPr>
          <w:rFonts w:ascii="Arial" w:hAnsi="Arial" w:cs="Arial"/>
        </w:rPr>
        <w:t>lts</w:t>
      </w:r>
      <w:r w:rsidRPr="00EA7665">
        <w:rPr>
          <w:rFonts w:ascii="Arial" w:hAnsi="Arial" w:cs="Arial"/>
        </w:rPr>
        <w:t xml:space="preserve"> relating to</w:t>
      </w:r>
      <w:r>
        <w:rPr>
          <w:rFonts w:ascii="Arial" w:hAnsi="Arial" w:cs="Arial"/>
        </w:rPr>
        <w:t xml:space="preserve"> the</w:t>
      </w:r>
      <w:r w:rsidRPr="00EA7665">
        <w:rPr>
          <w:rFonts w:ascii="Arial" w:hAnsi="Arial" w:cs="Arial"/>
        </w:rPr>
        <w:t xml:space="preserve"> importance of manage</w:t>
      </w:r>
      <w:r>
        <w:rPr>
          <w:rFonts w:ascii="Arial" w:hAnsi="Arial" w:cs="Arial"/>
        </w:rPr>
        <w:t>ment</w:t>
      </w:r>
      <w:r w:rsidRPr="00EA7665">
        <w:rPr>
          <w:rFonts w:ascii="Arial" w:hAnsi="Arial" w:cs="Arial"/>
        </w:rPr>
        <w:t xml:space="preserve"> skills for securing finance for real estate project development </w:t>
      </w:r>
      <w:r>
        <w:rPr>
          <w:rFonts w:ascii="Arial" w:hAnsi="Arial" w:cs="Arial"/>
        </w:rPr>
        <w:t>are</w:t>
      </w:r>
      <w:r w:rsidRPr="00EA7665">
        <w:rPr>
          <w:rFonts w:ascii="Arial" w:hAnsi="Arial" w:cs="Arial"/>
        </w:rPr>
        <w:t xml:space="preserve"> shown in table 8.1. Almost 69% of the survey respondents were of the view </w:t>
      </w:r>
      <w:r w:rsidR="007F0CE5" w:rsidRPr="00EA7665">
        <w:rPr>
          <w:rFonts w:ascii="Arial" w:hAnsi="Arial" w:cs="Arial"/>
        </w:rPr>
        <w:t>that analytical</w:t>
      </w:r>
      <w:r w:rsidRPr="00EA7665">
        <w:rPr>
          <w:rFonts w:ascii="Arial" w:hAnsi="Arial" w:cs="Arial"/>
        </w:rPr>
        <w:t xml:space="preserve"> skill is the most important skill for securing finance for real estate project development. This is closely followed by budgeting skills (64%</w:t>
      </w:r>
      <w:r w:rsidR="007F0CE5" w:rsidRPr="00EA7665">
        <w:rPr>
          <w:rFonts w:ascii="Arial" w:hAnsi="Arial" w:cs="Arial"/>
        </w:rPr>
        <w:t>), teamwork</w:t>
      </w:r>
      <w:r w:rsidRPr="00EA7665">
        <w:rPr>
          <w:rFonts w:ascii="Arial" w:hAnsi="Arial" w:cs="Arial"/>
        </w:rPr>
        <w:t xml:space="preserve"> (58%), communication (56%) and developing confidence &amp; building relationships (54%). The top 10 very important skills for securing finance for real estate project development </w:t>
      </w:r>
      <w:r>
        <w:rPr>
          <w:rFonts w:ascii="Arial" w:hAnsi="Arial" w:cs="Arial"/>
        </w:rPr>
        <w:t>have</w:t>
      </w:r>
      <w:r w:rsidRPr="00EA7665">
        <w:rPr>
          <w:rFonts w:ascii="Arial" w:hAnsi="Arial" w:cs="Arial"/>
        </w:rPr>
        <w:t xml:space="preserve"> a high concentration of human and financial management skills; this is in line with existing literature which shows that human skills are the prognosticator of managerial effectiveness (Boyatzis, 1982; Ogbenjuwa et al., 2018). However, the skills considered least</w:t>
      </w:r>
      <w:r>
        <w:rPr>
          <w:rFonts w:ascii="Arial" w:hAnsi="Arial" w:cs="Arial"/>
        </w:rPr>
        <w:t xml:space="preserve"> important</w:t>
      </w:r>
      <w:r w:rsidRPr="00EA7665">
        <w:rPr>
          <w:rFonts w:ascii="Arial" w:hAnsi="Arial" w:cs="Arial"/>
        </w:rPr>
        <w:t xml:space="preserve"> in terms </w:t>
      </w:r>
      <w:r>
        <w:rPr>
          <w:rFonts w:ascii="Arial" w:hAnsi="Arial" w:cs="Arial"/>
        </w:rPr>
        <w:t>of</w:t>
      </w:r>
      <w:r w:rsidRPr="00EA7665">
        <w:rPr>
          <w:rFonts w:ascii="Arial" w:hAnsi="Arial" w:cs="Arial"/>
        </w:rPr>
        <w:t xml:space="preserve"> the ranking of “very important” are emotional intelligence (24%), emerging </w:t>
      </w:r>
      <w:r w:rsidR="007F0CE5" w:rsidRPr="00EA7665">
        <w:rPr>
          <w:rFonts w:ascii="Arial" w:hAnsi="Arial" w:cs="Arial"/>
        </w:rPr>
        <w:t>technologies (</w:t>
      </w:r>
      <w:r w:rsidRPr="00EA7665">
        <w:rPr>
          <w:rFonts w:ascii="Arial" w:hAnsi="Arial" w:cs="Arial"/>
        </w:rPr>
        <w:t>27%), recognising and using influence</w:t>
      </w:r>
      <w:r w:rsidR="00F26973">
        <w:rPr>
          <w:rFonts w:ascii="Arial" w:hAnsi="Arial" w:cs="Arial"/>
        </w:rPr>
        <w:t xml:space="preserve"> </w:t>
      </w:r>
      <w:r w:rsidRPr="00EA7665">
        <w:rPr>
          <w:rFonts w:ascii="Arial" w:hAnsi="Arial" w:cs="Arial"/>
        </w:rPr>
        <w:t xml:space="preserve">(30%) and market liquidity </w:t>
      </w:r>
      <w:r w:rsidR="00F26973" w:rsidRPr="00EA7665">
        <w:rPr>
          <w:rFonts w:ascii="Arial" w:hAnsi="Arial" w:cs="Arial"/>
        </w:rPr>
        <w:t>timing (</w:t>
      </w:r>
      <w:r w:rsidRPr="00EA7665">
        <w:rPr>
          <w:rFonts w:ascii="Arial" w:hAnsi="Arial" w:cs="Arial"/>
        </w:rPr>
        <w:t xml:space="preserve">31%). The ranking </w:t>
      </w:r>
      <w:r w:rsidR="00CE6BCD" w:rsidRPr="00EA7665">
        <w:rPr>
          <w:rFonts w:ascii="Arial" w:hAnsi="Arial" w:cs="Arial"/>
        </w:rPr>
        <w:t>has</w:t>
      </w:r>
      <w:r w:rsidRPr="00EA7665">
        <w:rPr>
          <w:rFonts w:ascii="Arial" w:hAnsi="Arial" w:cs="Arial"/>
        </w:rPr>
        <w:t xml:space="preserve"> </w:t>
      </w:r>
      <w:r>
        <w:rPr>
          <w:rFonts w:ascii="Arial" w:hAnsi="Arial" w:cs="Arial"/>
        </w:rPr>
        <w:t>a</w:t>
      </w:r>
      <w:r w:rsidRPr="00EA7665">
        <w:rPr>
          <w:rFonts w:ascii="Arial" w:hAnsi="Arial" w:cs="Arial"/>
        </w:rPr>
        <w:t xml:space="preserve"> combination of human, technical, conceptual, political and financial management skills. It is in line with the theoretical underpinning of Katz’s three-skill approach and Mumford’s skills model for leadership (</w:t>
      </w:r>
      <w:r w:rsidR="008C5C42">
        <w:rPr>
          <w:rFonts w:ascii="Arial" w:hAnsi="Arial" w:cs="Arial"/>
        </w:rPr>
        <w:t>see chapter 3.8</w:t>
      </w:r>
      <w:r w:rsidRPr="00EA7665">
        <w:rPr>
          <w:rFonts w:ascii="Arial" w:hAnsi="Arial" w:cs="Arial"/>
        </w:rPr>
        <w:t xml:space="preserve">). </w:t>
      </w:r>
    </w:p>
    <w:p w14:paraId="4A453C64" w14:textId="2EFB0383" w:rsidR="00CD6352" w:rsidRPr="00815DFD" w:rsidRDefault="00CD6352" w:rsidP="00CD6352">
      <w:pPr>
        <w:pStyle w:val="Caption"/>
        <w:rPr>
          <w:rFonts w:ascii="Arial" w:hAnsi="Arial" w:cs="Arial"/>
          <w:i w:val="0"/>
          <w:iCs w:val="0"/>
          <w:sz w:val="16"/>
          <w:szCs w:val="16"/>
        </w:rPr>
      </w:pPr>
      <w:bookmarkStart w:id="1314" w:name="_Toc78983997"/>
      <w:r w:rsidRPr="00815DFD">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8.2</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1</w:t>
      </w:r>
      <w:r w:rsidR="008F25B1">
        <w:rPr>
          <w:rFonts w:ascii="Arial" w:hAnsi="Arial" w:cs="Arial"/>
          <w:i w:val="0"/>
          <w:iCs w:val="0"/>
          <w:sz w:val="16"/>
          <w:szCs w:val="16"/>
        </w:rPr>
        <w:fldChar w:fldCharType="end"/>
      </w:r>
      <w:r w:rsidRPr="00815DFD">
        <w:rPr>
          <w:rFonts w:ascii="Arial" w:hAnsi="Arial" w:cs="Arial"/>
          <w:i w:val="0"/>
          <w:iCs w:val="0"/>
          <w:sz w:val="16"/>
          <w:szCs w:val="16"/>
        </w:rPr>
        <w:t xml:space="preserve">: Degree of </w:t>
      </w:r>
      <w:r w:rsidR="00465217">
        <w:rPr>
          <w:rFonts w:ascii="Arial" w:hAnsi="Arial" w:cs="Arial"/>
          <w:i w:val="0"/>
          <w:iCs w:val="0"/>
          <w:sz w:val="16"/>
          <w:szCs w:val="16"/>
        </w:rPr>
        <w:t xml:space="preserve">the </w:t>
      </w:r>
      <w:r w:rsidRPr="00815DFD">
        <w:rPr>
          <w:rFonts w:ascii="Arial" w:hAnsi="Arial" w:cs="Arial"/>
          <w:i w:val="0"/>
          <w:iCs w:val="0"/>
          <w:sz w:val="16"/>
          <w:szCs w:val="16"/>
        </w:rPr>
        <w:t xml:space="preserve">importance of management skills for securing finance for real estate project </w:t>
      </w:r>
      <w:r w:rsidR="00815DFD" w:rsidRPr="00815DFD">
        <w:rPr>
          <w:rFonts w:ascii="Arial" w:hAnsi="Arial" w:cs="Arial"/>
          <w:i w:val="0"/>
          <w:iCs w:val="0"/>
          <w:sz w:val="16"/>
          <w:szCs w:val="16"/>
        </w:rPr>
        <w:t>development.</w:t>
      </w:r>
      <w:bookmarkEnd w:id="1314"/>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86"/>
        <w:gridCol w:w="1301"/>
        <w:gridCol w:w="1151"/>
        <w:gridCol w:w="1181"/>
        <w:gridCol w:w="954"/>
        <w:gridCol w:w="1143"/>
      </w:tblGrid>
      <w:tr w:rsidR="00CD6352" w:rsidRPr="00AF2079" w14:paraId="655131B9" w14:textId="77777777" w:rsidTr="00CD6352">
        <w:tc>
          <w:tcPr>
            <w:tcW w:w="0" w:type="auto"/>
            <w:vMerge w:val="restart"/>
          </w:tcPr>
          <w:p w14:paraId="5D2AA157" w14:textId="77777777" w:rsidR="00CD6352" w:rsidRPr="00EA7665" w:rsidRDefault="00CD6352" w:rsidP="00CD6352">
            <w:pPr>
              <w:jc w:val="both"/>
              <w:rPr>
                <w:rFonts w:ascii="Arial" w:hAnsi="Arial" w:cs="Arial"/>
                <w:b/>
                <w:sz w:val="16"/>
                <w:szCs w:val="16"/>
              </w:rPr>
            </w:pPr>
          </w:p>
          <w:p w14:paraId="477C7EB7" w14:textId="77777777" w:rsidR="00CD6352" w:rsidRPr="00AF2079" w:rsidRDefault="00CD6352" w:rsidP="00CD6352">
            <w:pPr>
              <w:jc w:val="both"/>
              <w:rPr>
                <w:rFonts w:ascii="Arial" w:hAnsi="Arial" w:cs="Arial"/>
                <w:b/>
                <w:sz w:val="16"/>
                <w:szCs w:val="16"/>
              </w:rPr>
            </w:pPr>
            <w:r w:rsidRPr="00AF2079">
              <w:rPr>
                <w:rFonts w:ascii="Arial" w:hAnsi="Arial" w:cs="Arial"/>
                <w:b/>
                <w:sz w:val="16"/>
                <w:szCs w:val="16"/>
              </w:rPr>
              <w:t xml:space="preserve">Skills for securing finance for real estate project development </w:t>
            </w:r>
          </w:p>
        </w:tc>
        <w:tc>
          <w:tcPr>
            <w:tcW w:w="0" w:type="auto"/>
          </w:tcPr>
          <w:p w14:paraId="0E1612D7" w14:textId="77777777" w:rsidR="00CD6352" w:rsidRPr="00AF2079" w:rsidRDefault="00CD6352" w:rsidP="00CD6352">
            <w:pPr>
              <w:jc w:val="both"/>
              <w:rPr>
                <w:rFonts w:ascii="Arial" w:hAnsi="Arial" w:cs="Arial"/>
                <w:b/>
                <w:sz w:val="16"/>
                <w:szCs w:val="16"/>
              </w:rPr>
            </w:pPr>
            <w:r w:rsidRPr="00AF2079">
              <w:rPr>
                <w:rFonts w:ascii="Arial" w:hAnsi="Arial" w:cs="Arial"/>
                <w:b/>
                <w:sz w:val="16"/>
                <w:szCs w:val="16"/>
              </w:rPr>
              <w:t>Not important at all</w:t>
            </w:r>
          </w:p>
        </w:tc>
        <w:tc>
          <w:tcPr>
            <w:tcW w:w="0" w:type="auto"/>
          </w:tcPr>
          <w:p w14:paraId="7FDD8C35" w14:textId="77777777" w:rsidR="00CD6352" w:rsidRPr="00AF2079" w:rsidRDefault="00CD6352" w:rsidP="00CD6352">
            <w:pPr>
              <w:jc w:val="both"/>
              <w:rPr>
                <w:rFonts w:ascii="Arial" w:hAnsi="Arial" w:cs="Arial"/>
                <w:b/>
                <w:sz w:val="16"/>
                <w:szCs w:val="16"/>
              </w:rPr>
            </w:pPr>
            <w:r w:rsidRPr="00AF2079">
              <w:rPr>
                <w:rFonts w:ascii="Arial" w:hAnsi="Arial" w:cs="Arial"/>
                <w:b/>
                <w:sz w:val="16"/>
                <w:szCs w:val="16"/>
              </w:rPr>
              <w:t>Less important</w:t>
            </w:r>
          </w:p>
        </w:tc>
        <w:tc>
          <w:tcPr>
            <w:tcW w:w="0" w:type="auto"/>
          </w:tcPr>
          <w:p w14:paraId="7158BFBE" w14:textId="77777777" w:rsidR="00CD6352" w:rsidRPr="00AF2079" w:rsidRDefault="00CD6352" w:rsidP="00CD6352">
            <w:pPr>
              <w:jc w:val="both"/>
              <w:rPr>
                <w:rFonts w:ascii="Arial" w:hAnsi="Arial" w:cs="Arial"/>
                <w:b/>
                <w:sz w:val="16"/>
                <w:szCs w:val="16"/>
              </w:rPr>
            </w:pPr>
            <w:r w:rsidRPr="00AF2079">
              <w:rPr>
                <w:rFonts w:ascii="Arial" w:hAnsi="Arial" w:cs="Arial"/>
                <w:b/>
                <w:sz w:val="16"/>
                <w:szCs w:val="16"/>
              </w:rPr>
              <w:t>Fairly important</w:t>
            </w:r>
          </w:p>
        </w:tc>
        <w:tc>
          <w:tcPr>
            <w:tcW w:w="0" w:type="auto"/>
          </w:tcPr>
          <w:p w14:paraId="74C0CAD7" w14:textId="77777777" w:rsidR="00CD6352" w:rsidRPr="00AF2079" w:rsidRDefault="00CD6352" w:rsidP="00CD6352">
            <w:pPr>
              <w:jc w:val="both"/>
              <w:rPr>
                <w:rFonts w:ascii="Arial" w:hAnsi="Arial" w:cs="Arial"/>
                <w:b/>
                <w:sz w:val="16"/>
                <w:szCs w:val="16"/>
              </w:rPr>
            </w:pPr>
            <w:r w:rsidRPr="00AF2079">
              <w:rPr>
                <w:rFonts w:ascii="Arial" w:hAnsi="Arial" w:cs="Arial"/>
                <w:b/>
                <w:sz w:val="16"/>
                <w:szCs w:val="16"/>
              </w:rPr>
              <w:t>Important</w:t>
            </w:r>
          </w:p>
        </w:tc>
        <w:tc>
          <w:tcPr>
            <w:tcW w:w="0" w:type="auto"/>
          </w:tcPr>
          <w:p w14:paraId="23328CD3" w14:textId="77777777" w:rsidR="00CD6352" w:rsidRPr="00AF2079" w:rsidRDefault="00CD6352" w:rsidP="00CD6352">
            <w:pPr>
              <w:jc w:val="both"/>
              <w:rPr>
                <w:rFonts w:ascii="Arial" w:hAnsi="Arial" w:cs="Arial"/>
                <w:b/>
                <w:sz w:val="16"/>
                <w:szCs w:val="16"/>
              </w:rPr>
            </w:pPr>
            <w:r w:rsidRPr="00AF2079">
              <w:rPr>
                <w:rFonts w:ascii="Arial" w:hAnsi="Arial" w:cs="Arial"/>
                <w:b/>
                <w:sz w:val="16"/>
                <w:szCs w:val="16"/>
              </w:rPr>
              <w:t>Very important</w:t>
            </w:r>
          </w:p>
        </w:tc>
      </w:tr>
      <w:tr w:rsidR="00CD6352" w:rsidRPr="00AF2079" w14:paraId="6C4EF40D" w14:textId="77777777" w:rsidTr="00CD6352">
        <w:tc>
          <w:tcPr>
            <w:tcW w:w="0" w:type="auto"/>
            <w:vMerge/>
          </w:tcPr>
          <w:p w14:paraId="76ED7373" w14:textId="77777777" w:rsidR="00CD6352" w:rsidRPr="00AF2079" w:rsidRDefault="00CD6352" w:rsidP="00CD6352">
            <w:pPr>
              <w:jc w:val="both"/>
              <w:rPr>
                <w:rFonts w:ascii="Arial" w:hAnsi="Arial" w:cs="Arial"/>
                <w:sz w:val="16"/>
                <w:szCs w:val="16"/>
              </w:rPr>
            </w:pPr>
          </w:p>
        </w:tc>
        <w:tc>
          <w:tcPr>
            <w:tcW w:w="0" w:type="auto"/>
            <w:gridSpan w:val="5"/>
          </w:tcPr>
          <w:p w14:paraId="0E72FC8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Percentage (%)</w:t>
            </w:r>
          </w:p>
        </w:tc>
      </w:tr>
      <w:tr w:rsidR="00CD6352" w:rsidRPr="00AF2079" w14:paraId="1900E698" w14:textId="77777777" w:rsidTr="00CD6352">
        <w:tc>
          <w:tcPr>
            <w:tcW w:w="0" w:type="auto"/>
          </w:tcPr>
          <w:p w14:paraId="2BF5803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Analytical skill</w:t>
            </w:r>
          </w:p>
        </w:tc>
        <w:tc>
          <w:tcPr>
            <w:tcW w:w="0" w:type="auto"/>
          </w:tcPr>
          <w:p w14:paraId="0444DAF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6090B11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4.2</w:t>
            </w:r>
          </w:p>
        </w:tc>
        <w:tc>
          <w:tcPr>
            <w:tcW w:w="0" w:type="auto"/>
          </w:tcPr>
          <w:p w14:paraId="29E668C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8.3</w:t>
            </w:r>
          </w:p>
        </w:tc>
        <w:tc>
          <w:tcPr>
            <w:tcW w:w="0" w:type="auto"/>
          </w:tcPr>
          <w:p w14:paraId="074EF86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18.8</w:t>
            </w:r>
          </w:p>
        </w:tc>
        <w:tc>
          <w:tcPr>
            <w:tcW w:w="0" w:type="auto"/>
          </w:tcPr>
          <w:p w14:paraId="7B9B89C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68.8</w:t>
            </w:r>
          </w:p>
        </w:tc>
      </w:tr>
      <w:tr w:rsidR="00CD6352" w:rsidRPr="00AF2079" w14:paraId="2DE97CB0" w14:textId="77777777" w:rsidTr="00CD6352">
        <w:tc>
          <w:tcPr>
            <w:tcW w:w="0" w:type="auto"/>
          </w:tcPr>
          <w:p w14:paraId="529B064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Budgeting</w:t>
            </w:r>
          </w:p>
        </w:tc>
        <w:tc>
          <w:tcPr>
            <w:tcW w:w="0" w:type="auto"/>
          </w:tcPr>
          <w:p w14:paraId="204D6A7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54FA8E2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4.4</w:t>
            </w:r>
          </w:p>
        </w:tc>
        <w:tc>
          <w:tcPr>
            <w:tcW w:w="0" w:type="auto"/>
          </w:tcPr>
          <w:p w14:paraId="2B2B709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8.9</w:t>
            </w:r>
          </w:p>
        </w:tc>
        <w:tc>
          <w:tcPr>
            <w:tcW w:w="0" w:type="auto"/>
          </w:tcPr>
          <w:p w14:paraId="3C8B1A3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22.2</w:t>
            </w:r>
          </w:p>
        </w:tc>
        <w:tc>
          <w:tcPr>
            <w:tcW w:w="0" w:type="auto"/>
          </w:tcPr>
          <w:p w14:paraId="3F795CC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64.4</w:t>
            </w:r>
          </w:p>
        </w:tc>
      </w:tr>
      <w:tr w:rsidR="00CD6352" w:rsidRPr="00AF2079" w14:paraId="124EFC5F" w14:textId="77777777" w:rsidTr="00CD6352">
        <w:tc>
          <w:tcPr>
            <w:tcW w:w="0" w:type="auto"/>
          </w:tcPr>
          <w:p w14:paraId="7161347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Commercial awareness</w:t>
            </w:r>
          </w:p>
        </w:tc>
        <w:tc>
          <w:tcPr>
            <w:tcW w:w="0" w:type="auto"/>
          </w:tcPr>
          <w:p w14:paraId="3926B2D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1CA7B47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68C2918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14.0</w:t>
            </w:r>
          </w:p>
        </w:tc>
        <w:tc>
          <w:tcPr>
            <w:tcW w:w="0" w:type="auto"/>
          </w:tcPr>
          <w:p w14:paraId="0B556AD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37.2</w:t>
            </w:r>
          </w:p>
        </w:tc>
        <w:tc>
          <w:tcPr>
            <w:tcW w:w="0" w:type="auto"/>
          </w:tcPr>
          <w:p w14:paraId="66EFA30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46.5</w:t>
            </w:r>
          </w:p>
        </w:tc>
      </w:tr>
      <w:tr w:rsidR="00CD6352" w:rsidRPr="00AF2079" w14:paraId="7544E6F7" w14:textId="77777777" w:rsidTr="00CD6352">
        <w:tc>
          <w:tcPr>
            <w:tcW w:w="0" w:type="auto"/>
          </w:tcPr>
          <w:p w14:paraId="7B34896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Communication</w:t>
            </w:r>
          </w:p>
        </w:tc>
        <w:tc>
          <w:tcPr>
            <w:tcW w:w="0" w:type="auto"/>
          </w:tcPr>
          <w:p w14:paraId="2987F36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5F92BA0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w:t>
            </w:r>
          </w:p>
        </w:tc>
        <w:tc>
          <w:tcPr>
            <w:tcW w:w="0" w:type="auto"/>
          </w:tcPr>
          <w:p w14:paraId="1AF743B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13.3</w:t>
            </w:r>
          </w:p>
        </w:tc>
        <w:tc>
          <w:tcPr>
            <w:tcW w:w="0" w:type="auto"/>
          </w:tcPr>
          <w:p w14:paraId="1AED543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28.9</w:t>
            </w:r>
          </w:p>
        </w:tc>
        <w:tc>
          <w:tcPr>
            <w:tcW w:w="0" w:type="auto"/>
          </w:tcPr>
          <w:p w14:paraId="1DC3A2A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55.6</w:t>
            </w:r>
          </w:p>
        </w:tc>
      </w:tr>
      <w:tr w:rsidR="00CD6352" w:rsidRPr="00AF2079" w14:paraId="3F846D5C" w14:textId="77777777" w:rsidTr="00CD6352">
        <w:tc>
          <w:tcPr>
            <w:tcW w:w="0" w:type="auto"/>
          </w:tcPr>
          <w:p w14:paraId="6F5D984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 xml:space="preserve">Critical thinking </w:t>
            </w:r>
          </w:p>
        </w:tc>
        <w:tc>
          <w:tcPr>
            <w:tcW w:w="0" w:type="auto"/>
          </w:tcPr>
          <w:p w14:paraId="74A8A480"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04BBBD50"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7.1</w:t>
            </w:r>
          </w:p>
        </w:tc>
        <w:tc>
          <w:tcPr>
            <w:tcW w:w="0" w:type="auto"/>
          </w:tcPr>
          <w:p w14:paraId="315A4E7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7.1</w:t>
            </w:r>
          </w:p>
        </w:tc>
        <w:tc>
          <w:tcPr>
            <w:tcW w:w="0" w:type="auto"/>
          </w:tcPr>
          <w:p w14:paraId="708067F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38.1</w:t>
            </w:r>
          </w:p>
        </w:tc>
        <w:tc>
          <w:tcPr>
            <w:tcW w:w="0" w:type="auto"/>
          </w:tcPr>
          <w:p w14:paraId="0920846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47.6</w:t>
            </w:r>
          </w:p>
        </w:tc>
      </w:tr>
      <w:tr w:rsidR="00CD6352" w:rsidRPr="00AF2079" w14:paraId="4F003A74" w14:textId="77777777" w:rsidTr="00CD6352">
        <w:tc>
          <w:tcPr>
            <w:tcW w:w="0" w:type="auto"/>
          </w:tcPr>
          <w:p w14:paraId="56644B9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Developing and maintaining a cost management system</w:t>
            </w:r>
          </w:p>
        </w:tc>
        <w:tc>
          <w:tcPr>
            <w:tcW w:w="0" w:type="auto"/>
          </w:tcPr>
          <w:p w14:paraId="60B5ED80"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3E65201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4.3</w:t>
            </w:r>
          </w:p>
        </w:tc>
        <w:tc>
          <w:tcPr>
            <w:tcW w:w="0" w:type="auto"/>
          </w:tcPr>
          <w:p w14:paraId="488BFA7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13.0</w:t>
            </w:r>
          </w:p>
        </w:tc>
        <w:tc>
          <w:tcPr>
            <w:tcW w:w="0" w:type="auto"/>
          </w:tcPr>
          <w:p w14:paraId="3D14ED0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41.3</w:t>
            </w:r>
          </w:p>
        </w:tc>
        <w:tc>
          <w:tcPr>
            <w:tcW w:w="0" w:type="auto"/>
          </w:tcPr>
          <w:p w14:paraId="66D686D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41.3</w:t>
            </w:r>
          </w:p>
        </w:tc>
      </w:tr>
      <w:tr w:rsidR="00CD6352" w:rsidRPr="00AF2079" w14:paraId="61441A88" w14:textId="77777777" w:rsidTr="00CD6352">
        <w:tc>
          <w:tcPr>
            <w:tcW w:w="0" w:type="auto"/>
          </w:tcPr>
          <w:p w14:paraId="56CF452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Developing confidence &amp; building relationships</w:t>
            </w:r>
          </w:p>
        </w:tc>
        <w:tc>
          <w:tcPr>
            <w:tcW w:w="0" w:type="auto"/>
          </w:tcPr>
          <w:p w14:paraId="689C371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w:t>
            </w:r>
          </w:p>
        </w:tc>
        <w:tc>
          <w:tcPr>
            <w:tcW w:w="0" w:type="auto"/>
          </w:tcPr>
          <w:p w14:paraId="4BFB46D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6.5</w:t>
            </w:r>
          </w:p>
        </w:tc>
        <w:tc>
          <w:tcPr>
            <w:tcW w:w="0" w:type="auto"/>
          </w:tcPr>
          <w:p w14:paraId="01D9E19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10.9</w:t>
            </w:r>
          </w:p>
        </w:tc>
        <w:tc>
          <w:tcPr>
            <w:tcW w:w="0" w:type="auto"/>
          </w:tcPr>
          <w:p w14:paraId="1EAFB01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26.1</w:t>
            </w:r>
          </w:p>
        </w:tc>
        <w:tc>
          <w:tcPr>
            <w:tcW w:w="0" w:type="auto"/>
          </w:tcPr>
          <w:p w14:paraId="5502A36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54.3</w:t>
            </w:r>
          </w:p>
        </w:tc>
      </w:tr>
      <w:tr w:rsidR="00CD6352" w:rsidRPr="00AF2079" w14:paraId="166E31B2" w14:textId="77777777" w:rsidTr="00CD6352">
        <w:tc>
          <w:tcPr>
            <w:tcW w:w="0" w:type="auto"/>
          </w:tcPr>
          <w:p w14:paraId="0CBACB5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Diplomatic skills and social intelligence</w:t>
            </w:r>
          </w:p>
        </w:tc>
        <w:tc>
          <w:tcPr>
            <w:tcW w:w="0" w:type="auto"/>
          </w:tcPr>
          <w:p w14:paraId="7518A79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4DE15E6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6.8</w:t>
            </w:r>
          </w:p>
        </w:tc>
        <w:tc>
          <w:tcPr>
            <w:tcW w:w="0" w:type="auto"/>
          </w:tcPr>
          <w:p w14:paraId="59EEC76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11.4</w:t>
            </w:r>
          </w:p>
        </w:tc>
        <w:tc>
          <w:tcPr>
            <w:tcW w:w="0" w:type="auto"/>
          </w:tcPr>
          <w:p w14:paraId="38652A5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43.2</w:t>
            </w:r>
          </w:p>
        </w:tc>
        <w:tc>
          <w:tcPr>
            <w:tcW w:w="0" w:type="auto"/>
          </w:tcPr>
          <w:p w14:paraId="1C16169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36.4</w:t>
            </w:r>
          </w:p>
        </w:tc>
      </w:tr>
      <w:tr w:rsidR="00CD6352" w:rsidRPr="00AF2079" w14:paraId="4258C527" w14:textId="77777777" w:rsidTr="00CD6352">
        <w:tc>
          <w:tcPr>
            <w:tcW w:w="0" w:type="auto"/>
          </w:tcPr>
          <w:p w14:paraId="1C75370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Developing a financial forecast and models</w:t>
            </w:r>
          </w:p>
        </w:tc>
        <w:tc>
          <w:tcPr>
            <w:tcW w:w="0" w:type="auto"/>
          </w:tcPr>
          <w:p w14:paraId="57CCFEAE"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6E532BB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4.4</w:t>
            </w:r>
          </w:p>
        </w:tc>
        <w:tc>
          <w:tcPr>
            <w:tcW w:w="0" w:type="auto"/>
          </w:tcPr>
          <w:p w14:paraId="07C0981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15.6</w:t>
            </w:r>
          </w:p>
        </w:tc>
        <w:tc>
          <w:tcPr>
            <w:tcW w:w="0" w:type="auto"/>
          </w:tcPr>
          <w:p w14:paraId="0296B1C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35.6</w:t>
            </w:r>
          </w:p>
        </w:tc>
        <w:tc>
          <w:tcPr>
            <w:tcW w:w="0" w:type="auto"/>
          </w:tcPr>
          <w:p w14:paraId="6A2FAEF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44.4</w:t>
            </w:r>
          </w:p>
        </w:tc>
      </w:tr>
      <w:tr w:rsidR="00CD6352" w:rsidRPr="00AF2079" w14:paraId="2538096E" w14:textId="77777777" w:rsidTr="00CD6352">
        <w:tc>
          <w:tcPr>
            <w:tcW w:w="0" w:type="auto"/>
          </w:tcPr>
          <w:p w14:paraId="62903E3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Emerging technologies( such as artificial intelligence &amp; machine learning)</w:t>
            </w:r>
          </w:p>
        </w:tc>
        <w:tc>
          <w:tcPr>
            <w:tcW w:w="0" w:type="auto"/>
          </w:tcPr>
          <w:p w14:paraId="52AF7DA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4.5</w:t>
            </w:r>
          </w:p>
        </w:tc>
        <w:tc>
          <w:tcPr>
            <w:tcW w:w="0" w:type="auto"/>
          </w:tcPr>
          <w:p w14:paraId="31752A7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11.4</w:t>
            </w:r>
          </w:p>
        </w:tc>
        <w:tc>
          <w:tcPr>
            <w:tcW w:w="0" w:type="auto"/>
          </w:tcPr>
          <w:p w14:paraId="76EA0DA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22.7</w:t>
            </w:r>
          </w:p>
        </w:tc>
        <w:tc>
          <w:tcPr>
            <w:tcW w:w="0" w:type="auto"/>
          </w:tcPr>
          <w:p w14:paraId="0C1AF9B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34.1</w:t>
            </w:r>
          </w:p>
        </w:tc>
        <w:tc>
          <w:tcPr>
            <w:tcW w:w="0" w:type="auto"/>
          </w:tcPr>
          <w:p w14:paraId="01EABBE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27.3</w:t>
            </w:r>
          </w:p>
        </w:tc>
      </w:tr>
      <w:tr w:rsidR="00CD6352" w:rsidRPr="00AF2079" w14:paraId="5A640506" w14:textId="77777777" w:rsidTr="00CD6352">
        <w:tc>
          <w:tcPr>
            <w:tcW w:w="0" w:type="auto"/>
          </w:tcPr>
          <w:p w14:paraId="71CE796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Emotional intelligence</w:t>
            </w:r>
          </w:p>
        </w:tc>
        <w:tc>
          <w:tcPr>
            <w:tcW w:w="0" w:type="auto"/>
          </w:tcPr>
          <w:p w14:paraId="19138CD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w:t>
            </w:r>
          </w:p>
        </w:tc>
        <w:tc>
          <w:tcPr>
            <w:tcW w:w="0" w:type="auto"/>
          </w:tcPr>
          <w:p w14:paraId="1E0E6DF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8.9</w:t>
            </w:r>
          </w:p>
        </w:tc>
        <w:tc>
          <w:tcPr>
            <w:tcW w:w="0" w:type="auto"/>
          </w:tcPr>
          <w:p w14:paraId="2A9D8B7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26.7</w:t>
            </w:r>
          </w:p>
        </w:tc>
        <w:tc>
          <w:tcPr>
            <w:tcW w:w="0" w:type="auto"/>
          </w:tcPr>
          <w:p w14:paraId="78FC8CA0"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37.8</w:t>
            </w:r>
          </w:p>
        </w:tc>
        <w:tc>
          <w:tcPr>
            <w:tcW w:w="0" w:type="auto"/>
          </w:tcPr>
          <w:p w14:paraId="0BABD70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24.4</w:t>
            </w:r>
          </w:p>
        </w:tc>
      </w:tr>
      <w:tr w:rsidR="00CD6352" w:rsidRPr="00AF2079" w14:paraId="4C6B836F" w14:textId="77777777" w:rsidTr="00CD6352">
        <w:tc>
          <w:tcPr>
            <w:tcW w:w="0" w:type="auto"/>
          </w:tcPr>
          <w:p w14:paraId="4A2191D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Financial management approach analysis</w:t>
            </w:r>
          </w:p>
        </w:tc>
        <w:tc>
          <w:tcPr>
            <w:tcW w:w="0" w:type="auto"/>
          </w:tcPr>
          <w:p w14:paraId="04E4DD1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5B01A79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69876AE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11.6</w:t>
            </w:r>
          </w:p>
        </w:tc>
        <w:tc>
          <w:tcPr>
            <w:tcW w:w="0" w:type="auto"/>
          </w:tcPr>
          <w:p w14:paraId="0B1DF7D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44.2</w:t>
            </w:r>
          </w:p>
        </w:tc>
        <w:tc>
          <w:tcPr>
            <w:tcW w:w="0" w:type="auto"/>
          </w:tcPr>
          <w:p w14:paraId="17B9C29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41.9</w:t>
            </w:r>
          </w:p>
        </w:tc>
      </w:tr>
      <w:tr w:rsidR="00CD6352" w:rsidRPr="00AF2079" w14:paraId="7C74928E" w14:textId="77777777" w:rsidTr="00CD6352">
        <w:tc>
          <w:tcPr>
            <w:tcW w:w="0" w:type="auto"/>
          </w:tcPr>
          <w:p w14:paraId="539E0BF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Identifying and accessing alternative option</w:t>
            </w:r>
          </w:p>
        </w:tc>
        <w:tc>
          <w:tcPr>
            <w:tcW w:w="0" w:type="auto"/>
          </w:tcPr>
          <w:p w14:paraId="713E105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7505E55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7E3C580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18.6</w:t>
            </w:r>
          </w:p>
        </w:tc>
        <w:tc>
          <w:tcPr>
            <w:tcW w:w="0" w:type="auto"/>
          </w:tcPr>
          <w:p w14:paraId="6C09F68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41.9</w:t>
            </w:r>
          </w:p>
        </w:tc>
        <w:tc>
          <w:tcPr>
            <w:tcW w:w="0" w:type="auto"/>
          </w:tcPr>
          <w:p w14:paraId="5542BDB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34.9</w:t>
            </w:r>
          </w:p>
        </w:tc>
      </w:tr>
      <w:tr w:rsidR="00CD6352" w:rsidRPr="00AF2079" w14:paraId="7293DE54" w14:textId="77777777" w:rsidTr="00CD6352">
        <w:tc>
          <w:tcPr>
            <w:tcW w:w="0" w:type="auto"/>
          </w:tcPr>
          <w:p w14:paraId="1F274E9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lastRenderedPageBreak/>
              <w:t>Interpreting financial data and identifying trends</w:t>
            </w:r>
          </w:p>
        </w:tc>
        <w:tc>
          <w:tcPr>
            <w:tcW w:w="0" w:type="auto"/>
          </w:tcPr>
          <w:p w14:paraId="41FDE99E"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4.5</w:t>
            </w:r>
          </w:p>
        </w:tc>
        <w:tc>
          <w:tcPr>
            <w:tcW w:w="0" w:type="auto"/>
          </w:tcPr>
          <w:p w14:paraId="44F81D2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4.5</w:t>
            </w:r>
          </w:p>
        </w:tc>
        <w:tc>
          <w:tcPr>
            <w:tcW w:w="0" w:type="auto"/>
          </w:tcPr>
          <w:p w14:paraId="7D842BD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13.6</w:t>
            </w:r>
          </w:p>
        </w:tc>
        <w:tc>
          <w:tcPr>
            <w:tcW w:w="0" w:type="auto"/>
          </w:tcPr>
          <w:p w14:paraId="52922DB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31.8</w:t>
            </w:r>
          </w:p>
        </w:tc>
        <w:tc>
          <w:tcPr>
            <w:tcW w:w="0" w:type="auto"/>
          </w:tcPr>
          <w:p w14:paraId="4CF1C80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45.5</w:t>
            </w:r>
          </w:p>
        </w:tc>
      </w:tr>
      <w:tr w:rsidR="00CD6352" w:rsidRPr="00AF2079" w14:paraId="75BCA31E" w14:textId="77777777" w:rsidTr="00CD6352">
        <w:tc>
          <w:tcPr>
            <w:tcW w:w="0" w:type="auto"/>
          </w:tcPr>
          <w:p w14:paraId="2DC52D4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Leadership skill</w:t>
            </w:r>
          </w:p>
        </w:tc>
        <w:tc>
          <w:tcPr>
            <w:tcW w:w="0" w:type="auto"/>
          </w:tcPr>
          <w:p w14:paraId="00670B3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4.7</w:t>
            </w:r>
          </w:p>
        </w:tc>
        <w:tc>
          <w:tcPr>
            <w:tcW w:w="0" w:type="auto"/>
          </w:tcPr>
          <w:p w14:paraId="0C26BBB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44FD0B5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14.0</w:t>
            </w:r>
          </w:p>
        </w:tc>
        <w:tc>
          <w:tcPr>
            <w:tcW w:w="0" w:type="auto"/>
          </w:tcPr>
          <w:p w14:paraId="3AA7F97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30.2</w:t>
            </w:r>
          </w:p>
        </w:tc>
        <w:tc>
          <w:tcPr>
            <w:tcW w:w="0" w:type="auto"/>
          </w:tcPr>
          <w:p w14:paraId="591AD72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51.2</w:t>
            </w:r>
          </w:p>
        </w:tc>
      </w:tr>
      <w:tr w:rsidR="00CD6352" w:rsidRPr="00AF2079" w14:paraId="7BED2FAA" w14:textId="77777777" w:rsidTr="00CD6352">
        <w:tc>
          <w:tcPr>
            <w:tcW w:w="0" w:type="auto"/>
          </w:tcPr>
          <w:p w14:paraId="60CABFB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Market liquidity timing skill</w:t>
            </w:r>
          </w:p>
        </w:tc>
        <w:tc>
          <w:tcPr>
            <w:tcW w:w="0" w:type="auto"/>
          </w:tcPr>
          <w:p w14:paraId="5D28C4A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2.4</w:t>
            </w:r>
          </w:p>
        </w:tc>
        <w:tc>
          <w:tcPr>
            <w:tcW w:w="0" w:type="auto"/>
          </w:tcPr>
          <w:p w14:paraId="000C8B2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2.4</w:t>
            </w:r>
          </w:p>
        </w:tc>
        <w:tc>
          <w:tcPr>
            <w:tcW w:w="0" w:type="auto"/>
          </w:tcPr>
          <w:p w14:paraId="7C439DF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21.4</w:t>
            </w:r>
          </w:p>
        </w:tc>
        <w:tc>
          <w:tcPr>
            <w:tcW w:w="0" w:type="auto"/>
          </w:tcPr>
          <w:p w14:paraId="490F6F5C"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42.9</w:t>
            </w:r>
          </w:p>
        </w:tc>
        <w:tc>
          <w:tcPr>
            <w:tcW w:w="0" w:type="auto"/>
          </w:tcPr>
          <w:p w14:paraId="702FFC4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31.0</w:t>
            </w:r>
          </w:p>
        </w:tc>
      </w:tr>
      <w:tr w:rsidR="00CD6352" w:rsidRPr="00AF2079" w14:paraId="09DFBFAE" w14:textId="77777777" w:rsidTr="00CD6352">
        <w:tc>
          <w:tcPr>
            <w:tcW w:w="0" w:type="auto"/>
          </w:tcPr>
          <w:p w14:paraId="554A75E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Negotiation</w:t>
            </w:r>
          </w:p>
        </w:tc>
        <w:tc>
          <w:tcPr>
            <w:tcW w:w="0" w:type="auto"/>
          </w:tcPr>
          <w:p w14:paraId="249932F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2444519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6BFA17D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14.0</w:t>
            </w:r>
          </w:p>
        </w:tc>
        <w:tc>
          <w:tcPr>
            <w:tcW w:w="0" w:type="auto"/>
          </w:tcPr>
          <w:p w14:paraId="7471901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32.6</w:t>
            </w:r>
          </w:p>
        </w:tc>
        <w:tc>
          <w:tcPr>
            <w:tcW w:w="0" w:type="auto"/>
          </w:tcPr>
          <w:p w14:paraId="43B174E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51.2</w:t>
            </w:r>
          </w:p>
        </w:tc>
      </w:tr>
      <w:tr w:rsidR="00CD6352" w:rsidRPr="00AF2079" w14:paraId="24D37ECF" w14:textId="77777777" w:rsidTr="00CD6352">
        <w:tc>
          <w:tcPr>
            <w:tcW w:w="0" w:type="auto"/>
          </w:tcPr>
          <w:p w14:paraId="67C93B4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Recognising and using influence</w:t>
            </w:r>
          </w:p>
        </w:tc>
        <w:tc>
          <w:tcPr>
            <w:tcW w:w="0" w:type="auto"/>
          </w:tcPr>
          <w:p w14:paraId="2DF4983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1B806C5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28CA2BB1"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23.3</w:t>
            </w:r>
          </w:p>
        </w:tc>
        <w:tc>
          <w:tcPr>
            <w:tcW w:w="0" w:type="auto"/>
          </w:tcPr>
          <w:p w14:paraId="6EFADB1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44.2</w:t>
            </w:r>
          </w:p>
        </w:tc>
        <w:tc>
          <w:tcPr>
            <w:tcW w:w="0" w:type="auto"/>
          </w:tcPr>
          <w:p w14:paraId="28B437F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30.2</w:t>
            </w:r>
          </w:p>
        </w:tc>
      </w:tr>
      <w:tr w:rsidR="00CD6352" w:rsidRPr="00AF2079" w14:paraId="15140F58" w14:textId="77777777" w:rsidTr="00CD6352">
        <w:tc>
          <w:tcPr>
            <w:tcW w:w="0" w:type="auto"/>
          </w:tcPr>
          <w:p w14:paraId="60B485A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Risks management</w:t>
            </w:r>
          </w:p>
        </w:tc>
        <w:tc>
          <w:tcPr>
            <w:tcW w:w="0" w:type="auto"/>
          </w:tcPr>
          <w:p w14:paraId="0877D87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78B9338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4.8</w:t>
            </w:r>
          </w:p>
        </w:tc>
        <w:tc>
          <w:tcPr>
            <w:tcW w:w="0" w:type="auto"/>
          </w:tcPr>
          <w:p w14:paraId="73FAFFD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19.0</w:t>
            </w:r>
          </w:p>
        </w:tc>
        <w:tc>
          <w:tcPr>
            <w:tcW w:w="0" w:type="auto"/>
          </w:tcPr>
          <w:p w14:paraId="7F35925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31.0</w:t>
            </w:r>
          </w:p>
        </w:tc>
        <w:tc>
          <w:tcPr>
            <w:tcW w:w="0" w:type="auto"/>
          </w:tcPr>
          <w:p w14:paraId="453B756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45.2</w:t>
            </w:r>
          </w:p>
        </w:tc>
      </w:tr>
      <w:tr w:rsidR="00CD6352" w:rsidRPr="00AF2079" w14:paraId="396EEDEC" w14:textId="77777777" w:rsidTr="00CD6352">
        <w:tc>
          <w:tcPr>
            <w:tcW w:w="0" w:type="auto"/>
          </w:tcPr>
          <w:p w14:paraId="3D9D6069"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Specialized industry skill/ construction skill</w:t>
            </w:r>
          </w:p>
        </w:tc>
        <w:tc>
          <w:tcPr>
            <w:tcW w:w="0" w:type="auto"/>
          </w:tcPr>
          <w:p w14:paraId="598873E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62D299D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9.3</w:t>
            </w:r>
          </w:p>
        </w:tc>
        <w:tc>
          <w:tcPr>
            <w:tcW w:w="0" w:type="auto"/>
          </w:tcPr>
          <w:p w14:paraId="4464A6C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14.0</w:t>
            </w:r>
          </w:p>
        </w:tc>
        <w:tc>
          <w:tcPr>
            <w:tcW w:w="0" w:type="auto"/>
          </w:tcPr>
          <w:p w14:paraId="645FA3D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39.5</w:t>
            </w:r>
          </w:p>
        </w:tc>
        <w:tc>
          <w:tcPr>
            <w:tcW w:w="0" w:type="auto"/>
          </w:tcPr>
          <w:p w14:paraId="441D771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37.2</w:t>
            </w:r>
          </w:p>
        </w:tc>
      </w:tr>
      <w:tr w:rsidR="00CD6352" w:rsidRPr="00AF2079" w14:paraId="46F91849" w14:textId="77777777" w:rsidTr="00CD6352">
        <w:tc>
          <w:tcPr>
            <w:tcW w:w="0" w:type="auto"/>
          </w:tcPr>
          <w:p w14:paraId="6FAA498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Strategic planning</w:t>
            </w:r>
          </w:p>
        </w:tc>
        <w:tc>
          <w:tcPr>
            <w:tcW w:w="0" w:type="auto"/>
          </w:tcPr>
          <w:p w14:paraId="72D3B53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3EDC7592"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2.3</w:t>
            </w:r>
          </w:p>
        </w:tc>
        <w:tc>
          <w:tcPr>
            <w:tcW w:w="0" w:type="auto"/>
          </w:tcPr>
          <w:p w14:paraId="2A97337D"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13.6</w:t>
            </w:r>
          </w:p>
        </w:tc>
        <w:tc>
          <w:tcPr>
            <w:tcW w:w="0" w:type="auto"/>
          </w:tcPr>
          <w:p w14:paraId="059F06E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31.8</w:t>
            </w:r>
          </w:p>
        </w:tc>
        <w:tc>
          <w:tcPr>
            <w:tcW w:w="0" w:type="auto"/>
          </w:tcPr>
          <w:p w14:paraId="40D859C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52.3</w:t>
            </w:r>
          </w:p>
        </w:tc>
      </w:tr>
      <w:tr w:rsidR="00CD6352" w:rsidRPr="00AF2079" w14:paraId="5F1378DE" w14:textId="77777777" w:rsidTr="00CD6352">
        <w:tc>
          <w:tcPr>
            <w:tcW w:w="0" w:type="auto"/>
          </w:tcPr>
          <w:p w14:paraId="5D257F0F"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Team work</w:t>
            </w:r>
          </w:p>
        </w:tc>
        <w:tc>
          <w:tcPr>
            <w:tcW w:w="0" w:type="auto"/>
          </w:tcPr>
          <w:p w14:paraId="02885ACA"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w:t>
            </w:r>
          </w:p>
        </w:tc>
        <w:tc>
          <w:tcPr>
            <w:tcW w:w="0" w:type="auto"/>
          </w:tcPr>
          <w:p w14:paraId="440F9FE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2.2</w:t>
            </w:r>
          </w:p>
        </w:tc>
        <w:tc>
          <w:tcPr>
            <w:tcW w:w="0" w:type="auto"/>
          </w:tcPr>
          <w:p w14:paraId="2676DE7B"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4.4</w:t>
            </w:r>
          </w:p>
        </w:tc>
        <w:tc>
          <w:tcPr>
            <w:tcW w:w="0" w:type="auto"/>
          </w:tcPr>
          <w:p w14:paraId="3941D293"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33.3</w:t>
            </w:r>
          </w:p>
        </w:tc>
        <w:tc>
          <w:tcPr>
            <w:tcW w:w="0" w:type="auto"/>
          </w:tcPr>
          <w:p w14:paraId="2D382C9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57.8</w:t>
            </w:r>
          </w:p>
        </w:tc>
      </w:tr>
      <w:tr w:rsidR="00CD6352" w:rsidRPr="00EA7665" w14:paraId="03F06EC8" w14:textId="77777777" w:rsidTr="00CD6352">
        <w:tc>
          <w:tcPr>
            <w:tcW w:w="0" w:type="auto"/>
          </w:tcPr>
          <w:p w14:paraId="0910B897"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Planning and control</w:t>
            </w:r>
          </w:p>
        </w:tc>
        <w:tc>
          <w:tcPr>
            <w:tcW w:w="0" w:type="auto"/>
          </w:tcPr>
          <w:p w14:paraId="61862776"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Nil</w:t>
            </w:r>
          </w:p>
        </w:tc>
        <w:tc>
          <w:tcPr>
            <w:tcW w:w="0" w:type="auto"/>
          </w:tcPr>
          <w:p w14:paraId="72A4B2F4"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6.8</w:t>
            </w:r>
          </w:p>
        </w:tc>
        <w:tc>
          <w:tcPr>
            <w:tcW w:w="0" w:type="auto"/>
          </w:tcPr>
          <w:p w14:paraId="337239B8"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6.8</w:t>
            </w:r>
          </w:p>
        </w:tc>
        <w:tc>
          <w:tcPr>
            <w:tcW w:w="0" w:type="auto"/>
          </w:tcPr>
          <w:p w14:paraId="401D2415" w14:textId="77777777" w:rsidR="00CD6352" w:rsidRPr="00AF2079" w:rsidRDefault="00CD6352" w:rsidP="00CD6352">
            <w:pPr>
              <w:jc w:val="both"/>
              <w:rPr>
                <w:rFonts w:ascii="Arial" w:hAnsi="Arial" w:cs="Arial"/>
                <w:sz w:val="16"/>
                <w:szCs w:val="16"/>
              </w:rPr>
            </w:pPr>
            <w:r w:rsidRPr="00AF2079">
              <w:rPr>
                <w:rFonts w:ascii="Arial" w:hAnsi="Arial" w:cs="Arial"/>
                <w:sz w:val="16"/>
                <w:szCs w:val="16"/>
              </w:rPr>
              <w:t>40.9</w:t>
            </w:r>
          </w:p>
        </w:tc>
        <w:tc>
          <w:tcPr>
            <w:tcW w:w="0" w:type="auto"/>
          </w:tcPr>
          <w:p w14:paraId="38FE041C" w14:textId="77777777" w:rsidR="00CD6352" w:rsidRPr="00EA7665" w:rsidRDefault="00CD6352" w:rsidP="00CD6352">
            <w:pPr>
              <w:jc w:val="both"/>
              <w:rPr>
                <w:rFonts w:ascii="Arial" w:hAnsi="Arial" w:cs="Arial"/>
                <w:sz w:val="16"/>
                <w:szCs w:val="16"/>
              </w:rPr>
            </w:pPr>
            <w:r w:rsidRPr="00AF2079">
              <w:rPr>
                <w:rFonts w:ascii="Arial" w:hAnsi="Arial" w:cs="Arial"/>
                <w:sz w:val="16"/>
                <w:szCs w:val="16"/>
              </w:rPr>
              <w:t>45.5</w:t>
            </w:r>
          </w:p>
        </w:tc>
      </w:tr>
    </w:tbl>
    <w:p w14:paraId="7C895033" w14:textId="28760CE6" w:rsidR="005313C5" w:rsidRPr="00EA7665" w:rsidRDefault="002E4B50" w:rsidP="005313C5">
      <w:pPr>
        <w:spacing w:line="360" w:lineRule="auto"/>
        <w:jc w:val="both"/>
        <w:rPr>
          <w:rFonts w:ascii="Arial" w:hAnsi="Arial" w:cs="Arial"/>
        </w:rPr>
      </w:pPr>
      <w:r>
        <w:rPr>
          <w:rFonts w:ascii="Arial" w:hAnsi="Arial" w:cs="Arial"/>
        </w:rPr>
        <w:t xml:space="preserve">The mean value is also used to analyse the </w:t>
      </w:r>
      <w:r w:rsidR="008F755F">
        <w:rPr>
          <w:rFonts w:ascii="Arial" w:hAnsi="Arial" w:cs="Arial"/>
        </w:rPr>
        <w:t xml:space="preserve">degree of importance of </w:t>
      </w:r>
      <w:r>
        <w:rPr>
          <w:rFonts w:ascii="Arial" w:hAnsi="Arial" w:cs="Arial"/>
        </w:rPr>
        <w:t xml:space="preserve">management skills for securing finance for real estate project development </w:t>
      </w:r>
      <w:r w:rsidR="008F755F">
        <w:rPr>
          <w:rFonts w:ascii="Arial" w:hAnsi="Arial" w:cs="Arial"/>
        </w:rPr>
        <w:t>(see</w:t>
      </w:r>
      <w:r>
        <w:rPr>
          <w:rFonts w:ascii="Arial" w:hAnsi="Arial" w:cs="Arial"/>
        </w:rPr>
        <w:t xml:space="preserve"> table 8.2). </w:t>
      </w:r>
      <w:r w:rsidR="005313C5" w:rsidRPr="00EA7665">
        <w:rPr>
          <w:rFonts w:ascii="Arial" w:hAnsi="Arial" w:cs="Arial"/>
        </w:rPr>
        <w:t xml:space="preserve">The data shows that the overall mean score ranges between 3.7 to 4.48. This means that all the twenty-three management skills are significant and fall within the category of “important”. </w:t>
      </w:r>
    </w:p>
    <w:p w14:paraId="7DCB0505" w14:textId="7C1ACA6D" w:rsidR="00CD6352" w:rsidRPr="00EA7665" w:rsidRDefault="00CD6352" w:rsidP="00CD6352">
      <w:pPr>
        <w:pStyle w:val="Caption"/>
        <w:keepNext/>
      </w:pPr>
      <w:bookmarkStart w:id="1315" w:name="_Toc78983998"/>
      <w:r w:rsidRPr="00EA7665">
        <w:t xml:space="preserve">Table </w:t>
      </w:r>
      <w:fldSimple w:instr=" STYLEREF 2 \s ">
        <w:r w:rsidR="008F25B1">
          <w:rPr>
            <w:noProof/>
          </w:rPr>
          <w:t>8.2</w:t>
        </w:r>
      </w:fldSimple>
      <w:r w:rsidR="008F25B1">
        <w:noBreakHyphen/>
      </w:r>
      <w:fldSimple w:instr=" SEQ Table \* ARABIC \s 2 ">
        <w:r w:rsidR="008F25B1">
          <w:rPr>
            <w:noProof/>
          </w:rPr>
          <w:t>2</w:t>
        </w:r>
      </w:fldSimple>
      <w:r w:rsidRPr="00EA7665">
        <w:t xml:space="preserve">:Mean scores for Degree of </w:t>
      </w:r>
      <w:r w:rsidR="00D020FB">
        <w:t xml:space="preserve">the </w:t>
      </w:r>
      <w:r w:rsidRPr="00EA7665">
        <w:t>importance of management skills for securing finance for real estate project development.</w:t>
      </w:r>
      <w:bookmarkEnd w:id="1315"/>
    </w:p>
    <w:tbl>
      <w:tblPr>
        <w:tblStyle w:val="TableGrid"/>
        <w:tblW w:w="0" w:type="auto"/>
        <w:tblLook w:val="04A0" w:firstRow="1" w:lastRow="0" w:firstColumn="1" w:lastColumn="0" w:noHBand="0" w:noVBand="1"/>
      </w:tblPr>
      <w:tblGrid>
        <w:gridCol w:w="5908"/>
        <w:gridCol w:w="1524"/>
        <w:gridCol w:w="1584"/>
      </w:tblGrid>
      <w:tr w:rsidR="00CD6352" w:rsidRPr="00EA7665" w14:paraId="4DB6C1A4" w14:textId="77777777" w:rsidTr="00CD6352">
        <w:trPr>
          <w:trHeight w:val="300"/>
        </w:trPr>
        <w:tc>
          <w:tcPr>
            <w:tcW w:w="6062" w:type="dxa"/>
            <w:noWrap/>
            <w:hideMark/>
          </w:tcPr>
          <w:p w14:paraId="708C876D" w14:textId="7D2A43BC"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 xml:space="preserve">Degree of </w:t>
            </w:r>
            <w:r w:rsidR="00D020FB">
              <w:rPr>
                <w:rFonts w:ascii="Arial" w:hAnsi="Arial" w:cs="Arial"/>
                <w:sz w:val="16"/>
                <w:szCs w:val="16"/>
              </w:rPr>
              <w:t xml:space="preserve">the </w:t>
            </w:r>
            <w:r w:rsidRPr="00EA7665">
              <w:rPr>
                <w:rFonts w:ascii="Arial" w:hAnsi="Arial" w:cs="Arial"/>
                <w:sz w:val="16"/>
                <w:szCs w:val="16"/>
              </w:rPr>
              <w:t>importance of Management skills</w:t>
            </w:r>
          </w:p>
        </w:tc>
        <w:tc>
          <w:tcPr>
            <w:tcW w:w="1559" w:type="dxa"/>
            <w:noWrap/>
            <w:hideMark/>
          </w:tcPr>
          <w:p w14:paraId="5A344F1E"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Mean score</w:t>
            </w:r>
          </w:p>
          <w:p w14:paraId="23CC08BE"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N=81</w:t>
            </w:r>
          </w:p>
        </w:tc>
        <w:tc>
          <w:tcPr>
            <w:tcW w:w="1621" w:type="dxa"/>
            <w:noWrap/>
            <w:hideMark/>
          </w:tcPr>
          <w:p w14:paraId="65782881"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Rank</w:t>
            </w:r>
          </w:p>
        </w:tc>
      </w:tr>
      <w:tr w:rsidR="00CD6352" w:rsidRPr="00EA7665" w14:paraId="6E3F9778" w14:textId="77777777" w:rsidTr="00CD6352">
        <w:trPr>
          <w:trHeight w:val="300"/>
        </w:trPr>
        <w:tc>
          <w:tcPr>
            <w:tcW w:w="6062" w:type="dxa"/>
            <w:noWrap/>
            <w:hideMark/>
          </w:tcPr>
          <w:p w14:paraId="772F962E"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Analytical skill</w:t>
            </w:r>
          </w:p>
        </w:tc>
        <w:tc>
          <w:tcPr>
            <w:tcW w:w="1559" w:type="dxa"/>
            <w:noWrap/>
            <w:hideMark/>
          </w:tcPr>
          <w:p w14:paraId="77A1483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4.48</w:t>
            </w:r>
          </w:p>
        </w:tc>
        <w:tc>
          <w:tcPr>
            <w:tcW w:w="1621" w:type="dxa"/>
            <w:noWrap/>
            <w:hideMark/>
          </w:tcPr>
          <w:p w14:paraId="015D2AC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w:t>
            </w:r>
          </w:p>
        </w:tc>
      </w:tr>
      <w:tr w:rsidR="00CD6352" w:rsidRPr="00EA7665" w14:paraId="530D678C" w14:textId="77777777" w:rsidTr="00CD6352">
        <w:trPr>
          <w:trHeight w:val="300"/>
        </w:trPr>
        <w:tc>
          <w:tcPr>
            <w:tcW w:w="6062" w:type="dxa"/>
            <w:noWrap/>
            <w:hideMark/>
          </w:tcPr>
          <w:p w14:paraId="18A2BBC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Budgeting</w:t>
            </w:r>
          </w:p>
        </w:tc>
        <w:tc>
          <w:tcPr>
            <w:tcW w:w="1559" w:type="dxa"/>
            <w:noWrap/>
            <w:hideMark/>
          </w:tcPr>
          <w:p w14:paraId="36097C02"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4.4</w:t>
            </w:r>
          </w:p>
        </w:tc>
        <w:tc>
          <w:tcPr>
            <w:tcW w:w="1621" w:type="dxa"/>
            <w:noWrap/>
            <w:hideMark/>
          </w:tcPr>
          <w:p w14:paraId="24E7289A"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2</w:t>
            </w:r>
          </w:p>
        </w:tc>
      </w:tr>
      <w:tr w:rsidR="00CD6352" w:rsidRPr="00EA7665" w14:paraId="62F57ED6" w14:textId="77777777" w:rsidTr="00CD6352">
        <w:trPr>
          <w:trHeight w:val="300"/>
        </w:trPr>
        <w:tc>
          <w:tcPr>
            <w:tcW w:w="6062" w:type="dxa"/>
            <w:noWrap/>
            <w:hideMark/>
          </w:tcPr>
          <w:p w14:paraId="444A4A43"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Teamwork</w:t>
            </w:r>
          </w:p>
        </w:tc>
        <w:tc>
          <w:tcPr>
            <w:tcW w:w="1559" w:type="dxa"/>
            <w:noWrap/>
            <w:hideMark/>
          </w:tcPr>
          <w:p w14:paraId="710FD576"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4.4</w:t>
            </w:r>
          </w:p>
        </w:tc>
        <w:tc>
          <w:tcPr>
            <w:tcW w:w="1621" w:type="dxa"/>
            <w:noWrap/>
            <w:hideMark/>
          </w:tcPr>
          <w:p w14:paraId="077D0A01"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3</w:t>
            </w:r>
          </w:p>
        </w:tc>
      </w:tr>
      <w:tr w:rsidR="00CD6352" w:rsidRPr="00EA7665" w14:paraId="471670DB" w14:textId="77777777" w:rsidTr="00CD6352">
        <w:trPr>
          <w:trHeight w:val="300"/>
        </w:trPr>
        <w:tc>
          <w:tcPr>
            <w:tcW w:w="6062" w:type="dxa"/>
            <w:noWrap/>
            <w:hideMark/>
          </w:tcPr>
          <w:p w14:paraId="7F0FB39A"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Communication</w:t>
            </w:r>
          </w:p>
        </w:tc>
        <w:tc>
          <w:tcPr>
            <w:tcW w:w="1559" w:type="dxa"/>
            <w:noWrap/>
            <w:hideMark/>
          </w:tcPr>
          <w:p w14:paraId="186A0F5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4.38</w:t>
            </w:r>
          </w:p>
        </w:tc>
        <w:tc>
          <w:tcPr>
            <w:tcW w:w="1621" w:type="dxa"/>
            <w:noWrap/>
            <w:hideMark/>
          </w:tcPr>
          <w:p w14:paraId="37DA26F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w:t>
            </w:r>
          </w:p>
        </w:tc>
      </w:tr>
      <w:tr w:rsidR="00CD6352" w:rsidRPr="00EA7665" w14:paraId="78943975" w14:textId="77777777" w:rsidTr="00CD6352">
        <w:trPr>
          <w:trHeight w:val="300"/>
        </w:trPr>
        <w:tc>
          <w:tcPr>
            <w:tcW w:w="6062" w:type="dxa"/>
            <w:noWrap/>
            <w:hideMark/>
          </w:tcPr>
          <w:p w14:paraId="42F45D32"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Strategic planning</w:t>
            </w:r>
          </w:p>
        </w:tc>
        <w:tc>
          <w:tcPr>
            <w:tcW w:w="1559" w:type="dxa"/>
            <w:noWrap/>
            <w:hideMark/>
          </w:tcPr>
          <w:p w14:paraId="33A826A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4.33</w:t>
            </w:r>
          </w:p>
        </w:tc>
        <w:tc>
          <w:tcPr>
            <w:tcW w:w="1621" w:type="dxa"/>
            <w:noWrap/>
            <w:hideMark/>
          </w:tcPr>
          <w:p w14:paraId="54DE8B56"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5</w:t>
            </w:r>
          </w:p>
        </w:tc>
      </w:tr>
      <w:tr w:rsidR="00CD6352" w:rsidRPr="00EA7665" w14:paraId="40EEC6D2" w14:textId="77777777" w:rsidTr="00CD6352">
        <w:trPr>
          <w:trHeight w:val="300"/>
        </w:trPr>
        <w:tc>
          <w:tcPr>
            <w:tcW w:w="6062" w:type="dxa"/>
            <w:noWrap/>
            <w:hideMark/>
          </w:tcPr>
          <w:p w14:paraId="696D27D3"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Negotiation</w:t>
            </w:r>
          </w:p>
        </w:tc>
        <w:tc>
          <w:tcPr>
            <w:tcW w:w="1559" w:type="dxa"/>
            <w:noWrap/>
            <w:hideMark/>
          </w:tcPr>
          <w:p w14:paraId="1B9DC044"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4.29</w:t>
            </w:r>
          </w:p>
        </w:tc>
        <w:tc>
          <w:tcPr>
            <w:tcW w:w="1621" w:type="dxa"/>
            <w:noWrap/>
            <w:hideMark/>
          </w:tcPr>
          <w:p w14:paraId="0DE5B8CA"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6</w:t>
            </w:r>
          </w:p>
        </w:tc>
      </w:tr>
      <w:tr w:rsidR="00CD6352" w:rsidRPr="00EA7665" w14:paraId="6AA49ADC" w14:textId="77777777" w:rsidTr="00CD6352">
        <w:trPr>
          <w:trHeight w:val="300"/>
        </w:trPr>
        <w:tc>
          <w:tcPr>
            <w:tcW w:w="6062" w:type="dxa"/>
            <w:noWrap/>
            <w:hideMark/>
          </w:tcPr>
          <w:p w14:paraId="234E2AED"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Commercial awareness</w:t>
            </w:r>
          </w:p>
        </w:tc>
        <w:tc>
          <w:tcPr>
            <w:tcW w:w="1559" w:type="dxa"/>
            <w:noWrap/>
            <w:hideMark/>
          </w:tcPr>
          <w:p w14:paraId="08D18843"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4.29</w:t>
            </w:r>
          </w:p>
        </w:tc>
        <w:tc>
          <w:tcPr>
            <w:tcW w:w="1621" w:type="dxa"/>
            <w:noWrap/>
            <w:hideMark/>
          </w:tcPr>
          <w:p w14:paraId="696534B9"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7</w:t>
            </w:r>
          </w:p>
        </w:tc>
      </w:tr>
      <w:tr w:rsidR="00CD6352" w:rsidRPr="00EA7665" w14:paraId="44517606" w14:textId="77777777" w:rsidTr="00CD6352">
        <w:trPr>
          <w:trHeight w:val="300"/>
        </w:trPr>
        <w:tc>
          <w:tcPr>
            <w:tcW w:w="6062" w:type="dxa"/>
            <w:noWrap/>
            <w:hideMark/>
          </w:tcPr>
          <w:p w14:paraId="47D5DB37"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 xml:space="preserve">Critical thinking </w:t>
            </w:r>
          </w:p>
        </w:tc>
        <w:tc>
          <w:tcPr>
            <w:tcW w:w="1559" w:type="dxa"/>
            <w:noWrap/>
            <w:hideMark/>
          </w:tcPr>
          <w:p w14:paraId="72479908"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4.27</w:t>
            </w:r>
          </w:p>
        </w:tc>
        <w:tc>
          <w:tcPr>
            <w:tcW w:w="1621" w:type="dxa"/>
            <w:noWrap/>
            <w:hideMark/>
          </w:tcPr>
          <w:p w14:paraId="3FC6AFC2"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8</w:t>
            </w:r>
          </w:p>
        </w:tc>
      </w:tr>
      <w:tr w:rsidR="00CD6352" w:rsidRPr="00EA7665" w14:paraId="25CE8513" w14:textId="77777777" w:rsidTr="00CD6352">
        <w:trPr>
          <w:trHeight w:val="300"/>
        </w:trPr>
        <w:tc>
          <w:tcPr>
            <w:tcW w:w="6062" w:type="dxa"/>
            <w:noWrap/>
            <w:hideMark/>
          </w:tcPr>
          <w:p w14:paraId="0429A823"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Developing confidence &amp; building relationships</w:t>
            </w:r>
          </w:p>
        </w:tc>
        <w:tc>
          <w:tcPr>
            <w:tcW w:w="1559" w:type="dxa"/>
            <w:noWrap/>
            <w:hideMark/>
          </w:tcPr>
          <w:p w14:paraId="4D240607"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4.25</w:t>
            </w:r>
          </w:p>
        </w:tc>
        <w:tc>
          <w:tcPr>
            <w:tcW w:w="1621" w:type="dxa"/>
            <w:noWrap/>
            <w:hideMark/>
          </w:tcPr>
          <w:p w14:paraId="7A082709"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9</w:t>
            </w:r>
          </w:p>
        </w:tc>
      </w:tr>
      <w:tr w:rsidR="00CD6352" w:rsidRPr="00EA7665" w14:paraId="7133EF60" w14:textId="77777777" w:rsidTr="00CD6352">
        <w:trPr>
          <w:trHeight w:val="300"/>
        </w:trPr>
        <w:tc>
          <w:tcPr>
            <w:tcW w:w="6062" w:type="dxa"/>
            <w:noWrap/>
            <w:hideMark/>
          </w:tcPr>
          <w:p w14:paraId="7ED3E6AA"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Leadership skill</w:t>
            </w:r>
          </w:p>
        </w:tc>
        <w:tc>
          <w:tcPr>
            <w:tcW w:w="1559" w:type="dxa"/>
            <w:noWrap/>
            <w:hideMark/>
          </w:tcPr>
          <w:p w14:paraId="224513E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4.22</w:t>
            </w:r>
          </w:p>
        </w:tc>
        <w:tc>
          <w:tcPr>
            <w:tcW w:w="1621" w:type="dxa"/>
            <w:noWrap/>
            <w:hideMark/>
          </w:tcPr>
          <w:p w14:paraId="4F1845A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10</w:t>
            </w:r>
          </w:p>
        </w:tc>
      </w:tr>
      <w:tr w:rsidR="00CD6352" w:rsidRPr="00EA7665" w14:paraId="36CFD767" w14:textId="77777777" w:rsidTr="00CD6352">
        <w:trPr>
          <w:trHeight w:val="300"/>
        </w:trPr>
        <w:tc>
          <w:tcPr>
            <w:tcW w:w="6062" w:type="dxa"/>
            <w:noWrap/>
            <w:hideMark/>
          </w:tcPr>
          <w:p w14:paraId="7073376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Planning and control</w:t>
            </w:r>
          </w:p>
        </w:tc>
        <w:tc>
          <w:tcPr>
            <w:tcW w:w="1559" w:type="dxa"/>
            <w:noWrap/>
            <w:hideMark/>
          </w:tcPr>
          <w:p w14:paraId="0F222CB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4.22</w:t>
            </w:r>
          </w:p>
        </w:tc>
        <w:tc>
          <w:tcPr>
            <w:tcW w:w="1621" w:type="dxa"/>
            <w:noWrap/>
            <w:hideMark/>
          </w:tcPr>
          <w:p w14:paraId="2D19188E"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11</w:t>
            </w:r>
          </w:p>
        </w:tc>
      </w:tr>
      <w:tr w:rsidR="00CD6352" w:rsidRPr="00EA7665" w14:paraId="69A8F4B9" w14:textId="77777777" w:rsidTr="00CD6352">
        <w:trPr>
          <w:trHeight w:val="300"/>
        </w:trPr>
        <w:tc>
          <w:tcPr>
            <w:tcW w:w="6062" w:type="dxa"/>
            <w:noWrap/>
            <w:hideMark/>
          </w:tcPr>
          <w:p w14:paraId="5E875FC2"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Financial management approach analysis</w:t>
            </w:r>
          </w:p>
        </w:tc>
        <w:tc>
          <w:tcPr>
            <w:tcW w:w="1559" w:type="dxa"/>
            <w:noWrap/>
            <w:hideMark/>
          </w:tcPr>
          <w:p w14:paraId="0A719169"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4.2</w:t>
            </w:r>
          </w:p>
        </w:tc>
        <w:tc>
          <w:tcPr>
            <w:tcW w:w="1621" w:type="dxa"/>
            <w:noWrap/>
            <w:hideMark/>
          </w:tcPr>
          <w:p w14:paraId="41E42D41"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12</w:t>
            </w:r>
          </w:p>
        </w:tc>
      </w:tr>
      <w:tr w:rsidR="00CD6352" w:rsidRPr="00EA7665" w14:paraId="7E4F3D6E" w14:textId="77777777" w:rsidTr="00CD6352">
        <w:trPr>
          <w:trHeight w:val="300"/>
        </w:trPr>
        <w:tc>
          <w:tcPr>
            <w:tcW w:w="6062" w:type="dxa"/>
            <w:noWrap/>
            <w:hideMark/>
          </w:tcPr>
          <w:p w14:paraId="11C13C72"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Developing a financial forecast and models</w:t>
            </w:r>
          </w:p>
        </w:tc>
        <w:tc>
          <w:tcPr>
            <w:tcW w:w="1559" w:type="dxa"/>
            <w:noWrap/>
            <w:hideMark/>
          </w:tcPr>
          <w:p w14:paraId="3D388FB8"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4.17</w:t>
            </w:r>
          </w:p>
        </w:tc>
        <w:tc>
          <w:tcPr>
            <w:tcW w:w="1621" w:type="dxa"/>
            <w:noWrap/>
            <w:hideMark/>
          </w:tcPr>
          <w:p w14:paraId="3DEE696D"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13</w:t>
            </w:r>
          </w:p>
        </w:tc>
      </w:tr>
      <w:tr w:rsidR="00CD6352" w:rsidRPr="00EA7665" w14:paraId="6B7571BE" w14:textId="77777777" w:rsidTr="00CD6352">
        <w:trPr>
          <w:trHeight w:val="300"/>
        </w:trPr>
        <w:tc>
          <w:tcPr>
            <w:tcW w:w="6062" w:type="dxa"/>
            <w:noWrap/>
            <w:hideMark/>
          </w:tcPr>
          <w:p w14:paraId="40F4A61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Developing and maintaining a cost management system</w:t>
            </w:r>
          </w:p>
        </w:tc>
        <w:tc>
          <w:tcPr>
            <w:tcW w:w="1559" w:type="dxa"/>
            <w:noWrap/>
            <w:hideMark/>
          </w:tcPr>
          <w:p w14:paraId="04938C75"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4.17</w:t>
            </w:r>
          </w:p>
        </w:tc>
        <w:tc>
          <w:tcPr>
            <w:tcW w:w="1621" w:type="dxa"/>
            <w:noWrap/>
            <w:hideMark/>
          </w:tcPr>
          <w:p w14:paraId="2B801369"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14</w:t>
            </w:r>
          </w:p>
        </w:tc>
      </w:tr>
      <w:tr w:rsidR="00CD6352" w:rsidRPr="00EA7665" w14:paraId="7BCA8B15" w14:textId="77777777" w:rsidTr="00CD6352">
        <w:trPr>
          <w:trHeight w:val="300"/>
        </w:trPr>
        <w:tc>
          <w:tcPr>
            <w:tcW w:w="6062" w:type="dxa"/>
            <w:noWrap/>
            <w:hideMark/>
          </w:tcPr>
          <w:p w14:paraId="1399749F"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Risks management</w:t>
            </w:r>
          </w:p>
        </w:tc>
        <w:tc>
          <w:tcPr>
            <w:tcW w:w="1559" w:type="dxa"/>
            <w:noWrap/>
            <w:hideMark/>
          </w:tcPr>
          <w:p w14:paraId="011BAF23"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4.16</w:t>
            </w:r>
          </w:p>
        </w:tc>
        <w:tc>
          <w:tcPr>
            <w:tcW w:w="1621" w:type="dxa"/>
            <w:noWrap/>
            <w:hideMark/>
          </w:tcPr>
          <w:p w14:paraId="1E1A8E1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15</w:t>
            </w:r>
          </w:p>
        </w:tc>
      </w:tr>
      <w:tr w:rsidR="00CD6352" w:rsidRPr="00EA7665" w14:paraId="46F5A54E" w14:textId="77777777" w:rsidTr="00CD6352">
        <w:trPr>
          <w:trHeight w:val="300"/>
        </w:trPr>
        <w:tc>
          <w:tcPr>
            <w:tcW w:w="6062" w:type="dxa"/>
            <w:noWrap/>
            <w:hideMark/>
          </w:tcPr>
          <w:p w14:paraId="244691D7"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Interpreting financial data and identifying trends</w:t>
            </w:r>
          </w:p>
        </w:tc>
        <w:tc>
          <w:tcPr>
            <w:tcW w:w="1559" w:type="dxa"/>
            <w:noWrap/>
            <w:hideMark/>
          </w:tcPr>
          <w:p w14:paraId="4255A1DF"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4.07</w:t>
            </w:r>
          </w:p>
        </w:tc>
        <w:tc>
          <w:tcPr>
            <w:tcW w:w="1621" w:type="dxa"/>
            <w:noWrap/>
            <w:hideMark/>
          </w:tcPr>
          <w:p w14:paraId="6A2FCDC3"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16</w:t>
            </w:r>
          </w:p>
        </w:tc>
      </w:tr>
      <w:tr w:rsidR="00CD6352" w:rsidRPr="00EA7665" w14:paraId="519E11F3" w14:textId="77777777" w:rsidTr="00CD6352">
        <w:trPr>
          <w:trHeight w:val="300"/>
        </w:trPr>
        <w:tc>
          <w:tcPr>
            <w:tcW w:w="6062" w:type="dxa"/>
            <w:noWrap/>
            <w:hideMark/>
          </w:tcPr>
          <w:p w14:paraId="58D377A7"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Specialised industry skill/ construction skill</w:t>
            </w:r>
          </w:p>
        </w:tc>
        <w:tc>
          <w:tcPr>
            <w:tcW w:w="1559" w:type="dxa"/>
            <w:noWrap/>
            <w:hideMark/>
          </w:tcPr>
          <w:p w14:paraId="43A22519"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4.04</w:t>
            </w:r>
          </w:p>
        </w:tc>
        <w:tc>
          <w:tcPr>
            <w:tcW w:w="1621" w:type="dxa"/>
            <w:noWrap/>
            <w:hideMark/>
          </w:tcPr>
          <w:p w14:paraId="3E760B58"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17</w:t>
            </w:r>
          </w:p>
        </w:tc>
      </w:tr>
      <w:tr w:rsidR="00CD6352" w:rsidRPr="00EA7665" w14:paraId="69EB6BB6" w14:textId="77777777" w:rsidTr="00CD6352">
        <w:trPr>
          <w:trHeight w:val="300"/>
        </w:trPr>
        <w:tc>
          <w:tcPr>
            <w:tcW w:w="6062" w:type="dxa"/>
            <w:noWrap/>
            <w:hideMark/>
          </w:tcPr>
          <w:p w14:paraId="38236F18"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Diplomatic skills and social intelligence</w:t>
            </w:r>
          </w:p>
        </w:tc>
        <w:tc>
          <w:tcPr>
            <w:tcW w:w="1559" w:type="dxa"/>
            <w:noWrap/>
            <w:hideMark/>
          </w:tcPr>
          <w:p w14:paraId="4269C11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4.02</w:t>
            </w:r>
          </w:p>
        </w:tc>
        <w:tc>
          <w:tcPr>
            <w:tcW w:w="1621" w:type="dxa"/>
            <w:noWrap/>
            <w:hideMark/>
          </w:tcPr>
          <w:p w14:paraId="6E205861"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18</w:t>
            </w:r>
          </w:p>
        </w:tc>
      </w:tr>
      <w:tr w:rsidR="00CD6352" w:rsidRPr="00EA7665" w14:paraId="5A65CA25" w14:textId="77777777" w:rsidTr="00CD6352">
        <w:trPr>
          <w:trHeight w:val="300"/>
        </w:trPr>
        <w:tc>
          <w:tcPr>
            <w:tcW w:w="6062" w:type="dxa"/>
            <w:noWrap/>
            <w:hideMark/>
          </w:tcPr>
          <w:p w14:paraId="0790034E"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Identifying and accessing the alternative option</w:t>
            </w:r>
          </w:p>
        </w:tc>
        <w:tc>
          <w:tcPr>
            <w:tcW w:w="1559" w:type="dxa"/>
            <w:noWrap/>
            <w:hideMark/>
          </w:tcPr>
          <w:p w14:paraId="3ADB872D"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4</w:t>
            </w:r>
          </w:p>
        </w:tc>
        <w:tc>
          <w:tcPr>
            <w:tcW w:w="1621" w:type="dxa"/>
            <w:noWrap/>
            <w:hideMark/>
          </w:tcPr>
          <w:p w14:paraId="12DD99E6"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19</w:t>
            </w:r>
          </w:p>
        </w:tc>
      </w:tr>
      <w:tr w:rsidR="00CD6352" w:rsidRPr="00EA7665" w14:paraId="217AE00C" w14:textId="77777777" w:rsidTr="00CD6352">
        <w:trPr>
          <w:trHeight w:val="300"/>
        </w:trPr>
        <w:tc>
          <w:tcPr>
            <w:tcW w:w="6062" w:type="dxa"/>
            <w:noWrap/>
            <w:hideMark/>
          </w:tcPr>
          <w:p w14:paraId="0E08D31F"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Market liquidity timing skill</w:t>
            </w:r>
          </w:p>
        </w:tc>
        <w:tc>
          <w:tcPr>
            <w:tcW w:w="1559" w:type="dxa"/>
            <w:noWrap/>
            <w:hideMark/>
          </w:tcPr>
          <w:p w14:paraId="03981266"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3.98</w:t>
            </w:r>
          </w:p>
        </w:tc>
        <w:tc>
          <w:tcPr>
            <w:tcW w:w="1621" w:type="dxa"/>
            <w:noWrap/>
            <w:hideMark/>
          </w:tcPr>
          <w:p w14:paraId="7C068720"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20</w:t>
            </w:r>
          </w:p>
        </w:tc>
      </w:tr>
      <w:tr w:rsidR="00CD6352" w:rsidRPr="00EA7665" w14:paraId="3C6D2F92" w14:textId="77777777" w:rsidTr="00CD6352">
        <w:trPr>
          <w:trHeight w:val="300"/>
        </w:trPr>
        <w:tc>
          <w:tcPr>
            <w:tcW w:w="6062" w:type="dxa"/>
            <w:noWrap/>
            <w:hideMark/>
          </w:tcPr>
          <w:p w14:paraId="01F1E4EF"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Recognising and using influence</w:t>
            </w:r>
          </w:p>
        </w:tc>
        <w:tc>
          <w:tcPr>
            <w:tcW w:w="1559" w:type="dxa"/>
            <w:noWrap/>
            <w:hideMark/>
          </w:tcPr>
          <w:p w14:paraId="37E85D9F"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3.98</w:t>
            </w:r>
          </w:p>
        </w:tc>
        <w:tc>
          <w:tcPr>
            <w:tcW w:w="1621" w:type="dxa"/>
            <w:noWrap/>
            <w:hideMark/>
          </w:tcPr>
          <w:p w14:paraId="685C6A76"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21</w:t>
            </w:r>
          </w:p>
        </w:tc>
      </w:tr>
      <w:tr w:rsidR="00CD6352" w:rsidRPr="00EA7665" w14:paraId="3AE6C904" w14:textId="77777777" w:rsidTr="00CD6352">
        <w:trPr>
          <w:trHeight w:val="300"/>
        </w:trPr>
        <w:tc>
          <w:tcPr>
            <w:tcW w:w="6062" w:type="dxa"/>
            <w:noWrap/>
            <w:hideMark/>
          </w:tcPr>
          <w:p w14:paraId="43C6D3C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Emotional intelligence</w:t>
            </w:r>
          </w:p>
        </w:tc>
        <w:tc>
          <w:tcPr>
            <w:tcW w:w="1559" w:type="dxa"/>
            <w:noWrap/>
            <w:hideMark/>
          </w:tcPr>
          <w:p w14:paraId="3DB81832"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3.72</w:t>
            </w:r>
          </w:p>
        </w:tc>
        <w:tc>
          <w:tcPr>
            <w:tcW w:w="1621" w:type="dxa"/>
            <w:noWrap/>
            <w:hideMark/>
          </w:tcPr>
          <w:p w14:paraId="5A84FCE5"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22</w:t>
            </w:r>
          </w:p>
        </w:tc>
      </w:tr>
      <w:tr w:rsidR="00CD6352" w:rsidRPr="00EA7665" w14:paraId="661DDCCA" w14:textId="77777777" w:rsidTr="00CD6352">
        <w:trPr>
          <w:trHeight w:val="257"/>
        </w:trPr>
        <w:tc>
          <w:tcPr>
            <w:tcW w:w="6062" w:type="dxa"/>
            <w:hideMark/>
          </w:tcPr>
          <w:p w14:paraId="42BA608A" w14:textId="0E62E413"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 xml:space="preserve">Emerging </w:t>
            </w:r>
            <w:r w:rsidR="00927D99" w:rsidRPr="00EA7665">
              <w:rPr>
                <w:rFonts w:ascii="Arial" w:hAnsi="Arial" w:cs="Arial"/>
                <w:sz w:val="16"/>
                <w:szCs w:val="16"/>
              </w:rPr>
              <w:t>technologies</w:t>
            </w:r>
            <w:r w:rsidR="00927D99">
              <w:rPr>
                <w:rFonts w:ascii="Arial" w:hAnsi="Arial" w:cs="Arial"/>
                <w:sz w:val="16"/>
                <w:szCs w:val="16"/>
              </w:rPr>
              <w:t xml:space="preserve"> </w:t>
            </w:r>
            <w:r w:rsidR="00927D99" w:rsidRPr="00EA7665">
              <w:rPr>
                <w:rFonts w:ascii="Arial" w:hAnsi="Arial" w:cs="Arial"/>
                <w:sz w:val="16"/>
                <w:szCs w:val="16"/>
              </w:rPr>
              <w:t>(such</w:t>
            </w:r>
            <w:r w:rsidRPr="00EA7665">
              <w:rPr>
                <w:rFonts w:ascii="Arial" w:hAnsi="Arial" w:cs="Arial"/>
                <w:sz w:val="16"/>
                <w:szCs w:val="16"/>
              </w:rPr>
              <w:t xml:space="preserve"> as artificial intelligence &amp; machine learning)</w:t>
            </w:r>
          </w:p>
        </w:tc>
        <w:tc>
          <w:tcPr>
            <w:tcW w:w="1559" w:type="dxa"/>
            <w:noWrap/>
            <w:hideMark/>
          </w:tcPr>
          <w:p w14:paraId="03166FEB"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3.7</w:t>
            </w:r>
          </w:p>
        </w:tc>
        <w:tc>
          <w:tcPr>
            <w:tcW w:w="1621" w:type="dxa"/>
            <w:noWrap/>
            <w:hideMark/>
          </w:tcPr>
          <w:p w14:paraId="0ED03F6C" w14:textId="77777777" w:rsidR="00CD6352" w:rsidRPr="00EA7665" w:rsidRDefault="00CD6352" w:rsidP="00CD6352">
            <w:pPr>
              <w:contextualSpacing/>
              <w:jc w:val="both"/>
              <w:rPr>
                <w:rFonts w:ascii="Arial" w:hAnsi="Arial" w:cs="Arial"/>
                <w:sz w:val="16"/>
                <w:szCs w:val="16"/>
              </w:rPr>
            </w:pPr>
            <w:r w:rsidRPr="00EA7665">
              <w:rPr>
                <w:rFonts w:ascii="Arial" w:hAnsi="Arial" w:cs="Arial"/>
                <w:sz w:val="16"/>
                <w:szCs w:val="16"/>
              </w:rPr>
              <w:t>23</w:t>
            </w:r>
          </w:p>
        </w:tc>
      </w:tr>
    </w:tbl>
    <w:p w14:paraId="22AC17F6" w14:textId="36F5135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Not important at all (1</w:t>
      </w:r>
      <w:r w:rsidR="00927D99" w:rsidRPr="00EA7665">
        <w:rPr>
          <w:rFonts w:ascii="Arial" w:hAnsi="Arial" w:cs="Arial"/>
          <w:sz w:val="16"/>
          <w:szCs w:val="16"/>
        </w:rPr>
        <w:t>), Less</w:t>
      </w:r>
      <w:r w:rsidRPr="00EA7665">
        <w:rPr>
          <w:rFonts w:ascii="Arial" w:hAnsi="Arial" w:cs="Arial"/>
          <w:sz w:val="16"/>
          <w:szCs w:val="16"/>
        </w:rPr>
        <w:t xml:space="preserve"> important (2,) Fairly </w:t>
      </w:r>
      <w:r w:rsidR="00927D99" w:rsidRPr="00EA7665">
        <w:rPr>
          <w:rFonts w:ascii="Arial" w:hAnsi="Arial" w:cs="Arial"/>
          <w:sz w:val="16"/>
          <w:szCs w:val="16"/>
        </w:rPr>
        <w:t>important (</w:t>
      </w:r>
      <w:r w:rsidRPr="00EA7665">
        <w:rPr>
          <w:rFonts w:ascii="Arial" w:hAnsi="Arial" w:cs="Arial"/>
          <w:sz w:val="16"/>
          <w:szCs w:val="16"/>
        </w:rPr>
        <w:t>3</w:t>
      </w:r>
      <w:r w:rsidR="009600CE" w:rsidRPr="00EA7665">
        <w:rPr>
          <w:rFonts w:ascii="Arial" w:hAnsi="Arial" w:cs="Arial"/>
          <w:sz w:val="16"/>
          <w:szCs w:val="16"/>
        </w:rPr>
        <w:t>), Important</w:t>
      </w:r>
      <w:r w:rsidRPr="00EA7665">
        <w:rPr>
          <w:rFonts w:ascii="Arial" w:hAnsi="Arial" w:cs="Arial"/>
          <w:sz w:val="16"/>
          <w:szCs w:val="16"/>
        </w:rPr>
        <w:t>(4), Very important(5)</w:t>
      </w:r>
    </w:p>
    <w:p w14:paraId="4A7BC30A" w14:textId="236C94F5" w:rsidR="00CD6352" w:rsidRDefault="00CD6352" w:rsidP="00CD6352">
      <w:pPr>
        <w:spacing w:line="360" w:lineRule="auto"/>
        <w:jc w:val="both"/>
        <w:rPr>
          <w:rFonts w:ascii="Arial" w:hAnsi="Arial" w:cs="Arial"/>
        </w:rPr>
      </w:pPr>
      <w:r w:rsidRPr="00EA7665">
        <w:rPr>
          <w:rFonts w:ascii="Arial" w:hAnsi="Arial" w:cs="Arial"/>
        </w:rPr>
        <w:lastRenderedPageBreak/>
        <w:t xml:space="preserve">The ranking of the </w:t>
      </w:r>
      <w:r>
        <w:rPr>
          <w:rFonts w:ascii="Arial" w:hAnsi="Arial" w:cs="Arial"/>
        </w:rPr>
        <w:t xml:space="preserve">top </w:t>
      </w:r>
      <w:r w:rsidRPr="00EA7665">
        <w:rPr>
          <w:rFonts w:ascii="Arial" w:hAnsi="Arial" w:cs="Arial"/>
        </w:rPr>
        <w:t>five skills considered important for securing finance for real estate project development further emphas</w:t>
      </w:r>
      <w:r>
        <w:rPr>
          <w:rFonts w:ascii="Arial" w:hAnsi="Arial" w:cs="Arial"/>
        </w:rPr>
        <w:t>ise</w:t>
      </w:r>
      <w:r w:rsidR="00D020FB">
        <w:rPr>
          <w:rFonts w:ascii="Arial" w:hAnsi="Arial" w:cs="Arial"/>
        </w:rPr>
        <w:t>s</w:t>
      </w:r>
      <w:r w:rsidRPr="00EA7665">
        <w:rPr>
          <w:rFonts w:ascii="Arial" w:hAnsi="Arial" w:cs="Arial"/>
        </w:rPr>
        <w:t xml:space="preserve"> the effectiveness of leadership and management </w:t>
      </w:r>
      <w:r w:rsidR="00D020FB">
        <w:rPr>
          <w:rFonts w:ascii="Arial" w:hAnsi="Arial" w:cs="Arial"/>
        </w:rPr>
        <w:t>is</w:t>
      </w:r>
      <w:r w:rsidRPr="00EA7665">
        <w:rPr>
          <w:rFonts w:ascii="Arial" w:hAnsi="Arial" w:cs="Arial"/>
        </w:rPr>
        <w:t xml:space="preserve"> centred on </w:t>
      </w:r>
      <w:r w:rsidR="00865AD1" w:rsidRPr="00EA7665">
        <w:rPr>
          <w:rFonts w:ascii="Arial" w:hAnsi="Arial" w:cs="Arial"/>
        </w:rPr>
        <w:t>human,</w:t>
      </w:r>
      <w:r w:rsidRPr="00EA7665">
        <w:rPr>
          <w:rFonts w:ascii="Arial" w:hAnsi="Arial" w:cs="Arial"/>
        </w:rPr>
        <w:t xml:space="preserve"> </w:t>
      </w:r>
      <w:r w:rsidR="00927D99" w:rsidRPr="00EA7665">
        <w:rPr>
          <w:rFonts w:ascii="Arial" w:hAnsi="Arial" w:cs="Arial"/>
        </w:rPr>
        <w:t>technical,</w:t>
      </w:r>
      <w:r w:rsidRPr="00EA7665">
        <w:rPr>
          <w:rFonts w:ascii="Arial" w:hAnsi="Arial" w:cs="Arial"/>
        </w:rPr>
        <w:t xml:space="preserve"> financial management </w:t>
      </w:r>
      <w:r w:rsidR="00927D99" w:rsidRPr="00EA7665">
        <w:rPr>
          <w:rFonts w:ascii="Arial" w:hAnsi="Arial" w:cs="Arial"/>
        </w:rPr>
        <w:t>and conceptual</w:t>
      </w:r>
      <w:r w:rsidRPr="00EA7665">
        <w:rPr>
          <w:rFonts w:ascii="Arial" w:hAnsi="Arial" w:cs="Arial"/>
        </w:rPr>
        <w:t xml:space="preserve"> skills (Katz, 1971, Muthuveloo et al</w:t>
      </w:r>
      <w:r w:rsidR="002F0E67">
        <w:rPr>
          <w:rFonts w:ascii="Arial" w:hAnsi="Arial" w:cs="Arial"/>
        </w:rPr>
        <w:t>.</w:t>
      </w:r>
      <w:r w:rsidRPr="00EA7665">
        <w:rPr>
          <w:rFonts w:ascii="Arial" w:hAnsi="Arial" w:cs="Arial"/>
        </w:rPr>
        <w:t xml:space="preserve">, 2017). </w:t>
      </w:r>
      <w:r>
        <w:rPr>
          <w:rFonts w:ascii="Arial" w:hAnsi="Arial" w:cs="Arial"/>
        </w:rPr>
        <w:t>It is worth</w:t>
      </w:r>
      <w:r w:rsidRPr="00EA7665">
        <w:rPr>
          <w:rFonts w:ascii="Arial" w:hAnsi="Arial" w:cs="Arial"/>
        </w:rPr>
        <w:t xml:space="preserve"> mentioning that </w:t>
      </w:r>
      <w:r>
        <w:rPr>
          <w:rFonts w:ascii="Arial" w:hAnsi="Arial" w:cs="Arial"/>
        </w:rPr>
        <w:t>bud</w:t>
      </w:r>
      <w:r w:rsidRPr="00EA7665">
        <w:rPr>
          <w:rFonts w:ascii="Arial" w:hAnsi="Arial" w:cs="Arial"/>
        </w:rPr>
        <w:t>geting</w:t>
      </w:r>
      <w:r w:rsidR="00FE1690">
        <w:rPr>
          <w:rFonts w:ascii="Arial" w:hAnsi="Arial" w:cs="Arial"/>
        </w:rPr>
        <w:t>, a technical skill,</w:t>
      </w:r>
      <w:r w:rsidRPr="00EA7665">
        <w:rPr>
          <w:rFonts w:ascii="Arial" w:hAnsi="Arial" w:cs="Arial"/>
        </w:rPr>
        <w:t xml:space="preserve"> </w:t>
      </w:r>
      <w:r w:rsidR="005313C5" w:rsidRPr="00EA7665">
        <w:rPr>
          <w:rFonts w:ascii="Arial" w:hAnsi="Arial" w:cs="Arial"/>
        </w:rPr>
        <w:t>is considered</w:t>
      </w:r>
      <w:r w:rsidRPr="00EA7665">
        <w:rPr>
          <w:rFonts w:ascii="Arial" w:hAnsi="Arial" w:cs="Arial"/>
        </w:rPr>
        <w:t xml:space="preserve"> a financial management skill </w:t>
      </w:r>
      <w:r w:rsidR="00927D99" w:rsidRPr="00EA7665">
        <w:rPr>
          <w:rFonts w:ascii="Arial" w:hAnsi="Arial" w:cs="Arial"/>
        </w:rPr>
        <w:t>(Grizzle</w:t>
      </w:r>
      <w:r w:rsidRPr="00EA7665">
        <w:rPr>
          <w:rFonts w:ascii="Arial" w:hAnsi="Arial" w:cs="Arial"/>
        </w:rPr>
        <w:t>, 1985; Ogbenjuwa et al</w:t>
      </w:r>
      <w:r w:rsidR="00E75F15">
        <w:rPr>
          <w:rFonts w:ascii="Arial" w:hAnsi="Arial" w:cs="Arial"/>
        </w:rPr>
        <w:t>.</w:t>
      </w:r>
      <w:r w:rsidRPr="00EA7665">
        <w:rPr>
          <w:rFonts w:ascii="Arial" w:hAnsi="Arial" w:cs="Arial"/>
        </w:rPr>
        <w:t xml:space="preserve">, 2018). </w:t>
      </w:r>
      <w:r w:rsidR="00FE1690">
        <w:rPr>
          <w:rFonts w:ascii="Arial" w:hAnsi="Arial" w:cs="Arial"/>
        </w:rPr>
        <w:t>Despite being considered important, the least ranked skills</w:t>
      </w:r>
      <w:r w:rsidRPr="00EA7665">
        <w:rPr>
          <w:rFonts w:ascii="Arial" w:hAnsi="Arial" w:cs="Arial"/>
        </w:rPr>
        <w:t xml:space="preserve"> are </w:t>
      </w:r>
      <w:r>
        <w:rPr>
          <w:rFonts w:ascii="Arial" w:hAnsi="Arial" w:cs="Arial"/>
        </w:rPr>
        <w:t>m</w:t>
      </w:r>
      <w:r w:rsidRPr="00EA7665">
        <w:rPr>
          <w:rFonts w:ascii="Arial" w:hAnsi="Arial" w:cs="Arial"/>
        </w:rPr>
        <w:t xml:space="preserve">arket liquidity timing skills, </w:t>
      </w:r>
      <w:r w:rsidR="00E75F15">
        <w:rPr>
          <w:rFonts w:ascii="Arial" w:hAnsi="Arial" w:cs="Arial"/>
        </w:rPr>
        <w:t>ability to recognise and use</w:t>
      </w:r>
      <w:r w:rsidRPr="00EA7665">
        <w:rPr>
          <w:rFonts w:ascii="Arial" w:hAnsi="Arial" w:cs="Arial"/>
        </w:rPr>
        <w:t xml:space="preserve"> influence, emotional </w:t>
      </w:r>
      <w:r w:rsidR="00AD4F72" w:rsidRPr="00EA7665">
        <w:rPr>
          <w:rFonts w:ascii="Arial" w:hAnsi="Arial" w:cs="Arial"/>
        </w:rPr>
        <w:t>intelligence,</w:t>
      </w:r>
      <w:r w:rsidRPr="00EA7665">
        <w:rPr>
          <w:rFonts w:ascii="Arial" w:hAnsi="Arial" w:cs="Arial"/>
        </w:rPr>
        <w:t xml:space="preserve"> and emerging technologies such as artificial intelligence and machine learning.</w:t>
      </w:r>
      <w:r w:rsidR="005313C5">
        <w:rPr>
          <w:rFonts w:ascii="Arial" w:hAnsi="Arial" w:cs="Arial"/>
        </w:rPr>
        <w:t xml:space="preserve"> </w:t>
      </w:r>
      <w:r w:rsidR="00AD4F72">
        <w:rPr>
          <w:rFonts w:ascii="Arial" w:hAnsi="Arial" w:cs="Arial"/>
        </w:rPr>
        <w:t xml:space="preserve">A greater analysis of the ranking will be discussed more extensively at the </w:t>
      </w:r>
      <w:r w:rsidR="00AD4F72" w:rsidRPr="007459ED">
        <w:rPr>
          <w:rFonts w:ascii="Arial" w:hAnsi="Arial" w:cs="Arial"/>
        </w:rPr>
        <w:t xml:space="preserve">disaggregate levels </w:t>
      </w:r>
      <w:r w:rsidR="007459ED" w:rsidRPr="007459ED">
        <w:rPr>
          <w:rFonts w:ascii="Arial" w:hAnsi="Arial" w:cs="Arial"/>
        </w:rPr>
        <w:t>(see</w:t>
      </w:r>
      <w:r w:rsidR="00AD4F72" w:rsidRPr="007459ED">
        <w:rPr>
          <w:rFonts w:ascii="Arial" w:hAnsi="Arial" w:cs="Arial"/>
        </w:rPr>
        <w:t xml:space="preserve"> </w:t>
      </w:r>
      <w:r w:rsidR="007459ED" w:rsidRPr="007459ED">
        <w:rPr>
          <w:rFonts w:ascii="Arial" w:hAnsi="Arial" w:cs="Arial"/>
        </w:rPr>
        <w:t>table 8.3</w:t>
      </w:r>
      <w:r w:rsidR="00AD4F72" w:rsidRPr="007459ED">
        <w:rPr>
          <w:rFonts w:ascii="Arial" w:hAnsi="Arial" w:cs="Arial"/>
        </w:rPr>
        <w:t>).</w:t>
      </w:r>
      <w:r w:rsidR="00AD4F72">
        <w:rPr>
          <w:rFonts w:ascii="Arial" w:hAnsi="Arial" w:cs="Arial"/>
        </w:rPr>
        <w:t xml:space="preserve"> </w:t>
      </w:r>
      <w:r w:rsidR="005313C5">
        <w:rPr>
          <w:rFonts w:ascii="Arial" w:hAnsi="Arial" w:cs="Arial"/>
        </w:rPr>
        <w:t>The next segment of the study discusses the importance of the selected skills for securing finance for real estate project development at the disaggregate level.</w:t>
      </w:r>
      <w:r w:rsidR="002D5E3A">
        <w:rPr>
          <w:rFonts w:ascii="Arial" w:hAnsi="Arial" w:cs="Arial"/>
        </w:rPr>
        <w:t xml:space="preserve"> See Appendix 1 table 1</w:t>
      </w:r>
      <w:r w:rsidR="00831D3E">
        <w:rPr>
          <w:rFonts w:ascii="Arial" w:hAnsi="Arial" w:cs="Arial"/>
        </w:rPr>
        <w:t>.</w:t>
      </w:r>
    </w:p>
    <w:p w14:paraId="08F63E30" w14:textId="62DAC573" w:rsidR="00CD6352" w:rsidRPr="00EA7665" w:rsidRDefault="00CD6352" w:rsidP="00CD6352">
      <w:pPr>
        <w:pStyle w:val="Heading4"/>
        <w:rPr>
          <w:rFonts w:ascii="Arial" w:hAnsi="Arial" w:cs="Arial"/>
          <w:color w:val="auto"/>
        </w:rPr>
      </w:pPr>
      <w:r w:rsidRPr="00EA7665">
        <w:rPr>
          <w:rFonts w:ascii="Arial" w:hAnsi="Arial" w:cs="Arial"/>
          <w:color w:val="auto"/>
        </w:rPr>
        <w:t xml:space="preserve">Questionnaire survey discussion and analysis at the disaggregate </w:t>
      </w:r>
      <w:r w:rsidR="00B97004" w:rsidRPr="00EA7665">
        <w:rPr>
          <w:rFonts w:ascii="Arial" w:hAnsi="Arial" w:cs="Arial"/>
          <w:color w:val="auto"/>
        </w:rPr>
        <w:t>level.</w:t>
      </w:r>
    </w:p>
    <w:p w14:paraId="4FB4FC81" w14:textId="21AEFDE0" w:rsidR="00CD6352" w:rsidRPr="00EA7665" w:rsidRDefault="00831D3E" w:rsidP="00CD6352">
      <w:pPr>
        <w:spacing w:line="360" w:lineRule="auto"/>
        <w:jc w:val="both"/>
        <w:rPr>
          <w:rFonts w:ascii="Arial" w:hAnsi="Arial" w:cs="Arial"/>
        </w:rPr>
      </w:pPr>
      <w:r>
        <w:rPr>
          <w:rFonts w:ascii="Arial" w:hAnsi="Arial" w:cs="Arial"/>
        </w:rPr>
        <w:t>Appendix 1 table 1</w:t>
      </w:r>
      <w:r w:rsidR="00CD6352" w:rsidRPr="00EA7665">
        <w:rPr>
          <w:rFonts w:ascii="Arial" w:hAnsi="Arial" w:cs="Arial"/>
        </w:rPr>
        <w:t xml:space="preserve"> represents the overall mean score and the </w:t>
      </w:r>
      <w:r w:rsidR="00865AD1" w:rsidRPr="00EA7665">
        <w:rPr>
          <w:rFonts w:ascii="Arial" w:hAnsi="Arial" w:cs="Arial"/>
        </w:rPr>
        <w:t>ranking given</w:t>
      </w:r>
      <w:r w:rsidR="00CD6352" w:rsidRPr="00EA7665">
        <w:rPr>
          <w:rFonts w:ascii="Arial" w:hAnsi="Arial" w:cs="Arial"/>
        </w:rPr>
        <w:t xml:space="preserve"> by survey respondents in Germany, </w:t>
      </w:r>
      <w:r w:rsidR="00CD6352">
        <w:rPr>
          <w:rFonts w:ascii="Arial" w:hAnsi="Arial" w:cs="Arial"/>
        </w:rPr>
        <w:t xml:space="preserve">the </w:t>
      </w:r>
      <w:r w:rsidR="00CD6352" w:rsidRPr="00EA7665">
        <w:rPr>
          <w:rFonts w:ascii="Arial" w:hAnsi="Arial" w:cs="Arial"/>
        </w:rPr>
        <w:t xml:space="preserve">UK, </w:t>
      </w:r>
      <w:r w:rsidR="00CD6352">
        <w:rPr>
          <w:rFonts w:ascii="Arial" w:hAnsi="Arial" w:cs="Arial"/>
        </w:rPr>
        <w:t xml:space="preserve">the </w:t>
      </w:r>
      <w:r w:rsidR="00CD6352" w:rsidRPr="00EA7665">
        <w:rPr>
          <w:rFonts w:ascii="Arial" w:hAnsi="Arial" w:cs="Arial"/>
        </w:rPr>
        <w:t xml:space="preserve">US, China, </w:t>
      </w:r>
      <w:r w:rsidR="00F21D90" w:rsidRPr="00EA7665">
        <w:rPr>
          <w:rFonts w:ascii="Arial" w:hAnsi="Arial" w:cs="Arial"/>
        </w:rPr>
        <w:t>Nigeria,</w:t>
      </w:r>
      <w:r w:rsidR="00CD6352" w:rsidRPr="00EA7665">
        <w:rPr>
          <w:rFonts w:ascii="Arial" w:hAnsi="Arial" w:cs="Arial"/>
        </w:rPr>
        <w:t xml:space="preserve"> and South Africa for the degree of importance of management skills for securing finance for real estate project development. The data shows that </w:t>
      </w:r>
      <w:r w:rsidR="00CD6352">
        <w:rPr>
          <w:rFonts w:ascii="Arial" w:hAnsi="Arial" w:cs="Arial"/>
        </w:rPr>
        <w:t xml:space="preserve">the </w:t>
      </w:r>
      <w:r w:rsidR="00CD6352" w:rsidRPr="00EA7665">
        <w:rPr>
          <w:rFonts w:ascii="Arial" w:hAnsi="Arial" w:cs="Arial"/>
        </w:rPr>
        <w:t xml:space="preserve">mean scores range for the six countries as </w:t>
      </w:r>
      <w:r w:rsidR="004B2F2E" w:rsidRPr="00EA7665">
        <w:rPr>
          <w:rFonts w:ascii="Arial" w:hAnsi="Arial" w:cs="Arial"/>
        </w:rPr>
        <w:t>follows:</w:t>
      </w:r>
      <w:r w:rsidR="00CD6352" w:rsidRPr="00EA7665">
        <w:rPr>
          <w:rFonts w:ascii="Arial" w:hAnsi="Arial" w:cs="Arial"/>
        </w:rPr>
        <w:t xml:space="preserve"> Germany (5 to 3.33), UK (4.5 to 3.27), US (4.8 to 3.33), China (4.6 to 3.5), Nigeria (4.75 to 3.71) and South Africa (4.67 to 3.56). This means that all the </w:t>
      </w:r>
      <w:r w:rsidR="00865AD1" w:rsidRPr="00EA7665">
        <w:rPr>
          <w:rFonts w:ascii="Arial" w:hAnsi="Arial" w:cs="Arial"/>
        </w:rPr>
        <w:t>twenty-three</w:t>
      </w:r>
      <w:r w:rsidR="00CD6352" w:rsidRPr="00EA7665">
        <w:rPr>
          <w:rFonts w:ascii="Arial" w:hAnsi="Arial" w:cs="Arial"/>
        </w:rPr>
        <w:t xml:space="preserve"> skills are significant for securing finance for real estate project development for managers</w:t>
      </w:r>
      <w:r w:rsidR="00CD6352">
        <w:rPr>
          <w:rFonts w:ascii="Arial" w:hAnsi="Arial" w:cs="Arial"/>
        </w:rPr>
        <w:t xml:space="preserve"> in both the developed and emerging economies</w:t>
      </w:r>
      <w:r w:rsidR="00CD6352" w:rsidRPr="00EA7665">
        <w:rPr>
          <w:rFonts w:ascii="Arial" w:hAnsi="Arial" w:cs="Arial"/>
        </w:rPr>
        <w:t xml:space="preserve"> because they all fall into the category of important.</w:t>
      </w:r>
    </w:p>
    <w:p w14:paraId="6D47C0D8" w14:textId="64FFC5E6" w:rsidR="00CD6352" w:rsidRPr="00EA7665" w:rsidRDefault="00CD6352" w:rsidP="00CD6352">
      <w:pPr>
        <w:spacing w:line="360" w:lineRule="auto"/>
        <w:jc w:val="both"/>
        <w:rPr>
          <w:rFonts w:ascii="Arial" w:hAnsi="Arial" w:cs="Arial"/>
        </w:rPr>
      </w:pPr>
      <w:r w:rsidRPr="00EA7665">
        <w:rPr>
          <w:rFonts w:ascii="Arial" w:hAnsi="Arial" w:cs="Arial"/>
        </w:rPr>
        <w:t>However, the top five skills considered important for securing finance for real estate project development in the three developed and emerging economies in this study based on the</w:t>
      </w:r>
      <w:r>
        <w:rPr>
          <w:rFonts w:ascii="Arial" w:hAnsi="Arial" w:cs="Arial"/>
        </w:rPr>
        <w:t xml:space="preserve"> questionnaire </w:t>
      </w:r>
      <w:r w:rsidRPr="00EA7665">
        <w:rPr>
          <w:rFonts w:ascii="Arial" w:hAnsi="Arial" w:cs="Arial"/>
        </w:rPr>
        <w:t>survey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3"/>
        <w:gridCol w:w="3001"/>
      </w:tblGrid>
      <w:tr w:rsidR="00CD6352" w:rsidRPr="00EA7665" w14:paraId="4106D3B4" w14:textId="77777777" w:rsidTr="00CD6352">
        <w:tc>
          <w:tcPr>
            <w:tcW w:w="3080" w:type="dxa"/>
          </w:tcPr>
          <w:p w14:paraId="74BE1274" w14:textId="77777777" w:rsidR="00CD6352" w:rsidRPr="008C1845" w:rsidRDefault="00CD6352" w:rsidP="00CD6352">
            <w:pPr>
              <w:spacing w:line="360" w:lineRule="auto"/>
              <w:jc w:val="both"/>
              <w:rPr>
                <w:rFonts w:ascii="Arial" w:hAnsi="Arial" w:cs="Arial"/>
                <w:b/>
                <w:sz w:val="16"/>
                <w:szCs w:val="16"/>
              </w:rPr>
            </w:pPr>
            <w:r w:rsidRPr="008C1845">
              <w:rPr>
                <w:rFonts w:ascii="Arial" w:hAnsi="Arial" w:cs="Arial"/>
                <w:b/>
                <w:sz w:val="16"/>
                <w:szCs w:val="16"/>
              </w:rPr>
              <w:t>Germany:</w:t>
            </w:r>
          </w:p>
          <w:p w14:paraId="3AD6F33D" w14:textId="05B4F338" w:rsidR="00CD6352" w:rsidRPr="00EA7665" w:rsidRDefault="002B520A" w:rsidP="00C74AEC">
            <w:pPr>
              <w:pStyle w:val="ListParagraph"/>
              <w:numPr>
                <w:ilvl w:val="0"/>
                <w:numId w:val="128"/>
              </w:numPr>
              <w:spacing w:after="0" w:line="360" w:lineRule="auto"/>
              <w:jc w:val="both"/>
              <w:rPr>
                <w:rFonts w:ascii="Arial" w:hAnsi="Arial" w:cs="Arial"/>
                <w:sz w:val="16"/>
                <w:szCs w:val="16"/>
              </w:rPr>
            </w:pPr>
            <w:r w:rsidRPr="00EA7665">
              <w:rPr>
                <w:rFonts w:ascii="Arial" w:hAnsi="Arial" w:cs="Arial"/>
                <w:sz w:val="16"/>
                <w:szCs w:val="16"/>
              </w:rPr>
              <w:t>Developing financial</w:t>
            </w:r>
            <w:r w:rsidR="00CD6352" w:rsidRPr="00EA7665">
              <w:rPr>
                <w:rFonts w:ascii="Arial" w:hAnsi="Arial" w:cs="Arial"/>
                <w:sz w:val="16"/>
                <w:szCs w:val="16"/>
              </w:rPr>
              <w:t xml:space="preserve"> forecast and models</w:t>
            </w:r>
          </w:p>
          <w:p w14:paraId="633E31D1" w14:textId="77777777" w:rsidR="00CD6352" w:rsidRPr="00EA7665" w:rsidRDefault="00CD6352" w:rsidP="00C74AEC">
            <w:pPr>
              <w:pStyle w:val="ListParagraph"/>
              <w:numPr>
                <w:ilvl w:val="0"/>
                <w:numId w:val="128"/>
              </w:numPr>
              <w:spacing w:after="0" w:line="360" w:lineRule="auto"/>
              <w:jc w:val="both"/>
              <w:rPr>
                <w:rFonts w:ascii="Arial" w:hAnsi="Arial" w:cs="Arial"/>
                <w:sz w:val="16"/>
                <w:szCs w:val="16"/>
              </w:rPr>
            </w:pPr>
            <w:r w:rsidRPr="00EA7665">
              <w:rPr>
                <w:rFonts w:ascii="Arial" w:hAnsi="Arial" w:cs="Arial"/>
                <w:sz w:val="16"/>
                <w:szCs w:val="16"/>
              </w:rPr>
              <w:t>Negotiation</w:t>
            </w:r>
          </w:p>
          <w:p w14:paraId="640A03C7" w14:textId="77777777" w:rsidR="00CD6352" w:rsidRPr="00EA7665" w:rsidRDefault="00CD6352" w:rsidP="00C74AEC">
            <w:pPr>
              <w:pStyle w:val="ListParagraph"/>
              <w:numPr>
                <w:ilvl w:val="0"/>
                <w:numId w:val="128"/>
              </w:numPr>
              <w:spacing w:after="0" w:line="360" w:lineRule="auto"/>
              <w:jc w:val="both"/>
              <w:rPr>
                <w:rFonts w:ascii="Arial" w:hAnsi="Arial" w:cs="Arial"/>
                <w:sz w:val="16"/>
                <w:szCs w:val="16"/>
              </w:rPr>
            </w:pPr>
            <w:r w:rsidRPr="00EA7665">
              <w:rPr>
                <w:rFonts w:ascii="Arial" w:hAnsi="Arial" w:cs="Arial"/>
                <w:sz w:val="16"/>
                <w:szCs w:val="16"/>
              </w:rPr>
              <w:t>Commercial awareness</w:t>
            </w:r>
          </w:p>
          <w:p w14:paraId="6F3FD5DD" w14:textId="77777777" w:rsidR="00CD6352" w:rsidRPr="00EA7665" w:rsidRDefault="00CD6352" w:rsidP="00C74AEC">
            <w:pPr>
              <w:pStyle w:val="ListParagraph"/>
              <w:numPr>
                <w:ilvl w:val="0"/>
                <w:numId w:val="128"/>
              </w:numPr>
              <w:spacing w:after="0" w:line="360" w:lineRule="auto"/>
              <w:jc w:val="both"/>
              <w:rPr>
                <w:rFonts w:ascii="Arial" w:hAnsi="Arial" w:cs="Arial"/>
                <w:sz w:val="16"/>
                <w:szCs w:val="16"/>
              </w:rPr>
            </w:pPr>
            <w:r w:rsidRPr="00EA7665">
              <w:rPr>
                <w:rFonts w:ascii="Arial" w:hAnsi="Arial" w:cs="Arial"/>
                <w:sz w:val="16"/>
                <w:szCs w:val="16"/>
              </w:rPr>
              <w:t>Developing and maintaining a cost management system</w:t>
            </w:r>
          </w:p>
          <w:p w14:paraId="7EFC60B0" w14:textId="77777777" w:rsidR="00CD6352" w:rsidRPr="00EA7665" w:rsidRDefault="00CD6352" w:rsidP="00C74AEC">
            <w:pPr>
              <w:pStyle w:val="ListParagraph"/>
              <w:numPr>
                <w:ilvl w:val="0"/>
                <w:numId w:val="128"/>
              </w:numPr>
              <w:spacing w:after="0" w:line="360" w:lineRule="auto"/>
              <w:jc w:val="both"/>
              <w:rPr>
                <w:rFonts w:ascii="Arial" w:hAnsi="Arial" w:cs="Arial"/>
                <w:sz w:val="16"/>
                <w:szCs w:val="16"/>
              </w:rPr>
            </w:pPr>
            <w:r w:rsidRPr="00EA7665">
              <w:rPr>
                <w:rFonts w:ascii="Arial" w:hAnsi="Arial" w:cs="Arial"/>
                <w:sz w:val="16"/>
                <w:szCs w:val="16"/>
              </w:rPr>
              <w:t>Developing confidence &amp; building relationships</w:t>
            </w:r>
          </w:p>
        </w:tc>
        <w:tc>
          <w:tcPr>
            <w:tcW w:w="3081" w:type="dxa"/>
          </w:tcPr>
          <w:p w14:paraId="3316453C"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United Kingdom:</w:t>
            </w:r>
          </w:p>
          <w:p w14:paraId="786AEE07" w14:textId="77777777" w:rsidR="00CD6352" w:rsidRPr="00EA7665" w:rsidRDefault="00CD6352" w:rsidP="00C74AEC">
            <w:pPr>
              <w:pStyle w:val="ListParagraph"/>
              <w:numPr>
                <w:ilvl w:val="0"/>
                <w:numId w:val="127"/>
              </w:numPr>
              <w:spacing w:after="0" w:line="360" w:lineRule="auto"/>
              <w:jc w:val="both"/>
              <w:rPr>
                <w:rFonts w:ascii="Arial" w:hAnsi="Arial" w:cs="Arial"/>
                <w:sz w:val="16"/>
                <w:szCs w:val="16"/>
              </w:rPr>
            </w:pPr>
            <w:r w:rsidRPr="00EA7665">
              <w:rPr>
                <w:rFonts w:ascii="Arial" w:hAnsi="Arial" w:cs="Arial"/>
                <w:sz w:val="16"/>
                <w:szCs w:val="16"/>
              </w:rPr>
              <w:t>Budgeting</w:t>
            </w:r>
            <w:r w:rsidRPr="00EA7665">
              <w:rPr>
                <w:rFonts w:ascii="Arial" w:hAnsi="Arial" w:cs="Arial"/>
                <w:sz w:val="16"/>
                <w:szCs w:val="16"/>
              </w:rPr>
              <w:tab/>
            </w:r>
          </w:p>
          <w:p w14:paraId="393A7D93" w14:textId="77777777" w:rsidR="00CD6352" w:rsidRPr="00EA7665" w:rsidRDefault="00CD6352" w:rsidP="00C74AEC">
            <w:pPr>
              <w:pStyle w:val="ListParagraph"/>
              <w:numPr>
                <w:ilvl w:val="0"/>
                <w:numId w:val="127"/>
              </w:numPr>
              <w:spacing w:after="0" w:line="360" w:lineRule="auto"/>
              <w:jc w:val="both"/>
              <w:rPr>
                <w:rFonts w:ascii="Arial" w:hAnsi="Arial" w:cs="Arial"/>
                <w:sz w:val="16"/>
                <w:szCs w:val="16"/>
              </w:rPr>
            </w:pPr>
            <w:r w:rsidRPr="00EA7665">
              <w:rPr>
                <w:rFonts w:ascii="Arial" w:hAnsi="Arial" w:cs="Arial"/>
                <w:sz w:val="16"/>
                <w:szCs w:val="16"/>
              </w:rPr>
              <w:t>Communication</w:t>
            </w:r>
            <w:r w:rsidRPr="00EA7665">
              <w:rPr>
                <w:rFonts w:ascii="Arial" w:hAnsi="Arial" w:cs="Arial"/>
                <w:sz w:val="16"/>
                <w:szCs w:val="16"/>
              </w:rPr>
              <w:tab/>
            </w:r>
          </w:p>
          <w:p w14:paraId="13F05423" w14:textId="77777777" w:rsidR="00CD6352" w:rsidRPr="00EA7665" w:rsidRDefault="00CD6352" w:rsidP="00C74AEC">
            <w:pPr>
              <w:pStyle w:val="ListParagraph"/>
              <w:numPr>
                <w:ilvl w:val="0"/>
                <w:numId w:val="127"/>
              </w:numPr>
              <w:spacing w:after="0" w:line="360" w:lineRule="auto"/>
              <w:jc w:val="both"/>
              <w:rPr>
                <w:rFonts w:ascii="Arial" w:hAnsi="Arial" w:cs="Arial"/>
                <w:sz w:val="16"/>
                <w:szCs w:val="16"/>
              </w:rPr>
            </w:pPr>
            <w:r w:rsidRPr="00EA7665">
              <w:rPr>
                <w:rFonts w:ascii="Arial" w:hAnsi="Arial" w:cs="Arial"/>
                <w:sz w:val="16"/>
                <w:szCs w:val="16"/>
              </w:rPr>
              <w:t xml:space="preserve">Critical thinking </w:t>
            </w:r>
            <w:r w:rsidRPr="00EA7665">
              <w:rPr>
                <w:rFonts w:ascii="Arial" w:hAnsi="Arial" w:cs="Arial"/>
                <w:sz w:val="16"/>
                <w:szCs w:val="16"/>
              </w:rPr>
              <w:tab/>
            </w:r>
          </w:p>
          <w:p w14:paraId="05D86D21" w14:textId="77777777" w:rsidR="00CD6352" w:rsidRPr="00EA7665" w:rsidRDefault="00CD6352" w:rsidP="00C74AEC">
            <w:pPr>
              <w:pStyle w:val="ListParagraph"/>
              <w:numPr>
                <w:ilvl w:val="0"/>
                <w:numId w:val="127"/>
              </w:numPr>
              <w:spacing w:after="0" w:line="360" w:lineRule="auto"/>
              <w:jc w:val="both"/>
              <w:rPr>
                <w:rFonts w:ascii="Arial" w:hAnsi="Arial" w:cs="Arial"/>
                <w:sz w:val="16"/>
                <w:szCs w:val="16"/>
              </w:rPr>
            </w:pPr>
            <w:r w:rsidRPr="00EA7665">
              <w:rPr>
                <w:rFonts w:ascii="Arial" w:hAnsi="Arial" w:cs="Arial"/>
                <w:sz w:val="16"/>
                <w:szCs w:val="16"/>
              </w:rPr>
              <w:t>Analytical skill</w:t>
            </w:r>
            <w:r w:rsidRPr="00EA7665">
              <w:rPr>
                <w:rFonts w:ascii="Arial" w:hAnsi="Arial" w:cs="Arial"/>
                <w:sz w:val="16"/>
                <w:szCs w:val="16"/>
              </w:rPr>
              <w:tab/>
            </w:r>
          </w:p>
          <w:p w14:paraId="5ADF371F" w14:textId="77777777" w:rsidR="00CD6352" w:rsidRPr="00EA7665" w:rsidRDefault="00CD6352" w:rsidP="00C74AEC">
            <w:pPr>
              <w:pStyle w:val="ListParagraph"/>
              <w:numPr>
                <w:ilvl w:val="0"/>
                <w:numId w:val="127"/>
              </w:numPr>
              <w:spacing w:after="0" w:line="360" w:lineRule="auto"/>
              <w:jc w:val="both"/>
              <w:rPr>
                <w:rFonts w:ascii="Arial" w:hAnsi="Arial" w:cs="Arial"/>
                <w:sz w:val="16"/>
                <w:szCs w:val="16"/>
              </w:rPr>
            </w:pPr>
            <w:r w:rsidRPr="00EA7665">
              <w:rPr>
                <w:rFonts w:ascii="Arial" w:hAnsi="Arial" w:cs="Arial"/>
                <w:sz w:val="16"/>
                <w:szCs w:val="16"/>
              </w:rPr>
              <w:t>Commercial awareness</w:t>
            </w:r>
            <w:r w:rsidRPr="00EA7665">
              <w:rPr>
                <w:rFonts w:ascii="Arial" w:hAnsi="Arial" w:cs="Arial"/>
                <w:sz w:val="16"/>
                <w:szCs w:val="16"/>
              </w:rPr>
              <w:tab/>
            </w:r>
          </w:p>
        </w:tc>
        <w:tc>
          <w:tcPr>
            <w:tcW w:w="3081" w:type="dxa"/>
          </w:tcPr>
          <w:p w14:paraId="40527994"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United States:</w:t>
            </w:r>
          </w:p>
          <w:p w14:paraId="370EEA06" w14:textId="77777777" w:rsidR="00CD6352" w:rsidRPr="00EA7665" w:rsidRDefault="00CD6352" w:rsidP="00C74AEC">
            <w:pPr>
              <w:pStyle w:val="ListParagraph"/>
              <w:numPr>
                <w:ilvl w:val="0"/>
                <w:numId w:val="129"/>
              </w:numPr>
              <w:spacing w:after="0" w:line="360" w:lineRule="auto"/>
              <w:jc w:val="both"/>
              <w:rPr>
                <w:rFonts w:ascii="Arial" w:hAnsi="Arial" w:cs="Arial"/>
                <w:sz w:val="16"/>
                <w:szCs w:val="16"/>
              </w:rPr>
            </w:pPr>
            <w:r w:rsidRPr="00EA7665">
              <w:rPr>
                <w:rFonts w:ascii="Arial" w:hAnsi="Arial" w:cs="Arial"/>
                <w:sz w:val="16"/>
                <w:szCs w:val="16"/>
              </w:rPr>
              <w:t>Interpreting financial data and identifying trends</w:t>
            </w:r>
          </w:p>
          <w:p w14:paraId="5234B80D" w14:textId="799DDFE4" w:rsidR="00CD6352" w:rsidRPr="00EA7665" w:rsidRDefault="002B520A" w:rsidP="00C74AEC">
            <w:pPr>
              <w:pStyle w:val="ListParagraph"/>
              <w:numPr>
                <w:ilvl w:val="0"/>
                <w:numId w:val="129"/>
              </w:numPr>
              <w:spacing w:after="0" w:line="360" w:lineRule="auto"/>
              <w:jc w:val="both"/>
              <w:rPr>
                <w:rFonts w:ascii="Arial" w:hAnsi="Arial" w:cs="Arial"/>
                <w:sz w:val="16"/>
                <w:szCs w:val="16"/>
              </w:rPr>
            </w:pPr>
            <w:r w:rsidRPr="00EA7665">
              <w:rPr>
                <w:rFonts w:ascii="Arial" w:hAnsi="Arial" w:cs="Arial"/>
                <w:sz w:val="16"/>
                <w:szCs w:val="16"/>
              </w:rPr>
              <w:t>Developing financial</w:t>
            </w:r>
            <w:r w:rsidR="00CD6352" w:rsidRPr="00EA7665">
              <w:rPr>
                <w:rFonts w:ascii="Arial" w:hAnsi="Arial" w:cs="Arial"/>
                <w:sz w:val="16"/>
                <w:szCs w:val="16"/>
              </w:rPr>
              <w:t xml:space="preserve"> forecast and models</w:t>
            </w:r>
          </w:p>
          <w:p w14:paraId="4B85BCB0" w14:textId="77777777" w:rsidR="00CD6352" w:rsidRPr="00EA7665" w:rsidRDefault="00CD6352" w:rsidP="00C74AEC">
            <w:pPr>
              <w:pStyle w:val="ListParagraph"/>
              <w:numPr>
                <w:ilvl w:val="0"/>
                <w:numId w:val="129"/>
              </w:numPr>
              <w:spacing w:after="0" w:line="360" w:lineRule="auto"/>
              <w:jc w:val="both"/>
              <w:rPr>
                <w:rFonts w:ascii="Arial" w:hAnsi="Arial" w:cs="Arial"/>
                <w:sz w:val="16"/>
                <w:szCs w:val="16"/>
              </w:rPr>
            </w:pPr>
            <w:r w:rsidRPr="00EA7665">
              <w:rPr>
                <w:rFonts w:ascii="Arial" w:hAnsi="Arial" w:cs="Arial"/>
                <w:sz w:val="16"/>
                <w:szCs w:val="16"/>
              </w:rPr>
              <w:t>Planning and control</w:t>
            </w:r>
          </w:p>
          <w:p w14:paraId="64A49057" w14:textId="77777777" w:rsidR="00CD6352" w:rsidRPr="00EA7665" w:rsidRDefault="00CD6352" w:rsidP="00C74AEC">
            <w:pPr>
              <w:pStyle w:val="ListParagraph"/>
              <w:numPr>
                <w:ilvl w:val="0"/>
                <w:numId w:val="129"/>
              </w:numPr>
              <w:spacing w:after="0" w:line="360" w:lineRule="auto"/>
              <w:jc w:val="both"/>
              <w:rPr>
                <w:rFonts w:ascii="Arial" w:hAnsi="Arial" w:cs="Arial"/>
                <w:sz w:val="16"/>
                <w:szCs w:val="16"/>
              </w:rPr>
            </w:pPr>
            <w:r w:rsidRPr="00EA7665">
              <w:rPr>
                <w:rFonts w:ascii="Arial" w:hAnsi="Arial" w:cs="Arial"/>
                <w:sz w:val="16"/>
                <w:szCs w:val="16"/>
              </w:rPr>
              <w:t>Financial management approach analysis</w:t>
            </w:r>
          </w:p>
          <w:p w14:paraId="184242BC" w14:textId="77777777" w:rsidR="00CD6352" w:rsidRPr="00EA7665" w:rsidRDefault="00CD6352" w:rsidP="00C74AEC">
            <w:pPr>
              <w:pStyle w:val="ListParagraph"/>
              <w:numPr>
                <w:ilvl w:val="0"/>
                <w:numId w:val="129"/>
              </w:numPr>
              <w:spacing w:after="0" w:line="360" w:lineRule="auto"/>
              <w:jc w:val="both"/>
              <w:rPr>
                <w:rFonts w:ascii="Arial" w:hAnsi="Arial" w:cs="Arial"/>
                <w:sz w:val="16"/>
                <w:szCs w:val="16"/>
              </w:rPr>
            </w:pPr>
            <w:r w:rsidRPr="00EA7665">
              <w:rPr>
                <w:rFonts w:ascii="Arial" w:hAnsi="Arial" w:cs="Arial"/>
                <w:sz w:val="16"/>
                <w:szCs w:val="16"/>
              </w:rPr>
              <w:t>Negotiation</w:t>
            </w:r>
          </w:p>
        </w:tc>
      </w:tr>
      <w:tr w:rsidR="00CD6352" w:rsidRPr="00EA7665" w14:paraId="409BACD8" w14:textId="77777777" w:rsidTr="00CD6352">
        <w:tc>
          <w:tcPr>
            <w:tcW w:w="3080" w:type="dxa"/>
          </w:tcPr>
          <w:p w14:paraId="3DF47D14"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China:</w:t>
            </w:r>
          </w:p>
          <w:p w14:paraId="676F3630" w14:textId="77777777" w:rsidR="00CD6352" w:rsidRPr="00EA7665" w:rsidRDefault="00CD6352" w:rsidP="00C74AEC">
            <w:pPr>
              <w:pStyle w:val="ListParagraph"/>
              <w:numPr>
                <w:ilvl w:val="0"/>
                <w:numId w:val="130"/>
              </w:numPr>
              <w:spacing w:after="0" w:line="360" w:lineRule="auto"/>
              <w:jc w:val="both"/>
              <w:rPr>
                <w:rFonts w:ascii="Arial" w:hAnsi="Arial" w:cs="Arial"/>
                <w:sz w:val="16"/>
                <w:szCs w:val="16"/>
              </w:rPr>
            </w:pPr>
            <w:r w:rsidRPr="00EA7665">
              <w:rPr>
                <w:rFonts w:ascii="Arial" w:hAnsi="Arial" w:cs="Arial"/>
                <w:sz w:val="16"/>
                <w:szCs w:val="16"/>
              </w:rPr>
              <w:t>Teamwork</w:t>
            </w:r>
          </w:p>
          <w:p w14:paraId="307ECC0B" w14:textId="77777777" w:rsidR="00CD6352" w:rsidRPr="00EA7665" w:rsidRDefault="00CD6352" w:rsidP="00C74AEC">
            <w:pPr>
              <w:pStyle w:val="ListParagraph"/>
              <w:numPr>
                <w:ilvl w:val="0"/>
                <w:numId w:val="130"/>
              </w:numPr>
              <w:spacing w:after="0" w:line="360" w:lineRule="auto"/>
              <w:jc w:val="both"/>
              <w:rPr>
                <w:rFonts w:ascii="Arial" w:hAnsi="Arial" w:cs="Arial"/>
                <w:sz w:val="16"/>
                <w:szCs w:val="16"/>
              </w:rPr>
            </w:pPr>
            <w:r w:rsidRPr="00EA7665">
              <w:rPr>
                <w:rFonts w:ascii="Arial" w:hAnsi="Arial" w:cs="Arial"/>
                <w:sz w:val="16"/>
                <w:szCs w:val="16"/>
              </w:rPr>
              <w:t>Analytical skill</w:t>
            </w:r>
          </w:p>
          <w:p w14:paraId="0B669E76" w14:textId="77777777" w:rsidR="00CD6352" w:rsidRPr="00EA7665" w:rsidRDefault="00CD6352" w:rsidP="00C74AEC">
            <w:pPr>
              <w:pStyle w:val="ListParagraph"/>
              <w:numPr>
                <w:ilvl w:val="0"/>
                <w:numId w:val="130"/>
              </w:numPr>
              <w:spacing w:after="0" w:line="360" w:lineRule="auto"/>
              <w:jc w:val="both"/>
              <w:rPr>
                <w:rFonts w:ascii="Arial" w:hAnsi="Arial" w:cs="Arial"/>
                <w:sz w:val="16"/>
                <w:szCs w:val="16"/>
              </w:rPr>
            </w:pPr>
            <w:r w:rsidRPr="00EA7665">
              <w:rPr>
                <w:rFonts w:ascii="Arial" w:hAnsi="Arial" w:cs="Arial"/>
                <w:sz w:val="16"/>
                <w:szCs w:val="16"/>
              </w:rPr>
              <w:t>Negotiation</w:t>
            </w:r>
          </w:p>
          <w:p w14:paraId="7AD9CDE2" w14:textId="77777777" w:rsidR="00CD6352" w:rsidRPr="00EA7665" w:rsidRDefault="00CD6352" w:rsidP="00C74AEC">
            <w:pPr>
              <w:pStyle w:val="ListParagraph"/>
              <w:numPr>
                <w:ilvl w:val="0"/>
                <w:numId w:val="130"/>
              </w:numPr>
              <w:spacing w:after="0" w:line="360" w:lineRule="auto"/>
              <w:jc w:val="both"/>
              <w:rPr>
                <w:rFonts w:ascii="Arial" w:hAnsi="Arial" w:cs="Arial"/>
                <w:sz w:val="16"/>
                <w:szCs w:val="16"/>
              </w:rPr>
            </w:pPr>
            <w:r w:rsidRPr="00EA7665">
              <w:rPr>
                <w:rFonts w:ascii="Arial" w:hAnsi="Arial" w:cs="Arial"/>
                <w:sz w:val="16"/>
                <w:szCs w:val="16"/>
              </w:rPr>
              <w:t>Communication</w:t>
            </w:r>
          </w:p>
          <w:p w14:paraId="10BC6013" w14:textId="77777777" w:rsidR="00CD6352" w:rsidRPr="00EA7665" w:rsidRDefault="00CD6352" w:rsidP="00C74AEC">
            <w:pPr>
              <w:pStyle w:val="ListParagraph"/>
              <w:numPr>
                <w:ilvl w:val="0"/>
                <w:numId w:val="130"/>
              </w:numPr>
              <w:spacing w:after="0" w:line="360" w:lineRule="auto"/>
              <w:jc w:val="both"/>
              <w:rPr>
                <w:rFonts w:ascii="Arial" w:hAnsi="Arial" w:cs="Arial"/>
                <w:sz w:val="16"/>
                <w:szCs w:val="16"/>
              </w:rPr>
            </w:pPr>
            <w:r w:rsidRPr="00EA7665">
              <w:rPr>
                <w:rFonts w:ascii="Arial" w:hAnsi="Arial" w:cs="Arial"/>
                <w:sz w:val="16"/>
                <w:szCs w:val="16"/>
              </w:rPr>
              <w:t>Strategic planning</w:t>
            </w:r>
          </w:p>
          <w:p w14:paraId="25BE6DE1" w14:textId="77777777" w:rsidR="00CD6352" w:rsidRPr="00EA7665" w:rsidRDefault="00CD6352" w:rsidP="00CD6352">
            <w:pPr>
              <w:spacing w:line="360" w:lineRule="auto"/>
              <w:jc w:val="both"/>
              <w:rPr>
                <w:rFonts w:ascii="Arial" w:hAnsi="Arial" w:cs="Arial"/>
                <w:sz w:val="16"/>
                <w:szCs w:val="16"/>
              </w:rPr>
            </w:pPr>
          </w:p>
        </w:tc>
        <w:tc>
          <w:tcPr>
            <w:tcW w:w="3081" w:type="dxa"/>
          </w:tcPr>
          <w:p w14:paraId="158A1454"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Nigeria:</w:t>
            </w:r>
          </w:p>
          <w:p w14:paraId="6D3A87D8" w14:textId="77777777" w:rsidR="00CD6352" w:rsidRPr="00EA7665" w:rsidRDefault="00CD6352" w:rsidP="00C74AEC">
            <w:pPr>
              <w:pStyle w:val="ListParagraph"/>
              <w:numPr>
                <w:ilvl w:val="0"/>
                <w:numId w:val="131"/>
              </w:numPr>
              <w:spacing w:after="0" w:line="360" w:lineRule="auto"/>
              <w:jc w:val="both"/>
              <w:rPr>
                <w:rFonts w:ascii="Arial" w:hAnsi="Arial" w:cs="Arial"/>
                <w:sz w:val="16"/>
                <w:szCs w:val="16"/>
              </w:rPr>
            </w:pPr>
            <w:r w:rsidRPr="00EA7665">
              <w:rPr>
                <w:rFonts w:ascii="Arial" w:hAnsi="Arial" w:cs="Arial"/>
                <w:sz w:val="16"/>
                <w:szCs w:val="16"/>
              </w:rPr>
              <w:t>Budgeting</w:t>
            </w:r>
          </w:p>
          <w:p w14:paraId="797A658C" w14:textId="77777777" w:rsidR="00CD6352" w:rsidRPr="00EA7665" w:rsidRDefault="00CD6352" w:rsidP="00C74AEC">
            <w:pPr>
              <w:pStyle w:val="ListParagraph"/>
              <w:numPr>
                <w:ilvl w:val="0"/>
                <w:numId w:val="131"/>
              </w:numPr>
              <w:spacing w:after="0" w:line="360" w:lineRule="auto"/>
              <w:jc w:val="both"/>
              <w:rPr>
                <w:rFonts w:ascii="Arial" w:hAnsi="Arial" w:cs="Arial"/>
                <w:sz w:val="16"/>
                <w:szCs w:val="16"/>
              </w:rPr>
            </w:pPr>
            <w:r w:rsidRPr="00EA7665">
              <w:rPr>
                <w:rFonts w:ascii="Arial" w:hAnsi="Arial" w:cs="Arial"/>
                <w:sz w:val="16"/>
                <w:szCs w:val="16"/>
              </w:rPr>
              <w:t>Leadership skill</w:t>
            </w:r>
          </w:p>
          <w:p w14:paraId="6796A444" w14:textId="77777777" w:rsidR="00CD6352" w:rsidRPr="00EA7665" w:rsidRDefault="00CD6352" w:rsidP="00C74AEC">
            <w:pPr>
              <w:pStyle w:val="ListParagraph"/>
              <w:numPr>
                <w:ilvl w:val="0"/>
                <w:numId w:val="131"/>
              </w:numPr>
              <w:spacing w:after="0" w:line="360" w:lineRule="auto"/>
              <w:jc w:val="both"/>
              <w:rPr>
                <w:rFonts w:ascii="Arial" w:hAnsi="Arial" w:cs="Arial"/>
                <w:sz w:val="16"/>
                <w:szCs w:val="16"/>
              </w:rPr>
            </w:pPr>
            <w:r w:rsidRPr="00EA7665">
              <w:rPr>
                <w:rFonts w:ascii="Arial" w:hAnsi="Arial" w:cs="Arial"/>
                <w:sz w:val="16"/>
                <w:szCs w:val="16"/>
              </w:rPr>
              <w:t xml:space="preserve">Critical thinking </w:t>
            </w:r>
          </w:p>
          <w:p w14:paraId="1928C103" w14:textId="77777777" w:rsidR="00CD6352" w:rsidRPr="00EA7665" w:rsidRDefault="00CD6352" w:rsidP="00C74AEC">
            <w:pPr>
              <w:pStyle w:val="ListParagraph"/>
              <w:numPr>
                <w:ilvl w:val="0"/>
                <w:numId w:val="131"/>
              </w:numPr>
              <w:spacing w:after="0" w:line="360" w:lineRule="auto"/>
              <w:jc w:val="both"/>
              <w:rPr>
                <w:rFonts w:ascii="Arial" w:hAnsi="Arial" w:cs="Arial"/>
                <w:sz w:val="16"/>
                <w:szCs w:val="16"/>
              </w:rPr>
            </w:pPr>
            <w:r w:rsidRPr="00EA7665">
              <w:rPr>
                <w:rFonts w:ascii="Arial" w:hAnsi="Arial" w:cs="Arial"/>
                <w:sz w:val="16"/>
                <w:szCs w:val="16"/>
              </w:rPr>
              <w:t>Planning and control</w:t>
            </w:r>
          </w:p>
          <w:p w14:paraId="4B8150AD" w14:textId="4A731BFA" w:rsidR="00CD6352" w:rsidRPr="00EA7665" w:rsidRDefault="002B520A" w:rsidP="00C74AEC">
            <w:pPr>
              <w:pStyle w:val="ListParagraph"/>
              <w:numPr>
                <w:ilvl w:val="0"/>
                <w:numId w:val="131"/>
              </w:numPr>
              <w:spacing w:after="0" w:line="360" w:lineRule="auto"/>
              <w:jc w:val="both"/>
              <w:rPr>
                <w:rFonts w:ascii="Arial" w:hAnsi="Arial" w:cs="Arial"/>
                <w:sz w:val="16"/>
                <w:szCs w:val="16"/>
              </w:rPr>
            </w:pPr>
            <w:r w:rsidRPr="00EA7665">
              <w:rPr>
                <w:rFonts w:ascii="Arial" w:hAnsi="Arial" w:cs="Arial"/>
                <w:sz w:val="16"/>
                <w:szCs w:val="16"/>
              </w:rPr>
              <w:t>Developing financial</w:t>
            </w:r>
            <w:r w:rsidR="00CD6352" w:rsidRPr="00EA7665">
              <w:rPr>
                <w:rFonts w:ascii="Arial" w:hAnsi="Arial" w:cs="Arial"/>
                <w:sz w:val="16"/>
                <w:szCs w:val="16"/>
              </w:rPr>
              <w:t xml:space="preserve"> forecast and models</w:t>
            </w:r>
          </w:p>
        </w:tc>
        <w:tc>
          <w:tcPr>
            <w:tcW w:w="3081" w:type="dxa"/>
          </w:tcPr>
          <w:p w14:paraId="3B00ECB7"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South Africa:</w:t>
            </w:r>
          </w:p>
          <w:p w14:paraId="2D860997" w14:textId="77777777" w:rsidR="00CD6352" w:rsidRPr="00EA7665" w:rsidRDefault="00CD6352" w:rsidP="00C74AEC">
            <w:pPr>
              <w:pStyle w:val="ListParagraph"/>
              <w:numPr>
                <w:ilvl w:val="0"/>
                <w:numId w:val="132"/>
              </w:numPr>
              <w:spacing w:after="0" w:line="360" w:lineRule="auto"/>
              <w:jc w:val="both"/>
              <w:rPr>
                <w:rFonts w:ascii="Arial" w:hAnsi="Arial" w:cs="Arial"/>
                <w:sz w:val="16"/>
                <w:szCs w:val="16"/>
              </w:rPr>
            </w:pPr>
            <w:r w:rsidRPr="00EA7665">
              <w:rPr>
                <w:rFonts w:ascii="Arial" w:hAnsi="Arial" w:cs="Arial"/>
                <w:sz w:val="16"/>
                <w:szCs w:val="16"/>
              </w:rPr>
              <w:t>Negotiation</w:t>
            </w:r>
          </w:p>
          <w:p w14:paraId="0A2AA8EB" w14:textId="77777777" w:rsidR="00CD6352" w:rsidRPr="00EA7665" w:rsidRDefault="00CD6352" w:rsidP="00C74AEC">
            <w:pPr>
              <w:pStyle w:val="ListParagraph"/>
              <w:numPr>
                <w:ilvl w:val="0"/>
                <w:numId w:val="132"/>
              </w:numPr>
              <w:spacing w:after="0" w:line="360" w:lineRule="auto"/>
              <w:jc w:val="both"/>
              <w:rPr>
                <w:rFonts w:ascii="Arial" w:hAnsi="Arial" w:cs="Arial"/>
                <w:sz w:val="16"/>
                <w:szCs w:val="16"/>
              </w:rPr>
            </w:pPr>
            <w:r w:rsidRPr="00EA7665">
              <w:rPr>
                <w:rFonts w:ascii="Arial" w:hAnsi="Arial" w:cs="Arial"/>
                <w:sz w:val="16"/>
                <w:szCs w:val="16"/>
              </w:rPr>
              <w:t>Teamwork</w:t>
            </w:r>
          </w:p>
          <w:p w14:paraId="219F08A7" w14:textId="77777777" w:rsidR="00CD6352" w:rsidRPr="00EA7665" w:rsidRDefault="00CD6352" w:rsidP="00C74AEC">
            <w:pPr>
              <w:pStyle w:val="ListParagraph"/>
              <w:numPr>
                <w:ilvl w:val="0"/>
                <w:numId w:val="132"/>
              </w:numPr>
              <w:spacing w:after="0" w:line="360" w:lineRule="auto"/>
              <w:jc w:val="both"/>
              <w:rPr>
                <w:rFonts w:ascii="Arial" w:hAnsi="Arial" w:cs="Arial"/>
                <w:sz w:val="16"/>
                <w:szCs w:val="16"/>
              </w:rPr>
            </w:pPr>
            <w:r w:rsidRPr="00EA7665">
              <w:rPr>
                <w:rFonts w:ascii="Arial" w:hAnsi="Arial" w:cs="Arial"/>
                <w:sz w:val="16"/>
                <w:szCs w:val="16"/>
              </w:rPr>
              <w:t>Developing confidence &amp; building relationships</w:t>
            </w:r>
          </w:p>
          <w:p w14:paraId="6D1BBADE" w14:textId="77777777" w:rsidR="00CD6352" w:rsidRPr="00EA7665" w:rsidRDefault="00CD6352" w:rsidP="00C74AEC">
            <w:pPr>
              <w:pStyle w:val="ListParagraph"/>
              <w:numPr>
                <w:ilvl w:val="0"/>
                <w:numId w:val="132"/>
              </w:numPr>
              <w:spacing w:after="0" w:line="360" w:lineRule="auto"/>
              <w:jc w:val="both"/>
              <w:rPr>
                <w:rFonts w:ascii="Arial" w:hAnsi="Arial" w:cs="Arial"/>
                <w:sz w:val="16"/>
                <w:szCs w:val="16"/>
              </w:rPr>
            </w:pPr>
            <w:r w:rsidRPr="00EA7665">
              <w:rPr>
                <w:rFonts w:ascii="Arial" w:hAnsi="Arial" w:cs="Arial"/>
                <w:sz w:val="16"/>
                <w:szCs w:val="16"/>
              </w:rPr>
              <w:t>Developing and maintaining a cost management system</w:t>
            </w:r>
          </w:p>
          <w:p w14:paraId="5BDCCC6F" w14:textId="77777777" w:rsidR="00CD6352" w:rsidRPr="00EA7665" w:rsidRDefault="00CD6352" w:rsidP="00C74AEC">
            <w:pPr>
              <w:pStyle w:val="ListParagraph"/>
              <w:numPr>
                <w:ilvl w:val="0"/>
                <w:numId w:val="132"/>
              </w:numPr>
              <w:spacing w:after="0" w:line="360" w:lineRule="auto"/>
              <w:jc w:val="both"/>
              <w:rPr>
                <w:rFonts w:ascii="Arial" w:hAnsi="Arial" w:cs="Arial"/>
                <w:sz w:val="16"/>
                <w:szCs w:val="16"/>
              </w:rPr>
            </w:pPr>
            <w:r w:rsidRPr="00EA7665">
              <w:rPr>
                <w:rFonts w:ascii="Arial" w:hAnsi="Arial" w:cs="Arial"/>
                <w:sz w:val="16"/>
                <w:szCs w:val="16"/>
              </w:rPr>
              <w:t>Planning and control</w:t>
            </w:r>
          </w:p>
        </w:tc>
      </w:tr>
    </w:tbl>
    <w:p w14:paraId="1A7BAD17" w14:textId="77777777" w:rsidR="00973A0E" w:rsidRDefault="00973A0E" w:rsidP="00CD6352">
      <w:pPr>
        <w:spacing w:line="360" w:lineRule="auto"/>
        <w:jc w:val="both"/>
        <w:rPr>
          <w:rFonts w:ascii="Arial" w:hAnsi="Arial" w:cs="Arial"/>
        </w:rPr>
      </w:pPr>
    </w:p>
    <w:p w14:paraId="2F42B13D" w14:textId="14E20200" w:rsidR="00CD6352" w:rsidRPr="00EA7665" w:rsidRDefault="00CD6352" w:rsidP="00CD6352">
      <w:pPr>
        <w:spacing w:line="360" w:lineRule="auto"/>
        <w:jc w:val="both"/>
        <w:rPr>
          <w:rFonts w:ascii="Arial" w:hAnsi="Arial" w:cs="Arial"/>
        </w:rPr>
      </w:pPr>
      <w:r w:rsidRPr="00EA7665">
        <w:rPr>
          <w:rFonts w:ascii="Arial" w:hAnsi="Arial" w:cs="Arial"/>
        </w:rPr>
        <w:t>The top</w:t>
      </w:r>
      <w:r w:rsidR="00E00232">
        <w:rPr>
          <w:rFonts w:ascii="Arial" w:hAnsi="Arial" w:cs="Arial"/>
        </w:rPr>
        <w:t>-</w:t>
      </w:r>
      <w:r w:rsidRPr="00EA7665">
        <w:rPr>
          <w:rFonts w:ascii="Arial" w:hAnsi="Arial" w:cs="Arial"/>
        </w:rPr>
        <w:t xml:space="preserve">ranked skills for both the developed and the emerging economies </w:t>
      </w:r>
      <w:r>
        <w:rPr>
          <w:rFonts w:ascii="Arial" w:hAnsi="Arial" w:cs="Arial"/>
        </w:rPr>
        <w:t>show</w:t>
      </w:r>
      <w:r w:rsidRPr="00EA7665">
        <w:rPr>
          <w:rFonts w:ascii="Arial" w:hAnsi="Arial" w:cs="Arial"/>
        </w:rPr>
        <w:t xml:space="preserve"> a blend of human, </w:t>
      </w:r>
      <w:r w:rsidR="009600CE" w:rsidRPr="00EA7665">
        <w:rPr>
          <w:rFonts w:ascii="Arial" w:hAnsi="Arial" w:cs="Arial"/>
        </w:rPr>
        <w:t>technical,</w:t>
      </w:r>
      <w:r w:rsidRPr="00EA7665">
        <w:rPr>
          <w:rFonts w:ascii="Arial" w:hAnsi="Arial" w:cs="Arial"/>
        </w:rPr>
        <w:t xml:space="preserve"> conceptual,</w:t>
      </w:r>
      <w:r>
        <w:rPr>
          <w:rFonts w:ascii="Arial" w:hAnsi="Arial" w:cs="Arial"/>
        </w:rPr>
        <w:t xml:space="preserve"> </w:t>
      </w:r>
      <w:r w:rsidR="007F4411" w:rsidRPr="00EA7665">
        <w:rPr>
          <w:rFonts w:ascii="Arial" w:hAnsi="Arial" w:cs="Arial"/>
        </w:rPr>
        <w:t>political,</w:t>
      </w:r>
      <w:r w:rsidRPr="00EA7665">
        <w:rPr>
          <w:rFonts w:ascii="Arial" w:hAnsi="Arial" w:cs="Arial"/>
        </w:rPr>
        <w:t xml:space="preserve"> and financial management skills</w:t>
      </w:r>
      <w:r w:rsidR="00470378">
        <w:rPr>
          <w:rFonts w:ascii="Arial" w:hAnsi="Arial" w:cs="Arial"/>
        </w:rPr>
        <w:t>,</w:t>
      </w:r>
      <w:r w:rsidRPr="00EA7665">
        <w:rPr>
          <w:rFonts w:ascii="Arial" w:hAnsi="Arial" w:cs="Arial"/>
        </w:rPr>
        <w:t xml:space="preserve"> and this is in line with existing literature</w:t>
      </w:r>
      <w:r>
        <w:rPr>
          <w:rFonts w:ascii="Arial" w:hAnsi="Arial" w:cs="Arial"/>
        </w:rPr>
        <w:t xml:space="preserve"> on management skills</w:t>
      </w:r>
      <w:r w:rsidRPr="00EA7665">
        <w:rPr>
          <w:rFonts w:ascii="Arial" w:hAnsi="Arial" w:cs="Arial"/>
        </w:rPr>
        <w:t xml:space="preserve"> (Boyatzis, 1982; Ogbenjuwa et al</w:t>
      </w:r>
      <w:r w:rsidR="00470378">
        <w:rPr>
          <w:rFonts w:ascii="Arial" w:hAnsi="Arial" w:cs="Arial"/>
        </w:rPr>
        <w:t>.</w:t>
      </w:r>
      <w:r w:rsidRPr="00EA7665">
        <w:rPr>
          <w:rFonts w:ascii="Arial" w:hAnsi="Arial" w:cs="Arial"/>
        </w:rPr>
        <w:t xml:space="preserve">,2018 and IPMA,2015). </w:t>
      </w:r>
      <w:r w:rsidR="00470378">
        <w:rPr>
          <w:rFonts w:ascii="Arial" w:hAnsi="Arial" w:cs="Arial"/>
        </w:rPr>
        <w:t>Teamwork and negotiation have a high ranking of importance in China and South Africa. While negotiation has a top ranking in Germany. Conversely, emerging technology and emotional intelligence have a low ranking in all the countries in this stud</w:t>
      </w:r>
      <w:r>
        <w:rPr>
          <w:rFonts w:ascii="Arial" w:hAnsi="Arial" w:cs="Arial"/>
        </w:rPr>
        <w:t>y.</w:t>
      </w:r>
    </w:p>
    <w:p w14:paraId="2C9631AD" w14:textId="124C9B33" w:rsidR="00CD6352" w:rsidRPr="00EA7665" w:rsidRDefault="00CD6352" w:rsidP="00CD6352">
      <w:pPr>
        <w:spacing w:line="360" w:lineRule="auto"/>
        <w:jc w:val="both"/>
        <w:rPr>
          <w:rFonts w:ascii="Arial" w:hAnsi="Arial" w:cs="Arial"/>
        </w:rPr>
      </w:pPr>
      <w:r w:rsidRPr="00EA7665">
        <w:rPr>
          <w:rFonts w:ascii="Arial" w:hAnsi="Arial" w:cs="Arial"/>
        </w:rPr>
        <w:t xml:space="preserve">The next segment of the study elaborates on the need for training and education for management skills </w:t>
      </w:r>
      <w:r w:rsidR="00470378">
        <w:rPr>
          <w:rFonts w:ascii="Arial" w:hAnsi="Arial" w:cs="Arial"/>
        </w:rPr>
        <w:t>to secure finance for real estate project developm</w:t>
      </w:r>
      <w:r w:rsidRPr="00EA7665">
        <w:rPr>
          <w:rFonts w:ascii="Arial" w:hAnsi="Arial" w:cs="Arial"/>
        </w:rPr>
        <w:t>ent based on the survey responses.</w:t>
      </w:r>
    </w:p>
    <w:p w14:paraId="18FC7C63" w14:textId="77777777" w:rsidR="00CD6352" w:rsidRPr="00EA7665" w:rsidRDefault="00CD6352" w:rsidP="00CD6352">
      <w:pPr>
        <w:spacing w:line="360" w:lineRule="auto"/>
        <w:jc w:val="both"/>
        <w:rPr>
          <w:rFonts w:ascii="Arial" w:hAnsi="Arial" w:cs="Arial"/>
        </w:rPr>
      </w:pPr>
    </w:p>
    <w:p w14:paraId="293CA0D5" w14:textId="77777777" w:rsidR="00CD6352" w:rsidRPr="00EA7665" w:rsidRDefault="00CD6352" w:rsidP="00CD6352">
      <w:pPr>
        <w:pStyle w:val="Heading3"/>
        <w:spacing w:after="240"/>
        <w:rPr>
          <w:sz w:val="22"/>
          <w:szCs w:val="22"/>
        </w:rPr>
      </w:pPr>
      <w:bookmarkStart w:id="1316" w:name="_Toc78983894"/>
      <w:r w:rsidRPr="00EA7665">
        <w:rPr>
          <w:sz w:val="22"/>
          <w:szCs w:val="22"/>
        </w:rPr>
        <w:t>The degree of need for training and education for management skills for securing finance for the present</w:t>
      </w:r>
      <w:bookmarkEnd w:id="1316"/>
    </w:p>
    <w:p w14:paraId="15F2CE11" w14:textId="77777777" w:rsidR="00CD6352" w:rsidRPr="00EA7665" w:rsidRDefault="00CD6352" w:rsidP="00CD6352">
      <w:pPr>
        <w:pStyle w:val="Heading4"/>
        <w:rPr>
          <w:rFonts w:ascii="Arial" w:hAnsi="Arial" w:cs="Arial"/>
          <w:color w:val="auto"/>
        </w:rPr>
      </w:pPr>
      <w:r w:rsidRPr="00EA7665">
        <w:rPr>
          <w:rFonts w:ascii="Arial" w:hAnsi="Arial" w:cs="Arial"/>
          <w:color w:val="auto"/>
        </w:rPr>
        <w:t>Questionnaire survey discussion and analysis at the aggregate level</w:t>
      </w:r>
    </w:p>
    <w:p w14:paraId="1ED82EFB" w14:textId="77777777" w:rsidR="00CD6352" w:rsidRPr="00EA7665" w:rsidRDefault="00CD6352" w:rsidP="00CD6352">
      <w:pPr>
        <w:rPr>
          <w:rFonts w:ascii="Arial" w:hAnsi="Arial" w:cs="Arial"/>
        </w:rPr>
      </w:pPr>
    </w:p>
    <w:p w14:paraId="668F0DA0" w14:textId="0B9B4C3A" w:rsidR="00CD6352" w:rsidRPr="00EA7665" w:rsidRDefault="00CD6352" w:rsidP="00CD6352">
      <w:pPr>
        <w:spacing w:line="360" w:lineRule="auto"/>
        <w:rPr>
          <w:rFonts w:ascii="Arial" w:hAnsi="Arial" w:cs="Arial"/>
        </w:rPr>
      </w:pPr>
      <w:r w:rsidRPr="00EA7665">
        <w:rPr>
          <w:rFonts w:ascii="Arial" w:hAnsi="Arial" w:cs="Arial"/>
        </w:rPr>
        <w:t xml:space="preserve">The results relating to the need </w:t>
      </w:r>
      <w:r>
        <w:rPr>
          <w:rFonts w:ascii="Arial" w:hAnsi="Arial" w:cs="Arial"/>
        </w:rPr>
        <w:t>for</w:t>
      </w:r>
      <w:r w:rsidRPr="00EA7665">
        <w:rPr>
          <w:rFonts w:ascii="Arial" w:hAnsi="Arial" w:cs="Arial"/>
        </w:rPr>
        <w:t xml:space="preserve"> training and education for the present job at the aggregate level </w:t>
      </w:r>
      <w:r w:rsidR="00FE1690">
        <w:rPr>
          <w:rFonts w:ascii="Arial" w:hAnsi="Arial" w:cs="Arial"/>
        </w:rPr>
        <w:t>regarding management’s skills for securing finance for real estate project development are</w:t>
      </w:r>
      <w:r w:rsidRPr="00EA7665">
        <w:rPr>
          <w:rFonts w:ascii="Arial" w:hAnsi="Arial" w:cs="Arial"/>
        </w:rPr>
        <w:t xml:space="preserve"> shown in table 8.</w:t>
      </w:r>
      <w:r w:rsidR="00973A0E">
        <w:rPr>
          <w:rFonts w:ascii="Arial" w:hAnsi="Arial" w:cs="Arial"/>
        </w:rPr>
        <w:t>4</w:t>
      </w:r>
      <w:r w:rsidRPr="00EA7665">
        <w:rPr>
          <w:rFonts w:ascii="Arial" w:hAnsi="Arial" w:cs="Arial"/>
        </w:rPr>
        <w:t xml:space="preserve">. Almost 65% of the survey respondents are of the view that they </w:t>
      </w:r>
      <w:r>
        <w:rPr>
          <w:rFonts w:ascii="Arial" w:hAnsi="Arial" w:cs="Arial"/>
        </w:rPr>
        <w:t>“</w:t>
      </w:r>
      <w:r w:rsidR="00821AB2" w:rsidRPr="00EA7665">
        <w:rPr>
          <w:rFonts w:ascii="Arial" w:hAnsi="Arial" w:cs="Arial"/>
        </w:rPr>
        <w:t>highly needed</w:t>
      </w:r>
      <w:r w:rsidRPr="00EA7665">
        <w:rPr>
          <w:rFonts w:ascii="Arial" w:hAnsi="Arial" w:cs="Arial"/>
        </w:rPr>
        <w:t xml:space="preserve"> training and education in analysis skills</w:t>
      </w:r>
      <w:r>
        <w:rPr>
          <w:rFonts w:ascii="Arial" w:hAnsi="Arial" w:cs="Arial"/>
        </w:rPr>
        <w:t>”</w:t>
      </w:r>
      <w:r w:rsidRPr="00EA7665">
        <w:rPr>
          <w:rFonts w:ascii="Arial" w:hAnsi="Arial" w:cs="Arial"/>
        </w:rPr>
        <w:t>. This is closely followed by teamwork skills (47%)</w:t>
      </w:r>
      <w:r w:rsidR="00C70EA6">
        <w:rPr>
          <w:rFonts w:ascii="Arial" w:hAnsi="Arial" w:cs="Arial"/>
        </w:rPr>
        <w:t>,</w:t>
      </w:r>
      <w:r w:rsidRPr="00EA7665">
        <w:rPr>
          <w:rFonts w:ascii="Arial" w:hAnsi="Arial" w:cs="Arial"/>
        </w:rPr>
        <w:t xml:space="preserve"> planning and control (45%)</w:t>
      </w:r>
      <w:r w:rsidR="00C70EA6">
        <w:rPr>
          <w:rFonts w:ascii="Arial" w:hAnsi="Arial" w:cs="Arial"/>
        </w:rPr>
        <w:t>,</w:t>
      </w:r>
      <w:r w:rsidRPr="00EA7665">
        <w:rPr>
          <w:rFonts w:ascii="Arial" w:hAnsi="Arial" w:cs="Arial"/>
        </w:rPr>
        <w:t xml:space="preserve"> developing confidence &amp; building relationships (42%) and leadership (42%</w:t>
      </w:r>
      <w:r w:rsidR="00821AB2" w:rsidRPr="00EA7665">
        <w:rPr>
          <w:rFonts w:ascii="Arial" w:hAnsi="Arial" w:cs="Arial"/>
        </w:rPr>
        <w:t>). The</w:t>
      </w:r>
      <w:r w:rsidRPr="00EA7665">
        <w:rPr>
          <w:rFonts w:ascii="Arial" w:hAnsi="Arial" w:cs="Arial"/>
        </w:rPr>
        <w:t xml:space="preserve"> study undertaken by Mumford et al. (1987) has analytical skills and </w:t>
      </w:r>
      <w:r w:rsidR="00F55C50" w:rsidRPr="00EA7665">
        <w:rPr>
          <w:rFonts w:ascii="Arial" w:hAnsi="Arial" w:cs="Arial"/>
        </w:rPr>
        <w:t>long-term</w:t>
      </w:r>
      <w:r w:rsidRPr="00EA7665">
        <w:rPr>
          <w:rFonts w:ascii="Arial" w:hAnsi="Arial" w:cs="Arial"/>
        </w:rPr>
        <w:t xml:space="preserve"> planning as two of the managerial skills directors perceive as important. Therefore, it is understandable </w:t>
      </w:r>
      <w:r>
        <w:rPr>
          <w:rFonts w:ascii="Arial" w:hAnsi="Arial" w:cs="Arial"/>
        </w:rPr>
        <w:t>that</w:t>
      </w:r>
      <w:r w:rsidRPr="00EA7665">
        <w:rPr>
          <w:rFonts w:ascii="Arial" w:hAnsi="Arial" w:cs="Arial"/>
        </w:rPr>
        <w:t xml:space="preserve"> managers in this </w:t>
      </w:r>
      <w:r w:rsidR="00F55C50" w:rsidRPr="00EA7665">
        <w:rPr>
          <w:rFonts w:ascii="Arial" w:hAnsi="Arial" w:cs="Arial"/>
        </w:rPr>
        <w:t>study</w:t>
      </w:r>
      <w:r w:rsidRPr="00EA7665">
        <w:rPr>
          <w:rFonts w:ascii="Arial" w:hAnsi="Arial" w:cs="Arial"/>
        </w:rPr>
        <w:t xml:space="preserve"> conside</w:t>
      </w:r>
      <w:r>
        <w:rPr>
          <w:rFonts w:ascii="Arial" w:hAnsi="Arial" w:cs="Arial"/>
        </w:rPr>
        <w:t>red</w:t>
      </w:r>
      <w:r w:rsidRPr="00EA7665">
        <w:rPr>
          <w:rFonts w:ascii="Arial" w:hAnsi="Arial" w:cs="Arial"/>
        </w:rPr>
        <w:t xml:space="preserve"> analytical and planning and control skills as two of the highly ranked skills </w:t>
      </w:r>
      <w:r w:rsidR="00FE1690">
        <w:rPr>
          <w:rFonts w:ascii="Arial" w:hAnsi="Arial" w:cs="Arial"/>
        </w:rPr>
        <w:t>they need training to secure</w:t>
      </w:r>
      <w:r w:rsidRPr="00EA7665">
        <w:rPr>
          <w:rFonts w:ascii="Arial" w:hAnsi="Arial" w:cs="Arial"/>
        </w:rPr>
        <w:t xml:space="preserve"> finance for their present </w:t>
      </w:r>
      <w:r w:rsidR="00821AB2" w:rsidRPr="00EA7665">
        <w:rPr>
          <w:rFonts w:ascii="Arial" w:hAnsi="Arial" w:cs="Arial"/>
        </w:rPr>
        <w:t>jobs.</w:t>
      </w:r>
    </w:p>
    <w:p w14:paraId="190AA70B" w14:textId="6064F60B" w:rsidR="00CD6352" w:rsidRPr="00EA7665" w:rsidRDefault="00CD6352" w:rsidP="00CD6352">
      <w:pPr>
        <w:spacing w:line="360" w:lineRule="auto"/>
        <w:rPr>
          <w:rFonts w:ascii="Arial" w:hAnsi="Arial" w:cs="Arial"/>
        </w:rPr>
      </w:pPr>
      <w:r w:rsidRPr="00EA7665">
        <w:rPr>
          <w:rFonts w:ascii="Arial" w:hAnsi="Arial" w:cs="Arial"/>
        </w:rPr>
        <w:t xml:space="preserve">However, the survey respondents signified they need the least training and education </w:t>
      </w:r>
      <w:r w:rsidR="00C70EA6">
        <w:rPr>
          <w:rFonts w:ascii="Arial" w:hAnsi="Arial" w:cs="Arial"/>
        </w:rPr>
        <w:t>on</w:t>
      </w:r>
      <w:r w:rsidRPr="00EA7665">
        <w:rPr>
          <w:rFonts w:ascii="Arial" w:hAnsi="Arial" w:cs="Arial"/>
        </w:rPr>
        <w:t xml:space="preserve"> their present jobs for diplomatic skills &amp; social intelligence (27%), followed closely by identifying and accessing the alternative option (25%), </w:t>
      </w:r>
      <w:r w:rsidR="00F55C50" w:rsidRPr="00EA7665">
        <w:rPr>
          <w:rFonts w:ascii="Arial" w:hAnsi="Arial" w:cs="Arial"/>
        </w:rPr>
        <w:t>recognising,</w:t>
      </w:r>
      <w:r w:rsidRPr="00EA7665">
        <w:rPr>
          <w:rFonts w:ascii="Arial" w:hAnsi="Arial" w:cs="Arial"/>
        </w:rPr>
        <w:t xml:space="preserve"> and using </w:t>
      </w:r>
      <w:r w:rsidR="00821AB2" w:rsidRPr="00EA7665">
        <w:rPr>
          <w:rFonts w:ascii="Arial" w:hAnsi="Arial" w:cs="Arial"/>
        </w:rPr>
        <w:t>influence (</w:t>
      </w:r>
      <w:r w:rsidRPr="00EA7665">
        <w:rPr>
          <w:rFonts w:ascii="Arial" w:hAnsi="Arial" w:cs="Arial"/>
        </w:rPr>
        <w:t xml:space="preserve">24%), market liquidity timing skills (22%) and emotional intelligence (19%). </w:t>
      </w:r>
      <w:r w:rsidR="00920199">
        <w:rPr>
          <w:rFonts w:ascii="Arial" w:hAnsi="Arial" w:cs="Arial"/>
        </w:rPr>
        <w:t xml:space="preserve">Greater depth to understanding the disparity in need for training need for these skills will be provided at the </w:t>
      </w:r>
      <w:r w:rsidR="00920199" w:rsidRPr="000E5DA2">
        <w:rPr>
          <w:rFonts w:ascii="Arial" w:hAnsi="Arial" w:cs="Arial"/>
        </w:rPr>
        <w:t xml:space="preserve">disaggregate level </w:t>
      </w:r>
      <w:r w:rsidR="00E026A7" w:rsidRPr="000E5DA2">
        <w:rPr>
          <w:rFonts w:ascii="Arial" w:hAnsi="Arial" w:cs="Arial"/>
        </w:rPr>
        <w:t>(see</w:t>
      </w:r>
      <w:r w:rsidR="000E5DA2" w:rsidRPr="000E5DA2">
        <w:rPr>
          <w:rFonts w:ascii="Arial" w:hAnsi="Arial" w:cs="Arial"/>
        </w:rPr>
        <w:t xml:space="preserve"> chapter 8.2.2.2).</w:t>
      </w:r>
    </w:p>
    <w:p w14:paraId="48B70466" w14:textId="5F1A79EF" w:rsidR="00CD6352" w:rsidRDefault="00CD6352" w:rsidP="00CD6352"/>
    <w:p w14:paraId="15C4A0CA" w14:textId="33592C7E" w:rsidR="00CF39B5" w:rsidRDefault="00CF39B5" w:rsidP="00CD6352"/>
    <w:p w14:paraId="7F0C9FB5" w14:textId="77777777" w:rsidR="00CF39B5" w:rsidRPr="00EA7665" w:rsidRDefault="00CF39B5" w:rsidP="00CD6352"/>
    <w:p w14:paraId="31EBEBCC" w14:textId="14411427" w:rsidR="00E24D7B" w:rsidRPr="00821AB2" w:rsidRDefault="00E24D7B" w:rsidP="00E24D7B">
      <w:pPr>
        <w:pStyle w:val="Caption"/>
        <w:rPr>
          <w:rFonts w:ascii="Arial" w:hAnsi="Arial" w:cs="Arial"/>
          <w:i w:val="0"/>
          <w:iCs w:val="0"/>
          <w:sz w:val="16"/>
          <w:szCs w:val="16"/>
        </w:rPr>
      </w:pPr>
      <w:bookmarkStart w:id="1317" w:name="_Toc78983999"/>
      <w:r>
        <w:lastRenderedPageBreak/>
        <w:t xml:space="preserve">Table </w:t>
      </w:r>
      <w:fldSimple w:instr=" STYLEREF 2 \s ">
        <w:r w:rsidR="008F25B1">
          <w:rPr>
            <w:noProof/>
          </w:rPr>
          <w:t>8.2</w:t>
        </w:r>
      </w:fldSimple>
      <w:r w:rsidR="008F25B1">
        <w:noBreakHyphen/>
      </w:r>
      <w:fldSimple w:instr=" SEQ Table \* ARABIC \s 2 ">
        <w:r w:rsidR="008F25B1">
          <w:rPr>
            <w:noProof/>
          </w:rPr>
          <w:t>3</w:t>
        </w:r>
      </w:fldSimple>
      <w:r>
        <w:t xml:space="preserve">: </w:t>
      </w:r>
      <w:r w:rsidRPr="00821AB2">
        <w:rPr>
          <w:rFonts w:ascii="Arial" w:hAnsi="Arial" w:cs="Arial"/>
          <w:i w:val="0"/>
          <w:iCs w:val="0"/>
          <w:sz w:val="16"/>
          <w:szCs w:val="16"/>
        </w:rPr>
        <w:t>The degree of need for training and education for management skills for securing finance for the present</w:t>
      </w:r>
      <w:bookmarkEnd w:id="1317"/>
    </w:p>
    <w:tbl>
      <w:tblPr>
        <w:tblStyle w:val="TableGrid"/>
        <w:tblW w:w="0" w:type="auto"/>
        <w:tblLook w:val="04A0" w:firstRow="1" w:lastRow="0" w:firstColumn="1" w:lastColumn="0" w:noHBand="0" w:noVBand="1"/>
      </w:tblPr>
      <w:tblGrid>
        <w:gridCol w:w="3640"/>
        <w:gridCol w:w="1142"/>
        <w:gridCol w:w="750"/>
        <w:gridCol w:w="777"/>
        <w:gridCol w:w="750"/>
        <w:gridCol w:w="750"/>
      </w:tblGrid>
      <w:tr w:rsidR="00CD6352" w:rsidRPr="00821AB2" w14:paraId="333A8F49" w14:textId="77777777" w:rsidTr="00CD6352">
        <w:trPr>
          <w:trHeight w:val="465"/>
        </w:trPr>
        <w:tc>
          <w:tcPr>
            <w:tcW w:w="3640" w:type="dxa"/>
            <w:vMerge w:val="restart"/>
            <w:noWrap/>
            <w:hideMark/>
          </w:tcPr>
          <w:p w14:paraId="50D4FAFD" w14:textId="77777777" w:rsidR="00CD6352" w:rsidRPr="00821AB2" w:rsidRDefault="00CD6352" w:rsidP="00CD6352">
            <w:pPr>
              <w:rPr>
                <w:rFonts w:ascii="Arial" w:hAnsi="Arial" w:cs="Arial"/>
                <w:sz w:val="16"/>
                <w:szCs w:val="16"/>
              </w:rPr>
            </w:pPr>
            <w:r w:rsidRPr="00821AB2">
              <w:rPr>
                <w:rFonts w:ascii="Arial" w:hAnsi="Arial" w:cs="Arial"/>
                <w:sz w:val="16"/>
                <w:szCs w:val="16"/>
              </w:rPr>
              <w:t>Management skills</w:t>
            </w:r>
          </w:p>
          <w:p w14:paraId="15AD89C3" w14:textId="77777777" w:rsidR="00CD6352" w:rsidRPr="00821AB2" w:rsidRDefault="00CD6352" w:rsidP="00CD6352">
            <w:pPr>
              <w:rPr>
                <w:rFonts w:ascii="Arial" w:hAnsi="Arial" w:cs="Arial"/>
                <w:sz w:val="16"/>
                <w:szCs w:val="16"/>
              </w:rPr>
            </w:pPr>
          </w:p>
        </w:tc>
        <w:tc>
          <w:tcPr>
            <w:tcW w:w="1142" w:type="dxa"/>
            <w:hideMark/>
          </w:tcPr>
          <w:p w14:paraId="3D8ACD1D" w14:textId="77777777" w:rsidR="00CD6352" w:rsidRPr="00821AB2" w:rsidRDefault="00CD6352" w:rsidP="00CD6352">
            <w:pPr>
              <w:rPr>
                <w:rFonts w:ascii="Arial" w:hAnsi="Arial" w:cs="Arial"/>
                <w:sz w:val="16"/>
                <w:szCs w:val="16"/>
              </w:rPr>
            </w:pPr>
            <w:r w:rsidRPr="00821AB2">
              <w:rPr>
                <w:rFonts w:ascii="Arial" w:hAnsi="Arial" w:cs="Arial"/>
                <w:sz w:val="16"/>
                <w:szCs w:val="16"/>
              </w:rPr>
              <w:t>Not needed</w:t>
            </w:r>
          </w:p>
        </w:tc>
        <w:tc>
          <w:tcPr>
            <w:tcW w:w="750" w:type="dxa"/>
            <w:hideMark/>
          </w:tcPr>
          <w:p w14:paraId="10EBB21F" w14:textId="77777777" w:rsidR="00CD6352" w:rsidRPr="00821AB2" w:rsidRDefault="00CD6352" w:rsidP="00CD6352">
            <w:pPr>
              <w:rPr>
                <w:rFonts w:ascii="Arial" w:hAnsi="Arial" w:cs="Arial"/>
                <w:sz w:val="16"/>
                <w:szCs w:val="16"/>
              </w:rPr>
            </w:pPr>
            <w:r w:rsidRPr="00821AB2">
              <w:rPr>
                <w:rFonts w:ascii="Arial" w:hAnsi="Arial" w:cs="Arial"/>
                <w:sz w:val="16"/>
                <w:szCs w:val="16"/>
              </w:rPr>
              <w:t>Less needed</w:t>
            </w:r>
          </w:p>
        </w:tc>
        <w:tc>
          <w:tcPr>
            <w:tcW w:w="777" w:type="dxa"/>
            <w:noWrap/>
            <w:hideMark/>
          </w:tcPr>
          <w:p w14:paraId="3D1D07E8" w14:textId="77777777" w:rsidR="00CD6352" w:rsidRPr="00821AB2" w:rsidRDefault="00CD6352" w:rsidP="00CD6352">
            <w:pPr>
              <w:rPr>
                <w:rFonts w:ascii="Arial" w:hAnsi="Arial" w:cs="Arial"/>
                <w:sz w:val="16"/>
                <w:szCs w:val="16"/>
              </w:rPr>
            </w:pPr>
            <w:r w:rsidRPr="00821AB2">
              <w:rPr>
                <w:rFonts w:ascii="Arial" w:hAnsi="Arial" w:cs="Arial"/>
                <w:sz w:val="16"/>
                <w:szCs w:val="16"/>
              </w:rPr>
              <w:t>Needed</w:t>
            </w:r>
          </w:p>
        </w:tc>
        <w:tc>
          <w:tcPr>
            <w:tcW w:w="750" w:type="dxa"/>
            <w:hideMark/>
          </w:tcPr>
          <w:p w14:paraId="1DC53569" w14:textId="77777777" w:rsidR="00CD6352" w:rsidRPr="00821AB2" w:rsidRDefault="00CD6352" w:rsidP="00CD6352">
            <w:pPr>
              <w:rPr>
                <w:rFonts w:ascii="Arial" w:hAnsi="Arial" w:cs="Arial"/>
                <w:sz w:val="16"/>
                <w:szCs w:val="16"/>
              </w:rPr>
            </w:pPr>
            <w:r w:rsidRPr="00821AB2">
              <w:rPr>
                <w:rFonts w:ascii="Arial" w:hAnsi="Arial" w:cs="Arial"/>
                <w:sz w:val="16"/>
                <w:szCs w:val="16"/>
              </w:rPr>
              <w:t>Very needed</w:t>
            </w:r>
          </w:p>
        </w:tc>
        <w:tc>
          <w:tcPr>
            <w:tcW w:w="750" w:type="dxa"/>
            <w:hideMark/>
          </w:tcPr>
          <w:p w14:paraId="319EC6BA" w14:textId="77777777" w:rsidR="00CD6352" w:rsidRPr="00821AB2" w:rsidRDefault="00CD6352" w:rsidP="00CD6352">
            <w:pPr>
              <w:rPr>
                <w:rFonts w:ascii="Arial" w:hAnsi="Arial" w:cs="Arial"/>
                <w:sz w:val="16"/>
                <w:szCs w:val="16"/>
              </w:rPr>
            </w:pPr>
            <w:r w:rsidRPr="00821AB2">
              <w:rPr>
                <w:rFonts w:ascii="Arial" w:hAnsi="Arial" w:cs="Arial"/>
                <w:sz w:val="16"/>
                <w:szCs w:val="16"/>
              </w:rPr>
              <w:t>Highly needed</w:t>
            </w:r>
          </w:p>
        </w:tc>
      </w:tr>
      <w:tr w:rsidR="00CD6352" w:rsidRPr="00821AB2" w14:paraId="6AAAA75C" w14:textId="77777777" w:rsidTr="00CD6352">
        <w:trPr>
          <w:trHeight w:val="367"/>
        </w:trPr>
        <w:tc>
          <w:tcPr>
            <w:tcW w:w="3640" w:type="dxa"/>
            <w:vMerge/>
            <w:noWrap/>
            <w:hideMark/>
          </w:tcPr>
          <w:p w14:paraId="6897A275" w14:textId="77777777" w:rsidR="00CD6352" w:rsidRPr="00821AB2" w:rsidRDefault="00CD6352" w:rsidP="00CD6352">
            <w:pPr>
              <w:rPr>
                <w:rFonts w:ascii="Arial" w:hAnsi="Arial" w:cs="Arial"/>
                <w:sz w:val="16"/>
                <w:szCs w:val="16"/>
              </w:rPr>
            </w:pPr>
          </w:p>
        </w:tc>
        <w:tc>
          <w:tcPr>
            <w:tcW w:w="4169" w:type="dxa"/>
            <w:gridSpan w:val="5"/>
            <w:noWrap/>
            <w:hideMark/>
          </w:tcPr>
          <w:p w14:paraId="1C405286" w14:textId="77777777" w:rsidR="00CD6352" w:rsidRPr="00821AB2" w:rsidRDefault="00CD6352" w:rsidP="00CD6352">
            <w:pPr>
              <w:rPr>
                <w:rFonts w:ascii="Arial" w:hAnsi="Arial" w:cs="Arial"/>
                <w:sz w:val="16"/>
                <w:szCs w:val="16"/>
              </w:rPr>
            </w:pPr>
            <w:r w:rsidRPr="00821AB2">
              <w:rPr>
                <w:rFonts w:ascii="Arial" w:hAnsi="Arial" w:cs="Arial"/>
                <w:sz w:val="16"/>
                <w:szCs w:val="16"/>
              </w:rPr>
              <w:t>Percentage (%)</w:t>
            </w:r>
          </w:p>
        </w:tc>
      </w:tr>
      <w:tr w:rsidR="00CD6352" w:rsidRPr="00821AB2" w14:paraId="335CABED" w14:textId="77777777" w:rsidTr="00CD6352">
        <w:trPr>
          <w:trHeight w:val="300"/>
        </w:trPr>
        <w:tc>
          <w:tcPr>
            <w:tcW w:w="3640" w:type="dxa"/>
            <w:noWrap/>
            <w:hideMark/>
          </w:tcPr>
          <w:p w14:paraId="2FE3559B" w14:textId="77777777" w:rsidR="00CD6352" w:rsidRPr="00821AB2" w:rsidRDefault="00CD6352" w:rsidP="00CD6352">
            <w:pPr>
              <w:rPr>
                <w:rFonts w:ascii="Arial" w:hAnsi="Arial" w:cs="Arial"/>
                <w:sz w:val="16"/>
                <w:szCs w:val="16"/>
              </w:rPr>
            </w:pPr>
            <w:r w:rsidRPr="00821AB2">
              <w:rPr>
                <w:rFonts w:ascii="Arial" w:hAnsi="Arial" w:cs="Arial"/>
                <w:sz w:val="16"/>
                <w:szCs w:val="16"/>
              </w:rPr>
              <w:t>Analytical skill</w:t>
            </w:r>
          </w:p>
        </w:tc>
        <w:tc>
          <w:tcPr>
            <w:tcW w:w="1142" w:type="dxa"/>
            <w:noWrap/>
            <w:hideMark/>
          </w:tcPr>
          <w:p w14:paraId="3F57E557" w14:textId="77777777" w:rsidR="00CD6352" w:rsidRPr="00821AB2" w:rsidRDefault="00CD6352" w:rsidP="00CD6352">
            <w:pPr>
              <w:rPr>
                <w:rFonts w:ascii="Arial" w:hAnsi="Arial" w:cs="Arial"/>
                <w:sz w:val="16"/>
                <w:szCs w:val="16"/>
              </w:rPr>
            </w:pPr>
            <w:r w:rsidRPr="00821AB2">
              <w:rPr>
                <w:rFonts w:ascii="Arial" w:hAnsi="Arial" w:cs="Arial"/>
                <w:sz w:val="16"/>
                <w:szCs w:val="16"/>
              </w:rPr>
              <w:t>Nil</w:t>
            </w:r>
          </w:p>
        </w:tc>
        <w:tc>
          <w:tcPr>
            <w:tcW w:w="750" w:type="dxa"/>
            <w:noWrap/>
            <w:hideMark/>
          </w:tcPr>
          <w:p w14:paraId="2A05FFC4" w14:textId="77777777" w:rsidR="00CD6352" w:rsidRPr="00821AB2" w:rsidRDefault="00CD6352" w:rsidP="00CD6352">
            <w:pPr>
              <w:rPr>
                <w:rFonts w:ascii="Arial" w:hAnsi="Arial" w:cs="Arial"/>
                <w:sz w:val="16"/>
                <w:szCs w:val="16"/>
              </w:rPr>
            </w:pPr>
            <w:r w:rsidRPr="00821AB2">
              <w:rPr>
                <w:rFonts w:ascii="Arial" w:hAnsi="Arial" w:cs="Arial"/>
                <w:sz w:val="16"/>
                <w:szCs w:val="16"/>
              </w:rPr>
              <w:t>4.4</w:t>
            </w:r>
          </w:p>
        </w:tc>
        <w:tc>
          <w:tcPr>
            <w:tcW w:w="777" w:type="dxa"/>
            <w:noWrap/>
            <w:hideMark/>
          </w:tcPr>
          <w:p w14:paraId="4331CEC8" w14:textId="77777777" w:rsidR="00CD6352" w:rsidRPr="00821AB2" w:rsidRDefault="00CD6352" w:rsidP="00CD6352">
            <w:pPr>
              <w:rPr>
                <w:rFonts w:ascii="Arial" w:hAnsi="Arial" w:cs="Arial"/>
                <w:sz w:val="16"/>
                <w:szCs w:val="16"/>
              </w:rPr>
            </w:pPr>
            <w:r w:rsidRPr="00821AB2">
              <w:rPr>
                <w:rFonts w:ascii="Arial" w:hAnsi="Arial" w:cs="Arial"/>
                <w:sz w:val="16"/>
                <w:szCs w:val="16"/>
              </w:rPr>
              <w:t>8.9</w:t>
            </w:r>
          </w:p>
        </w:tc>
        <w:tc>
          <w:tcPr>
            <w:tcW w:w="750" w:type="dxa"/>
            <w:noWrap/>
            <w:hideMark/>
          </w:tcPr>
          <w:p w14:paraId="68D69A8E" w14:textId="77777777" w:rsidR="00CD6352" w:rsidRPr="00821AB2" w:rsidRDefault="00CD6352" w:rsidP="00CD6352">
            <w:pPr>
              <w:rPr>
                <w:rFonts w:ascii="Arial" w:hAnsi="Arial" w:cs="Arial"/>
                <w:sz w:val="16"/>
                <w:szCs w:val="16"/>
              </w:rPr>
            </w:pPr>
            <w:r w:rsidRPr="00821AB2">
              <w:rPr>
                <w:rFonts w:ascii="Arial" w:hAnsi="Arial" w:cs="Arial"/>
                <w:sz w:val="16"/>
                <w:szCs w:val="16"/>
              </w:rPr>
              <w:t>22.2</w:t>
            </w:r>
          </w:p>
        </w:tc>
        <w:tc>
          <w:tcPr>
            <w:tcW w:w="750" w:type="dxa"/>
            <w:noWrap/>
            <w:hideMark/>
          </w:tcPr>
          <w:p w14:paraId="0BF439DE" w14:textId="77777777" w:rsidR="00CD6352" w:rsidRPr="00821AB2" w:rsidRDefault="00CD6352" w:rsidP="00CD6352">
            <w:pPr>
              <w:rPr>
                <w:rFonts w:ascii="Arial" w:hAnsi="Arial" w:cs="Arial"/>
                <w:sz w:val="16"/>
                <w:szCs w:val="16"/>
              </w:rPr>
            </w:pPr>
            <w:r w:rsidRPr="00821AB2">
              <w:rPr>
                <w:rFonts w:ascii="Arial" w:hAnsi="Arial" w:cs="Arial"/>
                <w:sz w:val="16"/>
                <w:szCs w:val="16"/>
              </w:rPr>
              <w:t>64.4</w:t>
            </w:r>
          </w:p>
        </w:tc>
      </w:tr>
      <w:tr w:rsidR="00CD6352" w:rsidRPr="00821AB2" w14:paraId="28FC7243" w14:textId="77777777" w:rsidTr="00CD6352">
        <w:trPr>
          <w:trHeight w:val="300"/>
        </w:trPr>
        <w:tc>
          <w:tcPr>
            <w:tcW w:w="3640" w:type="dxa"/>
            <w:noWrap/>
            <w:hideMark/>
          </w:tcPr>
          <w:p w14:paraId="053C785F" w14:textId="2D18BBAF" w:rsidR="00CD6352" w:rsidRPr="00821AB2" w:rsidRDefault="00C56EA5" w:rsidP="00CD6352">
            <w:pPr>
              <w:rPr>
                <w:rFonts w:ascii="Arial" w:hAnsi="Arial" w:cs="Arial"/>
                <w:sz w:val="16"/>
                <w:szCs w:val="16"/>
              </w:rPr>
            </w:pPr>
            <w:r w:rsidRPr="00821AB2">
              <w:rPr>
                <w:rFonts w:ascii="Arial" w:hAnsi="Arial" w:cs="Arial"/>
                <w:sz w:val="16"/>
                <w:szCs w:val="16"/>
              </w:rPr>
              <w:t>Teamwork</w:t>
            </w:r>
          </w:p>
        </w:tc>
        <w:tc>
          <w:tcPr>
            <w:tcW w:w="1142" w:type="dxa"/>
            <w:noWrap/>
            <w:hideMark/>
          </w:tcPr>
          <w:p w14:paraId="7BE27CBF" w14:textId="77777777" w:rsidR="00CD6352" w:rsidRPr="00821AB2" w:rsidRDefault="00CD6352" w:rsidP="00CD6352">
            <w:pPr>
              <w:rPr>
                <w:rFonts w:ascii="Arial" w:hAnsi="Arial" w:cs="Arial"/>
                <w:sz w:val="16"/>
                <w:szCs w:val="16"/>
              </w:rPr>
            </w:pPr>
            <w:r w:rsidRPr="00821AB2">
              <w:rPr>
                <w:rFonts w:ascii="Arial" w:hAnsi="Arial" w:cs="Arial"/>
                <w:sz w:val="16"/>
                <w:szCs w:val="16"/>
              </w:rPr>
              <w:t>2.6</w:t>
            </w:r>
          </w:p>
        </w:tc>
        <w:tc>
          <w:tcPr>
            <w:tcW w:w="750" w:type="dxa"/>
            <w:noWrap/>
            <w:hideMark/>
          </w:tcPr>
          <w:p w14:paraId="3AD899FB"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77" w:type="dxa"/>
            <w:noWrap/>
            <w:hideMark/>
          </w:tcPr>
          <w:p w14:paraId="22980FEC" w14:textId="77777777" w:rsidR="00CD6352" w:rsidRPr="00821AB2" w:rsidRDefault="00CD6352" w:rsidP="00CD6352">
            <w:pPr>
              <w:rPr>
                <w:rFonts w:ascii="Arial" w:hAnsi="Arial" w:cs="Arial"/>
                <w:sz w:val="16"/>
                <w:szCs w:val="16"/>
              </w:rPr>
            </w:pPr>
            <w:r w:rsidRPr="00821AB2">
              <w:rPr>
                <w:rFonts w:ascii="Arial" w:hAnsi="Arial" w:cs="Arial"/>
                <w:sz w:val="16"/>
                <w:szCs w:val="16"/>
              </w:rPr>
              <w:t>18.4</w:t>
            </w:r>
          </w:p>
        </w:tc>
        <w:tc>
          <w:tcPr>
            <w:tcW w:w="750" w:type="dxa"/>
            <w:noWrap/>
            <w:hideMark/>
          </w:tcPr>
          <w:p w14:paraId="3EA78D21" w14:textId="77777777" w:rsidR="00CD6352" w:rsidRPr="00821AB2" w:rsidRDefault="00CD6352" w:rsidP="00CD6352">
            <w:pPr>
              <w:rPr>
                <w:rFonts w:ascii="Arial" w:hAnsi="Arial" w:cs="Arial"/>
                <w:sz w:val="16"/>
                <w:szCs w:val="16"/>
              </w:rPr>
            </w:pPr>
            <w:r w:rsidRPr="00821AB2">
              <w:rPr>
                <w:rFonts w:ascii="Arial" w:hAnsi="Arial" w:cs="Arial"/>
                <w:sz w:val="16"/>
                <w:szCs w:val="16"/>
              </w:rPr>
              <w:t>26.3</w:t>
            </w:r>
          </w:p>
        </w:tc>
        <w:tc>
          <w:tcPr>
            <w:tcW w:w="750" w:type="dxa"/>
            <w:noWrap/>
            <w:hideMark/>
          </w:tcPr>
          <w:p w14:paraId="3CDDEDE6" w14:textId="77777777" w:rsidR="00CD6352" w:rsidRPr="00821AB2" w:rsidRDefault="00CD6352" w:rsidP="00CD6352">
            <w:pPr>
              <w:rPr>
                <w:rFonts w:ascii="Arial" w:hAnsi="Arial" w:cs="Arial"/>
                <w:sz w:val="16"/>
                <w:szCs w:val="16"/>
              </w:rPr>
            </w:pPr>
            <w:r w:rsidRPr="00821AB2">
              <w:rPr>
                <w:rFonts w:ascii="Arial" w:hAnsi="Arial" w:cs="Arial"/>
                <w:sz w:val="16"/>
                <w:szCs w:val="16"/>
              </w:rPr>
              <w:t>47.4</w:t>
            </w:r>
          </w:p>
        </w:tc>
      </w:tr>
      <w:tr w:rsidR="00CD6352" w:rsidRPr="00821AB2" w14:paraId="54F5FE8F" w14:textId="77777777" w:rsidTr="00CD6352">
        <w:trPr>
          <w:trHeight w:val="300"/>
        </w:trPr>
        <w:tc>
          <w:tcPr>
            <w:tcW w:w="3640" w:type="dxa"/>
            <w:noWrap/>
            <w:hideMark/>
          </w:tcPr>
          <w:p w14:paraId="77B848C8" w14:textId="77777777" w:rsidR="00CD6352" w:rsidRPr="00821AB2" w:rsidRDefault="00CD6352" w:rsidP="00CD6352">
            <w:pPr>
              <w:rPr>
                <w:rFonts w:ascii="Arial" w:hAnsi="Arial" w:cs="Arial"/>
                <w:sz w:val="16"/>
                <w:szCs w:val="16"/>
              </w:rPr>
            </w:pPr>
            <w:r w:rsidRPr="00821AB2">
              <w:rPr>
                <w:rFonts w:ascii="Arial" w:hAnsi="Arial" w:cs="Arial"/>
                <w:sz w:val="16"/>
                <w:szCs w:val="16"/>
              </w:rPr>
              <w:t>Planning and control</w:t>
            </w:r>
          </w:p>
        </w:tc>
        <w:tc>
          <w:tcPr>
            <w:tcW w:w="1142" w:type="dxa"/>
            <w:noWrap/>
            <w:hideMark/>
          </w:tcPr>
          <w:p w14:paraId="73CD15B1"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50" w:type="dxa"/>
            <w:noWrap/>
            <w:hideMark/>
          </w:tcPr>
          <w:p w14:paraId="1DC61D04"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77" w:type="dxa"/>
            <w:noWrap/>
            <w:hideMark/>
          </w:tcPr>
          <w:p w14:paraId="5453E3B7" w14:textId="77777777" w:rsidR="00CD6352" w:rsidRPr="00821AB2" w:rsidRDefault="00CD6352" w:rsidP="00CD6352">
            <w:pPr>
              <w:rPr>
                <w:rFonts w:ascii="Arial" w:hAnsi="Arial" w:cs="Arial"/>
                <w:sz w:val="16"/>
                <w:szCs w:val="16"/>
              </w:rPr>
            </w:pPr>
            <w:r w:rsidRPr="00821AB2">
              <w:rPr>
                <w:rFonts w:ascii="Arial" w:hAnsi="Arial" w:cs="Arial"/>
                <w:sz w:val="16"/>
                <w:szCs w:val="16"/>
              </w:rPr>
              <w:t>23.7</w:t>
            </w:r>
          </w:p>
        </w:tc>
        <w:tc>
          <w:tcPr>
            <w:tcW w:w="750" w:type="dxa"/>
            <w:noWrap/>
            <w:hideMark/>
          </w:tcPr>
          <w:p w14:paraId="3153C557" w14:textId="77777777" w:rsidR="00CD6352" w:rsidRPr="00821AB2" w:rsidRDefault="00CD6352" w:rsidP="00CD6352">
            <w:pPr>
              <w:rPr>
                <w:rFonts w:ascii="Arial" w:hAnsi="Arial" w:cs="Arial"/>
                <w:sz w:val="16"/>
                <w:szCs w:val="16"/>
              </w:rPr>
            </w:pPr>
            <w:r w:rsidRPr="00821AB2">
              <w:rPr>
                <w:rFonts w:ascii="Arial" w:hAnsi="Arial" w:cs="Arial"/>
                <w:sz w:val="16"/>
                <w:szCs w:val="16"/>
              </w:rPr>
              <w:t>21.1</w:t>
            </w:r>
          </w:p>
        </w:tc>
        <w:tc>
          <w:tcPr>
            <w:tcW w:w="750" w:type="dxa"/>
            <w:noWrap/>
            <w:hideMark/>
          </w:tcPr>
          <w:p w14:paraId="75C6569F" w14:textId="77777777" w:rsidR="00CD6352" w:rsidRPr="00821AB2" w:rsidRDefault="00CD6352" w:rsidP="00CD6352">
            <w:pPr>
              <w:rPr>
                <w:rFonts w:ascii="Arial" w:hAnsi="Arial" w:cs="Arial"/>
                <w:sz w:val="16"/>
                <w:szCs w:val="16"/>
              </w:rPr>
            </w:pPr>
            <w:r w:rsidRPr="00821AB2">
              <w:rPr>
                <w:rFonts w:ascii="Arial" w:hAnsi="Arial" w:cs="Arial"/>
                <w:sz w:val="16"/>
                <w:szCs w:val="16"/>
              </w:rPr>
              <w:t>44.7</w:t>
            </w:r>
          </w:p>
        </w:tc>
      </w:tr>
      <w:tr w:rsidR="00CD6352" w:rsidRPr="00821AB2" w14:paraId="68909B52" w14:textId="77777777" w:rsidTr="00CD6352">
        <w:trPr>
          <w:trHeight w:val="300"/>
        </w:trPr>
        <w:tc>
          <w:tcPr>
            <w:tcW w:w="3640" w:type="dxa"/>
            <w:noWrap/>
            <w:hideMark/>
          </w:tcPr>
          <w:p w14:paraId="7C3383E5" w14:textId="77777777" w:rsidR="00CD6352" w:rsidRPr="00821AB2" w:rsidRDefault="00CD6352" w:rsidP="00CD6352">
            <w:pPr>
              <w:rPr>
                <w:rFonts w:ascii="Arial" w:hAnsi="Arial" w:cs="Arial"/>
                <w:sz w:val="16"/>
                <w:szCs w:val="16"/>
              </w:rPr>
            </w:pPr>
            <w:r w:rsidRPr="00821AB2">
              <w:rPr>
                <w:rFonts w:ascii="Arial" w:hAnsi="Arial" w:cs="Arial"/>
                <w:sz w:val="16"/>
                <w:szCs w:val="16"/>
              </w:rPr>
              <w:t>Developing confidence &amp; building relationships</w:t>
            </w:r>
          </w:p>
        </w:tc>
        <w:tc>
          <w:tcPr>
            <w:tcW w:w="1142" w:type="dxa"/>
            <w:noWrap/>
            <w:hideMark/>
          </w:tcPr>
          <w:p w14:paraId="5F57E120"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50" w:type="dxa"/>
            <w:noWrap/>
            <w:hideMark/>
          </w:tcPr>
          <w:p w14:paraId="4964690F" w14:textId="77777777" w:rsidR="00CD6352" w:rsidRPr="00821AB2" w:rsidRDefault="00CD6352" w:rsidP="00CD6352">
            <w:pPr>
              <w:rPr>
                <w:rFonts w:ascii="Arial" w:hAnsi="Arial" w:cs="Arial"/>
                <w:sz w:val="16"/>
                <w:szCs w:val="16"/>
              </w:rPr>
            </w:pPr>
            <w:r w:rsidRPr="00821AB2">
              <w:rPr>
                <w:rFonts w:ascii="Arial" w:hAnsi="Arial" w:cs="Arial"/>
                <w:sz w:val="16"/>
                <w:szCs w:val="16"/>
              </w:rPr>
              <w:t>7.9</w:t>
            </w:r>
          </w:p>
        </w:tc>
        <w:tc>
          <w:tcPr>
            <w:tcW w:w="777" w:type="dxa"/>
            <w:noWrap/>
            <w:hideMark/>
          </w:tcPr>
          <w:p w14:paraId="2C1F3586" w14:textId="77777777" w:rsidR="00CD6352" w:rsidRPr="00821AB2" w:rsidRDefault="00CD6352" w:rsidP="00CD6352">
            <w:pPr>
              <w:rPr>
                <w:rFonts w:ascii="Arial" w:hAnsi="Arial" w:cs="Arial"/>
                <w:sz w:val="16"/>
                <w:szCs w:val="16"/>
              </w:rPr>
            </w:pPr>
            <w:r w:rsidRPr="00821AB2">
              <w:rPr>
                <w:rFonts w:ascii="Arial" w:hAnsi="Arial" w:cs="Arial"/>
                <w:sz w:val="16"/>
                <w:szCs w:val="16"/>
              </w:rPr>
              <w:t>21.1</w:t>
            </w:r>
          </w:p>
        </w:tc>
        <w:tc>
          <w:tcPr>
            <w:tcW w:w="750" w:type="dxa"/>
            <w:noWrap/>
            <w:hideMark/>
          </w:tcPr>
          <w:p w14:paraId="44551DB0" w14:textId="77777777" w:rsidR="00CD6352" w:rsidRPr="00821AB2" w:rsidRDefault="00CD6352" w:rsidP="00CD6352">
            <w:pPr>
              <w:rPr>
                <w:rFonts w:ascii="Arial" w:hAnsi="Arial" w:cs="Arial"/>
                <w:sz w:val="16"/>
                <w:szCs w:val="16"/>
              </w:rPr>
            </w:pPr>
            <w:r w:rsidRPr="00821AB2">
              <w:rPr>
                <w:rFonts w:ascii="Arial" w:hAnsi="Arial" w:cs="Arial"/>
                <w:sz w:val="16"/>
                <w:szCs w:val="16"/>
              </w:rPr>
              <w:t>23.7</w:t>
            </w:r>
          </w:p>
        </w:tc>
        <w:tc>
          <w:tcPr>
            <w:tcW w:w="750" w:type="dxa"/>
            <w:noWrap/>
            <w:hideMark/>
          </w:tcPr>
          <w:p w14:paraId="1060B1C5" w14:textId="77777777" w:rsidR="00CD6352" w:rsidRPr="00821AB2" w:rsidRDefault="00CD6352" w:rsidP="00CD6352">
            <w:pPr>
              <w:rPr>
                <w:rFonts w:ascii="Arial" w:hAnsi="Arial" w:cs="Arial"/>
                <w:sz w:val="16"/>
                <w:szCs w:val="16"/>
              </w:rPr>
            </w:pPr>
            <w:r w:rsidRPr="00821AB2">
              <w:rPr>
                <w:rFonts w:ascii="Arial" w:hAnsi="Arial" w:cs="Arial"/>
                <w:sz w:val="16"/>
                <w:szCs w:val="16"/>
              </w:rPr>
              <w:t>42.1</w:t>
            </w:r>
          </w:p>
        </w:tc>
      </w:tr>
      <w:tr w:rsidR="00CD6352" w:rsidRPr="00821AB2" w14:paraId="0352D15D" w14:textId="77777777" w:rsidTr="00CD6352">
        <w:trPr>
          <w:trHeight w:val="300"/>
        </w:trPr>
        <w:tc>
          <w:tcPr>
            <w:tcW w:w="3640" w:type="dxa"/>
            <w:noWrap/>
            <w:hideMark/>
          </w:tcPr>
          <w:p w14:paraId="0EA380F1" w14:textId="77777777" w:rsidR="00CD6352" w:rsidRPr="00821AB2" w:rsidRDefault="00CD6352" w:rsidP="00CD6352">
            <w:pPr>
              <w:rPr>
                <w:rFonts w:ascii="Arial" w:hAnsi="Arial" w:cs="Arial"/>
                <w:sz w:val="16"/>
                <w:szCs w:val="16"/>
              </w:rPr>
            </w:pPr>
            <w:r w:rsidRPr="00821AB2">
              <w:rPr>
                <w:rFonts w:ascii="Arial" w:hAnsi="Arial" w:cs="Arial"/>
                <w:sz w:val="16"/>
                <w:szCs w:val="16"/>
              </w:rPr>
              <w:t>Leadership skill</w:t>
            </w:r>
          </w:p>
        </w:tc>
        <w:tc>
          <w:tcPr>
            <w:tcW w:w="1142" w:type="dxa"/>
            <w:noWrap/>
            <w:hideMark/>
          </w:tcPr>
          <w:p w14:paraId="31966376"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50" w:type="dxa"/>
            <w:noWrap/>
            <w:hideMark/>
          </w:tcPr>
          <w:p w14:paraId="71726B66"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77" w:type="dxa"/>
            <w:noWrap/>
            <w:hideMark/>
          </w:tcPr>
          <w:p w14:paraId="4D8F1779" w14:textId="77777777" w:rsidR="00CD6352" w:rsidRPr="00821AB2" w:rsidRDefault="00CD6352" w:rsidP="00CD6352">
            <w:pPr>
              <w:rPr>
                <w:rFonts w:ascii="Arial" w:hAnsi="Arial" w:cs="Arial"/>
                <w:sz w:val="16"/>
                <w:szCs w:val="16"/>
              </w:rPr>
            </w:pPr>
            <w:r w:rsidRPr="00821AB2">
              <w:rPr>
                <w:rFonts w:ascii="Arial" w:hAnsi="Arial" w:cs="Arial"/>
                <w:sz w:val="16"/>
                <w:szCs w:val="16"/>
              </w:rPr>
              <w:t>25</w:t>
            </w:r>
          </w:p>
        </w:tc>
        <w:tc>
          <w:tcPr>
            <w:tcW w:w="750" w:type="dxa"/>
            <w:noWrap/>
            <w:hideMark/>
          </w:tcPr>
          <w:p w14:paraId="05845AB2" w14:textId="77777777" w:rsidR="00CD6352" w:rsidRPr="00821AB2" w:rsidRDefault="00CD6352" w:rsidP="00CD6352">
            <w:pPr>
              <w:rPr>
                <w:rFonts w:ascii="Arial" w:hAnsi="Arial" w:cs="Arial"/>
                <w:sz w:val="16"/>
                <w:szCs w:val="16"/>
              </w:rPr>
            </w:pPr>
            <w:r w:rsidRPr="00821AB2">
              <w:rPr>
                <w:rFonts w:ascii="Arial" w:hAnsi="Arial" w:cs="Arial"/>
                <w:sz w:val="16"/>
                <w:szCs w:val="16"/>
              </w:rPr>
              <w:t>22.2</w:t>
            </w:r>
          </w:p>
        </w:tc>
        <w:tc>
          <w:tcPr>
            <w:tcW w:w="750" w:type="dxa"/>
            <w:noWrap/>
            <w:hideMark/>
          </w:tcPr>
          <w:p w14:paraId="41981B0E" w14:textId="77777777" w:rsidR="00CD6352" w:rsidRPr="00821AB2" w:rsidRDefault="00CD6352" w:rsidP="00CD6352">
            <w:pPr>
              <w:rPr>
                <w:rFonts w:ascii="Arial" w:hAnsi="Arial" w:cs="Arial"/>
                <w:sz w:val="16"/>
                <w:szCs w:val="16"/>
              </w:rPr>
            </w:pPr>
            <w:r w:rsidRPr="00821AB2">
              <w:rPr>
                <w:rFonts w:ascii="Arial" w:hAnsi="Arial" w:cs="Arial"/>
                <w:sz w:val="16"/>
                <w:szCs w:val="16"/>
              </w:rPr>
              <w:t>41.7</w:t>
            </w:r>
          </w:p>
        </w:tc>
      </w:tr>
      <w:tr w:rsidR="00CD6352" w:rsidRPr="00821AB2" w14:paraId="6E91A549" w14:textId="77777777" w:rsidTr="00CD6352">
        <w:trPr>
          <w:trHeight w:val="300"/>
        </w:trPr>
        <w:tc>
          <w:tcPr>
            <w:tcW w:w="3640" w:type="dxa"/>
            <w:noWrap/>
            <w:hideMark/>
          </w:tcPr>
          <w:p w14:paraId="1B369822" w14:textId="77777777" w:rsidR="00CD6352" w:rsidRPr="00821AB2" w:rsidRDefault="00CD6352" w:rsidP="00CD6352">
            <w:pPr>
              <w:rPr>
                <w:rFonts w:ascii="Arial" w:hAnsi="Arial" w:cs="Arial"/>
                <w:sz w:val="16"/>
                <w:szCs w:val="16"/>
              </w:rPr>
            </w:pPr>
            <w:r w:rsidRPr="00821AB2">
              <w:rPr>
                <w:rFonts w:ascii="Arial" w:hAnsi="Arial" w:cs="Arial"/>
                <w:sz w:val="16"/>
                <w:szCs w:val="16"/>
              </w:rPr>
              <w:t>Commercial awareness</w:t>
            </w:r>
          </w:p>
        </w:tc>
        <w:tc>
          <w:tcPr>
            <w:tcW w:w="1142" w:type="dxa"/>
            <w:noWrap/>
            <w:hideMark/>
          </w:tcPr>
          <w:p w14:paraId="1876FE70"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50" w:type="dxa"/>
            <w:noWrap/>
            <w:hideMark/>
          </w:tcPr>
          <w:p w14:paraId="280BCE01" w14:textId="77777777" w:rsidR="00CD6352" w:rsidRPr="00821AB2" w:rsidRDefault="00CD6352" w:rsidP="00CD6352">
            <w:pPr>
              <w:rPr>
                <w:rFonts w:ascii="Arial" w:hAnsi="Arial" w:cs="Arial"/>
                <w:sz w:val="16"/>
                <w:szCs w:val="16"/>
              </w:rPr>
            </w:pPr>
            <w:r w:rsidRPr="00821AB2">
              <w:rPr>
                <w:rFonts w:ascii="Arial" w:hAnsi="Arial" w:cs="Arial"/>
                <w:sz w:val="16"/>
                <w:szCs w:val="16"/>
              </w:rPr>
              <w:t>10.5</w:t>
            </w:r>
          </w:p>
        </w:tc>
        <w:tc>
          <w:tcPr>
            <w:tcW w:w="777" w:type="dxa"/>
            <w:noWrap/>
            <w:hideMark/>
          </w:tcPr>
          <w:p w14:paraId="67EAC27E" w14:textId="77777777" w:rsidR="00CD6352" w:rsidRPr="00821AB2" w:rsidRDefault="00CD6352" w:rsidP="00CD6352">
            <w:pPr>
              <w:rPr>
                <w:rFonts w:ascii="Arial" w:hAnsi="Arial" w:cs="Arial"/>
                <w:sz w:val="16"/>
                <w:szCs w:val="16"/>
              </w:rPr>
            </w:pPr>
            <w:r w:rsidRPr="00821AB2">
              <w:rPr>
                <w:rFonts w:ascii="Arial" w:hAnsi="Arial" w:cs="Arial"/>
                <w:sz w:val="16"/>
                <w:szCs w:val="16"/>
              </w:rPr>
              <w:t>18.4</w:t>
            </w:r>
          </w:p>
        </w:tc>
        <w:tc>
          <w:tcPr>
            <w:tcW w:w="750" w:type="dxa"/>
            <w:noWrap/>
            <w:hideMark/>
          </w:tcPr>
          <w:p w14:paraId="34345C94" w14:textId="77777777" w:rsidR="00CD6352" w:rsidRPr="00821AB2" w:rsidRDefault="00CD6352" w:rsidP="00CD6352">
            <w:pPr>
              <w:rPr>
                <w:rFonts w:ascii="Arial" w:hAnsi="Arial" w:cs="Arial"/>
                <w:sz w:val="16"/>
                <w:szCs w:val="16"/>
              </w:rPr>
            </w:pPr>
            <w:r w:rsidRPr="00821AB2">
              <w:rPr>
                <w:rFonts w:ascii="Arial" w:hAnsi="Arial" w:cs="Arial"/>
                <w:sz w:val="16"/>
                <w:szCs w:val="16"/>
              </w:rPr>
              <w:t>26.3</w:t>
            </w:r>
          </w:p>
        </w:tc>
        <w:tc>
          <w:tcPr>
            <w:tcW w:w="750" w:type="dxa"/>
            <w:noWrap/>
            <w:hideMark/>
          </w:tcPr>
          <w:p w14:paraId="57D05675" w14:textId="77777777" w:rsidR="00CD6352" w:rsidRPr="00821AB2" w:rsidRDefault="00CD6352" w:rsidP="00CD6352">
            <w:pPr>
              <w:rPr>
                <w:rFonts w:ascii="Arial" w:hAnsi="Arial" w:cs="Arial"/>
                <w:sz w:val="16"/>
                <w:szCs w:val="16"/>
              </w:rPr>
            </w:pPr>
            <w:r w:rsidRPr="00821AB2">
              <w:rPr>
                <w:rFonts w:ascii="Arial" w:hAnsi="Arial" w:cs="Arial"/>
                <w:sz w:val="16"/>
                <w:szCs w:val="16"/>
              </w:rPr>
              <w:t>39.5</w:t>
            </w:r>
          </w:p>
        </w:tc>
      </w:tr>
      <w:tr w:rsidR="00CD6352" w:rsidRPr="00821AB2" w14:paraId="0100B1F6" w14:textId="77777777" w:rsidTr="00CD6352">
        <w:trPr>
          <w:trHeight w:val="300"/>
        </w:trPr>
        <w:tc>
          <w:tcPr>
            <w:tcW w:w="3640" w:type="dxa"/>
            <w:noWrap/>
            <w:hideMark/>
          </w:tcPr>
          <w:p w14:paraId="647ED91A" w14:textId="77777777" w:rsidR="00CD6352" w:rsidRPr="00821AB2" w:rsidRDefault="00CD6352" w:rsidP="00CD6352">
            <w:pPr>
              <w:rPr>
                <w:rFonts w:ascii="Arial" w:hAnsi="Arial" w:cs="Arial"/>
                <w:sz w:val="16"/>
                <w:szCs w:val="16"/>
              </w:rPr>
            </w:pPr>
            <w:r w:rsidRPr="00821AB2">
              <w:rPr>
                <w:rFonts w:ascii="Arial" w:hAnsi="Arial" w:cs="Arial"/>
                <w:sz w:val="16"/>
                <w:szCs w:val="16"/>
              </w:rPr>
              <w:t>Financial management approach analysis</w:t>
            </w:r>
          </w:p>
        </w:tc>
        <w:tc>
          <w:tcPr>
            <w:tcW w:w="1142" w:type="dxa"/>
            <w:noWrap/>
            <w:hideMark/>
          </w:tcPr>
          <w:p w14:paraId="715BB6C0" w14:textId="77777777" w:rsidR="00CD6352" w:rsidRPr="00821AB2" w:rsidRDefault="00CD6352" w:rsidP="00CD6352">
            <w:pPr>
              <w:rPr>
                <w:rFonts w:ascii="Arial" w:hAnsi="Arial" w:cs="Arial"/>
                <w:sz w:val="16"/>
                <w:szCs w:val="16"/>
              </w:rPr>
            </w:pPr>
            <w:r w:rsidRPr="00821AB2">
              <w:rPr>
                <w:rFonts w:ascii="Arial" w:hAnsi="Arial" w:cs="Arial"/>
                <w:sz w:val="16"/>
                <w:szCs w:val="16"/>
              </w:rPr>
              <w:t>5.4</w:t>
            </w:r>
          </w:p>
        </w:tc>
        <w:tc>
          <w:tcPr>
            <w:tcW w:w="750" w:type="dxa"/>
            <w:noWrap/>
            <w:hideMark/>
          </w:tcPr>
          <w:p w14:paraId="667ECAB3" w14:textId="77777777" w:rsidR="00CD6352" w:rsidRPr="00821AB2" w:rsidRDefault="00CD6352" w:rsidP="00CD6352">
            <w:pPr>
              <w:rPr>
                <w:rFonts w:ascii="Arial" w:hAnsi="Arial" w:cs="Arial"/>
                <w:sz w:val="16"/>
                <w:szCs w:val="16"/>
              </w:rPr>
            </w:pPr>
            <w:r w:rsidRPr="00821AB2">
              <w:rPr>
                <w:rFonts w:ascii="Arial" w:hAnsi="Arial" w:cs="Arial"/>
                <w:sz w:val="16"/>
                <w:szCs w:val="16"/>
              </w:rPr>
              <w:t>5.4</w:t>
            </w:r>
          </w:p>
        </w:tc>
        <w:tc>
          <w:tcPr>
            <w:tcW w:w="777" w:type="dxa"/>
            <w:noWrap/>
            <w:hideMark/>
          </w:tcPr>
          <w:p w14:paraId="2933250C" w14:textId="77777777" w:rsidR="00CD6352" w:rsidRPr="00821AB2" w:rsidRDefault="00CD6352" w:rsidP="00CD6352">
            <w:pPr>
              <w:rPr>
                <w:rFonts w:ascii="Arial" w:hAnsi="Arial" w:cs="Arial"/>
                <w:sz w:val="16"/>
                <w:szCs w:val="16"/>
              </w:rPr>
            </w:pPr>
            <w:r w:rsidRPr="00821AB2">
              <w:rPr>
                <w:rFonts w:ascii="Arial" w:hAnsi="Arial" w:cs="Arial"/>
                <w:sz w:val="16"/>
                <w:szCs w:val="16"/>
              </w:rPr>
              <w:t>32.4</w:t>
            </w:r>
          </w:p>
        </w:tc>
        <w:tc>
          <w:tcPr>
            <w:tcW w:w="750" w:type="dxa"/>
            <w:noWrap/>
            <w:hideMark/>
          </w:tcPr>
          <w:p w14:paraId="2A21060B" w14:textId="77777777" w:rsidR="00CD6352" w:rsidRPr="00821AB2" w:rsidRDefault="00CD6352" w:rsidP="00CD6352">
            <w:pPr>
              <w:rPr>
                <w:rFonts w:ascii="Arial" w:hAnsi="Arial" w:cs="Arial"/>
                <w:sz w:val="16"/>
                <w:szCs w:val="16"/>
              </w:rPr>
            </w:pPr>
            <w:r w:rsidRPr="00821AB2">
              <w:rPr>
                <w:rFonts w:ascii="Arial" w:hAnsi="Arial" w:cs="Arial"/>
                <w:sz w:val="16"/>
                <w:szCs w:val="16"/>
              </w:rPr>
              <w:t>18.9</w:t>
            </w:r>
          </w:p>
        </w:tc>
        <w:tc>
          <w:tcPr>
            <w:tcW w:w="750" w:type="dxa"/>
            <w:noWrap/>
            <w:hideMark/>
          </w:tcPr>
          <w:p w14:paraId="4FF18ED0" w14:textId="77777777" w:rsidR="00CD6352" w:rsidRPr="00821AB2" w:rsidRDefault="00CD6352" w:rsidP="00CD6352">
            <w:pPr>
              <w:rPr>
                <w:rFonts w:ascii="Arial" w:hAnsi="Arial" w:cs="Arial"/>
                <w:sz w:val="16"/>
                <w:szCs w:val="16"/>
              </w:rPr>
            </w:pPr>
            <w:r w:rsidRPr="00821AB2">
              <w:rPr>
                <w:rFonts w:ascii="Arial" w:hAnsi="Arial" w:cs="Arial"/>
                <w:sz w:val="16"/>
                <w:szCs w:val="16"/>
              </w:rPr>
              <w:t>37.8</w:t>
            </w:r>
          </w:p>
        </w:tc>
      </w:tr>
      <w:tr w:rsidR="00CD6352" w:rsidRPr="00821AB2" w14:paraId="0C529ACA" w14:textId="77777777" w:rsidTr="00CD6352">
        <w:trPr>
          <w:trHeight w:val="300"/>
        </w:trPr>
        <w:tc>
          <w:tcPr>
            <w:tcW w:w="3640" w:type="dxa"/>
            <w:noWrap/>
            <w:hideMark/>
          </w:tcPr>
          <w:p w14:paraId="12B7C92A" w14:textId="77777777" w:rsidR="00CD6352" w:rsidRPr="00821AB2" w:rsidRDefault="00CD6352" w:rsidP="00CD6352">
            <w:pPr>
              <w:rPr>
                <w:rFonts w:ascii="Arial" w:hAnsi="Arial" w:cs="Arial"/>
                <w:sz w:val="16"/>
                <w:szCs w:val="16"/>
              </w:rPr>
            </w:pPr>
            <w:r w:rsidRPr="00821AB2">
              <w:rPr>
                <w:rFonts w:ascii="Arial" w:hAnsi="Arial" w:cs="Arial"/>
                <w:sz w:val="16"/>
                <w:szCs w:val="16"/>
              </w:rPr>
              <w:t>Communication</w:t>
            </w:r>
          </w:p>
        </w:tc>
        <w:tc>
          <w:tcPr>
            <w:tcW w:w="1142" w:type="dxa"/>
            <w:noWrap/>
            <w:hideMark/>
          </w:tcPr>
          <w:p w14:paraId="2FAD1CD6" w14:textId="77777777" w:rsidR="00CD6352" w:rsidRPr="00821AB2" w:rsidRDefault="00CD6352" w:rsidP="00CD6352">
            <w:pPr>
              <w:rPr>
                <w:rFonts w:ascii="Arial" w:hAnsi="Arial" w:cs="Arial"/>
                <w:sz w:val="16"/>
                <w:szCs w:val="16"/>
              </w:rPr>
            </w:pPr>
            <w:r w:rsidRPr="00821AB2">
              <w:rPr>
                <w:rFonts w:ascii="Arial" w:hAnsi="Arial" w:cs="Arial"/>
                <w:sz w:val="16"/>
                <w:szCs w:val="16"/>
              </w:rPr>
              <w:t>7.9</w:t>
            </w:r>
          </w:p>
        </w:tc>
        <w:tc>
          <w:tcPr>
            <w:tcW w:w="750" w:type="dxa"/>
            <w:noWrap/>
            <w:hideMark/>
          </w:tcPr>
          <w:p w14:paraId="1F381526"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77" w:type="dxa"/>
            <w:noWrap/>
            <w:hideMark/>
          </w:tcPr>
          <w:p w14:paraId="45901501" w14:textId="77777777" w:rsidR="00CD6352" w:rsidRPr="00821AB2" w:rsidRDefault="00CD6352" w:rsidP="00CD6352">
            <w:pPr>
              <w:rPr>
                <w:rFonts w:ascii="Arial" w:hAnsi="Arial" w:cs="Arial"/>
                <w:sz w:val="16"/>
                <w:szCs w:val="16"/>
              </w:rPr>
            </w:pPr>
            <w:r w:rsidRPr="00821AB2">
              <w:rPr>
                <w:rFonts w:ascii="Arial" w:hAnsi="Arial" w:cs="Arial"/>
                <w:sz w:val="16"/>
                <w:szCs w:val="16"/>
              </w:rPr>
              <w:t>28.9</w:t>
            </w:r>
          </w:p>
        </w:tc>
        <w:tc>
          <w:tcPr>
            <w:tcW w:w="750" w:type="dxa"/>
            <w:noWrap/>
            <w:hideMark/>
          </w:tcPr>
          <w:p w14:paraId="4382A06A" w14:textId="77777777" w:rsidR="00CD6352" w:rsidRPr="00821AB2" w:rsidRDefault="00CD6352" w:rsidP="00CD6352">
            <w:pPr>
              <w:rPr>
                <w:rFonts w:ascii="Arial" w:hAnsi="Arial" w:cs="Arial"/>
                <w:sz w:val="16"/>
                <w:szCs w:val="16"/>
              </w:rPr>
            </w:pPr>
            <w:r w:rsidRPr="00821AB2">
              <w:rPr>
                <w:rFonts w:ascii="Arial" w:hAnsi="Arial" w:cs="Arial"/>
                <w:sz w:val="16"/>
                <w:szCs w:val="16"/>
              </w:rPr>
              <w:t>21.1</w:t>
            </w:r>
          </w:p>
        </w:tc>
        <w:tc>
          <w:tcPr>
            <w:tcW w:w="750" w:type="dxa"/>
            <w:noWrap/>
            <w:hideMark/>
          </w:tcPr>
          <w:p w14:paraId="0550EAF6" w14:textId="77777777" w:rsidR="00CD6352" w:rsidRPr="00821AB2" w:rsidRDefault="00CD6352" w:rsidP="00CD6352">
            <w:pPr>
              <w:rPr>
                <w:rFonts w:ascii="Arial" w:hAnsi="Arial" w:cs="Arial"/>
                <w:sz w:val="16"/>
                <w:szCs w:val="16"/>
              </w:rPr>
            </w:pPr>
            <w:r w:rsidRPr="00821AB2">
              <w:rPr>
                <w:rFonts w:ascii="Arial" w:hAnsi="Arial" w:cs="Arial"/>
                <w:sz w:val="16"/>
                <w:szCs w:val="16"/>
              </w:rPr>
              <w:t>36.8</w:t>
            </w:r>
          </w:p>
        </w:tc>
      </w:tr>
      <w:tr w:rsidR="00CD6352" w:rsidRPr="00821AB2" w14:paraId="70847AF9" w14:textId="77777777" w:rsidTr="00CD6352">
        <w:trPr>
          <w:trHeight w:val="300"/>
        </w:trPr>
        <w:tc>
          <w:tcPr>
            <w:tcW w:w="3640" w:type="dxa"/>
            <w:noWrap/>
            <w:hideMark/>
          </w:tcPr>
          <w:p w14:paraId="5808EC6E" w14:textId="77777777" w:rsidR="00CD6352" w:rsidRPr="00821AB2" w:rsidRDefault="00CD6352" w:rsidP="00CD6352">
            <w:pPr>
              <w:rPr>
                <w:rFonts w:ascii="Arial" w:hAnsi="Arial" w:cs="Arial"/>
                <w:sz w:val="16"/>
                <w:szCs w:val="16"/>
              </w:rPr>
            </w:pPr>
            <w:r w:rsidRPr="00821AB2">
              <w:rPr>
                <w:rFonts w:ascii="Arial" w:hAnsi="Arial" w:cs="Arial"/>
                <w:sz w:val="16"/>
                <w:szCs w:val="16"/>
              </w:rPr>
              <w:t>Interpreting financial data and identifying trends</w:t>
            </w:r>
          </w:p>
        </w:tc>
        <w:tc>
          <w:tcPr>
            <w:tcW w:w="1142" w:type="dxa"/>
            <w:noWrap/>
            <w:hideMark/>
          </w:tcPr>
          <w:p w14:paraId="696328E0" w14:textId="77777777" w:rsidR="00CD6352" w:rsidRPr="00821AB2" w:rsidRDefault="00CD6352" w:rsidP="00CD6352">
            <w:pPr>
              <w:rPr>
                <w:rFonts w:ascii="Arial" w:hAnsi="Arial" w:cs="Arial"/>
                <w:sz w:val="16"/>
                <w:szCs w:val="16"/>
              </w:rPr>
            </w:pPr>
            <w:r w:rsidRPr="00821AB2">
              <w:rPr>
                <w:rFonts w:ascii="Arial" w:hAnsi="Arial" w:cs="Arial"/>
                <w:sz w:val="16"/>
                <w:szCs w:val="16"/>
              </w:rPr>
              <w:t>10.5</w:t>
            </w:r>
          </w:p>
        </w:tc>
        <w:tc>
          <w:tcPr>
            <w:tcW w:w="750" w:type="dxa"/>
            <w:noWrap/>
            <w:hideMark/>
          </w:tcPr>
          <w:p w14:paraId="1C240F51" w14:textId="77777777" w:rsidR="00CD6352" w:rsidRPr="00821AB2" w:rsidRDefault="00CD6352" w:rsidP="00CD6352">
            <w:pPr>
              <w:rPr>
                <w:rFonts w:ascii="Arial" w:hAnsi="Arial" w:cs="Arial"/>
                <w:sz w:val="16"/>
                <w:szCs w:val="16"/>
              </w:rPr>
            </w:pPr>
            <w:r w:rsidRPr="00821AB2">
              <w:rPr>
                <w:rFonts w:ascii="Arial" w:hAnsi="Arial" w:cs="Arial"/>
                <w:sz w:val="16"/>
                <w:szCs w:val="16"/>
              </w:rPr>
              <w:t>7.9</w:t>
            </w:r>
          </w:p>
        </w:tc>
        <w:tc>
          <w:tcPr>
            <w:tcW w:w="777" w:type="dxa"/>
            <w:noWrap/>
            <w:hideMark/>
          </w:tcPr>
          <w:p w14:paraId="2E6C4628" w14:textId="77777777" w:rsidR="00CD6352" w:rsidRPr="00821AB2" w:rsidRDefault="00CD6352" w:rsidP="00CD6352">
            <w:pPr>
              <w:rPr>
                <w:rFonts w:ascii="Arial" w:hAnsi="Arial" w:cs="Arial"/>
                <w:sz w:val="16"/>
                <w:szCs w:val="16"/>
              </w:rPr>
            </w:pPr>
            <w:r w:rsidRPr="00821AB2">
              <w:rPr>
                <w:rFonts w:ascii="Arial" w:hAnsi="Arial" w:cs="Arial"/>
                <w:sz w:val="16"/>
                <w:szCs w:val="16"/>
              </w:rPr>
              <w:t>23.7</w:t>
            </w:r>
          </w:p>
        </w:tc>
        <w:tc>
          <w:tcPr>
            <w:tcW w:w="750" w:type="dxa"/>
            <w:noWrap/>
            <w:hideMark/>
          </w:tcPr>
          <w:p w14:paraId="0ACC3B0F" w14:textId="77777777" w:rsidR="00CD6352" w:rsidRPr="00821AB2" w:rsidRDefault="00CD6352" w:rsidP="00CD6352">
            <w:pPr>
              <w:rPr>
                <w:rFonts w:ascii="Arial" w:hAnsi="Arial" w:cs="Arial"/>
                <w:sz w:val="16"/>
                <w:szCs w:val="16"/>
              </w:rPr>
            </w:pPr>
            <w:r w:rsidRPr="00821AB2">
              <w:rPr>
                <w:rFonts w:ascii="Arial" w:hAnsi="Arial" w:cs="Arial"/>
                <w:sz w:val="16"/>
                <w:szCs w:val="16"/>
              </w:rPr>
              <w:t>21.1</w:t>
            </w:r>
          </w:p>
        </w:tc>
        <w:tc>
          <w:tcPr>
            <w:tcW w:w="750" w:type="dxa"/>
            <w:noWrap/>
            <w:hideMark/>
          </w:tcPr>
          <w:p w14:paraId="58026FB6" w14:textId="77777777" w:rsidR="00CD6352" w:rsidRPr="00821AB2" w:rsidRDefault="00CD6352" w:rsidP="00CD6352">
            <w:pPr>
              <w:rPr>
                <w:rFonts w:ascii="Arial" w:hAnsi="Arial" w:cs="Arial"/>
                <w:sz w:val="16"/>
                <w:szCs w:val="16"/>
              </w:rPr>
            </w:pPr>
            <w:r w:rsidRPr="00821AB2">
              <w:rPr>
                <w:rFonts w:ascii="Arial" w:hAnsi="Arial" w:cs="Arial"/>
                <w:sz w:val="16"/>
                <w:szCs w:val="16"/>
              </w:rPr>
              <w:t>36.8</w:t>
            </w:r>
          </w:p>
        </w:tc>
      </w:tr>
      <w:tr w:rsidR="00CD6352" w:rsidRPr="00821AB2" w14:paraId="53BAC02E" w14:textId="77777777" w:rsidTr="00CD6352">
        <w:trPr>
          <w:trHeight w:val="300"/>
        </w:trPr>
        <w:tc>
          <w:tcPr>
            <w:tcW w:w="3640" w:type="dxa"/>
            <w:noWrap/>
            <w:hideMark/>
          </w:tcPr>
          <w:p w14:paraId="256E84D7" w14:textId="77777777" w:rsidR="00CD6352" w:rsidRPr="00821AB2" w:rsidRDefault="00CD6352" w:rsidP="00CD6352">
            <w:pPr>
              <w:rPr>
                <w:rFonts w:ascii="Arial" w:hAnsi="Arial" w:cs="Arial"/>
                <w:sz w:val="16"/>
                <w:szCs w:val="16"/>
              </w:rPr>
            </w:pPr>
            <w:r w:rsidRPr="00821AB2">
              <w:rPr>
                <w:rFonts w:ascii="Arial" w:hAnsi="Arial" w:cs="Arial"/>
                <w:sz w:val="16"/>
                <w:szCs w:val="16"/>
              </w:rPr>
              <w:t>Risks management</w:t>
            </w:r>
          </w:p>
        </w:tc>
        <w:tc>
          <w:tcPr>
            <w:tcW w:w="1142" w:type="dxa"/>
            <w:noWrap/>
            <w:hideMark/>
          </w:tcPr>
          <w:p w14:paraId="1BEAF29E" w14:textId="77777777" w:rsidR="00CD6352" w:rsidRPr="00821AB2" w:rsidRDefault="00CD6352" w:rsidP="00CD6352">
            <w:pPr>
              <w:rPr>
                <w:rFonts w:ascii="Arial" w:hAnsi="Arial" w:cs="Arial"/>
                <w:sz w:val="16"/>
                <w:szCs w:val="16"/>
              </w:rPr>
            </w:pPr>
            <w:r w:rsidRPr="00821AB2">
              <w:rPr>
                <w:rFonts w:ascii="Arial" w:hAnsi="Arial" w:cs="Arial"/>
                <w:sz w:val="16"/>
                <w:szCs w:val="16"/>
              </w:rPr>
              <w:t>Nil</w:t>
            </w:r>
          </w:p>
        </w:tc>
        <w:tc>
          <w:tcPr>
            <w:tcW w:w="750" w:type="dxa"/>
            <w:noWrap/>
            <w:hideMark/>
          </w:tcPr>
          <w:p w14:paraId="1F6A47F4" w14:textId="77777777" w:rsidR="00CD6352" w:rsidRPr="00821AB2" w:rsidRDefault="00CD6352" w:rsidP="00CD6352">
            <w:pPr>
              <w:rPr>
                <w:rFonts w:ascii="Arial" w:hAnsi="Arial" w:cs="Arial"/>
                <w:sz w:val="16"/>
                <w:szCs w:val="16"/>
              </w:rPr>
            </w:pPr>
            <w:r w:rsidRPr="00821AB2">
              <w:rPr>
                <w:rFonts w:ascii="Arial" w:hAnsi="Arial" w:cs="Arial"/>
                <w:sz w:val="16"/>
                <w:szCs w:val="16"/>
              </w:rPr>
              <w:t>13.5</w:t>
            </w:r>
          </w:p>
        </w:tc>
        <w:tc>
          <w:tcPr>
            <w:tcW w:w="777" w:type="dxa"/>
            <w:noWrap/>
            <w:hideMark/>
          </w:tcPr>
          <w:p w14:paraId="4B572A17" w14:textId="77777777" w:rsidR="00CD6352" w:rsidRPr="00821AB2" w:rsidRDefault="00CD6352" w:rsidP="00CD6352">
            <w:pPr>
              <w:rPr>
                <w:rFonts w:ascii="Arial" w:hAnsi="Arial" w:cs="Arial"/>
                <w:sz w:val="16"/>
                <w:szCs w:val="16"/>
              </w:rPr>
            </w:pPr>
            <w:r w:rsidRPr="00821AB2">
              <w:rPr>
                <w:rFonts w:ascii="Arial" w:hAnsi="Arial" w:cs="Arial"/>
                <w:sz w:val="16"/>
                <w:szCs w:val="16"/>
              </w:rPr>
              <w:t>29.7</w:t>
            </w:r>
          </w:p>
        </w:tc>
        <w:tc>
          <w:tcPr>
            <w:tcW w:w="750" w:type="dxa"/>
            <w:noWrap/>
            <w:hideMark/>
          </w:tcPr>
          <w:p w14:paraId="69F69503" w14:textId="77777777" w:rsidR="00CD6352" w:rsidRPr="00821AB2" w:rsidRDefault="00CD6352" w:rsidP="00CD6352">
            <w:pPr>
              <w:rPr>
                <w:rFonts w:ascii="Arial" w:hAnsi="Arial" w:cs="Arial"/>
                <w:sz w:val="16"/>
                <w:szCs w:val="16"/>
              </w:rPr>
            </w:pPr>
            <w:r w:rsidRPr="00821AB2">
              <w:rPr>
                <w:rFonts w:ascii="Arial" w:hAnsi="Arial" w:cs="Arial"/>
                <w:sz w:val="16"/>
                <w:szCs w:val="16"/>
              </w:rPr>
              <w:t>21.6</w:t>
            </w:r>
          </w:p>
        </w:tc>
        <w:tc>
          <w:tcPr>
            <w:tcW w:w="750" w:type="dxa"/>
            <w:noWrap/>
            <w:hideMark/>
          </w:tcPr>
          <w:p w14:paraId="33BF7A11" w14:textId="77777777" w:rsidR="00CD6352" w:rsidRPr="00821AB2" w:rsidRDefault="00CD6352" w:rsidP="00CD6352">
            <w:pPr>
              <w:rPr>
                <w:rFonts w:ascii="Arial" w:hAnsi="Arial" w:cs="Arial"/>
                <w:sz w:val="16"/>
                <w:szCs w:val="16"/>
              </w:rPr>
            </w:pPr>
            <w:r w:rsidRPr="00821AB2">
              <w:rPr>
                <w:rFonts w:ascii="Arial" w:hAnsi="Arial" w:cs="Arial"/>
                <w:sz w:val="16"/>
                <w:szCs w:val="16"/>
              </w:rPr>
              <w:t>35.1</w:t>
            </w:r>
          </w:p>
        </w:tc>
      </w:tr>
      <w:tr w:rsidR="00CD6352" w:rsidRPr="00821AB2" w14:paraId="72B72259" w14:textId="77777777" w:rsidTr="00CD6352">
        <w:trPr>
          <w:trHeight w:val="465"/>
        </w:trPr>
        <w:tc>
          <w:tcPr>
            <w:tcW w:w="3640" w:type="dxa"/>
            <w:hideMark/>
          </w:tcPr>
          <w:p w14:paraId="3E6B9507" w14:textId="77777777" w:rsidR="00CD6352" w:rsidRPr="00821AB2" w:rsidRDefault="00CD6352" w:rsidP="00CD6352">
            <w:pPr>
              <w:rPr>
                <w:rFonts w:ascii="Arial" w:hAnsi="Arial" w:cs="Arial"/>
                <w:sz w:val="16"/>
                <w:szCs w:val="16"/>
              </w:rPr>
            </w:pPr>
            <w:r w:rsidRPr="00821AB2">
              <w:rPr>
                <w:rFonts w:ascii="Arial" w:hAnsi="Arial" w:cs="Arial"/>
                <w:sz w:val="16"/>
                <w:szCs w:val="16"/>
              </w:rPr>
              <w:t>Developing and maintaining cost management system</w:t>
            </w:r>
          </w:p>
        </w:tc>
        <w:tc>
          <w:tcPr>
            <w:tcW w:w="1142" w:type="dxa"/>
            <w:noWrap/>
            <w:hideMark/>
          </w:tcPr>
          <w:p w14:paraId="40411219" w14:textId="77777777" w:rsidR="00CD6352" w:rsidRPr="00821AB2" w:rsidRDefault="00CD6352" w:rsidP="00CD6352">
            <w:pPr>
              <w:rPr>
                <w:rFonts w:ascii="Arial" w:hAnsi="Arial" w:cs="Arial"/>
                <w:sz w:val="16"/>
                <w:szCs w:val="16"/>
              </w:rPr>
            </w:pPr>
            <w:r w:rsidRPr="00821AB2">
              <w:rPr>
                <w:rFonts w:ascii="Arial" w:hAnsi="Arial" w:cs="Arial"/>
                <w:sz w:val="16"/>
                <w:szCs w:val="16"/>
              </w:rPr>
              <w:t>2.6</w:t>
            </w:r>
          </w:p>
        </w:tc>
        <w:tc>
          <w:tcPr>
            <w:tcW w:w="750" w:type="dxa"/>
            <w:noWrap/>
            <w:hideMark/>
          </w:tcPr>
          <w:p w14:paraId="1B6019C8" w14:textId="77777777" w:rsidR="00CD6352" w:rsidRPr="00821AB2" w:rsidRDefault="00CD6352" w:rsidP="00CD6352">
            <w:pPr>
              <w:rPr>
                <w:rFonts w:ascii="Arial" w:hAnsi="Arial" w:cs="Arial"/>
                <w:sz w:val="16"/>
                <w:szCs w:val="16"/>
              </w:rPr>
            </w:pPr>
            <w:r w:rsidRPr="00821AB2">
              <w:rPr>
                <w:rFonts w:ascii="Arial" w:hAnsi="Arial" w:cs="Arial"/>
                <w:sz w:val="16"/>
                <w:szCs w:val="16"/>
              </w:rPr>
              <w:t>13.2</w:t>
            </w:r>
          </w:p>
        </w:tc>
        <w:tc>
          <w:tcPr>
            <w:tcW w:w="777" w:type="dxa"/>
            <w:noWrap/>
            <w:hideMark/>
          </w:tcPr>
          <w:p w14:paraId="50C9D92F" w14:textId="77777777" w:rsidR="00CD6352" w:rsidRPr="00821AB2" w:rsidRDefault="00CD6352" w:rsidP="00CD6352">
            <w:pPr>
              <w:rPr>
                <w:rFonts w:ascii="Arial" w:hAnsi="Arial" w:cs="Arial"/>
                <w:sz w:val="16"/>
                <w:szCs w:val="16"/>
              </w:rPr>
            </w:pPr>
            <w:r w:rsidRPr="00821AB2">
              <w:rPr>
                <w:rFonts w:ascii="Arial" w:hAnsi="Arial" w:cs="Arial"/>
                <w:sz w:val="16"/>
                <w:szCs w:val="16"/>
              </w:rPr>
              <w:t>28.9</w:t>
            </w:r>
          </w:p>
        </w:tc>
        <w:tc>
          <w:tcPr>
            <w:tcW w:w="750" w:type="dxa"/>
            <w:noWrap/>
            <w:hideMark/>
          </w:tcPr>
          <w:p w14:paraId="6A9DBD82" w14:textId="77777777" w:rsidR="00CD6352" w:rsidRPr="00821AB2" w:rsidRDefault="00CD6352" w:rsidP="00CD6352">
            <w:pPr>
              <w:rPr>
                <w:rFonts w:ascii="Arial" w:hAnsi="Arial" w:cs="Arial"/>
                <w:sz w:val="16"/>
                <w:szCs w:val="16"/>
              </w:rPr>
            </w:pPr>
            <w:r w:rsidRPr="00821AB2">
              <w:rPr>
                <w:rFonts w:ascii="Arial" w:hAnsi="Arial" w:cs="Arial"/>
                <w:sz w:val="16"/>
                <w:szCs w:val="16"/>
              </w:rPr>
              <w:t>21.1</w:t>
            </w:r>
          </w:p>
        </w:tc>
        <w:tc>
          <w:tcPr>
            <w:tcW w:w="750" w:type="dxa"/>
            <w:noWrap/>
            <w:hideMark/>
          </w:tcPr>
          <w:p w14:paraId="407C1179" w14:textId="77777777" w:rsidR="00CD6352" w:rsidRPr="00821AB2" w:rsidRDefault="00CD6352" w:rsidP="00CD6352">
            <w:pPr>
              <w:rPr>
                <w:rFonts w:ascii="Arial" w:hAnsi="Arial" w:cs="Arial"/>
                <w:sz w:val="16"/>
                <w:szCs w:val="16"/>
              </w:rPr>
            </w:pPr>
            <w:r w:rsidRPr="00821AB2">
              <w:rPr>
                <w:rFonts w:ascii="Arial" w:hAnsi="Arial" w:cs="Arial"/>
                <w:sz w:val="16"/>
                <w:szCs w:val="16"/>
              </w:rPr>
              <w:t>34.2</w:t>
            </w:r>
          </w:p>
        </w:tc>
      </w:tr>
      <w:tr w:rsidR="00CD6352" w:rsidRPr="00821AB2" w14:paraId="11FF8366" w14:textId="77777777" w:rsidTr="00CD6352">
        <w:trPr>
          <w:trHeight w:val="300"/>
        </w:trPr>
        <w:tc>
          <w:tcPr>
            <w:tcW w:w="3640" w:type="dxa"/>
            <w:noWrap/>
            <w:hideMark/>
          </w:tcPr>
          <w:p w14:paraId="76ADB6E6" w14:textId="77777777" w:rsidR="00CD6352" w:rsidRPr="00821AB2" w:rsidRDefault="00CD6352" w:rsidP="00CD6352">
            <w:pPr>
              <w:rPr>
                <w:rFonts w:ascii="Arial" w:hAnsi="Arial" w:cs="Arial"/>
                <w:sz w:val="16"/>
                <w:szCs w:val="16"/>
              </w:rPr>
            </w:pPr>
            <w:r w:rsidRPr="00821AB2">
              <w:rPr>
                <w:rFonts w:ascii="Arial" w:hAnsi="Arial" w:cs="Arial"/>
                <w:sz w:val="16"/>
                <w:szCs w:val="16"/>
              </w:rPr>
              <w:t>Developing financial forecast and models</w:t>
            </w:r>
          </w:p>
        </w:tc>
        <w:tc>
          <w:tcPr>
            <w:tcW w:w="1142" w:type="dxa"/>
            <w:noWrap/>
            <w:hideMark/>
          </w:tcPr>
          <w:p w14:paraId="014E9E74" w14:textId="77777777" w:rsidR="00CD6352" w:rsidRPr="00821AB2" w:rsidRDefault="00CD6352" w:rsidP="00CD6352">
            <w:pPr>
              <w:rPr>
                <w:rFonts w:ascii="Arial" w:hAnsi="Arial" w:cs="Arial"/>
                <w:sz w:val="16"/>
                <w:szCs w:val="16"/>
              </w:rPr>
            </w:pPr>
            <w:r w:rsidRPr="00821AB2">
              <w:rPr>
                <w:rFonts w:ascii="Arial" w:hAnsi="Arial" w:cs="Arial"/>
                <w:sz w:val="16"/>
                <w:szCs w:val="16"/>
              </w:rPr>
              <w:t>5.3</w:t>
            </w:r>
          </w:p>
        </w:tc>
        <w:tc>
          <w:tcPr>
            <w:tcW w:w="750" w:type="dxa"/>
            <w:noWrap/>
            <w:hideMark/>
          </w:tcPr>
          <w:p w14:paraId="40217639" w14:textId="77777777" w:rsidR="00CD6352" w:rsidRPr="00821AB2" w:rsidRDefault="00CD6352" w:rsidP="00CD6352">
            <w:pPr>
              <w:rPr>
                <w:rFonts w:ascii="Arial" w:hAnsi="Arial" w:cs="Arial"/>
                <w:sz w:val="16"/>
                <w:szCs w:val="16"/>
              </w:rPr>
            </w:pPr>
            <w:r w:rsidRPr="00821AB2">
              <w:rPr>
                <w:rFonts w:ascii="Arial" w:hAnsi="Arial" w:cs="Arial"/>
                <w:sz w:val="16"/>
                <w:szCs w:val="16"/>
              </w:rPr>
              <w:t>7.9</w:t>
            </w:r>
          </w:p>
        </w:tc>
        <w:tc>
          <w:tcPr>
            <w:tcW w:w="777" w:type="dxa"/>
            <w:noWrap/>
            <w:hideMark/>
          </w:tcPr>
          <w:p w14:paraId="5EC13762" w14:textId="77777777" w:rsidR="00CD6352" w:rsidRPr="00821AB2" w:rsidRDefault="00CD6352" w:rsidP="00CD6352">
            <w:pPr>
              <w:rPr>
                <w:rFonts w:ascii="Arial" w:hAnsi="Arial" w:cs="Arial"/>
                <w:sz w:val="16"/>
                <w:szCs w:val="16"/>
              </w:rPr>
            </w:pPr>
            <w:r w:rsidRPr="00821AB2">
              <w:rPr>
                <w:rFonts w:ascii="Arial" w:hAnsi="Arial" w:cs="Arial"/>
                <w:sz w:val="16"/>
                <w:szCs w:val="16"/>
              </w:rPr>
              <w:t>26.3</w:t>
            </w:r>
          </w:p>
        </w:tc>
        <w:tc>
          <w:tcPr>
            <w:tcW w:w="750" w:type="dxa"/>
            <w:noWrap/>
            <w:hideMark/>
          </w:tcPr>
          <w:p w14:paraId="35768544" w14:textId="77777777" w:rsidR="00CD6352" w:rsidRPr="00821AB2" w:rsidRDefault="00CD6352" w:rsidP="00CD6352">
            <w:pPr>
              <w:rPr>
                <w:rFonts w:ascii="Arial" w:hAnsi="Arial" w:cs="Arial"/>
                <w:sz w:val="16"/>
                <w:szCs w:val="16"/>
              </w:rPr>
            </w:pPr>
            <w:r w:rsidRPr="00821AB2">
              <w:rPr>
                <w:rFonts w:ascii="Arial" w:hAnsi="Arial" w:cs="Arial"/>
                <w:sz w:val="16"/>
                <w:szCs w:val="16"/>
              </w:rPr>
              <w:t>26.3</w:t>
            </w:r>
          </w:p>
        </w:tc>
        <w:tc>
          <w:tcPr>
            <w:tcW w:w="750" w:type="dxa"/>
            <w:noWrap/>
            <w:hideMark/>
          </w:tcPr>
          <w:p w14:paraId="1EE3534D" w14:textId="77777777" w:rsidR="00CD6352" w:rsidRPr="00821AB2" w:rsidRDefault="00CD6352" w:rsidP="00CD6352">
            <w:pPr>
              <w:rPr>
                <w:rFonts w:ascii="Arial" w:hAnsi="Arial" w:cs="Arial"/>
                <w:sz w:val="16"/>
                <w:szCs w:val="16"/>
              </w:rPr>
            </w:pPr>
            <w:r w:rsidRPr="00821AB2">
              <w:rPr>
                <w:rFonts w:ascii="Arial" w:hAnsi="Arial" w:cs="Arial"/>
                <w:sz w:val="16"/>
                <w:szCs w:val="16"/>
              </w:rPr>
              <w:t>34.2</w:t>
            </w:r>
          </w:p>
        </w:tc>
      </w:tr>
      <w:tr w:rsidR="00CD6352" w:rsidRPr="00821AB2" w14:paraId="60ACE114" w14:textId="77777777" w:rsidTr="00CD6352">
        <w:trPr>
          <w:trHeight w:val="300"/>
        </w:trPr>
        <w:tc>
          <w:tcPr>
            <w:tcW w:w="3640" w:type="dxa"/>
            <w:noWrap/>
            <w:hideMark/>
          </w:tcPr>
          <w:p w14:paraId="12608C0A" w14:textId="77777777" w:rsidR="00CD6352" w:rsidRPr="00821AB2" w:rsidRDefault="00CD6352" w:rsidP="00CD6352">
            <w:pPr>
              <w:rPr>
                <w:rFonts w:ascii="Arial" w:hAnsi="Arial" w:cs="Arial"/>
                <w:sz w:val="16"/>
                <w:szCs w:val="16"/>
              </w:rPr>
            </w:pPr>
            <w:r w:rsidRPr="00821AB2">
              <w:rPr>
                <w:rFonts w:ascii="Arial" w:hAnsi="Arial" w:cs="Arial"/>
                <w:sz w:val="16"/>
                <w:szCs w:val="16"/>
              </w:rPr>
              <w:t>Budgeting</w:t>
            </w:r>
          </w:p>
        </w:tc>
        <w:tc>
          <w:tcPr>
            <w:tcW w:w="1142" w:type="dxa"/>
            <w:noWrap/>
            <w:hideMark/>
          </w:tcPr>
          <w:p w14:paraId="1CE92703" w14:textId="77777777" w:rsidR="00CD6352" w:rsidRPr="00821AB2" w:rsidRDefault="00CD6352" w:rsidP="00CD6352">
            <w:pPr>
              <w:rPr>
                <w:rFonts w:ascii="Arial" w:hAnsi="Arial" w:cs="Arial"/>
                <w:sz w:val="16"/>
                <w:szCs w:val="16"/>
              </w:rPr>
            </w:pPr>
            <w:r w:rsidRPr="00821AB2">
              <w:rPr>
                <w:rFonts w:ascii="Arial" w:hAnsi="Arial" w:cs="Arial"/>
                <w:sz w:val="16"/>
                <w:szCs w:val="16"/>
              </w:rPr>
              <w:t>7.9</w:t>
            </w:r>
          </w:p>
        </w:tc>
        <w:tc>
          <w:tcPr>
            <w:tcW w:w="750" w:type="dxa"/>
            <w:noWrap/>
            <w:hideMark/>
          </w:tcPr>
          <w:p w14:paraId="378A6D97" w14:textId="77777777" w:rsidR="00CD6352" w:rsidRPr="00821AB2" w:rsidRDefault="00CD6352" w:rsidP="00CD6352">
            <w:pPr>
              <w:rPr>
                <w:rFonts w:ascii="Arial" w:hAnsi="Arial" w:cs="Arial"/>
                <w:sz w:val="16"/>
                <w:szCs w:val="16"/>
              </w:rPr>
            </w:pPr>
            <w:r w:rsidRPr="00821AB2">
              <w:rPr>
                <w:rFonts w:ascii="Arial" w:hAnsi="Arial" w:cs="Arial"/>
                <w:sz w:val="16"/>
                <w:szCs w:val="16"/>
              </w:rPr>
              <w:t>13.2</w:t>
            </w:r>
          </w:p>
        </w:tc>
        <w:tc>
          <w:tcPr>
            <w:tcW w:w="777" w:type="dxa"/>
            <w:noWrap/>
            <w:hideMark/>
          </w:tcPr>
          <w:p w14:paraId="549B08FB" w14:textId="77777777" w:rsidR="00CD6352" w:rsidRPr="00821AB2" w:rsidRDefault="00CD6352" w:rsidP="00CD6352">
            <w:pPr>
              <w:rPr>
                <w:rFonts w:ascii="Arial" w:hAnsi="Arial" w:cs="Arial"/>
                <w:sz w:val="16"/>
                <w:szCs w:val="16"/>
              </w:rPr>
            </w:pPr>
            <w:r w:rsidRPr="00821AB2">
              <w:rPr>
                <w:rFonts w:ascii="Arial" w:hAnsi="Arial" w:cs="Arial"/>
                <w:sz w:val="16"/>
                <w:szCs w:val="16"/>
              </w:rPr>
              <w:t>28.9</w:t>
            </w:r>
          </w:p>
        </w:tc>
        <w:tc>
          <w:tcPr>
            <w:tcW w:w="750" w:type="dxa"/>
            <w:noWrap/>
            <w:hideMark/>
          </w:tcPr>
          <w:p w14:paraId="5AB457D4" w14:textId="77777777" w:rsidR="00CD6352" w:rsidRPr="00821AB2" w:rsidRDefault="00CD6352" w:rsidP="00CD6352">
            <w:pPr>
              <w:rPr>
                <w:rFonts w:ascii="Arial" w:hAnsi="Arial" w:cs="Arial"/>
                <w:sz w:val="16"/>
                <w:szCs w:val="16"/>
              </w:rPr>
            </w:pPr>
            <w:r w:rsidRPr="00821AB2">
              <w:rPr>
                <w:rFonts w:ascii="Arial" w:hAnsi="Arial" w:cs="Arial"/>
                <w:sz w:val="16"/>
                <w:szCs w:val="16"/>
              </w:rPr>
              <w:t>18.4</w:t>
            </w:r>
          </w:p>
        </w:tc>
        <w:tc>
          <w:tcPr>
            <w:tcW w:w="750" w:type="dxa"/>
            <w:noWrap/>
            <w:hideMark/>
          </w:tcPr>
          <w:p w14:paraId="539A4744" w14:textId="77777777" w:rsidR="00CD6352" w:rsidRPr="00821AB2" w:rsidRDefault="00CD6352" w:rsidP="00CD6352">
            <w:pPr>
              <w:rPr>
                <w:rFonts w:ascii="Arial" w:hAnsi="Arial" w:cs="Arial"/>
                <w:sz w:val="16"/>
                <w:szCs w:val="16"/>
              </w:rPr>
            </w:pPr>
            <w:r w:rsidRPr="00821AB2">
              <w:rPr>
                <w:rFonts w:ascii="Arial" w:hAnsi="Arial" w:cs="Arial"/>
                <w:sz w:val="16"/>
                <w:szCs w:val="16"/>
              </w:rPr>
              <w:t>31.6</w:t>
            </w:r>
          </w:p>
        </w:tc>
      </w:tr>
      <w:tr w:rsidR="00CD6352" w:rsidRPr="00821AB2" w14:paraId="4DF19CF7" w14:textId="77777777" w:rsidTr="00CD6352">
        <w:trPr>
          <w:trHeight w:val="465"/>
        </w:trPr>
        <w:tc>
          <w:tcPr>
            <w:tcW w:w="3640" w:type="dxa"/>
            <w:hideMark/>
          </w:tcPr>
          <w:p w14:paraId="6343B340" w14:textId="3B570058" w:rsidR="00CD6352" w:rsidRPr="00821AB2" w:rsidRDefault="00CD6352" w:rsidP="00CD6352">
            <w:pPr>
              <w:rPr>
                <w:rFonts w:ascii="Arial" w:hAnsi="Arial" w:cs="Arial"/>
                <w:sz w:val="16"/>
                <w:szCs w:val="16"/>
              </w:rPr>
            </w:pPr>
            <w:r w:rsidRPr="00821AB2">
              <w:rPr>
                <w:rFonts w:ascii="Arial" w:hAnsi="Arial" w:cs="Arial"/>
                <w:sz w:val="16"/>
                <w:szCs w:val="16"/>
              </w:rPr>
              <w:t xml:space="preserve">Emerging </w:t>
            </w:r>
            <w:r w:rsidR="002A7265" w:rsidRPr="00821AB2">
              <w:rPr>
                <w:rFonts w:ascii="Arial" w:hAnsi="Arial" w:cs="Arial"/>
                <w:sz w:val="16"/>
                <w:szCs w:val="16"/>
              </w:rPr>
              <w:t>technologies (</w:t>
            </w:r>
            <w:r w:rsidR="00C56EA5" w:rsidRPr="00821AB2">
              <w:rPr>
                <w:rFonts w:ascii="Arial" w:hAnsi="Arial" w:cs="Arial"/>
                <w:sz w:val="16"/>
                <w:szCs w:val="16"/>
              </w:rPr>
              <w:t>such</w:t>
            </w:r>
            <w:r w:rsidRPr="00821AB2">
              <w:rPr>
                <w:rFonts w:ascii="Arial" w:hAnsi="Arial" w:cs="Arial"/>
                <w:sz w:val="16"/>
                <w:szCs w:val="16"/>
              </w:rPr>
              <w:t xml:space="preserve"> as artificial intelligence &amp; machine learning)</w:t>
            </w:r>
          </w:p>
        </w:tc>
        <w:tc>
          <w:tcPr>
            <w:tcW w:w="1142" w:type="dxa"/>
            <w:noWrap/>
            <w:hideMark/>
          </w:tcPr>
          <w:p w14:paraId="3740892C" w14:textId="77777777" w:rsidR="00CD6352" w:rsidRPr="00821AB2" w:rsidRDefault="00CD6352" w:rsidP="00CD6352">
            <w:pPr>
              <w:rPr>
                <w:rFonts w:ascii="Arial" w:hAnsi="Arial" w:cs="Arial"/>
                <w:sz w:val="16"/>
                <w:szCs w:val="16"/>
              </w:rPr>
            </w:pPr>
            <w:r w:rsidRPr="00821AB2">
              <w:rPr>
                <w:rFonts w:ascii="Arial" w:hAnsi="Arial" w:cs="Arial"/>
                <w:sz w:val="16"/>
                <w:szCs w:val="16"/>
              </w:rPr>
              <w:t>5.1</w:t>
            </w:r>
          </w:p>
        </w:tc>
        <w:tc>
          <w:tcPr>
            <w:tcW w:w="750" w:type="dxa"/>
            <w:noWrap/>
            <w:hideMark/>
          </w:tcPr>
          <w:p w14:paraId="41DB3E8B" w14:textId="77777777" w:rsidR="00CD6352" w:rsidRPr="00821AB2" w:rsidRDefault="00CD6352" w:rsidP="00CD6352">
            <w:pPr>
              <w:rPr>
                <w:rFonts w:ascii="Arial" w:hAnsi="Arial" w:cs="Arial"/>
                <w:sz w:val="16"/>
                <w:szCs w:val="16"/>
              </w:rPr>
            </w:pPr>
            <w:r w:rsidRPr="00821AB2">
              <w:rPr>
                <w:rFonts w:ascii="Arial" w:hAnsi="Arial" w:cs="Arial"/>
                <w:sz w:val="16"/>
                <w:szCs w:val="16"/>
              </w:rPr>
              <w:t>10.3</w:t>
            </w:r>
          </w:p>
        </w:tc>
        <w:tc>
          <w:tcPr>
            <w:tcW w:w="777" w:type="dxa"/>
            <w:noWrap/>
            <w:hideMark/>
          </w:tcPr>
          <w:p w14:paraId="12FB2102" w14:textId="77777777" w:rsidR="00CD6352" w:rsidRPr="00821AB2" w:rsidRDefault="00CD6352" w:rsidP="00CD6352">
            <w:pPr>
              <w:rPr>
                <w:rFonts w:ascii="Arial" w:hAnsi="Arial" w:cs="Arial"/>
                <w:sz w:val="16"/>
                <w:szCs w:val="16"/>
              </w:rPr>
            </w:pPr>
            <w:r w:rsidRPr="00821AB2">
              <w:rPr>
                <w:rFonts w:ascii="Arial" w:hAnsi="Arial" w:cs="Arial"/>
                <w:sz w:val="16"/>
                <w:szCs w:val="16"/>
              </w:rPr>
              <w:t>33.3</w:t>
            </w:r>
          </w:p>
        </w:tc>
        <w:tc>
          <w:tcPr>
            <w:tcW w:w="750" w:type="dxa"/>
            <w:noWrap/>
            <w:hideMark/>
          </w:tcPr>
          <w:p w14:paraId="472DFA48" w14:textId="77777777" w:rsidR="00CD6352" w:rsidRPr="00821AB2" w:rsidRDefault="00CD6352" w:rsidP="00CD6352">
            <w:pPr>
              <w:rPr>
                <w:rFonts w:ascii="Arial" w:hAnsi="Arial" w:cs="Arial"/>
                <w:sz w:val="16"/>
                <w:szCs w:val="16"/>
              </w:rPr>
            </w:pPr>
            <w:r w:rsidRPr="00821AB2">
              <w:rPr>
                <w:rFonts w:ascii="Arial" w:hAnsi="Arial" w:cs="Arial"/>
                <w:sz w:val="16"/>
                <w:szCs w:val="16"/>
              </w:rPr>
              <w:t>20.5</w:t>
            </w:r>
          </w:p>
        </w:tc>
        <w:tc>
          <w:tcPr>
            <w:tcW w:w="750" w:type="dxa"/>
            <w:noWrap/>
            <w:hideMark/>
          </w:tcPr>
          <w:p w14:paraId="49E76A9B" w14:textId="77777777" w:rsidR="00CD6352" w:rsidRPr="00821AB2" w:rsidRDefault="00CD6352" w:rsidP="00CD6352">
            <w:pPr>
              <w:rPr>
                <w:rFonts w:ascii="Arial" w:hAnsi="Arial" w:cs="Arial"/>
                <w:sz w:val="16"/>
                <w:szCs w:val="16"/>
              </w:rPr>
            </w:pPr>
            <w:r w:rsidRPr="00821AB2">
              <w:rPr>
                <w:rFonts w:ascii="Arial" w:hAnsi="Arial" w:cs="Arial"/>
                <w:sz w:val="16"/>
                <w:szCs w:val="16"/>
              </w:rPr>
              <w:t>30.8</w:t>
            </w:r>
          </w:p>
        </w:tc>
      </w:tr>
      <w:tr w:rsidR="00CD6352" w:rsidRPr="00821AB2" w14:paraId="23A9B087" w14:textId="77777777" w:rsidTr="00CD6352">
        <w:trPr>
          <w:trHeight w:val="300"/>
        </w:trPr>
        <w:tc>
          <w:tcPr>
            <w:tcW w:w="3640" w:type="dxa"/>
            <w:noWrap/>
            <w:hideMark/>
          </w:tcPr>
          <w:p w14:paraId="491F95B5" w14:textId="77777777" w:rsidR="00CD6352" w:rsidRPr="00821AB2" w:rsidRDefault="00CD6352" w:rsidP="00CD6352">
            <w:pPr>
              <w:rPr>
                <w:rFonts w:ascii="Arial" w:hAnsi="Arial" w:cs="Arial"/>
                <w:sz w:val="16"/>
                <w:szCs w:val="16"/>
              </w:rPr>
            </w:pPr>
            <w:r w:rsidRPr="00821AB2">
              <w:rPr>
                <w:rFonts w:ascii="Arial" w:hAnsi="Arial" w:cs="Arial"/>
                <w:sz w:val="16"/>
                <w:szCs w:val="16"/>
              </w:rPr>
              <w:t>Specialized industry skill/ construction skill</w:t>
            </w:r>
          </w:p>
        </w:tc>
        <w:tc>
          <w:tcPr>
            <w:tcW w:w="1142" w:type="dxa"/>
            <w:noWrap/>
            <w:hideMark/>
          </w:tcPr>
          <w:p w14:paraId="5BBF22C2"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50" w:type="dxa"/>
            <w:noWrap/>
            <w:hideMark/>
          </w:tcPr>
          <w:p w14:paraId="4EA55CCB" w14:textId="77777777" w:rsidR="00CD6352" w:rsidRPr="00821AB2" w:rsidRDefault="00CD6352" w:rsidP="00CD6352">
            <w:pPr>
              <w:rPr>
                <w:rFonts w:ascii="Arial" w:hAnsi="Arial" w:cs="Arial"/>
                <w:sz w:val="16"/>
                <w:szCs w:val="16"/>
              </w:rPr>
            </w:pPr>
            <w:r w:rsidRPr="00821AB2">
              <w:rPr>
                <w:rFonts w:ascii="Arial" w:hAnsi="Arial" w:cs="Arial"/>
                <w:sz w:val="16"/>
                <w:szCs w:val="16"/>
              </w:rPr>
              <w:t>11.1</w:t>
            </w:r>
          </w:p>
        </w:tc>
        <w:tc>
          <w:tcPr>
            <w:tcW w:w="777" w:type="dxa"/>
            <w:noWrap/>
            <w:hideMark/>
          </w:tcPr>
          <w:p w14:paraId="38E5BC4D" w14:textId="77777777" w:rsidR="00CD6352" w:rsidRPr="00821AB2" w:rsidRDefault="00CD6352" w:rsidP="00CD6352">
            <w:pPr>
              <w:rPr>
                <w:rFonts w:ascii="Arial" w:hAnsi="Arial" w:cs="Arial"/>
                <w:sz w:val="16"/>
                <w:szCs w:val="16"/>
              </w:rPr>
            </w:pPr>
            <w:r w:rsidRPr="00821AB2">
              <w:rPr>
                <w:rFonts w:ascii="Arial" w:hAnsi="Arial" w:cs="Arial"/>
                <w:sz w:val="16"/>
                <w:szCs w:val="16"/>
              </w:rPr>
              <w:t>25</w:t>
            </w:r>
          </w:p>
        </w:tc>
        <w:tc>
          <w:tcPr>
            <w:tcW w:w="750" w:type="dxa"/>
            <w:noWrap/>
            <w:hideMark/>
          </w:tcPr>
          <w:p w14:paraId="6075A6AB" w14:textId="77777777" w:rsidR="00CD6352" w:rsidRPr="00821AB2" w:rsidRDefault="00CD6352" w:rsidP="00CD6352">
            <w:pPr>
              <w:rPr>
                <w:rFonts w:ascii="Arial" w:hAnsi="Arial" w:cs="Arial"/>
                <w:sz w:val="16"/>
                <w:szCs w:val="16"/>
              </w:rPr>
            </w:pPr>
            <w:r w:rsidRPr="00821AB2">
              <w:rPr>
                <w:rFonts w:ascii="Arial" w:hAnsi="Arial" w:cs="Arial"/>
                <w:sz w:val="16"/>
                <w:szCs w:val="16"/>
              </w:rPr>
              <w:t>27.8</w:t>
            </w:r>
          </w:p>
        </w:tc>
        <w:tc>
          <w:tcPr>
            <w:tcW w:w="750" w:type="dxa"/>
            <w:noWrap/>
            <w:hideMark/>
          </w:tcPr>
          <w:p w14:paraId="1C87E004" w14:textId="77777777" w:rsidR="00CD6352" w:rsidRPr="00821AB2" w:rsidRDefault="00CD6352" w:rsidP="00CD6352">
            <w:pPr>
              <w:rPr>
                <w:rFonts w:ascii="Arial" w:hAnsi="Arial" w:cs="Arial"/>
                <w:sz w:val="16"/>
                <w:szCs w:val="16"/>
              </w:rPr>
            </w:pPr>
            <w:r w:rsidRPr="00821AB2">
              <w:rPr>
                <w:rFonts w:ascii="Arial" w:hAnsi="Arial" w:cs="Arial"/>
                <w:sz w:val="16"/>
                <w:szCs w:val="16"/>
              </w:rPr>
              <w:t>30.6</w:t>
            </w:r>
          </w:p>
        </w:tc>
      </w:tr>
      <w:tr w:rsidR="00CD6352" w:rsidRPr="00821AB2" w14:paraId="4B293B3D" w14:textId="77777777" w:rsidTr="00CD6352">
        <w:trPr>
          <w:trHeight w:val="300"/>
        </w:trPr>
        <w:tc>
          <w:tcPr>
            <w:tcW w:w="3640" w:type="dxa"/>
            <w:noWrap/>
            <w:hideMark/>
          </w:tcPr>
          <w:p w14:paraId="3FE5F1ED" w14:textId="77777777" w:rsidR="00CD6352" w:rsidRPr="00821AB2" w:rsidRDefault="00CD6352" w:rsidP="00CD6352">
            <w:pPr>
              <w:rPr>
                <w:rFonts w:ascii="Arial" w:hAnsi="Arial" w:cs="Arial"/>
                <w:sz w:val="16"/>
                <w:szCs w:val="16"/>
              </w:rPr>
            </w:pPr>
            <w:r w:rsidRPr="00821AB2">
              <w:rPr>
                <w:rFonts w:ascii="Arial" w:hAnsi="Arial" w:cs="Arial"/>
                <w:sz w:val="16"/>
                <w:szCs w:val="16"/>
              </w:rPr>
              <w:t>Strategic planning</w:t>
            </w:r>
          </w:p>
        </w:tc>
        <w:tc>
          <w:tcPr>
            <w:tcW w:w="1142" w:type="dxa"/>
            <w:noWrap/>
            <w:hideMark/>
          </w:tcPr>
          <w:p w14:paraId="737EE47D" w14:textId="77777777" w:rsidR="00CD6352" w:rsidRPr="00821AB2" w:rsidRDefault="00CD6352" w:rsidP="00CD6352">
            <w:pPr>
              <w:rPr>
                <w:rFonts w:ascii="Arial" w:hAnsi="Arial" w:cs="Arial"/>
                <w:sz w:val="16"/>
                <w:szCs w:val="16"/>
              </w:rPr>
            </w:pPr>
            <w:r w:rsidRPr="00821AB2">
              <w:rPr>
                <w:rFonts w:ascii="Arial" w:hAnsi="Arial" w:cs="Arial"/>
                <w:sz w:val="16"/>
                <w:szCs w:val="16"/>
              </w:rPr>
              <w:t>2.8</w:t>
            </w:r>
          </w:p>
        </w:tc>
        <w:tc>
          <w:tcPr>
            <w:tcW w:w="750" w:type="dxa"/>
            <w:noWrap/>
            <w:hideMark/>
          </w:tcPr>
          <w:p w14:paraId="661095FB"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77" w:type="dxa"/>
            <w:noWrap/>
            <w:hideMark/>
          </w:tcPr>
          <w:p w14:paraId="2556A0B7" w14:textId="77777777" w:rsidR="00CD6352" w:rsidRPr="00821AB2" w:rsidRDefault="00CD6352" w:rsidP="00CD6352">
            <w:pPr>
              <w:rPr>
                <w:rFonts w:ascii="Arial" w:hAnsi="Arial" w:cs="Arial"/>
                <w:sz w:val="16"/>
                <w:szCs w:val="16"/>
              </w:rPr>
            </w:pPr>
            <w:r w:rsidRPr="00821AB2">
              <w:rPr>
                <w:rFonts w:ascii="Arial" w:hAnsi="Arial" w:cs="Arial"/>
                <w:sz w:val="16"/>
                <w:szCs w:val="16"/>
              </w:rPr>
              <w:t>38.9</w:t>
            </w:r>
          </w:p>
        </w:tc>
        <w:tc>
          <w:tcPr>
            <w:tcW w:w="750" w:type="dxa"/>
            <w:noWrap/>
            <w:hideMark/>
          </w:tcPr>
          <w:p w14:paraId="076060DA" w14:textId="77777777" w:rsidR="00CD6352" w:rsidRPr="00821AB2" w:rsidRDefault="00CD6352" w:rsidP="00CD6352">
            <w:pPr>
              <w:rPr>
                <w:rFonts w:ascii="Arial" w:hAnsi="Arial" w:cs="Arial"/>
                <w:sz w:val="16"/>
                <w:szCs w:val="16"/>
              </w:rPr>
            </w:pPr>
            <w:r w:rsidRPr="00821AB2">
              <w:rPr>
                <w:rFonts w:ascii="Arial" w:hAnsi="Arial" w:cs="Arial"/>
                <w:sz w:val="16"/>
                <w:szCs w:val="16"/>
              </w:rPr>
              <w:t>22.2</w:t>
            </w:r>
          </w:p>
        </w:tc>
        <w:tc>
          <w:tcPr>
            <w:tcW w:w="750" w:type="dxa"/>
            <w:noWrap/>
            <w:hideMark/>
          </w:tcPr>
          <w:p w14:paraId="177052E8" w14:textId="77777777" w:rsidR="00CD6352" w:rsidRPr="00821AB2" w:rsidRDefault="00CD6352" w:rsidP="00CD6352">
            <w:pPr>
              <w:rPr>
                <w:rFonts w:ascii="Arial" w:hAnsi="Arial" w:cs="Arial"/>
                <w:sz w:val="16"/>
                <w:szCs w:val="16"/>
              </w:rPr>
            </w:pPr>
            <w:r w:rsidRPr="00821AB2">
              <w:rPr>
                <w:rFonts w:ascii="Arial" w:hAnsi="Arial" w:cs="Arial"/>
                <w:sz w:val="16"/>
                <w:szCs w:val="16"/>
              </w:rPr>
              <w:t>30.6</w:t>
            </w:r>
          </w:p>
        </w:tc>
      </w:tr>
      <w:tr w:rsidR="00CD6352" w:rsidRPr="00821AB2" w14:paraId="3049AC03" w14:textId="77777777" w:rsidTr="00CD6352">
        <w:trPr>
          <w:trHeight w:val="300"/>
        </w:trPr>
        <w:tc>
          <w:tcPr>
            <w:tcW w:w="3640" w:type="dxa"/>
            <w:noWrap/>
            <w:hideMark/>
          </w:tcPr>
          <w:p w14:paraId="07D26C67" w14:textId="77777777" w:rsidR="00CD6352" w:rsidRPr="00821AB2" w:rsidRDefault="00CD6352" w:rsidP="00CD6352">
            <w:pPr>
              <w:rPr>
                <w:rFonts w:ascii="Arial" w:hAnsi="Arial" w:cs="Arial"/>
                <w:sz w:val="16"/>
                <w:szCs w:val="16"/>
              </w:rPr>
            </w:pPr>
            <w:r w:rsidRPr="00821AB2">
              <w:rPr>
                <w:rFonts w:ascii="Arial" w:hAnsi="Arial" w:cs="Arial"/>
                <w:sz w:val="16"/>
                <w:szCs w:val="16"/>
              </w:rPr>
              <w:t>Negotiation</w:t>
            </w:r>
          </w:p>
        </w:tc>
        <w:tc>
          <w:tcPr>
            <w:tcW w:w="1142" w:type="dxa"/>
            <w:noWrap/>
            <w:hideMark/>
          </w:tcPr>
          <w:p w14:paraId="2E956BB5" w14:textId="77777777" w:rsidR="00CD6352" w:rsidRPr="00821AB2" w:rsidRDefault="00CD6352" w:rsidP="00CD6352">
            <w:pPr>
              <w:rPr>
                <w:rFonts w:ascii="Arial" w:hAnsi="Arial" w:cs="Arial"/>
                <w:sz w:val="16"/>
                <w:szCs w:val="16"/>
              </w:rPr>
            </w:pPr>
            <w:r w:rsidRPr="00821AB2">
              <w:rPr>
                <w:rFonts w:ascii="Arial" w:hAnsi="Arial" w:cs="Arial"/>
                <w:sz w:val="16"/>
                <w:szCs w:val="16"/>
              </w:rPr>
              <w:t>5.4</w:t>
            </w:r>
          </w:p>
        </w:tc>
        <w:tc>
          <w:tcPr>
            <w:tcW w:w="750" w:type="dxa"/>
            <w:noWrap/>
            <w:hideMark/>
          </w:tcPr>
          <w:p w14:paraId="3551D2C0" w14:textId="77777777" w:rsidR="00CD6352" w:rsidRPr="00821AB2" w:rsidRDefault="00CD6352" w:rsidP="00CD6352">
            <w:pPr>
              <w:rPr>
                <w:rFonts w:ascii="Arial" w:hAnsi="Arial" w:cs="Arial"/>
                <w:sz w:val="16"/>
                <w:szCs w:val="16"/>
              </w:rPr>
            </w:pPr>
            <w:r w:rsidRPr="00821AB2">
              <w:rPr>
                <w:rFonts w:ascii="Arial" w:hAnsi="Arial" w:cs="Arial"/>
                <w:sz w:val="16"/>
                <w:szCs w:val="16"/>
              </w:rPr>
              <w:t>2.7</w:t>
            </w:r>
          </w:p>
        </w:tc>
        <w:tc>
          <w:tcPr>
            <w:tcW w:w="777" w:type="dxa"/>
            <w:noWrap/>
            <w:hideMark/>
          </w:tcPr>
          <w:p w14:paraId="1F0EDAFB" w14:textId="77777777" w:rsidR="00CD6352" w:rsidRPr="00821AB2" w:rsidRDefault="00CD6352" w:rsidP="00CD6352">
            <w:pPr>
              <w:rPr>
                <w:rFonts w:ascii="Arial" w:hAnsi="Arial" w:cs="Arial"/>
                <w:sz w:val="16"/>
                <w:szCs w:val="16"/>
              </w:rPr>
            </w:pPr>
            <w:r w:rsidRPr="00821AB2">
              <w:rPr>
                <w:rFonts w:ascii="Arial" w:hAnsi="Arial" w:cs="Arial"/>
                <w:sz w:val="16"/>
                <w:szCs w:val="16"/>
              </w:rPr>
              <w:t>24.3</w:t>
            </w:r>
          </w:p>
        </w:tc>
        <w:tc>
          <w:tcPr>
            <w:tcW w:w="750" w:type="dxa"/>
            <w:noWrap/>
            <w:hideMark/>
          </w:tcPr>
          <w:p w14:paraId="17F390C0" w14:textId="77777777" w:rsidR="00CD6352" w:rsidRPr="00821AB2" w:rsidRDefault="00CD6352" w:rsidP="00CD6352">
            <w:pPr>
              <w:rPr>
                <w:rFonts w:ascii="Arial" w:hAnsi="Arial" w:cs="Arial"/>
                <w:sz w:val="16"/>
                <w:szCs w:val="16"/>
              </w:rPr>
            </w:pPr>
            <w:r w:rsidRPr="00821AB2">
              <w:rPr>
                <w:rFonts w:ascii="Arial" w:hAnsi="Arial" w:cs="Arial"/>
                <w:sz w:val="16"/>
                <w:szCs w:val="16"/>
              </w:rPr>
              <w:t>37.8</w:t>
            </w:r>
          </w:p>
        </w:tc>
        <w:tc>
          <w:tcPr>
            <w:tcW w:w="750" w:type="dxa"/>
            <w:noWrap/>
            <w:hideMark/>
          </w:tcPr>
          <w:p w14:paraId="7604C6C0" w14:textId="77777777" w:rsidR="00CD6352" w:rsidRPr="00821AB2" w:rsidRDefault="00CD6352" w:rsidP="00CD6352">
            <w:pPr>
              <w:rPr>
                <w:rFonts w:ascii="Arial" w:hAnsi="Arial" w:cs="Arial"/>
                <w:sz w:val="16"/>
                <w:szCs w:val="16"/>
              </w:rPr>
            </w:pPr>
            <w:r w:rsidRPr="00821AB2">
              <w:rPr>
                <w:rFonts w:ascii="Arial" w:hAnsi="Arial" w:cs="Arial"/>
                <w:sz w:val="16"/>
                <w:szCs w:val="16"/>
              </w:rPr>
              <w:t>29.7</w:t>
            </w:r>
          </w:p>
        </w:tc>
      </w:tr>
      <w:tr w:rsidR="00CD6352" w:rsidRPr="00821AB2" w14:paraId="031B62BC" w14:textId="77777777" w:rsidTr="00CD6352">
        <w:trPr>
          <w:trHeight w:val="300"/>
        </w:trPr>
        <w:tc>
          <w:tcPr>
            <w:tcW w:w="3640" w:type="dxa"/>
            <w:noWrap/>
            <w:hideMark/>
          </w:tcPr>
          <w:p w14:paraId="1558B719" w14:textId="77777777" w:rsidR="00CD6352" w:rsidRPr="00821AB2" w:rsidRDefault="00CD6352" w:rsidP="00CD6352">
            <w:pPr>
              <w:rPr>
                <w:rFonts w:ascii="Arial" w:hAnsi="Arial" w:cs="Arial"/>
                <w:sz w:val="16"/>
                <w:szCs w:val="16"/>
              </w:rPr>
            </w:pPr>
            <w:r w:rsidRPr="00821AB2">
              <w:rPr>
                <w:rFonts w:ascii="Arial" w:hAnsi="Arial" w:cs="Arial"/>
                <w:sz w:val="16"/>
                <w:szCs w:val="16"/>
              </w:rPr>
              <w:t xml:space="preserve">Critical thinking </w:t>
            </w:r>
          </w:p>
        </w:tc>
        <w:tc>
          <w:tcPr>
            <w:tcW w:w="1142" w:type="dxa"/>
            <w:noWrap/>
            <w:hideMark/>
          </w:tcPr>
          <w:p w14:paraId="077502EB"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50" w:type="dxa"/>
            <w:noWrap/>
            <w:hideMark/>
          </w:tcPr>
          <w:p w14:paraId="2EFD93C4"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77" w:type="dxa"/>
            <w:noWrap/>
            <w:hideMark/>
          </w:tcPr>
          <w:p w14:paraId="511A87FD" w14:textId="77777777" w:rsidR="00CD6352" w:rsidRPr="00821AB2" w:rsidRDefault="00CD6352" w:rsidP="00CD6352">
            <w:pPr>
              <w:rPr>
                <w:rFonts w:ascii="Arial" w:hAnsi="Arial" w:cs="Arial"/>
                <w:sz w:val="16"/>
                <w:szCs w:val="16"/>
              </w:rPr>
            </w:pPr>
            <w:r w:rsidRPr="00821AB2">
              <w:rPr>
                <w:rFonts w:ascii="Arial" w:hAnsi="Arial" w:cs="Arial"/>
                <w:sz w:val="16"/>
                <w:szCs w:val="16"/>
              </w:rPr>
              <w:t>27.8</w:t>
            </w:r>
          </w:p>
        </w:tc>
        <w:tc>
          <w:tcPr>
            <w:tcW w:w="750" w:type="dxa"/>
            <w:noWrap/>
            <w:hideMark/>
          </w:tcPr>
          <w:p w14:paraId="01DFE130" w14:textId="77777777" w:rsidR="00CD6352" w:rsidRPr="00821AB2" w:rsidRDefault="00CD6352" w:rsidP="00CD6352">
            <w:pPr>
              <w:rPr>
                <w:rFonts w:ascii="Arial" w:hAnsi="Arial" w:cs="Arial"/>
                <w:sz w:val="16"/>
                <w:szCs w:val="16"/>
              </w:rPr>
            </w:pPr>
            <w:r w:rsidRPr="00821AB2">
              <w:rPr>
                <w:rFonts w:ascii="Arial" w:hAnsi="Arial" w:cs="Arial"/>
                <w:sz w:val="16"/>
                <w:szCs w:val="16"/>
              </w:rPr>
              <w:t>33.3</w:t>
            </w:r>
          </w:p>
        </w:tc>
        <w:tc>
          <w:tcPr>
            <w:tcW w:w="750" w:type="dxa"/>
            <w:noWrap/>
            <w:hideMark/>
          </w:tcPr>
          <w:p w14:paraId="04CE8D9D" w14:textId="77777777" w:rsidR="00CD6352" w:rsidRPr="00821AB2" w:rsidRDefault="00CD6352" w:rsidP="00CD6352">
            <w:pPr>
              <w:rPr>
                <w:rFonts w:ascii="Arial" w:hAnsi="Arial" w:cs="Arial"/>
                <w:sz w:val="16"/>
                <w:szCs w:val="16"/>
              </w:rPr>
            </w:pPr>
            <w:r w:rsidRPr="00821AB2">
              <w:rPr>
                <w:rFonts w:ascii="Arial" w:hAnsi="Arial" w:cs="Arial"/>
                <w:sz w:val="16"/>
                <w:szCs w:val="16"/>
              </w:rPr>
              <w:t>27.8</w:t>
            </w:r>
          </w:p>
        </w:tc>
      </w:tr>
      <w:tr w:rsidR="00CD6352" w:rsidRPr="00821AB2" w14:paraId="40D4FDFB" w14:textId="77777777" w:rsidTr="00CD6352">
        <w:trPr>
          <w:trHeight w:val="300"/>
        </w:trPr>
        <w:tc>
          <w:tcPr>
            <w:tcW w:w="3640" w:type="dxa"/>
            <w:noWrap/>
            <w:hideMark/>
          </w:tcPr>
          <w:p w14:paraId="4CA76E39" w14:textId="77777777" w:rsidR="00CD6352" w:rsidRPr="00821AB2" w:rsidRDefault="00CD6352" w:rsidP="00CD6352">
            <w:pPr>
              <w:rPr>
                <w:rFonts w:ascii="Arial" w:hAnsi="Arial" w:cs="Arial"/>
                <w:sz w:val="16"/>
                <w:szCs w:val="16"/>
              </w:rPr>
            </w:pPr>
            <w:r w:rsidRPr="00821AB2">
              <w:rPr>
                <w:rFonts w:ascii="Arial" w:hAnsi="Arial" w:cs="Arial"/>
                <w:sz w:val="16"/>
                <w:szCs w:val="16"/>
              </w:rPr>
              <w:t>Diplomatic skills and social intelligence</w:t>
            </w:r>
          </w:p>
        </w:tc>
        <w:tc>
          <w:tcPr>
            <w:tcW w:w="1142" w:type="dxa"/>
            <w:noWrap/>
            <w:hideMark/>
          </w:tcPr>
          <w:p w14:paraId="4E3C6A89" w14:textId="77777777" w:rsidR="00CD6352" w:rsidRPr="00821AB2" w:rsidRDefault="00CD6352" w:rsidP="00CD6352">
            <w:pPr>
              <w:rPr>
                <w:rFonts w:ascii="Arial" w:hAnsi="Arial" w:cs="Arial"/>
                <w:sz w:val="16"/>
                <w:szCs w:val="16"/>
              </w:rPr>
            </w:pPr>
            <w:r w:rsidRPr="00821AB2">
              <w:rPr>
                <w:rFonts w:ascii="Arial" w:hAnsi="Arial" w:cs="Arial"/>
                <w:sz w:val="16"/>
                <w:szCs w:val="16"/>
              </w:rPr>
              <w:t>5.4</w:t>
            </w:r>
          </w:p>
        </w:tc>
        <w:tc>
          <w:tcPr>
            <w:tcW w:w="750" w:type="dxa"/>
            <w:noWrap/>
            <w:hideMark/>
          </w:tcPr>
          <w:p w14:paraId="7ECFEDF2" w14:textId="77777777" w:rsidR="00CD6352" w:rsidRPr="00821AB2" w:rsidRDefault="00CD6352" w:rsidP="00CD6352">
            <w:pPr>
              <w:rPr>
                <w:rFonts w:ascii="Arial" w:hAnsi="Arial" w:cs="Arial"/>
                <w:sz w:val="16"/>
                <w:szCs w:val="16"/>
              </w:rPr>
            </w:pPr>
            <w:r w:rsidRPr="00821AB2">
              <w:rPr>
                <w:rFonts w:ascii="Arial" w:hAnsi="Arial" w:cs="Arial"/>
                <w:sz w:val="16"/>
                <w:szCs w:val="16"/>
              </w:rPr>
              <w:t>5.4</w:t>
            </w:r>
          </w:p>
        </w:tc>
        <w:tc>
          <w:tcPr>
            <w:tcW w:w="777" w:type="dxa"/>
            <w:noWrap/>
            <w:hideMark/>
          </w:tcPr>
          <w:p w14:paraId="09E85780" w14:textId="77777777" w:rsidR="00CD6352" w:rsidRPr="00821AB2" w:rsidRDefault="00CD6352" w:rsidP="00CD6352">
            <w:pPr>
              <w:rPr>
                <w:rFonts w:ascii="Arial" w:hAnsi="Arial" w:cs="Arial"/>
                <w:sz w:val="16"/>
                <w:szCs w:val="16"/>
              </w:rPr>
            </w:pPr>
            <w:r w:rsidRPr="00821AB2">
              <w:rPr>
                <w:rFonts w:ascii="Arial" w:hAnsi="Arial" w:cs="Arial"/>
                <w:sz w:val="16"/>
                <w:szCs w:val="16"/>
              </w:rPr>
              <w:t>40.5</w:t>
            </w:r>
          </w:p>
        </w:tc>
        <w:tc>
          <w:tcPr>
            <w:tcW w:w="750" w:type="dxa"/>
            <w:noWrap/>
            <w:hideMark/>
          </w:tcPr>
          <w:p w14:paraId="31718345" w14:textId="77777777" w:rsidR="00CD6352" w:rsidRPr="00821AB2" w:rsidRDefault="00CD6352" w:rsidP="00CD6352">
            <w:pPr>
              <w:rPr>
                <w:rFonts w:ascii="Arial" w:hAnsi="Arial" w:cs="Arial"/>
                <w:sz w:val="16"/>
                <w:szCs w:val="16"/>
              </w:rPr>
            </w:pPr>
            <w:r w:rsidRPr="00821AB2">
              <w:rPr>
                <w:rFonts w:ascii="Arial" w:hAnsi="Arial" w:cs="Arial"/>
                <w:sz w:val="16"/>
                <w:szCs w:val="16"/>
              </w:rPr>
              <w:t>21.6</w:t>
            </w:r>
          </w:p>
        </w:tc>
        <w:tc>
          <w:tcPr>
            <w:tcW w:w="750" w:type="dxa"/>
            <w:noWrap/>
            <w:hideMark/>
          </w:tcPr>
          <w:p w14:paraId="6AC5C9A0" w14:textId="77777777" w:rsidR="00CD6352" w:rsidRPr="00821AB2" w:rsidRDefault="00CD6352" w:rsidP="00CD6352">
            <w:pPr>
              <w:rPr>
                <w:rFonts w:ascii="Arial" w:hAnsi="Arial" w:cs="Arial"/>
                <w:sz w:val="16"/>
                <w:szCs w:val="16"/>
              </w:rPr>
            </w:pPr>
            <w:r w:rsidRPr="00821AB2">
              <w:rPr>
                <w:rFonts w:ascii="Arial" w:hAnsi="Arial" w:cs="Arial"/>
                <w:sz w:val="16"/>
                <w:szCs w:val="16"/>
              </w:rPr>
              <w:t>27</w:t>
            </w:r>
          </w:p>
        </w:tc>
      </w:tr>
      <w:tr w:rsidR="00CD6352" w:rsidRPr="00821AB2" w14:paraId="382EA2D6" w14:textId="77777777" w:rsidTr="00CD6352">
        <w:trPr>
          <w:trHeight w:val="300"/>
        </w:trPr>
        <w:tc>
          <w:tcPr>
            <w:tcW w:w="3640" w:type="dxa"/>
            <w:noWrap/>
            <w:hideMark/>
          </w:tcPr>
          <w:p w14:paraId="46204D97" w14:textId="77777777" w:rsidR="00CD6352" w:rsidRPr="00821AB2" w:rsidRDefault="00CD6352" w:rsidP="00CD6352">
            <w:pPr>
              <w:rPr>
                <w:rFonts w:ascii="Arial" w:hAnsi="Arial" w:cs="Arial"/>
                <w:sz w:val="16"/>
                <w:szCs w:val="16"/>
              </w:rPr>
            </w:pPr>
            <w:r w:rsidRPr="00821AB2">
              <w:rPr>
                <w:rFonts w:ascii="Arial" w:hAnsi="Arial" w:cs="Arial"/>
                <w:sz w:val="16"/>
                <w:szCs w:val="16"/>
              </w:rPr>
              <w:t>Identifying and accessing alternative option</w:t>
            </w:r>
          </w:p>
        </w:tc>
        <w:tc>
          <w:tcPr>
            <w:tcW w:w="1142" w:type="dxa"/>
            <w:noWrap/>
            <w:hideMark/>
          </w:tcPr>
          <w:p w14:paraId="604D77AA"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50" w:type="dxa"/>
            <w:noWrap/>
            <w:hideMark/>
          </w:tcPr>
          <w:p w14:paraId="16F49E7C" w14:textId="77777777" w:rsidR="00CD6352" w:rsidRPr="00821AB2" w:rsidRDefault="00CD6352" w:rsidP="00CD6352">
            <w:pPr>
              <w:rPr>
                <w:rFonts w:ascii="Arial" w:hAnsi="Arial" w:cs="Arial"/>
                <w:sz w:val="16"/>
                <w:szCs w:val="16"/>
              </w:rPr>
            </w:pPr>
            <w:r w:rsidRPr="00821AB2">
              <w:rPr>
                <w:rFonts w:ascii="Arial" w:hAnsi="Arial" w:cs="Arial"/>
                <w:sz w:val="16"/>
                <w:szCs w:val="16"/>
              </w:rPr>
              <w:t>13.9</w:t>
            </w:r>
          </w:p>
        </w:tc>
        <w:tc>
          <w:tcPr>
            <w:tcW w:w="777" w:type="dxa"/>
            <w:noWrap/>
            <w:hideMark/>
          </w:tcPr>
          <w:p w14:paraId="4170B9D6" w14:textId="77777777" w:rsidR="00CD6352" w:rsidRPr="00821AB2" w:rsidRDefault="00CD6352" w:rsidP="00CD6352">
            <w:pPr>
              <w:rPr>
                <w:rFonts w:ascii="Arial" w:hAnsi="Arial" w:cs="Arial"/>
                <w:sz w:val="16"/>
                <w:szCs w:val="16"/>
              </w:rPr>
            </w:pPr>
            <w:r w:rsidRPr="00821AB2">
              <w:rPr>
                <w:rFonts w:ascii="Arial" w:hAnsi="Arial" w:cs="Arial"/>
                <w:sz w:val="16"/>
                <w:szCs w:val="16"/>
              </w:rPr>
              <w:t>27.8</w:t>
            </w:r>
          </w:p>
        </w:tc>
        <w:tc>
          <w:tcPr>
            <w:tcW w:w="750" w:type="dxa"/>
            <w:noWrap/>
            <w:hideMark/>
          </w:tcPr>
          <w:p w14:paraId="1C9628D3" w14:textId="77777777" w:rsidR="00CD6352" w:rsidRPr="00821AB2" w:rsidRDefault="00CD6352" w:rsidP="00CD6352">
            <w:pPr>
              <w:rPr>
                <w:rFonts w:ascii="Arial" w:hAnsi="Arial" w:cs="Arial"/>
                <w:sz w:val="16"/>
                <w:szCs w:val="16"/>
              </w:rPr>
            </w:pPr>
            <w:r w:rsidRPr="00821AB2">
              <w:rPr>
                <w:rFonts w:ascii="Arial" w:hAnsi="Arial" w:cs="Arial"/>
                <w:sz w:val="16"/>
                <w:szCs w:val="16"/>
              </w:rPr>
              <w:t>27.8</w:t>
            </w:r>
          </w:p>
        </w:tc>
        <w:tc>
          <w:tcPr>
            <w:tcW w:w="750" w:type="dxa"/>
            <w:noWrap/>
            <w:hideMark/>
          </w:tcPr>
          <w:p w14:paraId="47A8F793" w14:textId="77777777" w:rsidR="00CD6352" w:rsidRPr="00821AB2" w:rsidRDefault="00CD6352" w:rsidP="00CD6352">
            <w:pPr>
              <w:rPr>
                <w:rFonts w:ascii="Arial" w:hAnsi="Arial" w:cs="Arial"/>
                <w:sz w:val="16"/>
                <w:szCs w:val="16"/>
              </w:rPr>
            </w:pPr>
            <w:r w:rsidRPr="00821AB2">
              <w:rPr>
                <w:rFonts w:ascii="Arial" w:hAnsi="Arial" w:cs="Arial"/>
                <w:sz w:val="16"/>
                <w:szCs w:val="16"/>
              </w:rPr>
              <w:t>25</w:t>
            </w:r>
          </w:p>
        </w:tc>
      </w:tr>
      <w:tr w:rsidR="00CD6352" w:rsidRPr="00821AB2" w14:paraId="390148F7" w14:textId="77777777" w:rsidTr="00CD6352">
        <w:trPr>
          <w:trHeight w:val="300"/>
        </w:trPr>
        <w:tc>
          <w:tcPr>
            <w:tcW w:w="3640" w:type="dxa"/>
            <w:noWrap/>
            <w:hideMark/>
          </w:tcPr>
          <w:p w14:paraId="7029BCD0" w14:textId="77777777" w:rsidR="00CD6352" w:rsidRPr="00821AB2" w:rsidRDefault="00CD6352" w:rsidP="00CD6352">
            <w:pPr>
              <w:rPr>
                <w:rFonts w:ascii="Arial" w:hAnsi="Arial" w:cs="Arial"/>
                <w:sz w:val="16"/>
                <w:szCs w:val="16"/>
              </w:rPr>
            </w:pPr>
            <w:r w:rsidRPr="00821AB2">
              <w:rPr>
                <w:rFonts w:ascii="Arial" w:hAnsi="Arial" w:cs="Arial"/>
                <w:sz w:val="16"/>
                <w:szCs w:val="16"/>
              </w:rPr>
              <w:t>Recognising and using influence</w:t>
            </w:r>
          </w:p>
        </w:tc>
        <w:tc>
          <w:tcPr>
            <w:tcW w:w="1142" w:type="dxa"/>
            <w:noWrap/>
            <w:hideMark/>
          </w:tcPr>
          <w:p w14:paraId="0C3D65EF" w14:textId="77777777" w:rsidR="00CD6352" w:rsidRPr="00821AB2" w:rsidRDefault="00CD6352" w:rsidP="00CD6352">
            <w:pPr>
              <w:rPr>
                <w:rFonts w:ascii="Arial" w:hAnsi="Arial" w:cs="Arial"/>
                <w:sz w:val="16"/>
                <w:szCs w:val="16"/>
              </w:rPr>
            </w:pPr>
            <w:r w:rsidRPr="00821AB2">
              <w:rPr>
                <w:rFonts w:ascii="Arial" w:hAnsi="Arial" w:cs="Arial"/>
                <w:sz w:val="16"/>
                <w:szCs w:val="16"/>
              </w:rPr>
              <w:t>8.1</w:t>
            </w:r>
          </w:p>
        </w:tc>
        <w:tc>
          <w:tcPr>
            <w:tcW w:w="750" w:type="dxa"/>
            <w:noWrap/>
            <w:hideMark/>
          </w:tcPr>
          <w:p w14:paraId="2A7C4ABB" w14:textId="77777777" w:rsidR="00CD6352" w:rsidRPr="00821AB2" w:rsidRDefault="00CD6352" w:rsidP="00CD6352">
            <w:pPr>
              <w:rPr>
                <w:rFonts w:ascii="Arial" w:hAnsi="Arial" w:cs="Arial"/>
                <w:sz w:val="16"/>
                <w:szCs w:val="16"/>
              </w:rPr>
            </w:pPr>
            <w:r w:rsidRPr="00821AB2">
              <w:rPr>
                <w:rFonts w:ascii="Arial" w:hAnsi="Arial" w:cs="Arial"/>
                <w:sz w:val="16"/>
                <w:szCs w:val="16"/>
              </w:rPr>
              <w:t>Nil</w:t>
            </w:r>
          </w:p>
        </w:tc>
        <w:tc>
          <w:tcPr>
            <w:tcW w:w="777" w:type="dxa"/>
            <w:noWrap/>
            <w:hideMark/>
          </w:tcPr>
          <w:p w14:paraId="7D4BB7A7" w14:textId="77777777" w:rsidR="00CD6352" w:rsidRPr="00821AB2" w:rsidRDefault="00CD6352" w:rsidP="00CD6352">
            <w:pPr>
              <w:rPr>
                <w:rFonts w:ascii="Arial" w:hAnsi="Arial" w:cs="Arial"/>
                <w:sz w:val="16"/>
                <w:szCs w:val="16"/>
              </w:rPr>
            </w:pPr>
            <w:r w:rsidRPr="00821AB2">
              <w:rPr>
                <w:rFonts w:ascii="Arial" w:hAnsi="Arial" w:cs="Arial"/>
                <w:sz w:val="16"/>
                <w:szCs w:val="16"/>
              </w:rPr>
              <w:t>40.5</w:t>
            </w:r>
          </w:p>
        </w:tc>
        <w:tc>
          <w:tcPr>
            <w:tcW w:w="750" w:type="dxa"/>
            <w:noWrap/>
            <w:hideMark/>
          </w:tcPr>
          <w:p w14:paraId="5CD18C0F" w14:textId="77777777" w:rsidR="00CD6352" w:rsidRPr="00821AB2" w:rsidRDefault="00CD6352" w:rsidP="00CD6352">
            <w:pPr>
              <w:rPr>
                <w:rFonts w:ascii="Arial" w:hAnsi="Arial" w:cs="Arial"/>
                <w:sz w:val="16"/>
                <w:szCs w:val="16"/>
              </w:rPr>
            </w:pPr>
            <w:r w:rsidRPr="00821AB2">
              <w:rPr>
                <w:rFonts w:ascii="Arial" w:hAnsi="Arial" w:cs="Arial"/>
                <w:sz w:val="16"/>
                <w:szCs w:val="16"/>
              </w:rPr>
              <w:t>27</w:t>
            </w:r>
          </w:p>
        </w:tc>
        <w:tc>
          <w:tcPr>
            <w:tcW w:w="750" w:type="dxa"/>
            <w:noWrap/>
            <w:hideMark/>
          </w:tcPr>
          <w:p w14:paraId="6DF7082B" w14:textId="77777777" w:rsidR="00CD6352" w:rsidRPr="00821AB2" w:rsidRDefault="00CD6352" w:rsidP="00CD6352">
            <w:pPr>
              <w:rPr>
                <w:rFonts w:ascii="Arial" w:hAnsi="Arial" w:cs="Arial"/>
                <w:sz w:val="16"/>
                <w:szCs w:val="16"/>
              </w:rPr>
            </w:pPr>
            <w:r w:rsidRPr="00821AB2">
              <w:rPr>
                <w:rFonts w:ascii="Arial" w:hAnsi="Arial" w:cs="Arial"/>
                <w:sz w:val="16"/>
                <w:szCs w:val="16"/>
              </w:rPr>
              <w:t>24.3</w:t>
            </w:r>
          </w:p>
        </w:tc>
      </w:tr>
      <w:tr w:rsidR="00CD6352" w:rsidRPr="00821AB2" w14:paraId="1C431C5A" w14:textId="77777777" w:rsidTr="00CD6352">
        <w:trPr>
          <w:trHeight w:val="300"/>
        </w:trPr>
        <w:tc>
          <w:tcPr>
            <w:tcW w:w="3640" w:type="dxa"/>
            <w:noWrap/>
            <w:hideMark/>
          </w:tcPr>
          <w:p w14:paraId="01590294" w14:textId="77777777" w:rsidR="00CD6352" w:rsidRPr="00821AB2" w:rsidRDefault="00CD6352" w:rsidP="00CD6352">
            <w:pPr>
              <w:rPr>
                <w:rFonts w:ascii="Arial" w:hAnsi="Arial" w:cs="Arial"/>
                <w:sz w:val="16"/>
                <w:szCs w:val="16"/>
              </w:rPr>
            </w:pPr>
            <w:r w:rsidRPr="00821AB2">
              <w:rPr>
                <w:rFonts w:ascii="Arial" w:hAnsi="Arial" w:cs="Arial"/>
                <w:sz w:val="16"/>
                <w:szCs w:val="16"/>
              </w:rPr>
              <w:t>Market liquidity timing skill</w:t>
            </w:r>
          </w:p>
        </w:tc>
        <w:tc>
          <w:tcPr>
            <w:tcW w:w="1142" w:type="dxa"/>
            <w:noWrap/>
            <w:hideMark/>
          </w:tcPr>
          <w:p w14:paraId="4EC488E2" w14:textId="77777777" w:rsidR="00CD6352" w:rsidRPr="00821AB2" w:rsidRDefault="00CD6352" w:rsidP="00CD6352">
            <w:pPr>
              <w:rPr>
                <w:rFonts w:ascii="Arial" w:hAnsi="Arial" w:cs="Arial"/>
                <w:sz w:val="16"/>
                <w:szCs w:val="16"/>
              </w:rPr>
            </w:pPr>
            <w:r w:rsidRPr="00821AB2">
              <w:rPr>
                <w:rFonts w:ascii="Arial" w:hAnsi="Arial" w:cs="Arial"/>
                <w:sz w:val="16"/>
                <w:szCs w:val="16"/>
              </w:rPr>
              <w:t>8.3</w:t>
            </w:r>
          </w:p>
        </w:tc>
        <w:tc>
          <w:tcPr>
            <w:tcW w:w="750" w:type="dxa"/>
            <w:noWrap/>
            <w:hideMark/>
          </w:tcPr>
          <w:p w14:paraId="64C42AE1" w14:textId="77777777" w:rsidR="00CD6352" w:rsidRPr="00821AB2" w:rsidRDefault="00CD6352" w:rsidP="00CD6352">
            <w:pPr>
              <w:rPr>
                <w:rFonts w:ascii="Arial" w:hAnsi="Arial" w:cs="Arial"/>
                <w:sz w:val="16"/>
                <w:szCs w:val="16"/>
              </w:rPr>
            </w:pPr>
            <w:r w:rsidRPr="00821AB2">
              <w:rPr>
                <w:rFonts w:ascii="Arial" w:hAnsi="Arial" w:cs="Arial"/>
                <w:sz w:val="16"/>
                <w:szCs w:val="16"/>
              </w:rPr>
              <w:t>5.6</w:t>
            </w:r>
          </w:p>
        </w:tc>
        <w:tc>
          <w:tcPr>
            <w:tcW w:w="777" w:type="dxa"/>
            <w:noWrap/>
            <w:hideMark/>
          </w:tcPr>
          <w:p w14:paraId="54ADEACE" w14:textId="77777777" w:rsidR="00CD6352" w:rsidRPr="00821AB2" w:rsidRDefault="00CD6352" w:rsidP="00CD6352">
            <w:pPr>
              <w:rPr>
                <w:rFonts w:ascii="Arial" w:hAnsi="Arial" w:cs="Arial"/>
                <w:sz w:val="16"/>
                <w:szCs w:val="16"/>
              </w:rPr>
            </w:pPr>
            <w:r w:rsidRPr="00821AB2">
              <w:rPr>
                <w:rFonts w:ascii="Arial" w:hAnsi="Arial" w:cs="Arial"/>
                <w:sz w:val="16"/>
                <w:szCs w:val="16"/>
              </w:rPr>
              <w:t>30.6</w:t>
            </w:r>
          </w:p>
        </w:tc>
        <w:tc>
          <w:tcPr>
            <w:tcW w:w="750" w:type="dxa"/>
            <w:noWrap/>
            <w:hideMark/>
          </w:tcPr>
          <w:p w14:paraId="2F15BE59" w14:textId="77777777" w:rsidR="00CD6352" w:rsidRPr="00821AB2" w:rsidRDefault="00CD6352" w:rsidP="00CD6352">
            <w:pPr>
              <w:rPr>
                <w:rFonts w:ascii="Arial" w:hAnsi="Arial" w:cs="Arial"/>
                <w:sz w:val="16"/>
                <w:szCs w:val="16"/>
              </w:rPr>
            </w:pPr>
            <w:r w:rsidRPr="00821AB2">
              <w:rPr>
                <w:rFonts w:ascii="Arial" w:hAnsi="Arial" w:cs="Arial"/>
                <w:sz w:val="16"/>
                <w:szCs w:val="16"/>
              </w:rPr>
              <w:t>33.3</w:t>
            </w:r>
          </w:p>
        </w:tc>
        <w:tc>
          <w:tcPr>
            <w:tcW w:w="750" w:type="dxa"/>
            <w:noWrap/>
            <w:hideMark/>
          </w:tcPr>
          <w:p w14:paraId="70342A2E" w14:textId="77777777" w:rsidR="00CD6352" w:rsidRPr="00821AB2" w:rsidRDefault="00CD6352" w:rsidP="00CD6352">
            <w:pPr>
              <w:rPr>
                <w:rFonts w:ascii="Arial" w:hAnsi="Arial" w:cs="Arial"/>
                <w:sz w:val="16"/>
                <w:szCs w:val="16"/>
              </w:rPr>
            </w:pPr>
            <w:r w:rsidRPr="00821AB2">
              <w:rPr>
                <w:rFonts w:ascii="Arial" w:hAnsi="Arial" w:cs="Arial"/>
                <w:sz w:val="16"/>
                <w:szCs w:val="16"/>
              </w:rPr>
              <w:t>22.2</w:t>
            </w:r>
          </w:p>
        </w:tc>
      </w:tr>
      <w:tr w:rsidR="00CD6352" w:rsidRPr="00821AB2" w14:paraId="638E90D8" w14:textId="77777777" w:rsidTr="00CD6352">
        <w:trPr>
          <w:trHeight w:val="300"/>
        </w:trPr>
        <w:tc>
          <w:tcPr>
            <w:tcW w:w="3640" w:type="dxa"/>
            <w:noWrap/>
            <w:hideMark/>
          </w:tcPr>
          <w:p w14:paraId="55A36310" w14:textId="77777777" w:rsidR="00CD6352" w:rsidRPr="00821AB2" w:rsidRDefault="00CD6352" w:rsidP="00CD6352">
            <w:pPr>
              <w:rPr>
                <w:rFonts w:ascii="Arial" w:hAnsi="Arial" w:cs="Arial"/>
                <w:sz w:val="16"/>
                <w:szCs w:val="16"/>
              </w:rPr>
            </w:pPr>
            <w:r w:rsidRPr="00821AB2">
              <w:rPr>
                <w:rFonts w:ascii="Arial" w:hAnsi="Arial" w:cs="Arial"/>
                <w:sz w:val="16"/>
                <w:szCs w:val="16"/>
              </w:rPr>
              <w:t>Emotional intelligence</w:t>
            </w:r>
          </w:p>
        </w:tc>
        <w:tc>
          <w:tcPr>
            <w:tcW w:w="1142" w:type="dxa"/>
            <w:noWrap/>
            <w:hideMark/>
          </w:tcPr>
          <w:p w14:paraId="781C49C1" w14:textId="77777777" w:rsidR="00CD6352" w:rsidRPr="00821AB2" w:rsidRDefault="00CD6352" w:rsidP="00CD6352">
            <w:pPr>
              <w:rPr>
                <w:rFonts w:ascii="Arial" w:hAnsi="Arial" w:cs="Arial"/>
                <w:sz w:val="16"/>
                <w:szCs w:val="16"/>
              </w:rPr>
            </w:pPr>
            <w:r w:rsidRPr="00821AB2">
              <w:rPr>
                <w:rFonts w:ascii="Arial" w:hAnsi="Arial" w:cs="Arial"/>
                <w:sz w:val="16"/>
                <w:szCs w:val="16"/>
              </w:rPr>
              <w:t>5.4</w:t>
            </w:r>
          </w:p>
        </w:tc>
        <w:tc>
          <w:tcPr>
            <w:tcW w:w="750" w:type="dxa"/>
            <w:noWrap/>
            <w:hideMark/>
          </w:tcPr>
          <w:p w14:paraId="7046755C" w14:textId="77777777" w:rsidR="00CD6352" w:rsidRPr="00821AB2" w:rsidRDefault="00CD6352" w:rsidP="00CD6352">
            <w:pPr>
              <w:rPr>
                <w:rFonts w:ascii="Arial" w:hAnsi="Arial" w:cs="Arial"/>
                <w:sz w:val="16"/>
                <w:szCs w:val="16"/>
              </w:rPr>
            </w:pPr>
            <w:r w:rsidRPr="00821AB2">
              <w:rPr>
                <w:rFonts w:ascii="Arial" w:hAnsi="Arial" w:cs="Arial"/>
                <w:sz w:val="16"/>
                <w:szCs w:val="16"/>
              </w:rPr>
              <w:t>16.2</w:t>
            </w:r>
          </w:p>
        </w:tc>
        <w:tc>
          <w:tcPr>
            <w:tcW w:w="777" w:type="dxa"/>
            <w:noWrap/>
            <w:hideMark/>
          </w:tcPr>
          <w:p w14:paraId="5A113B30" w14:textId="77777777" w:rsidR="00CD6352" w:rsidRPr="00821AB2" w:rsidRDefault="00CD6352" w:rsidP="00CD6352">
            <w:pPr>
              <w:rPr>
                <w:rFonts w:ascii="Arial" w:hAnsi="Arial" w:cs="Arial"/>
                <w:sz w:val="16"/>
                <w:szCs w:val="16"/>
              </w:rPr>
            </w:pPr>
            <w:r w:rsidRPr="00821AB2">
              <w:rPr>
                <w:rFonts w:ascii="Arial" w:hAnsi="Arial" w:cs="Arial"/>
                <w:sz w:val="16"/>
                <w:szCs w:val="16"/>
              </w:rPr>
              <w:t>40.5</w:t>
            </w:r>
          </w:p>
        </w:tc>
        <w:tc>
          <w:tcPr>
            <w:tcW w:w="750" w:type="dxa"/>
            <w:noWrap/>
            <w:hideMark/>
          </w:tcPr>
          <w:p w14:paraId="62188883" w14:textId="77777777" w:rsidR="00CD6352" w:rsidRPr="00821AB2" w:rsidRDefault="00CD6352" w:rsidP="00CD6352">
            <w:pPr>
              <w:rPr>
                <w:rFonts w:ascii="Arial" w:hAnsi="Arial" w:cs="Arial"/>
                <w:sz w:val="16"/>
                <w:szCs w:val="16"/>
              </w:rPr>
            </w:pPr>
            <w:r w:rsidRPr="00821AB2">
              <w:rPr>
                <w:rFonts w:ascii="Arial" w:hAnsi="Arial" w:cs="Arial"/>
                <w:sz w:val="16"/>
                <w:szCs w:val="16"/>
              </w:rPr>
              <w:t>18.9</w:t>
            </w:r>
          </w:p>
        </w:tc>
        <w:tc>
          <w:tcPr>
            <w:tcW w:w="750" w:type="dxa"/>
            <w:noWrap/>
            <w:hideMark/>
          </w:tcPr>
          <w:p w14:paraId="6239EEE4" w14:textId="77777777" w:rsidR="00CD6352" w:rsidRPr="00821AB2" w:rsidRDefault="00CD6352" w:rsidP="00CD6352">
            <w:pPr>
              <w:rPr>
                <w:rFonts w:ascii="Arial" w:hAnsi="Arial" w:cs="Arial"/>
                <w:sz w:val="16"/>
                <w:szCs w:val="16"/>
              </w:rPr>
            </w:pPr>
            <w:r w:rsidRPr="00821AB2">
              <w:rPr>
                <w:rFonts w:ascii="Arial" w:hAnsi="Arial" w:cs="Arial"/>
                <w:sz w:val="16"/>
                <w:szCs w:val="16"/>
              </w:rPr>
              <w:t>18.9</w:t>
            </w:r>
          </w:p>
        </w:tc>
      </w:tr>
    </w:tbl>
    <w:p w14:paraId="6F579D83" w14:textId="77777777" w:rsidR="00CD6352" w:rsidRDefault="00CD6352" w:rsidP="00CD6352"/>
    <w:p w14:paraId="1A806347" w14:textId="1BB79F2F" w:rsidR="009A2A29" w:rsidRDefault="009A2A29" w:rsidP="009A2A29">
      <w:pPr>
        <w:spacing w:line="360" w:lineRule="auto"/>
        <w:rPr>
          <w:rFonts w:ascii="Arial" w:hAnsi="Arial" w:cs="Arial"/>
        </w:rPr>
      </w:pPr>
      <w:r>
        <w:rPr>
          <w:rFonts w:ascii="Arial" w:hAnsi="Arial" w:cs="Arial"/>
        </w:rPr>
        <w:t xml:space="preserve">The mean score was also used to determine the </w:t>
      </w:r>
      <w:r w:rsidR="00FE1690">
        <w:rPr>
          <w:rFonts w:ascii="Arial" w:hAnsi="Arial" w:cs="Arial"/>
        </w:rPr>
        <w:t>survey respondents' ranking</w:t>
      </w:r>
      <w:r w:rsidRPr="00EA7665">
        <w:rPr>
          <w:rFonts w:ascii="Arial" w:hAnsi="Arial" w:cs="Arial"/>
        </w:rPr>
        <w:t xml:space="preserve"> o</w:t>
      </w:r>
      <w:r>
        <w:rPr>
          <w:rFonts w:ascii="Arial" w:hAnsi="Arial" w:cs="Arial"/>
        </w:rPr>
        <w:t>n</w:t>
      </w:r>
      <w:r w:rsidRPr="00EA7665">
        <w:rPr>
          <w:rFonts w:ascii="Arial" w:hAnsi="Arial" w:cs="Arial"/>
        </w:rPr>
        <w:t xml:space="preserve"> the need for training and education on their present jobs for skills for securing finance for real estate project development at the aggregate level. The data shows that the mean score ranges </w:t>
      </w:r>
      <w:r>
        <w:rPr>
          <w:rFonts w:ascii="Arial" w:hAnsi="Arial" w:cs="Arial"/>
        </w:rPr>
        <w:t>from</w:t>
      </w:r>
      <w:r w:rsidRPr="00EA7665">
        <w:rPr>
          <w:rFonts w:ascii="Arial" w:hAnsi="Arial" w:cs="Arial"/>
        </w:rPr>
        <w:t xml:space="preserve"> 4 to 3.21. This means that managers who responded to the survey </w:t>
      </w:r>
      <w:r w:rsidR="00A0748C">
        <w:rPr>
          <w:rFonts w:ascii="Arial" w:hAnsi="Arial" w:cs="Arial"/>
        </w:rPr>
        <w:t>need</w:t>
      </w:r>
      <w:r w:rsidRPr="00EA7665">
        <w:rPr>
          <w:rFonts w:ascii="Arial" w:hAnsi="Arial" w:cs="Arial"/>
        </w:rPr>
        <w:t xml:space="preserve"> training and education for all the twenty-three skills but with </w:t>
      </w:r>
      <w:r>
        <w:rPr>
          <w:rFonts w:ascii="Arial" w:hAnsi="Arial" w:cs="Arial"/>
        </w:rPr>
        <w:t xml:space="preserve">a </w:t>
      </w:r>
      <w:r w:rsidRPr="00EA7665">
        <w:rPr>
          <w:rFonts w:ascii="Arial" w:hAnsi="Arial" w:cs="Arial"/>
        </w:rPr>
        <w:t>varying degree of need</w:t>
      </w:r>
      <w:r>
        <w:rPr>
          <w:rFonts w:ascii="Arial" w:hAnsi="Arial" w:cs="Arial"/>
        </w:rPr>
        <w:t xml:space="preserve"> at the aggregate level</w:t>
      </w:r>
      <w:r w:rsidR="002A7265">
        <w:rPr>
          <w:rFonts w:ascii="Arial" w:hAnsi="Arial" w:cs="Arial"/>
        </w:rPr>
        <w:t xml:space="preserve"> (see table </w:t>
      </w:r>
      <w:r w:rsidR="00A0748C">
        <w:rPr>
          <w:rFonts w:ascii="Arial" w:hAnsi="Arial" w:cs="Arial"/>
        </w:rPr>
        <w:t>8.2.4</w:t>
      </w:r>
      <w:r w:rsidR="002A7265">
        <w:rPr>
          <w:rFonts w:ascii="Arial" w:hAnsi="Arial" w:cs="Arial"/>
        </w:rPr>
        <w:t>)</w:t>
      </w:r>
      <w:r>
        <w:rPr>
          <w:rFonts w:ascii="Arial" w:hAnsi="Arial" w:cs="Arial"/>
        </w:rPr>
        <w:t>.</w:t>
      </w:r>
    </w:p>
    <w:p w14:paraId="1D906C0F" w14:textId="660278B8" w:rsidR="00CF39B5" w:rsidRDefault="00CF39B5" w:rsidP="009A2A29">
      <w:pPr>
        <w:spacing w:line="360" w:lineRule="auto"/>
        <w:rPr>
          <w:rFonts w:ascii="Arial" w:hAnsi="Arial" w:cs="Arial"/>
        </w:rPr>
      </w:pPr>
    </w:p>
    <w:p w14:paraId="07DE1CD0" w14:textId="77777777" w:rsidR="00CF39B5" w:rsidRPr="00EA7665" w:rsidRDefault="00CF39B5" w:rsidP="009A2A29">
      <w:pPr>
        <w:spacing w:line="360" w:lineRule="auto"/>
      </w:pPr>
    </w:p>
    <w:p w14:paraId="16D3907C" w14:textId="7624F905" w:rsidR="00A0748C" w:rsidRPr="00524241" w:rsidRDefault="00A0748C" w:rsidP="00A0748C">
      <w:pPr>
        <w:pStyle w:val="Caption"/>
        <w:keepNext/>
        <w:rPr>
          <w:rFonts w:ascii="Arial" w:hAnsi="Arial" w:cs="Arial"/>
          <w:i w:val="0"/>
          <w:iCs w:val="0"/>
          <w:sz w:val="16"/>
          <w:szCs w:val="16"/>
        </w:rPr>
      </w:pPr>
      <w:bookmarkStart w:id="1318" w:name="_Toc78984000"/>
      <w:r>
        <w:lastRenderedPageBreak/>
        <w:t xml:space="preserve">Table </w:t>
      </w:r>
      <w:fldSimple w:instr=" STYLEREF 2 \s ">
        <w:r w:rsidR="008F25B1">
          <w:rPr>
            <w:noProof/>
          </w:rPr>
          <w:t>8.2</w:t>
        </w:r>
      </w:fldSimple>
      <w:r w:rsidR="008F25B1">
        <w:noBreakHyphen/>
      </w:r>
      <w:fldSimple w:instr=" SEQ Table \* ARABIC \s 2 ">
        <w:r w:rsidR="008F25B1">
          <w:rPr>
            <w:noProof/>
          </w:rPr>
          <w:t>4</w:t>
        </w:r>
      </w:fldSimple>
      <w:r>
        <w:t xml:space="preserve">: </w:t>
      </w:r>
      <w:r w:rsidRPr="00524241">
        <w:rPr>
          <w:rFonts w:ascii="Arial" w:hAnsi="Arial" w:cs="Arial"/>
          <w:i w:val="0"/>
          <w:iCs w:val="0"/>
          <w:sz w:val="16"/>
          <w:szCs w:val="16"/>
        </w:rPr>
        <w:t>Mean scores for Degree of need for training and education for management skills for securing finance for real estate project development. at the aggregate level</w:t>
      </w:r>
      <w:bookmarkEnd w:id="1318"/>
    </w:p>
    <w:tbl>
      <w:tblPr>
        <w:tblStyle w:val="TableGrid"/>
        <w:tblW w:w="0" w:type="auto"/>
        <w:tblLook w:val="04A0" w:firstRow="1" w:lastRow="0" w:firstColumn="1" w:lastColumn="0" w:noHBand="0" w:noVBand="1"/>
      </w:tblPr>
      <w:tblGrid>
        <w:gridCol w:w="6543"/>
        <w:gridCol w:w="1100"/>
        <w:gridCol w:w="980"/>
      </w:tblGrid>
      <w:tr w:rsidR="00CD6352" w:rsidRPr="00FA6B6C" w14:paraId="1069291C" w14:textId="77777777" w:rsidTr="00CD6352">
        <w:trPr>
          <w:trHeight w:val="300"/>
        </w:trPr>
        <w:tc>
          <w:tcPr>
            <w:tcW w:w="6543" w:type="dxa"/>
            <w:noWrap/>
            <w:hideMark/>
          </w:tcPr>
          <w:p w14:paraId="17DD2666" w14:textId="77777777" w:rsidR="00CD6352" w:rsidRPr="00FA6B6C" w:rsidRDefault="00CD6352" w:rsidP="00CD6352">
            <w:pPr>
              <w:rPr>
                <w:rFonts w:ascii="Arial" w:hAnsi="Arial" w:cs="Arial"/>
                <w:sz w:val="16"/>
                <w:szCs w:val="16"/>
              </w:rPr>
            </w:pPr>
            <w:r w:rsidRPr="00FA6B6C">
              <w:rPr>
                <w:rFonts w:ascii="Arial" w:hAnsi="Arial" w:cs="Arial"/>
                <w:sz w:val="16"/>
                <w:szCs w:val="16"/>
              </w:rPr>
              <w:t> Skills</w:t>
            </w:r>
          </w:p>
        </w:tc>
        <w:tc>
          <w:tcPr>
            <w:tcW w:w="1100" w:type="dxa"/>
            <w:noWrap/>
            <w:hideMark/>
          </w:tcPr>
          <w:p w14:paraId="1A16DF83" w14:textId="77777777" w:rsidR="00CD6352" w:rsidRPr="00FA6B6C" w:rsidRDefault="00CD6352" w:rsidP="00CD6352">
            <w:pPr>
              <w:rPr>
                <w:rFonts w:ascii="Arial" w:hAnsi="Arial" w:cs="Arial"/>
                <w:sz w:val="16"/>
                <w:szCs w:val="16"/>
              </w:rPr>
            </w:pPr>
            <w:r w:rsidRPr="00FA6B6C">
              <w:rPr>
                <w:rFonts w:ascii="Arial" w:hAnsi="Arial" w:cs="Arial"/>
                <w:sz w:val="16"/>
                <w:szCs w:val="16"/>
              </w:rPr>
              <w:t>Mean score</w:t>
            </w:r>
          </w:p>
          <w:p w14:paraId="7A8970DD" w14:textId="77777777" w:rsidR="00CD6352" w:rsidRPr="00FA6B6C" w:rsidRDefault="00CD6352" w:rsidP="00CD6352">
            <w:pPr>
              <w:rPr>
                <w:rFonts w:ascii="Arial" w:hAnsi="Arial" w:cs="Arial"/>
                <w:sz w:val="16"/>
                <w:szCs w:val="16"/>
              </w:rPr>
            </w:pPr>
            <w:r w:rsidRPr="00FA6B6C">
              <w:rPr>
                <w:rFonts w:ascii="Arial" w:hAnsi="Arial" w:cs="Arial"/>
                <w:sz w:val="16"/>
                <w:szCs w:val="16"/>
              </w:rPr>
              <w:t>N=81</w:t>
            </w:r>
          </w:p>
        </w:tc>
        <w:tc>
          <w:tcPr>
            <w:tcW w:w="980" w:type="dxa"/>
            <w:noWrap/>
            <w:hideMark/>
          </w:tcPr>
          <w:p w14:paraId="05BBCB0B" w14:textId="77777777" w:rsidR="00CD6352" w:rsidRPr="00FA6B6C" w:rsidRDefault="00CD6352" w:rsidP="00CD6352">
            <w:pPr>
              <w:rPr>
                <w:rFonts w:ascii="Arial" w:hAnsi="Arial" w:cs="Arial"/>
                <w:sz w:val="16"/>
                <w:szCs w:val="16"/>
              </w:rPr>
            </w:pPr>
            <w:r w:rsidRPr="00FA6B6C">
              <w:rPr>
                <w:rFonts w:ascii="Arial" w:hAnsi="Arial" w:cs="Arial"/>
                <w:sz w:val="16"/>
                <w:szCs w:val="16"/>
              </w:rPr>
              <w:t>Rank</w:t>
            </w:r>
          </w:p>
        </w:tc>
      </w:tr>
      <w:tr w:rsidR="00CD6352" w:rsidRPr="00FA6B6C" w14:paraId="3214BC67" w14:textId="77777777" w:rsidTr="00CD6352">
        <w:trPr>
          <w:trHeight w:val="300"/>
        </w:trPr>
        <w:tc>
          <w:tcPr>
            <w:tcW w:w="6543" w:type="dxa"/>
            <w:noWrap/>
            <w:hideMark/>
          </w:tcPr>
          <w:p w14:paraId="2D5ACEEC" w14:textId="77777777" w:rsidR="00CD6352" w:rsidRPr="00FA6B6C" w:rsidRDefault="00CD6352" w:rsidP="00CD6352">
            <w:pPr>
              <w:rPr>
                <w:rFonts w:ascii="Arial" w:hAnsi="Arial" w:cs="Arial"/>
                <w:sz w:val="16"/>
                <w:szCs w:val="16"/>
              </w:rPr>
            </w:pPr>
            <w:r w:rsidRPr="00FA6B6C">
              <w:rPr>
                <w:rFonts w:ascii="Arial" w:hAnsi="Arial" w:cs="Arial"/>
                <w:sz w:val="16"/>
                <w:szCs w:val="16"/>
              </w:rPr>
              <w:t>Teamwork</w:t>
            </w:r>
          </w:p>
        </w:tc>
        <w:tc>
          <w:tcPr>
            <w:tcW w:w="1100" w:type="dxa"/>
            <w:noWrap/>
            <w:hideMark/>
          </w:tcPr>
          <w:p w14:paraId="0FC0EC9C" w14:textId="77777777" w:rsidR="00CD6352" w:rsidRPr="00FA6B6C" w:rsidRDefault="00CD6352" w:rsidP="00CD6352">
            <w:pPr>
              <w:rPr>
                <w:rFonts w:ascii="Arial" w:hAnsi="Arial" w:cs="Arial"/>
                <w:sz w:val="16"/>
                <w:szCs w:val="16"/>
              </w:rPr>
            </w:pPr>
            <w:r w:rsidRPr="00FA6B6C">
              <w:rPr>
                <w:rFonts w:ascii="Arial" w:hAnsi="Arial" w:cs="Arial"/>
                <w:sz w:val="16"/>
                <w:szCs w:val="16"/>
              </w:rPr>
              <w:t>4</w:t>
            </w:r>
          </w:p>
        </w:tc>
        <w:tc>
          <w:tcPr>
            <w:tcW w:w="980" w:type="dxa"/>
            <w:noWrap/>
            <w:hideMark/>
          </w:tcPr>
          <w:p w14:paraId="7741CAF9" w14:textId="77777777" w:rsidR="00CD6352" w:rsidRPr="00FA6B6C" w:rsidRDefault="00CD6352" w:rsidP="00CD6352">
            <w:pPr>
              <w:rPr>
                <w:rFonts w:ascii="Arial" w:hAnsi="Arial" w:cs="Arial"/>
                <w:sz w:val="16"/>
                <w:szCs w:val="16"/>
              </w:rPr>
            </w:pPr>
            <w:r w:rsidRPr="00FA6B6C">
              <w:rPr>
                <w:rFonts w:ascii="Arial" w:hAnsi="Arial" w:cs="Arial"/>
                <w:sz w:val="16"/>
                <w:szCs w:val="16"/>
              </w:rPr>
              <w:t>1</w:t>
            </w:r>
          </w:p>
        </w:tc>
      </w:tr>
      <w:tr w:rsidR="00CD6352" w:rsidRPr="00FA6B6C" w14:paraId="39B5D7D8" w14:textId="77777777" w:rsidTr="00CD6352">
        <w:trPr>
          <w:trHeight w:val="300"/>
        </w:trPr>
        <w:tc>
          <w:tcPr>
            <w:tcW w:w="6543" w:type="dxa"/>
            <w:noWrap/>
            <w:hideMark/>
          </w:tcPr>
          <w:p w14:paraId="608C7E54" w14:textId="77777777" w:rsidR="00CD6352" w:rsidRPr="00FA6B6C" w:rsidRDefault="00CD6352" w:rsidP="00CD6352">
            <w:pPr>
              <w:rPr>
                <w:rFonts w:ascii="Arial" w:hAnsi="Arial" w:cs="Arial"/>
                <w:sz w:val="16"/>
                <w:szCs w:val="16"/>
              </w:rPr>
            </w:pPr>
            <w:r w:rsidRPr="00FA6B6C">
              <w:rPr>
                <w:rFonts w:ascii="Arial" w:hAnsi="Arial" w:cs="Arial"/>
                <w:sz w:val="16"/>
                <w:szCs w:val="16"/>
              </w:rPr>
              <w:t>Strategic planning</w:t>
            </w:r>
          </w:p>
        </w:tc>
        <w:tc>
          <w:tcPr>
            <w:tcW w:w="1100" w:type="dxa"/>
            <w:noWrap/>
            <w:hideMark/>
          </w:tcPr>
          <w:p w14:paraId="08D73E3A" w14:textId="77777777" w:rsidR="00CD6352" w:rsidRPr="00FA6B6C" w:rsidRDefault="00CD6352" w:rsidP="00CD6352">
            <w:pPr>
              <w:rPr>
                <w:rFonts w:ascii="Arial" w:hAnsi="Arial" w:cs="Arial"/>
                <w:sz w:val="16"/>
                <w:szCs w:val="16"/>
              </w:rPr>
            </w:pPr>
            <w:r w:rsidRPr="00FA6B6C">
              <w:rPr>
                <w:rFonts w:ascii="Arial" w:hAnsi="Arial" w:cs="Arial"/>
                <w:sz w:val="16"/>
                <w:szCs w:val="16"/>
              </w:rPr>
              <w:t>3.9</w:t>
            </w:r>
          </w:p>
        </w:tc>
        <w:tc>
          <w:tcPr>
            <w:tcW w:w="980" w:type="dxa"/>
            <w:noWrap/>
            <w:hideMark/>
          </w:tcPr>
          <w:p w14:paraId="447AE527" w14:textId="77777777" w:rsidR="00CD6352" w:rsidRPr="00FA6B6C" w:rsidRDefault="00CD6352" w:rsidP="00CD6352">
            <w:pPr>
              <w:rPr>
                <w:rFonts w:ascii="Arial" w:hAnsi="Arial" w:cs="Arial"/>
                <w:sz w:val="16"/>
                <w:szCs w:val="16"/>
              </w:rPr>
            </w:pPr>
            <w:r w:rsidRPr="00FA6B6C">
              <w:rPr>
                <w:rFonts w:ascii="Arial" w:hAnsi="Arial" w:cs="Arial"/>
                <w:sz w:val="16"/>
                <w:szCs w:val="16"/>
              </w:rPr>
              <w:t>2</w:t>
            </w:r>
          </w:p>
        </w:tc>
      </w:tr>
      <w:tr w:rsidR="00CD6352" w:rsidRPr="00FA6B6C" w14:paraId="21CB175A" w14:textId="77777777" w:rsidTr="00CD6352">
        <w:trPr>
          <w:trHeight w:val="300"/>
        </w:trPr>
        <w:tc>
          <w:tcPr>
            <w:tcW w:w="6543" w:type="dxa"/>
            <w:noWrap/>
            <w:hideMark/>
          </w:tcPr>
          <w:p w14:paraId="102648AC" w14:textId="77777777" w:rsidR="00CD6352" w:rsidRPr="00FA6B6C" w:rsidRDefault="00CD6352" w:rsidP="00CD6352">
            <w:pPr>
              <w:rPr>
                <w:rFonts w:ascii="Arial" w:hAnsi="Arial" w:cs="Arial"/>
                <w:sz w:val="16"/>
                <w:szCs w:val="16"/>
              </w:rPr>
            </w:pPr>
            <w:r w:rsidRPr="00FA6B6C">
              <w:rPr>
                <w:rFonts w:ascii="Arial" w:hAnsi="Arial" w:cs="Arial"/>
                <w:sz w:val="16"/>
                <w:szCs w:val="16"/>
              </w:rPr>
              <w:t>Planning and control</w:t>
            </w:r>
          </w:p>
        </w:tc>
        <w:tc>
          <w:tcPr>
            <w:tcW w:w="1100" w:type="dxa"/>
            <w:noWrap/>
            <w:hideMark/>
          </w:tcPr>
          <w:p w14:paraId="27BEA1BD" w14:textId="77777777" w:rsidR="00CD6352" w:rsidRPr="00FA6B6C" w:rsidRDefault="00CD6352" w:rsidP="00CD6352">
            <w:pPr>
              <w:rPr>
                <w:rFonts w:ascii="Arial" w:hAnsi="Arial" w:cs="Arial"/>
                <w:sz w:val="16"/>
                <w:szCs w:val="16"/>
              </w:rPr>
            </w:pPr>
            <w:r w:rsidRPr="00FA6B6C">
              <w:rPr>
                <w:rFonts w:ascii="Arial" w:hAnsi="Arial" w:cs="Arial"/>
                <w:sz w:val="16"/>
                <w:szCs w:val="16"/>
              </w:rPr>
              <w:t>3.87</w:t>
            </w:r>
          </w:p>
        </w:tc>
        <w:tc>
          <w:tcPr>
            <w:tcW w:w="980" w:type="dxa"/>
            <w:noWrap/>
            <w:hideMark/>
          </w:tcPr>
          <w:p w14:paraId="574F8C6D" w14:textId="77777777" w:rsidR="00CD6352" w:rsidRPr="00FA6B6C" w:rsidRDefault="00CD6352" w:rsidP="00CD6352">
            <w:pPr>
              <w:rPr>
                <w:rFonts w:ascii="Arial" w:hAnsi="Arial" w:cs="Arial"/>
                <w:sz w:val="16"/>
                <w:szCs w:val="16"/>
              </w:rPr>
            </w:pPr>
            <w:r w:rsidRPr="00FA6B6C">
              <w:rPr>
                <w:rFonts w:ascii="Arial" w:hAnsi="Arial" w:cs="Arial"/>
                <w:sz w:val="16"/>
                <w:szCs w:val="16"/>
              </w:rPr>
              <w:t>3</w:t>
            </w:r>
          </w:p>
        </w:tc>
      </w:tr>
      <w:tr w:rsidR="00CD6352" w:rsidRPr="00FA6B6C" w14:paraId="2C9878E2" w14:textId="77777777" w:rsidTr="00CD6352">
        <w:trPr>
          <w:trHeight w:val="300"/>
        </w:trPr>
        <w:tc>
          <w:tcPr>
            <w:tcW w:w="6543" w:type="dxa"/>
            <w:noWrap/>
            <w:hideMark/>
          </w:tcPr>
          <w:p w14:paraId="074BA4CD" w14:textId="77777777" w:rsidR="00CD6352" w:rsidRPr="00FA6B6C" w:rsidRDefault="00CD6352" w:rsidP="00CD6352">
            <w:pPr>
              <w:rPr>
                <w:rFonts w:ascii="Arial" w:hAnsi="Arial" w:cs="Arial"/>
                <w:sz w:val="16"/>
                <w:szCs w:val="16"/>
              </w:rPr>
            </w:pPr>
            <w:r w:rsidRPr="00FA6B6C">
              <w:rPr>
                <w:rFonts w:ascii="Arial" w:hAnsi="Arial" w:cs="Arial"/>
                <w:sz w:val="16"/>
                <w:szCs w:val="16"/>
              </w:rPr>
              <w:t>Analytical skill</w:t>
            </w:r>
          </w:p>
        </w:tc>
        <w:tc>
          <w:tcPr>
            <w:tcW w:w="1100" w:type="dxa"/>
            <w:noWrap/>
            <w:hideMark/>
          </w:tcPr>
          <w:p w14:paraId="7BFDFC6C" w14:textId="77777777" w:rsidR="00CD6352" w:rsidRPr="00FA6B6C" w:rsidRDefault="00CD6352" w:rsidP="00CD6352">
            <w:pPr>
              <w:rPr>
                <w:rFonts w:ascii="Arial" w:hAnsi="Arial" w:cs="Arial"/>
                <w:sz w:val="16"/>
                <w:szCs w:val="16"/>
              </w:rPr>
            </w:pPr>
            <w:r w:rsidRPr="00FA6B6C">
              <w:rPr>
                <w:rFonts w:ascii="Arial" w:hAnsi="Arial" w:cs="Arial"/>
                <w:sz w:val="16"/>
                <w:szCs w:val="16"/>
              </w:rPr>
              <w:t>3.81</w:t>
            </w:r>
          </w:p>
        </w:tc>
        <w:tc>
          <w:tcPr>
            <w:tcW w:w="980" w:type="dxa"/>
            <w:noWrap/>
            <w:hideMark/>
          </w:tcPr>
          <w:p w14:paraId="59C9C507" w14:textId="77777777" w:rsidR="00CD6352" w:rsidRPr="00FA6B6C" w:rsidRDefault="00CD6352" w:rsidP="00CD6352">
            <w:pPr>
              <w:rPr>
                <w:rFonts w:ascii="Arial" w:hAnsi="Arial" w:cs="Arial"/>
                <w:sz w:val="16"/>
                <w:szCs w:val="16"/>
              </w:rPr>
            </w:pPr>
            <w:r w:rsidRPr="00FA6B6C">
              <w:rPr>
                <w:rFonts w:ascii="Arial" w:hAnsi="Arial" w:cs="Arial"/>
                <w:sz w:val="16"/>
                <w:szCs w:val="16"/>
              </w:rPr>
              <w:t>4</w:t>
            </w:r>
          </w:p>
        </w:tc>
      </w:tr>
      <w:tr w:rsidR="00CD6352" w:rsidRPr="00FA6B6C" w14:paraId="32A9E6F6" w14:textId="77777777" w:rsidTr="00CD6352">
        <w:trPr>
          <w:trHeight w:val="300"/>
        </w:trPr>
        <w:tc>
          <w:tcPr>
            <w:tcW w:w="6543" w:type="dxa"/>
            <w:noWrap/>
            <w:hideMark/>
          </w:tcPr>
          <w:p w14:paraId="706239AF" w14:textId="77777777" w:rsidR="00CD6352" w:rsidRPr="00FA6B6C" w:rsidRDefault="00CD6352" w:rsidP="00CD6352">
            <w:pPr>
              <w:rPr>
                <w:rFonts w:ascii="Arial" w:hAnsi="Arial" w:cs="Arial"/>
                <w:sz w:val="16"/>
                <w:szCs w:val="16"/>
              </w:rPr>
            </w:pPr>
            <w:r w:rsidRPr="00FA6B6C">
              <w:rPr>
                <w:rFonts w:ascii="Arial" w:hAnsi="Arial" w:cs="Arial"/>
                <w:sz w:val="16"/>
                <w:szCs w:val="16"/>
              </w:rPr>
              <w:t>Leadership skill</w:t>
            </w:r>
          </w:p>
        </w:tc>
        <w:tc>
          <w:tcPr>
            <w:tcW w:w="1100" w:type="dxa"/>
            <w:noWrap/>
            <w:hideMark/>
          </w:tcPr>
          <w:p w14:paraId="034BE8A3" w14:textId="77777777" w:rsidR="00CD6352" w:rsidRPr="00FA6B6C" w:rsidRDefault="00CD6352" w:rsidP="00CD6352">
            <w:pPr>
              <w:rPr>
                <w:rFonts w:ascii="Arial" w:hAnsi="Arial" w:cs="Arial"/>
                <w:sz w:val="16"/>
                <w:szCs w:val="16"/>
              </w:rPr>
            </w:pPr>
            <w:r w:rsidRPr="00FA6B6C">
              <w:rPr>
                <w:rFonts w:ascii="Arial" w:hAnsi="Arial" w:cs="Arial"/>
                <w:sz w:val="16"/>
                <w:szCs w:val="16"/>
              </w:rPr>
              <w:t>3.79</w:t>
            </w:r>
          </w:p>
        </w:tc>
        <w:tc>
          <w:tcPr>
            <w:tcW w:w="980" w:type="dxa"/>
            <w:noWrap/>
            <w:hideMark/>
          </w:tcPr>
          <w:p w14:paraId="122864A6" w14:textId="77777777" w:rsidR="00CD6352" w:rsidRPr="00FA6B6C" w:rsidRDefault="00CD6352" w:rsidP="00CD6352">
            <w:pPr>
              <w:rPr>
                <w:rFonts w:ascii="Arial" w:hAnsi="Arial" w:cs="Arial"/>
                <w:sz w:val="16"/>
                <w:szCs w:val="16"/>
              </w:rPr>
            </w:pPr>
            <w:r w:rsidRPr="00FA6B6C">
              <w:rPr>
                <w:rFonts w:ascii="Arial" w:hAnsi="Arial" w:cs="Arial"/>
                <w:sz w:val="16"/>
                <w:szCs w:val="16"/>
              </w:rPr>
              <w:t>5</w:t>
            </w:r>
          </w:p>
        </w:tc>
      </w:tr>
      <w:tr w:rsidR="00CD6352" w:rsidRPr="00FA6B6C" w14:paraId="21E6EE2C" w14:textId="77777777" w:rsidTr="00CD6352">
        <w:trPr>
          <w:trHeight w:val="300"/>
        </w:trPr>
        <w:tc>
          <w:tcPr>
            <w:tcW w:w="6543" w:type="dxa"/>
            <w:noWrap/>
            <w:hideMark/>
          </w:tcPr>
          <w:p w14:paraId="3B0E2DC1" w14:textId="77777777" w:rsidR="00CD6352" w:rsidRPr="00FA6B6C" w:rsidRDefault="00CD6352" w:rsidP="00CD6352">
            <w:pPr>
              <w:rPr>
                <w:rFonts w:ascii="Arial" w:hAnsi="Arial" w:cs="Arial"/>
                <w:sz w:val="16"/>
                <w:szCs w:val="16"/>
              </w:rPr>
            </w:pPr>
            <w:r w:rsidRPr="00FA6B6C">
              <w:rPr>
                <w:rFonts w:ascii="Arial" w:hAnsi="Arial" w:cs="Arial"/>
                <w:sz w:val="16"/>
                <w:szCs w:val="16"/>
              </w:rPr>
              <w:t>Developing confidence &amp; building relationships</w:t>
            </w:r>
          </w:p>
        </w:tc>
        <w:tc>
          <w:tcPr>
            <w:tcW w:w="1100" w:type="dxa"/>
            <w:noWrap/>
            <w:hideMark/>
          </w:tcPr>
          <w:p w14:paraId="29FE1C68" w14:textId="77777777" w:rsidR="00CD6352" w:rsidRPr="00FA6B6C" w:rsidRDefault="00CD6352" w:rsidP="00CD6352">
            <w:pPr>
              <w:rPr>
                <w:rFonts w:ascii="Arial" w:hAnsi="Arial" w:cs="Arial"/>
                <w:sz w:val="16"/>
                <w:szCs w:val="16"/>
              </w:rPr>
            </w:pPr>
            <w:r w:rsidRPr="00FA6B6C">
              <w:rPr>
                <w:rFonts w:ascii="Arial" w:hAnsi="Arial" w:cs="Arial"/>
                <w:sz w:val="16"/>
                <w:szCs w:val="16"/>
              </w:rPr>
              <w:t>3.78</w:t>
            </w:r>
          </w:p>
        </w:tc>
        <w:tc>
          <w:tcPr>
            <w:tcW w:w="980" w:type="dxa"/>
            <w:noWrap/>
            <w:hideMark/>
          </w:tcPr>
          <w:p w14:paraId="14948CB6" w14:textId="77777777" w:rsidR="00CD6352" w:rsidRPr="00FA6B6C" w:rsidRDefault="00CD6352" w:rsidP="00CD6352">
            <w:pPr>
              <w:rPr>
                <w:rFonts w:ascii="Arial" w:hAnsi="Arial" w:cs="Arial"/>
                <w:sz w:val="16"/>
                <w:szCs w:val="16"/>
              </w:rPr>
            </w:pPr>
            <w:r w:rsidRPr="00FA6B6C">
              <w:rPr>
                <w:rFonts w:ascii="Arial" w:hAnsi="Arial" w:cs="Arial"/>
                <w:sz w:val="16"/>
                <w:szCs w:val="16"/>
              </w:rPr>
              <w:t>6</w:t>
            </w:r>
          </w:p>
        </w:tc>
      </w:tr>
      <w:tr w:rsidR="00CD6352" w:rsidRPr="00FA6B6C" w14:paraId="6ACCC8D2" w14:textId="77777777" w:rsidTr="00CD6352">
        <w:trPr>
          <w:trHeight w:val="300"/>
        </w:trPr>
        <w:tc>
          <w:tcPr>
            <w:tcW w:w="6543" w:type="dxa"/>
            <w:noWrap/>
            <w:hideMark/>
          </w:tcPr>
          <w:p w14:paraId="334BCF79" w14:textId="77777777" w:rsidR="00CD6352" w:rsidRPr="00FA6B6C" w:rsidRDefault="00CD6352" w:rsidP="00CD6352">
            <w:pPr>
              <w:rPr>
                <w:rFonts w:ascii="Arial" w:hAnsi="Arial" w:cs="Arial"/>
                <w:sz w:val="16"/>
                <w:szCs w:val="16"/>
              </w:rPr>
            </w:pPr>
            <w:r w:rsidRPr="00FA6B6C">
              <w:rPr>
                <w:rFonts w:ascii="Arial" w:hAnsi="Arial" w:cs="Arial"/>
                <w:sz w:val="16"/>
                <w:szCs w:val="16"/>
              </w:rPr>
              <w:t>Commercial awareness</w:t>
            </w:r>
          </w:p>
        </w:tc>
        <w:tc>
          <w:tcPr>
            <w:tcW w:w="1100" w:type="dxa"/>
            <w:noWrap/>
            <w:hideMark/>
          </w:tcPr>
          <w:p w14:paraId="7E63255A" w14:textId="77777777" w:rsidR="00CD6352" w:rsidRPr="00FA6B6C" w:rsidRDefault="00CD6352" w:rsidP="00CD6352">
            <w:pPr>
              <w:rPr>
                <w:rFonts w:ascii="Arial" w:hAnsi="Arial" w:cs="Arial"/>
                <w:sz w:val="16"/>
                <w:szCs w:val="16"/>
              </w:rPr>
            </w:pPr>
            <w:r w:rsidRPr="00FA6B6C">
              <w:rPr>
                <w:rFonts w:ascii="Arial" w:hAnsi="Arial" w:cs="Arial"/>
                <w:sz w:val="16"/>
                <w:szCs w:val="16"/>
              </w:rPr>
              <w:t>3.75</w:t>
            </w:r>
          </w:p>
        </w:tc>
        <w:tc>
          <w:tcPr>
            <w:tcW w:w="980" w:type="dxa"/>
            <w:noWrap/>
            <w:hideMark/>
          </w:tcPr>
          <w:p w14:paraId="3C9CEA14" w14:textId="77777777" w:rsidR="00CD6352" w:rsidRPr="00FA6B6C" w:rsidRDefault="00CD6352" w:rsidP="00CD6352">
            <w:pPr>
              <w:rPr>
                <w:rFonts w:ascii="Arial" w:hAnsi="Arial" w:cs="Arial"/>
                <w:sz w:val="16"/>
                <w:szCs w:val="16"/>
              </w:rPr>
            </w:pPr>
            <w:r w:rsidRPr="00FA6B6C">
              <w:rPr>
                <w:rFonts w:ascii="Arial" w:hAnsi="Arial" w:cs="Arial"/>
                <w:sz w:val="16"/>
                <w:szCs w:val="16"/>
              </w:rPr>
              <w:t>7</w:t>
            </w:r>
          </w:p>
        </w:tc>
      </w:tr>
      <w:tr w:rsidR="00CD6352" w:rsidRPr="00FA6B6C" w14:paraId="41DA9A7D" w14:textId="77777777" w:rsidTr="00CD6352">
        <w:trPr>
          <w:trHeight w:val="300"/>
        </w:trPr>
        <w:tc>
          <w:tcPr>
            <w:tcW w:w="6543" w:type="dxa"/>
            <w:noWrap/>
            <w:hideMark/>
          </w:tcPr>
          <w:p w14:paraId="4D410C09" w14:textId="77777777" w:rsidR="00CD6352" w:rsidRPr="00FA6B6C" w:rsidRDefault="00CD6352" w:rsidP="00CD6352">
            <w:pPr>
              <w:rPr>
                <w:rFonts w:ascii="Arial" w:hAnsi="Arial" w:cs="Arial"/>
                <w:sz w:val="16"/>
                <w:szCs w:val="16"/>
              </w:rPr>
            </w:pPr>
            <w:r w:rsidRPr="00FA6B6C">
              <w:rPr>
                <w:rFonts w:ascii="Arial" w:hAnsi="Arial" w:cs="Arial"/>
                <w:sz w:val="16"/>
                <w:szCs w:val="16"/>
              </w:rPr>
              <w:t>Negotiation</w:t>
            </w:r>
          </w:p>
        </w:tc>
        <w:tc>
          <w:tcPr>
            <w:tcW w:w="1100" w:type="dxa"/>
            <w:noWrap/>
            <w:hideMark/>
          </w:tcPr>
          <w:p w14:paraId="537796E6" w14:textId="77777777" w:rsidR="00CD6352" w:rsidRPr="00FA6B6C" w:rsidRDefault="00CD6352" w:rsidP="00CD6352">
            <w:pPr>
              <w:rPr>
                <w:rFonts w:ascii="Arial" w:hAnsi="Arial" w:cs="Arial"/>
                <w:sz w:val="16"/>
                <w:szCs w:val="16"/>
              </w:rPr>
            </w:pPr>
            <w:r w:rsidRPr="00FA6B6C">
              <w:rPr>
                <w:rFonts w:ascii="Arial" w:hAnsi="Arial" w:cs="Arial"/>
                <w:sz w:val="16"/>
                <w:szCs w:val="16"/>
              </w:rPr>
              <w:t>3.74</w:t>
            </w:r>
          </w:p>
        </w:tc>
        <w:tc>
          <w:tcPr>
            <w:tcW w:w="980" w:type="dxa"/>
            <w:noWrap/>
            <w:hideMark/>
          </w:tcPr>
          <w:p w14:paraId="2DE4E965" w14:textId="77777777" w:rsidR="00CD6352" w:rsidRPr="00FA6B6C" w:rsidRDefault="00CD6352" w:rsidP="00CD6352">
            <w:pPr>
              <w:rPr>
                <w:rFonts w:ascii="Arial" w:hAnsi="Arial" w:cs="Arial"/>
                <w:sz w:val="16"/>
                <w:szCs w:val="16"/>
              </w:rPr>
            </w:pPr>
            <w:r w:rsidRPr="00FA6B6C">
              <w:rPr>
                <w:rFonts w:ascii="Arial" w:hAnsi="Arial" w:cs="Arial"/>
                <w:sz w:val="16"/>
                <w:szCs w:val="16"/>
              </w:rPr>
              <w:t>8</w:t>
            </w:r>
          </w:p>
        </w:tc>
      </w:tr>
      <w:tr w:rsidR="00CD6352" w:rsidRPr="00FA6B6C" w14:paraId="20C3B1EB" w14:textId="77777777" w:rsidTr="00CD6352">
        <w:trPr>
          <w:trHeight w:val="300"/>
        </w:trPr>
        <w:tc>
          <w:tcPr>
            <w:tcW w:w="6543" w:type="dxa"/>
            <w:noWrap/>
            <w:hideMark/>
          </w:tcPr>
          <w:p w14:paraId="7A657C3B" w14:textId="77777777" w:rsidR="00CD6352" w:rsidRPr="00FA6B6C" w:rsidRDefault="00CD6352" w:rsidP="00CD6352">
            <w:pPr>
              <w:rPr>
                <w:rFonts w:ascii="Arial" w:hAnsi="Arial" w:cs="Arial"/>
                <w:sz w:val="16"/>
                <w:szCs w:val="16"/>
              </w:rPr>
            </w:pPr>
            <w:r w:rsidRPr="00FA6B6C">
              <w:rPr>
                <w:rFonts w:ascii="Arial" w:hAnsi="Arial" w:cs="Arial"/>
                <w:sz w:val="16"/>
                <w:szCs w:val="16"/>
              </w:rPr>
              <w:t>Financial management approach analysis</w:t>
            </w:r>
          </w:p>
        </w:tc>
        <w:tc>
          <w:tcPr>
            <w:tcW w:w="1100" w:type="dxa"/>
            <w:noWrap/>
            <w:hideMark/>
          </w:tcPr>
          <w:p w14:paraId="225BE6EF" w14:textId="77777777" w:rsidR="00CD6352" w:rsidRPr="00FA6B6C" w:rsidRDefault="00CD6352" w:rsidP="00CD6352">
            <w:pPr>
              <w:rPr>
                <w:rFonts w:ascii="Arial" w:hAnsi="Arial" w:cs="Arial"/>
                <w:sz w:val="16"/>
                <w:szCs w:val="16"/>
              </w:rPr>
            </w:pPr>
            <w:r w:rsidRPr="00FA6B6C">
              <w:rPr>
                <w:rFonts w:ascii="Arial" w:hAnsi="Arial" w:cs="Arial"/>
                <w:sz w:val="16"/>
                <w:szCs w:val="16"/>
              </w:rPr>
              <w:t>3.72</w:t>
            </w:r>
          </w:p>
        </w:tc>
        <w:tc>
          <w:tcPr>
            <w:tcW w:w="980" w:type="dxa"/>
            <w:noWrap/>
            <w:hideMark/>
          </w:tcPr>
          <w:p w14:paraId="3AB73046" w14:textId="77777777" w:rsidR="00CD6352" w:rsidRPr="00FA6B6C" w:rsidRDefault="00CD6352" w:rsidP="00CD6352">
            <w:pPr>
              <w:rPr>
                <w:rFonts w:ascii="Arial" w:hAnsi="Arial" w:cs="Arial"/>
                <w:sz w:val="16"/>
                <w:szCs w:val="16"/>
              </w:rPr>
            </w:pPr>
            <w:r w:rsidRPr="00FA6B6C">
              <w:rPr>
                <w:rFonts w:ascii="Arial" w:hAnsi="Arial" w:cs="Arial"/>
                <w:sz w:val="16"/>
                <w:szCs w:val="16"/>
              </w:rPr>
              <w:t>9</w:t>
            </w:r>
          </w:p>
        </w:tc>
      </w:tr>
      <w:tr w:rsidR="00CD6352" w:rsidRPr="00FA6B6C" w14:paraId="4766FCDE" w14:textId="77777777" w:rsidTr="00CD6352">
        <w:trPr>
          <w:trHeight w:val="300"/>
        </w:trPr>
        <w:tc>
          <w:tcPr>
            <w:tcW w:w="6543" w:type="dxa"/>
            <w:noWrap/>
            <w:hideMark/>
          </w:tcPr>
          <w:p w14:paraId="0E8D3899" w14:textId="77777777" w:rsidR="00CD6352" w:rsidRPr="00FA6B6C" w:rsidRDefault="00CD6352" w:rsidP="00CD6352">
            <w:pPr>
              <w:rPr>
                <w:rFonts w:ascii="Arial" w:hAnsi="Arial" w:cs="Arial"/>
                <w:sz w:val="16"/>
                <w:szCs w:val="16"/>
              </w:rPr>
            </w:pPr>
            <w:r w:rsidRPr="00FA6B6C">
              <w:rPr>
                <w:rFonts w:ascii="Arial" w:hAnsi="Arial" w:cs="Arial"/>
                <w:sz w:val="16"/>
                <w:szCs w:val="16"/>
              </w:rPr>
              <w:t>Risks management</w:t>
            </w:r>
          </w:p>
        </w:tc>
        <w:tc>
          <w:tcPr>
            <w:tcW w:w="1100" w:type="dxa"/>
            <w:noWrap/>
            <w:hideMark/>
          </w:tcPr>
          <w:p w14:paraId="5AC11036" w14:textId="77777777" w:rsidR="00CD6352" w:rsidRPr="00FA6B6C" w:rsidRDefault="00CD6352" w:rsidP="00CD6352">
            <w:pPr>
              <w:rPr>
                <w:rFonts w:ascii="Arial" w:hAnsi="Arial" w:cs="Arial"/>
                <w:sz w:val="16"/>
                <w:szCs w:val="16"/>
              </w:rPr>
            </w:pPr>
            <w:r w:rsidRPr="00FA6B6C">
              <w:rPr>
                <w:rFonts w:ascii="Arial" w:hAnsi="Arial" w:cs="Arial"/>
                <w:sz w:val="16"/>
                <w:szCs w:val="16"/>
              </w:rPr>
              <w:t>3.72</w:t>
            </w:r>
          </w:p>
        </w:tc>
        <w:tc>
          <w:tcPr>
            <w:tcW w:w="980" w:type="dxa"/>
            <w:noWrap/>
            <w:hideMark/>
          </w:tcPr>
          <w:p w14:paraId="3B97BE29" w14:textId="77777777" w:rsidR="00CD6352" w:rsidRPr="00FA6B6C" w:rsidRDefault="00CD6352" w:rsidP="00CD6352">
            <w:pPr>
              <w:rPr>
                <w:rFonts w:ascii="Arial" w:hAnsi="Arial" w:cs="Arial"/>
                <w:sz w:val="16"/>
                <w:szCs w:val="16"/>
              </w:rPr>
            </w:pPr>
            <w:r w:rsidRPr="00FA6B6C">
              <w:rPr>
                <w:rFonts w:ascii="Arial" w:hAnsi="Arial" w:cs="Arial"/>
                <w:sz w:val="16"/>
                <w:szCs w:val="16"/>
              </w:rPr>
              <w:t>10</w:t>
            </w:r>
          </w:p>
        </w:tc>
      </w:tr>
      <w:tr w:rsidR="00CD6352" w:rsidRPr="00FA6B6C" w14:paraId="3BDE7A83" w14:textId="77777777" w:rsidTr="00CD6352">
        <w:trPr>
          <w:trHeight w:val="300"/>
        </w:trPr>
        <w:tc>
          <w:tcPr>
            <w:tcW w:w="6543" w:type="dxa"/>
            <w:noWrap/>
            <w:hideMark/>
          </w:tcPr>
          <w:p w14:paraId="54FF9F8C" w14:textId="77777777" w:rsidR="00CD6352" w:rsidRPr="00FA6B6C" w:rsidRDefault="00CD6352" w:rsidP="00CD6352">
            <w:pPr>
              <w:rPr>
                <w:rFonts w:ascii="Arial" w:hAnsi="Arial" w:cs="Arial"/>
                <w:sz w:val="16"/>
                <w:szCs w:val="16"/>
              </w:rPr>
            </w:pPr>
            <w:r w:rsidRPr="00FA6B6C">
              <w:rPr>
                <w:rFonts w:ascii="Arial" w:hAnsi="Arial" w:cs="Arial"/>
                <w:sz w:val="16"/>
                <w:szCs w:val="16"/>
              </w:rPr>
              <w:t>Developing a financial forecast and models</w:t>
            </w:r>
          </w:p>
        </w:tc>
        <w:tc>
          <w:tcPr>
            <w:tcW w:w="1100" w:type="dxa"/>
            <w:noWrap/>
            <w:hideMark/>
          </w:tcPr>
          <w:p w14:paraId="6D98A1F6" w14:textId="77777777" w:rsidR="00CD6352" w:rsidRPr="00FA6B6C" w:rsidRDefault="00CD6352" w:rsidP="00CD6352">
            <w:pPr>
              <w:rPr>
                <w:rFonts w:ascii="Arial" w:hAnsi="Arial" w:cs="Arial"/>
                <w:sz w:val="16"/>
                <w:szCs w:val="16"/>
              </w:rPr>
            </w:pPr>
            <w:r w:rsidRPr="00FA6B6C">
              <w:rPr>
                <w:rFonts w:ascii="Arial" w:hAnsi="Arial" w:cs="Arial"/>
                <w:sz w:val="16"/>
                <w:szCs w:val="16"/>
              </w:rPr>
              <w:t>3.7</w:t>
            </w:r>
          </w:p>
        </w:tc>
        <w:tc>
          <w:tcPr>
            <w:tcW w:w="980" w:type="dxa"/>
            <w:noWrap/>
            <w:hideMark/>
          </w:tcPr>
          <w:p w14:paraId="138A4DFC" w14:textId="77777777" w:rsidR="00CD6352" w:rsidRPr="00FA6B6C" w:rsidRDefault="00CD6352" w:rsidP="00CD6352">
            <w:pPr>
              <w:rPr>
                <w:rFonts w:ascii="Arial" w:hAnsi="Arial" w:cs="Arial"/>
                <w:sz w:val="16"/>
                <w:szCs w:val="16"/>
              </w:rPr>
            </w:pPr>
            <w:r w:rsidRPr="00FA6B6C">
              <w:rPr>
                <w:rFonts w:ascii="Arial" w:hAnsi="Arial" w:cs="Arial"/>
                <w:sz w:val="16"/>
                <w:szCs w:val="16"/>
              </w:rPr>
              <w:t>11</w:t>
            </w:r>
          </w:p>
        </w:tc>
      </w:tr>
      <w:tr w:rsidR="00CD6352" w:rsidRPr="00FA6B6C" w14:paraId="33B5F542" w14:textId="77777777" w:rsidTr="00CD6352">
        <w:trPr>
          <w:trHeight w:val="300"/>
        </w:trPr>
        <w:tc>
          <w:tcPr>
            <w:tcW w:w="6543" w:type="dxa"/>
            <w:noWrap/>
            <w:hideMark/>
          </w:tcPr>
          <w:p w14:paraId="610ED5BF" w14:textId="77777777" w:rsidR="00CD6352" w:rsidRPr="00FA6B6C" w:rsidRDefault="00CD6352" w:rsidP="00CD6352">
            <w:pPr>
              <w:rPr>
                <w:rFonts w:ascii="Arial" w:hAnsi="Arial" w:cs="Arial"/>
                <w:sz w:val="16"/>
                <w:szCs w:val="16"/>
              </w:rPr>
            </w:pPr>
            <w:r w:rsidRPr="00FA6B6C">
              <w:rPr>
                <w:rFonts w:ascii="Arial" w:hAnsi="Arial" w:cs="Arial"/>
                <w:sz w:val="16"/>
                <w:szCs w:val="16"/>
              </w:rPr>
              <w:t>Communication</w:t>
            </w:r>
          </w:p>
        </w:tc>
        <w:tc>
          <w:tcPr>
            <w:tcW w:w="1100" w:type="dxa"/>
            <w:noWrap/>
            <w:hideMark/>
          </w:tcPr>
          <w:p w14:paraId="112AD848" w14:textId="77777777" w:rsidR="00CD6352" w:rsidRPr="00FA6B6C" w:rsidRDefault="00CD6352" w:rsidP="00CD6352">
            <w:pPr>
              <w:rPr>
                <w:rFonts w:ascii="Arial" w:hAnsi="Arial" w:cs="Arial"/>
                <w:sz w:val="16"/>
                <w:szCs w:val="16"/>
              </w:rPr>
            </w:pPr>
            <w:r w:rsidRPr="00FA6B6C">
              <w:rPr>
                <w:rFonts w:ascii="Arial" w:hAnsi="Arial" w:cs="Arial"/>
                <w:sz w:val="16"/>
                <w:szCs w:val="16"/>
              </w:rPr>
              <w:t>3.65</w:t>
            </w:r>
          </w:p>
        </w:tc>
        <w:tc>
          <w:tcPr>
            <w:tcW w:w="980" w:type="dxa"/>
            <w:noWrap/>
            <w:hideMark/>
          </w:tcPr>
          <w:p w14:paraId="33B7F81B" w14:textId="77777777" w:rsidR="00CD6352" w:rsidRPr="00FA6B6C" w:rsidRDefault="00CD6352" w:rsidP="00CD6352">
            <w:pPr>
              <w:rPr>
                <w:rFonts w:ascii="Arial" w:hAnsi="Arial" w:cs="Arial"/>
                <w:sz w:val="16"/>
                <w:szCs w:val="16"/>
              </w:rPr>
            </w:pPr>
            <w:r w:rsidRPr="00FA6B6C">
              <w:rPr>
                <w:rFonts w:ascii="Arial" w:hAnsi="Arial" w:cs="Arial"/>
                <w:sz w:val="16"/>
                <w:szCs w:val="16"/>
              </w:rPr>
              <w:t>12</w:t>
            </w:r>
          </w:p>
        </w:tc>
      </w:tr>
      <w:tr w:rsidR="00CD6352" w:rsidRPr="00FA6B6C" w14:paraId="4257F3E5" w14:textId="77777777" w:rsidTr="00CD6352">
        <w:trPr>
          <w:trHeight w:val="300"/>
        </w:trPr>
        <w:tc>
          <w:tcPr>
            <w:tcW w:w="6543" w:type="dxa"/>
            <w:noWrap/>
            <w:hideMark/>
          </w:tcPr>
          <w:p w14:paraId="668EA976" w14:textId="77777777" w:rsidR="00CD6352" w:rsidRPr="00FA6B6C" w:rsidRDefault="00CD6352" w:rsidP="00CD6352">
            <w:pPr>
              <w:rPr>
                <w:rFonts w:ascii="Arial" w:hAnsi="Arial" w:cs="Arial"/>
                <w:sz w:val="16"/>
                <w:szCs w:val="16"/>
              </w:rPr>
            </w:pPr>
            <w:r w:rsidRPr="00FA6B6C">
              <w:rPr>
                <w:rFonts w:ascii="Arial" w:hAnsi="Arial" w:cs="Arial"/>
                <w:sz w:val="16"/>
                <w:szCs w:val="16"/>
              </w:rPr>
              <w:t>Developing and maintaining a cost management system</w:t>
            </w:r>
          </w:p>
        </w:tc>
        <w:tc>
          <w:tcPr>
            <w:tcW w:w="1100" w:type="dxa"/>
            <w:noWrap/>
            <w:hideMark/>
          </w:tcPr>
          <w:p w14:paraId="0A07EE76" w14:textId="77777777" w:rsidR="00CD6352" w:rsidRPr="00FA6B6C" w:rsidRDefault="00CD6352" w:rsidP="00CD6352">
            <w:pPr>
              <w:rPr>
                <w:rFonts w:ascii="Arial" w:hAnsi="Arial" w:cs="Arial"/>
                <w:sz w:val="16"/>
                <w:szCs w:val="16"/>
              </w:rPr>
            </w:pPr>
            <w:r w:rsidRPr="00FA6B6C">
              <w:rPr>
                <w:rFonts w:ascii="Arial" w:hAnsi="Arial" w:cs="Arial"/>
                <w:sz w:val="16"/>
                <w:szCs w:val="16"/>
              </w:rPr>
              <w:t>3.65</w:t>
            </w:r>
          </w:p>
        </w:tc>
        <w:tc>
          <w:tcPr>
            <w:tcW w:w="980" w:type="dxa"/>
            <w:noWrap/>
            <w:hideMark/>
          </w:tcPr>
          <w:p w14:paraId="6D53C921" w14:textId="77777777" w:rsidR="00CD6352" w:rsidRPr="00FA6B6C" w:rsidRDefault="00CD6352" w:rsidP="00CD6352">
            <w:pPr>
              <w:rPr>
                <w:rFonts w:ascii="Arial" w:hAnsi="Arial" w:cs="Arial"/>
                <w:sz w:val="16"/>
                <w:szCs w:val="16"/>
              </w:rPr>
            </w:pPr>
            <w:r w:rsidRPr="00FA6B6C">
              <w:rPr>
                <w:rFonts w:ascii="Arial" w:hAnsi="Arial" w:cs="Arial"/>
                <w:sz w:val="16"/>
                <w:szCs w:val="16"/>
              </w:rPr>
              <w:t>13</w:t>
            </w:r>
          </w:p>
        </w:tc>
      </w:tr>
      <w:tr w:rsidR="00CD6352" w:rsidRPr="00FA6B6C" w14:paraId="24E120AC" w14:textId="77777777" w:rsidTr="00CD6352">
        <w:trPr>
          <w:trHeight w:val="300"/>
        </w:trPr>
        <w:tc>
          <w:tcPr>
            <w:tcW w:w="6543" w:type="dxa"/>
            <w:noWrap/>
            <w:hideMark/>
          </w:tcPr>
          <w:p w14:paraId="43346A3D" w14:textId="77777777" w:rsidR="00CD6352" w:rsidRPr="00FA6B6C" w:rsidRDefault="00CD6352" w:rsidP="00CD6352">
            <w:pPr>
              <w:rPr>
                <w:rFonts w:ascii="Arial" w:hAnsi="Arial" w:cs="Arial"/>
                <w:sz w:val="16"/>
                <w:szCs w:val="16"/>
              </w:rPr>
            </w:pPr>
            <w:r w:rsidRPr="00FA6B6C">
              <w:rPr>
                <w:rFonts w:ascii="Arial" w:hAnsi="Arial" w:cs="Arial"/>
                <w:sz w:val="16"/>
                <w:szCs w:val="16"/>
              </w:rPr>
              <w:t>Specialised industry skill/ construction skill</w:t>
            </w:r>
          </w:p>
        </w:tc>
        <w:tc>
          <w:tcPr>
            <w:tcW w:w="1100" w:type="dxa"/>
            <w:noWrap/>
            <w:hideMark/>
          </w:tcPr>
          <w:p w14:paraId="4CDC7C07" w14:textId="77777777" w:rsidR="00CD6352" w:rsidRPr="00FA6B6C" w:rsidRDefault="00CD6352" w:rsidP="00CD6352">
            <w:pPr>
              <w:rPr>
                <w:rFonts w:ascii="Arial" w:hAnsi="Arial" w:cs="Arial"/>
                <w:sz w:val="16"/>
                <w:szCs w:val="16"/>
              </w:rPr>
            </w:pPr>
            <w:r w:rsidRPr="00FA6B6C">
              <w:rPr>
                <w:rFonts w:ascii="Arial" w:hAnsi="Arial" w:cs="Arial"/>
                <w:sz w:val="16"/>
                <w:szCs w:val="16"/>
              </w:rPr>
              <w:t>3.63</w:t>
            </w:r>
          </w:p>
        </w:tc>
        <w:tc>
          <w:tcPr>
            <w:tcW w:w="980" w:type="dxa"/>
            <w:noWrap/>
            <w:hideMark/>
          </w:tcPr>
          <w:p w14:paraId="418EF887" w14:textId="77777777" w:rsidR="00CD6352" w:rsidRPr="00FA6B6C" w:rsidRDefault="00CD6352" w:rsidP="00CD6352">
            <w:pPr>
              <w:rPr>
                <w:rFonts w:ascii="Arial" w:hAnsi="Arial" w:cs="Arial"/>
                <w:sz w:val="16"/>
                <w:szCs w:val="16"/>
              </w:rPr>
            </w:pPr>
            <w:r w:rsidRPr="00FA6B6C">
              <w:rPr>
                <w:rFonts w:ascii="Arial" w:hAnsi="Arial" w:cs="Arial"/>
                <w:sz w:val="16"/>
                <w:szCs w:val="16"/>
              </w:rPr>
              <w:t>14</w:t>
            </w:r>
          </w:p>
        </w:tc>
      </w:tr>
      <w:tr w:rsidR="00CD6352" w:rsidRPr="00FA6B6C" w14:paraId="5A157FCD" w14:textId="77777777" w:rsidTr="00CD6352">
        <w:trPr>
          <w:trHeight w:val="300"/>
        </w:trPr>
        <w:tc>
          <w:tcPr>
            <w:tcW w:w="6543" w:type="dxa"/>
            <w:noWrap/>
            <w:hideMark/>
          </w:tcPr>
          <w:p w14:paraId="6BAF20DA" w14:textId="77777777" w:rsidR="00CD6352" w:rsidRPr="00FA6B6C" w:rsidRDefault="00CD6352" w:rsidP="00CD6352">
            <w:pPr>
              <w:rPr>
                <w:rFonts w:ascii="Arial" w:hAnsi="Arial" w:cs="Arial"/>
                <w:sz w:val="16"/>
                <w:szCs w:val="16"/>
              </w:rPr>
            </w:pPr>
            <w:r w:rsidRPr="00FA6B6C">
              <w:rPr>
                <w:rFonts w:ascii="Arial" w:hAnsi="Arial" w:cs="Arial"/>
                <w:sz w:val="16"/>
                <w:szCs w:val="16"/>
              </w:rPr>
              <w:t>Emerging technologies( such as artificial intelligence &amp; machine learning)</w:t>
            </w:r>
          </w:p>
        </w:tc>
        <w:tc>
          <w:tcPr>
            <w:tcW w:w="1100" w:type="dxa"/>
            <w:noWrap/>
            <w:hideMark/>
          </w:tcPr>
          <w:p w14:paraId="388C3824" w14:textId="77777777" w:rsidR="00CD6352" w:rsidRPr="00FA6B6C" w:rsidRDefault="00CD6352" w:rsidP="00CD6352">
            <w:pPr>
              <w:rPr>
                <w:rFonts w:ascii="Arial" w:hAnsi="Arial" w:cs="Arial"/>
                <w:sz w:val="16"/>
                <w:szCs w:val="16"/>
              </w:rPr>
            </w:pPr>
            <w:r w:rsidRPr="00FA6B6C">
              <w:rPr>
                <w:rFonts w:ascii="Arial" w:hAnsi="Arial" w:cs="Arial"/>
                <w:sz w:val="16"/>
                <w:szCs w:val="16"/>
              </w:rPr>
              <w:t>3.61</w:t>
            </w:r>
          </w:p>
        </w:tc>
        <w:tc>
          <w:tcPr>
            <w:tcW w:w="980" w:type="dxa"/>
            <w:noWrap/>
            <w:hideMark/>
          </w:tcPr>
          <w:p w14:paraId="76529B1C" w14:textId="77777777" w:rsidR="00CD6352" w:rsidRPr="00FA6B6C" w:rsidRDefault="00CD6352" w:rsidP="00CD6352">
            <w:pPr>
              <w:rPr>
                <w:rFonts w:ascii="Arial" w:hAnsi="Arial" w:cs="Arial"/>
                <w:sz w:val="16"/>
                <w:szCs w:val="16"/>
              </w:rPr>
            </w:pPr>
            <w:r w:rsidRPr="00FA6B6C">
              <w:rPr>
                <w:rFonts w:ascii="Arial" w:hAnsi="Arial" w:cs="Arial"/>
                <w:sz w:val="16"/>
                <w:szCs w:val="16"/>
              </w:rPr>
              <w:t>15</w:t>
            </w:r>
          </w:p>
        </w:tc>
      </w:tr>
      <w:tr w:rsidR="00CD6352" w:rsidRPr="00FA6B6C" w14:paraId="2A5783BB" w14:textId="77777777" w:rsidTr="00CD6352">
        <w:trPr>
          <w:trHeight w:val="300"/>
        </w:trPr>
        <w:tc>
          <w:tcPr>
            <w:tcW w:w="6543" w:type="dxa"/>
            <w:noWrap/>
            <w:hideMark/>
          </w:tcPr>
          <w:p w14:paraId="05D4B46B" w14:textId="77777777" w:rsidR="00CD6352" w:rsidRPr="00FA6B6C" w:rsidRDefault="00CD6352" w:rsidP="00CD6352">
            <w:pPr>
              <w:rPr>
                <w:rFonts w:ascii="Arial" w:hAnsi="Arial" w:cs="Arial"/>
                <w:sz w:val="16"/>
                <w:szCs w:val="16"/>
              </w:rPr>
            </w:pPr>
            <w:r w:rsidRPr="00FA6B6C">
              <w:rPr>
                <w:rFonts w:ascii="Arial" w:hAnsi="Arial" w:cs="Arial"/>
                <w:sz w:val="16"/>
                <w:szCs w:val="16"/>
              </w:rPr>
              <w:t xml:space="preserve">Critical thinking </w:t>
            </w:r>
          </w:p>
        </w:tc>
        <w:tc>
          <w:tcPr>
            <w:tcW w:w="1100" w:type="dxa"/>
            <w:noWrap/>
            <w:hideMark/>
          </w:tcPr>
          <w:p w14:paraId="4C1A1149" w14:textId="77777777" w:rsidR="00CD6352" w:rsidRPr="00FA6B6C" w:rsidRDefault="00CD6352" w:rsidP="00CD6352">
            <w:pPr>
              <w:rPr>
                <w:rFonts w:ascii="Arial" w:hAnsi="Arial" w:cs="Arial"/>
                <w:sz w:val="16"/>
                <w:szCs w:val="16"/>
              </w:rPr>
            </w:pPr>
            <w:r w:rsidRPr="00FA6B6C">
              <w:rPr>
                <w:rFonts w:ascii="Arial" w:hAnsi="Arial" w:cs="Arial"/>
                <w:sz w:val="16"/>
                <w:szCs w:val="16"/>
              </w:rPr>
              <w:t>3.61</w:t>
            </w:r>
          </w:p>
        </w:tc>
        <w:tc>
          <w:tcPr>
            <w:tcW w:w="980" w:type="dxa"/>
            <w:noWrap/>
            <w:hideMark/>
          </w:tcPr>
          <w:p w14:paraId="1F160200" w14:textId="77777777" w:rsidR="00CD6352" w:rsidRPr="00FA6B6C" w:rsidRDefault="00CD6352" w:rsidP="00CD6352">
            <w:pPr>
              <w:rPr>
                <w:rFonts w:ascii="Arial" w:hAnsi="Arial" w:cs="Arial"/>
                <w:sz w:val="16"/>
                <w:szCs w:val="16"/>
              </w:rPr>
            </w:pPr>
            <w:r w:rsidRPr="00FA6B6C">
              <w:rPr>
                <w:rFonts w:ascii="Arial" w:hAnsi="Arial" w:cs="Arial"/>
                <w:sz w:val="16"/>
                <w:szCs w:val="16"/>
              </w:rPr>
              <w:t>16</w:t>
            </w:r>
          </w:p>
        </w:tc>
      </w:tr>
      <w:tr w:rsidR="00CD6352" w:rsidRPr="00FA6B6C" w14:paraId="6BA061A1" w14:textId="77777777" w:rsidTr="00CD6352">
        <w:trPr>
          <w:trHeight w:val="300"/>
        </w:trPr>
        <w:tc>
          <w:tcPr>
            <w:tcW w:w="6543" w:type="dxa"/>
            <w:noWrap/>
            <w:hideMark/>
          </w:tcPr>
          <w:p w14:paraId="7A656C94" w14:textId="77777777" w:rsidR="00CD6352" w:rsidRPr="00FA6B6C" w:rsidRDefault="00CD6352" w:rsidP="00CD6352">
            <w:pPr>
              <w:rPr>
                <w:rFonts w:ascii="Arial" w:hAnsi="Arial" w:cs="Arial"/>
                <w:sz w:val="16"/>
                <w:szCs w:val="16"/>
              </w:rPr>
            </w:pPr>
            <w:r w:rsidRPr="00FA6B6C">
              <w:rPr>
                <w:rFonts w:ascii="Arial" w:hAnsi="Arial" w:cs="Arial"/>
                <w:sz w:val="16"/>
                <w:szCs w:val="16"/>
              </w:rPr>
              <w:t>Interpreting financial data and identifying trends</w:t>
            </w:r>
          </w:p>
        </w:tc>
        <w:tc>
          <w:tcPr>
            <w:tcW w:w="1100" w:type="dxa"/>
            <w:noWrap/>
            <w:hideMark/>
          </w:tcPr>
          <w:p w14:paraId="20036D31" w14:textId="77777777" w:rsidR="00CD6352" w:rsidRPr="00FA6B6C" w:rsidRDefault="00CD6352" w:rsidP="00CD6352">
            <w:pPr>
              <w:rPr>
                <w:rFonts w:ascii="Arial" w:hAnsi="Arial" w:cs="Arial"/>
                <w:sz w:val="16"/>
                <w:szCs w:val="16"/>
              </w:rPr>
            </w:pPr>
            <w:r w:rsidRPr="00FA6B6C">
              <w:rPr>
                <w:rFonts w:ascii="Arial" w:hAnsi="Arial" w:cs="Arial"/>
                <w:sz w:val="16"/>
                <w:szCs w:val="16"/>
              </w:rPr>
              <w:t>3.58</w:t>
            </w:r>
          </w:p>
        </w:tc>
        <w:tc>
          <w:tcPr>
            <w:tcW w:w="980" w:type="dxa"/>
            <w:noWrap/>
            <w:hideMark/>
          </w:tcPr>
          <w:p w14:paraId="3E80BB5B" w14:textId="77777777" w:rsidR="00CD6352" w:rsidRPr="00FA6B6C" w:rsidRDefault="00CD6352" w:rsidP="00CD6352">
            <w:pPr>
              <w:rPr>
                <w:rFonts w:ascii="Arial" w:hAnsi="Arial" w:cs="Arial"/>
                <w:sz w:val="16"/>
                <w:szCs w:val="16"/>
              </w:rPr>
            </w:pPr>
            <w:r w:rsidRPr="00FA6B6C">
              <w:rPr>
                <w:rFonts w:ascii="Arial" w:hAnsi="Arial" w:cs="Arial"/>
                <w:sz w:val="16"/>
                <w:szCs w:val="16"/>
              </w:rPr>
              <w:t>17</w:t>
            </w:r>
          </w:p>
        </w:tc>
      </w:tr>
      <w:tr w:rsidR="00CD6352" w:rsidRPr="00FA6B6C" w14:paraId="6BA92ECF" w14:textId="77777777" w:rsidTr="00CD6352">
        <w:trPr>
          <w:trHeight w:val="300"/>
        </w:trPr>
        <w:tc>
          <w:tcPr>
            <w:tcW w:w="6543" w:type="dxa"/>
            <w:noWrap/>
            <w:hideMark/>
          </w:tcPr>
          <w:p w14:paraId="02CE59F3" w14:textId="77777777" w:rsidR="00CD6352" w:rsidRPr="00FA6B6C" w:rsidRDefault="00CD6352" w:rsidP="00CD6352">
            <w:pPr>
              <w:rPr>
                <w:rFonts w:ascii="Arial" w:hAnsi="Arial" w:cs="Arial"/>
                <w:sz w:val="16"/>
                <w:szCs w:val="16"/>
              </w:rPr>
            </w:pPr>
            <w:r w:rsidRPr="00FA6B6C">
              <w:rPr>
                <w:rFonts w:ascii="Arial" w:hAnsi="Arial" w:cs="Arial"/>
                <w:sz w:val="16"/>
                <w:szCs w:val="16"/>
              </w:rPr>
              <w:t>Recognising and using influence</w:t>
            </w:r>
          </w:p>
        </w:tc>
        <w:tc>
          <w:tcPr>
            <w:tcW w:w="1100" w:type="dxa"/>
            <w:noWrap/>
            <w:hideMark/>
          </w:tcPr>
          <w:p w14:paraId="415D6784" w14:textId="77777777" w:rsidR="00CD6352" w:rsidRPr="00FA6B6C" w:rsidRDefault="00CD6352" w:rsidP="00CD6352">
            <w:pPr>
              <w:rPr>
                <w:rFonts w:ascii="Arial" w:hAnsi="Arial" w:cs="Arial"/>
                <w:sz w:val="16"/>
                <w:szCs w:val="16"/>
              </w:rPr>
            </w:pPr>
            <w:r w:rsidRPr="00FA6B6C">
              <w:rPr>
                <w:rFonts w:ascii="Arial" w:hAnsi="Arial" w:cs="Arial"/>
                <w:sz w:val="16"/>
                <w:szCs w:val="16"/>
              </w:rPr>
              <w:t>3.54</w:t>
            </w:r>
          </w:p>
        </w:tc>
        <w:tc>
          <w:tcPr>
            <w:tcW w:w="980" w:type="dxa"/>
            <w:noWrap/>
            <w:hideMark/>
          </w:tcPr>
          <w:p w14:paraId="3758FB30" w14:textId="77777777" w:rsidR="00CD6352" w:rsidRPr="00FA6B6C" w:rsidRDefault="00CD6352" w:rsidP="00CD6352">
            <w:pPr>
              <w:rPr>
                <w:rFonts w:ascii="Arial" w:hAnsi="Arial" w:cs="Arial"/>
                <w:sz w:val="16"/>
                <w:szCs w:val="16"/>
              </w:rPr>
            </w:pPr>
            <w:r w:rsidRPr="00FA6B6C">
              <w:rPr>
                <w:rFonts w:ascii="Arial" w:hAnsi="Arial" w:cs="Arial"/>
                <w:sz w:val="16"/>
                <w:szCs w:val="16"/>
              </w:rPr>
              <w:t>18</w:t>
            </w:r>
          </w:p>
        </w:tc>
      </w:tr>
      <w:tr w:rsidR="00CD6352" w:rsidRPr="00FA6B6C" w14:paraId="28752619" w14:textId="77777777" w:rsidTr="00CD6352">
        <w:trPr>
          <w:trHeight w:val="300"/>
        </w:trPr>
        <w:tc>
          <w:tcPr>
            <w:tcW w:w="6543" w:type="dxa"/>
            <w:noWrap/>
            <w:hideMark/>
          </w:tcPr>
          <w:p w14:paraId="5475BB40" w14:textId="77777777" w:rsidR="00CD6352" w:rsidRPr="00FA6B6C" w:rsidRDefault="00CD6352" w:rsidP="00CD6352">
            <w:pPr>
              <w:rPr>
                <w:rFonts w:ascii="Arial" w:hAnsi="Arial" w:cs="Arial"/>
                <w:sz w:val="16"/>
                <w:szCs w:val="16"/>
              </w:rPr>
            </w:pPr>
            <w:r w:rsidRPr="00FA6B6C">
              <w:rPr>
                <w:rFonts w:ascii="Arial" w:hAnsi="Arial" w:cs="Arial"/>
                <w:sz w:val="16"/>
                <w:szCs w:val="16"/>
              </w:rPr>
              <w:t>Diplomatic skills and social intelligence</w:t>
            </w:r>
          </w:p>
        </w:tc>
        <w:tc>
          <w:tcPr>
            <w:tcW w:w="1100" w:type="dxa"/>
            <w:noWrap/>
            <w:hideMark/>
          </w:tcPr>
          <w:p w14:paraId="439D706C" w14:textId="77777777" w:rsidR="00CD6352" w:rsidRPr="00FA6B6C" w:rsidRDefault="00CD6352" w:rsidP="00CD6352">
            <w:pPr>
              <w:rPr>
                <w:rFonts w:ascii="Arial" w:hAnsi="Arial" w:cs="Arial"/>
                <w:sz w:val="16"/>
                <w:szCs w:val="16"/>
              </w:rPr>
            </w:pPr>
            <w:r w:rsidRPr="00FA6B6C">
              <w:rPr>
                <w:rFonts w:ascii="Arial" w:hAnsi="Arial" w:cs="Arial"/>
                <w:sz w:val="16"/>
                <w:szCs w:val="16"/>
              </w:rPr>
              <w:t>3.51</w:t>
            </w:r>
          </w:p>
        </w:tc>
        <w:tc>
          <w:tcPr>
            <w:tcW w:w="980" w:type="dxa"/>
            <w:noWrap/>
            <w:hideMark/>
          </w:tcPr>
          <w:p w14:paraId="09EEC7D7" w14:textId="77777777" w:rsidR="00CD6352" w:rsidRPr="00FA6B6C" w:rsidRDefault="00CD6352" w:rsidP="00CD6352">
            <w:pPr>
              <w:rPr>
                <w:rFonts w:ascii="Arial" w:hAnsi="Arial" w:cs="Arial"/>
                <w:sz w:val="16"/>
                <w:szCs w:val="16"/>
              </w:rPr>
            </w:pPr>
            <w:r w:rsidRPr="00FA6B6C">
              <w:rPr>
                <w:rFonts w:ascii="Arial" w:hAnsi="Arial" w:cs="Arial"/>
                <w:sz w:val="16"/>
                <w:szCs w:val="16"/>
              </w:rPr>
              <w:t>19</w:t>
            </w:r>
          </w:p>
        </w:tc>
      </w:tr>
      <w:tr w:rsidR="00CD6352" w:rsidRPr="00FA6B6C" w14:paraId="33E2BC2A" w14:textId="77777777" w:rsidTr="00CD6352">
        <w:trPr>
          <w:trHeight w:val="300"/>
        </w:trPr>
        <w:tc>
          <w:tcPr>
            <w:tcW w:w="6543" w:type="dxa"/>
            <w:noWrap/>
            <w:hideMark/>
          </w:tcPr>
          <w:p w14:paraId="31436041" w14:textId="77777777" w:rsidR="00CD6352" w:rsidRPr="00FA6B6C" w:rsidRDefault="00CD6352" w:rsidP="00CD6352">
            <w:pPr>
              <w:rPr>
                <w:rFonts w:ascii="Arial" w:hAnsi="Arial" w:cs="Arial"/>
                <w:sz w:val="16"/>
                <w:szCs w:val="16"/>
              </w:rPr>
            </w:pPr>
            <w:r w:rsidRPr="00FA6B6C">
              <w:rPr>
                <w:rFonts w:ascii="Arial" w:hAnsi="Arial" w:cs="Arial"/>
                <w:sz w:val="16"/>
                <w:szCs w:val="16"/>
              </w:rPr>
              <w:t>Market liquidity timing skill</w:t>
            </w:r>
          </w:p>
        </w:tc>
        <w:tc>
          <w:tcPr>
            <w:tcW w:w="1100" w:type="dxa"/>
            <w:noWrap/>
            <w:hideMark/>
          </w:tcPr>
          <w:p w14:paraId="00D068EC" w14:textId="77777777" w:rsidR="00CD6352" w:rsidRPr="00FA6B6C" w:rsidRDefault="00CD6352" w:rsidP="00CD6352">
            <w:pPr>
              <w:rPr>
                <w:rFonts w:ascii="Arial" w:hAnsi="Arial" w:cs="Arial"/>
                <w:sz w:val="16"/>
                <w:szCs w:val="16"/>
              </w:rPr>
            </w:pPr>
            <w:r w:rsidRPr="00FA6B6C">
              <w:rPr>
                <w:rFonts w:ascii="Arial" w:hAnsi="Arial" w:cs="Arial"/>
                <w:sz w:val="16"/>
                <w:szCs w:val="16"/>
              </w:rPr>
              <w:t>3.5</w:t>
            </w:r>
          </w:p>
        </w:tc>
        <w:tc>
          <w:tcPr>
            <w:tcW w:w="980" w:type="dxa"/>
            <w:noWrap/>
            <w:hideMark/>
          </w:tcPr>
          <w:p w14:paraId="5655C7E7" w14:textId="77777777" w:rsidR="00CD6352" w:rsidRPr="00FA6B6C" w:rsidRDefault="00CD6352" w:rsidP="00CD6352">
            <w:pPr>
              <w:rPr>
                <w:rFonts w:ascii="Arial" w:hAnsi="Arial" w:cs="Arial"/>
                <w:sz w:val="16"/>
                <w:szCs w:val="16"/>
              </w:rPr>
            </w:pPr>
            <w:r w:rsidRPr="00FA6B6C">
              <w:rPr>
                <w:rFonts w:ascii="Arial" w:hAnsi="Arial" w:cs="Arial"/>
                <w:sz w:val="16"/>
                <w:szCs w:val="16"/>
              </w:rPr>
              <w:t>20</w:t>
            </w:r>
          </w:p>
        </w:tc>
      </w:tr>
      <w:tr w:rsidR="00CD6352" w:rsidRPr="00FA6B6C" w14:paraId="536343A2" w14:textId="77777777" w:rsidTr="00CD6352">
        <w:trPr>
          <w:trHeight w:val="300"/>
        </w:trPr>
        <w:tc>
          <w:tcPr>
            <w:tcW w:w="6543" w:type="dxa"/>
            <w:noWrap/>
            <w:hideMark/>
          </w:tcPr>
          <w:p w14:paraId="1C5974FF" w14:textId="77777777" w:rsidR="00CD6352" w:rsidRPr="00FA6B6C" w:rsidRDefault="00CD6352" w:rsidP="00CD6352">
            <w:pPr>
              <w:rPr>
                <w:rFonts w:ascii="Arial" w:hAnsi="Arial" w:cs="Arial"/>
                <w:sz w:val="16"/>
                <w:szCs w:val="16"/>
              </w:rPr>
            </w:pPr>
            <w:r w:rsidRPr="00FA6B6C">
              <w:rPr>
                <w:rFonts w:ascii="Arial" w:hAnsi="Arial" w:cs="Arial"/>
                <w:sz w:val="16"/>
                <w:szCs w:val="16"/>
              </w:rPr>
              <w:t>Budgeting</w:t>
            </w:r>
          </w:p>
        </w:tc>
        <w:tc>
          <w:tcPr>
            <w:tcW w:w="1100" w:type="dxa"/>
            <w:noWrap/>
            <w:hideMark/>
          </w:tcPr>
          <w:p w14:paraId="2EEA1708" w14:textId="77777777" w:rsidR="00CD6352" w:rsidRPr="00FA6B6C" w:rsidRDefault="00CD6352" w:rsidP="00CD6352">
            <w:pPr>
              <w:rPr>
                <w:rFonts w:ascii="Arial" w:hAnsi="Arial" w:cs="Arial"/>
                <w:sz w:val="16"/>
                <w:szCs w:val="16"/>
              </w:rPr>
            </w:pPr>
            <w:r w:rsidRPr="00FA6B6C">
              <w:rPr>
                <w:rFonts w:ascii="Arial" w:hAnsi="Arial" w:cs="Arial"/>
                <w:sz w:val="16"/>
                <w:szCs w:val="16"/>
              </w:rPr>
              <w:t>3.45</w:t>
            </w:r>
          </w:p>
        </w:tc>
        <w:tc>
          <w:tcPr>
            <w:tcW w:w="980" w:type="dxa"/>
            <w:noWrap/>
            <w:hideMark/>
          </w:tcPr>
          <w:p w14:paraId="658250D1" w14:textId="77777777" w:rsidR="00CD6352" w:rsidRPr="00FA6B6C" w:rsidRDefault="00CD6352" w:rsidP="00CD6352">
            <w:pPr>
              <w:rPr>
                <w:rFonts w:ascii="Arial" w:hAnsi="Arial" w:cs="Arial"/>
                <w:sz w:val="16"/>
                <w:szCs w:val="16"/>
              </w:rPr>
            </w:pPr>
            <w:r w:rsidRPr="00FA6B6C">
              <w:rPr>
                <w:rFonts w:ascii="Arial" w:hAnsi="Arial" w:cs="Arial"/>
                <w:sz w:val="16"/>
                <w:szCs w:val="16"/>
              </w:rPr>
              <w:t>21</w:t>
            </w:r>
          </w:p>
        </w:tc>
      </w:tr>
      <w:tr w:rsidR="00CD6352" w:rsidRPr="00FA6B6C" w14:paraId="13DC4B76" w14:textId="77777777" w:rsidTr="00CD6352">
        <w:trPr>
          <w:trHeight w:val="300"/>
        </w:trPr>
        <w:tc>
          <w:tcPr>
            <w:tcW w:w="6543" w:type="dxa"/>
            <w:noWrap/>
            <w:hideMark/>
          </w:tcPr>
          <w:p w14:paraId="2226724C" w14:textId="77777777" w:rsidR="00CD6352" w:rsidRPr="00FA6B6C" w:rsidRDefault="00CD6352" w:rsidP="00CD6352">
            <w:pPr>
              <w:rPr>
                <w:rFonts w:ascii="Arial" w:hAnsi="Arial" w:cs="Arial"/>
                <w:sz w:val="16"/>
                <w:szCs w:val="16"/>
              </w:rPr>
            </w:pPr>
            <w:r w:rsidRPr="00FA6B6C">
              <w:rPr>
                <w:rFonts w:ascii="Arial" w:hAnsi="Arial" w:cs="Arial"/>
                <w:sz w:val="16"/>
                <w:szCs w:val="16"/>
              </w:rPr>
              <w:t>Identifying and accessing the alternative option</w:t>
            </w:r>
          </w:p>
        </w:tc>
        <w:tc>
          <w:tcPr>
            <w:tcW w:w="1100" w:type="dxa"/>
            <w:noWrap/>
            <w:hideMark/>
          </w:tcPr>
          <w:p w14:paraId="37FB9C49" w14:textId="77777777" w:rsidR="00CD6352" w:rsidRPr="00FA6B6C" w:rsidRDefault="00CD6352" w:rsidP="00CD6352">
            <w:pPr>
              <w:rPr>
                <w:rFonts w:ascii="Arial" w:hAnsi="Arial" w:cs="Arial"/>
                <w:sz w:val="16"/>
                <w:szCs w:val="16"/>
              </w:rPr>
            </w:pPr>
            <w:r w:rsidRPr="00FA6B6C">
              <w:rPr>
                <w:rFonts w:ascii="Arial" w:hAnsi="Arial" w:cs="Arial"/>
                <w:sz w:val="16"/>
                <w:szCs w:val="16"/>
              </w:rPr>
              <w:t>3.45</w:t>
            </w:r>
          </w:p>
        </w:tc>
        <w:tc>
          <w:tcPr>
            <w:tcW w:w="980" w:type="dxa"/>
            <w:noWrap/>
            <w:hideMark/>
          </w:tcPr>
          <w:p w14:paraId="4AA76BB8" w14:textId="77777777" w:rsidR="00CD6352" w:rsidRPr="00FA6B6C" w:rsidRDefault="00CD6352" w:rsidP="00CD6352">
            <w:pPr>
              <w:rPr>
                <w:rFonts w:ascii="Arial" w:hAnsi="Arial" w:cs="Arial"/>
                <w:sz w:val="16"/>
                <w:szCs w:val="16"/>
              </w:rPr>
            </w:pPr>
            <w:r w:rsidRPr="00FA6B6C">
              <w:rPr>
                <w:rFonts w:ascii="Arial" w:hAnsi="Arial" w:cs="Arial"/>
                <w:sz w:val="16"/>
                <w:szCs w:val="16"/>
              </w:rPr>
              <w:t>22</w:t>
            </w:r>
          </w:p>
        </w:tc>
      </w:tr>
      <w:tr w:rsidR="00CD6352" w:rsidRPr="00FA6B6C" w14:paraId="1B1EFB77" w14:textId="77777777" w:rsidTr="00CD6352">
        <w:trPr>
          <w:trHeight w:val="300"/>
        </w:trPr>
        <w:tc>
          <w:tcPr>
            <w:tcW w:w="6543" w:type="dxa"/>
            <w:noWrap/>
            <w:hideMark/>
          </w:tcPr>
          <w:p w14:paraId="0547AAA3" w14:textId="77777777" w:rsidR="00CD6352" w:rsidRPr="00FA6B6C" w:rsidRDefault="00CD6352" w:rsidP="00CD6352">
            <w:pPr>
              <w:rPr>
                <w:rFonts w:ascii="Arial" w:hAnsi="Arial" w:cs="Arial"/>
                <w:sz w:val="16"/>
                <w:szCs w:val="16"/>
              </w:rPr>
            </w:pPr>
            <w:r w:rsidRPr="00FA6B6C">
              <w:rPr>
                <w:rFonts w:ascii="Arial" w:hAnsi="Arial" w:cs="Arial"/>
                <w:sz w:val="16"/>
                <w:szCs w:val="16"/>
              </w:rPr>
              <w:t>Emotional intelligence</w:t>
            </w:r>
          </w:p>
        </w:tc>
        <w:tc>
          <w:tcPr>
            <w:tcW w:w="1100" w:type="dxa"/>
            <w:noWrap/>
            <w:hideMark/>
          </w:tcPr>
          <w:p w14:paraId="2969EE9B" w14:textId="77777777" w:rsidR="00CD6352" w:rsidRPr="00FA6B6C" w:rsidRDefault="00CD6352" w:rsidP="00CD6352">
            <w:pPr>
              <w:rPr>
                <w:rFonts w:ascii="Arial" w:hAnsi="Arial" w:cs="Arial"/>
                <w:sz w:val="16"/>
                <w:szCs w:val="16"/>
              </w:rPr>
            </w:pPr>
            <w:r w:rsidRPr="00FA6B6C">
              <w:rPr>
                <w:rFonts w:ascii="Arial" w:hAnsi="Arial" w:cs="Arial"/>
                <w:sz w:val="16"/>
                <w:szCs w:val="16"/>
              </w:rPr>
              <w:t>3.21</w:t>
            </w:r>
          </w:p>
        </w:tc>
        <w:tc>
          <w:tcPr>
            <w:tcW w:w="980" w:type="dxa"/>
            <w:noWrap/>
            <w:hideMark/>
          </w:tcPr>
          <w:p w14:paraId="5FF37D68" w14:textId="77777777" w:rsidR="00CD6352" w:rsidRPr="00FA6B6C" w:rsidRDefault="00CD6352" w:rsidP="00CD6352">
            <w:pPr>
              <w:rPr>
                <w:rFonts w:ascii="Arial" w:hAnsi="Arial" w:cs="Arial"/>
                <w:sz w:val="16"/>
                <w:szCs w:val="16"/>
              </w:rPr>
            </w:pPr>
            <w:r w:rsidRPr="00FA6B6C">
              <w:rPr>
                <w:rFonts w:ascii="Arial" w:hAnsi="Arial" w:cs="Arial"/>
                <w:sz w:val="16"/>
                <w:szCs w:val="16"/>
              </w:rPr>
              <w:t>23</w:t>
            </w:r>
          </w:p>
        </w:tc>
      </w:tr>
    </w:tbl>
    <w:p w14:paraId="0EA1C14D" w14:textId="77777777" w:rsidR="00CD6352" w:rsidRPr="00EA7665" w:rsidRDefault="00CD6352" w:rsidP="00CD6352">
      <w:pPr>
        <w:rPr>
          <w:rFonts w:ascii="Arial" w:hAnsi="Arial" w:cs="Arial"/>
          <w:sz w:val="16"/>
          <w:szCs w:val="16"/>
        </w:rPr>
      </w:pPr>
      <w:r w:rsidRPr="00EA7665">
        <w:rPr>
          <w:rFonts w:ascii="Arial" w:hAnsi="Arial" w:cs="Arial"/>
          <w:sz w:val="16"/>
          <w:szCs w:val="16"/>
        </w:rPr>
        <w:t>Not needed(1), Less needed(2), Needed</w:t>
      </w:r>
      <w:r w:rsidRPr="00EA7665">
        <w:rPr>
          <w:rFonts w:ascii="Arial" w:hAnsi="Arial" w:cs="Arial"/>
          <w:sz w:val="16"/>
          <w:szCs w:val="16"/>
        </w:rPr>
        <w:tab/>
        <w:t>(3), Very needed(4) &amp; Highly needed(5)</w:t>
      </w:r>
    </w:p>
    <w:p w14:paraId="610980A2" w14:textId="77777777" w:rsidR="00580A71" w:rsidRDefault="00580A71" w:rsidP="00CD6352">
      <w:pPr>
        <w:spacing w:line="360" w:lineRule="auto"/>
        <w:rPr>
          <w:rFonts w:ascii="Arial" w:hAnsi="Arial" w:cs="Arial"/>
        </w:rPr>
      </w:pPr>
    </w:p>
    <w:p w14:paraId="73AE5CFD" w14:textId="39030760" w:rsidR="00CD6352" w:rsidRPr="00EA7665" w:rsidRDefault="00524241" w:rsidP="00CD6352">
      <w:pPr>
        <w:spacing w:line="360" w:lineRule="auto"/>
        <w:rPr>
          <w:rFonts w:ascii="Arial" w:hAnsi="Arial" w:cs="Arial"/>
        </w:rPr>
      </w:pPr>
      <w:r w:rsidRPr="001A212E">
        <w:rPr>
          <w:rFonts w:ascii="Arial" w:hAnsi="Arial" w:cs="Arial"/>
          <w:shd w:val="clear" w:color="auto" w:fill="FFFFFF" w:themeFill="background1"/>
        </w:rPr>
        <w:t>Teamwork</w:t>
      </w:r>
      <w:r w:rsidR="00CD6352" w:rsidRPr="001A212E">
        <w:rPr>
          <w:rFonts w:ascii="Arial" w:hAnsi="Arial" w:cs="Arial"/>
          <w:shd w:val="clear" w:color="auto" w:fill="FFFFFF" w:themeFill="background1"/>
        </w:rPr>
        <w:t xml:space="preserve"> skills </w:t>
      </w:r>
      <w:r w:rsidR="00FE1690">
        <w:rPr>
          <w:rFonts w:ascii="Arial" w:hAnsi="Arial" w:cs="Arial"/>
          <w:shd w:val="clear" w:color="auto" w:fill="FFFFFF" w:themeFill="background1"/>
        </w:rPr>
        <w:t>ranked number 1 entail a genuine ability to work cooperatively with others, facilitating group management, conflict resolution,</w:t>
      </w:r>
      <w:r w:rsidR="00CD6352" w:rsidRPr="001A212E">
        <w:rPr>
          <w:rFonts w:ascii="Arial" w:hAnsi="Arial" w:cs="Arial"/>
          <w:shd w:val="clear" w:color="auto" w:fill="FFFFFF" w:themeFill="background1"/>
        </w:rPr>
        <w:t xml:space="preserve"> and motivating </w:t>
      </w:r>
      <w:r w:rsidRPr="001A212E">
        <w:rPr>
          <w:rFonts w:ascii="Arial" w:hAnsi="Arial" w:cs="Arial"/>
          <w:shd w:val="clear" w:color="auto" w:fill="FFFFFF" w:themeFill="background1"/>
        </w:rPr>
        <w:t>others.</w:t>
      </w:r>
      <w:r w:rsidR="00CD6352" w:rsidRPr="001A212E">
        <w:rPr>
          <w:rFonts w:ascii="Arial" w:hAnsi="Arial" w:cs="Arial"/>
          <w:shd w:val="clear" w:color="auto" w:fill="FFFFFF" w:themeFill="background1"/>
        </w:rPr>
        <w:t xml:space="preserve"> In the same light analytical skills will enable the manager to anticipate, make adequate plans and see the consequences and implications </w:t>
      </w:r>
      <w:r w:rsidR="009F24D8" w:rsidRPr="001A212E">
        <w:rPr>
          <w:rFonts w:ascii="Arial" w:hAnsi="Arial" w:cs="Arial"/>
          <w:shd w:val="clear" w:color="auto" w:fill="FFFFFF" w:themeFill="background1"/>
        </w:rPr>
        <w:t>of his</w:t>
      </w:r>
      <w:r w:rsidR="00CD6352" w:rsidRPr="001A212E">
        <w:rPr>
          <w:rFonts w:ascii="Arial" w:hAnsi="Arial" w:cs="Arial"/>
          <w:shd w:val="clear" w:color="auto" w:fill="FFFFFF" w:themeFill="background1"/>
        </w:rPr>
        <w:t xml:space="preserve"> </w:t>
      </w:r>
      <w:r w:rsidR="009F24D8" w:rsidRPr="001A212E">
        <w:rPr>
          <w:rFonts w:ascii="Arial" w:hAnsi="Arial" w:cs="Arial"/>
          <w:shd w:val="clear" w:color="auto" w:fill="FFFFFF" w:themeFill="background1"/>
        </w:rPr>
        <w:t>actions (Spencer</w:t>
      </w:r>
      <w:r w:rsidR="00CD6352" w:rsidRPr="001A212E">
        <w:rPr>
          <w:rFonts w:ascii="Arial" w:hAnsi="Arial" w:cs="Arial"/>
          <w:shd w:val="clear" w:color="auto" w:fill="FFFFFF" w:themeFill="background1"/>
        </w:rPr>
        <w:t xml:space="preserve"> and Spencer, 1993).</w:t>
      </w:r>
      <w:r w:rsidR="00CD6352" w:rsidRPr="00EA7665">
        <w:rPr>
          <w:rFonts w:ascii="Arial" w:hAnsi="Arial" w:cs="Arial"/>
        </w:rPr>
        <w:t xml:space="preserve"> The manager </w:t>
      </w:r>
      <w:r w:rsidR="009F24D8" w:rsidRPr="00EA7665">
        <w:rPr>
          <w:rFonts w:ascii="Arial" w:hAnsi="Arial" w:cs="Arial"/>
        </w:rPr>
        <w:t>with good</w:t>
      </w:r>
      <w:r w:rsidR="00CD6352" w:rsidRPr="00EA7665">
        <w:rPr>
          <w:rFonts w:ascii="Arial" w:hAnsi="Arial" w:cs="Arial"/>
        </w:rPr>
        <w:t xml:space="preserve"> </w:t>
      </w:r>
      <w:r w:rsidRPr="00EA7665">
        <w:rPr>
          <w:rFonts w:ascii="Arial" w:hAnsi="Arial" w:cs="Arial"/>
        </w:rPr>
        <w:t>teamwork</w:t>
      </w:r>
      <w:r w:rsidR="00CD6352">
        <w:rPr>
          <w:rFonts w:ascii="Arial" w:hAnsi="Arial" w:cs="Arial"/>
        </w:rPr>
        <w:t xml:space="preserve"> skills</w:t>
      </w:r>
      <w:r w:rsidR="00CD6352" w:rsidRPr="00EA7665">
        <w:rPr>
          <w:rFonts w:ascii="Arial" w:hAnsi="Arial" w:cs="Arial"/>
        </w:rPr>
        <w:t xml:space="preserve"> will be able to lead effectively</w:t>
      </w:r>
      <w:r w:rsidR="00751381">
        <w:rPr>
          <w:rFonts w:ascii="Arial" w:hAnsi="Arial" w:cs="Arial"/>
        </w:rPr>
        <w:t>,</w:t>
      </w:r>
      <w:r w:rsidR="00CD6352" w:rsidRPr="00EA7665">
        <w:rPr>
          <w:rFonts w:ascii="Arial" w:hAnsi="Arial" w:cs="Arial"/>
        </w:rPr>
        <w:t xml:space="preserve"> hence the indicated need for training and </w:t>
      </w:r>
      <w:r w:rsidR="00D36E07" w:rsidRPr="00EA7665">
        <w:rPr>
          <w:rFonts w:ascii="Arial" w:hAnsi="Arial" w:cs="Arial"/>
        </w:rPr>
        <w:t>education.</w:t>
      </w:r>
      <w:r w:rsidR="00CD6352" w:rsidRPr="00EA7665">
        <w:rPr>
          <w:rFonts w:ascii="Arial" w:hAnsi="Arial" w:cs="Arial"/>
        </w:rPr>
        <w:t xml:space="preserve">  </w:t>
      </w:r>
      <w:r w:rsidR="009F24D8" w:rsidRPr="00EA7665">
        <w:rPr>
          <w:rFonts w:ascii="Arial" w:hAnsi="Arial" w:cs="Arial"/>
        </w:rPr>
        <w:t>Teamwork</w:t>
      </w:r>
      <w:r w:rsidR="00CD6352" w:rsidRPr="00EA7665">
        <w:rPr>
          <w:rFonts w:ascii="Arial" w:hAnsi="Arial" w:cs="Arial"/>
        </w:rPr>
        <w:t>, strategic planning, planning and control, analytical and leadership skills are all interrelated.</w:t>
      </w:r>
    </w:p>
    <w:p w14:paraId="0332542B" w14:textId="2E0326F3" w:rsidR="00CD6352" w:rsidRPr="00B356D4" w:rsidRDefault="00B356D4" w:rsidP="00524241">
      <w:pPr>
        <w:pStyle w:val="Heading4"/>
        <w:spacing w:after="240"/>
        <w:rPr>
          <w:rFonts w:ascii="Arial" w:hAnsi="Arial" w:cs="Arial"/>
          <w:color w:val="auto"/>
        </w:rPr>
      </w:pPr>
      <w:r w:rsidRPr="00B356D4">
        <w:rPr>
          <w:rFonts w:ascii="Arial" w:hAnsi="Arial" w:cs="Arial"/>
          <w:color w:val="auto"/>
        </w:rPr>
        <w:t>Questionnaire survey discussion and analysis at the disaggregate level</w:t>
      </w:r>
      <w:r w:rsidR="00524241" w:rsidRPr="00B356D4">
        <w:rPr>
          <w:rFonts w:ascii="Arial" w:hAnsi="Arial" w:cs="Arial"/>
          <w:color w:val="auto"/>
        </w:rPr>
        <w:t>.</w:t>
      </w:r>
    </w:p>
    <w:p w14:paraId="5A8C987B" w14:textId="77777777" w:rsidR="00FF3237" w:rsidRDefault="00CD6352" w:rsidP="00CD6352">
      <w:pPr>
        <w:spacing w:line="360" w:lineRule="auto"/>
        <w:rPr>
          <w:rFonts w:ascii="Arial" w:hAnsi="Arial" w:cs="Arial"/>
        </w:rPr>
      </w:pPr>
      <w:r w:rsidRPr="00EA7665">
        <w:rPr>
          <w:rFonts w:ascii="Arial" w:hAnsi="Arial" w:cs="Arial"/>
        </w:rPr>
        <w:t>Comparis</w:t>
      </w:r>
      <w:r>
        <w:rPr>
          <w:rFonts w:ascii="Arial" w:hAnsi="Arial" w:cs="Arial"/>
        </w:rPr>
        <w:t>ons</w:t>
      </w:r>
      <w:r w:rsidRPr="00EA7665">
        <w:rPr>
          <w:rFonts w:ascii="Arial" w:hAnsi="Arial" w:cs="Arial"/>
        </w:rPr>
        <w:t xml:space="preserve"> were made between responses from managers in the three developed and three emerging economies </w:t>
      </w:r>
      <w:r w:rsidR="00F804B9" w:rsidRPr="00EA7665">
        <w:rPr>
          <w:rFonts w:ascii="Arial" w:hAnsi="Arial" w:cs="Arial"/>
        </w:rPr>
        <w:t>cover</w:t>
      </w:r>
      <w:r w:rsidR="00F804B9">
        <w:rPr>
          <w:rFonts w:ascii="Arial" w:hAnsi="Arial" w:cs="Arial"/>
        </w:rPr>
        <w:t xml:space="preserve">ed </w:t>
      </w:r>
      <w:r w:rsidR="00F804B9" w:rsidRPr="00EA7665">
        <w:rPr>
          <w:rFonts w:ascii="Arial" w:hAnsi="Arial" w:cs="Arial"/>
        </w:rPr>
        <w:t>in</w:t>
      </w:r>
      <w:r w:rsidRPr="00EA7665">
        <w:rPr>
          <w:rFonts w:ascii="Arial" w:hAnsi="Arial" w:cs="Arial"/>
        </w:rPr>
        <w:t xml:space="preserve"> this research to ascertain the skills for securing </w:t>
      </w:r>
      <w:r w:rsidRPr="00EA7665">
        <w:rPr>
          <w:rFonts w:ascii="Arial" w:hAnsi="Arial" w:cs="Arial"/>
        </w:rPr>
        <w:lastRenderedPageBreak/>
        <w:t xml:space="preserve">finance for real estate project development that the managers need </w:t>
      </w:r>
      <w:r>
        <w:rPr>
          <w:rFonts w:ascii="Arial" w:hAnsi="Arial" w:cs="Arial"/>
        </w:rPr>
        <w:t xml:space="preserve">training and education </w:t>
      </w:r>
      <w:r w:rsidRPr="00EA7665">
        <w:rPr>
          <w:rFonts w:ascii="Arial" w:hAnsi="Arial" w:cs="Arial"/>
        </w:rPr>
        <w:t>for</w:t>
      </w:r>
      <w:r>
        <w:rPr>
          <w:rFonts w:ascii="Arial" w:hAnsi="Arial" w:cs="Arial"/>
        </w:rPr>
        <w:t xml:space="preserve"> in</w:t>
      </w:r>
      <w:r w:rsidRPr="00EA7665">
        <w:rPr>
          <w:rFonts w:ascii="Arial" w:hAnsi="Arial" w:cs="Arial"/>
        </w:rPr>
        <w:t xml:space="preserve"> their present jobs. </w:t>
      </w:r>
      <w:r w:rsidR="00FF3237">
        <w:rPr>
          <w:rFonts w:ascii="Arial" w:hAnsi="Arial" w:cs="Arial"/>
        </w:rPr>
        <w:t>See appendix 1 table 2.</w:t>
      </w:r>
    </w:p>
    <w:p w14:paraId="6E953805" w14:textId="3F81841F" w:rsidR="00CD6352" w:rsidRPr="00EA7665" w:rsidRDefault="00CD6352" w:rsidP="00CD6352">
      <w:pPr>
        <w:spacing w:line="360" w:lineRule="auto"/>
        <w:rPr>
          <w:rFonts w:ascii="Arial" w:hAnsi="Arial" w:cs="Arial"/>
        </w:rPr>
      </w:pPr>
      <w:r w:rsidRPr="00EA7665">
        <w:rPr>
          <w:rFonts w:ascii="Arial" w:hAnsi="Arial" w:cs="Arial"/>
        </w:rPr>
        <w:t>The range of the mean values for Germany (3 to 1.5), UK (3.89 to 2.5),</w:t>
      </w:r>
      <w:r w:rsidR="00FF3237">
        <w:rPr>
          <w:rFonts w:ascii="Arial" w:hAnsi="Arial" w:cs="Arial"/>
        </w:rPr>
        <w:t xml:space="preserve"> </w:t>
      </w:r>
      <w:r w:rsidRPr="00EA7665">
        <w:rPr>
          <w:rFonts w:ascii="Arial" w:hAnsi="Arial" w:cs="Arial"/>
        </w:rPr>
        <w:t xml:space="preserve">US(3.33 to 2.33), China (3.56 to 2.44), Nigeria (4.25 to 3.18) and South Africa (4.43 to 3.5).  The range of </w:t>
      </w:r>
      <w:r>
        <w:rPr>
          <w:rFonts w:ascii="Arial" w:hAnsi="Arial" w:cs="Arial"/>
        </w:rPr>
        <w:t xml:space="preserve">the </w:t>
      </w:r>
      <w:r w:rsidRPr="00EA7665">
        <w:rPr>
          <w:rFonts w:ascii="Arial" w:hAnsi="Arial" w:cs="Arial"/>
        </w:rPr>
        <w:t>mean</w:t>
      </w:r>
      <w:r w:rsidR="00751381">
        <w:rPr>
          <w:rFonts w:ascii="Arial" w:hAnsi="Arial" w:cs="Arial"/>
        </w:rPr>
        <w:t xml:space="preserve"> scores</w:t>
      </w:r>
      <w:r w:rsidRPr="00EA7665">
        <w:rPr>
          <w:rFonts w:ascii="Arial" w:hAnsi="Arial" w:cs="Arial"/>
        </w:rPr>
        <w:t xml:space="preserve"> shows that the </w:t>
      </w:r>
      <w:r>
        <w:rPr>
          <w:rFonts w:ascii="Arial" w:hAnsi="Arial" w:cs="Arial"/>
        </w:rPr>
        <w:t>manag</w:t>
      </w:r>
      <w:r w:rsidRPr="00EA7665">
        <w:rPr>
          <w:rFonts w:ascii="Arial" w:hAnsi="Arial" w:cs="Arial"/>
        </w:rPr>
        <w:t xml:space="preserve">ers in five out of the six countries need training and education on all the </w:t>
      </w:r>
      <w:r w:rsidR="00F804B9" w:rsidRPr="00EA7665">
        <w:rPr>
          <w:rFonts w:ascii="Arial" w:hAnsi="Arial" w:cs="Arial"/>
        </w:rPr>
        <w:t>twenty-three</w:t>
      </w:r>
      <w:r w:rsidRPr="00EA7665">
        <w:rPr>
          <w:rFonts w:ascii="Arial" w:hAnsi="Arial" w:cs="Arial"/>
        </w:rPr>
        <w:t xml:space="preserve"> skills for their present jobs. Managers in Germany indicated they do not </w:t>
      </w:r>
      <w:r w:rsidR="00F804B9" w:rsidRPr="00EA7665">
        <w:rPr>
          <w:rFonts w:ascii="Arial" w:hAnsi="Arial" w:cs="Arial"/>
        </w:rPr>
        <w:t>need training</w:t>
      </w:r>
      <w:r w:rsidRPr="00EA7665">
        <w:rPr>
          <w:rFonts w:ascii="Arial" w:hAnsi="Arial" w:cs="Arial"/>
        </w:rPr>
        <w:t xml:space="preserve"> and education on their </w:t>
      </w:r>
      <w:r w:rsidR="00751381">
        <w:rPr>
          <w:rFonts w:ascii="Arial" w:hAnsi="Arial" w:cs="Arial"/>
        </w:rPr>
        <w:t>curr</w:t>
      </w:r>
      <w:r w:rsidRPr="00EA7665">
        <w:rPr>
          <w:rFonts w:ascii="Arial" w:hAnsi="Arial" w:cs="Arial"/>
        </w:rPr>
        <w:t xml:space="preserve">ent jobs for diplomatic skills &amp; social intelligence and recognising and using </w:t>
      </w:r>
      <w:r w:rsidR="00F804B9" w:rsidRPr="00EA7665">
        <w:rPr>
          <w:rFonts w:ascii="Arial" w:hAnsi="Arial" w:cs="Arial"/>
        </w:rPr>
        <w:t>influence.</w:t>
      </w:r>
      <w:r w:rsidRPr="00EA7665">
        <w:rPr>
          <w:rFonts w:ascii="Arial" w:hAnsi="Arial" w:cs="Arial"/>
        </w:rPr>
        <w:t xml:space="preserve"> However, the top five skills for which the managers indicated they need training in all the six countries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CD6352" w:rsidRPr="00EA7665" w14:paraId="6F0CDD15" w14:textId="77777777" w:rsidTr="00CD6352">
        <w:trPr>
          <w:trHeight w:val="1996"/>
        </w:trPr>
        <w:tc>
          <w:tcPr>
            <w:tcW w:w="3080" w:type="dxa"/>
          </w:tcPr>
          <w:p w14:paraId="6D930C1A" w14:textId="77777777" w:rsidR="00CD6352" w:rsidRPr="00F804B9" w:rsidRDefault="00CD6352" w:rsidP="00CD6352">
            <w:pPr>
              <w:rPr>
                <w:rFonts w:ascii="Arial" w:hAnsi="Arial" w:cs="Arial"/>
                <w:b/>
                <w:bCs/>
                <w:sz w:val="16"/>
                <w:szCs w:val="16"/>
              </w:rPr>
            </w:pPr>
            <w:r w:rsidRPr="00F804B9">
              <w:rPr>
                <w:rFonts w:ascii="Arial" w:hAnsi="Arial" w:cs="Arial"/>
                <w:b/>
                <w:bCs/>
                <w:sz w:val="16"/>
                <w:szCs w:val="16"/>
              </w:rPr>
              <w:t xml:space="preserve">Germany </w:t>
            </w:r>
          </w:p>
          <w:p w14:paraId="3D443E0D" w14:textId="77777777" w:rsidR="00CD6352" w:rsidRPr="00EA7665" w:rsidRDefault="00CD6352" w:rsidP="00C74AEC">
            <w:pPr>
              <w:pStyle w:val="ListParagraph"/>
              <w:numPr>
                <w:ilvl w:val="0"/>
                <w:numId w:val="133"/>
              </w:numPr>
              <w:spacing w:after="0" w:line="240" w:lineRule="auto"/>
              <w:rPr>
                <w:rFonts w:ascii="Arial" w:hAnsi="Arial" w:cs="Arial"/>
                <w:sz w:val="16"/>
                <w:szCs w:val="16"/>
              </w:rPr>
            </w:pPr>
            <w:r w:rsidRPr="00EA7665">
              <w:rPr>
                <w:rFonts w:ascii="Arial" w:hAnsi="Arial" w:cs="Arial"/>
                <w:sz w:val="16"/>
                <w:szCs w:val="16"/>
              </w:rPr>
              <w:t>Emerging technologies( such as artificial intelligence &amp; machine learning)</w:t>
            </w:r>
          </w:p>
          <w:p w14:paraId="7E0D5541" w14:textId="77777777" w:rsidR="00CD6352" w:rsidRPr="00EA7665" w:rsidRDefault="00CD6352" w:rsidP="00C74AEC">
            <w:pPr>
              <w:pStyle w:val="ListParagraph"/>
              <w:numPr>
                <w:ilvl w:val="0"/>
                <w:numId w:val="133"/>
              </w:numPr>
              <w:spacing w:after="0" w:line="240" w:lineRule="auto"/>
              <w:rPr>
                <w:rFonts w:ascii="Arial" w:hAnsi="Arial" w:cs="Arial"/>
                <w:sz w:val="16"/>
                <w:szCs w:val="16"/>
              </w:rPr>
            </w:pPr>
            <w:r w:rsidRPr="00EA7665">
              <w:rPr>
                <w:rFonts w:ascii="Arial" w:hAnsi="Arial" w:cs="Arial"/>
                <w:sz w:val="16"/>
                <w:szCs w:val="16"/>
              </w:rPr>
              <w:t xml:space="preserve">Critical thinking </w:t>
            </w:r>
          </w:p>
          <w:p w14:paraId="608CAB54" w14:textId="77777777" w:rsidR="00CD6352" w:rsidRPr="00EA7665" w:rsidRDefault="00CD6352" w:rsidP="00C74AEC">
            <w:pPr>
              <w:pStyle w:val="ListParagraph"/>
              <w:numPr>
                <w:ilvl w:val="0"/>
                <w:numId w:val="133"/>
              </w:numPr>
              <w:spacing w:after="0" w:line="240" w:lineRule="auto"/>
              <w:rPr>
                <w:rFonts w:ascii="Arial" w:hAnsi="Arial" w:cs="Arial"/>
                <w:sz w:val="16"/>
                <w:szCs w:val="16"/>
              </w:rPr>
            </w:pPr>
            <w:r w:rsidRPr="00EA7665">
              <w:rPr>
                <w:rFonts w:ascii="Arial" w:hAnsi="Arial" w:cs="Arial"/>
                <w:sz w:val="16"/>
                <w:szCs w:val="16"/>
              </w:rPr>
              <w:t>Risks management</w:t>
            </w:r>
          </w:p>
          <w:p w14:paraId="0F959427" w14:textId="6A755203" w:rsidR="00CD6352" w:rsidRPr="00EA7665" w:rsidRDefault="00F804B9" w:rsidP="00C74AEC">
            <w:pPr>
              <w:pStyle w:val="ListParagraph"/>
              <w:numPr>
                <w:ilvl w:val="0"/>
                <w:numId w:val="133"/>
              </w:numPr>
              <w:spacing w:after="0" w:line="240" w:lineRule="auto"/>
              <w:rPr>
                <w:rFonts w:ascii="Arial" w:hAnsi="Arial" w:cs="Arial"/>
                <w:sz w:val="16"/>
                <w:szCs w:val="16"/>
              </w:rPr>
            </w:pPr>
            <w:r w:rsidRPr="00EA7665">
              <w:rPr>
                <w:rFonts w:ascii="Arial" w:hAnsi="Arial" w:cs="Arial"/>
                <w:sz w:val="16"/>
                <w:szCs w:val="16"/>
              </w:rPr>
              <w:t>Developing financial</w:t>
            </w:r>
            <w:r w:rsidR="00CD6352" w:rsidRPr="00EA7665">
              <w:rPr>
                <w:rFonts w:ascii="Arial" w:hAnsi="Arial" w:cs="Arial"/>
                <w:sz w:val="16"/>
                <w:szCs w:val="16"/>
              </w:rPr>
              <w:t xml:space="preserve"> forecast and models</w:t>
            </w:r>
          </w:p>
          <w:p w14:paraId="78615F73" w14:textId="77777777" w:rsidR="00CD6352" w:rsidRPr="00EA7665" w:rsidRDefault="00CD6352" w:rsidP="00C74AEC">
            <w:pPr>
              <w:pStyle w:val="ListParagraph"/>
              <w:numPr>
                <w:ilvl w:val="0"/>
                <w:numId w:val="133"/>
              </w:numPr>
              <w:spacing w:after="0" w:line="240" w:lineRule="auto"/>
              <w:rPr>
                <w:rFonts w:ascii="Arial" w:hAnsi="Arial" w:cs="Arial"/>
                <w:sz w:val="16"/>
                <w:szCs w:val="16"/>
              </w:rPr>
            </w:pPr>
            <w:r w:rsidRPr="00EA7665">
              <w:rPr>
                <w:rFonts w:ascii="Arial" w:hAnsi="Arial" w:cs="Arial"/>
                <w:sz w:val="16"/>
                <w:szCs w:val="16"/>
              </w:rPr>
              <w:t>Developing and maintaining a cost management system</w:t>
            </w:r>
          </w:p>
        </w:tc>
        <w:tc>
          <w:tcPr>
            <w:tcW w:w="3081" w:type="dxa"/>
          </w:tcPr>
          <w:p w14:paraId="4A97C353" w14:textId="77777777" w:rsidR="00CD6352" w:rsidRPr="00F804B9" w:rsidRDefault="00CD6352" w:rsidP="00CD6352">
            <w:pPr>
              <w:rPr>
                <w:rFonts w:ascii="Arial" w:hAnsi="Arial" w:cs="Arial"/>
                <w:b/>
                <w:bCs/>
                <w:sz w:val="16"/>
                <w:szCs w:val="16"/>
              </w:rPr>
            </w:pPr>
            <w:r w:rsidRPr="00F804B9">
              <w:rPr>
                <w:rFonts w:ascii="Arial" w:hAnsi="Arial" w:cs="Arial"/>
                <w:b/>
                <w:bCs/>
                <w:sz w:val="16"/>
                <w:szCs w:val="16"/>
              </w:rPr>
              <w:t>UK</w:t>
            </w:r>
          </w:p>
          <w:p w14:paraId="3B2D2D6E" w14:textId="77777777" w:rsidR="00CD6352" w:rsidRPr="00EA7665" w:rsidRDefault="00CD6352" w:rsidP="00C74AEC">
            <w:pPr>
              <w:pStyle w:val="ListParagraph"/>
              <w:numPr>
                <w:ilvl w:val="0"/>
                <w:numId w:val="134"/>
              </w:numPr>
              <w:spacing w:after="0" w:line="240" w:lineRule="auto"/>
              <w:rPr>
                <w:rFonts w:ascii="Arial" w:hAnsi="Arial" w:cs="Arial"/>
                <w:sz w:val="16"/>
                <w:szCs w:val="16"/>
              </w:rPr>
            </w:pPr>
            <w:r w:rsidRPr="00EA7665">
              <w:rPr>
                <w:rFonts w:ascii="Arial" w:hAnsi="Arial" w:cs="Arial"/>
                <w:sz w:val="16"/>
                <w:szCs w:val="16"/>
              </w:rPr>
              <w:t>Strategic planning</w:t>
            </w:r>
            <w:r w:rsidRPr="00EA7665">
              <w:rPr>
                <w:rFonts w:ascii="Arial" w:hAnsi="Arial" w:cs="Arial"/>
                <w:sz w:val="16"/>
                <w:szCs w:val="16"/>
              </w:rPr>
              <w:tab/>
            </w:r>
          </w:p>
          <w:p w14:paraId="4F34AC7A" w14:textId="77777777" w:rsidR="00CD6352" w:rsidRPr="00EA7665" w:rsidRDefault="00CD6352" w:rsidP="00C74AEC">
            <w:pPr>
              <w:pStyle w:val="ListParagraph"/>
              <w:numPr>
                <w:ilvl w:val="0"/>
                <w:numId w:val="134"/>
              </w:numPr>
              <w:spacing w:after="0" w:line="240" w:lineRule="auto"/>
              <w:rPr>
                <w:rFonts w:ascii="Arial" w:hAnsi="Arial" w:cs="Arial"/>
                <w:sz w:val="16"/>
                <w:szCs w:val="16"/>
              </w:rPr>
            </w:pPr>
            <w:r w:rsidRPr="00EA7665">
              <w:rPr>
                <w:rFonts w:ascii="Arial" w:hAnsi="Arial" w:cs="Arial"/>
                <w:sz w:val="16"/>
                <w:szCs w:val="16"/>
              </w:rPr>
              <w:t>Specialised industry skill/ construction skill</w:t>
            </w:r>
            <w:r w:rsidRPr="00EA7665">
              <w:rPr>
                <w:rFonts w:ascii="Arial" w:hAnsi="Arial" w:cs="Arial"/>
                <w:sz w:val="16"/>
                <w:szCs w:val="16"/>
              </w:rPr>
              <w:tab/>
            </w:r>
          </w:p>
          <w:p w14:paraId="32C9A428" w14:textId="77777777" w:rsidR="00CD6352" w:rsidRPr="00EA7665" w:rsidRDefault="00CD6352" w:rsidP="00C74AEC">
            <w:pPr>
              <w:pStyle w:val="ListParagraph"/>
              <w:numPr>
                <w:ilvl w:val="0"/>
                <w:numId w:val="134"/>
              </w:numPr>
              <w:spacing w:after="0" w:line="240" w:lineRule="auto"/>
              <w:rPr>
                <w:rFonts w:ascii="Arial" w:hAnsi="Arial" w:cs="Arial"/>
                <w:sz w:val="16"/>
                <w:szCs w:val="16"/>
              </w:rPr>
            </w:pPr>
            <w:r w:rsidRPr="00EA7665">
              <w:rPr>
                <w:rFonts w:ascii="Arial" w:hAnsi="Arial" w:cs="Arial"/>
                <w:sz w:val="16"/>
                <w:szCs w:val="16"/>
              </w:rPr>
              <w:t>Planning and control</w:t>
            </w:r>
            <w:r w:rsidRPr="00EA7665">
              <w:rPr>
                <w:rFonts w:ascii="Arial" w:hAnsi="Arial" w:cs="Arial"/>
                <w:sz w:val="16"/>
                <w:szCs w:val="16"/>
              </w:rPr>
              <w:tab/>
            </w:r>
          </w:p>
          <w:p w14:paraId="7CAB5238" w14:textId="77777777" w:rsidR="00CD6352" w:rsidRPr="00EA7665" w:rsidRDefault="00CD6352" w:rsidP="00C74AEC">
            <w:pPr>
              <w:pStyle w:val="ListParagraph"/>
              <w:numPr>
                <w:ilvl w:val="0"/>
                <w:numId w:val="134"/>
              </w:numPr>
              <w:spacing w:after="0" w:line="240" w:lineRule="auto"/>
              <w:rPr>
                <w:rFonts w:ascii="Arial" w:hAnsi="Arial" w:cs="Arial"/>
                <w:sz w:val="16"/>
                <w:szCs w:val="16"/>
              </w:rPr>
            </w:pPr>
            <w:r w:rsidRPr="00EA7665">
              <w:rPr>
                <w:rFonts w:ascii="Arial" w:hAnsi="Arial" w:cs="Arial"/>
                <w:sz w:val="16"/>
                <w:szCs w:val="16"/>
              </w:rPr>
              <w:t>Teamwork</w:t>
            </w:r>
            <w:r w:rsidRPr="00EA7665">
              <w:rPr>
                <w:rFonts w:ascii="Arial" w:hAnsi="Arial" w:cs="Arial"/>
                <w:sz w:val="16"/>
                <w:szCs w:val="16"/>
              </w:rPr>
              <w:tab/>
            </w:r>
          </w:p>
          <w:p w14:paraId="537E1751" w14:textId="77777777" w:rsidR="00CD6352" w:rsidRPr="00EA7665" w:rsidRDefault="00CD6352" w:rsidP="00C74AEC">
            <w:pPr>
              <w:pStyle w:val="ListParagraph"/>
              <w:numPr>
                <w:ilvl w:val="0"/>
                <w:numId w:val="134"/>
              </w:numPr>
              <w:spacing w:after="0" w:line="240" w:lineRule="auto"/>
              <w:rPr>
                <w:rFonts w:ascii="Arial" w:hAnsi="Arial" w:cs="Arial"/>
                <w:sz w:val="16"/>
                <w:szCs w:val="16"/>
              </w:rPr>
            </w:pPr>
            <w:r w:rsidRPr="00EA7665">
              <w:rPr>
                <w:rFonts w:ascii="Arial" w:hAnsi="Arial" w:cs="Arial"/>
                <w:sz w:val="16"/>
                <w:szCs w:val="16"/>
              </w:rPr>
              <w:t>Commercial awareness</w:t>
            </w:r>
            <w:r w:rsidRPr="00EA7665">
              <w:rPr>
                <w:rFonts w:ascii="Arial" w:hAnsi="Arial" w:cs="Arial"/>
                <w:sz w:val="16"/>
                <w:szCs w:val="16"/>
              </w:rPr>
              <w:tab/>
            </w:r>
          </w:p>
        </w:tc>
        <w:tc>
          <w:tcPr>
            <w:tcW w:w="3081" w:type="dxa"/>
          </w:tcPr>
          <w:p w14:paraId="27516AB3" w14:textId="77777777" w:rsidR="00CD6352" w:rsidRPr="00F804B9" w:rsidRDefault="00CD6352" w:rsidP="00CD6352">
            <w:pPr>
              <w:rPr>
                <w:rFonts w:ascii="Arial" w:hAnsi="Arial" w:cs="Arial"/>
                <w:b/>
                <w:bCs/>
                <w:sz w:val="16"/>
                <w:szCs w:val="16"/>
              </w:rPr>
            </w:pPr>
            <w:r w:rsidRPr="00F804B9">
              <w:rPr>
                <w:rFonts w:ascii="Arial" w:hAnsi="Arial" w:cs="Arial"/>
                <w:b/>
                <w:bCs/>
                <w:sz w:val="16"/>
                <w:szCs w:val="16"/>
              </w:rPr>
              <w:t>US</w:t>
            </w:r>
          </w:p>
          <w:p w14:paraId="79771A8F" w14:textId="77777777" w:rsidR="00CD6352" w:rsidRPr="00EA7665" w:rsidRDefault="00CD6352" w:rsidP="00C74AEC">
            <w:pPr>
              <w:pStyle w:val="ListParagraph"/>
              <w:numPr>
                <w:ilvl w:val="0"/>
                <w:numId w:val="135"/>
              </w:numPr>
              <w:spacing w:after="0" w:line="240" w:lineRule="auto"/>
              <w:rPr>
                <w:rFonts w:ascii="Arial" w:hAnsi="Arial" w:cs="Arial"/>
                <w:sz w:val="16"/>
                <w:szCs w:val="16"/>
              </w:rPr>
            </w:pPr>
            <w:r w:rsidRPr="00EA7665">
              <w:rPr>
                <w:rFonts w:ascii="Arial" w:hAnsi="Arial" w:cs="Arial"/>
                <w:sz w:val="16"/>
                <w:szCs w:val="16"/>
              </w:rPr>
              <w:t>Interpreting financial data and identifying trends</w:t>
            </w:r>
          </w:p>
          <w:p w14:paraId="6942CF5E" w14:textId="77777777" w:rsidR="00CD6352" w:rsidRPr="00EA7665" w:rsidRDefault="00CD6352" w:rsidP="00C74AEC">
            <w:pPr>
              <w:pStyle w:val="ListParagraph"/>
              <w:numPr>
                <w:ilvl w:val="0"/>
                <w:numId w:val="135"/>
              </w:numPr>
              <w:spacing w:after="0" w:line="240" w:lineRule="auto"/>
              <w:rPr>
                <w:rFonts w:ascii="Arial" w:hAnsi="Arial" w:cs="Arial"/>
                <w:sz w:val="16"/>
                <w:szCs w:val="16"/>
              </w:rPr>
            </w:pPr>
            <w:r w:rsidRPr="00EA7665">
              <w:rPr>
                <w:rFonts w:ascii="Arial" w:hAnsi="Arial" w:cs="Arial"/>
                <w:sz w:val="16"/>
                <w:szCs w:val="16"/>
              </w:rPr>
              <w:t>Financial management approach analysis</w:t>
            </w:r>
          </w:p>
          <w:p w14:paraId="431A26E2" w14:textId="77777777" w:rsidR="00CD6352" w:rsidRPr="00EA7665" w:rsidRDefault="00CD6352" w:rsidP="00C74AEC">
            <w:pPr>
              <w:pStyle w:val="ListParagraph"/>
              <w:numPr>
                <w:ilvl w:val="0"/>
                <w:numId w:val="135"/>
              </w:numPr>
              <w:spacing w:after="0" w:line="240" w:lineRule="auto"/>
              <w:rPr>
                <w:rFonts w:ascii="Arial" w:hAnsi="Arial" w:cs="Arial"/>
                <w:sz w:val="16"/>
                <w:szCs w:val="16"/>
              </w:rPr>
            </w:pPr>
            <w:r w:rsidRPr="00EA7665">
              <w:rPr>
                <w:rFonts w:ascii="Arial" w:hAnsi="Arial" w:cs="Arial"/>
                <w:sz w:val="16"/>
                <w:szCs w:val="16"/>
              </w:rPr>
              <w:t>Analytical skill</w:t>
            </w:r>
          </w:p>
          <w:p w14:paraId="5D528EDB" w14:textId="77777777" w:rsidR="00CD6352" w:rsidRPr="00EA7665" w:rsidRDefault="00CD6352" w:rsidP="00C74AEC">
            <w:pPr>
              <w:pStyle w:val="ListParagraph"/>
              <w:numPr>
                <w:ilvl w:val="0"/>
                <w:numId w:val="135"/>
              </w:numPr>
              <w:spacing w:after="0" w:line="240" w:lineRule="auto"/>
              <w:rPr>
                <w:rFonts w:ascii="Arial" w:hAnsi="Arial" w:cs="Arial"/>
                <w:sz w:val="16"/>
                <w:szCs w:val="16"/>
              </w:rPr>
            </w:pPr>
            <w:r w:rsidRPr="00EA7665">
              <w:rPr>
                <w:rFonts w:ascii="Arial" w:hAnsi="Arial" w:cs="Arial"/>
                <w:sz w:val="16"/>
                <w:szCs w:val="16"/>
              </w:rPr>
              <w:t>Budgeting</w:t>
            </w:r>
          </w:p>
          <w:p w14:paraId="433F50D5" w14:textId="77777777" w:rsidR="00CD6352" w:rsidRPr="00EA7665" w:rsidRDefault="00CD6352" w:rsidP="00C74AEC">
            <w:pPr>
              <w:pStyle w:val="ListParagraph"/>
              <w:numPr>
                <w:ilvl w:val="0"/>
                <w:numId w:val="135"/>
              </w:numPr>
              <w:spacing w:after="0" w:line="240" w:lineRule="auto"/>
              <w:rPr>
                <w:rFonts w:ascii="Arial" w:hAnsi="Arial" w:cs="Arial"/>
                <w:sz w:val="16"/>
                <w:szCs w:val="16"/>
              </w:rPr>
            </w:pPr>
            <w:r w:rsidRPr="00EA7665">
              <w:rPr>
                <w:rFonts w:ascii="Arial" w:hAnsi="Arial" w:cs="Arial"/>
                <w:sz w:val="16"/>
                <w:szCs w:val="16"/>
              </w:rPr>
              <w:t>Teamwork</w:t>
            </w:r>
          </w:p>
        </w:tc>
      </w:tr>
      <w:tr w:rsidR="00CD6352" w:rsidRPr="00EA7665" w14:paraId="2C6B6564" w14:textId="77777777" w:rsidTr="00CD6352">
        <w:tc>
          <w:tcPr>
            <w:tcW w:w="3080" w:type="dxa"/>
          </w:tcPr>
          <w:p w14:paraId="5B8A696F" w14:textId="77777777" w:rsidR="00CD6352" w:rsidRPr="00F804B9" w:rsidRDefault="00CD6352" w:rsidP="00CD6352">
            <w:pPr>
              <w:rPr>
                <w:rFonts w:ascii="Arial" w:hAnsi="Arial" w:cs="Arial"/>
                <w:b/>
                <w:bCs/>
                <w:sz w:val="16"/>
                <w:szCs w:val="16"/>
              </w:rPr>
            </w:pPr>
            <w:r w:rsidRPr="00F804B9">
              <w:rPr>
                <w:rFonts w:ascii="Arial" w:hAnsi="Arial" w:cs="Arial"/>
                <w:b/>
                <w:bCs/>
                <w:sz w:val="16"/>
                <w:szCs w:val="16"/>
              </w:rPr>
              <w:t>China</w:t>
            </w:r>
          </w:p>
          <w:p w14:paraId="67FBBC6F" w14:textId="77777777" w:rsidR="00CD6352" w:rsidRPr="00EA7665" w:rsidRDefault="00CD6352" w:rsidP="00C74AEC">
            <w:pPr>
              <w:pStyle w:val="ListParagraph"/>
              <w:numPr>
                <w:ilvl w:val="0"/>
                <w:numId w:val="136"/>
              </w:numPr>
              <w:spacing w:after="0" w:line="240" w:lineRule="auto"/>
              <w:rPr>
                <w:rFonts w:ascii="Arial" w:hAnsi="Arial" w:cs="Arial"/>
                <w:sz w:val="16"/>
                <w:szCs w:val="16"/>
              </w:rPr>
            </w:pPr>
            <w:r w:rsidRPr="00EA7665">
              <w:rPr>
                <w:rFonts w:ascii="Arial" w:hAnsi="Arial" w:cs="Arial"/>
                <w:sz w:val="16"/>
                <w:szCs w:val="16"/>
              </w:rPr>
              <w:t>Analytical skill</w:t>
            </w:r>
          </w:p>
          <w:p w14:paraId="3F78EADB" w14:textId="77777777" w:rsidR="00CD6352" w:rsidRPr="00EA7665" w:rsidRDefault="00CD6352" w:rsidP="00C74AEC">
            <w:pPr>
              <w:pStyle w:val="ListParagraph"/>
              <w:numPr>
                <w:ilvl w:val="0"/>
                <w:numId w:val="136"/>
              </w:numPr>
              <w:spacing w:after="0" w:line="240" w:lineRule="auto"/>
              <w:rPr>
                <w:rFonts w:ascii="Arial" w:hAnsi="Arial" w:cs="Arial"/>
                <w:sz w:val="16"/>
                <w:szCs w:val="16"/>
              </w:rPr>
            </w:pPr>
            <w:r w:rsidRPr="00EA7665">
              <w:rPr>
                <w:rFonts w:ascii="Arial" w:hAnsi="Arial" w:cs="Arial"/>
                <w:sz w:val="16"/>
                <w:szCs w:val="16"/>
              </w:rPr>
              <w:t>Teamwork</w:t>
            </w:r>
          </w:p>
          <w:p w14:paraId="1CD6A90E" w14:textId="77777777" w:rsidR="00CD6352" w:rsidRPr="00EA7665" w:rsidRDefault="00CD6352" w:rsidP="00C74AEC">
            <w:pPr>
              <w:pStyle w:val="ListParagraph"/>
              <w:numPr>
                <w:ilvl w:val="0"/>
                <w:numId w:val="136"/>
              </w:numPr>
              <w:spacing w:after="0" w:line="240" w:lineRule="auto"/>
              <w:rPr>
                <w:rFonts w:ascii="Arial" w:hAnsi="Arial" w:cs="Arial"/>
                <w:sz w:val="16"/>
                <w:szCs w:val="16"/>
              </w:rPr>
            </w:pPr>
            <w:r w:rsidRPr="00EA7665">
              <w:rPr>
                <w:rFonts w:ascii="Arial" w:hAnsi="Arial" w:cs="Arial"/>
                <w:sz w:val="16"/>
                <w:szCs w:val="16"/>
              </w:rPr>
              <w:t>Strategic planning</w:t>
            </w:r>
          </w:p>
          <w:p w14:paraId="72203B3A" w14:textId="77777777" w:rsidR="00CD6352" w:rsidRPr="00EA7665" w:rsidRDefault="00CD6352" w:rsidP="00C74AEC">
            <w:pPr>
              <w:pStyle w:val="ListParagraph"/>
              <w:numPr>
                <w:ilvl w:val="0"/>
                <w:numId w:val="136"/>
              </w:numPr>
              <w:spacing w:after="0" w:line="240" w:lineRule="auto"/>
              <w:rPr>
                <w:rFonts w:ascii="Arial" w:hAnsi="Arial" w:cs="Arial"/>
                <w:sz w:val="16"/>
                <w:szCs w:val="16"/>
              </w:rPr>
            </w:pPr>
            <w:r w:rsidRPr="00EA7665">
              <w:rPr>
                <w:rFonts w:ascii="Arial" w:hAnsi="Arial" w:cs="Arial"/>
                <w:sz w:val="16"/>
                <w:szCs w:val="16"/>
              </w:rPr>
              <w:t>Negotiation</w:t>
            </w:r>
          </w:p>
          <w:p w14:paraId="598D024D" w14:textId="77777777" w:rsidR="00CD6352" w:rsidRPr="00EA7665" w:rsidRDefault="00CD6352" w:rsidP="00C74AEC">
            <w:pPr>
              <w:pStyle w:val="ListParagraph"/>
              <w:numPr>
                <w:ilvl w:val="0"/>
                <w:numId w:val="136"/>
              </w:numPr>
              <w:spacing w:after="0" w:line="240" w:lineRule="auto"/>
              <w:rPr>
                <w:rFonts w:ascii="Arial" w:hAnsi="Arial" w:cs="Arial"/>
                <w:sz w:val="16"/>
                <w:szCs w:val="16"/>
              </w:rPr>
            </w:pPr>
            <w:r w:rsidRPr="00EA7665">
              <w:rPr>
                <w:rFonts w:ascii="Arial" w:hAnsi="Arial" w:cs="Arial"/>
                <w:sz w:val="16"/>
                <w:szCs w:val="16"/>
              </w:rPr>
              <w:t>Critical thinking</w:t>
            </w:r>
          </w:p>
          <w:p w14:paraId="119E22E9" w14:textId="77777777" w:rsidR="00CD6352" w:rsidRPr="00EA7665" w:rsidRDefault="00CD6352" w:rsidP="00CD6352">
            <w:pPr>
              <w:rPr>
                <w:rFonts w:ascii="Arial" w:hAnsi="Arial" w:cs="Arial"/>
                <w:sz w:val="16"/>
                <w:szCs w:val="16"/>
              </w:rPr>
            </w:pPr>
          </w:p>
        </w:tc>
        <w:tc>
          <w:tcPr>
            <w:tcW w:w="3081" w:type="dxa"/>
          </w:tcPr>
          <w:p w14:paraId="7AADFD70" w14:textId="77777777" w:rsidR="00CD6352" w:rsidRPr="00F804B9" w:rsidRDefault="00CD6352" w:rsidP="00CD6352">
            <w:pPr>
              <w:rPr>
                <w:rFonts w:ascii="Arial" w:hAnsi="Arial" w:cs="Arial"/>
                <w:b/>
                <w:bCs/>
                <w:sz w:val="16"/>
                <w:szCs w:val="16"/>
              </w:rPr>
            </w:pPr>
            <w:r w:rsidRPr="00F804B9">
              <w:rPr>
                <w:rFonts w:ascii="Arial" w:hAnsi="Arial" w:cs="Arial"/>
                <w:b/>
                <w:bCs/>
                <w:sz w:val="16"/>
                <w:szCs w:val="16"/>
              </w:rPr>
              <w:t>Nigeria</w:t>
            </w:r>
          </w:p>
          <w:p w14:paraId="7FE0A5BF" w14:textId="77777777" w:rsidR="00CD6352" w:rsidRPr="00EA7665" w:rsidRDefault="00CD6352" w:rsidP="00C74AEC">
            <w:pPr>
              <w:pStyle w:val="ListParagraph"/>
              <w:numPr>
                <w:ilvl w:val="0"/>
                <w:numId w:val="137"/>
              </w:numPr>
              <w:spacing w:after="0" w:line="240" w:lineRule="auto"/>
              <w:rPr>
                <w:rFonts w:ascii="Arial" w:hAnsi="Arial" w:cs="Arial"/>
                <w:sz w:val="16"/>
                <w:szCs w:val="16"/>
              </w:rPr>
            </w:pPr>
            <w:r w:rsidRPr="00EA7665">
              <w:rPr>
                <w:rFonts w:ascii="Arial" w:hAnsi="Arial" w:cs="Arial"/>
                <w:sz w:val="16"/>
                <w:szCs w:val="16"/>
              </w:rPr>
              <w:t>Leadership skill</w:t>
            </w:r>
          </w:p>
          <w:p w14:paraId="68439E86" w14:textId="77777777" w:rsidR="00CD6352" w:rsidRPr="00EA7665" w:rsidRDefault="00CD6352" w:rsidP="00C74AEC">
            <w:pPr>
              <w:pStyle w:val="ListParagraph"/>
              <w:numPr>
                <w:ilvl w:val="0"/>
                <w:numId w:val="137"/>
              </w:numPr>
              <w:spacing w:after="0" w:line="240" w:lineRule="auto"/>
              <w:rPr>
                <w:rFonts w:ascii="Arial" w:hAnsi="Arial" w:cs="Arial"/>
                <w:sz w:val="16"/>
                <w:szCs w:val="16"/>
              </w:rPr>
            </w:pPr>
            <w:r w:rsidRPr="00EA7665">
              <w:rPr>
                <w:rFonts w:ascii="Arial" w:hAnsi="Arial" w:cs="Arial"/>
                <w:sz w:val="16"/>
                <w:szCs w:val="16"/>
              </w:rPr>
              <w:t>Planning and control</w:t>
            </w:r>
          </w:p>
          <w:p w14:paraId="05256A8D" w14:textId="77777777" w:rsidR="00CD6352" w:rsidRPr="00EA7665" w:rsidRDefault="00CD6352" w:rsidP="00C74AEC">
            <w:pPr>
              <w:pStyle w:val="ListParagraph"/>
              <w:numPr>
                <w:ilvl w:val="0"/>
                <w:numId w:val="137"/>
              </w:numPr>
              <w:spacing w:after="0" w:line="240" w:lineRule="auto"/>
              <w:rPr>
                <w:rFonts w:ascii="Arial" w:hAnsi="Arial" w:cs="Arial"/>
                <w:sz w:val="16"/>
                <w:szCs w:val="16"/>
              </w:rPr>
            </w:pPr>
            <w:r w:rsidRPr="00EA7665">
              <w:rPr>
                <w:rFonts w:ascii="Arial" w:hAnsi="Arial" w:cs="Arial"/>
                <w:sz w:val="16"/>
                <w:szCs w:val="16"/>
              </w:rPr>
              <w:t>Teamwork</w:t>
            </w:r>
          </w:p>
          <w:p w14:paraId="07755DF8" w14:textId="77777777" w:rsidR="00CD6352" w:rsidRPr="00EA7665" w:rsidRDefault="00CD6352" w:rsidP="00C74AEC">
            <w:pPr>
              <w:pStyle w:val="ListParagraph"/>
              <w:numPr>
                <w:ilvl w:val="0"/>
                <w:numId w:val="137"/>
              </w:numPr>
              <w:spacing w:after="0" w:line="240" w:lineRule="auto"/>
              <w:rPr>
                <w:rFonts w:ascii="Arial" w:hAnsi="Arial" w:cs="Arial"/>
                <w:sz w:val="16"/>
                <w:szCs w:val="16"/>
              </w:rPr>
            </w:pPr>
            <w:r w:rsidRPr="00EA7665">
              <w:rPr>
                <w:rFonts w:ascii="Arial" w:hAnsi="Arial" w:cs="Arial"/>
                <w:sz w:val="16"/>
                <w:szCs w:val="16"/>
              </w:rPr>
              <w:t>Developing confidence &amp; building relationships</w:t>
            </w:r>
          </w:p>
          <w:p w14:paraId="3CA2B628" w14:textId="77777777" w:rsidR="00CD6352" w:rsidRPr="00EA7665" w:rsidRDefault="00CD6352" w:rsidP="00C74AEC">
            <w:pPr>
              <w:pStyle w:val="ListParagraph"/>
              <w:numPr>
                <w:ilvl w:val="0"/>
                <w:numId w:val="137"/>
              </w:numPr>
              <w:spacing w:after="0" w:line="240" w:lineRule="auto"/>
              <w:rPr>
                <w:rFonts w:ascii="Arial" w:hAnsi="Arial" w:cs="Arial"/>
                <w:sz w:val="16"/>
                <w:szCs w:val="16"/>
              </w:rPr>
            </w:pPr>
            <w:r w:rsidRPr="00EA7665">
              <w:rPr>
                <w:rFonts w:ascii="Arial" w:hAnsi="Arial" w:cs="Arial"/>
                <w:sz w:val="16"/>
                <w:szCs w:val="16"/>
              </w:rPr>
              <w:t>Financial management approach analysis</w:t>
            </w:r>
          </w:p>
        </w:tc>
        <w:tc>
          <w:tcPr>
            <w:tcW w:w="3081" w:type="dxa"/>
          </w:tcPr>
          <w:p w14:paraId="4932E5D0" w14:textId="77777777" w:rsidR="00CD6352" w:rsidRPr="00F804B9" w:rsidRDefault="00CD6352" w:rsidP="00CD6352">
            <w:pPr>
              <w:rPr>
                <w:rFonts w:ascii="Arial" w:hAnsi="Arial" w:cs="Arial"/>
                <w:b/>
                <w:bCs/>
                <w:sz w:val="16"/>
                <w:szCs w:val="16"/>
              </w:rPr>
            </w:pPr>
            <w:r w:rsidRPr="00F804B9">
              <w:rPr>
                <w:rFonts w:ascii="Arial" w:hAnsi="Arial" w:cs="Arial"/>
                <w:b/>
                <w:bCs/>
                <w:sz w:val="16"/>
                <w:szCs w:val="16"/>
              </w:rPr>
              <w:t>South Africa</w:t>
            </w:r>
          </w:p>
          <w:p w14:paraId="40A728C4" w14:textId="77777777" w:rsidR="00CD6352" w:rsidRPr="00EA7665" w:rsidRDefault="00CD6352" w:rsidP="00C74AEC">
            <w:pPr>
              <w:pStyle w:val="ListParagraph"/>
              <w:numPr>
                <w:ilvl w:val="0"/>
                <w:numId w:val="138"/>
              </w:numPr>
              <w:spacing w:after="0" w:line="240" w:lineRule="auto"/>
              <w:rPr>
                <w:rFonts w:ascii="Arial" w:hAnsi="Arial" w:cs="Arial"/>
                <w:sz w:val="16"/>
                <w:szCs w:val="16"/>
              </w:rPr>
            </w:pPr>
            <w:r w:rsidRPr="00EA7665">
              <w:rPr>
                <w:rFonts w:ascii="Arial" w:hAnsi="Arial" w:cs="Arial"/>
                <w:sz w:val="16"/>
                <w:szCs w:val="16"/>
              </w:rPr>
              <w:t>Developing confidence &amp; building relationships</w:t>
            </w:r>
          </w:p>
          <w:p w14:paraId="67D3B6A0" w14:textId="77777777" w:rsidR="00CD6352" w:rsidRPr="00EA7665" w:rsidRDefault="00CD6352" w:rsidP="00C74AEC">
            <w:pPr>
              <w:pStyle w:val="ListParagraph"/>
              <w:numPr>
                <w:ilvl w:val="0"/>
                <w:numId w:val="138"/>
              </w:numPr>
              <w:spacing w:after="0" w:line="240" w:lineRule="auto"/>
              <w:rPr>
                <w:rFonts w:ascii="Arial" w:hAnsi="Arial" w:cs="Arial"/>
                <w:sz w:val="16"/>
                <w:szCs w:val="16"/>
              </w:rPr>
            </w:pPr>
            <w:r w:rsidRPr="00EA7665">
              <w:rPr>
                <w:rFonts w:ascii="Arial" w:hAnsi="Arial" w:cs="Arial"/>
                <w:sz w:val="16"/>
                <w:szCs w:val="16"/>
              </w:rPr>
              <w:t>Analytical skill</w:t>
            </w:r>
          </w:p>
          <w:p w14:paraId="401206A5" w14:textId="77777777" w:rsidR="00CD6352" w:rsidRPr="00EA7665" w:rsidRDefault="00CD6352" w:rsidP="00C74AEC">
            <w:pPr>
              <w:pStyle w:val="ListParagraph"/>
              <w:numPr>
                <w:ilvl w:val="0"/>
                <w:numId w:val="138"/>
              </w:numPr>
              <w:spacing w:after="0" w:line="240" w:lineRule="auto"/>
              <w:rPr>
                <w:rFonts w:ascii="Arial" w:hAnsi="Arial" w:cs="Arial"/>
                <w:sz w:val="16"/>
                <w:szCs w:val="16"/>
              </w:rPr>
            </w:pPr>
            <w:r w:rsidRPr="00EA7665">
              <w:rPr>
                <w:rFonts w:ascii="Arial" w:hAnsi="Arial" w:cs="Arial"/>
                <w:sz w:val="16"/>
                <w:szCs w:val="16"/>
              </w:rPr>
              <w:t>Negotiation</w:t>
            </w:r>
          </w:p>
          <w:p w14:paraId="0E95BEB6" w14:textId="77777777" w:rsidR="00CD6352" w:rsidRPr="00EA7665" w:rsidRDefault="00CD6352" w:rsidP="00C74AEC">
            <w:pPr>
              <w:pStyle w:val="ListParagraph"/>
              <w:numPr>
                <w:ilvl w:val="0"/>
                <w:numId w:val="138"/>
              </w:numPr>
              <w:spacing w:after="0" w:line="240" w:lineRule="auto"/>
              <w:rPr>
                <w:rFonts w:ascii="Arial" w:hAnsi="Arial" w:cs="Arial"/>
                <w:sz w:val="16"/>
                <w:szCs w:val="16"/>
              </w:rPr>
            </w:pPr>
            <w:r w:rsidRPr="00EA7665">
              <w:rPr>
                <w:rFonts w:ascii="Arial" w:hAnsi="Arial" w:cs="Arial"/>
                <w:sz w:val="16"/>
                <w:szCs w:val="16"/>
              </w:rPr>
              <w:t>Identifying and accessing the alternative option</w:t>
            </w:r>
          </w:p>
          <w:p w14:paraId="21C20CA2" w14:textId="77777777" w:rsidR="00CD6352" w:rsidRPr="00EA7665" w:rsidRDefault="00CD6352" w:rsidP="00C74AEC">
            <w:pPr>
              <w:pStyle w:val="ListParagraph"/>
              <w:numPr>
                <w:ilvl w:val="0"/>
                <w:numId w:val="138"/>
              </w:numPr>
              <w:spacing w:after="0" w:line="240" w:lineRule="auto"/>
              <w:rPr>
                <w:rFonts w:ascii="Arial" w:hAnsi="Arial" w:cs="Arial"/>
                <w:sz w:val="16"/>
                <w:szCs w:val="16"/>
              </w:rPr>
            </w:pPr>
            <w:r w:rsidRPr="00EA7665">
              <w:rPr>
                <w:rFonts w:ascii="Arial" w:hAnsi="Arial" w:cs="Arial"/>
                <w:sz w:val="16"/>
                <w:szCs w:val="16"/>
              </w:rPr>
              <w:t>Commercial awareness</w:t>
            </w:r>
          </w:p>
        </w:tc>
      </w:tr>
    </w:tbl>
    <w:p w14:paraId="2F1D6C32" w14:textId="77777777" w:rsidR="00CD6352" w:rsidRPr="00EA7665" w:rsidRDefault="00CD6352" w:rsidP="00CD6352">
      <w:pPr>
        <w:rPr>
          <w:rFonts w:ascii="Arial" w:hAnsi="Arial" w:cs="Arial"/>
        </w:rPr>
      </w:pPr>
    </w:p>
    <w:p w14:paraId="16CC7CDA" w14:textId="77777777" w:rsidR="00CD6352" w:rsidRPr="00EA7665" w:rsidRDefault="00CD6352" w:rsidP="00CD6352">
      <w:pPr>
        <w:rPr>
          <w:rFonts w:ascii="Arial" w:hAnsi="Arial" w:cs="Arial"/>
        </w:rPr>
      </w:pPr>
    </w:p>
    <w:p w14:paraId="1C7AAE72" w14:textId="77777777" w:rsidR="00CD6352" w:rsidRPr="00EA7665" w:rsidRDefault="00CD6352" w:rsidP="00CD6352">
      <w:pPr>
        <w:rPr>
          <w:rFonts w:ascii="Arial" w:hAnsi="Arial" w:cs="Arial"/>
        </w:rPr>
      </w:pPr>
    </w:p>
    <w:p w14:paraId="298318F7" w14:textId="77777777" w:rsidR="00CD6352" w:rsidRPr="00EA7665" w:rsidRDefault="00CD6352" w:rsidP="00CD6352">
      <w:pPr>
        <w:pStyle w:val="Heading3"/>
        <w:spacing w:after="240"/>
        <w:rPr>
          <w:sz w:val="22"/>
          <w:szCs w:val="22"/>
        </w:rPr>
      </w:pPr>
      <w:bookmarkStart w:id="1319" w:name="_Toc78983895"/>
      <w:r w:rsidRPr="00EA7665">
        <w:rPr>
          <w:sz w:val="22"/>
          <w:szCs w:val="22"/>
        </w:rPr>
        <w:t>The degree of need for training and education for management skills for securing finance for the future (next five years)</w:t>
      </w:r>
      <w:bookmarkEnd w:id="1319"/>
    </w:p>
    <w:p w14:paraId="2561957F" w14:textId="77777777" w:rsidR="00CD6352" w:rsidRPr="00EA7665" w:rsidRDefault="00CD6352" w:rsidP="00CD6352">
      <w:pPr>
        <w:pStyle w:val="Heading4"/>
        <w:spacing w:after="240"/>
        <w:rPr>
          <w:rFonts w:ascii="Arial" w:hAnsi="Arial" w:cs="Arial"/>
          <w:color w:val="000000" w:themeColor="text1"/>
        </w:rPr>
      </w:pPr>
      <w:r w:rsidRPr="00EA7665">
        <w:rPr>
          <w:rFonts w:ascii="Arial" w:hAnsi="Arial" w:cs="Arial"/>
          <w:color w:val="000000" w:themeColor="text1"/>
        </w:rPr>
        <w:t>Questionnaire survey discussion and analysis at the aggregate level</w:t>
      </w:r>
    </w:p>
    <w:p w14:paraId="2BB0F3D7" w14:textId="113CAED8" w:rsidR="00CD6352" w:rsidRPr="00EA7665" w:rsidRDefault="00CD6352" w:rsidP="00CD6352">
      <w:pPr>
        <w:spacing w:line="360" w:lineRule="auto"/>
        <w:rPr>
          <w:rFonts w:ascii="Arial" w:hAnsi="Arial" w:cs="Arial"/>
        </w:rPr>
      </w:pPr>
      <w:r w:rsidRPr="00EA7665">
        <w:rPr>
          <w:rFonts w:ascii="Arial" w:hAnsi="Arial" w:cs="Arial"/>
        </w:rPr>
        <w:t xml:space="preserve">The results relating to the degree of need for training and education for the future (next 5years) </w:t>
      </w:r>
      <w:r w:rsidR="00D50F53">
        <w:rPr>
          <w:rFonts w:ascii="Arial" w:hAnsi="Arial" w:cs="Arial"/>
        </w:rPr>
        <w:t>concerning</w:t>
      </w:r>
      <w:r w:rsidRPr="00EA7665">
        <w:rPr>
          <w:rFonts w:ascii="Arial" w:hAnsi="Arial" w:cs="Arial"/>
        </w:rPr>
        <w:t xml:space="preserve"> skills managers</w:t>
      </w:r>
      <w:r w:rsidR="00FE1690">
        <w:rPr>
          <w:rFonts w:ascii="Arial" w:hAnsi="Arial" w:cs="Arial"/>
        </w:rPr>
        <w:t>' need to secure finance for real estate project development are</w:t>
      </w:r>
      <w:r w:rsidRPr="00EA7665">
        <w:rPr>
          <w:rFonts w:ascii="Arial" w:hAnsi="Arial" w:cs="Arial"/>
        </w:rPr>
        <w:t xml:space="preserve"> contained in table 8</w:t>
      </w:r>
      <w:r w:rsidR="00D45A7C">
        <w:rPr>
          <w:rFonts w:ascii="Arial" w:hAnsi="Arial" w:cs="Arial"/>
        </w:rPr>
        <w:t>.2.5</w:t>
      </w:r>
      <w:r w:rsidRPr="00EA7665">
        <w:rPr>
          <w:rFonts w:ascii="Arial" w:hAnsi="Arial" w:cs="Arial"/>
        </w:rPr>
        <w:t>.</w:t>
      </w:r>
    </w:p>
    <w:p w14:paraId="3E875C9E" w14:textId="05952134" w:rsidR="00CD6352" w:rsidRPr="00EA7665" w:rsidRDefault="00CD6352" w:rsidP="00CD6352">
      <w:pPr>
        <w:spacing w:line="360" w:lineRule="auto"/>
        <w:rPr>
          <w:rFonts w:ascii="Arial" w:hAnsi="Arial" w:cs="Arial"/>
        </w:rPr>
      </w:pPr>
      <w:r w:rsidRPr="00EA7665">
        <w:rPr>
          <w:rFonts w:ascii="Arial" w:hAnsi="Arial" w:cs="Arial"/>
        </w:rPr>
        <w:t xml:space="preserve">The data proves that the skills for which </w:t>
      </w:r>
      <w:r w:rsidR="00D36E07" w:rsidRPr="00EA7665">
        <w:rPr>
          <w:rFonts w:ascii="Arial" w:hAnsi="Arial" w:cs="Arial"/>
        </w:rPr>
        <w:t>tra</w:t>
      </w:r>
      <w:r w:rsidR="00D36E07">
        <w:rPr>
          <w:rFonts w:ascii="Arial" w:hAnsi="Arial" w:cs="Arial"/>
        </w:rPr>
        <w:t>ining</w:t>
      </w:r>
      <w:r w:rsidRPr="00EA7665">
        <w:rPr>
          <w:rFonts w:ascii="Arial" w:hAnsi="Arial" w:cs="Arial"/>
        </w:rPr>
        <w:t xml:space="preserve"> and education </w:t>
      </w:r>
      <w:r w:rsidR="00F739B8">
        <w:rPr>
          <w:rFonts w:ascii="Arial" w:hAnsi="Arial" w:cs="Arial"/>
        </w:rPr>
        <w:t>is</w:t>
      </w:r>
      <w:r w:rsidRPr="00EA7665">
        <w:rPr>
          <w:rFonts w:ascii="Arial" w:hAnsi="Arial" w:cs="Arial"/>
        </w:rPr>
        <w:t xml:space="preserve"> most needed for the future </w:t>
      </w:r>
      <w:r w:rsidR="00F739B8">
        <w:rPr>
          <w:rFonts w:ascii="Arial" w:hAnsi="Arial" w:cs="Arial"/>
        </w:rPr>
        <w:t>is</w:t>
      </w:r>
      <w:r w:rsidRPr="00EA7665">
        <w:rPr>
          <w:rFonts w:ascii="Arial" w:hAnsi="Arial" w:cs="Arial"/>
        </w:rPr>
        <w:t xml:space="preserve"> </w:t>
      </w:r>
      <w:r w:rsidR="00A93E5C" w:rsidRPr="00EA7665">
        <w:rPr>
          <w:rFonts w:ascii="Arial" w:hAnsi="Arial" w:cs="Arial"/>
        </w:rPr>
        <w:t>teamwork</w:t>
      </w:r>
      <w:r w:rsidRPr="00EA7665">
        <w:rPr>
          <w:rFonts w:ascii="Arial" w:hAnsi="Arial" w:cs="Arial"/>
        </w:rPr>
        <w:t xml:space="preserve"> (53%). </w:t>
      </w:r>
      <w:r w:rsidR="00D36E07" w:rsidRPr="00EA7665">
        <w:rPr>
          <w:rFonts w:ascii="Arial" w:hAnsi="Arial" w:cs="Arial"/>
        </w:rPr>
        <w:t>Teamwork</w:t>
      </w:r>
      <w:r w:rsidRPr="00EA7665">
        <w:rPr>
          <w:rFonts w:ascii="Arial" w:hAnsi="Arial" w:cs="Arial"/>
        </w:rPr>
        <w:t xml:space="preserve"> is seen as the </w:t>
      </w:r>
      <w:r w:rsidR="00F739B8">
        <w:rPr>
          <w:rFonts w:ascii="Arial" w:hAnsi="Arial" w:cs="Arial"/>
        </w:rPr>
        <w:t>most vital</w:t>
      </w:r>
      <w:r w:rsidRPr="00EA7665">
        <w:rPr>
          <w:rFonts w:ascii="Arial" w:hAnsi="Arial" w:cs="Arial"/>
        </w:rPr>
        <w:t xml:space="preserve"> managerial skill amongst technical professio</w:t>
      </w:r>
      <w:r>
        <w:rPr>
          <w:rFonts w:ascii="Arial" w:hAnsi="Arial" w:cs="Arial"/>
        </w:rPr>
        <w:t xml:space="preserve">nals </w:t>
      </w:r>
      <w:r w:rsidRPr="00EA7665">
        <w:rPr>
          <w:rFonts w:ascii="Arial" w:hAnsi="Arial" w:cs="Arial"/>
        </w:rPr>
        <w:t xml:space="preserve">because most </w:t>
      </w:r>
      <w:r>
        <w:rPr>
          <w:rFonts w:ascii="Arial" w:hAnsi="Arial" w:cs="Arial"/>
        </w:rPr>
        <w:t>tasks</w:t>
      </w:r>
      <w:r w:rsidRPr="00EA7665">
        <w:rPr>
          <w:rFonts w:ascii="Arial" w:hAnsi="Arial" w:cs="Arial"/>
        </w:rPr>
        <w:t xml:space="preserve"> are done in teams or involv</w:t>
      </w:r>
      <w:r>
        <w:rPr>
          <w:rFonts w:ascii="Arial" w:hAnsi="Arial" w:cs="Arial"/>
        </w:rPr>
        <w:t xml:space="preserve">e </w:t>
      </w:r>
      <w:r w:rsidRPr="00EA7665">
        <w:rPr>
          <w:rFonts w:ascii="Arial" w:hAnsi="Arial" w:cs="Arial"/>
        </w:rPr>
        <w:t xml:space="preserve">coordinating other areas (Spencer and Spencer,1993). This is closely followed by analytical skills (48.7%), planning and control (48.6), leadership skills (41.2%) and developing and maintaining </w:t>
      </w:r>
      <w:r>
        <w:rPr>
          <w:rFonts w:ascii="Arial" w:hAnsi="Arial" w:cs="Arial"/>
        </w:rPr>
        <w:t xml:space="preserve">a </w:t>
      </w:r>
      <w:r w:rsidRPr="00EA7665">
        <w:rPr>
          <w:rFonts w:ascii="Arial" w:hAnsi="Arial" w:cs="Arial"/>
        </w:rPr>
        <w:t>cost management system (40.5%). However, the skills manag</w:t>
      </w:r>
      <w:r>
        <w:rPr>
          <w:rFonts w:ascii="Arial" w:hAnsi="Arial" w:cs="Arial"/>
        </w:rPr>
        <w:t>ers</w:t>
      </w:r>
      <w:r w:rsidRPr="00EA7665">
        <w:rPr>
          <w:rFonts w:ascii="Arial" w:hAnsi="Arial" w:cs="Arial"/>
        </w:rPr>
        <w:t xml:space="preserve"> indicated they w</w:t>
      </w:r>
      <w:r w:rsidR="00F739B8">
        <w:rPr>
          <w:rFonts w:ascii="Arial" w:hAnsi="Arial" w:cs="Arial"/>
        </w:rPr>
        <w:t>ould</w:t>
      </w:r>
      <w:r w:rsidRPr="00EA7665">
        <w:rPr>
          <w:rFonts w:ascii="Arial" w:hAnsi="Arial" w:cs="Arial"/>
        </w:rPr>
        <w:t xml:space="preserve"> need the </w:t>
      </w:r>
      <w:r w:rsidRPr="00EA7665">
        <w:rPr>
          <w:rFonts w:ascii="Arial" w:hAnsi="Arial" w:cs="Arial"/>
        </w:rPr>
        <w:lastRenderedPageBreak/>
        <w:t>least training and education at the aggregate level are recognising and using influence (19.4%) and emotional intelligence (18.9%).</w:t>
      </w:r>
    </w:p>
    <w:p w14:paraId="58E7B18A" w14:textId="6C359674" w:rsidR="00D50F53" w:rsidRPr="00EA7665" w:rsidRDefault="00D50F53" w:rsidP="00D50F53">
      <w:pPr>
        <w:pStyle w:val="Caption"/>
        <w:keepNext/>
      </w:pPr>
      <w:bookmarkStart w:id="1320" w:name="_Toc78984001"/>
      <w:r>
        <w:t xml:space="preserve">Table </w:t>
      </w:r>
      <w:fldSimple w:instr=" STYLEREF 2 \s ">
        <w:r w:rsidR="008F25B1">
          <w:rPr>
            <w:noProof/>
          </w:rPr>
          <w:t>8.2</w:t>
        </w:r>
      </w:fldSimple>
      <w:r w:rsidR="008F25B1">
        <w:noBreakHyphen/>
      </w:r>
      <w:fldSimple w:instr=" SEQ Table \* ARABIC \s 2 ">
        <w:r w:rsidR="008F25B1">
          <w:rPr>
            <w:noProof/>
          </w:rPr>
          <w:t>5</w:t>
        </w:r>
      </w:fldSimple>
      <w:r>
        <w:t xml:space="preserve">: </w:t>
      </w:r>
      <w:r w:rsidRPr="00EA7665">
        <w:t xml:space="preserve">The degree of </w:t>
      </w:r>
      <w:r>
        <w:t xml:space="preserve">need for </w:t>
      </w:r>
      <w:r w:rsidRPr="00EA7665">
        <w:t>training and education for management skills for securing finance for the future (next five years)</w:t>
      </w:r>
      <w:bookmarkEnd w:id="1320"/>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07"/>
        <w:gridCol w:w="980"/>
        <w:gridCol w:w="1049"/>
        <w:gridCol w:w="777"/>
        <w:gridCol w:w="1042"/>
        <w:gridCol w:w="661"/>
      </w:tblGrid>
      <w:tr w:rsidR="00CD6352" w:rsidRPr="00EA7665" w14:paraId="4A188565" w14:textId="77777777" w:rsidTr="00CD6352">
        <w:tc>
          <w:tcPr>
            <w:tcW w:w="0" w:type="auto"/>
            <w:vMerge w:val="restart"/>
          </w:tcPr>
          <w:p w14:paraId="15606244" w14:textId="77777777" w:rsidR="00CD6352" w:rsidRPr="00EA7665" w:rsidRDefault="00CD6352" w:rsidP="00CD6352">
            <w:pPr>
              <w:jc w:val="both"/>
              <w:rPr>
                <w:rFonts w:ascii="Arial" w:hAnsi="Arial" w:cs="Arial"/>
                <w:sz w:val="16"/>
                <w:szCs w:val="16"/>
              </w:rPr>
            </w:pPr>
          </w:p>
          <w:p w14:paraId="2DA6835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Skills for securing finance for real estate project development </w:t>
            </w:r>
          </w:p>
        </w:tc>
        <w:tc>
          <w:tcPr>
            <w:tcW w:w="0" w:type="auto"/>
          </w:tcPr>
          <w:p w14:paraId="6809D37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needed</w:t>
            </w:r>
          </w:p>
        </w:tc>
        <w:tc>
          <w:tcPr>
            <w:tcW w:w="0" w:type="auto"/>
          </w:tcPr>
          <w:p w14:paraId="5C021F7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needed</w:t>
            </w:r>
          </w:p>
        </w:tc>
        <w:tc>
          <w:tcPr>
            <w:tcW w:w="0" w:type="auto"/>
          </w:tcPr>
          <w:p w14:paraId="587D407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Needed</w:t>
            </w:r>
          </w:p>
        </w:tc>
        <w:tc>
          <w:tcPr>
            <w:tcW w:w="0" w:type="auto"/>
          </w:tcPr>
          <w:p w14:paraId="581FE0B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needed</w:t>
            </w:r>
          </w:p>
        </w:tc>
        <w:tc>
          <w:tcPr>
            <w:tcW w:w="0" w:type="auto"/>
          </w:tcPr>
          <w:p w14:paraId="59FC962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Highly</w:t>
            </w:r>
          </w:p>
        </w:tc>
      </w:tr>
      <w:tr w:rsidR="00CD6352" w:rsidRPr="00EA7665" w14:paraId="4A0D5DF1" w14:textId="77777777" w:rsidTr="00CD6352">
        <w:tc>
          <w:tcPr>
            <w:tcW w:w="0" w:type="auto"/>
            <w:vMerge/>
          </w:tcPr>
          <w:p w14:paraId="29C254E0" w14:textId="77777777" w:rsidR="00CD6352" w:rsidRPr="00EA7665" w:rsidRDefault="00CD6352" w:rsidP="00CD6352">
            <w:pPr>
              <w:jc w:val="both"/>
              <w:rPr>
                <w:rFonts w:ascii="Arial" w:hAnsi="Arial" w:cs="Arial"/>
                <w:sz w:val="16"/>
                <w:szCs w:val="16"/>
              </w:rPr>
            </w:pPr>
          </w:p>
        </w:tc>
        <w:tc>
          <w:tcPr>
            <w:tcW w:w="0" w:type="auto"/>
            <w:gridSpan w:val="5"/>
          </w:tcPr>
          <w:p w14:paraId="1F3EDF6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73A40E30" w14:textId="77777777" w:rsidTr="00CD6352">
        <w:tc>
          <w:tcPr>
            <w:tcW w:w="0" w:type="auto"/>
          </w:tcPr>
          <w:p w14:paraId="7DD9B3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Analytical skill</w:t>
            </w:r>
          </w:p>
        </w:tc>
        <w:tc>
          <w:tcPr>
            <w:tcW w:w="0" w:type="auto"/>
          </w:tcPr>
          <w:p w14:paraId="23B9C4E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w:t>
            </w:r>
          </w:p>
        </w:tc>
        <w:tc>
          <w:tcPr>
            <w:tcW w:w="0" w:type="auto"/>
          </w:tcPr>
          <w:p w14:paraId="28C338D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12.8</w:t>
            </w:r>
          </w:p>
        </w:tc>
        <w:tc>
          <w:tcPr>
            <w:tcW w:w="0" w:type="auto"/>
          </w:tcPr>
          <w:p w14:paraId="6467898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30.8</w:t>
            </w:r>
          </w:p>
        </w:tc>
        <w:tc>
          <w:tcPr>
            <w:tcW w:w="0" w:type="auto"/>
          </w:tcPr>
          <w:p w14:paraId="73141DE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5.1</w:t>
            </w:r>
          </w:p>
        </w:tc>
        <w:tc>
          <w:tcPr>
            <w:tcW w:w="0" w:type="auto"/>
          </w:tcPr>
          <w:p w14:paraId="65CC8F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48.7</w:t>
            </w:r>
          </w:p>
        </w:tc>
      </w:tr>
      <w:tr w:rsidR="00CD6352" w:rsidRPr="00EA7665" w14:paraId="1D89DEBB" w14:textId="77777777" w:rsidTr="00CD6352">
        <w:tc>
          <w:tcPr>
            <w:tcW w:w="0" w:type="auto"/>
          </w:tcPr>
          <w:p w14:paraId="77C144D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Budgeting</w:t>
            </w:r>
          </w:p>
        </w:tc>
        <w:tc>
          <w:tcPr>
            <w:tcW w:w="0" w:type="auto"/>
          </w:tcPr>
          <w:p w14:paraId="4C7BD52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45AE528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11.4</w:t>
            </w:r>
          </w:p>
        </w:tc>
        <w:tc>
          <w:tcPr>
            <w:tcW w:w="0" w:type="auto"/>
          </w:tcPr>
          <w:p w14:paraId="4B9FDDF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c>
          <w:tcPr>
            <w:tcW w:w="0" w:type="auto"/>
          </w:tcPr>
          <w:p w14:paraId="4F12B1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14.3</w:t>
            </w:r>
          </w:p>
        </w:tc>
        <w:tc>
          <w:tcPr>
            <w:tcW w:w="0" w:type="auto"/>
          </w:tcPr>
          <w:p w14:paraId="1B260B3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r>
      <w:tr w:rsidR="00CD6352" w:rsidRPr="00EA7665" w14:paraId="669DC936" w14:textId="77777777" w:rsidTr="00CD6352">
        <w:tc>
          <w:tcPr>
            <w:tcW w:w="0" w:type="auto"/>
          </w:tcPr>
          <w:p w14:paraId="4D326EE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Commercial awareness</w:t>
            </w:r>
          </w:p>
        </w:tc>
        <w:tc>
          <w:tcPr>
            <w:tcW w:w="0" w:type="auto"/>
          </w:tcPr>
          <w:p w14:paraId="22D6160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w:t>
            </w:r>
          </w:p>
        </w:tc>
        <w:tc>
          <w:tcPr>
            <w:tcW w:w="0" w:type="auto"/>
          </w:tcPr>
          <w:p w14:paraId="0A189AB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6CF2FA9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24.3</w:t>
            </w:r>
          </w:p>
        </w:tc>
        <w:tc>
          <w:tcPr>
            <w:tcW w:w="0" w:type="auto"/>
          </w:tcPr>
          <w:p w14:paraId="408597C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27.0</w:t>
            </w:r>
          </w:p>
        </w:tc>
        <w:tc>
          <w:tcPr>
            <w:tcW w:w="0" w:type="auto"/>
          </w:tcPr>
          <w:p w14:paraId="601D7EF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35.1</w:t>
            </w:r>
          </w:p>
        </w:tc>
      </w:tr>
      <w:tr w:rsidR="00CD6352" w:rsidRPr="00EA7665" w14:paraId="5B3BDC06" w14:textId="77777777" w:rsidTr="00CD6352">
        <w:tc>
          <w:tcPr>
            <w:tcW w:w="0" w:type="auto"/>
          </w:tcPr>
          <w:p w14:paraId="4E3D0EE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Communication</w:t>
            </w:r>
          </w:p>
        </w:tc>
        <w:tc>
          <w:tcPr>
            <w:tcW w:w="0" w:type="auto"/>
          </w:tcPr>
          <w:p w14:paraId="1770CE0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5D9C481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w:t>
            </w:r>
          </w:p>
        </w:tc>
        <w:tc>
          <w:tcPr>
            <w:tcW w:w="0" w:type="auto"/>
          </w:tcPr>
          <w:p w14:paraId="4F8695F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19.4</w:t>
            </w:r>
          </w:p>
        </w:tc>
        <w:tc>
          <w:tcPr>
            <w:tcW w:w="0" w:type="auto"/>
          </w:tcPr>
          <w:p w14:paraId="7934D9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30.6</w:t>
            </w:r>
          </w:p>
        </w:tc>
        <w:tc>
          <w:tcPr>
            <w:tcW w:w="0" w:type="auto"/>
          </w:tcPr>
          <w:p w14:paraId="7B893E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38.9</w:t>
            </w:r>
          </w:p>
        </w:tc>
      </w:tr>
      <w:tr w:rsidR="00CD6352" w:rsidRPr="00EA7665" w14:paraId="649B4778" w14:textId="77777777" w:rsidTr="00CD6352">
        <w:tc>
          <w:tcPr>
            <w:tcW w:w="0" w:type="auto"/>
          </w:tcPr>
          <w:p w14:paraId="2274B50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Critical thinking </w:t>
            </w:r>
          </w:p>
        </w:tc>
        <w:tc>
          <w:tcPr>
            <w:tcW w:w="0" w:type="auto"/>
          </w:tcPr>
          <w:p w14:paraId="7250FDF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282BF0A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38BD181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20.0</w:t>
            </w:r>
          </w:p>
        </w:tc>
        <w:tc>
          <w:tcPr>
            <w:tcW w:w="0" w:type="auto"/>
          </w:tcPr>
          <w:p w14:paraId="495295E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c>
          <w:tcPr>
            <w:tcW w:w="0" w:type="auto"/>
          </w:tcPr>
          <w:p w14:paraId="004EA84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31.4</w:t>
            </w:r>
          </w:p>
        </w:tc>
      </w:tr>
      <w:tr w:rsidR="00CD6352" w:rsidRPr="00EA7665" w14:paraId="60F4C7CC" w14:textId="77777777" w:rsidTr="00CD6352">
        <w:tc>
          <w:tcPr>
            <w:tcW w:w="0" w:type="auto"/>
          </w:tcPr>
          <w:p w14:paraId="3411BAF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Developing and maintaining a cost management system</w:t>
            </w:r>
          </w:p>
        </w:tc>
        <w:tc>
          <w:tcPr>
            <w:tcW w:w="0" w:type="auto"/>
          </w:tcPr>
          <w:p w14:paraId="273E349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1874CB7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53AF688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c>
          <w:tcPr>
            <w:tcW w:w="0" w:type="auto"/>
          </w:tcPr>
          <w:p w14:paraId="0B4AE9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10.8</w:t>
            </w:r>
          </w:p>
        </w:tc>
        <w:tc>
          <w:tcPr>
            <w:tcW w:w="0" w:type="auto"/>
          </w:tcPr>
          <w:p w14:paraId="53FB0B7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40.5</w:t>
            </w:r>
          </w:p>
        </w:tc>
      </w:tr>
      <w:tr w:rsidR="00CD6352" w:rsidRPr="00EA7665" w14:paraId="61E0D1C0" w14:textId="77777777" w:rsidTr="00CD6352">
        <w:tc>
          <w:tcPr>
            <w:tcW w:w="0" w:type="auto"/>
          </w:tcPr>
          <w:p w14:paraId="29A1D3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Developing confidence &amp; building relationships</w:t>
            </w:r>
          </w:p>
        </w:tc>
        <w:tc>
          <w:tcPr>
            <w:tcW w:w="0" w:type="auto"/>
          </w:tcPr>
          <w:p w14:paraId="404CC7E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w:t>
            </w:r>
          </w:p>
        </w:tc>
        <w:tc>
          <w:tcPr>
            <w:tcW w:w="0" w:type="auto"/>
          </w:tcPr>
          <w:p w14:paraId="5C9DAC5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27E9E4D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16.2</w:t>
            </w:r>
          </w:p>
        </w:tc>
        <w:tc>
          <w:tcPr>
            <w:tcW w:w="0" w:type="auto"/>
          </w:tcPr>
          <w:p w14:paraId="52FC03E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29.7</w:t>
            </w:r>
          </w:p>
        </w:tc>
        <w:tc>
          <w:tcPr>
            <w:tcW w:w="0" w:type="auto"/>
          </w:tcPr>
          <w:p w14:paraId="292DECC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40.5</w:t>
            </w:r>
          </w:p>
        </w:tc>
      </w:tr>
      <w:tr w:rsidR="00CD6352" w:rsidRPr="00EA7665" w14:paraId="7EF7D5BA" w14:textId="77777777" w:rsidTr="00CD6352">
        <w:tc>
          <w:tcPr>
            <w:tcW w:w="0" w:type="auto"/>
          </w:tcPr>
          <w:p w14:paraId="08DB959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Developing financial forecasts and models</w:t>
            </w:r>
          </w:p>
        </w:tc>
        <w:tc>
          <w:tcPr>
            <w:tcW w:w="0" w:type="auto"/>
          </w:tcPr>
          <w:p w14:paraId="6B063F0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w:t>
            </w:r>
          </w:p>
        </w:tc>
        <w:tc>
          <w:tcPr>
            <w:tcW w:w="0" w:type="auto"/>
          </w:tcPr>
          <w:p w14:paraId="69AC0D4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13.5</w:t>
            </w:r>
          </w:p>
        </w:tc>
        <w:tc>
          <w:tcPr>
            <w:tcW w:w="0" w:type="auto"/>
          </w:tcPr>
          <w:p w14:paraId="08878AF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24.3</w:t>
            </w:r>
          </w:p>
        </w:tc>
        <w:tc>
          <w:tcPr>
            <w:tcW w:w="0" w:type="auto"/>
          </w:tcPr>
          <w:p w14:paraId="52EAAB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21.6</w:t>
            </w:r>
          </w:p>
        </w:tc>
        <w:tc>
          <w:tcPr>
            <w:tcW w:w="0" w:type="auto"/>
          </w:tcPr>
          <w:p w14:paraId="0FB3C77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35.1</w:t>
            </w:r>
          </w:p>
        </w:tc>
      </w:tr>
      <w:tr w:rsidR="00CD6352" w:rsidRPr="00EA7665" w14:paraId="4926E615" w14:textId="77777777" w:rsidTr="00CD6352">
        <w:tc>
          <w:tcPr>
            <w:tcW w:w="0" w:type="auto"/>
          </w:tcPr>
          <w:p w14:paraId="04CF34F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Diplomatic skills and social intelligence</w:t>
            </w:r>
          </w:p>
        </w:tc>
        <w:tc>
          <w:tcPr>
            <w:tcW w:w="0" w:type="auto"/>
          </w:tcPr>
          <w:p w14:paraId="1C2E921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41A81B7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6933195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c>
          <w:tcPr>
            <w:tcW w:w="0" w:type="auto"/>
          </w:tcPr>
          <w:p w14:paraId="685F3E3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16.7</w:t>
            </w:r>
          </w:p>
        </w:tc>
        <w:tc>
          <w:tcPr>
            <w:tcW w:w="0" w:type="auto"/>
          </w:tcPr>
          <w:p w14:paraId="28E3E0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36.1</w:t>
            </w:r>
          </w:p>
        </w:tc>
      </w:tr>
      <w:tr w:rsidR="00CD6352" w:rsidRPr="00EA7665" w14:paraId="5A1B1477" w14:textId="77777777" w:rsidTr="00CD6352">
        <w:tc>
          <w:tcPr>
            <w:tcW w:w="0" w:type="auto"/>
          </w:tcPr>
          <w:p w14:paraId="74559DF3" w14:textId="015AFD74"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Emerging </w:t>
            </w:r>
            <w:r w:rsidR="00D36E07" w:rsidRPr="00EA7665">
              <w:rPr>
                <w:rFonts w:ascii="Arial" w:hAnsi="Arial" w:cs="Arial"/>
                <w:sz w:val="16"/>
                <w:szCs w:val="16"/>
              </w:rPr>
              <w:t>technologies</w:t>
            </w:r>
            <w:r w:rsidR="00D36E07">
              <w:rPr>
                <w:rFonts w:ascii="Arial" w:hAnsi="Arial" w:cs="Arial"/>
                <w:sz w:val="16"/>
                <w:szCs w:val="16"/>
              </w:rPr>
              <w:t xml:space="preserve"> </w:t>
            </w:r>
            <w:r w:rsidR="00D36E07" w:rsidRPr="00EA7665">
              <w:rPr>
                <w:rFonts w:ascii="Arial" w:hAnsi="Arial" w:cs="Arial"/>
                <w:sz w:val="16"/>
                <w:szCs w:val="16"/>
              </w:rPr>
              <w:t>(such</w:t>
            </w:r>
            <w:r w:rsidRPr="00EA7665">
              <w:rPr>
                <w:rFonts w:ascii="Arial" w:hAnsi="Arial" w:cs="Arial"/>
                <w:sz w:val="16"/>
                <w:szCs w:val="16"/>
              </w:rPr>
              <w:t xml:space="preserve"> as artificial intelligence &amp; machine learning)</w:t>
            </w:r>
          </w:p>
        </w:tc>
        <w:tc>
          <w:tcPr>
            <w:tcW w:w="0" w:type="auto"/>
          </w:tcPr>
          <w:p w14:paraId="139969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w:t>
            </w:r>
          </w:p>
        </w:tc>
        <w:tc>
          <w:tcPr>
            <w:tcW w:w="0" w:type="auto"/>
          </w:tcPr>
          <w:p w14:paraId="7F7D382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01E16B4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29.7</w:t>
            </w:r>
          </w:p>
        </w:tc>
        <w:tc>
          <w:tcPr>
            <w:tcW w:w="0" w:type="auto"/>
          </w:tcPr>
          <w:p w14:paraId="3FDDFEC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18.9</w:t>
            </w:r>
          </w:p>
        </w:tc>
        <w:tc>
          <w:tcPr>
            <w:tcW w:w="0" w:type="auto"/>
          </w:tcPr>
          <w:p w14:paraId="4283ECA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40.5</w:t>
            </w:r>
          </w:p>
        </w:tc>
      </w:tr>
      <w:tr w:rsidR="00CD6352" w:rsidRPr="00EA7665" w14:paraId="7473941B" w14:textId="77777777" w:rsidTr="00CD6352">
        <w:tc>
          <w:tcPr>
            <w:tcW w:w="0" w:type="auto"/>
          </w:tcPr>
          <w:p w14:paraId="5BED09D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Emotional intelligence</w:t>
            </w:r>
          </w:p>
        </w:tc>
        <w:tc>
          <w:tcPr>
            <w:tcW w:w="0" w:type="auto"/>
          </w:tcPr>
          <w:p w14:paraId="2F9FA3E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w:t>
            </w:r>
          </w:p>
        </w:tc>
        <w:tc>
          <w:tcPr>
            <w:tcW w:w="0" w:type="auto"/>
          </w:tcPr>
          <w:p w14:paraId="1A5F6EC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10.8</w:t>
            </w:r>
          </w:p>
        </w:tc>
        <w:tc>
          <w:tcPr>
            <w:tcW w:w="0" w:type="auto"/>
          </w:tcPr>
          <w:p w14:paraId="5A2948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43.2</w:t>
            </w:r>
          </w:p>
        </w:tc>
        <w:tc>
          <w:tcPr>
            <w:tcW w:w="0" w:type="auto"/>
          </w:tcPr>
          <w:p w14:paraId="7CD2BE9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21.6</w:t>
            </w:r>
          </w:p>
        </w:tc>
        <w:tc>
          <w:tcPr>
            <w:tcW w:w="0" w:type="auto"/>
          </w:tcPr>
          <w:p w14:paraId="3BE5A83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18.9</w:t>
            </w:r>
          </w:p>
        </w:tc>
      </w:tr>
      <w:tr w:rsidR="00CD6352" w:rsidRPr="00EA7665" w14:paraId="1908761B" w14:textId="77777777" w:rsidTr="00CD6352">
        <w:tc>
          <w:tcPr>
            <w:tcW w:w="0" w:type="auto"/>
          </w:tcPr>
          <w:p w14:paraId="1105C4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Financial management approach analysis</w:t>
            </w:r>
          </w:p>
        </w:tc>
        <w:tc>
          <w:tcPr>
            <w:tcW w:w="0" w:type="auto"/>
          </w:tcPr>
          <w:p w14:paraId="2546893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1E0AE52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2305479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30.6</w:t>
            </w:r>
          </w:p>
        </w:tc>
        <w:tc>
          <w:tcPr>
            <w:tcW w:w="0" w:type="auto"/>
          </w:tcPr>
          <w:p w14:paraId="1C98E19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3014623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36.1</w:t>
            </w:r>
          </w:p>
        </w:tc>
      </w:tr>
      <w:tr w:rsidR="00CD6352" w:rsidRPr="00EA7665" w14:paraId="71B935EB" w14:textId="77777777" w:rsidTr="00CD6352">
        <w:tc>
          <w:tcPr>
            <w:tcW w:w="0" w:type="auto"/>
          </w:tcPr>
          <w:p w14:paraId="74A79E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Identifying and accessing alternative option</w:t>
            </w:r>
          </w:p>
        </w:tc>
        <w:tc>
          <w:tcPr>
            <w:tcW w:w="0" w:type="auto"/>
          </w:tcPr>
          <w:p w14:paraId="5D6689E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41C5131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11.1</w:t>
            </w:r>
          </w:p>
        </w:tc>
        <w:tc>
          <w:tcPr>
            <w:tcW w:w="0" w:type="auto"/>
          </w:tcPr>
          <w:p w14:paraId="407A780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27.8</w:t>
            </w:r>
          </w:p>
        </w:tc>
        <w:tc>
          <w:tcPr>
            <w:tcW w:w="0" w:type="auto"/>
          </w:tcPr>
          <w:p w14:paraId="355C7FF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c>
          <w:tcPr>
            <w:tcW w:w="0" w:type="auto"/>
          </w:tcPr>
          <w:p w14:paraId="38A6CAA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r>
      <w:tr w:rsidR="00CD6352" w:rsidRPr="00EA7665" w14:paraId="3B2BCAE1" w14:textId="77777777" w:rsidTr="00CD6352">
        <w:tc>
          <w:tcPr>
            <w:tcW w:w="0" w:type="auto"/>
          </w:tcPr>
          <w:p w14:paraId="69565C9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Interpreting financial data and identifying trends</w:t>
            </w:r>
          </w:p>
        </w:tc>
        <w:tc>
          <w:tcPr>
            <w:tcW w:w="0" w:type="auto"/>
          </w:tcPr>
          <w:p w14:paraId="312C417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09D835D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w:t>
            </w:r>
          </w:p>
        </w:tc>
        <w:tc>
          <w:tcPr>
            <w:tcW w:w="0" w:type="auto"/>
          </w:tcPr>
          <w:p w14:paraId="4695669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29.7</w:t>
            </w:r>
          </w:p>
        </w:tc>
        <w:tc>
          <w:tcPr>
            <w:tcW w:w="0" w:type="auto"/>
          </w:tcPr>
          <w:p w14:paraId="6C8EB77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24.3</w:t>
            </w:r>
          </w:p>
        </w:tc>
        <w:tc>
          <w:tcPr>
            <w:tcW w:w="0" w:type="auto"/>
          </w:tcPr>
          <w:p w14:paraId="3A21BBB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r>
      <w:tr w:rsidR="00CD6352" w:rsidRPr="00EA7665" w14:paraId="132834A7" w14:textId="77777777" w:rsidTr="00CD6352">
        <w:tc>
          <w:tcPr>
            <w:tcW w:w="0" w:type="auto"/>
          </w:tcPr>
          <w:p w14:paraId="1A12DA5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Leadership skill</w:t>
            </w:r>
          </w:p>
        </w:tc>
        <w:tc>
          <w:tcPr>
            <w:tcW w:w="0" w:type="auto"/>
          </w:tcPr>
          <w:p w14:paraId="604E920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8.8</w:t>
            </w:r>
          </w:p>
        </w:tc>
        <w:tc>
          <w:tcPr>
            <w:tcW w:w="0" w:type="auto"/>
          </w:tcPr>
          <w:p w14:paraId="4144AAE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025E092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23.5</w:t>
            </w:r>
          </w:p>
        </w:tc>
        <w:tc>
          <w:tcPr>
            <w:tcW w:w="0" w:type="auto"/>
          </w:tcPr>
          <w:p w14:paraId="6C9233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20.6</w:t>
            </w:r>
          </w:p>
        </w:tc>
        <w:tc>
          <w:tcPr>
            <w:tcW w:w="0" w:type="auto"/>
          </w:tcPr>
          <w:p w14:paraId="3FC2118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41.2</w:t>
            </w:r>
          </w:p>
        </w:tc>
      </w:tr>
      <w:tr w:rsidR="00CD6352" w:rsidRPr="00EA7665" w14:paraId="2AE1E1CD" w14:textId="77777777" w:rsidTr="00CD6352">
        <w:tc>
          <w:tcPr>
            <w:tcW w:w="0" w:type="auto"/>
          </w:tcPr>
          <w:p w14:paraId="0878A9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Market liquidity timing skill</w:t>
            </w:r>
          </w:p>
        </w:tc>
        <w:tc>
          <w:tcPr>
            <w:tcW w:w="0" w:type="auto"/>
          </w:tcPr>
          <w:p w14:paraId="18154F1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11.4</w:t>
            </w:r>
          </w:p>
        </w:tc>
        <w:tc>
          <w:tcPr>
            <w:tcW w:w="0" w:type="auto"/>
          </w:tcPr>
          <w:p w14:paraId="048725F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4FC8C9C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64F0B41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31.4</w:t>
            </w:r>
          </w:p>
        </w:tc>
        <w:tc>
          <w:tcPr>
            <w:tcW w:w="0" w:type="auto"/>
          </w:tcPr>
          <w:p w14:paraId="013A0B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r>
      <w:tr w:rsidR="00CD6352" w:rsidRPr="00EA7665" w14:paraId="60D06345" w14:textId="77777777" w:rsidTr="00CD6352">
        <w:tc>
          <w:tcPr>
            <w:tcW w:w="0" w:type="auto"/>
          </w:tcPr>
          <w:p w14:paraId="36A044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Negotiation</w:t>
            </w:r>
          </w:p>
        </w:tc>
        <w:tc>
          <w:tcPr>
            <w:tcW w:w="0" w:type="auto"/>
          </w:tcPr>
          <w:p w14:paraId="3D719FD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4B0E8E8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087F39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13C3FC0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38.9</w:t>
            </w:r>
          </w:p>
        </w:tc>
        <w:tc>
          <w:tcPr>
            <w:tcW w:w="0" w:type="auto"/>
          </w:tcPr>
          <w:p w14:paraId="60A97A9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30.6</w:t>
            </w:r>
          </w:p>
        </w:tc>
      </w:tr>
      <w:tr w:rsidR="00CD6352" w:rsidRPr="00EA7665" w14:paraId="0A147F34" w14:textId="77777777" w:rsidTr="00CD6352">
        <w:tc>
          <w:tcPr>
            <w:tcW w:w="0" w:type="auto"/>
          </w:tcPr>
          <w:p w14:paraId="357D304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Recognising and using influence</w:t>
            </w:r>
          </w:p>
        </w:tc>
        <w:tc>
          <w:tcPr>
            <w:tcW w:w="0" w:type="auto"/>
          </w:tcPr>
          <w:p w14:paraId="1EB2B27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48757DC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5E6759D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44.4</w:t>
            </w:r>
          </w:p>
        </w:tc>
        <w:tc>
          <w:tcPr>
            <w:tcW w:w="0" w:type="auto"/>
          </w:tcPr>
          <w:p w14:paraId="3DEE746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27.8</w:t>
            </w:r>
          </w:p>
        </w:tc>
        <w:tc>
          <w:tcPr>
            <w:tcW w:w="0" w:type="auto"/>
          </w:tcPr>
          <w:p w14:paraId="7FF58C4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19.4</w:t>
            </w:r>
          </w:p>
        </w:tc>
      </w:tr>
      <w:tr w:rsidR="00CD6352" w:rsidRPr="00EA7665" w14:paraId="2E2CCE92" w14:textId="77777777" w:rsidTr="00CD6352">
        <w:tc>
          <w:tcPr>
            <w:tcW w:w="0" w:type="auto"/>
          </w:tcPr>
          <w:p w14:paraId="4F60B2E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Risks management</w:t>
            </w:r>
          </w:p>
        </w:tc>
        <w:tc>
          <w:tcPr>
            <w:tcW w:w="0" w:type="auto"/>
          </w:tcPr>
          <w:p w14:paraId="4BBC068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0754701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w:t>
            </w:r>
          </w:p>
        </w:tc>
        <w:tc>
          <w:tcPr>
            <w:tcW w:w="0" w:type="auto"/>
          </w:tcPr>
          <w:p w14:paraId="4D5D21E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38.9</w:t>
            </w:r>
          </w:p>
        </w:tc>
        <w:tc>
          <w:tcPr>
            <w:tcW w:w="0" w:type="auto"/>
          </w:tcPr>
          <w:p w14:paraId="08E9BAC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19.4</w:t>
            </w:r>
          </w:p>
        </w:tc>
        <w:tc>
          <w:tcPr>
            <w:tcW w:w="0" w:type="auto"/>
          </w:tcPr>
          <w:p w14:paraId="09AF892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38.9</w:t>
            </w:r>
          </w:p>
        </w:tc>
      </w:tr>
      <w:tr w:rsidR="00CD6352" w:rsidRPr="00EA7665" w14:paraId="4B075D32" w14:textId="77777777" w:rsidTr="00CD6352">
        <w:tc>
          <w:tcPr>
            <w:tcW w:w="0" w:type="auto"/>
          </w:tcPr>
          <w:p w14:paraId="07FD7C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Specialized industry skill/ construction skill</w:t>
            </w:r>
          </w:p>
        </w:tc>
        <w:tc>
          <w:tcPr>
            <w:tcW w:w="0" w:type="auto"/>
          </w:tcPr>
          <w:p w14:paraId="228F9D3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w:t>
            </w:r>
          </w:p>
        </w:tc>
        <w:tc>
          <w:tcPr>
            <w:tcW w:w="0" w:type="auto"/>
          </w:tcPr>
          <w:p w14:paraId="7A8FD6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7B310FD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38.9</w:t>
            </w:r>
          </w:p>
        </w:tc>
        <w:tc>
          <w:tcPr>
            <w:tcW w:w="0" w:type="auto"/>
          </w:tcPr>
          <w:p w14:paraId="2439144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3CCACC2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30.6</w:t>
            </w:r>
          </w:p>
        </w:tc>
      </w:tr>
      <w:tr w:rsidR="00CD6352" w:rsidRPr="00EA7665" w14:paraId="4015899F" w14:textId="77777777" w:rsidTr="00CD6352">
        <w:tc>
          <w:tcPr>
            <w:tcW w:w="0" w:type="auto"/>
          </w:tcPr>
          <w:p w14:paraId="748F1D4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Strategic planning</w:t>
            </w:r>
          </w:p>
        </w:tc>
        <w:tc>
          <w:tcPr>
            <w:tcW w:w="0" w:type="auto"/>
          </w:tcPr>
          <w:p w14:paraId="31623B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091852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w:t>
            </w:r>
          </w:p>
        </w:tc>
        <w:tc>
          <w:tcPr>
            <w:tcW w:w="0" w:type="auto"/>
          </w:tcPr>
          <w:p w14:paraId="09ACFE7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35.1</w:t>
            </w:r>
          </w:p>
        </w:tc>
        <w:tc>
          <w:tcPr>
            <w:tcW w:w="0" w:type="auto"/>
          </w:tcPr>
          <w:p w14:paraId="4CAB971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29.7</w:t>
            </w:r>
          </w:p>
        </w:tc>
        <w:tc>
          <w:tcPr>
            <w:tcW w:w="0" w:type="auto"/>
          </w:tcPr>
          <w:p w14:paraId="6DCF2D9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r>
      <w:tr w:rsidR="00CD6352" w:rsidRPr="00EA7665" w14:paraId="47BA4A75" w14:textId="77777777" w:rsidTr="00CD6352">
        <w:tc>
          <w:tcPr>
            <w:tcW w:w="0" w:type="auto"/>
          </w:tcPr>
          <w:p w14:paraId="154D6B6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Team work</w:t>
            </w:r>
          </w:p>
        </w:tc>
        <w:tc>
          <w:tcPr>
            <w:tcW w:w="0" w:type="auto"/>
          </w:tcPr>
          <w:p w14:paraId="561E5C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w:t>
            </w:r>
          </w:p>
        </w:tc>
        <w:tc>
          <w:tcPr>
            <w:tcW w:w="0" w:type="auto"/>
          </w:tcPr>
          <w:p w14:paraId="65BD844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w:t>
            </w:r>
          </w:p>
        </w:tc>
        <w:tc>
          <w:tcPr>
            <w:tcW w:w="0" w:type="auto"/>
          </w:tcPr>
          <w:p w14:paraId="3288B52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419A110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19.4</w:t>
            </w:r>
          </w:p>
        </w:tc>
        <w:tc>
          <w:tcPr>
            <w:tcW w:w="0" w:type="auto"/>
          </w:tcPr>
          <w:p w14:paraId="4E8B0E8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52.8</w:t>
            </w:r>
          </w:p>
        </w:tc>
      </w:tr>
      <w:tr w:rsidR="00CD6352" w:rsidRPr="00EA7665" w14:paraId="585EEED0" w14:textId="77777777" w:rsidTr="00CD6352">
        <w:tc>
          <w:tcPr>
            <w:tcW w:w="0" w:type="auto"/>
          </w:tcPr>
          <w:p w14:paraId="50C7416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Planning and control</w:t>
            </w:r>
          </w:p>
        </w:tc>
        <w:tc>
          <w:tcPr>
            <w:tcW w:w="0" w:type="auto"/>
          </w:tcPr>
          <w:p w14:paraId="07259AB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w:t>
            </w:r>
          </w:p>
        </w:tc>
        <w:tc>
          <w:tcPr>
            <w:tcW w:w="0" w:type="auto"/>
          </w:tcPr>
          <w:p w14:paraId="48AC0C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10.8</w:t>
            </w:r>
          </w:p>
        </w:tc>
        <w:tc>
          <w:tcPr>
            <w:tcW w:w="0" w:type="auto"/>
          </w:tcPr>
          <w:p w14:paraId="0B5E196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18.9</w:t>
            </w:r>
          </w:p>
        </w:tc>
        <w:tc>
          <w:tcPr>
            <w:tcW w:w="0" w:type="auto"/>
          </w:tcPr>
          <w:p w14:paraId="3401B32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16.2</w:t>
            </w:r>
          </w:p>
        </w:tc>
        <w:tc>
          <w:tcPr>
            <w:tcW w:w="0" w:type="auto"/>
          </w:tcPr>
          <w:p w14:paraId="4042A91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48.6</w:t>
            </w:r>
          </w:p>
        </w:tc>
      </w:tr>
    </w:tbl>
    <w:p w14:paraId="4CFC98A0" w14:textId="0419FDA9" w:rsidR="00CD6352" w:rsidRDefault="00CD6352" w:rsidP="00CD6352">
      <w:pPr>
        <w:spacing w:line="360" w:lineRule="auto"/>
        <w:jc w:val="both"/>
        <w:rPr>
          <w:rFonts w:ascii="Arial" w:hAnsi="Arial" w:cs="Arial"/>
        </w:rPr>
      </w:pPr>
    </w:p>
    <w:p w14:paraId="5C06E048" w14:textId="77777777" w:rsidR="00A93E5C" w:rsidRPr="00760152" w:rsidRDefault="00A93E5C" w:rsidP="00A93E5C">
      <w:pPr>
        <w:spacing w:line="360" w:lineRule="auto"/>
        <w:rPr>
          <w:rFonts w:ascii="Arial" w:hAnsi="Arial" w:cs="Arial"/>
        </w:rPr>
      </w:pPr>
      <w:r w:rsidRPr="00760152">
        <w:rPr>
          <w:rFonts w:ascii="Arial" w:hAnsi="Arial" w:cs="Arial"/>
        </w:rPr>
        <w:t>The study also investigated the degree of training and education for management skills for</w:t>
      </w:r>
    </w:p>
    <w:p w14:paraId="0ED7099E" w14:textId="77777777" w:rsidR="00A93E5C" w:rsidRPr="00760152" w:rsidRDefault="00A93E5C" w:rsidP="00A93E5C">
      <w:pPr>
        <w:spacing w:line="360" w:lineRule="auto"/>
        <w:rPr>
          <w:rFonts w:ascii="Arial" w:hAnsi="Arial" w:cs="Arial"/>
        </w:rPr>
      </w:pPr>
      <w:r w:rsidRPr="00760152">
        <w:rPr>
          <w:rFonts w:ascii="Arial" w:hAnsi="Arial" w:cs="Arial"/>
        </w:rPr>
        <w:t xml:space="preserve">securing real estate project development finance for the future (next 5years) using the mean </w:t>
      </w:r>
    </w:p>
    <w:p w14:paraId="6A98B59B" w14:textId="25038176" w:rsidR="00A93E5C" w:rsidRPr="00760152" w:rsidRDefault="00A93E5C" w:rsidP="00A93E5C">
      <w:pPr>
        <w:spacing w:line="360" w:lineRule="auto"/>
        <w:rPr>
          <w:rFonts w:ascii="Arial" w:hAnsi="Arial" w:cs="Arial"/>
        </w:rPr>
      </w:pPr>
      <w:r w:rsidRPr="00760152">
        <w:rPr>
          <w:rFonts w:ascii="Arial" w:hAnsi="Arial" w:cs="Arial"/>
        </w:rPr>
        <w:t>scores. The mean scores for the twenty-three skills in the study range</w:t>
      </w:r>
      <w:r w:rsidR="00DA6CD6">
        <w:rPr>
          <w:rFonts w:ascii="Arial" w:hAnsi="Arial" w:cs="Arial"/>
        </w:rPr>
        <w:t>d</w:t>
      </w:r>
      <w:r w:rsidRPr="00760152">
        <w:rPr>
          <w:rFonts w:ascii="Arial" w:hAnsi="Arial" w:cs="Arial"/>
        </w:rPr>
        <w:t xml:space="preserve"> </w:t>
      </w:r>
      <w:r w:rsidR="00D45A7C">
        <w:rPr>
          <w:rFonts w:ascii="Arial" w:hAnsi="Arial" w:cs="Arial"/>
        </w:rPr>
        <w:t>from</w:t>
      </w:r>
      <w:r w:rsidRPr="00760152">
        <w:rPr>
          <w:rFonts w:ascii="Arial" w:hAnsi="Arial" w:cs="Arial"/>
        </w:rPr>
        <w:t xml:space="preserve"> 4.22 to 3.32 </w:t>
      </w:r>
    </w:p>
    <w:p w14:paraId="7F7BF8E3" w14:textId="77777777" w:rsidR="00A93E5C" w:rsidRPr="00760152" w:rsidRDefault="00A93E5C" w:rsidP="00A93E5C">
      <w:pPr>
        <w:spacing w:line="360" w:lineRule="auto"/>
        <w:rPr>
          <w:rFonts w:ascii="Arial" w:hAnsi="Arial" w:cs="Arial"/>
        </w:rPr>
      </w:pPr>
      <w:r w:rsidRPr="00760152">
        <w:rPr>
          <w:rFonts w:ascii="Arial" w:hAnsi="Arial" w:cs="Arial"/>
        </w:rPr>
        <w:t xml:space="preserve">and this means that the managers have a significant need for training and education on all </w:t>
      </w:r>
    </w:p>
    <w:p w14:paraId="520806CA" w14:textId="54F8C69D" w:rsidR="00A93E5C" w:rsidRPr="00760152" w:rsidRDefault="00A93E5C" w:rsidP="00A93E5C">
      <w:pPr>
        <w:spacing w:line="360" w:lineRule="auto"/>
        <w:rPr>
          <w:rFonts w:ascii="Arial" w:hAnsi="Arial" w:cs="Arial"/>
        </w:rPr>
      </w:pPr>
      <w:r w:rsidRPr="00760152">
        <w:rPr>
          <w:rFonts w:ascii="Arial" w:hAnsi="Arial" w:cs="Arial"/>
        </w:rPr>
        <w:t>the twenty-three skills</w:t>
      </w:r>
      <w:r w:rsidR="00591998">
        <w:rPr>
          <w:rFonts w:ascii="Arial" w:hAnsi="Arial" w:cs="Arial"/>
        </w:rPr>
        <w:t xml:space="preserve"> ( see table 8.2.6)</w:t>
      </w:r>
      <w:r w:rsidRPr="00760152">
        <w:rPr>
          <w:rFonts w:ascii="Arial" w:hAnsi="Arial" w:cs="Arial"/>
        </w:rPr>
        <w:t xml:space="preserve">. </w:t>
      </w:r>
    </w:p>
    <w:p w14:paraId="669FC782" w14:textId="4205546A" w:rsidR="00D45A7C" w:rsidRPr="00D45A7C" w:rsidRDefault="00D45A7C" w:rsidP="00D45A7C">
      <w:pPr>
        <w:pStyle w:val="Caption"/>
        <w:keepNext/>
        <w:rPr>
          <w:rFonts w:ascii="Arial" w:hAnsi="Arial" w:cs="Arial"/>
          <w:sz w:val="16"/>
          <w:szCs w:val="16"/>
        </w:rPr>
      </w:pPr>
      <w:bookmarkStart w:id="1321" w:name="_Toc78984002"/>
      <w:r w:rsidRPr="00D45A7C">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6</w:t>
      </w:r>
      <w:r w:rsidR="008F25B1">
        <w:rPr>
          <w:rFonts w:ascii="Arial" w:hAnsi="Arial" w:cs="Arial"/>
          <w:sz w:val="16"/>
          <w:szCs w:val="16"/>
        </w:rPr>
        <w:fldChar w:fldCharType="end"/>
      </w:r>
      <w:r w:rsidRPr="00D45A7C">
        <w:rPr>
          <w:rFonts w:ascii="Arial" w:hAnsi="Arial" w:cs="Arial"/>
          <w:sz w:val="16"/>
          <w:szCs w:val="16"/>
        </w:rPr>
        <w:t>: Mean scores for Degree of  need for training and education for management skills for securing finance for real estate project development for the future at the aggregate level</w:t>
      </w:r>
      <w:bookmarkEnd w:id="1321"/>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5393"/>
        <w:gridCol w:w="1052"/>
        <w:gridCol w:w="590"/>
      </w:tblGrid>
      <w:tr w:rsidR="00CD6352" w:rsidRPr="00D45A7C" w14:paraId="06DE818C" w14:textId="77777777" w:rsidTr="00CD6352">
        <w:trPr>
          <w:trHeight w:val="378"/>
        </w:trPr>
        <w:tc>
          <w:tcPr>
            <w:tcW w:w="0" w:type="auto"/>
          </w:tcPr>
          <w:p w14:paraId="434ACD1B"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Skills</w:t>
            </w:r>
          </w:p>
        </w:tc>
        <w:tc>
          <w:tcPr>
            <w:tcW w:w="0" w:type="auto"/>
          </w:tcPr>
          <w:p w14:paraId="27AB4BB1"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 xml:space="preserve">Mean score </w:t>
            </w:r>
          </w:p>
          <w:p w14:paraId="718398B1"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N=81</w:t>
            </w:r>
          </w:p>
        </w:tc>
        <w:tc>
          <w:tcPr>
            <w:tcW w:w="590" w:type="dxa"/>
          </w:tcPr>
          <w:p w14:paraId="6085C4DF"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Rank</w:t>
            </w:r>
          </w:p>
        </w:tc>
      </w:tr>
      <w:tr w:rsidR="00CD6352" w:rsidRPr="00D45A7C" w14:paraId="37B6457B" w14:textId="77777777" w:rsidTr="00CD6352">
        <w:tc>
          <w:tcPr>
            <w:tcW w:w="0" w:type="auto"/>
          </w:tcPr>
          <w:p w14:paraId="211C85D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Teamwork</w:t>
            </w:r>
          </w:p>
        </w:tc>
        <w:tc>
          <w:tcPr>
            <w:tcW w:w="0" w:type="auto"/>
          </w:tcPr>
          <w:p w14:paraId="5E485D5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4.22</w:t>
            </w:r>
          </w:p>
        </w:tc>
        <w:tc>
          <w:tcPr>
            <w:tcW w:w="590" w:type="dxa"/>
          </w:tcPr>
          <w:p w14:paraId="19323F62"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w:t>
            </w:r>
          </w:p>
        </w:tc>
      </w:tr>
      <w:tr w:rsidR="00CD6352" w:rsidRPr="00D45A7C" w14:paraId="69CED612" w14:textId="77777777" w:rsidTr="00CD6352">
        <w:tc>
          <w:tcPr>
            <w:tcW w:w="0" w:type="auto"/>
          </w:tcPr>
          <w:p w14:paraId="66943FF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Analytical skill</w:t>
            </w:r>
          </w:p>
        </w:tc>
        <w:tc>
          <w:tcPr>
            <w:tcW w:w="0" w:type="auto"/>
          </w:tcPr>
          <w:p w14:paraId="6067077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3.80</w:t>
            </w:r>
          </w:p>
        </w:tc>
        <w:tc>
          <w:tcPr>
            <w:tcW w:w="590" w:type="dxa"/>
          </w:tcPr>
          <w:p w14:paraId="6B95B85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8</w:t>
            </w:r>
          </w:p>
        </w:tc>
      </w:tr>
      <w:tr w:rsidR="00CD6352" w:rsidRPr="00D45A7C" w14:paraId="4C26D8D2" w14:textId="77777777" w:rsidTr="00CD6352">
        <w:tc>
          <w:tcPr>
            <w:tcW w:w="0" w:type="auto"/>
          </w:tcPr>
          <w:p w14:paraId="3EF76E5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Planning and control</w:t>
            </w:r>
          </w:p>
        </w:tc>
        <w:tc>
          <w:tcPr>
            <w:tcW w:w="0" w:type="auto"/>
          </w:tcPr>
          <w:p w14:paraId="3550FED6"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3.87</w:t>
            </w:r>
          </w:p>
        </w:tc>
        <w:tc>
          <w:tcPr>
            <w:tcW w:w="590" w:type="dxa"/>
          </w:tcPr>
          <w:p w14:paraId="7F4D1B8C"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w:t>
            </w:r>
          </w:p>
        </w:tc>
      </w:tr>
      <w:tr w:rsidR="00CD6352" w:rsidRPr="00D45A7C" w14:paraId="4B117174" w14:textId="77777777" w:rsidTr="00CD6352">
        <w:tc>
          <w:tcPr>
            <w:tcW w:w="0" w:type="auto"/>
          </w:tcPr>
          <w:p w14:paraId="0958E00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Leadership skill</w:t>
            </w:r>
          </w:p>
        </w:tc>
        <w:tc>
          <w:tcPr>
            <w:tcW w:w="0" w:type="auto"/>
          </w:tcPr>
          <w:p w14:paraId="31967FE6"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3.74</w:t>
            </w:r>
          </w:p>
        </w:tc>
        <w:tc>
          <w:tcPr>
            <w:tcW w:w="590" w:type="dxa"/>
          </w:tcPr>
          <w:p w14:paraId="75B565DB"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11</w:t>
            </w:r>
          </w:p>
        </w:tc>
      </w:tr>
      <w:tr w:rsidR="00CD6352" w:rsidRPr="00D45A7C" w14:paraId="7BFFEE66" w14:textId="77777777" w:rsidTr="00CD6352">
        <w:tc>
          <w:tcPr>
            <w:tcW w:w="0" w:type="auto"/>
          </w:tcPr>
          <w:p w14:paraId="773A4262"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Developing and maintaining a cost management system</w:t>
            </w:r>
          </w:p>
        </w:tc>
        <w:tc>
          <w:tcPr>
            <w:tcW w:w="0" w:type="auto"/>
          </w:tcPr>
          <w:p w14:paraId="1111A23D"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3.63</w:t>
            </w:r>
          </w:p>
        </w:tc>
        <w:tc>
          <w:tcPr>
            <w:tcW w:w="590" w:type="dxa"/>
          </w:tcPr>
          <w:p w14:paraId="6C89C2B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16</w:t>
            </w:r>
          </w:p>
        </w:tc>
      </w:tr>
      <w:tr w:rsidR="00CD6352" w:rsidRPr="00D45A7C" w14:paraId="0705BDE0" w14:textId="77777777" w:rsidTr="00CD6352">
        <w:tc>
          <w:tcPr>
            <w:tcW w:w="0" w:type="auto"/>
          </w:tcPr>
          <w:p w14:paraId="2469AC14"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Developing confidence &amp; building relationships</w:t>
            </w:r>
          </w:p>
        </w:tc>
        <w:tc>
          <w:tcPr>
            <w:tcW w:w="0" w:type="auto"/>
          </w:tcPr>
          <w:p w14:paraId="04FB39D6"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3.84</w:t>
            </w:r>
          </w:p>
        </w:tc>
        <w:tc>
          <w:tcPr>
            <w:tcW w:w="590" w:type="dxa"/>
          </w:tcPr>
          <w:p w14:paraId="34E66D8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5</w:t>
            </w:r>
          </w:p>
        </w:tc>
      </w:tr>
      <w:tr w:rsidR="00CD6352" w:rsidRPr="00D45A7C" w14:paraId="170A26AA" w14:textId="77777777" w:rsidTr="00CD6352">
        <w:tc>
          <w:tcPr>
            <w:tcW w:w="0" w:type="auto"/>
          </w:tcPr>
          <w:p w14:paraId="0251F35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Emerging technologies( such as artificial intelligence &amp; machine learning)</w:t>
            </w:r>
          </w:p>
        </w:tc>
        <w:tc>
          <w:tcPr>
            <w:tcW w:w="0" w:type="auto"/>
          </w:tcPr>
          <w:p w14:paraId="1CF06C6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3.84</w:t>
            </w:r>
          </w:p>
        </w:tc>
        <w:tc>
          <w:tcPr>
            <w:tcW w:w="590" w:type="dxa"/>
          </w:tcPr>
          <w:p w14:paraId="4E7C710F"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6</w:t>
            </w:r>
          </w:p>
        </w:tc>
      </w:tr>
      <w:tr w:rsidR="00CD6352" w:rsidRPr="00D45A7C" w14:paraId="046F4BB4" w14:textId="77777777" w:rsidTr="00CD6352">
        <w:tc>
          <w:tcPr>
            <w:tcW w:w="0" w:type="auto"/>
          </w:tcPr>
          <w:p w14:paraId="7B7A15E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Communication</w:t>
            </w:r>
          </w:p>
        </w:tc>
        <w:tc>
          <w:tcPr>
            <w:tcW w:w="0" w:type="auto"/>
          </w:tcPr>
          <w:p w14:paraId="15A7506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3.84</w:t>
            </w:r>
          </w:p>
        </w:tc>
        <w:tc>
          <w:tcPr>
            <w:tcW w:w="590" w:type="dxa"/>
          </w:tcPr>
          <w:p w14:paraId="4EC55C35"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7</w:t>
            </w:r>
          </w:p>
        </w:tc>
      </w:tr>
      <w:tr w:rsidR="00CD6352" w:rsidRPr="00D45A7C" w14:paraId="4C124BD7" w14:textId="77777777" w:rsidTr="00CD6352">
        <w:tc>
          <w:tcPr>
            <w:tcW w:w="0" w:type="auto"/>
          </w:tcPr>
          <w:p w14:paraId="3CB7E1D4"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Risks management</w:t>
            </w:r>
          </w:p>
        </w:tc>
        <w:tc>
          <w:tcPr>
            <w:tcW w:w="0" w:type="auto"/>
          </w:tcPr>
          <w:p w14:paraId="755F46A6"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3.89</w:t>
            </w:r>
          </w:p>
        </w:tc>
        <w:tc>
          <w:tcPr>
            <w:tcW w:w="590" w:type="dxa"/>
          </w:tcPr>
          <w:p w14:paraId="632636D4"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2</w:t>
            </w:r>
          </w:p>
        </w:tc>
      </w:tr>
      <w:tr w:rsidR="00CD6352" w:rsidRPr="00D45A7C" w14:paraId="503F3C29" w14:textId="77777777" w:rsidTr="00CD6352">
        <w:tc>
          <w:tcPr>
            <w:tcW w:w="0" w:type="auto"/>
          </w:tcPr>
          <w:p w14:paraId="74F4555D"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Diplomatic skills and social intelligence</w:t>
            </w:r>
          </w:p>
        </w:tc>
        <w:tc>
          <w:tcPr>
            <w:tcW w:w="0" w:type="auto"/>
          </w:tcPr>
          <w:p w14:paraId="5C7BBDF4"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3.65</w:t>
            </w:r>
          </w:p>
        </w:tc>
        <w:tc>
          <w:tcPr>
            <w:tcW w:w="590" w:type="dxa"/>
          </w:tcPr>
          <w:p w14:paraId="12332C82"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15</w:t>
            </w:r>
          </w:p>
        </w:tc>
      </w:tr>
      <w:tr w:rsidR="00CD6352" w:rsidRPr="00D45A7C" w14:paraId="26F89CA1" w14:textId="77777777" w:rsidTr="00CD6352">
        <w:tc>
          <w:tcPr>
            <w:tcW w:w="0" w:type="auto"/>
          </w:tcPr>
          <w:p w14:paraId="24F3CEE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Financial management approach analysis</w:t>
            </w:r>
          </w:p>
        </w:tc>
        <w:tc>
          <w:tcPr>
            <w:tcW w:w="0" w:type="auto"/>
          </w:tcPr>
          <w:p w14:paraId="385658B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3.76</w:t>
            </w:r>
          </w:p>
        </w:tc>
        <w:tc>
          <w:tcPr>
            <w:tcW w:w="590" w:type="dxa"/>
          </w:tcPr>
          <w:p w14:paraId="6396B05C"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10</w:t>
            </w:r>
          </w:p>
        </w:tc>
      </w:tr>
      <w:tr w:rsidR="00CD6352" w:rsidRPr="00D45A7C" w14:paraId="02EDA69A" w14:textId="77777777" w:rsidTr="00CD6352">
        <w:tc>
          <w:tcPr>
            <w:tcW w:w="0" w:type="auto"/>
          </w:tcPr>
          <w:p w14:paraId="2A9D92D9"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Commercial awareness</w:t>
            </w:r>
          </w:p>
        </w:tc>
        <w:tc>
          <w:tcPr>
            <w:tcW w:w="0" w:type="auto"/>
          </w:tcPr>
          <w:p w14:paraId="7A1757CF"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3.74</w:t>
            </w:r>
          </w:p>
        </w:tc>
        <w:tc>
          <w:tcPr>
            <w:tcW w:w="590" w:type="dxa"/>
          </w:tcPr>
          <w:p w14:paraId="6C909D41"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12</w:t>
            </w:r>
          </w:p>
        </w:tc>
      </w:tr>
      <w:tr w:rsidR="00CD6352" w:rsidRPr="00D45A7C" w14:paraId="6EA99E07" w14:textId="77777777" w:rsidTr="00CD6352">
        <w:tc>
          <w:tcPr>
            <w:tcW w:w="0" w:type="auto"/>
          </w:tcPr>
          <w:p w14:paraId="721D094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Developing financial forecasts and models</w:t>
            </w:r>
          </w:p>
        </w:tc>
        <w:tc>
          <w:tcPr>
            <w:tcW w:w="0" w:type="auto"/>
          </w:tcPr>
          <w:p w14:paraId="5EF9F6DC"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3.63</w:t>
            </w:r>
          </w:p>
        </w:tc>
        <w:tc>
          <w:tcPr>
            <w:tcW w:w="590" w:type="dxa"/>
          </w:tcPr>
          <w:p w14:paraId="36802F76"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17</w:t>
            </w:r>
          </w:p>
        </w:tc>
      </w:tr>
      <w:tr w:rsidR="00CD6352" w:rsidRPr="00D45A7C" w14:paraId="3B559EAB" w14:textId="77777777" w:rsidTr="00CD6352">
        <w:tc>
          <w:tcPr>
            <w:tcW w:w="0" w:type="auto"/>
          </w:tcPr>
          <w:p w14:paraId="7C205C6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Budgeting</w:t>
            </w:r>
          </w:p>
        </w:tc>
        <w:tc>
          <w:tcPr>
            <w:tcW w:w="0" w:type="auto"/>
          </w:tcPr>
          <w:p w14:paraId="008641AD"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3.56</w:t>
            </w:r>
          </w:p>
        </w:tc>
        <w:tc>
          <w:tcPr>
            <w:tcW w:w="590" w:type="dxa"/>
          </w:tcPr>
          <w:p w14:paraId="3992445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19</w:t>
            </w:r>
          </w:p>
        </w:tc>
      </w:tr>
      <w:tr w:rsidR="00CD6352" w:rsidRPr="00D45A7C" w14:paraId="5E5A2F12" w14:textId="77777777" w:rsidTr="00CD6352">
        <w:tc>
          <w:tcPr>
            <w:tcW w:w="0" w:type="auto"/>
          </w:tcPr>
          <w:p w14:paraId="5EB4E73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Interpreting financial data and identifying trends</w:t>
            </w:r>
          </w:p>
        </w:tc>
        <w:tc>
          <w:tcPr>
            <w:tcW w:w="0" w:type="auto"/>
          </w:tcPr>
          <w:p w14:paraId="5D17857E"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3.63</w:t>
            </w:r>
          </w:p>
        </w:tc>
        <w:tc>
          <w:tcPr>
            <w:tcW w:w="590" w:type="dxa"/>
          </w:tcPr>
          <w:p w14:paraId="6A69226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18</w:t>
            </w:r>
          </w:p>
        </w:tc>
      </w:tr>
      <w:tr w:rsidR="00CD6352" w:rsidRPr="00D45A7C" w14:paraId="41D3FC47" w14:textId="77777777" w:rsidTr="00CD6352">
        <w:tc>
          <w:tcPr>
            <w:tcW w:w="0" w:type="auto"/>
          </w:tcPr>
          <w:p w14:paraId="44CCBB54"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Strategic planning</w:t>
            </w:r>
          </w:p>
        </w:tc>
        <w:tc>
          <w:tcPr>
            <w:tcW w:w="0" w:type="auto"/>
          </w:tcPr>
          <w:p w14:paraId="7D3B4DAB"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3.87</w:t>
            </w:r>
          </w:p>
        </w:tc>
        <w:tc>
          <w:tcPr>
            <w:tcW w:w="590" w:type="dxa"/>
          </w:tcPr>
          <w:p w14:paraId="671F9640"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4</w:t>
            </w:r>
          </w:p>
        </w:tc>
      </w:tr>
      <w:tr w:rsidR="00CD6352" w:rsidRPr="00D45A7C" w14:paraId="4883B24A" w14:textId="77777777" w:rsidTr="00CD6352">
        <w:tc>
          <w:tcPr>
            <w:tcW w:w="0" w:type="auto"/>
          </w:tcPr>
          <w:p w14:paraId="7C82004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 xml:space="preserve">Critical thinking </w:t>
            </w:r>
          </w:p>
        </w:tc>
        <w:tc>
          <w:tcPr>
            <w:tcW w:w="0" w:type="auto"/>
          </w:tcPr>
          <w:p w14:paraId="22510DB1"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3.69</w:t>
            </w:r>
          </w:p>
        </w:tc>
        <w:tc>
          <w:tcPr>
            <w:tcW w:w="590" w:type="dxa"/>
          </w:tcPr>
          <w:p w14:paraId="1A8702D0"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14</w:t>
            </w:r>
          </w:p>
        </w:tc>
      </w:tr>
      <w:tr w:rsidR="00CD6352" w:rsidRPr="00D45A7C" w14:paraId="16588908" w14:textId="77777777" w:rsidTr="00CD6352">
        <w:tc>
          <w:tcPr>
            <w:tcW w:w="0" w:type="auto"/>
          </w:tcPr>
          <w:p w14:paraId="7F5B9AB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Negotiation</w:t>
            </w:r>
          </w:p>
        </w:tc>
        <w:tc>
          <w:tcPr>
            <w:tcW w:w="0" w:type="auto"/>
          </w:tcPr>
          <w:p w14:paraId="784B7CE0"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3.78</w:t>
            </w:r>
          </w:p>
        </w:tc>
        <w:tc>
          <w:tcPr>
            <w:tcW w:w="590" w:type="dxa"/>
          </w:tcPr>
          <w:p w14:paraId="03029D4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9</w:t>
            </w:r>
          </w:p>
        </w:tc>
      </w:tr>
      <w:tr w:rsidR="00CD6352" w:rsidRPr="00D45A7C" w14:paraId="64914F32" w14:textId="77777777" w:rsidTr="00CD6352">
        <w:tc>
          <w:tcPr>
            <w:tcW w:w="0" w:type="auto"/>
          </w:tcPr>
          <w:p w14:paraId="5D8DC26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Specialised industry skill/ construction skill</w:t>
            </w:r>
          </w:p>
        </w:tc>
        <w:tc>
          <w:tcPr>
            <w:tcW w:w="0" w:type="auto"/>
          </w:tcPr>
          <w:p w14:paraId="22672F9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3.70</w:t>
            </w:r>
          </w:p>
        </w:tc>
        <w:tc>
          <w:tcPr>
            <w:tcW w:w="590" w:type="dxa"/>
          </w:tcPr>
          <w:p w14:paraId="6B98EB8C"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13</w:t>
            </w:r>
          </w:p>
        </w:tc>
      </w:tr>
      <w:tr w:rsidR="00CD6352" w:rsidRPr="00D45A7C" w14:paraId="45B9E9A9" w14:textId="77777777" w:rsidTr="00CD6352">
        <w:tc>
          <w:tcPr>
            <w:tcW w:w="0" w:type="auto"/>
          </w:tcPr>
          <w:p w14:paraId="35981C6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Market liquidity timing skill</w:t>
            </w:r>
          </w:p>
        </w:tc>
        <w:tc>
          <w:tcPr>
            <w:tcW w:w="0" w:type="auto"/>
          </w:tcPr>
          <w:p w14:paraId="2785D909"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3.47</w:t>
            </w:r>
          </w:p>
        </w:tc>
        <w:tc>
          <w:tcPr>
            <w:tcW w:w="590" w:type="dxa"/>
          </w:tcPr>
          <w:p w14:paraId="54E3E44B"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22</w:t>
            </w:r>
          </w:p>
        </w:tc>
      </w:tr>
      <w:tr w:rsidR="00CD6352" w:rsidRPr="00D45A7C" w14:paraId="5A8319B9" w14:textId="77777777" w:rsidTr="00CD6352">
        <w:tc>
          <w:tcPr>
            <w:tcW w:w="0" w:type="auto"/>
          </w:tcPr>
          <w:p w14:paraId="0845DF20"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Identifying and accessing the alternative option</w:t>
            </w:r>
          </w:p>
        </w:tc>
        <w:tc>
          <w:tcPr>
            <w:tcW w:w="0" w:type="auto"/>
          </w:tcPr>
          <w:p w14:paraId="7B8D8339"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3.51</w:t>
            </w:r>
          </w:p>
        </w:tc>
        <w:tc>
          <w:tcPr>
            <w:tcW w:w="590" w:type="dxa"/>
          </w:tcPr>
          <w:p w14:paraId="7EF00F2C"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20</w:t>
            </w:r>
          </w:p>
        </w:tc>
      </w:tr>
      <w:tr w:rsidR="00CD6352" w:rsidRPr="00D45A7C" w14:paraId="460046AD" w14:textId="77777777" w:rsidTr="00CD6352">
        <w:tc>
          <w:tcPr>
            <w:tcW w:w="0" w:type="auto"/>
          </w:tcPr>
          <w:p w14:paraId="727EA918"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Recognising and using influence</w:t>
            </w:r>
          </w:p>
        </w:tc>
        <w:tc>
          <w:tcPr>
            <w:tcW w:w="0" w:type="auto"/>
          </w:tcPr>
          <w:p w14:paraId="0029E43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3.49</w:t>
            </w:r>
          </w:p>
        </w:tc>
        <w:tc>
          <w:tcPr>
            <w:tcW w:w="590" w:type="dxa"/>
          </w:tcPr>
          <w:p w14:paraId="622524C3"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21</w:t>
            </w:r>
          </w:p>
        </w:tc>
      </w:tr>
      <w:tr w:rsidR="00CD6352" w:rsidRPr="00D45A7C" w14:paraId="5A47463E" w14:textId="77777777" w:rsidTr="00CD6352">
        <w:tc>
          <w:tcPr>
            <w:tcW w:w="0" w:type="auto"/>
          </w:tcPr>
          <w:p w14:paraId="13A42A0D"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Emotional intelligence</w:t>
            </w:r>
          </w:p>
        </w:tc>
        <w:tc>
          <w:tcPr>
            <w:tcW w:w="0" w:type="auto"/>
          </w:tcPr>
          <w:p w14:paraId="1BEDE7FA"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3.32</w:t>
            </w:r>
          </w:p>
        </w:tc>
        <w:tc>
          <w:tcPr>
            <w:tcW w:w="590" w:type="dxa"/>
          </w:tcPr>
          <w:p w14:paraId="10E91E97" w14:textId="77777777" w:rsidR="00CD6352" w:rsidRPr="00D45A7C" w:rsidRDefault="00CD6352" w:rsidP="00CD6352">
            <w:pPr>
              <w:jc w:val="both"/>
              <w:rPr>
                <w:rFonts w:ascii="Arial" w:hAnsi="Arial" w:cs="Arial"/>
                <w:sz w:val="16"/>
                <w:szCs w:val="16"/>
              </w:rPr>
            </w:pPr>
            <w:r w:rsidRPr="00D45A7C">
              <w:rPr>
                <w:rFonts w:ascii="Arial" w:hAnsi="Arial" w:cs="Arial"/>
                <w:sz w:val="16"/>
                <w:szCs w:val="16"/>
              </w:rPr>
              <w:t>23</w:t>
            </w:r>
          </w:p>
        </w:tc>
      </w:tr>
    </w:tbl>
    <w:p w14:paraId="7B5EABFC" w14:textId="0BDAA9C9" w:rsidR="00CD6352" w:rsidRPr="00D45A7C" w:rsidRDefault="00CD6352" w:rsidP="00CD6352">
      <w:pPr>
        <w:spacing w:line="360" w:lineRule="auto"/>
        <w:jc w:val="both"/>
        <w:rPr>
          <w:rFonts w:ascii="Arial" w:hAnsi="Arial" w:cs="Arial"/>
          <w:sz w:val="16"/>
          <w:szCs w:val="16"/>
        </w:rPr>
      </w:pPr>
      <w:r w:rsidRPr="00D45A7C">
        <w:rPr>
          <w:rFonts w:ascii="Arial" w:hAnsi="Arial" w:cs="Arial"/>
          <w:sz w:val="16"/>
          <w:szCs w:val="16"/>
        </w:rPr>
        <w:t xml:space="preserve">Not </w:t>
      </w:r>
      <w:r w:rsidR="002B520A" w:rsidRPr="00D45A7C">
        <w:rPr>
          <w:rFonts w:ascii="Arial" w:hAnsi="Arial" w:cs="Arial"/>
          <w:sz w:val="16"/>
          <w:szCs w:val="16"/>
        </w:rPr>
        <w:t>needed (</w:t>
      </w:r>
      <w:r w:rsidRPr="00D45A7C">
        <w:rPr>
          <w:rFonts w:ascii="Arial" w:hAnsi="Arial" w:cs="Arial"/>
          <w:sz w:val="16"/>
          <w:szCs w:val="16"/>
        </w:rPr>
        <w:t xml:space="preserve">1), Less </w:t>
      </w:r>
      <w:r w:rsidR="005309B7" w:rsidRPr="00D45A7C">
        <w:rPr>
          <w:rFonts w:ascii="Arial" w:hAnsi="Arial" w:cs="Arial"/>
          <w:sz w:val="16"/>
          <w:szCs w:val="16"/>
        </w:rPr>
        <w:t>needed (</w:t>
      </w:r>
      <w:r w:rsidRPr="00D45A7C">
        <w:rPr>
          <w:rFonts w:ascii="Arial" w:hAnsi="Arial" w:cs="Arial"/>
          <w:sz w:val="16"/>
          <w:szCs w:val="16"/>
        </w:rPr>
        <w:t xml:space="preserve">2), Needed (3), Very </w:t>
      </w:r>
      <w:r w:rsidR="00EC4C87" w:rsidRPr="00D45A7C">
        <w:rPr>
          <w:rFonts w:ascii="Arial" w:hAnsi="Arial" w:cs="Arial"/>
          <w:sz w:val="16"/>
          <w:szCs w:val="16"/>
        </w:rPr>
        <w:t>needed (</w:t>
      </w:r>
      <w:r w:rsidRPr="00D45A7C">
        <w:rPr>
          <w:rFonts w:ascii="Arial" w:hAnsi="Arial" w:cs="Arial"/>
          <w:sz w:val="16"/>
          <w:szCs w:val="16"/>
        </w:rPr>
        <w:t>4)  Highly needed (5)</w:t>
      </w:r>
    </w:p>
    <w:p w14:paraId="2650E86E" w14:textId="77777777" w:rsidR="00CD6352" w:rsidRPr="00EA7665" w:rsidRDefault="00CD6352" w:rsidP="00CD6352">
      <w:pPr>
        <w:pStyle w:val="ListParagraph"/>
        <w:spacing w:before="240"/>
        <w:rPr>
          <w:rFonts w:ascii="Arial" w:hAnsi="Arial" w:cs="Arial"/>
        </w:rPr>
      </w:pPr>
    </w:p>
    <w:p w14:paraId="08F19CFB" w14:textId="77777777" w:rsidR="00CD6352" w:rsidRPr="00EA7665" w:rsidRDefault="00CD6352" w:rsidP="00CD6352">
      <w:pPr>
        <w:pStyle w:val="Heading4"/>
        <w:rPr>
          <w:rFonts w:ascii="Arial" w:hAnsi="Arial" w:cs="Arial"/>
          <w:color w:val="000000" w:themeColor="text1"/>
        </w:rPr>
      </w:pPr>
      <w:r w:rsidRPr="00EA7665">
        <w:rPr>
          <w:rFonts w:ascii="Arial" w:hAnsi="Arial" w:cs="Arial"/>
          <w:color w:val="000000" w:themeColor="text1"/>
        </w:rPr>
        <w:t>Questionnaire survey discussion and analysis at the disaggregate level</w:t>
      </w:r>
    </w:p>
    <w:p w14:paraId="6FA566FE" w14:textId="77777777" w:rsidR="00CD6352" w:rsidRPr="00EA7665" w:rsidRDefault="00CD6352" w:rsidP="00CD6352">
      <w:pPr>
        <w:rPr>
          <w:rFonts w:ascii="Arial" w:hAnsi="Arial" w:cs="Arial"/>
          <w:sz w:val="16"/>
          <w:szCs w:val="16"/>
        </w:rPr>
      </w:pPr>
    </w:p>
    <w:p w14:paraId="376D08AC" w14:textId="494ED1DC" w:rsidR="00CD6352" w:rsidRPr="00EA7665" w:rsidRDefault="004035E6" w:rsidP="00CD6352">
      <w:pPr>
        <w:spacing w:line="360" w:lineRule="auto"/>
        <w:rPr>
          <w:rFonts w:ascii="Arial" w:hAnsi="Arial" w:cs="Arial"/>
        </w:rPr>
      </w:pPr>
      <w:r>
        <w:rPr>
          <w:rFonts w:ascii="Arial" w:hAnsi="Arial" w:cs="Arial"/>
        </w:rPr>
        <w:t>A c</w:t>
      </w:r>
      <w:r w:rsidR="00CD6352" w:rsidRPr="004035E6">
        <w:rPr>
          <w:rFonts w:ascii="Arial" w:hAnsi="Arial" w:cs="Arial"/>
        </w:rPr>
        <w:t xml:space="preserve">omparison of responses </w:t>
      </w:r>
      <w:r w:rsidR="00F65B32" w:rsidRPr="004035E6">
        <w:rPr>
          <w:rFonts w:ascii="Arial" w:hAnsi="Arial" w:cs="Arial"/>
        </w:rPr>
        <w:t>from the</w:t>
      </w:r>
      <w:r w:rsidR="00CD6352" w:rsidRPr="004035E6">
        <w:rPr>
          <w:rFonts w:ascii="Arial" w:hAnsi="Arial" w:cs="Arial"/>
        </w:rPr>
        <w:t xml:space="preserve"> </w:t>
      </w:r>
      <w:r w:rsidR="00206169">
        <w:rPr>
          <w:rFonts w:ascii="Arial" w:hAnsi="Arial" w:cs="Arial"/>
        </w:rPr>
        <w:t>six countries' manager</w:t>
      </w:r>
      <w:r w:rsidR="00CD6352" w:rsidRPr="004035E6">
        <w:rPr>
          <w:rFonts w:ascii="Arial" w:hAnsi="Arial" w:cs="Arial"/>
        </w:rPr>
        <w:t xml:space="preserve">s </w:t>
      </w:r>
      <w:r>
        <w:rPr>
          <w:rFonts w:ascii="Arial" w:hAnsi="Arial" w:cs="Arial"/>
        </w:rPr>
        <w:t>concerning</w:t>
      </w:r>
      <w:r w:rsidR="00CD6352" w:rsidRPr="004035E6">
        <w:rPr>
          <w:rFonts w:ascii="Arial" w:hAnsi="Arial" w:cs="Arial"/>
        </w:rPr>
        <w:t xml:space="preserve"> the need for training and education for skills for securing finance for real estate project development for the future (next 5 years) is contained in </w:t>
      </w:r>
      <w:r>
        <w:rPr>
          <w:rFonts w:ascii="Arial" w:hAnsi="Arial" w:cs="Arial"/>
        </w:rPr>
        <w:t>appendix 1 table 3</w:t>
      </w:r>
      <w:r w:rsidR="00CD6352" w:rsidRPr="004035E6">
        <w:rPr>
          <w:rFonts w:ascii="Arial" w:hAnsi="Arial" w:cs="Arial"/>
        </w:rPr>
        <w:t xml:space="preserve">. The mean score ranges are Germany </w:t>
      </w:r>
      <w:r w:rsidR="00F65B32" w:rsidRPr="004035E6">
        <w:rPr>
          <w:rFonts w:ascii="Arial" w:hAnsi="Arial" w:cs="Arial"/>
        </w:rPr>
        <w:t>(3</w:t>
      </w:r>
      <w:r w:rsidR="00CD6352" w:rsidRPr="004035E6">
        <w:rPr>
          <w:rFonts w:ascii="Arial" w:hAnsi="Arial" w:cs="Arial"/>
        </w:rPr>
        <w:t xml:space="preserve"> to 1), UK (3.67 to 2.56), US(3.67 to 2), China (3.67 to 2.56), Nigeria (4.25 to 3.25) and South Africa (4.57 to 3.38). The ranges show a significant need for training and education for all the twenty</w:t>
      </w:r>
      <w:r>
        <w:rPr>
          <w:rFonts w:ascii="Arial" w:hAnsi="Arial" w:cs="Arial"/>
        </w:rPr>
        <w:t>-</w:t>
      </w:r>
      <w:r w:rsidR="00CD6352" w:rsidRPr="004035E6">
        <w:rPr>
          <w:rFonts w:ascii="Arial" w:hAnsi="Arial" w:cs="Arial"/>
        </w:rPr>
        <w:t xml:space="preserve">three </w:t>
      </w:r>
      <w:r w:rsidR="00F65B32" w:rsidRPr="004035E6">
        <w:rPr>
          <w:rFonts w:ascii="Arial" w:hAnsi="Arial" w:cs="Arial"/>
        </w:rPr>
        <w:t>skills in</w:t>
      </w:r>
      <w:r w:rsidR="00CD6352" w:rsidRPr="004035E6">
        <w:rPr>
          <w:rFonts w:ascii="Arial" w:hAnsi="Arial" w:cs="Arial"/>
        </w:rPr>
        <w:t xml:space="preserve"> all of the countries apart from Germany</w:t>
      </w:r>
      <w:r w:rsidR="00D916F4">
        <w:rPr>
          <w:rFonts w:ascii="Arial" w:hAnsi="Arial" w:cs="Arial"/>
        </w:rPr>
        <w:t>. Managers in Germany</w:t>
      </w:r>
      <w:r w:rsidR="00CD6352" w:rsidRPr="004035E6">
        <w:rPr>
          <w:rFonts w:ascii="Arial" w:hAnsi="Arial" w:cs="Arial"/>
        </w:rPr>
        <w:t xml:space="preserve"> indicated they did not need training and education for</w:t>
      </w:r>
      <w:r w:rsidR="00CD6352" w:rsidRPr="00EA7665">
        <w:rPr>
          <w:rFonts w:ascii="Arial" w:hAnsi="Arial" w:cs="Arial"/>
        </w:rPr>
        <w:t xml:space="preserve"> strategic planning, leadership, </w:t>
      </w:r>
      <w:r w:rsidR="00CD6352">
        <w:rPr>
          <w:rFonts w:ascii="Arial" w:hAnsi="Arial" w:cs="Arial"/>
        </w:rPr>
        <w:t>negotiation</w:t>
      </w:r>
      <w:r w:rsidR="00CD6352" w:rsidRPr="00EA7665">
        <w:rPr>
          <w:rFonts w:ascii="Arial" w:hAnsi="Arial" w:cs="Arial"/>
        </w:rPr>
        <w:t>, planning and control, diplomatic intelligence, market liquidity timing, recognising and using influence, communication and developing &amp; building relationships.</w:t>
      </w:r>
    </w:p>
    <w:p w14:paraId="6CF285A0" w14:textId="77777777" w:rsidR="00CD6352" w:rsidRPr="00EA7665" w:rsidRDefault="00CD6352" w:rsidP="00CD6352">
      <w:pPr>
        <w:spacing w:line="360" w:lineRule="auto"/>
        <w:rPr>
          <w:rFonts w:ascii="Arial" w:hAnsi="Arial" w:cs="Arial"/>
        </w:rPr>
      </w:pPr>
      <w:r w:rsidRPr="00EA7665">
        <w:rPr>
          <w:rFonts w:ascii="Arial" w:hAnsi="Arial" w:cs="Arial"/>
        </w:rPr>
        <w:lastRenderedPageBreak/>
        <w:t>However, the top five skills which managers indicated they needed training and education for future use in securing finance for real estate project development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13"/>
        <w:gridCol w:w="3013"/>
      </w:tblGrid>
      <w:tr w:rsidR="00CD6352" w:rsidRPr="00EA7665" w14:paraId="7AB42E36" w14:textId="77777777" w:rsidTr="004035E6">
        <w:trPr>
          <w:trHeight w:val="2131"/>
        </w:trPr>
        <w:tc>
          <w:tcPr>
            <w:tcW w:w="3000" w:type="dxa"/>
          </w:tcPr>
          <w:p w14:paraId="41ECF921" w14:textId="77777777" w:rsidR="00CD6352" w:rsidRPr="00EA7665" w:rsidRDefault="00CD6352" w:rsidP="00CD6352">
            <w:pPr>
              <w:rPr>
                <w:rFonts w:ascii="Arial" w:hAnsi="Arial" w:cs="Arial"/>
                <w:sz w:val="16"/>
                <w:szCs w:val="16"/>
              </w:rPr>
            </w:pPr>
            <w:r w:rsidRPr="00EA7665">
              <w:rPr>
                <w:rFonts w:ascii="Arial" w:hAnsi="Arial" w:cs="Arial"/>
                <w:sz w:val="16"/>
                <w:szCs w:val="16"/>
              </w:rPr>
              <w:t>Germany</w:t>
            </w:r>
          </w:p>
          <w:p w14:paraId="3B1E35AA" w14:textId="77777777" w:rsidR="00CD6352" w:rsidRPr="00EA7665" w:rsidRDefault="00CD6352" w:rsidP="00C74AEC">
            <w:pPr>
              <w:pStyle w:val="ListParagraph"/>
              <w:numPr>
                <w:ilvl w:val="0"/>
                <w:numId w:val="139"/>
              </w:numPr>
              <w:spacing w:after="0" w:line="240" w:lineRule="auto"/>
              <w:rPr>
                <w:rFonts w:ascii="Arial" w:hAnsi="Arial" w:cs="Arial"/>
                <w:sz w:val="16"/>
                <w:szCs w:val="16"/>
              </w:rPr>
            </w:pPr>
            <w:r w:rsidRPr="00EA7665">
              <w:rPr>
                <w:rFonts w:ascii="Arial" w:hAnsi="Arial" w:cs="Arial"/>
                <w:sz w:val="16"/>
                <w:szCs w:val="16"/>
              </w:rPr>
              <w:t>Emerging technologies( such as artificial intelligence &amp; machine learning)</w:t>
            </w:r>
          </w:p>
          <w:p w14:paraId="10FD89F6" w14:textId="77777777" w:rsidR="00CD6352" w:rsidRPr="00EA7665" w:rsidRDefault="00CD6352" w:rsidP="00C74AEC">
            <w:pPr>
              <w:pStyle w:val="ListParagraph"/>
              <w:numPr>
                <w:ilvl w:val="0"/>
                <w:numId w:val="139"/>
              </w:numPr>
              <w:spacing w:after="0" w:line="240" w:lineRule="auto"/>
              <w:rPr>
                <w:rFonts w:ascii="Arial" w:hAnsi="Arial" w:cs="Arial"/>
                <w:sz w:val="16"/>
                <w:szCs w:val="16"/>
              </w:rPr>
            </w:pPr>
            <w:r w:rsidRPr="00EA7665">
              <w:rPr>
                <w:rFonts w:ascii="Arial" w:hAnsi="Arial" w:cs="Arial"/>
                <w:sz w:val="16"/>
                <w:szCs w:val="16"/>
              </w:rPr>
              <w:t>Analytical skill</w:t>
            </w:r>
          </w:p>
          <w:p w14:paraId="69A2559E" w14:textId="77777777" w:rsidR="00CD6352" w:rsidRPr="00EA7665" w:rsidRDefault="00CD6352" w:rsidP="00C74AEC">
            <w:pPr>
              <w:pStyle w:val="ListParagraph"/>
              <w:numPr>
                <w:ilvl w:val="0"/>
                <w:numId w:val="139"/>
              </w:numPr>
              <w:spacing w:after="0" w:line="240" w:lineRule="auto"/>
              <w:rPr>
                <w:rFonts w:ascii="Arial" w:hAnsi="Arial" w:cs="Arial"/>
                <w:sz w:val="16"/>
                <w:szCs w:val="16"/>
              </w:rPr>
            </w:pPr>
            <w:r w:rsidRPr="00EA7665">
              <w:rPr>
                <w:rFonts w:ascii="Arial" w:hAnsi="Arial" w:cs="Arial"/>
                <w:sz w:val="16"/>
                <w:szCs w:val="16"/>
              </w:rPr>
              <w:t>Interpreting financial data and identifying trends</w:t>
            </w:r>
          </w:p>
          <w:p w14:paraId="13BB7188" w14:textId="77777777" w:rsidR="00CD6352" w:rsidRPr="00EA7665" w:rsidRDefault="00CD6352" w:rsidP="00C74AEC">
            <w:pPr>
              <w:pStyle w:val="ListParagraph"/>
              <w:numPr>
                <w:ilvl w:val="0"/>
                <w:numId w:val="139"/>
              </w:numPr>
              <w:spacing w:after="0" w:line="240" w:lineRule="auto"/>
              <w:rPr>
                <w:rFonts w:ascii="Arial" w:hAnsi="Arial" w:cs="Arial"/>
                <w:sz w:val="16"/>
                <w:szCs w:val="16"/>
              </w:rPr>
            </w:pPr>
            <w:r w:rsidRPr="00EA7665">
              <w:rPr>
                <w:rFonts w:ascii="Arial" w:hAnsi="Arial" w:cs="Arial"/>
                <w:sz w:val="16"/>
                <w:szCs w:val="16"/>
              </w:rPr>
              <w:t>Developing and maintaining a cost management system</w:t>
            </w:r>
          </w:p>
          <w:p w14:paraId="18FF2DCC" w14:textId="77777777" w:rsidR="00CD6352" w:rsidRPr="00EA7665" w:rsidRDefault="00CD6352" w:rsidP="00C74AEC">
            <w:pPr>
              <w:pStyle w:val="ListParagraph"/>
              <w:numPr>
                <w:ilvl w:val="0"/>
                <w:numId w:val="139"/>
              </w:numPr>
              <w:spacing w:after="0" w:line="240" w:lineRule="auto"/>
              <w:rPr>
                <w:rFonts w:ascii="Arial" w:hAnsi="Arial" w:cs="Arial"/>
                <w:sz w:val="16"/>
                <w:szCs w:val="16"/>
              </w:rPr>
            </w:pPr>
            <w:r w:rsidRPr="00EA7665">
              <w:rPr>
                <w:rFonts w:ascii="Arial" w:hAnsi="Arial" w:cs="Arial"/>
                <w:sz w:val="16"/>
                <w:szCs w:val="16"/>
              </w:rPr>
              <w:t>Specialised industry skill/ construction skill</w:t>
            </w:r>
          </w:p>
        </w:tc>
        <w:tc>
          <w:tcPr>
            <w:tcW w:w="3013" w:type="dxa"/>
          </w:tcPr>
          <w:p w14:paraId="108CB837" w14:textId="77777777" w:rsidR="00CD6352" w:rsidRPr="00EA7665" w:rsidRDefault="00CD6352" w:rsidP="00CD6352">
            <w:pPr>
              <w:rPr>
                <w:rFonts w:ascii="Arial" w:hAnsi="Arial" w:cs="Arial"/>
                <w:sz w:val="16"/>
                <w:szCs w:val="16"/>
              </w:rPr>
            </w:pPr>
            <w:r w:rsidRPr="00EA7665">
              <w:rPr>
                <w:rFonts w:ascii="Arial" w:hAnsi="Arial" w:cs="Arial"/>
                <w:sz w:val="16"/>
                <w:szCs w:val="16"/>
              </w:rPr>
              <w:t>UK</w:t>
            </w:r>
          </w:p>
          <w:p w14:paraId="0183C5F0" w14:textId="77777777" w:rsidR="00CD6352" w:rsidRPr="00EA7665" w:rsidRDefault="00CD6352" w:rsidP="00C74AEC">
            <w:pPr>
              <w:pStyle w:val="ListParagraph"/>
              <w:numPr>
                <w:ilvl w:val="0"/>
                <w:numId w:val="140"/>
              </w:numPr>
              <w:spacing w:after="0" w:line="240" w:lineRule="auto"/>
              <w:rPr>
                <w:rFonts w:ascii="Arial" w:hAnsi="Arial" w:cs="Arial"/>
                <w:sz w:val="16"/>
                <w:szCs w:val="16"/>
              </w:rPr>
            </w:pPr>
            <w:r w:rsidRPr="00EA7665">
              <w:rPr>
                <w:rFonts w:ascii="Arial" w:hAnsi="Arial" w:cs="Arial"/>
                <w:sz w:val="16"/>
                <w:szCs w:val="16"/>
              </w:rPr>
              <w:t>Strategic planning</w:t>
            </w:r>
          </w:p>
          <w:p w14:paraId="374D4541" w14:textId="77777777" w:rsidR="00CD6352" w:rsidRPr="00EA7665" w:rsidRDefault="00CD6352" w:rsidP="00C74AEC">
            <w:pPr>
              <w:pStyle w:val="ListParagraph"/>
              <w:numPr>
                <w:ilvl w:val="0"/>
                <w:numId w:val="140"/>
              </w:numPr>
              <w:spacing w:after="0" w:line="240" w:lineRule="auto"/>
              <w:rPr>
                <w:rFonts w:ascii="Arial" w:hAnsi="Arial" w:cs="Arial"/>
                <w:sz w:val="16"/>
                <w:szCs w:val="16"/>
              </w:rPr>
            </w:pPr>
            <w:r w:rsidRPr="00EA7665">
              <w:rPr>
                <w:rFonts w:ascii="Arial" w:hAnsi="Arial" w:cs="Arial"/>
                <w:sz w:val="16"/>
                <w:szCs w:val="16"/>
              </w:rPr>
              <w:t>Interpreting financial data and identifying trends</w:t>
            </w:r>
          </w:p>
          <w:p w14:paraId="2A66A9E1" w14:textId="77777777" w:rsidR="00CD6352" w:rsidRPr="00EA7665" w:rsidRDefault="00CD6352" w:rsidP="00C74AEC">
            <w:pPr>
              <w:pStyle w:val="ListParagraph"/>
              <w:numPr>
                <w:ilvl w:val="0"/>
                <w:numId w:val="140"/>
              </w:numPr>
              <w:spacing w:after="0" w:line="240" w:lineRule="auto"/>
              <w:rPr>
                <w:rFonts w:ascii="Arial" w:hAnsi="Arial" w:cs="Arial"/>
                <w:sz w:val="16"/>
                <w:szCs w:val="16"/>
              </w:rPr>
            </w:pPr>
            <w:r w:rsidRPr="00EA7665">
              <w:rPr>
                <w:rFonts w:ascii="Arial" w:hAnsi="Arial" w:cs="Arial"/>
                <w:sz w:val="16"/>
                <w:szCs w:val="16"/>
              </w:rPr>
              <w:t>Developing confidence &amp; building relationships</w:t>
            </w:r>
          </w:p>
          <w:p w14:paraId="3F8FE4D2" w14:textId="77777777" w:rsidR="00CD6352" w:rsidRPr="00EA7665" w:rsidRDefault="00CD6352" w:rsidP="00C74AEC">
            <w:pPr>
              <w:pStyle w:val="ListParagraph"/>
              <w:numPr>
                <w:ilvl w:val="0"/>
                <w:numId w:val="140"/>
              </w:numPr>
              <w:spacing w:after="0" w:line="240" w:lineRule="auto"/>
              <w:rPr>
                <w:rFonts w:ascii="Arial" w:hAnsi="Arial" w:cs="Arial"/>
                <w:sz w:val="16"/>
                <w:szCs w:val="16"/>
              </w:rPr>
            </w:pPr>
            <w:r w:rsidRPr="00EA7665">
              <w:rPr>
                <w:rFonts w:ascii="Arial" w:hAnsi="Arial" w:cs="Arial"/>
                <w:sz w:val="16"/>
                <w:szCs w:val="16"/>
              </w:rPr>
              <w:t>Financial management approach analysis</w:t>
            </w:r>
          </w:p>
          <w:p w14:paraId="0E4A1C17" w14:textId="77777777" w:rsidR="00CD6352" w:rsidRPr="00EA7665" w:rsidRDefault="00CD6352" w:rsidP="00C74AEC">
            <w:pPr>
              <w:pStyle w:val="ListParagraph"/>
              <w:numPr>
                <w:ilvl w:val="0"/>
                <w:numId w:val="140"/>
              </w:numPr>
              <w:spacing w:after="0" w:line="240" w:lineRule="auto"/>
              <w:rPr>
                <w:rFonts w:ascii="Arial" w:hAnsi="Arial" w:cs="Arial"/>
                <w:sz w:val="16"/>
                <w:szCs w:val="16"/>
              </w:rPr>
            </w:pPr>
            <w:r w:rsidRPr="00EA7665">
              <w:rPr>
                <w:rFonts w:ascii="Arial" w:hAnsi="Arial" w:cs="Arial"/>
                <w:sz w:val="16"/>
                <w:szCs w:val="16"/>
              </w:rPr>
              <w:t>Specialised industry skill/ construction skill</w:t>
            </w:r>
          </w:p>
          <w:p w14:paraId="4C2462FD" w14:textId="77777777" w:rsidR="00CD6352" w:rsidRPr="00EA7665" w:rsidRDefault="00CD6352" w:rsidP="00CD6352">
            <w:pPr>
              <w:pStyle w:val="ListParagraph"/>
              <w:rPr>
                <w:rFonts w:ascii="Arial" w:hAnsi="Arial" w:cs="Arial"/>
                <w:sz w:val="16"/>
                <w:szCs w:val="16"/>
              </w:rPr>
            </w:pPr>
          </w:p>
        </w:tc>
        <w:tc>
          <w:tcPr>
            <w:tcW w:w="3013" w:type="dxa"/>
          </w:tcPr>
          <w:p w14:paraId="2AF66C70" w14:textId="77777777" w:rsidR="00CD6352" w:rsidRPr="00EA7665" w:rsidRDefault="00CD6352" w:rsidP="00CD6352">
            <w:pPr>
              <w:rPr>
                <w:rFonts w:ascii="Arial" w:hAnsi="Arial" w:cs="Arial"/>
                <w:sz w:val="16"/>
                <w:szCs w:val="16"/>
              </w:rPr>
            </w:pPr>
            <w:r w:rsidRPr="00EA7665">
              <w:rPr>
                <w:rFonts w:ascii="Arial" w:hAnsi="Arial" w:cs="Arial"/>
                <w:sz w:val="16"/>
                <w:szCs w:val="16"/>
              </w:rPr>
              <w:t>US</w:t>
            </w:r>
          </w:p>
          <w:p w14:paraId="4AAAC713" w14:textId="77777777" w:rsidR="00CD6352" w:rsidRPr="00EA7665" w:rsidRDefault="00CD6352" w:rsidP="00C74AEC">
            <w:pPr>
              <w:pStyle w:val="ListParagraph"/>
              <w:numPr>
                <w:ilvl w:val="0"/>
                <w:numId w:val="141"/>
              </w:numPr>
              <w:spacing w:after="0" w:line="240" w:lineRule="auto"/>
              <w:rPr>
                <w:rFonts w:ascii="Arial" w:hAnsi="Arial" w:cs="Arial"/>
                <w:sz w:val="16"/>
                <w:szCs w:val="16"/>
              </w:rPr>
            </w:pPr>
            <w:r w:rsidRPr="00EA7665">
              <w:rPr>
                <w:rFonts w:ascii="Arial" w:hAnsi="Arial" w:cs="Arial"/>
                <w:sz w:val="16"/>
                <w:szCs w:val="16"/>
              </w:rPr>
              <w:t>Interpreting financial data and identifying trends</w:t>
            </w:r>
          </w:p>
          <w:p w14:paraId="14A3FB32" w14:textId="77777777" w:rsidR="00CD6352" w:rsidRPr="00EA7665" w:rsidRDefault="00CD6352" w:rsidP="00C74AEC">
            <w:pPr>
              <w:pStyle w:val="ListParagraph"/>
              <w:numPr>
                <w:ilvl w:val="0"/>
                <w:numId w:val="141"/>
              </w:numPr>
              <w:spacing w:after="0" w:line="240" w:lineRule="auto"/>
              <w:rPr>
                <w:rFonts w:ascii="Arial" w:hAnsi="Arial" w:cs="Arial"/>
                <w:sz w:val="16"/>
                <w:szCs w:val="16"/>
              </w:rPr>
            </w:pPr>
            <w:r w:rsidRPr="00EA7665">
              <w:rPr>
                <w:rFonts w:ascii="Arial" w:hAnsi="Arial" w:cs="Arial"/>
                <w:sz w:val="16"/>
                <w:szCs w:val="16"/>
              </w:rPr>
              <w:t>Developing and maintaining a cost management system</w:t>
            </w:r>
          </w:p>
          <w:p w14:paraId="71E87817" w14:textId="77777777" w:rsidR="00CD6352" w:rsidRPr="00EA7665" w:rsidRDefault="00CD6352" w:rsidP="00C74AEC">
            <w:pPr>
              <w:pStyle w:val="ListParagraph"/>
              <w:numPr>
                <w:ilvl w:val="0"/>
                <w:numId w:val="141"/>
              </w:numPr>
              <w:spacing w:after="0" w:line="240" w:lineRule="auto"/>
              <w:rPr>
                <w:rFonts w:ascii="Arial" w:hAnsi="Arial" w:cs="Arial"/>
                <w:sz w:val="16"/>
                <w:szCs w:val="16"/>
              </w:rPr>
            </w:pPr>
            <w:r w:rsidRPr="00EA7665">
              <w:rPr>
                <w:rFonts w:ascii="Arial" w:hAnsi="Arial" w:cs="Arial"/>
                <w:sz w:val="16"/>
                <w:szCs w:val="16"/>
              </w:rPr>
              <w:t>Financial management approach analysis</w:t>
            </w:r>
          </w:p>
          <w:p w14:paraId="7E53FCC4" w14:textId="77777777" w:rsidR="00CD6352" w:rsidRPr="00EA7665" w:rsidRDefault="00CD6352" w:rsidP="00C74AEC">
            <w:pPr>
              <w:pStyle w:val="ListParagraph"/>
              <w:numPr>
                <w:ilvl w:val="0"/>
                <w:numId w:val="141"/>
              </w:numPr>
              <w:spacing w:after="0" w:line="240" w:lineRule="auto"/>
              <w:rPr>
                <w:rFonts w:ascii="Arial" w:hAnsi="Arial" w:cs="Arial"/>
                <w:sz w:val="16"/>
                <w:szCs w:val="16"/>
              </w:rPr>
            </w:pPr>
            <w:r w:rsidRPr="00EA7665">
              <w:rPr>
                <w:rFonts w:ascii="Arial" w:hAnsi="Arial" w:cs="Arial"/>
                <w:sz w:val="16"/>
                <w:szCs w:val="16"/>
              </w:rPr>
              <w:t>Emerging technologies( such as artificial intelligence &amp; machine learning)</w:t>
            </w:r>
          </w:p>
          <w:p w14:paraId="7714F97D" w14:textId="77777777" w:rsidR="00CD6352" w:rsidRPr="00EA7665" w:rsidRDefault="00CD6352" w:rsidP="00C74AEC">
            <w:pPr>
              <w:pStyle w:val="ListParagraph"/>
              <w:numPr>
                <w:ilvl w:val="0"/>
                <w:numId w:val="141"/>
              </w:numPr>
              <w:spacing w:after="0" w:line="240" w:lineRule="auto"/>
              <w:rPr>
                <w:rFonts w:ascii="Arial" w:hAnsi="Arial" w:cs="Arial"/>
                <w:sz w:val="16"/>
                <w:szCs w:val="16"/>
              </w:rPr>
            </w:pPr>
            <w:r w:rsidRPr="00EA7665">
              <w:rPr>
                <w:rFonts w:ascii="Arial" w:hAnsi="Arial" w:cs="Arial"/>
                <w:sz w:val="16"/>
                <w:szCs w:val="16"/>
              </w:rPr>
              <w:t>Analytical skill</w:t>
            </w:r>
          </w:p>
        </w:tc>
      </w:tr>
      <w:tr w:rsidR="00CD6352" w:rsidRPr="00EA7665" w14:paraId="75A3553C" w14:textId="77777777" w:rsidTr="004035E6">
        <w:tc>
          <w:tcPr>
            <w:tcW w:w="3000" w:type="dxa"/>
          </w:tcPr>
          <w:p w14:paraId="6D5DCCEB" w14:textId="77777777" w:rsidR="00CD6352" w:rsidRPr="00EA7665" w:rsidRDefault="00CD6352" w:rsidP="00CD6352">
            <w:pPr>
              <w:rPr>
                <w:rFonts w:ascii="Arial" w:hAnsi="Arial" w:cs="Arial"/>
                <w:sz w:val="16"/>
                <w:szCs w:val="16"/>
              </w:rPr>
            </w:pPr>
            <w:r w:rsidRPr="00EA7665">
              <w:rPr>
                <w:rFonts w:ascii="Arial" w:hAnsi="Arial" w:cs="Arial"/>
                <w:sz w:val="16"/>
                <w:szCs w:val="16"/>
              </w:rPr>
              <w:t>China</w:t>
            </w:r>
          </w:p>
          <w:p w14:paraId="428B4497" w14:textId="77777777" w:rsidR="00CD6352" w:rsidRPr="00EA7665" w:rsidRDefault="00CD6352" w:rsidP="00C74AEC">
            <w:pPr>
              <w:pStyle w:val="ListParagraph"/>
              <w:numPr>
                <w:ilvl w:val="0"/>
                <w:numId w:val="142"/>
              </w:numPr>
              <w:spacing w:after="0" w:line="240" w:lineRule="auto"/>
              <w:rPr>
                <w:rFonts w:ascii="Arial" w:hAnsi="Arial" w:cs="Arial"/>
                <w:sz w:val="16"/>
                <w:szCs w:val="16"/>
              </w:rPr>
            </w:pPr>
            <w:r w:rsidRPr="00EA7665">
              <w:rPr>
                <w:rFonts w:ascii="Arial" w:hAnsi="Arial" w:cs="Arial"/>
                <w:sz w:val="16"/>
                <w:szCs w:val="16"/>
              </w:rPr>
              <w:t>Teamwork</w:t>
            </w:r>
          </w:p>
          <w:p w14:paraId="73D31A03" w14:textId="77777777" w:rsidR="00CD6352" w:rsidRPr="00EA7665" w:rsidRDefault="00CD6352" w:rsidP="00C74AEC">
            <w:pPr>
              <w:pStyle w:val="ListParagraph"/>
              <w:numPr>
                <w:ilvl w:val="0"/>
                <w:numId w:val="142"/>
              </w:numPr>
              <w:spacing w:after="0" w:line="240" w:lineRule="auto"/>
              <w:rPr>
                <w:rFonts w:ascii="Arial" w:hAnsi="Arial" w:cs="Arial"/>
                <w:sz w:val="16"/>
                <w:szCs w:val="16"/>
              </w:rPr>
            </w:pPr>
            <w:r w:rsidRPr="00EA7665">
              <w:rPr>
                <w:rFonts w:ascii="Arial" w:hAnsi="Arial" w:cs="Arial"/>
                <w:sz w:val="16"/>
                <w:szCs w:val="16"/>
              </w:rPr>
              <w:t>Strategic planning</w:t>
            </w:r>
          </w:p>
          <w:p w14:paraId="0499D809" w14:textId="77777777" w:rsidR="00CD6352" w:rsidRPr="00EA7665" w:rsidRDefault="00CD6352" w:rsidP="00C74AEC">
            <w:pPr>
              <w:pStyle w:val="ListParagraph"/>
              <w:numPr>
                <w:ilvl w:val="0"/>
                <w:numId w:val="142"/>
              </w:numPr>
              <w:spacing w:after="0" w:line="240" w:lineRule="auto"/>
              <w:rPr>
                <w:rFonts w:ascii="Arial" w:hAnsi="Arial" w:cs="Arial"/>
                <w:sz w:val="16"/>
                <w:szCs w:val="16"/>
              </w:rPr>
            </w:pPr>
            <w:r w:rsidRPr="00EA7665">
              <w:rPr>
                <w:rFonts w:ascii="Arial" w:hAnsi="Arial" w:cs="Arial"/>
                <w:sz w:val="16"/>
                <w:szCs w:val="16"/>
              </w:rPr>
              <w:t>Emerging technologies( such as artificial intelligence &amp; machine learning)</w:t>
            </w:r>
          </w:p>
          <w:p w14:paraId="1D0176F6" w14:textId="77777777" w:rsidR="00CD6352" w:rsidRPr="00EA7665" w:rsidRDefault="00CD6352" w:rsidP="00C74AEC">
            <w:pPr>
              <w:pStyle w:val="ListParagraph"/>
              <w:numPr>
                <w:ilvl w:val="0"/>
                <w:numId w:val="142"/>
              </w:numPr>
              <w:spacing w:after="0" w:line="240" w:lineRule="auto"/>
              <w:rPr>
                <w:rFonts w:ascii="Arial" w:hAnsi="Arial" w:cs="Arial"/>
                <w:sz w:val="16"/>
                <w:szCs w:val="16"/>
              </w:rPr>
            </w:pPr>
            <w:r w:rsidRPr="00EA7665">
              <w:rPr>
                <w:rFonts w:ascii="Arial" w:hAnsi="Arial" w:cs="Arial"/>
                <w:sz w:val="16"/>
                <w:szCs w:val="16"/>
              </w:rPr>
              <w:t>Analytical skill</w:t>
            </w:r>
          </w:p>
          <w:p w14:paraId="5C3D7CDA" w14:textId="77777777" w:rsidR="00CD6352" w:rsidRPr="00EA7665" w:rsidRDefault="00CD6352" w:rsidP="00C74AEC">
            <w:pPr>
              <w:pStyle w:val="ListParagraph"/>
              <w:numPr>
                <w:ilvl w:val="0"/>
                <w:numId w:val="142"/>
              </w:numPr>
              <w:spacing w:after="0" w:line="240" w:lineRule="auto"/>
              <w:rPr>
                <w:rFonts w:ascii="Arial" w:hAnsi="Arial" w:cs="Arial"/>
                <w:sz w:val="16"/>
                <w:szCs w:val="16"/>
              </w:rPr>
            </w:pPr>
            <w:r w:rsidRPr="00EA7665">
              <w:rPr>
                <w:rFonts w:ascii="Arial" w:hAnsi="Arial" w:cs="Arial"/>
                <w:sz w:val="16"/>
                <w:szCs w:val="16"/>
              </w:rPr>
              <w:t>Negotiation</w:t>
            </w:r>
          </w:p>
          <w:p w14:paraId="3DEBADF5" w14:textId="77777777" w:rsidR="00CD6352" w:rsidRPr="00EA7665" w:rsidRDefault="00CD6352" w:rsidP="00CD6352">
            <w:pPr>
              <w:rPr>
                <w:rFonts w:ascii="Arial" w:hAnsi="Arial" w:cs="Arial"/>
                <w:sz w:val="16"/>
                <w:szCs w:val="16"/>
              </w:rPr>
            </w:pPr>
          </w:p>
          <w:p w14:paraId="157D6606" w14:textId="77777777" w:rsidR="00CD6352" w:rsidRPr="00EA7665" w:rsidRDefault="00CD6352" w:rsidP="00CD6352">
            <w:pPr>
              <w:rPr>
                <w:rFonts w:ascii="Arial" w:hAnsi="Arial" w:cs="Arial"/>
                <w:sz w:val="16"/>
                <w:szCs w:val="16"/>
              </w:rPr>
            </w:pPr>
          </w:p>
        </w:tc>
        <w:tc>
          <w:tcPr>
            <w:tcW w:w="3013" w:type="dxa"/>
          </w:tcPr>
          <w:p w14:paraId="06BFBBBD" w14:textId="77777777" w:rsidR="00CD6352" w:rsidRPr="00EA7665" w:rsidRDefault="00CD6352" w:rsidP="00CD6352">
            <w:pPr>
              <w:rPr>
                <w:rFonts w:ascii="Arial" w:hAnsi="Arial" w:cs="Arial"/>
                <w:sz w:val="16"/>
                <w:szCs w:val="16"/>
              </w:rPr>
            </w:pPr>
            <w:r w:rsidRPr="00EA7665">
              <w:rPr>
                <w:rFonts w:ascii="Arial" w:hAnsi="Arial" w:cs="Arial"/>
                <w:sz w:val="16"/>
                <w:szCs w:val="16"/>
              </w:rPr>
              <w:t>Nigeria</w:t>
            </w:r>
          </w:p>
          <w:p w14:paraId="0492070C" w14:textId="77777777" w:rsidR="00CD6352" w:rsidRPr="00EA7665" w:rsidRDefault="00CD6352" w:rsidP="00C74AEC">
            <w:pPr>
              <w:pStyle w:val="ListParagraph"/>
              <w:numPr>
                <w:ilvl w:val="0"/>
                <w:numId w:val="143"/>
              </w:numPr>
              <w:spacing w:after="0" w:line="240" w:lineRule="auto"/>
              <w:rPr>
                <w:rFonts w:ascii="Arial" w:hAnsi="Arial" w:cs="Arial"/>
                <w:sz w:val="16"/>
                <w:szCs w:val="16"/>
              </w:rPr>
            </w:pPr>
            <w:r w:rsidRPr="00EA7665">
              <w:rPr>
                <w:rFonts w:ascii="Arial" w:hAnsi="Arial" w:cs="Arial"/>
                <w:sz w:val="16"/>
                <w:szCs w:val="16"/>
              </w:rPr>
              <w:t>Teamwork</w:t>
            </w:r>
          </w:p>
          <w:p w14:paraId="7125127A" w14:textId="77777777" w:rsidR="00CD6352" w:rsidRPr="00EA7665" w:rsidRDefault="00CD6352" w:rsidP="00C74AEC">
            <w:pPr>
              <w:pStyle w:val="ListParagraph"/>
              <w:numPr>
                <w:ilvl w:val="0"/>
                <w:numId w:val="143"/>
              </w:numPr>
              <w:spacing w:after="0" w:line="240" w:lineRule="auto"/>
              <w:rPr>
                <w:rFonts w:ascii="Arial" w:hAnsi="Arial" w:cs="Arial"/>
                <w:sz w:val="16"/>
                <w:szCs w:val="16"/>
              </w:rPr>
            </w:pPr>
            <w:r w:rsidRPr="00EA7665">
              <w:rPr>
                <w:rFonts w:ascii="Arial" w:hAnsi="Arial" w:cs="Arial"/>
                <w:sz w:val="16"/>
                <w:szCs w:val="16"/>
              </w:rPr>
              <w:t>Communication</w:t>
            </w:r>
          </w:p>
          <w:p w14:paraId="3642B839" w14:textId="77777777" w:rsidR="00CD6352" w:rsidRPr="00EA7665" w:rsidRDefault="00CD6352" w:rsidP="00C74AEC">
            <w:pPr>
              <w:pStyle w:val="ListParagraph"/>
              <w:numPr>
                <w:ilvl w:val="0"/>
                <w:numId w:val="143"/>
              </w:numPr>
              <w:spacing w:after="0" w:line="240" w:lineRule="auto"/>
              <w:rPr>
                <w:rFonts w:ascii="Arial" w:hAnsi="Arial" w:cs="Arial"/>
                <w:sz w:val="16"/>
                <w:szCs w:val="16"/>
              </w:rPr>
            </w:pPr>
            <w:r w:rsidRPr="00EA7665">
              <w:rPr>
                <w:rFonts w:ascii="Arial" w:hAnsi="Arial" w:cs="Arial"/>
                <w:sz w:val="16"/>
                <w:szCs w:val="16"/>
              </w:rPr>
              <w:t>Planning and control</w:t>
            </w:r>
          </w:p>
          <w:p w14:paraId="38A23DBF" w14:textId="77777777" w:rsidR="00CD6352" w:rsidRPr="00EA7665" w:rsidRDefault="00CD6352" w:rsidP="00C74AEC">
            <w:pPr>
              <w:pStyle w:val="ListParagraph"/>
              <w:numPr>
                <w:ilvl w:val="0"/>
                <w:numId w:val="143"/>
              </w:numPr>
              <w:spacing w:after="0" w:line="240" w:lineRule="auto"/>
              <w:rPr>
                <w:rFonts w:ascii="Arial" w:hAnsi="Arial" w:cs="Arial"/>
                <w:sz w:val="16"/>
                <w:szCs w:val="16"/>
              </w:rPr>
            </w:pPr>
            <w:r w:rsidRPr="00EA7665">
              <w:rPr>
                <w:rFonts w:ascii="Arial" w:hAnsi="Arial" w:cs="Arial"/>
                <w:sz w:val="16"/>
                <w:szCs w:val="16"/>
              </w:rPr>
              <w:t>Risks management</w:t>
            </w:r>
          </w:p>
          <w:p w14:paraId="43279676" w14:textId="77777777" w:rsidR="00CD6352" w:rsidRPr="00EA7665" w:rsidRDefault="00CD6352" w:rsidP="00C74AEC">
            <w:pPr>
              <w:pStyle w:val="ListParagraph"/>
              <w:numPr>
                <w:ilvl w:val="0"/>
                <w:numId w:val="143"/>
              </w:numPr>
              <w:spacing w:after="0" w:line="240" w:lineRule="auto"/>
              <w:rPr>
                <w:rFonts w:ascii="Arial" w:hAnsi="Arial" w:cs="Arial"/>
                <w:sz w:val="16"/>
                <w:szCs w:val="16"/>
              </w:rPr>
            </w:pPr>
            <w:r w:rsidRPr="00EA7665">
              <w:rPr>
                <w:rFonts w:ascii="Arial" w:hAnsi="Arial" w:cs="Arial"/>
                <w:sz w:val="16"/>
                <w:szCs w:val="16"/>
              </w:rPr>
              <w:t>Leadership skill</w:t>
            </w:r>
          </w:p>
        </w:tc>
        <w:tc>
          <w:tcPr>
            <w:tcW w:w="3013" w:type="dxa"/>
          </w:tcPr>
          <w:p w14:paraId="60C4110B" w14:textId="77777777" w:rsidR="00CD6352" w:rsidRPr="00EA7665" w:rsidRDefault="00CD6352" w:rsidP="00CD6352">
            <w:pPr>
              <w:rPr>
                <w:rFonts w:ascii="Arial" w:hAnsi="Arial" w:cs="Arial"/>
                <w:sz w:val="16"/>
                <w:szCs w:val="16"/>
              </w:rPr>
            </w:pPr>
            <w:r w:rsidRPr="00EA7665">
              <w:rPr>
                <w:rFonts w:ascii="Arial" w:hAnsi="Arial" w:cs="Arial"/>
                <w:sz w:val="16"/>
                <w:szCs w:val="16"/>
              </w:rPr>
              <w:t>South Africa</w:t>
            </w:r>
          </w:p>
          <w:p w14:paraId="5CCECD94" w14:textId="77777777" w:rsidR="00CD6352" w:rsidRPr="00EA7665" w:rsidRDefault="00CD6352" w:rsidP="00C74AEC">
            <w:pPr>
              <w:pStyle w:val="ListParagraph"/>
              <w:numPr>
                <w:ilvl w:val="0"/>
                <w:numId w:val="144"/>
              </w:numPr>
              <w:spacing w:after="0" w:line="240" w:lineRule="auto"/>
              <w:rPr>
                <w:rFonts w:ascii="Arial" w:hAnsi="Arial" w:cs="Arial"/>
                <w:sz w:val="16"/>
                <w:szCs w:val="16"/>
              </w:rPr>
            </w:pPr>
            <w:r w:rsidRPr="00EA7665">
              <w:rPr>
                <w:rFonts w:ascii="Arial" w:hAnsi="Arial" w:cs="Arial"/>
                <w:sz w:val="16"/>
                <w:szCs w:val="16"/>
              </w:rPr>
              <w:t>Developing confidence &amp; building relationships</w:t>
            </w:r>
          </w:p>
          <w:p w14:paraId="04B186E7" w14:textId="77777777" w:rsidR="00CD6352" w:rsidRPr="00EA7665" w:rsidRDefault="00CD6352" w:rsidP="00C74AEC">
            <w:pPr>
              <w:pStyle w:val="ListParagraph"/>
              <w:numPr>
                <w:ilvl w:val="0"/>
                <w:numId w:val="144"/>
              </w:numPr>
              <w:spacing w:after="0" w:line="240" w:lineRule="auto"/>
              <w:rPr>
                <w:rFonts w:ascii="Arial" w:hAnsi="Arial" w:cs="Arial"/>
                <w:sz w:val="16"/>
                <w:szCs w:val="16"/>
              </w:rPr>
            </w:pPr>
            <w:r w:rsidRPr="00EA7665">
              <w:rPr>
                <w:rFonts w:ascii="Arial" w:hAnsi="Arial" w:cs="Arial"/>
                <w:sz w:val="16"/>
                <w:szCs w:val="16"/>
              </w:rPr>
              <w:t>Analytical skill</w:t>
            </w:r>
          </w:p>
          <w:p w14:paraId="2991011E" w14:textId="77777777" w:rsidR="00CD6352" w:rsidRPr="00EA7665" w:rsidRDefault="00CD6352" w:rsidP="00C74AEC">
            <w:pPr>
              <w:pStyle w:val="ListParagraph"/>
              <w:numPr>
                <w:ilvl w:val="0"/>
                <w:numId w:val="144"/>
              </w:numPr>
              <w:spacing w:after="0" w:line="240" w:lineRule="auto"/>
              <w:rPr>
                <w:rFonts w:ascii="Arial" w:hAnsi="Arial" w:cs="Arial"/>
                <w:sz w:val="16"/>
                <w:szCs w:val="16"/>
              </w:rPr>
            </w:pPr>
            <w:r w:rsidRPr="00EA7665">
              <w:rPr>
                <w:rFonts w:ascii="Arial" w:hAnsi="Arial" w:cs="Arial"/>
                <w:sz w:val="16"/>
                <w:szCs w:val="16"/>
              </w:rPr>
              <w:t>Communication</w:t>
            </w:r>
          </w:p>
          <w:p w14:paraId="3AE4B464" w14:textId="77777777" w:rsidR="00CD6352" w:rsidRPr="00EA7665" w:rsidRDefault="00CD6352" w:rsidP="00C74AEC">
            <w:pPr>
              <w:pStyle w:val="ListParagraph"/>
              <w:numPr>
                <w:ilvl w:val="0"/>
                <w:numId w:val="144"/>
              </w:numPr>
              <w:spacing w:after="0" w:line="240" w:lineRule="auto"/>
              <w:rPr>
                <w:rFonts w:ascii="Arial" w:hAnsi="Arial" w:cs="Arial"/>
                <w:sz w:val="16"/>
                <w:szCs w:val="16"/>
              </w:rPr>
            </w:pPr>
            <w:r w:rsidRPr="00EA7665">
              <w:rPr>
                <w:rFonts w:ascii="Arial" w:hAnsi="Arial" w:cs="Arial"/>
                <w:sz w:val="16"/>
                <w:szCs w:val="16"/>
              </w:rPr>
              <w:t>Teamwork</w:t>
            </w:r>
          </w:p>
          <w:p w14:paraId="72E927A8" w14:textId="77777777" w:rsidR="00CD6352" w:rsidRPr="00EA7665" w:rsidRDefault="00CD6352" w:rsidP="00C74AEC">
            <w:pPr>
              <w:pStyle w:val="ListParagraph"/>
              <w:numPr>
                <w:ilvl w:val="0"/>
                <w:numId w:val="144"/>
              </w:numPr>
              <w:spacing w:after="0" w:line="240" w:lineRule="auto"/>
              <w:rPr>
                <w:rFonts w:ascii="Arial" w:hAnsi="Arial" w:cs="Arial"/>
                <w:sz w:val="16"/>
                <w:szCs w:val="16"/>
              </w:rPr>
            </w:pPr>
            <w:r w:rsidRPr="00EA7665">
              <w:rPr>
                <w:rFonts w:ascii="Arial" w:hAnsi="Arial" w:cs="Arial"/>
                <w:sz w:val="16"/>
                <w:szCs w:val="16"/>
              </w:rPr>
              <w:t>Negotiation</w:t>
            </w:r>
          </w:p>
        </w:tc>
      </w:tr>
    </w:tbl>
    <w:p w14:paraId="1609CCB8" w14:textId="77777777" w:rsidR="00CD6352" w:rsidRDefault="00CD6352" w:rsidP="00CD6352">
      <w:pPr>
        <w:spacing w:line="360" w:lineRule="auto"/>
        <w:rPr>
          <w:rFonts w:ascii="Arial" w:hAnsi="Arial" w:cs="Arial"/>
        </w:rPr>
      </w:pPr>
    </w:p>
    <w:p w14:paraId="10FF744E" w14:textId="77777777" w:rsidR="00CD6352" w:rsidRDefault="00CD6352" w:rsidP="00CD6352">
      <w:pPr>
        <w:pStyle w:val="Heading3"/>
        <w:rPr>
          <w:sz w:val="22"/>
          <w:szCs w:val="22"/>
        </w:rPr>
      </w:pPr>
      <w:bookmarkStart w:id="1322" w:name="_Toc78983896"/>
      <w:r w:rsidRPr="00B96156">
        <w:rPr>
          <w:sz w:val="22"/>
          <w:szCs w:val="22"/>
        </w:rPr>
        <w:t xml:space="preserve">Relationship between the level of management and the </w:t>
      </w:r>
      <w:r>
        <w:rPr>
          <w:sz w:val="22"/>
          <w:szCs w:val="22"/>
        </w:rPr>
        <w:t xml:space="preserve">degree of importance of management </w:t>
      </w:r>
      <w:r w:rsidRPr="00B96156">
        <w:rPr>
          <w:sz w:val="22"/>
          <w:szCs w:val="22"/>
        </w:rPr>
        <w:t xml:space="preserve">skills </w:t>
      </w:r>
      <w:r>
        <w:rPr>
          <w:sz w:val="22"/>
          <w:szCs w:val="22"/>
        </w:rPr>
        <w:t>for securing finance for real estate project development.</w:t>
      </w:r>
      <w:bookmarkEnd w:id="1322"/>
    </w:p>
    <w:p w14:paraId="331D966C" w14:textId="77777777" w:rsidR="00CD6352" w:rsidRDefault="00CD6352" w:rsidP="00CD6352"/>
    <w:p w14:paraId="4099715A" w14:textId="42DD229E" w:rsidR="00CD6352" w:rsidRDefault="0051282A" w:rsidP="00CD6352">
      <w:pPr>
        <w:spacing w:line="360" w:lineRule="auto"/>
        <w:rPr>
          <w:rFonts w:ascii="Arial" w:hAnsi="Arial" w:cs="Arial"/>
        </w:rPr>
      </w:pPr>
      <w:r>
        <w:rPr>
          <w:rFonts w:ascii="Arial" w:hAnsi="Arial" w:cs="Arial"/>
        </w:rPr>
        <w:t>Appendix 1 table 4</w:t>
      </w:r>
      <w:r w:rsidR="00CD6352">
        <w:rPr>
          <w:rFonts w:ascii="Arial" w:hAnsi="Arial" w:cs="Arial"/>
        </w:rPr>
        <w:t xml:space="preserve"> shows that there is </w:t>
      </w:r>
      <w:bookmarkStart w:id="1323" w:name="_Hlk45895554"/>
      <w:r w:rsidR="00CD6352">
        <w:rPr>
          <w:rFonts w:ascii="Arial" w:hAnsi="Arial" w:cs="Arial"/>
        </w:rPr>
        <w:t xml:space="preserve">a significant positive correlation between the level of management and some skills considered important for securing finance for real estate project development. This </w:t>
      </w:r>
      <w:r w:rsidR="001B03E4">
        <w:rPr>
          <w:rFonts w:ascii="Arial" w:hAnsi="Arial" w:cs="Arial"/>
        </w:rPr>
        <w:t>indicates that the lower the management level, the more they consider skills such as risks management, budgeting, planning and control,</w:t>
      </w:r>
      <w:r w:rsidR="00CD6352">
        <w:rPr>
          <w:rFonts w:ascii="Arial" w:hAnsi="Arial" w:cs="Arial"/>
        </w:rPr>
        <w:t xml:space="preserve"> and market liquidity timing as important for securing finance for real estate project development.</w:t>
      </w:r>
      <w:bookmarkEnd w:id="1323"/>
      <w:r w:rsidR="00CD6352">
        <w:rPr>
          <w:rFonts w:ascii="Arial" w:hAnsi="Arial" w:cs="Arial"/>
        </w:rPr>
        <w:t xml:space="preserve"> However, the findings show no significant relationship between management level and skills such as negotiation, developing financial forecast and models and commercial awareness.</w:t>
      </w:r>
    </w:p>
    <w:p w14:paraId="599E651B" w14:textId="77777777" w:rsidR="00CD6352" w:rsidRPr="00EA7665" w:rsidRDefault="00CD6352" w:rsidP="00CD6352">
      <w:pPr>
        <w:spacing w:line="360" w:lineRule="auto"/>
        <w:rPr>
          <w:rFonts w:ascii="Arial" w:hAnsi="Arial" w:cs="Arial"/>
        </w:rPr>
      </w:pPr>
      <w:r w:rsidRPr="00F906E7">
        <w:rPr>
          <w:rFonts w:ascii="Arial" w:hAnsi="Arial" w:cs="Arial"/>
        </w:rPr>
        <w:t>The next segment of this study shows the findings on managers skills for securing finance for real estate project development based on the semi-structured interviews.</w:t>
      </w:r>
    </w:p>
    <w:p w14:paraId="2C99ADBA" w14:textId="77777777" w:rsidR="00CD6352" w:rsidRPr="00EA7665" w:rsidRDefault="00CD6352" w:rsidP="00CD6352"/>
    <w:p w14:paraId="1EAA8826" w14:textId="1C305DEF" w:rsidR="00CD6352" w:rsidRPr="00EA7665" w:rsidRDefault="00CD6352" w:rsidP="00CD6352">
      <w:pPr>
        <w:pStyle w:val="Heading3"/>
        <w:spacing w:line="360" w:lineRule="auto"/>
        <w:jc w:val="both"/>
        <w:rPr>
          <w:rFonts w:cs="Arial"/>
          <w:sz w:val="22"/>
          <w:szCs w:val="22"/>
        </w:rPr>
      </w:pPr>
      <w:bookmarkStart w:id="1324" w:name="_Toc78983897"/>
      <w:r w:rsidRPr="00EA7665">
        <w:rPr>
          <w:rFonts w:cs="Arial"/>
          <w:sz w:val="22"/>
          <w:szCs w:val="22"/>
        </w:rPr>
        <w:t>Semi</w:t>
      </w:r>
      <w:r w:rsidR="000E2B09">
        <w:rPr>
          <w:rFonts w:cs="Arial"/>
          <w:sz w:val="22"/>
          <w:szCs w:val="22"/>
        </w:rPr>
        <w:t>-</w:t>
      </w:r>
      <w:r w:rsidRPr="00EA7665">
        <w:rPr>
          <w:rFonts w:cs="Arial"/>
          <w:sz w:val="22"/>
          <w:szCs w:val="22"/>
        </w:rPr>
        <w:t>structured interview analysis and discussion at the disaggregate level</w:t>
      </w:r>
      <w:bookmarkEnd w:id="1324"/>
    </w:p>
    <w:p w14:paraId="0F35C98A" w14:textId="77777777" w:rsidR="00CD6352" w:rsidRPr="00EA7665" w:rsidRDefault="00CD6352" w:rsidP="00CD6352">
      <w:pPr>
        <w:spacing w:line="360" w:lineRule="auto"/>
        <w:jc w:val="both"/>
        <w:rPr>
          <w:rFonts w:ascii="Arial" w:hAnsi="Arial" w:cs="Arial"/>
          <w:lang w:val="en-US"/>
        </w:rPr>
      </w:pPr>
      <w:r w:rsidRPr="00EA7665">
        <w:rPr>
          <w:rFonts w:ascii="Arial" w:hAnsi="Arial" w:cs="Arial"/>
          <w:lang w:val="en-US"/>
        </w:rPr>
        <w:t>The semi-structured interview helps provide more information on the skills for securing finance for real estate project development in addition to the information from the survey questionnaire. It does this by providing answers to the underlisted questions which were answered by real estate managers in both the developed and emerging economies:</w:t>
      </w:r>
    </w:p>
    <w:p w14:paraId="1D815B4C" w14:textId="77777777" w:rsidR="00CD6352" w:rsidRPr="00EA7665" w:rsidRDefault="00CD6352" w:rsidP="00C74AEC">
      <w:pPr>
        <w:pStyle w:val="ListParagraph"/>
        <w:numPr>
          <w:ilvl w:val="0"/>
          <w:numId w:val="145"/>
        </w:numPr>
        <w:spacing w:line="360" w:lineRule="auto"/>
        <w:jc w:val="both"/>
        <w:rPr>
          <w:rFonts w:ascii="Arial" w:hAnsi="Arial" w:cs="Arial"/>
          <w:lang w:val="en-US"/>
        </w:rPr>
      </w:pPr>
      <w:r w:rsidRPr="00EA7665">
        <w:rPr>
          <w:rFonts w:ascii="Arial" w:hAnsi="Arial" w:cs="Arial"/>
          <w:lang w:val="en-US"/>
        </w:rPr>
        <w:t xml:space="preserve">What specific skills do you have that facilitates your ability to secure </w:t>
      </w:r>
      <w:r>
        <w:rPr>
          <w:rFonts w:ascii="Arial" w:hAnsi="Arial" w:cs="Arial"/>
          <w:lang w:val="en-US"/>
        </w:rPr>
        <w:t>finance</w:t>
      </w:r>
      <w:r w:rsidRPr="00EA7665">
        <w:rPr>
          <w:rFonts w:ascii="Arial" w:hAnsi="Arial" w:cs="Arial"/>
          <w:lang w:val="en-US"/>
        </w:rPr>
        <w:t xml:space="preserve"> for real estate project development?</w:t>
      </w:r>
    </w:p>
    <w:p w14:paraId="069833E0" w14:textId="77777777" w:rsidR="00CD6352" w:rsidRPr="00EA7665" w:rsidRDefault="00CD6352" w:rsidP="00C74AEC">
      <w:pPr>
        <w:pStyle w:val="ListParagraph"/>
        <w:numPr>
          <w:ilvl w:val="0"/>
          <w:numId w:val="145"/>
        </w:numPr>
        <w:spacing w:line="360" w:lineRule="auto"/>
        <w:jc w:val="both"/>
        <w:rPr>
          <w:rFonts w:ascii="Arial" w:hAnsi="Arial" w:cs="Arial"/>
          <w:lang w:val="en-US"/>
        </w:rPr>
      </w:pPr>
      <w:r w:rsidRPr="00EA7665">
        <w:rPr>
          <w:rFonts w:ascii="Arial" w:hAnsi="Arial" w:cs="Arial"/>
          <w:lang w:val="en-US"/>
        </w:rPr>
        <w:lastRenderedPageBreak/>
        <w:t>What skills do you need for securing finance for real estate project development that you do not presently have?</w:t>
      </w:r>
    </w:p>
    <w:p w14:paraId="180AD3DF" w14:textId="3870D7D3" w:rsidR="00CD6352" w:rsidRPr="00EA7665" w:rsidRDefault="00CD6352" w:rsidP="00C74AEC">
      <w:pPr>
        <w:pStyle w:val="ListParagraph"/>
        <w:numPr>
          <w:ilvl w:val="0"/>
          <w:numId w:val="145"/>
        </w:numPr>
        <w:spacing w:line="360" w:lineRule="auto"/>
        <w:jc w:val="both"/>
        <w:rPr>
          <w:rFonts w:ascii="Arial" w:hAnsi="Arial" w:cs="Arial"/>
          <w:lang w:val="en-US"/>
        </w:rPr>
      </w:pPr>
      <w:r w:rsidRPr="00EA7665">
        <w:rPr>
          <w:rFonts w:ascii="Arial" w:hAnsi="Arial" w:cs="Arial"/>
          <w:lang w:val="en-US"/>
        </w:rPr>
        <w:t xml:space="preserve">Which of the skills that you do not have would you want to </w:t>
      </w:r>
      <w:r>
        <w:rPr>
          <w:rFonts w:ascii="Arial" w:hAnsi="Arial" w:cs="Arial"/>
          <w:lang w:val="en-US"/>
        </w:rPr>
        <w:t xml:space="preserve">acquire through </w:t>
      </w:r>
      <w:r w:rsidRPr="00EA7665">
        <w:rPr>
          <w:rFonts w:ascii="Arial" w:hAnsi="Arial" w:cs="Arial"/>
          <w:lang w:val="en-US"/>
        </w:rPr>
        <w:t>training &amp; education?</w:t>
      </w:r>
    </w:p>
    <w:p w14:paraId="726ECE07" w14:textId="066630B7" w:rsidR="00CD6352" w:rsidRPr="00EA7665" w:rsidRDefault="00CD6352" w:rsidP="00CD6352">
      <w:pPr>
        <w:spacing w:line="360" w:lineRule="auto"/>
        <w:jc w:val="both"/>
        <w:rPr>
          <w:rFonts w:ascii="Arial" w:hAnsi="Arial" w:cs="Arial"/>
          <w:lang w:val="en-US"/>
        </w:rPr>
      </w:pPr>
      <w:r w:rsidRPr="00EA7665">
        <w:rPr>
          <w:rFonts w:ascii="Arial" w:hAnsi="Arial" w:cs="Arial"/>
          <w:lang w:val="en-US"/>
        </w:rPr>
        <w:t xml:space="preserve">The summary of responses to these questions by managers in both the developed and emerging economies is contained in </w:t>
      </w:r>
      <w:r>
        <w:rPr>
          <w:rFonts w:ascii="Arial" w:hAnsi="Arial" w:cs="Arial"/>
          <w:lang w:val="en-US"/>
        </w:rPr>
        <w:t>tables</w:t>
      </w:r>
      <w:r w:rsidRPr="00EA7665">
        <w:rPr>
          <w:rFonts w:ascii="Arial" w:hAnsi="Arial" w:cs="Arial"/>
          <w:lang w:val="en-US"/>
        </w:rPr>
        <w:t xml:space="preserve"> </w:t>
      </w:r>
      <w:r w:rsidR="00474034">
        <w:rPr>
          <w:rFonts w:ascii="Arial" w:hAnsi="Arial" w:cs="Arial"/>
          <w:lang w:val="en-US"/>
        </w:rPr>
        <w:t>8.</w:t>
      </w:r>
      <w:r w:rsidR="000E2B09">
        <w:rPr>
          <w:rFonts w:ascii="Arial" w:hAnsi="Arial" w:cs="Arial"/>
          <w:lang w:val="en-US"/>
        </w:rPr>
        <w:t>2.</w:t>
      </w:r>
      <w:r w:rsidR="00B46C7A">
        <w:rPr>
          <w:rFonts w:ascii="Arial" w:hAnsi="Arial" w:cs="Arial"/>
          <w:lang w:val="en-US"/>
        </w:rPr>
        <w:t>7</w:t>
      </w:r>
      <w:r>
        <w:rPr>
          <w:rFonts w:ascii="Arial" w:hAnsi="Arial" w:cs="Arial"/>
          <w:lang w:val="en-US"/>
        </w:rPr>
        <w:t xml:space="preserve"> </w:t>
      </w:r>
      <w:r w:rsidRPr="00EA7665">
        <w:rPr>
          <w:rFonts w:ascii="Arial" w:hAnsi="Arial" w:cs="Arial"/>
          <w:lang w:val="en-US"/>
        </w:rPr>
        <w:t>and 8.</w:t>
      </w:r>
      <w:r w:rsidR="000E2B09">
        <w:rPr>
          <w:rFonts w:ascii="Arial" w:hAnsi="Arial" w:cs="Arial"/>
          <w:lang w:val="en-US"/>
        </w:rPr>
        <w:t>2.</w:t>
      </w:r>
      <w:r w:rsidR="00B46C7A">
        <w:rPr>
          <w:rFonts w:ascii="Arial" w:hAnsi="Arial" w:cs="Arial"/>
          <w:lang w:val="en-US"/>
        </w:rPr>
        <w:t>8</w:t>
      </w:r>
      <w:r w:rsidR="00451875">
        <w:rPr>
          <w:rFonts w:ascii="Arial" w:hAnsi="Arial" w:cs="Arial"/>
          <w:lang w:val="en-US"/>
        </w:rPr>
        <w:t>,</w:t>
      </w:r>
      <w:r w:rsidR="00B46C7A">
        <w:rPr>
          <w:rFonts w:ascii="Arial" w:hAnsi="Arial" w:cs="Arial"/>
          <w:lang w:val="en-US"/>
        </w:rPr>
        <w:t xml:space="preserve"> respectively</w:t>
      </w:r>
      <w:r w:rsidR="000E2B09">
        <w:rPr>
          <w:rFonts w:ascii="Arial" w:hAnsi="Arial" w:cs="Arial"/>
          <w:lang w:val="en-US"/>
        </w:rPr>
        <w:t>.</w:t>
      </w:r>
    </w:p>
    <w:p w14:paraId="313B3829" w14:textId="0E16C7B4" w:rsidR="000E2B09" w:rsidRPr="00FA4BF0" w:rsidRDefault="000E2B09" w:rsidP="000E2B09">
      <w:pPr>
        <w:pStyle w:val="Caption"/>
        <w:rPr>
          <w:rStyle w:val="Emphasis"/>
          <w:rFonts w:ascii="Arial" w:hAnsi="Arial" w:cs="Arial"/>
          <w:sz w:val="16"/>
          <w:szCs w:val="16"/>
        </w:rPr>
      </w:pPr>
      <w:bookmarkStart w:id="1325" w:name="_Toc78984003"/>
      <w:r>
        <w:t xml:space="preserve">Table </w:t>
      </w:r>
      <w:fldSimple w:instr=" STYLEREF 2 \s ">
        <w:r w:rsidR="008F25B1">
          <w:rPr>
            <w:noProof/>
          </w:rPr>
          <w:t>8.2</w:t>
        </w:r>
      </w:fldSimple>
      <w:r w:rsidR="008F25B1">
        <w:noBreakHyphen/>
      </w:r>
      <w:fldSimple w:instr=" SEQ Table \* ARABIC \s 2 ">
        <w:r w:rsidR="008F25B1">
          <w:rPr>
            <w:noProof/>
          </w:rPr>
          <w:t>7</w:t>
        </w:r>
      </w:fldSimple>
      <w:r>
        <w:t xml:space="preserve">: </w:t>
      </w:r>
      <w:r w:rsidRPr="00FA4BF0">
        <w:rPr>
          <w:rStyle w:val="Emphasis"/>
          <w:rFonts w:ascii="Arial" w:hAnsi="Arial" w:cs="Arial"/>
          <w:sz w:val="16"/>
          <w:szCs w:val="16"/>
        </w:rPr>
        <w:t>Summary of semi</w:t>
      </w:r>
      <w:r>
        <w:rPr>
          <w:rStyle w:val="Emphasis"/>
          <w:rFonts w:ascii="Arial" w:hAnsi="Arial" w:cs="Arial"/>
          <w:sz w:val="16"/>
          <w:szCs w:val="16"/>
        </w:rPr>
        <w:t>-</w:t>
      </w:r>
      <w:r w:rsidRPr="00FA4BF0">
        <w:rPr>
          <w:rStyle w:val="Emphasis"/>
          <w:rFonts w:ascii="Arial" w:hAnsi="Arial" w:cs="Arial"/>
          <w:sz w:val="16"/>
          <w:szCs w:val="16"/>
        </w:rPr>
        <w:t>structured interviews on skills for securing finance for real estate project development in the developed economies.</w:t>
      </w:r>
      <w:bookmarkEnd w:id="1325"/>
    </w:p>
    <w:tbl>
      <w:tblPr>
        <w:tblStyle w:val="TableGrid"/>
        <w:tblW w:w="0" w:type="auto"/>
        <w:tblLook w:val="04A0" w:firstRow="1" w:lastRow="0" w:firstColumn="1" w:lastColumn="0" w:noHBand="0" w:noVBand="1"/>
      </w:tblPr>
      <w:tblGrid>
        <w:gridCol w:w="928"/>
        <w:gridCol w:w="3999"/>
        <w:gridCol w:w="2130"/>
        <w:gridCol w:w="1959"/>
      </w:tblGrid>
      <w:tr w:rsidR="00CD6352" w:rsidRPr="000E2B09" w14:paraId="1C72F4E5" w14:textId="77777777" w:rsidTr="00CD6352">
        <w:tc>
          <w:tcPr>
            <w:tcW w:w="0" w:type="auto"/>
          </w:tcPr>
          <w:p w14:paraId="36A37628" w14:textId="77777777" w:rsidR="00CD6352" w:rsidRPr="000E2B09" w:rsidRDefault="00CD6352" w:rsidP="00CD6352">
            <w:pPr>
              <w:jc w:val="both"/>
              <w:rPr>
                <w:rFonts w:ascii="Arial" w:hAnsi="Arial" w:cs="Arial"/>
                <w:b/>
                <w:sz w:val="16"/>
                <w:szCs w:val="16"/>
                <w:lang w:val="en-US"/>
              </w:rPr>
            </w:pPr>
            <w:r w:rsidRPr="000E2B09">
              <w:rPr>
                <w:rFonts w:ascii="Arial" w:hAnsi="Arial" w:cs="Arial"/>
                <w:b/>
                <w:sz w:val="16"/>
                <w:szCs w:val="16"/>
                <w:lang w:val="en-US"/>
              </w:rPr>
              <w:t>Country</w:t>
            </w:r>
          </w:p>
        </w:tc>
        <w:tc>
          <w:tcPr>
            <w:tcW w:w="0" w:type="auto"/>
          </w:tcPr>
          <w:p w14:paraId="37F8BCD1" w14:textId="77777777" w:rsidR="00CD6352" w:rsidRPr="000E2B09" w:rsidRDefault="00CD6352" w:rsidP="00CD6352">
            <w:pPr>
              <w:jc w:val="both"/>
              <w:rPr>
                <w:rFonts w:ascii="Arial" w:hAnsi="Arial" w:cs="Arial"/>
                <w:b/>
                <w:sz w:val="16"/>
                <w:szCs w:val="16"/>
                <w:lang w:val="en-US"/>
              </w:rPr>
            </w:pPr>
            <w:r w:rsidRPr="000E2B09">
              <w:rPr>
                <w:rFonts w:ascii="Arial" w:hAnsi="Arial" w:cs="Arial"/>
                <w:b/>
                <w:sz w:val="16"/>
                <w:szCs w:val="16"/>
                <w:lang w:val="en-US"/>
              </w:rPr>
              <w:t>Skills the mgr. presently have for securing real estate project development finance</w:t>
            </w:r>
          </w:p>
        </w:tc>
        <w:tc>
          <w:tcPr>
            <w:tcW w:w="0" w:type="auto"/>
          </w:tcPr>
          <w:p w14:paraId="5C70610F" w14:textId="77777777" w:rsidR="00CD6352" w:rsidRPr="000E2B09" w:rsidRDefault="00CD6352" w:rsidP="00CD6352">
            <w:pPr>
              <w:jc w:val="both"/>
              <w:rPr>
                <w:rFonts w:ascii="Arial" w:hAnsi="Arial" w:cs="Arial"/>
                <w:b/>
                <w:sz w:val="16"/>
                <w:szCs w:val="16"/>
                <w:lang w:val="en-US"/>
              </w:rPr>
            </w:pPr>
            <w:r w:rsidRPr="000E2B09">
              <w:rPr>
                <w:rFonts w:ascii="Arial" w:hAnsi="Arial" w:cs="Arial"/>
                <w:b/>
                <w:sz w:val="16"/>
                <w:szCs w:val="16"/>
                <w:lang w:val="en-US"/>
              </w:rPr>
              <w:t>Skills mgrs. do not presently have</w:t>
            </w:r>
          </w:p>
        </w:tc>
        <w:tc>
          <w:tcPr>
            <w:tcW w:w="0" w:type="auto"/>
          </w:tcPr>
          <w:p w14:paraId="5E48730F" w14:textId="77777777" w:rsidR="00CD6352" w:rsidRPr="000E2B09" w:rsidRDefault="00CD6352" w:rsidP="00CD6352">
            <w:pPr>
              <w:jc w:val="both"/>
              <w:rPr>
                <w:rFonts w:ascii="Arial" w:hAnsi="Arial" w:cs="Arial"/>
                <w:b/>
                <w:sz w:val="16"/>
                <w:szCs w:val="16"/>
                <w:lang w:val="en-US"/>
              </w:rPr>
            </w:pPr>
            <w:r w:rsidRPr="000E2B09">
              <w:rPr>
                <w:rFonts w:ascii="Arial" w:hAnsi="Arial" w:cs="Arial"/>
                <w:b/>
                <w:sz w:val="16"/>
                <w:szCs w:val="16"/>
                <w:lang w:val="en-US"/>
              </w:rPr>
              <w:t>Skills for which mgrs. want training &amp; education to acquire</w:t>
            </w:r>
          </w:p>
        </w:tc>
      </w:tr>
      <w:tr w:rsidR="00CD6352" w:rsidRPr="000E2B09" w14:paraId="14499D00" w14:textId="77777777" w:rsidTr="00CD6352">
        <w:tc>
          <w:tcPr>
            <w:tcW w:w="0" w:type="auto"/>
          </w:tcPr>
          <w:p w14:paraId="0129C4FF"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Germany mgr. 1</w:t>
            </w:r>
          </w:p>
        </w:tc>
        <w:tc>
          <w:tcPr>
            <w:tcW w:w="0" w:type="auto"/>
          </w:tcPr>
          <w:p w14:paraId="3A7708E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Global networking, delivering skills, a man of his word, access to buyers and investors and marketing skills</w:t>
            </w:r>
          </w:p>
        </w:tc>
        <w:tc>
          <w:tcPr>
            <w:tcW w:w="0" w:type="auto"/>
          </w:tcPr>
          <w:p w14:paraId="039D94D0"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c>
          <w:tcPr>
            <w:tcW w:w="0" w:type="auto"/>
          </w:tcPr>
          <w:p w14:paraId="4F62970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5026FB82" w14:textId="77777777" w:rsidTr="00CD6352">
        <w:tc>
          <w:tcPr>
            <w:tcW w:w="0" w:type="auto"/>
          </w:tcPr>
          <w:p w14:paraId="6718C338"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Germany mgr2</w:t>
            </w:r>
          </w:p>
        </w:tc>
        <w:tc>
          <w:tcPr>
            <w:tcW w:w="0" w:type="auto"/>
          </w:tcPr>
          <w:p w14:paraId="3C061A5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Skilled at the understanding of what financiers require for different classes of assets and some foreign language skills,</w:t>
            </w:r>
          </w:p>
        </w:tc>
        <w:tc>
          <w:tcPr>
            <w:tcW w:w="0" w:type="auto"/>
          </w:tcPr>
          <w:p w14:paraId="512DD4D2"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Foreign languages, Mandarin </w:t>
            </w:r>
          </w:p>
        </w:tc>
        <w:tc>
          <w:tcPr>
            <w:tcW w:w="0" w:type="auto"/>
          </w:tcPr>
          <w:p w14:paraId="664A6C3B"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Foreign language skills, Mandarin </w:t>
            </w:r>
          </w:p>
        </w:tc>
      </w:tr>
      <w:tr w:rsidR="00CD6352" w:rsidRPr="000E2B09" w14:paraId="72912754" w14:textId="77777777" w:rsidTr="00CD6352">
        <w:tc>
          <w:tcPr>
            <w:tcW w:w="0" w:type="auto"/>
          </w:tcPr>
          <w:p w14:paraId="028B8F8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Germany mgr. 3</w:t>
            </w:r>
          </w:p>
        </w:tc>
        <w:tc>
          <w:tcPr>
            <w:tcW w:w="0" w:type="auto"/>
          </w:tcPr>
          <w:p w14:paraId="3F0E1E10" w14:textId="5F38C642"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Delivering </w:t>
            </w:r>
            <w:r w:rsidR="000D2F90">
              <w:rPr>
                <w:rFonts w:ascii="Arial" w:hAnsi="Arial" w:cs="Arial"/>
                <w:sz w:val="16"/>
                <w:szCs w:val="16"/>
                <w:lang w:val="en-US"/>
              </w:rPr>
              <w:t xml:space="preserve">on project </w:t>
            </w:r>
            <w:r w:rsidRPr="000E2B09">
              <w:rPr>
                <w:rFonts w:ascii="Arial" w:hAnsi="Arial" w:cs="Arial"/>
                <w:sz w:val="16"/>
                <w:szCs w:val="16"/>
                <w:lang w:val="en-US"/>
              </w:rPr>
              <w:t xml:space="preserve">development, presentation of a project to the bank &amp; financiers, finance skills, relationship with banks, understanding of risks banks are willing to take, hedging skills </w:t>
            </w:r>
            <w:r w:rsidR="000D3E17" w:rsidRPr="000E2B09">
              <w:rPr>
                <w:rFonts w:ascii="Arial" w:hAnsi="Arial" w:cs="Arial"/>
                <w:sz w:val="16"/>
                <w:szCs w:val="16"/>
                <w:lang w:val="en-US"/>
              </w:rPr>
              <w:t>and negotiation</w:t>
            </w:r>
            <w:r w:rsidRPr="000E2B09">
              <w:rPr>
                <w:rFonts w:ascii="Arial" w:hAnsi="Arial" w:cs="Arial"/>
                <w:sz w:val="16"/>
                <w:szCs w:val="16"/>
                <w:lang w:val="en-US"/>
              </w:rPr>
              <w:t xml:space="preserve"> skills </w:t>
            </w:r>
          </w:p>
        </w:tc>
        <w:tc>
          <w:tcPr>
            <w:tcW w:w="0" w:type="auto"/>
          </w:tcPr>
          <w:p w14:paraId="1BA4147F"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c>
          <w:tcPr>
            <w:tcW w:w="0" w:type="auto"/>
          </w:tcPr>
          <w:p w14:paraId="00B31DF6"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49508C1A" w14:textId="77777777" w:rsidTr="00CD6352">
        <w:tc>
          <w:tcPr>
            <w:tcW w:w="0" w:type="auto"/>
          </w:tcPr>
          <w:p w14:paraId="459EADD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Germany mgr4</w:t>
            </w:r>
          </w:p>
        </w:tc>
        <w:tc>
          <w:tcPr>
            <w:tcW w:w="0" w:type="auto"/>
          </w:tcPr>
          <w:p w14:paraId="7380CF53"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Multi-lingual, architectural skills, finance skills, legal and creativity skills</w:t>
            </w:r>
          </w:p>
        </w:tc>
        <w:tc>
          <w:tcPr>
            <w:tcW w:w="0" w:type="auto"/>
          </w:tcPr>
          <w:p w14:paraId="2F9E8D67"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c>
          <w:tcPr>
            <w:tcW w:w="0" w:type="auto"/>
          </w:tcPr>
          <w:p w14:paraId="70A371C5"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1156ED74" w14:textId="77777777" w:rsidTr="00CD6352">
        <w:tc>
          <w:tcPr>
            <w:tcW w:w="0" w:type="auto"/>
          </w:tcPr>
          <w:p w14:paraId="321B8CE6"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Germany mgr. 5</w:t>
            </w:r>
          </w:p>
        </w:tc>
        <w:tc>
          <w:tcPr>
            <w:tcW w:w="0" w:type="auto"/>
          </w:tcPr>
          <w:p w14:paraId="65F92A05" w14:textId="3A3E3A48"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An understanding of loan contract; an understanding of what lenders look for in terms of structure, security, pricing &amp; covenants; knowledge of options for structuring debt </w:t>
            </w:r>
          </w:p>
        </w:tc>
        <w:tc>
          <w:tcPr>
            <w:tcW w:w="0" w:type="auto"/>
          </w:tcPr>
          <w:p w14:paraId="22CDF32F"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Skills for acquiring a  bigger network of  lenders</w:t>
            </w:r>
          </w:p>
        </w:tc>
        <w:tc>
          <w:tcPr>
            <w:tcW w:w="0" w:type="auto"/>
          </w:tcPr>
          <w:p w14:paraId="51F72518"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08D6240C" w14:textId="77777777" w:rsidTr="00CD6352">
        <w:trPr>
          <w:trHeight w:val="555"/>
        </w:trPr>
        <w:tc>
          <w:tcPr>
            <w:tcW w:w="0" w:type="auto"/>
          </w:tcPr>
          <w:p w14:paraId="4EE0258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Germany mgr6</w:t>
            </w:r>
          </w:p>
        </w:tc>
        <w:tc>
          <w:tcPr>
            <w:tcW w:w="0" w:type="auto"/>
          </w:tcPr>
          <w:p w14:paraId="080D64B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rPr>
              <w:t>Being good at the job, track record, reliability,  knowing lots of people and building relationships and grounded business relationship</w:t>
            </w:r>
          </w:p>
        </w:tc>
        <w:tc>
          <w:tcPr>
            <w:tcW w:w="0" w:type="auto"/>
          </w:tcPr>
          <w:p w14:paraId="04DDC02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rPr>
              <w:t>Economics</w:t>
            </w:r>
          </w:p>
        </w:tc>
        <w:tc>
          <w:tcPr>
            <w:tcW w:w="0" w:type="auto"/>
          </w:tcPr>
          <w:p w14:paraId="4A21AC27"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Real estate business</w:t>
            </w:r>
          </w:p>
        </w:tc>
      </w:tr>
      <w:tr w:rsidR="00CD6352" w:rsidRPr="000E2B09" w14:paraId="7FAC222B" w14:textId="77777777" w:rsidTr="00CD6352">
        <w:tc>
          <w:tcPr>
            <w:tcW w:w="0" w:type="auto"/>
          </w:tcPr>
          <w:p w14:paraId="1A31859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 1</w:t>
            </w:r>
          </w:p>
        </w:tc>
        <w:tc>
          <w:tcPr>
            <w:tcW w:w="0" w:type="auto"/>
          </w:tcPr>
          <w:p w14:paraId="78DF22FC"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Finance skills, selling skills and  specialized professional skills</w:t>
            </w:r>
          </w:p>
        </w:tc>
        <w:tc>
          <w:tcPr>
            <w:tcW w:w="0" w:type="auto"/>
          </w:tcPr>
          <w:p w14:paraId="234E06AC"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Design skills and gardening skills</w:t>
            </w:r>
          </w:p>
        </w:tc>
        <w:tc>
          <w:tcPr>
            <w:tcW w:w="0" w:type="auto"/>
          </w:tcPr>
          <w:p w14:paraId="0362C855"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2A0BF934" w14:textId="77777777" w:rsidTr="00CD6352">
        <w:trPr>
          <w:trHeight w:val="1129"/>
        </w:trPr>
        <w:tc>
          <w:tcPr>
            <w:tcW w:w="0" w:type="auto"/>
          </w:tcPr>
          <w:p w14:paraId="09A7BBCB"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mgr2</w:t>
            </w:r>
          </w:p>
        </w:tc>
        <w:tc>
          <w:tcPr>
            <w:tcW w:w="0" w:type="auto"/>
          </w:tcPr>
          <w:p w14:paraId="02DC0B14" w14:textId="0473B3A3"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Skills at being able to identify the right land opportunities, identifying the right land that is for sale at a reasonable price, skills at knowing when to commence building, expertise in building efficiently, selling skills, skills at buying property at the right time, skills of purchasing land at the right price, appraisal of available plots of land, land purchasing skills and monitoring skills.  </w:t>
            </w:r>
          </w:p>
        </w:tc>
        <w:tc>
          <w:tcPr>
            <w:tcW w:w="0" w:type="auto"/>
          </w:tcPr>
          <w:p w14:paraId="4EA1B7CF"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skills at minimising the risk of  rent-free periods and  land appraisal skill</w:t>
            </w:r>
          </w:p>
        </w:tc>
        <w:tc>
          <w:tcPr>
            <w:tcW w:w="0" w:type="auto"/>
          </w:tcPr>
          <w:p w14:paraId="2D156D3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12A5570B" w14:textId="77777777" w:rsidTr="00CD6352">
        <w:tc>
          <w:tcPr>
            <w:tcW w:w="0" w:type="auto"/>
          </w:tcPr>
          <w:p w14:paraId="2863FD0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mgr3</w:t>
            </w:r>
          </w:p>
        </w:tc>
        <w:tc>
          <w:tcPr>
            <w:tcW w:w="0" w:type="auto"/>
          </w:tcPr>
          <w:p w14:paraId="1EEEFE24" w14:textId="4D5CC689"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Diligence </w:t>
            </w:r>
            <w:r w:rsidR="000D3E17" w:rsidRPr="000E2B09">
              <w:rPr>
                <w:rFonts w:ascii="Arial" w:hAnsi="Arial" w:cs="Arial"/>
                <w:sz w:val="16"/>
                <w:szCs w:val="16"/>
                <w:lang w:val="en-US"/>
              </w:rPr>
              <w:t>and relationship</w:t>
            </w:r>
            <w:r w:rsidRPr="000E2B09">
              <w:rPr>
                <w:rFonts w:ascii="Arial" w:hAnsi="Arial" w:cs="Arial"/>
                <w:sz w:val="16"/>
                <w:szCs w:val="16"/>
                <w:lang w:val="en-US"/>
              </w:rPr>
              <w:t xml:space="preserve"> with prospective tenants </w:t>
            </w:r>
          </w:p>
        </w:tc>
        <w:tc>
          <w:tcPr>
            <w:tcW w:w="0" w:type="auto"/>
          </w:tcPr>
          <w:p w14:paraId="51986393"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c>
          <w:tcPr>
            <w:tcW w:w="0" w:type="auto"/>
          </w:tcPr>
          <w:p w14:paraId="5E30D697"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1744D6B0" w14:textId="77777777" w:rsidTr="00CD6352">
        <w:tc>
          <w:tcPr>
            <w:tcW w:w="0" w:type="auto"/>
          </w:tcPr>
          <w:p w14:paraId="6C0901F5"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mgr4</w:t>
            </w:r>
          </w:p>
        </w:tc>
        <w:tc>
          <w:tcPr>
            <w:tcW w:w="0" w:type="auto"/>
          </w:tcPr>
          <w:p w14:paraId="309D005A" w14:textId="201AAFA4"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Ability to explain the company’s vision, communication skill</w:t>
            </w:r>
            <w:r w:rsidR="000D2F90">
              <w:rPr>
                <w:rFonts w:ascii="Arial" w:hAnsi="Arial" w:cs="Arial"/>
                <w:sz w:val="16"/>
                <w:szCs w:val="16"/>
                <w:lang w:val="en-US"/>
              </w:rPr>
              <w:t>s</w:t>
            </w:r>
            <w:r w:rsidRPr="000E2B09">
              <w:rPr>
                <w:rFonts w:ascii="Arial" w:hAnsi="Arial" w:cs="Arial"/>
                <w:sz w:val="16"/>
                <w:szCs w:val="16"/>
                <w:lang w:val="en-US"/>
              </w:rPr>
              <w:t xml:space="preserve"> and being able to communicate information passionately without being emotional, contact keeping, teaming, sales negotiation, ability to show due diligence and analytics skill</w:t>
            </w:r>
          </w:p>
        </w:tc>
        <w:tc>
          <w:tcPr>
            <w:tcW w:w="0" w:type="auto"/>
          </w:tcPr>
          <w:p w14:paraId="1223495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Strong analytical skill  and skills at using up to date technology for looking up big data to make a better longer-term informed decision</w:t>
            </w:r>
          </w:p>
        </w:tc>
        <w:tc>
          <w:tcPr>
            <w:tcW w:w="0" w:type="auto"/>
          </w:tcPr>
          <w:p w14:paraId="6EC1AE33"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Strong analytical skills and skills at using up to date technology for looking up big data to make a better longer-term informed decision</w:t>
            </w:r>
          </w:p>
        </w:tc>
      </w:tr>
      <w:tr w:rsidR="00CD6352" w:rsidRPr="000E2B09" w14:paraId="5FE4828C" w14:textId="77777777" w:rsidTr="00CD6352">
        <w:tc>
          <w:tcPr>
            <w:tcW w:w="0" w:type="auto"/>
          </w:tcPr>
          <w:p w14:paraId="46ECD0A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Mgr5</w:t>
            </w:r>
          </w:p>
        </w:tc>
        <w:tc>
          <w:tcPr>
            <w:tcW w:w="0" w:type="auto"/>
          </w:tcPr>
          <w:p w14:paraId="060DE27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Strong finance and corporate governance background</w:t>
            </w:r>
          </w:p>
        </w:tc>
        <w:tc>
          <w:tcPr>
            <w:tcW w:w="0" w:type="auto"/>
          </w:tcPr>
          <w:p w14:paraId="5DB61831"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rPr>
              <w:t>More understanding of the regulatory framework</w:t>
            </w:r>
          </w:p>
        </w:tc>
        <w:tc>
          <w:tcPr>
            <w:tcW w:w="0" w:type="auto"/>
          </w:tcPr>
          <w:p w14:paraId="2DCB00A5"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rPr>
              <w:t>More knowledge of the regulatory framework</w:t>
            </w:r>
          </w:p>
        </w:tc>
      </w:tr>
      <w:tr w:rsidR="00CD6352" w:rsidRPr="000E2B09" w14:paraId="2E95486C" w14:textId="77777777" w:rsidTr="00CD6352">
        <w:tc>
          <w:tcPr>
            <w:tcW w:w="0" w:type="auto"/>
          </w:tcPr>
          <w:p w14:paraId="5C710F12"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mgr6</w:t>
            </w:r>
          </w:p>
        </w:tc>
        <w:tc>
          <w:tcPr>
            <w:tcW w:w="0" w:type="auto"/>
          </w:tcPr>
          <w:p w14:paraId="785C1A0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Ability to ask questions and listen to clients, ability to study the sector, ability to take information from clients and putting it in a simplified format for easy </w:t>
            </w:r>
            <w:r w:rsidRPr="000E2B09">
              <w:rPr>
                <w:rFonts w:ascii="Arial" w:hAnsi="Arial" w:cs="Arial"/>
                <w:sz w:val="16"/>
                <w:szCs w:val="16"/>
                <w:lang w:val="en-US"/>
              </w:rPr>
              <w:lastRenderedPageBreak/>
              <w:t>understanding for financiers, enthusiasm; ability to improve the company’s profile in the market by using the internet, LinkedIn and Facebook and real estate specialist skills</w:t>
            </w:r>
          </w:p>
        </w:tc>
        <w:tc>
          <w:tcPr>
            <w:tcW w:w="0" w:type="auto"/>
          </w:tcPr>
          <w:p w14:paraId="00604FE0"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lastRenderedPageBreak/>
              <w:t>Skills at making legal inputs and specialised IT networking skills</w:t>
            </w:r>
          </w:p>
        </w:tc>
        <w:tc>
          <w:tcPr>
            <w:tcW w:w="0" w:type="auto"/>
          </w:tcPr>
          <w:p w14:paraId="09E4EE43"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Specialised IT networking skills</w:t>
            </w:r>
          </w:p>
        </w:tc>
      </w:tr>
      <w:tr w:rsidR="00CD6352" w:rsidRPr="000E2B09" w14:paraId="06A7CEC9" w14:textId="77777777" w:rsidTr="00CD6352">
        <w:tc>
          <w:tcPr>
            <w:tcW w:w="0" w:type="auto"/>
          </w:tcPr>
          <w:p w14:paraId="3008356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UK mgr7</w:t>
            </w:r>
          </w:p>
        </w:tc>
        <w:tc>
          <w:tcPr>
            <w:tcW w:w="0" w:type="auto"/>
          </w:tcPr>
          <w:p w14:paraId="45F5D419"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Value admission and appraisal techniques, understanding of numbers and cash flows, ability to appraise and scenario test different outcomes, negotiation, people skill, confidence, ability to write well, to report, question-asking skills, analysing skills, learning skills, confidence, ability to keep pace with evolving laws and regulations, </w:t>
            </w:r>
          </w:p>
        </w:tc>
        <w:tc>
          <w:tcPr>
            <w:tcW w:w="0" w:type="auto"/>
          </w:tcPr>
          <w:p w14:paraId="02D6A834"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c>
          <w:tcPr>
            <w:tcW w:w="0" w:type="auto"/>
          </w:tcPr>
          <w:p w14:paraId="7FFF77E7"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0493C3D5" w14:textId="77777777" w:rsidTr="00CD6352">
        <w:tc>
          <w:tcPr>
            <w:tcW w:w="0" w:type="auto"/>
          </w:tcPr>
          <w:p w14:paraId="6EB4B4C8"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US mgr1</w:t>
            </w:r>
          </w:p>
        </w:tc>
        <w:tc>
          <w:tcPr>
            <w:tcW w:w="0" w:type="auto"/>
          </w:tcPr>
          <w:p w14:paraId="25884C9A"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 xml:space="preserve">Being able to put together finance models, analytical skills, persistence, marketing and sales, diligence, interpersonal skills, client management skills, lenders management skills and  ability to anticipate questions, </w:t>
            </w:r>
          </w:p>
        </w:tc>
        <w:tc>
          <w:tcPr>
            <w:tcW w:w="0" w:type="auto"/>
          </w:tcPr>
          <w:p w14:paraId="78EF71CE"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Anticipating questions, a greater understanding of financial books and  skills at understanding legal agreement</w:t>
            </w:r>
          </w:p>
        </w:tc>
        <w:tc>
          <w:tcPr>
            <w:tcW w:w="0" w:type="auto"/>
          </w:tcPr>
          <w:p w14:paraId="14EDDF14"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Informal legal and accounting training</w:t>
            </w:r>
          </w:p>
        </w:tc>
      </w:tr>
      <w:tr w:rsidR="00CD6352" w:rsidRPr="000E2B09" w14:paraId="03CFE065" w14:textId="77777777" w:rsidTr="00CD6352">
        <w:tc>
          <w:tcPr>
            <w:tcW w:w="0" w:type="auto"/>
          </w:tcPr>
          <w:p w14:paraId="33CC7362"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US Mgr2</w:t>
            </w:r>
          </w:p>
        </w:tc>
        <w:tc>
          <w:tcPr>
            <w:tcW w:w="0" w:type="auto"/>
          </w:tcPr>
          <w:p w14:paraId="45734880"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Relationship building, analysing potential opportunities and data analytics</w:t>
            </w:r>
          </w:p>
        </w:tc>
        <w:tc>
          <w:tcPr>
            <w:tcW w:w="0" w:type="auto"/>
          </w:tcPr>
          <w:p w14:paraId="72B11E6E"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Data analytics, TIS mapping and prop-tech mapping</w:t>
            </w:r>
          </w:p>
        </w:tc>
        <w:tc>
          <w:tcPr>
            <w:tcW w:w="0" w:type="auto"/>
          </w:tcPr>
          <w:p w14:paraId="0FE94A31"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Data analytics, TIS mapping and Prop-tech mapping</w:t>
            </w:r>
          </w:p>
        </w:tc>
      </w:tr>
      <w:tr w:rsidR="00CD6352" w:rsidRPr="000E2B09" w14:paraId="3FA7CFD4" w14:textId="77777777" w:rsidTr="00CD6352">
        <w:tc>
          <w:tcPr>
            <w:tcW w:w="0" w:type="auto"/>
          </w:tcPr>
          <w:p w14:paraId="58E024B5"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US mgr3</w:t>
            </w:r>
          </w:p>
        </w:tc>
        <w:tc>
          <w:tcPr>
            <w:tcW w:w="0" w:type="auto"/>
          </w:tcPr>
          <w:p w14:paraId="29ED1F6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Skills at timing deals, skills at knowing how the contract runs, knowing how the contract should be staffed and management skills</w:t>
            </w:r>
          </w:p>
        </w:tc>
        <w:tc>
          <w:tcPr>
            <w:tcW w:w="0" w:type="auto"/>
          </w:tcPr>
          <w:p w14:paraId="08DB731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Management</w:t>
            </w:r>
          </w:p>
        </w:tc>
        <w:tc>
          <w:tcPr>
            <w:tcW w:w="0" w:type="auto"/>
          </w:tcPr>
          <w:p w14:paraId="65DBE332"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r w:rsidR="00CD6352" w:rsidRPr="000E2B09" w14:paraId="17CE350E" w14:textId="77777777" w:rsidTr="00CD6352">
        <w:tc>
          <w:tcPr>
            <w:tcW w:w="0" w:type="auto"/>
          </w:tcPr>
          <w:p w14:paraId="23DCC99D"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US mgr4</w:t>
            </w:r>
          </w:p>
        </w:tc>
        <w:tc>
          <w:tcPr>
            <w:tcW w:w="0" w:type="auto"/>
          </w:tcPr>
          <w:p w14:paraId="682F5E74" w14:textId="2C594AD0"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Financial mode</w:t>
            </w:r>
            <w:r w:rsidR="00285D8C">
              <w:rPr>
                <w:rFonts w:ascii="Arial" w:hAnsi="Arial" w:cs="Arial"/>
                <w:sz w:val="16"/>
                <w:szCs w:val="16"/>
                <w:lang w:val="en-US"/>
              </w:rPr>
              <w:t>l</w:t>
            </w:r>
            <w:r w:rsidRPr="000E2B09">
              <w:rPr>
                <w:rFonts w:ascii="Arial" w:hAnsi="Arial" w:cs="Arial"/>
                <w:sz w:val="16"/>
                <w:szCs w:val="16"/>
                <w:lang w:val="en-US"/>
              </w:rPr>
              <w:t xml:space="preserve">ling, comparing scenarios, skills at reading through joint venture documents &amp; understanding them </w:t>
            </w:r>
            <w:r w:rsidR="009F0151" w:rsidRPr="000E2B09">
              <w:rPr>
                <w:rFonts w:ascii="Arial" w:hAnsi="Arial" w:cs="Arial"/>
                <w:sz w:val="16"/>
                <w:szCs w:val="16"/>
                <w:lang w:val="en-US"/>
              </w:rPr>
              <w:t>and relationship</w:t>
            </w:r>
            <w:r w:rsidRPr="000E2B09">
              <w:rPr>
                <w:rFonts w:ascii="Arial" w:hAnsi="Arial" w:cs="Arial"/>
                <w:sz w:val="16"/>
                <w:szCs w:val="16"/>
                <w:lang w:val="en-US"/>
              </w:rPr>
              <w:t xml:space="preserve"> management skills</w:t>
            </w:r>
          </w:p>
        </w:tc>
        <w:tc>
          <w:tcPr>
            <w:tcW w:w="0" w:type="auto"/>
          </w:tcPr>
          <w:p w14:paraId="7C4780D9" w14:textId="7897E839"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Rolodex (networking), mode</w:t>
            </w:r>
            <w:r w:rsidR="00285D8C">
              <w:rPr>
                <w:rFonts w:ascii="Arial" w:hAnsi="Arial" w:cs="Arial"/>
                <w:sz w:val="16"/>
                <w:szCs w:val="16"/>
                <w:lang w:val="en-US"/>
              </w:rPr>
              <w:t>l</w:t>
            </w:r>
            <w:r w:rsidRPr="000E2B09">
              <w:rPr>
                <w:rFonts w:ascii="Arial" w:hAnsi="Arial" w:cs="Arial"/>
                <w:sz w:val="16"/>
                <w:szCs w:val="16"/>
                <w:lang w:val="en-US"/>
              </w:rPr>
              <w:t>ling waterfalls for JV deals.</w:t>
            </w:r>
          </w:p>
        </w:tc>
        <w:tc>
          <w:tcPr>
            <w:tcW w:w="0" w:type="auto"/>
          </w:tcPr>
          <w:p w14:paraId="5E26F692" w14:textId="76B4CAAA"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Waterfalls, financial mode</w:t>
            </w:r>
            <w:r w:rsidR="00285D8C">
              <w:rPr>
                <w:rFonts w:ascii="Arial" w:hAnsi="Arial" w:cs="Arial"/>
                <w:sz w:val="16"/>
                <w:szCs w:val="16"/>
                <w:lang w:val="en-US"/>
              </w:rPr>
              <w:t>l</w:t>
            </w:r>
            <w:r w:rsidRPr="000E2B09">
              <w:rPr>
                <w:rFonts w:ascii="Arial" w:hAnsi="Arial" w:cs="Arial"/>
                <w:sz w:val="16"/>
                <w:szCs w:val="16"/>
                <w:lang w:val="en-US"/>
              </w:rPr>
              <w:t>ling</w:t>
            </w:r>
          </w:p>
        </w:tc>
      </w:tr>
      <w:tr w:rsidR="00CD6352" w:rsidRPr="000E2B09" w14:paraId="218E7E21" w14:textId="77777777" w:rsidTr="00CD6352">
        <w:trPr>
          <w:trHeight w:val="268"/>
        </w:trPr>
        <w:tc>
          <w:tcPr>
            <w:tcW w:w="0" w:type="auto"/>
          </w:tcPr>
          <w:p w14:paraId="5CD610C8"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US mgr. 5</w:t>
            </w:r>
          </w:p>
        </w:tc>
        <w:tc>
          <w:tcPr>
            <w:tcW w:w="0" w:type="auto"/>
          </w:tcPr>
          <w:p w14:paraId="1B4EB96D" w14:textId="10CFD49F"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Good mode</w:t>
            </w:r>
            <w:r w:rsidR="00285D8C">
              <w:rPr>
                <w:rFonts w:ascii="Arial" w:hAnsi="Arial" w:cs="Arial"/>
                <w:sz w:val="16"/>
                <w:szCs w:val="16"/>
                <w:lang w:val="en-US"/>
              </w:rPr>
              <w:t>l</w:t>
            </w:r>
            <w:r w:rsidRPr="000E2B09">
              <w:rPr>
                <w:rFonts w:ascii="Arial" w:hAnsi="Arial" w:cs="Arial"/>
                <w:sz w:val="16"/>
                <w:szCs w:val="16"/>
                <w:lang w:val="en-US"/>
              </w:rPr>
              <w:t xml:space="preserve">ling skills </w:t>
            </w:r>
          </w:p>
        </w:tc>
        <w:tc>
          <w:tcPr>
            <w:tcW w:w="0" w:type="auto"/>
          </w:tcPr>
          <w:p w14:paraId="362C4C3C"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c>
          <w:tcPr>
            <w:tcW w:w="0" w:type="auto"/>
          </w:tcPr>
          <w:p w14:paraId="5C757821" w14:textId="77777777" w:rsidR="00CD6352" w:rsidRPr="000E2B09" w:rsidRDefault="00CD6352" w:rsidP="00CD6352">
            <w:pPr>
              <w:jc w:val="both"/>
              <w:rPr>
                <w:rFonts w:ascii="Arial" w:hAnsi="Arial" w:cs="Arial"/>
                <w:sz w:val="16"/>
                <w:szCs w:val="16"/>
                <w:lang w:val="en-US"/>
              </w:rPr>
            </w:pPr>
            <w:r w:rsidRPr="000E2B09">
              <w:rPr>
                <w:rFonts w:ascii="Arial" w:hAnsi="Arial" w:cs="Arial"/>
                <w:sz w:val="16"/>
                <w:szCs w:val="16"/>
                <w:lang w:val="en-US"/>
              </w:rPr>
              <w:t>None</w:t>
            </w:r>
          </w:p>
        </w:tc>
      </w:tr>
    </w:tbl>
    <w:p w14:paraId="7289804B" w14:textId="77777777" w:rsidR="00CD6352" w:rsidRPr="00EA7665" w:rsidRDefault="00CD6352" w:rsidP="00CD6352">
      <w:pPr>
        <w:pStyle w:val="Caption"/>
        <w:rPr>
          <w:rFonts w:ascii="Arial" w:hAnsi="Arial" w:cs="Arial"/>
          <w:sz w:val="22"/>
          <w:szCs w:val="22"/>
        </w:rPr>
      </w:pPr>
    </w:p>
    <w:p w14:paraId="7950C5E9" w14:textId="77777777" w:rsidR="00CD6352" w:rsidRPr="00EA7665" w:rsidRDefault="00CD6352" w:rsidP="00CD6352">
      <w:pPr>
        <w:pStyle w:val="Caption"/>
        <w:rPr>
          <w:rStyle w:val="Emphasis"/>
          <w:rFonts w:ascii="Arial" w:hAnsi="Arial" w:cs="Arial"/>
          <w:i/>
          <w:sz w:val="16"/>
          <w:szCs w:val="16"/>
        </w:rPr>
      </w:pPr>
    </w:p>
    <w:p w14:paraId="62395916" w14:textId="516C62D1" w:rsidR="00285D8C" w:rsidRPr="00285D8C" w:rsidRDefault="00285D8C" w:rsidP="00285D8C">
      <w:pPr>
        <w:pStyle w:val="Caption"/>
        <w:keepNext/>
        <w:rPr>
          <w:rFonts w:ascii="Arial" w:hAnsi="Arial" w:cs="Arial"/>
          <w:i w:val="0"/>
          <w:iCs w:val="0"/>
          <w:sz w:val="16"/>
          <w:szCs w:val="16"/>
        </w:rPr>
      </w:pPr>
      <w:bookmarkStart w:id="1326" w:name="_Toc78984004"/>
      <w:r w:rsidRPr="00285D8C">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8</w:t>
      </w:r>
      <w:r w:rsidR="008F25B1">
        <w:rPr>
          <w:rFonts w:ascii="Arial" w:hAnsi="Arial" w:cs="Arial"/>
          <w:sz w:val="16"/>
          <w:szCs w:val="16"/>
        </w:rPr>
        <w:fldChar w:fldCharType="end"/>
      </w:r>
      <w:r w:rsidRPr="00285D8C">
        <w:rPr>
          <w:rFonts w:ascii="Arial" w:hAnsi="Arial" w:cs="Arial"/>
          <w:sz w:val="16"/>
          <w:szCs w:val="16"/>
        </w:rPr>
        <w:t xml:space="preserve">: </w:t>
      </w:r>
      <w:r w:rsidRPr="00285D8C">
        <w:rPr>
          <w:rFonts w:ascii="Arial" w:hAnsi="Arial" w:cs="Arial"/>
          <w:i w:val="0"/>
          <w:iCs w:val="0"/>
          <w:sz w:val="16"/>
          <w:szCs w:val="16"/>
        </w:rPr>
        <w:t>Summary of semi-structured interviews on skills for securing finance for real estate project development in the emerging economies.</w:t>
      </w:r>
      <w:bookmarkEnd w:id="1326"/>
    </w:p>
    <w:tbl>
      <w:tblPr>
        <w:tblStyle w:val="TableGrid"/>
        <w:tblW w:w="0" w:type="auto"/>
        <w:tblLook w:val="04A0" w:firstRow="1" w:lastRow="0" w:firstColumn="1" w:lastColumn="0" w:noHBand="0" w:noVBand="1"/>
      </w:tblPr>
      <w:tblGrid>
        <w:gridCol w:w="936"/>
        <w:gridCol w:w="4505"/>
        <w:gridCol w:w="1992"/>
        <w:gridCol w:w="1583"/>
      </w:tblGrid>
      <w:tr w:rsidR="00CD6352" w:rsidRPr="00285D8C" w14:paraId="0D32D095" w14:textId="77777777" w:rsidTr="00CD6352">
        <w:tc>
          <w:tcPr>
            <w:tcW w:w="0" w:type="auto"/>
          </w:tcPr>
          <w:p w14:paraId="71CBCC94" w14:textId="77777777" w:rsidR="00CD6352" w:rsidRPr="00285D8C" w:rsidRDefault="00CD6352" w:rsidP="00CD6352">
            <w:pPr>
              <w:jc w:val="both"/>
              <w:rPr>
                <w:rFonts w:ascii="Arial" w:hAnsi="Arial" w:cs="Arial"/>
                <w:b/>
                <w:sz w:val="16"/>
                <w:szCs w:val="16"/>
                <w:lang w:val="en-US"/>
              </w:rPr>
            </w:pPr>
            <w:r w:rsidRPr="00285D8C">
              <w:rPr>
                <w:rFonts w:ascii="Arial" w:hAnsi="Arial" w:cs="Arial"/>
                <w:b/>
                <w:sz w:val="16"/>
                <w:szCs w:val="16"/>
                <w:lang w:val="en-US"/>
              </w:rPr>
              <w:t>Country</w:t>
            </w:r>
          </w:p>
        </w:tc>
        <w:tc>
          <w:tcPr>
            <w:tcW w:w="0" w:type="auto"/>
          </w:tcPr>
          <w:p w14:paraId="32743DE8" w14:textId="77777777" w:rsidR="00CD6352" w:rsidRPr="00285D8C" w:rsidRDefault="00CD6352" w:rsidP="00CD6352">
            <w:pPr>
              <w:jc w:val="both"/>
              <w:rPr>
                <w:rFonts w:ascii="Arial" w:hAnsi="Arial" w:cs="Arial"/>
                <w:b/>
                <w:sz w:val="16"/>
                <w:szCs w:val="16"/>
                <w:lang w:val="en-US"/>
              </w:rPr>
            </w:pPr>
            <w:r w:rsidRPr="00285D8C">
              <w:rPr>
                <w:rFonts w:ascii="Arial" w:hAnsi="Arial" w:cs="Arial"/>
                <w:b/>
                <w:sz w:val="16"/>
                <w:szCs w:val="16"/>
                <w:lang w:val="en-US"/>
              </w:rPr>
              <w:t>Skills the mgrs. presently have for securing real estate project development finance</w:t>
            </w:r>
          </w:p>
        </w:tc>
        <w:tc>
          <w:tcPr>
            <w:tcW w:w="0" w:type="auto"/>
          </w:tcPr>
          <w:p w14:paraId="3077B5BD" w14:textId="77777777" w:rsidR="00CD6352" w:rsidRPr="00285D8C" w:rsidRDefault="00CD6352" w:rsidP="00CD6352">
            <w:pPr>
              <w:jc w:val="both"/>
              <w:rPr>
                <w:rFonts w:ascii="Arial" w:hAnsi="Arial" w:cs="Arial"/>
                <w:b/>
                <w:sz w:val="16"/>
                <w:szCs w:val="16"/>
                <w:lang w:val="en-US"/>
              </w:rPr>
            </w:pPr>
            <w:r w:rsidRPr="00285D8C">
              <w:rPr>
                <w:rFonts w:ascii="Arial" w:hAnsi="Arial" w:cs="Arial"/>
                <w:b/>
                <w:sz w:val="16"/>
                <w:szCs w:val="16"/>
                <w:lang w:val="en-US"/>
              </w:rPr>
              <w:t>Skills mgrs. do not presently have</w:t>
            </w:r>
          </w:p>
        </w:tc>
        <w:tc>
          <w:tcPr>
            <w:tcW w:w="0" w:type="auto"/>
          </w:tcPr>
          <w:p w14:paraId="7B83DFEF" w14:textId="77777777" w:rsidR="00CD6352" w:rsidRPr="00285D8C" w:rsidRDefault="00CD6352" w:rsidP="00CD6352">
            <w:pPr>
              <w:rPr>
                <w:rFonts w:ascii="Arial" w:hAnsi="Arial" w:cs="Arial"/>
                <w:b/>
                <w:sz w:val="16"/>
                <w:szCs w:val="16"/>
                <w:lang w:val="en-US"/>
              </w:rPr>
            </w:pPr>
            <w:r w:rsidRPr="00285D8C">
              <w:rPr>
                <w:rFonts w:ascii="Arial" w:hAnsi="Arial" w:cs="Arial"/>
                <w:b/>
                <w:sz w:val="16"/>
                <w:szCs w:val="16"/>
                <w:lang w:val="en-US"/>
              </w:rPr>
              <w:t>Skills for which mgrs. want training &amp; education to acquire</w:t>
            </w:r>
          </w:p>
        </w:tc>
      </w:tr>
      <w:tr w:rsidR="00CD6352" w:rsidRPr="00285D8C" w14:paraId="51223528" w14:textId="77777777" w:rsidTr="00CD6352">
        <w:trPr>
          <w:trHeight w:val="1085"/>
        </w:trPr>
        <w:tc>
          <w:tcPr>
            <w:tcW w:w="0" w:type="auto"/>
          </w:tcPr>
          <w:p w14:paraId="7178A83C"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China mgr. 1</w:t>
            </w:r>
          </w:p>
        </w:tc>
        <w:tc>
          <w:tcPr>
            <w:tcW w:w="0" w:type="auto"/>
          </w:tcPr>
          <w:p w14:paraId="3CDB0A45" w14:textId="6FC91D5F"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Skills at putting together investment case</w:t>
            </w:r>
            <w:r w:rsidR="005F2D7C">
              <w:rPr>
                <w:rFonts w:ascii="Arial" w:hAnsi="Arial" w:cs="Arial"/>
                <w:sz w:val="16"/>
                <w:szCs w:val="16"/>
                <w:lang w:val="en-US"/>
              </w:rPr>
              <w:t>s</w:t>
            </w:r>
            <w:r w:rsidRPr="00285D8C">
              <w:rPr>
                <w:rFonts w:ascii="Arial" w:hAnsi="Arial" w:cs="Arial"/>
                <w:sz w:val="16"/>
                <w:szCs w:val="16"/>
                <w:lang w:val="en-US"/>
              </w:rPr>
              <w:t xml:space="preserve"> and approaching providers of funds, stress-testing on scenarios, ability to do a vigorous analysis of the market and explain concisely what is believable, marketing, corporate real estate and real estate development</w:t>
            </w:r>
          </w:p>
        </w:tc>
        <w:tc>
          <w:tcPr>
            <w:tcW w:w="0" w:type="auto"/>
          </w:tcPr>
          <w:p w14:paraId="3A25D84D"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58E7D6A4"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0388B4E8" w14:textId="77777777" w:rsidTr="00CD6352">
        <w:tc>
          <w:tcPr>
            <w:tcW w:w="0" w:type="auto"/>
          </w:tcPr>
          <w:p w14:paraId="285E28BB"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China mgr2</w:t>
            </w:r>
          </w:p>
        </w:tc>
        <w:tc>
          <w:tcPr>
            <w:tcW w:w="0" w:type="auto"/>
          </w:tcPr>
          <w:p w14:paraId="3F4D68AC"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Financial element skills, financial analysis skills, ability to make project analysis, business development &amp; why it is bankable, ability to analyse financial occupidity, business development skills, ability to manage the team and all stakeholders, project planning, project finance &amp; infrastructure</w:t>
            </w:r>
          </w:p>
        </w:tc>
        <w:tc>
          <w:tcPr>
            <w:tcW w:w="0" w:type="auto"/>
          </w:tcPr>
          <w:p w14:paraId="17B5670D" w14:textId="07C0FD55"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Ability to understand risk</w:t>
            </w:r>
            <w:r w:rsidR="00601AF8">
              <w:rPr>
                <w:rFonts w:ascii="Arial" w:hAnsi="Arial" w:cs="Arial"/>
                <w:sz w:val="16"/>
                <w:szCs w:val="16"/>
                <w:lang w:val="en-US"/>
              </w:rPr>
              <w:t>s</w:t>
            </w:r>
            <w:r w:rsidRPr="00285D8C">
              <w:rPr>
                <w:rFonts w:ascii="Arial" w:hAnsi="Arial" w:cs="Arial"/>
                <w:sz w:val="16"/>
                <w:szCs w:val="16"/>
                <w:lang w:val="en-US"/>
              </w:rPr>
              <w:t xml:space="preserve"> and how to assess them</w:t>
            </w:r>
          </w:p>
        </w:tc>
        <w:tc>
          <w:tcPr>
            <w:tcW w:w="0" w:type="auto"/>
          </w:tcPr>
          <w:p w14:paraId="253F2C06"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Bankable project proposals </w:t>
            </w:r>
          </w:p>
        </w:tc>
      </w:tr>
      <w:tr w:rsidR="00CD6352" w:rsidRPr="00285D8C" w14:paraId="1AD72610" w14:textId="77777777" w:rsidTr="00CD6352">
        <w:tc>
          <w:tcPr>
            <w:tcW w:w="0" w:type="auto"/>
          </w:tcPr>
          <w:p w14:paraId="2E90C9C7"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China mgrs. 3</w:t>
            </w:r>
          </w:p>
        </w:tc>
        <w:tc>
          <w:tcPr>
            <w:tcW w:w="0" w:type="auto"/>
          </w:tcPr>
          <w:p w14:paraId="03999231" w14:textId="77777777" w:rsidR="00CD6352" w:rsidRPr="00285D8C" w:rsidRDefault="00CD6352" w:rsidP="00CD6352">
            <w:pPr>
              <w:jc w:val="both"/>
              <w:rPr>
                <w:rFonts w:ascii="Arial" w:hAnsi="Arial" w:cs="Arial"/>
                <w:sz w:val="16"/>
                <w:szCs w:val="16"/>
              </w:rPr>
            </w:pPr>
            <w:r w:rsidRPr="00285D8C">
              <w:rPr>
                <w:rFonts w:ascii="Arial" w:hAnsi="Arial" w:cs="Arial"/>
                <w:sz w:val="16"/>
                <w:szCs w:val="16"/>
              </w:rPr>
              <w:t>Excellent modelling skills,</w:t>
            </w:r>
            <w:r w:rsidRPr="00285D8C">
              <w:rPr>
                <w:rFonts w:ascii="Arial" w:eastAsiaTheme="minorEastAsia" w:hAnsi="Arial" w:cs="Arial"/>
                <w:color w:val="C00000"/>
                <w:sz w:val="16"/>
                <w:szCs w:val="16"/>
              </w:rPr>
              <w:t xml:space="preserve"> </w:t>
            </w:r>
            <w:r w:rsidRPr="00285D8C">
              <w:rPr>
                <w:rFonts w:ascii="Arial" w:hAnsi="Arial" w:cs="Arial"/>
                <w:sz w:val="16"/>
                <w:szCs w:val="16"/>
              </w:rPr>
              <w:t>ability to accurately estimate returns &amp;  present to potential investors/lenders, ability to estimate essential factors such as the amount of equity and debt financing required using the model</w:t>
            </w:r>
          </w:p>
          <w:p w14:paraId="358A0C70" w14:textId="77777777" w:rsidR="00CD6352" w:rsidRPr="00285D8C" w:rsidRDefault="00CD6352" w:rsidP="00CD6352">
            <w:pPr>
              <w:jc w:val="both"/>
              <w:rPr>
                <w:rFonts w:ascii="Arial" w:hAnsi="Arial" w:cs="Arial"/>
                <w:sz w:val="16"/>
                <w:szCs w:val="16"/>
                <w:lang w:val="en-US"/>
              </w:rPr>
            </w:pPr>
          </w:p>
        </w:tc>
        <w:tc>
          <w:tcPr>
            <w:tcW w:w="0" w:type="auto"/>
          </w:tcPr>
          <w:p w14:paraId="0C0BE5BB"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3F78DD86"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5FB601E0" w14:textId="77777777" w:rsidTr="00CD6352">
        <w:tc>
          <w:tcPr>
            <w:tcW w:w="0" w:type="auto"/>
          </w:tcPr>
          <w:p w14:paraId="4ADBF91F"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China mgr4</w:t>
            </w:r>
          </w:p>
        </w:tc>
        <w:tc>
          <w:tcPr>
            <w:tcW w:w="0" w:type="auto"/>
          </w:tcPr>
          <w:p w14:paraId="73F0F4C6" w14:textId="77777777" w:rsidR="00CD6352" w:rsidRPr="00285D8C" w:rsidRDefault="00CD6352" w:rsidP="00CD6352">
            <w:pPr>
              <w:jc w:val="both"/>
              <w:rPr>
                <w:rFonts w:ascii="Arial" w:hAnsi="Arial" w:cs="Arial"/>
                <w:sz w:val="16"/>
                <w:szCs w:val="16"/>
              </w:rPr>
            </w:pPr>
            <w:r w:rsidRPr="00285D8C">
              <w:rPr>
                <w:rFonts w:ascii="Arial" w:hAnsi="Arial" w:cs="Arial"/>
                <w:sz w:val="16"/>
                <w:szCs w:val="16"/>
              </w:rPr>
              <w:t>Modelling skills and ability to determine the financial need of the company</w:t>
            </w:r>
          </w:p>
        </w:tc>
        <w:tc>
          <w:tcPr>
            <w:tcW w:w="0" w:type="auto"/>
          </w:tcPr>
          <w:p w14:paraId="7DEB39F3"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441B2061"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48535004" w14:textId="77777777" w:rsidTr="00CD6352">
        <w:tc>
          <w:tcPr>
            <w:tcW w:w="0" w:type="auto"/>
          </w:tcPr>
          <w:p w14:paraId="6472EA01"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lastRenderedPageBreak/>
              <w:t>China Mgr5</w:t>
            </w:r>
          </w:p>
        </w:tc>
        <w:tc>
          <w:tcPr>
            <w:tcW w:w="0" w:type="auto"/>
          </w:tcPr>
          <w:p w14:paraId="27881D54" w14:textId="77777777" w:rsidR="00CD6352" w:rsidRPr="00285D8C" w:rsidRDefault="00CD6352" w:rsidP="00CD6352">
            <w:pPr>
              <w:jc w:val="both"/>
              <w:rPr>
                <w:rFonts w:ascii="Arial" w:hAnsi="Arial" w:cs="Arial"/>
                <w:sz w:val="16"/>
                <w:szCs w:val="16"/>
              </w:rPr>
            </w:pPr>
            <w:r w:rsidRPr="00285D8C">
              <w:rPr>
                <w:rFonts w:ascii="Arial" w:hAnsi="Arial" w:cs="Arial"/>
                <w:sz w:val="16"/>
                <w:szCs w:val="16"/>
              </w:rPr>
              <w:t>Modelling skills</w:t>
            </w:r>
          </w:p>
        </w:tc>
        <w:tc>
          <w:tcPr>
            <w:tcW w:w="0" w:type="auto"/>
          </w:tcPr>
          <w:p w14:paraId="2BD9E7C0"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619C681F"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0FE3D9D1" w14:textId="77777777" w:rsidTr="00CD6352">
        <w:tc>
          <w:tcPr>
            <w:tcW w:w="0" w:type="auto"/>
          </w:tcPr>
          <w:p w14:paraId="3F3192BA"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China mgr6</w:t>
            </w:r>
          </w:p>
        </w:tc>
        <w:tc>
          <w:tcPr>
            <w:tcW w:w="0" w:type="auto"/>
          </w:tcPr>
          <w:p w14:paraId="6BD6CB46" w14:textId="77777777" w:rsidR="00CD6352" w:rsidRPr="00285D8C" w:rsidRDefault="00CD6352" w:rsidP="00CD6352">
            <w:pPr>
              <w:jc w:val="both"/>
              <w:rPr>
                <w:rFonts w:ascii="Arial" w:hAnsi="Arial" w:cs="Arial"/>
                <w:sz w:val="16"/>
                <w:szCs w:val="16"/>
              </w:rPr>
            </w:pPr>
            <w:r w:rsidRPr="00285D8C">
              <w:rPr>
                <w:rFonts w:ascii="Arial" w:hAnsi="Arial" w:cs="Arial"/>
                <w:sz w:val="16"/>
                <w:szCs w:val="16"/>
              </w:rPr>
              <w:t>Modelling skills</w:t>
            </w:r>
          </w:p>
        </w:tc>
        <w:tc>
          <w:tcPr>
            <w:tcW w:w="0" w:type="auto"/>
          </w:tcPr>
          <w:p w14:paraId="2A41373D"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22F0EDE9"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14AC4264" w14:textId="77777777" w:rsidTr="00CD6352">
        <w:tc>
          <w:tcPr>
            <w:tcW w:w="0" w:type="auto"/>
          </w:tcPr>
          <w:p w14:paraId="3327D60F"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China mgr7</w:t>
            </w:r>
          </w:p>
        </w:tc>
        <w:tc>
          <w:tcPr>
            <w:tcW w:w="0" w:type="auto"/>
          </w:tcPr>
          <w:p w14:paraId="1A4BBA98" w14:textId="77777777" w:rsidR="00CD6352" w:rsidRPr="00285D8C" w:rsidRDefault="00CD6352" w:rsidP="00CD6352">
            <w:pPr>
              <w:jc w:val="both"/>
              <w:rPr>
                <w:rFonts w:ascii="Arial" w:hAnsi="Arial" w:cs="Arial"/>
                <w:sz w:val="16"/>
                <w:szCs w:val="16"/>
              </w:rPr>
            </w:pPr>
            <w:r w:rsidRPr="00285D8C">
              <w:rPr>
                <w:rFonts w:ascii="Arial" w:hAnsi="Arial" w:cs="Arial"/>
                <w:sz w:val="16"/>
                <w:szCs w:val="16"/>
              </w:rPr>
              <w:t>Transactor skills</w:t>
            </w:r>
          </w:p>
        </w:tc>
        <w:tc>
          <w:tcPr>
            <w:tcW w:w="0" w:type="auto"/>
          </w:tcPr>
          <w:p w14:paraId="66421516"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Asset management, development management and technical aspect of development</w:t>
            </w:r>
          </w:p>
        </w:tc>
        <w:tc>
          <w:tcPr>
            <w:tcW w:w="0" w:type="auto"/>
          </w:tcPr>
          <w:p w14:paraId="102FCBDB"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5121CD65" w14:textId="77777777" w:rsidTr="00CD6352">
        <w:tc>
          <w:tcPr>
            <w:tcW w:w="0" w:type="auto"/>
          </w:tcPr>
          <w:p w14:paraId="2F7BA1CA"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Nigeria mgr1</w:t>
            </w:r>
          </w:p>
        </w:tc>
        <w:tc>
          <w:tcPr>
            <w:tcW w:w="0" w:type="auto"/>
          </w:tcPr>
          <w:p w14:paraId="34FA8359"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Relationship management skills, marketing skills, communication skills, ability to take the risk, monitoring skills, supervision &amp; control skills</w:t>
            </w:r>
          </w:p>
        </w:tc>
        <w:tc>
          <w:tcPr>
            <w:tcW w:w="0" w:type="auto"/>
          </w:tcPr>
          <w:p w14:paraId="098DB352"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Town planning skills and persuasion skills</w:t>
            </w:r>
          </w:p>
        </w:tc>
        <w:tc>
          <w:tcPr>
            <w:tcW w:w="0" w:type="auto"/>
          </w:tcPr>
          <w:p w14:paraId="1C24F6EE"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Town planning skills, persuasion skills</w:t>
            </w:r>
          </w:p>
        </w:tc>
      </w:tr>
      <w:tr w:rsidR="00CD6352" w:rsidRPr="00285D8C" w14:paraId="51CE1764" w14:textId="77777777" w:rsidTr="00CD6352">
        <w:tc>
          <w:tcPr>
            <w:tcW w:w="0" w:type="auto"/>
          </w:tcPr>
          <w:p w14:paraId="18D179BB"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Nigeria mgr2</w:t>
            </w:r>
          </w:p>
        </w:tc>
        <w:tc>
          <w:tcPr>
            <w:tcW w:w="0" w:type="auto"/>
          </w:tcPr>
          <w:p w14:paraId="3737ACD6"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Financial structuring, profit at the bottom of the pyramid, strategic thinking, ability to lobby, ability to network and ability to connect to people on an emotional level</w:t>
            </w:r>
          </w:p>
        </w:tc>
        <w:tc>
          <w:tcPr>
            <w:tcW w:w="0" w:type="auto"/>
          </w:tcPr>
          <w:p w14:paraId="6DEE6688"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Innovative thinking </w:t>
            </w:r>
          </w:p>
        </w:tc>
        <w:tc>
          <w:tcPr>
            <w:tcW w:w="0" w:type="auto"/>
          </w:tcPr>
          <w:p w14:paraId="6DE0529C"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03BB0A14" w14:textId="77777777" w:rsidTr="00CD6352">
        <w:tc>
          <w:tcPr>
            <w:tcW w:w="0" w:type="auto"/>
          </w:tcPr>
          <w:p w14:paraId="6A6446BF"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Nigeria mgr3</w:t>
            </w:r>
          </w:p>
        </w:tc>
        <w:tc>
          <w:tcPr>
            <w:tcW w:w="0" w:type="auto"/>
          </w:tcPr>
          <w:p w14:paraId="23FAEB0D" w14:textId="1A11A182"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Marketing, project management, design management and  proposal preparation  </w:t>
            </w:r>
          </w:p>
        </w:tc>
        <w:tc>
          <w:tcPr>
            <w:tcW w:w="0" w:type="auto"/>
          </w:tcPr>
          <w:p w14:paraId="6C180725"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Safety</w:t>
            </w:r>
          </w:p>
        </w:tc>
        <w:tc>
          <w:tcPr>
            <w:tcW w:w="0" w:type="auto"/>
          </w:tcPr>
          <w:p w14:paraId="70D703D6"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Safety</w:t>
            </w:r>
          </w:p>
        </w:tc>
      </w:tr>
      <w:tr w:rsidR="00CD6352" w:rsidRPr="00285D8C" w14:paraId="0C3BBEF6" w14:textId="77777777" w:rsidTr="00CD6352">
        <w:trPr>
          <w:trHeight w:val="511"/>
        </w:trPr>
        <w:tc>
          <w:tcPr>
            <w:tcW w:w="0" w:type="auto"/>
          </w:tcPr>
          <w:p w14:paraId="397E52F2"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Nigeria mgr. 4</w:t>
            </w:r>
          </w:p>
        </w:tc>
        <w:tc>
          <w:tcPr>
            <w:tcW w:w="0" w:type="auto"/>
          </w:tcPr>
          <w:p w14:paraId="3E40D1CD"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Integrity and technical skills</w:t>
            </w:r>
          </w:p>
        </w:tc>
        <w:tc>
          <w:tcPr>
            <w:tcW w:w="0" w:type="auto"/>
          </w:tcPr>
          <w:p w14:paraId="57BD6EAD"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Ability to attract financiers from abroad</w:t>
            </w:r>
          </w:p>
        </w:tc>
        <w:tc>
          <w:tcPr>
            <w:tcW w:w="0" w:type="auto"/>
          </w:tcPr>
          <w:p w14:paraId="194BCE73"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Ability to attract financiers from abroad</w:t>
            </w:r>
          </w:p>
        </w:tc>
      </w:tr>
      <w:tr w:rsidR="00CD6352" w:rsidRPr="00285D8C" w14:paraId="5573C3EE" w14:textId="77777777" w:rsidTr="00CD6352">
        <w:tc>
          <w:tcPr>
            <w:tcW w:w="0" w:type="auto"/>
          </w:tcPr>
          <w:p w14:paraId="6B19AB25"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Nigeria mgr. 5</w:t>
            </w:r>
          </w:p>
        </w:tc>
        <w:tc>
          <w:tcPr>
            <w:tcW w:w="0" w:type="auto"/>
          </w:tcPr>
          <w:p w14:paraId="52C7AB18"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Technical skills, integrity &amp; diversity</w:t>
            </w:r>
          </w:p>
        </w:tc>
        <w:tc>
          <w:tcPr>
            <w:tcW w:w="0" w:type="auto"/>
          </w:tcPr>
          <w:p w14:paraId="50FB8CE9"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5D59B4A3"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21325DE8" w14:textId="77777777" w:rsidTr="00CD6352">
        <w:tc>
          <w:tcPr>
            <w:tcW w:w="0" w:type="auto"/>
          </w:tcPr>
          <w:p w14:paraId="55305ED2"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Nigeria mgr. 6</w:t>
            </w:r>
          </w:p>
        </w:tc>
        <w:tc>
          <w:tcPr>
            <w:tcW w:w="0" w:type="auto"/>
          </w:tcPr>
          <w:p w14:paraId="3BB28491"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Training as a listed surveyor, an understanding of other professionals in the field, being able to understand the life of a building, planning, presentation skills and graphics skills</w:t>
            </w:r>
          </w:p>
        </w:tc>
        <w:tc>
          <w:tcPr>
            <w:tcW w:w="0" w:type="auto"/>
          </w:tcPr>
          <w:p w14:paraId="4A948631"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Market analysis  </w:t>
            </w:r>
          </w:p>
        </w:tc>
        <w:tc>
          <w:tcPr>
            <w:tcW w:w="0" w:type="auto"/>
          </w:tcPr>
          <w:p w14:paraId="3EECE5A2"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Market analysis  </w:t>
            </w:r>
          </w:p>
        </w:tc>
      </w:tr>
      <w:tr w:rsidR="00CD6352" w:rsidRPr="00285D8C" w14:paraId="1D5A2B9F" w14:textId="77777777" w:rsidTr="00CD6352">
        <w:tc>
          <w:tcPr>
            <w:tcW w:w="0" w:type="auto"/>
          </w:tcPr>
          <w:p w14:paraId="24494FE5"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South Africa mgr1</w:t>
            </w:r>
          </w:p>
        </w:tc>
        <w:tc>
          <w:tcPr>
            <w:tcW w:w="0" w:type="auto"/>
          </w:tcPr>
          <w:p w14:paraId="2B8ACA07"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Ability to service debt, the ability to pay back debt, an understanding of the project to be developed, technical skills and political skills,</w:t>
            </w:r>
          </w:p>
        </w:tc>
        <w:tc>
          <w:tcPr>
            <w:tcW w:w="0" w:type="auto"/>
          </w:tcPr>
          <w:p w14:paraId="06752D1D"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None </w:t>
            </w:r>
          </w:p>
        </w:tc>
        <w:tc>
          <w:tcPr>
            <w:tcW w:w="0" w:type="auto"/>
          </w:tcPr>
          <w:p w14:paraId="58505859"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3B9B7B70" w14:textId="77777777" w:rsidTr="00CD6352">
        <w:tc>
          <w:tcPr>
            <w:tcW w:w="0" w:type="auto"/>
          </w:tcPr>
          <w:p w14:paraId="27482BB6"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South Africa mgr2</w:t>
            </w:r>
          </w:p>
        </w:tc>
        <w:tc>
          <w:tcPr>
            <w:tcW w:w="0" w:type="auto"/>
          </w:tcPr>
          <w:p w14:paraId="16C19A65"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Ability to package the application for funding, ability to minimise &amp; mitigate against risk, relationship with financiers and interpersonal skills, </w:t>
            </w:r>
          </w:p>
        </w:tc>
        <w:tc>
          <w:tcPr>
            <w:tcW w:w="0" w:type="auto"/>
          </w:tcPr>
          <w:p w14:paraId="1C4CCDCA"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c>
          <w:tcPr>
            <w:tcW w:w="0" w:type="auto"/>
          </w:tcPr>
          <w:p w14:paraId="497F8198"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r w:rsidR="00CD6352" w:rsidRPr="00285D8C" w14:paraId="5419872A" w14:textId="77777777" w:rsidTr="00CD6352">
        <w:tc>
          <w:tcPr>
            <w:tcW w:w="0" w:type="auto"/>
          </w:tcPr>
          <w:p w14:paraId="56DB3BA5"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South Africa mgr3</w:t>
            </w:r>
          </w:p>
        </w:tc>
        <w:tc>
          <w:tcPr>
            <w:tcW w:w="0" w:type="auto"/>
          </w:tcPr>
          <w:p w14:paraId="338C1F7B"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Investment and finance, </w:t>
            </w:r>
          </w:p>
        </w:tc>
        <w:tc>
          <w:tcPr>
            <w:tcW w:w="0" w:type="auto"/>
          </w:tcPr>
          <w:p w14:paraId="21A072CC"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Enhanced finance skills</w:t>
            </w:r>
          </w:p>
        </w:tc>
        <w:tc>
          <w:tcPr>
            <w:tcW w:w="0" w:type="auto"/>
          </w:tcPr>
          <w:p w14:paraId="2360D008"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Enhanced finance skills</w:t>
            </w:r>
          </w:p>
        </w:tc>
      </w:tr>
      <w:tr w:rsidR="00CD6352" w:rsidRPr="00285D8C" w14:paraId="0C3B7AAB" w14:textId="77777777" w:rsidTr="00CD6352">
        <w:tc>
          <w:tcPr>
            <w:tcW w:w="0" w:type="auto"/>
          </w:tcPr>
          <w:p w14:paraId="7263424D"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South Africa mgr4</w:t>
            </w:r>
          </w:p>
        </w:tc>
        <w:tc>
          <w:tcPr>
            <w:tcW w:w="0" w:type="auto"/>
          </w:tcPr>
          <w:p w14:paraId="64F38153"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 xml:space="preserve">Ability to put the team together ability to do feasibility, ability to pre-let/sell for development, ability to structure package &amp; funding proposal, ability to deliver on the development, i.e. to construct and ability to manage development after construction. </w:t>
            </w:r>
          </w:p>
        </w:tc>
        <w:tc>
          <w:tcPr>
            <w:tcW w:w="0" w:type="auto"/>
          </w:tcPr>
          <w:p w14:paraId="6CB54902"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Construction</w:t>
            </w:r>
          </w:p>
        </w:tc>
        <w:tc>
          <w:tcPr>
            <w:tcW w:w="0" w:type="auto"/>
          </w:tcPr>
          <w:p w14:paraId="01BEB53C" w14:textId="77777777" w:rsidR="00CD6352" w:rsidRPr="00285D8C" w:rsidRDefault="00CD6352" w:rsidP="00CD6352">
            <w:pPr>
              <w:jc w:val="both"/>
              <w:rPr>
                <w:rFonts w:ascii="Arial" w:hAnsi="Arial" w:cs="Arial"/>
                <w:sz w:val="16"/>
                <w:szCs w:val="16"/>
                <w:lang w:val="en-US"/>
              </w:rPr>
            </w:pPr>
            <w:r w:rsidRPr="00285D8C">
              <w:rPr>
                <w:rFonts w:ascii="Arial" w:hAnsi="Arial" w:cs="Arial"/>
                <w:sz w:val="16"/>
                <w:szCs w:val="16"/>
                <w:lang w:val="en-US"/>
              </w:rPr>
              <w:t>None</w:t>
            </w:r>
          </w:p>
        </w:tc>
      </w:tr>
    </w:tbl>
    <w:p w14:paraId="60DDAA9E" w14:textId="77777777" w:rsidR="00CD6352" w:rsidRPr="00EA7665" w:rsidRDefault="00CD6352" w:rsidP="00CD6352">
      <w:pPr>
        <w:rPr>
          <w:lang w:val="en-US"/>
        </w:rPr>
      </w:pPr>
    </w:p>
    <w:p w14:paraId="32E75E95" w14:textId="3BF9AF89"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Some managers interviewed in both developed and emerging economies claim it is essential to be skilled at </w:t>
      </w:r>
      <w:r w:rsidR="00206169">
        <w:rPr>
          <w:rFonts w:ascii="Arial" w:eastAsia="Calibri" w:hAnsi="Arial" w:cs="Arial"/>
        </w:rPr>
        <w:t>understanding</w:t>
      </w:r>
      <w:r w:rsidRPr="00EA7665">
        <w:rPr>
          <w:rFonts w:ascii="Arial" w:eastAsia="Calibri" w:hAnsi="Arial" w:cs="Arial"/>
        </w:rPr>
        <w:t xml:space="preserve"> what the financiers require for different asset classes before approaching them.</w:t>
      </w:r>
      <w:r w:rsidRPr="00EA7665">
        <w:t xml:space="preserve">  </w:t>
      </w:r>
      <w:r w:rsidR="00206169">
        <w:rPr>
          <w:rFonts w:ascii="Arial" w:hAnsi="Arial" w:cs="Arial"/>
        </w:rPr>
        <w:t>However, some of them</w:t>
      </w:r>
      <w:r w:rsidRPr="00EA7665">
        <w:rPr>
          <w:rFonts w:ascii="Arial" w:eastAsia="Calibri" w:hAnsi="Arial" w:cs="Arial"/>
        </w:rPr>
        <w:t xml:space="preserve"> agreed </w:t>
      </w:r>
      <w:r>
        <w:rPr>
          <w:rFonts w:ascii="Arial" w:eastAsia="Calibri" w:hAnsi="Arial" w:cs="Arial"/>
        </w:rPr>
        <w:t xml:space="preserve">that </w:t>
      </w:r>
      <w:r w:rsidRPr="00EA7665">
        <w:rPr>
          <w:rFonts w:ascii="Arial" w:eastAsia="Calibri" w:hAnsi="Arial" w:cs="Arial"/>
        </w:rPr>
        <w:t xml:space="preserve">they do not have some skills </w:t>
      </w:r>
      <w:r>
        <w:rPr>
          <w:rFonts w:ascii="Arial" w:eastAsia="Calibri" w:hAnsi="Arial" w:cs="Arial"/>
        </w:rPr>
        <w:t>set</w:t>
      </w:r>
      <w:r w:rsidRPr="00EA7665">
        <w:rPr>
          <w:rFonts w:ascii="Arial" w:eastAsia="Calibri" w:hAnsi="Arial" w:cs="Arial"/>
        </w:rPr>
        <w:t xml:space="preserve"> but would outsource some things they cannot do themselves and hence may not require further training to acquire those skills. This position is reflected in the excerpt</w:t>
      </w:r>
      <w:r w:rsidR="002B1AE0">
        <w:rPr>
          <w:rFonts w:ascii="Arial" w:eastAsia="Calibri" w:hAnsi="Arial" w:cs="Arial"/>
        </w:rPr>
        <w:t>s</w:t>
      </w:r>
      <w:r w:rsidRPr="00EA7665">
        <w:rPr>
          <w:rFonts w:ascii="Arial" w:eastAsia="Calibri" w:hAnsi="Arial" w:cs="Arial"/>
        </w:rPr>
        <w:t xml:space="preserve"> below. </w:t>
      </w:r>
    </w:p>
    <w:p w14:paraId="712459F6" w14:textId="77777777" w:rsidR="00CD6352" w:rsidRPr="007C74DD" w:rsidRDefault="00CD6352" w:rsidP="00CD6352">
      <w:pPr>
        <w:spacing w:line="360" w:lineRule="auto"/>
        <w:ind w:left="720"/>
        <w:jc w:val="both"/>
        <w:rPr>
          <w:rFonts w:ascii="Arial" w:eastAsia="Calibri" w:hAnsi="Arial" w:cs="Arial"/>
          <w:i/>
          <w:iCs/>
        </w:rPr>
      </w:pPr>
      <w:r w:rsidRPr="007C74DD">
        <w:rPr>
          <w:rFonts w:ascii="Arial" w:eastAsia="Calibri" w:hAnsi="Arial" w:cs="Arial"/>
          <w:i/>
          <w:iCs/>
        </w:rPr>
        <w:t>“It is of great importance to understand what the financing institutions want from you and being able to make an application very much from their perspective” - South African Mgr 2.</w:t>
      </w:r>
    </w:p>
    <w:p w14:paraId="1A9C186C" w14:textId="77777777" w:rsidR="00CD6352" w:rsidRPr="007C74DD" w:rsidRDefault="00CD6352" w:rsidP="00CD6352">
      <w:pPr>
        <w:spacing w:line="360" w:lineRule="auto"/>
        <w:ind w:left="720"/>
        <w:jc w:val="both"/>
        <w:rPr>
          <w:rFonts w:ascii="Arial" w:eastAsia="Calibri" w:hAnsi="Arial" w:cs="Arial"/>
          <w:i/>
          <w:iCs/>
        </w:rPr>
      </w:pPr>
      <w:r w:rsidRPr="007C74DD">
        <w:rPr>
          <w:rFonts w:ascii="Arial" w:eastAsia="Calibri" w:hAnsi="Arial" w:cs="Arial"/>
          <w:i/>
          <w:iCs/>
        </w:rPr>
        <w:lastRenderedPageBreak/>
        <w:t>“….as a manager, you will need to understand the calculation of the banks and how they derive them”- Germany Mgr 3</w:t>
      </w:r>
    </w:p>
    <w:p w14:paraId="7161A9FE" w14:textId="316DC062"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Some managers interviewed in the United Kingdom ass</w:t>
      </w:r>
      <w:r>
        <w:rPr>
          <w:rFonts w:ascii="Arial" w:eastAsia="Calibri" w:hAnsi="Arial" w:cs="Arial"/>
        </w:rPr>
        <w:t>ert</w:t>
      </w:r>
      <w:r w:rsidR="00285D8C">
        <w:rPr>
          <w:rFonts w:ascii="Arial" w:eastAsia="Calibri" w:hAnsi="Arial" w:cs="Arial"/>
        </w:rPr>
        <w:t>ed</w:t>
      </w:r>
      <w:r w:rsidRPr="00EA7665">
        <w:rPr>
          <w:rFonts w:ascii="Arial" w:eastAsia="Calibri" w:hAnsi="Arial" w:cs="Arial"/>
        </w:rPr>
        <w:t xml:space="preserve"> that </w:t>
      </w:r>
      <w:r>
        <w:rPr>
          <w:rFonts w:ascii="Arial" w:eastAsia="Calibri" w:hAnsi="Arial" w:cs="Arial"/>
        </w:rPr>
        <w:t xml:space="preserve">although skills are </w:t>
      </w:r>
      <w:r w:rsidR="004A1658">
        <w:rPr>
          <w:rFonts w:ascii="Arial" w:eastAsia="Calibri" w:hAnsi="Arial" w:cs="Arial"/>
        </w:rPr>
        <w:t>important,</w:t>
      </w:r>
      <w:r>
        <w:rPr>
          <w:rFonts w:ascii="Arial" w:eastAsia="Calibri" w:hAnsi="Arial" w:cs="Arial"/>
        </w:rPr>
        <w:t xml:space="preserve"> they </w:t>
      </w:r>
      <w:r w:rsidR="001A165D">
        <w:rPr>
          <w:rFonts w:ascii="Arial" w:eastAsia="Calibri" w:hAnsi="Arial" w:cs="Arial"/>
        </w:rPr>
        <w:t xml:space="preserve">do </w:t>
      </w:r>
      <w:r w:rsidR="001A165D" w:rsidRPr="00EA7665">
        <w:rPr>
          <w:rFonts w:ascii="Arial" w:eastAsia="Calibri" w:hAnsi="Arial" w:cs="Arial"/>
        </w:rPr>
        <w:t>not</w:t>
      </w:r>
      <w:r w:rsidRPr="00EA7665">
        <w:rPr>
          <w:rFonts w:ascii="Arial" w:eastAsia="Calibri" w:hAnsi="Arial" w:cs="Arial"/>
        </w:rPr>
        <w:t xml:space="preserve"> take the place of reputation and experience. They believe banks in Europe deal with them because of the contracts, diligence, experience, and reputation</w:t>
      </w:r>
      <w:r>
        <w:rPr>
          <w:rFonts w:ascii="Arial" w:eastAsia="Calibri" w:hAnsi="Arial" w:cs="Arial"/>
        </w:rPr>
        <w:t xml:space="preserve">, and that </w:t>
      </w:r>
      <w:r w:rsidR="001A165D">
        <w:rPr>
          <w:rFonts w:ascii="Arial" w:eastAsia="Calibri" w:hAnsi="Arial" w:cs="Arial"/>
        </w:rPr>
        <w:t xml:space="preserve">these </w:t>
      </w:r>
      <w:r w:rsidR="001A165D" w:rsidRPr="00EA7665">
        <w:rPr>
          <w:rFonts w:ascii="Arial" w:eastAsia="Calibri" w:hAnsi="Arial" w:cs="Arial"/>
        </w:rPr>
        <w:t>fundamental</w:t>
      </w:r>
      <w:r w:rsidRPr="00EA7665">
        <w:rPr>
          <w:rFonts w:ascii="Arial" w:eastAsia="Calibri" w:hAnsi="Arial" w:cs="Arial"/>
        </w:rPr>
        <w:t xml:space="preserve"> factors</w:t>
      </w:r>
      <w:r>
        <w:rPr>
          <w:rFonts w:ascii="Arial" w:eastAsia="Calibri" w:hAnsi="Arial" w:cs="Arial"/>
        </w:rPr>
        <w:t xml:space="preserve">, in addition to </w:t>
      </w:r>
      <w:r w:rsidR="004A1658">
        <w:rPr>
          <w:rFonts w:ascii="Arial" w:eastAsia="Calibri" w:hAnsi="Arial" w:cs="Arial"/>
        </w:rPr>
        <w:t>skills,</w:t>
      </w:r>
      <w:r w:rsidR="004A1658" w:rsidRPr="00EA7665">
        <w:rPr>
          <w:rFonts w:ascii="Arial" w:eastAsia="Calibri" w:hAnsi="Arial" w:cs="Arial"/>
        </w:rPr>
        <w:t xml:space="preserve"> lead</w:t>
      </w:r>
      <w:r w:rsidR="004A1658">
        <w:rPr>
          <w:rFonts w:ascii="Arial" w:eastAsia="Calibri" w:hAnsi="Arial" w:cs="Arial"/>
        </w:rPr>
        <w:t xml:space="preserve"> </w:t>
      </w:r>
      <w:r w:rsidR="004A1658" w:rsidRPr="00EA7665">
        <w:rPr>
          <w:rFonts w:ascii="Arial" w:eastAsia="Calibri" w:hAnsi="Arial" w:cs="Arial"/>
        </w:rPr>
        <w:t>to</w:t>
      </w:r>
      <w:r w:rsidRPr="00EA7665">
        <w:rPr>
          <w:rFonts w:ascii="Arial" w:eastAsia="Calibri" w:hAnsi="Arial" w:cs="Arial"/>
        </w:rPr>
        <w:t xml:space="preserve"> access to finance</w:t>
      </w:r>
      <w:r>
        <w:rPr>
          <w:rFonts w:ascii="Arial" w:eastAsia="Calibri" w:hAnsi="Arial" w:cs="Arial"/>
        </w:rPr>
        <w:t>.</w:t>
      </w:r>
      <w:r w:rsidRPr="00EA7665">
        <w:rPr>
          <w:rFonts w:ascii="Arial" w:eastAsia="Calibri" w:hAnsi="Arial" w:cs="Arial"/>
        </w:rPr>
        <w:t xml:space="preserve"> </w:t>
      </w:r>
    </w:p>
    <w:p w14:paraId="4AC36F68" w14:textId="306AA3B3"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However, managers in Germany </w:t>
      </w:r>
      <w:r w:rsidR="00206169">
        <w:rPr>
          <w:rFonts w:ascii="Arial" w:eastAsia="Calibri" w:hAnsi="Arial" w:cs="Arial"/>
        </w:rPr>
        <w:t>believe that skills in foreign languages are very important</w:t>
      </w:r>
      <w:r w:rsidRPr="00EA7665">
        <w:rPr>
          <w:rFonts w:ascii="Arial" w:eastAsia="Calibri" w:hAnsi="Arial" w:cs="Arial"/>
        </w:rPr>
        <w:t xml:space="preserve"> because of the </w:t>
      </w:r>
      <w:r w:rsidR="00CA54CB">
        <w:rPr>
          <w:rFonts w:ascii="Arial" w:eastAsia="Calibri" w:hAnsi="Arial" w:cs="Arial"/>
        </w:rPr>
        <w:t>divers</w:t>
      </w:r>
      <w:r w:rsidRPr="00EA7665">
        <w:rPr>
          <w:rFonts w:ascii="Arial" w:eastAsia="Calibri" w:hAnsi="Arial" w:cs="Arial"/>
        </w:rPr>
        <w:t xml:space="preserve">ity of people from different nationalities that come to invest in the German real estate market. Investors come into Germany from China, Arab countries and other parts of the world to transact. Consequently, the ability to speak multiple languages will enhance market share with prospects of better </w:t>
      </w:r>
      <w:r w:rsidR="004A1658" w:rsidRPr="00EA7665">
        <w:rPr>
          <w:rFonts w:ascii="Arial" w:eastAsia="Calibri" w:hAnsi="Arial" w:cs="Arial"/>
        </w:rPr>
        <w:t>funding</w:t>
      </w:r>
      <w:r w:rsidR="00206169">
        <w:rPr>
          <w:rFonts w:ascii="Arial" w:eastAsia="Calibri" w:hAnsi="Arial" w:cs="Arial"/>
        </w:rPr>
        <w:t>,</w:t>
      </w:r>
      <w:r w:rsidR="004A1658" w:rsidRPr="00EA7665">
        <w:rPr>
          <w:rFonts w:ascii="Arial" w:eastAsia="Calibri" w:hAnsi="Arial" w:cs="Arial"/>
        </w:rPr>
        <w:t xml:space="preserve"> ultimately</w:t>
      </w:r>
      <w:r w:rsidRPr="00EA7665">
        <w:rPr>
          <w:rFonts w:ascii="Arial" w:eastAsia="Calibri" w:hAnsi="Arial" w:cs="Arial"/>
        </w:rPr>
        <w:t xml:space="preserve"> building </w:t>
      </w:r>
      <w:r>
        <w:rPr>
          <w:rFonts w:ascii="Arial" w:eastAsia="Calibri" w:hAnsi="Arial" w:cs="Arial"/>
        </w:rPr>
        <w:t xml:space="preserve">a </w:t>
      </w:r>
      <w:r w:rsidRPr="00EA7665">
        <w:rPr>
          <w:rFonts w:ascii="Arial" w:eastAsia="Calibri" w:hAnsi="Arial" w:cs="Arial"/>
        </w:rPr>
        <w:t xml:space="preserve">good clientele base and access to finance. </w:t>
      </w:r>
    </w:p>
    <w:p w14:paraId="4695C59E" w14:textId="0616E31F" w:rsidR="00CD6352" w:rsidRPr="00EA7665" w:rsidRDefault="00CD6352" w:rsidP="00CD6352">
      <w:pPr>
        <w:spacing w:line="360" w:lineRule="auto"/>
        <w:jc w:val="both"/>
        <w:rPr>
          <w:rFonts w:ascii="Arial" w:hAnsi="Arial" w:cs="Arial"/>
          <w:lang w:val="en-US"/>
        </w:rPr>
      </w:pPr>
      <w:r w:rsidRPr="00EA7665">
        <w:rPr>
          <w:rFonts w:ascii="Arial" w:hAnsi="Arial" w:cs="Arial"/>
          <w:lang w:val="en-US"/>
        </w:rPr>
        <w:t>UK Mgr4</w:t>
      </w:r>
      <w:r>
        <w:rPr>
          <w:rFonts w:ascii="Arial" w:hAnsi="Arial" w:cs="Arial"/>
          <w:lang w:val="en-US"/>
        </w:rPr>
        <w:t>,</w:t>
      </w:r>
      <w:r w:rsidRPr="00EA7665">
        <w:rPr>
          <w:rFonts w:ascii="Arial" w:hAnsi="Arial" w:cs="Arial"/>
          <w:lang w:val="en-US"/>
        </w:rPr>
        <w:t xml:space="preserve"> whose career path includes the technology sector, explicitly said he would need enhanced </w:t>
      </w:r>
      <w:r w:rsidR="00206169">
        <w:rPr>
          <w:rFonts w:ascii="Arial" w:hAnsi="Arial" w:cs="Arial"/>
          <w:lang w:val="en-US"/>
        </w:rPr>
        <w:t>technology skills, which will enable him to look at big data and make long-</w:t>
      </w:r>
      <w:r w:rsidRPr="00EA7665">
        <w:rPr>
          <w:rFonts w:ascii="Arial" w:hAnsi="Arial" w:cs="Arial"/>
          <w:lang w:val="en-US"/>
        </w:rPr>
        <w:t>term decisions. This technology is to help him gather information on property purchase values, demographics o</w:t>
      </w:r>
      <w:r w:rsidR="00285D8C">
        <w:rPr>
          <w:rFonts w:ascii="Arial" w:hAnsi="Arial" w:cs="Arial"/>
          <w:lang w:val="en-US"/>
        </w:rPr>
        <w:t>f</w:t>
      </w:r>
      <w:r w:rsidRPr="00EA7665">
        <w:rPr>
          <w:rFonts w:ascii="Arial" w:hAnsi="Arial" w:cs="Arial"/>
          <w:lang w:val="en-US"/>
        </w:rPr>
        <w:t xml:space="preserve"> individuals, details of where people are migrating to, etc. This information is to help predict where to buy and where to build</w:t>
      </w:r>
      <w:r w:rsidR="00CA54CB">
        <w:rPr>
          <w:rFonts w:ascii="Arial" w:hAnsi="Arial" w:cs="Arial"/>
          <w:lang w:val="en-US"/>
        </w:rPr>
        <w:t>,</w:t>
      </w:r>
      <w:r w:rsidRPr="00EA7665">
        <w:rPr>
          <w:rFonts w:ascii="Arial" w:hAnsi="Arial" w:cs="Arial"/>
          <w:lang w:val="en-US"/>
        </w:rPr>
        <w:t xml:space="preserve"> and at what price.   </w:t>
      </w:r>
    </w:p>
    <w:p w14:paraId="7ACB1A42" w14:textId="7F18AE13" w:rsidR="00CD6352" w:rsidRPr="00EA7665" w:rsidRDefault="00CD6352" w:rsidP="00CD6352">
      <w:pPr>
        <w:spacing w:line="360" w:lineRule="auto"/>
        <w:jc w:val="both"/>
        <w:rPr>
          <w:rFonts w:ascii="Arial" w:hAnsi="Arial" w:cs="Arial"/>
          <w:lang w:val="en-US"/>
        </w:rPr>
      </w:pPr>
      <w:r w:rsidRPr="00EA7665">
        <w:rPr>
          <w:rFonts w:ascii="Arial" w:hAnsi="Arial" w:cs="Arial"/>
          <w:lang w:val="en-US"/>
        </w:rPr>
        <w:t xml:space="preserve">A salient point made by managers in the UK is the need for the manager involved in financing decisions in the real estate sector to have real estate specialist skills. These specialist skills are excellent selling points for the manager in the eye of the financiers. It entails an understanding of the geography, location and the kind of building that fits that location. Furthermore, this includes an understanding of the sufficiency of the size of the plot, the height and </w:t>
      </w:r>
      <w:r w:rsidR="00285D8C">
        <w:rPr>
          <w:rFonts w:ascii="Arial" w:hAnsi="Arial" w:cs="Arial"/>
          <w:lang w:val="en-US"/>
        </w:rPr>
        <w:t xml:space="preserve">the </w:t>
      </w:r>
      <w:r w:rsidRPr="00EA7665">
        <w:rPr>
          <w:rFonts w:ascii="Arial" w:hAnsi="Arial" w:cs="Arial"/>
          <w:lang w:val="en-US"/>
        </w:rPr>
        <w:t xml:space="preserve">dimensions of the building. </w:t>
      </w:r>
    </w:p>
    <w:p w14:paraId="5CBB4A57" w14:textId="199801B3" w:rsidR="00CD6352" w:rsidRPr="00EA7665" w:rsidRDefault="00CD6352" w:rsidP="00CD6352">
      <w:pPr>
        <w:spacing w:line="360" w:lineRule="auto"/>
        <w:jc w:val="both"/>
        <w:rPr>
          <w:rFonts w:ascii="Arial" w:hAnsi="Arial" w:cs="Arial"/>
          <w:lang w:val="en-US"/>
        </w:rPr>
      </w:pPr>
      <w:r w:rsidRPr="00EA7665">
        <w:rPr>
          <w:rFonts w:ascii="Arial" w:hAnsi="Arial" w:cs="Arial"/>
          <w:lang w:val="en-US"/>
        </w:rPr>
        <w:t xml:space="preserve">South African managers believe that much of the opportunity to generate finance for project development lies in the balance sheet and the relationship you have been able to create with the financier over the years. They also believe that experience, </w:t>
      </w:r>
      <w:r>
        <w:rPr>
          <w:rFonts w:ascii="Arial" w:hAnsi="Arial" w:cs="Arial"/>
          <w:lang w:val="en-US"/>
        </w:rPr>
        <w:t xml:space="preserve">a </w:t>
      </w:r>
      <w:r w:rsidRPr="00EA7665">
        <w:rPr>
          <w:rFonts w:ascii="Arial" w:hAnsi="Arial" w:cs="Arial"/>
          <w:lang w:val="en-US"/>
        </w:rPr>
        <w:t>professional team</w:t>
      </w:r>
      <w:r w:rsidR="00206169">
        <w:rPr>
          <w:rFonts w:ascii="Arial" w:hAnsi="Arial" w:cs="Arial"/>
          <w:lang w:val="en-US"/>
        </w:rPr>
        <w:t>,</w:t>
      </w:r>
      <w:r w:rsidRPr="00EA7665">
        <w:rPr>
          <w:rFonts w:ascii="Arial" w:hAnsi="Arial" w:cs="Arial"/>
          <w:lang w:val="en-US"/>
        </w:rPr>
        <w:t xml:space="preserve"> and </w:t>
      </w:r>
      <w:r>
        <w:rPr>
          <w:rFonts w:ascii="Arial" w:hAnsi="Arial" w:cs="Arial"/>
          <w:lang w:val="en-US"/>
        </w:rPr>
        <w:t xml:space="preserve">a good </w:t>
      </w:r>
      <w:r w:rsidRPr="00EA7665">
        <w:rPr>
          <w:rFonts w:ascii="Arial" w:hAnsi="Arial" w:cs="Arial"/>
          <w:lang w:val="en-US"/>
        </w:rPr>
        <w:t xml:space="preserve">track record with the financiers are essential to access finance for project development. </w:t>
      </w:r>
      <w:r w:rsidR="004A1658" w:rsidRPr="00EA7665">
        <w:rPr>
          <w:rFonts w:ascii="Arial" w:hAnsi="Arial" w:cs="Arial"/>
          <w:lang w:val="en-US"/>
        </w:rPr>
        <w:t>They</w:t>
      </w:r>
      <w:r w:rsidR="004A1658">
        <w:rPr>
          <w:rFonts w:ascii="Arial" w:hAnsi="Arial" w:cs="Arial"/>
          <w:lang w:val="en-US"/>
        </w:rPr>
        <w:t xml:space="preserve"> </w:t>
      </w:r>
      <w:r w:rsidR="004A1658" w:rsidRPr="00EA7665">
        <w:rPr>
          <w:rFonts w:ascii="Arial" w:hAnsi="Arial" w:cs="Arial"/>
          <w:lang w:val="en-US"/>
        </w:rPr>
        <w:t>think</w:t>
      </w:r>
      <w:r>
        <w:rPr>
          <w:rFonts w:ascii="Arial" w:hAnsi="Arial" w:cs="Arial"/>
          <w:lang w:val="en-US"/>
        </w:rPr>
        <w:t>, however, that</w:t>
      </w:r>
      <w:r w:rsidRPr="00EA7665">
        <w:rPr>
          <w:rFonts w:ascii="Arial" w:hAnsi="Arial" w:cs="Arial"/>
          <w:lang w:val="en-US"/>
        </w:rPr>
        <w:t xml:space="preserve"> there is an imbalance in the skills set in South Africa.</w:t>
      </w:r>
    </w:p>
    <w:p w14:paraId="181FC8E5" w14:textId="71F11766" w:rsidR="00CD6352" w:rsidRPr="004A1658" w:rsidRDefault="00CD6352" w:rsidP="00CD6352">
      <w:pPr>
        <w:spacing w:line="360" w:lineRule="auto"/>
        <w:ind w:left="720"/>
        <w:jc w:val="both"/>
        <w:rPr>
          <w:rFonts w:ascii="Arial" w:hAnsi="Arial" w:cs="Arial"/>
          <w:i/>
          <w:iCs/>
          <w:lang w:val="en-US"/>
        </w:rPr>
      </w:pPr>
      <w:r w:rsidRPr="004A1658">
        <w:rPr>
          <w:rFonts w:ascii="Arial" w:hAnsi="Arial" w:cs="Arial"/>
          <w:i/>
          <w:iCs/>
          <w:lang w:val="en-US"/>
        </w:rPr>
        <w:t xml:space="preserve">“There is an imbalance in the skills set for real estate in South Africa, and it is because some institutions that do property studies only started up in the last five years and only a few institutions do property studies” - (South Africa Mgr4). </w:t>
      </w:r>
    </w:p>
    <w:p w14:paraId="166AB224" w14:textId="781F7300" w:rsidR="00CD6352" w:rsidRPr="00EA7665" w:rsidRDefault="00CD6352" w:rsidP="00CD6352">
      <w:pPr>
        <w:spacing w:line="360" w:lineRule="auto"/>
        <w:jc w:val="both"/>
        <w:rPr>
          <w:rFonts w:ascii="Arial" w:eastAsia="Calibri" w:hAnsi="Arial" w:cs="Arial"/>
        </w:rPr>
      </w:pPr>
      <w:r w:rsidRPr="00EA7665">
        <w:rPr>
          <w:rFonts w:ascii="Arial" w:hAnsi="Arial" w:cs="Arial"/>
          <w:lang w:val="en-US"/>
        </w:rPr>
        <w:t>Managers interviewed in Nigeria argued that it is not a skills problem</w:t>
      </w:r>
      <w:r>
        <w:rPr>
          <w:rFonts w:ascii="Arial" w:hAnsi="Arial" w:cs="Arial"/>
          <w:lang w:val="en-US"/>
        </w:rPr>
        <w:t xml:space="preserve"> </w:t>
      </w:r>
      <w:r w:rsidR="009C5BBB">
        <w:rPr>
          <w:rFonts w:ascii="Arial" w:hAnsi="Arial" w:cs="Arial"/>
          <w:lang w:val="en-US"/>
        </w:rPr>
        <w:t>affecting their access to finance but an outright lack of availability of finance or lack</w:t>
      </w:r>
      <w:r w:rsidRPr="00EA7665">
        <w:rPr>
          <w:rFonts w:ascii="Arial" w:hAnsi="Arial" w:cs="Arial"/>
          <w:lang w:val="en-US"/>
        </w:rPr>
        <w:t xml:space="preserve"> of financiers.  </w:t>
      </w:r>
      <w:r w:rsidRPr="00EA7665">
        <w:rPr>
          <w:rFonts w:ascii="Arial" w:eastAsia="Calibri" w:hAnsi="Arial" w:cs="Arial"/>
        </w:rPr>
        <w:t>UK mgr1 argued that it is difficult for him</w:t>
      </w:r>
      <w:r w:rsidR="00206169">
        <w:rPr>
          <w:rFonts w:ascii="Arial" w:eastAsia="Calibri" w:hAnsi="Arial" w:cs="Arial"/>
        </w:rPr>
        <w:t xml:space="preserve"> or anyone manager to have all the necessary skills. H</w:t>
      </w:r>
      <w:r>
        <w:rPr>
          <w:rFonts w:ascii="Arial" w:eastAsia="Calibri" w:hAnsi="Arial" w:cs="Arial"/>
        </w:rPr>
        <w:t xml:space="preserve">e </w:t>
      </w:r>
      <w:r w:rsidRPr="00EA7665">
        <w:rPr>
          <w:rFonts w:ascii="Arial" w:eastAsia="Calibri" w:hAnsi="Arial" w:cs="Arial"/>
        </w:rPr>
        <w:t xml:space="preserve">recommended </w:t>
      </w:r>
      <w:r>
        <w:rPr>
          <w:rFonts w:ascii="Arial" w:eastAsia="Calibri" w:hAnsi="Arial" w:cs="Arial"/>
        </w:rPr>
        <w:lastRenderedPageBreak/>
        <w:t>working</w:t>
      </w:r>
      <w:r w:rsidRPr="00EA7665">
        <w:rPr>
          <w:rFonts w:ascii="Arial" w:eastAsia="Calibri" w:hAnsi="Arial" w:cs="Arial"/>
        </w:rPr>
        <w:t xml:space="preserve"> with other profession</w:t>
      </w:r>
      <w:r>
        <w:rPr>
          <w:rFonts w:ascii="Arial" w:eastAsia="Calibri" w:hAnsi="Arial" w:cs="Arial"/>
        </w:rPr>
        <w:t>als such as</w:t>
      </w:r>
      <w:r w:rsidRPr="00EA7665">
        <w:rPr>
          <w:rFonts w:ascii="Arial" w:eastAsia="Calibri" w:hAnsi="Arial" w:cs="Arial"/>
        </w:rPr>
        <w:t xml:space="preserve"> </w:t>
      </w:r>
      <w:r>
        <w:rPr>
          <w:rFonts w:ascii="Arial" w:eastAsia="Calibri" w:hAnsi="Arial" w:cs="Arial"/>
        </w:rPr>
        <w:t>architects</w:t>
      </w:r>
      <w:r w:rsidRPr="00EA7665">
        <w:rPr>
          <w:rFonts w:ascii="Arial" w:eastAsia="Calibri" w:hAnsi="Arial" w:cs="Arial"/>
        </w:rPr>
        <w:t>, designers, etc.</w:t>
      </w:r>
      <w:r w:rsidR="002F0E67">
        <w:rPr>
          <w:rFonts w:ascii="Arial" w:eastAsia="Calibri" w:hAnsi="Arial" w:cs="Arial"/>
        </w:rPr>
        <w:t>,</w:t>
      </w:r>
      <w:r w:rsidRPr="00EA7665">
        <w:rPr>
          <w:rFonts w:ascii="Arial" w:eastAsia="Calibri" w:hAnsi="Arial" w:cs="Arial"/>
        </w:rPr>
        <w:t xml:space="preserve"> even </w:t>
      </w:r>
      <w:r>
        <w:rPr>
          <w:rFonts w:ascii="Arial" w:eastAsia="Calibri" w:hAnsi="Arial" w:cs="Arial"/>
        </w:rPr>
        <w:t>if</w:t>
      </w:r>
      <w:r w:rsidRPr="00EA7665">
        <w:rPr>
          <w:rFonts w:ascii="Arial" w:eastAsia="Calibri" w:hAnsi="Arial" w:cs="Arial"/>
        </w:rPr>
        <w:t xml:space="preserve"> the project is his idea. Being an ex-finance manager in </w:t>
      </w:r>
      <w:r w:rsidR="00206169">
        <w:rPr>
          <w:rFonts w:ascii="Arial" w:eastAsia="Calibri" w:hAnsi="Arial" w:cs="Arial"/>
        </w:rPr>
        <w:t>an investment bank's property sector,</w:t>
      </w:r>
      <w:r>
        <w:rPr>
          <w:rFonts w:ascii="Arial" w:eastAsia="Calibri" w:hAnsi="Arial" w:cs="Arial"/>
        </w:rPr>
        <w:t xml:space="preserve"> </w:t>
      </w:r>
      <w:r w:rsidRPr="00EA7665">
        <w:rPr>
          <w:rFonts w:ascii="Arial" w:eastAsia="Calibri" w:hAnsi="Arial" w:cs="Arial"/>
        </w:rPr>
        <w:t xml:space="preserve">he asserts that the financiers look at the team, which should be a composite of skilled professionals. </w:t>
      </w:r>
    </w:p>
    <w:p w14:paraId="1640C45B" w14:textId="71740F65" w:rsidR="00CD6352" w:rsidRPr="00EA7665" w:rsidRDefault="00CD6352" w:rsidP="00CD6352">
      <w:pPr>
        <w:spacing w:line="360" w:lineRule="auto"/>
        <w:jc w:val="both"/>
        <w:rPr>
          <w:rFonts w:ascii="Arial" w:hAnsi="Arial" w:cs="Arial"/>
          <w:lang w:val="en-US"/>
        </w:rPr>
      </w:pPr>
      <w:r w:rsidRPr="00EA7665">
        <w:rPr>
          <w:rFonts w:ascii="Arial" w:eastAsia="Calibri" w:hAnsi="Arial" w:cs="Arial"/>
        </w:rPr>
        <w:t xml:space="preserve">Some managers, especially in the developed economies, did not agree </w:t>
      </w:r>
      <w:r w:rsidR="00356C8B">
        <w:rPr>
          <w:rFonts w:ascii="Arial" w:eastAsia="Calibri" w:hAnsi="Arial" w:cs="Arial"/>
        </w:rPr>
        <w:t xml:space="preserve">that </w:t>
      </w:r>
      <w:r w:rsidR="00356C8B" w:rsidRPr="00EA7665">
        <w:rPr>
          <w:rFonts w:ascii="Arial" w:eastAsia="Calibri" w:hAnsi="Arial" w:cs="Arial"/>
        </w:rPr>
        <w:t>lacking</w:t>
      </w:r>
      <w:r w:rsidRPr="00EA7665">
        <w:rPr>
          <w:rFonts w:ascii="Arial" w:eastAsia="Calibri" w:hAnsi="Arial" w:cs="Arial"/>
        </w:rPr>
        <w:t xml:space="preserve"> major skills for securing finance for project development</w:t>
      </w:r>
      <w:r>
        <w:rPr>
          <w:rFonts w:ascii="Arial" w:eastAsia="Calibri" w:hAnsi="Arial" w:cs="Arial"/>
        </w:rPr>
        <w:t xml:space="preserve"> was a problem</w:t>
      </w:r>
      <w:r w:rsidRPr="00EA7665">
        <w:rPr>
          <w:rFonts w:ascii="Arial" w:eastAsia="Calibri" w:hAnsi="Arial" w:cs="Arial"/>
        </w:rPr>
        <w:t xml:space="preserve"> because they argue that they work with other professionals in their team. However, a few agree </w:t>
      </w:r>
      <w:r>
        <w:rPr>
          <w:rFonts w:ascii="Arial" w:eastAsia="Calibri" w:hAnsi="Arial" w:cs="Arial"/>
        </w:rPr>
        <w:t xml:space="preserve">that there is </w:t>
      </w:r>
      <w:r w:rsidR="00356C8B">
        <w:rPr>
          <w:rFonts w:ascii="Arial" w:eastAsia="Calibri" w:hAnsi="Arial" w:cs="Arial"/>
        </w:rPr>
        <w:t xml:space="preserve">a </w:t>
      </w:r>
      <w:r w:rsidR="00356C8B" w:rsidRPr="00EA7665">
        <w:rPr>
          <w:rFonts w:ascii="Arial" w:eastAsia="Calibri" w:hAnsi="Arial" w:cs="Arial"/>
        </w:rPr>
        <w:t>need</w:t>
      </w:r>
      <w:r w:rsidRPr="00EA7665">
        <w:rPr>
          <w:rFonts w:ascii="Arial" w:eastAsia="Calibri" w:hAnsi="Arial" w:cs="Arial"/>
        </w:rPr>
        <w:t xml:space="preserve"> </w:t>
      </w:r>
      <w:r>
        <w:rPr>
          <w:rFonts w:ascii="Arial" w:eastAsia="Calibri" w:hAnsi="Arial" w:cs="Arial"/>
        </w:rPr>
        <w:t xml:space="preserve">for an </w:t>
      </w:r>
      <w:r w:rsidRPr="00EA7665">
        <w:rPr>
          <w:rFonts w:ascii="Arial" w:eastAsia="Calibri" w:hAnsi="Arial" w:cs="Arial"/>
        </w:rPr>
        <w:t xml:space="preserve">enhanced ability to understand the risks of the rent-free period in order not </w:t>
      </w:r>
      <w:r>
        <w:rPr>
          <w:rFonts w:ascii="Arial" w:eastAsia="Calibri" w:hAnsi="Arial" w:cs="Arial"/>
        </w:rPr>
        <w:t xml:space="preserve">to </w:t>
      </w:r>
      <w:r w:rsidRPr="00EA7665">
        <w:rPr>
          <w:rFonts w:ascii="Arial" w:eastAsia="Calibri" w:hAnsi="Arial" w:cs="Arial"/>
        </w:rPr>
        <w:t xml:space="preserve">take up positions </w:t>
      </w:r>
      <w:r w:rsidR="00285D8C">
        <w:rPr>
          <w:rFonts w:ascii="Arial" w:eastAsia="Calibri" w:hAnsi="Arial" w:cs="Arial"/>
        </w:rPr>
        <w:t>that</w:t>
      </w:r>
      <w:r w:rsidRPr="00EA7665">
        <w:rPr>
          <w:rFonts w:ascii="Arial" w:eastAsia="Calibri" w:hAnsi="Arial" w:cs="Arial"/>
        </w:rPr>
        <w:t xml:space="preserve"> could mitigate against it. They said rent-free periods are not acceptable to institutional investors</w:t>
      </w:r>
      <w:r>
        <w:rPr>
          <w:rFonts w:ascii="Arial" w:eastAsia="Calibri" w:hAnsi="Arial" w:cs="Arial"/>
        </w:rPr>
        <w:t>.</w:t>
      </w:r>
      <w:r w:rsidRPr="00EA7665">
        <w:rPr>
          <w:rFonts w:ascii="Arial" w:eastAsia="Calibri" w:hAnsi="Arial" w:cs="Arial"/>
        </w:rPr>
        <w:t xml:space="preserve"> Some managers need the training to understand the </w:t>
      </w:r>
      <w:r w:rsidRPr="00EA7665">
        <w:rPr>
          <w:rFonts w:ascii="Arial" w:hAnsi="Arial" w:cs="Arial"/>
          <w:lang w:val="en-US"/>
        </w:rPr>
        <w:t xml:space="preserve">appraisal of available plots of land as this will reduce the total construction cost and enhance the speed of sales.  Furthermore, some of the interviewees identified that a good real estate development firm should have a good land purchasing team </w:t>
      </w:r>
      <w:r>
        <w:rPr>
          <w:rFonts w:ascii="Arial" w:hAnsi="Arial" w:cs="Arial"/>
          <w:lang w:val="en-US"/>
        </w:rPr>
        <w:t>as it</w:t>
      </w:r>
      <w:r w:rsidRPr="00EA7665">
        <w:rPr>
          <w:rFonts w:ascii="Arial" w:hAnsi="Arial" w:cs="Arial"/>
          <w:lang w:val="en-US"/>
        </w:rPr>
        <w:t xml:space="preserve"> ultimately enhances</w:t>
      </w:r>
      <w:r>
        <w:rPr>
          <w:rFonts w:ascii="Arial" w:hAnsi="Arial" w:cs="Arial"/>
          <w:lang w:val="en-US"/>
        </w:rPr>
        <w:t xml:space="preserve"> </w:t>
      </w:r>
      <w:r w:rsidR="00356C8B">
        <w:rPr>
          <w:rFonts w:ascii="Arial" w:hAnsi="Arial" w:cs="Arial"/>
          <w:lang w:val="en-US"/>
        </w:rPr>
        <w:t xml:space="preserve">the </w:t>
      </w:r>
      <w:r w:rsidR="00356C8B" w:rsidRPr="00EA7665">
        <w:rPr>
          <w:rFonts w:ascii="Arial" w:hAnsi="Arial" w:cs="Arial"/>
          <w:lang w:val="en-US"/>
        </w:rPr>
        <w:t>maximization</w:t>
      </w:r>
      <w:r w:rsidRPr="00EA7665">
        <w:rPr>
          <w:rFonts w:ascii="Arial" w:hAnsi="Arial" w:cs="Arial"/>
          <w:lang w:val="en-US"/>
        </w:rPr>
        <w:t xml:space="preserve"> of profits and makes the firm attractive to financiers. </w:t>
      </w:r>
    </w:p>
    <w:p w14:paraId="4DB99027" w14:textId="4BE027EB" w:rsidR="00CD6352" w:rsidRPr="00EA7665" w:rsidRDefault="00CD6352" w:rsidP="00CD6352">
      <w:pPr>
        <w:spacing w:line="360" w:lineRule="auto"/>
        <w:jc w:val="both"/>
        <w:rPr>
          <w:rFonts w:ascii="Arial" w:hAnsi="Arial" w:cs="Arial"/>
          <w:lang w:val="en-US"/>
        </w:rPr>
      </w:pPr>
      <w:r w:rsidRPr="00EA7665">
        <w:rPr>
          <w:rFonts w:ascii="Arial" w:hAnsi="Arial" w:cs="Arial"/>
          <w:lang w:val="en-US"/>
        </w:rPr>
        <w:t xml:space="preserve">The different managers’ positions on skills for securing finance for real estate project development </w:t>
      </w:r>
      <w:r w:rsidR="00206169">
        <w:rPr>
          <w:rFonts w:ascii="Arial" w:hAnsi="Arial" w:cs="Arial"/>
          <w:lang w:val="en-US"/>
        </w:rPr>
        <w:t>a</w:t>
      </w:r>
      <w:r w:rsidR="00960C34">
        <w:rPr>
          <w:rFonts w:ascii="Arial" w:hAnsi="Arial" w:cs="Arial"/>
          <w:lang w:val="en-US"/>
        </w:rPr>
        <w:t>ligns</w:t>
      </w:r>
      <w:r w:rsidR="00206169">
        <w:rPr>
          <w:rFonts w:ascii="Arial" w:hAnsi="Arial" w:cs="Arial"/>
          <w:lang w:val="en-US"/>
        </w:rPr>
        <w:t xml:space="preserve"> with existing literature. I</w:t>
      </w:r>
      <w:r w:rsidRPr="00EA7665">
        <w:rPr>
          <w:rFonts w:ascii="Arial" w:hAnsi="Arial" w:cs="Arial"/>
          <w:lang w:val="en-US"/>
        </w:rPr>
        <w:t>t also incorporates findings from the questionnaire surveys (see chapter 3).</w:t>
      </w:r>
    </w:p>
    <w:p w14:paraId="62DC11BD" w14:textId="7471BB95" w:rsidR="00CD6352" w:rsidRPr="00EA7665" w:rsidRDefault="00CD6352" w:rsidP="00CD6352">
      <w:pPr>
        <w:pStyle w:val="Heading3"/>
        <w:rPr>
          <w:sz w:val="22"/>
          <w:szCs w:val="22"/>
        </w:rPr>
      </w:pPr>
      <w:bookmarkStart w:id="1327" w:name="_Toc78983898"/>
      <w:r w:rsidRPr="00EA7665">
        <w:rPr>
          <w:sz w:val="22"/>
          <w:szCs w:val="22"/>
        </w:rPr>
        <w:t xml:space="preserve">Comparison of </w:t>
      </w:r>
      <w:r w:rsidR="009F0151">
        <w:rPr>
          <w:sz w:val="22"/>
          <w:szCs w:val="22"/>
        </w:rPr>
        <w:t xml:space="preserve">skills for securing finance for real </w:t>
      </w:r>
      <w:r w:rsidR="00314263">
        <w:rPr>
          <w:sz w:val="22"/>
          <w:szCs w:val="22"/>
        </w:rPr>
        <w:t>estate’s</w:t>
      </w:r>
      <w:r w:rsidR="009F0151">
        <w:rPr>
          <w:sz w:val="22"/>
          <w:szCs w:val="22"/>
        </w:rPr>
        <w:t xml:space="preserve"> development in the</w:t>
      </w:r>
      <w:r w:rsidRPr="00EA7665">
        <w:rPr>
          <w:sz w:val="22"/>
          <w:szCs w:val="22"/>
        </w:rPr>
        <w:t xml:space="preserve"> developed and emerging </w:t>
      </w:r>
      <w:r w:rsidR="00314263" w:rsidRPr="00EA7665">
        <w:rPr>
          <w:sz w:val="22"/>
          <w:szCs w:val="22"/>
        </w:rPr>
        <w:t>economies.</w:t>
      </w:r>
      <w:bookmarkEnd w:id="1327"/>
      <w:r w:rsidRPr="00EA7665">
        <w:rPr>
          <w:sz w:val="22"/>
          <w:szCs w:val="22"/>
        </w:rPr>
        <w:t xml:space="preserve"> </w:t>
      </w:r>
    </w:p>
    <w:p w14:paraId="2FA17D3E" w14:textId="77777777" w:rsidR="00CD6352" w:rsidRPr="00EA7665" w:rsidRDefault="00CD6352" w:rsidP="00CD6352"/>
    <w:p w14:paraId="4CA0EA5F" w14:textId="4AB20C2A" w:rsidR="00CD6352" w:rsidRPr="00EA7665" w:rsidRDefault="00CD6352" w:rsidP="00CD6352">
      <w:pPr>
        <w:spacing w:line="360" w:lineRule="auto"/>
        <w:rPr>
          <w:rFonts w:ascii="Arial" w:hAnsi="Arial" w:cs="Arial"/>
          <w:iCs/>
        </w:rPr>
      </w:pPr>
      <w:r w:rsidRPr="00EA7665">
        <w:rPr>
          <w:rFonts w:ascii="Arial" w:hAnsi="Arial" w:cs="Arial"/>
          <w:iCs/>
        </w:rPr>
        <w:t xml:space="preserve">The </w:t>
      </w:r>
      <w:r w:rsidR="00206169">
        <w:rPr>
          <w:rFonts w:ascii="Arial" w:hAnsi="Arial" w:cs="Arial"/>
          <w:iCs/>
        </w:rPr>
        <w:t>survey questionnaire findings</w:t>
      </w:r>
      <w:r w:rsidRPr="00EA7665">
        <w:rPr>
          <w:rFonts w:ascii="Arial" w:hAnsi="Arial" w:cs="Arial"/>
          <w:iCs/>
        </w:rPr>
        <w:t xml:space="preserve"> </w:t>
      </w:r>
      <w:r>
        <w:rPr>
          <w:rFonts w:ascii="Arial" w:hAnsi="Arial" w:cs="Arial"/>
          <w:iCs/>
        </w:rPr>
        <w:t>demonstrate</w:t>
      </w:r>
      <w:r w:rsidRPr="00EA7665">
        <w:rPr>
          <w:rFonts w:ascii="Arial" w:hAnsi="Arial" w:cs="Arial"/>
          <w:iCs/>
        </w:rPr>
        <w:t xml:space="preserve"> that all </w:t>
      </w:r>
      <w:r>
        <w:rPr>
          <w:rFonts w:ascii="Arial" w:hAnsi="Arial" w:cs="Arial"/>
          <w:iCs/>
        </w:rPr>
        <w:t xml:space="preserve">of </w:t>
      </w:r>
      <w:r w:rsidRPr="00EA7665">
        <w:rPr>
          <w:rFonts w:ascii="Arial" w:hAnsi="Arial" w:cs="Arial"/>
          <w:iCs/>
        </w:rPr>
        <w:t xml:space="preserve">the </w:t>
      </w:r>
      <w:r w:rsidR="00314263">
        <w:rPr>
          <w:rFonts w:ascii="Arial" w:hAnsi="Arial" w:cs="Arial"/>
          <w:iCs/>
        </w:rPr>
        <w:t xml:space="preserve">selected </w:t>
      </w:r>
      <w:r w:rsidRPr="00EA7665">
        <w:rPr>
          <w:rFonts w:ascii="Arial" w:hAnsi="Arial" w:cs="Arial"/>
          <w:iCs/>
        </w:rPr>
        <w:t>twenty</w:t>
      </w:r>
      <w:r w:rsidR="00285D8C">
        <w:rPr>
          <w:rFonts w:ascii="Arial" w:hAnsi="Arial" w:cs="Arial"/>
          <w:iCs/>
        </w:rPr>
        <w:t>-</w:t>
      </w:r>
      <w:r w:rsidRPr="00EA7665">
        <w:rPr>
          <w:rFonts w:ascii="Arial" w:hAnsi="Arial" w:cs="Arial"/>
          <w:iCs/>
        </w:rPr>
        <w:t xml:space="preserve">three skills are considered important for securing </w:t>
      </w:r>
      <w:r w:rsidR="00666F3E">
        <w:rPr>
          <w:rFonts w:ascii="Arial" w:hAnsi="Arial" w:cs="Arial"/>
          <w:iCs/>
        </w:rPr>
        <w:t xml:space="preserve">finance </w:t>
      </w:r>
      <w:r w:rsidR="00666F3E" w:rsidRPr="00EA7665">
        <w:rPr>
          <w:rFonts w:ascii="Arial" w:hAnsi="Arial" w:cs="Arial"/>
          <w:iCs/>
        </w:rPr>
        <w:t>for</w:t>
      </w:r>
      <w:r w:rsidRPr="00EA7665">
        <w:rPr>
          <w:rFonts w:ascii="Arial" w:hAnsi="Arial" w:cs="Arial"/>
          <w:iCs/>
        </w:rPr>
        <w:t xml:space="preserve"> real estate project development in both the developed and emerging economies. The data also revealed a need for training and education for all the skills for both the present work managers do </w:t>
      </w:r>
      <w:r w:rsidR="00285D8C">
        <w:rPr>
          <w:rFonts w:ascii="Arial" w:hAnsi="Arial" w:cs="Arial"/>
          <w:iCs/>
        </w:rPr>
        <w:t>concerning</w:t>
      </w:r>
      <w:r w:rsidRPr="00EA7665">
        <w:rPr>
          <w:rFonts w:ascii="Arial" w:hAnsi="Arial" w:cs="Arial"/>
          <w:iCs/>
        </w:rPr>
        <w:t xml:space="preserve"> real estate project development and for the future. However, the degree of importance </w:t>
      </w:r>
      <w:r>
        <w:rPr>
          <w:rFonts w:ascii="Arial" w:hAnsi="Arial" w:cs="Arial"/>
          <w:iCs/>
        </w:rPr>
        <w:t xml:space="preserve">and the </w:t>
      </w:r>
      <w:r w:rsidRPr="00EA7665">
        <w:rPr>
          <w:rFonts w:ascii="Arial" w:hAnsi="Arial" w:cs="Arial"/>
          <w:iCs/>
        </w:rPr>
        <w:t xml:space="preserve">need for training and education for the present and future varies in the six different countries </w:t>
      </w:r>
      <w:r w:rsidR="00666F3E" w:rsidRPr="00EA7665">
        <w:rPr>
          <w:rFonts w:ascii="Arial" w:hAnsi="Arial" w:cs="Arial"/>
          <w:iCs/>
        </w:rPr>
        <w:t>(see</w:t>
      </w:r>
      <w:r w:rsidRPr="00EA7665">
        <w:rPr>
          <w:rFonts w:ascii="Arial" w:hAnsi="Arial" w:cs="Arial"/>
          <w:iCs/>
        </w:rPr>
        <w:t xml:space="preserve"> Chapter 8.2.1.2, 8.2.2.2 &amp; 8.2.3.2). Notably, the ranking of the </w:t>
      </w:r>
      <w:r w:rsidR="00206169">
        <w:rPr>
          <w:rFonts w:ascii="Arial" w:hAnsi="Arial" w:cs="Arial"/>
          <w:iCs/>
        </w:rPr>
        <w:t>different countries' skill</w:t>
      </w:r>
      <w:r w:rsidRPr="00EA7665">
        <w:rPr>
          <w:rFonts w:ascii="Arial" w:hAnsi="Arial" w:cs="Arial"/>
          <w:iCs/>
        </w:rPr>
        <w:t xml:space="preserve">s </w:t>
      </w:r>
      <w:r>
        <w:rPr>
          <w:rFonts w:ascii="Arial" w:hAnsi="Arial" w:cs="Arial"/>
          <w:iCs/>
        </w:rPr>
        <w:t>do</w:t>
      </w:r>
      <w:r w:rsidRPr="00EA7665">
        <w:rPr>
          <w:rFonts w:ascii="Arial" w:hAnsi="Arial" w:cs="Arial"/>
          <w:iCs/>
        </w:rPr>
        <w:t xml:space="preserve"> not demarcate skills used in developed countries as different from the emerging </w:t>
      </w:r>
      <w:r w:rsidR="004B6086" w:rsidRPr="00EA7665">
        <w:rPr>
          <w:rFonts w:ascii="Arial" w:hAnsi="Arial" w:cs="Arial"/>
          <w:iCs/>
        </w:rPr>
        <w:t>economies.</w:t>
      </w:r>
      <w:r w:rsidRPr="00EA7665">
        <w:rPr>
          <w:rFonts w:ascii="Arial" w:hAnsi="Arial" w:cs="Arial"/>
          <w:iCs/>
        </w:rPr>
        <w:t xml:space="preserve"> </w:t>
      </w:r>
      <w:r w:rsidR="008E13D0" w:rsidRPr="00EA7665">
        <w:rPr>
          <w:rFonts w:ascii="Arial" w:hAnsi="Arial" w:cs="Arial"/>
          <w:iCs/>
        </w:rPr>
        <w:t>However</w:t>
      </w:r>
      <w:r w:rsidR="008E13D0">
        <w:rPr>
          <w:rFonts w:ascii="Arial" w:hAnsi="Arial" w:cs="Arial"/>
          <w:iCs/>
        </w:rPr>
        <w:t xml:space="preserve">, </w:t>
      </w:r>
      <w:r w:rsidR="008E13D0" w:rsidRPr="00EA7665">
        <w:rPr>
          <w:rFonts w:ascii="Arial" w:hAnsi="Arial" w:cs="Arial"/>
          <w:iCs/>
        </w:rPr>
        <w:t>the</w:t>
      </w:r>
      <w:r w:rsidRPr="00EA7665">
        <w:rPr>
          <w:rFonts w:ascii="Arial" w:hAnsi="Arial" w:cs="Arial"/>
          <w:iCs/>
        </w:rPr>
        <w:t xml:space="preserve"> top</w:t>
      </w:r>
      <w:r w:rsidR="00285D8C">
        <w:rPr>
          <w:rFonts w:ascii="Arial" w:hAnsi="Arial" w:cs="Arial"/>
          <w:iCs/>
        </w:rPr>
        <w:t>-</w:t>
      </w:r>
      <w:r w:rsidRPr="00EA7665">
        <w:rPr>
          <w:rFonts w:ascii="Arial" w:hAnsi="Arial" w:cs="Arial"/>
          <w:iCs/>
        </w:rPr>
        <w:t>ranked skills sho</w:t>
      </w:r>
      <w:r>
        <w:rPr>
          <w:rFonts w:ascii="Arial" w:hAnsi="Arial" w:cs="Arial"/>
          <w:iCs/>
        </w:rPr>
        <w:t>w</w:t>
      </w:r>
      <w:r w:rsidRPr="00EA7665">
        <w:rPr>
          <w:rFonts w:ascii="Arial" w:hAnsi="Arial" w:cs="Arial"/>
          <w:iCs/>
        </w:rPr>
        <w:t xml:space="preserve"> a blend of human, technical, conceptual, </w:t>
      </w:r>
      <w:r w:rsidR="00E50FC1" w:rsidRPr="00EA7665">
        <w:rPr>
          <w:rFonts w:ascii="Arial" w:hAnsi="Arial" w:cs="Arial"/>
          <w:iCs/>
        </w:rPr>
        <w:t>political,</w:t>
      </w:r>
      <w:r w:rsidRPr="00EA7665">
        <w:rPr>
          <w:rFonts w:ascii="Arial" w:hAnsi="Arial" w:cs="Arial"/>
          <w:iCs/>
        </w:rPr>
        <w:t xml:space="preserve"> and financial management skills for all the countries. </w:t>
      </w:r>
    </w:p>
    <w:p w14:paraId="544C2A7C" w14:textId="55DB2B22" w:rsidR="00CD6352" w:rsidRPr="00EA7665" w:rsidRDefault="00CD6352" w:rsidP="00CD6352">
      <w:pPr>
        <w:spacing w:line="360" w:lineRule="auto"/>
        <w:rPr>
          <w:rFonts w:ascii="Arial" w:hAnsi="Arial" w:cs="Arial"/>
        </w:rPr>
      </w:pPr>
      <w:bookmarkStart w:id="1328" w:name="_Hlk42764863"/>
      <w:r w:rsidRPr="00EA7665">
        <w:rPr>
          <w:rFonts w:ascii="Arial" w:hAnsi="Arial" w:cs="Arial"/>
        </w:rPr>
        <w:t xml:space="preserve">The </w:t>
      </w:r>
      <w:r w:rsidR="00206169">
        <w:rPr>
          <w:rFonts w:ascii="Arial" w:hAnsi="Arial" w:cs="Arial"/>
        </w:rPr>
        <w:t>semi-structured interviews' findings emphasise some skills already picked up from the survey questionnaire and</w:t>
      </w:r>
      <w:r w:rsidRPr="00EA7665">
        <w:rPr>
          <w:rFonts w:ascii="Arial" w:hAnsi="Arial" w:cs="Arial"/>
        </w:rPr>
        <w:t xml:space="preserve"> br</w:t>
      </w:r>
      <w:r w:rsidR="00450BEE">
        <w:rPr>
          <w:rFonts w:ascii="Arial" w:hAnsi="Arial" w:cs="Arial"/>
        </w:rPr>
        <w:t>ought</w:t>
      </w:r>
      <w:r w:rsidRPr="00EA7665">
        <w:rPr>
          <w:rFonts w:ascii="Arial" w:hAnsi="Arial" w:cs="Arial"/>
        </w:rPr>
        <w:t xml:space="preserve"> on</w:t>
      </w:r>
      <w:r w:rsidR="00450BEE">
        <w:rPr>
          <w:rFonts w:ascii="Arial" w:hAnsi="Arial" w:cs="Arial"/>
        </w:rPr>
        <w:t xml:space="preserve"> </w:t>
      </w:r>
      <w:r w:rsidRPr="00EA7665">
        <w:rPr>
          <w:rFonts w:ascii="Arial" w:hAnsi="Arial" w:cs="Arial"/>
        </w:rPr>
        <w:t xml:space="preserve">board some new skills. Some skills </w:t>
      </w:r>
      <w:r>
        <w:rPr>
          <w:rFonts w:ascii="Arial" w:hAnsi="Arial" w:cs="Arial"/>
        </w:rPr>
        <w:t xml:space="preserve">that </w:t>
      </w:r>
      <w:r w:rsidRPr="00EA7665">
        <w:rPr>
          <w:rFonts w:ascii="Arial" w:hAnsi="Arial" w:cs="Arial"/>
        </w:rPr>
        <w:t>managers in both the developed and emerging economies have in common</w:t>
      </w:r>
      <w:r>
        <w:rPr>
          <w:rFonts w:ascii="Arial" w:hAnsi="Arial" w:cs="Arial"/>
        </w:rPr>
        <w:t>,</w:t>
      </w:r>
      <w:r w:rsidRPr="00EA7665">
        <w:rPr>
          <w:rFonts w:ascii="Arial" w:hAnsi="Arial" w:cs="Arial"/>
        </w:rPr>
        <w:t xml:space="preserve"> based on the semi</w:t>
      </w:r>
      <w:r w:rsidR="00285D8C">
        <w:rPr>
          <w:rFonts w:ascii="Arial" w:hAnsi="Arial" w:cs="Arial"/>
        </w:rPr>
        <w:t>-</w:t>
      </w:r>
      <w:r w:rsidRPr="00EA7665">
        <w:rPr>
          <w:rFonts w:ascii="Arial" w:hAnsi="Arial" w:cs="Arial"/>
        </w:rPr>
        <w:t xml:space="preserve">structured </w:t>
      </w:r>
      <w:r w:rsidR="008E13D0" w:rsidRPr="00EA7665">
        <w:rPr>
          <w:rFonts w:ascii="Arial" w:hAnsi="Arial" w:cs="Arial"/>
        </w:rPr>
        <w:t>interviews</w:t>
      </w:r>
      <w:r w:rsidR="008E13D0">
        <w:rPr>
          <w:rFonts w:ascii="Arial" w:hAnsi="Arial" w:cs="Arial"/>
        </w:rPr>
        <w:t>,</w:t>
      </w:r>
      <w:r w:rsidR="008E13D0" w:rsidRPr="00EA7665">
        <w:rPr>
          <w:rFonts w:ascii="Arial" w:hAnsi="Arial" w:cs="Arial"/>
        </w:rPr>
        <w:t xml:space="preserve"> include</w:t>
      </w:r>
      <w:r w:rsidRPr="00EA7665">
        <w:rPr>
          <w:rFonts w:ascii="Arial" w:hAnsi="Arial" w:cs="Arial"/>
        </w:rPr>
        <w:t xml:space="preserve"> the following:</w:t>
      </w:r>
    </w:p>
    <w:p w14:paraId="0906A713" w14:textId="77777777" w:rsidR="00CD6352" w:rsidRPr="00EA7665" w:rsidRDefault="00CD6352" w:rsidP="00C74AEC">
      <w:pPr>
        <w:pStyle w:val="ListParagraph"/>
        <w:numPr>
          <w:ilvl w:val="0"/>
          <w:numId w:val="146"/>
        </w:numPr>
        <w:rPr>
          <w:rFonts w:ascii="Arial" w:hAnsi="Arial" w:cs="Arial"/>
        </w:rPr>
      </w:pPr>
      <w:bookmarkStart w:id="1329" w:name="_Hlk45895147"/>
      <w:r w:rsidRPr="00EA7665">
        <w:rPr>
          <w:rFonts w:ascii="Arial" w:hAnsi="Arial" w:cs="Arial"/>
        </w:rPr>
        <w:t>Analytical skills</w:t>
      </w:r>
    </w:p>
    <w:p w14:paraId="5F443714" w14:textId="77777777" w:rsidR="00CD6352" w:rsidRPr="00EA7665" w:rsidRDefault="00CD6352" w:rsidP="00C74AEC">
      <w:pPr>
        <w:pStyle w:val="ListParagraph"/>
        <w:numPr>
          <w:ilvl w:val="0"/>
          <w:numId w:val="146"/>
        </w:numPr>
        <w:rPr>
          <w:rFonts w:ascii="Arial" w:hAnsi="Arial" w:cs="Arial"/>
        </w:rPr>
      </w:pPr>
      <w:r w:rsidRPr="00EA7665">
        <w:rPr>
          <w:rFonts w:ascii="Arial" w:hAnsi="Arial" w:cs="Arial"/>
        </w:rPr>
        <w:t>Selling/ Marketing skills</w:t>
      </w:r>
    </w:p>
    <w:p w14:paraId="5701D66D" w14:textId="77777777" w:rsidR="00CD6352" w:rsidRPr="00EA7665" w:rsidRDefault="00CD6352" w:rsidP="00C74AEC">
      <w:pPr>
        <w:pStyle w:val="ListParagraph"/>
        <w:numPr>
          <w:ilvl w:val="0"/>
          <w:numId w:val="146"/>
        </w:numPr>
        <w:rPr>
          <w:rFonts w:ascii="Arial" w:hAnsi="Arial" w:cs="Arial"/>
        </w:rPr>
      </w:pPr>
      <w:r w:rsidRPr="00EA7665">
        <w:rPr>
          <w:rFonts w:ascii="Arial" w:hAnsi="Arial" w:cs="Arial"/>
        </w:rPr>
        <w:t>Relationship management</w:t>
      </w:r>
    </w:p>
    <w:p w14:paraId="7C8BFD78" w14:textId="77777777" w:rsidR="00CD6352" w:rsidRPr="00EA7665" w:rsidRDefault="00CD6352" w:rsidP="00C74AEC">
      <w:pPr>
        <w:pStyle w:val="ListParagraph"/>
        <w:numPr>
          <w:ilvl w:val="0"/>
          <w:numId w:val="146"/>
        </w:numPr>
        <w:rPr>
          <w:rFonts w:ascii="Arial" w:hAnsi="Arial" w:cs="Arial"/>
        </w:rPr>
      </w:pPr>
      <w:r w:rsidRPr="00EA7665">
        <w:rPr>
          <w:rFonts w:ascii="Arial" w:hAnsi="Arial" w:cs="Arial"/>
        </w:rPr>
        <w:lastRenderedPageBreak/>
        <w:t>Monitoring skills</w:t>
      </w:r>
    </w:p>
    <w:bookmarkEnd w:id="1329"/>
    <w:p w14:paraId="2187D7B0" w14:textId="77777777" w:rsidR="00CD6352" w:rsidRPr="00EA7665" w:rsidRDefault="00CD6352" w:rsidP="00CD6352">
      <w:pPr>
        <w:rPr>
          <w:rFonts w:ascii="Arial" w:hAnsi="Arial" w:cs="Arial"/>
        </w:rPr>
      </w:pPr>
      <w:r w:rsidRPr="00EA7665">
        <w:rPr>
          <w:rFonts w:ascii="Arial" w:hAnsi="Arial" w:cs="Arial"/>
        </w:rPr>
        <w:t>However, their differing skills include the following –</w:t>
      </w:r>
    </w:p>
    <w:p w14:paraId="736A2E69" w14:textId="77777777" w:rsidR="00CD6352" w:rsidRPr="00EA7665" w:rsidRDefault="00CD6352" w:rsidP="00CD6352">
      <w:pPr>
        <w:rPr>
          <w:rFonts w:ascii="Arial" w:hAnsi="Arial" w:cs="Arial"/>
          <w:b/>
        </w:rPr>
      </w:pPr>
      <w:r w:rsidRPr="00EA7665">
        <w:rPr>
          <w:rFonts w:ascii="Arial" w:hAnsi="Arial" w:cs="Arial"/>
          <w:b/>
        </w:rPr>
        <w:t xml:space="preserve">Developed economies: </w:t>
      </w:r>
    </w:p>
    <w:p w14:paraId="4B836A2E" w14:textId="77777777" w:rsidR="00CD6352" w:rsidRPr="00EA7665" w:rsidRDefault="00CD6352" w:rsidP="00C74AEC">
      <w:pPr>
        <w:numPr>
          <w:ilvl w:val="0"/>
          <w:numId w:val="147"/>
        </w:numPr>
        <w:spacing w:after="0"/>
        <w:rPr>
          <w:rFonts w:ascii="Arial" w:hAnsi="Arial" w:cs="Arial"/>
          <w:iCs/>
        </w:rPr>
      </w:pPr>
      <w:r w:rsidRPr="00EA7665">
        <w:rPr>
          <w:rFonts w:ascii="Arial" w:hAnsi="Arial" w:cs="Arial"/>
          <w:iCs/>
        </w:rPr>
        <w:t xml:space="preserve">Ability to improve your profile in the market by using the internet, LinkedIn and Facebook </w:t>
      </w:r>
    </w:p>
    <w:p w14:paraId="0B8D4041" w14:textId="77777777" w:rsidR="00CD6352" w:rsidRPr="00EA7665" w:rsidRDefault="00CD6352" w:rsidP="00C74AEC">
      <w:pPr>
        <w:numPr>
          <w:ilvl w:val="0"/>
          <w:numId w:val="147"/>
        </w:numPr>
        <w:spacing w:after="0"/>
        <w:rPr>
          <w:rFonts w:ascii="Arial" w:hAnsi="Arial" w:cs="Arial"/>
          <w:iCs/>
        </w:rPr>
      </w:pPr>
      <w:r w:rsidRPr="00EA7665">
        <w:rPr>
          <w:rFonts w:ascii="Arial" w:hAnsi="Arial" w:cs="Arial"/>
          <w:iCs/>
        </w:rPr>
        <w:t xml:space="preserve">Financial modelling </w:t>
      </w:r>
    </w:p>
    <w:p w14:paraId="44E6B369" w14:textId="77777777" w:rsidR="00CD6352" w:rsidRPr="00EA7665" w:rsidRDefault="00CD6352" w:rsidP="00C74AEC">
      <w:pPr>
        <w:numPr>
          <w:ilvl w:val="0"/>
          <w:numId w:val="147"/>
        </w:numPr>
        <w:spacing w:after="0"/>
        <w:rPr>
          <w:rFonts w:ascii="Arial" w:hAnsi="Arial" w:cs="Arial"/>
          <w:iCs/>
        </w:rPr>
      </w:pPr>
      <w:r w:rsidRPr="00EA7665">
        <w:rPr>
          <w:rFonts w:ascii="Arial" w:hAnsi="Arial" w:cs="Arial"/>
          <w:iCs/>
        </w:rPr>
        <w:t>Foreign language skills / Multi-lingual</w:t>
      </w:r>
    </w:p>
    <w:p w14:paraId="617DAD04" w14:textId="77777777" w:rsidR="00CD6352" w:rsidRPr="00EA7665" w:rsidRDefault="00CD6352" w:rsidP="00C74AEC">
      <w:pPr>
        <w:numPr>
          <w:ilvl w:val="0"/>
          <w:numId w:val="147"/>
        </w:numPr>
        <w:spacing w:after="0"/>
        <w:rPr>
          <w:rFonts w:ascii="Arial" w:hAnsi="Arial" w:cs="Arial"/>
          <w:iCs/>
        </w:rPr>
      </w:pPr>
      <w:r w:rsidRPr="00EA7665">
        <w:rPr>
          <w:rFonts w:ascii="Arial" w:hAnsi="Arial" w:cs="Arial"/>
          <w:iCs/>
        </w:rPr>
        <w:t>Global network</w:t>
      </w:r>
      <w:r>
        <w:rPr>
          <w:rFonts w:ascii="Arial" w:hAnsi="Arial" w:cs="Arial"/>
          <w:iCs/>
        </w:rPr>
        <w:t>ing</w:t>
      </w:r>
    </w:p>
    <w:p w14:paraId="2D63658B" w14:textId="77777777" w:rsidR="00CD6352" w:rsidRPr="00EA7665" w:rsidRDefault="00CD6352" w:rsidP="00C74AEC">
      <w:pPr>
        <w:numPr>
          <w:ilvl w:val="0"/>
          <w:numId w:val="147"/>
        </w:numPr>
        <w:spacing w:after="0"/>
        <w:rPr>
          <w:rFonts w:ascii="Arial" w:hAnsi="Arial" w:cs="Arial"/>
          <w:iCs/>
        </w:rPr>
      </w:pPr>
      <w:r w:rsidRPr="00EA7665">
        <w:rPr>
          <w:rFonts w:ascii="Arial" w:hAnsi="Arial" w:cs="Arial"/>
          <w:iCs/>
        </w:rPr>
        <w:t>Hedging skills</w:t>
      </w:r>
    </w:p>
    <w:p w14:paraId="593B5F55" w14:textId="77777777" w:rsidR="00CD6352" w:rsidRPr="00EA7665" w:rsidRDefault="00CD6352" w:rsidP="00CD6352">
      <w:pPr>
        <w:ind w:left="142"/>
        <w:rPr>
          <w:rFonts w:ascii="Arial" w:hAnsi="Arial" w:cs="Arial"/>
          <w:b/>
        </w:rPr>
      </w:pPr>
      <w:r w:rsidRPr="00EA7665">
        <w:rPr>
          <w:rFonts w:ascii="Arial" w:hAnsi="Arial" w:cs="Arial"/>
          <w:b/>
        </w:rPr>
        <w:t xml:space="preserve">Emerging economies: </w:t>
      </w:r>
    </w:p>
    <w:p w14:paraId="55C537EA" w14:textId="77777777" w:rsidR="00CD6352" w:rsidRPr="00EA7665" w:rsidRDefault="00CD6352" w:rsidP="00C74AEC">
      <w:pPr>
        <w:numPr>
          <w:ilvl w:val="0"/>
          <w:numId w:val="148"/>
        </w:numPr>
        <w:spacing w:after="0"/>
        <w:rPr>
          <w:rFonts w:ascii="Arial" w:hAnsi="Arial" w:cs="Arial"/>
          <w:iCs/>
        </w:rPr>
      </w:pPr>
      <w:r w:rsidRPr="00EA7665">
        <w:rPr>
          <w:rFonts w:ascii="Arial" w:hAnsi="Arial" w:cs="Arial"/>
          <w:iCs/>
        </w:rPr>
        <w:t>Ability to connect to people on an emotional level</w:t>
      </w:r>
    </w:p>
    <w:p w14:paraId="09FEE567" w14:textId="77777777" w:rsidR="00CD6352" w:rsidRPr="00EA7665" w:rsidRDefault="00CD6352" w:rsidP="00C74AEC">
      <w:pPr>
        <w:numPr>
          <w:ilvl w:val="0"/>
          <w:numId w:val="148"/>
        </w:numPr>
        <w:spacing w:after="0"/>
        <w:rPr>
          <w:rFonts w:ascii="Arial" w:hAnsi="Arial" w:cs="Arial"/>
          <w:iCs/>
        </w:rPr>
      </w:pPr>
      <w:r w:rsidRPr="00EA7665">
        <w:rPr>
          <w:rFonts w:ascii="Arial" w:hAnsi="Arial" w:cs="Arial"/>
          <w:iCs/>
        </w:rPr>
        <w:t>Ability to lobby</w:t>
      </w:r>
    </w:p>
    <w:p w14:paraId="12B34848" w14:textId="77777777" w:rsidR="00CD6352" w:rsidRPr="00EA7665" w:rsidRDefault="00CD6352" w:rsidP="00C74AEC">
      <w:pPr>
        <w:numPr>
          <w:ilvl w:val="0"/>
          <w:numId w:val="148"/>
        </w:numPr>
        <w:spacing w:after="0"/>
        <w:rPr>
          <w:rFonts w:ascii="Arial" w:hAnsi="Arial" w:cs="Arial"/>
          <w:iCs/>
        </w:rPr>
      </w:pPr>
      <w:r w:rsidRPr="00EA7665">
        <w:rPr>
          <w:rFonts w:ascii="Arial" w:hAnsi="Arial" w:cs="Arial"/>
          <w:iCs/>
        </w:rPr>
        <w:t>Integrity &amp; diversity</w:t>
      </w:r>
    </w:p>
    <w:p w14:paraId="02E8BDEA" w14:textId="77777777" w:rsidR="00CD6352" w:rsidRPr="00EA7665" w:rsidRDefault="00CD6352" w:rsidP="00C74AEC">
      <w:pPr>
        <w:numPr>
          <w:ilvl w:val="0"/>
          <w:numId w:val="148"/>
        </w:numPr>
        <w:spacing w:after="0"/>
        <w:rPr>
          <w:rFonts w:ascii="Arial" w:hAnsi="Arial" w:cs="Arial"/>
          <w:iCs/>
        </w:rPr>
      </w:pPr>
      <w:r w:rsidRPr="00EA7665">
        <w:rPr>
          <w:rFonts w:ascii="Arial" w:hAnsi="Arial" w:cs="Arial"/>
          <w:iCs/>
        </w:rPr>
        <w:t>Technical skills</w:t>
      </w:r>
    </w:p>
    <w:bookmarkEnd w:id="1328"/>
    <w:p w14:paraId="35CA5F9F" w14:textId="77777777" w:rsidR="00CD6352" w:rsidRPr="00EA7665" w:rsidRDefault="00CD6352" w:rsidP="00CD6352">
      <w:pPr>
        <w:rPr>
          <w:rFonts w:ascii="Arial" w:hAnsi="Arial" w:cs="Arial"/>
          <w:iCs/>
        </w:rPr>
      </w:pPr>
    </w:p>
    <w:p w14:paraId="2FC337A6" w14:textId="77777777" w:rsidR="00CD6352" w:rsidRPr="00EA7665" w:rsidRDefault="00CD6352" w:rsidP="00CD6352">
      <w:pPr>
        <w:spacing w:after="0"/>
        <w:rPr>
          <w:rFonts w:ascii="Arial" w:hAnsi="Arial" w:cs="Arial"/>
          <w:iCs/>
        </w:rPr>
      </w:pPr>
    </w:p>
    <w:p w14:paraId="6F3AA076" w14:textId="2904B2D4" w:rsidR="00CD6352" w:rsidRPr="00EA7665" w:rsidRDefault="004E34D2" w:rsidP="00CD6352">
      <w:pPr>
        <w:pStyle w:val="Heading3"/>
        <w:spacing w:after="240"/>
        <w:rPr>
          <w:sz w:val="22"/>
          <w:szCs w:val="22"/>
        </w:rPr>
      </w:pPr>
      <w:bookmarkStart w:id="1330" w:name="_Toc78983899"/>
      <w:r>
        <w:rPr>
          <w:sz w:val="22"/>
          <w:szCs w:val="22"/>
        </w:rPr>
        <w:t>I</w:t>
      </w:r>
      <w:r w:rsidR="00CD6352" w:rsidRPr="00EA7665">
        <w:rPr>
          <w:sz w:val="22"/>
          <w:szCs w:val="22"/>
        </w:rPr>
        <w:t xml:space="preserve">mplication </w:t>
      </w:r>
      <w:r>
        <w:rPr>
          <w:sz w:val="22"/>
          <w:szCs w:val="22"/>
        </w:rPr>
        <w:t xml:space="preserve">the </w:t>
      </w:r>
      <w:r w:rsidR="00CD6352" w:rsidRPr="00EA7665">
        <w:rPr>
          <w:sz w:val="22"/>
          <w:szCs w:val="22"/>
        </w:rPr>
        <w:t xml:space="preserve">findings </w:t>
      </w:r>
      <w:r w:rsidR="00B871A5">
        <w:rPr>
          <w:sz w:val="22"/>
          <w:szCs w:val="22"/>
        </w:rPr>
        <w:t>on skills for securing finance for real estate project development in the developed and emerging economies.</w:t>
      </w:r>
      <w:bookmarkEnd w:id="1330"/>
    </w:p>
    <w:p w14:paraId="372AC1CF" w14:textId="775C568B" w:rsidR="00CD6352" w:rsidRPr="00EA7665" w:rsidRDefault="00CD6352" w:rsidP="007E3F29">
      <w:pPr>
        <w:spacing w:after="0" w:line="360" w:lineRule="auto"/>
        <w:rPr>
          <w:rFonts w:ascii="Arial" w:hAnsi="Arial" w:cs="Arial"/>
        </w:rPr>
      </w:pPr>
      <w:bookmarkStart w:id="1331" w:name="_Hlk45895013"/>
      <w:r w:rsidRPr="00EA7665">
        <w:rPr>
          <w:rFonts w:ascii="Arial" w:hAnsi="Arial" w:cs="Arial"/>
        </w:rPr>
        <w:t xml:space="preserve">The findings show that the managers in the real estate sector of both </w:t>
      </w:r>
      <w:r w:rsidR="00C46595" w:rsidRPr="00EA7665">
        <w:rPr>
          <w:rFonts w:ascii="Arial" w:hAnsi="Arial" w:cs="Arial"/>
        </w:rPr>
        <w:t>developed</w:t>
      </w:r>
    </w:p>
    <w:p w14:paraId="7E59EE3F" w14:textId="02BC6F3F" w:rsidR="00CD6352" w:rsidRPr="00EA7665" w:rsidRDefault="00CD6352" w:rsidP="007E3F29">
      <w:pPr>
        <w:spacing w:after="0" w:line="360" w:lineRule="auto"/>
        <w:rPr>
          <w:rFonts w:ascii="Arial" w:hAnsi="Arial" w:cs="Arial"/>
        </w:rPr>
      </w:pPr>
      <w:r w:rsidRPr="00EA7665">
        <w:rPr>
          <w:rFonts w:ascii="Arial" w:hAnsi="Arial" w:cs="Arial"/>
        </w:rPr>
        <w:t>and emerging economies have a</w:t>
      </w:r>
      <w:r w:rsidR="00B1254F">
        <w:rPr>
          <w:rFonts w:ascii="Arial" w:hAnsi="Arial" w:cs="Arial"/>
        </w:rPr>
        <w:t>n assortment</w:t>
      </w:r>
      <w:r w:rsidRPr="00EA7665">
        <w:rPr>
          <w:rFonts w:ascii="Arial" w:hAnsi="Arial" w:cs="Arial"/>
        </w:rPr>
        <w:t xml:space="preserve"> of skills </w:t>
      </w:r>
      <w:r w:rsidR="007D2920">
        <w:rPr>
          <w:rFonts w:ascii="Arial" w:hAnsi="Arial" w:cs="Arial"/>
        </w:rPr>
        <w:t>that</w:t>
      </w:r>
      <w:r w:rsidRPr="00EA7665">
        <w:rPr>
          <w:rFonts w:ascii="Arial" w:hAnsi="Arial" w:cs="Arial"/>
        </w:rPr>
        <w:t xml:space="preserve"> </w:t>
      </w:r>
      <w:r>
        <w:rPr>
          <w:rFonts w:ascii="Arial" w:hAnsi="Arial" w:cs="Arial"/>
        </w:rPr>
        <w:t>help</w:t>
      </w:r>
      <w:r w:rsidRPr="00EA7665">
        <w:rPr>
          <w:rFonts w:ascii="Arial" w:hAnsi="Arial" w:cs="Arial"/>
        </w:rPr>
        <w:t xml:space="preserve"> them in </w:t>
      </w:r>
      <w:r w:rsidR="007E3F29" w:rsidRPr="00EA7665">
        <w:rPr>
          <w:rFonts w:ascii="Arial" w:hAnsi="Arial" w:cs="Arial"/>
        </w:rPr>
        <w:t>securing</w:t>
      </w:r>
    </w:p>
    <w:p w14:paraId="5B15F519" w14:textId="277A74BC" w:rsidR="00CD6352" w:rsidRPr="00EA7665" w:rsidRDefault="00CD6352" w:rsidP="007E3F29">
      <w:pPr>
        <w:spacing w:after="0" w:line="360" w:lineRule="auto"/>
        <w:rPr>
          <w:rFonts w:ascii="Arial" w:hAnsi="Arial" w:cs="Arial"/>
        </w:rPr>
      </w:pPr>
      <w:r w:rsidRPr="00EA7665">
        <w:rPr>
          <w:rFonts w:ascii="Arial" w:hAnsi="Arial" w:cs="Arial"/>
        </w:rPr>
        <w:t>finance for real estate project development</w:t>
      </w:r>
      <w:bookmarkEnd w:id="1331"/>
      <w:r w:rsidRPr="00EA7665">
        <w:rPr>
          <w:rFonts w:ascii="Arial" w:hAnsi="Arial" w:cs="Arial"/>
        </w:rPr>
        <w:t>. These skills that the</w:t>
      </w:r>
      <w:r w:rsidR="00B1254F">
        <w:rPr>
          <w:rFonts w:ascii="Arial" w:hAnsi="Arial" w:cs="Arial"/>
        </w:rPr>
        <w:t>se</w:t>
      </w:r>
      <w:r w:rsidRPr="00EA7665">
        <w:rPr>
          <w:rFonts w:ascii="Arial" w:hAnsi="Arial" w:cs="Arial"/>
        </w:rPr>
        <w:t xml:space="preserve"> managers have </w:t>
      </w:r>
      <w:r>
        <w:rPr>
          <w:rFonts w:ascii="Arial" w:hAnsi="Arial" w:cs="Arial"/>
        </w:rPr>
        <w:t>are</w:t>
      </w:r>
    </w:p>
    <w:p w14:paraId="7468B6FE" w14:textId="24F8B737" w:rsidR="00CD6352" w:rsidRPr="00EA7665" w:rsidRDefault="00CD6352" w:rsidP="007E3F29">
      <w:pPr>
        <w:spacing w:after="0" w:line="360" w:lineRule="auto"/>
        <w:rPr>
          <w:rFonts w:ascii="Arial" w:hAnsi="Arial" w:cs="Arial"/>
        </w:rPr>
      </w:pPr>
      <w:r w:rsidRPr="00EA7665">
        <w:rPr>
          <w:rFonts w:ascii="Arial" w:hAnsi="Arial" w:cs="Arial"/>
        </w:rPr>
        <w:t xml:space="preserve">a mixture of human, technical, conceptual, </w:t>
      </w:r>
      <w:r w:rsidR="00157AE9" w:rsidRPr="00EA7665">
        <w:rPr>
          <w:rFonts w:ascii="Arial" w:hAnsi="Arial" w:cs="Arial"/>
        </w:rPr>
        <w:t>political,</w:t>
      </w:r>
      <w:r>
        <w:rPr>
          <w:rFonts w:ascii="Arial" w:hAnsi="Arial" w:cs="Arial"/>
        </w:rPr>
        <w:t xml:space="preserve"> </w:t>
      </w:r>
      <w:r w:rsidR="008E13D0">
        <w:rPr>
          <w:rFonts w:ascii="Arial" w:hAnsi="Arial" w:cs="Arial"/>
        </w:rPr>
        <w:t xml:space="preserve">and </w:t>
      </w:r>
      <w:r w:rsidR="008E13D0" w:rsidRPr="00EA7665">
        <w:rPr>
          <w:rFonts w:ascii="Arial" w:hAnsi="Arial" w:cs="Arial"/>
        </w:rPr>
        <w:t>financial</w:t>
      </w:r>
      <w:r w:rsidRPr="00EA7665">
        <w:rPr>
          <w:rFonts w:ascii="Arial" w:hAnsi="Arial" w:cs="Arial"/>
        </w:rPr>
        <w:t xml:space="preserve"> management </w:t>
      </w:r>
    </w:p>
    <w:p w14:paraId="7041123A" w14:textId="181D875F" w:rsidR="00CD6352" w:rsidRPr="00EA7665" w:rsidRDefault="00CD6352" w:rsidP="007E3F29">
      <w:pPr>
        <w:spacing w:after="0" w:line="360" w:lineRule="auto"/>
        <w:rPr>
          <w:rFonts w:ascii="Arial" w:hAnsi="Arial" w:cs="Arial"/>
        </w:rPr>
      </w:pPr>
      <w:r w:rsidRPr="00EA7665">
        <w:rPr>
          <w:rFonts w:ascii="Arial" w:hAnsi="Arial" w:cs="Arial"/>
        </w:rPr>
        <w:t xml:space="preserve">and this is </w:t>
      </w:r>
      <w:r w:rsidR="007D2920">
        <w:rPr>
          <w:rFonts w:ascii="Arial" w:hAnsi="Arial" w:cs="Arial"/>
        </w:rPr>
        <w:t xml:space="preserve">in </w:t>
      </w:r>
      <w:r w:rsidRPr="00EA7665">
        <w:rPr>
          <w:rFonts w:ascii="Arial" w:hAnsi="Arial" w:cs="Arial"/>
        </w:rPr>
        <w:t>line with existing literature (see chapter 3</w:t>
      </w:r>
      <w:r w:rsidR="00157AE9">
        <w:rPr>
          <w:rFonts w:ascii="Arial" w:hAnsi="Arial" w:cs="Arial"/>
        </w:rPr>
        <w:t>.8</w:t>
      </w:r>
      <w:r w:rsidRPr="00EA7665">
        <w:rPr>
          <w:rFonts w:ascii="Arial" w:hAnsi="Arial" w:cs="Arial"/>
        </w:rPr>
        <w:t>).</w:t>
      </w:r>
    </w:p>
    <w:p w14:paraId="0B6520E7" w14:textId="56B78ADD" w:rsidR="00CD6352" w:rsidRPr="00EA7665" w:rsidRDefault="00CD6352" w:rsidP="00CD6352">
      <w:pPr>
        <w:spacing w:before="240" w:line="360" w:lineRule="auto"/>
        <w:jc w:val="both"/>
        <w:rPr>
          <w:rFonts w:ascii="Arial" w:hAnsi="Arial" w:cs="Arial"/>
        </w:rPr>
      </w:pPr>
      <w:r w:rsidRPr="00EA7665">
        <w:rPr>
          <w:rFonts w:ascii="Arial" w:hAnsi="Arial" w:cs="Arial"/>
        </w:rPr>
        <w:t xml:space="preserve">However, the findings also show that some managers do not have some salient skills </w:t>
      </w:r>
      <w:r w:rsidR="00B1254F">
        <w:rPr>
          <w:rFonts w:ascii="Arial" w:hAnsi="Arial" w:cs="Arial"/>
        </w:rPr>
        <w:t>to secure</w:t>
      </w:r>
      <w:r w:rsidRPr="00EA7665">
        <w:rPr>
          <w:rFonts w:ascii="Arial" w:hAnsi="Arial" w:cs="Arial"/>
        </w:rPr>
        <w:t xml:space="preserve"> finance for real estate project development. Notably</w:t>
      </w:r>
      <w:r>
        <w:rPr>
          <w:rFonts w:ascii="Arial" w:hAnsi="Arial" w:cs="Arial"/>
        </w:rPr>
        <w:t>,</w:t>
      </w:r>
      <w:r w:rsidRPr="00EA7665">
        <w:rPr>
          <w:rFonts w:ascii="Arial" w:hAnsi="Arial" w:cs="Arial"/>
        </w:rPr>
        <w:t xml:space="preserve"> some of these managers would want to be trained to acquire these skills, while a few would </w:t>
      </w:r>
      <w:r w:rsidR="008E13D0" w:rsidRPr="00EA7665">
        <w:rPr>
          <w:rFonts w:ascii="Arial" w:hAnsi="Arial" w:cs="Arial"/>
        </w:rPr>
        <w:t>rather pay</w:t>
      </w:r>
      <w:r w:rsidRPr="00EA7665">
        <w:rPr>
          <w:rFonts w:ascii="Arial" w:hAnsi="Arial" w:cs="Arial"/>
        </w:rPr>
        <w:t xml:space="preserve"> contractors </w:t>
      </w:r>
      <w:r>
        <w:rPr>
          <w:rFonts w:ascii="Arial" w:hAnsi="Arial" w:cs="Arial"/>
        </w:rPr>
        <w:t xml:space="preserve">who already have </w:t>
      </w:r>
      <w:r w:rsidRPr="00EA7665">
        <w:rPr>
          <w:rFonts w:ascii="Arial" w:hAnsi="Arial" w:cs="Arial"/>
        </w:rPr>
        <w:t xml:space="preserve">the skills sets needed. </w:t>
      </w:r>
      <w:bookmarkStart w:id="1332" w:name="_Hlk43122658"/>
      <w:r w:rsidRPr="00EA7665">
        <w:rPr>
          <w:rFonts w:ascii="Arial" w:hAnsi="Arial" w:cs="Arial"/>
        </w:rPr>
        <w:t xml:space="preserve">This study developed a skills conceptual framework </w:t>
      </w:r>
      <w:r w:rsidR="00C7024A">
        <w:rPr>
          <w:rFonts w:ascii="Arial" w:hAnsi="Arial" w:cs="Arial"/>
        </w:rPr>
        <w:t>that is an inventory of skills for securing finance for real estate project development. T</w:t>
      </w:r>
      <w:r w:rsidR="00497067">
        <w:rPr>
          <w:rFonts w:ascii="Arial" w:hAnsi="Arial" w:cs="Arial"/>
        </w:rPr>
        <w:t>his</w:t>
      </w:r>
      <w:r w:rsidRPr="00EA7665">
        <w:rPr>
          <w:rFonts w:ascii="Arial" w:hAnsi="Arial" w:cs="Arial"/>
        </w:rPr>
        <w:t xml:space="preserve"> forms part of the tool kit for securing finance for real estate project development. This inventory of skills is to guide the managers involved in securing finance for real estate project development </w:t>
      </w:r>
      <w:r w:rsidR="008E13D0" w:rsidRPr="00EA7665">
        <w:rPr>
          <w:rFonts w:ascii="Arial" w:hAnsi="Arial" w:cs="Arial"/>
        </w:rPr>
        <w:t>and act</w:t>
      </w:r>
      <w:r w:rsidRPr="00EA7665">
        <w:rPr>
          <w:rFonts w:ascii="Arial" w:hAnsi="Arial" w:cs="Arial"/>
        </w:rPr>
        <w:t xml:space="preserve"> as a training and development </w:t>
      </w:r>
      <w:r w:rsidR="00096748">
        <w:rPr>
          <w:rFonts w:ascii="Arial" w:hAnsi="Arial" w:cs="Arial"/>
        </w:rPr>
        <w:t>guide</w:t>
      </w:r>
      <w:r w:rsidRPr="00EA7665">
        <w:rPr>
          <w:rFonts w:ascii="Arial" w:hAnsi="Arial" w:cs="Arial"/>
        </w:rPr>
        <w:t xml:space="preserve">. The conceptual skills </w:t>
      </w:r>
      <w:r w:rsidR="008E13D0" w:rsidRPr="00EA7665">
        <w:rPr>
          <w:rFonts w:ascii="Arial" w:hAnsi="Arial" w:cs="Arial"/>
        </w:rPr>
        <w:t>framework</w:t>
      </w:r>
      <w:r w:rsidR="007D2920">
        <w:rPr>
          <w:rFonts w:ascii="Arial" w:hAnsi="Arial" w:cs="Arial"/>
        </w:rPr>
        <w:t>/</w:t>
      </w:r>
      <w:r w:rsidRPr="00EA7665">
        <w:rPr>
          <w:rFonts w:ascii="Arial" w:hAnsi="Arial" w:cs="Arial"/>
        </w:rPr>
        <w:t>inventory of skills for securing finance for real estate project development is made up of findings from both the questionnaire surve</w:t>
      </w:r>
      <w:r>
        <w:rPr>
          <w:rFonts w:ascii="Arial" w:hAnsi="Arial" w:cs="Arial"/>
        </w:rPr>
        <w:t>ys</w:t>
      </w:r>
      <w:r w:rsidRPr="00EA7665">
        <w:rPr>
          <w:rFonts w:ascii="Arial" w:hAnsi="Arial" w:cs="Arial"/>
        </w:rPr>
        <w:t xml:space="preserve"> and semi-structured intervie</w:t>
      </w:r>
      <w:r>
        <w:rPr>
          <w:rFonts w:ascii="Arial" w:hAnsi="Arial" w:cs="Arial"/>
        </w:rPr>
        <w:t>ws</w:t>
      </w:r>
      <w:r w:rsidRPr="00EA7665">
        <w:rPr>
          <w:rFonts w:ascii="Arial" w:hAnsi="Arial" w:cs="Arial"/>
        </w:rPr>
        <w:t xml:space="preserve">. It is divided into five major </w:t>
      </w:r>
      <w:r w:rsidR="00B1254F">
        <w:rPr>
          <w:rFonts w:ascii="Arial" w:hAnsi="Arial" w:cs="Arial"/>
        </w:rPr>
        <w:t>skills:</w:t>
      </w:r>
      <w:r w:rsidRPr="00EA7665">
        <w:rPr>
          <w:rFonts w:ascii="Arial" w:hAnsi="Arial" w:cs="Arial"/>
        </w:rPr>
        <w:t xml:space="preserve"> human, technical, conceptual, </w:t>
      </w:r>
      <w:r w:rsidR="00096748" w:rsidRPr="00EA7665">
        <w:rPr>
          <w:rFonts w:ascii="Arial" w:hAnsi="Arial" w:cs="Arial"/>
        </w:rPr>
        <w:t>political,</w:t>
      </w:r>
      <w:r w:rsidRPr="00EA7665">
        <w:rPr>
          <w:rFonts w:ascii="Arial" w:hAnsi="Arial" w:cs="Arial"/>
        </w:rPr>
        <w:t xml:space="preserve"> and financial management skills. The framework is inspired by </w:t>
      </w:r>
      <w:r w:rsidR="00E43EAE">
        <w:rPr>
          <w:rFonts w:ascii="Arial" w:hAnsi="Arial" w:cs="Arial"/>
        </w:rPr>
        <w:t>several</w:t>
      </w:r>
      <w:r w:rsidRPr="00EA7665">
        <w:rPr>
          <w:rFonts w:ascii="Arial" w:hAnsi="Arial" w:cs="Arial"/>
        </w:rPr>
        <w:t xml:space="preserve"> authors</w:t>
      </w:r>
      <w:r w:rsidR="00B1254F">
        <w:rPr>
          <w:rFonts w:ascii="Arial" w:hAnsi="Arial" w:cs="Arial"/>
        </w:rPr>
        <w:t>,</w:t>
      </w:r>
      <w:r w:rsidRPr="00EA7665">
        <w:rPr>
          <w:rFonts w:ascii="Arial" w:hAnsi="Arial" w:cs="Arial"/>
        </w:rPr>
        <w:t xml:space="preserve"> which include Boyatzis (1982), Katz (1971), Egbu (1992), IPMA (2015</w:t>
      </w:r>
      <w:r w:rsidR="000511EE" w:rsidRPr="00EA7665">
        <w:rPr>
          <w:rFonts w:ascii="Arial" w:hAnsi="Arial" w:cs="Arial"/>
        </w:rPr>
        <w:t>)</w:t>
      </w:r>
      <w:r w:rsidR="00B1254F">
        <w:rPr>
          <w:rFonts w:ascii="Arial" w:hAnsi="Arial" w:cs="Arial"/>
        </w:rPr>
        <w:t>, APM competency framework</w:t>
      </w:r>
      <w:r w:rsidR="000511EE">
        <w:rPr>
          <w:rFonts w:ascii="Arial" w:hAnsi="Arial" w:cs="Arial"/>
        </w:rPr>
        <w:t xml:space="preserve"> and</w:t>
      </w:r>
      <w:r w:rsidR="00096748">
        <w:rPr>
          <w:rFonts w:ascii="Arial" w:hAnsi="Arial" w:cs="Arial"/>
        </w:rPr>
        <w:t xml:space="preserve"> a host of other authors (see chapter 3.8)</w:t>
      </w:r>
      <w:r w:rsidRPr="00EA7665">
        <w:rPr>
          <w:rFonts w:ascii="Arial" w:hAnsi="Arial" w:cs="Arial"/>
        </w:rPr>
        <w:t>.</w:t>
      </w:r>
      <w:r w:rsidR="00096748">
        <w:rPr>
          <w:rFonts w:ascii="Arial" w:hAnsi="Arial" w:cs="Arial"/>
        </w:rPr>
        <w:t xml:space="preserve"> However, the variables used in the development of the framework are from both the interviews and the questionnaire survey responses</w:t>
      </w:r>
      <w:r w:rsidR="00112A93">
        <w:rPr>
          <w:rFonts w:ascii="Arial" w:hAnsi="Arial" w:cs="Arial"/>
        </w:rPr>
        <w:t xml:space="preserve"> ( see table 8.2.</w:t>
      </w:r>
      <w:r w:rsidR="00232D95">
        <w:rPr>
          <w:rFonts w:ascii="Arial" w:hAnsi="Arial" w:cs="Arial"/>
        </w:rPr>
        <w:t>9</w:t>
      </w:r>
      <w:r w:rsidR="00112A93">
        <w:rPr>
          <w:rFonts w:ascii="Arial" w:hAnsi="Arial" w:cs="Arial"/>
        </w:rPr>
        <w:t>).</w:t>
      </w:r>
    </w:p>
    <w:p w14:paraId="2AF7F786" w14:textId="6E48CFEB" w:rsidR="007D2920" w:rsidRPr="00EA7665" w:rsidRDefault="007D2920" w:rsidP="007D2920">
      <w:pPr>
        <w:pStyle w:val="Caption"/>
        <w:keepNext/>
      </w:pPr>
      <w:bookmarkStart w:id="1333" w:name="_Toc78984005"/>
      <w:r>
        <w:lastRenderedPageBreak/>
        <w:t xml:space="preserve">Table </w:t>
      </w:r>
      <w:fldSimple w:instr=" STYLEREF 2 \s ">
        <w:r w:rsidR="008F25B1">
          <w:rPr>
            <w:noProof/>
          </w:rPr>
          <w:t>8.2</w:t>
        </w:r>
      </w:fldSimple>
      <w:r w:rsidR="008F25B1">
        <w:noBreakHyphen/>
      </w:r>
      <w:fldSimple w:instr=" SEQ Table \* ARABIC \s 2 ">
        <w:r w:rsidR="008F25B1">
          <w:rPr>
            <w:noProof/>
          </w:rPr>
          <w:t>9</w:t>
        </w:r>
      </w:fldSimple>
      <w:r>
        <w:t>: Framework/ Inventory of m</w:t>
      </w:r>
      <w:r w:rsidRPr="00EA7665">
        <w:t>anagement skills  for securing finance for real estate project development</w:t>
      </w:r>
      <w:bookmarkEnd w:id="1333"/>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2112"/>
        <w:gridCol w:w="1350"/>
        <w:gridCol w:w="2336"/>
        <w:gridCol w:w="1984"/>
      </w:tblGrid>
      <w:tr w:rsidR="00CD6352" w:rsidRPr="00EA7665" w14:paraId="285BEF93" w14:textId="77777777" w:rsidTr="00CD6352">
        <w:trPr>
          <w:trHeight w:val="300"/>
        </w:trPr>
        <w:tc>
          <w:tcPr>
            <w:tcW w:w="1398" w:type="dxa"/>
            <w:tcBorders>
              <w:top w:val="single" w:sz="4" w:space="0" w:color="auto"/>
              <w:left w:val="single" w:sz="4" w:space="0" w:color="auto"/>
              <w:bottom w:val="single" w:sz="4" w:space="0" w:color="auto"/>
            </w:tcBorders>
            <w:noWrap/>
            <w:hideMark/>
          </w:tcPr>
          <w:p w14:paraId="7B7E0B30" w14:textId="77777777" w:rsidR="00CD6352" w:rsidRPr="00EA7665" w:rsidRDefault="00CD6352" w:rsidP="00CD6352">
            <w:pPr>
              <w:rPr>
                <w:rFonts w:ascii="Arial" w:eastAsia="Calibri" w:hAnsi="Arial" w:cs="Arial"/>
                <w:b/>
                <w:bCs/>
                <w:sz w:val="16"/>
                <w:szCs w:val="16"/>
              </w:rPr>
            </w:pPr>
            <w:r w:rsidRPr="00EA7665">
              <w:rPr>
                <w:rFonts w:ascii="Arial" w:eastAsia="Calibri" w:hAnsi="Arial" w:cs="Arial"/>
                <w:b/>
                <w:bCs/>
                <w:sz w:val="16"/>
                <w:szCs w:val="16"/>
              </w:rPr>
              <w:t>Human skills</w:t>
            </w:r>
          </w:p>
        </w:tc>
        <w:tc>
          <w:tcPr>
            <w:tcW w:w="2112" w:type="dxa"/>
            <w:tcBorders>
              <w:top w:val="single" w:sz="4" w:space="0" w:color="auto"/>
              <w:bottom w:val="single" w:sz="4" w:space="0" w:color="auto"/>
            </w:tcBorders>
            <w:noWrap/>
            <w:hideMark/>
          </w:tcPr>
          <w:p w14:paraId="2D80367C" w14:textId="77777777" w:rsidR="00CD6352" w:rsidRPr="00EA7665" w:rsidRDefault="00CD6352" w:rsidP="00CD6352">
            <w:pPr>
              <w:rPr>
                <w:rFonts w:ascii="Arial" w:eastAsia="Calibri" w:hAnsi="Arial" w:cs="Arial"/>
                <w:b/>
                <w:bCs/>
                <w:sz w:val="16"/>
                <w:szCs w:val="16"/>
              </w:rPr>
            </w:pPr>
            <w:r w:rsidRPr="00EA7665">
              <w:rPr>
                <w:rFonts w:ascii="Arial" w:eastAsia="Calibri" w:hAnsi="Arial" w:cs="Arial"/>
                <w:b/>
                <w:bCs/>
                <w:sz w:val="16"/>
                <w:szCs w:val="16"/>
              </w:rPr>
              <w:t>Technical skills</w:t>
            </w:r>
          </w:p>
        </w:tc>
        <w:tc>
          <w:tcPr>
            <w:tcW w:w="1350" w:type="dxa"/>
            <w:tcBorders>
              <w:top w:val="single" w:sz="4" w:space="0" w:color="auto"/>
              <w:bottom w:val="single" w:sz="4" w:space="0" w:color="auto"/>
            </w:tcBorders>
            <w:noWrap/>
            <w:hideMark/>
          </w:tcPr>
          <w:p w14:paraId="2AB70B3D" w14:textId="77777777" w:rsidR="00CD6352" w:rsidRPr="00EA7665" w:rsidRDefault="00CD6352" w:rsidP="00CD6352">
            <w:pPr>
              <w:rPr>
                <w:rFonts w:ascii="Arial" w:eastAsia="Calibri" w:hAnsi="Arial" w:cs="Arial"/>
                <w:b/>
                <w:bCs/>
                <w:sz w:val="16"/>
                <w:szCs w:val="16"/>
              </w:rPr>
            </w:pPr>
            <w:r w:rsidRPr="00EA7665">
              <w:rPr>
                <w:rFonts w:ascii="Arial" w:eastAsia="Calibri" w:hAnsi="Arial" w:cs="Arial"/>
                <w:b/>
                <w:bCs/>
                <w:sz w:val="16"/>
                <w:szCs w:val="16"/>
              </w:rPr>
              <w:t>Conceptual skills</w:t>
            </w:r>
          </w:p>
        </w:tc>
        <w:tc>
          <w:tcPr>
            <w:tcW w:w="2336" w:type="dxa"/>
            <w:tcBorders>
              <w:top w:val="single" w:sz="4" w:space="0" w:color="auto"/>
              <w:bottom w:val="single" w:sz="4" w:space="0" w:color="auto"/>
            </w:tcBorders>
            <w:noWrap/>
            <w:hideMark/>
          </w:tcPr>
          <w:p w14:paraId="4B36F4FB" w14:textId="77777777" w:rsidR="00CD6352" w:rsidRPr="00EA7665" w:rsidRDefault="00CD6352" w:rsidP="00CD6352">
            <w:pPr>
              <w:rPr>
                <w:rFonts w:ascii="Arial" w:eastAsia="Calibri" w:hAnsi="Arial" w:cs="Arial"/>
                <w:b/>
                <w:bCs/>
                <w:sz w:val="16"/>
                <w:szCs w:val="16"/>
              </w:rPr>
            </w:pPr>
            <w:r w:rsidRPr="00EA7665">
              <w:rPr>
                <w:rFonts w:ascii="Arial" w:eastAsia="Calibri" w:hAnsi="Arial" w:cs="Arial"/>
                <w:b/>
                <w:bCs/>
                <w:sz w:val="16"/>
                <w:szCs w:val="16"/>
              </w:rPr>
              <w:t>Political skills</w:t>
            </w:r>
          </w:p>
        </w:tc>
        <w:tc>
          <w:tcPr>
            <w:tcW w:w="1984" w:type="dxa"/>
            <w:tcBorders>
              <w:top w:val="single" w:sz="4" w:space="0" w:color="auto"/>
              <w:bottom w:val="single" w:sz="4" w:space="0" w:color="auto"/>
              <w:right w:val="single" w:sz="4" w:space="0" w:color="auto"/>
            </w:tcBorders>
            <w:noWrap/>
            <w:hideMark/>
          </w:tcPr>
          <w:p w14:paraId="16612883" w14:textId="77777777" w:rsidR="00CD6352" w:rsidRPr="00EA7665" w:rsidRDefault="00CD6352" w:rsidP="00CD6352">
            <w:pPr>
              <w:rPr>
                <w:rFonts w:ascii="Arial" w:eastAsia="Calibri" w:hAnsi="Arial" w:cs="Arial"/>
                <w:b/>
                <w:bCs/>
                <w:sz w:val="16"/>
                <w:szCs w:val="16"/>
              </w:rPr>
            </w:pPr>
            <w:r w:rsidRPr="00EA7665">
              <w:rPr>
                <w:rFonts w:ascii="Arial" w:eastAsia="Calibri" w:hAnsi="Arial" w:cs="Arial"/>
                <w:b/>
                <w:bCs/>
                <w:sz w:val="16"/>
                <w:szCs w:val="16"/>
              </w:rPr>
              <w:t>Financial management skills</w:t>
            </w:r>
          </w:p>
        </w:tc>
      </w:tr>
      <w:tr w:rsidR="00CD6352" w:rsidRPr="00EA7665" w14:paraId="6AB64D5A" w14:textId="77777777" w:rsidTr="00CD6352">
        <w:trPr>
          <w:trHeight w:val="690"/>
        </w:trPr>
        <w:tc>
          <w:tcPr>
            <w:tcW w:w="1398" w:type="dxa"/>
            <w:tcBorders>
              <w:top w:val="single" w:sz="4" w:space="0" w:color="auto"/>
            </w:tcBorders>
            <w:hideMark/>
          </w:tcPr>
          <w:p w14:paraId="6A02A6E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anticipate questions</w:t>
            </w:r>
          </w:p>
        </w:tc>
        <w:tc>
          <w:tcPr>
            <w:tcW w:w="2112" w:type="dxa"/>
            <w:tcBorders>
              <w:top w:val="single" w:sz="4" w:space="0" w:color="auto"/>
            </w:tcBorders>
            <w:hideMark/>
          </w:tcPr>
          <w:p w14:paraId="02C9D73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identify the right Land opportunities</w:t>
            </w:r>
          </w:p>
        </w:tc>
        <w:tc>
          <w:tcPr>
            <w:tcW w:w="1350" w:type="dxa"/>
            <w:tcBorders>
              <w:top w:val="single" w:sz="4" w:space="0" w:color="auto"/>
            </w:tcBorders>
            <w:noWrap/>
            <w:hideMark/>
          </w:tcPr>
          <w:p w14:paraId="1452370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Analytical abilities</w:t>
            </w:r>
          </w:p>
        </w:tc>
        <w:tc>
          <w:tcPr>
            <w:tcW w:w="2336" w:type="dxa"/>
            <w:tcBorders>
              <w:top w:val="single" w:sz="4" w:space="0" w:color="auto"/>
            </w:tcBorders>
            <w:hideMark/>
          </w:tcPr>
          <w:p w14:paraId="31156CB9" w14:textId="30B46503"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Ability to improve </w:t>
            </w:r>
            <w:r w:rsidR="00AC19A9">
              <w:rPr>
                <w:rFonts w:ascii="Arial" w:eastAsia="Calibri" w:hAnsi="Arial" w:cs="Arial"/>
                <w:sz w:val="16"/>
                <w:szCs w:val="16"/>
              </w:rPr>
              <w:t xml:space="preserve">the </w:t>
            </w:r>
            <w:r w:rsidRPr="00EA7665">
              <w:rPr>
                <w:rFonts w:ascii="Arial" w:eastAsia="Calibri" w:hAnsi="Arial" w:cs="Arial"/>
                <w:sz w:val="16"/>
                <w:szCs w:val="16"/>
              </w:rPr>
              <w:t xml:space="preserve">company's profile through LinkedIn, </w:t>
            </w:r>
            <w:r w:rsidR="00AC19A9">
              <w:rPr>
                <w:rFonts w:ascii="Arial" w:eastAsia="Calibri" w:hAnsi="Arial" w:cs="Arial"/>
                <w:sz w:val="16"/>
                <w:szCs w:val="16"/>
              </w:rPr>
              <w:t>T</w:t>
            </w:r>
            <w:r w:rsidRPr="00EA7665">
              <w:rPr>
                <w:rFonts w:ascii="Arial" w:eastAsia="Calibri" w:hAnsi="Arial" w:cs="Arial"/>
                <w:sz w:val="16"/>
                <w:szCs w:val="16"/>
              </w:rPr>
              <w:t>witter &amp; Facebook (virtual skill)</w:t>
            </w:r>
          </w:p>
        </w:tc>
        <w:tc>
          <w:tcPr>
            <w:tcW w:w="1984" w:type="dxa"/>
            <w:tcBorders>
              <w:top w:val="single" w:sz="4" w:space="0" w:color="auto"/>
            </w:tcBorders>
            <w:noWrap/>
            <w:hideMark/>
          </w:tcPr>
          <w:p w14:paraId="1DF8BEA4"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Budgeting</w:t>
            </w:r>
          </w:p>
        </w:tc>
      </w:tr>
      <w:tr w:rsidR="00CD6352" w:rsidRPr="00EA7665" w14:paraId="56213F6F" w14:textId="77777777" w:rsidTr="00CD6352">
        <w:trPr>
          <w:trHeight w:val="465"/>
        </w:trPr>
        <w:tc>
          <w:tcPr>
            <w:tcW w:w="1398" w:type="dxa"/>
            <w:hideMark/>
          </w:tcPr>
          <w:p w14:paraId="6EC2633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ask questions &amp; listen to clients</w:t>
            </w:r>
          </w:p>
        </w:tc>
        <w:tc>
          <w:tcPr>
            <w:tcW w:w="2112" w:type="dxa"/>
            <w:hideMark/>
          </w:tcPr>
          <w:p w14:paraId="32660A6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incorporate finance models</w:t>
            </w:r>
          </w:p>
        </w:tc>
        <w:tc>
          <w:tcPr>
            <w:tcW w:w="1350" w:type="dxa"/>
            <w:noWrap/>
            <w:hideMark/>
          </w:tcPr>
          <w:p w14:paraId="0FAAEDC3"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Creativity</w:t>
            </w:r>
          </w:p>
        </w:tc>
        <w:tc>
          <w:tcPr>
            <w:tcW w:w="2336" w:type="dxa"/>
            <w:noWrap/>
            <w:hideMark/>
          </w:tcPr>
          <w:p w14:paraId="2B70167A"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Apparent sincerity</w:t>
            </w:r>
          </w:p>
        </w:tc>
        <w:tc>
          <w:tcPr>
            <w:tcW w:w="1984" w:type="dxa"/>
            <w:noWrap/>
            <w:hideMark/>
          </w:tcPr>
          <w:p w14:paraId="061B087C"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Commercial awareness</w:t>
            </w:r>
          </w:p>
        </w:tc>
      </w:tr>
      <w:tr w:rsidR="00CD6352" w:rsidRPr="00EA7665" w14:paraId="38F4D048" w14:textId="77777777" w:rsidTr="00CD6352">
        <w:trPr>
          <w:trHeight w:val="465"/>
        </w:trPr>
        <w:tc>
          <w:tcPr>
            <w:tcW w:w="1398" w:type="dxa"/>
            <w:noWrap/>
            <w:hideMark/>
          </w:tcPr>
          <w:p w14:paraId="548B5C9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Communication</w:t>
            </w:r>
          </w:p>
        </w:tc>
        <w:tc>
          <w:tcPr>
            <w:tcW w:w="2112" w:type="dxa"/>
            <w:hideMark/>
          </w:tcPr>
          <w:p w14:paraId="016CE45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package the application for funding</w:t>
            </w:r>
          </w:p>
        </w:tc>
        <w:tc>
          <w:tcPr>
            <w:tcW w:w="1350" w:type="dxa"/>
            <w:noWrap/>
            <w:hideMark/>
          </w:tcPr>
          <w:p w14:paraId="49803691"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Critical thinking</w:t>
            </w:r>
          </w:p>
        </w:tc>
        <w:tc>
          <w:tcPr>
            <w:tcW w:w="2336" w:type="dxa"/>
            <w:hideMark/>
          </w:tcPr>
          <w:p w14:paraId="56BA408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Diplomatic skills   </w:t>
            </w:r>
          </w:p>
        </w:tc>
        <w:tc>
          <w:tcPr>
            <w:tcW w:w="1984" w:type="dxa"/>
            <w:hideMark/>
          </w:tcPr>
          <w:p w14:paraId="424A56E8" w14:textId="2EFD2B15"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Cost</w:t>
            </w:r>
            <w:r w:rsidR="00AC19A9">
              <w:rPr>
                <w:rFonts w:ascii="Arial" w:eastAsia="Calibri" w:hAnsi="Arial" w:cs="Arial"/>
                <w:sz w:val="16"/>
                <w:szCs w:val="16"/>
              </w:rPr>
              <w:t>-</w:t>
            </w:r>
            <w:r w:rsidRPr="00EA7665">
              <w:rPr>
                <w:rFonts w:ascii="Arial" w:eastAsia="Calibri" w:hAnsi="Arial" w:cs="Arial"/>
                <w:sz w:val="16"/>
                <w:szCs w:val="16"/>
              </w:rPr>
              <w:t>benefit analysis</w:t>
            </w:r>
          </w:p>
        </w:tc>
      </w:tr>
      <w:tr w:rsidR="00CD6352" w:rsidRPr="00EA7665" w14:paraId="47E21EDE" w14:textId="77777777" w:rsidTr="00CD6352">
        <w:trPr>
          <w:trHeight w:val="465"/>
        </w:trPr>
        <w:tc>
          <w:tcPr>
            <w:tcW w:w="1398" w:type="dxa"/>
            <w:noWrap/>
            <w:hideMark/>
          </w:tcPr>
          <w:p w14:paraId="22E7375F"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Diligence</w:t>
            </w:r>
          </w:p>
        </w:tc>
        <w:tc>
          <w:tcPr>
            <w:tcW w:w="2112" w:type="dxa"/>
            <w:hideMark/>
          </w:tcPr>
          <w:p w14:paraId="1B43E97E" w14:textId="19B3E50D"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put in place a feasibility study</w:t>
            </w:r>
          </w:p>
        </w:tc>
        <w:tc>
          <w:tcPr>
            <w:tcW w:w="1350" w:type="dxa"/>
            <w:noWrap/>
            <w:hideMark/>
          </w:tcPr>
          <w:p w14:paraId="1761402C"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Information literacy</w:t>
            </w:r>
          </w:p>
        </w:tc>
        <w:tc>
          <w:tcPr>
            <w:tcW w:w="2336" w:type="dxa"/>
            <w:noWrap/>
            <w:hideMark/>
          </w:tcPr>
          <w:p w14:paraId="08E790B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Global networking &amp; ability to attract international financiers</w:t>
            </w:r>
          </w:p>
        </w:tc>
        <w:tc>
          <w:tcPr>
            <w:tcW w:w="1984" w:type="dxa"/>
            <w:hideMark/>
          </w:tcPr>
          <w:p w14:paraId="36A7367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Debt management</w:t>
            </w:r>
          </w:p>
        </w:tc>
      </w:tr>
      <w:tr w:rsidR="00CD6352" w:rsidRPr="00EA7665" w14:paraId="54C1DF7B" w14:textId="77777777" w:rsidTr="00CD6352">
        <w:trPr>
          <w:trHeight w:val="465"/>
        </w:trPr>
        <w:tc>
          <w:tcPr>
            <w:tcW w:w="1398" w:type="dxa"/>
            <w:noWrap/>
            <w:hideMark/>
          </w:tcPr>
          <w:p w14:paraId="48C71319"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Emotional intelligence</w:t>
            </w:r>
          </w:p>
        </w:tc>
        <w:tc>
          <w:tcPr>
            <w:tcW w:w="2112" w:type="dxa"/>
            <w:hideMark/>
          </w:tcPr>
          <w:p w14:paraId="183487D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package &amp; structure funding proposal</w:t>
            </w:r>
          </w:p>
        </w:tc>
        <w:tc>
          <w:tcPr>
            <w:tcW w:w="1350" w:type="dxa"/>
            <w:noWrap/>
            <w:hideMark/>
          </w:tcPr>
          <w:p w14:paraId="324D04B3"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Innovative thinking</w:t>
            </w:r>
          </w:p>
        </w:tc>
        <w:tc>
          <w:tcPr>
            <w:tcW w:w="2336" w:type="dxa"/>
            <w:hideMark/>
          </w:tcPr>
          <w:p w14:paraId="4FBA119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Interpersonal influence</w:t>
            </w:r>
          </w:p>
        </w:tc>
        <w:tc>
          <w:tcPr>
            <w:tcW w:w="1984" w:type="dxa"/>
            <w:hideMark/>
          </w:tcPr>
          <w:p w14:paraId="304150B4"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Debt servicing ability</w:t>
            </w:r>
          </w:p>
        </w:tc>
      </w:tr>
      <w:tr w:rsidR="00CD6352" w:rsidRPr="00EA7665" w14:paraId="02FBA14A" w14:textId="77777777" w:rsidTr="00CD6352">
        <w:trPr>
          <w:trHeight w:val="465"/>
        </w:trPr>
        <w:tc>
          <w:tcPr>
            <w:tcW w:w="1398" w:type="dxa"/>
            <w:noWrap/>
            <w:hideMark/>
          </w:tcPr>
          <w:p w14:paraId="2CA76693"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Integrity</w:t>
            </w:r>
          </w:p>
        </w:tc>
        <w:tc>
          <w:tcPr>
            <w:tcW w:w="2112" w:type="dxa"/>
            <w:noWrap/>
            <w:hideMark/>
          </w:tcPr>
          <w:p w14:paraId="2D16D6AB"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Analytical skills</w:t>
            </w:r>
          </w:p>
        </w:tc>
        <w:tc>
          <w:tcPr>
            <w:tcW w:w="1350" w:type="dxa"/>
            <w:noWrap/>
            <w:hideMark/>
          </w:tcPr>
          <w:p w14:paraId="6036199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Planning &amp; control</w:t>
            </w:r>
          </w:p>
        </w:tc>
        <w:tc>
          <w:tcPr>
            <w:tcW w:w="2336" w:type="dxa"/>
            <w:hideMark/>
          </w:tcPr>
          <w:p w14:paraId="16817E6B"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Knowing  people and building relationships</w:t>
            </w:r>
          </w:p>
        </w:tc>
        <w:tc>
          <w:tcPr>
            <w:tcW w:w="1984" w:type="dxa"/>
            <w:hideMark/>
          </w:tcPr>
          <w:p w14:paraId="00DB954F"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Developing financial forecast &amp; models</w:t>
            </w:r>
          </w:p>
        </w:tc>
      </w:tr>
      <w:tr w:rsidR="00CD6352" w:rsidRPr="00EA7665" w14:paraId="0CB703F0" w14:textId="77777777" w:rsidTr="00CD6352">
        <w:trPr>
          <w:trHeight w:val="300"/>
        </w:trPr>
        <w:tc>
          <w:tcPr>
            <w:tcW w:w="1398" w:type="dxa"/>
            <w:hideMark/>
          </w:tcPr>
          <w:p w14:paraId="0A67401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Interpersonal skills</w:t>
            </w:r>
          </w:p>
        </w:tc>
        <w:tc>
          <w:tcPr>
            <w:tcW w:w="2112" w:type="dxa"/>
            <w:hideMark/>
          </w:tcPr>
          <w:p w14:paraId="36129E23"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Corporate governance </w:t>
            </w:r>
          </w:p>
        </w:tc>
        <w:tc>
          <w:tcPr>
            <w:tcW w:w="1350" w:type="dxa"/>
            <w:noWrap/>
            <w:hideMark/>
          </w:tcPr>
          <w:p w14:paraId="034985DF"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Risk management</w:t>
            </w:r>
          </w:p>
        </w:tc>
        <w:tc>
          <w:tcPr>
            <w:tcW w:w="2336" w:type="dxa"/>
            <w:hideMark/>
          </w:tcPr>
          <w:p w14:paraId="36A17EA0"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Network ability</w:t>
            </w:r>
          </w:p>
        </w:tc>
        <w:tc>
          <w:tcPr>
            <w:tcW w:w="1984" w:type="dxa"/>
            <w:hideMark/>
          </w:tcPr>
          <w:p w14:paraId="6C8385F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Finance skills</w:t>
            </w:r>
          </w:p>
        </w:tc>
      </w:tr>
      <w:tr w:rsidR="00CD6352" w:rsidRPr="00EA7665" w14:paraId="4914A26E" w14:textId="77777777" w:rsidTr="00CD6352">
        <w:trPr>
          <w:trHeight w:val="465"/>
        </w:trPr>
        <w:tc>
          <w:tcPr>
            <w:tcW w:w="1398" w:type="dxa"/>
            <w:noWrap/>
            <w:hideMark/>
          </w:tcPr>
          <w:p w14:paraId="641ED27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Leadership skills</w:t>
            </w:r>
          </w:p>
        </w:tc>
        <w:tc>
          <w:tcPr>
            <w:tcW w:w="2112" w:type="dxa"/>
            <w:hideMark/>
          </w:tcPr>
          <w:p w14:paraId="0D7C4B7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Data analytics</w:t>
            </w:r>
          </w:p>
        </w:tc>
        <w:tc>
          <w:tcPr>
            <w:tcW w:w="1350" w:type="dxa"/>
            <w:noWrap/>
            <w:hideMark/>
          </w:tcPr>
          <w:p w14:paraId="7467C4DB"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Strategic planning</w:t>
            </w:r>
          </w:p>
        </w:tc>
        <w:tc>
          <w:tcPr>
            <w:tcW w:w="2336" w:type="dxa"/>
            <w:hideMark/>
          </w:tcPr>
          <w:p w14:paraId="4BF8015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Positive impression management</w:t>
            </w:r>
          </w:p>
        </w:tc>
        <w:tc>
          <w:tcPr>
            <w:tcW w:w="1984" w:type="dxa"/>
            <w:hideMark/>
          </w:tcPr>
          <w:p w14:paraId="0458432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Financial management approach analysis</w:t>
            </w:r>
          </w:p>
        </w:tc>
      </w:tr>
      <w:tr w:rsidR="00CD6352" w:rsidRPr="00EA7665" w14:paraId="7A44F5FC" w14:textId="77777777" w:rsidTr="00CD6352">
        <w:trPr>
          <w:trHeight w:val="465"/>
        </w:trPr>
        <w:tc>
          <w:tcPr>
            <w:tcW w:w="1398" w:type="dxa"/>
            <w:noWrap/>
            <w:hideMark/>
          </w:tcPr>
          <w:p w14:paraId="37A8347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Negotiation skills</w:t>
            </w:r>
          </w:p>
        </w:tc>
        <w:tc>
          <w:tcPr>
            <w:tcW w:w="2112" w:type="dxa"/>
            <w:hideMark/>
          </w:tcPr>
          <w:p w14:paraId="4AF0D520"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Emerging technologies (such as artificial intelligence &amp; machine learning)</w:t>
            </w:r>
          </w:p>
        </w:tc>
        <w:tc>
          <w:tcPr>
            <w:tcW w:w="1350" w:type="dxa"/>
            <w:noWrap/>
            <w:hideMark/>
          </w:tcPr>
          <w:p w14:paraId="142D130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Strategic thinking</w:t>
            </w:r>
          </w:p>
        </w:tc>
        <w:tc>
          <w:tcPr>
            <w:tcW w:w="2336" w:type="dxa"/>
            <w:hideMark/>
          </w:tcPr>
          <w:p w14:paraId="2040BF2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Positive impression management</w:t>
            </w:r>
          </w:p>
        </w:tc>
        <w:tc>
          <w:tcPr>
            <w:tcW w:w="1984" w:type="dxa"/>
            <w:hideMark/>
          </w:tcPr>
          <w:p w14:paraId="6EF2F8F0" w14:textId="416A9BC5"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Financial modelling, stress testing &amp; comparing scenarios </w:t>
            </w:r>
          </w:p>
        </w:tc>
      </w:tr>
      <w:tr w:rsidR="00CD6352" w:rsidRPr="00EA7665" w14:paraId="722D2C04" w14:textId="77777777" w:rsidTr="00CD6352">
        <w:trPr>
          <w:trHeight w:val="465"/>
        </w:trPr>
        <w:tc>
          <w:tcPr>
            <w:tcW w:w="1398" w:type="dxa"/>
            <w:hideMark/>
          </w:tcPr>
          <w:p w14:paraId="429DCCD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Persuasion skills</w:t>
            </w:r>
          </w:p>
        </w:tc>
        <w:tc>
          <w:tcPr>
            <w:tcW w:w="2112" w:type="dxa"/>
            <w:hideMark/>
          </w:tcPr>
          <w:p w14:paraId="3AC83D8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Identifying trends &amp; accessing alternatives</w:t>
            </w:r>
          </w:p>
        </w:tc>
        <w:tc>
          <w:tcPr>
            <w:tcW w:w="1350" w:type="dxa"/>
            <w:noWrap/>
            <w:hideMark/>
          </w:tcPr>
          <w:p w14:paraId="2EED53B0" w14:textId="77777777" w:rsidR="00CD6352" w:rsidRPr="00EA7665" w:rsidRDefault="00CD6352" w:rsidP="00CD6352">
            <w:pPr>
              <w:rPr>
                <w:rFonts w:ascii="Arial" w:eastAsia="Calibri" w:hAnsi="Arial" w:cs="Arial"/>
                <w:sz w:val="16"/>
                <w:szCs w:val="16"/>
              </w:rPr>
            </w:pPr>
          </w:p>
        </w:tc>
        <w:tc>
          <w:tcPr>
            <w:tcW w:w="2336" w:type="dxa"/>
            <w:hideMark/>
          </w:tcPr>
          <w:p w14:paraId="61B05323"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Recognising &amp; using influence</w:t>
            </w:r>
          </w:p>
        </w:tc>
        <w:tc>
          <w:tcPr>
            <w:tcW w:w="1984" w:type="dxa"/>
            <w:hideMark/>
          </w:tcPr>
          <w:p w14:paraId="44725B81"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Fiscal impact analysis</w:t>
            </w:r>
          </w:p>
        </w:tc>
      </w:tr>
      <w:tr w:rsidR="00CD6352" w:rsidRPr="00EA7665" w14:paraId="2904D91D" w14:textId="77777777" w:rsidTr="00CD6352">
        <w:trPr>
          <w:trHeight w:val="300"/>
        </w:trPr>
        <w:tc>
          <w:tcPr>
            <w:tcW w:w="1398" w:type="dxa"/>
            <w:hideMark/>
          </w:tcPr>
          <w:p w14:paraId="49FE929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Relationship management</w:t>
            </w:r>
          </w:p>
        </w:tc>
        <w:tc>
          <w:tcPr>
            <w:tcW w:w="2112" w:type="dxa"/>
            <w:hideMark/>
          </w:tcPr>
          <w:p w14:paraId="464A452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land purchasing &amp; appraisal skill</w:t>
            </w:r>
          </w:p>
        </w:tc>
        <w:tc>
          <w:tcPr>
            <w:tcW w:w="1350" w:type="dxa"/>
            <w:noWrap/>
            <w:hideMark/>
          </w:tcPr>
          <w:p w14:paraId="2A4BE002" w14:textId="77777777" w:rsidR="00CD6352" w:rsidRPr="00EA7665" w:rsidRDefault="00CD6352" w:rsidP="00CD6352">
            <w:pPr>
              <w:rPr>
                <w:rFonts w:ascii="Arial" w:eastAsia="Calibri" w:hAnsi="Arial" w:cs="Arial"/>
                <w:sz w:val="16"/>
                <w:szCs w:val="16"/>
              </w:rPr>
            </w:pPr>
          </w:p>
        </w:tc>
        <w:tc>
          <w:tcPr>
            <w:tcW w:w="2336" w:type="dxa"/>
            <w:hideMark/>
          </w:tcPr>
          <w:p w14:paraId="3BDD635A"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Relationship with financiers</w:t>
            </w:r>
          </w:p>
        </w:tc>
        <w:tc>
          <w:tcPr>
            <w:tcW w:w="1984" w:type="dxa"/>
            <w:noWrap/>
            <w:hideMark/>
          </w:tcPr>
          <w:p w14:paraId="3739372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Hedging skills</w:t>
            </w:r>
          </w:p>
        </w:tc>
      </w:tr>
      <w:tr w:rsidR="00CD6352" w:rsidRPr="00EA7665" w14:paraId="1AC1D8CA" w14:textId="77777777" w:rsidTr="00CD6352">
        <w:trPr>
          <w:trHeight w:val="465"/>
        </w:trPr>
        <w:tc>
          <w:tcPr>
            <w:tcW w:w="1398" w:type="dxa"/>
            <w:noWrap/>
            <w:hideMark/>
          </w:tcPr>
          <w:p w14:paraId="3A09E52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Reliability</w:t>
            </w:r>
          </w:p>
        </w:tc>
        <w:tc>
          <w:tcPr>
            <w:tcW w:w="2112" w:type="dxa"/>
            <w:noWrap/>
            <w:hideMark/>
          </w:tcPr>
          <w:p w14:paraId="28A81AA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Legal skill</w:t>
            </w:r>
          </w:p>
        </w:tc>
        <w:tc>
          <w:tcPr>
            <w:tcW w:w="1350" w:type="dxa"/>
            <w:noWrap/>
            <w:hideMark/>
          </w:tcPr>
          <w:p w14:paraId="54132F37" w14:textId="77777777" w:rsidR="00CD6352" w:rsidRPr="00EA7665" w:rsidRDefault="00CD6352" w:rsidP="00CD6352">
            <w:pPr>
              <w:rPr>
                <w:rFonts w:ascii="Arial" w:eastAsia="Calibri" w:hAnsi="Arial" w:cs="Arial"/>
                <w:sz w:val="16"/>
                <w:szCs w:val="16"/>
              </w:rPr>
            </w:pPr>
          </w:p>
        </w:tc>
        <w:tc>
          <w:tcPr>
            <w:tcW w:w="2336" w:type="dxa"/>
            <w:hideMark/>
          </w:tcPr>
          <w:p w14:paraId="7F0733CF"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Relationship with tenants &amp; prospective tenants</w:t>
            </w:r>
          </w:p>
        </w:tc>
        <w:tc>
          <w:tcPr>
            <w:tcW w:w="1984" w:type="dxa"/>
            <w:hideMark/>
          </w:tcPr>
          <w:p w14:paraId="525B7C71"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Investment</w:t>
            </w:r>
          </w:p>
        </w:tc>
      </w:tr>
      <w:tr w:rsidR="00CD6352" w:rsidRPr="00EA7665" w14:paraId="10651A8C" w14:textId="77777777" w:rsidTr="00CD6352">
        <w:trPr>
          <w:trHeight w:val="300"/>
        </w:trPr>
        <w:tc>
          <w:tcPr>
            <w:tcW w:w="1398" w:type="dxa"/>
            <w:noWrap/>
            <w:hideMark/>
          </w:tcPr>
          <w:p w14:paraId="19A679C7" w14:textId="31E6B7EC"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Teamwork</w:t>
            </w:r>
          </w:p>
        </w:tc>
        <w:tc>
          <w:tcPr>
            <w:tcW w:w="2112" w:type="dxa"/>
            <w:hideMark/>
          </w:tcPr>
          <w:p w14:paraId="229A8A3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Management skills</w:t>
            </w:r>
          </w:p>
        </w:tc>
        <w:tc>
          <w:tcPr>
            <w:tcW w:w="1350" w:type="dxa"/>
            <w:noWrap/>
            <w:hideMark/>
          </w:tcPr>
          <w:p w14:paraId="1DB4CE99" w14:textId="77777777" w:rsidR="00CD6352" w:rsidRPr="00EA7665" w:rsidRDefault="00CD6352" w:rsidP="00CD6352">
            <w:pPr>
              <w:rPr>
                <w:rFonts w:ascii="Arial" w:eastAsia="Calibri" w:hAnsi="Arial" w:cs="Arial"/>
                <w:sz w:val="16"/>
                <w:szCs w:val="16"/>
              </w:rPr>
            </w:pPr>
          </w:p>
        </w:tc>
        <w:tc>
          <w:tcPr>
            <w:tcW w:w="2336" w:type="dxa"/>
            <w:hideMark/>
          </w:tcPr>
          <w:p w14:paraId="3C669807" w14:textId="2F3CCCA5"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Self</w:t>
            </w:r>
            <w:r w:rsidR="00AC19A9">
              <w:rPr>
                <w:rFonts w:ascii="Arial" w:eastAsia="Calibri" w:hAnsi="Arial" w:cs="Arial"/>
                <w:sz w:val="16"/>
                <w:szCs w:val="16"/>
              </w:rPr>
              <w:t>-</w:t>
            </w:r>
            <w:r w:rsidRPr="00EA7665">
              <w:rPr>
                <w:rFonts w:ascii="Arial" w:eastAsia="Calibri" w:hAnsi="Arial" w:cs="Arial"/>
                <w:sz w:val="16"/>
                <w:szCs w:val="16"/>
              </w:rPr>
              <w:t>awareness</w:t>
            </w:r>
          </w:p>
        </w:tc>
        <w:tc>
          <w:tcPr>
            <w:tcW w:w="1984" w:type="dxa"/>
            <w:noWrap/>
            <w:hideMark/>
          </w:tcPr>
          <w:p w14:paraId="46E3133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Market liquidity timing</w:t>
            </w:r>
          </w:p>
        </w:tc>
      </w:tr>
      <w:tr w:rsidR="00CD6352" w:rsidRPr="00EA7665" w14:paraId="6DED7C90" w14:textId="77777777" w:rsidTr="00CD6352">
        <w:trPr>
          <w:trHeight w:val="465"/>
        </w:trPr>
        <w:tc>
          <w:tcPr>
            <w:tcW w:w="1398" w:type="dxa"/>
            <w:hideMark/>
          </w:tcPr>
          <w:p w14:paraId="11B8201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foreign languages/ Multilingual</w:t>
            </w:r>
          </w:p>
          <w:p w14:paraId="5FB4B54D" w14:textId="77777777" w:rsidR="00CD6352" w:rsidRPr="00EA7665" w:rsidRDefault="00CD6352" w:rsidP="00CD6352">
            <w:pPr>
              <w:rPr>
                <w:rFonts w:ascii="Arial" w:eastAsia="Calibri" w:hAnsi="Arial" w:cs="Arial"/>
                <w:sz w:val="16"/>
                <w:szCs w:val="16"/>
              </w:rPr>
            </w:pPr>
          </w:p>
          <w:p w14:paraId="329C30BA"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diversity</w:t>
            </w:r>
          </w:p>
        </w:tc>
        <w:tc>
          <w:tcPr>
            <w:tcW w:w="2112" w:type="dxa"/>
            <w:hideMark/>
          </w:tcPr>
          <w:p w14:paraId="2D061CAC"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Market analysis</w:t>
            </w:r>
          </w:p>
        </w:tc>
        <w:tc>
          <w:tcPr>
            <w:tcW w:w="1350" w:type="dxa"/>
            <w:noWrap/>
            <w:hideMark/>
          </w:tcPr>
          <w:p w14:paraId="5E86C8CD" w14:textId="77777777" w:rsidR="00CD6352" w:rsidRPr="00EA7665" w:rsidRDefault="00CD6352" w:rsidP="00CD6352">
            <w:pPr>
              <w:rPr>
                <w:rFonts w:ascii="Arial" w:eastAsia="Calibri" w:hAnsi="Arial" w:cs="Arial"/>
                <w:sz w:val="16"/>
                <w:szCs w:val="16"/>
              </w:rPr>
            </w:pPr>
          </w:p>
        </w:tc>
        <w:tc>
          <w:tcPr>
            <w:tcW w:w="2336" w:type="dxa"/>
            <w:noWrap/>
            <w:hideMark/>
          </w:tcPr>
          <w:p w14:paraId="73D243E6"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Social intelligence</w:t>
            </w:r>
          </w:p>
          <w:p w14:paraId="6483D02E" w14:textId="77777777" w:rsidR="00CD6352" w:rsidRPr="00EA7665" w:rsidRDefault="00CD6352" w:rsidP="00CD6352">
            <w:pPr>
              <w:rPr>
                <w:rFonts w:ascii="Arial" w:eastAsia="Calibri" w:hAnsi="Arial" w:cs="Arial"/>
                <w:sz w:val="16"/>
                <w:szCs w:val="16"/>
              </w:rPr>
            </w:pPr>
          </w:p>
          <w:p w14:paraId="2FD657D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connect to people on an emotional level</w:t>
            </w:r>
          </w:p>
          <w:p w14:paraId="4CF4B8DC" w14:textId="77777777" w:rsidR="00CD6352" w:rsidRPr="00EA7665" w:rsidRDefault="00CD6352" w:rsidP="00CD6352">
            <w:pPr>
              <w:rPr>
                <w:rFonts w:ascii="Arial" w:eastAsia="Calibri" w:hAnsi="Arial" w:cs="Arial"/>
                <w:sz w:val="16"/>
                <w:szCs w:val="16"/>
              </w:rPr>
            </w:pPr>
          </w:p>
          <w:p w14:paraId="63649D0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Ability to lobby</w:t>
            </w:r>
          </w:p>
        </w:tc>
        <w:tc>
          <w:tcPr>
            <w:tcW w:w="1984" w:type="dxa"/>
            <w:hideMark/>
          </w:tcPr>
          <w:p w14:paraId="25E8C580"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Presentation of a project to banks &amp; other financiers</w:t>
            </w:r>
          </w:p>
        </w:tc>
      </w:tr>
      <w:tr w:rsidR="00CD6352" w:rsidRPr="00EA7665" w14:paraId="60F2252B" w14:textId="77777777" w:rsidTr="00CD6352">
        <w:trPr>
          <w:trHeight w:val="690"/>
        </w:trPr>
        <w:tc>
          <w:tcPr>
            <w:tcW w:w="1398" w:type="dxa"/>
            <w:noWrap/>
            <w:hideMark/>
          </w:tcPr>
          <w:p w14:paraId="4AD0A1F0"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40E15751"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Modelling skills</w:t>
            </w:r>
          </w:p>
        </w:tc>
        <w:tc>
          <w:tcPr>
            <w:tcW w:w="1350" w:type="dxa"/>
            <w:noWrap/>
            <w:hideMark/>
          </w:tcPr>
          <w:p w14:paraId="1FDFA42E" w14:textId="77777777" w:rsidR="00CD6352" w:rsidRPr="00EA7665" w:rsidRDefault="00CD6352" w:rsidP="00CD6352">
            <w:pPr>
              <w:rPr>
                <w:rFonts w:ascii="Arial" w:eastAsia="Calibri" w:hAnsi="Arial" w:cs="Arial"/>
                <w:sz w:val="16"/>
                <w:szCs w:val="16"/>
              </w:rPr>
            </w:pPr>
          </w:p>
        </w:tc>
        <w:tc>
          <w:tcPr>
            <w:tcW w:w="2336" w:type="dxa"/>
            <w:noWrap/>
            <w:hideMark/>
          </w:tcPr>
          <w:p w14:paraId="61AA45CF" w14:textId="77777777" w:rsidR="00CD6352" w:rsidRPr="00EA7665" w:rsidRDefault="00CD6352" w:rsidP="00CD6352">
            <w:pPr>
              <w:rPr>
                <w:rFonts w:ascii="Arial" w:eastAsia="Calibri" w:hAnsi="Arial" w:cs="Arial"/>
                <w:sz w:val="16"/>
                <w:szCs w:val="16"/>
              </w:rPr>
            </w:pPr>
          </w:p>
        </w:tc>
        <w:tc>
          <w:tcPr>
            <w:tcW w:w="1984" w:type="dxa"/>
            <w:hideMark/>
          </w:tcPr>
          <w:p w14:paraId="5C4512E1" w14:textId="761E086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Skills at putting together investment case and approaching providers of funds </w:t>
            </w:r>
          </w:p>
        </w:tc>
      </w:tr>
      <w:tr w:rsidR="00CD6352" w:rsidRPr="00EA7665" w14:paraId="28240D79" w14:textId="77777777" w:rsidTr="00CD6352">
        <w:trPr>
          <w:trHeight w:val="300"/>
        </w:trPr>
        <w:tc>
          <w:tcPr>
            <w:tcW w:w="1398" w:type="dxa"/>
            <w:noWrap/>
            <w:hideMark/>
          </w:tcPr>
          <w:p w14:paraId="4488BDE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4CE96A1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Monitoring skills</w:t>
            </w:r>
          </w:p>
        </w:tc>
        <w:tc>
          <w:tcPr>
            <w:tcW w:w="1350" w:type="dxa"/>
            <w:noWrap/>
            <w:hideMark/>
          </w:tcPr>
          <w:p w14:paraId="31977F72" w14:textId="77777777" w:rsidR="00CD6352" w:rsidRPr="00EA7665" w:rsidRDefault="00CD6352" w:rsidP="00CD6352">
            <w:pPr>
              <w:rPr>
                <w:rFonts w:ascii="Arial" w:eastAsia="Calibri" w:hAnsi="Arial" w:cs="Arial"/>
                <w:sz w:val="16"/>
                <w:szCs w:val="16"/>
              </w:rPr>
            </w:pPr>
          </w:p>
        </w:tc>
        <w:tc>
          <w:tcPr>
            <w:tcW w:w="2336" w:type="dxa"/>
            <w:noWrap/>
            <w:hideMark/>
          </w:tcPr>
          <w:p w14:paraId="1C010DC3" w14:textId="77777777" w:rsidR="00CD6352" w:rsidRPr="00EA7665" w:rsidRDefault="00CD6352" w:rsidP="00CD6352">
            <w:pPr>
              <w:rPr>
                <w:rFonts w:ascii="Arial" w:eastAsia="Calibri" w:hAnsi="Arial" w:cs="Arial"/>
                <w:sz w:val="16"/>
                <w:szCs w:val="16"/>
              </w:rPr>
            </w:pPr>
          </w:p>
        </w:tc>
        <w:tc>
          <w:tcPr>
            <w:tcW w:w="1984" w:type="dxa"/>
            <w:hideMark/>
          </w:tcPr>
          <w:p w14:paraId="6F79A10B"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of loan contracts</w:t>
            </w:r>
          </w:p>
        </w:tc>
      </w:tr>
      <w:tr w:rsidR="00CD6352" w:rsidRPr="00EA7665" w14:paraId="3C5D3E15" w14:textId="77777777" w:rsidTr="00CD6352">
        <w:trPr>
          <w:trHeight w:val="465"/>
        </w:trPr>
        <w:tc>
          <w:tcPr>
            <w:tcW w:w="1398" w:type="dxa"/>
            <w:noWrap/>
            <w:hideMark/>
          </w:tcPr>
          <w:p w14:paraId="0A2592C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noWrap/>
            <w:hideMark/>
          </w:tcPr>
          <w:p w14:paraId="5E7CC27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Project delivering skills</w:t>
            </w:r>
          </w:p>
        </w:tc>
        <w:tc>
          <w:tcPr>
            <w:tcW w:w="1350" w:type="dxa"/>
            <w:noWrap/>
            <w:hideMark/>
          </w:tcPr>
          <w:p w14:paraId="733E52AF" w14:textId="77777777" w:rsidR="00CD6352" w:rsidRPr="00EA7665" w:rsidRDefault="00CD6352" w:rsidP="00CD6352">
            <w:pPr>
              <w:rPr>
                <w:rFonts w:ascii="Arial" w:eastAsia="Calibri" w:hAnsi="Arial" w:cs="Arial"/>
                <w:sz w:val="16"/>
                <w:szCs w:val="16"/>
              </w:rPr>
            </w:pPr>
          </w:p>
        </w:tc>
        <w:tc>
          <w:tcPr>
            <w:tcW w:w="2336" w:type="dxa"/>
            <w:noWrap/>
            <w:hideMark/>
          </w:tcPr>
          <w:p w14:paraId="38F6E788" w14:textId="77777777" w:rsidR="00CD6352" w:rsidRPr="00EA7665" w:rsidRDefault="00CD6352" w:rsidP="00CD6352">
            <w:pPr>
              <w:rPr>
                <w:rFonts w:ascii="Arial" w:eastAsia="Calibri" w:hAnsi="Arial" w:cs="Arial"/>
                <w:sz w:val="16"/>
                <w:szCs w:val="16"/>
              </w:rPr>
            </w:pPr>
          </w:p>
        </w:tc>
        <w:tc>
          <w:tcPr>
            <w:tcW w:w="1984" w:type="dxa"/>
            <w:hideMark/>
          </w:tcPr>
          <w:p w14:paraId="731D0BD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of  options for structuring debt</w:t>
            </w:r>
          </w:p>
        </w:tc>
      </w:tr>
      <w:tr w:rsidR="00CD6352" w:rsidRPr="00EA7665" w14:paraId="5BE08274" w14:textId="77777777" w:rsidTr="00CD6352">
        <w:trPr>
          <w:trHeight w:val="690"/>
        </w:trPr>
        <w:tc>
          <w:tcPr>
            <w:tcW w:w="1398" w:type="dxa"/>
            <w:noWrap/>
            <w:hideMark/>
          </w:tcPr>
          <w:p w14:paraId="60237DF9"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noWrap/>
            <w:hideMark/>
          </w:tcPr>
          <w:p w14:paraId="4CA4AB33"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Risks management</w:t>
            </w:r>
          </w:p>
        </w:tc>
        <w:tc>
          <w:tcPr>
            <w:tcW w:w="1350" w:type="dxa"/>
            <w:noWrap/>
            <w:hideMark/>
          </w:tcPr>
          <w:p w14:paraId="64489306" w14:textId="77777777" w:rsidR="00CD6352" w:rsidRPr="00EA7665" w:rsidRDefault="00CD6352" w:rsidP="00CD6352">
            <w:pPr>
              <w:rPr>
                <w:rFonts w:ascii="Arial" w:eastAsia="Calibri" w:hAnsi="Arial" w:cs="Arial"/>
                <w:sz w:val="16"/>
                <w:szCs w:val="16"/>
              </w:rPr>
            </w:pPr>
          </w:p>
        </w:tc>
        <w:tc>
          <w:tcPr>
            <w:tcW w:w="2336" w:type="dxa"/>
            <w:noWrap/>
            <w:hideMark/>
          </w:tcPr>
          <w:p w14:paraId="4F3D42AB" w14:textId="77777777" w:rsidR="00CD6352" w:rsidRPr="00EA7665" w:rsidRDefault="00CD6352" w:rsidP="00CD6352">
            <w:pPr>
              <w:rPr>
                <w:rFonts w:ascii="Arial" w:eastAsia="Calibri" w:hAnsi="Arial" w:cs="Arial"/>
                <w:sz w:val="16"/>
                <w:szCs w:val="16"/>
              </w:rPr>
            </w:pPr>
          </w:p>
        </w:tc>
        <w:tc>
          <w:tcPr>
            <w:tcW w:w="1984" w:type="dxa"/>
            <w:hideMark/>
          </w:tcPr>
          <w:p w14:paraId="7C336CC3" w14:textId="4A83AD62"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Understanding of what lenders look out for in terms of structure, </w:t>
            </w:r>
            <w:r w:rsidRPr="00EA7665">
              <w:rPr>
                <w:rFonts w:ascii="Arial" w:eastAsia="Calibri" w:hAnsi="Arial" w:cs="Arial"/>
                <w:sz w:val="16"/>
                <w:szCs w:val="16"/>
              </w:rPr>
              <w:lastRenderedPageBreak/>
              <w:t>security, pricing &amp; coven</w:t>
            </w:r>
            <w:r>
              <w:rPr>
                <w:rFonts w:ascii="Arial" w:eastAsia="Calibri" w:hAnsi="Arial" w:cs="Arial"/>
                <w:sz w:val="16"/>
                <w:szCs w:val="16"/>
              </w:rPr>
              <w:t>ants</w:t>
            </w:r>
          </w:p>
        </w:tc>
      </w:tr>
      <w:tr w:rsidR="00CD6352" w:rsidRPr="00EA7665" w14:paraId="36DD47C8" w14:textId="77777777" w:rsidTr="00CD6352">
        <w:trPr>
          <w:trHeight w:val="690"/>
        </w:trPr>
        <w:tc>
          <w:tcPr>
            <w:tcW w:w="1398" w:type="dxa"/>
            <w:noWrap/>
            <w:hideMark/>
          </w:tcPr>
          <w:p w14:paraId="4EF981AB"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lastRenderedPageBreak/>
              <w:t> </w:t>
            </w:r>
          </w:p>
        </w:tc>
        <w:tc>
          <w:tcPr>
            <w:tcW w:w="2112" w:type="dxa"/>
            <w:hideMark/>
          </w:tcPr>
          <w:p w14:paraId="54F05BA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Rolodex (networking) and modelling for Joint venture deals</w:t>
            </w:r>
          </w:p>
        </w:tc>
        <w:tc>
          <w:tcPr>
            <w:tcW w:w="1350" w:type="dxa"/>
            <w:noWrap/>
            <w:hideMark/>
          </w:tcPr>
          <w:p w14:paraId="23FA04E5" w14:textId="77777777" w:rsidR="00CD6352" w:rsidRPr="00EA7665" w:rsidRDefault="00CD6352" w:rsidP="00CD6352">
            <w:pPr>
              <w:rPr>
                <w:rFonts w:ascii="Arial" w:eastAsia="Calibri" w:hAnsi="Arial" w:cs="Arial"/>
                <w:sz w:val="16"/>
                <w:szCs w:val="16"/>
              </w:rPr>
            </w:pPr>
          </w:p>
        </w:tc>
        <w:tc>
          <w:tcPr>
            <w:tcW w:w="2336" w:type="dxa"/>
            <w:noWrap/>
            <w:hideMark/>
          </w:tcPr>
          <w:p w14:paraId="499A8122" w14:textId="77777777" w:rsidR="00CD6352" w:rsidRPr="00EA7665" w:rsidRDefault="00CD6352" w:rsidP="00CD6352">
            <w:pPr>
              <w:rPr>
                <w:rFonts w:ascii="Arial" w:eastAsia="Calibri" w:hAnsi="Arial" w:cs="Arial"/>
                <w:sz w:val="16"/>
                <w:szCs w:val="16"/>
              </w:rPr>
            </w:pPr>
          </w:p>
        </w:tc>
        <w:tc>
          <w:tcPr>
            <w:tcW w:w="1984" w:type="dxa"/>
            <w:hideMark/>
          </w:tcPr>
          <w:p w14:paraId="4758DB2E" w14:textId="389F6178"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Understanding </w:t>
            </w:r>
            <w:r w:rsidR="00AC19A9">
              <w:rPr>
                <w:rFonts w:ascii="Arial" w:eastAsia="Calibri" w:hAnsi="Arial" w:cs="Arial"/>
                <w:sz w:val="16"/>
                <w:szCs w:val="16"/>
              </w:rPr>
              <w:t xml:space="preserve">the </w:t>
            </w:r>
            <w:r w:rsidRPr="00EA7665">
              <w:rPr>
                <w:rFonts w:ascii="Arial" w:eastAsia="Calibri" w:hAnsi="Arial" w:cs="Arial"/>
                <w:sz w:val="16"/>
                <w:szCs w:val="16"/>
              </w:rPr>
              <w:t>requirements of financiers for different classes of assets</w:t>
            </w:r>
          </w:p>
        </w:tc>
      </w:tr>
      <w:tr w:rsidR="00CD6352" w:rsidRPr="00EA7665" w14:paraId="77755F1E" w14:textId="77777777" w:rsidTr="00CD6352">
        <w:trPr>
          <w:trHeight w:val="465"/>
        </w:trPr>
        <w:tc>
          <w:tcPr>
            <w:tcW w:w="1398" w:type="dxa"/>
            <w:noWrap/>
            <w:hideMark/>
          </w:tcPr>
          <w:p w14:paraId="621795DA"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3DDCB000"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Sales / Marketing skills</w:t>
            </w:r>
          </w:p>
        </w:tc>
        <w:tc>
          <w:tcPr>
            <w:tcW w:w="1350" w:type="dxa"/>
            <w:noWrap/>
            <w:hideMark/>
          </w:tcPr>
          <w:p w14:paraId="5658C7BD" w14:textId="77777777" w:rsidR="00CD6352" w:rsidRPr="00EA7665" w:rsidRDefault="00CD6352" w:rsidP="00CD6352">
            <w:pPr>
              <w:rPr>
                <w:rFonts w:ascii="Arial" w:eastAsia="Calibri" w:hAnsi="Arial" w:cs="Arial"/>
                <w:sz w:val="16"/>
                <w:szCs w:val="16"/>
              </w:rPr>
            </w:pPr>
          </w:p>
        </w:tc>
        <w:tc>
          <w:tcPr>
            <w:tcW w:w="2336" w:type="dxa"/>
            <w:noWrap/>
            <w:hideMark/>
          </w:tcPr>
          <w:p w14:paraId="26F39266" w14:textId="77777777" w:rsidR="00CD6352" w:rsidRPr="00EA7665" w:rsidRDefault="00CD6352" w:rsidP="00CD6352">
            <w:pPr>
              <w:rPr>
                <w:rFonts w:ascii="Arial" w:eastAsia="Calibri" w:hAnsi="Arial" w:cs="Arial"/>
                <w:sz w:val="16"/>
                <w:szCs w:val="16"/>
              </w:rPr>
            </w:pPr>
          </w:p>
        </w:tc>
        <w:tc>
          <w:tcPr>
            <w:tcW w:w="1984" w:type="dxa"/>
            <w:hideMark/>
          </w:tcPr>
          <w:p w14:paraId="69442CB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the risk banks are willing to take</w:t>
            </w:r>
          </w:p>
        </w:tc>
      </w:tr>
      <w:tr w:rsidR="00CD6352" w:rsidRPr="00EA7665" w14:paraId="19B614A9" w14:textId="77777777" w:rsidTr="00CD6352">
        <w:trPr>
          <w:trHeight w:val="465"/>
        </w:trPr>
        <w:tc>
          <w:tcPr>
            <w:tcW w:w="1398" w:type="dxa"/>
            <w:noWrap/>
            <w:hideMark/>
          </w:tcPr>
          <w:p w14:paraId="6CCF09E4"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5DBB63BE"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Skills at accessing property buyers &amp; investors</w:t>
            </w:r>
          </w:p>
        </w:tc>
        <w:tc>
          <w:tcPr>
            <w:tcW w:w="1350" w:type="dxa"/>
            <w:noWrap/>
            <w:hideMark/>
          </w:tcPr>
          <w:p w14:paraId="78EE49DC" w14:textId="77777777" w:rsidR="00CD6352" w:rsidRPr="00EA7665" w:rsidRDefault="00CD6352" w:rsidP="00CD6352">
            <w:pPr>
              <w:rPr>
                <w:rFonts w:ascii="Arial" w:eastAsia="Calibri" w:hAnsi="Arial" w:cs="Arial"/>
                <w:sz w:val="16"/>
                <w:szCs w:val="16"/>
              </w:rPr>
            </w:pPr>
          </w:p>
        </w:tc>
        <w:tc>
          <w:tcPr>
            <w:tcW w:w="2336" w:type="dxa"/>
            <w:noWrap/>
            <w:hideMark/>
          </w:tcPr>
          <w:p w14:paraId="689474F4" w14:textId="77777777" w:rsidR="00CD6352" w:rsidRPr="00EA7665" w:rsidRDefault="00CD6352" w:rsidP="00CD6352">
            <w:pPr>
              <w:rPr>
                <w:rFonts w:ascii="Arial" w:eastAsia="Calibri" w:hAnsi="Arial" w:cs="Arial"/>
                <w:sz w:val="16"/>
                <w:szCs w:val="16"/>
              </w:rPr>
            </w:pPr>
          </w:p>
        </w:tc>
        <w:tc>
          <w:tcPr>
            <w:tcW w:w="1984" w:type="dxa"/>
            <w:noWrap/>
            <w:hideMark/>
          </w:tcPr>
          <w:p w14:paraId="2257B48C"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r w:rsidR="00CD6352" w:rsidRPr="00EA7665" w14:paraId="13B1F76F" w14:textId="77777777" w:rsidTr="00CD6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98" w:type="dxa"/>
            <w:tcBorders>
              <w:top w:val="nil"/>
              <w:left w:val="nil"/>
              <w:bottom w:val="nil"/>
              <w:right w:val="nil"/>
            </w:tcBorders>
            <w:noWrap/>
            <w:hideMark/>
          </w:tcPr>
          <w:p w14:paraId="79435AE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tcBorders>
              <w:top w:val="nil"/>
              <w:left w:val="nil"/>
              <w:bottom w:val="nil"/>
              <w:right w:val="nil"/>
            </w:tcBorders>
            <w:noWrap/>
            <w:hideMark/>
          </w:tcPr>
          <w:p w14:paraId="2803430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Specialised industry skills</w:t>
            </w:r>
          </w:p>
        </w:tc>
        <w:tc>
          <w:tcPr>
            <w:tcW w:w="1350" w:type="dxa"/>
            <w:tcBorders>
              <w:top w:val="nil"/>
              <w:left w:val="nil"/>
              <w:bottom w:val="nil"/>
              <w:right w:val="nil"/>
            </w:tcBorders>
            <w:noWrap/>
            <w:hideMark/>
          </w:tcPr>
          <w:p w14:paraId="202E7D91" w14:textId="77777777" w:rsidR="00CD6352" w:rsidRPr="00EA7665" w:rsidRDefault="00CD6352" w:rsidP="00CD6352">
            <w:pPr>
              <w:rPr>
                <w:rFonts w:ascii="Arial" w:eastAsia="Calibri" w:hAnsi="Arial" w:cs="Arial"/>
                <w:sz w:val="16"/>
                <w:szCs w:val="16"/>
              </w:rPr>
            </w:pPr>
          </w:p>
        </w:tc>
        <w:tc>
          <w:tcPr>
            <w:tcW w:w="2336" w:type="dxa"/>
            <w:tcBorders>
              <w:top w:val="nil"/>
              <w:left w:val="nil"/>
              <w:bottom w:val="nil"/>
              <w:right w:val="nil"/>
            </w:tcBorders>
            <w:noWrap/>
            <w:hideMark/>
          </w:tcPr>
          <w:p w14:paraId="3293F559" w14:textId="77777777" w:rsidR="00CD6352" w:rsidRPr="00EA7665" w:rsidRDefault="00CD6352" w:rsidP="00CD6352">
            <w:pPr>
              <w:rPr>
                <w:rFonts w:ascii="Arial" w:eastAsia="Calibri" w:hAnsi="Arial" w:cs="Arial"/>
                <w:sz w:val="16"/>
                <w:szCs w:val="16"/>
              </w:rPr>
            </w:pPr>
          </w:p>
        </w:tc>
        <w:tc>
          <w:tcPr>
            <w:tcW w:w="1984" w:type="dxa"/>
            <w:tcBorders>
              <w:top w:val="nil"/>
              <w:left w:val="nil"/>
              <w:bottom w:val="nil"/>
              <w:right w:val="nil"/>
            </w:tcBorders>
            <w:noWrap/>
            <w:hideMark/>
          </w:tcPr>
          <w:p w14:paraId="713830B8"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r w:rsidR="00CD6352" w:rsidRPr="00EA7665" w14:paraId="48A1265E" w14:textId="77777777" w:rsidTr="00CD6352">
        <w:trPr>
          <w:trHeight w:val="300"/>
        </w:trPr>
        <w:tc>
          <w:tcPr>
            <w:tcW w:w="1398" w:type="dxa"/>
            <w:noWrap/>
            <w:hideMark/>
          </w:tcPr>
          <w:p w14:paraId="2D6E2914"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762AB03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xml:space="preserve">Supervision and control </w:t>
            </w:r>
          </w:p>
        </w:tc>
        <w:tc>
          <w:tcPr>
            <w:tcW w:w="1350" w:type="dxa"/>
            <w:noWrap/>
            <w:hideMark/>
          </w:tcPr>
          <w:p w14:paraId="5EB81B67" w14:textId="77777777" w:rsidR="00CD6352" w:rsidRPr="00EA7665" w:rsidRDefault="00CD6352" w:rsidP="00CD6352">
            <w:pPr>
              <w:rPr>
                <w:rFonts w:ascii="Arial" w:eastAsia="Calibri" w:hAnsi="Arial" w:cs="Arial"/>
                <w:sz w:val="16"/>
                <w:szCs w:val="16"/>
              </w:rPr>
            </w:pPr>
          </w:p>
        </w:tc>
        <w:tc>
          <w:tcPr>
            <w:tcW w:w="2336" w:type="dxa"/>
            <w:noWrap/>
            <w:hideMark/>
          </w:tcPr>
          <w:p w14:paraId="58003960" w14:textId="77777777" w:rsidR="00CD6352" w:rsidRPr="00EA7665" w:rsidRDefault="00CD6352" w:rsidP="00CD6352">
            <w:pPr>
              <w:rPr>
                <w:rFonts w:ascii="Arial" w:eastAsia="Calibri" w:hAnsi="Arial" w:cs="Arial"/>
                <w:sz w:val="16"/>
                <w:szCs w:val="16"/>
              </w:rPr>
            </w:pPr>
          </w:p>
        </w:tc>
        <w:tc>
          <w:tcPr>
            <w:tcW w:w="1984" w:type="dxa"/>
            <w:noWrap/>
            <w:hideMark/>
          </w:tcPr>
          <w:p w14:paraId="1BA5F47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r w:rsidR="00CD6352" w:rsidRPr="00EA7665" w14:paraId="57E87892" w14:textId="77777777" w:rsidTr="00CD6352">
        <w:trPr>
          <w:trHeight w:val="300"/>
        </w:trPr>
        <w:tc>
          <w:tcPr>
            <w:tcW w:w="1398" w:type="dxa"/>
            <w:noWrap/>
            <w:hideMark/>
          </w:tcPr>
          <w:p w14:paraId="6949BE82"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4D1E83A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TIS mapping &amp; prop-tech mapping</w:t>
            </w:r>
          </w:p>
        </w:tc>
        <w:tc>
          <w:tcPr>
            <w:tcW w:w="1350" w:type="dxa"/>
            <w:noWrap/>
            <w:hideMark/>
          </w:tcPr>
          <w:p w14:paraId="26AE66C1" w14:textId="77777777" w:rsidR="00CD6352" w:rsidRPr="00EA7665" w:rsidRDefault="00CD6352" w:rsidP="00CD6352">
            <w:pPr>
              <w:rPr>
                <w:rFonts w:ascii="Arial" w:eastAsia="Calibri" w:hAnsi="Arial" w:cs="Arial"/>
                <w:sz w:val="16"/>
                <w:szCs w:val="16"/>
              </w:rPr>
            </w:pPr>
          </w:p>
        </w:tc>
        <w:tc>
          <w:tcPr>
            <w:tcW w:w="2336" w:type="dxa"/>
            <w:noWrap/>
            <w:hideMark/>
          </w:tcPr>
          <w:p w14:paraId="0BA8CAF7" w14:textId="77777777" w:rsidR="00CD6352" w:rsidRPr="00EA7665" w:rsidRDefault="00CD6352" w:rsidP="00CD6352">
            <w:pPr>
              <w:rPr>
                <w:rFonts w:ascii="Arial" w:eastAsia="Calibri" w:hAnsi="Arial" w:cs="Arial"/>
                <w:sz w:val="16"/>
                <w:szCs w:val="16"/>
              </w:rPr>
            </w:pPr>
          </w:p>
        </w:tc>
        <w:tc>
          <w:tcPr>
            <w:tcW w:w="1984" w:type="dxa"/>
            <w:noWrap/>
            <w:hideMark/>
          </w:tcPr>
          <w:p w14:paraId="657F18D4"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r w:rsidR="00CD6352" w:rsidRPr="00EA7665" w14:paraId="06563924" w14:textId="77777777" w:rsidTr="00CD6352">
        <w:trPr>
          <w:trHeight w:val="300"/>
        </w:trPr>
        <w:tc>
          <w:tcPr>
            <w:tcW w:w="1398" w:type="dxa"/>
            <w:noWrap/>
            <w:hideMark/>
          </w:tcPr>
          <w:p w14:paraId="0C66670A"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4F8B909F"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Town planning skills</w:t>
            </w:r>
          </w:p>
        </w:tc>
        <w:tc>
          <w:tcPr>
            <w:tcW w:w="1350" w:type="dxa"/>
            <w:noWrap/>
            <w:hideMark/>
          </w:tcPr>
          <w:p w14:paraId="38380120" w14:textId="77777777" w:rsidR="00CD6352" w:rsidRPr="00EA7665" w:rsidRDefault="00CD6352" w:rsidP="00CD6352">
            <w:pPr>
              <w:rPr>
                <w:rFonts w:ascii="Arial" w:eastAsia="Calibri" w:hAnsi="Arial" w:cs="Arial"/>
                <w:sz w:val="16"/>
                <w:szCs w:val="16"/>
              </w:rPr>
            </w:pPr>
          </w:p>
        </w:tc>
        <w:tc>
          <w:tcPr>
            <w:tcW w:w="2336" w:type="dxa"/>
            <w:noWrap/>
            <w:hideMark/>
          </w:tcPr>
          <w:p w14:paraId="578FE88A" w14:textId="77777777" w:rsidR="00CD6352" w:rsidRPr="00EA7665" w:rsidRDefault="00CD6352" w:rsidP="00CD6352">
            <w:pPr>
              <w:rPr>
                <w:rFonts w:ascii="Arial" w:eastAsia="Calibri" w:hAnsi="Arial" w:cs="Arial"/>
                <w:sz w:val="16"/>
                <w:szCs w:val="16"/>
              </w:rPr>
            </w:pPr>
          </w:p>
        </w:tc>
        <w:tc>
          <w:tcPr>
            <w:tcW w:w="1984" w:type="dxa"/>
            <w:noWrap/>
            <w:hideMark/>
          </w:tcPr>
          <w:p w14:paraId="46D8CDA6"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r w:rsidR="00CD6352" w:rsidRPr="00EA7665" w14:paraId="5881235D" w14:textId="77777777" w:rsidTr="00CD6352">
        <w:trPr>
          <w:trHeight w:val="465"/>
        </w:trPr>
        <w:tc>
          <w:tcPr>
            <w:tcW w:w="1398" w:type="dxa"/>
            <w:noWrap/>
            <w:hideMark/>
          </w:tcPr>
          <w:p w14:paraId="34DAD9C5"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hideMark/>
          </w:tcPr>
          <w:p w14:paraId="4AE11D2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of regulatory framework</w:t>
            </w:r>
          </w:p>
        </w:tc>
        <w:tc>
          <w:tcPr>
            <w:tcW w:w="1350" w:type="dxa"/>
            <w:noWrap/>
            <w:hideMark/>
          </w:tcPr>
          <w:p w14:paraId="3929338B" w14:textId="77777777" w:rsidR="00CD6352" w:rsidRPr="00EA7665" w:rsidRDefault="00CD6352" w:rsidP="00CD6352">
            <w:pPr>
              <w:rPr>
                <w:rFonts w:ascii="Arial" w:eastAsia="Calibri" w:hAnsi="Arial" w:cs="Arial"/>
                <w:sz w:val="16"/>
                <w:szCs w:val="16"/>
              </w:rPr>
            </w:pPr>
          </w:p>
        </w:tc>
        <w:tc>
          <w:tcPr>
            <w:tcW w:w="2336" w:type="dxa"/>
            <w:noWrap/>
            <w:hideMark/>
          </w:tcPr>
          <w:p w14:paraId="7CAB406C" w14:textId="77777777" w:rsidR="00CD6352" w:rsidRPr="00EA7665" w:rsidRDefault="00CD6352" w:rsidP="00CD6352">
            <w:pPr>
              <w:rPr>
                <w:rFonts w:ascii="Arial" w:eastAsia="Calibri" w:hAnsi="Arial" w:cs="Arial"/>
                <w:sz w:val="16"/>
                <w:szCs w:val="16"/>
              </w:rPr>
            </w:pPr>
          </w:p>
        </w:tc>
        <w:tc>
          <w:tcPr>
            <w:tcW w:w="1984" w:type="dxa"/>
            <w:noWrap/>
            <w:hideMark/>
          </w:tcPr>
          <w:p w14:paraId="50D362C6"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r w:rsidR="00CD6352" w:rsidRPr="00EA7665" w14:paraId="4EC88A1A" w14:textId="77777777" w:rsidTr="00CD6352">
        <w:trPr>
          <w:trHeight w:val="465"/>
        </w:trPr>
        <w:tc>
          <w:tcPr>
            <w:tcW w:w="1398" w:type="dxa"/>
            <w:tcBorders>
              <w:bottom w:val="single" w:sz="4" w:space="0" w:color="auto"/>
            </w:tcBorders>
            <w:noWrap/>
            <w:hideMark/>
          </w:tcPr>
          <w:p w14:paraId="6D369407"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112" w:type="dxa"/>
            <w:tcBorders>
              <w:bottom w:val="single" w:sz="4" w:space="0" w:color="auto"/>
            </w:tcBorders>
            <w:hideMark/>
          </w:tcPr>
          <w:p w14:paraId="61D9CA4D"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Understanding of the project to be developed</w:t>
            </w:r>
          </w:p>
        </w:tc>
        <w:tc>
          <w:tcPr>
            <w:tcW w:w="1350" w:type="dxa"/>
            <w:tcBorders>
              <w:bottom w:val="single" w:sz="4" w:space="0" w:color="auto"/>
            </w:tcBorders>
            <w:noWrap/>
            <w:hideMark/>
          </w:tcPr>
          <w:p w14:paraId="7B32CC41"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2336" w:type="dxa"/>
            <w:tcBorders>
              <w:bottom w:val="single" w:sz="4" w:space="0" w:color="auto"/>
            </w:tcBorders>
            <w:noWrap/>
            <w:hideMark/>
          </w:tcPr>
          <w:p w14:paraId="66D2C31C"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c>
          <w:tcPr>
            <w:tcW w:w="1984" w:type="dxa"/>
            <w:tcBorders>
              <w:bottom w:val="single" w:sz="4" w:space="0" w:color="auto"/>
            </w:tcBorders>
            <w:noWrap/>
            <w:hideMark/>
          </w:tcPr>
          <w:p w14:paraId="3E93FFC9" w14:textId="77777777" w:rsidR="00CD6352" w:rsidRPr="00EA7665" w:rsidRDefault="00CD6352" w:rsidP="00CD6352">
            <w:pPr>
              <w:rPr>
                <w:rFonts w:ascii="Arial" w:eastAsia="Calibri" w:hAnsi="Arial" w:cs="Arial"/>
                <w:sz w:val="16"/>
                <w:szCs w:val="16"/>
              </w:rPr>
            </w:pPr>
            <w:r w:rsidRPr="00EA7665">
              <w:rPr>
                <w:rFonts w:ascii="Arial" w:eastAsia="Calibri" w:hAnsi="Arial" w:cs="Arial"/>
                <w:sz w:val="16"/>
                <w:szCs w:val="16"/>
              </w:rPr>
              <w:t> </w:t>
            </w:r>
          </w:p>
        </w:tc>
      </w:tr>
    </w:tbl>
    <w:p w14:paraId="7E32D274" w14:textId="4E243F2B" w:rsidR="00E61E0E" w:rsidRPr="00EA7665" w:rsidRDefault="00CD6352" w:rsidP="00CD6352">
      <w:pPr>
        <w:spacing w:before="240" w:line="360" w:lineRule="auto"/>
        <w:jc w:val="both"/>
        <w:rPr>
          <w:rFonts w:ascii="Arial" w:hAnsi="Arial" w:cs="Arial"/>
        </w:rPr>
      </w:pPr>
      <w:r w:rsidRPr="00EA7665">
        <w:rPr>
          <w:rFonts w:ascii="Arial" w:hAnsi="Arial" w:cs="Arial"/>
        </w:rPr>
        <w:t xml:space="preserve">The interplay of human, technical, conceptual, </w:t>
      </w:r>
      <w:r w:rsidR="000D4C29" w:rsidRPr="00EA7665">
        <w:rPr>
          <w:rFonts w:ascii="Arial" w:hAnsi="Arial" w:cs="Arial"/>
        </w:rPr>
        <w:t>political,</w:t>
      </w:r>
      <w:r w:rsidRPr="00EA7665">
        <w:rPr>
          <w:rFonts w:ascii="Arial" w:hAnsi="Arial" w:cs="Arial"/>
        </w:rPr>
        <w:t xml:space="preserve"> and financial management </w:t>
      </w:r>
      <w:r w:rsidR="00771EE5" w:rsidRPr="00EA7665">
        <w:rPr>
          <w:rFonts w:ascii="Arial" w:hAnsi="Arial" w:cs="Arial"/>
        </w:rPr>
        <w:t>skills</w:t>
      </w:r>
      <w:r w:rsidRPr="00EA7665">
        <w:rPr>
          <w:rFonts w:ascii="Arial" w:hAnsi="Arial" w:cs="Arial"/>
        </w:rPr>
        <w:t xml:space="preserve"> is essential for the real estate manager to secure finance for project development based on the findings. This management skills framework for securing finance for real estate project development is a conceptual model which forms part of the tool kit for securing finance for real estate project development </w:t>
      </w:r>
      <w:r w:rsidR="008E13D0" w:rsidRPr="00EA7665">
        <w:rPr>
          <w:rFonts w:ascii="Arial" w:hAnsi="Arial" w:cs="Arial"/>
        </w:rPr>
        <w:t>(see</w:t>
      </w:r>
      <w:r w:rsidRPr="00EA7665">
        <w:rPr>
          <w:rFonts w:ascii="Arial" w:hAnsi="Arial" w:cs="Arial"/>
        </w:rPr>
        <w:t xml:space="preserve"> chapter </w:t>
      </w:r>
      <w:r w:rsidR="000D4C29">
        <w:rPr>
          <w:rFonts w:ascii="Arial" w:hAnsi="Arial" w:cs="Arial"/>
        </w:rPr>
        <w:t>10</w:t>
      </w:r>
      <w:r w:rsidRPr="00EA7665">
        <w:rPr>
          <w:rFonts w:ascii="Arial" w:hAnsi="Arial" w:cs="Arial"/>
        </w:rPr>
        <w:t>).</w:t>
      </w:r>
      <w:bookmarkEnd w:id="1332"/>
      <w:r w:rsidR="00E61E0E">
        <w:rPr>
          <w:rFonts w:ascii="Arial" w:hAnsi="Arial" w:cs="Arial"/>
        </w:rPr>
        <w:t xml:space="preserve"> It is recommended that managers in both the developed and emerging economies use the inventory of skills </w:t>
      </w:r>
      <w:r w:rsidR="00C7024A">
        <w:rPr>
          <w:rFonts w:ascii="Arial" w:hAnsi="Arial" w:cs="Arial"/>
        </w:rPr>
        <w:t xml:space="preserve">to </w:t>
      </w:r>
      <w:r w:rsidR="0073595D">
        <w:rPr>
          <w:rFonts w:ascii="Arial" w:hAnsi="Arial" w:cs="Arial"/>
        </w:rPr>
        <w:t>build</w:t>
      </w:r>
      <w:r w:rsidR="00E61E0E">
        <w:rPr>
          <w:rFonts w:ascii="Arial" w:hAnsi="Arial" w:cs="Arial"/>
        </w:rPr>
        <w:t xml:space="preserve"> their skills sets to enable them better access to finance for real estate project development.</w:t>
      </w:r>
    </w:p>
    <w:p w14:paraId="0DF98896" w14:textId="77777777" w:rsidR="00CD6352" w:rsidRPr="00EA7665" w:rsidRDefault="00CD6352" w:rsidP="00CD6352">
      <w:pPr>
        <w:spacing w:before="240" w:line="360" w:lineRule="auto"/>
        <w:jc w:val="both"/>
        <w:rPr>
          <w:rFonts w:ascii="Arial" w:hAnsi="Arial" w:cs="Arial"/>
        </w:rPr>
      </w:pPr>
    </w:p>
    <w:p w14:paraId="38F99FEF" w14:textId="5550340D" w:rsidR="00CD6352" w:rsidRPr="00EA7665" w:rsidRDefault="00CD6352" w:rsidP="00CD6352">
      <w:pPr>
        <w:pStyle w:val="Heading2"/>
        <w:spacing w:after="240"/>
      </w:pPr>
      <w:bookmarkStart w:id="1334" w:name="_Toc78983900"/>
      <w:r w:rsidRPr="00EA7665">
        <w:t>Manag</w:t>
      </w:r>
      <w:r>
        <w:t>ement</w:t>
      </w:r>
      <w:r w:rsidRPr="00EA7665">
        <w:t xml:space="preserve">’s knowledge for securing finance for real estate project </w:t>
      </w:r>
      <w:r w:rsidR="00B10003" w:rsidRPr="00EA7665">
        <w:t>development.</w:t>
      </w:r>
      <w:bookmarkEnd w:id="1334"/>
      <w:r w:rsidRPr="00EA7665">
        <w:t xml:space="preserve"> </w:t>
      </w:r>
    </w:p>
    <w:p w14:paraId="5B796B90" w14:textId="4B11F13D" w:rsidR="00CD6352" w:rsidRPr="00EA7665" w:rsidRDefault="00CD6352" w:rsidP="00CD6352">
      <w:pPr>
        <w:spacing w:line="360" w:lineRule="auto"/>
        <w:jc w:val="both"/>
        <w:rPr>
          <w:rFonts w:ascii="Arial" w:hAnsi="Arial" w:cs="Arial"/>
        </w:rPr>
      </w:pPr>
      <w:r w:rsidRPr="00AC21EB">
        <w:rPr>
          <w:rFonts w:ascii="Arial" w:hAnsi="Arial" w:cs="Arial"/>
        </w:rPr>
        <w:t xml:space="preserve">A list of 17 management </w:t>
      </w:r>
      <w:r w:rsidR="00B14FCD" w:rsidRPr="00AC21EB">
        <w:rPr>
          <w:rFonts w:ascii="Arial" w:hAnsi="Arial" w:cs="Arial"/>
        </w:rPr>
        <w:t>knowledge</w:t>
      </w:r>
      <w:r w:rsidR="00B14FCD">
        <w:rPr>
          <w:rFonts w:ascii="Arial" w:hAnsi="Arial" w:cs="Arial"/>
        </w:rPr>
        <w:t xml:space="preserve"> </w:t>
      </w:r>
      <w:r w:rsidR="00B14FCD" w:rsidRPr="00AC21EB">
        <w:rPr>
          <w:rFonts w:ascii="Arial" w:hAnsi="Arial" w:cs="Arial"/>
        </w:rPr>
        <w:t>associated</w:t>
      </w:r>
      <w:r w:rsidRPr="00AC21EB">
        <w:rPr>
          <w:rFonts w:ascii="Arial" w:hAnsi="Arial" w:cs="Arial"/>
        </w:rPr>
        <w:t xml:space="preserve"> with finance was presented based on a review of the literature (See chapter 3.</w:t>
      </w:r>
      <w:r w:rsidR="00B14FCD">
        <w:rPr>
          <w:rFonts w:ascii="Arial" w:hAnsi="Arial" w:cs="Arial"/>
        </w:rPr>
        <w:t>8</w:t>
      </w:r>
      <w:r w:rsidRPr="00AC21EB">
        <w:rPr>
          <w:rFonts w:ascii="Arial" w:hAnsi="Arial" w:cs="Arial"/>
        </w:rPr>
        <w:t>). Respondents were requested to indicate the degree of importance for securing finance for real estate project development</w:t>
      </w:r>
      <w:r w:rsidR="00184AA5">
        <w:rPr>
          <w:rFonts w:ascii="Arial" w:hAnsi="Arial" w:cs="Arial"/>
        </w:rPr>
        <w:t>,</w:t>
      </w:r>
      <w:r w:rsidRPr="00AC21EB">
        <w:rPr>
          <w:rFonts w:ascii="Arial" w:hAnsi="Arial" w:cs="Arial"/>
        </w:rPr>
        <w:t xml:space="preserve"> the need for training and</w:t>
      </w:r>
      <w:r w:rsidRPr="00EA7665">
        <w:rPr>
          <w:rFonts w:ascii="Arial" w:hAnsi="Arial" w:cs="Arial"/>
        </w:rPr>
        <w:t xml:space="preserve"> education for the present</w:t>
      </w:r>
      <w:r w:rsidR="00C7024A">
        <w:rPr>
          <w:rFonts w:ascii="Arial" w:hAnsi="Arial" w:cs="Arial"/>
        </w:rPr>
        <w:t>,</w:t>
      </w:r>
      <w:r w:rsidRPr="00EA7665">
        <w:rPr>
          <w:rFonts w:ascii="Arial" w:hAnsi="Arial" w:cs="Arial"/>
        </w:rPr>
        <w:t xml:space="preserve"> and the need for training and education for the next five (5) years. </w:t>
      </w:r>
    </w:p>
    <w:p w14:paraId="5C20680D" w14:textId="77777777" w:rsidR="00CD6352" w:rsidRPr="00EA7665" w:rsidRDefault="00CD6352" w:rsidP="00CD6352">
      <w:pPr>
        <w:spacing w:line="360" w:lineRule="auto"/>
        <w:jc w:val="both"/>
        <w:rPr>
          <w:rFonts w:ascii="Arial" w:hAnsi="Arial" w:cs="Arial"/>
        </w:rPr>
      </w:pPr>
      <w:r w:rsidRPr="00EA7665">
        <w:rPr>
          <w:rFonts w:ascii="Arial" w:hAnsi="Arial" w:cs="Arial"/>
        </w:rPr>
        <w:t>The statistical analysis used SPSS 21, and it was discussed in two major parts:</w:t>
      </w:r>
    </w:p>
    <w:p w14:paraId="62449469" w14:textId="3695DB98" w:rsidR="00CD6352" w:rsidRPr="00EA7665" w:rsidRDefault="00CD6352" w:rsidP="007625E7">
      <w:pPr>
        <w:pStyle w:val="ListParagraph"/>
        <w:numPr>
          <w:ilvl w:val="0"/>
          <w:numId w:val="386"/>
        </w:numPr>
        <w:spacing w:line="360" w:lineRule="auto"/>
        <w:jc w:val="both"/>
        <w:rPr>
          <w:rFonts w:ascii="Arial" w:hAnsi="Arial" w:cs="Arial"/>
        </w:rPr>
      </w:pPr>
      <w:r w:rsidRPr="00EA7665">
        <w:rPr>
          <w:rFonts w:ascii="Arial" w:hAnsi="Arial" w:cs="Arial"/>
        </w:rPr>
        <w:t>The aggregate level discussed the percentage usage</w:t>
      </w:r>
      <w:r w:rsidR="00B10003">
        <w:rPr>
          <w:rFonts w:ascii="Arial" w:hAnsi="Arial" w:cs="Arial"/>
        </w:rPr>
        <w:t xml:space="preserve"> and mean scores </w:t>
      </w:r>
      <w:r w:rsidRPr="00EA7665">
        <w:rPr>
          <w:rFonts w:ascii="Arial" w:hAnsi="Arial" w:cs="Arial"/>
        </w:rPr>
        <w:t xml:space="preserve">of the different management </w:t>
      </w:r>
      <w:r w:rsidR="00B80F78" w:rsidRPr="00EA7665">
        <w:rPr>
          <w:rFonts w:ascii="Arial" w:hAnsi="Arial" w:cs="Arial"/>
        </w:rPr>
        <w:t>knowledge</w:t>
      </w:r>
      <w:r w:rsidR="00B80F78">
        <w:rPr>
          <w:rFonts w:ascii="Arial" w:hAnsi="Arial" w:cs="Arial"/>
        </w:rPr>
        <w:t xml:space="preserve"> </w:t>
      </w:r>
      <w:r w:rsidR="00B80F78" w:rsidRPr="00EA7665">
        <w:rPr>
          <w:rFonts w:ascii="Arial" w:hAnsi="Arial" w:cs="Arial"/>
        </w:rPr>
        <w:t>for</w:t>
      </w:r>
      <w:r w:rsidRPr="00EA7665">
        <w:rPr>
          <w:rFonts w:ascii="Arial" w:hAnsi="Arial" w:cs="Arial"/>
        </w:rPr>
        <w:t xml:space="preserve"> securing finance for real estate project development based on the importance</w:t>
      </w:r>
      <w:r w:rsidR="00184AA5">
        <w:rPr>
          <w:rFonts w:ascii="Arial" w:hAnsi="Arial" w:cs="Arial"/>
        </w:rPr>
        <w:t>,</w:t>
      </w:r>
      <w:r w:rsidRPr="00EA7665">
        <w:rPr>
          <w:rFonts w:ascii="Arial" w:hAnsi="Arial" w:cs="Arial"/>
        </w:rPr>
        <w:t xml:space="preserve"> the need for training for the present and the future.</w:t>
      </w:r>
      <w:r>
        <w:rPr>
          <w:rFonts w:ascii="Arial" w:hAnsi="Arial" w:cs="Arial"/>
        </w:rPr>
        <w:t xml:space="preserve"> </w:t>
      </w:r>
    </w:p>
    <w:p w14:paraId="7BFE6A3D" w14:textId="3566F46C" w:rsidR="00CD6352" w:rsidRPr="00EA7665" w:rsidRDefault="00CD6352" w:rsidP="007625E7">
      <w:pPr>
        <w:pStyle w:val="ListParagraph"/>
        <w:numPr>
          <w:ilvl w:val="0"/>
          <w:numId w:val="386"/>
        </w:numPr>
        <w:spacing w:line="360" w:lineRule="auto"/>
        <w:jc w:val="both"/>
        <w:rPr>
          <w:rFonts w:ascii="Arial" w:hAnsi="Arial" w:cs="Arial"/>
        </w:rPr>
      </w:pPr>
      <w:r w:rsidRPr="00EA7665">
        <w:rPr>
          <w:rFonts w:ascii="Arial" w:hAnsi="Arial" w:cs="Arial"/>
        </w:rPr>
        <w:lastRenderedPageBreak/>
        <w:t>The disaggregate level also discusses the data based on the ranking of the very important knowledge for securing finance</w:t>
      </w:r>
      <w:r w:rsidR="00184AA5">
        <w:rPr>
          <w:rFonts w:ascii="Arial" w:hAnsi="Arial" w:cs="Arial"/>
        </w:rPr>
        <w:t>,</w:t>
      </w:r>
      <w:r w:rsidRPr="00EA7665">
        <w:rPr>
          <w:rFonts w:ascii="Arial" w:hAnsi="Arial" w:cs="Arial"/>
        </w:rPr>
        <w:t xml:space="preserve"> the knowledge for which training and </w:t>
      </w:r>
      <w:r w:rsidR="00B80F78" w:rsidRPr="00EA7665">
        <w:rPr>
          <w:rFonts w:ascii="Arial" w:hAnsi="Arial" w:cs="Arial"/>
        </w:rPr>
        <w:t>education</w:t>
      </w:r>
      <w:r w:rsidRPr="00EA7665">
        <w:rPr>
          <w:rFonts w:ascii="Arial" w:hAnsi="Arial" w:cs="Arial"/>
        </w:rPr>
        <w:t xml:space="preserve"> highly needed for the present and the future for managers in the developed and emerging economies. </w:t>
      </w:r>
    </w:p>
    <w:p w14:paraId="6A3EAE27" w14:textId="4D342BD1" w:rsidR="00CD6352" w:rsidRPr="007625E7" w:rsidRDefault="00CD6352" w:rsidP="007625E7">
      <w:pPr>
        <w:spacing w:line="360" w:lineRule="auto"/>
        <w:jc w:val="both"/>
        <w:rPr>
          <w:rFonts w:ascii="Arial" w:hAnsi="Arial" w:cs="Arial"/>
        </w:rPr>
      </w:pPr>
      <w:r w:rsidRPr="007625E7">
        <w:rPr>
          <w:rFonts w:ascii="Arial" w:hAnsi="Arial" w:cs="Arial"/>
        </w:rPr>
        <w:t xml:space="preserve">The semi-structured interviews were also analysed to explore the different </w:t>
      </w:r>
      <w:r w:rsidR="00B80F78" w:rsidRPr="007625E7">
        <w:rPr>
          <w:rFonts w:ascii="Arial" w:hAnsi="Arial" w:cs="Arial"/>
        </w:rPr>
        <w:t>knowledge used</w:t>
      </w:r>
      <w:r w:rsidRPr="007625E7">
        <w:rPr>
          <w:rFonts w:ascii="Arial" w:hAnsi="Arial" w:cs="Arial"/>
        </w:rPr>
        <w:t xml:space="preserve"> in both the developed and emerging economies for securing finance for real estate project development. </w:t>
      </w:r>
    </w:p>
    <w:p w14:paraId="01AC0216" w14:textId="11D9A732" w:rsidR="00CD6352" w:rsidRPr="00EA7665" w:rsidRDefault="00CD6352" w:rsidP="00CD6352">
      <w:pPr>
        <w:pStyle w:val="Heading3"/>
        <w:spacing w:after="240"/>
        <w:rPr>
          <w:sz w:val="22"/>
          <w:szCs w:val="22"/>
        </w:rPr>
      </w:pPr>
      <w:bookmarkStart w:id="1335" w:name="_Toc78983901"/>
      <w:r w:rsidRPr="00EA7665">
        <w:rPr>
          <w:sz w:val="22"/>
          <w:szCs w:val="22"/>
        </w:rPr>
        <w:t xml:space="preserve">Degree of </w:t>
      </w:r>
      <w:r w:rsidR="00E43EAE">
        <w:rPr>
          <w:sz w:val="22"/>
          <w:szCs w:val="22"/>
        </w:rPr>
        <w:t xml:space="preserve">the </w:t>
      </w:r>
      <w:r w:rsidRPr="00EA7665">
        <w:rPr>
          <w:sz w:val="22"/>
          <w:szCs w:val="22"/>
        </w:rPr>
        <w:t xml:space="preserve">importance of management knowledge for securing finance for real estate project </w:t>
      </w:r>
      <w:r w:rsidR="00DE1A24" w:rsidRPr="00EA7665">
        <w:rPr>
          <w:sz w:val="22"/>
          <w:szCs w:val="22"/>
        </w:rPr>
        <w:t>development.</w:t>
      </w:r>
      <w:bookmarkEnd w:id="1335"/>
    </w:p>
    <w:p w14:paraId="3ED8B965" w14:textId="77777777" w:rsidR="00CD6352" w:rsidRPr="00EA7665" w:rsidRDefault="00CD6352" w:rsidP="00CD6352">
      <w:pPr>
        <w:pStyle w:val="Heading4"/>
        <w:spacing w:after="240"/>
        <w:rPr>
          <w:rFonts w:ascii="Arial" w:hAnsi="Arial" w:cs="Arial"/>
          <w:color w:val="auto"/>
        </w:rPr>
      </w:pPr>
      <w:r w:rsidRPr="00EA7665">
        <w:rPr>
          <w:rFonts w:ascii="Arial" w:hAnsi="Arial" w:cs="Arial"/>
          <w:color w:val="auto"/>
        </w:rPr>
        <w:t>Questionnaire survey discussion and analysis at the aggregate level</w:t>
      </w:r>
    </w:p>
    <w:p w14:paraId="1B4D2266" w14:textId="64F788FE" w:rsidR="00CD6352" w:rsidRDefault="00CD6352" w:rsidP="00CD6352">
      <w:pPr>
        <w:spacing w:line="360" w:lineRule="auto"/>
        <w:jc w:val="both"/>
        <w:rPr>
          <w:rFonts w:ascii="Arial" w:hAnsi="Arial" w:cs="Arial"/>
        </w:rPr>
      </w:pPr>
      <w:r w:rsidRPr="00EA7665">
        <w:rPr>
          <w:rFonts w:ascii="Arial" w:hAnsi="Arial" w:cs="Arial"/>
        </w:rPr>
        <w:t xml:space="preserve">The results relating to the degree of importance </w:t>
      </w:r>
      <w:r>
        <w:rPr>
          <w:rFonts w:ascii="Arial" w:hAnsi="Arial" w:cs="Arial"/>
        </w:rPr>
        <w:t xml:space="preserve">of </w:t>
      </w:r>
      <w:r w:rsidRPr="00EA7665">
        <w:rPr>
          <w:rFonts w:ascii="Arial" w:hAnsi="Arial" w:cs="Arial"/>
        </w:rPr>
        <w:t>knowledge for securing finance for real estate project development is contained in table 8.</w:t>
      </w:r>
      <w:r w:rsidR="001A6B6E">
        <w:rPr>
          <w:rFonts w:ascii="Arial" w:hAnsi="Arial" w:cs="Arial"/>
        </w:rPr>
        <w:t>3.1</w:t>
      </w:r>
      <w:r w:rsidRPr="00EA7665">
        <w:rPr>
          <w:rFonts w:ascii="Arial" w:hAnsi="Arial" w:cs="Arial"/>
        </w:rPr>
        <w:t>. Almost 55% of the survey respo</w:t>
      </w:r>
      <w:r>
        <w:rPr>
          <w:rFonts w:ascii="Arial" w:hAnsi="Arial" w:cs="Arial"/>
        </w:rPr>
        <w:t>ndents</w:t>
      </w:r>
      <w:r w:rsidRPr="00EA7665">
        <w:rPr>
          <w:rFonts w:ascii="Arial" w:hAnsi="Arial" w:cs="Arial"/>
        </w:rPr>
        <w:t xml:space="preserve"> consider funding sources as </w:t>
      </w:r>
      <w:r>
        <w:rPr>
          <w:rFonts w:ascii="Arial" w:hAnsi="Arial" w:cs="Arial"/>
        </w:rPr>
        <w:t>very</w:t>
      </w:r>
      <w:r w:rsidRPr="00EA7665">
        <w:rPr>
          <w:rFonts w:ascii="Arial" w:hAnsi="Arial" w:cs="Arial"/>
        </w:rPr>
        <w:t xml:space="preserve"> important knowledge for securing finance for real estate project </w:t>
      </w:r>
      <w:r w:rsidR="00B80F78" w:rsidRPr="00EA7665">
        <w:rPr>
          <w:rFonts w:ascii="Arial" w:hAnsi="Arial" w:cs="Arial"/>
        </w:rPr>
        <w:t>development.</w:t>
      </w:r>
      <w:r w:rsidRPr="00EA7665">
        <w:rPr>
          <w:rFonts w:ascii="Arial" w:hAnsi="Arial" w:cs="Arial"/>
        </w:rPr>
        <w:t xml:space="preserve"> This is followed by Market intelligence (49%, fundamental concepts of economics &amp; finance (47%), financial accounting basics (46%) and cost calculation techniques (44%).  Conversely, the set of knowled</w:t>
      </w:r>
      <w:r>
        <w:rPr>
          <w:rFonts w:ascii="Arial" w:hAnsi="Arial" w:cs="Arial"/>
        </w:rPr>
        <w:t>ge</w:t>
      </w:r>
      <w:r w:rsidRPr="00EA7665">
        <w:rPr>
          <w:rFonts w:ascii="Arial" w:hAnsi="Arial" w:cs="Arial"/>
        </w:rPr>
        <w:t xml:space="preserve"> ranked as the </w:t>
      </w:r>
      <w:r>
        <w:rPr>
          <w:rFonts w:ascii="Arial" w:hAnsi="Arial" w:cs="Arial"/>
        </w:rPr>
        <w:t>“</w:t>
      </w:r>
      <w:r w:rsidRPr="00EA7665">
        <w:rPr>
          <w:rFonts w:ascii="Arial" w:hAnsi="Arial" w:cs="Arial"/>
        </w:rPr>
        <w:t>least very important” by the survey respondents are relevant conventions</w:t>
      </w:r>
      <w:r w:rsidR="005F0AF6">
        <w:rPr>
          <w:rFonts w:ascii="Arial" w:hAnsi="Arial" w:cs="Arial"/>
        </w:rPr>
        <w:t xml:space="preserve"> </w:t>
      </w:r>
      <w:r w:rsidRPr="00EA7665">
        <w:rPr>
          <w:rFonts w:ascii="Arial" w:hAnsi="Arial" w:cs="Arial"/>
        </w:rPr>
        <w:t xml:space="preserve">(26%), contingency approach (30%), principles of risk and diversification (30.8%), performance </w:t>
      </w:r>
      <w:r w:rsidR="005F0AF6" w:rsidRPr="00EA7665">
        <w:rPr>
          <w:rFonts w:ascii="Arial" w:hAnsi="Arial" w:cs="Arial"/>
        </w:rPr>
        <w:t>indicator (</w:t>
      </w:r>
      <w:r w:rsidRPr="00EA7665">
        <w:rPr>
          <w:rFonts w:ascii="Arial" w:hAnsi="Arial" w:cs="Arial"/>
        </w:rPr>
        <w:t xml:space="preserve">31%) and risks and opportunities response strategies and plan (32.6%). </w:t>
      </w:r>
    </w:p>
    <w:p w14:paraId="7A139781" w14:textId="26A9CCD5" w:rsidR="00E43EAE" w:rsidRPr="005F0AF6" w:rsidRDefault="00E43EAE" w:rsidP="00E43EAE">
      <w:pPr>
        <w:pStyle w:val="Caption"/>
        <w:keepNext/>
        <w:rPr>
          <w:rFonts w:ascii="Arial" w:hAnsi="Arial" w:cs="Arial"/>
          <w:sz w:val="16"/>
          <w:szCs w:val="16"/>
        </w:rPr>
      </w:pPr>
      <w:bookmarkStart w:id="1336" w:name="_Toc78984006"/>
      <w:r>
        <w:t xml:space="preserve">Table </w:t>
      </w:r>
      <w:fldSimple w:instr=" STYLEREF 2 \s ">
        <w:r w:rsidR="008F25B1">
          <w:rPr>
            <w:noProof/>
          </w:rPr>
          <w:t>8.3</w:t>
        </w:r>
      </w:fldSimple>
      <w:r w:rsidR="008F25B1">
        <w:noBreakHyphen/>
      </w:r>
      <w:fldSimple w:instr=" SEQ Table \* ARABIC \s 2 ">
        <w:r w:rsidR="008F25B1">
          <w:rPr>
            <w:noProof/>
          </w:rPr>
          <w:t>1</w:t>
        </w:r>
      </w:fldSimple>
      <w:r>
        <w:t xml:space="preserve">: </w:t>
      </w:r>
      <w:r w:rsidRPr="005F0AF6">
        <w:rPr>
          <w:rFonts w:ascii="Arial" w:hAnsi="Arial" w:cs="Arial"/>
          <w:sz w:val="16"/>
          <w:szCs w:val="16"/>
        </w:rPr>
        <w:t xml:space="preserve">Degree of </w:t>
      </w:r>
      <w:r>
        <w:rPr>
          <w:rFonts w:ascii="Arial" w:hAnsi="Arial" w:cs="Arial"/>
          <w:sz w:val="16"/>
          <w:szCs w:val="16"/>
        </w:rPr>
        <w:t xml:space="preserve">the </w:t>
      </w:r>
      <w:r w:rsidRPr="005F0AF6">
        <w:rPr>
          <w:rFonts w:ascii="Arial" w:hAnsi="Arial" w:cs="Arial"/>
          <w:sz w:val="16"/>
          <w:szCs w:val="16"/>
        </w:rPr>
        <w:t>importance of management knowledge for securing finance for real estate project development.</w:t>
      </w:r>
      <w:bookmarkEnd w:id="1336"/>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898"/>
        <w:gridCol w:w="1134"/>
        <w:gridCol w:w="1025"/>
        <w:gridCol w:w="1045"/>
        <w:gridCol w:w="892"/>
        <w:gridCol w:w="1022"/>
      </w:tblGrid>
      <w:tr w:rsidR="00CD6352" w:rsidRPr="00EA7665" w14:paraId="1E42082D" w14:textId="77777777" w:rsidTr="00CD6352">
        <w:tc>
          <w:tcPr>
            <w:tcW w:w="0" w:type="auto"/>
            <w:vMerge w:val="restart"/>
          </w:tcPr>
          <w:p w14:paraId="04B326E3" w14:textId="77777777" w:rsidR="00CD6352" w:rsidRPr="00EA7665" w:rsidRDefault="00CD6352" w:rsidP="00CD6352">
            <w:pPr>
              <w:jc w:val="both"/>
              <w:rPr>
                <w:rFonts w:ascii="Arial" w:hAnsi="Arial" w:cs="Arial"/>
                <w:sz w:val="16"/>
                <w:szCs w:val="16"/>
              </w:rPr>
            </w:pPr>
          </w:p>
          <w:p w14:paraId="67E7742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Knowledge  for securing finance for real estate project development </w:t>
            </w:r>
          </w:p>
        </w:tc>
        <w:tc>
          <w:tcPr>
            <w:tcW w:w="0" w:type="auto"/>
          </w:tcPr>
          <w:p w14:paraId="3560FEE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important at all</w:t>
            </w:r>
          </w:p>
        </w:tc>
        <w:tc>
          <w:tcPr>
            <w:tcW w:w="0" w:type="auto"/>
          </w:tcPr>
          <w:p w14:paraId="651E9C0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important</w:t>
            </w:r>
          </w:p>
        </w:tc>
        <w:tc>
          <w:tcPr>
            <w:tcW w:w="0" w:type="auto"/>
          </w:tcPr>
          <w:p w14:paraId="6253E1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Fairly important</w:t>
            </w:r>
          </w:p>
        </w:tc>
        <w:tc>
          <w:tcPr>
            <w:tcW w:w="0" w:type="auto"/>
          </w:tcPr>
          <w:p w14:paraId="46F53D0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Important</w:t>
            </w:r>
          </w:p>
        </w:tc>
        <w:tc>
          <w:tcPr>
            <w:tcW w:w="0" w:type="auto"/>
          </w:tcPr>
          <w:p w14:paraId="4932004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important</w:t>
            </w:r>
          </w:p>
        </w:tc>
      </w:tr>
      <w:tr w:rsidR="00CD6352" w:rsidRPr="00EA7665" w14:paraId="0E5086AF" w14:textId="77777777" w:rsidTr="00CD6352">
        <w:tc>
          <w:tcPr>
            <w:tcW w:w="0" w:type="auto"/>
            <w:vMerge/>
          </w:tcPr>
          <w:p w14:paraId="66407266" w14:textId="77777777" w:rsidR="00CD6352" w:rsidRPr="00EA7665" w:rsidRDefault="00CD6352" w:rsidP="00CD6352">
            <w:pPr>
              <w:jc w:val="both"/>
              <w:rPr>
                <w:rFonts w:ascii="Arial" w:hAnsi="Arial" w:cs="Arial"/>
                <w:sz w:val="16"/>
                <w:szCs w:val="16"/>
              </w:rPr>
            </w:pPr>
          </w:p>
        </w:tc>
        <w:tc>
          <w:tcPr>
            <w:tcW w:w="0" w:type="auto"/>
            <w:gridSpan w:val="5"/>
          </w:tcPr>
          <w:p w14:paraId="51719AE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77CE74B6" w14:textId="77777777" w:rsidTr="00CD6352">
        <w:tc>
          <w:tcPr>
            <w:tcW w:w="0" w:type="auto"/>
          </w:tcPr>
          <w:p w14:paraId="424B97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Contingency approach</w:t>
            </w:r>
          </w:p>
        </w:tc>
        <w:tc>
          <w:tcPr>
            <w:tcW w:w="0" w:type="auto"/>
          </w:tcPr>
          <w:p w14:paraId="68F579F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C55CAA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6.8</w:t>
            </w:r>
          </w:p>
        </w:tc>
        <w:tc>
          <w:tcPr>
            <w:tcW w:w="0" w:type="auto"/>
          </w:tcPr>
          <w:p w14:paraId="724C708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18.2</w:t>
            </w:r>
          </w:p>
        </w:tc>
        <w:tc>
          <w:tcPr>
            <w:tcW w:w="0" w:type="auto"/>
          </w:tcPr>
          <w:p w14:paraId="7985377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45.5</w:t>
            </w:r>
          </w:p>
        </w:tc>
        <w:tc>
          <w:tcPr>
            <w:tcW w:w="0" w:type="auto"/>
          </w:tcPr>
          <w:p w14:paraId="06AEB7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29.5</w:t>
            </w:r>
          </w:p>
        </w:tc>
      </w:tr>
      <w:tr w:rsidR="00CD6352" w:rsidRPr="00EA7665" w14:paraId="73D84511" w14:textId="77777777" w:rsidTr="00CD6352">
        <w:tc>
          <w:tcPr>
            <w:tcW w:w="0" w:type="auto"/>
          </w:tcPr>
          <w:p w14:paraId="4660554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Cost calculation techniques</w:t>
            </w:r>
          </w:p>
        </w:tc>
        <w:tc>
          <w:tcPr>
            <w:tcW w:w="0" w:type="auto"/>
          </w:tcPr>
          <w:p w14:paraId="78B3E1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27F015B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9.3</w:t>
            </w:r>
          </w:p>
        </w:tc>
        <w:tc>
          <w:tcPr>
            <w:tcW w:w="0" w:type="auto"/>
          </w:tcPr>
          <w:p w14:paraId="407E2A2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7.0</w:t>
            </w:r>
          </w:p>
        </w:tc>
        <w:tc>
          <w:tcPr>
            <w:tcW w:w="0" w:type="auto"/>
          </w:tcPr>
          <w:p w14:paraId="4324131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37.2</w:t>
            </w:r>
          </w:p>
        </w:tc>
        <w:tc>
          <w:tcPr>
            <w:tcW w:w="0" w:type="auto"/>
          </w:tcPr>
          <w:p w14:paraId="59FDACB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44.2</w:t>
            </w:r>
          </w:p>
        </w:tc>
      </w:tr>
      <w:tr w:rsidR="00CD6352" w:rsidRPr="00EA7665" w14:paraId="28DA65EE" w14:textId="77777777" w:rsidTr="00CD6352">
        <w:tc>
          <w:tcPr>
            <w:tcW w:w="0" w:type="auto"/>
          </w:tcPr>
          <w:p w14:paraId="4ADE93C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Cost estimation methods</w:t>
            </w:r>
          </w:p>
        </w:tc>
        <w:tc>
          <w:tcPr>
            <w:tcW w:w="0" w:type="auto"/>
          </w:tcPr>
          <w:p w14:paraId="57D8748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25FBA8E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w:t>
            </w:r>
          </w:p>
        </w:tc>
        <w:tc>
          <w:tcPr>
            <w:tcW w:w="0" w:type="auto"/>
          </w:tcPr>
          <w:p w14:paraId="428B666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15.9</w:t>
            </w:r>
          </w:p>
        </w:tc>
        <w:tc>
          <w:tcPr>
            <w:tcW w:w="0" w:type="auto"/>
          </w:tcPr>
          <w:p w14:paraId="78E572D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43.2</w:t>
            </w:r>
          </w:p>
        </w:tc>
        <w:tc>
          <w:tcPr>
            <w:tcW w:w="0" w:type="auto"/>
          </w:tcPr>
          <w:p w14:paraId="1574472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34.1</w:t>
            </w:r>
          </w:p>
        </w:tc>
      </w:tr>
      <w:tr w:rsidR="00CD6352" w:rsidRPr="00EA7665" w14:paraId="12DA6A26" w14:textId="77777777" w:rsidTr="00CD6352">
        <w:tc>
          <w:tcPr>
            <w:tcW w:w="0" w:type="auto"/>
          </w:tcPr>
          <w:p w14:paraId="5D852F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Debt literacy</w:t>
            </w:r>
          </w:p>
        </w:tc>
        <w:tc>
          <w:tcPr>
            <w:tcW w:w="0" w:type="auto"/>
          </w:tcPr>
          <w:p w14:paraId="5971C71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7CF0BE2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3ABD0DA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11.4</w:t>
            </w:r>
          </w:p>
        </w:tc>
        <w:tc>
          <w:tcPr>
            <w:tcW w:w="0" w:type="auto"/>
          </w:tcPr>
          <w:p w14:paraId="01C2A8C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40.9</w:t>
            </w:r>
          </w:p>
        </w:tc>
        <w:tc>
          <w:tcPr>
            <w:tcW w:w="0" w:type="auto"/>
          </w:tcPr>
          <w:p w14:paraId="23D08DB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43.2</w:t>
            </w:r>
          </w:p>
        </w:tc>
      </w:tr>
      <w:tr w:rsidR="00CD6352" w:rsidRPr="00EA7665" w14:paraId="52DB518E" w14:textId="77777777" w:rsidTr="00CD6352">
        <w:tc>
          <w:tcPr>
            <w:tcW w:w="0" w:type="auto"/>
          </w:tcPr>
          <w:p w14:paraId="6027002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Finance options</w:t>
            </w:r>
          </w:p>
        </w:tc>
        <w:tc>
          <w:tcPr>
            <w:tcW w:w="0" w:type="auto"/>
          </w:tcPr>
          <w:p w14:paraId="533DDB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w:t>
            </w:r>
          </w:p>
        </w:tc>
        <w:tc>
          <w:tcPr>
            <w:tcW w:w="0" w:type="auto"/>
          </w:tcPr>
          <w:p w14:paraId="0729A01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2F0035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11.6</w:t>
            </w:r>
          </w:p>
        </w:tc>
        <w:tc>
          <w:tcPr>
            <w:tcW w:w="0" w:type="auto"/>
          </w:tcPr>
          <w:p w14:paraId="2CBC66F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44.2</w:t>
            </w:r>
          </w:p>
        </w:tc>
        <w:tc>
          <w:tcPr>
            <w:tcW w:w="0" w:type="auto"/>
          </w:tcPr>
          <w:p w14:paraId="52C7B79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39.5</w:t>
            </w:r>
          </w:p>
        </w:tc>
      </w:tr>
      <w:tr w:rsidR="00CD6352" w:rsidRPr="00EA7665" w14:paraId="12630724" w14:textId="77777777" w:rsidTr="00CD6352">
        <w:trPr>
          <w:trHeight w:val="352"/>
        </w:trPr>
        <w:tc>
          <w:tcPr>
            <w:tcW w:w="0" w:type="auto"/>
          </w:tcPr>
          <w:p w14:paraId="42D4A0C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Financial accounting basics </w:t>
            </w:r>
          </w:p>
        </w:tc>
        <w:tc>
          <w:tcPr>
            <w:tcW w:w="0" w:type="auto"/>
          </w:tcPr>
          <w:p w14:paraId="7228FD9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w:t>
            </w:r>
          </w:p>
        </w:tc>
        <w:tc>
          <w:tcPr>
            <w:tcW w:w="0" w:type="auto"/>
          </w:tcPr>
          <w:p w14:paraId="299530A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5B78ED8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w:t>
            </w:r>
          </w:p>
        </w:tc>
        <w:tc>
          <w:tcPr>
            <w:tcW w:w="0" w:type="auto"/>
          </w:tcPr>
          <w:p w14:paraId="493E4DD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43.2</w:t>
            </w:r>
          </w:p>
        </w:tc>
        <w:tc>
          <w:tcPr>
            <w:tcW w:w="0" w:type="auto"/>
          </w:tcPr>
          <w:p w14:paraId="763CB7C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45.5</w:t>
            </w:r>
          </w:p>
        </w:tc>
      </w:tr>
      <w:tr w:rsidR="00CD6352" w:rsidRPr="00EA7665" w14:paraId="53FB5DEA" w14:textId="77777777" w:rsidTr="00CD6352">
        <w:tc>
          <w:tcPr>
            <w:tcW w:w="0" w:type="auto"/>
          </w:tcPr>
          <w:p w14:paraId="7C15AC3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Financial management concepts &amp; terms such as (cash flow, debt – asset ratio, return on investment &amp; rate of return)</w:t>
            </w:r>
          </w:p>
        </w:tc>
        <w:tc>
          <w:tcPr>
            <w:tcW w:w="0" w:type="auto"/>
          </w:tcPr>
          <w:p w14:paraId="667DC14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4.8</w:t>
            </w:r>
          </w:p>
        </w:tc>
        <w:tc>
          <w:tcPr>
            <w:tcW w:w="0" w:type="auto"/>
          </w:tcPr>
          <w:p w14:paraId="016BC8D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1F0474A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08FB623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47.6</w:t>
            </w:r>
          </w:p>
        </w:tc>
        <w:tc>
          <w:tcPr>
            <w:tcW w:w="0" w:type="auto"/>
          </w:tcPr>
          <w:p w14:paraId="2EF3A4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42.9</w:t>
            </w:r>
          </w:p>
        </w:tc>
      </w:tr>
      <w:tr w:rsidR="00CD6352" w:rsidRPr="00EA7665" w14:paraId="092D4F5D" w14:textId="77777777" w:rsidTr="00CD6352">
        <w:tc>
          <w:tcPr>
            <w:tcW w:w="0" w:type="auto"/>
          </w:tcPr>
          <w:p w14:paraId="6D4EC92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Fundamental concepts of economics &amp; finance (e.g. calculation of interest rate &amp; inflation)</w:t>
            </w:r>
          </w:p>
        </w:tc>
        <w:tc>
          <w:tcPr>
            <w:tcW w:w="0" w:type="auto"/>
          </w:tcPr>
          <w:p w14:paraId="028828A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w:t>
            </w:r>
          </w:p>
        </w:tc>
        <w:tc>
          <w:tcPr>
            <w:tcW w:w="0" w:type="auto"/>
          </w:tcPr>
          <w:p w14:paraId="3C8D353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103F339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63AAB93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46.5</w:t>
            </w:r>
          </w:p>
        </w:tc>
        <w:tc>
          <w:tcPr>
            <w:tcW w:w="0" w:type="auto"/>
          </w:tcPr>
          <w:p w14:paraId="2791386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46.5</w:t>
            </w:r>
          </w:p>
        </w:tc>
      </w:tr>
      <w:tr w:rsidR="00CD6352" w:rsidRPr="00EA7665" w14:paraId="26F5754E" w14:textId="77777777" w:rsidTr="00CD6352">
        <w:tc>
          <w:tcPr>
            <w:tcW w:w="0" w:type="auto"/>
          </w:tcPr>
          <w:p w14:paraId="2A4A600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Funding sources</w:t>
            </w:r>
          </w:p>
        </w:tc>
        <w:tc>
          <w:tcPr>
            <w:tcW w:w="0" w:type="auto"/>
          </w:tcPr>
          <w:p w14:paraId="0251C93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16A084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6FEFD4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11.9</w:t>
            </w:r>
          </w:p>
        </w:tc>
        <w:tc>
          <w:tcPr>
            <w:tcW w:w="0" w:type="auto"/>
          </w:tcPr>
          <w:p w14:paraId="1F47255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31.0</w:t>
            </w:r>
          </w:p>
        </w:tc>
        <w:tc>
          <w:tcPr>
            <w:tcW w:w="0" w:type="auto"/>
          </w:tcPr>
          <w:p w14:paraId="077177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54.8</w:t>
            </w:r>
          </w:p>
        </w:tc>
      </w:tr>
      <w:tr w:rsidR="00CD6352" w:rsidRPr="00EA7665" w14:paraId="4C8CEFB2" w14:textId="77777777" w:rsidTr="00CD6352">
        <w:tc>
          <w:tcPr>
            <w:tcW w:w="0" w:type="auto"/>
          </w:tcPr>
          <w:p w14:paraId="31A1EC2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Market intelligence </w:t>
            </w:r>
          </w:p>
        </w:tc>
        <w:tc>
          <w:tcPr>
            <w:tcW w:w="0" w:type="auto"/>
          </w:tcPr>
          <w:p w14:paraId="2BED849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52034D7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7.0</w:t>
            </w:r>
          </w:p>
        </w:tc>
        <w:tc>
          <w:tcPr>
            <w:tcW w:w="0" w:type="auto"/>
          </w:tcPr>
          <w:p w14:paraId="63BFE78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w:t>
            </w:r>
          </w:p>
        </w:tc>
        <w:tc>
          <w:tcPr>
            <w:tcW w:w="0" w:type="auto"/>
          </w:tcPr>
          <w:p w14:paraId="54223EA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41.9</w:t>
            </w:r>
          </w:p>
        </w:tc>
        <w:tc>
          <w:tcPr>
            <w:tcW w:w="0" w:type="auto"/>
          </w:tcPr>
          <w:p w14:paraId="40CB266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48.8</w:t>
            </w:r>
          </w:p>
        </w:tc>
      </w:tr>
      <w:tr w:rsidR="00CD6352" w:rsidRPr="00EA7665" w14:paraId="0E618C2B" w14:textId="77777777" w:rsidTr="00CD6352">
        <w:tc>
          <w:tcPr>
            <w:tcW w:w="0" w:type="auto"/>
          </w:tcPr>
          <w:p w14:paraId="55D454E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Performance indicator</w:t>
            </w:r>
          </w:p>
        </w:tc>
        <w:tc>
          <w:tcPr>
            <w:tcW w:w="0" w:type="auto"/>
          </w:tcPr>
          <w:p w14:paraId="4DCB236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051AD4D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7163A6C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11.9</w:t>
            </w:r>
          </w:p>
        </w:tc>
        <w:tc>
          <w:tcPr>
            <w:tcW w:w="0" w:type="auto"/>
          </w:tcPr>
          <w:p w14:paraId="1700F6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52.4</w:t>
            </w:r>
          </w:p>
        </w:tc>
        <w:tc>
          <w:tcPr>
            <w:tcW w:w="0" w:type="auto"/>
          </w:tcPr>
          <w:p w14:paraId="1AFD9C4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31.0</w:t>
            </w:r>
          </w:p>
        </w:tc>
      </w:tr>
      <w:tr w:rsidR="00CD6352" w:rsidRPr="00EA7665" w14:paraId="5846D793" w14:textId="77777777" w:rsidTr="00CD6352">
        <w:tc>
          <w:tcPr>
            <w:tcW w:w="0" w:type="auto"/>
          </w:tcPr>
          <w:p w14:paraId="4F4AF3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Principles of risk and diversification</w:t>
            </w:r>
          </w:p>
        </w:tc>
        <w:tc>
          <w:tcPr>
            <w:tcW w:w="0" w:type="auto"/>
          </w:tcPr>
          <w:p w14:paraId="096AC54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01F966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36D9C43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23.1</w:t>
            </w:r>
          </w:p>
        </w:tc>
        <w:tc>
          <w:tcPr>
            <w:tcW w:w="0" w:type="auto"/>
          </w:tcPr>
          <w:p w14:paraId="5B4825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46.2</w:t>
            </w:r>
          </w:p>
        </w:tc>
        <w:tc>
          <w:tcPr>
            <w:tcW w:w="0" w:type="auto"/>
          </w:tcPr>
          <w:p w14:paraId="79E4C4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30.8</w:t>
            </w:r>
          </w:p>
        </w:tc>
      </w:tr>
      <w:tr w:rsidR="00CD6352" w:rsidRPr="00EA7665" w14:paraId="452529CF" w14:textId="77777777" w:rsidTr="00CD6352">
        <w:tc>
          <w:tcPr>
            <w:tcW w:w="0" w:type="auto"/>
          </w:tcPr>
          <w:p w14:paraId="30C90B8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Process and governance for cost management</w:t>
            </w:r>
          </w:p>
        </w:tc>
        <w:tc>
          <w:tcPr>
            <w:tcW w:w="0" w:type="auto"/>
          </w:tcPr>
          <w:p w14:paraId="2BCC0DD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4E3AC1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4.8</w:t>
            </w:r>
          </w:p>
        </w:tc>
        <w:tc>
          <w:tcPr>
            <w:tcW w:w="0" w:type="auto"/>
          </w:tcPr>
          <w:p w14:paraId="3F14822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21.4</w:t>
            </w:r>
          </w:p>
        </w:tc>
        <w:tc>
          <w:tcPr>
            <w:tcW w:w="0" w:type="auto"/>
          </w:tcPr>
          <w:p w14:paraId="10D2CE9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38.1</w:t>
            </w:r>
          </w:p>
        </w:tc>
        <w:tc>
          <w:tcPr>
            <w:tcW w:w="0" w:type="auto"/>
          </w:tcPr>
          <w:p w14:paraId="024C535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r>
      <w:tr w:rsidR="00CD6352" w:rsidRPr="00EA7665" w14:paraId="07575BB9" w14:textId="77777777" w:rsidTr="00CD6352">
        <w:tc>
          <w:tcPr>
            <w:tcW w:w="0" w:type="auto"/>
          </w:tcPr>
          <w:p w14:paraId="3DC1CCC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Relevant conventions, agreement, legislation and regulations </w:t>
            </w:r>
          </w:p>
        </w:tc>
        <w:tc>
          <w:tcPr>
            <w:tcW w:w="0" w:type="auto"/>
          </w:tcPr>
          <w:p w14:paraId="4EDAED2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3FC9B8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38AD83F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20.9</w:t>
            </w:r>
          </w:p>
        </w:tc>
        <w:tc>
          <w:tcPr>
            <w:tcW w:w="0" w:type="auto"/>
          </w:tcPr>
          <w:p w14:paraId="73ABFD4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53.5</w:t>
            </w:r>
          </w:p>
        </w:tc>
        <w:tc>
          <w:tcPr>
            <w:tcW w:w="0" w:type="auto"/>
          </w:tcPr>
          <w:p w14:paraId="2820A49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25.6</w:t>
            </w:r>
          </w:p>
        </w:tc>
      </w:tr>
      <w:tr w:rsidR="00CD6352" w:rsidRPr="00EA7665" w14:paraId="178FB4F6" w14:textId="77777777" w:rsidTr="00CD6352">
        <w:tc>
          <w:tcPr>
            <w:tcW w:w="0" w:type="auto"/>
          </w:tcPr>
          <w:p w14:paraId="3D668F6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Risks and opportunities response strategies and plan</w:t>
            </w:r>
          </w:p>
        </w:tc>
        <w:tc>
          <w:tcPr>
            <w:tcW w:w="0" w:type="auto"/>
          </w:tcPr>
          <w:p w14:paraId="2297B83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3183A5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271C35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20.9</w:t>
            </w:r>
          </w:p>
        </w:tc>
        <w:tc>
          <w:tcPr>
            <w:tcW w:w="0" w:type="auto"/>
          </w:tcPr>
          <w:p w14:paraId="015FF39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39.5</w:t>
            </w:r>
          </w:p>
        </w:tc>
        <w:tc>
          <w:tcPr>
            <w:tcW w:w="0" w:type="auto"/>
          </w:tcPr>
          <w:p w14:paraId="5911B66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32.6</w:t>
            </w:r>
          </w:p>
        </w:tc>
      </w:tr>
      <w:tr w:rsidR="00CD6352" w:rsidRPr="00EA7665" w14:paraId="61182C14" w14:textId="77777777" w:rsidTr="00CD6352">
        <w:tc>
          <w:tcPr>
            <w:tcW w:w="0" w:type="auto"/>
          </w:tcPr>
          <w:p w14:paraId="7F1E05F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Strategies for managing risks and uncertainty</w:t>
            </w:r>
          </w:p>
        </w:tc>
        <w:tc>
          <w:tcPr>
            <w:tcW w:w="0" w:type="auto"/>
          </w:tcPr>
          <w:p w14:paraId="3DD9168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4C41FB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4.9</w:t>
            </w:r>
          </w:p>
        </w:tc>
        <w:tc>
          <w:tcPr>
            <w:tcW w:w="0" w:type="auto"/>
          </w:tcPr>
          <w:p w14:paraId="1A5A62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14.6</w:t>
            </w:r>
          </w:p>
        </w:tc>
        <w:tc>
          <w:tcPr>
            <w:tcW w:w="0" w:type="auto"/>
          </w:tcPr>
          <w:p w14:paraId="18732C6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36.6</w:t>
            </w:r>
          </w:p>
        </w:tc>
        <w:tc>
          <w:tcPr>
            <w:tcW w:w="0" w:type="auto"/>
          </w:tcPr>
          <w:p w14:paraId="157C6AC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41.5</w:t>
            </w:r>
          </w:p>
        </w:tc>
      </w:tr>
      <w:tr w:rsidR="00CD6352" w:rsidRPr="00EA7665" w14:paraId="50FBF065" w14:textId="77777777" w:rsidTr="00CD6352">
        <w:tc>
          <w:tcPr>
            <w:tcW w:w="0" w:type="auto"/>
          </w:tcPr>
          <w:p w14:paraId="775FDD6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Techniques and conditions for loan effectiveness</w:t>
            </w:r>
          </w:p>
        </w:tc>
        <w:tc>
          <w:tcPr>
            <w:tcW w:w="0" w:type="auto"/>
          </w:tcPr>
          <w:p w14:paraId="33BE50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714B80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60E423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17.1</w:t>
            </w:r>
          </w:p>
        </w:tc>
        <w:tc>
          <w:tcPr>
            <w:tcW w:w="0" w:type="auto"/>
          </w:tcPr>
          <w:p w14:paraId="2B32F2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41.5</w:t>
            </w:r>
          </w:p>
        </w:tc>
        <w:tc>
          <w:tcPr>
            <w:tcW w:w="0" w:type="auto"/>
          </w:tcPr>
          <w:p w14:paraId="5C9165D1" w14:textId="77777777" w:rsidR="00CD6352" w:rsidRPr="00EA7665" w:rsidRDefault="00CD6352" w:rsidP="005B7EC2">
            <w:pPr>
              <w:keepNext/>
              <w:jc w:val="both"/>
              <w:rPr>
                <w:rFonts w:ascii="Arial" w:hAnsi="Arial" w:cs="Arial"/>
                <w:sz w:val="16"/>
                <w:szCs w:val="16"/>
              </w:rPr>
            </w:pPr>
            <w:r w:rsidRPr="00EA7665">
              <w:rPr>
                <w:rFonts w:ascii="Arial" w:hAnsi="Arial" w:cs="Arial"/>
                <w:sz w:val="16"/>
                <w:szCs w:val="16"/>
              </w:rPr>
              <w:t>39.0</w:t>
            </w:r>
          </w:p>
        </w:tc>
      </w:tr>
    </w:tbl>
    <w:p w14:paraId="43DDF61E" w14:textId="77777777" w:rsidR="00CD6352" w:rsidRPr="00EA7665" w:rsidRDefault="00CD6352" w:rsidP="00CD6352">
      <w:pPr>
        <w:spacing w:line="360" w:lineRule="auto"/>
        <w:jc w:val="both"/>
        <w:rPr>
          <w:rFonts w:ascii="Arial" w:hAnsi="Arial" w:cs="Arial"/>
        </w:rPr>
      </w:pPr>
    </w:p>
    <w:p w14:paraId="6A31ECD0" w14:textId="402CBC35" w:rsidR="001A6B6E" w:rsidRDefault="001A6B6E" w:rsidP="001A6B6E">
      <w:pPr>
        <w:spacing w:line="360" w:lineRule="auto"/>
        <w:jc w:val="both"/>
        <w:rPr>
          <w:rFonts w:ascii="Arial" w:hAnsi="Arial" w:cs="Arial"/>
        </w:rPr>
      </w:pPr>
      <w:r>
        <w:rPr>
          <w:rFonts w:ascii="Arial" w:hAnsi="Arial" w:cs="Arial"/>
        </w:rPr>
        <w:t>The mean score was also used to understand the ranking of management knowledge the respondents considered important for securing finance for real estate project development at the aggregate level ( see table 8.3.2).</w:t>
      </w:r>
      <w:r w:rsidRPr="00EA7665">
        <w:rPr>
          <w:rFonts w:ascii="Arial" w:hAnsi="Arial" w:cs="Arial"/>
        </w:rPr>
        <w:t xml:space="preserve"> As the mean score increases</w:t>
      </w:r>
      <w:r>
        <w:rPr>
          <w:rFonts w:ascii="Arial" w:hAnsi="Arial" w:cs="Arial"/>
        </w:rPr>
        <w:t>,</w:t>
      </w:r>
      <w:r w:rsidRPr="00EA7665">
        <w:rPr>
          <w:rFonts w:ascii="Arial" w:hAnsi="Arial" w:cs="Arial"/>
        </w:rPr>
        <w:t xml:space="preserve"> the degree of management’s knowledge for securing </w:t>
      </w:r>
      <w:r w:rsidR="004061C6">
        <w:rPr>
          <w:rFonts w:ascii="Arial" w:hAnsi="Arial" w:cs="Arial"/>
        </w:rPr>
        <w:t>real estate project development finance</w:t>
      </w:r>
      <w:r w:rsidRPr="00EA7665">
        <w:rPr>
          <w:rFonts w:ascii="Arial" w:hAnsi="Arial" w:cs="Arial"/>
        </w:rPr>
        <w:t xml:space="preserve"> increases. The data shows a</w:t>
      </w:r>
      <w:r>
        <w:rPr>
          <w:rFonts w:ascii="Arial" w:hAnsi="Arial" w:cs="Arial"/>
        </w:rPr>
        <w:t xml:space="preserve"> </w:t>
      </w:r>
      <w:r w:rsidRPr="00EA7665">
        <w:rPr>
          <w:rFonts w:ascii="Arial" w:hAnsi="Arial" w:cs="Arial"/>
        </w:rPr>
        <w:t>range of 4.32 to 3.93</w:t>
      </w:r>
      <w:r w:rsidR="004061C6">
        <w:rPr>
          <w:rFonts w:ascii="Arial" w:hAnsi="Arial" w:cs="Arial"/>
        </w:rPr>
        <w:t>,</w:t>
      </w:r>
      <w:r w:rsidRPr="00EA7665">
        <w:rPr>
          <w:rFonts w:ascii="Arial" w:hAnsi="Arial" w:cs="Arial"/>
        </w:rPr>
        <w:t xml:space="preserve"> </w:t>
      </w:r>
      <w:r w:rsidR="004061C6">
        <w:rPr>
          <w:rFonts w:ascii="Arial" w:hAnsi="Arial" w:cs="Arial"/>
        </w:rPr>
        <w:t>which</w:t>
      </w:r>
      <w:r w:rsidRPr="00EA7665">
        <w:rPr>
          <w:rFonts w:ascii="Arial" w:hAnsi="Arial" w:cs="Arial"/>
        </w:rPr>
        <w:t xml:space="preserve"> means that all the seventeen-management knowledge are significant for </w:t>
      </w:r>
      <w:r w:rsidR="004061C6">
        <w:rPr>
          <w:rFonts w:ascii="Arial" w:hAnsi="Arial" w:cs="Arial"/>
        </w:rPr>
        <w:t>obtain</w:t>
      </w:r>
      <w:r w:rsidRPr="00EA7665">
        <w:rPr>
          <w:rFonts w:ascii="Arial" w:hAnsi="Arial" w:cs="Arial"/>
        </w:rPr>
        <w:t xml:space="preserve">ing finance for real estate project development. </w:t>
      </w:r>
      <w:r w:rsidR="00F102A1">
        <w:rPr>
          <w:rFonts w:ascii="Arial" w:hAnsi="Arial" w:cs="Arial"/>
        </w:rPr>
        <w:t>An analysis of these knowledge sets at the disaggregate level will create an enhanced understanding</w:t>
      </w:r>
      <w:r w:rsidR="00E43EAE">
        <w:rPr>
          <w:rFonts w:ascii="Arial" w:hAnsi="Arial" w:cs="Arial"/>
        </w:rPr>
        <w:t>.</w:t>
      </w:r>
    </w:p>
    <w:p w14:paraId="3537C0A1" w14:textId="405F487F" w:rsidR="00CD6352" w:rsidRPr="00EA7665" w:rsidRDefault="00CD6352" w:rsidP="00CD6352">
      <w:pPr>
        <w:pStyle w:val="Caption"/>
        <w:keepNext/>
      </w:pPr>
      <w:bookmarkStart w:id="1337" w:name="_Toc78984007"/>
      <w:r w:rsidRPr="00EA7665">
        <w:t xml:space="preserve">Table </w:t>
      </w:r>
      <w:fldSimple w:instr=" STYLEREF 2 \s ">
        <w:r w:rsidR="008F25B1">
          <w:rPr>
            <w:noProof/>
          </w:rPr>
          <w:t>8.3</w:t>
        </w:r>
      </w:fldSimple>
      <w:r w:rsidR="008F25B1">
        <w:noBreakHyphen/>
      </w:r>
      <w:fldSimple w:instr=" SEQ Table \* ARABIC \s 2 ">
        <w:r w:rsidR="008F25B1">
          <w:rPr>
            <w:noProof/>
          </w:rPr>
          <w:t>2</w:t>
        </w:r>
      </w:fldSimple>
      <w:r w:rsidRPr="00EA7665">
        <w:t xml:space="preserve">: Mean scores for Degree of </w:t>
      </w:r>
      <w:r w:rsidR="00E43EAE">
        <w:t xml:space="preserve">the </w:t>
      </w:r>
      <w:r w:rsidRPr="00EA7665">
        <w:t>importance of management knowledge for securing finance for real estate project development.</w:t>
      </w:r>
      <w:r w:rsidR="00E43EAE">
        <w:t xml:space="preserve"> </w:t>
      </w:r>
      <w:r w:rsidRPr="00EA7665">
        <w:t>at the aggregate level</w:t>
      </w:r>
      <w:bookmarkEnd w:id="1337"/>
    </w:p>
    <w:tbl>
      <w:tblPr>
        <w:tblW w:w="8448" w:type="dxa"/>
        <w:tblInd w:w="93" w:type="dxa"/>
        <w:tblLook w:val="04A0" w:firstRow="1" w:lastRow="0" w:firstColumn="1" w:lastColumn="0" w:noHBand="0" w:noVBand="1"/>
      </w:tblPr>
      <w:tblGrid>
        <w:gridCol w:w="6700"/>
        <w:gridCol w:w="1008"/>
        <w:gridCol w:w="740"/>
      </w:tblGrid>
      <w:tr w:rsidR="00CD6352" w:rsidRPr="00EA7665" w14:paraId="566596B4" w14:textId="77777777" w:rsidTr="00CD6352">
        <w:trPr>
          <w:trHeight w:val="465"/>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5B143"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Management  Knowledge ( N=81)</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14:paraId="24CE29D6"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Degree of importance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1427D00F"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Rank</w:t>
            </w:r>
          </w:p>
        </w:tc>
      </w:tr>
      <w:tr w:rsidR="00CD6352" w:rsidRPr="00EA7665" w14:paraId="62DFA699"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12536DA1"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Funding sources</w:t>
            </w:r>
          </w:p>
        </w:tc>
        <w:tc>
          <w:tcPr>
            <w:tcW w:w="1008" w:type="dxa"/>
            <w:tcBorders>
              <w:top w:val="nil"/>
              <w:left w:val="nil"/>
              <w:bottom w:val="single" w:sz="4" w:space="0" w:color="auto"/>
              <w:right w:val="single" w:sz="4" w:space="0" w:color="auto"/>
            </w:tcBorders>
            <w:shd w:val="clear" w:color="auto" w:fill="auto"/>
            <w:noWrap/>
            <w:vAlign w:val="bottom"/>
            <w:hideMark/>
          </w:tcPr>
          <w:p w14:paraId="25A18518"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4.32</w:t>
            </w:r>
          </w:p>
        </w:tc>
        <w:tc>
          <w:tcPr>
            <w:tcW w:w="740" w:type="dxa"/>
            <w:tcBorders>
              <w:top w:val="nil"/>
              <w:left w:val="nil"/>
              <w:bottom w:val="single" w:sz="4" w:space="0" w:color="auto"/>
              <w:right w:val="single" w:sz="4" w:space="0" w:color="auto"/>
            </w:tcBorders>
            <w:shd w:val="clear" w:color="auto" w:fill="auto"/>
            <w:noWrap/>
            <w:vAlign w:val="bottom"/>
            <w:hideMark/>
          </w:tcPr>
          <w:p w14:paraId="407BA7C2"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w:t>
            </w:r>
          </w:p>
        </w:tc>
      </w:tr>
      <w:tr w:rsidR="00CD6352" w:rsidRPr="00EA7665" w14:paraId="418C0E1A"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390735B7"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 xml:space="preserve">Market intelligence </w:t>
            </w:r>
          </w:p>
        </w:tc>
        <w:tc>
          <w:tcPr>
            <w:tcW w:w="1008" w:type="dxa"/>
            <w:tcBorders>
              <w:top w:val="nil"/>
              <w:left w:val="nil"/>
              <w:bottom w:val="single" w:sz="4" w:space="0" w:color="auto"/>
              <w:right w:val="single" w:sz="4" w:space="0" w:color="auto"/>
            </w:tcBorders>
            <w:shd w:val="clear" w:color="auto" w:fill="auto"/>
            <w:noWrap/>
            <w:vAlign w:val="bottom"/>
            <w:hideMark/>
          </w:tcPr>
          <w:p w14:paraId="64A48A2A"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4.29</w:t>
            </w:r>
          </w:p>
        </w:tc>
        <w:tc>
          <w:tcPr>
            <w:tcW w:w="740" w:type="dxa"/>
            <w:tcBorders>
              <w:top w:val="nil"/>
              <w:left w:val="nil"/>
              <w:bottom w:val="single" w:sz="4" w:space="0" w:color="auto"/>
              <w:right w:val="single" w:sz="4" w:space="0" w:color="auto"/>
            </w:tcBorders>
            <w:shd w:val="clear" w:color="auto" w:fill="auto"/>
            <w:noWrap/>
            <w:vAlign w:val="bottom"/>
            <w:hideMark/>
          </w:tcPr>
          <w:p w14:paraId="1755618D"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2</w:t>
            </w:r>
          </w:p>
        </w:tc>
      </w:tr>
      <w:tr w:rsidR="00CD6352" w:rsidRPr="00EA7665" w14:paraId="18856520"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3505D7E8"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Fundamental concepts of economics &amp; finance ( e.g. calculation of interest rate &amp; inflation)</w:t>
            </w:r>
          </w:p>
        </w:tc>
        <w:tc>
          <w:tcPr>
            <w:tcW w:w="1008" w:type="dxa"/>
            <w:tcBorders>
              <w:top w:val="nil"/>
              <w:left w:val="nil"/>
              <w:bottom w:val="single" w:sz="4" w:space="0" w:color="auto"/>
              <w:right w:val="single" w:sz="4" w:space="0" w:color="auto"/>
            </w:tcBorders>
            <w:shd w:val="clear" w:color="auto" w:fill="auto"/>
            <w:noWrap/>
            <w:vAlign w:val="bottom"/>
            <w:hideMark/>
          </w:tcPr>
          <w:p w14:paraId="3C38BEAA"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4.24</w:t>
            </w:r>
          </w:p>
        </w:tc>
        <w:tc>
          <w:tcPr>
            <w:tcW w:w="740" w:type="dxa"/>
            <w:tcBorders>
              <w:top w:val="nil"/>
              <w:left w:val="nil"/>
              <w:bottom w:val="single" w:sz="4" w:space="0" w:color="auto"/>
              <w:right w:val="single" w:sz="4" w:space="0" w:color="auto"/>
            </w:tcBorders>
            <w:shd w:val="clear" w:color="auto" w:fill="auto"/>
            <w:noWrap/>
            <w:vAlign w:val="bottom"/>
            <w:hideMark/>
          </w:tcPr>
          <w:p w14:paraId="67F7625D"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3</w:t>
            </w:r>
          </w:p>
        </w:tc>
      </w:tr>
      <w:tr w:rsidR="00CD6352" w:rsidRPr="00EA7665" w14:paraId="18E0D7B5"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50854036"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 xml:space="preserve">Financial accounting basics </w:t>
            </w:r>
          </w:p>
        </w:tc>
        <w:tc>
          <w:tcPr>
            <w:tcW w:w="1008" w:type="dxa"/>
            <w:tcBorders>
              <w:top w:val="nil"/>
              <w:left w:val="nil"/>
              <w:bottom w:val="single" w:sz="4" w:space="0" w:color="auto"/>
              <w:right w:val="single" w:sz="4" w:space="0" w:color="auto"/>
            </w:tcBorders>
            <w:shd w:val="clear" w:color="auto" w:fill="auto"/>
            <w:noWrap/>
            <w:vAlign w:val="bottom"/>
            <w:hideMark/>
          </w:tcPr>
          <w:p w14:paraId="22FD2B50"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4.2</w:t>
            </w:r>
          </w:p>
        </w:tc>
        <w:tc>
          <w:tcPr>
            <w:tcW w:w="740" w:type="dxa"/>
            <w:tcBorders>
              <w:top w:val="nil"/>
              <w:left w:val="nil"/>
              <w:bottom w:val="single" w:sz="4" w:space="0" w:color="auto"/>
              <w:right w:val="single" w:sz="4" w:space="0" w:color="auto"/>
            </w:tcBorders>
            <w:shd w:val="clear" w:color="auto" w:fill="auto"/>
            <w:noWrap/>
            <w:vAlign w:val="bottom"/>
            <w:hideMark/>
          </w:tcPr>
          <w:p w14:paraId="657371C7"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w:t>
            </w:r>
          </w:p>
        </w:tc>
      </w:tr>
      <w:tr w:rsidR="00CD6352" w:rsidRPr="00EA7665" w14:paraId="4FDF6001"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04BFEA43"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Debt literacy</w:t>
            </w:r>
          </w:p>
        </w:tc>
        <w:tc>
          <w:tcPr>
            <w:tcW w:w="1008" w:type="dxa"/>
            <w:tcBorders>
              <w:top w:val="nil"/>
              <w:left w:val="nil"/>
              <w:bottom w:val="single" w:sz="4" w:space="0" w:color="auto"/>
              <w:right w:val="single" w:sz="4" w:space="0" w:color="auto"/>
            </w:tcBorders>
            <w:shd w:val="clear" w:color="auto" w:fill="auto"/>
            <w:noWrap/>
            <w:vAlign w:val="bottom"/>
            <w:hideMark/>
          </w:tcPr>
          <w:p w14:paraId="518AC5F5"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4.17</w:t>
            </w:r>
          </w:p>
        </w:tc>
        <w:tc>
          <w:tcPr>
            <w:tcW w:w="740" w:type="dxa"/>
            <w:tcBorders>
              <w:top w:val="nil"/>
              <w:left w:val="nil"/>
              <w:bottom w:val="single" w:sz="4" w:space="0" w:color="auto"/>
              <w:right w:val="single" w:sz="4" w:space="0" w:color="auto"/>
            </w:tcBorders>
            <w:shd w:val="clear" w:color="auto" w:fill="auto"/>
            <w:noWrap/>
            <w:vAlign w:val="bottom"/>
            <w:hideMark/>
          </w:tcPr>
          <w:p w14:paraId="53D93BFE"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5</w:t>
            </w:r>
          </w:p>
        </w:tc>
      </w:tr>
      <w:tr w:rsidR="00CD6352" w:rsidRPr="00EA7665" w14:paraId="7E742051" w14:textId="77777777" w:rsidTr="00CD6352">
        <w:trPr>
          <w:trHeight w:val="465"/>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772F34F"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Financial management concepts &amp; terms such as ( cash flow, debt – asset ratio, return on investment &amp; rate of return)</w:t>
            </w:r>
          </w:p>
        </w:tc>
        <w:tc>
          <w:tcPr>
            <w:tcW w:w="1008" w:type="dxa"/>
            <w:tcBorders>
              <w:top w:val="nil"/>
              <w:left w:val="nil"/>
              <w:bottom w:val="single" w:sz="4" w:space="0" w:color="auto"/>
              <w:right w:val="single" w:sz="4" w:space="0" w:color="auto"/>
            </w:tcBorders>
            <w:shd w:val="clear" w:color="auto" w:fill="auto"/>
            <w:noWrap/>
            <w:vAlign w:val="bottom"/>
            <w:hideMark/>
          </w:tcPr>
          <w:p w14:paraId="1FECFB96"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4.16</w:t>
            </w:r>
          </w:p>
        </w:tc>
        <w:tc>
          <w:tcPr>
            <w:tcW w:w="740" w:type="dxa"/>
            <w:tcBorders>
              <w:top w:val="nil"/>
              <w:left w:val="nil"/>
              <w:bottom w:val="single" w:sz="4" w:space="0" w:color="auto"/>
              <w:right w:val="single" w:sz="4" w:space="0" w:color="auto"/>
            </w:tcBorders>
            <w:shd w:val="clear" w:color="auto" w:fill="auto"/>
            <w:noWrap/>
            <w:vAlign w:val="bottom"/>
            <w:hideMark/>
          </w:tcPr>
          <w:p w14:paraId="617C73D2"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6</w:t>
            </w:r>
          </w:p>
        </w:tc>
      </w:tr>
      <w:tr w:rsidR="00CD6352" w:rsidRPr="00EA7665" w14:paraId="38B6B0D8"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4808CC3F"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Techniques and conditions for loan effectiveness</w:t>
            </w:r>
          </w:p>
        </w:tc>
        <w:tc>
          <w:tcPr>
            <w:tcW w:w="1008" w:type="dxa"/>
            <w:tcBorders>
              <w:top w:val="nil"/>
              <w:left w:val="nil"/>
              <w:bottom w:val="single" w:sz="4" w:space="0" w:color="auto"/>
              <w:right w:val="single" w:sz="4" w:space="0" w:color="auto"/>
            </w:tcBorders>
            <w:shd w:val="clear" w:color="auto" w:fill="auto"/>
            <w:noWrap/>
            <w:vAlign w:val="bottom"/>
            <w:hideMark/>
          </w:tcPr>
          <w:p w14:paraId="14905A71"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4.14</w:t>
            </w:r>
          </w:p>
        </w:tc>
        <w:tc>
          <w:tcPr>
            <w:tcW w:w="740" w:type="dxa"/>
            <w:tcBorders>
              <w:top w:val="nil"/>
              <w:left w:val="nil"/>
              <w:bottom w:val="single" w:sz="4" w:space="0" w:color="auto"/>
              <w:right w:val="single" w:sz="4" w:space="0" w:color="auto"/>
            </w:tcBorders>
            <w:shd w:val="clear" w:color="auto" w:fill="auto"/>
            <w:noWrap/>
            <w:vAlign w:val="bottom"/>
            <w:hideMark/>
          </w:tcPr>
          <w:p w14:paraId="00EA5475"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7</w:t>
            </w:r>
          </w:p>
        </w:tc>
      </w:tr>
      <w:tr w:rsidR="00CD6352" w:rsidRPr="00EA7665" w14:paraId="26D0605A"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53AB2BFB"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Finance options</w:t>
            </w:r>
          </w:p>
        </w:tc>
        <w:tc>
          <w:tcPr>
            <w:tcW w:w="1008" w:type="dxa"/>
            <w:tcBorders>
              <w:top w:val="nil"/>
              <w:left w:val="nil"/>
              <w:bottom w:val="single" w:sz="4" w:space="0" w:color="auto"/>
              <w:right w:val="single" w:sz="4" w:space="0" w:color="auto"/>
            </w:tcBorders>
            <w:shd w:val="clear" w:color="auto" w:fill="auto"/>
            <w:noWrap/>
            <w:vAlign w:val="bottom"/>
            <w:hideMark/>
          </w:tcPr>
          <w:p w14:paraId="68C3157F"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4.13</w:t>
            </w:r>
          </w:p>
        </w:tc>
        <w:tc>
          <w:tcPr>
            <w:tcW w:w="740" w:type="dxa"/>
            <w:tcBorders>
              <w:top w:val="nil"/>
              <w:left w:val="nil"/>
              <w:bottom w:val="single" w:sz="4" w:space="0" w:color="auto"/>
              <w:right w:val="single" w:sz="4" w:space="0" w:color="auto"/>
            </w:tcBorders>
            <w:shd w:val="clear" w:color="auto" w:fill="auto"/>
            <w:noWrap/>
            <w:vAlign w:val="bottom"/>
            <w:hideMark/>
          </w:tcPr>
          <w:p w14:paraId="1F1C96C2"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8</w:t>
            </w:r>
          </w:p>
        </w:tc>
      </w:tr>
      <w:tr w:rsidR="00CD6352" w:rsidRPr="00EA7665" w14:paraId="4451CDC0"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230D284D"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Cost calculation techniques</w:t>
            </w:r>
          </w:p>
        </w:tc>
        <w:tc>
          <w:tcPr>
            <w:tcW w:w="1008" w:type="dxa"/>
            <w:tcBorders>
              <w:top w:val="nil"/>
              <w:left w:val="nil"/>
              <w:bottom w:val="single" w:sz="4" w:space="0" w:color="auto"/>
              <w:right w:val="single" w:sz="4" w:space="0" w:color="auto"/>
            </w:tcBorders>
            <w:shd w:val="clear" w:color="auto" w:fill="auto"/>
            <w:noWrap/>
            <w:vAlign w:val="bottom"/>
            <w:hideMark/>
          </w:tcPr>
          <w:p w14:paraId="4ACFD003"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4.09</w:t>
            </w:r>
          </w:p>
        </w:tc>
        <w:tc>
          <w:tcPr>
            <w:tcW w:w="740" w:type="dxa"/>
            <w:tcBorders>
              <w:top w:val="nil"/>
              <w:left w:val="nil"/>
              <w:bottom w:val="single" w:sz="4" w:space="0" w:color="auto"/>
              <w:right w:val="single" w:sz="4" w:space="0" w:color="auto"/>
            </w:tcBorders>
            <w:shd w:val="clear" w:color="auto" w:fill="auto"/>
            <w:noWrap/>
            <w:vAlign w:val="bottom"/>
            <w:hideMark/>
          </w:tcPr>
          <w:p w14:paraId="216BEC37"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9</w:t>
            </w:r>
          </w:p>
        </w:tc>
      </w:tr>
      <w:tr w:rsidR="00CD6352" w:rsidRPr="00EA7665" w14:paraId="4DB79641"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114F1B71"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Strategies for managing risks and uncertainty</w:t>
            </w:r>
          </w:p>
        </w:tc>
        <w:tc>
          <w:tcPr>
            <w:tcW w:w="1008" w:type="dxa"/>
            <w:tcBorders>
              <w:top w:val="nil"/>
              <w:left w:val="nil"/>
              <w:bottom w:val="single" w:sz="4" w:space="0" w:color="auto"/>
              <w:right w:val="single" w:sz="4" w:space="0" w:color="auto"/>
            </w:tcBorders>
            <w:shd w:val="clear" w:color="auto" w:fill="auto"/>
            <w:noWrap/>
            <w:vAlign w:val="bottom"/>
            <w:hideMark/>
          </w:tcPr>
          <w:p w14:paraId="22DC659D"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4.07</w:t>
            </w:r>
          </w:p>
        </w:tc>
        <w:tc>
          <w:tcPr>
            <w:tcW w:w="740" w:type="dxa"/>
            <w:tcBorders>
              <w:top w:val="nil"/>
              <w:left w:val="nil"/>
              <w:bottom w:val="single" w:sz="4" w:space="0" w:color="auto"/>
              <w:right w:val="single" w:sz="4" w:space="0" w:color="auto"/>
            </w:tcBorders>
            <w:shd w:val="clear" w:color="auto" w:fill="auto"/>
            <w:noWrap/>
            <w:vAlign w:val="bottom"/>
            <w:hideMark/>
          </w:tcPr>
          <w:p w14:paraId="7C330E46"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10</w:t>
            </w:r>
          </w:p>
        </w:tc>
      </w:tr>
      <w:tr w:rsidR="00CD6352" w:rsidRPr="00EA7665" w14:paraId="53701646"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170C1B26"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Performance indicator</w:t>
            </w:r>
          </w:p>
        </w:tc>
        <w:tc>
          <w:tcPr>
            <w:tcW w:w="1008" w:type="dxa"/>
            <w:tcBorders>
              <w:top w:val="nil"/>
              <w:left w:val="nil"/>
              <w:bottom w:val="single" w:sz="4" w:space="0" w:color="auto"/>
              <w:right w:val="single" w:sz="4" w:space="0" w:color="auto"/>
            </w:tcBorders>
            <w:shd w:val="clear" w:color="auto" w:fill="auto"/>
            <w:noWrap/>
            <w:vAlign w:val="bottom"/>
            <w:hideMark/>
          </w:tcPr>
          <w:p w14:paraId="467A4AFC"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4.05</w:t>
            </w:r>
          </w:p>
        </w:tc>
        <w:tc>
          <w:tcPr>
            <w:tcW w:w="740" w:type="dxa"/>
            <w:tcBorders>
              <w:top w:val="nil"/>
              <w:left w:val="nil"/>
              <w:bottom w:val="single" w:sz="4" w:space="0" w:color="auto"/>
              <w:right w:val="single" w:sz="4" w:space="0" w:color="auto"/>
            </w:tcBorders>
            <w:shd w:val="clear" w:color="auto" w:fill="auto"/>
            <w:noWrap/>
            <w:vAlign w:val="bottom"/>
            <w:hideMark/>
          </w:tcPr>
          <w:p w14:paraId="5C9B78A4"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11</w:t>
            </w:r>
          </w:p>
        </w:tc>
      </w:tr>
      <w:tr w:rsidR="00CD6352" w:rsidRPr="00EA7665" w14:paraId="0F341215"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0E136E73"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Principles of risk and diversification</w:t>
            </w:r>
          </w:p>
        </w:tc>
        <w:tc>
          <w:tcPr>
            <w:tcW w:w="1008" w:type="dxa"/>
            <w:tcBorders>
              <w:top w:val="nil"/>
              <w:left w:val="nil"/>
              <w:bottom w:val="single" w:sz="4" w:space="0" w:color="auto"/>
              <w:right w:val="single" w:sz="4" w:space="0" w:color="auto"/>
            </w:tcBorders>
            <w:shd w:val="clear" w:color="auto" w:fill="auto"/>
            <w:noWrap/>
            <w:vAlign w:val="bottom"/>
            <w:hideMark/>
          </w:tcPr>
          <w:p w14:paraId="1A80DE4A"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4.05</w:t>
            </w:r>
          </w:p>
        </w:tc>
        <w:tc>
          <w:tcPr>
            <w:tcW w:w="740" w:type="dxa"/>
            <w:tcBorders>
              <w:top w:val="nil"/>
              <w:left w:val="nil"/>
              <w:bottom w:val="single" w:sz="4" w:space="0" w:color="auto"/>
              <w:right w:val="single" w:sz="4" w:space="0" w:color="auto"/>
            </w:tcBorders>
            <w:shd w:val="clear" w:color="auto" w:fill="auto"/>
            <w:noWrap/>
            <w:vAlign w:val="bottom"/>
            <w:hideMark/>
          </w:tcPr>
          <w:p w14:paraId="5CDC6C50"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12</w:t>
            </w:r>
          </w:p>
        </w:tc>
      </w:tr>
      <w:tr w:rsidR="00CD6352" w:rsidRPr="00EA7665" w14:paraId="2CE96D3B"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5BA65B03"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Cost estimation methods</w:t>
            </w:r>
          </w:p>
        </w:tc>
        <w:tc>
          <w:tcPr>
            <w:tcW w:w="1008" w:type="dxa"/>
            <w:tcBorders>
              <w:top w:val="nil"/>
              <w:left w:val="nil"/>
              <w:bottom w:val="single" w:sz="4" w:space="0" w:color="auto"/>
              <w:right w:val="single" w:sz="4" w:space="0" w:color="auto"/>
            </w:tcBorders>
            <w:shd w:val="clear" w:color="auto" w:fill="auto"/>
            <w:noWrap/>
            <w:vAlign w:val="bottom"/>
            <w:hideMark/>
          </w:tcPr>
          <w:p w14:paraId="17FE6273"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w:t>
            </w:r>
          </w:p>
        </w:tc>
        <w:tc>
          <w:tcPr>
            <w:tcW w:w="740" w:type="dxa"/>
            <w:tcBorders>
              <w:top w:val="nil"/>
              <w:left w:val="nil"/>
              <w:bottom w:val="single" w:sz="4" w:space="0" w:color="auto"/>
              <w:right w:val="single" w:sz="4" w:space="0" w:color="auto"/>
            </w:tcBorders>
            <w:shd w:val="clear" w:color="auto" w:fill="auto"/>
            <w:noWrap/>
            <w:vAlign w:val="bottom"/>
            <w:hideMark/>
          </w:tcPr>
          <w:p w14:paraId="15139FE2"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13</w:t>
            </w:r>
          </w:p>
        </w:tc>
      </w:tr>
      <w:tr w:rsidR="00CD6352" w:rsidRPr="00EA7665" w14:paraId="6D0EAFEC"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121038E4"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 xml:space="preserve">Relevant conventions, agreement, legislation and regulations </w:t>
            </w:r>
          </w:p>
        </w:tc>
        <w:tc>
          <w:tcPr>
            <w:tcW w:w="1008" w:type="dxa"/>
            <w:tcBorders>
              <w:top w:val="nil"/>
              <w:left w:val="nil"/>
              <w:bottom w:val="single" w:sz="4" w:space="0" w:color="auto"/>
              <w:right w:val="single" w:sz="4" w:space="0" w:color="auto"/>
            </w:tcBorders>
            <w:shd w:val="clear" w:color="auto" w:fill="auto"/>
            <w:noWrap/>
            <w:vAlign w:val="bottom"/>
            <w:hideMark/>
          </w:tcPr>
          <w:p w14:paraId="13634F1C"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w:t>
            </w:r>
          </w:p>
        </w:tc>
        <w:tc>
          <w:tcPr>
            <w:tcW w:w="740" w:type="dxa"/>
            <w:tcBorders>
              <w:top w:val="nil"/>
              <w:left w:val="nil"/>
              <w:bottom w:val="single" w:sz="4" w:space="0" w:color="auto"/>
              <w:right w:val="single" w:sz="4" w:space="0" w:color="auto"/>
            </w:tcBorders>
            <w:shd w:val="clear" w:color="auto" w:fill="auto"/>
            <w:noWrap/>
            <w:vAlign w:val="bottom"/>
            <w:hideMark/>
          </w:tcPr>
          <w:p w14:paraId="63DE9533"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14</w:t>
            </w:r>
          </w:p>
        </w:tc>
      </w:tr>
      <w:tr w:rsidR="00CD6352" w:rsidRPr="00EA7665" w14:paraId="1D4392E2"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677FEE3D"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Contingency approach</w:t>
            </w:r>
          </w:p>
        </w:tc>
        <w:tc>
          <w:tcPr>
            <w:tcW w:w="1008" w:type="dxa"/>
            <w:tcBorders>
              <w:top w:val="nil"/>
              <w:left w:val="nil"/>
              <w:bottom w:val="single" w:sz="4" w:space="0" w:color="auto"/>
              <w:right w:val="single" w:sz="4" w:space="0" w:color="auto"/>
            </w:tcBorders>
            <w:shd w:val="clear" w:color="auto" w:fill="auto"/>
            <w:noWrap/>
            <w:vAlign w:val="bottom"/>
            <w:hideMark/>
          </w:tcPr>
          <w:p w14:paraId="31E37D97"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3.98</w:t>
            </w:r>
          </w:p>
        </w:tc>
        <w:tc>
          <w:tcPr>
            <w:tcW w:w="740" w:type="dxa"/>
            <w:tcBorders>
              <w:top w:val="nil"/>
              <w:left w:val="nil"/>
              <w:bottom w:val="single" w:sz="4" w:space="0" w:color="auto"/>
              <w:right w:val="single" w:sz="4" w:space="0" w:color="auto"/>
            </w:tcBorders>
            <w:shd w:val="clear" w:color="auto" w:fill="auto"/>
            <w:noWrap/>
            <w:vAlign w:val="bottom"/>
            <w:hideMark/>
          </w:tcPr>
          <w:p w14:paraId="7F55E51D"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15</w:t>
            </w:r>
          </w:p>
        </w:tc>
      </w:tr>
      <w:tr w:rsidR="00CD6352" w:rsidRPr="00EA7665" w14:paraId="2AF5C038"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446699A1"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 xml:space="preserve">Risks and opportunities response strategies and </w:t>
            </w:r>
            <w:r>
              <w:rPr>
                <w:rFonts w:ascii="Arial" w:eastAsia="Times New Roman" w:hAnsi="Arial" w:cs="Arial"/>
                <w:color w:val="000000"/>
                <w:sz w:val="16"/>
                <w:szCs w:val="16"/>
                <w:lang w:eastAsia="en-GB"/>
              </w:rPr>
              <w:t>planning</w:t>
            </w:r>
          </w:p>
        </w:tc>
        <w:tc>
          <w:tcPr>
            <w:tcW w:w="1008" w:type="dxa"/>
            <w:tcBorders>
              <w:top w:val="nil"/>
              <w:left w:val="nil"/>
              <w:bottom w:val="single" w:sz="4" w:space="0" w:color="auto"/>
              <w:right w:val="single" w:sz="4" w:space="0" w:color="auto"/>
            </w:tcBorders>
            <w:shd w:val="clear" w:color="auto" w:fill="auto"/>
            <w:noWrap/>
            <w:vAlign w:val="bottom"/>
            <w:hideMark/>
          </w:tcPr>
          <w:p w14:paraId="2F2091CD"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3.96</w:t>
            </w:r>
          </w:p>
        </w:tc>
        <w:tc>
          <w:tcPr>
            <w:tcW w:w="740" w:type="dxa"/>
            <w:tcBorders>
              <w:top w:val="nil"/>
              <w:left w:val="nil"/>
              <w:bottom w:val="single" w:sz="4" w:space="0" w:color="auto"/>
              <w:right w:val="single" w:sz="4" w:space="0" w:color="auto"/>
            </w:tcBorders>
            <w:shd w:val="clear" w:color="auto" w:fill="auto"/>
            <w:noWrap/>
            <w:vAlign w:val="bottom"/>
            <w:hideMark/>
          </w:tcPr>
          <w:p w14:paraId="0F8636EC"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16</w:t>
            </w:r>
          </w:p>
        </w:tc>
      </w:tr>
      <w:tr w:rsidR="00CD6352" w:rsidRPr="00EA7665" w14:paraId="7EC60C8B" w14:textId="77777777" w:rsidTr="00CD6352">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30DBFEEF"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Process and governance for cost management</w:t>
            </w:r>
          </w:p>
        </w:tc>
        <w:tc>
          <w:tcPr>
            <w:tcW w:w="1008" w:type="dxa"/>
            <w:tcBorders>
              <w:top w:val="nil"/>
              <w:left w:val="nil"/>
              <w:bottom w:val="single" w:sz="4" w:space="0" w:color="auto"/>
              <w:right w:val="single" w:sz="4" w:space="0" w:color="auto"/>
            </w:tcBorders>
            <w:shd w:val="clear" w:color="auto" w:fill="auto"/>
            <w:noWrap/>
            <w:vAlign w:val="bottom"/>
            <w:hideMark/>
          </w:tcPr>
          <w:p w14:paraId="02CFE175"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3.93</w:t>
            </w:r>
          </w:p>
        </w:tc>
        <w:tc>
          <w:tcPr>
            <w:tcW w:w="740" w:type="dxa"/>
            <w:tcBorders>
              <w:top w:val="nil"/>
              <w:left w:val="nil"/>
              <w:bottom w:val="single" w:sz="4" w:space="0" w:color="auto"/>
              <w:right w:val="single" w:sz="4" w:space="0" w:color="auto"/>
            </w:tcBorders>
            <w:shd w:val="clear" w:color="auto" w:fill="auto"/>
            <w:noWrap/>
            <w:vAlign w:val="bottom"/>
            <w:hideMark/>
          </w:tcPr>
          <w:p w14:paraId="7C08F5AE"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17</w:t>
            </w:r>
          </w:p>
        </w:tc>
      </w:tr>
    </w:tbl>
    <w:p w14:paraId="0EDC3CD7" w14:textId="00A1F771" w:rsidR="00CD6352" w:rsidRDefault="00CD6352" w:rsidP="00CD6352">
      <w:pPr>
        <w:spacing w:line="360" w:lineRule="auto"/>
        <w:jc w:val="both"/>
        <w:rPr>
          <w:rFonts w:ascii="Arial" w:hAnsi="Arial" w:cs="Arial"/>
          <w:sz w:val="16"/>
          <w:szCs w:val="16"/>
        </w:rPr>
      </w:pPr>
      <w:r w:rsidRPr="00EA7665">
        <w:rPr>
          <w:rFonts w:ascii="Arial" w:hAnsi="Arial" w:cs="Arial"/>
          <w:sz w:val="16"/>
          <w:szCs w:val="16"/>
        </w:rPr>
        <w:t>Not important at all</w:t>
      </w:r>
      <w:r w:rsidRPr="00EA7665">
        <w:rPr>
          <w:rFonts w:ascii="Arial" w:hAnsi="Arial" w:cs="Arial"/>
          <w:sz w:val="16"/>
          <w:szCs w:val="16"/>
        </w:rPr>
        <w:tab/>
        <w:t>(1), Less important(2), Fairly important(3), Important(4) Very important(5)</w:t>
      </w:r>
    </w:p>
    <w:p w14:paraId="609E52F6" w14:textId="77777777" w:rsidR="001A6B6E" w:rsidRPr="00EA7665" w:rsidRDefault="001A6B6E" w:rsidP="00CD6352">
      <w:pPr>
        <w:spacing w:line="360" w:lineRule="auto"/>
        <w:jc w:val="both"/>
        <w:rPr>
          <w:rFonts w:ascii="Arial" w:hAnsi="Arial" w:cs="Arial"/>
          <w:sz w:val="16"/>
          <w:szCs w:val="16"/>
        </w:rPr>
      </w:pPr>
    </w:p>
    <w:p w14:paraId="2DC9D294" w14:textId="27132C9D" w:rsidR="00CD6352" w:rsidRDefault="00CD6352" w:rsidP="00CD6352">
      <w:pPr>
        <w:pStyle w:val="Heading4"/>
        <w:spacing w:after="240"/>
        <w:rPr>
          <w:rFonts w:ascii="Arial" w:hAnsi="Arial" w:cs="Arial"/>
          <w:color w:val="auto"/>
        </w:rPr>
      </w:pPr>
      <w:r w:rsidRPr="00EA7665">
        <w:rPr>
          <w:rFonts w:ascii="Arial" w:hAnsi="Arial" w:cs="Arial"/>
          <w:color w:val="auto"/>
        </w:rPr>
        <w:lastRenderedPageBreak/>
        <w:t>Questionnaire survey discussion and analysis at the disaggregate level</w:t>
      </w:r>
    </w:p>
    <w:p w14:paraId="4A17D107" w14:textId="11C26923" w:rsidR="009C489D" w:rsidRPr="00EA7665" w:rsidRDefault="00E43EAE" w:rsidP="009C489D">
      <w:pPr>
        <w:spacing w:line="360" w:lineRule="auto"/>
        <w:jc w:val="both"/>
        <w:rPr>
          <w:rFonts w:ascii="Arial" w:hAnsi="Arial" w:cs="Arial"/>
        </w:rPr>
      </w:pPr>
      <w:r>
        <w:rPr>
          <w:rFonts w:ascii="Arial" w:hAnsi="Arial" w:cs="Arial"/>
        </w:rPr>
        <w:t xml:space="preserve">Appendix 1 table </w:t>
      </w:r>
      <w:r w:rsidR="00E50FC1">
        <w:rPr>
          <w:rFonts w:ascii="Arial" w:hAnsi="Arial" w:cs="Arial"/>
        </w:rPr>
        <w:t>5</w:t>
      </w:r>
      <w:r w:rsidR="009C489D" w:rsidRPr="00EA7665">
        <w:rPr>
          <w:rFonts w:ascii="Arial" w:hAnsi="Arial" w:cs="Arial"/>
        </w:rPr>
        <w:t xml:space="preserve"> represents the degree of importance of management knowledge for securing finance for real estate project development at the disaggregate level based on the survey questionnaire responses. The </w:t>
      </w:r>
      <w:r w:rsidR="009C489D">
        <w:rPr>
          <w:rFonts w:ascii="Arial" w:hAnsi="Arial" w:cs="Arial"/>
        </w:rPr>
        <w:t>mean</w:t>
      </w:r>
      <w:r w:rsidR="009C489D" w:rsidRPr="00EA7665">
        <w:rPr>
          <w:rFonts w:ascii="Arial" w:hAnsi="Arial" w:cs="Arial"/>
        </w:rPr>
        <w:t xml:space="preserve"> sco</w:t>
      </w:r>
      <w:r w:rsidR="009C489D">
        <w:rPr>
          <w:rFonts w:ascii="Arial" w:hAnsi="Arial" w:cs="Arial"/>
        </w:rPr>
        <w:t>re</w:t>
      </w:r>
      <w:r w:rsidR="009C489D" w:rsidRPr="00EA7665">
        <w:rPr>
          <w:rFonts w:ascii="Arial" w:hAnsi="Arial" w:cs="Arial"/>
        </w:rPr>
        <w:t xml:space="preserve"> range </w:t>
      </w:r>
      <w:r w:rsidR="004061C6">
        <w:rPr>
          <w:rFonts w:ascii="Arial" w:hAnsi="Arial" w:cs="Arial"/>
        </w:rPr>
        <w:t>is Germany (4.67 to 3.67), UK (4.27 to 3.3), the US (5 to 3.75), China (4.2 to 3.5), Nigeria (4.43 to 4.05) and South Africa (4.67 to 4). The mean score range for the different countries demonstrates that the survey respondents consider all the seventeen-management knowledge as significant for securing finance for real estate project development</w:t>
      </w:r>
      <w:r w:rsidR="009C489D" w:rsidRPr="00EA7665">
        <w:rPr>
          <w:rFonts w:ascii="Arial" w:hAnsi="Arial" w:cs="Arial"/>
        </w:rPr>
        <w:t>.</w:t>
      </w:r>
    </w:p>
    <w:p w14:paraId="6196B0B9" w14:textId="6EA02BEF" w:rsidR="00CD6352" w:rsidRPr="00EA7665" w:rsidRDefault="00CD6352" w:rsidP="00CD6352">
      <w:pPr>
        <w:spacing w:line="360" w:lineRule="auto"/>
        <w:jc w:val="both"/>
        <w:rPr>
          <w:rFonts w:ascii="Arial" w:hAnsi="Arial" w:cs="Arial"/>
        </w:rPr>
      </w:pPr>
      <w:r w:rsidRPr="00EA7665">
        <w:rPr>
          <w:rFonts w:ascii="Arial" w:hAnsi="Arial" w:cs="Arial"/>
        </w:rPr>
        <w:t xml:space="preserve">The top five management knowledge for securing finance for real estate project development </w:t>
      </w:r>
      <w:r w:rsidR="005D6218">
        <w:rPr>
          <w:rFonts w:ascii="Arial" w:hAnsi="Arial" w:cs="Arial"/>
        </w:rPr>
        <w:t>is considered important by managers in the three developed and three emerging economies covered in this study are shown below</w:t>
      </w:r>
      <w:r w:rsidRPr="00EA7665">
        <w:rPr>
          <w:rFonts w:ascii="Arial" w:hAnsi="Arial" w:cs="Arial"/>
        </w:rPr>
        <w:t xml:space="preserve">. Notably, knowledge of finance sources is recognised amongst the five </w:t>
      </w:r>
      <w:r w:rsidR="00EE12EB" w:rsidRPr="00EA7665">
        <w:rPr>
          <w:rFonts w:ascii="Arial" w:hAnsi="Arial" w:cs="Arial"/>
        </w:rPr>
        <w:t>topmost</w:t>
      </w:r>
      <w:r w:rsidRPr="00EA7665">
        <w:rPr>
          <w:rFonts w:ascii="Arial" w:hAnsi="Arial" w:cs="Arial"/>
        </w:rPr>
        <w:t xml:space="preserve"> important management knowled</w:t>
      </w:r>
      <w:r>
        <w:rPr>
          <w:rFonts w:ascii="Arial" w:hAnsi="Arial" w:cs="Arial"/>
        </w:rPr>
        <w:t>ge</w:t>
      </w:r>
      <w:r w:rsidRPr="00EA7665">
        <w:rPr>
          <w:rFonts w:ascii="Arial" w:hAnsi="Arial" w:cs="Arial"/>
        </w:rPr>
        <w:t xml:space="preserve"> for securing finance for real estate project development in all the countries apart from </w:t>
      </w:r>
      <w:r>
        <w:rPr>
          <w:rFonts w:ascii="Arial" w:hAnsi="Arial" w:cs="Arial"/>
        </w:rPr>
        <w:t xml:space="preserve">the </w:t>
      </w:r>
      <w:r w:rsidRPr="00EA7665">
        <w:rPr>
          <w:rFonts w:ascii="Arial" w:hAnsi="Arial" w:cs="Arial"/>
        </w:rPr>
        <w:t xml:space="preserve">US. </w:t>
      </w:r>
      <w:r>
        <w:rPr>
          <w:rFonts w:ascii="Arial" w:hAnsi="Arial" w:cs="Arial"/>
        </w:rPr>
        <w:t>Debt</w:t>
      </w:r>
      <w:r w:rsidRPr="00EA7665">
        <w:rPr>
          <w:rFonts w:ascii="Arial" w:hAnsi="Arial" w:cs="Arial"/>
        </w:rPr>
        <w:t xml:space="preserve"> </w:t>
      </w:r>
      <w:r>
        <w:rPr>
          <w:rFonts w:ascii="Arial" w:hAnsi="Arial" w:cs="Arial"/>
        </w:rPr>
        <w:t>literacy</w:t>
      </w:r>
      <w:r w:rsidRPr="00EA7665">
        <w:rPr>
          <w:rFonts w:ascii="Arial" w:hAnsi="Arial" w:cs="Arial"/>
        </w:rPr>
        <w:t xml:space="preserve"> and market intelligence</w:t>
      </w:r>
      <w:r>
        <w:rPr>
          <w:rFonts w:ascii="Arial" w:hAnsi="Arial" w:cs="Arial"/>
        </w:rPr>
        <w:t>,</w:t>
      </w:r>
      <w:r w:rsidRPr="00EA7665">
        <w:rPr>
          <w:rFonts w:ascii="Arial" w:hAnsi="Arial" w:cs="Arial"/>
        </w:rPr>
        <w:t xml:space="preserve"> which featu</w:t>
      </w:r>
      <w:r>
        <w:rPr>
          <w:rFonts w:ascii="Arial" w:hAnsi="Arial" w:cs="Arial"/>
        </w:rPr>
        <w:t>re</w:t>
      </w:r>
      <w:r w:rsidR="0010219A">
        <w:rPr>
          <w:rFonts w:ascii="Arial" w:hAnsi="Arial" w:cs="Arial"/>
        </w:rPr>
        <w:t>d</w:t>
      </w:r>
      <w:r w:rsidRPr="00EA7665">
        <w:rPr>
          <w:rFonts w:ascii="Arial" w:hAnsi="Arial" w:cs="Arial"/>
        </w:rPr>
        <w:t xml:space="preserve"> amongst the top manag</w:t>
      </w:r>
      <w:r>
        <w:rPr>
          <w:rFonts w:ascii="Arial" w:hAnsi="Arial" w:cs="Arial"/>
        </w:rPr>
        <w:t>e</w:t>
      </w:r>
      <w:r w:rsidRPr="00EA7665">
        <w:rPr>
          <w:rFonts w:ascii="Arial" w:hAnsi="Arial" w:cs="Arial"/>
        </w:rPr>
        <w:t>me</w:t>
      </w:r>
      <w:r>
        <w:rPr>
          <w:rFonts w:ascii="Arial" w:hAnsi="Arial" w:cs="Arial"/>
        </w:rPr>
        <w:t>nt</w:t>
      </w:r>
      <w:r w:rsidRPr="00EA7665">
        <w:rPr>
          <w:rFonts w:ascii="Arial" w:hAnsi="Arial" w:cs="Arial"/>
        </w:rPr>
        <w:t xml:space="preserve"> knowledge</w:t>
      </w:r>
      <w:r w:rsidR="0010219A">
        <w:rPr>
          <w:rFonts w:ascii="Arial" w:hAnsi="Arial" w:cs="Arial"/>
        </w:rPr>
        <w:t>,</w:t>
      </w:r>
      <w:r w:rsidRPr="00EA7665">
        <w:rPr>
          <w:rFonts w:ascii="Arial" w:hAnsi="Arial" w:cs="Arial"/>
        </w:rPr>
        <w:t xml:space="preserve"> perfor</w:t>
      </w:r>
      <w:r>
        <w:rPr>
          <w:rFonts w:ascii="Arial" w:hAnsi="Arial" w:cs="Arial"/>
        </w:rPr>
        <w:t>m</w:t>
      </w:r>
      <w:r w:rsidRPr="00EA7665">
        <w:rPr>
          <w:rFonts w:ascii="Arial" w:hAnsi="Arial" w:cs="Arial"/>
        </w:rPr>
        <w:t xml:space="preserve"> similar functions as knowledge of finance options</w:t>
      </w:r>
      <w:r>
        <w:rPr>
          <w:rFonts w:ascii="Arial" w:hAnsi="Arial" w:cs="Arial"/>
        </w:rPr>
        <w:t xml:space="preserve"> (Nur et al</w:t>
      </w:r>
      <w:r w:rsidR="0010219A">
        <w:rPr>
          <w:rFonts w:ascii="Arial" w:hAnsi="Arial" w:cs="Arial"/>
        </w:rPr>
        <w:t>.</w:t>
      </w:r>
      <w:r>
        <w:rPr>
          <w:rFonts w:ascii="Arial" w:hAnsi="Arial" w:cs="Arial"/>
        </w:rPr>
        <w:t>, 2018)</w:t>
      </w:r>
      <w:r w:rsidRPr="00EA7665">
        <w:rPr>
          <w:rFonts w:ascii="Arial" w:hAnsi="Arial" w:cs="Arial"/>
        </w:rPr>
        <w:t xml:space="preserve">. Financial accounting basics and performance indicators also </w:t>
      </w:r>
      <w:r w:rsidR="00B80F78">
        <w:rPr>
          <w:rFonts w:ascii="Arial" w:hAnsi="Arial" w:cs="Arial"/>
        </w:rPr>
        <w:t>feature</w:t>
      </w:r>
      <w:r w:rsidR="00B80F78" w:rsidRPr="00EA7665">
        <w:rPr>
          <w:rFonts w:ascii="Arial" w:hAnsi="Arial" w:cs="Arial"/>
        </w:rPr>
        <w:t xml:space="preserve"> prominently</w:t>
      </w:r>
      <w:r w:rsidRPr="00EA7665">
        <w:rPr>
          <w:rFonts w:ascii="Arial" w:hAnsi="Arial" w:cs="Arial"/>
        </w:rPr>
        <w:t xml:space="preserve"> in both the developed and emerging </w:t>
      </w:r>
      <w:r>
        <w:rPr>
          <w:rFonts w:ascii="Arial" w:hAnsi="Arial" w:cs="Arial"/>
        </w:rPr>
        <w:t>economies.</w:t>
      </w:r>
    </w:p>
    <w:p w14:paraId="6D068CFF" w14:textId="77777777" w:rsidR="00CD6352" w:rsidRPr="00EA7665" w:rsidRDefault="00CD6352" w:rsidP="00CD6352">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8"/>
        <w:gridCol w:w="3008"/>
      </w:tblGrid>
      <w:tr w:rsidR="00CD6352" w:rsidRPr="00EA7665" w14:paraId="7FC7F0A0" w14:textId="77777777" w:rsidTr="00CD6352">
        <w:trPr>
          <w:trHeight w:val="2387"/>
        </w:trPr>
        <w:tc>
          <w:tcPr>
            <w:tcW w:w="3080" w:type="dxa"/>
          </w:tcPr>
          <w:p w14:paraId="2F5C055A"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Germany</w:t>
            </w:r>
          </w:p>
          <w:p w14:paraId="78462B21" w14:textId="77777777" w:rsidR="00CD6352" w:rsidRPr="00EA7665" w:rsidRDefault="00CD6352" w:rsidP="00C74AEC">
            <w:pPr>
              <w:pStyle w:val="ListParagraph"/>
              <w:numPr>
                <w:ilvl w:val="0"/>
                <w:numId w:val="149"/>
              </w:numPr>
              <w:spacing w:after="0" w:line="360" w:lineRule="auto"/>
              <w:jc w:val="both"/>
              <w:rPr>
                <w:rFonts w:ascii="Arial" w:hAnsi="Arial" w:cs="Arial"/>
                <w:sz w:val="16"/>
                <w:szCs w:val="16"/>
              </w:rPr>
            </w:pPr>
            <w:r w:rsidRPr="00EA7665">
              <w:rPr>
                <w:rFonts w:ascii="Arial" w:hAnsi="Arial" w:cs="Arial"/>
                <w:sz w:val="16"/>
                <w:szCs w:val="16"/>
              </w:rPr>
              <w:t>Funding sources</w:t>
            </w:r>
          </w:p>
          <w:p w14:paraId="36F17E3C" w14:textId="77777777" w:rsidR="00CD6352" w:rsidRPr="00EA7665" w:rsidRDefault="00CD6352" w:rsidP="00C74AEC">
            <w:pPr>
              <w:pStyle w:val="ListParagraph"/>
              <w:numPr>
                <w:ilvl w:val="0"/>
                <w:numId w:val="149"/>
              </w:numPr>
              <w:spacing w:after="0" w:line="360" w:lineRule="auto"/>
              <w:jc w:val="both"/>
              <w:rPr>
                <w:rFonts w:ascii="Arial" w:hAnsi="Arial" w:cs="Arial"/>
                <w:sz w:val="16"/>
                <w:szCs w:val="16"/>
              </w:rPr>
            </w:pPr>
            <w:r w:rsidRPr="00EA7665">
              <w:rPr>
                <w:rFonts w:ascii="Arial" w:hAnsi="Arial" w:cs="Arial"/>
                <w:sz w:val="16"/>
                <w:szCs w:val="16"/>
              </w:rPr>
              <w:t xml:space="preserve">Financial accounting basics </w:t>
            </w:r>
          </w:p>
          <w:p w14:paraId="69849757" w14:textId="77777777" w:rsidR="00CD6352" w:rsidRPr="00EA7665" w:rsidRDefault="00CD6352" w:rsidP="00C74AEC">
            <w:pPr>
              <w:pStyle w:val="ListParagraph"/>
              <w:numPr>
                <w:ilvl w:val="0"/>
                <w:numId w:val="149"/>
              </w:numPr>
              <w:spacing w:after="0" w:line="360" w:lineRule="auto"/>
              <w:jc w:val="both"/>
              <w:rPr>
                <w:rFonts w:ascii="Arial" w:hAnsi="Arial" w:cs="Arial"/>
                <w:sz w:val="16"/>
                <w:szCs w:val="16"/>
              </w:rPr>
            </w:pPr>
            <w:r w:rsidRPr="00EA7665">
              <w:rPr>
                <w:rFonts w:ascii="Arial" w:hAnsi="Arial" w:cs="Arial"/>
                <w:sz w:val="16"/>
                <w:szCs w:val="16"/>
              </w:rPr>
              <w:t>Finance options</w:t>
            </w:r>
          </w:p>
          <w:p w14:paraId="1EAED2C1" w14:textId="77777777" w:rsidR="00CD6352" w:rsidRPr="00EA7665" w:rsidRDefault="00CD6352" w:rsidP="00C74AEC">
            <w:pPr>
              <w:pStyle w:val="ListParagraph"/>
              <w:numPr>
                <w:ilvl w:val="0"/>
                <w:numId w:val="149"/>
              </w:numPr>
              <w:spacing w:after="0" w:line="360" w:lineRule="auto"/>
              <w:jc w:val="both"/>
              <w:rPr>
                <w:rFonts w:ascii="Arial" w:hAnsi="Arial" w:cs="Arial"/>
                <w:sz w:val="16"/>
                <w:szCs w:val="16"/>
              </w:rPr>
            </w:pPr>
            <w:r w:rsidRPr="00EA7665">
              <w:rPr>
                <w:rFonts w:ascii="Arial" w:hAnsi="Arial" w:cs="Arial"/>
                <w:sz w:val="16"/>
                <w:szCs w:val="16"/>
              </w:rPr>
              <w:t>Cost calculation techniques</w:t>
            </w:r>
          </w:p>
          <w:p w14:paraId="33D7EA0A" w14:textId="77777777" w:rsidR="00CD6352" w:rsidRPr="00EA7665" w:rsidRDefault="00CD6352" w:rsidP="00C74AEC">
            <w:pPr>
              <w:pStyle w:val="ListParagraph"/>
              <w:numPr>
                <w:ilvl w:val="0"/>
                <w:numId w:val="149"/>
              </w:numPr>
              <w:spacing w:after="0" w:line="360" w:lineRule="auto"/>
              <w:jc w:val="both"/>
              <w:rPr>
                <w:rFonts w:ascii="Arial" w:hAnsi="Arial" w:cs="Arial"/>
                <w:sz w:val="16"/>
                <w:szCs w:val="16"/>
              </w:rPr>
            </w:pPr>
            <w:r w:rsidRPr="00EA7665">
              <w:rPr>
                <w:rFonts w:ascii="Arial" w:hAnsi="Arial" w:cs="Arial"/>
                <w:sz w:val="16"/>
                <w:szCs w:val="16"/>
              </w:rPr>
              <w:t>Performance indicator</w:t>
            </w:r>
          </w:p>
          <w:p w14:paraId="7D3A56BF" w14:textId="77777777" w:rsidR="00CD6352" w:rsidRPr="00EA7665" w:rsidRDefault="00CD6352" w:rsidP="00CD6352">
            <w:pPr>
              <w:spacing w:line="360" w:lineRule="auto"/>
              <w:jc w:val="both"/>
              <w:rPr>
                <w:rFonts w:ascii="Arial" w:hAnsi="Arial" w:cs="Arial"/>
                <w:sz w:val="16"/>
                <w:szCs w:val="16"/>
              </w:rPr>
            </w:pPr>
          </w:p>
        </w:tc>
        <w:tc>
          <w:tcPr>
            <w:tcW w:w="3081" w:type="dxa"/>
          </w:tcPr>
          <w:p w14:paraId="421EEAC7"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UK</w:t>
            </w:r>
          </w:p>
          <w:p w14:paraId="3721A4D7" w14:textId="77777777" w:rsidR="00CD6352" w:rsidRPr="00EA7665" w:rsidRDefault="00CD6352" w:rsidP="00C74AEC">
            <w:pPr>
              <w:pStyle w:val="ListParagraph"/>
              <w:numPr>
                <w:ilvl w:val="0"/>
                <w:numId w:val="150"/>
              </w:numPr>
              <w:spacing w:after="0" w:line="360" w:lineRule="auto"/>
              <w:jc w:val="both"/>
              <w:rPr>
                <w:rFonts w:ascii="Arial" w:hAnsi="Arial" w:cs="Arial"/>
                <w:sz w:val="16"/>
                <w:szCs w:val="16"/>
              </w:rPr>
            </w:pPr>
            <w:r w:rsidRPr="00EA7665">
              <w:rPr>
                <w:rFonts w:ascii="Arial" w:hAnsi="Arial" w:cs="Arial"/>
                <w:sz w:val="16"/>
                <w:szCs w:val="16"/>
              </w:rPr>
              <w:t>Debt literacy</w:t>
            </w:r>
          </w:p>
          <w:p w14:paraId="20BDB010" w14:textId="77777777" w:rsidR="00CD6352" w:rsidRPr="00EA7665" w:rsidRDefault="00CD6352" w:rsidP="00C74AEC">
            <w:pPr>
              <w:pStyle w:val="ListParagraph"/>
              <w:numPr>
                <w:ilvl w:val="0"/>
                <w:numId w:val="150"/>
              </w:numPr>
              <w:spacing w:after="0" w:line="360" w:lineRule="auto"/>
              <w:jc w:val="both"/>
              <w:rPr>
                <w:rFonts w:ascii="Arial" w:hAnsi="Arial" w:cs="Arial"/>
                <w:sz w:val="16"/>
                <w:szCs w:val="16"/>
              </w:rPr>
            </w:pPr>
            <w:r w:rsidRPr="00EA7665">
              <w:rPr>
                <w:rFonts w:ascii="Arial" w:hAnsi="Arial" w:cs="Arial"/>
                <w:sz w:val="16"/>
                <w:szCs w:val="16"/>
              </w:rPr>
              <w:t>Funding sources</w:t>
            </w:r>
          </w:p>
          <w:p w14:paraId="28181521" w14:textId="77777777" w:rsidR="00CD6352" w:rsidRPr="00EA7665" w:rsidRDefault="00CD6352" w:rsidP="00C74AEC">
            <w:pPr>
              <w:pStyle w:val="ListParagraph"/>
              <w:numPr>
                <w:ilvl w:val="0"/>
                <w:numId w:val="150"/>
              </w:numPr>
              <w:spacing w:after="0" w:line="360" w:lineRule="auto"/>
              <w:jc w:val="both"/>
              <w:rPr>
                <w:rFonts w:ascii="Arial" w:hAnsi="Arial" w:cs="Arial"/>
                <w:sz w:val="16"/>
                <w:szCs w:val="16"/>
              </w:rPr>
            </w:pPr>
            <w:r w:rsidRPr="00EA7665">
              <w:rPr>
                <w:rFonts w:ascii="Arial" w:hAnsi="Arial" w:cs="Arial"/>
                <w:sz w:val="16"/>
                <w:szCs w:val="16"/>
              </w:rPr>
              <w:t xml:space="preserve">Financial accounting basics </w:t>
            </w:r>
          </w:p>
          <w:p w14:paraId="3EEF591F" w14:textId="77777777" w:rsidR="00CD6352" w:rsidRPr="00EA7665" w:rsidRDefault="00CD6352" w:rsidP="00C74AEC">
            <w:pPr>
              <w:pStyle w:val="ListParagraph"/>
              <w:numPr>
                <w:ilvl w:val="0"/>
                <w:numId w:val="150"/>
              </w:numPr>
              <w:spacing w:after="0" w:line="360" w:lineRule="auto"/>
              <w:jc w:val="both"/>
              <w:rPr>
                <w:rFonts w:ascii="Arial" w:hAnsi="Arial" w:cs="Arial"/>
                <w:sz w:val="16"/>
                <w:szCs w:val="16"/>
              </w:rPr>
            </w:pPr>
            <w:r w:rsidRPr="00EA7665">
              <w:rPr>
                <w:rFonts w:ascii="Arial" w:hAnsi="Arial" w:cs="Arial"/>
                <w:sz w:val="16"/>
                <w:szCs w:val="16"/>
              </w:rPr>
              <w:t xml:space="preserve">Market intelligence </w:t>
            </w:r>
          </w:p>
          <w:p w14:paraId="7F3AD4B2" w14:textId="77777777" w:rsidR="00CD6352" w:rsidRPr="00EA7665" w:rsidRDefault="00CD6352" w:rsidP="00C74AEC">
            <w:pPr>
              <w:pStyle w:val="ListParagraph"/>
              <w:numPr>
                <w:ilvl w:val="0"/>
                <w:numId w:val="150"/>
              </w:numPr>
              <w:spacing w:after="0" w:line="360" w:lineRule="auto"/>
              <w:jc w:val="both"/>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tc>
        <w:tc>
          <w:tcPr>
            <w:tcW w:w="3081" w:type="dxa"/>
          </w:tcPr>
          <w:p w14:paraId="0EFEBA16"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US</w:t>
            </w:r>
          </w:p>
          <w:p w14:paraId="5D359690" w14:textId="77777777" w:rsidR="00CD6352" w:rsidRPr="00EA7665" w:rsidRDefault="00CD6352" w:rsidP="00C74AEC">
            <w:pPr>
              <w:pStyle w:val="ListParagraph"/>
              <w:numPr>
                <w:ilvl w:val="0"/>
                <w:numId w:val="151"/>
              </w:numPr>
              <w:spacing w:after="0" w:line="360" w:lineRule="auto"/>
              <w:jc w:val="both"/>
              <w:rPr>
                <w:rFonts w:ascii="Arial" w:hAnsi="Arial" w:cs="Arial"/>
                <w:sz w:val="16"/>
                <w:szCs w:val="16"/>
              </w:rPr>
            </w:pPr>
            <w:r w:rsidRPr="00EA7665">
              <w:rPr>
                <w:rFonts w:ascii="Arial" w:hAnsi="Arial" w:cs="Arial"/>
                <w:sz w:val="16"/>
                <w:szCs w:val="16"/>
              </w:rPr>
              <w:t>Debt literacy</w:t>
            </w:r>
          </w:p>
          <w:p w14:paraId="6BDDF178" w14:textId="77777777" w:rsidR="00CD6352" w:rsidRPr="00EA7665" w:rsidRDefault="00CD6352" w:rsidP="00C74AEC">
            <w:pPr>
              <w:pStyle w:val="ListParagraph"/>
              <w:numPr>
                <w:ilvl w:val="0"/>
                <w:numId w:val="151"/>
              </w:numPr>
              <w:spacing w:after="0" w:line="360" w:lineRule="auto"/>
              <w:jc w:val="both"/>
              <w:rPr>
                <w:rFonts w:ascii="Arial" w:hAnsi="Arial" w:cs="Arial"/>
                <w:sz w:val="16"/>
                <w:szCs w:val="16"/>
              </w:rPr>
            </w:pPr>
            <w:r w:rsidRPr="00EA7665">
              <w:rPr>
                <w:rFonts w:ascii="Arial" w:hAnsi="Arial" w:cs="Arial"/>
                <w:sz w:val="16"/>
                <w:szCs w:val="16"/>
              </w:rPr>
              <w:t xml:space="preserve">Market intelligence </w:t>
            </w:r>
          </w:p>
          <w:p w14:paraId="3C857CA9" w14:textId="77777777" w:rsidR="00CD6352" w:rsidRPr="00EA7665" w:rsidRDefault="00CD6352" w:rsidP="00C74AEC">
            <w:pPr>
              <w:pStyle w:val="ListParagraph"/>
              <w:numPr>
                <w:ilvl w:val="0"/>
                <w:numId w:val="151"/>
              </w:numPr>
              <w:spacing w:after="0" w:line="360" w:lineRule="auto"/>
              <w:jc w:val="both"/>
              <w:rPr>
                <w:rFonts w:ascii="Arial" w:hAnsi="Arial" w:cs="Arial"/>
                <w:sz w:val="16"/>
                <w:szCs w:val="16"/>
              </w:rPr>
            </w:pPr>
            <w:r w:rsidRPr="00EA7665">
              <w:rPr>
                <w:rFonts w:ascii="Arial" w:hAnsi="Arial" w:cs="Arial"/>
                <w:sz w:val="16"/>
                <w:szCs w:val="16"/>
              </w:rPr>
              <w:t xml:space="preserve">Financial accounting basics </w:t>
            </w:r>
          </w:p>
          <w:p w14:paraId="680C20CE" w14:textId="77777777" w:rsidR="00CD6352" w:rsidRPr="00EA7665" w:rsidRDefault="00CD6352" w:rsidP="00C74AEC">
            <w:pPr>
              <w:pStyle w:val="ListParagraph"/>
              <w:numPr>
                <w:ilvl w:val="0"/>
                <w:numId w:val="151"/>
              </w:numPr>
              <w:spacing w:after="0" w:line="360" w:lineRule="auto"/>
              <w:jc w:val="both"/>
              <w:rPr>
                <w:rFonts w:ascii="Arial" w:hAnsi="Arial" w:cs="Arial"/>
                <w:sz w:val="16"/>
                <w:szCs w:val="16"/>
              </w:rPr>
            </w:pPr>
            <w:r w:rsidRPr="00EA7665">
              <w:rPr>
                <w:rFonts w:ascii="Arial" w:hAnsi="Arial" w:cs="Arial"/>
                <w:sz w:val="16"/>
                <w:szCs w:val="16"/>
              </w:rPr>
              <w:t>Cost calculation techniques</w:t>
            </w:r>
          </w:p>
          <w:p w14:paraId="34536EA1" w14:textId="77777777" w:rsidR="00CD6352" w:rsidRPr="00EA7665" w:rsidRDefault="00CD6352" w:rsidP="00C74AEC">
            <w:pPr>
              <w:pStyle w:val="ListParagraph"/>
              <w:numPr>
                <w:ilvl w:val="0"/>
                <w:numId w:val="151"/>
              </w:numPr>
              <w:spacing w:after="0" w:line="360" w:lineRule="auto"/>
              <w:jc w:val="both"/>
              <w:rPr>
                <w:rFonts w:ascii="Arial" w:hAnsi="Arial" w:cs="Arial"/>
                <w:sz w:val="16"/>
                <w:szCs w:val="16"/>
              </w:rPr>
            </w:pPr>
            <w:r w:rsidRPr="00EA7665">
              <w:rPr>
                <w:rFonts w:ascii="Arial" w:hAnsi="Arial" w:cs="Arial"/>
                <w:sz w:val="16"/>
                <w:szCs w:val="16"/>
              </w:rPr>
              <w:t>Performance indicator</w:t>
            </w:r>
          </w:p>
        </w:tc>
      </w:tr>
      <w:tr w:rsidR="00CD6352" w:rsidRPr="00EA7665" w14:paraId="1DAC5BBC" w14:textId="77777777" w:rsidTr="00CD6352">
        <w:tc>
          <w:tcPr>
            <w:tcW w:w="3080" w:type="dxa"/>
          </w:tcPr>
          <w:p w14:paraId="346717AC"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China</w:t>
            </w:r>
          </w:p>
          <w:p w14:paraId="7203EA89" w14:textId="77777777" w:rsidR="00CD6352" w:rsidRPr="00EA7665" w:rsidRDefault="00CD6352" w:rsidP="00C74AEC">
            <w:pPr>
              <w:pStyle w:val="ListParagraph"/>
              <w:numPr>
                <w:ilvl w:val="0"/>
                <w:numId w:val="152"/>
              </w:numPr>
              <w:spacing w:after="0" w:line="360" w:lineRule="auto"/>
              <w:jc w:val="both"/>
              <w:rPr>
                <w:rFonts w:ascii="Arial" w:hAnsi="Arial" w:cs="Arial"/>
                <w:sz w:val="16"/>
                <w:szCs w:val="16"/>
              </w:rPr>
            </w:pPr>
            <w:r w:rsidRPr="00EA7665">
              <w:rPr>
                <w:rFonts w:ascii="Arial" w:hAnsi="Arial" w:cs="Arial"/>
                <w:sz w:val="16"/>
                <w:szCs w:val="16"/>
              </w:rPr>
              <w:t>Performance indicator</w:t>
            </w:r>
          </w:p>
          <w:p w14:paraId="1B498DCC" w14:textId="77777777" w:rsidR="00CD6352" w:rsidRPr="00EA7665" w:rsidRDefault="00CD6352" w:rsidP="00C74AEC">
            <w:pPr>
              <w:pStyle w:val="ListParagraph"/>
              <w:numPr>
                <w:ilvl w:val="0"/>
                <w:numId w:val="152"/>
              </w:numPr>
              <w:spacing w:after="0" w:line="360" w:lineRule="auto"/>
              <w:jc w:val="both"/>
              <w:rPr>
                <w:rFonts w:ascii="Arial" w:hAnsi="Arial" w:cs="Arial"/>
                <w:sz w:val="16"/>
                <w:szCs w:val="16"/>
              </w:rPr>
            </w:pPr>
            <w:r w:rsidRPr="00EA7665">
              <w:rPr>
                <w:rFonts w:ascii="Arial" w:hAnsi="Arial" w:cs="Arial"/>
                <w:sz w:val="16"/>
                <w:szCs w:val="16"/>
              </w:rPr>
              <w:t>Funding sources</w:t>
            </w:r>
          </w:p>
          <w:p w14:paraId="6FD180AE" w14:textId="77777777" w:rsidR="00CD6352" w:rsidRPr="00EA7665" w:rsidRDefault="00CD6352" w:rsidP="00C74AEC">
            <w:pPr>
              <w:pStyle w:val="ListParagraph"/>
              <w:numPr>
                <w:ilvl w:val="0"/>
                <w:numId w:val="152"/>
              </w:numPr>
              <w:spacing w:after="0" w:line="360" w:lineRule="auto"/>
              <w:jc w:val="both"/>
              <w:rPr>
                <w:rFonts w:ascii="Arial" w:hAnsi="Arial" w:cs="Arial"/>
                <w:sz w:val="16"/>
                <w:szCs w:val="16"/>
              </w:rPr>
            </w:pPr>
            <w:r w:rsidRPr="00EA7665">
              <w:rPr>
                <w:rFonts w:ascii="Arial" w:hAnsi="Arial" w:cs="Arial"/>
                <w:sz w:val="16"/>
                <w:szCs w:val="16"/>
              </w:rPr>
              <w:t>Principles of risk and diversification</w:t>
            </w:r>
          </w:p>
          <w:p w14:paraId="53428E8B" w14:textId="77777777" w:rsidR="00CD6352" w:rsidRPr="00EA7665" w:rsidRDefault="00CD6352" w:rsidP="00C74AEC">
            <w:pPr>
              <w:pStyle w:val="ListParagraph"/>
              <w:numPr>
                <w:ilvl w:val="0"/>
                <w:numId w:val="152"/>
              </w:numPr>
              <w:spacing w:after="0" w:line="360" w:lineRule="auto"/>
              <w:jc w:val="both"/>
              <w:rPr>
                <w:rFonts w:ascii="Arial" w:hAnsi="Arial" w:cs="Arial"/>
                <w:sz w:val="16"/>
                <w:szCs w:val="16"/>
              </w:rPr>
            </w:pPr>
            <w:r w:rsidRPr="00EA7665">
              <w:rPr>
                <w:rFonts w:ascii="Arial" w:hAnsi="Arial" w:cs="Arial"/>
                <w:sz w:val="16"/>
                <w:szCs w:val="16"/>
              </w:rPr>
              <w:t>Contingency approach</w:t>
            </w:r>
          </w:p>
          <w:p w14:paraId="3B6343BC" w14:textId="587C76B3" w:rsidR="00CD6352" w:rsidRPr="00EA7665" w:rsidRDefault="00CD6352" w:rsidP="00C74AEC">
            <w:pPr>
              <w:pStyle w:val="ListParagraph"/>
              <w:numPr>
                <w:ilvl w:val="0"/>
                <w:numId w:val="152"/>
              </w:numPr>
              <w:spacing w:after="0" w:line="360" w:lineRule="auto"/>
              <w:jc w:val="both"/>
              <w:rPr>
                <w:rFonts w:ascii="Arial" w:hAnsi="Arial" w:cs="Arial"/>
                <w:sz w:val="16"/>
                <w:szCs w:val="16"/>
              </w:rPr>
            </w:pPr>
            <w:r w:rsidRPr="00EA7665">
              <w:rPr>
                <w:rFonts w:ascii="Arial" w:hAnsi="Arial" w:cs="Arial"/>
                <w:sz w:val="16"/>
                <w:szCs w:val="16"/>
              </w:rPr>
              <w:t>Relevant conventions, agreement</w:t>
            </w:r>
            <w:r w:rsidR="0002587C">
              <w:rPr>
                <w:rFonts w:ascii="Arial" w:hAnsi="Arial" w:cs="Arial"/>
                <w:sz w:val="16"/>
                <w:szCs w:val="16"/>
              </w:rPr>
              <w:t>s</w:t>
            </w:r>
            <w:r w:rsidRPr="00EA7665">
              <w:rPr>
                <w:rFonts w:ascii="Arial" w:hAnsi="Arial" w:cs="Arial"/>
                <w:sz w:val="16"/>
                <w:szCs w:val="16"/>
              </w:rPr>
              <w:t>, legislation and regulations</w:t>
            </w:r>
          </w:p>
          <w:p w14:paraId="6A2A69F2" w14:textId="77777777" w:rsidR="00CD6352" w:rsidRPr="00EA7665" w:rsidRDefault="00CD6352" w:rsidP="00CD6352">
            <w:pPr>
              <w:spacing w:line="360" w:lineRule="auto"/>
              <w:jc w:val="both"/>
              <w:rPr>
                <w:rFonts w:ascii="Arial" w:hAnsi="Arial" w:cs="Arial"/>
                <w:sz w:val="16"/>
                <w:szCs w:val="16"/>
              </w:rPr>
            </w:pPr>
          </w:p>
        </w:tc>
        <w:tc>
          <w:tcPr>
            <w:tcW w:w="3081" w:type="dxa"/>
          </w:tcPr>
          <w:p w14:paraId="782F6345"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Nigeria</w:t>
            </w:r>
          </w:p>
          <w:p w14:paraId="4D003FA8" w14:textId="77777777" w:rsidR="00CD6352" w:rsidRPr="00EA7665" w:rsidRDefault="00CD6352" w:rsidP="00C74AEC">
            <w:pPr>
              <w:pStyle w:val="ListParagraph"/>
              <w:numPr>
                <w:ilvl w:val="0"/>
                <w:numId w:val="153"/>
              </w:numPr>
              <w:spacing w:after="0" w:line="360" w:lineRule="auto"/>
              <w:jc w:val="both"/>
              <w:rPr>
                <w:rFonts w:ascii="Arial" w:hAnsi="Arial" w:cs="Arial"/>
                <w:sz w:val="16"/>
                <w:szCs w:val="16"/>
              </w:rPr>
            </w:pPr>
            <w:r w:rsidRPr="00EA7665">
              <w:rPr>
                <w:rFonts w:ascii="Arial" w:hAnsi="Arial" w:cs="Arial"/>
                <w:sz w:val="16"/>
                <w:szCs w:val="16"/>
              </w:rPr>
              <w:t>Funding sources</w:t>
            </w:r>
          </w:p>
          <w:p w14:paraId="1D96F7F6" w14:textId="77777777" w:rsidR="00CD6352" w:rsidRPr="00EA7665" w:rsidRDefault="00CD6352" w:rsidP="00C74AEC">
            <w:pPr>
              <w:pStyle w:val="ListParagraph"/>
              <w:numPr>
                <w:ilvl w:val="0"/>
                <w:numId w:val="153"/>
              </w:numPr>
              <w:spacing w:after="0" w:line="360" w:lineRule="auto"/>
              <w:jc w:val="both"/>
              <w:rPr>
                <w:rFonts w:ascii="Arial" w:hAnsi="Arial" w:cs="Arial"/>
                <w:sz w:val="16"/>
                <w:szCs w:val="16"/>
              </w:rPr>
            </w:pPr>
            <w:r w:rsidRPr="00EA7665">
              <w:rPr>
                <w:rFonts w:ascii="Arial" w:hAnsi="Arial" w:cs="Arial"/>
                <w:sz w:val="16"/>
                <w:szCs w:val="16"/>
              </w:rPr>
              <w:t xml:space="preserve">Financial accounting basics </w:t>
            </w:r>
          </w:p>
          <w:p w14:paraId="43B3495F" w14:textId="77777777" w:rsidR="00CD6352" w:rsidRPr="00EA7665" w:rsidRDefault="00CD6352" w:rsidP="00C74AEC">
            <w:pPr>
              <w:pStyle w:val="ListParagraph"/>
              <w:numPr>
                <w:ilvl w:val="0"/>
                <w:numId w:val="153"/>
              </w:numPr>
              <w:spacing w:after="0" w:line="360" w:lineRule="auto"/>
              <w:jc w:val="both"/>
              <w:rPr>
                <w:rFonts w:ascii="Arial" w:hAnsi="Arial" w:cs="Arial"/>
                <w:sz w:val="16"/>
                <w:szCs w:val="16"/>
              </w:rPr>
            </w:pPr>
            <w:r w:rsidRPr="00EA7665">
              <w:rPr>
                <w:rFonts w:ascii="Arial" w:hAnsi="Arial" w:cs="Arial"/>
                <w:sz w:val="16"/>
                <w:szCs w:val="16"/>
              </w:rPr>
              <w:t>Finance options</w:t>
            </w:r>
          </w:p>
          <w:p w14:paraId="50129368" w14:textId="77777777" w:rsidR="00CD6352" w:rsidRPr="00EA7665" w:rsidRDefault="00CD6352" w:rsidP="00C74AEC">
            <w:pPr>
              <w:pStyle w:val="ListParagraph"/>
              <w:numPr>
                <w:ilvl w:val="0"/>
                <w:numId w:val="153"/>
              </w:numPr>
              <w:spacing w:after="0" w:line="360" w:lineRule="auto"/>
              <w:jc w:val="both"/>
              <w:rPr>
                <w:rFonts w:ascii="Arial" w:hAnsi="Arial" w:cs="Arial"/>
                <w:sz w:val="16"/>
                <w:szCs w:val="16"/>
              </w:rPr>
            </w:pPr>
            <w:r w:rsidRPr="00EA7665">
              <w:rPr>
                <w:rFonts w:ascii="Arial" w:hAnsi="Arial" w:cs="Arial"/>
                <w:sz w:val="16"/>
                <w:szCs w:val="16"/>
              </w:rPr>
              <w:t xml:space="preserve">Market intelligence </w:t>
            </w:r>
          </w:p>
          <w:p w14:paraId="73ADEB13" w14:textId="77777777" w:rsidR="00CD6352" w:rsidRPr="00EA7665" w:rsidRDefault="00CD6352" w:rsidP="00C74AEC">
            <w:pPr>
              <w:pStyle w:val="ListParagraph"/>
              <w:numPr>
                <w:ilvl w:val="0"/>
                <w:numId w:val="153"/>
              </w:numPr>
              <w:spacing w:after="0" w:line="360" w:lineRule="auto"/>
              <w:jc w:val="both"/>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tc>
        <w:tc>
          <w:tcPr>
            <w:tcW w:w="3081" w:type="dxa"/>
          </w:tcPr>
          <w:p w14:paraId="72202020" w14:textId="77777777" w:rsidR="00CD6352" w:rsidRPr="00EA7665" w:rsidRDefault="00CD6352" w:rsidP="00CD6352">
            <w:pPr>
              <w:spacing w:line="360" w:lineRule="auto"/>
              <w:jc w:val="both"/>
              <w:rPr>
                <w:rFonts w:ascii="Arial" w:hAnsi="Arial" w:cs="Arial"/>
                <w:b/>
                <w:sz w:val="16"/>
                <w:szCs w:val="16"/>
              </w:rPr>
            </w:pPr>
            <w:r w:rsidRPr="00EA7665">
              <w:rPr>
                <w:rFonts w:ascii="Arial" w:hAnsi="Arial" w:cs="Arial"/>
                <w:b/>
                <w:sz w:val="16"/>
                <w:szCs w:val="16"/>
              </w:rPr>
              <w:t>South Africa</w:t>
            </w:r>
          </w:p>
          <w:p w14:paraId="557D5EF0" w14:textId="77777777" w:rsidR="00CD6352" w:rsidRPr="00EA7665" w:rsidRDefault="00CD6352" w:rsidP="00C74AEC">
            <w:pPr>
              <w:pStyle w:val="ListParagraph"/>
              <w:numPr>
                <w:ilvl w:val="0"/>
                <w:numId w:val="154"/>
              </w:numPr>
              <w:spacing w:after="0" w:line="360" w:lineRule="auto"/>
              <w:jc w:val="both"/>
              <w:rPr>
                <w:rFonts w:ascii="Arial" w:hAnsi="Arial" w:cs="Arial"/>
                <w:sz w:val="16"/>
                <w:szCs w:val="16"/>
              </w:rPr>
            </w:pPr>
            <w:r w:rsidRPr="00EA7665">
              <w:rPr>
                <w:rFonts w:ascii="Arial" w:hAnsi="Arial" w:cs="Arial"/>
                <w:sz w:val="16"/>
                <w:szCs w:val="16"/>
              </w:rPr>
              <w:t>Funding sources</w:t>
            </w:r>
          </w:p>
          <w:p w14:paraId="45B00C02" w14:textId="77777777" w:rsidR="00CD6352" w:rsidRPr="00EA7665" w:rsidRDefault="00CD6352" w:rsidP="00C74AEC">
            <w:pPr>
              <w:pStyle w:val="ListParagraph"/>
              <w:numPr>
                <w:ilvl w:val="0"/>
                <w:numId w:val="154"/>
              </w:numPr>
              <w:spacing w:after="0" w:line="360" w:lineRule="auto"/>
              <w:jc w:val="both"/>
              <w:rPr>
                <w:rFonts w:ascii="Arial" w:hAnsi="Arial" w:cs="Arial"/>
                <w:sz w:val="16"/>
                <w:szCs w:val="16"/>
              </w:rPr>
            </w:pPr>
            <w:r w:rsidRPr="00EA7665">
              <w:rPr>
                <w:rFonts w:ascii="Arial" w:hAnsi="Arial" w:cs="Arial"/>
                <w:sz w:val="16"/>
                <w:szCs w:val="16"/>
              </w:rPr>
              <w:t>Finance options</w:t>
            </w:r>
          </w:p>
          <w:p w14:paraId="0DC97502" w14:textId="77777777" w:rsidR="00CD6352" w:rsidRPr="00EA7665" w:rsidRDefault="00CD6352" w:rsidP="00C74AEC">
            <w:pPr>
              <w:pStyle w:val="ListParagraph"/>
              <w:numPr>
                <w:ilvl w:val="0"/>
                <w:numId w:val="154"/>
              </w:numPr>
              <w:spacing w:after="0" w:line="360" w:lineRule="auto"/>
              <w:jc w:val="both"/>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p w14:paraId="049A7DC2" w14:textId="77777777" w:rsidR="00CD6352" w:rsidRPr="00EA7665" w:rsidRDefault="00CD6352" w:rsidP="00C74AEC">
            <w:pPr>
              <w:pStyle w:val="ListParagraph"/>
              <w:numPr>
                <w:ilvl w:val="0"/>
                <w:numId w:val="154"/>
              </w:numPr>
              <w:spacing w:after="0" w:line="360" w:lineRule="auto"/>
              <w:jc w:val="both"/>
              <w:rPr>
                <w:rFonts w:ascii="Arial" w:hAnsi="Arial" w:cs="Arial"/>
                <w:sz w:val="16"/>
                <w:szCs w:val="16"/>
              </w:rPr>
            </w:pPr>
            <w:r w:rsidRPr="00EA7665">
              <w:rPr>
                <w:rFonts w:ascii="Arial" w:hAnsi="Arial" w:cs="Arial"/>
                <w:sz w:val="16"/>
                <w:szCs w:val="16"/>
              </w:rPr>
              <w:t>Cost calculation techniques</w:t>
            </w:r>
          </w:p>
          <w:p w14:paraId="35D73F83" w14:textId="77777777" w:rsidR="00CD6352" w:rsidRPr="00EA7665" w:rsidRDefault="00CD6352" w:rsidP="00C74AEC">
            <w:pPr>
              <w:pStyle w:val="ListParagraph"/>
              <w:numPr>
                <w:ilvl w:val="0"/>
                <w:numId w:val="154"/>
              </w:numPr>
              <w:spacing w:after="0" w:line="360" w:lineRule="auto"/>
              <w:jc w:val="both"/>
              <w:rPr>
                <w:rFonts w:ascii="Arial" w:hAnsi="Arial" w:cs="Arial"/>
                <w:sz w:val="16"/>
                <w:szCs w:val="16"/>
              </w:rPr>
            </w:pPr>
            <w:r w:rsidRPr="00EA7665">
              <w:rPr>
                <w:rFonts w:ascii="Arial" w:hAnsi="Arial" w:cs="Arial"/>
                <w:sz w:val="16"/>
                <w:szCs w:val="16"/>
              </w:rPr>
              <w:t>Cost estimation methods</w:t>
            </w:r>
          </w:p>
        </w:tc>
      </w:tr>
    </w:tbl>
    <w:p w14:paraId="2AD9CA93" w14:textId="77777777" w:rsidR="009F00D6" w:rsidRPr="00EA7665" w:rsidRDefault="009F00D6" w:rsidP="00CD6352">
      <w:pPr>
        <w:spacing w:line="360" w:lineRule="auto"/>
        <w:jc w:val="both"/>
        <w:rPr>
          <w:rFonts w:ascii="Arial" w:hAnsi="Arial" w:cs="Arial"/>
        </w:rPr>
      </w:pPr>
    </w:p>
    <w:p w14:paraId="1A3FBC87" w14:textId="3768F807" w:rsidR="00CD6352" w:rsidRPr="00EA7665" w:rsidRDefault="00CD6352" w:rsidP="00CD6352">
      <w:pPr>
        <w:pStyle w:val="Heading3"/>
        <w:rPr>
          <w:sz w:val="22"/>
          <w:szCs w:val="22"/>
        </w:rPr>
      </w:pPr>
      <w:bookmarkStart w:id="1338" w:name="_Toc78983902"/>
      <w:r w:rsidRPr="00EA7665">
        <w:rPr>
          <w:sz w:val="22"/>
          <w:szCs w:val="22"/>
        </w:rPr>
        <w:lastRenderedPageBreak/>
        <w:t>The degree of need for training and education for management knowledge for securing finance for real estate project devel</w:t>
      </w:r>
      <w:r>
        <w:rPr>
          <w:sz w:val="22"/>
          <w:szCs w:val="22"/>
        </w:rPr>
        <w:t>opment</w:t>
      </w:r>
      <w:r w:rsidRPr="00EA7665">
        <w:rPr>
          <w:sz w:val="22"/>
          <w:szCs w:val="22"/>
        </w:rPr>
        <w:t xml:space="preserve"> </w:t>
      </w:r>
      <w:r w:rsidR="00B80F78" w:rsidRPr="00EA7665">
        <w:rPr>
          <w:sz w:val="22"/>
          <w:szCs w:val="22"/>
        </w:rPr>
        <w:t>for the</w:t>
      </w:r>
      <w:r w:rsidRPr="00EA7665">
        <w:rPr>
          <w:sz w:val="22"/>
          <w:szCs w:val="22"/>
        </w:rPr>
        <w:t xml:space="preserve"> present</w:t>
      </w:r>
      <w:bookmarkEnd w:id="1338"/>
    </w:p>
    <w:p w14:paraId="1A303F2B" w14:textId="77777777" w:rsidR="00CD6352" w:rsidRPr="00EA7665" w:rsidRDefault="00CD6352" w:rsidP="00CD6352"/>
    <w:p w14:paraId="47F409F8" w14:textId="77777777" w:rsidR="00CD6352" w:rsidRPr="00EA7665" w:rsidRDefault="00CD6352" w:rsidP="00CD6352">
      <w:pPr>
        <w:pStyle w:val="Heading4"/>
        <w:spacing w:after="240"/>
        <w:rPr>
          <w:rFonts w:ascii="Arial" w:hAnsi="Arial" w:cs="Arial"/>
          <w:color w:val="auto"/>
        </w:rPr>
      </w:pPr>
      <w:r w:rsidRPr="00EA7665">
        <w:rPr>
          <w:rFonts w:ascii="Arial" w:hAnsi="Arial" w:cs="Arial"/>
          <w:color w:val="auto"/>
        </w:rPr>
        <w:tab/>
        <w:t>Questionnaire survey discussion and analysis at the aggregate level</w:t>
      </w:r>
    </w:p>
    <w:p w14:paraId="782F5585" w14:textId="08975295" w:rsidR="00CD6352" w:rsidRPr="00EA7665" w:rsidRDefault="00CD6352" w:rsidP="00CD6352">
      <w:pPr>
        <w:spacing w:after="0" w:line="360" w:lineRule="auto"/>
        <w:jc w:val="both"/>
        <w:rPr>
          <w:rFonts w:ascii="Arial" w:hAnsi="Arial" w:cs="Arial"/>
        </w:rPr>
      </w:pPr>
      <w:r w:rsidRPr="00EA7665">
        <w:rPr>
          <w:rFonts w:ascii="Arial" w:hAnsi="Arial" w:cs="Arial"/>
        </w:rPr>
        <w:t xml:space="preserve">The results relating to the </w:t>
      </w:r>
      <w:r w:rsidR="00B80F78" w:rsidRPr="00EA7665">
        <w:rPr>
          <w:rFonts w:ascii="Arial" w:hAnsi="Arial" w:cs="Arial"/>
        </w:rPr>
        <w:t>degree of</w:t>
      </w:r>
      <w:r w:rsidRPr="00EA7665">
        <w:rPr>
          <w:rFonts w:ascii="Arial" w:hAnsi="Arial" w:cs="Arial"/>
        </w:rPr>
        <w:t xml:space="preserve"> training and education at the </w:t>
      </w:r>
      <w:r w:rsidR="008644E4">
        <w:rPr>
          <w:rFonts w:ascii="Arial" w:hAnsi="Arial" w:cs="Arial"/>
        </w:rPr>
        <w:t>current jobs</w:t>
      </w:r>
      <w:r w:rsidRPr="00EA7665">
        <w:rPr>
          <w:rFonts w:ascii="Arial" w:hAnsi="Arial" w:cs="Arial"/>
        </w:rPr>
        <w:t xml:space="preserve"> </w:t>
      </w:r>
      <w:r>
        <w:rPr>
          <w:rFonts w:ascii="Arial" w:hAnsi="Arial" w:cs="Arial"/>
        </w:rPr>
        <w:t>regarding</w:t>
      </w:r>
      <w:r w:rsidRPr="00EA7665">
        <w:rPr>
          <w:rFonts w:ascii="Arial" w:hAnsi="Arial" w:cs="Arial"/>
        </w:rPr>
        <w:t xml:space="preserve"> management knowledge for securing f</w:t>
      </w:r>
      <w:r>
        <w:rPr>
          <w:rFonts w:ascii="Arial" w:hAnsi="Arial" w:cs="Arial"/>
        </w:rPr>
        <w:t>inance</w:t>
      </w:r>
      <w:r w:rsidRPr="00EA7665">
        <w:rPr>
          <w:rFonts w:ascii="Arial" w:hAnsi="Arial" w:cs="Arial"/>
        </w:rPr>
        <w:t xml:space="preserve"> for real </w:t>
      </w:r>
      <w:r>
        <w:rPr>
          <w:rFonts w:ascii="Arial" w:hAnsi="Arial" w:cs="Arial"/>
        </w:rPr>
        <w:t xml:space="preserve">estate </w:t>
      </w:r>
      <w:r w:rsidRPr="00EA7665">
        <w:rPr>
          <w:rFonts w:ascii="Arial" w:hAnsi="Arial" w:cs="Arial"/>
        </w:rPr>
        <w:t>project development at the aggregate level is contained in table 8.</w:t>
      </w:r>
      <w:r w:rsidR="00EE12EB">
        <w:rPr>
          <w:rFonts w:ascii="Arial" w:hAnsi="Arial" w:cs="Arial"/>
        </w:rPr>
        <w:t>3.</w:t>
      </w:r>
      <w:r w:rsidR="00CD2495">
        <w:rPr>
          <w:rFonts w:ascii="Arial" w:hAnsi="Arial" w:cs="Arial"/>
        </w:rPr>
        <w:t>3</w:t>
      </w:r>
      <w:r w:rsidRPr="00EA7665">
        <w:rPr>
          <w:rFonts w:ascii="Arial" w:hAnsi="Arial" w:cs="Arial"/>
        </w:rPr>
        <w:t xml:space="preserve">. Almost 47% of the survey respondents indicated </w:t>
      </w:r>
      <w:r>
        <w:rPr>
          <w:rFonts w:ascii="Arial" w:hAnsi="Arial" w:cs="Arial"/>
        </w:rPr>
        <w:t xml:space="preserve">that </w:t>
      </w:r>
      <w:r w:rsidRPr="00EA7665">
        <w:rPr>
          <w:rFonts w:ascii="Arial" w:hAnsi="Arial" w:cs="Arial"/>
        </w:rPr>
        <w:t xml:space="preserve">they </w:t>
      </w:r>
      <w:r>
        <w:rPr>
          <w:rFonts w:ascii="Arial" w:hAnsi="Arial" w:cs="Arial"/>
        </w:rPr>
        <w:t xml:space="preserve">highly </w:t>
      </w:r>
      <w:r w:rsidRPr="00EA7665">
        <w:rPr>
          <w:rFonts w:ascii="Arial" w:hAnsi="Arial" w:cs="Arial"/>
        </w:rPr>
        <w:t>need</w:t>
      </w:r>
      <w:r>
        <w:rPr>
          <w:rFonts w:ascii="Arial" w:hAnsi="Arial" w:cs="Arial"/>
        </w:rPr>
        <w:t>ed</w:t>
      </w:r>
      <w:r w:rsidRPr="00EA7665">
        <w:rPr>
          <w:rFonts w:ascii="Arial" w:hAnsi="Arial" w:cs="Arial"/>
        </w:rPr>
        <w:t xml:space="preserve"> training &amp; education for the present in financial management concepts &amp; terms. This is followed closely by funding sources (45.7%), financial accounting basics (45.5%), cost calculation </w:t>
      </w:r>
      <w:r w:rsidR="00B80F78" w:rsidRPr="00EA7665">
        <w:rPr>
          <w:rFonts w:ascii="Arial" w:hAnsi="Arial" w:cs="Arial"/>
        </w:rPr>
        <w:t>techniques (</w:t>
      </w:r>
      <w:r w:rsidRPr="00EA7665">
        <w:rPr>
          <w:rFonts w:ascii="Arial" w:hAnsi="Arial" w:cs="Arial"/>
        </w:rPr>
        <w:t xml:space="preserve">42.9%) and strategies for managing risks and uncertainty (41.5%). While the management knowledge the respondents to the survey indicated they needed </w:t>
      </w:r>
      <w:r>
        <w:rPr>
          <w:rFonts w:ascii="Arial" w:hAnsi="Arial" w:cs="Arial"/>
        </w:rPr>
        <w:t xml:space="preserve">the least, in respect of </w:t>
      </w:r>
      <w:r w:rsidRPr="00EA7665">
        <w:rPr>
          <w:rFonts w:ascii="Arial" w:hAnsi="Arial" w:cs="Arial"/>
        </w:rPr>
        <w:t xml:space="preserve">training and education </w:t>
      </w:r>
      <w:r>
        <w:rPr>
          <w:rFonts w:ascii="Arial" w:hAnsi="Arial" w:cs="Arial"/>
        </w:rPr>
        <w:t xml:space="preserve">for the present </w:t>
      </w:r>
      <w:r w:rsidRPr="00EA7665">
        <w:rPr>
          <w:rFonts w:ascii="Arial" w:hAnsi="Arial" w:cs="Arial"/>
        </w:rPr>
        <w:t>are principles of risks and diversification (32.4%),</w:t>
      </w:r>
      <w:r w:rsidR="00CD2495">
        <w:rPr>
          <w:rFonts w:ascii="Arial" w:hAnsi="Arial" w:cs="Arial"/>
        </w:rPr>
        <w:t xml:space="preserve"> </w:t>
      </w:r>
      <w:r w:rsidRPr="00EA7665">
        <w:rPr>
          <w:rFonts w:ascii="Arial" w:hAnsi="Arial" w:cs="Arial"/>
        </w:rPr>
        <w:t>relevant conventions, agreement, legislation and regulations(30.3%); contingency approach (29.4%); risks and opportunities response strategies and plan</w:t>
      </w:r>
      <w:r>
        <w:rPr>
          <w:rFonts w:ascii="Arial" w:hAnsi="Arial" w:cs="Arial"/>
        </w:rPr>
        <w:t>,</w:t>
      </w:r>
      <w:r w:rsidRPr="00EA7665">
        <w:rPr>
          <w:rFonts w:ascii="Arial" w:hAnsi="Arial" w:cs="Arial"/>
        </w:rPr>
        <w:t xml:space="preserve"> and process and governance for cost management(22.9). </w:t>
      </w:r>
    </w:p>
    <w:p w14:paraId="4AF0B4C5" w14:textId="77777777" w:rsidR="00CD6352" w:rsidRPr="00EA7665" w:rsidRDefault="00CD6352" w:rsidP="00CD6352">
      <w:pPr>
        <w:pStyle w:val="Caption"/>
        <w:rPr>
          <w:rFonts w:ascii="Arial" w:hAnsi="Arial" w:cs="Arial"/>
          <w:sz w:val="16"/>
          <w:szCs w:val="16"/>
        </w:rPr>
      </w:pPr>
    </w:p>
    <w:p w14:paraId="6B58DAC6" w14:textId="4E990740" w:rsidR="00CD2495" w:rsidRPr="00EA7665" w:rsidRDefault="00CD2495" w:rsidP="00CD2495">
      <w:pPr>
        <w:pStyle w:val="Caption"/>
        <w:keepNext/>
      </w:pPr>
      <w:bookmarkStart w:id="1339" w:name="_Toc78984008"/>
      <w:r>
        <w:t xml:space="preserve">Table </w:t>
      </w:r>
      <w:fldSimple w:instr=" STYLEREF 2 \s ">
        <w:r w:rsidR="008F25B1">
          <w:rPr>
            <w:noProof/>
          </w:rPr>
          <w:t>8.3</w:t>
        </w:r>
      </w:fldSimple>
      <w:r w:rsidR="008F25B1">
        <w:noBreakHyphen/>
      </w:r>
      <w:fldSimple w:instr=" SEQ Table \* ARABIC \s 2 ">
        <w:r w:rsidR="008F25B1">
          <w:rPr>
            <w:noProof/>
          </w:rPr>
          <w:t>3</w:t>
        </w:r>
      </w:fldSimple>
      <w:r>
        <w:t xml:space="preserve">: </w:t>
      </w:r>
      <w:r w:rsidRPr="00EA7665">
        <w:t xml:space="preserve">The degree of </w:t>
      </w:r>
      <w:r>
        <w:t xml:space="preserve">need for </w:t>
      </w:r>
      <w:r w:rsidRPr="00EA7665">
        <w:t>training and education for management knowledge for securing finance for the present</w:t>
      </w:r>
      <w:bookmarkEnd w:id="1339"/>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38"/>
        <w:gridCol w:w="884"/>
        <w:gridCol w:w="924"/>
        <w:gridCol w:w="777"/>
        <w:gridCol w:w="920"/>
        <w:gridCol w:w="973"/>
      </w:tblGrid>
      <w:tr w:rsidR="00CD6352" w:rsidRPr="00EA7665" w14:paraId="78241A45" w14:textId="77777777" w:rsidTr="00CD6352">
        <w:tc>
          <w:tcPr>
            <w:tcW w:w="0" w:type="auto"/>
            <w:vMerge w:val="restart"/>
          </w:tcPr>
          <w:p w14:paraId="1B2BC214" w14:textId="77777777" w:rsidR="00CD6352" w:rsidRPr="00EA7665" w:rsidRDefault="00CD6352" w:rsidP="00CD6352">
            <w:pPr>
              <w:jc w:val="both"/>
              <w:rPr>
                <w:rFonts w:ascii="Arial" w:hAnsi="Arial" w:cs="Arial"/>
                <w:sz w:val="16"/>
                <w:szCs w:val="16"/>
              </w:rPr>
            </w:pPr>
          </w:p>
          <w:p w14:paraId="78C12C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Knowledge  for securing finance for real estate project development </w:t>
            </w:r>
          </w:p>
        </w:tc>
        <w:tc>
          <w:tcPr>
            <w:tcW w:w="0" w:type="auto"/>
          </w:tcPr>
          <w:p w14:paraId="25D886F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needed</w:t>
            </w:r>
          </w:p>
        </w:tc>
        <w:tc>
          <w:tcPr>
            <w:tcW w:w="0" w:type="auto"/>
          </w:tcPr>
          <w:p w14:paraId="7EBE20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needed</w:t>
            </w:r>
          </w:p>
        </w:tc>
        <w:tc>
          <w:tcPr>
            <w:tcW w:w="0" w:type="auto"/>
          </w:tcPr>
          <w:p w14:paraId="5EE8EAE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Needed</w:t>
            </w:r>
          </w:p>
        </w:tc>
        <w:tc>
          <w:tcPr>
            <w:tcW w:w="0" w:type="auto"/>
          </w:tcPr>
          <w:p w14:paraId="288899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needed</w:t>
            </w:r>
          </w:p>
        </w:tc>
        <w:tc>
          <w:tcPr>
            <w:tcW w:w="0" w:type="auto"/>
          </w:tcPr>
          <w:p w14:paraId="1B6B22D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Highly needed</w:t>
            </w:r>
          </w:p>
        </w:tc>
      </w:tr>
      <w:tr w:rsidR="00CD6352" w:rsidRPr="00EA7665" w14:paraId="68C0EA4F" w14:textId="77777777" w:rsidTr="00CD6352">
        <w:tc>
          <w:tcPr>
            <w:tcW w:w="0" w:type="auto"/>
            <w:vMerge/>
          </w:tcPr>
          <w:p w14:paraId="1C10C18E" w14:textId="77777777" w:rsidR="00CD6352" w:rsidRPr="00EA7665" w:rsidRDefault="00CD6352" w:rsidP="00CD6352">
            <w:pPr>
              <w:jc w:val="both"/>
              <w:rPr>
                <w:rFonts w:ascii="Arial" w:hAnsi="Arial" w:cs="Arial"/>
                <w:sz w:val="16"/>
                <w:szCs w:val="16"/>
              </w:rPr>
            </w:pPr>
          </w:p>
        </w:tc>
        <w:tc>
          <w:tcPr>
            <w:tcW w:w="0" w:type="auto"/>
            <w:gridSpan w:val="5"/>
          </w:tcPr>
          <w:p w14:paraId="49DE1B0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63194E66" w14:textId="77777777" w:rsidTr="00CD6352">
        <w:tc>
          <w:tcPr>
            <w:tcW w:w="0" w:type="auto"/>
          </w:tcPr>
          <w:p w14:paraId="4BE9CD1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Contingency approach</w:t>
            </w:r>
          </w:p>
        </w:tc>
        <w:tc>
          <w:tcPr>
            <w:tcW w:w="0" w:type="auto"/>
          </w:tcPr>
          <w:p w14:paraId="636CBC0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5D760A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11.8</w:t>
            </w:r>
          </w:p>
        </w:tc>
        <w:tc>
          <w:tcPr>
            <w:tcW w:w="0" w:type="auto"/>
          </w:tcPr>
          <w:p w14:paraId="147E701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26.5</w:t>
            </w:r>
          </w:p>
        </w:tc>
        <w:tc>
          <w:tcPr>
            <w:tcW w:w="0" w:type="auto"/>
          </w:tcPr>
          <w:p w14:paraId="519E67F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29.4</w:t>
            </w:r>
          </w:p>
        </w:tc>
        <w:tc>
          <w:tcPr>
            <w:tcW w:w="0" w:type="auto"/>
          </w:tcPr>
          <w:p w14:paraId="45081BA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29.4</w:t>
            </w:r>
          </w:p>
        </w:tc>
      </w:tr>
      <w:tr w:rsidR="00CD6352" w:rsidRPr="00EA7665" w14:paraId="7BD944BA" w14:textId="77777777" w:rsidTr="00CD6352">
        <w:tc>
          <w:tcPr>
            <w:tcW w:w="0" w:type="auto"/>
          </w:tcPr>
          <w:p w14:paraId="5CE187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Cost calculation techniques</w:t>
            </w:r>
          </w:p>
        </w:tc>
        <w:tc>
          <w:tcPr>
            <w:tcW w:w="0" w:type="auto"/>
          </w:tcPr>
          <w:p w14:paraId="531841A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649B325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11.4</w:t>
            </w:r>
          </w:p>
        </w:tc>
        <w:tc>
          <w:tcPr>
            <w:tcW w:w="0" w:type="auto"/>
          </w:tcPr>
          <w:p w14:paraId="30E7979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17.1</w:t>
            </w:r>
          </w:p>
        </w:tc>
        <w:tc>
          <w:tcPr>
            <w:tcW w:w="0" w:type="auto"/>
          </w:tcPr>
          <w:p w14:paraId="3FB0319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20.0</w:t>
            </w:r>
          </w:p>
        </w:tc>
        <w:tc>
          <w:tcPr>
            <w:tcW w:w="0" w:type="auto"/>
          </w:tcPr>
          <w:p w14:paraId="656C03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42.9</w:t>
            </w:r>
          </w:p>
        </w:tc>
      </w:tr>
      <w:tr w:rsidR="00CD6352" w:rsidRPr="00EA7665" w14:paraId="5D1E66D3" w14:textId="77777777" w:rsidTr="00CD6352">
        <w:tc>
          <w:tcPr>
            <w:tcW w:w="0" w:type="auto"/>
          </w:tcPr>
          <w:p w14:paraId="592E7B3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Cost estimation methods</w:t>
            </w:r>
          </w:p>
        </w:tc>
        <w:tc>
          <w:tcPr>
            <w:tcW w:w="0" w:type="auto"/>
          </w:tcPr>
          <w:p w14:paraId="67390F1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8.8</w:t>
            </w:r>
          </w:p>
        </w:tc>
        <w:tc>
          <w:tcPr>
            <w:tcW w:w="0" w:type="auto"/>
          </w:tcPr>
          <w:p w14:paraId="1304F51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403A75D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26.5</w:t>
            </w:r>
          </w:p>
        </w:tc>
        <w:tc>
          <w:tcPr>
            <w:tcW w:w="0" w:type="auto"/>
          </w:tcPr>
          <w:p w14:paraId="1DC7FC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23.5</w:t>
            </w:r>
          </w:p>
        </w:tc>
        <w:tc>
          <w:tcPr>
            <w:tcW w:w="0" w:type="auto"/>
          </w:tcPr>
          <w:p w14:paraId="1C2F495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35.3</w:t>
            </w:r>
          </w:p>
        </w:tc>
      </w:tr>
      <w:tr w:rsidR="00CD6352" w:rsidRPr="00EA7665" w14:paraId="7C772EB1" w14:textId="77777777" w:rsidTr="00CD6352">
        <w:tc>
          <w:tcPr>
            <w:tcW w:w="0" w:type="auto"/>
          </w:tcPr>
          <w:p w14:paraId="725B980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Debt literacy</w:t>
            </w:r>
          </w:p>
        </w:tc>
        <w:tc>
          <w:tcPr>
            <w:tcW w:w="0" w:type="auto"/>
          </w:tcPr>
          <w:p w14:paraId="3EE4032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4C5AF63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8.8</w:t>
            </w:r>
          </w:p>
        </w:tc>
        <w:tc>
          <w:tcPr>
            <w:tcW w:w="0" w:type="auto"/>
          </w:tcPr>
          <w:p w14:paraId="58A49B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20.6</w:t>
            </w:r>
          </w:p>
        </w:tc>
        <w:tc>
          <w:tcPr>
            <w:tcW w:w="0" w:type="auto"/>
          </w:tcPr>
          <w:p w14:paraId="3DEEA9E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c>
          <w:tcPr>
            <w:tcW w:w="0" w:type="auto"/>
          </w:tcPr>
          <w:p w14:paraId="07F927C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35.3</w:t>
            </w:r>
          </w:p>
        </w:tc>
      </w:tr>
      <w:tr w:rsidR="00CD6352" w:rsidRPr="00EA7665" w14:paraId="71D28A1E" w14:textId="77777777" w:rsidTr="00CD6352">
        <w:tc>
          <w:tcPr>
            <w:tcW w:w="0" w:type="auto"/>
          </w:tcPr>
          <w:p w14:paraId="034727C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Finance options</w:t>
            </w:r>
          </w:p>
        </w:tc>
        <w:tc>
          <w:tcPr>
            <w:tcW w:w="0" w:type="auto"/>
          </w:tcPr>
          <w:p w14:paraId="5BCCB6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5782773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432354B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c>
          <w:tcPr>
            <w:tcW w:w="0" w:type="auto"/>
          </w:tcPr>
          <w:p w14:paraId="3D76AA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0C77FA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37.1</w:t>
            </w:r>
          </w:p>
        </w:tc>
      </w:tr>
      <w:tr w:rsidR="00CD6352" w:rsidRPr="00EA7665" w14:paraId="6AAE9D24" w14:textId="77777777" w:rsidTr="00CD6352">
        <w:trPr>
          <w:trHeight w:val="327"/>
        </w:trPr>
        <w:tc>
          <w:tcPr>
            <w:tcW w:w="0" w:type="auto"/>
          </w:tcPr>
          <w:p w14:paraId="35099D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Financial accounting basics </w:t>
            </w:r>
          </w:p>
        </w:tc>
        <w:tc>
          <w:tcPr>
            <w:tcW w:w="0" w:type="auto"/>
          </w:tcPr>
          <w:p w14:paraId="4CFA99A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9.1</w:t>
            </w:r>
          </w:p>
        </w:tc>
        <w:tc>
          <w:tcPr>
            <w:tcW w:w="0" w:type="auto"/>
          </w:tcPr>
          <w:p w14:paraId="44E672F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9.1</w:t>
            </w:r>
          </w:p>
        </w:tc>
        <w:tc>
          <w:tcPr>
            <w:tcW w:w="0" w:type="auto"/>
          </w:tcPr>
          <w:p w14:paraId="57D6386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21.2</w:t>
            </w:r>
          </w:p>
        </w:tc>
        <w:tc>
          <w:tcPr>
            <w:tcW w:w="0" w:type="auto"/>
          </w:tcPr>
          <w:p w14:paraId="503E1E0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15.2</w:t>
            </w:r>
          </w:p>
        </w:tc>
        <w:tc>
          <w:tcPr>
            <w:tcW w:w="0" w:type="auto"/>
          </w:tcPr>
          <w:p w14:paraId="7A13F51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45.5</w:t>
            </w:r>
          </w:p>
        </w:tc>
      </w:tr>
      <w:tr w:rsidR="00CD6352" w:rsidRPr="00EA7665" w14:paraId="52DA7DF8" w14:textId="77777777" w:rsidTr="00CD6352">
        <w:tc>
          <w:tcPr>
            <w:tcW w:w="0" w:type="auto"/>
          </w:tcPr>
          <w:p w14:paraId="47CF5EF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tc>
        <w:tc>
          <w:tcPr>
            <w:tcW w:w="0" w:type="auto"/>
          </w:tcPr>
          <w:p w14:paraId="797C2C3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2BB8E9B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8.8</w:t>
            </w:r>
          </w:p>
        </w:tc>
        <w:tc>
          <w:tcPr>
            <w:tcW w:w="0" w:type="auto"/>
          </w:tcPr>
          <w:p w14:paraId="6FEAB9B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c>
          <w:tcPr>
            <w:tcW w:w="0" w:type="auto"/>
          </w:tcPr>
          <w:p w14:paraId="1AE3901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271B06A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47.1</w:t>
            </w:r>
          </w:p>
        </w:tc>
      </w:tr>
      <w:tr w:rsidR="00CD6352" w:rsidRPr="00EA7665" w14:paraId="39447B68" w14:textId="77777777" w:rsidTr="00CD6352">
        <w:tc>
          <w:tcPr>
            <w:tcW w:w="0" w:type="auto"/>
          </w:tcPr>
          <w:p w14:paraId="231F7C5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tc>
        <w:tc>
          <w:tcPr>
            <w:tcW w:w="0" w:type="auto"/>
          </w:tcPr>
          <w:p w14:paraId="09F303D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4AE7BD0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374A9E0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449DB4D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25.0</w:t>
            </w:r>
          </w:p>
        </w:tc>
        <w:tc>
          <w:tcPr>
            <w:tcW w:w="0" w:type="auto"/>
          </w:tcPr>
          <w:p w14:paraId="712F28F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38.9</w:t>
            </w:r>
          </w:p>
        </w:tc>
      </w:tr>
      <w:tr w:rsidR="00CD6352" w:rsidRPr="00EA7665" w14:paraId="393D4F9C" w14:textId="77777777" w:rsidTr="00CD6352">
        <w:tc>
          <w:tcPr>
            <w:tcW w:w="0" w:type="auto"/>
          </w:tcPr>
          <w:p w14:paraId="133F04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Funding sources</w:t>
            </w:r>
          </w:p>
        </w:tc>
        <w:tc>
          <w:tcPr>
            <w:tcW w:w="0" w:type="auto"/>
          </w:tcPr>
          <w:p w14:paraId="7392B8F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5ECE613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E73C56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c>
          <w:tcPr>
            <w:tcW w:w="0" w:type="auto"/>
          </w:tcPr>
          <w:p w14:paraId="2A69057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25.7</w:t>
            </w:r>
          </w:p>
        </w:tc>
        <w:tc>
          <w:tcPr>
            <w:tcW w:w="0" w:type="auto"/>
          </w:tcPr>
          <w:p w14:paraId="1A047D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45.7</w:t>
            </w:r>
          </w:p>
        </w:tc>
      </w:tr>
      <w:tr w:rsidR="00CD6352" w:rsidRPr="00EA7665" w14:paraId="382E6C59" w14:textId="77777777" w:rsidTr="00CD6352">
        <w:tc>
          <w:tcPr>
            <w:tcW w:w="0" w:type="auto"/>
          </w:tcPr>
          <w:p w14:paraId="0023D3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Market intelligence </w:t>
            </w:r>
          </w:p>
        </w:tc>
        <w:tc>
          <w:tcPr>
            <w:tcW w:w="0" w:type="auto"/>
          </w:tcPr>
          <w:p w14:paraId="7984787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6A0F491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11.4</w:t>
            </w:r>
          </w:p>
        </w:tc>
        <w:tc>
          <w:tcPr>
            <w:tcW w:w="0" w:type="auto"/>
          </w:tcPr>
          <w:p w14:paraId="6775204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20.0</w:t>
            </w:r>
          </w:p>
        </w:tc>
        <w:tc>
          <w:tcPr>
            <w:tcW w:w="0" w:type="auto"/>
          </w:tcPr>
          <w:p w14:paraId="1363FA7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25.7</w:t>
            </w:r>
          </w:p>
        </w:tc>
        <w:tc>
          <w:tcPr>
            <w:tcW w:w="0" w:type="auto"/>
          </w:tcPr>
          <w:p w14:paraId="7D8D7E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40.0</w:t>
            </w:r>
          </w:p>
        </w:tc>
      </w:tr>
      <w:tr w:rsidR="00CD6352" w:rsidRPr="00EA7665" w14:paraId="776161CF" w14:textId="77777777" w:rsidTr="00CD6352">
        <w:tc>
          <w:tcPr>
            <w:tcW w:w="0" w:type="auto"/>
          </w:tcPr>
          <w:p w14:paraId="67FF70A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Performance indicator</w:t>
            </w:r>
          </w:p>
        </w:tc>
        <w:tc>
          <w:tcPr>
            <w:tcW w:w="0" w:type="auto"/>
          </w:tcPr>
          <w:p w14:paraId="4D921DE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7991C8D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68D384A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20.6</w:t>
            </w:r>
          </w:p>
        </w:tc>
        <w:tc>
          <w:tcPr>
            <w:tcW w:w="0" w:type="auto"/>
          </w:tcPr>
          <w:p w14:paraId="1593CC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c>
          <w:tcPr>
            <w:tcW w:w="0" w:type="auto"/>
          </w:tcPr>
          <w:p w14:paraId="622318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38.2</w:t>
            </w:r>
          </w:p>
        </w:tc>
      </w:tr>
      <w:tr w:rsidR="00CD6352" w:rsidRPr="00EA7665" w14:paraId="06BEE65C" w14:textId="77777777" w:rsidTr="00CD6352">
        <w:tc>
          <w:tcPr>
            <w:tcW w:w="0" w:type="auto"/>
          </w:tcPr>
          <w:p w14:paraId="6DF2286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Principles of risk and diversification</w:t>
            </w:r>
          </w:p>
        </w:tc>
        <w:tc>
          <w:tcPr>
            <w:tcW w:w="0" w:type="auto"/>
          </w:tcPr>
          <w:p w14:paraId="7E04C7F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187832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8.8</w:t>
            </w:r>
          </w:p>
        </w:tc>
        <w:tc>
          <w:tcPr>
            <w:tcW w:w="0" w:type="auto"/>
          </w:tcPr>
          <w:p w14:paraId="5640293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26.5</w:t>
            </w:r>
          </w:p>
        </w:tc>
        <w:tc>
          <w:tcPr>
            <w:tcW w:w="0" w:type="auto"/>
          </w:tcPr>
          <w:p w14:paraId="767952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c>
          <w:tcPr>
            <w:tcW w:w="0" w:type="auto"/>
          </w:tcPr>
          <w:p w14:paraId="275F1BE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r>
      <w:tr w:rsidR="00CD6352" w:rsidRPr="00EA7665" w14:paraId="0915096D" w14:textId="77777777" w:rsidTr="00CD6352">
        <w:tc>
          <w:tcPr>
            <w:tcW w:w="0" w:type="auto"/>
          </w:tcPr>
          <w:p w14:paraId="6497FEA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Process and governance for cost management</w:t>
            </w:r>
          </w:p>
        </w:tc>
        <w:tc>
          <w:tcPr>
            <w:tcW w:w="0" w:type="auto"/>
          </w:tcPr>
          <w:p w14:paraId="3612604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7A057D4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14.3</w:t>
            </w:r>
          </w:p>
        </w:tc>
        <w:tc>
          <w:tcPr>
            <w:tcW w:w="0" w:type="auto"/>
          </w:tcPr>
          <w:p w14:paraId="3FA4110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20.0</w:t>
            </w:r>
          </w:p>
        </w:tc>
        <w:tc>
          <w:tcPr>
            <w:tcW w:w="0" w:type="auto"/>
          </w:tcPr>
          <w:p w14:paraId="142E9D6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40.0</w:t>
            </w:r>
          </w:p>
        </w:tc>
        <w:tc>
          <w:tcPr>
            <w:tcW w:w="0" w:type="auto"/>
          </w:tcPr>
          <w:p w14:paraId="5B593A0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r>
      <w:tr w:rsidR="00CD6352" w:rsidRPr="00EA7665" w14:paraId="185B3F3C" w14:textId="77777777" w:rsidTr="00CD6352">
        <w:tc>
          <w:tcPr>
            <w:tcW w:w="0" w:type="auto"/>
          </w:tcPr>
          <w:p w14:paraId="0717420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Relevant conventions, agreement, legislation and regulations </w:t>
            </w:r>
          </w:p>
        </w:tc>
        <w:tc>
          <w:tcPr>
            <w:tcW w:w="0" w:type="auto"/>
          </w:tcPr>
          <w:p w14:paraId="224C356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0A9486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w:t>
            </w:r>
          </w:p>
        </w:tc>
        <w:tc>
          <w:tcPr>
            <w:tcW w:w="0" w:type="auto"/>
          </w:tcPr>
          <w:p w14:paraId="594B295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24.2</w:t>
            </w:r>
          </w:p>
        </w:tc>
        <w:tc>
          <w:tcPr>
            <w:tcW w:w="0" w:type="auto"/>
          </w:tcPr>
          <w:p w14:paraId="337D3EC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42.4</w:t>
            </w:r>
          </w:p>
        </w:tc>
        <w:tc>
          <w:tcPr>
            <w:tcW w:w="0" w:type="auto"/>
          </w:tcPr>
          <w:p w14:paraId="66DF1CA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30.3</w:t>
            </w:r>
          </w:p>
        </w:tc>
      </w:tr>
      <w:tr w:rsidR="00CD6352" w:rsidRPr="00EA7665" w14:paraId="12FA4DC0" w14:textId="77777777" w:rsidTr="00CD6352">
        <w:tc>
          <w:tcPr>
            <w:tcW w:w="0" w:type="auto"/>
          </w:tcPr>
          <w:p w14:paraId="7F95B15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Risks and opportunities response strategies and plan</w:t>
            </w:r>
          </w:p>
        </w:tc>
        <w:tc>
          <w:tcPr>
            <w:tcW w:w="0" w:type="auto"/>
          </w:tcPr>
          <w:p w14:paraId="2CC160E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5.9</w:t>
            </w:r>
          </w:p>
        </w:tc>
        <w:tc>
          <w:tcPr>
            <w:tcW w:w="0" w:type="auto"/>
          </w:tcPr>
          <w:p w14:paraId="11B0239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2D511F6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20.6</w:t>
            </w:r>
          </w:p>
        </w:tc>
        <w:tc>
          <w:tcPr>
            <w:tcW w:w="0" w:type="auto"/>
          </w:tcPr>
          <w:p w14:paraId="1C2DC4C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47.1</w:t>
            </w:r>
          </w:p>
        </w:tc>
        <w:tc>
          <w:tcPr>
            <w:tcW w:w="0" w:type="auto"/>
          </w:tcPr>
          <w:p w14:paraId="22E3A9E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26.5</w:t>
            </w:r>
          </w:p>
        </w:tc>
      </w:tr>
      <w:tr w:rsidR="00CD6352" w:rsidRPr="00EA7665" w14:paraId="1EE5C75D" w14:textId="77777777" w:rsidTr="00CD6352">
        <w:tc>
          <w:tcPr>
            <w:tcW w:w="0" w:type="auto"/>
          </w:tcPr>
          <w:p w14:paraId="27858D2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Strategies for managing risks and uncertainty</w:t>
            </w:r>
          </w:p>
        </w:tc>
        <w:tc>
          <w:tcPr>
            <w:tcW w:w="0" w:type="auto"/>
          </w:tcPr>
          <w:p w14:paraId="4983DE5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62F48D2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4.9</w:t>
            </w:r>
          </w:p>
        </w:tc>
        <w:tc>
          <w:tcPr>
            <w:tcW w:w="0" w:type="auto"/>
          </w:tcPr>
          <w:p w14:paraId="5AD83F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14.6</w:t>
            </w:r>
          </w:p>
        </w:tc>
        <w:tc>
          <w:tcPr>
            <w:tcW w:w="0" w:type="auto"/>
          </w:tcPr>
          <w:p w14:paraId="3509EB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36.6</w:t>
            </w:r>
          </w:p>
        </w:tc>
        <w:tc>
          <w:tcPr>
            <w:tcW w:w="0" w:type="auto"/>
          </w:tcPr>
          <w:p w14:paraId="589D201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41.5</w:t>
            </w:r>
          </w:p>
        </w:tc>
      </w:tr>
      <w:tr w:rsidR="00CD6352" w:rsidRPr="00EA7665" w14:paraId="2E8725FA" w14:textId="77777777" w:rsidTr="00CD6352">
        <w:tc>
          <w:tcPr>
            <w:tcW w:w="0" w:type="auto"/>
          </w:tcPr>
          <w:p w14:paraId="701DF18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Techniques and conditions for loan effectiveness</w:t>
            </w:r>
          </w:p>
        </w:tc>
        <w:tc>
          <w:tcPr>
            <w:tcW w:w="0" w:type="auto"/>
          </w:tcPr>
          <w:p w14:paraId="47C8CC5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6.1</w:t>
            </w:r>
          </w:p>
        </w:tc>
        <w:tc>
          <w:tcPr>
            <w:tcW w:w="0" w:type="auto"/>
          </w:tcPr>
          <w:p w14:paraId="7D5349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w:t>
            </w:r>
          </w:p>
        </w:tc>
        <w:tc>
          <w:tcPr>
            <w:tcW w:w="0" w:type="auto"/>
          </w:tcPr>
          <w:p w14:paraId="7F43C39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18.2</w:t>
            </w:r>
          </w:p>
        </w:tc>
        <w:tc>
          <w:tcPr>
            <w:tcW w:w="0" w:type="auto"/>
          </w:tcPr>
          <w:p w14:paraId="65B2A09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39.4</w:t>
            </w:r>
          </w:p>
        </w:tc>
        <w:tc>
          <w:tcPr>
            <w:tcW w:w="0" w:type="auto"/>
          </w:tcPr>
          <w:p w14:paraId="10C69D2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r>
    </w:tbl>
    <w:p w14:paraId="11C8AEA1" w14:textId="3396E7DB" w:rsidR="00CD6352" w:rsidRDefault="00CD6352" w:rsidP="00CD6352">
      <w:pPr>
        <w:spacing w:line="360" w:lineRule="auto"/>
        <w:jc w:val="both"/>
        <w:rPr>
          <w:rFonts w:ascii="Arial" w:hAnsi="Arial" w:cs="Arial"/>
        </w:rPr>
      </w:pPr>
    </w:p>
    <w:p w14:paraId="66DAD160" w14:textId="0B9D933F" w:rsidR="005F3F56" w:rsidRPr="005F3F56" w:rsidRDefault="005F3F56" w:rsidP="005F3F56">
      <w:pPr>
        <w:spacing w:line="360" w:lineRule="auto"/>
        <w:jc w:val="both"/>
        <w:rPr>
          <w:rFonts w:ascii="Arial" w:hAnsi="Arial" w:cs="Arial"/>
        </w:rPr>
      </w:pPr>
      <w:r w:rsidRPr="005F3F56">
        <w:rPr>
          <w:rFonts w:ascii="Arial" w:hAnsi="Arial" w:cs="Arial"/>
        </w:rPr>
        <w:lastRenderedPageBreak/>
        <w:t xml:space="preserve">The overall mean score and the </w:t>
      </w:r>
      <w:r w:rsidR="00C7024A">
        <w:rPr>
          <w:rFonts w:ascii="Arial" w:hAnsi="Arial" w:cs="Arial"/>
        </w:rPr>
        <w:t>survey respondents' ranking</w:t>
      </w:r>
      <w:r w:rsidRPr="005F3F56">
        <w:rPr>
          <w:rFonts w:ascii="Arial" w:hAnsi="Arial" w:cs="Arial"/>
        </w:rPr>
        <w:t xml:space="preserve"> on the training and education they need for their present jobs with respect to management knowledge for securing finance for real estate project development is contained in table 8.3.</w:t>
      </w:r>
      <w:r w:rsidR="00CD2495">
        <w:rPr>
          <w:rFonts w:ascii="Arial" w:hAnsi="Arial" w:cs="Arial"/>
        </w:rPr>
        <w:t>4</w:t>
      </w:r>
      <w:r w:rsidRPr="005F3F56">
        <w:rPr>
          <w:rFonts w:ascii="Arial" w:hAnsi="Arial" w:cs="Arial"/>
        </w:rPr>
        <w:t>.  The overall mean score range is 3.97 to 3.57</w:t>
      </w:r>
      <w:r w:rsidR="005F4529">
        <w:rPr>
          <w:rFonts w:ascii="Arial" w:hAnsi="Arial" w:cs="Arial"/>
        </w:rPr>
        <w:t>,</w:t>
      </w:r>
      <w:r w:rsidRPr="005F3F56">
        <w:rPr>
          <w:rFonts w:ascii="Arial" w:hAnsi="Arial" w:cs="Arial"/>
        </w:rPr>
        <w:t xml:space="preserve"> and these show that there is a significant need for training and education for all the management knowledge, according to the survey respondents. </w:t>
      </w:r>
    </w:p>
    <w:p w14:paraId="63A84F56" w14:textId="6DB37BAD" w:rsidR="00CD6352" w:rsidRPr="00EA7665" w:rsidRDefault="00CD6352" w:rsidP="00CD6352">
      <w:pPr>
        <w:pStyle w:val="Caption"/>
        <w:keepNext/>
      </w:pPr>
      <w:bookmarkStart w:id="1340" w:name="_Toc78984009"/>
      <w:r w:rsidRPr="00EA7665">
        <w:t xml:space="preserve">Table </w:t>
      </w:r>
      <w:fldSimple w:instr=" STYLEREF 2 \s ">
        <w:r w:rsidR="008F25B1">
          <w:rPr>
            <w:noProof/>
          </w:rPr>
          <w:t>8.3</w:t>
        </w:r>
      </w:fldSimple>
      <w:r w:rsidR="008F25B1">
        <w:noBreakHyphen/>
      </w:r>
      <w:fldSimple w:instr=" SEQ Table \* ARABIC \s 2 ">
        <w:r w:rsidR="008F25B1">
          <w:rPr>
            <w:noProof/>
          </w:rPr>
          <w:t>4</w:t>
        </w:r>
      </w:fldSimple>
      <w:r w:rsidRPr="00EA7665">
        <w:t xml:space="preserve">: Mean scores for Degree of </w:t>
      </w:r>
      <w:r w:rsidR="00B80F78">
        <w:t xml:space="preserve">need for </w:t>
      </w:r>
      <w:r w:rsidRPr="00EA7665">
        <w:t>training and education for management knowledge for securing finance for real estate project development. For the present at the aggregate level</w:t>
      </w:r>
      <w:bookmarkEnd w:id="1340"/>
    </w:p>
    <w:tbl>
      <w:tblPr>
        <w:tblStyle w:val="TableGrid"/>
        <w:tblW w:w="5000" w:type="pct"/>
        <w:tblLook w:val="04A0" w:firstRow="1" w:lastRow="0" w:firstColumn="1" w:lastColumn="0" w:noHBand="0" w:noVBand="1"/>
      </w:tblPr>
      <w:tblGrid>
        <w:gridCol w:w="7374"/>
        <w:gridCol w:w="1052"/>
        <w:gridCol w:w="590"/>
      </w:tblGrid>
      <w:tr w:rsidR="00CD6352" w:rsidRPr="00EA7665" w14:paraId="2F1DA4E1" w14:textId="77777777" w:rsidTr="00CD6352">
        <w:trPr>
          <w:trHeight w:val="300"/>
        </w:trPr>
        <w:tc>
          <w:tcPr>
            <w:tcW w:w="4112" w:type="pct"/>
            <w:noWrap/>
            <w:hideMark/>
          </w:tcPr>
          <w:p w14:paraId="4AF87866"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Management Knowledge </w:t>
            </w:r>
          </w:p>
          <w:p w14:paraId="392FB8F2" w14:textId="77777777" w:rsidR="00CD6352" w:rsidRPr="00EA7665" w:rsidRDefault="00CD6352" w:rsidP="00CD6352">
            <w:pPr>
              <w:rPr>
                <w:rFonts w:ascii="Arial" w:hAnsi="Arial" w:cs="Arial"/>
                <w:sz w:val="16"/>
                <w:szCs w:val="16"/>
              </w:rPr>
            </w:pPr>
            <w:r w:rsidRPr="00EA7665">
              <w:rPr>
                <w:rFonts w:ascii="Arial" w:hAnsi="Arial" w:cs="Arial"/>
                <w:sz w:val="16"/>
                <w:szCs w:val="16"/>
              </w:rPr>
              <w:t>N=81</w:t>
            </w:r>
          </w:p>
        </w:tc>
        <w:tc>
          <w:tcPr>
            <w:tcW w:w="569" w:type="pct"/>
            <w:noWrap/>
            <w:hideMark/>
          </w:tcPr>
          <w:p w14:paraId="76D6F839" w14:textId="77777777" w:rsidR="00CD6352" w:rsidRPr="00EA7665" w:rsidRDefault="00CD6352" w:rsidP="00CD6352">
            <w:pPr>
              <w:rPr>
                <w:rFonts w:ascii="Arial" w:hAnsi="Arial" w:cs="Arial"/>
                <w:sz w:val="16"/>
                <w:szCs w:val="16"/>
              </w:rPr>
            </w:pPr>
            <w:r w:rsidRPr="00EA7665">
              <w:rPr>
                <w:rFonts w:ascii="Arial" w:hAnsi="Arial" w:cs="Arial"/>
                <w:sz w:val="16"/>
                <w:szCs w:val="16"/>
              </w:rPr>
              <w:t>Mean score</w:t>
            </w:r>
          </w:p>
        </w:tc>
        <w:tc>
          <w:tcPr>
            <w:tcW w:w="319" w:type="pct"/>
            <w:noWrap/>
            <w:hideMark/>
          </w:tcPr>
          <w:p w14:paraId="2FFD9A85" w14:textId="77777777" w:rsidR="00CD6352" w:rsidRPr="00EA7665" w:rsidRDefault="00CD6352" w:rsidP="00CD6352">
            <w:pPr>
              <w:rPr>
                <w:rFonts w:ascii="Arial" w:hAnsi="Arial" w:cs="Arial"/>
                <w:sz w:val="16"/>
                <w:szCs w:val="16"/>
              </w:rPr>
            </w:pPr>
            <w:r w:rsidRPr="00EA7665">
              <w:rPr>
                <w:rFonts w:ascii="Arial" w:hAnsi="Arial" w:cs="Arial"/>
                <w:sz w:val="16"/>
                <w:szCs w:val="16"/>
              </w:rPr>
              <w:t>Rank</w:t>
            </w:r>
          </w:p>
        </w:tc>
      </w:tr>
      <w:tr w:rsidR="00CD6352" w:rsidRPr="00EA7665" w14:paraId="4C10748F" w14:textId="77777777" w:rsidTr="00CD6352">
        <w:trPr>
          <w:trHeight w:val="300"/>
        </w:trPr>
        <w:tc>
          <w:tcPr>
            <w:tcW w:w="4112" w:type="pct"/>
            <w:noWrap/>
            <w:hideMark/>
          </w:tcPr>
          <w:p w14:paraId="1F4B06EF" w14:textId="77777777" w:rsidR="00CD6352" w:rsidRPr="00EA7665" w:rsidRDefault="00CD6352" w:rsidP="00CD6352">
            <w:pPr>
              <w:rPr>
                <w:rFonts w:ascii="Arial" w:hAnsi="Arial" w:cs="Arial"/>
                <w:sz w:val="16"/>
                <w:szCs w:val="16"/>
              </w:rPr>
            </w:pPr>
            <w:r w:rsidRPr="00EA7665">
              <w:rPr>
                <w:rFonts w:ascii="Arial" w:hAnsi="Arial" w:cs="Arial"/>
                <w:sz w:val="16"/>
                <w:szCs w:val="16"/>
              </w:rPr>
              <w:t>Funding sources</w:t>
            </w:r>
          </w:p>
        </w:tc>
        <w:tc>
          <w:tcPr>
            <w:tcW w:w="569" w:type="pct"/>
            <w:noWrap/>
            <w:hideMark/>
          </w:tcPr>
          <w:p w14:paraId="1C55C556" w14:textId="77777777" w:rsidR="00CD6352" w:rsidRPr="00EA7665" w:rsidRDefault="00CD6352" w:rsidP="00CD6352">
            <w:pPr>
              <w:rPr>
                <w:rFonts w:ascii="Arial" w:hAnsi="Arial" w:cs="Arial"/>
                <w:sz w:val="16"/>
                <w:szCs w:val="16"/>
              </w:rPr>
            </w:pPr>
            <w:r w:rsidRPr="00EA7665">
              <w:rPr>
                <w:rFonts w:ascii="Arial" w:hAnsi="Arial" w:cs="Arial"/>
                <w:sz w:val="16"/>
                <w:szCs w:val="16"/>
              </w:rPr>
              <w:t>3.97</w:t>
            </w:r>
          </w:p>
        </w:tc>
        <w:tc>
          <w:tcPr>
            <w:tcW w:w="319" w:type="pct"/>
            <w:noWrap/>
            <w:hideMark/>
          </w:tcPr>
          <w:p w14:paraId="218024CC" w14:textId="77777777" w:rsidR="00CD6352" w:rsidRPr="00EA7665" w:rsidRDefault="00CD6352" w:rsidP="00CD6352">
            <w:pPr>
              <w:rPr>
                <w:rFonts w:ascii="Arial" w:hAnsi="Arial" w:cs="Arial"/>
                <w:sz w:val="16"/>
                <w:szCs w:val="16"/>
              </w:rPr>
            </w:pPr>
            <w:r w:rsidRPr="00EA7665">
              <w:rPr>
                <w:rFonts w:ascii="Arial" w:hAnsi="Arial" w:cs="Arial"/>
                <w:sz w:val="16"/>
                <w:szCs w:val="16"/>
              </w:rPr>
              <w:t>1</w:t>
            </w:r>
          </w:p>
        </w:tc>
      </w:tr>
      <w:tr w:rsidR="00CD6352" w:rsidRPr="00EA7665" w14:paraId="2DA7A900" w14:textId="77777777" w:rsidTr="00CD6352">
        <w:trPr>
          <w:trHeight w:val="300"/>
        </w:trPr>
        <w:tc>
          <w:tcPr>
            <w:tcW w:w="4112" w:type="pct"/>
            <w:noWrap/>
            <w:hideMark/>
          </w:tcPr>
          <w:p w14:paraId="2E54729C" w14:textId="77777777" w:rsidR="00CD6352" w:rsidRPr="00EA7665" w:rsidRDefault="00CD6352" w:rsidP="00CD6352">
            <w:pPr>
              <w:rPr>
                <w:rFonts w:ascii="Arial" w:hAnsi="Arial" w:cs="Arial"/>
                <w:sz w:val="16"/>
                <w:szCs w:val="16"/>
              </w:rPr>
            </w:pPr>
            <w:r w:rsidRPr="00EA7665">
              <w:rPr>
                <w:rFonts w:ascii="Arial" w:hAnsi="Arial" w:cs="Arial"/>
                <w:sz w:val="16"/>
                <w:szCs w:val="16"/>
              </w:rPr>
              <w:t>Strategies for managing risks and uncertainty</w:t>
            </w:r>
          </w:p>
        </w:tc>
        <w:tc>
          <w:tcPr>
            <w:tcW w:w="569" w:type="pct"/>
            <w:noWrap/>
            <w:hideMark/>
          </w:tcPr>
          <w:p w14:paraId="78BD8A48" w14:textId="77777777" w:rsidR="00CD6352" w:rsidRPr="00EA7665" w:rsidRDefault="00CD6352" w:rsidP="00CD6352">
            <w:pPr>
              <w:rPr>
                <w:rFonts w:ascii="Arial" w:hAnsi="Arial" w:cs="Arial"/>
                <w:sz w:val="16"/>
                <w:szCs w:val="16"/>
              </w:rPr>
            </w:pPr>
            <w:r w:rsidRPr="00EA7665">
              <w:rPr>
                <w:rFonts w:ascii="Arial" w:hAnsi="Arial" w:cs="Arial"/>
                <w:sz w:val="16"/>
                <w:szCs w:val="16"/>
              </w:rPr>
              <w:t>3.94</w:t>
            </w:r>
          </w:p>
        </w:tc>
        <w:tc>
          <w:tcPr>
            <w:tcW w:w="319" w:type="pct"/>
            <w:noWrap/>
            <w:hideMark/>
          </w:tcPr>
          <w:p w14:paraId="1A6EF487" w14:textId="77777777" w:rsidR="00CD6352" w:rsidRPr="00EA7665" w:rsidRDefault="00CD6352" w:rsidP="00CD6352">
            <w:pPr>
              <w:rPr>
                <w:rFonts w:ascii="Arial" w:hAnsi="Arial" w:cs="Arial"/>
                <w:sz w:val="16"/>
                <w:szCs w:val="16"/>
              </w:rPr>
            </w:pPr>
            <w:r w:rsidRPr="00EA7665">
              <w:rPr>
                <w:rFonts w:ascii="Arial" w:hAnsi="Arial" w:cs="Arial"/>
                <w:sz w:val="16"/>
                <w:szCs w:val="16"/>
              </w:rPr>
              <w:t>2</w:t>
            </w:r>
          </w:p>
        </w:tc>
      </w:tr>
      <w:tr w:rsidR="00CD6352" w:rsidRPr="00EA7665" w14:paraId="21B2D2FB" w14:textId="77777777" w:rsidTr="00CD6352">
        <w:trPr>
          <w:trHeight w:val="300"/>
        </w:trPr>
        <w:tc>
          <w:tcPr>
            <w:tcW w:w="4112" w:type="pct"/>
            <w:hideMark/>
          </w:tcPr>
          <w:p w14:paraId="140B2332"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Relevant conventions, agreement, legislation and regulations </w:t>
            </w:r>
          </w:p>
        </w:tc>
        <w:tc>
          <w:tcPr>
            <w:tcW w:w="569" w:type="pct"/>
            <w:noWrap/>
            <w:hideMark/>
          </w:tcPr>
          <w:p w14:paraId="0A51DF81" w14:textId="77777777" w:rsidR="00CD6352" w:rsidRPr="00EA7665" w:rsidRDefault="00CD6352" w:rsidP="00CD6352">
            <w:pPr>
              <w:rPr>
                <w:rFonts w:ascii="Arial" w:hAnsi="Arial" w:cs="Arial"/>
                <w:sz w:val="16"/>
                <w:szCs w:val="16"/>
              </w:rPr>
            </w:pPr>
            <w:r w:rsidRPr="00EA7665">
              <w:rPr>
                <w:rFonts w:ascii="Arial" w:hAnsi="Arial" w:cs="Arial"/>
                <w:sz w:val="16"/>
                <w:szCs w:val="16"/>
              </w:rPr>
              <w:t>3.91</w:t>
            </w:r>
          </w:p>
        </w:tc>
        <w:tc>
          <w:tcPr>
            <w:tcW w:w="319" w:type="pct"/>
            <w:noWrap/>
            <w:hideMark/>
          </w:tcPr>
          <w:p w14:paraId="01F7FD08" w14:textId="77777777" w:rsidR="00CD6352" w:rsidRPr="00EA7665" w:rsidRDefault="00CD6352" w:rsidP="00CD6352">
            <w:pPr>
              <w:rPr>
                <w:rFonts w:ascii="Arial" w:hAnsi="Arial" w:cs="Arial"/>
                <w:sz w:val="16"/>
                <w:szCs w:val="16"/>
              </w:rPr>
            </w:pPr>
            <w:r w:rsidRPr="00EA7665">
              <w:rPr>
                <w:rFonts w:ascii="Arial" w:hAnsi="Arial" w:cs="Arial"/>
                <w:sz w:val="16"/>
                <w:szCs w:val="16"/>
              </w:rPr>
              <w:t>3</w:t>
            </w:r>
          </w:p>
        </w:tc>
      </w:tr>
      <w:tr w:rsidR="00CD6352" w:rsidRPr="00EA7665" w14:paraId="5E9969D9" w14:textId="77777777" w:rsidTr="00CD6352">
        <w:trPr>
          <w:trHeight w:val="300"/>
        </w:trPr>
        <w:tc>
          <w:tcPr>
            <w:tcW w:w="4112" w:type="pct"/>
            <w:noWrap/>
            <w:hideMark/>
          </w:tcPr>
          <w:p w14:paraId="6454AE11" w14:textId="77777777" w:rsidR="00CD6352" w:rsidRPr="00EA7665" w:rsidRDefault="00CD6352" w:rsidP="00CD6352">
            <w:pPr>
              <w:rPr>
                <w:rFonts w:ascii="Arial" w:hAnsi="Arial" w:cs="Arial"/>
                <w:sz w:val="16"/>
                <w:szCs w:val="16"/>
              </w:rPr>
            </w:pPr>
            <w:r w:rsidRPr="00EA7665">
              <w:rPr>
                <w:rFonts w:ascii="Arial" w:hAnsi="Arial" w:cs="Arial"/>
                <w:sz w:val="16"/>
                <w:szCs w:val="16"/>
              </w:rPr>
              <w:t>Performance indicator</w:t>
            </w:r>
          </w:p>
        </w:tc>
        <w:tc>
          <w:tcPr>
            <w:tcW w:w="569" w:type="pct"/>
            <w:noWrap/>
            <w:hideMark/>
          </w:tcPr>
          <w:p w14:paraId="1FA6AC94" w14:textId="77777777" w:rsidR="00CD6352" w:rsidRPr="00EA7665" w:rsidRDefault="00CD6352" w:rsidP="00CD6352">
            <w:pPr>
              <w:rPr>
                <w:rFonts w:ascii="Arial" w:hAnsi="Arial" w:cs="Arial"/>
                <w:sz w:val="16"/>
                <w:szCs w:val="16"/>
              </w:rPr>
            </w:pPr>
            <w:r w:rsidRPr="00EA7665">
              <w:rPr>
                <w:rFonts w:ascii="Arial" w:hAnsi="Arial" w:cs="Arial"/>
                <w:sz w:val="16"/>
                <w:szCs w:val="16"/>
              </w:rPr>
              <w:t>3.86</w:t>
            </w:r>
          </w:p>
        </w:tc>
        <w:tc>
          <w:tcPr>
            <w:tcW w:w="319" w:type="pct"/>
            <w:noWrap/>
            <w:hideMark/>
          </w:tcPr>
          <w:p w14:paraId="58375A8B" w14:textId="77777777" w:rsidR="00CD6352" w:rsidRPr="00EA7665" w:rsidRDefault="00CD6352" w:rsidP="00CD6352">
            <w:pPr>
              <w:rPr>
                <w:rFonts w:ascii="Arial" w:hAnsi="Arial" w:cs="Arial"/>
                <w:sz w:val="16"/>
                <w:szCs w:val="16"/>
              </w:rPr>
            </w:pPr>
            <w:r w:rsidRPr="00EA7665">
              <w:rPr>
                <w:rFonts w:ascii="Arial" w:hAnsi="Arial" w:cs="Arial"/>
                <w:sz w:val="16"/>
                <w:szCs w:val="16"/>
              </w:rPr>
              <w:t>4</w:t>
            </w:r>
          </w:p>
        </w:tc>
      </w:tr>
      <w:tr w:rsidR="00CD6352" w:rsidRPr="00EA7665" w14:paraId="20D966C6" w14:textId="77777777" w:rsidTr="00CD6352">
        <w:trPr>
          <w:trHeight w:val="300"/>
        </w:trPr>
        <w:tc>
          <w:tcPr>
            <w:tcW w:w="4112" w:type="pct"/>
            <w:noWrap/>
            <w:hideMark/>
          </w:tcPr>
          <w:p w14:paraId="3E7EA47D" w14:textId="77777777" w:rsidR="00CD6352" w:rsidRPr="00EA7665" w:rsidRDefault="00CD6352" w:rsidP="00CD6352">
            <w:pPr>
              <w:rPr>
                <w:rFonts w:ascii="Arial" w:hAnsi="Arial" w:cs="Arial"/>
                <w:sz w:val="16"/>
                <w:szCs w:val="16"/>
              </w:rPr>
            </w:pPr>
            <w:r w:rsidRPr="00EA7665">
              <w:rPr>
                <w:rFonts w:ascii="Arial" w:hAnsi="Arial" w:cs="Arial"/>
                <w:sz w:val="16"/>
                <w:szCs w:val="16"/>
              </w:rPr>
              <w:t>Debt literacy</w:t>
            </w:r>
          </w:p>
        </w:tc>
        <w:tc>
          <w:tcPr>
            <w:tcW w:w="569" w:type="pct"/>
            <w:noWrap/>
            <w:hideMark/>
          </w:tcPr>
          <w:p w14:paraId="1B793684" w14:textId="77777777" w:rsidR="00CD6352" w:rsidRPr="00EA7665" w:rsidRDefault="00CD6352" w:rsidP="00CD6352">
            <w:pPr>
              <w:rPr>
                <w:rFonts w:ascii="Arial" w:hAnsi="Arial" w:cs="Arial"/>
                <w:sz w:val="16"/>
                <w:szCs w:val="16"/>
              </w:rPr>
            </w:pPr>
            <w:r w:rsidRPr="00EA7665">
              <w:rPr>
                <w:rFonts w:ascii="Arial" w:hAnsi="Arial" w:cs="Arial"/>
                <w:sz w:val="16"/>
                <w:szCs w:val="16"/>
              </w:rPr>
              <w:t>3.83</w:t>
            </w:r>
          </w:p>
        </w:tc>
        <w:tc>
          <w:tcPr>
            <w:tcW w:w="319" w:type="pct"/>
            <w:noWrap/>
            <w:hideMark/>
          </w:tcPr>
          <w:p w14:paraId="142D1709" w14:textId="77777777" w:rsidR="00CD6352" w:rsidRPr="00EA7665" w:rsidRDefault="00CD6352" w:rsidP="00CD6352">
            <w:pPr>
              <w:rPr>
                <w:rFonts w:ascii="Arial" w:hAnsi="Arial" w:cs="Arial"/>
                <w:sz w:val="16"/>
                <w:szCs w:val="16"/>
              </w:rPr>
            </w:pPr>
            <w:r w:rsidRPr="00EA7665">
              <w:rPr>
                <w:rFonts w:ascii="Arial" w:hAnsi="Arial" w:cs="Arial"/>
                <w:sz w:val="16"/>
                <w:szCs w:val="16"/>
              </w:rPr>
              <w:t>5</w:t>
            </w:r>
          </w:p>
        </w:tc>
      </w:tr>
      <w:tr w:rsidR="00CD6352" w:rsidRPr="00EA7665" w14:paraId="53C4EAD5" w14:textId="77777777" w:rsidTr="00CD6352">
        <w:trPr>
          <w:trHeight w:val="300"/>
        </w:trPr>
        <w:tc>
          <w:tcPr>
            <w:tcW w:w="4112" w:type="pct"/>
            <w:noWrap/>
            <w:hideMark/>
          </w:tcPr>
          <w:p w14:paraId="4F487DBD" w14:textId="77777777" w:rsidR="00CD6352" w:rsidRPr="00EA7665" w:rsidRDefault="00CD6352" w:rsidP="00CD6352">
            <w:pPr>
              <w:rPr>
                <w:rFonts w:ascii="Arial" w:hAnsi="Arial" w:cs="Arial"/>
                <w:sz w:val="16"/>
                <w:szCs w:val="16"/>
              </w:rPr>
            </w:pPr>
            <w:r w:rsidRPr="00EA7665">
              <w:rPr>
                <w:rFonts w:ascii="Arial" w:hAnsi="Arial" w:cs="Arial"/>
                <w:sz w:val="16"/>
                <w:szCs w:val="16"/>
              </w:rPr>
              <w:t>Techniques and conditions for loan effectiveness</w:t>
            </w:r>
          </w:p>
        </w:tc>
        <w:tc>
          <w:tcPr>
            <w:tcW w:w="569" w:type="pct"/>
            <w:noWrap/>
            <w:hideMark/>
          </w:tcPr>
          <w:p w14:paraId="2B0CA443" w14:textId="77777777" w:rsidR="00CD6352" w:rsidRPr="00EA7665" w:rsidRDefault="00CD6352" w:rsidP="00CD6352">
            <w:pPr>
              <w:rPr>
                <w:rFonts w:ascii="Arial" w:hAnsi="Arial" w:cs="Arial"/>
                <w:sz w:val="16"/>
                <w:szCs w:val="16"/>
              </w:rPr>
            </w:pPr>
            <w:r w:rsidRPr="00EA7665">
              <w:rPr>
                <w:rFonts w:ascii="Arial" w:hAnsi="Arial" w:cs="Arial"/>
                <w:sz w:val="16"/>
                <w:szCs w:val="16"/>
              </w:rPr>
              <w:t>3.83</w:t>
            </w:r>
          </w:p>
        </w:tc>
        <w:tc>
          <w:tcPr>
            <w:tcW w:w="319" w:type="pct"/>
            <w:noWrap/>
            <w:hideMark/>
          </w:tcPr>
          <w:p w14:paraId="1F0667B2" w14:textId="77777777" w:rsidR="00CD6352" w:rsidRPr="00EA7665" w:rsidRDefault="00CD6352" w:rsidP="00CD6352">
            <w:pPr>
              <w:rPr>
                <w:rFonts w:ascii="Arial" w:hAnsi="Arial" w:cs="Arial"/>
                <w:sz w:val="16"/>
                <w:szCs w:val="16"/>
              </w:rPr>
            </w:pPr>
            <w:r w:rsidRPr="00EA7665">
              <w:rPr>
                <w:rFonts w:ascii="Arial" w:hAnsi="Arial" w:cs="Arial"/>
                <w:sz w:val="16"/>
                <w:szCs w:val="16"/>
              </w:rPr>
              <w:t>6</w:t>
            </w:r>
          </w:p>
        </w:tc>
      </w:tr>
      <w:tr w:rsidR="00CD6352" w:rsidRPr="00EA7665" w14:paraId="7BFD802C" w14:textId="77777777" w:rsidTr="00CD6352">
        <w:trPr>
          <w:trHeight w:val="300"/>
        </w:trPr>
        <w:tc>
          <w:tcPr>
            <w:tcW w:w="4112" w:type="pct"/>
            <w:noWrap/>
            <w:hideMark/>
          </w:tcPr>
          <w:p w14:paraId="4471DF0C"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Market intelligence </w:t>
            </w:r>
          </w:p>
        </w:tc>
        <w:tc>
          <w:tcPr>
            <w:tcW w:w="569" w:type="pct"/>
            <w:noWrap/>
            <w:hideMark/>
          </w:tcPr>
          <w:p w14:paraId="5F8697E3" w14:textId="77777777" w:rsidR="00CD6352" w:rsidRPr="00EA7665" w:rsidRDefault="00CD6352" w:rsidP="00CD6352">
            <w:pPr>
              <w:rPr>
                <w:rFonts w:ascii="Arial" w:hAnsi="Arial" w:cs="Arial"/>
                <w:sz w:val="16"/>
                <w:szCs w:val="16"/>
              </w:rPr>
            </w:pPr>
            <w:r w:rsidRPr="00EA7665">
              <w:rPr>
                <w:rFonts w:ascii="Arial" w:hAnsi="Arial" w:cs="Arial"/>
                <w:sz w:val="16"/>
                <w:szCs w:val="16"/>
              </w:rPr>
              <w:t>3.81</w:t>
            </w:r>
          </w:p>
        </w:tc>
        <w:tc>
          <w:tcPr>
            <w:tcW w:w="319" w:type="pct"/>
            <w:noWrap/>
            <w:hideMark/>
          </w:tcPr>
          <w:p w14:paraId="497DD913" w14:textId="77777777" w:rsidR="00CD6352" w:rsidRPr="00EA7665" w:rsidRDefault="00CD6352" w:rsidP="00CD6352">
            <w:pPr>
              <w:rPr>
                <w:rFonts w:ascii="Arial" w:hAnsi="Arial" w:cs="Arial"/>
                <w:sz w:val="16"/>
                <w:szCs w:val="16"/>
              </w:rPr>
            </w:pPr>
            <w:r w:rsidRPr="00EA7665">
              <w:rPr>
                <w:rFonts w:ascii="Arial" w:hAnsi="Arial" w:cs="Arial"/>
                <w:sz w:val="16"/>
                <w:szCs w:val="16"/>
              </w:rPr>
              <w:t>7</w:t>
            </w:r>
          </w:p>
        </w:tc>
      </w:tr>
      <w:tr w:rsidR="00CD6352" w:rsidRPr="00EA7665" w14:paraId="537F0470" w14:textId="77777777" w:rsidTr="00CD6352">
        <w:trPr>
          <w:trHeight w:val="300"/>
        </w:trPr>
        <w:tc>
          <w:tcPr>
            <w:tcW w:w="4112" w:type="pct"/>
            <w:hideMark/>
          </w:tcPr>
          <w:p w14:paraId="472B02C2" w14:textId="77777777" w:rsidR="00CD6352" w:rsidRPr="00EA7665" w:rsidRDefault="00CD6352" w:rsidP="00CD6352">
            <w:pPr>
              <w:rPr>
                <w:rFonts w:ascii="Arial" w:hAnsi="Arial" w:cs="Arial"/>
                <w:sz w:val="16"/>
                <w:szCs w:val="16"/>
              </w:rPr>
            </w:pPr>
            <w:r w:rsidRPr="00EA7665">
              <w:rPr>
                <w:rFonts w:ascii="Arial" w:hAnsi="Arial" w:cs="Arial"/>
                <w:sz w:val="16"/>
                <w:szCs w:val="16"/>
              </w:rPr>
              <w:t>Risks and opportunities response strategies and plan</w:t>
            </w:r>
          </w:p>
        </w:tc>
        <w:tc>
          <w:tcPr>
            <w:tcW w:w="569" w:type="pct"/>
            <w:noWrap/>
            <w:hideMark/>
          </w:tcPr>
          <w:p w14:paraId="5815A02C" w14:textId="77777777" w:rsidR="00CD6352" w:rsidRPr="00EA7665" w:rsidRDefault="00CD6352" w:rsidP="00CD6352">
            <w:pPr>
              <w:rPr>
                <w:rFonts w:ascii="Arial" w:hAnsi="Arial" w:cs="Arial"/>
                <w:sz w:val="16"/>
                <w:szCs w:val="16"/>
              </w:rPr>
            </w:pPr>
            <w:r w:rsidRPr="00EA7665">
              <w:rPr>
                <w:rFonts w:ascii="Arial" w:hAnsi="Arial" w:cs="Arial"/>
                <w:sz w:val="16"/>
                <w:szCs w:val="16"/>
              </w:rPr>
              <w:t>3.81</w:t>
            </w:r>
          </w:p>
        </w:tc>
        <w:tc>
          <w:tcPr>
            <w:tcW w:w="319" w:type="pct"/>
            <w:noWrap/>
            <w:hideMark/>
          </w:tcPr>
          <w:p w14:paraId="50AE8DB4" w14:textId="77777777" w:rsidR="00CD6352" w:rsidRPr="00EA7665" w:rsidRDefault="00CD6352" w:rsidP="00CD6352">
            <w:pPr>
              <w:rPr>
                <w:rFonts w:ascii="Arial" w:hAnsi="Arial" w:cs="Arial"/>
                <w:sz w:val="16"/>
                <w:szCs w:val="16"/>
              </w:rPr>
            </w:pPr>
            <w:r w:rsidRPr="00EA7665">
              <w:rPr>
                <w:rFonts w:ascii="Arial" w:hAnsi="Arial" w:cs="Arial"/>
                <w:sz w:val="16"/>
                <w:szCs w:val="16"/>
              </w:rPr>
              <w:t>8</w:t>
            </w:r>
          </w:p>
        </w:tc>
      </w:tr>
      <w:tr w:rsidR="00CD6352" w:rsidRPr="00EA7665" w14:paraId="6481897D" w14:textId="77777777" w:rsidTr="00CD6352">
        <w:trPr>
          <w:trHeight w:val="300"/>
        </w:trPr>
        <w:tc>
          <w:tcPr>
            <w:tcW w:w="4112" w:type="pct"/>
            <w:noWrap/>
            <w:hideMark/>
          </w:tcPr>
          <w:p w14:paraId="4ADA128E" w14:textId="77777777" w:rsidR="00CD6352" w:rsidRPr="00EA7665" w:rsidRDefault="00CD6352" w:rsidP="00CD6352">
            <w:pPr>
              <w:rPr>
                <w:rFonts w:ascii="Arial" w:hAnsi="Arial" w:cs="Arial"/>
                <w:sz w:val="16"/>
                <w:szCs w:val="16"/>
              </w:rPr>
            </w:pPr>
            <w:r w:rsidRPr="00EA7665">
              <w:rPr>
                <w:rFonts w:ascii="Arial" w:hAnsi="Arial" w:cs="Arial"/>
                <w:sz w:val="16"/>
                <w:szCs w:val="16"/>
              </w:rPr>
              <w:t>Finance options</w:t>
            </w:r>
          </w:p>
        </w:tc>
        <w:tc>
          <w:tcPr>
            <w:tcW w:w="569" w:type="pct"/>
            <w:noWrap/>
            <w:hideMark/>
          </w:tcPr>
          <w:p w14:paraId="2B06B192" w14:textId="77777777" w:rsidR="00CD6352" w:rsidRPr="00EA7665" w:rsidRDefault="00CD6352" w:rsidP="00CD6352">
            <w:pPr>
              <w:rPr>
                <w:rFonts w:ascii="Arial" w:hAnsi="Arial" w:cs="Arial"/>
                <w:sz w:val="16"/>
                <w:szCs w:val="16"/>
              </w:rPr>
            </w:pPr>
            <w:r w:rsidRPr="00EA7665">
              <w:rPr>
                <w:rFonts w:ascii="Arial" w:hAnsi="Arial" w:cs="Arial"/>
                <w:sz w:val="16"/>
                <w:szCs w:val="16"/>
              </w:rPr>
              <w:t>3.78</w:t>
            </w:r>
          </w:p>
        </w:tc>
        <w:tc>
          <w:tcPr>
            <w:tcW w:w="319" w:type="pct"/>
            <w:noWrap/>
            <w:hideMark/>
          </w:tcPr>
          <w:p w14:paraId="3AD6FBAA" w14:textId="77777777" w:rsidR="00CD6352" w:rsidRPr="00EA7665" w:rsidRDefault="00CD6352" w:rsidP="00CD6352">
            <w:pPr>
              <w:rPr>
                <w:rFonts w:ascii="Arial" w:hAnsi="Arial" w:cs="Arial"/>
                <w:sz w:val="16"/>
                <w:szCs w:val="16"/>
              </w:rPr>
            </w:pPr>
            <w:r w:rsidRPr="00EA7665">
              <w:rPr>
                <w:rFonts w:ascii="Arial" w:hAnsi="Arial" w:cs="Arial"/>
                <w:sz w:val="16"/>
                <w:szCs w:val="16"/>
              </w:rPr>
              <w:t>9</w:t>
            </w:r>
          </w:p>
        </w:tc>
      </w:tr>
      <w:tr w:rsidR="00CD6352" w:rsidRPr="00EA7665" w14:paraId="2308E28F" w14:textId="77777777" w:rsidTr="00CD6352">
        <w:trPr>
          <w:trHeight w:val="300"/>
        </w:trPr>
        <w:tc>
          <w:tcPr>
            <w:tcW w:w="4112" w:type="pct"/>
            <w:noWrap/>
            <w:hideMark/>
          </w:tcPr>
          <w:p w14:paraId="58846D5B" w14:textId="77777777" w:rsidR="00CD6352" w:rsidRPr="00EA7665" w:rsidRDefault="00CD6352" w:rsidP="00CD6352">
            <w:pPr>
              <w:rPr>
                <w:rFonts w:ascii="Arial" w:hAnsi="Arial" w:cs="Arial"/>
                <w:sz w:val="16"/>
                <w:szCs w:val="16"/>
              </w:rPr>
            </w:pPr>
            <w:r w:rsidRPr="00EA7665">
              <w:rPr>
                <w:rFonts w:ascii="Arial" w:hAnsi="Arial" w:cs="Arial"/>
                <w:sz w:val="16"/>
                <w:szCs w:val="16"/>
              </w:rPr>
              <w:t>Principles of risk and diversification</w:t>
            </w:r>
          </w:p>
        </w:tc>
        <w:tc>
          <w:tcPr>
            <w:tcW w:w="569" w:type="pct"/>
            <w:noWrap/>
            <w:hideMark/>
          </w:tcPr>
          <w:p w14:paraId="6B6419F1" w14:textId="77777777" w:rsidR="00CD6352" w:rsidRPr="00EA7665" w:rsidRDefault="00CD6352" w:rsidP="00CD6352">
            <w:pPr>
              <w:rPr>
                <w:rFonts w:ascii="Arial" w:hAnsi="Arial" w:cs="Arial"/>
                <w:sz w:val="16"/>
                <w:szCs w:val="16"/>
              </w:rPr>
            </w:pPr>
            <w:r w:rsidRPr="00EA7665">
              <w:rPr>
                <w:rFonts w:ascii="Arial" w:hAnsi="Arial" w:cs="Arial"/>
                <w:sz w:val="16"/>
                <w:szCs w:val="16"/>
              </w:rPr>
              <w:t>3.78</w:t>
            </w:r>
          </w:p>
        </w:tc>
        <w:tc>
          <w:tcPr>
            <w:tcW w:w="319" w:type="pct"/>
            <w:noWrap/>
            <w:hideMark/>
          </w:tcPr>
          <w:p w14:paraId="7A44233D" w14:textId="77777777" w:rsidR="00CD6352" w:rsidRPr="00EA7665" w:rsidRDefault="00CD6352" w:rsidP="00CD6352">
            <w:pPr>
              <w:rPr>
                <w:rFonts w:ascii="Arial" w:hAnsi="Arial" w:cs="Arial"/>
                <w:sz w:val="16"/>
                <w:szCs w:val="16"/>
              </w:rPr>
            </w:pPr>
            <w:r w:rsidRPr="00EA7665">
              <w:rPr>
                <w:rFonts w:ascii="Arial" w:hAnsi="Arial" w:cs="Arial"/>
                <w:sz w:val="16"/>
                <w:szCs w:val="16"/>
              </w:rPr>
              <w:t>10</w:t>
            </w:r>
          </w:p>
        </w:tc>
      </w:tr>
      <w:tr w:rsidR="00CD6352" w:rsidRPr="00EA7665" w14:paraId="1C8EE441" w14:textId="77777777" w:rsidTr="00CD6352">
        <w:trPr>
          <w:trHeight w:val="465"/>
        </w:trPr>
        <w:tc>
          <w:tcPr>
            <w:tcW w:w="4112" w:type="pct"/>
            <w:hideMark/>
          </w:tcPr>
          <w:p w14:paraId="26E8441E" w14:textId="77777777" w:rsidR="00CD6352" w:rsidRPr="00EA7665" w:rsidRDefault="00CD6352" w:rsidP="00CD6352">
            <w:pPr>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tc>
        <w:tc>
          <w:tcPr>
            <w:tcW w:w="569" w:type="pct"/>
            <w:noWrap/>
            <w:hideMark/>
          </w:tcPr>
          <w:p w14:paraId="378A0745" w14:textId="77777777" w:rsidR="00CD6352" w:rsidRPr="00EA7665" w:rsidRDefault="00CD6352" w:rsidP="00CD6352">
            <w:pPr>
              <w:rPr>
                <w:rFonts w:ascii="Arial" w:hAnsi="Arial" w:cs="Arial"/>
                <w:sz w:val="16"/>
                <w:szCs w:val="16"/>
              </w:rPr>
            </w:pPr>
            <w:r w:rsidRPr="00EA7665">
              <w:rPr>
                <w:rFonts w:ascii="Arial" w:hAnsi="Arial" w:cs="Arial"/>
                <w:sz w:val="16"/>
                <w:szCs w:val="16"/>
              </w:rPr>
              <w:t>3.74</w:t>
            </w:r>
          </w:p>
        </w:tc>
        <w:tc>
          <w:tcPr>
            <w:tcW w:w="319" w:type="pct"/>
            <w:noWrap/>
            <w:hideMark/>
          </w:tcPr>
          <w:p w14:paraId="4545A9C6" w14:textId="77777777" w:rsidR="00CD6352" w:rsidRPr="00EA7665" w:rsidRDefault="00CD6352" w:rsidP="00CD6352">
            <w:pPr>
              <w:rPr>
                <w:rFonts w:ascii="Arial" w:hAnsi="Arial" w:cs="Arial"/>
                <w:sz w:val="16"/>
                <w:szCs w:val="16"/>
              </w:rPr>
            </w:pPr>
            <w:r w:rsidRPr="00EA7665">
              <w:rPr>
                <w:rFonts w:ascii="Arial" w:hAnsi="Arial" w:cs="Arial"/>
                <w:sz w:val="16"/>
                <w:szCs w:val="16"/>
              </w:rPr>
              <w:t>11</w:t>
            </w:r>
          </w:p>
        </w:tc>
      </w:tr>
      <w:tr w:rsidR="00CD6352" w:rsidRPr="00EA7665" w14:paraId="63EE0B6D" w14:textId="77777777" w:rsidTr="00CD6352">
        <w:trPr>
          <w:trHeight w:val="300"/>
        </w:trPr>
        <w:tc>
          <w:tcPr>
            <w:tcW w:w="4112" w:type="pct"/>
            <w:noWrap/>
            <w:hideMark/>
          </w:tcPr>
          <w:p w14:paraId="30D7447E" w14:textId="77777777" w:rsidR="00CD6352" w:rsidRPr="00EA7665" w:rsidRDefault="00CD6352" w:rsidP="00CD6352">
            <w:pPr>
              <w:rPr>
                <w:rFonts w:ascii="Arial" w:hAnsi="Arial" w:cs="Arial"/>
                <w:sz w:val="16"/>
                <w:szCs w:val="16"/>
              </w:rPr>
            </w:pPr>
            <w:r w:rsidRPr="00EA7665">
              <w:rPr>
                <w:rFonts w:ascii="Arial" w:hAnsi="Arial" w:cs="Arial"/>
                <w:sz w:val="16"/>
                <w:szCs w:val="16"/>
              </w:rPr>
              <w:t>Cost calculation techniques</w:t>
            </w:r>
          </w:p>
        </w:tc>
        <w:tc>
          <w:tcPr>
            <w:tcW w:w="569" w:type="pct"/>
            <w:noWrap/>
            <w:hideMark/>
          </w:tcPr>
          <w:p w14:paraId="4D6B5610" w14:textId="77777777" w:rsidR="00CD6352" w:rsidRPr="00EA7665" w:rsidRDefault="00CD6352" w:rsidP="00CD6352">
            <w:pPr>
              <w:rPr>
                <w:rFonts w:ascii="Arial" w:hAnsi="Arial" w:cs="Arial"/>
                <w:sz w:val="16"/>
                <w:szCs w:val="16"/>
              </w:rPr>
            </w:pPr>
            <w:r w:rsidRPr="00EA7665">
              <w:rPr>
                <w:rFonts w:ascii="Arial" w:hAnsi="Arial" w:cs="Arial"/>
                <w:sz w:val="16"/>
                <w:szCs w:val="16"/>
              </w:rPr>
              <w:t>3.73</w:t>
            </w:r>
          </w:p>
        </w:tc>
        <w:tc>
          <w:tcPr>
            <w:tcW w:w="319" w:type="pct"/>
            <w:noWrap/>
            <w:hideMark/>
          </w:tcPr>
          <w:p w14:paraId="29D177CF" w14:textId="77777777" w:rsidR="00CD6352" w:rsidRPr="00EA7665" w:rsidRDefault="00CD6352" w:rsidP="00CD6352">
            <w:pPr>
              <w:rPr>
                <w:rFonts w:ascii="Arial" w:hAnsi="Arial" w:cs="Arial"/>
                <w:sz w:val="16"/>
                <w:szCs w:val="16"/>
              </w:rPr>
            </w:pPr>
            <w:r w:rsidRPr="00EA7665">
              <w:rPr>
                <w:rFonts w:ascii="Arial" w:hAnsi="Arial" w:cs="Arial"/>
                <w:sz w:val="16"/>
                <w:szCs w:val="16"/>
              </w:rPr>
              <w:t>12</w:t>
            </w:r>
          </w:p>
        </w:tc>
      </w:tr>
      <w:tr w:rsidR="00CD6352" w:rsidRPr="00EA7665" w14:paraId="2BED89E9" w14:textId="77777777" w:rsidTr="00CD6352">
        <w:trPr>
          <w:trHeight w:val="465"/>
        </w:trPr>
        <w:tc>
          <w:tcPr>
            <w:tcW w:w="4112" w:type="pct"/>
            <w:hideMark/>
          </w:tcPr>
          <w:p w14:paraId="3E393C86" w14:textId="77777777" w:rsidR="00CD6352" w:rsidRPr="00EA7665" w:rsidRDefault="00CD6352" w:rsidP="00CD6352">
            <w:pPr>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tc>
        <w:tc>
          <w:tcPr>
            <w:tcW w:w="569" w:type="pct"/>
            <w:noWrap/>
            <w:hideMark/>
          </w:tcPr>
          <w:p w14:paraId="34D3B80C" w14:textId="77777777" w:rsidR="00CD6352" w:rsidRPr="00EA7665" w:rsidRDefault="00CD6352" w:rsidP="00CD6352">
            <w:pPr>
              <w:rPr>
                <w:rFonts w:ascii="Arial" w:hAnsi="Arial" w:cs="Arial"/>
                <w:sz w:val="16"/>
                <w:szCs w:val="16"/>
              </w:rPr>
            </w:pPr>
            <w:r w:rsidRPr="00EA7665">
              <w:rPr>
                <w:rFonts w:ascii="Arial" w:hAnsi="Arial" w:cs="Arial"/>
                <w:sz w:val="16"/>
                <w:szCs w:val="16"/>
              </w:rPr>
              <w:t>3.72</w:t>
            </w:r>
          </w:p>
        </w:tc>
        <w:tc>
          <w:tcPr>
            <w:tcW w:w="319" w:type="pct"/>
            <w:noWrap/>
            <w:hideMark/>
          </w:tcPr>
          <w:p w14:paraId="39487642" w14:textId="77777777" w:rsidR="00CD6352" w:rsidRPr="00EA7665" w:rsidRDefault="00CD6352" w:rsidP="00CD6352">
            <w:pPr>
              <w:rPr>
                <w:rFonts w:ascii="Arial" w:hAnsi="Arial" w:cs="Arial"/>
                <w:sz w:val="16"/>
                <w:szCs w:val="16"/>
              </w:rPr>
            </w:pPr>
            <w:r w:rsidRPr="00EA7665">
              <w:rPr>
                <w:rFonts w:ascii="Arial" w:hAnsi="Arial" w:cs="Arial"/>
                <w:sz w:val="16"/>
                <w:szCs w:val="16"/>
              </w:rPr>
              <w:t>13</w:t>
            </w:r>
          </w:p>
        </w:tc>
      </w:tr>
      <w:tr w:rsidR="00CD6352" w:rsidRPr="00EA7665" w14:paraId="61788A23" w14:textId="77777777" w:rsidTr="00CD6352">
        <w:trPr>
          <w:trHeight w:val="300"/>
        </w:trPr>
        <w:tc>
          <w:tcPr>
            <w:tcW w:w="4112" w:type="pct"/>
            <w:noWrap/>
            <w:hideMark/>
          </w:tcPr>
          <w:p w14:paraId="52D07181" w14:textId="77777777" w:rsidR="00CD6352" w:rsidRPr="00EA7665" w:rsidRDefault="00CD6352" w:rsidP="00CD6352">
            <w:pPr>
              <w:rPr>
                <w:rFonts w:ascii="Arial" w:hAnsi="Arial" w:cs="Arial"/>
                <w:sz w:val="16"/>
                <w:szCs w:val="16"/>
              </w:rPr>
            </w:pPr>
            <w:r w:rsidRPr="00EA7665">
              <w:rPr>
                <w:rFonts w:ascii="Arial" w:hAnsi="Arial" w:cs="Arial"/>
                <w:sz w:val="16"/>
                <w:szCs w:val="16"/>
              </w:rPr>
              <w:t xml:space="preserve">Financial accounting basics </w:t>
            </w:r>
          </w:p>
        </w:tc>
        <w:tc>
          <w:tcPr>
            <w:tcW w:w="569" w:type="pct"/>
            <w:noWrap/>
            <w:hideMark/>
          </w:tcPr>
          <w:p w14:paraId="219F551B" w14:textId="77777777" w:rsidR="00CD6352" w:rsidRPr="00EA7665" w:rsidRDefault="00CD6352" w:rsidP="00CD6352">
            <w:pPr>
              <w:rPr>
                <w:rFonts w:ascii="Arial" w:hAnsi="Arial" w:cs="Arial"/>
                <w:sz w:val="16"/>
                <w:szCs w:val="16"/>
              </w:rPr>
            </w:pPr>
            <w:r w:rsidRPr="00EA7665">
              <w:rPr>
                <w:rFonts w:ascii="Arial" w:hAnsi="Arial" w:cs="Arial"/>
                <w:sz w:val="16"/>
                <w:szCs w:val="16"/>
              </w:rPr>
              <w:t>3.69</w:t>
            </w:r>
          </w:p>
        </w:tc>
        <w:tc>
          <w:tcPr>
            <w:tcW w:w="319" w:type="pct"/>
            <w:noWrap/>
            <w:hideMark/>
          </w:tcPr>
          <w:p w14:paraId="7890AE38" w14:textId="77777777" w:rsidR="00CD6352" w:rsidRPr="00EA7665" w:rsidRDefault="00CD6352" w:rsidP="00CD6352">
            <w:pPr>
              <w:rPr>
                <w:rFonts w:ascii="Arial" w:hAnsi="Arial" w:cs="Arial"/>
                <w:sz w:val="16"/>
                <w:szCs w:val="16"/>
              </w:rPr>
            </w:pPr>
            <w:r w:rsidRPr="00EA7665">
              <w:rPr>
                <w:rFonts w:ascii="Arial" w:hAnsi="Arial" w:cs="Arial"/>
                <w:sz w:val="16"/>
                <w:szCs w:val="16"/>
              </w:rPr>
              <w:t>14</w:t>
            </w:r>
          </w:p>
        </w:tc>
      </w:tr>
      <w:tr w:rsidR="00CD6352" w:rsidRPr="00EA7665" w14:paraId="45E0912F" w14:textId="77777777" w:rsidTr="00CD6352">
        <w:trPr>
          <w:trHeight w:val="300"/>
        </w:trPr>
        <w:tc>
          <w:tcPr>
            <w:tcW w:w="4112" w:type="pct"/>
            <w:noWrap/>
            <w:hideMark/>
          </w:tcPr>
          <w:p w14:paraId="68583ADA" w14:textId="77777777" w:rsidR="00CD6352" w:rsidRPr="00EA7665" w:rsidRDefault="00CD6352" w:rsidP="00CD6352">
            <w:pPr>
              <w:rPr>
                <w:rFonts w:ascii="Arial" w:hAnsi="Arial" w:cs="Arial"/>
                <w:sz w:val="16"/>
                <w:szCs w:val="16"/>
              </w:rPr>
            </w:pPr>
            <w:r w:rsidRPr="00EA7665">
              <w:rPr>
                <w:rFonts w:ascii="Arial" w:hAnsi="Arial" w:cs="Arial"/>
                <w:sz w:val="16"/>
                <w:szCs w:val="16"/>
              </w:rPr>
              <w:t>Cost estimation methods</w:t>
            </w:r>
          </w:p>
        </w:tc>
        <w:tc>
          <w:tcPr>
            <w:tcW w:w="569" w:type="pct"/>
            <w:noWrap/>
            <w:hideMark/>
          </w:tcPr>
          <w:p w14:paraId="1BD6AABE" w14:textId="77777777" w:rsidR="00CD6352" w:rsidRPr="00EA7665" w:rsidRDefault="00CD6352" w:rsidP="00CD6352">
            <w:pPr>
              <w:rPr>
                <w:rFonts w:ascii="Arial" w:hAnsi="Arial" w:cs="Arial"/>
                <w:sz w:val="16"/>
                <w:szCs w:val="16"/>
              </w:rPr>
            </w:pPr>
            <w:r w:rsidRPr="00EA7665">
              <w:rPr>
                <w:rFonts w:ascii="Arial" w:hAnsi="Arial" w:cs="Arial"/>
                <w:sz w:val="16"/>
                <w:szCs w:val="16"/>
              </w:rPr>
              <w:t>3.69</w:t>
            </w:r>
          </w:p>
        </w:tc>
        <w:tc>
          <w:tcPr>
            <w:tcW w:w="319" w:type="pct"/>
            <w:noWrap/>
            <w:hideMark/>
          </w:tcPr>
          <w:p w14:paraId="156103EE" w14:textId="77777777" w:rsidR="00CD6352" w:rsidRPr="00EA7665" w:rsidRDefault="00CD6352" w:rsidP="00CD6352">
            <w:pPr>
              <w:rPr>
                <w:rFonts w:ascii="Arial" w:hAnsi="Arial" w:cs="Arial"/>
                <w:sz w:val="16"/>
                <w:szCs w:val="16"/>
              </w:rPr>
            </w:pPr>
            <w:r w:rsidRPr="00EA7665">
              <w:rPr>
                <w:rFonts w:ascii="Arial" w:hAnsi="Arial" w:cs="Arial"/>
                <w:sz w:val="16"/>
                <w:szCs w:val="16"/>
              </w:rPr>
              <w:t>15</w:t>
            </w:r>
          </w:p>
        </w:tc>
      </w:tr>
      <w:tr w:rsidR="00CD6352" w:rsidRPr="00EA7665" w14:paraId="547D80BF" w14:textId="77777777" w:rsidTr="00CD6352">
        <w:trPr>
          <w:trHeight w:val="300"/>
        </w:trPr>
        <w:tc>
          <w:tcPr>
            <w:tcW w:w="4112" w:type="pct"/>
            <w:noWrap/>
            <w:hideMark/>
          </w:tcPr>
          <w:p w14:paraId="532E9C1A" w14:textId="77777777" w:rsidR="00CD6352" w:rsidRPr="00EA7665" w:rsidRDefault="00CD6352" w:rsidP="00CD6352">
            <w:pPr>
              <w:rPr>
                <w:rFonts w:ascii="Arial" w:hAnsi="Arial" w:cs="Arial"/>
                <w:sz w:val="16"/>
                <w:szCs w:val="16"/>
              </w:rPr>
            </w:pPr>
            <w:r w:rsidRPr="00EA7665">
              <w:rPr>
                <w:rFonts w:ascii="Arial" w:hAnsi="Arial" w:cs="Arial"/>
                <w:sz w:val="16"/>
                <w:szCs w:val="16"/>
              </w:rPr>
              <w:t>Contingency approach</w:t>
            </w:r>
          </w:p>
        </w:tc>
        <w:tc>
          <w:tcPr>
            <w:tcW w:w="569" w:type="pct"/>
            <w:noWrap/>
            <w:hideMark/>
          </w:tcPr>
          <w:p w14:paraId="3E277E17" w14:textId="77777777" w:rsidR="00CD6352" w:rsidRPr="00EA7665" w:rsidRDefault="00CD6352" w:rsidP="00CD6352">
            <w:pPr>
              <w:rPr>
                <w:rFonts w:ascii="Arial" w:hAnsi="Arial" w:cs="Arial"/>
                <w:sz w:val="16"/>
                <w:szCs w:val="16"/>
              </w:rPr>
            </w:pPr>
            <w:r w:rsidRPr="00EA7665">
              <w:rPr>
                <w:rFonts w:ascii="Arial" w:hAnsi="Arial" w:cs="Arial"/>
                <w:sz w:val="16"/>
                <w:szCs w:val="16"/>
              </w:rPr>
              <w:t>3.61</w:t>
            </w:r>
          </w:p>
        </w:tc>
        <w:tc>
          <w:tcPr>
            <w:tcW w:w="319" w:type="pct"/>
            <w:noWrap/>
            <w:hideMark/>
          </w:tcPr>
          <w:p w14:paraId="0C1D20BC" w14:textId="77777777" w:rsidR="00CD6352" w:rsidRPr="00EA7665" w:rsidRDefault="00CD6352" w:rsidP="00CD6352">
            <w:pPr>
              <w:rPr>
                <w:rFonts w:ascii="Arial" w:hAnsi="Arial" w:cs="Arial"/>
                <w:sz w:val="16"/>
                <w:szCs w:val="16"/>
              </w:rPr>
            </w:pPr>
            <w:r w:rsidRPr="00EA7665">
              <w:rPr>
                <w:rFonts w:ascii="Arial" w:hAnsi="Arial" w:cs="Arial"/>
                <w:sz w:val="16"/>
                <w:szCs w:val="16"/>
              </w:rPr>
              <w:t>16</w:t>
            </w:r>
          </w:p>
        </w:tc>
      </w:tr>
      <w:tr w:rsidR="00CD6352" w:rsidRPr="00EA7665" w14:paraId="5B22F8E2" w14:textId="77777777" w:rsidTr="00CD6352">
        <w:trPr>
          <w:trHeight w:val="300"/>
        </w:trPr>
        <w:tc>
          <w:tcPr>
            <w:tcW w:w="4112" w:type="pct"/>
            <w:noWrap/>
            <w:hideMark/>
          </w:tcPr>
          <w:p w14:paraId="6DC0FEEB" w14:textId="77777777" w:rsidR="00CD6352" w:rsidRPr="00EA7665" w:rsidRDefault="00CD6352" w:rsidP="00CD6352">
            <w:pPr>
              <w:rPr>
                <w:rFonts w:ascii="Arial" w:hAnsi="Arial" w:cs="Arial"/>
                <w:sz w:val="16"/>
                <w:szCs w:val="16"/>
              </w:rPr>
            </w:pPr>
            <w:r w:rsidRPr="00EA7665">
              <w:rPr>
                <w:rFonts w:ascii="Arial" w:hAnsi="Arial" w:cs="Arial"/>
                <w:sz w:val="16"/>
                <w:szCs w:val="16"/>
              </w:rPr>
              <w:t>Process and governance for cost management</w:t>
            </w:r>
          </w:p>
        </w:tc>
        <w:tc>
          <w:tcPr>
            <w:tcW w:w="569" w:type="pct"/>
            <w:noWrap/>
            <w:hideMark/>
          </w:tcPr>
          <w:p w14:paraId="20006DEA" w14:textId="77777777" w:rsidR="00CD6352" w:rsidRPr="00EA7665" w:rsidRDefault="00CD6352" w:rsidP="00CD6352">
            <w:pPr>
              <w:rPr>
                <w:rFonts w:ascii="Arial" w:hAnsi="Arial" w:cs="Arial"/>
                <w:sz w:val="16"/>
                <w:szCs w:val="16"/>
              </w:rPr>
            </w:pPr>
            <w:r w:rsidRPr="00EA7665">
              <w:rPr>
                <w:rFonts w:ascii="Arial" w:hAnsi="Arial" w:cs="Arial"/>
                <w:sz w:val="16"/>
                <w:szCs w:val="16"/>
              </w:rPr>
              <w:t>3.57</w:t>
            </w:r>
          </w:p>
        </w:tc>
        <w:tc>
          <w:tcPr>
            <w:tcW w:w="319" w:type="pct"/>
            <w:noWrap/>
            <w:hideMark/>
          </w:tcPr>
          <w:p w14:paraId="4B857D41" w14:textId="77777777" w:rsidR="00CD6352" w:rsidRPr="00EA7665" w:rsidRDefault="00CD6352" w:rsidP="00CD6352">
            <w:pPr>
              <w:rPr>
                <w:rFonts w:ascii="Arial" w:hAnsi="Arial" w:cs="Arial"/>
                <w:sz w:val="16"/>
                <w:szCs w:val="16"/>
              </w:rPr>
            </w:pPr>
            <w:r w:rsidRPr="00EA7665">
              <w:rPr>
                <w:rFonts w:ascii="Arial" w:hAnsi="Arial" w:cs="Arial"/>
                <w:sz w:val="16"/>
                <w:szCs w:val="16"/>
              </w:rPr>
              <w:t>17</w:t>
            </w:r>
          </w:p>
        </w:tc>
      </w:tr>
    </w:tbl>
    <w:p w14:paraId="67B2E0DF" w14:textId="77777777" w:rsidR="00CD6352" w:rsidRPr="00EA7665" w:rsidRDefault="00CD6352" w:rsidP="00CD6352">
      <w:r w:rsidRPr="00EA7665">
        <w:t>Not needed(1)</w:t>
      </w:r>
      <w:r w:rsidRPr="00EA7665">
        <w:tab/>
        <w:t>, Less needed(2), Needed(3),Very needed(4)Highly needed(5)</w:t>
      </w:r>
    </w:p>
    <w:p w14:paraId="78B73962" w14:textId="77777777" w:rsidR="00CD6352" w:rsidRPr="00EA7665" w:rsidRDefault="00CD6352" w:rsidP="00CD6352"/>
    <w:p w14:paraId="28216122" w14:textId="28AC03C6" w:rsidR="00CD6352" w:rsidRPr="00EA7665" w:rsidRDefault="00CD6352" w:rsidP="00CD6352">
      <w:pPr>
        <w:pStyle w:val="Heading4"/>
        <w:rPr>
          <w:rFonts w:ascii="Arial" w:hAnsi="Arial" w:cs="Arial"/>
          <w:color w:val="auto"/>
        </w:rPr>
      </w:pPr>
      <w:r w:rsidRPr="00EA7665">
        <w:rPr>
          <w:rFonts w:ascii="Arial" w:hAnsi="Arial" w:cs="Arial"/>
          <w:color w:val="auto"/>
        </w:rPr>
        <w:t xml:space="preserve">Questionnaire survey discussion and analysis at the disaggregate </w:t>
      </w:r>
      <w:r w:rsidR="00D136C6" w:rsidRPr="00EA7665">
        <w:rPr>
          <w:rFonts w:ascii="Arial" w:hAnsi="Arial" w:cs="Arial"/>
          <w:color w:val="auto"/>
        </w:rPr>
        <w:t>level.</w:t>
      </w:r>
    </w:p>
    <w:p w14:paraId="23982AFF" w14:textId="77777777" w:rsidR="00CD6352" w:rsidRPr="00EA7665" w:rsidRDefault="00CD6352" w:rsidP="00CD6352">
      <w:pPr>
        <w:pStyle w:val="Caption"/>
        <w:keepNext/>
      </w:pPr>
    </w:p>
    <w:p w14:paraId="1B747B3A" w14:textId="62D0A847" w:rsidR="00CD6352" w:rsidRPr="00EA7665" w:rsidRDefault="00CD6352" w:rsidP="00CD6352">
      <w:pPr>
        <w:spacing w:line="360" w:lineRule="auto"/>
        <w:jc w:val="both"/>
        <w:rPr>
          <w:rFonts w:ascii="Arial" w:hAnsi="Arial" w:cs="Arial"/>
        </w:rPr>
      </w:pPr>
      <w:r w:rsidRPr="00EA7665">
        <w:rPr>
          <w:rFonts w:ascii="Arial" w:hAnsi="Arial" w:cs="Arial"/>
        </w:rPr>
        <w:t xml:space="preserve">The results relating to the need for management knowledge training and education for the present job </w:t>
      </w:r>
      <w:r w:rsidR="00896BD2">
        <w:rPr>
          <w:rFonts w:ascii="Arial" w:hAnsi="Arial" w:cs="Arial"/>
        </w:rPr>
        <w:t>concerning</w:t>
      </w:r>
      <w:r w:rsidRPr="00EA7665">
        <w:rPr>
          <w:rFonts w:ascii="Arial" w:hAnsi="Arial" w:cs="Arial"/>
        </w:rPr>
        <w:t xml:space="preserve"> securing finance for real estate project development at the </w:t>
      </w:r>
      <w:r>
        <w:rPr>
          <w:rFonts w:ascii="Arial" w:hAnsi="Arial" w:cs="Arial"/>
        </w:rPr>
        <w:t>disaggregate</w:t>
      </w:r>
      <w:r w:rsidRPr="00EA7665">
        <w:rPr>
          <w:rFonts w:ascii="Arial" w:hAnsi="Arial" w:cs="Arial"/>
        </w:rPr>
        <w:t xml:space="preserve"> level is contained in </w:t>
      </w:r>
      <w:r w:rsidR="00CD2495">
        <w:rPr>
          <w:rFonts w:ascii="Arial" w:hAnsi="Arial" w:cs="Arial"/>
        </w:rPr>
        <w:t xml:space="preserve">appendix 1 table </w:t>
      </w:r>
      <w:r w:rsidR="00C5010B">
        <w:rPr>
          <w:rFonts w:ascii="Arial" w:hAnsi="Arial" w:cs="Arial"/>
        </w:rPr>
        <w:t>6</w:t>
      </w:r>
      <w:r w:rsidRPr="00EA7665">
        <w:rPr>
          <w:rFonts w:ascii="Arial" w:hAnsi="Arial" w:cs="Arial"/>
        </w:rPr>
        <w:t xml:space="preserve">. The range for the data for the different countries is Germany (2.5 to 1.5), UK(4.17 to 3.17), </w:t>
      </w:r>
      <w:r w:rsidR="00896BD2">
        <w:rPr>
          <w:rFonts w:ascii="Arial" w:hAnsi="Arial" w:cs="Arial"/>
        </w:rPr>
        <w:t xml:space="preserve">the </w:t>
      </w:r>
      <w:r w:rsidRPr="00EA7665">
        <w:rPr>
          <w:rFonts w:ascii="Arial" w:hAnsi="Arial" w:cs="Arial"/>
        </w:rPr>
        <w:t>US(4 to 2.33), China (3.38 to 2.56), Nigeria (4.22 to 3.67) and South Africa (4.25 to 3.38). The range of the data shows that the managers who responded to the questionnaires indicated they needed some degree of training and education for the seventeen management knowle</w:t>
      </w:r>
      <w:r>
        <w:rPr>
          <w:rFonts w:ascii="Arial" w:hAnsi="Arial" w:cs="Arial"/>
        </w:rPr>
        <w:t>dge</w:t>
      </w:r>
      <w:r w:rsidRPr="00EA7665">
        <w:rPr>
          <w:rFonts w:ascii="Arial" w:hAnsi="Arial" w:cs="Arial"/>
        </w:rPr>
        <w:t xml:space="preserve"> </w:t>
      </w:r>
      <w:r>
        <w:rPr>
          <w:rFonts w:ascii="Arial" w:hAnsi="Arial" w:cs="Arial"/>
        </w:rPr>
        <w:t>shown</w:t>
      </w:r>
      <w:r w:rsidRPr="00EA7665">
        <w:rPr>
          <w:rFonts w:ascii="Arial" w:hAnsi="Arial" w:cs="Arial"/>
        </w:rPr>
        <w:t xml:space="preserve"> in the </w:t>
      </w:r>
      <w:r w:rsidR="00F7604C" w:rsidRPr="00EA7665">
        <w:rPr>
          <w:rFonts w:ascii="Arial" w:hAnsi="Arial" w:cs="Arial"/>
        </w:rPr>
        <w:t>questionnaire.</w:t>
      </w:r>
      <w:r w:rsidRPr="00EA7665">
        <w:rPr>
          <w:rFonts w:ascii="Arial" w:hAnsi="Arial" w:cs="Arial"/>
        </w:rPr>
        <w:t xml:space="preserve"> </w:t>
      </w:r>
      <w:r w:rsidRPr="00EA7665">
        <w:rPr>
          <w:rFonts w:ascii="Arial" w:hAnsi="Arial" w:cs="Arial"/>
        </w:rPr>
        <w:lastRenderedPageBreak/>
        <w:t xml:space="preserve">However, managers in Germany indicated they did not need training and education for </w:t>
      </w:r>
      <w:r>
        <w:rPr>
          <w:rFonts w:ascii="Arial" w:hAnsi="Arial" w:cs="Arial"/>
        </w:rPr>
        <w:t>c</w:t>
      </w:r>
      <w:r w:rsidRPr="00EA7665">
        <w:rPr>
          <w:rFonts w:ascii="Arial" w:hAnsi="Arial" w:cs="Arial"/>
        </w:rPr>
        <w:t>ontingency approach, process and governance for cost management, risks and opportunities response strategies</w:t>
      </w:r>
      <w:r w:rsidR="005F4529">
        <w:rPr>
          <w:rFonts w:ascii="Arial" w:hAnsi="Arial" w:cs="Arial"/>
        </w:rPr>
        <w:t>, plan &amp; techniques,</w:t>
      </w:r>
      <w:r w:rsidRPr="00EA7665">
        <w:rPr>
          <w:rFonts w:ascii="Arial" w:hAnsi="Arial" w:cs="Arial"/>
        </w:rPr>
        <w:t xml:space="preserve"> and conditions for loan effectiveness. </w:t>
      </w:r>
      <w:r w:rsidR="00F7604C">
        <w:rPr>
          <w:rFonts w:ascii="Arial" w:hAnsi="Arial" w:cs="Arial"/>
        </w:rPr>
        <w:t>However</w:t>
      </w:r>
      <w:r w:rsidR="00F7604C" w:rsidRPr="00EA7665">
        <w:rPr>
          <w:rFonts w:ascii="Arial" w:hAnsi="Arial" w:cs="Arial"/>
        </w:rPr>
        <w:t>, debt</w:t>
      </w:r>
      <w:r w:rsidRPr="00EA7665">
        <w:rPr>
          <w:rFonts w:ascii="Arial" w:hAnsi="Arial" w:cs="Arial"/>
        </w:rPr>
        <w:t xml:space="preserve"> </w:t>
      </w:r>
      <w:r>
        <w:rPr>
          <w:rFonts w:ascii="Arial" w:hAnsi="Arial" w:cs="Arial"/>
        </w:rPr>
        <w:t>literacy</w:t>
      </w:r>
      <w:r w:rsidR="005F4529">
        <w:rPr>
          <w:rFonts w:ascii="Arial" w:hAnsi="Arial" w:cs="Arial"/>
        </w:rPr>
        <w:t>, which is ranked 1st by German managers, covers</w:t>
      </w:r>
      <w:r w:rsidRPr="00EA7665">
        <w:rPr>
          <w:rFonts w:ascii="Arial" w:hAnsi="Arial" w:cs="Arial"/>
        </w:rPr>
        <w:t xml:space="preserve"> the </w:t>
      </w:r>
      <w:r w:rsidR="00B80F78" w:rsidRPr="00EA7665">
        <w:rPr>
          <w:rFonts w:ascii="Arial" w:hAnsi="Arial" w:cs="Arial"/>
        </w:rPr>
        <w:t>four-management</w:t>
      </w:r>
      <w:r w:rsidRPr="00EA7665">
        <w:rPr>
          <w:rFonts w:ascii="Arial" w:hAnsi="Arial" w:cs="Arial"/>
        </w:rPr>
        <w:t xml:space="preserve"> knowledge they indicated they did not need training and education for </w:t>
      </w:r>
      <w:r>
        <w:rPr>
          <w:rFonts w:ascii="Arial" w:hAnsi="Arial" w:cs="Arial"/>
        </w:rPr>
        <w:t xml:space="preserve">in </w:t>
      </w:r>
      <w:r w:rsidRPr="00EA7665">
        <w:rPr>
          <w:rFonts w:ascii="Arial" w:hAnsi="Arial" w:cs="Arial"/>
        </w:rPr>
        <w:t xml:space="preserve">their present jobs. Arguably, the focus of debt </w:t>
      </w:r>
      <w:r>
        <w:rPr>
          <w:rFonts w:ascii="Arial" w:hAnsi="Arial" w:cs="Arial"/>
        </w:rPr>
        <w:t>literacy</w:t>
      </w:r>
      <w:r w:rsidRPr="00EA7665">
        <w:rPr>
          <w:rFonts w:ascii="Arial" w:hAnsi="Arial" w:cs="Arial"/>
        </w:rPr>
        <w:t xml:space="preserve"> in Germany is because bank debt is the major source of real estate project finance </w:t>
      </w:r>
      <w:r>
        <w:rPr>
          <w:rFonts w:ascii="Arial" w:hAnsi="Arial" w:cs="Arial"/>
        </w:rPr>
        <w:t xml:space="preserve">in Germany </w:t>
      </w:r>
      <w:r w:rsidRPr="00EA7665">
        <w:rPr>
          <w:rFonts w:ascii="Arial" w:hAnsi="Arial" w:cs="Arial"/>
        </w:rPr>
        <w:t>(Zhou, 2019).</w:t>
      </w:r>
    </w:p>
    <w:p w14:paraId="5EA80F80" w14:textId="3D02D68F" w:rsidR="00CD6352" w:rsidRPr="00EA7665" w:rsidRDefault="00CD6352" w:rsidP="00CD6352">
      <w:pPr>
        <w:spacing w:line="360" w:lineRule="auto"/>
        <w:jc w:val="both"/>
        <w:rPr>
          <w:rFonts w:ascii="Arial" w:hAnsi="Arial" w:cs="Arial"/>
        </w:rPr>
      </w:pPr>
      <w:r w:rsidRPr="00EA7665">
        <w:rPr>
          <w:rFonts w:ascii="Arial" w:hAnsi="Arial" w:cs="Arial"/>
        </w:rPr>
        <w:t xml:space="preserve">The top five management </w:t>
      </w:r>
      <w:r>
        <w:rPr>
          <w:rFonts w:ascii="Arial" w:hAnsi="Arial" w:cs="Arial"/>
        </w:rPr>
        <w:t>knowledge</w:t>
      </w:r>
      <w:r w:rsidRPr="00EA7665">
        <w:rPr>
          <w:rFonts w:ascii="Arial" w:hAnsi="Arial" w:cs="Arial"/>
        </w:rPr>
        <w:t xml:space="preserve"> </w:t>
      </w:r>
      <w:r w:rsidR="003E03CB">
        <w:rPr>
          <w:rFonts w:ascii="Arial" w:hAnsi="Arial" w:cs="Arial"/>
        </w:rPr>
        <w:t>the survey respondents indicated they need training and education to acquire is</w:t>
      </w:r>
      <w:r w:rsidRPr="00EA7665">
        <w:rPr>
          <w:rFonts w:ascii="Arial" w:hAnsi="Arial" w:cs="Arial"/>
        </w:rPr>
        <w:t xml:space="preserve"> shown </w:t>
      </w:r>
      <w:r w:rsidR="00F7604C" w:rsidRPr="00EA7665">
        <w:rPr>
          <w:rFonts w:ascii="Arial" w:hAnsi="Arial" w:cs="Arial"/>
        </w:rPr>
        <w:t>below</w:t>
      </w:r>
      <w:r w:rsidR="003E03CB">
        <w:rPr>
          <w:rFonts w:ascii="Arial" w:hAnsi="Arial" w:cs="Arial"/>
        </w:rPr>
        <w:t>.</w:t>
      </w:r>
      <w:r w:rsidR="00F7604C" w:rsidRPr="00EA7665">
        <w:rPr>
          <w:rFonts w:ascii="Arial" w:hAnsi="Arial" w:cs="Arial"/>
        </w:rPr>
        <w:t xml:space="preserve"> Notably</w:t>
      </w:r>
      <w:r w:rsidRPr="00EA7665">
        <w:rPr>
          <w:rFonts w:ascii="Arial" w:hAnsi="Arial" w:cs="Arial"/>
        </w:rPr>
        <w:t>, funding source</w:t>
      </w:r>
      <w:r>
        <w:rPr>
          <w:rFonts w:ascii="Arial" w:hAnsi="Arial" w:cs="Arial"/>
        </w:rPr>
        <w:t>s</w:t>
      </w:r>
      <w:r w:rsidRPr="00EA7665">
        <w:rPr>
          <w:rFonts w:ascii="Arial" w:hAnsi="Arial" w:cs="Arial"/>
        </w:rPr>
        <w:t xml:space="preserve"> </w:t>
      </w:r>
      <w:r w:rsidR="00896BD2">
        <w:rPr>
          <w:rFonts w:ascii="Arial" w:hAnsi="Arial" w:cs="Arial"/>
        </w:rPr>
        <w:t>are</w:t>
      </w:r>
      <w:r w:rsidRPr="00EA7665">
        <w:rPr>
          <w:rFonts w:ascii="Arial" w:hAnsi="Arial" w:cs="Arial"/>
        </w:rPr>
        <w:t xml:space="preserve"> ranked top by all the countries apart from China. While</w:t>
      </w:r>
      <w:r w:rsidR="003E03CB">
        <w:rPr>
          <w:rFonts w:ascii="Arial" w:hAnsi="Arial" w:cs="Arial"/>
        </w:rPr>
        <w:t>,</w:t>
      </w:r>
      <w:r w:rsidRPr="00EA7665">
        <w:rPr>
          <w:rFonts w:ascii="Arial" w:hAnsi="Arial" w:cs="Arial"/>
        </w:rPr>
        <w:t xml:space="preserve"> debt literacy is ranked top by all the developed countries and China</w:t>
      </w:r>
      <w:r>
        <w:rPr>
          <w:rFonts w:ascii="Arial" w:hAnsi="Arial" w:cs="Arial"/>
        </w:rPr>
        <w:t>, arguably because debt is the most used finance option for real estate project development in both the developed and emerging economies (Delmendo, 2019).</w:t>
      </w:r>
    </w:p>
    <w:p w14:paraId="70677A83" w14:textId="77777777" w:rsidR="00CD6352" w:rsidRPr="00EA7665" w:rsidRDefault="00CD6352" w:rsidP="00CD6352">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8"/>
        <w:gridCol w:w="3008"/>
      </w:tblGrid>
      <w:tr w:rsidR="00CD6352" w:rsidRPr="00EA7665" w14:paraId="4AC2CDDF" w14:textId="77777777" w:rsidTr="00CD6352">
        <w:trPr>
          <w:trHeight w:val="3348"/>
        </w:trPr>
        <w:tc>
          <w:tcPr>
            <w:tcW w:w="3080" w:type="dxa"/>
          </w:tcPr>
          <w:p w14:paraId="4CD3EBB3" w14:textId="77777777" w:rsidR="00CD6352" w:rsidRPr="007341B9" w:rsidRDefault="00CD6352" w:rsidP="00CD6352">
            <w:pPr>
              <w:spacing w:line="360" w:lineRule="auto"/>
              <w:jc w:val="both"/>
              <w:rPr>
                <w:rFonts w:ascii="Arial" w:hAnsi="Arial" w:cs="Arial"/>
                <w:b/>
                <w:bCs/>
                <w:sz w:val="16"/>
                <w:szCs w:val="16"/>
              </w:rPr>
            </w:pPr>
            <w:r w:rsidRPr="007341B9">
              <w:rPr>
                <w:rFonts w:ascii="Arial" w:hAnsi="Arial" w:cs="Arial"/>
                <w:b/>
                <w:bCs/>
                <w:sz w:val="16"/>
                <w:szCs w:val="16"/>
              </w:rPr>
              <w:t>Germany</w:t>
            </w:r>
          </w:p>
          <w:p w14:paraId="79061275" w14:textId="77777777" w:rsidR="00CD6352" w:rsidRPr="00EA7665" w:rsidRDefault="00CD6352" w:rsidP="00C74AEC">
            <w:pPr>
              <w:pStyle w:val="ListParagraph"/>
              <w:numPr>
                <w:ilvl w:val="0"/>
                <w:numId w:val="155"/>
              </w:numPr>
              <w:spacing w:after="0" w:line="360" w:lineRule="auto"/>
              <w:jc w:val="both"/>
              <w:rPr>
                <w:rFonts w:ascii="Arial" w:hAnsi="Arial" w:cs="Arial"/>
                <w:sz w:val="16"/>
                <w:szCs w:val="16"/>
              </w:rPr>
            </w:pPr>
            <w:r w:rsidRPr="00EA7665">
              <w:rPr>
                <w:rFonts w:ascii="Arial" w:hAnsi="Arial" w:cs="Arial"/>
                <w:sz w:val="16"/>
                <w:szCs w:val="16"/>
              </w:rPr>
              <w:t>Debt literacy</w:t>
            </w:r>
          </w:p>
          <w:p w14:paraId="78FF09F0" w14:textId="77777777" w:rsidR="00CD6352" w:rsidRPr="00EA7665" w:rsidRDefault="00CD6352" w:rsidP="00C74AEC">
            <w:pPr>
              <w:pStyle w:val="ListParagraph"/>
              <w:numPr>
                <w:ilvl w:val="0"/>
                <w:numId w:val="155"/>
              </w:numPr>
              <w:spacing w:after="0" w:line="360" w:lineRule="auto"/>
              <w:jc w:val="both"/>
              <w:rPr>
                <w:rFonts w:ascii="Arial" w:hAnsi="Arial" w:cs="Arial"/>
                <w:sz w:val="16"/>
                <w:szCs w:val="16"/>
              </w:rPr>
            </w:pPr>
            <w:r w:rsidRPr="00EA7665">
              <w:rPr>
                <w:rFonts w:ascii="Arial" w:hAnsi="Arial" w:cs="Arial"/>
                <w:sz w:val="16"/>
                <w:szCs w:val="16"/>
              </w:rPr>
              <w:t>Funding sources</w:t>
            </w:r>
          </w:p>
          <w:p w14:paraId="6B2D2AB4" w14:textId="37411DF8" w:rsidR="00CD6352" w:rsidRPr="00EA7665" w:rsidRDefault="00CD6352" w:rsidP="00C74AEC">
            <w:pPr>
              <w:pStyle w:val="ListParagraph"/>
              <w:numPr>
                <w:ilvl w:val="0"/>
                <w:numId w:val="155"/>
              </w:numPr>
              <w:spacing w:after="0" w:line="360" w:lineRule="auto"/>
              <w:jc w:val="both"/>
              <w:rPr>
                <w:rFonts w:ascii="Arial" w:hAnsi="Arial" w:cs="Arial"/>
                <w:sz w:val="16"/>
                <w:szCs w:val="16"/>
              </w:rPr>
            </w:pPr>
            <w:r w:rsidRPr="00EA7665">
              <w:rPr>
                <w:rFonts w:ascii="Arial" w:hAnsi="Arial" w:cs="Arial"/>
                <w:sz w:val="16"/>
                <w:szCs w:val="16"/>
              </w:rPr>
              <w:t xml:space="preserve">Relevant conventions, agreement, legislation and regulations </w:t>
            </w:r>
          </w:p>
          <w:p w14:paraId="3ECC3899" w14:textId="77777777" w:rsidR="00CD6352" w:rsidRPr="00EA7665" w:rsidRDefault="00CD6352" w:rsidP="00C74AEC">
            <w:pPr>
              <w:pStyle w:val="ListParagraph"/>
              <w:numPr>
                <w:ilvl w:val="0"/>
                <w:numId w:val="155"/>
              </w:numPr>
              <w:spacing w:after="0" w:line="360" w:lineRule="auto"/>
              <w:jc w:val="both"/>
              <w:rPr>
                <w:rFonts w:ascii="Arial" w:hAnsi="Arial" w:cs="Arial"/>
                <w:sz w:val="16"/>
                <w:szCs w:val="16"/>
              </w:rPr>
            </w:pPr>
            <w:r w:rsidRPr="00EA7665">
              <w:rPr>
                <w:rFonts w:ascii="Arial" w:hAnsi="Arial" w:cs="Arial"/>
                <w:sz w:val="16"/>
                <w:szCs w:val="16"/>
              </w:rPr>
              <w:t>Cost calculation techniques</w:t>
            </w:r>
          </w:p>
          <w:p w14:paraId="3BA40D24" w14:textId="77777777" w:rsidR="00CD6352" w:rsidRPr="00EA7665" w:rsidRDefault="00CD6352" w:rsidP="00C74AEC">
            <w:pPr>
              <w:pStyle w:val="ListParagraph"/>
              <w:numPr>
                <w:ilvl w:val="0"/>
                <w:numId w:val="155"/>
              </w:numPr>
              <w:spacing w:after="0" w:line="360" w:lineRule="auto"/>
              <w:jc w:val="both"/>
              <w:rPr>
                <w:rFonts w:ascii="Arial" w:hAnsi="Arial" w:cs="Arial"/>
                <w:sz w:val="16"/>
                <w:szCs w:val="16"/>
              </w:rPr>
            </w:pPr>
            <w:r w:rsidRPr="00EA7665">
              <w:rPr>
                <w:rFonts w:ascii="Arial" w:hAnsi="Arial" w:cs="Arial"/>
                <w:sz w:val="16"/>
                <w:szCs w:val="16"/>
              </w:rPr>
              <w:t>Cost estimation methods</w:t>
            </w:r>
          </w:p>
        </w:tc>
        <w:tc>
          <w:tcPr>
            <w:tcW w:w="3081" w:type="dxa"/>
          </w:tcPr>
          <w:p w14:paraId="1F98E377" w14:textId="77777777" w:rsidR="00CD6352" w:rsidRPr="007341B9" w:rsidRDefault="00CD6352" w:rsidP="00CD6352">
            <w:pPr>
              <w:spacing w:line="360" w:lineRule="auto"/>
              <w:jc w:val="both"/>
              <w:rPr>
                <w:rFonts w:ascii="Arial" w:hAnsi="Arial" w:cs="Arial"/>
                <w:b/>
                <w:bCs/>
                <w:sz w:val="16"/>
                <w:szCs w:val="16"/>
              </w:rPr>
            </w:pPr>
            <w:r w:rsidRPr="007341B9">
              <w:rPr>
                <w:rFonts w:ascii="Arial" w:hAnsi="Arial" w:cs="Arial"/>
                <w:b/>
                <w:bCs/>
                <w:sz w:val="16"/>
                <w:szCs w:val="16"/>
              </w:rPr>
              <w:t>UK</w:t>
            </w:r>
          </w:p>
          <w:p w14:paraId="475B0759" w14:textId="77777777" w:rsidR="00CD6352" w:rsidRPr="00EA7665" w:rsidRDefault="00CD6352" w:rsidP="00C74AEC">
            <w:pPr>
              <w:pStyle w:val="ListParagraph"/>
              <w:numPr>
                <w:ilvl w:val="0"/>
                <w:numId w:val="156"/>
              </w:numPr>
              <w:spacing w:after="0" w:line="360" w:lineRule="auto"/>
              <w:jc w:val="both"/>
              <w:rPr>
                <w:rFonts w:ascii="Arial" w:hAnsi="Arial" w:cs="Arial"/>
                <w:sz w:val="16"/>
                <w:szCs w:val="16"/>
              </w:rPr>
            </w:pPr>
            <w:r w:rsidRPr="00EA7665">
              <w:rPr>
                <w:rFonts w:ascii="Arial" w:hAnsi="Arial" w:cs="Arial"/>
                <w:sz w:val="16"/>
                <w:szCs w:val="16"/>
              </w:rPr>
              <w:t>Debt literacy</w:t>
            </w:r>
          </w:p>
          <w:p w14:paraId="0A35C73D" w14:textId="77777777" w:rsidR="00CD6352" w:rsidRPr="00EA7665" w:rsidRDefault="00CD6352" w:rsidP="00C74AEC">
            <w:pPr>
              <w:pStyle w:val="ListParagraph"/>
              <w:numPr>
                <w:ilvl w:val="0"/>
                <w:numId w:val="156"/>
              </w:numPr>
              <w:spacing w:after="0" w:line="360" w:lineRule="auto"/>
              <w:jc w:val="both"/>
              <w:rPr>
                <w:rFonts w:ascii="Arial" w:hAnsi="Arial" w:cs="Arial"/>
                <w:sz w:val="16"/>
                <w:szCs w:val="16"/>
              </w:rPr>
            </w:pPr>
            <w:r w:rsidRPr="00EA7665">
              <w:rPr>
                <w:rFonts w:ascii="Arial" w:hAnsi="Arial" w:cs="Arial"/>
                <w:sz w:val="16"/>
                <w:szCs w:val="16"/>
              </w:rPr>
              <w:t>Funding sources</w:t>
            </w:r>
          </w:p>
          <w:p w14:paraId="4C2923D6" w14:textId="77777777" w:rsidR="00CD6352" w:rsidRPr="00EA7665" w:rsidRDefault="00CD6352" w:rsidP="00C74AEC">
            <w:pPr>
              <w:pStyle w:val="ListParagraph"/>
              <w:numPr>
                <w:ilvl w:val="0"/>
                <w:numId w:val="156"/>
              </w:numPr>
              <w:spacing w:after="0" w:line="360" w:lineRule="auto"/>
              <w:jc w:val="both"/>
              <w:rPr>
                <w:rFonts w:ascii="Arial" w:hAnsi="Arial" w:cs="Arial"/>
                <w:sz w:val="16"/>
                <w:szCs w:val="16"/>
              </w:rPr>
            </w:pPr>
            <w:r w:rsidRPr="00EA7665">
              <w:rPr>
                <w:rFonts w:ascii="Arial" w:hAnsi="Arial" w:cs="Arial"/>
                <w:sz w:val="16"/>
                <w:szCs w:val="16"/>
              </w:rPr>
              <w:t xml:space="preserve">Market intelligence </w:t>
            </w:r>
          </w:p>
          <w:p w14:paraId="615096D1" w14:textId="36BAD16B" w:rsidR="00CD6352" w:rsidRPr="00EA7665" w:rsidRDefault="00CD6352" w:rsidP="00C74AEC">
            <w:pPr>
              <w:pStyle w:val="ListParagraph"/>
              <w:numPr>
                <w:ilvl w:val="0"/>
                <w:numId w:val="156"/>
              </w:numPr>
              <w:spacing w:after="0" w:line="360" w:lineRule="auto"/>
              <w:jc w:val="both"/>
              <w:rPr>
                <w:rFonts w:ascii="Arial" w:hAnsi="Arial" w:cs="Arial"/>
                <w:sz w:val="16"/>
                <w:szCs w:val="16"/>
              </w:rPr>
            </w:pPr>
            <w:r w:rsidRPr="00EA7665">
              <w:rPr>
                <w:rFonts w:ascii="Arial" w:hAnsi="Arial" w:cs="Arial"/>
                <w:sz w:val="16"/>
                <w:szCs w:val="16"/>
              </w:rPr>
              <w:t>Fundamental concepts of economics &amp; finance (e.g. calculation of interest rate &amp; inflation)</w:t>
            </w:r>
          </w:p>
          <w:p w14:paraId="6BB6B41A" w14:textId="77777777" w:rsidR="00CD6352" w:rsidRPr="00EA7665" w:rsidRDefault="00CD6352" w:rsidP="00C74AEC">
            <w:pPr>
              <w:pStyle w:val="ListParagraph"/>
              <w:numPr>
                <w:ilvl w:val="0"/>
                <w:numId w:val="156"/>
              </w:numPr>
              <w:spacing w:after="0" w:line="360" w:lineRule="auto"/>
              <w:jc w:val="both"/>
              <w:rPr>
                <w:rFonts w:ascii="Arial" w:hAnsi="Arial" w:cs="Arial"/>
                <w:sz w:val="16"/>
                <w:szCs w:val="16"/>
              </w:rPr>
            </w:pPr>
            <w:r w:rsidRPr="00EA7665">
              <w:rPr>
                <w:rFonts w:ascii="Arial" w:hAnsi="Arial" w:cs="Arial"/>
                <w:sz w:val="16"/>
                <w:szCs w:val="16"/>
              </w:rPr>
              <w:t>Financial accounting basics</w:t>
            </w:r>
          </w:p>
        </w:tc>
        <w:tc>
          <w:tcPr>
            <w:tcW w:w="3081" w:type="dxa"/>
          </w:tcPr>
          <w:p w14:paraId="5B284407" w14:textId="77777777" w:rsidR="00CD6352" w:rsidRPr="007341B9" w:rsidRDefault="00CD6352" w:rsidP="00CD6352">
            <w:pPr>
              <w:spacing w:line="360" w:lineRule="auto"/>
              <w:jc w:val="both"/>
              <w:rPr>
                <w:rFonts w:ascii="Arial" w:hAnsi="Arial" w:cs="Arial"/>
                <w:b/>
                <w:bCs/>
                <w:sz w:val="16"/>
                <w:szCs w:val="16"/>
              </w:rPr>
            </w:pPr>
            <w:r w:rsidRPr="007341B9">
              <w:rPr>
                <w:rFonts w:ascii="Arial" w:hAnsi="Arial" w:cs="Arial"/>
                <w:b/>
                <w:bCs/>
                <w:sz w:val="16"/>
                <w:szCs w:val="16"/>
              </w:rPr>
              <w:t>US</w:t>
            </w:r>
          </w:p>
          <w:p w14:paraId="32C6A0AD" w14:textId="77777777" w:rsidR="00CD6352" w:rsidRPr="00EA7665" w:rsidRDefault="00CD6352" w:rsidP="00C74AEC">
            <w:pPr>
              <w:pStyle w:val="ListParagraph"/>
              <w:numPr>
                <w:ilvl w:val="0"/>
                <w:numId w:val="157"/>
              </w:numPr>
              <w:spacing w:after="0" w:line="360" w:lineRule="auto"/>
              <w:jc w:val="both"/>
              <w:rPr>
                <w:rFonts w:ascii="Arial" w:hAnsi="Arial" w:cs="Arial"/>
                <w:sz w:val="16"/>
                <w:szCs w:val="16"/>
              </w:rPr>
            </w:pPr>
            <w:r w:rsidRPr="00EA7665">
              <w:rPr>
                <w:rFonts w:ascii="Arial" w:hAnsi="Arial" w:cs="Arial"/>
                <w:sz w:val="16"/>
                <w:szCs w:val="16"/>
              </w:rPr>
              <w:t>Funding sources</w:t>
            </w:r>
          </w:p>
          <w:p w14:paraId="090EE86A" w14:textId="77777777" w:rsidR="00CD6352" w:rsidRPr="00EA7665" w:rsidRDefault="00CD6352" w:rsidP="00C74AEC">
            <w:pPr>
              <w:pStyle w:val="ListParagraph"/>
              <w:numPr>
                <w:ilvl w:val="0"/>
                <w:numId w:val="157"/>
              </w:numPr>
              <w:spacing w:after="0" w:line="360" w:lineRule="auto"/>
              <w:jc w:val="both"/>
              <w:rPr>
                <w:rFonts w:ascii="Arial" w:hAnsi="Arial" w:cs="Arial"/>
                <w:sz w:val="16"/>
                <w:szCs w:val="16"/>
              </w:rPr>
            </w:pPr>
            <w:r w:rsidRPr="00EA7665">
              <w:rPr>
                <w:rFonts w:ascii="Arial" w:hAnsi="Arial" w:cs="Arial"/>
                <w:sz w:val="16"/>
                <w:szCs w:val="16"/>
              </w:rPr>
              <w:t>Debt literacy</w:t>
            </w:r>
          </w:p>
          <w:p w14:paraId="1BF6DCA3" w14:textId="77777777" w:rsidR="00CD6352" w:rsidRPr="00EA7665" w:rsidRDefault="00CD6352" w:rsidP="00C74AEC">
            <w:pPr>
              <w:pStyle w:val="ListParagraph"/>
              <w:numPr>
                <w:ilvl w:val="0"/>
                <w:numId w:val="157"/>
              </w:numPr>
              <w:spacing w:after="0" w:line="360" w:lineRule="auto"/>
              <w:jc w:val="both"/>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p w14:paraId="687B208B" w14:textId="77777777" w:rsidR="00CD6352" w:rsidRPr="00EA7665" w:rsidRDefault="00CD6352" w:rsidP="00C74AEC">
            <w:pPr>
              <w:pStyle w:val="ListParagraph"/>
              <w:numPr>
                <w:ilvl w:val="0"/>
                <w:numId w:val="157"/>
              </w:numPr>
              <w:spacing w:after="0" w:line="360" w:lineRule="auto"/>
              <w:jc w:val="both"/>
              <w:rPr>
                <w:rFonts w:ascii="Arial" w:hAnsi="Arial" w:cs="Arial"/>
                <w:sz w:val="16"/>
                <w:szCs w:val="16"/>
              </w:rPr>
            </w:pPr>
            <w:r w:rsidRPr="00EA7665">
              <w:rPr>
                <w:rFonts w:ascii="Arial" w:hAnsi="Arial" w:cs="Arial"/>
                <w:sz w:val="16"/>
                <w:szCs w:val="16"/>
              </w:rPr>
              <w:t>Finance options</w:t>
            </w:r>
          </w:p>
          <w:p w14:paraId="569C71B3" w14:textId="77777777" w:rsidR="00CD6352" w:rsidRPr="00EA7665" w:rsidRDefault="00CD6352" w:rsidP="00C74AEC">
            <w:pPr>
              <w:pStyle w:val="ListParagraph"/>
              <w:numPr>
                <w:ilvl w:val="0"/>
                <w:numId w:val="157"/>
              </w:numPr>
              <w:spacing w:after="0" w:line="360" w:lineRule="auto"/>
              <w:jc w:val="both"/>
              <w:rPr>
                <w:rFonts w:ascii="Arial" w:hAnsi="Arial" w:cs="Arial"/>
                <w:sz w:val="16"/>
                <w:szCs w:val="16"/>
              </w:rPr>
            </w:pPr>
            <w:r w:rsidRPr="00EA7665">
              <w:rPr>
                <w:rFonts w:ascii="Arial" w:hAnsi="Arial" w:cs="Arial"/>
                <w:sz w:val="16"/>
                <w:szCs w:val="16"/>
              </w:rPr>
              <w:t>Relevant conventions, agreement, legislation and regulations</w:t>
            </w:r>
          </w:p>
        </w:tc>
      </w:tr>
      <w:tr w:rsidR="00CD6352" w:rsidRPr="00EA7665" w14:paraId="0876DAE1" w14:textId="77777777" w:rsidTr="00CD6352">
        <w:tc>
          <w:tcPr>
            <w:tcW w:w="3080" w:type="dxa"/>
          </w:tcPr>
          <w:p w14:paraId="2E60C8CB" w14:textId="77777777" w:rsidR="00CD6352" w:rsidRPr="007341B9" w:rsidRDefault="00CD6352" w:rsidP="00CD6352">
            <w:pPr>
              <w:spacing w:line="360" w:lineRule="auto"/>
              <w:jc w:val="both"/>
              <w:rPr>
                <w:rFonts w:ascii="Arial" w:hAnsi="Arial" w:cs="Arial"/>
                <w:b/>
                <w:bCs/>
                <w:sz w:val="16"/>
                <w:szCs w:val="16"/>
              </w:rPr>
            </w:pPr>
            <w:r w:rsidRPr="007341B9">
              <w:rPr>
                <w:rFonts w:ascii="Arial" w:hAnsi="Arial" w:cs="Arial"/>
                <w:b/>
                <w:bCs/>
                <w:sz w:val="16"/>
                <w:szCs w:val="16"/>
              </w:rPr>
              <w:t>China</w:t>
            </w:r>
          </w:p>
          <w:p w14:paraId="5203D2FC" w14:textId="77777777" w:rsidR="00CD6352" w:rsidRPr="00EA7665" w:rsidRDefault="00CD6352" w:rsidP="00C74AEC">
            <w:pPr>
              <w:pStyle w:val="ListParagraph"/>
              <w:numPr>
                <w:ilvl w:val="0"/>
                <w:numId w:val="158"/>
              </w:numPr>
              <w:spacing w:after="0" w:line="360" w:lineRule="auto"/>
              <w:jc w:val="both"/>
              <w:rPr>
                <w:rFonts w:ascii="Arial" w:hAnsi="Arial" w:cs="Arial"/>
                <w:sz w:val="16"/>
                <w:szCs w:val="16"/>
              </w:rPr>
            </w:pPr>
            <w:r w:rsidRPr="00EA7665">
              <w:rPr>
                <w:rFonts w:ascii="Arial" w:hAnsi="Arial" w:cs="Arial"/>
                <w:sz w:val="16"/>
                <w:szCs w:val="16"/>
              </w:rPr>
              <w:t xml:space="preserve">Relevant conventions, agreement, legislation and regulations </w:t>
            </w:r>
          </w:p>
          <w:p w14:paraId="77C1F312" w14:textId="77777777" w:rsidR="00CD6352" w:rsidRPr="00EA7665" w:rsidRDefault="00CD6352" w:rsidP="00C74AEC">
            <w:pPr>
              <w:pStyle w:val="ListParagraph"/>
              <w:numPr>
                <w:ilvl w:val="0"/>
                <w:numId w:val="158"/>
              </w:numPr>
              <w:spacing w:after="0" w:line="360" w:lineRule="auto"/>
              <w:jc w:val="both"/>
              <w:rPr>
                <w:rFonts w:ascii="Arial" w:hAnsi="Arial" w:cs="Arial"/>
                <w:sz w:val="16"/>
                <w:szCs w:val="16"/>
              </w:rPr>
            </w:pPr>
            <w:r w:rsidRPr="00EA7665">
              <w:rPr>
                <w:rFonts w:ascii="Arial" w:hAnsi="Arial" w:cs="Arial"/>
                <w:sz w:val="16"/>
                <w:szCs w:val="16"/>
              </w:rPr>
              <w:t>Performance indicator</w:t>
            </w:r>
          </w:p>
          <w:p w14:paraId="6696FE76" w14:textId="77777777" w:rsidR="00CD6352" w:rsidRPr="00EA7665" w:rsidRDefault="00CD6352" w:rsidP="00C74AEC">
            <w:pPr>
              <w:pStyle w:val="ListParagraph"/>
              <w:numPr>
                <w:ilvl w:val="0"/>
                <w:numId w:val="158"/>
              </w:numPr>
              <w:spacing w:after="0" w:line="360" w:lineRule="auto"/>
              <w:jc w:val="both"/>
              <w:rPr>
                <w:rFonts w:ascii="Arial" w:hAnsi="Arial" w:cs="Arial"/>
                <w:sz w:val="16"/>
                <w:szCs w:val="16"/>
              </w:rPr>
            </w:pPr>
            <w:r w:rsidRPr="00EA7665">
              <w:rPr>
                <w:rFonts w:ascii="Arial" w:hAnsi="Arial" w:cs="Arial"/>
                <w:sz w:val="16"/>
                <w:szCs w:val="16"/>
              </w:rPr>
              <w:t>Debt literacy</w:t>
            </w:r>
          </w:p>
          <w:p w14:paraId="49ACD7B3" w14:textId="77777777" w:rsidR="00CD6352" w:rsidRPr="00EA7665" w:rsidRDefault="00CD6352" w:rsidP="00C74AEC">
            <w:pPr>
              <w:pStyle w:val="ListParagraph"/>
              <w:numPr>
                <w:ilvl w:val="0"/>
                <w:numId w:val="158"/>
              </w:numPr>
              <w:spacing w:after="0" w:line="360" w:lineRule="auto"/>
              <w:jc w:val="both"/>
              <w:rPr>
                <w:rFonts w:ascii="Arial" w:hAnsi="Arial" w:cs="Arial"/>
                <w:sz w:val="16"/>
                <w:szCs w:val="16"/>
              </w:rPr>
            </w:pPr>
            <w:r w:rsidRPr="00EA7665">
              <w:rPr>
                <w:rFonts w:ascii="Arial" w:hAnsi="Arial" w:cs="Arial"/>
                <w:sz w:val="16"/>
                <w:szCs w:val="16"/>
              </w:rPr>
              <w:t>Principles of risk and diversification</w:t>
            </w:r>
          </w:p>
          <w:p w14:paraId="06DBB7E9" w14:textId="77777777" w:rsidR="00CD6352" w:rsidRPr="00EA7665" w:rsidRDefault="00CD6352" w:rsidP="00C74AEC">
            <w:pPr>
              <w:pStyle w:val="ListParagraph"/>
              <w:numPr>
                <w:ilvl w:val="0"/>
                <w:numId w:val="158"/>
              </w:numPr>
              <w:spacing w:after="0" w:line="360" w:lineRule="auto"/>
              <w:jc w:val="both"/>
              <w:rPr>
                <w:rFonts w:ascii="Arial" w:hAnsi="Arial" w:cs="Arial"/>
                <w:sz w:val="16"/>
                <w:szCs w:val="16"/>
              </w:rPr>
            </w:pPr>
            <w:r w:rsidRPr="00EA7665">
              <w:rPr>
                <w:rFonts w:ascii="Arial" w:hAnsi="Arial" w:cs="Arial"/>
                <w:sz w:val="16"/>
                <w:szCs w:val="16"/>
              </w:rPr>
              <w:t>Contingency approach</w:t>
            </w:r>
          </w:p>
          <w:p w14:paraId="362B1CDE" w14:textId="77777777" w:rsidR="00CD6352" w:rsidRPr="00EA7665" w:rsidRDefault="00CD6352" w:rsidP="00CD6352">
            <w:pPr>
              <w:spacing w:line="360" w:lineRule="auto"/>
              <w:jc w:val="both"/>
              <w:rPr>
                <w:rFonts w:ascii="Arial" w:hAnsi="Arial" w:cs="Arial"/>
                <w:sz w:val="16"/>
                <w:szCs w:val="16"/>
              </w:rPr>
            </w:pPr>
          </w:p>
          <w:p w14:paraId="2EFF4578" w14:textId="77777777" w:rsidR="00CD6352" w:rsidRPr="00EA7665" w:rsidRDefault="00CD6352" w:rsidP="00CD6352">
            <w:pPr>
              <w:spacing w:line="360" w:lineRule="auto"/>
              <w:jc w:val="both"/>
              <w:rPr>
                <w:rFonts w:ascii="Arial" w:hAnsi="Arial" w:cs="Arial"/>
                <w:sz w:val="16"/>
                <w:szCs w:val="16"/>
              </w:rPr>
            </w:pPr>
          </w:p>
        </w:tc>
        <w:tc>
          <w:tcPr>
            <w:tcW w:w="3081" w:type="dxa"/>
          </w:tcPr>
          <w:p w14:paraId="1218D7C0" w14:textId="77777777" w:rsidR="00CD6352" w:rsidRPr="007341B9" w:rsidRDefault="00CD6352" w:rsidP="00CD6352">
            <w:pPr>
              <w:spacing w:line="360" w:lineRule="auto"/>
              <w:jc w:val="both"/>
              <w:rPr>
                <w:rFonts w:ascii="Arial" w:hAnsi="Arial" w:cs="Arial"/>
                <w:b/>
                <w:bCs/>
                <w:sz w:val="16"/>
                <w:szCs w:val="16"/>
              </w:rPr>
            </w:pPr>
            <w:r w:rsidRPr="007341B9">
              <w:rPr>
                <w:rFonts w:ascii="Arial" w:hAnsi="Arial" w:cs="Arial"/>
                <w:b/>
                <w:bCs/>
                <w:sz w:val="16"/>
                <w:szCs w:val="16"/>
              </w:rPr>
              <w:t>Nigeria</w:t>
            </w:r>
          </w:p>
          <w:p w14:paraId="5E199B58" w14:textId="77777777" w:rsidR="00CD6352" w:rsidRPr="00EA7665" w:rsidRDefault="00CD6352" w:rsidP="00C74AEC">
            <w:pPr>
              <w:pStyle w:val="ListParagraph"/>
              <w:numPr>
                <w:ilvl w:val="0"/>
                <w:numId w:val="159"/>
              </w:numPr>
              <w:spacing w:after="0" w:line="360" w:lineRule="auto"/>
              <w:jc w:val="both"/>
              <w:rPr>
                <w:rFonts w:ascii="Arial" w:hAnsi="Arial" w:cs="Arial"/>
                <w:sz w:val="16"/>
                <w:szCs w:val="16"/>
              </w:rPr>
            </w:pPr>
            <w:r w:rsidRPr="00EA7665">
              <w:rPr>
                <w:rFonts w:ascii="Arial" w:hAnsi="Arial" w:cs="Arial"/>
                <w:sz w:val="16"/>
                <w:szCs w:val="16"/>
              </w:rPr>
              <w:t>Strategies for managing risks and uncertainty</w:t>
            </w:r>
          </w:p>
          <w:p w14:paraId="17695A76" w14:textId="77777777" w:rsidR="00CD6352" w:rsidRPr="00EA7665" w:rsidRDefault="00CD6352" w:rsidP="00C74AEC">
            <w:pPr>
              <w:pStyle w:val="ListParagraph"/>
              <w:numPr>
                <w:ilvl w:val="0"/>
                <w:numId w:val="159"/>
              </w:numPr>
              <w:spacing w:after="0" w:line="360" w:lineRule="auto"/>
              <w:jc w:val="both"/>
              <w:rPr>
                <w:rFonts w:ascii="Arial" w:hAnsi="Arial" w:cs="Arial"/>
                <w:sz w:val="16"/>
                <w:szCs w:val="16"/>
              </w:rPr>
            </w:pPr>
            <w:r w:rsidRPr="00EA7665">
              <w:rPr>
                <w:rFonts w:ascii="Arial" w:hAnsi="Arial" w:cs="Arial"/>
                <w:sz w:val="16"/>
                <w:szCs w:val="16"/>
              </w:rPr>
              <w:t>Funding sources</w:t>
            </w:r>
          </w:p>
          <w:p w14:paraId="3FC00C07" w14:textId="77777777" w:rsidR="00CD6352" w:rsidRPr="00EA7665" w:rsidRDefault="00CD6352" w:rsidP="00C74AEC">
            <w:pPr>
              <w:pStyle w:val="ListParagraph"/>
              <w:numPr>
                <w:ilvl w:val="0"/>
                <w:numId w:val="159"/>
              </w:numPr>
              <w:spacing w:after="0" w:line="360" w:lineRule="auto"/>
              <w:jc w:val="both"/>
              <w:rPr>
                <w:rFonts w:ascii="Arial" w:hAnsi="Arial" w:cs="Arial"/>
                <w:sz w:val="16"/>
                <w:szCs w:val="16"/>
              </w:rPr>
            </w:pPr>
            <w:r w:rsidRPr="00EA7665">
              <w:rPr>
                <w:rFonts w:ascii="Arial" w:hAnsi="Arial" w:cs="Arial"/>
                <w:sz w:val="16"/>
                <w:szCs w:val="16"/>
              </w:rPr>
              <w:t xml:space="preserve">Financial accounting basics </w:t>
            </w:r>
          </w:p>
          <w:p w14:paraId="459A33FF" w14:textId="77777777" w:rsidR="00CD6352" w:rsidRPr="00EA7665" w:rsidRDefault="00CD6352" w:rsidP="00C74AEC">
            <w:pPr>
              <w:pStyle w:val="ListParagraph"/>
              <w:numPr>
                <w:ilvl w:val="0"/>
                <w:numId w:val="159"/>
              </w:numPr>
              <w:spacing w:after="0" w:line="360" w:lineRule="auto"/>
              <w:jc w:val="both"/>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p w14:paraId="47C9941B" w14:textId="77777777" w:rsidR="00CD6352" w:rsidRPr="00EA7665" w:rsidRDefault="00CD6352" w:rsidP="00C74AEC">
            <w:pPr>
              <w:pStyle w:val="ListParagraph"/>
              <w:numPr>
                <w:ilvl w:val="0"/>
                <w:numId w:val="159"/>
              </w:numPr>
              <w:spacing w:after="0" w:line="360" w:lineRule="auto"/>
              <w:jc w:val="both"/>
              <w:rPr>
                <w:rFonts w:ascii="Arial" w:hAnsi="Arial" w:cs="Arial"/>
                <w:sz w:val="16"/>
                <w:szCs w:val="16"/>
              </w:rPr>
            </w:pPr>
            <w:r w:rsidRPr="00EA7665">
              <w:rPr>
                <w:rFonts w:ascii="Arial" w:hAnsi="Arial" w:cs="Arial"/>
                <w:sz w:val="16"/>
                <w:szCs w:val="16"/>
              </w:rPr>
              <w:t>Fundamental concepts of economics &amp; finance such as ( cash flow, debt-asset ratio, returns on investment &amp; rate of return).</w:t>
            </w:r>
          </w:p>
        </w:tc>
        <w:tc>
          <w:tcPr>
            <w:tcW w:w="3081" w:type="dxa"/>
          </w:tcPr>
          <w:p w14:paraId="1B439AD0" w14:textId="77777777" w:rsidR="00CD6352" w:rsidRPr="007341B9" w:rsidRDefault="00CD6352" w:rsidP="00CD6352">
            <w:pPr>
              <w:spacing w:line="360" w:lineRule="auto"/>
              <w:jc w:val="both"/>
              <w:rPr>
                <w:rFonts w:ascii="Arial" w:hAnsi="Arial" w:cs="Arial"/>
                <w:b/>
                <w:bCs/>
                <w:sz w:val="16"/>
                <w:szCs w:val="16"/>
              </w:rPr>
            </w:pPr>
            <w:r w:rsidRPr="007341B9">
              <w:rPr>
                <w:rFonts w:ascii="Arial" w:hAnsi="Arial" w:cs="Arial"/>
                <w:b/>
                <w:bCs/>
                <w:sz w:val="16"/>
                <w:szCs w:val="16"/>
              </w:rPr>
              <w:t>South Africa</w:t>
            </w:r>
          </w:p>
          <w:p w14:paraId="0B96F096" w14:textId="77777777" w:rsidR="00CD6352" w:rsidRPr="00EA7665" w:rsidRDefault="00CD6352" w:rsidP="00C74AEC">
            <w:pPr>
              <w:pStyle w:val="ListParagraph"/>
              <w:numPr>
                <w:ilvl w:val="0"/>
                <w:numId w:val="160"/>
              </w:numPr>
              <w:spacing w:after="0" w:line="360" w:lineRule="auto"/>
              <w:jc w:val="both"/>
              <w:rPr>
                <w:rFonts w:ascii="Arial" w:hAnsi="Arial" w:cs="Arial"/>
                <w:sz w:val="16"/>
                <w:szCs w:val="16"/>
              </w:rPr>
            </w:pPr>
            <w:r w:rsidRPr="00EA7665">
              <w:rPr>
                <w:rFonts w:ascii="Arial" w:hAnsi="Arial" w:cs="Arial"/>
                <w:sz w:val="16"/>
                <w:szCs w:val="16"/>
              </w:rPr>
              <w:t>Funding sources</w:t>
            </w:r>
          </w:p>
          <w:p w14:paraId="389867DC" w14:textId="77777777" w:rsidR="00CD6352" w:rsidRPr="00EA7665" w:rsidRDefault="00CD6352" w:rsidP="00C74AEC">
            <w:pPr>
              <w:pStyle w:val="ListParagraph"/>
              <w:numPr>
                <w:ilvl w:val="0"/>
                <w:numId w:val="160"/>
              </w:numPr>
              <w:spacing w:after="0" w:line="360" w:lineRule="auto"/>
              <w:jc w:val="both"/>
              <w:rPr>
                <w:rFonts w:ascii="Arial" w:hAnsi="Arial" w:cs="Arial"/>
                <w:sz w:val="16"/>
                <w:szCs w:val="16"/>
              </w:rPr>
            </w:pPr>
            <w:r w:rsidRPr="00EA7665">
              <w:rPr>
                <w:rFonts w:ascii="Arial" w:hAnsi="Arial" w:cs="Arial"/>
                <w:sz w:val="16"/>
                <w:szCs w:val="16"/>
              </w:rPr>
              <w:t>Finance options</w:t>
            </w:r>
          </w:p>
          <w:p w14:paraId="49D533B2" w14:textId="77777777" w:rsidR="00CD6352" w:rsidRPr="00EA7665" w:rsidRDefault="00CD6352" w:rsidP="00C74AEC">
            <w:pPr>
              <w:pStyle w:val="ListParagraph"/>
              <w:numPr>
                <w:ilvl w:val="0"/>
                <w:numId w:val="160"/>
              </w:numPr>
              <w:spacing w:after="0" w:line="360" w:lineRule="auto"/>
              <w:jc w:val="both"/>
              <w:rPr>
                <w:rFonts w:ascii="Arial" w:hAnsi="Arial" w:cs="Arial"/>
                <w:sz w:val="16"/>
                <w:szCs w:val="16"/>
              </w:rPr>
            </w:pPr>
            <w:r w:rsidRPr="00EA7665">
              <w:rPr>
                <w:rFonts w:ascii="Arial" w:hAnsi="Arial" w:cs="Arial"/>
                <w:sz w:val="16"/>
                <w:szCs w:val="16"/>
              </w:rPr>
              <w:t xml:space="preserve">Relevant conventions, agreement, legislation and regulations </w:t>
            </w:r>
          </w:p>
          <w:p w14:paraId="132D062A" w14:textId="77777777" w:rsidR="00CD6352" w:rsidRPr="00EA7665" w:rsidRDefault="00CD6352" w:rsidP="00C74AEC">
            <w:pPr>
              <w:pStyle w:val="ListParagraph"/>
              <w:numPr>
                <w:ilvl w:val="0"/>
                <w:numId w:val="160"/>
              </w:numPr>
              <w:spacing w:after="0" w:line="360" w:lineRule="auto"/>
              <w:jc w:val="both"/>
              <w:rPr>
                <w:rFonts w:ascii="Arial" w:hAnsi="Arial" w:cs="Arial"/>
                <w:sz w:val="16"/>
                <w:szCs w:val="16"/>
              </w:rPr>
            </w:pPr>
            <w:r w:rsidRPr="00EA7665">
              <w:rPr>
                <w:rFonts w:ascii="Arial" w:hAnsi="Arial" w:cs="Arial"/>
                <w:sz w:val="16"/>
                <w:szCs w:val="16"/>
              </w:rPr>
              <w:t xml:space="preserve">Market intelligence </w:t>
            </w:r>
          </w:p>
          <w:p w14:paraId="41522C36" w14:textId="77777777" w:rsidR="00CD6352" w:rsidRPr="00EA7665" w:rsidRDefault="00CD6352" w:rsidP="00C74AEC">
            <w:pPr>
              <w:pStyle w:val="ListParagraph"/>
              <w:numPr>
                <w:ilvl w:val="0"/>
                <w:numId w:val="160"/>
              </w:numPr>
              <w:spacing w:after="0" w:line="360" w:lineRule="auto"/>
              <w:jc w:val="both"/>
              <w:rPr>
                <w:rFonts w:ascii="Arial" w:hAnsi="Arial" w:cs="Arial"/>
                <w:sz w:val="16"/>
                <w:szCs w:val="16"/>
              </w:rPr>
            </w:pPr>
            <w:r w:rsidRPr="00EA7665">
              <w:rPr>
                <w:rFonts w:ascii="Arial" w:hAnsi="Arial" w:cs="Arial"/>
                <w:sz w:val="16"/>
                <w:szCs w:val="16"/>
              </w:rPr>
              <w:t>Debt literacy</w:t>
            </w:r>
          </w:p>
        </w:tc>
      </w:tr>
    </w:tbl>
    <w:p w14:paraId="52B7933F" w14:textId="77777777" w:rsidR="00CD6352" w:rsidRPr="00EA7665" w:rsidRDefault="00CD6352" w:rsidP="00CD6352">
      <w:pPr>
        <w:spacing w:line="360" w:lineRule="auto"/>
        <w:jc w:val="both"/>
        <w:rPr>
          <w:rFonts w:ascii="Arial" w:hAnsi="Arial" w:cs="Arial"/>
        </w:rPr>
      </w:pPr>
    </w:p>
    <w:p w14:paraId="6798C9DA" w14:textId="77777777" w:rsidR="00CD6352" w:rsidRPr="00EA7665" w:rsidRDefault="00CD6352" w:rsidP="00CD6352">
      <w:pPr>
        <w:spacing w:line="360" w:lineRule="auto"/>
        <w:jc w:val="both"/>
        <w:rPr>
          <w:rFonts w:ascii="Arial" w:hAnsi="Arial" w:cs="Arial"/>
        </w:rPr>
      </w:pPr>
    </w:p>
    <w:p w14:paraId="6B849499" w14:textId="77777777" w:rsidR="00CD6352" w:rsidRPr="00EA7665" w:rsidRDefault="00CD6352" w:rsidP="00CD6352">
      <w:pPr>
        <w:spacing w:line="360" w:lineRule="auto"/>
        <w:jc w:val="both"/>
        <w:rPr>
          <w:rFonts w:ascii="Arial" w:hAnsi="Arial" w:cs="Arial"/>
        </w:rPr>
      </w:pPr>
      <w:r w:rsidRPr="00EA7665">
        <w:rPr>
          <w:rFonts w:ascii="Arial" w:hAnsi="Arial" w:cs="Arial"/>
        </w:rPr>
        <w:lastRenderedPageBreak/>
        <w:t xml:space="preserve"> </w:t>
      </w:r>
    </w:p>
    <w:p w14:paraId="58459AB5" w14:textId="77777777" w:rsidR="00CD6352" w:rsidRPr="00EA7665" w:rsidRDefault="00CD6352" w:rsidP="00CD6352">
      <w:pPr>
        <w:pStyle w:val="Heading3"/>
        <w:rPr>
          <w:sz w:val="22"/>
          <w:szCs w:val="22"/>
        </w:rPr>
      </w:pPr>
      <w:bookmarkStart w:id="1341" w:name="_Toc78983903"/>
      <w:r w:rsidRPr="00EA7665">
        <w:rPr>
          <w:sz w:val="22"/>
          <w:szCs w:val="22"/>
        </w:rPr>
        <w:t>The degree of need for training and education for management knowledge for securing finance for the future (next five years)</w:t>
      </w:r>
      <w:bookmarkEnd w:id="1341"/>
    </w:p>
    <w:p w14:paraId="014CE59A" w14:textId="77777777" w:rsidR="00CD6352" w:rsidRPr="00EA7665" w:rsidRDefault="00CD6352" w:rsidP="00CD6352"/>
    <w:p w14:paraId="7E11023C" w14:textId="77777777" w:rsidR="00CD6352" w:rsidRPr="00EA7665" w:rsidRDefault="00CD6352" w:rsidP="00CD6352">
      <w:pPr>
        <w:pStyle w:val="Heading4"/>
        <w:rPr>
          <w:rFonts w:ascii="Arial" w:hAnsi="Arial" w:cs="Arial"/>
          <w:color w:val="auto"/>
        </w:rPr>
      </w:pPr>
      <w:r w:rsidRPr="00EA7665">
        <w:rPr>
          <w:rFonts w:ascii="Arial" w:hAnsi="Arial" w:cs="Arial"/>
          <w:color w:val="auto"/>
        </w:rPr>
        <w:t>Questionnaire survey discussion and analysis at the aggregate level</w:t>
      </w:r>
    </w:p>
    <w:p w14:paraId="6D8FA7F7" w14:textId="77777777" w:rsidR="00CD6352" w:rsidRPr="00EA7665" w:rsidRDefault="00CD6352" w:rsidP="00CD6352">
      <w:pPr>
        <w:spacing w:line="360" w:lineRule="auto"/>
        <w:jc w:val="both"/>
        <w:rPr>
          <w:rFonts w:ascii="Arial" w:hAnsi="Arial" w:cs="Arial"/>
        </w:rPr>
      </w:pPr>
    </w:p>
    <w:p w14:paraId="3B2B90F6" w14:textId="0E114267" w:rsidR="00CD6352" w:rsidRPr="00EA7665" w:rsidRDefault="00CD6352" w:rsidP="00CD6352">
      <w:pPr>
        <w:spacing w:line="360" w:lineRule="auto"/>
        <w:jc w:val="both"/>
        <w:rPr>
          <w:rFonts w:ascii="Arial" w:hAnsi="Arial" w:cs="Arial"/>
        </w:rPr>
      </w:pPr>
      <w:r w:rsidRPr="00EA7665">
        <w:rPr>
          <w:rFonts w:ascii="Arial" w:hAnsi="Arial" w:cs="Arial"/>
        </w:rPr>
        <w:t xml:space="preserve">The results relating to the degree of need for </w:t>
      </w:r>
      <w:r>
        <w:rPr>
          <w:rFonts w:ascii="Arial" w:hAnsi="Arial" w:cs="Arial"/>
        </w:rPr>
        <w:t xml:space="preserve">training and education for </w:t>
      </w:r>
      <w:r w:rsidR="00C7024A">
        <w:rPr>
          <w:rFonts w:ascii="Arial" w:hAnsi="Arial" w:cs="Arial"/>
        </w:rPr>
        <w:t>securing finance for real estate project development for the future (next 5years) at the aggregate level are</w:t>
      </w:r>
      <w:r w:rsidRPr="00EA7665">
        <w:rPr>
          <w:rFonts w:ascii="Arial" w:hAnsi="Arial" w:cs="Arial"/>
        </w:rPr>
        <w:t xml:space="preserve"> contained in table 8:</w:t>
      </w:r>
      <w:r w:rsidR="009A7702">
        <w:rPr>
          <w:rFonts w:ascii="Arial" w:hAnsi="Arial" w:cs="Arial"/>
        </w:rPr>
        <w:t>3.</w:t>
      </w:r>
      <w:r w:rsidR="000A6E76">
        <w:rPr>
          <w:rFonts w:ascii="Arial" w:hAnsi="Arial" w:cs="Arial"/>
        </w:rPr>
        <w:t>5</w:t>
      </w:r>
      <w:r w:rsidRPr="00EA7665">
        <w:rPr>
          <w:rFonts w:ascii="Arial" w:hAnsi="Arial" w:cs="Arial"/>
        </w:rPr>
        <w:t>. About 54% of the survey respondents are of the view the</w:t>
      </w:r>
      <w:r>
        <w:rPr>
          <w:rFonts w:ascii="Arial" w:hAnsi="Arial" w:cs="Arial"/>
        </w:rPr>
        <w:t>y</w:t>
      </w:r>
      <w:r w:rsidRPr="00EA7665">
        <w:rPr>
          <w:rFonts w:ascii="Arial" w:hAnsi="Arial" w:cs="Arial"/>
        </w:rPr>
        <w:t xml:space="preserve"> will need training </w:t>
      </w:r>
      <w:r>
        <w:rPr>
          <w:rFonts w:ascii="Arial" w:hAnsi="Arial" w:cs="Arial"/>
        </w:rPr>
        <w:t xml:space="preserve">and </w:t>
      </w:r>
      <w:r w:rsidRPr="00EA7665">
        <w:rPr>
          <w:rFonts w:ascii="Arial" w:hAnsi="Arial" w:cs="Arial"/>
        </w:rPr>
        <w:t>education on funding sources for future use. This is followed by market intelligence at 42.9%, financial accounting basics at 41.7%, financial management concepts at 40% and strategies for managing risks and uncertainty also at 40%.</w:t>
      </w:r>
    </w:p>
    <w:p w14:paraId="11650C4E" w14:textId="62EA8CA8" w:rsidR="00CD6352" w:rsidRPr="00EA7665" w:rsidRDefault="00CD6352" w:rsidP="00CD6352">
      <w:pPr>
        <w:spacing w:line="360" w:lineRule="auto"/>
        <w:jc w:val="both"/>
        <w:rPr>
          <w:rFonts w:ascii="Arial" w:hAnsi="Arial" w:cs="Arial"/>
        </w:rPr>
      </w:pPr>
      <w:r w:rsidRPr="00EA7665">
        <w:rPr>
          <w:rFonts w:ascii="Arial" w:hAnsi="Arial" w:cs="Arial"/>
        </w:rPr>
        <w:t xml:space="preserve">The factors for which the </w:t>
      </w:r>
      <w:r>
        <w:rPr>
          <w:rFonts w:ascii="Arial" w:hAnsi="Arial" w:cs="Arial"/>
        </w:rPr>
        <w:t>respondents</w:t>
      </w:r>
      <w:r w:rsidRPr="00EA7665">
        <w:rPr>
          <w:rFonts w:ascii="Arial" w:hAnsi="Arial" w:cs="Arial"/>
        </w:rPr>
        <w:t xml:space="preserve"> indicated they needed </w:t>
      </w:r>
      <w:r>
        <w:rPr>
          <w:rFonts w:ascii="Arial" w:hAnsi="Arial" w:cs="Arial"/>
        </w:rPr>
        <w:t xml:space="preserve">the least </w:t>
      </w:r>
      <w:r w:rsidRPr="00EA7665">
        <w:rPr>
          <w:rFonts w:ascii="Arial" w:hAnsi="Arial" w:cs="Arial"/>
        </w:rPr>
        <w:t xml:space="preserve">training and education for knowledge for securing finance for real estate project development at the aggregate level are </w:t>
      </w:r>
      <w:r>
        <w:rPr>
          <w:rFonts w:ascii="Arial" w:hAnsi="Arial" w:cs="Arial"/>
        </w:rPr>
        <w:t>c</w:t>
      </w:r>
      <w:r w:rsidRPr="00EA7665">
        <w:rPr>
          <w:rFonts w:ascii="Arial" w:hAnsi="Arial" w:cs="Arial"/>
        </w:rPr>
        <w:t xml:space="preserve">ost estimation methods (30.6%), performance indicator (29.4%), relevant conventions, agreement, </w:t>
      </w:r>
      <w:r w:rsidR="009A7702" w:rsidRPr="00EA7665">
        <w:rPr>
          <w:rFonts w:ascii="Arial" w:hAnsi="Arial" w:cs="Arial"/>
        </w:rPr>
        <w:t>legislation,</w:t>
      </w:r>
      <w:r w:rsidRPr="00EA7665">
        <w:rPr>
          <w:rFonts w:ascii="Arial" w:hAnsi="Arial" w:cs="Arial"/>
        </w:rPr>
        <w:t xml:space="preserve"> and regulation (28.6%), risks and opportunities response strategies and plan (27.8%) and process and governance for cost management (25.7%). </w:t>
      </w:r>
    </w:p>
    <w:p w14:paraId="403F3A0F" w14:textId="344D3392" w:rsidR="00896BD2" w:rsidRPr="007341B9" w:rsidRDefault="00896BD2" w:rsidP="00896BD2">
      <w:pPr>
        <w:pStyle w:val="Caption"/>
        <w:keepNext/>
        <w:rPr>
          <w:rFonts w:ascii="Arial" w:hAnsi="Arial" w:cs="Arial"/>
          <w:i w:val="0"/>
          <w:iCs w:val="0"/>
          <w:sz w:val="16"/>
          <w:szCs w:val="16"/>
        </w:rPr>
      </w:pPr>
      <w:bookmarkStart w:id="1342" w:name="_Toc78984010"/>
      <w:r>
        <w:t xml:space="preserve">Table </w:t>
      </w:r>
      <w:fldSimple w:instr=" STYLEREF 2 \s ">
        <w:r w:rsidR="008F25B1">
          <w:rPr>
            <w:noProof/>
          </w:rPr>
          <w:t>8.3</w:t>
        </w:r>
      </w:fldSimple>
      <w:r w:rsidR="008F25B1">
        <w:noBreakHyphen/>
      </w:r>
      <w:fldSimple w:instr=" SEQ Table \* ARABIC \s 2 ">
        <w:r w:rsidR="008F25B1">
          <w:rPr>
            <w:noProof/>
          </w:rPr>
          <w:t>5</w:t>
        </w:r>
      </w:fldSimple>
      <w:r>
        <w:t xml:space="preserve">: </w:t>
      </w:r>
      <w:r w:rsidRPr="007341B9">
        <w:rPr>
          <w:rFonts w:ascii="Arial" w:hAnsi="Arial" w:cs="Arial"/>
          <w:i w:val="0"/>
          <w:iCs w:val="0"/>
          <w:sz w:val="16"/>
          <w:szCs w:val="16"/>
        </w:rPr>
        <w:t>The degree of need for training and education for management knowledge for securing finance for the future (next five years)</w:t>
      </w:r>
      <w:bookmarkEnd w:id="1342"/>
    </w:p>
    <w:tbl>
      <w:tblPr>
        <w:tblStyle w:val="TableGrid"/>
        <w:tblW w:w="0" w:type="auto"/>
        <w:tblLook w:val="04A0" w:firstRow="1" w:lastRow="0" w:firstColumn="1" w:lastColumn="0" w:noHBand="0" w:noVBand="1"/>
      </w:tblPr>
      <w:tblGrid>
        <w:gridCol w:w="4538"/>
        <w:gridCol w:w="884"/>
        <w:gridCol w:w="924"/>
        <w:gridCol w:w="777"/>
        <w:gridCol w:w="920"/>
        <w:gridCol w:w="973"/>
      </w:tblGrid>
      <w:tr w:rsidR="00CD6352" w:rsidRPr="00EA7665" w14:paraId="2E38620A" w14:textId="77777777" w:rsidTr="00CD6352">
        <w:tc>
          <w:tcPr>
            <w:tcW w:w="0" w:type="auto"/>
            <w:vMerge w:val="restart"/>
          </w:tcPr>
          <w:p w14:paraId="48B8770D" w14:textId="77777777" w:rsidR="00CD6352" w:rsidRPr="00EA7665" w:rsidRDefault="00CD6352" w:rsidP="00CD6352">
            <w:pPr>
              <w:jc w:val="both"/>
              <w:rPr>
                <w:rFonts w:ascii="Arial" w:hAnsi="Arial" w:cs="Arial"/>
                <w:sz w:val="16"/>
                <w:szCs w:val="16"/>
              </w:rPr>
            </w:pPr>
          </w:p>
          <w:p w14:paraId="67BC157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Knowledge  for securing finance for real estate project development </w:t>
            </w:r>
          </w:p>
        </w:tc>
        <w:tc>
          <w:tcPr>
            <w:tcW w:w="0" w:type="auto"/>
          </w:tcPr>
          <w:p w14:paraId="359198E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needed</w:t>
            </w:r>
          </w:p>
        </w:tc>
        <w:tc>
          <w:tcPr>
            <w:tcW w:w="0" w:type="auto"/>
          </w:tcPr>
          <w:p w14:paraId="2DA4BC9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needed</w:t>
            </w:r>
          </w:p>
        </w:tc>
        <w:tc>
          <w:tcPr>
            <w:tcW w:w="0" w:type="auto"/>
          </w:tcPr>
          <w:p w14:paraId="23E4272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Needed</w:t>
            </w:r>
          </w:p>
        </w:tc>
        <w:tc>
          <w:tcPr>
            <w:tcW w:w="0" w:type="auto"/>
          </w:tcPr>
          <w:p w14:paraId="02BDE5E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needed</w:t>
            </w:r>
          </w:p>
        </w:tc>
        <w:tc>
          <w:tcPr>
            <w:tcW w:w="0" w:type="auto"/>
          </w:tcPr>
          <w:p w14:paraId="4A2951E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Highly needed</w:t>
            </w:r>
          </w:p>
        </w:tc>
      </w:tr>
      <w:tr w:rsidR="00CD6352" w:rsidRPr="00EA7665" w14:paraId="54BF12D9" w14:textId="77777777" w:rsidTr="00CD6352">
        <w:tc>
          <w:tcPr>
            <w:tcW w:w="0" w:type="auto"/>
            <w:vMerge/>
          </w:tcPr>
          <w:p w14:paraId="4415F6EB" w14:textId="77777777" w:rsidR="00CD6352" w:rsidRPr="00EA7665" w:rsidRDefault="00CD6352" w:rsidP="00CD6352">
            <w:pPr>
              <w:jc w:val="both"/>
              <w:rPr>
                <w:rFonts w:ascii="Arial" w:hAnsi="Arial" w:cs="Arial"/>
                <w:sz w:val="16"/>
                <w:szCs w:val="16"/>
              </w:rPr>
            </w:pPr>
          </w:p>
        </w:tc>
        <w:tc>
          <w:tcPr>
            <w:tcW w:w="0" w:type="auto"/>
            <w:gridSpan w:val="5"/>
          </w:tcPr>
          <w:p w14:paraId="19AE74A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68D7CCA0" w14:textId="77777777" w:rsidTr="00CD6352">
        <w:tc>
          <w:tcPr>
            <w:tcW w:w="0" w:type="auto"/>
          </w:tcPr>
          <w:p w14:paraId="4142EE4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Contingency approach</w:t>
            </w:r>
          </w:p>
        </w:tc>
        <w:tc>
          <w:tcPr>
            <w:tcW w:w="0" w:type="auto"/>
          </w:tcPr>
          <w:p w14:paraId="3FBC767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3C193DB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11.4</w:t>
            </w:r>
          </w:p>
        </w:tc>
        <w:tc>
          <w:tcPr>
            <w:tcW w:w="0" w:type="auto"/>
          </w:tcPr>
          <w:p w14:paraId="2F61A62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50308FC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c>
          <w:tcPr>
            <w:tcW w:w="0" w:type="auto"/>
          </w:tcPr>
          <w:p w14:paraId="7209463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r>
      <w:tr w:rsidR="00CD6352" w:rsidRPr="00EA7665" w14:paraId="15C749F8" w14:textId="77777777" w:rsidTr="00CD6352">
        <w:tc>
          <w:tcPr>
            <w:tcW w:w="0" w:type="auto"/>
          </w:tcPr>
          <w:p w14:paraId="39D200C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Cost calculation techniques</w:t>
            </w:r>
          </w:p>
        </w:tc>
        <w:tc>
          <w:tcPr>
            <w:tcW w:w="0" w:type="auto"/>
          </w:tcPr>
          <w:p w14:paraId="48738B6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13B8F85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16.7</w:t>
            </w:r>
          </w:p>
        </w:tc>
        <w:tc>
          <w:tcPr>
            <w:tcW w:w="0" w:type="auto"/>
          </w:tcPr>
          <w:p w14:paraId="3A1B10D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3B620B0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3B4D0BB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r>
      <w:tr w:rsidR="00CD6352" w:rsidRPr="00EA7665" w14:paraId="1A790C5E" w14:textId="77777777" w:rsidTr="00CD6352">
        <w:tc>
          <w:tcPr>
            <w:tcW w:w="0" w:type="auto"/>
          </w:tcPr>
          <w:p w14:paraId="196D647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Cost estimation methods</w:t>
            </w:r>
          </w:p>
        </w:tc>
        <w:tc>
          <w:tcPr>
            <w:tcW w:w="0" w:type="auto"/>
          </w:tcPr>
          <w:p w14:paraId="14B3297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384B12C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13.9</w:t>
            </w:r>
          </w:p>
        </w:tc>
        <w:tc>
          <w:tcPr>
            <w:tcW w:w="0" w:type="auto"/>
          </w:tcPr>
          <w:p w14:paraId="331C0D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27.8</w:t>
            </w:r>
          </w:p>
        </w:tc>
        <w:tc>
          <w:tcPr>
            <w:tcW w:w="0" w:type="auto"/>
          </w:tcPr>
          <w:p w14:paraId="563F8E1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5F3BF6D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30.6</w:t>
            </w:r>
          </w:p>
        </w:tc>
      </w:tr>
      <w:tr w:rsidR="00CD6352" w:rsidRPr="00EA7665" w14:paraId="0E115375" w14:textId="77777777" w:rsidTr="00CD6352">
        <w:tc>
          <w:tcPr>
            <w:tcW w:w="0" w:type="auto"/>
          </w:tcPr>
          <w:p w14:paraId="30DC34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Debt literacy</w:t>
            </w:r>
          </w:p>
        </w:tc>
        <w:tc>
          <w:tcPr>
            <w:tcW w:w="0" w:type="auto"/>
          </w:tcPr>
          <w:p w14:paraId="0AD5633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374B1DD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57C4FFD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31.4</w:t>
            </w:r>
          </w:p>
        </w:tc>
        <w:tc>
          <w:tcPr>
            <w:tcW w:w="0" w:type="auto"/>
          </w:tcPr>
          <w:p w14:paraId="3B98F96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c>
          <w:tcPr>
            <w:tcW w:w="0" w:type="auto"/>
          </w:tcPr>
          <w:p w14:paraId="76A4099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r>
      <w:tr w:rsidR="00CD6352" w:rsidRPr="00EA7665" w14:paraId="374CA186" w14:textId="77777777" w:rsidTr="00CD6352">
        <w:tc>
          <w:tcPr>
            <w:tcW w:w="0" w:type="auto"/>
          </w:tcPr>
          <w:p w14:paraId="49BB626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Finance options</w:t>
            </w:r>
          </w:p>
        </w:tc>
        <w:tc>
          <w:tcPr>
            <w:tcW w:w="0" w:type="auto"/>
          </w:tcPr>
          <w:p w14:paraId="34BA09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6.3</w:t>
            </w:r>
          </w:p>
        </w:tc>
        <w:tc>
          <w:tcPr>
            <w:tcW w:w="0" w:type="auto"/>
          </w:tcPr>
          <w:p w14:paraId="601A43D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w:t>
            </w:r>
          </w:p>
        </w:tc>
        <w:tc>
          <w:tcPr>
            <w:tcW w:w="0" w:type="auto"/>
          </w:tcPr>
          <w:p w14:paraId="6AA8C0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18.8</w:t>
            </w:r>
          </w:p>
        </w:tc>
        <w:tc>
          <w:tcPr>
            <w:tcW w:w="0" w:type="auto"/>
          </w:tcPr>
          <w:p w14:paraId="66FC5FA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37.5</w:t>
            </w:r>
          </w:p>
        </w:tc>
        <w:tc>
          <w:tcPr>
            <w:tcW w:w="0" w:type="auto"/>
          </w:tcPr>
          <w:p w14:paraId="7AEED41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34.4</w:t>
            </w:r>
          </w:p>
        </w:tc>
      </w:tr>
      <w:tr w:rsidR="00CD6352" w:rsidRPr="00EA7665" w14:paraId="3FEF036B" w14:textId="77777777" w:rsidTr="00CD6352">
        <w:trPr>
          <w:trHeight w:val="339"/>
        </w:trPr>
        <w:tc>
          <w:tcPr>
            <w:tcW w:w="0" w:type="auto"/>
          </w:tcPr>
          <w:p w14:paraId="11DD59B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Financial accounting basics </w:t>
            </w:r>
          </w:p>
        </w:tc>
        <w:tc>
          <w:tcPr>
            <w:tcW w:w="0" w:type="auto"/>
          </w:tcPr>
          <w:p w14:paraId="73C67DC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w:t>
            </w:r>
          </w:p>
        </w:tc>
        <w:tc>
          <w:tcPr>
            <w:tcW w:w="0" w:type="auto"/>
          </w:tcPr>
          <w:p w14:paraId="20D3B75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752CAD0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22.2</w:t>
            </w:r>
          </w:p>
        </w:tc>
        <w:tc>
          <w:tcPr>
            <w:tcW w:w="0" w:type="auto"/>
          </w:tcPr>
          <w:p w14:paraId="4DF63F5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16.7</w:t>
            </w:r>
          </w:p>
        </w:tc>
        <w:tc>
          <w:tcPr>
            <w:tcW w:w="0" w:type="auto"/>
          </w:tcPr>
          <w:p w14:paraId="7AE8617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41.7</w:t>
            </w:r>
          </w:p>
        </w:tc>
      </w:tr>
      <w:tr w:rsidR="00CD6352" w:rsidRPr="00EA7665" w14:paraId="1A813AF5" w14:textId="77777777" w:rsidTr="00CD6352">
        <w:tc>
          <w:tcPr>
            <w:tcW w:w="0" w:type="auto"/>
          </w:tcPr>
          <w:p w14:paraId="4F62F1E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tc>
        <w:tc>
          <w:tcPr>
            <w:tcW w:w="0" w:type="auto"/>
          </w:tcPr>
          <w:p w14:paraId="21E79A3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4D14F62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3833B71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25.7</w:t>
            </w:r>
          </w:p>
        </w:tc>
        <w:tc>
          <w:tcPr>
            <w:tcW w:w="0" w:type="auto"/>
          </w:tcPr>
          <w:p w14:paraId="3302E7E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22.9</w:t>
            </w:r>
          </w:p>
        </w:tc>
        <w:tc>
          <w:tcPr>
            <w:tcW w:w="0" w:type="auto"/>
          </w:tcPr>
          <w:p w14:paraId="11879C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40.0</w:t>
            </w:r>
          </w:p>
        </w:tc>
      </w:tr>
      <w:tr w:rsidR="00CD6352" w:rsidRPr="00EA7665" w14:paraId="014A0F5F" w14:textId="77777777" w:rsidTr="00CD6352">
        <w:tc>
          <w:tcPr>
            <w:tcW w:w="0" w:type="auto"/>
          </w:tcPr>
          <w:p w14:paraId="6ABF935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tc>
        <w:tc>
          <w:tcPr>
            <w:tcW w:w="0" w:type="auto"/>
          </w:tcPr>
          <w:p w14:paraId="528404E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2DBD411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8.3</w:t>
            </w:r>
          </w:p>
        </w:tc>
        <w:tc>
          <w:tcPr>
            <w:tcW w:w="0" w:type="auto"/>
          </w:tcPr>
          <w:p w14:paraId="50774FD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16.7</w:t>
            </w:r>
          </w:p>
        </w:tc>
        <w:tc>
          <w:tcPr>
            <w:tcW w:w="0" w:type="auto"/>
          </w:tcPr>
          <w:p w14:paraId="0C3F03A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c>
          <w:tcPr>
            <w:tcW w:w="0" w:type="auto"/>
          </w:tcPr>
          <w:p w14:paraId="687C3D5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r>
      <w:tr w:rsidR="00CD6352" w:rsidRPr="00EA7665" w14:paraId="7457E3F2" w14:textId="77777777" w:rsidTr="00CD6352">
        <w:tc>
          <w:tcPr>
            <w:tcW w:w="0" w:type="auto"/>
          </w:tcPr>
          <w:p w14:paraId="113C5E0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Funding sources</w:t>
            </w:r>
          </w:p>
        </w:tc>
        <w:tc>
          <w:tcPr>
            <w:tcW w:w="0" w:type="auto"/>
          </w:tcPr>
          <w:p w14:paraId="53F09E1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50EECD3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744461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17.1</w:t>
            </w:r>
          </w:p>
        </w:tc>
        <w:tc>
          <w:tcPr>
            <w:tcW w:w="0" w:type="auto"/>
          </w:tcPr>
          <w:p w14:paraId="7E57520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20.0</w:t>
            </w:r>
          </w:p>
        </w:tc>
        <w:tc>
          <w:tcPr>
            <w:tcW w:w="0" w:type="auto"/>
          </w:tcPr>
          <w:p w14:paraId="76F3718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54.3</w:t>
            </w:r>
          </w:p>
        </w:tc>
      </w:tr>
      <w:tr w:rsidR="00CD6352" w:rsidRPr="00EA7665" w14:paraId="1E3E0C5D" w14:textId="77777777" w:rsidTr="00CD6352">
        <w:tc>
          <w:tcPr>
            <w:tcW w:w="0" w:type="auto"/>
          </w:tcPr>
          <w:p w14:paraId="6AD09D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Market intelligence </w:t>
            </w:r>
          </w:p>
        </w:tc>
        <w:tc>
          <w:tcPr>
            <w:tcW w:w="0" w:type="auto"/>
          </w:tcPr>
          <w:p w14:paraId="6046321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7FFC2C0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08316DD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17.1</w:t>
            </w:r>
          </w:p>
        </w:tc>
        <w:tc>
          <w:tcPr>
            <w:tcW w:w="0" w:type="auto"/>
          </w:tcPr>
          <w:p w14:paraId="6B50C45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148A71D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42.9</w:t>
            </w:r>
          </w:p>
        </w:tc>
      </w:tr>
      <w:tr w:rsidR="00CD6352" w:rsidRPr="00EA7665" w14:paraId="046BA013" w14:textId="77777777" w:rsidTr="00CD6352">
        <w:tc>
          <w:tcPr>
            <w:tcW w:w="0" w:type="auto"/>
          </w:tcPr>
          <w:p w14:paraId="4D6D1BA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Performance indicator</w:t>
            </w:r>
          </w:p>
        </w:tc>
        <w:tc>
          <w:tcPr>
            <w:tcW w:w="0" w:type="auto"/>
          </w:tcPr>
          <w:p w14:paraId="6DCAEDF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8.8</w:t>
            </w:r>
          </w:p>
        </w:tc>
        <w:tc>
          <w:tcPr>
            <w:tcW w:w="0" w:type="auto"/>
          </w:tcPr>
          <w:p w14:paraId="1D19340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AEE4CC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20.6</w:t>
            </w:r>
          </w:p>
        </w:tc>
        <w:tc>
          <w:tcPr>
            <w:tcW w:w="0" w:type="auto"/>
          </w:tcPr>
          <w:p w14:paraId="5303823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41.2</w:t>
            </w:r>
          </w:p>
        </w:tc>
        <w:tc>
          <w:tcPr>
            <w:tcW w:w="0" w:type="auto"/>
          </w:tcPr>
          <w:p w14:paraId="48A887B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29.4</w:t>
            </w:r>
          </w:p>
        </w:tc>
      </w:tr>
      <w:tr w:rsidR="00CD6352" w:rsidRPr="00EA7665" w14:paraId="49311550" w14:textId="77777777" w:rsidTr="00CD6352">
        <w:tc>
          <w:tcPr>
            <w:tcW w:w="0" w:type="auto"/>
          </w:tcPr>
          <w:p w14:paraId="2FE8A08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Principles of risk and diversification</w:t>
            </w:r>
          </w:p>
        </w:tc>
        <w:tc>
          <w:tcPr>
            <w:tcW w:w="0" w:type="auto"/>
          </w:tcPr>
          <w:p w14:paraId="0A63AB5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2CB1275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233DE1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20.6</w:t>
            </w:r>
          </w:p>
        </w:tc>
        <w:tc>
          <w:tcPr>
            <w:tcW w:w="0" w:type="auto"/>
          </w:tcPr>
          <w:p w14:paraId="17FF24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41.2</w:t>
            </w:r>
          </w:p>
        </w:tc>
        <w:tc>
          <w:tcPr>
            <w:tcW w:w="0" w:type="auto"/>
          </w:tcPr>
          <w:p w14:paraId="322B7B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r>
      <w:tr w:rsidR="00CD6352" w:rsidRPr="00EA7665" w14:paraId="27CFA34B" w14:textId="77777777" w:rsidTr="00CD6352">
        <w:tc>
          <w:tcPr>
            <w:tcW w:w="0" w:type="auto"/>
          </w:tcPr>
          <w:p w14:paraId="7B0B86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Process and governance for cost management</w:t>
            </w:r>
          </w:p>
        </w:tc>
        <w:tc>
          <w:tcPr>
            <w:tcW w:w="0" w:type="auto"/>
          </w:tcPr>
          <w:p w14:paraId="0434316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6156E4F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5D9C02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45199A2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c>
          <w:tcPr>
            <w:tcW w:w="0" w:type="auto"/>
          </w:tcPr>
          <w:p w14:paraId="023AE0D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25.7</w:t>
            </w:r>
          </w:p>
        </w:tc>
      </w:tr>
      <w:tr w:rsidR="00CD6352" w:rsidRPr="00EA7665" w14:paraId="53F4769D" w14:textId="77777777" w:rsidTr="00CD6352">
        <w:tc>
          <w:tcPr>
            <w:tcW w:w="0" w:type="auto"/>
          </w:tcPr>
          <w:p w14:paraId="63B8474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Relevant conventions, agreement, legislation and regulations </w:t>
            </w:r>
          </w:p>
        </w:tc>
        <w:tc>
          <w:tcPr>
            <w:tcW w:w="0" w:type="auto"/>
          </w:tcPr>
          <w:p w14:paraId="2F92F67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3404EE6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3C3A6C0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284E885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37.1</w:t>
            </w:r>
          </w:p>
        </w:tc>
        <w:tc>
          <w:tcPr>
            <w:tcW w:w="0" w:type="auto"/>
          </w:tcPr>
          <w:p w14:paraId="67D0E52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r>
      <w:tr w:rsidR="00CD6352" w:rsidRPr="00EA7665" w14:paraId="71A01D15" w14:textId="77777777" w:rsidTr="00CD6352">
        <w:tc>
          <w:tcPr>
            <w:tcW w:w="0" w:type="auto"/>
          </w:tcPr>
          <w:p w14:paraId="647756A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Risks and opportunities response strategies and plan</w:t>
            </w:r>
          </w:p>
        </w:tc>
        <w:tc>
          <w:tcPr>
            <w:tcW w:w="0" w:type="auto"/>
          </w:tcPr>
          <w:p w14:paraId="5143200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w:t>
            </w:r>
          </w:p>
        </w:tc>
        <w:tc>
          <w:tcPr>
            <w:tcW w:w="0" w:type="auto"/>
          </w:tcPr>
          <w:p w14:paraId="17316A1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5.6</w:t>
            </w:r>
          </w:p>
        </w:tc>
        <w:tc>
          <w:tcPr>
            <w:tcW w:w="0" w:type="auto"/>
          </w:tcPr>
          <w:p w14:paraId="5DBFC6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19.4</w:t>
            </w:r>
          </w:p>
        </w:tc>
        <w:tc>
          <w:tcPr>
            <w:tcW w:w="0" w:type="auto"/>
          </w:tcPr>
          <w:p w14:paraId="2125738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44.4</w:t>
            </w:r>
          </w:p>
        </w:tc>
        <w:tc>
          <w:tcPr>
            <w:tcW w:w="0" w:type="auto"/>
          </w:tcPr>
          <w:p w14:paraId="34CE83B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27.8</w:t>
            </w:r>
          </w:p>
        </w:tc>
      </w:tr>
      <w:tr w:rsidR="00CD6352" w:rsidRPr="00EA7665" w14:paraId="19DBBB9A" w14:textId="77777777" w:rsidTr="00CD6352">
        <w:tc>
          <w:tcPr>
            <w:tcW w:w="0" w:type="auto"/>
          </w:tcPr>
          <w:p w14:paraId="2688966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Strategies for managing risks and uncertainty</w:t>
            </w:r>
          </w:p>
        </w:tc>
        <w:tc>
          <w:tcPr>
            <w:tcW w:w="0" w:type="auto"/>
          </w:tcPr>
          <w:p w14:paraId="60FEDD4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2C7C1AA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3016558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17.1</w:t>
            </w:r>
          </w:p>
        </w:tc>
        <w:tc>
          <w:tcPr>
            <w:tcW w:w="0" w:type="auto"/>
          </w:tcPr>
          <w:p w14:paraId="63DCCB8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c>
          <w:tcPr>
            <w:tcW w:w="0" w:type="auto"/>
          </w:tcPr>
          <w:p w14:paraId="2877E01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40.0</w:t>
            </w:r>
          </w:p>
        </w:tc>
      </w:tr>
      <w:tr w:rsidR="00CD6352" w:rsidRPr="00EA7665" w14:paraId="2F8FC393" w14:textId="77777777" w:rsidTr="00CD6352">
        <w:tc>
          <w:tcPr>
            <w:tcW w:w="0" w:type="auto"/>
          </w:tcPr>
          <w:p w14:paraId="1DB8CB1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Techniques and conditions for loan effectiveness</w:t>
            </w:r>
          </w:p>
        </w:tc>
        <w:tc>
          <w:tcPr>
            <w:tcW w:w="0" w:type="auto"/>
          </w:tcPr>
          <w:p w14:paraId="55547B3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2507AD7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5.7</w:t>
            </w:r>
          </w:p>
        </w:tc>
        <w:tc>
          <w:tcPr>
            <w:tcW w:w="0" w:type="auto"/>
          </w:tcPr>
          <w:p w14:paraId="3297A3A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7E6EE2B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28.6</w:t>
            </w:r>
          </w:p>
        </w:tc>
        <w:tc>
          <w:tcPr>
            <w:tcW w:w="0" w:type="auto"/>
          </w:tcPr>
          <w:p w14:paraId="7EFC492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34.3</w:t>
            </w:r>
          </w:p>
        </w:tc>
      </w:tr>
    </w:tbl>
    <w:p w14:paraId="394EA6DC" w14:textId="77777777" w:rsidR="00CD6352" w:rsidRPr="00EA7665" w:rsidRDefault="00CD6352" w:rsidP="00CD6352">
      <w:pPr>
        <w:spacing w:line="360" w:lineRule="auto"/>
        <w:jc w:val="both"/>
        <w:rPr>
          <w:rFonts w:ascii="Arial" w:hAnsi="Arial" w:cs="Arial"/>
        </w:rPr>
      </w:pPr>
    </w:p>
    <w:p w14:paraId="59825972" w14:textId="1EDFCFB0" w:rsidR="0097481A" w:rsidRDefault="0097481A" w:rsidP="0097481A">
      <w:pPr>
        <w:spacing w:line="360" w:lineRule="auto"/>
        <w:rPr>
          <w:rFonts w:ascii="Arial" w:hAnsi="Arial" w:cs="Arial"/>
        </w:rPr>
      </w:pPr>
      <w:r w:rsidRPr="00EA7665">
        <w:rPr>
          <w:rFonts w:ascii="Arial" w:hAnsi="Arial" w:cs="Arial"/>
        </w:rPr>
        <w:t xml:space="preserve">The mean was also used to determine the degree of need for training and education for management’s knowledge for securing finance for real estate project development for the future at the aggregate level (see table 8: </w:t>
      </w:r>
      <w:r>
        <w:rPr>
          <w:rFonts w:ascii="Arial" w:hAnsi="Arial" w:cs="Arial"/>
        </w:rPr>
        <w:t>3.</w:t>
      </w:r>
      <w:r w:rsidR="000A6E76">
        <w:rPr>
          <w:rFonts w:ascii="Arial" w:hAnsi="Arial" w:cs="Arial"/>
        </w:rPr>
        <w:t>6</w:t>
      </w:r>
      <w:r w:rsidRPr="00EA7665">
        <w:rPr>
          <w:rFonts w:ascii="Arial" w:hAnsi="Arial" w:cs="Arial"/>
        </w:rPr>
        <w:t>). The data shows the overall mean score ranges from 4.11 to 3.59. This means that there is a need for training and education for all seventeen-management knowledge</w:t>
      </w:r>
      <w:r>
        <w:rPr>
          <w:rFonts w:ascii="Arial" w:hAnsi="Arial" w:cs="Arial"/>
        </w:rPr>
        <w:t xml:space="preserve"> at the aggregate level.</w:t>
      </w:r>
      <w:r w:rsidRPr="00EA7665">
        <w:rPr>
          <w:rFonts w:ascii="Arial" w:hAnsi="Arial" w:cs="Arial"/>
        </w:rPr>
        <w:t xml:space="preserve"> </w:t>
      </w:r>
    </w:p>
    <w:p w14:paraId="5F4BD93A" w14:textId="64205C9E" w:rsidR="000A6E76" w:rsidRPr="009A7702" w:rsidRDefault="000A6E76" w:rsidP="000A6E76">
      <w:pPr>
        <w:pStyle w:val="Caption"/>
        <w:keepNext/>
        <w:rPr>
          <w:rFonts w:ascii="Arial" w:hAnsi="Arial" w:cs="Arial"/>
          <w:sz w:val="16"/>
          <w:szCs w:val="16"/>
        </w:rPr>
      </w:pPr>
      <w:bookmarkStart w:id="1343" w:name="_Toc78984011"/>
      <w:r>
        <w:t xml:space="preserve">Table </w:t>
      </w:r>
      <w:fldSimple w:instr=" STYLEREF 2 \s ">
        <w:r w:rsidR="008F25B1">
          <w:rPr>
            <w:noProof/>
          </w:rPr>
          <w:t>8.3</w:t>
        </w:r>
      </w:fldSimple>
      <w:r w:rsidR="008F25B1">
        <w:noBreakHyphen/>
      </w:r>
      <w:fldSimple w:instr=" SEQ Table \* ARABIC \s 2 ">
        <w:r w:rsidR="008F25B1">
          <w:rPr>
            <w:noProof/>
          </w:rPr>
          <w:t>6</w:t>
        </w:r>
      </w:fldSimple>
      <w:r>
        <w:t xml:space="preserve">: </w:t>
      </w:r>
      <w:r w:rsidRPr="009A7702">
        <w:rPr>
          <w:rFonts w:ascii="Arial" w:hAnsi="Arial" w:cs="Arial"/>
          <w:sz w:val="16"/>
          <w:szCs w:val="16"/>
        </w:rPr>
        <w:t>Mean scores for Degree of need for  training and education for   management knowledge for securing finance for real estate project development for the future at the aggregate level</w:t>
      </w:r>
      <w:bookmarkEnd w:id="1343"/>
    </w:p>
    <w:tbl>
      <w:tblPr>
        <w:tblW w:w="7953" w:type="dxa"/>
        <w:tblInd w:w="93" w:type="dxa"/>
        <w:tblLook w:val="04A0" w:firstRow="1" w:lastRow="0" w:firstColumn="1" w:lastColumn="0" w:noHBand="0" w:noVBand="1"/>
      </w:tblPr>
      <w:tblGrid>
        <w:gridCol w:w="5827"/>
        <w:gridCol w:w="1276"/>
        <w:gridCol w:w="850"/>
      </w:tblGrid>
      <w:tr w:rsidR="00CD6352" w:rsidRPr="00C52675" w14:paraId="16016C1D" w14:textId="77777777" w:rsidTr="00CD6352">
        <w:trPr>
          <w:trHeight w:val="465"/>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B04EC" w14:textId="77777777" w:rsidR="00CD6352" w:rsidRPr="00C52675" w:rsidRDefault="00CD6352" w:rsidP="00CD6352">
            <w:pPr>
              <w:spacing w:after="0" w:line="240" w:lineRule="auto"/>
              <w:rPr>
                <w:rFonts w:ascii="Arial" w:eastAsia="Times New Roman" w:hAnsi="Arial" w:cs="Arial"/>
                <w:b/>
                <w:bCs/>
                <w:color w:val="000000"/>
                <w:sz w:val="16"/>
                <w:szCs w:val="16"/>
                <w:lang w:eastAsia="en-GB"/>
              </w:rPr>
            </w:pPr>
            <w:r w:rsidRPr="00C52675">
              <w:rPr>
                <w:rFonts w:ascii="Arial" w:eastAsia="Times New Roman" w:hAnsi="Arial" w:cs="Arial"/>
                <w:b/>
                <w:bCs/>
                <w:color w:val="000000"/>
                <w:sz w:val="16"/>
                <w:szCs w:val="16"/>
                <w:lang w:eastAsia="en-GB"/>
              </w:rPr>
              <w:t>Management Knowledge</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A9895C5" w14:textId="77777777" w:rsidR="00CD6352" w:rsidRPr="00C52675" w:rsidRDefault="00CD6352" w:rsidP="00CD6352">
            <w:pPr>
              <w:spacing w:after="0" w:line="240" w:lineRule="auto"/>
              <w:rPr>
                <w:rFonts w:ascii="Arial" w:eastAsia="Times New Roman" w:hAnsi="Arial" w:cs="Arial"/>
                <w:b/>
                <w:bCs/>
                <w:color w:val="000000"/>
                <w:sz w:val="16"/>
                <w:szCs w:val="16"/>
                <w:lang w:eastAsia="en-GB"/>
              </w:rPr>
            </w:pPr>
            <w:r w:rsidRPr="00C52675">
              <w:rPr>
                <w:rFonts w:ascii="Arial" w:eastAsia="Times New Roman" w:hAnsi="Arial" w:cs="Arial"/>
                <w:b/>
                <w:bCs/>
                <w:color w:val="000000"/>
                <w:sz w:val="16"/>
                <w:szCs w:val="16"/>
                <w:lang w:eastAsia="en-GB"/>
              </w:rPr>
              <w:t>Mean value N=81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B67DB6" w14:textId="77777777" w:rsidR="00CD6352" w:rsidRPr="00C52675" w:rsidRDefault="00CD6352" w:rsidP="00CD6352">
            <w:pPr>
              <w:spacing w:after="0" w:line="240" w:lineRule="auto"/>
              <w:rPr>
                <w:rFonts w:ascii="Arial" w:eastAsia="Times New Roman" w:hAnsi="Arial" w:cs="Arial"/>
                <w:b/>
                <w:bCs/>
                <w:color w:val="000000"/>
                <w:sz w:val="16"/>
                <w:szCs w:val="16"/>
                <w:lang w:eastAsia="en-GB"/>
              </w:rPr>
            </w:pPr>
            <w:r w:rsidRPr="00C52675">
              <w:rPr>
                <w:rFonts w:ascii="Arial" w:eastAsia="Times New Roman" w:hAnsi="Arial" w:cs="Arial"/>
                <w:b/>
                <w:bCs/>
                <w:color w:val="000000"/>
                <w:sz w:val="16"/>
                <w:szCs w:val="16"/>
                <w:lang w:eastAsia="en-GB"/>
              </w:rPr>
              <w:t>Rank</w:t>
            </w:r>
          </w:p>
        </w:tc>
      </w:tr>
      <w:tr w:rsidR="00CD6352" w:rsidRPr="00C52675" w14:paraId="4EEBCCA7" w14:textId="77777777" w:rsidTr="00CD6352">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F9D4277"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Funding sources</w:t>
            </w:r>
          </w:p>
        </w:tc>
        <w:tc>
          <w:tcPr>
            <w:tcW w:w="1276" w:type="dxa"/>
            <w:tcBorders>
              <w:top w:val="nil"/>
              <w:left w:val="nil"/>
              <w:bottom w:val="single" w:sz="4" w:space="0" w:color="auto"/>
              <w:right w:val="single" w:sz="4" w:space="0" w:color="auto"/>
            </w:tcBorders>
            <w:shd w:val="clear" w:color="auto" w:fill="auto"/>
            <w:noWrap/>
            <w:vAlign w:val="bottom"/>
            <w:hideMark/>
          </w:tcPr>
          <w:p w14:paraId="5F0BB655"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4.11</w:t>
            </w:r>
          </w:p>
        </w:tc>
        <w:tc>
          <w:tcPr>
            <w:tcW w:w="850" w:type="dxa"/>
            <w:tcBorders>
              <w:top w:val="nil"/>
              <w:left w:val="nil"/>
              <w:bottom w:val="single" w:sz="4" w:space="0" w:color="auto"/>
              <w:right w:val="single" w:sz="4" w:space="0" w:color="auto"/>
            </w:tcBorders>
            <w:shd w:val="clear" w:color="auto" w:fill="auto"/>
            <w:noWrap/>
            <w:vAlign w:val="bottom"/>
            <w:hideMark/>
          </w:tcPr>
          <w:p w14:paraId="5F5EB252"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w:t>
            </w:r>
          </w:p>
        </w:tc>
      </w:tr>
      <w:tr w:rsidR="00CD6352" w:rsidRPr="00C52675" w14:paraId="35080658" w14:textId="77777777" w:rsidTr="00CD6352">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7170CD7"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 xml:space="preserve">Market intelligence </w:t>
            </w:r>
          </w:p>
        </w:tc>
        <w:tc>
          <w:tcPr>
            <w:tcW w:w="1276" w:type="dxa"/>
            <w:tcBorders>
              <w:top w:val="nil"/>
              <w:left w:val="nil"/>
              <w:bottom w:val="single" w:sz="4" w:space="0" w:color="auto"/>
              <w:right w:val="single" w:sz="4" w:space="0" w:color="auto"/>
            </w:tcBorders>
            <w:shd w:val="clear" w:color="auto" w:fill="auto"/>
            <w:noWrap/>
            <w:vAlign w:val="bottom"/>
            <w:hideMark/>
          </w:tcPr>
          <w:p w14:paraId="5A547CB4"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3.97</w:t>
            </w:r>
          </w:p>
        </w:tc>
        <w:tc>
          <w:tcPr>
            <w:tcW w:w="850" w:type="dxa"/>
            <w:tcBorders>
              <w:top w:val="nil"/>
              <w:left w:val="nil"/>
              <w:bottom w:val="single" w:sz="4" w:space="0" w:color="auto"/>
              <w:right w:val="single" w:sz="4" w:space="0" w:color="auto"/>
            </w:tcBorders>
            <w:shd w:val="clear" w:color="auto" w:fill="auto"/>
            <w:noWrap/>
            <w:vAlign w:val="bottom"/>
            <w:hideMark/>
          </w:tcPr>
          <w:p w14:paraId="7640F51B"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2</w:t>
            </w:r>
          </w:p>
        </w:tc>
      </w:tr>
      <w:tr w:rsidR="00CD6352" w:rsidRPr="00C52675" w14:paraId="4BB0E3B6" w14:textId="77777777" w:rsidTr="00CD6352">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FE8296D"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Strategies for managing risks and uncertainty</w:t>
            </w:r>
          </w:p>
        </w:tc>
        <w:tc>
          <w:tcPr>
            <w:tcW w:w="1276" w:type="dxa"/>
            <w:tcBorders>
              <w:top w:val="nil"/>
              <w:left w:val="nil"/>
              <w:bottom w:val="single" w:sz="4" w:space="0" w:color="auto"/>
              <w:right w:val="single" w:sz="4" w:space="0" w:color="auto"/>
            </w:tcBorders>
            <w:shd w:val="clear" w:color="auto" w:fill="auto"/>
            <w:noWrap/>
            <w:vAlign w:val="bottom"/>
            <w:hideMark/>
          </w:tcPr>
          <w:p w14:paraId="5889EAB3"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3.97</w:t>
            </w:r>
          </w:p>
        </w:tc>
        <w:tc>
          <w:tcPr>
            <w:tcW w:w="850" w:type="dxa"/>
            <w:tcBorders>
              <w:top w:val="nil"/>
              <w:left w:val="nil"/>
              <w:bottom w:val="single" w:sz="4" w:space="0" w:color="auto"/>
              <w:right w:val="single" w:sz="4" w:space="0" w:color="auto"/>
            </w:tcBorders>
            <w:shd w:val="clear" w:color="auto" w:fill="auto"/>
            <w:noWrap/>
            <w:vAlign w:val="bottom"/>
            <w:hideMark/>
          </w:tcPr>
          <w:p w14:paraId="3DFDC665"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w:t>
            </w:r>
          </w:p>
        </w:tc>
      </w:tr>
      <w:tr w:rsidR="00CD6352" w:rsidRPr="00C52675" w14:paraId="13F3F127" w14:textId="77777777" w:rsidTr="00CD6352">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C1CA0D8"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Principles of risk and diversification</w:t>
            </w:r>
          </w:p>
        </w:tc>
        <w:tc>
          <w:tcPr>
            <w:tcW w:w="1276" w:type="dxa"/>
            <w:tcBorders>
              <w:top w:val="nil"/>
              <w:left w:val="nil"/>
              <w:bottom w:val="single" w:sz="4" w:space="0" w:color="auto"/>
              <w:right w:val="single" w:sz="4" w:space="0" w:color="auto"/>
            </w:tcBorders>
            <w:shd w:val="clear" w:color="auto" w:fill="auto"/>
            <w:noWrap/>
            <w:vAlign w:val="bottom"/>
            <w:hideMark/>
          </w:tcPr>
          <w:p w14:paraId="5153759B"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3.93</w:t>
            </w:r>
          </w:p>
        </w:tc>
        <w:tc>
          <w:tcPr>
            <w:tcW w:w="850" w:type="dxa"/>
            <w:tcBorders>
              <w:top w:val="nil"/>
              <w:left w:val="nil"/>
              <w:bottom w:val="single" w:sz="4" w:space="0" w:color="auto"/>
              <w:right w:val="single" w:sz="4" w:space="0" w:color="auto"/>
            </w:tcBorders>
            <w:shd w:val="clear" w:color="auto" w:fill="auto"/>
            <w:noWrap/>
            <w:vAlign w:val="bottom"/>
            <w:hideMark/>
          </w:tcPr>
          <w:p w14:paraId="09D38DCF"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4</w:t>
            </w:r>
          </w:p>
        </w:tc>
      </w:tr>
      <w:tr w:rsidR="00CD6352" w:rsidRPr="00C52675" w14:paraId="2673545B" w14:textId="77777777" w:rsidTr="00CD6352">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0772C6E"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Finance options</w:t>
            </w:r>
          </w:p>
        </w:tc>
        <w:tc>
          <w:tcPr>
            <w:tcW w:w="1276" w:type="dxa"/>
            <w:tcBorders>
              <w:top w:val="nil"/>
              <w:left w:val="nil"/>
              <w:bottom w:val="single" w:sz="4" w:space="0" w:color="auto"/>
              <w:right w:val="single" w:sz="4" w:space="0" w:color="auto"/>
            </w:tcBorders>
            <w:shd w:val="clear" w:color="auto" w:fill="auto"/>
            <w:noWrap/>
            <w:vAlign w:val="bottom"/>
            <w:hideMark/>
          </w:tcPr>
          <w:p w14:paraId="46F02179"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3.88</w:t>
            </w:r>
          </w:p>
        </w:tc>
        <w:tc>
          <w:tcPr>
            <w:tcW w:w="850" w:type="dxa"/>
            <w:tcBorders>
              <w:top w:val="nil"/>
              <w:left w:val="nil"/>
              <w:bottom w:val="single" w:sz="4" w:space="0" w:color="auto"/>
              <w:right w:val="single" w:sz="4" w:space="0" w:color="auto"/>
            </w:tcBorders>
            <w:shd w:val="clear" w:color="auto" w:fill="auto"/>
            <w:noWrap/>
            <w:vAlign w:val="bottom"/>
            <w:hideMark/>
          </w:tcPr>
          <w:p w14:paraId="0540EA90"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5</w:t>
            </w:r>
          </w:p>
        </w:tc>
      </w:tr>
      <w:tr w:rsidR="00CD6352" w:rsidRPr="00C52675" w14:paraId="1BFA71A5" w14:textId="77777777" w:rsidTr="00CD6352">
        <w:trPr>
          <w:trHeight w:val="156"/>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177E9D2"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Risks and opportunities response strategies and plan</w:t>
            </w:r>
          </w:p>
        </w:tc>
        <w:tc>
          <w:tcPr>
            <w:tcW w:w="1276" w:type="dxa"/>
            <w:tcBorders>
              <w:top w:val="nil"/>
              <w:left w:val="nil"/>
              <w:bottom w:val="single" w:sz="4" w:space="0" w:color="auto"/>
              <w:right w:val="single" w:sz="4" w:space="0" w:color="auto"/>
            </w:tcBorders>
            <w:shd w:val="clear" w:color="auto" w:fill="auto"/>
            <w:noWrap/>
            <w:vAlign w:val="bottom"/>
            <w:hideMark/>
          </w:tcPr>
          <w:p w14:paraId="6051F10F"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3.86</w:t>
            </w:r>
          </w:p>
        </w:tc>
        <w:tc>
          <w:tcPr>
            <w:tcW w:w="850" w:type="dxa"/>
            <w:tcBorders>
              <w:top w:val="nil"/>
              <w:left w:val="nil"/>
              <w:bottom w:val="single" w:sz="4" w:space="0" w:color="auto"/>
              <w:right w:val="single" w:sz="4" w:space="0" w:color="auto"/>
            </w:tcBorders>
            <w:shd w:val="clear" w:color="auto" w:fill="auto"/>
            <w:noWrap/>
            <w:vAlign w:val="bottom"/>
            <w:hideMark/>
          </w:tcPr>
          <w:p w14:paraId="4299A923"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6</w:t>
            </w:r>
          </w:p>
        </w:tc>
      </w:tr>
      <w:tr w:rsidR="00CD6352" w:rsidRPr="00C52675" w14:paraId="6B38EDB2" w14:textId="77777777" w:rsidTr="00CD6352">
        <w:trPr>
          <w:trHeight w:val="243"/>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71E676D1" w14:textId="6A8AFBFB"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 xml:space="preserve">Relevant conventions, agreement, </w:t>
            </w:r>
            <w:r w:rsidR="00555408" w:rsidRPr="00C52675">
              <w:rPr>
                <w:rFonts w:ascii="Arial" w:eastAsia="Times New Roman" w:hAnsi="Arial" w:cs="Arial"/>
                <w:color w:val="000000"/>
                <w:sz w:val="16"/>
                <w:szCs w:val="16"/>
                <w:lang w:eastAsia="en-GB"/>
              </w:rPr>
              <w:t>legislation,</w:t>
            </w:r>
            <w:r w:rsidRPr="00C52675">
              <w:rPr>
                <w:rFonts w:ascii="Arial" w:eastAsia="Times New Roman" w:hAnsi="Arial" w:cs="Arial"/>
                <w:color w:val="000000"/>
                <w:sz w:val="16"/>
                <w:szCs w:val="16"/>
                <w:lang w:eastAsia="en-GB"/>
              </w:rPr>
              <w:t xml:space="preserve"> and regulations </w:t>
            </w:r>
          </w:p>
        </w:tc>
        <w:tc>
          <w:tcPr>
            <w:tcW w:w="1276" w:type="dxa"/>
            <w:tcBorders>
              <w:top w:val="nil"/>
              <w:left w:val="nil"/>
              <w:bottom w:val="single" w:sz="4" w:space="0" w:color="auto"/>
              <w:right w:val="single" w:sz="4" w:space="0" w:color="auto"/>
            </w:tcBorders>
            <w:shd w:val="clear" w:color="auto" w:fill="auto"/>
            <w:noWrap/>
            <w:vAlign w:val="bottom"/>
            <w:hideMark/>
          </w:tcPr>
          <w:p w14:paraId="316932C0"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3.86</w:t>
            </w:r>
          </w:p>
        </w:tc>
        <w:tc>
          <w:tcPr>
            <w:tcW w:w="850" w:type="dxa"/>
            <w:tcBorders>
              <w:top w:val="nil"/>
              <w:left w:val="nil"/>
              <w:bottom w:val="single" w:sz="4" w:space="0" w:color="auto"/>
              <w:right w:val="single" w:sz="4" w:space="0" w:color="auto"/>
            </w:tcBorders>
            <w:shd w:val="clear" w:color="auto" w:fill="auto"/>
            <w:noWrap/>
            <w:vAlign w:val="bottom"/>
            <w:hideMark/>
          </w:tcPr>
          <w:p w14:paraId="2BCCCF49"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7</w:t>
            </w:r>
          </w:p>
        </w:tc>
      </w:tr>
      <w:tr w:rsidR="00CD6352" w:rsidRPr="00C52675" w14:paraId="1641D795" w14:textId="77777777" w:rsidTr="00CD6352">
        <w:trPr>
          <w:trHeight w:val="274"/>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0203BF20"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Techniques and conditions for loan effectiveness</w:t>
            </w:r>
          </w:p>
        </w:tc>
        <w:tc>
          <w:tcPr>
            <w:tcW w:w="1276" w:type="dxa"/>
            <w:tcBorders>
              <w:top w:val="nil"/>
              <w:left w:val="nil"/>
              <w:bottom w:val="single" w:sz="4" w:space="0" w:color="auto"/>
              <w:right w:val="single" w:sz="4" w:space="0" w:color="auto"/>
            </w:tcBorders>
            <w:shd w:val="clear" w:color="auto" w:fill="auto"/>
            <w:noWrap/>
            <w:vAlign w:val="bottom"/>
            <w:hideMark/>
          </w:tcPr>
          <w:p w14:paraId="64C7F308"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3.83</w:t>
            </w:r>
          </w:p>
        </w:tc>
        <w:tc>
          <w:tcPr>
            <w:tcW w:w="850" w:type="dxa"/>
            <w:tcBorders>
              <w:top w:val="nil"/>
              <w:left w:val="nil"/>
              <w:bottom w:val="single" w:sz="4" w:space="0" w:color="auto"/>
              <w:right w:val="single" w:sz="4" w:space="0" w:color="auto"/>
            </w:tcBorders>
            <w:shd w:val="clear" w:color="auto" w:fill="auto"/>
            <w:noWrap/>
            <w:vAlign w:val="bottom"/>
            <w:hideMark/>
          </w:tcPr>
          <w:p w14:paraId="65C373E4"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8</w:t>
            </w:r>
          </w:p>
        </w:tc>
      </w:tr>
      <w:tr w:rsidR="00CD6352" w:rsidRPr="00C52675" w14:paraId="35C325F9" w14:textId="77777777" w:rsidTr="00CD6352">
        <w:trPr>
          <w:trHeight w:val="421"/>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76F83C3A" w14:textId="0AFAE25D"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 xml:space="preserve">Financial management concepts &amp; terms such as </w:t>
            </w:r>
            <w:r w:rsidR="00555408" w:rsidRPr="00C52675">
              <w:rPr>
                <w:rFonts w:ascii="Arial" w:eastAsia="Times New Roman" w:hAnsi="Arial" w:cs="Arial"/>
                <w:color w:val="000000"/>
                <w:sz w:val="16"/>
                <w:szCs w:val="16"/>
                <w:lang w:eastAsia="en-GB"/>
              </w:rPr>
              <w:t>(cash</w:t>
            </w:r>
            <w:r w:rsidRPr="00C52675">
              <w:rPr>
                <w:rFonts w:ascii="Arial" w:eastAsia="Times New Roman" w:hAnsi="Arial" w:cs="Arial"/>
                <w:color w:val="000000"/>
                <w:sz w:val="16"/>
                <w:szCs w:val="16"/>
                <w:lang w:eastAsia="en-GB"/>
              </w:rPr>
              <w:t xml:space="preserve"> flow, debt – asset ratio, return on investment &amp; rate of return)</w:t>
            </w:r>
          </w:p>
        </w:tc>
        <w:tc>
          <w:tcPr>
            <w:tcW w:w="1276" w:type="dxa"/>
            <w:tcBorders>
              <w:top w:val="nil"/>
              <w:left w:val="nil"/>
              <w:bottom w:val="single" w:sz="4" w:space="0" w:color="auto"/>
              <w:right w:val="single" w:sz="4" w:space="0" w:color="auto"/>
            </w:tcBorders>
            <w:shd w:val="clear" w:color="auto" w:fill="auto"/>
            <w:noWrap/>
            <w:vAlign w:val="bottom"/>
            <w:hideMark/>
          </w:tcPr>
          <w:p w14:paraId="2C2B79C1"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3.81</w:t>
            </w:r>
          </w:p>
        </w:tc>
        <w:tc>
          <w:tcPr>
            <w:tcW w:w="850" w:type="dxa"/>
            <w:tcBorders>
              <w:top w:val="nil"/>
              <w:left w:val="nil"/>
              <w:bottom w:val="single" w:sz="4" w:space="0" w:color="auto"/>
              <w:right w:val="single" w:sz="4" w:space="0" w:color="auto"/>
            </w:tcBorders>
            <w:shd w:val="clear" w:color="auto" w:fill="auto"/>
            <w:noWrap/>
            <w:vAlign w:val="bottom"/>
            <w:hideMark/>
          </w:tcPr>
          <w:p w14:paraId="1AEA9E2F"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9</w:t>
            </w:r>
          </w:p>
        </w:tc>
      </w:tr>
      <w:tr w:rsidR="00CD6352" w:rsidRPr="00C52675" w14:paraId="1669DCD3" w14:textId="77777777" w:rsidTr="00CD6352">
        <w:trPr>
          <w:trHeight w:val="129"/>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A94A471"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Debt literacy</w:t>
            </w:r>
          </w:p>
        </w:tc>
        <w:tc>
          <w:tcPr>
            <w:tcW w:w="1276" w:type="dxa"/>
            <w:tcBorders>
              <w:top w:val="nil"/>
              <w:left w:val="nil"/>
              <w:bottom w:val="single" w:sz="4" w:space="0" w:color="auto"/>
              <w:right w:val="single" w:sz="4" w:space="0" w:color="auto"/>
            </w:tcBorders>
            <w:shd w:val="clear" w:color="auto" w:fill="auto"/>
            <w:noWrap/>
            <w:vAlign w:val="bottom"/>
            <w:hideMark/>
          </w:tcPr>
          <w:p w14:paraId="53753481"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3.78</w:t>
            </w:r>
          </w:p>
        </w:tc>
        <w:tc>
          <w:tcPr>
            <w:tcW w:w="850" w:type="dxa"/>
            <w:tcBorders>
              <w:top w:val="nil"/>
              <w:left w:val="nil"/>
              <w:bottom w:val="single" w:sz="4" w:space="0" w:color="auto"/>
              <w:right w:val="single" w:sz="4" w:space="0" w:color="auto"/>
            </w:tcBorders>
            <w:shd w:val="clear" w:color="auto" w:fill="auto"/>
            <w:noWrap/>
            <w:vAlign w:val="bottom"/>
            <w:hideMark/>
          </w:tcPr>
          <w:p w14:paraId="526C0E35"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10</w:t>
            </w:r>
          </w:p>
        </w:tc>
      </w:tr>
      <w:tr w:rsidR="00CD6352" w:rsidRPr="00C52675" w14:paraId="7B85C755" w14:textId="77777777" w:rsidTr="00CD6352">
        <w:trPr>
          <w:trHeight w:val="217"/>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6494EC2"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Performance indicator</w:t>
            </w:r>
          </w:p>
        </w:tc>
        <w:tc>
          <w:tcPr>
            <w:tcW w:w="1276" w:type="dxa"/>
            <w:tcBorders>
              <w:top w:val="nil"/>
              <w:left w:val="nil"/>
              <w:bottom w:val="single" w:sz="4" w:space="0" w:color="auto"/>
              <w:right w:val="single" w:sz="4" w:space="0" w:color="auto"/>
            </w:tcBorders>
            <w:shd w:val="clear" w:color="auto" w:fill="auto"/>
            <w:noWrap/>
            <w:vAlign w:val="bottom"/>
            <w:hideMark/>
          </w:tcPr>
          <w:p w14:paraId="755F6CF2"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3.77</w:t>
            </w:r>
          </w:p>
        </w:tc>
        <w:tc>
          <w:tcPr>
            <w:tcW w:w="850" w:type="dxa"/>
            <w:tcBorders>
              <w:top w:val="nil"/>
              <w:left w:val="nil"/>
              <w:bottom w:val="single" w:sz="4" w:space="0" w:color="auto"/>
              <w:right w:val="single" w:sz="4" w:space="0" w:color="auto"/>
            </w:tcBorders>
            <w:shd w:val="clear" w:color="auto" w:fill="auto"/>
            <w:noWrap/>
            <w:vAlign w:val="bottom"/>
            <w:hideMark/>
          </w:tcPr>
          <w:p w14:paraId="68E38582"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11</w:t>
            </w:r>
          </w:p>
        </w:tc>
      </w:tr>
      <w:tr w:rsidR="00CD6352" w:rsidRPr="00C52675" w14:paraId="7C641557" w14:textId="77777777" w:rsidTr="00CD6352">
        <w:trPr>
          <w:trHeight w:val="418"/>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563CF26D" w14:textId="6862C139"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 xml:space="preserve">Fundamental concepts of economics &amp; finance </w:t>
            </w:r>
            <w:r w:rsidR="00555408" w:rsidRPr="00C52675">
              <w:rPr>
                <w:rFonts w:ascii="Arial" w:eastAsia="Times New Roman" w:hAnsi="Arial" w:cs="Arial"/>
                <w:color w:val="000000"/>
                <w:sz w:val="16"/>
                <w:szCs w:val="16"/>
                <w:lang w:eastAsia="en-GB"/>
              </w:rPr>
              <w:t>(e.g.</w:t>
            </w:r>
            <w:r w:rsidRPr="00C52675">
              <w:rPr>
                <w:rFonts w:ascii="Arial" w:eastAsia="Times New Roman" w:hAnsi="Arial" w:cs="Arial"/>
                <w:color w:val="000000"/>
                <w:sz w:val="16"/>
                <w:szCs w:val="16"/>
                <w:lang w:eastAsia="en-GB"/>
              </w:rPr>
              <w:t xml:space="preserve"> calculation of interest rate &amp; inflation)</w:t>
            </w:r>
          </w:p>
        </w:tc>
        <w:tc>
          <w:tcPr>
            <w:tcW w:w="1276" w:type="dxa"/>
            <w:tcBorders>
              <w:top w:val="nil"/>
              <w:left w:val="nil"/>
              <w:bottom w:val="single" w:sz="4" w:space="0" w:color="auto"/>
              <w:right w:val="single" w:sz="4" w:space="0" w:color="auto"/>
            </w:tcBorders>
            <w:shd w:val="clear" w:color="auto" w:fill="auto"/>
            <w:noWrap/>
            <w:vAlign w:val="bottom"/>
            <w:hideMark/>
          </w:tcPr>
          <w:p w14:paraId="7B2D24D3"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3.73</w:t>
            </w:r>
          </w:p>
        </w:tc>
        <w:tc>
          <w:tcPr>
            <w:tcW w:w="850" w:type="dxa"/>
            <w:tcBorders>
              <w:top w:val="nil"/>
              <w:left w:val="nil"/>
              <w:bottom w:val="single" w:sz="4" w:space="0" w:color="auto"/>
              <w:right w:val="single" w:sz="4" w:space="0" w:color="auto"/>
            </w:tcBorders>
            <w:shd w:val="clear" w:color="auto" w:fill="auto"/>
            <w:noWrap/>
            <w:vAlign w:val="bottom"/>
            <w:hideMark/>
          </w:tcPr>
          <w:p w14:paraId="0DEA9BB5"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12</w:t>
            </w:r>
          </w:p>
        </w:tc>
      </w:tr>
      <w:tr w:rsidR="00CD6352" w:rsidRPr="00C52675" w14:paraId="4D361E2E" w14:textId="77777777" w:rsidTr="00CD6352">
        <w:trPr>
          <w:trHeight w:val="127"/>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693995A"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 xml:space="preserve">Financial accounting basics </w:t>
            </w:r>
          </w:p>
        </w:tc>
        <w:tc>
          <w:tcPr>
            <w:tcW w:w="1276" w:type="dxa"/>
            <w:tcBorders>
              <w:top w:val="nil"/>
              <w:left w:val="nil"/>
              <w:bottom w:val="single" w:sz="4" w:space="0" w:color="auto"/>
              <w:right w:val="single" w:sz="4" w:space="0" w:color="auto"/>
            </w:tcBorders>
            <w:shd w:val="clear" w:color="auto" w:fill="auto"/>
            <w:noWrap/>
            <w:vAlign w:val="bottom"/>
            <w:hideMark/>
          </w:tcPr>
          <w:p w14:paraId="076ED728"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3.69</w:t>
            </w:r>
          </w:p>
        </w:tc>
        <w:tc>
          <w:tcPr>
            <w:tcW w:w="850" w:type="dxa"/>
            <w:tcBorders>
              <w:top w:val="nil"/>
              <w:left w:val="nil"/>
              <w:bottom w:val="single" w:sz="4" w:space="0" w:color="auto"/>
              <w:right w:val="single" w:sz="4" w:space="0" w:color="auto"/>
            </w:tcBorders>
            <w:shd w:val="clear" w:color="auto" w:fill="auto"/>
            <w:noWrap/>
            <w:vAlign w:val="bottom"/>
            <w:hideMark/>
          </w:tcPr>
          <w:p w14:paraId="4240DB9E"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13</w:t>
            </w:r>
          </w:p>
        </w:tc>
      </w:tr>
      <w:tr w:rsidR="00CD6352" w:rsidRPr="00C52675" w14:paraId="49282E9D" w14:textId="77777777" w:rsidTr="00CD6352">
        <w:trPr>
          <w:trHeight w:val="229"/>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030A620"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Contingency approach</w:t>
            </w:r>
          </w:p>
        </w:tc>
        <w:tc>
          <w:tcPr>
            <w:tcW w:w="1276" w:type="dxa"/>
            <w:tcBorders>
              <w:top w:val="nil"/>
              <w:left w:val="nil"/>
              <w:bottom w:val="single" w:sz="4" w:space="0" w:color="auto"/>
              <w:right w:val="single" w:sz="4" w:space="0" w:color="auto"/>
            </w:tcBorders>
            <w:shd w:val="clear" w:color="auto" w:fill="auto"/>
            <w:noWrap/>
            <w:vAlign w:val="bottom"/>
            <w:hideMark/>
          </w:tcPr>
          <w:p w14:paraId="5561E42D"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3.69</w:t>
            </w:r>
          </w:p>
        </w:tc>
        <w:tc>
          <w:tcPr>
            <w:tcW w:w="850" w:type="dxa"/>
            <w:tcBorders>
              <w:top w:val="nil"/>
              <w:left w:val="nil"/>
              <w:bottom w:val="single" w:sz="4" w:space="0" w:color="auto"/>
              <w:right w:val="single" w:sz="4" w:space="0" w:color="auto"/>
            </w:tcBorders>
            <w:shd w:val="clear" w:color="auto" w:fill="auto"/>
            <w:noWrap/>
            <w:vAlign w:val="bottom"/>
            <w:hideMark/>
          </w:tcPr>
          <w:p w14:paraId="277B8849"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14</w:t>
            </w:r>
          </w:p>
        </w:tc>
      </w:tr>
      <w:tr w:rsidR="00CD6352" w:rsidRPr="00C52675" w14:paraId="547E5F5B" w14:textId="77777777" w:rsidTr="00CD6352">
        <w:trPr>
          <w:trHeight w:val="261"/>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5910B90"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Process and governance for cost management</w:t>
            </w:r>
          </w:p>
        </w:tc>
        <w:tc>
          <w:tcPr>
            <w:tcW w:w="1276" w:type="dxa"/>
            <w:tcBorders>
              <w:top w:val="nil"/>
              <w:left w:val="nil"/>
              <w:bottom w:val="single" w:sz="4" w:space="0" w:color="auto"/>
              <w:right w:val="single" w:sz="4" w:space="0" w:color="auto"/>
            </w:tcBorders>
            <w:shd w:val="clear" w:color="auto" w:fill="auto"/>
            <w:noWrap/>
            <w:vAlign w:val="bottom"/>
            <w:hideMark/>
          </w:tcPr>
          <w:p w14:paraId="48755493"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3.67</w:t>
            </w:r>
          </w:p>
        </w:tc>
        <w:tc>
          <w:tcPr>
            <w:tcW w:w="850" w:type="dxa"/>
            <w:tcBorders>
              <w:top w:val="nil"/>
              <w:left w:val="nil"/>
              <w:bottom w:val="single" w:sz="4" w:space="0" w:color="auto"/>
              <w:right w:val="single" w:sz="4" w:space="0" w:color="auto"/>
            </w:tcBorders>
            <w:shd w:val="clear" w:color="auto" w:fill="auto"/>
            <w:noWrap/>
            <w:vAlign w:val="bottom"/>
            <w:hideMark/>
          </w:tcPr>
          <w:p w14:paraId="583A6D42"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15</w:t>
            </w:r>
          </w:p>
        </w:tc>
      </w:tr>
      <w:tr w:rsidR="00CD6352" w:rsidRPr="00C52675" w14:paraId="3EA72E65" w14:textId="77777777" w:rsidTr="00CD6352">
        <w:trPr>
          <w:trHeight w:val="137"/>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F1D12DC"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Cost calculation techniques</w:t>
            </w:r>
          </w:p>
        </w:tc>
        <w:tc>
          <w:tcPr>
            <w:tcW w:w="1276" w:type="dxa"/>
            <w:tcBorders>
              <w:top w:val="nil"/>
              <w:left w:val="nil"/>
              <w:bottom w:val="single" w:sz="4" w:space="0" w:color="auto"/>
              <w:right w:val="single" w:sz="4" w:space="0" w:color="auto"/>
            </w:tcBorders>
            <w:shd w:val="clear" w:color="auto" w:fill="auto"/>
            <w:noWrap/>
            <w:vAlign w:val="bottom"/>
            <w:hideMark/>
          </w:tcPr>
          <w:p w14:paraId="69692B81"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3.59</w:t>
            </w:r>
          </w:p>
        </w:tc>
        <w:tc>
          <w:tcPr>
            <w:tcW w:w="850" w:type="dxa"/>
            <w:tcBorders>
              <w:top w:val="nil"/>
              <w:left w:val="nil"/>
              <w:bottom w:val="single" w:sz="4" w:space="0" w:color="auto"/>
              <w:right w:val="single" w:sz="4" w:space="0" w:color="auto"/>
            </w:tcBorders>
            <w:shd w:val="clear" w:color="auto" w:fill="auto"/>
            <w:noWrap/>
            <w:vAlign w:val="bottom"/>
            <w:hideMark/>
          </w:tcPr>
          <w:p w14:paraId="02B6ECCD"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16</w:t>
            </w:r>
          </w:p>
        </w:tc>
      </w:tr>
      <w:tr w:rsidR="00CD6352" w:rsidRPr="00C52675" w14:paraId="40380741" w14:textId="77777777" w:rsidTr="00CD6352">
        <w:trPr>
          <w:trHeight w:val="225"/>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EAB9BD5" w14:textId="77777777" w:rsidR="00CD6352" w:rsidRPr="00C52675" w:rsidRDefault="00CD6352" w:rsidP="00CD6352">
            <w:pPr>
              <w:spacing w:after="0" w:line="240" w:lineRule="auto"/>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Cost estimation methods</w:t>
            </w:r>
          </w:p>
        </w:tc>
        <w:tc>
          <w:tcPr>
            <w:tcW w:w="1276" w:type="dxa"/>
            <w:tcBorders>
              <w:top w:val="nil"/>
              <w:left w:val="nil"/>
              <w:bottom w:val="single" w:sz="4" w:space="0" w:color="auto"/>
              <w:right w:val="single" w:sz="4" w:space="0" w:color="auto"/>
            </w:tcBorders>
            <w:shd w:val="clear" w:color="auto" w:fill="auto"/>
            <w:noWrap/>
            <w:vAlign w:val="bottom"/>
            <w:hideMark/>
          </w:tcPr>
          <w:p w14:paraId="0885FB45"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3.59</w:t>
            </w:r>
          </w:p>
        </w:tc>
        <w:tc>
          <w:tcPr>
            <w:tcW w:w="850" w:type="dxa"/>
            <w:tcBorders>
              <w:top w:val="nil"/>
              <w:left w:val="nil"/>
              <w:bottom w:val="single" w:sz="4" w:space="0" w:color="auto"/>
              <w:right w:val="single" w:sz="4" w:space="0" w:color="auto"/>
            </w:tcBorders>
            <w:shd w:val="clear" w:color="auto" w:fill="auto"/>
            <w:noWrap/>
            <w:vAlign w:val="bottom"/>
            <w:hideMark/>
          </w:tcPr>
          <w:p w14:paraId="17054515" w14:textId="77777777" w:rsidR="00CD6352" w:rsidRPr="00C52675" w:rsidRDefault="00CD6352" w:rsidP="00CD6352">
            <w:pPr>
              <w:spacing w:after="0" w:line="240" w:lineRule="auto"/>
              <w:jc w:val="right"/>
              <w:rPr>
                <w:rFonts w:ascii="Arial" w:eastAsia="Times New Roman" w:hAnsi="Arial" w:cs="Arial"/>
                <w:color w:val="000000"/>
                <w:sz w:val="16"/>
                <w:szCs w:val="16"/>
                <w:lang w:eastAsia="en-GB"/>
              </w:rPr>
            </w:pPr>
            <w:r w:rsidRPr="00C52675">
              <w:rPr>
                <w:rFonts w:ascii="Arial" w:eastAsia="Times New Roman" w:hAnsi="Arial" w:cs="Arial"/>
                <w:color w:val="000000"/>
                <w:sz w:val="16"/>
                <w:szCs w:val="16"/>
                <w:lang w:eastAsia="en-GB"/>
              </w:rPr>
              <w:t>17</w:t>
            </w:r>
          </w:p>
        </w:tc>
      </w:tr>
    </w:tbl>
    <w:p w14:paraId="407B0D2C" w14:textId="77777777" w:rsidR="00CD6352" w:rsidRPr="00EA7665" w:rsidRDefault="00CD6352" w:rsidP="00CD6352">
      <w:pPr>
        <w:rPr>
          <w:rFonts w:ascii="Arial" w:hAnsi="Arial" w:cs="Arial"/>
          <w:sz w:val="16"/>
          <w:szCs w:val="16"/>
        </w:rPr>
      </w:pPr>
      <w:r w:rsidRPr="00EA7665">
        <w:rPr>
          <w:rFonts w:ascii="Arial" w:hAnsi="Arial" w:cs="Arial"/>
          <w:sz w:val="16"/>
          <w:szCs w:val="16"/>
        </w:rPr>
        <w:t>Not needed(1)</w:t>
      </w:r>
      <w:r w:rsidRPr="00EA7665">
        <w:rPr>
          <w:rFonts w:ascii="Arial" w:hAnsi="Arial" w:cs="Arial"/>
          <w:sz w:val="16"/>
          <w:szCs w:val="16"/>
        </w:rPr>
        <w:tab/>
        <w:t>, Less needed(2), Needed(3),Very needed(4)Highly needed(5)</w:t>
      </w:r>
    </w:p>
    <w:p w14:paraId="0160C502" w14:textId="77777777" w:rsidR="00CD6352" w:rsidRPr="00EA7665" w:rsidRDefault="00CD6352" w:rsidP="00CD6352"/>
    <w:p w14:paraId="78728E47" w14:textId="6A1BC613" w:rsidR="00CD6352" w:rsidRPr="00EA7665" w:rsidRDefault="00CD6352" w:rsidP="00CD6352">
      <w:pPr>
        <w:pStyle w:val="Heading4"/>
        <w:rPr>
          <w:rFonts w:ascii="Arial" w:hAnsi="Arial" w:cs="Arial"/>
          <w:color w:val="auto"/>
        </w:rPr>
      </w:pPr>
      <w:r w:rsidRPr="00EA7665">
        <w:rPr>
          <w:rFonts w:ascii="Arial" w:hAnsi="Arial" w:cs="Arial"/>
          <w:color w:val="auto"/>
        </w:rPr>
        <w:t xml:space="preserve">Questionnaire survey discussion and analysis at the disaggregate </w:t>
      </w:r>
      <w:r w:rsidR="0097481A" w:rsidRPr="00EA7665">
        <w:rPr>
          <w:rFonts w:ascii="Arial" w:hAnsi="Arial" w:cs="Arial"/>
          <w:color w:val="auto"/>
        </w:rPr>
        <w:t>level.</w:t>
      </w:r>
    </w:p>
    <w:p w14:paraId="4254C627" w14:textId="77777777" w:rsidR="00CD6352" w:rsidRPr="00EA7665" w:rsidRDefault="00CD6352" w:rsidP="00CD6352">
      <w:pPr>
        <w:spacing w:line="360" w:lineRule="auto"/>
        <w:jc w:val="both"/>
        <w:rPr>
          <w:rFonts w:ascii="Arial" w:hAnsi="Arial" w:cs="Arial"/>
          <w:sz w:val="16"/>
          <w:szCs w:val="16"/>
        </w:rPr>
      </w:pPr>
    </w:p>
    <w:p w14:paraId="19C81802" w14:textId="375098AA" w:rsidR="00CD6352" w:rsidRPr="00EA7665" w:rsidRDefault="00CD6352" w:rsidP="00CD6352">
      <w:pPr>
        <w:spacing w:line="360" w:lineRule="auto"/>
        <w:jc w:val="both"/>
        <w:rPr>
          <w:rFonts w:ascii="Arial" w:hAnsi="Arial" w:cs="Arial"/>
        </w:rPr>
      </w:pPr>
      <w:r w:rsidRPr="00EA7665">
        <w:rPr>
          <w:rFonts w:ascii="Arial" w:hAnsi="Arial" w:cs="Arial"/>
        </w:rPr>
        <w:t xml:space="preserve">The results relating to the degree of need for training and education for management knowledge </w:t>
      </w:r>
      <w:r w:rsidR="00C7024A">
        <w:rPr>
          <w:rFonts w:ascii="Arial" w:hAnsi="Arial" w:cs="Arial"/>
        </w:rPr>
        <w:t>to secure finance for real estate project development at the disaggregate level are</w:t>
      </w:r>
      <w:r w:rsidRPr="00EA7665">
        <w:rPr>
          <w:rFonts w:ascii="Arial" w:hAnsi="Arial" w:cs="Arial"/>
        </w:rPr>
        <w:t xml:space="preserve"> contained in </w:t>
      </w:r>
      <w:r w:rsidR="00941948">
        <w:rPr>
          <w:rFonts w:ascii="Arial" w:hAnsi="Arial" w:cs="Arial"/>
        </w:rPr>
        <w:t>appendix 1</w:t>
      </w:r>
      <w:r w:rsidR="00BC54AD">
        <w:rPr>
          <w:rFonts w:ascii="Arial" w:hAnsi="Arial" w:cs="Arial"/>
        </w:rPr>
        <w:t>,</w:t>
      </w:r>
      <w:r w:rsidR="00941948">
        <w:rPr>
          <w:rFonts w:ascii="Arial" w:hAnsi="Arial" w:cs="Arial"/>
        </w:rPr>
        <w:t xml:space="preserve"> table 6</w:t>
      </w:r>
      <w:r w:rsidR="00C8778B">
        <w:rPr>
          <w:rFonts w:ascii="Arial" w:hAnsi="Arial" w:cs="Arial"/>
        </w:rPr>
        <w:t>.</w:t>
      </w:r>
      <w:r w:rsidRPr="00EA7665">
        <w:rPr>
          <w:rFonts w:ascii="Arial" w:hAnsi="Arial" w:cs="Arial"/>
        </w:rPr>
        <w:t xml:space="preserve">  The mean scores range for the different countries is Germany (3 to 1), UK (4.17 to 3.33), US ( 4 to 2.33), China ( 3.33 to 2.44), Nigeria (4.28 to 3.56) and South Africa (4.25 to 3). The range of mean values shows that respondents from </w:t>
      </w:r>
      <w:r w:rsidR="0083038C">
        <w:rPr>
          <w:rFonts w:ascii="Arial" w:hAnsi="Arial" w:cs="Arial"/>
        </w:rPr>
        <w:t xml:space="preserve">the </w:t>
      </w:r>
      <w:r w:rsidR="0083038C" w:rsidRPr="00EA7665">
        <w:rPr>
          <w:rFonts w:ascii="Arial" w:hAnsi="Arial" w:cs="Arial"/>
        </w:rPr>
        <w:t>UK</w:t>
      </w:r>
      <w:r w:rsidRPr="00EA7665">
        <w:rPr>
          <w:rFonts w:ascii="Arial" w:hAnsi="Arial" w:cs="Arial"/>
        </w:rPr>
        <w:t xml:space="preserve">, </w:t>
      </w:r>
      <w:r>
        <w:rPr>
          <w:rFonts w:ascii="Arial" w:hAnsi="Arial" w:cs="Arial"/>
        </w:rPr>
        <w:t xml:space="preserve">the </w:t>
      </w:r>
      <w:r w:rsidRPr="00EA7665">
        <w:rPr>
          <w:rFonts w:ascii="Arial" w:hAnsi="Arial" w:cs="Arial"/>
        </w:rPr>
        <w:t>US, China, Nigeria and South Africa are of the view that they need training and education for all the seventeen management knowled</w:t>
      </w:r>
      <w:r>
        <w:rPr>
          <w:rFonts w:ascii="Arial" w:hAnsi="Arial" w:cs="Arial"/>
        </w:rPr>
        <w:t>ge</w:t>
      </w:r>
      <w:r w:rsidRPr="00EA7665">
        <w:rPr>
          <w:rFonts w:ascii="Arial" w:hAnsi="Arial" w:cs="Arial"/>
        </w:rPr>
        <w:t xml:space="preserve"> for the future </w:t>
      </w:r>
      <w:r w:rsidR="0083038C" w:rsidRPr="00EA7665">
        <w:rPr>
          <w:rFonts w:ascii="Arial" w:hAnsi="Arial" w:cs="Arial"/>
        </w:rPr>
        <w:t>(next</w:t>
      </w:r>
      <w:r w:rsidRPr="00EA7665">
        <w:rPr>
          <w:rFonts w:ascii="Arial" w:hAnsi="Arial" w:cs="Arial"/>
        </w:rPr>
        <w:t xml:space="preserve"> five years</w:t>
      </w:r>
      <w:r w:rsidR="00C95BC5" w:rsidRPr="00EA7665">
        <w:rPr>
          <w:rFonts w:ascii="Arial" w:hAnsi="Arial" w:cs="Arial"/>
        </w:rPr>
        <w:t>).</w:t>
      </w:r>
      <w:r w:rsidRPr="00EA7665">
        <w:rPr>
          <w:rFonts w:ascii="Arial" w:hAnsi="Arial" w:cs="Arial"/>
        </w:rPr>
        <w:t xml:space="preserve"> However, respondents from Germany indicated </w:t>
      </w:r>
      <w:r w:rsidR="0083038C" w:rsidRPr="00EA7665">
        <w:rPr>
          <w:rFonts w:ascii="Arial" w:hAnsi="Arial" w:cs="Arial"/>
        </w:rPr>
        <w:t>they do</w:t>
      </w:r>
      <w:r w:rsidRPr="00EA7665">
        <w:rPr>
          <w:rFonts w:ascii="Arial" w:hAnsi="Arial" w:cs="Arial"/>
        </w:rPr>
        <w:t xml:space="preserve"> not need training and education for some management knowledge for future use. These management knowled</w:t>
      </w:r>
      <w:r>
        <w:rPr>
          <w:rFonts w:ascii="Arial" w:hAnsi="Arial" w:cs="Arial"/>
        </w:rPr>
        <w:t>ge</w:t>
      </w:r>
      <w:r w:rsidRPr="00EA7665">
        <w:rPr>
          <w:rFonts w:ascii="Arial" w:hAnsi="Arial" w:cs="Arial"/>
        </w:rPr>
        <w:t xml:space="preserve"> are financial </w:t>
      </w:r>
      <w:r w:rsidRPr="00EA7665">
        <w:rPr>
          <w:rFonts w:ascii="Arial" w:hAnsi="Arial" w:cs="Arial"/>
        </w:rPr>
        <w:lastRenderedPageBreak/>
        <w:t xml:space="preserve">accounting basics, financial management concepts and terms such as </w:t>
      </w:r>
      <w:r w:rsidR="00C95BC5" w:rsidRPr="00EA7665">
        <w:rPr>
          <w:rFonts w:ascii="Arial" w:hAnsi="Arial" w:cs="Arial"/>
        </w:rPr>
        <w:t>(cash</w:t>
      </w:r>
      <w:r w:rsidRPr="00EA7665">
        <w:rPr>
          <w:rFonts w:ascii="Arial" w:hAnsi="Arial" w:cs="Arial"/>
        </w:rPr>
        <w:t xml:space="preserve"> flow, debt- asset ratio, return on investment &amp; rate of return), performance indicators, principles of risk and diversification and contingency approach which all have mean scores of 1.  </w:t>
      </w:r>
      <w:r w:rsidR="0083038C">
        <w:rPr>
          <w:rFonts w:ascii="Arial" w:hAnsi="Arial" w:cs="Arial"/>
        </w:rPr>
        <w:t xml:space="preserve">Conversely, </w:t>
      </w:r>
      <w:r w:rsidR="0083038C" w:rsidRPr="00EA7665">
        <w:rPr>
          <w:rFonts w:ascii="Arial" w:hAnsi="Arial" w:cs="Arial"/>
        </w:rPr>
        <w:t>the</w:t>
      </w:r>
      <w:r w:rsidRPr="00EA7665">
        <w:rPr>
          <w:rFonts w:ascii="Arial" w:hAnsi="Arial" w:cs="Arial"/>
        </w:rPr>
        <w:t xml:space="preserve"> top five management knowledge for securing finance for real estate project development</w:t>
      </w:r>
      <w:r>
        <w:rPr>
          <w:rFonts w:ascii="Arial" w:hAnsi="Arial" w:cs="Arial"/>
        </w:rPr>
        <w:t>,</w:t>
      </w:r>
      <w:r w:rsidRPr="00EA7665">
        <w:rPr>
          <w:rFonts w:ascii="Arial" w:hAnsi="Arial" w:cs="Arial"/>
        </w:rPr>
        <w:t xml:space="preserve"> which respondents from the different countries indicated they would need training and education for future use are as follows:</w:t>
      </w:r>
    </w:p>
    <w:p w14:paraId="2C4DC218" w14:textId="77777777" w:rsidR="00CD6352" w:rsidRPr="00EA7665" w:rsidRDefault="00CD6352" w:rsidP="00CD63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09"/>
        <w:gridCol w:w="3008"/>
      </w:tblGrid>
      <w:tr w:rsidR="00CD6352" w:rsidRPr="00EA7665" w14:paraId="7659A00E" w14:textId="77777777" w:rsidTr="00CD6352">
        <w:tc>
          <w:tcPr>
            <w:tcW w:w="3080" w:type="dxa"/>
          </w:tcPr>
          <w:p w14:paraId="3E1BE37E" w14:textId="77777777" w:rsidR="00CD6352" w:rsidRPr="00C95BC5" w:rsidRDefault="00CD6352" w:rsidP="00CD6352">
            <w:pPr>
              <w:rPr>
                <w:rFonts w:ascii="Arial" w:hAnsi="Arial" w:cs="Arial"/>
                <w:b/>
                <w:bCs/>
                <w:sz w:val="16"/>
                <w:szCs w:val="16"/>
              </w:rPr>
            </w:pPr>
            <w:r w:rsidRPr="00C95BC5">
              <w:rPr>
                <w:rFonts w:ascii="Arial" w:hAnsi="Arial" w:cs="Arial"/>
                <w:b/>
                <w:bCs/>
                <w:sz w:val="16"/>
                <w:szCs w:val="16"/>
              </w:rPr>
              <w:t>Germany</w:t>
            </w:r>
          </w:p>
          <w:p w14:paraId="4EF32B45" w14:textId="77777777" w:rsidR="00CD6352" w:rsidRPr="00EA7665" w:rsidRDefault="00CD6352" w:rsidP="00C74AEC">
            <w:pPr>
              <w:pStyle w:val="ListParagraph"/>
              <w:numPr>
                <w:ilvl w:val="0"/>
                <w:numId w:val="161"/>
              </w:numPr>
              <w:spacing w:after="0" w:line="240" w:lineRule="auto"/>
              <w:rPr>
                <w:rFonts w:ascii="Arial" w:hAnsi="Arial" w:cs="Arial"/>
                <w:sz w:val="16"/>
                <w:szCs w:val="16"/>
              </w:rPr>
            </w:pPr>
            <w:r w:rsidRPr="00EA7665">
              <w:rPr>
                <w:rFonts w:ascii="Arial" w:hAnsi="Arial" w:cs="Arial"/>
                <w:sz w:val="16"/>
                <w:szCs w:val="16"/>
              </w:rPr>
              <w:t xml:space="preserve">Market intelligence </w:t>
            </w:r>
          </w:p>
          <w:p w14:paraId="61CFCF61" w14:textId="77777777" w:rsidR="00CD6352" w:rsidRPr="00EA7665" w:rsidRDefault="00CD6352" w:rsidP="00C74AEC">
            <w:pPr>
              <w:pStyle w:val="ListParagraph"/>
              <w:numPr>
                <w:ilvl w:val="0"/>
                <w:numId w:val="161"/>
              </w:numPr>
              <w:spacing w:after="0" w:line="240" w:lineRule="auto"/>
              <w:rPr>
                <w:rFonts w:ascii="Arial" w:hAnsi="Arial" w:cs="Arial"/>
                <w:sz w:val="16"/>
                <w:szCs w:val="16"/>
              </w:rPr>
            </w:pPr>
            <w:r w:rsidRPr="00EA7665">
              <w:rPr>
                <w:rFonts w:ascii="Arial" w:hAnsi="Arial" w:cs="Arial"/>
                <w:sz w:val="16"/>
                <w:szCs w:val="16"/>
              </w:rPr>
              <w:t>Debt literacy</w:t>
            </w:r>
          </w:p>
          <w:p w14:paraId="7C53A9DB" w14:textId="77777777" w:rsidR="00CD6352" w:rsidRPr="00EA7665" w:rsidRDefault="00CD6352" w:rsidP="00C74AEC">
            <w:pPr>
              <w:pStyle w:val="ListParagraph"/>
              <w:numPr>
                <w:ilvl w:val="0"/>
                <w:numId w:val="161"/>
              </w:numPr>
              <w:spacing w:after="0" w:line="240" w:lineRule="auto"/>
              <w:rPr>
                <w:rFonts w:ascii="Arial" w:hAnsi="Arial" w:cs="Arial"/>
                <w:sz w:val="16"/>
                <w:szCs w:val="16"/>
              </w:rPr>
            </w:pPr>
            <w:r w:rsidRPr="00EA7665">
              <w:rPr>
                <w:rFonts w:ascii="Arial" w:hAnsi="Arial" w:cs="Arial"/>
                <w:sz w:val="16"/>
                <w:szCs w:val="16"/>
              </w:rPr>
              <w:t xml:space="preserve">Relevant conventions, agreement, legislation and regulations </w:t>
            </w:r>
          </w:p>
          <w:p w14:paraId="30A82CCC" w14:textId="77777777" w:rsidR="00CD6352" w:rsidRPr="00EA7665" w:rsidRDefault="00CD6352" w:rsidP="00C74AEC">
            <w:pPr>
              <w:pStyle w:val="ListParagraph"/>
              <w:numPr>
                <w:ilvl w:val="0"/>
                <w:numId w:val="161"/>
              </w:numPr>
              <w:spacing w:after="0" w:line="240" w:lineRule="auto"/>
              <w:rPr>
                <w:rFonts w:ascii="Arial" w:hAnsi="Arial" w:cs="Arial"/>
                <w:sz w:val="16"/>
                <w:szCs w:val="16"/>
              </w:rPr>
            </w:pPr>
            <w:r w:rsidRPr="00EA7665">
              <w:rPr>
                <w:rFonts w:ascii="Arial" w:hAnsi="Arial" w:cs="Arial"/>
                <w:sz w:val="16"/>
                <w:szCs w:val="16"/>
              </w:rPr>
              <w:t>Funding sources</w:t>
            </w:r>
          </w:p>
          <w:p w14:paraId="3ECB59DD" w14:textId="77777777" w:rsidR="00CD6352" w:rsidRPr="00EA7665" w:rsidRDefault="00CD6352" w:rsidP="00C74AEC">
            <w:pPr>
              <w:pStyle w:val="ListParagraph"/>
              <w:numPr>
                <w:ilvl w:val="0"/>
                <w:numId w:val="161"/>
              </w:numPr>
              <w:spacing w:after="0" w:line="240" w:lineRule="auto"/>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p w14:paraId="1A433F44" w14:textId="77777777" w:rsidR="00CD6352" w:rsidRPr="00EA7665" w:rsidRDefault="00CD6352" w:rsidP="00CD6352">
            <w:pPr>
              <w:rPr>
                <w:rFonts w:ascii="Arial" w:hAnsi="Arial" w:cs="Arial"/>
                <w:sz w:val="16"/>
                <w:szCs w:val="16"/>
              </w:rPr>
            </w:pPr>
          </w:p>
        </w:tc>
        <w:tc>
          <w:tcPr>
            <w:tcW w:w="3081" w:type="dxa"/>
          </w:tcPr>
          <w:p w14:paraId="20DECE39" w14:textId="77777777" w:rsidR="00CD6352" w:rsidRPr="00C95BC5" w:rsidRDefault="00CD6352" w:rsidP="00CD6352">
            <w:pPr>
              <w:rPr>
                <w:rFonts w:ascii="Arial" w:hAnsi="Arial" w:cs="Arial"/>
                <w:b/>
                <w:bCs/>
                <w:sz w:val="16"/>
                <w:szCs w:val="16"/>
              </w:rPr>
            </w:pPr>
            <w:r w:rsidRPr="00C95BC5">
              <w:rPr>
                <w:rFonts w:ascii="Arial" w:hAnsi="Arial" w:cs="Arial"/>
                <w:b/>
                <w:bCs/>
                <w:sz w:val="16"/>
                <w:szCs w:val="16"/>
              </w:rPr>
              <w:t>UK</w:t>
            </w:r>
          </w:p>
          <w:p w14:paraId="1E9A353A" w14:textId="77777777" w:rsidR="00CD6352" w:rsidRPr="00EA7665" w:rsidRDefault="00CD6352" w:rsidP="00C74AEC">
            <w:pPr>
              <w:pStyle w:val="ListParagraph"/>
              <w:numPr>
                <w:ilvl w:val="0"/>
                <w:numId w:val="162"/>
              </w:numPr>
              <w:spacing w:after="0" w:line="240" w:lineRule="auto"/>
              <w:rPr>
                <w:rFonts w:ascii="Arial" w:hAnsi="Arial" w:cs="Arial"/>
                <w:sz w:val="16"/>
                <w:szCs w:val="16"/>
              </w:rPr>
            </w:pPr>
            <w:r w:rsidRPr="00EA7665">
              <w:rPr>
                <w:rFonts w:ascii="Arial" w:hAnsi="Arial" w:cs="Arial"/>
                <w:sz w:val="16"/>
                <w:szCs w:val="16"/>
              </w:rPr>
              <w:t xml:space="preserve">Market intelligence </w:t>
            </w:r>
          </w:p>
          <w:p w14:paraId="1CF8C7B7" w14:textId="77777777" w:rsidR="00CD6352" w:rsidRPr="00EA7665" w:rsidRDefault="00CD6352" w:rsidP="00C74AEC">
            <w:pPr>
              <w:pStyle w:val="ListParagraph"/>
              <w:numPr>
                <w:ilvl w:val="0"/>
                <w:numId w:val="162"/>
              </w:numPr>
              <w:spacing w:after="0" w:line="240" w:lineRule="auto"/>
              <w:rPr>
                <w:rFonts w:ascii="Arial" w:hAnsi="Arial" w:cs="Arial"/>
                <w:sz w:val="16"/>
                <w:szCs w:val="16"/>
              </w:rPr>
            </w:pPr>
            <w:r w:rsidRPr="00EA7665">
              <w:rPr>
                <w:rFonts w:ascii="Arial" w:hAnsi="Arial" w:cs="Arial"/>
                <w:sz w:val="16"/>
                <w:szCs w:val="16"/>
              </w:rPr>
              <w:t>Debt literacy</w:t>
            </w:r>
          </w:p>
          <w:p w14:paraId="0F128290" w14:textId="77777777" w:rsidR="00CD6352" w:rsidRPr="00EA7665" w:rsidRDefault="00CD6352" w:rsidP="00C74AEC">
            <w:pPr>
              <w:pStyle w:val="ListParagraph"/>
              <w:numPr>
                <w:ilvl w:val="0"/>
                <w:numId w:val="162"/>
              </w:numPr>
              <w:spacing w:after="0" w:line="240" w:lineRule="auto"/>
              <w:rPr>
                <w:rFonts w:ascii="Arial" w:hAnsi="Arial" w:cs="Arial"/>
                <w:sz w:val="16"/>
                <w:szCs w:val="16"/>
              </w:rPr>
            </w:pPr>
            <w:r w:rsidRPr="00EA7665">
              <w:rPr>
                <w:rFonts w:ascii="Arial" w:hAnsi="Arial" w:cs="Arial"/>
                <w:sz w:val="16"/>
                <w:szCs w:val="16"/>
              </w:rPr>
              <w:t>Funding sources</w:t>
            </w:r>
          </w:p>
          <w:p w14:paraId="542781F0" w14:textId="77777777" w:rsidR="00CD6352" w:rsidRPr="00EA7665" w:rsidRDefault="00CD6352" w:rsidP="00C74AEC">
            <w:pPr>
              <w:pStyle w:val="ListParagraph"/>
              <w:numPr>
                <w:ilvl w:val="0"/>
                <w:numId w:val="162"/>
              </w:numPr>
              <w:spacing w:after="0" w:line="240" w:lineRule="auto"/>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p w14:paraId="0AB0B3CD" w14:textId="77777777" w:rsidR="00CD6352" w:rsidRPr="00EA7665" w:rsidRDefault="00CD6352" w:rsidP="00C74AEC">
            <w:pPr>
              <w:pStyle w:val="ListParagraph"/>
              <w:numPr>
                <w:ilvl w:val="0"/>
                <w:numId w:val="162"/>
              </w:numPr>
              <w:spacing w:after="0" w:line="240" w:lineRule="auto"/>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tc>
        <w:tc>
          <w:tcPr>
            <w:tcW w:w="3081" w:type="dxa"/>
          </w:tcPr>
          <w:p w14:paraId="37EE6A42" w14:textId="77777777" w:rsidR="00CD6352" w:rsidRPr="00C95BC5" w:rsidRDefault="00CD6352" w:rsidP="00CD6352">
            <w:pPr>
              <w:rPr>
                <w:rFonts w:ascii="Arial" w:hAnsi="Arial" w:cs="Arial"/>
                <w:b/>
                <w:bCs/>
                <w:sz w:val="16"/>
                <w:szCs w:val="16"/>
              </w:rPr>
            </w:pPr>
            <w:r w:rsidRPr="00C95BC5">
              <w:rPr>
                <w:rFonts w:ascii="Arial" w:hAnsi="Arial" w:cs="Arial"/>
                <w:b/>
                <w:bCs/>
                <w:sz w:val="16"/>
                <w:szCs w:val="16"/>
              </w:rPr>
              <w:t>US</w:t>
            </w:r>
          </w:p>
          <w:p w14:paraId="506F34F3" w14:textId="77777777" w:rsidR="00CD6352" w:rsidRPr="00EA7665" w:rsidRDefault="00CD6352" w:rsidP="00C74AEC">
            <w:pPr>
              <w:pStyle w:val="ListParagraph"/>
              <w:numPr>
                <w:ilvl w:val="0"/>
                <w:numId w:val="163"/>
              </w:numPr>
              <w:spacing w:after="0" w:line="240" w:lineRule="auto"/>
              <w:rPr>
                <w:rFonts w:ascii="Arial" w:hAnsi="Arial" w:cs="Arial"/>
                <w:sz w:val="16"/>
                <w:szCs w:val="16"/>
              </w:rPr>
            </w:pPr>
            <w:r w:rsidRPr="00EA7665">
              <w:rPr>
                <w:rFonts w:ascii="Arial" w:hAnsi="Arial" w:cs="Arial"/>
                <w:sz w:val="16"/>
                <w:szCs w:val="16"/>
              </w:rPr>
              <w:t>Debt literacy</w:t>
            </w:r>
          </w:p>
          <w:p w14:paraId="554F3959" w14:textId="77777777" w:rsidR="00CD6352" w:rsidRPr="00EA7665" w:rsidRDefault="00CD6352" w:rsidP="00C74AEC">
            <w:pPr>
              <w:pStyle w:val="ListParagraph"/>
              <w:numPr>
                <w:ilvl w:val="0"/>
                <w:numId w:val="163"/>
              </w:numPr>
              <w:spacing w:after="0" w:line="240" w:lineRule="auto"/>
              <w:rPr>
                <w:rFonts w:ascii="Arial" w:hAnsi="Arial" w:cs="Arial"/>
                <w:sz w:val="16"/>
                <w:szCs w:val="16"/>
              </w:rPr>
            </w:pPr>
            <w:r w:rsidRPr="00EA7665">
              <w:rPr>
                <w:rFonts w:ascii="Arial" w:hAnsi="Arial" w:cs="Arial"/>
                <w:sz w:val="16"/>
                <w:szCs w:val="16"/>
              </w:rPr>
              <w:t>Funding sources</w:t>
            </w:r>
          </w:p>
          <w:p w14:paraId="5B57FAD3" w14:textId="77777777" w:rsidR="00CD6352" w:rsidRPr="00EA7665" w:rsidRDefault="00CD6352" w:rsidP="00C74AEC">
            <w:pPr>
              <w:pStyle w:val="ListParagraph"/>
              <w:numPr>
                <w:ilvl w:val="0"/>
                <w:numId w:val="163"/>
              </w:numPr>
              <w:spacing w:after="0" w:line="240" w:lineRule="auto"/>
              <w:rPr>
                <w:rFonts w:ascii="Arial" w:hAnsi="Arial" w:cs="Arial"/>
                <w:sz w:val="16"/>
                <w:szCs w:val="16"/>
              </w:rPr>
            </w:pPr>
            <w:r w:rsidRPr="00EA7665">
              <w:rPr>
                <w:rFonts w:ascii="Arial" w:hAnsi="Arial" w:cs="Arial"/>
                <w:sz w:val="16"/>
                <w:szCs w:val="16"/>
              </w:rPr>
              <w:t>Finance options</w:t>
            </w:r>
          </w:p>
          <w:p w14:paraId="593E5548" w14:textId="77777777" w:rsidR="00CD6352" w:rsidRPr="00EA7665" w:rsidRDefault="00CD6352" w:rsidP="00C74AEC">
            <w:pPr>
              <w:pStyle w:val="ListParagraph"/>
              <w:numPr>
                <w:ilvl w:val="0"/>
                <w:numId w:val="163"/>
              </w:numPr>
              <w:spacing w:after="0" w:line="240" w:lineRule="auto"/>
              <w:rPr>
                <w:rFonts w:ascii="Arial" w:hAnsi="Arial" w:cs="Arial"/>
                <w:sz w:val="16"/>
                <w:szCs w:val="16"/>
              </w:rPr>
            </w:pPr>
            <w:r w:rsidRPr="00EA7665">
              <w:rPr>
                <w:rFonts w:ascii="Arial" w:hAnsi="Arial" w:cs="Arial"/>
                <w:sz w:val="16"/>
                <w:szCs w:val="16"/>
              </w:rPr>
              <w:t xml:space="preserve">Relevant conventions, agreement, legislation and regulations </w:t>
            </w:r>
          </w:p>
          <w:p w14:paraId="475A82D2" w14:textId="77777777" w:rsidR="00CD6352" w:rsidRPr="00EA7665" w:rsidRDefault="00CD6352" w:rsidP="00C74AEC">
            <w:pPr>
              <w:pStyle w:val="ListParagraph"/>
              <w:numPr>
                <w:ilvl w:val="0"/>
                <w:numId w:val="163"/>
              </w:numPr>
              <w:spacing w:after="0" w:line="240" w:lineRule="auto"/>
              <w:rPr>
                <w:rFonts w:ascii="Arial" w:hAnsi="Arial" w:cs="Arial"/>
                <w:sz w:val="16"/>
                <w:szCs w:val="16"/>
              </w:rPr>
            </w:pPr>
            <w:r w:rsidRPr="00EA7665">
              <w:rPr>
                <w:rFonts w:ascii="Arial" w:hAnsi="Arial" w:cs="Arial"/>
                <w:sz w:val="16"/>
                <w:szCs w:val="16"/>
              </w:rPr>
              <w:t>Market intelligence</w:t>
            </w:r>
          </w:p>
        </w:tc>
      </w:tr>
      <w:tr w:rsidR="00CD6352" w:rsidRPr="00EA7665" w14:paraId="1C268BAC" w14:textId="77777777" w:rsidTr="00CD6352">
        <w:tc>
          <w:tcPr>
            <w:tcW w:w="3080" w:type="dxa"/>
          </w:tcPr>
          <w:p w14:paraId="675E3D42" w14:textId="77777777" w:rsidR="00CD6352" w:rsidRPr="00C95BC5" w:rsidRDefault="00CD6352" w:rsidP="00CD6352">
            <w:pPr>
              <w:rPr>
                <w:rFonts w:ascii="Arial" w:hAnsi="Arial" w:cs="Arial"/>
                <w:b/>
                <w:bCs/>
                <w:sz w:val="16"/>
                <w:szCs w:val="16"/>
              </w:rPr>
            </w:pPr>
            <w:r w:rsidRPr="00C95BC5">
              <w:rPr>
                <w:rFonts w:ascii="Arial" w:hAnsi="Arial" w:cs="Arial"/>
                <w:b/>
                <w:bCs/>
                <w:sz w:val="16"/>
                <w:szCs w:val="16"/>
              </w:rPr>
              <w:t>China</w:t>
            </w:r>
          </w:p>
          <w:p w14:paraId="2560F6B4" w14:textId="77777777" w:rsidR="00CD6352" w:rsidRPr="00EA7665" w:rsidRDefault="00CD6352" w:rsidP="00C74AEC">
            <w:pPr>
              <w:pStyle w:val="ListParagraph"/>
              <w:numPr>
                <w:ilvl w:val="0"/>
                <w:numId w:val="164"/>
              </w:numPr>
              <w:spacing w:after="0" w:line="240" w:lineRule="auto"/>
              <w:rPr>
                <w:rFonts w:ascii="Arial" w:hAnsi="Arial" w:cs="Arial"/>
                <w:sz w:val="16"/>
                <w:szCs w:val="16"/>
              </w:rPr>
            </w:pPr>
            <w:r w:rsidRPr="00EA7665">
              <w:rPr>
                <w:rFonts w:ascii="Arial" w:hAnsi="Arial" w:cs="Arial"/>
                <w:sz w:val="16"/>
                <w:szCs w:val="16"/>
              </w:rPr>
              <w:t xml:space="preserve">Relevant conventions, agreement, legislation and regulations </w:t>
            </w:r>
          </w:p>
          <w:p w14:paraId="13E5162F" w14:textId="77777777" w:rsidR="00CD6352" w:rsidRPr="00EA7665" w:rsidRDefault="00CD6352" w:rsidP="00C74AEC">
            <w:pPr>
              <w:pStyle w:val="ListParagraph"/>
              <w:numPr>
                <w:ilvl w:val="0"/>
                <w:numId w:val="164"/>
              </w:numPr>
              <w:spacing w:after="0" w:line="240" w:lineRule="auto"/>
              <w:rPr>
                <w:rFonts w:ascii="Arial" w:hAnsi="Arial" w:cs="Arial"/>
                <w:sz w:val="16"/>
                <w:szCs w:val="16"/>
              </w:rPr>
            </w:pPr>
            <w:r w:rsidRPr="00EA7665">
              <w:rPr>
                <w:rFonts w:ascii="Arial" w:hAnsi="Arial" w:cs="Arial"/>
                <w:sz w:val="16"/>
                <w:szCs w:val="16"/>
              </w:rPr>
              <w:t>Contingency approach</w:t>
            </w:r>
          </w:p>
          <w:p w14:paraId="5690C4CB" w14:textId="77777777" w:rsidR="00CD6352" w:rsidRPr="00EA7665" w:rsidRDefault="00CD6352" w:rsidP="00C74AEC">
            <w:pPr>
              <w:pStyle w:val="ListParagraph"/>
              <w:numPr>
                <w:ilvl w:val="0"/>
                <w:numId w:val="164"/>
              </w:numPr>
              <w:spacing w:after="0" w:line="240" w:lineRule="auto"/>
              <w:rPr>
                <w:rFonts w:ascii="Arial" w:hAnsi="Arial" w:cs="Arial"/>
                <w:sz w:val="16"/>
                <w:szCs w:val="16"/>
              </w:rPr>
            </w:pPr>
            <w:r w:rsidRPr="00EA7665">
              <w:rPr>
                <w:rFonts w:ascii="Arial" w:hAnsi="Arial" w:cs="Arial"/>
                <w:sz w:val="16"/>
                <w:szCs w:val="16"/>
              </w:rPr>
              <w:t>Principles of risk and diversification</w:t>
            </w:r>
          </w:p>
          <w:p w14:paraId="0ADA70AC" w14:textId="77777777" w:rsidR="00CD6352" w:rsidRPr="00EA7665" w:rsidRDefault="00CD6352" w:rsidP="00C74AEC">
            <w:pPr>
              <w:pStyle w:val="ListParagraph"/>
              <w:numPr>
                <w:ilvl w:val="0"/>
                <w:numId w:val="164"/>
              </w:numPr>
              <w:spacing w:after="0" w:line="240" w:lineRule="auto"/>
              <w:rPr>
                <w:rFonts w:ascii="Arial" w:hAnsi="Arial" w:cs="Arial"/>
                <w:sz w:val="16"/>
                <w:szCs w:val="16"/>
              </w:rPr>
            </w:pPr>
            <w:r w:rsidRPr="00EA7665">
              <w:rPr>
                <w:rFonts w:ascii="Arial" w:hAnsi="Arial" w:cs="Arial"/>
                <w:sz w:val="16"/>
                <w:szCs w:val="16"/>
              </w:rPr>
              <w:t>Process and governance for cost management</w:t>
            </w:r>
          </w:p>
          <w:p w14:paraId="7921308D" w14:textId="77777777" w:rsidR="00CD6352" w:rsidRPr="00EA7665" w:rsidRDefault="00CD6352" w:rsidP="00C74AEC">
            <w:pPr>
              <w:pStyle w:val="ListParagraph"/>
              <w:numPr>
                <w:ilvl w:val="0"/>
                <w:numId w:val="164"/>
              </w:numPr>
              <w:spacing w:after="0" w:line="240" w:lineRule="auto"/>
              <w:rPr>
                <w:rFonts w:ascii="Arial" w:hAnsi="Arial" w:cs="Arial"/>
                <w:sz w:val="16"/>
                <w:szCs w:val="16"/>
              </w:rPr>
            </w:pPr>
            <w:r w:rsidRPr="00EA7665">
              <w:rPr>
                <w:rFonts w:ascii="Arial" w:hAnsi="Arial" w:cs="Arial"/>
                <w:sz w:val="16"/>
                <w:szCs w:val="16"/>
              </w:rPr>
              <w:t>Fundamental concepts of economics &amp; finance ( e.g. calculation of interest rate &amp; inflation)</w:t>
            </w:r>
          </w:p>
          <w:p w14:paraId="095088A9" w14:textId="77777777" w:rsidR="00CD6352" w:rsidRPr="00EA7665" w:rsidRDefault="00CD6352" w:rsidP="00CD6352">
            <w:pPr>
              <w:rPr>
                <w:rFonts w:ascii="Arial" w:hAnsi="Arial" w:cs="Arial"/>
                <w:sz w:val="16"/>
                <w:szCs w:val="16"/>
              </w:rPr>
            </w:pPr>
          </w:p>
        </w:tc>
        <w:tc>
          <w:tcPr>
            <w:tcW w:w="3081" w:type="dxa"/>
          </w:tcPr>
          <w:p w14:paraId="7197838C" w14:textId="77777777" w:rsidR="00CD6352" w:rsidRPr="00C95BC5" w:rsidRDefault="00CD6352" w:rsidP="00CD6352">
            <w:pPr>
              <w:rPr>
                <w:rFonts w:ascii="Arial" w:hAnsi="Arial" w:cs="Arial"/>
                <w:b/>
                <w:bCs/>
                <w:sz w:val="16"/>
                <w:szCs w:val="16"/>
              </w:rPr>
            </w:pPr>
            <w:r w:rsidRPr="00C95BC5">
              <w:rPr>
                <w:rFonts w:ascii="Arial" w:hAnsi="Arial" w:cs="Arial"/>
                <w:b/>
                <w:bCs/>
                <w:sz w:val="16"/>
                <w:szCs w:val="16"/>
              </w:rPr>
              <w:t>Nigeria</w:t>
            </w:r>
          </w:p>
          <w:p w14:paraId="5C9E8EFD" w14:textId="77777777" w:rsidR="00CD6352" w:rsidRPr="00EA7665" w:rsidRDefault="00CD6352" w:rsidP="00C74AEC">
            <w:pPr>
              <w:pStyle w:val="ListParagraph"/>
              <w:numPr>
                <w:ilvl w:val="0"/>
                <w:numId w:val="165"/>
              </w:numPr>
              <w:spacing w:after="0" w:line="240" w:lineRule="auto"/>
              <w:rPr>
                <w:rFonts w:ascii="Arial" w:hAnsi="Arial" w:cs="Arial"/>
                <w:sz w:val="16"/>
                <w:szCs w:val="16"/>
              </w:rPr>
            </w:pPr>
            <w:r w:rsidRPr="00EA7665">
              <w:rPr>
                <w:rFonts w:ascii="Arial" w:hAnsi="Arial" w:cs="Arial"/>
                <w:sz w:val="16"/>
                <w:szCs w:val="16"/>
              </w:rPr>
              <w:t>Funding sources</w:t>
            </w:r>
          </w:p>
          <w:p w14:paraId="49E066F0" w14:textId="77777777" w:rsidR="00CD6352" w:rsidRPr="00EA7665" w:rsidRDefault="00CD6352" w:rsidP="00C74AEC">
            <w:pPr>
              <w:pStyle w:val="ListParagraph"/>
              <w:numPr>
                <w:ilvl w:val="0"/>
                <w:numId w:val="165"/>
              </w:numPr>
              <w:spacing w:after="0" w:line="240" w:lineRule="auto"/>
              <w:rPr>
                <w:rFonts w:ascii="Arial" w:hAnsi="Arial" w:cs="Arial"/>
                <w:sz w:val="16"/>
                <w:szCs w:val="16"/>
              </w:rPr>
            </w:pPr>
            <w:r w:rsidRPr="00EA7665">
              <w:rPr>
                <w:rFonts w:ascii="Arial" w:hAnsi="Arial" w:cs="Arial"/>
                <w:sz w:val="16"/>
                <w:szCs w:val="16"/>
              </w:rPr>
              <w:t xml:space="preserve">Market intelligence </w:t>
            </w:r>
          </w:p>
          <w:p w14:paraId="40D9D5A9" w14:textId="77777777" w:rsidR="00CD6352" w:rsidRPr="00EA7665" w:rsidRDefault="00CD6352" w:rsidP="00C74AEC">
            <w:pPr>
              <w:pStyle w:val="ListParagraph"/>
              <w:numPr>
                <w:ilvl w:val="0"/>
                <w:numId w:val="165"/>
              </w:numPr>
              <w:spacing w:after="0" w:line="240" w:lineRule="auto"/>
              <w:rPr>
                <w:rFonts w:ascii="Arial" w:hAnsi="Arial" w:cs="Arial"/>
                <w:sz w:val="16"/>
                <w:szCs w:val="16"/>
              </w:rPr>
            </w:pPr>
            <w:r w:rsidRPr="00EA7665">
              <w:rPr>
                <w:rFonts w:ascii="Arial" w:hAnsi="Arial" w:cs="Arial"/>
                <w:sz w:val="16"/>
                <w:szCs w:val="16"/>
              </w:rPr>
              <w:t xml:space="preserve">Financial accounting basics </w:t>
            </w:r>
          </w:p>
          <w:p w14:paraId="7FE69161" w14:textId="77777777" w:rsidR="00CD6352" w:rsidRPr="00EA7665" w:rsidRDefault="00CD6352" w:rsidP="00C74AEC">
            <w:pPr>
              <w:pStyle w:val="ListParagraph"/>
              <w:numPr>
                <w:ilvl w:val="0"/>
                <w:numId w:val="165"/>
              </w:numPr>
              <w:spacing w:after="0" w:line="240" w:lineRule="auto"/>
              <w:rPr>
                <w:rFonts w:ascii="Arial" w:hAnsi="Arial" w:cs="Arial"/>
                <w:sz w:val="16"/>
                <w:szCs w:val="16"/>
              </w:rPr>
            </w:pPr>
            <w:r w:rsidRPr="00EA7665">
              <w:rPr>
                <w:rFonts w:ascii="Arial" w:hAnsi="Arial" w:cs="Arial"/>
                <w:sz w:val="16"/>
                <w:szCs w:val="16"/>
              </w:rPr>
              <w:t>Financial management concepts &amp; terms such as ( cash flow, debt – asset ratio, return on investment &amp; rate of return)</w:t>
            </w:r>
          </w:p>
          <w:p w14:paraId="4B642009" w14:textId="1E767997" w:rsidR="00CD6352" w:rsidRPr="00EA7665" w:rsidRDefault="00CD6352" w:rsidP="00C74AEC">
            <w:pPr>
              <w:pStyle w:val="ListParagraph"/>
              <w:numPr>
                <w:ilvl w:val="0"/>
                <w:numId w:val="165"/>
              </w:numPr>
              <w:spacing w:after="0" w:line="240" w:lineRule="auto"/>
              <w:rPr>
                <w:rFonts w:ascii="Arial" w:hAnsi="Arial" w:cs="Arial"/>
                <w:sz w:val="16"/>
                <w:szCs w:val="16"/>
              </w:rPr>
            </w:pPr>
            <w:r w:rsidRPr="00EA7665">
              <w:rPr>
                <w:rFonts w:ascii="Arial" w:hAnsi="Arial" w:cs="Arial"/>
                <w:sz w:val="16"/>
                <w:szCs w:val="16"/>
              </w:rPr>
              <w:t xml:space="preserve">Fundamental concepts of economics &amp; finance </w:t>
            </w:r>
            <w:r w:rsidR="00AD64EE" w:rsidRPr="00EA7665">
              <w:rPr>
                <w:rFonts w:ascii="Arial" w:hAnsi="Arial" w:cs="Arial"/>
                <w:sz w:val="16"/>
                <w:szCs w:val="16"/>
              </w:rPr>
              <w:t>(e.g.</w:t>
            </w:r>
            <w:r w:rsidRPr="00EA7665">
              <w:rPr>
                <w:rFonts w:ascii="Arial" w:hAnsi="Arial" w:cs="Arial"/>
                <w:sz w:val="16"/>
                <w:szCs w:val="16"/>
              </w:rPr>
              <w:t xml:space="preserve"> calculation of interest rate &amp; inflation)</w:t>
            </w:r>
          </w:p>
        </w:tc>
        <w:tc>
          <w:tcPr>
            <w:tcW w:w="3081" w:type="dxa"/>
          </w:tcPr>
          <w:p w14:paraId="5B2DE564" w14:textId="77777777" w:rsidR="00CD6352" w:rsidRPr="00C95BC5" w:rsidRDefault="00CD6352" w:rsidP="00CD6352">
            <w:pPr>
              <w:rPr>
                <w:rFonts w:ascii="Arial" w:hAnsi="Arial" w:cs="Arial"/>
                <w:b/>
                <w:bCs/>
                <w:sz w:val="16"/>
                <w:szCs w:val="16"/>
              </w:rPr>
            </w:pPr>
            <w:r w:rsidRPr="00C95BC5">
              <w:rPr>
                <w:rFonts w:ascii="Arial" w:hAnsi="Arial" w:cs="Arial"/>
                <w:b/>
                <w:bCs/>
                <w:sz w:val="16"/>
                <w:szCs w:val="16"/>
              </w:rPr>
              <w:t>South Africa</w:t>
            </w:r>
          </w:p>
          <w:p w14:paraId="0AC60B4B" w14:textId="77777777" w:rsidR="00CD6352" w:rsidRPr="00EA7665" w:rsidRDefault="00CD6352" w:rsidP="00C74AEC">
            <w:pPr>
              <w:pStyle w:val="ListParagraph"/>
              <w:numPr>
                <w:ilvl w:val="0"/>
                <w:numId w:val="166"/>
              </w:numPr>
              <w:spacing w:after="0" w:line="240" w:lineRule="auto"/>
              <w:rPr>
                <w:rFonts w:ascii="Arial" w:hAnsi="Arial" w:cs="Arial"/>
                <w:sz w:val="16"/>
                <w:szCs w:val="16"/>
              </w:rPr>
            </w:pPr>
            <w:r w:rsidRPr="00EA7665">
              <w:rPr>
                <w:rFonts w:ascii="Arial" w:hAnsi="Arial" w:cs="Arial"/>
                <w:sz w:val="16"/>
                <w:szCs w:val="16"/>
              </w:rPr>
              <w:t>Funding sources</w:t>
            </w:r>
          </w:p>
          <w:p w14:paraId="6AABE72D" w14:textId="77777777" w:rsidR="00CD6352" w:rsidRPr="00EA7665" w:rsidRDefault="00CD6352" w:rsidP="00C74AEC">
            <w:pPr>
              <w:pStyle w:val="ListParagraph"/>
              <w:numPr>
                <w:ilvl w:val="0"/>
                <w:numId w:val="166"/>
              </w:numPr>
              <w:spacing w:after="0" w:line="240" w:lineRule="auto"/>
              <w:rPr>
                <w:rFonts w:ascii="Arial" w:hAnsi="Arial" w:cs="Arial"/>
                <w:sz w:val="16"/>
                <w:szCs w:val="16"/>
              </w:rPr>
            </w:pPr>
            <w:r w:rsidRPr="00EA7665">
              <w:rPr>
                <w:rFonts w:ascii="Arial" w:hAnsi="Arial" w:cs="Arial"/>
                <w:sz w:val="16"/>
                <w:szCs w:val="16"/>
              </w:rPr>
              <w:t xml:space="preserve">Market intelligence </w:t>
            </w:r>
          </w:p>
          <w:p w14:paraId="5FD0AC9F" w14:textId="77777777" w:rsidR="00CD6352" w:rsidRPr="00EA7665" w:rsidRDefault="00CD6352" w:rsidP="00C74AEC">
            <w:pPr>
              <w:pStyle w:val="ListParagraph"/>
              <w:numPr>
                <w:ilvl w:val="0"/>
                <w:numId w:val="166"/>
              </w:numPr>
              <w:spacing w:after="0" w:line="240" w:lineRule="auto"/>
              <w:rPr>
                <w:rFonts w:ascii="Arial" w:hAnsi="Arial" w:cs="Arial"/>
                <w:sz w:val="16"/>
                <w:szCs w:val="16"/>
              </w:rPr>
            </w:pPr>
            <w:r w:rsidRPr="00EA7665">
              <w:rPr>
                <w:rFonts w:ascii="Arial" w:hAnsi="Arial" w:cs="Arial"/>
                <w:sz w:val="16"/>
                <w:szCs w:val="16"/>
              </w:rPr>
              <w:t>Finance options</w:t>
            </w:r>
          </w:p>
          <w:p w14:paraId="637B3297" w14:textId="15BC3E61" w:rsidR="00CD6352" w:rsidRPr="00EA7665" w:rsidRDefault="00CD6352" w:rsidP="00C74AEC">
            <w:pPr>
              <w:pStyle w:val="ListParagraph"/>
              <w:numPr>
                <w:ilvl w:val="0"/>
                <w:numId w:val="166"/>
              </w:numPr>
              <w:spacing w:after="0" w:line="240" w:lineRule="auto"/>
              <w:rPr>
                <w:rFonts w:ascii="Arial" w:hAnsi="Arial" w:cs="Arial"/>
                <w:sz w:val="16"/>
                <w:szCs w:val="16"/>
              </w:rPr>
            </w:pPr>
            <w:r w:rsidRPr="00EA7665">
              <w:rPr>
                <w:rFonts w:ascii="Arial" w:hAnsi="Arial" w:cs="Arial"/>
                <w:sz w:val="16"/>
                <w:szCs w:val="16"/>
              </w:rPr>
              <w:t xml:space="preserve">Strategies for managing risks and </w:t>
            </w:r>
            <w:r w:rsidR="00AD64EE" w:rsidRPr="00EA7665">
              <w:rPr>
                <w:rFonts w:ascii="Arial" w:hAnsi="Arial" w:cs="Arial"/>
                <w:sz w:val="16"/>
                <w:szCs w:val="16"/>
              </w:rPr>
              <w:t>uncertainty.</w:t>
            </w:r>
          </w:p>
          <w:p w14:paraId="0850BB1A" w14:textId="77777777" w:rsidR="00CD6352" w:rsidRPr="00EA7665" w:rsidRDefault="00CD6352" w:rsidP="00C74AEC">
            <w:pPr>
              <w:pStyle w:val="ListParagraph"/>
              <w:numPr>
                <w:ilvl w:val="0"/>
                <w:numId w:val="166"/>
              </w:numPr>
              <w:spacing w:after="0" w:line="240" w:lineRule="auto"/>
              <w:rPr>
                <w:rFonts w:ascii="Arial" w:hAnsi="Arial" w:cs="Arial"/>
                <w:sz w:val="16"/>
                <w:szCs w:val="16"/>
              </w:rPr>
            </w:pPr>
            <w:r w:rsidRPr="00EA7665">
              <w:rPr>
                <w:rFonts w:ascii="Arial" w:hAnsi="Arial" w:cs="Arial"/>
                <w:sz w:val="16"/>
                <w:szCs w:val="16"/>
              </w:rPr>
              <w:t>Risks and opportunities response strategies and plan</w:t>
            </w:r>
          </w:p>
        </w:tc>
      </w:tr>
    </w:tbl>
    <w:p w14:paraId="0DC8F3F1" w14:textId="574B480D" w:rsidR="00CD6352" w:rsidRDefault="00CD6352" w:rsidP="00CD6352"/>
    <w:p w14:paraId="71432FB4" w14:textId="77777777" w:rsidR="00CD6352" w:rsidRPr="00EA7665" w:rsidRDefault="00CD6352" w:rsidP="00CD6352"/>
    <w:p w14:paraId="3989ED59" w14:textId="58109B16" w:rsidR="00CD6352" w:rsidRPr="007B0F33" w:rsidRDefault="00CD6352" w:rsidP="00CD6352">
      <w:pPr>
        <w:pStyle w:val="Heading3"/>
        <w:rPr>
          <w:sz w:val="22"/>
          <w:szCs w:val="22"/>
        </w:rPr>
      </w:pPr>
      <w:bookmarkStart w:id="1344" w:name="_Toc78983904"/>
      <w:bookmarkStart w:id="1345" w:name="_Hlk45718037"/>
      <w:r w:rsidRPr="007B0F33">
        <w:rPr>
          <w:sz w:val="22"/>
          <w:szCs w:val="22"/>
        </w:rPr>
        <w:t>The relationship between management level and the</w:t>
      </w:r>
      <w:r>
        <w:rPr>
          <w:sz w:val="22"/>
          <w:szCs w:val="22"/>
        </w:rPr>
        <w:t xml:space="preserve"> degree of importance </w:t>
      </w:r>
      <w:r w:rsidR="0083038C">
        <w:rPr>
          <w:sz w:val="22"/>
          <w:szCs w:val="22"/>
        </w:rPr>
        <w:t xml:space="preserve">of </w:t>
      </w:r>
      <w:r w:rsidR="0083038C" w:rsidRPr="007B0F33">
        <w:rPr>
          <w:sz w:val="22"/>
          <w:szCs w:val="22"/>
        </w:rPr>
        <w:t>knowledge</w:t>
      </w:r>
      <w:r w:rsidRPr="007B0F33">
        <w:rPr>
          <w:sz w:val="22"/>
          <w:szCs w:val="22"/>
        </w:rPr>
        <w:t xml:space="preserve"> for securing finance for real estate project </w:t>
      </w:r>
      <w:r w:rsidR="00AD64EE" w:rsidRPr="007B0F33">
        <w:rPr>
          <w:sz w:val="22"/>
          <w:szCs w:val="22"/>
        </w:rPr>
        <w:t>development.</w:t>
      </w:r>
      <w:bookmarkEnd w:id="1344"/>
    </w:p>
    <w:bookmarkEnd w:id="1345"/>
    <w:p w14:paraId="710B7656" w14:textId="44A40E62" w:rsidR="00CD6352" w:rsidRPr="00EA7665" w:rsidRDefault="00CD6352" w:rsidP="002B04F1">
      <w:pPr>
        <w:pStyle w:val="Caption"/>
        <w:keepNext/>
      </w:pPr>
      <w:r w:rsidRPr="007B0F33">
        <w:rPr>
          <w:rFonts w:ascii="Arial" w:hAnsi="Arial" w:cs="Arial"/>
        </w:rPr>
        <w:t xml:space="preserve"> </w:t>
      </w:r>
    </w:p>
    <w:p w14:paraId="5FC7B2D5" w14:textId="0A8C0F24" w:rsidR="00CD6352" w:rsidRDefault="005C3CF0" w:rsidP="00CD6352">
      <w:pPr>
        <w:spacing w:line="360" w:lineRule="auto"/>
        <w:rPr>
          <w:rFonts w:ascii="Arial" w:hAnsi="Arial" w:cs="Arial"/>
        </w:rPr>
      </w:pPr>
      <w:r w:rsidRPr="003A0D86">
        <w:rPr>
          <w:rFonts w:ascii="Arial" w:hAnsi="Arial" w:cs="Arial"/>
        </w:rPr>
        <w:t>Appendix 1 table 8</w:t>
      </w:r>
      <w:r w:rsidR="00CD6352" w:rsidRPr="003A0D86">
        <w:rPr>
          <w:rFonts w:ascii="Arial" w:hAnsi="Arial" w:cs="Arial"/>
        </w:rPr>
        <w:t xml:space="preserve"> shows that there is a strong positive correlation between the level of management and some financial knowledge sets for securing finance for real estate project development. The strong correlation shows that as managers tend towards lower</w:t>
      </w:r>
      <w:r w:rsidR="00CD6352">
        <w:rPr>
          <w:rFonts w:ascii="Arial" w:hAnsi="Arial" w:cs="Arial"/>
        </w:rPr>
        <w:t xml:space="preserve"> </w:t>
      </w:r>
      <w:r w:rsidR="00C95BC5">
        <w:rPr>
          <w:rFonts w:ascii="Arial" w:hAnsi="Arial" w:cs="Arial"/>
        </w:rPr>
        <w:t>management,</w:t>
      </w:r>
      <w:r w:rsidR="00CD6352">
        <w:rPr>
          <w:rFonts w:ascii="Arial" w:hAnsi="Arial" w:cs="Arial"/>
        </w:rPr>
        <w:t xml:space="preserve"> it is significantly more important for them to have knowledge of strategies for managing risks and uncertainty, risks and opportunity response strategies and plan, and techniques and conditions for loan effectiveness when securing finance for project development. However, the table shows </w:t>
      </w:r>
      <w:r w:rsidR="00C95BC5">
        <w:rPr>
          <w:rFonts w:ascii="Arial" w:hAnsi="Arial" w:cs="Arial"/>
        </w:rPr>
        <w:t>a weak</w:t>
      </w:r>
      <w:r w:rsidR="00CD6352">
        <w:rPr>
          <w:rFonts w:ascii="Arial" w:hAnsi="Arial" w:cs="Arial"/>
        </w:rPr>
        <w:t xml:space="preserve"> correlation coefficient between management level and knowledge sets such as funding sources, financial management concepts, market intelligence, finance options, fundamental concepts of economics &amp; finance and cost calculation techniques.</w:t>
      </w:r>
    </w:p>
    <w:p w14:paraId="292DDFC5" w14:textId="3CA74933" w:rsidR="003F5DD5" w:rsidRPr="00B13DB5" w:rsidRDefault="003F5DD5" w:rsidP="00CD6352">
      <w:pPr>
        <w:spacing w:line="360" w:lineRule="auto"/>
        <w:rPr>
          <w:rFonts w:ascii="Arial" w:hAnsi="Arial" w:cs="Arial"/>
        </w:rPr>
      </w:pPr>
      <w:r>
        <w:rPr>
          <w:rFonts w:ascii="Arial" w:hAnsi="Arial" w:cs="Arial"/>
        </w:rPr>
        <w:lastRenderedPageBreak/>
        <w:t xml:space="preserve">The next segment is the findings from the semi-structured </w:t>
      </w:r>
      <w:r w:rsidR="00FB03A3">
        <w:rPr>
          <w:rFonts w:ascii="Arial" w:hAnsi="Arial" w:cs="Arial"/>
        </w:rPr>
        <w:t>interviews,</w:t>
      </w:r>
      <w:r>
        <w:rPr>
          <w:rFonts w:ascii="Arial" w:hAnsi="Arial" w:cs="Arial"/>
        </w:rPr>
        <w:t xml:space="preserve"> and this is expected to provide some depth to the findings from the questionnaire survey.</w:t>
      </w:r>
    </w:p>
    <w:p w14:paraId="0B247D4F" w14:textId="347C81D0" w:rsidR="00CD6352" w:rsidRPr="00EA7665" w:rsidRDefault="00CD6352" w:rsidP="00CD6352">
      <w:pPr>
        <w:pStyle w:val="Heading3"/>
        <w:rPr>
          <w:sz w:val="22"/>
          <w:szCs w:val="22"/>
        </w:rPr>
      </w:pPr>
      <w:bookmarkStart w:id="1346" w:name="_Toc78983905"/>
      <w:r w:rsidRPr="00EA7665">
        <w:rPr>
          <w:sz w:val="22"/>
          <w:szCs w:val="22"/>
        </w:rPr>
        <w:t>Manage</w:t>
      </w:r>
      <w:r>
        <w:rPr>
          <w:sz w:val="22"/>
          <w:szCs w:val="22"/>
        </w:rPr>
        <w:t>ment</w:t>
      </w:r>
      <w:r w:rsidRPr="00EA7665">
        <w:rPr>
          <w:sz w:val="22"/>
          <w:szCs w:val="22"/>
        </w:rPr>
        <w:t xml:space="preserve"> knowledge for securing finance for real estate project development</w:t>
      </w:r>
      <w:r w:rsidR="00CD6297">
        <w:rPr>
          <w:sz w:val="22"/>
          <w:szCs w:val="22"/>
        </w:rPr>
        <w:t>: Semi</w:t>
      </w:r>
      <w:r w:rsidR="001B7EA6">
        <w:rPr>
          <w:sz w:val="22"/>
          <w:szCs w:val="22"/>
        </w:rPr>
        <w:t>-</w:t>
      </w:r>
      <w:r w:rsidR="00CD6297">
        <w:rPr>
          <w:sz w:val="22"/>
          <w:szCs w:val="22"/>
        </w:rPr>
        <w:t>structured interview analysis &amp; discussion at</w:t>
      </w:r>
      <w:r w:rsidRPr="00EA7665">
        <w:rPr>
          <w:sz w:val="22"/>
          <w:szCs w:val="22"/>
        </w:rPr>
        <w:t xml:space="preserve"> the disaggrega</w:t>
      </w:r>
      <w:r>
        <w:rPr>
          <w:sz w:val="22"/>
          <w:szCs w:val="22"/>
        </w:rPr>
        <w:t>te</w:t>
      </w:r>
      <w:r w:rsidRPr="00EA7665">
        <w:rPr>
          <w:sz w:val="22"/>
          <w:szCs w:val="22"/>
        </w:rPr>
        <w:t xml:space="preserve"> </w:t>
      </w:r>
      <w:r w:rsidR="00DA6EE1" w:rsidRPr="00EA7665">
        <w:rPr>
          <w:sz w:val="22"/>
          <w:szCs w:val="22"/>
        </w:rPr>
        <w:t>level.</w:t>
      </w:r>
      <w:bookmarkEnd w:id="1346"/>
    </w:p>
    <w:p w14:paraId="11E7F0B5" w14:textId="77777777" w:rsidR="00CD6352" w:rsidRPr="00EA7665" w:rsidRDefault="00CD6352" w:rsidP="00CD6352"/>
    <w:p w14:paraId="0A09FB4A" w14:textId="278CD4EB" w:rsidR="00CD6352" w:rsidRPr="00EA7665" w:rsidRDefault="00CD6352" w:rsidP="00CD6352">
      <w:pPr>
        <w:spacing w:line="360" w:lineRule="auto"/>
        <w:jc w:val="both"/>
        <w:rPr>
          <w:rFonts w:ascii="Arial" w:hAnsi="Arial" w:cs="Arial"/>
        </w:rPr>
      </w:pPr>
      <w:r w:rsidRPr="00EA7665">
        <w:rPr>
          <w:rFonts w:ascii="Arial" w:hAnsi="Arial" w:cs="Arial"/>
        </w:rPr>
        <w:t xml:space="preserve">The findings from the semi-structured </w:t>
      </w:r>
      <w:r>
        <w:rPr>
          <w:rFonts w:ascii="Arial" w:hAnsi="Arial" w:cs="Arial"/>
        </w:rPr>
        <w:t>interviews</w:t>
      </w:r>
      <w:r w:rsidRPr="00EA7665">
        <w:rPr>
          <w:rFonts w:ascii="Arial" w:hAnsi="Arial" w:cs="Arial"/>
        </w:rPr>
        <w:t xml:space="preserve"> also provi</w:t>
      </w:r>
      <w:r>
        <w:rPr>
          <w:rFonts w:ascii="Arial" w:hAnsi="Arial" w:cs="Arial"/>
        </w:rPr>
        <w:t>de</w:t>
      </w:r>
      <w:r w:rsidRPr="00EA7665">
        <w:rPr>
          <w:rFonts w:ascii="Arial" w:hAnsi="Arial" w:cs="Arial"/>
        </w:rPr>
        <w:t xml:space="preserve"> some insights into management knowledge for securing finance for real estate project development in addition to the f</w:t>
      </w:r>
      <w:r>
        <w:rPr>
          <w:rFonts w:ascii="Arial" w:hAnsi="Arial" w:cs="Arial"/>
        </w:rPr>
        <w:t>indings</w:t>
      </w:r>
      <w:r w:rsidRPr="00EA7665">
        <w:rPr>
          <w:rFonts w:ascii="Arial" w:hAnsi="Arial" w:cs="Arial"/>
        </w:rPr>
        <w:t xml:space="preserve"> from the questionnaire sur</w:t>
      </w:r>
      <w:r>
        <w:rPr>
          <w:rFonts w:ascii="Arial" w:hAnsi="Arial" w:cs="Arial"/>
        </w:rPr>
        <w:t>veys</w:t>
      </w:r>
      <w:r w:rsidRPr="00EA7665">
        <w:rPr>
          <w:rFonts w:ascii="Arial" w:hAnsi="Arial" w:cs="Arial"/>
        </w:rPr>
        <w:t xml:space="preserve">. The semi-structured interviews </w:t>
      </w:r>
      <w:r>
        <w:rPr>
          <w:rFonts w:ascii="Arial" w:hAnsi="Arial" w:cs="Arial"/>
        </w:rPr>
        <w:t>provide</w:t>
      </w:r>
      <w:r w:rsidRPr="00EA7665">
        <w:rPr>
          <w:rFonts w:ascii="Arial" w:hAnsi="Arial" w:cs="Arial"/>
        </w:rPr>
        <w:t xml:space="preserve"> answers to the following </w:t>
      </w:r>
      <w:r w:rsidR="004017EC" w:rsidRPr="00EA7665">
        <w:rPr>
          <w:rFonts w:ascii="Arial" w:hAnsi="Arial" w:cs="Arial"/>
        </w:rPr>
        <w:t>questions:</w:t>
      </w:r>
    </w:p>
    <w:p w14:paraId="3BFA0DD1" w14:textId="77777777" w:rsidR="00CD6352" w:rsidRPr="00EA7665" w:rsidRDefault="00CD6352" w:rsidP="00C74AEC">
      <w:pPr>
        <w:pStyle w:val="ListParagraph"/>
        <w:numPr>
          <w:ilvl w:val="0"/>
          <w:numId w:val="167"/>
        </w:numPr>
        <w:spacing w:line="360" w:lineRule="auto"/>
        <w:jc w:val="both"/>
        <w:rPr>
          <w:rFonts w:ascii="Arial" w:hAnsi="Arial" w:cs="Arial"/>
        </w:rPr>
      </w:pPr>
      <w:r w:rsidRPr="00EA7665">
        <w:rPr>
          <w:rFonts w:ascii="Arial" w:hAnsi="Arial" w:cs="Arial"/>
        </w:rPr>
        <w:t>What knowledge do you have that facilitates your ability to secure finance for your real estate project development?</w:t>
      </w:r>
    </w:p>
    <w:p w14:paraId="02F0CCCB" w14:textId="77777777" w:rsidR="00CD6352" w:rsidRPr="00EA7665" w:rsidRDefault="00CD6352" w:rsidP="00C74AEC">
      <w:pPr>
        <w:pStyle w:val="ListParagraph"/>
        <w:numPr>
          <w:ilvl w:val="0"/>
          <w:numId w:val="167"/>
        </w:numPr>
        <w:spacing w:line="360" w:lineRule="auto"/>
        <w:jc w:val="both"/>
        <w:rPr>
          <w:rFonts w:ascii="Arial" w:hAnsi="Arial" w:cs="Arial"/>
        </w:rPr>
      </w:pPr>
      <w:r w:rsidRPr="00EA7665">
        <w:rPr>
          <w:rFonts w:ascii="Arial" w:hAnsi="Arial" w:cs="Arial"/>
        </w:rPr>
        <w:t>What knowledge do you need to secure finance for your real estate project development that you do not presently have?</w:t>
      </w:r>
    </w:p>
    <w:p w14:paraId="6AED2E42" w14:textId="30A59D76" w:rsidR="00CD6352" w:rsidRPr="00EA7665" w:rsidRDefault="00CD6352" w:rsidP="00C74AEC">
      <w:pPr>
        <w:pStyle w:val="ListParagraph"/>
        <w:numPr>
          <w:ilvl w:val="0"/>
          <w:numId w:val="167"/>
        </w:numPr>
        <w:spacing w:line="360" w:lineRule="auto"/>
        <w:jc w:val="both"/>
        <w:rPr>
          <w:rFonts w:ascii="Arial" w:hAnsi="Arial" w:cs="Arial"/>
        </w:rPr>
      </w:pPr>
      <w:r w:rsidRPr="00EA7665">
        <w:rPr>
          <w:rFonts w:ascii="Arial" w:hAnsi="Arial" w:cs="Arial"/>
        </w:rPr>
        <w:t xml:space="preserve">Which knowledge that you do not </w:t>
      </w:r>
      <w:r w:rsidR="004017EC" w:rsidRPr="00EA7665">
        <w:rPr>
          <w:rFonts w:ascii="Arial" w:hAnsi="Arial" w:cs="Arial"/>
        </w:rPr>
        <w:t>have,</w:t>
      </w:r>
      <w:r w:rsidRPr="00EA7665">
        <w:rPr>
          <w:rFonts w:ascii="Arial" w:hAnsi="Arial" w:cs="Arial"/>
        </w:rPr>
        <w:t xml:space="preserve"> would you like to be trained to acquire?</w:t>
      </w:r>
    </w:p>
    <w:p w14:paraId="281481C2" w14:textId="6EF4A455" w:rsidR="00CD6352" w:rsidRPr="00EA7665" w:rsidRDefault="00CD6352" w:rsidP="00CD6352">
      <w:pPr>
        <w:spacing w:line="360" w:lineRule="auto"/>
        <w:jc w:val="both"/>
        <w:rPr>
          <w:rFonts w:ascii="Arial" w:hAnsi="Arial" w:cs="Arial"/>
          <w:lang w:val="en-US"/>
        </w:rPr>
      </w:pPr>
      <w:r w:rsidRPr="00EA7665">
        <w:rPr>
          <w:rFonts w:ascii="Arial" w:hAnsi="Arial" w:cs="Arial"/>
        </w:rPr>
        <w:t xml:space="preserve">The summary of the responses to these questions by managers in both the developed and emerging economies is contained in </w:t>
      </w:r>
      <w:r w:rsidR="00847CE4">
        <w:rPr>
          <w:rFonts w:ascii="Arial" w:hAnsi="Arial" w:cs="Arial"/>
        </w:rPr>
        <w:t>Tables</w:t>
      </w:r>
      <w:r w:rsidRPr="00EA7665">
        <w:rPr>
          <w:rFonts w:ascii="Arial" w:hAnsi="Arial" w:cs="Arial"/>
        </w:rPr>
        <w:t xml:space="preserve"> 8.</w:t>
      </w:r>
      <w:r w:rsidR="00C95BC5">
        <w:rPr>
          <w:rFonts w:ascii="Arial" w:hAnsi="Arial" w:cs="Arial"/>
        </w:rPr>
        <w:t>3.</w:t>
      </w:r>
      <w:r w:rsidR="00F448A6">
        <w:rPr>
          <w:rFonts w:ascii="Arial" w:hAnsi="Arial" w:cs="Arial"/>
        </w:rPr>
        <w:t>7</w:t>
      </w:r>
      <w:r w:rsidRPr="00EA7665">
        <w:rPr>
          <w:rFonts w:ascii="Arial" w:hAnsi="Arial" w:cs="Arial"/>
        </w:rPr>
        <w:t xml:space="preserve"> and </w:t>
      </w:r>
      <w:r w:rsidR="004017EC" w:rsidRPr="00EA7665">
        <w:rPr>
          <w:rFonts w:ascii="Arial" w:hAnsi="Arial" w:cs="Arial"/>
        </w:rPr>
        <w:t>8:</w:t>
      </w:r>
      <w:r w:rsidR="004017EC">
        <w:rPr>
          <w:rFonts w:ascii="Arial" w:hAnsi="Arial" w:cs="Arial"/>
        </w:rPr>
        <w:t xml:space="preserve"> </w:t>
      </w:r>
      <w:r w:rsidR="00C95BC5">
        <w:rPr>
          <w:rFonts w:ascii="Arial" w:hAnsi="Arial" w:cs="Arial"/>
        </w:rPr>
        <w:t>3.</w:t>
      </w:r>
      <w:r w:rsidR="00F448A6">
        <w:rPr>
          <w:rFonts w:ascii="Arial" w:hAnsi="Arial" w:cs="Arial"/>
        </w:rPr>
        <w:t>8</w:t>
      </w:r>
      <w:r w:rsidR="001B7EA6">
        <w:rPr>
          <w:rFonts w:ascii="Arial" w:hAnsi="Arial" w:cs="Arial"/>
        </w:rPr>
        <w:t>.</w:t>
      </w:r>
    </w:p>
    <w:p w14:paraId="11B151AA" w14:textId="3D66A931" w:rsidR="001B7EA6" w:rsidRDefault="001B7EA6" w:rsidP="001B7EA6">
      <w:pPr>
        <w:pStyle w:val="Caption"/>
        <w:keepNext/>
      </w:pPr>
      <w:bookmarkStart w:id="1347" w:name="_Toc78984012"/>
      <w:r>
        <w:t xml:space="preserve">Table </w:t>
      </w:r>
      <w:fldSimple w:instr=" STYLEREF 2 \s ">
        <w:r w:rsidR="008F25B1">
          <w:rPr>
            <w:noProof/>
          </w:rPr>
          <w:t>8.3</w:t>
        </w:r>
      </w:fldSimple>
      <w:r w:rsidR="008F25B1">
        <w:noBreakHyphen/>
      </w:r>
      <w:fldSimple w:instr=" SEQ Table \* ARABIC \s 2 ">
        <w:r w:rsidR="008F25B1">
          <w:rPr>
            <w:noProof/>
          </w:rPr>
          <w:t>7</w:t>
        </w:r>
      </w:fldSimple>
      <w:r>
        <w:t xml:space="preserve">: </w:t>
      </w:r>
      <w:r w:rsidRPr="00C95BC5">
        <w:t>Knowledge for securing real estate project development finance in developed economies.</w:t>
      </w:r>
      <w:bookmarkEnd w:id="1347"/>
    </w:p>
    <w:tbl>
      <w:tblPr>
        <w:tblStyle w:val="TableGrid"/>
        <w:tblW w:w="0" w:type="auto"/>
        <w:tblLook w:val="04A0" w:firstRow="1" w:lastRow="0" w:firstColumn="1" w:lastColumn="0" w:noHBand="0" w:noVBand="1"/>
      </w:tblPr>
      <w:tblGrid>
        <w:gridCol w:w="943"/>
        <w:gridCol w:w="4020"/>
        <w:gridCol w:w="2065"/>
        <w:gridCol w:w="1988"/>
      </w:tblGrid>
      <w:tr w:rsidR="00CD6352" w:rsidRPr="001B7EA6" w14:paraId="2B3700AA" w14:textId="77777777" w:rsidTr="00CD6352">
        <w:tc>
          <w:tcPr>
            <w:tcW w:w="0" w:type="auto"/>
          </w:tcPr>
          <w:p w14:paraId="07EF30EF" w14:textId="77777777" w:rsidR="00CD6352" w:rsidRPr="001B7EA6" w:rsidRDefault="00CD6352" w:rsidP="00CD6352">
            <w:pPr>
              <w:jc w:val="both"/>
              <w:rPr>
                <w:rFonts w:ascii="Arial" w:hAnsi="Arial" w:cs="Arial"/>
                <w:b/>
                <w:sz w:val="16"/>
                <w:szCs w:val="16"/>
                <w:lang w:val="en-US"/>
              </w:rPr>
            </w:pPr>
            <w:r w:rsidRPr="001B7EA6">
              <w:rPr>
                <w:rFonts w:ascii="Arial" w:hAnsi="Arial" w:cs="Arial"/>
                <w:b/>
                <w:sz w:val="16"/>
                <w:szCs w:val="16"/>
                <w:lang w:val="en-US"/>
              </w:rPr>
              <w:t>Country</w:t>
            </w:r>
          </w:p>
        </w:tc>
        <w:tc>
          <w:tcPr>
            <w:tcW w:w="0" w:type="auto"/>
          </w:tcPr>
          <w:p w14:paraId="7E3508D4" w14:textId="49C99EA8" w:rsidR="00CD6352" w:rsidRPr="001B7EA6" w:rsidRDefault="00CD6352" w:rsidP="00CD6352">
            <w:pPr>
              <w:jc w:val="both"/>
              <w:rPr>
                <w:rFonts w:ascii="Arial" w:hAnsi="Arial" w:cs="Arial"/>
                <w:b/>
                <w:sz w:val="16"/>
                <w:szCs w:val="16"/>
                <w:lang w:val="en-US"/>
              </w:rPr>
            </w:pPr>
            <w:r w:rsidRPr="001B7EA6">
              <w:rPr>
                <w:rFonts w:ascii="Arial" w:hAnsi="Arial" w:cs="Arial"/>
                <w:b/>
                <w:sz w:val="16"/>
                <w:szCs w:val="16"/>
                <w:lang w:val="en-US"/>
              </w:rPr>
              <w:t xml:space="preserve">Knowledge the </w:t>
            </w:r>
            <w:r w:rsidR="004017EC" w:rsidRPr="001B7EA6">
              <w:rPr>
                <w:rFonts w:ascii="Arial" w:hAnsi="Arial" w:cs="Arial"/>
                <w:b/>
                <w:sz w:val="16"/>
                <w:szCs w:val="16"/>
                <w:lang w:val="en-US"/>
              </w:rPr>
              <w:t>managers presently</w:t>
            </w:r>
            <w:r w:rsidRPr="001B7EA6">
              <w:rPr>
                <w:rFonts w:ascii="Arial" w:hAnsi="Arial" w:cs="Arial"/>
                <w:b/>
                <w:sz w:val="16"/>
                <w:szCs w:val="16"/>
                <w:lang w:val="en-US"/>
              </w:rPr>
              <w:t xml:space="preserve"> have for </w:t>
            </w:r>
            <w:r w:rsidR="004017EC" w:rsidRPr="001B7EA6">
              <w:rPr>
                <w:rFonts w:ascii="Arial" w:hAnsi="Arial" w:cs="Arial"/>
                <w:b/>
                <w:sz w:val="16"/>
                <w:szCs w:val="16"/>
                <w:lang w:val="en-US"/>
              </w:rPr>
              <w:t>securing finance</w:t>
            </w:r>
            <w:r w:rsidRPr="001B7EA6">
              <w:rPr>
                <w:rFonts w:ascii="Arial" w:hAnsi="Arial" w:cs="Arial"/>
                <w:b/>
                <w:sz w:val="16"/>
                <w:szCs w:val="16"/>
                <w:lang w:val="en-US"/>
              </w:rPr>
              <w:t xml:space="preserve"> for real estate project development</w:t>
            </w:r>
          </w:p>
        </w:tc>
        <w:tc>
          <w:tcPr>
            <w:tcW w:w="0" w:type="auto"/>
          </w:tcPr>
          <w:p w14:paraId="53A09C35" w14:textId="24CF7B30" w:rsidR="00CD6352" w:rsidRPr="001B7EA6" w:rsidRDefault="00CD6352" w:rsidP="00CD6352">
            <w:pPr>
              <w:jc w:val="both"/>
              <w:rPr>
                <w:rFonts w:ascii="Arial" w:hAnsi="Arial" w:cs="Arial"/>
                <w:b/>
                <w:sz w:val="16"/>
                <w:szCs w:val="16"/>
                <w:lang w:val="en-US"/>
              </w:rPr>
            </w:pPr>
            <w:r w:rsidRPr="001B7EA6">
              <w:rPr>
                <w:rFonts w:ascii="Arial" w:hAnsi="Arial" w:cs="Arial"/>
                <w:b/>
                <w:sz w:val="16"/>
                <w:szCs w:val="16"/>
                <w:lang w:val="en-US"/>
              </w:rPr>
              <w:t xml:space="preserve">Knowledge which the </w:t>
            </w:r>
            <w:r w:rsidR="004017EC" w:rsidRPr="001B7EA6">
              <w:rPr>
                <w:rFonts w:ascii="Arial" w:hAnsi="Arial" w:cs="Arial"/>
                <w:b/>
                <w:sz w:val="16"/>
                <w:szCs w:val="16"/>
                <w:lang w:val="en-US"/>
              </w:rPr>
              <w:t>managers currently</w:t>
            </w:r>
            <w:r w:rsidRPr="001B7EA6">
              <w:rPr>
                <w:rFonts w:ascii="Arial" w:hAnsi="Arial" w:cs="Arial"/>
                <w:b/>
                <w:sz w:val="16"/>
                <w:szCs w:val="16"/>
                <w:lang w:val="en-US"/>
              </w:rPr>
              <w:t xml:space="preserve"> do not have</w:t>
            </w:r>
          </w:p>
        </w:tc>
        <w:tc>
          <w:tcPr>
            <w:tcW w:w="0" w:type="auto"/>
          </w:tcPr>
          <w:p w14:paraId="53958C5F" w14:textId="77777777" w:rsidR="00CD6352" w:rsidRPr="001B7EA6" w:rsidRDefault="00CD6352" w:rsidP="00CD6352">
            <w:pPr>
              <w:jc w:val="both"/>
              <w:rPr>
                <w:rFonts w:ascii="Arial" w:hAnsi="Arial" w:cs="Arial"/>
                <w:b/>
                <w:sz w:val="16"/>
                <w:szCs w:val="16"/>
                <w:lang w:val="en-US"/>
              </w:rPr>
            </w:pPr>
            <w:r w:rsidRPr="001B7EA6">
              <w:rPr>
                <w:rFonts w:ascii="Arial" w:hAnsi="Arial" w:cs="Arial"/>
                <w:b/>
                <w:sz w:val="16"/>
                <w:szCs w:val="16"/>
                <w:lang w:val="en-US"/>
              </w:rPr>
              <w:t>Knowledge the managers do not have &amp; need training and education to acquire</w:t>
            </w:r>
          </w:p>
        </w:tc>
      </w:tr>
      <w:tr w:rsidR="00CD6352" w:rsidRPr="001B7EA6" w14:paraId="50AC5574" w14:textId="77777777" w:rsidTr="00CD6352">
        <w:tc>
          <w:tcPr>
            <w:tcW w:w="0" w:type="auto"/>
          </w:tcPr>
          <w:p w14:paraId="78213FAA"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Germany mgr. 1</w:t>
            </w:r>
          </w:p>
        </w:tc>
        <w:tc>
          <w:tcPr>
            <w:tcW w:w="0" w:type="auto"/>
          </w:tcPr>
          <w:p w14:paraId="2E9448A8"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Sales </w:t>
            </w:r>
          </w:p>
        </w:tc>
        <w:tc>
          <w:tcPr>
            <w:tcW w:w="0" w:type="auto"/>
          </w:tcPr>
          <w:p w14:paraId="09B41E17"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Finance, legal and rental yield</w:t>
            </w:r>
          </w:p>
        </w:tc>
        <w:tc>
          <w:tcPr>
            <w:tcW w:w="0" w:type="auto"/>
          </w:tcPr>
          <w:p w14:paraId="5DF30FA7"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2740D1B0" w14:textId="77777777" w:rsidTr="00CD6352">
        <w:tc>
          <w:tcPr>
            <w:tcW w:w="0" w:type="auto"/>
          </w:tcPr>
          <w:p w14:paraId="7E573088"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Germany mgr2</w:t>
            </w:r>
          </w:p>
        </w:tc>
        <w:tc>
          <w:tcPr>
            <w:tcW w:w="0" w:type="auto"/>
          </w:tcPr>
          <w:p w14:paraId="71EDD919"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the market, knowledge of the financiers &amp; what they require, knowledge of German regulations and laws, </w:t>
            </w:r>
          </w:p>
        </w:tc>
        <w:tc>
          <w:tcPr>
            <w:tcW w:w="0" w:type="auto"/>
          </w:tcPr>
          <w:p w14:paraId="4CAE927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Networking </w:t>
            </w:r>
          </w:p>
        </w:tc>
        <w:tc>
          <w:tcPr>
            <w:tcW w:w="0" w:type="auto"/>
          </w:tcPr>
          <w:p w14:paraId="6036895E"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Networking</w:t>
            </w:r>
          </w:p>
        </w:tc>
      </w:tr>
      <w:tr w:rsidR="00CD6352" w:rsidRPr="001B7EA6" w14:paraId="4B216865" w14:textId="77777777" w:rsidTr="00CD6352">
        <w:tc>
          <w:tcPr>
            <w:tcW w:w="0" w:type="auto"/>
          </w:tcPr>
          <w:p w14:paraId="7CB90E0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Germany mgr. 3</w:t>
            </w:r>
          </w:p>
        </w:tc>
        <w:tc>
          <w:tcPr>
            <w:tcW w:w="0" w:type="auto"/>
          </w:tcPr>
          <w:p w14:paraId="625CDCA4" w14:textId="3F199CBB"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banks that lend, knowledge to secure &amp; deliver projects, cash flow scenarios, technical expertise to produce buildings, planning, construction </w:t>
            </w:r>
            <w:r w:rsidR="004017EC" w:rsidRPr="001B7EA6">
              <w:rPr>
                <w:rFonts w:ascii="Arial" w:hAnsi="Arial" w:cs="Arial"/>
                <w:sz w:val="16"/>
                <w:szCs w:val="16"/>
                <w:lang w:val="en-US"/>
              </w:rPr>
              <w:t>and letting</w:t>
            </w:r>
          </w:p>
        </w:tc>
        <w:tc>
          <w:tcPr>
            <w:tcW w:w="0" w:type="auto"/>
          </w:tcPr>
          <w:p w14:paraId="1F896A34"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75BC1292"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5FA4AE53" w14:textId="77777777" w:rsidTr="00CD6352">
        <w:tc>
          <w:tcPr>
            <w:tcW w:w="0" w:type="auto"/>
          </w:tcPr>
          <w:p w14:paraId="5BAEC02F"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Germany Mgr4</w:t>
            </w:r>
          </w:p>
        </w:tc>
        <w:tc>
          <w:tcPr>
            <w:tcW w:w="0" w:type="auto"/>
          </w:tcPr>
          <w:p w14:paraId="5A0FAE94"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Understanding of client’s need and knowledge of numbers</w:t>
            </w:r>
          </w:p>
        </w:tc>
        <w:tc>
          <w:tcPr>
            <w:tcW w:w="0" w:type="auto"/>
          </w:tcPr>
          <w:p w14:paraId="26A94600" w14:textId="03C3A36F"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Need to understand public perspective, </w:t>
            </w:r>
            <w:r w:rsidR="004017EC" w:rsidRPr="001B7EA6">
              <w:rPr>
                <w:rFonts w:ascii="Arial" w:hAnsi="Arial" w:cs="Arial"/>
                <w:sz w:val="16"/>
                <w:szCs w:val="16"/>
                <w:lang w:val="en-US"/>
              </w:rPr>
              <w:t>legal &amp;</w:t>
            </w:r>
            <w:r w:rsidRPr="001B7EA6">
              <w:rPr>
                <w:rFonts w:ascii="Arial" w:hAnsi="Arial" w:cs="Arial"/>
                <w:sz w:val="16"/>
                <w:szCs w:val="16"/>
                <w:lang w:val="en-US"/>
              </w:rPr>
              <w:t xml:space="preserve"> finance knowledge</w:t>
            </w:r>
          </w:p>
        </w:tc>
        <w:tc>
          <w:tcPr>
            <w:tcW w:w="0" w:type="auto"/>
          </w:tcPr>
          <w:p w14:paraId="46EF267F"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Run cash flow models and how to build the best due diligence process</w:t>
            </w:r>
          </w:p>
        </w:tc>
      </w:tr>
      <w:tr w:rsidR="00CD6352" w:rsidRPr="001B7EA6" w14:paraId="3730B782" w14:textId="77777777" w:rsidTr="00CD6352">
        <w:tc>
          <w:tcPr>
            <w:tcW w:w="0" w:type="auto"/>
          </w:tcPr>
          <w:p w14:paraId="4BC09E5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Germany mgr. 5</w:t>
            </w:r>
          </w:p>
        </w:tc>
        <w:tc>
          <w:tcPr>
            <w:tcW w:w="0" w:type="auto"/>
          </w:tcPr>
          <w:p w14:paraId="37873092" w14:textId="7BB509A2"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Understanding of what lenders want, fundamental knowledge of financing, senior finance &amp; debt structure, options for structuring debt, knowledge of the structure, knowledge of security required by banks, the pricing, the covenants and knowledge of types of sources of finance.</w:t>
            </w:r>
          </w:p>
        </w:tc>
        <w:tc>
          <w:tcPr>
            <w:tcW w:w="0" w:type="auto"/>
          </w:tcPr>
          <w:p w14:paraId="585F1705"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53030DAE"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3E40203E" w14:textId="77777777" w:rsidTr="00CD6352">
        <w:tc>
          <w:tcPr>
            <w:tcW w:w="0" w:type="auto"/>
          </w:tcPr>
          <w:p w14:paraId="62FCD442"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Germany mgr. 6</w:t>
            </w:r>
          </w:p>
        </w:tc>
        <w:tc>
          <w:tcPr>
            <w:tcW w:w="0" w:type="auto"/>
          </w:tcPr>
          <w:p w14:paraId="1867E69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Qualification in the legal side of real estates</w:t>
            </w:r>
          </w:p>
        </w:tc>
        <w:tc>
          <w:tcPr>
            <w:tcW w:w="0" w:type="auto"/>
          </w:tcPr>
          <w:p w14:paraId="6506A119"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4A5F1F49"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3DA9BF9A" w14:textId="77777777" w:rsidTr="00CD6352">
        <w:tc>
          <w:tcPr>
            <w:tcW w:w="0" w:type="auto"/>
          </w:tcPr>
          <w:p w14:paraId="3D21B381"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 1</w:t>
            </w:r>
          </w:p>
        </w:tc>
        <w:tc>
          <w:tcPr>
            <w:tcW w:w="0" w:type="auto"/>
          </w:tcPr>
          <w:p w14:paraId="50F0328E" w14:textId="1F8509FC"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the market, knowledge of how the house/property fits into the location, knowledge of planning approvals, legal knowledge, local knowledge, </w:t>
            </w:r>
            <w:r w:rsidRPr="001B7EA6">
              <w:rPr>
                <w:rFonts w:ascii="Arial" w:hAnsi="Arial" w:cs="Arial"/>
                <w:sz w:val="16"/>
                <w:szCs w:val="16"/>
                <w:lang w:val="en-US"/>
              </w:rPr>
              <w:lastRenderedPageBreak/>
              <w:t xml:space="preserve">and knowledge of how to manage a project from start to finish, knowledge of what funding companies need, sales and finance knowledge. </w:t>
            </w:r>
          </w:p>
        </w:tc>
        <w:tc>
          <w:tcPr>
            <w:tcW w:w="0" w:type="auto"/>
          </w:tcPr>
          <w:p w14:paraId="29D0517F" w14:textId="2987B05C"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lastRenderedPageBreak/>
              <w:t xml:space="preserve">Design and development </w:t>
            </w:r>
            <w:r w:rsidR="00FC7169" w:rsidRPr="001B7EA6">
              <w:rPr>
                <w:rFonts w:ascii="Arial" w:hAnsi="Arial" w:cs="Arial"/>
                <w:sz w:val="16"/>
                <w:szCs w:val="16"/>
                <w:lang w:val="en-US"/>
              </w:rPr>
              <w:t>of gardens</w:t>
            </w:r>
          </w:p>
        </w:tc>
        <w:tc>
          <w:tcPr>
            <w:tcW w:w="0" w:type="auto"/>
          </w:tcPr>
          <w:p w14:paraId="37D33BC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7AC2B71E" w14:textId="77777777" w:rsidTr="00CD6352">
        <w:tc>
          <w:tcPr>
            <w:tcW w:w="0" w:type="auto"/>
          </w:tcPr>
          <w:p w14:paraId="34283D27"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mgr2</w:t>
            </w:r>
          </w:p>
        </w:tc>
        <w:tc>
          <w:tcPr>
            <w:tcW w:w="0" w:type="auto"/>
          </w:tcPr>
          <w:p w14:paraId="06BEE294"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The need to be familiar with the market, knowledge of property laws, familiarity with the way buildings will be used, understanding of macro-economic factors that influence project development &amp; usage; familiarity with the knowledge of the land, the building, and its usage</w:t>
            </w:r>
          </w:p>
        </w:tc>
        <w:tc>
          <w:tcPr>
            <w:tcW w:w="0" w:type="auto"/>
          </w:tcPr>
          <w:p w14:paraId="6407005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Know your customer</w:t>
            </w:r>
          </w:p>
        </w:tc>
        <w:tc>
          <w:tcPr>
            <w:tcW w:w="0" w:type="auto"/>
          </w:tcPr>
          <w:p w14:paraId="7BA4C26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3D2201D6" w14:textId="77777777" w:rsidTr="00CD6352">
        <w:tc>
          <w:tcPr>
            <w:tcW w:w="0" w:type="auto"/>
          </w:tcPr>
          <w:p w14:paraId="1AF7E1AD"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mgr3</w:t>
            </w:r>
          </w:p>
        </w:tc>
        <w:tc>
          <w:tcPr>
            <w:tcW w:w="0" w:type="auto"/>
          </w:tcPr>
          <w:p w14:paraId="3299735A"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Finance and analysis, knowledge of the sector, knowledge of the region, understanding &amp; usage of financial models, ability to communicate your ideas into complex models required by experienced investors and technical knowledge</w:t>
            </w:r>
          </w:p>
        </w:tc>
        <w:tc>
          <w:tcPr>
            <w:tcW w:w="0" w:type="auto"/>
          </w:tcPr>
          <w:p w14:paraId="43EB24CD" w14:textId="479A6CBB"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Legal knowledge but this </w:t>
            </w:r>
            <w:r w:rsidR="00FC7169" w:rsidRPr="001B7EA6">
              <w:rPr>
                <w:rFonts w:ascii="Arial" w:hAnsi="Arial" w:cs="Arial"/>
                <w:sz w:val="16"/>
                <w:szCs w:val="16"/>
                <w:lang w:val="en-US"/>
              </w:rPr>
              <w:t>is outsourced</w:t>
            </w:r>
          </w:p>
        </w:tc>
        <w:tc>
          <w:tcPr>
            <w:tcW w:w="0" w:type="auto"/>
          </w:tcPr>
          <w:p w14:paraId="2EEFB5E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20CA460F" w14:textId="77777777" w:rsidTr="00CD6352">
        <w:tc>
          <w:tcPr>
            <w:tcW w:w="0" w:type="auto"/>
          </w:tcPr>
          <w:p w14:paraId="5CAD3AF1"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mgr4</w:t>
            </w:r>
          </w:p>
        </w:tc>
        <w:tc>
          <w:tcPr>
            <w:tcW w:w="0" w:type="auto"/>
          </w:tcPr>
          <w:p w14:paraId="7CBB255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property (product), knowledge of the market and value of the property, knowledge of the location and background knowledge,  </w:t>
            </w:r>
          </w:p>
        </w:tc>
        <w:tc>
          <w:tcPr>
            <w:tcW w:w="0" w:type="auto"/>
          </w:tcPr>
          <w:p w14:paraId="329442C3" w14:textId="7193375F"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w:t>
            </w:r>
            <w:r w:rsidR="00BF6225" w:rsidRPr="001B7EA6">
              <w:rPr>
                <w:rFonts w:ascii="Arial" w:hAnsi="Arial" w:cs="Arial"/>
                <w:sz w:val="16"/>
                <w:szCs w:val="16"/>
                <w:lang w:val="en-US"/>
              </w:rPr>
              <w:t>up-to-date</w:t>
            </w:r>
            <w:r w:rsidRPr="001B7EA6">
              <w:rPr>
                <w:rFonts w:ascii="Arial" w:hAnsi="Arial" w:cs="Arial"/>
                <w:sz w:val="16"/>
                <w:szCs w:val="16"/>
                <w:lang w:val="en-US"/>
              </w:rPr>
              <w:t xml:space="preserve"> technology for looking up big data to </w:t>
            </w:r>
            <w:r w:rsidR="002416E4" w:rsidRPr="001B7EA6">
              <w:rPr>
                <w:rFonts w:ascii="Arial" w:hAnsi="Arial" w:cs="Arial"/>
                <w:sz w:val="16"/>
                <w:szCs w:val="16"/>
                <w:lang w:val="en-US"/>
              </w:rPr>
              <w:t>make better</w:t>
            </w:r>
            <w:r w:rsidRPr="001B7EA6">
              <w:rPr>
                <w:rFonts w:ascii="Arial" w:hAnsi="Arial" w:cs="Arial"/>
                <w:sz w:val="16"/>
                <w:szCs w:val="16"/>
                <w:lang w:val="en-US"/>
              </w:rPr>
              <w:t xml:space="preserve"> longer-term informed decisions</w:t>
            </w:r>
          </w:p>
        </w:tc>
        <w:tc>
          <w:tcPr>
            <w:tcW w:w="0" w:type="auto"/>
          </w:tcPr>
          <w:p w14:paraId="7CD209AE" w14:textId="7DC1E802"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w:t>
            </w:r>
            <w:r w:rsidR="00BF6225" w:rsidRPr="001B7EA6">
              <w:rPr>
                <w:rFonts w:ascii="Arial" w:hAnsi="Arial" w:cs="Arial"/>
                <w:sz w:val="16"/>
                <w:szCs w:val="16"/>
                <w:lang w:val="en-US"/>
              </w:rPr>
              <w:t>up-to-date</w:t>
            </w:r>
            <w:r w:rsidRPr="001B7EA6">
              <w:rPr>
                <w:rFonts w:ascii="Arial" w:hAnsi="Arial" w:cs="Arial"/>
                <w:sz w:val="16"/>
                <w:szCs w:val="16"/>
                <w:lang w:val="en-US"/>
              </w:rPr>
              <w:t xml:space="preserve"> technology for looking up big data to </w:t>
            </w:r>
            <w:r w:rsidR="002416E4" w:rsidRPr="001B7EA6">
              <w:rPr>
                <w:rFonts w:ascii="Arial" w:hAnsi="Arial" w:cs="Arial"/>
                <w:sz w:val="16"/>
                <w:szCs w:val="16"/>
                <w:lang w:val="en-US"/>
              </w:rPr>
              <w:t>make better</w:t>
            </w:r>
            <w:r w:rsidRPr="001B7EA6">
              <w:rPr>
                <w:rFonts w:ascii="Arial" w:hAnsi="Arial" w:cs="Arial"/>
                <w:sz w:val="16"/>
                <w:szCs w:val="16"/>
                <w:lang w:val="en-US"/>
              </w:rPr>
              <w:t xml:space="preserve"> longer-term informed decisions</w:t>
            </w:r>
          </w:p>
        </w:tc>
      </w:tr>
      <w:tr w:rsidR="00CD6352" w:rsidRPr="001B7EA6" w14:paraId="62B4D475" w14:textId="77777777" w:rsidTr="00CD6352">
        <w:tc>
          <w:tcPr>
            <w:tcW w:w="0" w:type="auto"/>
          </w:tcPr>
          <w:p w14:paraId="0AEE6C05"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mgr5</w:t>
            </w:r>
          </w:p>
        </w:tc>
        <w:tc>
          <w:tcPr>
            <w:tcW w:w="0" w:type="auto"/>
          </w:tcPr>
          <w:p w14:paraId="77B2A2A0" w14:textId="08F53D2C" w:rsidR="00CD6352" w:rsidRPr="001B7EA6" w:rsidRDefault="00CD6352" w:rsidP="00CD6352">
            <w:pPr>
              <w:jc w:val="both"/>
              <w:rPr>
                <w:rFonts w:ascii="Arial" w:hAnsi="Arial" w:cs="Arial"/>
                <w:sz w:val="16"/>
                <w:szCs w:val="16"/>
              </w:rPr>
            </w:pPr>
            <w:r w:rsidRPr="001B7EA6">
              <w:rPr>
                <w:rFonts w:ascii="Arial" w:hAnsi="Arial" w:cs="Arial"/>
                <w:sz w:val="16"/>
                <w:szCs w:val="16"/>
              </w:rPr>
              <w:t xml:space="preserve">Understanding of </w:t>
            </w:r>
            <w:r w:rsidR="002416E4" w:rsidRPr="001B7EA6">
              <w:rPr>
                <w:rFonts w:ascii="Arial" w:hAnsi="Arial" w:cs="Arial"/>
                <w:sz w:val="16"/>
                <w:szCs w:val="16"/>
              </w:rPr>
              <w:t>development process</w:t>
            </w:r>
            <w:r w:rsidRPr="001B7EA6">
              <w:rPr>
                <w:rFonts w:ascii="Arial" w:hAnsi="Arial" w:cs="Arial"/>
                <w:sz w:val="16"/>
                <w:szCs w:val="16"/>
              </w:rPr>
              <w:t xml:space="preserve">, cash flow </w:t>
            </w:r>
            <w:r w:rsidR="002416E4" w:rsidRPr="001B7EA6">
              <w:rPr>
                <w:rFonts w:ascii="Arial" w:hAnsi="Arial" w:cs="Arial"/>
                <w:sz w:val="16"/>
                <w:szCs w:val="16"/>
              </w:rPr>
              <w:t>and risk</w:t>
            </w:r>
          </w:p>
          <w:p w14:paraId="1B15D7C7" w14:textId="77777777" w:rsidR="00CD6352" w:rsidRPr="001B7EA6" w:rsidRDefault="00CD6352" w:rsidP="00CD6352">
            <w:pPr>
              <w:jc w:val="both"/>
              <w:rPr>
                <w:rFonts w:ascii="Arial" w:hAnsi="Arial" w:cs="Arial"/>
                <w:sz w:val="16"/>
                <w:szCs w:val="16"/>
                <w:lang w:val="en-US"/>
              </w:rPr>
            </w:pPr>
          </w:p>
        </w:tc>
        <w:tc>
          <w:tcPr>
            <w:tcW w:w="0" w:type="auto"/>
          </w:tcPr>
          <w:p w14:paraId="3003A651"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17102DA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0AE124E1" w14:textId="77777777" w:rsidTr="00CD6352">
        <w:tc>
          <w:tcPr>
            <w:tcW w:w="0" w:type="auto"/>
          </w:tcPr>
          <w:p w14:paraId="4E477674"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mgr6</w:t>
            </w:r>
          </w:p>
        </w:tc>
        <w:tc>
          <w:tcPr>
            <w:tcW w:w="0" w:type="auto"/>
          </w:tcPr>
          <w:p w14:paraId="269813D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Contractual credit application knowledge</w:t>
            </w:r>
          </w:p>
        </w:tc>
        <w:tc>
          <w:tcPr>
            <w:tcW w:w="0" w:type="auto"/>
          </w:tcPr>
          <w:p w14:paraId="333DCE76"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652656E9"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292327BB" w14:textId="77777777" w:rsidTr="00CD6352">
        <w:tc>
          <w:tcPr>
            <w:tcW w:w="0" w:type="auto"/>
          </w:tcPr>
          <w:p w14:paraId="7A50855B"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UK mgr7</w:t>
            </w:r>
          </w:p>
        </w:tc>
        <w:tc>
          <w:tcPr>
            <w:tcW w:w="0" w:type="auto"/>
          </w:tcPr>
          <w:p w14:paraId="7E18E80B" w14:textId="39AF39A9"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Land economy, understanding </w:t>
            </w:r>
            <w:r w:rsidR="002416E4" w:rsidRPr="001B7EA6">
              <w:rPr>
                <w:rFonts w:ascii="Arial" w:hAnsi="Arial" w:cs="Arial"/>
                <w:sz w:val="16"/>
                <w:szCs w:val="16"/>
                <w:lang w:val="en-US"/>
              </w:rPr>
              <w:t>of numbers</w:t>
            </w:r>
            <w:r w:rsidRPr="001B7EA6">
              <w:rPr>
                <w:rFonts w:ascii="Arial" w:hAnsi="Arial" w:cs="Arial"/>
                <w:sz w:val="16"/>
                <w:szCs w:val="16"/>
                <w:lang w:val="en-US"/>
              </w:rPr>
              <w:t xml:space="preserve">, cash flows and understanding of legal documentation, </w:t>
            </w:r>
          </w:p>
        </w:tc>
        <w:tc>
          <w:tcPr>
            <w:tcW w:w="0" w:type="auto"/>
          </w:tcPr>
          <w:p w14:paraId="1C8AF518"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19E96061"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4A0E59AB" w14:textId="77777777" w:rsidTr="00CD6352">
        <w:tc>
          <w:tcPr>
            <w:tcW w:w="0" w:type="auto"/>
          </w:tcPr>
          <w:p w14:paraId="44B7F724"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US mgr1</w:t>
            </w:r>
          </w:p>
        </w:tc>
        <w:tc>
          <w:tcPr>
            <w:tcW w:w="0" w:type="auto"/>
          </w:tcPr>
          <w:p w14:paraId="6091017C" w14:textId="5BA3CBA0"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Knowledge of </w:t>
            </w:r>
            <w:r w:rsidR="002416E4" w:rsidRPr="001B7EA6">
              <w:rPr>
                <w:rFonts w:ascii="Arial" w:hAnsi="Arial" w:cs="Arial"/>
                <w:sz w:val="16"/>
                <w:szCs w:val="16"/>
                <w:lang w:val="en-US"/>
              </w:rPr>
              <w:t>different asset types</w:t>
            </w:r>
            <w:r w:rsidRPr="001B7EA6">
              <w:rPr>
                <w:rFonts w:ascii="Arial" w:hAnsi="Arial" w:cs="Arial"/>
                <w:sz w:val="16"/>
                <w:szCs w:val="16"/>
                <w:lang w:val="en-US"/>
              </w:rPr>
              <w:t>, good technological know-how, understanding of construction, understanding of legal terms &amp; documents; financial mode</w:t>
            </w:r>
            <w:r w:rsidR="001B7EA6">
              <w:rPr>
                <w:rFonts w:ascii="Arial" w:hAnsi="Arial" w:cs="Arial"/>
                <w:sz w:val="16"/>
                <w:szCs w:val="16"/>
                <w:lang w:val="en-US"/>
              </w:rPr>
              <w:t>l</w:t>
            </w:r>
            <w:r w:rsidRPr="001B7EA6">
              <w:rPr>
                <w:rFonts w:ascii="Arial" w:hAnsi="Arial" w:cs="Arial"/>
                <w:sz w:val="16"/>
                <w:szCs w:val="16"/>
                <w:lang w:val="en-US"/>
              </w:rPr>
              <w:t xml:space="preserve">ling; understanding of  loan agreement and how they work </w:t>
            </w:r>
          </w:p>
        </w:tc>
        <w:tc>
          <w:tcPr>
            <w:tcW w:w="0" w:type="auto"/>
          </w:tcPr>
          <w:p w14:paraId="35F2D0FB" w14:textId="75D4CD73"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Accounting, the working of financial books, </w:t>
            </w:r>
            <w:r w:rsidR="002416E4" w:rsidRPr="001B7EA6">
              <w:rPr>
                <w:rFonts w:ascii="Arial" w:hAnsi="Arial" w:cs="Arial"/>
                <w:sz w:val="16"/>
                <w:szCs w:val="16"/>
                <w:lang w:val="en-US"/>
              </w:rPr>
              <w:t>legal, loan</w:t>
            </w:r>
            <w:r w:rsidRPr="001B7EA6">
              <w:rPr>
                <w:rFonts w:ascii="Arial" w:hAnsi="Arial" w:cs="Arial"/>
                <w:sz w:val="16"/>
                <w:szCs w:val="16"/>
                <w:lang w:val="en-US"/>
              </w:rPr>
              <w:t xml:space="preserve"> agreements, general ledger and programming </w:t>
            </w:r>
          </w:p>
        </w:tc>
        <w:tc>
          <w:tcPr>
            <w:tcW w:w="0" w:type="auto"/>
          </w:tcPr>
          <w:p w14:paraId="3F480C58" w14:textId="7C1B9ED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Accounting, the operation of financial books, </w:t>
            </w:r>
            <w:r w:rsidR="002416E4" w:rsidRPr="001B7EA6">
              <w:rPr>
                <w:rFonts w:ascii="Arial" w:hAnsi="Arial" w:cs="Arial"/>
                <w:sz w:val="16"/>
                <w:szCs w:val="16"/>
                <w:lang w:val="en-US"/>
              </w:rPr>
              <w:t>legal, and</w:t>
            </w:r>
            <w:r w:rsidRPr="001B7EA6">
              <w:rPr>
                <w:rFonts w:ascii="Arial" w:hAnsi="Arial" w:cs="Arial"/>
                <w:sz w:val="16"/>
                <w:szCs w:val="16"/>
                <w:lang w:val="en-US"/>
              </w:rPr>
              <w:t xml:space="preserve"> loan agreements and, general ledger</w:t>
            </w:r>
          </w:p>
        </w:tc>
      </w:tr>
      <w:tr w:rsidR="00CD6352" w:rsidRPr="001B7EA6" w14:paraId="706FE2CC" w14:textId="77777777" w:rsidTr="00CD6352">
        <w:tc>
          <w:tcPr>
            <w:tcW w:w="0" w:type="auto"/>
          </w:tcPr>
          <w:p w14:paraId="2392DCD3"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US mgr2</w:t>
            </w:r>
          </w:p>
        </w:tc>
        <w:tc>
          <w:tcPr>
            <w:tcW w:w="0" w:type="auto"/>
          </w:tcPr>
          <w:p w14:paraId="542E4D1D" w14:textId="0F3B19FE"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Understanding macro-economic conditions, understanding of the market </w:t>
            </w:r>
            <w:r w:rsidR="002416E4" w:rsidRPr="001B7EA6">
              <w:rPr>
                <w:rFonts w:ascii="Arial" w:hAnsi="Arial" w:cs="Arial"/>
                <w:sz w:val="16"/>
                <w:szCs w:val="16"/>
                <w:lang w:val="en-US"/>
              </w:rPr>
              <w:t>and knowledge</w:t>
            </w:r>
            <w:r w:rsidRPr="001B7EA6">
              <w:rPr>
                <w:rFonts w:ascii="Arial" w:hAnsi="Arial" w:cs="Arial"/>
                <w:sz w:val="16"/>
                <w:szCs w:val="16"/>
                <w:lang w:val="en-US"/>
              </w:rPr>
              <w:t xml:space="preserve"> of technology</w:t>
            </w:r>
          </w:p>
        </w:tc>
        <w:tc>
          <w:tcPr>
            <w:tcW w:w="0" w:type="auto"/>
          </w:tcPr>
          <w:p w14:paraId="0F512FC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Data analytics, GIS and property tech.</w:t>
            </w:r>
          </w:p>
        </w:tc>
        <w:tc>
          <w:tcPr>
            <w:tcW w:w="0" w:type="auto"/>
          </w:tcPr>
          <w:p w14:paraId="38A36BEB"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Data analytics, GIS and property technology.</w:t>
            </w:r>
          </w:p>
        </w:tc>
      </w:tr>
      <w:tr w:rsidR="00CD6352" w:rsidRPr="001B7EA6" w14:paraId="07EA46B1" w14:textId="77777777" w:rsidTr="00CD6352">
        <w:tc>
          <w:tcPr>
            <w:tcW w:w="0" w:type="auto"/>
          </w:tcPr>
          <w:p w14:paraId="0F5C9071"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US mgr3</w:t>
            </w:r>
          </w:p>
        </w:tc>
        <w:tc>
          <w:tcPr>
            <w:tcW w:w="0" w:type="auto"/>
          </w:tcPr>
          <w:p w14:paraId="6D1DFAEB" w14:textId="35C7980F"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Market knowledge &amp; dynamics (such as supply, demand, price, value); ability to run financial performance using financial mode</w:t>
            </w:r>
            <w:r w:rsidR="001B7EA6">
              <w:rPr>
                <w:rFonts w:ascii="Arial" w:hAnsi="Arial" w:cs="Arial"/>
                <w:sz w:val="16"/>
                <w:szCs w:val="16"/>
                <w:lang w:val="en-US"/>
              </w:rPr>
              <w:t>l</w:t>
            </w:r>
            <w:r w:rsidRPr="001B7EA6">
              <w:rPr>
                <w:rFonts w:ascii="Arial" w:hAnsi="Arial" w:cs="Arial"/>
                <w:sz w:val="16"/>
                <w:szCs w:val="16"/>
                <w:lang w:val="en-US"/>
              </w:rPr>
              <w:t xml:space="preserve">ling software, legal knowledge, zoning and policies </w:t>
            </w:r>
          </w:p>
        </w:tc>
        <w:tc>
          <w:tcPr>
            <w:tcW w:w="0" w:type="auto"/>
          </w:tcPr>
          <w:p w14:paraId="322FE83B"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c>
          <w:tcPr>
            <w:tcW w:w="0" w:type="auto"/>
          </w:tcPr>
          <w:p w14:paraId="72ECF7C5"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None</w:t>
            </w:r>
          </w:p>
        </w:tc>
      </w:tr>
      <w:tr w:rsidR="00CD6352" w:rsidRPr="001B7EA6" w14:paraId="2880EBBB" w14:textId="77777777" w:rsidTr="00CD6352">
        <w:tc>
          <w:tcPr>
            <w:tcW w:w="0" w:type="auto"/>
          </w:tcPr>
          <w:p w14:paraId="41A6AD2C"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US mgr4</w:t>
            </w:r>
          </w:p>
        </w:tc>
        <w:tc>
          <w:tcPr>
            <w:tcW w:w="0" w:type="auto"/>
          </w:tcPr>
          <w:p w14:paraId="324E45A8" w14:textId="77777777"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 xml:space="preserve">Doing financial models, comparing different scenarios, understanding of JV legal document </w:t>
            </w:r>
          </w:p>
        </w:tc>
        <w:tc>
          <w:tcPr>
            <w:tcW w:w="0" w:type="auto"/>
          </w:tcPr>
          <w:p w14:paraId="7FD2FB3E" w14:textId="4521569C"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Financial mode</w:t>
            </w:r>
            <w:r w:rsidR="001B7EA6">
              <w:rPr>
                <w:rFonts w:ascii="Arial" w:hAnsi="Arial" w:cs="Arial"/>
                <w:sz w:val="16"/>
                <w:szCs w:val="16"/>
                <w:lang w:val="en-US"/>
              </w:rPr>
              <w:t>l</w:t>
            </w:r>
            <w:r w:rsidRPr="001B7EA6">
              <w:rPr>
                <w:rFonts w:ascii="Arial" w:hAnsi="Arial" w:cs="Arial"/>
                <w:sz w:val="16"/>
                <w:szCs w:val="16"/>
                <w:lang w:val="en-US"/>
              </w:rPr>
              <w:t>ling for waterfall</w:t>
            </w:r>
          </w:p>
        </w:tc>
        <w:tc>
          <w:tcPr>
            <w:tcW w:w="0" w:type="auto"/>
          </w:tcPr>
          <w:p w14:paraId="5BFD8916" w14:textId="2B046C60" w:rsidR="00CD6352" w:rsidRPr="001B7EA6" w:rsidRDefault="00CD6352" w:rsidP="00CD6352">
            <w:pPr>
              <w:jc w:val="both"/>
              <w:rPr>
                <w:rFonts w:ascii="Arial" w:hAnsi="Arial" w:cs="Arial"/>
                <w:sz w:val="16"/>
                <w:szCs w:val="16"/>
                <w:lang w:val="en-US"/>
              </w:rPr>
            </w:pPr>
            <w:r w:rsidRPr="001B7EA6">
              <w:rPr>
                <w:rFonts w:ascii="Arial" w:hAnsi="Arial" w:cs="Arial"/>
                <w:sz w:val="16"/>
                <w:szCs w:val="16"/>
                <w:lang w:val="en-US"/>
              </w:rPr>
              <w:t>Financial mode</w:t>
            </w:r>
            <w:r w:rsidR="001B7EA6">
              <w:rPr>
                <w:rFonts w:ascii="Arial" w:hAnsi="Arial" w:cs="Arial"/>
                <w:sz w:val="16"/>
                <w:szCs w:val="16"/>
                <w:lang w:val="en-US"/>
              </w:rPr>
              <w:t>l</w:t>
            </w:r>
            <w:r w:rsidRPr="001B7EA6">
              <w:rPr>
                <w:rFonts w:ascii="Arial" w:hAnsi="Arial" w:cs="Arial"/>
                <w:sz w:val="16"/>
                <w:szCs w:val="16"/>
                <w:lang w:val="en-US"/>
              </w:rPr>
              <w:t>ling for waterfall</w:t>
            </w:r>
          </w:p>
        </w:tc>
      </w:tr>
    </w:tbl>
    <w:p w14:paraId="74E03D7F" w14:textId="77777777" w:rsidR="00CD6352" w:rsidRPr="00EA7665" w:rsidRDefault="00CD6352" w:rsidP="00CD6352">
      <w:pPr>
        <w:spacing w:line="360" w:lineRule="auto"/>
        <w:jc w:val="both"/>
        <w:rPr>
          <w:rFonts w:ascii="Arial" w:hAnsi="Arial" w:cs="Arial"/>
        </w:rPr>
      </w:pPr>
    </w:p>
    <w:p w14:paraId="31161104" w14:textId="043C44B6" w:rsidR="00C95BC5" w:rsidRDefault="00C95BC5" w:rsidP="00C95BC5">
      <w:pPr>
        <w:pStyle w:val="Caption"/>
        <w:keepNext/>
      </w:pPr>
      <w:bookmarkStart w:id="1348" w:name="_Toc78984013"/>
      <w:r>
        <w:t xml:space="preserve">Table </w:t>
      </w:r>
      <w:fldSimple w:instr=" STYLEREF 2 \s ">
        <w:r w:rsidR="008F25B1">
          <w:rPr>
            <w:noProof/>
          </w:rPr>
          <w:t>8.3</w:t>
        </w:r>
      </w:fldSimple>
      <w:r w:rsidR="008F25B1">
        <w:noBreakHyphen/>
      </w:r>
      <w:fldSimple w:instr=" SEQ Table \* ARABIC \s 2 ">
        <w:r w:rsidR="008F25B1">
          <w:rPr>
            <w:noProof/>
          </w:rPr>
          <w:t>8</w:t>
        </w:r>
      </w:fldSimple>
      <w:r>
        <w:t xml:space="preserve">: </w:t>
      </w:r>
      <w:r w:rsidRPr="00C95BC5">
        <w:t>Knowledge for securing real estate project development finance in emerging economies</w:t>
      </w:r>
      <w:bookmarkEnd w:id="1348"/>
    </w:p>
    <w:tbl>
      <w:tblPr>
        <w:tblStyle w:val="TableGrid"/>
        <w:tblW w:w="0" w:type="auto"/>
        <w:tblLook w:val="04A0" w:firstRow="1" w:lastRow="0" w:firstColumn="1" w:lastColumn="0" w:noHBand="0" w:noVBand="1"/>
      </w:tblPr>
      <w:tblGrid>
        <w:gridCol w:w="839"/>
        <w:gridCol w:w="3976"/>
        <w:gridCol w:w="2268"/>
        <w:gridCol w:w="1933"/>
      </w:tblGrid>
      <w:tr w:rsidR="00CD6352" w:rsidRPr="00EA7665" w14:paraId="091034DE" w14:textId="77777777" w:rsidTr="00CD6352">
        <w:tc>
          <w:tcPr>
            <w:tcW w:w="0" w:type="auto"/>
          </w:tcPr>
          <w:p w14:paraId="1CBCB1E5" w14:textId="77777777"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Country</w:t>
            </w:r>
          </w:p>
        </w:tc>
        <w:tc>
          <w:tcPr>
            <w:tcW w:w="3976" w:type="dxa"/>
          </w:tcPr>
          <w:p w14:paraId="0E0154F8" w14:textId="6E443474"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 xml:space="preserve">Knowledge the </w:t>
            </w:r>
            <w:r w:rsidR="00B80F78" w:rsidRPr="00EA7665">
              <w:rPr>
                <w:rFonts w:ascii="Arial" w:hAnsi="Arial" w:cs="Arial"/>
                <w:b/>
                <w:sz w:val="16"/>
                <w:szCs w:val="16"/>
                <w:lang w:val="en-US"/>
              </w:rPr>
              <w:t>managers presently</w:t>
            </w:r>
            <w:r w:rsidRPr="00EA7665">
              <w:rPr>
                <w:rFonts w:ascii="Arial" w:hAnsi="Arial" w:cs="Arial"/>
                <w:b/>
                <w:sz w:val="16"/>
                <w:szCs w:val="16"/>
                <w:lang w:val="en-US"/>
              </w:rPr>
              <w:t xml:space="preserve"> have for securing  finance for real estate project development</w:t>
            </w:r>
          </w:p>
        </w:tc>
        <w:tc>
          <w:tcPr>
            <w:tcW w:w="2268" w:type="dxa"/>
          </w:tcPr>
          <w:p w14:paraId="6425591A" w14:textId="238B77BD"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 xml:space="preserve">Knowledge which the </w:t>
            </w:r>
            <w:r w:rsidR="00645FF7" w:rsidRPr="00EA7665">
              <w:rPr>
                <w:rFonts w:ascii="Arial" w:hAnsi="Arial" w:cs="Arial"/>
                <w:b/>
                <w:sz w:val="16"/>
                <w:szCs w:val="16"/>
                <w:lang w:val="en-US"/>
              </w:rPr>
              <w:t>managers currently</w:t>
            </w:r>
            <w:r w:rsidRPr="00EA7665">
              <w:rPr>
                <w:rFonts w:ascii="Arial" w:hAnsi="Arial" w:cs="Arial"/>
                <w:b/>
                <w:sz w:val="16"/>
                <w:szCs w:val="16"/>
                <w:lang w:val="en-US"/>
              </w:rPr>
              <w:t xml:space="preserve"> do not have</w:t>
            </w:r>
          </w:p>
        </w:tc>
        <w:tc>
          <w:tcPr>
            <w:tcW w:w="1933" w:type="dxa"/>
          </w:tcPr>
          <w:p w14:paraId="07D81E54" w14:textId="77777777"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Knowledge the managers do not have &amp; need training and education to acquire</w:t>
            </w:r>
          </w:p>
        </w:tc>
      </w:tr>
      <w:tr w:rsidR="00CD6352" w:rsidRPr="00EA7665" w14:paraId="2331E813" w14:textId="77777777" w:rsidTr="00CD6352">
        <w:tc>
          <w:tcPr>
            <w:tcW w:w="0" w:type="auto"/>
          </w:tcPr>
          <w:p w14:paraId="4DC8CC8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Mgr1</w:t>
            </w:r>
          </w:p>
        </w:tc>
        <w:tc>
          <w:tcPr>
            <w:tcW w:w="3976" w:type="dxa"/>
          </w:tcPr>
          <w:p w14:paraId="2B5BA433" w14:textId="45BA3FA1"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Knowledge of the market; knowledge </w:t>
            </w:r>
            <w:r w:rsidR="00645FF7" w:rsidRPr="00EA7665">
              <w:rPr>
                <w:rFonts w:ascii="Arial" w:hAnsi="Arial" w:cs="Arial"/>
                <w:sz w:val="16"/>
                <w:szCs w:val="16"/>
                <w:lang w:val="en-US"/>
              </w:rPr>
              <w:t>of expectation</w:t>
            </w:r>
            <w:r w:rsidRPr="00EA7665">
              <w:rPr>
                <w:rFonts w:ascii="Arial" w:hAnsi="Arial" w:cs="Arial"/>
                <w:sz w:val="16"/>
                <w:szCs w:val="16"/>
                <w:lang w:val="en-US"/>
              </w:rPr>
              <w:t xml:space="preserve"> of absorptions, sales rates, and pricing, ability to analyse the market and explain concisely</w:t>
            </w:r>
          </w:p>
        </w:tc>
        <w:tc>
          <w:tcPr>
            <w:tcW w:w="2268" w:type="dxa"/>
          </w:tcPr>
          <w:p w14:paraId="75B6F8B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07715E0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76AEAD6A" w14:textId="77777777" w:rsidTr="00CD6352">
        <w:tc>
          <w:tcPr>
            <w:tcW w:w="0" w:type="auto"/>
          </w:tcPr>
          <w:p w14:paraId="4CA0E21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Mgr2</w:t>
            </w:r>
          </w:p>
        </w:tc>
        <w:tc>
          <w:tcPr>
            <w:tcW w:w="3976" w:type="dxa"/>
          </w:tcPr>
          <w:p w14:paraId="530E673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Understanding of how to develop the building, project management, knowledge of regulations, knowledge of the authorities &amp; how to approach them and knowledge of the use of the land, financial analysis, portfolio management, leadership, and negotiation</w:t>
            </w:r>
          </w:p>
        </w:tc>
        <w:tc>
          <w:tcPr>
            <w:tcW w:w="2268" w:type="dxa"/>
          </w:tcPr>
          <w:p w14:paraId="6A9B9C0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6EBD7E9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4B5D89B9" w14:textId="77777777" w:rsidTr="00CD6352">
        <w:trPr>
          <w:trHeight w:val="431"/>
        </w:trPr>
        <w:tc>
          <w:tcPr>
            <w:tcW w:w="0" w:type="auto"/>
          </w:tcPr>
          <w:p w14:paraId="263FA2D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lastRenderedPageBreak/>
              <w:t>China Mgr3</w:t>
            </w:r>
          </w:p>
        </w:tc>
        <w:tc>
          <w:tcPr>
            <w:tcW w:w="3976" w:type="dxa"/>
          </w:tcPr>
          <w:p w14:paraId="7256B1CC" w14:textId="29BB4171" w:rsidR="00CD6352" w:rsidRPr="00EA7665" w:rsidRDefault="00CD6352" w:rsidP="00CD6352">
            <w:pPr>
              <w:jc w:val="both"/>
              <w:rPr>
                <w:rFonts w:ascii="Arial" w:hAnsi="Arial" w:cs="Arial"/>
                <w:sz w:val="16"/>
                <w:szCs w:val="16"/>
                <w:lang w:val="en-US"/>
              </w:rPr>
            </w:pPr>
            <w:r w:rsidRPr="00EA7665">
              <w:rPr>
                <w:rFonts w:ascii="Arial" w:hAnsi="Arial" w:cs="Arial"/>
                <w:sz w:val="16"/>
                <w:szCs w:val="16"/>
              </w:rPr>
              <w:t xml:space="preserve">Knowledge of the real estate </w:t>
            </w:r>
            <w:r w:rsidR="00645FF7" w:rsidRPr="00EA7665">
              <w:rPr>
                <w:rFonts w:ascii="Arial" w:hAnsi="Arial" w:cs="Arial"/>
                <w:sz w:val="16"/>
                <w:szCs w:val="16"/>
              </w:rPr>
              <w:t>market, asset</w:t>
            </w:r>
            <w:r w:rsidRPr="00EA7665">
              <w:rPr>
                <w:rFonts w:ascii="Arial" w:hAnsi="Arial" w:cs="Arial"/>
                <w:sz w:val="16"/>
                <w:szCs w:val="16"/>
              </w:rPr>
              <w:t xml:space="preserve"> </w:t>
            </w:r>
            <w:r w:rsidR="00645FF7" w:rsidRPr="00EA7665">
              <w:rPr>
                <w:rFonts w:ascii="Arial" w:hAnsi="Arial" w:cs="Arial"/>
                <w:sz w:val="16"/>
                <w:szCs w:val="16"/>
              </w:rPr>
              <w:t>class and</w:t>
            </w:r>
            <w:r w:rsidRPr="00EA7665">
              <w:rPr>
                <w:rFonts w:ascii="Arial" w:hAnsi="Arial" w:cs="Arial"/>
                <w:sz w:val="16"/>
                <w:szCs w:val="16"/>
              </w:rPr>
              <w:t xml:space="preserve"> various types of financing </w:t>
            </w:r>
          </w:p>
        </w:tc>
        <w:tc>
          <w:tcPr>
            <w:tcW w:w="2268" w:type="dxa"/>
          </w:tcPr>
          <w:p w14:paraId="02EFD8F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46627CE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12644AD7" w14:textId="77777777" w:rsidTr="00CD6352">
        <w:tc>
          <w:tcPr>
            <w:tcW w:w="0" w:type="auto"/>
          </w:tcPr>
          <w:p w14:paraId="5E7961B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Mgr4</w:t>
            </w:r>
          </w:p>
        </w:tc>
        <w:tc>
          <w:tcPr>
            <w:tcW w:w="3976" w:type="dxa"/>
          </w:tcPr>
          <w:p w14:paraId="71A66558" w14:textId="13BF3B7D"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Knowledge of the market and </w:t>
            </w:r>
            <w:r w:rsidR="00645FF7" w:rsidRPr="00EA7665">
              <w:rPr>
                <w:rFonts w:ascii="Arial" w:hAnsi="Arial" w:cs="Arial"/>
                <w:sz w:val="16"/>
                <w:szCs w:val="16"/>
              </w:rPr>
              <w:t>various finance</w:t>
            </w:r>
            <w:r w:rsidRPr="00EA7665">
              <w:rPr>
                <w:rFonts w:ascii="Arial" w:hAnsi="Arial" w:cs="Arial"/>
                <w:sz w:val="16"/>
                <w:szCs w:val="16"/>
              </w:rPr>
              <w:t xml:space="preserve"> instruments </w:t>
            </w:r>
          </w:p>
        </w:tc>
        <w:tc>
          <w:tcPr>
            <w:tcW w:w="2268" w:type="dxa"/>
          </w:tcPr>
          <w:p w14:paraId="178AE63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46ADBE2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6114FC2C" w14:textId="77777777" w:rsidTr="00CD6352">
        <w:tc>
          <w:tcPr>
            <w:tcW w:w="0" w:type="auto"/>
          </w:tcPr>
          <w:p w14:paraId="2C97D2D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Mgr5</w:t>
            </w:r>
          </w:p>
        </w:tc>
        <w:tc>
          <w:tcPr>
            <w:tcW w:w="3976" w:type="dxa"/>
          </w:tcPr>
          <w:p w14:paraId="577FD5BF" w14:textId="68B878D0"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Knowledge of the market and </w:t>
            </w:r>
            <w:r w:rsidR="00645FF7" w:rsidRPr="00EA7665">
              <w:rPr>
                <w:rFonts w:ascii="Arial" w:hAnsi="Arial" w:cs="Arial"/>
                <w:sz w:val="16"/>
                <w:szCs w:val="16"/>
              </w:rPr>
              <w:t>various finance</w:t>
            </w:r>
            <w:r w:rsidRPr="00EA7665">
              <w:rPr>
                <w:rFonts w:ascii="Arial" w:hAnsi="Arial" w:cs="Arial"/>
                <w:sz w:val="16"/>
                <w:szCs w:val="16"/>
              </w:rPr>
              <w:t xml:space="preserve"> instruments</w:t>
            </w:r>
          </w:p>
        </w:tc>
        <w:tc>
          <w:tcPr>
            <w:tcW w:w="2268" w:type="dxa"/>
          </w:tcPr>
          <w:p w14:paraId="5E37EC3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226D95B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04D5819A" w14:textId="77777777" w:rsidTr="00CD6352">
        <w:tc>
          <w:tcPr>
            <w:tcW w:w="0" w:type="auto"/>
          </w:tcPr>
          <w:p w14:paraId="7D1AFF6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Mgr6</w:t>
            </w:r>
          </w:p>
        </w:tc>
        <w:tc>
          <w:tcPr>
            <w:tcW w:w="3976" w:type="dxa"/>
          </w:tcPr>
          <w:p w14:paraId="0FC4B69D" w14:textId="791C978C"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Knowledge of the market and </w:t>
            </w:r>
            <w:r w:rsidR="00645FF7" w:rsidRPr="00EA7665">
              <w:rPr>
                <w:rFonts w:ascii="Arial" w:hAnsi="Arial" w:cs="Arial"/>
                <w:sz w:val="16"/>
                <w:szCs w:val="16"/>
              </w:rPr>
              <w:t>various finance</w:t>
            </w:r>
            <w:r w:rsidRPr="00EA7665">
              <w:rPr>
                <w:rFonts w:ascii="Arial" w:hAnsi="Arial" w:cs="Arial"/>
                <w:sz w:val="16"/>
                <w:szCs w:val="16"/>
              </w:rPr>
              <w:t xml:space="preserve"> instruments</w:t>
            </w:r>
          </w:p>
        </w:tc>
        <w:tc>
          <w:tcPr>
            <w:tcW w:w="2268" w:type="dxa"/>
          </w:tcPr>
          <w:p w14:paraId="089E4E5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3C2F7CD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486FBF5A" w14:textId="77777777" w:rsidTr="00CD6352">
        <w:tc>
          <w:tcPr>
            <w:tcW w:w="0" w:type="auto"/>
          </w:tcPr>
          <w:p w14:paraId="0DD9B29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Mgr7</w:t>
            </w:r>
          </w:p>
        </w:tc>
        <w:tc>
          <w:tcPr>
            <w:tcW w:w="3976" w:type="dxa"/>
          </w:tcPr>
          <w:p w14:paraId="73A4DC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Market knowledge, rental levels knowledge across all asset classes and CAPEX requirements </w:t>
            </w:r>
          </w:p>
        </w:tc>
        <w:tc>
          <w:tcPr>
            <w:tcW w:w="2268" w:type="dxa"/>
          </w:tcPr>
          <w:p w14:paraId="16AA8F0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283D082F"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0B89ABDF" w14:textId="77777777" w:rsidTr="00CD6352">
        <w:tc>
          <w:tcPr>
            <w:tcW w:w="0" w:type="auto"/>
          </w:tcPr>
          <w:p w14:paraId="020CB61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Mgr1</w:t>
            </w:r>
          </w:p>
        </w:tc>
        <w:tc>
          <w:tcPr>
            <w:tcW w:w="3976" w:type="dxa"/>
          </w:tcPr>
          <w:p w14:paraId="3CB25464" w14:textId="1EDDEB80"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Market survey &amp; segmentation, feasibility studies, knowledge </w:t>
            </w:r>
            <w:r w:rsidR="00645FF7" w:rsidRPr="00EA7665">
              <w:rPr>
                <w:rFonts w:ascii="Arial" w:hAnsi="Arial" w:cs="Arial"/>
                <w:sz w:val="16"/>
                <w:szCs w:val="16"/>
                <w:lang w:val="en-US"/>
              </w:rPr>
              <w:t>of location</w:t>
            </w:r>
            <w:r w:rsidRPr="00EA7665">
              <w:rPr>
                <w:rFonts w:ascii="Arial" w:hAnsi="Arial" w:cs="Arial"/>
                <w:sz w:val="16"/>
                <w:szCs w:val="16"/>
                <w:lang w:val="en-US"/>
              </w:rPr>
              <w:t xml:space="preserve"> &amp; its topography, an understanding of government requirement for buildings and  technical expertise in surveying</w:t>
            </w:r>
          </w:p>
        </w:tc>
        <w:tc>
          <w:tcPr>
            <w:tcW w:w="2268" w:type="dxa"/>
          </w:tcPr>
          <w:p w14:paraId="205C577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on how to convert prospective clients to customers</w:t>
            </w:r>
          </w:p>
        </w:tc>
        <w:tc>
          <w:tcPr>
            <w:tcW w:w="1933" w:type="dxa"/>
          </w:tcPr>
          <w:p w14:paraId="119490F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on how to convert potential clients to customers</w:t>
            </w:r>
          </w:p>
        </w:tc>
      </w:tr>
      <w:tr w:rsidR="00CD6352" w:rsidRPr="00EA7665" w14:paraId="0584F620" w14:textId="77777777" w:rsidTr="00CD6352">
        <w:tc>
          <w:tcPr>
            <w:tcW w:w="0" w:type="auto"/>
          </w:tcPr>
          <w:p w14:paraId="3B934B9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Mgr2</w:t>
            </w:r>
          </w:p>
        </w:tc>
        <w:tc>
          <w:tcPr>
            <w:tcW w:w="3976" w:type="dxa"/>
          </w:tcPr>
          <w:p w14:paraId="1CC71DC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Quantity surveying, project management and real estate development, </w:t>
            </w:r>
          </w:p>
        </w:tc>
        <w:tc>
          <w:tcPr>
            <w:tcW w:w="2268" w:type="dxa"/>
          </w:tcPr>
          <w:p w14:paraId="1DCDE07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7E28FD2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24AF9376" w14:textId="77777777" w:rsidTr="00CD6352">
        <w:tc>
          <w:tcPr>
            <w:tcW w:w="0" w:type="auto"/>
          </w:tcPr>
          <w:p w14:paraId="58E2D03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Mgr3</w:t>
            </w:r>
          </w:p>
        </w:tc>
        <w:tc>
          <w:tcPr>
            <w:tcW w:w="3976" w:type="dxa"/>
          </w:tcPr>
          <w:p w14:paraId="105A965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management &amp; administration</w:t>
            </w:r>
          </w:p>
        </w:tc>
        <w:tc>
          <w:tcPr>
            <w:tcW w:w="2268" w:type="dxa"/>
          </w:tcPr>
          <w:p w14:paraId="7E47331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Software training </w:t>
            </w:r>
          </w:p>
        </w:tc>
        <w:tc>
          <w:tcPr>
            <w:tcW w:w="1933" w:type="dxa"/>
          </w:tcPr>
          <w:p w14:paraId="0C7FFA3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Software training</w:t>
            </w:r>
          </w:p>
        </w:tc>
      </w:tr>
      <w:tr w:rsidR="00CD6352" w:rsidRPr="00EA7665" w14:paraId="3C62C27E" w14:textId="77777777" w:rsidTr="00CD6352">
        <w:trPr>
          <w:trHeight w:val="516"/>
        </w:trPr>
        <w:tc>
          <w:tcPr>
            <w:tcW w:w="0" w:type="auto"/>
          </w:tcPr>
          <w:p w14:paraId="7EB8CA2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 4</w:t>
            </w:r>
          </w:p>
        </w:tc>
        <w:tc>
          <w:tcPr>
            <w:tcW w:w="3976" w:type="dxa"/>
          </w:tcPr>
          <w:p w14:paraId="1230A53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Legal and business plan preparation knowledge</w:t>
            </w:r>
          </w:p>
        </w:tc>
        <w:tc>
          <w:tcPr>
            <w:tcW w:w="2268" w:type="dxa"/>
          </w:tcPr>
          <w:p w14:paraId="6F3F27D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on how to attract international investors</w:t>
            </w:r>
          </w:p>
        </w:tc>
        <w:tc>
          <w:tcPr>
            <w:tcW w:w="1933" w:type="dxa"/>
          </w:tcPr>
          <w:p w14:paraId="64E83C6B"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on how to attract foreign investors</w:t>
            </w:r>
          </w:p>
        </w:tc>
      </w:tr>
      <w:tr w:rsidR="00CD6352" w:rsidRPr="00EA7665" w14:paraId="5C2E5ACC" w14:textId="77777777" w:rsidTr="00CD6352">
        <w:tc>
          <w:tcPr>
            <w:tcW w:w="0" w:type="auto"/>
          </w:tcPr>
          <w:p w14:paraId="33CC2BA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 5</w:t>
            </w:r>
          </w:p>
        </w:tc>
        <w:tc>
          <w:tcPr>
            <w:tcW w:w="3976" w:type="dxa"/>
          </w:tcPr>
          <w:p w14:paraId="3AB34AE8" w14:textId="5219DC1F"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Technical skills </w:t>
            </w:r>
            <w:r w:rsidR="00C90F3D" w:rsidRPr="00EA7665">
              <w:rPr>
                <w:rFonts w:ascii="Arial" w:hAnsi="Arial" w:cs="Arial"/>
                <w:sz w:val="16"/>
                <w:szCs w:val="16"/>
                <w:lang w:val="en-US"/>
              </w:rPr>
              <w:t>and financial</w:t>
            </w:r>
            <w:r w:rsidRPr="00EA7665">
              <w:rPr>
                <w:rFonts w:ascii="Arial" w:hAnsi="Arial" w:cs="Arial"/>
                <w:sz w:val="16"/>
                <w:szCs w:val="16"/>
                <w:lang w:val="en-US"/>
              </w:rPr>
              <w:t xml:space="preserve"> management knowledge </w:t>
            </w:r>
          </w:p>
        </w:tc>
        <w:tc>
          <w:tcPr>
            <w:tcW w:w="2268" w:type="dxa"/>
          </w:tcPr>
          <w:p w14:paraId="0B4D8AB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Modern ways of building to minimise space &amp; better infrastructural development</w:t>
            </w:r>
          </w:p>
        </w:tc>
        <w:tc>
          <w:tcPr>
            <w:tcW w:w="1933" w:type="dxa"/>
          </w:tcPr>
          <w:p w14:paraId="38CE44B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Modern methods of building to reduce space </w:t>
            </w:r>
          </w:p>
        </w:tc>
      </w:tr>
      <w:tr w:rsidR="00CD6352" w:rsidRPr="00EA7665" w14:paraId="0FF77F1C" w14:textId="77777777" w:rsidTr="00CD6352">
        <w:tc>
          <w:tcPr>
            <w:tcW w:w="0" w:type="auto"/>
          </w:tcPr>
          <w:p w14:paraId="795E20CB"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 6</w:t>
            </w:r>
          </w:p>
        </w:tc>
        <w:tc>
          <w:tcPr>
            <w:tcW w:w="3976" w:type="dxa"/>
          </w:tcPr>
          <w:p w14:paraId="2B1D000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of the market, understanding the product (i.e. residential or commercial buildings), understand building properties and project management</w:t>
            </w:r>
          </w:p>
        </w:tc>
        <w:tc>
          <w:tcPr>
            <w:tcW w:w="2268" w:type="dxa"/>
          </w:tcPr>
          <w:p w14:paraId="12972F8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Real estate investment and finance</w:t>
            </w:r>
          </w:p>
        </w:tc>
        <w:tc>
          <w:tcPr>
            <w:tcW w:w="1933" w:type="dxa"/>
          </w:tcPr>
          <w:p w14:paraId="4D06910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Real estate investment and finance</w:t>
            </w:r>
          </w:p>
        </w:tc>
      </w:tr>
      <w:tr w:rsidR="00CD6352" w:rsidRPr="00EA7665" w14:paraId="00325624" w14:textId="77777777" w:rsidTr="00CD6352">
        <w:tc>
          <w:tcPr>
            <w:tcW w:w="0" w:type="auto"/>
          </w:tcPr>
          <w:p w14:paraId="24D4116B"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Mgr1</w:t>
            </w:r>
          </w:p>
        </w:tc>
        <w:tc>
          <w:tcPr>
            <w:tcW w:w="3976" w:type="dxa"/>
          </w:tcPr>
          <w:p w14:paraId="76ACEAD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of accounting and economics</w:t>
            </w:r>
          </w:p>
        </w:tc>
        <w:tc>
          <w:tcPr>
            <w:tcW w:w="2268" w:type="dxa"/>
          </w:tcPr>
          <w:p w14:paraId="62BA4A6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1FC5BEB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6ED87CAB" w14:textId="77777777" w:rsidTr="00CD6352">
        <w:tc>
          <w:tcPr>
            <w:tcW w:w="0" w:type="auto"/>
          </w:tcPr>
          <w:p w14:paraId="261F468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Mgr2</w:t>
            </w:r>
          </w:p>
        </w:tc>
        <w:tc>
          <w:tcPr>
            <w:tcW w:w="3976" w:type="dxa"/>
          </w:tcPr>
          <w:p w14:paraId="18E132F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for putting together the feasibility &amp; loan application</w:t>
            </w:r>
          </w:p>
        </w:tc>
        <w:tc>
          <w:tcPr>
            <w:tcW w:w="2268" w:type="dxa"/>
          </w:tcPr>
          <w:p w14:paraId="126BE22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4FCFB82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7CE123CE" w14:textId="77777777" w:rsidTr="00CD6352">
        <w:tc>
          <w:tcPr>
            <w:tcW w:w="0" w:type="auto"/>
          </w:tcPr>
          <w:p w14:paraId="0233976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Mgr3</w:t>
            </w:r>
          </w:p>
        </w:tc>
        <w:tc>
          <w:tcPr>
            <w:tcW w:w="3976" w:type="dxa"/>
          </w:tcPr>
          <w:p w14:paraId="1044C1E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finance, cash flows, time value for money and discounted cash flow</w:t>
            </w:r>
          </w:p>
        </w:tc>
        <w:tc>
          <w:tcPr>
            <w:tcW w:w="2268" w:type="dxa"/>
          </w:tcPr>
          <w:p w14:paraId="38CFB98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Town planning &amp; enhanced financial knowledge</w:t>
            </w:r>
          </w:p>
        </w:tc>
        <w:tc>
          <w:tcPr>
            <w:tcW w:w="1933" w:type="dxa"/>
          </w:tcPr>
          <w:p w14:paraId="140E1FA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Town planning &amp; enhanced financial knowledge</w:t>
            </w:r>
          </w:p>
        </w:tc>
      </w:tr>
      <w:tr w:rsidR="00CD6352" w:rsidRPr="00EA7665" w14:paraId="1C6AF864" w14:textId="77777777" w:rsidTr="00CD6352">
        <w:tc>
          <w:tcPr>
            <w:tcW w:w="0" w:type="auto"/>
          </w:tcPr>
          <w:p w14:paraId="6427836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Mgr4</w:t>
            </w:r>
          </w:p>
        </w:tc>
        <w:tc>
          <w:tcPr>
            <w:tcW w:w="3976" w:type="dxa"/>
          </w:tcPr>
          <w:p w14:paraId="5AE80FA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Knowledge of property retail development &amp; management, knowledge of management of shopping centres, feasibility study, structuring funding package or funding proposal, facilities management and asset management</w:t>
            </w:r>
          </w:p>
        </w:tc>
        <w:tc>
          <w:tcPr>
            <w:tcW w:w="2268" w:type="dxa"/>
          </w:tcPr>
          <w:p w14:paraId="13AD7DB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933" w:type="dxa"/>
          </w:tcPr>
          <w:p w14:paraId="01BBCB1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bl>
    <w:p w14:paraId="4EC7CF4C" w14:textId="77777777" w:rsidR="00CD6352" w:rsidRPr="00EA7665" w:rsidRDefault="00CD6352" w:rsidP="00CD6352"/>
    <w:p w14:paraId="62688594" w14:textId="77777777" w:rsidR="00CD6352" w:rsidRPr="00EA7665" w:rsidRDefault="00CD6352" w:rsidP="00CD6352">
      <w:pPr>
        <w:pStyle w:val="Heading3"/>
        <w:numPr>
          <w:ilvl w:val="0"/>
          <w:numId w:val="0"/>
        </w:numPr>
        <w:ind w:left="720" w:hanging="720"/>
        <w:rPr>
          <w:sz w:val="22"/>
          <w:szCs w:val="22"/>
        </w:rPr>
      </w:pPr>
    </w:p>
    <w:p w14:paraId="5ED958FA" w14:textId="6384A49B" w:rsidR="00CD6352" w:rsidRPr="00EA7665" w:rsidRDefault="00CD6352" w:rsidP="00CD6352">
      <w:pPr>
        <w:spacing w:line="360" w:lineRule="auto"/>
        <w:jc w:val="both"/>
        <w:rPr>
          <w:rFonts w:ascii="Arial" w:hAnsi="Arial" w:cs="Arial"/>
        </w:rPr>
      </w:pPr>
      <w:r w:rsidRPr="00EA7665">
        <w:rPr>
          <w:rFonts w:ascii="Arial" w:hAnsi="Arial" w:cs="Arial"/>
        </w:rPr>
        <w:t xml:space="preserve">The findings show that there is a varied financial knowledge set that </w:t>
      </w:r>
      <w:r>
        <w:rPr>
          <w:rFonts w:ascii="Arial" w:hAnsi="Arial" w:cs="Arial"/>
        </w:rPr>
        <w:t>mana</w:t>
      </w:r>
      <w:r w:rsidRPr="00EA7665">
        <w:rPr>
          <w:rFonts w:ascii="Arial" w:hAnsi="Arial" w:cs="Arial"/>
        </w:rPr>
        <w:t xml:space="preserve">gers consider important for securing finance for real estate project development. The managers interviewed in all the developed and emerging economies are of the view </w:t>
      </w:r>
      <w:r w:rsidR="00B80F78" w:rsidRPr="00EA7665">
        <w:rPr>
          <w:rFonts w:ascii="Arial" w:hAnsi="Arial" w:cs="Arial"/>
        </w:rPr>
        <w:t>that knowledge</w:t>
      </w:r>
      <w:r w:rsidRPr="00EA7665">
        <w:rPr>
          <w:rFonts w:ascii="Arial" w:hAnsi="Arial" w:cs="Arial"/>
        </w:rPr>
        <w:t xml:space="preserve"> of the market</w:t>
      </w:r>
      <w:r>
        <w:rPr>
          <w:rFonts w:ascii="Arial" w:hAnsi="Arial" w:cs="Arial"/>
        </w:rPr>
        <w:t xml:space="preserve"> and</w:t>
      </w:r>
      <w:r w:rsidRPr="00EA7665">
        <w:rPr>
          <w:rFonts w:ascii="Arial" w:hAnsi="Arial" w:cs="Arial"/>
        </w:rPr>
        <w:t xml:space="preserve"> </w:t>
      </w:r>
      <w:r w:rsidR="00245894" w:rsidRPr="00EA7665">
        <w:rPr>
          <w:rFonts w:ascii="Arial" w:hAnsi="Arial" w:cs="Arial"/>
        </w:rPr>
        <w:t>understanding</w:t>
      </w:r>
      <w:r w:rsidRPr="00EA7665">
        <w:rPr>
          <w:rFonts w:ascii="Arial" w:hAnsi="Arial" w:cs="Arial"/>
        </w:rPr>
        <w:t xml:space="preserve"> both the client base and the available financiers are very important to their ability to secure finance for real estate project development. However, knowledge of different languages and exotic financial modelling stick out as very important and highly needed in the developed economies. Arguably, this is because the selected developed economies are </w:t>
      </w:r>
      <w:r w:rsidRPr="00E06861">
        <w:rPr>
          <w:rFonts w:ascii="Arial" w:hAnsi="Arial" w:cs="Arial"/>
        </w:rPr>
        <w:lastRenderedPageBreak/>
        <w:t>among</w:t>
      </w:r>
      <w:r w:rsidR="00C7024A" w:rsidRPr="00E06861">
        <w:rPr>
          <w:rFonts w:ascii="Arial" w:hAnsi="Arial" w:cs="Arial"/>
        </w:rPr>
        <w:t xml:space="preserve"> the top 5 largest economies globally with huge capital inflows from different parts of the world. Hence,</w:t>
      </w:r>
      <w:r w:rsidRPr="00E06861">
        <w:rPr>
          <w:rFonts w:ascii="Arial" w:hAnsi="Arial" w:cs="Arial"/>
        </w:rPr>
        <w:t xml:space="preserve"> managers need varied international languages to communicate effectively (Parsa et al., 1999; Bloomberg, 2019). The need for languages is prevalent amongst the</w:t>
      </w:r>
      <w:r w:rsidRPr="00EA7665">
        <w:rPr>
          <w:rFonts w:ascii="Arial" w:hAnsi="Arial" w:cs="Arial"/>
        </w:rPr>
        <w:t xml:space="preserve"> managers interviewed in Germany.  Managers interviewed from the US talked extensively about financial modelling as a knowledge/ skill that facilitates their ability to secure finance for real estate project development. They argued that financial modelling is probably the most important knowledge/skill because it helps them </w:t>
      </w:r>
      <w:r w:rsidR="00C7024A">
        <w:rPr>
          <w:rFonts w:ascii="Arial" w:hAnsi="Arial" w:cs="Arial"/>
        </w:rPr>
        <w:t>explain numbers and shapes. It helps them</w:t>
      </w:r>
      <w:r w:rsidRPr="00EA7665">
        <w:rPr>
          <w:rFonts w:ascii="Arial" w:hAnsi="Arial" w:cs="Arial"/>
        </w:rPr>
        <w:t xml:space="preserve"> project to investors the advantages and the prospective returns on their investments.</w:t>
      </w:r>
    </w:p>
    <w:p w14:paraId="53376355" w14:textId="197DE072" w:rsidR="00CD6352" w:rsidRDefault="00CD6352" w:rsidP="00CD6352">
      <w:pPr>
        <w:spacing w:line="360" w:lineRule="auto"/>
        <w:jc w:val="both"/>
        <w:rPr>
          <w:rFonts w:ascii="Arial" w:hAnsi="Arial" w:cs="Arial"/>
        </w:rPr>
      </w:pPr>
      <w:r w:rsidRPr="00EA7665">
        <w:rPr>
          <w:rFonts w:ascii="Arial" w:hAnsi="Arial" w:cs="Arial"/>
        </w:rPr>
        <w:t>Managers interviewed in both the developed and emerging economies w</w:t>
      </w:r>
      <w:r>
        <w:rPr>
          <w:rFonts w:ascii="Arial" w:hAnsi="Arial" w:cs="Arial"/>
        </w:rPr>
        <w:t>ho</w:t>
      </w:r>
      <w:r w:rsidRPr="00EA7665">
        <w:rPr>
          <w:rFonts w:ascii="Arial" w:hAnsi="Arial" w:cs="Arial"/>
        </w:rPr>
        <w:t xml:space="preserve"> lack specific knowledge sets do not seem to be keen to acquire </w:t>
      </w:r>
      <w:r>
        <w:rPr>
          <w:rFonts w:ascii="Arial" w:hAnsi="Arial" w:cs="Arial"/>
        </w:rPr>
        <w:t>training and education</w:t>
      </w:r>
      <w:r w:rsidRPr="00EA7665">
        <w:rPr>
          <w:rFonts w:ascii="Arial" w:hAnsi="Arial" w:cs="Arial"/>
        </w:rPr>
        <w:t xml:space="preserve"> in areas </w:t>
      </w:r>
      <w:r>
        <w:rPr>
          <w:rFonts w:ascii="Arial" w:hAnsi="Arial" w:cs="Arial"/>
        </w:rPr>
        <w:t xml:space="preserve">in which </w:t>
      </w:r>
      <w:r w:rsidRPr="00EA7665">
        <w:rPr>
          <w:rFonts w:ascii="Arial" w:hAnsi="Arial" w:cs="Arial"/>
        </w:rPr>
        <w:t>they are lacking, and this is because they claim such knowledge could be paid</w:t>
      </w:r>
      <w:r>
        <w:rPr>
          <w:rFonts w:ascii="Arial" w:hAnsi="Arial" w:cs="Arial"/>
        </w:rPr>
        <w:t xml:space="preserve"> </w:t>
      </w:r>
      <w:r w:rsidRPr="00EA7665">
        <w:rPr>
          <w:rFonts w:ascii="Arial" w:hAnsi="Arial" w:cs="Arial"/>
        </w:rPr>
        <w:t>-for and</w:t>
      </w:r>
      <w:r>
        <w:rPr>
          <w:rFonts w:ascii="Arial" w:hAnsi="Arial" w:cs="Arial"/>
        </w:rPr>
        <w:t>,</w:t>
      </w:r>
      <w:r w:rsidRPr="00EA7665">
        <w:rPr>
          <w:rFonts w:ascii="Arial" w:hAnsi="Arial" w:cs="Arial"/>
        </w:rPr>
        <w:t xml:space="preserve"> as such, they often hire people with the </w:t>
      </w:r>
      <w:r>
        <w:rPr>
          <w:rFonts w:ascii="Arial" w:hAnsi="Arial" w:cs="Arial"/>
        </w:rPr>
        <w:t xml:space="preserve">necessary </w:t>
      </w:r>
      <w:r w:rsidRPr="00EA7665">
        <w:rPr>
          <w:rFonts w:ascii="Arial" w:hAnsi="Arial" w:cs="Arial"/>
        </w:rPr>
        <w:t>expertise. A couple of the managers, especially in the developed economies, said that once they establish a good understanding of the legal framework with their lawyers, they outsource the technical bits</w:t>
      </w:r>
      <w:r>
        <w:rPr>
          <w:rFonts w:ascii="Arial" w:hAnsi="Arial" w:cs="Arial"/>
        </w:rPr>
        <w:t xml:space="preserve"> </w:t>
      </w:r>
      <w:r w:rsidR="00CF3DEB">
        <w:rPr>
          <w:rFonts w:ascii="Arial" w:hAnsi="Arial" w:cs="Arial"/>
        </w:rPr>
        <w:t>and</w:t>
      </w:r>
      <w:r>
        <w:rPr>
          <w:rFonts w:ascii="Arial" w:hAnsi="Arial" w:cs="Arial"/>
        </w:rPr>
        <w:t xml:space="preserve"> sometimes outsource market research</w:t>
      </w:r>
      <w:r w:rsidRPr="00EA7665">
        <w:rPr>
          <w:rFonts w:ascii="Arial" w:hAnsi="Arial" w:cs="Arial"/>
        </w:rPr>
        <w:t xml:space="preserve">.  They do </w:t>
      </w:r>
      <w:r w:rsidR="00CF3DEB" w:rsidRPr="00EA7665">
        <w:rPr>
          <w:rFonts w:ascii="Arial" w:hAnsi="Arial" w:cs="Arial"/>
        </w:rPr>
        <w:t>outsource</w:t>
      </w:r>
      <w:r w:rsidRPr="00EA7665">
        <w:rPr>
          <w:rFonts w:ascii="Arial" w:hAnsi="Arial" w:cs="Arial"/>
        </w:rPr>
        <w:t xml:space="preserve"> when they do not have the comprehensive skills and knowledge </w:t>
      </w:r>
      <w:r>
        <w:rPr>
          <w:rFonts w:ascii="Arial" w:hAnsi="Arial" w:cs="Arial"/>
        </w:rPr>
        <w:t>sets</w:t>
      </w:r>
      <w:r w:rsidRPr="00EA7665">
        <w:rPr>
          <w:rFonts w:ascii="Arial" w:hAnsi="Arial" w:cs="Arial"/>
        </w:rPr>
        <w:t xml:space="preserve"> in-house.</w:t>
      </w:r>
    </w:p>
    <w:p w14:paraId="59E39FA4" w14:textId="59A0F7BE" w:rsidR="00CD6352" w:rsidRPr="00EA7665" w:rsidRDefault="00CD6352" w:rsidP="00CD6352">
      <w:pPr>
        <w:pStyle w:val="Heading3"/>
        <w:rPr>
          <w:sz w:val="22"/>
          <w:szCs w:val="22"/>
        </w:rPr>
      </w:pPr>
      <w:bookmarkStart w:id="1349" w:name="_Toc78983906"/>
      <w:r w:rsidRPr="00EA7665">
        <w:rPr>
          <w:sz w:val="22"/>
          <w:szCs w:val="22"/>
        </w:rPr>
        <w:t xml:space="preserve">Comparison of </w:t>
      </w:r>
      <w:r w:rsidR="00C036F6">
        <w:rPr>
          <w:sz w:val="22"/>
          <w:szCs w:val="22"/>
        </w:rPr>
        <w:t>knowledge for securing finance for real estate project development for the</w:t>
      </w:r>
      <w:r w:rsidRPr="00EA7665">
        <w:rPr>
          <w:sz w:val="22"/>
          <w:szCs w:val="22"/>
        </w:rPr>
        <w:t xml:space="preserve"> developed and emerging </w:t>
      </w:r>
      <w:r w:rsidR="004A7ED9" w:rsidRPr="00EA7665">
        <w:rPr>
          <w:sz w:val="22"/>
          <w:szCs w:val="22"/>
        </w:rPr>
        <w:t>economies.</w:t>
      </w:r>
      <w:bookmarkEnd w:id="1349"/>
    </w:p>
    <w:p w14:paraId="0C703717" w14:textId="77777777" w:rsidR="00CD6352" w:rsidRPr="00EA7665" w:rsidRDefault="00CD6352" w:rsidP="00CD6352"/>
    <w:p w14:paraId="4ACB9B25" w14:textId="28E50A87" w:rsidR="00CD6352" w:rsidRPr="00EA7665" w:rsidRDefault="00CD6352" w:rsidP="00CD6352">
      <w:pPr>
        <w:spacing w:line="360" w:lineRule="auto"/>
        <w:rPr>
          <w:rFonts w:ascii="Arial" w:hAnsi="Arial" w:cs="Arial"/>
        </w:rPr>
      </w:pPr>
      <w:bookmarkStart w:id="1350" w:name="_Hlk42767988"/>
      <w:r w:rsidRPr="00EA7665">
        <w:rPr>
          <w:rFonts w:ascii="Arial" w:hAnsi="Arial" w:cs="Arial"/>
        </w:rPr>
        <w:t>The findings from the survey questionnaire demonstr</w:t>
      </w:r>
      <w:r>
        <w:rPr>
          <w:rFonts w:ascii="Arial" w:hAnsi="Arial" w:cs="Arial"/>
        </w:rPr>
        <w:t>ate</w:t>
      </w:r>
      <w:r w:rsidRPr="00EA7665">
        <w:rPr>
          <w:rFonts w:ascii="Arial" w:hAnsi="Arial" w:cs="Arial"/>
        </w:rPr>
        <w:t xml:space="preserve"> that </w:t>
      </w:r>
      <w:r w:rsidR="00C90F3D" w:rsidRPr="00EA7665">
        <w:rPr>
          <w:rFonts w:ascii="Arial" w:hAnsi="Arial" w:cs="Arial"/>
        </w:rPr>
        <w:t xml:space="preserve">all </w:t>
      </w:r>
      <w:r w:rsidR="00BF6225" w:rsidRPr="00EA7665">
        <w:rPr>
          <w:rFonts w:ascii="Arial" w:hAnsi="Arial" w:cs="Arial"/>
        </w:rPr>
        <w:t>seventeen-management</w:t>
      </w:r>
      <w:r w:rsidRPr="00EA7665">
        <w:rPr>
          <w:rFonts w:ascii="Arial" w:hAnsi="Arial" w:cs="Arial"/>
        </w:rPr>
        <w:t xml:space="preserve"> knowled</w:t>
      </w:r>
      <w:r>
        <w:rPr>
          <w:rFonts w:ascii="Arial" w:hAnsi="Arial" w:cs="Arial"/>
        </w:rPr>
        <w:t>ge</w:t>
      </w:r>
      <w:r w:rsidRPr="00EA7665">
        <w:rPr>
          <w:rFonts w:ascii="Arial" w:hAnsi="Arial" w:cs="Arial"/>
        </w:rPr>
        <w:t xml:space="preserve"> </w:t>
      </w:r>
      <w:r w:rsidR="00173794">
        <w:rPr>
          <w:rFonts w:ascii="Arial" w:hAnsi="Arial" w:cs="Arial"/>
        </w:rPr>
        <w:t>is</w:t>
      </w:r>
      <w:r w:rsidRPr="00EA7665">
        <w:rPr>
          <w:rFonts w:ascii="Arial" w:hAnsi="Arial" w:cs="Arial"/>
        </w:rPr>
        <w:t xml:space="preserve"> considered as important for securing finance for real estate project development at the aggregate level by managers in both the developed and emerging economies. The managers at the aggregate level also indicated different degrees of need for training and education for all the management knowledge for securing finance for real estate project development for their present and future jobs. Interestingly, the knowledge of funding source</w:t>
      </w:r>
      <w:r w:rsidR="00173794">
        <w:rPr>
          <w:rFonts w:ascii="Arial" w:hAnsi="Arial" w:cs="Arial"/>
        </w:rPr>
        <w:t>s</w:t>
      </w:r>
      <w:r w:rsidRPr="00EA7665">
        <w:rPr>
          <w:rFonts w:ascii="Arial" w:hAnsi="Arial" w:cs="Arial"/>
        </w:rPr>
        <w:t xml:space="preserve"> and market intelligence have </w:t>
      </w:r>
      <w:r w:rsidR="001B7EA6">
        <w:rPr>
          <w:rFonts w:ascii="Arial" w:hAnsi="Arial" w:cs="Arial"/>
        </w:rPr>
        <w:t xml:space="preserve">a </w:t>
      </w:r>
      <w:r w:rsidRPr="00EA7665">
        <w:rPr>
          <w:rFonts w:ascii="Arial" w:hAnsi="Arial" w:cs="Arial"/>
        </w:rPr>
        <w:t>top</w:t>
      </w:r>
      <w:r w:rsidR="00173794">
        <w:rPr>
          <w:rFonts w:ascii="Arial" w:hAnsi="Arial" w:cs="Arial"/>
        </w:rPr>
        <w:t>-</w:t>
      </w:r>
      <w:r w:rsidRPr="00EA7665">
        <w:rPr>
          <w:rFonts w:ascii="Arial" w:hAnsi="Arial" w:cs="Arial"/>
        </w:rPr>
        <w:t>ranking with respect to</w:t>
      </w:r>
      <w:r>
        <w:rPr>
          <w:rFonts w:ascii="Arial" w:hAnsi="Arial" w:cs="Arial"/>
        </w:rPr>
        <w:t xml:space="preserve"> their</w:t>
      </w:r>
      <w:r w:rsidRPr="00EA7665">
        <w:rPr>
          <w:rFonts w:ascii="Arial" w:hAnsi="Arial" w:cs="Arial"/>
        </w:rPr>
        <w:t xml:space="preserve"> degree of importance</w:t>
      </w:r>
      <w:r>
        <w:rPr>
          <w:rFonts w:ascii="Arial" w:hAnsi="Arial" w:cs="Arial"/>
        </w:rPr>
        <w:t xml:space="preserve"> and</w:t>
      </w:r>
      <w:r w:rsidRPr="00EA7665">
        <w:rPr>
          <w:rFonts w:ascii="Arial" w:hAnsi="Arial" w:cs="Arial"/>
        </w:rPr>
        <w:t xml:space="preserve"> the need for training and education for the present and the future.</w:t>
      </w:r>
    </w:p>
    <w:p w14:paraId="000BB6D5" w14:textId="6D8FA60A" w:rsidR="00CD6352" w:rsidRPr="00EA7665" w:rsidRDefault="00CD6352" w:rsidP="00CD6352">
      <w:pPr>
        <w:spacing w:line="360" w:lineRule="auto"/>
        <w:rPr>
          <w:rFonts w:ascii="Arial" w:hAnsi="Arial" w:cs="Arial"/>
        </w:rPr>
      </w:pPr>
      <w:r w:rsidRPr="00EA7665">
        <w:rPr>
          <w:rFonts w:ascii="Arial" w:hAnsi="Arial" w:cs="Arial"/>
        </w:rPr>
        <w:t xml:space="preserve">The questionnaire survey analysis on the disaggregate level based on the different countries shows rankings of the degree of importance, </w:t>
      </w:r>
      <w:r>
        <w:rPr>
          <w:rFonts w:ascii="Arial" w:hAnsi="Arial" w:cs="Arial"/>
        </w:rPr>
        <w:t xml:space="preserve">and the </w:t>
      </w:r>
      <w:r w:rsidRPr="00EA7665">
        <w:rPr>
          <w:rFonts w:ascii="Arial" w:hAnsi="Arial" w:cs="Arial"/>
        </w:rPr>
        <w:t>need for training and education for the present and future by the managers in both the developed and emerging economies</w:t>
      </w:r>
      <w:r w:rsidR="00695605">
        <w:rPr>
          <w:rFonts w:ascii="Arial" w:hAnsi="Arial" w:cs="Arial"/>
        </w:rPr>
        <w:t xml:space="preserve"> is provided in </w:t>
      </w:r>
      <w:r w:rsidR="00A37AD5">
        <w:rPr>
          <w:rFonts w:ascii="Arial" w:hAnsi="Arial" w:cs="Arial"/>
        </w:rPr>
        <w:t xml:space="preserve">chapters </w:t>
      </w:r>
      <w:r w:rsidRPr="00A37AD5">
        <w:rPr>
          <w:rFonts w:ascii="Arial" w:hAnsi="Arial" w:cs="Arial"/>
        </w:rPr>
        <w:t xml:space="preserve">8.3.1.2, 8.3.2.2 and 8.3.3.2. The findings show that knowledge of funding sources </w:t>
      </w:r>
      <w:r w:rsidR="00294289" w:rsidRPr="00A37AD5">
        <w:rPr>
          <w:rFonts w:ascii="Arial" w:hAnsi="Arial" w:cs="Arial"/>
        </w:rPr>
        <w:t>is ranked</w:t>
      </w:r>
      <w:r w:rsidRPr="00A37AD5">
        <w:rPr>
          <w:rFonts w:ascii="Arial" w:hAnsi="Arial" w:cs="Arial"/>
        </w:rPr>
        <w:t xml:space="preserve"> top by managers in all the developed and emerging economies apart from the United</w:t>
      </w:r>
      <w:r w:rsidRPr="00EA7665">
        <w:rPr>
          <w:rFonts w:ascii="Arial" w:hAnsi="Arial" w:cs="Arial"/>
        </w:rPr>
        <w:t xml:space="preserve"> </w:t>
      </w:r>
      <w:r>
        <w:rPr>
          <w:rFonts w:ascii="Arial" w:hAnsi="Arial" w:cs="Arial"/>
        </w:rPr>
        <w:t>St</w:t>
      </w:r>
      <w:r w:rsidRPr="00EA7665">
        <w:rPr>
          <w:rFonts w:ascii="Arial" w:hAnsi="Arial" w:cs="Arial"/>
        </w:rPr>
        <w:t>ates. The findings</w:t>
      </w:r>
      <w:r>
        <w:rPr>
          <w:rFonts w:ascii="Arial" w:hAnsi="Arial" w:cs="Arial"/>
        </w:rPr>
        <w:t>, as was the case with skills,</w:t>
      </w:r>
      <w:r w:rsidRPr="00EA7665">
        <w:rPr>
          <w:rFonts w:ascii="Arial" w:hAnsi="Arial" w:cs="Arial"/>
        </w:rPr>
        <w:t xml:space="preserve"> </w:t>
      </w:r>
      <w:r>
        <w:rPr>
          <w:rFonts w:ascii="Arial" w:hAnsi="Arial" w:cs="Arial"/>
        </w:rPr>
        <w:t>do</w:t>
      </w:r>
      <w:r w:rsidRPr="00EA7665">
        <w:rPr>
          <w:rFonts w:ascii="Arial" w:hAnsi="Arial" w:cs="Arial"/>
        </w:rPr>
        <w:t xml:space="preserve"> not show a clear demarcation between the developed and the emerging economies</w:t>
      </w:r>
      <w:r>
        <w:rPr>
          <w:rFonts w:ascii="Arial" w:hAnsi="Arial" w:cs="Arial"/>
        </w:rPr>
        <w:t>.</w:t>
      </w:r>
      <w:r w:rsidRPr="00EA7665">
        <w:rPr>
          <w:rFonts w:ascii="Arial" w:hAnsi="Arial" w:cs="Arial"/>
        </w:rPr>
        <w:t xml:space="preserve"> However, some of the managers in Germany indicated they did not need training and education for certain </w:t>
      </w:r>
      <w:r>
        <w:rPr>
          <w:rFonts w:ascii="Arial" w:hAnsi="Arial" w:cs="Arial"/>
        </w:rPr>
        <w:lastRenderedPageBreak/>
        <w:t xml:space="preserve">management </w:t>
      </w:r>
      <w:r w:rsidRPr="00EA7665">
        <w:rPr>
          <w:rFonts w:ascii="Arial" w:hAnsi="Arial" w:cs="Arial"/>
        </w:rPr>
        <w:t xml:space="preserve">knowledge both for the present and the future because they would rather </w:t>
      </w:r>
      <w:r>
        <w:rPr>
          <w:rFonts w:ascii="Arial" w:hAnsi="Arial" w:cs="Arial"/>
        </w:rPr>
        <w:t>get the relevant</w:t>
      </w:r>
      <w:r w:rsidRPr="00EA7665">
        <w:rPr>
          <w:rFonts w:ascii="Arial" w:hAnsi="Arial" w:cs="Arial"/>
        </w:rPr>
        <w:t xml:space="preserve"> professionals to provide such knowledge </w:t>
      </w:r>
      <w:r>
        <w:rPr>
          <w:rFonts w:ascii="Arial" w:hAnsi="Arial" w:cs="Arial"/>
        </w:rPr>
        <w:t xml:space="preserve">sets </w:t>
      </w:r>
      <w:r w:rsidRPr="00EA7665">
        <w:rPr>
          <w:rFonts w:ascii="Arial" w:hAnsi="Arial" w:cs="Arial"/>
        </w:rPr>
        <w:t>(see chapter 8.3.2.2 and 8.3.3.2).</w:t>
      </w:r>
    </w:p>
    <w:bookmarkEnd w:id="1350"/>
    <w:p w14:paraId="5C71BB6E" w14:textId="58497CB2" w:rsidR="00CD6352" w:rsidRPr="00EA7665" w:rsidRDefault="00CD6352" w:rsidP="00CD6352">
      <w:pPr>
        <w:spacing w:line="360" w:lineRule="auto"/>
        <w:rPr>
          <w:rFonts w:ascii="Arial" w:hAnsi="Arial" w:cs="Arial"/>
        </w:rPr>
      </w:pPr>
      <w:r w:rsidRPr="00EA7665">
        <w:rPr>
          <w:rFonts w:ascii="Arial" w:hAnsi="Arial" w:cs="Arial"/>
        </w:rPr>
        <w:t xml:space="preserve">The </w:t>
      </w:r>
      <w:r w:rsidR="00C7024A">
        <w:rPr>
          <w:rFonts w:ascii="Arial" w:hAnsi="Arial" w:cs="Arial"/>
        </w:rPr>
        <w:t>semi-structured interviews also show that managers in both the developed and emerging economies have some financial knowledge sets in common that help them secure</w:t>
      </w:r>
      <w:r w:rsidRPr="00EA7665">
        <w:rPr>
          <w:rFonts w:ascii="Arial" w:hAnsi="Arial" w:cs="Arial"/>
        </w:rPr>
        <w:t xml:space="preserve"> finance for real estate project development. Arguably, this is because of the global nature of the education sector</w:t>
      </w:r>
      <w:r>
        <w:rPr>
          <w:rFonts w:ascii="Arial" w:hAnsi="Arial" w:cs="Arial"/>
        </w:rPr>
        <w:t>,</w:t>
      </w:r>
      <w:r w:rsidRPr="00EA7665">
        <w:rPr>
          <w:rFonts w:ascii="Arial" w:hAnsi="Arial" w:cs="Arial"/>
        </w:rPr>
        <w:t xml:space="preserve"> </w:t>
      </w:r>
      <w:r>
        <w:rPr>
          <w:rFonts w:ascii="Arial" w:hAnsi="Arial" w:cs="Arial"/>
        </w:rPr>
        <w:t>c</w:t>
      </w:r>
      <w:r w:rsidRPr="00EA7665">
        <w:rPr>
          <w:rFonts w:ascii="Arial" w:hAnsi="Arial" w:cs="Arial"/>
        </w:rPr>
        <w:t>onsidering that about 99% of the managers interviewed f</w:t>
      </w:r>
      <w:r w:rsidR="00197959">
        <w:rPr>
          <w:rFonts w:ascii="Arial" w:hAnsi="Arial" w:cs="Arial"/>
        </w:rPr>
        <w:t>rom</w:t>
      </w:r>
      <w:r w:rsidRPr="00EA7665">
        <w:rPr>
          <w:rFonts w:ascii="Arial" w:hAnsi="Arial" w:cs="Arial"/>
        </w:rPr>
        <w:t xml:space="preserve"> both the developed &amp; emerging economies have at least a first degree. Some knowledge sets they have in common are as follows:</w:t>
      </w:r>
    </w:p>
    <w:p w14:paraId="123051B1" w14:textId="77777777" w:rsidR="00CD6352" w:rsidRPr="00EA7665" w:rsidRDefault="00CD6352" w:rsidP="007625E7">
      <w:pPr>
        <w:pStyle w:val="ListParagraph"/>
        <w:numPr>
          <w:ilvl w:val="0"/>
          <w:numId w:val="329"/>
        </w:numPr>
        <w:spacing w:after="0" w:line="240" w:lineRule="auto"/>
        <w:rPr>
          <w:rFonts w:ascii="Arial" w:hAnsi="Arial" w:cs="Arial"/>
        </w:rPr>
      </w:pPr>
      <w:r w:rsidRPr="00EA7665">
        <w:rPr>
          <w:rFonts w:ascii="Arial" w:hAnsi="Arial" w:cs="Arial"/>
        </w:rPr>
        <w:t>Sales</w:t>
      </w:r>
    </w:p>
    <w:p w14:paraId="62BAB589" w14:textId="77777777" w:rsidR="00CD6352" w:rsidRPr="00EA7665" w:rsidRDefault="00CD6352" w:rsidP="007625E7">
      <w:pPr>
        <w:pStyle w:val="ListParagraph"/>
        <w:numPr>
          <w:ilvl w:val="0"/>
          <w:numId w:val="329"/>
        </w:numPr>
        <w:spacing w:after="0" w:line="240" w:lineRule="auto"/>
        <w:rPr>
          <w:rFonts w:ascii="Arial" w:hAnsi="Arial" w:cs="Arial"/>
        </w:rPr>
      </w:pPr>
      <w:r w:rsidRPr="00EA7665">
        <w:rPr>
          <w:rFonts w:ascii="Arial" w:hAnsi="Arial" w:cs="Arial"/>
        </w:rPr>
        <w:t>Knowledge of the market</w:t>
      </w:r>
    </w:p>
    <w:p w14:paraId="2FD3387D" w14:textId="77777777" w:rsidR="00CD6352" w:rsidRPr="00EA7665" w:rsidRDefault="00CD6352" w:rsidP="007625E7">
      <w:pPr>
        <w:pStyle w:val="ListParagraph"/>
        <w:numPr>
          <w:ilvl w:val="0"/>
          <w:numId w:val="329"/>
        </w:numPr>
        <w:spacing w:after="0" w:line="240" w:lineRule="auto"/>
        <w:rPr>
          <w:rFonts w:ascii="Arial" w:hAnsi="Arial" w:cs="Arial"/>
        </w:rPr>
      </w:pPr>
      <w:r w:rsidRPr="00EA7665">
        <w:rPr>
          <w:rFonts w:ascii="Arial" w:hAnsi="Arial" w:cs="Arial"/>
        </w:rPr>
        <w:t>Risk</w:t>
      </w:r>
      <w:r>
        <w:rPr>
          <w:rFonts w:ascii="Arial" w:hAnsi="Arial" w:cs="Arial"/>
        </w:rPr>
        <w:t xml:space="preserve"> management</w:t>
      </w:r>
    </w:p>
    <w:p w14:paraId="552AE694" w14:textId="77777777" w:rsidR="00CD6352" w:rsidRPr="00EA7665" w:rsidRDefault="00CD6352" w:rsidP="007625E7">
      <w:pPr>
        <w:pStyle w:val="ListParagraph"/>
        <w:numPr>
          <w:ilvl w:val="0"/>
          <w:numId w:val="329"/>
        </w:numPr>
        <w:spacing w:after="0" w:line="240" w:lineRule="auto"/>
        <w:rPr>
          <w:rFonts w:ascii="Arial" w:hAnsi="Arial" w:cs="Arial"/>
        </w:rPr>
      </w:pPr>
      <w:r w:rsidRPr="00EA7665">
        <w:rPr>
          <w:rFonts w:ascii="Arial" w:hAnsi="Arial" w:cs="Arial"/>
        </w:rPr>
        <w:t>Cash flow</w:t>
      </w:r>
    </w:p>
    <w:p w14:paraId="69DCAD6E" w14:textId="77777777" w:rsidR="00CD6352" w:rsidRPr="00EA7665" w:rsidRDefault="00CD6352" w:rsidP="007625E7">
      <w:pPr>
        <w:pStyle w:val="ListParagraph"/>
        <w:numPr>
          <w:ilvl w:val="0"/>
          <w:numId w:val="329"/>
        </w:numPr>
        <w:spacing w:after="0" w:line="240" w:lineRule="auto"/>
        <w:rPr>
          <w:rFonts w:ascii="Arial" w:hAnsi="Arial" w:cs="Arial"/>
        </w:rPr>
      </w:pPr>
      <w:r w:rsidRPr="00EA7665">
        <w:rPr>
          <w:rFonts w:ascii="Arial" w:hAnsi="Arial" w:cs="Arial"/>
        </w:rPr>
        <w:t>Financial analysis</w:t>
      </w:r>
    </w:p>
    <w:p w14:paraId="51F643DB" w14:textId="77777777" w:rsidR="00CD6352" w:rsidRPr="00EA7665" w:rsidRDefault="00CD6352" w:rsidP="007625E7">
      <w:pPr>
        <w:pStyle w:val="ListParagraph"/>
        <w:numPr>
          <w:ilvl w:val="0"/>
          <w:numId w:val="329"/>
        </w:numPr>
        <w:spacing w:after="0" w:line="240" w:lineRule="auto"/>
        <w:rPr>
          <w:rFonts w:ascii="Arial" w:hAnsi="Arial" w:cs="Arial"/>
        </w:rPr>
      </w:pPr>
      <w:r w:rsidRPr="00EA7665">
        <w:rPr>
          <w:rFonts w:ascii="Arial" w:hAnsi="Arial" w:cs="Arial"/>
        </w:rPr>
        <w:t>Understanding of the product</w:t>
      </w:r>
    </w:p>
    <w:p w14:paraId="6F95FBCD" w14:textId="51AA98BC" w:rsidR="00CD6352" w:rsidRDefault="00CD6352" w:rsidP="007625E7">
      <w:pPr>
        <w:pStyle w:val="ListParagraph"/>
        <w:numPr>
          <w:ilvl w:val="0"/>
          <w:numId w:val="329"/>
        </w:numPr>
        <w:spacing w:after="0" w:line="240" w:lineRule="auto"/>
        <w:rPr>
          <w:rFonts w:ascii="Arial" w:hAnsi="Arial" w:cs="Arial"/>
        </w:rPr>
      </w:pPr>
      <w:r w:rsidRPr="00EA7665">
        <w:rPr>
          <w:rFonts w:ascii="Arial" w:hAnsi="Arial" w:cs="Arial"/>
        </w:rPr>
        <w:t xml:space="preserve">Knowledge of regulations </w:t>
      </w:r>
    </w:p>
    <w:p w14:paraId="18B24794" w14:textId="281D1D20" w:rsidR="00C7024A" w:rsidRDefault="00C7024A" w:rsidP="00C7024A">
      <w:pPr>
        <w:spacing w:after="0" w:line="240" w:lineRule="auto"/>
        <w:rPr>
          <w:rFonts w:ascii="Arial" w:hAnsi="Arial" w:cs="Arial"/>
        </w:rPr>
      </w:pPr>
    </w:p>
    <w:p w14:paraId="71A22746" w14:textId="77777777" w:rsidR="00C7024A" w:rsidRPr="00C7024A" w:rsidRDefault="00C7024A" w:rsidP="00C7024A">
      <w:pPr>
        <w:spacing w:after="0" w:line="240" w:lineRule="auto"/>
        <w:rPr>
          <w:rFonts w:ascii="Arial" w:hAnsi="Arial" w:cs="Arial"/>
        </w:rPr>
      </w:pPr>
    </w:p>
    <w:p w14:paraId="67E9E01B" w14:textId="24299E72" w:rsidR="00CD6352" w:rsidRPr="00EA7665" w:rsidRDefault="00CD6352" w:rsidP="00CD6352">
      <w:pPr>
        <w:spacing w:line="360" w:lineRule="auto"/>
        <w:rPr>
          <w:rFonts w:ascii="Arial" w:hAnsi="Arial" w:cs="Arial"/>
        </w:rPr>
      </w:pPr>
      <w:r w:rsidRPr="00EA7665">
        <w:rPr>
          <w:rFonts w:ascii="Arial" w:hAnsi="Arial" w:cs="Arial"/>
        </w:rPr>
        <w:t xml:space="preserve">Some knowledge sets that are differing for both developed and emerging economies respectively based on the semi-structured </w:t>
      </w:r>
      <w:r w:rsidR="00C90F3D" w:rsidRPr="00EA7665">
        <w:rPr>
          <w:rFonts w:ascii="Arial" w:hAnsi="Arial" w:cs="Arial"/>
        </w:rPr>
        <w:t>interviews are</w:t>
      </w:r>
      <w:r w:rsidRPr="00EA7665">
        <w:rPr>
          <w:rFonts w:ascii="Arial" w:hAnsi="Arial" w:cs="Arial"/>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D6352" w:rsidRPr="00EA7665" w14:paraId="39C61948" w14:textId="77777777" w:rsidTr="00CD6352">
        <w:tc>
          <w:tcPr>
            <w:tcW w:w="4508" w:type="dxa"/>
          </w:tcPr>
          <w:p w14:paraId="124756BC" w14:textId="77777777" w:rsidR="00CD6352" w:rsidRPr="00EA7665" w:rsidRDefault="00CD6352" w:rsidP="00CD6352">
            <w:pPr>
              <w:rPr>
                <w:rFonts w:ascii="Arial" w:hAnsi="Arial" w:cs="Arial"/>
                <w:b/>
              </w:rPr>
            </w:pPr>
            <w:r w:rsidRPr="00EA7665">
              <w:rPr>
                <w:rFonts w:ascii="Arial" w:hAnsi="Arial" w:cs="Arial"/>
                <w:b/>
              </w:rPr>
              <w:t>Developed economies</w:t>
            </w:r>
          </w:p>
        </w:tc>
        <w:tc>
          <w:tcPr>
            <w:tcW w:w="4508" w:type="dxa"/>
          </w:tcPr>
          <w:p w14:paraId="55D7257D" w14:textId="77777777" w:rsidR="00CD6352" w:rsidRPr="00EA7665" w:rsidRDefault="00CD6352" w:rsidP="00CD6352">
            <w:pPr>
              <w:rPr>
                <w:rFonts w:ascii="Arial" w:hAnsi="Arial" w:cs="Arial"/>
                <w:b/>
              </w:rPr>
            </w:pPr>
            <w:r w:rsidRPr="00EA7665">
              <w:rPr>
                <w:rFonts w:ascii="Arial" w:hAnsi="Arial" w:cs="Arial"/>
                <w:b/>
              </w:rPr>
              <w:t>Emerging economies</w:t>
            </w:r>
          </w:p>
        </w:tc>
      </w:tr>
      <w:tr w:rsidR="00CD6352" w:rsidRPr="00EA7665" w14:paraId="6653690C" w14:textId="77777777" w:rsidTr="00CD6352">
        <w:tc>
          <w:tcPr>
            <w:tcW w:w="4508" w:type="dxa"/>
          </w:tcPr>
          <w:p w14:paraId="7FC4B612"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 xml:space="preserve">Financial modelling </w:t>
            </w:r>
          </w:p>
          <w:p w14:paraId="3889C55A"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 xml:space="preserve">Legal knowledge </w:t>
            </w:r>
          </w:p>
          <w:p w14:paraId="1864EE6E"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 xml:space="preserve">Location knowledge </w:t>
            </w:r>
          </w:p>
          <w:p w14:paraId="731BB88A"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 xml:space="preserve">Policy knowledge </w:t>
            </w:r>
          </w:p>
          <w:p w14:paraId="09838A63"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Risk</w:t>
            </w:r>
          </w:p>
          <w:p w14:paraId="16609C02"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 xml:space="preserve">Technical knowledge </w:t>
            </w:r>
          </w:p>
          <w:p w14:paraId="134DBA5E"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Understanding Joint venture legal document</w:t>
            </w:r>
          </w:p>
          <w:p w14:paraId="27F3601F" w14:textId="3D057962"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Knowledge of loan agreement</w:t>
            </w:r>
            <w:r w:rsidR="008571A3">
              <w:rPr>
                <w:rFonts w:ascii="Arial" w:hAnsi="Arial" w:cs="Arial"/>
              </w:rPr>
              <w:t>s</w:t>
            </w:r>
            <w:r w:rsidRPr="00EA7665">
              <w:rPr>
                <w:rFonts w:ascii="Arial" w:hAnsi="Arial" w:cs="Arial"/>
              </w:rPr>
              <w:t xml:space="preserve"> &amp; how they work</w:t>
            </w:r>
          </w:p>
          <w:p w14:paraId="3EBB530A"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 xml:space="preserve">Understanding of Macroeconomics factors </w:t>
            </w:r>
          </w:p>
          <w:p w14:paraId="336D6EF1"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Awareness of the client’s need</w:t>
            </w:r>
          </w:p>
          <w:p w14:paraId="0845D1E5" w14:textId="77777777" w:rsidR="00CD6352" w:rsidRPr="00EA7665" w:rsidRDefault="00CD6352" w:rsidP="007625E7">
            <w:pPr>
              <w:pStyle w:val="ListParagraph"/>
              <w:numPr>
                <w:ilvl w:val="0"/>
                <w:numId w:val="331"/>
              </w:numPr>
              <w:spacing w:after="0" w:line="240" w:lineRule="auto"/>
              <w:rPr>
                <w:rFonts w:ascii="Arial" w:hAnsi="Arial" w:cs="Arial"/>
              </w:rPr>
            </w:pPr>
            <w:r w:rsidRPr="00EA7665">
              <w:rPr>
                <w:rFonts w:ascii="Arial" w:hAnsi="Arial" w:cs="Arial"/>
              </w:rPr>
              <w:t>Knowledge of what lenders want</w:t>
            </w:r>
          </w:p>
          <w:p w14:paraId="7991F676" w14:textId="77777777" w:rsidR="00CD6352" w:rsidRPr="00EA7665" w:rsidRDefault="00CD6352" w:rsidP="00CD6352">
            <w:pPr>
              <w:rPr>
                <w:rFonts w:ascii="Arial" w:hAnsi="Arial" w:cs="Arial"/>
              </w:rPr>
            </w:pPr>
          </w:p>
        </w:tc>
        <w:tc>
          <w:tcPr>
            <w:tcW w:w="4508" w:type="dxa"/>
          </w:tcPr>
          <w:p w14:paraId="6FA8F683"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Asset management</w:t>
            </w:r>
          </w:p>
          <w:p w14:paraId="4006044A"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Feasibility studies</w:t>
            </w:r>
          </w:p>
          <w:p w14:paraId="41DF58BC"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Knowledge of accounting and economics</w:t>
            </w:r>
          </w:p>
          <w:p w14:paraId="305BF393"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 xml:space="preserve">Knowledge of finance instruments </w:t>
            </w:r>
          </w:p>
          <w:p w14:paraId="529C089F"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Knowledge of location &amp; topography</w:t>
            </w:r>
          </w:p>
          <w:p w14:paraId="47039AC5"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Leadership &amp; negotiation</w:t>
            </w:r>
          </w:p>
          <w:p w14:paraId="70555DB1"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Portfolio management</w:t>
            </w:r>
          </w:p>
          <w:p w14:paraId="15F83F3F"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Proposal packing</w:t>
            </w:r>
          </w:p>
          <w:p w14:paraId="6F9F15BF"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Quantity surveying</w:t>
            </w:r>
          </w:p>
          <w:p w14:paraId="451233A0" w14:textId="77777777" w:rsidR="00CD6352" w:rsidRPr="007E0EB6" w:rsidRDefault="00CD6352" w:rsidP="007E0EB6">
            <w:pPr>
              <w:pStyle w:val="ListParagraph"/>
              <w:numPr>
                <w:ilvl w:val="0"/>
                <w:numId w:val="398"/>
              </w:numPr>
              <w:spacing w:after="0" w:line="240" w:lineRule="auto"/>
              <w:rPr>
                <w:rFonts w:ascii="Arial" w:hAnsi="Arial" w:cs="Arial"/>
              </w:rPr>
            </w:pPr>
            <w:r w:rsidRPr="007E0EB6">
              <w:rPr>
                <w:rFonts w:ascii="Arial" w:hAnsi="Arial" w:cs="Arial"/>
              </w:rPr>
              <w:t>Technical knowledge</w:t>
            </w:r>
          </w:p>
        </w:tc>
      </w:tr>
    </w:tbl>
    <w:p w14:paraId="646E1740" w14:textId="41BF7460" w:rsidR="00CD6352" w:rsidRDefault="00CD6352" w:rsidP="00CD6352">
      <w:pPr>
        <w:pStyle w:val="Heading3"/>
        <w:rPr>
          <w:sz w:val="22"/>
          <w:szCs w:val="22"/>
        </w:rPr>
      </w:pPr>
      <w:bookmarkStart w:id="1351" w:name="_Toc78983907"/>
      <w:r w:rsidRPr="00EA7665">
        <w:rPr>
          <w:sz w:val="22"/>
          <w:szCs w:val="22"/>
        </w:rPr>
        <w:t xml:space="preserve">The implication of the findings </w:t>
      </w:r>
      <w:r w:rsidR="00174B8A">
        <w:rPr>
          <w:sz w:val="22"/>
          <w:szCs w:val="22"/>
        </w:rPr>
        <w:t xml:space="preserve">on knowledge for securing finance for real estate project development for the developed and emerging </w:t>
      </w:r>
      <w:r w:rsidR="004D0CC4">
        <w:rPr>
          <w:sz w:val="22"/>
          <w:szCs w:val="22"/>
        </w:rPr>
        <w:t>economies.</w:t>
      </w:r>
      <w:bookmarkEnd w:id="1351"/>
    </w:p>
    <w:p w14:paraId="65874BBC" w14:textId="77777777" w:rsidR="004D0CC4" w:rsidRPr="004D0CC4" w:rsidRDefault="004D0CC4" w:rsidP="004D0CC4"/>
    <w:p w14:paraId="6E7EE08B" w14:textId="3AD06894" w:rsidR="00CD6352" w:rsidRPr="00EA7665" w:rsidRDefault="00CD6352" w:rsidP="00CD6352">
      <w:pPr>
        <w:spacing w:line="360" w:lineRule="auto"/>
        <w:jc w:val="both"/>
        <w:rPr>
          <w:rFonts w:ascii="Arial" w:hAnsi="Arial" w:cs="Arial"/>
        </w:rPr>
      </w:pPr>
      <w:bookmarkStart w:id="1352" w:name="_Hlk45896579"/>
      <w:r w:rsidRPr="00EA7665">
        <w:rPr>
          <w:rFonts w:ascii="Arial" w:hAnsi="Arial" w:cs="Arial"/>
        </w:rPr>
        <w:t xml:space="preserve">The findings from the questionnaires and semi-structured interviews show that there are varied financial knowledge sets that the managers in the real estate sector use for securing finance for real estate project development. </w:t>
      </w:r>
      <w:bookmarkEnd w:id="1352"/>
      <w:r w:rsidRPr="00EA7665">
        <w:rPr>
          <w:rFonts w:ascii="Arial" w:hAnsi="Arial" w:cs="Arial"/>
        </w:rPr>
        <w:t xml:space="preserve">The findings also show that there </w:t>
      </w:r>
      <w:r>
        <w:rPr>
          <w:rFonts w:ascii="Arial" w:hAnsi="Arial" w:cs="Arial"/>
        </w:rPr>
        <w:t>are</w:t>
      </w:r>
      <w:r w:rsidRPr="00EA7665">
        <w:rPr>
          <w:rFonts w:ascii="Arial" w:hAnsi="Arial" w:cs="Arial"/>
        </w:rPr>
        <w:t xml:space="preserve"> some knowledge </w:t>
      </w:r>
      <w:r>
        <w:rPr>
          <w:rFonts w:ascii="Arial" w:hAnsi="Arial" w:cs="Arial"/>
        </w:rPr>
        <w:t xml:space="preserve">sets, </w:t>
      </w:r>
      <w:r w:rsidRPr="00EA7665">
        <w:rPr>
          <w:rFonts w:ascii="Arial" w:hAnsi="Arial" w:cs="Arial"/>
        </w:rPr>
        <w:t xml:space="preserve">which they need training and education to </w:t>
      </w:r>
      <w:r w:rsidR="00C90F3D" w:rsidRPr="00EA7665">
        <w:rPr>
          <w:rFonts w:ascii="Arial" w:hAnsi="Arial" w:cs="Arial"/>
        </w:rPr>
        <w:t>acquire</w:t>
      </w:r>
      <w:r w:rsidR="00C90F3D">
        <w:rPr>
          <w:rFonts w:ascii="Arial" w:hAnsi="Arial" w:cs="Arial"/>
        </w:rPr>
        <w:t>,</w:t>
      </w:r>
      <w:r w:rsidR="00C90F3D" w:rsidRPr="00EA7665">
        <w:rPr>
          <w:rFonts w:ascii="Arial" w:hAnsi="Arial" w:cs="Arial"/>
        </w:rPr>
        <w:t xml:space="preserve"> </w:t>
      </w:r>
      <w:r w:rsidR="0029140E">
        <w:rPr>
          <w:rFonts w:ascii="Arial" w:hAnsi="Arial" w:cs="Arial"/>
        </w:rPr>
        <w:t xml:space="preserve">that </w:t>
      </w:r>
      <w:r w:rsidRPr="00EA7665">
        <w:rPr>
          <w:rFonts w:ascii="Arial" w:hAnsi="Arial" w:cs="Arial"/>
        </w:rPr>
        <w:t>the managers consid</w:t>
      </w:r>
      <w:r>
        <w:rPr>
          <w:rFonts w:ascii="Arial" w:hAnsi="Arial" w:cs="Arial"/>
        </w:rPr>
        <w:t>ered</w:t>
      </w:r>
      <w:r w:rsidRPr="00EA7665">
        <w:rPr>
          <w:rFonts w:ascii="Arial" w:hAnsi="Arial" w:cs="Arial"/>
        </w:rPr>
        <w:t xml:space="preserve"> important for their present and future jobs for securing finance for real estate project </w:t>
      </w:r>
      <w:r w:rsidRPr="00EA7665">
        <w:rPr>
          <w:rFonts w:ascii="Arial" w:hAnsi="Arial" w:cs="Arial"/>
        </w:rPr>
        <w:lastRenderedPageBreak/>
        <w:t>development</w:t>
      </w:r>
      <w:r>
        <w:rPr>
          <w:rFonts w:ascii="Arial" w:hAnsi="Arial" w:cs="Arial"/>
        </w:rPr>
        <w:t>.</w:t>
      </w:r>
      <w:r w:rsidRPr="00EA7665">
        <w:rPr>
          <w:rFonts w:ascii="Arial" w:hAnsi="Arial" w:cs="Arial"/>
        </w:rPr>
        <w:t xml:space="preserve"> </w:t>
      </w:r>
      <w:r>
        <w:rPr>
          <w:rFonts w:ascii="Arial" w:hAnsi="Arial" w:cs="Arial"/>
        </w:rPr>
        <w:t>T</w:t>
      </w:r>
      <w:r w:rsidRPr="00EA7665">
        <w:rPr>
          <w:rFonts w:ascii="Arial" w:hAnsi="Arial" w:cs="Arial"/>
        </w:rPr>
        <w:t>here are some knowledge sets that some managers claim they need but presently do not have</w:t>
      </w:r>
      <w:r w:rsidR="0029140E">
        <w:rPr>
          <w:rFonts w:ascii="Arial" w:hAnsi="Arial" w:cs="Arial"/>
        </w:rPr>
        <w:t>;</w:t>
      </w:r>
      <w:r>
        <w:rPr>
          <w:rFonts w:ascii="Arial" w:hAnsi="Arial" w:cs="Arial"/>
        </w:rPr>
        <w:t xml:space="preserve"> however</w:t>
      </w:r>
      <w:r w:rsidR="00D152D8">
        <w:rPr>
          <w:rFonts w:ascii="Arial" w:hAnsi="Arial" w:cs="Arial"/>
        </w:rPr>
        <w:t>,</w:t>
      </w:r>
      <w:r>
        <w:rPr>
          <w:rFonts w:ascii="Arial" w:hAnsi="Arial" w:cs="Arial"/>
        </w:rPr>
        <w:t xml:space="preserve"> they</w:t>
      </w:r>
      <w:r w:rsidRPr="00EA7665">
        <w:rPr>
          <w:rFonts w:ascii="Arial" w:hAnsi="Arial" w:cs="Arial"/>
        </w:rPr>
        <w:t xml:space="preserve"> would employ qualified personnel to execute </w:t>
      </w:r>
      <w:r>
        <w:rPr>
          <w:rFonts w:ascii="Arial" w:hAnsi="Arial" w:cs="Arial"/>
        </w:rPr>
        <w:t>the</w:t>
      </w:r>
      <w:r w:rsidR="00C6021C">
        <w:rPr>
          <w:rFonts w:ascii="Arial" w:hAnsi="Arial" w:cs="Arial"/>
        </w:rPr>
        <w:t xml:space="preserve"> tasks</w:t>
      </w:r>
      <w:r>
        <w:rPr>
          <w:rFonts w:ascii="Arial" w:hAnsi="Arial" w:cs="Arial"/>
        </w:rPr>
        <w:t xml:space="preserve"> </w:t>
      </w:r>
      <w:r w:rsidRPr="00EA7665">
        <w:rPr>
          <w:rFonts w:ascii="Arial" w:hAnsi="Arial" w:cs="Arial"/>
        </w:rPr>
        <w:t>rather than getting trained to acquire</w:t>
      </w:r>
      <w:r>
        <w:rPr>
          <w:rFonts w:ascii="Arial" w:hAnsi="Arial" w:cs="Arial"/>
        </w:rPr>
        <w:t xml:space="preserve"> them</w:t>
      </w:r>
      <w:r w:rsidRPr="00EA7665">
        <w:rPr>
          <w:rFonts w:ascii="Arial" w:hAnsi="Arial" w:cs="Arial"/>
        </w:rPr>
        <w:t xml:space="preserve">. </w:t>
      </w:r>
    </w:p>
    <w:p w14:paraId="14791CB9" w14:textId="700E0398" w:rsidR="00CD6352" w:rsidRPr="00EA7665" w:rsidRDefault="00D152D8" w:rsidP="00CD6352">
      <w:pPr>
        <w:spacing w:line="360" w:lineRule="auto"/>
        <w:jc w:val="both"/>
        <w:rPr>
          <w:rFonts w:ascii="Arial" w:hAnsi="Arial" w:cs="Arial"/>
        </w:rPr>
      </w:pPr>
      <w:bookmarkStart w:id="1353" w:name="_Hlk43123936"/>
      <w:r>
        <w:rPr>
          <w:rFonts w:ascii="Arial" w:hAnsi="Arial" w:cs="Arial"/>
        </w:rPr>
        <w:t>T</w:t>
      </w:r>
      <w:r w:rsidRPr="00D152D8">
        <w:rPr>
          <w:rFonts w:ascii="Arial" w:hAnsi="Arial" w:cs="Arial"/>
        </w:rPr>
        <w:t>his study developed an inventory of management’s financial knowledge for securing finance for real estate project development</w:t>
      </w:r>
      <w:r>
        <w:rPr>
          <w:rFonts w:ascii="Arial" w:hAnsi="Arial" w:cs="Arial"/>
        </w:rPr>
        <w:t>;</w:t>
      </w:r>
      <w:r w:rsidRPr="00D152D8">
        <w:rPr>
          <w:rFonts w:ascii="Arial" w:hAnsi="Arial" w:cs="Arial"/>
        </w:rPr>
        <w:t xml:space="preserve"> </w:t>
      </w:r>
      <w:r>
        <w:rPr>
          <w:rFonts w:ascii="Arial" w:hAnsi="Arial" w:cs="Arial"/>
        </w:rPr>
        <w:t>t</w:t>
      </w:r>
      <w:r w:rsidR="00CD6352" w:rsidRPr="00EA7665">
        <w:rPr>
          <w:rFonts w:ascii="Arial" w:hAnsi="Arial" w:cs="Arial"/>
        </w:rPr>
        <w:t xml:space="preserve">o bridge the </w:t>
      </w:r>
      <w:r>
        <w:rPr>
          <w:rFonts w:ascii="Arial" w:hAnsi="Arial" w:cs="Arial"/>
        </w:rPr>
        <w:t>knowledge gap</w:t>
      </w:r>
      <w:r w:rsidR="0029140E">
        <w:rPr>
          <w:rFonts w:ascii="Arial" w:hAnsi="Arial" w:cs="Arial"/>
        </w:rPr>
        <w:t xml:space="preserve"> on</w:t>
      </w:r>
      <w:r w:rsidR="00CD6352" w:rsidRPr="00EA7665">
        <w:rPr>
          <w:rFonts w:ascii="Arial" w:hAnsi="Arial" w:cs="Arial"/>
        </w:rPr>
        <w:t xml:space="preserve"> the</w:t>
      </w:r>
      <w:r w:rsidR="0029140E">
        <w:rPr>
          <w:rFonts w:ascii="Arial" w:hAnsi="Arial" w:cs="Arial"/>
        </w:rPr>
        <w:t xml:space="preserve"> financial</w:t>
      </w:r>
      <w:r w:rsidR="00CD6352" w:rsidRPr="00EA7665">
        <w:rPr>
          <w:rFonts w:ascii="Arial" w:hAnsi="Arial" w:cs="Arial"/>
        </w:rPr>
        <w:t xml:space="preserve"> knowledge</w:t>
      </w:r>
      <w:r w:rsidR="0029140E">
        <w:rPr>
          <w:rFonts w:ascii="Arial" w:hAnsi="Arial" w:cs="Arial"/>
        </w:rPr>
        <w:t xml:space="preserve"> sets</w:t>
      </w:r>
      <w:r w:rsidR="00CD6352" w:rsidRPr="00EA7665">
        <w:rPr>
          <w:rFonts w:ascii="Arial" w:hAnsi="Arial" w:cs="Arial"/>
        </w:rPr>
        <w:t xml:space="preserve"> that managers </w:t>
      </w:r>
      <w:r w:rsidR="0029140E">
        <w:rPr>
          <w:rFonts w:ascii="Arial" w:hAnsi="Arial" w:cs="Arial"/>
        </w:rPr>
        <w:t>need</w:t>
      </w:r>
      <w:r w:rsidR="00CD6352" w:rsidRPr="00EA7665">
        <w:rPr>
          <w:rFonts w:ascii="Arial" w:hAnsi="Arial" w:cs="Arial"/>
        </w:rPr>
        <w:t xml:space="preserve"> for </w:t>
      </w:r>
      <w:r>
        <w:rPr>
          <w:rFonts w:ascii="Arial" w:hAnsi="Arial" w:cs="Arial"/>
        </w:rPr>
        <w:t>obtain</w:t>
      </w:r>
      <w:r w:rsidR="00CD6352" w:rsidRPr="00EA7665">
        <w:rPr>
          <w:rFonts w:ascii="Arial" w:hAnsi="Arial" w:cs="Arial"/>
        </w:rPr>
        <w:t xml:space="preserve">ing finance for real estate project development. </w:t>
      </w:r>
      <w:r w:rsidR="004A7ED9" w:rsidRPr="00EA7665">
        <w:rPr>
          <w:rFonts w:ascii="Arial" w:hAnsi="Arial" w:cs="Arial"/>
        </w:rPr>
        <w:t>These management knowledge</w:t>
      </w:r>
      <w:r w:rsidR="00063F0D">
        <w:rPr>
          <w:rFonts w:ascii="Arial" w:hAnsi="Arial" w:cs="Arial"/>
        </w:rPr>
        <w:t xml:space="preserve"> sets</w:t>
      </w:r>
      <w:r w:rsidR="00CD6352" w:rsidRPr="00EA7665">
        <w:rPr>
          <w:rFonts w:ascii="Arial" w:hAnsi="Arial" w:cs="Arial"/>
        </w:rPr>
        <w:t xml:space="preserve"> are restricted to financial management knowledge and </w:t>
      </w:r>
      <w:r>
        <w:rPr>
          <w:rFonts w:ascii="Arial" w:hAnsi="Arial" w:cs="Arial"/>
        </w:rPr>
        <w:t>comprise</w:t>
      </w:r>
      <w:r w:rsidR="00CD6352" w:rsidRPr="00EA7665">
        <w:rPr>
          <w:rFonts w:ascii="Arial" w:hAnsi="Arial" w:cs="Arial"/>
        </w:rPr>
        <w:t xml:space="preserve"> findings from both the questionnaire surv</w:t>
      </w:r>
      <w:r w:rsidR="00CD6352">
        <w:rPr>
          <w:rFonts w:ascii="Arial" w:hAnsi="Arial" w:cs="Arial"/>
        </w:rPr>
        <w:t>eys</w:t>
      </w:r>
      <w:r w:rsidR="00CD6352" w:rsidRPr="00EA7665">
        <w:rPr>
          <w:rFonts w:ascii="Arial" w:hAnsi="Arial" w:cs="Arial"/>
        </w:rPr>
        <w:t xml:space="preserve"> and semi-structured interviews. The inventory of financial management knowledge for securing finance for real estate project development is sho</w:t>
      </w:r>
      <w:r w:rsidR="00CD6352">
        <w:rPr>
          <w:rFonts w:ascii="Arial" w:hAnsi="Arial" w:cs="Arial"/>
        </w:rPr>
        <w:t>wn</w:t>
      </w:r>
      <w:r w:rsidR="00CD6352" w:rsidRPr="00EA7665">
        <w:rPr>
          <w:rFonts w:ascii="Arial" w:hAnsi="Arial" w:cs="Arial"/>
        </w:rPr>
        <w:t xml:space="preserve"> below</w:t>
      </w:r>
      <w:r w:rsidR="004E0961">
        <w:rPr>
          <w:rFonts w:ascii="Arial" w:hAnsi="Arial" w:cs="Arial"/>
        </w:rPr>
        <w:t xml:space="preserve"> (see table 8.3.</w:t>
      </w:r>
      <w:r w:rsidR="00AC398C">
        <w:rPr>
          <w:rFonts w:ascii="Arial" w:hAnsi="Arial" w:cs="Arial"/>
        </w:rPr>
        <w:t>9</w:t>
      </w:r>
      <w:r w:rsidR="00193ACF">
        <w:rPr>
          <w:rFonts w:ascii="Arial" w:hAnsi="Arial" w:cs="Arial"/>
        </w:rPr>
        <w:t>)</w:t>
      </w:r>
      <w:r w:rsidR="00CD6352" w:rsidRPr="00EA7665">
        <w:rPr>
          <w:rFonts w:ascii="Arial" w:hAnsi="Arial" w:cs="Arial"/>
        </w:rPr>
        <w:t>. It is also contained in the toolkit for securing finance for real estate project development</w:t>
      </w:r>
      <w:r w:rsidR="00CD6352">
        <w:rPr>
          <w:rFonts w:ascii="Arial" w:hAnsi="Arial" w:cs="Arial"/>
        </w:rPr>
        <w:t xml:space="preserve"> in chapter </w:t>
      </w:r>
      <w:r w:rsidR="00310511">
        <w:rPr>
          <w:rFonts w:ascii="Arial" w:hAnsi="Arial" w:cs="Arial"/>
        </w:rPr>
        <w:t>10</w:t>
      </w:r>
      <w:r w:rsidR="00CD6352" w:rsidRPr="00EA7665">
        <w:rPr>
          <w:rFonts w:ascii="Arial" w:hAnsi="Arial" w:cs="Arial"/>
        </w:rPr>
        <w:t>.</w:t>
      </w:r>
    </w:p>
    <w:p w14:paraId="298762F1" w14:textId="47808271" w:rsidR="00BD3E03" w:rsidRPr="00BD3E03" w:rsidRDefault="00BD3E03" w:rsidP="00BD3E03">
      <w:pPr>
        <w:pStyle w:val="Caption"/>
        <w:keepNext/>
        <w:rPr>
          <w:rFonts w:ascii="Arial" w:hAnsi="Arial" w:cs="Arial"/>
          <w:sz w:val="16"/>
          <w:szCs w:val="16"/>
        </w:rPr>
      </w:pPr>
      <w:bookmarkStart w:id="1354" w:name="_Toc78984014"/>
      <w:r w:rsidRPr="00BD3E03">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9</w:t>
      </w:r>
      <w:r w:rsidR="008F25B1">
        <w:rPr>
          <w:rFonts w:ascii="Arial" w:hAnsi="Arial" w:cs="Arial"/>
          <w:sz w:val="16"/>
          <w:szCs w:val="16"/>
        </w:rPr>
        <w:fldChar w:fldCharType="end"/>
      </w:r>
      <w:r w:rsidRPr="00BD3E03">
        <w:rPr>
          <w:rFonts w:ascii="Arial" w:hAnsi="Arial" w:cs="Arial"/>
          <w:sz w:val="16"/>
          <w:szCs w:val="16"/>
        </w:rPr>
        <w:t>: Inventory of financial knowledge for securing finance for real estate project development.</w:t>
      </w:r>
      <w:bookmarkEnd w:id="1354"/>
    </w:p>
    <w:tbl>
      <w:tblPr>
        <w:tblStyle w:val="TableGrid"/>
        <w:tblW w:w="0" w:type="auto"/>
        <w:tblLook w:val="04A0" w:firstRow="1" w:lastRow="0" w:firstColumn="1" w:lastColumn="0" w:noHBand="0" w:noVBand="1"/>
      </w:tblPr>
      <w:tblGrid>
        <w:gridCol w:w="8613"/>
      </w:tblGrid>
      <w:tr w:rsidR="00CD6352" w:rsidRPr="00BD3E03" w14:paraId="15D02C17" w14:textId="77777777" w:rsidTr="00CD6352">
        <w:trPr>
          <w:trHeight w:val="1223"/>
        </w:trPr>
        <w:tc>
          <w:tcPr>
            <w:tcW w:w="8613" w:type="dxa"/>
          </w:tcPr>
          <w:p w14:paraId="1022441B"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w:t>
            </w:r>
            <w:r w:rsidRPr="00BD3E03">
              <w:rPr>
                <w:rFonts w:ascii="Arial" w:hAnsi="Arial" w:cs="Arial"/>
                <w:sz w:val="16"/>
                <w:szCs w:val="16"/>
              </w:rPr>
              <w:tab/>
              <w:t>Asset management</w:t>
            </w:r>
          </w:p>
          <w:p w14:paraId="0D9B73F6"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w:t>
            </w:r>
            <w:r w:rsidRPr="00BD3E03">
              <w:rPr>
                <w:rFonts w:ascii="Arial" w:hAnsi="Arial" w:cs="Arial"/>
                <w:sz w:val="16"/>
                <w:szCs w:val="16"/>
              </w:rPr>
              <w:tab/>
              <w:t>Awareness of the client’s need</w:t>
            </w:r>
          </w:p>
          <w:p w14:paraId="1FBC6808"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w:t>
            </w:r>
            <w:r w:rsidRPr="00BD3E03">
              <w:rPr>
                <w:rFonts w:ascii="Arial" w:hAnsi="Arial" w:cs="Arial"/>
                <w:sz w:val="16"/>
                <w:szCs w:val="16"/>
              </w:rPr>
              <w:tab/>
              <w:t>Cash flow</w:t>
            </w:r>
          </w:p>
          <w:p w14:paraId="19EFAF35"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4.</w:t>
            </w:r>
            <w:r w:rsidRPr="00BD3E03">
              <w:rPr>
                <w:rFonts w:ascii="Arial" w:hAnsi="Arial" w:cs="Arial"/>
                <w:sz w:val="16"/>
                <w:szCs w:val="16"/>
              </w:rPr>
              <w:tab/>
              <w:t>Contingency approach</w:t>
            </w:r>
          </w:p>
          <w:p w14:paraId="1B2155DA"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5.</w:t>
            </w:r>
            <w:r w:rsidRPr="00BD3E03">
              <w:rPr>
                <w:rFonts w:ascii="Arial" w:hAnsi="Arial" w:cs="Arial"/>
                <w:sz w:val="16"/>
                <w:szCs w:val="16"/>
              </w:rPr>
              <w:tab/>
              <w:t>Cost calculation techniques</w:t>
            </w:r>
          </w:p>
          <w:p w14:paraId="68E75E9D"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6.</w:t>
            </w:r>
            <w:r w:rsidRPr="00BD3E03">
              <w:rPr>
                <w:rFonts w:ascii="Arial" w:hAnsi="Arial" w:cs="Arial"/>
                <w:sz w:val="16"/>
                <w:szCs w:val="16"/>
              </w:rPr>
              <w:tab/>
              <w:t>Cost estimation methods</w:t>
            </w:r>
          </w:p>
          <w:p w14:paraId="0F25A5BF"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7.</w:t>
            </w:r>
            <w:r w:rsidRPr="00BD3E03">
              <w:rPr>
                <w:rFonts w:ascii="Arial" w:hAnsi="Arial" w:cs="Arial"/>
                <w:sz w:val="16"/>
                <w:szCs w:val="16"/>
              </w:rPr>
              <w:tab/>
              <w:t>Debt literacy</w:t>
            </w:r>
          </w:p>
          <w:p w14:paraId="32545BC4"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8.</w:t>
            </w:r>
            <w:r w:rsidRPr="00BD3E03">
              <w:rPr>
                <w:rFonts w:ascii="Arial" w:hAnsi="Arial" w:cs="Arial"/>
                <w:sz w:val="16"/>
                <w:szCs w:val="16"/>
              </w:rPr>
              <w:tab/>
              <w:t>Feasibility studies</w:t>
            </w:r>
          </w:p>
          <w:p w14:paraId="69513DB3"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9.</w:t>
            </w:r>
            <w:r w:rsidRPr="00BD3E03">
              <w:rPr>
                <w:rFonts w:ascii="Arial" w:hAnsi="Arial" w:cs="Arial"/>
                <w:sz w:val="16"/>
                <w:szCs w:val="16"/>
              </w:rPr>
              <w:tab/>
              <w:t>Finance options</w:t>
            </w:r>
          </w:p>
          <w:p w14:paraId="6CB8F183"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10.</w:t>
            </w:r>
            <w:r w:rsidRPr="00BD3E03">
              <w:rPr>
                <w:rFonts w:ascii="Arial" w:hAnsi="Arial" w:cs="Arial"/>
                <w:sz w:val="16"/>
                <w:szCs w:val="16"/>
              </w:rPr>
              <w:tab/>
              <w:t xml:space="preserve">Financial accounting basics </w:t>
            </w:r>
          </w:p>
          <w:p w14:paraId="0E16279A"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11.</w:t>
            </w:r>
            <w:r w:rsidRPr="00BD3E03">
              <w:rPr>
                <w:rFonts w:ascii="Arial" w:hAnsi="Arial" w:cs="Arial"/>
                <w:sz w:val="16"/>
                <w:szCs w:val="16"/>
              </w:rPr>
              <w:tab/>
              <w:t>Financial analysis</w:t>
            </w:r>
          </w:p>
          <w:p w14:paraId="02F9FFEA"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12.</w:t>
            </w:r>
            <w:r w:rsidRPr="00BD3E03">
              <w:rPr>
                <w:rFonts w:ascii="Arial" w:hAnsi="Arial" w:cs="Arial"/>
                <w:sz w:val="16"/>
                <w:szCs w:val="16"/>
              </w:rPr>
              <w:tab/>
              <w:t>Financial management concepts &amp; terms such as ( cash flow, debt – asset ratio, return on investment &amp; rate of return)</w:t>
            </w:r>
          </w:p>
          <w:p w14:paraId="4BDB53A1"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13.</w:t>
            </w:r>
            <w:r w:rsidRPr="00BD3E03">
              <w:rPr>
                <w:rFonts w:ascii="Arial" w:hAnsi="Arial" w:cs="Arial"/>
                <w:sz w:val="16"/>
                <w:szCs w:val="16"/>
              </w:rPr>
              <w:tab/>
              <w:t xml:space="preserve">Financial modelling </w:t>
            </w:r>
          </w:p>
          <w:p w14:paraId="382413FE"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14.</w:t>
            </w:r>
            <w:r w:rsidRPr="00BD3E03">
              <w:rPr>
                <w:rFonts w:ascii="Arial" w:hAnsi="Arial" w:cs="Arial"/>
                <w:sz w:val="16"/>
                <w:szCs w:val="16"/>
              </w:rPr>
              <w:tab/>
              <w:t>Fundamental concepts of economics &amp; finance ( e.g. calculation of interest rate &amp; inflation)</w:t>
            </w:r>
          </w:p>
          <w:p w14:paraId="5B1FD336"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15.</w:t>
            </w:r>
            <w:r w:rsidRPr="00BD3E03">
              <w:rPr>
                <w:rFonts w:ascii="Arial" w:hAnsi="Arial" w:cs="Arial"/>
                <w:sz w:val="16"/>
                <w:szCs w:val="16"/>
              </w:rPr>
              <w:tab/>
              <w:t>Funding sources</w:t>
            </w:r>
          </w:p>
          <w:p w14:paraId="6EF69395"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16.</w:t>
            </w:r>
            <w:r w:rsidRPr="00BD3E03">
              <w:rPr>
                <w:rFonts w:ascii="Arial" w:hAnsi="Arial" w:cs="Arial"/>
                <w:sz w:val="16"/>
                <w:szCs w:val="16"/>
              </w:rPr>
              <w:tab/>
              <w:t>Knowledge of accounting and economics</w:t>
            </w:r>
          </w:p>
          <w:p w14:paraId="0488BA96"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17.</w:t>
            </w:r>
            <w:r w:rsidRPr="00BD3E03">
              <w:rPr>
                <w:rFonts w:ascii="Arial" w:hAnsi="Arial" w:cs="Arial"/>
                <w:sz w:val="16"/>
                <w:szCs w:val="16"/>
              </w:rPr>
              <w:tab/>
              <w:t xml:space="preserve">Knowledge of finance instruments </w:t>
            </w:r>
          </w:p>
          <w:p w14:paraId="0C6ABEEC"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18.</w:t>
            </w:r>
            <w:r w:rsidRPr="00BD3E03">
              <w:rPr>
                <w:rFonts w:ascii="Arial" w:hAnsi="Arial" w:cs="Arial"/>
                <w:sz w:val="16"/>
                <w:szCs w:val="16"/>
              </w:rPr>
              <w:tab/>
              <w:t>Knowledge of loan agreement &amp; how they work</w:t>
            </w:r>
          </w:p>
          <w:p w14:paraId="762B2093"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19.</w:t>
            </w:r>
            <w:r w:rsidRPr="00BD3E03">
              <w:rPr>
                <w:rFonts w:ascii="Arial" w:hAnsi="Arial" w:cs="Arial"/>
                <w:sz w:val="16"/>
                <w:szCs w:val="16"/>
              </w:rPr>
              <w:tab/>
              <w:t>Knowledge of location &amp; topography</w:t>
            </w:r>
          </w:p>
          <w:p w14:paraId="6F8D941F"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20.</w:t>
            </w:r>
            <w:r w:rsidRPr="00BD3E03">
              <w:rPr>
                <w:rFonts w:ascii="Arial" w:hAnsi="Arial" w:cs="Arial"/>
                <w:sz w:val="16"/>
                <w:szCs w:val="16"/>
              </w:rPr>
              <w:tab/>
              <w:t xml:space="preserve">Knowledge of regulations </w:t>
            </w:r>
          </w:p>
          <w:p w14:paraId="257858AF"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21.</w:t>
            </w:r>
            <w:r w:rsidRPr="00BD3E03">
              <w:rPr>
                <w:rFonts w:ascii="Arial" w:hAnsi="Arial" w:cs="Arial"/>
                <w:sz w:val="16"/>
                <w:szCs w:val="16"/>
              </w:rPr>
              <w:tab/>
              <w:t>Knowledge of the market</w:t>
            </w:r>
          </w:p>
          <w:p w14:paraId="14EEE8F3"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22.</w:t>
            </w:r>
            <w:r w:rsidRPr="00BD3E03">
              <w:rPr>
                <w:rFonts w:ascii="Arial" w:hAnsi="Arial" w:cs="Arial"/>
                <w:sz w:val="16"/>
                <w:szCs w:val="16"/>
              </w:rPr>
              <w:tab/>
              <w:t>Knowledge of what lenders want</w:t>
            </w:r>
          </w:p>
          <w:p w14:paraId="2C6B6EAC"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lastRenderedPageBreak/>
              <w:t>23.</w:t>
            </w:r>
            <w:r w:rsidRPr="00BD3E03">
              <w:rPr>
                <w:rFonts w:ascii="Arial" w:hAnsi="Arial" w:cs="Arial"/>
                <w:sz w:val="16"/>
                <w:szCs w:val="16"/>
              </w:rPr>
              <w:tab/>
              <w:t>Leadership &amp; negotiation knowledge</w:t>
            </w:r>
          </w:p>
          <w:p w14:paraId="30817F66"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24.</w:t>
            </w:r>
            <w:r w:rsidRPr="00BD3E03">
              <w:rPr>
                <w:rFonts w:ascii="Arial" w:hAnsi="Arial" w:cs="Arial"/>
                <w:sz w:val="16"/>
                <w:szCs w:val="16"/>
              </w:rPr>
              <w:tab/>
              <w:t xml:space="preserve">Legal knowledge </w:t>
            </w:r>
          </w:p>
          <w:p w14:paraId="73012765"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25.</w:t>
            </w:r>
            <w:r w:rsidRPr="00BD3E03">
              <w:rPr>
                <w:rFonts w:ascii="Arial" w:hAnsi="Arial" w:cs="Arial"/>
                <w:sz w:val="16"/>
                <w:szCs w:val="16"/>
              </w:rPr>
              <w:tab/>
              <w:t xml:space="preserve">Location knowledge </w:t>
            </w:r>
          </w:p>
          <w:p w14:paraId="0E514881"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26.</w:t>
            </w:r>
            <w:r w:rsidRPr="00BD3E03">
              <w:rPr>
                <w:rFonts w:ascii="Arial" w:hAnsi="Arial" w:cs="Arial"/>
                <w:sz w:val="16"/>
                <w:szCs w:val="16"/>
              </w:rPr>
              <w:tab/>
              <w:t xml:space="preserve">Market intelligence </w:t>
            </w:r>
          </w:p>
          <w:p w14:paraId="5F572540"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27.</w:t>
            </w:r>
            <w:r w:rsidRPr="00BD3E03">
              <w:rPr>
                <w:rFonts w:ascii="Arial" w:hAnsi="Arial" w:cs="Arial"/>
                <w:sz w:val="16"/>
                <w:szCs w:val="16"/>
              </w:rPr>
              <w:tab/>
              <w:t>Performance indicator</w:t>
            </w:r>
          </w:p>
          <w:p w14:paraId="2D3CDE6B"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28.</w:t>
            </w:r>
            <w:r w:rsidRPr="00BD3E03">
              <w:rPr>
                <w:rFonts w:ascii="Arial" w:hAnsi="Arial" w:cs="Arial"/>
                <w:sz w:val="16"/>
                <w:szCs w:val="16"/>
              </w:rPr>
              <w:tab/>
              <w:t xml:space="preserve">Policy knowledge </w:t>
            </w:r>
          </w:p>
          <w:p w14:paraId="132D845E"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29.</w:t>
            </w:r>
            <w:r w:rsidRPr="00BD3E03">
              <w:rPr>
                <w:rFonts w:ascii="Arial" w:hAnsi="Arial" w:cs="Arial"/>
                <w:sz w:val="16"/>
                <w:szCs w:val="16"/>
              </w:rPr>
              <w:tab/>
              <w:t>Portfolio management</w:t>
            </w:r>
          </w:p>
          <w:p w14:paraId="543BC74A"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30.</w:t>
            </w:r>
            <w:r w:rsidRPr="00BD3E03">
              <w:rPr>
                <w:rFonts w:ascii="Arial" w:hAnsi="Arial" w:cs="Arial"/>
                <w:sz w:val="16"/>
                <w:szCs w:val="16"/>
              </w:rPr>
              <w:tab/>
              <w:t>Principles of risk and diversification</w:t>
            </w:r>
          </w:p>
          <w:p w14:paraId="1459441E"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31.</w:t>
            </w:r>
            <w:r w:rsidRPr="00BD3E03">
              <w:rPr>
                <w:rFonts w:ascii="Arial" w:hAnsi="Arial" w:cs="Arial"/>
                <w:sz w:val="16"/>
                <w:szCs w:val="16"/>
              </w:rPr>
              <w:tab/>
              <w:t>Process and governance for cost management</w:t>
            </w:r>
          </w:p>
          <w:p w14:paraId="3F96EB65"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32.</w:t>
            </w:r>
            <w:r w:rsidRPr="00BD3E03">
              <w:rPr>
                <w:rFonts w:ascii="Arial" w:hAnsi="Arial" w:cs="Arial"/>
                <w:sz w:val="16"/>
                <w:szCs w:val="16"/>
              </w:rPr>
              <w:tab/>
              <w:t>Proposal packing</w:t>
            </w:r>
          </w:p>
          <w:p w14:paraId="1BD159E2"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33.</w:t>
            </w:r>
            <w:r w:rsidRPr="00BD3E03">
              <w:rPr>
                <w:rFonts w:ascii="Arial" w:hAnsi="Arial" w:cs="Arial"/>
                <w:sz w:val="16"/>
                <w:szCs w:val="16"/>
              </w:rPr>
              <w:tab/>
              <w:t>Quantity surveying</w:t>
            </w:r>
          </w:p>
          <w:p w14:paraId="497204EC" w14:textId="160E7740"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34.</w:t>
            </w:r>
            <w:r w:rsidRPr="00BD3E03">
              <w:rPr>
                <w:rFonts w:ascii="Arial" w:hAnsi="Arial" w:cs="Arial"/>
                <w:sz w:val="16"/>
                <w:szCs w:val="16"/>
              </w:rPr>
              <w:tab/>
              <w:t>Relevant conventions, agreement</w:t>
            </w:r>
            <w:r w:rsidR="008571A3">
              <w:rPr>
                <w:rFonts w:ascii="Arial" w:hAnsi="Arial" w:cs="Arial"/>
                <w:sz w:val="16"/>
                <w:szCs w:val="16"/>
              </w:rPr>
              <w:t>s</w:t>
            </w:r>
            <w:r w:rsidRPr="00BD3E03">
              <w:rPr>
                <w:rFonts w:ascii="Arial" w:hAnsi="Arial" w:cs="Arial"/>
                <w:sz w:val="16"/>
                <w:szCs w:val="16"/>
              </w:rPr>
              <w:t xml:space="preserve">, legislation and regulations </w:t>
            </w:r>
          </w:p>
          <w:p w14:paraId="3633B910"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35.</w:t>
            </w:r>
            <w:r w:rsidRPr="00BD3E03">
              <w:rPr>
                <w:rFonts w:ascii="Arial" w:hAnsi="Arial" w:cs="Arial"/>
                <w:sz w:val="16"/>
                <w:szCs w:val="16"/>
              </w:rPr>
              <w:tab/>
              <w:t>Risk</w:t>
            </w:r>
          </w:p>
          <w:p w14:paraId="794F60CB"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37.</w:t>
            </w:r>
            <w:r w:rsidRPr="00BD3E03">
              <w:rPr>
                <w:rFonts w:ascii="Arial" w:hAnsi="Arial" w:cs="Arial"/>
                <w:sz w:val="16"/>
                <w:szCs w:val="16"/>
              </w:rPr>
              <w:tab/>
              <w:t>Risks and opportunities response strategies and plan</w:t>
            </w:r>
          </w:p>
          <w:p w14:paraId="75413E9C"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38.</w:t>
            </w:r>
            <w:r w:rsidRPr="00BD3E03">
              <w:rPr>
                <w:rFonts w:ascii="Arial" w:hAnsi="Arial" w:cs="Arial"/>
                <w:sz w:val="16"/>
                <w:szCs w:val="16"/>
              </w:rPr>
              <w:tab/>
              <w:t>Sales</w:t>
            </w:r>
          </w:p>
          <w:p w14:paraId="630BD20B"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39.</w:t>
            </w:r>
            <w:r w:rsidRPr="00BD3E03">
              <w:rPr>
                <w:rFonts w:ascii="Arial" w:hAnsi="Arial" w:cs="Arial"/>
                <w:sz w:val="16"/>
                <w:szCs w:val="16"/>
              </w:rPr>
              <w:tab/>
              <w:t>Strategies for managing risks and uncertainty</w:t>
            </w:r>
          </w:p>
          <w:p w14:paraId="5785D513"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40.</w:t>
            </w:r>
            <w:r w:rsidRPr="00BD3E03">
              <w:rPr>
                <w:rFonts w:ascii="Arial" w:hAnsi="Arial" w:cs="Arial"/>
                <w:sz w:val="16"/>
                <w:szCs w:val="16"/>
              </w:rPr>
              <w:tab/>
              <w:t xml:space="preserve">Technical knowledge </w:t>
            </w:r>
          </w:p>
          <w:p w14:paraId="444C1504"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42.</w:t>
            </w:r>
            <w:r w:rsidRPr="00BD3E03">
              <w:rPr>
                <w:rFonts w:ascii="Arial" w:hAnsi="Arial" w:cs="Arial"/>
                <w:sz w:val="16"/>
                <w:szCs w:val="16"/>
              </w:rPr>
              <w:tab/>
              <w:t>Techniques and conditions for loan effectiveness</w:t>
            </w:r>
          </w:p>
          <w:p w14:paraId="35CF0F7F"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43.</w:t>
            </w:r>
            <w:r w:rsidRPr="00BD3E03">
              <w:rPr>
                <w:rFonts w:ascii="Arial" w:hAnsi="Arial" w:cs="Arial"/>
                <w:sz w:val="16"/>
                <w:szCs w:val="16"/>
              </w:rPr>
              <w:tab/>
              <w:t>Understanding Joint venture legal document</w:t>
            </w:r>
          </w:p>
          <w:p w14:paraId="63925B31"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44.</w:t>
            </w:r>
            <w:r w:rsidRPr="00BD3E03">
              <w:rPr>
                <w:rFonts w:ascii="Arial" w:hAnsi="Arial" w:cs="Arial"/>
                <w:sz w:val="16"/>
                <w:szCs w:val="16"/>
              </w:rPr>
              <w:tab/>
              <w:t xml:space="preserve">Understanding of Macroeconomics factors </w:t>
            </w:r>
          </w:p>
          <w:p w14:paraId="00C161C3" w14:textId="77777777" w:rsidR="00CD6352" w:rsidRPr="00BD3E03" w:rsidRDefault="00CD6352" w:rsidP="00CD6352">
            <w:pPr>
              <w:spacing w:line="360" w:lineRule="auto"/>
              <w:jc w:val="both"/>
              <w:rPr>
                <w:rFonts w:ascii="Arial" w:hAnsi="Arial" w:cs="Arial"/>
                <w:sz w:val="16"/>
                <w:szCs w:val="16"/>
              </w:rPr>
            </w:pPr>
            <w:r w:rsidRPr="00BD3E03">
              <w:rPr>
                <w:rFonts w:ascii="Arial" w:hAnsi="Arial" w:cs="Arial"/>
                <w:sz w:val="16"/>
                <w:szCs w:val="16"/>
              </w:rPr>
              <w:t>45.</w:t>
            </w:r>
            <w:r w:rsidRPr="00BD3E03">
              <w:rPr>
                <w:rFonts w:ascii="Arial" w:hAnsi="Arial" w:cs="Arial"/>
                <w:sz w:val="16"/>
                <w:szCs w:val="16"/>
              </w:rPr>
              <w:tab/>
              <w:t>Understanding of the product</w:t>
            </w:r>
          </w:p>
        </w:tc>
      </w:tr>
      <w:bookmarkEnd w:id="1353"/>
    </w:tbl>
    <w:p w14:paraId="6E383550" w14:textId="77777777" w:rsidR="00CD6352" w:rsidRPr="00EA7665" w:rsidRDefault="00CD6352" w:rsidP="00CD6352">
      <w:pPr>
        <w:spacing w:line="360" w:lineRule="auto"/>
        <w:jc w:val="both"/>
        <w:rPr>
          <w:rFonts w:ascii="Arial" w:hAnsi="Arial" w:cs="Arial"/>
        </w:rPr>
      </w:pPr>
    </w:p>
    <w:p w14:paraId="2EFEAFB5" w14:textId="331D496C" w:rsidR="00CD6352" w:rsidRPr="00EA7665" w:rsidRDefault="00CD6352" w:rsidP="00CD6352">
      <w:pPr>
        <w:pStyle w:val="Heading2"/>
        <w:rPr>
          <w:sz w:val="22"/>
          <w:szCs w:val="22"/>
        </w:rPr>
      </w:pPr>
      <w:bookmarkStart w:id="1355" w:name="_Toc78983908"/>
      <w:r w:rsidRPr="00EA7665">
        <w:rPr>
          <w:sz w:val="22"/>
          <w:szCs w:val="22"/>
        </w:rPr>
        <w:t>Manage</w:t>
      </w:r>
      <w:r>
        <w:rPr>
          <w:sz w:val="22"/>
          <w:szCs w:val="22"/>
        </w:rPr>
        <w:t>ment</w:t>
      </w:r>
      <w:r w:rsidRPr="00EA7665">
        <w:rPr>
          <w:sz w:val="22"/>
          <w:szCs w:val="22"/>
        </w:rPr>
        <w:t xml:space="preserve"> competences for securing finance for real estate project </w:t>
      </w:r>
      <w:r w:rsidR="006037FF" w:rsidRPr="00EA7665">
        <w:rPr>
          <w:sz w:val="22"/>
          <w:szCs w:val="22"/>
        </w:rPr>
        <w:t>development.</w:t>
      </w:r>
      <w:bookmarkEnd w:id="1355"/>
      <w:r w:rsidRPr="00EA7665">
        <w:rPr>
          <w:sz w:val="22"/>
          <w:szCs w:val="22"/>
        </w:rPr>
        <w:t xml:space="preserve"> </w:t>
      </w:r>
    </w:p>
    <w:p w14:paraId="7BA78878" w14:textId="77777777" w:rsidR="00CD6352" w:rsidRPr="00EA7665" w:rsidRDefault="00CD6352" w:rsidP="00CD6352">
      <w:pPr>
        <w:spacing w:after="0" w:line="360" w:lineRule="auto"/>
        <w:jc w:val="both"/>
        <w:rPr>
          <w:rFonts w:ascii="Arial" w:hAnsi="Arial" w:cs="Arial"/>
        </w:rPr>
      </w:pPr>
    </w:p>
    <w:p w14:paraId="652B5C00" w14:textId="6AA4501C" w:rsidR="00CD6352" w:rsidRPr="00EA7665" w:rsidRDefault="00CD6352" w:rsidP="00CD6352">
      <w:pPr>
        <w:spacing w:line="360" w:lineRule="auto"/>
        <w:jc w:val="both"/>
        <w:rPr>
          <w:rFonts w:ascii="Arial" w:hAnsi="Arial" w:cs="Arial"/>
        </w:rPr>
      </w:pPr>
      <w:r w:rsidRPr="00EA7665">
        <w:rPr>
          <w:rFonts w:ascii="Arial" w:hAnsi="Arial" w:cs="Arial"/>
        </w:rPr>
        <w:t>A list of 19 competences was presented based on selections from the review of the literature (See chapter 3.</w:t>
      </w:r>
      <w:r w:rsidR="005E4DDC">
        <w:rPr>
          <w:rFonts w:ascii="Arial" w:hAnsi="Arial" w:cs="Arial"/>
        </w:rPr>
        <w:t>8.3</w:t>
      </w:r>
      <w:r w:rsidRPr="00EA7665">
        <w:rPr>
          <w:rFonts w:ascii="Arial" w:hAnsi="Arial" w:cs="Arial"/>
        </w:rPr>
        <w:t>). Respondents were requested to indicate the degree of importance of competences for securing finance for real estate project development</w:t>
      </w:r>
      <w:r>
        <w:rPr>
          <w:rFonts w:ascii="Arial" w:hAnsi="Arial" w:cs="Arial"/>
        </w:rPr>
        <w:t xml:space="preserve"> and</w:t>
      </w:r>
      <w:r w:rsidRPr="00EA7665">
        <w:rPr>
          <w:rFonts w:ascii="Arial" w:hAnsi="Arial" w:cs="Arial"/>
        </w:rPr>
        <w:t xml:space="preserve"> the need for training and education for the present and the future (next five </w:t>
      </w:r>
      <w:r w:rsidR="009C3476" w:rsidRPr="00EA7665">
        <w:rPr>
          <w:rFonts w:ascii="Arial" w:hAnsi="Arial" w:cs="Arial"/>
        </w:rPr>
        <w:t>years)</w:t>
      </w:r>
      <w:r w:rsidR="00C7024A">
        <w:rPr>
          <w:rFonts w:ascii="Arial" w:hAnsi="Arial" w:cs="Arial"/>
        </w:rPr>
        <w:t>,</w:t>
      </w:r>
      <w:r w:rsidRPr="00EA7665">
        <w:rPr>
          <w:rFonts w:ascii="Arial" w:hAnsi="Arial" w:cs="Arial"/>
        </w:rPr>
        <w:t xml:space="preserve"> respectively. </w:t>
      </w:r>
    </w:p>
    <w:p w14:paraId="4B75684E" w14:textId="77777777" w:rsidR="00CD6352" w:rsidRPr="00EA7665" w:rsidRDefault="00CD6352" w:rsidP="00CD6352">
      <w:pPr>
        <w:spacing w:line="360" w:lineRule="auto"/>
        <w:jc w:val="both"/>
        <w:rPr>
          <w:rFonts w:ascii="Arial" w:hAnsi="Arial" w:cs="Arial"/>
        </w:rPr>
      </w:pPr>
      <w:r w:rsidRPr="00EA7665">
        <w:rPr>
          <w:rFonts w:ascii="Arial" w:hAnsi="Arial" w:cs="Arial"/>
        </w:rPr>
        <w:t>The statistical analysis was discussed in two major parts:</w:t>
      </w:r>
    </w:p>
    <w:p w14:paraId="722F5F49" w14:textId="3CA23F01" w:rsidR="00CD6352" w:rsidRPr="00EA7665" w:rsidRDefault="00CD6352" w:rsidP="007625E7">
      <w:pPr>
        <w:pStyle w:val="ListParagraph"/>
        <w:numPr>
          <w:ilvl w:val="0"/>
          <w:numId w:val="387"/>
        </w:numPr>
        <w:spacing w:line="360" w:lineRule="auto"/>
        <w:jc w:val="both"/>
        <w:rPr>
          <w:rFonts w:ascii="Arial" w:hAnsi="Arial" w:cs="Arial"/>
        </w:rPr>
      </w:pPr>
      <w:r w:rsidRPr="00EA7665">
        <w:rPr>
          <w:rFonts w:ascii="Arial" w:hAnsi="Arial" w:cs="Arial"/>
        </w:rPr>
        <w:t>The aggregate level addressed the degree of importance of the competences for securing finance for real estate project development</w:t>
      </w:r>
      <w:r>
        <w:rPr>
          <w:rFonts w:ascii="Arial" w:hAnsi="Arial" w:cs="Arial"/>
        </w:rPr>
        <w:t xml:space="preserve"> and</w:t>
      </w:r>
      <w:r w:rsidRPr="00EA7665">
        <w:rPr>
          <w:rFonts w:ascii="Arial" w:hAnsi="Arial" w:cs="Arial"/>
        </w:rPr>
        <w:t xml:space="preserve"> the need for training and education for the present and future (next 5 years).</w:t>
      </w:r>
    </w:p>
    <w:p w14:paraId="1E676364" w14:textId="77777777" w:rsidR="00CD6352" w:rsidRPr="00EA7665" w:rsidRDefault="00CD6352" w:rsidP="007625E7">
      <w:pPr>
        <w:pStyle w:val="ListParagraph"/>
        <w:numPr>
          <w:ilvl w:val="0"/>
          <w:numId w:val="387"/>
        </w:numPr>
        <w:spacing w:line="360" w:lineRule="auto"/>
        <w:jc w:val="both"/>
        <w:rPr>
          <w:rFonts w:ascii="Arial" w:hAnsi="Arial" w:cs="Arial"/>
        </w:rPr>
      </w:pPr>
      <w:r w:rsidRPr="00EA7665">
        <w:rPr>
          <w:rFonts w:ascii="Arial" w:hAnsi="Arial" w:cs="Arial"/>
        </w:rPr>
        <w:lastRenderedPageBreak/>
        <w:t>The disaggregate level discusses the data based on the ranking of the different competences based on the degree of importance</w:t>
      </w:r>
      <w:r>
        <w:rPr>
          <w:rFonts w:ascii="Arial" w:hAnsi="Arial" w:cs="Arial"/>
        </w:rPr>
        <w:t>, and</w:t>
      </w:r>
      <w:r w:rsidRPr="00EA7665">
        <w:rPr>
          <w:rFonts w:ascii="Arial" w:hAnsi="Arial" w:cs="Arial"/>
        </w:rPr>
        <w:t xml:space="preserve"> the need for training and education for the present and future (next five years).</w:t>
      </w:r>
    </w:p>
    <w:p w14:paraId="7F5CAE25" w14:textId="6CA73A93" w:rsidR="00CD6352" w:rsidRPr="007625E7" w:rsidRDefault="00CD6352" w:rsidP="007625E7">
      <w:pPr>
        <w:spacing w:line="360" w:lineRule="auto"/>
        <w:jc w:val="both"/>
        <w:rPr>
          <w:rFonts w:ascii="Arial" w:hAnsi="Arial" w:cs="Arial"/>
        </w:rPr>
      </w:pPr>
      <w:r w:rsidRPr="007625E7">
        <w:rPr>
          <w:rFonts w:ascii="Arial" w:hAnsi="Arial" w:cs="Arial"/>
        </w:rPr>
        <w:t>The semi-structured interviews</w:t>
      </w:r>
      <w:r w:rsidR="00C90F3D" w:rsidRPr="007625E7">
        <w:rPr>
          <w:rFonts w:ascii="Arial" w:hAnsi="Arial" w:cs="Arial"/>
        </w:rPr>
        <w:t xml:space="preserve"> analysis</w:t>
      </w:r>
      <w:r w:rsidRPr="007625E7">
        <w:rPr>
          <w:rFonts w:ascii="Arial" w:hAnsi="Arial" w:cs="Arial"/>
        </w:rPr>
        <w:t xml:space="preserve"> also </w:t>
      </w:r>
      <w:r w:rsidR="009C3476" w:rsidRPr="007625E7">
        <w:rPr>
          <w:rFonts w:ascii="Arial" w:hAnsi="Arial" w:cs="Arial"/>
        </w:rPr>
        <w:t>shows</w:t>
      </w:r>
      <w:r w:rsidR="00C90F3D" w:rsidRPr="007625E7">
        <w:rPr>
          <w:rFonts w:ascii="Arial" w:hAnsi="Arial" w:cs="Arial"/>
        </w:rPr>
        <w:t xml:space="preserve"> </w:t>
      </w:r>
      <w:r w:rsidRPr="007625E7">
        <w:rPr>
          <w:rFonts w:ascii="Arial" w:hAnsi="Arial" w:cs="Arial"/>
        </w:rPr>
        <w:t>different competences used for securing finance for real estate project development in the developed and emerging economies at the disaggregated level.</w:t>
      </w:r>
    </w:p>
    <w:p w14:paraId="4DBB2F92" w14:textId="211CD54C" w:rsidR="006460D8" w:rsidRDefault="006460D8" w:rsidP="006460D8">
      <w:pPr>
        <w:pStyle w:val="ListParagraph"/>
        <w:spacing w:line="360" w:lineRule="auto"/>
        <w:ind w:left="360"/>
        <w:jc w:val="both"/>
        <w:rPr>
          <w:rFonts w:ascii="Arial" w:hAnsi="Arial" w:cs="Arial"/>
        </w:rPr>
      </w:pPr>
    </w:p>
    <w:p w14:paraId="2191B1D6" w14:textId="655C7A55" w:rsidR="00CD6352" w:rsidRPr="00EA7665" w:rsidRDefault="00CD6352" w:rsidP="00CD6352">
      <w:pPr>
        <w:pStyle w:val="Heading3"/>
        <w:rPr>
          <w:sz w:val="22"/>
          <w:szCs w:val="22"/>
        </w:rPr>
      </w:pPr>
      <w:bookmarkStart w:id="1356" w:name="_Toc78983909"/>
      <w:r w:rsidRPr="00EA7665">
        <w:rPr>
          <w:sz w:val="22"/>
          <w:szCs w:val="22"/>
        </w:rPr>
        <w:t xml:space="preserve">The degree of importance of management competences for securing </w:t>
      </w:r>
      <w:r w:rsidR="0045799D" w:rsidRPr="00EA7665">
        <w:rPr>
          <w:sz w:val="22"/>
          <w:szCs w:val="22"/>
        </w:rPr>
        <w:t>finance.</w:t>
      </w:r>
      <w:bookmarkEnd w:id="1356"/>
    </w:p>
    <w:p w14:paraId="6D6023E6" w14:textId="77777777" w:rsidR="00CD6352" w:rsidRPr="00EA7665" w:rsidRDefault="00CD6352" w:rsidP="00CD6352"/>
    <w:p w14:paraId="1C4E217F" w14:textId="77777777" w:rsidR="00CD6352" w:rsidRPr="00EA7665" w:rsidRDefault="00CD6352" w:rsidP="00CD6352">
      <w:pPr>
        <w:pStyle w:val="Heading4"/>
        <w:spacing w:after="240"/>
        <w:rPr>
          <w:rFonts w:ascii="Arial" w:hAnsi="Arial" w:cs="Arial"/>
          <w:color w:val="auto"/>
        </w:rPr>
      </w:pPr>
      <w:r w:rsidRPr="00EA7665">
        <w:rPr>
          <w:rFonts w:ascii="Arial" w:hAnsi="Arial" w:cs="Arial"/>
          <w:color w:val="auto"/>
        </w:rPr>
        <w:t>Questionnaire survey discussion and analysis at the aggregate level</w:t>
      </w:r>
    </w:p>
    <w:p w14:paraId="7C67D130" w14:textId="730C620D" w:rsidR="00CD6352" w:rsidRPr="00EA7665" w:rsidRDefault="00CD6352" w:rsidP="00CD6352">
      <w:pPr>
        <w:spacing w:line="360" w:lineRule="auto"/>
        <w:rPr>
          <w:rFonts w:ascii="Arial" w:hAnsi="Arial" w:cs="Arial"/>
        </w:rPr>
      </w:pPr>
      <w:r w:rsidRPr="00EA7665">
        <w:rPr>
          <w:rFonts w:ascii="Arial" w:hAnsi="Arial" w:cs="Arial"/>
        </w:rPr>
        <w:t>The findings on the competences show almost 58% of the survey respondents were of the view that leadership is the most important competence for securing finance for real estate project development</w:t>
      </w:r>
      <w:r w:rsidR="007C0436">
        <w:rPr>
          <w:rFonts w:ascii="Arial" w:hAnsi="Arial" w:cs="Arial"/>
        </w:rPr>
        <w:t xml:space="preserve"> </w:t>
      </w:r>
      <w:r w:rsidR="004A7ED9">
        <w:rPr>
          <w:rFonts w:ascii="Arial" w:hAnsi="Arial" w:cs="Arial"/>
        </w:rPr>
        <w:t>(see</w:t>
      </w:r>
      <w:r w:rsidR="007C0436">
        <w:rPr>
          <w:rFonts w:ascii="Arial" w:hAnsi="Arial" w:cs="Arial"/>
        </w:rPr>
        <w:t xml:space="preserve"> table 8.4.1)</w:t>
      </w:r>
      <w:r w:rsidRPr="00EA7665">
        <w:rPr>
          <w:rFonts w:ascii="Arial" w:hAnsi="Arial" w:cs="Arial"/>
        </w:rPr>
        <w:t>. It is followed by financial management (53.7%), managerial</w:t>
      </w:r>
      <w:r>
        <w:rPr>
          <w:rFonts w:ascii="Arial" w:hAnsi="Arial" w:cs="Arial"/>
        </w:rPr>
        <w:t xml:space="preserve"> competence</w:t>
      </w:r>
      <w:r w:rsidRPr="00EA7665">
        <w:rPr>
          <w:rFonts w:ascii="Arial" w:hAnsi="Arial" w:cs="Arial"/>
        </w:rPr>
        <w:t xml:space="preserve"> (52.4%), result-oriented (50%) and </w:t>
      </w:r>
      <w:r w:rsidR="00DA32D9" w:rsidRPr="00EA7665">
        <w:rPr>
          <w:rFonts w:ascii="Arial" w:hAnsi="Arial" w:cs="Arial"/>
        </w:rPr>
        <w:t>negotiation competence</w:t>
      </w:r>
      <w:r w:rsidRPr="00EA7665">
        <w:rPr>
          <w:rFonts w:ascii="Arial" w:hAnsi="Arial" w:cs="Arial"/>
        </w:rPr>
        <w:t xml:space="preserve"> (47.6%</w:t>
      </w:r>
      <w:r w:rsidR="00ED780D" w:rsidRPr="00EA7665">
        <w:rPr>
          <w:rFonts w:ascii="Arial" w:hAnsi="Arial" w:cs="Arial"/>
        </w:rPr>
        <w:t>).</w:t>
      </w:r>
      <w:r w:rsidRPr="00EA7665">
        <w:rPr>
          <w:rFonts w:ascii="Arial" w:hAnsi="Arial" w:cs="Arial"/>
        </w:rPr>
        <w:t xml:space="preserve"> The sets of competences considered least, </w:t>
      </w:r>
      <w:r w:rsidR="009C3476" w:rsidRPr="00EA7665">
        <w:rPr>
          <w:rFonts w:ascii="Arial" w:hAnsi="Arial" w:cs="Arial"/>
        </w:rPr>
        <w:t>“very</w:t>
      </w:r>
      <w:r w:rsidRPr="00EA7665">
        <w:rPr>
          <w:rFonts w:ascii="Arial" w:hAnsi="Arial" w:cs="Arial"/>
        </w:rPr>
        <w:t xml:space="preserve"> important for securing finance for real estate project development</w:t>
      </w:r>
      <w:r>
        <w:rPr>
          <w:rFonts w:ascii="Arial" w:hAnsi="Arial" w:cs="Arial"/>
        </w:rPr>
        <w:t>”</w:t>
      </w:r>
      <w:r w:rsidRPr="00EA7665">
        <w:rPr>
          <w:rFonts w:ascii="Arial" w:hAnsi="Arial" w:cs="Arial"/>
        </w:rPr>
        <w:t xml:space="preserve"> are asset allocation (35%), independent assurance (33.3%), use of power (33.3%) </w:t>
      </w:r>
      <w:r w:rsidR="00ED780D" w:rsidRPr="00EA7665">
        <w:rPr>
          <w:rFonts w:ascii="Arial" w:hAnsi="Arial" w:cs="Arial"/>
        </w:rPr>
        <w:t>and commercial</w:t>
      </w:r>
      <w:r w:rsidRPr="00EA7665">
        <w:rPr>
          <w:rFonts w:ascii="Arial" w:hAnsi="Arial" w:cs="Arial"/>
        </w:rPr>
        <w:t xml:space="preserve"> management (31.8%</w:t>
      </w:r>
      <w:r w:rsidR="008A1E45" w:rsidRPr="00EA7665">
        <w:rPr>
          <w:rFonts w:ascii="Arial" w:hAnsi="Arial" w:cs="Arial"/>
        </w:rPr>
        <w:t>). The</w:t>
      </w:r>
      <w:r w:rsidRPr="00EA7665">
        <w:rPr>
          <w:rFonts w:ascii="Arial" w:hAnsi="Arial" w:cs="Arial"/>
        </w:rPr>
        <w:t xml:space="preserve"> findings </w:t>
      </w:r>
      <w:r>
        <w:rPr>
          <w:rFonts w:ascii="Arial" w:hAnsi="Arial" w:cs="Arial"/>
        </w:rPr>
        <w:t>are</w:t>
      </w:r>
      <w:r w:rsidRPr="00EA7665">
        <w:rPr>
          <w:rFonts w:ascii="Arial" w:hAnsi="Arial" w:cs="Arial"/>
        </w:rPr>
        <w:t xml:space="preserve"> in line with existing literature on competences. Leadership, financial management, result-oriented, and planning competences are of great importance to any management function (APM, 2015</w:t>
      </w:r>
      <w:r w:rsidR="00787BB0">
        <w:rPr>
          <w:rFonts w:ascii="Arial" w:hAnsi="Arial" w:cs="Arial"/>
        </w:rPr>
        <w:t xml:space="preserve"> &amp; IPMA,2015).</w:t>
      </w:r>
      <w:r w:rsidRPr="00EA7665">
        <w:rPr>
          <w:rFonts w:ascii="Arial" w:hAnsi="Arial" w:cs="Arial"/>
        </w:rPr>
        <w:t xml:space="preserve">  </w:t>
      </w:r>
    </w:p>
    <w:p w14:paraId="32DEBEB5" w14:textId="3D36F754" w:rsidR="009C3476" w:rsidRPr="009C3476" w:rsidRDefault="009C3476" w:rsidP="009C3476">
      <w:pPr>
        <w:pStyle w:val="Caption"/>
        <w:keepNext/>
        <w:rPr>
          <w:rFonts w:ascii="Arial" w:hAnsi="Arial" w:cs="Arial"/>
          <w:sz w:val="16"/>
          <w:szCs w:val="16"/>
        </w:rPr>
      </w:pPr>
      <w:bookmarkStart w:id="1357" w:name="_Toc78984015"/>
      <w:r w:rsidRPr="009C3476">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w:t>
      </w:r>
      <w:r w:rsidR="008F25B1">
        <w:rPr>
          <w:rFonts w:ascii="Arial" w:hAnsi="Arial" w:cs="Arial"/>
          <w:sz w:val="16"/>
          <w:szCs w:val="16"/>
        </w:rPr>
        <w:fldChar w:fldCharType="end"/>
      </w:r>
      <w:r w:rsidRPr="009C3476">
        <w:rPr>
          <w:rFonts w:ascii="Arial" w:hAnsi="Arial" w:cs="Arial"/>
          <w:sz w:val="16"/>
          <w:szCs w:val="16"/>
        </w:rPr>
        <w:t xml:space="preserve">: Degree of </w:t>
      </w:r>
      <w:r w:rsidR="001C0C80">
        <w:rPr>
          <w:rFonts w:ascii="Arial" w:hAnsi="Arial" w:cs="Arial"/>
          <w:sz w:val="16"/>
          <w:szCs w:val="16"/>
        </w:rPr>
        <w:t xml:space="preserve">the </w:t>
      </w:r>
      <w:r w:rsidRPr="009C3476">
        <w:rPr>
          <w:rFonts w:ascii="Arial" w:hAnsi="Arial" w:cs="Arial"/>
          <w:sz w:val="16"/>
          <w:szCs w:val="16"/>
        </w:rPr>
        <w:t xml:space="preserve">importance of management competence for securing finance for real estate project </w:t>
      </w:r>
      <w:r w:rsidR="00ED780D" w:rsidRPr="009C3476">
        <w:rPr>
          <w:rFonts w:ascii="Arial" w:hAnsi="Arial" w:cs="Arial"/>
          <w:sz w:val="16"/>
          <w:szCs w:val="16"/>
        </w:rPr>
        <w:t>development.</w:t>
      </w:r>
      <w:bookmarkEnd w:id="135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688"/>
        <w:gridCol w:w="1210"/>
        <w:gridCol w:w="1068"/>
        <w:gridCol w:w="1094"/>
        <w:gridCol w:w="892"/>
        <w:gridCol w:w="1064"/>
      </w:tblGrid>
      <w:tr w:rsidR="00CD6352" w:rsidRPr="00EA7665" w14:paraId="56498412" w14:textId="77777777" w:rsidTr="00CD6352">
        <w:tc>
          <w:tcPr>
            <w:tcW w:w="0" w:type="auto"/>
            <w:vMerge w:val="restart"/>
          </w:tcPr>
          <w:p w14:paraId="0BA200E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Competences for securing finance for real estate project development</w:t>
            </w:r>
          </w:p>
        </w:tc>
        <w:tc>
          <w:tcPr>
            <w:tcW w:w="0" w:type="auto"/>
            <w:gridSpan w:val="5"/>
          </w:tcPr>
          <w:p w14:paraId="6109F6A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Degree of importance</w:t>
            </w:r>
          </w:p>
        </w:tc>
      </w:tr>
      <w:tr w:rsidR="00CD6352" w:rsidRPr="00EA7665" w14:paraId="493562F4" w14:textId="77777777" w:rsidTr="00CD6352">
        <w:tc>
          <w:tcPr>
            <w:tcW w:w="0" w:type="auto"/>
            <w:vMerge/>
          </w:tcPr>
          <w:p w14:paraId="5D5C80FA" w14:textId="77777777" w:rsidR="00CD6352" w:rsidRPr="00EA7665" w:rsidRDefault="00CD6352" w:rsidP="00CD6352">
            <w:pPr>
              <w:jc w:val="both"/>
              <w:rPr>
                <w:rFonts w:ascii="Arial" w:hAnsi="Arial" w:cs="Arial"/>
                <w:sz w:val="16"/>
                <w:szCs w:val="16"/>
              </w:rPr>
            </w:pPr>
          </w:p>
        </w:tc>
        <w:tc>
          <w:tcPr>
            <w:tcW w:w="0" w:type="auto"/>
          </w:tcPr>
          <w:p w14:paraId="40CCD9E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important at all</w:t>
            </w:r>
          </w:p>
        </w:tc>
        <w:tc>
          <w:tcPr>
            <w:tcW w:w="0" w:type="auto"/>
          </w:tcPr>
          <w:p w14:paraId="0DCF452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important</w:t>
            </w:r>
          </w:p>
        </w:tc>
        <w:tc>
          <w:tcPr>
            <w:tcW w:w="0" w:type="auto"/>
          </w:tcPr>
          <w:p w14:paraId="639D071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Fairly important</w:t>
            </w:r>
          </w:p>
        </w:tc>
        <w:tc>
          <w:tcPr>
            <w:tcW w:w="0" w:type="auto"/>
          </w:tcPr>
          <w:p w14:paraId="1A26DFD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Important</w:t>
            </w:r>
          </w:p>
        </w:tc>
        <w:tc>
          <w:tcPr>
            <w:tcW w:w="0" w:type="auto"/>
          </w:tcPr>
          <w:p w14:paraId="6066220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important</w:t>
            </w:r>
          </w:p>
        </w:tc>
      </w:tr>
      <w:tr w:rsidR="00CD6352" w:rsidRPr="00EA7665" w14:paraId="354BFFD8" w14:textId="77777777" w:rsidTr="00CD6352">
        <w:trPr>
          <w:trHeight w:val="223"/>
        </w:trPr>
        <w:tc>
          <w:tcPr>
            <w:tcW w:w="0" w:type="auto"/>
          </w:tcPr>
          <w:p w14:paraId="20220BC0" w14:textId="77777777" w:rsidR="00CD6352" w:rsidRPr="00EA7665" w:rsidRDefault="00CD6352" w:rsidP="00CD6352">
            <w:pPr>
              <w:jc w:val="both"/>
              <w:rPr>
                <w:rFonts w:ascii="Arial" w:hAnsi="Arial" w:cs="Arial"/>
                <w:sz w:val="16"/>
                <w:szCs w:val="16"/>
              </w:rPr>
            </w:pPr>
          </w:p>
        </w:tc>
        <w:tc>
          <w:tcPr>
            <w:tcW w:w="0" w:type="auto"/>
            <w:gridSpan w:val="5"/>
          </w:tcPr>
          <w:p w14:paraId="552987C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7A8DCA31" w14:textId="77777777" w:rsidTr="00CD6352">
        <w:tc>
          <w:tcPr>
            <w:tcW w:w="0" w:type="auto"/>
          </w:tcPr>
          <w:p w14:paraId="339B05C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Asset allocation</w:t>
            </w:r>
          </w:p>
        </w:tc>
        <w:tc>
          <w:tcPr>
            <w:tcW w:w="0" w:type="auto"/>
          </w:tcPr>
          <w:p w14:paraId="5D394A1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w:t>
            </w:r>
          </w:p>
        </w:tc>
        <w:tc>
          <w:tcPr>
            <w:tcW w:w="0" w:type="auto"/>
          </w:tcPr>
          <w:p w14:paraId="79DCCB1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5.0</w:t>
            </w:r>
          </w:p>
        </w:tc>
        <w:tc>
          <w:tcPr>
            <w:tcW w:w="0" w:type="auto"/>
          </w:tcPr>
          <w:p w14:paraId="266837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17.5</w:t>
            </w:r>
          </w:p>
        </w:tc>
        <w:tc>
          <w:tcPr>
            <w:tcW w:w="0" w:type="auto"/>
          </w:tcPr>
          <w:p w14:paraId="0713E32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40.0</w:t>
            </w:r>
          </w:p>
        </w:tc>
        <w:tc>
          <w:tcPr>
            <w:tcW w:w="0" w:type="auto"/>
          </w:tcPr>
          <w:p w14:paraId="20FF3B2C"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35.0</w:t>
            </w:r>
          </w:p>
        </w:tc>
      </w:tr>
      <w:tr w:rsidR="00CD6352" w:rsidRPr="00EA7665" w14:paraId="57F6BD03" w14:textId="77777777" w:rsidTr="00CD6352">
        <w:tc>
          <w:tcPr>
            <w:tcW w:w="0" w:type="auto"/>
          </w:tcPr>
          <w:p w14:paraId="2C92B76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Business case</w:t>
            </w:r>
          </w:p>
        </w:tc>
        <w:tc>
          <w:tcPr>
            <w:tcW w:w="0" w:type="auto"/>
          </w:tcPr>
          <w:p w14:paraId="1391EE9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w:t>
            </w:r>
          </w:p>
        </w:tc>
        <w:tc>
          <w:tcPr>
            <w:tcW w:w="0" w:type="auto"/>
          </w:tcPr>
          <w:p w14:paraId="6079DA7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7.5</w:t>
            </w:r>
          </w:p>
        </w:tc>
        <w:tc>
          <w:tcPr>
            <w:tcW w:w="0" w:type="auto"/>
          </w:tcPr>
          <w:p w14:paraId="3DBFAE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10.0</w:t>
            </w:r>
          </w:p>
        </w:tc>
        <w:tc>
          <w:tcPr>
            <w:tcW w:w="0" w:type="auto"/>
          </w:tcPr>
          <w:p w14:paraId="7D971E9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37.5</w:t>
            </w:r>
          </w:p>
        </w:tc>
        <w:tc>
          <w:tcPr>
            <w:tcW w:w="0" w:type="auto"/>
          </w:tcPr>
          <w:p w14:paraId="297DBE35"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42.5</w:t>
            </w:r>
          </w:p>
        </w:tc>
      </w:tr>
      <w:tr w:rsidR="00CD6352" w:rsidRPr="00EA7665" w14:paraId="0B4CB510" w14:textId="77777777" w:rsidTr="00CD6352">
        <w:tc>
          <w:tcPr>
            <w:tcW w:w="0" w:type="auto"/>
          </w:tcPr>
          <w:p w14:paraId="2FBDFA0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Capability development</w:t>
            </w:r>
          </w:p>
        </w:tc>
        <w:tc>
          <w:tcPr>
            <w:tcW w:w="0" w:type="auto"/>
          </w:tcPr>
          <w:p w14:paraId="262E960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w:t>
            </w:r>
          </w:p>
        </w:tc>
        <w:tc>
          <w:tcPr>
            <w:tcW w:w="0" w:type="auto"/>
          </w:tcPr>
          <w:p w14:paraId="643E1AB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7.5</w:t>
            </w:r>
          </w:p>
        </w:tc>
        <w:tc>
          <w:tcPr>
            <w:tcW w:w="0" w:type="auto"/>
          </w:tcPr>
          <w:p w14:paraId="3D94346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10.0</w:t>
            </w:r>
          </w:p>
        </w:tc>
        <w:tc>
          <w:tcPr>
            <w:tcW w:w="0" w:type="auto"/>
          </w:tcPr>
          <w:p w14:paraId="79AB1D4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40.0</w:t>
            </w:r>
          </w:p>
        </w:tc>
        <w:tc>
          <w:tcPr>
            <w:tcW w:w="0" w:type="auto"/>
          </w:tcPr>
          <w:p w14:paraId="348FCA32"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40.0</w:t>
            </w:r>
          </w:p>
        </w:tc>
      </w:tr>
      <w:tr w:rsidR="00CD6352" w:rsidRPr="00EA7665" w14:paraId="45CEF5C7" w14:textId="77777777" w:rsidTr="00CD6352">
        <w:tc>
          <w:tcPr>
            <w:tcW w:w="0" w:type="auto"/>
          </w:tcPr>
          <w:p w14:paraId="18CAD29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Commercial management </w:t>
            </w:r>
          </w:p>
        </w:tc>
        <w:tc>
          <w:tcPr>
            <w:tcW w:w="0" w:type="auto"/>
          </w:tcPr>
          <w:p w14:paraId="37FD07E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0123F83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9.1</w:t>
            </w:r>
          </w:p>
        </w:tc>
        <w:tc>
          <w:tcPr>
            <w:tcW w:w="0" w:type="auto"/>
          </w:tcPr>
          <w:p w14:paraId="5BF70A2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18.2</w:t>
            </w:r>
          </w:p>
        </w:tc>
        <w:tc>
          <w:tcPr>
            <w:tcW w:w="0" w:type="auto"/>
          </w:tcPr>
          <w:p w14:paraId="2F4DA41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40.9</w:t>
            </w:r>
          </w:p>
        </w:tc>
        <w:tc>
          <w:tcPr>
            <w:tcW w:w="0" w:type="auto"/>
          </w:tcPr>
          <w:p w14:paraId="509D839D"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31.8</w:t>
            </w:r>
          </w:p>
        </w:tc>
      </w:tr>
      <w:tr w:rsidR="00CD6352" w:rsidRPr="00EA7665" w14:paraId="0CB1B903" w14:textId="77777777" w:rsidTr="00CD6352">
        <w:tc>
          <w:tcPr>
            <w:tcW w:w="0" w:type="auto"/>
          </w:tcPr>
          <w:p w14:paraId="2FB7A1A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Compliance management</w:t>
            </w:r>
          </w:p>
        </w:tc>
        <w:tc>
          <w:tcPr>
            <w:tcW w:w="0" w:type="auto"/>
          </w:tcPr>
          <w:p w14:paraId="32C1F6D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56264D4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16703E3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14.6</w:t>
            </w:r>
          </w:p>
        </w:tc>
        <w:tc>
          <w:tcPr>
            <w:tcW w:w="0" w:type="auto"/>
          </w:tcPr>
          <w:p w14:paraId="6B109DF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39.0</w:t>
            </w:r>
          </w:p>
        </w:tc>
        <w:tc>
          <w:tcPr>
            <w:tcW w:w="0" w:type="auto"/>
          </w:tcPr>
          <w:p w14:paraId="778A38CB"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41.5</w:t>
            </w:r>
          </w:p>
        </w:tc>
      </w:tr>
      <w:tr w:rsidR="00CD6352" w:rsidRPr="00EA7665" w14:paraId="50A43E97" w14:textId="77777777" w:rsidTr="00CD6352">
        <w:tc>
          <w:tcPr>
            <w:tcW w:w="0" w:type="auto"/>
          </w:tcPr>
          <w:p w14:paraId="191365E9" w14:textId="12F75A04" w:rsidR="00CD6352" w:rsidRPr="00EA7665" w:rsidRDefault="00CD6352" w:rsidP="00CD6352">
            <w:pPr>
              <w:jc w:val="both"/>
              <w:rPr>
                <w:rFonts w:ascii="Arial" w:hAnsi="Arial" w:cs="Arial"/>
                <w:sz w:val="16"/>
                <w:szCs w:val="16"/>
              </w:rPr>
            </w:pPr>
            <w:r w:rsidRPr="00EA7665">
              <w:rPr>
                <w:rFonts w:ascii="Arial" w:hAnsi="Arial" w:cs="Arial"/>
                <w:sz w:val="16"/>
                <w:szCs w:val="16"/>
              </w:rPr>
              <w:t>Ethics, compliance and professionalism</w:t>
            </w:r>
          </w:p>
        </w:tc>
        <w:tc>
          <w:tcPr>
            <w:tcW w:w="0" w:type="auto"/>
          </w:tcPr>
          <w:p w14:paraId="183949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8C593A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w:t>
            </w:r>
          </w:p>
        </w:tc>
        <w:tc>
          <w:tcPr>
            <w:tcW w:w="0" w:type="auto"/>
          </w:tcPr>
          <w:p w14:paraId="7EBD896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15.0</w:t>
            </w:r>
          </w:p>
        </w:tc>
        <w:tc>
          <w:tcPr>
            <w:tcW w:w="0" w:type="auto"/>
          </w:tcPr>
          <w:p w14:paraId="484D7FF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42.5</w:t>
            </w:r>
          </w:p>
        </w:tc>
        <w:tc>
          <w:tcPr>
            <w:tcW w:w="0" w:type="auto"/>
          </w:tcPr>
          <w:p w14:paraId="60344768"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40.0</w:t>
            </w:r>
          </w:p>
        </w:tc>
      </w:tr>
      <w:tr w:rsidR="00CD6352" w:rsidRPr="00EA7665" w14:paraId="7641BA3E" w14:textId="77777777" w:rsidTr="00CD6352">
        <w:tc>
          <w:tcPr>
            <w:tcW w:w="0" w:type="auto"/>
          </w:tcPr>
          <w:p w14:paraId="4802109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Financial management </w:t>
            </w:r>
          </w:p>
        </w:tc>
        <w:tc>
          <w:tcPr>
            <w:tcW w:w="0" w:type="auto"/>
          </w:tcPr>
          <w:p w14:paraId="1242E2E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2B08337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74AABA0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14.6</w:t>
            </w:r>
          </w:p>
        </w:tc>
        <w:tc>
          <w:tcPr>
            <w:tcW w:w="0" w:type="auto"/>
          </w:tcPr>
          <w:p w14:paraId="54B0D83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29.3</w:t>
            </w:r>
          </w:p>
        </w:tc>
        <w:tc>
          <w:tcPr>
            <w:tcW w:w="0" w:type="auto"/>
          </w:tcPr>
          <w:p w14:paraId="1F64BA09"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53.7</w:t>
            </w:r>
          </w:p>
        </w:tc>
      </w:tr>
      <w:tr w:rsidR="00CD6352" w:rsidRPr="00EA7665" w14:paraId="15F4B7A7" w14:textId="77777777" w:rsidTr="00CD6352">
        <w:tc>
          <w:tcPr>
            <w:tcW w:w="0" w:type="auto"/>
          </w:tcPr>
          <w:p w14:paraId="5292C79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Governance, structure and processes</w:t>
            </w:r>
          </w:p>
        </w:tc>
        <w:tc>
          <w:tcPr>
            <w:tcW w:w="0" w:type="auto"/>
          </w:tcPr>
          <w:p w14:paraId="640001C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F51679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2100EBF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22.0</w:t>
            </w:r>
          </w:p>
        </w:tc>
        <w:tc>
          <w:tcPr>
            <w:tcW w:w="0" w:type="auto"/>
          </w:tcPr>
          <w:p w14:paraId="3B686AC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36.6</w:t>
            </w:r>
          </w:p>
        </w:tc>
        <w:tc>
          <w:tcPr>
            <w:tcW w:w="0" w:type="auto"/>
          </w:tcPr>
          <w:p w14:paraId="2FD4E8D3"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39.0</w:t>
            </w:r>
          </w:p>
        </w:tc>
      </w:tr>
      <w:tr w:rsidR="00CD6352" w:rsidRPr="00EA7665" w14:paraId="023124D2" w14:textId="77777777" w:rsidTr="00CD6352">
        <w:tc>
          <w:tcPr>
            <w:tcW w:w="0" w:type="auto"/>
          </w:tcPr>
          <w:p w14:paraId="683642B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Independence assurance</w:t>
            </w:r>
          </w:p>
        </w:tc>
        <w:tc>
          <w:tcPr>
            <w:tcW w:w="0" w:type="auto"/>
          </w:tcPr>
          <w:p w14:paraId="04A9E6B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0504762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10.3</w:t>
            </w:r>
          </w:p>
        </w:tc>
        <w:tc>
          <w:tcPr>
            <w:tcW w:w="0" w:type="auto"/>
          </w:tcPr>
          <w:p w14:paraId="1734E20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17.9</w:t>
            </w:r>
          </w:p>
        </w:tc>
        <w:tc>
          <w:tcPr>
            <w:tcW w:w="0" w:type="auto"/>
          </w:tcPr>
          <w:p w14:paraId="62CFDAB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38.5</w:t>
            </w:r>
          </w:p>
        </w:tc>
        <w:tc>
          <w:tcPr>
            <w:tcW w:w="0" w:type="auto"/>
          </w:tcPr>
          <w:p w14:paraId="5B05A253"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33.3</w:t>
            </w:r>
          </w:p>
        </w:tc>
      </w:tr>
      <w:tr w:rsidR="00CD6352" w:rsidRPr="00EA7665" w14:paraId="79E8A191" w14:textId="77777777" w:rsidTr="00CD6352">
        <w:tc>
          <w:tcPr>
            <w:tcW w:w="0" w:type="auto"/>
          </w:tcPr>
          <w:p w14:paraId="325E37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Leadership competence</w:t>
            </w:r>
          </w:p>
        </w:tc>
        <w:tc>
          <w:tcPr>
            <w:tcW w:w="0" w:type="auto"/>
          </w:tcPr>
          <w:p w14:paraId="6384E21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7BE2E8C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4B099C6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12.5</w:t>
            </w:r>
          </w:p>
        </w:tc>
        <w:tc>
          <w:tcPr>
            <w:tcW w:w="0" w:type="auto"/>
          </w:tcPr>
          <w:p w14:paraId="4AC2ABA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30.0</w:t>
            </w:r>
          </w:p>
        </w:tc>
        <w:tc>
          <w:tcPr>
            <w:tcW w:w="0" w:type="auto"/>
          </w:tcPr>
          <w:p w14:paraId="293F3BDF"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57.5</w:t>
            </w:r>
          </w:p>
        </w:tc>
      </w:tr>
      <w:tr w:rsidR="00CD6352" w:rsidRPr="00EA7665" w14:paraId="0D03C03D" w14:textId="77777777" w:rsidTr="00CD6352">
        <w:tc>
          <w:tcPr>
            <w:tcW w:w="0" w:type="auto"/>
          </w:tcPr>
          <w:p w14:paraId="6C8B236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Managerial competences</w:t>
            </w:r>
          </w:p>
        </w:tc>
        <w:tc>
          <w:tcPr>
            <w:tcW w:w="0" w:type="auto"/>
          </w:tcPr>
          <w:p w14:paraId="30DAC7D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54325D3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2B2E474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14.3</w:t>
            </w:r>
          </w:p>
        </w:tc>
        <w:tc>
          <w:tcPr>
            <w:tcW w:w="0" w:type="auto"/>
          </w:tcPr>
          <w:p w14:paraId="2971D2F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31.0</w:t>
            </w:r>
          </w:p>
        </w:tc>
        <w:tc>
          <w:tcPr>
            <w:tcW w:w="0" w:type="auto"/>
          </w:tcPr>
          <w:p w14:paraId="0EB691CB"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52.4</w:t>
            </w:r>
          </w:p>
        </w:tc>
      </w:tr>
      <w:tr w:rsidR="00CD6352" w:rsidRPr="00EA7665" w14:paraId="593FDB46" w14:textId="77777777" w:rsidTr="00CD6352">
        <w:tc>
          <w:tcPr>
            <w:tcW w:w="0" w:type="auto"/>
          </w:tcPr>
          <w:p w14:paraId="63F28D1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Negotiation </w:t>
            </w:r>
          </w:p>
        </w:tc>
        <w:tc>
          <w:tcPr>
            <w:tcW w:w="0" w:type="auto"/>
          </w:tcPr>
          <w:p w14:paraId="6B1ACC1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7E15A04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1EB25D3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11.9</w:t>
            </w:r>
          </w:p>
        </w:tc>
        <w:tc>
          <w:tcPr>
            <w:tcW w:w="0" w:type="auto"/>
          </w:tcPr>
          <w:p w14:paraId="3BAE10D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38.1</w:t>
            </w:r>
          </w:p>
        </w:tc>
        <w:tc>
          <w:tcPr>
            <w:tcW w:w="0" w:type="auto"/>
          </w:tcPr>
          <w:p w14:paraId="1FC810F9"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47.6</w:t>
            </w:r>
          </w:p>
        </w:tc>
      </w:tr>
      <w:tr w:rsidR="00CD6352" w:rsidRPr="00EA7665" w14:paraId="0AF6F4FA" w14:textId="77777777" w:rsidTr="00CD6352">
        <w:tc>
          <w:tcPr>
            <w:tcW w:w="0" w:type="auto"/>
          </w:tcPr>
          <w:p w14:paraId="01CBFCD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Planning &amp; control</w:t>
            </w:r>
          </w:p>
        </w:tc>
        <w:tc>
          <w:tcPr>
            <w:tcW w:w="0" w:type="auto"/>
          </w:tcPr>
          <w:p w14:paraId="09AEEF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1732CB2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w:t>
            </w:r>
          </w:p>
        </w:tc>
        <w:tc>
          <w:tcPr>
            <w:tcW w:w="0" w:type="auto"/>
          </w:tcPr>
          <w:p w14:paraId="12A806F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5320666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43.2</w:t>
            </w:r>
          </w:p>
        </w:tc>
        <w:tc>
          <w:tcPr>
            <w:tcW w:w="0" w:type="auto"/>
          </w:tcPr>
          <w:p w14:paraId="1D0604E8"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45.9</w:t>
            </w:r>
          </w:p>
        </w:tc>
      </w:tr>
      <w:tr w:rsidR="00CD6352" w:rsidRPr="00EA7665" w14:paraId="53074BA4" w14:textId="77777777" w:rsidTr="00CD6352">
        <w:tc>
          <w:tcPr>
            <w:tcW w:w="0" w:type="auto"/>
          </w:tcPr>
          <w:p w14:paraId="3F20D33E" w14:textId="39A7FEDF"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Political </w:t>
            </w:r>
            <w:r w:rsidR="004A7ED9" w:rsidRPr="00EA7665">
              <w:rPr>
                <w:rFonts w:ascii="Arial" w:hAnsi="Arial" w:cs="Arial"/>
                <w:sz w:val="16"/>
                <w:szCs w:val="16"/>
              </w:rPr>
              <w:t>competence(self</w:t>
            </w:r>
            <w:r w:rsidRPr="00EA7665">
              <w:rPr>
                <w:rFonts w:ascii="Arial" w:hAnsi="Arial" w:cs="Arial"/>
                <w:sz w:val="16"/>
                <w:szCs w:val="16"/>
              </w:rPr>
              <w:t>-confidence, social astuteness &amp; ability to influence others</w:t>
            </w:r>
          </w:p>
        </w:tc>
        <w:tc>
          <w:tcPr>
            <w:tcW w:w="0" w:type="auto"/>
          </w:tcPr>
          <w:p w14:paraId="6954C2B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73BFEF5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w:t>
            </w:r>
          </w:p>
        </w:tc>
        <w:tc>
          <w:tcPr>
            <w:tcW w:w="0" w:type="auto"/>
          </w:tcPr>
          <w:p w14:paraId="254D507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15.0</w:t>
            </w:r>
          </w:p>
        </w:tc>
        <w:tc>
          <w:tcPr>
            <w:tcW w:w="0" w:type="auto"/>
          </w:tcPr>
          <w:p w14:paraId="2214D54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45.0</w:t>
            </w:r>
          </w:p>
        </w:tc>
        <w:tc>
          <w:tcPr>
            <w:tcW w:w="0" w:type="auto"/>
          </w:tcPr>
          <w:p w14:paraId="1445C0EF"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37.5</w:t>
            </w:r>
          </w:p>
        </w:tc>
      </w:tr>
      <w:tr w:rsidR="00CD6352" w:rsidRPr="00EA7665" w14:paraId="1F1CBD30" w14:textId="77777777" w:rsidTr="00CD6352">
        <w:tc>
          <w:tcPr>
            <w:tcW w:w="0" w:type="auto"/>
          </w:tcPr>
          <w:p w14:paraId="59EDC2F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Political competence</w:t>
            </w:r>
          </w:p>
        </w:tc>
        <w:tc>
          <w:tcPr>
            <w:tcW w:w="0" w:type="auto"/>
          </w:tcPr>
          <w:p w14:paraId="115D8F9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w:t>
            </w:r>
          </w:p>
        </w:tc>
        <w:tc>
          <w:tcPr>
            <w:tcW w:w="0" w:type="auto"/>
          </w:tcPr>
          <w:p w14:paraId="4D5B6CF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8.6</w:t>
            </w:r>
          </w:p>
        </w:tc>
        <w:tc>
          <w:tcPr>
            <w:tcW w:w="0" w:type="auto"/>
          </w:tcPr>
          <w:p w14:paraId="47707EB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31.4</w:t>
            </w:r>
          </w:p>
        </w:tc>
        <w:tc>
          <w:tcPr>
            <w:tcW w:w="0" w:type="auto"/>
          </w:tcPr>
          <w:p w14:paraId="41BA591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31.4</w:t>
            </w:r>
          </w:p>
        </w:tc>
        <w:tc>
          <w:tcPr>
            <w:tcW w:w="0" w:type="auto"/>
          </w:tcPr>
          <w:p w14:paraId="24F9D2E7"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25.7</w:t>
            </w:r>
          </w:p>
        </w:tc>
      </w:tr>
      <w:tr w:rsidR="00CD6352" w:rsidRPr="00EA7665" w14:paraId="33E78FF1" w14:textId="77777777" w:rsidTr="00CD6352">
        <w:tc>
          <w:tcPr>
            <w:tcW w:w="0" w:type="auto"/>
          </w:tcPr>
          <w:p w14:paraId="2C92A90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Political &amp; use of power</w:t>
            </w:r>
          </w:p>
        </w:tc>
        <w:tc>
          <w:tcPr>
            <w:tcW w:w="0" w:type="auto"/>
          </w:tcPr>
          <w:p w14:paraId="116BACD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AD3780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9.5</w:t>
            </w:r>
          </w:p>
        </w:tc>
        <w:tc>
          <w:tcPr>
            <w:tcW w:w="0" w:type="auto"/>
          </w:tcPr>
          <w:p w14:paraId="4DB03A9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16.7</w:t>
            </w:r>
          </w:p>
        </w:tc>
        <w:tc>
          <w:tcPr>
            <w:tcW w:w="0" w:type="auto"/>
          </w:tcPr>
          <w:p w14:paraId="7CC3DC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40.5</w:t>
            </w:r>
          </w:p>
        </w:tc>
        <w:tc>
          <w:tcPr>
            <w:tcW w:w="0" w:type="auto"/>
          </w:tcPr>
          <w:p w14:paraId="00ED8A84"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33.3</w:t>
            </w:r>
          </w:p>
        </w:tc>
      </w:tr>
      <w:tr w:rsidR="00CD6352" w:rsidRPr="00EA7665" w14:paraId="1020FD2C" w14:textId="77777777" w:rsidTr="00CD6352">
        <w:tc>
          <w:tcPr>
            <w:tcW w:w="0" w:type="auto"/>
          </w:tcPr>
          <w:p w14:paraId="5589EDE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Resourcefulness</w:t>
            </w:r>
          </w:p>
        </w:tc>
        <w:tc>
          <w:tcPr>
            <w:tcW w:w="0" w:type="auto"/>
          </w:tcPr>
          <w:p w14:paraId="2778F56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666C166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5BA5973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7.3</w:t>
            </w:r>
          </w:p>
        </w:tc>
        <w:tc>
          <w:tcPr>
            <w:tcW w:w="0" w:type="auto"/>
          </w:tcPr>
          <w:p w14:paraId="7AA7BCB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46.3</w:t>
            </w:r>
          </w:p>
        </w:tc>
        <w:tc>
          <w:tcPr>
            <w:tcW w:w="0" w:type="auto"/>
          </w:tcPr>
          <w:p w14:paraId="1000F76E"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43.9</w:t>
            </w:r>
          </w:p>
        </w:tc>
      </w:tr>
      <w:tr w:rsidR="00CD6352" w:rsidRPr="00EA7665" w14:paraId="4A4AD772" w14:textId="77777777" w:rsidTr="00CD6352">
        <w:tc>
          <w:tcPr>
            <w:tcW w:w="0" w:type="auto"/>
          </w:tcPr>
          <w:p w14:paraId="5C9D3C0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Result oriented</w:t>
            </w:r>
          </w:p>
        </w:tc>
        <w:tc>
          <w:tcPr>
            <w:tcW w:w="0" w:type="auto"/>
          </w:tcPr>
          <w:p w14:paraId="1714B77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10CFA27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0899166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w:t>
            </w:r>
          </w:p>
        </w:tc>
        <w:tc>
          <w:tcPr>
            <w:tcW w:w="0" w:type="auto"/>
          </w:tcPr>
          <w:p w14:paraId="73FC954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w:t>
            </w:r>
          </w:p>
        </w:tc>
        <w:tc>
          <w:tcPr>
            <w:tcW w:w="0" w:type="auto"/>
          </w:tcPr>
          <w:p w14:paraId="3BF893CC"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50</w:t>
            </w:r>
          </w:p>
        </w:tc>
      </w:tr>
      <w:tr w:rsidR="00CD6352" w:rsidRPr="00EA7665" w14:paraId="0558FFBB" w14:textId="77777777" w:rsidTr="00CD6352">
        <w:tc>
          <w:tcPr>
            <w:tcW w:w="0" w:type="auto"/>
          </w:tcPr>
          <w:p w14:paraId="3437FE3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Risk &amp; opportunity</w:t>
            </w:r>
          </w:p>
        </w:tc>
        <w:tc>
          <w:tcPr>
            <w:tcW w:w="0" w:type="auto"/>
          </w:tcPr>
          <w:p w14:paraId="631F661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469CFE8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w:t>
            </w:r>
          </w:p>
        </w:tc>
        <w:tc>
          <w:tcPr>
            <w:tcW w:w="0" w:type="auto"/>
          </w:tcPr>
          <w:p w14:paraId="0FDCC63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11.9</w:t>
            </w:r>
          </w:p>
        </w:tc>
        <w:tc>
          <w:tcPr>
            <w:tcW w:w="0" w:type="auto"/>
          </w:tcPr>
          <w:p w14:paraId="23AD625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47.6</w:t>
            </w:r>
          </w:p>
        </w:tc>
        <w:tc>
          <w:tcPr>
            <w:tcW w:w="0" w:type="auto"/>
          </w:tcPr>
          <w:p w14:paraId="4DA31B3E"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38.1</w:t>
            </w:r>
          </w:p>
        </w:tc>
      </w:tr>
      <w:tr w:rsidR="00CD6352" w:rsidRPr="00EA7665" w14:paraId="33A81790" w14:textId="77777777" w:rsidTr="00CD6352">
        <w:tc>
          <w:tcPr>
            <w:tcW w:w="0" w:type="auto"/>
          </w:tcPr>
          <w:p w14:paraId="4257531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Technical competence</w:t>
            </w:r>
          </w:p>
        </w:tc>
        <w:tc>
          <w:tcPr>
            <w:tcW w:w="0" w:type="auto"/>
          </w:tcPr>
          <w:p w14:paraId="2B1C89D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00E155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Nil</w:t>
            </w:r>
          </w:p>
        </w:tc>
        <w:tc>
          <w:tcPr>
            <w:tcW w:w="0" w:type="auto"/>
          </w:tcPr>
          <w:p w14:paraId="5FA838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11.9</w:t>
            </w:r>
          </w:p>
        </w:tc>
        <w:tc>
          <w:tcPr>
            <w:tcW w:w="0" w:type="auto"/>
          </w:tcPr>
          <w:p w14:paraId="538CADA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47.6</w:t>
            </w:r>
          </w:p>
        </w:tc>
        <w:tc>
          <w:tcPr>
            <w:tcW w:w="0" w:type="auto"/>
          </w:tcPr>
          <w:p w14:paraId="56EF4147" w14:textId="77777777" w:rsidR="00CD6352" w:rsidRPr="00EA7665" w:rsidRDefault="00CD6352" w:rsidP="00CD6352">
            <w:pPr>
              <w:jc w:val="both"/>
              <w:rPr>
                <w:rFonts w:ascii="Arial" w:hAnsi="Arial" w:cs="Arial"/>
                <w:color w:val="000000" w:themeColor="text1"/>
                <w:sz w:val="16"/>
                <w:szCs w:val="16"/>
              </w:rPr>
            </w:pPr>
            <w:r w:rsidRPr="00EA7665">
              <w:rPr>
                <w:rFonts w:ascii="Arial" w:hAnsi="Arial" w:cs="Arial"/>
                <w:color w:val="000000" w:themeColor="text1"/>
                <w:sz w:val="16"/>
                <w:szCs w:val="16"/>
              </w:rPr>
              <w:t>40.5</w:t>
            </w:r>
          </w:p>
        </w:tc>
      </w:tr>
    </w:tbl>
    <w:p w14:paraId="529CAFD3" w14:textId="77777777" w:rsidR="00CD6352" w:rsidRPr="004048C5" w:rsidRDefault="00CD6352" w:rsidP="00CD6352">
      <w:pPr>
        <w:pStyle w:val="Caption"/>
        <w:rPr>
          <w:rFonts w:ascii="Arial" w:hAnsi="Arial" w:cs="Arial"/>
          <w:i w:val="0"/>
          <w:iCs w:val="0"/>
          <w:sz w:val="22"/>
          <w:szCs w:val="22"/>
        </w:rPr>
      </w:pPr>
    </w:p>
    <w:p w14:paraId="60121A8D" w14:textId="5512EBB7" w:rsidR="00CD6352" w:rsidRPr="004048C5" w:rsidRDefault="004048C5" w:rsidP="004048C5">
      <w:pPr>
        <w:rPr>
          <w:rFonts w:ascii="Arial" w:hAnsi="Arial" w:cs="Arial"/>
          <w:i/>
          <w:iCs/>
        </w:rPr>
      </w:pPr>
      <w:r w:rsidRPr="004048C5">
        <w:rPr>
          <w:rFonts w:ascii="Arial" w:hAnsi="Arial" w:cs="Arial"/>
        </w:rPr>
        <w:t xml:space="preserve">The mean scores were also used to determine the importance of the selected 19 management competences for securing finance for real estate project development </w:t>
      </w:r>
      <w:r w:rsidR="004A7ED9" w:rsidRPr="004048C5">
        <w:rPr>
          <w:rFonts w:ascii="Arial" w:hAnsi="Arial" w:cs="Arial"/>
        </w:rPr>
        <w:t>(see</w:t>
      </w:r>
      <w:r w:rsidRPr="004048C5">
        <w:rPr>
          <w:rFonts w:ascii="Arial" w:hAnsi="Arial" w:cs="Arial"/>
        </w:rPr>
        <w:t xml:space="preserve"> table 8.</w:t>
      </w:r>
      <w:r>
        <w:rPr>
          <w:rFonts w:ascii="Arial" w:hAnsi="Arial" w:cs="Arial"/>
        </w:rPr>
        <w:t>4.2</w:t>
      </w:r>
      <w:r w:rsidRPr="004048C5">
        <w:rPr>
          <w:rFonts w:ascii="Arial" w:hAnsi="Arial" w:cs="Arial"/>
        </w:rPr>
        <w:t>).</w:t>
      </w:r>
    </w:p>
    <w:p w14:paraId="31917874" w14:textId="53DE80B0" w:rsidR="00CD6352" w:rsidRPr="00EA7665" w:rsidRDefault="00CD6352" w:rsidP="00CD6352">
      <w:pPr>
        <w:pStyle w:val="Caption"/>
        <w:keepNext/>
        <w:rPr>
          <w:rFonts w:ascii="Arial" w:hAnsi="Arial" w:cs="Arial"/>
          <w:sz w:val="16"/>
          <w:szCs w:val="16"/>
        </w:rPr>
      </w:pPr>
    </w:p>
    <w:p w14:paraId="0878DEFC" w14:textId="2D92C079" w:rsidR="008A1E45" w:rsidRPr="004048C5" w:rsidRDefault="008A1E45" w:rsidP="008A1E45">
      <w:pPr>
        <w:pStyle w:val="Caption"/>
        <w:keepNext/>
        <w:rPr>
          <w:rFonts w:ascii="Arial" w:hAnsi="Arial" w:cs="Arial"/>
          <w:i w:val="0"/>
          <w:iCs w:val="0"/>
          <w:sz w:val="16"/>
          <w:szCs w:val="16"/>
        </w:rPr>
      </w:pPr>
      <w:bookmarkStart w:id="1358" w:name="_Toc78984016"/>
      <w:r w:rsidRPr="004048C5">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8.4</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2</w:t>
      </w:r>
      <w:r w:rsidR="008F25B1">
        <w:rPr>
          <w:rFonts w:ascii="Arial" w:hAnsi="Arial" w:cs="Arial"/>
          <w:i w:val="0"/>
          <w:iCs w:val="0"/>
          <w:sz w:val="16"/>
          <w:szCs w:val="16"/>
        </w:rPr>
        <w:fldChar w:fldCharType="end"/>
      </w:r>
      <w:r w:rsidRPr="004048C5">
        <w:rPr>
          <w:rFonts w:ascii="Arial" w:hAnsi="Arial" w:cs="Arial"/>
          <w:i w:val="0"/>
          <w:iCs w:val="0"/>
          <w:sz w:val="16"/>
          <w:szCs w:val="16"/>
        </w:rPr>
        <w:t>:</w:t>
      </w:r>
      <w:r w:rsidRPr="004048C5">
        <w:rPr>
          <w:rFonts w:ascii="Arial" w:hAnsi="Arial" w:cs="Arial"/>
          <w:i w:val="0"/>
          <w:iCs w:val="0"/>
          <w:color w:val="auto"/>
          <w:sz w:val="16"/>
          <w:szCs w:val="16"/>
        </w:rPr>
        <w:t xml:space="preserve"> </w:t>
      </w:r>
      <w:r w:rsidRPr="004048C5">
        <w:rPr>
          <w:rFonts w:ascii="Arial" w:hAnsi="Arial" w:cs="Arial"/>
          <w:i w:val="0"/>
          <w:iCs w:val="0"/>
          <w:sz w:val="16"/>
          <w:szCs w:val="16"/>
        </w:rPr>
        <w:t xml:space="preserve">Mean scores for Degree of </w:t>
      </w:r>
      <w:r w:rsidR="001C0C80">
        <w:rPr>
          <w:rFonts w:ascii="Arial" w:hAnsi="Arial" w:cs="Arial"/>
          <w:i w:val="0"/>
          <w:iCs w:val="0"/>
          <w:sz w:val="16"/>
          <w:szCs w:val="16"/>
        </w:rPr>
        <w:t xml:space="preserve">the </w:t>
      </w:r>
      <w:r w:rsidRPr="004048C5">
        <w:rPr>
          <w:rFonts w:ascii="Arial" w:hAnsi="Arial" w:cs="Arial"/>
          <w:i w:val="0"/>
          <w:iCs w:val="0"/>
          <w:sz w:val="16"/>
          <w:szCs w:val="16"/>
        </w:rPr>
        <w:t xml:space="preserve">importance of management </w:t>
      </w:r>
      <w:r w:rsidR="004048C5" w:rsidRPr="004048C5">
        <w:rPr>
          <w:rFonts w:ascii="Arial" w:hAnsi="Arial" w:cs="Arial"/>
          <w:i w:val="0"/>
          <w:iCs w:val="0"/>
          <w:sz w:val="16"/>
          <w:szCs w:val="16"/>
        </w:rPr>
        <w:t>competences for</w:t>
      </w:r>
      <w:r w:rsidRPr="004048C5">
        <w:rPr>
          <w:rFonts w:ascii="Arial" w:hAnsi="Arial" w:cs="Arial"/>
          <w:i w:val="0"/>
          <w:iCs w:val="0"/>
          <w:sz w:val="16"/>
          <w:szCs w:val="16"/>
        </w:rPr>
        <w:t xml:space="preserve"> securing finance for real estate project development.</w:t>
      </w:r>
      <w:r w:rsidR="001C0C80">
        <w:rPr>
          <w:rFonts w:ascii="Arial" w:hAnsi="Arial" w:cs="Arial"/>
          <w:i w:val="0"/>
          <w:iCs w:val="0"/>
          <w:sz w:val="16"/>
          <w:szCs w:val="16"/>
        </w:rPr>
        <w:t xml:space="preserve"> </w:t>
      </w:r>
      <w:r w:rsidRPr="004048C5">
        <w:rPr>
          <w:rFonts w:ascii="Arial" w:hAnsi="Arial" w:cs="Arial"/>
          <w:i w:val="0"/>
          <w:iCs w:val="0"/>
          <w:sz w:val="16"/>
          <w:szCs w:val="16"/>
        </w:rPr>
        <w:t>at the aggregate level</w:t>
      </w:r>
      <w:bookmarkEnd w:id="1358"/>
    </w:p>
    <w:tbl>
      <w:tblPr>
        <w:tblW w:w="0" w:type="auto"/>
        <w:tblInd w:w="93" w:type="dxa"/>
        <w:tblLook w:val="04A0" w:firstRow="1" w:lastRow="0" w:firstColumn="1" w:lastColumn="0" w:noHBand="0" w:noVBand="1"/>
      </w:tblPr>
      <w:tblGrid>
        <w:gridCol w:w="6131"/>
        <w:gridCol w:w="1861"/>
        <w:gridCol w:w="608"/>
      </w:tblGrid>
      <w:tr w:rsidR="00CD6352" w:rsidRPr="004048C5" w14:paraId="346FA8D9" w14:textId="77777777" w:rsidTr="00CD6352">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4C6BCD4" w14:textId="77777777" w:rsidR="00CD6352" w:rsidRPr="004048C5" w:rsidRDefault="00CD6352" w:rsidP="00CD6352">
            <w:pPr>
              <w:spacing w:after="0" w:line="240" w:lineRule="auto"/>
              <w:rPr>
                <w:rFonts w:ascii="Arial" w:eastAsia="Times New Roman" w:hAnsi="Arial" w:cs="Arial"/>
                <w:b/>
                <w:bCs/>
                <w:color w:val="000000"/>
                <w:sz w:val="16"/>
                <w:szCs w:val="16"/>
                <w:lang w:eastAsia="en-GB"/>
              </w:rPr>
            </w:pPr>
            <w:r w:rsidRPr="004048C5">
              <w:rPr>
                <w:rFonts w:ascii="Arial" w:eastAsia="Times New Roman" w:hAnsi="Arial" w:cs="Arial"/>
                <w:b/>
                <w:bCs/>
                <w:color w:val="000000"/>
                <w:sz w:val="16"/>
                <w:szCs w:val="16"/>
                <w:lang w:eastAsia="en-GB"/>
              </w:rPr>
              <w:t>Management competences N = 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46DDD1" w14:textId="77777777" w:rsidR="00CD6352" w:rsidRPr="004048C5" w:rsidRDefault="00CD6352" w:rsidP="00CD6352">
            <w:pPr>
              <w:spacing w:after="0" w:line="240" w:lineRule="auto"/>
              <w:rPr>
                <w:rFonts w:ascii="Arial" w:eastAsia="Times New Roman" w:hAnsi="Arial" w:cs="Arial"/>
                <w:b/>
                <w:bCs/>
                <w:color w:val="000000"/>
                <w:sz w:val="16"/>
                <w:szCs w:val="16"/>
                <w:lang w:eastAsia="en-GB"/>
              </w:rPr>
            </w:pPr>
            <w:r w:rsidRPr="004048C5">
              <w:rPr>
                <w:rFonts w:ascii="Arial" w:eastAsia="Times New Roman" w:hAnsi="Arial" w:cs="Arial"/>
                <w:b/>
                <w:bCs/>
                <w:color w:val="000000"/>
                <w:sz w:val="16"/>
                <w:szCs w:val="16"/>
                <w:lang w:eastAsia="en-GB"/>
              </w:rPr>
              <w:t>Degree of importance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B87BBD" w14:textId="77777777" w:rsidR="00CD6352" w:rsidRPr="004048C5" w:rsidRDefault="00CD6352" w:rsidP="00CD6352">
            <w:pPr>
              <w:spacing w:after="0" w:line="240" w:lineRule="auto"/>
              <w:rPr>
                <w:rFonts w:ascii="Arial" w:eastAsia="Times New Roman" w:hAnsi="Arial" w:cs="Arial"/>
                <w:b/>
                <w:bCs/>
                <w:color w:val="000000"/>
                <w:sz w:val="16"/>
                <w:szCs w:val="16"/>
                <w:lang w:eastAsia="en-GB"/>
              </w:rPr>
            </w:pPr>
            <w:r w:rsidRPr="004048C5">
              <w:rPr>
                <w:rFonts w:ascii="Arial" w:eastAsia="Times New Roman" w:hAnsi="Arial" w:cs="Arial"/>
                <w:b/>
                <w:bCs/>
                <w:color w:val="000000"/>
                <w:sz w:val="16"/>
                <w:szCs w:val="16"/>
                <w:lang w:eastAsia="en-GB"/>
              </w:rPr>
              <w:t>Rank</w:t>
            </w:r>
          </w:p>
        </w:tc>
      </w:tr>
      <w:tr w:rsidR="00CD6352" w:rsidRPr="004048C5" w14:paraId="203E4CC2"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AD6699"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Leadership competence</w:t>
            </w:r>
          </w:p>
        </w:tc>
        <w:tc>
          <w:tcPr>
            <w:tcW w:w="0" w:type="auto"/>
            <w:tcBorders>
              <w:top w:val="nil"/>
              <w:left w:val="nil"/>
              <w:bottom w:val="single" w:sz="4" w:space="0" w:color="auto"/>
              <w:right w:val="single" w:sz="4" w:space="0" w:color="auto"/>
            </w:tcBorders>
            <w:shd w:val="clear" w:color="auto" w:fill="auto"/>
            <w:noWrap/>
            <w:vAlign w:val="bottom"/>
            <w:hideMark/>
          </w:tcPr>
          <w:p w14:paraId="2945C64A"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14:paraId="74D4BC07"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w:t>
            </w:r>
          </w:p>
        </w:tc>
      </w:tr>
      <w:tr w:rsidR="00CD6352" w:rsidRPr="004048C5" w14:paraId="471550CB"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137DD4"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Result oriented</w:t>
            </w:r>
          </w:p>
        </w:tc>
        <w:tc>
          <w:tcPr>
            <w:tcW w:w="0" w:type="auto"/>
            <w:tcBorders>
              <w:top w:val="nil"/>
              <w:left w:val="nil"/>
              <w:bottom w:val="single" w:sz="4" w:space="0" w:color="auto"/>
              <w:right w:val="single" w:sz="4" w:space="0" w:color="auto"/>
            </w:tcBorders>
            <w:shd w:val="clear" w:color="auto" w:fill="auto"/>
            <w:noWrap/>
            <w:vAlign w:val="bottom"/>
            <w:hideMark/>
          </w:tcPr>
          <w:p w14:paraId="33CEEF34"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4.36</w:t>
            </w:r>
          </w:p>
        </w:tc>
        <w:tc>
          <w:tcPr>
            <w:tcW w:w="0" w:type="auto"/>
            <w:tcBorders>
              <w:top w:val="nil"/>
              <w:left w:val="nil"/>
              <w:bottom w:val="single" w:sz="4" w:space="0" w:color="auto"/>
              <w:right w:val="single" w:sz="4" w:space="0" w:color="auto"/>
            </w:tcBorders>
            <w:shd w:val="clear" w:color="auto" w:fill="auto"/>
            <w:noWrap/>
            <w:vAlign w:val="bottom"/>
            <w:hideMark/>
          </w:tcPr>
          <w:p w14:paraId="24BB78C8"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2</w:t>
            </w:r>
          </w:p>
        </w:tc>
      </w:tr>
      <w:tr w:rsidR="00CD6352" w:rsidRPr="004048C5" w14:paraId="5C88C9D1"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9682C"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Managerial competences</w:t>
            </w:r>
          </w:p>
        </w:tc>
        <w:tc>
          <w:tcPr>
            <w:tcW w:w="0" w:type="auto"/>
            <w:tcBorders>
              <w:top w:val="nil"/>
              <w:left w:val="nil"/>
              <w:bottom w:val="single" w:sz="4" w:space="0" w:color="auto"/>
              <w:right w:val="single" w:sz="4" w:space="0" w:color="auto"/>
            </w:tcBorders>
            <w:shd w:val="clear" w:color="auto" w:fill="auto"/>
            <w:noWrap/>
            <w:vAlign w:val="bottom"/>
            <w:hideMark/>
          </w:tcPr>
          <w:p w14:paraId="24AE0D18"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4.3</w:t>
            </w:r>
          </w:p>
        </w:tc>
        <w:tc>
          <w:tcPr>
            <w:tcW w:w="0" w:type="auto"/>
            <w:tcBorders>
              <w:top w:val="nil"/>
              <w:left w:val="nil"/>
              <w:bottom w:val="single" w:sz="4" w:space="0" w:color="auto"/>
              <w:right w:val="single" w:sz="4" w:space="0" w:color="auto"/>
            </w:tcBorders>
            <w:shd w:val="clear" w:color="auto" w:fill="auto"/>
            <w:noWrap/>
            <w:vAlign w:val="bottom"/>
            <w:hideMark/>
          </w:tcPr>
          <w:p w14:paraId="44391288"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3</w:t>
            </w:r>
          </w:p>
        </w:tc>
      </w:tr>
      <w:tr w:rsidR="00CD6352" w:rsidRPr="004048C5" w14:paraId="770D01A3"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32BAC"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Resourcefulness</w:t>
            </w:r>
          </w:p>
        </w:tc>
        <w:tc>
          <w:tcPr>
            <w:tcW w:w="0" w:type="auto"/>
            <w:tcBorders>
              <w:top w:val="nil"/>
              <w:left w:val="nil"/>
              <w:bottom w:val="single" w:sz="4" w:space="0" w:color="auto"/>
              <w:right w:val="single" w:sz="4" w:space="0" w:color="auto"/>
            </w:tcBorders>
            <w:shd w:val="clear" w:color="auto" w:fill="auto"/>
            <w:noWrap/>
            <w:vAlign w:val="bottom"/>
            <w:hideMark/>
          </w:tcPr>
          <w:p w14:paraId="229F29AC"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4.3</w:t>
            </w:r>
          </w:p>
        </w:tc>
        <w:tc>
          <w:tcPr>
            <w:tcW w:w="0" w:type="auto"/>
            <w:tcBorders>
              <w:top w:val="nil"/>
              <w:left w:val="nil"/>
              <w:bottom w:val="single" w:sz="4" w:space="0" w:color="auto"/>
              <w:right w:val="single" w:sz="4" w:space="0" w:color="auto"/>
            </w:tcBorders>
            <w:shd w:val="clear" w:color="auto" w:fill="auto"/>
            <w:noWrap/>
            <w:vAlign w:val="bottom"/>
            <w:hideMark/>
          </w:tcPr>
          <w:p w14:paraId="4F0E6A33"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w:t>
            </w:r>
          </w:p>
        </w:tc>
      </w:tr>
      <w:tr w:rsidR="00CD6352" w:rsidRPr="004048C5" w14:paraId="76CC249A"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04C59F"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Planning &amp; control</w:t>
            </w:r>
          </w:p>
        </w:tc>
        <w:tc>
          <w:tcPr>
            <w:tcW w:w="0" w:type="auto"/>
            <w:tcBorders>
              <w:top w:val="nil"/>
              <w:left w:val="nil"/>
              <w:bottom w:val="single" w:sz="4" w:space="0" w:color="auto"/>
              <w:right w:val="single" w:sz="4" w:space="0" w:color="auto"/>
            </w:tcBorders>
            <w:shd w:val="clear" w:color="auto" w:fill="auto"/>
            <w:noWrap/>
            <w:vAlign w:val="bottom"/>
            <w:hideMark/>
          </w:tcPr>
          <w:p w14:paraId="571E44E5"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4.28</w:t>
            </w:r>
          </w:p>
        </w:tc>
        <w:tc>
          <w:tcPr>
            <w:tcW w:w="0" w:type="auto"/>
            <w:tcBorders>
              <w:top w:val="nil"/>
              <w:left w:val="nil"/>
              <w:bottom w:val="single" w:sz="4" w:space="0" w:color="auto"/>
              <w:right w:val="single" w:sz="4" w:space="0" w:color="auto"/>
            </w:tcBorders>
            <w:shd w:val="clear" w:color="auto" w:fill="auto"/>
            <w:noWrap/>
            <w:vAlign w:val="bottom"/>
            <w:hideMark/>
          </w:tcPr>
          <w:p w14:paraId="3F45E0C1"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5</w:t>
            </w:r>
          </w:p>
        </w:tc>
      </w:tr>
      <w:tr w:rsidR="00CD6352" w:rsidRPr="004048C5" w14:paraId="61755242"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A515A5"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 xml:space="preserve">Negotiation </w:t>
            </w:r>
          </w:p>
        </w:tc>
        <w:tc>
          <w:tcPr>
            <w:tcW w:w="0" w:type="auto"/>
            <w:tcBorders>
              <w:top w:val="nil"/>
              <w:left w:val="nil"/>
              <w:bottom w:val="single" w:sz="4" w:space="0" w:color="auto"/>
              <w:right w:val="single" w:sz="4" w:space="0" w:color="auto"/>
            </w:tcBorders>
            <w:shd w:val="clear" w:color="auto" w:fill="auto"/>
            <w:noWrap/>
            <w:vAlign w:val="bottom"/>
            <w:hideMark/>
          </w:tcPr>
          <w:p w14:paraId="283C0B6C"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4.27</w:t>
            </w:r>
          </w:p>
        </w:tc>
        <w:tc>
          <w:tcPr>
            <w:tcW w:w="0" w:type="auto"/>
            <w:tcBorders>
              <w:top w:val="nil"/>
              <w:left w:val="nil"/>
              <w:bottom w:val="single" w:sz="4" w:space="0" w:color="auto"/>
              <w:right w:val="single" w:sz="4" w:space="0" w:color="auto"/>
            </w:tcBorders>
            <w:shd w:val="clear" w:color="auto" w:fill="auto"/>
            <w:noWrap/>
            <w:vAlign w:val="bottom"/>
            <w:hideMark/>
          </w:tcPr>
          <w:p w14:paraId="228EF5B8"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6</w:t>
            </w:r>
          </w:p>
        </w:tc>
      </w:tr>
      <w:tr w:rsidR="00CD6352" w:rsidRPr="004048C5" w14:paraId="6BC33A63"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19394"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Technical competence</w:t>
            </w:r>
          </w:p>
        </w:tc>
        <w:tc>
          <w:tcPr>
            <w:tcW w:w="0" w:type="auto"/>
            <w:tcBorders>
              <w:top w:val="nil"/>
              <w:left w:val="nil"/>
              <w:bottom w:val="single" w:sz="4" w:space="0" w:color="auto"/>
              <w:right w:val="single" w:sz="4" w:space="0" w:color="auto"/>
            </w:tcBorders>
            <w:shd w:val="clear" w:color="auto" w:fill="auto"/>
            <w:noWrap/>
            <w:vAlign w:val="bottom"/>
            <w:hideMark/>
          </w:tcPr>
          <w:p w14:paraId="24E77A4C"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4.25</w:t>
            </w:r>
          </w:p>
        </w:tc>
        <w:tc>
          <w:tcPr>
            <w:tcW w:w="0" w:type="auto"/>
            <w:tcBorders>
              <w:top w:val="nil"/>
              <w:left w:val="nil"/>
              <w:bottom w:val="single" w:sz="4" w:space="0" w:color="auto"/>
              <w:right w:val="single" w:sz="4" w:space="0" w:color="auto"/>
            </w:tcBorders>
            <w:shd w:val="clear" w:color="auto" w:fill="auto"/>
            <w:noWrap/>
            <w:vAlign w:val="bottom"/>
            <w:hideMark/>
          </w:tcPr>
          <w:p w14:paraId="5F4B6DE1"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7</w:t>
            </w:r>
          </w:p>
        </w:tc>
      </w:tr>
      <w:tr w:rsidR="00CD6352" w:rsidRPr="004048C5" w14:paraId="02238A47"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A3C626"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 xml:space="preserve">Financial management </w:t>
            </w:r>
          </w:p>
        </w:tc>
        <w:tc>
          <w:tcPr>
            <w:tcW w:w="0" w:type="auto"/>
            <w:tcBorders>
              <w:top w:val="nil"/>
              <w:left w:val="nil"/>
              <w:bottom w:val="single" w:sz="4" w:space="0" w:color="auto"/>
              <w:right w:val="single" w:sz="4" w:space="0" w:color="auto"/>
            </w:tcBorders>
            <w:shd w:val="clear" w:color="auto" w:fill="auto"/>
            <w:noWrap/>
            <w:vAlign w:val="bottom"/>
            <w:hideMark/>
          </w:tcPr>
          <w:p w14:paraId="14F58616"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4.23</w:t>
            </w:r>
          </w:p>
        </w:tc>
        <w:tc>
          <w:tcPr>
            <w:tcW w:w="0" w:type="auto"/>
            <w:tcBorders>
              <w:top w:val="nil"/>
              <w:left w:val="nil"/>
              <w:bottom w:val="single" w:sz="4" w:space="0" w:color="auto"/>
              <w:right w:val="single" w:sz="4" w:space="0" w:color="auto"/>
            </w:tcBorders>
            <w:shd w:val="clear" w:color="auto" w:fill="auto"/>
            <w:noWrap/>
            <w:vAlign w:val="bottom"/>
            <w:hideMark/>
          </w:tcPr>
          <w:p w14:paraId="2A25AB26"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8</w:t>
            </w:r>
          </w:p>
        </w:tc>
      </w:tr>
      <w:tr w:rsidR="00CD6352" w:rsidRPr="004048C5" w14:paraId="2C420B4C"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7C857C"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Risk &amp; opportunity</w:t>
            </w:r>
          </w:p>
        </w:tc>
        <w:tc>
          <w:tcPr>
            <w:tcW w:w="0" w:type="auto"/>
            <w:tcBorders>
              <w:top w:val="nil"/>
              <w:left w:val="nil"/>
              <w:bottom w:val="single" w:sz="4" w:space="0" w:color="auto"/>
              <w:right w:val="single" w:sz="4" w:space="0" w:color="auto"/>
            </w:tcBorders>
            <w:shd w:val="clear" w:color="auto" w:fill="auto"/>
            <w:noWrap/>
            <w:vAlign w:val="bottom"/>
            <w:hideMark/>
          </w:tcPr>
          <w:p w14:paraId="4C19A8A9"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4.18</w:t>
            </w:r>
          </w:p>
        </w:tc>
        <w:tc>
          <w:tcPr>
            <w:tcW w:w="0" w:type="auto"/>
            <w:tcBorders>
              <w:top w:val="nil"/>
              <w:left w:val="nil"/>
              <w:bottom w:val="single" w:sz="4" w:space="0" w:color="auto"/>
              <w:right w:val="single" w:sz="4" w:space="0" w:color="auto"/>
            </w:tcBorders>
            <w:shd w:val="clear" w:color="auto" w:fill="auto"/>
            <w:noWrap/>
            <w:vAlign w:val="bottom"/>
            <w:hideMark/>
          </w:tcPr>
          <w:p w14:paraId="0F68383C"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9</w:t>
            </w:r>
          </w:p>
        </w:tc>
      </w:tr>
      <w:tr w:rsidR="00CD6352" w:rsidRPr="004048C5" w14:paraId="62AFC1CF"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B8309B"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Compliance, standards &amp; regulations</w:t>
            </w:r>
          </w:p>
        </w:tc>
        <w:tc>
          <w:tcPr>
            <w:tcW w:w="0" w:type="auto"/>
            <w:tcBorders>
              <w:top w:val="nil"/>
              <w:left w:val="nil"/>
              <w:bottom w:val="single" w:sz="4" w:space="0" w:color="auto"/>
              <w:right w:val="single" w:sz="4" w:space="0" w:color="auto"/>
            </w:tcBorders>
            <w:shd w:val="clear" w:color="auto" w:fill="auto"/>
            <w:noWrap/>
            <w:vAlign w:val="bottom"/>
            <w:hideMark/>
          </w:tcPr>
          <w:p w14:paraId="412DADE2"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4.14</w:t>
            </w:r>
          </w:p>
        </w:tc>
        <w:tc>
          <w:tcPr>
            <w:tcW w:w="0" w:type="auto"/>
            <w:tcBorders>
              <w:top w:val="nil"/>
              <w:left w:val="nil"/>
              <w:bottom w:val="single" w:sz="4" w:space="0" w:color="auto"/>
              <w:right w:val="single" w:sz="4" w:space="0" w:color="auto"/>
            </w:tcBorders>
            <w:shd w:val="clear" w:color="auto" w:fill="auto"/>
            <w:noWrap/>
            <w:vAlign w:val="bottom"/>
            <w:hideMark/>
          </w:tcPr>
          <w:p w14:paraId="10748F72"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10</w:t>
            </w:r>
          </w:p>
        </w:tc>
      </w:tr>
      <w:tr w:rsidR="00CD6352" w:rsidRPr="004048C5" w14:paraId="4087E5FD" w14:textId="77777777" w:rsidTr="00CD6352">
        <w:trPr>
          <w:trHeight w:val="48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AB0149"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Ethics, compliance, and professionalism</w:t>
            </w:r>
          </w:p>
        </w:tc>
        <w:tc>
          <w:tcPr>
            <w:tcW w:w="0" w:type="auto"/>
            <w:tcBorders>
              <w:top w:val="nil"/>
              <w:left w:val="nil"/>
              <w:bottom w:val="single" w:sz="4" w:space="0" w:color="auto"/>
              <w:right w:val="single" w:sz="4" w:space="0" w:color="auto"/>
            </w:tcBorders>
            <w:shd w:val="clear" w:color="auto" w:fill="auto"/>
            <w:noWrap/>
            <w:vAlign w:val="bottom"/>
            <w:hideMark/>
          </w:tcPr>
          <w:p w14:paraId="3A5D1441"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4.14</w:t>
            </w:r>
          </w:p>
        </w:tc>
        <w:tc>
          <w:tcPr>
            <w:tcW w:w="0" w:type="auto"/>
            <w:tcBorders>
              <w:top w:val="nil"/>
              <w:left w:val="nil"/>
              <w:bottom w:val="single" w:sz="4" w:space="0" w:color="auto"/>
              <w:right w:val="single" w:sz="4" w:space="0" w:color="auto"/>
            </w:tcBorders>
            <w:shd w:val="clear" w:color="auto" w:fill="auto"/>
            <w:noWrap/>
            <w:vAlign w:val="bottom"/>
            <w:hideMark/>
          </w:tcPr>
          <w:p w14:paraId="1FDEC713"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11</w:t>
            </w:r>
          </w:p>
        </w:tc>
      </w:tr>
      <w:tr w:rsidR="00CD6352" w:rsidRPr="004048C5" w14:paraId="380738D8" w14:textId="77777777" w:rsidTr="00CD6352">
        <w:trPr>
          <w:trHeight w:val="30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8EFCB1"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Political competence( self-confidence, social astuteness &amp; ability to influence others</w:t>
            </w:r>
          </w:p>
        </w:tc>
        <w:tc>
          <w:tcPr>
            <w:tcW w:w="0" w:type="auto"/>
            <w:tcBorders>
              <w:top w:val="nil"/>
              <w:left w:val="nil"/>
              <w:bottom w:val="single" w:sz="4" w:space="0" w:color="auto"/>
              <w:right w:val="single" w:sz="4" w:space="0" w:color="auto"/>
            </w:tcBorders>
            <w:shd w:val="clear" w:color="auto" w:fill="auto"/>
            <w:noWrap/>
            <w:vAlign w:val="bottom"/>
            <w:hideMark/>
          </w:tcPr>
          <w:p w14:paraId="6080EDB6"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4.14</w:t>
            </w:r>
          </w:p>
        </w:tc>
        <w:tc>
          <w:tcPr>
            <w:tcW w:w="0" w:type="auto"/>
            <w:tcBorders>
              <w:top w:val="nil"/>
              <w:left w:val="nil"/>
              <w:bottom w:val="single" w:sz="4" w:space="0" w:color="auto"/>
              <w:right w:val="single" w:sz="4" w:space="0" w:color="auto"/>
            </w:tcBorders>
            <w:shd w:val="clear" w:color="auto" w:fill="auto"/>
            <w:noWrap/>
            <w:vAlign w:val="bottom"/>
            <w:hideMark/>
          </w:tcPr>
          <w:p w14:paraId="4D2C5009"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12</w:t>
            </w:r>
          </w:p>
        </w:tc>
      </w:tr>
      <w:tr w:rsidR="00CD6352" w:rsidRPr="004048C5" w14:paraId="4FAF1B01"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1C8C91"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Business case</w:t>
            </w:r>
          </w:p>
        </w:tc>
        <w:tc>
          <w:tcPr>
            <w:tcW w:w="0" w:type="auto"/>
            <w:tcBorders>
              <w:top w:val="nil"/>
              <w:left w:val="nil"/>
              <w:bottom w:val="single" w:sz="4" w:space="0" w:color="auto"/>
              <w:right w:val="single" w:sz="4" w:space="0" w:color="auto"/>
            </w:tcBorders>
            <w:shd w:val="clear" w:color="auto" w:fill="auto"/>
            <w:noWrap/>
            <w:vAlign w:val="bottom"/>
            <w:hideMark/>
          </w:tcPr>
          <w:p w14:paraId="4A493ED6"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4.12</w:t>
            </w:r>
          </w:p>
        </w:tc>
        <w:tc>
          <w:tcPr>
            <w:tcW w:w="0" w:type="auto"/>
            <w:tcBorders>
              <w:top w:val="nil"/>
              <w:left w:val="nil"/>
              <w:bottom w:val="single" w:sz="4" w:space="0" w:color="auto"/>
              <w:right w:val="single" w:sz="4" w:space="0" w:color="auto"/>
            </w:tcBorders>
            <w:shd w:val="clear" w:color="auto" w:fill="auto"/>
            <w:noWrap/>
            <w:vAlign w:val="bottom"/>
            <w:hideMark/>
          </w:tcPr>
          <w:p w14:paraId="76FC7F5D"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13</w:t>
            </w:r>
          </w:p>
        </w:tc>
      </w:tr>
      <w:tr w:rsidR="00CD6352" w:rsidRPr="004048C5" w14:paraId="00D93F24"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BD7E6"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Governance, structure, and processes</w:t>
            </w:r>
          </w:p>
        </w:tc>
        <w:tc>
          <w:tcPr>
            <w:tcW w:w="0" w:type="auto"/>
            <w:tcBorders>
              <w:top w:val="nil"/>
              <w:left w:val="nil"/>
              <w:bottom w:val="single" w:sz="4" w:space="0" w:color="auto"/>
              <w:right w:val="single" w:sz="4" w:space="0" w:color="auto"/>
            </w:tcBorders>
            <w:shd w:val="clear" w:color="auto" w:fill="auto"/>
            <w:noWrap/>
            <w:vAlign w:val="bottom"/>
            <w:hideMark/>
          </w:tcPr>
          <w:p w14:paraId="5A86408F"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4.11</w:t>
            </w:r>
          </w:p>
        </w:tc>
        <w:tc>
          <w:tcPr>
            <w:tcW w:w="0" w:type="auto"/>
            <w:tcBorders>
              <w:top w:val="nil"/>
              <w:left w:val="nil"/>
              <w:bottom w:val="single" w:sz="4" w:space="0" w:color="auto"/>
              <w:right w:val="single" w:sz="4" w:space="0" w:color="auto"/>
            </w:tcBorders>
            <w:shd w:val="clear" w:color="auto" w:fill="auto"/>
            <w:noWrap/>
            <w:vAlign w:val="bottom"/>
            <w:hideMark/>
          </w:tcPr>
          <w:p w14:paraId="6B679C04"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14</w:t>
            </w:r>
          </w:p>
        </w:tc>
      </w:tr>
      <w:tr w:rsidR="00CD6352" w:rsidRPr="004048C5" w14:paraId="46CCCFE6"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7FAF5"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Capability development</w:t>
            </w:r>
          </w:p>
        </w:tc>
        <w:tc>
          <w:tcPr>
            <w:tcW w:w="0" w:type="auto"/>
            <w:tcBorders>
              <w:top w:val="nil"/>
              <w:left w:val="nil"/>
              <w:bottom w:val="single" w:sz="4" w:space="0" w:color="auto"/>
              <w:right w:val="single" w:sz="4" w:space="0" w:color="auto"/>
            </w:tcBorders>
            <w:shd w:val="clear" w:color="auto" w:fill="auto"/>
            <w:noWrap/>
            <w:vAlign w:val="bottom"/>
            <w:hideMark/>
          </w:tcPr>
          <w:p w14:paraId="2F43494B"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4.07</w:t>
            </w:r>
          </w:p>
        </w:tc>
        <w:tc>
          <w:tcPr>
            <w:tcW w:w="0" w:type="auto"/>
            <w:tcBorders>
              <w:top w:val="nil"/>
              <w:left w:val="nil"/>
              <w:bottom w:val="single" w:sz="4" w:space="0" w:color="auto"/>
              <w:right w:val="single" w:sz="4" w:space="0" w:color="auto"/>
            </w:tcBorders>
            <w:shd w:val="clear" w:color="auto" w:fill="auto"/>
            <w:noWrap/>
            <w:vAlign w:val="bottom"/>
            <w:hideMark/>
          </w:tcPr>
          <w:p w14:paraId="435FA1BE"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15</w:t>
            </w:r>
          </w:p>
        </w:tc>
      </w:tr>
      <w:tr w:rsidR="00CD6352" w:rsidRPr="004048C5" w14:paraId="38F630B5"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5092DB"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Politics &amp; use of power</w:t>
            </w:r>
          </w:p>
        </w:tc>
        <w:tc>
          <w:tcPr>
            <w:tcW w:w="0" w:type="auto"/>
            <w:tcBorders>
              <w:top w:val="nil"/>
              <w:left w:val="nil"/>
              <w:bottom w:val="single" w:sz="4" w:space="0" w:color="auto"/>
              <w:right w:val="single" w:sz="4" w:space="0" w:color="auto"/>
            </w:tcBorders>
            <w:shd w:val="clear" w:color="auto" w:fill="auto"/>
            <w:noWrap/>
            <w:vAlign w:val="bottom"/>
            <w:hideMark/>
          </w:tcPr>
          <w:p w14:paraId="401EAF67"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3.95</w:t>
            </w:r>
          </w:p>
        </w:tc>
        <w:tc>
          <w:tcPr>
            <w:tcW w:w="0" w:type="auto"/>
            <w:tcBorders>
              <w:top w:val="nil"/>
              <w:left w:val="nil"/>
              <w:bottom w:val="single" w:sz="4" w:space="0" w:color="auto"/>
              <w:right w:val="single" w:sz="4" w:space="0" w:color="auto"/>
            </w:tcBorders>
            <w:shd w:val="clear" w:color="auto" w:fill="auto"/>
            <w:noWrap/>
            <w:vAlign w:val="bottom"/>
            <w:hideMark/>
          </w:tcPr>
          <w:p w14:paraId="743BE612"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16</w:t>
            </w:r>
          </w:p>
        </w:tc>
      </w:tr>
      <w:tr w:rsidR="00CD6352" w:rsidRPr="004048C5" w14:paraId="7503E30D"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B76672"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 xml:space="preserve">Commercial management </w:t>
            </w:r>
          </w:p>
        </w:tc>
        <w:tc>
          <w:tcPr>
            <w:tcW w:w="0" w:type="auto"/>
            <w:tcBorders>
              <w:top w:val="nil"/>
              <w:left w:val="nil"/>
              <w:bottom w:val="single" w:sz="4" w:space="0" w:color="auto"/>
              <w:right w:val="single" w:sz="4" w:space="0" w:color="auto"/>
            </w:tcBorders>
            <w:shd w:val="clear" w:color="auto" w:fill="auto"/>
            <w:noWrap/>
            <w:vAlign w:val="bottom"/>
            <w:hideMark/>
          </w:tcPr>
          <w:p w14:paraId="31E20353"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3.94</w:t>
            </w:r>
          </w:p>
        </w:tc>
        <w:tc>
          <w:tcPr>
            <w:tcW w:w="0" w:type="auto"/>
            <w:tcBorders>
              <w:top w:val="nil"/>
              <w:left w:val="nil"/>
              <w:bottom w:val="single" w:sz="4" w:space="0" w:color="auto"/>
              <w:right w:val="single" w:sz="4" w:space="0" w:color="auto"/>
            </w:tcBorders>
            <w:shd w:val="clear" w:color="auto" w:fill="auto"/>
            <w:noWrap/>
            <w:vAlign w:val="bottom"/>
            <w:hideMark/>
          </w:tcPr>
          <w:p w14:paraId="46A64DCF"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17</w:t>
            </w:r>
          </w:p>
        </w:tc>
      </w:tr>
      <w:tr w:rsidR="00CD6352" w:rsidRPr="004048C5" w14:paraId="6745C9FE"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A564C"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Asset allocation</w:t>
            </w:r>
          </w:p>
        </w:tc>
        <w:tc>
          <w:tcPr>
            <w:tcW w:w="0" w:type="auto"/>
            <w:tcBorders>
              <w:top w:val="nil"/>
              <w:left w:val="nil"/>
              <w:bottom w:val="single" w:sz="4" w:space="0" w:color="auto"/>
              <w:right w:val="single" w:sz="4" w:space="0" w:color="auto"/>
            </w:tcBorders>
            <w:shd w:val="clear" w:color="auto" w:fill="auto"/>
            <w:noWrap/>
            <w:vAlign w:val="bottom"/>
            <w:hideMark/>
          </w:tcPr>
          <w:p w14:paraId="403D5CBA"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3.93</w:t>
            </w:r>
          </w:p>
        </w:tc>
        <w:tc>
          <w:tcPr>
            <w:tcW w:w="0" w:type="auto"/>
            <w:tcBorders>
              <w:top w:val="nil"/>
              <w:left w:val="nil"/>
              <w:bottom w:val="single" w:sz="4" w:space="0" w:color="auto"/>
              <w:right w:val="single" w:sz="4" w:space="0" w:color="auto"/>
            </w:tcBorders>
            <w:shd w:val="clear" w:color="auto" w:fill="auto"/>
            <w:noWrap/>
            <w:vAlign w:val="bottom"/>
            <w:hideMark/>
          </w:tcPr>
          <w:p w14:paraId="0D1B317A"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18</w:t>
            </w:r>
          </w:p>
        </w:tc>
      </w:tr>
      <w:tr w:rsidR="00CD6352" w:rsidRPr="004048C5" w14:paraId="0DA7A706" w14:textId="77777777" w:rsidTr="00CD635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6309B5" w14:textId="77777777" w:rsidR="00CD6352" w:rsidRPr="004048C5" w:rsidRDefault="00CD6352" w:rsidP="00CD6352">
            <w:pPr>
              <w:spacing w:after="0" w:line="240" w:lineRule="auto"/>
              <w:rPr>
                <w:rFonts w:ascii="Arial" w:eastAsia="Times New Roman" w:hAnsi="Arial" w:cs="Arial"/>
                <w:color w:val="000000"/>
                <w:sz w:val="16"/>
                <w:szCs w:val="16"/>
                <w:lang w:eastAsia="en-GB"/>
              </w:rPr>
            </w:pPr>
            <w:r w:rsidRPr="004048C5">
              <w:rPr>
                <w:rFonts w:ascii="Arial" w:eastAsia="Times New Roman" w:hAnsi="Arial" w:cs="Arial"/>
                <w:color w:val="000000"/>
                <w:sz w:val="16"/>
                <w:szCs w:val="16"/>
                <w:lang w:eastAsia="en-GB"/>
              </w:rPr>
              <w:t>Independence assurance</w:t>
            </w:r>
          </w:p>
        </w:tc>
        <w:tc>
          <w:tcPr>
            <w:tcW w:w="0" w:type="auto"/>
            <w:tcBorders>
              <w:top w:val="nil"/>
              <w:left w:val="nil"/>
              <w:bottom w:val="single" w:sz="4" w:space="0" w:color="auto"/>
              <w:right w:val="single" w:sz="4" w:space="0" w:color="auto"/>
            </w:tcBorders>
            <w:shd w:val="clear" w:color="auto" w:fill="auto"/>
            <w:noWrap/>
            <w:vAlign w:val="bottom"/>
            <w:hideMark/>
          </w:tcPr>
          <w:p w14:paraId="21786F4C"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3.88</w:t>
            </w:r>
          </w:p>
        </w:tc>
        <w:tc>
          <w:tcPr>
            <w:tcW w:w="0" w:type="auto"/>
            <w:tcBorders>
              <w:top w:val="nil"/>
              <w:left w:val="nil"/>
              <w:bottom w:val="single" w:sz="4" w:space="0" w:color="auto"/>
              <w:right w:val="single" w:sz="4" w:space="0" w:color="auto"/>
            </w:tcBorders>
            <w:shd w:val="clear" w:color="auto" w:fill="auto"/>
            <w:noWrap/>
            <w:vAlign w:val="bottom"/>
            <w:hideMark/>
          </w:tcPr>
          <w:p w14:paraId="24528AE8" w14:textId="77777777" w:rsidR="00CD6352" w:rsidRPr="004048C5" w:rsidRDefault="00CD6352" w:rsidP="00CD6352">
            <w:pPr>
              <w:spacing w:after="0" w:line="240" w:lineRule="auto"/>
              <w:jc w:val="right"/>
              <w:rPr>
                <w:rFonts w:ascii="Arial" w:eastAsia="Times New Roman" w:hAnsi="Arial" w:cs="Arial"/>
                <w:color w:val="000000"/>
                <w:sz w:val="16"/>
                <w:szCs w:val="16"/>
                <w:lang w:eastAsia="en-GB"/>
              </w:rPr>
            </w:pPr>
            <w:r w:rsidRPr="004048C5">
              <w:rPr>
                <w:rFonts w:ascii="Arial" w:eastAsia="Times New Roman" w:hAnsi="Arial" w:cs="Arial"/>
                <w:color w:val="000000" w:themeColor="text1"/>
                <w:sz w:val="16"/>
                <w:szCs w:val="16"/>
                <w:lang w:eastAsia="en-GB"/>
              </w:rPr>
              <w:t>19</w:t>
            </w:r>
          </w:p>
        </w:tc>
      </w:tr>
    </w:tbl>
    <w:p w14:paraId="73BF4241" w14:textId="77777777" w:rsidR="00CD6352" w:rsidRPr="00EA7665" w:rsidRDefault="00CD6352" w:rsidP="00CD6352">
      <w:pPr>
        <w:spacing w:after="0"/>
        <w:rPr>
          <w:rFonts w:ascii="Arial" w:hAnsi="Arial" w:cs="Arial"/>
          <w:sz w:val="16"/>
          <w:szCs w:val="16"/>
        </w:rPr>
      </w:pPr>
    </w:p>
    <w:p w14:paraId="0B5DB6D8" w14:textId="77777777" w:rsidR="00CD6352" w:rsidRPr="00EA7665" w:rsidRDefault="00CD6352" w:rsidP="00CD6352">
      <w:pPr>
        <w:spacing w:after="0"/>
      </w:pPr>
    </w:p>
    <w:p w14:paraId="253C406E" w14:textId="3757D45E" w:rsidR="00CD6352" w:rsidRPr="00EA7665" w:rsidRDefault="00CD6352" w:rsidP="00CD6352">
      <w:pPr>
        <w:spacing w:after="0" w:line="360" w:lineRule="auto"/>
        <w:rPr>
          <w:rFonts w:ascii="Arial" w:hAnsi="Arial" w:cs="Arial"/>
        </w:rPr>
      </w:pPr>
      <w:r w:rsidRPr="00EA7665">
        <w:rPr>
          <w:rFonts w:ascii="Arial" w:hAnsi="Arial" w:cs="Arial"/>
        </w:rPr>
        <w:t>The data shows a range of 3.88 to 4.4</w:t>
      </w:r>
      <w:r w:rsidR="00C7024A">
        <w:rPr>
          <w:rFonts w:ascii="Arial" w:hAnsi="Arial" w:cs="Arial"/>
        </w:rPr>
        <w:t>,</w:t>
      </w:r>
      <w:r w:rsidRPr="00EA7665">
        <w:rPr>
          <w:rFonts w:ascii="Arial" w:hAnsi="Arial" w:cs="Arial"/>
        </w:rPr>
        <w:t xml:space="preserve"> which means that the survey respondents consider all the selected competences as important to their ability to secure finance for real estate project </w:t>
      </w:r>
      <w:r w:rsidR="004048C5" w:rsidRPr="00EA7665">
        <w:rPr>
          <w:rFonts w:ascii="Arial" w:hAnsi="Arial" w:cs="Arial"/>
        </w:rPr>
        <w:t>development.</w:t>
      </w:r>
      <w:r w:rsidRPr="00EA7665">
        <w:rPr>
          <w:rFonts w:ascii="Arial" w:hAnsi="Arial" w:cs="Arial"/>
        </w:rPr>
        <w:t xml:space="preserve"> Consequently, the top five ranked competences for securing finance for real estate project development at the aggregate level are as follows:</w:t>
      </w:r>
    </w:p>
    <w:p w14:paraId="13808C23" w14:textId="77777777" w:rsidR="00CD6352" w:rsidRPr="00EA7665" w:rsidRDefault="00CD6352" w:rsidP="00C74AEC">
      <w:pPr>
        <w:pStyle w:val="ListParagraph"/>
        <w:numPr>
          <w:ilvl w:val="0"/>
          <w:numId w:val="168"/>
        </w:numPr>
        <w:spacing w:after="0"/>
      </w:pPr>
      <w:r w:rsidRPr="00EA7665">
        <w:lastRenderedPageBreak/>
        <w:t>Leadership competence</w:t>
      </w:r>
    </w:p>
    <w:p w14:paraId="458CDBD4" w14:textId="77777777" w:rsidR="00CD6352" w:rsidRPr="00EA7665" w:rsidRDefault="00CD6352" w:rsidP="00C74AEC">
      <w:pPr>
        <w:pStyle w:val="ListParagraph"/>
        <w:numPr>
          <w:ilvl w:val="0"/>
          <w:numId w:val="168"/>
        </w:numPr>
        <w:spacing w:after="0"/>
      </w:pPr>
      <w:r w:rsidRPr="00EA7665">
        <w:t>Result oriented</w:t>
      </w:r>
    </w:p>
    <w:p w14:paraId="47DA27EF" w14:textId="77777777" w:rsidR="00CD6352" w:rsidRPr="00EA7665" w:rsidRDefault="00CD6352" w:rsidP="00C74AEC">
      <w:pPr>
        <w:pStyle w:val="ListParagraph"/>
        <w:numPr>
          <w:ilvl w:val="0"/>
          <w:numId w:val="168"/>
        </w:numPr>
        <w:spacing w:after="0"/>
      </w:pPr>
      <w:r w:rsidRPr="00EA7665">
        <w:t>Managerial competences</w:t>
      </w:r>
    </w:p>
    <w:p w14:paraId="173AE673" w14:textId="77777777" w:rsidR="00CD6352" w:rsidRPr="00EA7665" w:rsidRDefault="00CD6352" w:rsidP="00C74AEC">
      <w:pPr>
        <w:pStyle w:val="ListParagraph"/>
        <w:numPr>
          <w:ilvl w:val="0"/>
          <w:numId w:val="168"/>
        </w:numPr>
        <w:spacing w:after="0"/>
      </w:pPr>
      <w:r w:rsidRPr="00EA7665">
        <w:t>Resourcefulness</w:t>
      </w:r>
    </w:p>
    <w:p w14:paraId="49A78F76" w14:textId="77777777" w:rsidR="00CD6352" w:rsidRPr="00EA7665" w:rsidRDefault="00CD6352" w:rsidP="00C74AEC">
      <w:pPr>
        <w:pStyle w:val="ListParagraph"/>
        <w:numPr>
          <w:ilvl w:val="0"/>
          <w:numId w:val="168"/>
        </w:numPr>
        <w:spacing w:after="0"/>
      </w:pPr>
      <w:r w:rsidRPr="00EA7665">
        <w:t>Planning &amp; control</w:t>
      </w:r>
    </w:p>
    <w:p w14:paraId="3C3778DC" w14:textId="77777777" w:rsidR="00CD6352" w:rsidRPr="00EA7665" w:rsidRDefault="00CD6352" w:rsidP="00CD6352">
      <w:pPr>
        <w:spacing w:after="0"/>
      </w:pPr>
    </w:p>
    <w:p w14:paraId="69A62871" w14:textId="77777777" w:rsidR="00CD6352" w:rsidRPr="00EA7665" w:rsidRDefault="00CD6352" w:rsidP="00CD6352">
      <w:pPr>
        <w:pStyle w:val="Heading4"/>
        <w:spacing w:after="240"/>
        <w:rPr>
          <w:rFonts w:ascii="Arial" w:hAnsi="Arial" w:cs="Arial"/>
          <w:color w:val="auto"/>
        </w:rPr>
      </w:pPr>
      <w:r w:rsidRPr="00EA7665">
        <w:rPr>
          <w:rFonts w:ascii="Arial" w:hAnsi="Arial" w:cs="Arial"/>
          <w:color w:val="auto"/>
        </w:rPr>
        <w:t>Questionnaire survey discussion and analysis at the disaggregate level</w:t>
      </w:r>
    </w:p>
    <w:p w14:paraId="15524F99" w14:textId="56DAC72F" w:rsidR="00CD6352" w:rsidRPr="00EA7665" w:rsidRDefault="00FA722F" w:rsidP="00CD6352">
      <w:pPr>
        <w:spacing w:line="360" w:lineRule="auto"/>
        <w:jc w:val="both"/>
        <w:rPr>
          <w:rFonts w:ascii="Arial" w:hAnsi="Arial" w:cs="Arial"/>
        </w:rPr>
      </w:pPr>
      <w:r w:rsidRPr="00FA722F">
        <w:rPr>
          <w:rFonts w:ascii="Arial" w:hAnsi="Arial" w:cs="Arial"/>
        </w:rPr>
        <w:t xml:space="preserve">Appendix 1 table </w:t>
      </w:r>
      <w:r w:rsidR="0045799D">
        <w:rPr>
          <w:rFonts w:ascii="Arial" w:hAnsi="Arial" w:cs="Arial"/>
        </w:rPr>
        <w:t>8</w:t>
      </w:r>
      <w:r w:rsidR="00CD6352" w:rsidRPr="00FA722F">
        <w:rPr>
          <w:rFonts w:ascii="Arial" w:hAnsi="Arial" w:cs="Arial"/>
        </w:rPr>
        <w:t xml:space="preserve"> represents findings on the degree of importance of management’s competences for securing finance for real estate project development at the disaggregate level based on the questionnaire survey. The mean</w:t>
      </w:r>
      <w:r w:rsidR="00CD6352" w:rsidRPr="00EA7665">
        <w:rPr>
          <w:rFonts w:ascii="Arial" w:hAnsi="Arial" w:cs="Arial"/>
        </w:rPr>
        <w:t xml:space="preserve"> score range for the different countries is Germany (4.67 to 3.67), UK (4.44 to 3.44), </w:t>
      </w:r>
      <w:r>
        <w:rPr>
          <w:rFonts w:ascii="Arial" w:hAnsi="Arial" w:cs="Arial"/>
        </w:rPr>
        <w:t xml:space="preserve">the </w:t>
      </w:r>
      <w:r w:rsidR="00CD6352" w:rsidRPr="00EA7665">
        <w:rPr>
          <w:rFonts w:ascii="Arial" w:hAnsi="Arial" w:cs="Arial"/>
        </w:rPr>
        <w:t xml:space="preserve">US (4.75 </w:t>
      </w:r>
      <w:r w:rsidR="00790BA2" w:rsidRPr="00EA7665">
        <w:rPr>
          <w:rFonts w:ascii="Arial" w:hAnsi="Arial" w:cs="Arial"/>
        </w:rPr>
        <w:t>to 3.75</w:t>
      </w:r>
      <w:r w:rsidR="00CD6352" w:rsidRPr="00EA7665">
        <w:rPr>
          <w:rFonts w:ascii="Arial" w:hAnsi="Arial" w:cs="Arial"/>
        </w:rPr>
        <w:t xml:space="preserve">), China (4.5 to 3.4), Nigeria (4.57 to 4.11) and South Africa (4.71 to 4.11). The mean score range shows that the managers in all the six countries consider all nineteen competences important to their ability to secure finance for real estate project development. Consequently, the top five most important competences for securing finance for real estate project development </w:t>
      </w:r>
      <w:r w:rsidR="00CD6352">
        <w:rPr>
          <w:rFonts w:ascii="Arial" w:hAnsi="Arial" w:cs="Arial"/>
        </w:rPr>
        <w:t>are as shown</w:t>
      </w:r>
      <w:r w:rsidR="00CD6352" w:rsidRPr="00EA7665">
        <w:rPr>
          <w:rFonts w:ascii="Arial" w:hAnsi="Arial" w:cs="Arial"/>
        </w:rPr>
        <w:t xml:space="preserve"> below. Leadership and technical competences featur</w:t>
      </w:r>
      <w:r w:rsidR="00CD6352">
        <w:rPr>
          <w:rFonts w:ascii="Arial" w:hAnsi="Arial" w:cs="Arial"/>
        </w:rPr>
        <w:t>e</w:t>
      </w:r>
      <w:r w:rsidR="00CD6352" w:rsidRPr="00EA7665">
        <w:rPr>
          <w:rFonts w:ascii="Arial" w:hAnsi="Arial" w:cs="Arial"/>
        </w:rPr>
        <w:t xml:space="preserve"> predominantly in both the developed and emerging economies.</w:t>
      </w:r>
      <w:r w:rsidR="00CD6352">
        <w:rPr>
          <w:rFonts w:ascii="Arial" w:hAnsi="Arial" w:cs="Arial"/>
        </w:rPr>
        <w:t xml:space="preserve"> This is in line with existing literature on the importance of leadership and technical competences for effective management performance at the middle and upper levels of management</w:t>
      </w:r>
      <w:r w:rsidR="00D152D8">
        <w:rPr>
          <w:rFonts w:ascii="Arial" w:hAnsi="Arial" w:cs="Arial"/>
        </w:rPr>
        <w:t>,</w:t>
      </w:r>
      <w:r w:rsidR="00CD6352">
        <w:rPr>
          <w:rFonts w:ascii="Arial" w:hAnsi="Arial" w:cs="Arial"/>
        </w:rPr>
        <w:t xml:space="preserve"> respectively (Ahmed, 2001; Rodriguez-Rivero et al</w:t>
      </w:r>
      <w:r w:rsidR="00D152D8">
        <w:rPr>
          <w:rFonts w:ascii="Arial" w:hAnsi="Arial" w:cs="Arial"/>
        </w:rPr>
        <w:t>.</w:t>
      </w:r>
      <w:r w:rsidR="00CD6352">
        <w:rPr>
          <w:rFonts w:ascii="Arial" w:hAnsi="Arial" w:cs="Arial"/>
        </w:rPr>
        <w:t>,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5"/>
        <w:gridCol w:w="3011"/>
      </w:tblGrid>
      <w:tr w:rsidR="00CD6352" w:rsidRPr="00EA7665" w14:paraId="1041F785" w14:textId="77777777" w:rsidTr="00CD6352">
        <w:trPr>
          <w:trHeight w:val="1975"/>
        </w:trPr>
        <w:tc>
          <w:tcPr>
            <w:tcW w:w="3010" w:type="dxa"/>
          </w:tcPr>
          <w:p w14:paraId="11C45ACE" w14:textId="77777777" w:rsidR="00CD6352" w:rsidRPr="00E20EAD" w:rsidRDefault="00CD6352" w:rsidP="00CD6352">
            <w:pPr>
              <w:spacing w:line="360" w:lineRule="auto"/>
              <w:jc w:val="both"/>
              <w:rPr>
                <w:rFonts w:ascii="Arial" w:hAnsi="Arial" w:cs="Arial"/>
                <w:b/>
                <w:bCs/>
                <w:sz w:val="16"/>
                <w:szCs w:val="16"/>
              </w:rPr>
            </w:pPr>
            <w:r w:rsidRPr="00E20EAD">
              <w:rPr>
                <w:rFonts w:ascii="Arial" w:hAnsi="Arial" w:cs="Arial"/>
                <w:b/>
                <w:bCs/>
                <w:sz w:val="16"/>
                <w:szCs w:val="16"/>
              </w:rPr>
              <w:t>Germany</w:t>
            </w:r>
          </w:p>
          <w:p w14:paraId="34DC497C" w14:textId="77777777" w:rsidR="00CD6352" w:rsidRPr="00EA7665" w:rsidRDefault="00CD6352" w:rsidP="00C74AEC">
            <w:pPr>
              <w:pStyle w:val="ListParagraph"/>
              <w:numPr>
                <w:ilvl w:val="0"/>
                <w:numId w:val="169"/>
              </w:numPr>
              <w:spacing w:after="0" w:line="360" w:lineRule="auto"/>
              <w:jc w:val="both"/>
              <w:rPr>
                <w:rFonts w:ascii="Arial" w:hAnsi="Arial" w:cs="Arial"/>
                <w:sz w:val="16"/>
                <w:szCs w:val="16"/>
              </w:rPr>
            </w:pPr>
            <w:r w:rsidRPr="00EA7665">
              <w:rPr>
                <w:rFonts w:ascii="Arial" w:hAnsi="Arial" w:cs="Arial"/>
                <w:sz w:val="16"/>
                <w:szCs w:val="16"/>
              </w:rPr>
              <w:t>Leadership competence</w:t>
            </w:r>
          </w:p>
          <w:p w14:paraId="01FBD9D1" w14:textId="77777777" w:rsidR="00CD6352" w:rsidRPr="00EA7665" w:rsidRDefault="00CD6352" w:rsidP="00C74AEC">
            <w:pPr>
              <w:pStyle w:val="ListParagraph"/>
              <w:numPr>
                <w:ilvl w:val="0"/>
                <w:numId w:val="169"/>
              </w:numPr>
              <w:spacing w:after="0" w:line="360" w:lineRule="auto"/>
              <w:jc w:val="both"/>
              <w:rPr>
                <w:rFonts w:ascii="Arial" w:hAnsi="Arial" w:cs="Arial"/>
                <w:sz w:val="16"/>
                <w:szCs w:val="16"/>
              </w:rPr>
            </w:pPr>
            <w:r w:rsidRPr="00EA7665">
              <w:rPr>
                <w:rFonts w:ascii="Arial" w:hAnsi="Arial" w:cs="Arial"/>
                <w:sz w:val="16"/>
                <w:szCs w:val="16"/>
              </w:rPr>
              <w:t>Technical competence</w:t>
            </w:r>
          </w:p>
          <w:p w14:paraId="35DFCA25" w14:textId="77777777" w:rsidR="00CD6352" w:rsidRPr="00EA7665" w:rsidRDefault="00CD6352" w:rsidP="00C74AEC">
            <w:pPr>
              <w:pStyle w:val="ListParagraph"/>
              <w:numPr>
                <w:ilvl w:val="0"/>
                <w:numId w:val="169"/>
              </w:numPr>
              <w:spacing w:after="0" w:line="360" w:lineRule="auto"/>
              <w:jc w:val="both"/>
              <w:rPr>
                <w:rFonts w:ascii="Arial" w:hAnsi="Arial" w:cs="Arial"/>
                <w:sz w:val="16"/>
                <w:szCs w:val="16"/>
              </w:rPr>
            </w:pPr>
            <w:r w:rsidRPr="00EA7665">
              <w:rPr>
                <w:rFonts w:ascii="Arial" w:hAnsi="Arial" w:cs="Arial"/>
                <w:sz w:val="16"/>
                <w:szCs w:val="16"/>
              </w:rPr>
              <w:t>Compliance, standards &amp; regulations</w:t>
            </w:r>
          </w:p>
          <w:p w14:paraId="655AAF27" w14:textId="77777777" w:rsidR="00CD6352" w:rsidRPr="00EA7665" w:rsidRDefault="00CD6352" w:rsidP="00C74AEC">
            <w:pPr>
              <w:pStyle w:val="ListParagraph"/>
              <w:numPr>
                <w:ilvl w:val="0"/>
                <w:numId w:val="169"/>
              </w:numPr>
              <w:spacing w:after="0" w:line="360" w:lineRule="auto"/>
              <w:jc w:val="both"/>
              <w:rPr>
                <w:rFonts w:ascii="Arial" w:hAnsi="Arial" w:cs="Arial"/>
                <w:sz w:val="16"/>
                <w:szCs w:val="16"/>
              </w:rPr>
            </w:pPr>
            <w:r w:rsidRPr="00EA7665">
              <w:rPr>
                <w:rFonts w:ascii="Arial" w:hAnsi="Arial" w:cs="Arial"/>
                <w:sz w:val="16"/>
                <w:szCs w:val="16"/>
              </w:rPr>
              <w:t xml:space="preserve">Planning &amp; control </w:t>
            </w:r>
          </w:p>
          <w:p w14:paraId="62FE6779" w14:textId="77777777" w:rsidR="00CD6352" w:rsidRPr="00EA7665" w:rsidRDefault="00CD6352" w:rsidP="00C74AEC">
            <w:pPr>
              <w:pStyle w:val="ListParagraph"/>
              <w:numPr>
                <w:ilvl w:val="0"/>
                <w:numId w:val="169"/>
              </w:numPr>
              <w:spacing w:after="0" w:line="360" w:lineRule="auto"/>
              <w:jc w:val="both"/>
              <w:rPr>
                <w:rFonts w:ascii="Arial" w:hAnsi="Arial" w:cs="Arial"/>
                <w:sz w:val="16"/>
                <w:szCs w:val="16"/>
              </w:rPr>
            </w:pPr>
            <w:r w:rsidRPr="00EA7665">
              <w:rPr>
                <w:rFonts w:ascii="Arial" w:hAnsi="Arial" w:cs="Arial"/>
                <w:sz w:val="16"/>
                <w:szCs w:val="16"/>
              </w:rPr>
              <w:t>Negotiation</w:t>
            </w:r>
          </w:p>
          <w:p w14:paraId="54D473E8" w14:textId="77777777" w:rsidR="00CD6352" w:rsidRPr="00EA7665" w:rsidRDefault="00CD6352" w:rsidP="00CD6352">
            <w:pPr>
              <w:spacing w:line="360" w:lineRule="auto"/>
              <w:jc w:val="both"/>
              <w:rPr>
                <w:rFonts w:ascii="Arial" w:hAnsi="Arial" w:cs="Arial"/>
                <w:sz w:val="16"/>
                <w:szCs w:val="16"/>
              </w:rPr>
            </w:pPr>
          </w:p>
        </w:tc>
        <w:tc>
          <w:tcPr>
            <w:tcW w:w="3005" w:type="dxa"/>
          </w:tcPr>
          <w:p w14:paraId="756F7B25" w14:textId="77777777" w:rsidR="00CD6352" w:rsidRPr="00E20EAD" w:rsidRDefault="00CD6352" w:rsidP="00CD6352">
            <w:pPr>
              <w:spacing w:line="360" w:lineRule="auto"/>
              <w:jc w:val="both"/>
              <w:rPr>
                <w:rFonts w:ascii="Arial" w:hAnsi="Arial" w:cs="Arial"/>
                <w:b/>
                <w:bCs/>
                <w:sz w:val="16"/>
                <w:szCs w:val="16"/>
              </w:rPr>
            </w:pPr>
            <w:r w:rsidRPr="00E20EAD">
              <w:rPr>
                <w:rFonts w:ascii="Arial" w:hAnsi="Arial" w:cs="Arial"/>
                <w:b/>
                <w:bCs/>
                <w:sz w:val="16"/>
                <w:szCs w:val="16"/>
              </w:rPr>
              <w:t>UK</w:t>
            </w:r>
          </w:p>
          <w:p w14:paraId="50D441E9" w14:textId="77777777" w:rsidR="00CD6352" w:rsidRPr="00EA7665" w:rsidRDefault="00CD6352" w:rsidP="00C74AEC">
            <w:pPr>
              <w:pStyle w:val="ListParagraph"/>
              <w:numPr>
                <w:ilvl w:val="0"/>
                <w:numId w:val="170"/>
              </w:numPr>
              <w:spacing w:after="0" w:line="360" w:lineRule="auto"/>
              <w:jc w:val="both"/>
              <w:rPr>
                <w:rFonts w:ascii="Arial" w:hAnsi="Arial" w:cs="Arial"/>
                <w:sz w:val="16"/>
                <w:szCs w:val="16"/>
              </w:rPr>
            </w:pPr>
            <w:r w:rsidRPr="00EA7665">
              <w:rPr>
                <w:rFonts w:ascii="Arial" w:hAnsi="Arial" w:cs="Arial"/>
                <w:sz w:val="16"/>
                <w:szCs w:val="16"/>
              </w:rPr>
              <w:t>Asset allocation</w:t>
            </w:r>
          </w:p>
          <w:p w14:paraId="79F17111" w14:textId="77777777" w:rsidR="00CD6352" w:rsidRPr="00EA7665" w:rsidRDefault="00CD6352" w:rsidP="00C74AEC">
            <w:pPr>
              <w:pStyle w:val="ListParagraph"/>
              <w:numPr>
                <w:ilvl w:val="0"/>
                <w:numId w:val="170"/>
              </w:numPr>
              <w:spacing w:after="0" w:line="360" w:lineRule="auto"/>
              <w:jc w:val="both"/>
              <w:rPr>
                <w:rFonts w:ascii="Arial" w:hAnsi="Arial" w:cs="Arial"/>
                <w:sz w:val="16"/>
                <w:szCs w:val="16"/>
              </w:rPr>
            </w:pPr>
            <w:r w:rsidRPr="00EA7665">
              <w:rPr>
                <w:rFonts w:ascii="Arial" w:hAnsi="Arial" w:cs="Arial"/>
                <w:sz w:val="16"/>
                <w:szCs w:val="16"/>
              </w:rPr>
              <w:t>Politics &amp; use of power</w:t>
            </w:r>
          </w:p>
          <w:p w14:paraId="3E8B88D2" w14:textId="77777777" w:rsidR="00CD6352" w:rsidRPr="00EA7665" w:rsidRDefault="00CD6352" w:rsidP="00C74AEC">
            <w:pPr>
              <w:pStyle w:val="ListParagraph"/>
              <w:numPr>
                <w:ilvl w:val="0"/>
                <w:numId w:val="170"/>
              </w:numPr>
              <w:spacing w:after="0" w:line="360" w:lineRule="auto"/>
              <w:jc w:val="both"/>
              <w:rPr>
                <w:rFonts w:ascii="Arial" w:hAnsi="Arial" w:cs="Arial"/>
                <w:sz w:val="16"/>
                <w:szCs w:val="16"/>
              </w:rPr>
            </w:pPr>
            <w:r w:rsidRPr="00EA7665">
              <w:rPr>
                <w:rFonts w:ascii="Arial" w:hAnsi="Arial" w:cs="Arial"/>
                <w:sz w:val="16"/>
                <w:szCs w:val="16"/>
              </w:rPr>
              <w:t>Independence assurance</w:t>
            </w:r>
          </w:p>
          <w:p w14:paraId="0A0CACA5" w14:textId="77777777" w:rsidR="00CD6352" w:rsidRPr="00EA7665" w:rsidRDefault="00CD6352" w:rsidP="00C74AEC">
            <w:pPr>
              <w:pStyle w:val="ListParagraph"/>
              <w:numPr>
                <w:ilvl w:val="0"/>
                <w:numId w:val="170"/>
              </w:numPr>
              <w:spacing w:after="0" w:line="360" w:lineRule="auto"/>
              <w:jc w:val="both"/>
              <w:rPr>
                <w:rFonts w:ascii="Arial" w:hAnsi="Arial" w:cs="Arial"/>
                <w:sz w:val="16"/>
                <w:szCs w:val="16"/>
              </w:rPr>
            </w:pPr>
            <w:r w:rsidRPr="00EA7665">
              <w:rPr>
                <w:rFonts w:ascii="Arial" w:hAnsi="Arial" w:cs="Arial"/>
                <w:sz w:val="16"/>
                <w:szCs w:val="16"/>
              </w:rPr>
              <w:t>Ethics, compliance, and professionalism</w:t>
            </w:r>
          </w:p>
          <w:p w14:paraId="2347ECF1" w14:textId="77777777" w:rsidR="00CD6352" w:rsidRPr="00EA7665" w:rsidRDefault="00CD6352" w:rsidP="00C74AEC">
            <w:pPr>
              <w:pStyle w:val="ListParagraph"/>
              <w:numPr>
                <w:ilvl w:val="0"/>
                <w:numId w:val="170"/>
              </w:numPr>
              <w:spacing w:after="0" w:line="360" w:lineRule="auto"/>
              <w:jc w:val="both"/>
              <w:rPr>
                <w:rFonts w:ascii="Arial" w:hAnsi="Arial" w:cs="Arial"/>
                <w:sz w:val="16"/>
                <w:szCs w:val="16"/>
              </w:rPr>
            </w:pPr>
            <w:r w:rsidRPr="00EA7665">
              <w:rPr>
                <w:rFonts w:ascii="Arial" w:hAnsi="Arial" w:cs="Arial"/>
                <w:sz w:val="16"/>
                <w:szCs w:val="16"/>
              </w:rPr>
              <w:t>Managerial competences</w:t>
            </w:r>
          </w:p>
        </w:tc>
        <w:tc>
          <w:tcPr>
            <w:tcW w:w="3011" w:type="dxa"/>
          </w:tcPr>
          <w:p w14:paraId="19599978" w14:textId="77777777" w:rsidR="00CD6352" w:rsidRPr="00E20EAD" w:rsidRDefault="00CD6352" w:rsidP="00CD6352">
            <w:pPr>
              <w:spacing w:line="360" w:lineRule="auto"/>
              <w:jc w:val="both"/>
              <w:rPr>
                <w:rFonts w:ascii="Arial" w:hAnsi="Arial" w:cs="Arial"/>
                <w:b/>
                <w:bCs/>
                <w:sz w:val="16"/>
                <w:szCs w:val="16"/>
              </w:rPr>
            </w:pPr>
            <w:r w:rsidRPr="00E20EAD">
              <w:rPr>
                <w:rFonts w:ascii="Arial" w:hAnsi="Arial" w:cs="Arial"/>
                <w:b/>
                <w:bCs/>
                <w:sz w:val="16"/>
                <w:szCs w:val="16"/>
              </w:rPr>
              <w:t>US</w:t>
            </w:r>
          </w:p>
          <w:p w14:paraId="1D6141C0" w14:textId="77777777" w:rsidR="00CD6352" w:rsidRPr="00EA7665" w:rsidRDefault="00CD6352" w:rsidP="00C74AEC">
            <w:pPr>
              <w:pStyle w:val="ListParagraph"/>
              <w:numPr>
                <w:ilvl w:val="0"/>
                <w:numId w:val="171"/>
              </w:numPr>
              <w:spacing w:after="0" w:line="360" w:lineRule="auto"/>
              <w:jc w:val="both"/>
              <w:rPr>
                <w:rFonts w:ascii="Arial" w:hAnsi="Arial" w:cs="Arial"/>
                <w:sz w:val="16"/>
                <w:szCs w:val="16"/>
              </w:rPr>
            </w:pPr>
            <w:r w:rsidRPr="00EA7665">
              <w:rPr>
                <w:rFonts w:ascii="Arial" w:hAnsi="Arial" w:cs="Arial"/>
                <w:sz w:val="16"/>
                <w:szCs w:val="16"/>
              </w:rPr>
              <w:t>Resourcefulness</w:t>
            </w:r>
          </w:p>
          <w:p w14:paraId="37241C39" w14:textId="77777777" w:rsidR="00CD6352" w:rsidRPr="00EA7665" w:rsidRDefault="00CD6352" w:rsidP="00C74AEC">
            <w:pPr>
              <w:pStyle w:val="ListParagraph"/>
              <w:numPr>
                <w:ilvl w:val="0"/>
                <w:numId w:val="171"/>
              </w:numPr>
              <w:spacing w:after="0" w:line="360" w:lineRule="auto"/>
              <w:jc w:val="both"/>
              <w:rPr>
                <w:rFonts w:ascii="Arial" w:hAnsi="Arial" w:cs="Arial"/>
                <w:sz w:val="16"/>
                <w:szCs w:val="16"/>
              </w:rPr>
            </w:pPr>
            <w:r w:rsidRPr="00EA7665">
              <w:rPr>
                <w:rFonts w:ascii="Arial" w:hAnsi="Arial" w:cs="Arial"/>
                <w:sz w:val="16"/>
                <w:szCs w:val="16"/>
              </w:rPr>
              <w:t>Compliance, standards &amp; regulations</w:t>
            </w:r>
          </w:p>
          <w:p w14:paraId="7F5B7664" w14:textId="77777777" w:rsidR="00CD6352" w:rsidRPr="00EA7665" w:rsidRDefault="00CD6352" w:rsidP="00C74AEC">
            <w:pPr>
              <w:pStyle w:val="ListParagraph"/>
              <w:numPr>
                <w:ilvl w:val="0"/>
                <w:numId w:val="171"/>
              </w:numPr>
              <w:spacing w:after="0" w:line="360" w:lineRule="auto"/>
              <w:jc w:val="both"/>
              <w:rPr>
                <w:rFonts w:ascii="Arial" w:hAnsi="Arial" w:cs="Arial"/>
                <w:sz w:val="16"/>
                <w:szCs w:val="16"/>
              </w:rPr>
            </w:pPr>
            <w:r w:rsidRPr="00EA7665">
              <w:rPr>
                <w:rFonts w:ascii="Arial" w:hAnsi="Arial" w:cs="Arial"/>
                <w:sz w:val="16"/>
                <w:szCs w:val="16"/>
              </w:rPr>
              <w:t>Technical competence</w:t>
            </w:r>
          </w:p>
          <w:p w14:paraId="72D9E9AA" w14:textId="77777777" w:rsidR="00CD6352" w:rsidRPr="00EA7665" w:rsidRDefault="00CD6352" w:rsidP="00C74AEC">
            <w:pPr>
              <w:pStyle w:val="ListParagraph"/>
              <w:numPr>
                <w:ilvl w:val="0"/>
                <w:numId w:val="171"/>
              </w:numPr>
              <w:spacing w:after="0" w:line="360" w:lineRule="auto"/>
              <w:jc w:val="both"/>
              <w:rPr>
                <w:rFonts w:ascii="Arial" w:hAnsi="Arial" w:cs="Arial"/>
                <w:sz w:val="16"/>
                <w:szCs w:val="16"/>
              </w:rPr>
            </w:pPr>
            <w:r w:rsidRPr="00EA7665">
              <w:rPr>
                <w:rFonts w:ascii="Arial" w:hAnsi="Arial" w:cs="Arial"/>
                <w:sz w:val="16"/>
                <w:szCs w:val="16"/>
              </w:rPr>
              <w:t>Asset allocation</w:t>
            </w:r>
          </w:p>
          <w:p w14:paraId="2CE60B08" w14:textId="77777777" w:rsidR="00CD6352" w:rsidRPr="00EA7665" w:rsidRDefault="00CD6352" w:rsidP="00C74AEC">
            <w:pPr>
              <w:pStyle w:val="ListParagraph"/>
              <w:numPr>
                <w:ilvl w:val="0"/>
                <w:numId w:val="171"/>
              </w:numPr>
              <w:spacing w:after="0" w:line="360" w:lineRule="auto"/>
              <w:jc w:val="both"/>
              <w:rPr>
                <w:rFonts w:ascii="Arial" w:hAnsi="Arial" w:cs="Arial"/>
                <w:sz w:val="16"/>
                <w:szCs w:val="16"/>
              </w:rPr>
            </w:pPr>
            <w:r w:rsidRPr="00EA7665">
              <w:rPr>
                <w:rFonts w:ascii="Arial" w:hAnsi="Arial" w:cs="Arial"/>
                <w:sz w:val="16"/>
                <w:szCs w:val="16"/>
              </w:rPr>
              <w:t>Result oriented</w:t>
            </w:r>
          </w:p>
        </w:tc>
      </w:tr>
      <w:tr w:rsidR="00CD6352" w:rsidRPr="00EA7665" w14:paraId="474BEA2E" w14:textId="77777777" w:rsidTr="00CD6352">
        <w:tc>
          <w:tcPr>
            <w:tcW w:w="3010" w:type="dxa"/>
          </w:tcPr>
          <w:p w14:paraId="4DC152FA" w14:textId="77777777" w:rsidR="00CD6352" w:rsidRPr="00E20EAD" w:rsidRDefault="00CD6352" w:rsidP="00CD6352">
            <w:pPr>
              <w:spacing w:line="360" w:lineRule="auto"/>
              <w:jc w:val="both"/>
              <w:rPr>
                <w:rFonts w:ascii="Arial" w:hAnsi="Arial" w:cs="Arial"/>
                <w:b/>
                <w:bCs/>
                <w:sz w:val="16"/>
                <w:szCs w:val="16"/>
              </w:rPr>
            </w:pPr>
            <w:r w:rsidRPr="00E20EAD">
              <w:rPr>
                <w:rFonts w:ascii="Arial" w:hAnsi="Arial" w:cs="Arial"/>
                <w:b/>
                <w:bCs/>
                <w:sz w:val="16"/>
                <w:szCs w:val="16"/>
              </w:rPr>
              <w:t>China</w:t>
            </w:r>
          </w:p>
          <w:p w14:paraId="0C991A5D" w14:textId="77777777" w:rsidR="00CD6352" w:rsidRPr="00EA7665" w:rsidRDefault="00CD6352" w:rsidP="00C74AEC">
            <w:pPr>
              <w:pStyle w:val="ListParagraph"/>
              <w:numPr>
                <w:ilvl w:val="0"/>
                <w:numId w:val="172"/>
              </w:numPr>
              <w:spacing w:after="0" w:line="360" w:lineRule="auto"/>
              <w:jc w:val="both"/>
              <w:rPr>
                <w:rFonts w:ascii="Arial" w:hAnsi="Arial" w:cs="Arial"/>
                <w:sz w:val="16"/>
                <w:szCs w:val="16"/>
              </w:rPr>
            </w:pPr>
            <w:r w:rsidRPr="00EA7665">
              <w:rPr>
                <w:rFonts w:ascii="Arial" w:hAnsi="Arial" w:cs="Arial"/>
                <w:sz w:val="16"/>
                <w:szCs w:val="16"/>
              </w:rPr>
              <w:t>Technical competence</w:t>
            </w:r>
          </w:p>
          <w:p w14:paraId="68951795" w14:textId="77777777" w:rsidR="00CD6352" w:rsidRPr="00EA7665" w:rsidRDefault="00CD6352" w:rsidP="00C74AEC">
            <w:pPr>
              <w:pStyle w:val="ListParagraph"/>
              <w:numPr>
                <w:ilvl w:val="0"/>
                <w:numId w:val="172"/>
              </w:numPr>
              <w:spacing w:after="0" w:line="360" w:lineRule="auto"/>
              <w:jc w:val="both"/>
              <w:rPr>
                <w:rFonts w:ascii="Arial" w:hAnsi="Arial" w:cs="Arial"/>
                <w:sz w:val="16"/>
                <w:szCs w:val="16"/>
              </w:rPr>
            </w:pPr>
            <w:r w:rsidRPr="00EA7665">
              <w:rPr>
                <w:rFonts w:ascii="Arial" w:hAnsi="Arial" w:cs="Arial"/>
                <w:sz w:val="16"/>
                <w:szCs w:val="16"/>
              </w:rPr>
              <w:t>Result oriented</w:t>
            </w:r>
          </w:p>
          <w:p w14:paraId="3AB69901" w14:textId="77777777" w:rsidR="00CD6352" w:rsidRPr="00EA7665" w:rsidRDefault="00CD6352" w:rsidP="00C74AEC">
            <w:pPr>
              <w:pStyle w:val="ListParagraph"/>
              <w:numPr>
                <w:ilvl w:val="0"/>
                <w:numId w:val="172"/>
              </w:numPr>
              <w:spacing w:after="0" w:line="360" w:lineRule="auto"/>
              <w:jc w:val="both"/>
              <w:rPr>
                <w:rFonts w:ascii="Arial" w:hAnsi="Arial" w:cs="Arial"/>
                <w:sz w:val="16"/>
                <w:szCs w:val="16"/>
              </w:rPr>
            </w:pPr>
            <w:r w:rsidRPr="00EA7665">
              <w:rPr>
                <w:rFonts w:ascii="Arial" w:hAnsi="Arial" w:cs="Arial"/>
                <w:sz w:val="16"/>
                <w:szCs w:val="16"/>
              </w:rPr>
              <w:t>Leadership competence</w:t>
            </w:r>
          </w:p>
          <w:p w14:paraId="0A188818" w14:textId="77777777" w:rsidR="00CD6352" w:rsidRPr="00EA7665" w:rsidRDefault="00CD6352" w:rsidP="00C74AEC">
            <w:pPr>
              <w:pStyle w:val="ListParagraph"/>
              <w:numPr>
                <w:ilvl w:val="0"/>
                <w:numId w:val="172"/>
              </w:numPr>
              <w:spacing w:after="0" w:line="360" w:lineRule="auto"/>
              <w:jc w:val="both"/>
              <w:rPr>
                <w:rFonts w:ascii="Arial" w:hAnsi="Arial" w:cs="Arial"/>
                <w:sz w:val="16"/>
                <w:szCs w:val="16"/>
              </w:rPr>
            </w:pPr>
            <w:r w:rsidRPr="00EA7665">
              <w:rPr>
                <w:rFonts w:ascii="Arial" w:hAnsi="Arial" w:cs="Arial"/>
                <w:sz w:val="16"/>
                <w:szCs w:val="16"/>
              </w:rPr>
              <w:t>Resourcefulness</w:t>
            </w:r>
          </w:p>
          <w:p w14:paraId="6A29B431" w14:textId="77777777" w:rsidR="00CD6352" w:rsidRPr="00EA7665" w:rsidRDefault="00CD6352" w:rsidP="00C74AEC">
            <w:pPr>
              <w:pStyle w:val="ListParagraph"/>
              <w:numPr>
                <w:ilvl w:val="0"/>
                <w:numId w:val="172"/>
              </w:numPr>
              <w:spacing w:after="0" w:line="360" w:lineRule="auto"/>
              <w:jc w:val="both"/>
              <w:rPr>
                <w:rFonts w:ascii="Arial" w:hAnsi="Arial" w:cs="Arial"/>
                <w:sz w:val="16"/>
                <w:szCs w:val="16"/>
              </w:rPr>
            </w:pPr>
            <w:r w:rsidRPr="00EA7665">
              <w:rPr>
                <w:rFonts w:ascii="Arial" w:hAnsi="Arial" w:cs="Arial"/>
                <w:sz w:val="16"/>
                <w:szCs w:val="16"/>
              </w:rPr>
              <w:t>Risk &amp; opportunity</w:t>
            </w:r>
          </w:p>
          <w:p w14:paraId="5CF2B3D6" w14:textId="77777777" w:rsidR="00CD6352" w:rsidRPr="00EA7665" w:rsidRDefault="00CD6352" w:rsidP="00CD6352">
            <w:pPr>
              <w:spacing w:line="360" w:lineRule="auto"/>
              <w:jc w:val="both"/>
              <w:rPr>
                <w:rFonts w:ascii="Arial" w:hAnsi="Arial" w:cs="Arial"/>
                <w:sz w:val="16"/>
                <w:szCs w:val="16"/>
              </w:rPr>
            </w:pPr>
          </w:p>
        </w:tc>
        <w:tc>
          <w:tcPr>
            <w:tcW w:w="3005" w:type="dxa"/>
          </w:tcPr>
          <w:p w14:paraId="65E9F221" w14:textId="77777777" w:rsidR="00CD6352" w:rsidRPr="00E20EAD" w:rsidRDefault="00CD6352" w:rsidP="00CD6352">
            <w:pPr>
              <w:spacing w:line="360" w:lineRule="auto"/>
              <w:jc w:val="both"/>
              <w:rPr>
                <w:rFonts w:ascii="Arial" w:hAnsi="Arial" w:cs="Arial"/>
                <w:b/>
                <w:bCs/>
                <w:sz w:val="16"/>
                <w:szCs w:val="16"/>
              </w:rPr>
            </w:pPr>
            <w:r w:rsidRPr="00E20EAD">
              <w:rPr>
                <w:rFonts w:ascii="Arial" w:hAnsi="Arial" w:cs="Arial"/>
                <w:b/>
                <w:bCs/>
                <w:sz w:val="16"/>
                <w:szCs w:val="16"/>
              </w:rPr>
              <w:t xml:space="preserve">Nigeria </w:t>
            </w:r>
          </w:p>
          <w:p w14:paraId="5AFAD093" w14:textId="77777777" w:rsidR="00CD6352" w:rsidRPr="00EA7665" w:rsidRDefault="00CD6352" w:rsidP="00C74AEC">
            <w:pPr>
              <w:pStyle w:val="ListParagraph"/>
              <w:numPr>
                <w:ilvl w:val="0"/>
                <w:numId w:val="173"/>
              </w:numPr>
              <w:spacing w:after="0" w:line="360" w:lineRule="auto"/>
              <w:jc w:val="both"/>
              <w:rPr>
                <w:rFonts w:ascii="Arial" w:hAnsi="Arial" w:cs="Arial"/>
                <w:sz w:val="16"/>
                <w:szCs w:val="16"/>
              </w:rPr>
            </w:pPr>
            <w:r w:rsidRPr="00EA7665">
              <w:rPr>
                <w:rFonts w:ascii="Arial" w:hAnsi="Arial" w:cs="Arial"/>
                <w:sz w:val="16"/>
                <w:szCs w:val="16"/>
              </w:rPr>
              <w:t>Leadership competence</w:t>
            </w:r>
          </w:p>
          <w:p w14:paraId="63208984" w14:textId="77777777" w:rsidR="00CD6352" w:rsidRPr="00EA7665" w:rsidRDefault="00CD6352" w:rsidP="00C74AEC">
            <w:pPr>
              <w:pStyle w:val="ListParagraph"/>
              <w:numPr>
                <w:ilvl w:val="0"/>
                <w:numId w:val="173"/>
              </w:numPr>
              <w:spacing w:after="0" w:line="360" w:lineRule="auto"/>
              <w:jc w:val="both"/>
              <w:rPr>
                <w:rFonts w:ascii="Arial" w:hAnsi="Arial" w:cs="Arial"/>
                <w:sz w:val="16"/>
                <w:szCs w:val="16"/>
              </w:rPr>
            </w:pPr>
            <w:r w:rsidRPr="00EA7665">
              <w:rPr>
                <w:rFonts w:ascii="Arial" w:hAnsi="Arial" w:cs="Arial"/>
                <w:sz w:val="16"/>
                <w:szCs w:val="16"/>
              </w:rPr>
              <w:t>Managerial competences</w:t>
            </w:r>
          </w:p>
          <w:p w14:paraId="72487F4A" w14:textId="77777777" w:rsidR="00CD6352" w:rsidRPr="00EA7665" w:rsidRDefault="00CD6352" w:rsidP="00C74AEC">
            <w:pPr>
              <w:pStyle w:val="ListParagraph"/>
              <w:numPr>
                <w:ilvl w:val="0"/>
                <w:numId w:val="173"/>
              </w:numPr>
              <w:spacing w:after="0" w:line="360" w:lineRule="auto"/>
              <w:jc w:val="both"/>
              <w:rPr>
                <w:rFonts w:ascii="Arial" w:hAnsi="Arial" w:cs="Arial"/>
                <w:sz w:val="16"/>
                <w:szCs w:val="16"/>
              </w:rPr>
            </w:pPr>
            <w:r w:rsidRPr="00EA7665">
              <w:rPr>
                <w:rFonts w:ascii="Arial" w:hAnsi="Arial" w:cs="Arial"/>
                <w:sz w:val="16"/>
                <w:szCs w:val="16"/>
              </w:rPr>
              <w:t>Planning &amp; control</w:t>
            </w:r>
          </w:p>
          <w:p w14:paraId="62484120" w14:textId="77777777" w:rsidR="00CD6352" w:rsidRPr="00EA7665" w:rsidRDefault="00CD6352" w:rsidP="00C74AEC">
            <w:pPr>
              <w:pStyle w:val="ListParagraph"/>
              <w:numPr>
                <w:ilvl w:val="0"/>
                <w:numId w:val="173"/>
              </w:numPr>
              <w:spacing w:after="0" w:line="360" w:lineRule="auto"/>
              <w:jc w:val="both"/>
              <w:rPr>
                <w:rFonts w:ascii="Arial" w:hAnsi="Arial" w:cs="Arial"/>
                <w:sz w:val="16"/>
                <w:szCs w:val="16"/>
              </w:rPr>
            </w:pPr>
            <w:r w:rsidRPr="00EA7665">
              <w:rPr>
                <w:rFonts w:ascii="Arial" w:hAnsi="Arial" w:cs="Arial"/>
                <w:sz w:val="16"/>
                <w:szCs w:val="16"/>
              </w:rPr>
              <w:t xml:space="preserve">Financial management </w:t>
            </w:r>
          </w:p>
          <w:p w14:paraId="08F76396" w14:textId="77777777" w:rsidR="00CD6352" w:rsidRPr="00EA7665" w:rsidRDefault="00CD6352" w:rsidP="00C74AEC">
            <w:pPr>
              <w:pStyle w:val="ListParagraph"/>
              <w:numPr>
                <w:ilvl w:val="0"/>
                <w:numId w:val="173"/>
              </w:numPr>
              <w:spacing w:after="0" w:line="360" w:lineRule="auto"/>
              <w:jc w:val="both"/>
              <w:rPr>
                <w:rFonts w:ascii="Arial" w:hAnsi="Arial" w:cs="Arial"/>
                <w:sz w:val="16"/>
                <w:szCs w:val="16"/>
              </w:rPr>
            </w:pPr>
            <w:r w:rsidRPr="00EA7665">
              <w:rPr>
                <w:rFonts w:ascii="Arial" w:hAnsi="Arial" w:cs="Arial"/>
                <w:sz w:val="16"/>
                <w:szCs w:val="16"/>
              </w:rPr>
              <w:t>Compliance, standards &amp; regulations</w:t>
            </w:r>
          </w:p>
        </w:tc>
        <w:tc>
          <w:tcPr>
            <w:tcW w:w="3011" w:type="dxa"/>
          </w:tcPr>
          <w:p w14:paraId="15B427BE" w14:textId="77777777" w:rsidR="00CD6352" w:rsidRPr="00E20EAD" w:rsidRDefault="00CD6352" w:rsidP="00CD6352">
            <w:pPr>
              <w:spacing w:line="360" w:lineRule="auto"/>
              <w:jc w:val="both"/>
              <w:rPr>
                <w:rFonts w:ascii="Arial" w:hAnsi="Arial" w:cs="Arial"/>
                <w:b/>
                <w:bCs/>
                <w:sz w:val="16"/>
                <w:szCs w:val="16"/>
              </w:rPr>
            </w:pPr>
            <w:r w:rsidRPr="00E20EAD">
              <w:rPr>
                <w:rFonts w:ascii="Arial" w:hAnsi="Arial" w:cs="Arial"/>
                <w:b/>
                <w:bCs/>
                <w:sz w:val="16"/>
                <w:szCs w:val="16"/>
              </w:rPr>
              <w:t>South Africa</w:t>
            </w:r>
          </w:p>
          <w:p w14:paraId="3B656AFB" w14:textId="77777777" w:rsidR="00CD6352" w:rsidRPr="00EA7665" w:rsidRDefault="00CD6352" w:rsidP="00C74AEC">
            <w:pPr>
              <w:pStyle w:val="ListParagraph"/>
              <w:numPr>
                <w:ilvl w:val="0"/>
                <w:numId w:val="174"/>
              </w:numPr>
              <w:spacing w:after="0" w:line="360" w:lineRule="auto"/>
              <w:jc w:val="both"/>
              <w:rPr>
                <w:rFonts w:ascii="Arial" w:hAnsi="Arial" w:cs="Arial"/>
                <w:sz w:val="16"/>
                <w:szCs w:val="16"/>
              </w:rPr>
            </w:pPr>
            <w:r w:rsidRPr="00EA7665">
              <w:rPr>
                <w:rFonts w:ascii="Arial" w:hAnsi="Arial" w:cs="Arial"/>
                <w:sz w:val="16"/>
                <w:szCs w:val="16"/>
              </w:rPr>
              <w:t>Planning &amp; control</w:t>
            </w:r>
          </w:p>
          <w:p w14:paraId="3CC5F98C" w14:textId="77777777" w:rsidR="00CD6352" w:rsidRPr="00EA7665" w:rsidRDefault="00CD6352" w:rsidP="00C74AEC">
            <w:pPr>
              <w:pStyle w:val="ListParagraph"/>
              <w:numPr>
                <w:ilvl w:val="0"/>
                <w:numId w:val="174"/>
              </w:numPr>
              <w:spacing w:after="0" w:line="360" w:lineRule="auto"/>
              <w:jc w:val="both"/>
              <w:rPr>
                <w:rFonts w:ascii="Arial" w:hAnsi="Arial" w:cs="Arial"/>
                <w:sz w:val="16"/>
                <w:szCs w:val="16"/>
              </w:rPr>
            </w:pPr>
            <w:r w:rsidRPr="00EA7665">
              <w:rPr>
                <w:rFonts w:ascii="Arial" w:hAnsi="Arial" w:cs="Arial"/>
                <w:sz w:val="16"/>
                <w:szCs w:val="16"/>
              </w:rPr>
              <w:t>Leadership competence</w:t>
            </w:r>
          </w:p>
          <w:p w14:paraId="12034BF3" w14:textId="77777777" w:rsidR="00CD6352" w:rsidRPr="00EA7665" w:rsidRDefault="00CD6352" w:rsidP="00C74AEC">
            <w:pPr>
              <w:pStyle w:val="ListParagraph"/>
              <w:numPr>
                <w:ilvl w:val="0"/>
                <w:numId w:val="174"/>
              </w:numPr>
              <w:spacing w:after="0" w:line="360" w:lineRule="auto"/>
              <w:jc w:val="both"/>
              <w:rPr>
                <w:rFonts w:ascii="Arial" w:hAnsi="Arial" w:cs="Arial"/>
                <w:sz w:val="16"/>
                <w:szCs w:val="16"/>
              </w:rPr>
            </w:pPr>
            <w:r w:rsidRPr="00EA7665">
              <w:rPr>
                <w:rFonts w:ascii="Arial" w:hAnsi="Arial" w:cs="Arial"/>
                <w:sz w:val="16"/>
                <w:szCs w:val="16"/>
              </w:rPr>
              <w:t xml:space="preserve">Negotiation </w:t>
            </w:r>
          </w:p>
          <w:p w14:paraId="238565D2" w14:textId="77777777" w:rsidR="00CD6352" w:rsidRPr="00EA7665" w:rsidRDefault="00CD6352" w:rsidP="00C74AEC">
            <w:pPr>
              <w:pStyle w:val="ListParagraph"/>
              <w:numPr>
                <w:ilvl w:val="0"/>
                <w:numId w:val="174"/>
              </w:numPr>
              <w:spacing w:after="0" w:line="360" w:lineRule="auto"/>
              <w:jc w:val="both"/>
              <w:rPr>
                <w:rFonts w:ascii="Arial" w:hAnsi="Arial" w:cs="Arial"/>
                <w:sz w:val="16"/>
                <w:szCs w:val="16"/>
              </w:rPr>
            </w:pPr>
            <w:r w:rsidRPr="00EA7665">
              <w:rPr>
                <w:rFonts w:ascii="Arial" w:hAnsi="Arial" w:cs="Arial"/>
                <w:sz w:val="16"/>
                <w:szCs w:val="16"/>
              </w:rPr>
              <w:t>Resourcefulness</w:t>
            </w:r>
          </w:p>
          <w:p w14:paraId="4F9FFA23" w14:textId="77777777" w:rsidR="00CD6352" w:rsidRPr="00EA7665" w:rsidRDefault="00CD6352" w:rsidP="00C74AEC">
            <w:pPr>
              <w:pStyle w:val="ListParagraph"/>
              <w:numPr>
                <w:ilvl w:val="0"/>
                <w:numId w:val="174"/>
              </w:numPr>
              <w:spacing w:after="0" w:line="360" w:lineRule="auto"/>
              <w:jc w:val="both"/>
              <w:rPr>
                <w:rFonts w:ascii="Arial" w:hAnsi="Arial" w:cs="Arial"/>
                <w:sz w:val="16"/>
                <w:szCs w:val="16"/>
              </w:rPr>
            </w:pPr>
            <w:r w:rsidRPr="00EA7665">
              <w:rPr>
                <w:rFonts w:ascii="Arial" w:hAnsi="Arial" w:cs="Arial"/>
                <w:sz w:val="16"/>
                <w:szCs w:val="16"/>
              </w:rPr>
              <w:t>Technical competence</w:t>
            </w:r>
          </w:p>
        </w:tc>
      </w:tr>
    </w:tbl>
    <w:p w14:paraId="4663BBE8" w14:textId="341EE009" w:rsidR="00CD6352" w:rsidRDefault="00CD6352" w:rsidP="00CD6352">
      <w:pPr>
        <w:spacing w:line="360" w:lineRule="auto"/>
        <w:jc w:val="both"/>
        <w:rPr>
          <w:rFonts w:ascii="Arial" w:hAnsi="Arial" w:cs="Arial"/>
        </w:rPr>
      </w:pPr>
    </w:p>
    <w:p w14:paraId="1F85773D" w14:textId="77777777" w:rsidR="002F0E67" w:rsidRPr="00EA7665" w:rsidRDefault="002F0E67" w:rsidP="00CD6352">
      <w:pPr>
        <w:spacing w:line="360" w:lineRule="auto"/>
        <w:jc w:val="both"/>
        <w:rPr>
          <w:rFonts w:ascii="Arial" w:hAnsi="Arial" w:cs="Arial"/>
        </w:rPr>
      </w:pPr>
    </w:p>
    <w:p w14:paraId="7B2C7AE9" w14:textId="77777777" w:rsidR="00CD6352" w:rsidRPr="00EA7665" w:rsidRDefault="00CD6352" w:rsidP="00CD6352">
      <w:pPr>
        <w:spacing w:after="0" w:line="360" w:lineRule="auto"/>
        <w:jc w:val="both"/>
        <w:rPr>
          <w:rFonts w:ascii="Arial" w:hAnsi="Arial" w:cs="Arial"/>
        </w:rPr>
      </w:pPr>
    </w:p>
    <w:p w14:paraId="74742F5B" w14:textId="77777777" w:rsidR="00CD6352" w:rsidRPr="00EA7665" w:rsidRDefault="00CD6352" w:rsidP="00CD6352">
      <w:pPr>
        <w:pStyle w:val="Heading3"/>
        <w:rPr>
          <w:sz w:val="22"/>
          <w:szCs w:val="22"/>
        </w:rPr>
      </w:pPr>
      <w:bookmarkStart w:id="1359" w:name="_Toc78983910"/>
      <w:r w:rsidRPr="00EA7665">
        <w:rPr>
          <w:sz w:val="22"/>
          <w:szCs w:val="22"/>
        </w:rPr>
        <w:lastRenderedPageBreak/>
        <w:t>The degree of need for training and education for management Competences for securing finance for the present</w:t>
      </w:r>
      <w:bookmarkEnd w:id="1359"/>
    </w:p>
    <w:p w14:paraId="2F6BF3E1" w14:textId="77777777" w:rsidR="00CD6352" w:rsidRPr="00EA7665" w:rsidRDefault="00CD6352" w:rsidP="00CD6352">
      <w:pPr>
        <w:pStyle w:val="Heading4"/>
        <w:rPr>
          <w:rFonts w:ascii="Arial" w:hAnsi="Arial" w:cs="Arial"/>
          <w:color w:val="000000" w:themeColor="text1"/>
        </w:rPr>
      </w:pPr>
      <w:r w:rsidRPr="00EA7665">
        <w:rPr>
          <w:rFonts w:ascii="Arial" w:hAnsi="Arial" w:cs="Arial"/>
          <w:color w:val="000000" w:themeColor="text1"/>
        </w:rPr>
        <w:t>Questionnaire survey discussion and analysis at the aggregate level</w:t>
      </w:r>
    </w:p>
    <w:p w14:paraId="5B77D91A" w14:textId="77777777" w:rsidR="00CD6352" w:rsidRPr="00EA7665" w:rsidRDefault="00CD6352" w:rsidP="00CD6352"/>
    <w:p w14:paraId="1FD09689" w14:textId="5DDE069A" w:rsidR="00CD6352" w:rsidRPr="00EA7665" w:rsidRDefault="00CD6352" w:rsidP="00CD6352">
      <w:pPr>
        <w:spacing w:line="360" w:lineRule="auto"/>
        <w:rPr>
          <w:rFonts w:ascii="Arial" w:hAnsi="Arial" w:cs="Arial"/>
        </w:rPr>
      </w:pPr>
      <w:r w:rsidRPr="00EA7665">
        <w:rPr>
          <w:rFonts w:ascii="Arial" w:hAnsi="Arial" w:cs="Arial"/>
        </w:rPr>
        <w:t xml:space="preserve">The results relating to </w:t>
      </w:r>
      <w:r>
        <w:rPr>
          <w:rFonts w:ascii="Arial" w:hAnsi="Arial" w:cs="Arial"/>
        </w:rPr>
        <w:t xml:space="preserve">the </w:t>
      </w:r>
      <w:r w:rsidRPr="00EA7665">
        <w:rPr>
          <w:rFonts w:ascii="Arial" w:hAnsi="Arial" w:cs="Arial"/>
        </w:rPr>
        <w:t>degree of need for training and education for management’s competences for securing finance for real estate project development at the aggregate</w:t>
      </w:r>
      <w:r>
        <w:rPr>
          <w:rFonts w:ascii="Arial" w:hAnsi="Arial" w:cs="Arial"/>
        </w:rPr>
        <w:t xml:space="preserve"> </w:t>
      </w:r>
      <w:r w:rsidRPr="00EA7665">
        <w:rPr>
          <w:rFonts w:ascii="Arial" w:hAnsi="Arial" w:cs="Arial"/>
        </w:rPr>
        <w:t xml:space="preserve">level is </w:t>
      </w:r>
      <w:r>
        <w:rPr>
          <w:rFonts w:ascii="Arial" w:hAnsi="Arial" w:cs="Arial"/>
        </w:rPr>
        <w:t>c</w:t>
      </w:r>
      <w:r w:rsidRPr="00EA7665">
        <w:rPr>
          <w:rFonts w:ascii="Arial" w:hAnsi="Arial" w:cs="Arial"/>
        </w:rPr>
        <w:t>ontained in table 8:</w:t>
      </w:r>
      <w:r w:rsidR="00AF1BF2">
        <w:rPr>
          <w:rFonts w:ascii="Arial" w:hAnsi="Arial" w:cs="Arial"/>
        </w:rPr>
        <w:t>4.</w:t>
      </w:r>
      <w:r w:rsidR="00B116CD">
        <w:rPr>
          <w:rFonts w:ascii="Arial" w:hAnsi="Arial" w:cs="Arial"/>
        </w:rPr>
        <w:t>3</w:t>
      </w:r>
      <w:r w:rsidRPr="00EA7665">
        <w:rPr>
          <w:rFonts w:ascii="Arial" w:hAnsi="Arial" w:cs="Arial"/>
        </w:rPr>
        <w:t>. Almost 52% of the managers who responded to the survey are of the view that they</w:t>
      </w:r>
      <w:r>
        <w:rPr>
          <w:rFonts w:ascii="Arial" w:hAnsi="Arial" w:cs="Arial"/>
        </w:rPr>
        <w:t xml:space="preserve"> highly</w:t>
      </w:r>
      <w:r w:rsidRPr="00EA7665">
        <w:rPr>
          <w:rFonts w:ascii="Arial" w:hAnsi="Arial" w:cs="Arial"/>
        </w:rPr>
        <w:t xml:space="preserve"> need</w:t>
      </w:r>
      <w:r>
        <w:rPr>
          <w:rFonts w:ascii="Arial" w:hAnsi="Arial" w:cs="Arial"/>
        </w:rPr>
        <w:t>ed</w:t>
      </w:r>
      <w:r w:rsidRPr="00EA7665">
        <w:rPr>
          <w:rFonts w:ascii="Arial" w:hAnsi="Arial" w:cs="Arial"/>
        </w:rPr>
        <w:t xml:space="preserve"> train</w:t>
      </w:r>
      <w:r>
        <w:rPr>
          <w:rFonts w:ascii="Arial" w:hAnsi="Arial" w:cs="Arial"/>
        </w:rPr>
        <w:t>ing</w:t>
      </w:r>
      <w:r w:rsidRPr="00EA7665">
        <w:rPr>
          <w:rFonts w:ascii="Arial" w:hAnsi="Arial" w:cs="Arial"/>
        </w:rPr>
        <w:t xml:space="preserve"> a</w:t>
      </w:r>
      <w:r>
        <w:rPr>
          <w:rFonts w:ascii="Arial" w:hAnsi="Arial" w:cs="Arial"/>
        </w:rPr>
        <w:t>n</w:t>
      </w:r>
      <w:r w:rsidRPr="00EA7665">
        <w:rPr>
          <w:rFonts w:ascii="Arial" w:hAnsi="Arial" w:cs="Arial"/>
        </w:rPr>
        <w:t>d education for financial management</w:t>
      </w:r>
      <w:r>
        <w:rPr>
          <w:rFonts w:ascii="Arial" w:hAnsi="Arial" w:cs="Arial"/>
        </w:rPr>
        <w:t xml:space="preserve"> competence</w:t>
      </w:r>
      <w:r w:rsidRPr="00EA7665">
        <w:rPr>
          <w:rFonts w:ascii="Arial" w:hAnsi="Arial" w:cs="Arial"/>
        </w:rPr>
        <w:t xml:space="preserve">. This is followed by leadership competence (45.2%), planning and control (45.2%), resourcefulness (44%) and </w:t>
      </w:r>
      <w:r>
        <w:rPr>
          <w:rFonts w:ascii="Arial" w:hAnsi="Arial" w:cs="Arial"/>
        </w:rPr>
        <w:t>m</w:t>
      </w:r>
      <w:r w:rsidRPr="00EA7665">
        <w:rPr>
          <w:rFonts w:ascii="Arial" w:hAnsi="Arial" w:cs="Arial"/>
        </w:rPr>
        <w:t>anagerial competence (42.9%).</w:t>
      </w:r>
    </w:p>
    <w:p w14:paraId="202BC250" w14:textId="568C8768" w:rsidR="00CD6352" w:rsidRDefault="00CD6352" w:rsidP="00CD6352">
      <w:pPr>
        <w:spacing w:line="360" w:lineRule="auto"/>
        <w:rPr>
          <w:rFonts w:ascii="Arial" w:hAnsi="Arial" w:cs="Arial"/>
        </w:rPr>
      </w:pPr>
      <w:r w:rsidRPr="00EA7665">
        <w:rPr>
          <w:rFonts w:ascii="Arial" w:hAnsi="Arial" w:cs="Arial"/>
        </w:rPr>
        <w:t xml:space="preserve">However, the least ranked competence for which the survey respondents </w:t>
      </w:r>
      <w:r>
        <w:rPr>
          <w:rFonts w:ascii="Arial" w:hAnsi="Arial" w:cs="Arial"/>
        </w:rPr>
        <w:t xml:space="preserve">highly </w:t>
      </w:r>
      <w:r w:rsidRPr="00EA7665">
        <w:rPr>
          <w:rFonts w:ascii="Arial" w:hAnsi="Arial" w:cs="Arial"/>
        </w:rPr>
        <w:t>need</w:t>
      </w:r>
      <w:r>
        <w:rPr>
          <w:rFonts w:ascii="Arial" w:hAnsi="Arial" w:cs="Arial"/>
        </w:rPr>
        <w:t>ed</w:t>
      </w:r>
      <w:r w:rsidRPr="00EA7665">
        <w:rPr>
          <w:rFonts w:ascii="Arial" w:hAnsi="Arial" w:cs="Arial"/>
        </w:rPr>
        <w:t xml:space="preserve"> trainin</w:t>
      </w:r>
      <w:r>
        <w:rPr>
          <w:rFonts w:ascii="Arial" w:hAnsi="Arial" w:cs="Arial"/>
        </w:rPr>
        <w:t>g</w:t>
      </w:r>
      <w:r w:rsidRPr="00EA7665">
        <w:rPr>
          <w:rFonts w:ascii="Arial" w:hAnsi="Arial" w:cs="Arial"/>
        </w:rPr>
        <w:t xml:space="preserve"> and education for the present are political competence (25.7%), business case(24.2%), politics &amp; use of power (22.2%), asset allocation (21.2%) and capability development (21.2%).</w:t>
      </w:r>
    </w:p>
    <w:p w14:paraId="1F0CCBC1" w14:textId="32784FF1" w:rsidR="00790BA2" w:rsidRPr="00F24B7E" w:rsidRDefault="00790BA2" w:rsidP="00790BA2">
      <w:pPr>
        <w:pStyle w:val="Caption"/>
        <w:keepNext/>
        <w:rPr>
          <w:rFonts w:ascii="Arial" w:hAnsi="Arial" w:cs="Arial"/>
          <w:sz w:val="16"/>
          <w:szCs w:val="16"/>
        </w:rPr>
      </w:pPr>
      <w:bookmarkStart w:id="1360" w:name="_Toc78984017"/>
      <w:r w:rsidRPr="00F24B7E">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F24B7E">
        <w:rPr>
          <w:rFonts w:ascii="Arial" w:hAnsi="Arial" w:cs="Arial"/>
          <w:sz w:val="16"/>
          <w:szCs w:val="16"/>
        </w:rPr>
        <w:t>: The degree of need for training and education for management Competences for securing finance for the present</w:t>
      </w:r>
      <w:bookmarkEnd w:id="1360"/>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97"/>
        <w:gridCol w:w="930"/>
        <w:gridCol w:w="984"/>
        <w:gridCol w:w="777"/>
        <w:gridCol w:w="979"/>
        <w:gridCol w:w="1049"/>
      </w:tblGrid>
      <w:tr w:rsidR="00CD6352" w:rsidRPr="00F24B7E" w14:paraId="620B37E1" w14:textId="77777777" w:rsidTr="00CD6352">
        <w:trPr>
          <w:trHeight w:val="221"/>
        </w:trPr>
        <w:tc>
          <w:tcPr>
            <w:tcW w:w="0" w:type="auto"/>
            <w:vMerge w:val="restart"/>
          </w:tcPr>
          <w:p w14:paraId="51BFFA5D"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Management Competences</w:t>
            </w:r>
          </w:p>
        </w:tc>
        <w:tc>
          <w:tcPr>
            <w:tcW w:w="0" w:type="auto"/>
            <w:gridSpan w:val="5"/>
          </w:tcPr>
          <w:p w14:paraId="4CF4AFD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Need for training &amp; education for the present</w:t>
            </w:r>
          </w:p>
        </w:tc>
      </w:tr>
      <w:tr w:rsidR="00CD6352" w:rsidRPr="00F24B7E" w14:paraId="63CA0CF6" w14:textId="77777777" w:rsidTr="00CD6352">
        <w:trPr>
          <w:trHeight w:val="463"/>
        </w:trPr>
        <w:tc>
          <w:tcPr>
            <w:tcW w:w="0" w:type="auto"/>
            <w:vMerge/>
          </w:tcPr>
          <w:p w14:paraId="636B8BFA" w14:textId="77777777" w:rsidR="00CD6352" w:rsidRPr="00F24B7E" w:rsidRDefault="00CD6352" w:rsidP="00CD6352">
            <w:pPr>
              <w:jc w:val="both"/>
              <w:rPr>
                <w:rFonts w:ascii="Arial" w:hAnsi="Arial" w:cs="Arial"/>
                <w:sz w:val="16"/>
                <w:szCs w:val="16"/>
              </w:rPr>
            </w:pPr>
          </w:p>
        </w:tc>
        <w:tc>
          <w:tcPr>
            <w:tcW w:w="0" w:type="auto"/>
          </w:tcPr>
          <w:p w14:paraId="2FE5DC7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Not needed</w:t>
            </w:r>
          </w:p>
        </w:tc>
        <w:tc>
          <w:tcPr>
            <w:tcW w:w="0" w:type="auto"/>
          </w:tcPr>
          <w:p w14:paraId="2047E1F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Less needed</w:t>
            </w:r>
          </w:p>
        </w:tc>
        <w:tc>
          <w:tcPr>
            <w:tcW w:w="0" w:type="auto"/>
          </w:tcPr>
          <w:p w14:paraId="00B418D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Needed</w:t>
            </w:r>
          </w:p>
        </w:tc>
        <w:tc>
          <w:tcPr>
            <w:tcW w:w="0" w:type="auto"/>
          </w:tcPr>
          <w:p w14:paraId="182AE49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Very needed</w:t>
            </w:r>
          </w:p>
        </w:tc>
        <w:tc>
          <w:tcPr>
            <w:tcW w:w="0" w:type="auto"/>
          </w:tcPr>
          <w:p w14:paraId="408FB2C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Highly needed</w:t>
            </w:r>
          </w:p>
        </w:tc>
      </w:tr>
      <w:tr w:rsidR="00CD6352" w:rsidRPr="00F24B7E" w14:paraId="54FCC135" w14:textId="77777777" w:rsidTr="00CD6352">
        <w:trPr>
          <w:trHeight w:val="202"/>
        </w:trPr>
        <w:tc>
          <w:tcPr>
            <w:tcW w:w="0" w:type="auto"/>
          </w:tcPr>
          <w:p w14:paraId="59603659" w14:textId="77777777" w:rsidR="00CD6352" w:rsidRPr="00F24B7E" w:rsidRDefault="00CD6352" w:rsidP="00CD6352">
            <w:pPr>
              <w:jc w:val="both"/>
              <w:rPr>
                <w:rFonts w:ascii="Arial" w:hAnsi="Arial" w:cs="Arial"/>
                <w:sz w:val="16"/>
                <w:szCs w:val="16"/>
              </w:rPr>
            </w:pPr>
          </w:p>
        </w:tc>
        <w:tc>
          <w:tcPr>
            <w:tcW w:w="0" w:type="auto"/>
            <w:gridSpan w:val="5"/>
          </w:tcPr>
          <w:p w14:paraId="5B11CD4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Percentage %</w:t>
            </w:r>
          </w:p>
        </w:tc>
      </w:tr>
      <w:tr w:rsidR="00CD6352" w:rsidRPr="00F24B7E" w14:paraId="1723C886" w14:textId="77777777" w:rsidTr="00CD6352">
        <w:trPr>
          <w:trHeight w:val="221"/>
        </w:trPr>
        <w:tc>
          <w:tcPr>
            <w:tcW w:w="0" w:type="auto"/>
          </w:tcPr>
          <w:p w14:paraId="7F8CF2B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Asset allocation</w:t>
            </w:r>
          </w:p>
        </w:tc>
        <w:tc>
          <w:tcPr>
            <w:tcW w:w="0" w:type="auto"/>
          </w:tcPr>
          <w:p w14:paraId="5D48E00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w:t>
            </w:r>
          </w:p>
        </w:tc>
        <w:tc>
          <w:tcPr>
            <w:tcW w:w="0" w:type="auto"/>
          </w:tcPr>
          <w:p w14:paraId="4FC73C3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15.2</w:t>
            </w:r>
          </w:p>
        </w:tc>
        <w:tc>
          <w:tcPr>
            <w:tcW w:w="0" w:type="auto"/>
          </w:tcPr>
          <w:p w14:paraId="295D00DD"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36.4</w:t>
            </w:r>
          </w:p>
        </w:tc>
        <w:tc>
          <w:tcPr>
            <w:tcW w:w="0" w:type="auto"/>
          </w:tcPr>
          <w:p w14:paraId="6FF6E8B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c>
          <w:tcPr>
            <w:tcW w:w="0" w:type="auto"/>
          </w:tcPr>
          <w:p w14:paraId="6E498FE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21.2</w:t>
            </w:r>
          </w:p>
        </w:tc>
      </w:tr>
      <w:tr w:rsidR="00CD6352" w:rsidRPr="00F24B7E" w14:paraId="3CC885C9" w14:textId="77777777" w:rsidTr="00CD6352">
        <w:trPr>
          <w:trHeight w:val="202"/>
        </w:trPr>
        <w:tc>
          <w:tcPr>
            <w:tcW w:w="0" w:type="auto"/>
          </w:tcPr>
          <w:p w14:paraId="29337D9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Business case</w:t>
            </w:r>
          </w:p>
        </w:tc>
        <w:tc>
          <w:tcPr>
            <w:tcW w:w="0" w:type="auto"/>
          </w:tcPr>
          <w:p w14:paraId="3767066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9.1</w:t>
            </w:r>
          </w:p>
        </w:tc>
        <w:tc>
          <w:tcPr>
            <w:tcW w:w="0" w:type="auto"/>
          </w:tcPr>
          <w:p w14:paraId="066DFF8E"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12.1</w:t>
            </w:r>
          </w:p>
        </w:tc>
        <w:tc>
          <w:tcPr>
            <w:tcW w:w="0" w:type="auto"/>
          </w:tcPr>
          <w:p w14:paraId="44F1A568"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c>
          <w:tcPr>
            <w:tcW w:w="0" w:type="auto"/>
          </w:tcPr>
          <w:p w14:paraId="056350D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30.3</w:t>
            </w:r>
          </w:p>
        </w:tc>
        <w:tc>
          <w:tcPr>
            <w:tcW w:w="0" w:type="auto"/>
          </w:tcPr>
          <w:p w14:paraId="4E2000B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r>
      <w:tr w:rsidR="00CD6352" w:rsidRPr="00F24B7E" w14:paraId="47EE6200" w14:textId="77777777" w:rsidTr="00CD6352">
        <w:trPr>
          <w:trHeight w:val="221"/>
        </w:trPr>
        <w:tc>
          <w:tcPr>
            <w:tcW w:w="0" w:type="auto"/>
          </w:tcPr>
          <w:p w14:paraId="73C13BE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Capability development</w:t>
            </w:r>
          </w:p>
        </w:tc>
        <w:tc>
          <w:tcPr>
            <w:tcW w:w="0" w:type="auto"/>
          </w:tcPr>
          <w:p w14:paraId="5724A6A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6.1</w:t>
            </w:r>
          </w:p>
        </w:tc>
        <w:tc>
          <w:tcPr>
            <w:tcW w:w="0" w:type="auto"/>
          </w:tcPr>
          <w:p w14:paraId="341A06F2"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6.1</w:t>
            </w:r>
          </w:p>
        </w:tc>
        <w:tc>
          <w:tcPr>
            <w:tcW w:w="0" w:type="auto"/>
          </w:tcPr>
          <w:p w14:paraId="6589472E"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c>
          <w:tcPr>
            <w:tcW w:w="0" w:type="auto"/>
          </w:tcPr>
          <w:p w14:paraId="5E7CA4A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42.4</w:t>
            </w:r>
          </w:p>
        </w:tc>
        <w:tc>
          <w:tcPr>
            <w:tcW w:w="0" w:type="auto"/>
          </w:tcPr>
          <w:p w14:paraId="6EC64913"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21.2</w:t>
            </w:r>
          </w:p>
        </w:tc>
      </w:tr>
      <w:tr w:rsidR="00CD6352" w:rsidRPr="00F24B7E" w14:paraId="6D986AFA" w14:textId="77777777" w:rsidTr="00CD6352">
        <w:trPr>
          <w:trHeight w:val="221"/>
        </w:trPr>
        <w:tc>
          <w:tcPr>
            <w:tcW w:w="0" w:type="auto"/>
          </w:tcPr>
          <w:p w14:paraId="1F327CD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 xml:space="preserve">Commercial management </w:t>
            </w:r>
          </w:p>
        </w:tc>
        <w:tc>
          <w:tcPr>
            <w:tcW w:w="0" w:type="auto"/>
          </w:tcPr>
          <w:p w14:paraId="6EEBC14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2.9</w:t>
            </w:r>
          </w:p>
        </w:tc>
        <w:tc>
          <w:tcPr>
            <w:tcW w:w="0" w:type="auto"/>
          </w:tcPr>
          <w:p w14:paraId="6561DE8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5.9</w:t>
            </w:r>
          </w:p>
        </w:tc>
        <w:tc>
          <w:tcPr>
            <w:tcW w:w="0" w:type="auto"/>
          </w:tcPr>
          <w:p w14:paraId="76A40F3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32.4</w:t>
            </w:r>
          </w:p>
        </w:tc>
        <w:tc>
          <w:tcPr>
            <w:tcW w:w="0" w:type="auto"/>
          </w:tcPr>
          <w:p w14:paraId="0EE8366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32.4</w:t>
            </w:r>
          </w:p>
        </w:tc>
        <w:tc>
          <w:tcPr>
            <w:tcW w:w="0" w:type="auto"/>
          </w:tcPr>
          <w:p w14:paraId="7D7ADDB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26.4</w:t>
            </w:r>
          </w:p>
        </w:tc>
      </w:tr>
      <w:tr w:rsidR="00CD6352" w:rsidRPr="00F24B7E" w14:paraId="408B64B8" w14:textId="77777777" w:rsidTr="00CD6352">
        <w:trPr>
          <w:trHeight w:val="218"/>
        </w:trPr>
        <w:tc>
          <w:tcPr>
            <w:tcW w:w="0" w:type="auto"/>
          </w:tcPr>
          <w:p w14:paraId="0B4CED5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Ethics , compliance and professionalism</w:t>
            </w:r>
          </w:p>
        </w:tc>
        <w:tc>
          <w:tcPr>
            <w:tcW w:w="0" w:type="auto"/>
          </w:tcPr>
          <w:p w14:paraId="2139C11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2.9</w:t>
            </w:r>
          </w:p>
        </w:tc>
        <w:tc>
          <w:tcPr>
            <w:tcW w:w="0" w:type="auto"/>
          </w:tcPr>
          <w:p w14:paraId="3FB1D983"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11.8</w:t>
            </w:r>
          </w:p>
        </w:tc>
        <w:tc>
          <w:tcPr>
            <w:tcW w:w="0" w:type="auto"/>
          </w:tcPr>
          <w:p w14:paraId="24F252F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35.3</w:t>
            </w:r>
          </w:p>
        </w:tc>
        <w:tc>
          <w:tcPr>
            <w:tcW w:w="0" w:type="auto"/>
          </w:tcPr>
          <w:p w14:paraId="7F66193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14.7</w:t>
            </w:r>
          </w:p>
        </w:tc>
        <w:tc>
          <w:tcPr>
            <w:tcW w:w="0" w:type="auto"/>
          </w:tcPr>
          <w:p w14:paraId="0AE2F98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35.3</w:t>
            </w:r>
          </w:p>
        </w:tc>
      </w:tr>
      <w:tr w:rsidR="00CD6352" w:rsidRPr="00F24B7E" w14:paraId="57D97AEC" w14:textId="77777777" w:rsidTr="00CD6352">
        <w:trPr>
          <w:trHeight w:val="221"/>
        </w:trPr>
        <w:tc>
          <w:tcPr>
            <w:tcW w:w="0" w:type="auto"/>
          </w:tcPr>
          <w:p w14:paraId="3EA3B4E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 xml:space="preserve">Financial management </w:t>
            </w:r>
          </w:p>
        </w:tc>
        <w:tc>
          <w:tcPr>
            <w:tcW w:w="0" w:type="auto"/>
          </w:tcPr>
          <w:p w14:paraId="29607F8D"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6.1</w:t>
            </w:r>
          </w:p>
        </w:tc>
        <w:tc>
          <w:tcPr>
            <w:tcW w:w="0" w:type="auto"/>
          </w:tcPr>
          <w:p w14:paraId="760A187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6.1</w:t>
            </w:r>
          </w:p>
        </w:tc>
        <w:tc>
          <w:tcPr>
            <w:tcW w:w="0" w:type="auto"/>
          </w:tcPr>
          <w:p w14:paraId="7C58872E"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c>
          <w:tcPr>
            <w:tcW w:w="0" w:type="auto"/>
          </w:tcPr>
          <w:p w14:paraId="6B46F1B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12.1</w:t>
            </w:r>
          </w:p>
        </w:tc>
        <w:tc>
          <w:tcPr>
            <w:tcW w:w="0" w:type="auto"/>
          </w:tcPr>
          <w:p w14:paraId="1BB3B2A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51.5</w:t>
            </w:r>
          </w:p>
        </w:tc>
      </w:tr>
      <w:tr w:rsidR="00CD6352" w:rsidRPr="00F24B7E" w14:paraId="46CA2810" w14:textId="77777777" w:rsidTr="00CD6352">
        <w:trPr>
          <w:trHeight w:val="221"/>
        </w:trPr>
        <w:tc>
          <w:tcPr>
            <w:tcW w:w="0" w:type="auto"/>
          </w:tcPr>
          <w:p w14:paraId="4D4D89C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Governance, structure and processes</w:t>
            </w:r>
          </w:p>
        </w:tc>
        <w:tc>
          <w:tcPr>
            <w:tcW w:w="0" w:type="auto"/>
          </w:tcPr>
          <w:p w14:paraId="32AC3DB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w:t>
            </w:r>
          </w:p>
        </w:tc>
        <w:tc>
          <w:tcPr>
            <w:tcW w:w="0" w:type="auto"/>
          </w:tcPr>
          <w:p w14:paraId="14C755F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12.1</w:t>
            </w:r>
          </w:p>
        </w:tc>
        <w:tc>
          <w:tcPr>
            <w:tcW w:w="0" w:type="auto"/>
          </w:tcPr>
          <w:p w14:paraId="3E39B41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30.3</w:t>
            </w:r>
          </w:p>
        </w:tc>
        <w:tc>
          <w:tcPr>
            <w:tcW w:w="0" w:type="auto"/>
          </w:tcPr>
          <w:p w14:paraId="46BE4AD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c>
          <w:tcPr>
            <w:tcW w:w="0" w:type="auto"/>
          </w:tcPr>
          <w:p w14:paraId="0D490ED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30.3</w:t>
            </w:r>
          </w:p>
        </w:tc>
      </w:tr>
      <w:tr w:rsidR="00CD6352" w:rsidRPr="00F24B7E" w14:paraId="46D25DDC" w14:textId="77777777" w:rsidTr="00CD6352">
        <w:trPr>
          <w:trHeight w:val="221"/>
        </w:trPr>
        <w:tc>
          <w:tcPr>
            <w:tcW w:w="0" w:type="auto"/>
          </w:tcPr>
          <w:p w14:paraId="546FDA3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Independence assurance</w:t>
            </w:r>
          </w:p>
        </w:tc>
        <w:tc>
          <w:tcPr>
            <w:tcW w:w="0" w:type="auto"/>
          </w:tcPr>
          <w:p w14:paraId="6214034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w:t>
            </w:r>
          </w:p>
        </w:tc>
        <w:tc>
          <w:tcPr>
            <w:tcW w:w="0" w:type="auto"/>
          </w:tcPr>
          <w:p w14:paraId="34CE2EE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21.2</w:t>
            </w:r>
          </w:p>
        </w:tc>
        <w:tc>
          <w:tcPr>
            <w:tcW w:w="0" w:type="auto"/>
          </w:tcPr>
          <w:p w14:paraId="64E94C2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30.3</w:t>
            </w:r>
          </w:p>
        </w:tc>
        <w:tc>
          <w:tcPr>
            <w:tcW w:w="0" w:type="auto"/>
          </w:tcPr>
          <w:p w14:paraId="651B228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18.2</w:t>
            </w:r>
          </w:p>
        </w:tc>
        <w:tc>
          <w:tcPr>
            <w:tcW w:w="0" w:type="auto"/>
          </w:tcPr>
          <w:p w14:paraId="5D093F68"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27.3</w:t>
            </w:r>
          </w:p>
        </w:tc>
      </w:tr>
      <w:tr w:rsidR="00CD6352" w:rsidRPr="00F24B7E" w14:paraId="525F57EA" w14:textId="77777777" w:rsidTr="00CD6352">
        <w:trPr>
          <w:trHeight w:val="202"/>
        </w:trPr>
        <w:tc>
          <w:tcPr>
            <w:tcW w:w="0" w:type="auto"/>
          </w:tcPr>
          <w:p w14:paraId="0F679C0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Leadership competence</w:t>
            </w:r>
          </w:p>
        </w:tc>
        <w:tc>
          <w:tcPr>
            <w:tcW w:w="0" w:type="auto"/>
          </w:tcPr>
          <w:p w14:paraId="14D9DA5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Nil</w:t>
            </w:r>
          </w:p>
        </w:tc>
        <w:tc>
          <w:tcPr>
            <w:tcW w:w="0" w:type="auto"/>
          </w:tcPr>
          <w:p w14:paraId="04990F2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6.5</w:t>
            </w:r>
          </w:p>
        </w:tc>
        <w:tc>
          <w:tcPr>
            <w:tcW w:w="0" w:type="auto"/>
          </w:tcPr>
          <w:p w14:paraId="7EE5ECD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25.8</w:t>
            </w:r>
          </w:p>
        </w:tc>
        <w:tc>
          <w:tcPr>
            <w:tcW w:w="0" w:type="auto"/>
          </w:tcPr>
          <w:p w14:paraId="55BC6A2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22.6</w:t>
            </w:r>
          </w:p>
        </w:tc>
        <w:tc>
          <w:tcPr>
            <w:tcW w:w="0" w:type="auto"/>
          </w:tcPr>
          <w:p w14:paraId="3841E0F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45.2</w:t>
            </w:r>
          </w:p>
        </w:tc>
      </w:tr>
      <w:tr w:rsidR="00CD6352" w:rsidRPr="00F24B7E" w14:paraId="4B27EF12" w14:textId="77777777" w:rsidTr="00CD6352">
        <w:trPr>
          <w:trHeight w:val="221"/>
        </w:trPr>
        <w:tc>
          <w:tcPr>
            <w:tcW w:w="0" w:type="auto"/>
          </w:tcPr>
          <w:p w14:paraId="2EBC881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Managerial competences</w:t>
            </w:r>
          </w:p>
        </w:tc>
        <w:tc>
          <w:tcPr>
            <w:tcW w:w="0" w:type="auto"/>
          </w:tcPr>
          <w:p w14:paraId="11BDE3A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Nil</w:t>
            </w:r>
          </w:p>
        </w:tc>
        <w:tc>
          <w:tcPr>
            <w:tcW w:w="0" w:type="auto"/>
          </w:tcPr>
          <w:p w14:paraId="3CD241F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3.2</w:t>
            </w:r>
          </w:p>
        </w:tc>
        <w:tc>
          <w:tcPr>
            <w:tcW w:w="0" w:type="auto"/>
          </w:tcPr>
          <w:p w14:paraId="6939C6E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28.6</w:t>
            </w:r>
          </w:p>
        </w:tc>
        <w:tc>
          <w:tcPr>
            <w:tcW w:w="0" w:type="auto"/>
          </w:tcPr>
          <w:p w14:paraId="689120ED"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22.9</w:t>
            </w:r>
          </w:p>
        </w:tc>
        <w:tc>
          <w:tcPr>
            <w:tcW w:w="0" w:type="auto"/>
          </w:tcPr>
          <w:p w14:paraId="22A91218"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42.9</w:t>
            </w:r>
          </w:p>
        </w:tc>
      </w:tr>
      <w:tr w:rsidR="00CD6352" w:rsidRPr="00F24B7E" w14:paraId="42A26FFA" w14:textId="77777777" w:rsidTr="00CD6352">
        <w:trPr>
          <w:trHeight w:val="221"/>
        </w:trPr>
        <w:tc>
          <w:tcPr>
            <w:tcW w:w="0" w:type="auto"/>
          </w:tcPr>
          <w:p w14:paraId="560B62E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 xml:space="preserve">Negotiation </w:t>
            </w:r>
          </w:p>
        </w:tc>
        <w:tc>
          <w:tcPr>
            <w:tcW w:w="0" w:type="auto"/>
          </w:tcPr>
          <w:p w14:paraId="0DDDF7D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2.9</w:t>
            </w:r>
          </w:p>
        </w:tc>
        <w:tc>
          <w:tcPr>
            <w:tcW w:w="0" w:type="auto"/>
          </w:tcPr>
          <w:p w14:paraId="17797DE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5.7</w:t>
            </w:r>
          </w:p>
        </w:tc>
        <w:tc>
          <w:tcPr>
            <w:tcW w:w="0" w:type="auto"/>
          </w:tcPr>
          <w:p w14:paraId="2ADF9A0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28.6</w:t>
            </w:r>
          </w:p>
        </w:tc>
        <w:tc>
          <w:tcPr>
            <w:tcW w:w="0" w:type="auto"/>
          </w:tcPr>
          <w:p w14:paraId="5F24BE3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22.9</w:t>
            </w:r>
          </w:p>
        </w:tc>
        <w:tc>
          <w:tcPr>
            <w:tcW w:w="0" w:type="auto"/>
          </w:tcPr>
          <w:p w14:paraId="1FA2C66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40.0</w:t>
            </w:r>
          </w:p>
        </w:tc>
      </w:tr>
      <w:tr w:rsidR="00CD6352" w:rsidRPr="00F24B7E" w14:paraId="15E8195A" w14:textId="77777777" w:rsidTr="00CD6352">
        <w:trPr>
          <w:trHeight w:val="202"/>
        </w:trPr>
        <w:tc>
          <w:tcPr>
            <w:tcW w:w="0" w:type="auto"/>
          </w:tcPr>
          <w:p w14:paraId="6CAEAEB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Planning &amp; control</w:t>
            </w:r>
          </w:p>
        </w:tc>
        <w:tc>
          <w:tcPr>
            <w:tcW w:w="0" w:type="auto"/>
          </w:tcPr>
          <w:p w14:paraId="0472C8EE"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Nil</w:t>
            </w:r>
          </w:p>
        </w:tc>
        <w:tc>
          <w:tcPr>
            <w:tcW w:w="0" w:type="auto"/>
          </w:tcPr>
          <w:p w14:paraId="4293098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9.7</w:t>
            </w:r>
          </w:p>
        </w:tc>
        <w:tc>
          <w:tcPr>
            <w:tcW w:w="0" w:type="auto"/>
          </w:tcPr>
          <w:p w14:paraId="1DE193A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29.0</w:t>
            </w:r>
          </w:p>
        </w:tc>
        <w:tc>
          <w:tcPr>
            <w:tcW w:w="0" w:type="auto"/>
          </w:tcPr>
          <w:p w14:paraId="71EA410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16.1</w:t>
            </w:r>
          </w:p>
        </w:tc>
        <w:tc>
          <w:tcPr>
            <w:tcW w:w="0" w:type="auto"/>
          </w:tcPr>
          <w:p w14:paraId="42CEE30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45.2</w:t>
            </w:r>
          </w:p>
        </w:tc>
      </w:tr>
      <w:tr w:rsidR="00CD6352" w:rsidRPr="00F24B7E" w14:paraId="0237BE45" w14:textId="77777777" w:rsidTr="00CD6352">
        <w:trPr>
          <w:trHeight w:val="399"/>
        </w:trPr>
        <w:tc>
          <w:tcPr>
            <w:tcW w:w="0" w:type="auto"/>
          </w:tcPr>
          <w:p w14:paraId="04213FB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Political competence( self-confidence, social astuteness &amp; ability to influence others</w:t>
            </w:r>
          </w:p>
        </w:tc>
        <w:tc>
          <w:tcPr>
            <w:tcW w:w="0" w:type="auto"/>
          </w:tcPr>
          <w:p w14:paraId="0A95A41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2.9</w:t>
            </w:r>
          </w:p>
        </w:tc>
        <w:tc>
          <w:tcPr>
            <w:tcW w:w="0" w:type="auto"/>
          </w:tcPr>
          <w:p w14:paraId="29C5266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8.6</w:t>
            </w:r>
          </w:p>
        </w:tc>
        <w:tc>
          <w:tcPr>
            <w:tcW w:w="0" w:type="auto"/>
          </w:tcPr>
          <w:p w14:paraId="0B5F16A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31.4</w:t>
            </w:r>
          </w:p>
        </w:tc>
        <w:tc>
          <w:tcPr>
            <w:tcW w:w="0" w:type="auto"/>
          </w:tcPr>
          <w:p w14:paraId="59F511A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31.4</w:t>
            </w:r>
          </w:p>
        </w:tc>
        <w:tc>
          <w:tcPr>
            <w:tcW w:w="0" w:type="auto"/>
          </w:tcPr>
          <w:p w14:paraId="29B43A92"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25.7</w:t>
            </w:r>
          </w:p>
        </w:tc>
      </w:tr>
      <w:tr w:rsidR="00CD6352" w:rsidRPr="00F24B7E" w14:paraId="0034B8E3" w14:textId="77777777" w:rsidTr="00CD6352">
        <w:trPr>
          <w:trHeight w:val="221"/>
        </w:trPr>
        <w:tc>
          <w:tcPr>
            <w:tcW w:w="0" w:type="auto"/>
          </w:tcPr>
          <w:p w14:paraId="2F8B1EA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Political competence</w:t>
            </w:r>
          </w:p>
        </w:tc>
        <w:tc>
          <w:tcPr>
            <w:tcW w:w="0" w:type="auto"/>
          </w:tcPr>
          <w:p w14:paraId="0722DDD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6.1</w:t>
            </w:r>
          </w:p>
        </w:tc>
        <w:tc>
          <w:tcPr>
            <w:tcW w:w="0" w:type="auto"/>
          </w:tcPr>
          <w:p w14:paraId="5FA6037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9.1</w:t>
            </w:r>
          </w:p>
        </w:tc>
        <w:tc>
          <w:tcPr>
            <w:tcW w:w="0" w:type="auto"/>
          </w:tcPr>
          <w:p w14:paraId="7EDF84B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27.3</w:t>
            </w:r>
          </w:p>
        </w:tc>
        <w:tc>
          <w:tcPr>
            <w:tcW w:w="0" w:type="auto"/>
          </w:tcPr>
          <w:p w14:paraId="5FF3E2F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24.2</w:t>
            </w:r>
          </w:p>
        </w:tc>
        <w:tc>
          <w:tcPr>
            <w:tcW w:w="0" w:type="auto"/>
          </w:tcPr>
          <w:p w14:paraId="2A57AA8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33.3</w:t>
            </w:r>
          </w:p>
        </w:tc>
      </w:tr>
      <w:tr w:rsidR="00CD6352" w:rsidRPr="00F24B7E" w14:paraId="07EEC0D2" w14:textId="77777777" w:rsidTr="00CD6352">
        <w:trPr>
          <w:trHeight w:val="221"/>
        </w:trPr>
        <w:tc>
          <w:tcPr>
            <w:tcW w:w="0" w:type="auto"/>
          </w:tcPr>
          <w:p w14:paraId="01A57B6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Political &amp; use of power</w:t>
            </w:r>
          </w:p>
        </w:tc>
        <w:tc>
          <w:tcPr>
            <w:tcW w:w="0" w:type="auto"/>
          </w:tcPr>
          <w:p w14:paraId="447C45A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2.8</w:t>
            </w:r>
          </w:p>
        </w:tc>
        <w:tc>
          <w:tcPr>
            <w:tcW w:w="0" w:type="auto"/>
          </w:tcPr>
          <w:p w14:paraId="6E89366D"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19.4</w:t>
            </w:r>
          </w:p>
        </w:tc>
        <w:tc>
          <w:tcPr>
            <w:tcW w:w="0" w:type="auto"/>
          </w:tcPr>
          <w:p w14:paraId="20F9E47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22.2</w:t>
            </w:r>
          </w:p>
        </w:tc>
        <w:tc>
          <w:tcPr>
            <w:tcW w:w="0" w:type="auto"/>
          </w:tcPr>
          <w:p w14:paraId="2DBD8BC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33.3</w:t>
            </w:r>
          </w:p>
        </w:tc>
        <w:tc>
          <w:tcPr>
            <w:tcW w:w="0" w:type="auto"/>
          </w:tcPr>
          <w:p w14:paraId="5BA945F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22.2</w:t>
            </w:r>
          </w:p>
        </w:tc>
      </w:tr>
      <w:tr w:rsidR="00CD6352" w:rsidRPr="00F24B7E" w14:paraId="5E3DD731" w14:textId="77777777" w:rsidTr="00CD6352">
        <w:trPr>
          <w:trHeight w:val="221"/>
        </w:trPr>
        <w:tc>
          <w:tcPr>
            <w:tcW w:w="0" w:type="auto"/>
          </w:tcPr>
          <w:p w14:paraId="6D67FDD2"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Resourcefulness</w:t>
            </w:r>
          </w:p>
        </w:tc>
        <w:tc>
          <w:tcPr>
            <w:tcW w:w="0" w:type="auto"/>
          </w:tcPr>
          <w:p w14:paraId="498150B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Nil</w:t>
            </w:r>
          </w:p>
        </w:tc>
        <w:tc>
          <w:tcPr>
            <w:tcW w:w="0" w:type="auto"/>
          </w:tcPr>
          <w:p w14:paraId="01020D7E"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14.7</w:t>
            </w:r>
          </w:p>
        </w:tc>
        <w:tc>
          <w:tcPr>
            <w:tcW w:w="0" w:type="auto"/>
          </w:tcPr>
          <w:p w14:paraId="46CC572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23.5</w:t>
            </w:r>
          </w:p>
        </w:tc>
        <w:tc>
          <w:tcPr>
            <w:tcW w:w="0" w:type="auto"/>
          </w:tcPr>
          <w:p w14:paraId="2838CF89"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17.6</w:t>
            </w:r>
          </w:p>
        </w:tc>
        <w:tc>
          <w:tcPr>
            <w:tcW w:w="0" w:type="auto"/>
          </w:tcPr>
          <w:p w14:paraId="267E819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44.1</w:t>
            </w:r>
          </w:p>
        </w:tc>
      </w:tr>
      <w:tr w:rsidR="00CD6352" w:rsidRPr="00F24B7E" w14:paraId="3B2F2328" w14:textId="77777777" w:rsidTr="00CD6352">
        <w:trPr>
          <w:trHeight w:val="202"/>
        </w:trPr>
        <w:tc>
          <w:tcPr>
            <w:tcW w:w="0" w:type="auto"/>
          </w:tcPr>
          <w:p w14:paraId="05755722"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Result oriented</w:t>
            </w:r>
          </w:p>
        </w:tc>
        <w:tc>
          <w:tcPr>
            <w:tcW w:w="0" w:type="auto"/>
          </w:tcPr>
          <w:p w14:paraId="019C6F2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2.8</w:t>
            </w:r>
          </w:p>
        </w:tc>
        <w:tc>
          <w:tcPr>
            <w:tcW w:w="0" w:type="auto"/>
          </w:tcPr>
          <w:p w14:paraId="6960B655"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11.1</w:t>
            </w:r>
          </w:p>
        </w:tc>
        <w:tc>
          <w:tcPr>
            <w:tcW w:w="0" w:type="auto"/>
          </w:tcPr>
          <w:p w14:paraId="3E3FB731"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19.4</w:t>
            </w:r>
          </w:p>
        </w:tc>
        <w:tc>
          <w:tcPr>
            <w:tcW w:w="0" w:type="auto"/>
          </w:tcPr>
          <w:p w14:paraId="2D63AFB7"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27.8</w:t>
            </w:r>
          </w:p>
        </w:tc>
        <w:tc>
          <w:tcPr>
            <w:tcW w:w="0" w:type="auto"/>
          </w:tcPr>
          <w:p w14:paraId="6458BBF2"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38.9</w:t>
            </w:r>
          </w:p>
        </w:tc>
      </w:tr>
      <w:tr w:rsidR="00CD6352" w:rsidRPr="00F24B7E" w14:paraId="2E8AC03F" w14:textId="77777777" w:rsidTr="00CD6352">
        <w:trPr>
          <w:trHeight w:val="221"/>
        </w:trPr>
        <w:tc>
          <w:tcPr>
            <w:tcW w:w="0" w:type="auto"/>
          </w:tcPr>
          <w:p w14:paraId="1A64931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Risk &amp; opportunity</w:t>
            </w:r>
          </w:p>
        </w:tc>
        <w:tc>
          <w:tcPr>
            <w:tcW w:w="0" w:type="auto"/>
          </w:tcPr>
          <w:p w14:paraId="1F6CBAB8"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2.9</w:t>
            </w:r>
          </w:p>
        </w:tc>
        <w:tc>
          <w:tcPr>
            <w:tcW w:w="0" w:type="auto"/>
          </w:tcPr>
          <w:p w14:paraId="2943F000"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11.4</w:t>
            </w:r>
          </w:p>
        </w:tc>
        <w:tc>
          <w:tcPr>
            <w:tcW w:w="0" w:type="auto"/>
          </w:tcPr>
          <w:p w14:paraId="2E5AEA98"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28.6</w:t>
            </w:r>
          </w:p>
        </w:tc>
        <w:tc>
          <w:tcPr>
            <w:tcW w:w="0" w:type="auto"/>
          </w:tcPr>
          <w:p w14:paraId="70E6A4B4"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22.9</w:t>
            </w:r>
          </w:p>
        </w:tc>
        <w:tc>
          <w:tcPr>
            <w:tcW w:w="0" w:type="auto"/>
          </w:tcPr>
          <w:p w14:paraId="5B49854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34.3</w:t>
            </w:r>
          </w:p>
        </w:tc>
      </w:tr>
      <w:tr w:rsidR="00CD6352" w:rsidRPr="00F24B7E" w14:paraId="78556D75" w14:textId="77777777" w:rsidTr="00CD6352">
        <w:trPr>
          <w:trHeight w:val="202"/>
        </w:trPr>
        <w:tc>
          <w:tcPr>
            <w:tcW w:w="0" w:type="auto"/>
          </w:tcPr>
          <w:p w14:paraId="1BFE075B"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Technical competence</w:t>
            </w:r>
          </w:p>
        </w:tc>
        <w:tc>
          <w:tcPr>
            <w:tcW w:w="0" w:type="auto"/>
          </w:tcPr>
          <w:p w14:paraId="7B6CF90F"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Nil</w:t>
            </w:r>
          </w:p>
        </w:tc>
        <w:tc>
          <w:tcPr>
            <w:tcW w:w="0" w:type="auto"/>
          </w:tcPr>
          <w:p w14:paraId="1E9BADD6"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8.8</w:t>
            </w:r>
          </w:p>
        </w:tc>
        <w:tc>
          <w:tcPr>
            <w:tcW w:w="0" w:type="auto"/>
          </w:tcPr>
          <w:p w14:paraId="5568A81C"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26.5</w:t>
            </w:r>
          </w:p>
        </w:tc>
        <w:tc>
          <w:tcPr>
            <w:tcW w:w="0" w:type="auto"/>
          </w:tcPr>
          <w:p w14:paraId="2B060AF2"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32.4</w:t>
            </w:r>
          </w:p>
        </w:tc>
        <w:tc>
          <w:tcPr>
            <w:tcW w:w="0" w:type="auto"/>
          </w:tcPr>
          <w:p w14:paraId="21DEB86A" w14:textId="77777777" w:rsidR="00CD6352" w:rsidRPr="00F24B7E" w:rsidRDefault="00CD6352" w:rsidP="00CD6352">
            <w:pPr>
              <w:jc w:val="both"/>
              <w:rPr>
                <w:rFonts w:ascii="Arial" w:hAnsi="Arial" w:cs="Arial"/>
                <w:sz w:val="16"/>
                <w:szCs w:val="16"/>
              </w:rPr>
            </w:pPr>
            <w:r w:rsidRPr="00F24B7E">
              <w:rPr>
                <w:rFonts w:ascii="Arial" w:hAnsi="Arial" w:cs="Arial"/>
                <w:sz w:val="16"/>
                <w:szCs w:val="16"/>
              </w:rPr>
              <w:t>32.4</w:t>
            </w:r>
          </w:p>
        </w:tc>
      </w:tr>
    </w:tbl>
    <w:p w14:paraId="00550F21" w14:textId="77777777" w:rsidR="00CD6352" w:rsidRPr="00EA7665" w:rsidRDefault="00CD6352" w:rsidP="00CD6352">
      <w:pPr>
        <w:spacing w:line="360" w:lineRule="auto"/>
        <w:jc w:val="both"/>
        <w:rPr>
          <w:rFonts w:ascii="Arial" w:hAnsi="Arial" w:cs="Arial"/>
        </w:rPr>
      </w:pPr>
    </w:p>
    <w:p w14:paraId="5A320E92" w14:textId="6671254F" w:rsidR="00CD6352" w:rsidRPr="00EA7665" w:rsidRDefault="0016463A" w:rsidP="0016463A">
      <w:r w:rsidRPr="001D4648">
        <w:rPr>
          <w:rFonts w:ascii="Arial" w:hAnsi="Arial" w:cs="Arial"/>
        </w:rPr>
        <w:t xml:space="preserve">The overall mean value was also used to determine the extent to which </w:t>
      </w:r>
      <w:r w:rsidR="0045799D" w:rsidRPr="001D4648">
        <w:rPr>
          <w:rFonts w:ascii="Arial" w:hAnsi="Arial" w:cs="Arial"/>
        </w:rPr>
        <w:t>training,</w:t>
      </w:r>
      <w:r w:rsidRPr="001D4648">
        <w:rPr>
          <w:rFonts w:ascii="Arial" w:hAnsi="Arial" w:cs="Arial"/>
        </w:rPr>
        <w:t xml:space="preserve"> and education is needed for the selected management competences for securing finance for real estate project development (see table 8:</w:t>
      </w:r>
      <w:r>
        <w:rPr>
          <w:rFonts w:ascii="Arial" w:hAnsi="Arial" w:cs="Arial"/>
        </w:rPr>
        <w:t>4.</w:t>
      </w:r>
      <w:r w:rsidR="00B116CD">
        <w:rPr>
          <w:rFonts w:ascii="Arial" w:hAnsi="Arial" w:cs="Arial"/>
        </w:rPr>
        <w:t>4</w:t>
      </w:r>
      <w:r w:rsidRPr="001D4648">
        <w:rPr>
          <w:rFonts w:ascii="Arial" w:hAnsi="Arial" w:cs="Arial"/>
        </w:rPr>
        <w:t>).</w:t>
      </w:r>
    </w:p>
    <w:p w14:paraId="6C37FE24" w14:textId="72764CA3" w:rsidR="0016463A" w:rsidRPr="0016463A" w:rsidRDefault="0016463A" w:rsidP="0016463A">
      <w:pPr>
        <w:pStyle w:val="Caption"/>
        <w:keepNext/>
        <w:rPr>
          <w:rFonts w:ascii="Arial" w:hAnsi="Arial" w:cs="Arial"/>
          <w:sz w:val="16"/>
          <w:szCs w:val="16"/>
        </w:rPr>
      </w:pPr>
      <w:bookmarkStart w:id="1361" w:name="_Toc78984018"/>
      <w:r w:rsidRPr="0016463A">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4</w:t>
      </w:r>
      <w:r w:rsidR="008F25B1">
        <w:rPr>
          <w:rFonts w:ascii="Arial" w:hAnsi="Arial" w:cs="Arial"/>
          <w:sz w:val="16"/>
          <w:szCs w:val="16"/>
        </w:rPr>
        <w:fldChar w:fldCharType="end"/>
      </w:r>
      <w:r w:rsidRPr="0016463A">
        <w:rPr>
          <w:rFonts w:ascii="Arial" w:hAnsi="Arial" w:cs="Arial"/>
          <w:sz w:val="16"/>
          <w:szCs w:val="16"/>
        </w:rPr>
        <w:t>: Mean scores for Degree of training and education for management competences for securing finance for real estate project development. for the present at the aggregate level</w:t>
      </w:r>
      <w:bookmarkEnd w:id="1361"/>
    </w:p>
    <w:tbl>
      <w:tblPr>
        <w:tblW w:w="5980" w:type="dxa"/>
        <w:tblInd w:w="93" w:type="dxa"/>
        <w:tblLook w:val="04A0" w:firstRow="1" w:lastRow="0" w:firstColumn="1" w:lastColumn="0" w:noHBand="0" w:noVBand="1"/>
      </w:tblPr>
      <w:tblGrid>
        <w:gridCol w:w="3700"/>
        <w:gridCol w:w="1320"/>
        <w:gridCol w:w="960"/>
      </w:tblGrid>
      <w:tr w:rsidR="00CD6352" w:rsidRPr="0016463A" w14:paraId="3A598E53" w14:textId="77777777" w:rsidTr="00CD6352">
        <w:trPr>
          <w:trHeight w:val="30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3A54"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Management competences</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7528727"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Mean score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417A675"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Rank</w:t>
            </w:r>
          </w:p>
        </w:tc>
      </w:tr>
      <w:tr w:rsidR="00CD6352" w:rsidRPr="0016463A" w14:paraId="0F42BD05"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18B5EC5B"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Leadership competence</w:t>
            </w:r>
          </w:p>
        </w:tc>
        <w:tc>
          <w:tcPr>
            <w:tcW w:w="1320" w:type="dxa"/>
            <w:tcBorders>
              <w:top w:val="nil"/>
              <w:left w:val="nil"/>
              <w:bottom w:val="single" w:sz="4" w:space="0" w:color="auto"/>
              <w:right w:val="single" w:sz="4" w:space="0" w:color="auto"/>
            </w:tcBorders>
            <w:shd w:val="clear" w:color="auto" w:fill="auto"/>
            <w:noWrap/>
            <w:vAlign w:val="bottom"/>
            <w:hideMark/>
          </w:tcPr>
          <w:p w14:paraId="16392F9C"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3.94</w:t>
            </w:r>
          </w:p>
        </w:tc>
        <w:tc>
          <w:tcPr>
            <w:tcW w:w="960" w:type="dxa"/>
            <w:tcBorders>
              <w:top w:val="nil"/>
              <w:left w:val="nil"/>
              <w:bottom w:val="single" w:sz="4" w:space="0" w:color="auto"/>
              <w:right w:val="single" w:sz="4" w:space="0" w:color="auto"/>
            </w:tcBorders>
            <w:shd w:val="clear" w:color="auto" w:fill="auto"/>
            <w:noWrap/>
            <w:vAlign w:val="bottom"/>
            <w:hideMark/>
          </w:tcPr>
          <w:p w14:paraId="2AE43144"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w:t>
            </w:r>
          </w:p>
        </w:tc>
      </w:tr>
      <w:tr w:rsidR="00CD6352" w:rsidRPr="0016463A" w14:paraId="0F15638F"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E5A2EF4"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Managerial competences</w:t>
            </w:r>
          </w:p>
        </w:tc>
        <w:tc>
          <w:tcPr>
            <w:tcW w:w="1320" w:type="dxa"/>
            <w:tcBorders>
              <w:top w:val="nil"/>
              <w:left w:val="nil"/>
              <w:bottom w:val="single" w:sz="4" w:space="0" w:color="auto"/>
              <w:right w:val="single" w:sz="4" w:space="0" w:color="auto"/>
            </w:tcBorders>
            <w:shd w:val="clear" w:color="auto" w:fill="auto"/>
            <w:noWrap/>
            <w:vAlign w:val="bottom"/>
            <w:hideMark/>
          </w:tcPr>
          <w:p w14:paraId="34C7FAB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3.92</w:t>
            </w:r>
          </w:p>
        </w:tc>
        <w:tc>
          <w:tcPr>
            <w:tcW w:w="960" w:type="dxa"/>
            <w:tcBorders>
              <w:top w:val="nil"/>
              <w:left w:val="nil"/>
              <w:bottom w:val="single" w:sz="4" w:space="0" w:color="auto"/>
              <w:right w:val="single" w:sz="4" w:space="0" w:color="auto"/>
            </w:tcBorders>
            <w:shd w:val="clear" w:color="auto" w:fill="auto"/>
            <w:noWrap/>
            <w:vAlign w:val="bottom"/>
            <w:hideMark/>
          </w:tcPr>
          <w:p w14:paraId="76EA218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2</w:t>
            </w:r>
          </w:p>
        </w:tc>
      </w:tr>
      <w:tr w:rsidR="00CD6352" w:rsidRPr="0016463A" w14:paraId="041B269E"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2990FE2"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Planning &amp; control</w:t>
            </w:r>
          </w:p>
        </w:tc>
        <w:tc>
          <w:tcPr>
            <w:tcW w:w="1320" w:type="dxa"/>
            <w:tcBorders>
              <w:top w:val="nil"/>
              <w:left w:val="nil"/>
              <w:bottom w:val="single" w:sz="4" w:space="0" w:color="auto"/>
              <w:right w:val="single" w:sz="4" w:space="0" w:color="auto"/>
            </w:tcBorders>
            <w:shd w:val="clear" w:color="auto" w:fill="auto"/>
            <w:noWrap/>
            <w:vAlign w:val="bottom"/>
            <w:hideMark/>
          </w:tcPr>
          <w:p w14:paraId="05032E04"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3.88</w:t>
            </w:r>
          </w:p>
        </w:tc>
        <w:tc>
          <w:tcPr>
            <w:tcW w:w="960" w:type="dxa"/>
            <w:tcBorders>
              <w:top w:val="nil"/>
              <w:left w:val="nil"/>
              <w:bottom w:val="single" w:sz="4" w:space="0" w:color="auto"/>
              <w:right w:val="single" w:sz="4" w:space="0" w:color="auto"/>
            </w:tcBorders>
            <w:shd w:val="clear" w:color="auto" w:fill="auto"/>
            <w:noWrap/>
            <w:vAlign w:val="bottom"/>
            <w:hideMark/>
          </w:tcPr>
          <w:p w14:paraId="66090BE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w:t>
            </w:r>
          </w:p>
        </w:tc>
      </w:tr>
      <w:tr w:rsidR="00CD6352" w:rsidRPr="0016463A" w14:paraId="4D8DD030"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0A5329F"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 xml:space="preserve">Financial management </w:t>
            </w:r>
          </w:p>
        </w:tc>
        <w:tc>
          <w:tcPr>
            <w:tcW w:w="1320" w:type="dxa"/>
            <w:tcBorders>
              <w:top w:val="nil"/>
              <w:left w:val="nil"/>
              <w:bottom w:val="single" w:sz="4" w:space="0" w:color="auto"/>
              <w:right w:val="single" w:sz="4" w:space="0" w:color="auto"/>
            </w:tcBorders>
            <w:shd w:val="clear" w:color="auto" w:fill="auto"/>
            <w:noWrap/>
            <w:vAlign w:val="bottom"/>
            <w:hideMark/>
          </w:tcPr>
          <w:p w14:paraId="7C93D294"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3.81</w:t>
            </w:r>
          </w:p>
        </w:tc>
        <w:tc>
          <w:tcPr>
            <w:tcW w:w="960" w:type="dxa"/>
            <w:tcBorders>
              <w:top w:val="nil"/>
              <w:left w:val="nil"/>
              <w:bottom w:val="single" w:sz="4" w:space="0" w:color="auto"/>
              <w:right w:val="single" w:sz="4" w:space="0" w:color="auto"/>
            </w:tcBorders>
            <w:shd w:val="clear" w:color="auto" w:fill="auto"/>
            <w:noWrap/>
            <w:vAlign w:val="bottom"/>
            <w:hideMark/>
          </w:tcPr>
          <w:p w14:paraId="4E02694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4</w:t>
            </w:r>
          </w:p>
        </w:tc>
      </w:tr>
      <w:tr w:rsidR="00CD6352" w:rsidRPr="0016463A" w14:paraId="00A4C34F"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478A3E4"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 xml:space="preserve">Negotiation </w:t>
            </w:r>
          </w:p>
        </w:tc>
        <w:tc>
          <w:tcPr>
            <w:tcW w:w="1320" w:type="dxa"/>
            <w:tcBorders>
              <w:top w:val="nil"/>
              <w:left w:val="nil"/>
              <w:bottom w:val="single" w:sz="4" w:space="0" w:color="auto"/>
              <w:right w:val="single" w:sz="4" w:space="0" w:color="auto"/>
            </w:tcBorders>
            <w:shd w:val="clear" w:color="auto" w:fill="auto"/>
            <w:noWrap/>
            <w:vAlign w:val="bottom"/>
            <w:hideMark/>
          </w:tcPr>
          <w:p w14:paraId="3334559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3.81</w:t>
            </w:r>
          </w:p>
        </w:tc>
        <w:tc>
          <w:tcPr>
            <w:tcW w:w="960" w:type="dxa"/>
            <w:tcBorders>
              <w:top w:val="nil"/>
              <w:left w:val="nil"/>
              <w:bottom w:val="single" w:sz="4" w:space="0" w:color="auto"/>
              <w:right w:val="single" w:sz="4" w:space="0" w:color="auto"/>
            </w:tcBorders>
            <w:shd w:val="clear" w:color="auto" w:fill="auto"/>
            <w:noWrap/>
            <w:vAlign w:val="bottom"/>
            <w:hideMark/>
          </w:tcPr>
          <w:p w14:paraId="79C4740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5</w:t>
            </w:r>
          </w:p>
        </w:tc>
      </w:tr>
      <w:tr w:rsidR="00CD6352" w:rsidRPr="0016463A" w14:paraId="3F4E9DCE"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BE5642C"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Resourcefulness</w:t>
            </w:r>
          </w:p>
        </w:tc>
        <w:tc>
          <w:tcPr>
            <w:tcW w:w="1320" w:type="dxa"/>
            <w:tcBorders>
              <w:top w:val="nil"/>
              <w:left w:val="nil"/>
              <w:bottom w:val="single" w:sz="4" w:space="0" w:color="auto"/>
              <w:right w:val="single" w:sz="4" w:space="0" w:color="auto"/>
            </w:tcBorders>
            <w:shd w:val="clear" w:color="auto" w:fill="auto"/>
            <w:noWrap/>
            <w:vAlign w:val="bottom"/>
            <w:hideMark/>
          </w:tcPr>
          <w:p w14:paraId="3A40C7D9"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3.81</w:t>
            </w:r>
          </w:p>
        </w:tc>
        <w:tc>
          <w:tcPr>
            <w:tcW w:w="960" w:type="dxa"/>
            <w:tcBorders>
              <w:top w:val="nil"/>
              <w:left w:val="nil"/>
              <w:bottom w:val="single" w:sz="4" w:space="0" w:color="auto"/>
              <w:right w:val="single" w:sz="4" w:space="0" w:color="auto"/>
            </w:tcBorders>
            <w:shd w:val="clear" w:color="auto" w:fill="auto"/>
            <w:noWrap/>
            <w:vAlign w:val="bottom"/>
            <w:hideMark/>
          </w:tcPr>
          <w:p w14:paraId="623FA94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6</w:t>
            </w:r>
          </w:p>
        </w:tc>
      </w:tr>
      <w:tr w:rsidR="00CD6352" w:rsidRPr="0016463A" w14:paraId="27CF0AB5"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608AF78"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Technical competence</w:t>
            </w:r>
          </w:p>
        </w:tc>
        <w:tc>
          <w:tcPr>
            <w:tcW w:w="1320" w:type="dxa"/>
            <w:tcBorders>
              <w:top w:val="nil"/>
              <w:left w:val="nil"/>
              <w:bottom w:val="single" w:sz="4" w:space="0" w:color="auto"/>
              <w:right w:val="single" w:sz="4" w:space="0" w:color="auto"/>
            </w:tcBorders>
            <w:shd w:val="clear" w:color="auto" w:fill="auto"/>
            <w:noWrap/>
            <w:vAlign w:val="bottom"/>
            <w:hideMark/>
          </w:tcPr>
          <w:p w14:paraId="56405AF2"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3.81</w:t>
            </w:r>
          </w:p>
        </w:tc>
        <w:tc>
          <w:tcPr>
            <w:tcW w:w="960" w:type="dxa"/>
            <w:tcBorders>
              <w:top w:val="nil"/>
              <w:left w:val="nil"/>
              <w:bottom w:val="single" w:sz="4" w:space="0" w:color="auto"/>
              <w:right w:val="single" w:sz="4" w:space="0" w:color="auto"/>
            </w:tcBorders>
            <w:shd w:val="clear" w:color="auto" w:fill="auto"/>
            <w:noWrap/>
            <w:vAlign w:val="bottom"/>
            <w:hideMark/>
          </w:tcPr>
          <w:p w14:paraId="7DEDD345"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7</w:t>
            </w:r>
          </w:p>
        </w:tc>
      </w:tr>
      <w:tr w:rsidR="00CD6352" w:rsidRPr="0016463A" w14:paraId="1B579F90"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4CDA9958"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Result oriented</w:t>
            </w:r>
          </w:p>
        </w:tc>
        <w:tc>
          <w:tcPr>
            <w:tcW w:w="1320" w:type="dxa"/>
            <w:tcBorders>
              <w:top w:val="nil"/>
              <w:left w:val="nil"/>
              <w:bottom w:val="single" w:sz="4" w:space="0" w:color="auto"/>
              <w:right w:val="single" w:sz="4" w:space="0" w:color="auto"/>
            </w:tcBorders>
            <w:shd w:val="clear" w:color="auto" w:fill="auto"/>
            <w:noWrap/>
            <w:vAlign w:val="bottom"/>
            <w:hideMark/>
          </w:tcPr>
          <w:p w14:paraId="7939ABC4"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3.79</w:t>
            </w:r>
          </w:p>
        </w:tc>
        <w:tc>
          <w:tcPr>
            <w:tcW w:w="960" w:type="dxa"/>
            <w:tcBorders>
              <w:top w:val="nil"/>
              <w:left w:val="nil"/>
              <w:bottom w:val="single" w:sz="4" w:space="0" w:color="auto"/>
              <w:right w:val="single" w:sz="4" w:space="0" w:color="auto"/>
            </w:tcBorders>
            <w:shd w:val="clear" w:color="auto" w:fill="auto"/>
            <w:noWrap/>
            <w:vAlign w:val="bottom"/>
            <w:hideMark/>
          </w:tcPr>
          <w:p w14:paraId="347F8680"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8</w:t>
            </w:r>
          </w:p>
        </w:tc>
      </w:tr>
      <w:tr w:rsidR="00CD6352" w:rsidRPr="0016463A" w14:paraId="7CAD6C8C"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B912099"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Compliance, standards &amp; regulations</w:t>
            </w:r>
          </w:p>
        </w:tc>
        <w:tc>
          <w:tcPr>
            <w:tcW w:w="1320" w:type="dxa"/>
            <w:tcBorders>
              <w:top w:val="nil"/>
              <w:left w:val="nil"/>
              <w:bottom w:val="single" w:sz="4" w:space="0" w:color="auto"/>
              <w:right w:val="single" w:sz="4" w:space="0" w:color="auto"/>
            </w:tcBorders>
            <w:shd w:val="clear" w:color="auto" w:fill="auto"/>
            <w:noWrap/>
            <w:vAlign w:val="bottom"/>
            <w:hideMark/>
          </w:tcPr>
          <w:p w14:paraId="599C336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3.78</w:t>
            </w:r>
          </w:p>
        </w:tc>
        <w:tc>
          <w:tcPr>
            <w:tcW w:w="960" w:type="dxa"/>
            <w:tcBorders>
              <w:top w:val="nil"/>
              <w:left w:val="nil"/>
              <w:bottom w:val="single" w:sz="4" w:space="0" w:color="auto"/>
              <w:right w:val="single" w:sz="4" w:space="0" w:color="auto"/>
            </w:tcBorders>
            <w:shd w:val="clear" w:color="auto" w:fill="auto"/>
            <w:noWrap/>
            <w:vAlign w:val="bottom"/>
            <w:hideMark/>
          </w:tcPr>
          <w:p w14:paraId="586D85A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9</w:t>
            </w:r>
          </w:p>
        </w:tc>
      </w:tr>
      <w:tr w:rsidR="00CD6352" w:rsidRPr="0016463A" w14:paraId="7D88CA61"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242A33FE"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Risk &amp; opportunity</w:t>
            </w:r>
          </w:p>
        </w:tc>
        <w:tc>
          <w:tcPr>
            <w:tcW w:w="1320" w:type="dxa"/>
            <w:tcBorders>
              <w:top w:val="nil"/>
              <w:left w:val="nil"/>
              <w:bottom w:val="single" w:sz="4" w:space="0" w:color="auto"/>
              <w:right w:val="single" w:sz="4" w:space="0" w:color="auto"/>
            </w:tcBorders>
            <w:shd w:val="clear" w:color="auto" w:fill="auto"/>
            <w:noWrap/>
            <w:vAlign w:val="bottom"/>
            <w:hideMark/>
          </w:tcPr>
          <w:p w14:paraId="021957F1"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3.65</w:t>
            </w:r>
          </w:p>
        </w:tc>
        <w:tc>
          <w:tcPr>
            <w:tcW w:w="960" w:type="dxa"/>
            <w:tcBorders>
              <w:top w:val="nil"/>
              <w:left w:val="nil"/>
              <w:bottom w:val="single" w:sz="4" w:space="0" w:color="auto"/>
              <w:right w:val="single" w:sz="4" w:space="0" w:color="auto"/>
            </w:tcBorders>
            <w:shd w:val="clear" w:color="auto" w:fill="auto"/>
            <w:noWrap/>
            <w:vAlign w:val="bottom"/>
            <w:hideMark/>
          </w:tcPr>
          <w:p w14:paraId="214F62AA"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10</w:t>
            </w:r>
          </w:p>
        </w:tc>
      </w:tr>
      <w:tr w:rsidR="00CD6352" w:rsidRPr="0016463A" w14:paraId="43D60852"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3C8EC0B"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 xml:space="preserve">Commercial management </w:t>
            </w:r>
          </w:p>
        </w:tc>
        <w:tc>
          <w:tcPr>
            <w:tcW w:w="1320" w:type="dxa"/>
            <w:tcBorders>
              <w:top w:val="nil"/>
              <w:left w:val="nil"/>
              <w:bottom w:val="single" w:sz="4" w:space="0" w:color="auto"/>
              <w:right w:val="single" w:sz="4" w:space="0" w:color="auto"/>
            </w:tcBorders>
            <w:shd w:val="clear" w:color="auto" w:fill="auto"/>
            <w:noWrap/>
            <w:vAlign w:val="bottom"/>
            <w:hideMark/>
          </w:tcPr>
          <w:p w14:paraId="4E141EC3"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3.62</w:t>
            </w:r>
          </w:p>
        </w:tc>
        <w:tc>
          <w:tcPr>
            <w:tcW w:w="960" w:type="dxa"/>
            <w:tcBorders>
              <w:top w:val="nil"/>
              <w:left w:val="nil"/>
              <w:bottom w:val="single" w:sz="4" w:space="0" w:color="auto"/>
              <w:right w:val="single" w:sz="4" w:space="0" w:color="auto"/>
            </w:tcBorders>
            <w:shd w:val="clear" w:color="auto" w:fill="auto"/>
            <w:noWrap/>
            <w:vAlign w:val="bottom"/>
            <w:hideMark/>
          </w:tcPr>
          <w:p w14:paraId="74ED0497"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11</w:t>
            </w:r>
          </w:p>
        </w:tc>
      </w:tr>
      <w:tr w:rsidR="00CD6352" w:rsidRPr="0016463A" w14:paraId="5271D47E"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50A082F"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Governance, structure, and processes</w:t>
            </w:r>
          </w:p>
        </w:tc>
        <w:tc>
          <w:tcPr>
            <w:tcW w:w="1320" w:type="dxa"/>
            <w:tcBorders>
              <w:top w:val="nil"/>
              <w:left w:val="nil"/>
              <w:bottom w:val="single" w:sz="4" w:space="0" w:color="auto"/>
              <w:right w:val="single" w:sz="4" w:space="0" w:color="auto"/>
            </w:tcBorders>
            <w:shd w:val="clear" w:color="auto" w:fill="auto"/>
            <w:noWrap/>
            <w:vAlign w:val="bottom"/>
            <w:hideMark/>
          </w:tcPr>
          <w:p w14:paraId="6CE8B71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3.61</w:t>
            </w:r>
          </w:p>
        </w:tc>
        <w:tc>
          <w:tcPr>
            <w:tcW w:w="960" w:type="dxa"/>
            <w:tcBorders>
              <w:top w:val="nil"/>
              <w:left w:val="nil"/>
              <w:bottom w:val="single" w:sz="4" w:space="0" w:color="auto"/>
              <w:right w:val="single" w:sz="4" w:space="0" w:color="auto"/>
            </w:tcBorders>
            <w:shd w:val="clear" w:color="auto" w:fill="auto"/>
            <w:noWrap/>
            <w:vAlign w:val="bottom"/>
            <w:hideMark/>
          </w:tcPr>
          <w:p w14:paraId="36C58450"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12</w:t>
            </w:r>
          </w:p>
        </w:tc>
      </w:tr>
      <w:tr w:rsidR="00CD6352" w:rsidRPr="0016463A" w14:paraId="00AC7565" w14:textId="77777777" w:rsidTr="00CD6352">
        <w:trPr>
          <w:trHeight w:val="344"/>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73F1C109" w14:textId="3BE90B25"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 xml:space="preserve">Political </w:t>
            </w:r>
            <w:r w:rsidR="0045799D" w:rsidRPr="0016463A">
              <w:rPr>
                <w:rFonts w:ascii="Arial" w:eastAsia="Times New Roman" w:hAnsi="Arial" w:cs="Arial"/>
                <w:color w:val="000000"/>
                <w:sz w:val="16"/>
                <w:szCs w:val="16"/>
                <w:lang w:eastAsia="en-GB"/>
              </w:rPr>
              <w:t>competence(self</w:t>
            </w:r>
            <w:r w:rsidRPr="0016463A">
              <w:rPr>
                <w:rFonts w:ascii="Arial" w:eastAsia="Times New Roman" w:hAnsi="Arial" w:cs="Arial"/>
                <w:color w:val="000000"/>
                <w:sz w:val="16"/>
                <w:szCs w:val="16"/>
                <w:lang w:eastAsia="en-GB"/>
              </w:rPr>
              <w:t>-confidence, social astuteness &amp; ability to influence others</w:t>
            </w:r>
          </w:p>
        </w:tc>
        <w:tc>
          <w:tcPr>
            <w:tcW w:w="1320" w:type="dxa"/>
            <w:tcBorders>
              <w:top w:val="nil"/>
              <w:left w:val="nil"/>
              <w:bottom w:val="single" w:sz="4" w:space="0" w:color="auto"/>
              <w:right w:val="single" w:sz="4" w:space="0" w:color="auto"/>
            </w:tcBorders>
            <w:shd w:val="clear" w:color="auto" w:fill="auto"/>
            <w:noWrap/>
            <w:vAlign w:val="bottom"/>
            <w:hideMark/>
          </w:tcPr>
          <w:p w14:paraId="1C875941"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3.59</w:t>
            </w:r>
          </w:p>
        </w:tc>
        <w:tc>
          <w:tcPr>
            <w:tcW w:w="960" w:type="dxa"/>
            <w:tcBorders>
              <w:top w:val="nil"/>
              <w:left w:val="nil"/>
              <w:bottom w:val="single" w:sz="4" w:space="0" w:color="auto"/>
              <w:right w:val="single" w:sz="4" w:space="0" w:color="auto"/>
            </w:tcBorders>
            <w:shd w:val="clear" w:color="auto" w:fill="auto"/>
            <w:noWrap/>
            <w:vAlign w:val="bottom"/>
            <w:hideMark/>
          </w:tcPr>
          <w:p w14:paraId="0F77C425"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13</w:t>
            </w:r>
          </w:p>
        </w:tc>
      </w:tr>
      <w:tr w:rsidR="00CD6352" w:rsidRPr="0016463A" w14:paraId="46B11CD0"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3204EC6"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Capability development</w:t>
            </w:r>
          </w:p>
        </w:tc>
        <w:tc>
          <w:tcPr>
            <w:tcW w:w="1320" w:type="dxa"/>
            <w:tcBorders>
              <w:top w:val="nil"/>
              <w:left w:val="nil"/>
              <w:bottom w:val="single" w:sz="4" w:space="0" w:color="auto"/>
              <w:right w:val="single" w:sz="4" w:space="0" w:color="auto"/>
            </w:tcBorders>
            <w:shd w:val="clear" w:color="auto" w:fill="auto"/>
            <w:noWrap/>
            <w:vAlign w:val="bottom"/>
            <w:hideMark/>
          </w:tcPr>
          <w:p w14:paraId="397AECC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3.58</w:t>
            </w:r>
          </w:p>
        </w:tc>
        <w:tc>
          <w:tcPr>
            <w:tcW w:w="960" w:type="dxa"/>
            <w:tcBorders>
              <w:top w:val="nil"/>
              <w:left w:val="nil"/>
              <w:bottom w:val="single" w:sz="4" w:space="0" w:color="auto"/>
              <w:right w:val="single" w:sz="4" w:space="0" w:color="auto"/>
            </w:tcBorders>
            <w:shd w:val="clear" w:color="auto" w:fill="auto"/>
            <w:noWrap/>
            <w:vAlign w:val="bottom"/>
            <w:hideMark/>
          </w:tcPr>
          <w:p w14:paraId="3BDA746C"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14</w:t>
            </w:r>
          </w:p>
        </w:tc>
      </w:tr>
      <w:tr w:rsidR="00CD6352" w:rsidRPr="0016463A" w14:paraId="75A63122" w14:textId="77777777" w:rsidTr="00CD6352">
        <w:trPr>
          <w:trHeight w:val="367"/>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3AB3FA4"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Ethics, compliance, and professionalism</w:t>
            </w:r>
          </w:p>
        </w:tc>
        <w:tc>
          <w:tcPr>
            <w:tcW w:w="1320" w:type="dxa"/>
            <w:tcBorders>
              <w:top w:val="nil"/>
              <w:left w:val="nil"/>
              <w:bottom w:val="single" w:sz="4" w:space="0" w:color="auto"/>
              <w:right w:val="single" w:sz="4" w:space="0" w:color="auto"/>
            </w:tcBorders>
            <w:shd w:val="clear" w:color="auto" w:fill="auto"/>
            <w:noWrap/>
            <w:vAlign w:val="bottom"/>
            <w:hideMark/>
          </w:tcPr>
          <w:p w14:paraId="2BB53585"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3.57</w:t>
            </w:r>
          </w:p>
        </w:tc>
        <w:tc>
          <w:tcPr>
            <w:tcW w:w="960" w:type="dxa"/>
            <w:tcBorders>
              <w:top w:val="nil"/>
              <w:left w:val="nil"/>
              <w:bottom w:val="single" w:sz="4" w:space="0" w:color="auto"/>
              <w:right w:val="single" w:sz="4" w:space="0" w:color="auto"/>
            </w:tcBorders>
            <w:shd w:val="clear" w:color="auto" w:fill="auto"/>
            <w:noWrap/>
            <w:vAlign w:val="bottom"/>
            <w:hideMark/>
          </w:tcPr>
          <w:p w14:paraId="61D2F8F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15</w:t>
            </w:r>
          </w:p>
        </w:tc>
      </w:tr>
      <w:tr w:rsidR="00CD6352" w:rsidRPr="0016463A" w14:paraId="21A2C523"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03B7ECE7"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Politics &amp; use of power</w:t>
            </w:r>
          </w:p>
        </w:tc>
        <w:tc>
          <w:tcPr>
            <w:tcW w:w="1320" w:type="dxa"/>
            <w:tcBorders>
              <w:top w:val="nil"/>
              <w:left w:val="nil"/>
              <w:bottom w:val="single" w:sz="4" w:space="0" w:color="auto"/>
              <w:right w:val="single" w:sz="4" w:space="0" w:color="auto"/>
            </w:tcBorders>
            <w:shd w:val="clear" w:color="auto" w:fill="auto"/>
            <w:noWrap/>
            <w:vAlign w:val="bottom"/>
            <w:hideMark/>
          </w:tcPr>
          <w:p w14:paraId="4207FDA9"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3.45</w:t>
            </w:r>
          </w:p>
        </w:tc>
        <w:tc>
          <w:tcPr>
            <w:tcW w:w="960" w:type="dxa"/>
            <w:tcBorders>
              <w:top w:val="nil"/>
              <w:left w:val="nil"/>
              <w:bottom w:val="single" w:sz="4" w:space="0" w:color="auto"/>
              <w:right w:val="single" w:sz="4" w:space="0" w:color="auto"/>
            </w:tcBorders>
            <w:shd w:val="clear" w:color="auto" w:fill="auto"/>
            <w:noWrap/>
            <w:vAlign w:val="bottom"/>
            <w:hideMark/>
          </w:tcPr>
          <w:p w14:paraId="479B0886"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16</w:t>
            </w:r>
          </w:p>
        </w:tc>
      </w:tr>
      <w:tr w:rsidR="00CD6352" w:rsidRPr="0016463A" w14:paraId="23F4A68C"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C719BFD"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Business case</w:t>
            </w:r>
          </w:p>
        </w:tc>
        <w:tc>
          <w:tcPr>
            <w:tcW w:w="1320" w:type="dxa"/>
            <w:tcBorders>
              <w:top w:val="nil"/>
              <w:left w:val="nil"/>
              <w:bottom w:val="single" w:sz="4" w:space="0" w:color="auto"/>
              <w:right w:val="single" w:sz="4" w:space="0" w:color="auto"/>
            </w:tcBorders>
            <w:shd w:val="clear" w:color="auto" w:fill="auto"/>
            <w:noWrap/>
            <w:vAlign w:val="bottom"/>
            <w:hideMark/>
          </w:tcPr>
          <w:p w14:paraId="2D7A35A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3.42</w:t>
            </w:r>
          </w:p>
        </w:tc>
        <w:tc>
          <w:tcPr>
            <w:tcW w:w="960" w:type="dxa"/>
            <w:tcBorders>
              <w:top w:val="nil"/>
              <w:left w:val="nil"/>
              <w:bottom w:val="single" w:sz="4" w:space="0" w:color="auto"/>
              <w:right w:val="single" w:sz="4" w:space="0" w:color="auto"/>
            </w:tcBorders>
            <w:shd w:val="clear" w:color="auto" w:fill="auto"/>
            <w:noWrap/>
            <w:vAlign w:val="bottom"/>
            <w:hideMark/>
          </w:tcPr>
          <w:p w14:paraId="4469A53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17</w:t>
            </w:r>
          </w:p>
        </w:tc>
      </w:tr>
      <w:tr w:rsidR="00CD6352" w:rsidRPr="0016463A" w14:paraId="5DECA79E"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BA601BA"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Asset allocation</w:t>
            </w:r>
          </w:p>
        </w:tc>
        <w:tc>
          <w:tcPr>
            <w:tcW w:w="1320" w:type="dxa"/>
            <w:tcBorders>
              <w:top w:val="nil"/>
              <w:left w:val="nil"/>
              <w:bottom w:val="single" w:sz="4" w:space="0" w:color="auto"/>
              <w:right w:val="single" w:sz="4" w:space="0" w:color="auto"/>
            </w:tcBorders>
            <w:shd w:val="clear" w:color="auto" w:fill="auto"/>
            <w:noWrap/>
            <w:vAlign w:val="bottom"/>
            <w:hideMark/>
          </w:tcPr>
          <w:p w14:paraId="2A9D379B"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3.42</w:t>
            </w:r>
          </w:p>
        </w:tc>
        <w:tc>
          <w:tcPr>
            <w:tcW w:w="960" w:type="dxa"/>
            <w:tcBorders>
              <w:top w:val="nil"/>
              <w:left w:val="nil"/>
              <w:bottom w:val="single" w:sz="4" w:space="0" w:color="auto"/>
              <w:right w:val="single" w:sz="4" w:space="0" w:color="auto"/>
            </w:tcBorders>
            <w:shd w:val="clear" w:color="auto" w:fill="auto"/>
            <w:noWrap/>
            <w:vAlign w:val="bottom"/>
            <w:hideMark/>
          </w:tcPr>
          <w:p w14:paraId="6C6AF2AC"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18</w:t>
            </w:r>
          </w:p>
        </w:tc>
      </w:tr>
      <w:tr w:rsidR="00CD6352" w:rsidRPr="0016463A" w14:paraId="5C3A3337" w14:textId="77777777" w:rsidTr="00CD6352">
        <w:trPr>
          <w:trHeight w:val="300"/>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AE75168" w14:textId="77777777" w:rsidR="00CD6352" w:rsidRPr="0016463A" w:rsidRDefault="00CD6352" w:rsidP="00CD6352">
            <w:pPr>
              <w:spacing w:after="0" w:line="240" w:lineRule="auto"/>
              <w:rPr>
                <w:rFonts w:ascii="Arial" w:eastAsia="Times New Roman" w:hAnsi="Arial" w:cs="Arial"/>
                <w:color w:val="000000"/>
                <w:sz w:val="16"/>
                <w:szCs w:val="16"/>
                <w:lang w:eastAsia="en-GB"/>
              </w:rPr>
            </w:pPr>
            <w:r w:rsidRPr="0016463A">
              <w:rPr>
                <w:rFonts w:ascii="Arial" w:eastAsia="Times New Roman" w:hAnsi="Arial" w:cs="Arial"/>
                <w:color w:val="000000"/>
                <w:sz w:val="16"/>
                <w:szCs w:val="16"/>
                <w:lang w:eastAsia="en-GB"/>
              </w:rPr>
              <w:t>Independence assurance</w:t>
            </w:r>
          </w:p>
        </w:tc>
        <w:tc>
          <w:tcPr>
            <w:tcW w:w="1320" w:type="dxa"/>
            <w:tcBorders>
              <w:top w:val="nil"/>
              <w:left w:val="nil"/>
              <w:bottom w:val="single" w:sz="4" w:space="0" w:color="auto"/>
              <w:right w:val="single" w:sz="4" w:space="0" w:color="auto"/>
            </w:tcBorders>
            <w:shd w:val="clear" w:color="auto" w:fill="auto"/>
            <w:noWrap/>
            <w:vAlign w:val="bottom"/>
            <w:hideMark/>
          </w:tcPr>
          <w:p w14:paraId="772AEA08"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3.36</w:t>
            </w:r>
          </w:p>
        </w:tc>
        <w:tc>
          <w:tcPr>
            <w:tcW w:w="960" w:type="dxa"/>
            <w:tcBorders>
              <w:top w:val="nil"/>
              <w:left w:val="nil"/>
              <w:bottom w:val="single" w:sz="4" w:space="0" w:color="auto"/>
              <w:right w:val="single" w:sz="4" w:space="0" w:color="auto"/>
            </w:tcBorders>
            <w:shd w:val="clear" w:color="auto" w:fill="auto"/>
            <w:noWrap/>
            <w:vAlign w:val="bottom"/>
            <w:hideMark/>
          </w:tcPr>
          <w:p w14:paraId="44611A49" w14:textId="77777777" w:rsidR="00CD6352" w:rsidRPr="0016463A" w:rsidRDefault="00CD6352" w:rsidP="00CD6352">
            <w:pPr>
              <w:spacing w:after="0" w:line="240" w:lineRule="auto"/>
              <w:jc w:val="right"/>
              <w:rPr>
                <w:rFonts w:ascii="Arial" w:eastAsia="Times New Roman" w:hAnsi="Arial" w:cs="Arial"/>
                <w:color w:val="000000"/>
                <w:sz w:val="16"/>
                <w:szCs w:val="16"/>
                <w:lang w:eastAsia="en-GB"/>
              </w:rPr>
            </w:pPr>
            <w:r w:rsidRPr="0016463A">
              <w:rPr>
                <w:rFonts w:ascii="Arial" w:eastAsia="Times New Roman" w:hAnsi="Arial" w:cs="Arial"/>
                <w:color w:val="000000" w:themeColor="text1"/>
                <w:sz w:val="16"/>
                <w:szCs w:val="16"/>
                <w:lang w:eastAsia="en-GB"/>
              </w:rPr>
              <w:t>19</w:t>
            </w:r>
          </w:p>
        </w:tc>
      </w:tr>
    </w:tbl>
    <w:p w14:paraId="3FCBB6DF" w14:textId="77777777" w:rsidR="00CD6352" w:rsidRPr="00EA7665" w:rsidRDefault="00CD6352" w:rsidP="00CD6352">
      <w:r w:rsidRPr="00EA7665">
        <w:t>Not needed(1)</w:t>
      </w:r>
      <w:r w:rsidRPr="00EA7665">
        <w:tab/>
        <w:t>, Less needed(2), Needed(3),Very needed(4)Highly needed(5)</w:t>
      </w:r>
    </w:p>
    <w:p w14:paraId="05336674" w14:textId="4AC78775" w:rsidR="00CD6352" w:rsidRPr="001D4648" w:rsidRDefault="00CD6352" w:rsidP="00CD6352">
      <w:pPr>
        <w:spacing w:line="360" w:lineRule="auto"/>
        <w:rPr>
          <w:rFonts w:ascii="Arial" w:hAnsi="Arial" w:cs="Arial"/>
        </w:rPr>
      </w:pPr>
      <w:r w:rsidRPr="001D4648">
        <w:rPr>
          <w:rFonts w:ascii="Arial" w:hAnsi="Arial" w:cs="Arial"/>
        </w:rPr>
        <w:t xml:space="preserve">The data shows </w:t>
      </w:r>
      <w:r>
        <w:rPr>
          <w:rFonts w:ascii="Arial" w:hAnsi="Arial" w:cs="Arial"/>
        </w:rPr>
        <w:t>an</w:t>
      </w:r>
      <w:r w:rsidRPr="001D4648">
        <w:rPr>
          <w:rFonts w:ascii="Arial" w:hAnsi="Arial" w:cs="Arial"/>
        </w:rPr>
        <w:t xml:space="preserve"> overall mean score range of 3.36 to 3.94. This means that there is </w:t>
      </w:r>
      <w:r>
        <w:rPr>
          <w:rFonts w:ascii="Arial" w:hAnsi="Arial" w:cs="Arial"/>
        </w:rPr>
        <w:t xml:space="preserve">a </w:t>
      </w:r>
      <w:r w:rsidRPr="001D4648">
        <w:rPr>
          <w:rFonts w:ascii="Arial" w:hAnsi="Arial" w:cs="Arial"/>
        </w:rPr>
        <w:t xml:space="preserve">varying degree of need for training and education for all nineteen management competences for the present. The data shows the top five management competences for which </w:t>
      </w:r>
      <w:r w:rsidR="0045799D" w:rsidRPr="001D4648">
        <w:rPr>
          <w:rFonts w:ascii="Arial" w:hAnsi="Arial" w:cs="Arial"/>
        </w:rPr>
        <w:t>training</w:t>
      </w:r>
      <w:r w:rsidRPr="001D4648">
        <w:rPr>
          <w:rFonts w:ascii="Arial" w:hAnsi="Arial" w:cs="Arial"/>
        </w:rPr>
        <w:t xml:space="preserve"> and education </w:t>
      </w:r>
      <w:r w:rsidR="004B59F2">
        <w:rPr>
          <w:rFonts w:ascii="Arial" w:hAnsi="Arial" w:cs="Arial"/>
        </w:rPr>
        <w:t>are</w:t>
      </w:r>
      <w:r w:rsidRPr="001D4648">
        <w:rPr>
          <w:rFonts w:ascii="Arial" w:hAnsi="Arial" w:cs="Arial"/>
        </w:rPr>
        <w:t xml:space="preserve"> </w:t>
      </w:r>
      <w:r>
        <w:rPr>
          <w:rFonts w:ascii="Arial" w:hAnsi="Arial" w:cs="Arial"/>
        </w:rPr>
        <w:t xml:space="preserve">highly </w:t>
      </w:r>
      <w:r w:rsidRPr="001D4648">
        <w:rPr>
          <w:rFonts w:ascii="Arial" w:hAnsi="Arial" w:cs="Arial"/>
        </w:rPr>
        <w:t xml:space="preserve">needed for the present to </w:t>
      </w:r>
      <w:r w:rsidR="0045799D" w:rsidRPr="001D4648">
        <w:rPr>
          <w:rFonts w:ascii="Arial" w:hAnsi="Arial" w:cs="Arial"/>
        </w:rPr>
        <w:t>be:</w:t>
      </w:r>
    </w:p>
    <w:p w14:paraId="1FEE10A9" w14:textId="77777777" w:rsidR="00CD6352" w:rsidRPr="00EA7665" w:rsidRDefault="00CD6352" w:rsidP="00C74AEC">
      <w:pPr>
        <w:pStyle w:val="ListParagraph"/>
        <w:numPr>
          <w:ilvl w:val="0"/>
          <w:numId w:val="175"/>
        </w:numPr>
      </w:pPr>
      <w:r w:rsidRPr="00EA7665">
        <w:t>Leadership competence</w:t>
      </w:r>
    </w:p>
    <w:p w14:paraId="0B01F6CB" w14:textId="77777777" w:rsidR="00CD6352" w:rsidRPr="00EA7665" w:rsidRDefault="00CD6352" w:rsidP="00C74AEC">
      <w:pPr>
        <w:pStyle w:val="ListParagraph"/>
        <w:numPr>
          <w:ilvl w:val="0"/>
          <w:numId w:val="175"/>
        </w:numPr>
      </w:pPr>
      <w:r w:rsidRPr="00EA7665">
        <w:t>Managerial competences</w:t>
      </w:r>
    </w:p>
    <w:p w14:paraId="65658397" w14:textId="77777777" w:rsidR="00CD6352" w:rsidRPr="00EA7665" w:rsidRDefault="00CD6352" w:rsidP="00C74AEC">
      <w:pPr>
        <w:pStyle w:val="ListParagraph"/>
        <w:numPr>
          <w:ilvl w:val="0"/>
          <w:numId w:val="175"/>
        </w:numPr>
      </w:pPr>
      <w:r w:rsidRPr="00EA7665">
        <w:t>Planning &amp; control</w:t>
      </w:r>
    </w:p>
    <w:p w14:paraId="02761A64" w14:textId="77777777" w:rsidR="00CD6352" w:rsidRPr="00EA7665" w:rsidRDefault="00CD6352" w:rsidP="00C74AEC">
      <w:pPr>
        <w:pStyle w:val="ListParagraph"/>
        <w:numPr>
          <w:ilvl w:val="0"/>
          <w:numId w:val="175"/>
        </w:numPr>
      </w:pPr>
      <w:r w:rsidRPr="00EA7665">
        <w:t xml:space="preserve">Financial management </w:t>
      </w:r>
    </w:p>
    <w:p w14:paraId="07DF1C56" w14:textId="6B5FDFA3" w:rsidR="00CD6352" w:rsidRDefault="00CD6352" w:rsidP="00C74AEC">
      <w:pPr>
        <w:pStyle w:val="ListParagraph"/>
        <w:numPr>
          <w:ilvl w:val="0"/>
          <w:numId w:val="175"/>
        </w:numPr>
      </w:pPr>
      <w:r w:rsidRPr="00EA7665">
        <w:t>Negotiation</w:t>
      </w:r>
    </w:p>
    <w:p w14:paraId="581365C7" w14:textId="5509357C" w:rsidR="0016463A" w:rsidRDefault="0016463A" w:rsidP="0016463A">
      <w:pPr>
        <w:rPr>
          <w:rFonts w:ascii="Arial" w:hAnsi="Arial" w:cs="Arial"/>
        </w:rPr>
      </w:pPr>
      <w:r w:rsidRPr="0016463A">
        <w:rPr>
          <w:rFonts w:ascii="Arial" w:hAnsi="Arial" w:cs="Arial"/>
        </w:rPr>
        <w:t>The next segment discusses the questionnaire analysis at the disaggregate level</w:t>
      </w:r>
      <w:r w:rsidR="007A25A9">
        <w:rPr>
          <w:rFonts w:ascii="Arial" w:hAnsi="Arial" w:cs="Arial"/>
        </w:rPr>
        <w:t>. This should bring greater clarity to the need for training and education for competencies</w:t>
      </w:r>
      <w:r w:rsidR="00437D3A">
        <w:rPr>
          <w:rFonts w:ascii="Arial" w:hAnsi="Arial" w:cs="Arial"/>
        </w:rPr>
        <w:t xml:space="preserve"> for managers operating in the selected developed and emerging economies</w:t>
      </w:r>
      <w:r w:rsidRPr="0016463A">
        <w:rPr>
          <w:rFonts w:ascii="Arial" w:hAnsi="Arial" w:cs="Arial"/>
        </w:rPr>
        <w:t>.</w:t>
      </w:r>
    </w:p>
    <w:p w14:paraId="6F2428EC" w14:textId="77777777" w:rsidR="00F24B7E" w:rsidRPr="0016463A" w:rsidRDefault="00F24B7E" w:rsidP="0016463A">
      <w:pPr>
        <w:rPr>
          <w:rFonts w:ascii="Arial" w:hAnsi="Arial" w:cs="Arial"/>
        </w:rPr>
      </w:pPr>
    </w:p>
    <w:p w14:paraId="154ED6F4" w14:textId="43D2C58F" w:rsidR="00CD6352" w:rsidRPr="00EA7665" w:rsidRDefault="00CD6352" w:rsidP="00CD6352">
      <w:pPr>
        <w:pStyle w:val="Heading4"/>
        <w:rPr>
          <w:rFonts w:ascii="Arial" w:hAnsi="Arial" w:cs="Arial"/>
          <w:color w:val="auto"/>
        </w:rPr>
      </w:pPr>
      <w:r w:rsidRPr="00EA7665">
        <w:rPr>
          <w:rFonts w:ascii="Arial" w:hAnsi="Arial" w:cs="Arial"/>
          <w:color w:val="auto"/>
        </w:rPr>
        <w:lastRenderedPageBreak/>
        <w:t xml:space="preserve">Questionnaire survey discussion and analysis at the disaggregate </w:t>
      </w:r>
      <w:r w:rsidR="009E7E8A" w:rsidRPr="00EA7665">
        <w:rPr>
          <w:rFonts w:ascii="Arial" w:hAnsi="Arial" w:cs="Arial"/>
          <w:color w:val="auto"/>
        </w:rPr>
        <w:t>level.</w:t>
      </w:r>
    </w:p>
    <w:p w14:paraId="676B1224" w14:textId="1A278233" w:rsidR="00CD6352" w:rsidRPr="00EA7665" w:rsidRDefault="00CD6352" w:rsidP="00CD6352">
      <w:pPr>
        <w:pStyle w:val="Caption"/>
        <w:keepNext/>
      </w:pPr>
    </w:p>
    <w:p w14:paraId="1D8FFF4A" w14:textId="42A2D146" w:rsidR="00CD6352" w:rsidRPr="00811457" w:rsidRDefault="00CD6352" w:rsidP="00CD6352">
      <w:pPr>
        <w:spacing w:line="360" w:lineRule="auto"/>
        <w:rPr>
          <w:rFonts w:ascii="Arial" w:hAnsi="Arial" w:cs="Arial"/>
        </w:rPr>
      </w:pPr>
      <w:r w:rsidRPr="00811457">
        <w:rPr>
          <w:rFonts w:ascii="Arial" w:hAnsi="Arial" w:cs="Arial"/>
        </w:rPr>
        <w:t xml:space="preserve">The results relating to the need for training and education for management’s competences for securing finance for real estate project development for the present is contained in </w:t>
      </w:r>
      <w:r w:rsidR="001123EB">
        <w:rPr>
          <w:rFonts w:ascii="Arial" w:hAnsi="Arial" w:cs="Arial"/>
        </w:rPr>
        <w:t>Appendix 1 table 10</w:t>
      </w:r>
      <w:r w:rsidRPr="00811457">
        <w:rPr>
          <w:rFonts w:ascii="Arial" w:hAnsi="Arial" w:cs="Arial"/>
        </w:rPr>
        <w:t xml:space="preserve">. The mean score range for the data is Germany (3 to 1.5), UK (3.8 to 2.57), </w:t>
      </w:r>
      <w:r w:rsidR="00CB1D53">
        <w:rPr>
          <w:rFonts w:ascii="Arial" w:hAnsi="Arial" w:cs="Arial"/>
        </w:rPr>
        <w:t xml:space="preserve">the </w:t>
      </w:r>
      <w:r w:rsidRPr="00811457">
        <w:rPr>
          <w:rFonts w:ascii="Arial" w:hAnsi="Arial" w:cs="Arial"/>
        </w:rPr>
        <w:t xml:space="preserve">US (4 to 2), China (3.44 to 2.33), Nigeria (4.24 to 3.47) and South Africa (4.29 to 3.36). </w:t>
      </w:r>
    </w:p>
    <w:p w14:paraId="38416E42" w14:textId="6685583A" w:rsidR="00CD6352" w:rsidRPr="00811457" w:rsidRDefault="00CD6352" w:rsidP="00CD6352">
      <w:pPr>
        <w:spacing w:line="360" w:lineRule="auto"/>
        <w:rPr>
          <w:rFonts w:ascii="Arial" w:hAnsi="Arial" w:cs="Arial"/>
        </w:rPr>
      </w:pPr>
      <w:r w:rsidRPr="00811457">
        <w:rPr>
          <w:rFonts w:ascii="Arial" w:hAnsi="Arial" w:cs="Arial"/>
        </w:rPr>
        <w:t xml:space="preserve">The mean score range shows that there is </w:t>
      </w:r>
      <w:r w:rsidR="00403A50">
        <w:rPr>
          <w:rFonts w:ascii="Arial" w:hAnsi="Arial" w:cs="Arial"/>
        </w:rPr>
        <w:t xml:space="preserve">a </w:t>
      </w:r>
      <w:r w:rsidRPr="00811457">
        <w:rPr>
          <w:rFonts w:ascii="Arial" w:hAnsi="Arial" w:cs="Arial"/>
        </w:rPr>
        <w:t>significant need for training and education for the present on all nineteen competences for all the five coun</w:t>
      </w:r>
      <w:r>
        <w:rPr>
          <w:rFonts w:ascii="Arial" w:hAnsi="Arial" w:cs="Arial"/>
        </w:rPr>
        <w:t>tries</w:t>
      </w:r>
      <w:r w:rsidRPr="00811457">
        <w:rPr>
          <w:rFonts w:ascii="Arial" w:hAnsi="Arial" w:cs="Arial"/>
        </w:rPr>
        <w:t xml:space="preserve"> apart from Germany where the managers indicated they did not need training and education for result</w:t>
      </w:r>
      <w:r w:rsidR="00403A50">
        <w:rPr>
          <w:rFonts w:ascii="Arial" w:hAnsi="Arial" w:cs="Arial"/>
        </w:rPr>
        <w:t>-</w:t>
      </w:r>
      <w:r w:rsidRPr="00811457">
        <w:rPr>
          <w:rFonts w:ascii="Arial" w:hAnsi="Arial" w:cs="Arial"/>
        </w:rPr>
        <w:t xml:space="preserve">oriented, financial management and risks and opportunity. However, the top five competences for which the survey respondents indicated they </w:t>
      </w:r>
      <w:r>
        <w:rPr>
          <w:rFonts w:ascii="Arial" w:hAnsi="Arial" w:cs="Arial"/>
        </w:rPr>
        <w:t xml:space="preserve">highly </w:t>
      </w:r>
      <w:r w:rsidRPr="00811457">
        <w:rPr>
          <w:rFonts w:ascii="Arial" w:hAnsi="Arial" w:cs="Arial"/>
        </w:rPr>
        <w:t xml:space="preserve">needed training and education for the present are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11"/>
        <w:gridCol w:w="3011"/>
      </w:tblGrid>
      <w:tr w:rsidR="00CD6352" w:rsidRPr="00EA7665" w14:paraId="36662ABE" w14:textId="77777777" w:rsidTr="00CD6352">
        <w:trPr>
          <w:trHeight w:val="1527"/>
        </w:trPr>
        <w:tc>
          <w:tcPr>
            <w:tcW w:w="3080" w:type="dxa"/>
          </w:tcPr>
          <w:p w14:paraId="412FB28B" w14:textId="77777777" w:rsidR="00CD6352" w:rsidRPr="00CE1082" w:rsidRDefault="00CD6352" w:rsidP="00CD6352">
            <w:pPr>
              <w:rPr>
                <w:rFonts w:ascii="Arial" w:hAnsi="Arial" w:cs="Arial"/>
                <w:b/>
                <w:bCs/>
                <w:sz w:val="16"/>
                <w:szCs w:val="16"/>
              </w:rPr>
            </w:pPr>
            <w:r w:rsidRPr="00CE1082">
              <w:rPr>
                <w:rFonts w:ascii="Arial" w:hAnsi="Arial" w:cs="Arial"/>
                <w:b/>
                <w:bCs/>
                <w:sz w:val="16"/>
                <w:szCs w:val="16"/>
              </w:rPr>
              <w:t>Germany</w:t>
            </w:r>
          </w:p>
          <w:p w14:paraId="5DE14CCB" w14:textId="77777777" w:rsidR="00CD6352" w:rsidRPr="00EA7665" w:rsidRDefault="00CD6352" w:rsidP="00C74AEC">
            <w:pPr>
              <w:pStyle w:val="ListParagraph"/>
              <w:numPr>
                <w:ilvl w:val="0"/>
                <w:numId w:val="176"/>
              </w:numPr>
              <w:spacing w:after="0" w:line="240" w:lineRule="auto"/>
              <w:rPr>
                <w:rFonts w:ascii="Arial" w:hAnsi="Arial" w:cs="Arial"/>
                <w:sz w:val="16"/>
                <w:szCs w:val="16"/>
              </w:rPr>
            </w:pPr>
            <w:r w:rsidRPr="00EA7665">
              <w:rPr>
                <w:rFonts w:ascii="Arial" w:hAnsi="Arial" w:cs="Arial"/>
                <w:sz w:val="16"/>
                <w:szCs w:val="16"/>
              </w:rPr>
              <w:t>Planning &amp; control</w:t>
            </w:r>
          </w:p>
          <w:p w14:paraId="274C00D5" w14:textId="77777777" w:rsidR="00CD6352" w:rsidRPr="00EA7665" w:rsidRDefault="00CD6352" w:rsidP="00C74AEC">
            <w:pPr>
              <w:pStyle w:val="ListParagraph"/>
              <w:numPr>
                <w:ilvl w:val="0"/>
                <w:numId w:val="176"/>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29C8B33D" w14:textId="77777777" w:rsidR="00CD6352" w:rsidRPr="00EA7665" w:rsidRDefault="00CD6352" w:rsidP="00C74AEC">
            <w:pPr>
              <w:pStyle w:val="ListParagraph"/>
              <w:numPr>
                <w:ilvl w:val="0"/>
                <w:numId w:val="176"/>
              </w:numPr>
              <w:spacing w:after="0" w:line="240" w:lineRule="auto"/>
              <w:rPr>
                <w:rFonts w:ascii="Arial" w:hAnsi="Arial" w:cs="Arial"/>
                <w:sz w:val="16"/>
                <w:szCs w:val="16"/>
              </w:rPr>
            </w:pPr>
            <w:r w:rsidRPr="00EA7665">
              <w:rPr>
                <w:rFonts w:ascii="Arial" w:hAnsi="Arial" w:cs="Arial"/>
                <w:sz w:val="16"/>
                <w:szCs w:val="16"/>
              </w:rPr>
              <w:t>Leadership competence</w:t>
            </w:r>
          </w:p>
          <w:p w14:paraId="1390E60F" w14:textId="77777777" w:rsidR="00CD6352" w:rsidRPr="00EA7665" w:rsidRDefault="00CD6352" w:rsidP="00C74AEC">
            <w:pPr>
              <w:pStyle w:val="ListParagraph"/>
              <w:numPr>
                <w:ilvl w:val="0"/>
                <w:numId w:val="176"/>
              </w:numPr>
              <w:spacing w:after="0" w:line="240" w:lineRule="auto"/>
              <w:rPr>
                <w:rFonts w:ascii="Arial" w:hAnsi="Arial" w:cs="Arial"/>
                <w:sz w:val="16"/>
                <w:szCs w:val="16"/>
              </w:rPr>
            </w:pPr>
            <w:r w:rsidRPr="00EA7665">
              <w:rPr>
                <w:rFonts w:ascii="Arial" w:hAnsi="Arial" w:cs="Arial"/>
                <w:sz w:val="16"/>
                <w:szCs w:val="16"/>
              </w:rPr>
              <w:t>Technical competence</w:t>
            </w:r>
          </w:p>
          <w:p w14:paraId="38D67816" w14:textId="77777777" w:rsidR="00CD6352" w:rsidRPr="00EA7665" w:rsidRDefault="00CD6352" w:rsidP="00C74AEC">
            <w:pPr>
              <w:pStyle w:val="ListParagraph"/>
              <w:numPr>
                <w:ilvl w:val="0"/>
                <w:numId w:val="176"/>
              </w:numPr>
              <w:spacing w:after="0" w:line="240" w:lineRule="auto"/>
              <w:rPr>
                <w:rFonts w:ascii="Arial" w:hAnsi="Arial" w:cs="Arial"/>
                <w:sz w:val="16"/>
                <w:szCs w:val="16"/>
              </w:rPr>
            </w:pPr>
            <w:r w:rsidRPr="00EA7665">
              <w:rPr>
                <w:rFonts w:ascii="Arial" w:hAnsi="Arial" w:cs="Arial"/>
                <w:sz w:val="16"/>
                <w:szCs w:val="16"/>
              </w:rPr>
              <w:t>Ethics, compliance, and professionalism</w:t>
            </w:r>
          </w:p>
        </w:tc>
        <w:tc>
          <w:tcPr>
            <w:tcW w:w="3081" w:type="dxa"/>
          </w:tcPr>
          <w:p w14:paraId="16C9A508" w14:textId="77777777" w:rsidR="00CD6352" w:rsidRPr="00CE1082" w:rsidRDefault="00CD6352" w:rsidP="00CD6352">
            <w:pPr>
              <w:rPr>
                <w:rFonts w:ascii="Arial" w:hAnsi="Arial" w:cs="Arial"/>
                <w:b/>
                <w:bCs/>
                <w:sz w:val="16"/>
                <w:szCs w:val="16"/>
              </w:rPr>
            </w:pPr>
            <w:r w:rsidRPr="00CE1082">
              <w:rPr>
                <w:rFonts w:ascii="Arial" w:hAnsi="Arial" w:cs="Arial"/>
                <w:b/>
                <w:bCs/>
                <w:sz w:val="16"/>
                <w:szCs w:val="16"/>
              </w:rPr>
              <w:t>UK</w:t>
            </w:r>
          </w:p>
          <w:p w14:paraId="50CCF0DB" w14:textId="77777777" w:rsidR="00CD6352" w:rsidRPr="00EA7665" w:rsidRDefault="00CD6352" w:rsidP="00C74AEC">
            <w:pPr>
              <w:pStyle w:val="ListParagraph"/>
              <w:numPr>
                <w:ilvl w:val="0"/>
                <w:numId w:val="177"/>
              </w:numPr>
              <w:spacing w:after="0" w:line="240" w:lineRule="auto"/>
              <w:rPr>
                <w:rFonts w:ascii="Arial" w:hAnsi="Arial" w:cs="Arial"/>
                <w:sz w:val="16"/>
                <w:szCs w:val="16"/>
              </w:rPr>
            </w:pPr>
            <w:r w:rsidRPr="00EA7665">
              <w:rPr>
                <w:rFonts w:ascii="Arial" w:hAnsi="Arial" w:cs="Arial"/>
                <w:sz w:val="16"/>
                <w:szCs w:val="16"/>
              </w:rPr>
              <w:t>Planning &amp; control</w:t>
            </w:r>
          </w:p>
          <w:p w14:paraId="6140F04D" w14:textId="77777777" w:rsidR="00CD6352" w:rsidRPr="00EA7665" w:rsidRDefault="00CD6352" w:rsidP="00C74AEC">
            <w:pPr>
              <w:pStyle w:val="ListParagraph"/>
              <w:numPr>
                <w:ilvl w:val="0"/>
                <w:numId w:val="177"/>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134FA5A6" w14:textId="77777777" w:rsidR="00CD6352" w:rsidRPr="00EA7665" w:rsidRDefault="00CD6352" w:rsidP="00C74AEC">
            <w:pPr>
              <w:pStyle w:val="ListParagraph"/>
              <w:numPr>
                <w:ilvl w:val="0"/>
                <w:numId w:val="177"/>
              </w:numPr>
              <w:spacing w:after="0" w:line="240" w:lineRule="auto"/>
              <w:rPr>
                <w:rFonts w:ascii="Arial" w:hAnsi="Arial" w:cs="Arial"/>
                <w:sz w:val="16"/>
                <w:szCs w:val="16"/>
              </w:rPr>
            </w:pPr>
            <w:r w:rsidRPr="00EA7665">
              <w:rPr>
                <w:rFonts w:ascii="Arial" w:hAnsi="Arial" w:cs="Arial"/>
                <w:sz w:val="16"/>
                <w:szCs w:val="16"/>
              </w:rPr>
              <w:t xml:space="preserve">Negotiation </w:t>
            </w:r>
          </w:p>
          <w:p w14:paraId="71928574" w14:textId="77777777" w:rsidR="00CD6352" w:rsidRPr="00EA7665" w:rsidRDefault="00CD6352" w:rsidP="00C74AEC">
            <w:pPr>
              <w:pStyle w:val="ListParagraph"/>
              <w:numPr>
                <w:ilvl w:val="0"/>
                <w:numId w:val="177"/>
              </w:numPr>
              <w:spacing w:after="0" w:line="240" w:lineRule="auto"/>
              <w:rPr>
                <w:rFonts w:ascii="Arial" w:hAnsi="Arial" w:cs="Arial"/>
                <w:sz w:val="16"/>
                <w:szCs w:val="16"/>
              </w:rPr>
            </w:pPr>
            <w:r w:rsidRPr="00EA7665">
              <w:rPr>
                <w:rFonts w:ascii="Arial" w:hAnsi="Arial" w:cs="Arial"/>
                <w:sz w:val="16"/>
                <w:szCs w:val="16"/>
              </w:rPr>
              <w:t>Leadership competence</w:t>
            </w:r>
          </w:p>
          <w:p w14:paraId="1D169D2B" w14:textId="77777777" w:rsidR="00CD6352" w:rsidRPr="00EA7665" w:rsidRDefault="00CD6352" w:rsidP="00C74AEC">
            <w:pPr>
              <w:pStyle w:val="ListParagraph"/>
              <w:numPr>
                <w:ilvl w:val="0"/>
                <w:numId w:val="177"/>
              </w:numPr>
              <w:spacing w:after="0" w:line="240" w:lineRule="auto"/>
              <w:rPr>
                <w:rFonts w:ascii="Arial" w:hAnsi="Arial" w:cs="Arial"/>
                <w:sz w:val="16"/>
                <w:szCs w:val="16"/>
              </w:rPr>
            </w:pPr>
            <w:r w:rsidRPr="00EA7665">
              <w:rPr>
                <w:rFonts w:ascii="Arial" w:hAnsi="Arial" w:cs="Arial"/>
                <w:sz w:val="16"/>
                <w:szCs w:val="16"/>
              </w:rPr>
              <w:t>Resourcefulness</w:t>
            </w:r>
          </w:p>
        </w:tc>
        <w:tc>
          <w:tcPr>
            <w:tcW w:w="3081" w:type="dxa"/>
          </w:tcPr>
          <w:p w14:paraId="07982F00" w14:textId="77777777" w:rsidR="00CD6352" w:rsidRPr="00CE1082" w:rsidRDefault="00CD6352" w:rsidP="00CD6352">
            <w:pPr>
              <w:rPr>
                <w:rFonts w:ascii="Arial" w:hAnsi="Arial" w:cs="Arial"/>
                <w:b/>
                <w:bCs/>
                <w:sz w:val="16"/>
                <w:szCs w:val="16"/>
              </w:rPr>
            </w:pPr>
            <w:r w:rsidRPr="00CE1082">
              <w:rPr>
                <w:rFonts w:ascii="Arial" w:hAnsi="Arial" w:cs="Arial"/>
                <w:b/>
                <w:bCs/>
                <w:sz w:val="16"/>
                <w:szCs w:val="16"/>
              </w:rPr>
              <w:t>US</w:t>
            </w:r>
          </w:p>
          <w:p w14:paraId="744FC533" w14:textId="77777777" w:rsidR="00CD6352" w:rsidRPr="00EA7665" w:rsidRDefault="00CD6352" w:rsidP="00C74AEC">
            <w:pPr>
              <w:pStyle w:val="ListParagraph"/>
              <w:numPr>
                <w:ilvl w:val="0"/>
                <w:numId w:val="178"/>
              </w:numPr>
              <w:spacing w:after="0" w:line="240" w:lineRule="auto"/>
              <w:rPr>
                <w:rFonts w:ascii="Arial" w:hAnsi="Arial" w:cs="Arial"/>
                <w:sz w:val="16"/>
                <w:szCs w:val="16"/>
              </w:rPr>
            </w:pPr>
            <w:r w:rsidRPr="00EA7665">
              <w:rPr>
                <w:rFonts w:ascii="Arial" w:hAnsi="Arial" w:cs="Arial"/>
                <w:sz w:val="16"/>
                <w:szCs w:val="16"/>
              </w:rPr>
              <w:t>Planning &amp; control</w:t>
            </w:r>
          </w:p>
          <w:p w14:paraId="334D2A31" w14:textId="77777777" w:rsidR="00CD6352" w:rsidRPr="00EA7665" w:rsidRDefault="00CD6352" w:rsidP="00C74AEC">
            <w:pPr>
              <w:pStyle w:val="ListParagraph"/>
              <w:numPr>
                <w:ilvl w:val="0"/>
                <w:numId w:val="178"/>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32586C99" w14:textId="77777777" w:rsidR="00CD6352" w:rsidRPr="00EA7665" w:rsidRDefault="00CD6352" w:rsidP="00C74AEC">
            <w:pPr>
              <w:pStyle w:val="ListParagraph"/>
              <w:numPr>
                <w:ilvl w:val="0"/>
                <w:numId w:val="178"/>
              </w:numPr>
              <w:spacing w:after="0" w:line="240" w:lineRule="auto"/>
              <w:rPr>
                <w:rFonts w:ascii="Arial" w:hAnsi="Arial" w:cs="Arial"/>
                <w:sz w:val="16"/>
                <w:szCs w:val="16"/>
              </w:rPr>
            </w:pPr>
            <w:r w:rsidRPr="00EA7665">
              <w:rPr>
                <w:rFonts w:ascii="Arial" w:hAnsi="Arial" w:cs="Arial"/>
                <w:sz w:val="16"/>
                <w:szCs w:val="16"/>
              </w:rPr>
              <w:t>Ethics, compliance, and professionalism</w:t>
            </w:r>
          </w:p>
          <w:p w14:paraId="054AF869" w14:textId="77777777" w:rsidR="00CD6352" w:rsidRPr="00EA7665" w:rsidRDefault="00CD6352" w:rsidP="00C74AEC">
            <w:pPr>
              <w:pStyle w:val="ListParagraph"/>
              <w:numPr>
                <w:ilvl w:val="0"/>
                <w:numId w:val="178"/>
              </w:numPr>
              <w:spacing w:after="0" w:line="240" w:lineRule="auto"/>
              <w:rPr>
                <w:rFonts w:ascii="Arial" w:hAnsi="Arial" w:cs="Arial"/>
                <w:sz w:val="16"/>
                <w:szCs w:val="16"/>
              </w:rPr>
            </w:pPr>
            <w:r w:rsidRPr="00EA7665">
              <w:rPr>
                <w:rFonts w:ascii="Arial" w:hAnsi="Arial" w:cs="Arial"/>
                <w:sz w:val="16"/>
                <w:szCs w:val="16"/>
              </w:rPr>
              <w:t>Leadership competence</w:t>
            </w:r>
          </w:p>
          <w:p w14:paraId="28288AEB" w14:textId="77777777" w:rsidR="00CD6352" w:rsidRPr="00EA7665" w:rsidRDefault="00CD6352" w:rsidP="00C74AEC">
            <w:pPr>
              <w:pStyle w:val="ListParagraph"/>
              <w:numPr>
                <w:ilvl w:val="0"/>
                <w:numId w:val="178"/>
              </w:numPr>
              <w:spacing w:after="0" w:line="240" w:lineRule="auto"/>
              <w:rPr>
                <w:rFonts w:ascii="Arial" w:hAnsi="Arial" w:cs="Arial"/>
                <w:sz w:val="16"/>
                <w:szCs w:val="16"/>
              </w:rPr>
            </w:pPr>
            <w:r w:rsidRPr="00EA7665">
              <w:rPr>
                <w:rFonts w:ascii="Arial" w:hAnsi="Arial" w:cs="Arial"/>
                <w:sz w:val="16"/>
                <w:szCs w:val="16"/>
              </w:rPr>
              <w:t>Resourcefulness</w:t>
            </w:r>
          </w:p>
        </w:tc>
      </w:tr>
      <w:tr w:rsidR="00CD6352" w:rsidRPr="00EA7665" w14:paraId="00989120" w14:textId="77777777" w:rsidTr="00CD6352">
        <w:tc>
          <w:tcPr>
            <w:tcW w:w="3080" w:type="dxa"/>
          </w:tcPr>
          <w:p w14:paraId="08829EE8" w14:textId="77777777" w:rsidR="00CD6352" w:rsidRPr="00CE1082" w:rsidRDefault="00CD6352" w:rsidP="00CD6352">
            <w:pPr>
              <w:rPr>
                <w:rFonts w:ascii="Arial" w:hAnsi="Arial" w:cs="Arial"/>
                <w:b/>
                <w:bCs/>
                <w:sz w:val="16"/>
                <w:szCs w:val="16"/>
              </w:rPr>
            </w:pPr>
            <w:r w:rsidRPr="00CE1082">
              <w:rPr>
                <w:rFonts w:ascii="Arial" w:hAnsi="Arial" w:cs="Arial"/>
                <w:b/>
                <w:bCs/>
                <w:sz w:val="16"/>
                <w:szCs w:val="16"/>
              </w:rPr>
              <w:t>China</w:t>
            </w:r>
          </w:p>
          <w:p w14:paraId="1616E2A1" w14:textId="77777777" w:rsidR="00CD6352" w:rsidRPr="00EA7665" w:rsidRDefault="00CD6352" w:rsidP="00C74AEC">
            <w:pPr>
              <w:pStyle w:val="ListParagraph"/>
              <w:numPr>
                <w:ilvl w:val="0"/>
                <w:numId w:val="179"/>
              </w:numPr>
              <w:spacing w:after="0" w:line="240" w:lineRule="auto"/>
              <w:rPr>
                <w:rFonts w:ascii="Arial" w:hAnsi="Arial" w:cs="Arial"/>
                <w:sz w:val="16"/>
                <w:szCs w:val="16"/>
              </w:rPr>
            </w:pPr>
            <w:r w:rsidRPr="00EA7665">
              <w:rPr>
                <w:rFonts w:ascii="Arial" w:hAnsi="Arial" w:cs="Arial"/>
                <w:sz w:val="16"/>
                <w:szCs w:val="16"/>
              </w:rPr>
              <w:t>Technical competence</w:t>
            </w:r>
          </w:p>
          <w:p w14:paraId="070104BF" w14:textId="77777777" w:rsidR="00CD6352" w:rsidRPr="00EA7665" w:rsidRDefault="00CD6352" w:rsidP="00C74AEC">
            <w:pPr>
              <w:pStyle w:val="ListParagraph"/>
              <w:numPr>
                <w:ilvl w:val="0"/>
                <w:numId w:val="179"/>
              </w:numPr>
              <w:spacing w:after="0" w:line="240" w:lineRule="auto"/>
              <w:rPr>
                <w:rFonts w:ascii="Arial" w:hAnsi="Arial" w:cs="Arial"/>
                <w:sz w:val="16"/>
                <w:szCs w:val="16"/>
              </w:rPr>
            </w:pPr>
            <w:r w:rsidRPr="00EA7665">
              <w:rPr>
                <w:rFonts w:ascii="Arial" w:hAnsi="Arial" w:cs="Arial"/>
                <w:sz w:val="16"/>
                <w:szCs w:val="16"/>
              </w:rPr>
              <w:t xml:space="preserve">Negotiation </w:t>
            </w:r>
          </w:p>
          <w:p w14:paraId="4D1FC716" w14:textId="77777777" w:rsidR="00CD6352" w:rsidRPr="00EA7665" w:rsidRDefault="00CD6352" w:rsidP="00C74AEC">
            <w:pPr>
              <w:pStyle w:val="ListParagraph"/>
              <w:numPr>
                <w:ilvl w:val="0"/>
                <w:numId w:val="179"/>
              </w:numPr>
              <w:spacing w:after="0" w:line="240" w:lineRule="auto"/>
              <w:rPr>
                <w:rFonts w:ascii="Arial" w:hAnsi="Arial" w:cs="Arial"/>
                <w:sz w:val="16"/>
                <w:szCs w:val="16"/>
              </w:rPr>
            </w:pPr>
            <w:r w:rsidRPr="00EA7665">
              <w:rPr>
                <w:rFonts w:ascii="Arial" w:hAnsi="Arial" w:cs="Arial"/>
                <w:sz w:val="16"/>
                <w:szCs w:val="16"/>
              </w:rPr>
              <w:t>Leadership competence</w:t>
            </w:r>
          </w:p>
          <w:p w14:paraId="57257D91" w14:textId="77777777" w:rsidR="00CD6352" w:rsidRPr="00EA7665" w:rsidRDefault="00CD6352" w:rsidP="00C74AEC">
            <w:pPr>
              <w:pStyle w:val="ListParagraph"/>
              <w:numPr>
                <w:ilvl w:val="0"/>
                <w:numId w:val="179"/>
              </w:numPr>
              <w:spacing w:after="0" w:line="240" w:lineRule="auto"/>
              <w:rPr>
                <w:rFonts w:ascii="Arial" w:hAnsi="Arial" w:cs="Arial"/>
                <w:sz w:val="16"/>
                <w:szCs w:val="16"/>
              </w:rPr>
            </w:pPr>
            <w:r w:rsidRPr="00EA7665">
              <w:rPr>
                <w:rFonts w:ascii="Arial" w:hAnsi="Arial" w:cs="Arial"/>
                <w:sz w:val="16"/>
                <w:szCs w:val="16"/>
              </w:rPr>
              <w:t>Risk &amp; opportunity</w:t>
            </w:r>
          </w:p>
          <w:p w14:paraId="544F1710" w14:textId="77777777" w:rsidR="00CD6352" w:rsidRPr="00EA7665" w:rsidRDefault="00CD6352" w:rsidP="00C74AEC">
            <w:pPr>
              <w:numPr>
                <w:ilvl w:val="0"/>
                <w:numId w:val="179"/>
              </w:numPr>
              <w:spacing w:after="0" w:line="240" w:lineRule="auto"/>
              <w:rPr>
                <w:rFonts w:ascii="Arial" w:hAnsi="Arial" w:cs="Arial"/>
                <w:sz w:val="16"/>
                <w:szCs w:val="16"/>
              </w:rPr>
            </w:pPr>
            <w:r w:rsidRPr="00EA7665">
              <w:rPr>
                <w:rFonts w:ascii="Arial" w:hAnsi="Arial" w:cs="Arial"/>
                <w:sz w:val="16"/>
                <w:szCs w:val="16"/>
              </w:rPr>
              <w:t>Result oriented</w:t>
            </w:r>
          </w:p>
        </w:tc>
        <w:tc>
          <w:tcPr>
            <w:tcW w:w="3081" w:type="dxa"/>
          </w:tcPr>
          <w:p w14:paraId="7934B686" w14:textId="77777777" w:rsidR="00CD6352" w:rsidRPr="00CE1082" w:rsidRDefault="00CD6352" w:rsidP="00CD6352">
            <w:pPr>
              <w:rPr>
                <w:rFonts w:ascii="Arial" w:hAnsi="Arial" w:cs="Arial"/>
                <w:b/>
                <w:bCs/>
                <w:sz w:val="16"/>
                <w:szCs w:val="16"/>
              </w:rPr>
            </w:pPr>
            <w:r w:rsidRPr="00CE1082">
              <w:rPr>
                <w:rFonts w:ascii="Arial" w:hAnsi="Arial" w:cs="Arial"/>
                <w:b/>
                <w:bCs/>
                <w:sz w:val="16"/>
                <w:szCs w:val="16"/>
              </w:rPr>
              <w:t>Nigeria</w:t>
            </w:r>
          </w:p>
          <w:p w14:paraId="764B1A3A" w14:textId="77777777" w:rsidR="00CD6352" w:rsidRPr="00EA7665" w:rsidRDefault="00CD6352" w:rsidP="00C74AEC">
            <w:pPr>
              <w:pStyle w:val="ListParagraph"/>
              <w:numPr>
                <w:ilvl w:val="0"/>
                <w:numId w:val="180"/>
              </w:numPr>
              <w:spacing w:after="0" w:line="240" w:lineRule="auto"/>
              <w:rPr>
                <w:rFonts w:ascii="Arial" w:hAnsi="Arial" w:cs="Arial"/>
                <w:sz w:val="16"/>
                <w:szCs w:val="16"/>
              </w:rPr>
            </w:pPr>
            <w:r w:rsidRPr="00EA7665">
              <w:rPr>
                <w:rFonts w:ascii="Arial" w:hAnsi="Arial" w:cs="Arial"/>
                <w:sz w:val="16"/>
                <w:szCs w:val="16"/>
              </w:rPr>
              <w:t xml:space="preserve">Financial management </w:t>
            </w:r>
          </w:p>
          <w:p w14:paraId="3A3A2479" w14:textId="77777777" w:rsidR="00CD6352" w:rsidRPr="00EA7665" w:rsidRDefault="00CD6352" w:rsidP="00C74AEC">
            <w:pPr>
              <w:pStyle w:val="ListParagraph"/>
              <w:numPr>
                <w:ilvl w:val="0"/>
                <w:numId w:val="180"/>
              </w:numPr>
              <w:spacing w:after="0" w:line="240" w:lineRule="auto"/>
              <w:rPr>
                <w:rFonts w:ascii="Arial" w:hAnsi="Arial" w:cs="Arial"/>
                <w:sz w:val="16"/>
                <w:szCs w:val="16"/>
              </w:rPr>
            </w:pPr>
            <w:r w:rsidRPr="00EA7665">
              <w:rPr>
                <w:rFonts w:ascii="Arial" w:hAnsi="Arial" w:cs="Arial"/>
                <w:sz w:val="16"/>
                <w:szCs w:val="16"/>
              </w:rPr>
              <w:t>Leadership competence</w:t>
            </w:r>
          </w:p>
          <w:p w14:paraId="6396041B" w14:textId="77777777" w:rsidR="00CD6352" w:rsidRPr="00EA7665" w:rsidRDefault="00CD6352" w:rsidP="00C74AEC">
            <w:pPr>
              <w:pStyle w:val="ListParagraph"/>
              <w:numPr>
                <w:ilvl w:val="0"/>
                <w:numId w:val="180"/>
              </w:numPr>
              <w:spacing w:after="0" w:line="240" w:lineRule="auto"/>
              <w:rPr>
                <w:rFonts w:ascii="Arial" w:hAnsi="Arial" w:cs="Arial"/>
                <w:sz w:val="16"/>
                <w:szCs w:val="16"/>
              </w:rPr>
            </w:pPr>
            <w:r w:rsidRPr="00EA7665">
              <w:rPr>
                <w:rFonts w:ascii="Arial" w:hAnsi="Arial" w:cs="Arial"/>
                <w:sz w:val="16"/>
                <w:szCs w:val="16"/>
              </w:rPr>
              <w:t>Planning &amp; control</w:t>
            </w:r>
          </w:p>
          <w:p w14:paraId="0D286AF6" w14:textId="77777777" w:rsidR="00CD6352" w:rsidRPr="00EA7665" w:rsidRDefault="00CD6352" w:rsidP="00C74AEC">
            <w:pPr>
              <w:pStyle w:val="ListParagraph"/>
              <w:numPr>
                <w:ilvl w:val="0"/>
                <w:numId w:val="180"/>
              </w:numPr>
              <w:spacing w:after="0" w:line="240" w:lineRule="auto"/>
              <w:rPr>
                <w:rFonts w:ascii="Arial" w:hAnsi="Arial" w:cs="Arial"/>
                <w:sz w:val="16"/>
                <w:szCs w:val="16"/>
              </w:rPr>
            </w:pPr>
            <w:r w:rsidRPr="00EA7665">
              <w:rPr>
                <w:rFonts w:ascii="Arial" w:hAnsi="Arial" w:cs="Arial"/>
                <w:sz w:val="16"/>
                <w:szCs w:val="16"/>
              </w:rPr>
              <w:t xml:space="preserve">Negotiation </w:t>
            </w:r>
          </w:p>
          <w:p w14:paraId="629C091A" w14:textId="77777777" w:rsidR="00CD6352" w:rsidRPr="00EA7665" w:rsidRDefault="00CD6352" w:rsidP="00C74AEC">
            <w:pPr>
              <w:pStyle w:val="ListParagraph"/>
              <w:numPr>
                <w:ilvl w:val="0"/>
                <w:numId w:val="180"/>
              </w:numPr>
              <w:spacing w:after="0" w:line="240" w:lineRule="auto"/>
              <w:rPr>
                <w:rFonts w:ascii="Arial" w:hAnsi="Arial" w:cs="Arial"/>
                <w:sz w:val="16"/>
                <w:szCs w:val="16"/>
              </w:rPr>
            </w:pPr>
            <w:r w:rsidRPr="00EA7665">
              <w:rPr>
                <w:rFonts w:ascii="Arial" w:hAnsi="Arial" w:cs="Arial"/>
                <w:sz w:val="16"/>
                <w:szCs w:val="16"/>
              </w:rPr>
              <w:t>Managerial competences</w:t>
            </w:r>
          </w:p>
        </w:tc>
        <w:tc>
          <w:tcPr>
            <w:tcW w:w="3081" w:type="dxa"/>
          </w:tcPr>
          <w:p w14:paraId="17160AF5" w14:textId="77777777" w:rsidR="00CD6352" w:rsidRPr="00CE1082" w:rsidRDefault="00CD6352" w:rsidP="00CD6352">
            <w:pPr>
              <w:rPr>
                <w:rFonts w:ascii="Arial" w:hAnsi="Arial" w:cs="Arial"/>
                <w:b/>
                <w:bCs/>
                <w:sz w:val="16"/>
                <w:szCs w:val="16"/>
              </w:rPr>
            </w:pPr>
            <w:r w:rsidRPr="00CE1082">
              <w:rPr>
                <w:rFonts w:ascii="Arial" w:hAnsi="Arial" w:cs="Arial"/>
                <w:b/>
                <w:bCs/>
                <w:sz w:val="16"/>
                <w:szCs w:val="16"/>
              </w:rPr>
              <w:t>South Africa</w:t>
            </w:r>
          </w:p>
          <w:p w14:paraId="43AF0AAE" w14:textId="77777777" w:rsidR="00CD6352" w:rsidRPr="00EA7665" w:rsidRDefault="00CD6352" w:rsidP="00C74AEC">
            <w:pPr>
              <w:pStyle w:val="ListParagraph"/>
              <w:numPr>
                <w:ilvl w:val="0"/>
                <w:numId w:val="181"/>
              </w:numPr>
              <w:spacing w:after="0" w:line="240" w:lineRule="auto"/>
              <w:rPr>
                <w:rFonts w:ascii="Arial" w:hAnsi="Arial" w:cs="Arial"/>
                <w:sz w:val="16"/>
                <w:szCs w:val="16"/>
              </w:rPr>
            </w:pPr>
            <w:r w:rsidRPr="00EA7665">
              <w:rPr>
                <w:rFonts w:ascii="Arial" w:hAnsi="Arial" w:cs="Arial"/>
                <w:sz w:val="16"/>
                <w:szCs w:val="16"/>
              </w:rPr>
              <w:t>Business case</w:t>
            </w:r>
          </w:p>
          <w:p w14:paraId="2D399F76" w14:textId="77777777" w:rsidR="00CD6352" w:rsidRPr="00EA7665" w:rsidRDefault="00CD6352" w:rsidP="00C74AEC">
            <w:pPr>
              <w:pStyle w:val="ListParagraph"/>
              <w:numPr>
                <w:ilvl w:val="0"/>
                <w:numId w:val="181"/>
              </w:numPr>
              <w:spacing w:after="0" w:line="240" w:lineRule="auto"/>
              <w:rPr>
                <w:rFonts w:ascii="Arial" w:hAnsi="Arial" w:cs="Arial"/>
                <w:sz w:val="16"/>
                <w:szCs w:val="16"/>
              </w:rPr>
            </w:pPr>
            <w:r w:rsidRPr="00EA7665">
              <w:rPr>
                <w:rFonts w:ascii="Arial" w:hAnsi="Arial" w:cs="Arial"/>
                <w:sz w:val="16"/>
                <w:szCs w:val="16"/>
              </w:rPr>
              <w:t>Leadership competence</w:t>
            </w:r>
          </w:p>
          <w:p w14:paraId="16A73B13" w14:textId="77777777" w:rsidR="00CD6352" w:rsidRPr="00EA7665" w:rsidRDefault="00CD6352" w:rsidP="00C74AEC">
            <w:pPr>
              <w:pStyle w:val="ListParagraph"/>
              <w:numPr>
                <w:ilvl w:val="0"/>
                <w:numId w:val="181"/>
              </w:numPr>
              <w:spacing w:after="0" w:line="240" w:lineRule="auto"/>
              <w:rPr>
                <w:rFonts w:ascii="Arial" w:hAnsi="Arial" w:cs="Arial"/>
                <w:sz w:val="16"/>
                <w:szCs w:val="16"/>
              </w:rPr>
            </w:pPr>
            <w:r w:rsidRPr="00EA7665">
              <w:rPr>
                <w:rFonts w:ascii="Arial" w:hAnsi="Arial" w:cs="Arial"/>
                <w:sz w:val="16"/>
                <w:szCs w:val="16"/>
              </w:rPr>
              <w:t>Managerial competences</w:t>
            </w:r>
          </w:p>
          <w:p w14:paraId="28920D23" w14:textId="77777777" w:rsidR="00CD6352" w:rsidRPr="00EA7665" w:rsidRDefault="00CD6352" w:rsidP="00C74AEC">
            <w:pPr>
              <w:pStyle w:val="ListParagraph"/>
              <w:numPr>
                <w:ilvl w:val="0"/>
                <w:numId w:val="181"/>
              </w:numPr>
              <w:spacing w:after="0" w:line="240" w:lineRule="auto"/>
              <w:rPr>
                <w:rFonts w:ascii="Arial" w:hAnsi="Arial" w:cs="Arial"/>
                <w:sz w:val="16"/>
                <w:szCs w:val="16"/>
              </w:rPr>
            </w:pPr>
            <w:r w:rsidRPr="00EA7665">
              <w:rPr>
                <w:rFonts w:ascii="Arial" w:hAnsi="Arial" w:cs="Arial"/>
                <w:sz w:val="16"/>
                <w:szCs w:val="16"/>
              </w:rPr>
              <w:t>Planning &amp; control</w:t>
            </w:r>
          </w:p>
          <w:p w14:paraId="060ECB44" w14:textId="77777777" w:rsidR="00CD6352" w:rsidRPr="00EA7665" w:rsidRDefault="00CD6352" w:rsidP="00C74AEC">
            <w:pPr>
              <w:pStyle w:val="ListParagraph"/>
              <w:numPr>
                <w:ilvl w:val="0"/>
                <w:numId w:val="181"/>
              </w:numPr>
              <w:spacing w:after="0" w:line="240" w:lineRule="auto"/>
              <w:rPr>
                <w:rFonts w:ascii="Arial" w:hAnsi="Arial" w:cs="Arial"/>
                <w:sz w:val="16"/>
                <w:szCs w:val="16"/>
              </w:rPr>
            </w:pPr>
            <w:r w:rsidRPr="00EA7665">
              <w:rPr>
                <w:rFonts w:ascii="Arial" w:hAnsi="Arial" w:cs="Arial"/>
                <w:sz w:val="16"/>
                <w:szCs w:val="16"/>
              </w:rPr>
              <w:t>Negotiation</w:t>
            </w:r>
          </w:p>
        </w:tc>
      </w:tr>
    </w:tbl>
    <w:p w14:paraId="78042C8C" w14:textId="77777777" w:rsidR="00CD6352" w:rsidRPr="00EA7665" w:rsidRDefault="00CD6352" w:rsidP="00CD6352">
      <w:pPr>
        <w:rPr>
          <w:rFonts w:ascii="Arial" w:hAnsi="Arial" w:cs="Arial"/>
        </w:rPr>
      </w:pPr>
    </w:p>
    <w:p w14:paraId="17A8F569" w14:textId="77777777" w:rsidR="00CD6352" w:rsidRPr="00EA7665" w:rsidRDefault="00CD6352" w:rsidP="00EF0535"/>
    <w:p w14:paraId="47DB854D" w14:textId="77777777" w:rsidR="00CD6352" w:rsidRPr="00EA7665" w:rsidRDefault="00CD6352" w:rsidP="00CD6352">
      <w:pPr>
        <w:pStyle w:val="Heading3"/>
        <w:rPr>
          <w:sz w:val="22"/>
          <w:szCs w:val="22"/>
        </w:rPr>
      </w:pPr>
      <w:bookmarkStart w:id="1362" w:name="_Toc78983911"/>
      <w:r w:rsidRPr="00EA7665">
        <w:rPr>
          <w:sz w:val="22"/>
          <w:szCs w:val="22"/>
        </w:rPr>
        <w:t>The degree of need for training and education for management competences for securing finance for the future (next five years)</w:t>
      </w:r>
      <w:bookmarkEnd w:id="1362"/>
    </w:p>
    <w:p w14:paraId="4B95B1BD" w14:textId="77777777" w:rsidR="00CD6352" w:rsidRPr="00EA7665" w:rsidRDefault="00CD6352" w:rsidP="00CD6352"/>
    <w:p w14:paraId="48D08689" w14:textId="77777777" w:rsidR="00CD6352" w:rsidRPr="00EA7665" w:rsidRDefault="00CD6352" w:rsidP="00CD6352">
      <w:pPr>
        <w:pStyle w:val="Heading4"/>
        <w:rPr>
          <w:rFonts w:ascii="Arial" w:hAnsi="Arial" w:cs="Arial"/>
          <w:color w:val="auto"/>
        </w:rPr>
      </w:pPr>
      <w:r w:rsidRPr="00EA7665">
        <w:rPr>
          <w:rFonts w:ascii="Arial" w:hAnsi="Arial" w:cs="Arial"/>
          <w:color w:val="auto"/>
        </w:rPr>
        <w:t>Questionnaire survey discussion and analysis at the aggregate level</w:t>
      </w:r>
    </w:p>
    <w:p w14:paraId="02C61EAC" w14:textId="77777777" w:rsidR="00CD6352" w:rsidRPr="00EA7665" w:rsidRDefault="00CD6352" w:rsidP="00CD6352"/>
    <w:p w14:paraId="038A1E63" w14:textId="5F16E33B" w:rsidR="00CD6352" w:rsidRPr="00EA7665" w:rsidRDefault="00CD6352" w:rsidP="00CD6352">
      <w:pPr>
        <w:spacing w:line="360" w:lineRule="auto"/>
        <w:rPr>
          <w:rFonts w:ascii="Arial" w:hAnsi="Arial" w:cs="Arial"/>
        </w:rPr>
      </w:pPr>
      <w:r w:rsidRPr="00EA7665">
        <w:rPr>
          <w:rFonts w:ascii="Arial" w:hAnsi="Arial" w:cs="Arial"/>
        </w:rPr>
        <w:t xml:space="preserve">The findings </w:t>
      </w:r>
      <w:r w:rsidR="001204BD" w:rsidRPr="00EA7665">
        <w:rPr>
          <w:rFonts w:ascii="Arial" w:hAnsi="Arial" w:cs="Arial"/>
        </w:rPr>
        <w:t xml:space="preserve">for </w:t>
      </w:r>
      <w:r w:rsidR="00403A50">
        <w:rPr>
          <w:rFonts w:ascii="Arial" w:hAnsi="Arial" w:cs="Arial"/>
        </w:rPr>
        <w:t xml:space="preserve">the </w:t>
      </w:r>
      <w:r w:rsidR="001204BD" w:rsidRPr="00EA7665">
        <w:rPr>
          <w:rFonts w:ascii="Arial" w:hAnsi="Arial" w:cs="Arial"/>
        </w:rPr>
        <w:t>degree</w:t>
      </w:r>
      <w:r w:rsidRPr="00EA7665">
        <w:rPr>
          <w:rFonts w:ascii="Arial" w:hAnsi="Arial" w:cs="Arial"/>
        </w:rPr>
        <w:t xml:space="preserve"> of training and education for competences for securing </w:t>
      </w:r>
      <w:r>
        <w:rPr>
          <w:rFonts w:ascii="Arial" w:hAnsi="Arial" w:cs="Arial"/>
        </w:rPr>
        <w:t xml:space="preserve">real estate development </w:t>
      </w:r>
      <w:r w:rsidRPr="00EA7665">
        <w:rPr>
          <w:rFonts w:ascii="Arial" w:hAnsi="Arial" w:cs="Arial"/>
        </w:rPr>
        <w:t>finance for the future (next five years) is contained in table 8:</w:t>
      </w:r>
      <w:r w:rsidR="001204BD">
        <w:rPr>
          <w:rFonts w:ascii="Arial" w:hAnsi="Arial" w:cs="Arial"/>
        </w:rPr>
        <w:t>4.</w:t>
      </w:r>
      <w:r w:rsidR="003A437D">
        <w:rPr>
          <w:rFonts w:ascii="Arial" w:hAnsi="Arial" w:cs="Arial"/>
        </w:rPr>
        <w:t>5</w:t>
      </w:r>
      <w:r w:rsidRPr="00EA7665">
        <w:rPr>
          <w:rFonts w:ascii="Arial" w:hAnsi="Arial" w:cs="Arial"/>
        </w:rPr>
        <w:t>. The data shows that 50%</w:t>
      </w:r>
      <w:r>
        <w:rPr>
          <w:rFonts w:ascii="Arial" w:hAnsi="Arial" w:cs="Arial"/>
        </w:rPr>
        <w:t xml:space="preserve"> </w:t>
      </w:r>
      <w:r w:rsidRPr="00EA7665">
        <w:rPr>
          <w:rFonts w:ascii="Arial" w:hAnsi="Arial" w:cs="Arial"/>
        </w:rPr>
        <w:t xml:space="preserve">of </w:t>
      </w:r>
      <w:r w:rsidR="001204BD" w:rsidRPr="00EA7665">
        <w:rPr>
          <w:rFonts w:ascii="Arial" w:hAnsi="Arial" w:cs="Arial"/>
        </w:rPr>
        <w:t>the survey</w:t>
      </w:r>
      <w:r w:rsidRPr="00EA7665">
        <w:rPr>
          <w:rFonts w:ascii="Arial" w:hAnsi="Arial" w:cs="Arial"/>
        </w:rPr>
        <w:t xml:space="preserve"> respondents at the aggregate level are of the view that they need training and education in leadership </w:t>
      </w:r>
      <w:r w:rsidR="001204BD" w:rsidRPr="00EA7665">
        <w:rPr>
          <w:rFonts w:ascii="Arial" w:hAnsi="Arial" w:cs="Arial"/>
        </w:rPr>
        <w:t>competences,</w:t>
      </w:r>
      <w:r>
        <w:rPr>
          <w:rFonts w:ascii="Arial" w:hAnsi="Arial" w:cs="Arial"/>
        </w:rPr>
        <w:t xml:space="preserve"> th</w:t>
      </w:r>
      <w:r w:rsidRPr="00EA7665">
        <w:rPr>
          <w:rFonts w:ascii="Arial" w:hAnsi="Arial" w:cs="Arial"/>
        </w:rPr>
        <w:t>is is followed by financial management (48.5%), Resourcefulness (44.1%), Compliance management (42.4%) and planning and control (40%).</w:t>
      </w:r>
      <w:r w:rsidR="001204BD">
        <w:rPr>
          <w:rFonts w:ascii="Arial" w:hAnsi="Arial" w:cs="Arial"/>
        </w:rPr>
        <w:t xml:space="preserve"> </w:t>
      </w:r>
      <w:r w:rsidRPr="00EA7665">
        <w:rPr>
          <w:rFonts w:ascii="Arial" w:hAnsi="Arial" w:cs="Arial"/>
        </w:rPr>
        <w:t>While</w:t>
      </w:r>
      <w:r w:rsidR="003A437D">
        <w:rPr>
          <w:rFonts w:ascii="Arial" w:hAnsi="Arial" w:cs="Arial"/>
        </w:rPr>
        <w:t>,</w:t>
      </w:r>
      <w:r w:rsidRPr="00EA7665">
        <w:rPr>
          <w:rFonts w:ascii="Arial" w:hAnsi="Arial" w:cs="Arial"/>
        </w:rPr>
        <w:t xml:space="preserve"> </w:t>
      </w:r>
      <w:r w:rsidR="00CC6BE9" w:rsidRPr="00EA7665">
        <w:rPr>
          <w:rFonts w:ascii="Arial" w:hAnsi="Arial" w:cs="Arial"/>
        </w:rPr>
        <w:t>the competences</w:t>
      </w:r>
      <w:r w:rsidRPr="00EA7665">
        <w:rPr>
          <w:rFonts w:ascii="Arial" w:hAnsi="Arial" w:cs="Arial"/>
        </w:rPr>
        <w:t xml:space="preserve"> for which training and education is </w:t>
      </w:r>
      <w:r>
        <w:rPr>
          <w:rFonts w:ascii="Arial" w:hAnsi="Arial" w:cs="Arial"/>
        </w:rPr>
        <w:t xml:space="preserve">least highly </w:t>
      </w:r>
      <w:r w:rsidRPr="00EA7665">
        <w:rPr>
          <w:rFonts w:ascii="Arial" w:hAnsi="Arial" w:cs="Arial"/>
        </w:rPr>
        <w:t xml:space="preserve">needed for the future at the aggregate level are managerial </w:t>
      </w:r>
      <w:r w:rsidR="00DC378C" w:rsidRPr="00EA7665">
        <w:rPr>
          <w:rFonts w:ascii="Arial" w:hAnsi="Arial" w:cs="Arial"/>
        </w:rPr>
        <w:t>competence (</w:t>
      </w:r>
      <w:r w:rsidRPr="00EA7665">
        <w:rPr>
          <w:rFonts w:ascii="Arial" w:hAnsi="Arial" w:cs="Arial"/>
        </w:rPr>
        <w:t>23.8%), politics and use of power (23.5%). Independence assurance (21.9%) and asset allocation (21.2%).</w:t>
      </w:r>
    </w:p>
    <w:p w14:paraId="64BC7965" w14:textId="77777777" w:rsidR="00CD6352" w:rsidRPr="00EA7665" w:rsidRDefault="00CD6352" w:rsidP="00CD6352"/>
    <w:p w14:paraId="731DD542" w14:textId="6F1318E9" w:rsidR="00CE1082" w:rsidRPr="00CE1082" w:rsidRDefault="00CE1082" w:rsidP="00CE1082">
      <w:pPr>
        <w:pStyle w:val="Caption"/>
        <w:keepNext/>
        <w:rPr>
          <w:rFonts w:ascii="Arial" w:hAnsi="Arial" w:cs="Arial"/>
          <w:sz w:val="16"/>
          <w:szCs w:val="16"/>
        </w:rPr>
      </w:pPr>
      <w:bookmarkStart w:id="1363" w:name="_Toc78984019"/>
      <w:r w:rsidRPr="00CE1082">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5</w:t>
      </w:r>
      <w:r w:rsidR="008F25B1">
        <w:rPr>
          <w:rFonts w:ascii="Arial" w:hAnsi="Arial" w:cs="Arial"/>
          <w:sz w:val="16"/>
          <w:szCs w:val="16"/>
        </w:rPr>
        <w:fldChar w:fldCharType="end"/>
      </w:r>
      <w:r w:rsidRPr="00CE1082">
        <w:rPr>
          <w:rFonts w:ascii="Arial" w:hAnsi="Arial" w:cs="Arial"/>
          <w:sz w:val="16"/>
          <w:szCs w:val="16"/>
        </w:rPr>
        <w:t>: The degree of need for training and education for management Competences for securing finance for the future (next five years)</w:t>
      </w:r>
      <w:bookmarkEnd w:id="1363"/>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97"/>
        <w:gridCol w:w="930"/>
        <w:gridCol w:w="984"/>
        <w:gridCol w:w="777"/>
        <w:gridCol w:w="979"/>
        <w:gridCol w:w="1049"/>
      </w:tblGrid>
      <w:tr w:rsidR="00CD6352" w:rsidRPr="00CE1082" w14:paraId="0C265759" w14:textId="77777777" w:rsidTr="00CD6352">
        <w:tc>
          <w:tcPr>
            <w:tcW w:w="0" w:type="auto"/>
            <w:vMerge w:val="restart"/>
          </w:tcPr>
          <w:p w14:paraId="2329AFD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Competences</w:t>
            </w:r>
          </w:p>
        </w:tc>
        <w:tc>
          <w:tcPr>
            <w:tcW w:w="0" w:type="auto"/>
            <w:gridSpan w:val="5"/>
          </w:tcPr>
          <w:p w14:paraId="114B2DB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Need for training &amp; education for the future</w:t>
            </w:r>
          </w:p>
        </w:tc>
      </w:tr>
      <w:tr w:rsidR="00CD6352" w:rsidRPr="00CE1082" w14:paraId="5E938859" w14:textId="77777777" w:rsidTr="00CD6352">
        <w:tc>
          <w:tcPr>
            <w:tcW w:w="0" w:type="auto"/>
            <w:vMerge/>
          </w:tcPr>
          <w:p w14:paraId="35F1A0D6" w14:textId="77777777" w:rsidR="00CD6352" w:rsidRPr="00CE1082" w:rsidRDefault="00CD6352" w:rsidP="00CD6352">
            <w:pPr>
              <w:jc w:val="both"/>
              <w:rPr>
                <w:rFonts w:ascii="Arial" w:hAnsi="Arial" w:cs="Arial"/>
                <w:sz w:val="16"/>
                <w:szCs w:val="16"/>
              </w:rPr>
            </w:pPr>
          </w:p>
        </w:tc>
        <w:tc>
          <w:tcPr>
            <w:tcW w:w="0" w:type="auto"/>
          </w:tcPr>
          <w:p w14:paraId="11B411B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Not needed</w:t>
            </w:r>
          </w:p>
        </w:tc>
        <w:tc>
          <w:tcPr>
            <w:tcW w:w="0" w:type="auto"/>
          </w:tcPr>
          <w:p w14:paraId="4418DA3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Less needed</w:t>
            </w:r>
          </w:p>
        </w:tc>
        <w:tc>
          <w:tcPr>
            <w:tcW w:w="0" w:type="auto"/>
          </w:tcPr>
          <w:p w14:paraId="087790E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Needed</w:t>
            </w:r>
          </w:p>
        </w:tc>
        <w:tc>
          <w:tcPr>
            <w:tcW w:w="0" w:type="auto"/>
          </w:tcPr>
          <w:p w14:paraId="6DFE8E2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Very needed</w:t>
            </w:r>
          </w:p>
        </w:tc>
        <w:tc>
          <w:tcPr>
            <w:tcW w:w="0" w:type="auto"/>
          </w:tcPr>
          <w:p w14:paraId="599FB29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Highly needed</w:t>
            </w:r>
          </w:p>
        </w:tc>
      </w:tr>
      <w:tr w:rsidR="00CD6352" w:rsidRPr="00CE1082" w14:paraId="5CE6B0C1" w14:textId="77777777" w:rsidTr="00CD6352">
        <w:tc>
          <w:tcPr>
            <w:tcW w:w="0" w:type="auto"/>
          </w:tcPr>
          <w:p w14:paraId="5CE2A655" w14:textId="77777777" w:rsidR="00CD6352" w:rsidRPr="00CE1082" w:rsidRDefault="00CD6352" w:rsidP="00CD6352">
            <w:pPr>
              <w:jc w:val="both"/>
              <w:rPr>
                <w:rFonts w:ascii="Arial" w:hAnsi="Arial" w:cs="Arial"/>
                <w:sz w:val="16"/>
                <w:szCs w:val="16"/>
              </w:rPr>
            </w:pPr>
          </w:p>
        </w:tc>
        <w:tc>
          <w:tcPr>
            <w:tcW w:w="0" w:type="auto"/>
            <w:gridSpan w:val="5"/>
          </w:tcPr>
          <w:p w14:paraId="7E13E93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Percentage %</w:t>
            </w:r>
          </w:p>
        </w:tc>
      </w:tr>
      <w:tr w:rsidR="00CD6352" w:rsidRPr="00CE1082" w14:paraId="64A0A5F7" w14:textId="77777777" w:rsidTr="00CD6352">
        <w:tc>
          <w:tcPr>
            <w:tcW w:w="0" w:type="auto"/>
          </w:tcPr>
          <w:p w14:paraId="613348A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Asset allocation</w:t>
            </w:r>
          </w:p>
        </w:tc>
        <w:tc>
          <w:tcPr>
            <w:tcW w:w="0" w:type="auto"/>
          </w:tcPr>
          <w:p w14:paraId="07763E3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3.0</w:t>
            </w:r>
          </w:p>
        </w:tc>
        <w:tc>
          <w:tcPr>
            <w:tcW w:w="0" w:type="auto"/>
          </w:tcPr>
          <w:p w14:paraId="5E3D121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9.1</w:t>
            </w:r>
          </w:p>
        </w:tc>
        <w:tc>
          <w:tcPr>
            <w:tcW w:w="0" w:type="auto"/>
          </w:tcPr>
          <w:p w14:paraId="67EB6427"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36.4</w:t>
            </w:r>
          </w:p>
        </w:tc>
        <w:tc>
          <w:tcPr>
            <w:tcW w:w="0" w:type="auto"/>
          </w:tcPr>
          <w:p w14:paraId="4C6E12A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30.3</w:t>
            </w:r>
          </w:p>
        </w:tc>
        <w:tc>
          <w:tcPr>
            <w:tcW w:w="0" w:type="auto"/>
          </w:tcPr>
          <w:p w14:paraId="35CF168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21.2</w:t>
            </w:r>
          </w:p>
        </w:tc>
      </w:tr>
      <w:tr w:rsidR="00CD6352" w:rsidRPr="00CE1082" w14:paraId="299C9E53" w14:textId="77777777" w:rsidTr="00CD6352">
        <w:tc>
          <w:tcPr>
            <w:tcW w:w="0" w:type="auto"/>
          </w:tcPr>
          <w:p w14:paraId="020BDBE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Business case</w:t>
            </w:r>
          </w:p>
        </w:tc>
        <w:tc>
          <w:tcPr>
            <w:tcW w:w="0" w:type="auto"/>
          </w:tcPr>
          <w:p w14:paraId="1C0031B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9.4</w:t>
            </w:r>
          </w:p>
        </w:tc>
        <w:tc>
          <w:tcPr>
            <w:tcW w:w="0" w:type="auto"/>
          </w:tcPr>
          <w:p w14:paraId="4E7F280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12.5</w:t>
            </w:r>
          </w:p>
        </w:tc>
        <w:tc>
          <w:tcPr>
            <w:tcW w:w="0" w:type="auto"/>
          </w:tcPr>
          <w:p w14:paraId="7F302F8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21.9</w:t>
            </w:r>
          </w:p>
        </w:tc>
        <w:tc>
          <w:tcPr>
            <w:tcW w:w="0" w:type="auto"/>
          </w:tcPr>
          <w:p w14:paraId="769CE9D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25.0</w:t>
            </w:r>
          </w:p>
        </w:tc>
        <w:tc>
          <w:tcPr>
            <w:tcW w:w="0" w:type="auto"/>
          </w:tcPr>
          <w:p w14:paraId="7CC4EBF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31.3</w:t>
            </w:r>
          </w:p>
        </w:tc>
      </w:tr>
      <w:tr w:rsidR="00CD6352" w:rsidRPr="00CE1082" w14:paraId="1817D877" w14:textId="77777777" w:rsidTr="00CD6352">
        <w:tc>
          <w:tcPr>
            <w:tcW w:w="0" w:type="auto"/>
          </w:tcPr>
          <w:p w14:paraId="78728FE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Capability development</w:t>
            </w:r>
          </w:p>
        </w:tc>
        <w:tc>
          <w:tcPr>
            <w:tcW w:w="0" w:type="auto"/>
          </w:tcPr>
          <w:p w14:paraId="5E082C4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2.9</w:t>
            </w:r>
          </w:p>
        </w:tc>
        <w:tc>
          <w:tcPr>
            <w:tcW w:w="0" w:type="auto"/>
          </w:tcPr>
          <w:p w14:paraId="7A98383F"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8.8</w:t>
            </w:r>
          </w:p>
        </w:tc>
        <w:tc>
          <w:tcPr>
            <w:tcW w:w="0" w:type="auto"/>
          </w:tcPr>
          <w:p w14:paraId="3CB2C48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32.4</w:t>
            </w:r>
          </w:p>
        </w:tc>
        <w:tc>
          <w:tcPr>
            <w:tcW w:w="0" w:type="auto"/>
          </w:tcPr>
          <w:p w14:paraId="3129F11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20.6</w:t>
            </w:r>
          </w:p>
        </w:tc>
        <w:tc>
          <w:tcPr>
            <w:tcW w:w="0" w:type="auto"/>
          </w:tcPr>
          <w:p w14:paraId="3111EF58"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35.3</w:t>
            </w:r>
          </w:p>
        </w:tc>
      </w:tr>
      <w:tr w:rsidR="00CD6352" w:rsidRPr="00CE1082" w14:paraId="3DFBFDEC" w14:textId="77777777" w:rsidTr="00CD6352">
        <w:tc>
          <w:tcPr>
            <w:tcW w:w="0" w:type="auto"/>
          </w:tcPr>
          <w:p w14:paraId="65D80A5F"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 xml:space="preserve">Commercial management </w:t>
            </w:r>
          </w:p>
        </w:tc>
        <w:tc>
          <w:tcPr>
            <w:tcW w:w="0" w:type="auto"/>
          </w:tcPr>
          <w:p w14:paraId="2C12C0BF"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Nil</w:t>
            </w:r>
          </w:p>
        </w:tc>
        <w:tc>
          <w:tcPr>
            <w:tcW w:w="0" w:type="auto"/>
          </w:tcPr>
          <w:p w14:paraId="667917E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9.4</w:t>
            </w:r>
          </w:p>
        </w:tc>
        <w:tc>
          <w:tcPr>
            <w:tcW w:w="0" w:type="auto"/>
          </w:tcPr>
          <w:p w14:paraId="4E96114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34.4</w:t>
            </w:r>
          </w:p>
        </w:tc>
        <w:tc>
          <w:tcPr>
            <w:tcW w:w="0" w:type="auto"/>
          </w:tcPr>
          <w:p w14:paraId="6E223C1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25.0</w:t>
            </w:r>
          </w:p>
        </w:tc>
        <w:tc>
          <w:tcPr>
            <w:tcW w:w="0" w:type="auto"/>
          </w:tcPr>
          <w:p w14:paraId="32673F8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31.3</w:t>
            </w:r>
          </w:p>
        </w:tc>
      </w:tr>
      <w:tr w:rsidR="00CD6352" w:rsidRPr="00CE1082" w14:paraId="7EE9D98B" w14:textId="77777777" w:rsidTr="00CD6352">
        <w:tc>
          <w:tcPr>
            <w:tcW w:w="0" w:type="auto"/>
          </w:tcPr>
          <w:p w14:paraId="07491A3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Compliance management</w:t>
            </w:r>
          </w:p>
        </w:tc>
        <w:tc>
          <w:tcPr>
            <w:tcW w:w="0" w:type="auto"/>
          </w:tcPr>
          <w:p w14:paraId="1A7F241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3.0</w:t>
            </w:r>
          </w:p>
        </w:tc>
        <w:tc>
          <w:tcPr>
            <w:tcW w:w="0" w:type="auto"/>
          </w:tcPr>
          <w:p w14:paraId="1A977E97"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12.1</w:t>
            </w:r>
          </w:p>
        </w:tc>
        <w:tc>
          <w:tcPr>
            <w:tcW w:w="0" w:type="auto"/>
          </w:tcPr>
          <w:p w14:paraId="40E0153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27.3</w:t>
            </w:r>
          </w:p>
        </w:tc>
        <w:tc>
          <w:tcPr>
            <w:tcW w:w="0" w:type="auto"/>
          </w:tcPr>
          <w:p w14:paraId="6F9B8958"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15.2</w:t>
            </w:r>
          </w:p>
        </w:tc>
        <w:tc>
          <w:tcPr>
            <w:tcW w:w="0" w:type="auto"/>
          </w:tcPr>
          <w:p w14:paraId="3CF0DA0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42.4</w:t>
            </w:r>
          </w:p>
        </w:tc>
      </w:tr>
      <w:tr w:rsidR="00CD6352" w:rsidRPr="00CE1082" w14:paraId="7F11A693" w14:textId="77777777" w:rsidTr="00CD6352">
        <w:tc>
          <w:tcPr>
            <w:tcW w:w="0" w:type="auto"/>
          </w:tcPr>
          <w:p w14:paraId="6C4BABDE" w14:textId="40BDED10" w:rsidR="00CD6352" w:rsidRPr="00CE1082" w:rsidRDefault="00CD6352" w:rsidP="00CD6352">
            <w:pPr>
              <w:jc w:val="both"/>
              <w:rPr>
                <w:rFonts w:ascii="Arial" w:hAnsi="Arial" w:cs="Arial"/>
                <w:sz w:val="16"/>
                <w:szCs w:val="16"/>
              </w:rPr>
            </w:pPr>
            <w:r w:rsidRPr="00CE1082">
              <w:rPr>
                <w:rFonts w:ascii="Arial" w:hAnsi="Arial" w:cs="Arial"/>
                <w:sz w:val="16"/>
                <w:szCs w:val="16"/>
              </w:rPr>
              <w:t>Ethics, compliance and professionalism</w:t>
            </w:r>
          </w:p>
        </w:tc>
        <w:tc>
          <w:tcPr>
            <w:tcW w:w="0" w:type="auto"/>
          </w:tcPr>
          <w:p w14:paraId="2E0D65F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Nil</w:t>
            </w:r>
          </w:p>
        </w:tc>
        <w:tc>
          <w:tcPr>
            <w:tcW w:w="0" w:type="auto"/>
          </w:tcPr>
          <w:p w14:paraId="530CF05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12.5</w:t>
            </w:r>
          </w:p>
        </w:tc>
        <w:tc>
          <w:tcPr>
            <w:tcW w:w="0" w:type="auto"/>
          </w:tcPr>
          <w:p w14:paraId="326C59D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34.4</w:t>
            </w:r>
          </w:p>
        </w:tc>
        <w:tc>
          <w:tcPr>
            <w:tcW w:w="0" w:type="auto"/>
          </w:tcPr>
          <w:p w14:paraId="01BFAE6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18.8</w:t>
            </w:r>
          </w:p>
        </w:tc>
        <w:tc>
          <w:tcPr>
            <w:tcW w:w="0" w:type="auto"/>
          </w:tcPr>
          <w:p w14:paraId="3193683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34.4</w:t>
            </w:r>
          </w:p>
        </w:tc>
      </w:tr>
      <w:tr w:rsidR="00CD6352" w:rsidRPr="00CE1082" w14:paraId="36B1C512" w14:textId="77777777" w:rsidTr="00CD6352">
        <w:tc>
          <w:tcPr>
            <w:tcW w:w="0" w:type="auto"/>
          </w:tcPr>
          <w:p w14:paraId="633046C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 xml:space="preserve">Financial management </w:t>
            </w:r>
          </w:p>
        </w:tc>
        <w:tc>
          <w:tcPr>
            <w:tcW w:w="0" w:type="auto"/>
          </w:tcPr>
          <w:p w14:paraId="4E17C6A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3.0</w:t>
            </w:r>
          </w:p>
        </w:tc>
        <w:tc>
          <w:tcPr>
            <w:tcW w:w="0" w:type="auto"/>
          </w:tcPr>
          <w:p w14:paraId="012D2C1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6.1</w:t>
            </w:r>
          </w:p>
        </w:tc>
        <w:tc>
          <w:tcPr>
            <w:tcW w:w="0" w:type="auto"/>
          </w:tcPr>
          <w:p w14:paraId="3D01615F"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24.2</w:t>
            </w:r>
          </w:p>
        </w:tc>
        <w:tc>
          <w:tcPr>
            <w:tcW w:w="0" w:type="auto"/>
          </w:tcPr>
          <w:p w14:paraId="79014C6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18.2</w:t>
            </w:r>
          </w:p>
        </w:tc>
        <w:tc>
          <w:tcPr>
            <w:tcW w:w="0" w:type="auto"/>
          </w:tcPr>
          <w:p w14:paraId="41DC2CD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48.5</w:t>
            </w:r>
          </w:p>
        </w:tc>
      </w:tr>
      <w:tr w:rsidR="00CD6352" w:rsidRPr="00CE1082" w14:paraId="4E6AE052" w14:textId="77777777" w:rsidTr="00CD6352">
        <w:tc>
          <w:tcPr>
            <w:tcW w:w="0" w:type="auto"/>
          </w:tcPr>
          <w:p w14:paraId="5CE2128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Governance, structure and processes</w:t>
            </w:r>
          </w:p>
        </w:tc>
        <w:tc>
          <w:tcPr>
            <w:tcW w:w="0" w:type="auto"/>
          </w:tcPr>
          <w:p w14:paraId="67ED16A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6.1</w:t>
            </w:r>
          </w:p>
        </w:tc>
        <w:tc>
          <w:tcPr>
            <w:tcW w:w="0" w:type="auto"/>
          </w:tcPr>
          <w:p w14:paraId="0D8B40E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12.1</w:t>
            </w:r>
          </w:p>
        </w:tc>
        <w:tc>
          <w:tcPr>
            <w:tcW w:w="0" w:type="auto"/>
          </w:tcPr>
          <w:p w14:paraId="32452918"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33.3</w:t>
            </w:r>
          </w:p>
        </w:tc>
        <w:tc>
          <w:tcPr>
            <w:tcW w:w="0" w:type="auto"/>
          </w:tcPr>
          <w:p w14:paraId="2246556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21.2</w:t>
            </w:r>
          </w:p>
        </w:tc>
        <w:tc>
          <w:tcPr>
            <w:tcW w:w="0" w:type="auto"/>
          </w:tcPr>
          <w:p w14:paraId="7F467E5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27.3</w:t>
            </w:r>
          </w:p>
        </w:tc>
      </w:tr>
      <w:tr w:rsidR="00CD6352" w:rsidRPr="00CE1082" w14:paraId="71348273" w14:textId="77777777" w:rsidTr="00CD6352">
        <w:tc>
          <w:tcPr>
            <w:tcW w:w="0" w:type="auto"/>
          </w:tcPr>
          <w:p w14:paraId="752C938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Independence assurance</w:t>
            </w:r>
          </w:p>
        </w:tc>
        <w:tc>
          <w:tcPr>
            <w:tcW w:w="0" w:type="auto"/>
          </w:tcPr>
          <w:p w14:paraId="4A23EDB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3.1</w:t>
            </w:r>
          </w:p>
        </w:tc>
        <w:tc>
          <w:tcPr>
            <w:tcW w:w="0" w:type="auto"/>
          </w:tcPr>
          <w:p w14:paraId="5F64744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21.9</w:t>
            </w:r>
          </w:p>
        </w:tc>
        <w:tc>
          <w:tcPr>
            <w:tcW w:w="0" w:type="auto"/>
          </w:tcPr>
          <w:p w14:paraId="2BCCC07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34.4</w:t>
            </w:r>
          </w:p>
        </w:tc>
        <w:tc>
          <w:tcPr>
            <w:tcW w:w="0" w:type="auto"/>
          </w:tcPr>
          <w:p w14:paraId="6900BA2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18.8</w:t>
            </w:r>
          </w:p>
        </w:tc>
        <w:tc>
          <w:tcPr>
            <w:tcW w:w="0" w:type="auto"/>
          </w:tcPr>
          <w:p w14:paraId="5BF215A0"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21.9</w:t>
            </w:r>
          </w:p>
        </w:tc>
      </w:tr>
      <w:tr w:rsidR="00CD6352" w:rsidRPr="00CE1082" w14:paraId="35A81AA4" w14:textId="77777777" w:rsidTr="00CD6352">
        <w:tc>
          <w:tcPr>
            <w:tcW w:w="0" w:type="auto"/>
          </w:tcPr>
          <w:p w14:paraId="067D622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Leadership competence</w:t>
            </w:r>
          </w:p>
        </w:tc>
        <w:tc>
          <w:tcPr>
            <w:tcW w:w="0" w:type="auto"/>
          </w:tcPr>
          <w:p w14:paraId="132A3248"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3.1</w:t>
            </w:r>
          </w:p>
        </w:tc>
        <w:tc>
          <w:tcPr>
            <w:tcW w:w="0" w:type="auto"/>
          </w:tcPr>
          <w:p w14:paraId="54D7A0A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6.3</w:t>
            </w:r>
          </w:p>
        </w:tc>
        <w:tc>
          <w:tcPr>
            <w:tcW w:w="0" w:type="auto"/>
          </w:tcPr>
          <w:p w14:paraId="6F3B6F8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25.0</w:t>
            </w:r>
          </w:p>
        </w:tc>
        <w:tc>
          <w:tcPr>
            <w:tcW w:w="0" w:type="auto"/>
          </w:tcPr>
          <w:p w14:paraId="56334D3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15.6</w:t>
            </w:r>
          </w:p>
        </w:tc>
        <w:tc>
          <w:tcPr>
            <w:tcW w:w="0" w:type="auto"/>
          </w:tcPr>
          <w:p w14:paraId="0926EEE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50.0</w:t>
            </w:r>
          </w:p>
        </w:tc>
      </w:tr>
      <w:tr w:rsidR="00CD6352" w:rsidRPr="00CE1082" w14:paraId="27C32943" w14:textId="77777777" w:rsidTr="00CD6352">
        <w:tc>
          <w:tcPr>
            <w:tcW w:w="0" w:type="auto"/>
          </w:tcPr>
          <w:p w14:paraId="0D12CFB0"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Managerial competences</w:t>
            </w:r>
          </w:p>
        </w:tc>
        <w:tc>
          <w:tcPr>
            <w:tcW w:w="0" w:type="auto"/>
          </w:tcPr>
          <w:p w14:paraId="25B638B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Nil</w:t>
            </w:r>
          </w:p>
        </w:tc>
        <w:tc>
          <w:tcPr>
            <w:tcW w:w="0" w:type="auto"/>
          </w:tcPr>
          <w:p w14:paraId="5AAA19D8"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5.7</w:t>
            </w:r>
          </w:p>
        </w:tc>
        <w:tc>
          <w:tcPr>
            <w:tcW w:w="0" w:type="auto"/>
          </w:tcPr>
          <w:p w14:paraId="4AAE661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28.6</w:t>
            </w:r>
          </w:p>
        </w:tc>
        <w:tc>
          <w:tcPr>
            <w:tcW w:w="0" w:type="auto"/>
          </w:tcPr>
          <w:p w14:paraId="1F90169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12.7</w:t>
            </w:r>
          </w:p>
        </w:tc>
        <w:tc>
          <w:tcPr>
            <w:tcW w:w="0" w:type="auto"/>
          </w:tcPr>
          <w:p w14:paraId="75BE7CB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23.8</w:t>
            </w:r>
          </w:p>
        </w:tc>
      </w:tr>
      <w:tr w:rsidR="00CD6352" w:rsidRPr="00CE1082" w14:paraId="7BE3D293" w14:textId="77777777" w:rsidTr="00CD6352">
        <w:tc>
          <w:tcPr>
            <w:tcW w:w="0" w:type="auto"/>
          </w:tcPr>
          <w:p w14:paraId="0512AC6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 xml:space="preserve">Negotiation </w:t>
            </w:r>
          </w:p>
        </w:tc>
        <w:tc>
          <w:tcPr>
            <w:tcW w:w="0" w:type="auto"/>
          </w:tcPr>
          <w:p w14:paraId="386CED0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5.9</w:t>
            </w:r>
          </w:p>
        </w:tc>
        <w:tc>
          <w:tcPr>
            <w:tcW w:w="0" w:type="auto"/>
          </w:tcPr>
          <w:p w14:paraId="45CEA1F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2.9</w:t>
            </w:r>
          </w:p>
        </w:tc>
        <w:tc>
          <w:tcPr>
            <w:tcW w:w="0" w:type="auto"/>
          </w:tcPr>
          <w:p w14:paraId="2328CBA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20.6</w:t>
            </w:r>
          </w:p>
        </w:tc>
        <w:tc>
          <w:tcPr>
            <w:tcW w:w="0" w:type="auto"/>
          </w:tcPr>
          <w:p w14:paraId="6F19018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35.3</w:t>
            </w:r>
          </w:p>
        </w:tc>
        <w:tc>
          <w:tcPr>
            <w:tcW w:w="0" w:type="auto"/>
          </w:tcPr>
          <w:p w14:paraId="2D5DA08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35.3</w:t>
            </w:r>
          </w:p>
        </w:tc>
      </w:tr>
      <w:tr w:rsidR="00CD6352" w:rsidRPr="00CE1082" w14:paraId="7A116403" w14:textId="77777777" w:rsidTr="00CD6352">
        <w:tc>
          <w:tcPr>
            <w:tcW w:w="0" w:type="auto"/>
          </w:tcPr>
          <w:p w14:paraId="6E123D7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Planning &amp; control</w:t>
            </w:r>
          </w:p>
        </w:tc>
        <w:tc>
          <w:tcPr>
            <w:tcW w:w="0" w:type="auto"/>
          </w:tcPr>
          <w:p w14:paraId="4CCC3BE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3.3</w:t>
            </w:r>
          </w:p>
        </w:tc>
        <w:tc>
          <w:tcPr>
            <w:tcW w:w="0" w:type="auto"/>
          </w:tcPr>
          <w:p w14:paraId="522389C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10.0</w:t>
            </w:r>
          </w:p>
        </w:tc>
        <w:tc>
          <w:tcPr>
            <w:tcW w:w="0" w:type="auto"/>
          </w:tcPr>
          <w:p w14:paraId="386A58B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26.7</w:t>
            </w:r>
          </w:p>
        </w:tc>
        <w:tc>
          <w:tcPr>
            <w:tcW w:w="0" w:type="auto"/>
          </w:tcPr>
          <w:p w14:paraId="62DB074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20.0</w:t>
            </w:r>
          </w:p>
        </w:tc>
        <w:tc>
          <w:tcPr>
            <w:tcW w:w="0" w:type="auto"/>
          </w:tcPr>
          <w:p w14:paraId="07B3069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40.0</w:t>
            </w:r>
          </w:p>
        </w:tc>
      </w:tr>
      <w:tr w:rsidR="00CD6352" w:rsidRPr="00CE1082" w14:paraId="723E2B94" w14:textId="77777777" w:rsidTr="00CD6352">
        <w:tc>
          <w:tcPr>
            <w:tcW w:w="0" w:type="auto"/>
          </w:tcPr>
          <w:p w14:paraId="0836C30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Political competence( self-confidence, social astuteness &amp; ability to influence others</w:t>
            </w:r>
          </w:p>
        </w:tc>
        <w:tc>
          <w:tcPr>
            <w:tcW w:w="0" w:type="auto"/>
          </w:tcPr>
          <w:p w14:paraId="37E4817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6.1</w:t>
            </w:r>
          </w:p>
        </w:tc>
        <w:tc>
          <w:tcPr>
            <w:tcW w:w="0" w:type="auto"/>
          </w:tcPr>
          <w:p w14:paraId="544691B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9.1</w:t>
            </w:r>
          </w:p>
        </w:tc>
        <w:tc>
          <w:tcPr>
            <w:tcW w:w="0" w:type="auto"/>
          </w:tcPr>
          <w:p w14:paraId="3251B04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27.3</w:t>
            </w:r>
          </w:p>
        </w:tc>
        <w:tc>
          <w:tcPr>
            <w:tcW w:w="0" w:type="auto"/>
          </w:tcPr>
          <w:p w14:paraId="02E4DC4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24.2</w:t>
            </w:r>
          </w:p>
        </w:tc>
        <w:tc>
          <w:tcPr>
            <w:tcW w:w="0" w:type="auto"/>
          </w:tcPr>
          <w:p w14:paraId="20E4528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33.3</w:t>
            </w:r>
          </w:p>
        </w:tc>
      </w:tr>
      <w:tr w:rsidR="00CD6352" w:rsidRPr="00CE1082" w14:paraId="373B3661" w14:textId="77777777" w:rsidTr="00CD6352">
        <w:tc>
          <w:tcPr>
            <w:tcW w:w="0" w:type="auto"/>
          </w:tcPr>
          <w:p w14:paraId="561AC241"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Political competence</w:t>
            </w:r>
          </w:p>
        </w:tc>
        <w:tc>
          <w:tcPr>
            <w:tcW w:w="0" w:type="auto"/>
          </w:tcPr>
          <w:p w14:paraId="5B9B0A42"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6.1</w:t>
            </w:r>
          </w:p>
        </w:tc>
        <w:tc>
          <w:tcPr>
            <w:tcW w:w="0" w:type="auto"/>
          </w:tcPr>
          <w:p w14:paraId="65E56D3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9.1</w:t>
            </w:r>
          </w:p>
        </w:tc>
        <w:tc>
          <w:tcPr>
            <w:tcW w:w="0" w:type="auto"/>
          </w:tcPr>
          <w:p w14:paraId="2D9C2F7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27.3</w:t>
            </w:r>
          </w:p>
        </w:tc>
        <w:tc>
          <w:tcPr>
            <w:tcW w:w="0" w:type="auto"/>
          </w:tcPr>
          <w:p w14:paraId="5BD51F6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24.2</w:t>
            </w:r>
          </w:p>
        </w:tc>
        <w:tc>
          <w:tcPr>
            <w:tcW w:w="0" w:type="auto"/>
          </w:tcPr>
          <w:p w14:paraId="1A2276F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33.3</w:t>
            </w:r>
          </w:p>
        </w:tc>
      </w:tr>
      <w:tr w:rsidR="00CD6352" w:rsidRPr="00CE1082" w14:paraId="3DFFBB59" w14:textId="77777777" w:rsidTr="00CD6352">
        <w:tc>
          <w:tcPr>
            <w:tcW w:w="0" w:type="auto"/>
          </w:tcPr>
          <w:p w14:paraId="75A1EDB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Political &amp; use of power</w:t>
            </w:r>
          </w:p>
        </w:tc>
        <w:tc>
          <w:tcPr>
            <w:tcW w:w="0" w:type="auto"/>
          </w:tcPr>
          <w:p w14:paraId="602A8F4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2.9</w:t>
            </w:r>
          </w:p>
        </w:tc>
        <w:tc>
          <w:tcPr>
            <w:tcW w:w="0" w:type="auto"/>
          </w:tcPr>
          <w:p w14:paraId="5BC871C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14.7</w:t>
            </w:r>
          </w:p>
        </w:tc>
        <w:tc>
          <w:tcPr>
            <w:tcW w:w="0" w:type="auto"/>
          </w:tcPr>
          <w:p w14:paraId="33C20CA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26.5</w:t>
            </w:r>
          </w:p>
        </w:tc>
        <w:tc>
          <w:tcPr>
            <w:tcW w:w="0" w:type="auto"/>
          </w:tcPr>
          <w:p w14:paraId="366D2ED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32.4</w:t>
            </w:r>
          </w:p>
        </w:tc>
        <w:tc>
          <w:tcPr>
            <w:tcW w:w="0" w:type="auto"/>
          </w:tcPr>
          <w:p w14:paraId="15AA36A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23.5</w:t>
            </w:r>
          </w:p>
        </w:tc>
      </w:tr>
      <w:tr w:rsidR="00CD6352" w:rsidRPr="00CE1082" w14:paraId="5EEE9385" w14:textId="77777777" w:rsidTr="00CD6352">
        <w:tc>
          <w:tcPr>
            <w:tcW w:w="0" w:type="auto"/>
          </w:tcPr>
          <w:p w14:paraId="16C329E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Resourcefulness</w:t>
            </w:r>
          </w:p>
        </w:tc>
        <w:tc>
          <w:tcPr>
            <w:tcW w:w="0" w:type="auto"/>
          </w:tcPr>
          <w:p w14:paraId="582ABA29"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5.9</w:t>
            </w:r>
          </w:p>
        </w:tc>
        <w:tc>
          <w:tcPr>
            <w:tcW w:w="0" w:type="auto"/>
          </w:tcPr>
          <w:p w14:paraId="7A34A8C8"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5.9</w:t>
            </w:r>
          </w:p>
        </w:tc>
        <w:tc>
          <w:tcPr>
            <w:tcW w:w="0" w:type="auto"/>
          </w:tcPr>
          <w:p w14:paraId="513C0474"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17.6</w:t>
            </w:r>
          </w:p>
        </w:tc>
        <w:tc>
          <w:tcPr>
            <w:tcW w:w="0" w:type="auto"/>
          </w:tcPr>
          <w:p w14:paraId="0683C377"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26.5</w:t>
            </w:r>
          </w:p>
        </w:tc>
        <w:tc>
          <w:tcPr>
            <w:tcW w:w="0" w:type="auto"/>
          </w:tcPr>
          <w:p w14:paraId="07EE603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44.1</w:t>
            </w:r>
          </w:p>
        </w:tc>
      </w:tr>
      <w:tr w:rsidR="00CD6352" w:rsidRPr="00CE1082" w14:paraId="46D8ABCD" w14:textId="77777777" w:rsidTr="00CD6352">
        <w:tc>
          <w:tcPr>
            <w:tcW w:w="0" w:type="auto"/>
          </w:tcPr>
          <w:p w14:paraId="019E383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Result oriented</w:t>
            </w:r>
          </w:p>
        </w:tc>
        <w:tc>
          <w:tcPr>
            <w:tcW w:w="0" w:type="auto"/>
          </w:tcPr>
          <w:p w14:paraId="2DDFB38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3.0</w:t>
            </w:r>
          </w:p>
        </w:tc>
        <w:tc>
          <w:tcPr>
            <w:tcW w:w="0" w:type="auto"/>
          </w:tcPr>
          <w:p w14:paraId="79F8280C"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9.1</w:t>
            </w:r>
          </w:p>
        </w:tc>
        <w:tc>
          <w:tcPr>
            <w:tcW w:w="0" w:type="auto"/>
          </w:tcPr>
          <w:p w14:paraId="40255B6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18.2</w:t>
            </w:r>
          </w:p>
        </w:tc>
        <w:tc>
          <w:tcPr>
            <w:tcW w:w="0" w:type="auto"/>
          </w:tcPr>
          <w:p w14:paraId="7430EE4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30.3</w:t>
            </w:r>
          </w:p>
        </w:tc>
        <w:tc>
          <w:tcPr>
            <w:tcW w:w="0" w:type="auto"/>
          </w:tcPr>
          <w:p w14:paraId="14316AB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39.4</w:t>
            </w:r>
          </w:p>
        </w:tc>
      </w:tr>
      <w:tr w:rsidR="00CD6352" w:rsidRPr="00CE1082" w14:paraId="2AC0F8C0" w14:textId="77777777" w:rsidTr="00CD6352">
        <w:tc>
          <w:tcPr>
            <w:tcW w:w="0" w:type="auto"/>
          </w:tcPr>
          <w:p w14:paraId="0143BAD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Risk &amp; opportunity</w:t>
            </w:r>
          </w:p>
        </w:tc>
        <w:tc>
          <w:tcPr>
            <w:tcW w:w="0" w:type="auto"/>
          </w:tcPr>
          <w:p w14:paraId="1E632B50"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5.7</w:t>
            </w:r>
          </w:p>
        </w:tc>
        <w:tc>
          <w:tcPr>
            <w:tcW w:w="0" w:type="auto"/>
          </w:tcPr>
          <w:p w14:paraId="5D815CCD"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5.7</w:t>
            </w:r>
          </w:p>
        </w:tc>
        <w:tc>
          <w:tcPr>
            <w:tcW w:w="0" w:type="auto"/>
          </w:tcPr>
          <w:p w14:paraId="46D2076A"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31.4</w:t>
            </w:r>
          </w:p>
        </w:tc>
        <w:tc>
          <w:tcPr>
            <w:tcW w:w="0" w:type="auto"/>
          </w:tcPr>
          <w:p w14:paraId="02735510"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22.9</w:t>
            </w:r>
          </w:p>
        </w:tc>
        <w:tc>
          <w:tcPr>
            <w:tcW w:w="0" w:type="auto"/>
          </w:tcPr>
          <w:p w14:paraId="1D92FB57"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34.3</w:t>
            </w:r>
          </w:p>
        </w:tc>
      </w:tr>
      <w:tr w:rsidR="00CD6352" w:rsidRPr="00CE1082" w14:paraId="7359A90D" w14:textId="77777777" w:rsidTr="00CD6352">
        <w:tc>
          <w:tcPr>
            <w:tcW w:w="0" w:type="auto"/>
          </w:tcPr>
          <w:p w14:paraId="48139473"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Technical competence</w:t>
            </w:r>
          </w:p>
        </w:tc>
        <w:tc>
          <w:tcPr>
            <w:tcW w:w="0" w:type="auto"/>
          </w:tcPr>
          <w:p w14:paraId="3232CA2F"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5.9</w:t>
            </w:r>
          </w:p>
        </w:tc>
        <w:tc>
          <w:tcPr>
            <w:tcW w:w="0" w:type="auto"/>
          </w:tcPr>
          <w:p w14:paraId="61832EB6"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8.8</w:t>
            </w:r>
          </w:p>
        </w:tc>
        <w:tc>
          <w:tcPr>
            <w:tcW w:w="0" w:type="auto"/>
          </w:tcPr>
          <w:p w14:paraId="00A3DA75"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23.5</w:t>
            </w:r>
          </w:p>
        </w:tc>
        <w:tc>
          <w:tcPr>
            <w:tcW w:w="0" w:type="auto"/>
          </w:tcPr>
          <w:p w14:paraId="290061EB"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32.4</w:t>
            </w:r>
          </w:p>
        </w:tc>
        <w:tc>
          <w:tcPr>
            <w:tcW w:w="0" w:type="auto"/>
          </w:tcPr>
          <w:p w14:paraId="0EB93CAE" w14:textId="77777777" w:rsidR="00CD6352" w:rsidRPr="00CE1082" w:rsidRDefault="00CD6352" w:rsidP="00CD6352">
            <w:pPr>
              <w:jc w:val="both"/>
              <w:rPr>
                <w:rFonts w:ascii="Arial" w:hAnsi="Arial" w:cs="Arial"/>
                <w:sz w:val="16"/>
                <w:szCs w:val="16"/>
              </w:rPr>
            </w:pPr>
            <w:r w:rsidRPr="00CE1082">
              <w:rPr>
                <w:rFonts w:ascii="Arial" w:hAnsi="Arial" w:cs="Arial"/>
                <w:sz w:val="16"/>
                <w:szCs w:val="16"/>
              </w:rPr>
              <w:t>29.4</w:t>
            </w:r>
          </w:p>
        </w:tc>
      </w:tr>
    </w:tbl>
    <w:p w14:paraId="51B74501" w14:textId="77777777" w:rsidR="00CD6352" w:rsidRPr="00EA7665" w:rsidRDefault="00CD6352" w:rsidP="00CD6352">
      <w:pPr>
        <w:pStyle w:val="Caption"/>
        <w:rPr>
          <w:rFonts w:ascii="Arial" w:hAnsi="Arial" w:cs="Arial"/>
          <w:sz w:val="22"/>
          <w:szCs w:val="22"/>
        </w:rPr>
      </w:pPr>
    </w:p>
    <w:p w14:paraId="50FFB3DE" w14:textId="0C183C5B" w:rsidR="001204BD" w:rsidRPr="001204BD" w:rsidRDefault="001204BD" w:rsidP="001204BD">
      <w:r w:rsidRPr="001204BD">
        <w:t>Table 8.4.</w:t>
      </w:r>
      <w:r w:rsidR="00C03C51">
        <w:t>6</w:t>
      </w:r>
      <w:r w:rsidRPr="001204BD">
        <w:t xml:space="preserve"> shows the ranking and mean score range of 3.97 to 3.32</w:t>
      </w:r>
      <w:r w:rsidR="003A437D">
        <w:t>,</w:t>
      </w:r>
      <w:r w:rsidRPr="001204BD">
        <w:t xml:space="preserve"> and this shows that there is a significant need for training and education for these competences at the aggregate level for future use.</w:t>
      </w:r>
    </w:p>
    <w:p w14:paraId="7DC766B4" w14:textId="13DA09DC" w:rsidR="00C03C51" w:rsidRPr="00C03C51" w:rsidRDefault="001204BD" w:rsidP="00C03C51">
      <w:pPr>
        <w:pStyle w:val="Caption"/>
        <w:keepNext/>
        <w:rPr>
          <w:rFonts w:ascii="Arial" w:hAnsi="Arial" w:cs="Arial"/>
          <w:i w:val="0"/>
          <w:iCs w:val="0"/>
          <w:sz w:val="16"/>
          <w:szCs w:val="16"/>
        </w:rPr>
      </w:pPr>
      <w:r w:rsidRPr="001204BD">
        <w:rPr>
          <w:rFonts w:ascii="Arial" w:hAnsi="Arial" w:cs="Arial"/>
          <w:sz w:val="16"/>
          <w:szCs w:val="16"/>
        </w:rPr>
        <w:t xml:space="preserve"> </w:t>
      </w:r>
      <w:bookmarkStart w:id="1364" w:name="_Toc78984020"/>
      <w:r w:rsidR="00C03C51" w:rsidRPr="00C03C51">
        <w:rPr>
          <w:i w:val="0"/>
          <w:iCs w:val="0"/>
        </w:rPr>
        <w:t xml:space="preserve">Table </w:t>
      </w:r>
      <w:r w:rsidR="008F25B1">
        <w:rPr>
          <w:i w:val="0"/>
          <w:iCs w:val="0"/>
        </w:rPr>
        <w:fldChar w:fldCharType="begin"/>
      </w:r>
      <w:r w:rsidR="008F25B1">
        <w:rPr>
          <w:i w:val="0"/>
          <w:iCs w:val="0"/>
        </w:rPr>
        <w:instrText xml:space="preserve"> STYLEREF 2 \s </w:instrText>
      </w:r>
      <w:r w:rsidR="008F25B1">
        <w:rPr>
          <w:i w:val="0"/>
          <w:iCs w:val="0"/>
        </w:rPr>
        <w:fldChar w:fldCharType="separate"/>
      </w:r>
      <w:r w:rsidR="008F25B1">
        <w:rPr>
          <w:i w:val="0"/>
          <w:iCs w:val="0"/>
          <w:noProof/>
        </w:rPr>
        <w:t>8.4</w:t>
      </w:r>
      <w:r w:rsidR="008F25B1">
        <w:rPr>
          <w:i w:val="0"/>
          <w:iCs w:val="0"/>
        </w:rPr>
        <w:fldChar w:fldCharType="end"/>
      </w:r>
      <w:r w:rsidR="008F25B1">
        <w:rPr>
          <w:i w:val="0"/>
          <w:iCs w:val="0"/>
        </w:rPr>
        <w:noBreakHyphen/>
      </w:r>
      <w:r w:rsidR="008F25B1">
        <w:rPr>
          <w:i w:val="0"/>
          <w:iCs w:val="0"/>
        </w:rPr>
        <w:fldChar w:fldCharType="begin"/>
      </w:r>
      <w:r w:rsidR="008F25B1">
        <w:rPr>
          <w:i w:val="0"/>
          <w:iCs w:val="0"/>
        </w:rPr>
        <w:instrText xml:space="preserve"> SEQ Table \* ARABIC \s 2 </w:instrText>
      </w:r>
      <w:r w:rsidR="008F25B1">
        <w:rPr>
          <w:i w:val="0"/>
          <w:iCs w:val="0"/>
        </w:rPr>
        <w:fldChar w:fldCharType="separate"/>
      </w:r>
      <w:r w:rsidR="008F25B1">
        <w:rPr>
          <w:i w:val="0"/>
          <w:iCs w:val="0"/>
          <w:noProof/>
        </w:rPr>
        <w:t>6</w:t>
      </w:r>
      <w:r w:rsidR="008F25B1">
        <w:rPr>
          <w:i w:val="0"/>
          <w:iCs w:val="0"/>
        </w:rPr>
        <w:fldChar w:fldCharType="end"/>
      </w:r>
      <w:r w:rsidR="00C03C51" w:rsidRPr="00C03C51">
        <w:rPr>
          <w:i w:val="0"/>
          <w:iCs w:val="0"/>
        </w:rPr>
        <w:t xml:space="preserve">: </w:t>
      </w:r>
      <w:r w:rsidR="00C03C51" w:rsidRPr="00C03C51">
        <w:rPr>
          <w:rFonts w:ascii="Arial" w:hAnsi="Arial" w:cs="Arial"/>
          <w:i w:val="0"/>
          <w:iCs w:val="0"/>
          <w:sz w:val="16"/>
          <w:szCs w:val="16"/>
        </w:rPr>
        <w:t>Mean scores for Degree of need for training and education for   management competences for securing finance for real estate project development for the future at the aggregate level</w:t>
      </w:r>
      <w:bookmarkEnd w:id="1364"/>
    </w:p>
    <w:tbl>
      <w:tblPr>
        <w:tblW w:w="8266" w:type="dxa"/>
        <w:tblInd w:w="93" w:type="dxa"/>
        <w:tblLook w:val="04A0" w:firstRow="1" w:lastRow="0" w:firstColumn="1" w:lastColumn="0" w:noHBand="0" w:noVBand="1"/>
      </w:tblPr>
      <w:tblGrid>
        <w:gridCol w:w="6423"/>
        <w:gridCol w:w="1134"/>
        <w:gridCol w:w="709"/>
      </w:tblGrid>
      <w:tr w:rsidR="00CD6352" w:rsidRPr="001204BD" w14:paraId="2EEE0BC1" w14:textId="77777777" w:rsidTr="00CD6352">
        <w:trPr>
          <w:trHeight w:val="690"/>
        </w:trPr>
        <w:tc>
          <w:tcPr>
            <w:tcW w:w="6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E9EDD" w14:textId="77777777" w:rsidR="00CD6352" w:rsidRPr="001204BD" w:rsidRDefault="00CD6352" w:rsidP="00CD6352">
            <w:pPr>
              <w:spacing w:after="0" w:line="240" w:lineRule="auto"/>
              <w:rPr>
                <w:rFonts w:ascii="Arial" w:eastAsia="Times New Roman" w:hAnsi="Arial" w:cs="Arial"/>
                <w:b/>
                <w:bCs/>
                <w:color w:val="000000"/>
                <w:sz w:val="16"/>
                <w:szCs w:val="16"/>
                <w:lang w:eastAsia="en-GB"/>
              </w:rPr>
            </w:pPr>
            <w:r w:rsidRPr="001204BD">
              <w:rPr>
                <w:rFonts w:ascii="Arial" w:eastAsia="Times New Roman" w:hAnsi="Arial" w:cs="Arial"/>
                <w:b/>
                <w:bCs/>
                <w:color w:val="000000"/>
                <w:sz w:val="16"/>
                <w:szCs w:val="16"/>
                <w:lang w:eastAsia="en-GB"/>
              </w:rPr>
              <w:t>Management competences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2D17DD3" w14:textId="77777777" w:rsidR="00CD6352" w:rsidRPr="001204BD" w:rsidRDefault="00CD6352" w:rsidP="00CD6352">
            <w:pPr>
              <w:spacing w:after="0" w:line="240" w:lineRule="auto"/>
              <w:rPr>
                <w:rFonts w:ascii="Arial" w:eastAsia="Times New Roman" w:hAnsi="Arial" w:cs="Arial"/>
                <w:b/>
                <w:bCs/>
                <w:color w:val="000000"/>
                <w:sz w:val="16"/>
                <w:szCs w:val="16"/>
                <w:lang w:eastAsia="en-GB"/>
              </w:rPr>
            </w:pPr>
            <w:r w:rsidRPr="001204BD">
              <w:rPr>
                <w:rFonts w:ascii="Arial" w:eastAsia="Times New Roman" w:hAnsi="Arial" w:cs="Arial"/>
                <w:b/>
                <w:bCs/>
                <w:color w:val="000000"/>
                <w:sz w:val="16"/>
                <w:szCs w:val="16"/>
                <w:lang w:eastAsia="en-GB"/>
              </w:rPr>
              <w:t>Mean score N= 81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D4AC98" w14:textId="77777777" w:rsidR="00CD6352" w:rsidRPr="001204BD" w:rsidRDefault="00CD6352" w:rsidP="00CD6352">
            <w:pPr>
              <w:spacing w:after="0" w:line="240" w:lineRule="auto"/>
              <w:rPr>
                <w:rFonts w:ascii="Arial" w:eastAsia="Times New Roman" w:hAnsi="Arial" w:cs="Arial"/>
                <w:b/>
                <w:bCs/>
                <w:color w:val="000000"/>
                <w:sz w:val="16"/>
                <w:szCs w:val="16"/>
                <w:lang w:eastAsia="en-GB"/>
              </w:rPr>
            </w:pPr>
            <w:r w:rsidRPr="001204BD">
              <w:rPr>
                <w:rFonts w:ascii="Arial" w:eastAsia="Times New Roman" w:hAnsi="Arial" w:cs="Arial"/>
                <w:b/>
                <w:bCs/>
                <w:color w:val="000000"/>
                <w:sz w:val="16"/>
                <w:szCs w:val="16"/>
                <w:lang w:eastAsia="en-GB"/>
              </w:rPr>
              <w:t xml:space="preserve">Rank </w:t>
            </w:r>
          </w:p>
        </w:tc>
      </w:tr>
      <w:tr w:rsidR="00CD6352" w:rsidRPr="001204BD" w14:paraId="492FC8E7"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7D45AEFF"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Leadership competence</w:t>
            </w:r>
          </w:p>
        </w:tc>
        <w:tc>
          <w:tcPr>
            <w:tcW w:w="1134" w:type="dxa"/>
            <w:tcBorders>
              <w:top w:val="nil"/>
              <w:left w:val="nil"/>
              <w:bottom w:val="single" w:sz="4" w:space="0" w:color="auto"/>
              <w:right w:val="single" w:sz="4" w:space="0" w:color="auto"/>
            </w:tcBorders>
            <w:shd w:val="clear" w:color="auto" w:fill="auto"/>
            <w:noWrap/>
            <w:vAlign w:val="bottom"/>
            <w:hideMark/>
          </w:tcPr>
          <w:p w14:paraId="75575C34"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3.97</w:t>
            </w:r>
          </w:p>
        </w:tc>
        <w:tc>
          <w:tcPr>
            <w:tcW w:w="709" w:type="dxa"/>
            <w:tcBorders>
              <w:top w:val="nil"/>
              <w:left w:val="nil"/>
              <w:bottom w:val="single" w:sz="4" w:space="0" w:color="auto"/>
              <w:right w:val="single" w:sz="4" w:space="0" w:color="auto"/>
            </w:tcBorders>
            <w:shd w:val="clear" w:color="auto" w:fill="auto"/>
            <w:noWrap/>
            <w:vAlign w:val="bottom"/>
            <w:hideMark/>
          </w:tcPr>
          <w:p w14:paraId="33792290"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w:t>
            </w:r>
          </w:p>
        </w:tc>
      </w:tr>
      <w:tr w:rsidR="00CD6352" w:rsidRPr="001204BD" w14:paraId="1C86D161"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493B108C"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Managerial competences</w:t>
            </w:r>
          </w:p>
        </w:tc>
        <w:tc>
          <w:tcPr>
            <w:tcW w:w="1134" w:type="dxa"/>
            <w:tcBorders>
              <w:top w:val="nil"/>
              <w:left w:val="nil"/>
              <w:bottom w:val="single" w:sz="4" w:space="0" w:color="auto"/>
              <w:right w:val="single" w:sz="4" w:space="0" w:color="auto"/>
            </w:tcBorders>
            <w:shd w:val="clear" w:color="auto" w:fill="auto"/>
            <w:noWrap/>
            <w:vAlign w:val="bottom"/>
            <w:hideMark/>
          </w:tcPr>
          <w:p w14:paraId="79F6A166"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3.94</w:t>
            </w:r>
          </w:p>
        </w:tc>
        <w:tc>
          <w:tcPr>
            <w:tcW w:w="709" w:type="dxa"/>
            <w:tcBorders>
              <w:top w:val="nil"/>
              <w:left w:val="nil"/>
              <w:bottom w:val="single" w:sz="4" w:space="0" w:color="auto"/>
              <w:right w:val="single" w:sz="4" w:space="0" w:color="auto"/>
            </w:tcBorders>
            <w:shd w:val="clear" w:color="auto" w:fill="auto"/>
            <w:noWrap/>
            <w:vAlign w:val="bottom"/>
            <w:hideMark/>
          </w:tcPr>
          <w:p w14:paraId="059ABE65"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2</w:t>
            </w:r>
          </w:p>
        </w:tc>
      </w:tr>
      <w:tr w:rsidR="00CD6352" w:rsidRPr="001204BD" w14:paraId="156D158B"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7B1B41EA"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 xml:space="preserve">Financial management </w:t>
            </w:r>
          </w:p>
        </w:tc>
        <w:tc>
          <w:tcPr>
            <w:tcW w:w="1134" w:type="dxa"/>
            <w:tcBorders>
              <w:top w:val="nil"/>
              <w:left w:val="nil"/>
              <w:bottom w:val="single" w:sz="4" w:space="0" w:color="auto"/>
              <w:right w:val="single" w:sz="4" w:space="0" w:color="auto"/>
            </w:tcBorders>
            <w:shd w:val="clear" w:color="auto" w:fill="auto"/>
            <w:noWrap/>
            <w:vAlign w:val="bottom"/>
            <w:hideMark/>
          </w:tcPr>
          <w:p w14:paraId="5FBC9961"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3.91</w:t>
            </w:r>
          </w:p>
        </w:tc>
        <w:tc>
          <w:tcPr>
            <w:tcW w:w="709" w:type="dxa"/>
            <w:tcBorders>
              <w:top w:val="nil"/>
              <w:left w:val="nil"/>
              <w:bottom w:val="single" w:sz="4" w:space="0" w:color="auto"/>
              <w:right w:val="single" w:sz="4" w:space="0" w:color="auto"/>
            </w:tcBorders>
            <w:shd w:val="clear" w:color="auto" w:fill="auto"/>
            <w:noWrap/>
            <w:vAlign w:val="bottom"/>
            <w:hideMark/>
          </w:tcPr>
          <w:p w14:paraId="61550351"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w:t>
            </w:r>
          </w:p>
        </w:tc>
      </w:tr>
      <w:tr w:rsidR="00CD6352" w:rsidRPr="001204BD" w14:paraId="7CB7838F"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14E0242E"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Resourcefulness</w:t>
            </w:r>
          </w:p>
        </w:tc>
        <w:tc>
          <w:tcPr>
            <w:tcW w:w="1134" w:type="dxa"/>
            <w:tcBorders>
              <w:top w:val="nil"/>
              <w:left w:val="nil"/>
              <w:bottom w:val="single" w:sz="4" w:space="0" w:color="auto"/>
              <w:right w:val="single" w:sz="4" w:space="0" w:color="auto"/>
            </w:tcBorders>
            <w:shd w:val="clear" w:color="auto" w:fill="auto"/>
            <w:noWrap/>
            <w:vAlign w:val="bottom"/>
            <w:hideMark/>
          </w:tcPr>
          <w:p w14:paraId="75D8B26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3.91</w:t>
            </w:r>
          </w:p>
        </w:tc>
        <w:tc>
          <w:tcPr>
            <w:tcW w:w="709" w:type="dxa"/>
            <w:tcBorders>
              <w:top w:val="nil"/>
              <w:left w:val="nil"/>
              <w:bottom w:val="single" w:sz="4" w:space="0" w:color="auto"/>
              <w:right w:val="single" w:sz="4" w:space="0" w:color="auto"/>
            </w:tcBorders>
            <w:shd w:val="clear" w:color="auto" w:fill="auto"/>
            <w:noWrap/>
            <w:vAlign w:val="bottom"/>
            <w:hideMark/>
          </w:tcPr>
          <w:p w14:paraId="15411461"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4</w:t>
            </w:r>
          </w:p>
        </w:tc>
      </w:tr>
      <w:tr w:rsidR="00CD6352" w:rsidRPr="001204BD" w14:paraId="5D2DFD1F"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273EF93D"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Result oriented</w:t>
            </w:r>
          </w:p>
        </w:tc>
        <w:tc>
          <w:tcPr>
            <w:tcW w:w="1134" w:type="dxa"/>
            <w:tcBorders>
              <w:top w:val="nil"/>
              <w:left w:val="nil"/>
              <w:bottom w:val="single" w:sz="4" w:space="0" w:color="auto"/>
              <w:right w:val="single" w:sz="4" w:space="0" w:color="auto"/>
            </w:tcBorders>
            <w:shd w:val="clear" w:color="auto" w:fill="auto"/>
            <w:noWrap/>
            <w:vAlign w:val="bottom"/>
            <w:hideMark/>
          </w:tcPr>
          <w:p w14:paraId="35EC6F6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3.88</w:t>
            </w:r>
          </w:p>
        </w:tc>
        <w:tc>
          <w:tcPr>
            <w:tcW w:w="709" w:type="dxa"/>
            <w:tcBorders>
              <w:top w:val="nil"/>
              <w:left w:val="nil"/>
              <w:bottom w:val="single" w:sz="4" w:space="0" w:color="auto"/>
              <w:right w:val="single" w:sz="4" w:space="0" w:color="auto"/>
            </w:tcBorders>
            <w:shd w:val="clear" w:color="auto" w:fill="auto"/>
            <w:noWrap/>
            <w:vAlign w:val="bottom"/>
            <w:hideMark/>
          </w:tcPr>
          <w:p w14:paraId="4A7A9EE1"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5</w:t>
            </w:r>
          </w:p>
        </w:tc>
      </w:tr>
      <w:tr w:rsidR="00CD6352" w:rsidRPr="001204BD" w14:paraId="38763BD5"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485470DE"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lastRenderedPageBreak/>
              <w:t xml:space="preserve">Negotiation </w:t>
            </w:r>
          </w:p>
        </w:tc>
        <w:tc>
          <w:tcPr>
            <w:tcW w:w="1134" w:type="dxa"/>
            <w:tcBorders>
              <w:top w:val="nil"/>
              <w:left w:val="nil"/>
              <w:bottom w:val="single" w:sz="4" w:space="0" w:color="auto"/>
              <w:right w:val="single" w:sz="4" w:space="0" w:color="auto"/>
            </w:tcBorders>
            <w:shd w:val="clear" w:color="auto" w:fill="auto"/>
            <w:noWrap/>
            <w:vAlign w:val="bottom"/>
            <w:hideMark/>
          </w:tcPr>
          <w:p w14:paraId="6A7ACFFC"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3.86</w:t>
            </w:r>
          </w:p>
        </w:tc>
        <w:tc>
          <w:tcPr>
            <w:tcW w:w="709" w:type="dxa"/>
            <w:tcBorders>
              <w:top w:val="nil"/>
              <w:left w:val="nil"/>
              <w:bottom w:val="single" w:sz="4" w:space="0" w:color="auto"/>
              <w:right w:val="single" w:sz="4" w:space="0" w:color="auto"/>
            </w:tcBorders>
            <w:shd w:val="clear" w:color="auto" w:fill="auto"/>
            <w:noWrap/>
            <w:vAlign w:val="bottom"/>
            <w:hideMark/>
          </w:tcPr>
          <w:p w14:paraId="0489E080"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6</w:t>
            </w:r>
          </w:p>
        </w:tc>
      </w:tr>
      <w:tr w:rsidR="00CD6352" w:rsidRPr="001204BD" w14:paraId="5A26C58A"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2AE23019"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Compliance, standards &amp; regulations</w:t>
            </w:r>
          </w:p>
        </w:tc>
        <w:tc>
          <w:tcPr>
            <w:tcW w:w="1134" w:type="dxa"/>
            <w:tcBorders>
              <w:top w:val="nil"/>
              <w:left w:val="nil"/>
              <w:bottom w:val="single" w:sz="4" w:space="0" w:color="auto"/>
              <w:right w:val="single" w:sz="4" w:space="0" w:color="auto"/>
            </w:tcBorders>
            <w:shd w:val="clear" w:color="auto" w:fill="auto"/>
            <w:noWrap/>
            <w:vAlign w:val="bottom"/>
            <w:hideMark/>
          </w:tcPr>
          <w:p w14:paraId="425C0121"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3.8</w:t>
            </w:r>
          </w:p>
        </w:tc>
        <w:tc>
          <w:tcPr>
            <w:tcW w:w="709" w:type="dxa"/>
            <w:tcBorders>
              <w:top w:val="nil"/>
              <w:left w:val="nil"/>
              <w:bottom w:val="single" w:sz="4" w:space="0" w:color="auto"/>
              <w:right w:val="single" w:sz="4" w:space="0" w:color="auto"/>
            </w:tcBorders>
            <w:shd w:val="clear" w:color="auto" w:fill="auto"/>
            <w:noWrap/>
            <w:vAlign w:val="bottom"/>
            <w:hideMark/>
          </w:tcPr>
          <w:p w14:paraId="5EA424DB"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7</w:t>
            </w:r>
          </w:p>
        </w:tc>
      </w:tr>
      <w:tr w:rsidR="00CD6352" w:rsidRPr="001204BD" w14:paraId="203D973B"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1C753320"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Planning &amp; control</w:t>
            </w:r>
          </w:p>
        </w:tc>
        <w:tc>
          <w:tcPr>
            <w:tcW w:w="1134" w:type="dxa"/>
            <w:tcBorders>
              <w:top w:val="nil"/>
              <w:left w:val="nil"/>
              <w:bottom w:val="single" w:sz="4" w:space="0" w:color="auto"/>
              <w:right w:val="single" w:sz="4" w:space="0" w:color="auto"/>
            </w:tcBorders>
            <w:shd w:val="clear" w:color="auto" w:fill="auto"/>
            <w:noWrap/>
            <w:vAlign w:val="bottom"/>
            <w:hideMark/>
          </w:tcPr>
          <w:p w14:paraId="57370CFE"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3.77</w:t>
            </w:r>
          </w:p>
        </w:tc>
        <w:tc>
          <w:tcPr>
            <w:tcW w:w="709" w:type="dxa"/>
            <w:tcBorders>
              <w:top w:val="nil"/>
              <w:left w:val="nil"/>
              <w:bottom w:val="single" w:sz="4" w:space="0" w:color="auto"/>
              <w:right w:val="single" w:sz="4" w:space="0" w:color="auto"/>
            </w:tcBorders>
            <w:shd w:val="clear" w:color="auto" w:fill="auto"/>
            <w:noWrap/>
            <w:vAlign w:val="bottom"/>
            <w:hideMark/>
          </w:tcPr>
          <w:p w14:paraId="75FA593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8</w:t>
            </w:r>
          </w:p>
        </w:tc>
      </w:tr>
      <w:tr w:rsidR="00CD6352" w:rsidRPr="001204BD" w14:paraId="076B1F34"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75DF7CD6"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 xml:space="preserve">Commercial management </w:t>
            </w:r>
          </w:p>
        </w:tc>
        <w:tc>
          <w:tcPr>
            <w:tcW w:w="1134" w:type="dxa"/>
            <w:tcBorders>
              <w:top w:val="nil"/>
              <w:left w:val="nil"/>
              <w:bottom w:val="single" w:sz="4" w:space="0" w:color="auto"/>
              <w:right w:val="single" w:sz="4" w:space="0" w:color="auto"/>
            </w:tcBorders>
            <w:shd w:val="clear" w:color="auto" w:fill="auto"/>
            <w:noWrap/>
            <w:vAlign w:val="bottom"/>
            <w:hideMark/>
          </w:tcPr>
          <w:p w14:paraId="19C505BF"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3.76</w:t>
            </w:r>
          </w:p>
        </w:tc>
        <w:tc>
          <w:tcPr>
            <w:tcW w:w="709" w:type="dxa"/>
            <w:tcBorders>
              <w:top w:val="nil"/>
              <w:left w:val="nil"/>
              <w:bottom w:val="single" w:sz="4" w:space="0" w:color="auto"/>
              <w:right w:val="single" w:sz="4" w:space="0" w:color="auto"/>
            </w:tcBorders>
            <w:shd w:val="clear" w:color="auto" w:fill="auto"/>
            <w:noWrap/>
            <w:vAlign w:val="bottom"/>
            <w:hideMark/>
          </w:tcPr>
          <w:p w14:paraId="367A285C"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9</w:t>
            </w:r>
          </w:p>
        </w:tc>
      </w:tr>
      <w:tr w:rsidR="00CD6352" w:rsidRPr="001204BD" w14:paraId="73F322FC"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3398AFD6"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Capability development</w:t>
            </w:r>
          </w:p>
        </w:tc>
        <w:tc>
          <w:tcPr>
            <w:tcW w:w="1134" w:type="dxa"/>
            <w:tcBorders>
              <w:top w:val="nil"/>
              <w:left w:val="nil"/>
              <w:bottom w:val="single" w:sz="4" w:space="0" w:color="auto"/>
              <w:right w:val="single" w:sz="4" w:space="0" w:color="auto"/>
            </w:tcBorders>
            <w:shd w:val="clear" w:color="auto" w:fill="auto"/>
            <w:noWrap/>
            <w:vAlign w:val="bottom"/>
            <w:hideMark/>
          </w:tcPr>
          <w:p w14:paraId="039E6316"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3.72</w:t>
            </w:r>
          </w:p>
        </w:tc>
        <w:tc>
          <w:tcPr>
            <w:tcW w:w="709" w:type="dxa"/>
            <w:tcBorders>
              <w:top w:val="nil"/>
              <w:left w:val="nil"/>
              <w:bottom w:val="single" w:sz="4" w:space="0" w:color="auto"/>
              <w:right w:val="single" w:sz="4" w:space="0" w:color="auto"/>
            </w:tcBorders>
            <w:shd w:val="clear" w:color="auto" w:fill="auto"/>
            <w:noWrap/>
            <w:vAlign w:val="bottom"/>
            <w:hideMark/>
          </w:tcPr>
          <w:p w14:paraId="6E4BFB43"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10</w:t>
            </w:r>
          </w:p>
        </w:tc>
      </w:tr>
      <w:tr w:rsidR="00CD6352" w:rsidRPr="001204BD" w14:paraId="4EAF068E"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5192223E"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Technical competence</w:t>
            </w:r>
          </w:p>
        </w:tc>
        <w:tc>
          <w:tcPr>
            <w:tcW w:w="1134" w:type="dxa"/>
            <w:tcBorders>
              <w:top w:val="nil"/>
              <w:left w:val="nil"/>
              <w:bottom w:val="single" w:sz="4" w:space="0" w:color="auto"/>
              <w:right w:val="single" w:sz="4" w:space="0" w:color="auto"/>
            </w:tcBorders>
            <w:shd w:val="clear" w:color="auto" w:fill="auto"/>
            <w:noWrap/>
            <w:vAlign w:val="bottom"/>
            <w:hideMark/>
          </w:tcPr>
          <w:p w14:paraId="6E3898BC"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3.69</w:t>
            </w:r>
          </w:p>
        </w:tc>
        <w:tc>
          <w:tcPr>
            <w:tcW w:w="709" w:type="dxa"/>
            <w:tcBorders>
              <w:top w:val="nil"/>
              <w:left w:val="nil"/>
              <w:bottom w:val="single" w:sz="4" w:space="0" w:color="auto"/>
              <w:right w:val="single" w:sz="4" w:space="0" w:color="auto"/>
            </w:tcBorders>
            <w:shd w:val="clear" w:color="auto" w:fill="auto"/>
            <w:noWrap/>
            <w:vAlign w:val="bottom"/>
            <w:hideMark/>
          </w:tcPr>
          <w:p w14:paraId="0C4859F0"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11</w:t>
            </w:r>
          </w:p>
        </w:tc>
      </w:tr>
      <w:tr w:rsidR="00CD6352" w:rsidRPr="001204BD" w14:paraId="621DD46F"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2B9B6289"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Risk &amp; opportunity</w:t>
            </w:r>
          </w:p>
        </w:tc>
        <w:tc>
          <w:tcPr>
            <w:tcW w:w="1134" w:type="dxa"/>
            <w:tcBorders>
              <w:top w:val="nil"/>
              <w:left w:val="nil"/>
              <w:bottom w:val="single" w:sz="4" w:space="0" w:color="auto"/>
              <w:right w:val="single" w:sz="4" w:space="0" w:color="auto"/>
            </w:tcBorders>
            <w:shd w:val="clear" w:color="auto" w:fill="auto"/>
            <w:noWrap/>
            <w:vAlign w:val="bottom"/>
            <w:hideMark/>
          </w:tcPr>
          <w:p w14:paraId="031FD94C"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3.69</w:t>
            </w:r>
          </w:p>
        </w:tc>
        <w:tc>
          <w:tcPr>
            <w:tcW w:w="709" w:type="dxa"/>
            <w:tcBorders>
              <w:top w:val="nil"/>
              <w:left w:val="nil"/>
              <w:bottom w:val="single" w:sz="4" w:space="0" w:color="auto"/>
              <w:right w:val="single" w:sz="4" w:space="0" w:color="auto"/>
            </w:tcBorders>
            <w:shd w:val="clear" w:color="auto" w:fill="auto"/>
            <w:noWrap/>
            <w:vAlign w:val="bottom"/>
            <w:hideMark/>
          </w:tcPr>
          <w:p w14:paraId="77DFDC92"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12</w:t>
            </w:r>
          </w:p>
        </w:tc>
      </w:tr>
      <w:tr w:rsidR="00CD6352" w:rsidRPr="001204BD" w14:paraId="3FD1C1FD"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2D6B9FC9"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Ethics, compliance, and professionalism</w:t>
            </w:r>
          </w:p>
        </w:tc>
        <w:tc>
          <w:tcPr>
            <w:tcW w:w="1134" w:type="dxa"/>
            <w:tcBorders>
              <w:top w:val="nil"/>
              <w:left w:val="nil"/>
              <w:bottom w:val="single" w:sz="4" w:space="0" w:color="auto"/>
              <w:right w:val="single" w:sz="4" w:space="0" w:color="auto"/>
            </w:tcBorders>
            <w:shd w:val="clear" w:color="auto" w:fill="auto"/>
            <w:noWrap/>
            <w:vAlign w:val="bottom"/>
            <w:hideMark/>
          </w:tcPr>
          <w:p w14:paraId="14DDA65B"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3.68</w:t>
            </w:r>
          </w:p>
        </w:tc>
        <w:tc>
          <w:tcPr>
            <w:tcW w:w="709" w:type="dxa"/>
            <w:tcBorders>
              <w:top w:val="nil"/>
              <w:left w:val="nil"/>
              <w:bottom w:val="single" w:sz="4" w:space="0" w:color="auto"/>
              <w:right w:val="single" w:sz="4" w:space="0" w:color="auto"/>
            </w:tcBorders>
            <w:shd w:val="clear" w:color="auto" w:fill="auto"/>
            <w:noWrap/>
            <w:vAlign w:val="bottom"/>
            <w:hideMark/>
          </w:tcPr>
          <w:p w14:paraId="1643BDB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13</w:t>
            </w:r>
          </w:p>
        </w:tc>
      </w:tr>
      <w:tr w:rsidR="00CD6352" w:rsidRPr="001204BD" w14:paraId="4B25B47A" w14:textId="77777777" w:rsidTr="00CD6352">
        <w:trPr>
          <w:trHeight w:val="279"/>
        </w:trPr>
        <w:tc>
          <w:tcPr>
            <w:tcW w:w="6423" w:type="dxa"/>
            <w:tcBorders>
              <w:top w:val="nil"/>
              <w:left w:val="single" w:sz="4" w:space="0" w:color="auto"/>
              <w:bottom w:val="single" w:sz="4" w:space="0" w:color="auto"/>
              <w:right w:val="single" w:sz="4" w:space="0" w:color="auto"/>
            </w:tcBorders>
            <w:shd w:val="clear" w:color="auto" w:fill="auto"/>
            <w:vAlign w:val="bottom"/>
            <w:hideMark/>
          </w:tcPr>
          <w:p w14:paraId="6D0BDCB3"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Political competence( self-confidence, social astuteness &amp; ability to influence others</w:t>
            </w:r>
          </w:p>
        </w:tc>
        <w:tc>
          <w:tcPr>
            <w:tcW w:w="1134" w:type="dxa"/>
            <w:tcBorders>
              <w:top w:val="nil"/>
              <w:left w:val="nil"/>
              <w:bottom w:val="single" w:sz="4" w:space="0" w:color="auto"/>
              <w:right w:val="single" w:sz="4" w:space="0" w:color="auto"/>
            </w:tcBorders>
            <w:shd w:val="clear" w:color="auto" w:fill="auto"/>
            <w:noWrap/>
            <w:vAlign w:val="bottom"/>
            <w:hideMark/>
          </w:tcPr>
          <w:p w14:paraId="7B1EBE6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3.65</w:t>
            </w:r>
          </w:p>
        </w:tc>
        <w:tc>
          <w:tcPr>
            <w:tcW w:w="709" w:type="dxa"/>
            <w:tcBorders>
              <w:top w:val="nil"/>
              <w:left w:val="nil"/>
              <w:bottom w:val="single" w:sz="4" w:space="0" w:color="auto"/>
              <w:right w:val="single" w:sz="4" w:space="0" w:color="auto"/>
            </w:tcBorders>
            <w:shd w:val="clear" w:color="auto" w:fill="auto"/>
            <w:noWrap/>
            <w:vAlign w:val="bottom"/>
            <w:hideMark/>
          </w:tcPr>
          <w:p w14:paraId="657B6D8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14</w:t>
            </w:r>
          </w:p>
        </w:tc>
      </w:tr>
      <w:tr w:rsidR="00CD6352" w:rsidRPr="001204BD" w14:paraId="47974624"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00897D66"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Asset allocation</w:t>
            </w:r>
          </w:p>
        </w:tc>
        <w:tc>
          <w:tcPr>
            <w:tcW w:w="1134" w:type="dxa"/>
            <w:tcBorders>
              <w:top w:val="nil"/>
              <w:left w:val="nil"/>
              <w:bottom w:val="single" w:sz="4" w:space="0" w:color="auto"/>
              <w:right w:val="single" w:sz="4" w:space="0" w:color="auto"/>
            </w:tcBorders>
            <w:shd w:val="clear" w:color="auto" w:fill="auto"/>
            <w:noWrap/>
            <w:vAlign w:val="bottom"/>
            <w:hideMark/>
          </w:tcPr>
          <w:p w14:paraId="359C53B3"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3.57</w:t>
            </w:r>
          </w:p>
        </w:tc>
        <w:tc>
          <w:tcPr>
            <w:tcW w:w="709" w:type="dxa"/>
            <w:tcBorders>
              <w:top w:val="nil"/>
              <w:left w:val="nil"/>
              <w:bottom w:val="single" w:sz="4" w:space="0" w:color="auto"/>
              <w:right w:val="single" w:sz="4" w:space="0" w:color="auto"/>
            </w:tcBorders>
            <w:shd w:val="clear" w:color="auto" w:fill="auto"/>
            <w:noWrap/>
            <w:vAlign w:val="bottom"/>
            <w:hideMark/>
          </w:tcPr>
          <w:p w14:paraId="4943C2DC"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15</w:t>
            </w:r>
          </w:p>
        </w:tc>
      </w:tr>
      <w:tr w:rsidR="00CD6352" w:rsidRPr="001204BD" w14:paraId="23158539"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116AB337"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Politics &amp; use of power</w:t>
            </w:r>
          </w:p>
        </w:tc>
        <w:tc>
          <w:tcPr>
            <w:tcW w:w="1134" w:type="dxa"/>
            <w:tcBorders>
              <w:top w:val="nil"/>
              <w:left w:val="nil"/>
              <w:bottom w:val="single" w:sz="4" w:space="0" w:color="auto"/>
              <w:right w:val="single" w:sz="4" w:space="0" w:color="auto"/>
            </w:tcBorders>
            <w:shd w:val="clear" w:color="auto" w:fill="auto"/>
            <w:noWrap/>
            <w:vAlign w:val="bottom"/>
            <w:hideMark/>
          </w:tcPr>
          <w:p w14:paraId="4569FA2E"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3.54</w:t>
            </w:r>
          </w:p>
        </w:tc>
        <w:tc>
          <w:tcPr>
            <w:tcW w:w="709" w:type="dxa"/>
            <w:tcBorders>
              <w:top w:val="nil"/>
              <w:left w:val="nil"/>
              <w:bottom w:val="single" w:sz="4" w:space="0" w:color="auto"/>
              <w:right w:val="single" w:sz="4" w:space="0" w:color="auto"/>
            </w:tcBorders>
            <w:shd w:val="clear" w:color="auto" w:fill="auto"/>
            <w:noWrap/>
            <w:vAlign w:val="bottom"/>
            <w:hideMark/>
          </w:tcPr>
          <w:p w14:paraId="0DAF8F34"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16</w:t>
            </w:r>
          </w:p>
        </w:tc>
      </w:tr>
      <w:tr w:rsidR="00CD6352" w:rsidRPr="001204BD" w14:paraId="6CB19F39"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0BA4B28D"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Business case</w:t>
            </w:r>
          </w:p>
        </w:tc>
        <w:tc>
          <w:tcPr>
            <w:tcW w:w="1134" w:type="dxa"/>
            <w:tcBorders>
              <w:top w:val="nil"/>
              <w:left w:val="nil"/>
              <w:bottom w:val="single" w:sz="4" w:space="0" w:color="auto"/>
              <w:right w:val="single" w:sz="4" w:space="0" w:color="auto"/>
            </w:tcBorders>
            <w:shd w:val="clear" w:color="auto" w:fill="auto"/>
            <w:noWrap/>
            <w:vAlign w:val="bottom"/>
            <w:hideMark/>
          </w:tcPr>
          <w:p w14:paraId="486292B4"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3.53</w:t>
            </w:r>
          </w:p>
        </w:tc>
        <w:tc>
          <w:tcPr>
            <w:tcW w:w="709" w:type="dxa"/>
            <w:tcBorders>
              <w:top w:val="nil"/>
              <w:left w:val="nil"/>
              <w:bottom w:val="single" w:sz="4" w:space="0" w:color="auto"/>
              <w:right w:val="single" w:sz="4" w:space="0" w:color="auto"/>
            </w:tcBorders>
            <w:shd w:val="clear" w:color="auto" w:fill="auto"/>
            <w:noWrap/>
            <w:vAlign w:val="bottom"/>
            <w:hideMark/>
          </w:tcPr>
          <w:p w14:paraId="08A2E82C"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17</w:t>
            </w:r>
          </w:p>
        </w:tc>
      </w:tr>
      <w:tr w:rsidR="00CD6352" w:rsidRPr="001204BD" w14:paraId="084F8ABB"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7536333B"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Governance, structure, and processes</w:t>
            </w:r>
          </w:p>
        </w:tc>
        <w:tc>
          <w:tcPr>
            <w:tcW w:w="1134" w:type="dxa"/>
            <w:tcBorders>
              <w:top w:val="nil"/>
              <w:left w:val="nil"/>
              <w:bottom w:val="single" w:sz="4" w:space="0" w:color="auto"/>
              <w:right w:val="single" w:sz="4" w:space="0" w:color="auto"/>
            </w:tcBorders>
            <w:shd w:val="clear" w:color="auto" w:fill="auto"/>
            <w:noWrap/>
            <w:vAlign w:val="bottom"/>
            <w:hideMark/>
          </w:tcPr>
          <w:p w14:paraId="3B58636F"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3.51</w:t>
            </w:r>
          </w:p>
        </w:tc>
        <w:tc>
          <w:tcPr>
            <w:tcW w:w="709" w:type="dxa"/>
            <w:tcBorders>
              <w:top w:val="nil"/>
              <w:left w:val="nil"/>
              <w:bottom w:val="single" w:sz="4" w:space="0" w:color="auto"/>
              <w:right w:val="single" w:sz="4" w:space="0" w:color="auto"/>
            </w:tcBorders>
            <w:shd w:val="clear" w:color="auto" w:fill="auto"/>
            <w:noWrap/>
            <w:vAlign w:val="bottom"/>
            <w:hideMark/>
          </w:tcPr>
          <w:p w14:paraId="48EB5CAF"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18</w:t>
            </w:r>
          </w:p>
        </w:tc>
      </w:tr>
      <w:tr w:rsidR="00CD6352" w:rsidRPr="001204BD" w14:paraId="609E02F4" w14:textId="77777777" w:rsidTr="00CD6352">
        <w:trPr>
          <w:trHeight w:val="300"/>
        </w:trPr>
        <w:tc>
          <w:tcPr>
            <w:tcW w:w="6423" w:type="dxa"/>
            <w:tcBorders>
              <w:top w:val="nil"/>
              <w:left w:val="single" w:sz="4" w:space="0" w:color="auto"/>
              <w:bottom w:val="single" w:sz="4" w:space="0" w:color="auto"/>
              <w:right w:val="single" w:sz="4" w:space="0" w:color="auto"/>
            </w:tcBorders>
            <w:shd w:val="clear" w:color="auto" w:fill="auto"/>
            <w:noWrap/>
            <w:vAlign w:val="bottom"/>
            <w:hideMark/>
          </w:tcPr>
          <w:p w14:paraId="6E89E3A6" w14:textId="77777777" w:rsidR="00CD6352" w:rsidRPr="001204BD" w:rsidRDefault="00CD6352" w:rsidP="00CD6352">
            <w:pPr>
              <w:spacing w:after="0" w:line="240" w:lineRule="auto"/>
              <w:rPr>
                <w:rFonts w:ascii="Arial" w:eastAsia="Times New Roman" w:hAnsi="Arial" w:cs="Arial"/>
                <w:color w:val="000000"/>
                <w:sz w:val="16"/>
                <w:szCs w:val="16"/>
                <w:lang w:eastAsia="en-GB"/>
              </w:rPr>
            </w:pPr>
            <w:r w:rsidRPr="001204BD">
              <w:rPr>
                <w:rFonts w:ascii="Arial" w:eastAsia="Times New Roman" w:hAnsi="Arial" w:cs="Arial"/>
                <w:color w:val="000000"/>
                <w:sz w:val="16"/>
                <w:szCs w:val="16"/>
                <w:lang w:eastAsia="en-GB"/>
              </w:rPr>
              <w:t>Independence assurance</w:t>
            </w:r>
          </w:p>
        </w:tc>
        <w:tc>
          <w:tcPr>
            <w:tcW w:w="1134" w:type="dxa"/>
            <w:tcBorders>
              <w:top w:val="nil"/>
              <w:left w:val="nil"/>
              <w:bottom w:val="single" w:sz="4" w:space="0" w:color="auto"/>
              <w:right w:val="single" w:sz="4" w:space="0" w:color="auto"/>
            </w:tcBorders>
            <w:shd w:val="clear" w:color="auto" w:fill="auto"/>
            <w:noWrap/>
            <w:vAlign w:val="bottom"/>
            <w:hideMark/>
          </w:tcPr>
          <w:p w14:paraId="3AEF4E97"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3.32</w:t>
            </w:r>
          </w:p>
        </w:tc>
        <w:tc>
          <w:tcPr>
            <w:tcW w:w="709" w:type="dxa"/>
            <w:tcBorders>
              <w:top w:val="nil"/>
              <w:left w:val="nil"/>
              <w:bottom w:val="single" w:sz="4" w:space="0" w:color="auto"/>
              <w:right w:val="single" w:sz="4" w:space="0" w:color="auto"/>
            </w:tcBorders>
            <w:shd w:val="clear" w:color="auto" w:fill="auto"/>
            <w:noWrap/>
            <w:vAlign w:val="bottom"/>
            <w:hideMark/>
          </w:tcPr>
          <w:p w14:paraId="09A6D74B" w14:textId="77777777" w:rsidR="00CD6352" w:rsidRPr="001204BD" w:rsidRDefault="00CD6352" w:rsidP="00CD6352">
            <w:pPr>
              <w:spacing w:after="0" w:line="240" w:lineRule="auto"/>
              <w:jc w:val="right"/>
              <w:rPr>
                <w:rFonts w:ascii="Arial" w:eastAsia="Times New Roman" w:hAnsi="Arial" w:cs="Arial"/>
                <w:color w:val="000000"/>
                <w:sz w:val="16"/>
                <w:szCs w:val="16"/>
                <w:lang w:eastAsia="en-GB"/>
              </w:rPr>
            </w:pPr>
            <w:r w:rsidRPr="001204BD">
              <w:rPr>
                <w:rFonts w:ascii="Arial" w:eastAsia="Times New Roman" w:hAnsi="Arial" w:cs="Arial"/>
                <w:color w:val="000000" w:themeColor="text1"/>
                <w:sz w:val="16"/>
                <w:szCs w:val="16"/>
                <w:lang w:eastAsia="en-GB"/>
              </w:rPr>
              <w:t>19</w:t>
            </w:r>
          </w:p>
        </w:tc>
      </w:tr>
    </w:tbl>
    <w:p w14:paraId="28E43903" w14:textId="77777777" w:rsidR="00CD6352" w:rsidRPr="00EA7665" w:rsidRDefault="00CD6352" w:rsidP="00CD6352">
      <w:pPr>
        <w:rPr>
          <w:rFonts w:ascii="Arial" w:hAnsi="Arial" w:cs="Arial"/>
          <w:sz w:val="16"/>
          <w:szCs w:val="16"/>
        </w:rPr>
      </w:pPr>
      <w:r w:rsidRPr="00EA7665">
        <w:rPr>
          <w:rFonts w:ascii="Arial" w:hAnsi="Arial" w:cs="Arial"/>
          <w:sz w:val="16"/>
          <w:szCs w:val="16"/>
        </w:rPr>
        <w:t>Not needed(1)</w:t>
      </w:r>
      <w:r w:rsidRPr="00EA7665">
        <w:rPr>
          <w:rFonts w:ascii="Arial" w:hAnsi="Arial" w:cs="Arial"/>
          <w:sz w:val="16"/>
          <w:szCs w:val="16"/>
        </w:rPr>
        <w:tab/>
        <w:t>, Less needed(2), Needed(3),Very needed(4)Highly needed(5)</w:t>
      </w:r>
    </w:p>
    <w:p w14:paraId="0606567E" w14:textId="77777777" w:rsidR="00CD6352" w:rsidRPr="00EA7665" w:rsidRDefault="00CD6352" w:rsidP="00CD6352">
      <w:pPr>
        <w:spacing w:line="360" w:lineRule="auto"/>
        <w:rPr>
          <w:rFonts w:ascii="Arial" w:hAnsi="Arial" w:cs="Arial"/>
        </w:rPr>
      </w:pPr>
    </w:p>
    <w:p w14:paraId="527F1842" w14:textId="77777777" w:rsidR="00CD6352" w:rsidRPr="00EA7665" w:rsidRDefault="00CD6352" w:rsidP="005A2601">
      <w:pPr>
        <w:pStyle w:val="Heading4"/>
        <w:spacing w:after="240"/>
        <w:rPr>
          <w:rFonts w:ascii="Arial" w:hAnsi="Arial" w:cs="Arial"/>
          <w:color w:val="auto"/>
        </w:rPr>
      </w:pPr>
      <w:r w:rsidRPr="00EA7665">
        <w:rPr>
          <w:rFonts w:ascii="Arial" w:hAnsi="Arial" w:cs="Arial"/>
          <w:color w:val="auto"/>
        </w:rPr>
        <w:t>Questionnaire survey discussion and analysis at the disaggregate level</w:t>
      </w:r>
    </w:p>
    <w:p w14:paraId="10C3A223" w14:textId="77777777" w:rsidR="00CD6352" w:rsidRPr="00EA7665" w:rsidRDefault="00CD6352" w:rsidP="00CD6352">
      <w:pPr>
        <w:spacing w:line="360" w:lineRule="auto"/>
        <w:rPr>
          <w:rFonts w:ascii="Arial" w:hAnsi="Arial" w:cs="Arial"/>
        </w:rPr>
      </w:pPr>
      <w:r w:rsidRPr="00EA7665">
        <w:rPr>
          <w:rFonts w:ascii="Arial" w:hAnsi="Arial" w:cs="Arial"/>
        </w:rPr>
        <w:t>The mean score range for the need for training and education for competences for securing finance for real estate project development is Germany ( 4 to 0), UK (3.83 to 2.67), US (4 to 2.33), China (3.25 to 2.22), Nigeria (4.38 to 3.63) and South Africa (4.29 to 3.5).</w:t>
      </w:r>
    </w:p>
    <w:p w14:paraId="3C2FC7FF" w14:textId="4D4D3E96" w:rsidR="00CD6352" w:rsidRPr="00EA7665" w:rsidRDefault="00CD6352" w:rsidP="00CD6352">
      <w:pPr>
        <w:spacing w:line="360" w:lineRule="auto"/>
        <w:rPr>
          <w:rFonts w:ascii="Arial" w:hAnsi="Arial" w:cs="Arial"/>
        </w:rPr>
      </w:pPr>
      <w:r w:rsidRPr="00EA7665">
        <w:rPr>
          <w:rFonts w:ascii="Arial" w:hAnsi="Arial" w:cs="Arial"/>
        </w:rPr>
        <w:t xml:space="preserve">The data shows that the survey respondents from </w:t>
      </w:r>
      <w:r>
        <w:rPr>
          <w:rFonts w:ascii="Arial" w:hAnsi="Arial" w:cs="Arial"/>
        </w:rPr>
        <w:t>all</w:t>
      </w:r>
      <w:r w:rsidRPr="00EA7665">
        <w:rPr>
          <w:rFonts w:ascii="Arial" w:hAnsi="Arial" w:cs="Arial"/>
        </w:rPr>
        <w:t xml:space="preserve"> </w:t>
      </w:r>
      <w:r>
        <w:rPr>
          <w:rFonts w:ascii="Arial" w:hAnsi="Arial" w:cs="Arial"/>
        </w:rPr>
        <w:t xml:space="preserve">the </w:t>
      </w:r>
      <w:r w:rsidRPr="00EA7665">
        <w:rPr>
          <w:rFonts w:ascii="Arial" w:hAnsi="Arial" w:cs="Arial"/>
        </w:rPr>
        <w:t>countries</w:t>
      </w:r>
      <w:r>
        <w:rPr>
          <w:rFonts w:ascii="Arial" w:hAnsi="Arial" w:cs="Arial"/>
        </w:rPr>
        <w:t>,</w:t>
      </w:r>
      <w:r w:rsidRPr="00EA7665">
        <w:rPr>
          <w:rFonts w:ascii="Arial" w:hAnsi="Arial" w:cs="Arial"/>
        </w:rPr>
        <w:t xml:space="preserve"> apart from Germany</w:t>
      </w:r>
      <w:r>
        <w:rPr>
          <w:rFonts w:ascii="Arial" w:hAnsi="Arial" w:cs="Arial"/>
        </w:rPr>
        <w:t>,</w:t>
      </w:r>
      <w:r w:rsidRPr="00EA7665">
        <w:rPr>
          <w:rFonts w:ascii="Arial" w:hAnsi="Arial" w:cs="Arial"/>
        </w:rPr>
        <w:t xml:space="preserve"> are of the view that they need training and education for all nineteen management competences for securing finance for real estate project development for the future</w:t>
      </w:r>
      <w:r w:rsidR="00D933AD">
        <w:rPr>
          <w:rFonts w:ascii="Arial" w:hAnsi="Arial" w:cs="Arial"/>
        </w:rPr>
        <w:t xml:space="preserve"> ( see details in appendix 1 table 11)</w:t>
      </w:r>
      <w:r w:rsidRPr="00EA7665">
        <w:rPr>
          <w:rFonts w:ascii="Arial" w:hAnsi="Arial" w:cs="Arial"/>
        </w:rPr>
        <w:t xml:space="preserve">. The respondents from Germany </w:t>
      </w:r>
      <w:r>
        <w:rPr>
          <w:rFonts w:ascii="Arial" w:hAnsi="Arial" w:cs="Arial"/>
        </w:rPr>
        <w:t xml:space="preserve">are </w:t>
      </w:r>
      <w:r w:rsidRPr="00EA7665">
        <w:rPr>
          <w:rFonts w:ascii="Arial" w:hAnsi="Arial" w:cs="Arial"/>
        </w:rPr>
        <w:t xml:space="preserve">of the view that they do not need training and education for commercial management, business case, negotiation, planning and control, governance, structure and processes, political competence, risks and opportunity and </w:t>
      </w:r>
      <w:r>
        <w:rPr>
          <w:rFonts w:ascii="Arial" w:hAnsi="Arial" w:cs="Arial"/>
        </w:rPr>
        <w:t>resourcefulness.  The</w:t>
      </w:r>
      <w:r w:rsidRPr="00EA7665">
        <w:rPr>
          <w:rFonts w:ascii="Arial" w:hAnsi="Arial" w:cs="Arial"/>
        </w:rPr>
        <w:t xml:space="preserve"> top five comp</w:t>
      </w:r>
      <w:r>
        <w:rPr>
          <w:rFonts w:ascii="Arial" w:hAnsi="Arial" w:cs="Arial"/>
        </w:rPr>
        <w:t>etences</w:t>
      </w:r>
      <w:r w:rsidRPr="00EA7665">
        <w:rPr>
          <w:rFonts w:ascii="Arial" w:hAnsi="Arial" w:cs="Arial"/>
        </w:rPr>
        <w:t xml:space="preserve"> which the managers in the different countries indicated they needed training and education for</w:t>
      </w:r>
      <w:r>
        <w:rPr>
          <w:rFonts w:ascii="Arial" w:hAnsi="Arial" w:cs="Arial"/>
        </w:rPr>
        <w:t>, for</w:t>
      </w:r>
      <w:r w:rsidRPr="00EA7665">
        <w:rPr>
          <w:rFonts w:ascii="Arial" w:hAnsi="Arial" w:cs="Arial"/>
        </w:rPr>
        <w:t xml:space="preserve"> future use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01"/>
        <w:gridCol w:w="3013"/>
      </w:tblGrid>
      <w:tr w:rsidR="00CD6352" w:rsidRPr="00EA7665" w14:paraId="73FAAC42" w14:textId="77777777" w:rsidTr="00CD6352">
        <w:tc>
          <w:tcPr>
            <w:tcW w:w="3080" w:type="dxa"/>
          </w:tcPr>
          <w:p w14:paraId="10184CB8" w14:textId="77777777" w:rsidR="00CD6352" w:rsidRPr="00EA7665" w:rsidRDefault="00CD6352" w:rsidP="00CD6352">
            <w:pPr>
              <w:rPr>
                <w:rFonts w:ascii="Arial" w:hAnsi="Arial" w:cs="Arial"/>
                <w:sz w:val="16"/>
                <w:szCs w:val="16"/>
              </w:rPr>
            </w:pPr>
            <w:r w:rsidRPr="00EA7665">
              <w:rPr>
                <w:rFonts w:ascii="Arial" w:hAnsi="Arial" w:cs="Arial"/>
                <w:sz w:val="16"/>
                <w:szCs w:val="16"/>
              </w:rPr>
              <w:t>Germany</w:t>
            </w:r>
          </w:p>
          <w:p w14:paraId="0F43E279" w14:textId="77777777" w:rsidR="00CD6352" w:rsidRPr="00EA7665" w:rsidRDefault="00CD6352" w:rsidP="00C74AEC">
            <w:pPr>
              <w:pStyle w:val="ListParagraph"/>
              <w:numPr>
                <w:ilvl w:val="0"/>
                <w:numId w:val="183"/>
              </w:numPr>
              <w:spacing w:after="0" w:line="240" w:lineRule="auto"/>
              <w:rPr>
                <w:rFonts w:ascii="Arial" w:hAnsi="Arial" w:cs="Arial"/>
                <w:sz w:val="16"/>
                <w:szCs w:val="16"/>
              </w:rPr>
            </w:pPr>
            <w:r w:rsidRPr="00EA7665">
              <w:rPr>
                <w:rFonts w:ascii="Arial" w:hAnsi="Arial" w:cs="Arial"/>
                <w:sz w:val="16"/>
                <w:szCs w:val="16"/>
              </w:rPr>
              <w:t>Leadership competence</w:t>
            </w:r>
          </w:p>
          <w:p w14:paraId="3A53F534" w14:textId="77777777" w:rsidR="00CD6352" w:rsidRPr="00EA7665" w:rsidRDefault="00CD6352" w:rsidP="00C74AEC">
            <w:pPr>
              <w:pStyle w:val="ListParagraph"/>
              <w:numPr>
                <w:ilvl w:val="0"/>
                <w:numId w:val="183"/>
              </w:numPr>
              <w:spacing w:after="0" w:line="240" w:lineRule="auto"/>
              <w:rPr>
                <w:rFonts w:ascii="Arial" w:hAnsi="Arial" w:cs="Arial"/>
                <w:sz w:val="16"/>
                <w:szCs w:val="16"/>
              </w:rPr>
            </w:pPr>
            <w:r w:rsidRPr="00EA7665">
              <w:rPr>
                <w:rFonts w:ascii="Arial" w:hAnsi="Arial" w:cs="Arial"/>
                <w:sz w:val="16"/>
                <w:szCs w:val="16"/>
              </w:rPr>
              <w:t>Technical competence</w:t>
            </w:r>
          </w:p>
          <w:p w14:paraId="41F29D0A" w14:textId="77777777" w:rsidR="00CD6352" w:rsidRPr="00EA7665" w:rsidRDefault="00CD6352" w:rsidP="00C74AEC">
            <w:pPr>
              <w:pStyle w:val="ListParagraph"/>
              <w:numPr>
                <w:ilvl w:val="0"/>
                <w:numId w:val="183"/>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137F579C" w14:textId="77777777" w:rsidR="00CD6352" w:rsidRPr="00EA7665" w:rsidRDefault="00CD6352" w:rsidP="00C74AEC">
            <w:pPr>
              <w:pStyle w:val="ListParagraph"/>
              <w:numPr>
                <w:ilvl w:val="0"/>
                <w:numId w:val="183"/>
              </w:numPr>
              <w:spacing w:after="0" w:line="240" w:lineRule="auto"/>
              <w:rPr>
                <w:rFonts w:ascii="Arial" w:hAnsi="Arial" w:cs="Arial"/>
                <w:sz w:val="16"/>
                <w:szCs w:val="16"/>
              </w:rPr>
            </w:pPr>
            <w:r w:rsidRPr="00EA7665">
              <w:rPr>
                <w:rFonts w:ascii="Arial" w:hAnsi="Arial" w:cs="Arial"/>
                <w:sz w:val="16"/>
                <w:szCs w:val="16"/>
              </w:rPr>
              <w:t>Ethics, compliance, and professionalism</w:t>
            </w:r>
          </w:p>
          <w:p w14:paraId="1750C062" w14:textId="77777777" w:rsidR="00CD6352" w:rsidRPr="00EA7665" w:rsidRDefault="00CD6352" w:rsidP="00C74AEC">
            <w:pPr>
              <w:pStyle w:val="ListParagraph"/>
              <w:numPr>
                <w:ilvl w:val="0"/>
                <w:numId w:val="183"/>
              </w:numPr>
              <w:spacing w:after="0" w:line="240" w:lineRule="auto"/>
              <w:rPr>
                <w:rFonts w:ascii="Arial" w:hAnsi="Arial" w:cs="Arial"/>
                <w:sz w:val="16"/>
                <w:szCs w:val="16"/>
              </w:rPr>
            </w:pPr>
            <w:r w:rsidRPr="00EA7665">
              <w:rPr>
                <w:rFonts w:ascii="Arial" w:hAnsi="Arial" w:cs="Arial"/>
                <w:sz w:val="16"/>
                <w:szCs w:val="16"/>
              </w:rPr>
              <w:t>Politics &amp; use of power</w:t>
            </w:r>
          </w:p>
          <w:p w14:paraId="0FF138BC" w14:textId="77777777" w:rsidR="00CD6352" w:rsidRPr="00EA7665" w:rsidRDefault="00CD6352" w:rsidP="00CD6352">
            <w:pPr>
              <w:rPr>
                <w:rFonts w:ascii="Arial" w:hAnsi="Arial" w:cs="Arial"/>
                <w:sz w:val="16"/>
                <w:szCs w:val="16"/>
              </w:rPr>
            </w:pPr>
          </w:p>
        </w:tc>
        <w:tc>
          <w:tcPr>
            <w:tcW w:w="3081" w:type="dxa"/>
          </w:tcPr>
          <w:p w14:paraId="341A4290" w14:textId="77777777" w:rsidR="00CD6352" w:rsidRPr="00EA7665" w:rsidRDefault="00CD6352" w:rsidP="00CD6352">
            <w:pPr>
              <w:rPr>
                <w:rFonts w:ascii="Arial" w:hAnsi="Arial" w:cs="Arial"/>
                <w:sz w:val="16"/>
                <w:szCs w:val="16"/>
              </w:rPr>
            </w:pPr>
            <w:r w:rsidRPr="00EA7665">
              <w:rPr>
                <w:rFonts w:ascii="Arial" w:hAnsi="Arial" w:cs="Arial"/>
                <w:sz w:val="16"/>
                <w:szCs w:val="16"/>
              </w:rPr>
              <w:t>UK</w:t>
            </w:r>
          </w:p>
          <w:p w14:paraId="6E7865FA" w14:textId="77777777" w:rsidR="00CD6352" w:rsidRPr="00EA7665" w:rsidRDefault="00CD6352" w:rsidP="00C74AEC">
            <w:pPr>
              <w:pStyle w:val="ListParagraph"/>
              <w:numPr>
                <w:ilvl w:val="0"/>
                <w:numId w:val="182"/>
              </w:numPr>
              <w:spacing w:after="0" w:line="240" w:lineRule="auto"/>
              <w:rPr>
                <w:rFonts w:ascii="Arial" w:hAnsi="Arial" w:cs="Arial"/>
                <w:sz w:val="16"/>
                <w:szCs w:val="16"/>
              </w:rPr>
            </w:pPr>
            <w:r w:rsidRPr="00EA7665">
              <w:rPr>
                <w:rFonts w:ascii="Arial" w:hAnsi="Arial" w:cs="Arial"/>
                <w:sz w:val="16"/>
                <w:szCs w:val="16"/>
              </w:rPr>
              <w:t>Leadership competence</w:t>
            </w:r>
          </w:p>
          <w:p w14:paraId="1BED1598" w14:textId="77777777" w:rsidR="00CD6352" w:rsidRPr="00EA7665" w:rsidRDefault="00CD6352" w:rsidP="00C74AEC">
            <w:pPr>
              <w:pStyle w:val="ListParagraph"/>
              <w:numPr>
                <w:ilvl w:val="0"/>
                <w:numId w:val="182"/>
              </w:numPr>
              <w:spacing w:after="0" w:line="240" w:lineRule="auto"/>
              <w:rPr>
                <w:rFonts w:ascii="Arial" w:hAnsi="Arial" w:cs="Arial"/>
                <w:sz w:val="16"/>
                <w:szCs w:val="16"/>
              </w:rPr>
            </w:pPr>
            <w:r w:rsidRPr="00EA7665">
              <w:rPr>
                <w:rFonts w:ascii="Arial" w:hAnsi="Arial" w:cs="Arial"/>
                <w:sz w:val="16"/>
                <w:szCs w:val="16"/>
              </w:rPr>
              <w:t>Technical competence</w:t>
            </w:r>
          </w:p>
          <w:p w14:paraId="71621FBD" w14:textId="77777777" w:rsidR="00CD6352" w:rsidRPr="00EA7665" w:rsidRDefault="00CD6352" w:rsidP="00C74AEC">
            <w:pPr>
              <w:pStyle w:val="ListParagraph"/>
              <w:numPr>
                <w:ilvl w:val="0"/>
                <w:numId w:val="182"/>
              </w:numPr>
              <w:spacing w:after="0" w:line="240" w:lineRule="auto"/>
              <w:rPr>
                <w:rFonts w:ascii="Arial" w:hAnsi="Arial" w:cs="Arial"/>
                <w:sz w:val="16"/>
                <w:szCs w:val="16"/>
              </w:rPr>
            </w:pPr>
            <w:r w:rsidRPr="00EA7665">
              <w:rPr>
                <w:rFonts w:ascii="Arial" w:hAnsi="Arial" w:cs="Arial"/>
                <w:sz w:val="16"/>
                <w:szCs w:val="16"/>
              </w:rPr>
              <w:t>Planning &amp; control</w:t>
            </w:r>
          </w:p>
          <w:p w14:paraId="5C68865A" w14:textId="77777777" w:rsidR="00CD6352" w:rsidRPr="00EA7665" w:rsidRDefault="00CD6352" w:rsidP="00C74AEC">
            <w:pPr>
              <w:pStyle w:val="ListParagraph"/>
              <w:numPr>
                <w:ilvl w:val="0"/>
                <w:numId w:val="182"/>
              </w:numPr>
              <w:spacing w:after="0" w:line="240" w:lineRule="auto"/>
              <w:rPr>
                <w:rFonts w:ascii="Arial" w:hAnsi="Arial" w:cs="Arial"/>
                <w:sz w:val="16"/>
                <w:szCs w:val="16"/>
              </w:rPr>
            </w:pPr>
            <w:r w:rsidRPr="00EA7665">
              <w:rPr>
                <w:rFonts w:ascii="Arial" w:hAnsi="Arial" w:cs="Arial"/>
                <w:sz w:val="16"/>
                <w:szCs w:val="16"/>
              </w:rPr>
              <w:t xml:space="preserve">Negotiation </w:t>
            </w:r>
          </w:p>
          <w:p w14:paraId="30F70BBB" w14:textId="77777777" w:rsidR="00CD6352" w:rsidRPr="00EA7665" w:rsidRDefault="00CD6352" w:rsidP="00C74AEC">
            <w:pPr>
              <w:pStyle w:val="ListParagraph"/>
              <w:numPr>
                <w:ilvl w:val="0"/>
                <w:numId w:val="182"/>
              </w:numPr>
              <w:spacing w:after="0" w:line="240" w:lineRule="auto"/>
              <w:rPr>
                <w:rFonts w:ascii="Arial" w:hAnsi="Arial" w:cs="Arial"/>
                <w:sz w:val="16"/>
                <w:szCs w:val="16"/>
              </w:rPr>
            </w:pPr>
            <w:r w:rsidRPr="00EA7665">
              <w:rPr>
                <w:rFonts w:ascii="Arial" w:hAnsi="Arial" w:cs="Arial"/>
                <w:sz w:val="16"/>
                <w:szCs w:val="16"/>
              </w:rPr>
              <w:t>Result oriented</w:t>
            </w:r>
          </w:p>
        </w:tc>
        <w:tc>
          <w:tcPr>
            <w:tcW w:w="3081" w:type="dxa"/>
          </w:tcPr>
          <w:p w14:paraId="1089C108" w14:textId="77777777" w:rsidR="00CD6352" w:rsidRPr="00EA7665" w:rsidRDefault="00CD6352" w:rsidP="00CD6352">
            <w:pPr>
              <w:rPr>
                <w:rFonts w:ascii="Arial" w:hAnsi="Arial" w:cs="Arial"/>
                <w:sz w:val="16"/>
                <w:szCs w:val="16"/>
              </w:rPr>
            </w:pPr>
            <w:r w:rsidRPr="00EA7665">
              <w:rPr>
                <w:rFonts w:ascii="Arial" w:hAnsi="Arial" w:cs="Arial"/>
                <w:sz w:val="16"/>
                <w:szCs w:val="16"/>
              </w:rPr>
              <w:t>US</w:t>
            </w:r>
          </w:p>
          <w:p w14:paraId="0FBEF6F2" w14:textId="77777777" w:rsidR="00CD6352" w:rsidRPr="00EA7665" w:rsidRDefault="00CD6352" w:rsidP="00C74AEC">
            <w:pPr>
              <w:pStyle w:val="ListParagraph"/>
              <w:numPr>
                <w:ilvl w:val="0"/>
                <w:numId w:val="184"/>
              </w:numPr>
              <w:spacing w:after="0" w:line="240" w:lineRule="auto"/>
              <w:rPr>
                <w:rFonts w:ascii="Arial" w:hAnsi="Arial" w:cs="Arial"/>
                <w:sz w:val="16"/>
                <w:szCs w:val="16"/>
              </w:rPr>
            </w:pPr>
            <w:r w:rsidRPr="00EA7665">
              <w:rPr>
                <w:rFonts w:ascii="Arial" w:hAnsi="Arial" w:cs="Arial"/>
                <w:sz w:val="16"/>
                <w:szCs w:val="16"/>
              </w:rPr>
              <w:t>Leadership competence</w:t>
            </w:r>
          </w:p>
          <w:p w14:paraId="2C146DBE" w14:textId="77777777" w:rsidR="00CD6352" w:rsidRPr="00EA7665" w:rsidRDefault="00CD6352" w:rsidP="00C74AEC">
            <w:pPr>
              <w:pStyle w:val="ListParagraph"/>
              <w:numPr>
                <w:ilvl w:val="0"/>
                <w:numId w:val="184"/>
              </w:numPr>
              <w:spacing w:after="0" w:line="240" w:lineRule="auto"/>
              <w:rPr>
                <w:rFonts w:ascii="Arial" w:hAnsi="Arial" w:cs="Arial"/>
                <w:sz w:val="16"/>
                <w:szCs w:val="16"/>
              </w:rPr>
            </w:pPr>
            <w:r w:rsidRPr="00EA7665">
              <w:rPr>
                <w:rFonts w:ascii="Arial" w:hAnsi="Arial" w:cs="Arial"/>
                <w:sz w:val="16"/>
                <w:szCs w:val="16"/>
              </w:rPr>
              <w:t>Planning &amp; control</w:t>
            </w:r>
          </w:p>
          <w:p w14:paraId="26C2E4F9" w14:textId="77777777" w:rsidR="00CD6352" w:rsidRPr="00EA7665" w:rsidRDefault="00CD6352" w:rsidP="00C74AEC">
            <w:pPr>
              <w:pStyle w:val="ListParagraph"/>
              <w:numPr>
                <w:ilvl w:val="0"/>
                <w:numId w:val="184"/>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1DD6DADB" w14:textId="77777777" w:rsidR="00CD6352" w:rsidRPr="00EA7665" w:rsidRDefault="00CD6352" w:rsidP="00C74AEC">
            <w:pPr>
              <w:pStyle w:val="ListParagraph"/>
              <w:numPr>
                <w:ilvl w:val="0"/>
                <w:numId w:val="184"/>
              </w:numPr>
              <w:spacing w:after="0" w:line="240" w:lineRule="auto"/>
              <w:rPr>
                <w:rFonts w:ascii="Arial" w:hAnsi="Arial" w:cs="Arial"/>
                <w:sz w:val="16"/>
                <w:szCs w:val="16"/>
              </w:rPr>
            </w:pPr>
            <w:r w:rsidRPr="00EA7665">
              <w:rPr>
                <w:rFonts w:ascii="Arial" w:hAnsi="Arial" w:cs="Arial"/>
                <w:sz w:val="16"/>
                <w:szCs w:val="16"/>
              </w:rPr>
              <w:t>Ethics, compliance, and professionalism</w:t>
            </w:r>
          </w:p>
          <w:p w14:paraId="5696D874" w14:textId="77777777" w:rsidR="00CD6352" w:rsidRPr="00EA7665" w:rsidRDefault="00CD6352" w:rsidP="00C74AEC">
            <w:pPr>
              <w:pStyle w:val="ListParagraph"/>
              <w:numPr>
                <w:ilvl w:val="0"/>
                <w:numId w:val="184"/>
              </w:numPr>
              <w:spacing w:after="0" w:line="240" w:lineRule="auto"/>
              <w:rPr>
                <w:rFonts w:ascii="Arial" w:hAnsi="Arial" w:cs="Arial"/>
                <w:sz w:val="16"/>
                <w:szCs w:val="16"/>
              </w:rPr>
            </w:pPr>
            <w:r w:rsidRPr="00EA7665">
              <w:rPr>
                <w:rFonts w:ascii="Arial" w:hAnsi="Arial" w:cs="Arial"/>
                <w:sz w:val="16"/>
                <w:szCs w:val="16"/>
              </w:rPr>
              <w:t>Result oriented</w:t>
            </w:r>
          </w:p>
        </w:tc>
      </w:tr>
      <w:tr w:rsidR="00CD6352" w:rsidRPr="00EA7665" w14:paraId="7962317F" w14:textId="77777777" w:rsidTr="00CD6352">
        <w:tc>
          <w:tcPr>
            <w:tcW w:w="3080" w:type="dxa"/>
          </w:tcPr>
          <w:p w14:paraId="72AF632C" w14:textId="77777777" w:rsidR="00CD6352" w:rsidRPr="00EA7665" w:rsidRDefault="00CD6352" w:rsidP="00CD6352">
            <w:pPr>
              <w:rPr>
                <w:rFonts w:ascii="Arial" w:hAnsi="Arial" w:cs="Arial"/>
                <w:sz w:val="16"/>
                <w:szCs w:val="16"/>
              </w:rPr>
            </w:pPr>
            <w:r w:rsidRPr="00EA7665">
              <w:rPr>
                <w:rFonts w:ascii="Arial" w:hAnsi="Arial" w:cs="Arial"/>
                <w:sz w:val="16"/>
                <w:szCs w:val="16"/>
              </w:rPr>
              <w:t>China</w:t>
            </w:r>
          </w:p>
          <w:p w14:paraId="4D7C9149" w14:textId="77777777" w:rsidR="00CD6352" w:rsidRPr="00EA7665" w:rsidRDefault="00CD6352" w:rsidP="00C74AEC">
            <w:pPr>
              <w:pStyle w:val="ListParagraph"/>
              <w:numPr>
                <w:ilvl w:val="0"/>
                <w:numId w:val="185"/>
              </w:numPr>
              <w:spacing w:after="0" w:line="240" w:lineRule="auto"/>
              <w:rPr>
                <w:rFonts w:ascii="Arial" w:hAnsi="Arial" w:cs="Arial"/>
                <w:sz w:val="16"/>
                <w:szCs w:val="16"/>
              </w:rPr>
            </w:pPr>
            <w:r w:rsidRPr="00EA7665">
              <w:rPr>
                <w:rFonts w:ascii="Arial" w:hAnsi="Arial" w:cs="Arial"/>
                <w:sz w:val="16"/>
                <w:szCs w:val="16"/>
              </w:rPr>
              <w:t xml:space="preserve">Negotiation </w:t>
            </w:r>
          </w:p>
          <w:p w14:paraId="3EDE7290" w14:textId="77777777" w:rsidR="00CD6352" w:rsidRPr="00EA7665" w:rsidRDefault="00CD6352" w:rsidP="00C74AEC">
            <w:pPr>
              <w:pStyle w:val="ListParagraph"/>
              <w:numPr>
                <w:ilvl w:val="0"/>
                <w:numId w:val="185"/>
              </w:numPr>
              <w:spacing w:after="0" w:line="240" w:lineRule="auto"/>
              <w:rPr>
                <w:rFonts w:ascii="Arial" w:hAnsi="Arial" w:cs="Arial"/>
                <w:sz w:val="16"/>
                <w:szCs w:val="16"/>
              </w:rPr>
            </w:pPr>
            <w:r w:rsidRPr="00EA7665">
              <w:rPr>
                <w:rFonts w:ascii="Arial" w:hAnsi="Arial" w:cs="Arial"/>
                <w:sz w:val="16"/>
                <w:szCs w:val="16"/>
              </w:rPr>
              <w:t xml:space="preserve">Commercial management </w:t>
            </w:r>
          </w:p>
          <w:p w14:paraId="76DDDE5E" w14:textId="77777777" w:rsidR="00CD6352" w:rsidRPr="00EA7665" w:rsidRDefault="00CD6352" w:rsidP="00C74AEC">
            <w:pPr>
              <w:pStyle w:val="ListParagraph"/>
              <w:numPr>
                <w:ilvl w:val="0"/>
                <w:numId w:val="185"/>
              </w:numPr>
              <w:spacing w:after="0" w:line="240" w:lineRule="auto"/>
              <w:rPr>
                <w:rFonts w:ascii="Arial" w:hAnsi="Arial" w:cs="Arial"/>
                <w:sz w:val="16"/>
                <w:szCs w:val="16"/>
              </w:rPr>
            </w:pPr>
            <w:r w:rsidRPr="00EA7665">
              <w:rPr>
                <w:rFonts w:ascii="Arial" w:hAnsi="Arial" w:cs="Arial"/>
                <w:sz w:val="16"/>
                <w:szCs w:val="16"/>
              </w:rPr>
              <w:t>Leadership competence</w:t>
            </w:r>
          </w:p>
          <w:p w14:paraId="38A8B71B" w14:textId="77777777" w:rsidR="00CD6352" w:rsidRPr="00EA7665" w:rsidRDefault="00CD6352" w:rsidP="00C74AEC">
            <w:pPr>
              <w:pStyle w:val="ListParagraph"/>
              <w:numPr>
                <w:ilvl w:val="0"/>
                <w:numId w:val="185"/>
              </w:numPr>
              <w:spacing w:after="0" w:line="240" w:lineRule="auto"/>
              <w:rPr>
                <w:rFonts w:ascii="Arial" w:hAnsi="Arial" w:cs="Arial"/>
                <w:sz w:val="16"/>
                <w:szCs w:val="16"/>
              </w:rPr>
            </w:pPr>
            <w:r w:rsidRPr="00EA7665">
              <w:rPr>
                <w:rFonts w:ascii="Arial" w:hAnsi="Arial" w:cs="Arial"/>
                <w:sz w:val="16"/>
                <w:szCs w:val="16"/>
              </w:rPr>
              <w:t>Managerial competences</w:t>
            </w:r>
          </w:p>
          <w:p w14:paraId="3B85637F" w14:textId="77777777" w:rsidR="00CD6352" w:rsidRPr="00EA7665" w:rsidRDefault="00CD6352" w:rsidP="00C74AEC">
            <w:pPr>
              <w:pStyle w:val="ListParagraph"/>
              <w:numPr>
                <w:ilvl w:val="0"/>
                <w:numId w:val="185"/>
              </w:numPr>
              <w:spacing w:after="0" w:line="240" w:lineRule="auto"/>
              <w:rPr>
                <w:rFonts w:ascii="Arial" w:hAnsi="Arial" w:cs="Arial"/>
                <w:sz w:val="16"/>
                <w:szCs w:val="16"/>
              </w:rPr>
            </w:pPr>
            <w:r w:rsidRPr="00EA7665">
              <w:rPr>
                <w:rFonts w:ascii="Arial" w:hAnsi="Arial" w:cs="Arial"/>
                <w:sz w:val="16"/>
                <w:szCs w:val="16"/>
              </w:rPr>
              <w:t>Result oriented</w:t>
            </w:r>
          </w:p>
          <w:p w14:paraId="4235B50E" w14:textId="77777777" w:rsidR="00CD6352" w:rsidRPr="00EA7665" w:rsidRDefault="00CD6352" w:rsidP="00CD6352">
            <w:pPr>
              <w:rPr>
                <w:rFonts w:ascii="Arial" w:hAnsi="Arial" w:cs="Arial"/>
                <w:sz w:val="16"/>
                <w:szCs w:val="16"/>
              </w:rPr>
            </w:pPr>
          </w:p>
        </w:tc>
        <w:tc>
          <w:tcPr>
            <w:tcW w:w="3081" w:type="dxa"/>
          </w:tcPr>
          <w:p w14:paraId="216FB68D" w14:textId="77777777" w:rsidR="00CD6352" w:rsidRPr="00EA7665" w:rsidRDefault="00CD6352" w:rsidP="00CD6352">
            <w:pPr>
              <w:rPr>
                <w:rFonts w:ascii="Arial" w:hAnsi="Arial" w:cs="Arial"/>
                <w:sz w:val="16"/>
                <w:szCs w:val="16"/>
              </w:rPr>
            </w:pPr>
            <w:r w:rsidRPr="00EA7665">
              <w:rPr>
                <w:rFonts w:ascii="Arial" w:hAnsi="Arial" w:cs="Arial"/>
                <w:sz w:val="16"/>
                <w:szCs w:val="16"/>
              </w:rPr>
              <w:lastRenderedPageBreak/>
              <w:t>Nigeria</w:t>
            </w:r>
          </w:p>
          <w:p w14:paraId="55BAF83E" w14:textId="77777777" w:rsidR="00CD6352" w:rsidRPr="00EA7665" w:rsidRDefault="00CD6352" w:rsidP="00C74AEC">
            <w:pPr>
              <w:pStyle w:val="ListParagraph"/>
              <w:numPr>
                <w:ilvl w:val="0"/>
                <w:numId w:val="186"/>
              </w:numPr>
              <w:spacing w:after="0" w:line="240" w:lineRule="auto"/>
              <w:rPr>
                <w:rFonts w:ascii="Arial" w:hAnsi="Arial" w:cs="Arial"/>
                <w:sz w:val="16"/>
                <w:szCs w:val="16"/>
              </w:rPr>
            </w:pPr>
            <w:r w:rsidRPr="00EA7665">
              <w:rPr>
                <w:rFonts w:ascii="Arial" w:hAnsi="Arial" w:cs="Arial"/>
                <w:sz w:val="16"/>
                <w:szCs w:val="16"/>
              </w:rPr>
              <w:t>Leadership competence</w:t>
            </w:r>
          </w:p>
          <w:p w14:paraId="00D24522" w14:textId="77777777" w:rsidR="00CD6352" w:rsidRPr="00EA7665" w:rsidRDefault="00CD6352" w:rsidP="00C74AEC">
            <w:pPr>
              <w:pStyle w:val="ListParagraph"/>
              <w:numPr>
                <w:ilvl w:val="0"/>
                <w:numId w:val="186"/>
              </w:numPr>
              <w:spacing w:after="0" w:line="240" w:lineRule="auto"/>
              <w:rPr>
                <w:rFonts w:ascii="Arial" w:hAnsi="Arial" w:cs="Arial"/>
                <w:sz w:val="16"/>
                <w:szCs w:val="16"/>
              </w:rPr>
            </w:pPr>
            <w:r w:rsidRPr="00EA7665">
              <w:rPr>
                <w:rFonts w:ascii="Arial" w:hAnsi="Arial" w:cs="Arial"/>
                <w:sz w:val="16"/>
                <w:szCs w:val="16"/>
              </w:rPr>
              <w:t>Planning &amp; control</w:t>
            </w:r>
          </w:p>
          <w:p w14:paraId="1DB2DE54" w14:textId="77777777" w:rsidR="00CD6352" w:rsidRPr="00EA7665" w:rsidRDefault="00CD6352" w:rsidP="00C74AEC">
            <w:pPr>
              <w:pStyle w:val="ListParagraph"/>
              <w:numPr>
                <w:ilvl w:val="0"/>
                <w:numId w:val="186"/>
              </w:numPr>
              <w:spacing w:after="0" w:line="240" w:lineRule="auto"/>
              <w:rPr>
                <w:rFonts w:ascii="Arial" w:hAnsi="Arial" w:cs="Arial"/>
                <w:sz w:val="16"/>
                <w:szCs w:val="16"/>
              </w:rPr>
            </w:pPr>
            <w:r w:rsidRPr="00EA7665">
              <w:rPr>
                <w:rFonts w:ascii="Arial" w:hAnsi="Arial" w:cs="Arial"/>
                <w:sz w:val="16"/>
                <w:szCs w:val="16"/>
              </w:rPr>
              <w:t xml:space="preserve">Financial management </w:t>
            </w:r>
          </w:p>
          <w:p w14:paraId="72080019" w14:textId="77777777" w:rsidR="00CD6352" w:rsidRPr="00EA7665" w:rsidRDefault="00CD6352" w:rsidP="00C74AEC">
            <w:pPr>
              <w:pStyle w:val="ListParagraph"/>
              <w:numPr>
                <w:ilvl w:val="0"/>
                <w:numId w:val="186"/>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37F8C4A4" w14:textId="77777777" w:rsidR="00CD6352" w:rsidRPr="00EA7665" w:rsidRDefault="00CD6352" w:rsidP="00C74AEC">
            <w:pPr>
              <w:pStyle w:val="ListParagraph"/>
              <w:numPr>
                <w:ilvl w:val="0"/>
                <w:numId w:val="186"/>
              </w:numPr>
              <w:spacing w:after="0" w:line="240" w:lineRule="auto"/>
              <w:rPr>
                <w:rFonts w:ascii="Arial" w:hAnsi="Arial" w:cs="Arial"/>
                <w:sz w:val="16"/>
                <w:szCs w:val="16"/>
              </w:rPr>
            </w:pPr>
            <w:r w:rsidRPr="00EA7665">
              <w:rPr>
                <w:rFonts w:ascii="Arial" w:hAnsi="Arial" w:cs="Arial"/>
                <w:sz w:val="16"/>
                <w:szCs w:val="16"/>
              </w:rPr>
              <w:t>Negotiation</w:t>
            </w:r>
          </w:p>
        </w:tc>
        <w:tc>
          <w:tcPr>
            <w:tcW w:w="3081" w:type="dxa"/>
          </w:tcPr>
          <w:p w14:paraId="5D9CAC0E" w14:textId="77777777" w:rsidR="00CD6352" w:rsidRPr="00EA7665" w:rsidRDefault="00CD6352" w:rsidP="00CD6352">
            <w:pPr>
              <w:rPr>
                <w:rFonts w:ascii="Arial" w:hAnsi="Arial" w:cs="Arial"/>
                <w:sz w:val="16"/>
                <w:szCs w:val="16"/>
              </w:rPr>
            </w:pPr>
            <w:r w:rsidRPr="00EA7665">
              <w:rPr>
                <w:rFonts w:ascii="Arial" w:hAnsi="Arial" w:cs="Arial"/>
                <w:sz w:val="16"/>
                <w:szCs w:val="16"/>
              </w:rPr>
              <w:t>South Africa</w:t>
            </w:r>
          </w:p>
          <w:p w14:paraId="5E81852D" w14:textId="77777777" w:rsidR="00CD6352" w:rsidRPr="00EA7665" w:rsidRDefault="00CD6352" w:rsidP="00C74AEC">
            <w:pPr>
              <w:pStyle w:val="ListParagraph"/>
              <w:numPr>
                <w:ilvl w:val="0"/>
                <w:numId w:val="187"/>
              </w:numPr>
              <w:spacing w:after="0" w:line="240" w:lineRule="auto"/>
              <w:rPr>
                <w:rFonts w:ascii="Arial" w:hAnsi="Arial" w:cs="Arial"/>
                <w:sz w:val="16"/>
                <w:szCs w:val="16"/>
              </w:rPr>
            </w:pPr>
            <w:r w:rsidRPr="00EA7665">
              <w:rPr>
                <w:rFonts w:ascii="Arial" w:hAnsi="Arial" w:cs="Arial"/>
                <w:sz w:val="16"/>
                <w:szCs w:val="16"/>
              </w:rPr>
              <w:t>Business case</w:t>
            </w:r>
          </w:p>
          <w:p w14:paraId="29DF055D" w14:textId="77777777" w:rsidR="00CD6352" w:rsidRPr="00EA7665" w:rsidRDefault="00CD6352" w:rsidP="00C74AEC">
            <w:pPr>
              <w:pStyle w:val="ListParagraph"/>
              <w:numPr>
                <w:ilvl w:val="0"/>
                <w:numId w:val="187"/>
              </w:numPr>
              <w:spacing w:after="0" w:line="240" w:lineRule="auto"/>
              <w:rPr>
                <w:rFonts w:ascii="Arial" w:hAnsi="Arial" w:cs="Arial"/>
                <w:sz w:val="16"/>
                <w:szCs w:val="16"/>
              </w:rPr>
            </w:pPr>
            <w:r w:rsidRPr="00EA7665">
              <w:rPr>
                <w:rFonts w:ascii="Arial" w:hAnsi="Arial" w:cs="Arial"/>
                <w:sz w:val="16"/>
                <w:szCs w:val="16"/>
              </w:rPr>
              <w:t>Leadership competence</w:t>
            </w:r>
          </w:p>
          <w:p w14:paraId="6BDD777B" w14:textId="77777777" w:rsidR="00CD6352" w:rsidRPr="00EA7665" w:rsidRDefault="00CD6352" w:rsidP="00C74AEC">
            <w:pPr>
              <w:pStyle w:val="ListParagraph"/>
              <w:numPr>
                <w:ilvl w:val="0"/>
                <w:numId w:val="187"/>
              </w:numPr>
              <w:spacing w:after="0" w:line="240" w:lineRule="auto"/>
              <w:rPr>
                <w:rFonts w:ascii="Arial" w:hAnsi="Arial" w:cs="Arial"/>
                <w:sz w:val="16"/>
                <w:szCs w:val="16"/>
              </w:rPr>
            </w:pPr>
            <w:r w:rsidRPr="00EA7665">
              <w:rPr>
                <w:rFonts w:ascii="Arial" w:hAnsi="Arial" w:cs="Arial"/>
                <w:sz w:val="16"/>
                <w:szCs w:val="16"/>
              </w:rPr>
              <w:t xml:space="preserve">Negotiation </w:t>
            </w:r>
          </w:p>
          <w:p w14:paraId="2A3D9A74" w14:textId="77777777" w:rsidR="00CD6352" w:rsidRPr="00EA7665" w:rsidRDefault="00CD6352" w:rsidP="00C74AEC">
            <w:pPr>
              <w:pStyle w:val="ListParagraph"/>
              <w:numPr>
                <w:ilvl w:val="0"/>
                <w:numId w:val="187"/>
              </w:numPr>
              <w:spacing w:after="0" w:line="240" w:lineRule="auto"/>
              <w:rPr>
                <w:rFonts w:ascii="Arial" w:hAnsi="Arial" w:cs="Arial"/>
                <w:sz w:val="16"/>
                <w:szCs w:val="16"/>
              </w:rPr>
            </w:pPr>
            <w:r w:rsidRPr="00EA7665">
              <w:rPr>
                <w:rFonts w:ascii="Arial" w:hAnsi="Arial" w:cs="Arial"/>
                <w:sz w:val="16"/>
                <w:szCs w:val="16"/>
              </w:rPr>
              <w:t>Politics &amp; use of power</w:t>
            </w:r>
          </w:p>
          <w:p w14:paraId="185B15DB" w14:textId="77777777" w:rsidR="00CD6352" w:rsidRPr="00EA7665" w:rsidRDefault="00CD6352" w:rsidP="00C74AEC">
            <w:pPr>
              <w:pStyle w:val="ListParagraph"/>
              <w:numPr>
                <w:ilvl w:val="0"/>
                <w:numId w:val="187"/>
              </w:numPr>
              <w:spacing w:after="0" w:line="240" w:lineRule="auto"/>
              <w:rPr>
                <w:rFonts w:ascii="Arial" w:hAnsi="Arial" w:cs="Arial"/>
                <w:sz w:val="16"/>
                <w:szCs w:val="16"/>
              </w:rPr>
            </w:pPr>
            <w:r w:rsidRPr="00EA7665">
              <w:rPr>
                <w:rFonts w:ascii="Arial" w:hAnsi="Arial" w:cs="Arial"/>
                <w:sz w:val="16"/>
                <w:szCs w:val="16"/>
              </w:rPr>
              <w:t>Commercial management</w:t>
            </w:r>
          </w:p>
        </w:tc>
      </w:tr>
    </w:tbl>
    <w:p w14:paraId="0FC5584A" w14:textId="09DBB15A" w:rsidR="00CD6352" w:rsidRPr="005E4D6D" w:rsidRDefault="00CD6352" w:rsidP="00CD6352">
      <w:pPr>
        <w:pStyle w:val="Heading3"/>
        <w:rPr>
          <w:sz w:val="22"/>
          <w:szCs w:val="22"/>
        </w:rPr>
      </w:pPr>
      <w:bookmarkStart w:id="1365" w:name="_Toc78983912"/>
      <w:r w:rsidRPr="005E4D6D">
        <w:rPr>
          <w:sz w:val="22"/>
          <w:szCs w:val="22"/>
        </w:rPr>
        <w:t xml:space="preserve">The relationship between management level and the degree of importance </w:t>
      </w:r>
      <w:r w:rsidR="0000120F" w:rsidRPr="005E4D6D">
        <w:rPr>
          <w:sz w:val="22"/>
          <w:szCs w:val="22"/>
        </w:rPr>
        <w:t>of management</w:t>
      </w:r>
      <w:r w:rsidRPr="005E4D6D">
        <w:rPr>
          <w:sz w:val="22"/>
          <w:szCs w:val="22"/>
        </w:rPr>
        <w:t xml:space="preserve"> competences for securing finance for real estate project development</w:t>
      </w:r>
      <w:bookmarkEnd w:id="1365"/>
    </w:p>
    <w:p w14:paraId="20D8D0AC" w14:textId="77777777" w:rsidR="00CD6352" w:rsidRDefault="00CD6352" w:rsidP="00CD6352">
      <w:pPr>
        <w:spacing w:line="360" w:lineRule="auto"/>
        <w:jc w:val="both"/>
        <w:rPr>
          <w:rFonts w:ascii="Arial" w:hAnsi="Arial" w:cs="Arial"/>
        </w:rPr>
      </w:pPr>
    </w:p>
    <w:p w14:paraId="1E805E38" w14:textId="4FD0F6D5" w:rsidR="00CD6352" w:rsidRDefault="001341FD" w:rsidP="00CD6352">
      <w:pPr>
        <w:spacing w:line="360" w:lineRule="auto"/>
        <w:jc w:val="both"/>
        <w:rPr>
          <w:rFonts w:ascii="Arial" w:hAnsi="Arial" w:cs="Arial"/>
        </w:rPr>
      </w:pPr>
      <w:r>
        <w:rPr>
          <w:rFonts w:ascii="Arial" w:hAnsi="Arial" w:cs="Arial"/>
        </w:rPr>
        <w:t>Appendix 1 table 11</w:t>
      </w:r>
      <w:r w:rsidR="00CD6352">
        <w:rPr>
          <w:rFonts w:ascii="Arial" w:hAnsi="Arial" w:cs="Arial"/>
        </w:rPr>
        <w:t xml:space="preserve"> shows correlations that range from weak to very strong between the levels of management and the competences for securing finance for real estate project development. This means that the evidence suggests that managers at the lower levels of management significantly consider result</w:t>
      </w:r>
      <w:r w:rsidR="00403A50">
        <w:rPr>
          <w:rFonts w:ascii="Arial" w:hAnsi="Arial" w:cs="Arial"/>
        </w:rPr>
        <w:t>-</w:t>
      </w:r>
      <w:r w:rsidR="00CD6352">
        <w:rPr>
          <w:rFonts w:ascii="Arial" w:hAnsi="Arial" w:cs="Arial"/>
        </w:rPr>
        <w:t xml:space="preserve">oriented, business case, asset allocation, planning and control and governance, structure and processes as competences that are very important for securing finance for real estate project </w:t>
      </w:r>
      <w:r w:rsidR="001D4366">
        <w:rPr>
          <w:rFonts w:ascii="Arial" w:hAnsi="Arial" w:cs="Arial"/>
        </w:rPr>
        <w:t>development.</w:t>
      </w:r>
      <w:r w:rsidR="00CD6352">
        <w:rPr>
          <w:rFonts w:ascii="Arial" w:hAnsi="Arial" w:cs="Arial"/>
        </w:rPr>
        <w:t xml:space="preserve"> Most other competences in the table have </w:t>
      </w:r>
      <w:r w:rsidR="001D4366">
        <w:rPr>
          <w:rFonts w:ascii="Arial" w:hAnsi="Arial" w:cs="Arial"/>
        </w:rPr>
        <w:t>moderate, weak</w:t>
      </w:r>
      <w:r w:rsidR="00CD6352">
        <w:rPr>
          <w:rFonts w:ascii="Arial" w:hAnsi="Arial" w:cs="Arial"/>
        </w:rPr>
        <w:t xml:space="preserve"> and no relationship with the levels of management. The interpretation for the value of correlation can be found by referring to the work undertaken by Salkind (2004) </w:t>
      </w:r>
      <w:r w:rsidR="003723A0">
        <w:rPr>
          <w:rFonts w:ascii="Arial" w:hAnsi="Arial" w:cs="Arial"/>
        </w:rPr>
        <w:t xml:space="preserve"> in </w:t>
      </w:r>
      <w:r w:rsidR="00CD6352">
        <w:rPr>
          <w:rFonts w:ascii="Arial" w:hAnsi="Arial" w:cs="Arial"/>
        </w:rPr>
        <w:t>table 4.9</w:t>
      </w:r>
      <w:r w:rsidR="003723A0">
        <w:rPr>
          <w:rFonts w:ascii="Arial" w:hAnsi="Arial" w:cs="Arial"/>
        </w:rPr>
        <w:t xml:space="preserve"> of this study</w:t>
      </w:r>
      <w:r w:rsidR="00CD6352">
        <w:rPr>
          <w:rFonts w:ascii="Arial" w:hAnsi="Arial" w:cs="Arial"/>
        </w:rPr>
        <w:t>.</w:t>
      </w:r>
    </w:p>
    <w:p w14:paraId="3DAB5FFD" w14:textId="77777777" w:rsidR="00CD6352" w:rsidRPr="00EA7665" w:rsidRDefault="00CD6352" w:rsidP="00CD6352">
      <w:pPr>
        <w:spacing w:line="360" w:lineRule="auto"/>
        <w:jc w:val="both"/>
        <w:rPr>
          <w:rFonts w:ascii="Arial" w:hAnsi="Arial" w:cs="Arial"/>
        </w:rPr>
      </w:pPr>
    </w:p>
    <w:p w14:paraId="728E37FC" w14:textId="65F5E4F8" w:rsidR="00CD6352" w:rsidRPr="00EA7665" w:rsidRDefault="00CD6352" w:rsidP="00CD6352">
      <w:pPr>
        <w:pStyle w:val="Heading3"/>
        <w:spacing w:after="240"/>
        <w:rPr>
          <w:sz w:val="22"/>
          <w:szCs w:val="22"/>
        </w:rPr>
      </w:pPr>
      <w:bookmarkStart w:id="1366" w:name="_Toc78983913"/>
      <w:r w:rsidRPr="00EA7665">
        <w:rPr>
          <w:sz w:val="22"/>
          <w:szCs w:val="22"/>
        </w:rPr>
        <w:t>Manager’s competences for securing finance for real estate project development at the disaggregated level</w:t>
      </w:r>
      <w:r>
        <w:rPr>
          <w:sz w:val="22"/>
          <w:szCs w:val="22"/>
        </w:rPr>
        <w:t xml:space="preserve"> based on the semi-structured interview</w:t>
      </w:r>
      <w:bookmarkEnd w:id="1366"/>
    </w:p>
    <w:p w14:paraId="5506BEE6" w14:textId="77777777" w:rsidR="00CD6352" w:rsidRPr="00E3553E" w:rsidRDefault="00CD6352" w:rsidP="00CD6352">
      <w:pPr>
        <w:spacing w:line="360" w:lineRule="auto"/>
        <w:jc w:val="both"/>
        <w:rPr>
          <w:rFonts w:ascii="Arial" w:hAnsi="Arial" w:cs="Arial"/>
        </w:rPr>
      </w:pPr>
      <w:r w:rsidRPr="00E3553E">
        <w:rPr>
          <w:rFonts w:ascii="Arial" w:hAnsi="Arial" w:cs="Arial"/>
        </w:rPr>
        <w:t>This segment of the study reports findings on competences for securing finance for real estate project development based on semi-structured interviews.</w:t>
      </w:r>
    </w:p>
    <w:p w14:paraId="7ED65D3C" w14:textId="77777777" w:rsidR="00CD6352" w:rsidRPr="00E3553E" w:rsidRDefault="00CD6352" w:rsidP="00CD6352">
      <w:pPr>
        <w:spacing w:line="360" w:lineRule="auto"/>
        <w:jc w:val="both"/>
        <w:rPr>
          <w:rFonts w:ascii="Arial" w:hAnsi="Arial" w:cs="Arial"/>
        </w:rPr>
      </w:pPr>
      <w:r w:rsidRPr="00E3553E">
        <w:rPr>
          <w:rFonts w:ascii="Arial" w:hAnsi="Arial" w:cs="Arial"/>
        </w:rPr>
        <w:t>The semi-structured interviews provide answers to the following questions:</w:t>
      </w:r>
    </w:p>
    <w:p w14:paraId="00C3C548" w14:textId="77777777" w:rsidR="00CD6352" w:rsidRPr="00353E4C" w:rsidRDefault="00CD6352" w:rsidP="00C74AEC">
      <w:pPr>
        <w:pStyle w:val="ListParagraph"/>
        <w:numPr>
          <w:ilvl w:val="0"/>
          <w:numId w:val="188"/>
        </w:numPr>
        <w:spacing w:line="360" w:lineRule="auto"/>
        <w:jc w:val="both"/>
        <w:rPr>
          <w:rFonts w:ascii="Arial" w:hAnsi="Arial" w:cs="Arial"/>
          <w:i/>
          <w:iCs/>
        </w:rPr>
      </w:pPr>
      <w:r w:rsidRPr="00E3553E">
        <w:rPr>
          <w:rFonts w:ascii="Arial" w:hAnsi="Arial" w:cs="Arial"/>
          <w:i/>
          <w:iCs/>
        </w:rPr>
        <w:t>What competences do you have that facilitates your ability to secure finance for real</w:t>
      </w:r>
      <w:r w:rsidRPr="00353E4C">
        <w:rPr>
          <w:rFonts w:ascii="Arial" w:hAnsi="Arial" w:cs="Arial"/>
          <w:i/>
          <w:iCs/>
        </w:rPr>
        <w:t xml:space="preserve"> estate project development</w:t>
      </w:r>
      <w:r>
        <w:rPr>
          <w:rFonts w:ascii="Arial" w:hAnsi="Arial" w:cs="Arial"/>
          <w:i/>
          <w:iCs/>
        </w:rPr>
        <w:t>?</w:t>
      </w:r>
    </w:p>
    <w:p w14:paraId="7173FFA5" w14:textId="77777777" w:rsidR="00CD6352" w:rsidRPr="00353E4C" w:rsidRDefault="00CD6352" w:rsidP="00C74AEC">
      <w:pPr>
        <w:pStyle w:val="ListParagraph"/>
        <w:numPr>
          <w:ilvl w:val="0"/>
          <w:numId w:val="188"/>
        </w:numPr>
        <w:spacing w:line="360" w:lineRule="auto"/>
        <w:jc w:val="both"/>
        <w:rPr>
          <w:rFonts w:ascii="Arial" w:hAnsi="Arial" w:cs="Arial"/>
          <w:i/>
          <w:iCs/>
        </w:rPr>
      </w:pPr>
      <w:r w:rsidRPr="00353E4C">
        <w:rPr>
          <w:rFonts w:ascii="Arial" w:hAnsi="Arial" w:cs="Arial"/>
          <w:i/>
          <w:iCs/>
        </w:rPr>
        <w:t>What competences do you need to secure f</w:t>
      </w:r>
      <w:r>
        <w:rPr>
          <w:rFonts w:ascii="Arial" w:hAnsi="Arial" w:cs="Arial"/>
          <w:i/>
          <w:iCs/>
        </w:rPr>
        <w:t>inance</w:t>
      </w:r>
      <w:r w:rsidRPr="00353E4C">
        <w:rPr>
          <w:rFonts w:ascii="Arial" w:hAnsi="Arial" w:cs="Arial"/>
          <w:i/>
          <w:iCs/>
        </w:rPr>
        <w:t xml:space="preserve"> for </w:t>
      </w:r>
      <w:r>
        <w:rPr>
          <w:rFonts w:ascii="Arial" w:hAnsi="Arial" w:cs="Arial"/>
          <w:i/>
          <w:iCs/>
        </w:rPr>
        <w:t xml:space="preserve">real estate </w:t>
      </w:r>
      <w:r w:rsidRPr="00353E4C">
        <w:rPr>
          <w:rFonts w:ascii="Arial" w:hAnsi="Arial" w:cs="Arial"/>
          <w:i/>
          <w:iCs/>
        </w:rPr>
        <w:t>project development that you do not have presently?</w:t>
      </w:r>
    </w:p>
    <w:p w14:paraId="0A234865" w14:textId="77777777" w:rsidR="00CD6352" w:rsidRPr="00353E4C" w:rsidRDefault="00CD6352" w:rsidP="00C74AEC">
      <w:pPr>
        <w:pStyle w:val="ListParagraph"/>
        <w:numPr>
          <w:ilvl w:val="0"/>
          <w:numId w:val="188"/>
        </w:numPr>
        <w:spacing w:line="360" w:lineRule="auto"/>
        <w:jc w:val="both"/>
        <w:rPr>
          <w:rFonts w:ascii="Arial" w:hAnsi="Arial" w:cs="Arial"/>
          <w:i/>
          <w:iCs/>
        </w:rPr>
      </w:pPr>
      <w:r w:rsidRPr="00353E4C">
        <w:rPr>
          <w:rFonts w:ascii="Arial" w:hAnsi="Arial" w:cs="Arial"/>
          <w:i/>
          <w:iCs/>
        </w:rPr>
        <w:t>Which of the competences that you do not have w</w:t>
      </w:r>
      <w:r>
        <w:rPr>
          <w:rFonts w:ascii="Arial" w:hAnsi="Arial" w:cs="Arial"/>
          <w:i/>
          <w:iCs/>
        </w:rPr>
        <w:t>ould</w:t>
      </w:r>
      <w:r w:rsidRPr="00353E4C">
        <w:rPr>
          <w:rFonts w:ascii="Arial" w:hAnsi="Arial" w:cs="Arial"/>
          <w:i/>
          <w:iCs/>
        </w:rPr>
        <w:t xml:space="preserve"> you want to be trained to acquire?</w:t>
      </w:r>
    </w:p>
    <w:p w14:paraId="069CF57B" w14:textId="481870CC" w:rsidR="00CD6352" w:rsidRPr="00EA7665" w:rsidRDefault="00CD6352" w:rsidP="00CD6352">
      <w:pPr>
        <w:spacing w:line="360" w:lineRule="auto"/>
        <w:jc w:val="both"/>
        <w:rPr>
          <w:rFonts w:ascii="Arial" w:hAnsi="Arial" w:cs="Arial"/>
        </w:rPr>
      </w:pPr>
      <w:r w:rsidRPr="00EA7665">
        <w:rPr>
          <w:rFonts w:ascii="Arial" w:hAnsi="Arial" w:cs="Arial"/>
        </w:rPr>
        <w:t>The summary of the responses to these questions by managers in both the developed and emerging economies is contained in table</w:t>
      </w:r>
      <w:r w:rsidR="009D384B">
        <w:rPr>
          <w:rFonts w:ascii="Arial" w:hAnsi="Arial" w:cs="Arial"/>
        </w:rPr>
        <w:t>s</w:t>
      </w:r>
      <w:r w:rsidRPr="00EA7665">
        <w:rPr>
          <w:rFonts w:ascii="Arial" w:hAnsi="Arial" w:cs="Arial"/>
        </w:rPr>
        <w:t xml:space="preserve"> 8:</w:t>
      </w:r>
      <w:r w:rsidR="007A4A5C">
        <w:rPr>
          <w:rFonts w:ascii="Arial" w:hAnsi="Arial" w:cs="Arial"/>
        </w:rPr>
        <w:t>4.</w:t>
      </w:r>
      <w:r w:rsidR="00C03C51">
        <w:rPr>
          <w:rFonts w:ascii="Arial" w:hAnsi="Arial" w:cs="Arial"/>
        </w:rPr>
        <w:t>7</w:t>
      </w:r>
      <w:r w:rsidRPr="00EA7665">
        <w:rPr>
          <w:rFonts w:ascii="Arial" w:hAnsi="Arial" w:cs="Arial"/>
        </w:rPr>
        <w:t xml:space="preserve"> and 8:</w:t>
      </w:r>
      <w:r w:rsidR="00C03C51">
        <w:rPr>
          <w:rFonts w:ascii="Arial" w:hAnsi="Arial" w:cs="Arial"/>
        </w:rPr>
        <w:t>4.8.</w:t>
      </w:r>
    </w:p>
    <w:p w14:paraId="42B849C1" w14:textId="2CE360B1" w:rsidR="001D4366" w:rsidRPr="007D435E" w:rsidRDefault="001D4366" w:rsidP="001D4366">
      <w:pPr>
        <w:pStyle w:val="Caption"/>
        <w:keepNext/>
        <w:rPr>
          <w:rFonts w:ascii="Arial" w:hAnsi="Arial" w:cs="Arial"/>
          <w:i w:val="0"/>
          <w:iCs w:val="0"/>
          <w:sz w:val="16"/>
          <w:szCs w:val="16"/>
        </w:rPr>
      </w:pPr>
      <w:bookmarkStart w:id="1367" w:name="_Toc78984021"/>
      <w:r w:rsidRPr="007D435E">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8.4</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7</w:t>
      </w:r>
      <w:r w:rsidR="008F25B1">
        <w:rPr>
          <w:rFonts w:ascii="Arial" w:hAnsi="Arial" w:cs="Arial"/>
          <w:i w:val="0"/>
          <w:iCs w:val="0"/>
          <w:sz w:val="16"/>
          <w:szCs w:val="16"/>
        </w:rPr>
        <w:fldChar w:fldCharType="end"/>
      </w:r>
      <w:r w:rsidRPr="007D435E">
        <w:rPr>
          <w:rFonts w:ascii="Arial" w:hAnsi="Arial" w:cs="Arial"/>
          <w:i w:val="0"/>
          <w:iCs w:val="0"/>
          <w:sz w:val="16"/>
          <w:szCs w:val="16"/>
        </w:rPr>
        <w:t xml:space="preserve">: Competences for securing real estate project finance in developed </w:t>
      </w:r>
      <w:r w:rsidR="007D435E" w:rsidRPr="007D435E">
        <w:rPr>
          <w:rFonts w:ascii="Arial" w:hAnsi="Arial" w:cs="Arial"/>
          <w:i w:val="0"/>
          <w:iCs w:val="0"/>
          <w:sz w:val="16"/>
          <w:szCs w:val="16"/>
        </w:rPr>
        <w:t>economies.</w:t>
      </w:r>
      <w:bookmarkEnd w:id="1367"/>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88"/>
        <w:gridCol w:w="3827"/>
        <w:gridCol w:w="1934"/>
        <w:gridCol w:w="2267"/>
      </w:tblGrid>
      <w:tr w:rsidR="00CD6352" w:rsidRPr="001D4366" w14:paraId="6A9AB887" w14:textId="77777777" w:rsidTr="00CD6352">
        <w:tc>
          <w:tcPr>
            <w:tcW w:w="988" w:type="dxa"/>
          </w:tcPr>
          <w:p w14:paraId="6FEAE051" w14:textId="77777777" w:rsidR="00CD6352" w:rsidRPr="001D4366" w:rsidRDefault="00CD6352" w:rsidP="00CD6352">
            <w:pPr>
              <w:jc w:val="both"/>
              <w:rPr>
                <w:rFonts w:ascii="Arial" w:hAnsi="Arial" w:cs="Arial"/>
                <w:b/>
                <w:sz w:val="16"/>
                <w:szCs w:val="16"/>
                <w:lang w:val="en-US"/>
              </w:rPr>
            </w:pPr>
            <w:r w:rsidRPr="001D4366">
              <w:rPr>
                <w:rFonts w:ascii="Arial" w:hAnsi="Arial" w:cs="Arial"/>
                <w:b/>
                <w:sz w:val="16"/>
                <w:szCs w:val="16"/>
                <w:lang w:val="en-US"/>
              </w:rPr>
              <w:t>Country</w:t>
            </w:r>
          </w:p>
        </w:tc>
        <w:tc>
          <w:tcPr>
            <w:tcW w:w="3827" w:type="dxa"/>
          </w:tcPr>
          <w:p w14:paraId="20AC72EC" w14:textId="5A1AC10B" w:rsidR="00CD6352" w:rsidRPr="001D4366" w:rsidRDefault="00CD6352" w:rsidP="00CD6352">
            <w:pPr>
              <w:jc w:val="both"/>
              <w:rPr>
                <w:rFonts w:ascii="Arial" w:hAnsi="Arial" w:cs="Arial"/>
                <w:b/>
                <w:sz w:val="16"/>
                <w:szCs w:val="16"/>
                <w:lang w:val="en-US"/>
              </w:rPr>
            </w:pPr>
            <w:r w:rsidRPr="001D4366">
              <w:rPr>
                <w:rFonts w:ascii="Arial" w:hAnsi="Arial" w:cs="Arial"/>
                <w:b/>
                <w:sz w:val="16"/>
                <w:szCs w:val="16"/>
                <w:lang w:val="en-US"/>
              </w:rPr>
              <w:t xml:space="preserve">Competences the </w:t>
            </w:r>
            <w:r w:rsidR="00597269" w:rsidRPr="001D4366">
              <w:rPr>
                <w:rFonts w:ascii="Arial" w:hAnsi="Arial" w:cs="Arial"/>
                <w:b/>
                <w:sz w:val="16"/>
                <w:szCs w:val="16"/>
                <w:lang w:val="en-US"/>
              </w:rPr>
              <w:t>mgrs.</w:t>
            </w:r>
            <w:r w:rsidRPr="001D4366">
              <w:rPr>
                <w:rFonts w:ascii="Arial" w:hAnsi="Arial" w:cs="Arial"/>
                <w:b/>
                <w:sz w:val="16"/>
                <w:szCs w:val="16"/>
                <w:lang w:val="en-US"/>
              </w:rPr>
              <w:t xml:space="preserve"> presently have </w:t>
            </w:r>
            <w:r w:rsidR="00597269" w:rsidRPr="001D4366">
              <w:rPr>
                <w:rFonts w:ascii="Arial" w:hAnsi="Arial" w:cs="Arial"/>
                <w:b/>
                <w:sz w:val="16"/>
                <w:szCs w:val="16"/>
                <w:lang w:val="en-US"/>
              </w:rPr>
              <w:t>for securing</w:t>
            </w:r>
            <w:r w:rsidRPr="001D4366">
              <w:rPr>
                <w:rFonts w:ascii="Arial" w:hAnsi="Arial" w:cs="Arial"/>
                <w:b/>
                <w:sz w:val="16"/>
                <w:szCs w:val="16"/>
                <w:lang w:val="en-US"/>
              </w:rPr>
              <w:t xml:space="preserve"> finance for real estate project development</w:t>
            </w:r>
          </w:p>
        </w:tc>
        <w:tc>
          <w:tcPr>
            <w:tcW w:w="1934" w:type="dxa"/>
          </w:tcPr>
          <w:p w14:paraId="12C18601" w14:textId="5A36D219" w:rsidR="00CD6352" w:rsidRPr="001D4366" w:rsidRDefault="00CD6352" w:rsidP="00CD6352">
            <w:pPr>
              <w:jc w:val="both"/>
              <w:rPr>
                <w:rFonts w:ascii="Arial" w:hAnsi="Arial" w:cs="Arial"/>
                <w:b/>
                <w:sz w:val="16"/>
                <w:szCs w:val="16"/>
                <w:lang w:val="en-US"/>
              </w:rPr>
            </w:pPr>
            <w:r w:rsidRPr="001D4366">
              <w:rPr>
                <w:rFonts w:ascii="Arial" w:hAnsi="Arial" w:cs="Arial"/>
                <w:b/>
                <w:sz w:val="16"/>
                <w:szCs w:val="16"/>
                <w:lang w:val="en-US"/>
              </w:rPr>
              <w:t xml:space="preserve">Competences the </w:t>
            </w:r>
            <w:r w:rsidR="00597269" w:rsidRPr="001D4366">
              <w:rPr>
                <w:rFonts w:ascii="Arial" w:hAnsi="Arial" w:cs="Arial"/>
                <w:b/>
                <w:sz w:val="16"/>
                <w:szCs w:val="16"/>
                <w:lang w:val="en-US"/>
              </w:rPr>
              <w:t>mgrs. currently</w:t>
            </w:r>
            <w:r w:rsidRPr="001D4366">
              <w:rPr>
                <w:rFonts w:ascii="Arial" w:hAnsi="Arial" w:cs="Arial"/>
                <w:b/>
                <w:sz w:val="16"/>
                <w:szCs w:val="16"/>
                <w:lang w:val="en-US"/>
              </w:rPr>
              <w:t xml:space="preserve"> </w:t>
            </w:r>
            <w:r w:rsidR="00597269" w:rsidRPr="001D4366">
              <w:rPr>
                <w:rFonts w:ascii="Arial" w:hAnsi="Arial" w:cs="Arial"/>
                <w:b/>
                <w:sz w:val="16"/>
                <w:szCs w:val="16"/>
                <w:lang w:val="en-US"/>
              </w:rPr>
              <w:t>do not</w:t>
            </w:r>
            <w:r w:rsidRPr="001D4366">
              <w:rPr>
                <w:rFonts w:ascii="Arial" w:hAnsi="Arial" w:cs="Arial"/>
                <w:b/>
                <w:sz w:val="16"/>
                <w:szCs w:val="16"/>
                <w:lang w:val="en-US"/>
              </w:rPr>
              <w:t xml:space="preserve"> have</w:t>
            </w:r>
          </w:p>
        </w:tc>
        <w:tc>
          <w:tcPr>
            <w:tcW w:w="0" w:type="auto"/>
          </w:tcPr>
          <w:p w14:paraId="253E85AB" w14:textId="77777777" w:rsidR="00CD6352" w:rsidRPr="001D4366" w:rsidRDefault="00CD6352" w:rsidP="00CD6352">
            <w:pPr>
              <w:jc w:val="both"/>
              <w:rPr>
                <w:rFonts w:ascii="Arial" w:hAnsi="Arial" w:cs="Arial"/>
                <w:b/>
                <w:sz w:val="16"/>
                <w:szCs w:val="16"/>
                <w:lang w:val="en-US"/>
              </w:rPr>
            </w:pPr>
            <w:r w:rsidRPr="001D4366">
              <w:rPr>
                <w:rFonts w:ascii="Arial" w:hAnsi="Arial" w:cs="Arial"/>
                <w:b/>
                <w:sz w:val="16"/>
                <w:szCs w:val="16"/>
                <w:lang w:val="en-US"/>
              </w:rPr>
              <w:t>Competences the managers do not have &amp; want training and education to acquire</w:t>
            </w:r>
          </w:p>
        </w:tc>
      </w:tr>
      <w:tr w:rsidR="00CD6352" w:rsidRPr="001D4366" w14:paraId="12A637D7" w14:textId="77777777" w:rsidTr="00CD6352">
        <w:tc>
          <w:tcPr>
            <w:tcW w:w="988" w:type="dxa"/>
          </w:tcPr>
          <w:p w14:paraId="4CA5F0DA"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Germany Mgr 1</w:t>
            </w:r>
          </w:p>
        </w:tc>
        <w:tc>
          <w:tcPr>
            <w:tcW w:w="3827" w:type="dxa"/>
          </w:tcPr>
          <w:p w14:paraId="1515C4E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Sales</w:t>
            </w:r>
          </w:p>
        </w:tc>
        <w:tc>
          <w:tcPr>
            <w:tcW w:w="1934" w:type="dxa"/>
          </w:tcPr>
          <w:p w14:paraId="7F305085"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7B8E06C2"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04879EA7" w14:textId="77777777" w:rsidTr="00CD6352">
        <w:tc>
          <w:tcPr>
            <w:tcW w:w="988" w:type="dxa"/>
          </w:tcPr>
          <w:p w14:paraId="0DB8F439"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Germany mgr2</w:t>
            </w:r>
          </w:p>
        </w:tc>
        <w:tc>
          <w:tcPr>
            <w:tcW w:w="3827" w:type="dxa"/>
          </w:tcPr>
          <w:p w14:paraId="0B7DDC44"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Reliability, ability to deliver on time, being attentive and being authentic</w:t>
            </w:r>
          </w:p>
        </w:tc>
        <w:tc>
          <w:tcPr>
            <w:tcW w:w="1934" w:type="dxa"/>
          </w:tcPr>
          <w:p w14:paraId="7677E0F6"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Impatience </w:t>
            </w:r>
          </w:p>
        </w:tc>
        <w:tc>
          <w:tcPr>
            <w:tcW w:w="0" w:type="auto"/>
          </w:tcPr>
          <w:p w14:paraId="6FFE2969"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45271F23" w14:textId="77777777" w:rsidTr="00CD6352">
        <w:tc>
          <w:tcPr>
            <w:tcW w:w="988" w:type="dxa"/>
          </w:tcPr>
          <w:p w14:paraId="61DE29B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lastRenderedPageBreak/>
              <w:t>Germany mgr 3</w:t>
            </w:r>
          </w:p>
        </w:tc>
        <w:tc>
          <w:tcPr>
            <w:tcW w:w="3827" w:type="dxa"/>
          </w:tcPr>
          <w:p w14:paraId="22F3EC90"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Ability to build and communicate effectively with financiers</w:t>
            </w:r>
          </w:p>
        </w:tc>
        <w:tc>
          <w:tcPr>
            <w:tcW w:w="1934" w:type="dxa"/>
          </w:tcPr>
          <w:p w14:paraId="02C70CEF"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2947DE47"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75CC61BE" w14:textId="77777777" w:rsidTr="00CD6352">
        <w:tc>
          <w:tcPr>
            <w:tcW w:w="988" w:type="dxa"/>
          </w:tcPr>
          <w:p w14:paraId="08E26E4A"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Germany Mgr4</w:t>
            </w:r>
          </w:p>
        </w:tc>
        <w:tc>
          <w:tcPr>
            <w:tcW w:w="3827" w:type="dxa"/>
          </w:tcPr>
          <w:p w14:paraId="71ADC7E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Finance and ability to make development computation, ability to communicate effectively with financiers </w:t>
            </w:r>
          </w:p>
        </w:tc>
        <w:tc>
          <w:tcPr>
            <w:tcW w:w="1934" w:type="dxa"/>
          </w:tcPr>
          <w:p w14:paraId="32DBAE08"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30B04824"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25A21839" w14:textId="77777777" w:rsidTr="00CD6352">
        <w:tc>
          <w:tcPr>
            <w:tcW w:w="988" w:type="dxa"/>
          </w:tcPr>
          <w:p w14:paraId="3CCEBFF8"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Germany Mgr 5</w:t>
            </w:r>
          </w:p>
        </w:tc>
        <w:tc>
          <w:tcPr>
            <w:tcW w:w="3827" w:type="dxa"/>
          </w:tcPr>
          <w:p w14:paraId="62A75001"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Competence in understanding how finance works, competence in obtaining finance and committing to a senior loan contract &amp; paying regular interest and sometimes amortisation</w:t>
            </w:r>
          </w:p>
        </w:tc>
        <w:tc>
          <w:tcPr>
            <w:tcW w:w="1934" w:type="dxa"/>
          </w:tcPr>
          <w:p w14:paraId="47B51812"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09693EFD"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53387A99" w14:textId="77777777" w:rsidTr="00CD6352">
        <w:tc>
          <w:tcPr>
            <w:tcW w:w="988" w:type="dxa"/>
          </w:tcPr>
          <w:p w14:paraId="568811E8"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Germany Mgr 6</w:t>
            </w:r>
          </w:p>
        </w:tc>
        <w:tc>
          <w:tcPr>
            <w:tcW w:w="3827" w:type="dxa"/>
          </w:tcPr>
          <w:p w14:paraId="3D23CAE5"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Grounded business relationship</w:t>
            </w:r>
          </w:p>
        </w:tc>
        <w:tc>
          <w:tcPr>
            <w:tcW w:w="1934" w:type="dxa"/>
          </w:tcPr>
          <w:p w14:paraId="212B9653"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2032AD8B"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2A9FF988" w14:textId="77777777" w:rsidTr="00CD6352">
        <w:tc>
          <w:tcPr>
            <w:tcW w:w="988" w:type="dxa"/>
          </w:tcPr>
          <w:p w14:paraId="38C415E6"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 1</w:t>
            </w:r>
          </w:p>
        </w:tc>
        <w:tc>
          <w:tcPr>
            <w:tcW w:w="3827" w:type="dxa"/>
          </w:tcPr>
          <w:p w14:paraId="5588FBF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Ability to deliver in good time, track record, ability to supervise and manage the project from start to finish</w:t>
            </w:r>
          </w:p>
        </w:tc>
        <w:tc>
          <w:tcPr>
            <w:tcW w:w="1934" w:type="dxa"/>
          </w:tcPr>
          <w:p w14:paraId="0337CDD0"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0EDF612F"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67229A6C" w14:textId="77777777" w:rsidTr="00CD6352">
        <w:tc>
          <w:tcPr>
            <w:tcW w:w="988" w:type="dxa"/>
          </w:tcPr>
          <w:p w14:paraId="56349C63"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Mgr2</w:t>
            </w:r>
          </w:p>
        </w:tc>
        <w:tc>
          <w:tcPr>
            <w:tcW w:w="3827" w:type="dxa"/>
          </w:tcPr>
          <w:p w14:paraId="3B6074D5"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An understanding of the relevant laws </w:t>
            </w:r>
          </w:p>
        </w:tc>
        <w:tc>
          <w:tcPr>
            <w:tcW w:w="1934" w:type="dxa"/>
          </w:tcPr>
          <w:p w14:paraId="7E6ED44F"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7CD3DF18"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07F33BBC" w14:textId="77777777" w:rsidTr="00CD6352">
        <w:tc>
          <w:tcPr>
            <w:tcW w:w="988" w:type="dxa"/>
          </w:tcPr>
          <w:p w14:paraId="358B0112"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Mgr3</w:t>
            </w:r>
          </w:p>
        </w:tc>
        <w:tc>
          <w:tcPr>
            <w:tcW w:w="3827" w:type="dxa"/>
          </w:tcPr>
          <w:p w14:paraId="30B4CF3B"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An understanding of the geographical location and specific product type, expert in land and building</w:t>
            </w:r>
          </w:p>
        </w:tc>
        <w:tc>
          <w:tcPr>
            <w:tcW w:w="1934" w:type="dxa"/>
          </w:tcPr>
          <w:p w14:paraId="237ECD0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528D0B31"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5FCF1AFC" w14:textId="77777777" w:rsidTr="00CD6352">
        <w:tc>
          <w:tcPr>
            <w:tcW w:w="988" w:type="dxa"/>
          </w:tcPr>
          <w:p w14:paraId="1947421D"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Mgr4</w:t>
            </w:r>
          </w:p>
        </w:tc>
        <w:tc>
          <w:tcPr>
            <w:tcW w:w="3827" w:type="dxa"/>
          </w:tcPr>
          <w:p w14:paraId="5DC00975"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Understanding of analytics &amp; knowledge of the market and due diligence</w:t>
            </w:r>
          </w:p>
        </w:tc>
        <w:tc>
          <w:tcPr>
            <w:tcW w:w="1934" w:type="dxa"/>
          </w:tcPr>
          <w:p w14:paraId="2B37ACD0"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11ED8334"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595889C0" w14:textId="77777777" w:rsidTr="00CD6352">
        <w:tc>
          <w:tcPr>
            <w:tcW w:w="988" w:type="dxa"/>
          </w:tcPr>
          <w:p w14:paraId="274B1F1F"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Mgr5</w:t>
            </w:r>
          </w:p>
        </w:tc>
        <w:tc>
          <w:tcPr>
            <w:tcW w:w="3827" w:type="dxa"/>
          </w:tcPr>
          <w:p w14:paraId="07F5BF7B"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Strong finance background and track record</w:t>
            </w:r>
          </w:p>
        </w:tc>
        <w:tc>
          <w:tcPr>
            <w:tcW w:w="1934" w:type="dxa"/>
          </w:tcPr>
          <w:p w14:paraId="79BF95A4" w14:textId="77777777" w:rsidR="00CD6352" w:rsidRPr="001D4366" w:rsidRDefault="00CD6352" w:rsidP="00CD6352">
            <w:pPr>
              <w:jc w:val="both"/>
              <w:rPr>
                <w:rFonts w:ascii="Arial" w:hAnsi="Arial" w:cs="Arial"/>
                <w:sz w:val="16"/>
                <w:szCs w:val="16"/>
              </w:rPr>
            </w:pPr>
            <w:r w:rsidRPr="001D4366">
              <w:rPr>
                <w:rFonts w:ascii="Arial" w:hAnsi="Arial" w:cs="Arial"/>
                <w:sz w:val="16"/>
                <w:szCs w:val="16"/>
              </w:rPr>
              <w:t>Understanding of institutional funding of long term rental property</w:t>
            </w:r>
          </w:p>
          <w:p w14:paraId="45DCAB1D" w14:textId="77777777" w:rsidR="00CD6352" w:rsidRPr="001D4366" w:rsidRDefault="00CD6352" w:rsidP="00CD6352">
            <w:pPr>
              <w:jc w:val="both"/>
              <w:rPr>
                <w:rFonts w:ascii="Arial" w:hAnsi="Arial" w:cs="Arial"/>
                <w:sz w:val="16"/>
                <w:szCs w:val="16"/>
                <w:lang w:val="en-US"/>
              </w:rPr>
            </w:pPr>
          </w:p>
        </w:tc>
        <w:tc>
          <w:tcPr>
            <w:tcW w:w="0" w:type="auto"/>
          </w:tcPr>
          <w:p w14:paraId="3D9D5F29"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rPr>
              <w:t>On the job training</w:t>
            </w:r>
          </w:p>
        </w:tc>
      </w:tr>
      <w:tr w:rsidR="00CD6352" w:rsidRPr="001D4366" w14:paraId="4018170A" w14:textId="77777777" w:rsidTr="00CD6352">
        <w:tc>
          <w:tcPr>
            <w:tcW w:w="988" w:type="dxa"/>
          </w:tcPr>
          <w:p w14:paraId="34A96D22"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Mgr6</w:t>
            </w:r>
          </w:p>
        </w:tc>
        <w:tc>
          <w:tcPr>
            <w:tcW w:w="3827" w:type="dxa"/>
          </w:tcPr>
          <w:p w14:paraId="62CC77C8"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Communication and property development</w:t>
            </w:r>
          </w:p>
        </w:tc>
        <w:tc>
          <w:tcPr>
            <w:tcW w:w="1934" w:type="dxa"/>
          </w:tcPr>
          <w:p w14:paraId="591C29F8" w14:textId="16CB9259"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Improving on personal profile through web-based platforms like </w:t>
            </w:r>
            <w:r w:rsidR="00403A50">
              <w:rPr>
                <w:rFonts w:ascii="Arial" w:hAnsi="Arial" w:cs="Arial"/>
                <w:sz w:val="16"/>
                <w:szCs w:val="16"/>
                <w:lang w:val="en-US"/>
              </w:rPr>
              <w:t xml:space="preserve">the </w:t>
            </w:r>
            <w:r w:rsidRPr="001D4366">
              <w:rPr>
                <w:rFonts w:ascii="Arial" w:hAnsi="Arial" w:cs="Arial"/>
                <w:sz w:val="16"/>
                <w:szCs w:val="16"/>
                <w:lang w:val="en-US"/>
              </w:rPr>
              <w:t>internet, LinkedIn, and Facebook</w:t>
            </w:r>
          </w:p>
        </w:tc>
        <w:tc>
          <w:tcPr>
            <w:tcW w:w="0" w:type="auto"/>
          </w:tcPr>
          <w:p w14:paraId="2882E1AB" w14:textId="1ABA2BDD"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Improving on personal profile through web-based platforms like </w:t>
            </w:r>
            <w:r w:rsidR="00403A50">
              <w:rPr>
                <w:rFonts w:ascii="Arial" w:hAnsi="Arial" w:cs="Arial"/>
                <w:sz w:val="16"/>
                <w:szCs w:val="16"/>
                <w:lang w:val="en-US"/>
              </w:rPr>
              <w:t xml:space="preserve">the </w:t>
            </w:r>
            <w:r w:rsidRPr="001D4366">
              <w:rPr>
                <w:rFonts w:ascii="Arial" w:hAnsi="Arial" w:cs="Arial"/>
                <w:sz w:val="16"/>
                <w:szCs w:val="16"/>
                <w:lang w:val="en-US"/>
              </w:rPr>
              <w:t>internet, LinkedIn, and Facebook</w:t>
            </w:r>
          </w:p>
        </w:tc>
      </w:tr>
      <w:tr w:rsidR="00CD6352" w:rsidRPr="001D4366" w14:paraId="4172927E" w14:textId="77777777" w:rsidTr="00CD6352">
        <w:tc>
          <w:tcPr>
            <w:tcW w:w="988" w:type="dxa"/>
          </w:tcPr>
          <w:p w14:paraId="7738C421"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UK Mgr7</w:t>
            </w:r>
          </w:p>
        </w:tc>
        <w:tc>
          <w:tcPr>
            <w:tcW w:w="3827" w:type="dxa"/>
          </w:tcPr>
          <w:p w14:paraId="57C91C99"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Track record in the commercial property arena</w:t>
            </w:r>
          </w:p>
        </w:tc>
        <w:tc>
          <w:tcPr>
            <w:tcW w:w="1934" w:type="dxa"/>
          </w:tcPr>
          <w:p w14:paraId="595B081A"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1452A437"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2E6AE80B" w14:textId="77777777" w:rsidTr="00CD6352">
        <w:tc>
          <w:tcPr>
            <w:tcW w:w="988" w:type="dxa"/>
          </w:tcPr>
          <w:p w14:paraId="636AD4A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US Mgr1</w:t>
            </w:r>
          </w:p>
        </w:tc>
        <w:tc>
          <w:tcPr>
            <w:tcW w:w="3827" w:type="dxa"/>
          </w:tcPr>
          <w:p w14:paraId="146DAFB7"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Financial competence &amp; ability to manage lenders</w:t>
            </w:r>
          </w:p>
        </w:tc>
        <w:tc>
          <w:tcPr>
            <w:tcW w:w="1934" w:type="dxa"/>
          </w:tcPr>
          <w:p w14:paraId="4EFAC22B"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Legal training </w:t>
            </w:r>
          </w:p>
        </w:tc>
        <w:tc>
          <w:tcPr>
            <w:tcW w:w="0" w:type="auto"/>
          </w:tcPr>
          <w:p w14:paraId="04F7B86D"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Legal training</w:t>
            </w:r>
          </w:p>
        </w:tc>
      </w:tr>
      <w:tr w:rsidR="00CD6352" w:rsidRPr="001D4366" w14:paraId="6EA895E4" w14:textId="77777777" w:rsidTr="00CD6352">
        <w:tc>
          <w:tcPr>
            <w:tcW w:w="988" w:type="dxa"/>
          </w:tcPr>
          <w:p w14:paraId="5654BB8C"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US Mgr2</w:t>
            </w:r>
          </w:p>
        </w:tc>
        <w:tc>
          <w:tcPr>
            <w:tcW w:w="3827" w:type="dxa"/>
          </w:tcPr>
          <w:p w14:paraId="0BABC3A1"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Relationship development and maintenance with investors and financiers, personal presentation skills and sales competences</w:t>
            </w:r>
          </w:p>
        </w:tc>
        <w:tc>
          <w:tcPr>
            <w:tcW w:w="1934" w:type="dxa"/>
          </w:tcPr>
          <w:p w14:paraId="577C9BD4"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None </w:t>
            </w:r>
          </w:p>
        </w:tc>
        <w:tc>
          <w:tcPr>
            <w:tcW w:w="0" w:type="auto"/>
          </w:tcPr>
          <w:p w14:paraId="6272F186"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56AC5A59" w14:textId="77777777" w:rsidTr="00CD6352">
        <w:tc>
          <w:tcPr>
            <w:tcW w:w="988" w:type="dxa"/>
          </w:tcPr>
          <w:p w14:paraId="548B4177"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US Mgr3</w:t>
            </w:r>
          </w:p>
        </w:tc>
        <w:tc>
          <w:tcPr>
            <w:tcW w:w="3827" w:type="dxa"/>
          </w:tcPr>
          <w:p w14:paraId="7D5B52F6" w14:textId="7331745B"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 xml:space="preserve">Competent in </w:t>
            </w:r>
            <w:r w:rsidR="00403A50">
              <w:rPr>
                <w:rFonts w:ascii="Arial" w:hAnsi="Arial" w:cs="Arial"/>
                <w:sz w:val="16"/>
                <w:szCs w:val="16"/>
                <w:lang w:val="en-US"/>
              </w:rPr>
              <w:t xml:space="preserve">the </w:t>
            </w:r>
            <w:r w:rsidRPr="001D4366">
              <w:rPr>
                <w:rFonts w:ascii="Arial" w:hAnsi="Arial" w:cs="Arial"/>
                <w:sz w:val="16"/>
                <w:szCs w:val="16"/>
                <w:lang w:val="en-US"/>
              </w:rPr>
              <w:t>understanding of real estate entrance, operation, and exit; staffing &amp; management; understanding of market needs and financing deals</w:t>
            </w:r>
          </w:p>
        </w:tc>
        <w:tc>
          <w:tcPr>
            <w:tcW w:w="1934" w:type="dxa"/>
          </w:tcPr>
          <w:p w14:paraId="338A9450"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c>
          <w:tcPr>
            <w:tcW w:w="0" w:type="auto"/>
          </w:tcPr>
          <w:p w14:paraId="66689F18"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None</w:t>
            </w:r>
          </w:p>
        </w:tc>
      </w:tr>
      <w:tr w:rsidR="00CD6352" w:rsidRPr="001D4366" w14:paraId="2472E175" w14:textId="77777777" w:rsidTr="00CD6352">
        <w:tc>
          <w:tcPr>
            <w:tcW w:w="988" w:type="dxa"/>
          </w:tcPr>
          <w:p w14:paraId="2D12E120"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US Mgr4</w:t>
            </w:r>
          </w:p>
        </w:tc>
        <w:tc>
          <w:tcPr>
            <w:tcW w:w="3827" w:type="dxa"/>
          </w:tcPr>
          <w:p w14:paraId="48534577"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Financial models; comparing scenarios, legal background and understanding of Joint Venture proposals</w:t>
            </w:r>
          </w:p>
        </w:tc>
        <w:tc>
          <w:tcPr>
            <w:tcW w:w="1934" w:type="dxa"/>
          </w:tcPr>
          <w:p w14:paraId="3D9CD2F4" w14:textId="4B49B44E"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Financial mode</w:t>
            </w:r>
            <w:r w:rsidR="00403A50">
              <w:rPr>
                <w:rFonts w:ascii="Arial" w:hAnsi="Arial" w:cs="Arial"/>
                <w:sz w:val="16"/>
                <w:szCs w:val="16"/>
                <w:lang w:val="en-US"/>
              </w:rPr>
              <w:t>l</w:t>
            </w:r>
            <w:r w:rsidRPr="001D4366">
              <w:rPr>
                <w:rFonts w:ascii="Arial" w:hAnsi="Arial" w:cs="Arial"/>
                <w:sz w:val="16"/>
                <w:szCs w:val="16"/>
                <w:lang w:val="en-US"/>
              </w:rPr>
              <w:t>ling for waterfalls</w:t>
            </w:r>
          </w:p>
        </w:tc>
        <w:tc>
          <w:tcPr>
            <w:tcW w:w="0" w:type="auto"/>
          </w:tcPr>
          <w:p w14:paraId="4455A39F" w14:textId="77777777" w:rsidR="00CD6352" w:rsidRPr="001D4366" w:rsidRDefault="00CD6352" w:rsidP="00CD6352">
            <w:pPr>
              <w:jc w:val="both"/>
              <w:rPr>
                <w:rFonts w:ascii="Arial" w:hAnsi="Arial" w:cs="Arial"/>
                <w:sz w:val="16"/>
                <w:szCs w:val="16"/>
                <w:lang w:val="en-US"/>
              </w:rPr>
            </w:pPr>
            <w:r w:rsidRPr="001D4366">
              <w:rPr>
                <w:rFonts w:ascii="Arial" w:hAnsi="Arial" w:cs="Arial"/>
                <w:sz w:val="16"/>
                <w:szCs w:val="16"/>
                <w:lang w:val="en-US"/>
              </w:rPr>
              <w:t>Seminars</w:t>
            </w:r>
          </w:p>
        </w:tc>
      </w:tr>
    </w:tbl>
    <w:p w14:paraId="663FFF0C" w14:textId="77777777" w:rsidR="00CD6352" w:rsidRPr="00EA7665" w:rsidRDefault="00CD6352" w:rsidP="00CD6352">
      <w:pPr>
        <w:spacing w:line="360" w:lineRule="auto"/>
        <w:jc w:val="both"/>
        <w:rPr>
          <w:rFonts w:ascii="Arial" w:hAnsi="Arial" w:cs="Arial"/>
          <w:lang w:val="en-US"/>
        </w:rPr>
      </w:pPr>
    </w:p>
    <w:p w14:paraId="46876875" w14:textId="3640E4B1" w:rsidR="007A4A5C" w:rsidRDefault="007A4A5C" w:rsidP="007A4A5C">
      <w:pPr>
        <w:pStyle w:val="Caption"/>
        <w:keepNext/>
      </w:pPr>
      <w:bookmarkStart w:id="1368" w:name="_Toc78984022"/>
      <w:r>
        <w:t xml:space="preserve">Table </w:t>
      </w:r>
      <w:fldSimple w:instr=" STYLEREF 2 \s ">
        <w:r w:rsidR="008F25B1">
          <w:rPr>
            <w:noProof/>
          </w:rPr>
          <w:t>8.4</w:t>
        </w:r>
      </w:fldSimple>
      <w:r w:rsidR="008F25B1">
        <w:noBreakHyphen/>
      </w:r>
      <w:fldSimple w:instr=" SEQ Table \* ARABIC \s 2 ">
        <w:r w:rsidR="008F25B1">
          <w:rPr>
            <w:noProof/>
          </w:rPr>
          <w:t>8</w:t>
        </w:r>
      </w:fldSimple>
      <w:r>
        <w:t>:</w:t>
      </w:r>
      <w:r w:rsidRPr="007A4A5C">
        <w:t xml:space="preserve"> </w:t>
      </w:r>
      <w:r w:rsidRPr="00EA7665">
        <w:t>Competences for securing real estate project finance in emerging economies</w:t>
      </w:r>
      <w:bookmarkEnd w:id="1368"/>
    </w:p>
    <w:tbl>
      <w:tblPr>
        <w:tblStyle w:val="TableGrid"/>
        <w:tblW w:w="9209" w:type="dxa"/>
        <w:tblLook w:val="04A0" w:firstRow="1" w:lastRow="0" w:firstColumn="1" w:lastColumn="0" w:noHBand="0" w:noVBand="1"/>
      </w:tblPr>
      <w:tblGrid>
        <w:gridCol w:w="1271"/>
        <w:gridCol w:w="4253"/>
        <w:gridCol w:w="2097"/>
        <w:gridCol w:w="1588"/>
      </w:tblGrid>
      <w:tr w:rsidR="00CD6352" w:rsidRPr="00EA7665" w14:paraId="72561544" w14:textId="77777777" w:rsidTr="00CD6352">
        <w:tc>
          <w:tcPr>
            <w:tcW w:w="1271" w:type="dxa"/>
          </w:tcPr>
          <w:p w14:paraId="676CDA17" w14:textId="77777777"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Country</w:t>
            </w:r>
          </w:p>
        </w:tc>
        <w:tc>
          <w:tcPr>
            <w:tcW w:w="4253" w:type="dxa"/>
          </w:tcPr>
          <w:p w14:paraId="55F790ED" w14:textId="77777777"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Competences the mgrs presently have for  securing finance for real estate project development</w:t>
            </w:r>
          </w:p>
        </w:tc>
        <w:tc>
          <w:tcPr>
            <w:tcW w:w="2097" w:type="dxa"/>
          </w:tcPr>
          <w:p w14:paraId="157FB582" w14:textId="77777777"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Competences the mgrs  currently  not have</w:t>
            </w:r>
          </w:p>
        </w:tc>
        <w:tc>
          <w:tcPr>
            <w:tcW w:w="1588" w:type="dxa"/>
          </w:tcPr>
          <w:p w14:paraId="5F62F4CC" w14:textId="77777777" w:rsidR="00CD6352" w:rsidRPr="00EA7665" w:rsidRDefault="00CD6352" w:rsidP="00CD6352">
            <w:pPr>
              <w:jc w:val="both"/>
              <w:rPr>
                <w:rFonts w:ascii="Arial" w:hAnsi="Arial" w:cs="Arial"/>
                <w:b/>
                <w:sz w:val="16"/>
                <w:szCs w:val="16"/>
                <w:lang w:val="en-US"/>
              </w:rPr>
            </w:pPr>
            <w:r w:rsidRPr="00EA7665">
              <w:rPr>
                <w:rFonts w:ascii="Arial" w:hAnsi="Arial" w:cs="Arial"/>
                <w:b/>
                <w:sz w:val="16"/>
                <w:szCs w:val="16"/>
                <w:lang w:val="en-US"/>
              </w:rPr>
              <w:t>Competences the managers do not have &amp; want training and education to acquire</w:t>
            </w:r>
          </w:p>
        </w:tc>
      </w:tr>
      <w:tr w:rsidR="00CD6352" w:rsidRPr="00EA7665" w14:paraId="7AD8756B" w14:textId="77777777" w:rsidTr="00CD6352">
        <w:tc>
          <w:tcPr>
            <w:tcW w:w="1271" w:type="dxa"/>
          </w:tcPr>
          <w:p w14:paraId="6B7AC5C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Mgr1</w:t>
            </w:r>
          </w:p>
        </w:tc>
        <w:tc>
          <w:tcPr>
            <w:tcW w:w="4253" w:type="dxa"/>
          </w:tcPr>
          <w:p w14:paraId="6001D7F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Ability to do a rigorous analysis of the market; ability to explain in a concise way that is believable of how things are going to be; understanding of the market &amp; understanding of construction</w:t>
            </w:r>
          </w:p>
        </w:tc>
        <w:tc>
          <w:tcPr>
            <w:tcW w:w="2097" w:type="dxa"/>
          </w:tcPr>
          <w:p w14:paraId="41C781B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1DC71E0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699E6124" w14:textId="77777777" w:rsidTr="00CD6352">
        <w:tc>
          <w:tcPr>
            <w:tcW w:w="1271" w:type="dxa"/>
          </w:tcPr>
          <w:p w14:paraId="5D1D798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lastRenderedPageBreak/>
              <w:t>China Mgr2</w:t>
            </w:r>
          </w:p>
        </w:tc>
        <w:tc>
          <w:tcPr>
            <w:tcW w:w="4253" w:type="dxa"/>
          </w:tcPr>
          <w:p w14:paraId="4ECB894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Financial analysis, business development &amp; project management</w:t>
            </w:r>
          </w:p>
        </w:tc>
        <w:tc>
          <w:tcPr>
            <w:tcW w:w="2097" w:type="dxa"/>
          </w:tcPr>
          <w:p w14:paraId="715F52B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70F45CF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729868C1" w14:textId="77777777" w:rsidTr="00CD6352">
        <w:tc>
          <w:tcPr>
            <w:tcW w:w="1271" w:type="dxa"/>
          </w:tcPr>
          <w:p w14:paraId="7C0188F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Mgr3</w:t>
            </w:r>
          </w:p>
        </w:tc>
        <w:tc>
          <w:tcPr>
            <w:tcW w:w="4253" w:type="dxa"/>
          </w:tcPr>
          <w:p w14:paraId="61EFE18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established track record of successful acquisitions/dispositions, never defaulting on a loan </w:t>
            </w:r>
          </w:p>
        </w:tc>
        <w:tc>
          <w:tcPr>
            <w:tcW w:w="2097" w:type="dxa"/>
          </w:tcPr>
          <w:p w14:paraId="4AAC505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4F93C27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12295925" w14:textId="77777777" w:rsidTr="00CD6352">
        <w:tc>
          <w:tcPr>
            <w:tcW w:w="1271" w:type="dxa"/>
          </w:tcPr>
          <w:p w14:paraId="5BF7BB4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Mgr4</w:t>
            </w:r>
          </w:p>
        </w:tc>
        <w:tc>
          <w:tcPr>
            <w:tcW w:w="4253" w:type="dxa"/>
          </w:tcPr>
          <w:p w14:paraId="49D8AD1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Established track record</w:t>
            </w:r>
          </w:p>
        </w:tc>
        <w:tc>
          <w:tcPr>
            <w:tcW w:w="2097" w:type="dxa"/>
          </w:tcPr>
          <w:p w14:paraId="1874654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445F2C0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3535C071" w14:textId="77777777" w:rsidTr="00CD6352">
        <w:tc>
          <w:tcPr>
            <w:tcW w:w="1271" w:type="dxa"/>
          </w:tcPr>
          <w:p w14:paraId="574DAE4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Mgr5</w:t>
            </w:r>
          </w:p>
        </w:tc>
        <w:tc>
          <w:tcPr>
            <w:tcW w:w="4253" w:type="dxa"/>
          </w:tcPr>
          <w:p w14:paraId="5A24428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Established track record</w:t>
            </w:r>
          </w:p>
        </w:tc>
        <w:tc>
          <w:tcPr>
            <w:tcW w:w="2097" w:type="dxa"/>
          </w:tcPr>
          <w:p w14:paraId="3C18C8E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1DDFFE9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4B653DC4" w14:textId="77777777" w:rsidTr="00CD6352">
        <w:tc>
          <w:tcPr>
            <w:tcW w:w="1271" w:type="dxa"/>
          </w:tcPr>
          <w:p w14:paraId="6A2478A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Mgr6</w:t>
            </w:r>
          </w:p>
        </w:tc>
        <w:tc>
          <w:tcPr>
            <w:tcW w:w="4253" w:type="dxa"/>
          </w:tcPr>
          <w:p w14:paraId="1434A09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Established track record</w:t>
            </w:r>
          </w:p>
        </w:tc>
        <w:tc>
          <w:tcPr>
            <w:tcW w:w="2097" w:type="dxa"/>
          </w:tcPr>
          <w:p w14:paraId="4200999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2C120C0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1EB838D8" w14:textId="77777777" w:rsidTr="00CD6352">
        <w:tc>
          <w:tcPr>
            <w:tcW w:w="1271" w:type="dxa"/>
          </w:tcPr>
          <w:p w14:paraId="05FF696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China Mgr7</w:t>
            </w:r>
          </w:p>
        </w:tc>
        <w:tc>
          <w:tcPr>
            <w:tcW w:w="4253" w:type="dxa"/>
          </w:tcPr>
          <w:p w14:paraId="327AC4FF"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Ability to consummate transactions, ability to negotiate documentation with partners, due diligence, financial and legal analysis</w:t>
            </w:r>
          </w:p>
        </w:tc>
        <w:tc>
          <w:tcPr>
            <w:tcW w:w="2097" w:type="dxa"/>
          </w:tcPr>
          <w:p w14:paraId="2AE42FC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0F0A71B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29E502A4" w14:textId="77777777" w:rsidTr="00CD6352">
        <w:tc>
          <w:tcPr>
            <w:tcW w:w="1271" w:type="dxa"/>
          </w:tcPr>
          <w:p w14:paraId="1C696A0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Mgr1</w:t>
            </w:r>
          </w:p>
        </w:tc>
        <w:tc>
          <w:tcPr>
            <w:tcW w:w="4253" w:type="dxa"/>
          </w:tcPr>
          <w:p w14:paraId="13151A7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Track record in mass housing development, </w:t>
            </w:r>
          </w:p>
        </w:tc>
        <w:tc>
          <w:tcPr>
            <w:tcW w:w="2097" w:type="dxa"/>
          </w:tcPr>
          <w:p w14:paraId="2BA4CFC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town planning</w:t>
            </w:r>
          </w:p>
        </w:tc>
        <w:tc>
          <w:tcPr>
            <w:tcW w:w="1588" w:type="dxa"/>
          </w:tcPr>
          <w:p w14:paraId="6CC3AD8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town planning</w:t>
            </w:r>
          </w:p>
        </w:tc>
      </w:tr>
      <w:tr w:rsidR="00CD6352" w:rsidRPr="00EA7665" w14:paraId="2D436C30" w14:textId="77777777" w:rsidTr="00CD6352">
        <w:tc>
          <w:tcPr>
            <w:tcW w:w="1271" w:type="dxa"/>
          </w:tcPr>
          <w:p w14:paraId="51A304F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Mgr2</w:t>
            </w:r>
          </w:p>
        </w:tc>
        <w:tc>
          <w:tcPr>
            <w:tcW w:w="4253" w:type="dxa"/>
          </w:tcPr>
          <w:p w14:paraId="7601C10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Business development</w:t>
            </w:r>
          </w:p>
        </w:tc>
        <w:tc>
          <w:tcPr>
            <w:tcW w:w="2097" w:type="dxa"/>
          </w:tcPr>
          <w:p w14:paraId="3C57392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79397B7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0B2A7164" w14:textId="77777777" w:rsidTr="00CD6352">
        <w:tc>
          <w:tcPr>
            <w:tcW w:w="1271" w:type="dxa"/>
          </w:tcPr>
          <w:p w14:paraId="0E9A37FF"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Mgr3</w:t>
            </w:r>
          </w:p>
        </w:tc>
        <w:tc>
          <w:tcPr>
            <w:tcW w:w="4253" w:type="dxa"/>
          </w:tcPr>
          <w:p w14:paraId="4D62DAD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implementation</w:t>
            </w:r>
          </w:p>
        </w:tc>
        <w:tc>
          <w:tcPr>
            <w:tcW w:w="2097" w:type="dxa"/>
          </w:tcPr>
          <w:p w14:paraId="64728CE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19952EA0"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1934A320" w14:textId="77777777" w:rsidTr="00CD6352">
        <w:tc>
          <w:tcPr>
            <w:tcW w:w="1271" w:type="dxa"/>
          </w:tcPr>
          <w:p w14:paraId="764CC4D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 4</w:t>
            </w:r>
          </w:p>
        </w:tc>
        <w:tc>
          <w:tcPr>
            <w:tcW w:w="4253" w:type="dxa"/>
          </w:tcPr>
          <w:p w14:paraId="7A278EAB"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Finance</w:t>
            </w:r>
          </w:p>
        </w:tc>
        <w:tc>
          <w:tcPr>
            <w:tcW w:w="2097" w:type="dxa"/>
          </w:tcPr>
          <w:p w14:paraId="5A9922FE"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3FE0414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5A0DB935" w14:textId="77777777" w:rsidTr="00CD6352">
        <w:tc>
          <w:tcPr>
            <w:tcW w:w="1271" w:type="dxa"/>
          </w:tcPr>
          <w:p w14:paraId="1362B8C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 5</w:t>
            </w:r>
          </w:p>
        </w:tc>
        <w:tc>
          <w:tcPr>
            <w:tcW w:w="4253" w:type="dxa"/>
          </w:tcPr>
          <w:p w14:paraId="4D58507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execution</w:t>
            </w:r>
          </w:p>
        </w:tc>
        <w:tc>
          <w:tcPr>
            <w:tcW w:w="2097" w:type="dxa"/>
          </w:tcPr>
          <w:p w14:paraId="50139D5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1B88616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7CF7707C" w14:textId="77777777" w:rsidTr="00CD6352">
        <w:tc>
          <w:tcPr>
            <w:tcW w:w="1271" w:type="dxa"/>
          </w:tcPr>
          <w:p w14:paraId="5B870BB5"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Nigeria Mgr 6</w:t>
            </w:r>
          </w:p>
        </w:tc>
        <w:tc>
          <w:tcPr>
            <w:tcW w:w="4253" w:type="dxa"/>
          </w:tcPr>
          <w:p w14:paraId="66D8F658"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Building of properties</w:t>
            </w:r>
          </w:p>
        </w:tc>
        <w:tc>
          <w:tcPr>
            <w:tcW w:w="2097" w:type="dxa"/>
          </w:tcPr>
          <w:p w14:paraId="2C6F74C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4ADF8B7F"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2B80BE4A" w14:textId="77777777" w:rsidTr="00CD6352">
        <w:tc>
          <w:tcPr>
            <w:tcW w:w="1271" w:type="dxa"/>
          </w:tcPr>
          <w:p w14:paraId="3BA32DB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Mgr1</w:t>
            </w:r>
          </w:p>
        </w:tc>
        <w:tc>
          <w:tcPr>
            <w:tcW w:w="4253" w:type="dxa"/>
          </w:tcPr>
          <w:p w14:paraId="7E1DE29A"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Networking</w:t>
            </w:r>
          </w:p>
        </w:tc>
        <w:tc>
          <w:tcPr>
            <w:tcW w:w="2097" w:type="dxa"/>
          </w:tcPr>
          <w:p w14:paraId="5B8B2A5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04E3A01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047C1D52" w14:textId="77777777" w:rsidTr="00CD6352">
        <w:tc>
          <w:tcPr>
            <w:tcW w:w="1271" w:type="dxa"/>
          </w:tcPr>
          <w:p w14:paraId="0510D80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Mgr2</w:t>
            </w:r>
          </w:p>
        </w:tc>
        <w:tc>
          <w:tcPr>
            <w:tcW w:w="4253" w:type="dxa"/>
          </w:tcPr>
          <w:p w14:paraId="723B5DE6"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Track record in executing projects</w:t>
            </w:r>
          </w:p>
        </w:tc>
        <w:tc>
          <w:tcPr>
            <w:tcW w:w="2097" w:type="dxa"/>
          </w:tcPr>
          <w:p w14:paraId="6A8E41F4"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6E852227"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29EB78DB" w14:textId="77777777" w:rsidTr="00CD6352">
        <w:tc>
          <w:tcPr>
            <w:tcW w:w="1271" w:type="dxa"/>
          </w:tcPr>
          <w:p w14:paraId="287D7CA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Mgr3</w:t>
            </w:r>
          </w:p>
        </w:tc>
        <w:tc>
          <w:tcPr>
            <w:tcW w:w="4253" w:type="dxa"/>
          </w:tcPr>
          <w:p w14:paraId="7124C0ED"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management</w:t>
            </w:r>
          </w:p>
        </w:tc>
        <w:tc>
          <w:tcPr>
            <w:tcW w:w="2097" w:type="dxa"/>
          </w:tcPr>
          <w:p w14:paraId="2A0A3A4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c>
          <w:tcPr>
            <w:tcW w:w="1588" w:type="dxa"/>
          </w:tcPr>
          <w:p w14:paraId="6569E10C"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None</w:t>
            </w:r>
          </w:p>
        </w:tc>
      </w:tr>
      <w:tr w:rsidR="00CD6352" w:rsidRPr="00EA7665" w14:paraId="243BC72F" w14:textId="77777777" w:rsidTr="00CD6352">
        <w:tc>
          <w:tcPr>
            <w:tcW w:w="1271" w:type="dxa"/>
          </w:tcPr>
          <w:p w14:paraId="498827D3"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South Africa Mgr4</w:t>
            </w:r>
          </w:p>
        </w:tc>
        <w:tc>
          <w:tcPr>
            <w:tcW w:w="4253" w:type="dxa"/>
          </w:tcPr>
          <w:p w14:paraId="076CA152"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 xml:space="preserve">Retail development, management , </w:t>
            </w:r>
          </w:p>
        </w:tc>
        <w:tc>
          <w:tcPr>
            <w:tcW w:w="2097" w:type="dxa"/>
          </w:tcPr>
          <w:p w14:paraId="6D758E31"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execution</w:t>
            </w:r>
          </w:p>
        </w:tc>
        <w:tc>
          <w:tcPr>
            <w:tcW w:w="1588" w:type="dxa"/>
          </w:tcPr>
          <w:p w14:paraId="51DCF1F9" w14:textId="77777777" w:rsidR="00CD6352" w:rsidRPr="00EA7665" w:rsidRDefault="00CD6352" w:rsidP="00CD6352">
            <w:pPr>
              <w:jc w:val="both"/>
              <w:rPr>
                <w:rFonts w:ascii="Arial" w:hAnsi="Arial" w:cs="Arial"/>
                <w:sz w:val="16"/>
                <w:szCs w:val="16"/>
                <w:lang w:val="en-US"/>
              </w:rPr>
            </w:pPr>
            <w:r w:rsidRPr="00EA7665">
              <w:rPr>
                <w:rFonts w:ascii="Arial" w:hAnsi="Arial" w:cs="Arial"/>
                <w:sz w:val="16"/>
                <w:szCs w:val="16"/>
                <w:lang w:val="en-US"/>
              </w:rPr>
              <w:t>Project execution</w:t>
            </w:r>
          </w:p>
        </w:tc>
      </w:tr>
    </w:tbl>
    <w:p w14:paraId="245514DE" w14:textId="77777777" w:rsidR="00CD6352" w:rsidRPr="00EA7665" w:rsidRDefault="00CD6352" w:rsidP="00CD6352">
      <w:pPr>
        <w:spacing w:line="360" w:lineRule="auto"/>
        <w:jc w:val="both"/>
        <w:rPr>
          <w:rFonts w:ascii="Arial" w:hAnsi="Arial" w:cs="Arial"/>
        </w:rPr>
      </w:pPr>
    </w:p>
    <w:p w14:paraId="6F0E445D" w14:textId="38460C22"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The findings from both the survey questionnaires and interviews show that the different managers have different competences that they consider important in securing finance for their real estate project development. However, some of </w:t>
      </w:r>
      <w:r w:rsidR="00C92081">
        <w:rPr>
          <w:rFonts w:ascii="Arial" w:eastAsia="Calibri" w:hAnsi="Arial" w:cs="Arial"/>
          <w:lang w:val="en-US"/>
        </w:rPr>
        <w:t xml:space="preserve">the </w:t>
      </w:r>
      <w:r w:rsidR="00C92081" w:rsidRPr="00EA7665">
        <w:rPr>
          <w:rFonts w:ascii="Arial" w:eastAsia="Calibri" w:hAnsi="Arial" w:cs="Arial"/>
          <w:lang w:val="en-US"/>
        </w:rPr>
        <w:t>managers</w:t>
      </w:r>
      <w:r w:rsidRPr="00EA7665">
        <w:rPr>
          <w:rFonts w:ascii="Arial" w:eastAsia="Calibri" w:hAnsi="Arial" w:cs="Arial"/>
          <w:lang w:val="en-US"/>
        </w:rPr>
        <w:t xml:space="preserve"> interviewed said</w:t>
      </w:r>
      <w:r>
        <w:rPr>
          <w:rFonts w:ascii="Arial" w:eastAsia="Calibri" w:hAnsi="Arial" w:cs="Arial"/>
          <w:lang w:val="en-US"/>
        </w:rPr>
        <w:t xml:space="preserve"> </w:t>
      </w:r>
      <w:r w:rsidR="003E4CA6" w:rsidRPr="00EA7665">
        <w:rPr>
          <w:rFonts w:ascii="Arial" w:eastAsia="Calibri" w:hAnsi="Arial" w:cs="Arial"/>
          <w:lang w:val="en-US"/>
        </w:rPr>
        <w:t>they</w:t>
      </w:r>
      <w:r w:rsidRPr="00EA7665">
        <w:rPr>
          <w:rFonts w:ascii="Arial" w:eastAsia="Calibri" w:hAnsi="Arial" w:cs="Arial"/>
          <w:lang w:val="en-US"/>
        </w:rPr>
        <w:t xml:space="preserve"> would engage professional advice in certain areas </w:t>
      </w:r>
      <w:r>
        <w:rPr>
          <w:rFonts w:ascii="Arial" w:eastAsia="Calibri" w:hAnsi="Arial" w:cs="Arial"/>
          <w:lang w:val="en-US"/>
        </w:rPr>
        <w:t xml:space="preserve">in which </w:t>
      </w:r>
      <w:r w:rsidRPr="00EA7665">
        <w:rPr>
          <w:rFonts w:ascii="Arial" w:eastAsia="Calibri" w:hAnsi="Arial" w:cs="Arial"/>
          <w:lang w:val="en-US"/>
        </w:rPr>
        <w:t>they do not have core competences instead of attempting to be trained. A manager involved with securing finance for real estate project development should have the requisite skills, knowledge, and competences. The manager needs to understand how the asset will perform or best predict how it will perform. They should be able to adhere to all requirements by the loan contract both in terms of paying interest, amortisation and being able to repay the loan (Ogbenjuwa et al., 2018).</w:t>
      </w:r>
    </w:p>
    <w:p w14:paraId="11619B13" w14:textId="486522EC" w:rsidR="00CD6352" w:rsidRPr="004A4C58" w:rsidRDefault="00CD6352" w:rsidP="00CD6352">
      <w:pPr>
        <w:spacing w:line="360" w:lineRule="auto"/>
        <w:ind w:left="720"/>
        <w:jc w:val="both"/>
        <w:rPr>
          <w:rFonts w:ascii="Arial" w:eastAsia="Calibri" w:hAnsi="Arial" w:cs="Arial"/>
          <w:i/>
          <w:iCs/>
          <w:lang w:val="en-US"/>
        </w:rPr>
      </w:pPr>
      <w:r w:rsidRPr="004A4C58">
        <w:rPr>
          <w:rFonts w:ascii="Arial" w:eastAsia="Calibri" w:hAnsi="Arial" w:cs="Arial"/>
          <w:i/>
          <w:iCs/>
          <w:lang w:val="en-US"/>
        </w:rPr>
        <w:t>“A competent manager understands the risk of taking out either equity or debt and will always manage it well in order not to breach the contract terms. A competent manager is someone who can consider different types of financing to find the best possible structure for their project (s) “–</w:t>
      </w:r>
      <w:r w:rsidR="00A249B7">
        <w:rPr>
          <w:rFonts w:ascii="Arial" w:eastAsia="Calibri" w:hAnsi="Arial" w:cs="Arial"/>
          <w:i/>
          <w:iCs/>
          <w:lang w:val="en-US"/>
        </w:rPr>
        <w:t xml:space="preserve"> excerpt from interview with</w:t>
      </w:r>
      <w:r w:rsidRPr="004A4C58">
        <w:rPr>
          <w:rFonts w:ascii="Arial" w:eastAsia="Calibri" w:hAnsi="Arial" w:cs="Arial"/>
          <w:i/>
          <w:iCs/>
          <w:lang w:val="en-US"/>
        </w:rPr>
        <w:t xml:space="preserve"> Uk mgr 2</w:t>
      </w:r>
    </w:p>
    <w:p w14:paraId="6886E1F8" w14:textId="77777777"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Based on the findings, a competent manager should be able to manage a project from </w:t>
      </w:r>
      <w:r>
        <w:rPr>
          <w:rFonts w:ascii="Arial" w:eastAsia="Calibri" w:hAnsi="Arial" w:cs="Arial"/>
          <w:lang w:val="en-US"/>
        </w:rPr>
        <w:t xml:space="preserve">the </w:t>
      </w:r>
      <w:r w:rsidRPr="00EA7665">
        <w:rPr>
          <w:rFonts w:ascii="Arial" w:eastAsia="Calibri" w:hAnsi="Arial" w:cs="Arial"/>
          <w:lang w:val="en-US"/>
        </w:rPr>
        <w:t xml:space="preserve">beginning to delivery beyond construction. A blend of all the skills, knowledge and </w:t>
      </w:r>
      <w:r w:rsidRPr="00EA7665">
        <w:rPr>
          <w:rFonts w:ascii="Arial" w:eastAsia="Calibri" w:hAnsi="Arial" w:cs="Arial"/>
          <w:lang w:val="en-US"/>
        </w:rPr>
        <w:lastRenderedPageBreak/>
        <w:t xml:space="preserve">competences is necessary for </w:t>
      </w:r>
      <w:r>
        <w:rPr>
          <w:rFonts w:ascii="Arial" w:eastAsia="Calibri" w:hAnsi="Arial" w:cs="Arial"/>
          <w:lang w:val="en-US"/>
        </w:rPr>
        <w:t xml:space="preserve">a </w:t>
      </w:r>
      <w:r w:rsidRPr="00EA7665">
        <w:rPr>
          <w:rFonts w:ascii="Arial" w:eastAsia="Calibri" w:hAnsi="Arial" w:cs="Arial"/>
          <w:lang w:val="en-US"/>
        </w:rPr>
        <w:t>real estate manage</w:t>
      </w:r>
      <w:r>
        <w:rPr>
          <w:rFonts w:ascii="Arial" w:eastAsia="Calibri" w:hAnsi="Arial" w:cs="Arial"/>
          <w:lang w:val="en-US"/>
        </w:rPr>
        <w:t>r</w:t>
      </w:r>
      <w:r w:rsidRPr="00EA7665">
        <w:rPr>
          <w:rFonts w:ascii="Arial" w:eastAsia="Calibri" w:hAnsi="Arial" w:cs="Arial"/>
          <w:lang w:val="en-US"/>
        </w:rPr>
        <w:t xml:space="preserve"> and his team to be successful in project execution and to access funding for real estate projects. </w:t>
      </w:r>
    </w:p>
    <w:p w14:paraId="1997DE88" w14:textId="188F3F07" w:rsidR="00CD6352"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The findings show that managers in the real estate sector involved with real estate development financing decisions should be multi-lingual, especially in </w:t>
      </w:r>
      <w:r w:rsidR="00FE0F87">
        <w:rPr>
          <w:rFonts w:ascii="Arial" w:eastAsia="Calibri" w:hAnsi="Arial" w:cs="Arial"/>
          <w:lang w:val="en-US"/>
        </w:rPr>
        <w:t>the</w:t>
      </w:r>
      <w:r w:rsidRPr="00EA7665">
        <w:rPr>
          <w:rFonts w:ascii="Arial" w:eastAsia="Calibri" w:hAnsi="Arial" w:cs="Arial"/>
          <w:lang w:val="en-US"/>
        </w:rPr>
        <w:t xml:space="preserve"> developed economy where there </w:t>
      </w:r>
      <w:r w:rsidR="00FE0F87">
        <w:rPr>
          <w:rFonts w:ascii="Arial" w:eastAsia="Calibri" w:hAnsi="Arial" w:cs="Arial"/>
          <w:lang w:val="en-US"/>
        </w:rPr>
        <w:t>is</w:t>
      </w:r>
      <w:r w:rsidRPr="00EA7665">
        <w:rPr>
          <w:rFonts w:ascii="Arial" w:eastAsia="Calibri" w:hAnsi="Arial" w:cs="Arial"/>
          <w:lang w:val="en-US"/>
        </w:rPr>
        <w:t xml:space="preserve"> </w:t>
      </w:r>
      <w:r w:rsidR="00FE0F87">
        <w:rPr>
          <w:rFonts w:ascii="Arial" w:eastAsia="Calibri" w:hAnsi="Arial" w:cs="Arial"/>
          <w:lang w:val="en-US"/>
        </w:rPr>
        <w:t xml:space="preserve">a </w:t>
      </w:r>
      <w:r w:rsidRPr="00EA7665">
        <w:rPr>
          <w:rFonts w:ascii="Arial" w:eastAsia="Calibri" w:hAnsi="Arial" w:cs="Arial"/>
          <w:lang w:val="en-US"/>
        </w:rPr>
        <w:t>lot of economic and policy coordination among countries. They need to have some fundamental financial knowledge and competences</w:t>
      </w:r>
      <w:r w:rsidR="00FD73B0">
        <w:rPr>
          <w:rFonts w:ascii="Arial" w:eastAsia="Calibri" w:hAnsi="Arial" w:cs="Arial"/>
          <w:lang w:val="en-US"/>
        </w:rPr>
        <w:t>,</w:t>
      </w:r>
      <w:r>
        <w:rPr>
          <w:rFonts w:ascii="Arial" w:eastAsia="Calibri" w:hAnsi="Arial" w:cs="Arial"/>
          <w:lang w:val="en-US"/>
        </w:rPr>
        <w:t xml:space="preserve"> </w:t>
      </w:r>
      <w:r w:rsidR="00E10408">
        <w:rPr>
          <w:rFonts w:ascii="Arial" w:eastAsia="Calibri" w:hAnsi="Arial" w:cs="Arial"/>
          <w:lang w:val="en-US"/>
        </w:rPr>
        <w:t xml:space="preserve">and </w:t>
      </w:r>
      <w:r w:rsidR="00E10408" w:rsidRPr="00EA7665">
        <w:rPr>
          <w:rFonts w:ascii="Arial" w:eastAsia="Calibri" w:hAnsi="Arial" w:cs="Arial"/>
          <w:lang w:val="en-US"/>
        </w:rPr>
        <w:t>they</w:t>
      </w:r>
      <w:r w:rsidRPr="00EA7665">
        <w:rPr>
          <w:rFonts w:ascii="Arial" w:eastAsia="Calibri" w:hAnsi="Arial" w:cs="Arial"/>
          <w:lang w:val="en-US"/>
        </w:rPr>
        <w:t xml:space="preserve"> need to have interpersonal relationships to coordinate and negotiate deals with financers. The manager involved with financing decisions also needs to have a good understanding of the real estate sector and some measure of technical competences</w:t>
      </w:r>
      <w:r>
        <w:rPr>
          <w:rFonts w:ascii="Arial" w:eastAsia="Calibri" w:hAnsi="Arial" w:cs="Arial"/>
          <w:lang w:val="en-US"/>
        </w:rPr>
        <w:t xml:space="preserve"> (Varajao &amp; Cruz-Cunha, 2013)</w:t>
      </w:r>
      <w:r w:rsidRPr="00EA7665">
        <w:rPr>
          <w:rFonts w:ascii="Arial" w:eastAsia="Calibri" w:hAnsi="Arial" w:cs="Arial"/>
          <w:lang w:val="en-US"/>
        </w:rPr>
        <w:t xml:space="preserve">. </w:t>
      </w:r>
      <w:r>
        <w:rPr>
          <w:rFonts w:ascii="Arial" w:eastAsia="Calibri" w:hAnsi="Arial" w:cs="Arial"/>
          <w:lang w:val="en-US"/>
        </w:rPr>
        <w:t>They</w:t>
      </w:r>
      <w:r w:rsidRPr="00EA7665">
        <w:rPr>
          <w:rFonts w:ascii="Arial" w:eastAsia="Calibri" w:hAnsi="Arial" w:cs="Arial"/>
          <w:lang w:val="en-US"/>
        </w:rPr>
        <w:t xml:space="preserve"> should be able to visualise how the property will be serving the needs of the clients or tenants. </w:t>
      </w:r>
    </w:p>
    <w:p w14:paraId="139A5892" w14:textId="77777777" w:rsidR="00FD73B0" w:rsidRPr="00EA7665" w:rsidRDefault="00FD73B0" w:rsidP="00CD6352">
      <w:pPr>
        <w:spacing w:line="360" w:lineRule="auto"/>
        <w:jc w:val="both"/>
        <w:rPr>
          <w:rFonts w:ascii="Arial" w:eastAsia="Calibri" w:hAnsi="Arial" w:cs="Arial"/>
          <w:lang w:val="en-US"/>
        </w:rPr>
      </w:pPr>
    </w:p>
    <w:p w14:paraId="7240CF69" w14:textId="490FFBC3" w:rsidR="00CD6352" w:rsidRPr="00EA7665" w:rsidRDefault="00CD6352" w:rsidP="00CD6352">
      <w:pPr>
        <w:pStyle w:val="Heading3"/>
        <w:rPr>
          <w:rFonts w:eastAsia="Calibri"/>
          <w:sz w:val="22"/>
          <w:szCs w:val="22"/>
          <w:lang w:val="en-US"/>
        </w:rPr>
      </w:pPr>
      <w:bookmarkStart w:id="1369" w:name="_Toc78983914"/>
      <w:r w:rsidRPr="00EA7665">
        <w:rPr>
          <w:rFonts w:eastAsia="Calibri"/>
          <w:sz w:val="22"/>
          <w:szCs w:val="22"/>
          <w:lang w:val="en-US"/>
        </w:rPr>
        <w:t>Comparison of</w:t>
      </w:r>
      <w:r w:rsidR="003E4CA6">
        <w:rPr>
          <w:rFonts w:eastAsia="Calibri"/>
          <w:sz w:val="22"/>
          <w:szCs w:val="22"/>
          <w:lang w:val="en-US"/>
        </w:rPr>
        <w:t xml:space="preserve"> competences for securing finance for real estate project development in </w:t>
      </w:r>
      <w:r w:rsidR="007D435E">
        <w:rPr>
          <w:rFonts w:eastAsia="Calibri"/>
          <w:sz w:val="22"/>
          <w:szCs w:val="22"/>
          <w:lang w:val="en-US"/>
        </w:rPr>
        <w:t xml:space="preserve">the </w:t>
      </w:r>
      <w:r w:rsidR="007D435E" w:rsidRPr="00EA7665">
        <w:rPr>
          <w:rFonts w:eastAsia="Calibri"/>
          <w:sz w:val="22"/>
          <w:szCs w:val="22"/>
          <w:lang w:val="en-US"/>
        </w:rPr>
        <w:t>developed</w:t>
      </w:r>
      <w:r w:rsidRPr="00EA7665">
        <w:rPr>
          <w:rFonts w:eastAsia="Calibri"/>
          <w:sz w:val="22"/>
          <w:szCs w:val="22"/>
          <w:lang w:val="en-US"/>
        </w:rPr>
        <w:t xml:space="preserve"> and emerging economies</w:t>
      </w:r>
      <w:bookmarkEnd w:id="1369"/>
      <w:r w:rsidRPr="00EA7665">
        <w:rPr>
          <w:rFonts w:eastAsia="Calibri"/>
          <w:sz w:val="22"/>
          <w:szCs w:val="22"/>
          <w:lang w:val="en-US"/>
        </w:rPr>
        <w:t xml:space="preserve"> </w:t>
      </w:r>
    </w:p>
    <w:p w14:paraId="3B61DE57" w14:textId="77777777" w:rsidR="00CD6352" w:rsidRPr="00EA7665" w:rsidRDefault="00CD6352" w:rsidP="00CD6352">
      <w:pPr>
        <w:spacing w:line="360" w:lineRule="auto"/>
        <w:rPr>
          <w:rFonts w:ascii="Arial" w:hAnsi="Arial" w:cs="Arial"/>
          <w:lang w:val="en-US"/>
        </w:rPr>
      </w:pPr>
    </w:p>
    <w:p w14:paraId="2618DB72" w14:textId="1AAD0564" w:rsidR="00CD6352" w:rsidRPr="00EA7665" w:rsidRDefault="00CD6352" w:rsidP="004E17CF">
      <w:pPr>
        <w:spacing w:line="360" w:lineRule="auto"/>
        <w:rPr>
          <w:rFonts w:ascii="Arial" w:hAnsi="Arial" w:cs="Arial"/>
          <w:lang w:val="en-US"/>
        </w:rPr>
      </w:pPr>
      <w:r w:rsidRPr="00EA7665">
        <w:rPr>
          <w:rFonts w:ascii="Arial" w:hAnsi="Arial" w:cs="Arial"/>
          <w:lang w:val="en-US"/>
        </w:rPr>
        <w:t xml:space="preserve">The </w:t>
      </w:r>
      <w:r w:rsidR="00FD73B0">
        <w:rPr>
          <w:rFonts w:ascii="Arial" w:hAnsi="Arial" w:cs="Arial"/>
          <w:lang w:val="en-US"/>
        </w:rPr>
        <w:t>survey questionnaire findings</w:t>
      </w:r>
      <w:r w:rsidRPr="00EA7665">
        <w:rPr>
          <w:rFonts w:ascii="Arial" w:hAnsi="Arial" w:cs="Arial"/>
          <w:lang w:val="en-US"/>
        </w:rPr>
        <w:t xml:space="preserve"> show that all nineteen management competences are considered important for securing finance for real estate project development by both managers in the developed and emerging economies at the aggregate </w:t>
      </w:r>
      <w:r w:rsidR="004E17CF" w:rsidRPr="00EA7665">
        <w:rPr>
          <w:rFonts w:ascii="Arial" w:hAnsi="Arial" w:cs="Arial"/>
          <w:lang w:val="en-US"/>
        </w:rPr>
        <w:t>level.</w:t>
      </w:r>
      <w:r w:rsidRPr="00EA7665">
        <w:rPr>
          <w:rFonts w:ascii="Arial" w:hAnsi="Arial" w:cs="Arial"/>
          <w:lang w:val="en-US"/>
        </w:rPr>
        <w:t xml:space="preserve"> It also shows that they indicated a need for some degree of training and education for all nineteen competences for both the present and future need for securing finance for real estate project development. </w:t>
      </w:r>
    </w:p>
    <w:p w14:paraId="22A75D49" w14:textId="35F0ADE5" w:rsidR="00CD6352" w:rsidRPr="00EA7665" w:rsidRDefault="004E17CF" w:rsidP="00CD6352">
      <w:pPr>
        <w:spacing w:line="360" w:lineRule="auto"/>
        <w:rPr>
          <w:rFonts w:ascii="Arial" w:hAnsi="Arial" w:cs="Arial"/>
          <w:lang w:val="en-US"/>
        </w:rPr>
      </w:pPr>
      <w:r w:rsidRPr="00EA7665">
        <w:rPr>
          <w:rFonts w:ascii="Arial" w:hAnsi="Arial" w:cs="Arial"/>
          <w:lang w:val="en-US"/>
        </w:rPr>
        <w:t>Leadership,</w:t>
      </w:r>
      <w:r w:rsidR="00CD6352" w:rsidRPr="00EA7665">
        <w:rPr>
          <w:rFonts w:ascii="Arial" w:hAnsi="Arial" w:cs="Arial"/>
          <w:lang w:val="en-US"/>
        </w:rPr>
        <w:t xml:space="preserve"> </w:t>
      </w:r>
      <w:r w:rsidRPr="00EA7665">
        <w:rPr>
          <w:rFonts w:ascii="Arial" w:hAnsi="Arial" w:cs="Arial"/>
          <w:lang w:val="en-US"/>
        </w:rPr>
        <w:t>managerial,</w:t>
      </w:r>
      <w:r w:rsidR="00CD6352" w:rsidRPr="00EA7665">
        <w:rPr>
          <w:rFonts w:ascii="Arial" w:hAnsi="Arial" w:cs="Arial"/>
          <w:lang w:val="en-US"/>
        </w:rPr>
        <w:t xml:space="preserve"> negotiation, result</w:t>
      </w:r>
      <w:r w:rsidR="00403A50">
        <w:rPr>
          <w:rFonts w:ascii="Arial" w:hAnsi="Arial" w:cs="Arial"/>
          <w:lang w:val="en-US"/>
        </w:rPr>
        <w:t>-</w:t>
      </w:r>
      <w:r w:rsidR="00CD6352" w:rsidRPr="00EA7665">
        <w:rPr>
          <w:rFonts w:ascii="Arial" w:hAnsi="Arial" w:cs="Arial"/>
          <w:lang w:val="en-US"/>
        </w:rPr>
        <w:t xml:space="preserve">oriented, planning and control competences are ranked highly with respect to degree of importance, </w:t>
      </w:r>
      <w:r w:rsidR="00CD6352">
        <w:rPr>
          <w:rFonts w:ascii="Arial" w:hAnsi="Arial" w:cs="Arial"/>
          <w:lang w:val="en-US"/>
        </w:rPr>
        <w:t xml:space="preserve">and the </w:t>
      </w:r>
      <w:r w:rsidR="00CD6352" w:rsidRPr="00EA7665">
        <w:rPr>
          <w:rFonts w:ascii="Arial" w:hAnsi="Arial" w:cs="Arial"/>
          <w:lang w:val="en-US"/>
        </w:rPr>
        <w:t>need for training and education for both the present and future.</w:t>
      </w:r>
      <w:r w:rsidR="00CD6352">
        <w:rPr>
          <w:rFonts w:ascii="Arial" w:hAnsi="Arial" w:cs="Arial"/>
          <w:lang w:val="en-US"/>
        </w:rPr>
        <w:t xml:space="preserve"> </w:t>
      </w:r>
      <w:r w:rsidR="00CD6352" w:rsidRPr="00EA7665">
        <w:rPr>
          <w:rFonts w:ascii="Arial" w:hAnsi="Arial" w:cs="Arial"/>
          <w:lang w:val="en-US"/>
        </w:rPr>
        <w:t>Comparatively, the competences for securing finance for real estate project development in both the developed and emerging economies are similar</w:t>
      </w:r>
      <w:r w:rsidR="00CD6352">
        <w:rPr>
          <w:rFonts w:ascii="Arial" w:hAnsi="Arial" w:cs="Arial"/>
          <w:lang w:val="en-US"/>
        </w:rPr>
        <w:t>,</w:t>
      </w:r>
      <w:r w:rsidR="00CD6352" w:rsidRPr="00EA7665">
        <w:rPr>
          <w:rFonts w:ascii="Arial" w:hAnsi="Arial" w:cs="Arial"/>
          <w:lang w:val="en-US"/>
        </w:rPr>
        <w:t xml:space="preserve"> </w:t>
      </w:r>
      <w:r w:rsidR="00CD6352">
        <w:rPr>
          <w:rFonts w:ascii="Arial" w:hAnsi="Arial" w:cs="Arial"/>
          <w:lang w:val="en-US"/>
        </w:rPr>
        <w:t xml:space="preserve">as </w:t>
      </w:r>
      <w:r>
        <w:rPr>
          <w:rFonts w:ascii="Arial" w:hAnsi="Arial" w:cs="Arial"/>
          <w:lang w:val="en-US"/>
        </w:rPr>
        <w:t xml:space="preserve">was </w:t>
      </w:r>
      <w:r w:rsidRPr="00EA7665">
        <w:rPr>
          <w:rFonts w:ascii="Arial" w:hAnsi="Arial" w:cs="Arial"/>
          <w:lang w:val="en-US"/>
        </w:rPr>
        <w:t>the</w:t>
      </w:r>
      <w:r w:rsidR="00CD6352" w:rsidRPr="00EA7665">
        <w:rPr>
          <w:rFonts w:ascii="Arial" w:hAnsi="Arial" w:cs="Arial"/>
          <w:lang w:val="en-US"/>
        </w:rPr>
        <w:t xml:space="preserve"> case </w:t>
      </w:r>
      <w:r w:rsidR="00CD6352">
        <w:rPr>
          <w:rFonts w:ascii="Arial" w:hAnsi="Arial" w:cs="Arial"/>
          <w:lang w:val="en-US"/>
        </w:rPr>
        <w:t>with</w:t>
      </w:r>
      <w:r w:rsidR="00CD6352" w:rsidRPr="00EA7665">
        <w:rPr>
          <w:rFonts w:ascii="Arial" w:hAnsi="Arial" w:cs="Arial"/>
          <w:lang w:val="en-US"/>
        </w:rPr>
        <w:t xml:space="preserve"> knowledge and skills. The questionnaire survey analysis of the competences </w:t>
      </w:r>
      <w:r w:rsidR="0060019A" w:rsidRPr="00EA7665">
        <w:rPr>
          <w:rFonts w:ascii="Arial" w:hAnsi="Arial" w:cs="Arial"/>
          <w:lang w:val="en-US"/>
        </w:rPr>
        <w:t>at the</w:t>
      </w:r>
      <w:r w:rsidR="00CD6352" w:rsidRPr="00EA7665">
        <w:rPr>
          <w:rFonts w:ascii="Arial" w:hAnsi="Arial" w:cs="Arial"/>
          <w:lang w:val="en-US"/>
        </w:rPr>
        <w:t xml:space="preserve"> disaggregate level for the different countries showing the ranking of the degree of importance, need for training and education for the present and the future for the developed and emerging economies is show</w:t>
      </w:r>
      <w:r w:rsidR="00CD6352">
        <w:rPr>
          <w:rFonts w:ascii="Arial" w:hAnsi="Arial" w:cs="Arial"/>
          <w:lang w:val="en-US"/>
        </w:rPr>
        <w:t>n</w:t>
      </w:r>
      <w:r w:rsidR="00CD6352" w:rsidRPr="00EA7665">
        <w:rPr>
          <w:rFonts w:ascii="Arial" w:hAnsi="Arial" w:cs="Arial"/>
          <w:lang w:val="en-US"/>
        </w:rPr>
        <w:t xml:space="preserve"> in </w:t>
      </w:r>
      <w:r w:rsidR="00FE0F87">
        <w:rPr>
          <w:rFonts w:ascii="Arial" w:hAnsi="Arial" w:cs="Arial"/>
          <w:lang w:val="en-US"/>
        </w:rPr>
        <w:t>c</w:t>
      </w:r>
      <w:r w:rsidR="00CD6352" w:rsidRPr="00EA7665">
        <w:rPr>
          <w:rFonts w:ascii="Arial" w:hAnsi="Arial" w:cs="Arial"/>
          <w:lang w:val="en-US"/>
        </w:rPr>
        <w:t>hapter</w:t>
      </w:r>
      <w:r w:rsidR="00FE0F87">
        <w:rPr>
          <w:rFonts w:ascii="Arial" w:hAnsi="Arial" w:cs="Arial"/>
          <w:lang w:val="en-US"/>
        </w:rPr>
        <w:t>s</w:t>
      </w:r>
      <w:r w:rsidR="00CD6352" w:rsidRPr="00EA7665">
        <w:rPr>
          <w:rFonts w:ascii="Arial" w:hAnsi="Arial" w:cs="Arial"/>
          <w:lang w:val="en-US"/>
        </w:rPr>
        <w:t xml:space="preserve"> 8.4.3.2, 8.4.2.2 and 8.4.1.2.</w:t>
      </w:r>
    </w:p>
    <w:p w14:paraId="09B28E31" w14:textId="4F078C86" w:rsidR="00CD6352" w:rsidRPr="00EA7665" w:rsidRDefault="00CD6352" w:rsidP="00CD6352">
      <w:pPr>
        <w:spacing w:line="360" w:lineRule="auto"/>
        <w:rPr>
          <w:rFonts w:ascii="Arial" w:hAnsi="Arial" w:cs="Arial"/>
          <w:lang w:val="en-US"/>
        </w:rPr>
      </w:pPr>
      <w:r>
        <w:rPr>
          <w:rFonts w:ascii="Arial" w:hAnsi="Arial" w:cs="Arial"/>
          <w:lang w:val="en-US"/>
        </w:rPr>
        <w:t>The</w:t>
      </w:r>
      <w:r w:rsidRPr="00EA7665">
        <w:rPr>
          <w:rFonts w:ascii="Arial" w:hAnsi="Arial" w:cs="Arial"/>
          <w:lang w:val="en-US"/>
        </w:rPr>
        <w:t xml:space="preserve"> findings from the semi-structured interviews sho</w:t>
      </w:r>
      <w:r>
        <w:rPr>
          <w:rFonts w:ascii="Arial" w:hAnsi="Arial" w:cs="Arial"/>
          <w:lang w:val="en-US"/>
        </w:rPr>
        <w:t>w</w:t>
      </w:r>
      <w:r w:rsidRPr="00EA7665">
        <w:rPr>
          <w:rFonts w:ascii="Arial" w:hAnsi="Arial" w:cs="Arial"/>
          <w:lang w:val="en-US"/>
        </w:rPr>
        <w:t xml:space="preserve"> some commonalities in competences for securing finance for real estate project development </w:t>
      </w:r>
      <w:r>
        <w:rPr>
          <w:rFonts w:ascii="Arial" w:hAnsi="Arial" w:cs="Arial"/>
          <w:lang w:val="en-US"/>
        </w:rPr>
        <w:t xml:space="preserve">in both the developed and emerging economies, </w:t>
      </w:r>
      <w:r w:rsidRPr="00EA7665">
        <w:rPr>
          <w:rFonts w:ascii="Arial" w:hAnsi="Arial" w:cs="Arial"/>
          <w:lang w:val="en-US"/>
        </w:rPr>
        <w:t xml:space="preserve">as </w:t>
      </w:r>
      <w:r w:rsidR="0060019A" w:rsidRPr="00EA7665">
        <w:rPr>
          <w:rFonts w:ascii="Arial" w:hAnsi="Arial" w:cs="Arial"/>
          <w:lang w:val="en-US"/>
        </w:rPr>
        <w:t>follows:</w:t>
      </w:r>
    </w:p>
    <w:p w14:paraId="2205AB05" w14:textId="77777777" w:rsidR="00CD6352" w:rsidRPr="00EA7665" w:rsidRDefault="00CD6352" w:rsidP="00C74AEC">
      <w:pPr>
        <w:pStyle w:val="ListParagraph"/>
        <w:numPr>
          <w:ilvl w:val="0"/>
          <w:numId w:val="189"/>
        </w:numPr>
        <w:spacing w:line="360" w:lineRule="auto"/>
        <w:rPr>
          <w:rFonts w:ascii="Arial" w:hAnsi="Arial" w:cs="Arial"/>
          <w:lang w:val="en-US"/>
        </w:rPr>
      </w:pPr>
      <w:r w:rsidRPr="00EA7665">
        <w:rPr>
          <w:rFonts w:ascii="Arial" w:hAnsi="Arial" w:cs="Arial"/>
          <w:lang w:val="en-US"/>
        </w:rPr>
        <w:t>Ability to analyse the market</w:t>
      </w:r>
    </w:p>
    <w:p w14:paraId="4E7EA1A7" w14:textId="77777777" w:rsidR="00CD6352" w:rsidRPr="00EA7665" w:rsidRDefault="00CD6352" w:rsidP="00C74AEC">
      <w:pPr>
        <w:pStyle w:val="ListParagraph"/>
        <w:numPr>
          <w:ilvl w:val="0"/>
          <w:numId w:val="189"/>
        </w:numPr>
        <w:spacing w:line="360" w:lineRule="auto"/>
        <w:rPr>
          <w:rFonts w:ascii="Arial" w:hAnsi="Arial" w:cs="Arial"/>
          <w:lang w:val="en-US"/>
        </w:rPr>
      </w:pPr>
      <w:r w:rsidRPr="00EA7665">
        <w:rPr>
          <w:rFonts w:ascii="Arial" w:hAnsi="Arial" w:cs="Arial"/>
          <w:lang w:val="en-US"/>
        </w:rPr>
        <w:t xml:space="preserve">Legal competences </w:t>
      </w:r>
    </w:p>
    <w:p w14:paraId="6B0C5E67" w14:textId="77777777" w:rsidR="00CD6352" w:rsidRPr="00EA7665" w:rsidRDefault="00CD6352" w:rsidP="00C74AEC">
      <w:pPr>
        <w:pStyle w:val="ListParagraph"/>
        <w:numPr>
          <w:ilvl w:val="0"/>
          <w:numId w:val="189"/>
        </w:numPr>
        <w:spacing w:line="360" w:lineRule="auto"/>
        <w:rPr>
          <w:rFonts w:ascii="Arial" w:hAnsi="Arial" w:cs="Arial"/>
          <w:lang w:val="en-US"/>
        </w:rPr>
      </w:pPr>
      <w:r w:rsidRPr="00EA7665">
        <w:rPr>
          <w:rFonts w:ascii="Arial" w:hAnsi="Arial" w:cs="Arial"/>
          <w:lang w:val="en-US"/>
        </w:rPr>
        <w:t>Sales competences</w:t>
      </w:r>
    </w:p>
    <w:p w14:paraId="548E9458" w14:textId="77777777" w:rsidR="00CD6352" w:rsidRPr="00EA7665" w:rsidRDefault="00CD6352" w:rsidP="00C74AEC">
      <w:pPr>
        <w:pStyle w:val="ListParagraph"/>
        <w:numPr>
          <w:ilvl w:val="0"/>
          <w:numId w:val="189"/>
        </w:numPr>
        <w:spacing w:line="360" w:lineRule="auto"/>
        <w:rPr>
          <w:rFonts w:ascii="Arial" w:hAnsi="Arial" w:cs="Arial"/>
          <w:lang w:val="en-US"/>
        </w:rPr>
      </w:pPr>
      <w:r w:rsidRPr="00EA7665">
        <w:rPr>
          <w:rFonts w:ascii="Arial" w:hAnsi="Arial" w:cs="Arial"/>
          <w:lang w:val="en-US"/>
        </w:rPr>
        <w:t xml:space="preserve">Communication </w:t>
      </w:r>
    </w:p>
    <w:p w14:paraId="7CDDE8C7" w14:textId="77777777" w:rsidR="00CD6352" w:rsidRPr="00EA7665" w:rsidRDefault="00CD6352" w:rsidP="00C74AEC">
      <w:pPr>
        <w:pStyle w:val="ListParagraph"/>
        <w:numPr>
          <w:ilvl w:val="0"/>
          <w:numId w:val="189"/>
        </w:numPr>
        <w:spacing w:line="360" w:lineRule="auto"/>
        <w:rPr>
          <w:rFonts w:ascii="Arial" w:hAnsi="Arial" w:cs="Arial"/>
          <w:lang w:val="en-US"/>
        </w:rPr>
      </w:pPr>
      <w:r w:rsidRPr="00EA7665">
        <w:rPr>
          <w:rFonts w:ascii="Arial" w:hAnsi="Arial" w:cs="Arial"/>
          <w:lang w:val="en-US"/>
        </w:rPr>
        <w:lastRenderedPageBreak/>
        <w:t>Construction of properties</w:t>
      </w:r>
    </w:p>
    <w:p w14:paraId="68382150" w14:textId="6D4BFF28" w:rsidR="00CD6352" w:rsidRPr="00EA7665" w:rsidRDefault="00CD6352" w:rsidP="00CD6352">
      <w:pPr>
        <w:spacing w:line="360" w:lineRule="auto"/>
        <w:rPr>
          <w:rFonts w:ascii="Arial" w:hAnsi="Arial" w:cs="Arial"/>
          <w:lang w:val="en-US"/>
        </w:rPr>
      </w:pPr>
      <w:r w:rsidRPr="00EA7665">
        <w:rPr>
          <w:rFonts w:ascii="Arial" w:hAnsi="Arial" w:cs="Arial"/>
          <w:lang w:val="en-US"/>
        </w:rPr>
        <w:t>While</w:t>
      </w:r>
      <w:r w:rsidR="003D5F9C">
        <w:rPr>
          <w:rFonts w:ascii="Arial" w:hAnsi="Arial" w:cs="Arial"/>
          <w:lang w:val="en-US"/>
        </w:rPr>
        <w:t>,</w:t>
      </w:r>
      <w:r w:rsidRPr="00EA7665">
        <w:rPr>
          <w:rFonts w:ascii="Arial" w:hAnsi="Arial" w:cs="Arial"/>
          <w:lang w:val="en-US"/>
        </w:rPr>
        <w:t xml:space="preserve"> the fundamentally differing competences for both regions are financial modeling for the developed economies and </w:t>
      </w:r>
      <w:r>
        <w:rPr>
          <w:rFonts w:ascii="Arial" w:hAnsi="Arial" w:cs="Arial"/>
          <w:lang w:val="en-US"/>
        </w:rPr>
        <w:t>n</w:t>
      </w:r>
      <w:r w:rsidRPr="00EA7665">
        <w:rPr>
          <w:rFonts w:ascii="Arial" w:hAnsi="Arial" w:cs="Arial"/>
          <w:lang w:val="en-US"/>
        </w:rPr>
        <w:t>etworking and retail developments for the emerging economies.</w:t>
      </w:r>
    </w:p>
    <w:p w14:paraId="4C62E030" w14:textId="0A47B1D9" w:rsidR="00CD6352" w:rsidRPr="00EA7665" w:rsidRDefault="00CD6352" w:rsidP="00CD6352">
      <w:pPr>
        <w:pStyle w:val="Heading3"/>
        <w:spacing w:after="240"/>
        <w:rPr>
          <w:sz w:val="22"/>
          <w:szCs w:val="22"/>
        </w:rPr>
      </w:pPr>
      <w:bookmarkStart w:id="1370" w:name="_Toc78983915"/>
      <w:r w:rsidRPr="00EA7665">
        <w:rPr>
          <w:sz w:val="22"/>
          <w:szCs w:val="22"/>
        </w:rPr>
        <w:t>The implication of the findings</w:t>
      </w:r>
      <w:r w:rsidR="0060019A">
        <w:rPr>
          <w:sz w:val="22"/>
          <w:szCs w:val="22"/>
        </w:rPr>
        <w:t xml:space="preserve"> on competences for securing finance for real estate project development in the developed and emerging economies</w:t>
      </w:r>
      <w:bookmarkEnd w:id="1370"/>
    </w:p>
    <w:p w14:paraId="083F8162" w14:textId="2A8080E0" w:rsidR="00CD6352" w:rsidRPr="00EA7665" w:rsidRDefault="00CD6352" w:rsidP="00CD6352">
      <w:pPr>
        <w:spacing w:line="360" w:lineRule="auto"/>
        <w:jc w:val="both"/>
        <w:rPr>
          <w:rFonts w:ascii="Arial" w:hAnsi="Arial" w:cs="Arial"/>
          <w:lang w:val="en-US"/>
        </w:rPr>
      </w:pPr>
      <w:r w:rsidRPr="00EA7665">
        <w:rPr>
          <w:rFonts w:ascii="Arial" w:hAnsi="Arial" w:cs="Arial"/>
          <w:lang w:val="en-US"/>
        </w:rPr>
        <w:t>The fundamental facto</w:t>
      </w:r>
      <w:r>
        <w:rPr>
          <w:rFonts w:ascii="Arial" w:hAnsi="Arial" w:cs="Arial"/>
          <w:lang w:val="en-US"/>
        </w:rPr>
        <w:t xml:space="preserve">rs </w:t>
      </w:r>
      <w:r w:rsidR="00770CF3">
        <w:rPr>
          <w:rFonts w:ascii="Arial" w:hAnsi="Arial" w:cs="Arial"/>
          <w:lang w:val="en-US"/>
        </w:rPr>
        <w:t xml:space="preserve">that </w:t>
      </w:r>
      <w:r w:rsidR="00770CF3" w:rsidRPr="00EA7665">
        <w:rPr>
          <w:rFonts w:ascii="Arial" w:hAnsi="Arial" w:cs="Arial"/>
          <w:lang w:val="en-US"/>
        </w:rPr>
        <w:t>financiers</w:t>
      </w:r>
      <w:r>
        <w:rPr>
          <w:rFonts w:ascii="Arial" w:hAnsi="Arial" w:cs="Arial"/>
          <w:lang w:val="en-US"/>
        </w:rPr>
        <w:t>,</w:t>
      </w:r>
      <w:r w:rsidRPr="00EA7665">
        <w:rPr>
          <w:rFonts w:ascii="Arial" w:hAnsi="Arial" w:cs="Arial"/>
          <w:lang w:val="en-US"/>
        </w:rPr>
        <w:t xml:space="preserve"> whether debt, equity or mezzanine fund providers</w:t>
      </w:r>
      <w:r>
        <w:rPr>
          <w:rFonts w:ascii="Arial" w:hAnsi="Arial" w:cs="Arial"/>
          <w:lang w:val="en-US"/>
        </w:rPr>
        <w:t>,</w:t>
      </w:r>
      <w:r w:rsidRPr="00EA7665">
        <w:rPr>
          <w:rFonts w:ascii="Arial" w:hAnsi="Arial" w:cs="Arial"/>
          <w:lang w:val="en-US"/>
        </w:rPr>
        <w:t xml:space="preserve"> look </w:t>
      </w:r>
      <w:r w:rsidR="00770CF3" w:rsidRPr="00EA7665">
        <w:rPr>
          <w:rFonts w:ascii="Arial" w:hAnsi="Arial" w:cs="Arial"/>
          <w:lang w:val="en-US"/>
        </w:rPr>
        <w:t>at</w:t>
      </w:r>
      <w:r w:rsidR="00770CF3">
        <w:rPr>
          <w:rFonts w:ascii="Arial" w:hAnsi="Arial" w:cs="Arial"/>
          <w:lang w:val="en-US"/>
        </w:rPr>
        <w:t xml:space="preserve"> </w:t>
      </w:r>
      <w:r w:rsidR="00770CF3" w:rsidRPr="00EA7665">
        <w:rPr>
          <w:rFonts w:ascii="Arial" w:hAnsi="Arial" w:cs="Arial"/>
          <w:lang w:val="en-US"/>
        </w:rPr>
        <w:t>is</w:t>
      </w:r>
      <w:r w:rsidRPr="00EA7665">
        <w:rPr>
          <w:rFonts w:ascii="Arial" w:hAnsi="Arial" w:cs="Arial"/>
          <w:lang w:val="en-US"/>
        </w:rPr>
        <w:t xml:space="preserve"> the return on their investment and the safety of their funds and </w:t>
      </w:r>
      <w:r>
        <w:rPr>
          <w:rFonts w:ascii="Arial" w:hAnsi="Arial" w:cs="Arial"/>
          <w:lang w:val="en-US"/>
        </w:rPr>
        <w:t xml:space="preserve">how </w:t>
      </w:r>
      <w:r w:rsidRPr="00EA7665">
        <w:rPr>
          <w:rFonts w:ascii="Arial" w:hAnsi="Arial" w:cs="Arial"/>
          <w:lang w:val="en-US"/>
        </w:rPr>
        <w:t>it can be achieved in the real estate sector if there is construction productivity. The interplay of manage</w:t>
      </w:r>
      <w:r>
        <w:rPr>
          <w:rFonts w:ascii="Arial" w:hAnsi="Arial" w:cs="Arial"/>
          <w:lang w:val="en-US"/>
        </w:rPr>
        <w:t>ment</w:t>
      </w:r>
      <w:r w:rsidRPr="00EA7665">
        <w:rPr>
          <w:rFonts w:ascii="Arial" w:hAnsi="Arial" w:cs="Arial"/>
          <w:lang w:val="en-US"/>
        </w:rPr>
        <w:t xml:space="preserve"> competences plays a significant role in increasing productivity</w:t>
      </w:r>
      <w:r w:rsidR="008C541A">
        <w:rPr>
          <w:rFonts w:ascii="Arial" w:hAnsi="Arial" w:cs="Arial"/>
          <w:lang w:val="en-US"/>
        </w:rPr>
        <w:t>,</w:t>
      </w:r>
      <w:r w:rsidRPr="00EA7665">
        <w:rPr>
          <w:rFonts w:ascii="Arial" w:hAnsi="Arial" w:cs="Arial"/>
          <w:lang w:val="en-US"/>
        </w:rPr>
        <w:t xml:space="preserve"> and as such, i</w:t>
      </w:r>
      <w:r w:rsidR="00FD73B0">
        <w:rPr>
          <w:rFonts w:ascii="Arial" w:hAnsi="Arial" w:cs="Arial"/>
          <w:lang w:val="en-US"/>
        </w:rPr>
        <w:t>t is significant to managers' ability</w:t>
      </w:r>
      <w:r w:rsidRPr="00EA7665">
        <w:rPr>
          <w:rFonts w:ascii="Arial" w:hAnsi="Arial" w:cs="Arial"/>
          <w:lang w:val="en-US"/>
        </w:rPr>
        <w:t xml:space="preserve"> to source funding for projects (Ogbenjuwa et al., 2018).</w:t>
      </w:r>
    </w:p>
    <w:p w14:paraId="07534E51" w14:textId="29B6C233" w:rsidR="00CD6352" w:rsidRDefault="00CD6352" w:rsidP="00CD6352">
      <w:pPr>
        <w:spacing w:line="360" w:lineRule="auto"/>
        <w:jc w:val="both"/>
        <w:rPr>
          <w:rFonts w:ascii="Arial" w:hAnsi="Arial" w:cs="Arial"/>
        </w:rPr>
      </w:pPr>
      <w:bookmarkStart w:id="1371" w:name="_Hlk42771400"/>
      <w:bookmarkStart w:id="1372" w:name="_Hlk43125143"/>
      <w:r w:rsidRPr="00EA7665">
        <w:rPr>
          <w:rFonts w:ascii="Arial" w:hAnsi="Arial" w:cs="Arial"/>
        </w:rPr>
        <w:t xml:space="preserve">This research developed an inventory of competences for securing finance for real estate project development based on the findings from this study. The inventory of competences is meant to act as a guide </w:t>
      </w:r>
      <w:r>
        <w:rPr>
          <w:rFonts w:ascii="Arial" w:hAnsi="Arial" w:cs="Arial"/>
        </w:rPr>
        <w:t>for</w:t>
      </w:r>
      <w:r w:rsidRPr="00EA7665">
        <w:rPr>
          <w:rFonts w:ascii="Arial" w:hAnsi="Arial" w:cs="Arial"/>
        </w:rPr>
        <w:t xml:space="preserve"> managers </w:t>
      </w:r>
      <w:r w:rsidR="00ED1A80" w:rsidRPr="00EA7665">
        <w:rPr>
          <w:rFonts w:ascii="Arial" w:hAnsi="Arial" w:cs="Arial"/>
        </w:rPr>
        <w:t>and</w:t>
      </w:r>
      <w:r w:rsidRPr="00EA7665">
        <w:rPr>
          <w:rFonts w:ascii="Arial" w:hAnsi="Arial" w:cs="Arial"/>
        </w:rPr>
        <w:t xml:space="preserve"> as a platform for training and </w:t>
      </w:r>
      <w:r w:rsidR="00770CF3" w:rsidRPr="00EA7665">
        <w:rPr>
          <w:rFonts w:ascii="Arial" w:hAnsi="Arial" w:cs="Arial"/>
        </w:rPr>
        <w:t>development</w:t>
      </w:r>
      <w:r w:rsidR="0041049F">
        <w:rPr>
          <w:rFonts w:ascii="Arial" w:hAnsi="Arial" w:cs="Arial"/>
        </w:rPr>
        <w:t xml:space="preserve"> ( see table 8.4.</w:t>
      </w:r>
      <w:r w:rsidR="007D435E">
        <w:rPr>
          <w:rFonts w:ascii="Arial" w:hAnsi="Arial" w:cs="Arial"/>
        </w:rPr>
        <w:t>9</w:t>
      </w:r>
      <w:r w:rsidR="0041049F">
        <w:rPr>
          <w:rFonts w:ascii="Arial" w:hAnsi="Arial" w:cs="Arial"/>
        </w:rPr>
        <w:t>)</w:t>
      </w:r>
      <w:r w:rsidR="00770CF3" w:rsidRPr="00EA7665">
        <w:rPr>
          <w:rFonts w:ascii="Arial" w:hAnsi="Arial" w:cs="Arial"/>
        </w:rPr>
        <w:t>.</w:t>
      </w:r>
      <w:r w:rsidRPr="00EA7665">
        <w:rPr>
          <w:rFonts w:ascii="Arial" w:hAnsi="Arial" w:cs="Arial"/>
        </w:rPr>
        <w:t xml:space="preserve"> It also forms a part of the toolkit for securing finance for real estate project development </w:t>
      </w:r>
      <w:r>
        <w:rPr>
          <w:rFonts w:ascii="Arial" w:hAnsi="Arial" w:cs="Arial"/>
        </w:rPr>
        <w:t xml:space="preserve">in chapter </w:t>
      </w:r>
      <w:r w:rsidR="00ED1A80">
        <w:rPr>
          <w:rFonts w:ascii="Arial" w:hAnsi="Arial" w:cs="Arial"/>
        </w:rPr>
        <w:t>10</w:t>
      </w:r>
      <w:r w:rsidRPr="00EA7665">
        <w:rPr>
          <w:rFonts w:ascii="Arial" w:hAnsi="Arial" w:cs="Arial"/>
        </w:rPr>
        <w:t xml:space="preserve">. </w:t>
      </w:r>
    </w:p>
    <w:p w14:paraId="5E44F5B3" w14:textId="33E2BA71" w:rsidR="0041049F" w:rsidRPr="00EA7665" w:rsidRDefault="0041049F" w:rsidP="00CD6352">
      <w:pPr>
        <w:spacing w:line="360" w:lineRule="auto"/>
        <w:jc w:val="both"/>
        <w:rPr>
          <w:rFonts w:ascii="Arial" w:hAnsi="Arial" w:cs="Arial"/>
        </w:rPr>
      </w:pPr>
      <w:r>
        <w:rPr>
          <w:rFonts w:ascii="Arial" w:hAnsi="Arial" w:cs="Arial"/>
        </w:rPr>
        <w:t>The study used all the variables that were tested in the questionnaire survey and the outputs from the interview to develop the inventory of competences for securing finance for real estate project development.</w:t>
      </w:r>
    </w:p>
    <w:p w14:paraId="1FDDC0A8" w14:textId="48E8C4F4" w:rsidR="0041049F" w:rsidRPr="0041049F" w:rsidRDefault="0041049F" w:rsidP="0041049F">
      <w:pPr>
        <w:pStyle w:val="Caption"/>
        <w:keepNext/>
        <w:rPr>
          <w:rFonts w:ascii="Arial" w:hAnsi="Arial" w:cs="Arial"/>
          <w:sz w:val="16"/>
          <w:szCs w:val="16"/>
        </w:rPr>
      </w:pPr>
      <w:bookmarkStart w:id="1373" w:name="_Toc78984023"/>
      <w:bookmarkEnd w:id="1371"/>
      <w:r w:rsidRPr="0041049F">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8.4</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9</w:t>
      </w:r>
      <w:r w:rsidR="008F25B1">
        <w:rPr>
          <w:rFonts w:ascii="Arial" w:hAnsi="Arial" w:cs="Arial"/>
          <w:sz w:val="16"/>
          <w:szCs w:val="16"/>
        </w:rPr>
        <w:fldChar w:fldCharType="end"/>
      </w:r>
      <w:r w:rsidRPr="0041049F">
        <w:rPr>
          <w:rFonts w:ascii="Arial" w:hAnsi="Arial" w:cs="Arial"/>
          <w:sz w:val="16"/>
          <w:szCs w:val="16"/>
        </w:rPr>
        <w:t>:: Inventory of management competences for securing finance for real estate project development</w:t>
      </w:r>
      <w:bookmarkEnd w:id="1373"/>
    </w:p>
    <w:tbl>
      <w:tblPr>
        <w:tblStyle w:val="TableGrid"/>
        <w:tblW w:w="0" w:type="auto"/>
        <w:tblLook w:val="04A0" w:firstRow="1" w:lastRow="0" w:firstColumn="1" w:lastColumn="0" w:noHBand="0" w:noVBand="1"/>
      </w:tblPr>
      <w:tblGrid>
        <w:gridCol w:w="2992"/>
        <w:gridCol w:w="3041"/>
        <w:gridCol w:w="2983"/>
      </w:tblGrid>
      <w:tr w:rsidR="00CD6352" w:rsidRPr="00EA7665" w14:paraId="11CE1B2C" w14:textId="77777777" w:rsidTr="0041049F">
        <w:trPr>
          <w:trHeight w:val="7209"/>
        </w:trPr>
        <w:tc>
          <w:tcPr>
            <w:tcW w:w="2992" w:type="dxa"/>
          </w:tcPr>
          <w:p w14:paraId="17AF37C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Asset allocation</w:t>
            </w:r>
          </w:p>
          <w:p w14:paraId="37FCA28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Business case</w:t>
            </w:r>
          </w:p>
          <w:p w14:paraId="71F3832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Capability development</w:t>
            </w:r>
          </w:p>
          <w:p w14:paraId="25FA9FBF"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Commercial management </w:t>
            </w:r>
          </w:p>
          <w:p w14:paraId="1ACF278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182CF270"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Ethics, compliance, and professionalism</w:t>
            </w:r>
          </w:p>
          <w:p w14:paraId="0F5D7E9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Financial management </w:t>
            </w:r>
          </w:p>
          <w:p w14:paraId="10CE40C6"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Governance, structure, and processes</w:t>
            </w:r>
          </w:p>
          <w:p w14:paraId="53979E3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Independence assurance</w:t>
            </w:r>
          </w:p>
          <w:p w14:paraId="7A9D2C8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Leadership competence</w:t>
            </w:r>
          </w:p>
          <w:p w14:paraId="7AC1DF47"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Managerial competences</w:t>
            </w:r>
          </w:p>
          <w:p w14:paraId="7A9F957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Negotiation </w:t>
            </w:r>
          </w:p>
          <w:p w14:paraId="5735B4A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Planning &amp; control</w:t>
            </w:r>
          </w:p>
          <w:p w14:paraId="4260039F"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Political competence( self-confidence, social astuteness &amp; ability to influence others</w:t>
            </w:r>
          </w:p>
          <w:p w14:paraId="7877B0E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Politics &amp; use of power</w:t>
            </w:r>
          </w:p>
          <w:p w14:paraId="22CA1BA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Resourcefulness</w:t>
            </w:r>
          </w:p>
          <w:p w14:paraId="3E92D29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Result oriented</w:t>
            </w:r>
          </w:p>
          <w:p w14:paraId="21A6DD27"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Risk &amp; opportunity</w:t>
            </w:r>
          </w:p>
          <w:p w14:paraId="197EEE46"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Technical competence</w:t>
            </w:r>
          </w:p>
          <w:p w14:paraId="3587A36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Ability to communicate effectively with financiers </w:t>
            </w:r>
          </w:p>
          <w:p w14:paraId="2F93CA0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consummate transactions</w:t>
            </w:r>
          </w:p>
          <w:p w14:paraId="53BA702B"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Ability to deliver in good time</w:t>
            </w:r>
          </w:p>
          <w:p w14:paraId="326E049A"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do a rigorous analysis of the market</w:t>
            </w:r>
          </w:p>
          <w:p w14:paraId="41B35FC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 Ability to explain in a concise way that is believable </w:t>
            </w:r>
          </w:p>
          <w:p w14:paraId="196D9130" w14:textId="77777777" w:rsidR="00CD6352" w:rsidRPr="00EA7665" w:rsidRDefault="00CD6352" w:rsidP="00CD6352">
            <w:pPr>
              <w:jc w:val="both"/>
              <w:rPr>
                <w:rFonts w:ascii="Arial" w:hAnsi="Arial" w:cs="Arial"/>
              </w:rPr>
            </w:pPr>
          </w:p>
        </w:tc>
        <w:tc>
          <w:tcPr>
            <w:tcW w:w="3041" w:type="dxa"/>
          </w:tcPr>
          <w:p w14:paraId="1B678DA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make development computation</w:t>
            </w:r>
          </w:p>
          <w:p w14:paraId="6EB1B70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manage lenders</w:t>
            </w:r>
          </w:p>
          <w:p w14:paraId="32C84BD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 Ability to negotiate documentation with partners</w:t>
            </w:r>
          </w:p>
          <w:p w14:paraId="4912099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supervise and manage the project from start to finish</w:t>
            </w:r>
          </w:p>
          <w:p w14:paraId="5407A0B4"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An understanding of the geographical location and specific product type</w:t>
            </w:r>
          </w:p>
          <w:p w14:paraId="43ACFCF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An understanding of the relevant laws </w:t>
            </w:r>
          </w:p>
          <w:p w14:paraId="5E719F4B"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 xml:space="preserve">Being attentive </w:t>
            </w:r>
          </w:p>
          <w:p w14:paraId="47F8DAFC" w14:textId="04815DBA" w:rsidR="00CD6352" w:rsidRPr="00EA7665" w:rsidRDefault="00403A50" w:rsidP="00C74AEC">
            <w:pPr>
              <w:pStyle w:val="ListParagraph"/>
              <w:numPr>
                <w:ilvl w:val="0"/>
                <w:numId w:val="190"/>
              </w:numPr>
              <w:spacing w:after="0" w:line="240" w:lineRule="auto"/>
              <w:rPr>
                <w:rFonts w:ascii="Arial" w:hAnsi="Arial" w:cs="Arial"/>
                <w:sz w:val="16"/>
                <w:szCs w:val="16"/>
              </w:rPr>
            </w:pPr>
            <w:r>
              <w:rPr>
                <w:rFonts w:ascii="Arial" w:hAnsi="Arial" w:cs="Arial"/>
                <w:sz w:val="16"/>
                <w:szCs w:val="16"/>
              </w:rPr>
              <w:t>The b</w:t>
            </w:r>
            <w:r w:rsidR="00CD6352" w:rsidRPr="00EA7665">
              <w:rPr>
                <w:rFonts w:ascii="Arial" w:hAnsi="Arial" w:cs="Arial"/>
                <w:sz w:val="16"/>
                <w:szCs w:val="16"/>
              </w:rPr>
              <w:t xml:space="preserve">uilding of properties/ real estate development </w:t>
            </w:r>
          </w:p>
          <w:p w14:paraId="30F5CE1D"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 xml:space="preserve">Competence in obtaining finance and committing to a senior loan contract </w:t>
            </w:r>
          </w:p>
          <w:p w14:paraId="60F0FCD5"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Competence in understanding how finance works</w:t>
            </w:r>
          </w:p>
          <w:p w14:paraId="18207077" w14:textId="6D161FB4"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 xml:space="preserve">Competent in </w:t>
            </w:r>
            <w:r w:rsidR="00403A50">
              <w:rPr>
                <w:rFonts w:ascii="Arial" w:hAnsi="Arial" w:cs="Arial"/>
                <w:sz w:val="16"/>
                <w:szCs w:val="16"/>
              </w:rPr>
              <w:t xml:space="preserve">the </w:t>
            </w:r>
            <w:r w:rsidRPr="00EA7665">
              <w:rPr>
                <w:rFonts w:ascii="Arial" w:hAnsi="Arial" w:cs="Arial"/>
                <w:sz w:val="16"/>
                <w:szCs w:val="16"/>
              </w:rPr>
              <w:t>understanding of real estate entrance, operation, and exit; staffing &amp; management</w:t>
            </w:r>
          </w:p>
          <w:p w14:paraId="2F874D17"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Due diligence</w:t>
            </w:r>
          </w:p>
          <w:p w14:paraId="74A5263F"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Established track record of successful acquisitions/dispositions</w:t>
            </w:r>
          </w:p>
          <w:p w14:paraId="7EB9363E" w14:textId="77777777" w:rsidR="00CD6352" w:rsidRPr="00EA7665" w:rsidRDefault="00CD6352" w:rsidP="00C74AEC">
            <w:pPr>
              <w:pStyle w:val="ListParagraph"/>
              <w:numPr>
                <w:ilvl w:val="0"/>
                <w:numId w:val="190"/>
              </w:numPr>
              <w:spacing w:after="0" w:line="240" w:lineRule="auto"/>
              <w:jc w:val="both"/>
              <w:rPr>
                <w:rFonts w:ascii="Arial" w:hAnsi="Arial" w:cs="Arial"/>
              </w:rPr>
            </w:pPr>
            <w:r w:rsidRPr="00EA7665">
              <w:rPr>
                <w:rFonts w:ascii="Arial" w:hAnsi="Arial" w:cs="Arial"/>
                <w:sz w:val="16"/>
                <w:szCs w:val="16"/>
              </w:rPr>
              <w:t>Expert in land and building</w:t>
            </w:r>
          </w:p>
          <w:p w14:paraId="2262F65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Finance </w:t>
            </w:r>
          </w:p>
          <w:p w14:paraId="499221C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Financial analysis </w:t>
            </w:r>
          </w:p>
          <w:p w14:paraId="0626C0E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Financial competence</w:t>
            </w:r>
          </w:p>
          <w:p w14:paraId="17C2860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Financial models and  comparing scenarios</w:t>
            </w:r>
          </w:p>
          <w:p w14:paraId="1C9C91E9" w14:textId="77777777" w:rsidR="00CD6352" w:rsidRPr="00EA7665" w:rsidRDefault="00CD6352" w:rsidP="00CD6352">
            <w:pPr>
              <w:pStyle w:val="ListParagraph"/>
              <w:rPr>
                <w:rFonts w:ascii="Arial" w:hAnsi="Arial" w:cs="Arial"/>
                <w:sz w:val="16"/>
                <w:szCs w:val="16"/>
              </w:rPr>
            </w:pPr>
          </w:p>
          <w:p w14:paraId="3D96698B" w14:textId="77777777" w:rsidR="00CD6352" w:rsidRPr="00EA7665" w:rsidRDefault="00CD6352" w:rsidP="00CD6352">
            <w:pPr>
              <w:pStyle w:val="ListParagraph"/>
              <w:jc w:val="both"/>
              <w:rPr>
                <w:rFonts w:ascii="Arial" w:hAnsi="Arial" w:cs="Arial"/>
              </w:rPr>
            </w:pPr>
          </w:p>
        </w:tc>
        <w:tc>
          <w:tcPr>
            <w:tcW w:w="2983" w:type="dxa"/>
          </w:tcPr>
          <w:p w14:paraId="4E5BC16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Grounded business relationship</w:t>
            </w:r>
          </w:p>
          <w:p w14:paraId="31185AD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Knowledge of the market</w:t>
            </w:r>
          </w:p>
          <w:p w14:paraId="0E611D8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Legal analysis</w:t>
            </w:r>
          </w:p>
          <w:p w14:paraId="3EB6ABD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Networking</w:t>
            </w:r>
          </w:p>
          <w:p w14:paraId="00EA60B9"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Never defaulting on a loan </w:t>
            </w:r>
          </w:p>
          <w:p w14:paraId="3A8D4CF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Paying regular interest and sometimes amortisation</w:t>
            </w:r>
          </w:p>
          <w:p w14:paraId="59CF26BB"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Personal presentation skills and sales competences</w:t>
            </w:r>
          </w:p>
          <w:p w14:paraId="7B0DA84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Project execution</w:t>
            </w:r>
          </w:p>
          <w:p w14:paraId="55FE800B"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Project implementation</w:t>
            </w:r>
          </w:p>
          <w:p w14:paraId="1F82F96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Project management</w:t>
            </w:r>
          </w:p>
          <w:p w14:paraId="7EA6518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Property development</w:t>
            </w:r>
          </w:p>
          <w:p w14:paraId="4D92D74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Relationship development and maintenance with investors and financiers</w:t>
            </w:r>
          </w:p>
          <w:p w14:paraId="155A796B"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Reliability</w:t>
            </w:r>
          </w:p>
          <w:p w14:paraId="4AF0CC8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Retail development, management</w:t>
            </w:r>
          </w:p>
          <w:p w14:paraId="12E3E610"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Sales</w:t>
            </w:r>
          </w:p>
          <w:p w14:paraId="4BFDA710"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 xml:space="preserve">Strong finance background </w:t>
            </w:r>
          </w:p>
          <w:p w14:paraId="5CFEF3F1"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Track record</w:t>
            </w:r>
          </w:p>
          <w:p w14:paraId="3BE14A4E"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Track record in executing projects</w:t>
            </w:r>
          </w:p>
          <w:p w14:paraId="4CEC5F70"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 xml:space="preserve">Track record in mass housing development, </w:t>
            </w:r>
          </w:p>
          <w:p w14:paraId="23162202"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Track record in the commercial property arena</w:t>
            </w:r>
          </w:p>
          <w:p w14:paraId="232363CC"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 xml:space="preserve">Understanding of analytics </w:t>
            </w:r>
          </w:p>
          <w:p w14:paraId="1FB83E03"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Understanding of construction</w:t>
            </w:r>
          </w:p>
          <w:p w14:paraId="7A2FB5B4"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Understanding of Joint Venture proposals</w:t>
            </w:r>
          </w:p>
          <w:p w14:paraId="135AB893"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Understanding of market needs and financing deals</w:t>
            </w:r>
          </w:p>
          <w:p w14:paraId="1A678E63" w14:textId="77777777" w:rsidR="00CD6352" w:rsidRPr="00EA7665" w:rsidRDefault="00CD6352" w:rsidP="00C74AEC">
            <w:pPr>
              <w:pStyle w:val="ListParagraph"/>
              <w:numPr>
                <w:ilvl w:val="0"/>
                <w:numId w:val="190"/>
              </w:numPr>
              <w:spacing w:after="0" w:line="240" w:lineRule="auto"/>
              <w:jc w:val="both"/>
              <w:rPr>
                <w:rFonts w:ascii="Arial" w:hAnsi="Arial" w:cs="Arial"/>
              </w:rPr>
            </w:pPr>
            <w:r w:rsidRPr="00EA7665">
              <w:rPr>
                <w:rFonts w:ascii="Arial" w:hAnsi="Arial" w:cs="Arial"/>
                <w:sz w:val="16"/>
                <w:szCs w:val="16"/>
              </w:rPr>
              <w:t>Understanding of the market</w:t>
            </w:r>
          </w:p>
        </w:tc>
      </w:tr>
      <w:bookmarkEnd w:id="1372"/>
    </w:tbl>
    <w:p w14:paraId="2AF52B19" w14:textId="6344EBB4" w:rsidR="00CD6352" w:rsidRDefault="00CD6352" w:rsidP="00CD6352">
      <w:pPr>
        <w:spacing w:line="360" w:lineRule="auto"/>
        <w:jc w:val="both"/>
        <w:rPr>
          <w:rFonts w:ascii="Arial" w:hAnsi="Arial" w:cs="Arial"/>
        </w:rPr>
      </w:pPr>
    </w:p>
    <w:p w14:paraId="7EDC600E" w14:textId="6FD8D0DE" w:rsidR="0067274C" w:rsidRPr="000B2CC7" w:rsidRDefault="0067274C" w:rsidP="0067274C">
      <w:pPr>
        <w:pStyle w:val="Heading2"/>
        <w:rPr>
          <w:sz w:val="22"/>
          <w:szCs w:val="22"/>
        </w:rPr>
      </w:pPr>
      <w:bookmarkStart w:id="1374" w:name="_Toc78983916"/>
      <w:r w:rsidRPr="000B2CC7">
        <w:rPr>
          <w:sz w:val="22"/>
          <w:szCs w:val="22"/>
        </w:rPr>
        <w:t>Summary of skills, knowledge</w:t>
      </w:r>
      <w:r w:rsidR="002C7BDE">
        <w:rPr>
          <w:sz w:val="22"/>
          <w:szCs w:val="22"/>
        </w:rPr>
        <w:t xml:space="preserve"> </w:t>
      </w:r>
      <w:r w:rsidR="00C4746A">
        <w:rPr>
          <w:sz w:val="22"/>
          <w:szCs w:val="22"/>
        </w:rPr>
        <w:t xml:space="preserve">and </w:t>
      </w:r>
      <w:r w:rsidR="00C4746A" w:rsidRPr="000B2CC7">
        <w:rPr>
          <w:sz w:val="22"/>
          <w:szCs w:val="22"/>
        </w:rPr>
        <w:t>competences</w:t>
      </w:r>
      <w:r w:rsidR="002C7BDE">
        <w:rPr>
          <w:sz w:val="22"/>
          <w:szCs w:val="22"/>
        </w:rPr>
        <w:t xml:space="preserve"> </w:t>
      </w:r>
      <w:r w:rsidRPr="000B2CC7">
        <w:rPr>
          <w:sz w:val="22"/>
          <w:szCs w:val="22"/>
        </w:rPr>
        <w:t>for securing finance for real estate project development</w:t>
      </w:r>
      <w:bookmarkEnd w:id="1374"/>
    </w:p>
    <w:p w14:paraId="675DFB16" w14:textId="77777777" w:rsidR="0067274C" w:rsidRDefault="0067274C" w:rsidP="0067274C">
      <w:pPr>
        <w:tabs>
          <w:tab w:val="left" w:pos="1208"/>
        </w:tabs>
      </w:pPr>
      <w:r>
        <w:tab/>
      </w:r>
    </w:p>
    <w:p w14:paraId="1B765A87" w14:textId="1A3AF135" w:rsidR="0067274C" w:rsidRDefault="0067274C" w:rsidP="0067274C">
      <w:pPr>
        <w:spacing w:line="360" w:lineRule="auto"/>
        <w:rPr>
          <w:rFonts w:ascii="Arial" w:hAnsi="Arial" w:cs="Arial"/>
        </w:rPr>
      </w:pPr>
      <w:r w:rsidRPr="00B04990">
        <w:rPr>
          <w:rFonts w:ascii="Arial" w:hAnsi="Arial" w:cs="Arial"/>
        </w:rPr>
        <w:t xml:space="preserve">This chapter examined the management skills, </w:t>
      </w:r>
      <w:r w:rsidR="005438C3" w:rsidRPr="00B04990">
        <w:rPr>
          <w:rFonts w:ascii="Arial" w:hAnsi="Arial" w:cs="Arial"/>
        </w:rPr>
        <w:t>knowledge,</w:t>
      </w:r>
      <w:r w:rsidR="00990127" w:rsidRPr="00B04990">
        <w:rPr>
          <w:rFonts w:ascii="Arial" w:hAnsi="Arial" w:cs="Arial"/>
        </w:rPr>
        <w:t xml:space="preserve"> and </w:t>
      </w:r>
      <w:r w:rsidRPr="00B04990">
        <w:rPr>
          <w:rFonts w:ascii="Arial" w:hAnsi="Arial" w:cs="Arial"/>
        </w:rPr>
        <w:t>competences</w:t>
      </w:r>
      <w:r w:rsidR="00990127" w:rsidRPr="00B04990">
        <w:rPr>
          <w:rFonts w:ascii="Arial" w:hAnsi="Arial" w:cs="Arial"/>
        </w:rPr>
        <w:t xml:space="preserve"> </w:t>
      </w:r>
      <w:r w:rsidRPr="00B04990">
        <w:rPr>
          <w:rFonts w:ascii="Arial" w:hAnsi="Arial" w:cs="Arial"/>
        </w:rPr>
        <w:t xml:space="preserve">for securing finance for real estate project development in the developed and emerging economies. </w:t>
      </w:r>
    </w:p>
    <w:p w14:paraId="7330D8CD" w14:textId="48928726" w:rsidR="0067274C" w:rsidRPr="00EA7665" w:rsidRDefault="0067274C" w:rsidP="0067274C">
      <w:pPr>
        <w:spacing w:line="360" w:lineRule="auto"/>
        <w:rPr>
          <w:rFonts w:ascii="Arial" w:hAnsi="Arial" w:cs="Arial"/>
          <w:iCs/>
        </w:rPr>
      </w:pPr>
      <w:r w:rsidRPr="00EA7665">
        <w:rPr>
          <w:rFonts w:ascii="Arial" w:hAnsi="Arial" w:cs="Arial"/>
          <w:iCs/>
        </w:rPr>
        <w:t xml:space="preserve">The </w:t>
      </w:r>
      <w:r w:rsidR="00A22DFD">
        <w:rPr>
          <w:rFonts w:ascii="Arial" w:hAnsi="Arial" w:cs="Arial"/>
          <w:iCs/>
        </w:rPr>
        <w:t>survey questionnaire findings</w:t>
      </w:r>
      <w:r w:rsidRPr="00EA7665">
        <w:rPr>
          <w:rFonts w:ascii="Arial" w:hAnsi="Arial" w:cs="Arial"/>
          <w:iCs/>
        </w:rPr>
        <w:t xml:space="preserve"> demonstrat</w:t>
      </w:r>
      <w:r>
        <w:rPr>
          <w:rFonts w:ascii="Arial" w:hAnsi="Arial" w:cs="Arial"/>
          <w:iCs/>
        </w:rPr>
        <w:t>e</w:t>
      </w:r>
      <w:r w:rsidRPr="00EA7665">
        <w:rPr>
          <w:rFonts w:ascii="Arial" w:hAnsi="Arial" w:cs="Arial"/>
          <w:iCs/>
        </w:rPr>
        <w:t xml:space="preserve"> that all the </w:t>
      </w:r>
      <w:r w:rsidR="00AA2A11" w:rsidRPr="00EA7665">
        <w:rPr>
          <w:rFonts w:ascii="Arial" w:hAnsi="Arial" w:cs="Arial"/>
          <w:iCs/>
        </w:rPr>
        <w:t>twenty-three</w:t>
      </w:r>
      <w:r w:rsidRPr="00EA7665">
        <w:rPr>
          <w:rFonts w:ascii="Arial" w:hAnsi="Arial" w:cs="Arial"/>
          <w:iCs/>
        </w:rPr>
        <w:t xml:space="preserve"> skills</w:t>
      </w:r>
      <w:r>
        <w:rPr>
          <w:rFonts w:ascii="Arial" w:hAnsi="Arial" w:cs="Arial"/>
          <w:iCs/>
        </w:rPr>
        <w:t xml:space="preserve"> listed in the survey </w:t>
      </w:r>
      <w:r w:rsidRPr="00EA7665">
        <w:rPr>
          <w:rFonts w:ascii="Arial" w:hAnsi="Arial" w:cs="Arial"/>
          <w:iCs/>
        </w:rPr>
        <w:t xml:space="preserve">are considered important for securing finance for real estate project development in both the developed and emerging economies. The data also revealed </w:t>
      </w:r>
      <w:r w:rsidR="00A22DFD">
        <w:rPr>
          <w:rFonts w:ascii="Arial" w:hAnsi="Arial" w:cs="Arial"/>
          <w:iCs/>
        </w:rPr>
        <w:t>a need for training and education for all the skills for both the present work managers do with respect to real estate project development and</w:t>
      </w:r>
      <w:r w:rsidRPr="00EA7665">
        <w:rPr>
          <w:rFonts w:ascii="Arial" w:hAnsi="Arial" w:cs="Arial"/>
          <w:iCs/>
        </w:rPr>
        <w:t xml:space="preserve"> the future. However, the degree of importance, need for training and education for the present and future varies in the six different countries. Notably is the fact that the ranking of the skills for the different countries </w:t>
      </w:r>
      <w:r>
        <w:rPr>
          <w:rFonts w:ascii="Arial" w:hAnsi="Arial" w:cs="Arial"/>
          <w:iCs/>
        </w:rPr>
        <w:t>does</w:t>
      </w:r>
      <w:r w:rsidRPr="00EA7665">
        <w:rPr>
          <w:rFonts w:ascii="Arial" w:hAnsi="Arial" w:cs="Arial"/>
          <w:iCs/>
        </w:rPr>
        <w:t xml:space="preserve"> not demarcate skills used in developed countries as different from the emerging economies. However, the top</w:t>
      </w:r>
      <w:r w:rsidR="00403A50">
        <w:rPr>
          <w:rFonts w:ascii="Arial" w:hAnsi="Arial" w:cs="Arial"/>
          <w:iCs/>
        </w:rPr>
        <w:t>-</w:t>
      </w:r>
      <w:r w:rsidRPr="00EA7665">
        <w:rPr>
          <w:rFonts w:ascii="Arial" w:hAnsi="Arial" w:cs="Arial"/>
          <w:iCs/>
        </w:rPr>
        <w:t xml:space="preserve">ranked skills </w:t>
      </w:r>
      <w:r>
        <w:rPr>
          <w:rFonts w:ascii="Arial" w:hAnsi="Arial" w:cs="Arial"/>
          <w:iCs/>
        </w:rPr>
        <w:t>show</w:t>
      </w:r>
      <w:r w:rsidRPr="00EA7665">
        <w:rPr>
          <w:rFonts w:ascii="Arial" w:hAnsi="Arial" w:cs="Arial"/>
          <w:iCs/>
        </w:rPr>
        <w:t xml:space="preserve"> a blend of human, technical, conceptual, political and financial management skills for all the countries. </w:t>
      </w:r>
      <w:r>
        <w:rPr>
          <w:rFonts w:ascii="Arial" w:hAnsi="Arial" w:cs="Arial"/>
          <w:iCs/>
        </w:rPr>
        <w:t xml:space="preserve">The results show a strong positive correlation </w:t>
      </w:r>
      <w:r>
        <w:rPr>
          <w:rFonts w:ascii="Arial" w:hAnsi="Arial" w:cs="Arial"/>
          <w:iCs/>
        </w:rPr>
        <w:lastRenderedPageBreak/>
        <w:t xml:space="preserve">between </w:t>
      </w:r>
      <w:r w:rsidR="00A22DFD">
        <w:rPr>
          <w:rFonts w:ascii="Arial" w:hAnsi="Arial" w:cs="Arial"/>
          <w:iCs/>
        </w:rPr>
        <w:t>management levels and s</w:t>
      </w:r>
      <w:r w:rsidR="00ED30C7">
        <w:rPr>
          <w:rFonts w:ascii="Arial" w:hAnsi="Arial" w:cs="Arial"/>
          <w:iCs/>
        </w:rPr>
        <w:t>kills sets, including risk</w:t>
      </w:r>
      <w:r w:rsidR="00A22DFD">
        <w:rPr>
          <w:rFonts w:ascii="Arial" w:hAnsi="Arial" w:cs="Arial"/>
          <w:iCs/>
        </w:rPr>
        <w:t xml:space="preserve"> management, budgeting, planning and control,</w:t>
      </w:r>
      <w:r>
        <w:rPr>
          <w:rFonts w:ascii="Arial" w:hAnsi="Arial" w:cs="Arial"/>
          <w:iCs/>
        </w:rPr>
        <w:t xml:space="preserve"> and liquidity management.</w:t>
      </w:r>
    </w:p>
    <w:p w14:paraId="33FA1B2C" w14:textId="37A67131" w:rsidR="0067274C" w:rsidRPr="00981836" w:rsidRDefault="0067274C" w:rsidP="0067274C">
      <w:pPr>
        <w:spacing w:line="360" w:lineRule="auto"/>
        <w:rPr>
          <w:rFonts w:ascii="Arial" w:eastAsia="Calibri" w:hAnsi="Arial" w:cs="Arial"/>
        </w:rPr>
      </w:pPr>
      <w:r w:rsidRPr="00981836">
        <w:rPr>
          <w:rFonts w:ascii="Arial" w:eastAsia="Calibri" w:hAnsi="Arial" w:cs="Arial"/>
        </w:rPr>
        <w:t xml:space="preserve">The </w:t>
      </w:r>
      <w:r w:rsidR="00A22DFD">
        <w:rPr>
          <w:rFonts w:ascii="Arial" w:eastAsia="Calibri" w:hAnsi="Arial" w:cs="Arial"/>
        </w:rPr>
        <w:t>semi-structured interviews' findings emphasise some skills already picked up from the survey questionnaire and br</w:t>
      </w:r>
      <w:r w:rsidR="008F6452">
        <w:rPr>
          <w:rFonts w:ascii="Arial" w:eastAsia="Calibri" w:hAnsi="Arial" w:cs="Arial"/>
        </w:rPr>
        <w:t>ought</w:t>
      </w:r>
      <w:r w:rsidRPr="00981836">
        <w:rPr>
          <w:rFonts w:ascii="Arial" w:eastAsia="Calibri" w:hAnsi="Arial" w:cs="Arial"/>
        </w:rPr>
        <w:t xml:space="preserve"> on</w:t>
      </w:r>
      <w:r w:rsidR="008F6452">
        <w:rPr>
          <w:rFonts w:ascii="Arial" w:eastAsia="Calibri" w:hAnsi="Arial" w:cs="Arial"/>
        </w:rPr>
        <w:t xml:space="preserve"> </w:t>
      </w:r>
      <w:r w:rsidRPr="00981836">
        <w:rPr>
          <w:rFonts w:ascii="Arial" w:eastAsia="Calibri" w:hAnsi="Arial" w:cs="Arial"/>
        </w:rPr>
        <w:t xml:space="preserve">board some new skills. Some skills managers in both the developed and emerging economies have in common </w:t>
      </w:r>
      <w:r>
        <w:rPr>
          <w:rFonts w:ascii="Arial" w:eastAsia="Calibri" w:hAnsi="Arial" w:cs="Arial"/>
        </w:rPr>
        <w:t xml:space="preserve">for securing finance for real estate project development </w:t>
      </w:r>
      <w:r w:rsidRPr="00981836">
        <w:rPr>
          <w:rFonts w:ascii="Arial" w:eastAsia="Calibri" w:hAnsi="Arial" w:cs="Arial"/>
        </w:rPr>
        <w:t>based on the semi</w:t>
      </w:r>
      <w:r w:rsidR="00403A50">
        <w:rPr>
          <w:rFonts w:ascii="Arial" w:eastAsia="Calibri" w:hAnsi="Arial" w:cs="Arial"/>
        </w:rPr>
        <w:t>-</w:t>
      </w:r>
      <w:r w:rsidRPr="00981836">
        <w:rPr>
          <w:rFonts w:ascii="Arial" w:eastAsia="Calibri" w:hAnsi="Arial" w:cs="Arial"/>
        </w:rPr>
        <w:t>structured interviews include:</w:t>
      </w:r>
    </w:p>
    <w:p w14:paraId="1CF133A3" w14:textId="77777777" w:rsidR="0067274C" w:rsidRPr="00981836" w:rsidRDefault="0067274C" w:rsidP="008D4A4F">
      <w:pPr>
        <w:numPr>
          <w:ilvl w:val="0"/>
          <w:numId w:val="242"/>
        </w:numPr>
        <w:contextualSpacing/>
        <w:rPr>
          <w:rFonts w:ascii="Arial" w:eastAsia="Calibri" w:hAnsi="Arial" w:cs="Arial"/>
        </w:rPr>
      </w:pPr>
      <w:r w:rsidRPr="00981836">
        <w:rPr>
          <w:rFonts w:ascii="Arial" w:eastAsia="Calibri" w:hAnsi="Arial" w:cs="Arial"/>
        </w:rPr>
        <w:t>Analytical skills</w:t>
      </w:r>
    </w:p>
    <w:p w14:paraId="6C56C715" w14:textId="77777777" w:rsidR="0067274C" w:rsidRPr="00981836" w:rsidRDefault="0067274C" w:rsidP="008D4A4F">
      <w:pPr>
        <w:numPr>
          <w:ilvl w:val="0"/>
          <w:numId w:val="242"/>
        </w:numPr>
        <w:contextualSpacing/>
        <w:rPr>
          <w:rFonts w:ascii="Arial" w:eastAsia="Calibri" w:hAnsi="Arial" w:cs="Arial"/>
        </w:rPr>
      </w:pPr>
      <w:r w:rsidRPr="00981836">
        <w:rPr>
          <w:rFonts w:ascii="Arial" w:eastAsia="Calibri" w:hAnsi="Arial" w:cs="Arial"/>
        </w:rPr>
        <w:t>Selling/ Marketing skills</w:t>
      </w:r>
    </w:p>
    <w:p w14:paraId="58206CC9" w14:textId="77777777" w:rsidR="0067274C" w:rsidRPr="00981836" w:rsidRDefault="0067274C" w:rsidP="008D4A4F">
      <w:pPr>
        <w:numPr>
          <w:ilvl w:val="0"/>
          <w:numId w:val="242"/>
        </w:numPr>
        <w:contextualSpacing/>
        <w:rPr>
          <w:rFonts w:ascii="Arial" w:eastAsia="Calibri" w:hAnsi="Arial" w:cs="Arial"/>
        </w:rPr>
      </w:pPr>
      <w:r w:rsidRPr="00981836">
        <w:rPr>
          <w:rFonts w:ascii="Arial" w:eastAsia="Calibri" w:hAnsi="Arial" w:cs="Arial"/>
        </w:rPr>
        <w:t>Relationship management</w:t>
      </w:r>
    </w:p>
    <w:p w14:paraId="6EFA341B" w14:textId="77777777" w:rsidR="0067274C" w:rsidRPr="00981836" w:rsidRDefault="0067274C" w:rsidP="008D4A4F">
      <w:pPr>
        <w:numPr>
          <w:ilvl w:val="0"/>
          <w:numId w:val="242"/>
        </w:numPr>
        <w:contextualSpacing/>
        <w:rPr>
          <w:rFonts w:ascii="Arial" w:eastAsia="Calibri" w:hAnsi="Arial" w:cs="Arial"/>
        </w:rPr>
      </w:pPr>
      <w:r w:rsidRPr="00981836">
        <w:rPr>
          <w:rFonts w:ascii="Arial" w:eastAsia="Calibri" w:hAnsi="Arial" w:cs="Arial"/>
        </w:rPr>
        <w:t>Monitoring skills</w:t>
      </w:r>
    </w:p>
    <w:p w14:paraId="0FADEEE4" w14:textId="77777777" w:rsidR="0067274C" w:rsidRPr="00981836" w:rsidRDefault="0067274C" w:rsidP="0067274C">
      <w:pPr>
        <w:rPr>
          <w:rFonts w:ascii="Arial" w:eastAsia="Calibri" w:hAnsi="Arial" w:cs="Arial"/>
        </w:rPr>
      </w:pPr>
      <w:r w:rsidRPr="00981836">
        <w:rPr>
          <w:rFonts w:ascii="Arial" w:eastAsia="Calibri" w:hAnsi="Arial" w:cs="Arial"/>
        </w:rPr>
        <w:t>However, their differing skills include the following –</w:t>
      </w:r>
    </w:p>
    <w:p w14:paraId="1EB256B4" w14:textId="77777777" w:rsidR="0067274C" w:rsidRPr="00981836" w:rsidRDefault="0067274C" w:rsidP="0067274C">
      <w:pPr>
        <w:rPr>
          <w:rFonts w:ascii="Arial" w:eastAsia="Calibri" w:hAnsi="Arial" w:cs="Arial"/>
          <w:b/>
        </w:rPr>
      </w:pPr>
      <w:r w:rsidRPr="00981836">
        <w:rPr>
          <w:rFonts w:ascii="Arial" w:eastAsia="Calibri" w:hAnsi="Arial" w:cs="Arial"/>
          <w:b/>
        </w:rPr>
        <w:t xml:space="preserve">Developed economies: </w:t>
      </w:r>
    </w:p>
    <w:p w14:paraId="3AB501DF" w14:textId="77777777" w:rsidR="0067274C" w:rsidRPr="00981836" w:rsidRDefault="0067274C" w:rsidP="008D4A4F">
      <w:pPr>
        <w:numPr>
          <w:ilvl w:val="0"/>
          <w:numId w:val="243"/>
        </w:numPr>
        <w:spacing w:after="0"/>
        <w:rPr>
          <w:rFonts w:ascii="Arial" w:eastAsia="Calibri" w:hAnsi="Arial" w:cs="Arial"/>
          <w:iCs/>
        </w:rPr>
      </w:pPr>
      <w:r w:rsidRPr="00981836">
        <w:rPr>
          <w:rFonts w:ascii="Arial" w:eastAsia="Calibri" w:hAnsi="Arial" w:cs="Arial"/>
          <w:iCs/>
        </w:rPr>
        <w:t xml:space="preserve">Ability to improve your profile in the market by using the internet, LinkedIn and Facebook </w:t>
      </w:r>
    </w:p>
    <w:p w14:paraId="4D15909E" w14:textId="77777777" w:rsidR="0067274C" w:rsidRPr="00981836" w:rsidRDefault="0067274C" w:rsidP="008D4A4F">
      <w:pPr>
        <w:numPr>
          <w:ilvl w:val="0"/>
          <w:numId w:val="243"/>
        </w:numPr>
        <w:spacing w:after="0"/>
        <w:rPr>
          <w:rFonts w:ascii="Arial" w:eastAsia="Calibri" w:hAnsi="Arial" w:cs="Arial"/>
          <w:iCs/>
        </w:rPr>
      </w:pPr>
      <w:r w:rsidRPr="00981836">
        <w:rPr>
          <w:rFonts w:ascii="Arial" w:eastAsia="Calibri" w:hAnsi="Arial" w:cs="Arial"/>
          <w:iCs/>
        </w:rPr>
        <w:t xml:space="preserve">Financial modelling </w:t>
      </w:r>
    </w:p>
    <w:p w14:paraId="4F59D79D" w14:textId="77777777" w:rsidR="0067274C" w:rsidRPr="00981836" w:rsidRDefault="0067274C" w:rsidP="008D4A4F">
      <w:pPr>
        <w:numPr>
          <w:ilvl w:val="0"/>
          <w:numId w:val="243"/>
        </w:numPr>
        <w:spacing w:after="0"/>
        <w:rPr>
          <w:rFonts w:ascii="Arial" w:eastAsia="Calibri" w:hAnsi="Arial" w:cs="Arial"/>
          <w:iCs/>
        </w:rPr>
      </w:pPr>
      <w:r w:rsidRPr="00981836">
        <w:rPr>
          <w:rFonts w:ascii="Arial" w:eastAsia="Calibri" w:hAnsi="Arial" w:cs="Arial"/>
          <w:iCs/>
        </w:rPr>
        <w:t>Foreign language skills / Multi-lingual</w:t>
      </w:r>
    </w:p>
    <w:p w14:paraId="44B1702F" w14:textId="77777777" w:rsidR="0067274C" w:rsidRPr="00981836" w:rsidRDefault="0067274C" w:rsidP="008D4A4F">
      <w:pPr>
        <w:numPr>
          <w:ilvl w:val="0"/>
          <w:numId w:val="243"/>
        </w:numPr>
        <w:spacing w:after="0"/>
        <w:rPr>
          <w:rFonts w:ascii="Arial" w:eastAsia="Calibri" w:hAnsi="Arial" w:cs="Arial"/>
          <w:iCs/>
        </w:rPr>
      </w:pPr>
      <w:r w:rsidRPr="00981836">
        <w:rPr>
          <w:rFonts w:ascii="Arial" w:eastAsia="Calibri" w:hAnsi="Arial" w:cs="Arial"/>
          <w:iCs/>
        </w:rPr>
        <w:t>Global networking</w:t>
      </w:r>
    </w:p>
    <w:p w14:paraId="6629A638" w14:textId="77777777" w:rsidR="0067274C" w:rsidRPr="00981836" w:rsidRDefault="0067274C" w:rsidP="008D4A4F">
      <w:pPr>
        <w:numPr>
          <w:ilvl w:val="0"/>
          <w:numId w:val="243"/>
        </w:numPr>
        <w:spacing w:after="0"/>
        <w:rPr>
          <w:rFonts w:ascii="Arial" w:eastAsia="Calibri" w:hAnsi="Arial" w:cs="Arial"/>
          <w:iCs/>
        </w:rPr>
      </w:pPr>
      <w:r w:rsidRPr="00981836">
        <w:rPr>
          <w:rFonts w:ascii="Arial" w:eastAsia="Calibri" w:hAnsi="Arial" w:cs="Arial"/>
          <w:iCs/>
        </w:rPr>
        <w:t>Hedging skills</w:t>
      </w:r>
    </w:p>
    <w:p w14:paraId="66DAA8CE" w14:textId="77777777" w:rsidR="0067274C" w:rsidRPr="00981836" w:rsidRDefault="0067274C" w:rsidP="0067274C">
      <w:pPr>
        <w:ind w:left="142"/>
        <w:rPr>
          <w:rFonts w:ascii="Arial" w:eastAsia="Calibri" w:hAnsi="Arial" w:cs="Arial"/>
          <w:b/>
        </w:rPr>
      </w:pPr>
      <w:r w:rsidRPr="00981836">
        <w:rPr>
          <w:rFonts w:ascii="Arial" w:eastAsia="Calibri" w:hAnsi="Arial" w:cs="Arial"/>
          <w:b/>
        </w:rPr>
        <w:t xml:space="preserve">Emerging economies: </w:t>
      </w:r>
    </w:p>
    <w:p w14:paraId="6D8AC757" w14:textId="77777777" w:rsidR="0067274C" w:rsidRPr="00981836" w:rsidRDefault="0067274C" w:rsidP="008D4A4F">
      <w:pPr>
        <w:numPr>
          <w:ilvl w:val="0"/>
          <w:numId w:val="244"/>
        </w:numPr>
        <w:spacing w:after="0"/>
        <w:rPr>
          <w:rFonts w:ascii="Arial" w:eastAsia="Calibri" w:hAnsi="Arial" w:cs="Arial"/>
          <w:iCs/>
        </w:rPr>
      </w:pPr>
      <w:r w:rsidRPr="00981836">
        <w:rPr>
          <w:rFonts w:ascii="Arial" w:eastAsia="Calibri" w:hAnsi="Arial" w:cs="Arial"/>
          <w:iCs/>
        </w:rPr>
        <w:t>Ability to connect to people on an emotional level</w:t>
      </w:r>
    </w:p>
    <w:p w14:paraId="000E5304" w14:textId="77777777" w:rsidR="0067274C" w:rsidRPr="00981836" w:rsidRDefault="0067274C" w:rsidP="008D4A4F">
      <w:pPr>
        <w:numPr>
          <w:ilvl w:val="0"/>
          <w:numId w:val="244"/>
        </w:numPr>
        <w:spacing w:after="0"/>
        <w:rPr>
          <w:rFonts w:ascii="Arial" w:eastAsia="Calibri" w:hAnsi="Arial" w:cs="Arial"/>
          <w:iCs/>
        </w:rPr>
      </w:pPr>
      <w:r w:rsidRPr="00981836">
        <w:rPr>
          <w:rFonts w:ascii="Arial" w:eastAsia="Calibri" w:hAnsi="Arial" w:cs="Arial"/>
          <w:iCs/>
        </w:rPr>
        <w:t>Ability to lobby</w:t>
      </w:r>
    </w:p>
    <w:p w14:paraId="40935E0D" w14:textId="77777777" w:rsidR="0067274C" w:rsidRPr="00981836" w:rsidRDefault="0067274C" w:rsidP="008D4A4F">
      <w:pPr>
        <w:numPr>
          <w:ilvl w:val="0"/>
          <w:numId w:val="244"/>
        </w:numPr>
        <w:spacing w:after="0"/>
        <w:rPr>
          <w:rFonts w:ascii="Arial" w:eastAsia="Calibri" w:hAnsi="Arial" w:cs="Arial"/>
          <w:iCs/>
        </w:rPr>
      </w:pPr>
      <w:r w:rsidRPr="00981836">
        <w:rPr>
          <w:rFonts w:ascii="Arial" w:eastAsia="Calibri" w:hAnsi="Arial" w:cs="Arial"/>
          <w:iCs/>
        </w:rPr>
        <w:t>Integrity &amp; diversity</w:t>
      </w:r>
    </w:p>
    <w:p w14:paraId="708BE8E5" w14:textId="77777777" w:rsidR="0067274C" w:rsidRPr="00981836" w:rsidRDefault="0067274C" w:rsidP="008D4A4F">
      <w:pPr>
        <w:numPr>
          <w:ilvl w:val="0"/>
          <w:numId w:val="244"/>
        </w:numPr>
        <w:spacing w:after="0"/>
        <w:rPr>
          <w:rFonts w:ascii="Arial" w:eastAsia="Calibri" w:hAnsi="Arial" w:cs="Arial"/>
          <w:iCs/>
        </w:rPr>
      </w:pPr>
      <w:r w:rsidRPr="00981836">
        <w:rPr>
          <w:rFonts w:ascii="Arial" w:eastAsia="Calibri" w:hAnsi="Arial" w:cs="Arial"/>
          <w:iCs/>
        </w:rPr>
        <w:t>Technical skills</w:t>
      </w:r>
    </w:p>
    <w:p w14:paraId="42728E4E" w14:textId="767AA1D0" w:rsidR="0067274C" w:rsidRPr="00EA7665" w:rsidRDefault="0067274C" w:rsidP="0067274C">
      <w:pPr>
        <w:spacing w:before="240" w:line="360" w:lineRule="auto"/>
        <w:jc w:val="both"/>
        <w:rPr>
          <w:rFonts w:ascii="Arial" w:hAnsi="Arial" w:cs="Arial"/>
        </w:rPr>
      </w:pPr>
      <w:r>
        <w:rPr>
          <w:rFonts w:ascii="Arial" w:hAnsi="Arial" w:cs="Arial"/>
        </w:rPr>
        <w:t>T</w:t>
      </w:r>
      <w:r w:rsidRPr="00EA7665">
        <w:rPr>
          <w:rFonts w:ascii="Arial" w:hAnsi="Arial" w:cs="Arial"/>
        </w:rPr>
        <w:t xml:space="preserve">he findings also show that some managers do not have some salient skills </w:t>
      </w:r>
      <w:r w:rsidR="00ED5B1D">
        <w:rPr>
          <w:rFonts w:ascii="Arial" w:hAnsi="Arial" w:cs="Arial"/>
        </w:rPr>
        <w:t>need</w:t>
      </w:r>
      <w:r w:rsidRPr="00EA7665">
        <w:rPr>
          <w:rFonts w:ascii="Arial" w:hAnsi="Arial" w:cs="Arial"/>
        </w:rPr>
        <w:t>ed for securing finance for real estate project development</w:t>
      </w:r>
      <w:r>
        <w:rPr>
          <w:rFonts w:ascii="Arial" w:hAnsi="Arial" w:cs="Arial"/>
        </w:rPr>
        <w:t xml:space="preserve"> and </w:t>
      </w:r>
      <w:r w:rsidRPr="00EA7665">
        <w:rPr>
          <w:rFonts w:ascii="Arial" w:hAnsi="Arial" w:cs="Arial"/>
        </w:rPr>
        <w:t xml:space="preserve">would want to be trained to acquire these skills, while a few would rather pay contractors with the skills sets needed. This study developed a skills conceptual framework </w:t>
      </w:r>
      <w:r w:rsidR="00B55B5E">
        <w:rPr>
          <w:rFonts w:ascii="Arial" w:hAnsi="Arial" w:cs="Arial"/>
        </w:rPr>
        <w:t>that is an inventory of skills for securing finance for real estate project development. I</w:t>
      </w:r>
      <w:r>
        <w:rPr>
          <w:rFonts w:ascii="Arial" w:hAnsi="Arial" w:cs="Arial"/>
        </w:rPr>
        <w:t>t</w:t>
      </w:r>
      <w:r w:rsidRPr="00EA7665">
        <w:rPr>
          <w:rFonts w:ascii="Arial" w:hAnsi="Arial" w:cs="Arial"/>
        </w:rPr>
        <w:t xml:space="preserve"> forms part of the tool kit for securing finance for real estate project development. </w:t>
      </w:r>
    </w:p>
    <w:p w14:paraId="47B7363A" w14:textId="2AEDDF88" w:rsidR="0067274C" w:rsidRPr="00EA7665" w:rsidRDefault="00AA2A11" w:rsidP="0067274C">
      <w:pPr>
        <w:spacing w:line="360" w:lineRule="auto"/>
        <w:jc w:val="both"/>
        <w:rPr>
          <w:rFonts w:ascii="Arial" w:hAnsi="Arial" w:cs="Arial"/>
        </w:rPr>
      </w:pPr>
      <w:r>
        <w:rPr>
          <w:rFonts w:ascii="Arial" w:hAnsi="Arial" w:cs="Arial"/>
        </w:rPr>
        <w:t>Furthermore, t</w:t>
      </w:r>
      <w:r w:rsidR="0067274C" w:rsidRPr="00EA7665">
        <w:rPr>
          <w:rFonts w:ascii="Arial" w:hAnsi="Arial" w:cs="Arial"/>
        </w:rPr>
        <w:t xml:space="preserve">he </w:t>
      </w:r>
      <w:r w:rsidR="00ED5B1D">
        <w:rPr>
          <w:rFonts w:ascii="Arial" w:hAnsi="Arial" w:cs="Arial"/>
        </w:rPr>
        <w:t>questionnaires and semi-structured interviews show that there are varied financial knowledge sets that the managers in the real estate sector use to secure</w:t>
      </w:r>
      <w:r w:rsidR="0067274C" w:rsidRPr="00EA7665">
        <w:rPr>
          <w:rFonts w:ascii="Arial" w:hAnsi="Arial" w:cs="Arial"/>
        </w:rPr>
        <w:t xml:space="preserve"> finance for real estate project development. The findings from the survey questionnaire demonstrate that all </w:t>
      </w:r>
      <w:r w:rsidR="0067274C">
        <w:rPr>
          <w:rFonts w:ascii="Arial" w:hAnsi="Arial" w:cs="Arial"/>
        </w:rPr>
        <w:t>the selected</w:t>
      </w:r>
      <w:r w:rsidR="0067274C" w:rsidRPr="00EA7665">
        <w:rPr>
          <w:rFonts w:ascii="Arial" w:hAnsi="Arial" w:cs="Arial"/>
        </w:rPr>
        <w:t xml:space="preserve"> seventeen-management knowled</w:t>
      </w:r>
      <w:r w:rsidR="0067274C">
        <w:rPr>
          <w:rFonts w:ascii="Arial" w:hAnsi="Arial" w:cs="Arial"/>
        </w:rPr>
        <w:t>ge</w:t>
      </w:r>
      <w:r w:rsidR="0067274C" w:rsidRPr="00EA7665">
        <w:rPr>
          <w:rFonts w:ascii="Arial" w:hAnsi="Arial" w:cs="Arial"/>
        </w:rPr>
        <w:t xml:space="preserve"> </w:t>
      </w:r>
      <w:r w:rsidR="0067274C">
        <w:rPr>
          <w:rFonts w:ascii="Arial" w:hAnsi="Arial" w:cs="Arial"/>
        </w:rPr>
        <w:t xml:space="preserve">in the survey </w:t>
      </w:r>
      <w:r w:rsidR="0067274C" w:rsidRPr="00EA7665">
        <w:rPr>
          <w:rFonts w:ascii="Arial" w:hAnsi="Arial" w:cs="Arial"/>
        </w:rPr>
        <w:t>are considered important for securing finance for real estate project development at the aggregate level by managers in both the developed and emerging economies. The managers at the aggregate level also indicated different degrees of need for training and education for all the management knowledge for securing finance for real estate project development for their present and future jobs. Interestingly, the knowledge of funding source</w:t>
      </w:r>
      <w:r w:rsidR="0067274C">
        <w:rPr>
          <w:rFonts w:ascii="Arial" w:hAnsi="Arial" w:cs="Arial"/>
        </w:rPr>
        <w:t>s</w:t>
      </w:r>
      <w:r w:rsidR="0067274C" w:rsidRPr="00EA7665">
        <w:rPr>
          <w:rFonts w:ascii="Arial" w:hAnsi="Arial" w:cs="Arial"/>
        </w:rPr>
        <w:t xml:space="preserve"> and market intelligence ha</w:t>
      </w:r>
      <w:r w:rsidR="00B55B5E">
        <w:rPr>
          <w:rFonts w:ascii="Arial" w:hAnsi="Arial" w:cs="Arial"/>
        </w:rPr>
        <w:t>s a top</w:t>
      </w:r>
      <w:r w:rsidR="0097330F">
        <w:rPr>
          <w:rFonts w:ascii="Arial" w:hAnsi="Arial" w:cs="Arial"/>
        </w:rPr>
        <w:t>-</w:t>
      </w:r>
      <w:r w:rsidR="00B55B5E">
        <w:rPr>
          <w:rFonts w:ascii="Arial" w:hAnsi="Arial" w:cs="Arial"/>
        </w:rPr>
        <w:t xml:space="preserve">ranking </w:t>
      </w:r>
      <w:r w:rsidR="00B55B5E">
        <w:rPr>
          <w:rFonts w:ascii="Arial" w:hAnsi="Arial" w:cs="Arial"/>
        </w:rPr>
        <w:lastRenderedPageBreak/>
        <w:t>regarding</w:t>
      </w:r>
      <w:r w:rsidR="0067274C" w:rsidRPr="00EA7665">
        <w:rPr>
          <w:rFonts w:ascii="Arial" w:hAnsi="Arial" w:cs="Arial"/>
        </w:rPr>
        <w:t xml:space="preserve"> the degree of importance, the need for training and education for the present and the future.</w:t>
      </w:r>
    </w:p>
    <w:p w14:paraId="5AA82E74" w14:textId="28C63208" w:rsidR="0067274C" w:rsidRPr="00EA7665" w:rsidRDefault="0067274C" w:rsidP="0067274C">
      <w:pPr>
        <w:spacing w:line="360" w:lineRule="auto"/>
        <w:rPr>
          <w:rFonts w:ascii="Arial" w:hAnsi="Arial" w:cs="Arial"/>
        </w:rPr>
      </w:pPr>
      <w:r w:rsidRPr="00B236D6">
        <w:rPr>
          <w:rFonts w:ascii="Arial" w:hAnsi="Arial" w:cs="Arial"/>
        </w:rPr>
        <w:t xml:space="preserve">The questionnaire survey analysis </w:t>
      </w:r>
      <w:r>
        <w:rPr>
          <w:rFonts w:ascii="Arial" w:hAnsi="Arial" w:cs="Arial"/>
        </w:rPr>
        <w:t>at</w:t>
      </w:r>
      <w:r w:rsidRPr="00B236D6">
        <w:rPr>
          <w:rFonts w:ascii="Arial" w:hAnsi="Arial" w:cs="Arial"/>
        </w:rPr>
        <w:t xml:space="preserve"> the disaggregate level based on the different countries shows rankings of the degree of importance, need for training and education for the present and future by the managers in both the developed and emerging economies.  The findings sho</w:t>
      </w:r>
      <w:r>
        <w:rPr>
          <w:rFonts w:ascii="Arial" w:hAnsi="Arial" w:cs="Arial"/>
        </w:rPr>
        <w:t>w</w:t>
      </w:r>
      <w:r w:rsidRPr="00B236D6">
        <w:rPr>
          <w:rFonts w:ascii="Arial" w:hAnsi="Arial" w:cs="Arial"/>
        </w:rPr>
        <w:t xml:space="preserve"> that</w:t>
      </w:r>
      <w:r>
        <w:rPr>
          <w:rFonts w:ascii="Arial" w:hAnsi="Arial" w:cs="Arial"/>
        </w:rPr>
        <w:t xml:space="preserve">, </w:t>
      </w:r>
      <w:r w:rsidR="00403A50">
        <w:rPr>
          <w:rFonts w:ascii="Arial" w:hAnsi="Arial" w:cs="Arial"/>
        </w:rPr>
        <w:t>except for</w:t>
      </w:r>
      <w:r>
        <w:rPr>
          <w:rFonts w:ascii="Arial" w:hAnsi="Arial" w:cs="Arial"/>
        </w:rPr>
        <w:t xml:space="preserve"> the USA, </w:t>
      </w:r>
      <w:r w:rsidRPr="00B236D6">
        <w:rPr>
          <w:rFonts w:ascii="Arial" w:hAnsi="Arial" w:cs="Arial"/>
        </w:rPr>
        <w:t xml:space="preserve"> knowledge of funding sources is ranked top by managers in both </w:t>
      </w:r>
      <w:r w:rsidR="0097330F">
        <w:rPr>
          <w:rFonts w:ascii="Arial" w:hAnsi="Arial" w:cs="Arial"/>
        </w:rPr>
        <w:t>developed and emerging economies. The findings do not clearly distinguish between developed and</w:t>
      </w:r>
      <w:r w:rsidRPr="00EA7665">
        <w:rPr>
          <w:rFonts w:ascii="Arial" w:hAnsi="Arial" w:cs="Arial"/>
        </w:rPr>
        <w:t xml:space="preserve"> emerging economies</w:t>
      </w:r>
      <w:r>
        <w:rPr>
          <w:rFonts w:ascii="Arial" w:hAnsi="Arial" w:cs="Arial"/>
        </w:rPr>
        <w:t>,</w:t>
      </w:r>
      <w:r w:rsidRPr="00EA7665">
        <w:rPr>
          <w:rFonts w:ascii="Arial" w:hAnsi="Arial" w:cs="Arial"/>
        </w:rPr>
        <w:t xml:space="preserve">  as was </w:t>
      </w:r>
      <w:r>
        <w:rPr>
          <w:rFonts w:ascii="Arial" w:hAnsi="Arial" w:cs="Arial"/>
        </w:rPr>
        <w:t xml:space="preserve">also </w:t>
      </w:r>
      <w:r w:rsidRPr="00EA7665">
        <w:rPr>
          <w:rFonts w:ascii="Arial" w:hAnsi="Arial" w:cs="Arial"/>
        </w:rPr>
        <w:t xml:space="preserve">the case </w:t>
      </w:r>
      <w:r>
        <w:rPr>
          <w:rFonts w:ascii="Arial" w:hAnsi="Arial" w:cs="Arial"/>
        </w:rPr>
        <w:t>for</w:t>
      </w:r>
      <w:r w:rsidRPr="00EA7665">
        <w:rPr>
          <w:rFonts w:ascii="Arial" w:hAnsi="Arial" w:cs="Arial"/>
        </w:rPr>
        <w:t xml:space="preserve"> </w:t>
      </w:r>
      <w:r>
        <w:rPr>
          <w:rFonts w:ascii="Arial" w:hAnsi="Arial" w:cs="Arial"/>
        </w:rPr>
        <w:t xml:space="preserve">management </w:t>
      </w:r>
      <w:r w:rsidRPr="00EA7665">
        <w:rPr>
          <w:rFonts w:ascii="Arial" w:hAnsi="Arial" w:cs="Arial"/>
        </w:rPr>
        <w:t>skills. However, some of the managers in Germany indicated they did not need training and education for certain knowledge both for the present and the future because they would rather contract professionals to provide such knowledge.</w:t>
      </w:r>
      <w:r>
        <w:rPr>
          <w:rFonts w:ascii="Arial" w:hAnsi="Arial" w:cs="Arial"/>
        </w:rPr>
        <w:t xml:space="preserve"> The results also show a strong positive correlation between the level of management and some financial knowledge sets</w:t>
      </w:r>
      <w:r w:rsidR="00247797">
        <w:rPr>
          <w:rFonts w:ascii="Arial" w:hAnsi="Arial" w:cs="Arial"/>
        </w:rPr>
        <w:t>,</w:t>
      </w:r>
      <w:r>
        <w:rPr>
          <w:rFonts w:ascii="Arial" w:hAnsi="Arial" w:cs="Arial"/>
        </w:rPr>
        <w:t xml:space="preserve"> which include strategies for managing risks and uncertainty, risks and opportunity response strategies and plan, and techniques and conditions for loan effectiveness.</w:t>
      </w:r>
    </w:p>
    <w:p w14:paraId="010AFAC0" w14:textId="0D03E741" w:rsidR="0067274C" w:rsidRPr="00064FCE" w:rsidRDefault="0067274C" w:rsidP="0067274C">
      <w:pPr>
        <w:spacing w:line="360" w:lineRule="auto"/>
        <w:rPr>
          <w:rFonts w:ascii="Arial" w:eastAsia="Calibri" w:hAnsi="Arial" w:cs="Arial"/>
        </w:rPr>
      </w:pPr>
      <w:r w:rsidRPr="00064FCE">
        <w:rPr>
          <w:rFonts w:ascii="Arial" w:eastAsia="Calibri" w:hAnsi="Arial" w:cs="Arial"/>
        </w:rPr>
        <w:t xml:space="preserve">The </w:t>
      </w:r>
      <w:r w:rsidR="00B55B5E">
        <w:rPr>
          <w:rFonts w:ascii="Arial" w:eastAsia="Calibri" w:hAnsi="Arial" w:cs="Arial"/>
        </w:rPr>
        <w:t>semi-structured interview findings also show that managers in both the developed and emerging economies have some financial knowledge sets in common that help them secure</w:t>
      </w:r>
      <w:r w:rsidRPr="00064FCE">
        <w:rPr>
          <w:rFonts w:ascii="Arial" w:eastAsia="Calibri" w:hAnsi="Arial" w:cs="Arial"/>
        </w:rPr>
        <w:t xml:space="preserve"> finance for real estate project development. Arguably, this is because of the global nature of the education sector. Considering that about 99% of the managers interviewed for both the developed &amp; emerging economies have at least a first degree. Some knowledge sets they have in common are:</w:t>
      </w:r>
    </w:p>
    <w:p w14:paraId="1D424CBA" w14:textId="77777777" w:rsidR="0067274C" w:rsidRPr="00064FCE" w:rsidRDefault="0067274C" w:rsidP="008D4A4F">
      <w:pPr>
        <w:numPr>
          <w:ilvl w:val="0"/>
          <w:numId w:val="257"/>
        </w:numPr>
        <w:spacing w:after="0" w:line="240" w:lineRule="auto"/>
        <w:contextualSpacing/>
        <w:rPr>
          <w:rFonts w:ascii="Arial" w:eastAsia="Calibri" w:hAnsi="Arial" w:cs="Arial"/>
        </w:rPr>
      </w:pPr>
      <w:r w:rsidRPr="00064FCE">
        <w:rPr>
          <w:rFonts w:ascii="Arial" w:eastAsia="Calibri" w:hAnsi="Arial" w:cs="Arial"/>
        </w:rPr>
        <w:t>Sales</w:t>
      </w:r>
    </w:p>
    <w:p w14:paraId="13863F29" w14:textId="77777777" w:rsidR="0067274C" w:rsidRPr="00064FCE" w:rsidRDefault="0067274C" w:rsidP="008D4A4F">
      <w:pPr>
        <w:numPr>
          <w:ilvl w:val="0"/>
          <w:numId w:val="257"/>
        </w:numPr>
        <w:spacing w:after="0" w:line="240" w:lineRule="auto"/>
        <w:contextualSpacing/>
        <w:rPr>
          <w:rFonts w:ascii="Arial" w:eastAsia="Calibri" w:hAnsi="Arial" w:cs="Arial"/>
        </w:rPr>
      </w:pPr>
      <w:r w:rsidRPr="00064FCE">
        <w:rPr>
          <w:rFonts w:ascii="Arial" w:eastAsia="Calibri" w:hAnsi="Arial" w:cs="Arial"/>
        </w:rPr>
        <w:t>Knowledge of the market</w:t>
      </w:r>
    </w:p>
    <w:p w14:paraId="2031C0BB" w14:textId="77777777" w:rsidR="0067274C" w:rsidRPr="00064FCE" w:rsidRDefault="0067274C" w:rsidP="008D4A4F">
      <w:pPr>
        <w:numPr>
          <w:ilvl w:val="0"/>
          <w:numId w:val="257"/>
        </w:numPr>
        <w:spacing w:after="0" w:line="240" w:lineRule="auto"/>
        <w:contextualSpacing/>
        <w:rPr>
          <w:rFonts w:ascii="Arial" w:eastAsia="Calibri" w:hAnsi="Arial" w:cs="Arial"/>
        </w:rPr>
      </w:pPr>
      <w:r w:rsidRPr="00064FCE">
        <w:rPr>
          <w:rFonts w:ascii="Arial" w:eastAsia="Calibri" w:hAnsi="Arial" w:cs="Arial"/>
        </w:rPr>
        <w:t>Risk</w:t>
      </w:r>
    </w:p>
    <w:p w14:paraId="2FBB83F0" w14:textId="77777777" w:rsidR="0067274C" w:rsidRPr="00064FCE" w:rsidRDefault="0067274C" w:rsidP="008D4A4F">
      <w:pPr>
        <w:numPr>
          <w:ilvl w:val="0"/>
          <w:numId w:val="257"/>
        </w:numPr>
        <w:spacing w:after="0" w:line="240" w:lineRule="auto"/>
        <w:contextualSpacing/>
        <w:rPr>
          <w:rFonts w:ascii="Arial" w:eastAsia="Calibri" w:hAnsi="Arial" w:cs="Arial"/>
        </w:rPr>
      </w:pPr>
      <w:r w:rsidRPr="00064FCE">
        <w:rPr>
          <w:rFonts w:ascii="Arial" w:eastAsia="Calibri" w:hAnsi="Arial" w:cs="Arial"/>
        </w:rPr>
        <w:t>Cash flow</w:t>
      </w:r>
    </w:p>
    <w:p w14:paraId="47C160A5" w14:textId="77777777" w:rsidR="0067274C" w:rsidRPr="00064FCE" w:rsidRDefault="0067274C" w:rsidP="008D4A4F">
      <w:pPr>
        <w:numPr>
          <w:ilvl w:val="0"/>
          <w:numId w:val="257"/>
        </w:numPr>
        <w:spacing w:after="0" w:line="240" w:lineRule="auto"/>
        <w:contextualSpacing/>
        <w:rPr>
          <w:rFonts w:ascii="Arial" w:eastAsia="Calibri" w:hAnsi="Arial" w:cs="Arial"/>
        </w:rPr>
      </w:pPr>
      <w:r w:rsidRPr="00064FCE">
        <w:rPr>
          <w:rFonts w:ascii="Arial" w:eastAsia="Calibri" w:hAnsi="Arial" w:cs="Arial"/>
        </w:rPr>
        <w:t>Financial analysis</w:t>
      </w:r>
    </w:p>
    <w:p w14:paraId="60A582F4" w14:textId="77777777" w:rsidR="0067274C" w:rsidRPr="00064FCE" w:rsidRDefault="0067274C" w:rsidP="008D4A4F">
      <w:pPr>
        <w:numPr>
          <w:ilvl w:val="0"/>
          <w:numId w:val="257"/>
        </w:numPr>
        <w:spacing w:after="0" w:line="240" w:lineRule="auto"/>
        <w:contextualSpacing/>
        <w:rPr>
          <w:rFonts w:ascii="Arial" w:eastAsia="Calibri" w:hAnsi="Arial" w:cs="Arial"/>
        </w:rPr>
      </w:pPr>
      <w:r w:rsidRPr="00064FCE">
        <w:rPr>
          <w:rFonts w:ascii="Arial" w:eastAsia="Calibri" w:hAnsi="Arial" w:cs="Arial"/>
        </w:rPr>
        <w:t>Understanding of the product</w:t>
      </w:r>
    </w:p>
    <w:p w14:paraId="489DA71A" w14:textId="77777777" w:rsidR="0067274C" w:rsidRPr="00064FCE" w:rsidRDefault="0067274C" w:rsidP="008D4A4F">
      <w:pPr>
        <w:numPr>
          <w:ilvl w:val="0"/>
          <w:numId w:val="257"/>
        </w:numPr>
        <w:spacing w:before="240" w:line="240" w:lineRule="auto"/>
        <w:contextualSpacing/>
        <w:rPr>
          <w:rFonts w:ascii="Arial" w:eastAsia="Calibri" w:hAnsi="Arial" w:cs="Arial"/>
        </w:rPr>
      </w:pPr>
      <w:r w:rsidRPr="00064FCE">
        <w:rPr>
          <w:rFonts w:ascii="Arial" w:eastAsia="Calibri" w:hAnsi="Arial" w:cs="Arial"/>
        </w:rPr>
        <w:t xml:space="preserve">Knowledge of regulations </w:t>
      </w:r>
    </w:p>
    <w:p w14:paraId="63206FD4" w14:textId="087C7CBC" w:rsidR="0067274C" w:rsidRDefault="0067274C" w:rsidP="0067274C">
      <w:pPr>
        <w:spacing w:before="240" w:line="360" w:lineRule="auto"/>
        <w:rPr>
          <w:rFonts w:ascii="Arial" w:eastAsia="Calibri" w:hAnsi="Arial" w:cs="Arial"/>
        </w:rPr>
      </w:pPr>
      <w:r>
        <w:rPr>
          <w:rFonts w:ascii="Arial" w:eastAsia="Calibri" w:hAnsi="Arial" w:cs="Arial"/>
        </w:rPr>
        <w:t>While s</w:t>
      </w:r>
      <w:r w:rsidRPr="00064FCE">
        <w:rPr>
          <w:rFonts w:ascii="Arial" w:eastAsia="Calibri" w:hAnsi="Arial" w:cs="Arial"/>
        </w:rPr>
        <w:t>ome knowledge sets that are differing for both developed and emerging economies respectively based on the semi-structured interviews are as follows:</w:t>
      </w:r>
    </w:p>
    <w:p w14:paraId="2AC9EC86" w14:textId="77777777" w:rsidR="002F0E67" w:rsidRPr="00064FCE" w:rsidRDefault="002F0E67" w:rsidP="0067274C">
      <w:pPr>
        <w:spacing w:before="240" w:line="360" w:lineRule="auto"/>
        <w:rPr>
          <w:rFonts w:ascii="Arial" w:eastAsia="Calibri"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274C" w:rsidRPr="00064FCE" w14:paraId="1312861C" w14:textId="77777777" w:rsidTr="00CE6BCD">
        <w:tc>
          <w:tcPr>
            <w:tcW w:w="4508" w:type="dxa"/>
          </w:tcPr>
          <w:p w14:paraId="6E6EFA9E" w14:textId="77777777" w:rsidR="0067274C" w:rsidRPr="00064FCE" w:rsidRDefault="0067274C" w:rsidP="00CE6BCD">
            <w:pPr>
              <w:rPr>
                <w:rFonts w:ascii="Arial" w:eastAsia="Calibri" w:hAnsi="Arial" w:cs="Arial"/>
                <w:b/>
              </w:rPr>
            </w:pPr>
            <w:r w:rsidRPr="00064FCE">
              <w:rPr>
                <w:rFonts w:ascii="Arial" w:eastAsia="Calibri" w:hAnsi="Arial" w:cs="Arial"/>
                <w:b/>
              </w:rPr>
              <w:t>Developed economies</w:t>
            </w:r>
          </w:p>
        </w:tc>
        <w:tc>
          <w:tcPr>
            <w:tcW w:w="4508" w:type="dxa"/>
          </w:tcPr>
          <w:p w14:paraId="3291811A" w14:textId="77777777" w:rsidR="0067274C" w:rsidRPr="00064FCE" w:rsidRDefault="0067274C" w:rsidP="00CE6BCD">
            <w:pPr>
              <w:rPr>
                <w:rFonts w:ascii="Arial" w:eastAsia="Calibri" w:hAnsi="Arial" w:cs="Arial"/>
                <w:b/>
              </w:rPr>
            </w:pPr>
            <w:r w:rsidRPr="00064FCE">
              <w:rPr>
                <w:rFonts w:ascii="Arial" w:eastAsia="Calibri" w:hAnsi="Arial" w:cs="Arial"/>
                <w:b/>
              </w:rPr>
              <w:t>Emerging economies</w:t>
            </w:r>
          </w:p>
        </w:tc>
      </w:tr>
      <w:tr w:rsidR="0067274C" w:rsidRPr="00064FCE" w14:paraId="5DD19D5C" w14:textId="77777777" w:rsidTr="00CE6BCD">
        <w:tc>
          <w:tcPr>
            <w:tcW w:w="4508" w:type="dxa"/>
          </w:tcPr>
          <w:p w14:paraId="48AF9479"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 xml:space="preserve">Financial modelling </w:t>
            </w:r>
          </w:p>
          <w:p w14:paraId="12DFB78F"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 xml:space="preserve">Legal knowledge </w:t>
            </w:r>
          </w:p>
          <w:p w14:paraId="2B919502"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 xml:space="preserve">Location knowledge </w:t>
            </w:r>
          </w:p>
          <w:p w14:paraId="0B0E4014"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 xml:space="preserve">Policy knowledge </w:t>
            </w:r>
          </w:p>
          <w:p w14:paraId="3CBCE448"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Risk</w:t>
            </w:r>
          </w:p>
          <w:p w14:paraId="358E6DA8"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 xml:space="preserve">Technical knowledge </w:t>
            </w:r>
          </w:p>
          <w:p w14:paraId="34119528"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Understanding Joint venture legal document</w:t>
            </w:r>
          </w:p>
          <w:p w14:paraId="2193F22E"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lastRenderedPageBreak/>
              <w:t>Knowledge of loan agreement &amp; how they work</w:t>
            </w:r>
          </w:p>
          <w:p w14:paraId="43BE8F99"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 xml:space="preserve">Understanding of Macroeconomics factors </w:t>
            </w:r>
          </w:p>
          <w:p w14:paraId="0097C5F7"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Awareness of the client’s need</w:t>
            </w:r>
          </w:p>
          <w:p w14:paraId="59923EFD" w14:textId="77777777" w:rsidR="0067274C" w:rsidRPr="00064FCE" w:rsidRDefault="0067274C" w:rsidP="008D4A4F">
            <w:pPr>
              <w:numPr>
                <w:ilvl w:val="0"/>
                <w:numId w:val="258"/>
              </w:numPr>
              <w:spacing w:after="0" w:line="240" w:lineRule="auto"/>
              <w:contextualSpacing/>
              <w:rPr>
                <w:rFonts w:ascii="Arial" w:eastAsia="Calibri" w:hAnsi="Arial" w:cs="Arial"/>
              </w:rPr>
            </w:pPr>
            <w:r w:rsidRPr="00064FCE">
              <w:rPr>
                <w:rFonts w:ascii="Arial" w:eastAsia="Calibri" w:hAnsi="Arial" w:cs="Arial"/>
              </w:rPr>
              <w:t>Knowledge of what lenders want</w:t>
            </w:r>
          </w:p>
          <w:p w14:paraId="5A875AD5" w14:textId="77777777" w:rsidR="0067274C" w:rsidRPr="00064FCE" w:rsidRDefault="0067274C" w:rsidP="00CE6BCD">
            <w:pPr>
              <w:rPr>
                <w:rFonts w:ascii="Arial" w:eastAsia="Calibri" w:hAnsi="Arial" w:cs="Arial"/>
              </w:rPr>
            </w:pPr>
          </w:p>
        </w:tc>
        <w:tc>
          <w:tcPr>
            <w:tcW w:w="4508" w:type="dxa"/>
          </w:tcPr>
          <w:p w14:paraId="15B48A67"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lastRenderedPageBreak/>
              <w:t>Asset management</w:t>
            </w:r>
          </w:p>
          <w:p w14:paraId="4A2E4FE8"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Feasibility studies</w:t>
            </w:r>
          </w:p>
          <w:p w14:paraId="6DBC63DA"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Knowledge of accounting and economics</w:t>
            </w:r>
          </w:p>
          <w:p w14:paraId="6F4F8399"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 xml:space="preserve">Knowledge of finance instruments </w:t>
            </w:r>
          </w:p>
          <w:p w14:paraId="587889E1"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Knowledge of location &amp; topography</w:t>
            </w:r>
          </w:p>
          <w:p w14:paraId="234E5BF9"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Leadership &amp; negotiation</w:t>
            </w:r>
          </w:p>
          <w:p w14:paraId="102B3421"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Portfolio management</w:t>
            </w:r>
          </w:p>
          <w:p w14:paraId="647B9334"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lastRenderedPageBreak/>
              <w:t>Proposal packing</w:t>
            </w:r>
          </w:p>
          <w:p w14:paraId="73CB1B16"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Quantity surveying</w:t>
            </w:r>
          </w:p>
          <w:p w14:paraId="51DB1C18" w14:textId="77777777" w:rsidR="0067274C" w:rsidRPr="00064FCE" w:rsidRDefault="0067274C" w:rsidP="008D4A4F">
            <w:pPr>
              <w:numPr>
                <w:ilvl w:val="0"/>
                <w:numId w:val="259"/>
              </w:numPr>
              <w:spacing w:after="0" w:line="240" w:lineRule="auto"/>
              <w:contextualSpacing/>
              <w:rPr>
                <w:rFonts w:ascii="Arial" w:eastAsia="Calibri" w:hAnsi="Arial" w:cs="Arial"/>
              </w:rPr>
            </w:pPr>
            <w:r w:rsidRPr="00064FCE">
              <w:rPr>
                <w:rFonts w:ascii="Arial" w:eastAsia="Calibri" w:hAnsi="Arial" w:cs="Arial"/>
              </w:rPr>
              <w:t>Technical knowledge</w:t>
            </w:r>
          </w:p>
        </w:tc>
      </w:tr>
    </w:tbl>
    <w:p w14:paraId="4D8EA7B1" w14:textId="7E8C45FF" w:rsidR="0067274C" w:rsidRDefault="0067274C" w:rsidP="0067274C">
      <w:pPr>
        <w:spacing w:line="360" w:lineRule="auto"/>
        <w:jc w:val="both"/>
        <w:rPr>
          <w:rFonts w:ascii="Arial" w:hAnsi="Arial" w:cs="Arial"/>
        </w:rPr>
      </w:pPr>
      <w:r w:rsidRPr="00EA7665">
        <w:rPr>
          <w:rFonts w:ascii="Arial" w:hAnsi="Arial" w:cs="Arial"/>
        </w:rPr>
        <w:lastRenderedPageBreak/>
        <w:t>To bridge the gap in the knowledge that managers have for securing finance for real estate project development</w:t>
      </w:r>
      <w:r>
        <w:rPr>
          <w:rFonts w:ascii="Arial" w:hAnsi="Arial" w:cs="Arial"/>
        </w:rPr>
        <w:t>,</w:t>
      </w:r>
      <w:r w:rsidRPr="00EA7665">
        <w:rPr>
          <w:rFonts w:ascii="Arial" w:hAnsi="Arial" w:cs="Arial"/>
        </w:rPr>
        <w:t xml:space="preserve"> </w:t>
      </w:r>
      <w:r>
        <w:rPr>
          <w:rFonts w:ascii="Arial" w:hAnsi="Arial" w:cs="Arial"/>
        </w:rPr>
        <w:t xml:space="preserve">this </w:t>
      </w:r>
      <w:r w:rsidRPr="00EA7665">
        <w:rPr>
          <w:rFonts w:ascii="Arial" w:hAnsi="Arial" w:cs="Arial"/>
        </w:rPr>
        <w:t>study developed an inventory of management’s knowledge for securing finance for real estate project development</w:t>
      </w:r>
      <w:r>
        <w:rPr>
          <w:rFonts w:ascii="Arial" w:hAnsi="Arial" w:cs="Arial"/>
        </w:rPr>
        <w:t xml:space="preserve"> which also forms a part of the toolkit for securing finance for real estate project development</w:t>
      </w:r>
      <w:r w:rsidRPr="00EA7665">
        <w:rPr>
          <w:rFonts w:ascii="Arial" w:hAnsi="Arial" w:cs="Arial"/>
        </w:rPr>
        <w:t xml:space="preserve">. </w:t>
      </w:r>
      <w:r w:rsidR="007D435E" w:rsidRPr="00EA7665">
        <w:rPr>
          <w:rFonts w:ascii="Arial" w:hAnsi="Arial" w:cs="Arial"/>
        </w:rPr>
        <w:t>These management knowledge</w:t>
      </w:r>
      <w:r w:rsidR="007D435E">
        <w:rPr>
          <w:rFonts w:ascii="Arial" w:hAnsi="Arial" w:cs="Arial"/>
        </w:rPr>
        <w:t xml:space="preserve"> set</w:t>
      </w:r>
      <w:r w:rsidR="00247797">
        <w:rPr>
          <w:rFonts w:ascii="Arial" w:hAnsi="Arial" w:cs="Arial"/>
        </w:rPr>
        <w:t>s are restricted to financial management knowledge and are made up of findings from</w:t>
      </w:r>
      <w:r w:rsidRPr="00EA7665">
        <w:rPr>
          <w:rFonts w:ascii="Arial" w:hAnsi="Arial" w:cs="Arial"/>
        </w:rPr>
        <w:t xml:space="preserve"> questionnaire surv</w:t>
      </w:r>
      <w:r>
        <w:rPr>
          <w:rFonts w:ascii="Arial" w:hAnsi="Arial" w:cs="Arial"/>
        </w:rPr>
        <w:t>eys</w:t>
      </w:r>
      <w:r w:rsidRPr="00EA7665">
        <w:rPr>
          <w:rFonts w:ascii="Arial" w:hAnsi="Arial" w:cs="Arial"/>
        </w:rPr>
        <w:t xml:space="preserve"> and semi-structured interviews. </w:t>
      </w:r>
    </w:p>
    <w:p w14:paraId="491EB1BD" w14:textId="2100D0AF" w:rsidR="0067274C" w:rsidRPr="008D1BCA" w:rsidRDefault="0067274C" w:rsidP="0067274C">
      <w:pPr>
        <w:spacing w:line="360" w:lineRule="auto"/>
        <w:rPr>
          <w:rFonts w:ascii="Arial" w:hAnsi="Arial" w:cs="Arial"/>
          <w:lang w:val="en-US"/>
        </w:rPr>
      </w:pPr>
      <w:r w:rsidRPr="00EA7665">
        <w:rPr>
          <w:rFonts w:ascii="Arial" w:hAnsi="Arial" w:cs="Arial"/>
          <w:lang w:val="en-US"/>
        </w:rPr>
        <w:t>Comparatively, the competences for securing finance for real estate project development in both the developed and emerging economies are similar</w:t>
      </w:r>
      <w:r w:rsidR="00247797">
        <w:rPr>
          <w:rFonts w:ascii="Arial" w:hAnsi="Arial" w:cs="Arial"/>
          <w:lang w:val="en-US"/>
        </w:rPr>
        <w:t>,</w:t>
      </w:r>
      <w:r w:rsidRPr="00EA7665">
        <w:rPr>
          <w:rFonts w:ascii="Arial" w:hAnsi="Arial" w:cs="Arial"/>
          <w:lang w:val="en-US"/>
        </w:rPr>
        <w:t xml:space="preserve"> just as </w:t>
      </w:r>
      <w:r>
        <w:rPr>
          <w:rFonts w:ascii="Arial" w:hAnsi="Arial" w:cs="Arial"/>
          <w:lang w:val="en-US"/>
        </w:rPr>
        <w:t>in</w:t>
      </w:r>
      <w:r w:rsidRPr="00EA7665">
        <w:rPr>
          <w:rFonts w:ascii="Arial" w:hAnsi="Arial" w:cs="Arial"/>
          <w:lang w:val="en-US"/>
        </w:rPr>
        <w:t xml:space="preserve"> the case of knowledge and skills.</w:t>
      </w:r>
      <w:r>
        <w:rPr>
          <w:rFonts w:ascii="Arial" w:hAnsi="Arial" w:cs="Arial"/>
          <w:lang w:val="en-US"/>
        </w:rPr>
        <w:t xml:space="preserve"> </w:t>
      </w:r>
      <w:r w:rsidRPr="00EA7665">
        <w:rPr>
          <w:rFonts w:ascii="Arial" w:hAnsi="Arial" w:cs="Arial"/>
          <w:lang w:val="en-US"/>
        </w:rPr>
        <w:t xml:space="preserve">The </w:t>
      </w:r>
      <w:r w:rsidR="00B55B5E">
        <w:rPr>
          <w:rFonts w:ascii="Arial" w:hAnsi="Arial" w:cs="Arial"/>
          <w:lang w:val="en-US"/>
        </w:rPr>
        <w:t>survey questionnaire findings</w:t>
      </w:r>
      <w:r w:rsidRPr="00EA7665">
        <w:rPr>
          <w:rFonts w:ascii="Arial" w:hAnsi="Arial" w:cs="Arial"/>
          <w:lang w:val="en-US"/>
        </w:rPr>
        <w:t xml:space="preserve"> sho</w:t>
      </w:r>
      <w:r>
        <w:rPr>
          <w:rFonts w:ascii="Arial" w:hAnsi="Arial" w:cs="Arial"/>
          <w:lang w:val="en-US"/>
        </w:rPr>
        <w:t xml:space="preserve">w </w:t>
      </w:r>
      <w:r w:rsidRPr="00EA7665">
        <w:rPr>
          <w:rFonts w:ascii="Arial" w:hAnsi="Arial" w:cs="Arial"/>
          <w:lang w:val="en-US"/>
        </w:rPr>
        <w:t xml:space="preserve">that all nineteen management competences </w:t>
      </w:r>
      <w:r>
        <w:rPr>
          <w:rFonts w:ascii="Arial" w:hAnsi="Arial" w:cs="Arial"/>
          <w:lang w:val="en-US"/>
        </w:rPr>
        <w:t xml:space="preserve">listed in the survey </w:t>
      </w:r>
      <w:r w:rsidRPr="00EA7665">
        <w:rPr>
          <w:rFonts w:ascii="Arial" w:hAnsi="Arial" w:cs="Arial"/>
          <w:lang w:val="en-US"/>
        </w:rPr>
        <w:t>are considered important for securing finance for real estate project development by both managers in the developed and emerging economies at the aggregate level. It also shows that the</w:t>
      </w:r>
      <w:r>
        <w:rPr>
          <w:rFonts w:ascii="Arial" w:hAnsi="Arial" w:cs="Arial"/>
          <w:lang w:val="en-US"/>
        </w:rPr>
        <w:t xml:space="preserve"> managers</w:t>
      </w:r>
      <w:r w:rsidRPr="00EA7665">
        <w:rPr>
          <w:rFonts w:ascii="Arial" w:hAnsi="Arial" w:cs="Arial"/>
          <w:lang w:val="en-US"/>
        </w:rPr>
        <w:t xml:space="preserve"> indicated a need for some degree of training and education for all nineteen competenc</w:t>
      </w:r>
      <w:r w:rsidR="00247797">
        <w:rPr>
          <w:rFonts w:ascii="Arial" w:hAnsi="Arial" w:cs="Arial"/>
          <w:lang w:val="en-US"/>
        </w:rPr>
        <w:t>ies for the present and future need to secure</w:t>
      </w:r>
      <w:r w:rsidRPr="00EA7665">
        <w:rPr>
          <w:rFonts w:ascii="Arial" w:hAnsi="Arial" w:cs="Arial"/>
          <w:lang w:val="en-US"/>
        </w:rPr>
        <w:t xml:space="preserve"> finance for real estate project development. </w:t>
      </w:r>
      <w:r>
        <w:rPr>
          <w:rFonts w:ascii="Arial" w:hAnsi="Arial" w:cs="Arial"/>
          <w:lang w:val="en-US"/>
        </w:rPr>
        <w:t>The results show a strong correlation between the level of management and some competences such as result</w:t>
      </w:r>
      <w:r w:rsidR="00403A50">
        <w:rPr>
          <w:rFonts w:ascii="Arial" w:hAnsi="Arial" w:cs="Arial"/>
          <w:lang w:val="en-US"/>
        </w:rPr>
        <w:t>-</w:t>
      </w:r>
      <w:r>
        <w:rPr>
          <w:rFonts w:ascii="Arial" w:hAnsi="Arial" w:cs="Arial"/>
          <w:lang w:val="en-US"/>
        </w:rPr>
        <w:t xml:space="preserve">oriented, business case and managerial competences. </w:t>
      </w:r>
      <w:r w:rsidRPr="008D1BCA">
        <w:rPr>
          <w:rFonts w:ascii="Arial" w:hAnsi="Arial" w:cs="Arial"/>
          <w:lang w:val="en-US"/>
        </w:rPr>
        <w:t>The findings sho</w:t>
      </w:r>
      <w:r>
        <w:rPr>
          <w:rFonts w:ascii="Arial" w:hAnsi="Arial" w:cs="Arial"/>
          <w:lang w:val="en-US"/>
        </w:rPr>
        <w:t>w</w:t>
      </w:r>
      <w:r w:rsidRPr="008D1BCA">
        <w:rPr>
          <w:rFonts w:ascii="Arial" w:hAnsi="Arial" w:cs="Arial"/>
          <w:lang w:val="en-US"/>
        </w:rPr>
        <w:t xml:space="preserve"> some commonalities in competences for securing finance for real estate project development as follows:</w:t>
      </w:r>
    </w:p>
    <w:p w14:paraId="3995815E" w14:textId="77777777" w:rsidR="0067274C" w:rsidRPr="008D1BCA" w:rsidRDefault="0067274C" w:rsidP="008D4A4F">
      <w:pPr>
        <w:pStyle w:val="ListParagraph"/>
        <w:numPr>
          <w:ilvl w:val="0"/>
          <w:numId w:val="245"/>
        </w:numPr>
        <w:spacing w:line="360" w:lineRule="auto"/>
        <w:rPr>
          <w:rFonts w:ascii="Arial" w:hAnsi="Arial" w:cs="Arial"/>
          <w:lang w:val="en-US"/>
        </w:rPr>
      </w:pPr>
      <w:r w:rsidRPr="008D1BCA">
        <w:rPr>
          <w:rFonts w:ascii="Arial" w:hAnsi="Arial" w:cs="Arial"/>
          <w:lang w:val="en-US"/>
        </w:rPr>
        <w:t>Ability to analyze the market</w:t>
      </w:r>
    </w:p>
    <w:p w14:paraId="3790C798" w14:textId="77777777" w:rsidR="0067274C" w:rsidRPr="008D1BCA" w:rsidRDefault="0067274C" w:rsidP="008D4A4F">
      <w:pPr>
        <w:pStyle w:val="ListParagraph"/>
        <w:numPr>
          <w:ilvl w:val="0"/>
          <w:numId w:val="245"/>
        </w:numPr>
        <w:spacing w:line="360" w:lineRule="auto"/>
        <w:rPr>
          <w:rFonts w:ascii="Arial" w:hAnsi="Arial" w:cs="Arial"/>
          <w:lang w:val="en-US"/>
        </w:rPr>
      </w:pPr>
      <w:r w:rsidRPr="008D1BCA">
        <w:rPr>
          <w:rFonts w:ascii="Arial" w:hAnsi="Arial" w:cs="Arial"/>
          <w:lang w:val="en-US"/>
        </w:rPr>
        <w:t xml:space="preserve">Legal competences </w:t>
      </w:r>
    </w:p>
    <w:p w14:paraId="4845E0E5" w14:textId="77777777" w:rsidR="0067274C" w:rsidRPr="008D1BCA" w:rsidRDefault="0067274C" w:rsidP="008D4A4F">
      <w:pPr>
        <w:pStyle w:val="ListParagraph"/>
        <w:numPr>
          <w:ilvl w:val="0"/>
          <w:numId w:val="245"/>
        </w:numPr>
        <w:spacing w:line="360" w:lineRule="auto"/>
        <w:rPr>
          <w:rFonts w:ascii="Arial" w:hAnsi="Arial" w:cs="Arial"/>
          <w:lang w:val="en-US"/>
        </w:rPr>
      </w:pPr>
      <w:r w:rsidRPr="008D1BCA">
        <w:rPr>
          <w:rFonts w:ascii="Arial" w:hAnsi="Arial" w:cs="Arial"/>
          <w:lang w:val="en-US"/>
        </w:rPr>
        <w:t>Sales competences</w:t>
      </w:r>
    </w:p>
    <w:p w14:paraId="3BD18064" w14:textId="77777777" w:rsidR="0067274C" w:rsidRPr="008D1BCA" w:rsidRDefault="0067274C" w:rsidP="008D4A4F">
      <w:pPr>
        <w:pStyle w:val="ListParagraph"/>
        <w:numPr>
          <w:ilvl w:val="0"/>
          <w:numId w:val="245"/>
        </w:numPr>
        <w:spacing w:line="360" w:lineRule="auto"/>
        <w:rPr>
          <w:rFonts w:ascii="Arial" w:hAnsi="Arial" w:cs="Arial"/>
          <w:lang w:val="en-US"/>
        </w:rPr>
      </w:pPr>
      <w:r w:rsidRPr="008D1BCA">
        <w:rPr>
          <w:rFonts w:ascii="Arial" w:hAnsi="Arial" w:cs="Arial"/>
          <w:lang w:val="en-US"/>
        </w:rPr>
        <w:t xml:space="preserve">Communication </w:t>
      </w:r>
    </w:p>
    <w:p w14:paraId="6F3755F1" w14:textId="77777777" w:rsidR="0067274C" w:rsidRPr="008D1BCA" w:rsidRDefault="0067274C" w:rsidP="008D4A4F">
      <w:pPr>
        <w:pStyle w:val="ListParagraph"/>
        <w:numPr>
          <w:ilvl w:val="0"/>
          <w:numId w:val="245"/>
        </w:numPr>
        <w:spacing w:line="360" w:lineRule="auto"/>
        <w:rPr>
          <w:rFonts w:ascii="Arial" w:hAnsi="Arial" w:cs="Arial"/>
          <w:lang w:val="en-US"/>
        </w:rPr>
      </w:pPr>
      <w:r w:rsidRPr="008D1BCA">
        <w:rPr>
          <w:rFonts w:ascii="Arial" w:hAnsi="Arial" w:cs="Arial"/>
          <w:lang w:val="en-US"/>
        </w:rPr>
        <w:t>Construction of properties</w:t>
      </w:r>
    </w:p>
    <w:p w14:paraId="38E8E1AF" w14:textId="551408F2" w:rsidR="0067274C" w:rsidRPr="00EA7665" w:rsidRDefault="0067274C" w:rsidP="0067274C">
      <w:pPr>
        <w:spacing w:line="360" w:lineRule="auto"/>
        <w:rPr>
          <w:rFonts w:ascii="Arial" w:hAnsi="Arial" w:cs="Arial"/>
        </w:rPr>
      </w:pPr>
      <w:r w:rsidRPr="008D1BCA">
        <w:rPr>
          <w:rFonts w:ascii="Arial" w:hAnsi="Arial" w:cs="Arial"/>
          <w:lang w:val="en-US"/>
        </w:rPr>
        <w:t>While the fundamentally differing competences for both regions are financial mode</w:t>
      </w:r>
      <w:r w:rsidR="00403A50">
        <w:rPr>
          <w:rFonts w:ascii="Arial" w:hAnsi="Arial" w:cs="Arial"/>
          <w:lang w:val="en-US"/>
        </w:rPr>
        <w:t>l</w:t>
      </w:r>
      <w:r w:rsidRPr="008D1BCA">
        <w:rPr>
          <w:rFonts w:ascii="Arial" w:hAnsi="Arial" w:cs="Arial"/>
          <w:lang w:val="en-US"/>
        </w:rPr>
        <w:t xml:space="preserve">ling for the developed economies and </w:t>
      </w:r>
      <w:r>
        <w:rPr>
          <w:rFonts w:ascii="Arial" w:hAnsi="Arial" w:cs="Arial"/>
          <w:lang w:val="en-US"/>
        </w:rPr>
        <w:t>n</w:t>
      </w:r>
      <w:r w:rsidRPr="008D1BCA">
        <w:rPr>
          <w:rFonts w:ascii="Arial" w:hAnsi="Arial" w:cs="Arial"/>
          <w:lang w:val="en-US"/>
        </w:rPr>
        <w:t>etworking and retail developments for the emerging economies.</w:t>
      </w:r>
      <w:r>
        <w:rPr>
          <w:rFonts w:ascii="Arial" w:hAnsi="Arial" w:cs="Arial"/>
          <w:lang w:val="en-US"/>
        </w:rPr>
        <w:t xml:space="preserve"> </w:t>
      </w:r>
      <w:r w:rsidRPr="00EA7665">
        <w:rPr>
          <w:rFonts w:ascii="Arial" w:hAnsi="Arial" w:cs="Arial"/>
        </w:rPr>
        <w:t xml:space="preserve">This research developed an inventory of competences for securing finance for real estate project development based on the findings from this study. The inventory of competences is meant to act as a guide to managers </w:t>
      </w:r>
      <w:r w:rsidR="00CB0FD5" w:rsidRPr="00EA7665">
        <w:rPr>
          <w:rFonts w:ascii="Arial" w:hAnsi="Arial" w:cs="Arial"/>
        </w:rPr>
        <w:t>and</w:t>
      </w:r>
      <w:r w:rsidRPr="00EA7665">
        <w:rPr>
          <w:rFonts w:ascii="Arial" w:hAnsi="Arial" w:cs="Arial"/>
        </w:rPr>
        <w:t xml:space="preserve"> as a platform for training and development. It also forms a part of the toolkit for securing finance for real estate project development. </w:t>
      </w:r>
    </w:p>
    <w:p w14:paraId="4534E05B" w14:textId="5FB513A8" w:rsidR="0067274C" w:rsidRDefault="0067274C" w:rsidP="00CD6352">
      <w:pPr>
        <w:spacing w:line="360" w:lineRule="auto"/>
        <w:jc w:val="both"/>
        <w:rPr>
          <w:rFonts w:ascii="Arial" w:hAnsi="Arial" w:cs="Arial"/>
        </w:rPr>
      </w:pPr>
    </w:p>
    <w:p w14:paraId="0A92B1D6" w14:textId="68E1F26E" w:rsidR="006D39F3" w:rsidRPr="006F23CE" w:rsidRDefault="000540C8" w:rsidP="006D39F3">
      <w:pPr>
        <w:pStyle w:val="Heading1"/>
        <w:spacing w:line="360" w:lineRule="auto"/>
        <w:jc w:val="both"/>
        <w:rPr>
          <w:rFonts w:cs="Arial"/>
          <w:sz w:val="22"/>
          <w:szCs w:val="22"/>
        </w:rPr>
      </w:pPr>
      <w:bookmarkStart w:id="1375" w:name="_Toc78983917"/>
      <w:r>
        <w:rPr>
          <w:rFonts w:cs="Arial"/>
          <w:sz w:val="22"/>
          <w:szCs w:val="22"/>
        </w:rPr>
        <w:lastRenderedPageBreak/>
        <w:t>Management c</w:t>
      </w:r>
      <w:r w:rsidR="006D39F3" w:rsidRPr="006F23CE">
        <w:rPr>
          <w:rFonts w:cs="Arial"/>
          <w:sz w:val="22"/>
          <w:szCs w:val="22"/>
        </w:rPr>
        <w:t xml:space="preserve">areer path, training, and education for securing finance for real estate project development in developed and emerging </w:t>
      </w:r>
      <w:r w:rsidR="006F23CE" w:rsidRPr="006F23CE">
        <w:rPr>
          <w:rFonts w:cs="Arial"/>
          <w:sz w:val="22"/>
          <w:szCs w:val="22"/>
        </w:rPr>
        <w:t>economies.</w:t>
      </w:r>
      <w:bookmarkEnd w:id="1375"/>
      <w:r w:rsidR="006D39F3" w:rsidRPr="006F23CE">
        <w:rPr>
          <w:rFonts w:cs="Arial"/>
          <w:sz w:val="22"/>
          <w:szCs w:val="22"/>
        </w:rPr>
        <w:t xml:space="preserve"> </w:t>
      </w:r>
    </w:p>
    <w:p w14:paraId="38BD1C1C" w14:textId="77777777" w:rsidR="006D39F3" w:rsidRPr="006F23CE" w:rsidRDefault="006D39F3" w:rsidP="006D39F3">
      <w:pPr>
        <w:pStyle w:val="Heading2"/>
        <w:spacing w:line="360" w:lineRule="auto"/>
        <w:jc w:val="both"/>
        <w:rPr>
          <w:rFonts w:cs="Arial"/>
          <w:sz w:val="22"/>
          <w:szCs w:val="22"/>
        </w:rPr>
      </w:pPr>
      <w:bookmarkStart w:id="1376" w:name="_Toc78983918"/>
      <w:r w:rsidRPr="006F23CE">
        <w:rPr>
          <w:rFonts w:cs="Arial"/>
          <w:sz w:val="22"/>
          <w:szCs w:val="22"/>
        </w:rPr>
        <w:t>Introduction</w:t>
      </w:r>
      <w:bookmarkEnd w:id="1376"/>
      <w:r w:rsidRPr="006F23CE">
        <w:rPr>
          <w:rFonts w:cs="Arial"/>
          <w:sz w:val="22"/>
          <w:szCs w:val="22"/>
        </w:rPr>
        <w:t xml:space="preserve"> </w:t>
      </w:r>
    </w:p>
    <w:p w14:paraId="49EC2EF2" w14:textId="5B71DF08" w:rsidR="006D39F3" w:rsidRPr="004733B6" w:rsidRDefault="006D39F3" w:rsidP="006D39F3">
      <w:pPr>
        <w:spacing w:line="360" w:lineRule="auto"/>
        <w:jc w:val="both"/>
        <w:rPr>
          <w:rFonts w:ascii="Arial" w:hAnsi="Arial" w:cs="Arial"/>
          <w:lang w:val="en-US"/>
        </w:rPr>
      </w:pPr>
      <w:r w:rsidRPr="00136CCB">
        <w:rPr>
          <w:rFonts w:ascii="Arial" w:hAnsi="Arial" w:cs="Arial"/>
          <w:lang w:val="en-US"/>
        </w:rPr>
        <w:t xml:space="preserve">This chapter presents and discusses the findings on the manager’s career path, </w:t>
      </w:r>
      <w:r w:rsidR="006D5832" w:rsidRPr="00136CCB">
        <w:rPr>
          <w:rFonts w:ascii="Arial" w:hAnsi="Arial" w:cs="Arial"/>
          <w:lang w:val="en-US"/>
        </w:rPr>
        <w:t>training,</w:t>
      </w:r>
      <w:r w:rsidRPr="00136CCB">
        <w:rPr>
          <w:rFonts w:ascii="Arial" w:hAnsi="Arial" w:cs="Arial"/>
          <w:lang w:val="en-US"/>
        </w:rPr>
        <w:t xml:space="preserve"> and education for securing finance for real estate project development. The chapter fulfils the </w:t>
      </w:r>
      <w:r w:rsidR="006B1ACD" w:rsidRPr="00136CCB">
        <w:rPr>
          <w:rFonts w:ascii="Arial" w:hAnsi="Arial" w:cs="Arial"/>
          <w:lang w:val="en-US"/>
        </w:rPr>
        <w:t xml:space="preserve">second part of the </w:t>
      </w:r>
      <w:r w:rsidRPr="00136CCB">
        <w:rPr>
          <w:rFonts w:ascii="Arial" w:hAnsi="Arial" w:cs="Arial"/>
          <w:lang w:val="en-US"/>
        </w:rPr>
        <w:t>fourth objective</w:t>
      </w:r>
      <w:r w:rsidR="00B55B5E" w:rsidRPr="00136CCB">
        <w:rPr>
          <w:rFonts w:ascii="Arial" w:hAnsi="Arial" w:cs="Arial"/>
          <w:lang w:val="en-US"/>
        </w:rPr>
        <w:t>, “to document the skills, knowledge, and competences and ascertain the training background, education,</w:t>
      </w:r>
      <w:r w:rsidRPr="00136CCB">
        <w:rPr>
          <w:rFonts w:ascii="Arial" w:hAnsi="Arial" w:cs="Arial"/>
          <w:lang w:val="en-US"/>
        </w:rPr>
        <w:t xml:space="preserve"> and career pathway that the real estate development manager needs to be successful in securing finance for real estate project development”.</w:t>
      </w:r>
      <w:r w:rsidRPr="004733B6">
        <w:rPr>
          <w:rFonts w:ascii="Arial" w:hAnsi="Arial" w:cs="Arial"/>
          <w:lang w:val="en-US"/>
        </w:rPr>
        <w:t xml:space="preserve"> </w:t>
      </w:r>
    </w:p>
    <w:p w14:paraId="04D1CC6A" w14:textId="433A4BBF" w:rsidR="006D39F3" w:rsidRPr="004733B6" w:rsidRDefault="006D39F3" w:rsidP="006D39F3">
      <w:pPr>
        <w:spacing w:line="360" w:lineRule="auto"/>
        <w:jc w:val="both"/>
        <w:rPr>
          <w:rFonts w:ascii="Arial" w:hAnsi="Arial" w:cs="Arial"/>
        </w:rPr>
      </w:pPr>
      <w:r w:rsidRPr="004733B6">
        <w:rPr>
          <w:rFonts w:ascii="Arial" w:hAnsi="Arial" w:cs="Arial"/>
        </w:rPr>
        <w:t xml:space="preserve">The study of the manager’s training, </w:t>
      </w:r>
      <w:r w:rsidR="006D5832" w:rsidRPr="004733B6">
        <w:rPr>
          <w:rFonts w:ascii="Arial" w:hAnsi="Arial" w:cs="Arial"/>
        </w:rPr>
        <w:t>education,</w:t>
      </w:r>
      <w:r w:rsidRPr="004733B6">
        <w:rPr>
          <w:rFonts w:ascii="Arial" w:hAnsi="Arial" w:cs="Arial"/>
        </w:rPr>
        <w:t xml:space="preserve"> and career path for securing finance for real estate project development </w:t>
      </w:r>
      <w:r w:rsidR="00593140">
        <w:rPr>
          <w:rFonts w:ascii="Arial" w:hAnsi="Arial" w:cs="Arial"/>
        </w:rPr>
        <w:t>are</w:t>
      </w:r>
      <w:r w:rsidRPr="004733B6">
        <w:rPr>
          <w:rFonts w:ascii="Arial" w:hAnsi="Arial" w:cs="Arial"/>
        </w:rPr>
        <w:t xml:space="preserve"> for the following reasons:</w:t>
      </w:r>
    </w:p>
    <w:p w14:paraId="7F9BB175" w14:textId="0C714B3B" w:rsidR="006D39F3" w:rsidRPr="004733B6" w:rsidRDefault="006D39F3" w:rsidP="007E0EB6">
      <w:pPr>
        <w:numPr>
          <w:ilvl w:val="0"/>
          <w:numId w:val="399"/>
        </w:numPr>
        <w:spacing w:line="360" w:lineRule="auto"/>
        <w:jc w:val="both"/>
        <w:rPr>
          <w:rFonts w:ascii="Arial" w:hAnsi="Arial" w:cs="Arial"/>
        </w:rPr>
      </w:pPr>
      <w:r w:rsidRPr="004733B6">
        <w:rPr>
          <w:rFonts w:ascii="Arial" w:hAnsi="Arial" w:cs="Arial"/>
        </w:rPr>
        <w:t>To create awareness of the</w:t>
      </w:r>
      <w:r w:rsidR="00D36ACA">
        <w:rPr>
          <w:rFonts w:ascii="Arial" w:hAnsi="Arial" w:cs="Arial"/>
        </w:rPr>
        <w:t xml:space="preserve"> career path,</w:t>
      </w:r>
      <w:r w:rsidRPr="004733B6">
        <w:rPr>
          <w:rFonts w:ascii="Arial" w:hAnsi="Arial" w:cs="Arial"/>
        </w:rPr>
        <w:t xml:space="preserve"> training</w:t>
      </w:r>
      <w:r w:rsidR="00D36ACA">
        <w:rPr>
          <w:rFonts w:ascii="Arial" w:hAnsi="Arial" w:cs="Arial"/>
        </w:rPr>
        <w:t xml:space="preserve"> </w:t>
      </w:r>
      <w:r w:rsidR="001C1F49">
        <w:rPr>
          <w:rFonts w:ascii="Arial" w:hAnsi="Arial" w:cs="Arial"/>
        </w:rPr>
        <w:t xml:space="preserve">and </w:t>
      </w:r>
      <w:r w:rsidR="001C1F49" w:rsidRPr="004733B6">
        <w:rPr>
          <w:rFonts w:ascii="Arial" w:hAnsi="Arial" w:cs="Arial"/>
        </w:rPr>
        <w:t>education</w:t>
      </w:r>
      <w:r w:rsidRPr="004733B6">
        <w:rPr>
          <w:rFonts w:ascii="Arial" w:hAnsi="Arial" w:cs="Arial"/>
        </w:rPr>
        <w:t xml:space="preserve"> managers need to be able to obtain funding for real estate project development.</w:t>
      </w:r>
    </w:p>
    <w:p w14:paraId="12F3C321" w14:textId="6620ABB1" w:rsidR="006D39F3" w:rsidRPr="004733B6" w:rsidRDefault="006D39F3" w:rsidP="007E0EB6">
      <w:pPr>
        <w:numPr>
          <w:ilvl w:val="0"/>
          <w:numId w:val="399"/>
        </w:numPr>
        <w:spacing w:line="360" w:lineRule="auto"/>
        <w:jc w:val="both"/>
        <w:rPr>
          <w:rFonts w:ascii="Arial" w:hAnsi="Arial" w:cs="Arial"/>
        </w:rPr>
      </w:pPr>
      <w:r w:rsidRPr="004733B6">
        <w:rPr>
          <w:rFonts w:ascii="Arial" w:hAnsi="Arial" w:cs="Arial"/>
        </w:rPr>
        <w:t xml:space="preserve">To provide a platform for </w:t>
      </w:r>
      <w:r w:rsidR="00A87638">
        <w:rPr>
          <w:rFonts w:ascii="Arial" w:hAnsi="Arial" w:cs="Arial"/>
        </w:rPr>
        <w:t xml:space="preserve">a </w:t>
      </w:r>
      <w:r w:rsidR="00D36ACA">
        <w:rPr>
          <w:rFonts w:ascii="Arial" w:hAnsi="Arial" w:cs="Arial"/>
        </w:rPr>
        <w:t xml:space="preserve">career </w:t>
      </w:r>
      <w:r w:rsidR="001C1F49">
        <w:rPr>
          <w:rFonts w:ascii="Arial" w:hAnsi="Arial" w:cs="Arial"/>
        </w:rPr>
        <w:t>path,</w:t>
      </w:r>
      <w:r w:rsidR="00D36ACA">
        <w:rPr>
          <w:rFonts w:ascii="Arial" w:hAnsi="Arial" w:cs="Arial"/>
        </w:rPr>
        <w:t xml:space="preserve"> </w:t>
      </w:r>
      <w:r w:rsidRPr="004733B6">
        <w:rPr>
          <w:rFonts w:ascii="Arial" w:hAnsi="Arial" w:cs="Arial"/>
        </w:rPr>
        <w:t>training</w:t>
      </w:r>
      <w:r w:rsidR="00D36ACA">
        <w:rPr>
          <w:rFonts w:ascii="Arial" w:hAnsi="Arial" w:cs="Arial"/>
        </w:rPr>
        <w:t xml:space="preserve"> and</w:t>
      </w:r>
      <w:r w:rsidRPr="004733B6">
        <w:rPr>
          <w:rFonts w:ascii="Arial" w:hAnsi="Arial" w:cs="Arial"/>
        </w:rPr>
        <w:t xml:space="preserve"> education managers need to secure finance for real estate project development. </w:t>
      </w:r>
    </w:p>
    <w:p w14:paraId="2C917293" w14:textId="77777777" w:rsidR="006D39F3" w:rsidRPr="004733B6" w:rsidRDefault="006D39F3" w:rsidP="007E0EB6">
      <w:pPr>
        <w:numPr>
          <w:ilvl w:val="0"/>
          <w:numId w:val="399"/>
        </w:numPr>
        <w:spacing w:line="360" w:lineRule="auto"/>
        <w:jc w:val="both"/>
        <w:rPr>
          <w:rFonts w:ascii="Arial" w:hAnsi="Arial" w:cs="Arial"/>
        </w:rPr>
      </w:pPr>
      <w:r w:rsidRPr="004733B6">
        <w:rPr>
          <w:rFonts w:ascii="Arial" w:hAnsi="Arial" w:cs="Arial"/>
        </w:rPr>
        <w:t xml:space="preserve">To contribute to the development of a toolkit for securing finance for real estate project development. </w:t>
      </w:r>
    </w:p>
    <w:p w14:paraId="1A8315D5" w14:textId="170D8437" w:rsidR="00CD6352" w:rsidRPr="00EA7665" w:rsidRDefault="00770CF3" w:rsidP="00CD6352">
      <w:pPr>
        <w:pStyle w:val="Heading2"/>
        <w:spacing w:after="240"/>
        <w:rPr>
          <w:sz w:val="22"/>
          <w:szCs w:val="22"/>
        </w:rPr>
      </w:pPr>
      <w:bookmarkStart w:id="1377" w:name="_Toc78983919"/>
      <w:r w:rsidRPr="00EA7665">
        <w:rPr>
          <w:sz w:val="22"/>
          <w:szCs w:val="22"/>
        </w:rPr>
        <w:t>Management career</w:t>
      </w:r>
      <w:r w:rsidR="00CD6352" w:rsidRPr="00EA7665">
        <w:rPr>
          <w:sz w:val="22"/>
          <w:szCs w:val="22"/>
        </w:rPr>
        <w:t xml:space="preserve"> path for securing finance for real estate project </w:t>
      </w:r>
      <w:r w:rsidR="006A0CBA" w:rsidRPr="00EA7665">
        <w:rPr>
          <w:sz w:val="22"/>
          <w:szCs w:val="22"/>
        </w:rPr>
        <w:t>development.</w:t>
      </w:r>
      <w:bookmarkEnd w:id="1377"/>
    </w:p>
    <w:p w14:paraId="31E94540" w14:textId="2A91949E" w:rsidR="00CD6352" w:rsidRPr="00EA7665" w:rsidRDefault="00CD6352" w:rsidP="00CD6352">
      <w:pPr>
        <w:spacing w:line="360" w:lineRule="auto"/>
        <w:jc w:val="both"/>
        <w:rPr>
          <w:rFonts w:ascii="Arial" w:hAnsi="Arial" w:cs="Arial"/>
        </w:rPr>
      </w:pPr>
      <w:r w:rsidRPr="00EA7665">
        <w:rPr>
          <w:rFonts w:ascii="Arial" w:hAnsi="Arial" w:cs="Arial"/>
        </w:rPr>
        <w:t xml:space="preserve">Respondents were requested to list their career path chronologically for both the online questionnaire survey and semi-structured interview.  The data on career-path was analysed in </w:t>
      </w:r>
      <w:r w:rsidR="00F82FBB">
        <w:rPr>
          <w:rFonts w:ascii="Arial" w:hAnsi="Arial" w:cs="Arial"/>
        </w:rPr>
        <w:t>two</w:t>
      </w:r>
      <w:r w:rsidR="00F82FBB" w:rsidRPr="00EA7665">
        <w:rPr>
          <w:rFonts w:ascii="Arial" w:hAnsi="Arial" w:cs="Arial"/>
        </w:rPr>
        <w:t xml:space="preserve"> </w:t>
      </w:r>
      <w:r w:rsidRPr="00EA7665">
        <w:rPr>
          <w:rFonts w:ascii="Arial" w:hAnsi="Arial" w:cs="Arial"/>
        </w:rPr>
        <w:t>major sections:</w:t>
      </w:r>
    </w:p>
    <w:p w14:paraId="5D127CEB" w14:textId="2E78B3A8" w:rsidR="00CD6352" w:rsidRPr="00EA7665" w:rsidRDefault="003F07A7" w:rsidP="007625E7">
      <w:pPr>
        <w:pStyle w:val="ListParagraph"/>
        <w:numPr>
          <w:ilvl w:val="0"/>
          <w:numId w:val="333"/>
        </w:numPr>
        <w:spacing w:line="360" w:lineRule="auto"/>
        <w:jc w:val="both"/>
        <w:rPr>
          <w:rFonts w:ascii="Arial" w:hAnsi="Arial" w:cs="Arial"/>
        </w:rPr>
      </w:pPr>
      <w:r>
        <w:rPr>
          <w:rFonts w:ascii="Arial" w:hAnsi="Arial" w:cs="Arial"/>
        </w:rPr>
        <w:t>t</w:t>
      </w:r>
      <w:r w:rsidR="00CD6352" w:rsidRPr="00EA7665">
        <w:rPr>
          <w:rFonts w:ascii="Arial" w:hAnsi="Arial" w:cs="Arial"/>
        </w:rPr>
        <w:t>he aggregate</w:t>
      </w:r>
      <w:r w:rsidR="00392085">
        <w:rPr>
          <w:rFonts w:ascii="Arial" w:hAnsi="Arial" w:cs="Arial"/>
        </w:rPr>
        <w:t xml:space="preserve"> and disaggregate</w:t>
      </w:r>
      <w:r w:rsidR="00CD6352" w:rsidRPr="00EA7665">
        <w:rPr>
          <w:rFonts w:ascii="Arial" w:hAnsi="Arial" w:cs="Arial"/>
        </w:rPr>
        <w:t xml:space="preserve"> level</w:t>
      </w:r>
      <w:r w:rsidR="00392085">
        <w:rPr>
          <w:rFonts w:ascii="Arial" w:hAnsi="Arial" w:cs="Arial"/>
        </w:rPr>
        <w:t>s</w:t>
      </w:r>
      <w:r w:rsidR="00CD6352" w:rsidRPr="00EA7665">
        <w:rPr>
          <w:rFonts w:ascii="Arial" w:hAnsi="Arial" w:cs="Arial"/>
        </w:rPr>
        <w:t xml:space="preserve"> discus</w:t>
      </w:r>
      <w:r w:rsidR="00E8375C">
        <w:rPr>
          <w:rFonts w:ascii="Arial" w:hAnsi="Arial" w:cs="Arial"/>
        </w:rPr>
        <w:t>s</w:t>
      </w:r>
      <w:r w:rsidR="00CD6352" w:rsidRPr="00EA7665">
        <w:rPr>
          <w:rFonts w:ascii="Arial" w:hAnsi="Arial" w:cs="Arial"/>
        </w:rPr>
        <w:t xml:space="preserve"> the career path based on the online questionnaire survey to ascertain if the career path is relevant to the manager’s ability to secure finance for real estate project development.</w:t>
      </w:r>
    </w:p>
    <w:p w14:paraId="5C96217A" w14:textId="3378118B" w:rsidR="00CD6352" w:rsidRPr="00EA7665" w:rsidRDefault="003F07A7" w:rsidP="007625E7">
      <w:pPr>
        <w:pStyle w:val="ListParagraph"/>
        <w:numPr>
          <w:ilvl w:val="0"/>
          <w:numId w:val="333"/>
        </w:numPr>
        <w:spacing w:line="360" w:lineRule="auto"/>
        <w:jc w:val="both"/>
        <w:rPr>
          <w:rFonts w:ascii="Arial" w:hAnsi="Arial" w:cs="Arial"/>
        </w:rPr>
      </w:pPr>
      <w:r>
        <w:rPr>
          <w:rFonts w:ascii="Arial" w:hAnsi="Arial" w:cs="Arial"/>
        </w:rPr>
        <w:t>c</w:t>
      </w:r>
      <w:r w:rsidR="00CD6352" w:rsidRPr="00EA7665">
        <w:rPr>
          <w:rFonts w:ascii="Arial" w:hAnsi="Arial" w:cs="Arial"/>
        </w:rPr>
        <w:t>areer path on the disaggregate levels based on the findings from the semi-structured interview for both the emerging and developed economies.</w:t>
      </w:r>
    </w:p>
    <w:p w14:paraId="068F2010" w14:textId="5E657092" w:rsidR="00CD6352" w:rsidRPr="00EA7665" w:rsidRDefault="00770CF3" w:rsidP="00CD6352">
      <w:pPr>
        <w:pStyle w:val="Heading3"/>
        <w:rPr>
          <w:sz w:val="22"/>
          <w:szCs w:val="22"/>
        </w:rPr>
      </w:pPr>
      <w:bookmarkStart w:id="1378" w:name="_Toc78983920"/>
      <w:r w:rsidRPr="00EA7665">
        <w:rPr>
          <w:sz w:val="22"/>
          <w:szCs w:val="22"/>
        </w:rPr>
        <w:t>Management career</w:t>
      </w:r>
      <w:r w:rsidR="00CD6352" w:rsidRPr="00EA7665">
        <w:rPr>
          <w:sz w:val="22"/>
          <w:szCs w:val="22"/>
        </w:rPr>
        <w:t xml:space="preserve"> path for securing finance for real estate project </w:t>
      </w:r>
      <w:r w:rsidR="0042739E" w:rsidRPr="00EA7665">
        <w:rPr>
          <w:sz w:val="22"/>
          <w:szCs w:val="22"/>
        </w:rPr>
        <w:t>development.</w:t>
      </w:r>
      <w:bookmarkEnd w:id="1378"/>
    </w:p>
    <w:p w14:paraId="3BCDB804" w14:textId="77777777" w:rsidR="00CD6352" w:rsidRPr="00EA7665" w:rsidRDefault="00CD6352" w:rsidP="00CD6352">
      <w:pPr>
        <w:pStyle w:val="Heading3"/>
        <w:numPr>
          <w:ilvl w:val="0"/>
          <w:numId w:val="0"/>
        </w:numPr>
        <w:spacing w:after="240"/>
        <w:ind w:left="720"/>
        <w:rPr>
          <w:sz w:val="22"/>
          <w:szCs w:val="22"/>
        </w:rPr>
      </w:pPr>
    </w:p>
    <w:p w14:paraId="5E193FC0" w14:textId="77777777" w:rsidR="00CD6352" w:rsidRPr="00EA7665" w:rsidRDefault="00CD6352" w:rsidP="00CD6352">
      <w:pPr>
        <w:pStyle w:val="Heading4"/>
        <w:spacing w:after="240"/>
        <w:rPr>
          <w:rFonts w:ascii="Arial" w:hAnsi="Arial" w:cs="Arial"/>
          <w:color w:val="auto"/>
        </w:rPr>
      </w:pPr>
      <w:r w:rsidRPr="00EA7665">
        <w:rPr>
          <w:rFonts w:ascii="Arial" w:hAnsi="Arial" w:cs="Arial"/>
          <w:color w:val="auto"/>
        </w:rPr>
        <w:t>Questionnaire survey discussion and analysis at the aggregate level</w:t>
      </w:r>
    </w:p>
    <w:p w14:paraId="09AFA1D6" w14:textId="2ED086A4" w:rsidR="00CD6352" w:rsidRPr="00EA7665" w:rsidRDefault="00CD6352" w:rsidP="00CD6352">
      <w:pPr>
        <w:spacing w:after="0" w:line="360" w:lineRule="auto"/>
        <w:jc w:val="both"/>
        <w:rPr>
          <w:rFonts w:ascii="Arial" w:hAnsi="Arial" w:cs="Arial"/>
        </w:rPr>
      </w:pPr>
      <w:r w:rsidRPr="00EA7665">
        <w:rPr>
          <w:rFonts w:ascii="Arial" w:hAnsi="Arial" w:cs="Arial"/>
        </w:rPr>
        <w:t xml:space="preserve">The survey questionnaire respondents were requested to list their career path in chronological order based on the online questionnaire </w:t>
      </w:r>
      <w:r w:rsidR="005E59A7" w:rsidRPr="00EA7665">
        <w:rPr>
          <w:rFonts w:ascii="Arial" w:hAnsi="Arial" w:cs="Arial"/>
        </w:rPr>
        <w:t>survey</w:t>
      </w:r>
      <w:r w:rsidR="004F5D57">
        <w:rPr>
          <w:rFonts w:ascii="Arial" w:hAnsi="Arial" w:cs="Arial"/>
        </w:rPr>
        <w:t>,</w:t>
      </w:r>
      <w:r w:rsidR="005E59A7" w:rsidRPr="00EA7665">
        <w:rPr>
          <w:rFonts w:ascii="Arial" w:hAnsi="Arial" w:cs="Arial"/>
        </w:rPr>
        <w:t xml:space="preserve"> as</w:t>
      </w:r>
      <w:r w:rsidRPr="00EA7665">
        <w:rPr>
          <w:rFonts w:ascii="Arial" w:hAnsi="Arial" w:cs="Arial"/>
        </w:rPr>
        <w:t xml:space="preserve"> shown </w:t>
      </w:r>
      <w:r>
        <w:rPr>
          <w:rFonts w:ascii="Arial" w:hAnsi="Arial" w:cs="Arial"/>
        </w:rPr>
        <w:t xml:space="preserve">in </w:t>
      </w:r>
      <w:r w:rsidRPr="00EA7665">
        <w:rPr>
          <w:rFonts w:ascii="Arial" w:hAnsi="Arial" w:cs="Arial"/>
        </w:rPr>
        <w:t xml:space="preserve">table </w:t>
      </w:r>
      <w:r w:rsidR="004733B6">
        <w:rPr>
          <w:rFonts w:ascii="Arial" w:hAnsi="Arial" w:cs="Arial"/>
        </w:rPr>
        <w:t>9.2.1</w:t>
      </w:r>
      <w:r w:rsidR="000F11A8">
        <w:rPr>
          <w:rFonts w:ascii="Arial" w:hAnsi="Arial" w:cs="Arial"/>
        </w:rPr>
        <w:t>.</w:t>
      </w:r>
    </w:p>
    <w:p w14:paraId="31E05699" w14:textId="77777777" w:rsidR="00CD6352" w:rsidRPr="00EA7665" w:rsidRDefault="00CD6352" w:rsidP="00CD6352">
      <w:pPr>
        <w:pStyle w:val="Caption"/>
        <w:keepNext/>
        <w:rPr>
          <w:rFonts w:ascii="Arial" w:hAnsi="Arial" w:cs="Arial"/>
          <w:b/>
          <w:color w:val="000000" w:themeColor="text1"/>
          <w:sz w:val="16"/>
          <w:szCs w:val="16"/>
        </w:rPr>
      </w:pPr>
      <w:r w:rsidRPr="00EA7665">
        <w:rPr>
          <w:rFonts w:ascii="Arial" w:hAnsi="Arial" w:cs="Arial"/>
          <w:b/>
          <w:color w:val="000000" w:themeColor="text1"/>
          <w:sz w:val="16"/>
          <w:szCs w:val="16"/>
        </w:rPr>
        <w:lastRenderedPageBreak/>
        <w:tab/>
      </w:r>
    </w:p>
    <w:p w14:paraId="0788E391" w14:textId="6A9E8417" w:rsidR="004733B6" w:rsidRPr="004733B6" w:rsidRDefault="004733B6" w:rsidP="004733B6">
      <w:pPr>
        <w:pStyle w:val="Caption"/>
        <w:keepNext/>
        <w:rPr>
          <w:rFonts w:ascii="Arial" w:hAnsi="Arial" w:cs="Arial"/>
        </w:rPr>
      </w:pPr>
      <w:bookmarkStart w:id="1379" w:name="_Toc78984024"/>
      <w:r w:rsidRPr="004733B6">
        <w:rPr>
          <w:rFonts w:ascii="Arial" w:hAnsi="Arial" w:cs="Arial"/>
        </w:rPr>
        <w:t xml:space="preserve">Table </w:t>
      </w:r>
      <w:r w:rsidR="008F25B1">
        <w:rPr>
          <w:rFonts w:ascii="Arial" w:hAnsi="Arial" w:cs="Arial"/>
        </w:rPr>
        <w:fldChar w:fldCharType="begin"/>
      </w:r>
      <w:r w:rsidR="008F25B1">
        <w:rPr>
          <w:rFonts w:ascii="Arial" w:hAnsi="Arial" w:cs="Arial"/>
        </w:rPr>
        <w:instrText xml:space="preserve"> STYLEREF 2 \s </w:instrText>
      </w:r>
      <w:r w:rsidR="008F25B1">
        <w:rPr>
          <w:rFonts w:ascii="Arial" w:hAnsi="Arial" w:cs="Arial"/>
        </w:rPr>
        <w:fldChar w:fldCharType="separate"/>
      </w:r>
      <w:r w:rsidR="008F25B1">
        <w:rPr>
          <w:rFonts w:ascii="Arial" w:hAnsi="Arial" w:cs="Arial"/>
          <w:noProof/>
        </w:rPr>
        <w:t>9.2</w:t>
      </w:r>
      <w:r w:rsidR="008F25B1">
        <w:rPr>
          <w:rFonts w:ascii="Arial" w:hAnsi="Arial" w:cs="Arial"/>
        </w:rPr>
        <w:fldChar w:fldCharType="end"/>
      </w:r>
      <w:r w:rsidR="008F25B1">
        <w:rPr>
          <w:rFonts w:ascii="Arial" w:hAnsi="Arial" w:cs="Arial"/>
        </w:rPr>
        <w:noBreakHyphen/>
      </w:r>
      <w:r w:rsidR="008F25B1">
        <w:rPr>
          <w:rFonts w:ascii="Arial" w:hAnsi="Arial" w:cs="Arial"/>
        </w:rPr>
        <w:fldChar w:fldCharType="begin"/>
      </w:r>
      <w:r w:rsidR="008F25B1">
        <w:rPr>
          <w:rFonts w:ascii="Arial" w:hAnsi="Arial" w:cs="Arial"/>
        </w:rPr>
        <w:instrText xml:space="preserve"> SEQ Table \* ARABIC \s 2 </w:instrText>
      </w:r>
      <w:r w:rsidR="008F25B1">
        <w:rPr>
          <w:rFonts w:ascii="Arial" w:hAnsi="Arial" w:cs="Arial"/>
        </w:rPr>
        <w:fldChar w:fldCharType="separate"/>
      </w:r>
      <w:r w:rsidR="008F25B1">
        <w:rPr>
          <w:rFonts w:ascii="Arial" w:hAnsi="Arial" w:cs="Arial"/>
          <w:noProof/>
        </w:rPr>
        <w:t>1</w:t>
      </w:r>
      <w:r w:rsidR="008F25B1">
        <w:rPr>
          <w:rFonts w:ascii="Arial" w:hAnsi="Arial" w:cs="Arial"/>
        </w:rPr>
        <w:fldChar w:fldCharType="end"/>
      </w:r>
      <w:r w:rsidRPr="004733B6">
        <w:rPr>
          <w:rFonts w:ascii="Arial" w:hAnsi="Arial" w:cs="Arial"/>
        </w:rPr>
        <w:t xml:space="preserve">: Career path: Chronological order of the positions managers have held in the real estate industry since they first joined </w:t>
      </w:r>
      <w:r w:rsidR="000B5679">
        <w:rPr>
          <w:rFonts w:ascii="Arial" w:hAnsi="Arial" w:cs="Arial"/>
        </w:rPr>
        <w:t>and the number of years they held such a</w:t>
      </w:r>
      <w:r w:rsidRPr="004733B6">
        <w:rPr>
          <w:rFonts w:ascii="Arial" w:hAnsi="Arial" w:cs="Arial"/>
        </w:rPr>
        <w:t xml:space="preserve"> post.</w:t>
      </w:r>
      <w:bookmarkEnd w:id="1379"/>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6741"/>
        <w:gridCol w:w="1230"/>
        <w:gridCol w:w="1055"/>
      </w:tblGrid>
      <w:tr w:rsidR="00CD6352" w:rsidRPr="004733B6" w14:paraId="61517966" w14:textId="77777777" w:rsidTr="00CD6352">
        <w:tc>
          <w:tcPr>
            <w:tcW w:w="0" w:type="auto"/>
          </w:tcPr>
          <w:p w14:paraId="3A64651B" w14:textId="77777777" w:rsidR="00CD6352" w:rsidRPr="004733B6" w:rsidRDefault="00CD6352" w:rsidP="00CD6352">
            <w:pPr>
              <w:jc w:val="both"/>
              <w:rPr>
                <w:rFonts w:ascii="Arial" w:hAnsi="Arial" w:cs="Arial"/>
                <w:b/>
                <w:sz w:val="16"/>
                <w:szCs w:val="16"/>
              </w:rPr>
            </w:pPr>
            <w:r w:rsidRPr="004733B6">
              <w:rPr>
                <w:rFonts w:ascii="Arial" w:hAnsi="Arial" w:cs="Arial"/>
                <w:b/>
                <w:sz w:val="16"/>
                <w:szCs w:val="16"/>
              </w:rPr>
              <w:tab/>
              <w:t>Responses</w:t>
            </w:r>
          </w:p>
        </w:tc>
        <w:tc>
          <w:tcPr>
            <w:tcW w:w="0" w:type="auto"/>
          </w:tcPr>
          <w:p w14:paraId="38877DD9" w14:textId="77777777" w:rsidR="00CD6352" w:rsidRPr="004733B6" w:rsidRDefault="00CD6352" w:rsidP="00CD6352">
            <w:pPr>
              <w:jc w:val="both"/>
              <w:rPr>
                <w:rFonts w:ascii="Arial" w:hAnsi="Arial" w:cs="Arial"/>
                <w:b/>
                <w:sz w:val="16"/>
                <w:szCs w:val="16"/>
              </w:rPr>
            </w:pPr>
            <w:r w:rsidRPr="004733B6">
              <w:rPr>
                <w:rFonts w:ascii="Arial" w:hAnsi="Arial" w:cs="Arial"/>
                <w:b/>
                <w:sz w:val="16"/>
                <w:szCs w:val="16"/>
              </w:rPr>
              <w:t xml:space="preserve">Respondents </w:t>
            </w:r>
          </w:p>
        </w:tc>
        <w:tc>
          <w:tcPr>
            <w:tcW w:w="0" w:type="auto"/>
          </w:tcPr>
          <w:p w14:paraId="40F3BAC9" w14:textId="77777777" w:rsidR="00CD6352" w:rsidRPr="004733B6" w:rsidRDefault="00CD6352" w:rsidP="00CD6352">
            <w:pPr>
              <w:jc w:val="both"/>
              <w:rPr>
                <w:rFonts w:ascii="Arial" w:hAnsi="Arial" w:cs="Arial"/>
                <w:b/>
                <w:sz w:val="16"/>
                <w:szCs w:val="16"/>
              </w:rPr>
            </w:pPr>
            <w:r w:rsidRPr="004733B6">
              <w:rPr>
                <w:rFonts w:ascii="Arial" w:hAnsi="Arial" w:cs="Arial"/>
                <w:b/>
                <w:sz w:val="16"/>
                <w:szCs w:val="16"/>
              </w:rPr>
              <w:t>Valid Percent</w:t>
            </w:r>
          </w:p>
        </w:tc>
      </w:tr>
      <w:tr w:rsidR="00CD6352" w:rsidRPr="004733B6" w14:paraId="43E12B68" w14:textId="77777777" w:rsidTr="00CD6352">
        <w:tc>
          <w:tcPr>
            <w:tcW w:w="0" w:type="auto"/>
          </w:tcPr>
          <w:p w14:paraId="0DAB29BB" w14:textId="15D56878" w:rsidR="00CD6352" w:rsidRPr="004733B6" w:rsidRDefault="00CD6352" w:rsidP="00CD6352">
            <w:pPr>
              <w:jc w:val="both"/>
              <w:rPr>
                <w:rFonts w:ascii="Arial" w:hAnsi="Arial" w:cs="Arial"/>
                <w:sz w:val="16"/>
                <w:szCs w:val="16"/>
              </w:rPr>
            </w:pPr>
            <w:r w:rsidRPr="004733B6">
              <w:rPr>
                <w:rFonts w:ascii="Arial" w:hAnsi="Arial" w:cs="Arial"/>
                <w:sz w:val="16"/>
                <w:szCs w:val="16"/>
              </w:rPr>
              <w:t xml:space="preserve">1. Normal employee 2yrs. </w:t>
            </w:r>
            <w:r w:rsidR="000B5679">
              <w:rPr>
                <w:rFonts w:ascii="Arial" w:hAnsi="Arial" w:cs="Arial"/>
                <w:sz w:val="16"/>
                <w:szCs w:val="16"/>
              </w:rPr>
              <w:t>P</w:t>
            </w:r>
            <w:r w:rsidRPr="004733B6">
              <w:rPr>
                <w:rFonts w:ascii="Arial" w:hAnsi="Arial" w:cs="Arial"/>
                <w:sz w:val="16"/>
                <w:szCs w:val="16"/>
              </w:rPr>
              <w:t>lanner 3yrs. Site project director 4. CEO</w:t>
            </w:r>
          </w:p>
        </w:tc>
        <w:tc>
          <w:tcPr>
            <w:tcW w:w="0" w:type="auto"/>
          </w:tcPr>
          <w:p w14:paraId="7A6C9F1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341FD2A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340C6942" w14:textId="77777777" w:rsidTr="00CD6352">
        <w:tc>
          <w:tcPr>
            <w:tcW w:w="0" w:type="auto"/>
          </w:tcPr>
          <w:p w14:paraId="304B0D59" w14:textId="4F727BEA" w:rsidR="00CD6352" w:rsidRPr="004733B6" w:rsidRDefault="00CD6352" w:rsidP="00CD6352">
            <w:pPr>
              <w:jc w:val="both"/>
              <w:rPr>
                <w:rFonts w:ascii="Arial" w:hAnsi="Arial" w:cs="Arial"/>
                <w:sz w:val="16"/>
                <w:szCs w:val="16"/>
              </w:rPr>
            </w:pPr>
            <w:r w:rsidRPr="004733B6">
              <w:rPr>
                <w:rFonts w:ascii="Arial" w:hAnsi="Arial" w:cs="Arial"/>
                <w:sz w:val="16"/>
                <w:szCs w:val="16"/>
              </w:rPr>
              <w:t xml:space="preserve">Analyst: 2 </w:t>
            </w:r>
            <w:r w:rsidR="00E30D03" w:rsidRPr="004733B6">
              <w:rPr>
                <w:rFonts w:ascii="Arial" w:hAnsi="Arial" w:cs="Arial"/>
                <w:sz w:val="16"/>
                <w:szCs w:val="16"/>
              </w:rPr>
              <w:t>years development</w:t>
            </w:r>
            <w:r w:rsidRPr="004733B6">
              <w:rPr>
                <w:rFonts w:ascii="Arial" w:hAnsi="Arial" w:cs="Arial"/>
                <w:sz w:val="16"/>
                <w:szCs w:val="16"/>
              </w:rPr>
              <w:t xml:space="preserve"> Manager : 3 months</w:t>
            </w:r>
          </w:p>
        </w:tc>
        <w:tc>
          <w:tcPr>
            <w:tcW w:w="0" w:type="auto"/>
          </w:tcPr>
          <w:p w14:paraId="4A4BDDA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5B82629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410F5C2" w14:textId="77777777" w:rsidTr="00CD6352">
        <w:tc>
          <w:tcPr>
            <w:tcW w:w="0" w:type="auto"/>
          </w:tcPr>
          <w:p w14:paraId="5B2EEA3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assistant project manager (7yrs)</w:t>
            </w:r>
          </w:p>
        </w:tc>
        <w:tc>
          <w:tcPr>
            <w:tcW w:w="0" w:type="auto"/>
          </w:tcPr>
          <w:p w14:paraId="31DCD0C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F42E32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38A37737" w14:textId="77777777" w:rsidTr="00CD6352">
        <w:tc>
          <w:tcPr>
            <w:tcW w:w="0" w:type="auto"/>
          </w:tcPr>
          <w:p w14:paraId="59B0DBE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Assistant to Chairman (2 yrs.)  Manager (2 yrs.)  Head of Projects (3 yrs.)  Partner &amp; Head of Projects (2 yrs.)</w:t>
            </w:r>
          </w:p>
        </w:tc>
        <w:tc>
          <w:tcPr>
            <w:tcW w:w="0" w:type="auto"/>
          </w:tcPr>
          <w:p w14:paraId="70F22C1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1592B7D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709EA521" w14:textId="77777777" w:rsidTr="00CD6352">
        <w:tc>
          <w:tcPr>
            <w:tcW w:w="0" w:type="auto"/>
          </w:tcPr>
          <w:p w14:paraId="72215716"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Broker</w:t>
            </w:r>
          </w:p>
        </w:tc>
        <w:tc>
          <w:tcPr>
            <w:tcW w:w="0" w:type="auto"/>
          </w:tcPr>
          <w:p w14:paraId="0416EC9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E7F319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7DFD9473" w14:textId="77777777" w:rsidTr="00CD6352">
        <w:tc>
          <w:tcPr>
            <w:tcW w:w="0" w:type="auto"/>
          </w:tcPr>
          <w:p w14:paraId="1131C83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Broker(5yrs)  Developer(6yrs)</w:t>
            </w:r>
          </w:p>
        </w:tc>
        <w:tc>
          <w:tcPr>
            <w:tcW w:w="0" w:type="auto"/>
          </w:tcPr>
          <w:p w14:paraId="3DDACF1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E48129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6AD836B" w14:textId="77777777" w:rsidTr="00CD6352">
        <w:tc>
          <w:tcPr>
            <w:tcW w:w="0" w:type="auto"/>
          </w:tcPr>
          <w:p w14:paraId="0434F41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Business Development (2 yrs.)</w:t>
            </w:r>
          </w:p>
        </w:tc>
        <w:tc>
          <w:tcPr>
            <w:tcW w:w="0" w:type="auto"/>
          </w:tcPr>
          <w:p w14:paraId="7E84066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29F71356"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2C4CE9F6" w14:textId="77777777" w:rsidTr="00CD6352">
        <w:tc>
          <w:tcPr>
            <w:tcW w:w="0" w:type="auto"/>
          </w:tcPr>
          <w:p w14:paraId="499743B0"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Chief Executive Manager (5yrs)  State Director (10yrs)</w:t>
            </w:r>
          </w:p>
        </w:tc>
        <w:tc>
          <w:tcPr>
            <w:tcW w:w="0" w:type="auto"/>
          </w:tcPr>
          <w:p w14:paraId="4B0C8A0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3B183F9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3BC64DC7" w14:textId="77777777" w:rsidTr="00CD6352">
        <w:tc>
          <w:tcPr>
            <w:tcW w:w="0" w:type="auto"/>
          </w:tcPr>
          <w:p w14:paraId="1DB8553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Chief Operations Officer (4yrs)</w:t>
            </w:r>
          </w:p>
        </w:tc>
        <w:tc>
          <w:tcPr>
            <w:tcW w:w="0" w:type="auto"/>
          </w:tcPr>
          <w:p w14:paraId="43AADAF4"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C9E9BA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15246E9" w14:textId="77777777" w:rsidTr="00CD6352">
        <w:tc>
          <w:tcPr>
            <w:tcW w:w="0" w:type="auto"/>
          </w:tcPr>
          <w:p w14:paraId="41A2ABA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Design Engineer (2yrs)  Projects Engineer (6yrs)  Project Manager (8yrs)  Associate Principal (2ys)  Managing Director (2yrs)</w:t>
            </w:r>
          </w:p>
        </w:tc>
        <w:tc>
          <w:tcPr>
            <w:tcW w:w="0" w:type="auto"/>
          </w:tcPr>
          <w:p w14:paraId="189FEFC6"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4ABE4B0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7448C7B7" w14:textId="77777777" w:rsidTr="00CD6352">
        <w:tc>
          <w:tcPr>
            <w:tcW w:w="0" w:type="auto"/>
          </w:tcPr>
          <w:p w14:paraId="4C76FE8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Gen mgr (3yrs), CEO (3yrs), COO (2yrs)</w:t>
            </w:r>
          </w:p>
        </w:tc>
        <w:tc>
          <w:tcPr>
            <w:tcW w:w="0" w:type="auto"/>
          </w:tcPr>
          <w:p w14:paraId="0C108A5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198217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440E099" w14:textId="77777777" w:rsidTr="00CD6352">
        <w:tc>
          <w:tcPr>
            <w:tcW w:w="0" w:type="auto"/>
          </w:tcPr>
          <w:p w14:paraId="2722B07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General manager. 6yrs</w:t>
            </w:r>
          </w:p>
        </w:tc>
        <w:tc>
          <w:tcPr>
            <w:tcW w:w="0" w:type="auto"/>
          </w:tcPr>
          <w:p w14:paraId="78D992B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4DDF22A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76DD60A" w14:textId="77777777" w:rsidTr="00CD6352">
        <w:tc>
          <w:tcPr>
            <w:tcW w:w="0" w:type="auto"/>
          </w:tcPr>
          <w:p w14:paraId="47F4FA1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general manager(12yrs)</w:t>
            </w:r>
          </w:p>
        </w:tc>
        <w:tc>
          <w:tcPr>
            <w:tcW w:w="0" w:type="auto"/>
          </w:tcPr>
          <w:p w14:paraId="1C2B1A2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3C96FCD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62B12CB" w14:textId="77777777" w:rsidTr="00CD6352">
        <w:tc>
          <w:tcPr>
            <w:tcW w:w="0" w:type="auto"/>
          </w:tcPr>
          <w:p w14:paraId="1BB8F7A1"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Intern (2 yrs.)  Manager (3.5 yrs.)  General manager (2 yrs.)</w:t>
            </w:r>
          </w:p>
        </w:tc>
        <w:tc>
          <w:tcPr>
            <w:tcW w:w="0" w:type="auto"/>
          </w:tcPr>
          <w:p w14:paraId="2200A59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DDD845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3ED75D03" w14:textId="77777777" w:rsidTr="00CD6352">
        <w:tc>
          <w:tcPr>
            <w:tcW w:w="0" w:type="auto"/>
          </w:tcPr>
          <w:p w14:paraId="3D7C9BA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Intern, Leasing Agent, Land Acquisition and Development Manager, Development Manager</w:t>
            </w:r>
          </w:p>
        </w:tc>
        <w:tc>
          <w:tcPr>
            <w:tcW w:w="0" w:type="auto"/>
          </w:tcPr>
          <w:p w14:paraId="706C78C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C62A16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8CD6301" w14:textId="77777777" w:rsidTr="00CD6352">
        <w:tc>
          <w:tcPr>
            <w:tcW w:w="0" w:type="auto"/>
          </w:tcPr>
          <w:p w14:paraId="67181F71"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Junior management 10years  Senior and middle management ten years</w:t>
            </w:r>
          </w:p>
        </w:tc>
        <w:tc>
          <w:tcPr>
            <w:tcW w:w="0" w:type="auto"/>
          </w:tcPr>
          <w:p w14:paraId="237B2CB6"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476F02D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F75352B" w14:textId="77777777" w:rsidTr="00CD6352">
        <w:tc>
          <w:tcPr>
            <w:tcW w:w="0" w:type="auto"/>
          </w:tcPr>
          <w:p w14:paraId="4A5BCFD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Junior manager - 4 yrs  Senior manager- 8 years  Director- 5 years</w:t>
            </w:r>
          </w:p>
        </w:tc>
        <w:tc>
          <w:tcPr>
            <w:tcW w:w="0" w:type="auto"/>
          </w:tcPr>
          <w:p w14:paraId="3F423B7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6AEFE01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56EB3052" w14:textId="77777777" w:rsidTr="00CD6352">
        <w:tc>
          <w:tcPr>
            <w:tcW w:w="0" w:type="auto"/>
          </w:tcPr>
          <w:p w14:paraId="1E855F81"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Membership Officer/Records (8yrs)</w:t>
            </w:r>
          </w:p>
        </w:tc>
        <w:tc>
          <w:tcPr>
            <w:tcW w:w="0" w:type="auto"/>
          </w:tcPr>
          <w:p w14:paraId="7DADAA2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A64C521"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C20AA98" w14:textId="77777777" w:rsidTr="00CD6352">
        <w:tc>
          <w:tcPr>
            <w:tcW w:w="0" w:type="auto"/>
          </w:tcPr>
          <w:p w14:paraId="17A98F8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Non</w:t>
            </w:r>
          </w:p>
        </w:tc>
        <w:tc>
          <w:tcPr>
            <w:tcW w:w="0" w:type="auto"/>
          </w:tcPr>
          <w:p w14:paraId="5EF3404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34F5934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1889D1FF" w14:textId="77777777" w:rsidTr="00CD6352">
        <w:tc>
          <w:tcPr>
            <w:tcW w:w="0" w:type="auto"/>
          </w:tcPr>
          <w:p w14:paraId="1C3D56D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Project Manager (3yrs)  Executive Director (4yrs)</w:t>
            </w:r>
          </w:p>
        </w:tc>
        <w:tc>
          <w:tcPr>
            <w:tcW w:w="0" w:type="auto"/>
          </w:tcPr>
          <w:p w14:paraId="78397D3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5084FA7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D5462DB" w14:textId="77777777" w:rsidTr="00CD6352">
        <w:tc>
          <w:tcPr>
            <w:tcW w:w="0" w:type="auto"/>
          </w:tcPr>
          <w:p w14:paraId="7A49D58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Project Manager (8yrs)</w:t>
            </w:r>
          </w:p>
        </w:tc>
        <w:tc>
          <w:tcPr>
            <w:tcW w:w="0" w:type="auto"/>
          </w:tcPr>
          <w:p w14:paraId="7D91E7E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617B2C0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59EB0AE" w14:textId="77777777" w:rsidTr="00CD6352">
        <w:tc>
          <w:tcPr>
            <w:tcW w:w="0" w:type="auto"/>
          </w:tcPr>
          <w:p w14:paraId="3961376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Project Officer (5yrs) Project Manager (5 yrs.)  Director Operations (3 yrs.)  Managing Director ( 7 Yrs.)</w:t>
            </w:r>
          </w:p>
        </w:tc>
        <w:tc>
          <w:tcPr>
            <w:tcW w:w="0" w:type="auto"/>
          </w:tcPr>
          <w:p w14:paraId="6196A3E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6B1AFE6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B2E585B" w14:textId="77777777" w:rsidTr="00CD6352">
        <w:tc>
          <w:tcPr>
            <w:tcW w:w="0" w:type="auto"/>
          </w:tcPr>
          <w:p w14:paraId="33ECAF0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Property Researcher 3yrs, Associate and head of dept 2yrs, Associate director 2 yrs, Director 26 yrs., Chair and Professor 6 months</w:t>
            </w:r>
          </w:p>
        </w:tc>
        <w:tc>
          <w:tcPr>
            <w:tcW w:w="0" w:type="auto"/>
          </w:tcPr>
          <w:p w14:paraId="1A041CC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2AD1BC3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87C93B0" w14:textId="77777777" w:rsidTr="00CD6352">
        <w:tc>
          <w:tcPr>
            <w:tcW w:w="0" w:type="auto"/>
          </w:tcPr>
          <w:p w14:paraId="4C0074B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Quantity surveyor- 6 Years</w:t>
            </w:r>
          </w:p>
        </w:tc>
        <w:tc>
          <w:tcPr>
            <w:tcW w:w="0" w:type="auto"/>
          </w:tcPr>
          <w:p w14:paraId="488BAD7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318B4FA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6CED646D" w14:textId="77777777" w:rsidTr="00CD6352">
        <w:tc>
          <w:tcPr>
            <w:tcW w:w="0" w:type="auto"/>
          </w:tcPr>
          <w:p w14:paraId="6E3A99BB" w14:textId="45BD633F" w:rsidR="00CD6352" w:rsidRPr="004733B6" w:rsidRDefault="00CD6352" w:rsidP="00CD6352">
            <w:pPr>
              <w:jc w:val="both"/>
              <w:rPr>
                <w:rFonts w:ascii="Arial" w:hAnsi="Arial" w:cs="Arial"/>
                <w:sz w:val="16"/>
                <w:szCs w:val="16"/>
              </w:rPr>
            </w:pPr>
            <w:r w:rsidRPr="004733B6">
              <w:rPr>
                <w:rFonts w:ascii="Arial" w:hAnsi="Arial" w:cs="Arial"/>
                <w:sz w:val="16"/>
                <w:szCs w:val="16"/>
              </w:rPr>
              <w:t xml:space="preserve">Regional Development Agency Finance </w:t>
            </w:r>
            <w:r w:rsidR="0067024C" w:rsidRPr="004733B6">
              <w:rPr>
                <w:rFonts w:ascii="Arial" w:hAnsi="Arial" w:cs="Arial"/>
                <w:sz w:val="16"/>
                <w:szCs w:val="16"/>
              </w:rPr>
              <w:t>Director Finance</w:t>
            </w:r>
            <w:r w:rsidRPr="004733B6">
              <w:rPr>
                <w:rFonts w:ascii="Arial" w:hAnsi="Arial" w:cs="Arial"/>
                <w:sz w:val="16"/>
                <w:szCs w:val="16"/>
              </w:rPr>
              <w:t xml:space="preserve"> Director igloo Regeneration  Finance Director PfP Capital</w:t>
            </w:r>
          </w:p>
        </w:tc>
        <w:tc>
          <w:tcPr>
            <w:tcW w:w="0" w:type="auto"/>
          </w:tcPr>
          <w:p w14:paraId="5928901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42DD26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1D61B1DA" w14:textId="77777777" w:rsidTr="00CD6352">
        <w:tc>
          <w:tcPr>
            <w:tcW w:w="0" w:type="auto"/>
          </w:tcPr>
          <w:p w14:paraId="6A328D7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Regional manager</w:t>
            </w:r>
          </w:p>
        </w:tc>
        <w:tc>
          <w:tcPr>
            <w:tcW w:w="0" w:type="auto"/>
          </w:tcPr>
          <w:p w14:paraId="306A601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BF5BD0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173A19B9" w14:textId="77777777" w:rsidTr="00CD6352">
        <w:tc>
          <w:tcPr>
            <w:tcW w:w="0" w:type="auto"/>
          </w:tcPr>
          <w:p w14:paraId="47F0B8D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Research Analyst - 1 year</w:t>
            </w:r>
          </w:p>
        </w:tc>
        <w:tc>
          <w:tcPr>
            <w:tcW w:w="0" w:type="auto"/>
          </w:tcPr>
          <w:p w14:paraId="78F0A064"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42461FA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910105B" w14:textId="77777777" w:rsidTr="00CD6352">
        <w:tc>
          <w:tcPr>
            <w:tcW w:w="0" w:type="auto"/>
          </w:tcPr>
          <w:p w14:paraId="2AF99AE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resident Surveyor 4 &amp; managing partner 17</w:t>
            </w:r>
          </w:p>
        </w:tc>
        <w:tc>
          <w:tcPr>
            <w:tcW w:w="0" w:type="auto"/>
          </w:tcPr>
          <w:p w14:paraId="44B99CA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1FBBF76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0D8F74DA" w14:textId="77777777" w:rsidTr="00CD6352">
        <w:tc>
          <w:tcPr>
            <w:tcW w:w="0" w:type="auto"/>
          </w:tcPr>
          <w:p w14:paraId="48501AE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 executive (1yr), manager(3yrs)</w:t>
            </w:r>
          </w:p>
        </w:tc>
        <w:tc>
          <w:tcPr>
            <w:tcW w:w="0" w:type="auto"/>
          </w:tcPr>
          <w:p w14:paraId="44259B7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1CAD66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AB63AC4" w14:textId="77777777" w:rsidTr="00CD6352">
        <w:tc>
          <w:tcPr>
            <w:tcW w:w="0" w:type="auto"/>
          </w:tcPr>
          <w:p w14:paraId="53827D6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 executive, executive director, and chief executive</w:t>
            </w:r>
          </w:p>
        </w:tc>
        <w:tc>
          <w:tcPr>
            <w:tcW w:w="0" w:type="auto"/>
          </w:tcPr>
          <w:p w14:paraId="50129B3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4D92D9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5C47514D" w14:textId="77777777" w:rsidTr="00CD6352">
        <w:tc>
          <w:tcPr>
            <w:tcW w:w="0" w:type="auto"/>
          </w:tcPr>
          <w:p w14:paraId="4BF94D70"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 manager</w:t>
            </w:r>
          </w:p>
        </w:tc>
        <w:tc>
          <w:tcPr>
            <w:tcW w:w="0" w:type="auto"/>
          </w:tcPr>
          <w:p w14:paraId="361CB28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5F9D404"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2E0157D9" w14:textId="77777777" w:rsidTr="00CD6352">
        <w:tc>
          <w:tcPr>
            <w:tcW w:w="0" w:type="auto"/>
          </w:tcPr>
          <w:p w14:paraId="3706EB7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 manager (2 yrs)</w:t>
            </w:r>
          </w:p>
        </w:tc>
        <w:tc>
          <w:tcPr>
            <w:tcW w:w="0" w:type="auto"/>
          </w:tcPr>
          <w:p w14:paraId="1F84DF3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4773514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11BBF719" w14:textId="77777777" w:rsidTr="00CD6352">
        <w:tc>
          <w:tcPr>
            <w:tcW w:w="0" w:type="auto"/>
          </w:tcPr>
          <w:p w14:paraId="0493F7E0"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 manager (3 yrs.)</w:t>
            </w:r>
          </w:p>
        </w:tc>
        <w:tc>
          <w:tcPr>
            <w:tcW w:w="0" w:type="auto"/>
          </w:tcPr>
          <w:p w14:paraId="3B99104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A11A38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3CAD461A" w14:textId="77777777" w:rsidTr="00CD6352">
        <w:tc>
          <w:tcPr>
            <w:tcW w:w="0" w:type="auto"/>
          </w:tcPr>
          <w:p w14:paraId="7303274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lastRenderedPageBreak/>
              <w:t>Sales manager 3years  General manager two years</w:t>
            </w:r>
          </w:p>
        </w:tc>
        <w:tc>
          <w:tcPr>
            <w:tcW w:w="0" w:type="auto"/>
          </w:tcPr>
          <w:p w14:paraId="5B06237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158C267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6269D368" w14:textId="77777777" w:rsidTr="00CD6352">
        <w:tc>
          <w:tcPr>
            <w:tcW w:w="0" w:type="auto"/>
          </w:tcPr>
          <w:p w14:paraId="5E67323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 Manager, General Manager</w:t>
            </w:r>
          </w:p>
        </w:tc>
        <w:tc>
          <w:tcPr>
            <w:tcW w:w="0" w:type="auto"/>
          </w:tcPr>
          <w:p w14:paraId="37FED2A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45E44CF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1EEB0053" w14:textId="77777777" w:rsidTr="00CD6352">
        <w:tc>
          <w:tcPr>
            <w:tcW w:w="0" w:type="auto"/>
          </w:tcPr>
          <w:p w14:paraId="10E02CA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sales-5 years  development-18 years</w:t>
            </w:r>
          </w:p>
        </w:tc>
        <w:tc>
          <w:tcPr>
            <w:tcW w:w="0" w:type="auto"/>
          </w:tcPr>
          <w:p w14:paraId="031DBD6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26F84E9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5251DF3D" w14:textId="77777777" w:rsidTr="00CD6352">
        <w:tc>
          <w:tcPr>
            <w:tcW w:w="0" w:type="auto"/>
          </w:tcPr>
          <w:p w14:paraId="38782CF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Senior Manager (8yrs); Managing Director (1yrs)</w:t>
            </w:r>
          </w:p>
        </w:tc>
        <w:tc>
          <w:tcPr>
            <w:tcW w:w="0" w:type="auto"/>
          </w:tcPr>
          <w:p w14:paraId="7562F8F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0F7179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5F7F36F1" w14:textId="77777777" w:rsidTr="00CD6352">
        <w:tc>
          <w:tcPr>
            <w:tcW w:w="0" w:type="auto"/>
          </w:tcPr>
          <w:p w14:paraId="29EE151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Site engineer</w:t>
            </w:r>
          </w:p>
        </w:tc>
        <w:tc>
          <w:tcPr>
            <w:tcW w:w="0" w:type="auto"/>
          </w:tcPr>
          <w:p w14:paraId="2DAB8C04"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2927309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512E49DF" w14:textId="77777777" w:rsidTr="00CD6352">
        <w:tc>
          <w:tcPr>
            <w:tcW w:w="0" w:type="auto"/>
          </w:tcPr>
          <w:p w14:paraId="2E6B9697"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Site supervisor (6yrs)  Chief executive officer (2yrs)</w:t>
            </w:r>
          </w:p>
        </w:tc>
        <w:tc>
          <w:tcPr>
            <w:tcW w:w="0" w:type="auto"/>
          </w:tcPr>
          <w:p w14:paraId="707CECEE"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039A4AA5"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497BD09E" w14:textId="77777777" w:rsidTr="00CD6352">
        <w:tc>
          <w:tcPr>
            <w:tcW w:w="0" w:type="auto"/>
          </w:tcPr>
          <w:p w14:paraId="77D4D71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Store inventory keeper(2yrs), site supervisor (3yrs)</w:t>
            </w:r>
          </w:p>
        </w:tc>
        <w:tc>
          <w:tcPr>
            <w:tcW w:w="0" w:type="auto"/>
          </w:tcPr>
          <w:p w14:paraId="3B4D4AF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1F4231C3"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5DEBD495" w14:textId="77777777" w:rsidTr="00CD6352">
        <w:tc>
          <w:tcPr>
            <w:tcW w:w="0" w:type="auto"/>
          </w:tcPr>
          <w:p w14:paraId="2DFF21E1"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surveyor(5 years), project manager (10 years)</w:t>
            </w:r>
          </w:p>
        </w:tc>
        <w:tc>
          <w:tcPr>
            <w:tcW w:w="0" w:type="auto"/>
          </w:tcPr>
          <w:p w14:paraId="2FC37E7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9D7913D"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64D373E5" w14:textId="77777777" w:rsidTr="00CD6352">
        <w:tc>
          <w:tcPr>
            <w:tcW w:w="0" w:type="auto"/>
          </w:tcPr>
          <w:p w14:paraId="3B47490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Sustainability Consultant - 8 years.  Self-employed consultant - 4 years  Tech company operations direct - 3 years  'Head of' service - 2 years</w:t>
            </w:r>
          </w:p>
        </w:tc>
        <w:tc>
          <w:tcPr>
            <w:tcW w:w="0" w:type="auto"/>
          </w:tcPr>
          <w:p w14:paraId="38CA20E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3D5E46EB"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320EDB11" w14:textId="77777777" w:rsidTr="00CD6352">
        <w:tc>
          <w:tcPr>
            <w:tcW w:w="0" w:type="auto"/>
          </w:tcPr>
          <w:p w14:paraId="1F11FFD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Team leader (2yrs), Asst.Project Supervisor (1yr), Project supervisor (2yrs).</w:t>
            </w:r>
          </w:p>
        </w:tc>
        <w:tc>
          <w:tcPr>
            <w:tcW w:w="0" w:type="auto"/>
          </w:tcPr>
          <w:p w14:paraId="108FD6C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792F9909"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2F6389A8" w14:textId="77777777" w:rsidTr="00CD6352">
        <w:tc>
          <w:tcPr>
            <w:tcW w:w="0" w:type="auto"/>
          </w:tcPr>
          <w:p w14:paraId="7EF6EB1F"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Team leader (3yrs) site supervisor (5yrs) project manager (15yrs)</w:t>
            </w:r>
          </w:p>
        </w:tc>
        <w:tc>
          <w:tcPr>
            <w:tcW w:w="0" w:type="auto"/>
          </w:tcPr>
          <w:p w14:paraId="61A6FD32"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w:t>
            </w:r>
          </w:p>
        </w:tc>
        <w:tc>
          <w:tcPr>
            <w:tcW w:w="0" w:type="auto"/>
          </w:tcPr>
          <w:p w14:paraId="5E4C479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1.6</w:t>
            </w:r>
          </w:p>
        </w:tc>
      </w:tr>
      <w:tr w:rsidR="00CD6352" w:rsidRPr="004733B6" w14:paraId="7C85DEB2" w14:textId="77777777" w:rsidTr="00CD6352">
        <w:tc>
          <w:tcPr>
            <w:tcW w:w="0" w:type="auto"/>
          </w:tcPr>
          <w:p w14:paraId="18A4BA0A"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Total</w:t>
            </w:r>
          </w:p>
        </w:tc>
        <w:tc>
          <w:tcPr>
            <w:tcW w:w="0" w:type="auto"/>
          </w:tcPr>
          <w:p w14:paraId="0281DA78"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64</w:t>
            </w:r>
          </w:p>
        </w:tc>
        <w:tc>
          <w:tcPr>
            <w:tcW w:w="0" w:type="auto"/>
          </w:tcPr>
          <w:p w14:paraId="4AA6CFFC" w14:textId="77777777" w:rsidR="00CD6352" w:rsidRPr="004733B6" w:rsidRDefault="00CD6352" w:rsidP="00CD6352">
            <w:pPr>
              <w:jc w:val="both"/>
              <w:rPr>
                <w:rFonts w:ascii="Arial" w:hAnsi="Arial" w:cs="Arial"/>
                <w:sz w:val="16"/>
                <w:szCs w:val="16"/>
              </w:rPr>
            </w:pPr>
            <w:r w:rsidRPr="004733B6">
              <w:rPr>
                <w:rFonts w:ascii="Arial" w:hAnsi="Arial" w:cs="Arial"/>
                <w:sz w:val="16"/>
                <w:szCs w:val="16"/>
              </w:rPr>
              <w:t>100.0</w:t>
            </w:r>
          </w:p>
        </w:tc>
      </w:tr>
    </w:tbl>
    <w:p w14:paraId="36BD55F0" w14:textId="77777777" w:rsidR="00CD6352" w:rsidRPr="00EA7665" w:rsidRDefault="00CD6352" w:rsidP="00CD6352">
      <w:pPr>
        <w:spacing w:line="360" w:lineRule="auto"/>
        <w:jc w:val="both"/>
        <w:rPr>
          <w:rFonts w:ascii="Arial" w:hAnsi="Arial" w:cs="Arial"/>
        </w:rPr>
      </w:pPr>
    </w:p>
    <w:p w14:paraId="1896BB05" w14:textId="5A0BEFCF" w:rsidR="00CD6352" w:rsidRDefault="00CD6352" w:rsidP="00CD6352">
      <w:pPr>
        <w:spacing w:line="360" w:lineRule="auto"/>
        <w:jc w:val="both"/>
        <w:rPr>
          <w:rFonts w:ascii="Arial" w:hAnsi="Arial" w:cs="Arial"/>
        </w:rPr>
      </w:pPr>
      <w:r w:rsidRPr="005E59A7">
        <w:rPr>
          <w:rFonts w:ascii="Arial" w:hAnsi="Arial" w:cs="Arial"/>
        </w:rPr>
        <w:t>The result from the online questionnaire survey shows the varied career paths the respondents had</w:t>
      </w:r>
      <w:r w:rsidR="00B7427B">
        <w:rPr>
          <w:rFonts w:ascii="Arial" w:hAnsi="Arial" w:cs="Arial"/>
        </w:rPr>
        <w:t>,</w:t>
      </w:r>
      <w:r w:rsidRPr="005E59A7">
        <w:rPr>
          <w:rFonts w:ascii="Arial" w:hAnsi="Arial" w:cs="Arial"/>
        </w:rPr>
        <w:t xml:space="preserve"> and it also shows various sequences of advancement to higher-level positions. The responses show both lateral movements within and across industries. It also indicates vertical growth and progress to a higher-level position.  These findings </w:t>
      </w:r>
      <w:r w:rsidR="00E30D03" w:rsidRPr="005E59A7">
        <w:rPr>
          <w:rFonts w:ascii="Arial" w:hAnsi="Arial" w:cs="Arial"/>
        </w:rPr>
        <w:t>are in</w:t>
      </w:r>
      <w:r w:rsidRPr="005E59A7">
        <w:rPr>
          <w:rFonts w:ascii="Arial" w:hAnsi="Arial" w:cs="Arial"/>
        </w:rPr>
        <w:t xml:space="preserve"> line with existing literature on a career path (Stewart and Kuenzi, 2018;</w:t>
      </w:r>
      <w:r w:rsidR="00A87638">
        <w:rPr>
          <w:rFonts w:ascii="Arial" w:hAnsi="Arial" w:cs="Arial"/>
        </w:rPr>
        <w:t xml:space="preserve"> </w:t>
      </w:r>
      <w:r w:rsidRPr="005E59A7">
        <w:rPr>
          <w:rFonts w:ascii="Arial" w:hAnsi="Arial" w:cs="Arial"/>
        </w:rPr>
        <w:t>Tuononen et al</w:t>
      </w:r>
      <w:r w:rsidR="00B7427B">
        <w:rPr>
          <w:rFonts w:ascii="Arial" w:hAnsi="Arial" w:cs="Arial"/>
        </w:rPr>
        <w:t>.</w:t>
      </w:r>
      <w:r w:rsidRPr="005E59A7">
        <w:rPr>
          <w:rFonts w:ascii="Arial" w:hAnsi="Arial" w:cs="Arial"/>
        </w:rPr>
        <w:t>, 2018). It shows a combination of the theory of traditional career and human capital theory (Harris et al., 2015; Arthur &amp; Rousseau, 1996); and this is because it can be deduced from the findings that some of these managers kept rising in careers based on their abilities, skills</w:t>
      </w:r>
      <w:r w:rsidRPr="00EA7665">
        <w:rPr>
          <w:rFonts w:ascii="Arial" w:hAnsi="Arial" w:cs="Arial"/>
        </w:rPr>
        <w:t xml:space="preserve"> and other characteristics which are indicative of the human capital theory. However, those that climbed the corporate ladder</w:t>
      </w:r>
      <w:r>
        <w:rPr>
          <w:rFonts w:ascii="Arial" w:hAnsi="Arial" w:cs="Arial"/>
        </w:rPr>
        <w:t>,</w:t>
      </w:r>
      <w:r w:rsidRPr="00EA7665">
        <w:rPr>
          <w:rFonts w:ascii="Arial" w:hAnsi="Arial" w:cs="Arial"/>
        </w:rPr>
        <w:t xml:space="preserve"> despite being few in the findings, is indicative of the theory of traditional career (Carden &amp; Martin, 1998). </w:t>
      </w:r>
    </w:p>
    <w:p w14:paraId="034D4643" w14:textId="41EFB4BC" w:rsidR="00CD6352" w:rsidRPr="00EA7665" w:rsidRDefault="00CD6352" w:rsidP="00CD6352">
      <w:pPr>
        <w:pStyle w:val="Heading4"/>
        <w:rPr>
          <w:rFonts w:ascii="Arial" w:hAnsi="Arial" w:cs="Arial"/>
          <w:color w:val="auto"/>
        </w:rPr>
      </w:pPr>
      <w:r w:rsidRPr="00EA7665">
        <w:rPr>
          <w:rFonts w:ascii="Arial" w:hAnsi="Arial" w:cs="Arial"/>
          <w:color w:val="auto"/>
        </w:rPr>
        <w:t xml:space="preserve">Questionnaire survey discussion and analysis at the disaggregate </w:t>
      </w:r>
      <w:r w:rsidR="00E30D03" w:rsidRPr="00EA7665">
        <w:rPr>
          <w:rFonts w:ascii="Arial" w:hAnsi="Arial" w:cs="Arial"/>
          <w:color w:val="auto"/>
        </w:rPr>
        <w:t>level.</w:t>
      </w:r>
    </w:p>
    <w:p w14:paraId="468D2D77" w14:textId="77777777" w:rsidR="00CD6352" w:rsidRPr="00EA7665" w:rsidRDefault="00CD6352" w:rsidP="00CD6352"/>
    <w:p w14:paraId="76162867" w14:textId="2DBA46AC" w:rsidR="00E30D03" w:rsidRPr="007965F6" w:rsidRDefault="00E30D03" w:rsidP="00E30D03">
      <w:pPr>
        <w:pStyle w:val="Caption"/>
        <w:keepNext/>
        <w:rPr>
          <w:rFonts w:ascii="Arial" w:hAnsi="Arial" w:cs="Arial"/>
          <w:sz w:val="16"/>
          <w:szCs w:val="16"/>
        </w:rPr>
      </w:pPr>
      <w:bookmarkStart w:id="1380" w:name="_Toc78984025"/>
      <w:r w:rsidRPr="007965F6">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007965F6" w:rsidRPr="007965F6">
        <w:rPr>
          <w:rFonts w:ascii="Arial" w:hAnsi="Arial" w:cs="Arial"/>
          <w:sz w:val="16"/>
          <w:szCs w:val="16"/>
        </w:rPr>
        <w:t>: Management’s career path at the disaggregate level</w:t>
      </w:r>
      <w:bookmarkEnd w:id="1380"/>
    </w:p>
    <w:tbl>
      <w:tblPr>
        <w:tblStyle w:val="TableGrid"/>
        <w:tblW w:w="0" w:type="auto"/>
        <w:tblLook w:val="04A0" w:firstRow="1" w:lastRow="0" w:firstColumn="1" w:lastColumn="0" w:noHBand="0" w:noVBand="1"/>
      </w:tblPr>
      <w:tblGrid>
        <w:gridCol w:w="1549"/>
        <w:gridCol w:w="1549"/>
        <w:gridCol w:w="1579"/>
        <w:gridCol w:w="1141"/>
        <w:gridCol w:w="1071"/>
        <w:gridCol w:w="1066"/>
        <w:gridCol w:w="1061"/>
      </w:tblGrid>
      <w:tr w:rsidR="00CD6352" w:rsidRPr="00392085" w14:paraId="537BC394" w14:textId="77777777" w:rsidTr="00E30D03">
        <w:tc>
          <w:tcPr>
            <w:tcW w:w="1549" w:type="dxa"/>
          </w:tcPr>
          <w:p w14:paraId="34017192" w14:textId="77777777" w:rsidR="00CD6352" w:rsidRPr="00392085" w:rsidRDefault="00CD6352" w:rsidP="00CD6352">
            <w:pPr>
              <w:rPr>
                <w:rFonts w:ascii="Arial" w:hAnsi="Arial" w:cs="Arial"/>
                <w:sz w:val="16"/>
                <w:szCs w:val="16"/>
              </w:rPr>
            </w:pPr>
            <w:r w:rsidRPr="00392085">
              <w:rPr>
                <w:rFonts w:ascii="Arial" w:hAnsi="Arial" w:cs="Arial"/>
                <w:sz w:val="16"/>
                <w:szCs w:val="16"/>
              </w:rPr>
              <w:t>Country</w:t>
            </w:r>
          </w:p>
        </w:tc>
        <w:tc>
          <w:tcPr>
            <w:tcW w:w="1549" w:type="dxa"/>
          </w:tcPr>
          <w:p w14:paraId="366EBB71" w14:textId="77777777" w:rsidR="00CD6352" w:rsidRPr="00392085" w:rsidRDefault="00CD6352" w:rsidP="00CD6352">
            <w:pPr>
              <w:rPr>
                <w:rFonts w:ascii="Arial" w:hAnsi="Arial" w:cs="Arial"/>
                <w:sz w:val="16"/>
                <w:szCs w:val="16"/>
              </w:rPr>
            </w:pPr>
            <w:r w:rsidRPr="00392085">
              <w:rPr>
                <w:rFonts w:ascii="Arial" w:hAnsi="Arial" w:cs="Arial"/>
                <w:sz w:val="16"/>
                <w:szCs w:val="16"/>
              </w:rPr>
              <w:t>Germany</w:t>
            </w:r>
          </w:p>
        </w:tc>
        <w:tc>
          <w:tcPr>
            <w:tcW w:w="1579" w:type="dxa"/>
          </w:tcPr>
          <w:p w14:paraId="5119A9E1" w14:textId="77777777" w:rsidR="00CD6352" w:rsidRPr="00392085" w:rsidRDefault="00CD6352" w:rsidP="00CD6352">
            <w:pPr>
              <w:jc w:val="center"/>
              <w:rPr>
                <w:rFonts w:ascii="Arial" w:hAnsi="Arial" w:cs="Arial"/>
                <w:sz w:val="16"/>
                <w:szCs w:val="16"/>
              </w:rPr>
            </w:pPr>
            <w:r w:rsidRPr="00392085">
              <w:rPr>
                <w:rFonts w:ascii="Arial" w:hAnsi="Arial" w:cs="Arial"/>
                <w:sz w:val="16"/>
                <w:szCs w:val="16"/>
              </w:rPr>
              <w:t>UK</w:t>
            </w:r>
          </w:p>
        </w:tc>
        <w:tc>
          <w:tcPr>
            <w:tcW w:w="1141" w:type="dxa"/>
          </w:tcPr>
          <w:p w14:paraId="6096EFAF" w14:textId="77777777" w:rsidR="00CD6352" w:rsidRPr="00392085" w:rsidRDefault="00CD6352" w:rsidP="00CD6352">
            <w:pPr>
              <w:rPr>
                <w:rFonts w:ascii="Arial" w:hAnsi="Arial" w:cs="Arial"/>
                <w:sz w:val="16"/>
                <w:szCs w:val="16"/>
              </w:rPr>
            </w:pPr>
            <w:r w:rsidRPr="00392085">
              <w:rPr>
                <w:rFonts w:ascii="Arial" w:hAnsi="Arial" w:cs="Arial"/>
                <w:sz w:val="16"/>
                <w:szCs w:val="16"/>
              </w:rPr>
              <w:t>US</w:t>
            </w:r>
          </w:p>
        </w:tc>
        <w:tc>
          <w:tcPr>
            <w:tcW w:w="1071" w:type="dxa"/>
          </w:tcPr>
          <w:p w14:paraId="1975E957" w14:textId="77777777" w:rsidR="00CD6352" w:rsidRPr="00392085" w:rsidRDefault="00CD6352" w:rsidP="00CD6352">
            <w:pPr>
              <w:rPr>
                <w:rFonts w:ascii="Arial" w:hAnsi="Arial" w:cs="Arial"/>
                <w:sz w:val="16"/>
                <w:szCs w:val="16"/>
              </w:rPr>
            </w:pPr>
            <w:r w:rsidRPr="00392085">
              <w:rPr>
                <w:rFonts w:ascii="Arial" w:hAnsi="Arial" w:cs="Arial"/>
                <w:sz w:val="16"/>
                <w:szCs w:val="16"/>
              </w:rPr>
              <w:t xml:space="preserve">China </w:t>
            </w:r>
          </w:p>
        </w:tc>
        <w:tc>
          <w:tcPr>
            <w:tcW w:w="1066" w:type="dxa"/>
          </w:tcPr>
          <w:p w14:paraId="5B855D22" w14:textId="77777777" w:rsidR="00CD6352" w:rsidRPr="00392085" w:rsidRDefault="00CD6352" w:rsidP="00CD6352">
            <w:pPr>
              <w:rPr>
                <w:rFonts w:ascii="Arial" w:hAnsi="Arial" w:cs="Arial"/>
                <w:sz w:val="16"/>
                <w:szCs w:val="16"/>
              </w:rPr>
            </w:pPr>
            <w:r w:rsidRPr="00392085">
              <w:rPr>
                <w:rFonts w:ascii="Arial" w:hAnsi="Arial" w:cs="Arial"/>
                <w:sz w:val="16"/>
                <w:szCs w:val="16"/>
              </w:rPr>
              <w:t>Nigeria</w:t>
            </w:r>
          </w:p>
        </w:tc>
        <w:tc>
          <w:tcPr>
            <w:tcW w:w="1061" w:type="dxa"/>
          </w:tcPr>
          <w:p w14:paraId="2652D9D7" w14:textId="77777777" w:rsidR="00CD6352" w:rsidRPr="00392085" w:rsidRDefault="00CD6352" w:rsidP="00CD6352">
            <w:pPr>
              <w:rPr>
                <w:rFonts w:ascii="Arial" w:hAnsi="Arial" w:cs="Arial"/>
                <w:sz w:val="16"/>
                <w:szCs w:val="16"/>
              </w:rPr>
            </w:pPr>
            <w:r w:rsidRPr="00392085">
              <w:rPr>
                <w:rFonts w:ascii="Arial" w:hAnsi="Arial" w:cs="Arial"/>
                <w:sz w:val="16"/>
                <w:szCs w:val="16"/>
              </w:rPr>
              <w:t>South Africa</w:t>
            </w:r>
          </w:p>
        </w:tc>
      </w:tr>
      <w:tr w:rsidR="00CD6352" w:rsidRPr="00392085" w14:paraId="033A55D4" w14:textId="77777777" w:rsidTr="00E30D03">
        <w:tc>
          <w:tcPr>
            <w:tcW w:w="1549" w:type="dxa"/>
          </w:tcPr>
          <w:p w14:paraId="4E0AE0A1" w14:textId="77777777" w:rsidR="00CD6352" w:rsidRPr="00392085" w:rsidRDefault="00CD6352" w:rsidP="00CD6352">
            <w:pPr>
              <w:rPr>
                <w:rFonts w:ascii="Arial" w:hAnsi="Arial" w:cs="Arial"/>
                <w:sz w:val="16"/>
                <w:szCs w:val="16"/>
              </w:rPr>
            </w:pPr>
            <w:r w:rsidRPr="00392085">
              <w:rPr>
                <w:rFonts w:ascii="Arial" w:hAnsi="Arial" w:cs="Arial"/>
                <w:sz w:val="16"/>
                <w:szCs w:val="16"/>
              </w:rPr>
              <w:t>Number of respondents</w:t>
            </w:r>
          </w:p>
        </w:tc>
        <w:tc>
          <w:tcPr>
            <w:tcW w:w="1549" w:type="dxa"/>
          </w:tcPr>
          <w:p w14:paraId="12584E7E" w14:textId="77777777" w:rsidR="00CD6352" w:rsidRPr="00392085" w:rsidRDefault="00CD6352" w:rsidP="00CD6352">
            <w:pPr>
              <w:rPr>
                <w:rFonts w:ascii="Arial" w:hAnsi="Arial" w:cs="Arial"/>
                <w:sz w:val="16"/>
                <w:szCs w:val="16"/>
              </w:rPr>
            </w:pPr>
            <w:r w:rsidRPr="00392085">
              <w:rPr>
                <w:rFonts w:ascii="Arial" w:hAnsi="Arial" w:cs="Arial"/>
                <w:sz w:val="16"/>
                <w:szCs w:val="16"/>
              </w:rPr>
              <w:t>5</w:t>
            </w:r>
          </w:p>
        </w:tc>
        <w:tc>
          <w:tcPr>
            <w:tcW w:w="1579" w:type="dxa"/>
          </w:tcPr>
          <w:p w14:paraId="60C7EE9F" w14:textId="77777777" w:rsidR="00CD6352" w:rsidRPr="00392085" w:rsidRDefault="00CD6352" w:rsidP="00CD6352">
            <w:pPr>
              <w:jc w:val="center"/>
              <w:rPr>
                <w:rFonts w:ascii="Arial" w:hAnsi="Arial" w:cs="Arial"/>
                <w:sz w:val="16"/>
                <w:szCs w:val="16"/>
              </w:rPr>
            </w:pPr>
            <w:r w:rsidRPr="00392085">
              <w:rPr>
                <w:rFonts w:ascii="Arial" w:hAnsi="Arial" w:cs="Arial"/>
                <w:sz w:val="16"/>
                <w:szCs w:val="16"/>
              </w:rPr>
              <w:t>20</w:t>
            </w:r>
          </w:p>
        </w:tc>
        <w:tc>
          <w:tcPr>
            <w:tcW w:w="1141" w:type="dxa"/>
          </w:tcPr>
          <w:p w14:paraId="711A2219" w14:textId="77777777" w:rsidR="00CD6352" w:rsidRPr="00392085" w:rsidRDefault="00CD6352" w:rsidP="00CD6352">
            <w:pPr>
              <w:rPr>
                <w:rFonts w:ascii="Arial" w:hAnsi="Arial" w:cs="Arial"/>
                <w:sz w:val="16"/>
                <w:szCs w:val="16"/>
              </w:rPr>
            </w:pPr>
            <w:r w:rsidRPr="00392085">
              <w:rPr>
                <w:rFonts w:ascii="Arial" w:hAnsi="Arial" w:cs="Arial"/>
                <w:sz w:val="16"/>
                <w:szCs w:val="16"/>
              </w:rPr>
              <w:t>8</w:t>
            </w:r>
          </w:p>
        </w:tc>
        <w:tc>
          <w:tcPr>
            <w:tcW w:w="1071" w:type="dxa"/>
          </w:tcPr>
          <w:p w14:paraId="129B1F35" w14:textId="77777777" w:rsidR="00CD6352" w:rsidRPr="00392085" w:rsidRDefault="00CD6352" w:rsidP="00CD6352">
            <w:pPr>
              <w:rPr>
                <w:rFonts w:ascii="Arial" w:hAnsi="Arial" w:cs="Arial"/>
                <w:sz w:val="16"/>
                <w:szCs w:val="16"/>
              </w:rPr>
            </w:pPr>
            <w:r w:rsidRPr="00392085">
              <w:rPr>
                <w:rFonts w:ascii="Arial" w:hAnsi="Arial" w:cs="Arial"/>
                <w:sz w:val="16"/>
                <w:szCs w:val="16"/>
              </w:rPr>
              <w:t>11</w:t>
            </w:r>
          </w:p>
        </w:tc>
        <w:tc>
          <w:tcPr>
            <w:tcW w:w="1066" w:type="dxa"/>
          </w:tcPr>
          <w:p w14:paraId="6408ED1F" w14:textId="77777777" w:rsidR="00CD6352" w:rsidRPr="00392085" w:rsidRDefault="00CD6352" w:rsidP="00CD6352">
            <w:pPr>
              <w:rPr>
                <w:rFonts w:ascii="Arial" w:hAnsi="Arial" w:cs="Arial"/>
                <w:sz w:val="16"/>
                <w:szCs w:val="16"/>
              </w:rPr>
            </w:pPr>
            <w:r w:rsidRPr="00392085">
              <w:rPr>
                <w:rFonts w:ascii="Arial" w:hAnsi="Arial" w:cs="Arial"/>
                <w:sz w:val="16"/>
                <w:szCs w:val="16"/>
              </w:rPr>
              <w:t>26</w:t>
            </w:r>
          </w:p>
        </w:tc>
        <w:tc>
          <w:tcPr>
            <w:tcW w:w="1061" w:type="dxa"/>
          </w:tcPr>
          <w:p w14:paraId="457DB94B" w14:textId="77777777" w:rsidR="00CD6352" w:rsidRPr="00392085" w:rsidRDefault="00CD6352" w:rsidP="00CD6352">
            <w:pPr>
              <w:rPr>
                <w:rFonts w:ascii="Arial" w:hAnsi="Arial" w:cs="Arial"/>
                <w:sz w:val="16"/>
                <w:szCs w:val="16"/>
              </w:rPr>
            </w:pPr>
            <w:r w:rsidRPr="00392085">
              <w:rPr>
                <w:rFonts w:ascii="Arial" w:hAnsi="Arial" w:cs="Arial"/>
                <w:sz w:val="16"/>
                <w:szCs w:val="16"/>
              </w:rPr>
              <w:t>11</w:t>
            </w:r>
          </w:p>
        </w:tc>
      </w:tr>
      <w:tr w:rsidR="00CD6352" w:rsidRPr="00392085" w14:paraId="4ED37C16" w14:textId="77777777" w:rsidTr="00E30D03">
        <w:tc>
          <w:tcPr>
            <w:tcW w:w="1549" w:type="dxa"/>
          </w:tcPr>
          <w:p w14:paraId="6FFB68D9" w14:textId="77777777" w:rsidR="00CD6352" w:rsidRPr="00392085" w:rsidRDefault="00CD6352" w:rsidP="00CD6352">
            <w:pPr>
              <w:rPr>
                <w:rFonts w:ascii="Arial" w:hAnsi="Arial" w:cs="Arial"/>
                <w:sz w:val="16"/>
                <w:szCs w:val="16"/>
              </w:rPr>
            </w:pPr>
            <w:r w:rsidRPr="00392085">
              <w:rPr>
                <w:rFonts w:ascii="Arial" w:hAnsi="Arial" w:cs="Arial"/>
                <w:sz w:val="16"/>
                <w:szCs w:val="16"/>
              </w:rPr>
              <w:t>Number of years worked in the real estate sector (range)</w:t>
            </w:r>
          </w:p>
        </w:tc>
        <w:tc>
          <w:tcPr>
            <w:tcW w:w="1549" w:type="dxa"/>
          </w:tcPr>
          <w:p w14:paraId="1AF24DF0" w14:textId="77777777" w:rsidR="00CD6352" w:rsidRPr="00392085" w:rsidRDefault="00CD6352" w:rsidP="00CD6352">
            <w:pPr>
              <w:rPr>
                <w:rFonts w:ascii="Arial" w:hAnsi="Arial" w:cs="Arial"/>
                <w:sz w:val="16"/>
                <w:szCs w:val="16"/>
              </w:rPr>
            </w:pPr>
            <w:r w:rsidRPr="00392085">
              <w:rPr>
                <w:rFonts w:ascii="Arial" w:hAnsi="Arial" w:cs="Arial"/>
                <w:sz w:val="16"/>
                <w:szCs w:val="16"/>
              </w:rPr>
              <w:t>(1-5)25%</w:t>
            </w:r>
          </w:p>
          <w:p w14:paraId="5CA4B964" w14:textId="77777777" w:rsidR="00CD6352" w:rsidRPr="00392085" w:rsidRDefault="00CD6352" w:rsidP="00CD6352">
            <w:pPr>
              <w:rPr>
                <w:rFonts w:ascii="Arial" w:hAnsi="Arial" w:cs="Arial"/>
                <w:sz w:val="16"/>
                <w:szCs w:val="16"/>
              </w:rPr>
            </w:pPr>
            <w:r w:rsidRPr="00392085">
              <w:rPr>
                <w:rFonts w:ascii="Arial" w:hAnsi="Arial" w:cs="Arial"/>
                <w:sz w:val="16"/>
                <w:szCs w:val="16"/>
              </w:rPr>
              <w:t>(6-10)25%</w:t>
            </w:r>
          </w:p>
          <w:p w14:paraId="36691CED" w14:textId="77777777" w:rsidR="00CD6352" w:rsidRPr="00392085" w:rsidRDefault="00CD6352" w:rsidP="00CD6352">
            <w:pPr>
              <w:rPr>
                <w:rFonts w:ascii="Arial" w:hAnsi="Arial" w:cs="Arial"/>
                <w:sz w:val="16"/>
                <w:szCs w:val="16"/>
              </w:rPr>
            </w:pPr>
            <w:r w:rsidRPr="00392085">
              <w:rPr>
                <w:rFonts w:ascii="Arial" w:hAnsi="Arial" w:cs="Arial"/>
                <w:sz w:val="16"/>
                <w:szCs w:val="16"/>
              </w:rPr>
              <w:t>(11-15)25%</w:t>
            </w:r>
          </w:p>
          <w:p w14:paraId="798783A4" w14:textId="77777777" w:rsidR="00CD6352" w:rsidRPr="00392085" w:rsidRDefault="00CD6352" w:rsidP="00CD6352">
            <w:pPr>
              <w:rPr>
                <w:rFonts w:ascii="Arial" w:hAnsi="Arial" w:cs="Arial"/>
                <w:sz w:val="16"/>
                <w:szCs w:val="16"/>
              </w:rPr>
            </w:pPr>
            <w:r w:rsidRPr="00392085">
              <w:rPr>
                <w:rFonts w:ascii="Arial" w:hAnsi="Arial" w:cs="Arial"/>
                <w:sz w:val="16"/>
                <w:szCs w:val="16"/>
              </w:rPr>
              <w:t>(16-20)0%</w:t>
            </w:r>
          </w:p>
          <w:p w14:paraId="5ED218B9" w14:textId="77777777" w:rsidR="00CD6352" w:rsidRPr="00392085" w:rsidRDefault="00CD6352" w:rsidP="00CD6352">
            <w:pPr>
              <w:rPr>
                <w:rFonts w:ascii="Arial" w:hAnsi="Arial" w:cs="Arial"/>
                <w:sz w:val="16"/>
                <w:szCs w:val="16"/>
              </w:rPr>
            </w:pPr>
            <w:r w:rsidRPr="00392085">
              <w:rPr>
                <w:rFonts w:ascii="Arial" w:hAnsi="Arial" w:cs="Arial"/>
                <w:sz w:val="16"/>
                <w:szCs w:val="16"/>
              </w:rPr>
              <w:t>(over 20yrs) 25%</w:t>
            </w:r>
          </w:p>
        </w:tc>
        <w:tc>
          <w:tcPr>
            <w:tcW w:w="1579" w:type="dxa"/>
          </w:tcPr>
          <w:p w14:paraId="3D0B4BA5" w14:textId="77777777" w:rsidR="00CD6352" w:rsidRPr="00392085" w:rsidRDefault="00CD6352" w:rsidP="00CD6352">
            <w:pPr>
              <w:rPr>
                <w:rFonts w:ascii="Arial" w:hAnsi="Arial" w:cs="Arial"/>
                <w:sz w:val="16"/>
                <w:szCs w:val="16"/>
              </w:rPr>
            </w:pPr>
            <w:r w:rsidRPr="00392085">
              <w:rPr>
                <w:rFonts w:ascii="Arial" w:hAnsi="Arial" w:cs="Arial"/>
                <w:sz w:val="16"/>
                <w:szCs w:val="16"/>
              </w:rPr>
              <w:t>(1-5yrs)37.5%</w:t>
            </w:r>
          </w:p>
          <w:p w14:paraId="7561DBFE" w14:textId="77777777" w:rsidR="00CD6352" w:rsidRPr="00392085" w:rsidRDefault="00CD6352" w:rsidP="00CD6352">
            <w:pPr>
              <w:rPr>
                <w:rFonts w:ascii="Arial" w:hAnsi="Arial" w:cs="Arial"/>
                <w:sz w:val="16"/>
                <w:szCs w:val="16"/>
              </w:rPr>
            </w:pPr>
            <w:r w:rsidRPr="00392085">
              <w:rPr>
                <w:rFonts w:ascii="Arial" w:hAnsi="Arial" w:cs="Arial"/>
                <w:sz w:val="16"/>
                <w:szCs w:val="16"/>
              </w:rPr>
              <w:t>(6-10yrs)31.3%</w:t>
            </w:r>
          </w:p>
          <w:p w14:paraId="4641A46C" w14:textId="77777777" w:rsidR="00CD6352" w:rsidRPr="00392085" w:rsidRDefault="00CD6352" w:rsidP="00CD6352">
            <w:pPr>
              <w:rPr>
                <w:rFonts w:ascii="Arial" w:hAnsi="Arial" w:cs="Arial"/>
                <w:sz w:val="16"/>
                <w:szCs w:val="16"/>
              </w:rPr>
            </w:pPr>
            <w:r w:rsidRPr="00392085">
              <w:rPr>
                <w:rFonts w:ascii="Arial" w:hAnsi="Arial" w:cs="Arial"/>
                <w:sz w:val="16"/>
                <w:szCs w:val="16"/>
              </w:rPr>
              <w:t>(11-15yrs) 6.3%</w:t>
            </w:r>
          </w:p>
          <w:p w14:paraId="5F4D9488" w14:textId="77777777" w:rsidR="00CD6352" w:rsidRPr="00392085" w:rsidRDefault="00CD6352" w:rsidP="00CD6352">
            <w:pPr>
              <w:rPr>
                <w:rFonts w:ascii="Arial" w:hAnsi="Arial" w:cs="Arial"/>
                <w:sz w:val="16"/>
                <w:szCs w:val="16"/>
              </w:rPr>
            </w:pPr>
            <w:r w:rsidRPr="00392085">
              <w:rPr>
                <w:rFonts w:ascii="Arial" w:hAnsi="Arial" w:cs="Arial"/>
                <w:sz w:val="16"/>
                <w:szCs w:val="16"/>
              </w:rPr>
              <w:t>(16-20yrs ) 12.5%</w:t>
            </w:r>
          </w:p>
          <w:p w14:paraId="3E480251" w14:textId="77777777" w:rsidR="00CD6352" w:rsidRPr="00392085" w:rsidRDefault="00CD6352" w:rsidP="00CD6352">
            <w:pPr>
              <w:rPr>
                <w:rFonts w:ascii="Arial" w:hAnsi="Arial" w:cs="Arial"/>
                <w:sz w:val="16"/>
                <w:szCs w:val="16"/>
              </w:rPr>
            </w:pPr>
            <w:r w:rsidRPr="00392085">
              <w:rPr>
                <w:rFonts w:ascii="Arial" w:hAnsi="Arial" w:cs="Arial"/>
                <w:sz w:val="16"/>
                <w:szCs w:val="16"/>
              </w:rPr>
              <w:t>Over (20yrs)6.3%</w:t>
            </w:r>
          </w:p>
          <w:p w14:paraId="6B8DC041" w14:textId="77777777" w:rsidR="00CD6352" w:rsidRPr="00392085" w:rsidRDefault="00CD6352" w:rsidP="00CD6352">
            <w:pPr>
              <w:ind w:left="141"/>
              <w:rPr>
                <w:rFonts w:ascii="Arial" w:hAnsi="Arial" w:cs="Arial"/>
                <w:sz w:val="16"/>
                <w:szCs w:val="16"/>
              </w:rPr>
            </w:pPr>
          </w:p>
        </w:tc>
        <w:tc>
          <w:tcPr>
            <w:tcW w:w="1141" w:type="dxa"/>
          </w:tcPr>
          <w:p w14:paraId="38156DDB" w14:textId="77777777" w:rsidR="00CD6352" w:rsidRPr="00392085" w:rsidRDefault="00CD6352" w:rsidP="00CD6352">
            <w:pPr>
              <w:rPr>
                <w:rFonts w:ascii="Arial" w:hAnsi="Arial" w:cs="Arial"/>
                <w:sz w:val="16"/>
                <w:szCs w:val="16"/>
              </w:rPr>
            </w:pPr>
            <w:r w:rsidRPr="00392085">
              <w:rPr>
                <w:rFonts w:ascii="Arial" w:hAnsi="Arial" w:cs="Arial"/>
                <w:sz w:val="16"/>
                <w:szCs w:val="16"/>
              </w:rPr>
              <w:t>(1-5rs )25%</w:t>
            </w:r>
          </w:p>
          <w:p w14:paraId="2924484C" w14:textId="77777777" w:rsidR="00CD6352" w:rsidRPr="00392085" w:rsidRDefault="00CD6352" w:rsidP="00CD6352">
            <w:pPr>
              <w:rPr>
                <w:rFonts w:ascii="Arial" w:hAnsi="Arial" w:cs="Arial"/>
                <w:sz w:val="16"/>
                <w:szCs w:val="16"/>
              </w:rPr>
            </w:pPr>
            <w:r w:rsidRPr="00392085">
              <w:rPr>
                <w:rFonts w:ascii="Arial" w:hAnsi="Arial" w:cs="Arial"/>
                <w:sz w:val="16"/>
                <w:szCs w:val="16"/>
              </w:rPr>
              <w:t>(6-10yrs) 37.5%</w:t>
            </w:r>
          </w:p>
          <w:p w14:paraId="6FF64800" w14:textId="77777777" w:rsidR="00CD6352" w:rsidRPr="00392085" w:rsidRDefault="00CD6352" w:rsidP="00CD6352">
            <w:pPr>
              <w:rPr>
                <w:rFonts w:ascii="Arial" w:hAnsi="Arial" w:cs="Arial"/>
                <w:sz w:val="16"/>
                <w:szCs w:val="16"/>
              </w:rPr>
            </w:pPr>
            <w:r w:rsidRPr="00392085">
              <w:rPr>
                <w:rFonts w:ascii="Arial" w:hAnsi="Arial" w:cs="Arial"/>
                <w:sz w:val="16"/>
                <w:szCs w:val="16"/>
              </w:rPr>
              <w:t>(11-15yrs)12.5%</w:t>
            </w:r>
          </w:p>
          <w:p w14:paraId="56351146" w14:textId="77777777" w:rsidR="00CD6352" w:rsidRPr="00392085" w:rsidRDefault="00CD6352" w:rsidP="00CD6352">
            <w:pPr>
              <w:rPr>
                <w:rFonts w:ascii="Arial" w:hAnsi="Arial" w:cs="Arial"/>
                <w:sz w:val="16"/>
                <w:szCs w:val="16"/>
              </w:rPr>
            </w:pPr>
            <w:r w:rsidRPr="00392085">
              <w:rPr>
                <w:rFonts w:ascii="Arial" w:hAnsi="Arial" w:cs="Arial"/>
                <w:sz w:val="16"/>
                <w:szCs w:val="16"/>
              </w:rPr>
              <w:t>(16-20yrs)0%</w:t>
            </w:r>
          </w:p>
          <w:p w14:paraId="4CE48C36" w14:textId="77777777" w:rsidR="00CD6352" w:rsidRPr="00392085" w:rsidRDefault="00CD6352" w:rsidP="00CD6352">
            <w:pPr>
              <w:rPr>
                <w:rFonts w:ascii="Arial" w:hAnsi="Arial" w:cs="Arial"/>
                <w:sz w:val="16"/>
                <w:szCs w:val="16"/>
              </w:rPr>
            </w:pPr>
            <w:r w:rsidRPr="00392085">
              <w:rPr>
                <w:rFonts w:ascii="Arial" w:hAnsi="Arial" w:cs="Arial"/>
                <w:sz w:val="16"/>
                <w:szCs w:val="16"/>
              </w:rPr>
              <w:t>(Over 20yrs)25%</w:t>
            </w:r>
          </w:p>
        </w:tc>
        <w:tc>
          <w:tcPr>
            <w:tcW w:w="1071" w:type="dxa"/>
          </w:tcPr>
          <w:p w14:paraId="76E3CF07" w14:textId="77777777" w:rsidR="00CD6352" w:rsidRPr="00392085" w:rsidRDefault="00CD6352" w:rsidP="00CD6352">
            <w:pPr>
              <w:rPr>
                <w:rFonts w:ascii="Arial" w:hAnsi="Arial" w:cs="Arial"/>
                <w:sz w:val="16"/>
                <w:szCs w:val="16"/>
              </w:rPr>
            </w:pPr>
            <w:r w:rsidRPr="00392085">
              <w:rPr>
                <w:rFonts w:ascii="Arial" w:hAnsi="Arial" w:cs="Arial"/>
                <w:sz w:val="16"/>
                <w:szCs w:val="16"/>
              </w:rPr>
              <w:t>(1-5)36.4%</w:t>
            </w:r>
          </w:p>
          <w:p w14:paraId="1C8A3076" w14:textId="77777777" w:rsidR="00CD6352" w:rsidRPr="00392085" w:rsidRDefault="00CD6352" w:rsidP="00CD6352">
            <w:pPr>
              <w:rPr>
                <w:rFonts w:ascii="Arial" w:hAnsi="Arial" w:cs="Arial"/>
                <w:sz w:val="16"/>
                <w:szCs w:val="16"/>
              </w:rPr>
            </w:pPr>
            <w:r w:rsidRPr="00392085">
              <w:rPr>
                <w:rFonts w:ascii="Arial" w:hAnsi="Arial" w:cs="Arial"/>
                <w:sz w:val="16"/>
                <w:szCs w:val="16"/>
              </w:rPr>
              <w:t>(6-10)</w:t>
            </w:r>
          </w:p>
          <w:p w14:paraId="7C71EE83" w14:textId="77777777" w:rsidR="00CD6352" w:rsidRPr="00392085" w:rsidRDefault="00CD6352" w:rsidP="00CD6352">
            <w:pPr>
              <w:rPr>
                <w:rFonts w:ascii="Arial" w:hAnsi="Arial" w:cs="Arial"/>
                <w:sz w:val="16"/>
                <w:szCs w:val="16"/>
              </w:rPr>
            </w:pPr>
            <w:r w:rsidRPr="00392085">
              <w:rPr>
                <w:rFonts w:ascii="Arial" w:hAnsi="Arial" w:cs="Arial"/>
                <w:sz w:val="16"/>
                <w:szCs w:val="16"/>
              </w:rPr>
              <w:t>36.4%</w:t>
            </w:r>
          </w:p>
          <w:p w14:paraId="39D81B04" w14:textId="77777777" w:rsidR="00CD6352" w:rsidRPr="00392085" w:rsidRDefault="00CD6352" w:rsidP="00CD6352">
            <w:pPr>
              <w:rPr>
                <w:rFonts w:ascii="Arial" w:hAnsi="Arial" w:cs="Arial"/>
                <w:sz w:val="16"/>
                <w:szCs w:val="16"/>
              </w:rPr>
            </w:pPr>
            <w:r w:rsidRPr="00392085">
              <w:rPr>
                <w:rFonts w:ascii="Arial" w:hAnsi="Arial" w:cs="Arial"/>
                <w:sz w:val="16"/>
                <w:szCs w:val="16"/>
              </w:rPr>
              <w:t>(11-15)</w:t>
            </w:r>
          </w:p>
          <w:p w14:paraId="32913302" w14:textId="77777777" w:rsidR="00CD6352" w:rsidRPr="00392085" w:rsidRDefault="00CD6352" w:rsidP="00CD6352">
            <w:pPr>
              <w:rPr>
                <w:rFonts w:ascii="Arial" w:hAnsi="Arial" w:cs="Arial"/>
                <w:sz w:val="16"/>
                <w:szCs w:val="16"/>
              </w:rPr>
            </w:pPr>
            <w:r w:rsidRPr="00392085">
              <w:rPr>
                <w:rFonts w:ascii="Arial" w:hAnsi="Arial" w:cs="Arial"/>
                <w:sz w:val="16"/>
                <w:szCs w:val="16"/>
              </w:rPr>
              <w:t>9.1%</w:t>
            </w:r>
          </w:p>
          <w:p w14:paraId="075EA34E" w14:textId="77777777" w:rsidR="00CD6352" w:rsidRPr="00392085" w:rsidRDefault="00CD6352" w:rsidP="00CD6352">
            <w:pPr>
              <w:rPr>
                <w:rFonts w:ascii="Arial" w:hAnsi="Arial" w:cs="Arial"/>
                <w:sz w:val="16"/>
                <w:szCs w:val="16"/>
              </w:rPr>
            </w:pPr>
            <w:r w:rsidRPr="00392085">
              <w:rPr>
                <w:rFonts w:ascii="Arial" w:hAnsi="Arial" w:cs="Arial"/>
                <w:sz w:val="16"/>
                <w:szCs w:val="16"/>
              </w:rPr>
              <w:t>(16-20)</w:t>
            </w:r>
          </w:p>
          <w:p w14:paraId="54AB9710" w14:textId="77777777" w:rsidR="00CD6352" w:rsidRPr="00392085" w:rsidRDefault="00CD6352" w:rsidP="00CD6352">
            <w:pPr>
              <w:rPr>
                <w:rFonts w:ascii="Arial" w:hAnsi="Arial" w:cs="Arial"/>
                <w:sz w:val="16"/>
                <w:szCs w:val="16"/>
              </w:rPr>
            </w:pPr>
            <w:r w:rsidRPr="00392085">
              <w:rPr>
                <w:rFonts w:ascii="Arial" w:hAnsi="Arial" w:cs="Arial"/>
                <w:sz w:val="16"/>
                <w:szCs w:val="16"/>
              </w:rPr>
              <w:t>18.2%</w:t>
            </w:r>
          </w:p>
          <w:p w14:paraId="55CF35B3" w14:textId="77777777" w:rsidR="00CD6352" w:rsidRPr="00392085" w:rsidRDefault="00CD6352" w:rsidP="00CD6352">
            <w:pPr>
              <w:rPr>
                <w:rFonts w:ascii="Arial" w:hAnsi="Arial" w:cs="Arial"/>
                <w:sz w:val="16"/>
                <w:szCs w:val="16"/>
              </w:rPr>
            </w:pPr>
            <w:r w:rsidRPr="00392085">
              <w:rPr>
                <w:rFonts w:ascii="Arial" w:hAnsi="Arial" w:cs="Arial"/>
                <w:sz w:val="16"/>
                <w:szCs w:val="16"/>
              </w:rPr>
              <w:lastRenderedPageBreak/>
              <w:t>(over 20yrs)0.0%</w:t>
            </w:r>
          </w:p>
        </w:tc>
        <w:tc>
          <w:tcPr>
            <w:tcW w:w="1066" w:type="dxa"/>
          </w:tcPr>
          <w:p w14:paraId="094BFBA8" w14:textId="77777777" w:rsidR="00CD6352" w:rsidRPr="00392085" w:rsidRDefault="00CD6352" w:rsidP="00CD6352">
            <w:pPr>
              <w:rPr>
                <w:rFonts w:ascii="Arial" w:hAnsi="Arial" w:cs="Arial"/>
                <w:sz w:val="16"/>
                <w:szCs w:val="16"/>
              </w:rPr>
            </w:pPr>
            <w:r w:rsidRPr="00392085">
              <w:rPr>
                <w:rFonts w:ascii="Arial" w:hAnsi="Arial" w:cs="Arial"/>
                <w:sz w:val="16"/>
                <w:szCs w:val="16"/>
              </w:rPr>
              <w:lastRenderedPageBreak/>
              <w:t>(1-5)36%</w:t>
            </w:r>
          </w:p>
          <w:p w14:paraId="43021786" w14:textId="77777777" w:rsidR="00CD6352" w:rsidRPr="00392085" w:rsidRDefault="00CD6352" w:rsidP="00CD6352">
            <w:pPr>
              <w:rPr>
                <w:rFonts w:ascii="Arial" w:hAnsi="Arial" w:cs="Arial"/>
                <w:sz w:val="16"/>
                <w:szCs w:val="16"/>
              </w:rPr>
            </w:pPr>
            <w:r w:rsidRPr="00392085">
              <w:rPr>
                <w:rFonts w:ascii="Arial" w:hAnsi="Arial" w:cs="Arial"/>
                <w:sz w:val="16"/>
                <w:szCs w:val="16"/>
              </w:rPr>
              <w:t>(6-10)28%</w:t>
            </w:r>
          </w:p>
          <w:p w14:paraId="424D5210" w14:textId="77777777" w:rsidR="00CD6352" w:rsidRPr="00392085" w:rsidRDefault="00CD6352" w:rsidP="00CD6352">
            <w:pPr>
              <w:rPr>
                <w:rFonts w:ascii="Arial" w:hAnsi="Arial" w:cs="Arial"/>
                <w:sz w:val="16"/>
                <w:szCs w:val="16"/>
              </w:rPr>
            </w:pPr>
            <w:r w:rsidRPr="00392085">
              <w:rPr>
                <w:rFonts w:ascii="Arial" w:hAnsi="Arial" w:cs="Arial"/>
                <w:sz w:val="16"/>
                <w:szCs w:val="16"/>
              </w:rPr>
              <w:t>(11-15)16%</w:t>
            </w:r>
          </w:p>
          <w:p w14:paraId="2B51F63F" w14:textId="77777777" w:rsidR="00CD6352" w:rsidRPr="00392085" w:rsidRDefault="00CD6352" w:rsidP="00CD6352">
            <w:pPr>
              <w:rPr>
                <w:rFonts w:ascii="Arial" w:hAnsi="Arial" w:cs="Arial"/>
                <w:sz w:val="16"/>
                <w:szCs w:val="16"/>
              </w:rPr>
            </w:pPr>
            <w:r w:rsidRPr="00392085">
              <w:rPr>
                <w:rFonts w:ascii="Arial" w:hAnsi="Arial" w:cs="Arial"/>
                <w:sz w:val="16"/>
                <w:szCs w:val="16"/>
              </w:rPr>
              <w:t>(16-20)12%</w:t>
            </w:r>
          </w:p>
          <w:p w14:paraId="02609ED7" w14:textId="77777777" w:rsidR="00CD6352" w:rsidRPr="00392085" w:rsidRDefault="00CD6352" w:rsidP="00CD6352">
            <w:pPr>
              <w:rPr>
                <w:rFonts w:ascii="Arial" w:hAnsi="Arial" w:cs="Arial"/>
                <w:sz w:val="16"/>
                <w:szCs w:val="16"/>
              </w:rPr>
            </w:pPr>
            <w:r w:rsidRPr="00392085">
              <w:rPr>
                <w:rFonts w:ascii="Arial" w:hAnsi="Arial" w:cs="Arial"/>
                <w:sz w:val="16"/>
                <w:szCs w:val="16"/>
              </w:rPr>
              <w:t>(over 20yrs)4.0%</w:t>
            </w:r>
          </w:p>
        </w:tc>
        <w:tc>
          <w:tcPr>
            <w:tcW w:w="1061" w:type="dxa"/>
          </w:tcPr>
          <w:p w14:paraId="4FBA4A50" w14:textId="77777777" w:rsidR="00CD6352" w:rsidRPr="00392085" w:rsidRDefault="00CD6352" w:rsidP="00CD6352">
            <w:pPr>
              <w:rPr>
                <w:rFonts w:ascii="Arial" w:hAnsi="Arial" w:cs="Arial"/>
                <w:sz w:val="16"/>
                <w:szCs w:val="16"/>
              </w:rPr>
            </w:pPr>
            <w:r w:rsidRPr="00392085">
              <w:rPr>
                <w:rFonts w:ascii="Arial" w:hAnsi="Arial" w:cs="Arial"/>
                <w:sz w:val="16"/>
                <w:szCs w:val="16"/>
              </w:rPr>
              <w:t>(1-5)20%</w:t>
            </w:r>
          </w:p>
          <w:p w14:paraId="38C1BF59" w14:textId="77777777" w:rsidR="00CD6352" w:rsidRPr="00392085" w:rsidRDefault="00CD6352" w:rsidP="00CD6352">
            <w:pPr>
              <w:rPr>
                <w:rFonts w:ascii="Arial" w:hAnsi="Arial" w:cs="Arial"/>
                <w:sz w:val="16"/>
                <w:szCs w:val="16"/>
              </w:rPr>
            </w:pPr>
            <w:r w:rsidRPr="00392085">
              <w:rPr>
                <w:rFonts w:ascii="Arial" w:hAnsi="Arial" w:cs="Arial"/>
                <w:sz w:val="16"/>
                <w:szCs w:val="16"/>
              </w:rPr>
              <w:t>(6-10)30%</w:t>
            </w:r>
          </w:p>
          <w:p w14:paraId="7BD69378" w14:textId="77777777" w:rsidR="00CD6352" w:rsidRPr="00392085" w:rsidRDefault="00CD6352" w:rsidP="00CD6352">
            <w:pPr>
              <w:rPr>
                <w:rFonts w:ascii="Arial" w:hAnsi="Arial" w:cs="Arial"/>
                <w:sz w:val="16"/>
                <w:szCs w:val="16"/>
              </w:rPr>
            </w:pPr>
            <w:r w:rsidRPr="00392085">
              <w:rPr>
                <w:rFonts w:ascii="Arial" w:hAnsi="Arial" w:cs="Arial"/>
                <w:sz w:val="16"/>
                <w:szCs w:val="16"/>
              </w:rPr>
              <w:t>(11-15)20%</w:t>
            </w:r>
          </w:p>
          <w:p w14:paraId="71E45023" w14:textId="77777777" w:rsidR="00CD6352" w:rsidRPr="00392085" w:rsidRDefault="00CD6352" w:rsidP="00CD6352">
            <w:pPr>
              <w:rPr>
                <w:rFonts w:ascii="Arial" w:hAnsi="Arial" w:cs="Arial"/>
                <w:sz w:val="16"/>
                <w:szCs w:val="16"/>
              </w:rPr>
            </w:pPr>
            <w:r w:rsidRPr="00392085">
              <w:rPr>
                <w:rFonts w:ascii="Arial" w:hAnsi="Arial" w:cs="Arial"/>
                <w:sz w:val="16"/>
                <w:szCs w:val="16"/>
              </w:rPr>
              <w:t>(16-20)20%</w:t>
            </w:r>
          </w:p>
          <w:p w14:paraId="5EE33E22" w14:textId="77777777" w:rsidR="00CD6352" w:rsidRPr="00392085" w:rsidRDefault="00CD6352" w:rsidP="00CD6352">
            <w:pPr>
              <w:rPr>
                <w:rFonts w:ascii="Arial" w:hAnsi="Arial" w:cs="Arial"/>
                <w:sz w:val="16"/>
                <w:szCs w:val="16"/>
              </w:rPr>
            </w:pPr>
            <w:r w:rsidRPr="00392085">
              <w:rPr>
                <w:rFonts w:ascii="Arial" w:hAnsi="Arial" w:cs="Arial"/>
                <w:sz w:val="16"/>
                <w:szCs w:val="16"/>
              </w:rPr>
              <w:t>(over 20)10%</w:t>
            </w:r>
          </w:p>
        </w:tc>
      </w:tr>
      <w:tr w:rsidR="00CD6352" w:rsidRPr="00392085" w14:paraId="195D409A" w14:textId="77777777" w:rsidTr="00E30D03">
        <w:tc>
          <w:tcPr>
            <w:tcW w:w="1549" w:type="dxa"/>
          </w:tcPr>
          <w:p w14:paraId="224C3AC0" w14:textId="77777777" w:rsidR="00CD6352" w:rsidRPr="00392085" w:rsidRDefault="00CD6352" w:rsidP="00CD6352">
            <w:pPr>
              <w:rPr>
                <w:rFonts w:ascii="Arial" w:hAnsi="Arial" w:cs="Arial"/>
                <w:sz w:val="16"/>
                <w:szCs w:val="16"/>
              </w:rPr>
            </w:pPr>
            <w:r w:rsidRPr="00392085">
              <w:rPr>
                <w:rFonts w:ascii="Arial" w:hAnsi="Arial" w:cs="Arial"/>
                <w:sz w:val="16"/>
                <w:szCs w:val="16"/>
              </w:rPr>
              <w:t>Levels of management</w:t>
            </w:r>
          </w:p>
        </w:tc>
        <w:tc>
          <w:tcPr>
            <w:tcW w:w="1549" w:type="dxa"/>
          </w:tcPr>
          <w:p w14:paraId="61769AA9" w14:textId="77777777" w:rsidR="00CD6352" w:rsidRPr="00392085" w:rsidRDefault="00CD6352" w:rsidP="00CD6352">
            <w:pPr>
              <w:rPr>
                <w:rFonts w:ascii="Arial" w:hAnsi="Arial" w:cs="Arial"/>
                <w:sz w:val="16"/>
                <w:szCs w:val="16"/>
              </w:rPr>
            </w:pPr>
            <w:r w:rsidRPr="00392085">
              <w:rPr>
                <w:rFonts w:ascii="Arial" w:hAnsi="Arial" w:cs="Arial"/>
                <w:sz w:val="16"/>
                <w:szCs w:val="16"/>
              </w:rPr>
              <w:t>75% upper management &amp; 25% middle management</w:t>
            </w:r>
          </w:p>
        </w:tc>
        <w:tc>
          <w:tcPr>
            <w:tcW w:w="1579" w:type="dxa"/>
          </w:tcPr>
          <w:p w14:paraId="1E18271A" w14:textId="77777777" w:rsidR="00CD6352" w:rsidRPr="00392085" w:rsidRDefault="00CD6352" w:rsidP="00CD6352">
            <w:pPr>
              <w:rPr>
                <w:rFonts w:ascii="Arial" w:hAnsi="Arial" w:cs="Arial"/>
                <w:sz w:val="16"/>
                <w:szCs w:val="16"/>
              </w:rPr>
            </w:pPr>
            <w:r w:rsidRPr="00392085">
              <w:rPr>
                <w:rFonts w:ascii="Arial" w:hAnsi="Arial" w:cs="Arial"/>
                <w:sz w:val="16"/>
                <w:szCs w:val="16"/>
              </w:rPr>
              <w:t>37.5% upper management; 4.38% middle management &amp; 12.5% lower management</w:t>
            </w:r>
          </w:p>
        </w:tc>
        <w:tc>
          <w:tcPr>
            <w:tcW w:w="1141" w:type="dxa"/>
          </w:tcPr>
          <w:p w14:paraId="1FA0E4E4" w14:textId="77777777" w:rsidR="00CD6352" w:rsidRPr="00392085" w:rsidRDefault="00CD6352" w:rsidP="00CD6352">
            <w:pPr>
              <w:rPr>
                <w:rFonts w:ascii="Arial" w:hAnsi="Arial" w:cs="Arial"/>
                <w:sz w:val="16"/>
                <w:szCs w:val="16"/>
              </w:rPr>
            </w:pPr>
            <w:r w:rsidRPr="00392085">
              <w:rPr>
                <w:rFonts w:ascii="Arial" w:hAnsi="Arial" w:cs="Arial"/>
                <w:sz w:val="16"/>
                <w:szCs w:val="16"/>
              </w:rPr>
              <w:t>37.5%Upper mgt and  62.5%middle mg</w:t>
            </w:r>
          </w:p>
        </w:tc>
        <w:tc>
          <w:tcPr>
            <w:tcW w:w="1071" w:type="dxa"/>
          </w:tcPr>
          <w:p w14:paraId="7A79CD80" w14:textId="77777777" w:rsidR="00CD6352" w:rsidRPr="00392085" w:rsidRDefault="00CD6352" w:rsidP="00CD6352">
            <w:pPr>
              <w:rPr>
                <w:rFonts w:ascii="Arial" w:hAnsi="Arial" w:cs="Arial"/>
                <w:sz w:val="16"/>
                <w:szCs w:val="16"/>
              </w:rPr>
            </w:pPr>
            <w:r w:rsidRPr="00392085">
              <w:rPr>
                <w:rFonts w:ascii="Arial" w:hAnsi="Arial" w:cs="Arial"/>
                <w:sz w:val="16"/>
                <w:szCs w:val="16"/>
              </w:rPr>
              <w:t>54.5% upper mgt; 9.1% middle mgt and 36.4%lower mgt</w:t>
            </w:r>
          </w:p>
        </w:tc>
        <w:tc>
          <w:tcPr>
            <w:tcW w:w="1066" w:type="dxa"/>
          </w:tcPr>
          <w:p w14:paraId="2DCD9D10" w14:textId="77777777" w:rsidR="00CD6352" w:rsidRPr="00392085" w:rsidRDefault="00CD6352" w:rsidP="00CD6352">
            <w:pPr>
              <w:rPr>
                <w:rFonts w:ascii="Arial" w:hAnsi="Arial" w:cs="Arial"/>
                <w:sz w:val="16"/>
                <w:szCs w:val="16"/>
              </w:rPr>
            </w:pPr>
            <w:r w:rsidRPr="00392085">
              <w:rPr>
                <w:rFonts w:ascii="Arial" w:hAnsi="Arial" w:cs="Arial"/>
                <w:sz w:val="16"/>
                <w:szCs w:val="16"/>
              </w:rPr>
              <w:t>32%Upper mgt, 44% middle mgt &amp; 24lower level mgt</w:t>
            </w:r>
          </w:p>
        </w:tc>
        <w:tc>
          <w:tcPr>
            <w:tcW w:w="1061" w:type="dxa"/>
          </w:tcPr>
          <w:p w14:paraId="440F4880" w14:textId="77777777" w:rsidR="00CD6352" w:rsidRPr="00392085" w:rsidRDefault="00CD6352" w:rsidP="00CD6352">
            <w:pPr>
              <w:rPr>
                <w:rFonts w:ascii="Arial" w:hAnsi="Arial" w:cs="Arial"/>
                <w:sz w:val="16"/>
                <w:szCs w:val="16"/>
              </w:rPr>
            </w:pPr>
            <w:r w:rsidRPr="00392085">
              <w:rPr>
                <w:rFonts w:ascii="Arial" w:hAnsi="Arial" w:cs="Arial"/>
                <w:sz w:val="16"/>
                <w:szCs w:val="16"/>
              </w:rPr>
              <w:t>50%(upper mgt); 40% middle mgt &amp; 10% lower mgt</w:t>
            </w:r>
          </w:p>
        </w:tc>
      </w:tr>
    </w:tbl>
    <w:p w14:paraId="29840F37" w14:textId="77777777" w:rsidR="00CD6352" w:rsidRPr="00EA7665" w:rsidRDefault="00CD6352" w:rsidP="00CD6352"/>
    <w:p w14:paraId="4A487E75" w14:textId="43E8E621" w:rsidR="00CD6352" w:rsidRPr="00EA7665" w:rsidRDefault="00CD6352" w:rsidP="00CD6352">
      <w:pPr>
        <w:spacing w:line="360" w:lineRule="auto"/>
        <w:rPr>
          <w:rFonts w:ascii="Arial" w:hAnsi="Arial" w:cs="Arial"/>
        </w:rPr>
      </w:pPr>
      <w:r w:rsidRPr="00EA7665">
        <w:rPr>
          <w:rFonts w:ascii="Arial" w:hAnsi="Arial" w:cs="Arial"/>
        </w:rPr>
        <w:t xml:space="preserve">The </w:t>
      </w:r>
      <w:r w:rsidR="00B55B5E">
        <w:rPr>
          <w:rFonts w:ascii="Arial" w:hAnsi="Arial" w:cs="Arial"/>
        </w:rPr>
        <w:t>survey questionnaire's findings at the disaggregate level show</w:t>
      </w:r>
      <w:r w:rsidRPr="00EA7665">
        <w:rPr>
          <w:rFonts w:ascii="Arial" w:hAnsi="Arial" w:cs="Arial"/>
        </w:rPr>
        <w:t xml:space="preserve"> that the managers involved with securing finance for real estate project development in both developed and emerging economies have real estate experiences ranging from 5 years to over 20years</w:t>
      </w:r>
      <w:r>
        <w:rPr>
          <w:rFonts w:ascii="Arial" w:hAnsi="Arial" w:cs="Arial"/>
        </w:rPr>
        <w:t xml:space="preserve"> </w:t>
      </w:r>
      <w:r w:rsidR="0042739E">
        <w:rPr>
          <w:rFonts w:ascii="Arial" w:hAnsi="Arial" w:cs="Arial"/>
        </w:rPr>
        <w:t>(see</w:t>
      </w:r>
      <w:r>
        <w:rPr>
          <w:rFonts w:ascii="Arial" w:hAnsi="Arial" w:cs="Arial"/>
        </w:rPr>
        <w:t xml:space="preserve"> table </w:t>
      </w:r>
      <w:r w:rsidR="0042739E">
        <w:rPr>
          <w:rFonts w:ascii="Arial" w:hAnsi="Arial" w:cs="Arial"/>
        </w:rPr>
        <w:t>9.2.2</w:t>
      </w:r>
      <w:r>
        <w:rPr>
          <w:rFonts w:ascii="Arial" w:hAnsi="Arial" w:cs="Arial"/>
        </w:rPr>
        <w:t>).</w:t>
      </w:r>
    </w:p>
    <w:p w14:paraId="5A28214C" w14:textId="206CED42" w:rsidR="00CD6352" w:rsidRPr="00EA7665" w:rsidRDefault="00CD6352" w:rsidP="00CD6352">
      <w:pPr>
        <w:spacing w:line="360" w:lineRule="auto"/>
        <w:rPr>
          <w:rFonts w:ascii="Arial" w:hAnsi="Arial" w:cs="Arial"/>
        </w:rPr>
      </w:pPr>
      <w:r w:rsidRPr="00EA7665">
        <w:rPr>
          <w:rFonts w:ascii="Arial" w:hAnsi="Arial" w:cs="Arial"/>
        </w:rPr>
        <w:t xml:space="preserve">The findings </w:t>
      </w:r>
      <w:r w:rsidR="00025116">
        <w:rPr>
          <w:rFonts w:ascii="Arial" w:hAnsi="Arial" w:cs="Arial"/>
        </w:rPr>
        <w:t>revealed that managers involved in securing finance for real estate project development in the emerging economies are from the three levels of management; upper, middle, and lower levels. The findings also show that managers involved in securing finance for real estate project development in developed economies are mainly upper and middle-level management, with a significantly low percentage of lower management in the United Kingdom</w:t>
      </w:r>
      <w:r>
        <w:rPr>
          <w:rFonts w:ascii="Arial" w:hAnsi="Arial" w:cs="Arial"/>
        </w:rPr>
        <w:t>.</w:t>
      </w:r>
      <w:r w:rsidR="00F303B5">
        <w:rPr>
          <w:rFonts w:ascii="Arial" w:hAnsi="Arial" w:cs="Arial"/>
        </w:rPr>
        <w:t xml:space="preserve"> This goes to show that the toolkit will be relevant to all managers irrespective of their levels.</w:t>
      </w:r>
    </w:p>
    <w:p w14:paraId="18F2503F" w14:textId="77777777" w:rsidR="00CD6352" w:rsidRPr="00EA7665" w:rsidRDefault="00CD6352" w:rsidP="00CD6352">
      <w:pPr>
        <w:pStyle w:val="Heading3"/>
        <w:rPr>
          <w:sz w:val="22"/>
          <w:szCs w:val="22"/>
        </w:rPr>
      </w:pPr>
      <w:bookmarkStart w:id="1381" w:name="_Toc78983921"/>
      <w:r w:rsidRPr="00EA7665">
        <w:rPr>
          <w:sz w:val="22"/>
          <w:szCs w:val="22"/>
        </w:rPr>
        <w:t>Career path for securing finance for real estate project development for both the developed and emerging economies at the disaggregate level.</w:t>
      </w:r>
      <w:bookmarkEnd w:id="1381"/>
    </w:p>
    <w:p w14:paraId="22FD5243" w14:textId="77777777" w:rsidR="00CD6352" w:rsidRPr="00EA7665" w:rsidRDefault="00CD6352" w:rsidP="00CD6352">
      <w:pPr>
        <w:spacing w:after="0" w:line="360" w:lineRule="auto"/>
        <w:jc w:val="both"/>
        <w:rPr>
          <w:rFonts w:ascii="Arial" w:hAnsi="Arial" w:cs="Arial"/>
        </w:rPr>
      </w:pPr>
    </w:p>
    <w:p w14:paraId="6B4991DB" w14:textId="7C42CD79" w:rsidR="00CD6352" w:rsidRPr="00EA7665" w:rsidRDefault="00CD6352" w:rsidP="00CD6352">
      <w:pPr>
        <w:spacing w:line="360" w:lineRule="auto"/>
        <w:jc w:val="both"/>
        <w:rPr>
          <w:rFonts w:ascii="Arial" w:hAnsi="Arial" w:cs="Arial"/>
        </w:rPr>
      </w:pPr>
      <w:r w:rsidRPr="00EA7665">
        <w:rPr>
          <w:rFonts w:ascii="Arial" w:hAnsi="Arial" w:cs="Arial"/>
        </w:rPr>
        <w:t xml:space="preserve">Tables </w:t>
      </w:r>
      <w:r w:rsidR="002A1105">
        <w:rPr>
          <w:rFonts w:ascii="Arial" w:hAnsi="Arial" w:cs="Arial"/>
        </w:rPr>
        <w:t>9.2.3</w:t>
      </w:r>
      <w:r w:rsidRPr="00EA7665">
        <w:rPr>
          <w:rFonts w:ascii="Arial" w:hAnsi="Arial" w:cs="Arial"/>
        </w:rPr>
        <w:t xml:space="preserve"> and </w:t>
      </w:r>
      <w:r w:rsidR="002A1105">
        <w:rPr>
          <w:rFonts w:ascii="Arial" w:hAnsi="Arial" w:cs="Arial"/>
        </w:rPr>
        <w:t>9.2.4</w:t>
      </w:r>
      <w:r w:rsidRPr="00EA7665">
        <w:rPr>
          <w:rFonts w:ascii="Arial" w:hAnsi="Arial" w:cs="Arial"/>
        </w:rPr>
        <w:t xml:space="preserve"> </w:t>
      </w:r>
      <w:r>
        <w:rPr>
          <w:rFonts w:ascii="Arial" w:hAnsi="Arial" w:cs="Arial"/>
        </w:rPr>
        <w:t>show</w:t>
      </w:r>
      <w:r w:rsidRPr="00EA7665">
        <w:rPr>
          <w:rFonts w:ascii="Arial" w:hAnsi="Arial" w:cs="Arial"/>
        </w:rPr>
        <w:t xml:space="preserve"> </w:t>
      </w:r>
      <w:r>
        <w:rPr>
          <w:rFonts w:ascii="Arial" w:hAnsi="Arial" w:cs="Arial"/>
        </w:rPr>
        <w:t>summaries</w:t>
      </w:r>
      <w:r w:rsidRPr="00EA7665">
        <w:rPr>
          <w:rFonts w:ascii="Arial" w:hAnsi="Arial" w:cs="Arial"/>
        </w:rPr>
        <w:t xml:space="preserve"> of the manage</w:t>
      </w:r>
      <w:r>
        <w:rPr>
          <w:rFonts w:ascii="Arial" w:hAnsi="Arial" w:cs="Arial"/>
        </w:rPr>
        <w:t>rs’</w:t>
      </w:r>
      <w:r w:rsidRPr="00EA7665">
        <w:rPr>
          <w:rFonts w:ascii="Arial" w:hAnsi="Arial" w:cs="Arial"/>
        </w:rPr>
        <w:t xml:space="preserve"> career </w:t>
      </w:r>
      <w:r>
        <w:rPr>
          <w:rFonts w:ascii="Arial" w:hAnsi="Arial" w:cs="Arial"/>
        </w:rPr>
        <w:t>paths</w:t>
      </w:r>
      <w:r w:rsidRPr="00EA7665">
        <w:rPr>
          <w:rFonts w:ascii="Arial" w:hAnsi="Arial" w:cs="Arial"/>
        </w:rPr>
        <w:t xml:space="preserve"> for securing finance for real estate project development for the developed and emerging economies based on the semi</w:t>
      </w:r>
      <w:r w:rsidR="00A87638">
        <w:rPr>
          <w:rFonts w:ascii="Arial" w:hAnsi="Arial" w:cs="Arial"/>
        </w:rPr>
        <w:t>-</w:t>
      </w:r>
      <w:r w:rsidRPr="00EA7665">
        <w:rPr>
          <w:rFonts w:ascii="Arial" w:hAnsi="Arial" w:cs="Arial"/>
        </w:rPr>
        <w:t>structured intervie</w:t>
      </w:r>
      <w:r>
        <w:rPr>
          <w:rFonts w:ascii="Arial" w:hAnsi="Arial" w:cs="Arial"/>
        </w:rPr>
        <w:t>ws and information obtained from the interviewees LinkedIn profiles.</w:t>
      </w:r>
    </w:p>
    <w:p w14:paraId="1A25FFF9" w14:textId="398865BC" w:rsidR="00347F7E" w:rsidRPr="00347F7E" w:rsidRDefault="00347F7E" w:rsidP="00347F7E">
      <w:pPr>
        <w:pStyle w:val="Caption"/>
        <w:keepNext/>
        <w:rPr>
          <w:rFonts w:ascii="Arial" w:hAnsi="Arial" w:cs="Arial"/>
          <w:sz w:val="16"/>
          <w:szCs w:val="16"/>
        </w:rPr>
      </w:pPr>
      <w:bookmarkStart w:id="1382" w:name="_Toc78984026"/>
      <w:r w:rsidRPr="00347F7E">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347F7E">
        <w:rPr>
          <w:rFonts w:ascii="Arial" w:hAnsi="Arial" w:cs="Arial"/>
          <w:sz w:val="16"/>
          <w:szCs w:val="16"/>
        </w:rPr>
        <w:t>: Major Characteristics of background &amp; career paths of managers in developed economies</w:t>
      </w:r>
      <w:bookmarkEnd w:id="1382"/>
    </w:p>
    <w:tbl>
      <w:tblPr>
        <w:tblStyle w:val="TableGrid21"/>
        <w:tblW w:w="9634" w:type="dxa"/>
        <w:jc w:val="center"/>
        <w:tblLook w:val="04A0" w:firstRow="1" w:lastRow="0" w:firstColumn="1" w:lastColumn="0" w:noHBand="0" w:noVBand="1"/>
      </w:tblPr>
      <w:tblGrid>
        <w:gridCol w:w="1008"/>
        <w:gridCol w:w="1458"/>
        <w:gridCol w:w="1128"/>
        <w:gridCol w:w="999"/>
        <w:gridCol w:w="3899"/>
        <w:gridCol w:w="1142"/>
      </w:tblGrid>
      <w:tr w:rsidR="00CD6352" w:rsidRPr="00347F7E" w14:paraId="363C6EEA" w14:textId="77777777" w:rsidTr="00347F7E">
        <w:trPr>
          <w:trHeight w:val="475"/>
          <w:jc w:val="center"/>
        </w:trPr>
        <w:tc>
          <w:tcPr>
            <w:tcW w:w="0" w:type="auto"/>
          </w:tcPr>
          <w:p w14:paraId="7E9FEA51" w14:textId="77777777" w:rsidR="00CD6352" w:rsidRPr="00347F7E" w:rsidRDefault="00CD6352" w:rsidP="00CD6352">
            <w:pPr>
              <w:jc w:val="both"/>
              <w:rPr>
                <w:rFonts w:ascii="Arial" w:eastAsia="Calibri" w:hAnsi="Arial" w:cs="Arial"/>
                <w:b/>
                <w:sz w:val="16"/>
                <w:szCs w:val="16"/>
              </w:rPr>
            </w:pPr>
            <w:r w:rsidRPr="00347F7E">
              <w:rPr>
                <w:rFonts w:ascii="Arial" w:eastAsia="Calibri" w:hAnsi="Arial" w:cs="Arial"/>
                <w:b/>
                <w:sz w:val="16"/>
                <w:szCs w:val="16"/>
              </w:rPr>
              <w:t>Countries/ mgrs.</w:t>
            </w:r>
          </w:p>
        </w:tc>
        <w:tc>
          <w:tcPr>
            <w:tcW w:w="1458" w:type="dxa"/>
          </w:tcPr>
          <w:p w14:paraId="57ED25DA" w14:textId="77777777" w:rsidR="00CD6352" w:rsidRPr="00347F7E" w:rsidRDefault="00CD6352" w:rsidP="00CD6352">
            <w:pPr>
              <w:jc w:val="both"/>
              <w:rPr>
                <w:rFonts w:ascii="Arial" w:eastAsia="Calibri" w:hAnsi="Arial" w:cs="Arial"/>
                <w:b/>
                <w:sz w:val="16"/>
                <w:szCs w:val="16"/>
              </w:rPr>
            </w:pPr>
            <w:r w:rsidRPr="00347F7E">
              <w:rPr>
                <w:rFonts w:ascii="Arial" w:eastAsia="Calibri" w:hAnsi="Arial" w:cs="Arial"/>
                <w:b/>
                <w:sz w:val="16"/>
                <w:szCs w:val="16"/>
              </w:rPr>
              <w:t>Class of mgrs.</w:t>
            </w:r>
          </w:p>
        </w:tc>
        <w:tc>
          <w:tcPr>
            <w:tcW w:w="1128" w:type="dxa"/>
          </w:tcPr>
          <w:p w14:paraId="3FD20E50" w14:textId="77777777" w:rsidR="00CD6352" w:rsidRPr="00347F7E" w:rsidRDefault="00CD6352" w:rsidP="00CD6352">
            <w:pPr>
              <w:jc w:val="both"/>
              <w:rPr>
                <w:rFonts w:ascii="Arial" w:eastAsia="Calibri" w:hAnsi="Arial" w:cs="Arial"/>
                <w:b/>
                <w:sz w:val="16"/>
                <w:szCs w:val="16"/>
              </w:rPr>
            </w:pPr>
            <w:r w:rsidRPr="00347F7E">
              <w:rPr>
                <w:rFonts w:ascii="Arial" w:eastAsia="Calibri" w:hAnsi="Arial" w:cs="Arial"/>
                <w:b/>
                <w:sz w:val="16"/>
                <w:szCs w:val="16"/>
              </w:rPr>
              <w:t xml:space="preserve">Real estate type </w:t>
            </w:r>
          </w:p>
        </w:tc>
        <w:tc>
          <w:tcPr>
            <w:tcW w:w="999" w:type="dxa"/>
          </w:tcPr>
          <w:p w14:paraId="787BDF09" w14:textId="77777777" w:rsidR="00CD6352" w:rsidRPr="00347F7E" w:rsidRDefault="00CD6352" w:rsidP="00CD6352">
            <w:pPr>
              <w:rPr>
                <w:rFonts w:ascii="Arial" w:eastAsia="Calibri" w:hAnsi="Arial" w:cs="Arial"/>
                <w:b/>
                <w:sz w:val="16"/>
                <w:szCs w:val="16"/>
              </w:rPr>
            </w:pPr>
            <w:r w:rsidRPr="00347F7E">
              <w:rPr>
                <w:rFonts w:ascii="Arial" w:eastAsia="Calibri" w:hAnsi="Arial" w:cs="Arial"/>
                <w:b/>
                <w:sz w:val="16"/>
                <w:szCs w:val="16"/>
              </w:rPr>
              <w:t>No of years in real estate</w:t>
            </w:r>
          </w:p>
        </w:tc>
        <w:tc>
          <w:tcPr>
            <w:tcW w:w="3899" w:type="dxa"/>
          </w:tcPr>
          <w:p w14:paraId="43286384" w14:textId="77777777" w:rsidR="00CD6352" w:rsidRPr="00347F7E" w:rsidRDefault="00CD6352" w:rsidP="00CD6352">
            <w:pPr>
              <w:jc w:val="both"/>
              <w:rPr>
                <w:rFonts w:ascii="Arial" w:eastAsia="Calibri" w:hAnsi="Arial" w:cs="Arial"/>
                <w:b/>
                <w:sz w:val="16"/>
                <w:szCs w:val="16"/>
              </w:rPr>
            </w:pPr>
            <w:r w:rsidRPr="00347F7E">
              <w:rPr>
                <w:rFonts w:ascii="Arial" w:eastAsia="Calibri" w:hAnsi="Arial" w:cs="Arial"/>
                <w:b/>
                <w:sz w:val="16"/>
                <w:szCs w:val="16"/>
              </w:rPr>
              <w:t>Career path in chronological order</w:t>
            </w:r>
          </w:p>
        </w:tc>
        <w:tc>
          <w:tcPr>
            <w:tcW w:w="1142" w:type="dxa"/>
          </w:tcPr>
          <w:p w14:paraId="7F7E938B" w14:textId="77777777" w:rsidR="00CD6352" w:rsidRPr="00347F7E" w:rsidRDefault="00CD6352" w:rsidP="00CD6352">
            <w:pPr>
              <w:jc w:val="both"/>
              <w:rPr>
                <w:rFonts w:ascii="Arial" w:eastAsia="Calibri" w:hAnsi="Arial" w:cs="Arial"/>
                <w:b/>
                <w:sz w:val="16"/>
                <w:szCs w:val="16"/>
              </w:rPr>
            </w:pPr>
            <w:r w:rsidRPr="00347F7E">
              <w:rPr>
                <w:rFonts w:ascii="Arial" w:eastAsia="Calibri" w:hAnsi="Arial" w:cs="Arial"/>
                <w:b/>
                <w:sz w:val="16"/>
                <w:szCs w:val="16"/>
              </w:rPr>
              <w:t xml:space="preserve">Int’l </w:t>
            </w:r>
          </w:p>
          <w:p w14:paraId="35EF3E79" w14:textId="77777777" w:rsidR="00CD6352" w:rsidRPr="00347F7E" w:rsidRDefault="00CD6352" w:rsidP="00CD6352">
            <w:pPr>
              <w:jc w:val="both"/>
              <w:rPr>
                <w:rFonts w:ascii="Arial" w:eastAsia="Calibri" w:hAnsi="Arial" w:cs="Arial"/>
                <w:b/>
                <w:sz w:val="16"/>
                <w:szCs w:val="16"/>
              </w:rPr>
            </w:pPr>
            <w:r w:rsidRPr="00347F7E">
              <w:rPr>
                <w:rFonts w:ascii="Arial" w:eastAsia="Calibri" w:hAnsi="Arial" w:cs="Arial"/>
                <w:b/>
                <w:sz w:val="16"/>
                <w:szCs w:val="16"/>
              </w:rPr>
              <w:t>work  experiences</w:t>
            </w:r>
          </w:p>
        </w:tc>
      </w:tr>
      <w:tr w:rsidR="00CD6352" w:rsidRPr="00347F7E" w14:paraId="61A90AE9" w14:textId="77777777" w:rsidTr="00347F7E">
        <w:trPr>
          <w:trHeight w:val="186"/>
          <w:jc w:val="center"/>
        </w:trPr>
        <w:tc>
          <w:tcPr>
            <w:tcW w:w="0" w:type="auto"/>
          </w:tcPr>
          <w:p w14:paraId="4777E15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Germany mgr. 1</w:t>
            </w:r>
          </w:p>
        </w:tc>
        <w:tc>
          <w:tcPr>
            <w:tcW w:w="1458" w:type="dxa"/>
          </w:tcPr>
          <w:p w14:paraId="5D0DD59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MD/CEO </w:t>
            </w:r>
          </w:p>
          <w:p w14:paraId="76C8317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mgr.) – self-employed</w:t>
            </w:r>
          </w:p>
        </w:tc>
        <w:tc>
          <w:tcPr>
            <w:tcW w:w="1128" w:type="dxa"/>
          </w:tcPr>
          <w:p w14:paraId="791F594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Residential </w:t>
            </w:r>
          </w:p>
        </w:tc>
        <w:tc>
          <w:tcPr>
            <w:tcW w:w="999" w:type="dxa"/>
          </w:tcPr>
          <w:p w14:paraId="42B01284"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25</w:t>
            </w:r>
          </w:p>
        </w:tc>
        <w:tc>
          <w:tcPr>
            <w:tcW w:w="3899" w:type="dxa"/>
          </w:tcPr>
          <w:p w14:paraId="77C32E3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Sale of off-plan projects and operation of off-plan projects</w:t>
            </w:r>
          </w:p>
        </w:tc>
        <w:tc>
          <w:tcPr>
            <w:tcW w:w="1142" w:type="dxa"/>
          </w:tcPr>
          <w:p w14:paraId="15CFD848"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Dubai and Australia</w:t>
            </w:r>
          </w:p>
        </w:tc>
      </w:tr>
      <w:tr w:rsidR="00CD6352" w:rsidRPr="00347F7E" w14:paraId="774391BE" w14:textId="77777777" w:rsidTr="00347F7E">
        <w:trPr>
          <w:trHeight w:val="199"/>
          <w:jc w:val="center"/>
        </w:trPr>
        <w:tc>
          <w:tcPr>
            <w:tcW w:w="0" w:type="auto"/>
          </w:tcPr>
          <w:p w14:paraId="2D1474C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Germany mgr. 2</w:t>
            </w:r>
          </w:p>
        </w:tc>
        <w:tc>
          <w:tcPr>
            <w:tcW w:w="1458" w:type="dxa"/>
          </w:tcPr>
          <w:p w14:paraId="04D17C05"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Mgr. – Self-employed</w:t>
            </w:r>
          </w:p>
        </w:tc>
        <w:tc>
          <w:tcPr>
            <w:tcW w:w="1128" w:type="dxa"/>
          </w:tcPr>
          <w:p w14:paraId="738F915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Residential</w:t>
            </w:r>
          </w:p>
        </w:tc>
        <w:tc>
          <w:tcPr>
            <w:tcW w:w="999" w:type="dxa"/>
          </w:tcPr>
          <w:p w14:paraId="65C7F2C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6</w:t>
            </w:r>
          </w:p>
        </w:tc>
        <w:tc>
          <w:tcPr>
            <w:tcW w:w="3899" w:type="dxa"/>
          </w:tcPr>
          <w:p w14:paraId="42B88D7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Mortgage and insurance speciality </w:t>
            </w:r>
          </w:p>
        </w:tc>
        <w:tc>
          <w:tcPr>
            <w:tcW w:w="1142" w:type="dxa"/>
          </w:tcPr>
          <w:p w14:paraId="3D18B0CE"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None</w:t>
            </w:r>
          </w:p>
        </w:tc>
      </w:tr>
      <w:tr w:rsidR="00CD6352" w:rsidRPr="00347F7E" w14:paraId="5CF16B71" w14:textId="77777777" w:rsidTr="00347F7E">
        <w:trPr>
          <w:trHeight w:val="186"/>
          <w:jc w:val="center"/>
        </w:trPr>
        <w:tc>
          <w:tcPr>
            <w:tcW w:w="0" w:type="auto"/>
          </w:tcPr>
          <w:p w14:paraId="763B2E1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Germany mgr 3</w:t>
            </w:r>
          </w:p>
        </w:tc>
        <w:tc>
          <w:tcPr>
            <w:tcW w:w="1458" w:type="dxa"/>
          </w:tcPr>
          <w:p w14:paraId="5764232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mgr. / (Senior mgr.)</w:t>
            </w:r>
          </w:p>
        </w:tc>
        <w:tc>
          <w:tcPr>
            <w:tcW w:w="1128" w:type="dxa"/>
          </w:tcPr>
          <w:p w14:paraId="37A5D10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 and residential</w:t>
            </w:r>
          </w:p>
        </w:tc>
        <w:tc>
          <w:tcPr>
            <w:tcW w:w="999" w:type="dxa"/>
          </w:tcPr>
          <w:p w14:paraId="6F500FE4"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30yrs work experience but 25 in real estate</w:t>
            </w:r>
          </w:p>
        </w:tc>
        <w:tc>
          <w:tcPr>
            <w:tcW w:w="3899" w:type="dxa"/>
          </w:tcPr>
          <w:p w14:paraId="6D7E99A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Banker (11yrs), Director business development in a global property management firm (7yrs), Managing director real estate asset management firm (10yrs), Senior adviser mergers &amp; acquisition, director real estate investment firm and CEO of a firm involved with running, growing and overseeing the areas of finance and operations, investment and business development</w:t>
            </w:r>
          </w:p>
        </w:tc>
        <w:tc>
          <w:tcPr>
            <w:tcW w:w="1142" w:type="dxa"/>
          </w:tcPr>
          <w:p w14:paraId="2CDAB228"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The United Kingdom, Switzerland, and France</w:t>
            </w:r>
          </w:p>
        </w:tc>
      </w:tr>
      <w:tr w:rsidR="00CD6352" w:rsidRPr="00347F7E" w14:paraId="6A2ECAA4" w14:textId="77777777" w:rsidTr="00347F7E">
        <w:trPr>
          <w:trHeight w:val="186"/>
          <w:jc w:val="center"/>
        </w:trPr>
        <w:tc>
          <w:tcPr>
            <w:tcW w:w="0" w:type="auto"/>
          </w:tcPr>
          <w:p w14:paraId="34B3AFC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lastRenderedPageBreak/>
              <w:t>Germany mgr. 4</w:t>
            </w:r>
          </w:p>
        </w:tc>
        <w:tc>
          <w:tcPr>
            <w:tcW w:w="1458" w:type="dxa"/>
          </w:tcPr>
          <w:p w14:paraId="6C6A79E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Strategic </w:t>
            </w:r>
          </w:p>
          <w:p w14:paraId="4BD4216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(Senior mgr.)</w:t>
            </w:r>
          </w:p>
        </w:tc>
        <w:tc>
          <w:tcPr>
            <w:tcW w:w="1128" w:type="dxa"/>
          </w:tcPr>
          <w:p w14:paraId="2412887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Commercial and residential </w:t>
            </w:r>
          </w:p>
        </w:tc>
        <w:tc>
          <w:tcPr>
            <w:tcW w:w="999" w:type="dxa"/>
          </w:tcPr>
          <w:p w14:paraId="760B315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19</w:t>
            </w:r>
          </w:p>
        </w:tc>
        <w:tc>
          <w:tcPr>
            <w:tcW w:w="3899" w:type="dxa"/>
          </w:tcPr>
          <w:p w14:paraId="2670180B" w14:textId="38E948C6"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Senior economist at international bank research specialised in real estates and industry analysis( 10yrs), Professor of Real Estate (7yrs),  academic and managing director</w:t>
            </w:r>
          </w:p>
        </w:tc>
        <w:tc>
          <w:tcPr>
            <w:tcW w:w="1142" w:type="dxa"/>
          </w:tcPr>
          <w:p w14:paraId="35571E36"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US</w:t>
            </w:r>
          </w:p>
        </w:tc>
      </w:tr>
      <w:tr w:rsidR="00CD6352" w:rsidRPr="00347F7E" w14:paraId="07EA7D95" w14:textId="77777777" w:rsidTr="00347F7E">
        <w:trPr>
          <w:trHeight w:val="474"/>
          <w:jc w:val="center"/>
        </w:trPr>
        <w:tc>
          <w:tcPr>
            <w:tcW w:w="0" w:type="auto"/>
          </w:tcPr>
          <w:p w14:paraId="2020EB4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Germany mgr. 5</w:t>
            </w:r>
          </w:p>
        </w:tc>
        <w:tc>
          <w:tcPr>
            <w:tcW w:w="1458" w:type="dxa"/>
          </w:tcPr>
          <w:p w14:paraId="29EF5D6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Associate director </w:t>
            </w:r>
          </w:p>
          <w:p w14:paraId="5EE04636"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(Middle-level mgr.)</w:t>
            </w:r>
          </w:p>
        </w:tc>
        <w:tc>
          <w:tcPr>
            <w:tcW w:w="1128" w:type="dxa"/>
          </w:tcPr>
          <w:p w14:paraId="5CF26C1E"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Residential &amp; industrial</w:t>
            </w:r>
          </w:p>
        </w:tc>
        <w:tc>
          <w:tcPr>
            <w:tcW w:w="999" w:type="dxa"/>
          </w:tcPr>
          <w:p w14:paraId="5B2AA75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6</w:t>
            </w:r>
          </w:p>
        </w:tc>
        <w:tc>
          <w:tcPr>
            <w:tcW w:w="3899" w:type="dxa"/>
          </w:tcPr>
          <w:p w14:paraId="0E61C843"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Consultant in the UK (1yr), Analyst capital partners in the UK (1YR), investment manager (3yrs) and director (1yr</w:t>
            </w:r>
          </w:p>
        </w:tc>
        <w:tc>
          <w:tcPr>
            <w:tcW w:w="1142" w:type="dxa"/>
          </w:tcPr>
          <w:p w14:paraId="584C732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London -UK</w:t>
            </w:r>
          </w:p>
        </w:tc>
      </w:tr>
      <w:tr w:rsidR="00CD6352" w:rsidRPr="00347F7E" w14:paraId="113FECE2" w14:textId="77777777" w:rsidTr="00347F7E">
        <w:trPr>
          <w:trHeight w:val="314"/>
          <w:jc w:val="center"/>
        </w:trPr>
        <w:tc>
          <w:tcPr>
            <w:tcW w:w="0" w:type="auto"/>
          </w:tcPr>
          <w:p w14:paraId="49E06B8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Germany mgr. 6</w:t>
            </w:r>
          </w:p>
        </w:tc>
        <w:tc>
          <w:tcPr>
            <w:tcW w:w="1458" w:type="dxa"/>
          </w:tcPr>
          <w:p w14:paraId="418944C6"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Middle-level mgr.</w:t>
            </w:r>
          </w:p>
        </w:tc>
        <w:tc>
          <w:tcPr>
            <w:tcW w:w="1128" w:type="dxa"/>
          </w:tcPr>
          <w:p w14:paraId="4A20450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Residential</w:t>
            </w:r>
          </w:p>
        </w:tc>
        <w:tc>
          <w:tcPr>
            <w:tcW w:w="999" w:type="dxa"/>
          </w:tcPr>
          <w:p w14:paraId="530438D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10</w:t>
            </w:r>
          </w:p>
        </w:tc>
        <w:tc>
          <w:tcPr>
            <w:tcW w:w="3899" w:type="dxa"/>
          </w:tcPr>
          <w:p w14:paraId="64056526"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Legal counsel, Legal partner, head German real estate desk in London &amp; Local partner legal</w:t>
            </w:r>
          </w:p>
        </w:tc>
        <w:tc>
          <w:tcPr>
            <w:tcW w:w="1142" w:type="dxa"/>
          </w:tcPr>
          <w:p w14:paraId="3E0642DD"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w:t>
            </w:r>
          </w:p>
        </w:tc>
      </w:tr>
      <w:tr w:rsidR="00CD6352" w:rsidRPr="00347F7E" w14:paraId="1F4634DA" w14:textId="77777777" w:rsidTr="00347F7E">
        <w:trPr>
          <w:trHeight w:val="425"/>
          <w:jc w:val="center"/>
        </w:trPr>
        <w:tc>
          <w:tcPr>
            <w:tcW w:w="0" w:type="auto"/>
          </w:tcPr>
          <w:p w14:paraId="5C6F505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 1</w:t>
            </w:r>
          </w:p>
          <w:p w14:paraId="356A53A7" w14:textId="77777777" w:rsidR="00CD6352" w:rsidRPr="00347F7E" w:rsidRDefault="00CD6352" w:rsidP="00CD6352">
            <w:pPr>
              <w:jc w:val="both"/>
              <w:rPr>
                <w:rFonts w:ascii="Arial" w:eastAsia="Calibri" w:hAnsi="Arial" w:cs="Arial"/>
                <w:sz w:val="16"/>
                <w:szCs w:val="16"/>
              </w:rPr>
            </w:pPr>
          </w:p>
        </w:tc>
        <w:tc>
          <w:tcPr>
            <w:tcW w:w="1458" w:type="dxa"/>
          </w:tcPr>
          <w:p w14:paraId="4B180808"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MD/CEO</w:t>
            </w:r>
          </w:p>
        </w:tc>
        <w:tc>
          <w:tcPr>
            <w:tcW w:w="1128" w:type="dxa"/>
          </w:tcPr>
          <w:p w14:paraId="73F8F6FE"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Residential </w:t>
            </w:r>
          </w:p>
        </w:tc>
        <w:tc>
          <w:tcPr>
            <w:tcW w:w="999" w:type="dxa"/>
          </w:tcPr>
          <w:p w14:paraId="3128512E"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14</w:t>
            </w:r>
          </w:p>
        </w:tc>
        <w:tc>
          <w:tcPr>
            <w:tcW w:w="3899" w:type="dxa"/>
          </w:tcPr>
          <w:p w14:paraId="72BF228E"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Banking – property finance (10yrs) and property development (4rs)</w:t>
            </w:r>
          </w:p>
        </w:tc>
        <w:tc>
          <w:tcPr>
            <w:tcW w:w="1142" w:type="dxa"/>
          </w:tcPr>
          <w:p w14:paraId="299DA16A"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Nigeria</w:t>
            </w:r>
          </w:p>
        </w:tc>
      </w:tr>
      <w:tr w:rsidR="00CD6352" w:rsidRPr="00347F7E" w14:paraId="6BB1EBC2" w14:textId="77777777" w:rsidTr="00347F7E">
        <w:trPr>
          <w:trHeight w:val="749"/>
          <w:jc w:val="center"/>
        </w:trPr>
        <w:tc>
          <w:tcPr>
            <w:tcW w:w="0" w:type="auto"/>
          </w:tcPr>
          <w:p w14:paraId="636664C3" w14:textId="77777777" w:rsidR="00CD6352" w:rsidRPr="00347F7E" w:rsidRDefault="00CD6352" w:rsidP="00CD6352">
            <w:pPr>
              <w:jc w:val="both"/>
              <w:rPr>
                <w:rFonts w:ascii="Arial" w:eastAsia="Calibri" w:hAnsi="Arial" w:cs="Arial"/>
                <w:sz w:val="16"/>
                <w:szCs w:val="16"/>
              </w:rPr>
            </w:pPr>
          </w:p>
          <w:p w14:paraId="6A34775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 2</w:t>
            </w:r>
          </w:p>
        </w:tc>
        <w:tc>
          <w:tcPr>
            <w:tcW w:w="1458" w:type="dxa"/>
          </w:tcPr>
          <w:p w14:paraId="79D2162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MD/CEO</w:t>
            </w:r>
          </w:p>
          <w:p w14:paraId="0BA9753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 (Strategic mgr.) </w:t>
            </w:r>
          </w:p>
        </w:tc>
        <w:tc>
          <w:tcPr>
            <w:tcW w:w="1128" w:type="dxa"/>
          </w:tcPr>
          <w:p w14:paraId="7F02BA16"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Commercial and residential </w:t>
            </w:r>
          </w:p>
        </w:tc>
        <w:tc>
          <w:tcPr>
            <w:tcW w:w="999" w:type="dxa"/>
          </w:tcPr>
          <w:p w14:paraId="26A9C88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30</w:t>
            </w:r>
          </w:p>
        </w:tc>
        <w:tc>
          <w:tcPr>
            <w:tcW w:w="3899" w:type="dxa"/>
          </w:tcPr>
          <w:p w14:paraId="5A7F3B5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Audit &amp; accounting junior manager, Accountant at a bank (2yrs), audit &amp; consulting /trustee (8yrs), Pension director (18yrs), governor &amp; chair audit committee of a university in London (11yrs) and professional pension trustee ( 4motnths)</w:t>
            </w:r>
          </w:p>
        </w:tc>
        <w:tc>
          <w:tcPr>
            <w:tcW w:w="1142" w:type="dxa"/>
          </w:tcPr>
          <w:p w14:paraId="5E152178"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None</w:t>
            </w:r>
          </w:p>
        </w:tc>
      </w:tr>
      <w:tr w:rsidR="00CD6352" w:rsidRPr="00347F7E" w14:paraId="03F0BA83" w14:textId="77777777" w:rsidTr="00347F7E">
        <w:trPr>
          <w:trHeight w:val="666"/>
          <w:jc w:val="center"/>
        </w:trPr>
        <w:tc>
          <w:tcPr>
            <w:tcW w:w="0" w:type="auto"/>
          </w:tcPr>
          <w:p w14:paraId="23AE524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 3</w:t>
            </w:r>
          </w:p>
        </w:tc>
        <w:tc>
          <w:tcPr>
            <w:tcW w:w="1458" w:type="dxa"/>
          </w:tcPr>
          <w:p w14:paraId="7197881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mgr. - Senior</w:t>
            </w:r>
          </w:p>
        </w:tc>
        <w:tc>
          <w:tcPr>
            <w:tcW w:w="1128" w:type="dxa"/>
          </w:tcPr>
          <w:p w14:paraId="5D4BF44D"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 real estate</w:t>
            </w:r>
          </w:p>
          <w:p w14:paraId="45E81F3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 (shopping malls ) and retail properties</w:t>
            </w:r>
          </w:p>
        </w:tc>
        <w:tc>
          <w:tcPr>
            <w:tcW w:w="999" w:type="dxa"/>
          </w:tcPr>
          <w:p w14:paraId="75015FE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27</w:t>
            </w:r>
          </w:p>
        </w:tc>
        <w:tc>
          <w:tcPr>
            <w:tcW w:w="3899" w:type="dxa"/>
          </w:tcPr>
          <w:p w14:paraId="50C84D13"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The finance department in a hotel in Australia; commences business in the UK in 1988, set –up own firm in 2003</w:t>
            </w:r>
          </w:p>
        </w:tc>
        <w:tc>
          <w:tcPr>
            <w:tcW w:w="1142" w:type="dxa"/>
          </w:tcPr>
          <w:p w14:paraId="2F41A20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Poland, central Europe, and Australia</w:t>
            </w:r>
          </w:p>
        </w:tc>
      </w:tr>
      <w:tr w:rsidR="00CD6352" w:rsidRPr="00347F7E" w14:paraId="0E941492" w14:textId="77777777" w:rsidTr="00347F7E">
        <w:trPr>
          <w:trHeight w:val="387"/>
          <w:jc w:val="center"/>
        </w:trPr>
        <w:tc>
          <w:tcPr>
            <w:tcW w:w="0" w:type="auto"/>
          </w:tcPr>
          <w:p w14:paraId="452FE544" w14:textId="77777777" w:rsidR="00CD6352" w:rsidRPr="00347F7E" w:rsidRDefault="00CD6352" w:rsidP="00CD6352">
            <w:pPr>
              <w:jc w:val="both"/>
              <w:rPr>
                <w:rFonts w:ascii="Arial" w:eastAsia="Calibri" w:hAnsi="Arial" w:cs="Arial"/>
                <w:sz w:val="16"/>
                <w:szCs w:val="16"/>
              </w:rPr>
            </w:pPr>
          </w:p>
          <w:p w14:paraId="597B4BF3"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 4</w:t>
            </w:r>
          </w:p>
        </w:tc>
        <w:tc>
          <w:tcPr>
            <w:tcW w:w="1458" w:type="dxa"/>
          </w:tcPr>
          <w:p w14:paraId="6A1D98D8" w14:textId="77777777" w:rsidR="00CD6352" w:rsidRPr="00347F7E" w:rsidRDefault="00CD6352" w:rsidP="00CD6352">
            <w:pPr>
              <w:jc w:val="both"/>
              <w:rPr>
                <w:rFonts w:ascii="Arial" w:eastAsia="Calibri" w:hAnsi="Arial" w:cs="Arial"/>
                <w:sz w:val="16"/>
                <w:szCs w:val="16"/>
              </w:rPr>
            </w:pPr>
          </w:p>
          <w:p w14:paraId="0C7D821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mgr.</w:t>
            </w:r>
          </w:p>
        </w:tc>
        <w:tc>
          <w:tcPr>
            <w:tcW w:w="1128" w:type="dxa"/>
          </w:tcPr>
          <w:p w14:paraId="45F399B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 (Shopping centres )</w:t>
            </w:r>
          </w:p>
          <w:p w14:paraId="2D5D15FD" w14:textId="77777777" w:rsidR="00CD6352" w:rsidRPr="00347F7E" w:rsidRDefault="00CD6352" w:rsidP="00CD6352">
            <w:pPr>
              <w:rPr>
                <w:rFonts w:ascii="Arial" w:eastAsia="Calibri" w:hAnsi="Arial" w:cs="Arial"/>
                <w:sz w:val="16"/>
                <w:szCs w:val="16"/>
              </w:rPr>
            </w:pPr>
          </w:p>
        </w:tc>
        <w:tc>
          <w:tcPr>
            <w:tcW w:w="999" w:type="dxa"/>
          </w:tcPr>
          <w:p w14:paraId="6721653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16</w:t>
            </w:r>
          </w:p>
        </w:tc>
        <w:tc>
          <w:tcPr>
            <w:tcW w:w="3899" w:type="dxa"/>
          </w:tcPr>
          <w:p w14:paraId="07342AA6"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Worked in a hotel before going into real estates</w:t>
            </w:r>
          </w:p>
        </w:tc>
        <w:tc>
          <w:tcPr>
            <w:tcW w:w="1142" w:type="dxa"/>
          </w:tcPr>
          <w:p w14:paraId="7754E2F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China, Eastern Europe, the US, Hong Kong, Singapore, Malaysia </w:t>
            </w:r>
          </w:p>
        </w:tc>
      </w:tr>
      <w:tr w:rsidR="00CD6352" w:rsidRPr="00347F7E" w14:paraId="4F5573EF" w14:textId="77777777" w:rsidTr="00347F7E">
        <w:trPr>
          <w:trHeight w:val="186"/>
          <w:jc w:val="center"/>
        </w:trPr>
        <w:tc>
          <w:tcPr>
            <w:tcW w:w="0" w:type="auto"/>
          </w:tcPr>
          <w:p w14:paraId="61E5DBC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 5</w:t>
            </w:r>
          </w:p>
        </w:tc>
        <w:tc>
          <w:tcPr>
            <w:tcW w:w="1458" w:type="dxa"/>
          </w:tcPr>
          <w:p w14:paraId="4A2E8BE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 Finance director</w:t>
            </w:r>
          </w:p>
        </w:tc>
        <w:tc>
          <w:tcPr>
            <w:tcW w:w="1128" w:type="dxa"/>
          </w:tcPr>
          <w:p w14:paraId="76BB33B3"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Residential properties</w:t>
            </w:r>
          </w:p>
        </w:tc>
        <w:tc>
          <w:tcPr>
            <w:tcW w:w="999" w:type="dxa"/>
          </w:tcPr>
          <w:p w14:paraId="06BB5F1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12</w:t>
            </w:r>
          </w:p>
        </w:tc>
        <w:tc>
          <w:tcPr>
            <w:tcW w:w="3899" w:type="dxa"/>
          </w:tcPr>
          <w:p w14:paraId="5D3C32B3" w14:textId="1A6E7B7B"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Deloitte's and PWC to 1996, Chocolate company to 2003, development agency to 2008, company finance director to 2017, advisory services to 2019 and property firm</w:t>
            </w:r>
          </w:p>
        </w:tc>
        <w:tc>
          <w:tcPr>
            <w:tcW w:w="1142" w:type="dxa"/>
          </w:tcPr>
          <w:p w14:paraId="6971D71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None</w:t>
            </w:r>
          </w:p>
        </w:tc>
      </w:tr>
      <w:tr w:rsidR="00CD6352" w:rsidRPr="00347F7E" w14:paraId="2A32E783" w14:textId="77777777" w:rsidTr="00347F7E">
        <w:trPr>
          <w:trHeight w:val="186"/>
          <w:jc w:val="center"/>
        </w:trPr>
        <w:tc>
          <w:tcPr>
            <w:tcW w:w="0" w:type="auto"/>
          </w:tcPr>
          <w:p w14:paraId="1C4D64DA"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 6</w:t>
            </w:r>
          </w:p>
        </w:tc>
        <w:tc>
          <w:tcPr>
            <w:tcW w:w="1458" w:type="dxa"/>
          </w:tcPr>
          <w:p w14:paraId="6022CE8B" w14:textId="4E286A32"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CEO –Strategic mgr. (senior manager)</w:t>
            </w:r>
          </w:p>
        </w:tc>
        <w:tc>
          <w:tcPr>
            <w:tcW w:w="1128" w:type="dxa"/>
          </w:tcPr>
          <w:p w14:paraId="325A920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 property</w:t>
            </w:r>
          </w:p>
        </w:tc>
        <w:tc>
          <w:tcPr>
            <w:tcW w:w="999" w:type="dxa"/>
          </w:tcPr>
          <w:p w14:paraId="57A1B13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20</w:t>
            </w:r>
          </w:p>
        </w:tc>
        <w:tc>
          <w:tcPr>
            <w:tcW w:w="3899" w:type="dxa"/>
          </w:tcPr>
          <w:p w14:paraId="7119A463"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Business services manager –logistics firm (15years), Director &amp; consultant independent and project management consultant – IT firm and CEO commercial property development company</w:t>
            </w:r>
          </w:p>
        </w:tc>
        <w:tc>
          <w:tcPr>
            <w:tcW w:w="1142" w:type="dxa"/>
          </w:tcPr>
          <w:p w14:paraId="7FC45662"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None</w:t>
            </w:r>
          </w:p>
        </w:tc>
      </w:tr>
      <w:tr w:rsidR="00CD6352" w:rsidRPr="00347F7E" w14:paraId="734F8F1A" w14:textId="77777777" w:rsidTr="00347F7E">
        <w:trPr>
          <w:trHeight w:val="681"/>
          <w:jc w:val="center"/>
        </w:trPr>
        <w:tc>
          <w:tcPr>
            <w:tcW w:w="0" w:type="auto"/>
          </w:tcPr>
          <w:p w14:paraId="7DE85471" w14:textId="77777777" w:rsidR="00CD6352" w:rsidRPr="00347F7E" w:rsidRDefault="00CD6352" w:rsidP="00CD6352">
            <w:pPr>
              <w:jc w:val="both"/>
              <w:rPr>
                <w:rFonts w:ascii="Arial" w:eastAsia="Calibri" w:hAnsi="Arial" w:cs="Arial"/>
                <w:sz w:val="16"/>
                <w:szCs w:val="16"/>
              </w:rPr>
            </w:pPr>
          </w:p>
          <w:p w14:paraId="54FC7AA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UK Mgr7</w:t>
            </w:r>
          </w:p>
        </w:tc>
        <w:tc>
          <w:tcPr>
            <w:tcW w:w="1458" w:type="dxa"/>
          </w:tcPr>
          <w:p w14:paraId="74FAE9A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mgr. / Director</w:t>
            </w:r>
          </w:p>
        </w:tc>
        <w:tc>
          <w:tcPr>
            <w:tcW w:w="1128" w:type="dxa"/>
          </w:tcPr>
          <w:p w14:paraId="58E1BAD3"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 &amp; Residential</w:t>
            </w:r>
          </w:p>
        </w:tc>
        <w:tc>
          <w:tcPr>
            <w:tcW w:w="999" w:type="dxa"/>
          </w:tcPr>
          <w:p w14:paraId="66C91BDF"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23</w:t>
            </w:r>
          </w:p>
        </w:tc>
        <w:tc>
          <w:tcPr>
            <w:tcW w:w="3899" w:type="dxa"/>
          </w:tcPr>
          <w:p w14:paraId="4C3F377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Associate 1999 to 2000; Director UK investment 2000 to date &amp; Director of investment</w:t>
            </w:r>
          </w:p>
        </w:tc>
        <w:tc>
          <w:tcPr>
            <w:tcW w:w="1142" w:type="dxa"/>
          </w:tcPr>
          <w:p w14:paraId="303EC67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Germany, Sweden, Paris, Luxemburg, Japan, Singapore &amp; Australia</w:t>
            </w:r>
          </w:p>
        </w:tc>
      </w:tr>
      <w:tr w:rsidR="00CD6352" w:rsidRPr="00347F7E" w14:paraId="5C719386" w14:textId="77777777" w:rsidTr="00347F7E">
        <w:trPr>
          <w:trHeight w:val="692"/>
          <w:jc w:val="center"/>
        </w:trPr>
        <w:tc>
          <w:tcPr>
            <w:tcW w:w="0" w:type="auto"/>
          </w:tcPr>
          <w:p w14:paraId="4E31BF2C" w14:textId="77777777" w:rsidR="00CD6352" w:rsidRPr="00347F7E" w:rsidRDefault="00CD6352" w:rsidP="00CD6352">
            <w:pPr>
              <w:jc w:val="both"/>
              <w:rPr>
                <w:rFonts w:ascii="Arial" w:eastAsia="Calibri" w:hAnsi="Arial" w:cs="Arial"/>
                <w:sz w:val="16"/>
                <w:szCs w:val="16"/>
              </w:rPr>
            </w:pPr>
          </w:p>
          <w:p w14:paraId="657FD605"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US Mgr1</w:t>
            </w:r>
          </w:p>
        </w:tc>
        <w:tc>
          <w:tcPr>
            <w:tcW w:w="1458" w:type="dxa"/>
          </w:tcPr>
          <w:p w14:paraId="7442724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Middle-level mgr.</w:t>
            </w:r>
          </w:p>
        </w:tc>
        <w:tc>
          <w:tcPr>
            <w:tcW w:w="1128" w:type="dxa"/>
          </w:tcPr>
          <w:p w14:paraId="34260BC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w:t>
            </w:r>
          </w:p>
        </w:tc>
        <w:tc>
          <w:tcPr>
            <w:tcW w:w="999" w:type="dxa"/>
          </w:tcPr>
          <w:p w14:paraId="329F3F0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10</w:t>
            </w:r>
          </w:p>
        </w:tc>
        <w:tc>
          <w:tcPr>
            <w:tcW w:w="3899" w:type="dxa"/>
          </w:tcPr>
          <w:p w14:paraId="224249B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Business development director 2009 to 2012, Associate director, strategy &amp; business development 2012 to 2015, head real estate capita 2016, alternative real estate investment 2016 to 2017, senior associate 2017 to date </w:t>
            </w:r>
          </w:p>
        </w:tc>
        <w:tc>
          <w:tcPr>
            <w:tcW w:w="1142" w:type="dxa"/>
          </w:tcPr>
          <w:p w14:paraId="641388B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China,  Amsterdam, Netherlands</w:t>
            </w:r>
          </w:p>
        </w:tc>
      </w:tr>
      <w:tr w:rsidR="00CD6352" w:rsidRPr="00347F7E" w14:paraId="512E54EC" w14:textId="77777777" w:rsidTr="00347F7E">
        <w:trPr>
          <w:trHeight w:val="186"/>
          <w:jc w:val="center"/>
        </w:trPr>
        <w:tc>
          <w:tcPr>
            <w:tcW w:w="0" w:type="auto"/>
          </w:tcPr>
          <w:p w14:paraId="0C3565DB" w14:textId="77777777" w:rsidR="00CD6352" w:rsidRPr="00347F7E" w:rsidRDefault="00CD6352" w:rsidP="00CD6352">
            <w:pPr>
              <w:jc w:val="both"/>
              <w:rPr>
                <w:rFonts w:ascii="Arial" w:eastAsia="Calibri" w:hAnsi="Arial" w:cs="Arial"/>
                <w:sz w:val="16"/>
                <w:szCs w:val="16"/>
              </w:rPr>
            </w:pPr>
          </w:p>
          <w:p w14:paraId="779144C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US Mgr2</w:t>
            </w:r>
          </w:p>
        </w:tc>
        <w:tc>
          <w:tcPr>
            <w:tcW w:w="1458" w:type="dxa"/>
          </w:tcPr>
          <w:p w14:paraId="1B090F7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mgr.</w:t>
            </w:r>
          </w:p>
        </w:tc>
        <w:tc>
          <w:tcPr>
            <w:tcW w:w="1128" w:type="dxa"/>
          </w:tcPr>
          <w:p w14:paraId="45A31B7A"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Residential &amp; Commercial</w:t>
            </w:r>
          </w:p>
        </w:tc>
        <w:tc>
          <w:tcPr>
            <w:tcW w:w="999" w:type="dxa"/>
          </w:tcPr>
          <w:p w14:paraId="1D61E998"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26</w:t>
            </w:r>
          </w:p>
        </w:tc>
        <w:tc>
          <w:tcPr>
            <w:tcW w:w="3899" w:type="dxa"/>
          </w:tcPr>
          <w:p w14:paraId="504B30A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Lecturer banking &amp; finance 1993 to 2005, Director, centre for real estate research 2002 to 2005, Director real estate investment &amp; corporate real estate 2006 to 2009, Professor finance 2004 to 2010, Director real estate finance 2011 to 2016, Professor of real estate 2016 to date </w:t>
            </w:r>
          </w:p>
        </w:tc>
        <w:tc>
          <w:tcPr>
            <w:tcW w:w="1142" w:type="dxa"/>
          </w:tcPr>
          <w:p w14:paraId="6F95641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United Kingdom</w:t>
            </w:r>
          </w:p>
        </w:tc>
      </w:tr>
      <w:tr w:rsidR="00CD6352" w:rsidRPr="00347F7E" w14:paraId="4EB244B5" w14:textId="77777777" w:rsidTr="00347F7E">
        <w:trPr>
          <w:trHeight w:val="1152"/>
          <w:jc w:val="center"/>
        </w:trPr>
        <w:tc>
          <w:tcPr>
            <w:tcW w:w="0" w:type="auto"/>
          </w:tcPr>
          <w:p w14:paraId="797CB7F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lastRenderedPageBreak/>
              <w:t>US Mgr3</w:t>
            </w:r>
          </w:p>
        </w:tc>
        <w:tc>
          <w:tcPr>
            <w:tcW w:w="1458" w:type="dxa"/>
          </w:tcPr>
          <w:p w14:paraId="40AACE48"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Strategic management</w:t>
            </w:r>
          </w:p>
        </w:tc>
        <w:tc>
          <w:tcPr>
            <w:tcW w:w="1128" w:type="dxa"/>
          </w:tcPr>
          <w:p w14:paraId="73B87FB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Residential &amp; commercial</w:t>
            </w:r>
          </w:p>
        </w:tc>
        <w:tc>
          <w:tcPr>
            <w:tcW w:w="999" w:type="dxa"/>
          </w:tcPr>
          <w:p w14:paraId="0807737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30</w:t>
            </w:r>
          </w:p>
        </w:tc>
        <w:tc>
          <w:tcPr>
            <w:tcW w:w="3899" w:type="dxa"/>
          </w:tcPr>
          <w:p w14:paraId="20E608EE"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Professor at University 2004 to 2014, executive director in an apartment industry education foundation; Adjunct professor school of architecture and design, adjunct professor 2013 to date, President Quadrillion 1997 to date.</w:t>
            </w:r>
          </w:p>
        </w:tc>
        <w:tc>
          <w:tcPr>
            <w:tcW w:w="1142" w:type="dxa"/>
          </w:tcPr>
          <w:p w14:paraId="33F164BC"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None</w:t>
            </w:r>
          </w:p>
        </w:tc>
      </w:tr>
      <w:tr w:rsidR="00CD6352" w:rsidRPr="00347F7E" w14:paraId="17A5992A" w14:textId="77777777" w:rsidTr="00347F7E">
        <w:trPr>
          <w:trHeight w:val="186"/>
          <w:jc w:val="center"/>
        </w:trPr>
        <w:tc>
          <w:tcPr>
            <w:tcW w:w="0" w:type="auto"/>
          </w:tcPr>
          <w:p w14:paraId="2802A760"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US Mgr4</w:t>
            </w:r>
          </w:p>
        </w:tc>
        <w:tc>
          <w:tcPr>
            <w:tcW w:w="1458" w:type="dxa"/>
          </w:tcPr>
          <w:p w14:paraId="08DBDCA1"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Middle-level manager</w:t>
            </w:r>
          </w:p>
        </w:tc>
        <w:tc>
          <w:tcPr>
            <w:tcW w:w="1128" w:type="dxa"/>
          </w:tcPr>
          <w:p w14:paraId="75ABBC4A"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Commercial &amp; residential </w:t>
            </w:r>
          </w:p>
        </w:tc>
        <w:tc>
          <w:tcPr>
            <w:tcW w:w="999" w:type="dxa"/>
          </w:tcPr>
          <w:p w14:paraId="58635EBD"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4</w:t>
            </w:r>
          </w:p>
        </w:tc>
        <w:tc>
          <w:tcPr>
            <w:tcW w:w="3899" w:type="dxa"/>
          </w:tcPr>
          <w:p w14:paraId="77365C3D" w14:textId="3A477A25"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 xml:space="preserve">Attorney, City of New York 2004 to 2007, Labour relations manager/, Human resources manager 2007 to 2013, Human resources manager 2013 to </w:t>
            </w:r>
            <w:r w:rsidR="00970418" w:rsidRPr="00347F7E">
              <w:rPr>
                <w:rFonts w:ascii="Arial" w:eastAsia="Calibri" w:hAnsi="Arial" w:cs="Arial"/>
                <w:sz w:val="16"/>
                <w:szCs w:val="16"/>
              </w:rPr>
              <w:t>2015, Managing</w:t>
            </w:r>
            <w:r w:rsidRPr="00347F7E">
              <w:rPr>
                <w:rFonts w:ascii="Arial" w:eastAsia="Calibri" w:hAnsi="Arial" w:cs="Arial"/>
                <w:sz w:val="16"/>
                <w:szCs w:val="16"/>
              </w:rPr>
              <w:t xml:space="preserve"> partners real estate 2015 to 2019, Acquisition/development analyst 2017 to 2019 &amp; development manager 2019 to date</w:t>
            </w:r>
          </w:p>
        </w:tc>
        <w:tc>
          <w:tcPr>
            <w:tcW w:w="1142" w:type="dxa"/>
          </w:tcPr>
          <w:p w14:paraId="7B7D795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None</w:t>
            </w:r>
          </w:p>
        </w:tc>
      </w:tr>
      <w:tr w:rsidR="00CD6352" w:rsidRPr="00347F7E" w14:paraId="015D8110" w14:textId="77777777" w:rsidTr="00347F7E">
        <w:trPr>
          <w:trHeight w:val="186"/>
          <w:jc w:val="center"/>
        </w:trPr>
        <w:tc>
          <w:tcPr>
            <w:tcW w:w="0" w:type="auto"/>
          </w:tcPr>
          <w:p w14:paraId="46F19289"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US mgr. 5</w:t>
            </w:r>
          </w:p>
          <w:p w14:paraId="3C8F670A" w14:textId="77777777" w:rsidR="00CD6352" w:rsidRPr="00347F7E" w:rsidRDefault="00CD6352" w:rsidP="00CD6352">
            <w:pPr>
              <w:jc w:val="both"/>
              <w:rPr>
                <w:rFonts w:ascii="Arial" w:eastAsia="Calibri" w:hAnsi="Arial" w:cs="Arial"/>
                <w:sz w:val="16"/>
                <w:szCs w:val="16"/>
              </w:rPr>
            </w:pPr>
          </w:p>
        </w:tc>
        <w:tc>
          <w:tcPr>
            <w:tcW w:w="1458" w:type="dxa"/>
          </w:tcPr>
          <w:p w14:paraId="6470B93B"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Upper-level manager / President of the company</w:t>
            </w:r>
          </w:p>
        </w:tc>
        <w:tc>
          <w:tcPr>
            <w:tcW w:w="1128" w:type="dxa"/>
          </w:tcPr>
          <w:p w14:paraId="537EFB0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Commercial</w:t>
            </w:r>
          </w:p>
        </w:tc>
        <w:tc>
          <w:tcPr>
            <w:tcW w:w="999" w:type="dxa"/>
          </w:tcPr>
          <w:p w14:paraId="49711947"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24</w:t>
            </w:r>
          </w:p>
        </w:tc>
        <w:tc>
          <w:tcPr>
            <w:tcW w:w="3899" w:type="dxa"/>
          </w:tcPr>
          <w:p w14:paraId="12E39B8D" w14:textId="77777777" w:rsidR="00CD6352" w:rsidRPr="00347F7E" w:rsidRDefault="00CD6352" w:rsidP="00CD6352">
            <w:pPr>
              <w:jc w:val="both"/>
              <w:rPr>
                <w:rFonts w:ascii="Arial" w:eastAsia="Calibri" w:hAnsi="Arial" w:cs="Arial"/>
                <w:sz w:val="16"/>
                <w:szCs w:val="16"/>
              </w:rPr>
            </w:pPr>
            <w:r w:rsidRPr="00347F7E">
              <w:rPr>
                <w:rFonts w:ascii="Arial" w:eastAsia="Calibri" w:hAnsi="Arial" w:cs="Arial"/>
                <w:sz w:val="16"/>
                <w:szCs w:val="16"/>
              </w:rPr>
              <w:t>Vice president of development 1996 to 2010; Vice president commercial 2010 to 2014 &amp; President 2014 to date</w:t>
            </w:r>
          </w:p>
        </w:tc>
        <w:tc>
          <w:tcPr>
            <w:tcW w:w="1142" w:type="dxa"/>
          </w:tcPr>
          <w:p w14:paraId="40D33322" w14:textId="77777777" w:rsidR="00CD6352" w:rsidRPr="00347F7E" w:rsidRDefault="00CD6352" w:rsidP="00CD6352">
            <w:pPr>
              <w:jc w:val="both"/>
              <w:rPr>
                <w:rFonts w:ascii="Arial" w:eastAsia="Calibri" w:hAnsi="Arial" w:cs="Arial"/>
                <w:sz w:val="16"/>
                <w:szCs w:val="16"/>
              </w:rPr>
            </w:pPr>
          </w:p>
        </w:tc>
      </w:tr>
    </w:tbl>
    <w:p w14:paraId="7B2CF0E4" w14:textId="77777777" w:rsidR="00CD6352" w:rsidRPr="00EA7665" w:rsidRDefault="00CD6352" w:rsidP="00CD6352">
      <w:pPr>
        <w:spacing w:line="360" w:lineRule="auto"/>
        <w:jc w:val="both"/>
        <w:rPr>
          <w:rFonts w:ascii="Arial" w:hAnsi="Arial" w:cs="Arial"/>
        </w:rPr>
      </w:pPr>
    </w:p>
    <w:p w14:paraId="70A5D481" w14:textId="07E606D3" w:rsidR="002A1105" w:rsidRPr="002A1105" w:rsidRDefault="002A1105" w:rsidP="002A1105">
      <w:pPr>
        <w:pStyle w:val="Caption"/>
        <w:keepNext/>
        <w:rPr>
          <w:rFonts w:ascii="Arial" w:hAnsi="Arial" w:cs="Arial"/>
          <w:sz w:val="16"/>
          <w:szCs w:val="16"/>
        </w:rPr>
      </w:pPr>
      <w:bookmarkStart w:id="1383" w:name="_Toc78984027"/>
      <w:r w:rsidRPr="002A110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4</w:t>
      </w:r>
      <w:r w:rsidR="008F25B1">
        <w:rPr>
          <w:rFonts w:ascii="Arial" w:hAnsi="Arial" w:cs="Arial"/>
          <w:sz w:val="16"/>
          <w:szCs w:val="16"/>
        </w:rPr>
        <w:fldChar w:fldCharType="end"/>
      </w:r>
      <w:r w:rsidRPr="002A1105">
        <w:rPr>
          <w:rFonts w:ascii="Arial" w:hAnsi="Arial" w:cs="Arial"/>
          <w:sz w:val="16"/>
          <w:szCs w:val="16"/>
        </w:rPr>
        <w:t>: Major Characteristics of background &amp; career paths for managers in emerging economies</w:t>
      </w:r>
      <w:bookmarkEnd w:id="1383"/>
      <w:r w:rsidRPr="002A1105">
        <w:rPr>
          <w:rFonts w:ascii="Arial" w:hAnsi="Arial" w:cs="Arial"/>
          <w:sz w:val="16"/>
          <w:szCs w:val="16"/>
        </w:rPr>
        <w:t xml:space="preserve">  </w:t>
      </w:r>
    </w:p>
    <w:tbl>
      <w:tblPr>
        <w:tblStyle w:val="TableGrid2"/>
        <w:tblW w:w="0" w:type="auto"/>
        <w:jc w:val="center"/>
        <w:tblLook w:val="04A0" w:firstRow="1" w:lastRow="0" w:firstColumn="1" w:lastColumn="0" w:noHBand="0" w:noVBand="1"/>
      </w:tblPr>
      <w:tblGrid>
        <w:gridCol w:w="1051"/>
        <w:gridCol w:w="1258"/>
        <w:gridCol w:w="1242"/>
        <w:gridCol w:w="849"/>
        <w:gridCol w:w="3167"/>
        <w:gridCol w:w="1449"/>
      </w:tblGrid>
      <w:tr w:rsidR="00CD6352" w:rsidRPr="00C17D94" w14:paraId="6E65908C" w14:textId="77777777" w:rsidTr="00CD6352">
        <w:trPr>
          <w:trHeight w:val="809"/>
          <w:jc w:val="center"/>
        </w:trPr>
        <w:tc>
          <w:tcPr>
            <w:tcW w:w="0" w:type="auto"/>
          </w:tcPr>
          <w:p w14:paraId="69B9F887" w14:textId="77777777" w:rsidR="00CD6352" w:rsidRPr="00C17D94" w:rsidRDefault="00CD6352" w:rsidP="00CD6352">
            <w:pPr>
              <w:jc w:val="both"/>
              <w:rPr>
                <w:rFonts w:ascii="Arial" w:eastAsia="Calibri" w:hAnsi="Arial" w:cs="Arial"/>
                <w:b/>
                <w:bCs/>
                <w:sz w:val="16"/>
                <w:szCs w:val="16"/>
              </w:rPr>
            </w:pPr>
            <w:r w:rsidRPr="00C17D94">
              <w:rPr>
                <w:rFonts w:ascii="Arial" w:eastAsia="Calibri" w:hAnsi="Arial" w:cs="Arial"/>
                <w:b/>
                <w:bCs/>
                <w:sz w:val="16"/>
                <w:szCs w:val="16"/>
              </w:rPr>
              <w:t>Countries/ mgrs.</w:t>
            </w:r>
            <w:r w:rsidRPr="00C17D94">
              <w:rPr>
                <w:rFonts w:ascii="Arial" w:eastAsia="Calibri" w:hAnsi="Arial" w:cs="Arial"/>
                <w:b/>
                <w:bCs/>
                <w:sz w:val="16"/>
                <w:szCs w:val="16"/>
              </w:rPr>
              <w:tab/>
            </w:r>
          </w:p>
        </w:tc>
        <w:tc>
          <w:tcPr>
            <w:tcW w:w="0" w:type="auto"/>
          </w:tcPr>
          <w:p w14:paraId="1E8047DC" w14:textId="77777777" w:rsidR="00CD6352" w:rsidRPr="00C17D94" w:rsidRDefault="00CD6352" w:rsidP="00CD6352">
            <w:pPr>
              <w:jc w:val="both"/>
              <w:rPr>
                <w:rFonts w:ascii="Arial" w:eastAsia="Calibri" w:hAnsi="Arial" w:cs="Arial"/>
                <w:b/>
                <w:bCs/>
                <w:sz w:val="16"/>
                <w:szCs w:val="16"/>
              </w:rPr>
            </w:pPr>
            <w:r w:rsidRPr="00C17D94">
              <w:rPr>
                <w:rFonts w:ascii="Arial" w:eastAsia="Calibri" w:hAnsi="Arial" w:cs="Arial"/>
                <w:b/>
                <w:bCs/>
                <w:sz w:val="16"/>
                <w:szCs w:val="16"/>
              </w:rPr>
              <w:t>Class of management</w:t>
            </w:r>
          </w:p>
        </w:tc>
        <w:tc>
          <w:tcPr>
            <w:tcW w:w="0" w:type="auto"/>
          </w:tcPr>
          <w:p w14:paraId="3A517D37" w14:textId="77777777" w:rsidR="00CD6352" w:rsidRPr="00C17D94" w:rsidRDefault="00CD6352" w:rsidP="00CD6352">
            <w:pPr>
              <w:jc w:val="both"/>
              <w:rPr>
                <w:rFonts w:ascii="Arial" w:eastAsia="Calibri" w:hAnsi="Arial" w:cs="Arial"/>
                <w:b/>
                <w:bCs/>
                <w:sz w:val="16"/>
                <w:szCs w:val="16"/>
              </w:rPr>
            </w:pPr>
            <w:r w:rsidRPr="00C17D94">
              <w:rPr>
                <w:rFonts w:ascii="Arial" w:eastAsia="Calibri" w:hAnsi="Arial" w:cs="Arial"/>
                <w:b/>
                <w:bCs/>
                <w:sz w:val="16"/>
                <w:szCs w:val="16"/>
              </w:rPr>
              <w:t xml:space="preserve">Real estate area of speciality </w:t>
            </w:r>
            <w:r w:rsidRPr="00C17D94">
              <w:rPr>
                <w:rFonts w:ascii="Arial" w:eastAsia="Calibri" w:hAnsi="Arial" w:cs="Arial"/>
                <w:b/>
                <w:bCs/>
                <w:sz w:val="16"/>
                <w:szCs w:val="16"/>
              </w:rPr>
              <w:tab/>
            </w:r>
          </w:p>
        </w:tc>
        <w:tc>
          <w:tcPr>
            <w:tcW w:w="0" w:type="auto"/>
          </w:tcPr>
          <w:p w14:paraId="633D8CF5" w14:textId="77777777" w:rsidR="00CD6352" w:rsidRPr="00C17D94" w:rsidRDefault="00CD6352" w:rsidP="00CD6352">
            <w:pPr>
              <w:jc w:val="both"/>
              <w:rPr>
                <w:rFonts w:ascii="Arial" w:eastAsia="Calibri" w:hAnsi="Arial" w:cs="Arial"/>
                <w:b/>
                <w:bCs/>
                <w:sz w:val="16"/>
                <w:szCs w:val="16"/>
              </w:rPr>
            </w:pPr>
            <w:r w:rsidRPr="00C17D94">
              <w:rPr>
                <w:rFonts w:ascii="Arial" w:eastAsia="Calibri" w:hAnsi="Arial" w:cs="Arial"/>
                <w:b/>
                <w:bCs/>
                <w:sz w:val="16"/>
                <w:szCs w:val="16"/>
              </w:rPr>
              <w:t>No of years in the real estate sector</w:t>
            </w:r>
          </w:p>
        </w:tc>
        <w:tc>
          <w:tcPr>
            <w:tcW w:w="0" w:type="auto"/>
          </w:tcPr>
          <w:p w14:paraId="4B557502" w14:textId="77777777" w:rsidR="00CD6352" w:rsidRPr="00C17D94" w:rsidRDefault="00CD6352" w:rsidP="00CD6352">
            <w:pPr>
              <w:jc w:val="both"/>
              <w:rPr>
                <w:rFonts w:ascii="Arial" w:eastAsia="Calibri" w:hAnsi="Arial" w:cs="Arial"/>
                <w:b/>
                <w:bCs/>
                <w:sz w:val="16"/>
                <w:szCs w:val="16"/>
              </w:rPr>
            </w:pPr>
            <w:r w:rsidRPr="00C17D94">
              <w:rPr>
                <w:rFonts w:ascii="Arial" w:eastAsia="Calibri" w:hAnsi="Arial" w:cs="Arial"/>
                <w:b/>
                <w:bCs/>
                <w:sz w:val="16"/>
                <w:szCs w:val="16"/>
              </w:rPr>
              <w:t>Career path in chronological order</w:t>
            </w:r>
            <w:r w:rsidRPr="00C17D94">
              <w:rPr>
                <w:rFonts w:ascii="Arial" w:eastAsia="Calibri" w:hAnsi="Arial" w:cs="Arial"/>
                <w:b/>
                <w:bCs/>
                <w:sz w:val="16"/>
                <w:szCs w:val="16"/>
              </w:rPr>
              <w:tab/>
            </w:r>
          </w:p>
        </w:tc>
        <w:tc>
          <w:tcPr>
            <w:tcW w:w="0" w:type="auto"/>
          </w:tcPr>
          <w:p w14:paraId="2876BE0C" w14:textId="77777777" w:rsidR="00CD6352" w:rsidRPr="00C17D94" w:rsidRDefault="00CD6352" w:rsidP="00CD6352">
            <w:pPr>
              <w:jc w:val="both"/>
              <w:rPr>
                <w:rFonts w:ascii="Arial" w:eastAsia="Calibri" w:hAnsi="Arial" w:cs="Arial"/>
                <w:b/>
                <w:bCs/>
                <w:sz w:val="16"/>
                <w:szCs w:val="16"/>
              </w:rPr>
            </w:pPr>
            <w:r w:rsidRPr="00C17D94">
              <w:rPr>
                <w:rFonts w:ascii="Arial" w:eastAsia="Calibri" w:hAnsi="Arial" w:cs="Arial"/>
                <w:b/>
                <w:bCs/>
                <w:sz w:val="16"/>
                <w:szCs w:val="16"/>
              </w:rPr>
              <w:t>International work experiences</w:t>
            </w:r>
          </w:p>
        </w:tc>
      </w:tr>
      <w:tr w:rsidR="00CD6352" w:rsidRPr="00C17D94" w14:paraId="7EC25758" w14:textId="77777777" w:rsidTr="00CD6352">
        <w:trPr>
          <w:trHeight w:val="809"/>
          <w:jc w:val="center"/>
        </w:trPr>
        <w:tc>
          <w:tcPr>
            <w:tcW w:w="0" w:type="auto"/>
          </w:tcPr>
          <w:p w14:paraId="496741EC"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China Mgr2</w:t>
            </w:r>
          </w:p>
        </w:tc>
        <w:tc>
          <w:tcPr>
            <w:tcW w:w="0" w:type="auto"/>
          </w:tcPr>
          <w:p w14:paraId="1958C657"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management</w:t>
            </w:r>
          </w:p>
        </w:tc>
        <w:tc>
          <w:tcPr>
            <w:tcW w:w="0" w:type="auto"/>
          </w:tcPr>
          <w:p w14:paraId="7DBDB5A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Commercial &amp; residential</w:t>
            </w:r>
          </w:p>
        </w:tc>
        <w:tc>
          <w:tcPr>
            <w:tcW w:w="0" w:type="auto"/>
          </w:tcPr>
          <w:p w14:paraId="71EE641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27</w:t>
            </w:r>
          </w:p>
        </w:tc>
        <w:tc>
          <w:tcPr>
            <w:tcW w:w="0" w:type="auto"/>
          </w:tcPr>
          <w:p w14:paraId="6181B40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General Manager, project director &amp; project manager (1992 to 2001), Researcher international project management, project finance &amp; MNC’s operation (2001 to 2005), Adjunct Professor (2008 to 2013), Executive general manager (2009 to 2014), Senior management at the World Bank/ Asian development bank (2005 to 2015), Partner PWC (2015 to date)</w:t>
            </w:r>
          </w:p>
          <w:p w14:paraId="47E4078C" w14:textId="77777777" w:rsidR="00CD6352" w:rsidRPr="00C17D94" w:rsidRDefault="00CD6352" w:rsidP="00CD6352">
            <w:pPr>
              <w:jc w:val="both"/>
              <w:rPr>
                <w:rFonts w:ascii="Arial" w:eastAsia="Calibri" w:hAnsi="Arial" w:cs="Arial"/>
                <w:sz w:val="16"/>
                <w:szCs w:val="16"/>
              </w:rPr>
            </w:pPr>
          </w:p>
        </w:tc>
        <w:tc>
          <w:tcPr>
            <w:tcW w:w="0" w:type="auto"/>
          </w:tcPr>
          <w:p w14:paraId="120256A3"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Malaysia, Pakistan, Sri Lanka, Bangladesh, Singapore, Belize &amp; Peru.</w:t>
            </w:r>
          </w:p>
        </w:tc>
      </w:tr>
      <w:tr w:rsidR="00CD6352" w:rsidRPr="00C17D94" w14:paraId="29364D7C" w14:textId="77777777" w:rsidTr="00CD6352">
        <w:trPr>
          <w:trHeight w:val="756"/>
          <w:jc w:val="center"/>
        </w:trPr>
        <w:tc>
          <w:tcPr>
            <w:tcW w:w="0" w:type="auto"/>
          </w:tcPr>
          <w:p w14:paraId="009DCAA7"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China Mgr3</w:t>
            </w:r>
          </w:p>
        </w:tc>
        <w:tc>
          <w:tcPr>
            <w:tcW w:w="0" w:type="auto"/>
          </w:tcPr>
          <w:p w14:paraId="4074099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Management</w:t>
            </w:r>
          </w:p>
        </w:tc>
        <w:tc>
          <w:tcPr>
            <w:tcW w:w="0" w:type="auto"/>
          </w:tcPr>
          <w:p w14:paraId="3E9FA93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Commercial &amp; residential</w:t>
            </w:r>
          </w:p>
        </w:tc>
        <w:tc>
          <w:tcPr>
            <w:tcW w:w="0" w:type="auto"/>
          </w:tcPr>
          <w:p w14:paraId="0E2A6D82"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w:t>
            </w:r>
          </w:p>
        </w:tc>
        <w:tc>
          <w:tcPr>
            <w:tcW w:w="0" w:type="auto"/>
          </w:tcPr>
          <w:p w14:paraId="0CB7CA4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 years of real estate investment and management experience in the United States and Asia  as  Vice-Chairman and former Chairman of al real estate companies</w:t>
            </w:r>
          </w:p>
        </w:tc>
        <w:tc>
          <w:tcPr>
            <w:tcW w:w="0" w:type="auto"/>
          </w:tcPr>
          <w:p w14:paraId="01D6D1A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United States </w:t>
            </w:r>
          </w:p>
        </w:tc>
      </w:tr>
      <w:tr w:rsidR="00CD6352" w:rsidRPr="00C17D94" w14:paraId="07FD1C03" w14:textId="77777777" w:rsidTr="00CD6352">
        <w:trPr>
          <w:trHeight w:val="756"/>
          <w:jc w:val="center"/>
        </w:trPr>
        <w:tc>
          <w:tcPr>
            <w:tcW w:w="0" w:type="auto"/>
          </w:tcPr>
          <w:p w14:paraId="2347690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China Mgr4</w:t>
            </w:r>
          </w:p>
        </w:tc>
        <w:tc>
          <w:tcPr>
            <w:tcW w:w="0" w:type="auto"/>
          </w:tcPr>
          <w:p w14:paraId="0594763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Management</w:t>
            </w:r>
          </w:p>
        </w:tc>
        <w:tc>
          <w:tcPr>
            <w:tcW w:w="0" w:type="auto"/>
          </w:tcPr>
          <w:p w14:paraId="2B8761C3"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Commercial &amp; residential</w:t>
            </w:r>
          </w:p>
        </w:tc>
        <w:tc>
          <w:tcPr>
            <w:tcW w:w="0" w:type="auto"/>
          </w:tcPr>
          <w:p w14:paraId="03BE4A83"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w:t>
            </w:r>
          </w:p>
        </w:tc>
        <w:tc>
          <w:tcPr>
            <w:tcW w:w="0" w:type="auto"/>
          </w:tcPr>
          <w:p w14:paraId="363D40CF" w14:textId="606BAED9"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 years of Real estate investment and management experience in Thailand, Hong Kong, and China as Managing Director; director of leading real estate companies in US and Asia; Worked in the Structured Finance group at an international bank in New York and Corporate Finance at an international bank in Asia.</w:t>
            </w:r>
          </w:p>
        </w:tc>
        <w:tc>
          <w:tcPr>
            <w:tcW w:w="0" w:type="auto"/>
          </w:tcPr>
          <w:p w14:paraId="66EC0809" w14:textId="1B83ED56"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Thailand and Hong Kong </w:t>
            </w:r>
          </w:p>
        </w:tc>
      </w:tr>
      <w:tr w:rsidR="00CD6352" w:rsidRPr="00C17D94" w14:paraId="2BCD25C8" w14:textId="77777777" w:rsidTr="00CD6352">
        <w:trPr>
          <w:trHeight w:val="756"/>
          <w:jc w:val="center"/>
        </w:trPr>
        <w:tc>
          <w:tcPr>
            <w:tcW w:w="0" w:type="auto"/>
          </w:tcPr>
          <w:p w14:paraId="1428514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China Mgr5</w:t>
            </w:r>
          </w:p>
        </w:tc>
        <w:tc>
          <w:tcPr>
            <w:tcW w:w="0" w:type="auto"/>
          </w:tcPr>
          <w:p w14:paraId="69C3788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0AF4659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 &amp; commercial</w:t>
            </w:r>
          </w:p>
        </w:tc>
        <w:tc>
          <w:tcPr>
            <w:tcW w:w="0" w:type="auto"/>
          </w:tcPr>
          <w:p w14:paraId="5CE9CCFC"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w:t>
            </w:r>
          </w:p>
        </w:tc>
        <w:tc>
          <w:tcPr>
            <w:tcW w:w="0" w:type="auto"/>
          </w:tcPr>
          <w:p w14:paraId="1069C0CF" w14:textId="68999D6F"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Former director and Board of Directors of major hotels in Shanghai; before joining the present real estate company. </w:t>
            </w:r>
          </w:p>
        </w:tc>
        <w:tc>
          <w:tcPr>
            <w:tcW w:w="0" w:type="auto"/>
          </w:tcPr>
          <w:p w14:paraId="44166FD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6F9643B0" w14:textId="77777777" w:rsidTr="00CD6352">
        <w:trPr>
          <w:trHeight w:val="756"/>
          <w:jc w:val="center"/>
        </w:trPr>
        <w:tc>
          <w:tcPr>
            <w:tcW w:w="0" w:type="auto"/>
          </w:tcPr>
          <w:p w14:paraId="782F369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China Mgr 6</w:t>
            </w:r>
          </w:p>
        </w:tc>
        <w:tc>
          <w:tcPr>
            <w:tcW w:w="0" w:type="auto"/>
          </w:tcPr>
          <w:p w14:paraId="464EC70D"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5737298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 &amp; commercial</w:t>
            </w:r>
          </w:p>
        </w:tc>
        <w:tc>
          <w:tcPr>
            <w:tcW w:w="0" w:type="auto"/>
          </w:tcPr>
          <w:p w14:paraId="7A41A1F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w:t>
            </w:r>
          </w:p>
        </w:tc>
        <w:tc>
          <w:tcPr>
            <w:tcW w:w="0" w:type="auto"/>
          </w:tcPr>
          <w:p w14:paraId="42EEA2B2"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Over 20 years of investment banking and investment management experience in the Asia-Pacific region; Worked at both UBS and Goldman Sachs during her investment banking career, covering major institutional clients around the region in Asian Equities.</w:t>
            </w:r>
          </w:p>
        </w:tc>
        <w:tc>
          <w:tcPr>
            <w:tcW w:w="0" w:type="auto"/>
          </w:tcPr>
          <w:p w14:paraId="57E4622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Asia pacific</w:t>
            </w:r>
          </w:p>
        </w:tc>
      </w:tr>
      <w:tr w:rsidR="00CD6352" w:rsidRPr="00C17D94" w14:paraId="78F70740" w14:textId="77777777" w:rsidTr="00CD6352">
        <w:trPr>
          <w:trHeight w:val="756"/>
          <w:jc w:val="center"/>
        </w:trPr>
        <w:tc>
          <w:tcPr>
            <w:tcW w:w="0" w:type="auto"/>
          </w:tcPr>
          <w:p w14:paraId="72AFA8C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lastRenderedPageBreak/>
              <w:t>China Mgr7</w:t>
            </w:r>
          </w:p>
        </w:tc>
        <w:tc>
          <w:tcPr>
            <w:tcW w:w="0" w:type="auto"/>
          </w:tcPr>
          <w:p w14:paraId="57E9CAA8"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3F10611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 Commercial</w:t>
            </w:r>
          </w:p>
        </w:tc>
        <w:tc>
          <w:tcPr>
            <w:tcW w:w="0" w:type="auto"/>
          </w:tcPr>
          <w:p w14:paraId="7269122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25</w:t>
            </w:r>
          </w:p>
        </w:tc>
        <w:tc>
          <w:tcPr>
            <w:tcW w:w="0" w:type="auto"/>
          </w:tcPr>
          <w:p w14:paraId="43E9825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Property services ( 6yrs); Banking (3years); banking and property investment (4years) and Pension plan investment board ( 2009 to present – 10years)</w:t>
            </w:r>
          </w:p>
        </w:tc>
        <w:tc>
          <w:tcPr>
            <w:tcW w:w="0" w:type="auto"/>
          </w:tcPr>
          <w:p w14:paraId="7039EAF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U.S, Moscow, and Canada</w:t>
            </w:r>
          </w:p>
        </w:tc>
      </w:tr>
      <w:tr w:rsidR="00CD6352" w:rsidRPr="00C17D94" w14:paraId="39E2B85D" w14:textId="77777777" w:rsidTr="00CD6352">
        <w:trPr>
          <w:trHeight w:val="756"/>
          <w:jc w:val="center"/>
        </w:trPr>
        <w:tc>
          <w:tcPr>
            <w:tcW w:w="0" w:type="auto"/>
          </w:tcPr>
          <w:p w14:paraId="37DE0B13"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Nigeria Mgr1</w:t>
            </w:r>
          </w:p>
        </w:tc>
        <w:tc>
          <w:tcPr>
            <w:tcW w:w="0" w:type="auto"/>
          </w:tcPr>
          <w:p w14:paraId="5C5BB63C"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 / CEO</w:t>
            </w:r>
          </w:p>
        </w:tc>
        <w:tc>
          <w:tcPr>
            <w:tcW w:w="0" w:type="auto"/>
          </w:tcPr>
          <w:p w14:paraId="456B0FF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Residential </w:t>
            </w:r>
          </w:p>
        </w:tc>
        <w:tc>
          <w:tcPr>
            <w:tcW w:w="0" w:type="auto"/>
          </w:tcPr>
          <w:p w14:paraId="374F327F"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18</w:t>
            </w:r>
          </w:p>
        </w:tc>
        <w:tc>
          <w:tcPr>
            <w:tcW w:w="0" w:type="auto"/>
          </w:tcPr>
          <w:p w14:paraId="7450F079"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Started real estate business in 2002, a member of Real Estate Developers of Nigeria (REDAN), assistant national secretary and board of trustee member of Nigerian chartered institute of project managers</w:t>
            </w:r>
          </w:p>
        </w:tc>
        <w:tc>
          <w:tcPr>
            <w:tcW w:w="0" w:type="auto"/>
          </w:tcPr>
          <w:p w14:paraId="602656F4" w14:textId="77777777" w:rsidR="00CD6352" w:rsidRPr="00C17D94" w:rsidRDefault="00CD6352" w:rsidP="00CD6352">
            <w:pPr>
              <w:jc w:val="both"/>
              <w:rPr>
                <w:rFonts w:ascii="Arial" w:eastAsia="Calibri" w:hAnsi="Arial" w:cs="Arial"/>
                <w:sz w:val="16"/>
                <w:szCs w:val="16"/>
              </w:rPr>
            </w:pPr>
          </w:p>
        </w:tc>
      </w:tr>
      <w:tr w:rsidR="00CD6352" w:rsidRPr="00C17D94" w14:paraId="25012832" w14:textId="77777777" w:rsidTr="00CD6352">
        <w:trPr>
          <w:trHeight w:val="593"/>
          <w:jc w:val="center"/>
        </w:trPr>
        <w:tc>
          <w:tcPr>
            <w:tcW w:w="0" w:type="auto"/>
          </w:tcPr>
          <w:p w14:paraId="49C7ACF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Nigeria Mgr2</w:t>
            </w:r>
          </w:p>
        </w:tc>
        <w:tc>
          <w:tcPr>
            <w:tcW w:w="0" w:type="auto"/>
          </w:tcPr>
          <w:p w14:paraId="0C42554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67CE08FD"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w:t>
            </w:r>
          </w:p>
        </w:tc>
        <w:tc>
          <w:tcPr>
            <w:tcW w:w="0" w:type="auto"/>
          </w:tcPr>
          <w:p w14:paraId="663BB257"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15</w:t>
            </w:r>
          </w:p>
        </w:tc>
        <w:tc>
          <w:tcPr>
            <w:tcW w:w="0" w:type="auto"/>
          </w:tcPr>
          <w:p w14:paraId="1B35AB0B" w14:textId="02CD4164"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Construction (2004 to 2011), quantity survey services, project management  and real estate development(2011 to date ),</w:t>
            </w:r>
          </w:p>
        </w:tc>
        <w:tc>
          <w:tcPr>
            <w:tcW w:w="0" w:type="auto"/>
          </w:tcPr>
          <w:p w14:paraId="74EF8D00"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22CA9521" w14:textId="77777777" w:rsidTr="00CD6352">
        <w:trPr>
          <w:trHeight w:val="534"/>
          <w:jc w:val="center"/>
        </w:trPr>
        <w:tc>
          <w:tcPr>
            <w:tcW w:w="0" w:type="auto"/>
          </w:tcPr>
          <w:p w14:paraId="386FCEEC"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Nigeria Mgr3</w:t>
            </w:r>
          </w:p>
        </w:tc>
        <w:tc>
          <w:tcPr>
            <w:tcW w:w="0" w:type="auto"/>
          </w:tcPr>
          <w:p w14:paraId="3461F58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 / CEO</w:t>
            </w:r>
          </w:p>
        </w:tc>
        <w:tc>
          <w:tcPr>
            <w:tcW w:w="0" w:type="auto"/>
          </w:tcPr>
          <w:p w14:paraId="2D14DB97"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w:t>
            </w:r>
          </w:p>
        </w:tc>
        <w:tc>
          <w:tcPr>
            <w:tcW w:w="0" w:type="auto"/>
          </w:tcPr>
          <w:p w14:paraId="1438F56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8</w:t>
            </w:r>
          </w:p>
        </w:tc>
        <w:tc>
          <w:tcPr>
            <w:tcW w:w="0" w:type="auto"/>
          </w:tcPr>
          <w:p w14:paraId="682AC662"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Studio Architect, Project Architect, Designing and real estate development</w:t>
            </w:r>
          </w:p>
        </w:tc>
        <w:tc>
          <w:tcPr>
            <w:tcW w:w="0" w:type="auto"/>
          </w:tcPr>
          <w:p w14:paraId="4C097B43"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4C91192F" w14:textId="77777777" w:rsidTr="00CD6352">
        <w:trPr>
          <w:trHeight w:val="601"/>
          <w:jc w:val="center"/>
        </w:trPr>
        <w:tc>
          <w:tcPr>
            <w:tcW w:w="0" w:type="auto"/>
          </w:tcPr>
          <w:p w14:paraId="50C7DA0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Nigeria Mgr4</w:t>
            </w:r>
          </w:p>
        </w:tc>
        <w:tc>
          <w:tcPr>
            <w:tcW w:w="0" w:type="auto"/>
          </w:tcPr>
          <w:p w14:paraId="1E03D327"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13C830C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w:t>
            </w:r>
          </w:p>
        </w:tc>
        <w:tc>
          <w:tcPr>
            <w:tcW w:w="0" w:type="auto"/>
          </w:tcPr>
          <w:p w14:paraId="0203D8DA"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30</w:t>
            </w:r>
          </w:p>
        </w:tc>
        <w:tc>
          <w:tcPr>
            <w:tcW w:w="0" w:type="auto"/>
          </w:tcPr>
          <w:p w14:paraId="68A2CA28"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Lawyer, Broker, and real estate development</w:t>
            </w:r>
          </w:p>
        </w:tc>
        <w:tc>
          <w:tcPr>
            <w:tcW w:w="0" w:type="auto"/>
          </w:tcPr>
          <w:p w14:paraId="48324BC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Dubai</w:t>
            </w:r>
          </w:p>
        </w:tc>
      </w:tr>
      <w:tr w:rsidR="00CD6352" w:rsidRPr="00C17D94" w14:paraId="2188F9E7" w14:textId="77777777" w:rsidTr="00CD6352">
        <w:trPr>
          <w:trHeight w:val="679"/>
          <w:jc w:val="center"/>
        </w:trPr>
        <w:tc>
          <w:tcPr>
            <w:tcW w:w="0" w:type="auto"/>
          </w:tcPr>
          <w:p w14:paraId="757FF36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Nigeria Mgr5</w:t>
            </w:r>
          </w:p>
        </w:tc>
        <w:tc>
          <w:tcPr>
            <w:tcW w:w="0" w:type="auto"/>
          </w:tcPr>
          <w:p w14:paraId="48A942EE"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Middle level</w:t>
            </w:r>
          </w:p>
        </w:tc>
        <w:tc>
          <w:tcPr>
            <w:tcW w:w="0" w:type="auto"/>
          </w:tcPr>
          <w:p w14:paraId="20798B3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w:t>
            </w:r>
          </w:p>
        </w:tc>
        <w:tc>
          <w:tcPr>
            <w:tcW w:w="0" w:type="auto"/>
          </w:tcPr>
          <w:p w14:paraId="71DD8B6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6</w:t>
            </w:r>
          </w:p>
        </w:tc>
        <w:tc>
          <w:tcPr>
            <w:tcW w:w="0" w:type="auto"/>
          </w:tcPr>
          <w:p w14:paraId="5B39B58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Banking and project development </w:t>
            </w:r>
          </w:p>
        </w:tc>
        <w:tc>
          <w:tcPr>
            <w:tcW w:w="0" w:type="auto"/>
          </w:tcPr>
          <w:p w14:paraId="4FF5BE0E"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1A4983DA" w14:textId="77777777" w:rsidTr="00CD6352">
        <w:trPr>
          <w:trHeight w:val="596"/>
          <w:jc w:val="center"/>
        </w:trPr>
        <w:tc>
          <w:tcPr>
            <w:tcW w:w="0" w:type="auto"/>
          </w:tcPr>
          <w:p w14:paraId="1EE7CC17"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Nigeria Mgr6</w:t>
            </w:r>
          </w:p>
        </w:tc>
        <w:tc>
          <w:tcPr>
            <w:tcW w:w="0" w:type="auto"/>
          </w:tcPr>
          <w:p w14:paraId="3D8D5889"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Middle-level manager</w:t>
            </w:r>
          </w:p>
        </w:tc>
        <w:tc>
          <w:tcPr>
            <w:tcW w:w="0" w:type="auto"/>
          </w:tcPr>
          <w:p w14:paraId="728A52DD"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Residential</w:t>
            </w:r>
          </w:p>
        </w:tc>
        <w:tc>
          <w:tcPr>
            <w:tcW w:w="0" w:type="auto"/>
          </w:tcPr>
          <w:p w14:paraId="3F99D2FC"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10</w:t>
            </w:r>
          </w:p>
        </w:tc>
        <w:tc>
          <w:tcPr>
            <w:tcW w:w="0" w:type="auto"/>
          </w:tcPr>
          <w:p w14:paraId="0B3FDA3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Real estate (3years) and property development</w:t>
            </w:r>
          </w:p>
        </w:tc>
        <w:tc>
          <w:tcPr>
            <w:tcW w:w="0" w:type="auto"/>
          </w:tcPr>
          <w:p w14:paraId="2BA2A96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7D19846A" w14:textId="77777777" w:rsidTr="00CD6352">
        <w:trPr>
          <w:trHeight w:val="756"/>
          <w:jc w:val="center"/>
        </w:trPr>
        <w:tc>
          <w:tcPr>
            <w:tcW w:w="0" w:type="auto"/>
          </w:tcPr>
          <w:p w14:paraId="1153F4DA"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South Africa Mgr1</w:t>
            </w:r>
          </w:p>
        </w:tc>
        <w:tc>
          <w:tcPr>
            <w:tcW w:w="0" w:type="auto"/>
          </w:tcPr>
          <w:p w14:paraId="5CE4FA94"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Lower level manager</w:t>
            </w:r>
          </w:p>
        </w:tc>
        <w:tc>
          <w:tcPr>
            <w:tcW w:w="0" w:type="auto"/>
          </w:tcPr>
          <w:p w14:paraId="576DE01F"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Commercial &amp; residential</w:t>
            </w:r>
          </w:p>
        </w:tc>
        <w:tc>
          <w:tcPr>
            <w:tcW w:w="0" w:type="auto"/>
          </w:tcPr>
          <w:p w14:paraId="2D3BF5B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6</w:t>
            </w:r>
          </w:p>
        </w:tc>
        <w:tc>
          <w:tcPr>
            <w:tcW w:w="0" w:type="auto"/>
          </w:tcPr>
          <w:p w14:paraId="704ED30F"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Risk department in a bank, risk department in insurance, market, credit risk, and project finance in present company</w:t>
            </w:r>
          </w:p>
        </w:tc>
        <w:tc>
          <w:tcPr>
            <w:tcW w:w="0" w:type="auto"/>
          </w:tcPr>
          <w:p w14:paraId="1B03D54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66D6AD17" w14:textId="77777777" w:rsidTr="00CD6352">
        <w:trPr>
          <w:trHeight w:val="475"/>
          <w:jc w:val="center"/>
        </w:trPr>
        <w:tc>
          <w:tcPr>
            <w:tcW w:w="0" w:type="auto"/>
          </w:tcPr>
          <w:p w14:paraId="56F9DA3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South Africa Mgr2</w:t>
            </w:r>
          </w:p>
        </w:tc>
        <w:tc>
          <w:tcPr>
            <w:tcW w:w="0" w:type="auto"/>
          </w:tcPr>
          <w:p w14:paraId="4A35EFDC"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123FB061"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 xml:space="preserve">Residential and commercial </w:t>
            </w:r>
          </w:p>
        </w:tc>
        <w:tc>
          <w:tcPr>
            <w:tcW w:w="0" w:type="auto"/>
          </w:tcPr>
          <w:p w14:paraId="305E2A78"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14</w:t>
            </w:r>
          </w:p>
        </w:tc>
        <w:tc>
          <w:tcPr>
            <w:tcW w:w="0" w:type="auto"/>
          </w:tcPr>
          <w:p w14:paraId="278FFE09"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Entrepreneurship, renovation, buying &amp; selling properties</w:t>
            </w:r>
          </w:p>
        </w:tc>
        <w:tc>
          <w:tcPr>
            <w:tcW w:w="0" w:type="auto"/>
          </w:tcPr>
          <w:p w14:paraId="5A115AD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None</w:t>
            </w:r>
          </w:p>
        </w:tc>
      </w:tr>
      <w:tr w:rsidR="00CD6352" w:rsidRPr="00C17D94" w14:paraId="5D58E8B6" w14:textId="77777777" w:rsidTr="00CD6352">
        <w:trPr>
          <w:trHeight w:val="977"/>
          <w:jc w:val="center"/>
        </w:trPr>
        <w:tc>
          <w:tcPr>
            <w:tcW w:w="0" w:type="auto"/>
          </w:tcPr>
          <w:p w14:paraId="54BB3408"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South Africa mgr. 3</w:t>
            </w:r>
          </w:p>
        </w:tc>
        <w:tc>
          <w:tcPr>
            <w:tcW w:w="0" w:type="auto"/>
          </w:tcPr>
          <w:p w14:paraId="2CC7E73B"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0BFE917D"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Commercial ( Educational)</w:t>
            </w:r>
          </w:p>
        </w:tc>
        <w:tc>
          <w:tcPr>
            <w:tcW w:w="0" w:type="auto"/>
          </w:tcPr>
          <w:p w14:paraId="40200DBA"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20</w:t>
            </w:r>
          </w:p>
        </w:tc>
        <w:tc>
          <w:tcPr>
            <w:tcW w:w="0" w:type="auto"/>
          </w:tcPr>
          <w:p w14:paraId="28BB5D9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Junior quantity surveyor in a construction firm (1999 to 2001); Senior quantity surveyor (2001 to 2006), property development manager (2006 to 2008), Head property development (2007 to 2012), property development manager 2011 to 2016), Executive director (2016 to date).</w:t>
            </w:r>
          </w:p>
        </w:tc>
        <w:tc>
          <w:tcPr>
            <w:tcW w:w="0" w:type="auto"/>
          </w:tcPr>
          <w:p w14:paraId="3701DBC5"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Nil</w:t>
            </w:r>
          </w:p>
        </w:tc>
      </w:tr>
      <w:tr w:rsidR="00CD6352" w:rsidRPr="00C17D94" w14:paraId="07267DC9" w14:textId="77777777" w:rsidTr="00CD6352">
        <w:trPr>
          <w:trHeight w:val="1111"/>
          <w:jc w:val="center"/>
        </w:trPr>
        <w:tc>
          <w:tcPr>
            <w:tcW w:w="0" w:type="auto"/>
          </w:tcPr>
          <w:p w14:paraId="36E46748"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South Africa mgr. 4</w:t>
            </w:r>
          </w:p>
        </w:tc>
        <w:tc>
          <w:tcPr>
            <w:tcW w:w="0" w:type="auto"/>
          </w:tcPr>
          <w:p w14:paraId="735B14D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Strategic manager</w:t>
            </w:r>
          </w:p>
        </w:tc>
        <w:tc>
          <w:tcPr>
            <w:tcW w:w="0" w:type="auto"/>
          </w:tcPr>
          <w:p w14:paraId="083B543A"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Commercial</w:t>
            </w:r>
          </w:p>
        </w:tc>
        <w:tc>
          <w:tcPr>
            <w:tcW w:w="0" w:type="auto"/>
          </w:tcPr>
          <w:p w14:paraId="671AD98F"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25</w:t>
            </w:r>
          </w:p>
        </w:tc>
        <w:tc>
          <w:tcPr>
            <w:tcW w:w="0" w:type="auto"/>
          </w:tcPr>
          <w:p w14:paraId="0C192E66"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Regional head of an African network provider (2000 to 2002),  General manager-Asset management (2002 to 2008), Independent Non-executive director (2009 to 2012), Founder real estate firm (2008 to 2014), Head valuation of a global bank (2008 to 2014) and Managing director asset management (2014 to date)</w:t>
            </w:r>
          </w:p>
        </w:tc>
        <w:tc>
          <w:tcPr>
            <w:tcW w:w="0" w:type="auto"/>
          </w:tcPr>
          <w:p w14:paraId="3D15C4AA" w14:textId="77777777" w:rsidR="00CD6352" w:rsidRPr="00C17D94" w:rsidRDefault="00CD6352" w:rsidP="00CD6352">
            <w:pPr>
              <w:jc w:val="both"/>
              <w:rPr>
                <w:rFonts w:ascii="Arial" w:eastAsia="Calibri" w:hAnsi="Arial" w:cs="Arial"/>
                <w:sz w:val="16"/>
                <w:szCs w:val="16"/>
              </w:rPr>
            </w:pPr>
            <w:r w:rsidRPr="00C17D94">
              <w:rPr>
                <w:rFonts w:ascii="Arial" w:eastAsia="Calibri" w:hAnsi="Arial" w:cs="Arial"/>
                <w:sz w:val="16"/>
                <w:szCs w:val="16"/>
              </w:rPr>
              <w:t>Nil</w:t>
            </w:r>
          </w:p>
        </w:tc>
      </w:tr>
    </w:tbl>
    <w:p w14:paraId="6AB43B31" w14:textId="77777777" w:rsidR="00CD6352" w:rsidRPr="00EA7665" w:rsidRDefault="00CD6352" w:rsidP="00CD6352"/>
    <w:p w14:paraId="1F4FC954" w14:textId="77777777" w:rsidR="00CD6352" w:rsidRPr="00EA7665" w:rsidRDefault="00CD6352" w:rsidP="00CD6352">
      <w:pPr>
        <w:pStyle w:val="Heading3"/>
        <w:numPr>
          <w:ilvl w:val="0"/>
          <w:numId w:val="0"/>
        </w:numPr>
        <w:ind w:left="720"/>
        <w:rPr>
          <w:rFonts w:eastAsia="Calibri"/>
          <w:sz w:val="22"/>
          <w:szCs w:val="22"/>
        </w:rPr>
      </w:pPr>
      <w:r w:rsidRPr="00EA7665">
        <w:rPr>
          <w:rFonts w:eastAsia="Calibri"/>
          <w:sz w:val="22"/>
          <w:szCs w:val="22"/>
        </w:rPr>
        <w:tab/>
      </w:r>
    </w:p>
    <w:p w14:paraId="52EB5F06" w14:textId="77777777" w:rsidR="00CD6352" w:rsidRPr="00EA7665" w:rsidRDefault="00CD6352" w:rsidP="00CD6352">
      <w:pPr>
        <w:spacing w:line="360" w:lineRule="auto"/>
        <w:rPr>
          <w:rFonts w:ascii="Arial" w:hAnsi="Arial" w:cs="Arial"/>
        </w:rPr>
      </w:pPr>
      <w:r w:rsidRPr="00EA7665">
        <w:rPr>
          <w:rFonts w:ascii="Arial" w:hAnsi="Arial" w:cs="Arial"/>
        </w:rPr>
        <w:t>The findings on the career path for the managers involved in securing finance for real estate project development in both the developed and emerging economies show no rigid uniformed career paths for managers in both regions.</w:t>
      </w:r>
    </w:p>
    <w:p w14:paraId="2AA95C45" w14:textId="087D7CDE" w:rsidR="00CD6352" w:rsidRPr="00EA7665" w:rsidRDefault="00DC49C3" w:rsidP="00CD6352">
      <w:pPr>
        <w:pStyle w:val="Heading3"/>
        <w:rPr>
          <w:rFonts w:eastAsia="Calibri"/>
          <w:sz w:val="22"/>
          <w:szCs w:val="22"/>
        </w:rPr>
      </w:pPr>
      <w:bookmarkStart w:id="1384" w:name="_Toc78983922"/>
      <w:r>
        <w:rPr>
          <w:rFonts w:eastAsia="Calibri"/>
          <w:sz w:val="22"/>
          <w:szCs w:val="22"/>
        </w:rPr>
        <w:lastRenderedPageBreak/>
        <w:t>A c</w:t>
      </w:r>
      <w:r w:rsidR="00CD6352" w:rsidRPr="00EA7665">
        <w:rPr>
          <w:rFonts w:eastAsia="Calibri"/>
          <w:sz w:val="22"/>
          <w:szCs w:val="22"/>
        </w:rPr>
        <w:t>omparison of</w:t>
      </w:r>
      <w:r w:rsidR="00A34E7E">
        <w:rPr>
          <w:rFonts w:eastAsia="Calibri"/>
          <w:sz w:val="22"/>
          <w:szCs w:val="22"/>
        </w:rPr>
        <w:t xml:space="preserve"> </w:t>
      </w:r>
      <w:r w:rsidR="00A87638">
        <w:rPr>
          <w:rFonts w:eastAsia="Calibri"/>
          <w:sz w:val="22"/>
          <w:szCs w:val="22"/>
        </w:rPr>
        <w:t xml:space="preserve">the </w:t>
      </w:r>
      <w:r>
        <w:rPr>
          <w:rFonts w:eastAsia="Calibri"/>
          <w:sz w:val="22"/>
          <w:szCs w:val="22"/>
        </w:rPr>
        <w:t>management’s</w:t>
      </w:r>
      <w:r w:rsidR="00326D80">
        <w:rPr>
          <w:rFonts w:eastAsia="Calibri"/>
          <w:sz w:val="22"/>
          <w:szCs w:val="22"/>
        </w:rPr>
        <w:t xml:space="preserve"> </w:t>
      </w:r>
      <w:r w:rsidR="00A34E7E">
        <w:rPr>
          <w:rFonts w:eastAsia="Calibri"/>
          <w:sz w:val="22"/>
          <w:szCs w:val="22"/>
        </w:rPr>
        <w:t xml:space="preserve">career path for </w:t>
      </w:r>
      <w:r w:rsidR="00326D80">
        <w:rPr>
          <w:rFonts w:eastAsia="Calibri"/>
          <w:sz w:val="22"/>
          <w:szCs w:val="22"/>
        </w:rPr>
        <w:t>securing finance for real estate project development</w:t>
      </w:r>
      <w:r w:rsidR="00A34E7E">
        <w:rPr>
          <w:rFonts w:eastAsia="Calibri"/>
          <w:sz w:val="22"/>
          <w:szCs w:val="22"/>
        </w:rPr>
        <w:t xml:space="preserve"> </w:t>
      </w:r>
      <w:r w:rsidR="00F84966">
        <w:rPr>
          <w:rFonts w:eastAsia="Calibri"/>
          <w:sz w:val="22"/>
          <w:szCs w:val="22"/>
        </w:rPr>
        <w:t xml:space="preserve">in </w:t>
      </w:r>
      <w:r w:rsidR="00F84966" w:rsidRPr="00EA7665">
        <w:rPr>
          <w:rFonts w:eastAsia="Calibri"/>
          <w:sz w:val="22"/>
          <w:szCs w:val="22"/>
        </w:rPr>
        <w:t>the</w:t>
      </w:r>
      <w:r w:rsidR="00CD6352" w:rsidRPr="00EA7665">
        <w:rPr>
          <w:rFonts w:eastAsia="Calibri"/>
          <w:sz w:val="22"/>
          <w:szCs w:val="22"/>
        </w:rPr>
        <w:t xml:space="preserve"> developed and emerging </w:t>
      </w:r>
      <w:r w:rsidR="00574642" w:rsidRPr="00EA7665">
        <w:rPr>
          <w:rFonts w:eastAsia="Calibri"/>
          <w:sz w:val="22"/>
          <w:szCs w:val="22"/>
        </w:rPr>
        <w:t>economies.</w:t>
      </w:r>
      <w:bookmarkEnd w:id="1384"/>
      <w:r w:rsidR="00CD6352" w:rsidRPr="00EA7665">
        <w:rPr>
          <w:rFonts w:eastAsia="Calibri"/>
          <w:sz w:val="22"/>
          <w:szCs w:val="22"/>
        </w:rPr>
        <w:t xml:space="preserve"> </w:t>
      </w:r>
      <w:r w:rsidR="00CD6352" w:rsidRPr="00EA7665">
        <w:rPr>
          <w:rFonts w:eastAsia="Calibri"/>
          <w:sz w:val="22"/>
          <w:szCs w:val="22"/>
        </w:rPr>
        <w:tab/>
      </w:r>
      <w:r w:rsidR="00CD6352" w:rsidRPr="00EA7665">
        <w:rPr>
          <w:rFonts w:eastAsia="Calibri"/>
          <w:sz w:val="22"/>
          <w:szCs w:val="22"/>
        </w:rPr>
        <w:tab/>
      </w:r>
      <w:r w:rsidR="00CD6352" w:rsidRPr="00EA7665">
        <w:rPr>
          <w:rFonts w:eastAsia="Calibri"/>
          <w:sz w:val="22"/>
          <w:szCs w:val="22"/>
        </w:rPr>
        <w:tab/>
      </w:r>
      <w:r w:rsidR="00CD6352" w:rsidRPr="00EA7665">
        <w:rPr>
          <w:rFonts w:eastAsia="Calibri"/>
          <w:sz w:val="22"/>
          <w:szCs w:val="22"/>
        </w:rPr>
        <w:tab/>
      </w:r>
    </w:p>
    <w:p w14:paraId="3E459CE8" w14:textId="2B769E67" w:rsidR="00CD6352" w:rsidRPr="00EA7665" w:rsidRDefault="00CD6352" w:rsidP="00CD6352">
      <w:pPr>
        <w:spacing w:line="360" w:lineRule="auto"/>
        <w:jc w:val="both"/>
        <w:rPr>
          <w:rFonts w:ascii="Arial" w:hAnsi="Arial" w:cs="Arial"/>
        </w:rPr>
      </w:pPr>
      <w:bookmarkStart w:id="1385" w:name="_Hlk42771990"/>
      <w:r w:rsidRPr="00EA7665">
        <w:rPr>
          <w:rFonts w:ascii="Arial" w:hAnsi="Arial" w:cs="Arial"/>
        </w:rPr>
        <w:t xml:space="preserve">The managers interviewed in </w:t>
      </w:r>
      <w:r w:rsidR="00B55B5E">
        <w:rPr>
          <w:rFonts w:ascii="Arial" w:hAnsi="Arial" w:cs="Arial"/>
        </w:rPr>
        <w:t>developed economies are mostly strategic managers involved in</w:t>
      </w:r>
      <w:r w:rsidRPr="00EA7665">
        <w:rPr>
          <w:rFonts w:ascii="Arial" w:hAnsi="Arial" w:cs="Arial"/>
        </w:rPr>
        <w:t xml:space="preserve"> commercial and residential real estate development</w:t>
      </w:r>
      <w:r>
        <w:rPr>
          <w:rFonts w:ascii="Arial" w:hAnsi="Arial" w:cs="Arial"/>
        </w:rPr>
        <w:t>s</w:t>
      </w:r>
      <w:r w:rsidRPr="00EA7665">
        <w:rPr>
          <w:rFonts w:ascii="Arial" w:hAnsi="Arial" w:cs="Arial"/>
        </w:rPr>
        <w:t>. They have an average real estate work experience of 17 years</w:t>
      </w:r>
      <w:r>
        <w:rPr>
          <w:rFonts w:ascii="Arial" w:hAnsi="Arial" w:cs="Arial"/>
        </w:rPr>
        <w:t>,</w:t>
      </w:r>
      <w:r w:rsidRPr="00EA7665">
        <w:rPr>
          <w:rFonts w:ascii="Arial" w:hAnsi="Arial" w:cs="Arial"/>
        </w:rPr>
        <w:t xml:space="preserve"> with the highest </w:t>
      </w:r>
      <w:r>
        <w:rPr>
          <w:rFonts w:ascii="Arial" w:hAnsi="Arial" w:cs="Arial"/>
        </w:rPr>
        <w:t>at</w:t>
      </w:r>
      <w:r w:rsidRPr="00EA7665">
        <w:rPr>
          <w:rFonts w:ascii="Arial" w:hAnsi="Arial" w:cs="Arial"/>
        </w:rPr>
        <w:t xml:space="preserve"> 30</w:t>
      </w:r>
      <w:r>
        <w:rPr>
          <w:rFonts w:ascii="Arial" w:hAnsi="Arial" w:cs="Arial"/>
        </w:rPr>
        <w:t xml:space="preserve"> </w:t>
      </w:r>
      <w:r w:rsidRPr="00EA7665">
        <w:rPr>
          <w:rFonts w:ascii="Arial" w:hAnsi="Arial" w:cs="Arial"/>
        </w:rPr>
        <w:t>years and</w:t>
      </w:r>
      <w:r>
        <w:rPr>
          <w:rFonts w:ascii="Arial" w:hAnsi="Arial" w:cs="Arial"/>
        </w:rPr>
        <w:t xml:space="preserve"> the</w:t>
      </w:r>
      <w:r w:rsidRPr="00EA7665">
        <w:rPr>
          <w:rFonts w:ascii="Arial" w:hAnsi="Arial" w:cs="Arial"/>
        </w:rPr>
        <w:t xml:space="preserve"> lowest</w:t>
      </w:r>
      <w:r>
        <w:rPr>
          <w:rFonts w:ascii="Arial" w:hAnsi="Arial" w:cs="Arial"/>
        </w:rPr>
        <w:t xml:space="preserve"> at</w:t>
      </w:r>
      <w:r w:rsidRPr="00EA7665">
        <w:rPr>
          <w:rFonts w:ascii="Arial" w:hAnsi="Arial" w:cs="Arial"/>
        </w:rPr>
        <w:t xml:space="preserve"> four years. </w:t>
      </w:r>
      <w:r w:rsidR="00B55B5E">
        <w:rPr>
          <w:rFonts w:ascii="Arial" w:hAnsi="Arial" w:cs="Arial"/>
        </w:rPr>
        <w:t>Most of the managers' chronological work experience</w:t>
      </w:r>
      <w:r w:rsidRPr="00EA7665">
        <w:rPr>
          <w:rFonts w:ascii="Arial" w:hAnsi="Arial" w:cs="Arial"/>
        </w:rPr>
        <w:t xml:space="preserve"> shows a strong finance background as most of </w:t>
      </w:r>
      <w:r w:rsidR="00BE3F24" w:rsidRPr="00EA7665">
        <w:rPr>
          <w:rFonts w:ascii="Arial" w:hAnsi="Arial" w:cs="Arial"/>
        </w:rPr>
        <w:t>them</w:t>
      </w:r>
      <w:r w:rsidR="00BE3F24">
        <w:rPr>
          <w:rFonts w:ascii="Arial" w:hAnsi="Arial" w:cs="Arial"/>
        </w:rPr>
        <w:t xml:space="preserve"> </w:t>
      </w:r>
      <w:r w:rsidR="00BE3F24" w:rsidRPr="00EA7665">
        <w:rPr>
          <w:rFonts w:ascii="Arial" w:hAnsi="Arial" w:cs="Arial"/>
        </w:rPr>
        <w:t>worked</w:t>
      </w:r>
      <w:r w:rsidRPr="00EA7665">
        <w:rPr>
          <w:rFonts w:ascii="Arial" w:hAnsi="Arial" w:cs="Arial"/>
        </w:rPr>
        <w:t xml:space="preserve"> in banks, insurance companies, and pension funds before moving into the real estate sector. Their specialisatio</w:t>
      </w:r>
      <w:r>
        <w:rPr>
          <w:rFonts w:ascii="Arial" w:hAnsi="Arial" w:cs="Arial"/>
        </w:rPr>
        <w:t>ns</w:t>
      </w:r>
      <w:r w:rsidRPr="00EA7665">
        <w:rPr>
          <w:rFonts w:ascii="Arial" w:hAnsi="Arial" w:cs="Arial"/>
        </w:rPr>
        <w:t xml:space="preserve"> rang</w:t>
      </w:r>
      <w:r>
        <w:rPr>
          <w:rFonts w:ascii="Arial" w:hAnsi="Arial" w:cs="Arial"/>
        </w:rPr>
        <w:t>e</w:t>
      </w:r>
      <w:r w:rsidRPr="00EA7665">
        <w:rPr>
          <w:rFonts w:ascii="Arial" w:hAnsi="Arial" w:cs="Arial"/>
        </w:rPr>
        <w:t xml:space="preserve"> from real estate industry analyst and real estate to pension fund management. </w:t>
      </w:r>
    </w:p>
    <w:p w14:paraId="0FA141F5" w14:textId="76ECEF34" w:rsidR="00CD6352" w:rsidRPr="00EA7665" w:rsidRDefault="00CD6352" w:rsidP="00CD6352">
      <w:pPr>
        <w:spacing w:line="360" w:lineRule="auto"/>
        <w:jc w:val="both"/>
        <w:rPr>
          <w:rFonts w:ascii="Arial" w:hAnsi="Arial" w:cs="Arial"/>
        </w:rPr>
      </w:pPr>
      <w:r w:rsidRPr="00EA7665">
        <w:rPr>
          <w:rFonts w:ascii="Arial" w:hAnsi="Arial" w:cs="Arial"/>
        </w:rPr>
        <w:t xml:space="preserve">Most of the managers interviewed in Germany, the United Kingdom, and China have strong finance backgrounds as they have worked </w:t>
      </w:r>
      <w:r>
        <w:rPr>
          <w:rFonts w:ascii="Arial" w:hAnsi="Arial" w:cs="Arial"/>
        </w:rPr>
        <w:t>at</w:t>
      </w:r>
      <w:r w:rsidRPr="00EA7665">
        <w:rPr>
          <w:rFonts w:ascii="Arial" w:hAnsi="Arial" w:cs="Arial"/>
        </w:rPr>
        <w:t xml:space="preserve"> managerial levels </w:t>
      </w:r>
      <w:r w:rsidR="00BE3F24" w:rsidRPr="00EA7665">
        <w:rPr>
          <w:rFonts w:ascii="Arial" w:hAnsi="Arial" w:cs="Arial"/>
        </w:rPr>
        <w:t>in finance</w:t>
      </w:r>
      <w:r w:rsidRPr="00EA7665">
        <w:rPr>
          <w:rFonts w:ascii="Arial" w:hAnsi="Arial" w:cs="Arial"/>
        </w:rPr>
        <w:t xml:space="preserve"> sectors before taking on real estate and properties. Furthermore, most of the managers interviewed in Germany, the United Kingdom, the United States of </w:t>
      </w:r>
      <w:r w:rsidR="006257A6" w:rsidRPr="00EA7665">
        <w:rPr>
          <w:rFonts w:ascii="Arial" w:hAnsi="Arial" w:cs="Arial"/>
        </w:rPr>
        <w:t>America,</w:t>
      </w:r>
      <w:r w:rsidRPr="00EA7665">
        <w:rPr>
          <w:rFonts w:ascii="Arial" w:hAnsi="Arial" w:cs="Arial"/>
        </w:rPr>
        <w:t xml:space="preserve"> and China have international real estate experienc</w:t>
      </w:r>
      <w:r>
        <w:rPr>
          <w:rFonts w:ascii="Arial" w:hAnsi="Arial" w:cs="Arial"/>
        </w:rPr>
        <w:t>e</w:t>
      </w:r>
      <w:r w:rsidRPr="00EA7665">
        <w:rPr>
          <w:rFonts w:ascii="Arial" w:hAnsi="Arial" w:cs="Arial"/>
        </w:rPr>
        <w:t xml:space="preserve"> as they have worked in other </w:t>
      </w:r>
      <w:r w:rsidR="0067024C" w:rsidRPr="00EA7665">
        <w:rPr>
          <w:rFonts w:ascii="Arial" w:hAnsi="Arial" w:cs="Arial"/>
        </w:rPr>
        <w:t>countries,</w:t>
      </w:r>
      <w:r w:rsidRPr="00EA7665">
        <w:rPr>
          <w:rFonts w:ascii="Arial" w:hAnsi="Arial" w:cs="Arial"/>
        </w:rPr>
        <w:t xml:space="preserve"> and some have subsidiaries of the companies they are actively involved</w:t>
      </w:r>
      <w:r w:rsidR="00DD2807">
        <w:rPr>
          <w:rFonts w:ascii="Arial" w:hAnsi="Arial" w:cs="Arial"/>
        </w:rPr>
        <w:t xml:space="preserve"> in with</w:t>
      </w:r>
      <w:r w:rsidRPr="00EA7665">
        <w:rPr>
          <w:rFonts w:ascii="Arial" w:hAnsi="Arial" w:cs="Arial"/>
        </w:rPr>
        <w:t>in different countries and continents.</w:t>
      </w:r>
    </w:p>
    <w:p w14:paraId="386C0708" w14:textId="742099C1" w:rsidR="00CD6352" w:rsidRPr="00EA7665" w:rsidRDefault="00CD6352" w:rsidP="00CD6352">
      <w:pPr>
        <w:spacing w:line="360" w:lineRule="auto"/>
        <w:jc w:val="both"/>
        <w:rPr>
          <w:rFonts w:ascii="Arial" w:hAnsi="Arial" w:cs="Arial"/>
        </w:rPr>
      </w:pPr>
      <w:r w:rsidRPr="00EA7665">
        <w:rPr>
          <w:rFonts w:ascii="Arial" w:hAnsi="Arial" w:cs="Arial"/>
        </w:rPr>
        <w:t xml:space="preserve">The managers interviewed for the emerging economies </w:t>
      </w:r>
      <w:r w:rsidR="00806782">
        <w:rPr>
          <w:rFonts w:ascii="Arial" w:hAnsi="Arial" w:cs="Arial"/>
        </w:rPr>
        <w:t>mainly were</w:t>
      </w:r>
      <w:r w:rsidRPr="00EA7665">
        <w:rPr>
          <w:rFonts w:ascii="Arial" w:hAnsi="Arial" w:cs="Arial"/>
        </w:rPr>
        <w:t xml:space="preserve"> strategic managers with a few middle level and lower-level managers. The average years of work experience for these managers are </w:t>
      </w:r>
      <w:r w:rsidR="006257A6" w:rsidRPr="00EA7665">
        <w:rPr>
          <w:rFonts w:ascii="Arial" w:hAnsi="Arial" w:cs="Arial"/>
        </w:rPr>
        <w:t>16</w:t>
      </w:r>
      <w:r w:rsidR="006257A6">
        <w:rPr>
          <w:rFonts w:ascii="Arial" w:hAnsi="Arial" w:cs="Arial"/>
        </w:rPr>
        <w:t>,</w:t>
      </w:r>
      <w:r w:rsidR="006257A6" w:rsidRPr="00EA7665">
        <w:rPr>
          <w:rFonts w:ascii="Arial" w:hAnsi="Arial" w:cs="Arial"/>
        </w:rPr>
        <w:t xml:space="preserve"> with</w:t>
      </w:r>
      <w:r w:rsidRPr="00EA7665">
        <w:rPr>
          <w:rFonts w:ascii="Arial" w:hAnsi="Arial" w:cs="Arial"/>
        </w:rPr>
        <w:t xml:space="preserve"> the lowest be</w:t>
      </w:r>
      <w:r>
        <w:rPr>
          <w:rFonts w:ascii="Arial" w:hAnsi="Arial" w:cs="Arial"/>
        </w:rPr>
        <w:t>ing</w:t>
      </w:r>
      <w:r w:rsidRPr="00EA7665">
        <w:rPr>
          <w:rFonts w:ascii="Arial" w:hAnsi="Arial" w:cs="Arial"/>
        </w:rPr>
        <w:t xml:space="preserve"> </w:t>
      </w:r>
      <w:r w:rsidR="00806782">
        <w:rPr>
          <w:rFonts w:ascii="Arial" w:hAnsi="Arial" w:cs="Arial"/>
        </w:rPr>
        <w:t>6</w:t>
      </w:r>
      <w:r w:rsidRPr="00EA7665">
        <w:rPr>
          <w:rFonts w:ascii="Arial" w:hAnsi="Arial" w:cs="Arial"/>
        </w:rPr>
        <w:t xml:space="preserve"> years and the highest 30 years. Their area of operation in the real estate sector </w:t>
      </w:r>
      <w:r w:rsidR="00806782">
        <w:rPr>
          <w:rFonts w:ascii="Arial" w:hAnsi="Arial" w:cs="Arial"/>
        </w:rPr>
        <w:t>is</w:t>
      </w:r>
      <w:r w:rsidRPr="00EA7665">
        <w:rPr>
          <w:rFonts w:ascii="Arial" w:hAnsi="Arial" w:cs="Arial"/>
        </w:rPr>
        <w:t xml:space="preserve"> commercial</w:t>
      </w:r>
      <w:r w:rsidR="00B55B5E">
        <w:rPr>
          <w:rFonts w:ascii="Arial" w:hAnsi="Arial" w:cs="Arial"/>
        </w:rPr>
        <w:t>;</w:t>
      </w:r>
      <w:r>
        <w:rPr>
          <w:rFonts w:ascii="Arial" w:hAnsi="Arial" w:cs="Arial"/>
        </w:rPr>
        <w:t xml:space="preserve"> </w:t>
      </w:r>
      <w:r w:rsidR="00FE24B9">
        <w:rPr>
          <w:rFonts w:ascii="Arial" w:hAnsi="Arial" w:cs="Arial"/>
        </w:rPr>
        <w:t>however</w:t>
      </w:r>
      <w:r w:rsidR="00A87638">
        <w:rPr>
          <w:rFonts w:ascii="Arial" w:hAnsi="Arial" w:cs="Arial"/>
        </w:rPr>
        <w:t>,</w:t>
      </w:r>
      <w:r w:rsidR="00FE24B9">
        <w:rPr>
          <w:rFonts w:ascii="Arial" w:hAnsi="Arial" w:cs="Arial"/>
        </w:rPr>
        <w:t xml:space="preserve"> </w:t>
      </w:r>
      <w:r w:rsidRPr="00EA7665">
        <w:rPr>
          <w:rFonts w:ascii="Arial" w:hAnsi="Arial" w:cs="Arial"/>
        </w:rPr>
        <w:t>most of the managers interviewed in China</w:t>
      </w:r>
      <w:r w:rsidR="00806782">
        <w:rPr>
          <w:rFonts w:ascii="Arial" w:hAnsi="Arial" w:cs="Arial"/>
        </w:rPr>
        <w:t xml:space="preserve"> operate majorly in the</w:t>
      </w:r>
      <w:r>
        <w:rPr>
          <w:rFonts w:ascii="Arial" w:hAnsi="Arial" w:cs="Arial"/>
        </w:rPr>
        <w:t xml:space="preserve"> residential</w:t>
      </w:r>
      <w:r w:rsidR="00806782">
        <w:rPr>
          <w:rFonts w:ascii="Arial" w:hAnsi="Arial" w:cs="Arial"/>
        </w:rPr>
        <w:t xml:space="preserve"> real estate sector</w:t>
      </w:r>
      <w:r w:rsidRPr="00EA7665">
        <w:rPr>
          <w:rFonts w:ascii="Arial" w:hAnsi="Arial" w:cs="Arial"/>
        </w:rPr>
        <w:t xml:space="preserve">. </w:t>
      </w:r>
      <w:r w:rsidR="00FE24B9">
        <w:rPr>
          <w:rFonts w:ascii="Arial" w:hAnsi="Arial" w:cs="Arial"/>
        </w:rPr>
        <w:t>Some South</w:t>
      </w:r>
      <w:r w:rsidRPr="00EA7665">
        <w:rPr>
          <w:rFonts w:ascii="Arial" w:hAnsi="Arial" w:cs="Arial"/>
        </w:rPr>
        <w:t xml:space="preserve"> Afri</w:t>
      </w:r>
      <w:r>
        <w:rPr>
          <w:rFonts w:ascii="Arial" w:hAnsi="Arial" w:cs="Arial"/>
        </w:rPr>
        <w:t xml:space="preserve">can </w:t>
      </w:r>
      <w:r w:rsidR="00A07B3C">
        <w:rPr>
          <w:rFonts w:ascii="Arial" w:hAnsi="Arial" w:cs="Arial"/>
        </w:rPr>
        <w:t xml:space="preserve">managers </w:t>
      </w:r>
      <w:r w:rsidR="00A07B3C" w:rsidRPr="00EA7665">
        <w:rPr>
          <w:rFonts w:ascii="Arial" w:hAnsi="Arial" w:cs="Arial"/>
        </w:rPr>
        <w:t>have</w:t>
      </w:r>
      <w:r>
        <w:rPr>
          <w:rFonts w:ascii="Arial" w:hAnsi="Arial" w:cs="Arial"/>
        </w:rPr>
        <w:t xml:space="preserve"> a </w:t>
      </w:r>
      <w:r w:rsidRPr="00EA7665">
        <w:rPr>
          <w:rFonts w:ascii="Arial" w:hAnsi="Arial" w:cs="Arial"/>
        </w:rPr>
        <w:t>combinatio</w:t>
      </w:r>
      <w:r>
        <w:rPr>
          <w:rFonts w:ascii="Arial" w:hAnsi="Arial" w:cs="Arial"/>
        </w:rPr>
        <w:t>n</w:t>
      </w:r>
      <w:r w:rsidRPr="00EA7665">
        <w:rPr>
          <w:rFonts w:ascii="Arial" w:hAnsi="Arial" w:cs="Arial"/>
        </w:rPr>
        <w:t xml:space="preserve"> of commercial and residential</w:t>
      </w:r>
      <w:r>
        <w:rPr>
          <w:rFonts w:ascii="Arial" w:hAnsi="Arial" w:cs="Arial"/>
        </w:rPr>
        <w:t xml:space="preserve"> areas of operation, but for </w:t>
      </w:r>
      <w:r w:rsidRPr="00EA7665">
        <w:rPr>
          <w:rFonts w:ascii="Arial" w:hAnsi="Arial" w:cs="Arial"/>
        </w:rPr>
        <w:t>the majority</w:t>
      </w:r>
      <w:r w:rsidR="00B55B5E">
        <w:rPr>
          <w:rFonts w:ascii="Arial" w:hAnsi="Arial" w:cs="Arial"/>
        </w:rPr>
        <w:t>,</w:t>
      </w:r>
      <w:r w:rsidRPr="00EA7665">
        <w:rPr>
          <w:rFonts w:ascii="Arial" w:hAnsi="Arial" w:cs="Arial"/>
        </w:rPr>
        <w:t xml:space="preserve"> </w:t>
      </w:r>
      <w:r>
        <w:rPr>
          <w:rFonts w:ascii="Arial" w:hAnsi="Arial" w:cs="Arial"/>
        </w:rPr>
        <w:t xml:space="preserve">it </w:t>
      </w:r>
      <w:r w:rsidR="00A07B3C">
        <w:rPr>
          <w:rFonts w:ascii="Arial" w:hAnsi="Arial" w:cs="Arial"/>
        </w:rPr>
        <w:t xml:space="preserve">is </w:t>
      </w:r>
      <w:r w:rsidR="00A07B3C" w:rsidRPr="00EA7665">
        <w:rPr>
          <w:rFonts w:ascii="Arial" w:hAnsi="Arial" w:cs="Arial"/>
        </w:rPr>
        <w:t>residential</w:t>
      </w:r>
      <w:r>
        <w:rPr>
          <w:rFonts w:ascii="Arial" w:hAnsi="Arial" w:cs="Arial"/>
        </w:rPr>
        <w:t>. All</w:t>
      </w:r>
      <w:r w:rsidRPr="00EA7665">
        <w:rPr>
          <w:rFonts w:ascii="Arial" w:hAnsi="Arial" w:cs="Arial"/>
        </w:rPr>
        <w:t xml:space="preserve"> the managers interviewed in Nigeria are involved in residential real estate development.</w:t>
      </w:r>
    </w:p>
    <w:p w14:paraId="23568C22" w14:textId="57E28C32" w:rsidR="00CD6352" w:rsidRPr="00EA7665" w:rsidRDefault="00CD6352" w:rsidP="00CD6352">
      <w:pPr>
        <w:spacing w:line="360" w:lineRule="auto"/>
        <w:jc w:val="both"/>
        <w:rPr>
          <w:rFonts w:ascii="Arial" w:hAnsi="Arial" w:cs="Arial"/>
        </w:rPr>
      </w:pPr>
      <w:r w:rsidRPr="00EA7665">
        <w:rPr>
          <w:rFonts w:ascii="Arial" w:hAnsi="Arial" w:cs="Arial"/>
        </w:rPr>
        <w:t xml:space="preserve">The managers interviewed in China have lots of international </w:t>
      </w:r>
      <w:r>
        <w:rPr>
          <w:rFonts w:ascii="Arial" w:hAnsi="Arial" w:cs="Arial"/>
        </w:rPr>
        <w:t>experience</w:t>
      </w:r>
      <w:r w:rsidRPr="00EA7665">
        <w:rPr>
          <w:rFonts w:ascii="Arial" w:hAnsi="Arial" w:cs="Arial"/>
        </w:rPr>
        <w:t xml:space="preserve">, just like the </w:t>
      </w:r>
      <w:r w:rsidR="00B55B5E">
        <w:rPr>
          <w:rFonts w:ascii="Arial" w:hAnsi="Arial" w:cs="Arial"/>
        </w:rPr>
        <w:t>developed economies' manager</w:t>
      </w:r>
      <w:r w:rsidRPr="00EA7665">
        <w:rPr>
          <w:rFonts w:ascii="Arial" w:hAnsi="Arial" w:cs="Arial"/>
        </w:rPr>
        <w:t xml:space="preserve">s. </w:t>
      </w:r>
      <w:r w:rsidR="00A07B3C" w:rsidRPr="00EA7665">
        <w:rPr>
          <w:rFonts w:ascii="Arial" w:hAnsi="Arial" w:cs="Arial"/>
        </w:rPr>
        <w:t>However, the</w:t>
      </w:r>
      <w:r w:rsidRPr="00EA7665">
        <w:rPr>
          <w:rFonts w:ascii="Arial" w:hAnsi="Arial" w:cs="Arial"/>
        </w:rPr>
        <w:t xml:space="preserve"> managers interviewed in South Africa and Nigeria have been involved in mostly regional</w:t>
      </w:r>
      <w:r>
        <w:rPr>
          <w:rFonts w:ascii="Arial" w:hAnsi="Arial" w:cs="Arial"/>
        </w:rPr>
        <w:t>/</w:t>
      </w:r>
      <w:r w:rsidR="00A07B3C" w:rsidRPr="00EA7665">
        <w:rPr>
          <w:rFonts w:ascii="Arial" w:hAnsi="Arial" w:cs="Arial"/>
        </w:rPr>
        <w:t>country-based</w:t>
      </w:r>
      <w:r w:rsidRPr="00EA7665">
        <w:rPr>
          <w:rFonts w:ascii="Arial" w:hAnsi="Arial" w:cs="Arial"/>
        </w:rPr>
        <w:t xml:space="preserve"> operation</w:t>
      </w:r>
      <w:r>
        <w:rPr>
          <w:rFonts w:ascii="Arial" w:hAnsi="Arial" w:cs="Arial"/>
        </w:rPr>
        <w:t>s</w:t>
      </w:r>
      <w:r w:rsidRPr="00EA7665">
        <w:rPr>
          <w:rFonts w:ascii="Arial" w:hAnsi="Arial" w:cs="Arial"/>
        </w:rPr>
        <w:t xml:space="preserve"> and </w:t>
      </w:r>
      <w:r>
        <w:rPr>
          <w:rFonts w:ascii="Arial" w:hAnsi="Arial" w:cs="Arial"/>
        </w:rPr>
        <w:t xml:space="preserve">have </w:t>
      </w:r>
      <w:r w:rsidRPr="00EA7665">
        <w:rPr>
          <w:rFonts w:ascii="Arial" w:hAnsi="Arial" w:cs="Arial"/>
        </w:rPr>
        <w:t xml:space="preserve">no international real estate </w:t>
      </w:r>
      <w:r>
        <w:rPr>
          <w:rFonts w:ascii="Arial" w:hAnsi="Arial" w:cs="Arial"/>
        </w:rPr>
        <w:t xml:space="preserve">experiences </w:t>
      </w:r>
      <w:r w:rsidRPr="00EA7665">
        <w:rPr>
          <w:rFonts w:ascii="Arial" w:hAnsi="Arial" w:cs="Arial"/>
        </w:rPr>
        <w:t xml:space="preserve">apart from one Nigerian manager who has marginal operations in Dubai. </w:t>
      </w:r>
    </w:p>
    <w:p w14:paraId="4A4AC01B" w14:textId="7AA19613" w:rsidR="00CD6352" w:rsidRPr="00EA7665" w:rsidRDefault="00CD6352" w:rsidP="00CD6352">
      <w:pPr>
        <w:spacing w:line="360" w:lineRule="auto"/>
        <w:jc w:val="both"/>
        <w:rPr>
          <w:rFonts w:ascii="Arial" w:hAnsi="Arial" w:cs="Arial"/>
        </w:rPr>
      </w:pPr>
      <w:r w:rsidRPr="00EA7665">
        <w:rPr>
          <w:rFonts w:ascii="Arial" w:hAnsi="Arial" w:cs="Arial"/>
        </w:rPr>
        <w:t xml:space="preserve">The </w:t>
      </w:r>
      <w:r w:rsidR="00B55B5E">
        <w:rPr>
          <w:rFonts w:ascii="Arial" w:hAnsi="Arial" w:cs="Arial"/>
        </w:rPr>
        <w:t>managers' professional backgroun</w:t>
      </w:r>
      <w:r w:rsidRPr="00EA7665">
        <w:rPr>
          <w:rFonts w:ascii="Arial" w:hAnsi="Arial" w:cs="Arial"/>
        </w:rPr>
        <w:t xml:space="preserve">d in China reflects good </w:t>
      </w:r>
      <w:r w:rsidR="00846BA8">
        <w:rPr>
          <w:rFonts w:ascii="Arial" w:hAnsi="Arial" w:cs="Arial"/>
        </w:rPr>
        <w:t>finance, property investment, and management composition</w:t>
      </w:r>
      <w:r w:rsidRPr="00EA7665">
        <w:rPr>
          <w:rFonts w:ascii="Arial" w:hAnsi="Arial" w:cs="Arial"/>
        </w:rPr>
        <w:t xml:space="preserve">. The professional background of managers interviewed in South Africa indicates project finance, risks management and property development. However, the professional </w:t>
      </w:r>
      <w:r w:rsidR="00846BA8">
        <w:rPr>
          <w:rFonts w:ascii="Arial" w:hAnsi="Arial" w:cs="Arial"/>
        </w:rPr>
        <w:t>experience</w:t>
      </w:r>
      <w:r w:rsidRPr="00EA7665">
        <w:rPr>
          <w:rFonts w:ascii="Arial" w:hAnsi="Arial" w:cs="Arial"/>
        </w:rPr>
        <w:t xml:space="preserve">s of managers interviewed in Nigeria reflect mostly hard skills such as </w:t>
      </w:r>
      <w:r>
        <w:rPr>
          <w:rFonts w:ascii="Arial" w:hAnsi="Arial" w:cs="Arial"/>
        </w:rPr>
        <w:t>a</w:t>
      </w:r>
      <w:r w:rsidRPr="00EA7665">
        <w:rPr>
          <w:rFonts w:ascii="Arial" w:hAnsi="Arial" w:cs="Arial"/>
        </w:rPr>
        <w:t xml:space="preserve">rchitecture, </w:t>
      </w:r>
      <w:r w:rsidR="00A07B3C" w:rsidRPr="00EA7665">
        <w:rPr>
          <w:rFonts w:ascii="Arial" w:hAnsi="Arial" w:cs="Arial"/>
        </w:rPr>
        <w:t>construct</w:t>
      </w:r>
      <w:r w:rsidR="00A07B3C">
        <w:rPr>
          <w:rFonts w:ascii="Arial" w:hAnsi="Arial" w:cs="Arial"/>
        </w:rPr>
        <w:t>ion,</w:t>
      </w:r>
      <w:r w:rsidRPr="00EA7665">
        <w:rPr>
          <w:rFonts w:ascii="Arial" w:hAnsi="Arial" w:cs="Arial"/>
        </w:rPr>
        <w:t xml:space="preserve"> and real estate development. </w:t>
      </w:r>
      <w:r>
        <w:rPr>
          <w:rFonts w:ascii="Arial" w:hAnsi="Arial" w:cs="Arial"/>
        </w:rPr>
        <w:t xml:space="preserve"> </w:t>
      </w:r>
      <w:r w:rsidRPr="00EA7665">
        <w:rPr>
          <w:rFonts w:ascii="Arial" w:hAnsi="Arial" w:cs="Arial"/>
        </w:rPr>
        <w:t>Managers operating in Nigeria, South Africa, and the United States have more country-based experience</w:t>
      </w:r>
      <w:r>
        <w:rPr>
          <w:rFonts w:ascii="Arial" w:hAnsi="Arial" w:cs="Arial"/>
        </w:rPr>
        <w:t xml:space="preserve">, </w:t>
      </w:r>
      <w:r w:rsidR="00B97AA1">
        <w:rPr>
          <w:rFonts w:ascii="Arial" w:hAnsi="Arial" w:cs="Arial"/>
        </w:rPr>
        <w:t xml:space="preserve">although </w:t>
      </w:r>
      <w:r w:rsidR="00B97AA1" w:rsidRPr="00EA7665">
        <w:rPr>
          <w:rFonts w:ascii="Arial" w:hAnsi="Arial" w:cs="Arial"/>
        </w:rPr>
        <w:t>a</w:t>
      </w:r>
      <w:r w:rsidRPr="00EA7665">
        <w:rPr>
          <w:rFonts w:ascii="Arial" w:hAnsi="Arial" w:cs="Arial"/>
        </w:rPr>
        <w:t xml:space="preserve"> few managers in the United States of America </w:t>
      </w:r>
      <w:r>
        <w:rPr>
          <w:rFonts w:ascii="Arial" w:hAnsi="Arial" w:cs="Arial"/>
        </w:rPr>
        <w:t>have</w:t>
      </w:r>
      <w:r w:rsidRPr="00EA7665">
        <w:rPr>
          <w:rFonts w:ascii="Arial" w:hAnsi="Arial" w:cs="Arial"/>
        </w:rPr>
        <w:t xml:space="preserve"> experience operating in other countries. </w:t>
      </w:r>
      <w:r w:rsidRPr="00EA7665">
        <w:rPr>
          <w:rFonts w:ascii="Arial" w:hAnsi="Arial" w:cs="Arial"/>
        </w:rPr>
        <w:lastRenderedPageBreak/>
        <w:t>Notably</w:t>
      </w:r>
      <w:r>
        <w:rPr>
          <w:rFonts w:ascii="Arial" w:hAnsi="Arial" w:cs="Arial"/>
        </w:rPr>
        <w:t>,</w:t>
      </w:r>
      <w:r w:rsidRPr="00EA7665">
        <w:rPr>
          <w:rFonts w:ascii="Arial" w:hAnsi="Arial" w:cs="Arial"/>
        </w:rPr>
        <w:t xml:space="preserve"> the US is already a very large market; hence some operators do not need to extend to other countries</w:t>
      </w:r>
      <w:r>
        <w:rPr>
          <w:rFonts w:ascii="Arial" w:hAnsi="Arial" w:cs="Arial"/>
        </w:rPr>
        <w:t xml:space="preserve"> (the trading economics, 2019).</w:t>
      </w:r>
    </w:p>
    <w:p w14:paraId="30B897CA" w14:textId="3724E71C" w:rsidR="00CD6352" w:rsidRPr="00EA7665" w:rsidRDefault="00CD6352" w:rsidP="00CD6352">
      <w:pPr>
        <w:pStyle w:val="Heading3"/>
        <w:spacing w:after="240"/>
        <w:rPr>
          <w:sz w:val="22"/>
          <w:szCs w:val="22"/>
        </w:rPr>
      </w:pPr>
      <w:bookmarkStart w:id="1386" w:name="_Toc78983923"/>
      <w:bookmarkEnd w:id="1385"/>
      <w:r w:rsidRPr="00EA7665">
        <w:rPr>
          <w:sz w:val="22"/>
          <w:szCs w:val="22"/>
        </w:rPr>
        <w:t xml:space="preserve">The implication of the findings </w:t>
      </w:r>
      <w:r w:rsidR="00A07B3C">
        <w:rPr>
          <w:sz w:val="22"/>
          <w:szCs w:val="22"/>
        </w:rPr>
        <w:t xml:space="preserve">on </w:t>
      </w:r>
      <w:r w:rsidR="00A87638">
        <w:rPr>
          <w:sz w:val="22"/>
          <w:szCs w:val="22"/>
        </w:rPr>
        <w:t xml:space="preserve">the </w:t>
      </w:r>
      <w:r w:rsidR="00A07B3C">
        <w:rPr>
          <w:sz w:val="22"/>
          <w:szCs w:val="22"/>
        </w:rPr>
        <w:t xml:space="preserve">career path for securing finance for real estate project development in the developed and emerging </w:t>
      </w:r>
      <w:r w:rsidR="00565E9D">
        <w:rPr>
          <w:sz w:val="22"/>
          <w:szCs w:val="22"/>
        </w:rPr>
        <w:t>economies.</w:t>
      </w:r>
      <w:bookmarkEnd w:id="1386"/>
    </w:p>
    <w:p w14:paraId="34A3DAE7" w14:textId="24073E3B" w:rsidR="00CD6352" w:rsidRDefault="00B55B5E" w:rsidP="00CD6352">
      <w:pPr>
        <w:spacing w:line="360" w:lineRule="auto"/>
        <w:jc w:val="both"/>
        <w:rPr>
          <w:rFonts w:ascii="Arial" w:eastAsia="Calibri" w:hAnsi="Arial" w:cs="Arial"/>
        </w:rPr>
      </w:pPr>
      <w:bookmarkStart w:id="1387" w:name="_Hlk42772520"/>
      <w:bookmarkStart w:id="1388" w:name="_Hlk42771708"/>
      <w:r>
        <w:rPr>
          <w:rFonts w:ascii="Arial" w:eastAsia="Calibri" w:hAnsi="Arial" w:cs="Arial"/>
        </w:rPr>
        <w:t>Despite having worked in the real estate sector for several years, most of the interviewees and respondents to the questionnaires</w:t>
      </w:r>
      <w:r w:rsidR="00CD6352" w:rsidRPr="00EA7665">
        <w:rPr>
          <w:rFonts w:ascii="Arial" w:eastAsia="Calibri" w:hAnsi="Arial" w:cs="Arial"/>
        </w:rPr>
        <w:t xml:space="preserve"> did not rise to the top in just one organisation. There were cross-organization</w:t>
      </w:r>
      <w:r w:rsidR="00A5254E">
        <w:rPr>
          <w:rFonts w:ascii="Arial" w:eastAsia="Calibri" w:hAnsi="Arial" w:cs="Arial"/>
        </w:rPr>
        <w:t>,</w:t>
      </w:r>
      <w:r w:rsidR="00CD6352" w:rsidRPr="00EA7665">
        <w:rPr>
          <w:rFonts w:ascii="Arial" w:eastAsia="Calibri" w:hAnsi="Arial" w:cs="Arial"/>
        </w:rPr>
        <w:t xml:space="preserve"> and cross-industry </w:t>
      </w:r>
      <w:r w:rsidR="00CD6352">
        <w:rPr>
          <w:rFonts w:ascii="Arial" w:eastAsia="Calibri" w:hAnsi="Arial" w:cs="Arial"/>
        </w:rPr>
        <w:t>rises</w:t>
      </w:r>
      <w:r w:rsidR="00CD6352" w:rsidRPr="00EA7665">
        <w:rPr>
          <w:rFonts w:ascii="Arial" w:eastAsia="Calibri" w:hAnsi="Arial" w:cs="Arial"/>
        </w:rPr>
        <w:t xml:space="preserve"> to the </w:t>
      </w:r>
      <w:r w:rsidR="00CD6352">
        <w:rPr>
          <w:rFonts w:ascii="Arial" w:eastAsia="Calibri" w:hAnsi="Arial" w:cs="Arial"/>
        </w:rPr>
        <w:t>top</w:t>
      </w:r>
      <w:r w:rsidR="00CD6352" w:rsidRPr="00EA7665">
        <w:rPr>
          <w:rFonts w:ascii="Arial" w:eastAsia="Calibri" w:hAnsi="Arial" w:cs="Arial"/>
        </w:rPr>
        <w:t xml:space="preserve"> in their careers. This is indicative of the influence of higher education and training on </w:t>
      </w:r>
      <w:r w:rsidR="00CD6352">
        <w:rPr>
          <w:rFonts w:ascii="Arial" w:eastAsia="Calibri" w:hAnsi="Arial" w:cs="Arial"/>
        </w:rPr>
        <w:t xml:space="preserve">labour </w:t>
      </w:r>
      <w:r w:rsidR="00CD6352" w:rsidRPr="00EA7665">
        <w:rPr>
          <w:rFonts w:ascii="Arial" w:eastAsia="Calibri" w:hAnsi="Arial" w:cs="Arial"/>
        </w:rPr>
        <w:t>mobility.</w:t>
      </w:r>
      <w:bookmarkEnd w:id="1387"/>
      <w:r w:rsidR="00CD6352" w:rsidRPr="00EA7665">
        <w:rPr>
          <w:rFonts w:ascii="Arial" w:eastAsia="Calibri" w:hAnsi="Arial" w:cs="Arial"/>
        </w:rPr>
        <w:t xml:space="preserve"> This is in line with existing literature (Young, 1988). </w:t>
      </w:r>
      <w:bookmarkStart w:id="1389" w:name="_Hlk42772564"/>
      <w:r w:rsidR="00CD6352" w:rsidRPr="00EA7665">
        <w:rPr>
          <w:rFonts w:ascii="Arial" w:eastAsia="Calibri" w:hAnsi="Arial" w:cs="Arial"/>
        </w:rPr>
        <w:t xml:space="preserve">Furthermore, </w:t>
      </w:r>
      <w:r>
        <w:rPr>
          <w:rFonts w:ascii="Arial" w:eastAsia="Calibri" w:hAnsi="Arial" w:cs="Arial"/>
        </w:rPr>
        <w:t>managers' multiple country work experience</w:t>
      </w:r>
      <w:r w:rsidR="00A5254E">
        <w:rPr>
          <w:rFonts w:ascii="Arial" w:eastAsia="Calibri" w:hAnsi="Arial" w:cs="Arial"/>
        </w:rPr>
        <w:t>s</w:t>
      </w:r>
      <w:r w:rsidR="00CD6352" w:rsidRPr="00EA7665">
        <w:rPr>
          <w:rFonts w:ascii="Arial" w:eastAsia="Calibri" w:hAnsi="Arial" w:cs="Arial"/>
        </w:rPr>
        <w:t xml:space="preserve"> in the developed economy </w:t>
      </w:r>
      <w:r w:rsidR="006D4BF7" w:rsidRPr="00EA7665">
        <w:rPr>
          <w:rFonts w:ascii="Arial" w:eastAsia="Calibri" w:hAnsi="Arial" w:cs="Arial"/>
        </w:rPr>
        <w:t>show</w:t>
      </w:r>
      <w:r w:rsidR="00CD6352" w:rsidRPr="00EA7665">
        <w:rPr>
          <w:rFonts w:ascii="Arial" w:eastAsia="Calibri" w:hAnsi="Arial" w:cs="Arial"/>
        </w:rPr>
        <w:t xml:space="preserve"> the effect of </w:t>
      </w:r>
      <w:r w:rsidR="00CD6352">
        <w:rPr>
          <w:rFonts w:ascii="Arial" w:eastAsia="Calibri" w:hAnsi="Arial" w:cs="Arial"/>
        </w:rPr>
        <w:t>s</w:t>
      </w:r>
      <w:r w:rsidR="00CD6352" w:rsidRPr="00EA7665">
        <w:rPr>
          <w:rFonts w:ascii="Arial" w:eastAsia="Calibri" w:hAnsi="Arial" w:cs="Arial"/>
        </w:rPr>
        <w:t xml:space="preserve">ocio-economic stability on career mobility. </w:t>
      </w:r>
      <w:bookmarkEnd w:id="1389"/>
      <w:r w:rsidR="00CD6352">
        <w:rPr>
          <w:rFonts w:ascii="Arial" w:eastAsia="Calibri" w:hAnsi="Arial" w:cs="Arial"/>
        </w:rPr>
        <w:t xml:space="preserve">This study developed a conceptual </w:t>
      </w:r>
      <w:r w:rsidR="002A3A6B">
        <w:rPr>
          <w:rFonts w:ascii="Arial" w:eastAsia="Calibri" w:hAnsi="Arial" w:cs="Arial"/>
        </w:rPr>
        <w:t>framework</w:t>
      </w:r>
      <w:r w:rsidR="00CD6352">
        <w:rPr>
          <w:rFonts w:ascii="Arial" w:eastAsia="Calibri" w:hAnsi="Arial" w:cs="Arial"/>
        </w:rPr>
        <w:t xml:space="preserve"> of career path for securing finance for real estate project development as there is no established work in this light. The conceptual framework forms part of the toolkit for securing </w:t>
      </w:r>
      <w:r w:rsidR="00A5254E">
        <w:rPr>
          <w:rFonts w:ascii="Arial" w:eastAsia="Calibri" w:hAnsi="Arial" w:cs="Arial"/>
        </w:rPr>
        <w:t>real estate project development finance</w:t>
      </w:r>
      <w:r w:rsidR="00CD6352">
        <w:rPr>
          <w:rFonts w:ascii="Arial" w:eastAsia="Calibri" w:hAnsi="Arial" w:cs="Arial"/>
        </w:rPr>
        <w:t xml:space="preserve"> in chapter </w:t>
      </w:r>
      <w:r w:rsidR="006D4BF7">
        <w:rPr>
          <w:rFonts w:ascii="Arial" w:eastAsia="Calibri" w:hAnsi="Arial" w:cs="Arial"/>
        </w:rPr>
        <w:t>10</w:t>
      </w:r>
      <w:r w:rsidR="00CD6352">
        <w:rPr>
          <w:rFonts w:ascii="Arial" w:eastAsia="Calibri" w:hAnsi="Arial" w:cs="Arial"/>
        </w:rPr>
        <w:t>.</w:t>
      </w:r>
    </w:p>
    <w:p w14:paraId="78DE3254" w14:textId="1DC2F4C4" w:rsidR="00CD6352" w:rsidRPr="00F149AD" w:rsidRDefault="00CD6352" w:rsidP="00CD6352">
      <w:pPr>
        <w:pStyle w:val="Heading3"/>
        <w:spacing w:after="240"/>
      </w:pPr>
      <w:bookmarkStart w:id="1390" w:name="_Toc78983924"/>
      <w:r w:rsidRPr="00F149AD">
        <w:t xml:space="preserve">The development of </w:t>
      </w:r>
      <w:r w:rsidR="00A87638">
        <w:t xml:space="preserve">a </w:t>
      </w:r>
      <w:r w:rsidRPr="00F149AD">
        <w:t xml:space="preserve">conceptual </w:t>
      </w:r>
      <w:r w:rsidR="002A3A6B" w:rsidRPr="00F149AD">
        <w:t>framework</w:t>
      </w:r>
      <w:r w:rsidRPr="00F149AD">
        <w:t xml:space="preserve"> for </w:t>
      </w:r>
      <w:r w:rsidR="00565E9D">
        <w:t>c</w:t>
      </w:r>
      <w:r w:rsidRPr="00F149AD">
        <w:t xml:space="preserve">areer path for securing finance for real estate project </w:t>
      </w:r>
      <w:r w:rsidR="006D4BF7" w:rsidRPr="00F149AD">
        <w:t>development.</w:t>
      </w:r>
      <w:bookmarkEnd w:id="1390"/>
    </w:p>
    <w:p w14:paraId="7F3DB1F4" w14:textId="0BBD6C3F" w:rsidR="00CD6352" w:rsidRPr="00EA7665" w:rsidRDefault="00CD6352" w:rsidP="00CD6352">
      <w:pPr>
        <w:spacing w:line="360" w:lineRule="auto"/>
        <w:rPr>
          <w:rFonts w:ascii="Arial" w:hAnsi="Arial" w:cs="Arial"/>
        </w:rPr>
      </w:pPr>
      <w:bookmarkStart w:id="1391" w:name="_Hlk43127629"/>
      <w:r w:rsidRPr="00253A34">
        <w:rPr>
          <w:rFonts w:ascii="Arial" w:hAnsi="Arial" w:cs="Arial"/>
        </w:rPr>
        <w:t xml:space="preserve">The real estate manager’s education </w:t>
      </w:r>
      <w:r w:rsidR="002A3A6B" w:rsidRPr="00253A34">
        <w:rPr>
          <w:rFonts w:ascii="Arial" w:hAnsi="Arial" w:cs="Arial"/>
        </w:rPr>
        <w:t>and career</w:t>
      </w:r>
      <w:r w:rsidRPr="00253A34">
        <w:rPr>
          <w:rFonts w:ascii="Arial" w:hAnsi="Arial" w:cs="Arial"/>
        </w:rPr>
        <w:t xml:space="preserve"> histories, taken from both the survey questionnaires and the semi-structured interviews, provide</w:t>
      </w:r>
      <w:r w:rsidR="00E55E8E">
        <w:rPr>
          <w:rFonts w:ascii="Arial" w:hAnsi="Arial" w:cs="Arial"/>
        </w:rPr>
        <w:t>d</w:t>
      </w:r>
      <w:r w:rsidRPr="00253A34">
        <w:rPr>
          <w:rFonts w:ascii="Arial" w:hAnsi="Arial" w:cs="Arial"/>
        </w:rPr>
        <w:t xml:space="preserve"> a guide for the development of the framework for career path for securing finance for real estate project development. Some existing theories also provide</w:t>
      </w:r>
      <w:r w:rsidR="00E55E8E">
        <w:rPr>
          <w:rFonts w:ascii="Arial" w:hAnsi="Arial" w:cs="Arial"/>
        </w:rPr>
        <w:t>d</w:t>
      </w:r>
      <w:r w:rsidRPr="00253A34">
        <w:rPr>
          <w:rFonts w:ascii="Arial" w:hAnsi="Arial" w:cs="Arial"/>
        </w:rPr>
        <w:t xml:space="preserve"> a platform for the </w:t>
      </w:r>
      <w:r w:rsidR="004C7F81" w:rsidRPr="00253A34">
        <w:rPr>
          <w:rFonts w:ascii="Arial" w:hAnsi="Arial" w:cs="Arial"/>
        </w:rPr>
        <w:t>framework</w:t>
      </w:r>
      <w:r w:rsidRPr="00253A34">
        <w:rPr>
          <w:rFonts w:ascii="Arial" w:hAnsi="Arial" w:cs="Arial"/>
        </w:rPr>
        <w:t xml:space="preserve"> for </w:t>
      </w:r>
      <w:r w:rsidR="00A87638" w:rsidRPr="00253A34">
        <w:rPr>
          <w:rFonts w:ascii="Arial" w:hAnsi="Arial" w:cs="Arial"/>
        </w:rPr>
        <w:t xml:space="preserve">a </w:t>
      </w:r>
      <w:r w:rsidRPr="00253A34">
        <w:rPr>
          <w:rFonts w:ascii="Arial" w:hAnsi="Arial" w:cs="Arial"/>
        </w:rPr>
        <w:t xml:space="preserve">career path for securing finance for real estate project </w:t>
      </w:r>
      <w:r w:rsidR="00970B15" w:rsidRPr="00253A34">
        <w:rPr>
          <w:rFonts w:ascii="Arial" w:hAnsi="Arial" w:cs="Arial"/>
        </w:rPr>
        <w:t>development.</w:t>
      </w:r>
      <w:r w:rsidRPr="00253A34">
        <w:rPr>
          <w:rFonts w:ascii="Arial" w:hAnsi="Arial" w:cs="Arial"/>
        </w:rPr>
        <w:t xml:space="preserve"> This conceptual frame</w:t>
      </w:r>
      <w:r w:rsidR="00970B15" w:rsidRPr="00253A34">
        <w:rPr>
          <w:rFonts w:ascii="Arial" w:hAnsi="Arial" w:cs="Arial"/>
        </w:rPr>
        <w:t xml:space="preserve">work </w:t>
      </w:r>
      <w:r w:rsidR="00E55E8E">
        <w:rPr>
          <w:rFonts w:ascii="Arial" w:hAnsi="Arial" w:cs="Arial"/>
        </w:rPr>
        <w:t xml:space="preserve">on career path for securing finance for real estate project development </w:t>
      </w:r>
      <w:r w:rsidR="00970B15" w:rsidRPr="00253A34">
        <w:rPr>
          <w:rFonts w:ascii="Arial" w:hAnsi="Arial" w:cs="Arial"/>
        </w:rPr>
        <w:t>provides</w:t>
      </w:r>
      <w:r w:rsidRPr="00253A34">
        <w:rPr>
          <w:rFonts w:ascii="Arial" w:hAnsi="Arial" w:cs="Arial"/>
        </w:rPr>
        <w:t xml:space="preserve"> recommendations of course contents for both undergraduate and postgraduate students in the Built Environment. It provides a guide on relevant courses for </w:t>
      </w:r>
      <w:r w:rsidR="0094081D" w:rsidRPr="00253A34">
        <w:rPr>
          <w:rFonts w:ascii="Arial" w:hAnsi="Arial" w:cs="Arial"/>
        </w:rPr>
        <w:t xml:space="preserve">early </w:t>
      </w:r>
      <w:r w:rsidRPr="00253A34">
        <w:rPr>
          <w:rFonts w:ascii="Arial" w:hAnsi="Arial" w:cs="Arial"/>
        </w:rPr>
        <w:t>academics aspiring to be managers in the Built Environment who will be involved in securing finance for real estate project development</w:t>
      </w:r>
      <w:r w:rsidR="00594B98">
        <w:rPr>
          <w:rFonts w:ascii="Arial" w:hAnsi="Arial" w:cs="Arial"/>
        </w:rPr>
        <w:t xml:space="preserve"> ( see table 9.2.5) </w:t>
      </w:r>
      <w:r w:rsidRPr="00253A34">
        <w:rPr>
          <w:rFonts w:ascii="Arial" w:hAnsi="Arial" w:cs="Arial"/>
        </w:rPr>
        <w:t xml:space="preserve">. Appropriate courses could advance </w:t>
      </w:r>
      <w:r w:rsidR="00B55B5E" w:rsidRPr="00253A34">
        <w:rPr>
          <w:rFonts w:ascii="Arial" w:hAnsi="Arial" w:cs="Arial"/>
        </w:rPr>
        <w:t>individuals' career</w:t>
      </w:r>
      <w:r w:rsidR="00B55B5E">
        <w:rPr>
          <w:rFonts w:ascii="Arial" w:hAnsi="Arial" w:cs="Arial"/>
        </w:rPr>
        <w:t xml:space="preserve"> prospect</w:t>
      </w:r>
      <w:r w:rsidRPr="00EA7665">
        <w:rPr>
          <w:rFonts w:ascii="Arial" w:hAnsi="Arial" w:cs="Arial"/>
        </w:rPr>
        <w:t>s and could act as a stimul</w:t>
      </w:r>
      <w:r w:rsidR="00DD2807">
        <w:rPr>
          <w:rFonts w:ascii="Arial" w:hAnsi="Arial" w:cs="Arial"/>
        </w:rPr>
        <w:t>us</w:t>
      </w:r>
      <w:r w:rsidRPr="00EA7665">
        <w:rPr>
          <w:rFonts w:ascii="Arial" w:hAnsi="Arial" w:cs="Arial"/>
        </w:rPr>
        <w:t xml:space="preserve"> to job satisfaction (Young, 1988). The framework will enhance selection and processes.</w:t>
      </w:r>
    </w:p>
    <w:p w14:paraId="7CE0DE24" w14:textId="140A4D21" w:rsidR="00CD6352" w:rsidRPr="00EA7665" w:rsidRDefault="00CD6352" w:rsidP="00CD6352">
      <w:pPr>
        <w:rPr>
          <w:rFonts w:ascii="Arial" w:hAnsi="Arial" w:cs="Arial"/>
        </w:rPr>
      </w:pPr>
      <w:r>
        <w:rPr>
          <w:rFonts w:ascii="Arial" w:hAnsi="Arial" w:cs="Arial"/>
        </w:rPr>
        <w:t>The theories that</w:t>
      </w:r>
      <w:r w:rsidRPr="00EA7665">
        <w:rPr>
          <w:rFonts w:ascii="Arial" w:hAnsi="Arial" w:cs="Arial"/>
        </w:rPr>
        <w:t xml:space="preserve"> </w:t>
      </w:r>
      <w:r w:rsidR="001B4B65" w:rsidRPr="00EA7665">
        <w:rPr>
          <w:rFonts w:ascii="Arial" w:hAnsi="Arial" w:cs="Arial"/>
        </w:rPr>
        <w:t>support</w:t>
      </w:r>
      <w:r w:rsidRPr="00EA7665">
        <w:rPr>
          <w:rFonts w:ascii="Arial" w:hAnsi="Arial" w:cs="Arial"/>
        </w:rPr>
        <w:t xml:space="preserve"> the development of the framework for career path for securing finance for real estate project development are:</w:t>
      </w:r>
    </w:p>
    <w:p w14:paraId="59B6F8B2" w14:textId="77777777" w:rsidR="00CD6352" w:rsidRPr="00EA7665" w:rsidRDefault="00CD6352" w:rsidP="007625E7">
      <w:pPr>
        <w:pStyle w:val="ListParagraph"/>
        <w:numPr>
          <w:ilvl w:val="0"/>
          <w:numId w:val="334"/>
        </w:numPr>
        <w:rPr>
          <w:rFonts w:ascii="Arial" w:hAnsi="Arial" w:cs="Arial"/>
        </w:rPr>
      </w:pPr>
      <w:bookmarkStart w:id="1392" w:name="_Hlk76325231"/>
      <w:r w:rsidRPr="00EA7665">
        <w:rPr>
          <w:rFonts w:ascii="Arial" w:hAnsi="Arial" w:cs="Arial"/>
        </w:rPr>
        <w:t>Human capital school of though</w:t>
      </w:r>
      <w:r>
        <w:rPr>
          <w:rFonts w:ascii="Arial" w:hAnsi="Arial" w:cs="Arial"/>
        </w:rPr>
        <w:t>t</w:t>
      </w:r>
    </w:p>
    <w:p w14:paraId="5B6FBAF9" w14:textId="24BE912E" w:rsidR="00CD6352" w:rsidRPr="00EA7665" w:rsidRDefault="00CD6352" w:rsidP="007625E7">
      <w:pPr>
        <w:pStyle w:val="ListParagraph"/>
        <w:numPr>
          <w:ilvl w:val="0"/>
          <w:numId w:val="334"/>
        </w:numPr>
        <w:rPr>
          <w:rFonts w:ascii="Arial" w:hAnsi="Arial" w:cs="Arial"/>
        </w:rPr>
      </w:pPr>
      <w:r w:rsidRPr="00EA7665">
        <w:rPr>
          <w:rFonts w:ascii="Arial" w:hAnsi="Arial" w:cs="Arial"/>
        </w:rPr>
        <w:t xml:space="preserve">Job matching </w:t>
      </w:r>
      <w:r w:rsidR="001B4B65" w:rsidRPr="00EA7665">
        <w:rPr>
          <w:rFonts w:ascii="Arial" w:hAnsi="Arial" w:cs="Arial"/>
        </w:rPr>
        <w:t>theory.</w:t>
      </w:r>
    </w:p>
    <w:p w14:paraId="6864DB64" w14:textId="77777777" w:rsidR="00CD6352" w:rsidRPr="00EA7665" w:rsidRDefault="00CD6352" w:rsidP="007625E7">
      <w:pPr>
        <w:pStyle w:val="ListParagraph"/>
        <w:numPr>
          <w:ilvl w:val="0"/>
          <w:numId w:val="334"/>
        </w:numPr>
        <w:rPr>
          <w:rFonts w:ascii="Arial" w:hAnsi="Arial" w:cs="Arial"/>
        </w:rPr>
      </w:pPr>
      <w:r w:rsidRPr="00EA7665">
        <w:rPr>
          <w:rFonts w:ascii="Arial" w:hAnsi="Arial" w:cs="Arial"/>
        </w:rPr>
        <w:t>Theory boundaryless career</w:t>
      </w:r>
    </w:p>
    <w:bookmarkEnd w:id="1392"/>
    <w:p w14:paraId="00416B9D" w14:textId="35F0425B" w:rsidR="00CD6352" w:rsidRPr="00EA7665" w:rsidRDefault="00CD6352" w:rsidP="00CD6352">
      <w:pPr>
        <w:spacing w:line="360" w:lineRule="auto"/>
        <w:rPr>
          <w:rFonts w:ascii="Arial" w:hAnsi="Arial" w:cs="Arial"/>
        </w:rPr>
      </w:pPr>
      <w:r w:rsidRPr="00EA7665">
        <w:rPr>
          <w:rFonts w:ascii="Arial" w:hAnsi="Arial" w:cs="Arial"/>
        </w:rPr>
        <w:t>The various theories are generally seen as platforms that contribut</w:t>
      </w:r>
      <w:r>
        <w:rPr>
          <w:rFonts w:ascii="Arial" w:hAnsi="Arial" w:cs="Arial"/>
        </w:rPr>
        <w:t>e</w:t>
      </w:r>
      <w:r w:rsidRPr="00EA7665">
        <w:rPr>
          <w:rFonts w:ascii="Arial" w:hAnsi="Arial" w:cs="Arial"/>
        </w:rPr>
        <w:t xml:space="preserve"> to policy development that helps in matching the educational systems and the labour markets. A </w:t>
      </w:r>
      <w:r w:rsidR="00970B15" w:rsidRPr="00EA7665">
        <w:rPr>
          <w:rFonts w:ascii="Arial" w:hAnsi="Arial" w:cs="Arial"/>
        </w:rPr>
        <w:t>well-trained</w:t>
      </w:r>
      <w:r w:rsidRPr="00EA7665">
        <w:rPr>
          <w:rFonts w:ascii="Arial" w:hAnsi="Arial" w:cs="Arial"/>
        </w:rPr>
        <w:t xml:space="preserve"> workforce is seen as a precondition to economic growth. However, research has show</w:t>
      </w:r>
      <w:r w:rsidR="00B55B5E">
        <w:rPr>
          <w:rFonts w:ascii="Arial" w:hAnsi="Arial" w:cs="Arial"/>
        </w:rPr>
        <w:t xml:space="preserve">n that </w:t>
      </w:r>
      <w:r w:rsidR="00B55B5E">
        <w:rPr>
          <w:rFonts w:ascii="Arial" w:hAnsi="Arial" w:cs="Arial"/>
        </w:rPr>
        <w:lastRenderedPageBreak/>
        <w:t>education's value</w:t>
      </w:r>
      <w:r w:rsidRPr="00EA7665">
        <w:rPr>
          <w:rFonts w:ascii="Arial" w:hAnsi="Arial" w:cs="Arial"/>
        </w:rPr>
        <w:t xml:space="preserve"> </w:t>
      </w:r>
      <w:r w:rsidR="001006E8">
        <w:rPr>
          <w:rFonts w:ascii="Arial" w:hAnsi="Arial" w:cs="Arial"/>
        </w:rPr>
        <w:t>depends not just on the level of education but also on</w:t>
      </w:r>
      <w:r w:rsidRPr="00EA7665">
        <w:rPr>
          <w:rFonts w:ascii="Arial" w:hAnsi="Arial" w:cs="Arial"/>
        </w:rPr>
        <w:t xml:space="preserve"> the subject studied </w:t>
      </w:r>
      <w:r w:rsidR="001B4B65" w:rsidRPr="00EA7665">
        <w:rPr>
          <w:rFonts w:ascii="Arial" w:hAnsi="Arial" w:cs="Arial"/>
        </w:rPr>
        <w:t>(Heijke</w:t>
      </w:r>
      <w:r w:rsidRPr="00EA7665">
        <w:rPr>
          <w:rFonts w:ascii="Arial" w:hAnsi="Arial" w:cs="Arial"/>
        </w:rPr>
        <w:t>, 1996).</w:t>
      </w:r>
    </w:p>
    <w:p w14:paraId="09B28C0B" w14:textId="1C56F0CC" w:rsidR="00442CE0" w:rsidRPr="00474B94" w:rsidRDefault="00442CE0" w:rsidP="00442CE0">
      <w:pPr>
        <w:pStyle w:val="Caption"/>
        <w:keepNext/>
        <w:rPr>
          <w:rFonts w:ascii="Arial" w:hAnsi="Arial" w:cs="Arial"/>
          <w:i w:val="0"/>
          <w:iCs w:val="0"/>
          <w:sz w:val="16"/>
          <w:szCs w:val="16"/>
        </w:rPr>
      </w:pPr>
      <w:bookmarkStart w:id="1393" w:name="_Toc78984028"/>
      <w:bookmarkStart w:id="1394" w:name="_Hlk42859179"/>
      <w:r w:rsidRPr="00474B94">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9.2</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5</w:t>
      </w:r>
      <w:r w:rsidR="008F25B1">
        <w:rPr>
          <w:rFonts w:ascii="Arial" w:hAnsi="Arial" w:cs="Arial"/>
          <w:i w:val="0"/>
          <w:iCs w:val="0"/>
          <w:sz w:val="16"/>
          <w:szCs w:val="16"/>
        </w:rPr>
        <w:fldChar w:fldCharType="end"/>
      </w:r>
      <w:r w:rsidRPr="00474B94">
        <w:rPr>
          <w:rFonts w:ascii="Arial" w:hAnsi="Arial" w:cs="Arial"/>
          <w:i w:val="0"/>
          <w:iCs w:val="0"/>
          <w:sz w:val="16"/>
          <w:szCs w:val="16"/>
        </w:rPr>
        <w:t xml:space="preserve">: </w:t>
      </w:r>
      <w:r w:rsidR="00A87638">
        <w:rPr>
          <w:rFonts w:ascii="Arial" w:hAnsi="Arial" w:cs="Arial"/>
          <w:i w:val="0"/>
          <w:iCs w:val="0"/>
          <w:sz w:val="16"/>
          <w:szCs w:val="16"/>
        </w:rPr>
        <w:t xml:space="preserve">A </w:t>
      </w:r>
      <w:r w:rsidR="007557EF" w:rsidRPr="00474B94">
        <w:rPr>
          <w:rFonts w:ascii="Arial" w:hAnsi="Arial" w:cs="Arial"/>
          <w:i w:val="0"/>
          <w:iCs w:val="0"/>
          <w:sz w:val="16"/>
          <w:szCs w:val="16"/>
        </w:rPr>
        <w:t>conceptual framework</w:t>
      </w:r>
      <w:r w:rsidRPr="00474B94">
        <w:rPr>
          <w:rFonts w:ascii="Arial" w:hAnsi="Arial" w:cs="Arial"/>
          <w:i w:val="0"/>
          <w:iCs w:val="0"/>
          <w:sz w:val="16"/>
          <w:szCs w:val="16"/>
        </w:rPr>
        <w:t xml:space="preserve"> for career path for securing finance for real estate project </w:t>
      </w:r>
      <w:r w:rsidR="00474B94" w:rsidRPr="00474B94">
        <w:rPr>
          <w:rFonts w:ascii="Arial" w:hAnsi="Arial" w:cs="Arial"/>
          <w:i w:val="0"/>
          <w:iCs w:val="0"/>
          <w:sz w:val="16"/>
          <w:szCs w:val="16"/>
        </w:rPr>
        <w:t>development.</w:t>
      </w:r>
      <w:bookmarkEnd w:id="1393"/>
    </w:p>
    <w:tbl>
      <w:tblPr>
        <w:tblStyle w:val="PlainTable21"/>
        <w:tblW w:w="1001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2631"/>
        <w:gridCol w:w="1568"/>
        <w:gridCol w:w="1354"/>
        <w:gridCol w:w="1460"/>
        <w:gridCol w:w="1428"/>
      </w:tblGrid>
      <w:tr w:rsidR="007557EF" w:rsidRPr="00025B6B" w14:paraId="4870402D" w14:textId="77777777" w:rsidTr="007557EF">
        <w:trPr>
          <w:cnfStyle w:val="100000000000" w:firstRow="1" w:lastRow="0" w:firstColumn="0" w:lastColumn="0" w:oddVBand="0" w:evenVBand="0" w:oddHBand="0" w:evenHBand="0" w:firstRowFirstColumn="0" w:firstRowLastColumn="0" w:lastRowFirstColumn="0" w:lastRowLastColumn="0"/>
          <w:trHeight w:val="1472"/>
        </w:trPr>
        <w:tc>
          <w:tcPr>
            <w:cnfStyle w:val="001000000000" w:firstRow="0" w:lastRow="0" w:firstColumn="1" w:lastColumn="0" w:oddVBand="0" w:evenVBand="0" w:oddHBand="0" w:evenHBand="0" w:firstRowFirstColumn="0" w:firstRowLastColumn="0" w:lastRowFirstColumn="0" w:lastRowLastColumn="0"/>
            <w:tcW w:w="1573" w:type="dxa"/>
          </w:tcPr>
          <w:bookmarkEnd w:id="1394"/>
          <w:p w14:paraId="3EACDBEB" w14:textId="77777777" w:rsidR="007557EF" w:rsidRPr="00025B6B" w:rsidRDefault="007557EF" w:rsidP="0052121F">
            <w:pPr>
              <w:jc w:val="both"/>
              <w:rPr>
                <w:rFonts w:ascii="Arial" w:hAnsi="Arial" w:cs="Arial"/>
                <w:sz w:val="16"/>
                <w:szCs w:val="16"/>
              </w:rPr>
            </w:pPr>
            <w:r w:rsidRPr="00025B6B">
              <w:rPr>
                <w:rFonts w:ascii="Arial" w:hAnsi="Arial" w:cs="Arial"/>
                <w:sz w:val="16"/>
                <w:szCs w:val="16"/>
              </w:rPr>
              <w:t>Career history</w:t>
            </w:r>
          </w:p>
        </w:tc>
        <w:tc>
          <w:tcPr>
            <w:tcW w:w="0" w:type="auto"/>
          </w:tcPr>
          <w:p w14:paraId="087DA0AA" w14:textId="77777777" w:rsidR="007557EF" w:rsidRPr="00025B6B" w:rsidRDefault="007557EF" w:rsidP="005212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25B6B">
              <w:rPr>
                <w:rFonts w:ascii="Arial" w:hAnsi="Arial" w:cs="Arial"/>
                <w:sz w:val="16"/>
                <w:szCs w:val="16"/>
              </w:rPr>
              <w:t>Education</w:t>
            </w:r>
          </w:p>
        </w:tc>
        <w:tc>
          <w:tcPr>
            <w:tcW w:w="0" w:type="auto"/>
          </w:tcPr>
          <w:p w14:paraId="56894883" w14:textId="70CD5554" w:rsidR="007557EF" w:rsidRPr="00025B6B" w:rsidRDefault="007557EF" w:rsidP="005212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25B6B">
              <w:rPr>
                <w:rFonts w:ascii="Arial" w:hAnsi="Arial" w:cs="Arial"/>
                <w:sz w:val="16"/>
                <w:szCs w:val="16"/>
              </w:rPr>
              <w:t>Module guide for undergraduates &amp; postgraduate education</w:t>
            </w:r>
          </w:p>
        </w:tc>
        <w:tc>
          <w:tcPr>
            <w:tcW w:w="0" w:type="auto"/>
          </w:tcPr>
          <w:p w14:paraId="6BAFB09D" w14:textId="77777777" w:rsidR="007557EF" w:rsidRPr="00025B6B" w:rsidRDefault="007557EF" w:rsidP="005212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25B6B">
              <w:rPr>
                <w:rFonts w:ascii="Arial" w:hAnsi="Arial" w:cs="Arial"/>
                <w:sz w:val="16"/>
                <w:szCs w:val="16"/>
              </w:rPr>
              <w:t>Cross organisational mobility</w:t>
            </w:r>
          </w:p>
        </w:tc>
        <w:tc>
          <w:tcPr>
            <w:tcW w:w="0" w:type="auto"/>
          </w:tcPr>
          <w:p w14:paraId="4E176DDF" w14:textId="77777777" w:rsidR="007557EF" w:rsidRPr="00025B6B" w:rsidRDefault="007557EF" w:rsidP="005212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25B6B">
              <w:rPr>
                <w:rFonts w:ascii="Arial" w:hAnsi="Arial" w:cs="Arial"/>
                <w:sz w:val="16"/>
                <w:szCs w:val="16"/>
              </w:rPr>
              <w:t>International content</w:t>
            </w:r>
          </w:p>
        </w:tc>
        <w:tc>
          <w:tcPr>
            <w:tcW w:w="0" w:type="auto"/>
          </w:tcPr>
          <w:p w14:paraId="73DEE125" w14:textId="77777777" w:rsidR="007557EF" w:rsidRPr="00025B6B" w:rsidRDefault="007557EF" w:rsidP="0052121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25B6B">
              <w:rPr>
                <w:rFonts w:ascii="Arial" w:hAnsi="Arial" w:cs="Arial"/>
                <w:sz w:val="16"/>
                <w:szCs w:val="16"/>
              </w:rPr>
              <w:t>Extra-organisational support/ membership</w:t>
            </w:r>
          </w:p>
        </w:tc>
      </w:tr>
      <w:tr w:rsidR="007557EF" w:rsidRPr="00025B6B" w14:paraId="20B28071" w14:textId="77777777" w:rsidTr="00755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155AE261" w14:textId="77777777" w:rsidR="007557EF" w:rsidRPr="00025B6B" w:rsidRDefault="007557EF" w:rsidP="00C74AEC">
            <w:pPr>
              <w:pStyle w:val="ListParagraph"/>
              <w:numPr>
                <w:ilvl w:val="0"/>
                <w:numId w:val="60"/>
              </w:numPr>
              <w:spacing w:after="0" w:line="240" w:lineRule="auto"/>
              <w:jc w:val="both"/>
              <w:rPr>
                <w:rFonts w:ascii="Arial" w:hAnsi="Arial" w:cs="Arial"/>
                <w:b w:val="0"/>
                <w:bCs w:val="0"/>
                <w:sz w:val="16"/>
                <w:szCs w:val="16"/>
              </w:rPr>
            </w:pPr>
            <w:r w:rsidRPr="00025B6B">
              <w:rPr>
                <w:rFonts w:ascii="Arial" w:hAnsi="Arial" w:cs="Arial"/>
                <w:b w:val="0"/>
                <w:bCs w:val="0"/>
                <w:sz w:val="16"/>
                <w:szCs w:val="16"/>
              </w:rPr>
              <w:t>Strong finance background.</w:t>
            </w:r>
          </w:p>
          <w:p w14:paraId="5AAB6985" w14:textId="77777777" w:rsidR="007557EF" w:rsidRPr="00025B6B" w:rsidRDefault="007557EF" w:rsidP="00C74AEC">
            <w:pPr>
              <w:pStyle w:val="ListParagraph"/>
              <w:numPr>
                <w:ilvl w:val="0"/>
                <w:numId w:val="60"/>
              </w:numPr>
              <w:spacing w:after="0" w:line="240" w:lineRule="auto"/>
              <w:jc w:val="both"/>
              <w:rPr>
                <w:rFonts w:ascii="Arial" w:hAnsi="Arial" w:cs="Arial"/>
                <w:b w:val="0"/>
                <w:bCs w:val="0"/>
                <w:sz w:val="16"/>
                <w:szCs w:val="16"/>
              </w:rPr>
            </w:pPr>
            <w:r w:rsidRPr="00025B6B">
              <w:rPr>
                <w:rFonts w:ascii="Arial" w:hAnsi="Arial" w:cs="Arial"/>
                <w:b w:val="0"/>
                <w:bCs w:val="0"/>
                <w:sz w:val="16"/>
                <w:szCs w:val="16"/>
              </w:rPr>
              <w:t>Specialisation ranging from real estate industry analyst and real estate to pension fund management.</w:t>
            </w:r>
          </w:p>
          <w:p w14:paraId="7CFBFBB0" w14:textId="77777777" w:rsidR="007557EF" w:rsidRPr="00025B6B" w:rsidRDefault="007557EF" w:rsidP="00C74AEC">
            <w:pPr>
              <w:pStyle w:val="ListParagraph"/>
              <w:numPr>
                <w:ilvl w:val="0"/>
                <w:numId w:val="60"/>
              </w:numPr>
              <w:spacing w:after="0" w:line="240" w:lineRule="auto"/>
              <w:jc w:val="both"/>
              <w:rPr>
                <w:rFonts w:ascii="Arial" w:hAnsi="Arial" w:cs="Arial"/>
                <w:b w:val="0"/>
                <w:bCs w:val="0"/>
                <w:sz w:val="16"/>
                <w:szCs w:val="16"/>
              </w:rPr>
            </w:pPr>
            <w:r w:rsidRPr="00025B6B">
              <w:rPr>
                <w:rFonts w:ascii="Arial" w:hAnsi="Arial" w:cs="Arial"/>
                <w:b w:val="0"/>
                <w:bCs w:val="0"/>
                <w:sz w:val="16"/>
                <w:szCs w:val="16"/>
              </w:rPr>
              <w:t>Specialisation in commercial or /and retail real estate developments</w:t>
            </w:r>
          </w:p>
          <w:p w14:paraId="69F3901D" w14:textId="77777777" w:rsidR="007557EF" w:rsidRPr="00025B6B" w:rsidRDefault="007557EF" w:rsidP="00C74AEC">
            <w:pPr>
              <w:pStyle w:val="ListParagraph"/>
              <w:numPr>
                <w:ilvl w:val="0"/>
                <w:numId w:val="60"/>
              </w:numPr>
              <w:spacing w:after="0" w:line="240" w:lineRule="auto"/>
              <w:jc w:val="both"/>
              <w:rPr>
                <w:rFonts w:ascii="Arial" w:hAnsi="Arial" w:cs="Arial"/>
                <w:b w:val="0"/>
                <w:bCs w:val="0"/>
                <w:sz w:val="16"/>
                <w:szCs w:val="16"/>
              </w:rPr>
            </w:pPr>
            <w:r w:rsidRPr="00025B6B">
              <w:rPr>
                <w:rFonts w:ascii="Arial" w:hAnsi="Arial" w:cs="Arial"/>
                <w:b w:val="0"/>
                <w:bCs w:val="0"/>
                <w:sz w:val="16"/>
                <w:szCs w:val="16"/>
              </w:rPr>
              <w:t xml:space="preserve">Good international work experiences across countries </w:t>
            </w:r>
          </w:p>
          <w:p w14:paraId="3FEC8812" w14:textId="77777777" w:rsidR="007557EF" w:rsidRPr="00025B6B" w:rsidRDefault="007557EF" w:rsidP="00C74AEC">
            <w:pPr>
              <w:pStyle w:val="ListParagraph"/>
              <w:numPr>
                <w:ilvl w:val="0"/>
                <w:numId w:val="60"/>
              </w:numPr>
              <w:spacing w:after="0" w:line="240" w:lineRule="auto"/>
              <w:jc w:val="both"/>
              <w:rPr>
                <w:rFonts w:ascii="Arial" w:hAnsi="Arial" w:cs="Arial"/>
                <w:b w:val="0"/>
                <w:bCs w:val="0"/>
                <w:sz w:val="16"/>
                <w:szCs w:val="16"/>
              </w:rPr>
            </w:pPr>
            <w:r w:rsidRPr="00025B6B">
              <w:rPr>
                <w:rFonts w:ascii="Arial" w:hAnsi="Arial" w:cs="Arial"/>
                <w:b w:val="0"/>
                <w:bCs w:val="0"/>
                <w:sz w:val="16"/>
                <w:szCs w:val="16"/>
              </w:rPr>
              <w:t>Academic specialisation with a strong emphasis on real estate, construction &amp; project finance, management &amp; finance</w:t>
            </w:r>
          </w:p>
          <w:p w14:paraId="702CE4B7" w14:textId="77777777" w:rsidR="007557EF" w:rsidRPr="00025B6B" w:rsidRDefault="007557EF" w:rsidP="00C74AEC">
            <w:pPr>
              <w:pStyle w:val="ListParagraph"/>
              <w:numPr>
                <w:ilvl w:val="0"/>
                <w:numId w:val="60"/>
              </w:numPr>
              <w:spacing w:after="0" w:line="240" w:lineRule="auto"/>
              <w:jc w:val="both"/>
              <w:rPr>
                <w:rFonts w:ascii="Arial" w:hAnsi="Arial" w:cs="Arial"/>
                <w:b w:val="0"/>
                <w:bCs w:val="0"/>
                <w:sz w:val="16"/>
                <w:szCs w:val="16"/>
              </w:rPr>
            </w:pPr>
            <w:r w:rsidRPr="00025B6B">
              <w:rPr>
                <w:rFonts w:ascii="Arial" w:hAnsi="Arial" w:cs="Arial"/>
                <w:b w:val="0"/>
                <w:bCs w:val="0"/>
                <w:sz w:val="16"/>
                <w:szCs w:val="16"/>
              </w:rPr>
              <w:t xml:space="preserve">A range of 4 to 17 years average experience in the real estate sector </w:t>
            </w:r>
          </w:p>
          <w:p w14:paraId="054F39F1" w14:textId="77777777" w:rsidR="007557EF" w:rsidRPr="00025B6B" w:rsidRDefault="007557EF" w:rsidP="0052121F">
            <w:pPr>
              <w:jc w:val="both"/>
              <w:rPr>
                <w:rFonts w:ascii="Arial" w:hAnsi="Arial" w:cs="Arial"/>
                <w:b w:val="0"/>
                <w:bCs w:val="0"/>
                <w:sz w:val="16"/>
                <w:szCs w:val="16"/>
              </w:rPr>
            </w:pPr>
          </w:p>
          <w:p w14:paraId="4B6E96F6" w14:textId="77777777" w:rsidR="007557EF" w:rsidRPr="00025B6B" w:rsidRDefault="007557EF" w:rsidP="0052121F">
            <w:pPr>
              <w:jc w:val="both"/>
              <w:rPr>
                <w:rFonts w:ascii="Arial" w:hAnsi="Arial" w:cs="Arial"/>
                <w:b w:val="0"/>
                <w:bCs w:val="0"/>
                <w:sz w:val="16"/>
                <w:szCs w:val="16"/>
              </w:rPr>
            </w:pPr>
          </w:p>
        </w:tc>
        <w:tc>
          <w:tcPr>
            <w:tcW w:w="2632" w:type="dxa"/>
          </w:tcPr>
          <w:p w14:paraId="6CA22EFC"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 Rhetoric </w:t>
            </w:r>
          </w:p>
          <w:p w14:paraId="24F16EA9"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 Economics  </w:t>
            </w:r>
          </w:p>
          <w:p w14:paraId="5D2F1FA3"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Bachelor of Science in Management and Master of Science in Real estate </w:t>
            </w:r>
          </w:p>
          <w:p w14:paraId="73DD8CAC"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Economics </w:t>
            </w:r>
          </w:p>
          <w:p w14:paraId="156AA83C"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BSc Housing and Consumer Economics</w:t>
            </w:r>
          </w:p>
          <w:p w14:paraId="37C4C21D"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Management Estate Management </w:t>
            </w:r>
          </w:p>
          <w:p w14:paraId="1257B4D8"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political science </w:t>
            </w:r>
          </w:p>
          <w:p w14:paraId="49C181E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Certificate in mortgage practice </w:t>
            </w:r>
          </w:p>
          <w:p w14:paraId="1FA281E5"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Chartered accountancy</w:t>
            </w:r>
          </w:p>
          <w:p w14:paraId="385E0063"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Degree in Economics &amp; Geography </w:t>
            </w:r>
          </w:p>
          <w:p w14:paraId="0941B9C6"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Degree in Economics and public administration </w:t>
            </w:r>
          </w:p>
          <w:p w14:paraId="3980924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Degree in Finance and accounting </w:t>
            </w:r>
          </w:p>
          <w:p w14:paraId="1479AF14"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Degree in Land Economics </w:t>
            </w:r>
          </w:p>
          <w:p w14:paraId="1B3E4598"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Degree in Mathematics </w:t>
            </w:r>
          </w:p>
          <w:p w14:paraId="3F009BF4"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Finance degree </w:t>
            </w:r>
          </w:p>
          <w:p w14:paraId="156BC146"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J.D Law </w:t>
            </w:r>
          </w:p>
          <w:p w14:paraId="61E267E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Masters European Law focusing on real estates</w:t>
            </w:r>
          </w:p>
          <w:p w14:paraId="45B90214"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Masters in Senior Housing </w:t>
            </w:r>
          </w:p>
          <w:p w14:paraId="6591881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MSc Real estate </w:t>
            </w:r>
          </w:p>
          <w:p w14:paraId="1B1EB77E"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MSc, Investment Analysis </w:t>
            </w:r>
          </w:p>
          <w:p w14:paraId="04722E26"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PhD Finance </w:t>
            </w:r>
          </w:p>
          <w:p w14:paraId="2B612553"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PhD in Leadership Development.</w:t>
            </w:r>
          </w:p>
          <w:p w14:paraId="48E19980"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RICS post-graduate diploma in property investment </w:t>
            </w:r>
          </w:p>
          <w:p w14:paraId="11CA8DC2"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Self –education </w:t>
            </w:r>
          </w:p>
          <w:p w14:paraId="22ACFF2E"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Business property </w:t>
            </w:r>
          </w:p>
          <w:p w14:paraId="61C647EC"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CFAI- Chartered Financial Analyst Institute </w:t>
            </w:r>
          </w:p>
          <w:p w14:paraId="0EC21C21"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Bachelor of Science in Civil Engineering </w:t>
            </w:r>
          </w:p>
          <w:p w14:paraId="47BDC6F9"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Bachelor of Science in Finance </w:t>
            </w:r>
          </w:p>
          <w:p w14:paraId="56872602"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Master of Science in Construction Management </w:t>
            </w:r>
          </w:p>
          <w:p w14:paraId="19C9F59E"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Master’s degree in Finance </w:t>
            </w:r>
          </w:p>
          <w:p w14:paraId="73E06E89"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MSc Project Management </w:t>
            </w:r>
          </w:p>
          <w:p w14:paraId="03FD6A32"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PhD. Construction Management and Economics </w:t>
            </w:r>
          </w:p>
          <w:p w14:paraId="2BDFAD59"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Bachelor of Science in Applied Mathematics and Economics </w:t>
            </w:r>
          </w:p>
          <w:p w14:paraId="3F09F71D"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Master of Science in Property Investment </w:t>
            </w:r>
          </w:p>
          <w:p w14:paraId="7C59EDD2"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Bachelor of Science in Business Administration</w:t>
            </w:r>
          </w:p>
          <w:p w14:paraId="21058CC6"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BA Chinese</w:t>
            </w:r>
          </w:p>
          <w:p w14:paraId="6CF6489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MBA </w:t>
            </w:r>
          </w:p>
          <w:p w14:paraId="3F4BBFB1"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BSc Estate Management</w:t>
            </w:r>
          </w:p>
          <w:p w14:paraId="5805C66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lastRenderedPageBreak/>
              <w:t xml:space="preserve">Higher National Diploma ( HND) Quantity – Survey </w:t>
            </w:r>
          </w:p>
          <w:p w14:paraId="709A880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MSc Architecture </w:t>
            </w:r>
          </w:p>
          <w:p w14:paraId="73628B53"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BA Law </w:t>
            </w:r>
          </w:p>
          <w:p w14:paraId="2687F44D"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Estate Management </w:t>
            </w:r>
          </w:p>
          <w:p w14:paraId="48B3FF45"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MSC Estate Survey </w:t>
            </w:r>
          </w:p>
          <w:p w14:paraId="3C54D6FA"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BSc Mathematical Science,</w:t>
            </w:r>
          </w:p>
          <w:p w14:paraId="1DC817A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applied mathematics </w:t>
            </w:r>
          </w:p>
          <w:p w14:paraId="20402B8D"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Master of Management in Finance and investment </w:t>
            </w:r>
          </w:p>
          <w:p w14:paraId="58D37772"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BSc Business and Commerce</w:t>
            </w:r>
          </w:p>
          <w:p w14:paraId="439A253C"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Postgraduate Diploma  In Real Estates </w:t>
            </w:r>
          </w:p>
          <w:p w14:paraId="0B9339F4"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BSc Quantity Surveying </w:t>
            </w:r>
          </w:p>
          <w:p w14:paraId="2A23003C"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Master of Business leadership finance, general </w:t>
            </w:r>
          </w:p>
          <w:p w14:paraId="1BCCD949"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BSc Corporate finance and Economics</w:t>
            </w:r>
          </w:p>
          <w:p w14:paraId="1CB8970B"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Postgraduate degree in business management </w:t>
            </w:r>
          </w:p>
          <w:p w14:paraId="70874C72"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Postgraduate degree in future studies </w:t>
            </w:r>
          </w:p>
          <w:p w14:paraId="118CAE3F" w14:textId="73C1B411"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Research masters in </w:t>
            </w:r>
            <w:r w:rsidR="00216C83" w:rsidRPr="00025B6B">
              <w:rPr>
                <w:rFonts w:ascii="Arial" w:hAnsi="Arial" w:cs="Arial"/>
                <w:sz w:val="16"/>
                <w:szCs w:val="16"/>
              </w:rPr>
              <w:t>performance in</w:t>
            </w:r>
            <w:r w:rsidRPr="00025B6B">
              <w:rPr>
                <w:rFonts w:ascii="Arial" w:hAnsi="Arial" w:cs="Arial"/>
                <w:sz w:val="16"/>
                <w:szCs w:val="16"/>
              </w:rPr>
              <w:t xml:space="preserve"> real estate  performance structuring </w:t>
            </w:r>
          </w:p>
          <w:p w14:paraId="5D05720A" w14:textId="77777777" w:rsidR="007557EF" w:rsidRPr="00025B6B" w:rsidRDefault="007557EF" w:rsidP="0052121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auto"/>
          </w:tcPr>
          <w:p w14:paraId="34F4CA9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lastRenderedPageBreak/>
              <w:t>Financial accounting basics</w:t>
            </w:r>
          </w:p>
          <w:p w14:paraId="2E0CDE58"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Finance options</w:t>
            </w:r>
          </w:p>
          <w:p w14:paraId="3EBAA77E"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Cost calculation technique</w:t>
            </w:r>
          </w:p>
          <w:p w14:paraId="19B8583B" w14:textId="7EAAE193"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Financial management concepts &amp; terms such as (cashflows, debt-asset ratio &amp; return on investment.</w:t>
            </w:r>
          </w:p>
          <w:p w14:paraId="501D7F89"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Debt literacy</w:t>
            </w:r>
          </w:p>
          <w:p w14:paraId="16B29C24"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Market intelligence</w:t>
            </w:r>
          </w:p>
          <w:p w14:paraId="5D1CBDBC" w14:textId="18E4E7A3"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Principles of risk &amp; </w:t>
            </w:r>
            <w:r w:rsidR="006071AB" w:rsidRPr="00025B6B">
              <w:rPr>
                <w:rFonts w:ascii="Arial" w:hAnsi="Arial" w:cs="Arial"/>
                <w:sz w:val="16"/>
                <w:szCs w:val="16"/>
              </w:rPr>
              <w:t>diversification</w:t>
            </w:r>
          </w:p>
          <w:p w14:paraId="32A7B90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Relevant conventions, regulations and legislation</w:t>
            </w:r>
          </w:p>
          <w:p w14:paraId="67721250" w14:textId="7C56B4D4"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 xml:space="preserve">Strategies for managing risk and </w:t>
            </w:r>
            <w:r w:rsidR="00474B94" w:rsidRPr="00025B6B">
              <w:rPr>
                <w:rFonts w:ascii="Arial" w:hAnsi="Arial" w:cs="Arial"/>
                <w:sz w:val="16"/>
                <w:szCs w:val="16"/>
              </w:rPr>
              <w:t>uncertainties.</w:t>
            </w:r>
          </w:p>
          <w:p w14:paraId="1E357FED"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Cost estimation methods</w:t>
            </w:r>
          </w:p>
          <w:p w14:paraId="05795A0E"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Technics and conditions for loan effectiveness</w:t>
            </w:r>
          </w:p>
        </w:tc>
        <w:tc>
          <w:tcPr>
            <w:tcW w:w="0" w:type="auto"/>
          </w:tcPr>
          <w:p w14:paraId="1B806BFB"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Insurance companies</w:t>
            </w:r>
          </w:p>
          <w:p w14:paraId="28BB4C0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Mortgage firms</w:t>
            </w:r>
          </w:p>
          <w:p w14:paraId="3461A70E"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Banks</w:t>
            </w:r>
          </w:p>
          <w:p w14:paraId="21528221"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Legal firms</w:t>
            </w:r>
          </w:p>
        </w:tc>
        <w:tc>
          <w:tcPr>
            <w:tcW w:w="0" w:type="auto"/>
          </w:tcPr>
          <w:p w14:paraId="7556EEB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Work experiences in differed countries</w:t>
            </w:r>
          </w:p>
          <w:p w14:paraId="23120F86"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Academic experiences in different countries</w:t>
            </w:r>
          </w:p>
          <w:p w14:paraId="06EA3E28"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Internship programs in different countries</w:t>
            </w:r>
          </w:p>
          <w:p w14:paraId="635F3A07"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Universities exchange program in different countries</w:t>
            </w:r>
          </w:p>
          <w:p w14:paraId="574212E8" w14:textId="77AC9F00"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Short courses focused on real estates in different countries.</w:t>
            </w:r>
          </w:p>
          <w:p w14:paraId="1CDC2B7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Seminars and conferences in different countries</w:t>
            </w:r>
          </w:p>
        </w:tc>
        <w:tc>
          <w:tcPr>
            <w:tcW w:w="0" w:type="auto"/>
          </w:tcPr>
          <w:p w14:paraId="457D591D"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Society of property researchers (SPR)</w:t>
            </w:r>
          </w:p>
          <w:p w14:paraId="74D08D4A"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ARCOM</w:t>
            </w:r>
          </w:p>
          <w:p w14:paraId="7FC95554"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CIB</w:t>
            </w:r>
          </w:p>
          <w:p w14:paraId="69DB64AF" w14:textId="77777777" w:rsidR="007557EF" w:rsidRPr="00025B6B" w:rsidRDefault="007557EF" w:rsidP="00C74AEC">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25B6B">
              <w:rPr>
                <w:rFonts w:ascii="Arial" w:hAnsi="Arial" w:cs="Arial"/>
                <w:sz w:val="16"/>
                <w:szCs w:val="16"/>
              </w:rPr>
              <w:t>Mentors</w:t>
            </w:r>
          </w:p>
        </w:tc>
      </w:tr>
    </w:tbl>
    <w:p w14:paraId="6A833B2C" w14:textId="77777777" w:rsidR="00CD6352" w:rsidRDefault="00CD6352" w:rsidP="00CD6352">
      <w:pPr>
        <w:rPr>
          <w:rFonts w:ascii="Arial" w:hAnsi="Arial" w:cs="Arial"/>
        </w:rPr>
      </w:pPr>
    </w:p>
    <w:p w14:paraId="4781E89E" w14:textId="5D2E7506" w:rsidR="00CD6352" w:rsidRDefault="00CD6352" w:rsidP="00CD6352">
      <w:pPr>
        <w:spacing w:line="360" w:lineRule="auto"/>
        <w:rPr>
          <w:rFonts w:ascii="Arial" w:hAnsi="Arial" w:cs="Arial"/>
        </w:rPr>
      </w:pPr>
      <w:r>
        <w:rPr>
          <w:rFonts w:ascii="Arial" w:hAnsi="Arial" w:cs="Arial"/>
        </w:rPr>
        <w:t xml:space="preserve">The framework for </w:t>
      </w:r>
      <w:r w:rsidR="00A87638">
        <w:rPr>
          <w:rFonts w:ascii="Arial" w:hAnsi="Arial" w:cs="Arial"/>
        </w:rPr>
        <w:t xml:space="preserve">the </w:t>
      </w:r>
      <w:r>
        <w:rPr>
          <w:rFonts w:ascii="Arial" w:hAnsi="Arial" w:cs="Arial"/>
        </w:rPr>
        <w:t xml:space="preserve">career path for securing finance for real estate project development is made up of five parts. These five parts are a reflection of the data collected and the three theories used as a basis for the creation of </w:t>
      </w:r>
      <w:r w:rsidR="00A8534C">
        <w:rPr>
          <w:rFonts w:ascii="Arial" w:hAnsi="Arial" w:cs="Arial"/>
        </w:rPr>
        <w:t xml:space="preserve">the </w:t>
      </w:r>
      <w:r w:rsidR="006071AB">
        <w:rPr>
          <w:rFonts w:ascii="Arial" w:hAnsi="Arial" w:cs="Arial"/>
        </w:rPr>
        <w:t>framework</w:t>
      </w:r>
      <w:r>
        <w:rPr>
          <w:rFonts w:ascii="Arial" w:hAnsi="Arial" w:cs="Arial"/>
        </w:rPr>
        <w:t xml:space="preserve">. The five parts are career history, education, module guide for undergraduates and postgraduate studies, organisational </w:t>
      </w:r>
      <w:r w:rsidR="006071AB">
        <w:rPr>
          <w:rFonts w:ascii="Arial" w:hAnsi="Arial" w:cs="Arial"/>
        </w:rPr>
        <w:t>mobility,</w:t>
      </w:r>
      <w:r>
        <w:rPr>
          <w:rFonts w:ascii="Arial" w:hAnsi="Arial" w:cs="Arial"/>
        </w:rPr>
        <w:t xml:space="preserve"> and international content. There is no existing research done on career path for securing finance for real estate project development</w:t>
      </w:r>
      <w:r w:rsidR="001006E8">
        <w:rPr>
          <w:rFonts w:ascii="Arial" w:hAnsi="Arial" w:cs="Arial"/>
        </w:rPr>
        <w:t>,</w:t>
      </w:r>
      <w:r>
        <w:rPr>
          <w:rFonts w:ascii="Arial" w:hAnsi="Arial" w:cs="Arial"/>
        </w:rPr>
        <w:t xml:space="preserve"> and hence a comparison could not be made in that regard.</w:t>
      </w:r>
    </w:p>
    <w:p w14:paraId="5DC5C2DF" w14:textId="1F6E4CA0" w:rsidR="00CD6352" w:rsidRPr="002626FF" w:rsidRDefault="00CD6352" w:rsidP="007625E7">
      <w:pPr>
        <w:pStyle w:val="ListParagraph"/>
        <w:numPr>
          <w:ilvl w:val="0"/>
          <w:numId w:val="335"/>
        </w:numPr>
        <w:spacing w:line="360" w:lineRule="auto"/>
        <w:rPr>
          <w:rFonts w:ascii="Arial" w:hAnsi="Arial" w:cs="Arial"/>
          <w:b/>
          <w:bCs/>
        </w:rPr>
      </w:pPr>
      <w:r w:rsidRPr="002626FF">
        <w:rPr>
          <w:rFonts w:ascii="Arial" w:hAnsi="Arial" w:cs="Arial"/>
          <w:b/>
          <w:bCs/>
        </w:rPr>
        <w:t>Career history / Education/ module guide for undergraduate and postgraduate education</w:t>
      </w:r>
    </w:p>
    <w:p w14:paraId="06D1DE2D" w14:textId="6A176905" w:rsidR="00CD6352" w:rsidRDefault="00CD6352" w:rsidP="00CD6352">
      <w:pPr>
        <w:spacing w:line="360" w:lineRule="auto"/>
        <w:rPr>
          <w:rFonts w:ascii="Arial" w:hAnsi="Arial" w:cs="Arial"/>
        </w:rPr>
      </w:pPr>
      <w:r>
        <w:rPr>
          <w:rFonts w:ascii="Arial" w:hAnsi="Arial" w:cs="Arial"/>
        </w:rPr>
        <w:t xml:space="preserve">Management education is seen as instrumental to the success of any task hence this </w:t>
      </w:r>
      <w:r w:rsidR="003B668C">
        <w:rPr>
          <w:rFonts w:ascii="Arial" w:hAnsi="Arial" w:cs="Arial"/>
        </w:rPr>
        <w:t>framework</w:t>
      </w:r>
      <w:r>
        <w:rPr>
          <w:rFonts w:ascii="Arial" w:hAnsi="Arial" w:cs="Arial"/>
        </w:rPr>
        <w:t xml:space="preserve"> suggests an education and module guide that tilts towards management skills in finance. </w:t>
      </w:r>
      <w:r w:rsidR="001006E8">
        <w:rPr>
          <w:rFonts w:ascii="Arial" w:hAnsi="Arial" w:cs="Arial"/>
        </w:rPr>
        <w:t>Aside from acting as a guide for prospective students with an interest in this sector, the framework</w:t>
      </w:r>
      <w:r>
        <w:rPr>
          <w:rFonts w:ascii="Arial" w:hAnsi="Arial" w:cs="Arial"/>
        </w:rPr>
        <w:t xml:space="preserve"> provides broad content for undergraduates and postgraduate students. It is recommended that school authorities design the curriculum for students in the Built Environment to include the modules in the framework to enhance the careers of the students. The provision of courses and a module guide in the framework aligns with the human capital theory</w:t>
      </w:r>
      <w:r w:rsidR="001006E8">
        <w:rPr>
          <w:rFonts w:ascii="Arial" w:hAnsi="Arial" w:cs="Arial"/>
        </w:rPr>
        <w:t>,</w:t>
      </w:r>
      <w:r>
        <w:rPr>
          <w:rFonts w:ascii="Arial" w:hAnsi="Arial" w:cs="Arial"/>
        </w:rPr>
        <w:t xml:space="preserve"> which emphasises that education increases the productivity and efficiency of workers by increasing the level of cognitive stock of economically productive human capability, which is a product of inborn abilities and investment in human beings (Almendarez, 2016).</w:t>
      </w:r>
    </w:p>
    <w:p w14:paraId="3C450CCF" w14:textId="61F34A6F" w:rsidR="00CD6352" w:rsidRDefault="00CD6352" w:rsidP="00CD6352">
      <w:pPr>
        <w:spacing w:line="360" w:lineRule="auto"/>
        <w:rPr>
          <w:rFonts w:ascii="Arial" w:hAnsi="Arial" w:cs="Arial"/>
        </w:rPr>
      </w:pPr>
      <w:r>
        <w:rPr>
          <w:rFonts w:ascii="Arial" w:hAnsi="Arial" w:cs="Arial"/>
        </w:rPr>
        <w:lastRenderedPageBreak/>
        <w:t xml:space="preserve">The framework provides relevant courses for managers and aspiring managers that will be involved with securing finance for real estate project development. Appropriate courses could advance </w:t>
      </w:r>
      <w:r w:rsidR="002922CF">
        <w:rPr>
          <w:rFonts w:ascii="Arial" w:hAnsi="Arial" w:cs="Arial"/>
        </w:rPr>
        <w:t xml:space="preserve">the </w:t>
      </w:r>
      <w:r>
        <w:rPr>
          <w:rFonts w:ascii="Arial" w:hAnsi="Arial" w:cs="Arial"/>
        </w:rPr>
        <w:t xml:space="preserve">career prospects of the individuals, they act as direct stimuli to job satisfaction and could reduce skills mismatch (Young, 1988). Modern economists are of the opinion that education and health care are the keys to improving human capital and ultimately increasing the economic output of a nation (Strober, 1990). This study aims to leverage on that fact by including appropriate education via the provision of relevant courses </w:t>
      </w:r>
      <w:r w:rsidR="002216B6">
        <w:rPr>
          <w:rFonts w:ascii="Arial" w:hAnsi="Arial" w:cs="Arial"/>
        </w:rPr>
        <w:t>and modular</w:t>
      </w:r>
      <w:r>
        <w:rPr>
          <w:rFonts w:ascii="Arial" w:hAnsi="Arial" w:cs="Arial"/>
        </w:rPr>
        <w:t xml:space="preserve"> guide</w:t>
      </w:r>
      <w:r w:rsidR="00DD2807">
        <w:rPr>
          <w:rFonts w:ascii="Arial" w:hAnsi="Arial" w:cs="Arial"/>
        </w:rPr>
        <w:t>s</w:t>
      </w:r>
      <w:r>
        <w:rPr>
          <w:rFonts w:ascii="Arial" w:hAnsi="Arial" w:cs="Arial"/>
        </w:rPr>
        <w:t xml:space="preserve"> to enhance the knowledge of managers and therefore enable them to access finance for real estate project development.</w:t>
      </w:r>
    </w:p>
    <w:p w14:paraId="40093E56" w14:textId="15D48983" w:rsidR="00CD6352" w:rsidRDefault="00CD6352" w:rsidP="00CD6352">
      <w:pPr>
        <w:spacing w:line="360" w:lineRule="auto"/>
        <w:rPr>
          <w:rFonts w:ascii="Arial" w:hAnsi="Arial" w:cs="Arial"/>
        </w:rPr>
      </w:pPr>
      <w:r>
        <w:rPr>
          <w:rFonts w:ascii="Arial" w:hAnsi="Arial" w:cs="Arial"/>
        </w:rPr>
        <w:t xml:space="preserve">Furthermore, according to human capital </w:t>
      </w:r>
      <w:r w:rsidR="002216B6">
        <w:rPr>
          <w:rFonts w:ascii="Arial" w:hAnsi="Arial" w:cs="Arial"/>
        </w:rPr>
        <w:t>theory,</w:t>
      </w:r>
      <w:r>
        <w:rPr>
          <w:rFonts w:ascii="Arial" w:hAnsi="Arial" w:cs="Arial"/>
        </w:rPr>
        <w:t xml:space="preserve"> education positively correlates with income. This is because education increases skills, and this</w:t>
      </w:r>
      <w:r w:rsidR="00DD2807">
        <w:rPr>
          <w:rFonts w:ascii="Arial" w:hAnsi="Arial" w:cs="Arial"/>
        </w:rPr>
        <w:t>, in turn,</w:t>
      </w:r>
      <w:r>
        <w:rPr>
          <w:rFonts w:ascii="Arial" w:hAnsi="Arial" w:cs="Arial"/>
        </w:rPr>
        <w:t xml:space="preserve"> increases productivity; higher productivity is then rewarded through higher earnings (Strober, 1990). It is important, therefore, that those aspiring to a career in the real estate sector have access to a framework, like the one in this study, early in their career pursuit in order to make decisions that would help them.</w:t>
      </w:r>
    </w:p>
    <w:p w14:paraId="3DA93A9D" w14:textId="48850BB2" w:rsidR="00CD6352" w:rsidRPr="007625E7" w:rsidRDefault="00CD6352" w:rsidP="007625E7">
      <w:pPr>
        <w:pStyle w:val="ListParagraph"/>
        <w:numPr>
          <w:ilvl w:val="0"/>
          <w:numId w:val="335"/>
        </w:numPr>
        <w:spacing w:line="360" w:lineRule="auto"/>
        <w:rPr>
          <w:rFonts w:ascii="Arial" w:hAnsi="Arial" w:cs="Arial"/>
          <w:b/>
          <w:bCs/>
        </w:rPr>
      </w:pPr>
      <w:r w:rsidRPr="007625E7">
        <w:rPr>
          <w:rFonts w:ascii="Arial" w:hAnsi="Arial" w:cs="Arial"/>
          <w:b/>
          <w:bCs/>
        </w:rPr>
        <w:t>Cross organisational mobility and international content</w:t>
      </w:r>
    </w:p>
    <w:p w14:paraId="203A7CEB" w14:textId="176B78BD" w:rsidR="00CD6352" w:rsidRDefault="00CD6352" w:rsidP="00CD6352">
      <w:pPr>
        <w:spacing w:line="360" w:lineRule="auto"/>
        <w:rPr>
          <w:rFonts w:ascii="Arial" w:hAnsi="Arial" w:cs="Arial"/>
        </w:rPr>
      </w:pPr>
      <w:r>
        <w:rPr>
          <w:rFonts w:ascii="Arial" w:hAnsi="Arial" w:cs="Arial"/>
        </w:rPr>
        <w:t xml:space="preserve">A person ” job fit” or “organisational fit”, are usually instrumental to matching the knowledge, skills and abilities of the individuals with the work requirement. Therefore, without a good “fit”, there is a likelihood of lower employee performance, higher </w:t>
      </w:r>
      <w:r w:rsidR="003614CB">
        <w:rPr>
          <w:rFonts w:ascii="Arial" w:hAnsi="Arial" w:cs="Arial"/>
        </w:rPr>
        <w:t>turnover,</w:t>
      </w:r>
      <w:r>
        <w:rPr>
          <w:rFonts w:ascii="Arial" w:hAnsi="Arial" w:cs="Arial"/>
        </w:rPr>
        <w:t xml:space="preserve"> and absenteeism (Bhat, 2014). This also leads to significant cross</w:t>
      </w:r>
      <w:r w:rsidR="002922CF">
        <w:rPr>
          <w:rFonts w:ascii="Arial" w:hAnsi="Arial" w:cs="Arial"/>
        </w:rPr>
        <w:t>-</w:t>
      </w:r>
      <w:r>
        <w:rPr>
          <w:rFonts w:ascii="Arial" w:hAnsi="Arial" w:cs="Arial"/>
        </w:rPr>
        <w:t xml:space="preserve">organisational mobility and sometimes cross border mobility. Hence organisations invest heavily </w:t>
      </w:r>
      <w:r w:rsidR="003614CB">
        <w:rPr>
          <w:rFonts w:ascii="Arial" w:hAnsi="Arial" w:cs="Arial"/>
        </w:rPr>
        <w:t>to</w:t>
      </w:r>
      <w:r>
        <w:rPr>
          <w:rFonts w:ascii="Arial" w:hAnsi="Arial" w:cs="Arial"/>
        </w:rPr>
        <w:t xml:space="preserve"> get the right types of people even if it means searching across organisations or across borders. It is believed that under conditions of perfect information, a competitive labour market will match workers and jobs and this could be not just across organisations but across borders (Crowford and Knoer, 1981).</w:t>
      </w:r>
    </w:p>
    <w:p w14:paraId="7ED6FBB7" w14:textId="081FFC74" w:rsidR="00CD6352" w:rsidRDefault="00CD6352" w:rsidP="00CD6352">
      <w:pPr>
        <w:spacing w:line="360" w:lineRule="auto"/>
        <w:rPr>
          <w:rFonts w:ascii="Arial" w:hAnsi="Arial" w:cs="Arial"/>
        </w:rPr>
      </w:pPr>
      <w:r>
        <w:rPr>
          <w:rFonts w:ascii="Arial" w:hAnsi="Arial" w:cs="Arial"/>
        </w:rPr>
        <w:t xml:space="preserve">The data collected from the interviews show significant mobility of managers from different sectors into the real estate sector. Most of these migrations were from </w:t>
      </w:r>
      <w:r w:rsidR="002922CF">
        <w:rPr>
          <w:rFonts w:ascii="Arial" w:hAnsi="Arial" w:cs="Arial"/>
        </w:rPr>
        <w:t xml:space="preserve">the </w:t>
      </w:r>
      <w:r>
        <w:rPr>
          <w:rFonts w:ascii="Arial" w:hAnsi="Arial" w:cs="Arial"/>
        </w:rPr>
        <w:t xml:space="preserve">banking, pension fund and insurance sectors into the real estate sector. These are areas that are very closely linked to the real estate sector. The data also showed that a number of the managers in the developed economies who claimed they did not have problems with access to finance had either schooled or/ and worked in other countries </w:t>
      </w:r>
      <w:r w:rsidR="003C0B7B">
        <w:rPr>
          <w:rFonts w:ascii="Arial" w:hAnsi="Arial" w:cs="Arial"/>
        </w:rPr>
        <w:t>previously.</w:t>
      </w:r>
      <w:r>
        <w:rPr>
          <w:rFonts w:ascii="Arial" w:hAnsi="Arial" w:cs="Arial"/>
        </w:rPr>
        <w:t xml:space="preserve"> The relationship linking skills that are specific to turnover over </w:t>
      </w:r>
      <w:r w:rsidR="002922CF">
        <w:rPr>
          <w:rFonts w:ascii="Arial" w:hAnsi="Arial" w:cs="Arial"/>
        </w:rPr>
        <w:t xml:space="preserve">the </w:t>
      </w:r>
      <w:r>
        <w:rPr>
          <w:rFonts w:ascii="Arial" w:hAnsi="Arial" w:cs="Arial"/>
        </w:rPr>
        <w:t>decision is considered very important in the economics of labour mobility (Miller,1984). Hence, the introduction of cross</w:t>
      </w:r>
      <w:r w:rsidR="002922CF">
        <w:rPr>
          <w:rFonts w:ascii="Arial" w:hAnsi="Arial" w:cs="Arial"/>
        </w:rPr>
        <w:t>-</w:t>
      </w:r>
      <w:r>
        <w:rPr>
          <w:rFonts w:ascii="Arial" w:hAnsi="Arial" w:cs="Arial"/>
        </w:rPr>
        <w:t xml:space="preserve">organisational mobility and international content is a strong component of this </w:t>
      </w:r>
      <w:r w:rsidR="00F37F0D">
        <w:rPr>
          <w:rFonts w:ascii="Arial" w:hAnsi="Arial" w:cs="Arial"/>
        </w:rPr>
        <w:t>framework</w:t>
      </w:r>
      <w:r>
        <w:rPr>
          <w:rFonts w:ascii="Arial" w:hAnsi="Arial" w:cs="Arial"/>
        </w:rPr>
        <w:t xml:space="preserve"> because of the incremental knowledge managers gained from such movement and its positive impact on their career</w:t>
      </w:r>
      <w:r w:rsidR="00DD2807">
        <w:rPr>
          <w:rFonts w:ascii="Arial" w:hAnsi="Arial" w:cs="Arial"/>
        </w:rPr>
        <w:t>s</w:t>
      </w:r>
      <w:r>
        <w:rPr>
          <w:rFonts w:ascii="Arial" w:hAnsi="Arial" w:cs="Arial"/>
        </w:rPr>
        <w:t>.</w:t>
      </w:r>
    </w:p>
    <w:p w14:paraId="18838C1A" w14:textId="6DA10458" w:rsidR="00CD6352" w:rsidRDefault="00CD6352" w:rsidP="00CD6352">
      <w:pPr>
        <w:spacing w:line="360" w:lineRule="auto"/>
        <w:jc w:val="both"/>
        <w:rPr>
          <w:rFonts w:ascii="Arial" w:hAnsi="Arial" w:cs="Arial"/>
        </w:rPr>
      </w:pPr>
      <w:r>
        <w:rPr>
          <w:rFonts w:ascii="Arial" w:hAnsi="Arial" w:cs="Arial"/>
        </w:rPr>
        <w:lastRenderedPageBreak/>
        <w:t>The boundaryless career theory also adds credence to the importance of inter-organisation mobility of labour and the importance of international content. Contemporary employment contexts call for career</w:t>
      </w:r>
      <w:r w:rsidR="00DD2807">
        <w:rPr>
          <w:rFonts w:ascii="Arial" w:hAnsi="Arial" w:cs="Arial"/>
        </w:rPr>
        <w:t>s</w:t>
      </w:r>
      <w:r>
        <w:rPr>
          <w:rFonts w:ascii="Arial" w:hAnsi="Arial" w:cs="Arial"/>
        </w:rPr>
        <w:t xml:space="preserve"> to be more boundaryless and there is evidence that people who exhibit boundaryless career behaviour report considerably higher levels of career success.  Career success in this regard includes promotions, salary increases, and career </w:t>
      </w:r>
      <w:r w:rsidR="003614CB">
        <w:rPr>
          <w:rFonts w:ascii="Arial" w:hAnsi="Arial" w:cs="Arial"/>
        </w:rPr>
        <w:t>satisfaction (</w:t>
      </w:r>
      <w:r>
        <w:rPr>
          <w:rFonts w:ascii="Arial" w:hAnsi="Arial" w:cs="Arial"/>
        </w:rPr>
        <w:t>Arthur et al, 2005). The boundaryless career provides opportunities that transcend any single employer. The boundaryless career theory also supports extra-organisational support which entails people developing their career and enhancing career successes through relevant peer groups or work</w:t>
      </w:r>
      <w:r w:rsidR="002922CF">
        <w:rPr>
          <w:rFonts w:ascii="Arial" w:hAnsi="Arial" w:cs="Arial"/>
        </w:rPr>
        <w:t>-</w:t>
      </w:r>
      <w:r>
        <w:rPr>
          <w:rFonts w:ascii="Arial" w:hAnsi="Arial" w:cs="Arial"/>
        </w:rPr>
        <w:t xml:space="preserve">related communities, these provide platforms for enhanced skills and knowledge through shared information and overlapping work experiences </w:t>
      </w:r>
      <w:r w:rsidR="00DF674D">
        <w:rPr>
          <w:rFonts w:ascii="Arial" w:hAnsi="Arial" w:cs="Arial"/>
        </w:rPr>
        <w:t>(Arthur</w:t>
      </w:r>
      <w:r>
        <w:rPr>
          <w:rFonts w:ascii="Arial" w:hAnsi="Arial" w:cs="Arial"/>
        </w:rPr>
        <w:t>, 2005). Such groups are meant to support managers and aspiring managers in their work roles and help them make sense of what kind of career success they have attained (Arthur et al, 2005).</w:t>
      </w:r>
      <w:bookmarkEnd w:id="1391"/>
    </w:p>
    <w:p w14:paraId="62F039E4" w14:textId="495E4720" w:rsidR="00DF674D" w:rsidRPr="00EA7665" w:rsidRDefault="00DF674D" w:rsidP="00CD6352">
      <w:pPr>
        <w:spacing w:line="360" w:lineRule="auto"/>
        <w:jc w:val="both"/>
        <w:rPr>
          <w:rFonts w:ascii="Arial" w:eastAsia="Calibri" w:hAnsi="Arial" w:cs="Arial"/>
        </w:rPr>
      </w:pPr>
      <w:r>
        <w:rPr>
          <w:rFonts w:ascii="Arial" w:hAnsi="Arial" w:cs="Arial"/>
        </w:rPr>
        <w:t>The next segment of this study discusses the education and training for securing finance for real estate project development.</w:t>
      </w:r>
    </w:p>
    <w:bookmarkEnd w:id="1388"/>
    <w:p w14:paraId="09A27539" w14:textId="77777777" w:rsidR="00CD6352" w:rsidRPr="00EA7665" w:rsidRDefault="00CD6352" w:rsidP="00CD6352">
      <w:pPr>
        <w:spacing w:line="360" w:lineRule="auto"/>
        <w:jc w:val="both"/>
        <w:rPr>
          <w:rFonts w:ascii="Arial" w:eastAsia="Calibri" w:hAnsi="Arial" w:cs="Arial"/>
        </w:rPr>
      </w:pPr>
    </w:p>
    <w:p w14:paraId="3877D2E4" w14:textId="77777777" w:rsidR="00CD6352" w:rsidRPr="00900356" w:rsidRDefault="00CD6352" w:rsidP="00CD6352">
      <w:pPr>
        <w:pStyle w:val="Heading2"/>
        <w:spacing w:after="240"/>
      </w:pPr>
      <w:bookmarkStart w:id="1395" w:name="_Toc78983925"/>
      <w:r w:rsidRPr="00900356">
        <w:t>Manager’s education and training for securing finance for real estate project development.</w:t>
      </w:r>
      <w:bookmarkEnd w:id="1395"/>
    </w:p>
    <w:p w14:paraId="67E23DBB" w14:textId="10F6AD13" w:rsidR="00CD6352" w:rsidRPr="00EA7665" w:rsidRDefault="00CD6352" w:rsidP="00CD6352">
      <w:pPr>
        <w:spacing w:line="360" w:lineRule="auto"/>
        <w:jc w:val="both"/>
        <w:rPr>
          <w:rFonts w:ascii="Arial" w:hAnsi="Arial" w:cs="Arial"/>
          <w:b/>
        </w:rPr>
      </w:pPr>
      <w:r w:rsidRPr="00EA7665">
        <w:rPr>
          <w:rFonts w:ascii="Arial" w:hAnsi="Arial" w:cs="Arial"/>
        </w:rPr>
        <w:t xml:space="preserve">The study on the manager’s education and training for securing finance for real estate project development </w:t>
      </w:r>
      <w:r w:rsidR="00055B46">
        <w:rPr>
          <w:rFonts w:ascii="Arial" w:hAnsi="Arial" w:cs="Arial"/>
        </w:rPr>
        <w:t>are</w:t>
      </w:r>
      <w:r w:rsidRPr="00EA7665">
        <w:rPr>
          <w:rFonts w:ascii="Arial" w:hAnsi="Arial" w:cs="Arial"/>
        </w:rPr>
        <w:t xml:space="preserve"> for the following reasons:</w:t>
      </w:r>
    </w:p>
    <w:p w14:paraId="6D672505" w14:textId="7C181149" w:rsidR="00CD6352" w:rsidRPr="00EA7665" w:rsidRDefault="00CD6352" w:rsidP="007625E7">
      <w:pPr>
        <w:pStyle w:val="ListParagraph"/>
        <w:numPr>
          <w:ilvl w:val="0"/>
          <w:numId w:val="337"/>
        </w:numPr>
        <w:spacing w:line="360" w:lineRule="auto"/>
        <w:jc w:val="both"/>
        <w:rPr>
          <w:rFonts w:ascii="Arial" w:hAnsi="Arial" w:cs="Arial"/>
        </w:rPr>
      </w:pPr>
      <w:r w:rsidRPr="00EA7665">
        <w:rPr>
          <w:rFonts w:ascii="Arial" w:hAnsi="Arial" w:cs="Arial"/>
        </w:rPr>
        <w:t xml:space="preserve">To create awareness of education and </w:t>
      </w:r>
      <w:r w:rsidR="00BD0C35" w:rsidRPr="00EA7665">
        <w:rPr>
          <w:rFonts w:ascii="Arial" w:hAnsi="Arial" w:cs="Arial"/>
        </w:rPr>
        <w:t>training</w:t>
      </w:r>
      <w:r w:rsidR="00B55B5E">
        <w:rPr>
          <w:rFonts w:ascii="Arial" w:hAnsi="Arial" w:cs="Arial"/>
        </w:rPr>
        <w:t>,</w:t>
      </w:r>
      <w:r w:rsidR="00BD0C35">
        <w:rPr>
          <w:rFonts w:ascii="Arial" w:hAnsi="Arial" w:cs="Arial"/>
        </w:rPr>
        <w:t xml:space="preserve"> </w:t>
      </w:r>
      <w:r w:rsidR="00BD0C35" w:rsidRPr="00EA7665">
        <w:rPr>
          <w:rFonts w:ascii="Arial" w:hAnsi="Arial" w:cs="Arial"/>
        </w:rPr>
        <w:t>managers</w:t>
      </w:r>
      <w:r w:rsidRPr="00EA7665">
        <w:rPr>
          <w:rFonts w:ascii="Arial" w:hAnsi="Arial" w:cs="Arial"/>
        </w:rPr>
        <w:t xml:space="preserve"> need to secure finance for real estate project development.</w:t>
      </w:r>
    </w:p>
    <w:p w14:paraId="290414D9" w14:textId="77777777" w:rsidR="00CD6352" w:rsidRPr="00EA7665" w:rsidRDefault="00CD6352" w:rsidP="007625E7">
      <w:pPr>
        <w:pStyle w:val="ListParagraph"/>
        <w:numPr>
          <w:ilvl w:val="0"/>
          <w:numId w:val="337"/>
        </w:numPr>
        <w:spacing w:line="360" w:lineRule="auto"/>
        <w:jc w:val="both"/>
        <w:rPr>
          <w:rFonts w:ascii="Arial" w:hAnsi="Arial" w:cs="Arial"/>
        </w:rPr>
      </w:pPr>
      <w:r w:rsidRPr="00EA7665">
        <w:rPr>
          <w:rFonts w:ascii="Arial" w:hAnsi="Arial" w:cs="Arial"/>
        </w:rPr>
        <w:t>To provide a platform for training and education for securing finance for real estate project development.</w:t>
      </w:r>
    </w:p>
    <w:p w14:paraId="1CA08F31" w14:textId="77777777" w:rsidR="00CD6352" w:rsidRPr="00EA7665" w:rsidRDefault="00CD6352" w:rsidP="007625E7">
      <w:pPr>
        <w:pStyle w:val="ListParagraph"/>
        <w:numPr>
          <w:ilvl w:val="0"/>
          <w:numId w:val="337"/>
        </w:numPr>
        <w:spacing w:line="360" w:lineRule="auto"/>
        <w:jc w:val="both"/>
        <w:rPr>
          <w:rFonts w:ascii="Arial" w:hAnsi="Arial" w:cs="Arial"/>
        </w:rPr>
      </w:pPr>
      <w:r w:rsidRPr="00EA7665">
        <w:rPr>
          <w:rFonts w:ascii="Arial" w:hAnsi="Arial" w:cs="Arial"/>
        </w:rPr>
        <w:t xml:space="preserve">To contribute to the development of a toolkit for securing finance for real estate project development. </w:t>
      </w:r>
    </w:p>
    <w:p w14:paraId="56A213C8" w14:textId="77777777" w:rsidR="00CD6352" w:rsidRPr="009F1801" w:rsidRDefault="00CD6352" w:rsidP="00CD6352">
      <w:pPr>
        <w:pStyle w:val="Heading3"/>
        <w:rPr>
          <w:sz w:val="22"/>
          <w:szCs w:val="22"/>
        </w:rPr>
      </w:pPr>
      <w:bookmarkStart w:id="1396" w:name="_Toc78983926"/>
      <w:r w:rsidRPr="009F1801">
        <w:rPr>
          <w:sz w:val="22"/>
          <w:szCs w:val="22"/>
        </w:rPr>
        <w:t>Manage</w:t>
      </w:r>
      <w:r>
        <w:rPr>
          <w:sz w:val="22"/>
          <w:szCs w:val="22"/>
        </w:rPr>
        <w:t>ment’s</w:t>
      </w:r>
      <w:r w:rsidRPr="009F1801">
        <w:rPr>
          <w:sz w:val="22"/>
          <w:szCs w:val="22"/>
        </w:rPr>
        <w:t xml:space="preserve"> qualificatio</w:t>
      </w:r>
      <w:r>
        <w:rPr>
          <w:sz w:val="22"/>
          <w:szCs w:val="22"/>
        </w:rPr>
        <w:t>ns</w:t>
      </w:r>
      <w:r w:rsidRPr="009F1801">
        <w:rPr>
          <w:sz w:val="22"/>
          <w:szCs w:val="22"/>
        </w:rPr>
        <w:t xml:space="preserve"> for securing finance for real estate project development.</w:t>
      </w:r>
      <w:bookmarkEnd w:id="1396"/>
      <w:r w:rsidRPr="009F1801">
        <w:rPr>
          <w:sz w:val="22"/>
          <w:szCs w:val="22"/>
        </w:rPr>
        <w:t xml:space="preserve"> </w:t>
      </w:r>
    </w:p>
    <w:p w14:paraId="22DDB65A" w14:textId="77777777" w:rsidR="00CD6352" w:rsidRPr="00F84966" w:rsidRDefault="00CD6352" w:rsidP="00F84966">
      <w:pPr>
        <w:pStyle w:val="Heading4"/>
        <w:spacing w:after="240" w:line="360" w:lineRule="auto"/>
        <w:rPr>
          <w:rFonts w:ascii="Arial" w:hAnsi="Arial" w:cs="Arial"/>
          <w:i w:val="0"/>
          <w:iCs w:val="0"/>
          <w:color w:val="auto"/>
        </w:rPr>
      </w:pPr>
      <w:r w:rsidRPr="00F84966">
        <w:rPr>
          <w:rFonts w:ascii="Arial" w:hAnsi="Arial" w:cs="Arial"/>
          <w:i w:val="0"/>
          <w:iCs w:val="0"/>
          <w:color w:val="auto"/>
        </w:rPr>
        <w:t>Questionnaire survey discussion and analysis at the aggregate level</w:t>
      </w:r>
    </w:p>
    <w:p w14:paraId="3111952F" w14:textId="638F4B07" w:rsidR="00CD6352" w:rsidRDefault="00CD6352" w:rsidP="00CD6352">
      <w:pPr>
        <w:spacing w:line="360" w:lineRule="auto"/>
        <w:jc w:val="both"/>
        <w:rPr>
          <w:rFonts w:ascii="Arial" w:hAnsi="Arial" w:cs="Arial"/>
        </w:rPr>
      </w:pPr>
      <w:r w:rsidRPr="00EA7665">
        <w:rPr>
          <w:rFonts w:ascii="Arial" w:hAnsi="Arial" w:cs="Arial"/>
        </w:rPr>
        <w:t>A list of 7 qualifications</w:t>
      </w:r>
      <w:r>
        <w:rPr>
          <w:rFonts w:ascii="Arial" w:hAnsi="Arial" w:cs="Arial"/>
        </w:rPr>
        <w:t>,</w:t>
      </w:r>
      <w:r w:rsidRPr="00EA7665">
        <w:rPr>
          <w:rFonts w:ascii="Arial" w:hAnsi="Arial" w:cs="Arial"/>
        </w:rPr>
        <w:t xml:space="preserve"> with an option to provide others if need be</w:t>
      </w:r>
      <w:r>
        <w:rPr>
          <w:rFonts w:ascii="Arial" w:hAnsi="Arial" w:cs="Arial"/>
        </w:rPr>
        <w:t>,</w:t>
      </w:r>
      <w:r w:rsidRPr="00EA7665">
        <w:rPr>
          <w:rFonts w:ascii="Arial" w:hAnsi="Arial" w:cs="Arial"/>
        </w:rPr>
        <w:t xml:space="preserve"> was presented to the </w:t>
      </w:r>
      <w:r w:rsidR="00F37F0D" w:rsidRPr="00EA7665">
        <w:rPr>
          <w:rFonts w:ascii="Arial" w:hAnsi="Arial" w:cs="Arial"/>
        </w:rPr>
        <w:t>respondents</w:t>
      </w:r>
      <w:r w:rsidR="00F37F0D">
        <w:rPr>
          <w:rFonts w:ascii="Arial" w:hAnsi="Arial" w:cs="Arial"/>
        </w:rPr>
        <w:t xml:space="preserve"> </w:t>
      </w:r>
      <w:r w:rsidR="00F37F0D" w:rsidRPr="00EA7665">
        <w:rPr>
          <w:rFonts w:ascii="Arial" w:hAnsi="Arial" w:cs="Arial"/>
        </w:rPr>
        <w:t>and</w:t>
      </w:r>
      <w:r w:rsidRPr="00EA7665">
        <w:rPr>
          <w:rFonts w:ascii="Arial" w:hAnsi="Arial" w:cs="Arial"/>
        </w:rPr>
        <w:t xml:space="preserve"> they were requested to tick as </w:t>
      </w:r>
      <w:r w:rsidR="00BD0C35" w:rsidRPr="00EA7665">
        <w:rPr>
          <w:rFonts w:ascii="Arial" w:hAnsi="Arial" w:cs="Arial"/>
        </w:rPr>
        <w:t>many,</w:t>
      </w:r>
      <w:r w:rsidRPr="00EA7665">
        <w:rPr>
          <w:rFonts w:ascii="Arial" w:hAnsi="Arial" w:cs="Arial"/>
        </w:rPr>
        <w:t xml:space="preserve"> as necessary. 9.4% of the respondents indicated they have O</w:t>
      </w:r>
      <w:r>
        <w:rPr>
          <w:rFonts w:ascii="Arial" w:hAnsi="Arial" w:cs="Arial"/>
        </w:rPr>
        <w:t xml:space="preserve"> </w:t>
      </w:r>
      <w:r w:rsidRPr="00EA7665">
        <w:rPr>
          <w:rFonts w:ascii="Arial" w:hAnsi="Arial" w:cs="Arial"/>
        </w:rPr>
        <w:t xml:space="preserve">Levels, another 9.4% indicated they have A’ Levels, 10.9% indicated they have </w:t>
      </w:r>
      <w:r>
        <w:rPr>
          <w:rFonts w:ascii="Arial" w:hAnsi="Arial" w:cs="Arial"/>
        </w:rPr>
        <w:t xml:space="preserve">a </w:t>
      </w:r>
      <w:r w:rsidRPr="00EA7665">
        <w:rPr>
          <w:rFonts w:ascii="Arial" w:hAnsi="Arial" w:cs="Arial"/>
        </w:rPr>
        <w:t>diploma (HNC) or equivalen</w:t>
      </w:r>
      <w:r>
        <w:rPr>
          <w:rFonts w:ascii="Arial" w:hAnsi="Arial" w:cs="Arial"/>
        </w:rPr>
        <w:t>t</w:t>
      </w:r>
      <w:r w:rsidRPr="00EA7665">
        <w:rPr>
          <w:rFonts w:ascii="Arial" w:hAnsi="Arial" w:cs="Arial"/>
        </w:rPr>
        <w:t xml:space="preserve">, 35.9% indicated they have first degrees, 53.1% have higher degrees </w:t>
      </w:r>
      <w:r w:rsidR="007F1DFE" w:rsidRPr="00EA7665">
        <w:rPr>
          <w:rFonts w:ascii="Arial" w:hAnsi="Arial" w:cs="Arial"/>
        </w:rPr>
        <w:t>(MSc</w:t>
      </w:r>
      <w:r w:rsidRPr="00EA7665">
        <w:rPr>
          <w:rFonts w:ascii="Arial" w:hAnsi="Arial" w:cs="Arial"/>
        </w:rPr>
        <w:t xml:space="preserve">, MA, MBA &amp; PhD) while 26.6% reported they have membership of professional institution </w:t>
      </w:r>
      <w:r>
        <w:rPr>
          <w:rFonts w:ascii="Arial" w:hAnsi="Arial" w:cs="Arial"/>
        </w:rPr>
        <w:t>(</w:t>
      </w:r>
      <w:r w:rsidRPr="00EA7665">
        <w:rPr>
          <w:rFonts w:ascii="Arial" w:hAnsi="Arial" w:cs="Arial"/>
        </w:rPr>
        <w:t>by examination</w:t>
      </w:r>
      <w:r>
        <w:rPr>
          <w:rFonts w:ascii="Arial" w:hAnsi="Arial" w:cs="Arial"/>
        </w:rPr>
        <w:t>)</w:t>
      </w:r>
      <w:r w:rsidRPr="00EA7665">
        <w:rPr>
          <w:rFonts w:ascii="Arial" w:hAnsi="Arial" w:cs="Arial"/>
        </w:rPr>
        <w:t xml:space="preserve"> and 25% membership of institution ( by association).</w:t>
      </w:r>
      <w:r w:rsidR="007F1DFE">
        <w:rPr>
          <w:rFonts w:ascii="Arial" w:hAnsi="Arial" w:cs="Arial"/>
        </w:rPr>
        <w:t xml:space="preserve"> </w:t>
      </w:r>
      <w:r w:rsidRPr="00EA7665">
        <w:rPr>
          <w:rFonts w:ascii="Arial" w:hAnsi="Arial" w:cs="Arial"/>
        </w:rPr>
        <w:lastRenderedPageBreak/>
        <w:t>This result goes to show that managers involved with securing finance for real estate project development are very educated with most of them having higher degrees, first degrees and memb</w:t>
      </w:r>
      <w:r>
        <w:rPr>
          <w:rFonts w:ascii="Arial" w:hAnsi="Arial" w:cs="Arial"/>
        </w:rPr>
        <w:t>ership</w:t>
      </w:r>
      <w:r w:rsidRPr="00EA7665">
        <w:rPr>
          <w:rFonts w:ascii="Arial" w:hAnsi="Arial" w:cs="Arial"/>
        </w:rPr>
        <w:t xml:space="preserve"> of professional institutions by examination and association.</w:t>
      </w:r>
      <w:r>
        <w:rPr>
          <w:rFonts w:ascii="Arial" w:hAnsi="Arial" w:cs="Arial"/>
        </w:rPr>
        <w:t xml:space="preserve"> However, the findings do not show any correlation between the level of management and the qualifications attained.</w:t>
      </w:r>
    </w:p>
    <w:p w14:paraId="0A94EA91" w14:textId="2DDA48E2" w:rsidR="00CD6352" w:rsidRPr="00F84966" w:rsidRDefault="00CD6352" w:rsidP="00F84966">
      <w:pPr>
        <w:pStyle w:val="Heading4"/>
        <w:rPr>
          <w:rFonts w:ascii="Arial" w:hAnsi="Arial" w:cs="Arial"/>
          <w:i w:val="0"/>
          <w:iCs w:val="0"/>
          <w:color w:val="auto"/>
        </w:rPr>
      </w:pPr>
      <w:r w:rsidRPr="00F84966">
        <w:rPr>
          <w:rFonts w:ascii="Arial" w:hAnsi="Arial" w:cs="Arial"/>
          <w:i w:val="0"/>
          <w:iCs w:val="0"/>
          <w:color w:val="auto"/>
        </w:rPr>
        <w:t xml:space="preserve">Questionnaire survey discussion and analysis at the disaggregate </w:t>
      </w:r>
      <w:r w:rsidR="005A1F5A" w:rsidRPr="00F84966">
        <w:rPr>
          <w:rFonts w:ascii="Arial" w:hAnsi="Arial" w:cs="Arial"/>
          <w:i w:val="0"/>
          <w:iCs w:val="0"/>
          <w:color w:val="auto"/>
        </w:rPr>
        <w:t>level.</w:t>
      </w:r>
    </w:p>
    <w:p w14:paraId="0DF782E3" w14:textId="77777777" w:rsidR="00CD6352" w:rsidRDefault="00CD6352" w:rsidP="00CD6352">
      <w:pPr>
        <w:spacing w:line="360" w:lineRule="auto"/>
        <w:jc w:val="both"/>
        <w:rPr>
          <w:rFonts w:ascii="Arial" w:hAnsi="Arial" w:cs="Arial"/>
        </w:rPr>
      </w:pPr>
    </w:p>
    <w:p w14:paraId="6B64F982" w14:textId="625A5B30" w:rsidR="00CD6352" w:rsidRDefault="00CD6352" w:rsidP="00CD6352">
      <w:pPr>
        <w:spacing w:line="360" w:lineRule="auto"/>
        <w:jc w:val="both"/>
        <w:rPr>
          <w:rFonts w:ascii="Arial" w:hAnsi="Arial" w:cs="Arial"/>
        </w:rPr>
      </w:pPr>
      <w:r>
        <w:rPr>
          <w:rFonts w:ascii="Arial" w:hAnsi="Arial" w:cs="Arial"/>
        </w:rPr>
        <w:t>At the disaggregate level, the findings show that 50% of survey respondents from Germany have first degrees and higher degree</w:t>
      </w:r>
      <w:r w:rsidR="00055B46">
        <w:rPr>
          <w:rFonts w:ascii="Arial" w:hAnsi="Arial" w:cs="Arial"/>
        </w:rPr>
        <w:t>s</w:t>
      </w:r>
      <w:r>
        <w:rPr>
          <w:rFonts w:ascii="Arial" w:hAnsi="Arial" w:cs="Arial"/>
        </w:rPr>
        <w:t xml:space="preserve"> while 25% have </w:t>
      </w:r>
      <w:r w:rsidR="00B11F23">
        <w:rPr>
          <w:rFonts w:ascii="Arial" w:hAnsi="Arial" w:cs="Arial"/>
        </w:rPr>
        <w:t xml:space="preserve">a </w:t>
      </w:r>
      <w:r>
        <w:rPr>
          <w:rFonts w:ascii="Arial" w:hAnsi="Arial" w:cs="Arial"/>
        </w:rPr>
        <w:t xml:space="preserve">membership of professional institutions by examination. There is, however, no correlation between the level of management and qualification of the respondents from </w:t>
      </w:r>
      <w:r w:rsidR="005A1F5A">
        <w:rPr>
          <w:rFonts w:ascii="Arial" w:hAnsi="Arial" w:cs="Arial"/>
        </w:rPr>
        <w:t>Germany.</w:t>
      </w:r>
      <w:r>
        <w:rPr>
          <w:rFonts w:ascii="Arial" w:hAnsi="Arial" w:cs="Arial"/>
        </w:rPr>
        <w:t xml:space="preserve"> About 44% of survey respondents from the UK have first degrees, higher degrees (63%), membership of professional institutions by examination (36%) and membership of professional institutions by association (19%). The findings show no correlation between the levels of management and the qualifications by managers in the UK based on the questionnaire survey. About 50% of survey respondents in the US have </w:t>
      </w:r>
      <w:r w:rsidR="00B11F23">
        <w:rPr>
          <w:rFonts w:ascii="Arial" w:hAnsi="Arial" w:cs="Arial"/>
        </w:rPr>
        <w:t xml:space="preserve">a </w:t>
      </w:r>
      <w:r>
        <w:rPr>
          <w:rFonts w:ascii="Arial" w:hAnsi="Arial" w:cs="Arial"/>
        </w:rPr>
        <w:t>first degree, higher degrees (63%), membership of professional institution by examination (38%) and membership of professional institution by association (13%). The findings show that there is no correlation between the level of management and the qualification of managers in the US.</w:t>
      </w:r>
    </w:p>
    <w:p w14:paraId="1C4CA967" w14:textId="6C2E8FF9" w:rsidR="00A6098C" w:rsidRPr="00A6098C" w:rsidRDefault="00CD6352" w:rsidP="00A6098C">
      <w:pPr>
        <w:spacing w:line="360" w:lineRule="auto"/>
        <w:jc w:val="both"/>
        <w:rPr>
          <w:rFonts w:ascii="Arial" w:hAnsi="Arial" w:cs="Arial"/>
        </w:rPr>
      </w:pPr>
      <w:r>
        <w:rPr>
          <w:rFonts w:ascii="Arial" w:hAnsi="Arial" w:cs="Arial"/>
        </w:rPr>
        <w:t>The findings show that 9% of survey respondents in China indicated they have first degrees, higher degrees (73%), membership of professional institution</w:t>
      </w:r>
      <w:r w:rsidR="00871A29">
        <w:rPr>
          <w:rFonts w:ascii="Arial" w:hAnsi="Arial" w:cs="Arial"/>
        </w:rPr>
        <w:t>s</w:t>
      </w:r>
      <w:r>
        <w:rPr>
          <w:rFonts w:ascii="Arial" w:hAnsi="Arial" w:cs="Arial"/>
        </w:rPr>
        <w:t xml:space="preserve"> by examination (36%) and membership of institution</w:t>
      </w:r>
      <w:r w:rsidR="00871A29">
        <w:rPr>
          <w:rFonts w:ascii="Arial" w:hAnsi="Arial" w:cs="Arial"/>
        </w:rPr>
        <w:t>s</w:t>
      </w:r>
      <w:r>
        <w:rPr>
          <w:rFonts w:ascii="Arial" w:hAnsi="Arial" w:cs="Arial"/>
        </w:rPr>
        <w:t xml:space="preserve"> by association (9%). There is no correlation </w:t>
      </w:r>
      <w:r w:rsidR="00871A29">
        <w:rPr>
          <w:rFonts w:ascii="Arial" w:hAnsi="Arial" w:cs="Arial"/>
        </w:rPr>
        <w:t>between</w:t>
      </w:r>
      <w:r>
        <w:rPr>
          <w:rFonts w:ascii="Arial" w:hAnsi="Arial" w:cs="Arial"/>
        </w:rPr>
        <w:t xml:space="preserve"> the level of management and </w:t>
      </w:r>
      <w:r w:rsidR="00B11F23">
        <w:rPr>
          <w:rFonts w:ascii="Arial" w:hAnsi="Arial" w:cs="Arial"/>
        </w:rPr>
        <w:t xml:space="preserve">the </w:t>
      </w:r>
      <w:r>
        <w:rPr>
          <w:rFonts w:ascii="Arial" w:hAnsi="Arial" w:cs="Arial"/>
        </w:rPr>
        <w:t xml:space="preserve">qualification of respondents from China. While 48% of survey respondents from Nigeria have </w:t>
      </w:r>
      <w:r w:rsidR="00B11F23">
        <w:rPr>
          <w:rFonts w:ascii="Arial" w:hAnsi="Arial" w:cs="Arial"/>
        </w:rPr>
        <w:t xml:space="preserve">a </w:t>
      </w:r>
      <w:r>
        <w:rPr>
          <w:rFonts w:ascii="Arial" w:hAnsi="Arial" w:cs="Arial"/>
        </w:rPr>
        <w:t xml:space="preserve">first degree, higher degrees (52%), membership of professional institution by examination (24%) and membership of professional institution by association (32%). There is no correlation between the levels of management and the qualification of the managers in Nigeria based on the survey.  About 20% of the survey respondents from South Africa have </w:t>
      </w:r>
      <w:r w:rsidR="00B11F23">
        <w:rPr>
          <w:rFonts w:ascii="Arial" w:hAnsi="Arial" w:cs="Arial"/>
        </w:rPr>
        <w:t xml:space="preserve">a </w:t>
      </w:r>
      <w:r>
        <w:rPr>
          <w:rFonts w:ascii="Arial" w:hAnsi="Arial" w:cs="Arial"/>
        </w:rPr>
        <w:t>first degree, higher degrees (70%), membership of professional institution by examination (40%) and membership of professional institution by association (40%). The spearman rho results also show that there is no correlation between the level of management and the qualification of managers in South Africa.</w:t>
      </w:r>
    </w:p>
    <w:p w14:paraId="4EEBC1A8" w14:textId="1BE70512" w:rsidR="00CD6352" w:rsidRPr="00EA7665" w:rsidRDefault="00F37F0D" w:rsidP="00CD6352">
      <w:pPr>
        <w:pStyle w:val="Heading3"/>
        <w:spacing w:after="240"/>
        <w:rPr>
          <w:sz w:val="22"/>
          <w:szCs w:val="22"/>
        </w:rPr>
      </w:pPr>
      <w:bookmarkStart w:id="1397" w:name="_Toc78983927"/>
      <w:r w:rsidRPr="00EA7665">
        <w:rPr>
          <w:sz w:val="22"/>
          <w:szCs w:val="22"/>
        </w:rPr>
        <w:t>Manage</w:t>
      </w:r>
      <w:r>
        <w:rPr>
          <w:sz w:val="22"/>
          <w:szCs w:val="22"/>
        </w:rPr>
        <w:t xml:space="preserve">ment’s </w:t>
      </w:r>
      <w:r w:rsidRPr="00EA7665">
        <w:rPr>
          <w:sz w:val="22"/>
          <w:szCs w:val="22"/>
        </w:rPr>
        <w:t>approaches</w:t>
      </w:r>
      <w:r w:rsidR="00CD6352">
        <w:rPr>
          <w:sz w:val="22"/>
          <w:szCs w:val="22"/>
        </w:rPr>
        <w:t xml:space="preserve"> for training and education </w:t>
      </w:r>
      <w:r w:rsidR="00CD6352" w:rsidRPr="00EA7665">
        <w:rPr>
          <w:sz w:val="22"/>
          <w:szCs w:val="22"/>
        </w:rPr>
        <w:t>for securing finance for real estate project development.</w:t>
      </w:r>
      <w:bookmarkEnd w:id="1397"/>
    </w:p>
    <w:p w14:paraId="45712D9C" w14:textId="06764393" w:rsidR="00CD6352" w:rsidRPr="00EA7665" w:rsidRDefault="00CD6352" w:rsidP="00CD6352">
      <w:pPr>
        <w:spacing w:line="360" w:lineRule="auto"/>
        <w:jc w:val="both"/>
        <w:rPr>
          <w:rFonts w:ascii="Arial" w:hAnsi="Arial" w:cs="Arial"/>
        </w:rPr>
      </w:pPr>
      <w:r w:rsidRPr="00EA7665">
        <w:rPr>
          <w:rFonts w:ascii="Arial" w:hAnsi="Arial" w:cs="Arial"/>
        </w:rPr>
        <w:t xml:space="preserve">The managers were presented with a list of seventeen approaches to training and education for securing </w:t>
      </w:r>
      <w:r w:rsidR="00070055" w:rsidRPr="00EA7665">
        <w:rPr>
          <w:rFonts w:ascii="Arial" w:hAnsi="Arial" w:cs="Arial"/>
        </w:rPr>
        <w:t>finance for</w:t>
      </w:r>
      <w:r w:rsidRPr="00EA7665">
        <w:rPr>
          <w:rFonts w:ascii="Arial" w:hAnsi="Arial" w:cs="Arial"/>
        </w:rPr>
        <w:t xml:space="preserve"> real estate project development</w:t>
      </w:r>
      <w:r>
        <w:rPr>
          <w:rFonts w:ascii="Arial" w:hAnsi="Arial" w:cs="Arial"/>
        </w:rPr>
        <w:t xml:space="preserve"> which w</w:t>
      </w:r>
      <w:r w:rsidR="00A6098C">
        <w:rPr>
          <w:rFonts w:ascii="Arial" w:hAnsi="Arial" w:cs="Arial"/>
        </w:rPr>
        <w:t>as</w:t>
      </w:r>
      <w:r>
        <w:rPr>
          <w:rFonts w:ascii="Arial" w:hAnsi="Arial" w:cs="Arial"/>
        </w:rPr>
        <w:t xml:space="preserve"> </w:t>
      </w:r>
      <w:r w:rsidR="0000322D">
        <w:rPr>
          <w:rFonts w:ascii="Arial" w:hAnsi="Arial" w:cs="Arial"/>
        </w:rPr>
        <w:t>obtained through</w:t>
      </w:r>
      <w:r>
        <w:rPr>
          <w:rFonts w:ascii="Arial" w:hAnsi="Arial" w:cs="Arial"/>
        </w:rPr>
        <w:t xml:space="preserve"> a review of literature on approaches to management training </w:t>
      </w:r>
      <w:r w:rsidR="00BC0535">
        <w:rPr>
          <w:rFonts w:ascii="Arial" w:hAnsi="Arial" w:cs="Arial"/>
        </w:rPr>
        <w:t>(see</w:t>
      </w:r>
      <w:r>
        <w:rPr>
          <w:rFonts w:ascii="Arial" w:hAnsi="Arial" w:cs="Arial"/>
        </w:rPr>
        <w:t xml:space="preserve"> chap</w:t>
      </w:r>
      <w:r w:rsidR="00070055">
        <w:rPr>
          <w:rFonts w:ascii="Arial" w:hAnsi="Arial" w:cs="Arial"/>
        </w:rPr>
        <w:t>t</w:t>
      </w:r>
      <w:r>
        <w:rPr>
          <w:rFonts w:ascii="Arial" w:hAnsi="Arial" w:cs="Arial"/>
        </w:rPr>
        <w:t>er</w:t>
      </w:r>
      <w:r w:rsidR="00070055">
        <w:rPr>
          <w:rFonts w:ascii="Arial" w:hAnsi="Arial" w:cs="Arial"/>
        </w:rPr>
        <w:t xml:space="preserve"> </w:t>
      </w:r>
      <w:r>
        <w:rPr>
          <w:rFonts w:ascii="Arial" w:hAnsi="Arial" w:cs="Arial"/>
        </w:rPr>
        <w:t>3</w:t>
      </w:r>
      <w:r w:rsidR="00070055">
        <w:rPr>
          <w:rFonts w:ascii="Arial" w:hAnsi="Arial" w:cs="Arial"/>
        </w:rPr>
        <w:t>.8.5</w:t>
      </w:r>
      <w:r>
        <w:rPr>
          <w:rFonts w:ascii="Arial" w:hAnsi="Arial" w:cs="Arial"/>
        </w:rPr>
        <w:t>)</w:t>
      </w:r>
      <w:r w:rsidRPr="00EA7665">
        <w:rPr>
          <w:rFonts w:ascii="Arial" w:hAnsi="Arial" w:cs="Arial"/>
        </w:rPr>
        <w:t xml:space="preserve">. They </w:t>
      </w:r>
      <w:r w:rsidR="00F37F0D" w:rsidRPr="00EA7665">
        <w:rPr>
          <w:rFonts w:ascii="Arial" w:hAnsi="Arial" w:cs="Arial"/>
        </w:rPr>
        <w:t>were requested</w:t>
      </w:r>
      <w:r w:rsidRPr="00EA7665">
        <w:rPr>
          <w:rFonts w:ascii="Arial" w:hAnsi="Arial" w:cs="Arial"/>
        </w:rPr>
        <w:t xml:space="preserve"> </w:t>
      </w:r>
      <w:r w:rsidRPr="00EA7665">
        <w:rPr>
          <w:rFonts w:ascii="Arial" w:hAnsi="Arial" w:cs="Arial"/>
        </w:rPr>
        <w:lastRenderedPageBreak/>
        <w:t xml:space="preserve">to indicate the extent of use, degree of importance for the present and degree of </w:t>
      </w:r>
      <w:r w:rsidR="00BC0535" w:rsidRPr="00EA7665">
        <w:rPr>
          <w:rFonts w:ascii="Arial" w:hAnsi="Arial" w:cs="Arial"/>
        </w:rPr>
        <w:t>perceived importance</w:t>
      </w:r>
      <w:r w:rsidRPr="00EA7665">
        <w:rPr>
          <w:rFonts w:ascii="Arial" w:hAnsi="Arial" w:cs="Arial"/>
        </w:rPr>
        <w:t xml:space="preserve"> for the future (next 5years) in securing finance for real estate project development</w:t>
      </w:r>
      <w:r w:rsidR="0052484C">
        <w:rPr>
          <w:rFonts w:ascii="Arial" w:hAnsi="Arial" w:cs="Arial"/>
        </w:rPr>
        <w:t xml:space="preserve"> and t</w:t>
      </w:r>
      <w:r w:rsidR="00784DB5">
        <w:rPr>
          <w:rFonts w:ascii="Arial" w:hAnsi="Arial" w:cs="Arial"/>
        </w:rPr>
        <w:t>his was analysed at both the aggregate and disaggregate levels.</w:t>
      </w:r>
      <w:r w:rsidRPr="00EA7665">
        <w:rPr>
          <w:rFonts w:ascii="Arial" w:hAnsi="Arial" w:cs="Arial"/>
        </w:rPr>
        <w:t xml:space="preserve"> </w:t>
      </w:r>
    </w:p>
    <w:p w14:paraId="21EFA2E0" w14:textId="77777777" w:rsidR="00CD6352" w:rsidRPr="00FB653E" w:rsidRDefault="00CD6352" w:rsidP="00CD6352">
      <w:pPr>
        <w:pStyle w:val="Heading4"/>
        <w:spacing w:after="240"/>
        <w:rPr>
          <w:rFonts w:ascii="Arial" w:hAnsi="Arial" w:cs="Arial"/>
          <w:color w:val="auto"/>
        </w:rPr>
      </w:pPr>
      <w:r w:rsidRPr="00FB653E">
        <w:rPr>
          <w:rFonts w:ascii="Arial" w:hAnsi="Arial" w:cs="Arial"/>
          <w:color w:val="auto"/>
        </w:rPr>
        <w:t>The degree of use of approaches for training and education for securing finance for real estate project development.</w:t>
      </w:r>
    </w:p>
    <w:p w14:paraId="01481FC1" w14:textId="77777777" w:rsidR="00CD6352" w:rsidRPr="00DC71D3" w:rsidRDefault="00CD6352" w:rsidP="003A231D">
      <w:pPr>
        <w:pStyle w:val="Heading5"/>
        <w:spacing w:after="240"/>
        <w:rPr>
          <w:rFonts w:ascii="Arial" w:hAnsi="Arial" w:cs="Arial"/>
          <w:color w:val="auto"/>
        </w:rPr>
      </w:pPr>
      <w:r w:rsidRPr="00DC71D3">
        <w:rPr>
          <w:rFonts w:ascii="Arial" w:hAnsi="Arial" w:cs="Arial"/>
          <w:color w:val="auto"/>
        </w:rPr>
        <w:t>Questionnaire survey discussion and analysis at the aggregate level</w:t>
      </w:r>
    </w:p>
    <w:p w14:paraId="46F6E151" w14:textId="09087D95" w:rsidR="00CD6352" w:rsidRPr="00EA7665" w:rsidRDefault="00CD6352" w:rsidP="00A66DAD">
      <w:pPr>
        <w:spacing w:line="360" w:lineRule="auto"/>
        <w:jc w:val="both"/>
        <w:rPr>
          <w:rFonts w:ascii="Arial" w:hAnsi="Arial" w:cs="Arial"/>
        </w:rPr>
      </w:pPr>
      <w:r w:rsidRPr="00EA7665">
        <w:rPr>
          <w:rFonts w:ascii="Arial" w:hAnsi="Arial" w:cs="Arial"/>
        </w:rPr>
        <w:t xml:space="preserve">The findings </w:t>
      </w:r>
      <w:r w:rsidR="00483D79">
        <w:rPr>
          <w:rFonts w:ascii="Arial" w:hAnsi="Arial" w:cs="Arial"/>
        </w:rPr>
        <w:t xml:space="preserve">are </w:t>
      </w:r>
      <w:r w:rsidR="00556571">
        <w:rPr>
          <w:rFonts w:ascii="Arial" w:hAnsi="Arial" w:cs="Arial"/>
        </w:rPr>
        <w:t xml:space="preserve">summarised in table 9.3.1. </w:t>
      </w:r>
      <w:r w:rsidRPr="00EA7665">
        <w:rPr>
          <w:rFonts w:ascii="Arial" w:hAnsi="Arial" w:cs="Arial"/>
        </w:rPr>
        <w:t>show</w:t>
      </w:r>
      <w:r w:rsidR="00556571">
        <w:rPr>
          <w:rFonts w:ascii="Arial" w:hAnsi="Arial" w:cs="Arial"/>
        </w:rPr>
        <w:t>s</w:t>
      </w:r>
      <w:r w:rsidRPr="00EA7665">
        <w:rPr>
          <w:rFonts w:ascii="Arial" w:hAnsi="Arial" w:cs="Arial"/>
        </w:rPr>
        <w:t xml:space="preserve"> that almost 49% of the survey respondents use continuing professional development as the most highly used approach for training and education for securing finance for real estate project </w:t>
      </w:r>
      <w:r w:rsidR="00BC0535" w:rsidRPr="00EA7665">
        <w:rPr>
          <w:rFonts w:ascii="Arial" w:hAnsi="Arial" w:cs="Arial"/>
        </w:rPr>
        <w:t>development.</w:t>
      </w:r>
      <w:r w:rsidRPr="00EA7665">
        <w:rPr>
          <w:rFonts w:ascii="Arial" w:hAnsi="Arial" w:cs="Arial"/>
        </w:rPr>
        <w:t xml:space="preserve"> This is followed by classroom instructor-led training for a short period offered by consultants (39%), conferences and seminars 38.5%), </w:t>
      </w:r>
      <w:r w:rsidR="00BC0535" w:rsidRPr="00EA7665">
        <w:rPr>
          <w:rFonts w:ascii="Arial" w:hAnsi="Arial" w:cs="Arial"/>
        </w:rPr>
        <w:t>computer-based</w:t>
      </w:r>
      <w:r w:rsidRPr="00EA7665">
        <w:rPr>
          <w:rFonts w:ascii="Arial" w:hAnsi="Arial" w:cs="Arial"/>
        </w:rPr>
        <w:t xml:space="preserve"> training (37.5%) and usage of formal qualification (35.9%</w:t>
      </w:r>
      <w:r w:rsidR="00BC0535" w:rsidRPr="00EA7665">
        <w:rPr>
          <w:rFonts w:ascii="Arial" w:hAnsi="Arial" w:cs="Arial"/>
        </w:rPr>
        <w:t>). The</w:t>
      </w:r>
      <w:r w:rsidRPr="00EA7665">
        <w:rPr>
          <w:rFonts w:ascii="Arial" w:hAnsi="Arial" w:cs="Arial"/>
        </w:rPr>
        <w:t xml:space="preserve"> least highly used options at the aggregate levels are external training (30.8%), learning by holding meetings (26.3%), executive MBA with classes on </w:t>
      </w:r>
      <w:r>
        <w:rPr>
          <w:rFonts w:ascii="Arial" w:hAnsi="Arial" w:cs="Arial"/>
        </w:rPr>
        <w:t xml:space="preserve">a </w:t>
      </w:r>
      <w:r w:rsidRPr="00EA7665">
        <w:rPr>
          <w:rFonts w:ascii="Arial" w:hAnsi="Arial" w:cs="Arial"/>
        </w:rPr>
        <w:t>part</w:t>
      </w:r>
      <w:r w:rsidR="002922CF">
        <w:rPr>
          <w:rFonts w:ascii="Arial" w:hAnsi="Arial" w:cs="Arial"/>
        </w:rPr>
        <w:t>-</w:t>
      </w:r>
      <w:r w:rsidRPr="00EA7665">
        <w:rPr>
          <w:rFonts w:ascii="Arial" w:hAnsi="Arial" w:cs="Arial"/>
        </w:rPr>
        <w:t>time basis (24.3%</w:t>
      </w:r>
      <w:r w:rsidR="0052121F" w:rsidRPr="00EA7665">
        <w:rPr>
          <w:rFonts w:ascii="Arial" w:hAnsi="Arial" w:cs="Arial"/>
        </w:rPr>
        <w:t>),</w:t>
      </w:r>
      <w:r w:rsidR="0052121F">
        <w:rPr>
          <w:rFonts w:ascii="Arial" w:hAnsi="Arial" w:cs="Arial"/>
        </w:rPr>
        <w:t xml:space="preserve"> university</w:t>
      </w:r>
      <w:r w:rsidRPr="00EA7665">
        <w:rPr>
          <w:rFonts w:ascii="Arial" w:hAnsi="Arial" w:cs="Arial"/>
        </w:rPr>
        <w:t xml:space="preserve"> residential (23.1) and online and tutorial training (16.2%).</w:t>
      </w:r>
    </w:p>
    <w:p w14:paraId="082EAEBB" w14:textId="77777777" w:rsidR="00CD6352" w:rsidRPr="00EA7665" w:rsidRDefault="00CD6352" w:rsidP="00A66DAD">
      <w:pPr>
        <w:spacing w:after="0" w:line="360" w:lineRule="auto"/>
        <w:jc w:val="both"/>
        <w:rPr>
          <w:rFonts w:ascii="Arial" w:hAnsi="Arial" w:cs="Arial"/>
        </w:rPr>
      </w:pPr>
    </w:p>
    <w:p w14:paraId="3816694D" w14:textId="3E8FEF02" w:rsidR="00A66DAD" w:rsidRPr="00EA7665" w:rsidRDefault="00A66DAD" w:rsidP="00A66DAD">
      <w:pPr>
        <w:pStyle w:val="Caption"/>
        <w:keepNext/>
      </w:pPr>
      <w:bookmarkStart w:id="1398" w:name="_Toc78984029"/>
      <w:r>
        <w:t xml:space="preserve">Table </w:t>
      </w:r>
      <w:fldSimple w:instr=" STYLEREF 2 \s ">
        <w:r w:rsidR="008F25B1">
          <w:rPr>
            <w:noProof/>
          </w:rPr>
          <w:t>9.3</w:t>
        </w:r>
      </w:fldSimple>
      <w:r w:rsidR="008F25B1">
        <w:noBreakHyphen/>
      </w:r>
      <w:fldSimple w:instr=" SEQ Table \* ARABIC \s 2 ">
        <w:r w:rsidR="008F25B1">
          <w:rPr>
            <w:noProof/>
          </w:rPr>
          <w:t>1</w:t>
        </w:r>
      </w:fldSimple>
      <w:r>
        <w:t xml:space="preserve">: </w:t>
      </w:r>
      <w:r w:rsidRPr="00EA7665">
        <w:t>The degree of use of approaches for training and education for securing finance for real estate project development.</w:t>
      </w:r>
      <w:bookmarkEnd w:id="1398"/>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4897"/>
        <w:gridCol w:w="811"/>
        <w:gridCol w:w="886"/>
        <w:gridCol w:w="563"/>
        <w:gridCol w:w="878"/>
        <w:gridCol w:w="991"/>
      </w:tblGrid>
      <w:tr w:rsidR="00CD6352" w:rsidRPr="00EA7665" w14:paraId="61C6336A" w14:textId="77777777" w:rsidTr="00CD6352">
        <w:tc>
          <w:tcPr>
            <w:tcW w:w="0" w:type="auto"/>
            <w:vMerge w:val="restart"/>
          </w:tcPr>
          <w:p w14:paraId="3A21195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Training &amp; education</w:t>
            </w:r>
          </w:p>
        </w:tc>
        <w:tc>
          <w:tcPr>
            <w:tcW w:w="0" w:type="auto"/>
            <w:gridSpan w:val="5"/>
          </w:tcPr>
          <w:p w14:paraId="22D508F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Degree of use</w:t>
            </w:r>
          </w:p>
        </w:tc>
      </w:tr>
      <w:tr w:rsidR="00CD6352" w:rsidRPr="00EA7665" w14:paraId="69E5B1A6" w14:textId="77777777" w:rsidTr="00CD6352">
        <w:tc>
          <w:tcPr>
            <w:tcW w:w="0" w:type="auto"/>
            <w:vMerge/>
          </w:tcPr>
          <w:p w14:paraId="0BAF461F" w14:textId="77777777" w:rsidR="00CD6352" w:rsidRPr="00EA7665" w:rsidRDefault="00CD6352" w:rsidP="00CD6352">
            <w:pPr>
              <w:jc w:val="both"/>
              <w:rPr>
                <w:rFonts w:ascii="Arial" w:hAnsi="Arial" w:cs="Arial"/>
                <w:sz w:val="16"/>
                <w:szCs w:val="16"/>
              </w:rPr>
            </w:pPr>
          </w:p>
        </w:tc>
        <w:tc>
          <w:tcPr>
            <w:tcW w:w="0" w:type="auto"/>
          </w:tcPr>
          <w:p w14:paraId="5E21DA3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used</w:t>
            </w:r>
          </w:p>
        </w:tc>
        <w:tc>
          <w:tcPr>
            <w:tcW w:w="0" w:type="auto"/>
          </w:tcPr>
          <w:p w14:paraId="53BD70B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used</w:t>
            </w:r>
          </w:p>
        </w:tc>
        <w:tc>
          <w:tcPr>
            <w:tcW w:w="0" w:type="auto"/>
          </w:tcPr>
          <w:p w14:paraId="2599ABD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used</w:t>
            </w:r>
          </w:p>
        </w:tc>
        <w:tc>
          <w:tcPr>
            <w:tcW w:w="0" w:type="auto"/>
          </w:tcPr>
          <w:p w14:paraId="13623A0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used</w:t>
            </w:r>
          </w:p>
        </w:tc>
        <w:tc>
          <w:tcPr>
            <w:tcW w:w="0" w:type="auto"/>
          </w:tcPr>
          <w:p w14:paraId="3A5855F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Highly used</w:t>
            </w:r>
          </w:p>
        </w:tc>
      </w:tr>
      <w:tr w:rsidR="00CD6352" w:rsidRPr="00EA7665" w14:paraId="5A069CB9" w14:textId="77777777" w:rsidTr="00CD6352">
        <w:tc>
          <w:tcPr>
            <w:tcW w:w="0" w:type="auto"/>
          </w:tcPr>
          <w:p w14:paraId="2BDD28DD" w14:textId="77777777" w:rsidR="00CD6352" w:rsidRPr="00EA7665" w:rsidRDefault="00CD6352" w:rsidP="00CD6352">
            <w:pPr>
              <w:jc w:val="both"/>
              <w:rPr>
                <w:rFonts w:ascii="Arial" w:hAnsi="Arial" w:cs="Arial"/>
                <w:sz w:val="16"/>
                <w:szCs w:val="16"/>
              </w:rPr>
            </w:pPr>
          </w:p>
        </w:tc>
        <w:tc>
          <w:tcPr>
            <w:tcW w:w="0" w:type="auto"/>
            <w:gridSpan w:val="5"/>
          </w:tcPr>
          <w:p w14:paraId="5E756DE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44FD37AD" w14:textId="77777777" w:rsidTr="00CD6352">
        <w:tc>
          <w:tcPr>
            <w:tcW w:w="0" w:type="auto"/>
          </w:tcPr>
          <w:p w14:paraId="4AB7429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Classroom instructor led training for short period(offered by consultants)</w:t>
            </w:r>
          </w:p>
        </w:tc>
        <w:tc>
          <w:tcPr>
            <w:tcW w:w="0" w:type="auto"/>
          </w:tcPr>
          <w:p w14:paraId="73819A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9.8</w:t>
            </w:r>
          </w:p>
        </w:tc>
        <w:tc>
          <w:tcPr>
            <w:tcW w:w="0" w:type="auto"/>
          </w:tcPr>
          <w:p w14:paraId="4E225A2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9.8</w:t>
            </w:r>
          </w:p>
        </w:tc>
        <w:tc>
          <w:tcPr>
            <w:tcW w:w="0" w:type="auto"/>
          </w:tcPr>
          <w:p w14:paraId="16E9905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22.0</w:t>
            </w:r>
          </w:p>
        </w:tc>
        <w:tc>
          <w:tcPr>
            <w:tcW w:w="0" w:type="auto"/>
          </w:tcPr>
          <w:p w14:paraId="195425D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19.5</w:t>
            </w:r>
          </w:p>
        </w:tc>
        <w:tc>
          <w:tcPr>
            <w:tcW w:w="0" w:type="auto"/>
          </w:tcPr>
          <w:p w14:paraId="4C3C6BB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39.0</w:t>
            </w:r>
          </w:p>
        </w:tc>
      </w:tr>
      <w:tr w:rsidR="00CD6352" w:rsidRPr="00EA7665" w14:paraId="4239094B" w14:textId="77777777" w:rsidTr="00CD6352">
        <w:tc>
          <w:tcPr>
            <w:tcW w:w="0" w:type="auto"/>
          </w:tcPr>
          <w:p w14:paraId="414DCCC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Company-specific courses targeted at securing financing skills &amp; knowledge</w:t>
            </w:r>
          </w:p>
        </w:tc>
        <w:tc>
          <w:tcPr>
            <w:tcW w:w="0" w:type="auto"/>
          </w:tcPr>
          <w:p w14:paraId="60B5BB7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4.9</w:t>
            </w:r>
          </w:p>
        </w:tc>
        <w:tc>
          <w:tcPr>
            <w:tcW w:w="0" w:type="auto"/>
          </w:tcPr>
          <w:p w14:paraId="36E5C7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17.1</w:t>
            </w:r>
          </w:p>
        </w:tc>
        <w:tc>
          <w:tcPr>
            <w:tcW w:w="0" w:type="auto"/>
          </w:tcPr>
          <w:p w14:paraId="2831E20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24.4</w:t>
            </w:r>
          </w:p>
        </w:tc>
        <w:tc>
          <w:tcPr>
            <w:tcW w:w="0" w:type="auto"/>
          </w:tcPr>
          <w:p w14:paraId="1CB9C20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19.5</w:t>
            </w:r>
          </w:p>
        </w:tc>
        <w:tc>
          <w:tcPr>
            <w:tcW w:w="0" w:type="auto"/>
          </w:tcPr>
          <w:p w14:paraId="1D54331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34.1</w:t>
            </w:r>
          </w:p>
        </w:tc>
      </w:tr>
      <w:tr w:rsidR="00CD6352" w:rsidRPr="00EA7665" w14:paraId="1EFBA0FE" w14:textId="77777777" w:rsidTr="00CD6352">
        <w:tc>
          <w:tcPr>
            <w:tcW w:w="0" w:type="auto"/>
          </w:tcPr>
          <w:p w14:paraId="2126597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Computer based training</w:t>
            </w:r>
          </w:p>
        </w:tc>
        <w:tc>
          <w:tcPr>
            <w:tcW w:w="0" w:type="auto"/>
          </w:tcPr>
          <w:p w14:paraId="5742EE3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5.0</w:t>
            </w:r>
          </w:p>
        </w:tc>
        <w:tc>
          <w:tcPr>
            <w:tcW w:w="0" w:type="auto"/>
          </w:tcPr>
          <w:p w14:paraId="3DB89DF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15.0</w:t>
            </w:r>
          </w:p>
        </w:tc>
        <w:tc>
          <w:tcPr>
            <w:tcW w:w="0" w:type="auto"/>
          </w:tcPr>
          <w:p w14:paraId="6E9140E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20.0</w:t>
            </w:r>
          </w:p>
        </w:tc>
        <w:tc>
          <w:tcPr>
            <w:tcW w:w="0" w:type="auto"/>
          </w:tcPr>
          <w:p w14:paraId="5574E4B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22.5</w:t>
            </w:r>
          </w:p>
        </w:tc>
        <w:tc>
          <w:tcPr>
            <w:tcW w:w="0" w:type="auto"/>
          </w:tcPr>
          <w:p w14:paraId="007837A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37.5</w:t>
            </w:r>
          </w:p>
        </w:tc>
      </w:tr>
      <w:tr w:rsidR="00CD6352" w:rsidRPr="00EA7665" w14:paraId="1E1D12FD" w14:textId="77777777" w:rsidTr="00CD6352">
        <w:tc>
          <w:tcPr>
            <w:tcW w:w="0" w:type="auto"/>
          </w:tcPr>
          <w:p w14:paraId="365BE0E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Conferences &amp; seminar</w:t>
            </w:r>
          </w:p>
        </w:tc>
        <w:tc>
          <w:tcPr>
            <w:tcW w:w="0" w:type="auto"/>
          </w:tcPr>
          <w:p w14:paraId="7DCFDED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5.1</w:t>
            </w:r>
          </w:p>
        </w:tc>
        <w:tc>
          <w:tcPr>
            <w:tcW w:w="0" w:type="auto"/>
          </w:tcPr>
          <w:p w14:paraId="2AA4A2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12.8</w:t>
            </w:r>
          </w:p>
        </w:tc>
        <w:tc>
          <w:tcPr>
            <w:tcW w:w="0" w:type="auto"/>
          </w:tcPr>
          <w:p w14:paraId="0909D51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23.1</w:t>
            </w:r>
          </w:p>
        </w:tc>
        <w:tc>
          <w:tcPr>
            <w:tcW w:w="0" w:type="auto"/>
          </w:tcPr>
          <w:p w14:paraId="594028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20.5</w:t>
            </w:r>
          </w:p>
        </w:tc>
        <w:tc>
          <w:tcPr>
            <w:tcW w:w="0" w:type="auto"/>
          </w:tcPr>
          <w:p w14:paraId="0D58AE2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38.5</w:t>
            </w:r>
          </w:p>
        </w:tc>
      </w:tr>
      <w:tr w:rsidR="00CD6352" w:rsidRPr="00EA7665" w14:paraId="48E76F30" w14:textId="77777777" w:rsidTr="00CD6352">
        <w:tc>
          <w:tcPr>
            <w:tcW w:w="0" w:type="auto"/>
          </w:tcPr>
          <w:p w14:paraId="5C6E361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Continuing professional development</w:t>
            </w:r>
          </w:p>
        </w:tc>
        <w:tc>
          <w:tcPr>
            <w:tcW w:w="0" w:type="auto"/>
          </w:tcPr>
          <w:p w14:paraId="0B1D394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w:t>
            </w:r>
          </w:p>
        </w:tc>
        <w:tc>
          <w:tcPr>
            <w:tcW w:w="0" w:type="auto"/>
          </w:tcPr>
          <w:p w14:paraId="7B2BA3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w:t>
            </w:r>
          </w:p>
        </w:tc>
        <w:tc>
          <w:tcPr>
            <w:tcW w:w="0" w:type="auto"/>
          </w:tcPr>
          <w:p w14:paraId="541FC04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10.3</w:t>
            </w:r>
          </w:p>
        </w:tc>
        <w:tc>
          <w:tcPr>
            <w:tcW w:w="0" w:type="auto"/>
          </w:tcPr>
          <w:p w14:paraId="61202FD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35.9</w:t>
            </w:r>
          </w:p>
        </w:tc>
        <w:tc>
          <w:tcPr>
            <w:tcW w:w="0" w:type="auto"/>
          </w:tcPr>
          <w:p w14:paraId="2AD8595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48.7</w:t>
            </w:r>
          </w:p>
        </w:tc>
      </w:tr>
      <w:tr w:rsidR="00CD6352" w:rsidRPr="00EA7665" w14:paraId="4E1D5ED3" w14:textId="77777777" w:rsidTr="00CD6352">
        <w:tc>
          <w:tcPr>
            <w:tcW w:w="0" w:type="auto"/>
          </w:tcPr>
          <w:p w14:paraId="71A15A7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Executive MBA(with classes on part time basis)</w:t>
            </w:r>
          </w:p>
        </w:tc>
        <w:tc>
          <w:tcPr>
            <w:tcW w:w="0" w:type="auto"/>
          </w:tcPr>
          <w:p w14:paraId="5618020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16.2</w:t>
            </w:r>
          </w:p>
        </w:tc>
        <w:tc>
          <w:tcPr>
            <w:tcW w:w="0" w:type="auto"/>
          </w:tcPr>
          <w:p w14:paraId="7213E5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21.6</w:t>
            </w:r>
          </w:p>
        </w:tc>
        <w:tc>
          <w:tcPr>
            <w:tcW w:w="0" w:type="auto"/>
          </w:tcPr>
          <w:p w14:paraId="004F708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18.9</w:t>
            </w:r>
          </w:p>
        </w:tc>
        <w:tc>
          <w:tcPr>
            <w:tcW w:w="0" w:type="auto"/>
          </w:tcPr>
          <w:p w14:paraId="029C59E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18.9</w:t>
            </w:r>
          </w:p>
        </w:tc>
        <w:tc>
          <w:tcPr>
            <w:tcW w:w="0" w:type="auto"/>
          </w:tcPr>
          <w:p w14:paraId="43311C7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24.3</w:t>
            </w:r>
          </w:p>
        </w:tc>
      </w:tr>
      <w:tr w:rsidR="00CD6352" w:rsidRPr="00EA7665" w14:paraId="427E0CA8" w14:textId="77777777" w:rsidTr="00CD6352">
        <w:tc>
          <w:tcPr>
            <w:tcW w:w="0" w:type="auto"/>
          </w:tcPr>
          <w:p w14:paraId="57CBB69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External training</w:t>
            </w:r>
          </w:p>
        </w:tc>
        <w:tc>
          <w:tcPr>
            <w:tcW w:w="0" w:type="auto"/>
          </w:tcPr>
          <w:p w14:paraId="3D29AFC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5.1</w:t>
            </w:r>
          </w:p>
        </w:tc>
        <w:tc>
          <w:tcPr>
            <w:tcW w:w="0" w:type="auto"/>
          </w:tcPr>
          <w:p w14:paraId="034A349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7.7</w:t>
            </w:r>
          </w:p>
        </w:tc>
        <w:tc>
          <w:tcPr>
            <w:tcW w:w="0" w:type="auto"/>
          </w:tcPr>
          <w:p w14:paraId="50D0A55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41.0</w:t>
            </w:r>
          </w:p>
        </w:tc>
        <w:tc>
          <w:tcPr>
            <w:tcW w:w="0" w:type="auto"/>
          </w:tcPr>
          <w:p w14:paraId="6F644A6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15.4</w:t>
            </w:r>
          </w:p>
        </w:tc>
        <w:tc>
          <w:tcPr>
            <w:tcW w:w="0" w:type="auto"/>
          </w:tcPr>
          <w:p w14:paraId="7586768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30.8</w:t>
            </w:r>
          </w:p>
        </w:tc>
      </w:tr>
      <w:tr w:rsidR="00CD6352" w:rsidRPr="00EA7665" w14:paraId="34A28442" w14:textId="77777777" w:rsidTr="00CD6352">
        <w:tc>
          <w:tcPr>
            <w:tcW w:w="0" w:type="auto"/>
          </w:tcPr>
          <w:p w14:paraId="78B86D5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Learning by holding meetings </w:t>
            </w:r>
          </w:p>
        </w:tc>
        <w:tc>
          <w:tcPr>
            <w:tcW w:w="0" w:type="auto"/>
          </w:tcPr>
          <w:p w14:paraId="5648449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5.3</w:t>
            </w:r>
          </w:p>
        </w:tc>
        <w:tc>
          <w:tcPr>
            <w:tcW w:w="0" w:type="auto"/>
          </w:tcPr>
          <w:p w14:paraId="2D7BB9C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7.9</w:t>
            </w:r>
          </w:p>
        </w:tc>
        <w:tc>
          <w:tcPr>
            <w:tcW w:w="0" w:type="auto"/>
          </w:tcPr>
          <w:p w14:paraId="7E93FE1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31.6</w:t>
            </w:r>
          </w:p>
        </w:tc>
        <w:tc>
          <w:tcPr>
            <w:tcW w:w="0" w:type="auto"/>
          </w:tcPr>
          <w:p w14:paraId="0E875B3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28.9</w:t>
            </w:r>
          </w:p>
        </w:tc>
        <w:tc>
          <w:tcPr>
            <w:tcW w:w="0" w:type="auto"/>
          </w:tcPr>
          <w:p w14:paraId="79C278D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26.3</w:t>
            </w:r>
          </w:p>
        </w:tc>
      </w:tr>
      <w:tr w:rsidR="00CD6352" w:rsidRPr="00EA7665" w14:paraId="1CEFE7CF" w14:textId="77777777" w:rsidTr="00CD6352">
        <w:tc>
          <w:tcPr>
            <w:tcW w:w="0" w:type="auto"/>
          </w:tcPr>
          <w:p w14:paraId="59B89BA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Online and tutorial training</w:t>
            </w:r>
          </w:p>
        </w:tc>
        <w:tc>
          <w:tcPr>
            <w:tcW w:w="0" w:type="auto"/>
          </w:tcPr>
          <w:p w14:paraId="1A3796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10.8</w:t>
            </w:r>
          </w:p>
        </w:tc>
        <w:tc>
          <w:tcPr>
            <w:tcW w:w="0" w:type="auto"/>
          </w:tcPr>
          <w:p w14:paraId="61A4075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16.2</w:t>
            </w:r>
          </w:p>
        </w:tc>
        <w:tc>
          <w:tcPr>
            <w:tcW w:w="0" w:type="auto"/>
          </w:tcPr>
          <w:p w14:paraId="6CBA40A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32.4</w:t>
            </w:r>
          </w:p>
        </w:tc>
        <w:tc>
          <w:tcPr>
            <w:tcW w:w="0" w:type="auto"/>
          </w:tcPr>
          <w:p w14:paraId="404F8C1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24.3</w:t>
            </w:r>
          </w:p>
        </w:tc>
        <w:tc>
          <w:tcPr>
            <w:tcW w:w="0" w:type="auto"/>
          </w:tcPr>
          <w:p w14:paraId="46BEB34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16.2</w:t>
            </w:r>
          </w:p>
        </w:tc>
      </w:tr>
      <w:tr w:rsidR="00CD6352" w:rsidRPr="00EA7665" w14:paraId="067044A5" w14:textId="77777777" w:rsidTr="00CD6352">
        <w:tc>
          <w:tcPr>
            <w:tcW w:w="0" w:type="auto"/>
          </w:tcPr>
          <w:p w14:paraId="3A9CBB3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University residential (full time program for some weeks )</w:t>
            </w:r>
          </w:p>
        </w:tc>
        <w:tc>
          <w:tcPr>
            <w:tcW w:w="0" w:type="auto"/>
          </w:tcPr>
          <w:p w14:paraId="29C68CE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20.5</w:t>
            </w:r>
          </w:p>
        </w:tc>
        <w:tc>
          <w:tcPr>
            <w:tcW w:w="0" w:type="auto"/>
          </w:tcPr>
          <w:p w14:paraId="4118AA6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20.5</w:t>
            </w:r>
          </w:p>
        </w:tc>
        <w:tc>
          <w:tcPr>
            <w:tcW w:w="0" w:type="auto"/>
          </w:tcPr>
          <w:p w14:paraId="6A4CF5A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23.1</w:t>
            </w:r>
          </w:p>
        </w:tc>
        <w:tc>
          <w:tcPr>
            <w:tcW w:w="0" w:type="auto"/>
          </w:tcPr>
          <w:p w14:paraId="2578B3C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12.8</w:t>
            </w:r>
          </w:p>
        </w:tc>
        <w:tc>
          <w:tcPr>
            <w:tcW w:w="0" w:type="auto"/>
          </w:tcPr>
          <w:p w14:paraId="229698C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23.1</w:t>
            </w:r>
          </w:p>
        </w:tc>
      </w:tr>
      <w:tr w:rsidR="00CD6352" w:rsidRPr="00EA7665" w14:paraId="1262673B" w14:textId="77777777" w:rsidTr="00CD6352">
        <w:tc>
          <w:tcPr>
            <w:tcW w:w="0" w:type="auto"/>
          </w:tcPr>
          <w:p w14:paraId="1C06177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Usage of formal qualification</w:t>
            </w:r>
          </w:p>
        </w:tc>
        <w:tc>
          <w:tcPr>
            <w:tcW w:w="0" w:type="auto"/>
          </w:tcPr>
          <w:p w14:paraId="30BE88B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5.1</w:t>
            </w:r>
          </w:p>
        </w:tc>
        <w:tc>
          <w:tcPr>
            <w:tcW w:w="0" w:type="auto"/>
          </w:tcPr>
          <w:p w14:paraId="1890C56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20.5</w:t>
            </w:r>
          </w:p>
        </w:tc>
        <w:tc>
          <w:tcPr>
            <w:tcW w:w="0" w:type="auto"/>
          </w:tcPr>
          <w:p w14:paraId="04F2CFB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17.9</w:t>
            </w:r>
          </w:p>
        </w:tc>
        <w:tc>
          <w:tcPr>
            <w:tcW w:w="0" w:type="auto"/>
          </w:tcPr>
          <w:p w14:paraId="7217BFF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20.5</w:t>
            </w:r>
          </w:p>
        </w:tc>
        <w:tc>
          <w:tcPr>
            <w:tcW w:w="0" w:type="auto"/>
          </w:tcPr>
          <w:p w14:paraId="142CB68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35.9</w:t>
            </w:r>
          </w:p>
        </w:tc>
      </w:tr>
      <w:tr w:rsidR="00CD6352" w:rsidRPr="00EA7665" w14:paraId="2B5922F4" w14:textId="77777777" w:rsidTr="00CD6352">
        <w:tc>
          <w:tcPr>
            <w:tcW w:w="0" w:type="auto"/>
          </w:tcPr>
          <w:p w14:paraId="641EF94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Usage of internal program and instructors</w:t>
            </w:r>
          </w:p>
        </w:tc>
        <w:tc>
          <w:tcPr>
            <w:tcW w:w="0" w:type="auto"/>
          </w:tcPr>
          <w:p w14:paraId="134E178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10.5</w:t>
            </w:r>
          </w:p>
        </w:tc>
        <w:tc>
          <w:tcPr>
            <w:tcW w:w="0" w:type="auto"/>
          </w:tcPr>
          <w:p w14:paraId="35E842E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7.9</w:t>
            </w:r>
          </w:p>
        </w:tc>
        <w:tc>
          <w:tcPr>
            <w:tcW w:w="0" w:type="auto"/>
          </w:tcPr>
          <w:p w14:paraId="2A5B2A4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23.7</w:t>
            </w:r>
          </w:p>
        </w:tc>
        <w:tc>
          <w:tcPr>
            <w:tcW w:w="0" w:type="auto"/>
          </w:tcPr>
          <w:p w14:paraId="0671AC8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26.3</w:t>
            </w:r>
          </w:p>
        </w:tc>
        <w:tc>
          <w:tcPr>
            <w:tcW w:w="0" w:type="auto"/>
          </w:tcPr>
          <w:p w14:paraId="51F47C8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31.6</w:t>
            </w:r>
          </w:p>
        </w:tc>
      </w:tr>
    </w:tbl>
    <w:p w14:paraId="159EA610" w14:textId="591692BF" w:rsidR="00CD6352" w:rsidRDefault="00CD6352" w:rsidP="00CD6352">
      <w:pPr>
        <w:spacing w:line="360" w:lineRule="auto"/>
        <w:jc w:val="both"/>
        <w:rPr>
          <w:rFonts w:ascii="Arial" w:hAnsi="Arial" w:cs="Arial"/>
        </w:rPr>
      </w:pPr>
    </w:p>
    <w:p w14:paraId="541C1B91" w14:textId="425C121C" w:rsidR="00790DDF" w:rsidRPr="00EA7665" w:rsidRDefault="00790DDF" w:rsidP="00790DDF">
      <w:pPr>
        <w:spacing w:line="360" w:lineRule="auto"/>
        <w:rPr>
          <w:rFonts w:ascii="Arial" w:hAnsi="Arial" w:cs="Arial"/>
        </w:rPr>
      </w:pPr>
      <w:r>
        <w:rPr>
          <w:rFonts w:ascii="Arial" w:hAnsi="Arial" w:cs="Arial"/>
        </w:rPr>
        <w:t xml:space="preserve">The overall mean values in table 9.3.2 </w:t>
      </w:r>
      <w:r w:rsidRPr="00EA7665">
        <w:rPr>
          <w:rFonts w:ascii="Arial" w:hAnsi="Arial" w:cs="Arial"/>
        </w:rPr>
        <w:t xml:space="preserve">and the ranking given by the survey respondents depicting the degree of use of the selected approaches for training and education for </w:t>
      </w:r>
      <w:r w:rsidRPr="00EA7665">
        <w:rPr>
          <w:rFonts w:ascii="Arial" w:hAnsi="Arial" w:cs="Arial"/>
        </w:rPr>
        <w:lastRenderedPageBreak/>
        <w:t>securing finance for real estate project development at the aggregate level.</w:t>
      </w:r>
      <w:r>
        <w:rPr>
          <w:rFonts w:ascii="Arial" w:hAnsi="Arial" w:cs="Arial"/>
        </w:rPr>
        <w:t xml:space="preserve"> </w:t>
      </w:r>
      <w:r w:rsidRPr="00EA7665">
        <w:rPr>
          <w:rFonts w:ascii="Arial" w:hAnsi="Arial" w:cs="Arial"/>
        </w:rPr>
        <w:t>The data shows a mean score range of 4.2 to 2.93</w:t>
      </w:r>
      <w:r w:rsidR="00B55B5E">
        <w:rPr>
          <w:rFonts w:ascii="Arial" w:hAnsi="Arial" w:cs="Arial"/>
        </w:rPr>
        <w:t>,</w:t>
      </w:r>
      <w:r w:rsidRPr="00EA7665">
        <w:rPr>
          <w:rFonts w:ascii="Arial" w:hAnsi="Arial" w:cs="Arial"/>
        </w:rPr>
        <w:t xml:space="preserve"> and this is indicative of the fact that these managers use the various approache</w:t>
      </w:r>
      <w:r>
        <w:rPr>
          <w:rFonts w:ascii="Arial" w:hAnsi="Arial" w:cs="Arial"/>
        </w:rPr>
        <w:t>s</w:t>
      </w:r>
      <w:r w:rsidRPr="00EA7665">
        <w:rPr>
          <w:rFonts w:ascii="Arial" w:hAnsi="Arial" w:cs="Arial"/>
        </w:rPr>
        <w:t xml:space="preserve"> for training and education at the aggregate level. The findings sho</w:t>
      </w:r>
      <w:r>
        <w:rPr>
          <w:rFonts w:ascii="Arial" w:hAnsi="Arial" w:cs="Arial"/>
        </w:rPr>
        <w:t>w</w:t>
      </w:r>
      <w:r w:rsidRPr="00EA7665">
        <w:rPr>
          <w:rFonts w:ascii="Arial" w:hAnsi="Arial" w:cs="Arial"/>
        </w:rPr>
        <w:t xml:space="preserve"> the most highly used approaches to be continuing professional development, conferences &amp; seminars, computer</w:t>
      </w:r>
      <w:r w:rsidR="002922CF">
        <w:rPr>
          <w:rFonts w:ascii="Arial" w:hAnsi="Arial" w:cs="Arial"/>
        </w:rPr>
        <w:t>-</w:t>
      </w:r>
      <w:r w:rsidRPr="00EA7665">
        <w:rPr>
          <w:rFonts w:ascii="Arial" w:hAnsi="Arial" w:cs="Arial"/>
        </w:rPr>
        <w:t>based training, learning by holding meetings and classroom instructor</w:t>
      </w:r>
      <w:r w:rsidR="002922CF">
        <w:rPr>
          <w:rFonts w:ascii="Arial" w:hAnsi="Arial" w:cs="Arial"/>
        </w:rPr>
        <w:t>-</w:t>
      </w:r>
      <w:r w:rsidRPr="00EA7665">
        <w:rPr>
          <w:rFonts w:ascii="Arial" w:hAnsi="Arial" w:cs="Arial"/>
        </w:rPr>
        <w:t xml:space="preserve">led training for short periods offered by </w:t>
      </w:r>
      <w:r w:rsidR="00557A3A" w:rsidRPr="00EA7665">
        <w:rPr>
          <w:rFonts w:ascii="Arial" w:hAnsi="Arial" w:cs="Arial"/>
        </w:rPr>
        <w:t>consultants.</w:t>
      </w:r>
    </w:p>
    <w:p w14:paraId="54E69B2C" w14:textId="25C67E05" w:rsidR="00DB4CBF" w:rsidRPr="00DB4CBF" w:rsidRDefault="00DB4CBF" w:rsidP="00DB4CBF">
      <w:pPr>
        <w:rPr>
          <w:rFonts w:ascii="Arial" w:hAnsi="Arial" w:cs="Arial"/>
          <w:sz w:val="16"/>
          <w:szCs w:val="16"/>
        </w:rPr>
      </w:pPr>
      <w:bookmarkStart w:id="1399" w:name="_Toc78984030"/>
      <w:r w:rsidRPr="00DB4CBF">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2</w:t>
      </w:r>
      <w:r w:rsidR="008F25B1">
        <w:rPr>
          <w:rFonts w:ascii="Arial" w:hAnsi="Arial" w:cs="Arial"/>
          <w:sz w:val="16"/>
          <w:szCs w:val="16"/>
        </w:rPr>
        <w:fldChar w:fldCharType="end"/>
      </w:r>
      <w:r w:rsidRPr="00DB4CBF">
        <w:rPr>
          <w:rFonts w:ascii="Arial" w:hAnsi="Arial" w:cs="Arial"/>
          <w:sz w:val="16"/>
          <w:szCs w:val="16"/>
        </w:rPr>
        <w:t>: Mean scores for degree of use of approaches for training and education for securing finance for real estate project development.</w:t>
      </w:r>
      <w:r w:rsidR="00A6098C">
        <w:rPr>
          <w:rFonts w:ascii="Arial" w:hAnsi="Arial" w:cs="Arial"/>
          <w:sz w:val="16"/>
          <w:szCs w:val="16"/>
        </w:rPr>
        <w:t xml:space="preserve"> </w:t>
      </w:r>
      <w:r w:rsidRPr="00DB4CBF">
        <w:rPr>
          <w:rFonts w:ascii="Arial" w:hAnsi="Arial" w:cs="Arial"/>
          <w:sz w:val="16"/>
          <w:szCs w:val="16"/>
        </w:rPr>
        <w:t>at the aggregate level</w:t>
      </w:r>
      <w:bookmarkEnd w:id="1399"/>
    </w:p>
    <w:tbl>
      <w:tblPr>
        <w:tblStyle w:val="TableGrid"/>
        <w:tblW w:w="0" w:type="auto"/>
        <w:tblLook w:val="04A0" w:firstRow="1" w:lastRow="0" w:firstColumn="1" w:lastColumn="0" w:noHBand="0" w:noVBand="1"/>
      </w:tblPr>
      <w:tblGrid>
        <w:gridCol w:w="5665"/>
        <w:gridCol w:w="741"/>
        <w:gridCol w:w="590"/>
      </w:tblGrid>
      <w:tr w:rsidR="00CD6352" w:rsidRPr="00DB4CBF" w14:paraId="71808B28" w14:textId="77777777" w:rsidTr="00DB4CBF">
        <w:trPr>
          <w:trHeight w:val="261"/>
        </w:trPr>
        <w:tc>
          <w:tcPr>
            <w:tcW w:w="5665" w:type="dxa"/>
            <w:noWrap/>
            <w:hideMark/>
          </w:tcPr>
          <w:p w14:paraId="21A4B0D7" w14:textId="77777777" w:rsidR="00CD6352" w:rsidRPr="00DB4CBF" w:rsidRDefault="00CD6352" w:rsidP="00CD6352">
            <w:pPr>
              <w:rPr>
                <w:rFonts w:ascii="Arial" w:hAnsi="Arial" w:cs="Arial"/>
                <w:sz w:val="16"/>
                <w:szCs w:val="16"/>
              </w:rPr>
            </w:pPr>
            <w:r w:rsidRPr="00DB4CBF">
              <w:rPr>
                <w:rFonts w:ascii="Arial" w:hAnsi="Arial" w:cs="Arial"/>
                <w:sz w:val="16"/>
                <w:szCs w:val="16"/>
              </w:rPr>
              <w:t>Training &amp; education</w:t>
            </w:r>
          </w:p>
        </w:tc>
        <w:tc>
          <w:tcPr>
            <w:tcW w:w="741" w:type="dxa"/>
            <w:noWrap/>
            <w:hideMark/>
          </w:tcPr>
          <w:p w14:paraId="4620F7AE" w14:textId="77777777" w:rsidR="00CD6352" w:rsidRPr="00DB4CBF" w:rsidRDefault="00CD6352" w:rsidP="00CD6352">
            <w:pPr>
              <w:rPr>
                <w:rFonts w:ascii="Arial" w:hAnsi="Arial" w:cs="Arial"/>
                <w:sz w:val="16"/>
                <w:szCs w:val="16"/>
              </w:rPr>
            </w:pPr>
            <w:r w:rsidRPr="00DB4CBF">
              <w:rPr>
                <w:rFonts w:ascii="Arial" w:hAnsi="Arial" w:cs="Arial"/>
                <w:sz w:val="16"/>
                <w:szCs w:val="16"/>
              </w:rPr>
              <w:t>Degree of use</w:t>
            </w:r>
          </w:p>
        </w:tc>
        <w:tc>
          <w:tcPr>
            <w:tcW w:w="590" w:type="dxa"/>
            <w:noWrap/>
            <w:hideMark/>
          </w:tcPr>
          <w:p w14:paraId="79CABB4E" w14:textId="77777777" w:rsidR="00CD6352" w:rsidRPr="00DB4CBF" w:rsidRDefault="00CD6352" w:rsidP="00CD6352">
            <w:pPr>
              <w:rPr>
                <w:rFonts w:ascii="Arial" w:hAnsi="Arial" w:cs="Arial"/>
                <w:sz w:val="16"/>
                <w:szCs w:val="16"/>
              </w:rPr>
            </w:pPr>
            <w:r w:rsidRPr="00DB4CBF">
              <w:rPr>
                <w:rFonts w:ascii="Arial" w:hAnsi="Arial" w:cs="Arial"/>
                <w:sz w:val="16"/>
                <w:szCs w:val="16"/>
              </w:rPr>
              <w:t>Rank</w:t>
            </w:r>
          </w:p>
        </w:tc>
      </w:tr>
      <w:tr w:rsidR="00CD6352" w:rsidRPr="00DB4CBF" w14:paraId="1777DA09" w14:textId="77777777" w:rsidTr="00DB4CBF">
        <w:trPr>
          <w:trHeight w:val="317"/>
        </w:trPr>
        <w:tc>
          <w:tcPr>
            <w:tcW w:w="5665" w:type="dxa"/>
            <w:noWrap/>
            <w:hideMark/>
          </w:tcPr>
          <w:p w14:paraId="6B67660E" w14:textId="77777777" w:rsidR="00CD6352" w:rsidRPr="00DB4CBF" w:rsidRDefault="00CD6352" w:rsidP="00CD6352">
            <w:pPr>
              <w:rPr>
                <w:rFonts w:ascii="Arial" w:hAnsi="Arial" w:cs="Arial"/>
                <w:sz w:val="16"/>
                <w:szCs w:val="16"/>
              </w:rPr>
            </w:pPr>
            <w:r w:rsidRPr="00DB4CBF">
              <w:rPr>
                <w:rFonts w:ascii="Arial" w:hAnsi="Arial" w:cs="Arial"/>
                <w:sz w:val="16"/>
                <w:szCs w:val="16"/>
              </w:rPr>
              <w:t>Continuing professional development</w:t>
            </w:r>
          </w:p>
        </w:tc>
        <w:tc>
          <w:tcPr>
            <w:tcW w:w="741" w:type="dxa"/>
            <w:noWrap/>
            <w:hideMark/>
          </w:tcPr>
          <w:p w14:paraId="78C30FE8" w14:textId="77777777" w:rsidR="00CD6352" w:rsidRPr="00DB4CBF" w:rsidRDefault="00CD6352" w:rsidP="00CD6352">
            <w:pPr>
              <w:rPr>
                <w:rFonts w:ascii="Arial" w:hAnsi="Arial" w:cs="Arial"/>
                <w:sz w:val="16"/>
                <w:szCs w:val="16"/>
              </w:rPr>
            </w:pPr>
            <w:r w:rsidRPr="00DB4CBF">
              <w:rPr>
                <w:rFonts w:ascii="Arial" w:hAnsi="Arial" w:cs="Arial"/>
                <w:sz w:val="16"/>
                <w:szCs w:val="16"/>
              </w:rPr>
              <w:t>4.2</w:t>
            </w:r>
          </w:p>
        </w:tc>
        <w:tc>
          <w:tcPr>
            <w:tcW w:w="590" w:type="dxa"/>
            <w:noWrap/>
            <w:hideMark/>
          </w:tcPr>
          <w:p w14:paraId="6E463BFA" w14:textId="77777777" w:rsidR="00CD6352" w:rsidRPr="00DB4CBF" w:rsidRDefault="00CD6352" w:rsidP="00CD6352">
            <w:pPr>
              <w:rPr>
                <w:rFonts w:ascii="Arial" w:hAnsi="Arial" w:cs="Arial"/>
                <w:sz w:val="16"/>
                <w:szCs w:val="16"/>
              </w:rPr>
            </w:pPr>
            <w:r w:rsidRPr="00DB4CBF">
              <w:rPr>
                <w:rFonts w:ascii="Arial" w:hAnsi="Arial" w:cs="Arial"/>
                <w:sz w:val="16"/>
                <w:szCs w:val="16"/>
              </w:rPr>
              <w:t>1</w:t>
            </w:r>
          </w:p>
        </w:tc>
      </w:tr>
      <w:tr w:rsidR="00CD6352" w:rsidRPr="00DB4CBF" w14:paraId="394EF880" w14:textId="77777777" w:rsidTr="00DB4CBF">
        <w:trPr>
          <w:trHeight w:val="315"/>
        </w:trPr>
        <w:tc>
          <w:tcPr>
            <w:tcW w:w="5665" w:type="dxa"/>
            <w:noWrap/>
            <w:hideMark/>
          </w:tcPr>
          <w:p w14:paraId="6BF45A9E" w14:textId="77777777" w:rsidR="00CD6352" w:rsidRPr="00DB4CBF" w:rsidRDefault="00CD6352" w:rsidP="00CD6352">
            <w:pPr>
              <w:rPr>
                <w:rFonts w:ascii="Arial" w:hAnsi="Arial" w:cs="Arial"/>
                <w:sz w:val="16"/>
                <w:szCs w:val="16"/>
              </w:rPr>
            </w:pPr>
            <w:r w:rsidRPr="00DB4CBF">
              <w:rPr>
                <w:rFonts w:ascii="Arial" w:hAnsi="Arial" w:cs="Arial"/>
                <w:sz w:val="16"/>
                <w:szCs w:val="16"/>
              </w:rPr>
              <w:t>Conferences &amp; seminar</w:t>
            </w:r>
          </w:p>
        </w:tc>
        <w:tc>
          <w:tcPr>
            <w:tcW w:w="741" w:type="dxa"/>
            <w:noWrap/>
            <w:hideMark/>
          </w:tcPr>
          <w:p w14:paraId="184546F4" w14:textId="77777777" w:rsidR="00CD6352" w:rsidRPr="00DB4CBF" w:rsidRDefault="00CD6352" w:rsidP="00CD6352">
            <w:pPr>
              <w:rPr>
                <w:rFonts w:ascii="Arial" w:hAnsi="Arial" w:cs="Arial"/>
                <w:sz w:val="16"/>
                <w:szCs w:val="16"/>
              </w:rPr>
            </w:pPr>
            <w:r w:rsidRPr="00DB4CBF">
              <w:rPr>
                <w:rFonts w:ascii="Arial" w:hAnsi="Arial" w:cs="Arial"/>
                <w:sz w:val="16"/>
                <w:szCs w:val="16"/>
              </w:rPr>
              <w:t>3.68</w:t>
            </w:r>
          </w:p>
        </w:tc>
        <w:tc>
          <w:tcPr>
            <w:tcW w:w="590" w:type="dxa"/>
            <w:noWrap/>
            <w:hideMark/>
          </w:tcPr>
          <w:p w14:paraId="34BFB351" w14:textId="77777777" w:rsidR="00CD6352" w:rsidRPr="00DB4CBF" w:rsidRDefault="00CD6352" w:rsidP="00CD6352">
            <w:pPr>
              <w:rPr>
                <w:rFonts w:ascii="Arial" w:hAnsi="Arial" w:cs="Arial"/>
                <w:sz w:val="16"/>
                <w:szCs w:val="16"/>
              </w:rPr>
            </w:pPr>
            <w:r w:rsidRPr="00DB4CBF">
              <w:rPr>
                <w:rFonts w:ascii="Arial" w:hAnsi="Arial" w:cs="Arial"/>
                <w:sz w:val="16"/>
                <w:szCs w:val="16"/>
              </w:rPr>
              <w:t>2</w:t>
            </w:r>
          </w:p>
        </w:tc>
      </w:tr>
      <w:tr w:rsidR="00CD6352" w:rsidRPr="00DB4CBF" w14:paraId="2E6A1148" w14:textId="77777777" w:rsidTr="00DB4CBF">
        <w:trPr>
          <w:trHeight w:val="315"/>
        </w:trPr>
        <w:tc>
          <w:tcPr>
            <w:tcW w:w="5665" w:type="dxa"/>
            <w:noWrap/>
            <w:hideMark/>
          </w:tcPr>
          <w:p w14:paraId="25A02AAE" w14:textId="77777777" w:rsidR="00CD6352" w:rsidRPr="00DB4CBF" w:rsidRDefault="00CD6352" w:rsidP="00CD6352">
            <w:pPr>
              <w:rPr>
                <w:rFonts w:ascii="Arial" w:hAnsi="Arial" w:cs="Arial"/>
                <w:sz w:val="16"/>
                <w:szCs w:val="16"/>
              </w:rPr>
            </w:pPr>
            <w:r w:rsidRPr="00DB4CBF">
              <w:rPr>
                <w:rFonts w:ascii="Arial" w:hAnsi="Arial" w:cs="Arial"/>
                <w:sz w:val="16"/>
                <w:szCs w:val="16"/>
              </w:rPr>
              <w:t>Computer-based training</w:t>
            </w:r>
          </w:p>
        </w:tc>
        <w:tc>
          <w:tcPr>
            <w:tcW w:w="741" w:type="dxa"/>
            <w:noWrap/>
            <w:hideMark/>
          </w:tcPr>
          <w:p w14:paraId="0C92296F" w14:textId="77777777" w:rsidR="00CD6352" w:rsidRPr="00DB4CBF" w:rsidRDefault="00CD6352" w:rsidP="00CD6352">
            <w:pPr>
              <w:rPr>
                <w:rFonts w:ascii="Arial" w:hAnsi="Arial" w:cs="Arial"/>
                <w:sz w:val="16"/>
                <w:szCs w:val="16"/>
              </w:rPr>
            </w:pPr>
            <w:r w:rsidRPr="00DB4CBF">
              <w:rPr>
                <w:rFonts w:ascii="Arial" w:hAnsi="Arial" w:cs="Arial"/>
                <w:sz w:val="16"/>
                <w:szCs w:val="16"/>
              </w:rPr>
              <w:t>3.67</w:t>
            </w:r>
          </w:p>
        </w:tc>
        <w:tc>
          <w:tcPr>
            <w:tcW w:w="590" w:type="dxa"/>
            <w:noWrap/>
            <w:hideMark/>
          </w:tcPr>
          <w:p w14:paraId="5E4C4118" w14:textId="77777777" w:rsidR="00CD6352" w:rsidRPr="00DB4CBF" w:rsidRDefault="00CD6352" w:rsidP="00CD6352">
            <w:pPr>
              <w:rPr>
                <w:rFonts w:ascii="Arial" w:hAnsi="Arial" w:cs="Arial"/>
                <w:sz w:val="16"/>
                <w:szCs w:val="16"/>
              </w:rPr>
            </w:pPr>
            <w:r w:rsidRPr="00DB4CBF">
              <w:rPr>
                <w:rFonts w:ascii="Arial" w:hAnsi="Arial" w:cs="Arial"/>
                <w:sz w:val="16"/>
                <w:szCs w:val="16"/>
              </w:rPr>
              <w:t>3</w:t>
            </w:r>
          </w:p>
        </w:tc>
      </w:tr>
      <w:tr w:rsidR="00CD6352" w:rsidRPr="00DB4CBF" w14:paraId="6B00E4EE" w14:textId="77777777" w:rsidTr="00DB4CBF">
        <w:trPr>
          <w:trHeight w:val="315"/>
        </w:trPr>
        <w:tc>
          <w:tcPr>
            <w:tcW w:w="5665" w:type="dxa"/>
            <w:noWrap/>
            <w:hideMark/>
          </w:tcPr>
          <w:p w14:paraId="3625CFA6" w14:textId="77777777" w:rsidR="00CD6352" w:rsidRPr="00DB4CBF" w:rsidRDefault="00CD6352" w:rsidP="00CD6352">
            <w:pPr>
              <w:rPr>
                <w:rFonts w:ascii="Arial" w:hAnsi="Arial" w:cs="Arial"/>
                <w:sz w:val="16"/>
                <w:szCs w:val="16"/>
              </w:rPr>
            </w:pPr>
            <w:r w:rsidRPr="00DB4CBF">
              <w:rPr>
                <w:rFonts w:ascii="Arial" w:hAnsi="Arial" w:cs="Arial"/>
                <w:sz w:val="16"/>
                <w:szCs w:val="16"/>
              </w:rPr>
              <w:t xml:space="preserve">Learning by holding meetings </w:t>
            </w:r>
          </w:p>
        </w:tc>
        <w:tc>
          <w:tcPr>
            <w:tcW w:w="741" w:type="dxa"/>
            <w:noWrap/>
            <w:hideMark/>
          </w:tcPr>
          <w:p w14:paraId="639BDAA2" w14:textId="77777777" w:rsidR="00CD6352" w:rsidRPr="00DB4CBF" w:rsidRDefault="00CD6352" w:rsidP="00CD6352">
            <w:pPr>
              <w:rPr>
                <w:rFonts w:ascii="Arial" w:hAnsi="Arial" w:cs="Arial"/>
                <w:sz w:val="16"/>
                <w:szCs w:val="16"/>
              </w:rPr>
            </w:pPr>
            <w:r w:rsidRPr="00DB4CBF">
              <w:rPr>
                <w:rFonts w:ascii="Arial" w:hAnsi="Arial" w:cs="Arial"/>
                <w:sz w:val="16"/>
                <w:szCs w:val="16"/>
              </w:rPr>
              <w:t>3.6</w:t>
            </w:r>
          </w:p>
        </w:tc>
        <w:tc>
          <w:tcPr>
            <w:tcW w:w="590" w:type="dxa"/>
            <w:noWrap/>
            <w:hideMark/>
          </w:tcPr>
          <w:p w14:paraId="6D1F760E" w14:textId="77777777" w:rsidR="00CD6352" w:rsidRPr="00DB4CBF" w:rsidRDefault="00CD6352" w:rsidP="00CD6352">
            <w:pPr>
              <w:rPr>
                <w:rFonts w:ascii="Arial" w:hAnsi="Arial" w:cs="Arial"/>
                <w:sz w:val="16"/>
                <w:szCs w:val="16"/>
              </w:rPr>
            </w:pPr>
            <w:r w:rsidRPr="00DB4CBF">
              <w:rPr>
                <w:rFonts w:ascii="Arial" w:hAnsi="Arial" w:cs="Arial"/>
                <w:sz w:val="16"/>
                <w:szCs w:val="16"/>
              </w:rPr>
              <w:t>4</w:t>
            </w:r>
          </w:p>
        </w:tc>
      </w:tr>
      <w:tr w:rsidR="00CD6352" w:rsidRPr="00DB4CBF" w14:paraId="7ACDE527" w14:textId="77777777" w:rsidTr="00DB4CBF">
        <w:trPr>
          <w:trHeight w:val="229"/>
        </w:trPr>
        <w:tc>
          <w:tcPr>
            <w:tcW w:w="5665" w:type="dxa"/>
            <w:hideMark/>
          </w:tcPr>
          <w:p w14:paraId="1C5B6364" w14:textId="77777777" w:rsidR="00CD6352" w:rsidRPr="00DB4CBF" w:rsidRDefault="00CD6352" w:rsidP="00CD6352">
            <w:pPr>
              <w:rPr>
                <w:rFonts w:ascii="Arial" w:hAnsi="Arial" w:cs="Arial"/>
                <w:sz w:val="16"/>
                <w:szCs w:val="16"/>
              </w:rPr>
            </w:pPr>
            <w:r w:rsidRPr="00DB4CBF">
              <w:rPr>
                <w:rFonts w:ascii="Arial" w:hAnsi="Arial" w:cs="Arial"/>
                <w:sz w:val="16"/>
                <w:szCs w:val="16"/>
              </w:rPr>
              <w:t>Classroom instructor-led training for a short period(offered by consultants)</w:t>
            </w:r>
          </w:p>
        </w:tc>
        <w:tc>
          <w:tcPr>
            <w:tcW w:w="741" w:type="dxa"/>
            <w:noWrap/>
            <w:hideMark/>
          </w:tcPr>
          <w:p w14:paraId="7900C093" w14:textId="77777777" w:rsidR="00CD6352" w:rsidRPr="00DB4CBF" w:rsidRDefault="00CD6352" w:rsidP="00CD6352">
            <w:pPr>
              <w:rPr>
                <w:rFonts w:ascii="Arial" w:hAnsi="Arial" w:cs="Arial"/>
                <w:sz w:val="16"/>
                <w:szCs w:val="16"/>
              </w:rPr>
            </w:pPr>
            <w:r w:rsidRPr="00DB4CBF">
              <w:rPr>
                <w:rFonts w:ascii="Arial" w:hAnsi="Arial" w:cs="Arial"/>
                <w:sz w:val="16"/>
                <w:szCs w:val="16"/>
              </w:rPr>
              <w:t>3.58</w:t>
            </w:r>
          </w:p>
        </w:tc>
        <w:tc>
          <w:tcPr>
            <w:tcW w:w="590" w:type="dxa"/>
            <w:noWrap/>
            <w:hideMark/>
          </w:tcPr>
          <w:p w14:paraId="2CE8D205" w14:textId="77777777" w:rsidR="00CD6352" w:rsidRPr="00DB4CBF" w:rsidRDefault="00CD6352" w:rsidP="00CD6352">
            <w:pPr>
              <w:rPr>
                <w:rFonts w:ascii="Arial" w:hAnsi="Arial" w:cs="Arial"/>
                <w:sz w:val="16"/>
                <w:szCs w:val="16"/>
              </w:rPr>
            </w:pPr>
            <w:r w:rsidRPr="00DB4CBF">
              <w:rPr>
                <w:rFonts w:ascii="Arial" w:hAnsi="Arial" w:cs="Arial"/>
                <w:sz w:val="16"/>
                <w:szCs w:val="16"/>
              </w:rPr>
              <w:t>5</w:t>
            </w:r>
          </w:p>
        </w:tc>
      </w:tr>
      <w:tr w:rsidR="00CD6352" w:rsidRPr="00DB4CBF" w14:paraId="23216A05" w14:textId="77777777" w:rsidTr="00DB4CBF">
        <w:trPr>
          <w:trHeight w:val="221"/>
        </w:trPr>
        <w:tc>
          <w:tcPr>
            <w:tcW w:w="5665" w:type="dxa"/>
            <w:noWrap/>
            <w:hideMark/>
          </w:tcPr>
          <w:p w14:paraId="47DCF31E" w14:textId="77777777" w:rsidR="00CD6352" w:rsidRPr="00DB4CBF" w:rsidRDefault="00CD6352" w:rsidP="00CD6352">
            <w:pPr>
              <w:rPr>
                <w:rFonts w:ascii="Arial" w:hAnsi="Arial" w:cs="Arial"/>
                <w:sz w:val="16"/>
                <w:szCs w:val="16"/>
              </w:rPr>
            </w:pPr>
            <w:r w:rsidRPr="00DB4CBF">
              <w:rPr>
                <w:rFonts w:ascii="Arial" w:hAnsi="Arial" w:cs="Arial"/>
                <w:sz w:val="16"/>
                <w:szCs w:val="16"/>
              </w:rPr>
              <w:t>Usage of internal program and instructors</w:t>
            </w:r>
          </w:p>
        </w:tc>
        <w:tc>
          <w:tcPr>
            <w:tcW w:w="741" w:type="dxa"/>
            <w:noWrap/>
            <w:hideMark/>
          </w:tcPr>
          <w:p w14:paraId="026799BF" w14:textId="77777777" w:rsidR="00CD6352" w:rsidRPr="00DB4CBF" w:rsidRDefault="00CD6352" w:rsidP="00CD6352">
            <w:pPr>
              <w:rPr>
                <w:rFonts w:ascii="Arial" w:hAnsi="Arial" w:cs="Arial"/>
                <w:sz w:val="16"/>
                <w:szCs w:val="16"/>
              </w:rPr>
            </w:pPr>
            <w:r w:rsidRPr="00DB4CBF">
              <w:rPr>
                <w:rFonts w:ascii="Arial" w:hAnsi="Arial" w:cs="Arial"/>
                <w:sz w:val="16"/>
                <w:szCs w:val="16"/>
              </w:rPr>
              <w:t>3.57</w:t>
            </w:r>
          </w:p>
        </w:tc>
        <w:tc>
          <w:tcPr>
            <w:tcW w:w="590" w:type="dxa"/>
            <w:noWrap/>
            <w:hideMark/>
          </w:tcPr>
          <w:p w14:paraId="5B81F1AD" w14:textId="77777777" w:rsidR="00CD6352" w:rsidRPr="00DB4CBF" w:rsidRDefault="00CD6352" w:rsidP="00CD6352">
            <w:pPr>
              <w:rPr>
                <w:rFonts w:ascii="Arial" w:hAnsi="Arial" w:cs="Arial"/>
                <w:sz w:val="16"/>
                <w:szCs w:val="16"/>
              </w:rPr>
            </w:pPr>
            <w:r w:rsidRPr="00DB4CBF">
              <w:rPr>
                <w:rFonts w:ascii="Arial" w:hAnsi="Arial" w:cs="Arial"/>
                <w:sz w:val="16"/>
                <w:szCs w:val="16"/>
              </w:rPr>
              <w:t>6</w:t>
            </w:r>
          </w:p>
        </w:tc>
      </w:tr>
      <w:tr w:rsidR="00CD6352" w:rsidRPr="00DB4CBF" w14:paraId="30F45399" w14:textId="77777777" w:rsidTr="00DB4CBF">
        <w:trPr>
          <w:trHeight w:val="315"/>
        </w:trPr>
        <w:tc>
          <w:tcPr>
            <w:tcW w:w="5665" w:type="dxa"/>
            <w:noWrap/>
            <w:hideMark/>
          </w:tcPr>
          <w:p w14:paraId="53ED0913" w14:textId="77777777" w:rsidR="00CD6352" w:rsidRPr="00DB4CBF" w:rsidRDefault="00CD6352" w:rsidP="00CD6352">
            <w:pPr>
              <w:rPr>
                <w:rFonts w:ascii="Arial" w:hAnsi="Arial" w:cs="Arial"/>
                <w:sz w:val="16"/>
                <w:szCs w:val="16"/>
              </w:rPr>
            </w:pPr>
            <w:r w:rsidRPr="00DB4CBF">
              <w:rPr>
                <w:rFonts w:ascii="Arial" w:hAnsi="Arial" w:cs="Arial"/>
                <w:sz w:val="16"/>
                <w:szCs w:val="16"/>
              </w:rPr>
              <w:t>Usage of formal qualification</w:t>
            </w:r>
          </w:p>
        </w:tc>
        <w:tc>
          <w:tcPr>
            <w:tcW w:w="741" w:type="dxa"/>
            <w:noWrap/>
            <w:hideMark/>
          </w:tcPr>
          <w:p w14:paraId="4781EDC7" w14:textId="77777777" w:rsidR="00CD6352" w:rsidRPr="00DB4CBF" w:rsidRDefault="00CD6352" w:rsidP="00CD6352">
            <w:pPr>
              <w:rPr>
                <w:rFonts w:ascii="Arial" w:hAnsi="Arial" w:cs="Arial"/>
                <w:sz w:val="16"/>
                <w:szCs w:val="16"/>
              </w:rPr>
            </w:pPr>
            <w:r w:rsidRPr="00DB4CBF">
              <w:rPr>
                <w:rFonts w:ascii="Arial" w:hAnsi="Arial" w:cs="Arial"/>
                <w:sz w:val="16"/>
                <w:szCs w:val="16"/>
              </w:rPr>
              <w:t>3.56</w:t>
            </w:r>
          </w:p>
        </w:tc>
        <w:tc>
          <w:tcPr>
            <w:tcW w:w="590" w:type="dxa"/>
            <w:noWrap/>
            <w:hideMark/>
          </w:tcPr>
          <w:p w14:paraId="5E8BB6E5" w14:textId="77777777" w:rsidR="00CD6352" w:rsidRPr="00DB4CBF" w:rsidRDefault="00CD6352" w:rsidP="00CD6352">
            <w:pPr>
              <w:rPr>
                <w:rFonts w:ascii="Arial" w:hAnsi="Arial" w:cs="Arial"/>
                <w:sz w:val="16"/>
                <w:szCs w:val="16"/>
              </w:rPr>
            </w:pPr>
            <w:r w:rsidRPr="00DB4CBF">
              <w:rPr>
                <w:rFonts w:ascii="Arial" w:hAnsi="Arial" w:cs="Arial"/>
                <w:sz w:val="16"/>
                <w:szCs w:val="16"/>
              </w:rPr>
              <w:t>7</w:t>
            </w:r>
          </w:p>
        </w:tc>
      </w:tr>
      <w:tr w:rsidR="00CD6352" w:rsidRPr="00DB4CBF" w14:paraId="6CBCC542" w14:textId="77777777" w:rsidTr="00DB4CBF">
        <w:trPr>
          <w:trHeight w:val="245"/>
        </w:trPr>
        <w:tc>
          <w:tcPr>
            <w:tcW w:w="5665" w:type="dxa"/>
            <w:noWrap/>
            <w:hideMark/>
          </w:tcPr>
          <w:p w14:paraId="2837D758" w14:textId="77777777" w:rsidR="00CD6352" w:rsidRPr="00DB4CBF" w:rsidRDefault="00CD6352" w:rsidP="00CD6352">
            <w:pPr>
              <w:rPr>
                <w:rFonts w:ascii="Arial" w:hAnsi="Arial" w:cs="Arial"/>
                <w:sz w:val="16"/>
                <w:szCs w:val="16"/>
              </w:rPr>
            </w:pPr>
            <w:r w:rsidRPr="00DB4CBF">
              <w:rPr>
                <w:rFonts w:ascii="Arial" w:hAnsi="Arial" w:cs="Arial"/>
                <w:sz w:val="16"/>
                <w:szCs w:val="16"/>
              </w:rPr>
              <w:t>External training</w:t>
            </w:r>
          </w:p>
        </w:tc>
        <w:tc>
          <w:tcPr>
            <w:tcW w:w="741" w:type="dxa"/>
            <w:noWrap/>
            <w:hideMark/>
          </w:tcPr>
          <w:p w14:paraId="014D1EBE" w14:textId="77777777" w:rsidR="00CD6352" w:rsidRPr="00DB4CBF" w:rsidRDefault="00CD6352" w:rsidP="00CD6352">
            <w:pPr>
              <w:rPr>
                <w:rFonts w:ascii="Arial" w:hAnsi="Arial" w:cs="Arial"/>
                <w:sz w:val="16"/>
                <w:szCs w:val="16"/>
              </w:rPr>
            </w:pPr>
            <w:r w:rsidRPr="00DB4CBF">
              <w:rPr>
                <w:rFonts w:ascii="Arial" w:hAnsi="Arial" w:cs="Arial"/>
                <w:sz w:val="16"/>
                <w:szCs w:val="16"/>
              </w:rPr>
              <w:t>3.54</w:t>
            </w:r>
          </w:p>
        </w:tc>
        <w:tc>
          <w:tcPr>
            <w:tcW w:w="590" w:type="dxa"/>
            <w:noWrap/>
            <w:hideMark/>
          </w:tcPr>
          <w:p w14:paraId="06A1155A" w14:textId="77777777" w:rsidR="00CD6352" w:rsidRPr="00DB4CBF" w:rsidRDefault="00CD6352" w:rsidP="00CD6352">
            <w:pPr>
              <w:rPr>
                <w:rFonts w:ascii="Arial" w:hAnsi="Arial" w:cs="Arial"/>
                <w:sz w:val="16"/>
                <w:szCs w:val="16"/>
              </w:rPr>
            </w:pPr>
            <w:r w:rsidRPr="00DB4CBF">
              <w:rPr>
                <w:rFonts w:ascii="Arial" w:hAnsi="Arial" w:cs="Arial"/>
                <w:sz w:val="16"/>
                <w:szCs w:val="16"/>
              </w:rPr>
              <w:t>8</w:t>
            </w:r>
          </w:p>
        </w:tc>
      </w:tr>
      <w:tr w:rsidR="00CD6352" w:rsidRPr="00DB4CBF" w14:paraId="7F07C10A" w14:textId="77777777" w:rsidTr="00DB4CBF">
        <w:trPr>
          <w:trHeight w:val="315"/>
        </w:trPr>
        <w:tc>
          <w:tcPr>
            <w:tcW w:w="5665" w:type="dxa"/>
            <w:hideMark/>
          </w:tcPr>
          <w:p w14:paraId="20E856B8" w14:textId="77777777" w:rsidR="00CD6352" w:rsidRPr="00DB4CBF" w:rsidRDefault="00CD6352" w:rsidP="00CD6352">
            <w:pPr>
              <w:rPr>
                <w:rFonts w:ascii="Arial" w:hAnsi="Arial" w:cs="Arial"/>
                <w:sz w:val="16"/>
                <w:szCs w:val="16"/>
              </w:rPr>
            </w:pPr>
            <w:r w:rsidRPr="00DB4CBF">
              <w:rPr>
                <w:rFonts w:ascii="Arial" w:hAnsi="Arial" w:cs="Arial"/>
                <w:sz w:val="16"/>
                <w:szCs w:val="16"/>
              </w:rPr>
              <w:t>Company-specific courses targeted at securing financing skills &amp; knowledge</w:t>
            </w:r>
          </w:p>
        </w:tc>
        <w:tc>
          <w:tcPr>
            <w:tcW w:w="741" w:type="dxa"/>
            <w:noWrap/>
            <w:hideMark/>
          </w:tcPr>
          <w:p w14:paraId="0C538E10" w14:textId="77777777" w:rsidR="00CD6352" w:rsidRPr="00DB4CBF" w:rsidRDefault="00CD6352" w:rsidP="00CD6352">
            <w:pPr>
              <w:rPr>
                <w:rFonts w:ascii="Arial" w:hAnsi="Arial" w:cs="Arial"/>
                <w:sz w:val="16"/>
                <w:szCs w:val="16"/>
              </w:rPr>
            </w:pPr>
            <w:r w:rsidRPr="00DB4CBF">
              <w:rPr>
                <w:rFonts w:ascii="Arial" w:hAnsi="Arial" w:cs="Arial"/>
                <w:sz w:val="16"/>
                <w:szCs w:val="16"/>
              </w:rPr>
              <w:t>3.53</w:t>
            </w:r>
          </w:p>
        </w:tc>
        <w:tc>
          <w:tcPr>
            <w:tcW w:w="590" w:type="dxa"/>
            <w:noWrap/>
            <w:hideMark/>
          </w:tcPr>
          <w:p w14:paraId="7C7DBEA5" w14:textId="77777777" w:rsidR="00CD6352" w:rsidRPr="00DB4CBF" w:rsidRDefault="00CD6352" w:rsidP="00CD6352">
            <w:pPr>
              <w:rPr>
                <w:rFonts w:ascii="Arial" w:hAnsi="Arial" w:cs="Arial"/>
                <w:sz w:val="16"/>
                <w:szCs w:val="16"/>
              </w:rPr>
            </w:pPr>
            <w:r w:rsidRPr="00DB4CBF">
              <w:rPr>
                <w:rFonts w:ascii="Arial" w:hAnsi="Arial" w:cs="Arial"/>
                <w:sz w:val="16"/>
                <w:szCs w:val="16"/>
              </w:rPr>
              <w:t>9</w:t>
            </w:r>
          </w:p>
        </w:tc>
      </w:tr>
      <w:tr w:rsidR="00CD6352" w:rsidRPr="00DB4CBF" w14:paraId="4433E26D" w14:textId="77777777" w:rsidTr="00DB4CBF">
        <w:trPr>
          <w:trHeight w:val="327"/>
        </w:trPr>
        <w:tc>
          <w:tcPr>
            <w:tcW w:w="5665" w:type="dxa"/>
            <w:noWrap/>
            <w:hideMark/>
          </w:tcPr>
          <w:p w14:paraId="67859BA2" w14:textId="77777777" w:rsidR="00CD6352" w:rsidRPr="00DB4CBF" w:rsidRDefault="00CD6352" w:rsidP="00CD6352">
            <w:pPr>
              <w:rPr>
                <w:rFonts w:ascii="Arial" w:hAnsi="Arial" w:cs="Arial"/>
                <w:sz w:val="16"/>
                <w:szCs w:val="16"/>
              </w:rPr>
            </w:pPr>
            <w:r w:rsidRPr="00DB4CBF">
              <w:rPr>
                <w:rFonts w:ascii="Arial" w:hAnsi="Arial" w:cs="Arial"/>
                <w:sz w:val="16"/>
                <w:szCs w:val="16"/>
              </w:rPr>
              <w:t>Online and tutorial training</w:t>
            </w:r>
          </w:p>
        </w:tc>
        <w:tc>
          <w:tcPr>
            <w:tcW w:w="741" w:type="dxa"/>
            <w:noWrap/>
            <w:hideMark/>
          </w:tcPr>
          <w:p w14:paraId="0BB09190" w14:textId="77777777" w:rsidR="00CD6352" w:rsidRPr="00DB4CBF" w:rsidRDefault="00CD6352" w:rsidP="00CD6352">
            <w:pPr>
              <w:rPr>
                <w:rFonts w:ascii="Arial" w:hAnsi="Arial" w:cs="Arial"/>
                <w:sz w:val="16"/>
                <w:szCs w:val="16"/>
              </w:rPr>
            </w:pPr>
            <w:r w:rsidRPr="00DB4CBF">
              <w:rPr>
                <w:rFonts w:ascii="Arial" w:hAnsi="Arial" w:cs="Arial"/>
                <w:sz w:val="16"/>
                <w:szCs w:val="16"/>
              </w:rPr>
              <w:t>3.18</w:t>
            </w:r>
          </w:p>
        </w:tc>
        <w:tc>
          <w:tcPr>
            <w:tcW w:w="590" w:type="dxa"/>
            <w:noWrap/>
            <w:hideMark/>
          </w:tcPr>
          <w:p w14:paraId="0FCCF085" w14:textId="77777777" w:rsidR="00CD6352" w:rsidRPr="00DB4CBF" w:rsidRDefault="00CD6352" w:rsidP="00CD6352">
            <w:pPr>
              <w:rPr>
                <w:rFonts w:ascii="Arial" w:hAnsi="Arial" w:cs="Arial"/>
                <w:sz w:val="16"/>
                <w:szCs w:val="16"/>
              </w:rPr>
            </w:pPr>
            <w:r w:rsidRPr="00DB4CBF">
              <w:rPr>
                <w:rFonts w:ascii="Arial" w:hAnsi="Arial" w:cs="Arial"/>
                <w:sz w:val="16"/>
                <w:szCs w:val="16"/>
              </w:rPr>
              <w:t>10</w:t>
            </w:r>
          </w:p>
        </w:tc>
      </w:tr>
      <w:tr w:rsidR="00CD6352" w:rsidRPr="00DB4CBF" w14:paraId="0E660659" w14:textId="77777777" w:rsidTr="00DB4CBF">
        <w:trPr>
          <w:trHeight w:val="275"/>
        </w:trPr>
        <w:tc>
          <w:tcPr>
            <w:tcW w:w="5665" w:type="dxa"/>
            <w:hideMark/>
          </w:tcPr>
          <w:p w14:paraId="15824DB6" w14:textId="77777777" w:rsidR="00CD6352" w:rsidRPr="00DB4CBF" w:rsidRDefault="00CD6352" w:rsidP="00CD6352">
            <w:pPr>
              <w:rPr>
                <w:rFonts w:ascii="Arial" w:hAnsi="Arial" w:cs="Arial"/>
                <w:sz w:val="16"/>
                <w:szCs w:val="16"/>
              </w:rPr>
            </w:pPr>
            <w:r w:rsidRPr="00DB4CBF">
              <w:rPr>
                <w:rFonts w:ascii="Arial" w:hAnsi="Arial" w:cs="Arial"/>
                <w:sz w:val="16"/>
                <w:szCs w:val="16"/>
              </w:rPr>
              <w:t>Executive MBA(with classes on a part-time basis)</w:t>
            </w:r>
          </w:p>
        </w:tc>
        <w:tc>
          <w:tcPr>
            <w:tcW w:w="741" w:type="dxa"/>
            <w:noWrap/>
            <w:hideMark/>
          </w:tcPr>
          <w:p w14:paraId="42EBF7FD" w14:textId="77777777" w:rsidR="00CD6352" w:rsidRPr="00DB4CBF" w:rsidRDefault="00CD6352" w:rsidP="00CD6352">
            <w:pPr>
              <w:rPr>
                <w:rFonts w:ascii="Arial" w:hAnsi="Arial" w:cs="Arial"/>
                <w:sz w:val="16"/>
                <w:szCs w:val="16"/>
              </w:rPr>
            </w:pPr>
            <w:r w:rsidRPr="00DB4CBF">
              <w:rPr>
                <w:rFonts w:ascii="Arial" w:hAnsi="Arial" w:cs="Arial"/>
                <w:sz w:val="16"/>
                <w:szCs w:val="16"/>
              </w:rPr>
              <w:t>3.08</w:t>
            </w:r>
          </w:p>
        </w:tc>
        <w:tc>
          <w:tcPr>
            <w:tcW w:w="590" w:type="dxa"/>
            <w:noWrap/>
            <w:hideMark/>
          </w:tcPr>
          <w:p w14:paraId="71957994" w14:textId="77777777" w:rsidR="00CD6352" w:rsidRPr="00DB4CBF" w:rsidRDefault="00CD6352" w:rsidP="00CD6352">
            <w:pPr>
              <w:rPr>
                <w:rFonts w:ascii="Arial" w:hAnsi="Arial" w:cs="Arial"/>
                <w:sz w:val="16"/>
                <w:szCs w:val="16"/>
              </w:rPr>
            </w:pPr>
            <w:r w:rsidRPr="00DB4CBF">
              <w:rPr>
                <w:rFonts w:ascii="Arial" w:hAnsi="Arial" w:cs="Arial"/>
                <w:sz w:val="16"/>
                <w:szCs w:val="16"/>
              </w:rPr>
              <w:t>11</w:t>
            </w:r>
          </w:p>
        </w:tc>
      </w:tr>
      <w:tr w:rsidR="00CD6352" w:rsidRPr="00DB4CBF" w14:paraId="3413947D" w14:textId="77777777" w:rsidTr="00DB4CBF">
        <w:trPr>
          <w:trHeight w:val="274"/>
        </w:trPr>
        <w:tc>
          <w:tcPr>
            <w:tcW w:w="5665" w:type="dxa"/>
            <w:hideMark/>
          </w:tcPr>
          <w:p w14:paraId="7B0E473D" w14:textId="77777777" w:rsidR="00CD6352" w:rsidRPr="00DB4CBF" w:rsidRDefault="00CD6352" w:rsidP="00CD6352">
            <w:pPr>
              <w:rPr>
                <w:rFonts w:ascii="Arial" w:hAnsi="Arial" w:cs="Arial"/>
                <w:sz w:val="16"/>
                <w:szCs w:val="16"/>
              </w:rPr>
            </w:pPr>
            <w:r w:rsidRPr="00DB4CBF">
              <w:rPr>
                <w:rFonts w:ascii="Arial" w:hAnsi="Arial" w:cs="Arial"/>
                <w:sz w:val="16"/>
                <w:szCs w:val="16"/>
              </w:rPr>
              <w:t>University residential (the full-time program for some weeks )</w:t>
            </w:r>
          </w:p>
        </w:tc>
        <w:tc>
          <w:tcPr>
            <w:tcW w:w="741" w:type="dxa"/>
            <w:noWrap/>
            <w:hideMark/>
          </w:tcPr>
          <w:p w14:paraId="6DCFF73A" w14:textId="77777777" w:rsidR="00CD6352" w:rsidRPr="00DB4CBF" w:rsidRDefault="00CD6352" w:rsidP="00CD6352">
            <w:pPr>
              <w:rPr>
                <w:rFonts w:ascii="Arial" w:hAnsi="Arial" w:cs="Arial"/>
                <w:sz w:val="16"/>
                <w:szCs w:val="16"/>
              </w:rPr>
            </w:pPr>
            <w:r w:rsidRPr="00DB4CBF">
              <w:rPr>
                <w:rFonts w:ascii="Arial" w:hAnsi="Arial" w:cs="Arial"/>
                <w:sz w:val="16"/>
                <w:szCs w:val="16"/>
              </w:rPr>
              <w:t>2.93</w:t>
            </w:r>
          </w:p>
        </w:tc>
        <w:tc>
          <w:tcPr>
            <w:tcW w:w="590" w:type="dxa"/>
            <w:noWrap/>
            <w:hideMark/>
          </w:tcPr>
          <w:p w14:paraId="5E4C66E0" w14:textId="77777777" w:rsidR="00CD6352" w:rsidRPr="00DB4CBF" w:rsidRDefault="00CD6352" w:rsidP="00CD6352">
            <w:pPr>
              <w:rPr>
                <w:rFonts w:ascii="Arial" w:hAnsi="Arial" w:cs="Arial"/>
                <w:sz w:val="16"/>
                <w:szCs w:val="16"/>
              </w:rPr>
            </w:pPr>
            <w:r w:rsidRPr="00DB4CBF">
              <w:rPr>
                <w:rFonts w:ascii="Arial" w:hAnsi="Arial" w:cs="Arial"/>
                <w:sz w:val="16"/>
                <w:szCs w:val="16"/>
              </w:rPr>
              <w:t>12</w:t>
            </w:r>
          </w:p>
        </w:tc>
      </w:tr>
    </w:tbl>
    <w:p w14:paraId="6E345593" w14:textId="77777777" w:rsidR="00CD6352" w:rsidRPr="00EA7665" w:rsidRDefault="00CD6352" w:rsidP="00CD6352">
      <w:pPr>
        <w:rPr>
          <w:rFonts w:ascii="Arial" w:hAnsi="Arial" w:cs="Arial"/>
          <w:sz w:val="16"/>
          <w:szCs w:val="16"/>
        </w:rPr>
      </w:pPr>
    </w:p>
    <w:p w14:paraId="3E189B8F" w14:textId="77777777" w:rsidR="00CD6352" w:rsidRPr="00EA7665" w:rsidRDefault="00CD6352" w:rsidP="00CD6352"/>
    <w:p w14:paraId="51147FC9" w14:textId="77777777" w:rsidR="00CD6352" w:rsidRPr="00EA7665" w:rsidRDefault="00CD6352" w:rsidP="00CD6352">
      <w:pPr>
        <w:pStyle w:val="Heading5"/>
        <w:spacing w:after="240"/>
        <w:rPr>
          <w:rFonts w:ascii="Arial" w:hAnsi="Arial" w:cs="Arial"/>
          <w:color w:val="auto"/>
        </w:rPr>
      </w:pPr>
      <w:r w:rsidRPr="00EA7665">
        <w:rPr>
          <w:rFonts w:ascii="Arial" w:hAnsi="Arial" w:cs="Arial"/>
          <w:color w:val="auto"/>
        </w:rPr>
        <w:t>Questionnaire survey discussion and analysis at the disaggregate level</w:t>
      </w:r>
    </w:p>
    <w:p w14:paraId="5AEC79C6" w14:textId="7D239AEB" w:rsidR="00557A3A" w:rsidRPr="00557A3A" w:rsidRDefault="00557A3A" w:rsidP="00557A3A">
      <w:pPr>
        <w:pStyle w:val="Caption"/>
        <w:keepNext/>
        <w:rPr>
          <w:rFonts w:ascii="Arial" w:hAnsi="Arial" w:cs="Arial"/>
          <w:sz w:val="16"/>
          <w:szCs w:val="16"/>
        </w:rPr>
      </w:pPr>
      <w:bookmarkStart w:id="1400" w:name="_Toc78984031"/>
      <w:r w:rsidRPr="00557A3A">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557A3A">
        <w:rPr>
          <w:rFonts w:ascii="Arial" w:hAnsi="Arial" w:cs="Arial"/>
          <w:sz w:val="16"/>
          <w:szCs w:val="16"/>
        </w:rPr>
        <w:t>: Mean scores for Degree of use of approaches to training and education for securing finance for real estate project development</w:t>
      </w:r>
      <w:r w:rsidR="00483D79">
        <w:rPr>
          <w:rFonts w:ascii="Arial" w:hAnsi="Arial" w:cs="Arial"/>
          <w:sz w:val="16"/>
          <w:szCs w:val="16"/>
        </w:rPr>
        <w:t xml:space="preserve">  </w:t>
      </w:r>
      <w:r w:rsidRPr="00557A3A">
        <w:rPr>
          <w:rFonts w:ascii="Arial" w:hAnsi="Arial" w:cs="Arial"/>
          <w:sz w:val="16"/>
          <w:szCs w:val="16"/>
        </w:rPr>
        <w:t>at the disaggregate level</w:t>
      </w:r>
      <w:bookmarkEnd w:id="1400"/>
    </w:p>
    <w:tbl>
      <w:tblPr>
        <w:tblW w:w="8933" w:type="dxa"/>
        <w:tblInd w:w="93" w:type="dxa"/>
        <w:tblLook w:val="04A0" w:firstRow="1" w:lastRow="0" w:firstColumn="1" w:lastColumn="0" w:noHBand="0" w:noVBand="1"/>
      </w:tblPr>
      <w:tblGrid>
        <w:gridCol w:w="1388"/>
        <w:gridCol w:w="874"/>
        <w:gridCol w:w="590"/>
        <w:gridCol w:w="603"/>
        <w:gridCol w:w="590"/>
        <w:gridCol w:w="528"/>
        <w:gridCol w:w="590"/>
        <w:gridCol w:w="635"/>
        <w:gridCol w:w="590"/>
        <w:gridCol w:w="723"/>
        <w:gridCol w:w="590"/>
        <w:gridCol w:w="642"/>
        <w:gridCol w:w="590"/>
      </w:tblGrid>
      <w:tr w:rsidR="00CD6352" w:rsidRPr="00557A3A" w14:paraId="00D1A9BD" w14:textId="77777777" w:rsidTr="00557A3A">
        <w:trPr>
          <w:trHeight w:val="286"/>
        </w:trPr>
        <w:tc>
          <w:tcPr>
            <w:tcW w:w="1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7170A"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Approaches to management's training &amp; education</w:t>
            </w:r>
          </w:p>
        </w:tc>
        <w:tc>
          <w:tcPr>
            <w:tcW w:w="6955" w:type="dxa"/>
            <w:gridSpan w:val="11"/>
            <w:tcBorders>
              <w:top w:val="single" w:sz="4" w:space="0" w:color="auto"/>
              <w:left w:val="nil"/>
              <w:bottom w:val="single" w:sz="4" w:space="0" w:color="auto"/>
              <w:right w:val="single" w:sz="4" w:space="0" w:color="auto"/>
            </w:tcBorders>
            <w:shd w:val="clear" w:color="auto" w:fill="auto"/>
            <w:vAlign w:val="center"/>
            <w:hideMark/>
          </w:tcPr>
          <w:p w14:paraId="4D5BCF4C"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Degree of use</w:t>
            </w:r>
          </w:p>
        </w:tc>
        <w:tc>
          <w:tcPr>
            <w:tcW w:w="590" w:type="dxa"/>
            <w:tcBorders>
              <w:top w:val="single" w:sz="4" w:space="0" w:color="auto"/>
              <w:left w:val="nil"/>
              <w:bottom w:val="single" w:sz="4" w:space="0" w:color="auto"/>
              <w:right w:val="single" w:sz="4" w:space="0" w:color="auto"/>
            </w:tcBorders>
            <w:shd w:val="clear" w:color="auto" w:fill="auto"/>
            <w:noWrap/>
            <w:vAlign w:val="center"/>
            <w:hideMark/>
          </w:tcPr>
          <w:p w14:paraId="562C6954" w14:textId="77777777" w:rsidR="00CD6352" w:rsidRPr="00557A3A" w:rsidRDefault="00CD6352" w:rsidP="00CD6352">
            <w:pPr>
              <w:spacing w:after="0" w:line="240" w:lineRule="auto"/>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 </w:t>
            </w:r>
          </w:p>
        </w:tc>
      </w:tr>
      <w:tr w:rsidR="00CD6352" w:rsidRPr="00557A3A" w14:paraId="5BF37FC0" w14:textId="77777777" w:rsidTr="00557A3A">
        <w:trPr>
          <w:trHeight w:val="429"/>
        </w:trPr>
        <w:tc>
          <w:tcPr>
            <w:tcW w:w="1388" w:type="dxa"/>
            <w:vMerge/>
            <w:tcBorders>
              <w:top w:val="single" w:sz="4" w:space="0" w:color="auto"/>
              <w:left w:val="single" w:sz="4" w:space="0" w:color="auto"/>
              <w:bottom w:val="single" w:sz="4" w:space="0" w:color="auto"/>
              <w:right w:val="single" w:sz="4" w:space="0" w:color="auto"/>
            </w:tcBorders>
            <w:vAlign w:val="center"/>
            <w:hideMark/>
          </w:tcPr>
          <w:p w14:paraId="0669728F" w14:textId="77777777" w:rsidR="00CD6352" w:rsidRPr="00557A3A" w:rsidRDefault="00CD6352" w:rsidP="00CD6352">
            <w:pPr>
              <w:spacing w:after="0" w:line="240" w:lineRule="auto"/>
              <w:rPr>
                <w:rFonts w:ascii="Arial" w:eastAsia="Times New Roman" w:hAnsi="Arial" w:cs="Arial"/>
                <w:color w:val="000000"/>
                <w:sz w:val="16"/>
                <w:szCs w:val="16"/>
                <w:lang w:eastAsia="en-GB"/>
              </w:rPr>
            </w:pPr>
          </w:p>
        </w:tc>
        <w:tc>
          <w:tcPr>
            <w:tcW w:w="874" w:type="dxa"/>
            <w:tcBorders>
              <w:top w:val="nil"/>
              <w:left w:val="nil"/>
              <w:bottom w:val="single" w:sz="4" w:space="0" w:color="auto"/>
              <w:right w:val="single" w:sz="4" w:space="0" w:color="auto"/>
            </w:tcBorders>
            <w:shd w:val="clear" w:color="auto" w:fill="auto"/>
            <w:vAlign w:val="center"/>
            <w:hideMark/>
          </w:tcPr>
          <w:p w14:paraId="165C8296"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Germany</w:t>
            </w:r>
          </w:p>
          <w:p w14:paraId="760A8106"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N=5</w:t>
            </w:r>
          </w:p>
        </w:tc>
        <w:tc>
          <w:tcPr>
            <w:tcW w:w="590" w:type="dxa"/>
            <w:tcBorders>
              <w:top w:val="nil"/>
              <w:left w:val="nil"/>
              <w:bottom w:val="single" w:sz="4" w:space="0" w:color="auto"/>
              <w:right w:val="single" w:sz="4" w:space="0" w:color="auto"/>
            </w:tcBorders>
            <w:shd w:val="clear" w:color="auto" w:fill="auto"/>
            <w:vAlign w:val="center"/>
            <w:hideMark/>
          </w:tcPr>
          <w:p w14:paraId="0C04BD86"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Rank</w:t>
            </w:r>
          </w:p>
          <w:p w14:paraId="2CE76A6A"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p>
        </w:tc>
        <w:tc>
          <w:tcPr>
            <w:tcW w:w="603" w:type="dxa"/>
            <w:tcBorders>
              <w:top w:val="nil"/>
              <w:left w:val="nil"/>
              <w:bottom w:val="single" w:sz="4" w:space="0" w:color="auto"/>
              <w:right w:val="single" w:sz="4" w:space="0" w:color="auto"/>
            </w:tcBorders>
            <w:shd w:val="clear" w:color="auto" w:fill="auto"/>
            <w:noWrap/>
            <w:vAlign w:val="center"/>
            <w:hideMark/>
          </w:tcPr>
          <w:p w14:paraId="44EA28D8"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UK</w:t>
            </w:r>
          </w:p>
          <w:p w14:paraId="662DB31E"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N=20</w:t>
            </w:r>
          </w:p>
        </w:tc>
        <w:tc>
          <w:tcPr>
            <w:tcW w:w="590" w:type="dxa"/>
            <w:tcBorders>
              <w:top w:val="nil"/>
              <w:left w:val="nil"/>
              <w:bottom w:val="single" w:sz="4" w:space="0" w:color="auto"/>
              <w:right w:val="single" w:sz="4" w:space="0" w:color="auto"/>
            </w:tcBorders>
            <w:shd w:val="clear" w:color="auto" w:fill="auto"/>
            <w:vAlign w:val="center"/>
            <w:hideMark/>
          </w:tcPr>
          <w:p w14:paraId="023D7F23"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Rank</w:t>
            </w:r>
          </w:p>
        </w:tc>
        <w:tc>
          <w:tcPr>
            <w:tcW w:w="528" w:type="dxa"/>
            <w:tcBorders>
              <w:top w:val="nil"/>
              <w:left w:val="nil"/>
              <w:bottom w:val="single" w:sz="4" w:space="0" w:color="auto"/>
              <w:right w:val="single" w:sz="4" w:space="0" w:color="auto"/>
            </w:tcBorders>
            <w:shd w:val="clear" w:color="auto" w:fill="auto"/>
            <w:noWrap/>
            <w:vAlign w:val="center"/>
            <w:hideMark/>
          </w:tcPr>
          <w:p w14:paraId="0C431126"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US</w:t>
            </w:r>
          </w:p>
          <w:p w14:paraId="03F59176"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N=8</w:t>
            </w:r>
          </w:p>
        </w:tc>
        <w:tc>
          <w:tcPr>
            <w:tcW w:w="590" w:type="dxa"/>
            <w:tcBorders>
              <w:top w:val="nil"/>
              <w:left w:val="nil"/>
              <w:bottom w:val="single" w:sz="4" w:space="0" w:color="auto"/>
              <w:right w:val="single" w:sz="4" w:space="0" w:color="auto"/>
            </w:tcBorders>
            <w:shd w:val="clear" w:color="auto" w:fill="auto"/>
            <w:vAlign w:val="center"/>
            <w:hideMark/>
          </w:tcPr>
          <w:p w14:paraId="7EDA1E3E"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Rank</w:t>
            </w:r>
          </w:p>
        </w:tc>
        <w:tc>
          <w:tcPr>
            <w:tcW w:w="635" w:type="dxa"/>
            <w:tcBorders>
              <w:top w:val="nil"/>
              <w:left w:val="nil"/>
              <w:bottom w:val="single" w:sz="4" w:space="0" w:color="auto"/>
              <w:right w:val="single" w:sz="4" w:space="0" w:color="auto"/>
            </w:tcBorders>
            <w:shd w:val="clear" w:color="auto" w:fill="auto"/>
            <w:noWrap/>
            <w:vAlign w:val="center"/>
            <w:hideMark/>
          </w:tcPr>
          <w:p w14:paraId="10C71EED"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China</w:t>
            </w:r>
          </w:p>
          <w:p w14:paraId="41FA13FC"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N=11</w:t>
            </w:r>
          </w:p>
        </w:tc>
        <w:tc>
          <w:tcPr>
            <w:tcW w:w="590" w:type="dxa"/>
            <w:tcBorders>
              <w:top w:val="nil"/>
              <w:left w:val="nil"/>
              <w:bottom w:val="single" w:sz="4" w:space="0" w:color="auto"/>
              <w:right w:val="single" w:sz="4" w:space="0" w:color="auto"/>
            </w:tcBorders>
            <w:shd w:val="clear" w:color="auto" w:fill="auto"/>
            <w:vAlign w:val="center"/>
            <w:hideMark/>
          </w:tcPr>
          <w:p w14:paraId="31DD72A1"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Rank</w:t>
            </w:r>
          </w:p>
        </w:tc>
        <w:tc>
          <w:tcPr>
            <w:tcW w:w="723" w:type="dxa"/>
            <w:tcBorders>
              <w:top w:val="nil"/>
              <w:left w:val="nil"/>
              <w:bottom w:val="single" w:sz="4" w:space="0" w:color="auto"/>
              <w:right w:val="single" w:sz="4" w:space="0" w:color="auto"/>
            </w:tcBorders>
            <w:shd w:val="clear" w:color="auto" w:fill="auto"/>
            <w:noWrap/>
            <w:vAlign w:val="center"/>
            <w:hideMark/>
          </w:tcPr>
          <w:p w14:paraId="17835A4A"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Nigeria</w:t>
            </w:r>
          </w:p>
          <w:p w14:paraId="252B8D85"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N=26</w:t>
            </w:r>
          </w:p>
        </w:tc>
        <w:tc>
          <w:tcPr>
            <w:tcW w:w="590" w:type="dxa"/>
            <w:tcBorders>
              <w:top w:val="nil"/>
              <w:left w:val="nil"/>
              <w:bottom w:val="single" w:sz="4" w:space="0" w:color="auto"/>
              <w:right w:val="single" w:sz="4" w:space="0" w:color="auto"/>
            </w:tcBorders>
            <w:shd w:val="clear" w:color="auto" w:fill="auto"/>
            <w:vAlign w:val="center"/>
            <w:hideMark/>
          </w:tcPr>
          <w:p w14:paraId="12E0E97B"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Rank</w:t>
            </w:r>
          </w:p>
        </w:tc>
        <w:tc>
          <w:tcPr>
            <w:tcW w:w="642" w:type="dxa"/>
            <w:tcBorders>
              <w:top w:val="nil"/>
              <w:left w:val="nil"/>
              <w:bottom w:val="single" w:sz="4" w:space="0" w:color="auto"/>
              <w:right w:val="single" w:sz="4" w:space="0" w:color="auto"/>
            </w:tcBorders>
            <w:shd w:val="clear" w:color="auto" w:fill="auto"/>
            <w:vAlign w:val="center"/>
            <w:hideMark/>
          </w:tcPr>
          <w:p w14:paraId="5969D612"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South Africa</w:t>
            </w:r>
          </w:p>
          <w:p w14:paraId="4C4647D5"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N=11</w:t>
            </w:r>
          </w:p>
        </w:tc>
        <w:tc>
          <w:tcPr>
            <w:tcW w:w="590" w:type="dxa"/>
            <w:tcBorders>
              <w:top w:val="nil"/>
              <w:left w:val="nil"/>
              <w:bottom w:val="single" w:sz="4" w:space="0" w:color="auto"/>
              <w:right w:val="single" w:sz="4" w:space="0" w:color="auto"/>
            </w:tcBorders>
            <w:shd w:val="clear" w:color="auto" w:fill="auto"/>
            <w:vAlign w:val="center"/>
            <w:hideMark/>
          </w:tcPr>
          <w:p w14:paraId="3F3E814F" w14:textId="77777777" w:rsidR="00CD6352" w:rsidRPr="00557A3A" w:rsidRDefault="00CD6352" w:rsidP="00CD6352">
            <w:pPr>
              <w:spacing w:after="0" w:line="240" w:lineRule="auto"/>
              <w:jc w:val="center"/>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Rank</w:t>
            </w:r>
          </w:p>
        </w:tc>
      </w:tr>
      <w:tr w:rsidR="00CD6352" w:rsidRPr="00557A3A" w14:paraId="721E2F11" w14:textId="77777777" w:rsidTr="00557A3A">
        <w:trPr>
          <w:trHeight w:val="429"/>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2778D09A"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Classroom instructor-led training for a short period(offered by consultants)</w:t>
            </w:r>
          </w:p>
        </w:tc>
        <w:tc>
          <w:tcPr>
            <w:tcW w:w="874" w:type="dxa"/>
            <w:tcBorders>
              <w:top w:val="nil"/>
              <w:left w:val="nil"/>
              <w:bottom w:val="single" w:sz="4" w:space="0" w:color="auto"/>
              <w:right w:val="single" w:sz="4" w:space="0" w:color="auto"/>
            </w:tcBorders>
            <w:shd w:val="clear" w:color="auto" w:fill="auto"/>
            <w:vAlign w:val="center"/>
            <w:hideMark/>
          </w:tcPr>
          <w:p w14:paraId="60E77457"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590" w:type="dxa"/>
            <w:tcBorders>
              <w:top w:val="nil"/>
              <w:left w:val="nil"/>
              <w:bottom w:val="single" w:sz="4" w:space="0" w:color="auto"/>
              <w:right w:val="single" w:sz="4" w:space="0" w:color="auto"/>
            </w:tcBorders>
            <w:shd w:val="clear" w:color="auto" w:fill="auto"/>
            <w:vAlign w:val="center"/>
            <w:hideMark/>
          </w:tcPr>
          <w:p w14:paraId="2A6729FD"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10</w:t>
            </w:r>
          </w:p>
        </w:tc>
        <w:tc>
          <w:tcPr>
            <w:tcW w:w="603" w:type="dxa"/>
            <w:tcBorders>
              <w:top w:val="nil"/>
              <w:left w:val="nil"/>
              <w:bottom w:val="single" w:sz="4" w:space="0" w:color="auto"/>
              <w:right w:val="single" w:sz="4" w:space="0" w:color="auto"/>
            </w:tcBorders>
            <w:shd w:val="clear" w:color="auto" w:fill="auto"/>
            <w:noWrap/>
            <w:vAlign w:val="center"/>
            <w:hideMark/>
          </w:tcPr>
          <w:p w14:paraId="52C2967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4.5</w:t>
            </w:r>
          </w:p>
        </w:tc>
        <w:tc>
          <w:tcPr>
            <w:tcW w:w="590" w:type="dxa"/>
            <w:tcBorders>
              <w:top w:val="nil"/>
              <w:left w:val="nil"/>
              <w:bottom w:val="single" w:sz="4" w:space="0" w:color="auto"/>
              <w:right w:val="single" w:sz="4" w:space="0" w:color="auto"/>
            </w:tcBorders>
            <w:shd w:val="clear" w:color="auto" w:fill="auto"/>
            <w:vAlign w:val="center"/>
            <w:hideMark/>
          </w:tcPr>
          <w:p w14:paraId="0E133EFB"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w:t>
            </w:r>
          </w:p>
        </w:tc>
        <w:tc>
          <w:tcPr>
            <w:tcW w:w="528" w:type="dxa"/>
            <w:tcBorders>
              <w:top w:val="nil"/>
              <w:left w:val="nil"/>
              <w:bottom w:val="single" w:sz="4" w:space="0" w:color="auto"/>
              <w:right w:val="single" w:sz="4" w:space="0" w:color="auto"/>
            </w:tcBorders>
            <w:shd w:val="clear" w:color="auto" w:fill="auto"/>
            <w:noWrap/>
            <w:vAlign w:val="center"/>
            <w:hideMark/>
          </w:tcPr>
          <w:p w14:paraId="1363DE4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w:t>
            </w:r>
          </w:p>
        </w:tc>
        <w:tc>
          <w:tcPr>
            <w:tcW w:w="590" w:type="dxa"/>
            <w:tcBorders>
              <w:top w:val="nil"/>
              <w:left w:val="nil"/>
              <w:bottom w:val="single" w:sz="4" w:space="0" w:color="auto"/>
              <w:right w:val="single" w:sz="4" w:space="0" w:color="auto"/>
            </w:tcBorders>
            <w:shd w:val="clear" w:color="auto" w:fill="auto"/>
            <w:noWrap/>
            <w:vAlign w:val="center"/>
            <w:hideMark/>
          </w:tcPr>
          <w:p w14:paraId="795415D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w:t>
            </w:r>
          </w:p>
        </w:tc>
        <w:tc>
          <w:tcPr>
            <w:tcW w:w="635" w:type="dxa"/>
            <w:tcBorders>
              <w:top w:val="nil"/>
              <w:left w:val="nil"/>
              <w:bottom w:val="single" w:sz="4" w:space="0" w:color="auto"/>
              <w:right w:val="single" w:sz="4" w:space="0" w:color="auto"/>
            </w:tcBorders>
            <w:shd w:val="clear" w:color="auto" w:fill="auto"/>
            <w:noWrap/>
            <w:vAlign w:val="center"/>
            <w:hideMark/>
          </w:tcPr>
          <w:p w14:paraId="29D80D6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4.33</w:t>
            </w:r>
          </w:p>
        </w:tc>
        <w:tc>
          <w:tcPr>
            <w:tcW w:w="590" w:type="dxa"/>
            <w:tcBorders>
              <w:top w:val="nil"/>
              <w:left w:val="nil"/>
              <w:bottom w:val="single" w:sz="4" w:space="0" w:color="auto"/>
              <w:right w:val="single" w:sz="4" w:space="0" w:color="auto"/>
            </w:tcBorders>
            <w:shd w:val="clear" w:color="auto" w:fill="auto"/>
            <w:noWrap/>
            <w:vAlign w:val="center"/>
            <w:hideMark/>
          </w:tcPr>
          <w:p w14:paraId="608769A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w:t>
            </w:r>
          </w:p>
        </w:tc>
        <w:tc>
          <w:tcPr>
            <w:tcW w:w="723" w:type="dxa"/>
            <w:tcBorders>
              <w:top w:val="nil"/>
              <w:left w:val="nil"/>
              <w:bottom w:val="single" w:sz="4" w:space="0" w:color="auto"/>
              <w:right w:val="single" w:sz="4" w:space="0" w:color="auto"/>
            </w:tcBorders>
            <w:shd w:val="clear" w:color="auto" w:fill="auto"/>
            <w:noWrap/>
            <w:vAlign w:val="center"/>
            <w:hideMark/>
          </w:tcPr>
          <w:p w14:paraId="45ED3D2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4.26</w:t>
            </w:r>
          </w:p>
        </w:tc>
        <w:tc>
          <w:tcPr>
            <w:tcW w:w="590" w:type="dxa"/>
            <w:tcBorders>
              <w:top w:val="nil"/>
              <w:left w:val="nil"/>
              <w:bottom w:val="single" w:sz="4" w:space="0" w:color="auto"/>
              <w:right w:val="single" w:sz="4" w:space="0" w:color="auto"/>
            </w:tcBorders>
            <w:shd w:val="clear" w:color="auto" w:fill="auto"/>
            <w:noWrap/>
            <w:vAlign w:val="center"/>
            <w:hideMark/>
          </w:tcPr>
          <w:p w14:paraId="3950DDC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w:t>
            </w:r>
          </w:p>
        </w:tc>
        <w:tc>
          <w:tcPr>
            <w:tcW w:w="642" w:type="dxa"/>
            <w:tcBorders>
              <w:top w:val="nil"/>
              <w:left w:val="nil"/>
              <w:bottom w:val="single" w:sz="4" w:space="0" w:color="auto"/>
              <w:right w:val="single" w:sz="4" w:space="0" w:color="auto"/>
            </w:tcBorders>
            <w:shd w:val="clear" w:color="auto" w:fill="auto"/>
            <w:noWrap/>
            <w:vAlign w:val="center"/>
            <w:hideMark/>
          </w:tcPr>
          <w:p w14:paraId="6E5A2EB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4.63</w:t>
            </w:r>
          </w:p>
        </w:tc>
        <w:tc>
          <w:tcPr>
            <w:tcW w:w="590" w:type="dxa"/>
            <w:tcBorders>
              <w:top w:val="nil"/>
              <w:left w:val="nil"/>
              <w:bottom w:val="single" w:sz="4" w:space="0" w:color="auto"/>
              <w:right w:val="single" w:sz="4" w:space="0" w:color="auto"/>
            </w:tcBorders>
            <w:shd w:val="clear" w:color="auto" w:fill="auto"/>
            <w:noWrap/>
            <w:vAlign w:val="center"/>
            <w:hideMark/>
          </w:tcPr>
          <w:p w14:paraId="14BEADCC"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w:t>
            </w:r>
          </w:p>
        </w:tc>
      </w:tr>
      <w:tr w:rsidR="00CD6352" w:rsidRPr="00557A3A" w14:paraId="50EF6F1C" w14:textId="77777777" w:rsidTr="00557A3A">
        <w:trPr>
          <w:trHeight w:val="429"/>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0B0095B7"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Company-specific courses targeted at securing financing skills &amp; knowledge</w:t>
            </w:r>
          </w:p>
        </w:tc>
        <w:tc>
          <w:tcPr>
            <w:tcW w:w="874" w:type="dxa"/>
            <w:tcBorders>
              <w:top w:val="nil"/>
              <w:left w:val="nil"/>
              <w:bottom w:val="single" w:sz="4" w:space="0" w:color="auto"/>
              <w:right w:val="single" w:sz="4" w:space="0" w:color="auto"/>
            </w:tcBorders>
            <w:shd w:val="clear" w:color="auto" w:fill="auto"/>
            <w:vAlign w:val="center"/>
            <w:hideMark/>
          </w:tcPr>
          <w:p w14:paraId="307C4EBF"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vAlign w:val="center"/>
            <w:hideMark/>
          </w:tcPr>
          <w:p w14:paraId="2BE5B0E2"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8</w:t>
            </w:r>
          </w:p>
        </w:tc>
        <w:tc>
          <w:tcPr>
            <w:tcW w:w="603" w:type="dxa"/>
            <w:tcBorders>
              <w:top w:val="nil"/>
              <w:left w:val="nil"/>
              <w:bottom w:val="single" w:sz="4" w:space="0" w:color="auto"/>
              <w:right w:val="single" w:sz="4" w:space="0" w:color="auto"/>
            </w:tcBorders>
            <w:shd w:val="clear" w:color="auto" w:fill="auto"/>
            <w:noWrap/>
            <w:vAlign w:val="center"/>
            <w:hideMark/>
          </w:tcPr>
          <w:p w14:paraId="25BF8A1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4.14</w:t>
            </w:r>
          </w:p>
        </w:tc>
        <w:tc>
          <w:tcPr>
            <w:tcW w:w="590" w:type="dxa"/>
            <w:tcBorders>
              <w:top w:val="nil"/>
              <w:left w:val="nil"/>
              <w:bottom w:val="single" w:sz="4" w:space="0" w:color="auto"/>
              <w:right w:val="single" w:sz="4" w:space="0" w:color="auto"/>
            </w:tcBorders>
            <w:shd w:val="clear" w:color="auto" w:fill="auto"/>
            <w:vAlign w:val="center"/>
            <w:hideMark/>
          </w:tcPr>
          <w:p w14:paraId="40228DB2"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528" w:type="dxa"/>
            <w:tcBorders>
              <w:top w:val="nil"/>
              <w:left w:val="nil"/>
              <w:bottom w:val="single" w:sz="4" w:space="0" w:color="auto"/>
              <w:right w:val="single" w:sz="4" w:space="0" w:color="auto"/>
            </w:tcBorders>
            <w:shd w:val="clear" w:color="auto" w:fill="auto"/>
            <w:noWrap/>
            <w:vAlign w:val="center"/>
            <w:hideMark/>
          </w:tcPr>
          <w:p w14:paraId="08A2B59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3.4</w:t>
            </w:r>
          </w:p>
        </w:tc>
        <w:tc>
          <w:tcPr>
            <w:tcW w:w="590" w:type="dxa"/>
            <w:tcBorders>
              <w:top w:val="nil"/>
              <w:left w:val="nil"/>
              <w:bottom w:val="single" w:sz="4" w:space="0" w:color="auto"/>
              <w:right w:val="single" w:sz="4" w:space="0" w:color="auto"/>
            </w:tcBorders>
            <w:shd w:val="clear" w:color="auto" w:fill="auto"/>
            <w:noWrap/>
            <w:vAlign w:val="center"/>
            <w:hideMark/>
          </w:tcPr>
          <w:p w14:paraId="651E1A9B"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635" w:type="dxa"/>
            <w:tcBorders>
              <w:top w:val="nil"/>
              <w:left w:val="nil"/>
              <w:bottom w:val="single" w:sz="4" w:space="0" w:color="auto"/>
              <w:right w:val="single" w:sz="4" w:space="0" w:color="auto"/>
            </w:tcBorders>
            <w:shd w:val="clear" w:color="auto" w:fill="auto"/>
            <w:noWrap/>
            <w:vAlign w:val="center"/>
            <w:hideMark/>
          </w:tcPr>
          <w:p w14:paraId="4EEF8C9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3.22</w:t>
            </w:r>
          </w:p>
        </w:tc>
        <w:tc>
          <w:tcPr>
            <w:tcW w:w="590" w:type="dxa"/>
            <w:tcBorders>
              <w:top w:val="nil"/>
              <w:left w:val="nil"/>
              <w:bottom w:val="single" w:sz="4" w:space="0" w:color="auto"/>
              <w:right w:val="single" w:sz="4" w:space="0" w:color="auto"/>
            </w:tcBorders>
            <w:shd w:val="clear" w:color="auto" w:fill="auto"/>
            <w:noWrap/>
            <w:vAlign w:val="center"/>
            <w:hideMark/>
          </w:tcPr>
          <w:p w14:paraId="56F1665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9</w:t>
            </w:r>
          </w:p>
        </w:tc>
        <w:tc>
          <w:tcPr>
            <w:tcW w:w="723" w:type="dxa"/>
            <w:tcBorders>
              <w:top w:val="nil"/>
              <w:left w:val="nil"/>
              <w:bottom w:val="single" w:sz="4" w:space="0" w:color="auto"/>
              <w:right w:val="single" w:sz="4" w:space="0" w:color="auto"/>
            </w:tcBorders>
            <w:shd w:val="clear" w:color="auto" w:fill="auto"/>
            <w:noWrap/>
            <w:vAlign w:val="center"/>
            <w:hideMark/>
          </w:tcPr>
          <w:p w14:paraId="05F08150"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3.53</w:t>
            </w:r>
          </w:p>
        </w:tc>
        <w:tc>
          <w:tcPr>
            <w:tcW w:w="590" w:type="dxa"/>
            <w:tcBorders>
              <w:top w:val="nil"/>
              <w:left w:val="nil"/>
              <w:bottom w:val="single" w:sz="4" w:space="0" w:color="auto"/>
              <w:right w:val="single" w:sz="4" w:space="0" w:color="auto"/>
            </w:tcBorders>
            <w:shd w:val="clear" w:color="auto" w:fill="auto"/>
            <w:noWrap/>
            <w:vAlign w:val="center"/>
            <w:hideMark/>
          </w:tcPr>
          <w:p w14:paraId="769D7BC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7</w:t>
            </w:r>
          </w:p>
        </w:tc>
        <w:tc>
          <w:tcPr>
            <w:tcW w:w="642" w:type="dxa"/>
            <w:tcBorders>
              <w:top w:val="nil"/>
              <w:left w:val="nil"/>
              <w:bottom w:val="single" w:sz="4" w:space="0" w:color="auto"/>
              <w:right w:val="single" w:sz="4" w:space="0" w:color="auto"/>
            </w:tcBorders>
            <w:shd w:val="clear" w:color="auto" w:fill="auto"/>
            <w:noWrap/>
            <w:vAlign w:val="center"/>
            <w:hideMark/>
          </w:tcPr>
          <w:p w14:paraId="12A2777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3.67</w:t>
            </w:r>
          </w:p>
        </w:tc>
        <w:tc>
          <w:tcPr>
            <w:tcW w:w="590" w:type="dxa"/>
            <w:tcBorders>
              <w:top w:val="nil"/>
              <w:left w:val="nil"/>
              <w:bottom w:val="single" w:sz="4" w:space="0" w:color="auto"/>
              <w:right w:val="single" w:sz="4" w:space="0" w:color="auto"/>
            </w:tcBorders>
            <w:shd w:val="clear" w:color="auto" w:fill="auto"/>
            <w:noWrap/>
            <w:vAlign w:val="center"/>
            <w:hideMark/>
          </w:tcPr>
          <w:p w14:paraId="7DCD883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8</w:t>
            </w:r>
          </w:p>
        </w:tc>
      </w:tr>
      <w:tr w:rsidR="00CD6352" w:rsidRPr="00557A3A" w14:paraId="37F5ED45"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0C8669CE"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Computer-based training</w:t>
            </w:r>
          </w:p>
        </w:tc>
        <w:tc>
          <w:tcPr>
            <w:tcW w:w="874" w:type="dxa"/>
            <w:tcBorders>
              <w:top w:val="nil"/>
              <w:left w:val="nil"/>
              <w:bottom w:val="single" w:sz="4" w:space="0" w:color="auto"/>
              <w:right w:val="single" w:sz="4" w:space="0" w:color="auto"/>
            </w:tcBorders>
            <w:shd w:val="clear" w:color="auto" w:fill="auto"/>
            <w:vAlign w:val="center"/>
            <w:hideMark/>
          </w:tcPr>
          <w:p w14:paraId="1B95B524"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w:t>
            </w:r>
          </w:p>
        </w:tc>
        <w:tc>
          <w:tcPr>
            <w:tcW w:w="590" w:type="dxa"/>
            <w:tcBorders>
              <w:top w:val="nil"/>
              <w:left w:val="nil"/>
              <w:bottom w:val="single" w:sz="4" w:space="0" w:color="auto"/>
              <w:right w:val="single" w:sz="4" w:space="0" w:color="auto"/>
            </w:tcBorders>
            <w:shd w:val="clear" w:color="auto" w:fill="auto"/>
            <w:vAlign w:val="center"/>
            <w:hideMark/>
          </w:tcPr>
          <w:p w14:paraId="5952ED7C"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603" w:type="dxa"/>
            <w:tcBorders>
              <w:top w:val="nil"/>
              <w:left w:val="nil"/>
              <w:bottom w:val="single" w:sz="4" w:space="0" w:color="auto"/>
              <w:right w:val="single" w:sz="4" w:space="0" w:color="auto"/>
            </w:tcBorders>
            <w:shd w:val="clear" w:color="auto" w:fill="auto"/>
            <w:noWrap/>
            <w:vAlign w:val="center"/>
            <w:hideMark/>
          </w:tcPr>
          <w:p w14:paraId="5D6D8BDB"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vAlign w:val="center"/>
            <w:hideMark/>
          </w:tcPr>
          <w:p w14:paraId="4E9B3A4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28" w:type="dxa"/>
            <w:tcBorders>
              <w:top w:val="nil"/>
              <w:left w:val="nil"/>
              <w:bottom w:val="single" w:sz="4" w:space="0" w:color="auto"/>
              <w:right w:val="single" w:sz="4" w:space="0" w:color="auto"/>
            </w:tcBorders>
            <w:shd w:val="clear" w:color="auto" w:fill="auto"/>
            <w:noWrap/>
            <w:vAlign w:val="center"/>
            <w:hideMark/>
          </w:tcPr>
          <w:p w14:paraId="3417C14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3.4</w:t>
            </w:r>
          </w:p>
        </w:tc>
        <w:tc>
          <w:tcPr>
            <w:tcW w:w="590" w:type="dxa"/>
            <w:tcBorders>
              <w:top w:val="nil"/>
              <w:left w:val="nil"/>
              <w:bottom w:val="single" w:sz="4" w:space="0" w:color="auto"/>
              <w:right w:val="single" w:sz="4" w:space="0" w:color="auto"/>
            </w:tcBorders>
            <w:shd w:val="clear" w:color="auto" w:fill="auto"/>
            <w:noWrap/>
            <w:vAlign w:val="center"/>
            <w:hideMark/>
          </w:tcPr>
          <w:p w14:paraId="0E5FD5C9"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5</w:t>
            </w:r>
          </w:p>
        </w:tc>
        <w:tc>
          <w:tcPr>
            <w:tcW w:w="635" w:type="dxa"/>
            <w:tcBorders>
              <w:top w:val="nil"/>
              <w:left w:val="nil"/>
              <w:bottom w:val="single" w:sz="4" w:space="0" w:color="auto"/>
              <w:right w:val="single" w:sz="4" w:space="0" w:color="auto"/>
            </w:tcBorders>
            <w:shd w:val="clear" w:color="auto" w:fill="auto"/>
            <w:noWrap/>
            <w:vAlign w:val="center"/>
            <w:hideMark/>
          </w:tcPr>
          <w:p w14:paraId="0D992A9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3.56</w:t>
            </w:r>
          </w:p>
        </w:tc>
        <w:tc>
          <w:tcPr>
            <w:tcW w:w="590" w:type="dxa"/>
            <w:tcBorders>
              <w:top w:val="nil"/>
              <w:left w:val="nil"/>
              <w:bottom w:val="single" w:sz="4" w:space="0" w:color="auto"/>
              <w:right w:val="single" w:sz="4" w:space="0" w:color="auto"/>
            </w:tcBorders>
            <w:shd w:val="clear" w:color="auto" w:fill="auto"/>
            <w:noWrap/>
            <w:vAlign w:val="center"/>
            <w:hideMark/>
          </w:tcPr>
          <w:p w14:paraId="4803503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723" w:type="dxa"/>
            <w:tcBorders>
              <w:top w:val="nil"/>
              <w:left w:val="nil"/>
              <w:bottom w:val="single" w:sz="4" w:space="0" w:color="auto"/>
              <w:right w:val="single" w:sz="4" w:space="0" w:color="auto"/>
            </w:tcBorders>
            <w:shd w:val="clear" w:color="auto" w:fill="auto"/>
            <w:noWrap/>
            <w:vAlign w:val="center"/>
            <w:hideMark/>
          </w:tcPr>
          <w:p w14:paraId="4228859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3.72</w:t>
            </w:r>
          </w:p>
        </w:tc>
        <w:tc>
          <w:tcPr>
            <w:tcW w:w="590" w:type="dxa"/>
            <w:tcBorders>
              <w:top w:val="nil"/>
              <w:left w:val="nil"/>
              <w:bottom w:val="single" w:sz="4" w:space="0" w:color="auto"/>
              <w:right w:val="single" w:sz="4" w:space="0" w:color="auto"/>
            </w:tcBorders>
            <w:shd w:val="clear" w:color="auto" w:fill="auto"/>
            <w:noWrap/>
            <w:vAlign w:val="center"/>
            <w:hideMark/>
          </w:tcPr>
          <w:p w14:paraId="279A2CF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642" w:type="dxa"/>
            <w:tcBorders>
              <w:top w:val="nil"/>
              <w:left w:val="nil"/>
              <w:bottom w:val="single" w:sz="4" w:space="0" w:color="auto"/>
              <w:right w:val="single" w:sz="4" w:space="0" w:color="auto"/>
            </w:tcBorders>
            <w:shd w:val="clear" w:color="auto" w:fill="auto"/>
            <w:noWrap/>
            <w:vAlign w:val="center"/>
            <w:hideMark/>
          </w:tcPr>
          <w:p w14:paraId="60BB557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3.63</w:t>
            </w:r>
          </w:p>
        </w:tc>
        <w:tc>
          <w:tcPr>
            <w:tcW w:w="590" w:type="dxa"/>
            <w:tcBorders>
              <w:top w:val="nil"/>
              <w:left w:val="nil"/>
              <w:bottom w:val="single" w:sz="4" w:space="0" w:color="auto"/>
              <w:right w:val="single" w:sz="4" w:space="0" w:color="auto"/>
            </w:tcBorders>
            <w:shd w:val="clear" w:color="auto" w:fill="auto"/>
            <w:noWrap/>
            <w:vAlign w:val="center"/>
            <w:hideMark/>
          </w:tcPr>
          <w:p w14:paraId="0DCACBB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9</w:t>
            </w:r>
          </w:p>
        </w:tc>
      </w:tr>
      <w:tr w:rsidR="00CD6352" w:rsidRPr="00557A3A" w14:paraId="1EA86766"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709C35F9"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Conferences &amp; seminar</w:t>
            </w:r>
          </w:p>
        </w:tc>
        <w:tc>
          <w:tcPr>
            <w:tcW w:w="874" w:type="dxa"/>
            <w:tcBorders>
              <w:top w:val="nil"/>
              <w:left w:val="nil"/>
              <w:bottom w:val="single" w:sz="4" w:space="0" w:color="auto"/>
              <w:right w:val="single" w:sz="4" w:space="0" w:color="auto"/>
            </w:tcBorders>
            <w:shd w:val="clear" w:color="auto" w:fill="auto"/>
            <w:vAlign w:val="center"/>
            <w:hideMark/>
          </w:tcPr>
          <w:p w14:paraId="33CF7D5B"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vAlign w:val="center"/>
            <w:hideMark/>
          </w:tcPr>
          <w:p w14:paraId="3A08D51D"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9</w:t>
            </w:r>
          </w:p>
        </w:tc>
        <w:tc>
          <w:tcPr>
            <w:tcW w:w="603" w:type="dxa"/>
            <w:tcBorders>
              <w:top w:val="nil"/>
              <w:left w:val="nil"/>
              <w:bottom w:val="single" w:sz="4" w:space="0" w:color="auto"/>
              <w:right w:val="single" w:sz="4" w:space="0" w:color="auto"/>
            </w:tcBorders>
            <w:shd w:val="clear" w:color="auto" w:fill="auto"/>
            <w:noWrap/>
            <w:vAlign w:val="center"/>
            <w:hideMark/>
          </w:tcPr>
          <w:p w14:paraId="7FE49731"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vAlign w:val="center"/>
            <w:hideMark/>
          </w:tcPr>
          <w:p w14:paraId="7F8934F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528" w:type="dxa"/>
            <w:tcBorders>
              <w:top w:val="nil"/>
              <w:left w:val="nil"/>
              <w:bottom w:val="single" w:sz="4" w:space="0" w:color="auto"/>
              <w:right w:val="single" w:sz="4" w:space="0" w:color="auto"/>
            </w:tcBorders>
            <w:shd w:val="clear" w:color="auto" w:fill="auto"/>
            <w:noWrap/>
            <w:vAlign w:val="center"/>
            <w:hideMark/>
          </w:tcPr>
          <w:p w14:paraId="4DC13BB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w:t>
            </w:r>
          </w:p>
        </w:tc>
        <w:tc>
          <w:tcPr>
            <w:tcW w:w="590" w:type="dxa"/>
            <w:tcBorders>
              <w:top w:val="nil"/>
              <w:left w:val="nil"/>
              <w:bottom w:val="single" w:sz="4" w:space="0" w:color="auto"/>
              <w:right w:val="single" w:sz="4" w:space="0" w:color="auto"/>
            </w:tcBorders>
            <w:shd w:val="clear" w:color="auto" w:fill="auto"/>
            <w:noWrap/>
            <w:vAlign w:val="center"/>
            <w:hideMark/>
          </w:tcPr>
          <w:p w14:paraId="091DF6C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635" w:type="dxa"/>
            <w:tcBorders>
              <w:top w:val="nil"/>
              <w:left w:val="nil"/>
              <w:bottom w:val="single" w:sz="4" w:space="0" w:color="auto"/>
              <w:right w:val="single" w:sz="4" w:space="0" w:color="auto"/>
            </w:tcBorders>
            <w:shd w:val="clear" w:color="auto" w:fill="auto"/>
            <w:noWrap/>
            <w:vAlign w:val="center"/>
            <w:hideMark/>
          </w:tcPr>
          <w:p w14:paraId="5D9071A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3.67</w:t>
            </w:r>
          </w:p>
        </w:tc>
        <w:tc>
          <w:tcPr>
            <w:tcW w:w="590" w:type="dxa"/>
            <w:tcBorders>
              <w:top w:val="nil"/>
              <w:left w:val="nil"/>
              <w:bottom w:val="single" w:sz="4" w:space="0" w:color="auto"/>
              <w:right w:val="single" w:sz="4" w:space="0" w:color="auto"/>
            </w:tcBorders>
            <w:shd w:val="clear" w:color="auto" w:fill="auto"/>
            <w:noWrap/>
            <w:vAlign w:val="center"/>
            <w:hideMark/>
          </w:tcPr>
          <w:p w14:paraId="0964F33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723" w:type="dxa"/>
            <w:tcBorders>
              <w:top w:val="nil"/>
              <w:left w:val="nil"/>
              <w:bottom w:val="single" w:sz="4" w:space="0" w:color="auto"/>
              <w:right w:val="single" w:sz="4" w:space="0" w:color="auto"/>
            </w:tcBorders>
            <w:shd w:val="clear" w:color="auto" w:fill="auto"/>
            <w:noWrap/>
            <w:vAlign w:val="center"/>
            <w:hideMark/>
          </w:tcPr>
          <w:p w14:paraId="00D2DC1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3.58</w:t>
            </w:r>
          </w:p>
        </w:tc>
        <w:tc>
          <w:tcPr>
            <w:tcW w:w="590" w:type="dxa"/>
            <w:tcBorders>
              <w:top w:val="nil"/>
              <w:left w:val="nil"/>
              <w:bottom w:val="single" w:sz="4" w:space="0" w:color="auto"/>
              <w:right w:val="single" w:sz="4" w:space="0" w:color="auto"/>
            </w:tcBorders>
            <w:shd w:val="clear" w:color="auto" w:fill="auto"/>
            <w:noWrap/>
            <w:vAlign w:val="center"/>
            <w:hideMark/>
          </w:tcPr>
          <w:p w14:paraId="345171A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6</w:t>
            </w:r>
          </w:p>
        </w:tc>
        <w:tc>
          <w:tcPr>
            <w:tcW w:w="642" w:type="dxa"/>
            <w:tcBorders>
              <w:top w:val="nil"/>
              <w:left w:val="nil"/>
              <w:bottom w:val="single" w:sz="4" w:space="0" w:color="auto"/>
              <w:right w:val="single" w:sz="4" w:space="0" w:color="auto"/>
            </w:tcBorders>
            <w:shd w:val="clear" w:color="auto" w:fill="auto"/>
            <w:noWrap/>
            <w:vAlign w:val="center"/>
            <w:hideMark/>
          </w:tcPr>
          <w:p w14:paraId="33813E8D"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4.13</w:t>
            </w:r>
          </w:p>
        </w:tc>
        <w:tc>
          <w:tcPr>
            <w:tcW w:w="590" w:type="dxa"/>
            <w:tcBorders>
              <w:top w:val="nil"/>
              <w:left w:val="nil"/>
              <w:bottom w:val="single" w:sz="4" w:space="0" w:color="auto"/>
              <w:right w:val="single" w:sz="4" w:space="0" w:color="auto"/>
            </w:tcBorders>
            <w:shd w:val="clear" w:color="auto" w:fill="auto"/>
            <w:noWrap/>
            <w:vAlign w:val="center"/>
            <w:hideMark/>
          </w:tcPr>
          <w:p w14:paraId="00497F61"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5</w:t>
            </w:r>
          </w:p>
        </w:tc>
      </w:tr>
      <w:tr w:rsidR="00CD6352" w:rsidRPr="00557A3A" w14:paraId="08884D77"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3D9363E6"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Continuing professional development</w:t>
            </w:r>
          </w:p>
        </w:tc>
        <w:tc>
          <w:tcPr>
            <w:tcW w:w="874" w:type="dxa"/>
            <w:tcBorders>
              <w:top w:val="nil"/>
              <w:left w:val="nil"/>
              <w:bottom w:val="single" w:sz="4" w:space="0" w:color="auto"/>
              <w:right w:val="single" w:sz="4" w:space="0" w:color="auto"/>
            </w:tcBorders>
            <w:shd w:val="clear" w:color="auto" w:fill="auto"/>
            <w:vAlign w:val="center"/>
            <w:hideMark/>
          </w:tcPr>
          <w:p w14:paraId="5A6C42BC"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vAlign w:val="center"/>
            <w:hideMark/>
          </w:tcPr>
          <w:p w14:paraId="06491618"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603" w:type="dxa"/>
            <w:tcBorders>
              <w:top w:val="nil"/>
              <w:left w:val="nil"/>
              <w:bottom w:val="single" w:sz="4" w:space="0" w:color="auto"/>
              <w:right w:val="single" w:sz="4" w:space="0" w:color="auto"/>
            </w:tcBorders>
            <w:shd w:val="clear" w:color="auto" w:fill="auto"/>
            <w:noWrap/>
            <w:vAlign w:val="center"/>
            <w:hideMark/>
          </w:tcPr>
          <w:p w14:paraId="3CE14A7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3.71</w:t>
            </w:r>
          </w:p>
        </w:tc>
        <w:tc>
          <w:tcPr>
            <w:tcW w:w="590" w:type="dxa"/>
            <w:tcBorders>
              <w:top w:val="nil"/>
              <w:left w:val="nil"/>
              <w:bottom w:val="single" w:sz="4" w:space="0" w:color="auto"/>
              <w:right w:val="single" w:sz="4" w:space="0" w:color="auto"/>
            </w:tcBorders>
            <w:shd w:val="clear" w:color="auto" w:fill="auto"/>
            <w:vAlign w:val="center"/>
            <w:hideMark/>
          </w:tcPr>
          <w:p w14:paraId="29F3B152"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5</w:t>
            </w:r>
          </w:p>
        </w:tc>
        <w:tc>
          <w:tcPr>
            <w:tcW w:w="528" w:type="dxa"/>
            <w:tcBorders>
              <w:top w:val="nil"/>
              <w:left w:val="nil"/>
              <w:bottom w:val="single" w:sz="4" w:space="0" w:color="auto"/>
              <w:right w:val="single" w:sz="4" w:space="0" w:color="auto"/>
            </w:tcBorders>
            <w:shd w:val="clear" w:color="auto" w:fill="auto"/>
            <w:noWrap/>
            <w:vAlign w:val="center"/>
            <w:hideMark/>
          </w:tcPr>
          <w:p w14:paraId="04E65FB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2.2</w:t>
            </w:r>
          </w:p>
        </w:tc>
        <w:tc>
          <w:tcPr>
            <w:tcW w:w="590" w:type="dxa"/>
            <w:tcBorders>
              <w:top w:val="nil"/>
              <w:left w:val="nil"/>
              <w:bottom w:val="single" w:sz="4" w:space="0" w:color="auto"/>
              <w:right w:val="single" w:sz="4" w:space="0" w:color="auto"/>
            </w:tcBorders>
            <w:shd w:val="clear" w:color="auto" w:fill="auto"/>
            <w:noWrap/>
            <w:vAlign w:val="center"/>
            <w:hideMark/>
          </w:tcPr>
          <w:p w14:paraId="14F1FF6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10</w:t>
            </w:r>
          </w:p>
        </w:tc>
        <w:tc>
          <w:tcPr>
            <w:tcW w:w="635" w:type="dxa"/>
            <w:tcBorders>
              <w:top w:val="nil"/>
              <w:left w:val="nil"/>
              <w:bottom w:val="single" w:sz="4" w:space="0" w:color="auto"/>
              <w:right w:val="single" w:sz="4" w:space="0" w:color="auto"/>
            </w:tcBorders>
            <w:shd w:val="clear" w:color="auto" w:fill="auto"/>
            <w:noWrap/>
            <w:vAlign w:val="center"/>
            <w:hideMark/>
          </w:tcPr>
          <w:p w14:paraId="22DF5CF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3.44</w:t>
            </w:r>
          </w:p>
        </w:tc>
        <w:tc>
          <w:tcPr>
            <w:tcW w:w="590" w:type="dxa"/>
            <w:tcBorders>
              <w:top w:val="nil"/>
              <w:left w:val="nil"/>
              <w:bottom w:val="single" w:sz="4" w:space="0" w:color="auto"/>
              <w:right w:val="single" w:sz="4" w:space="0" w:color="auto"/>
            </w:tcBorders>
            <w:shd w:val="clear" w:color="auto" w:fill="auto"/>
            <w:noWrap/>
            <w:vAlign w:val="center"/>
            <w:hideMark/>
          </w:tcPr>
          <w:p w14:paraId="6DFF68EB"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7</w:t>
            </w:r>
          </w:p>
        </w:tc>
        <w:tc>
          <w:tcPr>
            <w:tcW w:w="723" w:type="dxa"/>
            <w:tcBorders>
              <w:top w:val="nil"/>
              <w:left w:val="nil"/>
              <w:bottom w:val="single" w:sz="4" w:space="0" w:color="auto"/>
              <w:right w:val="single" w:sz="4" w:space="0" w:color="auto"/>
            </w:tcBorders>
            <w:shd w:val="clear" w:color="auto" w:fill="auto"/>
            <w:noWrap/>
            <w:vAlign w:val="center"/>
            <w:hideMark/>
          </w:tcPr>
          <w:p w14:paraId="7A68E7B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3.68</w:t>
            </w:r>
          </w:p>
        </w:tc>
        <w:tc>
          <w:tcPr>
            <w:tcW w:w="590" w:type="dxa"/>
            <w:tcBorders>
              <w:top w:val="nil"/>
              <w:left w:val="nil"/>
              <w:bottom w:val="single" w:sz="4" w:space="0" w:color="auto"/>
              <w:right w:val="single" w:sz="4" w:space="0" w:color="auto"/>
            </w:tcBorders>
            <w:shd w:val="clear" w:color="auto" w:fill="auto"/>
            <w:noWrap/>
            <w:vAlign w:val="center"/>
            <w:hideMark/>
          </w:tcPr>
          <w:p w14:paraId="258F654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642" w:type="dxa"/>
            <w:tcBorders>
              <w:top w:val="nil"/>
              <w:left w:val="nil"/>
              <w:bottom w:val="single" w:sz="4" w:space="0" w:color="auto"/>
              <w:right w:val="single" w:sz="4" w:space="0" w:color="auto"/>
            </w:tcBorders>
            <w:shd w:val="clear" w:color="auto" w:fill="auto"/>
            <w:noWrap/>
            <w:vAlign w:val="center"/>
            <w:hideMark/>
          </w:tcPr>
          <w:p w14:paraId="092D150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4.25</w:t>
            </w:r>
          </w:p>
        </w:tc>
        <w:tc>
          <w:tcPr>
            <w:tcW w:w="590" w:type="dxa"/>
            <w:tcBorders>
              <w:top w:val="nil"/>
              <w:left w:val="nil"/>
              <w:bottom w:val="single" w:sz="4" w:space="0" w:color="auto"/>
              <w:right w:val="single" w:sz="4" w:space="0" w:color="auto"/>
            </w:tcBorders>
            <w:shd w:val="clear" w:color="auto" w:fill="auto"/>
            <w:noWrap/>
            <w:vAlign w:val="center"/>
            <w:hideMark/>
          </w:tcPr>
          <w:p w14:paraId="218BBAC1"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r>
      <w:tr w:rsidR="00CD6352" w:rsidRPr="00557A3A" w14:paraId="3E081536" w14:textId="77777777" w:rsidTr="00557A3A">
        <w:trPr>
          <w:trHeight w:val="429"/>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70108F6A"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lastRenderedPageBreak/>
              <w:t>Executive MBA(with classes on a part-time basis)</w:t>
            </w:r>
          </w:p>
        </w:tc>
        <w:tc>
          <w:tcPr>
            <w:tcW w:w="874" w:type="dxa"/>
            <w:tcBorders>
              <w:top w:val="nil"/>
              <w:left w:val="nil"/>
              <w:bottom w:val="single" w:sz="4" w:space="0" w:color="auto"/>
              <w:right w:val="single" w:sz="4" w:space="0" w:color="auto"/>
            </w:tcBorders>
            <w:shd w:val="clear" w:color="auto" w:fill="auto"/>
            <w:vAlign w:val="center"/>
            <w:hideMark/>
          </w:tcPr>
          <w:p w14:paraId="465AD6C2"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4.5</w:t>
            </w:r>
          </w:p>
        </w:tc>
        <w:tc>
          <w:tcPr>
            <w:tcW w:w="590" w:type="dxa"/>
            <w:tcBorders>
              <w:top w:val="nil"/>
              <w:left w:val="nil"/>
              <w:bottom w:val="single" w:sz="4" w:space="0" w:color="auto"/>
              <w:right w:val="single" w:sz="4" w:space="0" w:color="auto"/>
            </w:tcBorders>
            <w:shd w:val="clear" w:color="auto" w:fill="auto"/>
            <w:vAlign w:val="center"/>
            <w:hideMark/>
          </w:tcPr>
          <w:p w14:paraId="25EDB70E"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w:t>
            </w:r>
          </w:p>
        </w:tc>
        <w:tc>
          <w:tcPr>
            <w:tcW w:w="603" w:type="dxa"/>
            <w:tcBorders>
              <w:top w:val="nil"/>
              <w:left w:val="nil"/>
              <w:bottom w:val="single" w:sz="4" w:space="0" w:color="auto"/>
              <w:right w:val="single" w:sz="4" w:space="0" w:color="auto"/>
            </w:tcBorders>
            <w:shd w:val="clear" w:color="auto" w:fill="auto"/>
            <w:noWrap/>
            <w:vAlign w:val="center"/>
            <w:hideMark/>
          </w:tcPr>
          <w:p w14:paraId="2B94611D"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3.71</w:t>
            </w:r>
          </w:p>
        </w:tc>
        <w:tc>
          <w:tcPr>
            <w:tcW w:w="590" w:type="dxa"/>
            <w:tcBorders>
              <w:top w:val="nil"/>
              <w:left w:val="nil"/>
              <w:bottom w:val="single" w:sz="4" w:space="0" w:color="auto"/>
              <w:right w:val="single" w:sz="4" w:space="0" w:color="auto"/>
            </w:tcBorders>
            <w:shd w:val="clear" w:color="auto" w:fill="auto"/>
            <w:vAlign w:val="center"/>
            <w:hideMark/>
          </w:tcPr>
          <w:p w14:paraId="765E64E2"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6</w:t>
            </w:r>
          </w:p>
        </w:tc>
        <w:tc>
          <w:tcPr>
            <w:tcW w:w="528" w:type="dxa"/>
            <w:tcBorders>
              <w:top w:val="nil"/>
              <w:left w:val="nil"/>
              <w:bottom w:val="single" w:sz="4" w:space="0" w:color="auto"/>
              <w:right w:val="single" w:sz="4" w:space="0" w:color="auto"/>
            </w:tcBorders>
            <w:shd w:val="clear" w:color="auto" w:fill="auto"/>
            <w:noWrap/>
            <w:vAlign w:val="center"/>
            <w:hideMark/>
          </w:tcPr>
          <w:p w14:paraId="1E5119A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w:t>
            </w:r>
          </w:p>
        </w:tc>
        <w:tc>
          <w:tcPr>
            <w:tcW w:w="590" w:type="dxa"/>
            <w:tcBorders>
              <w:top w:val="nil"/>
              <w:left w:val="nil"/>
              <w:bottom w:val="single" w:sz="4" w:space="0" w:color="auto"/>
              <w:right w:val="single" w:sz="4" w:space="0" w:color="auto"/>
            </w:tcBorders>
            <w:shd w:val="clear" w:color="auto" w:fill="auto"/>
            <w:noWrap/>
            <w:vAlign w:val="center"/>
            <w:hideMark/>
          </w:tcPr>
          <w:p w14:paraId="2851F6B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635" w:type="dxa"/>
            <w:tcBorders>
              <w:top w:val="nil"/>
              <w:left w:val="nil"/>
              <w:bottom w:val="single" w:sz="4" w:space="0" w:color="auto"/>
              <w:right w:val="single" w:sz="4" w:space="0" w:color="auto"/>
            </w:tcBorders>
            <w:shd w:val="clear" w:color="auto" w:fill="auto"/>
            <w:noWrap/>
            <w:vAlign w:val="center"/>
            <w:hideMark/>
          </w:tcPr>
          <w:p w14:paraId="6B724BD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3.56</w:t>
            </w:r>
          </w:p>
        </w:tc>
        <w:tc>
          <w:tcPr>
            <w:tcW w:w="590" w:type="dxa"/>
            <w:tcBorders>
              <w:top w:val="nil"/>
              <w:left w:val="nil"/>
              <w:bottom w:val="single" w:sz="4" w:space="0" w:color="auto"/>
              <w:right w:val="single" w:sz="4" w:space="0" w:color="auto"/>
            </w:tcBorders>
            <w:shd w:val="clear" w:color="auto" w:fill="auto"/>
            <w:noWrap/>
            <w:vAlign w:val="center"/>
            <w:hideMark/>
          </w:tcPr>
          <w:p w14:paraId="1AD3E83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723" w:type="dxa"/>
            <w:tcBorders>
              <w:top w:val="nil"/>
              <w:left w:val="nil"/>
              <w:bottom w:val="single" w:sz="4" w:space="0" w:color="auto"/>
              <w:right w:val="single" w:sz="4" w:space="0" w:color="auto"/>
            </w:tcBorders>
            <w:shd w:val="clear" w:color="auto" w:fill="auto"/>
            <w:noWrap/>
            <w:vAlign w:val="center"/>
            <w:hideMark/>
          </w:tcPr>
          <w:p w14:paraId="4E7F9A7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3.42</w:t>
            </w:r>
          </w:p>
        </w:tc>
        <w:tc>
          <w:tcPr>
            <w:tcW w:w="590" w:type="dxa"/>
            <w:tcBorders>
              <w:top w:val="nil"/>
              <w:left w:val="nil"/>
              <w:bottom w:val="single" w:sz="4" w:space="0" w:color="auto"/>
              <w:right w:val="single" w:sz="4" w:space="0" w:color="auto"/>
            </w:tcBorders>
            <w:shd w:val="clear" w:color="auto" w:fill="auto"/>
            <w:noWrap/>
            <w:vAlign w:val="center"/>
            <w:hideMark/>
          </w:tcPr>
          <w:p w14:paraId="1055619C"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9</w:t>
            </w:r>
          </w:p>
        </w:tc>
        <w:tc>
          <w:tcPr>
            <w:tcW w:w="642" w:type="dxa"/>
            <w:tcBorders>
              <w:top w:val="nil"/>
              <w:left w:val="nil"/>
              <w:bottom w:val="single" w:sz="4" w:space="0" w:color="auto"/>
              <w:right w:val="single" w:sz="4" w:space="0" w:color="auto"/>
            </w:tcBorders>
            <w:shd w:val="clear" w:color="auto" w:fill="auto"/>
            <w:noWrap/>
            <w:vAlign w:val="center"/>
            <w:hideMark/>
          </w:tcPr>
          <w:p w14:paraId="368E4EC0"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3.63</w:t>
            </w:r>
          </w:p>
        </w:tc>
        <w:tc>
          <w:tcPr>
            <w:tcW w:w="590" w:type="dxa"/>
            <w:tcBorders>
              <w:top w:val="nil"/>
              <w:left w:val="nil"/>
              <w:bottom w:val="single" w:sz="4" w:space="0" w:color="auto"/>
              <w:right w:val="single" w:sz="4" w:space="0" w:color="auto"/>
            </w:tcBorders>
            <w:shd w:val="clear" w:color="auto" w:fill="auto"/>
            <w:noWrap/>
            <w:vAlign w:val="center"/>
            <w:hideMark/>
          </w:tcPr>
          <w:p w14:paraId="0C6FF49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10</w:t>
            </w:r>
          </w:p>
        </w:tc>
      </w:tr>
      <w:tr w:rsidR="00CD6352" w:rsidRPr="00557A3A" w14:paraId="5A92F2E9"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57227ADA"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External training</w:t>
            </w:r>
          </w:p>
        </w:tc>
        <w:tc>
          <w:tcPr>
            <w:tcW w:w="874" w:type="dxa"/>
            <w:tcBorders>
              <w:top w:val="nil"/>
              <w:left w:val="nil"/>
              <w:bottom w:val="single" w:sz="4" w:space="0" w:color="auto"/>
              <w:right w:val="single" w:sz="4" w:space="0" w:color="auto"/>
            </w:tcBorders>
            <w:shd w:val="clear" w:color="auto" w:fill="auto"/>
            <w:vAlign w:val="center"/>
            <w:hideMark/>
          </w:tcPr>
          <w:p w14:paraId="60CFECE9"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vAlign w:val="center"/>
            <w:hideMark/>
          </w:tcPr>
          <w:p w14:paraId="23C0A02E"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603" w:type="dxa"/>
            <w:tcBorders>
              <w:top w:val="nil"/>
              <w:left w:val="nil"/>
              <w:bottom w:val="single" w:sz="4" w:space="0" w:color="auto"/>
              <w:right w:val="single" w:sz="4" w:space="0" w:color="auto"/>
            </w:tcBorders>
            <w:shd w:val="clear" w:color="auto" w:fill="auto"/>
            <w:noWrap/>
            <w:vAlign w:val="center"/>
            <w:hideMark/>
          </w:tcPr>
          <w:p w14:paraId="2FCDD00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3.67</w:t>
            </w:r>
          </w:p>
        </w:tc>
        <w:tc>
          <w:tcPr>
            <w:tcW w:w="590" w:type="dxa"/>
            <w:tcBorders>
              <w:top w:val="nil"/>
              <w:left w:val="nil"/>
              <w:bottom w:val="single" w:sz="4" w:space="0" w:color="auto"/>
              <w:right w:val="single" w:sz="4" w:space="0" w:color="auto"/>
            </w:tcBorders>
            <w:shd w:val="clear" w:color="auto" w:fill="auto"/>
            <w:vAlign w:val="center"/>
            <w:hideMark/>
          </w:tcPr>
          <w:p w14:paraId="05B1F1FD"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7</w:t>
            </w:r>
          </w:p>
        </w:tc>
        <w:tc>
          <w:tcPr>
            <w:tcW w:w="528" w:type="dxa"/>
            <w:tcBorders>
              <w:top w:val="nil"/>
              <w:left w:val="nil"/>
              <w:bottom w:val="single" w:sz="4" w:space="0" w:color="auto"/>
              <w:right w:val="single" w:sz="4" w:space="0" w:color="auto"/>
            </w:tcBorders>
            <w:shd w:val="clear" w:color="auto" w:fill="auto"/>
            <w:noWrap/>
            <w:vAlign w:val="center"/>
            <w:hideMark/>
          </w:tcPr>
          <w:p w14:paraId="169D23CC"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2.5</w:t>
            </w:r>
          </w:p>
        </w:tc>
        <w:tc>
          <w:tcPr>
            <w:tcW w:w="590" w:type="dxa"/>
            <w:tcBorders>
              <w:top w:val="nil"/>
              <w:left w:val="nil"/>
              <w:bottom w:val="single" w:sz="4" w:space="0" w:color="auto"/>
              <w:right w:val="single" w:sz="4" w:space="0" w:color="auto"/>
            </w:tcBorders>
            <w:shd w:val="clear" w:color="auto" w:fill="auto"/>
            <w:noWrap/>
            <w:vAlign w:val="center"/>
            <w:hideMark/>
          </w:tcPr>
          <w:p w14:paraId="2572F50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9</w:t>
            </w:r>
          </w:p>
        </w:tc>
        <w:tc>
          <w:tcPr>
            <w:tcW w:w="635" w:type="dxa"/>
            <w:tcBorders>
              <w:top w:val="nil"/>
              <w:left w:val="nil"/>
              <w:bottom w:val="single" w:sz="4" w:space="0" w:color="auto"/>
              <w:right w:val="single" w:sz="4" w:space="0" w:color="auto"/>
            </w:tcBorders>
            <w:shd w:val="clear" w:color="auto" w:fill="auto"/>
            <w:noWrap/>
            <w:vAlign w:val="center"/>
            <w:hideMark/>
          </w:tcPr>
          <w:p w14:paraId="462E853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3.56</w:t>
            </w:r>
          </w:p>
        </w:tc>
        <w:tc>
          <w:tcPr>
            <w:tcW w:w="590" w:type="dxa"/>
            <w:tcBorders>
              <w:top w:val="nil"/>
              <w:left w:val="nil"/>
              <w:bottom w:val="single" w:sz="4" w:space="0" w:color="auto"/>
              <w:right w:val="single" w:sz="4" w:space="0" w:color="auto"/>
            </w:tcBorders>
            <w:shd w:val="clear" w:color="auto" w:fill="auto"/>
            <w:noWrap/>
            <w:vAlign w:val="center"/>
            <w:hideMark/>
          </w:tcPr>
          <w:p w14:paraId="01B9D5B2"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5</w:t>
            </w:r>
          </w:p>
        </w:tc>
        <w:tc>
          <w:tcPr>
            <w:tcW w:w="723" w:type="dxa"/>
            <w:tcBorders>
              <w:top w:val="nil"/>
              <w:left w:val="nil"/>
              <w:bottom w:val="single" w:sz="4" w:space="0" w:color="auto"/>
              <w:right w:val="single" w:sz="4" w:space="0" w:color="auto"/>
            </w:tcBorders>
            <w:shd w:val="clear" w:color="auto" w:fill="auto"/>
            <w:noWrap/>
            <w:vAlign w:val="center"/>
            <w:hideMark/>
          </w:tcPr>
          <w:p w14:paraId="5147B60D"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3.68</w:t>
            </w:r>
          </w:p>
        </w:tc>
        <w:tc>
          <w:tcPr>
            <w:tcW w:w="590" w:type="dxa"/>
            <w:tcBorders>
              <w:top w:val="nil"/>
              <w:left w:val="nil"/>
              <w:bottom w:val="single" w:sz="4" w:space="0" w:color="auto"/>
              <w:right w:val="single" w:sz="4" w:space="0" w:color="auto"/>
            </w:tcBorders>
            <w:shd w:val="clear" w:color="auto" w:fill="auto"/>
            <w:noWrap/>
            <w:vAlign w:val="center"/>
            <w:hideMark/>
          </w:tcPr>
          <w:p w14:paraId="471FE6E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642" w:type="dxa"/>
            <w:tcBorders>
              <w:top w:val="nil"/>
              <w:left w:val="nil"/>
              <w:bottom w:val="single" w:sz="4" w:space="0" w:color="auto"/>
              <w:right w:val="single" w:sz="4" w:space="0" w:color="auto"/>
            </w:tcBorders>
            <w:shd w:val="clear" w:color="auto" w:fill="auto"/>
            <w:noWrap/>
            <w:vAlign w:val="center"/>
            <w:hideMark/>
          </w:tcPr>
          <w:p w14:paraId="2DE9A55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noWrap/>
            <w:vAlign w:val="center"/>
            <w:hideMark/>
          </w:tcPr>
          <w:p w14:paraId="77783B9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6</w:t>
            </w:r>
          </w:p>
        </w:tc>
      </w:tr>
      <w:tr w:rsidR="00CD6352" w:rsidRPr="00557A3A" w14:paraId="3DC65BAB"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527DB394"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 xml:space="preserve">Learning by holding meetings </w:t>
            </w:r>
          </w:p>
        </w:tc>
        <w:tc>
          <w:tcPr>
            <w:tcW w:w="874" w:type="dxa"/>
            <w:tcBorders>
              <w:top w:val="nil"/>
              <w:left w:val="nil"/>
              <w:bottom w:val="single" w:sz="4" w:space="0" w:color="auto"/>
              <w:right w:val="single" w:sz="4" w:space="0" w:color="auto"/>
            </w:tcBorders>
            <w:shd w:val="clear" w:color="auto" w:fill="auto"/>
            <w:vAlign w:val="center"/>
            <w:hideMark/>
          </w:tcPr>
          <w:p w14:paraId="3B5F13ED"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w:t>
            </w:r>
          </w:p>
        </w:tc>
        <w:tc>
          <w:tcPr>
            <w:tcW w:w="590" w:type="dxa"/>
            <w:tcBorders>
              <w:top w:val="nil"/>
              <w:left w:val="nil"/>
              <w:bottom w:val="single" w:sz="4" w:space="0" w:color="auto"/>
              <w:right w:val="single" w:sz="4" w:space="0" w:color="auto"/>
            </w:tcBorders>
            <w:shd w:val="clear" w:color="auto" w:fill="auto"/>
            <w:vAlign w:val="center"/>
            <w:hideMark/>
          </w:tcPr>
          <w:p w14:paraId="498C38CC"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5</w:t>
            </w:r>
          </w:p>
        </w:tc>
        <w:tc>
          <w:tcPr>
            <w:tcW w:w="603" w:type="dxa"/>
            <w:tcBorders>
              <w:top w:val="nil"/>
              <w:left w:val="nil"/>
              <w:bottom w:val="single" w:sz="4" w:space="0" w:color="auto"/>
              <w:right w:val="single" w:sz="4" w:space="0" w:color="auto"/>
            </w:tcBorders>
            <w:shd w:val="clear" w:color="auto" w:fill="auto"/>
            <w:noWrap/>
            <w:vAlign w:val="center"/>
            <w:hideMark/>
          </w:tcPr>
          <w:p w14:paraId="236BD1D0"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3.33</w:t>
            </w:r>
          </w:p>
        </w:tc>
        <w:tc>
          <w:tcPr>
            <w:tcW w:w="590" w:type="dxa"/>
            <w:tcBorders>
              <w:top w:val="nil"/>
              <w:left w:val="nil"/>
              <w:bottom w:val="single" w:sz="4" w:space="0" w:color="auto"/>
              <w:right w:val="single" w:sz="4" w:space="0" w:color="auto"/>
            </w:tcBorders>
            <w:shd w:val="clear" w:color="auto" w:fill="auto"/>
            <w:vAlign w:val="center"/>
            <w:hideMark/>
          </w:tcPr>
          <w:p w14:paraId="7A5CDB0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8</w:t>
            </w:r>
          </w:p>
        </w:tc>
        <w:tc>
          <w:tcPr>
            <w:tcW w:w="528" w:type="dxa"/>
            <w:tcBorders>
              <w:top w:val="nil"/>
              <w:left w:val="nil"/>
              <w:bottom w:val="single" w:sz="4" w:space="0" w:color="auto"/>
              <w:right w:val="single" w:sz="4" w:space="0" w:color="auto"/>
            </w:tcBorders>
            <w:shd w:val="clear" w:color="auto" w:fill="auto"/>
            <w:noWrap/>
            <w:vAlign w:val="center"/>
            <w:hideMark/>
          </w:tcPr>
          <w:p w14:paraId="574B5370"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noWrap/>
            <w:vAlign w:val="center"/>
            <w:hideMark/>
          </w:tcPr>
          <w:p w14:paraId="7FCCDD01"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6</w:t>
            </w:r>
          </w:p>
        </w:tc>
        <w:tc>
          <w:tcPr>
            <w:tcW w:w="635" w:type="dxa"/>
            <w:tcBorders>
              <w:top w:val="nil"/>
              <w:left w:val="nil"/>
              <w:bottom w:val="single" w:sz="4" w:space="0" w:color="auto"/>
              <w:right w:val="single" w:sz="4" w:space="0" w:color="auto"/>
            </w:tcBorders>
            <w:shd w:val="clear" w:color="auto" w:fill="auto"/>
            <w:noWrap/>
            <w:vAlign w:val="center"/>
            <w:hideMark/>
          </w:tcPr>
          <w:p w14:paraId="7147701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3.56</w:t>
            </w:r>
          </w:p>
        </w:tc>
        <w:tc>
          <w:tcPr>
            <w:tcW w:w="590" w:type="dxa"/>
            <w:tcBorders>
              <w:top w:val="nil"/>
              <w:left w:val="nil"/>
              <w:bottom w:val="single" w:sz="4" w:space="0" w:color="auto"/>
              <w:right w:val="single" w:sz="4" w:space="0" w:color="auto"/>
            </w:tcBorders>
            <w:shd w:val="clear" w:color="auto" w:fill="auto"/>
            <w:noWrap/>
            <w:vAlign w:val="center"/>
            <w:hideMark/>
          </w:tcPr>
          <w:p w14:paraId="5CA3FE9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6</w:t>
            </w:r>
          </w:p>
        </w:tc>
        <w:tc>
          <w:tcPr>
            <w:tcW w:w="723" w:type="dxa"/>
            <w:tcBorders>
              <w:top w:val="nil"/>
              <w:left w:val="nil"/>
              <w:bottom w:val="single" w:sz="4" w:space="0" w:color="auto"/>
              <w:right w:val="single" w:sz="4" w:space="0" w:color="auto"/>
            </w:tcBorders>
            <w:shd w:val="clear" w:color="auto" w:fill="auto"/>
            <w:noWrap/>
            <w:vAlign w:val="center"/>
            <w:hideMark/>
          </w:tcPr>
          <w:p w14:paraId="1A6AD7C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3.47</w:t>
            </w:r>
          </w:p>
        </w:tc>
        <w:tc>
          <w:tcPr>
            <w:tcW w:w="590" w:type="dxa"/>
            <w:tcBorders>
              <w:top w:val="nil"/>
              <w:left w:val="nil"/>
              <w:bottom w:val="single" w:sz="4" w:space="0" w:color="auto"/>
              <w:right w:val="single" w:sz="4" w:space="0" w:color="auto"/>
            </w:tcBorders>
            <w:shd w:val="clear" w:color="auto" w:fill="auto"/>
            <w:noWrap/>
            <w:vAlign w:val="center"/>
            <w:hideMark/>
          </w:tcPr>
          <w:p w14:paraId="0FE49682"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8</w:t>
            </w:r>
          </w:p>
        </w:tc>
        <w:tc>
          <w:tcPr>
            <w:tcW w:w="642" w:type="dxa"/>
            <w:tcBorders>
              <w:top w:val="nil"/>
              <w:left w:val="nil"/>
              <w:bottom w:val="single" w:sz="4" w:space="0" w:color="auto"/>
              <w:right w:val="single" w:sz="4" w:space="0" w:color="auto"/>
            </w:tcBorders>
            <w:shd w:val="clear" w:color="auto" w:fill="auto"/>
            <w:noWrap/>
            <w:vAlign w:val="center"/>
            <w:hideMark/>
          </w:tcPr>
          <w:p w14:paraId="4F6EA8F5"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4.38</w:t>
            </w:r>
          </w:p>
        </w:tc>
        <w:tc>
          <w:tcPr>
            <w:tcW w:w="590" w:type="dxa"/>
            <w:tcBorders>
              <w:top w:val="nil"/>
              <w:left w:val="nil"/>
              <w:bottom w:val="single" w:sz="4" w:space="0" w:color="auto"/>
              <w:right w:val="single" w:sz="4" w:space="0" w:color="auto"/>
            </w:tcBorders>
            <w:shd w:val="clear" w:color="auto" w:fill="auto"/>
            <w:noWrap/>
            <w:vAlign w:val="center"/>
            <w:hideMark/>
          </w:tcPr>
          <w:p w14:paraId="63548D8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r>
      <w:tr w:rsidR="00CD6352" w:rsidRPr="00557A3A" w14:paraId="41788B3E"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7DB790F9"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Online and tutorial training</w:t>
            </w:r>
          </w:p>
        </w:tc>
        <w:tc>
          <w:tcPr>
            <w:tcW w:w="874" w:type="dxa"/>
            <w:tcBorders>
              <w:top w:val="nil"/>
              <w:left w:val="nil"/>
              <w:bottom w:val="single" w:sz="4" w:space="0" w:color="auto"/>
              <w:right w:val="single" w:sz="4" w:space="0" w:color="auto"/>
            </w:tcBorders>
            <w:shd w:val="clear" w:color="auto" w:fill="auto"/>
            <w:vAlign w:val="center"/>
            <w:hideMark/>
          </w:tcPr>
          <w:p w14:paraId="0641A934"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w:t>
            </w:r>
          </w:p>
        </w:tc>
        <w:tc>
          <w:tcPr>
            <w:tcW w:w="590" w:type="dxa"/>
            <w:tcBorders>
              <w:top w:val="nil"/>
              <w:left w:val="nil"/>
              <w:bottom w:val="single" w:sz="4" w:space="0" w:color="auto"/>
              <w:right w:val="single" w:sz="4" w:space="0" w:color="auto"/>
            </w:tcBorders>
            <w:shd w:val="clear" w:color="auto" w:fill="auto"/>
            <w:vAlign w:val="center"/>
            <w:hideMark/>
          </w:tcPr>
          <w:p w14:paraId="2004F667"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6</w:t>
            </w:r>
          </w:p>
        </w:tc>
        <w:tc>
          <w:tcPr>
            <w:tcW w:w="603" w:type="dxa"/>
            <w:tcBorders>
              <w:top w:val="nil"/>
              <w:left w:val="nil"/>
              <w:bottom w:val="single" w:sz="4" w:space="0" w:color="auto"/>
              <w:right w:val="single" w:sz="4" w:space="0" w:color="auto"/>
            </w:tcBorders>
            <w:shd w:val="clear" w:color="auto" w:fill="auto"/>
            <w:noWrap/>
            <w:vAlign w:val="center"/>
            <w:hideMark/>
          </w:tcPr>
          <w:p w14:paraId="796D7DF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vAlign w:val="center"/>
            <w:hideMark/>
          </w:tcPr>
          <w:p w14:paraId="788687E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9</w:t>
            </w:r>
          </w:p>
        </w:tc>
        <w:tc>
          <w:tcPr>
            <w:tcW w:w="528" w:type="dxa"/>
            <w:tcBorders>
              <w:top w:val="nil"/>
              <w:left w:val="nil"/>
              <w:bottom w:val="single" w:sz="4" w:space="0" w:color="auto"/>
              <w:right w:val="single" w:sz="4" w:space="0" w:color="auto"/>
            </w:tcBorders>
            <w:shd w:val="clear" w:color="auto" w:fill="auto"/>
            <w:noWrap/>
            <w:vAlign w:val="center"/>
            <w:hideMark/>
          </w:tcPr>
          <w:p w14:paraId="5C18B00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2.75</w:t>
            </w:r>
          </w:p>
        </w:tc>
        <w:tc>
          <w:tcPr>
            <w:tcW w:w="590" w:type="dxa"/>
            <w:tcBorders>
              <w:top w:val="nil"/>
              <w:left w:val="nil"/>
              <w:bottom w:val="single" w:sz="4" w:space="0" w:color="auto"/>
              <w:right w:val="single" w:sz="4" w:space="0" w:color="auto"/>
            </w:tcBorders>
            <w:shd w:val="clear" w:color="auto" w:fill="auto"/>
            <w:noWrap/>
            <w:vAlign w:val="center"/>
            <w:hideMark/>
          </w:tcPr>
          <w:p w14:paraId="3A25501C"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7</w:t>
            </w:r>
          </w:p>
        </w:tc>
        <w:tc>
          <w:tcPr>
            <w:tcW w:w="635" w:type="dxa"/>
            <w:tcBorders>
              <w:top w:val="nil"/>
              <w:left w:val="nil"/>
              <w:bottom w:val="single" w:sz="4" w:space="0" w:color="auto"/>
              <w:right w:val="single" w:sz="4" w:space="0" w:color="auto"/>
            </w:tcBorders>
            <w:shd w:val="clear" w:color="auto" w:fill="auto"/>
            <w:noWrap/>
            <w:vAlign w:val="center"/>
            <w:hideMark/>
          </w:tcPr>
          <w:p w14:paraId="447F270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3.44</w:t>
            </w:r>
          </w:p>
        </w:tc>
        <w:tc>
          <w:tcPr>
            <w:tcW w:w="590" w:type="dxa"/>
            <w:tcBorders>
              <w:top w:val="nil"/>
              <w:left w:val="nil"/>
              <w:bottom w:val="single" w:sz="4" w:space="0" w:color="auto"/>
              <w:right w:val="single" w:sz="4" w:space="0" w:color="auto"/>
            </w:tcBorders>
            <w:shd w:val="clear" w:color="auto" w:fill="auto"/>
            <w:noWrap/>
            <w:vAlign w:val="center"/>
            <w:hideMark/>
          </w:tcPr>
          <w:p w14:paraId="5D08FDC0"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8</w:t>
            </w:r>
          </w:p>
        </w:tc>
        <w:tc>
          <w:tcPr>
            <w:tcW w:w="723" w:type="dxa"/>
            <w:tcBorders>
              <w:top w:val="nil"/>
              <w:left w:val="nil"/>
              <w:bottom w:val="single" w:sz="4" w:space="0" w:color="auto"/>
              <w:right w:val="single" w:sz="4" w:space="0" w:color="auto"/>
            </w:tcBorders>
            <w:shd w:val="clear" w:color="auto" w:fill="auto"/>
            <w:noWrap/>
            <w:vAlign w:val="center"/>
            <w:hideMark/>
          </w:tcPr>
          <w:p w14:paraId="3CFB902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3.68</w:t>
            </w:r>
          </w:p>
        </w:tc>
        <w:tc>
          <w:tcPr>
            <w:tcW w:w="590" w:type="dxa"/>
            <w:tcBorders>
              <w:top w:val="nil"/>
              <w:left w:val="nil"/>
              <w:bottom w:val="single" w:sz="4" w:space="0" w:color="auto"/>
              <w:right w:val="single" w:sz="4" w:space="0" w:color="auto"/>
            </w:tcBorders>
            <w:shd w:val="clear" w:color="auto" w:fill="auto"/>
            <w:noWrap/>
            <w:vAlign w:val="center"/>
            <w:hideMark/>
          </w:tcPr>
          <w:p w14:paraId="19D62D7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5</w:t>
            </w:r>
          </w:p>
        </w:tc>
        <w:tc>
          <w:tcPr>
            <w:tcW w:w="642" w:type="dxa"/>
            <w:tcBorders>
              <w:top w:val="nil"/>
              <w:left w:val="nil"/>
              <w:bottom w:val="single" w:sz="4" w:space="0" w:color="auto"/>
              <w:right w:val="single" w:sz="4" w:space="0" w:color="auto"/>
            </w:tcBorders>
            <w:shd w:val="clear" w:color="auto" w:fill="auto"/>
            <w:noWrap/>
            <w:vAlign w:val="center"/>
            <w:hideMark/>
          </w:tcPr>
          <w:p w14:paraId="489B0D6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3.87</w:t>
            </w:r>
          </w:p>
        </w:tc>
        <w:tc>
          <w:tcPr>
            <w:tcW w:w="590" w:type="dxa"/>
            <w:tcBorders>
              <w:top w:val="nil"/>
              <w:left w:val="nil"/>
              <w:bottom w:val="single" w:sz="4" w:space="0" w:color="auto"/>
              <w:right w:val="single" w:sz="4" w:space="0" w:color="auto"/>
            </w:tcBorders>
            <w:shd w:val="clear" w:color="auto" w:fill="auto"/>
            <w:noWrap/>
            <w:vAlign w:val="center"/>
            <w:hideMark/>
          </w:tcPr>
          <w:p w14:paraId="7F5D830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7</w:t>
            </w:r>
          </w:p>
        </w:tc>
      </w:tr>
      <w:tr w:rsidR="00CD6352" w:rsidRPr="00557A3A" w14:paraId="7AFA16EE" w14:textId="77777777" w:rsidTr="00557A3A">
        <w:trPr>
          <w:trHeight w:val="429"/>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4882B259"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University residential (the full-time program for some weeks )</w:t>
            </w:r>
          </w:p>
        </w:tc>
        <w:tc>
          <w:tcPr>
            <w:tcW w:w="874" w:type="dxa"/>
            <w:tcBorders>
              <w:top w:val="nil"/>
              <w:left w:val="nil"/>
              <w:bottom w:val="single" w:sz="4" w:space="0" w:color="auto"/>
              <w:right w:val="single" w:sz="4" w:space="0" w:color="auto"/>
            </w:tcBorders>
            <w:shd w:val="clear" w:color="auto" w:fill="auto"/>
            <w:vAlign w:val="center"/>
            <w:hideMark/>
          </w:tcPr>
          <w:p w14:paraId="5900DE97"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1.5</w:t>
            </w:r>
          </w:p>
        </w:tc>
        <w:tc>
          <w:tcPr>
            <w:tcW w:w="590" w:type="dxa"/>
            <w:tcBorders>
              <w:top w:val="nil"/>
              <w:left w:val="nil"/>
              <w:bottom w:val="single" w:sz="4" w:space="0" w:color="auto"/>
              <w:right w:val="single" w:sz="4" w:space="0" w:color="auto"/>
            </w:tcBorders>
            <w:shd w:val="clear" w:color="auto" w:fill="auto"/>
            <w:vAlign w:val="center"/>
            <w:hideMark/>
          </w:tcPr>
          <w:p w14:paraId="11683407"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12</w:t>
            </w:r>
          </w:p>
        </w:tc>
        <w:tc>
          <w:tcPr>
            <w:tcW w:w="603" w:type="dxa"/>
            <w:tcBorders>
              <w:top w:val="nil"/>
              <w:left w:val="nil"/>
              <w:bottom w:val="single" w:sz="4" w:space="0" w:color="auto"/>
              <w:right w:val="single" w:sz="4" w:space="0" w:color="auto"/>
            </w:tcBorders>
            <w:shd w:val="clear" w:color="auto" w:fill="auto"/>
            <w:noWrap/>
            <w:vAlign w:val="center"/>
            <w:hideMark/>
          </w:tcPr>
          <w:p w14:paraId="65A0BCF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vAlign w:val="center"/>
            <w:hideMark/>
          </w:tcPr>
          <w:p w14:paraId="627E5A6C"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10</w:t>
            </w:r>
          </w:p>
        </w:tc>
        <w:tc>
          <w:tcPr>
            <w:tcW w:w="528" w:type="dxa"/>
            <w:tcBorders>
              <w:top w:val="nil"/>
              <w:left w:val="nil"/>
              <w:bottom w:val="single" w:sz="4" w:space="0" w:color="auto"/>
              <w:right w:val="single" w:sz="4" w:space="0" w:color="auto"/>
            </w:tcBorders>
            <w:shd w:val="clear" w:color="auto" w:fill="auto"/>
            <w:noWrap/>
            <w:vAlign w:val="center"/>
            <w:hideMark/>
          </w:tcPr>
          <w:p w14:paraId="245FC36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590" w:type="dxa"/>
            <w:tcBorders>
              <w:top w:val="nil"/>
              <w:left w:val="nil"/>
              <w:bottom w:val="single" w:sz="4" w:space="0" w:color="auto"/>
              <w:right w:val="single" w:sz="4" w:space="0" w:color="auto"/>
            </w:tcBorders>
            <w:shd w:val="clear" w:color="auto" w:fill="auto"/>
            <w:noWrap/>
            <w:vAlign w:val="center"/>
            <w:hideMark/>
          </w:tcPr>
          <w:p w14:paraId="08D7AB39"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11</w:t>
            </w:r>
          </w:p>
        </w:tc>
        <w:tc>
          <w:tcPr>
            <w:tcW w:w="635" w:type="dxa"/>
            <w:tcBorders>
              <w:top w:val="nil"/>
              <w:left w:val="nil"/>
              <w:bottom w:val="single" w:sz="4" w:space="0" w:color="auto"/>
              <w:right w:val="single" w:sz="4" w:space="0" w:color="auto"/>
            </w:tcBorders>
            <w:shd w:val="clear" w:color="auto" w:fill="auto"/>
            <w:noWrap/>
            <w:vAlign w:val="center"/>
            <w:hideMark/>
          </w:tcPr>
          <w:p w14:paraId="54D05FA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2.56</w:t>
            </w:r>
          </w:p>
        </w:tc>
        <w:tc>
          <w:tcPr>
            <w:tcW w:w="590" w:type="dxa"/>
            <w:tcBorders>
              <w:top w:val="nil"/>
              <w:left w:val="nil"/>
              <w:bottom w:val="single" w:sz="4" w:space="0" w:color="auto"/>
              <w:right w:val="single" w:sz="4" w:space="0" w:color="auto"/>
            </w:tcBorders>
            <w:shd w:val="clear" w:color="auto" w:fill="auto"/>
            <w:noWrap/>
            <w:vAlign w:val="center"/>
            <w:hideMark/>
          </w:tcPr>
          <w:p w14:paraId="58F2817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11</w:t>
            </w:r>
          </w:p>
        </w:tc>
        <w:tc>
          <w:tcPr>
            <w:tcW w:w="723" w:type="dxa"/>
            <w:tcBorders>
              <w:top w:val="nil"/>
              <w:left w:val="nil"/>
              <w:bottom w:val="single" w:sz="4" w:space="0" w:color="auto"/>
              <w:right w:val="single" w:sz="4" w:space="0" w:color="auto"/>
            </w:tcBorders>
            <w:shd w:val="clear" w:color="auto" w:fill="auto"/>
            <w:noWrap/>
            <w:vAlign w:val="center"/>
            <w:hideMark/>
          </w:tcPr>
          <w:p w14:paraId="6A5E102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2.95</w:t>
            </w:r>
          </w:p>
        </w:tc>
        <w:tc>
          <w:tcPr>
            <w:tcW w:w="590" w:type="dxa"/>
            <w:tcBorders>
              <w:top w:val="nil"/>
              <w:left w:val="nil"/>
              <w:bottom w:val="single" w:sz="4" w:space="0" w:color="auto"/>
              <w:right w:val="single" w:sz="4" w:space="0" w:color="auto"/>
            </w:tcBorders>
            <w:shd w:val="clear" w:color="auto" w:fill="auto"/>
            <w:noWrap/>
            <w:vAlign w:val="center"/>
            <w:hideMark/>
          </w:tcPr>
          <w:p w14:paraId="359F1C3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12</w:t>
            </w:r>
          </w:p>
        </w:tc>
        <w:tc>
          <w:tcPr>
            <w:tcW w:w="642" w:type="dxa"/>
            <w:tcBorders>
              <w:top w:val="nil"/>
              <w:left w:val="nil"/>
              <w:bottom w:val="single" w:sz="4" w:space="0" w:color="auto"/>
              <w:right w:val="single" w:sz="4" w:space="0" w:color="auto"/>
            </w:tcBorders>
            <w:shd w:val="clear" w:color="auto" w:fill="auto"/>
            <w:noWrap/>
            <w:vAlign w:val="center"/>
            <w:hideMark/>
          </w:tcPr>
          <w:p w14:paraId="340A0E3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4.29</w:t>
            </w:r>
          </w:p>
        </w:tc>
        <w:tc>
          <w:tcPr>
            <w:tcW w:w="590" w:type="dxa"/>
            <w:tcBorders>
              <w:top w:val="nil"/>
              <w:left w:val="nil"/>
              <w:bottom w:val="single" w:sz="4" w:space="0" w:color="auto"/>
              <w:right w:val="single" w:sz="4" w:space="0" w:color="auto"/>
            </w:tcBorders>
            <w:shd w:val="clear" w:color="auto" w:fill="auto"/>
            <w:noWrap/>
            <w:vAlign w:val="center"/>
            <w:hideMark/>
          </w:tcPr>
          <w:p w14:paraId="00D15D6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r>
      <w:tr w:rsidR="00CD6352" w:rsidRPr="00557A3A" w14:paraId="32F2B2AC"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674E9DB9"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Usage of formal qualification</w:t>
            </w:r>
          </w:p>
        </w:tc>
        <w:tc>
          <w:tcPr>
            <w:tcW w:w="874" w:type="dxa"/>
            <w:tcBorders>
              <w:top w:val="nil"/>
              <w:left w:val="nil"/>
              <w:bottom w:val="single" w:sz="4" w:space="0" w:color="auto"/>
              <w:right w:val="single" w:sz="4" w:space="0" w:color="auto"/>
            </w:tcBorders>
            <w:shd w:val="clear" w:color="auto" w:fill="auto"/>
            <w:vAlign w:val="center"/>
            <w:hideMark/>
          </w:tcPr>
          <w:p w14:paraId="4E05B1ED"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590" w:type="dxa"/>
            <w:tcBorders>
              <w:top w:val="nil"/>
              <w:left w:val="nil"/>
              <w:bottom w:val="single" w:sz="4" w:space="0" w:color="auto"/>
              <w:right w:val="single" w:sz="4" w:space="0" w:color="auto"/>
            </w:tcBorders>
            <w:shd w:val="clear" w:color="auto" w:fill="auto"/>
            <w:vAlign w:val="center"/>
            <w:hideMark/>
          </w:tcPr>
          <w:p w14:paraId="4B87A445"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11</w:t>
            </w:r>
          </w:p>
        </w:tc>
        <w:tc>
          <w:tcPr>
            <w:tcW w:w="603" w:type="dxa"/>
            <w:tcBorders>
              <w:top w:val="nil"/>
              <w:left w:val="nil"/>
              <w:bottom w:val="single" w:sz="4" w:space="0" w:color="auto"/>
              <w:right w:val="single" w:sz="4" w:space="0" w:color="auto"/>
            </w:tcBorders>
            <w:shd w:val="clear" w:color="auto" w:fill="auto"/>
            <w:noWrap/>
            <w:vAlign w:val="center"/>
            <w:hideMark/>
          </w:tcPr>
          <w:p w14:paraId="2DB5B65F"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2.83</w:t>
            </w:r>
          </w:p>
        </w:tc>
        <w:tc>
          <w:tcPr>
            <w:tcW w:w="590" w:type="dxa"/>
            <w:tcBorders>
              <w:top w:val="nil"/>
              <w:left w:val="nil"/>
              <w:bottom w:val="single" w:sz="4" w:space="0" w:color="auto"/>
              <w:right w:val="single" w:sz="4" w:space="0" w:color="auto"/>
            </w:tcBorders>
            <w:shd w:val="clear" w:color="auto" w:fill="auto"/>
            <w:vAlign w:val="center"/>
            <w:hideMark/>
          </w:tcPr>
          <w:p w14:paraId="2F22230B"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11</w:t>
            </w:r>
          </w:p>
        </w:tc>
        <w:tc>
          <w:tcPr>
            <w:tcW w:w="528" w:type="dxa"/>
            <w:tcBorders>
              <w:top w:val="nil"/>
              <w:left w:val="nil"/>
              <w:bottom w:val="single" w:sz="4" w:space="0" w:color="auto"/>
              <w:right w:val="single" w:sz="4" w:space="0" w:color="auto"/>
            </w:tcBorders>
            <w:shd w:val="clear" w:color="auto" w:fill="auto"/>
            <w:noWrap/>
            <w:vAlign w:val="center"/>
            <w:hideMark/>
          </w:tcPr>
          <w:p w14:paraId="4BA7303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w:t>
            </w:r>
          </w:p>
        </w:tc>
        <w:tc>
          <w:tcPr>
            <w:tcW w:w="590" w:type="dxa"/>
            <w:tcBorders>
              <w:top w:val="nil"/>
              <w:left w:val="nil"/>
              <w:bottom w:val="single" w:sz="4" w:space="0" w:color="auto"/>
              <w:right w:val="single" w:sz="4" w:space="0" w:color="auto"/>
            </w:tcBorders>
            <w:shd w:val="clear" w:color="auto" w:fill="auto"/>
            <w:noWrap/>
            <w:vAlign w:val="center"/>
            <w:hideMark/>
          </w:tcPr>
          <w:p w14:paraId="67F28CCB"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12</w:t>
            </w:r>
          </w:p>
        </w:tc>
        <w:tc>
          <w:tcPr>
            <w:tcW w:w="635" w:type="dxa"/>
            <w:tcBorders>
              <w:top w:val="nil"/>
              <w:left w:val="nil"/>
              <w:bottom w:val="single" w:sz="4" w:space="0" w:color="auto"/>
              <w:right w:val="single" w:sz="4" w:space="0" w:color="auto"/>
            </w:tcBorders>
            <w:shd w:val="clear" w:color="auto" w:fill="auto"/>
            <w:noWrap/>
            <w:vAlign w:val="center"/>
            <w:hideMark/>
          </w:tcPr>
          <w:p w14:paraId="5F10328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2.33</w:t>
            </w:r>
          </w:p>
        </w:tc>
        <w:tc>
          <w:tcPr>
            <w:tcW w:w="590" w:type="dxa"/>
            <w:tcBorders>
              <w:top w:val="nil"/>
              <w:left w:val="nil"/>
              <w:bottom w:val="single" w:sz="4" w:space="0" w:color="auto"/>
              <w:right w:val="single" w:sz="4" w:space="0" w:color="auto"/>
            </w:tcBorders>
            <w:shd w:val="clear" w:color="auto" w:fill="auto"/>
            <w:noWrap/>
            <w:vAlign w:val="center"/>
            <w:hideMark/>
          </w:tcPr>
          <w:p w14:paraId="0B6EEBF1"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12</w:t>
            </w:r>
          </w:p>
        </w:tc>
        <w:tc>
          <w:tcPr>
            <w:tcW w:w="723" w:type="dxa"/>
            <w:tcBorders>
              <w:top w:val="nil"/>
              <w:left w:val="nil"/>
              <w:bottom w:val="single" w:sz="4" w:space="0" w:color="auto"/>
              <w:right w:val="single" w:sz="4" w:space="0" w:color="auto"/>
            </w:tcBorders>
            <w:shd w:val="clear" w:color="auto" w:fill="auto"/>
            <w:noWrap/>
            <w:vAlign w:val="center"/>
            <w:hideMark/>
          </w:tcPr>
          <w:p w14:paraId="395E24F0"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noWrap/>
            <w:vAlign w:val="center"/>
            <w:hideMark/>
          </w:tcPr>
          <w:p w14:paraId="6BBBE15A"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11</w:t>
            </w:r>
          </w:p>
        </w:tc>
        <w:tc>
          <w:tcPr>
            <w:tcW w:w="642" w:type="dxa"/>
            <w:tcBorders>
              <w:top w:val="nil"/>
              <w:left w:val="nil"/>
              <w:bottom w:val="single" w:sz="4" w:space="0" w:color="auto"/>
              <w:right w:val="single" w:sz="4" w:space="0" w:color="auto"/>
            </w:tcBorders>
            <w:shd w:val="clear" w:color="auto" w:fill="auto"/>
            <w:noWrap/>
            <w:vAlign w:val="center"/>
            <w:hideMark/>
          </w:tcPr>
          <w:p w14:paraId="21C1358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3.25</w:t>
            </w:r>
          </w:p>
        </w:tc>
        <w:tc>
          <w:tcPr>
            <w:tcW w:w="590" w:type="dxa"/>
            <w:tcBorders>
              <w:top w:val="nil"/>
              <w:left w:val="nil"/>
              <w:bottom w:val="single" w:sz="4" w:space="0" w:color="auto"/>
              <w:right w:val="single" w:sz="4" w:space="0" w:color="auto"/>
            </w:tcBorders>
            <w:shd w:val="clear" w:color="auto" w:fill="auto"/>
            <w:noWrap/>
            <w:vAlign w:val="center"/>
            <w:hideMark/>
          </w:tcPr>
          <w:p w14:paraId="0C3045CE"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12</w:t>
            </w:r>
          </w:p>
        </w:tc>
      </w:tr>
      <w:tr w:rsidR="00CD6352" w:rsidRPr="00557A3A" w14:paraId="4F7008DD" w14:textId="77777777" w:rsidTr="00557A3A">
        <w:trPr>
          <w:trHeight w:val="286"/>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23BD4B39"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Usage of internal program and instructors</w:t>
            </w:r>
          </w:p>
        </w:tc>
        <w:tc>
          <w:tcPr>
            <w:tcW w:w="874" w:type="dxa"/>
            <w:tcBorders>
              <w:top w:val="nil"/>
              <w:left w:val="nil"/>
              <w:bottom w:val="single" w:sz="4" w:space="0" w:color="auto"/>
              <w:right w:val="single" w:sz="4" w:space="0" w:color="auto"/>
            </w:tcBorders>
            <w:shd w:val="clear" w:color="auto" w:fill="auto"/>
            <w:vAlign w:val="center"/>
            <w:hideMark/>
          </w:tcPr>
          <w:p w14:paraId="2FFBA246"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3.5</w:t>
            </w:r>
          </w:p>
        </w:tc>
        <w:tc>
          <w:tcPr>
            <w:tcW w:w="590" w:type="dxa"/>
            <w:tcBorders>
              <w:top w:val="nil"/>
              <w:left w:val="nil"/>
              <w:bottom w:val="single" w:sz="4" w:space="0" w:color="auto"/>
              <w:right w:val="single" w:sz="4" w:space="0" w:color="auto"/>
            </w:tcBorders>
            <w:shd w:val="clear" w:color="auto" w:fill="auto"/>
            <w:vAlign w:val="center"/>
            <w:hideMark/>
          </w:tcPr>
          <w:p w14:paraId="638D25BA" w14:textId="77777777" w:rsidR="00CD6352" w:rsidRPr="00557A3A" w:rsidRDefault="00CD6352" w:rsidP="00CD6352">
            <w:pPr>
              <w:spacing w:after="0" w:line="240" w:lineRule="auto"/>
              <w:jc w:val="both"/>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7</w:t>
            </w:r>
          </w:p>
        </w:tc>
        <w:tc>
          <w:tcPr>
            <w:tcW w:w="603" w:type="dxa"/>
            <w:tcBorders>
              <w:top w:val="nil"/>
              <w:left w:val="nil"/>
              <w:bottom w:val="single" w:sz="4" w:space="0" w:color="auto"/>
              <w:right w:val="single" w:sz="4" w:space="0" w:color="auto"/>
            </w:tcBorders>
            <w:shd w:val="clear" w:color="auto" w:fill="auto"/>
            <w:noWrap/>
            <w:vAlign w:val="center"/>
            <w:hideMark/>
          </w:tcPr>
          <w:p w14:paraId="38ED49A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2.67</w:t>
            </w:r>
          </w:p>
        </w:tc>
        <w:tc>
          <w:tcPr>
            <w:tcW w:w="590" w:type="dxa"/>
            <w:tcBorders>
              <w:top w:val="nil"/>
              <w:left w:val="nil"/>
              <w:bottom w:val="single" w:sz="4" w:space="0" w:color="auto"/>
              <w:right w:val="single" w:sz="4" w:space="0" w:color="auto"/>
            </w:tcBorders>
            <w:shd w:val="clear" w:color="auto" w:fill="auto"/>
            <w:vAlign w:val="center"/>
            <w:hideMark/>
          </w:tcPr>
          <w:p w14:paraId="022F79E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12</w:t>
            </w:r>
          </w:p>
        </w:tc>
        <w:tc>
          <w:tcPr>
            <w:tcW w:w="528" w:type="dxa"/>
            <w:tcBorders>
              <w:top w:val="nil"/>
              <w:left w:val="nil"/>
              <w:bottom w:val="single" w:sz="4" w:space="0" w:color="auto"/>
              <w:right w:val="single" w:sz="4" w:space="0" w:color="auto"/>
            </w:tcBorders>
            <w:shd w:val="clear" w:color="auto" w:fill="auto"/>
            <w:noWrap/>
            <w:vAlign w:val="center"/>
            <w:hideMark/>
          </w:tcPr>
          <w:p w14:paraId="7263DAB8"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2.75</w:t>
            </w:r>
          </w:p>
        </w:tc>
        <w:tc>
          <w:tcPr>
            <w:tcW w:w="590" w:type="dxa"/>
            <w:tcBorders>
              <w:top w:val="nil"/>
              <w:left w:val="nil"/>
              <w:bottom w:val="single" w:sz="4" w:space="0" w:color="auto"/>
              <w:right w:val="single" w:sz="4" w:space="0" w:color="auto"/>
            </w:tcBorders>
            <w:shd w:val="clear" w:color="auto" w:fill="auto"/>
            <w:noWrap/>
            <w:vAlign w:val="center"/>
            <w:hideMark/>
          </w:tcPr>
          <w:p w14:paraId="7BCABC34"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8</w:t>
            </w:r>
          </w:p>
        </w:tc>
        <w:tc>
          <w:tcPr>
            <w:tcW w:w="635" w:type="dxa"/>
            <w:tcBorders>
              <w:top w:val="nil"/>
              <w:left w:val="nil"/>
              <w:bottom w:val="single" w:sz="4" w:space="0" w:color="auto"/>
              <w:right w:val="single" w:sz="4" w:space="0" w:color="auto"/>
            </w:tcBorders>
            <w:shd w:val="clear" w:color="auto" w:fill="auto"/>
            <w:noWrap/>
            <w:vAlign w:val="center"/>
            <w:hideMark/>
          </w:tcPr>
          <w:p w14:paraId="2BA3154C"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3.22</w:t>
            </w:r>
          </w:p>
        </w:tc>
        <w:tc>
          <w:tcPr>
            <w:tcW w:w="590" w:type="dxa"/>
            <w:tcBorders>
              <w:top w:val="nil"/>
              <w:left w:val="nil"/>
              <w:bottom w:val="single" w:sz="4" w:space="0" w:color="auto"/>
              <w:right w:val="single" w:sz="4" w:space="0" w:color="auto"/>
            </w:tcBorders>
            <w:shd w:val="clear" w:color="auto" w:fill="auto"/>
            <w:noWrap/>
            <w:vAlign w:val="center"/>
            <w:hideMark/>
          </w:tcPr>
          <w:p w14:paraId="2A74C892"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10</w:t>
            </w:r>
          </w:p>
        </w:tc>
        <w:tc>
          <w:tcPr>
            <w:tcW w:w="723" w:type="dxa"/>
            <w:tcBorders>
              <w:top w:val="nil"/>
              <w:left w:val="nil"/>
              <w:bottom w:val="single" w:sz="4" w:space="0" w:color="auto"/>
              <w:right w:val="single" w:sz="4" w:space="0" w:color="auto"/>
            </w:tcBorders>
            <w:shd w:val="clear" w:color="auto" w:fill="auto"/>
            <w:noWrap/>
            <w:vAlign w:val="center"/>
            <w:hideMark/>
          </w:tcPr>
          <w:p w14:paraId="5D3F5936"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3.28</w:t>
            </w:r>
          </w:p>
        </w:tc>
        <w:tc>
          <w:tcPr>
            <w:tcW w:w="590" w:type="dxa"/>
            <w:tcBorders>
              <w:top w:val="nil"/>
              <w:left w:val="nil"/>
              <w:bottom w:val="single" w:sz="4" w:space="0" w:color="auto"/>
              <w:right w:val="single" w:sz="4" w:space="0" w:color="auto"/>
            </w:tcBorders>
            <w:shd w:val="clear" w:color="auto" w:fill="auto"/>
            <w:noWrap/>
            <w:vAlign w:val="center"/>
            <w:hideMark/>
          </w:tcPr>
          <w:p w14:paraId="624E541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10</w:t>
            </w:r>
          </w:p>
        </w:tc>
        <w:tc>
          <w:tcPr>
            <w:tcW w:w="642" w:type="dxa"/>
            <w:tcBorders>
              <w:top w:val="nil"/>
              <w:left w:val="nil"/>
              <w:bottom w:val="single" w:sz="4" w:space="0" w:color="auto"/>
              <w:right w:val="single" w:sz="4" w:space="0" w:color="auto"/>
            </w:tcBorders>
            <w:shd w:val="clear" w:color="auto" w:fill="auto"/>
            <w:noWrap/>
            <w:vAlign w:val="center"/>
            <w:hideMark/>
          </w:tcPr>
          <w:p w14:paraId="71FCF0A3"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3.63</w:t>
            </w:r>
          </w:p>
        </w:tc>
        <w:tc>
          <w:tcPr>
            <w:tcW w:w="590" w:type="dxa"/>
            <w:tcBorders>
              <w:top w:val="nil"/>
              <w:left w:val="nil"/>
              <w:bottom w:val="single" w:sz="4" w:space="0" w:color="auto"/>
              <w:right w:val="single" w:sz="4" w:space="0" w:color="auto"/>
            </w:tcBorders>
            <w:shd w:val="clear" w:color="auto" w:fill="auto"/>
            <w:noWrap/>
            <w:vAlign w:val="center"/>
            <w:hideMark/>
          </w:tcPr>
          <w:p w14:paraId="0FA887D7" w14:textId="77777777" w:rsidR="00CD6352" w:rsidRPr="00557A3A" w:rsidRDefault="00CD6352" w:rsidP="00CD6352">
            <w:pPr>
              <w:spacing w:after="0" w:line="240" w:lineRule="auto"/>
              <w:jc w:val="right"/>
              <w:rPr>
                <w:rFonts w:ascii="Arial" w:eastAsia="Times New Roman" w:hAnsi="Arial" w:cs="Arial"/>
                <w:color w:val="000000"/>
                <w:sz w:val="16"/>
                <w:szCs w:val="16"/>
                <w:lang w:eastAsia="en-GB"/>
              </w:rPr>
            </w:pPr>
            <w:r w:rsidRPr="00557A3A">
              <w:rPr>
                <w:rFonts w:ascii="Arial" w:eastAsia="Times New Roman" w:hAnsi="Arial" w:cs="Arial"/>
                <w:color w:val="000000"/>
                <w:sz w:val="16"/>
                <w:szCs w:val="16"/>
                <w:lang w:eastAsia="en-GB"/>
              </w:rPr>
              <w:t>11</w:t>
            </w:r>
          </w:p>
        </w:tc>
      </w:tr>
    </w:tbl>
    <w:p w14:paraId="1810E43F" w14:textId="77777777" w:rsidR="00CD6352" w:rsidRPr="00EA7665" w:rsidRDefault="00CD6352" w:rsidP="00CD6352"/>
    <w:p w14:paraId="5B11162F" w14:textId="64452D68" w:rsidR="00CD6352" w:rsidRPr="00071DAA" w:rsidRDefault="00CD6352" w:rsidP="00CD6352">
      <w:pPr>
        <w:spacing w:line="360" w:lineRule="auto"/>
        <w:rPr>
          <w:rFonts w:ascii="Arial" w:hAnsi="Arial" w:cs="Arial"/>
        </w:rPr>
      </w:pPr>
      <w:r w:rsidRPr="00071DAA">
        <w:rPr>
          <w:rFonts w:ascii="Arial" w:hAnsi="Arial" w:cs="Arial"/>
        </w:rPr>
        <w:t xml:space="preserve">The data in table </w:t>
      </w:r>
      <w:r w:rsidR="00557A3A">
        <w:rPr>
          <w:rFonts w:ascii="Arial" w:hAnsi="Arial" w:cs="Arial"/>
        </w:rPr>
        <w:t>9.3.3</w:t>
      </w:r>
      <w:r w:rsidRPr="00071DAA">
        <w:rPr>
          <w:rFonts w:ascii="Arial" w:hAnsi="Arial" w:cs="Arial"/>
        </w:rPr>
        <w:t xml:space="preserve"> shows classroom instructor</w:t>
      </w:r>
      <w:r w:rsidR="002922CF">
        <w:rPr>
          <w:rFonts w:ascii="Arial" w:hAnsi="Arial" w:cs="Arial"/>
        </w:rPr>
        <w:t>-</w:t>
      </w:r>
      <w:r w:rsidRPr="00071DAA">
        <w:rPr>
          <w:rFonts w:ascii="Arial" w:hAnsi="Arial" w:cs="Arial"/>
        </w:rPr>
        <w:t>led training for a short period offered by consultants as the highest</w:t>
      </w:r>
      <w:r w:rsidR="002922CF">
        <w:rPr>
          <w:rFonts w:ascii="Arial" w:hAnsi="Arial" w:cs="Arial"/>
        </w:rPr>
        <w:t>-</w:t>
      </w:r>
      <w:r w:rsidRPr="00071DAA">
        <w:rPr>
          <w:rFonts w:ascii="Arial" w:hAnsi="Arial" w:cs="Arial"/>
        </w:rPr>
        <w:t xml:space="preserve">ranked approach to training and education for securing finance for real estate project development in all the emerging and developed economies in this study apart from Germany. The data also shows significant use of </w:t>
      </w:r>
      <w:r w:rsidR="00557A3A" w:rsidRPr="00071DAA">
        <w:rPr>
          <w:rFonts w:ascii="Arial" w:hAnsi="Arial" w:cs="Arial"/>
        </w:rPr>
        <w:t>computer-based</w:t>
      </w:r>
      <w:r w:rsidRPr="00071DAA">
        <w:rPr>
          <w:rFonts w:ascii="Arial" w:hAnsi="Arial" w:cs="Arial"/>
        </w:rPr>
        <w:t xml:space="preserve"> training by managers in both the developed and emerging economies.</w:t>
      </w:r>
    </w:p>
    <w:p w14:paraId="398CE5FC" w14:textId="7504CFB3" w:rsidR="00CD6352" w:rsidRPr="00071DAA" w:rsidRDefault="00CD6352" w:rsidP="00CD6352">
      <w:pPr>
        <w:spacing w:line="360" w:lineRule="auto"/>
        <w:rPr>
          <w:rFonts w:ascii="Arial" w:hAnsi="Arial" w:cs="Arial"/>
        </w:rPr>
      </w:pPr>
      <w:r w:rsidRPr="00071DAA">
        <w:rPr>
          <w:rFonts w:ascii="Arial" w:hAnsi="Arial" w:cs="Arial"/>
        </w:rPr>
        <w:t xml:space="preserve">The mean score ranking for the countries </w:t>
      </w:r>
      <w:r w:rsidR="00A6098C">
        <w:rPr>
          <w:rFonts w:ascii="Arial" w:hAnsi="Arial" w:cs="Arial"/>
        </w:rPr>
        <w:t>is</w:t>
      </w:r>
      <w:r w:rsidRPr="00071DAA">
        <w:rPr>
          <w:rFonts w:ascii="Arial" w:hAnsi="Arial" w:cs="Arial"/>
        </w:rPr>
        <w:t xml:space="preserve"> Germany (2 to 1.5), UK (4.5 to 2.7), </w:t>
      </w:r>
      <w:r w:rsidR="00A6098C">
        <w:rPr>
          <w:rFonts w:ascii="Arial" w:hAnsi="Arial" w:cs="Arial"/>
        </w:rPr>
        <w:t xml:space="preserve">the </w:t>
      </w:r>
      <w:r w:rsidRPr="00071DAA">
        <w:rPr>
          <w:rFonts w:ascii="Arial" w:hAnsi="Arial" w:cs="Arial"/>
        </w:rPr>
        <w:t xml:space="preserve">US (3.6 to 2), China (4.33 to 2.33), Nigeria (4.26 to 3) and South Africa (4.63 to 3.25). The mean score ranking shows that all </w:t>
      </w:r>
      <w:r>
        <w:rPr>
          <w:rFonts w:ascii="Arial" w:hAnsi="Arial" w:cs="Arial"/>
        </w:rPr>
        <w:t>twelve</w:t>
      </w:r>
      <w:r w:rsidRPr="00071DAA">
        <w:rPr>
          <w:rFonts w:ascii="Arial" w:hAnsi="Arial" w:cs="Arial"/>
        </w:rPr>
        <w:t xml:space="preserve"> approaches to management training and education for securing finance for real estate project development are significantly used by managers who responded to the questionnaire survey in the three emerging economies, UK and </w:t>
      </w:r>
      <w:r w:rsidR="00732757">
        <w:rPr>
          <w:rFonts w:ascii="Arial" w:hAnsi="Arial" w:cs="Arial"/>
        </w:rPr>
        <w:t xml:space="preserve">the </w:t>
      </w:r>
      <w:r w:rsidRPr="00071DAA">
        <w:rPr>
          <w:rFonts w:ascii="Arial" w:hAnsi="Arial" w:cs="Arial"/>
        </w:rPr>
        <w:t xml:space="preserve">US. However, managers who operate in Germany are not keen on using university residential </w:t>
      </w:r>
      <w:r w:rsidR="00557A3A" w:rsidRPr="00071DAA">
        <w:rPr>
          <w:rFonts w:ascii="Arial" w:hAnsi="Arial" w:cs="Arial"/>
        </w:rPr>
        <w:t>(full</w:t>
      </w:r>
      <w:r w:rsidR="002922CF">
        <w:rPr>
          <w:rFonts w:ascii="Arial" w:hAnsi="Arial" w:cs="Arial"/>
        </w:rPr>
        <w:t>-</w:t>
      </w:r>
      <w:r w:rsidRPr="00071DAA">
        <w:rPr>
          <w:rFonts w:ascii="Arial" w:hAnsi="Arial" w:cs="Arial"/>
        </w:rPr>
        <w:t xml:space="preserve">time program for some weeks). Arguably this is because this approach to training entails </w:t>
      </w:r>
      <w:r>
        <w:rPr>
          <w:rFonts w:ascii="Arial" w:hAnsi="Arial" w:cs="Arial"/>
        </w:rPr>
        <w:t xml:space="preserve">a </w:t>
      </w:r>
      <w:r w:rsidRPr="00071DAA">
        <w:rPr>
          <w:rFonts w:ascii="Arial" w:hAnsi="Arial" w:cs="Arial"/>
        </w:rPr>
        <w:t xml:space="preserve">significant cost as the manager will have to be away from work when on </w:t>
      </w:r>
      <w:r w:rsidR="00557A3A" w:rsidRPr="00071DAA">
        <w:rPr>
          <w:rFonts w:ascii="Arial" w:hAnsi="Arial" w:cs="Arial"/>
        </w:rPr>
        <w:t>training.</w:t>
      </w:r>
      <w:r w:rsidRPr="00071DAA">
        <w:rPr>
          <w:rFonts w:ascii="Arial" w:hAnsi="Arial" w:cs="Arial"/>
        </w:rPr>
        <w:t xml:space="preserve"> The top five ranked approaches for training and education for securing finance for real estate project development used by managers in the developed and emerging economies is </w:t>
      </w:r>
      <w:r>
        <w:rPr>
          <w:rFonts w:ascii="Arial" w:hAnsi="Arial" w:cs="Arial"/>
        </w:rPr>
        <w:t>shown</w:t>
      </w:r>
      <w:r w:rsidRPr="00071DAA">
        <w:rPr>
          <w:rFonts w:ascii="Arial" w:hAnsi="Arial" w:cs="Arial"/>
        </w:rPr>
        <w:t xml:space="preserve"> below:</w:t>
      </w:r>
    </w:p>
    <w:p w14:paraId="6D5FD760" w14:textId="77777777" w:rsidR="00CD6352" w:rsidRPr="00EA7665" w:rsidRDefault="00CD6352" w:rsidP="00CD63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CD6352" w:rsidRPr="00EA7665" w14:paraId="21DCBF82" w14:textId="77777777" w:rsidTr="00CD6352">
        <w:tc>
          <w:tcPr>
            <w:tcW w:w="3080" w:type="dxa"/>
          </w:tcPr>
          <w:p w14:paraId="10D66E1F" w14:textId="77777777" w:rsidR="00CD6352" w:rsidRPr="00EA7665" w:rsidRDefault="00CD6352" w:rsidP="00CD6352">
            <w:pPr>
              <w:rPr>
                <w:rFonts w:ascii="Arial" w:hAnsi="Arial" w:cs="Arial"/>
                <w:b/>
                <w:sz w:val="16"/>
                <w:szCs w:val="16"/>
              </w:rPr>
            </w:pPr>
            <w:r w:rsidRPr="00EA7665">
              <w:rPr>
                <w:rFonts w:ascii="Arial" w:hAnsi="Arial" w:cs="Arial"/>
                <w:b/>
                <w:sz w:val="16"/>
                <w:szCs w:val="16"/>
              </w:rPr>
              <w:t>Germany</w:t>
            </w:r>
          </w:p>
          <w:p w14:paraId="0D4B52A3" w14:textId="77777777" w:rsidR="00CD6352" w:rsidRPr="00EA7665" w:rsidRDefault="00CD6352" w:rsidP="00CD6352">
            <w:pPr>
              <w:rPr>
                <w:rFonts w:ascii="Arial" w:hAnsi="Arial" w:cs="Arial"/>
                <w:sz w:val="16"/>
                <w:szCs w:val="16"/>
              </w:rPr>
            </w:pPr>
          </w:p>
          <w:p w14:paraId="1DADF39C" w14:textId="77777777" w:rsidR="00CD6352" w:rsidRPr="00EA7665" w:rsidRDefault="00CD6352" w:rsidP="00C74AEC">
            <w:pPr>
              <w:pStyle w:val="ListParagraph"/>
              <w:numPr>
                <w:ilvl w:val="0"/>
                <w:numId w:val="191"/>
              </w:numPr>
              <w:spacing w:after="0" w:line="240" w:lineRule="auto"/>
              <w:rPr>
                <w:rFonts w:ascii="Arial" w:hAnsi="Arial" w:cs="Arial"/>
                <w:sz w:val="16"/>
                <w:szCs w:val="16"/>
              </w:rPr>
            </w:pPr>
            <w:r w:rsidRPr="00EA7665">
              <w:rPr>
                <w:rFonts w:ascii="Arial" w:hAnsi="Arial" w:cs="Arial"/>
                <w:sz w:val="16"/>
                <w:szCs w:val="16"/>
              </w:rPr>
              <w:t>Executive MBA(with classes on a part-time basis)</w:t>
            </w:r>
          </w:p>
          <w:p w14:paraId="35676A95" w14:textId="77777777" w:rsidR="00CD6352" w:rsidRPr="00EA7665" w:rsidRDefault="00CD6352" w:rsidP="00C74AEC">
            <w:pPr>
              <w:pStyle w:val="ListParagraph"/>
              <w:numPr>
                <w:ilvl w:val="0"/>
                <w:numId w:val="191"/>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5B70B7D6" w14:textId="77777777" w:rsidR="00CD6352" w:rsidRPr="00EA7665" w:rsidRDefault="00CD6352" w:rsidP="00C74AEC">
            <w:pPr>
              <w:pStyle w:val="ListParagraph"/>
              <w:numPr>
                <w:ilvl w:val="0"/>
                <w:numId w:val="191"/>
              </w:numPr>
              <w:spacing w:after="0" w:line="240" w:lineRule="auto"/>
              <w:rPr>
                <w:rFonts w:ascii="Arial" w:hAnsi="Arial" w:cs="Arial"/>
                <w:sz w:val="16"/>
                <w:szCs w:val="16"/>
              </w:rPr>
            </w:pPr>
            <w:r w:rsidRPr="00EA7665">
              <w:rPr>
                <w:rFonts w:ascii="Arial" w:hAnsi="Arial" w:cs="Arial"/>
                <w:sz w:val="16"/>
                <w:szCs w:val="16"/>
              </w:rPr>
              <w:t>External training</w:t>
            </w:r>
          </w:p>
          <w:p w14:paraId="0E496131" w14:textId="77777777" w:rsidR="00CD6352" w:rsidRPr="00EA7665" w:rsidRDefault="00CD6352" w:rsidP="00C74AEC">
            <w:pPr>
              <w:pStyle w:val="ListParagraph"/>
              <w:numPr>
                <w:ilvl w:val="0"/>
                <w:numId w:val="191"/>
              </w:numPr>
              <w:spacing w:after="0" w:line="240" w:lineRule="auto"/>
              <w:rPr>
                <w:rFonts w:ascii="Arial" w:hAnsi="Arial" w:cs="Arial"/>
                <w:sz w:val="16"/>
                <w:szCs w:val="16"/>
              </w:rPr>
            </w:pPr>
            <w:r w:rsidRPr="00EA7665">
              <w:rPr>
                <w:rFonts w:ascii="Arial" w:hAnsi="Arial" w:cs="Arial"/>
                <w:sz w:val="16"/>
                <w:szCs w:val="16"/>
              </w:rPr>
              <w:t>Computer-based training</w:t>
            </w:r>
          </w:p>
          <w:p w14:paraId="30223D1D" w14:textId="77777777" w:rsidR="00CD6352" w:rsidRPr="00EA7665" w:rsidRDefault="00CD6352" w:rsidP="00C74AEC">
            <w:pPr>
              <w:pStyle w:val="ListParagraph"/>
              <w:numPr>
                <w:ilvl w:val="0"/>
                <w:numId w:val="191"/>
              </w:numPr>
              <w:spacing w:after="0" w:line="240" w:lineRule="auto"/>
              <w:rPr>
                <w:rFonts w:ascii="Arial" w:hAnsi="Arial" w:cs="Arial"/>
                <w:sz w:val="16"/>
                <w:szCs w:val="16"/>
              </w:rPr>
            </w:pPr>
            <w:r w:rsidRPr="00EA7665">
              <w:rPr>
                <w:rFonts w:ascii="Arial" w:hAnsi="Arial" w:cs="Arial"/>
                <w:sz w:val="16"/>
                <w:szCs w:val="16"/>
              </w:rPr>
              <w:t>Learning by holding meetings</w:t>
            </w:r>
          </w:p>
          <w:p w14:paraId="2C8F50BC" w14:textId="77777777" w:rsidR="00CD6352" w:rsidRPr="00EA7665" w:rsidRDefault="00CD6352" w:rsidP="00CD6352">
            <w:pPr>
              <w:rPr>
                <w:rFonts w:ascii="Arial" w:hAnsi="Arial" w:cs="Arial"/>
                <w:sz w:val="16"/>
                <w:szCs w:val="16"/>
              </w:rPr>
            </w:pPr>
          </w:p>
        </w:tc>
        <w:tc>
          <w:tcPr>
            <w:tcW w:w="3081" w:type="dxa"/>
          </w:tcPr>
          <w:p w14:paraId="111915EA" w14:textId="6ABB0363" w:rsidR="00CD6352" w:rsidRPr="00EA7665" w:rsidRDefault="00557A3A" w:rsidP="00CD6352">
            <w:pPr>
              <w:rPr>
                <w:rFonts w:ascii="Arial" w:hAnsi="Arial" w:cs="Arial"/>
                <w:b/>
                <w:sz w:val="16"/>
                <w:szCs w:val="16"/>
              </w:rPr>
            </w:pPr>
            <w:r>
              <w:rPr>
                <w:rFonts w:ascii="Arial" w:hAnsi="Arial" w:cs="Arial"/>
                <w:b/>
                <w:sz w:val="16"/>
                <w:szCs w:val="16"/>
              </w:rPr>
              <w:t xml:space="preserve">            </w:t>
            </w:r>
            <w:r w:rsidR="00CD6352" w:rsidRPr="00EA7665">
              <w:rPr>
                <w:rFonts w:ascii="Arial" w:hAnsi="Arial" w:cs="Arial"/>
                <w:b/>
                <w:sz w:val="16"/>
                <w:szCs w:val="16"/>
              </w:rPr>
              <w:t>UK</w:t>
            </w:r>
          </w:p>
          <w:p w14:paraId="0A6A6EC7" w14:textId="77777777" w:rsidR="00CD6352" w:rsidRPr="00EA7665" w:rsidRDefault="00CD6352" w:rsidP="00C74AEC">
            <w:pPr>
              <w:pStyle w:val="ListParagraph"/>
              <w:numPr>
                <w:ilvl w:val="0"/>
                <w:numId w:val="192"/>
              </w:numPr>
              <w:spacing w:after="0" w:line="240" w:lineRule="auto"/>
              <w:rPr>
                <w:rFonts w:ascii="Arial" w:hAnsi="Arial" w:cs="Arial"/>
                <w:sz w:val="16"/>
                <w:szCs w:val="16"/>
              </w:rPr>
            </w:pPr>
            <w:r w:rsidRPr="00EA7665">
              <w:rPr>
                <w:rFonts w:ascii="Arial" w:hAnsi="Arial" w:cs="Arial"/>
                <w:sz w:val="16"/>
                <w:szCs w:val="16"/>
              </w:rPr>
              <w:t>Classroom instructor-led training for a short period(offered by consultants)</w:t>
            </w:r>
          </w:p>
          <w:p w14:paraId="302887AF" w14:textId="77777777" w:rsidR="00CD6352" w:rsidRPr="00EA7665" w:rsidRDefault="00CD6352" w:rsidP="00C74AEC">
            <w:pPr>
              <w:pStyle w:val="ListParagraph"/>
              <w:numPr>
                <w:ilvl w:val="0"/>
                <w:numId w:val="192"/>
              </w:numPr>
              <w:spacing w:after="0" w:line="240" w:lineRule="auto"/>
              <w:rPr>
                <w:rFonts w:ascii="Arial" w:hAnsi="Arial" w:cs="Arial"/>
                <w:sz w:val="16"/>
                <w:szCs w:val="16"/>
              </w:rPr>
            </w:pPr>
            <w:r w:rsidRPr="00EA7665">
              <w:rPr>
                <w:rFonts w:ascii="Arial" w:hAnsi="Arial" w:cs="Arial"/>
                <w:sz w:val="16"/>
                <w:szCs w:val="16"/>
              </w:rPr>
              <w:t>Conferences &amp; seminar</w:t>
            </w:r>
          </w:p>
          <w:p w14:paraId="1DEA11AE" w14:textId="77777777" w:rsidR="00CD6352" w:rsidRPr="00EA7665" w:rsidRDefault="00CD6352" w:rsidP="00C74AEC">
            <w:pPr>
              <w:pStyle w:val="ListParagraph"/>
              <w:numPr>
                <w:ilvl w:val="0"/>
                <w:numId w:val="192"/>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37B4F02A" w14:textId="77777777" w:rsidR="00CD6352" w:rsidRPr="00EA7665" w:rsidRDefault="00CD6352" w:rsidP="00C74AEC">
            <w:pPr>
              <w:pStyle w:val="ListParagraph"/>
              <w:numPr>
                <w:ilvl w:val="0"/>
                <w:numId w:val="192"/>
              </w:numPr>
              <w:spacing w:after="0" w:line="240" w:lineRule="auto"/>
              <w:rPr>
                <w:rFonts w:ascii="Arial" w:hAnsi="Arial" w:cs="Arial"/>
                <w:sz w:val="16"/>
                <w:szCs w:val="16"/>
              </w:rPr>
            </w:pPr>
            <w:r w:rsidRPr="00EA7665">
              <w:rPr>
                <w:rFonts w:ascii="Arial" w:hAnsi="Arial" w:cs="Arial"/>
                <w:sz w:val="16"/>
                <w:szCs w:val="16"/>
              </w:rPr>
              <w:t>Executive MBA(with classes on a part-time basis)</w:t>
            </w:r>
          </w:p>
          <w:p w14:paraId="336E5EB0" w14:textId="77777777" w:rsidR="00CD6352" w:rsidRPr="00EA7665" w:rsidRDefault="00CD6352" w:rsidP="00C74AEC">
            <w:pPr>
              <w:pStyle w:val="ListParagraph"/>
              <w:numPr>
                <w:ilvl w:val="0"/>
                <w:numId w:val="192"/>
              </w:numPr>
              <w:spacing w:after="0" w:line="240" w:lineRule="auto"/>
              <w:rPr>
                <w:rFonts w:ascii="Arial" w:hAnsi="Arial" w:cs="Arial"/>
                <w:sz w:val="16"/>
                <w:szCs w:val="16"/>
              </w:rPr>
            </w:pPr>
            <w:r w:rsidRPr="00EA7665">
              <w:rPr>
                <w:rFonts w:ascii="Arial" w:hAnsi="Arial" w:cs="Arial"/>
                <w:sz w:val="16"/>
                <w:szCs w:val="16"/>
              </w:rPr>
              <w:t xml:space="preserve">Computer-based training </w:t>
            </w:r>
          </w:p>
        </w:tc>
        <w:tc>
          <w:tcPr>
            <w:tcW w:w="3081" w:type="dxa"/>
          </w:tcPr>
          <w:p w14:paraId="2C336134" w14:textId="1DCD14DE" w:rsidR="00CD6352" w:rsidRPr="00EA7665" w:rsidRDefault="00557A3A" w:rsidP="00CD6352">
            <w:pPr>
              <w:rPr>
                <w:rFonts w:ascii="Arial" w:hAnsi="Arial" w:cs="Arial"/>
                <w:b/>
                <w:sz w:val="16"/>
                <w:szCs w:val="16"/>
              </w:rPr>
            </w:pPr>
            <w:r>
              <w:rPr>
                <w:rFonts w:ascii="Arial" w:hAnsi="Arial" w:cs="Arial"/>
                <w:b/>
                <w:sz w:val="16"/>
                <w:szCs w:val="16"/>
              </w:rPr>
              <w:t xml:space="preserve">                  </w:t>
            </w:r>
            <w:r w:rsidR="00CD6352" w:rsidRPr="00EA7665">
              <w:rPr>
                <w:rFonts w:ascii="Arial" w:hAnsi="Arial" w:cs="Arial"/>
                <w:b/>
                <w:sz w:val="16"/>
                <w:szCs w:val="16"/>
              </w:rPr>
              <w:t>US</w:t>
            </w:r>
          </w:p>
          <w:p w14:paraId="4A24C482" w14:textId="77777777" w:rsidR="00CD6352" w:rsidRPr="00EA7665" w:rsidRDefault="00CD6352" w:rsidP="00C74AEC">
            <w:pPr>
              <w:pStyle w:val="ListParagraph"/>
              <w:numPr>
                <w:ilvl w:val="0"/>
                <w:numId w:val="193"/>
              </w:numPr>
              <w:spacing w:after="0" w:line="240" w:lineRule="auto"/>
              <w:rPr>
                <w:rFonts w:ascii="Arial" w:hAnsi="Arial" w:cs="Arial"/>
                <w:sz w:val="16"/>
                <w:szCs w:val="16"/>
              </w:rPr>
            </w:pPr>
            <w:r w:rsidRPr="00EA7665">
              <w:rPr>
                <w:rFonts w:ascii="Arial" w:hAnsi="Arial" w:cs="Arial"/>
                <w:sz w:val="16"/>
                <w:szCs w:val="16"/>
              </w:rPr>
              <w:t>Classroom instructor-led training for a short period(offered by consultants)</w:t>
            </w:r>
          </w:p>
          <w:p w14:paraId="7F93870A" w14:textId="77777777" w:rsidR="00CD6352" w:rsidRPr="00EA7665" w:rsidRDefault="00CD6352" w:rsidP="00C74AEC">
            <w:pPr>
              <w:pStyle w:val="ListParagraph"/>
              <w:numPr>
                <w:ilvl w:val="0"/>
                <w:numId w:val="193"/>
              </w:numPr>
              <w:spacing w:after="0" w:line="240" w:lineRule="auto"/>
              <w:rPr>
                <w:rFonts w:ascii="Arial" w:hAnsi="Arial" w:cs="Arial"/>
                <w:sz w:val="16"/>
                <w:szCs w:val="16"/>
              </w:rPr>
            </w:pPr>
            <w:r w:rsidRPr="00EA7665">
              <w:rPr>
                <w:rFonts w:ascii="Arial" w:hAnsi="Arial" w:cs="Arial"/>
                <w:sz w:val="16"/>
                <w:szCs w:val="16"/>
              </w:rPr>
              <w:t>Conferences &amp; seminar</w:t>
            </w:r>
          </w:p>
          <w:p w14:paraId="59B08657" w14:textId="77777777" w:rsidR="00CD6352" w:rsidRPr="00EA7665" w:rsidRDefault="00CD6352" w:rsidP="00C74AEC">
            <w:pPr>
              <w:pStyle w:val="ListParagraph"/>
              <w:numPr>
                <w:ilvl w:val="0"/>
                <w:numId w:val="193"/>
              </w:numPr>
              <w:spacing w:after="0" w:line="240" w:lineRule="auto"/>
              <w:rPr>
                <w:rFonts w:ascii="Arial" w:hAnsi="Arial" w:cs="Arial"/>
                <w:sz w:val="16"/>
                <w:szCs w:val="16"/>
              </w:rPr>
            </w:pPr>
            <w:r w:rsidRPr="00EA7665">
              <w:rPr>
                <w:rFonts w:ascii="Arial" w:hAnsi="Arial" w:cs="Arial"/>
                <w:sz w:val="16"/>
                <w:szCs w:val="16"/>
              </w:rPr>
              <w:t>Executive MBA(with classes on a part-time basis)</w:t>
            </w:r>
          </w:p>
          <w:p w14:paraId="641E8D3F" w14:textId="77777777" w:rsidR="00CD6352" w:rsidRPr="00EA7665" w:rsidRDefault="00CD6352" w:rsidP="00C74AEC">
            <w:pPr>
              <w:pStyle w:val="ListParagraph"/>
              <w:numPr>
                <w:ilvl w:val="0"/>
                <w:numId w:val="193"/>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031D9B55" w14:textId="77777777" w:rsidR="00CD6352" w:rsidRPr="00EA7665" w:rsidRDefault="00CD6352" w:rsidP="00C74AEC">
            <w:pPr>
              <w:pStyle w:val="ListParagraph"/>
              <w:numPr>
                <w:ilvl w:val="0"/>
                <w:numId w:val="193"/>
              </w:numPr>
              <w:spacing w:after="0" w:line="240" w:lineRule="auto"/>
              <w:rPr>
                <w:rFonts w:ascii="Arial" w:hAnsi="Arial" w:cs="Arial"/>
                <w:sz w:val="16"/>
                <w:szCs w:val="16"/>
              </w:rPr>
            </w:pPr>
            <w:r w:rsidRPr="00EA7665">
              <w:rPr>
                <w:rFonts w:ascii="Arial" w:hAnsi="Arial" w:cs="Arial"/>
                <w:sz w:val="16"/>
                <w:szCs w:val="16"/>
              </w:rPr>
              <w:t>Computer-based training</w:t>
            </w:r>
          </w:p>
        </w:tc>
      </w:tr>
      <w:tr w:rsidR="00CD6352" w:rsidRPr="00EA7665" w14:paraId="7AC54473" w14:textId="77777777" w:rsidTr="00CD6352">
        <w:tc>
          <w:tcPr>
            <w:tcW w:w="3080" w:type="dxa"/>
          </w:tcPr>
          <w:p w14:paraId="2CAB977A" w14:textId="77777777" w:rsidR="00CD6352" w:rsidRPr="00EA7665" w:rsidRDefault="00CD6352" w:rsidP="00CD6352">
            <w:pPr>
              <w:rPr>
                <w:rFonts w:ascii="Arial" w:hAnsi="Arial" w:cs="Arial"/>
                <w:b/>
                <w:sz w:val="16"/>
                <w:szCs w:val="16"/>
              </w:rPr>
            </w:pPr>
            <w:r w:rsidRPr="00EA7665">
              <w:rPr>
                <w:rFonts w:ascii="Arial" w:hAnsi="Arial" w:cs="Arial"/>
                <w:b/>
                <w:sz w:val="16"/>
                <w:szCs w:val="16"/>
              </w:rPr>
              <w:t>China</w:t>
            </w:r>
          </w:p>
          <w:p w14:paraId="4DDEE51B" w14:textId="77777777" w:rsidR="00CD6352" w:rsidRPr="00EA7665" w:rsidRDefault="00CD6352" w:rsidP="00C74AEC">
            <w:pPr>
              <w:pStyle w:val="ListParagraph"/>
              <w:numPr>
                <w:ilvl w:val="0"/>
                <w:numId w:val="194"/>
              </w:numPr>
              <w:spacing w:after="0" w:line="240" w:lineRule="auto"/>
              <w:rPr>
                <w:rFonts w:ascii="Arial" w:hAnsi="Arial" w:cs="Arial"/>
                <w:sz w:val="16"/>
                <w:szCs w:val="16"/>
              </w:rPr>
            </w:pPr>
            <w:r w:rsidRPr="00EA7665">
              <w:rPr>
                <w:rFonts w:ascii="Arial" w:hAnsi="Arial" w:cs="Arial"/>
                <w:sz w:val="16"/>
                <w:szCs w:val="16"/>
              </w:rPr>
              <w:t xml:space="preserve">Classroom instructor-led training for a short </w:t>
            </w:r>
            <w:r w:rsidRPr="00EA7665">
              <w:rPr>
                <w:rFonts w:ascii="Arial" w:hAnsi="Arial" w:cs="Arial"/>
                <w:sz w:val="16"/>
                <w:szCs w:val="16"/>
              </w:rPr>
              <w:lastRenderedPageBreak/>
              <w:t>period(offered by consultants)</w:t>
            </w:r>
          </w:p>
          <w:p w14:paraId="7B082914" w14:textId="77777777" w:rsidR="00CD6352" w:rsidRPr="00EA7665" w:rsidRDefault="00CD6352" w:rsidP="00C74AEC">
            <w:pPr>
              <w:pStyle w:val="ListParagraph"/>
              <w:numPr>
                <w:ilvl w:val="0"/>
                <w:numId w:val="194"/>
              </w:numPr>
              <w:spacing w:after="0" w:line="240" w:lineRule="auto"/>
              <w:rPr>
                <w:rFonts w:ascii="Arial" w:hAnsi="Arial" w:cs="Arial"/>
                <w:sz w:val="16"/>
                <w:szCs w:val="16"/>
              </w:rPr>
            </w:pPr>
            <w:r w:rsidRPr="00EA7665">
              <w:rPr>
                <w:rFonts w:ascii="Arial" w:hAnsi="Arial" w:cs="Arial"/>
                <w:sz w:val="16"/>
                <w:szCs w:val="16"/>
              </w:rPr>
              <w:t>Conferences &amp; seminar</w:t>
            </w:r>
          </w:p>
          <w:p w14:paraId="031CD02B" w14:textId="77777777" w:rsidR="00CD6352" w:rsidRPr="00EA7665" w:rsidRDefault="00CD6352" w:rsidP="00C74AEC">
            <w:pPr>
              <w:pStyle w:val="ListParagraph"/>
              <w:numPr>
                <w:ilvl w:val="0"/>
                <w:numId w:val="194"/>
              </w:numPr>
              <w:spacing w:after="0" w:line="240" w:lineRule="auto"/>
              <w:rPr>
                <w:rFonts w:ascii="Arial" w:hAnsi="Arial" w:cs="Arial"/>
                <w:sz w:val="16"/>
                <w:szCs w:val="16"/>
              </w:rPr>
            </w:pPr>
            <w:r w:rsidRPr="00EA7665">
              <w:rPr>
                <w:rFonts w:ascii="Arial" w:hAnsi="Arial" w:cs="Arial"/>
                <w:sz w:val="16"/>
                <w:szCs w:val="16"/>
              </w:rPr>
              <w:t>Computer-based training</w:t>
            </w:r>
          </w:p>
          <w:p w14:paraId="036AA451" w14:textId="77777777" w:rsidR="00CD6352" w:rsidRPr="00EA7665" w:rsidRDefault="00CD6352" w:rsidP="00C74AEC">
            <w:pPr>
              <w:pStyle w:val="ListParagraph"/>
              <w:numPr>
                <w:ilvl w:val="0"/>
                <w:numId w:val="194"/>
              </w:numPr>
              <w:spacing w:after="0" w:line="240" w:lineRule="auto"/>
              <w:rPr>
                <w:rFonts w:ascii="Arial" w:hAnsi="Arial" w:cs="Arial"/>
                <w:sz w:val="16"/>
                <w:szCs w:val="16"/>
              </w:rPr>
            </w:pPr>
            <w:r w:rsidRPr="00EA7665">
              <w:rPr>
                <w:rFonts w:ascii="Arial" w:hAnsi="Arial" w:cs="Arial"/>
                <w:sz w:val="16"/>
                <w:szCs w:val="16"/>
              </w:rPr>
              <w:t>Executive MBA(with classes on a part-time basis)</w:t>
            </w:r>
          </w:p>
          <w:p w14:paraId="2D2E6EBA" w14:textId="77777777" w:rsidR="00CD6352" w:rsidRPr="00EA7665" w:rsidRDefault="00CD6352" w:rsidP="00C74AEC">
            <w:pPr>
              <w:pStyle w:val="ListParagraph"/>
              <w:numPr>
                <w:ilvl w:val="0"/>
                <w:numId w:val="194"/>
              </w:numPr>
              <w:spacing w:after="0" w:line="240" w:lineRule="auto"/>
              <w:rPr>
                <w:rFonts w:ascii="Arial" w:hAnsi="Arial" w:cs="Arial"/>
                <w:sz w:val="16"/>
                <w:szCs w:val="16"/>
              </w:rPr>
            </w:pPr>
            <w:r w:rsidRPr="00EA7665">
              <w:rPr>
                <w:rFonts w:ascii="Arial" w:hAnsi="Arial" w:cs="Arial"/>
                <w:sz w:val="16"/>
                <w:szCs w:val="16"/>
              </w:rPr>
              <w:t>External training</w:t>
            </w:r>
          </w:p>
          <w:p w14:paraId="695AA1FC" w14:textId="77777777" w:rsidR="00CD6352" w:rsidRPr="00EA7665" w:rsidRDefault="00CD6352" w:rsidP="00CD6352">
            <w:pPr>
              <w:rPr>
                <w:rFonts w:ascii="Arial" w:hAnsi="Arial" w:cs="Arial"/>
                <w:sz w:val="16"/>
                <w:szCs w:val="16"/>
              </w:rPr>
            </w:pPr>
          </w:p>
        </w:tc>
        <w:tc>
          <w:tcPr>
            <w:tcW w:w="3081" w:type="dxa"/>
          </w:tcPr>
          <w:p w14:paraId="55053BFE" w14:textId="77777777" w:rsidR="00CD6352" w:rsidRPr="00EA7665" w:rsidRDefault="00CD6352" w:rsidP="00CD6352">
            <w:pPr>
              <w:rPr>
                <w:rFonts w:ascii="Arial" w:hAnsi="Arial" w:cs="Arial"/>
                <w:b/>
                <w:sz w:val="16"/>
                <w:szCs w:val="16"/>
              </w:rPr>
            </w:pPr>
            <w:r w:rsidRPr="00EA7665">
              <w:rPr>
                <w:rFonts w:ascii="Arial" w:hAnsi="Arial" w:cs="Arial"/>
                <w:b/>
                <w:sz w:val="16"/>
                <w:szCs w:val="16"/>
              </w:rPr>
              <w:lastRenderedPageBreak/>
              <w:t>Nigeria</w:t>
            </w:r>
          </w:p>
          <w:p w14:paraId="44DB4F99" w14:textId="77777777" w:rsidR="00CD6352" w:rsidRPr="00EA7665" w:rsidRDefault="00CD6352" w:rsidP="00C74AEC">
            <w:pPr>
              <w:pStyle w:val="ListParagraph"/>
              <w:numPr>
                <w:ilvl w:val="0"/>
                <w:numId w:val="195"/>
              </w:numPr>
              <w:spacing w:after="0" w:line="240" w:lineRule="auto"/>
              <w:rPr>
                <w:rFonts w:ascii="Arial" w:hAnsi="Arial" w:cs="Arial"/>
                <w:sz w:val="16"/>
                <w:szCs w:val="16"/>
              </w:rPr>
            </w:pPr>
            <w:r w:rsidRPr="00EA7665">
              <w:rPr>
                <w:rFonts w:ascii="Arial" w:hAnsi="Arial" w:cs="Arial"/>
                <w:sz w:val="16"/>
                <w:szCs w:val="16"/>
              </w:rPr>
              <w:t xml:space="preserve">Classroom instructor-led training for a short </w:t>
            </w:r>
            <w:r w:rsidRPr="00EA7665">
              <w:rPr>
                <w:rFonts w:ascii="Arial" w:hAnsi="Arial" w:cs="Arial"/>
                <w:sz w:val="16"/>
                <w:szCs w:val="16"/>
              </w:rPr>
              <w:lastRenderedPageBreak/>
              <w:t>period(offered by consultants)</w:t>
            </w:r>
          </w:p>
          <w:p w14:paraId="2C896FA2" w14:textId="77777777" w:rsidR="00CD6352" w:rsidRPr="00EA7665" w:rsidRDefault="00CD6352" w:rsidP="00C74AEC">
            <w:pPr>
              <w:pStyle w:val="ListParagraph"/>
              <w:numPr>
                <w:ilvl w:val="0"/>
                <w:numId w:val="195"/>
              </w:numPr>
              <w:spacing w:after="0" w:line="240" w:lineRule="auto"/>
              <w:rPr>
                <w:rFonts w:ascii="Arial" w:hAnsi="Arial" w:cs="Arial"/>
                <w:sz w:val="16"/>
                <w:szCs w:val="16"/>
              </w:rPr>
            </w:pPr>
            <w:r w:rsidRPr="00EA7665">
              <w:rPr>
                <w:rFonts w:ascii="Arial" w:hAnsi="Arial" w:cs="Arial"/>
                <w:sz w:val="16"/>
                <w:szCs w:val="16"/>
              </w:rPr>
              <w:t>Computer-based training</w:t>
            </w:r>
          </w:p>
          <w:p w14:paraId="2F8C6588" w14:textId="77777777" w:rsidR="00CD6352" w:rsidRPr="00EA7665" w:rsidRDefault="00CD6352" w:rsidP="00C74AEC">
            <w:pPr>
              <w:pStyle w:val="ListParagraph"/>
              <w:numPr>
                <w:ilvl w:val="0"/>
                <w:numId w:val="195"/>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381FD76B" w14:textId="77777777" w:rsidR="00CD6352" w:rsidRPr="00EA7665" w:rsidRDefault="00CD6352" w:rsidP="00C74AEC">
            <w:pPr>
              <w:pStyle w:val="ListParagraph"/>
              <w:numPr>
                <w:ilvl w:val="0"/>
                <w:numId w:val="195"/>
              </w:numPr>
              <w:spacing w:after="0" w:line="240" w:lineRule="auto"/>
              <w:rPr>
                <w:rFonts w:ascii="Arial" w:hAnsi="Arial" w:cs="Arial"/>
                <w:sz w:val="16"/>
                <w:szCs w:val="16"/>
              </w:rPr>
            </w:pPr>
            <w:r w:rsidRPr="00EA7665">
              <w:rPr>
                <w:rFonts w:ascii="Arial" w:hAnsi="Arial" w:cs="Arial"/>
                <w:sz w:val="16"/>
                <w:szCs w:val="16"/>
              </w:rPr>
              <w:t>External training</w:t>
            </w:r>
          </w:p>
          <w:p w14:paraId="3897E283" w14:textId="77777777" w:rsidR="00CD6352" w:rsidRPr="00EA7665" w:rsidRDefault="00CD6352" w:rsidP="00C74AEC">
            <w:pPr>
              <w:pStyle w:val="ListParagraph"/>
              <w:numPr>
                <w:ilvl w:val="0"/>
                <w:numId w:val="195"/>
              </w:numPr>
              <w:spacing w:after="0" w:line="240" w:lineRule="auto"/>
              <w:rPr>
                <w:rFonts w:ascii="Arial" w:hAnsi="Arial" w:cs="Arial"/>
                <w:sz w:val="16"/>
                <w:szCs w:val="16"/>
              </w:rPr>
            </w:pPr>
            <w:r w:rsidRPr="00EA7665">
              <w:rPr>
                <w:rFonts w:ascii="Arial" w:hAnsi="Arial" w:cs="Arial"/>
                <w:sz w:val="16"/>
                <w:szCs w:val="16"/>
              </w:rPr>
              <w:t>Online and tutorial training</w:t>
            </w:r>
          </w:p>
        </w:tc>
        <w:tc>
          <w:tcPr>
            <w:tcW w:w="3081" w:type="dxa"/>
          </w:tcPr>
          <w:p w14:paraId="35D98FBC" w14:textId="77777777" w:rsidR="00CD6352" w:rsidRPr="00EA7665" w:rsidRDefault="00CD6352" w:rsidP="00CD6352">
            <w:pPr>
              <w:rPr>
                <w:rFonts w:ascii="Arial" w:hAnsi="Arial" w:cs="Arial"/>
                <w:b/>
                <w:sz w:val="16"/>
                <w:szCs w:val="16"/>
              </w:rPr>
            </w:pPr>
            <w:r w:rsidRPr="00EA7665">
              <w:rPr>
                <w:rFonts w:ascii="Arial" w:hAnsi="Arial" w:cs="Arial"/>
                <w:b/>
                <w:sz w:val="16"/>
                <w:szCs w:val="16"/>
              </w:rPr>
              <w:lastRenderedPageBreak/>
              <w:t>South Africa</w:t>
            </w:r>
          </w:p>
          <w:p w14:paraId="766BF875" w14:textId="77777777" w:rsidR="00CD6352" w:rsidRPr="00EA7665" w:rsidRDefault="00CD6352" w:rsidP="00C74AEC">
            <w:pPr>
              <w:pStyle w:val="ListParagraph"/>
              <w:numPr>
                <w:ilvl w:val="0"/>
                <w:numId w:val="196"/>
              </w:numPr>
              <w:spacing w:after="0" w:line="240" w:lineRule="auto"/>
              <w:rPr>
                <w:rFonts w:ascii="Arial" w:hAnsi="Arial" w:cs="Arial"/>
                <w:sz w:val="16"/>
                <w:szCs w:val="16"/>
              </w:rPr>
            </w:pPr>
            <w:r w:rsidRPr="00EA7665">
              <w:rPr>
                <w:rFonts w:ascii="Arial" w:hAnsi="Arial" w:cs="Arial"/>
                <w:sz w:val="16"/>
                <w:szCs w:val="16"/>
              </w:rPr>
              <w:t xml:space="preserve">Classroom instructor-led training for a short </w:t>
            </w:r>
            <w:r w:rsidRPr="00EA7665">
              <w:rPr>
                <w:rFonts w:ascii="Arial" w:hAnsi="Arial" w:cs="Arial"/>
                <w:sz w:val="16"/>
                <w:szCs w:val="16"/>
              </w:rPr>
              <w:lastRenderedPageBreak/>
              <w:t>period(offered by consultants)</w:t>
            </w:r>
          </w:p>
          <w:p w14:paraId="2727A68D" w14:textId="77777777" w:rsidR="00CD6352" w:rsidRPr="00EA7665" w:rsidRDefault="00CD6352" w:rsidP="00C74AEC">
            <w:pPr>
              <w:pStyle w:val="ListParagraph"/>
              <w:numPr>
                <w:ilvl w:val="0"/>
                <w:numId w:val="196"/>
              </w:numPr>
              <w:spacing w:after="0" w:line="240" w:lineRule="auto"/>
              <w:rPr>
                <w:rFonts w:ascii="Arial" w:hAnsi="Arial" w:cs="Arial"/>
                <w:sz w:val="16"/>
                <w:szCs w:val="16"/>
              </w:rPr>
            </w:pPr>
            <w:r w:rsidRPr="00EA7665">
              <w:rPr>
                <w:rFonts w:ascii="Arial" w:hAnsi="Arial" w:cs="Arial"/>
                <w:sz w:val="16"/>
                <w:szCs w:val="16"/>
              </w:rPr>
              <w:t xml:space="preserve">Learning by holding meetings </w:t>
            </w:r>
          </w:p>
          <w:p w14:paraId="372D476A" w14:textId="77777777" w:rsidR="00CD6352" w:rsidRPr="00EA7665" w:rsidRDefault="00CD6352" w:rsidP="00C74AEC">
            <w:pPr>
              <w:pStyle w:val="ListParagraph"/>
              <w:numPr>
                <w:ilvl w:val="0"/>
                <w:numId w:val="196"/>
              </w:numPr>
              <w:spacing w:after="0" w:line="240" w:lineRule="auto"/>
              <w:rPr>
                <w:rFonts w:ascii="Arial" w:hAnsi="Arial" w:cs="Arial"/>
                <w:sz w:val="16"/>
                <w:szCs w:val="16"/>
              </w:rPr>
            </w:pPr>
            <w:r w:rsidRPr="00EA7665">
              <w:rPr>
                <w:rFonts w:ascii="Arial" w:hAnsi="Arial" w:cs="Arial"/>
                <w:sz w:val="16"/>
                <w:szCs w:val="16"/>
              </w:rPr>
              <w:t>University residential (the full-time program for some weeks )</w:t>
            </w:r>
          </w:p>
          <w:p w14:paraId="5F197F54" w14:textId="77777777" w:rsidR="00CD6352" w:rsidRPr="00EA7665" w:rsidRDefault="00CD6352" w:rsidP="00C74AEC">
            <w:pPr>
              <w:pStyle w:val="ListParagraph"/>
              <w:numPr>
                <w:ilvl w:val="0"/>
                <w:numId w:val="196"/>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7036A0D7" w14:textId="77777777" w:rsidR="00CD6352" w:rsidRPr="00EA7665" w:rsidRDefault="00CD6352" w:rsidP="00C74AEC">
            <w:pPr>
              <w:pStyle w:val="ListParagraph"/>
              <w:numPr>
                <w:ilvl w:val="0"/>
                <w:numId w:val="196"/>
              </w:numPr>
              <w:spacing w:after="0" w:line="240" w:lineRule="auto"/>
              <w:rPr>
                <w:rFonts w:ascii="Arial" w:hAnsi="Arial" w:cs="Arial"/>
                <w:sz w:val="16"/>
                <w:szCs w:val="16"/>
              </w:rPr>
            </w:pPr>
            <w:r w:rsidRPr="00EA7665">
              <w:rPr>
                <w:rFonts w:ascii="Arial" w:hAnsi="Arial" w:cs="Arial"/>
                <w:sz w:val="16"/>
                <w:szCs w:val="16"/>
              </w:rPr>
              <w:t>Conferences &amp; seminar</w:t>
            </w:r>
          </w:p>
        </w:tc>
      </w:tr>
    </w:tbl>
    <w:p w14:paraId="7CDFE2CA" w14:textId="77777777" w:rsidR="00CD6352" w:rsidRPr="00EA7665" w:rsidRDefault="00CD6352" w:rsidP="00CD6352">
      <w:pPr>
        <w:rPr>
          <w:rFonts w:ascii="Arial" w:hAnsi="Arial" w:cs="Arial"/>
        </w:rPr>
      </w:pPr>
    </w:p>
    <w:p w14:paraId="340C58B1" w14:textId="77777777" w:rsidR="00CD6352" w:rsidRDefault="00CD6352" w:rsidP="00CD6352"/>
    <w:p w14:paraId="08229C7E" w14:textId="6B5524F6" w:rsidR="00CD6352" w:rsidRPr="00EA7665" w:rsidRDefault="00CD6352" w:rsidP="00CD6352">
      <w:pPr>
        <w:pStyle w:val="Heading4"/>
        <w:rPr>
          <w:rFonts w:ascii="Arial" w:hAnsi="Arial" w:cs="Arial"/>
          <w:color w:val="auto"/>
        </w:rPr>
      </w:pPr>
      <w:r w:rsidRPr="00EA7665">
        <w:rPr>
          <w:rFonts w:ascii="Arial" w:hAnsi="Arial" w:cs="Arial"/>
          <w:color w:val="auto"/>
        </w:rPr>
        <w:t xml:space="preserve">The degree of perceived importance </w:t>
      </w:r>
      <w:r w:rsidR="00F37F0D" w:rsidRPr="00EA7665">
        <w:rPr>
          <w:rFonts w:ascii="Arial" w:hAnsi="Arial" w:cs="Arial"/>
          <w:color w:val="auto"/>
        </w:rPr>
        <w:t>of approaches</w:t>
      </w:r>
      <w:r w:rsidRPr="00EA7665">
        <w:rPr>
          <w:rFonts w:ascii="Arial" w:hAnsi="Arial" w:cs="Arial"/>
          <w:color w:val="auto"/>
        </w:rPr>
        <w:t xml:space="preserve"> for management training and education for securing finance for real estate project development for present work.</w:t>
      </w:r>
    </w:p>
    <w:p w14:paraId="32DA46B8" w14:textId="77777777" w:rsidR="00CD6352" w:rsidRPr="00EA7665" w:rsidRDefault="00CD6352" w:rsidP="00CD6352"/>
    <w:p w14:paraId="7AD7DC7A" w14:textId="77777777" w:rsidR="00CD6352" w:rsidRPr="00EA7665" w:rsidRDefault="00CD6352" w:rsidP="00CD6352">
      <w:pPr>
        <w:pStyle w:val="Heading5"/>
        <w:rPr>
          <w:rFonts w:ascii="Arial" w:hAnsi="Arial" w:cs="Arial"/>
          <w:color w:val="auto"/>
        </w:rPr>
      </w:pPr>
      <w:r w:rsidRPr="00EA7665">
        <w:rPr>
          <w:rFonts w:ascii="Arial" w:hAnsi="Arial" w:cs="Arial"/>
          <w:color w:val="auto"/>
        </w:rPr>
        <w:t>Questionnaire survey discussion and analysis at the aggregate level</w:t>
      </w:r>
    </w:p>
    <w:p w14:paraId="46323A24" w14:textId="77777777" w:rsidR="00CD6352" w:rsidRPr="00EA7665" w:rsidRDefault="00CD6352" w:rsidP="00CD6352"/>
    <w:p w14:paraId="0FED60CE" w14:textId="54A0EB1B" w:rsidR="00CD6352" w:rsidRPr="00EA7665" w:rsidRDefault="00CD6352" w:rsidP="00CD6352">
      <w:pPr>
        <w:spacing w:line="360" w:lineRule="auto"/>
      </w:pPr>
      <w:r w:rsidRPr="00EA7665">
        <w:rPr>
          <w:rFonts w:ascii="Arial" w:hAnsi="Arial" w:cs="Arial"/>
        </w:rPr>
        <w:t xml:space="preserve">The results relating to the perceived importance of the different </w:t>
      </w:r>
      <w:r w:rsidR="00E7787D">
        <w:rPr>
          <w:rFonts w:ascii="Arial" w:hAnsi="Arial" w:cs="Arial"/>
        </w:rPr>
        <w:t>management training approaches and education for securing finance for real estate project development show</w:t>
      </w:r>
      <w:r w:rsidRPr="00EA7665">
        <w:rPr>
          <w:rFonts w:ascii="Arial" w:hAnsi="Arial" w:cs="Arial"/>
        </w:rPr>
        <w:t xml:space="preserve"> that almost 42% </w:t>
      </w:r>
      <w:r w:rsidR="00504939" w:rsidRPr="00EA7665">
        <w:rPr>
          <w:rFonts w:ascii="Arial" w:hAnsi="Arial" w:cs="Arial"/>
        </w:rPr>
        <w:t>of survey</w:t>
      </w:r>
      <w:r w:rsidRPr="00EA7665">
        <w:rPr>
          <w:rFonts w:ascii="Arial" w:hAnsi="Arial" w:cs="Arial"/>
        </w:rPr>
        <w:t xml:space="preserve"> respondents consider continuing professional development as important for their present job. This is followed by company</w:t>
      </w:r>
      <w:r w:rsidR="00A6098C">
        <w:rPr>
          <w:rFonts w:ascii="Arial" w:hAnsi="Arial" w:cs="Arial"/>
        </w:rPr>
        <w:t>-</w:t>
      </w:r>
      <w:r w:rsidRPr="00EA7665">
        <w:rPr>
          <w:rFonts w:ascii="Arial" w:hAnsi="Arial" w:cs="Arial"/>
        </w:rPr>
        <w:t>specific courses targ</w:t>
      </w:r>
      <w:r>
        <w:rPr>
          <w:rFonts w:ascii="Arial" w:hAnsi="Arial" w:cs="Arial"/>
        </w:rPr>
        <w:t>eted</w:t>
      </w:r>
      <w:r w:rsidRPr="00EA7665">
        <w:rPr>
          <w:rFonts w:ascii="Arial" w:hAnsi="Arial" w:cs="Arial"/>
        </w:rPr>
        <w:t xml:space="preserve"> at securing financing skills and knowledge (35%), conferences &amp; seminars (31.7%), computer</w:t>
      </w:r>
      <w:r w:rsidR="002922CF">
        <w:rPr>
          <w:rFonts w:ascii="Arial" w:hAnsi="Arial" w:cs="Arial"/>
        </w:rPr>
        <w:t>-</w:t>
      </w:r>
      <w:r w:rsidRPr="00EA7665">
        <w:rPr>
          <w:rFonts w:ascii="Arial" w:hAnsi="Arial" w:cs="Arial"/>
        </w:rPr>
        <w:t>based training (28.2%) and university residential full</w:t>
      </w:r>
      <w:r w:rsidR="002922CF">
        <w:rPr>
          <w:rFonts w:ascii="Arial" w:hAnsi="Arial" w:cs="Arial"/>
        </w:rPr>
        <w:t>-</w:t>
      </w:r>
      <w:r w:rsidRPr="00EA7665">
        <w:rPr>
          <w:rFonts w:ascii="Arial" w:hAnsi="Arial" w:cs="Arial"/>
        </w:rPr>
        <w:t>time program for some weeks (27.5%).</w:t>
      </w:r>
      <w:r>
        <w:rPr>
          <w:rFonts w:ascii="Arial" w:hAnsi="Arial" w:cs="Arial"/>
        </w:rPr>
        <w:t xml:space="preserve"> However, </w:t>
      </w:r>
      <w:r w:rsidRPr="00EA7665">
        <w:rPr>
          <w:rFonts w:ascii="Arial" w:hAnsi="Arial" w:cs="Arial"/>
        </w:rPr>
        <w:t xml:space="preserve">the survey respondents consider </w:t>
      </w:r>
      <w:r w:rsidR="00A6098C">
        <w:rPr>
          <w:rFonts w:ascii="Arial" w:hAnsi="Arial" w:cs="Arial"/>
        </w:rPr>
        <w:t xml:space="preserve">the </w:t>
      </w:r>
      <w:r w:rsidRPr="00EA7665">
        <w:rPr>
          <w:rFonts w:ascii="Arial" w:hAnsi="Arial" w:cs="Arial"/>
        </w:rPr>
        <w:t>usage of formal qualification (22%), classroom instructor</w:t>
      </w:r>
      <w:r w:rsidR="002922CF">
        <w:rPr>
          <w:rFonts w:ascii="Arial" w:hAnsi="Arial" w:cs="Arial"/>
        </w:rPr>
        <w:t>-</w:t>
      </w:r>
      <w:r w:rsidRPr="00EA7665">
        <w:rPr>
          <w:rFonts w:ascii="Arial" w:hAnsi="Arial" w:cs="Arial"/>
        </w:rPr>
        <w:t xml:space="preserve">led training for </w:t>
      </w:r>
      <w:r w:rsidR="00732757">
        <w:rPr>
          <w:rFonts w:ascii="Arial" w:hAnsi="Arial" w:cs="Arial"/>
        </w:rPr>
        <w:t xml:space="preserve">a </w:t>
      </w:r>
      <w:r w:rsidRPr="00EA7665">
        <w:rPr>
          <w:rFonts w:ascii="Arial" w:hAnsi="Arial" w:cs="Arial"/>
        </w:rPr>
        <w:t xml:space="preserve">short period (21.6%), online and tutorial training (19%) and external training (18.4%) as the least </w:t>
      </w:r>
      <w:r>
        <w:rPr>
          <w:rFonts w:ascii="Arial" w:hAnsi="Arial" w:cs="Arial"/>
        </w:rPr>
        <w:t xml:space="preserve">very </w:t>
      </w:r>
      <w:r w:rsidRPr="00EA7665">
        <w:rPr>
          <w:rFonts w:ascii="Arial" w:hAnsi="Arial" w:cs="Arial"/>
        </w:rPr>
        <w:t xml:space="preserve">important approaches to training and education for their present jobs (see table </w:t>
      </w:r>
      <w:r w:rsidR="00504939">
        <w:rPr>
          <w:rFonts w:ascii="Arial" w:hAnsi="Arial" w:cs="Arial"/>
        </w:rPr>
        <w:t>9.3.4</w:t>
      </w:r>
      <w:r w:rsidRPr="00EA7665">
        <w:rPr>
          <w:rFonts w:ascii="Arial" w:hAnsi="Arial" w:cs="Arial"/>
        </w:rPr>
        <w:t>).</w:t>
      </w:r>
    </w:p>
    <w:p w14:paraId="20A77DA1" w14:textId="77777777" w:rsidR="00CD6352" w:rsidRPr="00EA7665" w:rsidRDefault="00CD6352" w:rsidP="00CD6352">
      <w:pPr>
        <w:pStyle w:val="Heading4"/>
        <w:numPr>
          <w:ilvl w:val="0"/>
          <w:numId w:val="0"/>
        </w:numPr>
        <w:ind w:left="864"/>
        <w:rPr>
          <w:rFonts w:ascii="Arial" w:hAnsi="Arial" w:cs="Arial"/>
          <w:color w:val="auto"/>
        </w:rPr>
      </w:pPr>
      <w:r w:rsidRPr="00EA7665">
        <w:rPr>
          <w:rFonts w:ascii="Arial" w:hAnsi="Arial" w:cs="Arial"/>
          <w:color w:val="auto"/>
        </w:rPr>
        <w:t xml:space="preserve"> </w:t>
      </w:r>
    </w:p>
    <w:p w14:paraId="60250FA2" w14:textId="74A3F5D6" w:rsidR="00504939" w:rsidRPr="00EA7665" w:rsidRDefault="00504939" w:rsidP="00504939">
      <w:pPr>
        <w:pStyle w:val="Caption"/>
        <w:keepNext/>
        <w:rPr>
          <w:rFonts w:ascii="Arial" w:hAnsi="Arial" w:cs="Arial"/>
        </w:rPr>
      </w:pPr>
      <w:bookmarkStart w:id="1401" w:name="_Toc78984032"/>
      <w:r>
        <w:t xml:space="preserve">Table </w:t>
      </w:r>
      <w:fldSimple w:instr=" STYLEREF 2 \s ">
        <w:r w:rsidR="008F25B1">
          <w:rPr>
            <w:noProof/>
          </w:rPr>
          <w:t>9.3</w:t>
        </w:r>
      </w:fldSimple>
      <w:r w:rsidR="008F25B1">
        <w:noBreakHyphen/>
      </w:r>
      <w:fldSimple w:instr=" SEQ Table \* ARABIC \s 2 ">
        <w:r w:rsidR="008F25B1">
          <w:rPr>
            <w:noProof/>
          </w:rPr>
          <w:t>4</w:t>
        </w:r>
      </w:fldSimple>
      <w:r>
        <w:t xml:space="preserve">: </w:t>
      </w:r>
      <w:r w:rsidRPr="00EA7665">
        <w:rPr>
          <w:rFonts w:ascii="Arial" w:hAnsi="Arial" w:cs="Arial"/>
        </w:rPr>
        <w:t>Degree of need for training and education for the present</w:t>
      </w:r>
      <w:r>
        <w:rPr>
          <w:rFonts w:ascii="Arial" w:hAnsi="Arial" w:cs="Arial"/>
        </w:rPr>
        <w:t xml:space="preserve"> job</w:t>
      </w:r>
      <w:bookmarkEnd w:id="1401"/>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3741"/>
        <w:gridCol w:w="1053"/>
        <w:gridCol w:w="1105"/>
        <w:gridCol w:w="1135"/>
        <w:gridCol w:w="892"/>
        <w:gridCol w:w="1100"/>
      </w:tblGrid>
      <w:tr w:rsidR="00CD6352" w:rsidRPr="00EA7665" w14:paraId="02E5DACF" w14:textId="77777777" w:rsidTr="00CD6352">
        <w:tc>
          <w:tcPr>
            <w:tcW w:w="0" w:type="auto"/>
            <w:vMerge w:val="restart"/>
          </w:tcPr>
          <w:p w14:paraId="7DEAD3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Training &amp; education</w:t>
            </w:r>
          </w:p>
        </w:tc>
        <w:tc>
          <w:tcPr>
            <w:tcW w:w="0" w:type="auto"/>
            <w:gridSpan w:val="5"/>
          </w:tcPr>
          <w:p w14:paraId="34B445C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Need for training &amp; education for the present</w:t>
            </w:r>
          </w:p>
        </w:tc>
      </w:tr>
      <w:tr w:rsidR="00CD6352" w:rsidRPr="00EA7665" w14:paraId="6AD4C6CE" w14:textId="77777777" w:rsidTr="00CD6352">
        <w:tc>
          <w:tcPr>
            <w:tcW w:w="0" w:type="auto"/>
            <w:vMerge/>
          </w:tcPr>
          <w:p w14:paraId="4707DFCF" w14:textId="77777777" w:rsidR="00CD6352" w:rsidRPr="00EA7665" w:rsidRDefault="00CD6352" w:rsidP="00CD6352">
            <w:pPr>
              <w:jc w:val="both"/>
              <w:rPr>
                <w:rFonts w:ascii="Arial" w:hAnsi="Arial" w:cs="Arial"/>
                <w:sz w:val="16"/>
                <w:szCs w:val="16"/>
              </w:rPr>
            </w:pPr>
          </w:p>
        </w:tc>
        <w:tc>
          <w:tcPr>
            <w:tcW w:w="0" w:type="auto"/>
          </w:tcPr>
          <w:p w14:paraId="1421F34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Not important</w:t>
            </w:r>
          </w:p>
        </w:tc>
        <w:tc>
          <w:tcPr>
            <w:tcW w:w="0" w:type="auto"/>
          </w:tcPr>
          <w:p w14:paraId="757EA48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Less important</w:t>
            </w:r>
          </w:p>
        </w:tc>
        <w:tc>
          <w:tcPr>
            <w:tcW w:w="0" w:type="auto"/>
          </w:tcPr>
          <w:p w14:paraId="167C03E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Fairly important</w:t>
            </w:r>
          </w:p>
        </w:tc>
        <w:tc>
          <w:tcPr>
            <w:tcW w:w="0" w:type="auto"/>
          </w:tcPr>
          <w:p w14:paraId="2EAD810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Important</w:t>
            </w:r>
          </w:p>
        </w:tc>
        <w:tc>
          <w:tcPr>
            <w:tcW w:w="0" w:type="auto"/>
          </w:tcPr>
          <w:p w14:paraId="513B4BB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Very important</w:t>
            </w:r>
          </w:p>
        </w:tc>
      </w:tr>
      <w:tr w:rsidR="00CD6352" w:rsidRPr="00EA7665" w14:paraId="719BB77E" w14:textId="77777777" w:rsidTr="00CD6352">
        <w:tc>
          <w:tcPr>
            <w:tcW w:w="0" w:type="auto"/>
          </w:tcPr>
          <w:p w14:paraId="7FDBBB6D" w14:textId="77777777" w:rsidR="00CD6352" w:rsidRPr="00EA7665" w:rsidRDefault="00CD6352" w:rsidP="00CD6352">
            <w:pPr>
              <w:jc w:val="both"/>
              <w:rPr>
                <w:rFonts w:ascii="Arial" w:hAnsi="Arial" w:cs="Arial"/>
                <w:sz w:val="16"/>
                <w:szCs w:val="16"/>
              </w:rPr>
            </w:pPr>
          </w:p>
        </w:tc>
        <w:tc>
          <w:tcPr>
            <w:tcW w:w="0" w:type="auto"/>
            <w:gridSpan w:val="5"/>
          </w:tcPr>
          <w:p w14:paraId="2BB248B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Percentage %</w:t>
            </w:r>
          </w:p>
        </w:tc>
      </w:tr>
      <w:tr w:rsidR="00CD6352" w:rsidRPr="00EA7665" w14:paraId="66D5B8F1" w14:textId="77777777" w:rsidTr="00CD6352">
        <w:trPr>
          <w:trHeight w:val="478"/>
        </w:trPr>
        <w:tc>
          <w:tcPr>
            <w:tcW w:w="0" w:type="auto"/>
          </w:tcPr>
          <w:p w14:paraId="7DDB4D0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Classroom instructor led training for short period(offered by consultants)</w:t>
            </w:r>
          </w:p>
        </w:tc>
        <w:tc>
          <w:tcPr>
            <w:tcW w:w="0" w:type="auto"/>
          </w:tcPr>
          <w:p w14:paraId="6126703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1AAAC4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8.1</w:t>
            </w:r>
          </w:p>
        </w:tc>
        <w:tc>
          <w:tcPr>
            <w:tcW w:w="0" w:type="auto"/>
          </w:tcPr>
          <w:p w14:paraId="243854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21.6</w:t>
            </w:r>
          </w:p>
        </w:tc>
        <w:tc>
          <w:tcPr>
            <w:tcW w:w="0" w:type="auto"/>
          </w:tcPr>
          <w:p w14:paraId="201FA58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40.6</w:t>
            </w:r>
          </w:p>
        </w:tc>
        <w:tc>
          <w:tcPr>
            <w:tcW w:w="0" w:type="auto"/>
          </w:tcPr>
          <w:p w14:paraId="791CF45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21.6</w:t>
            </w:r>
          </w:p>
        </w:tc>
      </w:tr>
      <w:tr w:rsidR="00CD6352" w:rsidRPr="00EA7665" w14:paraId="5EA897D6" w14:textId="77777777" w:rsidTr="00CD6352">
        <w:tc>
          <w:tcPr>
            <w:tcW w:w="0" w:type="auto"/>
          </w:tcPr>
          <w:p w14:paraId="3024D69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Company specific courses targeted at securing financing skills &amp; knowledge</w:t>
            </w:r>
          </w:p>
        </w:tc>
        <w:tc>
          <w:tcPr>
            <w:tcW w:w="0" w:type="auto"/>
          </w:tcPr>
          <w:p w14:paraId="1048F4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w:t>
            </w:r>
          </w:p>
        </w:tc>
        <w:tc>
          <w:tcPr>
            <w:tcW w:w="0" w:type="auto"/>
          </w:tcPr>
          <w:p w14:paraId="59DBEB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7.5</w:t>
            </w:r>
          </w:p>
        </w:tc>
        <w:tc>
          <w:tcPr>
            <w:tcW w:w="0" w:type="auto"/>
          </w:tcPr>
          <w:p w14:paraId="64F57C0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25.0</w:t>
            </w:r>
          </w:p>
        </w:tc>
        <w:tc>
          <w:tcPr>
            <w:tcW w:w="0" w:type="auto"/>
          </w:tcPr>
          <w:p w14:paraId="38A39E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30.0</w:t>
            </w:r>
          </w:p>
        </w:tc>
        <w:tc>
          <w:tcPr>
            <w:tcW w:w="0" w:type="auto"/>
          </w:tcPr>
          <w:p w14:paraId="780E7B9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35.0</w:t>
            </w:r>
          </w:p>
        </w:tc>
      </w:tr>
      <w:tr w:rsidR="00CD6352" w:rsidRPr="00EA7665" w14:paraId="5CB13C1F" w14:textId="77777777" w:rsidTr="00CD6352">
        <w:tc>
          <w:tcPr>
            <w:tcW w:w="0" w:type="auto"/>
          </w:tcPr>
          <w:p w14:paraId="04D5E54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Computer based training</w:t>
            </w:r>
          </w:p>
        </w:tc>
        <w:tc>
          <w:tcPr>
            <w:tcW w:w="0" w:type="auto"/>
          </w:tcPr>
          <w:p w14:paraId="1CCA9EC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w:t>
            </w:r>
          </w:p>
        </w:tc>
        <w:tc>
          <w:tcPr>
            <w:tcW w:w="0" w:type="auto"/>
          </w:tcPr>
          <w:p w14:paraId="243A100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10.3</w:t>
            </w:r>
          </w:p>
        </w:tc>
        <w:tc>
          <w:tcPr>
            <w:tcW w:w="0" w:type="auto"/>
          </w:tcPr>
          <w:p w14:paraId="6285F7A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12.8</w:t>
            </w:r>
          </w:p>
        </w:tc>
        <w:tc>
          <w:tcPr>
            <w:tcW w:w="0" w:type="auto"/>
          </w:tcPr>
          <w:p w14:paraId="487A4EA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46.2</w:t>
            </w:r>
          </w:p>
        </w:tc>
        <w:tc>
          <w:tcPr>
            <w:tcW w:w="0" w:type="auto"/>
          </w:tcPr>
          <w:p w14:paraId="1727609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28.2</w:t>
            </w:r>
          </w:p>
        </w:tc>
      </w:tr>
      <w:tr w:rsidR="00CD6352" w:rsidRPr="00EA7665" w14:paraId="6983B31F" w14:textId="77777777" w:rsidTr="00CD6352">
        <w:tc>
          <w:tcPr>
            <w:tcW w:w="0" w:type="auto"/>
          </w:tcPr>
          <w:p w14:paraId="165C651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Conferences &amp; seminar</w:t>
            </w:r>
          </w:p>
        </w:tc>
        <w:tc>
          <w:tcPr>
            <w:tcW w:w="0" w:type="auto"/>
          </w:tcPr>
          <w:p w14:paraId="719F693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9.8</w:t>
            </w:r>
          </w:p>
        </w:tc>
        <w:tc>
          <w:tcPr>
            <w:tcW w:w="0" w:type="auto"/>
          </w:tcPr>
          <w:p w14:paraId="0B953E5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7.3</w:t>
            </w:r>
          </w:p>
        </w:tc>
        <w:tc>
          <w:tcPr>
            <w:tcW w:w="0" w:type="auto"/>
          </w:tcPr>
          <w:p w14:paraId="7785B97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22.0</w:t>
            </w:r>
          </w:p>
        </w:tc>
        <w:tc>
          <w:tcPr>
            <w:tcW w:w="0" w:type="auto"/>
          </w:tcPr>
          <w:p w14:paraId="602901F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29.3</w:t>
            </w:r>
          </w:p>
        </w:tc>
        <w:tc>
          <w:tcPr>
            <w:tcW w:w="0" w:type="auto"/>
          </w:tcPr>
          <w:p w14:paraId="203D44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31.7</w:t>
            </w:r>
          </w:p>
        </w:tc>
      </w:tr>
      <w:tr w:rsidR="00CD6352" w:rsidRPr="00EA7665" w14:paraId="5A13DEBF" w14:textId="77777777" w:rsidTr="00CD6352">
        <w:tc>
          <w:tcPr>
            <w:tcW w:w="0" w:type="auto"/>
          </w:tcPr>
          <w:p w14:paraId="7C7B94A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Continuing professional development</w:t>
            </w:r>
          </w:p>
        </w:tc>
        <w:tc>
          <w:tcPr>
            <w:tcW w:w="0" w:type="auto"/>
          </w:tcPr>
          <w:p w14:paraId="2C020C0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4.9</w:t>
            </w:r>
          </w:p>
        </w:tc>
        <w:tc>
          <w:tcPr>
            <w:tcW w:w="0" w:type="auto"/>
          </w:tcPr>
          <w:p w14:paraId="6594481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9.8</w:t>
            </w:r>
          </w:p>
        </w:tc>
        <w:tc>
          <w:tcPr>
            <w:tcW w:w="0" w:type="auto"/>
          </w:tcPr>
          <w:p w14:paraId="049DF17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12.2</w:t>
            </w:r>
          </w:p>
        </w:tc>
        <w:tc>
          <w:tcPr>
            <w:tcW w:w="0" w:type="auto"/>
          </w:tcPr>
          <w:p w14:paraId="3A44758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31.7</w:t>
            </w:r>
          </w:p>
        </w:tc>
        <w:tc>
          <w:tcPr>
            <w:tcW w:w="0" w:type="auto"/>
          </w:tcPr>
          <w:p w14:paraId="6F5CE6E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41.5</w:t>
            </w:r>
          </w:p>
        </w:tc>
      </w:tr>
      <w:tr w:rsidR="00CD6352" w:rsidRPr="00EA7665" w14:paraId="2BAF75EF" w14:textId="77777777" w:rsidTr="00CD6352">
        <w:tc>
          <w:tcPr>
            <w:tcW w:w="0" w:type="auto"/>
          </w:tcPr>
          <w:p w14:paraId="47553EB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Executive MBA(with classes on part time basis)</w:t>
            </w:r>
          </w:p>
        </w:tc>
        <w:tc>
          <w:tcPr>
            <w:tcW w:w="0" w:type="auto"/>
          </w:tcPr>
          <w:p w14:paraId="2C530F6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12.5</w:t>
            </w:r>
          </w:p>
        </w:tc>
        <w:tc>
          <w:tcPr>
            <w:tcW w:w="0" w:type="auto"/>
          </w:tcPr>
          <w:p w14:paraId="09839D7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12.5</w:t>
            </w:r>
          </w:p>
        </w:tc>
        <w:tc>
          <w:tcPr>
            <w:tcW w:w="0" w:type="auto"/>
          </w:tcPr>
          <w:p w14:paraId="193DBCE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22.5</w:t>
            </w:r>
          </w:p>
        </w:tc>
        <w:tc>
          <w:tcPr>
            <w:tcW w:w="0" w:type="auto"/>
          </w:tcPr>
          <w:p w14:paraId="70847A0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30.0</w:t>
            </w:r>
          </w:p>
        </w:tc>
        <w:tc>
          <w:tcPr>
            <w:tcW w:w="0" w:type="auto"/>
          </w:tcPr>
          <w:p w14:paraId="254A3A6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22.5</w:t>
            </w:r>
          </w:p>
        </w:tc>
      </w:tr>
      <w:tr w:rsidR="00CD6352" w:rsidRPr="00EA7665" w14:paraId="21488072" w14:textId="77777777" w:rsidTr="00CD6352">
        <w:tc>
          <w:tcPr>
            <w:tcW w:w="0" w:type="auto"/>
          </w:tcPr>
          <w:p w14:paraId="054C169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External training</w:t>
            </w:r>
          </w:p>
        </w:tc>
        <w:tc>
          <w:tcPr>
            <w:tcW w:w="0" w:type="auto"/>
          </w:tcPr>
          <w:p w14:paraId="530C2EC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5.3</w:t>
            </w:r>
          </w:p>
        </w:tc>
        <w:tc>
          <w:tcPr>
            <w:tcW w:w="0" w:type="auto"/>
          </w:tcPr>
          <w:p w14:paraId="156B1C1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7.9</w:t>
            </w:r>
          </w:p>
        </w:tc>
        <w:tc>
          <w:tcPr>
            <w:tcW w:w="0" w:type="auto"/>
          </w:tcPr>
          <w:p w14:paraId="4920DCF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23.7</w:t>
            </w:r>
          </w:p>
        </w:tc>
        <w:tc>
          <w:tcPr>
            <w:tcW w:w="0" w:type="auto"/>
          </w:tcPr>
          <w:p w14:paraId="0CC8F3C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44.7</w:t>
            </w:r>
          </w:p>
        </w:tc>
        <w:tc>
          <w:tcPr>
            <w:tcW w:w="0" w:type="auto"/>
          </w:tcPr>
          <w:p w14:paraId="143DC8A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18.4</w:t>
            </w:r>
          </w:p>
        </w:tc>
      </w:tr>
      <w:tr w:rsidR="00CD6352" w:rsidRPr="00EA7665" w14:paraId="01CE575C" w14:textId="77777777" w:rsidTr="00CD6352">
        <w:tc>
          <w:tcPr>
            <w:tcW w:w="0" w:type="auto"/>
          </w:tcPr>
          <w:p w14:paraId="757468F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Learning by holding meetings </w:t>
            </w:r>
          </w:p>
        </w:tc>
        <w:tc>
          <w:tcPr>
            <w:tcW w:w="0" w:type="auto"/>
          </w:tcPr>
          <w:p w14:paraId="0DEB6D2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4.9</w:t>
            </w:r>
          </w:p>
        </w:tc>
        <w:tc>
          <w:tcPr>
            <w:tcW w:w="0" w:type="auto"/>
          </w:tcPr>
          <w:p w14:paraId="1BC7253F"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7.3</w:t>
            </w:r>
          </w:p>
        </w:tc>
        <w:tc>
          <w:tcPr>
            <w:tcW w:w="0" w:type="auto"/>
          </w:tcPr>
          <w:p w14:paraId="41EC9E9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14.6</w:t>
            </w:r>
          </w:p>
        </w:tc>
        <w:tc>
          <w:tcPr>
            <w:tcW w:w="0" w:type="auto"/>
          </w:tcPr>
          <w:p w14:paraId="2D8C728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46.3</w:t>
            </w:r>
          </w:p>
        </w:tc>
        <w:tc>
          <w:tcPr>
            <w:tcW w:w="0" w:type="auto"/>
          </w:tcPr>
          <w:p w14:paraId="00135C7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26.8</w:t>
            </w:r>
          </w:p>
        </w:tc>
      </w:tr>
      <w:tr w:rsidR="00CD6352" w:rsidRPr="00EA7665" w14:paraId="017C8499" w14:textId="77777777" w:rsidTr="00CD6352">
        <w:tc>
          <w:tcPr>
            <w:tcW w:w="0" w:type="auto"/>
          </w:tcPr>
          <w:p w14:paraId="63FA250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Online and tutorial training</w:t>
            </w:r>
          </w:p>
        </w:tc>
        <w:tc>
          <w:tcPr>
            <w:tcW w:w="0" w:type="auto"/>
          </w:tcPr>
          <w:p w14:paraId="0E6ABB4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7.1</w:t>
            </w:r>
          </w:p>
        </w:tc>
        <w:tc>
          <w:tcPr>
            <w:tcW w:w="0" w:type="auto"/>
          </w:tcPr>
          <w:p w14:paraId="2F9E61B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23.8</w:t>
            </w:r>
          </w:p>
        </w:tc>
        <w:tc>
          <w:tcPr>
            <w:tcW w:w="0" w:type="auto"/>
          </w:tcPr>
          <w:p w14:paraId="6A18612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16.7</w:t>
            </w:r>
          </w:p>
        </w:tc>
        <w:tc>
          <w:tcPr>
            <w:tcW w:w="0" w:type="auto"/>
          </w:tcPr>
          <w:p w14:paraId="4455138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33.3</w:t>
            </w:r>
          </w:p>
        </w:tc>
        <w:tc>
          <w:tcPr>
            <w:tcW w:w="0" w:type="auto"/>
          </w:tcPr>
          <w:p w14:paraId="0EDAF88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19.0</w:t>
            </w:r>
          </w:p>
        </w:tc>
      </w:tr>
      <w:tr w:rsidR="00CD6352" w:rsidRPr="00EA7665" w14:paraId="695273D8" w14:textId="77777777" w:rsidTr="00CD6352">
        <w:tc>
          <w:tcPr>
            <w:tcW w:w="0" w:type="auto"/>
          </w:tcPr>
          <w:p w14:paraId="20F78E3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University residential (full time program for some weeks )</w:t>
            </w:r>
          </w:p>
        </w:tc>
        <w:tc>
          <w:tcPr>
            <w:tcW w:w="0" w:type="auto"/>
          </w:tcPr>
          <w:p w14:paraId="54189D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12.5</w:t>
            </w:r>
          </w:p>
        </w:tc>
        <w:tc>
          <w:tcPr>
            <w:tcW w:w="0" w:type="auto"/>
          </w:tcPr>
          <w:p w14:paraId="4F6E101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12.5</w:t>
            </w:r>
          </w:p>
        </w:tc>
        <w:tc>
          <w:tcPr>
            <w:tcW w:w="0" w:type="auto"/>
          </w:tcPr>
          <w:p w14:paraId="4C6C968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32.5</w:t>
            </w:r>
          </w:p>
        </w:tc>
        <w:tc>
          <w:tcPr>
            <w:tcW w:w="0" w:type="auto"/>
          </w:tcPr>
          <w:p w14:paraId="7CD888A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15.0</w:t>
            </w:r>
          </w:p>
        </w:tc>
        <w:tc>
          <w:tcPr>
            <w:tcW w:w="0" w:type="auto"/>
          </w:tcPr>
          <w:p w14:paraId="19FF119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27.5</w:t>
            </w:r>
          </w:p>
        </w:tc>
      </w:tr>
      <w:tr w:rsidR="00CD6352" w:rsidRPr="00EA7665" w14:paraId="741E2DF5" w14:textId="77777777" w:rsidTr="00CD6352">
        <w:tc>
          <w:tcPr>
            <w:tcW w:w="0" w:type="auto"/>
          </w:tcPr>
          <w:p w14:paraId="1B3302D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Usage of formal qualification</w:t>
            </w:r>
          </w:p>
        </w:tc>
        <w:tc>
          <w:tcPr>
            <w:tcW w:w="0" w:type="auto"/>
          </w:tcPr>
          <w:p w14:paraId="0F00654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7.3</w:t>
            </w:r>
          </w:p>
        </w:tc>
        <w:tc>
          <w:tcPr>
            <w:tcW w:w="0" w:type="auto"/>
          </w:tcPr>
          <w:p w14:paraId="1D3AC5C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12.2</w:t>
            </w:r>
          </w:p>
        </w:tc>
        <w:tc>
          <w:tcPr>
            <w:tcW w:w="0" w:type="auto"/>
          </w:tcPr>
          <w:p w14:paraId="72C1A9A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29.3</w:t>
            </w:r>
          </w:p>
        </w:tc>
        <w:tc>
          <w:tcPr>
            <w:tcW w:w="0" w:type="auto"/>
          </w:tcPr>
          <w:p w14:paraId="0A97118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29.3</w:t>
            </w:r>
          </w:p>
        </w:tc>
        <w:tc>
          <w:tcPr>
            <w:tcW w:w="0" w:type="auto"/>
          </w:tcPr>
          <w:p w14:paraId="60889DE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22.0</w:t>
            </w:r>
          </w:p>
        </w:tc>
      </w:tr>
      <w:tr w:rsidR="00CD6352" w:rsidRPr="00EA7665" w14:paraId="752FE016" w14:textId="77777777" w:rsidTr="00CD6352">
        <w:tc>
          <w:tcPr>
            <w:tcW w:w="0" w:type="auto"/>
          </w:tcPr>
          <w:p w14:paraId="44D6130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Usage of internal program and instructors</w:t>
            </w:r>
          </w:p>
        </w:tc>
        <w:tc>
          <w:tcPr>
            <w:tcW w:w="0" w:type="auto"/>
          </w:tcPr>
          <w:p w14:paraId="63A5CE1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12.5</w:t>
            </w:r>
          </w:p>
        </w:tc>
        <w:tc>
          <w:tcPr>
            <w:tcW w:w="0" w:type="auto"/>
          </w:tcPr>
          <w:p w14:paraId="6ADFFF3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5.0</w:t>
            </w:r>
          </w:p>
        </w:tc>
        <w:tc>
          <w:tcPr>
            <w:tcW w:w="0" w:type="auto"/>
          </w:tcPr>
          <w:p w14:paraId="2E4E463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25.0</w:t>
            </w:r>
          </w:p>
        </w:tc>
        <w:tc>
          <w:tcPr>
            <w:tcW w:w="0" w:type="auto"/>
          </w:tcPr>
          <w:p w14:paraId="0BE925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35.0</w:t>
            </w:r>
          </w:p>
        </w:tc>
        <w:tc>
          <w:tcPr>
            <w:tcW w:w="0" w:type="auto"/>
          </w:tcPr>
          <w:p w14:paraId="0A4787C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22.5</w:t>
            </w:r>
          </w:p>
        </w:tc>
      </w:tr>
    </w:tbl>
    <w:p w14:paraId="48B49830" w14:textId="77777777" w:rsidR="00CD6352" w:rsidRPr="00EA7665" w:rsidRDefault="00CD6352" w:rsidP="00CD6352">
      <w:pPr>
        <w:pStyle w:val="Caption"/>
        <w:rPr>
          <w:rFonts w:ascii="Arial" w:hAnsi="Arial" w:cs="Arial"/>
          <w:sz w:val="22"/>
          <w:szCs w:val="22"/>
        </w:rPr>
      </w:pPr>
    </w:p>
    <w:p w14:paraId="4DC34FE4" w14:textId="4E4A6D09" w:rsidR="00A90C92" w:rsidRPr="00D25103" w:rsidRDefault="00A90C92" w:rsidP="00A90C92">
      <w:pPr>
        <w:spacing w:line="360" w:lineRule="auto"/>
        <w:jc w:val="both"/>
        <w:rPr>
          <w:rFonts w:ascii="Arial" w:hAnsi="Arial" w:cs="Arial"/>
        </w:rPr>
      </w:pPr>
      <w:r w:rsidRPr="00D25103">
        <w:rPr>
          <w:rFonts w:ascii="Arial" w:hAnsi="Arial" w:cs="Arial"/>
        </w:rPr>
        <w:t xml:space="preserve">The </w:t>
      </w:r>
      <w:r>
        <w:rPr>
          <w:rFonts w:ascii="Arial" w:hAnsi="Arial" w:cs="Arial"/>
        </w:rPr>
        <w:t xml:space="preserve">study </w:t>
      </w:r>
      <w:r w:rsidRPr="00D25103">
        <w:rPr>
          <w:rFonts w:ascii="Arial" w:hAnsi="Arial" w:cs="Arial"/>
        </w:rPr>
        <w:t>also used the mean scores of the different approaches to management’s training and education to assess their perceived importance to the present jobs of the managers who responded to the questionnaires</w:t>
      </w:r>
      <w:r>
        <w:rPr>
          <w:rFonts w:ascii="Arial" w:hAnsi="Arial" w:cs="Arial"/>
        </w:rPr>
        <w:t xml:space="preserve"> ( see table 9.3.5)</w:t>
      </w:r>
      <w:r w:rsidRPr="00D25103">
        <w:rPr>
          <w:rFonts w:ascii="Arial" w:hAnsi="Arial" w:cs="Arial"/>
        </w:rPr>
        <w:t>. The data shows a mean score range of 3.91 to 3.26</w:t>
      </w:r>
      <w:r w:rsidR="00E7787D">
        <w:rPr>
          <w:rFonts w:ascii="Arial" w:hAnsi="Arial" w:cs="Arial"/>
        </w:rPr>
        <w:t>. This indicates</w:t>
      </w:r>
      <w:r w:rsidRPr="00D25103">
        <w:rPr>
          <w:rFonts w:ascii="Arial" w:hAnsi="Arial" w:cs="Arial"/>
        </w:rPr>
        <w:t xml:space="preserve"> that all the approaches are considered important to the managers </w:t>
      </w:r>
      <w:r>
        <w:rPr>
          <w:rFonts w:ascii="Arial" w:hAnsi="Arial" w:cs="Arial"/>
        </w:rPr>
        <w:t>in</w:t>
      </w:r>
      <w:r w:rsidRPr="00D25103">
        <w:rPr>
          <w:rFonts w:ascii="Arial" w:hAnsi="Arial" w:cs="Arial"/>
        </w:rPr>
        <w:t xml:space="preserve"> their present jobs in securing finance for real estate project development.</w:t>
      </w:r>
    </w:p>
    <w:p w14:paraId="533F4E5D" w14:textId="77777777" w:rsidR="00CD6352" w:rsidRPr="00EA7665" w:rsidRDefault="00CD6352" w:rsidP="00CD6352"/>
    <w:p w14:paraId="2519A31E" w14:textId="53C70AFB" w:rsidR="00A90C92" w:rsidRPr="00EA7665" w:rsidRDefault="00A90C92" w:rsidP="00A90C92">
      <w:pPr>
        <w:pStyle w:val="Caption"/>
        <w:keepNext/>
      </w:pPr>
      <w:bookmarkStart w:id="1402" w:name="_Toc78984033"/>
      <w:r>
        <w:t xml:space="preserve">Table </w:t>
      </w:r>
      <w:fldSimple w:instr=" STYLEREF 2 \s ">
        <w:r w:rsidR="008F25B1">
          <w:rPr>
            <w:noProof/>
          </w:rPr>
          <w:t>9.3</w:t>
        </w:r>
      </w:fldSimple>
      <w:r w:rsidR="008F25B1">
        <w:noBreakHyphen/>
      </w:r>
      <w:fldSimple w:instr=" SEQ Table \* ARABIC \s 2 ">
        <w:r w:rsidR="008F25B1">
          <w:rPr>
            <w:noProof/>
          </w:rPr>
          <w:t>5</w:t>
        </w:r>
      </w:fldSimple>
      <w:r>
        <w:t>:</w:t>
      </w:r>
      <w:r w:rsidRPr="00A90C92">
        <w:t xml:space="preserve"> </w:t>
      </w:r>
      <w:r w:rsidRPr="00EA7665">
        <w:t>Mean scores for perceived importance of approaches for training and education for securing finance for real estate project development. For the present job at the aggregate level</w:t>
      </w:r>
      <w:bookmarkEnd w:id="1402"/>
    </w:p>
    <w:tbl>
      <w:tblPr>
        <w:tblW w:w="6700" w:type="dxa"/>
        <w:tblInd w:w="93" w:type="dxa"/>
        <w:tblLook w:val="04A0" w:firstRow="1" w:lastRow="0" w:firstColumn="1" w:lastColumn="0" w:noHBand="0" w:noVBand="1"/>
      </w:tblPr>
      <w:tblGrid>
        <w:gridCol w:w="4840"/>
        <w:gridCol w:w="1140"/>
        <w:gridCol w:w="720"/>
      </w:tblGrid>
      <w:tr w:rsidR="00CD6352" w:rsidRPr="00EA7665" w14:paraId="00B60FE4" w14:textId="77777777" w:rsidTr="00CD6352">
        <w:trPr>
          <w:trHeight w:val="300"/>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A0270"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Approaches to Management's training &amp; education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29C6200"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Mean score</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4684F47"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Rank</w:t>
            </w:r>
          </w:p>
        </w:tc>
      </w:tr>
      <w:tr w:rsidR="00CD6352" w:rsidRPr="00EA7665" w14:paraId="490B58EB"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638C6109"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Continuing professional development</w:t>
            </w:r>
          </w:p>
        </w:tc>
        <w:tc>
          <w:tcPr>
            <w:tcW w:w="1140" w:type="dxa"/>
            <w:tcBorders>
              <w:top w:val="nil"/>
              <w:left w:val="nil"/>
              <w:bottom w:val="single" w:sz="4" w:space="0" w:color="auto"/>
              <w:right w:val="single" w:sz="4" w:space="0" w:color="auto"/>
            </w:tcBorders>
            <w:shd w:val="clear" w:color="auto" w:fill="auto"/>
            <w:noWrap/>
            <w:vAlign w:val="bottom"/>
            <w:hideMark/>
          </w:tcPr>
          <w:p w14:paraId="1B7393DA"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3.91</w:t>
            </w:r>
          </w:p>
        </w:tc>
        <w:tc>
          <w:tcPr>
            <w:tcW w:w="720" w:type="dxa"/>
            <w:tcBorders>
              <w:top w:val="nil"/>
              <w:left w:val="nil"/>
              <w:bottom w:val="single" w:sz="4" w:space="0" w:color="auto"/>
              <w:right w:val="single" w:sz="4" w:space="0" w:color="auto"/>
            </w:tcBorders>
            <w:shd w:val="clear" w:color="auto" w:fill="auto"/>
            <w:noWrap/>
            <w:vAlign w:val="bottom"/>
            <w:hideMark/>
          </w:tcPr>
          <w:p w14:paraId="3BFBE19F"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1</w:t>
            </w:r>
          </w:p>
        </w:tc>
      </w:tr>
      <w:tr w:rsidR="00CD6352" w:rsidRPr="00EA7665" w14:paraId="4E83C157"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vAlign w:val="bottom"/>
            <w:hideMark/>
          </w:tcPr>
          <w:p w14:paraId="535F0623"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Company-specific courses targeted at securing financing skills &amp; knowledge</w:t>
            </w:r>
          </w:p>
        </w:tc>
        <w:tc>
          <w:tcPr>
            <w:tcW w:w="1140" w:type="dxa"/>
            <w:tcBorders>
              <w:top w:val="nil"/>
              <w:left w:val="nil"/>
              <w:bottom w:val="single" w:sz="4" w:space="0" w:color="auto"/>
              <w:right w:val="single" w:sz="4" w:space="0" w:color="auto"/>
            </w:tcBorders>
            <w:shd w:val="clear" w:color="auto" w:fill="auto"/>
            <w:noWrap/>
            <w:vAlign w:val="bottom"/>
            <w:hideMark/>
          </w:tcPr>
          <w:p w14:paraId="7F7B5396"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3.81</w:t>
            </w:r>
          </w:p>
        </w:tc>
        <w:tc>
          <w:tcPr>
            <w:tcW w:w="720" w:type="dxa"/>
            <w:tcBorders>
              <w:top w:val="nil"/>
              <w:left w:val="nil"/>
              <w:bottom w:val="single" w:sz="4" w:space="0" w:color="auto"/>
              <w:right w:val="single" w:sz="4" w:space="0" w:color="auto"/>
            </w:tcBorders>
            <w:shd w:val="clear" w:color="auto" w:fill="auto"/>
            <w:noWrap/>
            <w:vAlign w:val="bottom"/>
            <w:hideMark/>
          </w:tcPr>
          <w:p w14:paraId="3942B0C1"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2</w:t>
            </w:r>
          </w:p>
        </w:tc>
      </w:tr>
      <w:tr w:rsidR="00CD6352" w:rsidRPr="00EA7665" w14:paraId="4010E6FD"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2F9D0FA8"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 xml:space="preserve">Learning by holding meetings with experts </w:t>
            </w:r>
          </w:p>
        </w:tc>
        <w:tc>
          <w:tcPr>
            <w:tcW w:w="1140" w:type="dxa"/>
            <w:tcBorders>
              <w:top w:val="nil"/>
              <w:left w:val="nil"/>
              <w:bottom w:val="single" w:sz="4" w:space="0" w:color="auto"/>
              <w:right w:val="single" w:sz="4" w:space="0" w:color="auto"/>
            </w:tcBorders>
            <w:shd w:val="clear" w:color="auto" w:fill="auto"/>
            <w:noWrap/>
            <w:vAlign w:val="bottom"/>
            <w:hideMark/>
          </w:tcPr>
          <w:p w14:paraId="376E6CD5"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3.79</w:t>
            </w:r>
          </w:p>
        </w:tc>
        <w:tc>
          <w:tcPr>
            <w:tcW w:w="720" w:type="dxa"/>
            <w:tcBorders>
              <w:top w:val="nil"/>
              <w:left w:val="nil"/>
              <w:bottom w:val="single" w:sz="4" w:space="0" w:color="auto"/>
              <w:right w:val="single" w:sz="4" w:space="0" w:color="auto"/>
            </w:tcBorders>
            <w:shd w:val="clear" w:color="auto" w:fill="auto"/>
            <w:noWrap/>
            <w:vAlign w:val="bottom"/>
            <w:hideMark/>
          </w:tcPr>
          <w:p w14:paraId="22520830"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w:t>
            </w:r>
          </w:p>
        </w:tc>
      </w:tr>
      <w:tr w:rsidR="00CD6352" w:rsidRPr="00EA7665" w14:paraId="35628426"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637A51AC"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Computer-based training</w:t>
            </w:r>
          </w:p>
        </w:tc>
        <w:tc>
          <w:tcPr>
            <w:tcW w:w="1140" w:type="dxa"/>
            <w:tcBorders>
              <w:top w:val="nil"/>
              <w:left w:val="nil"/>
              <w:bottom w:val="single" w:sz="4" w:space="0" w:color="auto"/>
              <w:right w:val="single" w:sz="4" w:space="0" w:color="auto"/>
            </w:tcBorders>
            <w:shd w:val="clear" w:color="auto" w:fill="auto"/>
            <w:noWrap/>
            <w:vAlign w:val="bottom"/>
            <w:hideMark/>
          </w:tcPr>
          <w:p w14:paraId="669C248D"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3.78</w:t>
            </w:r>
          </w:p>
        </w:tc>
        <w:tc>
          <w:tcPr>
            <w:tcW w:w="720" w:type="dxa"/>
            <w:tcBorders>
              <w:top w:val="nil"/>
              <w:left w:val="nil"/>
              <w:bottom w:val="single" w:sz="4" w:space="0" w:color="auto"/>
              <w:right w:val="single" w:sz="4" w:space="0" w:color="auto"/>
            </w:tcBorders>
            <w:shd w:val="clear" w:color="auto" w:fill="auto"/>
            <w:noWrap/>
            <w:vAlign w:val="bottom"/>
            <w:hideMark/>
          </w:tcPr>
          <w:p w14:paraId="0F3312BD"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4</w:t>
            </w:r>
          </w:p>
        </w:tc>
      </w:tr>
      <w:tr w:rsidR="00CD6352" w:rsidRPr="00EA7665" w14:paraId="1723753C"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1F747515"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Conferences &amp; seminar</w:t>
            </w:r>
          </w:p>
        </w:tc>
        <w:tc>
          <w:tcPr>
            <w:tcW w:w="1140" w:type="dxa"/>
            <w:tcBorders>
              <w:top w:val="nil"/>
              <w:left w:val="nil"/>
              <w:bottom w:val="single" w:sz="4" w:space="0" w:color="auto"/>
              <w:right w:val="single" w:sz="4" w:space="0" w:color="auto"/>
            </w:tcBorders>
            <w:shd w:val="clear" w:color="auto" w:fill="auto"/>
            <w:noWrap/>
            <w:vAlign w:val="bottom"/>
            <w:hideMark/>
          </w:tcPr>
          <w:p w14:paraId="51BC60D9"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3.6</w:t>
            </w:r>
          </w:p>
        </w:tc>
        <w:tc>
          <w:tcPr>
            <w:tcW w:w="720" w:type="dxa"/>
            <w:tcBorders>
              <w:top w:val="nil"/>
              <w:left w:val="nil"/>
              <w:bottom w:val="single" w:sz="4" w:space="0" w:color="auto"/>
              <w:right w:val="single" w:sz="4" w:space="0" w:color="auto"/>
            </w:tcBorders>
            <w:shd w:val="clear" w:color="auto" w:fill="auto"/>
            <w:noWrap/>
            <w:vAlign w:val="bottom"/>
            <w:hideMark/>
          </w:tcPr>
          <w:p w14:paraId="42DC43D7"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5</w:t>
            </w:r>
          </w:p>
        </w:tc>
      </w:tr>
      <w:tr w:rsidR="00CD6352" w:rsidRPr="00EA7665" w14:paraId="49C052C8"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46554860"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External training</w:t>
            </w:r>
          </w:p>
        </w:tc>
        <w:tc>
          <w:tcPr>
            <w:tcW w:w="1140" w:type="dxa"/>
            <w:tcBorders>
              <w:top w:val="nil"/>
              <w:left w:val="nil"/>
              <w:bottom w:val="single" w:sz="4" w:space="0" w:color="auto"/>
              <w:right w:val="single" w:sz="4" w:space="0" w:color="auto"/>
            </w:tcBorders>
            <w:shd w:val="clear" w:color="auto" w:fill="auto"/>
            <w:noWrap/>
            <w:vAlign w:val="bottom"/>
            <w:hideMark/>
          </w:tcPr>
          <w:p w14:paraId="50C672F3"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3.57</w:t>
            </w:r>
          </w:p>
        </w:tc>
        <w:tc>
          <w:tcPr>
            <w:tcW w:w="720" w:type="dxa"/>
            <w:tcBorders>
              <w:top w:val="nil"/>
              <w:left w:val="nil"/>
              <w:bottom w:val="single" w:sz="4" w:space="0" w:color="auto"/>
              <w:right w:val="single" w:sz="4" w:space="0" w:color="auto"/>
            </w:tcBorders>
            <w:shd w:val="clear" w:color="auto" w:fill="auto"/>
            <w:noWrap/>
            <w:vAlign w:val="bottom"/>
            <w:hideMark/>
          </w:tcPr>
          <w:p w14:paraId="6834B994"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6</w:t>
            </w:r>
          </w:p>
        </w:tc>
      </w:tr>
      <w:tr w:rsidR="00CD6352" w:rsidRPr="00EA7665" w14:paraId="41840B56" w14:textId="77777777" w:rsidTr="00CD6352">
        <w:trPr>
          <w:trHeight w:val="600"/>
        </w:trPr>
        <w:tc>
          <w:tcPr>
            <w:tcW w:w="4840" w:type="dxa"/>
            <w:tcBorders>
              <w:top w:val="nil"/>
              <w:left w:val="single" w:sz="4" w:space="0" w:color="auto"/>
              <w:bottom w:val="single" w:sz="4" w:space="0" w:color="auto"/>
              <w:right w:val="single" w:sz="4" w:space="0" w:color="auto"/>
            </w:tcBorders>
            <w:shd w:val="clear" w:color="auto" w:fill="auto"/>
            <w:vAlign w:val="bottom"/>
            <w:hideMark/>
          </w:tcPr>
          <w:p w14:paraId="7234B1B2"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Classroom instructor-led training for a short period(offered by consultants)</w:t>
            </w:r>
          </w:p>
        </w:tc>
        <w:tc>
          <w:tcPr>
            <w:tcW w:w="1140" w:type="dxa"/>
            <w:tcBorders>
              <w:top w:val="nil"/>
              <w:left w:val="nil"/>
              <w:bottom w:val="single" w:sz="4" w:space="0" w:color="auto"/>
              <w:right w:val="single" w:sz="4" w:space="0" w:color="auto"/>
            </w:tcBorders>
            <w:shd w:val="clear" w:color="auto" w:fill="auto"/>
            <w:noWrap/>
            <w:vAlign w:val="bottom"/>
            <w:hideMark/>
          </w:tcPr>
          <w:p w14:paraId="6A920135"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3.51</w:t>
            </w:r>
          </w:p>
        </w:tc>
        <w:tc>
          <w:tcPr>
            <w:tcW w:w="720" w:type="dxa"/>
            <w:tcBorders>
              <w:top w:val="nil"/>
              <w:left w:val="nil"/>
              <w:bottom w:val="single" w:sz="4" w:space="0" w:color="auto"/>
              <w:right w:val="single" w:sz="4" w:space="0" w:color="auto"/>
            </w:tcBorders>
            <w:shd w:val="clear" w:color="auto" w:fill="auto"/>
            <w:noWrap/>
            <w:vAlign w:val="bottom"/>
            <w:hideMark/>
          </w:tcPr>
          <w:p w14:paraId="7E453EB8"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7</w:t>
            </w:r>
          </w:p>
        </w:tc>
      </w:tr>
      <w:tr w:rsidR="00CD6352" w:rsidRPr="00EA7665" w14:paraId="4DC6B7F9"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01B3AAB4"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Usage of internal program and instructors</w:t>
            </w:r>
          </w:p>
        </w:tc>
        <w:tc>
          <w:tcPr>
            <w:tcW w:w="1140" w:type="dxa"/>
            <w:tcBorders>
              <w:top w:val="nil"/>
              <w:left w:val="nil"/>
              <w:bottom w:val="single" w:sz="4" w:space="0" w:color="auto"/>
              <w:right w:val="single" w:sz="4" w:space="0" w:color="auto"/>
            </w:tcBorders>
            <w:shd w:val="clear" w:color="auto" w:fill="auto"/>
            <w:noWrap/>
            <w:vAlign w:val="bottom"/>
            <w:hideMark/>
          </w:tcPr>
          <w:p w14:paraId="64A8614D"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3.45</w:t>
            </w:r>
          </w:p>
        </w:tc>
        <w:tc>
          <w:tcPr>
            <w:tcW w:w="720" w:type="dxa"/>
            <w:tcBorders>
              <w:top w:val="nil"/>
              <w:left w:val="nil"/>
              <w:bottom w:val="single" w:sz="4" w:space="0" w:color="auto"/>
              <w:right w:val="single" w:sz="4" w:space="0" w:color="auto"/>
            </w:tcBorders>
            <w:shd w:val="clear" w:color="auto" w:fill="auto"/>
            <w:noWrap/>
            <w:vAlign w:val="bottom"/>
            <w:hideMark/>
          </w:tcPr>
          <w:p w14:paraId="2AA9C3BB"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8</w:t>
            </w:r>
          </w:p>
        </w:tc>
      </w:tr>
      <w:tr w:rsidR="00CD6352" w:rsidRPr="00EA7665" w14:paraId="48E6A640"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5B8C9988"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Usage of formal qualification</w:t>
            </w:r>
          </w:p>
        </w:tc>
        <w:tc>
          <w:tcPr>
            <w:tcW w:w="1140" w:type="dxa"/>
            <w:tcBorders>
              <w:top w:val="nil"/>
              <w:left w:val="nil"/>
              <w:bottom w:val="single" w:sz="4" w:space="0" w:color="auto"/>
              <w:right w:val="single" w:sz="4" w:space="0" w:color="auto"/>
            </w:tcBorders>
            <w:shd w:val="clear" w:color="auto" w:fill="auto"/>
            <w:noWrap/>
            <w:vAlign w:val="bottom"/>
            <w:hideMark/>
          </w:tcPr>
          <w:p w14:paraId="3BEADA96"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3.4</w:t>
            </w:r>
          </w:p>
        </w:tc>
        <w:tc>
          <w:tcPr>
            <w:tcW w:w="720" w:type="dxa"/>
            <w:tcBorders>
              <w:top w:val="nil"/>
              <w:left w:val="nil"/>
              <w:bottom w:val="single" w:sz="4" w:space="0" w:color="auto"/>
              <w:right w:val="single" w:sz="4" w:space="0" w:color="auto"/>
            </w:tcBorders>
            <w:shd w:val="clear" w:color="auto" w:fill="auto"/>
            <w:noWrap/>
            <w:vAlign w:val="bottom"/>
            <w:hideMark/>
          </w:tcPr>
          <w:p w14:paraId="3BD080B6"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9</w:t>
            </w:r>
          </w:p>
        </w:tc>
      </w:tr>
      <w:tr w:rsidR="00CD6352" w:rsidRPr="00EA7665" w14:paraId="0CDF23B7"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5384C0D0"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Executive MBA(with classes on a part-time basis)</w:t>
            </w:r>
          </w:p>
        </w:tc>
        <w:tc>
          <w:tcPr>
            <w:tcW w:w="1140" w:type="dxa"/>
            <w:tcBorders>
              <w:top w:val="nil"/>
              <w:left w:val="nil"/>
              <w:bottom w:val="single" w:sz="4" w:space="0" w:color="auto"/>
              <w:right w:val="single" w:sz="4" w:space="0" w:color="auto"/>
            </w:tcBorders>
            <w:shd w:val="clear" w:color="auto" w:fill="auto"/>
            <w:noWrap/>
            <w:vAlign w:val="bottom"/>
            <w:hideMark/>
          </w:tcPr>
          <w:p w14:paraId="26E5C40E"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3.33</w:t>
            </w:r>
          </w:p>
        </w:tc>
        <w:tc>
          <w:tcPr>
            <w:tcW w:w="720" w:type="dxa"/>
            <w:tcBorders>
              <w:top w:val="nil"/>
              <w:left w:val="nil"/>
              <w:bottom w:val="single" w:sz="4" w:space="0" w:color="auto"/>
              <w:right w:val="single" w:sz="4" w:space="0" w:color="auto"/>
            </w:tcBorders>
            <w:shd w:val="clear" w:color="auto" w:fill="auto"/>
            <w:noWrap/>
            <w:vAlign w:val="bottom"/>
            <w:hideMark/>
          </w:tcPr>
          <w:p w14:paraId="579F146B"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10</w:t>
            </w:r>
          </w:p>
        </w:tc>
      </w:tr>
      <w:tr w:rsidR="00CD6352" w:rsidRPr="00EA7665" w14:paraId="23B47C87" w14:textId="77777777" w:rsidTr="00CD6352">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6769EAF6"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Online and tutorial training</w:t>
            </w:r>
          </w:p>
        </w:tc>
        <w:tc>
          <w:tcPr>
            <w:tcW w:w="1140" w:type="dxa"/>
            <w:tcBorders>
              <w:top w:val="nil"/>
              <w:left w:val="nil"/>
              <w:bottom w:val="single" w:sz="4" w:space="0" w:color="auto"/>
              <w:right w:val="single" w:sz="4" w:space="0" w:color="auto"/>
            </w:tcBorders>
            <w:shd w:val="clear" w:color="auto" w:fill="auto"/>
            <w:noWrap/>
            <w:vAlign w:val="bottom"/>
            <w:hideMark/>
          </w:tcPr>
          <w:p w14:paraId="6567C425"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3.3</w:t>
            </w:r>
          </w:p>
        </w:tc>
        <w:tc>
          <w:tcPr>
            <w:tcW w:w="720" w:type="dxa"/>
            <w:tcBorders>
              <w:top w:val="nil"/>
              <w:left w:val="nil"/>
              <w:bottom w:val="single" w:sz="4" w:space="0" w:color="auto"/>
              <w:right w:val="single" w:sz="4" w:space="0" w:color="auto"/>
            </w:tcBorders>
            <w:shd w:val="clear" w:color="auto" w:fill="auto"/>
            <w:noWrap/>
            <w:vAlign w:val="bottom"/>
            <w:hideMark/>
          </w:tcPr>
          <w:p w14:paraId="58DCA50B"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11</w:t>
            </w:r>
          </w:p>
        </w:tc>
      </w:tr>
      <w:tr w:rsidR="00CD6352" w:rsidRPr="00EA7665" w14:paraId="7FCDC4F8" w14:textId="77777777" w:rsidTr="00CD6352">
        <w:trPr>
          <w:trHeight w:val="600"/>
        </w:trPr>
        <w:tc>
          <w:tcPr>
            <w:tcW w:w="4840" w:type="dxa"/>
            <w:tcBorders>
              <w:top w:val="nil"/>
              <w:left w:val="single" w:sz="4" w:space="0" w:color="auto"/>
              <w:bottom w:val="single" w:sz="4" w:space="0" w:color="auto"/>
              <w:right w:val="single" w:sz="4" w:space="0" w:color="auto"/>
            </w:tcBorders>
            <w:shd w:val="clear" w:color="auto" w:fill="auto"/>
            <w:vAlign w:val="bottom"/>
            <w:hideMark/>
          </w:tcPr>
          <w:p w14:paraId="5E19FF3D" w14:textId="77777777" w:rsidR="00CD6352" w:rsidRPr="00EA7665" w:rsidRDefault="00CD6352" w:rsidP="00CD6352">
            <w:pPr>
              <w:spacing w:after="0" w:line="240" w:lineRule="auto"/>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University residential (the full-time program for some weeks )</w:t>
            </w:r>
          </w:p>
        </w:tc>
        <w:tc>
          <w:tcPr>
            <w:tcW w:w="1140" w:type="dxa"/>
            <w:tcBorders>
              <w:top w:val="nil"/>
              <w:left w:val="nil"/>
              <w:bottom w:val="single" w:sz="4" w:space="0" w:color="auto"/>
              <w:right w:val="single" w:sz="4" w:space="0" w:color="auto"/>
            </w:tcBorders>
            <w:shd w:val="clear" w:color="auto" w:fill="auto"/>
            <w:noWrap/>
            <w:vAlign w:val="bottom"/>
            <w:hideMark/>
          </w:tcPr>
          <w:p w14:paraId="2661A9D8"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3.26</w:t>
            </w:r>
          </w:p>
        </w:tc>
        <w:tc>
          <w:tcPr>
            <w:tcW w:w="720" w:type="dxa"/>
            <w:tcBorders>
              <w:top w:val="nil"/>
              <w:left w:val="nil"/>
              <w:bottom w:val="single" w:sz="4" w:space="0" w:color="auto"/>
              <w:right w:val="single" w:sz="4" w:space="0" w:color="auto"/>
            </w:tcBorders>
            <w:shd w:val="clear" w:color="auto" w:fill="auto"/>
            <w:noWrap/>
            <w:vAlign w:val="bottom"/>
            <w:hideMark/>
          </w:tcPr>
          <w:p w14:paraId="0BBD7F6A" w14:textId="77777777" w:rsidR="00CD6352" w:rsidRPr="00EA7665" w:rsidRDefault="00CD6352" w:rsidP="00CD6352">
            <w:pPr>
              <w:spacing w:after="0" w:line="240" w:lineRule="auto"/>
              <w:jc w:val="right"/>
              <w:rPr>
                <w:rFonts w:ascii="Calibri" w:eastAsia="Times New Roman" w:hAnsi="Calibri" w:cs="Times New Roman"/>
                <w:color w:val="000000"/>
                <w:lang w:eastAsia="en-GB"/>
              </w:rPr>
            </w:pPr>
            <w:r w:rsidRPr="00EA7665">
              <w:rPr>
                <w:rFonts w:ascii="Calibri" w:eastAsia="Times New Roman" w:hAnsi="Calibri" w:cs="Times New Roman"/>
                <w:color w:val="000000"/>
                <w:lang w:eastAsia="en-GB"/>
              </w:rPr>
              <w:t>12</w:t>
            </w:r>
          </w:p>
        </w:tc>
      </w:tr>
    </w:tbl>
    <w:p w14:paraId="140A5888" w14:textId="68DD70E4" w:rsidR="00CD6352" w:rsidRDefault="00CD6352" w:rsidP="00CD6352">
      <w:pPr>
        <w:spacing w:line="360" w:lineRule="auto"/>
        <w:jc w:val="both"/>
        <w:rPr>
          <w:rFonts w:ascii="Arial" w:hAnsi="Arial" w:cs="Arial"/>
          <w:sz w:val="16"/>
          <w:szCs w:val="16"/>
        </w:rPr>
      </w:pPr>
    </w:p>
    <w:p w14:paraId="1240B771" w14:textId="57CA3102" w:rsidR="00132DFB" w:rsidRDefault="00132DFB" w:rsidP="00CD6352">
      <w:pPr>
        <w:spacing w:line="360" w:lineRule="auto"/>
        <w:jc w:val="both"/>
        <w:rPr>
          <w:rFonts w:ascii="Arial" w:hAnsi="Arial" w:cs="Arial"/>
          <w:sz w:val="16"/>
          <w:szCs w:val="16"/>
        </w:rPr>
      </w:pPr>
    </w:p>
    <w:p w14:paraId="02C6F418" w14:textId="258EF272" w:rsidR="00132DFB" w:rsidRDefault="00132DFB" w:rsidP="00CD6352">
      <w:pPr>
        <w:spacing w:line="360" w:lineRule="auto"/>
        <w:jc w:val="both"/>
        <w:rPr>
          <w:rFonts w:ascii="Arial" w:hAnsi="Arial" w:cs="Arial"/>
          <w:sz w:val="16"/>
          <w:szCs w:val="16"/>
        </w:rPr>
      </w:pPr>
    </w:p>
    <w:p w14:paraId="77F7BBF5" w14:textId="75F28DDA" w:rsidR="00132DFB" w:rsidRDefault="00132DFB" w:rsidP="00CD6352">
      <w:pPr>
        <w:spacing w:line="360" w:lineRule="auto"/>
        <w:jc w:val="both"/>
        <w:rPr>
          <w:rFonts w:ascii="Arial" w:hAnsi="Arial" w:cs="Arial"/>
          <w:sz w:val="16"/>
          <w:szCs w:val="16"/>
        </w:rPr>
      </w:pPr>
    </w:p>
    <w:p w14:paraId="7538DB1B" w14:textId="75081BBC" w:rsidR="00132DFB" w:rsidRDefault="00132DFB" w:rsidP="00CD6352">
      <w:pPr>
        <w:spacing w:line="360" w:lineRule="auto"/>
        <w:jc w:val="both"/>
        <w:rPr>
          <w:rFonts w:ascii="Arial" w:hAnsi="Arial" w:cs="Arial"/>
          <w:sz w:val="16"/>
          <w:szCs w:val="16"/>
        </w:rPr>
      </w:pPr>
    </w:p>
    <w:p w14:paraId="531CE0E6" w14:textId="77777777" w:rsidR="00107521" w:rsidRDefault="00107521" w:rsidP="00CD6352">
      <w:pPr>
        <w:spacing w:line="360" w:lineRule="auto"/>
        <w:jc w:val="both"/>
        <w:rPr>
          <w:rFonts w:ascii="Arial" w:hAnsi="Arial" w:cs="Arial"/>
          <w:sz w:val="16"/>
          <w:szCs w:val="16"/>
        </w:rPr>
      </w:pPr>
    </w:p>
    <w:p w14:paraId="5C20C476" w14:textId="701DD235" w:rsidR="00132DFB" w:rsidRDefault="00132DFB" w:rsidP="00CD6352">
      <w:pPr>
        <w:spacing w:line="360" w:lineRule="auto"/>
        <w:jc w:val="both"/>
        <w:rPr>
          <w:rFonts w:ascii="Arial" w:hAnsi="Arial" w:cs="Arial"/>
          <w:sz w:val="16"/>
          <w:szCs w:val="16"/>
        </w:rPr>
      </w:pPr>
    </w:p>
    <w:p w14:paraId="4316384F" w14:textId="467B0EAF" w:rsidR="00132DFB" w:rsidRDefault="00132DFB" w:rsidP="00CD6352">
      <w:pPr>
        <w:spacing w:line="360" w:lineRule="auto"/>
        <w:jc w:val="both"/>
        <w:rPr>
          <w:rFonts w:ascii="Arial" w:hAnsi="Arial" w:cs="Arial"/>
          <w:sz w:val="16"/>
          <w:szCs w:val="16"/>
        </w:rPr>
      </w:pPr>
    </w:p>
    <w:p w14:paraId="79EF1D32" w14:textId="77777777" w:rsidR="00132DFB" w:rsidRPr="00EA7665" w:rsidRDefault="00132DFB" w:rsidP="00CD6352">
      <w:pPr>
        <w:spacing w:line="360" w:lineRule="auto"/>
        <w:jc w:val="both"/>
        <w:rPr>
          <w:rFonts w:ascii="Arial" w:hAnsi="Arial" w:cs="Arial"/>
          <w:sz w:val="16"/>
          <w:szCs w:val="16"/>
        </w:rPr>
      </w:pPr>
    </w:p>
    <w:p w14:paraId="652298B4" w14:textId="02EE2D1F" w:rsidR="00CD6352" w:rsidRPr="00EE4398" w:rsidRDefault="00CD6352" w:rsidP="00CD6352">
      <w:pPr>
        <w:pStyle w:val="Heading5"/>
        <w:rPr>
          <w:rFonts w:ascii="Arial" w:hAnsi="Arial" w:cs="Arial"/>
          <w:color w:val="000000" w:themeColor="text1"/>
        </w:rPr>
      </w:pPr>
      <w:r w:rsidRPr="00EE4398">
        <w:rPr>
          <w:rFonts w:ascii="Arial" w:hAnsi="Arial" w:cs="Arial"/>
          <w:color w:val="000000" w:themeColor="text1"/>
        </w:rPr>
        <w:lastRenderedPageBreak/>
        <w:t xml:space="preserve">Questionnaire survey discussion and analysis at the disaggregate </w:t>
      </w:r>
      <w:r w:rsidR="000675DF" w:rsidRPr="00EE4398">
        <w:rPr>
          <w:rFonts w:ascii="Arial" w:hAnsi="Arial" w:cs="Arial"/>
          <w:color w:val="000000" w:themeColor="text1"/>
        </w:rPr>
        <w:t>level.</w:t>
      </w:r>
    </w:p>
    <w:p w14:paraId="7B492766" w14:textId="77777777" w:rsidR="00CD6352" w:rsidRPr="00EA7665" w:rsidRDefault="00CD6352" w:rsidP="00CD6352">
      <w:pPr>
        <w:spacing w:line="360" w:lineRule="auto"/>
        <w:jc w:val="both"/>
        <w:rPr>
          <w:rFonts w:ascii="Arial" w:hAnsi="Arial" w:cs="Arial"/>
        </w:rPr>
      </w:pPr>
    </w:p>
    <w:p w14:paraId="66B381F9" w14:textId="7311D160" w:rsidR="000675DF" w:rsidRPr="00EA7665" w:rsidRDefault="000675DF" w:rsidP="000675DF">
      <w:pPr>
        <w:pStyle w:val="Caption"/>
        <w:keepNext/>
      </w:pPr>
      <w:bookmarkStart w:id="1403" w:name="_Toc78984034"/>
      <w:r>
        <w:t xml:space="preserve">Table </w:t>
      </w:r>
      <w:fldSimple w:instr=" STYLEREF 2 \s ">
        <w:r w:rsidR="008F25B1">
          <w:rPr>
            <w:noProof/>
          </w:rPr>
          <w:t>9.3</w:t>
        </w:r>
      </w:fldSimple>
      <w:r w:rsidR="008F25B1">
        <w:noBreakHyphen/>
      </w:r>
      <w:fldSimple w:instr=" SEQ Table \* ARABIC \s 2 ">
        <w:r w:rsidR="008F25B1">
          <w:rPr>
            <w:noProof/>
          </w:rPr>
          <w:t>6</w:t>
        </w:r>
      </w:fldSimple>
      <w:r>
        <w:t xml:space="preserve">: </w:t>
      </w:r>
      <w:r w:rsidRPr="00EA7665">
        <w:t>Mean scores for Degree of perceived importance of approaches to training and education for securing finance for real estate project development for the present job at the disaggregate level</w:t>
      </w:r>
      <w:bookmarkEnd w:id="1403"/>
    </w:p>
    <w:tbl>
      <w:tblPr>
        <w:tblW w:w="9541" w:type="dxa"/>
        <w:tblInd w:w="93" w:type="dxa"/>
        <w:tblLayout w:type="fixed"/>
        <w:tblLook w:val="04A0" w:firstRow="1" w:lastRow="0" w:firstColumn="1" w:lastColumn="0" w:noHBand="0" w:noVBand="1"/>
      </w:tblPr>
      <w:tblGrid>
        <w:gridCol w:w="1320"/>
        <w:gridCol w:w="992"/>
        <w:gridCol w:w="709"/>
        <w:gridCol w:w="709"/>
        <w:gridCol w:w="425"/>
        <w:gridCol w:w="597"/>
        <w:gridCol w:w="573"/>
        <w:gridCol w:w="673"/>
        <w:gridCol w:w="567"/>
        <w:gridCol w:w="850"/>
        <w:gridCol w:w="709"/>
        <w:gridCol w:w="709"/>
        <w:gridCol w:w="708"/>
      </w:tblGrid>
      <w:tr w:rsidR="00CD6352" w:rsidRPr="00193AD8" w14:paraId="2D1D17BC" w14:textId="77777777" w:rsidTr="00CD6352">
        <w:trPr>
          <w:trHeight w:val="297"/>
        </w:trPr>
        <w:tc>
          <w:tcPr>
            <w:tcW w:w="9541"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EE9743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Degree of perceived importance for the present</w:t>
            </w:r>
          </w:p>
        </w:tc>
      </w:tr>
      <w:tr w:rsidR="00CD6352" w:rsidRPr="00193AD8" w14:paraId="1BE3BD65" w14:textId="77777777" w:rsidTr="00CD6352">
        <w:trPr>
          <w:trHeight w:val="668"/>
        </w:trPr>
        <w:tc>
          <w:tcPr>
            <w:tcW w:w="1320" w:type="dxa"/>
            <w:tcBorders>
              <w:top w:val="nil"/>
              <w:left w:val="single" w:sz="4" w:space="0" w:color="auto"/>
              <w:bottom w:val="single" w:sz="4" w:space="0" w:color="auto"/>
              <w:right w:val="single" w:sz="4" w:space="0" w:color="auto"/>
            </w:tcBorders>
            <w:shd w:val="clear" w:color="auto" w:fill="auto"/>
            <w:hideMark/>
          </w:tcPr>
          <w:p w14:paraId="50245D6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Approaches to management's training &amp; education</w:t>
            </w:r>
          </w:p>
        </w:tc>
        <w:tc>
          <w:tcPr>
            <w:tcW w:w="992" w:type="dxa"/>
            <w:tcBorders>
              <w:top w:val="nil"/>
              <w:left w:val="nil"/>
              <w:bottom w:val="single" w:sz="4" w:space="0" w:color="auto"/>
              <w:right w:val="single" w:sz="4" w:space="0" w:color="auto"/>
            </w:tcBorders>
            <w:shd w:val="clear" w:color="auto" w:fill="auto"/>
            <w:hideMark/>
          </w:tcPr>
          <w:p w14:paraId="1E1F93D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Germany</w:t>
            </w:r>
          </w:p>
          <w:p w14:paraId="3C77F9D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N=5</w:t>
            </w:r>
          </w:p>
        </w:tc>
        <w:tc>
          <w:tcPr>
            <w:tcW w:w="709" w:type="dxa"/>
            <w:tcBorders>
              <w:top w:val="nil"/>
              <w:left w:val="nil"/>
              <w:bottom w:val="single" w:sz="4" w:space="0" w:color="auto"/>
              <w:right w:val="single" w:sz="4" w:space="0" w:color="auto"/>
            </w:tcBorders>
            <w:shd w:val="clear" w:color="auto" w:fill="auto"/>
            <w:hideMark/>
          </w:tcPr>
          <w:p w14:paraId="61B7CF2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Rank</w:t>
            </w:r>
          </w:p>
        </w:tc>
        <w:tc>
          <w:tcPr>
            <w:tcW w:w="709" w:type="dxa"/>
            <w:tcBorders>
              <w:top w:val="nil"/>
              <w:left w:val="nil"/>
              <w:bottom w:val="single" w:sz="4" w:space="0" w:color="auto"/>
              <w:right w:val="single" w:sz="4" w:space="0" w:color="auto"/>
            </w:tcBorders>
            <w:shd w:val="clear" w:color="auto" w:fill="auto"/>
            <w:noWrap/>
            <w:hideMark/>
          </w:tcPr>
          <w:p w14:paraId="6392A0D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UK</w:t>
            </w:r>
          </w:p>
          <w:p w14:paraId="0B30851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N=20</w:t>
            </w:r>
          </w:p>
        </w:tc>
        <w:tc>
          <w:tcPr>
            <w:tcW w:w="425" w:type="dxa"/>
            <w:tcBorders>
              <w:top w:val="nil"/>
              <w:left w:val="nil"/>
              <w:bottom w:val="single" w:sz="4" w:space="0" w:color="auto"/>
              <w:right w:val="single" w:sz="4" w:space="0" w:color="auto"/>
            </w:tcBorders>
            <w:shd w:val="clear" w:color="auto" w:fill="auto"/>
            <w:noWrap/>
            <w:hideMark/>
          </w:tcPr>
          <w:p w14:paraId="5F6E6CF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Rank</w:t>
            </w:r>
          </w:p>
        </w:tc>
        <w:tc>
          <w:tcPr>
            <w:tcW w:w="597" w:type="dxa"/>
            <w:tcBorders>
              <w:top w:val="nil"/>
              <w:left w:val="nil"/>
              <w:bottom w:val="single" w:sz="4" w:space="0" w:color="auto"/>
              <w:right w:val="single" w:sz="4" w:space="0" w:color="auto"/>
            </w:tcBorders>
            <w:shd w:val="clear" w:color="auto" w:fill="auto"/>
            <w:noWrap/>
            <w:hideMark/>
          </w:tcPr>
          <w:p w14:paraId="2A562C2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US</w:t>
            </w:r>
          </w:p>
          <w:p w14:paraId="46E7818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N=8</w:t>
            </w:r>
          </w:p>
        </w:tc>
        <w:tc>
          <w:tcPr>
            <w:tcW w:w="573" w:type="dxa"/>
            <w:tcBorders>
              <w:top w:val="nil"/>
              <w:left w:val="nil"/>
              <w:bottom w:val="single" w:sz="4" w:space="0" w:color="auto"/>
              <w:right w:val="single" w:sz="4" w:space="0" w:color="auto"/>
            </w:tcBorders>
            <w:shd w:val="clear" w:color="auto" w:fill="auto"/>
            <w:noWrap/>
            <w:hideMark/>
          </w:tcPr>
          <w:p w14:paraId="3A619AF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Rank</w:t>
            </w:r>
          </w:p>
        </w:tc>
        <w:tc>
          <w:tcPr>
            <w:tcW w:w="673" w:type="dxa"/>
            <w:tcBorders>
              <w:top w:val="nil"/>
              <w:left w:val="nil"/>
              <w:bottom w:val="single" w:sz="4" w:space="0" w:color="auto"/>
              <w:right w:val="single" w:sz="4" w:space="0" w:color="auto"/>
            </w:tcBorders>
            <w:shd w:val="clear" w:color="auto" w:fill="auto"/>
            <w:noWrap/>
            <w:hideMark/>
          </w:tcPr>
          <w:p w14:paraId="4D83F8E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China</w:t>
            </w:r>
          </w:p>
          <w:p w14:paraId="5AEFE48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N=11</w:t>
            </w:r>
          </w:p>
        </w:tc>
        <w:tc>
          <w:tcPr>
            <w:tcW w:w="567" w:type="dxa"/>
            <w:tcBorders>
              <w:top w:val="nil"/>
              <w:left w:val="nil"/>
              <w:bottom w:val="single" w:sz="4" w:space="0" w:color="auto"/>
              <w:right w:val="single" w:sz="4" w:space="0" w:color="auto"/>
            </w:tcBorders>
            <w:shd w:val="clear" w:color="auto" w:fill="auto"/>
            <w:noWrap/>
            <w:hideMark/>
          </w:tcPr>
          <w:p w14:paraId="401F9EA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Rank</w:t>
            </w:r>
          </w:p>
        </w:tc>
        <w:tc>
          <w:tcPr>
            <w:tcW w:w="850" w:type="dxa"/>
            <w:tcBorders>
              <w:top w:val="nil"/>
              <w:left w:val="nil"/>
              <w:bottom w:val="single" w:sz="4" w:space="0" w:color="auto"/>
              <w:right w:val="single" w:sz="4" w:space="0" w:color="auto"/>
            </w:tcBorders>
            <w:shd w:val="clear" w:color="auto" w:fill="auto"/>
            <w:noWrap/>
            <w:hideMark/>
          </w:tcPr>
          <w:p w14:paraId="18167E0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Nigeria</w:t>
            </w:r>
          </w:p>
          <w:p w14:paraId="31EDBB1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N=26</w:t>
            </w:r>
          </w:p>
        </w:tc>
        <w:tc>
          <w:tcPr>
            <w:tcW w:w="709" w:type="dxa"/>
            <w:tcBorders>
              <w:top w:val="nil"/>
              <w:left w:val="nil"/>
              <w:bottom w:val="single" w:sz="4" w:space="0" w:color="auto"/>
              <w:right w:val="single" w:sz="4" w:space="0" w:color="auto"/>
            </w:tcBorders>
            <w:shd w:val="clear" w:color="auto" w:fill="auto"/>
            <w:noWrap/>
            <w:hideMark/>
          </w:tcPr>
          <w:p w14:paraId="082E63E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Rank</w:t>
            </w:r>
          </w:p>
        </w:tc>
        <w:tc>
          <w:tcPr>
            <w:tcW w:w="709" w:type="dxa"/>
            <w:tcBorders>
              <w:top w:val="nil"/>
              <w:left w:val="nil"/>
              <w:bottom w:val="single" w:sz="4" w:space="0" w:color="auto"/>
              <w:right w:val="single" w:sz="4" w:space="0" w:color="auto"/>
            </w:tcBorders>
            <w:shd w:val="clear" w:color="auto" w:fill="auto"/>
            <w:hideMark/>
          </w:tcPr>
          <w:p w14:paraId="76BC526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South Africa</w:t>
            </w:r>
          </w:p>
          <w:p w14:paraId="31B1914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N=11</w:t>
            </w:r>
          </w:p>
        </w:tc>
        <w:tc>
          <w:tcPr>
            <w:tcW w:w="708" w:type="dxa"/>
            <w:tcBorders>
              <w:top w:val="nil"/>
              <w:left w:val="nil"/>
              <w:bottom w:val="single" w:sz="4" w:space="0" w:color="auto"/>
              <w:right w:val="single" w:sz="4" w:space="0" w:color="auto"/>
            </w:tcBorders>
            <w:shd w:val="clear" w:color="auto" w:fill="auto"/>
            <w:noWrap/>
            <w:hideMark/>
          </w:tcPr>
          <w:p w14:paraId="041E5D0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Rank</w:t>
            </w:r>
          </w:p>
        </w:tc>
      </w:tr>
      <w:tr w:rsidR="00CD6352" w:rsidRPr="00193AD8" w14:paraId="47B67B36" w14:textId="77777777" w:rsidTr="00CD6352">
        <w:trPr>
          <w:trHeight w:val="935"/>
        </w:trPr>
        <w:tc>
          <w:tcPr>
            <w:tcW w:w="1320" w:type="dxa"/>
            <w:tcBorders>
              <w:top w:val="nil"/>
              <w:left w:val="single" w:sz="4" w:space="0" w:color="auto"/>
              <w:bottom w:val="single" w:sz="4" w:space="0" w:color="auto"/>
              <w:right w:val="single" w:sz="4" w:space="0" w:color="auto"/>
            </w:tcBorders>
            <w:shd w:val="clear" w:color="auto" w:fill="auto"/>
            <w:hideMark/>
          </w:tcPr>
          <w:p w14:paraId="0AE59C1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Classroom instructor-led training for a short period(offered by consultants)</w:t>
            </w:r>
          </w:p>
        </w:tc>
        <w:tc>
          <w:tcPr>
            <w:tcW w:w="992" w:type="dxa"/>
            <w:tcBorders>
              <w:top w:val="nil"/>
              <w:left w:val="nil"/>
              <w:bottom w:val="single" w:sz="4" w:space="0" w:color="auto"/>
              <w:right w:val="single" w:sz="4" w:space="0" w:color="auto"/>
            </w:tcBorders>
            <w:shd w:val="clear" w:color="auto" w:fill="auto"/>
            <w:hideMark/>
          </w:tcPr>
          <w:p w14:paraId="25A1F46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9" w:type="dxa"/>
            <w:tcBorders>
              <w:top w:val="nil"/>
              <w:left w:val="nil"/>
              <w:bottom w:val="single" w:sz="4" w:space="0" w:color="auto"/>
              <w:right w:val="single" w:sz="4" w:space="0" w:color="auto"/>
            </w:tcBorders>
            <w:shd w:val="clear" w:color="auto" w:fill="auto"/>
            <w:hideMark/>
          </w:tcPr>
          <w:p w14:paraId="5128CE6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6</w:t>
            </w:r>
          </w:p>
        </w:tc>
        <w:tc>
          <w:tcPr>
            <w:tcW w:w="709" w:type="dxa"/>
            <w:tcBorders>
              <w:top w:val="nil"/>
              <w:left w:val="nil"/>
              <w:bottom w:val="single" w:sz="4" w:space="0" w:color="auto"/>
              <w:right w:val="single" w:sz="4" w:space="0" w:color="auto"/>
            </w:tcBorders>
            <w:shd w:val="clear" w:color="auto" w:fill="auto"/>
            <w:noWrap/>
            <w:hideMark/>
          </w:tcPr>
          <w:p w14:paraId="25843DB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3.22</w:t>
            </w:r>
          </w:p>
        </w:tc>
        <w:tc>
          <w:tcPr>
            <w:tcW w:w="425" w:type="dxa"/>
            <w:tcBorders>
              <w:top w:val="nil"/>
              <w:left w:val="nil"/>
              <w:bottom w:val="single" w:sz="4" w:space="0" w:color="auto"/>
              <w:right w:val="single" w:sz="4" w:space="0" w:color="auto"/>
            </w:tcBorders>
            <w:shd w:val="clear" w:color="auto" w:fill="auto"/>
            <w:noWrap/>
            <w:hideMark/>
          </w:tcPr>
          <w:p w14:paraId="5D402A3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c>
          <w:tcPr>
            <w:tcW w:w="597" w:type="dxa"/>
            <w:tcBorders>
              <w:top w:val="nil"/>
              <w:left w:val="nil"/>
              <w:bottom w:val="single" w:sz="4" w:space="0" w:color="auto"/>
              <w:right w:val="single" w:sz="4" w:space="0" w:color="auto"/>
            </w:tcBorders>
            <w:shd w:val="clear" w:color="auto" w:fill="auto"/>
            <w:noWrap/>
            <w:hideMark/>
          </w:tcPr>
          <w:p w14:paraId="01A125B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2.8</w:t>
            </w:r>
          </w:p>
        </w:tc>
        <w:tc>
          <w:tcPr>
            <w:tcW w:w="573" w:type="dxa"/>
            <w:tcBorders>
              <w:top w:val="nil"/>
              <w:left w:val="nil"/>
              <w:bottom w:val="single" w:sz="4" w:space="0" w:color="auto"/>
              <w:right w:val="single" w:sz="4" w:space="0" w:color="auto"/>
            </w:tcBorders>
            <w:shd w:val="clear" w:color="auto" w:fill="auto"/>
            <w:noWrap/>
            <w:hideMark/>
          </w:tcPr>
          <w:p w14:paraId="1E301F1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5</w:t>
            </w:r>
          </w:p>
        </w:tc>
        <w:tc>
          <w:tcPr>
            <w:tcW w:w="673" w:type="dxa"/>
            <w:tcBorders>
              <w:top w:val="nil"/>
              <w:left w:val="nil"/>
              <w:bottom w:val="single" w:sz="4" w:space="0" w:color="auto"/>
              <w:right w:val="single" w:sz="4" w:space="0" w:color="auto"/>
            </w:tcBorders>
            <w:shd w:val="clear" w:color="auto" w:fill="auto"/>
            <w:noWrap/>
            <w:hideMark/>
          </w:tcPr>
          <w:p w14:paraId="37249D4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3.1</w:t>
            </w:r>
          </w:p>
        </w:tc>
        <w:tc>
          <w:tcPr>
            <w:tcW w:w="567" w:type="dxa"/>
            <w:tcBorders>
              <w:top w:val="nil"/>
              <w:left w:val="nil"/>
              <w:bottom w:val="single" w:sz="4" w:space="0" w:color="auto"/>
              <w:right w:val="single" w:sz="4" w:space="0" w:color="auto"/>
            </w:tcBorders>
            <w:shd w:val="clear" w:color="auto" w:fill="auto"/>
            <w:noWrap/>
            <w:hideMark/>
          </w:tcPr>
          <w:p w14:paraId="12B18FE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9</w:t>
            </w:r>
          </w:p>
        </w:tc>
        <w:tc>
          <w:tcPr>
            <w:tcW w:w="850" w:type="dxa"/>
            <w:tcBorders>
              <w:top w:val="nil"/>
              <w:left w:val="nil"/>
              <w:bottom w:val="single" w:sz="4" w:space="0" w:color="auto"/>
              <w:right w:val="single" w:sz="4" w:space="0" w:color="auto"/>
            </w:tcBorders>
            <w:shd w:val="clear" w:color="auto" w:fill="auto"/>
            <w:noWrap/>
            <w:hideMark/>
          </w:tcPr>
          <w:p w14:paraId="40EB805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3.95</w:t>
            </w:r>
          </w:p>
        </w:tc>
        <w:tc>
          <w:tcPr>
            <w:tcW w:w="709" w:type="dxa"/>
            <w:tcBorders>
              <w:top w:val="nil"/>
              <w:left w:val="nil"/>
              <w:bottom w:val="single" w:sz="4" w:space="0" w:color="auto"/>
              <w:right w:val="single" w:sz="4" w:space="0" w:color="auto"/>
            </w:tcBorders>
            <w:shd w:val="clear" w:color="auto" w:fill="auto"/>
            <w:noWrap/>
            <w:hideMark/>
          </w:tcPr>
          <w:p w14:paraId="25A866F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6</w:t>
            </w:r>
          </w:p>
        </w:tc>
        <w:tc>
          <w:tcPr>
            <w:tcW w:w="709" w:type="dxa"/>
            <w:tcBorders>
              <w:top w:val="nil"/>
              <w:left w:val="nil"/>
              <w:bottom w:val="single" w:sz="4" w:space="0" w:color="auto"/>
              <w:right w:val="single" w:sz="4" w:space="0" w:color="auto"/>
            </w:tcBorders>
            <w:shd w:val="clear" w:color="auto" w:fill="auto"/>
            <w:noWrap/>
            <w:hideMark/>
          </w:tcPr>
          <w:p w14:paraId="48841E1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3.38</w:t>
            </w:r>
          </w:p>
        </w:tc>
        <w:tc>
          <w:tcPr>
            <w:tcW w:w="708" w:type="dxa"/>
            <w:tcBorders>
              <w:top w:val="nil"/>
              <w:left w:val="nil"/>
              <w:bottom w:val="single" w:sz="4" w:space="0" w:color="auto"/>
              <w:right w:val="single" w:sz="4" w:space="0" w:color="auto"/>
            </w:tcBorders>
            <w:shd w:val="clear" w:color="auto" w:fill="auto"/>
            <w:noWrap/>
            <w:hideMark/>
          </w:tcPr>
          <w:p w14:paraId="0F83A0A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8</w:t>
            </w:r>
          </w:p>
        </w:tc>
      </w:tr>
      <w:tr w:rsidR="00CD6352" w:rsidRPr="00193AD8" w14:paraId="47192B4B" w14:textId="77777777" w:rsidTr="00CD6352">
        <w:trPr>
          <w:trHeight w:val="890"/>
        </w:trPr>
        <w:tc>
          <w:tcPr>
            <w:tcW w:w="1320" w:type="dxa"/>
            <w:tcBorders>
              <w:top w:val="nil"/>
              <w:left w:val="single" w:sz="4" w:space="0" w:color="auto"/>
              <w:bottom w:val="single" w:sz="4" w:space="0" w:color="auto"/>
              <w:right w:val="single" w:sz="4" w:space="0" w:color="auto"/>
            </w:tcBorders>
            <w:shd w:val="clear" w:color="auto" w:fill="auto"/>
            <w:hideMark/>
          </w:tcPr>
          <w:p w14:paraId="3EA192F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Company-specific courses targeted at securing financing skills &amp; knowledge</w:t>
            </w:r>
          </w:p>
        </w:tc>
        <w:tc>
          <w:tcPr>
            <w:tcW w:w="992" w:type="dxa"/>
            <w:tcBorders>
              <w:top w:val="nil"/>
              <w:left w:val="nil"/>
              <w:bottom w:val="single" w:sz="4" w:space="0" w:color="auto"/>
              <w:right w:val="single" w:sz="4" w:space="0" w:color="auto"/>
            </w:tcBorders>
            <w:shd w:val="clear" w:color="auto" w:fill="auto"/>
            <w:hideMark/>
          </w:tcPr>
          <w:p w14:paraId="5790117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2.33</w:t>
            </w:r>
          </w:p>
        </w:tc>
        <w:tc>
          <w:tcPr>
            <w:tcW w:w="709" w:type="dxa"/>
            <w:tcBorders>
              <w:top w:val="nil"/>
              <w:left w:val="nil"/>
              <w:bottom w:val="single" w:sz="4" w:space="0" w:color="auto"/>
              <w:right w:val="single" w:sz="4" w:space="0" w:color="auto"/>
            </w:tcBorders>
            <w:shd w:val="clear" w:color="auto" w:fill="auto"/>
            <w:hideMark/>
          </w:tcPr>
          <w:p w14:paraId="4CFA756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11</w:t>
            </w:r>
          </w:p>
        </w:tc>
        <w:tc>
          <w:tcPr>
            <w:tcW w:w="709" w:type="dxa"/>
            <w:tcBorders>
              <w:top w:val="nil"/>
              <w:left w:val="nil"/>
              <w:bottom w:val="single" w:sz="4" w:space="0" w:color="auto"/>
              <w:right w:val="single" w:sz="4" w:space="0" w:color="auto"/>
            </w:tcBorders>
            <w:shd w:val="clear" w:color="auto" w:fill="auto"/>
            <w:noWrap/>
            <w:hideMark/>
          </w:tcPr>
          <w:p w14:paraId="3F77616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2.44</w:t>
            </w:r>
          </w:p>
        </w:tc>
        <w:tc>
          <w:tcPr>
            <w:tcW w:w="425" w:type="dxa"/>
            <w:tcBorders>
              <w:top w:val="nil"/>
              <w:left w:val="nil"/>
              <w:bottom w:val="single" w:sz="4" w:space="0" w:color="auto"/>
              <w:right w:val="single" w:sz="4" w:space="0" w:color="auto"/>
            </w:tcBorders>
            <w:shd w:val="clear" w:color="auto" w:fill="auto"/>
            <w:noWrap/>
            <w:hideMark/>
          </w:tcPr>
          <w:p w14:paraId="61DFF2C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12</w:t>
            </w:r>
          </w:p>
        </w:tc>
        <w:tc>
          <w:tcPr>
            <w:tcW w:w="597" w:type="dxa"/>
            <w:tcBorders>
              <w:top w:val="nil"/>
              <w:left w:val="nil"/>
              <w:bottom w:val="single" w:sz="4" w:space="0" w:color="auto"/>
              <w:right w:val="single" w:sz="4" w:space="0" w:color="auto"/>
            </w:tcBorders>
            <w:shd w:val="clear" w:color="auto" w:fill="auto"/>
            <w:noWrap/>
            <w:hideMark/>
          </w:tcPr>
          <w:p w14:paraId="6772622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573" w:type="dxa"/>
            <w:tcBorders>
              <w:top w:val="nil"/>
              <w:left w:val="nil"/>
              <w:bottom w:val="single" w:sz="4" w:space="0" w:color="auto"/>
              <w:right w:val="single" w:sz="4" w:space="0" w:color="auto"/>
            </w:tcBorders>
            <w:shd w:val="clear" w:color="auto" w:fill="auto"/>
            <w:noWrap/>
            <w:hideMark/>
          </w:tcPr>
          <w:p w14:paraId="2A2CA7D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c>
          <w:tcPr>
            <w:tcW w:w="673" w:type="dxa"/>
            <w:tcBorders>
              <w:top w:val="nil"/>
              <w:left w:val="nil"/>
              <w:bottom w:val="single" w:sz="4" w:space="0" w:color="auto"/>
              <w:right w:val="single" w:sz="4" w:space="0" w:color="auto"/>
            </w:tcBorders>
            <w:shd w:val="clear" w:color="auto" w:fill="auto"/>
            <w:noWrap/>
            <w:hideMark/>
          </w:tcPr>
          <w:p w14:paraId="0E30DBD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3.8</w:t>
            </w:r>
          </w:p>
        </w:tc>
        <w:tc>
          <w:tcPr>
            <w:tcW w:w="567" w:type="dxa"/>
            <w:tcBorders>
              <w:top w:val="nil"/>
              <w:left w:val="nil"/>
              <w:bottom w:val="single" w:sz="4" w:space="0" w:color="auto"/>
              <w:right w:val="single" w:sz="4" w:space="0" w:color="auto"/>
            </w:tcBorders>
            <w:shd w:val="clear" w:color="auto" w:fill="auto"/>
            <w:noWrap/>
            <w:hideMark/>
          </w:tcPr>
          <w:p w14:paraId="036ED26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c>
          <w:tcPr>
            <w:tcW w:w="850" w:type="dxa"/>
            <w:tcBorders>
              <w:top w:val="nil"/>
              <w:left w:val="nil"/>
              <w:bottom w:val="single" w:sz="4" w:space="0" w:color="auto"/>
              <w:right w:val="single" w:sz="4" w:space="0" w:color="auto"/>
            </w:tcBorders>
            <w:shd w:val="clear" w:color="auto" w:fill="auto"/>
            <w:noWrap/>
            <w:hideMark/>
          </w:tcPr>
          <w:p w14:paraId="4D8A603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4.1</w:t>
            </w:r>
          </w:p>
        </w:tc>
        <w:tc>
          <w:tcPr>
            <w:tcW w:w="709" w:type="dxa"/>
            <w:tcBorders>
              <w:top w:val="nil"/>
              <w:left w:val="nil"/>
              <w:bottom w:val="single" w:sz="4" w:space="0" w:color="auto"/>
              <w:right w:val="single" w:sz="4" w:space="0" w:color="auto"/>
            </w:tcBorders>
            <w:shd w:val="clear" w:color="auto" w:fill="auto"/>
            <w:noWrap/>
            <w:hideMark/>
          </w:tcPr>
          <w:p w14:paraId="509A94B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c>
          <w:tcPr>
            <w:tcW w:w="709" w:type="dxa"/>
            <w:tcBorders>
              <w:top w:val="nil"/>
              <w:left w:val="nil"/>
              <w:bottom w:val="single" w:sz="4" w:space="0" w:color="auto"/>
              <w:right w:val="single" w:sz="4" w:space="0" w:color="auto"/>
            </w:tcBorders>
            <w:shd w:val="clear" w:color="auto" w:fill="auto"/>
            <w:noWrap/>
            <w:hideMark/>
          </w:tcPr>
          <w:p w14:paraId="5548362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3.75</w:t>
            </w:r>
          </w:p>
        </w:tc>
        <w:tc>
          <w:tcPr>
            <w:tcW w:w="708" w:type="dxa"/>
            <w:tcBorders>
              <w:top w:val="nil"/>
              <w:left w:val="nil"/>
              <w:bottom w:val="single" w:sz="4" w:space="0" w:color="auto"/>
              <w:right w:val="single" w:sz="4" w:space="0" w:color="auto"/>
            </w:tcBorders>
            <w:shd w:val="clear" w:color="auto" w:fill="auto"/>
            <w:noWrap/>
            <w:hideMark/>
          </w:tcPr>
          <w:p w14:paraId="4E5251C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r>
      <w:tr w:rsidR="00CD6352" w:rsidRPr="00193AD8" w14:paraId="1956F914" w14:textId="77777777" w:rsidTr="00CD6352">
        <w:trPr>
          <w:trHeight w:val="297"/>
        </w:trPr>
        <w:tc>
          <w:tcPr>
            <w:tcW w:w="1320" w:type="dxa"/>
            <w:tcBorders>
              <w:top w:val="nil"/>
              <w:left w:val="single" w:sz="4" w:space="0" w:color="auto"/>
              <w:bottom w:val="single" w:sz="4" w:space="0" w:color="auto"/>
              <w:right w:val="single" w:sz="4" w:space="0" w:color="auto"/>
            </w:tcBorders>
            <w:shd w:val="clear" w:color="auto" w:fill="auto"/>
            <w:hideMark/>
          </w:tcPr>
          <w:p w14:paraId="2B9EC5D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Computer-based training</w:t>
            </w:r>
          </w:p>
        </w:tc>
        <w:tc>
          <w:tcPr>
            <w:tcW w:w="992" w:type="dxa"/>
            <w:tcBorders>
              <w:top w:val="nil"/>
              <w:left w:val="nil"/>
              <w:bottom w:val="single" w:sz="4" w:space="0" w:color="auto"/>
              <w:right w:val="single" w:sz="4" w:space="0" w:color="auto"/>
            </w:tcBorders>
            <w:shd w:val="clear" w:color="auto" w:fill="auto"/>
            <w:hideMark/>
          </w:tcPr>
          <w:p w14:paraId="0517E08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3.67</w:t>
            </w:r>
          </w:p>
        </w:tc>
        <w:tc>
          <w:tcPr>
            <w:tcW w:w="709" w:type="dxa"/>
            <w:tcBorders>
              <w:top w:val="nil"/>
              <w:left w:val="nil"/>
              <w:bottom w:val="single" w:sz="4" w:space="0" w:color="auto"/>
              <w:right w:val="single" w:sz="4" w:space="0" w:color="auto"/>
            </w:tcBorders>
            <w:shd w:val="clear" w:color="auto" w:fill="auto"/>
            <w:hideMark/>
          </w:tcPr>
          <w:p w14:paraId="000C9F3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c>
          <w:tcPr>
            <w:tcW w:w="709" w:type="dxa"/>
            <w:tcBorders>
              <w:top w:val="nil"/>
              <w:left w:val="nil"/>
              <w:bottom w:val="single" w:sz="4" w:space="0" w:color="auto"/>
              <w:right w:val="single" w:sz="4" w:space="0" w:color="auto"/>
            </w:tcBorders>
            <w:shd w:val="clear" w:color="auto" w:fill="auto"/>
            <w:noWrap/>
            <w:hideMark/>
          </w:tcPr>
          <w:p w14:paraId="7F43C49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3.1</w:t>
            </w:r>
          </w:p>
        </w:tc>
        <w:tc>
          <w:tcPr>
            <w:tcW w:w="425" w:type="dxa"/>
            <w:tcBorders>
              <w:top w:val="nil"/>
              <w:left w:val="nil"/>
              <w:bottom w:val="single" w:sz="4" w:space="0" w:color="auto"/>
              <w:right w:val="single" w:sz="4" w:space="0" w:color="auto"/>
            </w:tcBorders>
            <w:shd w:val="clear" w:color="auto" w:fill="auto"/>
            <w:noWrap/>
            <w:hideMark/>
          </w:tcPr>
          <w:p w14:paraId="65DA7C2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8</w:t>
            </w:r>
          </w:p>
        </w:tc>
        <w:tc>
          <w:tcPr>
            <w:tcW w:w="597" w:type="dxa"/>
            <w:tcBorders>
              <w:top w:val="nil"/>
              <w:left w:val="nil"/>
              <w:bottom w:val="single" w:sz="4" w:space="0" w:color="auto"/>
              <w:right w:val="single" w:sz="4" w:space="0" w:color="auto"/>
            </w:tcBorders>
            <w:shd w:val="clear" w:color="auto" w:fill="auto"/>
            <w:noWrap/>
            <w:hideMark/>
          </w:tcPr>
          <w:p w14:paraId="09D99F7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573" w:type="dxa"/>
            <w:tcBorders>
              <w:top w:val="nil"/>
              <w:left w:val="nil"/>
              <w:bottom w:val="single" w:sz="4" w:space="0" w:color="auto"/>
              <w:right w:val="single" w:sz="4" w:space="0" w:color="auto"/>
            </w:tcBorders>
            <w:shd w:val="clear" w:color="auto" w:fill="auto"/>
            <w:noWrap/>
            <w:hideMark/>
          </w:tcPr>
          <w:p w14:paraId="7CC6592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673" w:type="dxa"/>
            <w:tcBorders>
              <w:top w:val="nil"/>
              <w:left w:val="nil"/>
              <w:bottom w:val="single" w:sz="4" w:space="0" w:color="auto"/>
              <w:right w:val="single" w:sz="4" w:space="0" w:color="auto"/>
            </w:tcBorders>
            <w:shd w:val="clear" w:color="auto" w:fill="auto"/>
            <w:noWrap/>
            <w:hideMark/>
          </w:tcPr>
          <w:p w14:paraId="6057730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3.8</w:t>
            </w:r>
          </w:p>
        </w:tc>
        <w:tc>
          <w:tcPr>
            <w:tcW w:w="567" w:type="dxa"/>
            <w:tcBorders>
              <w:top w:val="nil"/>
              <w:left w:val="nil"/>
              <w:bottom w:val="single" w:sz="4" w:space="0" w:color="auto"/>
              <w:right w:val="single" w:sz="4" w:space="0" w:color="auto"/>
            </w:tcBorders>
            <w:shd w:val="clear" w:color="auto" w:fill="auto"/>
            <w:noWrap/>
            <w:hideMark/>
          </w:tcPr>
          <w:p w14:paraId="15E5AEF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850" w:type="dxa"/>
            <w:tcBorders>
              <w:top w:val="nil"/>
              <w:left w:val="nil"/>
              <w:bottom w:val="single" w:sz="4" w:space="0" w:color="auto"/>
              <w:right w:val="single" w:sz="4" w:space="0" w:color="auto"/>
            </w:tcBorders>
            <w:shd w:val="clear" w:color="auto" w:fill="auto"/>
            <w:noWrap/>
            <w:hideMark/>
          </w:tcPr>
          <w:p w14:paraId="2776DDA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4.15</w:t>
            </w:r>
          </w:p>
        </w:tc>
        <w:tc>
          <w:tcPr>
            <w:tcW w:w="709" w:type="dxa"/>
            <w:tcBorders>
              <w:top w:val="nil"/>
              <w:left w:val="nil"/>
              <w:bottom w:val="single" w:sz="4" w:space="0" w:color="auto"/>
              <w:right w:val="single" w:sz="4" w:space="0" w:color="auto"/>
            </w:tcBorders>
            <w:shd w:val="clear" w:color="auto" w:fill="auto"/>
            <w:noWrap/>
            <w:hideMark/>
          </w:tcPr>
          <w:p w14:paraId="16221CE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709" w:type="dxa"/>
            <w:tcBorders>
              <w:top w:val="nil"/>
              <w:left w:val="nil"/>
              <w:bottom w:val="single" w:sz="4" w:space="0" w:color="auto"/>
              <w:right w:val="single" w:sz="4" w:space="0" w:color="auto"/>
            </w:tcBorders>
            <w:shd w:val="clear" w:color="auto" w:fill="auto"/>
            <w:noWrap/>
            <w:hideMark/>
          </w:tcPr>
          <w:p w14:paraId="35BC47A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3.56</w:t>
            </w:r>
          </w:p>
        </w:tc>
        <w:tc>
          <w:tcPr>
            <w:tcW w:w="708" w:type="dxa"/>
            <w:tcBorders>
              <w:top w:val="nil"/>
              <w:left w:val="nil"/>
              <w:bottom w:val="single" w:sz="4" w:space="0" w:color="auto"/>
              <w:right w:val="single" w:sz="4" w:space="0" w:color="auto"/>
            </w:tcBorders>
            <w:shd w:val="clear" w:color="auto" w:fill="auto"/>
            <w:noWrap/>
            <w:hideMark/>
          </w:tcPr>
          <w:p w14:paraId="1314A05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r>
      <w:tr w:rsidR="00CD6352" w:rsidRPr="00193AD8" w14:paraId="0A8111F0" w14:textId="77777777" w:rsidTr="00CD6352">
        <w:trPr>
          <w:trHeight w:val="297"/>
        </w:trPr>
        <w:tc>
          <w:tcPr>
            <w:tcW w:w="1320" w:type="dxa"/>
            <w:tcBorders>
              <w:top w:val="nil"/>
              <w:left w:val="single" w:sz="4" w:space="0" w:color="auto"/>
              <w:bottom w:val="single" w:sz="4" w:space="0" w:color="auto"/>
              <w:right w:val="single" w:sz="4" w:space="0" w:color="auto"/>
            </w:tcBorders>
            <w:shd w:val="clear" w:color="auto" w:fill="auto"/>
            <w:hideMark/>
          </w:tcPr>
          <w:p w14:paraId="389E29D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Conferences &amp; seminar</w:t>
            </w:r>
          </w:p>
        </w:tc>
        <w:tc>
          <w:tcPr>
            <w:tcW w:w="992" w:type="dxa"/>
            <w:tcBorders>
              <w:top w:val="nil"/>
              <w:left w:val="nil"/>
              <w:bottom w:val="single" w:sz="4" w:space="0" w:color="auto"/>
              <w:right w:val="single" w:sz="4" w:space="0" w:color="auto"/>
            </w:tcBorders>
            <w:shd w:val="clear" w:color="auto" w:fill="auto"/>
            <w:hideMark/>
          </w:tcPr>
          <w:p w14:paraId="26B7F21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9" w:type="dxa"/>
            <w:tcBorders>
              <w:top w:val="nil"/>
              <w:left w:val="nil"/>
              <w:bottom w:val="single" w:sz="4" w:space="0" w:color="auto"/>
              <w:right w:val="single" w:sz="4" w:space="0" w:color="auto"/>
            </w:tcBorders>
            <w:shd w:val="clear" w:color="auto" w:fill="auto"/>
            <w:hideMark/>
          </w:tcPr>
          <w:p w14:paraId="79CE9BF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5</w:t>
            </w:r>
          </w:p>
        </w:tc>
        <w:tc>
          <w:tcPr>
            <w:tcW w:w="709" w:type="dxa"/>
            <w:tcBorders>
              <w:top w:val="nil"/>
              <w:left w:val="nil"/>
              <w:bottom w:val="single" w:sz="4" w:space="0" w:color="auto"/>
              <w:right w:val="single" w:sz="4" w:space="0" w:color="auto"/>
            </w:tcBorders>
            <w:shd w:val="clear" w:color="auto" w:fill="auto"/>
            <w:noWrap/>
            <w:hideMark/>
          </w:tcPr>
          <w:p w14:paraId="064337F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3.62</w:t>
            </w:r>
          </w:p>
        </w:tc>
        <w:tc>
          <w:tcPr>
            <w:tcW w:w="425" w:type="dxa"/>
            <w:tcBorders>
              <w:top w:val="nil"/>
              <w:left w:val="nil"/>
              <w:bottom w:val="single" w:sz="4" w:space="0" w:color="auto"/>
              <w:right w:val="single" w:sz="4" w:space="0" w:color="auto"/>
            </w:tcBorders>
            <w:shd w:val="clear" w:color="auto" w:fill="auto"/>
            <w:noWrap/>
            <w:hideMark/>
          </w:tcPr>
          <w:p w14:paraId="5BC7C12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w:t>
            </w:r>
          </w:p>
        </w:tc>
        <w:tc>
          <w:tcPr>
            <w:tcW w:w="597" w:type="dxa"/>
            <w:tcBorders>
              <w:top w:val="nil"/>
              <w:left w:val="nil"/>
              <w:bottom w:val="single" w:sz="4" w:space="0" w:color="auto"/>
              <w:right w:val="single" w:sz="4" w:space="0" w:color="auto"/>
            </w:tcBorders>
            <w:shd w:val="clear" w:color="auto" w:fill="auto"/>
            <w:noWrap/>
            <w:hideMark/>
          </w:tcPr>
          <w:p w14:paraId="1949994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573" w:type="dxa"/>
            <w:tcBorders>
              <w:top w:val="nil"/>
              <w:left w:val="nil"/>
              <w:bottom w:val="single" w:sz="4" w:space="0" w:color="auto"/>
              <w:right w:val="single" w:sz="4" w:space="0" w:color="auto"/>
            </w:tcBorders>
            <w:shd w:val="clear" w:color="auto" w:fill="auto"/>
            <w:noWrap/>
            <w:hideMark/>
          </w:tcPr>
          <w:p w14:paraId="378A4E2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c>
          <w:tcPr>
            <w:tcW w:w="673" w:type="dxa"/>
            <w:tcBorders>
              <w:top w:val="nil"/>
              <w:left w:val="nil"/>
              <w:bottom w:val="single" w:sz="4" w:space="0" w:color="auto"/>
              <w:right w:val="single" w:sz="4" w:space="0" w:color="auto"/>
            </w:tcBorders>
            <w:shd w:val="clear" w:color="auto" w:fill="auto"/>
            <w:noWrap/>
            <w:hideMark/>
          </w:tcPr>
          <w:p w14:paraId="4FE3FBD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3.7</w:t>
            </w:r>
          </w:p>
        </w:tc>
        <w:tc>
          <w:tcPr>
            <w:tcW w:w="567" w:type="dxa"/>
            <w:tcBorders>
              <w:top w:val="nil"/>
              <w:left w:val="nil"/>
              <w:bottom w:val="single" w:sz="4" w:space="0" w:color="auto"/>
              <w:right w:val="single" w:sz="4" w:space="0" w:color="auto"/>
            </w:tcBorders>
            <w:shd w:val="clear" w:color="auto" w:fill="auto"/>
            <w:noWrap/>
            <w:hideMark/>
          </w:tcPr>
          <w:p w14:paraId="7841354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6</w:t>
            </w:r>
          </w:p>
        </w:tc>
        <w:tc>
          <w:tcPr>
            <w:tcW w:w="850" w:type="dxa"/>
            <w:tcBorders>
              <w:top w:val="nil"/>
              <w:left w:val="nil"/>
              <w:bottom w:val="single" w:sz="4" w:space="0" w:color="auto"/>
              <w:right w:val="single" w:sz="4" w:space="0" w:color="auto"/>
            </w:tcBorders>
            <w:shd w:val="clear" w:color="auto" w:fill="auto"/>
            <w:noWrap/>
            <w:hideMark/>
          </w:tcPr>
          <w:p w14:paraId="78A4E9C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4.15</w:t>
            </w:r>
          </w:p>
        </w:tc>
        <w:tc>
          <w:tcPr>
            <w:tcW w:w="709" w:type="dxa"/>
            <w:tcBorders>
              <w:top w:val="nil"/>
              <w:left w:val="nil"/>
              <w:bottom w:val="single" w:sz="4" w:space="0" w:color="auto"/>
              <w:right w:val="single" w:sz="4" w:space="0" w:color="auto"/>
            </w:tcBorders>
            <w:shd w:val="clear" w:color="auto" w:fill="auto"/>
            <w:noWrap/>
            <w:hideMark/>
          </w:tcPr>
          <w:p w14:paraId="69A8AE1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c>
          <w:tcPr>
            <w:tcW w:w="709" w:type="dxa"/>
            <w:tcBorders>
              <w:top w:val="nil"/>
              <w:left w:val="nil"/>
              <w:bottom w:val="single" w:sz="4" w:space="0" w:color="auto"/>
              <w:right w:val="single" w:sz="4" w:space="0" w:color="auto"/>
            </w:tcBorders>
            <w:shd w:val="clear" w:color="auto" w:fill="auto"/>
            <w:noWrap/>
            <w:hideMark/>
          </w:tcPr>
          <w:p w14:paraId="072B708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8" w:type="dxa"/>
            <w:tcBorders>
              <w:top w:val="nil"/>
              <w:left w:val="nil"/>
              <w:bottom w:val="single" w:sz="4" w:space="0" w:color="auto"/>
              <w:right w:val="single" w:sz="4" w:space="0" w:color="auto"/>
            </w:tcBorders>
            <w:shd w:val="clear" w:color="auto" w:fill="auto"/>
            <w:noWrap/>
            <w:hideMark/>
          </w:tcPr>
          <w:p w14:paraId="2888285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9</w:t>
            </w:r>
          </w:p>
        </w:tc>
      </w:tr>
      <w:tr w:rsidR="00CD6352" w:rsidRPr="00193AD8" w14:paraId="5E1BED0A" w14:textId="77777777" w:rsidTr="00CD6352">
        <w:trPr>
          <w:trHeight w:val="445"/>
        </w:trPr>
        <w:tc>
          <w:tcPr>
            <w:tcW w:w="1320" w:type="dxa"/>
            <w:tcBorders>
              <w:top w:val="nil"/>
              <w:left w:val="single" w:sz="4" w:space="0" w:color="auto"/>
              <w:bottom w:val="single" w:sz="4" w:space="0" w:color="auto"/>
              <w:right w:val="single" w:sz="4" w:space="0" w:color="auto"/>
            </w:tcBorders>
            <w:shd w:val="clear" w:color="auto" w:fill="auto"/>
            <w:hideMark/>
          </w:tcPr>
          <w:p w14:paraId="1499E6B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Arial" w:hAnsi="Arial" w:cs="Arial"/>
                <w:color w:val="000000"/>
                <w:sz w:val="16"/>
                <w:szCs w:val="16"/>
                <w:lang w:eastAsia="en-GB"/>
              </w:rPr>
              <w:t>Continuing professional development</w:t>
            </w:r>
          </w:p>
        </w:tc>
        <w:tc>
          <w:tcPr>
            <w:tcW w:w="992" w:type="dxa"/>
            <w:tcBorders>
              <w:top w:val="nil"/>
              <w:left w:val="nil"/>
              <w:bottom w:val="single" w:sz="4" w:space="0" w:color="auto"/>
              <w:right w:val="single" w:sz="4" w:space="0" w:color="auto"/>
            </w:tcBorders>
            <w:shd w:val="clear" w:color="auto" w:fill="auto"/>
            <w:hideMark/>
          </w:tcPr>
          <w:p w14:paraId="6F352C6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2.67</w:t>
            </w:r>
          </w:p>
        </w:tc>
        <w:tc>
          <w:tcPr>
            <w:tcW w:w="709" w:type="dxa"/>
            <w:tcBorders>
              <w:top w:val="nil"/>
              <w:left w:val="nil"/>
              <w:bottom w:val="single" w:sz="4" w:space="0" w:color="auto"/>
              <w:right w:val="single" w:sz="4" w:space="0" w:color="auto"/>
            </w:tcBorders>
            <w:shd w:val="clear" w:color="auto" w:fill="auto"/>
            <w:hideMark/>
          </w:tcPr>
          <w:p w14:paraId="65F6875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9</w:t>
            </w:r>
          </w:p>
        </w:tc>
        <w:tc>
          <w:tcPr>
            <w:tcW w:w="709" w:type="dxa"/>
            <w:tcBorders>
              <w:top w:val="nil"/>
              <w:left w:val="nil"/>
              <w:bottom w:val="single" w:sz="4" w:space="0" w:color="auto"/>
              <w:right w:val="single" w:sz="4" w:space="0" w:color="auto"/>
            </w:tcBorders>
            <w:shd w:val="clear" w:color="auto" w:fill="auto"/>
            <w:noWrap/>
            <w:hideMark/>
          </w:tcPr>
          <w:p w14:paraId="3DB43AD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425" w:type="dxa"/>
            <w:tcBorders>
              <w:top w:val="nil"/>
              <w:left w:val="nil"/>
              <w:bottom w:val="single" w:sz="4" w:space="0" w:color="auto"/>
              <w:right w:val="single" w:sz="4" w:space="0" w:color="auto"/>
            </w:tcBorders>
            <w:shd w:val="clear" w:color="auto" w:fill="auto"/>
            <w:noWrap/>
            <w:hideMark/>
          </w:tcPr>
          <w:p w14:paraId="46419F6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9</w:t>
            </w:r>
          </w:p>
        </w:tc>
        <w:tc>
          <w:tcPr>
            <w:tcW w:w="597" w:type="dxa"/>
            <w:tcBorders>
              <w:top w:val="nil"/>
              <w:left w:val="nil"/>
              <w:bottom w:val="single" w:sz="4" w:space="0" w:color="auto"/>
              <w:right w:val="single" w:sz="4" w:space="0" w:color="auto"/>
            </w:tcBorders>
            <w:shd w:val="clear" w:color="auto" w:fill="auto"/>
            <w:noWrap/>
            <w:hideMark/>
          </w:tcPr>
          <w:p w14:paraId="5E8CD15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3.5</w:t>
            </w:r>
          </w:p>
        </w:tc>
        <w:tc>
          <w:tcPr>
            <w:tcW w:w="573" w:type="dxa"/>
            <w:tcBorders>
              <w:top w:val="nil"/>
              <w:left w:val="nil"/>
              <w:bottom w:val="single" w:sz="4" w:space="0" w:color="auto"/>
              <w:right w:val="single" w:sz="4" w:space="0" w:color="auto"/>
            </w:tcBorders>
            <w:shd w:val="clear" w:color="auto" w:fill="auto"/>
            <w:noWrap/>
            <w:hideMark/>
          </w:tcPr>
          <w:p w14:paraId="5B48B74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w:t>
            </w:r>
          </w:p>
        </w:tc>
        <w:tc>
          <w:tcPr>
            <w:tcW w:w="673" w:type="dxa"/>
            <w:tcBorders>
              <w:top w:val="nil"/>
              <w:left w:val="nil"/>
              <w:bottom w:val="single" w:sz="4" w:space="0" w:color="auto"/>
              <w:right w:val="single" w:sz="4" w:space="0" w:color="auto"/>
            </w:tcBorders>
            <w:shd w:val="clear" w:color="auto" w:fill="auto"/>
            <w:noWrap/>
            <w:hideMark/>
          </w:tcPr>
          <w:p w14:paraId="0FACC8A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3.8</w:t>
            </w:r>
          </w:p>
        </w:tc>
        <w:tc>
          <w:tcPr>
            <w:tcW w:w="567" w:type="dxa"/>
            <w:tcBorders>
              <w:top w:val="nil"/>
              <w:left w:val="nil"/>
              <w:bottom w:val="single" w:sz="4" w:space="0" w:color="auto"/>
              <w:right w:val="single" w:sz="4" w:space="0" w:color="auto"/>
            </w:tcBorders>
            <w:shd w:val="clear" w:color="auto" w:fill="auto"/>
            <w:noWrap/>
            <w:hideMark/>
          </w:tcPr>
          <w:p w14:paraId="7299C98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c>
          <w:tcPr>
            <w:tcW w:w="850" w:type="dxa"/>
            <w:tcBorders>
              <w:top w:val="nil"/>
              <w:left w:val="nil"/>
              <w:bottom w:val="single" w:sz="4" w:space="0" w:color="auto"/>
              <w:right w:val="single" w:sz="4" w:space="0" w:color="auto"/>
            </w:tcBorders>
            <w:shd w:val="clear" w:color="auto" w:fill="auto"/>
            <w:noWrap/>
            <w:hideMark/>
          </w:tcPr>
          <w:p w14:paraId="10D49E8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4.2</w:t>
            </w:r>
          </w:p>
        </w:tc>
        <w:tc>
          <w:tcPr>
            <w:tcW w:w="709" w:type="dxa"/>
            <w:tcBorders>
              <w:top w:val="nil"/>
              <w:left w:val="nil"/>
              <w:bottom w:val="single" w:sz="4" w:space="0" w:color="auto"/>
              <w:right w:val="single" w:sz="4" w:space="0" w:color="auto"/>
            </w:tcBorders>
            <w:shd w:val="clear" w:color="auto" w:fill="auto"/>
            <w:noWrap/>
            <w:hideMark/>
          </w:tcPr>
          <w:p w14:paraId="47D359B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w:t>
            </w:r>
          </w:p>
        </w:tc>
        <w:tc>
          <w:tcPr>
            <w:tcW w:w="709" w:type="dxa"/>
            <w:tcBorders>
              <w:top w:val="nil"/>
              <w:left w:val="nil"/>
              <w:bottom w:val="single" w:sz="4" w:space="0" w:color="auto"/>
              <w:right w:val="single" w:sz="4" w:space="0" w:color="auto"/>
            </w:tcBorders>
            <w:shd w:val="clear" w:color="auto" w:fill="auto"/>
            <w:noWrap/>
            <w:hideMark/>
          </w:tcPr>
          <w:p w14:paraId="1225C12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4.22</w:t>
            </w:r>
          </w:p>
        </w:tc>
        <w:tc>
          <w:tcPr>
            <w:tcW w:w="708" w:type="dxa"/>
            <w:tcBorders>
              <w:top w:val="nil"/>
              <w:left w:val="nil"/>
              <w:bottom w:val="single" w:sz="4" w:space="0" w:color="auto"/>
              <w:right w:val="single" w:sz="4" w:space="0" w:color="auto"/>
            </w:tcBorders>
            <w:shd w:val="clear" w:color="auto" w:fill="auto"/>
            <w:noWrap/>
            <w:hideMark/>
          </w:tcPr>
          <w:p w14:paraId="4D70092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w:t>
            </w:r>
          </w:p>
        </w:tc>
      </w:tr>
      <w:tr w:rsidR="00CD6352" w:rsidRPr="00193AD8" w14:paraId="50B904BD" w14:textId="77777777" w:rsidTr="00CD6352">
        <w:trPr>
          <w:trHeight w:val="668"/>
        </w:trPr>
        <w:tc>
          <w:tcPr>
            <w:tcW w:w="1320" w:type="dxa"/>
            <w:tcBorders>
              <w:top w:val="nil"/>
              <w:left w:val="single" w:sz="4" w:space="0" w:color="auto"/>
              <w:bottom w:val="single" w:sz="4" w:space="0" w:color="auto"/>
              <w:right w:val="single" w:sz="4" w:space="0" w:color="auto"/>
            </w:tcBorders>
            <w:shd w:val="clear" w:color="auto" w:fill="auto"/>
            <w:hideMark/>
          </w:tcPr>
          <w:p w14:paraId="70618A9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Executive MBA(with classes on a part-time basis)</w:t>
            </w:r>
          </w:p>
        </w:tc>
        <w:tc>
          <w:tcPr>
            <w:tcW w:w="992" w:type="dxa"/>
            <w:tcBorders>
              <w:top w:val="nil"/>
              <w:left w:val="nil"/>
              <w:bottom w:val="single" w:sz="4" w:space="0" w:color="auto"/>
              <w:right w:val="single" w:sz="4" w:space="0" w:color="auto"/>
            </w:tcBorders>
            <w:shd w:val="clear" w:color="auto" w:fill="auto"/>
            <w:hideMark/>
          </w:tcPr>
          <w:p w14:paraId="690EF3F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2.33</w:t>
            </w:r>
          </w:p>
        </w:tc>
        <w:tc>
          <w:tcPr>
            <w:tcW w:w="709" w:type="dxa"/>
            <w:tcBorders>
              <w:top w:val="nil"/>
              <w:left w:val="nil"/>
              <w:bottom w:val="single" w:sz="4" w:space="0" w:color="auto"/>
              <w:right w:val="single" w:sz="4" w:space="0" w:color="auto"/>
            </w:tcBorders>
            <w:shd w:val="clear" w:color="auto" w:fill="auto"/>
            <w:hideMark/>
          </w:tcPr>
          <w:p w14:paraId="7DB2F3A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12</w:t>
            </w:r>
          </w:p>
        </w:tc>
        <w:tc>
          <w:tcPr>
            <w:tcW w:w="709" w:type="dxa"/>
            <w:tcBorders>
              <w:top w:val="nil"/>
              <w:left w:val="nil"/>
              <w:bottom w:val="single" w:sz="4" w:space="0" w:color="auto"/>
              <w:right w:val="single" w:sz="4" w:space="0" w:color="auto"/>
            </w:tcBorders>
            <w:shd w:val="clear" w:color="auto" w:fill="auto"/>
            <w:noWrap/>
            <w:hideMark/>
          </w:tcPr>
          <w:p w14:paraId="553AE14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425" w:type="dxa"/>
            <w:tcBorders>
              <w:top w:val="nil"/>
              <w:left w:val="nil"/>
              <w:bottom w:val="single" w:sz="4" w:space="0" w:color="auto"/>
              <w:right w:val="single" w:sz="4" w:space="0" w:color="auto"/>
            </w:tcBorders>
            <w:shd w:val="clear" w:color="auto" w:fill="auto"/>
            <w:noWrap/>
            <w:hideMark/>
          </w:tcPr>
          <w:p w14:paraId="4EE0577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10</w:t>
            </w:r>
          </w:p>
        </w:tc>
        <w:tc>
          <w:tcPr>
            <w:tcW w:w="597" w:type="dxa"/>
            <w:tcBorders>
              <w:top w:val="nil"/>
              <w:left w:val="nil"/>
              <w:bottom w:val="single" w:sz="4" w:space="0" w:color="auto"/>
              <w:right w:val="single" w:sz="4" w:space="0" w:color="auto"/>
            </w:tcBorders>
            <w:shd w:val="clear" w:color="auto" w:fill="auto"/>
            <w:noWrap/>
            <w:hideMark/>
          </w:tcPr>
          <w:p w14:paraId="0F87B2A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2.5</w:t>
            </w:r>
          </w:p>
        </w:tc>
        <w:tc>
          <w:tcPr>
            <w:tcW w:w="573" w:type="dxa"/>
            <w:tcBorders>
              <w:top w:val="nil"/>
              <w:left w:val="nil"/>
              <w:bottom w:val="single" w:sz="4" w:space="0" w:color="auto"/>
              <w:right w:val="single" w:sz="4" w:space="0" w:color="auto"/>
            </w:tcBorders>
            <w:shd w:val="clear" w:color="auto" w:fill="auto"/>
            <w:noWrap/>
            <w:hideMark/>
          </w:tcPr>
          <w:p w14:paraId="63DD0B9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9</w:t>
            </w:r>
          </w:p>
        </w:tc>
        <w:tc>
          <w:tcPr>
            <w:tcW w:w="673" w:type="dxa"/>
            <w:tcBorders>
              <w:top w:val="nil"/>
              <w:left w:val="nil"/>
              <w:bottom w:val="single" w:sz="4" w:space="0" w:color="auto"/>
              <w:right w:val="single" w:sz="4" w:space="0" w:color="auto"/>
            </w:tcBorders>
            <w:shd w:val="clear" w:color="auto" w:fill="auto"/>
            <w:noWrap/>
            <w:hideMark/>
          </w:tcPr>
          <w:p w14:paraId="321209F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567" w:type="dxa"/>
            <w:tcBorders>
              <w:top w:val="nil"/>
              <w:left w:val="nil"/>
              <w:bottom w:val="single" w:sz="4" w:space="0" w:color="auto"/>
              <w:right w:val="single" w:sz="4" w:space="0" w:color="auto"/>
            </w:tcBorders>
            <w:shd w:val="clear" w:color="auto" w:fill="auto"/>
            <w:noWrap/>
            <w:hideMark/>
          </w:tcPr>
          <w:p w14:paraId="7915942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10</w:t>
            </w:r>
          </w:p>
        </w:tc>
        <w:tc>
          <w:tcPr>
            <w:tcW w:w="850" w:type="dxa"/>
            <w:tcBorders>
              <w:top w:val="nil"/>
              <w:left w:val="nil"/>
              <w:bottom w:val="single" w:sz="4" w:space="0" w:color="auto"/>
              <w:right w:val="single" w:sz="4" w:space="0" w:color="auto"/>
            </w:tcBorders>
            <w:shd w:val="clear" w:color="auto" w:fill="auto"/>
            <w:noWrap/>
            <w:hideMark/>
          </w:tcPr>
          <w:p w14:paraId="4BE1C8A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3.75</w:t>
            </w:r>
          </w:p>
        </w:tc>
        <w:tc>
          <w:tcPr>
            <w:tcW w:w="709" w:type="dxa"/>
            <w:tcBorders>
              <w:top w:val="nil"/>
              <w:left w:val="nil"/>
              <w:bottom w:val="single" w:sz="4" w:space="0" w:color="auto"/>
              <w:right w:val="single" w:sz="4" w:space="0" w:color="auto"/>
            </w:tcBorders>
            <w:shd w:val="clear" w:color="auto" w:fill="auto"/>
            <w:noWrap/>
            <w:hideMark/>
          </w:tcPr>
          <w:p w14:paraId="2FDB8DE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9</w:t>
            </w:r>
          </w:p>
        </w:tc>
        <w:tc>
          <w:tcPr>
            <w:tcW w:w="709" w:type="dxa"/>
            <w:tcBorders>
              <w:top w:val="nil"/>
              <w:left w:val="nil"/>
              <w:bottom w:val="single" w:sz="4" w:space="0" w:color="auto"/>
              <w:right w:val="single" w:sz="4" w:space="0" w:color="auto"/>
            </w:tcBorders>
            <w:shd w:val="clear" w:color="auto" w:fill="auto"/>
            <w:noWrap/>
            <w:hideMark/>
          </w:tcPr>
          <w:p w14:paraId="14DFAB9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3.11</w:t>
            </w:r>
          </w:p>
        </w:tc>
        <w:tc>
          <w:tcPr>
            <w:tcW w:w="708" w:type="dxa"/>
            <w:tcBorders>
              <w:top w:val="nil"/>
              <w:left w:val="nil"/>
              <w:bottom w:val="single" w:sz="4" w:space="0" w:color="auto"/>
              <w:right w:val="single" w:sz="4" w:space="0" w:color="auto"/>
            </w:tcBorders>
            <w:shd w:val="clear" w:color="auto" w:fill="auto"/>
            <w:noWrap/>
            <w:hideMark/>
          </w:tcPr>
          <w:p w14:paraId="63C67D1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12</w:t>
            </w:r>
          </w:p>
        </w:tc>
      </w:tr>
      <w:tr w:rsidR="00CD6352" w:rsidRPr="00193AD8" w14:paraId="012D5597" w14:textId="77777777" w:rsidTr="00CD6352">
        <w:trPr>
          <w:trHeight w:val="297"/>
        </w:trPr>
        <w:tc>
          <w:tcPr>
            <w:tcW w:w="1320" w:type="dxa"/>
            <w:tcBorders>
              <w:top w:val="nil"/>
              <w:left w:val="single" w:sz="4" w:space="0" w:color="auto"/>
              <w:bottom w:val="single" w:sz="4" w:space="0" w:color="auto"/>
              <w:right w:val="single" w:sz="4" w:space="0" w:color="auto"/>
            </w:tcBorders>
            <w:shd w:val="clear" w:color="auto" w:fill="auto"/>
            <w:hideMark/>
          </w:tcPr>
          <w:p w14:paraId="64F7A16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External training</w:t>
            </w:r>
          </w:p>
        </w:tc>
        <w:tc>
          <w:tcPr>
            <w:tcW w:w="992" w:type="dxa"/>
            <w:tcBorders>
              <w:top w:val="nil"/>
              <w:left w:val="nil"/>
              <w:bottom w:val="single" w:sz="4" w:space="0" w:color="auto"/>
              <w:right w:val="single" w:sz="4" w:space="0" w:color="auto"/>
            </w:tcBorders>
            <w:shd w:val="clear" w:color="auto" w:fill="auto"/>
            <w:hideMark/>
          </w:tcPr>
          <w:p w14:paraId="0AF79EA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3.67</w:t>
            </w:r>
          </w:p>
        </w:tc>
        <w:tc>
          <w:tcPr>
            <w:tcW w:w="709" w:type="dxa"/>
            <w:tcBorders>
              <w:top w:val="nil"/>
              <w:left w:val="nil"/>
              <w:bottom w:val="single" w:sz="4" w:space="0" w:color="auto"/>
              <w:right w:val="single" w:sz="4" w:space="0" w:color="auto"/>
            </w:tcBorders>
            <w:shd w:val="clear" w:color="auto" w:fill="auto"/>
            <w:hideMark/>
          </w:tcPr>
          <w:p w14:paraId="588D081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c>
          <w:tcPr>
            <w:tcW w:w="709" w:type="dxa"/>
            <w:tcBorders>
              <w:top w:val="nil"/>
              <w:left w:val="nil"/>
              <w:bottom w:val="single" w:sz="4" w:space="0" w:color="auto"/>
              <w:right w:val="single" w:sz="4" w:space="0" w:color="auto"/>
            </w:tcBorders>
            <w:shd w:val="clear" w:color="auto" w:fill="auto"/>
            <w:noWrap/>
            <w:hideMark/>
          </w:tcPr>
          <w:p w14:paraId="357B208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3.11</w:t>
            </w:r>
          </w:p>
        </w:tc>
        <w:tc>
          <w:tcPr>
            <w:tcW w:w="425" w:type="dxa"/>
            <w:tcBorders>
              <w:top w:val="nil"/>
              <w:left w:val="nil"/>
              <w:bottom w:val="single" w:sz="4" w:space="0" w:color="auto"/>
              <w:right w:val="single" w:sz="4" w:space="0" w:color="auto"/>
            </w:tcBorders>
            <w:shd w:val="clear" w:color="auto" w:fill="auto"/>
            <w:noWrap/>
            <w:hideMark/>
          </w:tcPr>
          <w:p w14:paraId="4F9BEFA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7</w:t>
            </w:r>
          </w:p>
        </w:tc>
        <w:tc>
          <w:tcPr>
            <w:tcW w:w="597" w:type="dxa"/>
            <w:tcBorders>
              <w:top w:val="nil"/>
              <w:left w:val="nil"/>
              <w:bottom w:val="single" w:sz="4" w:space="0" w:color="auto"/>
              <w:right w:val="single" w:sz="4" w:space="0" w:color="auto"/>
            </w:tcBorders>
            <w:shd w:val="clear" w:color="auto" w:fill="auto"/>
            <w:noWrap/>
            <w:hideMark/>
          </w:tcPr>
          <w:p w14:paraId="2C44AE6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2.5</w:t>
            </w:r>
          </w:p>
        </w:tc>
        <w:tc>
          <w:tcPr>
            <w:tcW w:w="573" w:type="dxa"/>
            <w:tcBorders>
              <w:top w:val="nil"/>
              <w:left w:val="nil"/>
              <w:bottom w:val="single" w:sz="4" w:space="0" w:color="auto"/>
              <w:right w:val="single" w:sz="4" w:space="0" w:color="auto"/>
            </w:tcBorders>
            <w:shd w:val="clear" w:color="auto" w:fill="auto"/>
            <w:noWrap/>
            <w:hideMark/>
          </w:tcPr>
          <w:p w14:paraId="61E2B69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8</w:t>
            </w:r>
          </w:p>
        </w:tc>
        <w:tc>
          <w:tcPr>
            <w:tcW w:w="673" w:type="dxa"/>
            <w:tcBorders>
              <w:top w:val="nil"/>
              <w:left w:val="nil"/>
              <w:bottom w:val="single" w:sz="4" w:space="0" w:color="auto"/>
              <w:right w:val="single" w:sz="4" w:space="0" w:color="auto"/>
            </w:tcBorders>
            <w:shd w:val="clear" w:color="auto" w:fill="auto"/>
            <w:noWrap/>
            <w:hideMark/>
          </w:tcPr>
          <w:p w14:paraId="5183F2F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3.8</w:t>
            </w:r>
          </w:p>
        </w:tc>
        <w:tc>
          <w:tcPr>
            <w:tcW w:w="567" w:type="dxa"/>
            <w:tcBorders>
              <w:top w:val="nil"/>
              <w:left w:val="nil"/>
              <w:bottom w:val="single" w:sz="4" w:space="0" w:color="auto"/>
              <w:right w:val="single" w:sz="4" w:space="0" w:color="auto"/>
            </w:tcBorders>
            <w:shd w:val="clear" w:color="auto" w:fill="auto"/>
            <w:noWrap/>
            <w:hideMark/>
          </w:tcPr>
          <w:p w14:paraId="4E0D7A7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5</w:t>
            </w:r>
          </w:p>
        </w:tc>
        <w:tc>
          <w:tcPr>
            <w:tcW w:w="850" w:type="dxa"/>
            <w:tcBorders>
              <w:top w:val="nil"/>
              <w:left w:val="nil"/>
              <w:bottom w:val="single" w:sz="4" w:space="0" w:color="auto"/>
              <w:right w:val="single" w:sz="4" w:space="0" w:color="auto"/>
            </w:tcBorders>
            <w:shd w:val="clear" w:color="auto" w:fill="auto"/>
            <w:noWrap/>
            <w:hideMark/>
          </w:tcPr>
          <w:p w14:paraId="762148E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3.88</w:t>
            </w:r>
          </w:p>
        </w:tc>
        <w:tc>
          <w:tcPr>
            <w:tcW w:w="709" w:type="dxa"/>
            <w:tcBorders>
              <w:top w:val="nil"/>
              <w:left w:val="nil"/>
              <w:bottom w:val="single" w:sz="4" w:space="0" w:color="auto"/>
              <w:right w:val="single" w:sz="4" w:space="0" w:color="auto"/>
            </w:tcBorders>
            <w:shd w:val="clear" w:color="auto" w:fill="auto"/>
            <w:noWrap/>
            <w:hideMark/>
          </w:tcPr>
          <w:p w14:paraId="75F5CB6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8</w:t>
            </w:r>
          </w:p>
        </w:tc>
        <w:tc>
          <w:tcPr>
            <w:tcW w:w="709" w:type="dxa"/>
            <w:tcBorders>
              <w:top w:val="nil"/>
              <w:left w:val="nil"/>
              <w:bottom w:val="single" w:sz="4" w:space="0" w:color="auto"/>
              <w:right w:val="single" w:sz="4" w:space="0" w:color="auto"/>
            </w:tcBorders>
            <w:shd w:val="clear" w:color="auto" w:fill="auto"/>
            <w:noWrap/>
            <w:hideMark/>
          </w:tcPr>
          <w:p w14:paraId="718955B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3.44</w:t>
            </w:r>
          </w:p>
        </w:tc>
        <w:tc>
          <w:tcPr>
            <w:tcW w:w="708" w:type="dxa"/>
            <w:tcBorders>
              <w:top w:val="nil"/>
              <w:left w:val="nil"/>
              <w:bottom w:val="single" w:sz="4" w:space="0" w:color="auto"/>
              <w:right w:val="single" w:sz="4" w:space="0" w:color="auto"/>
            </w:tcBorders>
            <w:shd w:val="clear" w:color="auto" w:fill="auto"/>
            <w:noWrap/>
            <w:hideMark/>
          </w:tcPr>
          <w:p w14:paraId="3CAAD80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6</w:t>
            </w:r>
          </w:p>
        </w:tc>
      </w:tr>
      <w:tr w:rsidR="00CD6352" w:rsidRPr="00193AD8" w14:paraId="3A14756A" w14:textId="77777777" w:rsidTr="00CD6352">
        <w:trPr>
          <w:trHeight w:val="445"/>
        </w:trPr>
        <w:tc>
          <w:tcPr>
            <w:tcW w:w="1320" w:type="dxa"/>
            <w:tcBorders>
              <w:top w:val="nil"/>
              <w:left w:val="single" w:sz="4" w:space="0" w:color="auto"/>
              <w:bottom w:val="single" w:sz="4" w:space="0" w:color="auto"/>
              <w:right w:val="single" w:sz="4" w:space="0" w:color="auto"/>
            </w:tcBorders>
            <w:shd w:val="clear" w:color="auto" w:fill="auto"/>
            <w:hideMark/>
          </w:tcPr>
          <w:p w14:paraId="4339305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 xml:space="preserve">Learning by holding meetings </w:t>
            </w:r>
          </w:p>
        </w:tc>
        <w:tc>
          <w:tcPr>
            <w:tcW w:w="992" w:type="dxa"/>
            <w:tcBorders>
              <w:top w:val="nil"/>
              <w:left w:val="nil"/>
              <w:bottom w:val="single" w:sz="4" w:space="0" w:color="auto"/>
              <w:right w:val="single" w:sz="4" w:space="0" w:color="auto"/>
            </w:tcBorders>
            <w:shd w:val="clear" w:color="auto" w:fill="auto"/>
            <w:hideMark/>
          </w:tcPr>
          <w:p w14:paraId="03FF383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9" w:type="dxa"/>
            <w:tcBorders>
              <w:top w:val="nil"/>
              <w:left w:val="nil"/>
              <w:bottom w:val="single" w:sz="4" w:space="0" w:color="auto"/>
              <w:right w:val="single" w:sz="4" w:space="0" w:color="auto"/>
            </w:tcBorders>
            <w:shd w:val="clear" w:color="auto" w:fill="auto"/>
            <w:hideMark/>
          </w:tcPr>
          <w:p w14:paraId="711C826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8</w:t>
            </w:r>
          </w:p>
        </w:tc>
        <w:tc>
          <w:tcPr>
            <w:tcW w:w="709" w:type="dxa"/>
            <w:tcBorders>
              <w:top w:val="nil"/>
              <w:left w:val="nil"/>
              <w:bottom w:val="single" w:sz="4" w:space="0" w:color="auto"/>
              <w:right w:val="single" w:sz="4" w:space="0" w:color="auto"/>
            </w:tcBorders>
            <w:shd w:val="clear" w:color="auto" w:fill="auto"/>
            <w:noWrap/>
            <w:hideMark/>
          </w:tcPr>
          <w:p w14:paraId="6DC37CE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w:t>
            </w:r>
          </w:p>
        </w:tc>
        <w:tc>
          <w:tcPr>
            <w:tcW w:w="425" w:type="dxa"/>
            <w:tcBorders>
              <w:top w:val="nil"/>
              <w:left w:val="nil"/>
              <w:bottom w:val="single" w:sz="4" w:space="0" w:color="auto"/>
              <w:right w:val="single" w:sz="4" w:space="0" w:color="auto"/>
            </w:tcBorders>
            <w:shd w:val="clear" w:color="auto" w:fill="auto"/>
            <w:noWrap/>
            <w:hideMark/>
          </w:tcPr>
          <w:p w14:paraId="7F9AF7C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597" w:type="dxa"/>
            <w:tcBorders>
              <w:top w:val="nil"/>
              <w:left w:val="nil"/>
              <w:bottom w:val="single" w:sz="4" w:space="0" w:color="auto"/>
              <w:right w:val="single" w:sz="4" w:space="0" w:color="auto"/>
            </w:tcBorders>
            <w:shd w:val="clear" w:color="auto" w:fill="auto"/>
            <w:noWrap/>
            <w:hideMark/>
          </w:tcPr>
          <w:p w14:paraId="7720ECC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2.8</w:t>
            </w:r>
          </w:p>
        </w:tc>
        <w:tc>
          <w:tcPr>
            <w:tcW w:w="573" w:type="dxa"/>
            <w:tcBorders>
              <w:top w:val="nil"/>
              <w:left w:val="nil"/>
              <w:bottom w:val="single" w:sz="4" w:space="0" w:color="auto"/>
              <w:right w:val="single" w:sz="4" w:space="0" w:color="auto"/>
            </w:tcBorders>
            <w:shd w:val="clear" w:color="auto" w:fill="auto"/>
            <w:noWrap/>
            <w:hideMark/>
          </w:tcPr>
          <w:p w14:paraId="45296E6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6</w:t>
            </w:r>
          </w:p>
        </w:tc>
        <w:tc>
          <w:tcPr>
            <w:tcW w:w="673" w:type="dxa"/>
            <w:tcBorders>
              <w:top w:val="nil"/>
              <w:left w:val="nil"/>
              <w:bottom w:val="single" w:sz="4" w:space="0" w:color="auto"/>
              <w:right w:val="single" w:sz="4" w:space="0" w:color="auto"/>
            </w:tcBorders>
            <w:shd w:val="clear" w:color="auto" w:fill="auto"/>
            <w:noWrap/>
            <w:hideMark/>
          </w:tcPr>
          <w:p w14:paraId="617C6D7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3.9</w:t>
            </w:r>
          </w:p>
        </w:tc>
        <w:tc>
          <w:tcPr>
            <w:tcW w:w="567" w:type="dxa"/>
            <w:tcBorders>
              <w:top w:val="nil"/>
              <w:left w:val="nil"/>
              <w:bottom w:val="single" w:sz="4" w:space="0" w:color="auto"/>
              <w:right w:val="single" w:sz="4" w:space="0" w:color="auto"/>
            </w:tcBorders>
            <w:shd w:val="clear" w:color="auto" w:fill="auto"/>
            <w:noWrap/>
            <w:hideMark/>
          </w:tcPr>
          <w:p w14:paraId="7D8002C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w:t>
            </w:r>
          </w:p>
        </w:tc>
        <w:tc>
          <w:tcPr>
            <w:tcW w:w="850" w:type="dxa"/>
            <w:tcBorders>
              <w:top w:val="nil"/>
              <w:left w:val="nil"/>
              <w:bottom w:val="single" w:sz="4" w:space="0" w:color="auto"/>
              <w:right w:val="single" w:sz="4" w:space="0" w:color="auto"/>
            </w:tcBorders>
            <w:shd w:val="clear" w:color="auto" w:fill="auto"/>
            <w:noWrap/>
            <w:hideMark/>
          </w:tcPr>
          <w:p w14:paraId="32F6C3D7"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w:t>
            </w:r>
          </w:p>
        </w:tc>
        <w:tc>
          <w:tcPr>
            <w:tcW w:w="709" w:type="dxa"/>
            <w:tcBorders>
              <w:top w:val="nil"/>
              <w:left w:val="nil"/>
              <w:bottom w:val="single" w:sz="4" w:space="0" w:color="auto"/>
              <w:right w:val="single" w:sz="4" w:space="0" w:color="auto"/>
            </w:tcBorders>
            <w:shd w:val="clear" w:color="auto" w:fill="auto"/>
            <w:noWrap/>
            <w:hideMark/>
          </w:tcPr>
          <w:p w14:paraId="3FC3D03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5</w:t>
            </w:r>
          </w:p>
        </w:tc>
        <w:tc>
          <w:tcPr>
            <w:tcW w:w="709" w:type="dxa"/>
            <w:tcBorders>
              <w:top w:val="nil"/>
              <w:left w:val="nil"/>
              <w:bottom w:val="single" w:sz="4" w:space="0" w:color="auto"/>
              <w:right w:val="single" w:sz="4" w:space="0" w:color="auto"/>
            </w:tcBorders>
            <w:shd w:val="clear" w:color="auto" w:fill="auto"/>
            <w:noWrap/>
            <w:hideMark/>
          </w:tcPr>
          <w:p w14:paraId="5617C84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3.78</w:t>
            </w:r>
          </w:p>
        </w:tc>
        <w:tc>
          <w:tcPr>
            <w:tcW w:w="708" w:type="dxa"/>
            <w:tcBorders>
              <w:top w:val="nil"/>
              <w:left w:val="nil"/>
              <w:bottom w:val="single" w:sz="4" w:space="0" w:color="auto"/>
              <w:right w:val="single" w:sz="4" w:space="0" w:color="auto"/>
            </w:tcBorders>
            <w:shd w:val="clear" w:color="auto" w:fill="auto"/>
            <w:noWrap/>
            <w:hideMark/>
          </w:tcPr>
          <w:p w14:paraId="696A9CF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r>
      <w:tr w:rsidR="00CD6352" w:rsidRPr="00193AD8" w14:paraId="6717D9C0" w14:textId="77777777" w:rsidTr="00CD6352">
        <w:trPr>
          <w:trHeight w:val="445"/>
        </w:trPr>
        <w:tc>
          <w:tcPr>
            <w:tcW w:w="1320" w:type="dxa"/>
            <w:tcBorders>
              <w:top w:val="nil"/>
              <w:left w:val="single" w:sz="4" w:space="0" w:color="auto"/>
              <w:bottom w:val="single" w:sz="4" w:space="0" w:color="auto"/>
              <w:right w:val="single" w:sz="4" w:space="0" w:color="auto"/>
            </w:tcBorders>
            <w:shd w:val="clear" w:color="auto" w:fill="auto"/>
            <w:hideMark/>
          </w:tcPr>
          <w:p w14:paraId="3DE93A8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Online and tutorial training</w:t>
            </w:r>
          </w:p>
        </w:tc>
        <w:tc>
          <w:tcPr>
            <w:tcW w:w="992" w:type="dxa"/>
            <w:tcBorders>
              <w:top w:val="nil"/>
              <w:left w:val="nil"/>
              <w:bottom w:val="single" w:sz="4" w:space="0" w:color="auto"/>
              <w:right w:val="single" w:sz="4" w:space="0" w:color="auto"/>
            </w:tcBorders>
            <w:shd w:val="clear" w:color="auto" w:fill="auto"/>
            <w:hideMark/>
          </w:tcPr>
          <w:p w14:paraId="377615E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3.67</w:t>
            </w:r>
          </w:p>
        </w:tc>
        <w:tc>
          <w:tcPr>
            <w:tcW w:w="709" w:type="dxa"/>
            <w:tcBorders>
              <w:top w:val="nil"/>
              <w:left w:val="nil"/>
              <w:bottom w:val="single" w:sz="4" w:space="0" w:color="auto"/>
              <w:right w:val="single" w:sz="4" w:space="0" w:color="auto"/>
            </w:tcBorders>
            <w:shd w:val="clear" w:color="auto" w:fill="auto"/>
            <w:hideMark/>
          </w:tcPr>
          <w:p w14:paraId="4833B4E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709" w:type="dxa"/>
            <w:tcBorders>
              <w:top w:val="nil"/>
              <w:left w:val="nil"/>
              <w:bottom w:val="single" w:sz="4" w:space="0" w:color="auto"/>
              <w:right w:val="single" w:sz="4" w:space="0" w:color="auto"/>
            </w:tcBorders>
            <w:shd w:val="clear" w:color="auto" w:fill="auto"/>
            <w:noWrap/>
            <w:hideMark/>
          </w:tcPr>
          <w:p w14:paraId="02B00EA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3.11</w:t>
            </w:r>
          </w:p>
        </w:tc>
        <w:tc>
          <w:tcPr>
            <w:tcW w:w="425" w:type="dxa"/>
            <w:tcBorders>
              <w:top w:val="nil"/>
              <w:left w:val="nil"/>
              <w:bottom w:val="single" w:sz="4" w:space="0" w:color="auto"/>
              <w:right w:val="single" w:sz="4" w:space="0" w:color="auto"/>
            </w:tcBorders>
            <w:shd w:val="clear" w:color="auto" w:fill="auto"/>
            <w:noWrap/>
            <w:hideMark/>
          </w:tcPr>
          <w:p w14:paraId="372E3B5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6</w:t>
            </w:r>
          </w:p>
        </w:tc>
        <w:tc>
          <w:tcPr>
            <w:tcW w:w="597" w:type="dxa"/>
            <w:tcBorders>
              <w:top w:val="nil"/>
              <w:left w:val="nil"/>
              <w:bottom w:val="single" w:sz="4" w:space="0" w:color="auto"/>
              <w:right w:val="single" w:sz="4" w:space="0" w:color="auto"/>
            </w:tcBorders>
            <w:shd w:val="clear" w:color="auto" w:fill="auto"/>
            <w:noWrap/>
            <w:hideMark/>
          </w:tcPr>
          <w:p w14:paraId="03A72DF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2.5</w:t>
            </w:r>
          </w:p>
        </w:tc>
        <w:tc>
          <w:tcPr>
            <w:tcW w:w="573" w:type="dxa"/>
            <w:tcBorders>
              <w:top w:val="nil"/>
              <w:left w:val="nil"/>
              <w:bottom w:val="single" w:sz="4" w:space="0" w:color="auto"/>
              <w:right w:val="single" w:sz="4" w:space="0" w:color="auto"/>
            </w:tcBorders>
            <w:shd w:val="clear" w:color="auto" w:fill="auto"/>
            <w:noWrap/>
            <w:hideMark/>
          </w:tcPr>
          <w:p w14:paraId="3F9AE71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10</w:t>
            </w:r>
          </w:p>
        </w:tc>
        <w:tc>
          <w:tcPr>
            <w:tcW w:w="673" w:type="dxa"/>
            <w:tcBorders>
              <w:top w:val="nil"/>
              <w:left w:val="nil"/>
              <w:bottom w:val="single" w:sz="4" w:space="0" w:color="auto"/>
              <w:right w:val="single" w:sz="4" w:space="0" w:color="auto"/>
            </w:tcBorders>
            <w:shd w:val="clear" w:color="auto" w:fill="auto"/>
            <w:noWrap/>
            <w:hideMark/>
          </w:tcPr>
          <w:p w14:paraId="349F79E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w:t>
            </w:r>
          </w:p>
        </w:tc>
        <w:tc>
          <w:tcPr>
            <w:tcW w:w="567" w:type="dxa"/>
            <w:tcBorders>
              <w:top w:val="nil"/>
              <w:left w:val="nil"/>
              <w:bottom w:val="single" w:sz="4" w:space="0" w:color="auto"/>
              <w:right w:val="single" w:sz="4" w:space="0" w:color="auto"/>
            </w:tcBorders>
            <w:shd w:val="clear" w:color="auto" w:fill="auto"/>
            <w:noWrap/>
            <w:hideMark/>
          </w:tcPr>
          <w:p w14:paraId="6515518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11</w:t>
            </w:r>
          </w:p>
        </w:tc>
        <w:tc>
          <w:tcPr>
            <w:tcW w:w="850" w:type="dxa"/>
            <w:tcBorders>
              <w:top w:val="nil"/>
              <w:left w:val="nil"/>
              <w:bottom w:val="single" w:sz="4" w:space="0" w:color="auto"/>
              <w:right w:val="single" w:sz="4" w:space="0" w:color="auto"/>
            </w:tcBorders>
            <w:shd w:val="clear" w:color="auto" w:fill="auto"/>
            <w:noWrap/>
            <w:hideMark/>
          </w:tcPr>
          <w:p w14:paraId="7DE4F55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3.57</w:t>
            </w:r>
          </w:p>
        </w:tc>
        <w:tc>
          <w:tcPr>
            <w:tcW w:w="709" w:type="dxa"/>
            <w:tcBorders>
              <w:top w:val="nil"/>
              <w:left w:val="nil"/>
              <w:bottom w:val="single" w:sz="4" w:space="0" w:color="auto"/>
              <w:right w:val="single" w:sz="4" w:space="0" w:color="auto"/>
            </w:tcBorders>
            <w:shd w:val="clear" w:color="auto" w:fill="auto"/>
            <w:noWrap/>
            <w:hideMark/>
          </w:tcPr>
          <w:p w14:paraId="53A3FF6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12</w:t>
            </w:r>
          </w:p>
        </w:tc>
        <w:tc>
          <w:tcPr>
            <w:tcW w:w="709" w:type="dxa"/>
            <w:tcBorders>
              <w:top w:val="nil"/>
              <w:left w:val="nil"/>
              <w:bottom w:val="single" w:sz="4" w:space="0" w:color="auto"/>
              <w:right w:val="single" w:sz="4" w:space="0" w:color="auto"/>
            </w:tcBorders>
            <w:shd w:val="clear" w:color="auto" w:fill="auto"/>
            <w:noWrap/>
            <w:hideMark/>
          </w:tcPr>
          <w:p w14:paraId="5589669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3.44</w:t>
            </w:r>
          </w:p>
        </w:tc>
        <w:tc>
          <w:tcPr>
            <w:tcW w:w="708" w:type="dxa"/>
            <w:tcBorders>
              <w:top w:val="nil"/>
              <w:left w:val="nil"/>
              <w:bottom w:val="single" w:sz="4" w:space="0" w:color="auto"/>
              <w:right w:val="single" w:sz="4" w:space="0" w:color="auto"/>
            </w:tcBorders>
            <w:shd w:val="clear" w:color="auto" w:fill="auto"/>
            <w:noWrap/>
            <w:hideMark/>
          </w:tcPr>
          <w:p w14:paraId="1331585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7</w:t>
            </w:r>
          </w:p>
        </w:tc>
      </w:tr>
      <w:tr w:rsidR="00CD6352" w:rsidRPr="00193AD8" w14:paraId="5C97D80C" w14:textId="77777777" w:rsidTr="00CD6352">
        <w:trPr>
          <w:trHeight w:val="668"/>
        </w:trPr>
        <w:tc>
          <w:tcPr>
            <w:tcW w:w="1320" w:type="dxa"/>
            <w:tcBorders>
              <w:top w:val="nil"/>
              <w:left w:val="single" w:sz="4" w:space="0" w:color="auto"/>
              <w:bottom w:val="single" w:sz="4" w:space="0" w:color="auto"/>
              <w:right w:val="single" w:sz="4" w:space="0" w:color="auto"/>
            </w:tcBorders>
            <w:shd w:val="clear" w:color="auto" w:fill="auto"/>
            <w:hideMark/>
          </w:tcPr>
          <w:p w14:paraId="19097F2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University residential (the full-time program for some weeks )</w:t>
            </w:r>
          </w:p>
        </w:tc>
        <w:tc>
          <w:tcPr>
            <w:tcW w:w="992" w:type="dxa"/>
            <w:tcBorders>
              <w:top w:val="nil"/>
              <w:left w:val="nil"/>
              <w:bottom w:val="single" w:sz="4" w:space="0" w:color="auto"/>
              <w:right w:val="single" w:sz="4" w:space="0" w:color="auto"/>
            </w:tcBorders>
            <w:shd w:val="clear" w:color="auto" w:fill="auto"/>
            <w:hideMark/>
          </w:tcPr>
          <w:p w14:paraId="1C5FE44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2.67</w:t>
            </w:r>
          </w:p>
        </w:tc>
        <w:tc>
          <w:tcPr>
            <w:tcW w:w="709" w:type="dxa"/>
            <w:tcBorders>
              <w:top w:val="nil"/>
              <w:left w:val="nil"/>
              <w:bottom w:val="single" w:sz="4" w:space="0" w:color="auto"/>
              <w:right w:val="single" w:sz="4" w:space="0" w:color="auto"/>
            </w:tcBorders>
            <w:shd w:val="clear" w:color="auto" w:fill="auto"/>
            <w:hideMark/>
          </w:tcPr>
          <w:p w14:paraId="25C5E50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10</w:t>
            </w:r>
          </w:p>
        </w:tc>
        <w:tc>
          <w:tcPr>
            <w:tcW w:w="709" w:type="dxa"/>
            <w:tcBorders>
              <w:top w:val="nil"/>
              <w:left w:val="nil"/>
              <w:bottom w:val="single" w:sz="4" w:space="0" w:color="auto"/>
              <w:right w:val="single" w:sz="4" w:space="0" w:color="auto"/>
            </w:tcBorders>
            <w:shd w:val="clear" w:color="auto" w:fill="auto"/>
            <w:noWrap/>
            <w:hideMark/>
          </w:tcPr>
          <w:p w14:paraId="33EFA72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2.78</w:t>
            </w:r>
          </w:p>
        </w:tc>
        <w:tc>
          <w:tcPr>
            <w:tcW w:w="425" w:type="dxa"/>
            <w:tcBorders>
              <w:top w:val="nil"/>
              <w:left w:val="nil"/>
              <w:bottom w:val="single" w:sz="4" w:space="0" w:color="auto"/>
              <w:right w:val="single" w:sz="4" w:space="0" w:color="auto"/>
            </w:tcBorders>
            <w:shd w:val="clear" w:color="auto" w:fill="auto"/>
            <w:noWrap/>
            <w:hideMark/>
          </w:tcPr>
          <w:p w14:paraId="0BEBDE0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11</w:t>
            </w:r>
          </w:p>
        </w:tc>
        <w:tc>
          <w:tcPr>
            <w:tcW w:w="597" w:type="dxa"/>
            <w:tcBorders>
              <w:top w:val="nil"/>
              <w:left w:val="nil"/>
              <w:bottom w:val="single" w:sz="4" w:space="0" w:color="auto"/>
              <w:right w:val="single" w:sz="4" w:space="0" w:color="auto"/>
            </w:tcBorders>
            <w:shd w:val="clear" w:color="auto" w:fill="auto"/>
            <w:noWrap/>
            <w:hideMark/>
          </w:tcPr>
          <w:p w14:paraId="72B0A29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c>
          <w:tcPr>
            <w:tcW w:w="573" w:type="dxa"/>
            <w:tcBorders>
              <w:top w:val="nil"/>
              <w:left w:val="nil"/>
              <w:bottom w:val="single" w:sz="4" w:space="0" w:color="auto"/>
              <w:right w:val="single" w:sz="4" w:space="0" w:color="auto"/>
            </w:tcBorders>
            <w:shd w:val="clear" w:color="auto" w:fill="auto"/>
            <w:noWrap/>
            <w:hideMark/>
          </w:tcPr>
          <w:p w14:paraId="7D5AF0C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12</w:t>
            </w:r>
          </w:p>
        </w:tc>
        <w:tc>
          <w:tcPr>
            <w:tcW w:w="673" w:type="dxa"/>
            <w:tcBorders>
              <w:top w:val="nil"/>
              <w:left w:val="nil"/>
              <w:bottom w:val="single" w:sz="4" w:space="0" w:color="auto"/>
              <w:right w:val="single" w:sz="4" w:space="0" w:color="auto"/>
            </w:tcBorders>
            <w:shd w:val="clear" w:color="auto" w:fill="auto"/>
            <w:noWrap/>
            <w:hideMark/>
          </w:tcPr>
          <w:p w14:paraId="24D3951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2.8</w:t>
            </w:r>
          </w:p>
        </w:tc>
        <w:tc>
          <w:tcPr>
            <w:tcW w:w="567" w:type="dxa"/>
            <w:tcBorders>
              <w:top w:val="nil"/>
              <w:left w:val="nil"/>
              <w:bottom w:val="single" w:sz="4" w:space="0" w:color="auto"/>
              <w:right w:val="single" w:sz="4" w:space="0" w:color="auto"/>
            </w:tcBorders>
            <w:shd w:val="clear" w:color="auto" w:fill="auto"/>
            <w:noWrap/>
            <w:hideMark/>
          </w:tcPr>
          <w:p w14:paraId="640BD0B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12</w:t>
            </w:r>
          </w:p>
        </w:tc>
        <w:tc>
          <w:tcPr>
            <w:tcW w:w="850" w:type="dxa"/>
            <w:tcBorders>
              <w:top w:val="nil"/>
              <w:left w:val="nil"/>
              <w:bottom w:val="single" w:sz="4" w:space="0" w:color="auto"/>
              <w:right w:val="single" w:sz="4" w:space="0" w:color="auto"/>
            </w:tcBorders>
            <w:shd w:val="clear" w:color="auto" w:fill="auto"/>
            <w:noWrap/>
            <w:hideMark/>
          </w:tcPr>
          <w:p w14:paraId="34523D18"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3.7</w:t>
            </w:r>
          </w:p>
        </w:tc>
        <w:tc>
          <w:tcPr>
            <w:tcW w:w="709" w:type="dxa"/>
            <w:tcBorders>
              <w:top w:val="nil"/>
              <w:left w:val="nil"/>
              <w:bottom w:val="single" w:sz="4" w:space="0" w:color="auto"/>
              <w:right w:val="single" w:sz="4" w:space="0" w:color="auto"/>
            </w:tcBorders>
            <w:shd w:val="clear" w:color="auto" w:fill="auto"/>
            <w:noWrap/>
            <w:hideMark/>
          </w:tcPr>
          <w:p w14:paraId="51FE81E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10</w:t>
            </w:r>
          </w:p>
        </w:tc>
        <w:tc>
          <w:tcPr>
            <w:tcW w:w="709" w:type="dxa"/>
            <w:tcBorders>
              <w:top w:val="nil"/>
              <w:left w:val="nil"/>
              <w:bottom w:val="single" w:sz="4" w:space="0" w:color="auto"/>
              <w:right w:val="single" w:sz="4" w:space="0" w:color="auto"/>
            </w:tcBorders>
            <w:shd w:val="clear" w:color="auto" w:fill="auto"/>
            <w:noWrap/>
            <w:hideMark/>
          </w:tcPr>
          <w:p w14:paraId="2BCB7AD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8" w:type="dxa"/>
            <w:tcBorders>
              <w:top w:val="nil"/>
              <w:left w:val="nil"/>
              <w:bottom w:val="single" w:sz="4" w:space="0" w:color="auto"/>
              <w:right w:val="single" w:sz="4" w:space="0" w:color="auto"/>
            </w:tcBorders>
            <w:shd w:val="clear" w:color="auto" w:fill="auto"/>
            <w:noWrap/>
            <w:hideMark/>
          </w:tcPr>
          <w:p w14:paraId="3834CC8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11</w:t>
            </w:r>
          </w:p>
        </w:tc>
      </w:tr>
      <w:tr w:rsidR="00CD6352" w:rsidRPr="00193AD8" w14:paraId="665C268C" w14:textId="77777777" w:rsidTr="00CD6352">
        <w:trPr>
          <w:trHeight w:val="445"/>
        </w:trPr>
        <w:tc>
          <w:tcPr>
            <w:tcW w:w="1320" w:type="dxa"/>
            <w:tcBorders>
              <w:top w:val="nil"/>
              <w:left w:val="single" w:sz="4" w:space="0" w:color="auto"/>
              <w:bottom w:val="single" w:sz="4" w:space="0" w:color="auto"/>
              <w:right w:val="single" w:sz="4" w:space="0" w:color="auto"/>
            </w:tcBorders>
            <w:shd w:val="clear" w:color="auto" w:fill="auto"/>
            <w:hideMark/>
          </w:tcPr>
          <w:p w14:paraId="48481F3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Usage of formal qualification</w:t>
            </w:r>
          </w:p>
        </w:tc>
        <w:tc>
          <w:tcPr>
            <w:tcW w:w="992" w:type="dxa"/>
            <w:tcBorders>
              <w:top w:val="nil"/>
              <w:left w:val="nil"/>
              <w:bottom w:val="single" w:sz="4" w:space="0" w:color="auto"/>
              <w:right w:val="single" w:sz="4" w:space="0" w:color="auto"/>
            </w:tcBorders>
            <w:shd w:val="clear" w:color="auto" w:fill="auto"/>
            <w:hideMark/>
          </w:tcPr>
          <w:p w14:paraId="11E39A6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4.33</w:t>
            </w:r>
          </w:p>
        </w:tc>
        <w:tc>
          <w:tcPr>
            <w:tcW w:w="709" w:type="dxa"/>
            <w:tcBorders>
              <w:top w:val="nil"/>
              <w:left w:val="nil"/>
              <w:bottom w:val="single" w:sz="4" w:space="0" w:color="auto"/>
              <w:right w:val="single" w:sz="4" w:space="0" w:color="auto"/>
            </w:tcBorders>
            <w:shd w:val="clear" w:color="auto" w:fill="auto"/>
            <w:hideMark/>
          </w:tcPr>
          <w:p w14:paraId="63A6B46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w:t>
            </w:r>
          </w:p>
        </w:tc>
        <w:tc>
          <w:tcPr>
            <w:tcW w:w="709" w:type="dxa"/>
            <w:tcBorders>
              <w:top w:val="nil"/>
              <w:left w:val="nil"/>
              <w:bottom w:val="single" w:sz="4" w:space="0" w:color="auto"/>
              <w:right w:val="single" w:sz="4" w:space="0" w:color="auto"/>
            </w:tcBorders>
            <w:shd w:val="clear" w:color="auto" w:fill="auto"/>
            <w:noWrap/>
            <w:hideMark/>
          </w:tcPr>
          <w:p w14:paraId="0D630D70"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3.5</w:t>
            </w:r>
          </w:p>
        </w:tc>
        <w:tc>
          <w:tcPr>
            <w:tcW w:w="425" w:type="dxa"/>
            <w:tcBorders>
              <w:top w:val="nil"/>
              <w:left w:val="nil"/>
              <w:bottom w:val="single" w:sz="4" w:space="0" w:color="auto"/>
              <w:right w:val="single" w:sz="4" w:space="0" w:color="auto"/>
            </w:tcBorders>
            <w:shd w:val="clear" w:color="auto" w:fill="auto"/>
            <w:noWrap/>
            <w:hideMark/>
          </w:tcPr>
          <w:p w14:paraId="2C07428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w:t>
            </w:r>
          </w:p>
        </w:tc>
        <w:tc>
          <w:tcPr>
            <w:tcW w:w="597" w:type="dxa"/>
            <w:tcBorders>
              <w:top w:val="nil"/>
              <w:left w:val="nil"/>
              <w:bottom w:val="single" w:sz="4" w:space="0" w:color="auto"/>
              <w:right w:val="single" w:sz="4" w:space="0" w:color="auto"/>
            </w:tcBorders>
            <w:shd w:val="clear" w:color="auto" w:fill="auto"/>
            <w:noWrap/>
            <w:hideMark/>
          </w:tcPr>
          <w:p w14:paraId="2D8F06E9"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2.2</w:t>
            </w:r>
          </w:p>
        </w:tc>
        <w:tc>
          <w:tcPr>
            <w:tcW w:w="573" w:type="dxa"/>
            <w:tcBorders>
              <w:top w:val="nil"/>
              <w:left w:val="nil"/>
              <w:bottom w:val="single" w:sz="4" w:space="0" w:color="auto"/>
              <w:right w:val="single" w:sz="4" w:space="0" w:color="auto"/>
            </w:tcBorders>
            <w:shd w:val="clear" w:color="auto" w:fill="auto"/>
            <w:noWrap/>
            <w:hideMark/>
          </w:tcPr>
          <w:p w14:paraId="6308ED6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11</w:t>
            </w:r>
          </w:p>
        </w:tc>
        <w:tc>
          <w:tcPr>
            <w:tcW w:w="673" w:type="dxa"/>
            <w:tcBorders>
              <w:top w:val="nil"/>
              <w:left w:val="nil"/>
              <w:bottom w:val="single" w:sz="4" w:space="0" w:color="auto"/>
              <w:right w:val="single" w:sz="4" w:space="0" w:color="auto"/>
            </w:tcBorders>
            <w:shd w:val="clear" w:color="auto" w:fill="auto"/>
            <w:noWrap/>
            <w:hideMark/>
          </w:tcPr>
          <w:p w14:paraId="6887D98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3.5</w:t>
            </w:r>
          </w:p>
        </w:tc>
        <w:tc>
          <w:tcPr>
            <w:tcW w:w="567" w:type="dxa"/>
            <w:tcBorders>
              <w:top w:val="nil"/>
              <w:left w:val="nil"/>
              <w:bottom w:val="single" w:sz="4" w:space="0" w:color="auto"/>
              <w:right w:val="single" w:sz="4" w:space="0" w:color="auto"/>
            </w:tcBorders>
            <w:shd w:val="clear" w:color="auto" w:fill="auto"/>
            <w:noWrap/>
            <w:hideMark/>
          </w:tcPr>
          <w:p w14:paraId="3EB05BAB"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8</w:t>
            </w:r>
          </w:p>
        </w:tc>
        <w:tc>
          <w:tcPr>
            <w:tcW w:w="850" w:type="dxa"/>
            <w:tcBorders>
              <w:top w:val="nil"/>
              <w:left w:val="nil"/>
              <w:bottom w:val="single" w:sz="4" w:space="0" w:color="auto"/>
              <w:right w:val="single" w:sz="4" w:space="0" w:color="auto"/>
            </w:tcBorders>
            <w:shd w:val="clear" w:color="auto" w:fill="auto"/>
            <w:noWrap/>
            <w:hideMark/>
          </w:tcPr>
          <w:p w14:paraId="0EB98A3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3.68</w:t>
            </w:r>
          </w:p>
        </w:tc>
        <w:tc>
          <w:tcPr>
            <w:tcW w:w="709" w:type="dxa"/>
            <w:tcBorders>
              <w:top w:val="nil"/>
              <w:left w:val="nil"/>
              <w:bottom w:val="single" w:sz="4" w:space="0" w:color="auto"/>
              <w:right w:val="single" w:sz="4" w:space="0" w:color="auto"/>
            </w:tcBorders>
            <w:shd w:val="clear" w:color="auto" w:fill="auto"/>
            <w:noWrap/>
            <w:hideMark/>
          </w:tcPr>
          <w:p w14:paraId="7EF8F4D6"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11</w:t>
            </w:r>
          </w:p>
        </w:tc>
        <w:tc>
          <w:tcPr>
            <w:tcW w:w="709" w:type="dxa"/>
            <w:tcBorders>
              <w:top w:val="nil"/>
              <w:left w:val="nil"/>
              <w:bottom w:val="single" w:sz="4" w:space="0" w:color="auto"/>
              <w:right w:val="single" w:sz="4" w:space="0" w:color="auto"/>
            </w:tcBorders>
            <w:shd w:val="clear" w:color="auto" w:fill="auto"/>
            <w:noWrap/>
            <w:hideMark/>
          </w:tcPr>
          <w:p w14:paraId="2FD5BC2A"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3.56</w:t>
            </w:r>
          </w:p>
        </w:tc>
        <w:tc>
          <w:tcPr>
            <w:tcW w:w="708" w:type="dxa"/>
            <w:tcBorders>
              <w:top w:val="nil"/>
              <w:left w:val="nil"/>
              <w:bottom w:val="single" w:sz="4" w:space="0" w:color="auto"/>
              <w:right w:val="single" w:sz="4" w:space="0" w:color="auto"/>
            </w:tcBorders>
            <w:shd w:val="clear" w:color="auto" w:fill="auto"/>
            <w:noWrap/>
            <w:hideMark/>
          </w:tcPr>
          <w:p w14:paraId="35A06C01"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5</w:t>
            </w:r>
          </w:p>
        </w:tc>
      </w:tr>
      <w:tr w:rsidR="00CD6352" w:rsidRPr="00193AD8" w14:paraId="42E9D72F" w14:textId="77777777" w:rsidTr="00CD6352">
        <w:trPr>
          <w:trHeight w:val="445"/>
        </w:trPr>
        <w:tc>
          <w:tcPr>
            <w:tcW w:w="1320" w:type="dxa"/>
            <w:tcBorders>
              <w:top w:val="nil"/>
              <w:left w:val="single" w:sz="4" w:space="0" w:color="auto"/>
              <w:bottom w:val="single" w:sz="4" w:space="0" w:color="auto"/>
              <w:right w:val="single" w:sz="4" w:space="0" w:color="auto"/>
            </w:tcBorders>
            <w:shd w:val="clear" w:color="auto" w:fill="auto"/>
            <w:hideMark/>
          </w:tcPr>
          <w:p w14:paraId="783FADE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Usage of internal program and instructors</w:t>
            </w:r>
          </w:p>
        </w:tc>
        <w:tc>
          <w:tcPr>
            <w:tcW w:w="992" w:type="dxa"/>
            <w:tcBorders>
              <w:top w:val="nil"/>
              <w:left w:val="nil"/>
              <w:bottom w:val="single" w:sz="4" w:space="0" w:color="auto"/>
              <w:right w:val="single" w:sz="4" w:space="0" w:color="auto"/>
            </w:tcBorders>
            <w:shd w:val="clear" w:color="auto" w:fill="auto"/>
            <w:hideMark/>
          </w:tcPr>
          <w:p w14:paraId="3E00AB4D"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9" w:type="dxa"/>
            <w:tcBorders>
              <w:top w:val="nil"/>
              <w:left w:val="nil"/>
              <w:bottom w:val="single" w:sz="4" w:space="0" w:color="auto"/>
              <w:right w:val="single" w:sz="4" w:space="0" w:color="auto"/>
            </w:tcBorders>
            <w:shd w:val="clear" w:color="auto" w:fill="auto"/>
            <w:hideMark/>
          </w:tcPr>
          <w:p w14:paraId="3AB87E0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7</w:t>
            </w:r>
          </w:p>
        </w:tc>
        <w:tc>
          <w:tcPr>
            <w:tcW w:w="709" w:type="dxa"/>
            <w:tcBorders>
              <w:top w:val="nil"/>
              <w:left w:val="nil"/>
              <w:bottom w:val="single" w:sz="4" w:space="0" w:color="auto"/>
              <w:right w:val="single" w:sz="4" w:space="0" w:color="auto"/>
            </w:tcBorders>
            <w:shd w:val="clear" w:color="auto" w:fill="auto"/>
            <w:noWrap/>
            <w:hideMark/>
          </w:tcPr>
          <w:p w14:paraId="52C73F83"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3.14</w:t>
            </w:r>
          </w:p>
        </w:tc>
        <w:tc>
          <w:tcPr>
            <w:tcW w:w="425" w:type="dxa"/>
            <w:tcBorders>
              <w:top w:val="nil"/>
              <w:left w:val="nil"/>
              <w:bottom w:val="single" w:sz="4" w:space="0" w:color="auto"/>
              <w:right w:val="single" w:sz="4" w:space="0" w:color="auto"/>
            </w:tcBorders>
            <w:shd w:val="clear" w:color="auto" w:fill="auto"/>
            <w:noWrap/>
            <w:hideMark/>
          </w:tcPr>
          <w:p w14:paraId="40DC592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5</w:t>
            </w:r>
          </w:p>
        </w:tc>
        <w:tc>
          <w:tcPr>
            <w:tcW w:w="597" w:type="dxa"/>
            <w:tcBorders>
              <w:top w:val="nil"/>
              <w:left w:val="nil"/>
              <w:bottom w:val="single" w:sz="4" w:space="0" w:color="auto"/>
              <w:right w:val="single" w:sz="4" w:space="0" w:color="auto"/>
            </w:tcBorders>
            <w:shd w:val="clear" w:color="auto" w:fill="auto"/>
            <w:noWrap/>
            <w:hideMark/>
          </w:tcPr>
          <w:p w14:paraId="60563CA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2.5</w:t>
            </w:r>
          </w:p>
        </w:tc>
        <w:tc>
          <w:tcPr>
            <w:tcW w:w="573" w:type="dxa"/>
            <w:tcBorders>
              <w:top w:val="nil"/>
              <w:left w:val="nil"/>
              <w:bottom w:val="single" w:sz="4" w:space="0" w:color="auto"/>
              <w:right w:val="single" w:sz="4" w:space="0" w:color="auto"/>
            </w:tcBorders>
            <w:shd w:val="clear" w:color="auto" w:fill="auto"/>
            <w:noWrap/>
            <w:hideMark/>
          </w:tcPr>
          <w:p w14:paraId="6762F2E4"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7</w:t>
            </w:r>
          </w:p>
        </w:tc>
        <w:tc>
          <w:tcPr>
            <w:tcW w:w="673" w:type="dxa"/>
            <w:tcBorders>
              <w:top w:val="nil"/>
              <w:left w:val="nil"/>
              <w:bottom w:val="single" w:sz="4" w:space="0" w:color="auto"/>
              <w:right w:val="single" w:sz="4" w:space="0" w:color="auto"/>
            </w:tcBorders>
            <w:shd w:val="clear" w:color="auto" w:fill="auto"/>
            <w:noWrap/>
            <w:hideMark/>
          </w:tcPr>
          <w:p w14:paraId="5A0D158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3.7</w:t>
            </w:r>
          </w:p>
        </w:tc>
        <w:tc>
          <w:tcPr>
            <w:tcW w:w="567" w:type="dxa"/>
            <w:tcBorders>
              <w:top w:val="nil"/>
              <w:left w:val="nil"/>
              <w:bottom w:val="single" w:sz="4" w:space="0" w:color="auto"/>
              <w:right w:val="single" w:sz="4" w:space="0" w:color="auto"/>
            </w:tcBorders>
            <w:shd w:val="clear" w:color="auto" w:fill="auto"/>
            <w:noWrap/>
            <w:hideMark/>
          </w:tcPr>
          <w:p w14:paraId="4300C4AC"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7</w:t>
            </w:r>
          </w:p>
        </w:tc>
        <w:tc>
          <w:tcPr>
            <w:tcW w:w="850" w:type="dxa"/>
            <w:tcBorders>
              <w:top w:val="nil"/>
              <w:left w:val="nil"/>
              <w:bottom w:val="single" w:sz="4" w:space="0" w:color="auto"/>
              <w:right w:val="single" w:sz="4" w:space="0" w:color="auto"/>
            </w:tcBorders>
            <w:shd w:val="clear" w:color="auto" w:fill="auto"/>
            <w:noWrap/>
            <w:hideMark/>
          </w:tcPr>
          <w:p w14:paraId="0F85DD65"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3.9</w:t>
            </w:r>
          </w:p>
        </w:tc>
        <w:tc>
          <w:tcPr>
            <w:tcW w:w="709" w:type="dxa"/>
            <w:tcBorders>
              <w:top w:val="nil"/>
              <w:left w:val="nil"/>
              <w:bottom w:val="single" w:sz="4" w:space="0" w:color="auto"/>
              <w:right w:val="single" w:sz="4" w:space="0" w:color="auto"/>
            </w:tcBorders>
            <w:shd w:val="clear" w:color="auto" w:fill="auto"/>
            <w:noWrap/>
            <w:hideMark/>
          </w:tcPr>
          <w:p w14:paraId="1D8B162E"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7</w:t>
            </w:r>
          </w:p>
        </w:tc>
        <w:tc>
          <w:tcPr>
            <w:tcW w:w="709" w:type="dxa"/>
            <w:tcBorders>
              <w:top w:val="nil"/>
              <w:left w:val="nil"/>
              <w:bottom w:val="single" w:sz="4" w:space="0" w:color="auto"/>
              <w:right w:val="single" w:sz="4" w:space="0" w:color="auto"/>
            </w:tcBorders>
            <w:shd w:val="clear" w:color="auto" w:fill="auto"/>
            <w:noWrap/>
            <w:hideMark/>
          </w:tcPr>
          <w:p w14:paraId="7BDE95CF"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3.33</w:t>
            </w:r>
          </w:p>
        </w:tc>
        <w:tc>
          <w:tcPr>
            <w:tcW w:w="708" w:type="dxa"/>
            <w:tcBorders>
              <w:top w:val="nil"/>
              <w:left w:val="nil"/>
              <w:bottom w:val="single" w:sz="4" w:space="0" w:color="auto"/>
              <w:right w:val="single" w:sz="4" w:space="0" w:color="auto"/>
            </w:tcBorders>
            <w:shd w:val="clear" w:color="auto" w:fill="auto"/>
            <w:noWrap/>
            <w:hideMark/>
          </w:tcPr>
          <w:p w14:paraId="252621C2" w14:textId="77777777" w:rsidR="00CD6352" w:rsidRPr="00193AD8" w:rsidRDefault="00CD6352" w:rsidP="00CD6352">
            <w:pPr>
              <w:spacing w:after="0" w:line="240" w:lineRule="auto"/>
              <w:rPr>
                <w:rFonts w:ascii="Arial" w:eastAsia="Times New Roman" w:hAnsi="Arial" w:cs="Arial"/>
                <w:color w:val="000000"/>
                <w:sz w:val="16"/>
                <w:szCs w:val="16"/>
                <w:lang w:eastAsia="en-GB"/>
              </w:rPr>
            </w:pPr>
            <w:r w:rsidRPr="00193AD8">
              <w:rPr>
                <w:rFonts w:ascii="Arial" w:eastAsia="Times New Roman" w:hAnsi="Arial" w:cs="Arial"/>
                <w:color w:val="000000"/>
                <w:sz w:val="16"/>
                <w:szCs w:val="16"/>
                <w:lang w:eastAsia="en-GB"/>
              </w:rPr>
              <w:t>10</w:t>
            </w:r>
          </w:p>
        </w:tc>
      </w:tr>
    </w:tbl>
    <w:p w14:paraId="1FF0F966" w14:textId="77777777" w:rsidR="00CD6352" w:rsidRPr="00EA7665" w:rsidRDefault="00CD6352" w:rsidP="00CD6352">
      <w:pPr>
        <w:spacing w:line="360" w:lineRule="auto"/>
        <w:jc w:val="both"/>
        <w:rPr>
          <w:rFonts w:ascii="Arial" w:hAnsi="Arial" w:cs="Arial"/>
        </w:rPr>
      </w:pPr>
    </w:p>
    <w:p w14:paraId="7A9C70EE" w14:textId="1ED40C07" w:rsidR="00CD6352" w:rsidRPr="00EA7665" w:rsidRDefault="00CD6352" w:rsidP="00CD6352">
      <w:pPr>
        <w:spacing w:line="360" w:lineRule="auto"/>
        <w:jc w:val="both"/>
        <w:rPr>
          <w:rFonts w:ascii="Arial" w:hAnsi="Arial" w:cs="Arial"/>
        </w:rPr>
      </w:pPr>
      <w:r w:rsidRPr="00EA7665">
        <w:rPr>
          <w:rFonts w:ascii="Arial" w:hAnsi="Arial" w:cs="Arial"/>
        </w:rPr>
        <w:t xml:space="preserve">The results relating to the perceived importance </w:t>
      </w:r>
      <w:r>
        <w:rPr>
          <w:rFonts w:ascii="Arial" w:hAnsi="Arial" w:cs="Arial"/>
        </w:rPr>
        <w:t>of</w:t>
      </w:r>
      <w:r w:rsidRPr="00EA7665">
        <w:rPr>
          <w:rFonts w:ascii="Arial" w:hAnsi="Arial" w:cs="Arial"/>
        </w:rPr>
        <w:t xml:space="preserve"> </w:t>
      </w:r>
      <w:r w:rsidR="009C0B88">
        <w:rPr>
          <w:rFonts w:ascii="Arial" w:hAnsi="Arial" w:cs="Arial"/>
        </w:rPr>
        <w:t>training and education approaches for securing finance for real estate project development at the disaggregate level are</w:t>
      </w:r>
      <w:r w:rsidRPr="00EA7665">
        <w:rPr>
          <w:rFonts w:ascii="Arial" w:hAnsi="Arial" w:cs="Arial"/>
        </w:rPr>
        <w:t xml:space="preserve"> shown in table </w:t>
      </w:r>
      <w:r w:rsidR="004834A6">
        <w:rPr>
          <w:rFonts w:ascii="Arial" w:hAnsi="Arial" w:cs="Arial"/>
        </w:rPr>
        <w:t>9.3.6</w:t>
      </w:r>
      <w:r w:rsidRPr="00EA7665">
        <w:rPr>
          <w:rFonts w:ascii="Arial" w:hAnsi="Arial" w:cs="Arial"/>
        </w:rPr>
        <w:t xml:space="preserve">. The mean score range for the different countries is Germany (4.33 to 2.33), UK (3.62 to 2.44), </w:t>
      </w:r>
      <w:r w:rsidR="009C0B88">
        <w:rPr>
          <w:rFonts w:ascii="Arial" w:hAnsi="Arial" w:cs="Arial"/>
        </w:rPr>
        <w:t xml:space="preserve">the </w:t>
      </w:r>
      <w:r w:rsidRPr="00EA7665">
        <w:rPr>
          <w:rFonts w:ascii="Arial" w:hAnsi="Arial" w:cs="Arial"/>
        </w:rPr>
        <w:t xml:space="preserve">US (3.5 to 2), China (3.9 to 2.8), Nigeria (4.2 to 3.57) and South Africa (4.22 to 3.11). </w:t>
      </w:r>
    </w:p>
    <w:p w14:paraId="5EA5411C" w14:textId="02BC94D2" w:rsidR="00CD6352" w:rsidRPr="00EA7665" w:rsidRDefault="00CD6352" w:rsidP="00CD6352">
      <w:pPr>
        <w:spacing w:line="360" w:lineRule="auto"/>
        <w:jc w:val="both"/>
        <w:rPr>
          <w:rFonts w:ascii="Arial" w:hAnsi="Arial" w:cs="Arial"/>
        </w:rPr>
      </w:pPr>
      <w:r w:rsidRPr="00EA7665">
        <w:rPr>
          <w:rFonts w:ascii="Arial" w:hAnsi="Arial" w:cs="Arial"/>
        </w:rPr>
        <w:t>The data provided indicates that all twelve approaches to securing finance for project development are perceived to be important for their present jobs. Conver</w:t>
      </w:r>
      <w:r>
        <w:rPr>
          <w:rFonts w:ascii="Arial" w:hAnsi="Arial" w:cs="Arial"/>
        </w:rPr>
        <w:t>sely,</w:t>
      </w:r>
      <w:r w:rsidRPr="00EA7665">
        <w:rPr>
          <w:rFonts w:ascii="Arial" w:hAnsi="Arial" w:cs="Arial"/>
        </w:rPr>
        <w:t xml:space="preserve"> the top five </w:t>
      </w:r>
      <w:r w:rsidRPr="00EA7665">
        <w:rPr>
          <w:rFonts w:ascii="Arial" w:hAnsi="Arial" w:cs="Arial"/>
        </w:rPr>
        <w:lastRenderedPageBreak/>
        <w:t xml:space="preserve">approaches perceived </w:t>
      </w:r>
      <w:r w:rsidR="002922CF">
        <w:rPr>
          <w:rFonts w:ascii="Arial" w:hAnsi="Arial" w:cs="Arial"/>
        </w:rPr>
        <w:t xml:space="preserve">as </w:t>
      </w:r>
      <w:r w:rsidRPr="00EA7665">
        <w:rPr>
          <w:rFonts w:ascii="Arial" w:hAnsi="Arial" w:cs="Arial"/>
        </w:rPr>
        <w:t>important by the managers in the six countries is sho</w:t>
      </w:r>
      <w:r>
        <w:rPr>
          <w:rFonts w:ascii="Arial" w:hAnsi="Arial" w:cs="Arial"/>
        </w:rPr>
        <w:t>wn</w:t>
      </w:r>
      <w:r w:rsidRPr="00EA7665">
        <w:rPr>
          <w:rFonts w:ascii="Arial" w:hAnsi="Arial" w:cs="Arial"/>
        </w:rPr>
        <w:t xml:space="preserve"> below. The findings </w:t>
      </w:r>
      <w:r>
        <w:rPr>
          <w:rFonts w:ascii="Arial" w:hAnsi="Arial" w:cs="Arial"/>
        </w:rPr>
        <w:t>do</w:t>
      </w:r>
      <w:r w:rsidRPr="00EA7665">
        <w:rPr>
          <w:rFonts w:ascii="Arial" w:hAnsi="Arial" w:cs="Arial"/>
        </w:rPr>
        <w:t xml:space="preserve"> not show a clear divide between approaches to training and education perceived as important by managers in the developed and emerging economies. Continuing professional development is ranked number one by managers in </w:t>
      </w:r>
      <w:r>
        <w:rPr>
          <w:rFonts w:ascii="Arial" w:hAnsi="Arial" w:cs="Arial"/>
        </w:rPr>
        <w:t xml:space="preserve">the </w:t>
      </w:r>
      <w:r w:rsidRPr="00EA7665">
        <w:rPr>
          <w:rFonts w:ascii="Arial" w:hAnsi="Arial" w:cs="Arial"/>
        </w:rPr>
        <w:t xml:space="preserve">US, </w:t>
      </w:r>
      <w:r w:rsidR="00780347" w:rsidRPr="00EA7665">
        <w:rPr>
          <w:rFonts w:ascii="Arial" w:hAnsi="Arial" w:cs="Arial"/>
        </w:rPr>
        <w:t>Nigeria,</w:t>
      </w:r>
      <w:r w:rsidRPr="00EA7665">
        <w:rPr>
          <w:rFonts w:ascii="Arial" w:hAnsi="Arial" w:cs="Arial"/>
        </w:rPr>
        <w:t xml:space="preserve"> and South Africa.</w:t>
      </w:r>
      <w:r>
        <w:rPr>
          <w:rFonts w:ascii="Arial" w:hAnsi="Arial" w:cs="Arial"/>
        </w:rPr>
        <w:t xml:space="preserve"> </w:t>
      </w:r>
      <w:r w:rsidRPr="00EA7665">
        <w:rPr>
          <w:rFonts w:ascii="Arial" w:hAnsi="Arial" w:cs="Arial"/>
        </w:rPr>
        <w:t xml:space="preserve">The top five ranked approaches to management’s training and education for securing </w:t>
      </w:r>
      <w:r w:rsidR="009C0B88">
        <w:rPr>
          <w:rFonts w:ascii="Arial" w:hAnsi="Arial" w:cs="Arial"/>
        </w:rPr>
        <w:t>real estate project development finance for all six countries reviewed in this study are</w:t>
      </w:r>
      <w:r w:rsidRPr="00EA7665">
        <w:rPr>
          <w:rFonts w:ascii="Arial" w:hAnsi="Arial" w:cs="Arial"/>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CD6352" w:rsidRPr="00EA7665" w14:paraId="4AA8CB43" w14:textId="77777777" w:rsidTr="00CD6352">
        <w:tc>
          <w:tcPr>
            <w:tcW w:w="3080" w:type="dxa"/>
          </w:tcPr>
          <w:p w14:paraId="04BFC9AF" w14:textId="77777777" w:rsidR="00CD6352" w:rsidRPr="00780347" w:rsidRDefault="00CD6352" w:rsidP="00CD6352">
            <w:pPr>
              <w:spacing w:line="360" w:lineRule="auto"/>
              <w:jc w:val="both"/>
              <w:rPr>
                <w:rFonts w:ascii="Arial" w:hAnsi="Arial" w:cs="Arial"/>
                <w:b/>
                <w:bCs/>
                <w:sz w:val="16"/>
                <w:szCs w:val="16"/>
              </w:rPr>
            </w:pPr>
            <w:r w:rsidRPr="00780347">
              <w:rPr>
                <w:rFonts w:ascii="Arial" w:hAnsi="Arial" w:cs="Arial"/>
                <w:b/>
                <w:bCs/>
                <w:sz w:val="16"/>
                <w:szCs w:val="16"/>
              </w:rPr>
              <w:t>Germany</w:t>
            </w:r>
          </w:p>
          <w:p w14:paraId="4CA8F160" w14:textId="77777777" w:rsidR="00CD6352" w:rsidRPr="00EA7665" w:rsidRDefault="00CD6352" w:rsidP="00C74AEC">
            <w:pPr>
              <w:pStyle w:val="ListParagraph"/>
              <w:numPr>
                <w:ilvl w:val="0"/>
                <w:numId w:val="201"/>
              </w:numPr>
              <w:spacing w:after="0" w:line="360" w:lineRule="auto"/>
              <w:jc w:val="both"/>
              <w:rPr>
                <w:rFonts w:ascii="Arial" w:hAnsi="Arial" w:cs="Arial"/>
                <w:sz w:val="16"/>
                <w:szCs w:val="16"/>
              </w:rPr>
            </w:pPr>
            <w:r w:rsidRPr="00EA7665">
              <w:rPr>
                <w:rFonts w:ascii="Arial" w:hAnsi="Arial" w:cs="Arial"/>
                <w:sz w:val="16"/>
                <w:szCs w:val="16"/>
              </w:rPr>
              <w:t>Usage of formal qualification</w:t>
            </w:r>
          </w:p>
          <w:p w14:paraId="0840CF90" w14:textId="77777777" w:rsidR="00CD6352" w:rsidRPr="00EA7665" w:rsidRDefault="00CD6352" w:rsidP="00C74AEC">
            <w:pPr>
              <w:pStyle w:val="ListParagraph"/>
              <w:numPr>
                <w:ilvl w:val="0"/>
                <w:numId w:val="201"/>
              </w:numPr>
              <w:spacing w:after="0" w:line="360" w:lineRule="auto"/>
              <w:jc w:val="both"/>
              <w:rPr>
                <w:rFonts w:ascii="Arial" w:hAnsi="Arial" w:cs="Arial"/>
                <w:sz w:val="16"/>
                <w:szCs w:val="16"/>
              </w:rPr>
            </w:pPr>
            <w:r w:rsidRPr="00EA7665">
              <w:rPr>
                <w:rFonts w:ascii="Arial" w:hAnsi="Arial" w:cs="Arial"/>
                <w:sz w:val="16"/>
                <w:szCs w:val="16"/>
              </w:rPr>
              <w:t>Computer-based training</w:t>
            </w:r>
          </w:p>
          <w:p w14:paraId="39677911" w14:textId="77777777" w:rsidR="00CD6352" w:rsidRPr="00EA7665" w:rsidRDefault="00CD6352" w:rsidP="00C74AEC">
            <w:pPr>
              <w:pStyle w:val="ListParagraph"/>
              <w:numPr>
                <w:ilvl w:val="0"/>
                <w:numId w:val="201"/>
              </w:numPr>
              <w:spacing w:after="0" w:line="360" w:lineRule="auto"/>
              <w:jc w:val="both"/>
              <w:rPr>
                <w:rFonts w:ascii="Arial" w:hAnsi="Arial" w:cs="Arial"/>
                <w:sz w:val="16"/>
                <w:szCs w:val="16"/>
              </w:rPr>
            </w:pPr>
            <w:r w:rsidRPr="00EA7665">
              <w:rPr>
                <w:rFonts w:ascii="Arial" w:hAnsi="Arial" w:cs="Arial"/>
                <w:sz w:val="16"/>
                <w:szCs w:val="16"/>
              </w:rPr>
              <w:t>External training</w:t>
            </w:r>
          </w:p>
          <w:p w14:paraId="519C4C07" w14:textId="77777777" w:rsidR="00CD6352" w:rsidRPr="00EA7665" w:rsidRDefault="00CD6352" w:rsidP="00C74AEC">
            <w:pPr>
              <w:pStyle w:val="ListParagraph"/>
              <w:numPr>
                <w:ilvl w:val="0"/>
                <w:numId w:val="201"/>
              </w:numPr>
              <w:spacing w:after="0" w:line="360" w:lineRule="auto"/>
              <w:jc w:val="both"/>
              <w:rPr>
                <w:rFonts w:ascii="Arial" w:hAnsi="Arial" w:cs="Arial"/>
                <w:sz w:val="16"/>
                <w:szCs w:val="16"/>
              </w:rPr>
            </w:pPr>
            <w:r w:rsidRPr="00EA7665">
              <w:rPr>
                <w:rFonts w:ascii="Arial" w:hAnsi="Arial" w:cs="Arial"/>
                <w:sz w:val="16"/>
                <w:szCs w:val="16"/>
              </w:rPr>
              <w:t>Online and tutorial training</w:t>
            </w:r>
          </w:p>
          <w:p w14:paraId="741D93FD" w14:textId="77777777" w:rsidR="00CD6352" w:rsidRPr="00EA7665" w:rsidRDefault="00CD6352" w:rsidP="00C74AEC">
            <w:pPr>
              <w:pStyle w:val="ListParagraph"/>
              <w:numPr>
                <w:ilvl w:val="0"/>
                <w:numId w:val="201"/>
              </w:numPr>
              <w:spacing w:after="0" w:line="360" w:lineRule="auto"/>
              <w:jc w:val="both"/>
              <w:rPr>
                <w:rFonts w:ascii="Arial" w:hAnsi="Arial" w:cs="Arial"/>
                <w:sz w:val="16"/>
                <w:szCs w:val="16"/>
              </w:rPr>
            </w:pPr>
            <w:r w:rsidRPr="00EA7665">
              <w:rPr>
                <w:rFonts w:ascii="Arial" w:hAnsi="Arial" w:cs="Arial"/>
                <w:sz w:val="16"/>
                <w:szCs w:val="16"/>
              </w:rPr>
              <w:t>Classroom instructor-led training for a short period(offered by consultants)</w:t>
            </w:r>
          </w:p>
          <w:p w14:paraId="2DC33CE2" w14:textId="77777777" w:rsidR="00CD6352" w:rsidRPr="00EA7665" w:rsidRDefault="00CD6352" w:rsidP="00CD6352">
            <w:pPr>
              <w:spacing w:line="360" w:lineRule="auto"/>
              <w:jc w:val="both"/>
              <w:rPr>
                <w:rFonts w:ascii="Arial" w:hAnsi="Arial" w:cs="Arial"/>
                <w:sz w:val="16"/>
                <w:szCs w:val="16"/>
              </w:rPr>
            </w:pPr>
          </w:p>
        </w:tc>
        <w:tc>
          <w:tcPr>
            <w:tcW w:w="3081" w:type="dxa"/>
          </w:tcPr>
          <w:p w14:paraId="36037A33" w14:textId="77777777" w:rsidR="00CD6352" w:rsidRPr="00780347" w:rsidRDefault="00CD6352" w:rsidP="00CD6352">
            <w:pPr>
              <w:spacing w:line="360" w:lineRule="auto"/>
              <w:jc w:val="both"/>
              <w:rPr>
                <w:rFonts w:ascii="Arial" w:hAnsi="Arial" w:cs="Arial"/>
                <w:b/>
                <w:bCs/>
                <w:sz w:val="16"/>
                <w:szCs w:val="16"/>
              </w:rPr>
            </w:pPr>
            <w:r w:rsidRPr="00780347">
              <w:rPr>
                <w:rFonts w:ascii="Arial" w:hAnsi="Arial" w:cs="Arial"/>
                <w:b/>
                <w:bCs/>
                <w:sz w:val="16"/>
                <w:szCs w:val="16"/>
              </w:rPr>
              <w:t>UK</w:t>
            </w:r>
          </w:p>
          <w:p w14:paraId="3E73D709" w14:textId="77777777" w:rsidR="00CD6352" w:rsidRPr="00EA7665" w:rsidRDefault="00CD6352" w:rsidP="00C74AEC">
            <w:pPr>
              <w:pStyle w:val="ListParagraph"/>
              <w:numPr>
                <w:ilvl w:val="0"/>
                <w:numId w:val="202"/>
              </w:numPr>
              <w:spacing w:after="0" w:line="360" w:lineRule="auto"/>
              <w:jc w:val="both"/>
              <w:rPr>
                <w:rFonts w:ascii="Arial" w:hAnsi="Arial" w:cs="Arial"/>
                <w:sz w:val="16"/>
                <w:szCs w:val="16"/>
              </w:rPr>
            </w:pPr>
            <w:r w:rsidRPr="00EA7665">
              <w:rPr>
                <w:rFonts w:ascii="Arial" w:hAnsi="Arial" w:cs="Arial"/>
                <w:sz w:val="16"/>
                <w:szCs w:val="16"/>
              </w:rPr>
              <w:t>Conferences &amp; seminar</w:t>
            </w:r>
          </w:p>
          <w:p w14:paraId="7D0D4C4F" w14:textId="77777777" w:rsidR="00CD6352" w:rsidRPr="00EA7665" w:rsidRDefault="00CD6352" w:rsidP="00C74AEC">
            <w:pPr>
              <w:pStyle w:val="ListParagraph"/>
              <w:numPr>
                <w:ilvl w:val="0"/>
                <w:numId w:val="202"/>
              </w:numPr>
              <w:spacing w:after="0" w:line="360" w:lineRule="auto"/>
              <w:jc w:val="both"/>
              <w:rPr>
                <w:rFonts w:ascii="Arial" w:hAnsi="Arial" w:cs="Arial"/>
                <w:sz w:val="16"/>
                <w:szCs w:val="16"/>
              </w:rPr>
            </w:pPr>
            <w:r w:rsidRPr="00EA7665">
              <w:rPr>
                <w:rFonts w:ascii="Arial" w:hAnsi="Arial" w:cs="Arial"/>
                <w:sz w:val="16"/>
                <w:szCs w:val="16"/>
              </w:rPr>
              <w:t>Usage of formal qualification</w:t>
            </w:r>
          </w:p>
          <w:p w14:paraId="02355CF4" w14:textId="77777777" w:rsidR="00CD6352" w:rsidRPr="00EA7665" w:rsidRDefault="00CD6352" w:rsidP="00C74AEC">
            <w:pPr>
              <w:pStyle w:val="ListParagraph"/>
              <w:numPr>
                <w:ilvl w:val="0"/>
                <w:numId w:val="202"/>
              </w:numPr>
              <w:spacing w:after="0" w:line="360" w:lineRule="auto"/>
              <w:jc w:val="both"/>
              <w:rPr>
                <w:rFonts w:ascii="Arial" w:hAnsi="Arial" w:cs="Arial"/>
                <w:sz w:val="16"/>
                <w:szCs w:val="16"/>
              </w:rPr>
            </w:pPr>
            <w:r w:rsidRPr="00EA7665">
              <w:rPr>
                <w:rFonts w:ascii="Arial" w:hAnsi="Arial" w:cs="Arial"/>
                <w:sz w:val="16"/>
                <w:szCs w:val="16"/>
              </w:rPr>
              <w:t xml:space="preserve">Learning by holding meetings </w:t>
            </w:r>
          </w:p>
          <w:p w14:paraId="543B9FA2" w14:textId="77777777" w:rsidR="00CD6352" w:rsidRPr="00EA7665" w:rsidRDefault="00CD6352" w:rsidP="00C74AEC">
            <w:pPr>
              <w:pStyle w:val="ListParagraph"/>
              <w:numPr>
                <w:ilvl w:val="0"/>
                <w:numId w:val="202"/>
              </w:numPr>
              <w:spacing w:after="0" w:line="360" w:lineRule="auto"/>
              <w:jc w:val="both"/>
              <w:rPr>
                <w:rFonts w:ascii="Arial" w:hAnsi="Arial" w:cs="Arial"/>
                <w:sz w:val="16"/>
                <w:szCs w:val="16"/>
              </w:rPr>
            </w:pPr>
            <w:r w:rsidRPr="00EA7665">
              <w:rPr>
                <w:rFonts w:ascii="Arial" w:hAnsi="Arial" w:cs="Arial"/>
                <w:sz w:val="16"/>
                <w:szCs w:val="16"/>
              </w:rPr>
              <w:t>Classroom instructor-led training for a short period(offered by consultants)</w:t>
            </w:r>
          </w:p>
          <w:p w14:paraId="0E67DD07" w14:textId="77777777" w:rsidR="00CD6352" w:rsidRPr="00EA7665" w:rsidRDefault="00CD6352" w:rsidP="00C74AEC">
            <w:pPr>
              <w:pStyle w:val="ListParagraph"/>
              <w:numPr>
                <w:ilvl w:val="0"/>
                <w:numId w:val="202"/>
              </w:numPr>
              <w:spacing w:after="0" w:line="360" w:lineRule="auto"/>
              <w:jc w:val="both"/>
              <w:rPr>
                <w:rFonts w:ascii="Arial" w:hAnsi="Arial" w:cs="Arial"/>
                <w:sz w:val="16"/>
                <w:szCs w:val="16"/>
              </w:rPr>
            </w:pPr>
            <w:r w:rsidRPr="00EA7665">
              <w:rPr>
                <w:rFonts w:ascii="Arial" w:hAnsi="Arial" w:cs="Arial"/>
                <w:sz w:val="16"/>
                <w:szCs w:val="16"/>
              </w:rPr>
              <w:t>Usage of internal program and instructors</w:t>
            </w:r>
          </w:p>
        </w:tc>
        <w:tc>
          <w:tcPr>
            <w:tcW w:w="3081" w:type="dxa"/>
          </w:tcPr>
          <w:p w14:paraId="4197117C" w14:textId="77777777" w:rsidR="00CD6352" w:rsidRPr="00780347" w:rsidRDefault="00CD6352" w:rsidP="00CD6352">
            <w:pPr>
              <w:spacing w:line="360" w:lineRule="auto"/>
              <w:jc w:val="both"/>
              <w:rPr>
                <w:rFonts w:ascii="Arial" w:hAnsi="Arial" w:cs="Arial"/>
                <w:b/>
                <w:bCs/>
                <w:sz w:val="16"/>
                <w:szCs w:val="16"/>
              </w:rPr>
            </w:pPr>
            <w:r w:rsidRPr="00780347">
              <w:rPr>
                <w:rFonts w:ascii="Arial" w:hAnsi="Arial" w:cs="Arial"/>
                <w:b/>
                <w:bCs/>
                <w:sz w:val="16"/>
                <w:szCs w:val="16"/>
              </w:rPr>
              <w:t>US</w:t>
            </w:r>
          </w:p>
          <w:p w14:paraId="5B86A7E0" w14:textId="77777777" w:rsidR="00CD6352" w:rsidRPr="00EA7665" w:rsidRDefault="00CD6352" w:rsidP="00C74AEC">
            <w:pPr>
              <w:pStyle w:val="ListParagraph"/>
              <w:numPr>
                <w:ilvl w:val="0"/>
                <w:numId w:val="197"/>
              </w:numPr>
              <w:spacing w:after="0" w:line="360" w:lineRule="auto"/>
              <w:jc w:val="both"/>
              <w:rPr>
                <w:rFonts w:ascii="Arial" w:hAnsi="Arial" w:cs="Arial"/>
                <w:sz w:val="16"/>
                <w:szCs w:val="16"/>
              </w:rPr>
            </w:pPr>
            <w:r w:rsidRPr="00EA7665">
              <w:rPr>
                <w:rFonts w:ascii="Arial" w:hAnsi="Arial" w:cs="Arial"/>
                <w:sz w:val="16"/>
                <w:szCs w:val="16"/>
              </w:rPr>
              <w:t>Continuing professional development</w:t>
            </w:r>
          </w:p>
          <w:p w14:paraId="57E31072" w14:textId="77777777" w:rsidR="00CD6352" w:rsidRPr="00EA7665" w:rsidRDefault="00CD6352" w:rsidP="00C74AEC">
            <w:pPr>
              <w:pStyle w:val="ListParagraph"/>
              <w:numPr>
                <w:ilvl w:val="0"/>
                <w:numId w:val="197"/>
              </w:numPr>
              <w:spacing w:after="0" w:line="360" w:lineRule="auto"/>
              <w:jc w:val="both"/>
              <w:rPr>
                <w:rFonts w:ascii="Arial" w:hAnsi="Arial" w:cs="Arial"/>
                <w:sz w:val="16"/>
                <w:szCs w:val="16"/>
              </w:rPr>
            </w:pPr>
            <w:r w:rsidRPr="00EA7665">
              <w:rPr>
                <w:rFonts w:ascii="Arial" w:hAnsi="Arial" w:cs="Arial"/>
                <w:sz w:val="16"/>
                <w:szCs w:val="16"/>
              </w:rPr>
              <w:t>Conferences &amp; seminar</w:t>
            </w:r>
          </w:p>
          <w:p w14:paraId="3CFAB79C" w14:textId="77777777" w:rsidR="00CD6352" w:rsidRPr="00EA7665" w:rsidRDefault="00CD6352" w:rsidP="00C74AEC">
            <w:pPr>
              <w:pStyle w:val="ListParagraph"/>
              <w:numPr>
                <w:ilvl w:val="0"/>
                <w:numId w:val="197"/>
              </w:numPr>
              <w:spacing w:after="0" w:line="360" w:lineRule="auto"/>
              <w:jc w:val="both"/>
              <w:rPr>
                <w:rFonts w:ascii="Arial" w:hAnsi="Arial" w:cs="Arial"/>
                <w:sz w:val="16"/>
                <w:szCs w:val="16"/>
              </w:rPr>
            </w:pPr>
            <w:r w:rsidRPr="00EA7665">
              <w:rPr>
                <w:rFonts w:ascii="Arial" w:hAnsi="Arial" w:cs="Arial"/>
                <w:sz w:val="16"/>
                <w:szCs w:val="16"/>
              </w:rPr>
              <w:t>Computer-based training</w:t>
            </w:r>
          </w:p>
          <w:p w14:paraId="7962BF79" w14:textId="77777777" w:rsidR="00CD6352" w:rsidRPr="00EA7665" w:rsidRDefault="00CD6352" w:rsidP="00C74AEC">
            <w:pPr>
              <w:pStyle w:val="ListParagraph"/>
              <w:numPr>
                <w:ilvl w:val="0"/>
                <w:numId w:val="197"/>
              </w:numPr>
              <w:spacing w:after="0" w:line="360" w:lineRule="auto"/>
              <w:jc w:val="both"/>
              <w:rPr>
                <w:rFonts w:ascii="Arial" w:hAnsi="Arial" w:cs="Arial"/>
                <w:sz w:val="16"/>
                <w:szCs w:val="16"/>
              </w:rPr>
            </w:pPr>
            <w:r w:rsidRPr="00EA7665">
              <w:rPr>
                <w:rFonts w:ascii="Arial" w:hAnsi="Arial" w:cs="Arial"/>
                <w:sz w:val="16"/>
                <w:szCs w:val="16"/>
              </w:rPr>
              <w:t>Company-specific courses targeted at securing financing skills &amp; knowledge</w:t>
            </w:r>
          </w:p>
          <w:p w14:paraId="5C58830F" w14:textId="77777777" w:rsidR="00CD6352" w:rsidRPr="00EA7665" w:rsidRDefault="00CD6352" w:rsidP="00C74AEC">
            <w:pPr>
              <w:pStyle w:val="ListParagraph"/>
              <w:numPr>
                <w:ilvl w:val="0"/>
                <w:numId w:val="197"/>
              </w:numPr>
              <w:spacing w:after="0" w:line="360" w:lineRule="auto"/>
              <w:jc w:val="both"/>
              <w:rPr>
                <w:rFonts w:ascii="Arial" w:hAnsi="Arial" w:cs="Arial"/>
                <w:sz w:val="16"/>
                <w:szCs w:val="16"/>
              </w:rPr>
            </w:pPr>
            <w:r w:rsidRPr="00EA7665">
              <w:rPr>
                <w:rFonts w:ascii="Arial" w:hAnsi="Arial" w:cs="Arial"/>
                <w:sz w:val="16"/>
                <w:szCs w:val="16"/>
              </w:rPr>
              <w:t>Classroom instructor-led training for a short period(offered by consultants)</w:t>
            </w:r>
          </w:p>
        </w:tc>
      </w:tr>
      <w:tr w:rsidR="00CD6352" w:rsidRPr="00EA7665" w14:paraId="512A508F" w14:textId="77777777" w:rsidTr="00CD6352">
        <w:tc>
          <w:tcPr>
            <w:tcW w:w="3080" w:type="dxa"/>
          </w:tcPr>
          <w:p w14:paraId="488AA9FF" w14:textId="77777777" w:rsidR="00CD6352" w:rsidRPr="00780347" w:rsidRDefault="00CD6352" w:rsidP="00CD6352">
            <w:pPr>
              <w:spacing w:line="360" w:lineRule="auto"/>
              <w:jc w:val="both"/>
              <w:rPr>
                <w:rFonts w:ascii="Arial" w:hAnsi="Arial" w:cs="Arial"/>
                <w:b/>
                <w:bCs/>
                <w:sz w:val="16"/>
                <w:szCs w:val="16"/>
              </w:rPr>
            </w:pPr>
            <w:r w:rsidRPr="00780347">
              <w:rPr>
                <w:rFonts w:ascii="Arial" w:hAnsi="Arial" w:cs="Arial"/>
                <w:b/>
                <w:bCs/>
                <w:sz w:val="16"/>
                <w:szCs w:val="16"/>
              </w:rPr>
              <w:t>China</w:t>
            </w:r>
          </w:p>
          <w:p w14:paraId="0AA8819E" w14:textId="77777777" w:rsidR="00CD6352" w:rsidRPr="00EA7665" w:rsidRDefault="00CD6352" w:rsidP="00C74AEC">
            <w:pPr>
              <w:pStyle w:val="ListParagraph"/>
              <w:numPr>
                <w:ilvl w:val="0"/>
                <w:numId w:val="198"/>
              </w:numPr>
              <w:spacing w:after="0" w:line="360" w:lineRule="auto"/>
              <w:jc w:val="both"/>
              <w:rPr>
                <w:rFonts w:ascii="Arial" w:hAnsi="Arial" w:cs="Arial"/>
                <w:sz w:val="16"/>
                <w:szCs w:val="16"/>
              </w:rPr>
            </w:pPr>
            <w:r w:rsidRPr="00EA7665">
              <w:rPr>
                <w:rFonts w:ascii="Arial" w:hAnsi="Arial" w:cs="Arial"/>
                <w:sz w:val="16"/>
                <w:szCs w:val="16"/>
              </w:rPr>
              <w:t xml:space="preserve">Learning by holding meetings </w:t>
            </w:r>
          </w:p>
          <w:p w14:paraId="7D81460A" w14:textId="77777777" w:rsidR="00CD6352" w:rsidRPr="00EA7665" w:rsidRDefault="00CD6352" w:rsidP="00C74AEC">
            <w:pPr>
              <w:pStyle w:val="ListParagraph"/>
              <w:numPr>
                <w:ilvl w:val="0"/>
                <w:numId w:val="198"/>
              </w:numPr>
              <w:spacing w:after="0" w:line="360" w:lineRule="auto"/>
              <w:jc w:val="both"/>
              <w:rPr>
                <w:rFonts w:ascii="Arial" w:hAnsi="Arial" w:cs="Arial"/>
                <w:sz w:val="16"/>
                <w:szCs w:val="16"/>
              </w:rPr>
            </w:pPr>
            <w:r w:rsidRPr="00EA7665">
              <w:rPr>
                <w:rFonts w:ascii="Arial" w:hAnsi="Arial" w:cs="Arial"/>
                <w:sz w:val="16"/>
                <w:szCs w:val="16"/>
              </w:rPr>
              <w:t>Continuing professional development</w:t>
            </w:r>
          </w:p>
          <w:p w14:paraId="6368DDF3" w14:textId="77777777" w:rsidR="00CD6352" w:rsidRPr="00EA7665" w:rsidRDefault="00CD6352" w:rsidP="00C74AEC">
            <w:pPr>
              <w:pStyle w:val="ListParagraph"/>
              <w:numPr>
                <w:ilvl w:val="0"/>
                <w:numId w:val="198"/>
              </w:numPr>
              <w:spacing w:after="0" w:line="360" w:lineRule="auto"/>
              <w:jc w:val="both"/>
              <w:rPr>
                <w:rFonts w:ascii="Arial" w:hAnsi="Arial" w:cs="Arial"/>
                <w:sz w:val="16"/>
                <w:szCs w:val="16"/>
              </w:rPr>
            </w:pPr>
            <w:r w:rsidRPr="00EA7665">
              <w:rPr>
                <w:rFonts w:ascii="Arial" w:hAnsi="Arial" w:cs="Arial"/>
                <w:sz w:val="16"/>
                <w:szCs w:val="16"/>
              </w:rPr>
              <w:t>Computer-based training</w:t>
            </w:r>
          </w:p>
          <w:p w14:paraId="491797E8" w14:textId="77777777" w:rsidR="00CD6352" w:rsidRPr="00EA7665" w:rsidRDefault="00CD6352" w:rsidP="00C74AEC">
            <w:pPr>
              <w:pStyle w:val="ListParagraph"/>
              <w:numPr>
                <w:ilvl w:val="0"/>
                <w:numId w:val="198"/>
              </w:numPr>
              <w:spacing w:after="0" w:line="360" w:lineRule="auto"/>
              <w:jc w:val="both"/>
              <w:rPr>
                <w:rFonts w:ascii="Arial" w:hAnsi="Arial" w:cs="Arial"/>
                <w:sz w:val="16"/>
                <w:szCs w:val="16"/>
              </w:rPr>
            </w:pPr>
            <w:r w:rsidRPr="00EA7665">
              <w:rPr>
                <w:rFonts w:ascii="Arial" w:hAnsi="Arial" w:cs="Arial"/>
                <w:sz w:val="16"/>
                <w:szCs w:val="16"/>
              </w:rPr>
              <w:t>Company-specific courses targeted at securing financing skills &amp; knowledge</w:t>
            </w:r>
          </w:p>
          <w:p w14:paraId="292B76F3" w14:textId="77777777" w:rsidR="00CD6352" w:rsidRPr="00EA7665" w:rsidRDefault="00CD6352" w:rsidP="00C74AEC">
            <w:pPr>
              <w:pStyle w:val="ListParagraph"/>
              <w:numPr>
                <w:ilvl w:val="0"/>
                <w:numId w:val="198"/>
              </w:numPr>
              <w:spacing w:after="0" w:line="360" w:lineRule="auto"/>
              <w:jc w:val="both"/>
              <w:rPr>
                <w:rFonts w:ascii="Arial" w:hAnsi="Arial" w:cs="Arial"/>
                <w:sz w:val="16"/>
                <w:szCs w:val="16"/>
              </w:rPr>
            </w:pPr>
            <w:r w:rsidRPr="00EA7665">
              <w:rPr>
                <w:rFonts w:ascii="Arial" w:hAnsi="Arial" w:cs="Arial"/>
                <w:sz w:val="16"/>
                <w:szCs w:val="16"/>
              </w:rPr>
              <w:t>External training</w:t>
            </w:r>
          </w:p>
          <w:p w14:paraId="037F0FB0" w14:textId="77777777" w:rsidR="00CD6352" w:rsidRPr="00EA7665" w:rsidRDefault="00CD6352" w:rsidP="00CD6352">
            <w:pPr>
              <w:spacing w:line="360" w:lineRule="auto"/>
              <w:jc w:val="both"/>
              <w:rPr>
                <w:rFonts w:ascii="Arial" w:hAnsi="Arial" w:cs="Arial"/>
                <w:sz w:val="16"/>
                <w:szCs w:val="16"/>
              </w:rPr>
            </w:pPr>
          </w:p>
        </w:tc>
        <w:tc>
          <w:tcPr>
            <w:tcW w:w="3081" w:type="dxa"/>
          </w:tcPr>
          <w:p w14:paraId="3C898A63" w14:textId="77777777" w:rsidR="00CD6352" w:rsidRPr="00780347" w:rsidRDefault="00CD6352" w:rsidP="00CD6352">
            <w:pPr>
              <w:spacing w:line="360" w:lineRule="auto"/>
              <w:jc w:val="both"/>
              <w:rPr>
                <w:rFonts w:ascii="Arial" w:hAnsi="Arial" w:cs="Arial"/>
                <w:b/>
                <w:bCs/>
                <w:sz w:val="16"/>
                <w:szCs w:val="16"/>
              </w:rPr>
            </w:pPr>
            <w:r w:rsidRPr="00780347">
              <w:rPr>
                <w:rFonts w:ascii="Arial" w:hAnsi="Arial" w:cs="Arial"/>
                <w:b/>
                <w:bCs/>
                <w:sz w:val="16"/>
                <w:szCs w:val="16"/>
              </w:rPr>
              <w:t>Nigeria</w:t>
            </w:r>
          </w:p>
          <w:p w14:paraId="038EBB54" w14:textId="77777777" w:rsidR="00CD6352" w:rsidRPr="00EA7665" w:rsidRDefault="00CD6352" w:rsidP="00C74AEC">
            <w:pPr>
              <w:pStyle w:val="ListParagraph"/>
              <w:numPr>
                <w:ilvl w:val="0"/>
                <w:numId w:val="199"/>
              </w:numPr>
              <w:spacing w:after="0" w:line="360" w:lineRule="auto"/>
              <w:jc w:val="both"/>
              <w:rPr>
                <w:rFonts w:ascii="Arial" w:hAnsi="Arial" w:cs="Arial"/>
                <w:sz w:val="16"/>
                <w:szCs w:val="16"/>
              </w:rPr>
            </w:pPr>
            <w:r w:rsidRPr="00EA7665">
              <w:rPr>
                <w:rFonts w:ascii="Arial" w:hAnsi="Arial" w:cs="Arial"/>
                <w:sz w:val="16"/>
                <w:szCs w:val="16"/>
              </w:rPr>
              <w:t>Continuing professional development</w:t>
            </w:r>
          </w:p>
          <w:p w14:paraId="15B5444F" w14:textId="77777777" w:rsidR="00CD6352" w:rsidRPr="00EA7665" w:rsidRDefault="00CD6352" w:rsidP="00C74AEC">
            <w:pPr>
              <w:pStyle w:val="ListParagraph"/>
              <w:numPr>
                <w:ilvl w:val="0"/>
                <w:numId w:val="199"/>
              </w:numPr>
              <w:spacing w:after="0" w:line="360" w:lineRule="auto"/>
              <w:jc w:val="both"/>
              <w:rPr>
                <w:rFonts w:ascii="Arial" w:hAnsi="Arial" w:cs="Arial"/>
                <w:sz w:val="16"/>
                <w:szCs w:val="16"/>
              </w:rPr>
            </w:pPr>
            <w:r w:rsidRPr="00EA7665">
              <w:rPr>
                <w:rFonts w:ascii="Arial" w:hAnsi="Arial" w:cs="Arial"/>
                <w:sz w:val="16"/>
                <w:szCs w:val="16"/>
              </w:rPr>
              <w:t>Conferences &amp; seminar</w:t>
            </w:r>
          </w:p>
          <w:p w14:paraId="660A466A" w14:textId="77777777" w:rsidR="00CD6352" w:rsidRPr="00EA7665" w:rsidRDefault="00CD6352" w:rsidP="00C74AEC">
            <w:pPr>
              <w:pStyle w:val="ListParagraph"/>
              <w:numPr>
                <w:ilvl w:val="0"/>
                <w:numId w:val="199"/>
              </w:numPr>
              <w:spacing w:after="0" w:line="360" w:lineRule="auto"/>
              <w:jc w:val="both"/>
              <w:rPr>
                <w:rFonts w:ascii="Arial" w:hAnsi="Arial" w:cs="Arial"/>
                <w:sz w:val="16"/>
                <w:szCs w:val="16"/>
              </w:rPr>
            </w:pPr>
            <w:r w:rsidRPr="00EA7665">
              <w:rPr>
                <w:rFonts w:ascii="Arial" w:hAnsi="Arial" w:cs="Arial"/>
                <w:sz w:val="16"/>
                <w:szCs w:val="16"/>
              </w:rPr>
              <w:t>Computer-based training</w:t>
            </w:r>
          </w:p>
          <w:p w14:paraId="333C47CB" w14:textId="77777777" w:rsidR="00CD6352" w:rsidRPr="00EA7665" w:rsidRDefault="00CD6352" w:rsidP="00C74AEC">
            <w:pPr>
              <w:pStyle w:val="ListParagraph"/>
              <w:numPr>
                <w:ilvl w:val="0"/>
                <w:numId w:val="199"/>
              </w:numPr>
              <w:spacing w:after="0" w:line="360" w:lineRule="auto"/>
              <w:jc w:val="both"/>
              <w:rPr>
                <w:rFonts w:ascii="Arial" w:hAnsi="Arial" w:cs="Arial"/>
                <w:sz w:val="16"/>
                <w:szCs w:val="16"/>
              </w:rPr>
            </w:pPr>
            <w:r w:rsidRPr="00EA7665">
              <w:rPr>
                <w:rFonts w:ascii="Arial" w:hAnsi="Arial" w:cs="Arial"/>
                <w:sz w:val="16"/>
                <w:szCs w:val="16"/>
              </w:rPr>
              <w:t>Company-specific courses targeted at securing financing skills &amp; knowledge</w:t>
            </w:r>
          </w:p>
          <w:p w14:paraId="2A9B172E" w14:textId="77777777" w:rsidR="00CD6352" w:rsidRPr="00EA7665" w:rsidRDefault="00CD6352" w:rsidP="00C74AEC">
            <w:pPr>
              <w:pStyle w:val="ListParagraph"/>
              <w:numPr>
                <w:ilvl w:val="0"/>
                <w:numId w:val="199"/>
              </w:numPr>
              <w:spacing w:after="0" w:line="360" w:lineRule="auto"/>
              <w:jc w:val="both"/>
              <w:rPr>
                <w:rFonts w:ascii="Arial" w:hAnsi="Arial" w:cs="Arial"/>
                <w:sz w:val="16"/>
                <w:szCs w:val="16"/>
              </w:rPr>
            </w:pPr>
            <w:r w:rsidRPr="00EA7665">
              <w:rPr>
                <w:rFonts w:ascii="Arial" w:hAnsi="Arial" w:cs="Arial"/>
                <w:sz w:val="16"/>
                <w:szCs w:val="16"/>
              </w:rPr>
              <w:t>Learning by holding meetings</w:t>
            </w:r>
          </w:p>
        </w:tc>
        <w:tc>
          <w:tcPr>
            <w:tcW w:w="3081" w:type="dxa"/>
          </w:tcPr>
          <w:p w14:paraId="1AD510C9" w14:textId="77777777" w:rsidR="00CD6352" w:rsidRPr="00780347" w:rsidRDefault="00CD6352" w:rsidP="00CD6352">
            <w:pPr>
              <w:spacing w:line="360" w:lineRule="auto"/>
              <w:jc w:val="both"/>
              <w:rPr>
                <w:rFonts w:ascii="Arial" w:hAnsi="Arial" w:cs="Arial"/>
                <w:b/>
                <w:bCs/>
                <w:sz w:val="16"/>
                <w:szCs w:val="16"/>
              </w:rPr>
            </w:pPr>
            <w:r w:rsidRPr="00780347">
              <w:rPr>
                <w:rFonts w:ascii="Arial" w:hAnsi="Arial" w:cs="Arial"/>
                <w:b/>
                <w:bCs/>
                <w:sz w:val="16"/>
                <w:szCs w:val="16"/>
              </w:rPr>
              <w:t>South Africa</w:t>
            </w:r>
          </w:p>
          <w:p w14:paraId="7AF1B706" w14:textId="77777777" w:rsidR="00CD6352" w:rsidRPr="00EA7665" w:rsidRDefault="00CD6352" w:rsidP="00C74AEC">
            <w:pPr>
              <w:pStyle w:val="ListParagraph"/>
              <w:numPr>
                <w:ilvl w:val="0"/>
                <w:numId w:val="200"/>
              </w:numPr>
              <w:spacing w:after="0" w:line="360" w:lineRule="auto"/>
              <w:jc w:val="both"/>
              <w:rPr>
                <w:rFonts w:ascii="Arial" w:hAnsi="Arial" w:cs="Arial"/>
                <w:sz w:val="16"/>
                <w:szCs w:val="16"/>
              </w:rPr>
            </w:pPr>
            <w:r w:rsidRPr="00EA7665">
              <w:rPr>
                <w:rFonts w:ascii="Arial" w:hAnsi="Arial" w:cs="Arial"/>
                <w:sz w:val="16"/>
                <w:szCs w:val="16"/>
              </w:rPr>
              <w:t>Continuing professional development</w:t>
            </w:r>
          </w:p>
          <w:p w14:paraId="26075060" w14:textId="77777777" w:rsidR="00CD6352" w:rsidRPr="00EA7665" w:rsidRDefault="00CD6352" w:rsidP="00C74AEC">
            <w:pPr>
              <w:pStyle w:val="ListParagraph"/>
              <w:numPr>
                <w:ilvl w:val="0"/>
                <w:numId w:val="200"/>
              </w:numPr>
              <w:spacing w:after="0" w:line="360" w:lineRule="auto"/>
              <w:jc w:val="both"/>
              <w:rPr>
                <w:rFonts w:ascii="Arial" w:hAnsi="Arial" w:cs="Arial"/>
                <w:sz w:val="16"/>
                <w:szCs w:val="16"/>
              </w:rPr>
            </w:pPr>
            <w:r w:rsidRPr="00EA7665">
              <w:rPr>
                <w:rFonts w:ascii="Arial" w:hAnsi="Arial" w:cs="Arial"/>
                <w:sz w:val="16"/>
                <w:szCs w:val="16"/>
              </w:rPr>
              <w:t xml:space="preserve">Learning by holding meetings </w:t>
            </w:r>
          </w:p>
          <w:p w14:paraId="01A33BA2" w14:textId="77777777" w:rsidR="00CD6352" w:rsidRPr="00EA7665" w:rsidRDefault="00CD6352" w:rsidP="00C74AEC">
            <w:pPr>
              <w:pStyle w:val="ListParagraph"/>
              <w:numPr>
                <w:ilvl w:val="0"/>
                <w:numId w:val="200"/>
              </w:numPr>
              <w:spacing w:after="0" w:line="360" w:lineRule="auto"/>
              <w:jc w:val="both"/>
              <w:rPr>
                <w:rFonts w:ascii="Arial" w:hAnsi="Arial" w:cs="Arial"/>
                <w:sz w:val="16"/>
                <w:szCs w:val="16"/>
              </w:rPr>
            </w:pPr>
            <w:r w:rsidRPr="00EA7665">
              <w:rPr>
                <w:rFonts w:ascii="Arial" w:hAnsi="Arial" w:cs="Arial"/>
                <w:sz w:val="16"/>
                <w:szCs w:val="16"/>
              </w:rPr>
              <w:t>Company-specific courses targeted at securing financing skills &amp; knowledge</w:t>
            </w:r>
          </w:p>
          <w:p w14:paraId="6E3377A3" w14:textId="77777777" w:rsidR="00CD6352" w:rsidRPr="00EA7665" w:rsidRDefault="00CD6352" w:rsidP="00C74AEC">
            <w:pPr>
              <w:pStyle w:val="ListParagraph"/>
              <w:numPr>
                <w:ilvl w:val="0"/>
                <w:numId w:val="200"/>
              </w:numPr>
              <w:spacing w:after="0" w:line="360" w:lineRule="auto"/>
              <w:jc w:val="both"/>
              <w:rPr>
                <w:rFonts w:ascii="Arial" w:hAnsi="Arial" w:cs="Arial"/>
                <w:sz w:val="16"/>
                <w:szCs w:val="16"/>
              </w:rPr>
            </w:pPr>
            <w:r w:rsidRPr="00EA7665">
              <w:rPr>
                <w:rFonts w:ascii="Arial" w:hAnsi="Arial" w:cs="Arial"/>
                <w:sz w:val="16"/>
                <w:szCs w:val="16"/>
              </w:rPr>
              <w:t>Computer-based training</w:t>
            </w:r>
          </w:p>
          <w:p w14:paraId="4781947D" w14:textId="77777777" w:rsidR="00CD6352" w:rsidRPr="00EA7665" w:rsidRDefault="00CD6352" w:rsidP="00C74AEC">
            <w:pPr>
              <w:pStyle w:val="ListParagraph"/>
              <w:numPr>
                <w:ilvl w:val="0"/>
                <w:numId w:val="200"/>
              </w:numPr>
              <w:spacing w:after="0" w:line="360" w:lineRule="auto"/>
              <w:jc w:val="both"/>
              <w:rPr>
                <w:rFonts w:ascii="Arial" w:hAnsi="Arial" w:cs="Arial"/>
                <w:sz w:val="16"/>
                <w:szCs w:val="16"/>
              </w:rPr>
            </w:pPr>
            <w:r w:rsidRPr="00EA7665">
              <w:rPr>
                <w:rFonts w:ascii="Arial" w:hAnsi="Arial" w:cs="Arial"/>
                <w:sz w:val="16"/>
                <w:szCs w:val="16"/>
              </w:rPr>
              <w:t>Usage of formal qualification</w:t>
            </w:r>
          </w:p>
        </w:tc>
      </w:tr>
    </w:tbl>
    <w:p w14:paraId="32D0E4CF" w14:textId="77777777" w:rsidR="00CD6352" w:rsidRPr="00EA7665" w:rsidRDefault="00CD6352" w:rsidP="00CD6352">
      <w:pPr>
        <w:spacing w:line="360" w:lineRule="auto"/>
        <w:jc w:val="both"/>
        <w:rPr>
          <w:rFonts w:ascii="Arial" w:hAnsi="Arial" w:cs="Arial"/>
        </w:rPr>
      </w:pPr>
    </w:p>
    <w:p w14:paraId="12E6A255" w14:textId="77777777" w:rsidR="00CD6352" w:rsidRPr="00EA7665" w:rsidRDefault="00CD6352" w:rsidP="00CD6352">
      <w:pPr>
        <w:pStyle w:val="Heading4"/>
        <w:rPr>
          <w:rFonts w:ascii="Arial" w:hAnsi="Arial" w:cs="Arial"/>
          <w:color w:val="auto"/>
        </w:rPr>
      </w:pPr>
      <w:r w:rsidRPr="00EA7665">
        <w:rPr>
          <w:rFonts w:ascii="Arial" w:hAnsi="Arial" w:cs="Arial"/>
          <w:color w:val="auto"/>
        </w:rPr>
        <w:t>Degree of need for training and education approaches for securing finance for real estate project development for the future (next 5 years)</w:t>
      </w:r>
    </w:p>
    <w:p w14:paraId="34EE5525" w14:textId="77777777" w:rsidR="00CD6352" w:rsidRPr="00EA7665" w:rsidRDefault="00CD6352" w:rsidP="00CD6352"/>
    <w:p w14:paraId="3645441C" w14:textId="4526BE44" w:rsidR="00CD6352" w:rsidRDefault="00CD6352" w:rsidP="00CD6352">
      <w:pPr>
        <w:spacing w:line="360" w:lineRule="auto"/>
        <w:rPr>
          <w:rFonts w:ascii="Arial" w:hAnsi="Arial" w:cs="Arial"/>
        </w:rPr>
      </w:pPr>
      <w:r w:rsidRPr="00EA7665">
        <w:rPr>
          <w:rFonts w:ascii="Arial" w:hAnsi="Arial" w:cs="Arial"/>
        </w:rPr>
        <w:t>Almost 55% of the managers who responded to the questionnaire survey are of the view that continuing professional development is an approach to training and education for securing finance for real estate that they perceive will be of importance to them for the future (next 5years). This is followed by usage of formal qualification (41.7%), company-specific courses targeted at securing finance skills &amp; knowledge (40%), conferences &amp; seminar</w:t>
      </w:r>
      <w:r w:rsidR="00895E81">
        <w:rPr>
          <w:rFonts w:ascii="Arial" w:hAnsi="Arial" w:cs="Arial"/>
        </w:rPr>
        <w:t>s</w:t>
      </w:r>
      <w:r w:rsidRPr="00EA7665">
        <w:rPr>
          <w:rFonts w:ascii="Arial" w:hAnsi="Arial" w:cs="Arial"/>
        </w:rPr>
        <w:t xml:space="preserve"> (40%) and usage </w:t>
      </w:r>
      <w:r w:rsidR="00320A96" w:rsidRPr="00EA7665">
        <w:rPr>
          <w:rFonts w:ascii="Arial" w:hAnsi="Arial" w:cs="Arial"/>
        </w:rPr>
        <w:t>of internal</w:t>
      </w:r>
      <w:r w:rsidRPr="00EA7665">
        <w:rPr>
          <w:rFonts w:ascii="Arial" w:hAnsi="Arial" w:cs="Arial"/>
        </w:rPr>
        <w:t xml:space="preserve"> program</w:t>
      </w:r>
      <w:r w:rsidR="009C0B88">
        <w:rPr>
          <w:rFonts w:ascii="Arial" w:hAnsi="Arial" w:cs="Arial"/>
        </w:rPr>
        <w:t>s</w:t>
      </w:r>
      <w:r w:rsidRPr="00EA7665">
        <w:rPr>
          <w:rFonts w:ascii="Arial" w:hAnsi="Arial" w:cs="Arial"/>
        </w:rPr>
        <w:t xml:space="preserve"> and instructors (37.1%). University residential </w:t>
      </w:r>
      <w:r w:rsidR="00447321" w:rsidRPr="00EA7665">
        <w:rPr>
          <w:rFonts w:ascii="Arial" w:hAnsi="Arial" w:cs="Arial"/>
        </w:rPr>
        <w:t>full-time</w:t>
      </w:r>
      <w:r w:rsidRPr="00EA7665">
        <w:rPr>
          <w:rFonts w:ascii="Arial" w:hAnsi="Arial" w:cs="Arial"/>
        </w:rPr>
        <w:t xml:space="preserve"> program for some weeks is considered the least important </w:t>
      </w:r>
      <w:r w:rsidR="00320A96" w:rsidRPr="00EA7665">
        <w:rPr>
          <w:rFonts w:ascii="Arial" w:hAnsi="Arial" w:cs="Arial"/>
        </w:rPr>
        <w:t>(see</w:t>
      </w:r>
      <w:r w:rsidRPr="00EA7665">
        <w:rPr>
          <w:rFonts w:ascii="Arial" w:hAnsi="Arial" w:cs="Arial"/>
        </w:rPr>
        <w:t xml:space="preserve"> table </w:t>
      </w:r>
      <w:r w:rsidR="00BC6EEF">
        <w:rPr>
          <w:rFonts w:ascii="Arial" w:hAnsi="Arial" w:cs="Arial"/>
        </w:rPr>
        <w:t>9.3.7</w:t>
      </w:r>
      <w:r w:rsidRPr="00EA7665">
        <w:rPr>
          <w:rFonts w:ascii="Arial" w:hAnsi="Arial" w:cs="Arial"/>
        </w:rPr>
        <w:t>).</w:t>
      </w:r>
    </w:p>
    <w:p w14:paraId="656FE6FF" w14:textId="77777777" w:rsidR="00132DFB" w:rsidRPr="00EA7665" w:rsidRDefault="00132DFB" w:rsidP="00CD6352">
      <w:pPr>
        <w:spacing w:line="360" w:lineRule="auto"/>
        <w:rPr>
          <w:rFonts w:ascii="Arial" w:hAnsi="Arial" w:cs="Arial"/>
        </w:rPr>
      </w:pPr>
    </w:p>
    <w:p w14:paraId="00FB7220" w14:textId="2FC66F2D" w:rsidR="00BC6EEF" w:rsidRPr="00320A96" w:rsidRDefault="00BC6EEF" w:rsidP="00BC6EEF">
      <w:pPr>
        <w:pStyle w:val="Caption"/>
        <w:keepNext/>
        <w:rPr>
          <w:rFonts w:ascii="Arial" w:hAnsi="Arial" w:cs="Arial"/>
          <w:sz w:val="16"/>
          <w:szCs w:val="16"/>
        </w:rPr>
      </w:pPr>
      <w:bookmarkStart w:id="1404" w:name="_Toc78984035"/>
      <w:r w:rsidRPr="00320A96">
        <w:rPr>
          <w:rFonts w:ascii="Arial" w:hAnsi="Arial" w:cs="Arial"/>
          <w:sz w:val="16"/>
          <w:szCs w:val="16"/>
        </w:rPr>
        <w:lastRenderedPageBreak/>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7</w:t>
      </w:r>
      <w:r w:rsidR="008F25B1">
        <w:rPr>
          <w:rFonts w:ascii="Arial" w:hAnsi="Arial" w:cs="Arial"/>
          <w:sz w:val="16"/>
          <w:szCs w:val="16"/>
        </w:rPr>
        <w:fldChar w:fldCharType="end"/>
      </w:r>
      <w:r w:rsidRPr="00320A96">
        <w:rPr>
          <w:rFonts w:ascii="Arial" w:hAnsi="Arial" w:cs="Arial"/>
          <w:sz w:val="16"/>
          <w:szCs w:val="16"/>
        </w:rPr>
        <w:t>: Degree of need for training and education for the future (next 5years)</w:t>
      </w:r>
      <w:bookmarkEnd w:id="1404"/>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3743"/>
        <w:gridCol w:w="1053"/>
        <w:gridCol w:w="1104"/>
        <w:gridCol w:w="1135"/>
        <w:gridCol w:w="892"/>
        <w:gridCol w:w="1099"/>
      </w:tblGrid>
      <w:tr w:rsidR="00CD6352" w:rsidRPr="00320A96" w14:paraId="3AF141DB" w14:textId="77777777" w:rsidTr="00CD6352">
        <w:tc>
          <w:tcPr>
            <w:tcW w:w="0" w:type="auto"/>
            <w:vMerge w:val="restart"/>
          </w:tcPr>
          <w:p w14:paraId="70D9E49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Training &amp; education</w:t>
            </w:r>
          </w:p>
        </w:tc>
        <w:tc>
          <w:tcPr>
            <w:tcW w:w="0" w:type="auto"/>
            <w:gridSpan w:val="5"/>
          </w:tcPr>
          <w:p w14:paraId="7222C52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Need for training &amp; education for the future</w:t>
            </w:r>
          </w:p>
        </w:tc>
      </w:tr>
      <w:tr w:rsidR="00CD6352" w:rsidRPr="00320A96" w14:paraId="766EAA80" w14:textId="77777777" w:rsidTr="00CD6352">
        <w:tc>
          <w:tcPr>
            <w:tcW w:w="0" w:type="auto"/>
            <w:vMerge/>
          </w:tcPr>
          <w:p w14:paraId="54783152" w14:textId="77777777" w:rsidR="00CD6352" w:rsidRPr="00320A96" w:rsidRDefault="00CD6352" w:rsidP="00CD6352">
            <w:pPr>
              <w:jc w:val="both"/>
              <w:rPr>
                <w:rFonts w:ascii="Arial" w:hAnsi="Arial" w:cs="Arial"/>
                <w:sz w:val="16"/>
                <w:szCs w:val="16"/>
              </w:rPr>
            </w:pPr>
          </w:p>
        </w:tc>
        <w:tc>
          <w:tcPr>
            <w:tcW w:w="0" w:type="auto"/>
          </w:tcPr>
          <w:p w14:paraId="2208EA9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Not important</w:t>
            </w:r>
          </w:p>
        </w:tc>
        <w:tc>
          <w:tcPr>
            <w:tcW w:w="0" w:type="auto"/>
          </w:tcPr>
          <w:p w14:paraId="4B1B4CA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Less important</w:t>
            </w:r>
          </w:p>
        </w:tc>
        <w:tc>
          <w:tcPr>
            <w:tcW w:w="0" w:type="auto"/>
          </w:tcPr>
          <w:p w14:paraId="7157D72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Fairly important</w:t>
            </w:r>
          </w:p>
        </w:tc>
        <w:tc>
          <w:tcPr>
            <w:tcW w:w="0" w:type="auto"/>
          </w:tcPr>
          <w:p w14:paraId="51E5565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Important</w:t>
            </w:r>
          </w:p>
        </w:tc>
        <w:tc>
          <w:tcPr>
            <w:tcW w:w="0" w:type="auto"/>
          </w:tcPr>
          <w:p w14:paraId="662D645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Very important</w:t>
            </w:r>
          </w:p>
        </w:tc>
      </w:tr>
      <w:tr w:rsidR="00CD6352" w:rsidRPr="00320A96" w14:paraId="58E9F34B" w14:textId="77777777" w:rsidTr="00CD6352">
        <w:tc>
          <w:tcPr>
            <w:tcW w:w="0" w:type="auto"/>
          </w:tcPr>
          <w:p w14:paraId="0E8FF55A" w14:textId="77777777" w:rsidR="00CD6352" w:rsidRPr="00320A96" w:rsidRDefault="00CD6352" w:rsidP="00CD6352">
            <w:pPr>
              <w:jc w:val="both"/>
              <w:rPr>
                <w:rFonts w:ascii="Arial" w:hAnsi="Arial" w:cs="Arial"/>
                <w:sz w:val="16"/>
                <w:szCs w:val="16"/>
              </w:rPr>
            </w:pPr>
          </w:p>
        </w:tc>
        <w:tc>
          <w:tcPr>
            <w:tcW w:w="0" w:type="auto"/>
            <w:gridSpan w:val="5"/>
          </w:tcPr>
          <w:p w14:paraId="43C4331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Percentage %</w:t>
            </w:r>
          </w:p>
        </w:tc>
      </w:tr>
      <w:tr w:rsidR="00CD6352" w:rsidRPr="00320A96" w14:paraId="7BA627D6" w14:textId="77777777" w:rsidTr="00CD6352">
        <w:tc>
          <w:tcPr>
            <w:tcW w:w="0" w:type="auto"/>
          </w:tcPr>
          <w:p w14:paraId="22276595"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Classroom instructor led training for short period(offered by consultants)</w:t>
            </w:r>
          </w:p>
        </w:tc>
        <w:tc>
          <w:tcPr>
            <w:tcW w:w="0" w:type="auto"/>
          </w:tcPr>
          <w:p w14:paraId="5C70B6BB"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w:t>
            </w:r>
          </w:p>
        </w:tc>
        <w:tc>
          <w:tcPr>
            <w:tcW w:w="0" w:type="auto"/>
          </w:tcPr>
          <w:p w14:paraId="6B1F073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8.8</w:t>
            </w:r>
          </w:p>
        </w:tc>
        <w:tc>
          <w:tcPr>
            <w:tcW w:w="0" w:type="auto"/>
          </w:tcPr>
          <w:p w14:paraId="2064964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20.6</w:t>
            </w:r>
          </w:p>
        </w:tc>
        <w:tc>
          <w:tcPr>
            <w:tcW w:w="0" w:type="auto"/>
          </w:tcPr>
          <w:p w14:paraId="4DE7198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41.2</w:t>
            </w:r>
          </w:p>
        </w:tc>
        <w:tc>
          <w:tcPr>
            <w:tcW w:w="0" w:type="auto"/>
          </w:tcPr>
          <w:p w14:paraId="35CC5A04"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26.5</w:t>
            </w:r>
          </w:p>
        </w:tc>
      </w:tr>
      <w:tr w:rsidR="00CD6352" w:rsidRPr="00320A96" w14:paraId="64A858F1" w14:textId="77777777" w:rsidTr="00CD6352">
        <w:tc>
          <w:tcPr>
            <w:tcW w:w="0" w:type="auto"/>
          </w:tcPr>
          <w:p w14:paraId="30533B8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Company-specific courses targeted at securing financing skills &amp; knowledge</w:t>
            </w:r>
          </w:p>
        </w:tc>
        <w:tc>
          <w:tcPr>
            <w:tcW w:w="0" w:type="auto"/>
          </w:tcPr>
          <w:p w14:paraId="041F440C"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Nil</w:t>
            </w:r>
          </w:p>
        </w:tc>
        <w:tc>
          <w:tcPr>
            <w:tcW w:w="0" w:type="auto"/>
          </w:tcPr>
          <w:p w14:paraId="3E8234F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5.37</w:t>
            </w:r>
          </w:p>
        </w:tc>
        <w:tc>
          <w:tcPr>
            <w:tcW w:w="0" w:type="auto"/>
          </w:tcPr>
          <w:p w14:paraId="2436887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28.6</w:t>
            </w:r>
          </w:p>
        </w:tc>
        <w:tc>
          <w:tcPr>
            <w:tcW w:w="0" w:type="auto"/>
          </w:tcPr>
          <w:p w14:paraId="5B1E724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25.7</w:t>
            </w:r>
          </w:p>
        </w:tc>
        <w:tc>
          <w:tcPr>
            <w:tcW w:w="0" w:type="auto"/>
          </w:tcPr>
          <w:p w14:paraId="3A1221D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40.0</w:t>
            </w:r>
          </w:p>
        </w:tc>
      </w:tr>
      <w:tr w:rsidR="00CD6352" w:rsidRPr="00320A96" w14:paraId="4EB236E9" w14:textId="77777777" w:rsidTr="00CD6352">
        <w:tc>
          <w:tcPr>
            <w:tcW w:w="0" w:type="auto"/>
          </w:tcPr>
          <w:p w14:paraId="296905B8" w14:textId="54C1718A" w:rsidR="00CD6352" w:rsidRPr="00320A96" w:rsidRDefault="00CD6352" w:rsidP="00CD6352">
            <w:pPr>
              <w:jc w:val="both"/>
              <w:rPr>
                <w:rFonts w:ascii="Arial" w:hAnsi="Arial" w:cs="Arial"/>
                <w:sz w:val="16"/>
                <w:szCs w:val="16"/>
              </w:rPr>
            </w:pPr>
            <w:r w:rsidRPr="00320A96">
              <w:rPr>
                <w:rFonts w:ascii="Arial" w:hAnsi="Arial" w:cs="Arial"/>
                <w:sz w:val="16"/>
                <w:szCs w:val="16"/>
              </w:rPr>
              <w:t>Computer</w:t>
            </w:r>
            <w:r w:rsidR="00132DFB">
              <w:rPr>
                <w:rFonts w:ascii="Arial" w:hAnsi="Arial" w:cs="Arial"/>
                <w:sz w:val="16"/>
                <w:szCs w:val="16"/>
              </w:rPr>
              <w:t>-</w:t>
            </w:r>
            <w:r w:rsidRPr="00320A96">
              <w:rPr>
                <w:rFonts w:ascii="Arial" w:hAnsi="Arial" w:cs="Arial"/>
                <w:sz w:val="16"/>
                <w:szCs w:val="16"/>
              </w:rPr>
              <w:t>based training</w:t>
            </w:r>
          </w:p>
        </w:tc>
        <w:tc>
          <w:tcPr>
            <w:tcW w:w="0" w:type="auto"/>
          </w:tcPr>
          <w:p w14:paraId="3D0D3A7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Nil</w:t>
            </w:r>
          </w:p>
        </w:tc>
        <w:tc>
          <w:tcPr>
            <w:tcW w:w="0" w:type="auto"/>
          </w:tcPr>
          <w:p w14:paraId="3F8899C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8.8</w:t>
            </w:r>
          </w:p>
        </w:tc>
        <w:tc>
          <w:tcPr>
            <w:tcW w:w="0" w:type="auto"/>
          </w:tcPr>
          <w:p w14:paraId="768164F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14.7</w:t>
            </w:r>
          </w:p>
        </w:tc>
        <w:tc>
          <w:tcPr>
            <w:tcW w:w="0" w:type="auto"/>
          </w:tcPr>
          <w:p w14:paraId="5D0BAF4C"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41.2</w:t>
            </w:r>
          </w:p>
        </w:tc>
        <w:tc>
          <w:tcPr>
            <w:tcW w:w="0" w:type="auto"/>
          </w:tcPr>
          <w:p w14:paraId="2450E6C7"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35.3</w:t>
            </w:r>
          </w:p>
        </w:tc>
      </w:tr>
      <w:tr w:rsidR="00CD6352" w:rsidRPr="00320A96" w14:paraId="35E04460" w14:textId="77777777" w:rsidTr="00CD6352">
        <w:tc>
          <w:tcPr>
            <w:tcW w:w="0" w:type="auto"/>
          </w:tcPr>
          <w:p w14:paraId="25F1619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Conferences &amp; seminar</w:t>
            </w:r>
          </w:p>
        </w:tc>
        <w:tc>
          <w:tcPr>
            <w:tcW w:w="0" w:type="auto"/>
          </w:tcPr>
          <w:p w14:paraId="38398245"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w:t>
            </w:r>
          </w:p>
        </w:tc>
        <w:tc>
          <w:tcPr>
            <w:tcW w:w="0" w:type="auto"/>
          </w:tcPr>
          <w:p w14:paraId="1147758C"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11.4</w:t>
            </w:r>
          </w:p>
        </w:tc>
        <w:tc>
          <w:tcPr>
            <w:tcW w:w="0" w:type="auto"/>
          </w:tcPr>
          <w:p w14:paraId="7D75459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22.9</w:t>
            </w:r>
          </w:p>
        </w:tc>
        <w:tc>
          <w:tcPr>
            <w:tcW w:w="0" w:type="auto"/>
          </w:tcPr>
          <w:p w14:paraId="16FB818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22.9</w:t>
            </w:r>
          </w:p>
        </w:tc>
        <w:tc>
          <w:tcPr>
            <w:tcW w:w="0" w:type="auto"/>
          </w:tcPr>
          <w:p w14:paraId="49A40F0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40.0</w:t>
            </w:r>
          </w:p>
        </w:tc>
      </w:tr>
      <w:tr w:rsidR="00CD6352" w:rsidRPr="00320A96" w14:paraId="35A17FBC" w14:textId="77777777" w:rsidTr="00CD6352">
        <w:tc>
          <w:tcPr>
            <w:tcW w:w="0" w:type="auto"/>
          </w:tcPr>
          <w:p w14:paraId="77ABD46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Continuing professional development</w:t>
            </w:r>
          </w:p>
        </w:tc>
        <w:tc>
          <w:tcPr>
            <w:tcW w:w="0" w:type="auto"/>
          </w:tcPr>
          <w:p w14:paraId="15FFDF0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Nil</w:t>
            </w:r>
          </w:p>
        </w:tc>
        <w:tc>
          <w:tcPr>
            <w:tcW w:w="0" w:type="auto"/>
          </w:tcPr>
          <w:p w14:paraId="141C4CE4"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5.7</w:t>
            </w:r>
          </w:p>
        </w:tc>
        <w:tc>
          <w:tcPr>
            <w:tcW w:w="0" w:type="auto"/>
          </w:tcPr>
          <w:p w14:paraId="1CBE7A88"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8.6</w:t>
            </w:r>
          </w:p>
        </w:tc>
        <w:tc>
          <w:tcPr>
            <w:tcW w:w="0" w:type="auto"/>
          </w:tcPr>
          <w:p w14:paraId="526F739E"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31.4</w:t>
            </w:r>
          </w:p>
        </w:tc>
        <w:tc>
          <w:tcPr>
            <w:tcW w:w="0" w:type="auto"/>
          </w:tcPr>
          <w:p w14:paraId="18B367C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54.3</w:t>
            </w:r>
          </w:p>
        </w:tc>
      </w:tr>
      <w:tr w:rsidR="00CD6352" w:rsidRPr="00320A96" w14:paraId="4AC589EC" w14:textId="77777777" w:rsidTr="00CD6352">
        <w:tc>
          <w:tcPr>
            <w:tcW w:w="0" w:type="auto"/>
          </w:tcPr>
          <w:p w14:paraId="0FAE107D"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Executive MBA(with classes on part time basis)</w:t>
            </w:r>
          </w:p>
        </w:tc>
        <w:tc>
          <w:tcPr>
            <w:tcW w:w="0" w:type="auto"/>
          </w:tcPr>
          <w:p w14:paraId="23BB3FF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5.7</w:t>
            </w:r>
          </w:p>
        </w:tc>
        <w:tc>
          <w:tcPr>
            <w:tcW w:w="0" w:type="auto"/>
          </w:tcPr>
          <w:p w14:paraId="61909A5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11.4</w:t>
            </w:r>
          </w:p>
        </w:tc>
        <w:tc>
          <w:tcPr>
            <w:tcW w:w="0" w:type="auto"/>
          </w:tcPr>
          <w:p w14:paraId="037D4E94"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25.7</w:t>
            </w:r>
          </w:p>
        </w:tc>
        <w:tc>
          <w:tcPr>
            <w:tcW w:w="0" w:type="auto"/>
          </w:tcPr>
          <w:p w14:paraId="793C30D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25.7</w:t>
            </w:r>
          </w:p>
        </w:tc>
        <w:tc>
          <w:tcPr>
            <w:tcW w:w="0" w:type="auto"/>
          </w:tcPr>
          <w:p w14:paraId="152BC231"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31.4</w:t>
            </w:r>
          </w:p>
        </w:tc>
      </w:tr>
      <w:tr w:rsidR="00CD6352" w:rsidRPr="00320A96" w14:paraId="2090E677" w14:textId="77777777" w:rsidTr="00CD6352">
        <w:tc>
          <w:tcPr>
            <w:tcW w:w="0" w:type="auto"/>
          </w:tcPr>
          <w:p w14:paraId="1748FE7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External training</w:t>
            </w:r>
          </w:p>
        </w:tc>
        <w:tc>
          <w:tcPr>
            <w:tcW w:w="0" w:type="auto"/>
          </w:tcPr>
          <w:p w14:paraId="665641D7"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w:t>
            </w:r>
          </w:p>
        </w:tc>
        <w:tc>
          <w:tcPr>
            <w:tcW w:w="0" w:type="auto"/>
          </w:tcPr>
          <w:p w14:paraId="1628BA9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5.7</w:t>
            </w:r>
          </w:p>
        </w:tc>
        <w:tc>
          <w:tcPr>
            <w:tcW w:w="0" w:type="auto"/>
          </w:tcPr>
          <w:p w14:paraId="3389D78B"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25.7</w:t>
            </w:r>
          </w:p>
        </w:tc>
        <w:tc>
          <w:tcPr>
            <w:tcW w:w="0" w:type="auto"/>
          </w:tcPr>
          <w:p w14:paraId="4A1EAFE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40.0</w:t>
            </w:r>
          </w:p>
        </w:tc>
        <w:tc>
          <w:tcPr>
            <w:tcW w:w="0" w:type="auto"/>
          </w:tcPr>
          <w:p w14:paraId="165045C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25.7</w:t>
            </w:r>
          </w:p>
        </w:tc>
      </w:tr>
      <w:tr w:rsidR="00CD6352" w:rsidRPr="00320A96" w14:paraId="77D3EE80" w14:textId="77777777" w:rsidTr="00CD6352">
        <w:tc>
          <w:tcPr>
            <w:tcW w:w="0" w:type="auto"/>
          </w:tcPr>
          <w:p w14:paraId="71E6258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 xml:space="preserve">Learning by holding meetings </w:t>
            </w:r>
          </w:p>
        </w:tc>
        <w:tc>
          <w:tcPr>
            <w:tcW w:w="0" w:type="auto"/>
          </w:tcPr>
          <w:p w14:paraId="253B15D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2.8</w:t>
            </w:r>
          </w:p>
        </w:tc>
        <w:tc>
          <w:tcPr>
            <w:tcW w:w="0" w:type="auto"/>
          </w:tcPr>
          <w:p w14:paraId="66C0E85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Nil</w:t>
            </w:r>
          </w:p>
        </w:tc>
        <w:tc>
          <w:tcPr>
            <w:tcW w:w="0" w:type="auto"/>
          </w:tcPr>
          <w:p w14:paraId="119E1D49"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22.2</w:t>
            </w:r>
          </w:p>
        </w:tc>
        <w:tc>
          <w:tcPr>
            <w:tcW w:w="0" w:type="auto"/>
          </w:tcPr>
          <w:p w14:paraId="79D63E86"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41.7</w:t>
            </w:r>
          </w:p>
        </w:tc>
        <w:tc>
          <w:tcPr>
            <w:tcW w:w="0" w:type="auto"/>
          </w:tcPr>
          <w:p w14:paraId="2B29A60C"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33.3</w:t>
            </w:r>
          </w:p>
        </w:tc>
      </w:tr>
      <w:tr w:rsidR="00CD6352" w:rsidRPr="00320A96" w14:paraId="119A8C24" w14:textId="77777777" w:rsidTr="00CD6352">
        <w:tc>
          <w:tcPr>
            <w:tcW w:w="0" w:type="auto"/>
          </w:tcPr>
          <w:p w14:paraId="1871A408"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Online and tutorial training</w:t>
            </w:r>
          </w:p>
        </w:tc>
        <w:tc>
          <w:tcPr>
            <w:tcW w:w="0" w:type="auto"/>
          </w:tcPr>
          <w:p w14:paraId="5AAE806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w:t>
            </w:r>
          </w:p>
        </w:tc>
        <w:tc>
          <w:tcPr>
            <w:tcW w:w="0" w:type="auto"/>
          </w:tcPr>
          <w:p w14:paraId="737FC8ED"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17.1</w:t>
            </w:r>
          </w:p>
        </w:tc>
        <w:tc>
          <w:tcPr>
            <w:tcW w:w="0" w:type="auto"/>
          </w:tcPr>
          <w:p w14:paraId="084C151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25.7</w:t>
            </w:r>
          </w:p>
        </w:tc>
        <w:tc>
          <w:tcPr>
            <w:tcW w:w="0" w:type="auto"/>
          </w:tcPr>
          <w:p w14:paraId="69D13FC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20.0</w:t>
            </w:r>
          </w:p>
        </w:tc>
        <w:tc>
          <w:tcPr>
            <w:tcW w:w="0" w:type="auto"/>
          </w:tcPr>
          <w:p w14:paraId="1B89D419"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34.3</w:t>
            </w:r>
          </w:p>
        </w:tc>
      </w:tr>
      <w:tr w:rsidR="00CD6352" w:rsidRPr="00320A96" w14:paraId="73511C85" w14:textId="77777777" w:rsidTr="00CD6352">
        <w:tc>
          <w:tcPr>
            <w:tcW w:w="0" w:type="auto"/>
          </w:tcPr>
          <w:p w14:paraId="70FEF85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University residential (full time program for some weeks )</w:t>
            </w:r>
          </w:p>
        </w:tc>
        <w:tc>
          <w:tcPr>
            <w:tcW w:w="0" w:type="auto"/>
          </w:tcPr>
          <w:p w14:paraId="008B56AB"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7.3</w:t>
            </w:r>
          </w:p>
        </w:tc>
        <w:tc>
          <w:tcPr>
            <w:tcW w:w="0" w:type="auto"/>
          </w:tcPr>
          <w:p w14:paraId="7C887EDD"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12.3</w:t>
            </w:r>
          </w:p>
        </w:tc>
        <w:tc>
          <w:tcPr>
            <w:tcW w:w="0" w:type="auto"/>
          </w:tcPr>
          <w:p w14:paraId="1B77CC97"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29.3</w:t>
            </w:r>
          </w:p>
        </w:tc>
        <w:tc>
          <w:tcPr>
            <w:tcW w:w="0" w:type="auto"/>
          </w:tcPr>
          <w:p w14:paraId="5DF075E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29.3</w:t>
            </w:r>
          </w:p>
        </w:tc>
        <w:tc>
          <w:tcPr>
            <w:tcW w:w="0" w:type="auto"/>
          </w:tcPr>
          <w:p w14:paraId="6CE6F4F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22.0</w:t>
            </w:r>
          </w:p>
        </w:tc>
      </w:tr>
      <w:tr w:rsidR="00CD6352" w:rsidRPr="00320A96" w14:paraId="70A2C46B" w14:textId="77777777" w:rsidTr="00CD6352">
        <w:tc>
          <w:tcPr>
            <w:tcW w:w="0" w:type="auto"/>
          </w:tcPr>
          <w:p w14:paraId="09C00458"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Usage of formal qualification</w:t>
            </w:r>
          </w:p>
        </w:tc>
        <w:tc>
          <w:tcPr>
            <w:tcW w:w="0" w:type="auto"/>
          </w:tcPr>
          <w:p w14:paraId="26735858"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5.6</w:t>
            </w:r>
          </w:p>
        </w:tc>
        <w:tc>
          <w:tcPr>
            <w:tcW w:w="0" w:type="auto"/>
          </w:tcPr>
          <w:p w14:paraId="32110089"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8.3</w:t>
            </w:r>
          </w:p>
        </w:tc>
        <w:tc>
          <w:tcPr>
            <w:tcW w:w="0" w:type="auto"/>
          </w:tcPr>
          <w:p w14:paraId="514E561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22.2</w:t>
            </w:r>
          </w:p>
        </w:tc>
        <w:tc>
          <w:tcPr>
            <w:tcW w:w="0" w:type="auto"/>
          </w:tcPr>
          <w:p w14:paraId="4548C34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22.2</w:t>
            </w:r>
          </w:p>
        </w:tc>
        <w:tc>
          <w:tcPr>
            <w:tcW w:w="0" w:type="auto"/>
          </w:tcPr>
          <w:p w14:paraId="1377A933"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41.7</w:t>
            </w:r>
          </w:p>
        </w:tc>
      </w:tr>
      <w:tr w:rsidR="00CD6352" w:rsidRPr="00320A96" w14:paraId="48931FC8" w14:textId="77777777" w:rsidTr="00CD6352">
        <w:tc>
          <w:tcPr>
            <w:tcW w:w="0" w:type="auto"/>
          </w:tcPr>
          <w:p w14:paraId="2F56343C"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Usage of internal program and instructors</w:t>
            </w:r>
          </w:p>
        </w:tc>
        <w:tc>
          <w:tcPr>
            <w:tcW w:w="0" w:type="auto"/>
          </w:tcPr>
          <w:p w14:paraId="191EA2EA"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8.6</w:t>
            </w:r>
          </w:p>
        </w:tc>
        <w:tc>
          <w:tcPr>
            <w:tcW w:w="0" w:type="auto"/>
          </w:tcPr>
          <w:p w14:paraId="475C9890"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2.9</w:t>
            </w:r>
          </w:p>
        </w:tc>
        <w:tc>
          <w:tcPr>
            <w:tcW w:w="0" w:type="auto"/>
          </w:tcPr>
          <w:p w14:paraId="4655B6EF"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31.4</w:t>
            </w:r>
          </w:p>
        </w:tc>
        <w:tc>
          <w:tcPr>
            <w:tcW w:w="0" w:type="auto"/>
          </w:tcPr>
          <w:p w14:paraId="6157DADE"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20.0</w:t>
            </w:r>
          </w:p>
        </w:tc>
        <w:tc>
          <w:tcPr>
            <w:tcW w:w="0" w:type="auto"/>
          </w:tcPr>
          <w:p w14:paraId="02747402" w14:textId="77777777" w:rsidR="00CD6352" w:rsidRPr="00320A96" w:rsidRDefault="00CD6352" w:rsidP="00CD6352">
            <w:pPr>
              <w:jc w:val="both"/>
              <w:rPr>
                <w:rFonts w:ascii="Arial" w:hAnsi="Arial" w:cs="Arial"/>
                <w:sz w:val="16"/>
                <w:szCs w:val="16"/>
              </w:rPr>
            </w:pPr>
            <w:r w:rsidRPr="00320A96">
              <w:rPr>
                <w:rFonts w:ascii="Arial" w:hAnsi="Arial" w:cs="Arial"/>
                <w:sz w:val="16"/>
                <w:szCs w:val="16"/>
              </w:rPr>
              <w:t>37.1</w:t>
            </w:r>
          </w:p>
        </w:tc>
      </w:tr>
    </w:tbl>
    <w:p w14:paraId="3F20DE9C" w14:textId="6B08E634" w:rsidR="000E40FF" w:rsidRDefault="000E40FF" w:rsidP="000E40FF"/>
    <w:p w14:paraId="162EF5F0" w14:textId="51C7D494" w:rsidR="000E40FF" w:rsidRPr="00EA7665" w:rsidRDefault="000E40FF" w:rsidP="000E40FF">
      <w:pPr>
        <w:spacing w:line="360" w:lineRule="auto"/>
        <w:jc w:val="both"/>
        <w:rPr>
          <w:rFonts w:ascii="Arial" w:hAnsi="Arial" w:cs="Arial"/>
        </w:rPr>
      </w:pPr>
      <w:r>
        <w:rPr>
          <w:rFonts w:ascii="Arial" w:hAnsi="Arial" w:cs="Arial"/>
        </w:rPr>
        <w:t xml:space="preserve">Furthermore, table 9.3.8 </w:t>
      </w:r>
      <w:r w:rsidRPr="00EA7665">
        <w:rPr>
          <w:rFonts w:ascii="Arial" w:hAnsi="Arial" w:cs="Arial"/>
        </w:rPr>
        <w:t>shows a mean score range of 4.27 to 3.43 and this indicates that all twelve approaches are perceived to be important for future jobs (next 5 years). Continuing professional development, learning by holding meetings, computer-based training, company</w:t>
      </w:r>
      <w:r w:rsidR="005C2663">
        <w:rPr>
          <w:rFonts w:ascii="Arial" w:hAnsi="Arial" w:cs="Arial"/>
        </w:rPr>
        <w:t>-</w:t>
      </w:r>
      <w:r w:rsidRPr="00EA7665">
        <w:rPr>
          <w:rFonts w:ascii="Arial" w:hAnsi="Arial" w:cs="Arial"/>
        </w:rPr>
        <w:t>specific courses targeted at finance skills and knowledge are ranked top.</w:t>
      </w:r>
    </w:p>
    <w:p w14:paraId="337FFBDB" w14:textId="4B121E9E" w:rsidR="00460F21" w:rsidRPr="00447321" w:rsidRDefault="00460F21" w:rsidP="00460F21">
      <w:pPr>
        <w:pStyle w:val="Caption"/>
        <w:keepNext/>
        <w:rPr>
          <w:rFonts w:ascii="Arial" w:hAnsi="Arial" w:cs="Arial"/>
          <w:sz w:val="16"/>
          <w:szCs w:val="16"/>
        </w:rPr>
      </w:pPr>
      <w:bookmarkStart w:id="1405" w:name="_Toc78984036"/>
      <w:r w:rsidRPr="00447321">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8</w:t>
      </w:r>
      <w:r w:rsidR="008F25B1">
        <w:rPr>
          <w:rFonts w:ascii="Arial" w:hAnsi="Arial" w:cs="Arial"/>
          <w:sz w:val="16"/>
          <w:szCs w:val="16"/>
        </w:rPr>
        <w:fldChar w:fldCharType="end"/>
      </w:r>
      <w:r w:rsidRPr="00447321">
        <w:rPr>
          <w:rFonts w:ascii="Arial" w:hAnsi="Arial" w:cs="Arial"/>
          <w:sz w:val="16"/>
          <w:szCs w:val="16"/>
        </w:rPr>
        <w:t xml:space="preserve">: Mean scores for perceived importance of approaches for training and education   for securing finance for real estate project development for the </w:t>
      </w:r>
      <w:r w:rsidR="00447321" w:rsidRPr="00447321">
        <w:rPr>
          <w:rFonts w:ascii="Arial" w:hAnsi="Arial" w:cs="Arial"/>
          <w:sz w:val="16"/>
          <w:szCs w:val="16"/>
        </w:rPr>
        <w:t>future (</w:t>
      </w:r>
      <w:r w:rsidRPr="00447321">
        <w:rPr>
          <w:rFonts w:ascii="Arial" w:hAnsi="Arial" w:cs="Arial"/>
          <w:sz w:val="16"/>
          <w:szCs w:val="16"/>
        </w:rPr>
        <w:t xml:space="preserve"> next 5years) at the aggregate level</w:t>
      </w:r>
      <w:bookmarkEnd w:id="1405"/>
    </w:p>
    <w:tbl>
      <w:tblPr>
        <w:tblW w:w="7670" w:type="dxa"/>
        <w:tblLook w:val="04A0" w:firstRow="1" w:lastRow="0" w:firstColumn="1" w:lastColumn="0" w:noHBand="0" w:noVBand="1"/>
      </w:tblPr>
      <w:tblGrid>
        <w:gridCol w:w="5807"/>
        <w:gridCol w:w="1154"/>
        <w:gridCol w:w="709"/>
      </w:tblGrid>
      <w:tr w:rsidR="00CD6352" w:rsidRPr="00460F21" w14:paraId="23B9CE7F" w14:textId="77777777" w:rsidTr="00CD6352">
        <w:trPr>
          <w:trHeight w:val="450"/>
        </w:trPr>
        <w:tc>
          <w:tcPr>
            <w:tcW w:w="580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0D8CF3"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Approaches to training &amp; education</w:t>
            </w:r>
          </w:p>
        </w:tc>
        <w:tc>
          <w:tcPr>
            <w:tcW w:w="115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BE522D0"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Perceived importance for future job</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0756BEA"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Rank</w:t>
            </w:r>
          </w:p>
        </w:tc>
      </w:tr>
      <w:tr w:rsidR="00CD6352" w:rsidRPr="00460F21" w14:paraId="25CC90BD" w14:textId="77777777" w:rsidTr="00CD6352">
        <w:trPr>
          <w:trHeight w:val="450"/>
        </w:trPr>
        <w:tc>
          <w:tcPr>
            <w:tcW w:w="5807" w:type="dxa"/>
            <w:vMerge/>
            <w:tcBorders>
              <w:top w:val="single" w:sz="4" w:space="0" w:color="auto"/>
              <w:left w:val="single" w:sz="4" w:space="0" w:color="auto"/>
              <w:bottom w:val="single" w:sz="4" w:space="0" w:color="auto"/>
              <w:right w:val="single" w:sz="4" w:space="0" w:color="auto"/>
            </w:tcBorders>
            <w:hideMark/>
          </w:tcPr>
          <w:p w14:paraId="2A33937D" w14:textId="77777777" w:rsidR="00CD6352" w:rsidRPr="00460F21" w:rsidRDefault="00CD6352" w:rsidP="00CD6352">
            <w:pPr>
              <w:spacing w:after="0" w:line="240" w:lineRule="auto"/>
              <w:rPr>
                <w:rFonts w:ascii="Arial" w:eastAsia="Times New Roman" w:hAnsi="Arial" w:cs="Arial"/>
                <w:color w:val="000000"/>
                <w:sz w:val="16"/>
                <w:szCs w:val="16"/>
                <w:lang w:eastAsia="en-GB"/>
              </w:rPr>
            </w:pPr>
          </w:p>
        </w:tc>
        <w:tc>
          <w:tcPr>
            <w:tcW w:w="1154" w:type="dxa"/>
            <w:vMerge/>
            <w:tcBorders>
              <w:top w:val="single" w:sz="4" w:space="0" w:color="auto"/>
              <w:left w:val="single" w:sz="4" w:space="0" w:color="auto"/>
              <w:bottom w:val="single" w:sz="4" w:space="0" w:color="000000"/>
              <w:right w:val="single" w:sz="4" w:space="0" w:color="auto"/>
            </w:tcBorders>
            <w:hideMark/>
          </w:tcPr>
          <w:p w14:paraId="17ADE27A" w14:textId="77777777" w:rsidR="00CD6352" w:rsidRPr="00460F21" w:rsidRDefault="00CD6352" w:rsidP="00CD6352">
            <w:pPr>
              <w:spacing w:after="0" w:line="240" w:lineRule="auto"/>
              <w:rPr>
                <w:rFonts w:ascii="Arial" w:eastAsia="Times New Roman" w:hAnsi="Arial" w:cs="Arial"/>
                <w:color w:val="000000"/>
                <w:sz w:val="16"/>
                <w:szCs w:val="16"/>
                <w:lang w:eastAsia="en-GB"/>
              </w:rPr>
            </w:pPr>
          </w:p>
        </w:tc>
        <w:tc>
          <w:tcPr>
            <w:tcW w:w="709" w:type="dxa"/>
            <w:vMerge/>
            <w:tcBorders>
              <w:top w:val="single" w:sz="4" w:space="0" w:color="auto"/>
              <w:left w:val="single" w:sz="4" w:space="0" w:color="auto"/>
              <w:bottom w:val="single" w:sz="4" w:space="0" w:color="000000"/>
              <w:right w:val="single" w:sz="4" w:space="0" w:color="auto"/>
            </w:tcBorders>
            <w:hideMark/>
          </w:tcPr>
          <w:p w14:paraId="04D6216A" w14:textId="77777777" w:rsidR="00CD6352" w:rsidRPr="00460F21" w:rsidRDefault="00CD6352" w:rsidP="00CD6352">
            <w:pPr>
              <w:spacing w:after="0" w:line="240" w:lineRule="auto"/>
              <w:rPr>
                <w:rFonts w:ascii="Arial" w:eastAsia="Times New Roman" w:hAnsi="Arial" w:cs="Arial"/>
                <w:color w:val="000000"/>
                <w:sz w:val="16"/>
                <w:szCs w:val="16"/>
                <w:lang w:eastAsia="en-GB"/>
              </w:rPr>
            </w:pPr>
          </w:p>
        </w:tc>
      </w:tr>
      <w:tr w:rsidR="00CD6352" w:rsidRPr="00460F21" w14:paraId="0222755E" w14:textId="77777777" w:rsidTr="00CD6352">
        <w:trPr>
          <w:trHeight w:val="219"/>
        </w:trPr>
        <w:tc>
          <w:tcPr>
            <w:tcW w:w="5807" w:type="dxa"/>
            <w:tcBorders>
              <w:top w:val="nil"/>
              <w:left w:val="single" w:sz="4" w:space="0" w:color="auto"/>
              <w:bottom w:val="single" w:sz="4" w:space="0" w:color="auto"/>
              <w:right w:val="single" w:sz="4" w:space="0" w:color="auto"/>
            </w:tcBorders>
            <w:shd w:val="clear" w:color="auto" w:fill="auto"/>
            <w:hideMark/>
          </w:tcPr>
          <w:p w14:paraId="33D96319"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Continuing professional development</w:t>
            </w:r>
          </w:p>
        </w:tc>
        <w:tc>
          <w:tcPr>
            <w:tcW w:w="1154" w:type="dxa"/>
            <w:tcBorders>
              <w:top w:val="nil"/>
              <w:left w:val="nil"/>
              <w:bottom w:val="single" w:sz="4" w:space="0" w:color="auto"/>
              <w:right w:val="single" w:sz="4" w:space="0" w:color="auto"/>
            </w:tcBorders>
            <w:shd w:val="clear" w:color="auto" w:fill="auto"/>
            <w:noWrap/>
            <w:hideMark/>
          </w:tcPr>
          <w:p w14:paraId="35BB9804"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4.27</w:t>
            </w:r>
          </w:p>
        </w:tc>
        <w:tc>
          <w:tcPr>
            <w:tcW w:w="709" w:type="dxa"/>
            <w:tcBorders>
              <w:top w:val="nil"/>
              <w:left w:val="nil"/>
              <w:bottom w:val="single" w:sz="4" w:space="0" w:color="auto"/>
              <w:right w:val="single" w:sz="4" w:space="0" w:color="auto"/>
            </w:tcBorders>
            <w:shd w:val="clear" w:color="auto" w:fill="auto"/>
            <w:noWrap/>
            <w:hideMark/>
          </w:tcPr>
          <w:p w14:paraId="78C39470"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1</w:t>
            </w:r>
          </w:p>
        </w:tc>
      </w:tr>
      <w:tr w:rsidR="00CD6352" w:rsidRPr="00460F21" w14:paraId="19328F59" w14:textId="77777777" w:rsidTr="00CD6352">
        <w:trPr>
          <w:trHeight w:val="266"/>
        </w:trPr>
        <w:tc>
          <w:tcPr>
            <w:tcW w:w="5807" w:type="dxa"/>
            <w:tcBorders>
              <w:top w:val="nil"/>
              <w:left w:val="single" w:sz="4" w:space="0" w:color="auto"/>
              <w:bottom w:val="single" w:sz="4" w:space="0" w:color="auto"/>
              <w:right w:val="single" w:sz="4" w:space="0" w:color="auto"/>
            </w:tcBorders>
            <w:shd w:val="clear" w:color="auto" w:fill="auto"/>
            <w:hideMark/>
          </w:tcPr>
          <w:p w14:paraId="7EFD412E"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 xml:space="preserve">Learning by holding meetings </w:t>
            </w:r>
          </w:p>
        </w:tc>
        <w:tc>
          <w:tcPr>
            <w:tcW w:w="1154" w:type="dxa"/>
            <w:tcBorders>
              <w:top w:val="nil"/>
              <w:left w:val="nil"/>
              <w:bottom w:val="single" w:sz="4" w:space="0" w:color="auto"/>
              <w:right w:val="single" w:sz="4" w:space="0" w:color="auto"/>
            </w:tcBorders>
            <w:shd w:val="clear" w:color="auto" w:fill="auto"/>
            <w:noWrap/>
            <w:hideMark/>
          </w:tcPr>
          <w:p w14:paraId="54BA7E18"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3.97</w:t>
            </w:r>
          </w:p>
        </w:tc>
        <w:tc>
          <w:tcPr>
            <w:tcW w:w="709" w:type="dxa"/>
            <w:tcBorders>
              <w:top w:val="nil"/>
              <w:left w:val="nil"/>
              <w:bottom w:val="single" w:sz="4" w:space="0" w:color="auto"/>
              <w:right w:val="single" w:sz="4" w:space="0" w:color="auto"/>
            </w:tcBorders>
            <w:shd w:val="clear" w:color="auto" w:fill="auto"/>
            <w:noWrap/>
            <w:hideMark/>
          </w:tcPr>
          <w:p w14:paraId="11843D5B"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2</w:t>
            </w:r>
          </w:p>
        </w:tc>
      </w:tr>
      <w:tr w:rsidR="00CD6352" w:rsidRPr="00460F21" w14:paraId="08100F68" w14:textId="77777777" w:rsidTr="00CD6352">
        <w:trPr>
          <w:trHeight w:val="273"/>
        </w:trPr>
        <w:tc>
          <w:tcPr>
            <w:tcW w:w="5807" w:type="dxa"/>
            <w:tcBorders>
              <w:top w:val="nil"/>
              <w:left w:val="single" w:sz="4" w:space="0" w:color="auto"/>
              <w:bottom w:val="single" w:sz="4" w:space="0" w:color="auto"/>
              <w:right w:val="single" w:sz="4" w:space="0" w:color="auto"/>
            </w:tcBorders>
            <w:shd w:val="clear" w:color="auto" w:fill="auto"/>
            <w:hideMark/>
          </w:tcPr>
          <w:p w14:paraId="43B20127"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Computer-based training</w:t>
            </w:r>
          </w:p>
        </w:tc>
        <w:tc>
          <w:tcPr>
            <w:tcW w:w="1154" w:type="dxa"/>
            <w:tcBorders>
              <w:top w:val="nil"/>
              <w:left w:val="nil"/>
              <w:bottom w:val="single" w:sz="4" w:space="0" w:color="auto"/>
              <w:right w:val="single" w:sz="4" w:space="0" w:color="auto"/>
            </w:tcBorders>
            <w:shd w:val="clear" w:color="auto" w:fill="auto"/>
            <w:noWrap/>
            <w:hideMark/>
          </w:tcPr>
          <w:p w14:paraId="1EE31B5F"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3.92</w:t>
            </w:r>
          </w:p>
        </w:tc>
        <w:tc>
          <w:tcPr>
            <w:tcW w:w="709" w:type="dxa"/>
            <w:tcBorders>
              <w:top w:val="nil"/>
              <w:left w:val="nil"/>
              <w:bottom w:val="single" w:sz="4" w:space="0" w:color="auto"/>
              <w:right w:val="single" w:sz="4" w:space="0" w:color="auto"/>
            </w:tcBorders>
            <w:shd w:val="clear" w:color="auto" w:fill="auto"/>
            <w:noWrap/>
            <w:hideMark/>
          </w:tcPr>
          <w:p w14:paraId="099DDC10"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w:t>
            </w:r>
          </w:p>
        </w:tc>
      </w:tr>
      <w:tr w:rsidR="00CD6352" w:rsidRPr="00460F21" w14:paraId="649AF8ED" w14:textId="77777777" w:rsidTr="00CD6352">
        <w:trPr>
          <w:trHeight w:val="219"/>
        </w:trPr>
        <w:tc>
          <w:tcPr>
            <w:tcW w:w="5807" w:type="dxa"/>
            <w:tcBorders>
              <w:top w:val="nil"/>
              <w:left w:val="single" w:sz="4" w:space="0" w:color="auto"/>
              <w:bottom w:val="single" w:sz="4" w:space="0" w:color="auto"/>
              <w:right w:val="single" w:sz="4" w:space="0" w:color="auto"/>
            </w:tcBorders>
            <w:shd w:val="clear" w:color="auto" w:fill="auto"/>
            <w:hideMark/>
          </w:tcPr>
          <w:p w14:paraId="6B2BC818"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Company-specific courses targeted at securing financing skills &amp; knowledge</w:t>
            </w:r>
          </w:p>
        </w:tc>
        <w:tc>
          <w:tcPr>
            <w:tcW w:w="1154" w:type="dxa"/>
            <w:tcBorders>
              <w:top w:val="nil"/>
              <w:left w:val="nil"/>
              <w:bottom w:val="single" w:sz="4" w:space="0" w:color="auto"/>
              <w:right w:val="single" w:sz="4" w:space="0" w:color="auto"/>
            </w:tcBorders>
            <w:shd w:val="clear" w:color="auto" w:fill="auto"/>
            <w:noWrap/>
            <w:hideMark/>
          </w:tcPr>
          <w:p w14:paraId="09A82D38"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3.92</w:t>
            </w:r>
          </w:p>
        </w:tc>
        <w:tc>
          <w:tcPr>
            <w:tcW w:w="709" w:type="dxa"/>
            <w:tcBorders>
              <w:top w:val="nil"/>
              <w:left w:val="nil"/>
              <w:bottom w:val="single" w:sz="4" w:space="0" w:color="auto"/>
              <w:right w:val="single" w:sz="4" w:space="0" w:color="auto"/>
            </w:tcBorders>
            <w:shd w:val="clear" w:color="auto" w:fill="auto"/>
            <w:noWrap/>
            <w:hideMark/>
          </w:tcPr>
          <w:p w14:paraId="13DB716C"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4</w:t>
            </w:r>
          </w:p>
        </w:tc>
      </w:tr>
      <w:tr w:rsidR="00CD6352" w:rsidRPr="00460F21" w14:paraId="2A4BB6AC" w14:textId="77777777" w:rsidTr="00CD6352">
        <w:trPr>
          <w:trHeight w:val="291"/>
        </w:trPr>
        <w:tc>
          <w:tcPr>
            <w:tcW w:w="5807" w:type="dxa"/>
            <w:tcBorders>
              <w:top w:val="nil"/>
              <w:left w:val="single" w:sz="4" w:space="0" w:color="auto"/>
              <w:bottom w:val="single" w:sz="4" w:space="0" w:color="auto"/>
              <w:right w:val="single" w:sz="4" w:space="0" w:color="auto"/>
            </w:tcBorders>
            <w:shd w:val="clear" w:color="auto" w:fill="auto"/>
            <w:hideMark/>
          </w:tcPr>
          <w:p w14:paraId="284C7AE2"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Conferences &amp; seminar</w:t>
            </w:r>
          </w:p>
        </w:tc>
        <w:tc>
          <w:tcPr>
            <w:tcW w:w="1154" w:type="dxa"/>
            <w:tcBorders>
              <w:top w:val="nil"/>
              <w:left w:val="nil"/>
              <w:bottom w:val="single" w:sz="4" w:space="0" w:color="auto"/>
              <w:right w:val="single" w:sz="4" w:space="0" w:color="auto"/>
            </w:tcBorders>
            <w:shd w:val="clear" w:color="auto" w:fill="auto"/>
            <w:noWrap/>
            <w:hideMark/>
          </w:tcPr>
          <w:p w14:paraId="19130154"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3.78</w:t>
            </w:r>
          </w:p>
        </w:tc>
        <w:tc>
          <w:tcPr>
            <w:tcW w:w="709" w:type="dxa"/>
            <w:tcBorders>
              <w:top w:val="nil"/>
              <w:left w:val="nil"/>
              <w:bottom w:val="single" w:sz="4" w:space="0" w:color="auto"/>
              <w:right w:val="single" w:sz="4" w:space="0" w:color="auto"/>
            </w:tcBorders>
            <w:shd w:val="clear" w:color="auto" w:fill="auto"/>
            <w:noWrap/>
            <w:hideMark/>
          </w:tcPr>
          <w:p w14:paraId="0926A319"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5</w:t>
            </w:r>
          </w:p>
        </w:tc>
      </w:tr>
      <w:tr w:rsidR="00CD6352" w:rsidRPr="00460F21" w14:paraId="02A57F06" w14:textId="77777777" w:rsidTr="00CD6352">
        <w:trPr>
          <w:trHeight w:val="310"/>
        </w:trPr>
        <w:tc>
          <w:tcPr>
            <w:tcW w:w="5807" w:type="dxa"/>
            <w:tcBorders>
              <w:top w:val="nil"/>
              <w:left w:val="single" w:sz="4" w:space="0" w:color="auto"/>
              <w:bottom w:val="single" w:sz="4" w:space="0" w:color="auto"/>
              <w:right w:val="single" w:sz="4" w:space="0" w:color="auto"/>
            </w:tcBorders>
            <w:shd w:val="clear" w:color="auto" w:fill="auto"/>
            <w:hideMark/>
          </w:tcPr>
          <w:p w14:paraId="35ABADFD"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Usage of formal qualification</w:t>
            </w:r>
          </w:p>
        </w:tc>
        <w:tc>
          <w:tcPr>
            <w:tcW w:w="1154" w:type="dxa"/>
            <w:tcBorders>
              <w:top w:val="nil"/>
              <w:left w:val="nil"/>
              <w:bottom w:val="single" w:sz="4" w:space="0" w:color="auto"/>
              <w:right w:val="single" w:sz="4" w:space="0" w:color="auto"/>
            </w:tcBorders>
            <w:shd w:val="clear" w:color="auto" w:fill="auto"/>
            <w:noWrap/>
            <w:hideMark/>
          </w:tcPr>
          <w:p w14:paraId="163EA405"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3.76</w:t>
            </w:r>
          </w:p>
        </w:tc>
        <w:tc>
          <w:tcPr>
            <w:tcW w:w="709" w:type="dxa"/>
            <w:tcBorders>
              <w:top w:val="nil"/>
              <w:left w:val="nil"/>
              <w:bottom w:val="single" w:sz="4" w:space="0" w:color="auto"/>
              <w:right w:val="single" w:sz="4" w:space="0" w:color="auto"/>
            </w:tcBorders>
            <w:shd w:val="clear" w:color="auto" w:fill="auto"/>
            <w:noWrap/>
            <w:hideMark/>
          </w:tcPr>
          <w:p w14:paraId="7C2716E0"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6</w:t>
            </w:r>
          </w:p>
        </w:tc>
      </w:tr>
      <w:tr w:rsidR="00CD6352" w:rsidRPr="00460F21" w14:paraId="53F43EAE" w14:textId="77777777" w:rsidTr="00CD6352">
        <w:trPr>
          <w:trHeight w:val="303"/>
        </w:trPr>
        <w:tc>
          <w:tcPr>
            <w:tcW w:w="5807" w:type="dxa"/>
            <w:tcBorders>
              <w:top w:val="nil"/>
              <w:left w:val="single" w:sz="4" w:space="0" w:color="auto"/>
              <w:bottom w:val="single" w:sz="4" w:space="0" w:color="auto"/>
              <w:right w:val="single" w:sz="4" w:space="0" w:color="auto"/>
            </w:tcBorders>
            <w:shd w:val="clear" w:color="auto" w:fill="auto"/>
            <w:hideMark/>
          </w:tcPr>
          <w:p w14:paraId="2206AF2C"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External training</w:t>
            </w:r>
          </w:p>
        </w:tc>
        <w:tc>
          <w:tcPr>
            <w:tcW w:w="1154" w:type="dxa"/>
            <w:tcBorders>
              <w:top w:val="nil"/>
              <w:left w:val="nil"/>
              <w:bottom w:val="single" w:sz="4" w:space="0" w:color="auto"/>
              <w:right w:val="single" w:sz="4" w:space="0" w:color="auto"/>
            </w:tcBorders>
            <w:shd w:val="clear" w:color="auto" w:fill="auto"/>
            <w:noWrap/>
            <w:hideMark/>
          </w:tcPr>
          <w:p w14:paraId="757AE1FB"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3.73</w:t>
            </w:r>
          </w:p>
        </w:tc>
        <w:tc>
          <w:tcPr>
            <w:tcW w:w="709" w:type="dxa"/>
            <w:tcBorders>
              <w:top w:val="nil"/>
              <w:left w:val="nil"/>
              <w:bottom w:val="single" w:sz="4" w:space="0" w:color="auto"/>
              <w:right w:val="single" w:sz="4" w:space="0" w:color="auto"/>
            </w:tcBorders>
            <w:shd w:val="clear" w:color="auto" w:fill="auto"/>
            <w:noWrap/>
            <w:hideMark/>
          </w:tcPr>
          <w:p w14:paraId="063C5778"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7</w:t>
            </w:r>
          </w:p>
        </w:tc>
      </w:tr>
      <w:tr w:rsidR="00CD6352" w:rsidRPr="00460F21" w14:paraId="0052254F" w14:textId="77777777" w:rsidTr="00CD6352">
        <w:trPr>
          <w:trHeight w:val="267"/>
        </w:trPr>
        <w:tc>
          <w:tcPr>
            <w:tcW w:w="5807" w:type="dxa"/>
            <w:tcBorders>
              <w:top w:val="nil"/>
              <w:left w:val="single" w:sz="4" w:space="0" w:color="auto"/>
              <w:bottom w:val="single" w:sz="4" w:space="0" w:color="auto"/>
              <w:right w:val="single" w:sz="4" w:space="0" w:color="auto"/>
            </w:tcBorders>
            <w:shd w:val="clear" w:color="auto" w:fill="auto"/>
            <w:hideMark/>
          </w:tcPr>
          <w:p w14:paraId="5C1579DE" w14:textId="3BE453CC"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 xml:space="preserve">Classroom instructor-led training for a short </w:t>
            </w:r>
            <w:r w:rsidR="00802ACC" w:rsidRPr="00460F21">
              <w:rPr>
                <w:rFonts w:ascii="Arial" w:eastAsia="Times New Roman" w:hAnsi="Arial" w:cs="Arial"/>
                <w:color w:val="000000"/>
                <w:sz w:val="16"/>
                <w:szCs w:val="16"/>
                <w:lang w:eastAsia="en-GB"/>
              </w:rPr>
              <w:t>period (</w:t>
            </w:r>
            <w:r w:rsidRPr="00460F21">
              <w:rPr>
                <w:rFonts w:ascii="Arial" w:eastAsia="Times New Roman" w:hAnsi="Arial" w:cs="Arial"/>
                <w:color w:val="000000"/>
                <w:sz w:val="16"/>
                <w:szCs w:val="16"/>
                <w:lang w:eastAsia="en-GB"/>
              </w:rPr>
              <w:t>offered by consultants)</w:t>
            </w:r>
          </w:p>
        </w:tc>
        <w:tc>
          <w:tcPr>
            <w:tcW w:w="1154" w:type="dxa"/>
            <w:tcBorders>
              <w:top w:val="nil"/>
              <w:left w:val="nil"/>
              <w:bottom w:val="single" w:sz="4" w:space="0" w:color="auto"/>
              <w:right w:val="single" w:sz="4" w:space="0" w:color="auto"/>
            </w:tcBorders>
            <w:shd w:val="clear" w:color="auto" w:fill="auto"/>
            <w:noWrap/>
            <w:hideMark/>
          </w:tcPr>
          <w:p w14:paraId="3EF11FA0"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3.69</w:t>
            </w:r>
          </w:p>
        </w:tc>
        <w:tc>
          <w:tcPr>
            <w:tcW w:w="709" w:type="dxa"/>
            <w:tcBorders>
              <w:top w:val="nil"/>
              <w:left w:val="nil"/>
              <w:bottom w:val="single" w:sz="4" w:space="0" w:color="auto"/>
              <w:right w:val="single" w:sz="4" w:space="0" w:color="auto"/>
            </w:tcBorders>
            <w:shd w:val="clear" w:color="auto" w:fill="auto"/>
            <w:noWrap/>
            <w:hideMark/>
          </w:tcPr>
          <w:p w14:paraId="43571F22"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8</w:t>
            </w:r>
          </w:p>
        </w:tc>
      </w:tr>
      <w:tr w:rsidR="00CD6352" w:rsidRPr="00460F21" w14:paraId="526DFFA5" w14:textId="77777777" w:rsidTr="00CD6352">
        <w:trPr>
          <w:trHeight w:val="205"/>
        </w:trPr>
        <w:tc>
          <w:tcPr>
            <w:tcW w:w="5807" w:type="dxa"/>
            <w:tcBorders>
              <w:top w:val="nil"/>
              <w:left w:val="single" w:sz="4" w:space="0" w:color="auto"/>
              <w:bottom w:val="single" w:sz="4" w:space="0" w:color="auto"/>
              <w:right w:val="single" w:sz="4" w:space="0" w:color="auto"/>
            </w:tcBorders>
            <w:shd w:val="clear" w:color="auto" w:fill="auto"/>
            <w:hideMark/>
          </w:tcPr>
          <w:p w14:paraId="6A6E05E3"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Usage of internal program and instructors</w:t>
            </w:r>
          </w:p>
        </w:tc>
        <w:tc>
          <w:tcPr>
            <w:tcW w:w="1154" w:type="dxa"/>
            <w:tcBorders>
              <w:top w:val="nil"/>
              <w:left w:val="nil"/>
              <w:bottom w:val="single" w:sz="4" w:space="0" w:color="auto"/>
              <w:right w:val="single" w:sz="4" w:space="0" w:color="auto"/>
            </w:tcBorders>
            <w:shd w:val="clear" w:color="auto" w:fill="auto"/>
            <w:noWrap/>
            <w:hideMark/>
          </w:tcPr>
          <w:p w14:paraId="19E4CC88"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3.68</w:t>
            </w:r>
          </w:p>
        </w:tc>
        <w:tc>
          <w:tcPr>
            <w:tcW w:w="709" w:type="dxa"/>
            <w:tcBorders>
              <w:top w:val="nil"/>
              <w:left w:val="nil"/>
              <w:bottom w:val="single" w:sz="4" w:space="0" w:color="auto"/>
              <w:right w:val="single" w:sz="4" w:space="0" w:color="auto"/>
            </w:tcBorders>
            <w:shd w:val="clear" w:color="auto" w:fill="auto"/>
            <w:noWrap/>
            <w:hideMark/>
          </w:tcPr>
          <w:p w14:paraId="798730F4"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9</w:t>
            </w:r>
          </w:p>
        </w:tc>
      </w:tr>
      <w:tr w:rsidR="00CD6352" w:rsidRPr="00460F21" w14:paraId="0EB8C158" w14:textId="77777777" w:rsidTr="00CD6352">
        <w:trPr>
          <w:trHeight w:val="247"/>
        </w:trPr>
        <w:tc>
          <w:tcPr>
            <w:tcW w:w="5807" w:type="dxa"/>
            <w:tcBorders>
              <w:top w:val="nil"/>
              <w:left w:val="single" w:sz="4" w:space="0" w:color="auto"/>
              <w:bottom w:val="single" w:sz="4" w:space="0" w:color="auto"/>
              <w:right w:val="single" w:sz="4" w:space="0" w:color="auto"/>
            </w:tcBorders>
            <w:shd w:val="clear" w:color="auto" w:fill="auto"/>
            <w:hideMark/>
          </w:tcPr>
          <w:p w14:paraId="60F53248" w14:textId="14F28A00"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 xml:space="preserve">Executive </w:t>
            </w:r>
            <w:r w:rsidR="00802ACC" w:rsidRPr="00460F21">
              <w:rPr>
                <w:rFonts w:ascii="Arial" w:eastAsia="Times New Roman" w:hAnsi="Arial" w:cs="Arial"/>
                <w:color w:val="000000"/>
                <w:sz w:val="16"/>
                <w:szCs w:val="16"/>
                <w:lang w:eastAsia="en-GB"/>
              </w:rPr>
              <w:t>MBA (</w:t>
            </w:r>
            <w:r w:rsidRPr="00460F21">
              <w:rPr>
                <w:rFonts w:ascii="Arial" w:eastAsia="Times New Roman" w:hAnsi="Arial" w:cs="Arial"/>
                <w:color w:val="000000"/>
                <w:sz w:val="16"/>
                <w:szCs w:val="16"/>
                <w:lang w:eastAsia="en-GB"/>
              </w:rPr>
              <w:t>with classes on a part-time basis)</w:t>
            </w:r>
          </w:p>
        </w:tc>
        <w:tc>
          <w:tcPr>
            <w:tcW w:w="1154" w:type="dxa"/>
            <w:tcBorders>
              <w:top w:val="nil"/>
              <w:left w:val="nil"/>
              <w:bottom w:val="single" w:sz="4" w:space="0" w:color="auto"/>
              <w:right w:val="single" w:sz="4" w:space="0" w:color="auto"/>
            </w:tcBorders>
            <w:shd w:val="clear" w:color="auto" w:fill="auto"/>
            <w:noWrap/>
            <w:hideMark/>
          </w:tcPr>
          <w:p w14:paraId="3996F017"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3.59</w:t>
            </w:r>
          </w:p>
        </w:tc>
        <w:tc>
          <w:tcPr>
            <w:tcW w:w="709" w:type="dxa"/>
            <w:tcBorders>
              <w:top w:val="nil"/>
              <w:left w:val="nil"/>
              <w:bottom w:val="single" w:sz="4" w:space="0" w:color="auto"/>
              <w:right w:val="single" w:sz="4" w:space="0" w:color="auto"/>
            </w:tcBorders>
            <w:shd w:val="clear" w:color="auto" w:fill="auto"/>
            <w:noWrap/>
            <w:hideMark/>
          </w:tcPr>
          <w:p w14:paraId="6E856676"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10</w:t>
            </w:r>
          </w:p>
        </w:tc>
      </w:tr>
      <w:tr w:rsidR="00CD6352" w:rsidRPr="00460F21" w14:paraId="4E48DC6D" w14:textId="77777777" w:rsidTr="00CD6352">
        <w:trPr>
          <w:trHeight w:val="278"/>
        </w:trPr>
        <w:tc>
          <w:tcPr>
            <w:tcW w:w="5807" w:type="dxa"/>
            <w:tcBorders>
              <w:top w:val="nil"/>
              <w:left w:val="single" w:sz="4" w:space="0" w:color="auto"/>
              <w:bottom w:val="single" w:sz="4" w:space="0" w:color="auto"/>
              <w:right w:val="single" w:sz="4" w:space="0" w:color="auto"/>
            </w:tcBorders>
            <w:shd w:val="clear" w:color="auto" w:fill="auto"/>
            <w:hideMark/>
          </w:tcPr>
          <w:p w14:paraId="60DE05D6"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Online and tutorial training</w:t>
            </w:r>
          </w:p>
        </w:tc>
        <w:tc>
          <w:tcPr>
            <w:tcW w:w="1154" w:type="dxa"/>
            <w:tcBorders>
              <w:top w:val="nil"/>
              <w:left w:val="nil"/>
              <w:bottom w:val="single" w:sz="4" w:space="0" w:color="auto"/>
              <w:right w:val="single" w:sz="4" w:space="0" w:color="auto"/>
            </w:tcBorders>
            <w:shd w:val="clear" w:color="auto" w:fill="auto"/>
            <w:noWrap/>
            <w:hideMark/>
          </w:tcPr>
          <w:p w14:paraId="4092DDC6"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3.59</w:t>
            </w:r>
          </w:p>
        </w:tc>
        <w:tc>
          <w:tcPr>
            <w:tcW w:w="709" w:type="dxa"/>
            <w:tcBorders>
              <w:top w:val="nil"/>
              <w:left w:val="nil"/>
              <w:bottom w:val="single" w:sz="4" w:space="0" w:color="auto"/>
              <w:right w:val="single" w:sz="4" w:space="0" w:color="auto"/>
            </w:tcBorders>
            <w:shd w:val="clear" w:color="auto" w:fill="auto"/>
            <w:noWrap/>
            <w:hideMark/>
          </w:tcPr>
          <w:p w14:paraId="5D52D882"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11</w:t>
            </w:r>
          </w:p>
        </w:tc>
      </w:tr>
      <w:tr w:rsidR="00CD6352" w:rsidRPr="00460F21" w14:paraId="65B20738" w14:textId="77777777" w:rsidTr="00CD6352">
        <w:trPr>
          <w:trHeight w:val="412"/>
        </w:trPr>
        <w:tc>
          <w:tcPr>
            <w:tcW w:w="5807" w:type="dxa"/>
            <w:tcBorders>
              <w:top w:val="nil"/>
              <w:left w:val="single" w:sz="4" w:space="0" w:color="auto"/>
              <w:bottom w:val="single" w:sz="4" w:space="0" w:color="auto"/>
              <w:right w:val="single" w:sz="4" w:space="0" w:color="auto"/>
            </w:tcBorders>
            <w:shd w:val="clear" w:color="auto" w:fill="auto"/>
            <w:hideMark/>
          </w:tcPr>
          <w:p w14:paraId="5C3D1C56" w14:textId="6592E71E"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 xml:space="preserve">University residential (the full-time program for some </w:t>
            </w:r>
            <w:r w:rsidR="00802ACC" w:rsidRPr="00460F21">
              <w:rPr>
                <w:rFonts w:ascii="Arial" w:eastAsia="Times New Roman" w:hAnsi="Arial" w:cs="Arial"/>
                <w:color w:val="000000"/>
                <w:sz w:val="16"/>
                <w:szCs w:val="16"/>
                <w:lang w:eastAsia="en-GB"/>
              </w:rPr>
              <w:t>weeks)</w:t>
            </w:r>
          </w:p>
        </w:tc>
        <w:tc>
          <w:tcPr>
            <w:tcW w:w="1154" w:type="dxa"/>
            <w:tcBorders>
              <w:top w:val="nil"/>
              <w:left w:val="nil"/>
              <w:bottom w:val="single" w:sz="4" w:space="0" w:color="auto"/>
              <w:right w:val="single" w:sz="4" w:space="0" w:color="auto"/>
            </w:tcBorders>
            <w:shd w:val="clear" w:color="auto" w:fill="auto"/>
            <w:noWrap/>
            <w:hideMark/>
          </w:tcPr>
          <w:p w14:paraId="2F74E7CF"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3.43</w:t>
            </w:r>
          </w:p>
        </w:tc>
        <w:tc>
          <w:tcPr>
            <w:tcW w:w="709" w:type="dxa"/>
            <w:tcBorders>
              <w:top w:val="nil"/>
              <w:left w:val="nil"/>
              <w:bottom w:val="single" w:sz="4" w:space="0" w:color="auto"/>
              <w:right w:val="single" w:sz="4" w:space="0" w:color="auto"/>
            </w:tcBorders>
            <w:shd w:val="clear" w:color="auto" w:fill="auto"/>
            <w:noWrap/>
            <w:hideMark/>
          </w:tcPr>
          <w:p w14:paraId="32EDBE80" w14:textId="77777777" w:rsidR="00CD6352" w:rsidRPr="00460F21" w:rsidRDefault="00CD6352" w:rsidP="00CD6352">
            <w:pPr>
              <w:spacing w:after="0" w:line="240" w:lineRule="auto"/>
              <w:rPr>
                <w:rFonts w:ascii="Arial" w:eastAsia="Times New Roman" w:hAnsi="Arial" w:cs="Arial"/>
                <w:color w:val="000000"/>
                <w:sz w:val="16"/>
                <w:szCs w:val="16"/>
                <w:lang w:eastAsia="en-GB"/>
              </w:rPr>
            </w:pPr>
            <w:r w:rsidRPr="00460F21">
              <w:rPr>
                <w:rFonts w:ascii="Arial" w:eastAsia="Times New Roman" w:hAnsi="Arial" w:cs="Arial"/>
                <w:color w:val="000000"/>
                <w:sz w:val="16"/>
                <w:szCs w:val="16"/>
                <w:lang w:eastAsia="en-GB"/>
              </w:rPr>
              <w:t>12</w:t>
            </w:r>
          </w:p>
        </w:tc>
      </w:tr>
    </w:tbl>
    <w:p w14:paraId="79CBDD8F" w14:textId="77777777" w:rsidR="00CD6352" w:rsidRDefault="00CD6352" w:rsidP="00CD6352">
      <w:pPr>
        <w:spacing w:line="360" w:lineRule="auto"/>
        <w:jc w:val="both"/>
        <w:rPr>
          <w:rFonts w:ascii="Arial" w:hAnsi="Arial" w:cs="Arial"/>
        </w:rPr>
      </w:pPr>
    </w:p>
    <w:p w14:paraId="1A3EB830" w14:textId="7A7B70DC" w:rsidR="00CD6352" w:rsidRPr="00EA7665" w:rsidRDefault="00CD6352" w:rsidP="00CD6352">
      <w:pPr>
        <w:pStyle w:val="Heading5"/>
        <w:rPr>
          <w:rFonts w:ascii="Arial" w:hAnsi="Arial" w:cs="Arial"/>
          <w:color w:val="000000" w:themeColor="text1"/>
        </w:rPr>
      </w:pPr>
      <w:r w:rsidRPr="00EA7665">
        <w:rPr>
          <w:rFonts w:ascii="Arial" w:hAnsi="Arial" w:cs="Arial"/>
          <w:color w:val="000000" w:themeColor="text1"/>
        </w:rPr>
        <w:lastRenderedPageBreak/>
        <w:t xml:space="preserve">Questionnaire survey discussion and analysis at the disaggregate </w:t>
      </w:r>
      <w:r w:rsidR="003638C8" w:rsidRPr="00EA7665">
        <w:rPr>
          <w:rFonts w:ascii="Arial" w:hAnsi="Arial" w:cs="Arial"/>
          <w:color w:val="000000" w:themeColor="text1"/>
        </w:rPr>
        <w:t>level.</w:t>
      </w:r>
    </w:p>
    <w:p w14:paraId="732CD869" w14:textId="77777777" w:rsidR="00CD6352" w:rsidRPr="00EA7665" w:rsidRDefault="00CD6352" w:rsidP="00CD6352"/>
    <w:p w14:paraId="13171D6A" w14:textId="64232B09" w:rsidR="001427A5" w:rsidRPr="00447321" w:rsidRDefault="001427A5" w:rsidP="001427A5">
      <w:pPr>
        <w:pStyle w:val="Caption"/>
        <w:keepNext/>
        <w:rPr>
          <w:rFonts w:ascii="Arial" w:hAnsi="Arial" w:cs="Arial"/>
          <w:i w:val="0"/>
          <w:iCs w:val="0"/>
          <w:sz w:val="16"/>
          <w:szCs w:val="16"/>
        </w:rPr>
      </w:pPr>
      <w:bookmarkStart w:id="1406" w:name="_Toc78984037"/>
      <w:r w:rsidRPr="00447321">
        <w:rPr>
          <w:rFonts w:ascii="Arial" w:hAnsi="Arial" w:cs="Arial"/>
          <w:i w:val="0"/>
          <w:iCs w:val="0"/>
          <w:sz w:val="16"/>
          <w:szCs w:val="16"/>
        </w:rPr>
        <w:t xml:space="preserve">Table </w:t>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STYLEREF 2 \s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9.3</w:t>
      </w:r>
      <w:r w:rsidR="008F25B1">
        <w:rPr>
          <w:rFonts w:ascii="Arial" w:hAnsi="Arial" w:cs="Arial"/>
          <w:i w:val="0"/>
          <w:iCs w:val="0"/>
          <w:sz w:val="16"/>
          <w:szCs w:val="16"/>
        </w:rPr>
        <w:fldChar w:fldCharType="end"/>
      </w:r>
      <w:r w:rsidR="008F25B1">
        <w:rPr>
          <w:rFonts w:ascii="Arial" w:hAnsi="Arial" w:cs="Arial"/>
          <w:i w:val="0"/>
          <w:iCs w:val="0"/>
          <w:sz w:val="16"/>
          <w:szCs w:val="16"/>
        </w:rPr>
        <w:noBreakHyphen/>
      </w:r>
      <w:r w:rsidR="008F25B1">
        <w:rPr>
          <w:rFonts w:ascii="Arial" w:hAnsi="Arial" w:cs="Arial"/>
          <w:i w:val="0"/>
          <w:iCs w:val="0"/>
          <w:sz w:val="16"/>
          <w:szCs w:val="16"/>
        </w:rPr>
        <w:fldChar w:fldCharType="begin"/>
      </w:r>
      <w:r w:rsidR="008F25B1">
        <w:rPr>
          <w:rFonts w:ascii="Arial" w:hAnsi="Arial" w:cs="Arial"/>
          <w:i w:val="0"/>
          <w:iCs w:val="0"/>
          <w:sz w:val="16"/>
          <w:szCs w:val="16"/>
        </w:rPr>
        <w:instrText xml:space="preserve"> SEQ Table \* ARABIC \s 2 </w:instrText>
      </w:r>
      <w:r w:rsidR="008F25B1">
        <w:rPr>
          <w:rFonts w:ascii="Arial" w:hAnsi="Arial" w:cs="Arial"/>
          <w:i w:val="0"/>
          <w:iCs w:val="0"/>
          <w:sz w:val="16"/>
          <w:szCs w:val="16"/>
        </w:rPr>
        <w:fldChar w:fldCharType="separate"/>
      </w:r>
      <w:r w:rsidR="008F25B1">
        <w:rPr>
          <w:rFonts w:ascii="Arial" w:hAnsi="Arial" w:cs="Arial"/>
          <w:i w:val="0"/>
          <w:iCs w:val="0"/>
          <w:noProof/>
          <w:sz w:val="16"/>
          <w:szCs w:val="16"/>
        </w:rPr>
        <w:t>9</w:t>
      </w:r>
      <w:r w:rsidR="008F25B1">
        <w:rPr>
          <w:rFonts w:ascii="Arial" w:hAnsi="Arial" w:cs="Arial"/>
          <w:i w:val="0"/>
          <w:iCs w:val="0"/>
          <w:sz w:val="16"/>
          <w:szCs w:val="16"/>
        </w:rPr>
        <w:fldChar w:fldCharType="end"/>
      </w:r>
      <w:r w:rsidRPr="00447321">
        <w:rPr>
          <w:rFonts w:ascii="Arial" w:hAnsi="Arial" w:cs="Arial"/>
          <w:i w:val="0"/>
          <w:iCs w:val="0"/>
          <w:sz w:val="16"/>
          <w:szCs w:val="16"/>
        </w:rPr>
        <w:t xml:space="preserve">: Mean scores for Degree of perceived importance of approaches to training and education for r securing finance for real estate project development for the future </w:t>
      </w:r>
      <w:r w:rsidR="00447321" w:rsidRPr="00447321">
        <w:rPr>
          <w:rFonts w:ascii="Arial" w:hAnsi="Arial" w:cs="Arial"/>
          <w:i w:val="0"/>
          <w:iCs w:val="0"/>
          <w:sz w:val="16"/>
          <w:szCs w:val="16"/>
        </w:rPr>
        <w:t>(next</w:t>
      </w:r>
      <w:r w:rsidRPr="00447321">
        <w:rPr>
          <w:rFonts w:ascii="Arial" w:hAnsi="Arial" w:cs="Arial"/>
          <w:i w:val="0"/>
          <w:iCs w:val="0"/>
          <w:sz w:val="16"/>
          <w:szCs w:val="16"/>
        </w:rPr>
        <w:t xml:space="preserve"> 5 years) at the disaggregate level</w:t>
      </w:r>
      <w:bookmarkEnd w:id="1406"/>
    </w:p>
    <w:tbl>
      <w:tblPr>
        <w:tblW w:w="9115" w:type="dxa"/>
        <w:tblInd w:w="93" w:type="dxa"/>
        <w:tblLook w:val="04A0" w:firstRow="1" w:lastRow="0" w:firstColumn="1" w:lastColumn="0" w:noHBand="0" w:noVBand="1"/>
      </w:tblPr>
      <w:tblGrid>
        <w:gridCol w:w="1336"/>
        <w:gridCol w:w="876"/>
        <w:gridCol w:w="593"/>
        <w:gridCol w:w="603"/>
        <w:gridCol w:w="590"/>
        <w:gridCol w:w="528"/>
        <w:gridCol w:w="754"/>
        <w:gridCol w:w="635"/>
        <w:gridCol w:w="590"/>
        <w:gridCol w:w="723"/>
        <w:gridCol w:w="590"/>
        <w:gridCol w:w="707"/>
        <w:gridCol w:w="590"/>
      </w:tblGrid>
      <w:tr w:rsidR="00CD6352" w:rsidRPr="00447321" w14:paraId="7774EC93" w14:textId="77777777" w:rsidTr="001427A5">
        <w:trPr>
          <w:trHeight w:val="296"/>
        </w:trPr>
        <w:tc>
          <w:tcPr>
            <w:tcW w:w="13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F5708C"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Approaches to management's training &amp; education</w:t>
            </w:r>
          </w:p>
        </w:tc>
        <w:tc>
          <w:tcPr>
            <w:tcW w:w="7189" w:type="dxa"/>
            <w:gridSpan w:val="11"/>
            <w:tcBorders>
              <w:top w:val="single" w:sz="4" w:space="0" w:color="auto"/>
              <w:left w:val="nil"/>
              <w:bottom w:val="single" w:sz="4" w:space="0" w:color="auto"/>
              <w:right w:val="single" w:sz="4" w:space="0" w:color="auto"/>
            </w:tcBorders>
            <w:shd w:val="clear" w:color="auto" w:fill="auto"/>
            <w:hideMark/>
          </w:tcPr>
          <w:p w14:paraId="70EB9674"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Degree of perceived importance for the future</w:t>
            </w:r>
          </w:p>
        </w:tc>
        <w:tc>
          <w:tcPr>
            <w:tcW w:w="590" w:type="dxa"/>
            <w:tcBorders>
              <w:top w:val="single" w:sz="4" w:space="0" w:color="auto"/>
              <w:left w:val="nil"/>
              <w:bottom w:val="single" w:sz="4" w:space="0" w:color="auto"/>
              <w:right w:val="single" w:sz="4" w:space="0" w:color="auto"/>
            </w:tcBorders>
            <w:shd w:val="clear" w:color="auto" w:fill="auto"/>
            <w:noWrap/>
            <w:hideMark/>
          </w:tcPr>
          <w:p w14:paraId="18F7DA0D"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 </w:t>
            </w:r>
          </w:p>
        </w:tc>
      </w:tr>
      <w:tr w:rsidR="00CD6352" w:rsidRPr="00447321" w14:paraId="22E244E0" w14:textId="77777777" w:rsidTr="001427A5">
        <w:trPr>
          <w:trHeight w:val="296"/>
        </w:trPr>
        <w:tc>
          <w:tcPr>
            <w:tcW w:w="1336" w:type="dxa"/>
            <w:vMerge/>
            <w:tcBorders>
              <w:top w:val="single" w:sz="4" w:space="0" w:color="auto"/>
              <w:left w:val="single" w:sz="4" w:space="0" w:color="auto"/>
              <w:bottom w:val="single" w:sz="4" w:space="0" w:color="auto"/>
              <w:right w:val="single" w:sz="4" w:space="0" w:color="auto"/>
            </w:tcBorders>
            <w:vAlign w:val="center"/>
            <w:hideMark/>
          </w:tcPr>
          <w:p w14:paraId="5BA4CB05" w14:textId="77777777" w:rsidR="00CD6352" w:rsidRPr="00447321" w:rsidRDefault="00CD6352" w:rsidP="00CD6352">
            <w:pPr>
              <w:spacing w:after="0" w:line="240" w:lineRule="auto"/>
              <w:rPr>
                <w:rFonts w:ascii="Arial" w:eastAsia="Times New Roman" w:hAnsi="Arial" w:cs="Arial"/>
                <w:color w:val="000000"/>
                <w:sz w:val="16"/>
                <w:szCs w:val="16"/>
                <w:lang w:eastAsia="en-GB"/>
              </w:rPr>
            </w:pPr>
          </w:p>
        </w:tc>
        <w:tc>
          <w:tcPr>
            <w:tcW w:w="876" w:type="dxa"/>
            <w:tcBorders>
              <w:top w:val="nil"/>
              <w:left w:val="nil"/>
              <w:bottom w:val="single" w:sz="4" w:space="0" w:color="auto"/>
              <w:right w:val="single" w:sz="4" w:space="0" w:color="auto"/>
            </w:tcBorders>
            <w:shd w:val="clear" w:color="auto" w:fill="auto"/>
            <w:hideMark/>
          </w:tcPr>
          <w:p w14:paraId="5C0D7653"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Germany</w:t>
            </w:r>
          </w:p>
          <w:p w14:paraId="0B81437E"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N=5</w:t>
            </w:r>
          </w:p>
        </w:tc>
        <w:tc>
          <w:tcPr>
            <w:tcW w:w="593" w:type="dxa"/>
            <w:tcBorders>
              <w:top w:val="nil"/>
              <w:left w:val="nil"/>
              <w:bottom w:val="single" w:sz="4" w:space="0" w:color="auto"/>
              <w:right w:val="single" w:sz="4" w:space="0" w:color="auto"/>
            </w:tcBorders>
            <w:shd w:val="clear" w:color="auto" w:fill="auto"/>
            <w:hideMark/>
          </w:tcPr>
          <w:p w14:paraId="7906FD7B"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Rank</w:t>
            </w:r>
          </w:p>
        </w:tc>
        <w:tc>
          <w:tcPr>
            <w:tcW w:w="603" w:type="dxa"/>
            <w:tcBorders>
              <w:top w:val="nil"/>
              <w:left w:val="nil"/>
              <w:bottom w:val="single" w:sz="4" w:space="0" w:color="auto"/>
              <w:right w:val="single" w:sz="4" w:space="0" w:color="auto"/>
            </w:tcBorders>
            <w:shd w:val="clear" w:color="auto" w:fill="auto"/>
            <w:noWrap/>
            <w:hideMark/>
          </w:tcPr>
          <w:p w14:paraId="1C37472E"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UK</w:t>
            </w:r>
          </w:p>
          <w:p w14:paraId="0FB26DFB"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N=20</w:t>
            </w:r>
          </w:p>
        </w:tc>
        <w:tc>
          <w:tcPr>
            <w:tcW w:w="590" w:type="dxa"/>
            <w:tcBorders>
              <w:top w:val="nil"/>
              <w:left w:val="nil"/>
              <w:bottom w:val="single" w:sz="4" w:space="0" w:color="auto"/>
              <w:right w:val="single" w:sz="4" w:space="0" w:color="auto"/>
            </w:tcBorders>
            <w:shd w:val="clear" w:color="auto" w:fill="auto"/>
            <w:noWrap/>
            <w:hideMark/>
          </w:tcPr>
          <w:p w14:paraId="4B31E77C"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Rank</w:t>
            </w:r>
          </w:p>
        </w:tc>
        <w:tc>
          <w:tcPr>
            <w:tcW w:w="528" w:type="dxa"/>
            <w:tcBorders>
              <w:top w:val="nil"/>
              <w:left w:val="nil"/>
              <w:bottom w:val="single" w:sz="4" w:space="0" w:color="auto"/>
              <w:right w:val="single" w:sz="4" w:space="0" w:color="auto"/>
            </w:tcBorders>
            <w:shd w:val="clear" w:color="auto" w:fill="auto"/>
            <w:noWrap/>
            <w:hideMark/>
          </w:tcPr>
          <w:p w14:paraId="548A6DD1"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US</w:t>
            </w:r>
          </w:p>
          <w:p w14:paraId="5DA3C8BC"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N=8</w:t>
            </w:r>
          </w:p>
        </w:tc>
        <w:tc>
          <w:tcPr>
            <w:tcW w:w="754" w:type="dxa"/>
            <w:tcBorders>
              <w:top w:val="nil"/>
              <w:left w:val="nil"/>
              <w:bottom w:val="single" w:sz="4" w:space="0" w:color="auto"/>
              <w:right w:val="single" w:sz="4" w:space="0" w:color="auto"/>
            </w:tcBorders>
            <w:shd w:val="clear" w:color="auto" w:fill="auto"/>
            <w:noWrap/>
            <w:hideMark/>
          </w:tcPr>
          <w:p w14:paraId="6F58BE05"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Rank</w:t>
            </w:r>
          </w:p>
        </w:tc>
        <w:tc>
          <w:tcPr>
            <w:tcW w:w="635" w:type="dxa"/>
            <w:tcBorders>
              <w:top w:val="nil"/>
              <w:left w:val="nil"/>
              <w:bottom w:val="single" w:sz="4" w:space="0" w:color="auto"/>
              <w:right w:val="single" w:sz="4" w:space="0" w:color="auto"/>
            </w:tcBorders>
            <w:shd w:val="clear" w:color="auto" w:fill="auto"/>
            <w:noWrap/>
            <w:hideMark/>
          </w:tcPr>
          <w:p w14:paraId="3A7EAAF8"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China</w:t>
            </w:r>
          </w:p>
          <w:p w14:paraId="2871CE54"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N=11</w:t>
            </w:r>
          </w:p>
        </w:tc>
        <w:tc>
          <w:tcPr>
            <w:tcW w:w="590" w:type="dxa"/>
            <w:tcBorders>
              <w:top w:val="nil"/>
              <w:left w:val="nil"/>
              <w:bottom w:val="single" w:sz="4" w:space="0" w:color="auto"/>
              <w:right w:val="single" w:sz="4" w:space="0" w:color="auto"/>
            </w:tcBorders>
            <w:shd w:val="clear" w:color="auto" w:fill="auto"/>
            <w:noWrap/>
            <w:hideMark/>
          </w:tcPr>
          <w:p w14:paraId="31052503"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Rank</w:t>
            </w:r>
          </w:p>
        </w:tc>
        <w:tc>
          <w:tcPr>
            <w:tcW w:w="723" w:type="dxa"/>
            <w:tcBorders>
              <w:top w:val="nil"/>
              <w:left w:val="nil"/>
              <w:bottom w:val="single" w:sz="4" w:space="0" w:color="auto"/>
              <w:right w:val="single" w:sz="4" w:space="0" w:color="auto"/>
            </w:tcBorders>
            <w:shd w:val="clear" w:color="auto" w:fill="auto"/>
            <w:noWrap/>
            <w:hideMark/>
          </w:tcPr>
          <w:p w14:paraId="2D69BC48"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Nigeria</w:t>
            </w:r>
          </w:p>
          <w:p w14:paraId="4C68E7FA"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N=26</w:t>
            </w:r>
          </w:p>
        </w:tc>
        <w:tc>
          <w:tcPr>
            <w:tcW w:w="590" w:type="dxa"/>
            <w:tcBorders>
              <w:top w:val="nil"/>
              <w:left w:val="nil"/>
              <w:bottom w:val="single" w:sz="4" w:space="0" w:color="auto"/>
              <w:right w:val="single" w:sz="4" w:space="0" w:color="auto"/>
            </w:tcBorders>
            <w:shd w:val="clear" w:color="auto" w:fill="auto"/>
            <w:noWrap/>
            <w:hideMark/>
          </w:tcPr>
          <w:p w14:paraId="6F984925"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Rank</w:t>
            </w:r>
          </w:p>
        </w:tc>
        <w:tc>
          <w:tcPr>
            <w:tcW w:w="707" w:type="dxa"/>
            <w:tcBorders>
              <w:top w:val="nil"/>
              <w:left w:val="nil"/>
              <w:bottom w:val="single" w:sz="4" w:space="0" w:color="auto"/>
              <w:right w:val="single" w:sz="4" w:space="0" w:color="auto"/>
            </w:tcBorders>
            <w:shd w:val="clear" w:color="auto" w:fill="auto"/>
            <w:hideMark/>
          </w:tcPr>
          <w:p w14:paraId="403AFCCA"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South Africa</w:t>
            </w:r>
          </w:p>
          <w:p w14:paraId="32009E09"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N=11</w:t>
            </w:r>
          </w:p>
        </w:tc>
        <w:tc>
          <w:tcPr>
            <w:tcW w:w="590" w:type="dxa"/>
            <w:tcBorders>
              <w:top w:val="nil"/>
              <w:left w:val="nil"/>
              <w:bottom w:val="single" w:sz="4" w:space="0" w:color="auto"/>
              <w:right w:val="single" w:sz="4" w:space="0" w:color="auto"/>
            </w:tcBorders>
            <w:shd w:val="clear" w:color="auto" w:fill="auto"/>
            <w:noWrap/>
            <w:hideMark/>
          </w:tcPr>
          <w:p w14:paraId="5CBB9224" w14:textId="77777777" w:rsidR="00CD6352" w:rsidRPr="00447321" w:rsidRDefault="00CD6352" w:rsidP="00CD6352">
            <w:pPr>
              <w:spacing w:after="0" w:line="240" w:lineRule="auto"/>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Rank</w:t>
            </w:r>
          </w:p>
        </w:tc>
      </w:tr>
      <w:tr w:rsidR="00CD6352" w:rsidRPr="00447321" w14:paraId="19B87559" w14:textId="77777777" w:rsidTr="001427A5">
        <w:trPr>
          <w:trHeight w:val="887"/>
        </w:trPr>
        <w:tc>
          <w:tcPr>
            <w:tcW w:w="1336" w:type="dxa"/>
            <w:tcBorders>
              <w:top w:val="nil"/>
              <w:left w:val="single" w:sz="4" w:space="0" w:color="auto"/>
              <w:bottom w:val="single" w:sz="4" w:space="0" w:color="auto"/>
              <w:right w:val="single" w:sz="4" w:space="0" w:color="auto"/>
            </w:tcBorders>
            <w:shd w:val="clear" w:color="auto" w:fill="auto"/>
            <w:hideMark/>
          </w:tcPr>
          <w:p w14:paraId="5D78F806"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Classroom instructor-led training for a short period(offered by consultants)</w:t>
            </w:r>
          </w:p>
        </w:tc>
        <w:tc>
          <w:tcPr>
            <w:tcW w:w="876" w:type="dxa"/>
            <w:tcBorders>
              <w:top w:val="nil"/>
              <w:left w:val="nil"/>
              <w:bottom w:val="single" w:sz="4" w:space="0" w:color="auto"/>
              <w:right w:val="single" w:sz="4" w:space="0" w:color="auto"/>
            </w:tcBorders>
            <w:shd w:val="clear" w:color="auto" w:fill="auto"/>
            <w:hideMark/>
          </w:tcPr>
          <w:p w14:paraId="04CFF64B"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593" w:type="dxa"/>
            <w:tcBorders>
              <w:top w:val="nil"/>
              <w:left w:val="nil"/>
              <w:bottom w:val="single" w:sz="4" w:space="0" w:color="auto"/>
              <w:right w:val="single" w:sz="4" w:space="0" w:color="auto"/>
            </w:tcBorders>
            <w:shd w:val="clear" w:color="auto" w:fill="auto"/>
            <w:hideMark/>
          </w:tcPr>
          <w:p w14:paraId="3928553E"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9</w:t>
            </w:r>
          </w:p>
        </w:tc>
        <w:tc>
          <w:tcPr>
            <w:tcW w:w="603" w:type="dxa"/>
            <w:tcBorders>
              <w:top w:val="nil"/>
              <w:left w:val="nil"/>
              <w:bottom w:val="single" w:sz="4" w:space="0" w:color="auto"/>
              <w:right w:val="single" w:sz="4" w:space="0" w:color="auto"/>
            </w:tcBorders>
            <w:shd w:val="clear" w:color="auto" w:fill="auto"/>
            <w:noWrap/>
            <w:hideMark/>
          </w:tcPr>
          <w:p w14:paraId="5B5AF5A0"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3.2</w:t>
            </w:r>
          </w:p>
        </w:tc>
        <w:tc>
          <w:tcPr>
            <w:tcW w:w="590" w:type="dxa"/>
            <w:tcBorders>
              <w:top w:val="nil"/>
              <w:left w:val="nil"/>
              <w:bottom w:val="single" w:sz="4" w:space="0" w:color="auto"/>
              <w:right w:val="single" w:sz="4" w:space="0" w:color="auto"/>
            </w:tcBorders>
            <w:shd w:val="clear" w:color="auto" w:fill="auto"/>
            <w:noWrap/>
            <w:hideMark/>
          </w:tcPr>
          <w:p w14:paraId="4B8DED9D"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5</w:t>
            </w:r>
          </w:p>
        </w:tc>
        <w:tc>
          <w:tcPr>
            <w:tcW w:w="528" w:type="dxa"/>
            <w:tcBorders>
              <w:top w:val="nil"/>
              <w:left w:val="nil"/>
              <w:bottom w:val="single" w:sz="4" w:space="0" w:color="auto"/>
              <w:right w:val="single" w:sz="4" w:space="0" w:color="auto"/>
            </w:tcBorders>
            <w:shd w:val="clear" w:color="auto" w:fill="auto"/>
            <w:noWrap/>
            <w:hideMark/>
          </w:tcPr>
          <w:p w14:paraId="1EE18ED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2.33</w:t>
            </w:r>
          </w:p>
        </w:tc>
        <w:tc>
          <w:tcPr>
            <w:tcW w:w="754" w:type="dxa"/>
            <w:tcBorders>
              <w:top w:val="nil"/>
              <w:left w:val="nil"/>
              <w:bottom w:val="single" w:sz="4" w:space="0" w:color="auto"/>
              <w:right w:val="single" w:sz="4" w:space="0" w:color="auto"/>
            </w:tcBorders>
            <w:shd w:val="clear" w:color="auto" w:fill="auto"/>
            <w:hideMark/>
          </w:tcPr>
          <w:p w14:paraId="4E3233D6"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5</w:t>
            </w:r>
          </w:p>
        </w:tc>
        <w:tc>
          <w:tcPr>
            <w:tcW w:w="635" w:type="dxa"/>
            <w:tcBorders>
              <w:top w:val="nil"/>
              <w:left w:val="nil"/>
              <w:bottom w:val="single" w:sz="4" w:space="0" w:color="auto"/>
              <w:right w:val="single" w:sz="4" w:space="0" w:color="auto"/>
            </w:tcBorders>
            <w:shd w:val="clear" w:color="auto" w:fill="auto"/>
            <w:noWrap/>
            <w:hideMark/>
          </w:tcPr>
          <w:p w14:paraId="76FB6F2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3.11</w:t>
            </w:r>
          </w:p>
        </w:tc>
        <w:tc>
          <w:tcPr>
            <w:tcW w:w="590" w:type="dxa"/>
            <w:tcBorders>
              <w:top w:val="nil"/>
              <w:left w:val="nil"/>
              <w:bottom w:val="single" w:sz="4" w:space="0" w:color="auto"/>
              <w:right w:val="single" w:sz="4" w:space="0" w:color="auto"/>
            </w:tcBorders>
            <w:shd w:val="clear" w:color="auto" w:fill="auto"/>
            <w:noWrap/>
            <w:hideMark/>
          </w:tcPr>
          <w:p w14:paraId="26E355C0"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9</w:t>
            </w:r>
          </w:p>
        </w:tc>
        <w:tc>
          <w:tcPr>
            <w:tcW w:w="723" w:type="dxa"/>
            <w:tcBorders>
              <w:top w:val="nil"/>
              <w:left w:val="nil"/>
              <w:bottom w:val="single" w:sz="4" w:space="0" w:color="auto"/>
              <w:right w:val="single" w:sz="4" w:space="0" w:color="auto"/>
            </w:tcBorders>
            <w:shd w:val="clear" w:color="auto" w:fill="auto"/>
            <w:noWrap/>
            <w:hideMark/>
          </w:tcPr>
          <w:p w14:paraId="7A5D7DE3"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3.94</w:t>
            </w:r>
          </w:p>
        </w:tc>
        <w:tc>
          <w:tcPr>
            <w:tcW w:w="590" w:type="dxa"/>
            <w:tcBorders>
              <w:top w:val="nil"/>
              <w:left w:val="nil"/>
              <w:bottom w:val="single" w:sz="4" w:space="0" w:color="auto"/>
              <w:right w:val="single" w:sz="4" w:space="0" w:color="auto"/>
            </w:tcBorders>
            <w:shd w:val="clear" w:color="auto" w:fill="auto"/>
            <w:noWrap/>
            <w:hideMark/>
          </w:tcPr>
          <w:p w14:paraId="6FB3772E"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8</w:t>
            </w:r>
          </w:p>
        </w:tc>
        <w:tc>
          <w:tcPr>
            <w:tcW w:w="707" w:type="dxa"/>
            <w:tcBorders>
              <w:top w:val="nil"/>
              <w:left w:val="nil"/>
              <w:bottom w:val="single" w:sz="4" w:space="0" w:color="auto"/>
              <w:right w:val="single" w:sz="4" w:space="0" w:color="auto"/>
            </w:tcBorders>
            <w:shd w:val="clear" w:color="auto" w:fill="auto"/>
            <w:noWrap/>
            <w:hideMark/>
          </w:tcPr>
          <w:p w14:paraId="52F01A85"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3.86</w:t>
            </w:r>
          </w:p>
        </w:tc>
        <w:tc>
          <w:tcPr>
            <w:tcW w:w="590" w:type="dxa"/>
            <w:tcBorders>
              <w:top w:val="nil"/>
              <w:left w:val="nil"/>
              <w:bottom w:val="single" w:sz="4" w:space="0" w:color="auto"/>
              <w:right w:val="single" w:sz="4" w:space="0" w:color="auto"/>
            </w:tcBorders>
            <w:shd w:val="clear" w:color="auto" w:fill="auto"/>
            <w:noWrap/>
            <w:hideMark/>
          </w:tcPr>
          <w:p w14:paraId="60362F10"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10</w:t>
            </w:r>
          </w:p>
        </w:tc>
      </w:tr>
      <w:tr w:rsidR="00CD6352" w:rsidRPr="00447321" w14:paraId="42B048E6" w14:textId="77777777" w:rsidTr="001427A5">
        <w:trPr>
          <w:trHeight w:val="1257"/>
        </w:trPr>
        <w:tc>
          <w:tcPr>
            <w:tcW w:w="1336" w:type="dxa"/>
            <w:tcBorders>
              <w:top w:val="nil"/>
              <w:left w:val="single" w:sz="4" w:space="0" w:color="auto"/>
              <w:bottom w:val="single" w:sz="4" w:space="0" w:color="auto"/>
              <w:right w:val="single" w:sz="4" w:space="0" w:color="auto"/>
            </w:tcBorders>
            <w:shd w:val="clear" w:color="auto" w:fill="auto"/>
            <w:hideMark/>
          </w:tcPr>
          <w:p w14:paraId="547A8676"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Company-specific courses targeted at securing financing skills &amp; knowledge</w:t>
            </w:r>
          </w:p>
        </w:tc>
        <w:tc>
          <w:tcPr>
            <w:tcW w:w="876" w:type="dxa"/>
            <w:tcBorders>
              <w:top w:val="nil"/>
              <w:left w:val="nil"/>
              <w:bottom w:val="single" w:sz="4" w:space="0" w:color="auto"/>
              <w:right w:val="single" w:sz="4" w:space="0" w:color="auto"/>
            </w:tcBorders>
            <w:shd w:val="clear" w:color="auto" w:fill="auto"/>
            <w:hideMark/>
          </w:tcPr>
          <w:p w14:paraId="7B85405E"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3" w:type="dxa"/>
            <w:tcBorders>
              <w:top w:val="nil"/>
              <w:left w:val="nil"/>
              <w:bottom w:val="single" w:sz="4" w:space="0" w:color="auto"/>
              <w:right w:val="single" w:sz="4" w:space="0" w:color="auto"/>
            </w:tcBorders>
            <w:shd w:val="clear" w:color="auto" w:fill="auto"/>
            <w:hideMark/>
          </w:tcPr>
          <w:p w14:paraId="42035EBE"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6</w:t>
            </w:r>
          </w:p>
        </w:tc>
        <w:tc>
          <w:tcPr>
            <w:tcW w:w="603" w:type="dxa"/>
            <w:tcBorders>
              <w:top w:val="nil"/>
              <w:left w:val="nil"/>
              <w:bottom w:val="single" w:sz="4" w:space="0" w:color="auto"/>
              <w:right w:val="single" w:sz="4" w:space="0" w:color="auto"/>
            </w:tcBorders>
            <w:shd w:val="clear" w:color="auto" w:fill="auto"/>
            <w:noWrap/>
            <w:hideMark/>
          </w:tcPr>
          <w:p w14:paraId="16567DF6"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noWrap/>
            <w:hideMark/>
          </w:tcPr>
          <w:p w14:paraId="0F2AFF2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7</w:t>
            </w:r>
          </w:p>
        </w:tc>
        <w:tc>
          <w:tcPr>
            <w:tcW w:w="528" w:type="dxa"/>
            <w:tcBorders>
              <w:top w:val="nil"/>
              <w:left w:val="nil"/>
              <w:bottom w:val="single" w:sz="4" w:space="0" w:color="auto"/>
              <w:right w:val="single" w:sz="4" w:space="0" w:color="auto"/>
            </w:tcBorders>
            <w:shd w:val="clear" w:color="auto" w:fill="auto"/>
            <w:noWrap/>
            <w:hideMark/>
          </w:tcPr>
          <w:p w14:paraId="7F8BBBF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2.67</w:t>
            </w:r>
          </w:p>
        </w:tc>
        <w:tc>
          <w:tcPr>
            <w:tcW w:w="754" w:type="dxa"/>
            <w:tcBorders>
              <w:top w:val="nil"/>
              <w:left w:val="nil"/>
              <w:bottom w:val="single" w:sz="4" w:space="0" w:color="auto"/>
              <w:right w:val="single" w:sz="4" w:space="0" w:color="auto"/>
            </w:tcBorders>
            <w:shd w:val="clear" w:color="auto" w:fill="auto"/>
            <w:hideMark/>
          </w:tcPr>
          <w:p w14:paraId="2EB68DB5"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635" w:type="dxa"/>
            <w:tcBorders>
              <w:top w:val="nil"/>
              <w:left w:val="nil"/>
              <w:bottom w:val="single" w:sz="4" w:space="0" w:color="auto"/>
              <w:right w:val="single" w:sz="4" w:space="0" w:color="auto"/>
            </w:tcBorders>
            <w:shd w:val="clear" w:color="auto" w:fill="auto"/>
            <w:noWrap/>
            <w:hideMark/>
          </w:tcPr>
          <w:p w14:paraId="2C671B38"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3.67</w:t>
            </w:r>
          </w:p>
        </w:tc>
        <w:tc>
          <w:tcPr>
            <w:tcW w:w="590" w:type="dxa"/>
            <w:tcBorders>
              <w:top w:val="nil"/>
              <w:left w:val="nil"/>
              <w:bottom w:val="single" w:sz="4" w:space="0" w:color="auto"/>
              <w:right w:val="single" w:sz="4" w:space="0" w:color="auto"/>
            </w:tcBorders>
            <w:shd w:val="clear" w:color="auto" w:fill="auto"/>
            <w:noWrap/>
            <w:hideMark/>
          </w:tcPr>
          <w:p w14:paraId="0A8BEB3E"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723" w:type="dxa"/>
            <w:tcBorders>
              <w:top w:val="nil"/>
              <w:left w:val="nil"/>
              <w:bottom w:val="single" w:sz="4" w:space="0" w:color="auto"/>
              <w:right w:val="single" w:sz="4" w:space="0" w:color="auto"/>
            </w:tcBorders>
            <w:shd w:val="clear" w:color="auto" w:fill="auto"/>
            <w:noWrap/>
            <w:hideMark/>
          </w:tcPr>
          <w:p w14:paraId="34CC7055"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4.22</w:t>
            </w:r>
          </w:p>
        </w:tc>
        <w:tc>
          <w:tcPr>
            <w:tcW w:w="590" w:type="dxa"/>
            <w:tcBorders>
              <w:top w:val="nil"/>
              <w:left w:val="nil"/>
              <w:bottom w:val="single" w:sz="4" w:space="0" w:color="auto"/>
              <w:right w:val="single" w:sz="4" w:space="0" w:color="auto"/>
            </w:tcBorders>
            <w:shd w:val="clear" w:color="auto" w:fill="auto"/>
            <w:noWrap/>
            <w:hideMark/>
          </w:tcPr>
          <w:p w14:paraId="21FE394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707" w:type="dxa"/>
            <w:tcBorders>
              <w:top w:val="nil"/>
              <w:left w:val="nil"/>
              <w:bottom w:val="single" w:sz="4" w:space="0" w:color="auto"/>
              <w:right w:val="single" w:sz="4" w:space="0" w:color="auto"/>
            </w:tcBorders>
            <w:shd w:val="clear" w:color="auto" w:fill="auto"/>
            <w:noWrap/>
            <w:hideMark/>
          </w:tcPr>
          <w:p w14:paraId="30E949A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noWrap/>
            <w:hideMark/>
          </w:tcPr>
          <w:p w14:paraId="00BBE0E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5</w:t>
            </w:r>
          </w:p>
        </w:tc>
      </w:tr>
      <w:tr w:rsidR="00CD6352" w:rsidRPr="00447321" w14:paraId="26DF6EA5" w14:textId="77777777" w:rsidTr="001427A5">
        <w:trPr>
          <w:trHeight w:val="443"/>
        </w:trPr>
        <w:tc>
          <w:tcPr>
            <w:tcW w:w="1336" w:type="dxa"/>
            <w:tcBorders>
              <w:top w:val="nil"/>
              <w:left w:val="single" w:sz="4" w:space="0" w:color="auto"/>
              <w:bottom w:val="single" w:sz="4" w:space="0" w:color="auto"/>
              <w:right w:val="single" w:sz="4" w:space="0" w:color="auto"/>
            </w:tcBorders>
            <w:shd w:val="clear" w:color="auto" w:fill="auto"/>
            <w:hideMark/>
          </w:tcPr>
          <w:p w14:paraId="7FE97BDD"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Computer-based training</w:t>
            </w:r>
          </w:p>
        </w:tc>
        <w:tc>
          <w:tcPr>
            <w:tcW w:w="876" w:type="dxa"/>
            <w:tcBorders>
              <w:top w:val="nil"/>
              <w:left w:val="nil"/>
              <w:bottom w:val="single" w:sz="4" w:space="0" w:color="auto"/>
              <w:right w:val="single" w:sz="4" w:space="0" w:color="auto"/>
            </w:tcBorders>
            <w:shd w:val="clear" w:color="auto" w:fill="auto"/>
            <w:hideMark/>
          </w:tcPr>
          <w:p w14:paraId="3B41D08F"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3" w:type="dxa"/>
            <w:tcBorders>
              <w:top w:val="nil"/>
              <w:left w:val="nil"/>
              <w:bottom w:val="single" w:sz="4" w:space="0" w:color="auto"/>
              <w:right w:val="single" w:sz="4" w:space="0" w:color="auto"/>
            </w:tcBorders>
            <w:shd w:val="clear" w:color="auto" w:fill="auto"/>
            <w:hideMark/>
          </w:tcPr>
          <w:p w14:paraId="66EAE0C7"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5</w:t>
            </w:r>
          </w:p>
        </w:tc>
        <w:tc>
          <w:tcPr>
            <w:tcW w:w="603" w:type="dxa"/>
            <w:tcBorders>
              <w:top w:val="nil"/>
              <w:left w:val="nil"/>
              <w:bottom w:val="single" w:sz="4" w:space="0" w:color="auto"/>
              <w:right w:val="single" w:sz="4" w:space="0" w:color="auto"/>
            </w:tcBorders>
            <w:shd w:val="clear" w:color="auto" w:fill="auto"/>
            <w:noWrap/>
            <w:hideMark/>
          </w:tcPr>
          <w:p w14:paraId="5BBE2289"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3.8</w:t>
            </w:r>
          </w:p>
        </w:tc>
        <w:tc>
          <w:tcPr>
            <w:tcW w:w="590" w:type="dxa"/>
            <w:tcBorders>
              <w:top w:val="nil"/>
              <w:left w:val="nil"/>
              <w:bottom w:val="single" w:sz="4" w:space="0" w:color="auto"/>
              <w:right w:val="single" w:sz="4" w:space="0" w:color="auto"/>
            </w:tcBorders>
            <w:shd w:val="clear" w:color="auto" w:fill="auto"/>
            <w:noWrap/>
            <w:hideMark/>
          </w:tcPr>
          <w:p w14:paraId="283FBF5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528" w:type="dxa"/>
            <w:tcBorders>
              <w:top w:val="nil"/>
              <w:left w:val="nil"/>
              <w:bottom w:val="single" w:sz="4" w:space="0" w:color="auto"/>
              <w:right w:val="single" w:sz="4" w:space="0" w:color="auto"/>
            </w:tcBorders>
            <w:shd w:val="clear" w:color="auto" w:fill="auto"/>
            <w:noWrap/>
            <w:hideMark/>
          </w:tcPr>
          <w:p w14:paraId="309CDAE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2.67</w:t>
            </w:r>
          </w:p>
        </w:tc>
        <w:tc>
          <w:tcPr>
            <w:tcW w:w="754" w:type="dxa"/>
            <w:tcBorders>
              <w:top w:val="nil"/>
              <w:left w:val="nil"/>
              <w:bottom w:val="single" w:sz="4" w:space="0" w:color="auto"/>
              <w:right w:val="single" w:sz="4" w:space="0" w:color="auto"/>
            </w:tcBorders>
            <w:shd w:val="clear" w:color="auto" w:fill="auto"/>
            <w:hideMark/>
          </w:tcPr>
          <w:p w14:paraId="0C85B4E5"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635" w:type="dxa"/>
            <w:tcBorders>
              <w:top w:val="nil"/>
              <w:left w:val="nil"/>
              <w:bottom w:val="single" w:sz="4" w:space="0" w:color="auto"/>
              <w:right w:val="single" w:sz="4" w:space="0" w:color="auto"/>
            </w:tcBorders>
            <w:shd w:val="clear" w:color="auto" w:fill="auto"/>
            <w:noWrap/>
            <w:hideMark/>
          </w:tcPr>
          <w:p w14:paraId="00796FC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3.78</w:t>
            </w:r>
          </w:p>
        </w:tc>
        <w:tc>
          <w:tcPr>
            <w:tcW w:w="590" w:type="dxa"/>
            <w:tcBorders>
              <w:top w:val="nil"/>
              <w:left w:val="nil"/>
              <w:bottom w:val="single" w:sz="4" w:space="0" w:color="auto"/>
              <w:right w:val="single" w:sz="4" w:space="0" w:color="auto"/>
            </w:tcBorders>
            <w:shd w:val="clear" w:color="auto" w:fill="auto"/>
            <w:noWrap/>
            <w:hideMark/>
          </w:tcPr>
          <w:p w14:paraId="4DC24D8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723" w:type="dxa"/>
            <w:tcBorders>
              <w:top w:val="nil"/>
              <w:left w:val="nil"/>
              <w:bottom w:val="single" w:sz="4" w:space="0" w:color="auto"/>
              <w:right w:val="single" w:sz="4" w:space="0" w:color="auto"/>
            </w:tcBorders>
            <w:shd w:val="clear" w:color="auto" w:fill="auto"/>
            <w:noWrap/>
            <w:hideMark/>
          </w:tcPr>
          <w:p w14:paraId="322445C0"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4.18</w:t>
            </w:r>
          </w:p>
        </w:tc>
        <w:tc>
          <w:tcPr>
            <w:tcW w:w="590" w:type="dxa"/>
            <w:tcBorders>
              <w:top w:val="nil"/>
              <w:left w:val="nil"/>
              <w:bottom w:val="single" w:sz="4" w:space="0" w:color="auto"/>
              <w:right w:val="single" w:sz="4" w:space="0" w:color="auto"/>
            </w:tcBorders>
            <w:shd w:val="clear" w:color="auto" w:fill="auto"/>
            <w:noWrap/>
            <w:hideMark/>
          </w:tcPr>
          <w:p w14:paraId="3494ADA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707" w:type="dxa"/>
            <w:tcBorders>
              <w:top w:val="nil"/>
              <w:left w:val="nil"/>
              <w:bottom w:val="single" w:sz="4" w:space="0" w:color="auto"/>
              <w:right w:val="single" w:sz="4" w:space="0" w:color="auto"/>
            </w:tcBorders>
            <w:shd w:val="clear" w:color="auto" w:fill="auto"/>
            <w:noWrap/>
            <w:hideMark/>
          </w:tcPr>
          <w:p w14:paraId="46D7479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noWrap/>
            <w:hideMark/>
          </w:tcPr>
          <w:p w14:paraId="4BE18CB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r>
      <w:tr w:rsidR="00CD6352" w:rsidRPr="00447321" w14:paraId="0C639698" w14:textId="77777777" w:rsidTr="001427A5">
        <w:trPr>
          <w:trHeight w:val="443"/>
        </w:trPr>
        <w:tc>
          <w:tcPr>
            <w:tcW w:w="1336" w:type="dxa"/>
            <w:tcBorders>
              <w:top w:val="nil"/>
              <w:left w:val="single" w:sz="4" w:space="0" w:color="auto"/>
              <w:bottom w:val="single" w:sz="4" w:space="0" w:color="auto"/>
              <w:right w:val="single" w:sz="4" w:space="0" w:color="auto"/>
            </w:tcBorders>
            <w:shd w:val="clear" w:color="auto" w:fill="auto"/>
            <w:hideMark/>
          </w:tcPr>
          <w:p w14:paraId="64A46B95"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Conferences &amp; seminar</w:t>
            </w:r>
          </w:p>
        </w:tc>
        <w:tc>
          <w:tcPr>
            <w:tcW w:w="876" w:type="dxa"/>
            <w:tcBorders>
              <w:top w:val="nil"/>
              <w:left w:val="nil"/>
              <w:bottom w:val="single" w:sz="4" w:space="0" w:color="auto"/>
              <w:right w:val="single" w:sz="4" w:space="0" w:color="auto"/>
            </w:tcBorders>
            <w:shd w:val="clear" w:color="auto" w:fill="auto"/>
            <w:hideMark/>
          </w:tcPr>
          <w:p w14:paraId="12C02373"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3.5</w:t>
            </w:r>
          </w:p>
        </w:tc>
        <w:tc>
          <w:tcPr>
            <w:tcW w:w="593" w:type="dxa"/>
            <w:tcBorders>
              <w:top w:val="nil"/>
              <w:left w:val="nil"/>
              <w:bottom w:val="single" w:sz="4" w:space="0" w:color="auto"/>
              <w:right w:val="single" w:sz="4" w:space="0" w:color="auto"/>
            </w:tcBorders>
            <w:shd w:val="clear" w:color="auto" w:fill="auto"/>
            <w:hideMark/>
          </w:tcPr>
          <w:p w14:paraId="701CB0F7"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603" w:type="dxa"/>
            <w:tcBorders>
              <w:top w:val="nil"/>
              <w:left w:val="nil"/>
              <w:bottom w:val="single" w:sz="4" w:space="0" w:color="auto"/>
              <w:right w:val="single" w:sz="4" w:space="0" w:color="auto"/>
            </w:tcBorders>
            <w:shd w:val="clear" w:color="auto" w:fill="auto"/>
            <w:noWrap/>
            <w:hideMark/>
          </w:tcPr>
          <w:p w14:paraId="17BDEAC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3.5</w:t>
            </w:r>
          </w:p>
        </w:tc>
        <w:tc>
          <w:tcPr>
            <w:tcW w:w="590" w:type="dxa"/>
            <w:tcBorders>
              <w:top w:val="nil"/>
              <w:left w:val="nil"/>
              <w:bottom w:val="single" w:sz="4" w:space="0" w:color="auto"/>
              <w:right w:val="single" w:sz="4" w:space="0" w:color="auto"/>
            </w:tcBorders>
            <w:shd w:val="clear" w:color="auto" w:fill="auto"/>
            <w:noWrap/>
            <w:hideMark/>
          </w:tcPr>
          <w:p w14:paraId="6BE53959"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28" w:type="dxa"/>
            <w:tcBorders>
              <w:top w:val="nil"/>
              <w:left w:val="nil"/>
              <w:bottom w:val="single" w:sz="4" w:space="0" w:color="auto"/>
              <w:right w:val="single" w:sz="4" w:space="0" w:color="auto"/>
            </w:tcBorders>
            <w:shd w:val="clear" w:color="auto" w:fill="auto"/>
            <w:noWrap/>
            <w:hideMark/>
          </w:tcPr>
          <w:p w14:paraId="53D5EFB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2.67</w:t>
            </w:r>
          </w:p>
        </w:tc>
        <w:tc>
          <w:tcPr>
            <w:tcW w:w="754" w:type="dxa"/>
            <w:tcBorders>
              <w:top w:val="nil"/>
              <w:left w:val="nil"/>
              <w:bottom w:val="single" w:sz="4" w:space="0" w:color="auto"/>
              <w:right w:val="single" w:sz="4" w:space="0" w:color="auto"/>
            </w:tcBorders>
            <w:shd w:val="clear" w:color="auto" w:fill="auto"/>
            <w:hideMark/>
          </w:tcPr>
          <w:p w14:paraId="515AE86C"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635" w:type="dxa"/>
            <w:tcBorders>
              <w:top w:val="nil"/>
              <w:left w:val="nil"/>
              <w:bottom w:val="single" w:sz="4" w:space="0" w:color="auto"/>
              <w:right w:val="single" w:sz="4" w:space="0" w:color="auto"/>
            </w:tcBorders>
            <w:shd w:val="clear" w:color="auto" w:fill="auto"/>
            <w:noWrap/>
            <w:hideMark/>
          </w:tcPr>
          <w:p w14:paraId="27934B0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3.44</w:t>
            </w:r>
          </w:p>
        </w:tc>
        <w:tc>
          <w:tcPr>
            <w:tcW w:w="590" w:type="dxa"/>
            <w:tcBorders>
              <w:top w:val="nil"/>
              <w:left w:val="nil"/>
              <w:bottom w:val="single" w:sz="4" w:space="0" w:color="auto"/>
              <w:right w:val="single" w:sz="4" w:space="0" w:color="auto"/>
            </w:tcBorders>
            <w:shd w:val="clear" w:color="auto" w:fill="auto"/>
            <w:noWrap/>
            <w:hideMark/>
          </w:tcPr>
          <w:p w14:paraId="58B1420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5</w:t>
            </w:r>
          </w:p>
        </w:tc>
        <w:tc>
          <w:tcPr>
            <w:tcW w:w="723" w:type="dxa"/>
            <w:tcBorders>
              <w:top w:val="nil"/>
              <w:left w:val="nil"/>
              <w:bottom w:val="single" w:sz="4" w:space="0" w:color="auto"/>
              <w:right w:val="single" w:sz="4" w:space="0" w:color="auto"/>
            </w:tcBorders>
            <w:shd w:val="clear" w:color="auto" w:fill="auto"/>
            <w:noWrap/>
            <w:hideMark/>
          </w:tcPr>
          <w:p w14:paraId="233FBAA6"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4.29</w:t>
            </w:r>
          </w:p>
        </w:tc>
        <w:tc>
          <w:tcPr>
            <w:tcW w:w="590" w:type="dxa"/>
            <w:tcBorders>
              <w:top w:val="nil"/>
              <w:left w:val="nil"/>
              <w:bottom w:val="single" w:sz="4" w:space="0" w:color="auto"/>
              <w:right w:val="single" w:sz="4" w:space="0" w:color="auto"/>
            </w:tcBorders>
            <w:shd w:val="clear" w:color="auto" w:fill="auto"/>
            <w:noWrap/>
            <w:hideMark/>
          </w:tcPr>
          <w:p w14:paraId="5EE8488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707" w:type="dxa"/>
            <w:tcBorders>
              <w:top w:val="nil"/>
              <w:left w:val="nil"/>
              <w:bottom w:val="single" w:sz="4" w:space="0" w:color="auto"/>
              <w:right w:val="single" w:sz="4" w:space="0" w:color="auto"/>
            </w:tcBorders>
            <w:shd w:val="clear" w:color="auto" w:fill="auto"/>
            <w:noWrap/>
            <w:hideMark/>
          </w:tcPr>
          <w:p w14:paraId="1033FF53"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3.63</w:t>
            </w:r>
          </w:p>
        </w:tc>
        <w:tc>
          <w:tcPr>
            <w:tcW w:w="590" w:type="dxa"/>
            <w:tcBorders>
              <w:top w:val="nil"/>
              <w:left w:val="nil"/>
              <w:bottom w:val="single" w:sz="4" w:space="0" w:color="auto"/>
              <w:right w:val="single" w:sz="4" w:space="0" w:color="auto"/>
            </w:tcBorders>
            <w:shd w:val="clear" w:color="auto" w:fill="auto"/>
            <w:noWrap/>
            <w:hideMark/>
          </w:tcPr>
          <w:p w14:paraId="35D6CC2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12</w:t>
            </w:r>
          </w:p>
        </w:tc>
      </w:tr>
      <w:tr w:rsidR="00CD6352" w:rsidRPr="00447321" w14:paraId="22B757CB" w14:textId="77777777" w:rsidTr="001427A5">
        <w:trPr>
          <w:trHeight w:val="665"/>
        </w:trPr>
        <w:tc>
          <w:tcPr>
            <w:tcW w:w="1336" w:type="dxa"/>
            <w:tcBorders>
              <w:top w:val="nil"/>
              <w:left w:val="single" w:sz="4" w:space="0" w:color="auto"/>
              <w:bottom w:val="single" w:sz="4" w:space="0" w:color="auto"/>
              <w:right w:val="single" w:sz="4" w:space="0" w:color="auto"/>
            </w:tcBorders>
            <w:shd w:val="clear" w:color="auto" w:fill="auto"/>
            <w:hideMark/>
          </w:tcPr>
          <w:p w14:paraId="6394FA31"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Continuing professional development</w:t>
            </w:r>
          </w:p>
        </w:tc>
        <w:tc>
          <w:tcPr>
            <w:tcW w:w="876" w:type="dxa"/>
            <w:tcBorders>
              <w:top w:val="nil"/>
              <w:left w:val="nil"/>
              <w:bottom w:val="single" w:sz="4" w:space="0" w:color="auto"/>
              <w:right w:val="single" w:sz="4" w:space="0" w:color="auto"/>
            </w:tcBorders>
            <w:shd w:val="clear" w:color="auto" w:fill="auto"/>
            <w:hideMark/>
          </w:tcPr>
          <w:p w14:paraId="654F13BF"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4.5</w:t>
            </w:r>
          </w:p>
        </w:tc>
        <w:tc>
          <w:tcPr>
            <w:tcW w:w="593" w:type="dxa"/>
            <w:tcBorders>
              <w:top w:val="nil"/>
              <w:left w:val="nil"/>
              <w:bottom w:val="single" w:sz="4" w:space="0" w:color="auto"/>
              <w:right w:val="single" w:sz="4" w:space="0" w:color="auto"/>
            </w:tcBorders>
            <w:shd w:val="clear" w:color="auto" w:fill="auto"/>
            <w:hideMark/>
          </w:tcPr>
          <w:p w14:paraId="25B58072"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603" w:type="dxa"/>
            <w:tcBorders>
              <w:top w:val="nil"/>
              <w:left w:val="nil"/>
              <w:bottom w:val="single" w:sz="4" w:space="0" w:color="auto"/>
              <w:right w:val="single" w:sz="4" w:space="0" w:color="auto"/>
            </w:tcBorders>
            <w:shd w:val="clear" w:color="auto" w:fill="auto"/>
            <w:noWrap/>
            <w:hideMark/>
          </w:tcPr>
          <w:p w14:paraId="3F0D6B2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3.7</w:t>
            </w:r>
          </w:p>
        </w:tc>
        <w:tc>
          <w:tcPr>
            <w:tcW w:w="590" w:type="dxa"/>
            <w:tcBorders>
              <w:top w:val="nil"/>
              <w:left w:val="nil"/>
              <w:bottom w:val="single" w:sz="4" w:space="0" w:color="auto"/>
              <w:right w:val="single" w:sz="4" w:space="0" w:color="auto"/>
            </w:tcBorders>
            <w:shd w:val="clear" w:color="auto" w:fill="auto"/>
            <w:noWrap/>
            <w:hideMark/>
          </w:tcPr>
          <w:p w14:paraId="00D3C967"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528" w:type="dxa"/>
            <w:tcBorders>
              <w:top w:val="nil"/>
              <w:left w:val="nil"/>
              <w:bottom w:val="single" w:sz="4" w:space="0" w:color="auto"/>
              <w:right w:val="single" w:sz="4" w:space="0" w:color="auto"/>
            </w:tcBorders>
            <w:shd w:val="clear" w:color="auto" w:fill="auto"/>
            <w:noWrap/>
            <w:hideMark/>
          </w:tcPr>
          <w:p w14:paraId="57E223E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3.33</w:t>
            </w:r>
          </w:p>
        </w:tc>
        <w:tc>
          <w:tcPr>
            <w:tcW w:w="754" w:type="dxa"/>
            <w:tcBorders>
              <w:top w:val="nil"/>
              <w:left w:val="nil"/>
              <w:bottom w:val="single" w:sz="4" w:space="0" w:color="auto"/>
              <w:right w:val="single" w:sz="4" w:space="0" w:color="auto"/>
            </w:tcBorders>
            <w:shd w:val="clear" w:color="auto" w:fill="auto"/>
            <w:hideMark/>
          </w:tcPr>
          <w:p w14:paraId="1988F4B9"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635" w:type="dxa"/>
            <w:tcBorders>
              <w:top w:val="nil"/>
              <w:left w:val="nil"/>
              <w:bottom w:val="single" w:sz="4" w:space="0" w:color="auto"/>
              <w:right w:val="single" w:sz="4" w:space="0" w:color="auto"/>
            </w:tcBorders>
            <w:shd w:val="clear" w:color="auto" w:fill="auto"/>
            <w:noWrap/>
            <w:hideMark/>
          </w:tcPr>
          <w:p w14:paraId="36210FE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4.22</w:t>
            </w:r>
          </w:p>
        </w:tc>
        <w:tc>
          <w:tcPr>
            <w:tcW w:w="590" w:type="dxa"/>
            <w:tcBorders>
              <w:top w:val="nil"/>
              <w:left w:val="nil"/>
              <w:bottom w:val="single" w:sz="4" w:space="0" w:color="auto"/>
              <w:right w:val="single" w:sz="4" w:space="0" w:color="auto"/>
            </w:tcBorders>
            <w:shd w:val="clear" w:color="auto" w:fill="auto"/>
            <w:noWrap/>
            <w:hideMark/>
          </w:tcPr>
          <w:p w14:paraId="2D6D1C8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723" w:type="dxa"/>
            <w:tcBorders>
              <w:top w:val="nil"/>
              <w:left w:val="nil"/>
              <w:bottom w:val="single" w:sz="4" w:space="0" w:color="auto"/>
              <w:right w:val="single" w:sz="4" w:space="0" w:color="auto"/>
            </w:tcBorders>
            <w:shd w:val="clear" w:color="auto" w:fill="auto"/>
            <w:noWrap/>
            <w:hideMark/>
          </w:tcPr>
          <w:p w14:paraId="4DECB65E"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4.47</w:t>
            </w:r>
          </w:p>
        </w:tc>
        <w:tc>
          <w:tcPr>
            <w:tcW w:w="590" w:type="dxa"/>
            <w:tcBorders>
              <w:top w:val="nil"/>
              <w:left w:val="nil"/>
              <w:bottom w:val="single" w:sz="4" w:space="0" w:color="auto"/>
              <w:right w:val="single" w:sz="4" w:space="0" w:color="auto"/>
            </w:tcBorders>
            <w:shd w:val="clear" w:color="auto" w:fill="auto"/>
            <w:noWrap/>
            <w:hideMark/>
          </w:tcPr>
          <w:p w14:paraId="0D1D24FE"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707" w:type="dxa"/>
            <w:tcBorders>
              <w:top w:val="nil"/>
              <w:left w:val="nil"/>
              <w:bottom w:val="single" w:sz="4" w:space="0" w:color="auto"/>
              <w:right w:val="single" w:sz="4" w:space="0" w:color="auto"/>
            </w:tcBorders>
            <w:shd w:val="clear" w:color="auto" w:fill="auto"/>
            <w:noWrap/>
            <w:hideMark/>
          </w:tcPr>
          <w:p w14:paraId="3220ECE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4.75</w:t>
            </w:r>
          </w:p>
        </w:tc>
        <w:tc>
          <w:tcPr>
            <w:tcW w:w="590" w:type="dxa"/>
            <w:tcBorders>
              <w:top w:val="nil"/>
              <w:left w:val="nil"/>
              <w:bottom w:val="single" w:sz="4" w:space="0" w:color="auto"/>
              <w:right w:val="single" w:sz="4" w:space="0" w:color="auto"/>
            </w:tcBorders>
            <w:shd w:val="clear" w:color="auto" w:fill="auto"/>
            <w:noWrap/>
            <w:hideMark/>
          </w:tcPr>
          <w:p w14:paraId="342C4DF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r>
      <w:tr w:rsidR="00CD6352" w:rsidRPr="00447321" w14:paraId="3B5CEBEC" w14:textId="77777777" w:rsidTr="001427A5">
        <w:trPr>
          <w:trHeight w:val="665"/>
        </w:trPr>
        <w:tc>
          <w:tcPr>
            <w:tcW w:w="1336" w:type="dxa"/>
            <w:tcBorders>
              <w:top w:val="nil"/>
              <w:left w:val="single" w:sz="4" w:space="0" w:color="auto"/>
              <w:bottom w:val="single" w:sz="4" w:space="0" w:color="auto"/>
              <w:right w:val="single" w:sz="4" w:space="0" w:color="auto"/>
            </w:tcBorders>
            <w:shd w:val="clear" w:color="auto" w:fill="auto"/>
            <w:hideMark/>
          </w:tcPr>
          <w:p w14:paraId="6EAFCB87"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Executive MBA(with classes on a part-time basis)</w:t>
            </w:r>
          </w:p>
        </w:tc>
        <w:tc>
          <w:tcPr>
            <w:tcW w:w="876" w:type="dxa"/>
            <w:tcBorders>
              <w:top w:val="nil"/>
              <w:left w:val="nil"/>
              <w:bottom w:val="single" w:sz="4" w:space="0" w:color="auto"/>
              <w:right w:val="single" w:sz="4" w:space="0" w:color="auto"/>
            </w:tcBorders>
            <w:shd w:val="clear" w:color="auto" w:fill="auto"/>
            <w:hideMark/>
          </w:tcPr>
          <w:p w14:paraId="691FF081"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1.5</w:t>
            </w:r>
          </w:p>
        </w:tc>
        <w:tc>
          <w:tcPr>
            <w:tcW w:w="593" w:type="dxa"/>
            <w:tcBorders>
              <w:top w:val="nil"/>
              <w:left w:val="nil"/>
              <w:bottom w:val="single" w:sz="4" w:space="0" w:color="auto"/>
              <w:right w:val="single" w:sz="4" w:space="0" w:color="auto"/>
            </w:tcBorders>
            <w:shd w:val="clear" w:color="auto" w:fill="auto"/>
            <w:hideMark/>
          </w:tcPr>
          <w:p w14:paraId="095A6573"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11</w:t>
            </w:r>
          </w:p>
        </w:tc>
        <w:tc>
          <w:tcPr>
            <w:tcW w:w="603" w:type="dxa"/>
            <w:tcBorders>
              <w:top w:val="nil"/>
              <w:left w:val="nil"/>
              <w:bottom w:val="single" w:sz="4" w:space="0" w:color="auto"/>
              <w:right w:val="single" w:sz="4" w:space="0" w:color="auto"/>
            </w:tcBorders>
            <w:shd w:val="clear" w:color="auto" w:fill="auto"/>
            <w:noWrap/>
            <w:hideMark/>
          </w:tcPr>
          <w:p w14:paraId="6BF2A56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2.5</w:t>
            </w:r>
          </w:p>
        </w:tc>
        <w:tc>
          <w:tcPr>
            <w:tcW w:w="590" w:type="dxa"/>
            <w:tcBorders>
              <w:top w:val="nil"/>
              <w:left w:val="nil"/>
              <w:bottom w:val="single" w:sz="4" w:space="0" w:color="auto"/>
              <w:right w:val="single" w:sz="4" w:space="0" w:color="auto"/>
            </w:tcBorders>
            <w:shd w:val="clear" w:color="auto" w:fill="auto"/>
            <w:noWrap/>
            <w:hideMark/>
          </w:tcPr>
          <w:p w14:paraId="56C1065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11</w:t>
            </w:r>
          </w:p>
        </w:tc>
        <w:tc>
          <w:tcPr>
            <w:tcW w:w="528" w:type="dxa"/>
            <w:tcBorders>
              <w:top w:val="nil"/>
              <w:left w:val="nil"/>
              <w:bottom w:val="single" w:sz="4" w:space="0" w:color="auto"/>
              <w:right w:val="single" w:sz="4" w:space="0" w:color="auto"/>
            </w:tcBorders>
            <w:shd w:val="clear" w:color="auto" w:fill="auto"/>
            <w:noWrap/>
            <w:hideMark/>
          </w:tcPr>
          <w:p w14:paraId="461DE77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754" w:type="dxa"/>
            <w:tcBorders>
              <w:top w:val="nil"/>
              <w:left w:val="nil"/>
              <w:bottom w:val="single" w:sz="4" w:space="0" w:color="auto"/>
              <w:right w:val="single" w:sz="4" w:space="0" w:color="auto"/>
            </w:tcBorders>
            <w:shd w:val="clear" w:color="auto" w:fill="auto"/>
            <w:hideMark/>
          </w:tcPr>
          <w:p w14:paraId="0444A2BC"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9</w:t>
            </w:r>
          </w:p>
        </w:tc>
        <w:tc>
          <w:tcPr>
            <w:tcW w:w="635" w:type="dxa"/>
            <w:tcBorders>
              <w:top w:val="nil"/>
              <w:left w:val="nil"/>
              <w:bottom w:val="single" w:sz="4" w:space="0" w:color="auto"/>
              <w:right w:val="single" w:sz="4" w:space="0" w:color="auto"/>
            </w:tcBorders>
            <w:shd w:val="clear" w:color="auto" w:fill="auto"/>
            <w:noWrap/>
            <w:hideMark/>
          </w:tcPr>
          <w:p w14:paraId="5823C11D"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2.78</w:t>
            </w:r>
          </w:p>
        </w:tc>
        <w:tc>
          <w:tcPr>
            <w:tcW w:w="590" w:type="dxa"/>
            <w:tcBorders>
              <w:top w:val="nil"/>
              <w:left w:val="nil"/>
              <w:bottom w:val="single" w:sz="4" w:space="0" w:color="auto"/>
              <w:right w:val="single" w:sz="4" w:space="0" w:color="auto"/>
            </w:tcBorders>
            <w:shd w:val="clear" w:color="auto" w:fill="auto"/>
            <w:noWrap/>
            <w:hideMark/>
          </w:tcPr>
          <w:p w14:paraId="6EB465ED"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10</w:t>
            </w:r>
          </w:p>
        </w:tc>
        <w:tc>
          <w:tcPr>
            <w:tcW w:w="723" w:type="dxa"/>
            <w:tcBorders>
              <w:top w:val="nil"/>
              <w:left w:val="nil"/>
              <w:bottom w:val="single" w:sz="4" w:space="0" w:color="auto"/>
              <w:right w:val="single" w:sz="4" w:space="0" w:color="auto"/>
            </w:tcBorders>
            <w:shd w:val="clear" w:color="auto" w:fill="auto"/>
            <w:noWrap/>
            <w:hideMark/>
          </w:tcPr>
          <w:p w14:paraId="19B7209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3.82</w:t>
            </w:r>
          </w:p>
        </w:tc>
        <w:tc>
          <w:tcPr>
            <w:tcW w:w="590" w:type="dxa"/>
            <w:tcBorders>
              <w:top w:val="nil"/>
              <w:left w:val="nil"/>
              <w:bottom w:val="single" w:sz="4" w:space="0" w:color="auto"/>
              <w:right w:val="single" w:sz="4" w:space="0" w:color="auto"/>
            </w:tcBorders>
            <w:shd w:val="clear" w:color="auto" w:fill="auto"/>
            <w:noWrap/>
            <w:hideMark/>
          </w:tcPr>
          <w:p w14:paraId="216B406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10</w:t>
            </w:r>
          </w:p>
        </w:tc>
        <w:tc>
          <w:tcPr>
            <w:tcW w:w="707" w:type="dxa"/>
            <w:tcBorders>
              <w:top w:val="nil"/>
              <w:left w:val="nil"/>
              <w:bottom w:val="single" w:sz="4" w:space="0" w:color="auto"/>
              <w:right w:val="single" w:sz="4" w:space="0" w:color="auto"/>
            </w:tcBorders>
            <w:shd w:val="clear" w:color="auto" w:fill="auto"/>
            <w:noWrap/>
            <w:hideMark/>
          </w:tcPr>
          <w:p w14:paraId="2A92F56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3.88</w:t>
            </w:r>
          </w:p>
        </w:tc>
        <w:tc>
          <w:tcPr>
            <w:tcW w:w="590" w:type="dxa"/>
            <w:tcBorders>
              <w:top w:val="nil"/>
              <w:left w:val="nil"/>
              <w:bottom w:val="single" w:sz="4" w:space="0" w:color="auto"/>
              <w:right w:val="single" w:sz="4" w:space="0" w:color="auto"/>
            </w:tcBorders>
            <w:shd w:val="clear" w:color="auto" w:fill="auto"/>
            <w:noWrap/>
            <w:hideMark/>
          </w:tcPr>
          <w:p w14:paraId="62DC6008"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9</w:t>
            </w:r>
          </w:p>
        </w:tc>
      </w:tr>
      <w:tr w:rsidR="00CD6352" w:rsidRPr="00447321" w14:paraId="4D2B3C2E" w14:textId="77777777" w:rsidTr="001427A5">
        <w:trPr>
          <w:trHeight w:val="296"/>
        </w:trPr>
        <w:tc>
          <w:tcPr>
            <w:tcW w:w="1336" w:type="dxa"/>
            <w:tcBorders>
              <w:top w:val="nil"/>
              <w:left w:val="single" w:sz="4" w:space="0" w:color="auto"/>
              <w:bottom w:val="single" w:sz="4" w:space="0" w:color="auto"/>
              <w:right w:val="single" w:sz="4" w:space="0" w:color="auto"/>
            </w:tcBorders>
            <w:shd w:val="clear" w:color="auto" w:fill="auto"/>
            <w:hideMark/>
          </w:tcPr>
          <w:p w14:paraId="76D38E7A"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External training</w:t>
            </w:r>
          </w:p>
        </w:tc>
        <w:tc>
          <w:tcPr>
            <w:tcW w:w="876" w:type="dxa"/>
            <w:tcBorders>
              <w:top w:val="nil"/>
              <w:left w:val="nil"/>
              <w:bottom w:val="single" w:sz="4" w:space="0" w:color="auto"/>
              <w:right w:val="single" w:sz="4" w:space="0" w:color="auto"/>
            </w:tcBorders>
            <w:shd w:val="clear" w:color="auto" w:fill="auto"/>
            <w:hideMark/>
          </w:tcPr>
          <w:p w14:paraId="2D0DE50B"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3" w:type="dxa"/>
            <w:tcBorders>
              <w:top w:val="nil"/>
              <w:left w:val="nil"/>
              <w:bottom w:val="single" w:sz="4" w:space="0" w:color="auto"/>
              <w:right w:val="single" w:sz="4" w:space="0" w:color="auto"/>
            </w:tcBorders>
            <w:shd w:val="clear" w:color="auto" w:fill="auto"/>
            <w:hideMark/>
          </w:tcPr>
          <w:p w14:paraId="0918A141"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7</w:t>
            </w:r>
          </w:p>
        </w:tc>
        <w:tc>
          <w:tcPr>
            <w:tcW w:w="603" w:type="dxa"/>
            <w:tcBorders>
              <w:top w:val="nil"/>
              <w:left w:val="nil"/>
              <w:bottom w:val="single" w:sz="4" w:space="0" w:color="auto"/>
              <w:right w:val="single" w:sz="4" w:space="0" w:color="auto"/>
            </w:tcBorders>
            <w:shd w:val="clear" w:color="auto" w:fill="auto"/>
            <w:noWrap/>
            <w:hideMark/>
          </w:tcPr>
          <w:p w14:paraId="10EEEE5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noWrap/>
            <w:hideMark/>
          </w:tcPr>
          <w:p w14:paraId="393959A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8</w:t>
            </w:r>
          </w:p>
        </w:tc>
        <w:tc>
          <w:tcPr>
            <w:tcW w:w="528" w:type="dxa"/>
            <w:tcBorders>
              <w:top w:val="nil"/>
              <w:left w:val="nil"/>
              <w:bottom w:val="single" w:sz="4" w:space="0" w:color="auto"/>
              <w:right w:val="single" w:sz="4" w:space="0" w:color="auto"/>
            </w:tcBorders>
            <w:shd w:val="clear" w:color="auto" w:fill="auto"/>
            <w:noWrap/>
            <w:hideMark/>
          </w:tcPr>
          <w:p w14:paraId="6830B59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754" w:type="dxa"/>
            <w:tcBorders>
              <w:top w:val="nil"/>
              <w:left w:val="nil"/>
              <w:bottom w:val="single" w:sz="4" w:space="0" w:color="auto"/>
              <w:right w:val="single" w:sz="4" w:space="0" w:color="auto"/>
            </w:tcBorders>
            <w:shd w:val="clear" w:color="auto" w:fill="auto"/>
            <w:hideMark/>
          </w:tcPr>
          <w:p w14:paraId="2FB3CAA9"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8</w:t>
            </w:r>
          </w:p>
        </w:tc>
        <w:tc>
          <w:tcPr>
            <w:tcW w:w="635" w:type="dxa"/>
            <w:tcBorders>
              <w:top w:val="nil"/>
              <w:left w:val="nil"/>
              <w:bottom w:val="single" w:sz="4" w:space="0" w:color="auto"/>
              <w:right w:val="single" w:sz="4" w:space="0" w:color="auto"/>
            </w:tcBorders>
            <w:shd w:val="clear" w:color="auto" w:fill="auto"/>
            <w:noWrap/>
            <w:hideMark/>
          </w:tcPr>
          <w:p w14:paraId="1F727696"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3.44</w:t>
            </w:r>
          </w:p>
        </w:tc>
        <w:tc>
          <w:tcPr>
            <w:tcW w:w="590" w:type="dxa"/>
            <w:tcBorders>
              <w:top w:val="nil"/>
              <w:left w:val="nil"/>
              <w:bottom w:val="single" w:sz="4" w:space="0" w:color="auto"/>
              <w:right w:val="single" w:sz="4" w:space="0" w:color="auto"/>
            </w:tcBorders>
            <w:shd w:val="clear" w:color="auto" w:fill="auto"/>
            <w:noWrap/>
            <w:hideMark/>
          </w:tcPr>
          <w:p w14:paraId="053C0D05"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8</w:t>
            </w:r>
          </w:p>
        </w:tc>
        <w:tc>
          <w:tcPr>
            <w:tcW w:w="723" w:type="dxa"/>
            <w:tcBorders>
              <w:top w:val="nil"/>
              <w:left w:val="nil"/>
              <w:bottom w:val="single" w:sz="4" w:space="0" w:color="auto"/>
              <w:right w:val="single" w:sz="4" w:space="0" w:color="auto"/>
            </w:tcBorders>
            <w:shd w:val="clear" w:color="auto" w:fill="auto"/>
            <w:noWrap/>
            <w:hideMark/>
          </w:tcPr>
          <w:p w14:paraId="6BCC38F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3.68</w:t>
            </w:r>
          </w:p>
        </w:tc>
        <w:tc>
          <w:tcPr>
            <w:tcW w:w="590" w:type="dxa"/>
            <w:tcBorders>
              <w:top w:val="nil"/>
              <w:left w:val="nil"/>
              <w:bottom w:val="single" w:sz="4" w:space="0" w:color="auto"/>
              <w:right w:val="single" w:sz="4" w:space="0" w:color="auto"/>
            </w:tcBorders>
            <w:shd w:val="clear" w:color="auto" w:fill="auto"/>
            <w:noWrap/>
            <w:hideMark/>
          </w:tcPr>
          <w:p w14:paraId="14B1D51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12</w:t>
            </w:r>
          </w:p>
        </w:tc>
        <w:tc>
          <w:tcPr>
            <w:tcW w:w="707" w:type="dxa"/>
            <w:tcBorders>
              <w:top w:val="nil"/>
              <w:left w:val="nil"/>
              <w:bottom w:val="single" w:sz="4" w:space="0" w:color="auto"/>
              <w:right w:val="single" w:sz="4" w:space="0" w:color="auto"/>
            </w:tcBorders>
            <w:shd w:val="clear" w:color="auto" w:fill="auto"/>
            <w:noWrap/>
            <w:hideMark/>
          </w:tcPr>
          <w:p w14:paraId="05479A5D"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noWrap/>
            <w:hideMark/>
          </w:tcPr>
          <w:p w14:paraId="26F9833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6</w:t>
            </w:r>
          </w:p>
        </w:tc>
      </w:tr>
      <w:tr w:rsidR="00CD6352" w:rsidRPr="00447321" w14:paraId="4AA2879F" w14:textId="77777777" w:rsidTr="001427A5">
        <w:trPr>
          <w:trHeight w:val="443"/>
        </w:trPr>
        <w:tc>
          <w:tcPr>
            <w:tcW w:w="1336" w:type="dxa"/>
            <w:tcBorders>
              <w:top w:val="nil"/>
              <w:left w:val="single" w:sz="4" w:space="0" w:color="auto"/>
              <w:bottom w:val="single" w:sz="4" w:space="0" w:color="auto"/>
              <w:right w:val="single" w:sz="4" w:space="0" w:color="auto"/>
            </w:tcBorders>
            <w:shd w:val="clear" w:color="auto" w:fill="auto"/>
            <w:hideMark/>
          </w:tcPr>
          <w:p w14:paraId="0EB085D5"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 xml:space="preserve">Learning by holding meetings </w:t>
            </w:r>
          </w:p>
        </w:tc>
        <w:tc>
          <w:tcPr>
            <w:tcW w:w="876" w:type="dxa"/>
            <w:tcBorders>
              <w:top w:val="nil"/>
              <w:left w:val="nil"/>
              <w:bottom w:val="single" w:sz="4" w:space="0" w:color="auto"/>
              <w:right w:val="single" w:sz="4" w:space="0" w:color="auto"/>
            </w:tcBorders>
            <w:shd w:val="clear" w:color="auto" w:fill="auto"/>
            <w:hideMark/>
          </w:tcPr>
          <w:p w14:paraId="250AFD0B"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3.5</w:t>
            </w:r>
          </w:p>
        </w:tc>
        <w:tc>
          <w:tcPr>
            <w:tcW w:w="593" w:type="dxa"/>
            <w:tcBorders>
              <w:top w:val="nil"/>
              <w:left w:val="nil"/>
              <w:bottom w:val="single" w:sz="4" w:space="0" w:color="auto"/>
              <w:right w:val="single" w:sz="4" w:space="0" w:color="auto"/>
            </w:tcBorders>
            <w:shd w:val="clear" w:color="auto" w:fill="auto"/>
            <w:hideMark/>
          </w:tcPr>
          <w:p w14:paraId="319A5F78"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603" w:type="dxa"/>
            <w:tcBorders>
              <w:top w:val="nil"/>
              <w:left w:val="nil"/>
              <w:bottom w:val="single" w:sz="4" w:space="0" w:color="auto"/>
              <w:right w:val="single" w:sz="4" w:space="0" w:color="auto"/>
            </w:tcBorders>
            <w:shd w:val="clear" w:color="auto" w:fill="auto"/>
            <w:noWrap/>
            <w:hideMark/>
          </w:tcPr>
          <w:p w14:paraId="0A4D5B95"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0" w:type="dxa"/>
            <w:tcBorders>
              <w:top w:val="nil"/>
              <w:left w:val="nil"/>
              <w:bottom w:val="single" w:sz="4" w:space="0" w:color="auto"/>
              <w:right w:val="single" w:sz="4" w:space="0" w:color="auto"/>
            </w:tcBorders>
            <w:shd w:val="clear" w:color="auto" w:fill="auto"/>
            <w:noWrap/>
            <w:hideMark/>
          </w:tcPr>
          <w:p w14:paraId="54BF2690"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9</w:t>
            </w:r>
          </w:p>
        </w:tc>
        <w:tc>
          <w:tcPr>
            <w:tcW w:w="528" w:type="dxa"/>
            <w:tcBorders>
              <w:top w:val="nil"/>
              <w:left w:val="nil"/>
              <w:bottom w:val="single" w:sz="4" w:space="0" w:color="auto"/>
              <w:right w:val="single" w:sz="4" w:space="0" w:color="auto"/>
            </w:tcBorders>
            <w:shd w:val="clear" w:color="auto" w:fill="auto"/>
            <w:noWrap/>
            <w:hideMark/>
          </w:tcPr>
          <w:p w14:paraId="44374E6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2.33</w:t>
            </w:r>
          </w:p>
        </w:tc>
        <w:tc>
          <w:tcPr>
            <w:tcW w:w="754" w:type="dxa"/>
            <w:tcBorders>
              <w:top w:val="nil"/>
              <w:left w:val="nil"/>
              <w:bottom w:val="single" w:sz="4" w:space="0" w:color="auto"/>
              <w:right w:val="single" w:sz="4" w:space="0" w:color="auto"/>
            </w:tcBorders>
            <w:shd w:val="clear" w:color="auto" w:fill="auto"/>
            <w:hideMark/>
          </w:tcPr>
          <w:p w14:paraId="18C8D649"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6</w:t>
            </w:r>
          </w:p>
        </w:tc>
        <w:tc>
          <w:tcPr>
            <w:tcW w:w="635" w:type="dxa"/>
            <w:tcBorders>
              <w:top w:val="nil"/>
              <w:left w:val="nil"/>
              <w:bottom w:val="single" w:sz="4" w:space="0" w:color="auto"/>
              <w:right w:val="single" w:sz="4" w:space="0" w:color="auto"/>
            </w:tcBorders>
            <w:shd w:val="clear" w:color="auto" w:fill="auto"/>
            <w:noWrap/>
            <w:hideMark/>
          </w:tcPr>
          <w:p w14:paraId="6BD17FD0"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3.78</w:t>
            </w:r>
          </w:p>
        </w:tc>
        <w:tc>
          <w:tcPr>
            <w:tcW w:w="590" w:type="dxa"/>
            <w:tcBorders>
              <w:top w:val="nil"/>
              <w:left w:val="nil"/>
              <w:bottom w:val="single" w:sz="4" w:space="0" w:color="auto"/>
              <w:right w:val="single" w:sz="4" w:space="0" w:color="auto"/>
            </w:tcBorders>
            <w:shd w:val="clear" w:color="auto" w:fill="auto"/>
            <w:noWrap/>
            <w:hideMark/>
          </w:tcPr>
          <w:p w14:paraId="5F2151D6"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723" w:type="dxa"/>
            <w:tcBorders>
              <w:top w:val="nil"/>
              <w:left w:val="nil"/>
              <w:bottom w:val="single" w:sz="4" w:space="0" w:color="auto"/>
              <w:right w:val="single" w:sz="4" w:space="0" w:color="auto"/>
            </w:tcBorders>
            <w:shd w:val="clear" w:color="auto" w:fill="auto"/>
            <w:noWrap/>
            <w:hideMark/>
          </w:tcPr>
          <w:p w14:paraId="1C4D6193"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4.06</w:t>
            </w:r>
          </w:p>
        </w:tc>
        <w:tc>
          <w:tcPr>
            <w:tcW w:w="590" w:type="dxa"/>
            <w:tcBorders>
              <w:top w:val="nil"/>
              <w:left w:val="nil"/>
              <w:bottom w:val="single" w:sz="4" w:space="0" w:color="auto"/>
              <w:right w:val="single" w:sz="4" w:space="0" w:color="auto"/>
            </w:tcBorders>
            <w:shd w:val="clear" w:color="auto" w:fill="auto"/>
            <w:noWrap/>
            <w:hideMark/>
          </w:tcPr>
          <w:p w14:paraId="5FA50E48"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7</w:t>
            </w:r>
          </w:p>
        </w:tc>
        <w:tc>
          <w:tcPr>
            <w:tcW w:w="707" w:type="dxa"/>
            <w:tcBorders>
              <w:top w:val="nil"/>
              <w:left w:val="nil"/>
              <w:bottom w:val="single" w:sz="4" w:space="0" w:color="auto"/>
              <w:right w:val="single" w:sz="4" w:space="0" w:color="auto"/>
            </w:tcBorders>
            <w:shd w:val="clear" w:color="auto" w:fill="auto"/>
            <w:noWrap/>
            <w:hideMark/>
          </w:tcPr>
          <w:p w14:paraId="5A21BDBE"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4.38</w:t>
            </w:r>
          </w:p>
        </w:tc>
        <w:tc>
          <w:tcPr>
            <w:tcW w:w="590" w:type="dxa"/>
            <w:tcBorders>
              <w:top w:val="nil"/>
              <w:left w:val="nil"/>
              <w:bottom w:val="single" w:sz="4" w:space="0" w:color="auto"/>
              <w:right w:val="single" w:sz="4" w:space="0" w:color="auto"/>
            </w:tcBorders>
            <w:shd w:val="clear" w:color="auto" w:fill="auto"/>
            <w:noWrap/>
            <w:hideMark/>
          </w:tcPr>
          <w:p w14:paraId="5B78F6D7"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r>
      <w:tr w:rsidR="00CD6352" w:rsidRPr="00447321" w14:paraId="709B3054" w14:textId="77777777" w:rsidTr="001427A5">
        <w:trPr>
          <w:trHeight w:val="443"/>
        </w:trPr>
        <w:tc>
          <w:tcPr>
            <w:tcW w:w="1336" w:type="dxa"/>
            <w:tcBorders>
              <w:top w:val="nil"/>
              <w:left w:val="single" w:sz="4" w:space="0" w:color="auto"/>
              <w:bottom w:val="single" w:sz="4" w:space="0" w:color="auto"/>
              <w:right w:val="single" w:sz="4" w:space="0" w:color="auto"/>
            </w:tcBorders>
            <w:shd w:val="clear" w:color="auto" w:fill="auto"/>
            <w:hideMark/>
          </w:tcPr>
          <w:p w14:paraId="5839BFB8"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Online and tutorial training</w:t>
            </w:r>
          </w:p>
        </w:tc>
        <w:tc>
          <w:tcPr>
            <w:tcW w:w="876" w:type="dxa"/>
            <w:tcBorders>
              <w:top w:val="nil"/>
              <w:left w:val="nil"/>
              <w:bottom w:val="single" w:sz="4" w:space="0" w:color="auto"/>
              <w:right w:val="single" w:sz="4" w:space="0" w:color="auto"/>
            </w:tcBorders>
            <w:shd w:val="clear" w:color="auto" w:fill="auto"/>
            <w:hideMark/>
          </w:tcPr>
          <w:p w14:paraId="3A7CD155"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593" w:type="dxa"/>
            <w:tcBorders>
              <w:top w:val="nil"/>
              <w:left w:val="nil"/>
              <w:bottom w:val="single" w:sz="4" w:space="0" w:color="auto"/>
              <w:right w:val="single" w:sz="4" w:space="0" w:color="auto"/>
            </w:tcBorders>
            <w:shd w:val="clear" w:color="auto" w:fill="auto"/>
            <w:hideMark/>
          </w:tcPr>
          <w:p w14:paraId="61777B66"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8</w:t>
            </w:r>
          </w:p>
        </w:tc>
        <w:tc>
          <w:tcPr>
            <w:tcW w:w="603" w:type="dxa"/>
            <w:tcBorders>
              <w:top w:val="nil"/>
              <w:left w:val="nil"/>
              <w:bottom w:val="single" w:sz="4" w:space="0" w:color="auto"/>
              <w:right w:val="single" w:sz="4" w:space="0" w:color="auto"/>
            </w:tcBorders>
            <w:shd w:val="clear" w:color="auto" w:fill="auto"/>
            <w:noWrap/>
            <w:hideMark/>
          </w:tcPr>
          <w:p w14:paraId="3FC5E9D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3.3</w:t>
            </w:r>
          </w:p>
        </w:tc>
        <w:tc>
          <w:tcPr>
            <w:tcW w:w="590" w:type="dxa"/>
            <w:tcBorders>
              <w:top w:val="nil"/>
              <w:left w:val="nil"/>
              <w:bottom w:val="single" w:sz="4" w:space="0" w:color="auto"/>
              <w:right w:val="single" w:sz="4" w:space="0" w:color="auto"/>
            </w:tcBorders>
            <w:shd w:val="clear" w:color="auto" w:fill="auto"/>
            <w:noWrap/>
            <w:hideMark/>
          </w:tcPr>
          <w:p w14:paraId="26A9E67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528" w:type="dxa"/>
            <w:tcBorders>
              <w:top w:val="nil"/>
              <w:left w:val="nil"/>
              <w:bottom w:val="single" w:sz="4" w:space="0" w:color="auto"/>
              <w:right w:val="single" w:sz="4" w:space="0" w:color="auto"/>
            </w:tcBorders>
            <w:shd w:val="clear" w:color="auto" w:fill="auto"/>
            <w:noWrap/>
            <w:hideMark/>
          </w:tcPr>
          <w:p w14:paraId="5EFBC7A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754" w:type="dxa"/>
            <w:tcBorders>
              <w:top w:val="nil"/>
              <w:left w:val="nil"/>
              <w:bottom w:val="single" w:sz="4" w:space="0" w:color="auto"/>
              <w:right w:val="single" w:sz="4" w:space="0" w:color="auto"/>
            </w:tcBorders>
            <w:shd w:val="clear" w:color="auto" w:fill="auto"/>
            <w:hideMark/>
          </w:tcPr>
          <w:p w14:paraId="7C287DF4"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10</w:t>
            </w:r>
          </w:p>
        </w:tc>
        <w:tc>
          <w:tcPr>
            <w:tcW w:w="635" w:type="dxa"/>
            <w:tcBorders>
              <w:top w:val="nil"/>
              <w:left w:val="nil"/>
              <w:bottom w:val="single" w:sz="4" w:space="0" w:color="auto"/>
              <w:right w:val="single" w:sz="4" w:space="0" w:color="auto"/>
            </w:tcBorders>
            <w:shd w:val="clear" w:color="auto" w:fill="auto"/>
            <w:noWrap/>
            <w:hideMark/>
          </w:tcPr>
          <w:p w14:paraId="387503B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2.78</w:t>
            </w:r>
          </w:p>
        </w:tc>
        <w:tc>
          <w:tcPr>
            <w:tcW w:w="590" w:type="dxa"/>
            <w:tcBorders>
              <w:top w:val="nil"/>
              <w:left w:val="nil"/>
              <w:bottom w:val="single" w:sz="4" w:space="0" w:color="auto"/>
              <w:right w:val="single" w:sz="4" w:space="0" w:color="auto"/>
            </w:tcBorders>
            <w:shd w:val="clear" w:color="auto" w:fill="auto"/>
            <w:noWrap/>
            <w:hideMark/>
          </w:tcPr>
          <w:p w14:paraId="7C1D142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11</w:t>
            </w:r>
          </w:p>
        </w:tc>
        <w:tc>
          <w:tcPr>
            <w:tcW w:w="723" w:type="dxa"/>
            <w:tcBorders>
              <w:top w:val="nil"/>
              <w:left w:val="nil"/>
              <w:bottom w:val="single" w:sz="4" w:space="0" w:color="auto"/>
              <w:right w:val="single" w:sz="4" w:space="0" w:color="auto"/>
            </w:tcBorders>
            <w:shd w:val="clear" w:color="auto" w:fill="auto"/>
            <w:noWrap/>
            <w:hideMark/>
          </w:tcPr>
          <w:p w14:paraId="029AA8E9"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3.94</w:t>
            </w:r>
          </w:p>
        </w:tc>
        <w:tc>
          <w:tcPr>
            <w:tcW w:w="590" w:type="dxa"/>
            <w:tcBorders>
              <w:top w:val="nil"/>
              <w:left w:val="nil"/>
              <w:bottom w:val="single" w:sz="4" w:space="0" w:color="auto"/>
              <w:right w:val="single" w:sz="4" w:space="0" w:color="auto"/>
            </w:tcBorders>
            <w:shd w:val="clear" w:color="auto" w:fill="auto"/>
            <w:noWrap/>
            <w:hideMark/>
          </w:tcPr>
          <w:p w14:paraId="024EA1A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9</w:t>
            </w:r>
          </w:p>
        </w:tc>
        <w:tc>
          <w:tcPr>
            <w:tcW w:w="707" w:type="dxa"/>
            <w:tcBorders>
              <w:top w:val="nil"/>
              <w:left w:val="nil"/>
              <w:bottom w:val="single" w:sz="4" w:space="0" w:color="auto"/>
              <w:right w:val="single" w:sz="4" w:space="0" w:color="auto"/>
            </w:tcBorders>
            <w:shd w:val="clear" w:color="auto" w:fill="auto"/>
            <w:noWrap/>
            <w:hideMark/>
          </w:tcPr>
          <w:p w14:paraId="1D9B4CB3"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w:t>
            </w:r>
          </w:p>
        </w:tc>
        <w:tc>
          <w:tcPr>
            <w:tcW w:w="590" w:type="dxa"/>
            <w:tcBorders>
              <w:top w:val="nil"/>
              <w:left w:val="nil"/>
              <w:bottom w:val="single" w:sz="4" w:space="0" w:color="auto"/>
              <w:right w:val="single" w:sz="4" w:space="0" w:color="auto"/>
            </w:tcBorders>
            <w:shd w:val="clear" w:color="auto" w:fill="auto"/>
            <w:noWrap/>
            <w:hideMark/>
          </w:tcPr>
          <w:p w14:paraId="69DA23C5"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7</w:t>
            </w:r>
          </w:p>
        </w:tc>
      </w:tr>
      <w:tr w:rsidR="00CD6352" w:rsidRPr="00447321" w14:paraId="41269ACE" w14:textId="77777777" w:rsidTr="001427A5">
        <w:trPr>
          <w:trHeight w:val="665"/>
        </w:trPr>
        <w:tc>
          <w:tcPr>
            <w:tcW w:w="1336" w:type="dxa"/>
            <w:tcBorders>
              <w:top w:val="nil"/>
              <w:left w:val="single" w:sz="4" w:space="0" w:color="auto"/>
              <w:bottom w:val="single" w:sz="4" w:space="0" w:color="auto"/>
              <w:right w:val="single" w:sz="4" w:space="0" w:color="auto"/>
            </w:tcBorders>
            <w:shd w:val="clear" w:color="auto" w:fill="auto"/>
            <w:hideMark/>
          </w:tcPr>
          <w:p w14:paraId="0C99F8B6"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University residential (the full-time program for some weeks )</w:t>
            </w:r>
          </w:p>
        </w:tc>
        <w:tc>
          <w:tcPr>
            <w:tcW w:w="876" w:type="dxa"/>
            <w:tcBorders>
              <w:top w:val="nil"/>
              <w:left w:val="nil"/>
              <w:bottom w:val="single" w:sz="4" w:space="0" w:color="auto"/>
              <w:right w:val="single" w:sz="4" w:space="0" w:color="auto"/>
            </w:tcBorders>
            <w:shd w:val="clear" w:color="auto" w:fill="auto"/>
            <w:hideMark/>
          </w:tcPr>
          <w:p w14:paraId="09E70AB4"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593" w:type="dxa"/>
            <w:tcBorders>
              <w:top w:val="nil"/>
              <w:left w:val="nil"/>
              <w:bottom w:val="single" w:sz="4" w:space="0" w:color="auto"/>
              <w:right w:val="single" w:sz="4" w:space="0" w:color="auto"/>
            </w:tcBorders>
            <w:shd w:val="clear" w:color="auto" w:fill="auto"/>
            <w:hideMark/>
          </w:tcPr>
          <w:p w14:paraId="7F9251C9"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12</w:t>
            </w:r>
          </w:p>
        </w:tc>
        <w:tc>
          <w:tcPr>
            <w:tcW w:w="603" w:type="dxa"/>
            <w:tcBorders>
              <w:top w:val="nil"/>
              <w:left w:val="nil"/>
              <w:bottom w:val="single" w:sz="4" w:space="0" w:color="auto"/>
              <w:right w:val="single" w:sz="4" w:space="0" w:color="auto"/>
            </w:tcBorders>
            <w:shd w:val="clear" w:color="auto" w:fill="auto"/>
            <w:noWrap/>
            <w:hideMark/>
          </w:tcPr>
          <w:p w14:paraId="2B588747"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2.5</w:t>
            </w:r>
          </w:p>
        </w:tc>
        <w:tc>
          <w:tcPr>
            <w:tcW w:w="590" w:type="dxa"/>
            <w:tcBorders>
              <w:top w:val="nil"/>
              <w:left w:val="nil"/>
              <w:bottom w:val="single" w:sz="4" w:space="0" w:color="auto"/>
              <w:right w:val="single" w:sz="4" w:space="0" w:color="auto"/>
            </w:tcBorders>
            <w:shd w:val="clear" w:color="auto" w:fill="auto"/>
            <w:noWrap/>
            <w:hideMark/>
          </w:tcPr>
          <w:p w14:paraId="7E4A80F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12</w:t>
            </w:r>
          </w:p>
        </w:tc>
        <w:tc>
          <w:tcPr>
            <w:tcW w:w="528" w:type="dxa"/>
            <w:tcBorders>
              <w:top w:val="nil"/>
              <w:left w:val="nil"/>
              <w:bottom w:val="single" w:sz="4" w:space="0" w:color="auto"/>
              <w:right w:val="single" w:sz="4" w:space="0" w:color="auto"/>
            </w:tcBorders>
            <w:shd w:val="clear" w:color="auto" w:fill="auto"/>
            <w:noWrap/>
            <w:hideMark/>
          </w:tcPr>
          <w:p w14:paraId="0B434DB8"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w:t>
            </w:r>
          </w:p>
        </w:tc>
        <w:tc>
          <w:tcPr>
            <w:tcW w:w="754" w:type="dxa"/>
            <w:tcBorders>
              <w:top w:val="nil"/>
              <w:left w:val="nil"/>
              <w:bottom w:val="single" w:sz="4" w:space="0" w:color="auto"/>
              <w:right w:val="single" w:sz="4" w:space="0" w:color="auto"/>
            </w:tcBorders>
            <w:shd w:val="clear" w:color="auto" w:fill="auto"/>
            <w:hideMark/>
          </w:tcPr>
          <w:p w14:paraId="30093D39"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12</w:t>
            </w:r>
          </w:p>
        </w:tc>
        <w:tc>
          <w:tcPr>
            <w:tcW w:w="635" w:type="dxa"/>
            <w:tcBorders>
              <w:top w:val="nil"/>
              <w:left w:val="nil"/>
              <w:bottom w:val="single" w:sz="4" w:space="0" w:color="auto"/>
              <w:right w:val="single" w:sz="4" w:space="0" w:color="auto"/>
            </w:tcBorders>
            <w:shd w:val="clear" w:color="auto" w:fill="auto"/>
            <w:noWrap/>
            <w:hideMark/>
          </w:tcPr>
          <w:p w14:paraId="6D7E821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2.67</w:t>
            </w:r>
          </w:p>
        </w:tc>
        <w:tc>
          <w:tcPr>
            <w:tcW w:w="590" w:type="dxa"/>
            <w:tcBorders>
              <w:top w:val="nil"/>
              <w:left w:val="nil"/>
              <w:bottom w:val="single" w:sz="4" w:space="0" w:color="auto"/>
              <w:right w:val="single" w:sz="4" w:space="0" w:color="auto"/>
            </w:tcBorders>
            <w:shd w:val="clear" w:color="auto" w:fill="auto"/>
            <w:noWrap/>
            <w:hideMark/>
          </w:tcPr>
          <w:p w14:paraId="2951395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12</w:t>
            </w:r>
          </w:p>
        </w:tc>
        <w:tc>
          <w:tcPr>
            <w:tcW w:w="723" w:type="dxa"/>
            <w:tcBorders>
              <w:top w:val="nil"/>
              <w:left w:val="nil"/>
              <w:bottom w:val="single" w:sz="4" w:space="0" w:color="auto"/>
              <w:right w:val="single" w:sz="4" w:space="0" w:color="auto"/>
            </w:tcBorders>
            <w:shd w:val="clear" w:color="auto" w:fill="auto"/>
            <w:noWrap/>
            <w:hideMark/>
          </w:tcPr>
          <w:p w14:paraId="2C10C29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3.82</w:t>
            </w:r>
          </w:p>
        </w:tc>
        <w:tc>
          <w:tcPr>
            <w:tcW w:w="590" w:type="dxa"/>
            <w:tcBorders>
              <w:top w:val="nil"/>
              <w:left w:val="nil"/>
              <w:bottom w:val="single" w:sz="4" w:space="0" w:color="auto"/>
              <w:right w:val="single" w:sz="4" w:space="0" w:color="auto"/>
            </w:tcBorders>
            <w:shd w:val="clear" w:color="auto" w:fill="auto"/>
            <w:noWrap/>
            <w:hideMark/>
          </w:tcPr>
          <w:p w14:paraId="1A06502F"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11</w:t>
            </w:r>
          </w:p>
        </w:tc>
        <w:tc>
          <w:tcPr>
            <w:tcW w:w="707" w:type="dxa"/>
            <w:tcBorders>
              <w:top w:val="nil"/>
              <w:left w:val="nil"/>
              <w:bottom w:val="single" w:sz="4" w:space="0" w:color="auto"/>
              <w:right w:val="single" w:sz="4" w:space="0" w:color="auto"/>
            </w:tcBorders>
            <w:shd w:val="clear" w:color="auto" w:fill="auto"/>
            <w:noWrap/>
            <w:hideMark/>
          </w:tcPr>
          <w:p w14:paraId="7F3EE46D"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3.75</w:t>
            </w:r>
          </w:p>
        </w:tc>
        <w:tc>
          <w:tcPr>
            <w:tcW w:w="590" w:type="dxa"/>
            <w:tcBorders>
              <w:top w:val="nil"/>
              <w:left w:val="nil"/>
              <w:bottom w:val="single" w:sz="4" w:space="0" w:color="auto"/>
              <w:right w:val="single" w:sz="4" w:space="0" w:color="auto"/>
            </w:tcBorders>
            <w:shd w:val="clear" w:color="auto" w:fill="auto"/>
            <w:noWrap/>
            <w:hideMark/>
          </w:tcPr>
          <w:p w14:paraId="2ACE232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11</w:t>
            </w:r>
          </w:p>
        </w:tc>
      </w:tr>
      <w:tr w:rsidR="00CD6352" w:rsidRPr="00447321" w14:paraId="7C04C610" w14:textId="77777777" w:rsidTr="001427A5">
        <w:trPr>
          <w:trHeight w:val="443"/>
        </w:trPr>
        <w:tc>
          <w:tcPr>
            <w:tcW w:w="1336" w:type="dxa"/>
            <w:tcBorders>
              <w:top w:val="nil"/>
              <w:left w:val="single" w:sz="4" w:space="0" w:color="auto"/>
              <w:bottom w:val="single" w:sz="4" w:space="0" w:color="auto"/>
              <w:right w:val="single" w:sz="4" w:space="0" w:color="auto"/>
            </w:tcBorders>
            <w:shd w:val="clear" w:color="auto" w:fill="auto"/>
            <w:hideMark/>
          </w:tcPr>
          <w:p w14:paraId="010DA74F"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Usage of formal qualification</w:t>
            </w:r>
          </w:p>
        </w:tc>
        <w:tc>
          <w:tcPr>
            <w:tcW w:w="876" w:type="dxa"/>
            <w:tcBorders>
              <w:top w:val="nil"/>
              <w:left w:val="nil"/>
              <w:bottom w:val="single" w:sz="4" w:space="0" w:color="auto"/>
              <w:right w:val="single" w:sz="4" w:space="0" w:color="auto"/>
            </w:tcBorders>
            <w:shd w:val="clear" w:color="auto" w:fill="auto"/>
            <w:hideMark/>
          </w:tcPr>
          <w:p w14:paraId="03D82658"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593" w:type="dxa"/>
            <w:tcBorders>
              <w:top w:val="nil"/>
              <w:left w:val="nil"/>
              <w:bottom w:val="single" w:sz="4" w:space="0" w:color="auto"/>
              <w:right w:val="single" w:sz="4" w:space="0" w:color="auto"/>
            </w:tcBorders>
            <w:shd w:val="clear" w:color="auto" w:fill="auto"/>
            <w:hideMark/>
          </w:tcPr>
          <w:p w14:paraId="1643AAA1"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10</w:t>
            </w:r>
          </w:p>
        </w:tc>
        <w:tc>
          <w:tcPr>
            <w:tcW w:w="603" w:type="dxa"/>
            <w:tcBorders>
              <w:top w:val="nil"/>
              <w:left w:val="nil"/>
              <w:bottom w:val="single" w:sz="4" w:space="0" w:color="auto"/>
              <w:right w:val="single" w:sz="4" w:space="0" w:color="auto"/>
            </w:tcBorders>
            <w:shd w:val="clear" w:color="auto" w:fill="auto"/>
            <w:noWrap/>
            <w:hideMark/>
          </w:tcPr>
          <w:p w14:paraId="3CF5AB5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2.5</w:t>
            </w:r>
          </w:p>
        </w:tc>
        <w:tc>
          <w:tcPr>
            <w:tcW w:w="590" w:type="dxa"/>
            <w:tcBorders>
              <w:top w:val="nil"/>
              <w:left w:val="nil"/>
              <w:bottom w:val="single" w:sz="4" w:space="0" w:color="auto"/>
              <w:right w:val="single" w:sz="4" w:space="0" w:color="auto"/>
            </w:tcBorders>
            <w:shd w:val="clear" w:color="auto" w:fill="auto"/>
            <w:noWrap/>
            <w:hideMark/>
          </w:tcPr>
          <w:p w14:paraId="37BB737E"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10</w:t>
            </w:r>
          </w:p>
        </w:tc>
        <w:tc>
          <w:tcPr>
            <w:tcW w:w="528" w:type="dxa"/>
            <w:tcBorders>
              <w:top w:val="nil"/>
              <w:left w:val="nil"/>
              <w:bottom w:val="single" w:sz="4" w:space="0" w:color="auto"/>
              <w:right w:val="single" w:sz="4" w:space="0" w:color="auto"/>
            </w:tcBorders>
            <w:shd w:val="clear" w:color="auto" w:fill="auto"/>
            <w:noWrap/>
            <w:hideMark/>
          </w:tcPr>
          <w:p w14:paraId="2D4A85F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1.75</w:t>
            </w:r>
          </w:p>
        </w:tc>
        <w:tc>
          <w:tcPr>
            <w:tcW w:w="754" w:type="dxa"/>
            <w:tcBorders>
              <w:top w:val="nil"/>
              <w:left w:val="nil"/>
              <w:bottom w:val="single" w:sz="4" w:space="0" w:color="auto"/>
              <w:right w:val="single" w:sz="4" w:space="0" w:color="auto"/>
            </w:tcBorders>
            <w:shd w:val="clear" w:color="auto" w:fill="auto"/>
            <w:hideMark/>
          </w:tcPr>
          <w:p w14:paraId="1F02ECE4"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11</w:t>
            </w:r>
          </w:p>
        </w:tc>
        <w:tc>
          <w:tcPr>
            <w:tcW w:w="635" w:type="dxa"/>
            <w:tcBorders>
              <w:top w:val="nil"/>
              <w:left w:val="nil"/>
              <w:bottom w:val="single" w:sz="4" w:space="0" w:color="auto"/>
              <w:right w:val="single" w:sz="4" w:space="0" w:color="auto"/>
            </w:tcBorders>
            <w:shd w:val="clear" w:color="auto" w:fill="auto"/>
            <w:noWrap/>
            <w:hideMark/>
          </w:tcPr>
          <w:p w14:paraId="4E46A039"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3.44</w:t>
            </w:r>
          </w:p>
        </w:tc>
        <w:tc>
          <w:tcPr>
            <w:tcW w:w="590" w:type="dxa"/>
            <w:tcBorders>
              <w:top w:val="nil"/>
              <w:left w:val="nil"/>
              <w:bottom w:val="single" w:sz="4" w:space="0" w:color="auto"/>
              <w:right w:val="single" w:sz="4" w:space="0" w:color="auto"/>
            </w:tcBorders>
            <w:shd w:val="clear" w:color="auto" w:fill="auto"/>
            <w:noWrap/>
            <w:hideMark/>
          </w:tcPr>
          <w:p w14:paraId="067D89C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6</w:t>
            </w:r>
          </w:p>
        </w:tc>
        <w:tc>
          <w:tcPr>
            <w:tcW w:w="723" w:type="dxa"/>
            <w:tcBorders>
              <w:top w:val="nil"/>
              <w:left w:val="nil"/>
              <w:bottom w:val="single" w:sz="4" w:space="0" w:color="auto"/>
              <w:right w:val="single" w:sz="4" w:space="0" w:color="auto"/>
            </w:tcBorders>
            <w:shd w:val="clear" w:color="auto" w:fill="auto"/>
            <w:noWrap/>
            <w:hideMark/>
          </w:tcPr>
          <w:p w14:paraId="191BF77B"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4.06</w:t>
            </w:r>
          </w:p>
        </w:tc>
        <w:tc>
          <w:tcPr>
            <w:tcW w:w="590" w:type="dxa"/>
            <w:tcBorders>
              <w:top w:val="nil"/>
              <w:left w:val="nil"/>
              <w:bottom w:val="single" w:sz="4" w:space="0" w:color="auto"/>
              <w:right w:val="single" w:sz="4" w:space="0" w:color="auto"/>
            </w:tcBorders>
            <w:shd w:val="clear" w:color="auto" w:fill="auto"/>
            <w:noWrap/>
            <w:hideMark/>
          </w:tcPr>
          <w:p w14:paraId="60F1EF2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6</w:t>
            </w:r>
          </w:p>
        </w:tc>
        <w:tc>
          <w:tcPr>
            <w:tcW w:w="707" w:type="dxa"/>
            <w:tcBorders>
              <w:top w:val="nil"/>
              <w:left w:val="nil"/>
              <w:bottom w:val="single" w:sz="4" w:space="0" w:color="auto"/>
              <w:right w:val="single" w:sz="4" w:space="0" w:color="auto"/>
            </w:tcBorders>
            <w:shd w:val="clear" w:color="auto" w:fill="auto"/>
            <w:noWrap/>
            <w:hideMark/>
          </w:tcPr>
          <w:p w14:paraId="3C702087"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4.25</w:t>
            </w:r>
          </w:p>
        </w:tc>
        <w:tc>
          <w:tcPr>
            <w:tcW w:w="590" w:type="dxa"/>
            <w:tcBorders>
              <w:top w:val="nil"/>
              <w:left w:val="nil"/>
              <w:bottom w:val="single" w:sz="4" w:space="0" w:color="auto"/>
              <w:right w:val="single" w:sz="4" w:space="0" w:color="auto"/>
            </w:tcBorders>
            <w:shd w:val="clear" w:color="auto" w:fill="auto"/>
            <w:noWrap/>
            <w:hideMark/>
          </w:tcPr>
          <w:p w14:paraId="349CBCD3"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r>
      <w:tr w:rsidR="00CD6352" w:rsidRPr="00447321" w14:paraId="3B5C41D6" w14:textId="77777777" w:rsidTr="001427A5">
        <w:trPr>
          <w:trHeight w:val="665"/>
        </w:trPr>
        <w:tc>
          <w:tcPr>
            <w:tcW w:w="1336" w:type="dxa"/>
            <w:tcBorders>
              <w:top w:val="nil"/>
              <w:left w:val="single" w:sz="4" w:space="0" w:color="auto"/>
              <w:bottom w:val="single" w:sz="4" w:space="0" w:color="auto"/>
              <w:right w:val="single" w:sz="4" w:space="0" w:color="auto"/>
            </w:tcBorders>
            <w:shd w:val="clear" w:color="auto" w:fill="auto"/>
            <w:hideMark/>
          </w:tcPr>
          <w:p w14:paraId="5E2F44BA"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Usage of internal program and instructors</w:t>
            </w:r>
          </w:p>
        </w:tc>
        <w:tc>
          <w:tcPr>
            <w:tcW w:w="876" w:type="dxa"/>
            <w:tcBorders>
              <w:top w:val="nil"/>
              <w:left w:val="nil"/>
              <w:bottom w:val="single" w:sz="4" w:space="0" w:color="auto"/>
              <w:right w:val="single" w:sz="4" w:space="0" w:color="auto"/>
            </w:tcBorders>
            <w:shd w:val="clear" w:color="auto" w:fill="auto"/>
            <w:hideMark/>
          </w:tcPr>
          <w:p w14:paraId="566C8995"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3.5</w:t>
            </w:r>
          </w:p>
        </w:tc>
        <w:tc>
          <w:tcPr>
            <w:tcW w:w="593" w:type="dxa"/>
            <w:tcBorders>
              <w:top w:val="nil"/>
              <w:left w:val="nil"/>
              <w:bottom w:val="single" w:sz="4" w:space="0" w:color="auto"/>
              <w:right w:val="single" w:sz="4" w:space="0" w:color="auto"/>
            </w:tcBorders>
            <w:shd w:val="clear" w:color="auto" w:fill="auto"/>
            <w:hideMark/>
          </w:tcPr>
          <w:p w14:paraId="1CE6F631"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w:t>
            </w:r>
          </w:p>
        </w:tc>
        <w:tc>
          <w:tcPr>
            <w:tcW w:w="603" w:type="dxa"/>
            <w:tcBorders>
              <w:top w:val="nil"/>
              <w:left w:val="nil"/>
              <w:bottom w:val="single" w:sz="4" w:space="0" w:color="auto"/>
              <w:right w:val="single" w:sz="4" w:space="0" w:color="auto"/>
            </w:tcBorders>
            <w:shd w:val="clear" w:color="auto" w:fill="auto"/>
            <w:noWrap/>
            <w:hideMark/>
          </w:tcPr>
          <w:p w14:paraId="637F803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3.2</w:t>
            </w:r>
          </w:p>
        </w:tc>
        <w:tc>
          <w:tcPr>
            <w:tcW w:w="590" w:type="dxa"/>
            <w:tcBorders>
              <w:top w:val="nil"/>
              <w:left w:val="nil"/>
              <w:bottom w:val="single" w:sz="4" w:space="0" w:color="auto"/>
              <w:right w:val="single" w:sz="4" w:space="0" w:color="auto"/>
            </w:tcBorders>
            <w:shd w:val="clear" w:color="auto" w:fill="auto"/>
            <w:noWrap/>
            <w:hideMark/>
          </w:tcPr>
          <w:p w14:paraId="2D6632E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6</w:t>
            </w:r>
          </w:p>
        </w:tc>
        <w:tc>
          <w:tcPr>
            <w:tcW w:w="528" w:type="dxa"/>
            <w:tcBorders>
              <w:top w:val="nil"/>
              <w:left w:val="nil"/>
              <w:bottom w:val="single" w:sz="4" w:space="0" w:color="auto"/>
              <w:right w:val="single" w:sz="4" w:space="0" w:color="auto"/>
            </w:tcBorders>
            <w:shd w:val="clear" w:color="auto" w:fill="auto"/>
            <w:noWrap/>
            <w:hideMark/>
          </w:tcPr>
          <w:p w14:paraId="44BB332A"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2</w:t>
            </w:r>
          </w:p>
        </w:tc>
        <w:tc>
          <w:tcPr>
            <w:tcW w:w="754" w:type="dxa"/>
            <w:tcBorders>
              <w:top w:val="nil"/>
              <w:left w:val="nil"/>
              <w:bottom w:val="single" w:sz="4" w:space="0" w:color="auto"/>
              <w:right w:val="single" w:sz="4" w:space="0" w:color="auto"/>
            </w:tcBorders>
            <w:shd w:val="clear" w:color="auto" w:fill="auto"/>
            <w:hideMark/>
          </w:tcPr>
          <w:p w14:paraId="5CA6A008" w14:textId="77777777" w:rsidR="00CD6352" w:rsidRPr="00447321" w:rsidRDefault="00CD6352" w:rsidP="00CD6352">
            <w:pPr>
              <w:spacing w:after="0" w:line="240" w:lineRule="auto"/>
              <w:jc w:val="both"/>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7</w:t>
            </w:r>
          </w:p>
        </w:tc>
        <w:tc>
          <w:tcPr>
            <w:tcW w:w="635" w:type="dxa"/>
            <w:tcBorders>
              <w:top w:val="nil"/>
              <w:left w:val="nil"/>
              <w:bottom w:val="single" w:sz="4" w:space="0" w:color="auto"/>
              <w:right w:val="single" w:sz="4" w:space="0" w:color="auto"/>
            </w:tcBorders>
            <w:shd w:val="clear" w:color="auto" w:fill="auto"/>
            <w:noWrap/>
            <w:hideMark/>
          </w:tcPr>
          <w:p w14:paraId="7F564192"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3.44</w:t>
            </w:r>
          </w:p>
        </w:tc>
        <w:tc>
          <w:tcPr>
            <w:tcW w:w="590" w:type="dxa"/>
            <w:tcBorders>
              <w:top w:val="nil"/>
              <w:left w:val="nil"/>
              <w:bottom w:val="single" w:sz="4" w:space="0" w:color="auto"/>
              <w:right w:val="single" w:sz="4" w:space="0" w:color="auto"/>
            </w:tcBorders>
            <w:shd w:val="clear" w:color="auto" w:fill="auto"/>
            <w:noWrap/>
            <w:hideMark/>
          </w:tcPr>
          <w:p w14:paraId="2B1E891C"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7</w:t>
            </w:r>
          </w:p>
        </w:tc>
        <w:tc>
          <w:tcPr>
            <w:tcW w:w="723" w:type="dxa"/>
            <w:tcBorders>
              <w:top w:val="nil"/>
              <w:left w:val="nil"/>
              <w:bottom w:val="single" w:sz="4" w:space="0" w:color="auto"/>
              <w:right w:val="single" w:sz="4" w:space="0" w:color="auto"/>
            </w:tcBorders>
            <w:shd w:val="clear" w:color="auto" w:fill="auto"/>
            <w:noWrap/>
            <w:hideMark/>
          </w:tcPr>
          <w:p w14:paraId="4D7EAF71"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4.12</w:t>
            </w:r>
          </w:p>
        </w:tc>
        <w:tc>
          <w:tcPr>
            <w:tcW w:w="590" w:type="dxa"/>
            <w:tcBorders>
              <w:top w:val="nil"/>
              <w:left w:val="nil"/>
              <w:bottom w:val="single" w:sz="4" w:space="0" w:color="auto"/>
              <w:right w:val="single" w:sz="4" w:space="0" w:color="auto"/>
            </w:tcBorders>
            <w:shd w:val="clear" w:color="auto" w:fill="auto"/>
            <w:noWrap/>
            <w:hideMark/>
          </w:tcPr>
          <w:p w14:paraId="101D6BB4"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5</w:t>
            </w:r>
          </w:p>
        </w:tc>
        <w:tc>
          <w:tcPr>
            <w:tcW w:w="707" w:type="dxa"/>
            <w:tcBorders>
              <w:top w:val="nil"/>
              <w:left w:val="nil"/>
              <w:bottom w:val="single" w:sz="4" w:space="0" w:color="auto"/>
              <w:right w:val="single" w:sz="4" w:space="0" w:color="auto"/>
            </w:tcBorders>
            <w:shd w:val="clear" w:color="auto" w:fill="auto"/>
            <w:noWrap/>
            <w:hideMark/>
          </w:tcPr>
          <w:p w14:paraId="53B99036"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3.88</w:t>
            </w:r>
          </w:p>
        </w:tc>
        <w:tc>
          <w:tcPr>
            <w:tcW w:w="590" w:type="dxa"/>
            <w:tcBorders>
              <w:top w:val="nil"/>
              <w:left w:val="nil"/>
              <w:bottom w:val="single" w:sz="4" w:space="0" w:color="auto"/>
              <w:right w:val="single" w:sz="4" w:space="0" w:color="auto"/>
            </w:tcBorders>
            <w:shd w:val="clear" w:color="auto" w:fill="auto"/>
            <w:noWrap/>
            <w:hideMark/>
          </w:tcPr>
          <w:p w14:paraId="10DE4DD3" w14:textId="77777777" w:rsidR="00CD6352" w:rsidRPr="00447321" w:rsidRDefault="00CD6352" w:rsidP="00CD6352">
            <w:pPr>
              <w:spacing w:after="0" w:line="240" w:lineRule="auto"/>
              <w:jc w:val="right"/>
              <w:rPr>
                <w:rFonts w:ascii="Arial" w:eastAsia="Times New Roman" w:hAnsi="Arial" w:cs="Arial"/>
                <w:color w:val="000000"/>
                <w:sz w:val="16"/>
                <w:szCs w:val="16"/>
                <w:lang w:eastAsia="en-GB"/>
              </w:rPr>
            </w:pPr>
            <w:r w:rsidRPr="00447321">
              <w:rPr>
                <w:rFonts w:ascii="Arial" w:eastAsia="Times New Roman" w:hAnsi="Arial" w:cs="Arial"/>
                <w:color w:val="000000"/>
                <w:sz w:val="16"/>
                <w:szCs w:val="16"/>
                <w:lang w:eastAsia="en-GB"/>
              </w:rPr>
              <w:t>8</w:t>
            </w:r>
          </w:p>
        </w:tc>
      </w:tr>
    </w:tbl>
    <w:p w14:paraId="5D5692B2" w14:textId="77777777" w:rsidR="00CD6352" w:rsidRDefault="00CD6352" w:rsidP="00CD6352">
      <w:pPr>
        <w:spacing w:line="360" w:lineRule="auto"/>
        <w:rPr>
          <w:rFonts w:ascii="Arial" w:hAnsi="Arial" w:cs="Arial"/>
        </w:rPr>
      </w:pPr>
    </w:p>
    <w:p w14:paraId="5D469C57" w14:textId="33100704" w:rsidR="00CD6352" w:rsidRPr="00EA7665" w:rsidRDefault="00CD6352" w:rsidP="00CD6352">
      <w:pPr>
        <w:spacing w:line="360" w:lineRule="auto"/>
        <w:rPr>
          <w:rFonts w:ascii="Arial" w:hAnsi="Arial" w:cs="Arial"/>
        </w:rPr>
      </w:pPr>
      <w:r w:rsidRPr="00EA7665">
        <w:rPr>
          <w:rFonts w:ascii="Arial" w:hAnsi="Arial" w:cs="Arial"/>
        </w:rPr>
        <w:t xml:space="preserve">The results relating to the perceived importance of approaches </w:t>
      </w:r>
      <w:r w:rsidR="002A3069" w:rsidRPr="00EA7665">
        <w:rPr>
          <w:rFonts w:ascii="Arial" w:hAnsi="Arial" w:cs="Arial"/>
        </w:rPr>
        <w:t>to management’s</w:t>
      </w:r>
      <w:r w:rsidRPr="00EA7665">
        <w:rPr>
          <w:rFonts w:ascii="Arial" w:hAnsi="Arial" w:cs="Arial"/>
        </w:rPr>
        <w:t xml:space="preserve"> training and education for securing finance for </w:t>
      </w:r>
      <w:r>
        <w:rPr>
          <w:rFonts w:ascii="Arial" w:hAnsi="Arial" w:cs="Arial"/>
        </w:rPr>
        <w:t>re</w:t>
      </w:r>
      <w:r w:rsidRPr="00EA7665">
        <w:rPr>
          <w:rFonts w:ascii="Arial" w:hAnsi="Arial" w:cs="Arial"/>
        </w:rPr>
        <w:t>al estate project development for the future ( next 5years)</w:t>
      </w:r>
      <w:r w:rsidR="003E605B">
        <w:rPr>
          <w:rFonts w:ascii="Arial" w:hAnsi="Arial" w:cs="Arial"/>
        </w:rPr>
        <w:t xml:space="preserve"> at the disaggregate level</w:t>
      </w:r>
      <w:r w:rsidRPr="00EA7665">
        <w:rPr>
          <w:rFonts w:ascii="Arial" w:hAnsi="Arial" w:cs="Arial"/>
        </w:rPr>
        <w:t xml:space="preserve"> is contained in table </w:t>
      </w:r>
      <w:r w:rsidR="002A3069">
        <w:rPr>
          <w:rFonts w:ascii="Arial" w:hAnsi="Arial" w:cs="Arial"/>
        </w:rPr>
        <w:t>9.3.9</w:t>
      </w:r>
      <w:r w:rsidRPr="00EA7665">
        <w:rPr>
          <w:rFonts w:ascii="Arial" w:hAnsi="Arial" w:cs="Arial"/>
        </w:rPr>
        <w:t xml:space="preserve">. The data shows a mean score range for Germany (4.5 to 1), UK (3.8 to 2.5), </w:t>
      </w:r>
      <w:r w:rsidR="009C0B88">
        <w:rPr>
          <w:rFonts w:ascii="Arial" w:hAnsi="Arial" w:cs="Arial"/>
        </w:rPr>
        <w:t xml:space="preserve">the </w:t>
      </w:r>
      <w:r w:rsidRPr="00EA7665">
        <w:rPr>
          <w:rFonts w:ascii="Arial" w:hAnsi="Arial" w:cs="Arial"/>
        </w:rPr>
        <w:t xml:space="preserve">US (3.33 to 1), China (4.22 to 2.67), Nigeria (4.47 to 3.68) and South Africa (4.75 to 3.63). The mean range shows that all managers in </w:t>
      </w:r>
      <w:r>
        <w:rPr>
          <w:rFonts w:ascii="Arial" w:hAnsi="Arial" w:cs="Arial"/>
        </w:rPr>
        <w:t xml:space="preserve">the </w:t>
      </w:r>
      <w:r w:rsidRPr="00EA7665">
        <w:rPr>
          <w:rFonts w:ascii="Arial" w:hAnsi="Arial" w:cs="Arial"/>
        </w:rPr>
        <w:t xml:space="preserve">UK, </w:t>
      </w:r>
      <w:r w:rsidR="00F36F66" w:rsidRPr="00EA7665">
        <w:rPr>
          <w:rFonts w:ascii="Arial" w:hAnsi="Arial" w:cs="Arial"/>
        </w:rPr>
        <w:t>China,</w:t>
      </w:r>
      <w:r w:rsidRPr="00EA7665">
        <w:rPr>
          <w:rFonts w:ascii="Arial" w:hAnsi="Arial" w:cs="Arial"/>
        </w:rPr>
        <w:t xml:space="preserve"> Nigeria and South Africa perceive all the approaches to management’s training and education </w:t>
      </w:r>
      <w:r w:rsidR="005C2663">
        <w:rPr>
          <w:rFonts w:ascii="Arial" w:hAnsi="Arial" w:cs="Arial"/>
        </w:rPr>
        <w:t xml:space="preserve">as </w:t>
      </w:r>
      <w:r w:rsidRPr="00EA7665">
        <w:rPr>
          <w:rFonts w:ascii="Arial" w:hAnsi="Arial" w:cs="Arial"/>
        </w:rPr>
        <w:t xml:space="preserve">important for the future. However, managers in Germany do not perceive </w:t>
      </w:r>
      <w:r w:rsidR="005C2663">
        <w:rPr>
          <w:rFonts w:ascii="Arial" w:hAnsi="Arial" w:cs="Arial"/>
        </w:rPr>
        <w:t xml:space="preserve">an </w:t>
      </w:r>
      <w:r w:rsidRPr="00EA7665">
        <w:rPr>
          <w:rFonts w:ascii="Arial" w:hAnsi="Arial" w:cs="Arial"/>
        </w:rPr>
        <w:t xml:space="preserve">executive MBA (with classes on </w:t>
      </w:r>
      <w:r w:rsidR="005C2663">
        <w:rPr>
          <w:rFonts w:ascii="Arial" w:hAnsi="Arial" w:cs="Arial"/>
        </w:rPr>
        <w:t xml:space="preserve">a </w:t>
      </w:r>
      <w:r w:rsidRPr="00EA7665">
        <w:rPr>
          <w:rFonts w:ascii="Arial" w:hAnsi="Arial" w:cs="Arial"/>
        </w:rPr>
        <w:t>part</w:t>
      </w:r>
      <w:r w:rsidR="005C2663">
        <w:rPr>
          <w:rFonts w:ascii="Arial" w:hAnsi="Arial" w:cs="Arial"/>
        </w:rPr>
        <w:t>-</w:t>
      </w:r>
      <w:r w:rsidRPr="00EA7665">
        <w:rPr>
          <w:rFonts w:ascii="Arial" w:hAnsi="Arial" w:cs="Arial"/>
        </w:rPr>
        <w:t xml:space="preserve">time basis) and </w:t>
      </w:r>
      <w:r w:rsidRPr="00EA7665">
        <w:rPr>
          <w:rFonts w:ascii="Arial" w:hAnsi="Arial" w:cs="Arial"/>
        </w:rPr>
        <w:lastRenderedPageBreak/>
        <w:t>University residential (</w:t>
      </w:r>
      <w:r w:rsidR="005C2663">
        <w:rPr>
          <w:rFonts w:ascii="Arial" w:hAnsi="Arial" w:cs="Arial"/>
        </w:rPr>
        <w:t>full-</w:t>
      </w:r>
      <w:r w:rsidRPr="00EA7665">
        <w:rPr>
          <w:rFonts w:ascii="Arial" w:hAnsi="Arial" w:cs="Arial"/>
        </w:rPr>
        <w:t xml:space="preserve">time program for some weeks) important for the future. In the same light, </w:t>
      </w:r>
      <w:r>
        <w:rPr>
          <w:rFonts w:ascii="Arial" w:hAnsi="Arial" w:cs="Arial"/>
        </w:rPr>
        <w:t>managers</w:t>
      </w:r>
      <w:r w:rsidRPr="00EA7665">
        <w:rPr>
          <w:rFonts w:ascii="Arial" w:hAnsi="Arial" w:cs="Arial"/>
        </w:rPr>
        <w:t xml:space="preserve"> in </w:t>
      </w:r>
      <w:r>
        <w:rPr>
          <w:rFonts w:ascii="Arial" w:hAnsi="Arial" w:cs="Arial"/>
        </w:rPr>
        <w:t xml:space="preserve">the </w:t>
      </w:r>
      <w:r w:rsidRPr="00EA7665">
        <w:rPr>
          <w:rFonts w:ascii="Arial" w:hAnsi="Arial" w:cs="Arial"/>
        </w:rPr>
        <w:t xml:space="preserve">US do not consider </w:t>
      </w:r>
      <w:r w:rsidR="005C2663">
        <w:rPr>
          <w:rFonts w:ascii="Arial" w:hAnsi="Arial" w:cs="Arial"/>
        </w:rPr>
        <w:t xml:space="preserve">the </w:t>
      </w:r>
      <w:r w:rsidRPr="00EA7665">
        <w:rPr>
          <w:rFonts w:ascii="Arial" w:hAnsi="Arial" w:cs="Arial"/>
        </w:rPr>
        <w:t>usage of formal qualification and university residential ( the full</w:t>
      </w:r>
      <w:r w:rsidR="005C2663">
        <w:rPr>
          <w:rFonts w:ascii="Arial" w:hAnsi="Arial" w:cs="Arial"/>
        </w:rPr>
        <w:t>-</w:t>
      </w:r>
      <w:r w:rsidRPr="00EA7665">
        <w:rPr>
          <w:rFonts w:ascii="Arial" w:hAnsi="Arial" w:cs="Arial"/>
        </w:rPr>
        <w:t xml:space="preserve">time program for some weeks) </w:t>
      </w:r>
      <w:r>
        <w:rPr>
          <w:rFonts w:ascii="Arial" w:hAnsi="Arial" w:cs="Arial"/>
        </w:rPr>
        <w:t>as an</w:t>
      </w:r>
      <w:r w:rsidRPr="00EA7665">
        <w:rPr>
          <w:rFonts w:ascii="Arial" w:hAnsi="Arial" w:cs="Arial"/>
        </w:rPr>
        <w:t xml:space="preserve"> important approach to management’s training and education for the future. Arguably, the negative position of managers in Germany and </w:t>
      </w:r>
      <w:r>
        <w:rPr>
          <w:rFonts w:ascii="Arial" w:hAnsi="Arial" w:cs="Arial"/>
        </w:rPr>
        <w:t xml:space="preserve">the </w:t>
      </w:r>
      <w:r w:rsidRPr="00EA7665">
        <w:rPr>
          <w:rFonts w:ascii="Arial" w:hAnsi="Arial" w:cs="Arial"/>
        </w:rPr>
        <w:t xml:space="preserve">US on these four approaches to management’s training is because of the length of time they consume. </w:t>
      </w:r>
    </w:p>
    <w:p w14:paraId="78E8A219" w14:textId="500B9BB2" w:rsidR="00CD6352" w:rsidRPr="00EA7665" w:rsidRDefault="00CD6352" w:rsidP="00CD6352">
      <w:pPr>
        <w:spacing w:line="360" w:lineRule="auto"/>
        <w:rPr>
          <w:rFonts w:ascii="Arial" w:hAnsi="Arial" w:cs="Arial"/>
        </w:rPr>
      </w:pPr>
      <w:r w:rsidRPr="00EA7665">
        <w:rPr>
          <w:rFonts w:ascii="Arial" w:hAnsi="Arial" w:cs="Arial"/>
        </w:rPr>
        <w:t>The five top approaches to management’s training and education perceived as important for the future by the survey respondents is sho</w:t>
      </w:r>
      <w:r>
        <w:rPr>
          <w:rFonts w:ascii="Arial" w:hAnsi="Arial" w:cs="Arial"/>
        </w:rPr>
        <w:t>wn</w:t>
      </w:r>
      <w:r w:rsidRPr="00EA7665">
        <w:rPr>
          <w:rFonts w:ascii="Arial" w:hAnsi="Arial" w:cs="Arial"/>
        </w:rPr>
        <w:t xml:space="preserve"> below. Notab</w:t>
      </w:r>
      <w:r>
        <w:rPr>
          <w:rFonts w:ascii="Arial" w:hAnsi="Arial" w:cs="Arial"/>
        </w:rPr>
        <w:t>ly</w:t>
      </w:r>
      <w:r w:rsidRPr="00EA7665">
        <w:rPr>
          <w:rFonts w:ascii="Arial" w:hAnsi="Arial" w:cs="Arial"/>
        </w:rPr>
        <w:t xml:space="preserve">, there </w:t>
      </w:r>
      <w:r>
        <w:rPr>
          <w:rFonts w:ascii="Arial" w:hAnsi="Arial" w:cs="Arial"/>
        </w:rPr>
        <w:t>are</w:t>
      </w:r>
      <w:r w:rsidRPr="00EA7665">
        <w:rPr>
          <w:rFonts w:ascii="Arial" w:hAnsi="Arial" w:cs="Arial"/>
        </w:rPr>
        <w:t xml:space="preserve"> no pronounced differences between choices made by managers in the developed and emerging economies. However, continuing professional development and </w:t>
      </w:r>
      <w:r w:rsidR="0004360A" w:rsidRPr="00EA7665">
        <w:rPr>
          <w:rFonts w:ascii="Arial" w:hAnsi="Arial" w:cs="Arial"/>
        </w:rPr>
        <w:t>computer-based</w:t>
      </w:r>
      <w:r w:rsidRPr="00EA7665">
        <w:rPr>
          <w:rFonts w:ascii="Arial" w:hAnsi="Arial" w:cs="Arial"/>
        </w:rPr>
        <w:t xml:space="preserve"> training come out top</w:t>
      </w:r>
      <w:r w:rsidR="005C2663">
        <w:rPr>
          <w:rFonts w:ascii="Arial" w:hAnsi="Arial" w:cs="Arial"/>
        </w:rPr>
        <w:t>-</w:t>
      </w:r>
      <w:r>
        <w:rPr>
          <w:rFonts w:ascii="Arial" w:hAnsi="Arial" w:cs="Arial"/>
        </w:rPr>
        <w:t>r</w:t>
      </w:r>
      <w:r w:rsidRPr="00EA7665">
        <w:rPr>
          <w:rFonts w:ascii="Arial" w:hAnsi="Arial" w:cs="Arial"/>
        </w:rPr>
        <w:t>anked by managers in both the developed and the emerging economies.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11"/>
        <w:gridCol w:w="3011"/>
      </w:tblGrid>
      <w:tr w:rsidR="00CD6352" w:rsidRPr="00EA7665" w14:paraId="185896B6" w14:textId="77777777" w:rsidTr="00CD6352">
        <w:trPr>
          <w:trHeight w:val="2147"/>
        </w:trPr>
        <w:tc>
          <w:tcPr>
            <w:tcW w:w="3080" w:type="dxa"/>
          </w:tcPr>
          <w:p w14:paraId="0F9F99E3" w14:textId="77777777" w:rsidR="00CD6352" w:rsidRPr="00EA7665" w:rsidRDefault="00CD6352" w:rsidP="00CD6352">
            <w:pPr>
              <w:rPr>
                <w:rFonts w:ascii="Arial" w:hAnsi="Arial" w:cs="Arial"/>
                <w:sz w:val="16"/>
                <w:szCs w:val="16"/>
              </w:rPr>
            </w:pPr>
            <w:r w:rsidRPr="00EA7665">
              <w:rPr>
                <w:rFonts w:ascii="Arial" w:hAnsi="Arial" w:cs="Arial"/>
                <w:sz w:val="16"/>
                <w:szCs w:val="16"/>
              </w:rPr>
              <w:t>Germany</w:t>
            </w:r>
          </w:p>
          <w:p w14:paraId="78DF563B" w14:textId="77777777" w:rsidR="00CD6352" w:rsidRPr="00EA7665" w:rsidRDefault="00CD6352" w:rsidP="00C74AEC">
            <w:pPr>
              <w:pStyle w:val="ListParagraph"/>
              <w:numPr>
                <w:ilvl w:val="0"/>
                <w:numId w:val="208"/>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2AFBFB30" w14:textId="77777777" w:rsidR="00CD6352" w:rsidRPr="00EA7665" w:rsidRDefault="00CD6352" w:rsidP="00C74AEC">
            <w:pPr>
              <w:pStyle w:val="ListParagraph"/>
              <w:numPr>
                <w:ilvl w:val="0"/>
                <w:numId w:val="208"/>
              </w:numPr>
              <w:spacing w:after="0" w:line="240" w:lineRule="auto"/>
              <w:rPr>
                <w:rFonts w:ascii="Arial" w:hAnsi="Arial" w:cs="Arial"/>
                <w:sz w:val="16"/>
                <w:szCs w:val="16"/>
              </w:rPr>
            </w:pPr>
            <w:r w:rsidRPr="00EA7665">
              <w:rPr>
                <w:rFonts w:ascii="Arial" w:hAnsi="Arial" w:cs="Arial"/>
                <w:sz w:val="16"/>
                <w:szCs w:val="16"/>
              </w:rPr>
              <w:t>Conferences &amp; seminar</w:t>
            </w:r>
          </w:p>
          <w:p w14:paraId="1FE02DB1" w14:textId="77777777" w:rsidR="00CD6352" w:rsidRPr="00EA7665" w:rsidRDefault="00CD6352" w:rsidP="00C74AEC">
            <w:pPr>
              <w:pStyle w:val="ListParagraph"/>
              <w:numPr>
                <w:ilvl w:val="0"/>
                <w:numId w:val="208"/>
              </w:numPr>
              <w:spacing w:after="0" w:line="240" w:lineRule="auto"/>
              <w:rPr>
                <w:rFonts w:ascii="Arial" w:hAnsi="Arial" w:cs="Arial"/>
                <w:sz w:val="16"/>
                <w:szCs w:val="16"/>
              </w:rPr>
            </w:pPr>
            <w:r w:rsidRPr="00EA7665">
              <w:rPr>
                <w:rFonts w:ascii="Arial" w:hAnsi="Arial" w:cs="Arial"/>
                <w:sz w:val="16"/>
                <w:szCs w:val="16"/>
              </w:rPr>
              <w:t xml:space="preserve">Learning by holding meetings </w:t>
            </w:r>
          </w:p>
          <w:p w14:paraId="76459D30" w14:textId="77777777" w:rsidR="00CD6352" w:rsidRPr="00EA7665" w:rsidRDefault="00CD6352" w:rsidP="00C74AEC">
            <w:pPr>
              <w:pStyle w:val="ListParagraph"/>
              <w:numPr>
                <w:ilvl w:val="0"/>
                <w:numId w:val="208"/>
              </w:numPr>
              <w:spacing w:after="0" w:line="240" w:lineRule="auto"/>
              <w:rPr>
                <w:rFonts w:ascii="Arial" w:hAnsi="Arial" w:cs="Arial"/>
                <w:sz w:val="16"/>
                <w:szCs w:val="16"/>
              </w:rPr>
            </w:pPr>
            <w:r w:rsidRPr="00EA7665">
              <w:rPr>
                <w:rFonts w:ascii="Arial" w:hAnsi="Arial" w:cs="Arial"/>
                <w:sz w:val="16"/>
                <w:szCs w:val="16"/>
              </w:rPr>
              <w:t>Usage of internal program and instructors</w:t>
            </w:r>
          </w:p>
          <w:p w14:paraId="67AC3BFD" w14:textId="77777777" w:rsidR="00CD6352" w:rsidRPr="00EA7665" w:rsidRDefault="00CD6352" w:rsidP="00C74AEC">
            <w:pPr>
              <w:pStyle w:val="ListParagraph"/>
              <w:numPr>
                <w:ilvl w:val="0"/>
                <w:numId w:val="208"/>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558634FF" w14:textId="77777777" w:rsidR="00CD6352" w:rsidRPr="00EA7665" w:rsidRDefault="00CD6352" w:rsidP="00CD6352">
            <w:pPr>
              <w:rPr>
                <w:rFonts w:ascii="Arial" w:hAnsi="Arial" w:cs="Arial"/>
                <w:sz w:val="16"/>
                <w:szCs w:val="16"/>
              </w:rPr>
            </w:pPr>
          </w:p>
        </w:tc>
        <w:tc>
          <w:tcPr>
            <w:tcW w:w="3081" w:type="dxa"/>
          </w:tcPr>
          <w:p w14:paraId="18ABFD8B" w14:textId="77777777" w:rsidR="00CD6352" w:rsidRPr="00EA7665" w:rsidRDefault="00CD6352" w:rsidP="00CD6352">
            <w:pPr>
              <w:rPr>
                <w:rFonts w:ascii="Arial" w:hAnsi="Arial" w:cs="Arial"/>
                <w:sz w:val="16"/>
                <w:szCs w:val="16"/>
              </w:rPr>
            </w:pPr>
            <w:r w:rsidRPr="00EA7665">
              <w:rPr>
                <w:rFonts w:ascii="Arial" w:hAnsi="Arial" w:cs="Arial"/>
                <w:sz w:val="16"/>
                <w:szCs w:val="16"/>
              </w:rPr>
              <w:t>UK</w:t>
            </w:r>
          </w:p>
          <w:p w14:paraId="192A8E59" w14:textId="77777777" w:rsidR="00CD6352" w:rsidRPr="00EA7665" w:rsidRDefault="00CD6352" w:rsidP="00C74AEC">
            <w:pPr>
              <w:pStyle w:val="ListParagraph"/>
              <w:numPr>
                <w:ilvl w:val="0"/>
                <w:numId w:val="207"/>
              </w:numPr>
              <w:spacing w:after="0" w:line="240" w:lineRule="auto"/>
              <w:rPr>
                <w:rFonts w:ascii="Arial" w:hAnsi="Arial" w:cs="Arial"/>
                <w:sz w:val="16"/>
                <w:szCs w:val="16"/>
              </w:rPr>
            </w:pPr>
            <w:r w:rsidRPr="00EA7665">
              <w:rPr>
                <w:rFonts w:ascii="Arial" w:hAnsi="Arial" w:cs="Arial"/>
                <w:sz w:val="16"/>
                <w:szCs w:val="16"/>
              </w:rPr>
              <w:t>Computer-based training</w:t>
            </w:r>
          </w:p>
          <w:p w14:paraId="10A39F70" w14:textId="77777777" w:rsidR="00CD6352" w:rsidRPr="00EA7665" w:rsidRDefault="00CD6352" w:rsidP="00C74AEC">
            <w:pPr>
              <w:pStyle w:val="ListParagraph"/>
              <w:numPr>
                <w:ilvl w:val="0"/>
                <w:numId w:val="207"/>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70283A84" w14:textId="77777777" w:rsidR="00CD6352" w:rsidRPr="00EA7665" w:rsidRDefault="00CD6352" w:rsidP="00C74AEC">
            <w:pPr>
              <w:pStyle w:val="ListParagraph"/>
              <w:numPr>
                <w:ilvl w:val="0"/>
                <w:numId w:val="207"/>
              </w:numPr>
              <w:spacing w:after="0" w:line="240" w:lineRule="auto"/>
              <w:rPr>
                <w:rFonts w:ascii="Arial" w:hAnsi="Arial" w:cs="Arial"/>
                <w:sz w:val="16"/>
                <w:szCs w:val="16"/>
              </w:rPr>
            </w:pPr>
            <w:r w:rsidRPr="00EA7665">
              <w:rPr>
                <w:rFonts w:ascii="Arial" w:hAnsi="Arial" w:cs="Arial"/>
                <w:sz w:val="16"/>
                <w:szCs w:val="16"/>
              </w:rPr>
              <w:t>Conferences &amp; seminar</w:t>
            </w:r>
          </w:p>
          <w:p w14:paraId="5259C7F2" w14:textId="77777777" w:rsidR="00CD6352" w:rsidRPr="00EA7665" w:rsidRDefault="00CD6352" w:rsidP="00C74AEC">
            <w:pPr>
              <w:pStyle w:val="ListParagraph"/>
              <w:numPr>
                <w:ilvl w:val="0"/>
                <w:numId w:val="207"/>
              </w:numPr>
              <w:spacing w:after="0" w:line="240" w:lineRule="auto"/>
              <w:rPr>
                <w:rFonts w:ascii="Arial" w:hAnsi="Arial" w:cs="Arial"/>
                <w:sz w:val="16"/>
                <w:szCs w:val="16"/>
              </w:rPr>
            </w:pPr>
            <w:r w:rsidRPr="00EA7665">
              <w:rPr>
                <w:rFonts w:ascii="Arial" w:hAnsi="Arial" w:cs="Arial"/>
                <w:sz w:val="16"/>
                <w:szCs w:val="16"/>
              </w:rPr>
              <w:t>Online and tutorial training</w:t>
            </w:r>
          </w:p>
          <w:p w14:paraId="595881A1" w14:textId="77777777" w:rsidR="00CD6352" w:rsidRPr="00EA7665" w:rsidRDefault="00CD6352" w:rsidP="00C74AEC">
            <w:pPr>
              <w:pStyle w:val="ListParagraph"/>
              <w:numPr>
                <w:ilvl w:val="0"/>
                <w:numId w:val="207"/>
              </w:numPr>
              <w:spacing w:after="0" w:line="240" w:lineRule="auto"/>
              <w:rPr>
                <w:rFonts w:ascii="Arial" w:hAnsi="Arial" w:cs="Arial"/>
                <w:sz w:val="16"/>
                <w:szCs w:val="16"/>
              </w:rPr>
            </w:pPr>
            <w:r w:rsidRPr="00EA7665">
              <w:rPr>
                <w:rFonts w:ascii="Arial" w:hAnsi="Arial" w:cs="Arial"/>
                <w:sz w:val="16"/>
                <w:szCs w:val="16"/>
              </w:rPr>
              <w:t>Classroom instructor-led training for a short period(offered by consultants)</w:t>
            </w:r>
          </w:p>
        </w:tc>
        <w:tc>
          <w:tcPr>
            <w:tcW w:w="3081" w:type="dxa"/>
          </w:tcPr>
          <w:p w14:paraId="3371DADA" w14:textId="77777777" w:rsidR="00CD6352" w:rsidRPr="00EA7665" w:rsidRDefault="00CD6352" w:rsidP="00CD6352">
            <w:pPr>
              <w:rPr>
                <w:rFonts w:ascii="Arial" w:hAnsi="Arial" w:cs="Arial"/>
                <w:sz w:val="16"/>
                <w:szCs w:val="16"/>
              </w:rPr>
            </w:pPr>
            <w:r w:rsidRPr="00EA7665">
              <w:rPr>
                <w:rFonts w:ascii="Arial" w:hAnsi="Arial" w:cs="Arial"/>
                <w:sz w:val="16"/>
                <w:szCs w:val="16"/>
              </w:rPr>
              <w:t>US</w:t>
            </w:r>
          </w:p>
          <w:p w14:paraId="31E59D1C" w14:textId="77777777" w:rsidR="00CD6352" w:rsidRPr="00EA7665" w:rsidRDefault="00CD6352" w:rsidP="00C74AEC">
            <w:pPr>
              <w:pStyle w:val="ListParagraph"/>
              <w:numPr>
                <w:ilvl w:val="0"/>
                <w:numId w:val="206"/>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50C912B0" w14:textId="77777777" w:rsidR="00CD6352" w:rsidRPr="00EA7665" w:rsidRDefault="00CD6352" w:rsidP="00C74AEC">
            <w:pPr>
              <w:pStyle w:val="ListParagraph"/>
              <w:numPr>
                <w:ilvl w:val="0"/>
                <w:numId w:val="206"/>
              </w:numPr>
              <w:spacing w:after="0" w:line="240" w:lineRule="auto"/>
              <w:rPr>
                <w:rFonts w:ascii="Arial" w:hAnsi="Arial" w:cs="Arial"/>
                <w:sz w:val="16"/>
                <w:szCs w:val="16"/>
              </w:rPr>
            </w:pPr>
            <w:r w:rsidRPr="00EA7665">
              <w:rPr>
                <w:rFonts w:ascii="Arial" w:hAnsi="Arial" w:cs="Arial"/>
                <w:sz w:val="16"/>
                <w:szCs w:val="16"/>
              </w:rPr>
              <w:t>Conferences &amp; seminar</w:t>
            </w:r>
          </w:p>
          <w:p w14:paraId="4CDEC9C5" w14:textId="77777777" w:rsidR="00CD6352" w:rsidRPr="00EA7665" w:rsidRDefault="00CD6352" w:rsidP="00C74AEC">
            <w:pPr>
              <w:pStyle w:val="ListParagraph"/>
              <w:numPr>
                <w:ilvl w:val="0"/>
                <w:numId w:val="206"/>
              </w:numPr>
              <w:spacing w:after="0" w:line="240" w:lineRule="auto"/>
              <w:rPr>
                <w:rFonts w:ascii="Arial" w:hAnsi="Arial" w:cs="Arial"/>
                <w:sz w:val="16"/>
                <w:szCs w:val="16"/>
              </w:rPr>
            </w:pPr>
            <w:r w:rsidRPr="00EA7665">
              <w:rPr>
                <w:rFonts w:ascii="Arial" w:hAnsi="Arial" w:cs="Arial"/>
                <w:sz w:val="16"/>
                <w:szCs w:val="16"/>
              </w:rPr>
              <w:t>Computer-based training</w:t>
            </w:r>
          </w:p>
          <w:p w14:paraId="19EF709F" w14:textId="77777777" w:rsidR="00CD6352" w:rsidRPr="00EA7665" w:rsidRDefault="00CD6352" w:rsidP="00C74AEC">
            <w:pPr>
              <w:pStyle w:val="ListParagraph"/>
              <w:numPr>
                <w:ilvl w:val="0"/>
                <w:numId w:val="206"/>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11C04660" w14:textId="77777777" w:rsidR="00CD6352" w:rsidRPr="00EA7665" w:rsidRDefault="00CD6352" w:rsidP="00C74AEC">
            <w:pPr>
              <w:pStyle w:val="ListParagraph"/>
              <w:numPr>
                <w:ilvl w:val="0"/>
                <w:numId w:val="206"/>
              </w:numPr>
              <w:spacing w:after="0" w:line="240" w:lineRule="auto"/>
              <w:rPr>
                <w:rFonts w:ascii="Arial" w:hAnsi="Arial" w:cs="Arial"/>
                <w:sz w:val="16"/>
                <w:szCs w:val="16"/>
              </w:rPr>
            </w:pPr>
            <w:r w:rsidRPr="00EA7665">
              <w:rPr>
                <w:rFonts w:ascii="Arial" w:hAnsi="Arial" w:cs="Arial"/>
                <w:sz w:val="16"/>
                <w:szCs w:val="16"/>
              </w:rPr>
              <w:t>Classroom instructor-led training for a short period(offered by consultants)</w:t>
            </w:r>
          </w:p>
        </w:tc>
      </w:tr>
      <w:tr w:rsidR="00CD6352" w:rsidRPr="00EA7665" w14:paraId="4B49A3E5" w14:textId="77777777" w:rsidTr="00CD6352">
        <w:tc>
          <w:tcPr>
            <w:tcW w:w="3080" w:type="dxa"/>
          </w:tcPr>
          <w:p w14:paraId="199A82AF" w14:textId="77777777" w:rsidR="00CD6352" w:rsidRPr="00EA7665" w:rsidRDefault="00CD6352" w:rsidP="00CD6352">
            <w:pPr>
              <w:rPr>
                <w:rFonts w:ascii="Arial" w:hAnsi="Arial" w:cs="Arial"/>
                <w:sz w:val="16"/>
                <w:szCs w:val="16"/>
              </w:rPr>
            </w:pPr>
            <w:r w:rsidRPr="00EA7665">
              <w:rPr>
                <w:rFonts w:ascii="Arial" w:hAnsi="Arial" w:cs="Arial"/>
                <w:sz w:val="16"/>
                <w:szCs w:val="16"/>
              </w:rPr>
              <w:t>China</w:t>
            </w:r>
          </w:p>
          <w:p w14:paraId="579440C0" w14:textId="77777777" w:rsidR="00CD6352" w:rsidRPr="00EA7665" w:rsidRDefault="00CD6352" w:rsidP="00C74AEC">
            <w:pPr>
              <w:pStyle w:val="ListParagraph"/>
              <w:numPr>
                <w:ilvl w:val="0"/>
                <w:numId w:val="205"/>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6D84E309" w14:textId="77777777" w:rsidR="00CD6352" w:rsidRPr="00EA7665" w:rsidRDefault="00CD6352" w:rsidP="00C74AEC">
            <w:pPr>
              <w:pStyle w:val="ListParagraph"/>
              <w:numPr>
                <w:ilvl w:val="0"/>
                <w:numId w:val="205"/>
              </w:numPr>
              <w:spacing w:after="0" w:line="240" w:lineRule="auto"/>
              <w:rPr>
                <w:rFonts w:ascii="Arial" w:hAnsi="Arial" w:cs="Arial"/>
                <w:sz w:val="16"/>
                <w:szCs w:val="16"/>
              </w:rPr>
            </w:pPr>
            <w:r w:rsidRPr="00EA7665">
              <w:rPr>
                <w:rFonts w:ascii="Arial" w:hAnsi="Arial" w:cs="Arial"/>
                <w:sz w:val="16"/>
                <w:szCs w:val="16"/>
              </w:rPr>
              <w:t>Computer-based training</w:t>
            </w:r>
          </w:p>
          <w:p w14:paraId="1E06AF95" w14:textId="77777777" w:rsidR="00CD6352" w:rsidRPr="00EA7665" w:rsidRDefault="00CD6352" w:rsidP="00C74AEC">
            <w:pPr>
              <w:pStyle w:val="ListParagraph"/>
              <w:numPr>
                <w:ilvl w:val="0"/>
                <w:numId w:val="205"/>
              </w:numPr>
              <w:spacing w:after="0" w:line="240" w:lineRule="auto"/>
              <w:rPr>
                <w:rFonts w:ascii="Arial" w:hAnsi="Arial" w:cs="Arial"/>
                <w:sz w:val="16"/>
                <w:szCs w:val="16"/>
              </w:rPr>
            </w:pPr>
            <w:r w:rsidRPr="00EA7665">
              <w:rPr>
                <w:rFonts w:ascii="Arial" w:hAnsi="Arial" w:cs="Arial"/>
                <w:sz w:val="16"/>
                <w:szCs w:val="16"/>
              </w:rPr>
              <w:t xml:space="preserve">Learning by holding meetings </w:t>
            </w:r>
          </w:p>
          <w:p w14:paraId="018A9C68" w14:textId="77777777" w:rsidR="00CD6352" w:rsidRPr="00EA7665" w:rsidRDefault="00CD6352" w:rsidP="00C74AEC">
            <w:pPr>
              <w:pStyle w:val="ListParagraph"/>
              <w:numPr>
                <w:ilvl w:val="0"/>
                <w:numId w:val="205"/>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3D9EFAE1" w14:textId="77777777" w:rsidR="00CD6352" w:rsidRPr="00EA7665" w:rsidRDefault="00CD6352" w:rsidP="00C74AEC">
            <w:pPr>
              <w:pStyle w:val="ListParagraph"/>
              <w:numPr>
                <w:ilvl w:val="0"/>
                <w:numId w:val="205"/>
              </w:numPr>
              <w:spacing w:after="0" w:line="240" w:lineRule="auto"/>
              <w:rPr>
                <w:rFonts w:ascii="Arial" w:hAnsi="Arial" w:cs="Arial"/>
                <w:sz w:val="16"/>
                <w:szCs w:val="16"/>
              </w:rPr>
            </w:pPr>
            <w:r w:rsidRPr="00EA7665">
              <w:rPr>
                <w:rFonts w:ascii="Arial" w:hAnsi="Arial" w:cs="Arial"/>
                <w:sz w:val="16"/>
                <w:szCs w:val="16"/>
              </w:rPr>
              <w:t>Conferences &amp; seminar</w:t>
            </w:r>
          </w:p>
          <w:p w14:paraId="170B4CF4" w14:textId="77777777" w:rsidR="00CD6352" w:rsidRPr="00EA7665" w:rsidRDefault="00CD6352" w:rsidP="00CD6352">
            <w:pPr>
              <w:rPr>
                <w:rFonts w:ascii="Arial" w:hAnsi="Arial" w:cs="Arial"/>
                <w:sz w:val="16"/>
                <w:szCs w:val="16"/>
              </w:rPr>
            </w:pPr>
          </w:p>
        </w:tc>
        <w:tc>
          <w:tcPr>
            <w:tcW w:w="3081" w:type="dxa"/>
          </w:tcPr>
          <w:p w14:paraId="2793E8F6" w14:textId="77777777" w:rsidR="00CD6352" w:rsidRPr="00EA7665" w:rsidRDefault="00CD6352" w:rsidP="00CD6352">
            <w:pPr>
              <w:rPr>
                <w:rFonts w:ascii="Arial" w:hAnsi="Arial" w:cs="Arial"/>
                <w:sz w:val="16"/>
                <w:szCs w:val="16"/>
              </w:rPr>
            </w:pPr>
            <w:r w:rsidRPr="00EA7665">
              <w:rPr>
                <w:rFonts w:ascii="Arial" w:hAnsi="Arial" w:cs="Arial"/>
                <w:sz w:val="16"/>
                <w:szCs w:val="16"/>
              </w:rPr>
              <w:t>Nigeria</w:t>
            </w:r>
          </w:p>
          <w:p w14:paraId="705CE14F" w14:textId="77777777" w:rsidR="00CD6352" w:rsidRPr="00EA7665" w:rsidRDefault="00CD6352" w:rsidP="00C74AEC">
            <w:pPr>
              <w:pStyle w:val="ListParagraph"/>
              <w:numPr>
                <w:ilvl w:val="0"/>
                <w:numId w:val="204"/>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363C7987" w14:textId="77777777" w:rsidR="00CD6352" w:rsidRPr="00EA7665" w:rsidRDefault="00CD6352" w:rsidP="00C74AEC">
            <w:pPr>
              <w:pStyle w:val="ListParagraph"/>
              <w:numPr>
                <w:ilvl w:val="0"/>
                <w:numId w:val="204"/>
              </w:numPr>
              <w:spacing w:after="0" w:line="240" w:lineRule="auto"/>
              <w:rPr>
                <w:rFonts w:ascii="Arial" w:hAnsi="Arial" w:cs="Arial"/>
                <w:sz w:val="16"/>
                <w:szCs w:val="16"/>
              </w:rPr>
            </w:pPr>
            <w:r w:rsidRPr="00EA7665">
              <w:rPr>
                <w:rFonts w:ascii="Arial" w:hAnsi="Arial" w:cs="Arial"/>
                <w:sz w:val="16"/>
                <w:szCs w:val="16"/>
              </w:rPr>
              <w:t>Conferences &amp; seminar</w:t>
            </w:r>
          </w:p>
          <w:p w14:paraId="490F0430" w14:textId="77777777" w:rsidR="00CD6352" w:rsidRPr="00EA7665" w:rsidRDefault="00CD6352" w:rsidP="00C74AEC">
            <w:pPr>
              <w:pStyle w:val="ListParagraph"/>
              <w:numPr>
                <w:ilvl w:val="0"/>
                <w:numId w:val="204"/>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60207E9A" w14:textId="77777777" w:rsidR="00CD6352" w:rsidRPr="00EA7665" w:rsidRDefault="00CD6352" w:rsidP="00C74AEC">
            <w:pPr>
              <w:pStyle w:val="ListParagraph"/>
              <w:numPr>
                <w:ilvl w:val="0"/>
                <w:numId w:val="204"/>
              </w:numPr>
              <w:spacing w:after="0" w:line="240" w:lineRule="auto"/>
              <w:rPr>
                <w:rFonts w:ascii="Arial" w:hAnsi="Arial" w:cs="Arial"/>
                <w:sz w:val="16"/>
                <w:szCs w:val="16"/>
              </w:rPr>
            </w:pPr>
            <w:r w:rsidRPr="00EA7665">
              <w:rPr>
                <w:rFonts w:ascii="Arial" w:hAnsi="Arial" w:cs="Arial"/>
                <w:sz w:val="16"/>
                <w:szCs w:val="16"/>
              </w:rPr>
              <w:t>Computer-based training</w:t>
            </w:r>
          </w:p>
          <w:p w14:paraId="59A5B9A1" w14:textId="77777777" w:rsidR="00CD6352" w:rsidRPr="00EA7665" w:rsidRDefault="00CD6352" w:rsidP="00C74AEC">
            <w:pPr>
              <w:pStyle w:val="ListParagraph"/>
              <w:numPr>
                <w:ilvl w:val="0"/>
                <w:numId w:val="204"/>
              </w:numPr>
              <w:spacing w:after="0" w:line="240" w:lineRule="auto"/>
              <w:rPr>
                <w:rFonts w:ascii="Arial" w:hAnsi="Arial" w:cs="Arial"/>
                <w:sz w:val="16"/>
                <w:szCs w:val="16"/>
              </w:rPr>
            </w:pPr>
            <w:r w:rsidRPr="00EA7665">
              <w:rPr>
                <w:rFonts w:ascii="Arial" w:hAnsi="Arial" w:cs="Arial"/>
                <w:sz w:val="16"/>
                <w:szCs w:val="16"/>
              </w:rPr>
              <w:t>Usage of internal program and instructors</w:t>
            </w:r>
          </w:p>
        </w:tc>
        <w:tc>
          <w:tcPr>
            <w:tcW w:w="3081" w:type="dxa"/>
          </w:tcPr>
          <w:p w14:paraId="45CF2D9B" w14:textId="77777777" w:rsidR="00CD6352" w:rsidRPr="00EA7665" w:rsidRDefault="00CD6352" w:rsidP="00CD6352">
            <w:pPr>
              <w:rPr>
                <w:rFonts w:ascii="Arial" w:hAnsi="Arial" w:cs="Arial"/>
                <w:sz w:val="16"/>
                <w:szCs w:val="16"/>
              </w:rPr>
            </w:pPr>
            <w:r w:rsidRPr="00EA7665">
              <w:rPr>
                <w:rFonts w:ascii="Arial" w:hAnsi="Arial" w:cs="Arial"/>
                <w:sz w:val="16"/>
                <w:szCs w:val="16"/>
              </w:rPr>
              <w:t>South Africa</w:t>
            </w:r>
          </w:p>
          <w:p w14:paraId="38155E2A" w14:textId="77777777" w:rsidR="00CD6352" w:rsidRPr="00EA7665" w:rsidRDefault="00CD6352" w:rsidP="00C74AEC">
            <w:pPr>
              <w:pStyle w:val="ListParagraph"/>
              <w:numPr>
                <w:ilvl w:val="0"/>
                <w:numId w:val="203"/>
              </w:numPr>
              <w:spacing w:after="0" w:line="240" w:lineRule="auto"/>
              <w:rPr>
                <w:rFonts w:ascii="Arial" w:hAnsi="Arial" w:cs="Arial"/>
                <w:sz w:val="16"/>
                <w:szCs w:val="16"/>
              </w:rPr>
            </w:pPr>
            <w:r w:rsidRPr="00EA7665">
              <w:rPr>
                <w:rFonts w:ascii="Arial" w:hAnsi="Arial" w:cs="Arial"/>
                <w:sz w:val="16"/>
                <w:szCs w:val="16"/>
              </w:rPr>
              <w:t>Continuing professional development</w:t>
            </w:r>
          </w:p>
          <w:p w14:paraId="26CA3658" w14:textId="77777777" w:rsidR="00CD6352" w:rsidRPr="00EA7665" w:rsidRDefault="00CD6352" w:rsidP="00C74AEC">
            <w:pPr>
              <w:pStyle w:val="ListParagraph"/>
              <w:numPr>
                <w:ilvl w:val="0"/>
                <w:numId w:val="203"/>
              </w:numPr>
              <w:spacing w:after="0" w:line="240" w:lineRule="auto"/>
              <w:rPr>
                <w:rFonts w:ascii="Arial" w:hAnsi="Arial" w:cs="Arial"/>
                <w:sz w:val="16"/>
                <w:szCs w:val="16"/>
              </w:rPr>
            </w:pPr>
            <w:r w:rsidRPr="00EA7665">
              <w:rPr>
                <w:rFonts w:ascii="Arial" w:hAnsi="Arial" w:cs="Arial"/>
                <w:sz w:val="16"/>
                <w:szCs w:val="16"/>
              </w:rPr>
              <w:t xml:space="preserve">Learning by holding meetings </w:t>
            </w:r>
          </w:p>
          <w:p w14:paraId="36939394" w14:textId="77777777" w:rsidR="00CD6352" w:rsidRPr="00EA7665" w:rsidRDefault="00CD6352" w:rsidP="00C74AEC">
            <w:pPr>
              <w:pStyle w:val="ListParagraph"/>
              <w:numPr>
                <w:ilvl w:val="0"/>
                <w:numId w:val="203"/>
              </w:numPr>
              <w:spacing w:after="0" w:line="240" w:lineRule="auto"/>
              <w:rPr>
                <w:rFonts w:ascii="Arial" w:hAnsi="Arial" w:cs="Arial"/>
                <w:sz w:val="16"/>
                <w:szCs w:val="16"/>
              </w:rPr>
            </w:pPr>
            <w:r w:rsidRPr="00EA7665">
              <w:rPr>
                <w:rFonts w:ascii="Arial" w:hAnsi="Arial" w:cs="Arial"/>
                <w:sz w:val="16"/>
                <w:szCs w:val="16"/>
              </w:rPr>
              <w:t>Usage of formal qualification</w:t>
            </w:r>
          </w:p>
          <w:p w14:paraId="569164CA" w14:textId="77777777" w:rsidR="00CD6352" w:rsidRPr="00EA7665" w:rsidRDefault="00CD6352" w:rsidP="00C74AEC">
            <w:pPr>
              <w:pStyle w:val="ListParagraph"/>
              <w:numPr>
                <w:ilvl w:val="0"/>
                <w:numId w:val="203"/>
              </w:numPr>
              <w:spacing w:after="0" w:line="240" w:lineRule="auto"/>
              <w:rPr>
                <w:rFonts w:ascii="Arial" w:hAnsi="Arial" w:cs="Arial"/>
                <w:sz w:val="16"/>
                <w:szCs w:val="16"/>
              </w:rPr>
            </w:pPr>
            <w:r w:rsidRPr="00EA7665">
              <w:rPr>
                <w:rFonts w:ascii="Arial" w:hAnsi="Arial" w:cs="Arial"/>
                <w:sz w:val="16"/>
                <w:szCs w:val="16"/>
              </w:rPr>
              <w:t>Company-specific courses targeted at securing financing skills &amp; knowledge</w:t>
            </w:r>
          </w:p>
          <w:p w14:paraId="22D472ED" w14:textId="77777777" w:rsidR="00CD6352" w:rsidRPr="00EA7665" w:rsidRDefault="00CD6352" w:rsidP="00C74AEC">
            <w:pPr>
              <w:pStyle w:val="ListParagraph"/>
              <w:numPr>
                <w:ilvl w:val="0"/>
                <w:numId w:val="203"/>
              </w:numPr>
              <w:spacing w:after="0" w:line="240" w:lineRule="auto"/>
              <w:rPr>
                <w:rFonts w:ascii="Arial" w:hAnsi="Arial" w:cs="Arial"/>
                <w:sz w:val="16"/>
                <w:szCs w:val="16"/>
              </w:rPr>
            </w:pPr>
            <w:r w:rsidRPr="00EA7665">
              <w:rPr>
                <w:rFonts w:ascii="Arial" w:hAnsi="Arial" w:cs="Arial"/>
                <w:sz w:val="16"/>
                <w:szCs w:val="16"/>
              </w:rPr>
              <w:t>Computer-based training</w:t>
            </w:r>
          </w:p>
        </w:tc>
      </w:tr>
    </w:tbl>
    <w:p w14:paraId="63217210" w14:textId="77777777" w:rsidR="00CD6352" w:rsidRPr="00EA7665" w:rsidRDefault="00CD6352" w:rsidP="00CD6352">
      <w:pPr>
        <w:rPr>
          <w:rFonts w:ascii="Arial" w:hAnsi="Arial" w:cs="Arial"/>
        </w:rPr>
      </w:pPr>
    </w:p>
    <w:p w14:paraId="4B3EF1C2" w14:textId="1FA6F8DE" w:rsidR="00CD6352" w:rsidRPr="00EA7665" w:rsidRDefault="00CD6352" w:rsidP="00CD6352">
      <w:pPr>
        <w:pStyle w:val="Heading4"/>
        <w:spacing w:after="240"/>
        <w:rPr>
          <w:rFonts w:ascii="Arial" w:hAnsi="Arial" w:cs="Arial"/>
          <w:color w:val="000000" w:themeColor="text1"/>
        </w:rPr>
      </w:pPr>
      <w:r w:rsidRPr="00EA7665">
        <w:rPr>
          <w:rFonts w:ascii="Arial" w:hAnsi="Arial" w:cs="Arial"/>
          <w:color w:val="000000" w:themeColor="text1"/>
        </w:rPr>
        <w:t xml:space="preserve">The number of courses taken, the degree of satisfaction with the amount and quality of training received within the last two years </w:t>
      </w:r>
      <w:r w:rsidR="00132DFB">
        <w:rPr>
          <w:rFonts w:ascii="Arial" w:hAnsi="Arial" w:cs="Arial"/>
          <w:color w:val="000000" w:themeColor="text1"/>
        </w:rPr>
        <w:t>regarding</w:t>
      </w:r>
      <w:r w:rsidRPr="00EA7665">
        <w:rPr>
          <w:rFonts w:ascii="Arial" w:hAnsi="Arial" w:cs="Arial"/>
          <w:color w:val="000000" w:themeColor="text1"/>
        </w:rPr>
        <w:t xml:space="preserve"> securing finance</w:t>
      </w:r>
    </w:p>
    <w:p w14:paraId="48CD7126" w14:textId="6860DB32" w:rsidR="00CD6352" w:rsidRPr="00EA7665" w:rsidRDefault="00CD6352" w:rsidP="00CD6352">
      <w:pPr>
        <w:spacing w:line="360" w:lineRule="auto"/>
        <w:jc w:val="both"/>
        <w:rPr>
          <w:rFonts w:ascii="Arial" w:hAnsi="Arial" w:cs="Arial"/>
        </w:rPr>
      </w:pPr>
      <w:r w:rsidRPr="00EA7665">
        <w:rPr>
          <w:rFonts w:ascii="Arial" w:hAnsi="Arial" w:cs="Arial"/>
        </w:rPr>
        <w:t>In response to the number of management courses related to securing finance for project</w:t>
      </w:r>
      <w:r w:rsidR="005C2663">
        <w:rPr>
          <w:rFonts w:ascii="Arial" w:hAnsi="Arial" w:cs="Arial"/>
        </w:rPr>
        <w:t>,</w:t>
      </w:r>
      <w:r w:rsidRPr="00EA7665">
        <w:rPr>
          <w:rFonts w:ascii="Arial" w:hAnsi="Arial" w:cs="Arial"/>
        </w:rPr>
        <w:t xml:space="preserve"> development attended within the last two years</w:t>
      </w:r>
      <w:r>
        <w:rPr>
          <w:rFonts w:ascii="Arial" w:hAnsi="Arial" w:cs="Arial"/>
        </w:rPr>
        <w:t>;</w:t>
      </w:r>
      <w:r w:rsidRPr="00EA7665">
        <w:rPr>
          <w:rFonts w:ascii="Arial" w:hAnsi="Arial" w:cs="Arial"/>
        </w:rPr>
        <w:t xml:space="preserve"> 22.2% of the respondents indicated they did not participate in any course. 33.3% attended 1 to 2 courses, 33.3% attended 3 to 4 courses, while 4.4% attended 5 to 6 courses, and 6.7% attended more. This result shows that more people attended 1 to 2 and 3 to 4 courses that are related to securing finance for real estate project development within the last two years at the aggregate level.</w:t>
      </w:r>
    </w:p>
    <w:p w14:paraId="0C7A9833" w14:textId="7F13BB94" w:rsidR="00CD6352" w:rsidRPr="00EA7665" w:rsidRDefault="00CD6352" w:rsidP="00CD6352">
      <w:pPr>
        <w:spacing w:line="360" w:lineRule="auto"/>
        <w:jc w:val="both"/>
        <w:rPr>
          <w:rFonts w:ascii="Arial" w:hAnsi="Arial" w:cs="Arial"/>
        </w:rPr>
      </w:pPr>
      <w:r w:rsidRPr="00EA7665">
        <w:rPr>
          <w:rFonts w:ascii="Arial" w:hAnsi="Arial" w:cs="Arial"/>
        </w:rPr>
        <w:t>Respondents' responses concerning the satisfaction they derived from the amount of training and education show that 9.5% were not satisfied, 9.5% were fairly satisfied, 31.7% were moderately satisfied, 23.8% were very satisfied</w:t>
      </w:r>
      <w:r w:rsidR="009C0B88">
        <w:rPr>
          <w:rFonts w:ascii="Arial" w:hAnsi="Arial" w:cs="Arial"/>
        </w:rPr>
        <w:t>,</w:t>
      </w:r>
      <w:r w:rsidRPr="00EA7665">
        <w:rPr>
          <w:rFonts w:ascii="Arial" w:hAnsi="Arial" w:cs="Arial"/>
        </w:rPr>
        <w:t xml:space="preserve"> and 4.8% </w:t>
      </w:r>
      <w:r>
        <w:rPr>
          <w:rFonts w:ascii="Arial" w:hAnsi="Arial" w:cs="Arial"/>
        </w:rPr>
        <w:t xml:space="preserve">were </w:t>
      </w:r>
      <w:r w:rsidRPr="00EA7665">
        <w:rPr>
          <w:rFonts w:ascii="Arial" w:hAnsi="Arial" w:cs="Arial"/>
        </w:rPr>
        <w:t xml:space="preserve">extremely satisfied. </w:t>
      </w:r>
      <w:r w:rsidRPr="00EA7665">
        <w:rPr>
          <w:rFonts w:ascii="Arial" w:hAnsi="Arial" w:cs="Arial"/>
        </w:rPr>
        <w:lastRenderedPageBreak/>
        <w:t>Furthermore, responses on the level of satisfaction with the quality of training and education had 6.3% saying they were not satisfied, 9.5% were fairly satisfied, 20.6% moderately satisfied, 33.3% very satisfied and 4.8% extremely satisfied.</w:t>
      </w:r>
    </w:p>
    <w:p w14:paraId="562D8463" w14:textId="77777777" w:rsidR="00CD6352" w:rsidRDefault="00CD6352" w:rsidP="00CD6352">
      <w:pPr>
        <w:spacing w:line="360" w:lineRule="auto"/>
        <w:jc w:val="both"/>
        <w:rPr>
          <w:rFonts w:ascii="Arial" w:hAnsi="Arial" w:cs="Arial"/>
        </w:rPr>
      </w:pPr>
    </w:p>
    <w:p w14:paraId="2B3CBC15" w14:textId="77777777" w:rsidR="00CD6352" w:rsidRPr="009A3AA9" w:rsidRDefault="00CD6352" w:rsidP="00CD6352">
      <w:pPr>
        <w:pStyle w:val="Heading3"/>
        <w:rPr>
          <w:sz w:val="22"/>
          <w:szCs w:val="22"/>
        </w:rPr>
      </w:pPr>
      <w:bookmarkStart w:id="1407" w:name="_Toc78983928"/>
      <w:r w:rsidRPr="009A3AA9">
        <w:rPr>
          <w:sz w:val="22"/>
          <w:szCs w:val="22"/>
        </w:rPr>
        <w:t>The relationship between management level and the degree of use  of  management education &amp; training for securing finance for real estate project development</w:t>
      </w:r>
      <w:bookmarkEnd w:id="1407"/>
    </w:p>
    <w:p w14:paraId="54083D9B" w14:textId="77777777" w:rsidR="00CD6352" w:rsidRPr="009A3AA9" w:rsidRDefault="00CD6352" w:rsidP="00CD6352">
      <w:pPr>
        <w:rPr>
          <w:highlight w:val="yellow"/>
        </w:rPr>
      </w:pPr>
    </w:p>
    <w:p w14:paraId="5B304431" w14:textId="08A62527" w:rsidR="00CD6352" w:rsidRPr="0004360A" w:rsidRDefault="00CD6352" w:rsidP="00CD6352">
      <w:pPr>
        <w:pStyle w:val="Caption"/>
        <w:keepNext/>
        <w:rPr>
          <w:rFonts w:ascii="Arial" w:hAnsi="Arial" w:cs="Arial"/>
        </w:rPr>
      </w:pPr>
      <w:bookmarkStart w:id="1408" w:name="_Toc78984038"/>
      <w:r w:rsidRPr="0004360A">
        <w:rPr>
          <w:rFonts w:ascii="Arial" w:hAnsi="Arial" w:cs="Arial"/>
        </w:rPr>
        <w:t xml:space="preserve">Table </w:t>
      </w:r>
      <w:r w:rsidR="008F25B1">
        <w:rPr>
          <w:rFonts w:ascii="Arial" w:hAnsi="Arial" w:cs="Arial"/>
        </w:rPr>
        <w:fldChar w:fldCharType="begin"/>
      </w:r>
      <w:r w:rsidR="008F25B1">
        <w:rPr>
          <w:rFonts w:ascii="Arial" w:hAnsi="Arial" w:cs="Arial"/>
        </w:rPr>
        <w:instrText xml:space="preserve"> STYLEREF 2 \s </w:instrText>
      </w:r>
      <w:r w:rsidR="008F25B1">
        <w:rPr>
          <w:rFonts w:ascii="Arial" w:hAnsi="Arial" w:cs="Arial"/>
        </w:rPr>
        <w:fldChar w:fldCharType="separate"/>
      </w:r>
      <w:r w:rsidR="008F25B1">
        <w:rPr>
          <w:rFonts w:ascii="Arial" w:hAnsi="Arial" w:cs="Arial"/>
          <w:noProof/>
        </w:rPr>
        <w:t>9.3</w:t>
      </w:r>
      <w:r w:rsidR="008F25B1">
        <w:rPr>
          <w:rFonts w:ascii="Arial" w:hAnsi="Arial" w:cs="Arial"/>
        </w:rPr>
        <w:fldChar w:fldCharType="end"/>
      </w:r>
      <w:r w:rsidR="008F25B1">
        <w:rPr>
          <w:rFonts w:ascii="Arial" w:hAnsi="Arial" w:cs="Arial"/>
        </w:rPr>
        <w:noBreakHyphen/>
      </w:r>
      <w:r w:rsidR="008F25B1">
        <w:rPr>
          <w:rFonts w:ascii="Arial" w:hAnsi="Arial" w:cs="Arial"/>
        </w:rPr>
        <w:fldChar w:fldCharType="begin"/>
      </w:r>
      <w:r w:rsidR="008F25B1">
        <w:rPr>
          <w:rFonts w:ascii="Arial" w:hAnsi="Arial" w:cs="Arial"/>
        </w:rPr>
        <w:instrText xml:space="preserve"> SEQ Table \* ARABIC \s 2 </w:instrText>
      </w:r>
      <w:r w:rsidR="008F25B1">
        <w:rPr>
          <w:rFonts w:ascii="Arial" w:hAnsi="Arial" w:cs="Arial"/>
        </w:rPr>
        <w:fldChar w:fldCharType="separate"/>
      </w:r>
      <w:r w:rsidR="008F25B1">
        <w:rPr>
          <w:rFonts w:ascii="Arial" w:hAnsi="Arial" w:cs="Arial"/>
          <w:noProof/>
        </w:rPr>
        <w:t>10</w:t>
      </w:r>
      <w:r w:rsidR="008F25B1">
        <w:rPr>
          <w:rFonts w:ascii="Arial" w:hAnsi="Arial" w:cs="Arial"/>
        </w:rPr>
        <w:fldChar w:fldCharType="end"/>
      </w:r>
      <w:r w:rsidRPr="0004360A">
        <w:rPr>
          <w:rFonts w:ascii="Arial" w:hAnsi="Arial" w:cs="Arial"/>
        </w:rPr>
        <w:t>: Spearman's correlation coefficient test for the relationship between the level of management and the training and education used for securing finance for real estate project development</w:t>
      </w:r>
      <w:bookmarkEnd w:id="1408"/>
    </w:p>
    <w:tbl>
      <w:tblPr>
        <w:tblW w:w="9350" w:type="dxa"/>
        <w:tblLook w:val="04A0" w:firstRow="1" w:lastRow="0" w:firstColumn="1" w:lastColumn="0" w:noHBand="0" w:noVBand="1"/>
      </w:tblPr>
      <w:tblGrid>
        <w:gridCol w:w="7286"/>
        <w:gridCol w:w="2064"/>
      </w:tblGrid>
      <w:tr w:rsidR="00CD6352" w:rsidRPr="0004360A" w14:paraId="323B9067" w14:textId="77777777" w:rsidTr="00CD6352">
        <w:trPr>
          <w:trHeight w:val="300"/>
        </w:trPr>
        <w:tc>
          <w:tcPr>
            <w:tcW w:w="7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4E051"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Spearman's rho</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670E7F6E"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Sig. (2-tailed)</w:t>
            </w:r>
          </w:p>
        </w:tc>
      </w:tr>
      <w:tr w:rsidR="00CD6352" w:rsidRPr="0004360A" w14:paraId="03946F7B"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321F9968"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Management level/ job title</w:t>
            </w:r>
          </w:p>
        </w:tc>
        <w:tc>
          <w:tcPr>
            <w:tcW w:w="2064" w:type="dxa"/>
            <w:tcBorders>
              <w:top w:val="nil"/>
              <w:left w:val="nil"/>
              <w:bottom w:val="single" w:sz="4" w:space="0" w:color="auto"/>
              <w:right w:val="single" w:sz="4" w:space="0" w:color="auto"/>
            </w:tcBorders>
            <w:shd w:val="clear" w:color="auto" w:fill="auto"/>
            <w:noWrap/>
            <w:vAlign w:val="bottom"/>
            <w:hideMark/>
          </w:tcPr>
          <w:p w14:paraId="014D0A65"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1</w:t>
            </w:r>
          </w:p>
        </w:tc>
      </w:tr>
      <w:tr w:rsidR="00CD6352" w:rsidRPr="0004360A" w14:paraId="788AE32C"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70856A4B" w14:textId="4DA9740F"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University residential (Full</w:t>
            </w:r>
            <w:r w:rsidR="005C2663">
              <w:rPr>
                <w:rFonts w:ascii="Arial" w:eastAsia="Times New Roman" w:hAnsi="Arial" w:cs="Arial"/>
                <w:color w:val="000000"/>
                <w:sz w:val="16"/>
                <w:szCs w:val="16"/>
                <w:lang w:eastAsia="en-GB"/>
              </w:rPr>
              <w:t>-</w:t>
            </w:r>
            <w:r w:rsidRPr="0004360A">
              <w:rPr>
                <w:rFonts w:ascii="Arial" w:eastAsia="Times New Roman" w:hAnsi="Arial" w:cs="Arial"/>
                <w:color w:val="000000"/>
                <w:sz w:val="16"/>
                <w:szCs w:val="16"/>
                <w:lang w:eastAsia="en-GB"/>
              </w:rPr>
              <w:t xml:space="preserve">time program for some weeks)  </w:t>
            </w:r>
          </w:p>
        </w:tc>
        <w:tc>
          <w:tcPr>
            <w:tcW w:w="2064" w:type="dxa"/>
            <w:tcBorders>
              <w:top w:val="nil"/>
              <w:left w:val="nil"/>
              <w:bottom w:val="single" w:sz="4" w:space="0" w:color="auto"/>
              <w:right w:val="single" w:sz="4" w:space="0" w:color="auto"/>
            </w:tcBorders>
            <w:shd w:val="clear" w:color="auto" w:fill="auto"/>
            <w:noWrap/>
            <w:vAlign w:val="bottom"/>
            <w:hideMark/>
          </w:tcPr>
          <w:p w14:paraId="494BB5D1"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0.937</w:t>
            </w:r>
          </w:p>
        </w:tc>
      </w:tr>
      <w:tr w:rsidR="00CD6352" w:rsidRPr="0004360A" w14:paraId="6946A137"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0339FD6F" w14:textId="0C57843C"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Executive MBA (with classes on </w:t>
            </w:r>
            <w:r w:rsidR="00E46952">
              <w:rPr>
                <w:rFonts w:ascii="Arial" w:eastAsia="Times New Roman" w:hAnsi="Arial" w:cs="Arial"/>
                <w:color w:val="000000"/>
                <w:sz w:val="16"/>
                <w:szCs w:val="16"/>
                <w:lang w:eastAsia="en-GB"/>
              </w:rPr>
              <w:t xml:space="preserve">a </w:t>
            </w:r>
            <w:r w:rsidRPr="0004360A">
              <w:rPr>
                <w:rFonts w:ascii="Arial" w:eastAsia="Times New Roman" w:hAnsi="Arial" w:cs="Arial"/>
                <w:color w:val="000000"/>
                <w:sz w:val="16"/>
                <w:szCs w:val="16"/>
                <w:lang w:eastAsia="en-GB"/>
              </w:rPr>
              <w:t>part</w:t>
            </w:r>
            <w:r w:rsidR="005C2663">
              <w:rPr>
                <w:rFonts w:ascii="Arial" w:eastAsia="Times New Roman" w:hAnsi="Arial" w:cs="Arial"/>
                <w:color w:val="000000"/>
                <w:sz w:val="16"/>
                <w:szCs w:val="16"/>
                <w:lang w:eastAsia="en-GB"/>
              </w:rPr>
              <w:t>-</w:t>
            </w:r>
            <w:r w:rsidRPr="0004360A">
              <w:rPr>
                <w:rFonts w:ascii="Arial" w:eastAsia="Times New Roman" w:hAnsi="Arial" w:cs="Arial"/>
                <w:color w:val="000000"/>
                <w:sz w:val="16"/>
                <w:szCs w:val="16"/>
                <w:lang w:eastAsia="en-GB"/>
              </w:rPr>
              <w:t>time basis)</w:t>
            </w:r>
          </w:p>
        </w:tc>
        <w:tc>
          <w:tcPr>
            <w:tcW w:w="2064" w:type="dxa"/>
            <w:tcBorders>
              <w:top w:val="nil"/>
              <w:left w:val="nil"/>
              <w:bottom w:val="single" w:sz="4" w:space="0" w:color="auto"/>
              <w:right w:val="single" w:sz="4" w:space="0" w:color="auto"/>
            </w:tcBorders>
            <w:shd w:val="clear" w:color="auto" w:fill="auto"/>
            <w:noWrap/>
            <w:vAlign w:val="bottom"/>
            <w:hideMark/>
          </w:tcPr>
          <w:p w14:paraId="62BC34E8"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0.932</w:t>
            </w:r>
          </w:p>
        </w:tc>
      </w:tr>
      <w:tr w:rsidR="00CD6352" w:rsidRPr="0004360A" w14:paraId="44E9FECA"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55A3B244"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Continuing professional development </w:t>
            </w:r>
          </w:p>
        </w:tc>
        <w:tc>
          <w:tcPr>
            <w:tcW w:w="2064" w:type="dxa"/>
            <w:tcBorders>
              <w:top w:val="nil"/>
              <w:left w:val="nil"/>
              <w:bottom w:val="single" w:sz="4" w:space="0" w:color="auto"/>
              <w:right w:val="single" w:sz="4" w:space="0" w:color="auto"/>
            </w:tcBorders>
            <w:shd w:val="clear" w:color="auto" w:fill="auto"/>
            <w:noWrap/>
            <w:vAlign w:val="bottom"/>
            <w:hideMark/>
          </w:tcPr>
          <w:p w14:paraId="03FABB24"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0.922</w:t>
            </w:r>
          </w:p>
        </w:tc>
      </w:tr>
      <w:tr w:rsidR="00CD6352" w:rsidRPr="0004360A" w14:paraId="64CFA9A6"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5FE05363"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External training </w:t>
            </w:r>
          </w:p>
        </w:tc>
        <w:tc>
          <w:tcPr>
            <w:tcW w:w="2064" w:type="dxa"/>
            <w:tcBorders>
              <w:top w:val="nil"/>
              <w:left w:val="nil"/>
              <w:bottom w:val="single" w:sz="4" w:space="0" w:color="auto"/>
              <w:right w:val="single" w:sz="4" w:space="0" w:color="auto"/>
            </w:tcBorders>
            <w:shd w:val="clear" w:color="auto" w:fill="auto"/>
            <w:noWrap/>
            <w:vAlign w:val="bottom"/>
            <w:hideMark/>
          </w:tcPr>
          <w:p w14:paraId="3BEBEC29"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0.915</w:t>
            </w:r>
          </w:p>
        </w:tc>
      </w:tr>
      <w:tr w:rsidR="00CD6352" w:rsidRPr="0004360A" w14:paraId="611B530A"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0DAC2D75"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Online and tutorial training </w:t>
            </w:r>
          </w:p>
        </w:tc>
        <w:tc>
          <w:tcPr>
            <w:tcW w:w="2064" w:type="dxa"/>
            <w:tcBorders>
              <w:top w:val="nil"/>
              <w:left w:val="nil"/>
              <w:bottom w:val="single" w:sz="4" w:space="0" w:color="auto"/>
              <w:right w:val="single" w:sz="4" w:space="0" w:color="auto"/>
            </w:tcBorders>
            <w:shd w:val="clear" w:color="auto" w:fill="auto"/>
            <w:noWrap/>
            <w:vAlign w:val="bottom"/>
            <w:hideMark/>
          </w:tcPr>
          <w:p w14:paraId="2158A76A"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0.894</w:t>
            </w:r>
          </w:p>
        </w:tc>
      </w:tr>
      <w:tr w:rsidR="00CD6352" w:rsidRPr="0004360A" w14:paraId="0105E18B"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704D960C"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Usage of formal qualification  only</w:t>
            </w:r>
          </w:p>
        </w:tc>
        <w:tc>
          <w:tcPr>
            <w:tcW w:w="2064" w:type="dxa"/>
            <w:tcBorders>
              <w:top w:val="nil"/>
              <w:left w:val="nil"/>
              <w:bottom w:val="single" w:sz="4" w:space="0" w:color="auto"/>
              <w:right w:val="single" w:sz="4" w:space="0" w:color="auto"/>
            </w:tcBorders>
            <w:shd w:val="clear" w:color="auto" w:fill="auto"/>
            <w:noWrap/>
            <w:vAlign w:val="bottom"/>
            <w:hideMark/>
          </w:tcPr>
          <w:p w14:paraId="6B824E61"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0.828</w:t>
            </w:r>
          </w:p>
        </w:tc>
      </w:tr>
      <w:tr w:rsidR="00CD6352" w:rsidRPr="0004360A" w14:paraId="329D1BD7"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59AA402D"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Usage of internal programs and instructors </w:t>
            </w:r>
          </w:p>
        </w:tc>
        <w:tc>
          <w:tcPr>
            <w:tcW w:w="2064" w:type="dxa"/>
            <w:tcBorders>
              <w:top w:val="nil"/>
              <w:left w:val="nil"/>
              <w:bottom w:val="single" w:sz="4" w:space="0" w:color="auto"/>
              <w:right w:val="single" w:sz="4" w:space="0" w:color="auto"/>
            </w:tcBorders>
            <w:shd w:val="clear" w:color="auto" w:fill="auto"/>
            <w:noWrap/>
            <w:vAlign w:val="bottom"/>
            <w:hideMark/>
          </w:tcPr>
          <w:p w14:paraId="736CDE67"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0.701</w:t>
            </w:r>
          </w:p>
        </w:tc>
      </w:tr>
      <w:tr w:rsidR="00CD6352" w:rsidRPr="0004360A" w14:paraId="407AB451"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5041DBD9"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Learning by holding meetings with experts </w:t>
            </w:r>
          </w:p>
        </w:tc>
        <w:tc>
          <w:tcPr>
            <w:tcW w:w="2064" w:type="dxa"/>
            <w:tcBorders>
              <w:top w:val="nil"/>
              <w:left w:val="nil"/>
              <w:bottom w:val="single" w:sz="4" w:space="0" w:color="auto"/>
              <w:right w:val="single" w:sz="4" w:space="0" w:color="auto"/>
            </w:tcBorders>
            <w:shd w:val="clear" w:color="auto" w:fill="auto"/>
            <w:noWrap/>
            <w:vAlign w:val="bottom"/>
            <w:hideMark/>
          </w:tcPr>
          <w:p w14:paraId="099BFE62"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0.658</w:t>
            </w:r>
          </w:p>
        </w:tc>
      </w:tr>
      <w:tr w:rsidR="00CD6352" w:rsidRPr="0004360A" w14:paraId="26DD2768"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3E64628A" w14:textId="77777777"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 xml:space="preserve">Conferences and seminars </w:t>
            </w:r>
          </w:p>
        </w:tc>
        <w:tc>
          <w:tcPr>
            <w:tcW w:w="2064" w:type="dxa"/>
            <w:tcBorders>
              <w:top w:val="nil"/>
              <w:left w:val="nil"/>
              <w:bottom w:val="single" w:sz="4" w:space="0" w:color="auto"/>
              <w:right w:val="single" w:sz="4" w:space="0" w:color="auto"/>
            </w:tcBorders>
            <w:shd w:val="clear" w:color="auto" w:fill="auto"/>
            <w:noWrap/>
            <w:vAlign w:val="bottom"/>
            <w:hideMark/>
          </w:tcPr>
          <w:p w14:paraId="2C251D2E"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0.58</w:t>
            </w:r>
          </w:p>
        </w:tc>
      </w:tr>
      <w:tr w:rsidR="00CD6352" w:rsidRPr="0004360A" w14:paraId="06BA625F"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0D3D9561" w14:textId="4CEEBD95"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Computer</w:t>
            </w:r>
            <w:r w:rsidR="005C2663">
              <w:rPr>
                <w:rFonts w:ascii="Arial" w:eastAsia="Times New Roman" w:hAnsi="Arial" w:cs="Arial"/>
                <w:color w:val="000000"/>
                <w:sz w:val="16"/>
                <w:szCs w:val="16"/>
                <w:lang w:eastAsia="en-GB"/>
              </w:rPr>
              <w:t>-</w:t>
            </w:r>
            <w:r w:rsidRPr="0004360A">
              <w:rPr>
                <w:rFonts w:ascii="Arial" w:eastAsia="Times New Roman" w:hAnsi="Arial" w:cs="Arial"/>
                <w:color w:val="000000"/>
                <w:sz w:val="16"/>
                <w:szCs w:val="16"/>
                <w:lang w:eastAsia="en-GB"/>
              </w:rPr>
              <w:t xml:space="preserve">based training  </w:t>
            </w:r>
          </w:p>
        </w:tc>
        <w:tc>
          <w:tcPr>
            <w:tcW w:w="2064" w:type="dxa"/>
            <w:tcBorders>
              <w:top w:val="nil"/>
              <w:left w:val="nil"/>
              <w:bottom w:val="single" w:sz="4" w:space="0" w:color="auto"/>
              <w:right w:val="single" w:sz="4" w:space="0" w:color="auto"/>
            </w:tcBorders>
            <w:shd w:val="clear" w:color="auto" w:fill="auto"/>
            <w:noWrap/>
            <w:vAlign w:val="bottom"/>
            <w:hideMark/>
          </w:tcPr>
          <w:p w14:paraId="0E98607D"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0.464</w:t>
            </w:r>
          </w:p>
        </w:tc>
      </w:tr>
      <w:tr w:rsidR="00CD6352" w:rsidRPr="0004360A" w14:paraId="080C92C2"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375C8A83" w14:textId="29D5DBA1"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Classroom instructor</w:t>
            </w:r>
            <w:r w:rsidR="00E46952">
              <w:rPr>
                <w:rFonts w:ascii="Arial" w:eastAsia="Times New Roman" w:hAnsi="Arial" w:cs="Arial"/>
                <w:color w:val="000000"/>
                <w:sz w:val="16"/>
                <w:szCs w:val="16"/>
                <w:lang w:eastAsia="en-GB"/>
              </w:rPr>
              <w:t>-</w:t>
            </w:r>
            <w:r w:rsidRPr="0004360A">
              <w:rPr>
                <w:rFonts w:ascii="Arial" w:eastAsia="Times New Roman" w:hAnsi="Arial" w:cs="Arial"/>
                <w:color w:val="000000"/>
                <w:sz w:val="16"/>
                <w:szCs w:val="16"/>
                <w:lang w:eastAsia="en-GB"/>
              </w:rPr>
              <w:t>led training for short periods (offered by consultants)  estate project financing? Please tick one box only</w:t>
            </w:r>
          </w:p>
        </w:tc>
        <w:tc>
          <w:tcPr>
            <w:tcW w:w="2064" w:type="dxa"/>
            <w:tcBorders>
              <w:top w:val="nil"/>
              <w:left w:val="nil"/>
              <w:bottom w:val="single" w:sz="4" w:space="0" w:color="auto"/>
              <w:right w:val="single" w:sz="4" w:space="0" w:color="auto"/>
            </w:tcBorders>
            <w:shd w:val="clear" w:color="auto" w:fill="auto"/>
            <w:noWrap/>
            <w:vAlign w:val="bottom"/>
            <w:hideMark/>
          </w:tcPr>
          <w:p w14:paraId="743A9FAD"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0.19</w:t>
            </w:r>
          </w:p>
        </w:tc>
      </w:tr>
      <w:tr w:rsidR="00CD6352" w:rsidRPr="0004360A" w14:paraId="151F5493" w14:textId="77777777" w:rsidTr="00CD6352">
        <w:trPr>
          <w:trHeight w:val="300"/>
        </w:trPr>
        <w:tc>
          <w:tcPr>
            <w:tcW w:w="7286" w:type="dxa"/>
            <w:tcBorders>
              <w:top w:val="nil"/>
              <w:left w:val="single" w:sz="4" w:space="0" w:color="auto"/>
              <w:bottom w:val="single" w:sz="4" w:space="0" w:color="auto"/>
              <w:right w:val="single" w:sz="4" w:space="0" w:color="auto"/>
            </w:tcBorders>
            <w:shd w:val="clear" w:color="auto" w:fill="auto"/>
            <w:noWrap/>
            <w:vAlign w:val="bottom"/>
            <w:hideMark/>
          </w:tcPr>
          <w:p w14:paraId="6566C6F5" w14:textId="39A73868" w:rsidR="00CD6352" w:rsidRPr="0004360A" w:rsidRDefault="00CD6352" w:rsidP="00CD6352">
            <w:pPr>
              <w:spacing w:after="0" w:line="240" w:lineRule="auto"/>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Company</w:t>
            </w:r>
            <w:r w:rsidR="00E46952">
              <w:rPr>
                <w:rFonts w:ascii="Arial" w:eastAsia="Times New Roman" w:hAnsi="Arial" w:cs="Arial"/>
                <w:color w:val="000000"/>
                <w:sz w:val="16"/>
                <w:szCs w:val="16"/>
                <w:lang w:eastAsia="en-GB"/>
              </w:rPr>
              <w:t>-</w:t>
            </w:r>
            <w:r w:rsidRPr="0004360A">
              <w:rPr>
                <w:rFonts w:ascii="Arial" w:eastAsia="Times New Roman" w:hAnsi="Arial" w:cs="Arial"/>
                <w:color w:val="000000"/>
                <w:sz w:val="16"/>
                <w:szCs w:val="16"/>
                <w:lang w:eastAsia="en-GB"/>
              </w:rPr>
              <w:t>specific courses targeted at securing financing skills &amp; knowledge   estate project financing</w:t>
            </w:r>
          </w:p>
        </w:tc>
        <w:tc>
          <w:tcPr>
            <w:tcW w:w="2064" w:type="dxa"/>
            <w:tcBorders>
              <w:top w:val="nil"/>
              <w:left w:val="nil"/>
              <w:bottom w:val="single" w:sz="4" w:space="0" w:color="auto"/>
              <w:right w:val="single" w:sz="4" w:space="0" w:color="auto"/>
            </w:tcBorders>
            <w:shd w:val="clear" w:color="auto" w:fill="auto"/>
            <w:noWrap/>
            <w:vAlign w:val="bottom"/>
            <w:hideMark/>
          </w:tcPr>
          <w:p w14:paraId="32EBA4D5" w14:textId="77777777" w:rsidR="00CD6352" w:rsidRPr="0004360A" w:rsidRDefault="00CD6352" w:rsidP="00CD6352">
            <w:pPr>
              <w:spacing w:after="0" w:line="240" w:lineRule="auto"/>
              <w:jc w:val="right"/>
              <w:rPr>
                <w:rFonts w:ascii="Arial" w:eastAsia="Times New Roman" w:hAnsi="Arial" w:cs="Arial"/>
                <w:color w:val="000000"/>
                <w:sz w:val="16"/>
                <w:szCs w:val="16"/>
                <w:lang w:eastAsia="en-GB"/>
              </w:rPr>
            </w:pPr>
            <w:r w:rsidRPr="0004360A">
              <w:rPr>
                <w:rFonts w:ascii="Arial" w:eastAsia="Times New Roman" w:hAnsi="Arial" w:cs="Arial"/>
                <w:color w:val="000000"/>
                <w:sz w:val="16"/>
                <w:szCs w:val="16"/>
                <w:lang w:eastAsia="en-GB"/>
              </w:rPr>
              <w:t>0.035</w:t>
            </w:r>
          </w:p>
        </w:tc>
      </w:tr>
    </w:tbl>
    <w:p w14:paraId="6DFC5308" w14:textId="77777777" w:rsidR="00CD6352" w:rsidRPr="008F2436" w:rsidRDefault="00CD6352" w:rsidP="00CD6352">
      <w:pPr>
        <w:spacing w:line="360" w:lineRule="auto"/>
        <w:jc w:val="both"/>
        <w:rPr>
          <w:rFonts w:ascii="Arial" w:hAnsi="Arial" w:cs="Arial"/>
        </w:rPr>
      </w:pPr>
    </w:p>
    <w:p w14:paraId="040A4CA0" w14:textId="1478B5FC" w:rsidR="00CD6352" w:rsidRPr="00EA7665" w:rsidRDefault="00CD6352" w:rsidP="00CD6352">
      <w:pPr>
        <w:spacing w:line="360" w:lineRule="auto"/>
        <w:jc w:val="both"/>
        <w:rPr>
          <w:rFonts w:ascii="Arial" w:hAnsi="Arial" w:cs="Arial"/>
        </w:rPr>
      </w:pPr>
      <w:r w:rsidRPr="008F2436">
        <w:rPr>
          <w:rFonts w:ascii="Arial" w:hAnsi="Arial" w:cs="Arial"/>
        </w:rPr>
        <w:t>The findings sho</w:t>
      </w:r>
      <w:r>
        <w:rPr>
          <w:rFonts w:ascii="Arial" w:hAnsi="Arial" w:cs="Arial"/>
        </w:rPr>
        <w:t>w</w:t>
      </w:r>
      <w:r w:rsidRPr="008F2436">
        <w:rPr>
          <w:rFonts w:ascii="Arial" w:hAnsi="Arial" w:cs="Arial"/>
        </w:rPr>
        <w:t xml:space="preserve"> a </w:t>
      </w:r>
      <w:r>
        <w:rPr>
          <w:rFonts w:ascii="Arial" w:hAnsi="Arial" w:cs="Arial"/>
        </w:rPr>
        <w:t xml:space="preserve">very </w:t>
      </w:r>
      <w:r w:rsidRPr="008F2436">
        <w:rPr>
          <w:rFonts w:ascii="Arial" w:hAnsi="Arial" w:cs="Arial"/>
        </w:rPr>
        <w:t>strong positive correlation with some of the approaches for education and training</w:t>
      </w:r>
      <w:r w:rsidR="00B87B4E">
        <w:rPr>
          <w:rFonts w:ascii="Arial" w:hAnsi="Arial" w:cs="Arial"/>
        </w:rPr>
        <w:t xml:space="preserve"> and the level of </w:t>
      </w:r>
      <w:r w:rsidR="0004360A">
        <w:rPr>
          <w:rFonts w:ascii="Arial" w:hAnsi="Arial" w:cs="Arial"/>
        </w:rPr>
        <w:t>management</w:t>
      </w:r>
      <w:r w:rsidR="0004360A" w:rsidRPr="008F2436">
        <w:rPr>
          <w:rFonts w:ascii="Arial" w:hAnsi="Arial" w:cs="Arial"/>
        </w:rPr>
        <w:t>.</w:t>
      </w:r>
      <w:r w:rsidRPr="008F2436">
        <w:rPr>
          <w:rFonts w:ascii="Arial" w:hAnsi="Arial" w:cs="Arial"/>
        </w:rPr>
        <w:t xml:space="preserve"> Table </w:t>
      </w:r>
      <w:r w:rsidR="0004360A">
        <w:rPr>
          <w:rFonts w:ascii="Arial" w:hAnsi="Arial" w:cs="Arial"/>
        </w:rPr>
        <w:t xml:space="preserve">9.3.10 </w:t>
      </w:r>
      <w:r w:rsidRPr="008F2436">
        <w:rPr>
          <w:rFonts w:ascii="Arial" w:hAnsi="Arial" w:cs="Arial"/>
        </w:rPr>
        <w:t xml:space="preserve">shows sufficient evidence to suggest that managers </w:t>
      </w:r>
      <w:r>
        <w:rPr>
          <w:rFonts w:ascii="Arial" w:hAnsi="Arial" w:cs="Arial"/>
        </w:rPr>
        <w:t>in</w:t>
      </w:r>
      <w:r w:rsidRPr="008F2436">
        <w:rPr>
          <w:rFonts w:ascii="Arial" w:hAnsi="Arial" w:cs="Arial"/>
        </w:rPr>
        <w:t xml:space="preserve"> lower</w:t>
      </w:r>
      <w:r w:rsidR="005C2663">
        <w:rPr>
          <w:rFonts w:ascii="Arial" w:hAnsi="Arial" w:cs="Arial"/>
        </w:rPr>
        <w:t>-</w:t>
      </w:r>
      <w:r w:rsidRPr="008F2436">
        <w:rPr>
          <w:rFonts w:ascii="Arial" w:hAnsi="Arial" w:cs="Arial"/>
        </w:rPr>
        <w:t xml:space="preserve">level management tend to </w:t>
      </w:r>
      <w:r>
        <w:rPr>
          <w:rFonts w:ascii="Arial" w:hAnsi="Arial" w:cs="Arial"/>
        </w:rPr>
        <w:t xml:space="preserve">highly </w:t>
      </w:r>
      <w:r w:rsidRPr="008F2436">
        <w:rPr>
          <w:rFonts w:ascii="Arial" w:hAnsi="Arial" w:cs="Arial"/>
        </w:rPr>
        <w:t xml:space="preserve">use approaches such as university </w:t>
      </w:r>
      <w:r w:rsidR="0004360A" w:rsidRPr="008F2436">
        <w:rPr>
          <w:rFonts w:ascii="Arial" w:hAnsi="Arial" w:cs="Arial"/>
        </w:rPr>
        <w:t>residential</w:t>
      </w:r>
      <w:r w:rsidR="0004360A">
        <w:rPr>
          <w:rFonts w:ascii="Arial" w:hAnsi="Arial" w:cs="Arial"/>
        </w:rPr>
        <w:t xml:space="preserve"> (</w:t>
      </w:r>
      <w:r w:rsidR="005C2663">
        <w:rPr>
          <w:rFonts w:ascii="Arial" w:hAnsi="Arial" w:cs="Arial"/>
        </w:rPr>
        <w:t>full-</w:t>
      </w:r>
      <w:r>
        <w:rPr>
          <w:rFonts w:ascii="Arial" w:hAnsi="Arial" w:cs="Arial"/>
        </w:rPr>
        <w:t xml:space="preserve">time program for some weeks), </w:t>
      </w:r>
      <w:r w:rsidRPr="008F2436">
        <w:rPr>
          <w:rFonts w:ascii="Arial" w:hAnsi="Arial" w:cs="Arial"/>
        </w:rPr>
        <w:t xml:space="preserve"> executive MBA</w:t>
      </w:r>
      <w:r>
        <w:rPr>
          <w:rFonts w:ascii="Arial" w:hAnsi="Arial" w:cs="Arial"/>
        </w:rPr>
        <w:t xml:space="preserve"> (with classes on </w:t>
      </w:r>
      <w:r w:rsidR="00E46952">
        <w:rPr>
          <w:rFonts w:ascii="Arial" w:hAnsi="Arial" w:cs="Arial"/>
        </w:rPr>
        <w:t xml:space="preserve">a </w:t>
      </w:r>
      <w:r>
        <w:rPr>
          <w:rFonts w:ascii="Arial" w:hAnsi="Arial" w:cs="Arial"/>
        </w:rPr>
        <w:t>part</w:t>
      </w:r>
      <w:r w:rsidR="005C2663">
        <w:rPr>
          <w:rFonts w:ascii="Arial" w:hAnsi="Arial" w:cs="Arial"/>
        </w:rPr>
        <w:t>-</w:t>
      </w:r>
      <w:r>
        <w:rPr>
          <w:rFonts w:ascii="Arial" w:hAnsi="Arial" w:cs="Arial"/>
        </w:rPr>
        <w:t xml:space="preserve">time basis), continuing professional development, external training, online and tutorial training and usage of formal qualification. There is, however, a weak relationship with the management level and some approaches </w:t>
      </w:r>
      <w:r w:rsidR="000424D2">
        <w:rPr>
          <w:rFonts w:ascii="Arial" w:hAnsi="Arial" w:cs="Arial"/>
        </w:rPr>
        <w:t>to</w:t>
      </w:r>
      <w:r>
        <w:rPr>
          <w:rFonts w:ascii="Arial" w:hAnsi="Arial" w:cs="Arial"/>
        </w:rPr>
        <w:t xml:space="preserve"> training</w:t>
      </w:r>
      <w:r w:rsidR="009C0B88">
        <w:rPr>
          <w:rFonts w:ascii="Arial" w:hAnsi="Arial" w:cs="Arial"/>
        </w:rPr>
        <w:t>,</w:t>
      </w:r>
      <w:r>
        <w:rPr>
          <w:rFonts w:ascii="Arial" w:hAnsi="Arial" w:cs="Arial"/>
        </w:rPr>
        <w:t xml:space="preserve"> such as company</w:t>
      </w:r>
      <w:r w:rsidR="005C2663">
        <w:rPr>
          <w:rFonts w:ascii="Arial" w:hAnsi="Arial" w:cs="Arial"/>
        </w:rPr>
        <w:t>-</w:t>
      </w:r>
      <w:r>
        <w:rPr>
          <w:rFonts w:ascii="Arial" w:hAnsi="Arial" w:cs="Arial"/>
        </w:rPr>
        <w:t>specific courses targeted at securing financing skills and knowledge.</w:t>
      </w:r>
    </w:p>
    <w:p w14:paraId="1A2A4D33" w14:textId="3D1105AB" w:rsidR="00CD6352" w:rsidRPr="00EA7665" w:rsidRDefault="00CD6352" w:rsidP="00CD6352">
      <w:pPr>
        <w:pStyle w:val="Heading3"/>
        <w:spacing w:after="240"/>
        <w:rPr>
          <w:sz w:val="22"/>
          <w:szCs w:val="22"/>
        </w:rPr>
      </w:pPr>
      <w:bookmarkStart w:id="1409" w:name="_Toc78983929"/>
      <w:r w:rsidRPr="00EA7665">
        <w:rPr>
          <w:sz w:val="22"/>
          <w:szCs w:val="22"/>
        </w:rPr>
        <w:t xml:space="preserve">Management’s </w:t>
      </w:r>
      <w:r>
        <w:rPr>
          <w:sz w:val="22"/>
          <w:szCs w:val="22"/>
        </w:rPr>
        <w:t xml:space="preserve">training and education for securing finance for real estate project </w:t>
      </w:r>
      <w:r w:rsidR="00304E54">
        <w:rPr>
          <w:sz w:val="22"/>
          <w:szCs w:val="22"/>
        </w:rPr>
        <w:t>development:</w:t>
      </w:r>
      <w:r>
        <w:rPr>
          <w:sz w:val="22"/>
          <w:szCs w:val="22"/>
        </w:rPr>
        <w:t xml:space="preserve"> discussion and analysis of semi-structured interviews.</w:t>
      </w:r>
      <w:bookmarkEnd w:id="1409"/>
    </w:p>
    <w:p w14:paraId="63E06468" w14:textId="1845E1EA" w:rsidR="00CD6352" w:rsidRPr="00EA7665" w:rsidRDefault="00CD6352" w:rsidP="00CD6352">
      <w:pPr>
        <w:spacing w:line="360" w:lineRule="auto"/>
        <w:jc w:val="both"/>
        <w:rPr>
          <w:rFonts w:ascii="Arial" w:hAnsi="Arial" w:cs="Arial"/>
        </w:rPr>
      </w:pPr>
      <w:r w:rsidRPr="00EA7665">
        <w:rPr>
          <w:rFonts w:ascii="Arial" w:hAnsi="Arial" w:cs="Arial"/>
        </w:rPr>
        <w:t xml:space="preserve">Table </w:t>
      </w:r>
      <w:r w:rsidR="0004360A">
        <w:rPr>
          <w:rFonts w:ascii="Arial" w:hAnsi="Arial" w:cs="Arial"/>
        </w:rPr>
        <w:t xml:space="preserve">9.3.11 </w:t>
      </w:r>
      <w:r w:rsidRPr="00EA7665">
        <w:rPr>
          <w:rFonts w:ascii="Arial" w:hAnsi="Arial" w:cs="Arial"/>
        </w:rPr>
        <w:t xml:space="preserve">and </w:t>
      </w:r>
      <w:r w:rsidR="0004360A">
        <w:rPr>
          <w:rFonts w:ascii="Arial" w:hAnsi="Arial" w:cs="Arial"/>
        </w:rPr>
        <w:t>9.3.12</w:t>
      </w:r>
      <w:r w:rsidRPr="00EA7665">
        <w:rPr>
          <w:rFonts w:ascii="Arial" w:hAnsi="Arial" w:cs="Arial"/>
        </w:rPr>
        <w:t xml:space="preserve"> prese</w:t>
      </w:r>
      <w:r>
        <w:rPr>
          <w:rFonts w:ascii="Arial" w:hAnsi="Arial" w:cs="Arial"/>
        </w:rPr>
        <w:t>nt</w:t>
      </w:r>
      <w:r w:rsidRPr="00EA7665">
        <w:rPr>
          <w:rFonts w:ascii="Arial" w:hAnsi="Arial" w:cs="Arial"/>
        </w:rPr>
        <w:t xml:space="preserve"> the summary of the findings on management’s training and education for securing finance for real estate project development </w:t>
      </w:r>
      <w:r w:rsidR="0004360A">
        <w:rPr>
          <w:rFonts w:ascii="Arial" w:hAnsi="Arial" w:cs="Arial"/>
        </w:rPr>
        <w:t xml:space="preserve">for the developed and </w:t>
      </w:r>
      <w:r w:rsidR="0004360A">
        <w:rPr>
          <w:rFonts w:ascii="Arial" w:hAnsi="Arial" w:cs="Arial"/>
        </w:rPr>
        <w:lastRenderedPageBreak/>
        <w:t>emerging economies</w:t>
      </w:r>
      <w:r w:rsidR="00E7787D">
        <w:rPr>
          <w:rFonts w:ascii="Arial" w:hAnsi="Arial" w:cs="Arial"/>
        </w:rPr>
        <w:t>,</w:t>
      </w:r>
      <w:r w:rsidR="0004360A">
        <w:rPr>
          <w:rFonts w:ascii="Arial" w:hAnsi="Arial" w:cs="Arial"/>
        </w:rPr>
        <w:t xml:space="preserve"> respectively,  </w:t>
      </w:r>
      <w:r w:rsidRPr="00EA7665">
        <w:rPr>
          <w:rFonts w:ascii="Arial" w:hAnsi="Arial" w:cs="Arial"/>
        </w:rPr>
        <w:t>based on the semi</w:t>
      </w:r>
      <w:r w:rsidR="005C2663">
        <w:rPr>
          <w:rFonts w:ascii="Arial" w:hAnsi="Arial" w:cs="Arial"/>
        </w:rPr>
        <w:t>-</w:t>
      </w:r>
      <w:r w:rsidRPr="00EA7665">
        <w:rPr>
          <w:rFonts w:ascii="Arial" w:hAnsi="Arial" w:cs="Arial"/>
        </w:rPr>
        <w:t>structured interviews</w:t>
      </w:r>
      <w:r>
        <w:rPr>
          <w:rFonts w:ascii="Arial" w:hAnsi="Arial" w:cs="Arial"/>
        </w:rPr>
        <w:t xml:space="preserve"> and information taken from interviewee’s LinkedIn profiles</w:t>
      </w:r>
      <w:r w:rsidRPr="00EA7665">
        <w:rPr>
          <w:rFonts w:ascii="Arial" w:hAnsi="Arial" w:cs="Arial"/>
        </w:rPr>
        <w:t>. It provides answers to the following questions:</w:t>
      </w:r>
    </w:p>
    <w:p w14:paraId="3278E38A" w14:textId="77777777" w:rsidR="00CD6352" w:rsidRPr="00640303" w:rsidRDefault="00CD6352" w:rsidP="00C74AEC">
      <w:pPr>
        <w:pStyle w:val="ListParagraph"/>
        <w:numPr>
          <w:ilvl w:val="0"/>
          <w:numId w:val="209"/>
        </w:numPr>
        <w:spacing w:line="360" w:lineRule="auto"/>
        <w:jc w:val="both"/>
        <w:rPr>
          <w:rFonts w:ascii="Arial" w:hAnsi="Arial" w:cs="Arial"/>
          <w:i/>
          <w:iCs/>
        </w:rPr>
      </w:pPr>
      <w:r w:rsidRPr="00640303">
        <w:rPr>
          <w:rFonts w:ascii="Arial" w:hAnsi="Arial" w:cs="Arial"/>
          <w:i/>
          <w:iCs/>
        </w:rPr>
        <w:t>What training and education do you have that facilitates your ability to secure finance for real estate project development?</w:t>
      </w:r>
    </w:p>
    <w:p w14:paraId="62BE0557" w14:textId="77777777" w:rsidR="00CD6352" w:rsidRPr="00640303" w:rsidRDefault="00CD6352" w:rsidP="00C74AEC">
      <w:pPr>
        <w:pStyle w:val="ListParagraph"/>
        <w:numPr>
          <w:ilvl w:val="0"/>
          <w:numId w:val="209"/>
        </w:numPr>
        <w:spacing w:line="360" w:lineRule="auto"/>
        <w:jc w:val="both"/>
        <w:rPr>
          <w:rFonts w:ascii="Arial" w:hAnsi="Arial" w:cs="Arial"/>
          <w:i/>
          <w:iCs/>
        </w:rPr>
      </w:pPr>
      <w:r w:rsidRPr="00640303">
        <w:rPr>
          <w:rFonts w:ascii="Arial" w:hAnsi="Arial" w:cs="Arial"/>
          <w:i/>
          <w:iCs/>
        </w:rPr>
        <w:t>What training and education do you need to secure finance for real estate project development that you do not presently have?</w:t>
      </w:r>
    </w:p>
    <w:p w14:paraId="2EDFBD23" w14:textId="77777777" w:rsidR="00CD6352" w:rsidRPr="00640303" w:rsidRDefault="00CD6352" w:rsidP="00C74AEC">
      <w:pPr>
        <w:pStyle w:val="ListParagraph"/>
        <w:numPr>
          <w:ilvl w:val="0"/>
          <w:numId w:val="209"/>
        </w:numPr>
        <w:spacing w:line="360" w:lineRule="auto"/>
        <w:jc w:val="both"/>
        <w:rPr>
          <w:rFonts w:ascii="Arial" w:hAnsi="Arial" w:cs="Arial"/>
          <w:i/>
          <w:iCs/>
        </w:rPr>
      </w:pPr>
      <w:r w:rsidRPr="00640303">
        <w:rPr>
          <w:rFonts w:ascii="Arial" w:hAnsi="Arial" w:cs="Arial"/>
          <w:i/>
          <w:iCs/>
        </w:rPr>
        <w:t>What training and education that would aid your ability to secure finance for real estate project development would you like to undertake?</w:t>
      </w:r>
    </w:p>
    <w:p w14:paraId="0BE33AF0" w14:textId="6548D3CB" w:rsidR="0004360A" w:rsidRPr="005118F5" w:rsidRDefault="0004360A" w:rsidP="0004360A">
      <w:pPr>
        <w:pStyle w:val="Caption"/>
        <w:keepNext/>
        <w:rPr>
          <w:rFonts w:ascii="Arial" w:hAnsi="Arial" w:cs="Arial"/>
          <w:sz w:val="16"/>
          <w:szCs w:val="16"/>
        </w:rPr>
      </w:pPr>
      <w:bookmarkStart w:id="1410" w:name="_Toc78984039"/>
      <w:r w:rsidRPr="005118F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11</w:t>
      </w:r>
      <w:r w:rsidR="008F25B1">
        <w:rPr>
          <w:rFonts w:ascii="Arial" w:hAnsi="Arial" w:cs="Arial"/>
          <w:sz w:val="16"/>
          <w:szCs w:val="16"/>
        </w:rPr>
        <w:fldChar w:fldCharType="end"/>
      </w:r>
      <w:r w:rsidRPr="005118F5">
        <w:rPr>
          <w:rFonts w:ascii="Arial" w:hAnsi="Arial" w:cs="Arial"/>
          <w:sz w:val="16"/>
          <w:szCs w:val="16"/>
        </w:rPr>
        <w:t xml:space="preserve">: </w:t>
      </w:r>
      <w:r w:rsidRPr="005118F5">
        <w:rPr>
          <w:rFonts w:ascii="Arial" w:hAnsi="Arial" w:cs="Arial"/>
          <w:bCs/>
          <w:sz w:val="16"/>
          <w:szCs w:val="16"/>
        </w:rPr>
        <w:t>Training and Education for securing finance for real estate project development in Developed economies</w:t>
      </w:r>
      <w:bookmarkEnd w:id="1410"/>
    </w:p>
    <w:tbl>
      <w:tblPr>
        <w:tblStyle w:val="TableGrid2"/>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118"/>
        <w:gridCol w:w="3546"/>
        <w:gridCol w:w="4352"/>
      </w:tblGrid>
      <w:tr w:rsidR="00CD6352" w:rsidRPr="0004360A" w14:paraId="70CC0BB0" w14:textId="77777777" w:rsidTr="00CD6352">
        <w:trPr>
          <w:trHeight w:val="143"/>
        </w:trPr>
        <w:tc>
          <w:tcPr>
            <w:tcW w:w="0" w:type="auto"/>
          </w:tcPr>
          <w:p w14:paraId="1EA75FB3" w14:textId="77777777" w:rsidR="00CD6352" w:rsidRPr="0004360A" w:rsidRDefault="00CD6352" w:rsidP="00CD6352">
            <w:pPr>
              <w:jc w:val="both"/>
              <w:rPr>
                <w:rFonts w:ascii="Arial" w:hAnsi="Arial" w:cs="Arial"/>
                <w:b/>
                <w:sz w:val="16"/>
                <w:szCs w:val="16"/>
              </w:rPr>
            </w:pPr>
            <w:r w:rsidRPr="0004360A">
              <w:rPr>
                <w:rFonts w:ascii="Arial" w:hAnsi="Arial" w:cs="Arial"/>
                <w:b/>
                <w:sz w:val="16"/>
                <w:szCs w:val="16"/>
              </w:rPr>
              <w:t>Countries/ mgrs.</w:t>
            </w:r>
          </w:p>
        </w:tc>
        <w:tc>
          <w:tcPr>
            <w:tcW w:w="0" w:type="auto"/>
          </w:tcPr>
          <w:p w14:paraId="160F295A" w14:textId="77777777" w:rsidR="00CD6352" w:rsidRPr="0004360A" w:rsidRDefault="00CD6352" w:rsidP="00CD6352">
            <w:pPr>
              <w:jc w:val="both"/>
              <w:rPr>
                <w:rFonts w:ascii="Arial" w:hAnsi="Arial" w:cs="Arial"/>
                <w:b/>
                <w:sz w:val="16"/>
                <w:szCs w:val="16"/>
              </w:rPr>
            </w:pPr>
            <w:r w:rsidRPr="0004360A">
              <w:rPr>
                <w:rFonts w:ascii="Arial" w:hAnsi="Arial" w:cs="Arial"/>
                <w:b/>
                <w:sz w:val="16"/>
                <w:szCs w:val="16"/>
              </w:rPr>
              <w:t xml:space="preserve">Training </w:t>
            </w:r>
          </w:p>
        </w:tc>
        <w:tc>
          <w:tcPr>
            <w:tcW w:w="0" w:type="auto"/>
          </w:tcPr>
          <w:p w14:paraId="5EB21492" w14:textId="77777777" w:rsidR="00CD6352" w:rsidRPr="0004360A" w:rsidRDefault="00CD6352" w:rsidP="00CD6352">
            <w:pPr>
              <w:jc w:val="both"/>
              <w:rPr>
                <w:rFonts w:ascii="Arial" w:hAnsi="Arial" w:cs="Arial"/>
                <w:b/>
                <w:sz w:val="16"/>
                <w:szCs w:val="16"/>
              </w:rPr>
            </w:pPr>
            <w:r w:rsidRPr="0004360A">
              <w:rPr>
                <w:rFonts w:ascii="Arial" w:hAnsi="Arial" w:cs="Arial"/>
                <w:b/>
                <w:sz w:val="16"/>
                <w:szCs w:val="16"/>
              </w:rPr>
              <w:t xml:space="preserve">Education </w:t>
            </w:r>
          </w:p>
        </w:tc>
      </w:tr>
      <w:tr w:rsidR="00CD6352" w:rsidRPr="0004360A" w14:paraId="0AC23162" w14:textId="77777777" w:rsidTr="00CD6352">
        <w:trPr>
          <w:trHeight w:val="68"/>
        </w:trPr>
        <w:tc>
          <w:tcPr>
            <w:tcW w:w="0" w:type="auto"/>
          </w:tcPr>
          <w:p w14:paraId="5EE9594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Germany mgr. 1</w:t>
            </w:r>
          </w:p>
        </w:tc>
        <w:tc>
          <w:tcPr>
            <w:tcW w:w="0" w:type="auto"/>
          </w:tcPr>
          <w:p w14:paraId="391383EA" w14:textId="46A02B23"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Mentoring by established developers; on-the-job </w:t>
            </w:r>
            <w:r w:rsidR="00304E54" w:rsidRPr="0004360A">
              <w:rPr>
                <w:rFonts w:ascii="Arial" w:hAnsi="Arial" w:cs="Arial"/>
                <w:sz w:val="16"/>
                <w:szCs w:val="16"/>
              </w:rPr>
              <w:t>training</w:t>
            </w:r>
            <w:r w:rsidR="009C0B88">
              <w:rPr>
                <w:rFonts w:ascii="Arial" w:hAnsi="Arial" w:cs="Arial"/>
                <w:sz w:val="16"/>
                <w:szCs w:val="16"/>
              </w:rPr>
              <w:t>,</w:t>
            </w:r>
            <w:r w:rsidR="00304E54" w:rsidRPr="0004360A">
              <w:rPr>
                <w:rFonts w:ascii="Arial" w:hAnsi="Arial" w:cs="Arial"/>
                <w:sz w:val="16"/>
                <w:szCs w:val="16"/>
              </w:rPr>
              <w:t xml:space="preserve"> and</w:t>
            </w:r>
            <w:r w:rsidRPr="0004360A">
              <w:rPr>
                <w:rFonts w:ascii="Arial" w:hAnsi="Arial" w:cs="Arial"/>
                <w:sz w:val="16"/>
                <w:szCs w:val="16"/>
              </w:rPr>
              <w:t xml:space="preserve"> sales training after high school</w:t>
            </w:r>
          </w:p>
        </w:tc>
        <w:tc>
          <w:tcPr>
            <w:tcW w:w="0" w:type="auto"/>
          </w:tcPr>
          <w:p w14:paraId="3CB8708A" w14:textId="1686A622"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Self–education </w:t>
            </w:r>
            <w:r w:rsidR="00304E54" w:rsidRPr="0004360A">
              <w:rPr>
                <w:rFonts w:ascii="Arial" w:hAnsi="Arial" w:cs="Arial"/>
                <w:sz w:val="16"/>
                <w:szCs w:val="16"/>
              </w:rPr>
              <w:t>and high</w:t>
            </w:r>
            <w:r w:rsidRPr="0004360A">
              <w:rPr>
                <w:rFonts w:ascii="Arial" w:hAnsi="Arial" w:cs="Arial"/>
                <w:sz w:val="16"/>
                <w:szCs w:val="16"/>
              </w:rPr>
              <w:t xml:space="preserve"> school </w:t>
            </w:r>
          </w:p>
        </w:tc>
      </w:tr>
      <w:tr w:rsidR="00CD6352" w:rsidRPr="0004360A" w14:paraId="19BF2784" w14:textId="77777777" w:rsidTr="00CD6352">
        <w:trPr>
          <w:trHeight w:val="71"/>
        </w:trPr>
        <w:tc>
          <w:tcPr>
            <w:tcW w:w="0" w:type="auto"/>
          </w:tcPr>
          <w:p w14:paraId="56ED2882"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Germany mgr. 2</w:t>
            </w:r>
          </w:p>
        </w:tc>
        <w:tc>
          <w:tcPr>
            <w:tcW w:w="0" w:type="auto"/>
          </w:tcPr>
          <w:p w14:paraId="6337EDFF"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Several courses in chambers of commerce in Germany and certificate in national planning and training in insurance brokerage.</w:t>
            </w:r>
          </w:p>
        </w:tc>
        <w:tc>
          <w:tcPr>
            <w:tcW w:w="0" w:type="auto"/>
          </w:tcPr>
          <w:p w14:paraId="73B2499E"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Master’s in political science and business administration from German higher educational institutions; </w:t>
            </w:r>
          </w:p>
        </w:tc>
      </w:tr>
      <w:tr w:rsidR="00CD6352" w:rsidRPr="0004360A" w14:paraId="51586204" w14:textId="77777777" w:rsidTr="00CD6352">
        <w:trPr>
          <w:trHeight w:val="68"/>
        </w:trPr>
        <w:tc>
          <w:tcPr>
            <w:tcW w:w="0" w:type="auto"/>
          </w:tcPr>
          <w:p w14:paraId="555BA2D5"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Germany mgr. 3</w:t>
            </w:r>
          </w:p>
        </w:tc>
        <w:tc>
          <w:tcPr>
            <w:tcW w:w="0" w:type="auto"/>
          </w:tcPr>
          <w:p w14:paraId="3782A1D7"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On the job training, usage of external advisers and mentoring </w:t>
            </w:r>
          </w:p>
        </w:tc>
        <w:tc>
          <w:tcPr>
            <w:tcW w:w="0" w:type="auto"/>
          </w:tcPr>
          <w:p w14:paraId="2987947E" w14:textId="7F8ACE5A"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Degree in Economics and public administration from Royal Holloway of </w:t>
            </w:r>
            <w:r w:rsidR="00304E54" w:rsidRPr="0004360A">
              <w:rPr>
                <w:rFonts w:ascii="Arial" w:hAnsi="Arial" w:cs="Arial"/>
                <w:sz w:val="16"/>
                <w:szCs w:val="16"/>
              </w:rPr>
              <w:t>London; RICS</w:t>
            </w:r>
            <w:r w:rsidRPr="0004360A">
              <w:rPr>
                <w:rFonts w:ascii="Arial" w:hAnsi="Arial" w:cs="Arial"/>
                <w:sz w:val="16"/>
                <w:szCs w:val="16"/>
              </w:rPr>
              <w:t xml:space="preserve"> post-graduate diploma in property investment from Reading University, United Kingdom</w:t>
            </w:r>
          </w:p>
        </w:tc>
      </w:tr>
      <w:tr w:rsidR="00CD6352" w:rsidRPr="0004360A" w14:paraId="64E05A1E" w14:textId="77777777" w:rsidTr="00CD6352">
        <w:trPr>
          <w:trHeight w:val="68"/>
        </w:trPr>
        <w:tc>
          <w:tcPr>
            <w:tcW w:w="0" w:type="auto"/>
          </w:tcPr>
          <w:p w14:paraId="46B50ECA"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Germany mgr 4</w:t>
            </w:r>
          </w:p>
        </w:tc>
        <w:tc>
          <w:tcPr>
            <w:tcW w:w="0" w:type="auto"/>
          </w:tcPr>
          <w:p w14:paraId="2B054555" w14:textId="04E490C4"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Research analyst at an </w:t>
            </w:r>
            <w:r w:rsidR="00304E54" w:rsidRPr="0004360A">
              <w:rPr>
                <w:rFonts w:ascii="Arial" w:hAnsi="Arial" w:cs="Arial"/>
                <w:sz w:val="16"/>
                <w:szCs w:val="16"/>
              </w:rPr>
              <w:t xml:space="preserve">international </w:t>
            </w:r>
            <w:r w:rsidR="005C2663">
              <w:rPr>
                <w:rFonts w:ascii="Arial" w:hAnsi="Arial" w:cs="Arial"/>
                <w:sz w:val="16"/>
                <w:szCs w:val="16"/>
              </w:rPr>
              <w:t>b</w:t>
            </w:r>
            <w:r w:rsidR="00304E54" w:rsidRPr="0004360A">
              <w:rPr>
                <w:rFonts w:ascii="Arial" w:hAnsi="Arial" w:cs="Arial"/>
                <w:sz w:val="16"/>
                <w:szCs w:val="16"/>
              </w:rPr>
              <w:t>ank</w:t>
            </w:r>
            <w:r w:rsidRPr="0004360A">
              <w:rPr>
                <w:rFonts w:ascii="Arial" w:hAnsi="Arial" w:cs="Arial"/>
                <w:sz w:val="16"/>
                <w:szCs w:val="16"/>
              </w:rPr>
              <w:t>, on the job training, seminars and conferences</w:t>
            </w:r>
          </w:p>
        </w:tc>
        <w:tc>
          <w:tcPr>
            <w:tcW w:w="0" w:type="auto"/>
          </w:tcPr>
          <w:p w14:paraId="0441A194"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BSc Economics – Germany and PhD - Germany</w:t>
            </w:r>
          </w:p>
        </w:tc>
      </w:tr>
      <w:tr w:rsidR="00CD6352" w:rsidRPr="0004360A" w14:paraId="0B9DEC06" w14:textId="77777777" w:rsidTr="00CD6352">
        <w:trPr>
          <w:trHeight w:val="68"/>
        </w:trPr>
        <w:tc>
          <w:tcPr>
            <w:tcW w:w="0" w:type="auto"/>
          </w:tcPr>
          <w:p w14:paraId="0DEE2950"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Germany mgr. 5</w:t>
            </w:r>
          </w:p>
        </w:tc>
        <w:tc>
          <w:tcPr>
            <w:tcW w:w="0" w:type="auto"/>
          </w:tcPr>
          <w:p w14:paraId="04B39192" w14:textId="3A71A878"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On the job training both as a lender and as a </w:t>
            </w:r>
            <w:r w:rsidR="00304E54" w:rsidRPr="0004360A">
              <w:rPr>
                <w:rFonts w:ascii="Arial" w:hAnsi="Arial" w:cs="Arial"/>
                <w:sz w:val="16"/>
                <w:szCs w:val="16"/>
              </w:rPr>
              <w:t>developer; classroom</w:t>
            </w:r>
            <w:r w:rsidRPr="0004360A">
              <w:rPr>
                <w:rFonts w:ascii="Arial" w:hAnsi="Arial" w:cs="Arial"/>
                <w:sz w:val="16"/>
                <w:szCs w:val="16"/>
              </w:rPr>
              <w:t xml:space="preserve">-based training in development and acquisition finance and mentoring  </w:t>
            </w:r>
          </w:p>
        </w:tc>
        <w:tc>
          <w:tcPr>
            <w:tcW w:w="0" w:type="auto"/>
          </w:tcPr>
          <w:p w14:paraId="77E447A8"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Bachelor of Science in Management and Master of Science in Real estate from Cass business school London </w:t>
            </w:r>
          </w:p>
        </w:tc>
      </w:tr>
      <w:tr w:rsidR="00CD6352" w:rsidRPr="0004360A" w14:paraId="3842FA89" w14:textId="77777777" w:rsidTr="00CD6352">
        <w:trPr>
          <w:trHeight w:val="68"/>
        </w:trPr>
        <w:tc>
          <w:tcPr>
            <w:tcW w:w="0" w:type="auto"/>
          </w:tcPr>
          <w:p w14:paraId="44745C8D"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Germany mgr6</w:t>
            </w:r>
          </w:p>
        </w:tc>
        <w:tc>
          <w:tcPr>
            <w:tcW w:w="0" w:type="auto"/>
          </w:tcPr>
          <w:p w14:paraId="3F0F53CE"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Personal developments on up-to-date development in the German real estate market through Seminars and conferences </w:t>
            </w:r>
          </w:p>
        </w:tc>
        <w:tc>
          <w:tcPr>
            <w:tcW w:w="0" w:type="auto"/>
          </w:tcPr>
          <w:p w14:paraId="4A0EE3B9"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BSc Philipps University Marburg, Germany and Masters European Law focusing on real estates, Kings College London</w:t>
            </w:r>
          </w:p>
        </w:tc>
      </w:tr>
      <w:tr w:rsidR="00CD6352" w:rsidRPr="0004360A" w14:paraId="60D1CC69" w14:textId="77777777" w:rsidTr="00CD6352">
        <w:trPr>
          <w:trHeight w:val="68"/>
        </w:trPr>
        <w:tc>
          <w:tcPr>
            <w:tcW w:w="0" w:type="auto"/>
          </w:tcPr>
          <w:p w14:paraId="7C923ACC"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 1</w:t>
            </w:r>
          </w:p>
          <w:p w14:paraId="10E6ACEF" w14:textId="77777777" w:rsidR="00CD6352" w:rsidRPr="0004360A" w:rsidRDefault="00CD6352" w:rsidP="00CD6352">
            <w:pPr>
              <w:jc w:val="both"/>
              <w:rPr>
                <w:rFonts w:ascii="Arial" w:hAnsi="Arial" w:cs="Arial"/>
                <w:sz w:val="16"/>
                <w:szCs w:val="16"/>
              </w:rPr>
            </w:pPr>
          </w:p>
        </w:tc>
        <w:tc>
          <w:tcPr>
            <w:tcW w:w="0" w:type="auto"/>
          </w:tcPr>
          <w:p w14:paraId="7C84F402"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On the job training, classroom-based training by consultants,  work experience as a property lender in banks within and outside the UK, personal development </w:t>
            </w:r>
          </w:p>
        </w:tc>
        <w:tc>
          <w:tcPr>
            <w:tcW w:w="0" w:type="auto"/>
          </w:tcPr>
          <w:p w14:paraId="1391F0D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Degree in Mathematics – Nigeria, MBA –UK and certificate in mortgage practice -UK</w:t>
            </w:r>
          </w:p>
        </w:tc>
      </w:tr>
      <w:tr w:rsidR="00CD6352" w:rsidRPr="0004360A" w14:paraId="1D09150C" w14:textId="77777777" w:rsidTr="00CD6352">
        <w:trPr>
          <w:trHeight w:val="202"/>
        </w:trPr>
        <w:tc>
          <w:tcPr>
            <w:tcW w:w="0" w:type="auto"/>
          </w:tcPr>
          <w:p w14:paraId="6B9BC397"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 2</w:t>
            </w:r>
          </w:p>
        </w:tc>
        <w:tc>
          <w:tcPr>
            <w:tcW w:w="0" w:type="auto"/>
          </w:tcPr>
          <w:p w14:paraId="51AB63D4"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On the job training, conferences, seminar, training by external consultants</w:t>
            </w:r>
          </w:p>
        </w:tc>
        <w:tc>
          <w:tcPr>
            <w:tcW w:w="0" w:type="auto"/>
          </w:tcPr>
          <w:p w14:paraId="37218C1D"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BA, Economics  University of Liverpool - the UK &amp; a chartered accountant </w:t>
            </w:r>
          </w:p>
        </w:tc>
      </w:tr>
      <w:tr w:rsidR="00CD6352" w:rsidRPr="0004360A" w14:paraId="436C9661" w14:textId="77777777" w:rsidTr="00CD6352">
        <w:trPr>
          <w:trHeight w:val="68"/>
        </w:trPr>
        <w:tc>
          <w:tcPr>
            <w:tcW w:w="0" w:type="auto"/>
          </w:tcPr>
          <w:p w14:paraId="00791F0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 3</w:t>
            </w:r>
          </w:p>
        </w:tc>
        <w:tc>
          <w:tcPr>
            <w:tcW w:w="0" w:type="auto"/>
          </w:tcPr>
          <w:p w14:paraId="41A88685"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On the job training and learning from experience</w:t>
            </w:r>
          </w:p>
        </w:tc>
        <w:tc>
          <w:tcPr>
            <w:tcW w:w="0" w:type="auto"/>
          </w:tcPr>
          <w:p w14:paraId="793D6585"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Degree in Finance and accounting in Australia</w:t>
            </w:r>
          </w:p>
        </w:tc>
      </w:tr>
      <w:tr w:rsidR="00CD6352" w:rsidRPr="0004360A" w14:paraId="65F6BA77" w14:textId="77777777" w:rsidTr="00CD6352">
        <w:trPr>
          <w:trHeight w:val="210"/>
        </w:trPr>
        <w:tc>
          <w:tcPr>
            <w:tcW w:w="0" w:type="auto"/>
          </w:tcPr>
          <w:p w14:paraId="37D1D2D7"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 4</w:t>
            </w:r>
          </w:p>
        </w:tc>
        <w:tc>
          <w:tcPr>
            <w:tcW w:w="0" w:type="auto"/>
          </w:tcPr>
          <w:p w14:paraId="07926683"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Experience and on the job training </w:t>
            </w:r>
          </w:p>
        </w:tc>
        <w:tc>
          <w:tcPr>
            <w:tcW w:w="0" w:type="auto"/>
          </w:tcPr>
          <w:p w14:paraId="1673725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BSc History –UK, MA Political science –the UK, PhD in progress</w:t>
            </w:r>
          </w:p>
        </w:tc>
      </w:tr>
      <w:tr w:rsidR="00CD6352" w:rsidRPr="0004360A" w14:paraId="3AFA78BB" w14:textId="77777777" w:rsidTr="00CD6352">
        <w:trPr>
          <w:trHeight w:val="210"/>
        </w:trPr>
        <w:tc>
          <w:tcPr>
            <w:tcW w:w="0" w:type="auto"/>
          </w:tcPr>
          <w:p w14:paraId="455C43E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 5</w:t>
            </w:r>
          </w:p>
        </w:tc>
        <w:tc>
          <w:tcPr>
            <w:tcW w:w="0" w:type="auto"/>
          </w:tcPr>
          <w:p w14:paraId="7FA65C4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Different types of  training as needed based on the budget, on the job training and experience</w:t>
            </w:r>
          </w:p>
        </w:tc>
        <w:tc>
          <w:tcPr>
            <w:tcW w:w="0" w:type="auto"/>
          </w:tcPr>
          <w:p w14:paraId="2C2FA5DA"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Finance degree and qualified chartered accountant - UK</w:t>
            </w:r>
          </w:p>
        </w:tc>
      </w:tr>
      <w:tr w:rsidR="00CD6352" w:rsidRPr="0004360A" w14:paraId="188A9455" w14:textId="77777777" w:rsidTr="00CD6352">
        <w:trPr>
          <w:trHeight w:val="68"/>
        </w:trPr>
        <w:tc>
          <w:tcPr>
            <w:tcW w:w="0" w:type="auto"/>
          </w:tcPr>
          <w:p w14:paraId="35F68449"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 6</w:t>
            </w:r>
          </w:p>
        </w:tc>
        <w:tc>
          <w:tcPr>
            <w:tcW w:w="0" w:type="auto"/>
          </w:tcPr>
          <w:p w14:paraId="4D3DC301"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banking qualification, learning through training others, experience from working in the banking sector</w:t>
            </w:r>
          </w:p>
        </w:tc>
        <w:tc>
          <w:tcPr>
            <w:tcW w:w="0" w:type="auto"/>
          </w:tcPr>
          <w:p w14:paraId="556ED913"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Degree in Economics &amp; Geography Exeter University –UK, </w:t>
            </w:r>
          </w:p>
        </w:tc>
      </w:tr>
      <w:tr w:rsidR="00CD6352" w:rsidRPr="0004360A" w14:paraId="6657E8CE" w14:textId="77777777" w:rsidTr="00CD6352">
        <w:trPr>
          <w:trHeight w:val="319"/>
        </w:trPr>
        <w:tc>
          <w:tcPr>
            <w:tcW w:w="0" w:type="auto"/>
          </w:tcPr>
          <w:p w14:paraId="17693FF9"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UK mgr7</w:t>
            </w:r>
          </w:p>
        </w:tc>
        <w:tc>
          <w:tcPr>
            <w:tcW w:w="0" w:type="auto"/>
          </w:tcPr>
          <w:p w14:paraId="3BC7E4AF"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Professional qualification from RICS, regular CPDs every year, market briefings, seminars, conferences, experience and on the job training </w:t>
            </w:r>
          </w:p>
        </w:tc>
        <w:tc>
          <w:tcPr>
            <w:tcW w:w="0" w:type="auto"/>
          </w:tcPr>
          <w:p w14:paraId="7E9CF45F"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Degree in Land Economics from Aberdeen University</w:t>
            </w:r>
          </w:p>
        </w:tc>
      </w:tr>
      <w:tr w:rsidR="00CD6352" w:rsidRPr="0004360A" w14:paraId="73039127" w14:textId="77777777" w:rsidTr="00CD6352">
        <w:trPr>
          <w:trHeight w:val="295"/>
        </w:trPr>
        <w:tc>
          <w:tcPr>
            <w:tcW w:w="0" w:type="auto"/>
          </w:tcPr>
          <w:p w14:paraId="558B1042"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lastRenderedPageBreak/>
              <w:t>US mgr1</w:t>
            </w:r>
          </w:p>
        </w:tc>
        <w:tc>
          <w:tcPr>
            <w:tcW w:w="0" w:type="auto"/>
          </w:tcPr>
          <w:p w14:paraId="52FBA39E"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Internship with the Royal Bank of Scotland investment team, conferences, newsletters that are hotel industry related, </w:t>
            </w:r>
          </w:p>
        </w:tc>
        <w:tc>
          <w:tcPr>
            <w:tcW w:w="0" w:type="auto"/>
          </w:tcPr>
          <w:p w14:paraId="1AC0D6F7"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BSc Economics at the University of Amsterdam and a master’s degree in Finance</w:t>
            </w:r>
          </w:p>
        </w:tc>
      </w:tr>
      <w:tr w:rsidR="00CD6352" w:rsidRPr="0004360A" w14:paraId="3A12685D" w14:textId="77777777" w:rsidTr="00CD6352">
        <w:trPr>
          <w:trHeight w:val="449"/>
        </w:trPr>
        <w:tc>
          <w:tcPr>
            <w:tcW w:w="0" w:type="auto"/>
          </w:tcPr>
          <w:p w14:paraId="6AE473AF"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US Mgr2</w:t>
            </w:r>
          </w:p>
        </w:tc>
        <w:tc>
          <w:tcPr>
            <w:tcW w:w="0" w:type="auto"/>
          </w:tcPr>
          <w:p w14:paraId="5936FDC7"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Academic research, conferences, seminars, work experiences and  interactions with other industry practitioners </w:t>
            </w:r>
          </w:p>
        </w:tc>
        <w:tc>
          <w:tcPr>
            <w:tcW w:w="0" w:type="auto"/>
          </w:tcPr>
          <w:p w14:paraId="2DB2A937"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BSc Estate Management from University of John Moores University –UK;  MSc, Investment Analysis from University of Stirling – Scotland and PhD Finance from UCD Michael Smurfit Graduate School- Dublin</w:t>
            </w:r>
          </w:p>
        </w:tc>
      </w:tr>
      <w:tr w:rsidR="00CD6352" w:rsidRPr="0004360A" w14:paraId="1B5F0869" w14:textId="77777777" w:rsidTr="00CD6352">
        <w:trPr>
          <w:trHeight w:val="324"/>
        </w:trPr>
        <w:tc>
          <w:tcPr>
            <w:tcW w:w="0" w:type="auto"/>
          </w:tcPr>
          <w:p w14:paraId="6F3A9944"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US mgr. 3</w:t>
            </w:r>
          </w:p>
        </w:tc>
        <w:tc>
          <w:tcPr>
            <w:tcW w:w="0" w:type="auto"/>
          </w:tcPr>
          <w:p w14:paraId="3616AB9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On the job training, experience, seminars, workshop and conferences</w:t>
            </w:r>
          </w:p>
        </w:tc>
        <w:tc>
          <w:tcPr>
            <w:tcW w:w="0" w:type="auto"/>
          </w:tcPr>
          <w:p w14:paraId="1EC23459"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BSc Housing and Consumer Economics; Masters in Senior Housing and PhD Leadership Development.</w:t>
            </w:r>
          </w:p>
        </w:tc>
      </w:tr>
      <w:tr w:rsidR="00CD6352" w:rsidRPr="0004360A" w14:paraId="64ED65AF" w14:textId="77777777" w:rsidTr="00CD6352">
        <w:trPr>
          <w:trHeight w:val="358"/>
        </w:trPr>
        <w:tc>
          <w:tcPr>
            <w:tcW w:w="0" w:type="auto"/>
          </w:tcPr>
          <w:p w14:paraId="27D261F6"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US mgr. 4</w:t>
            </w:r>
          </w:p>
        </w:tc>
        <w:tc>
          <w:tcPr>
            <w:tcW w:w="0" w:type="auto"/>
          </w:tcPr>
          <w:p w14:paraId="4D04EE96"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On the job training</w:t>
            </w:r>
          </w:p>
        </w:tc>
        <w:tc>
          <w:tcPr>
            <w:tcW w:w="0" w:type="auto"/>
          </w:tcPr>
          <w:p w14:paraId="5141D0A0"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BA Rhetoric from University of California, Berkeley; J.D Law from University of Miami School of Law –US and MSc Real estate from University of Washington</w:t>
            </w:r>
          </w:p>
        </w:tc>
      </w:tr>
      <w:tr w:rsidR="00CD6352" w:rsidRPr="0004360A" w14:paraId="442EBCD7" w14:textId="77777777" w:rsidTr="00CD6352">
        <w:trPr>
          <w:trHeight w:val="358"/>
        </w:trPr>
        <w:tc>
          <w:tcPr>
            <w:tcW w:w="0" w:type="auto"/>
          </w:tcPr>
          <w:p w14:paraId="0262E96F"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US mgr.5</w:t>
            </w:r>
          </w:p>
        </w:tc>
        <w:tc>
          <w:tcPr>
            <w:tcW w:w="0" w:type="auto"/>
          </w:tcPr>
          <w:p w14:paraId="27A1E84B"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CPDs, conferences and seminars</w:t>
            </w:r>
          </w:p>
        </w:tc>
        <w:tc>
          <w:tcPr>
            <w:tcW w:w="0" w:type="auto"/>
          </w:tcPr>
          <w:p w14:paraId="09595C18" w14:textId="77777777" w:rsidR="00CD6352" w:rsidRPr="0004360A" w:rsidRDefault="00CD6352" w:rsidP="00CD6352">
            <w:pPr>
              <w:jc w:val="both"/>
              <w:rPr>
                <w:rFonts w:ascii="Arial" w:hAnsi="Arial" w:cs="Arial"/>
                <w:sz w:val="16"/>
                <w:szCs w:val="16"/>
              </w:rPr>
            </w:pPr>
            <w:r w:rsidRPr="0004360A">
              <w:rPr>
                <w:rFonts w:ascii="Arial" w:hAnsi="Arial" w:cs="Arial"/>
                <w:sz w:val="16"/>
                <w:szCs w:val="16"/>
              </w:rPr>
              <w:t xml:space="preserve">BSc Real estates from Ohio State University </w:t>
            </w:r>
          </w:p>
        </w:tc>
      </w:tr>
    </w:tbl>
    <w:p w14:paraId="500F5FD1" w14:textId="77777777" w:rsidR="00CD6352" w:rsidRPr="00EA7665" w:rsidRDefault="00CD6352" w:rsidP="00CD6352">
      <w:pPr>
        <w:spacing w:line="360" w:lineRule="auto"/>
        <w:jc w:val="both"/>
        <w:rPr>
          <w:rFonts w:ascii="Arial" w:hAnsi="Arial" w:cs="Arial"/>
        </w:rPr>
      </w:pPr>
    </w:p>
    <w:p w14:paraId="78DBBB5A" w14:textId="77777777" w:rsidR="00CD6352" w:rsidRPr="00EA7665" w:rsidRDefault="00CD6352" w:rsidP="00CD6352">
      <w:pPr>
        <w:pStyle w:val="Subtitle"/>
        <w:spacing w:after="0" w:line="360" w:lineRule="auto"/>
        <w:jc w:val="both"/>
        <w:rPr>
          <w:rStyle w:val="Strong"/>
          <w:rFonts w:ascii="Arial" w:hAnsi="Arial" w:cs="Arial"/>
          <w:b w:val="0"/>
        </w:rPr>
      </w:pPr>
    </w:p>
    <w:p w14:paraId="4BA38E99" w14:textId="0EC4D968" w:rsidR="005118F5" w:rsidRPr="005118F5" w:rsidRDefault="005118F5" w:rsidP="005118F5">
      <w:pPr>
        <w:pStyle w:val="Caption"/>
        <w:keepNext/>
        <w:rPr>
          <w:rFonts w:ascii="Arial" w:hAnsi="Arial" w:cs="Arial"/>
          <w:sz w:val="16"/>
          <w:szCs w:val="16"/>
        </w:rPr>
      </w:pPr>
      <w:bookmarkStart w:id="1411" w:name="_Toc78984040"/>
      <w:r w:rsidRPr="005118F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9.3</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12</w:t>
      </w:r>
      <w:r w:rsidR="008F25B1">
        <w:rPr>
          <w:rFonts w:ascii="Arial" w:hAnsi="Arial" w:cs="Arial"/>
          <w:sz w:val="16"/>
          <w:szCs w:val="16"/>
        </w:rPr>
        <w:fldChar w:fldCharType="end"/>
      </w:r>
      <w:r w:rsidRPr="005118F5">
        <w:rPr>
          <w:rFonts w:ascii="Arial" w:hAnsi="Arial" w:cs="Arial"/>
          <w:sz w:val="16"/>
          <w:szCs w:val="16"/>
        </w:rPr>
        <w:t>:</w:t>
      </w:r>
      <w:r w:rsidRPr="005118F5">
        <w:rPr>
          <w:rFonts w:ascii="Arial" w:hAnsi="Arial" w:cs="Arial"/>
          <w:bCs/>
          <w:sz w:val="16"/>
          <w:szCs w:val="16"/>
        </w:rPr>
        <w:t xml:space="preserve"> Training and Education for securing finance for real estate project development in emerging economies</w:t>
      </w:r>
      <w:bookmarkEnd w:id="1411"/>
    </w:p>
    <w:tbl>
      <w:tblPr>
        <w:tblStyle w:val="TableGrid2"/>
        <w:tblW w:w="0" w:type="auto"/>
        <w:jc w:val="center"/>
        <w:tblLook w:val="04A0" w:firstRow="1" w:lastRow="0" w:firstColumn="1" w:lastColumn="0" w:noHBand="0" w:noVBand="1"/>
      </w:tblPr>
      <w:tblGrid>
        <w:gridCol w:w="1105"/>
        <w:gridCol w:w="2948"/>
        <w:gridCol w:w="4963"/>
      </w:tblGrid>
      <w:tr w:rsidR="00CD6352" w:rsidRPr="00EA7665" w14:paraId="2C01449C" w14:textId="77777777" w:rsidTr="00CD6352">
        <w:trPr>
          <w:trHeight w:val="482"/>
          <w:jc w:val="center"/>
        </w:trPr>
        <w:tc>
          <w:tcPr>
            <w:tcW w:w="0" w:type="auto"/>
          </w:tcPr>
          <w:p w14:paraId="00C8F68D" w14:textId="77777777" w:rsidR="00CD6352" w:rsidRPr="00EA7665" w:rsidRDefault="00CD6352" w:rsidP="00CD6352">
            <w:pPr>
              <w:jc w:val="both"/>
              <w:rPr>
                <w:rFonts w:ascii="Arial" w:hAnsi="Arial" w:cs="Arial"/>
                <w:b/>
                <w:sz w:val="16"/>
                <w:szCs w:val="16"/>
              </w:rPr>
            </w:pPr>
            <w:r w:rsidRPr="00EA7665">
              <w:rPr>
                <w:rFonts w:ascii="Arial" w:hAnsi="Arial" w:cs="Arial"/>
                <w:b/>
                <w:sz w:val="16"/>
                <w:szCs w:val="16"/>
              </w:rPr>
              <w:t>Countries/ mgrs.</w:t>
            </w:r>
          </w:p>
        </w:tc>
        <w:tc>
          <w:tcPr>
            <w:tcW w:w="0" w:type="auto"/>
          </w:tcPr>
          <w:p w14:paraId="38A7273C" w14:textId="77777777" w:rsidR="00CD6352" w:rsidRPr="00EA7665" w:rsidRDefault="00CD6352" w:rsidP="00CD6352">
            <w:pPr>
              <w:jc w:val="both"/>
              <w:rPr>
                <w:rFonts w:ascii="Arial" w:hAnsi="Arial" w:cs="Arial"/>
                <w:b/>
                <w:sz w:val="16"/>
                <w:szCs w:val="16"/>
              </w:rPr>
            </w:pPr>
            <w:r w:rsidRPr="00EA7665">
              <w:rPr>
                <w:rFonts w:ascii="Arial" w:hAnsi="Arial" w:cs="Arial"/>
                <w:b/>
                <w:sz w:val="16"/>
                <w:szCs w:val="16"/>
              </w:rPr>
              <w:t xml:space="preserve">Training </w:t>
            </w:r>
          </w:p>
        </w:tc>
        <w:tc>
          <w:tcPr>
            <w:tcW w:w="0" w:type="auto"/>
          </w:tcPr>
          <w:p w14:paraId="7F99027C" w14:textId="77777777" w:rsidR="00CD6352" w:rsidRPr="00EA7665" w:rsidRDefault="00CD6352" w:rsidP="00CD6352">
            <w:pPr>
              <w:jc w:val="both"/>
              <w:rPr>
                <w:rFonts w:ascii="Arial" w:hAnsi="Arial" w:cs="Arial"/>
                <w:b/>
                <w:sz w:val="16"/>
                <w:szCs w:val="16"/>
              </w:rPr>
            </w:pPr>
            <w:r w:rsidRPr="00EA7665">
              <w:rPr>
                <w:rFonts w:ascii="Arial" w:hAnsi="Arial" w:cs="Arial"/>
                <w:b/>
                <w:sz w:val="16"/>
                <w:szCs w:val="16"/>
              </w:rPr>
              <w:t xml:space="preserve">Education </w:t>
            </w:r>
          </w:p>
        </w:tc>
      </w:tr>
      <w:tr w:rsidR="00CD6352" w:rsidRPr="00EA7665" w14:paraId="725D9BC0" w14:textId="77777777" w:rsidTr="00CD6352">
        <w:trPr>
          <w:trHeight w:val="127"/>
          <w:jc w:val="center"/>
        </w:trPr>
        <w:tc>
          <w:tcPr>
            <w:tcW w:w="0" w:type="auto"/>
          </w:tcPr>
          <w:p w14:paraId="47B1EE5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1</w:t>
            </w:r>
          </w:p>
        </w:tc>
        <w:tc>
          <w:tcPr>
            <w:tcW w:w="0" w:type="auto"/>
          </w:tcPr>
          <w:p w14:paraId="101229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Experience, on the job training and executive development program</w:t>
            </w:r>
          </w:p>
        </w:tc>
        <w:tc>
          <w:tcPr>
            <w:tcW w:w="0" w:type="auto"/>
          </w:tcPr>
          <w:p w14:paraId="23CFB4F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BSc Business and property University of South Australia  &amp; Master’s degree in Finance from Financial Services Institute of Australia </w:t>
            </w:r>
          </w:p>
        </w:tc>
      </w:tr>
      <w:tr w:rsidR="00CD6352" w:rsidRPr="00EA7665" w14:paraId="38CA3B32" w14:textId="77777777" w:rsidTr="00CD6352">
        <w:trPr>
          <w:trHeight w:val="135"/>
          <w:jc w:val="center"/>
        </w:trPr>
        <w:tc>
          <w:tcPr>
            <w:tcW w:w="0" w:type="auto"/>
          </w:tcPr>
          <w:p w14:paraId="0C2D0DE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2</w:t>
            </w:r>
          </w:p>
        </w:tc>
        <w:tc>
          <w:tcPr>
            <w:tcW w:w="0" w:type="auto"/>
          </w:tcPr>
          <w:p w14:paraId="377B728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Financial analysis and business development courses; seminar, conferences, workshop and on the job training</w:t>
            </w:r>
          </w:p>
        </w:tc>
        <w:tc>
          <w:tcPr>
            <w:tcW w:w="0" w:type="auto"/>
          </w:tcPr>
          <w:p w14:paraId="15E6229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BSc Engineering, Tsinghua University; MSc Project Management, National University of Singapore; PhD. Construction Management and Economics, National University Singapore &amp; Financial analysis, CFAI- Chartered Financial Analyst Institute </w:t>
            </w:r>
          </w:p>
        </w:tc>
      </w:tr>
      <w:tr w:rsidR="00CD6352" w:rsidRPr="00EA7665" w14:paraId="3C6D72CE" w14:textId="77777777" w:rsidTr="00CD6352">
        <w:trPr>
          <w:trHeight w:val="127"/>
          <w:jc w:val="center"/>
        </w:trPr>
        <w:tc>
          <w:tcPr>
            <w:tcW w:w="0" w:type="auto"/>
          </w:tcPr>
          <w:p w14:paraId="414DD16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3</w:t>
            </w:r>
          </w:p>
        </w:tc>
        <w:tc>
          <w:tcPr>
            <w:tcW w:w="0" w:type="auto"/>
          </w:tcPr>
          <w:p w14:paraId="6167D10F" w14:textId="60F1E381"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Over 20years experience in </w:t>
            </w:r>
            <w:r w:rsidR="005C2663">
              <w:rPr>
                <w:rFonts w:ascii="Arial" w:hAnsi="Arial" w:cs="Arial"/>
                <w:sz w:val="16"/>
                <w:szCs w:val="16"/>
              </w:rPr>
              <w:t xml:space="preserve">the </w:t>
            </w:r>
            <w:r w:rsidRPr="00EA7665">
              <w:rPr>
                <w:rFonts w:ascii="Arial" w:hAnsi="Arial" w:cs="Arial"/>
                <w:sz w:val="16"/>
                <w:szCs w:val="16"/>
              </w:rPr>
              <w:t>real estate and finance industry</w:t>
            </w:r>
          </w:p>
        </w:tc>
        <w:tc>
          <w:tcPr>
            <w:tcW w:w="0" w:type="auto"/>
          </w:tcPr>
          <w:p w14:paraId="66CC087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Bachelor of Science in Civil Engineering from the School of Engineering at the University of Pennsylvania, a Bachelor of Science in Finance from the Wharton School at the University of Pennsylvania, and a Master of Science in Construction Management from Stanford University.</w:t>
            </w:r>
          </w:p>
        </w:tc>
      </w:tr>
      <w:tr w:rsidR="00CD6352" w:rsidRPr="00EA7665" w14:paraId="20BDB3CD" w14:textId="77777777" w:rsidTr="00CD6352">
        <w:trPr>
          <w:trHeight w:val="127"/>
          <w:jc w:val="center"/>
        </w:trPr>
        <w:tc>
          <w:tcPr>
            <w:tcW w:w="0" w:type="auto"/>
          </w:tcPr>
          <w:p w14:paraId="4DDA1DC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4</w:t>
            </w:r>
          </w:p>
        </w:tc>
        <w:tc>
          <w:tcPr>
            <w:tcW w:w="0" w:type="auto"/>
          </w:tcPr>
          <w:p w14:paraId="43B640ED" w14:textId="4F925ABC"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Over 20years experience in </w:t>
            </w:r>
            <w:r w:rsidR="005C2663">
              <w:rPr>
                <w:rFonts w:ascii="Arial" w:hAnsi="Arial" w:cs="Arial"/>
                <w:sz w:val="16"/>
                <w:szCs w:val="16"/>
              </w:rPr>
              <w:t xml:space="preserve">the </w:t>
            </w:r>
            <w:r w:rsidRPr="00EA7665">
              <w:rPr>
                <w:rFonts w:ascii="Arial" w:hAnsi="Arial" w:cs="Arial"/>
                <w:sz w:val="16"/>
                <w:szCs w:val="16"/>
              </w:rPr>
              <w:t>real estate and finance industry</w:t>
            </w:r>
          </w:p>
        </w:tc>
        <w:tc>
          <w:tcPr>
            <w:tcW w:w="0" w:type="auto"/>
          </w:tcPr>
          <w:p w14:paraId="41E59CD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Bachelor of Science in Applied Mathematics and Economics from Brown University (magna cum laude).</w:t>
            </w:r>
          </w:p>
        </w:tc>
      </w:tr>
      <w:tr w:rsidR="00CD6352" w:rsidRPr="00EA7665" w14:paraId="0A0D8099" w14:textId="77777777" w:rsidTr="00CD6352">
        <w:trPr>
          <w:trHeight w:val="127"/>
          <w:jc w:val="center"/>
        </w:trPr>
        <w:tc>
          <w:tcPr>
            <w:tcW w:w="0" w:type="auto"/>
          </w:tcPr>
          <w:p w14:paraId="28A789F4"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5</w:t>
            </w:r>
          </w:p>
        </w:tc>
        <w:tc>
          <w:tcPr>
            <w:tcW w:w="0" w:type="auto"/>
          </w:tcPr>
          <w:p w14:paraId="3E641E3F" w14:textId="3CAFCC98"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Over 20years experience in </w:t>
            </w:r>
            <w:r w:rsidR="005C2663">
              <w:rPr>
                <w:rFonts w:ascii="Arial" w:hAnsi="Arial" w:cs="Arial"/>
                <w:sz w:val="16"/>
                <w:szCs w:val="16"/>
              </w:rPr>
              <w:t xml:space="preserve">the </w:t>
            </w:r>
            <w:r w:rsidRPr="00EA7665">
              <w:rPr>
                <w:rFonts w:ascii="Arial" w:hAnsi="Arial" w:cs="Arial"/>
                <w:sz w:val="16"/>
                <w:szCs w:val="16"/>
              </w:rPr>
              <w:t>real estate and finance industry</w:t>
            </w:r>
          </w:p>
        </w:tc>
        <w:tc>
          <w:tcPr>
            <w:tcW w:w="0" w:type="auto"/>
          </w:tcPr>
          <w:p w14:paraId="21E9311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A Bachelor of Science in Economics from the University of London and a Master of Science in Property Investment from the City University Business School, London.</w:t>
            </w:r>
          </w:p>
        </w:tc>
      </w:tr>
      <w:tr w:rsidR="00CD6352" w:rsidRPr="00EA7665" w14:paraId="4471F7BB" w14:textId="77777777" w:rsidTr="00CD6352">
        <w:trPr>
          <w:trHeight w:val="127"/>
          <w:jc w:val="center"/>
        </w:trPr>
        <w:tc>
          <w:tcPr>
            <w:tcW w:w="0" w:type="auto"/>
          </w:tcPr>
          <w:p w14:paraId="430B325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6</w:t>
            </w:r>
          </w:p>
        </w:tc>
        <w:tc>
          <w:tcPr>
            <w:tcW w:w="0" w:type="auto"/>
          </w:tcPr>
          <w:p w14:paraId="1F981040" w14:textId="3F48A515"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Over 20years experience in </w:t>
            </w:r>
            <w:r w:rsidR="005C2663">
              <w:rPr>
                <w:rFonts w:ascii="Arial" w:hAnsi="Arial" w:cs="Arial"/>
                <w:sz w:val="16"/>
                <w:szCs w:val="16"/>
              </w:rPr>
              <w:t xml:space="preserve">the </w:t>
            </w:r>
            <w:r w:rsidRPr="00EA7665">
              <w:rPr>
                <w:rFonts w:ascii="Arial" w:hAnsi="Arial" w:cs="Arial"/>
                <w:sz w:val="16"/>
                <w:szCs w:val="16"/>
              </w:rPr>
              <w:t>real estate and finance industry</w:t>
            </w:r>
          </w:p>
        </w:tc>
        <w:tc>
          <w:tcPr>
            <w:tcW w:w="0" w:type="auto"/>
          </w:tcPr>
          <w:p w14:paraId="27B4216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Bachelor of Science in Business Administration from the University of San Francisco.</w:t>
            </w:r>
          </w:p>
        </w:tc>
      </w:tr>
      <w:tr w:rsidR="00CD6352" w:rsidRPr="00EA7665" w14:paraId="72B28DDF" w14:textId="77777777" w:rsidTr="00CD6352">
        <w:trPr>
          <w:trHeight w:val="127"/>
          <w:jc w:val="center"/>
        </w:trPr>
        <w:tc>
          <w:tcPr>
            <w:tcW w:w="0" w:type="auto"/>
          </w:tcPr>
          <w:p w14:paraId="6339AB2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China mgr. 7</w:t>
            </w:r>
          </w:p>
        </w:tc>
        <w:tc>
          <w:tcPr>
            <w:tcW w:w="0" w:type="auto"/>
          </w:tcPr>
          <w:p w14:paraId="3668F348" w14:textId="0FAA6238" w:rsidR="00CD6352" w:rsidRPr="00EA7665" w:rsidRDefault="00CD6352" w:rsidP="00CD6352">
            <w:pPr>
              <w:jc w:val="both"/>
              <w:rPr>
                <w:rFonts w:ascii="Arial" w:hAnsi="Arial" w:cs="Arial"/>
                <w:sz w:val="16"/>
                <w:szCs w:val="16"/>
              </w:rPr>
            </w:pPr>
            <w:r w:rsidRPr="00EA7665">
              <w:rPr>
                <w:rFonts w:ascii="Arial" w:hAnsi="Arial" w:cs="Arial"/>
                <w:sz w:val="16"/>
                <w:szCs w:val="16"/>
              </w:rPr>
              <w:t>On the job training; experiences in banking, real estate and fund management</w:t>
            </w:r>
          </w:p>
        </w:tc>
        <w:tc>
          <w:tcPr>
            <w:tcW w:w="0" w:type="auto"/>
          </w:tcPr>
          <w:p w14:paraId="7349D66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BA Chinese, St. Anne’s College, Oxford University and  MBA, Stern School of Business, New York University </w:t>
            </w:r>
          </w:p>
        </w:tc>
      </w:tr>
      <w:tr w:rsidR="00CD6352" w:rsidRPr="00EA7665" w14:paraId="0568A20E" w14:textId="77777777" w:rsidTr="00CD6352">
        <w:trPr>
          <w:trHeight w:val="127"/>
          <w:jc w:val="center"/>
        </w:trPr>
        <w:tc>
          <w:tcPr>
            <w:tcW w:w="0" w:type="auto"/>
          </w:tcPr>
          <w:p w14:paraId="46F9923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Mgr1</w:t>
            </w:r>
          </w:p>
        </w:tc>
        <w:tc>
          <w:tcPr>
            <w:tcW w:w="0" w:type="auto"/>
          </w:tcPr>
          <w:p w14:paraId="6F6BC2C3"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Project management training from National homebuilders of America and  practical on-the-job training  from industry practitioners</w:t>
            </w:r>
          </w:p>
        </w:tc>
        <w:tc>
          <w:tcPr>
            <w:tcW w:w="0" w:type="auto"/>
          </w:tcPr>
          <w:p w14:paraId="141BB12C"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BSc Estate Management- Nigeria</w:t>
            </w:r>
          </w:p>
        </w:tc>
      </w:tr>
      <w:tr w:rsidR="00CD6352" w:rsidRPr="00EA7665" w14:paraId="4A3BF044" w14:textId="77777777" w:rsidTr="00CD6352">
        <w:trPr>
          <w:trHeight w:val="394"/>
          <w:jc w:val="center"/>
        </w:trPr>
        <w:tc>
          <w:tcPr>
            <w:tcW w:w="0" w:type="auto"/>
          </w:tcPr>
          <w:p w14:paraId="1A1DA7F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Mgr2</w:t>
            </w:r>
          </w:p>
        </w:tc>
        <w:tc>
          <w:tcPr>
            <w:tcW w:w="0" w:type="auto"/>
          </w:tcPr>
          <w:p w14:paraId="7EC251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Personal development through studying and  in-house training; </w:t>
            </w:r>
          </w:p>
        </w:tc>
        <w:tc>
          <w:tcPr>
            <w:tcW w:w="0" w:type="auto"/>
          </w:tcPr>
          <w:p w14:paraId="7FBE7FDB"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Higher National Diploma ( HND) Quantity – Survey Nigeria</w:t>
            </w:r>
          </w:p>
        </w:tc>
      </w:tr>
      <w:tr w:rsidR="00CD6352" w:rsidRPr="00EA7665" w14:paraId="12412CC8" w14:textId="77777777" w:rsidTr="00CD6352">
        <w:trPr>
          <w:trHeight w:val="394"/>
          <w:jc w:val="center"/>
        </w:trPr>
        <w:tc>
          <w:tcPr>
            <w:tcW w:w="0" w:type="auto"/>
          </w:tcPr>
          <w:p w14:paraId="787D36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Mgr3</w:t>
            </w:r>
          </w:p>
        </w:tc>
        <w:tc>
          <w:tcPr>
            <w:tcW w:w="0" w:type="auto"/>
          </w:tcPr>
          <w:p w14:paraId="769ABF6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Project management and administrative training and specialist software training</w:t>
            </w:r>
          </w:p>
        </w:tc>
        <w:tc>
          <w:tcPr>
            <w:tcW w:w="0" w:type="auto"/>
          </w:tcPr>
          <w:p w14:paraId="29ADF94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MSc Architecture  - Nigeria</w:t>
            </w:r>
          </w:p>
        </w:tc>
      </w:tr>
      <w:tr w:rsidR="00CD6352" w:rsidRPr="00EA7665" w14:paraId="15C6694D" w14:textId="77777777" w:rsidTr="00CD6352">
        <w:trPr>
          <w:trHeight w:val="127"/>
          <w:jc w:val="center"/>
        </w:trPr>
        <w:tc>
          <w:tcPr>
            <w:tcW w:w="0" w:type="auto"/>
          </w:tcPr>
          <w:p w14:paraId="695F9E2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Mgr4</w:t>
            </w:r>
          </w:p>
        </w:tc>
        <w:tc>
          <w:tcPr>
            <w:tcW w:w="0" w:type="auto"/>
          </w:tcPr>
          <w:p w14:paraId="1443A33A"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Training as a stockbroker, Classroom-based training at University of Lagos – Nigeria</w:t>
            </w:r>
          </w:p>
        </w:tc>
        <w:tc>
          <w:tcPr>
            <w:tcW w:w="0" w:type="auto"/>
          </w:tcPr>
          <w:p w14:paraId="01D9A61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BA Law - Nigeria</w:t>
            </w:r>
          </w:p>
        </w:tc>
      </w:tr>
      <w:tr w:rsidR="00CD6352" w:rsidRPr="00EA7665" w14:paraId="45F79BEE" w14:textId="77777777" w:rsidTr="00CD6352">
        <w:trPr>
          <w:trHeight w:val="358"/>
          <w:jc w:val="center"/>
        </w:trPr>
        <w:tc>
          <w:tcPr>
            <w:tcW w:w="0" w:type="auto"/>
          </w:tcPr>
          <w:p w14:paraId="77C25C6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lastRenderedPageBreak/>
              <w:t>Nigeria Mgr5</w:t>
            </w:r>
          </w:p>
        </w:tc>
        <w:tc>
          <w:tcPr>
            <w:tcW w:w="0" w:type="auto"/>
          </w:tcPr>
          <w:p w14:paraId="765EE8ED"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On the job training</w:t>
            </w:r>
          </w:p>
        </w:tc>
        <w:tc>
          <w:tcPr>
            <w:tcW w:w="0" w:type="auto"/>
          </w:tcPr>
          <w:p w14:paraId="321AB752"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BSc Estate Management  </w:t>
            </w:r>
          </w:p>
        </w:tc>
      </w:tr>
      <w:tr w:rsidR="00CD6352" w:rsidRPr="00EA7665" w14:paraId="2E514DDB" w14:textId="77777777" w:rsidTr="00CD6352">
        <w:trPr>
          <w:trHeight w:val="421"/>
          <w:jc w:val="center"/>
        </w:trPr>
        <w:tc>
          <w:tcPr>
            <w:tcW w:w="0" w:type="auto"/>
          </w:tcPr>
          <w:p w14:paraId="4725DCD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Nigeria Mgr6</w:t>
            </w:r>
          </w:p>
        </w:tc>
        <w:tc>
          <w:tcPr>
            <w:tcW w:w="0" w:type="auto"/>
          </w:tcPr>
          <w:p w14:paraId="1295123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On the job training and training in project management, </w:t>
            </w:r>
          </w:p>
        </w:tc>
        <w:tc>
          <w:tcPr>
            <w:tcW w:w="0" w:type="auto"/>
          </w:tcPr>
          <w:p w14:paraId="7BE8D57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BSc Estate Management  and MSc Estate Survey - Nigeria</w:t>
            </w:r>
          </w:p>
        </w:tc>
      </w:tr>
      <w:tr w:rsidR="00CD6352" w:rsidRPr="00EA7665" w14:paraId="17D26D88" w14:textId="77777777" w:rsidTr="00CD6352">
        <w:trPr>
          <w:trHeight w:val="401"/>
          <w:jc w:val="center"/>
        </w:trPr>
        <w:tc>
          <w:tcPr>
            <w:tcW w:w="0" w:type="auto"/>
          </w:tcPr>
          <w:p w14:paraId="0024A381"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Mgr1</w:t>
            </w:r>
          </w:p>
        </w:tc>
        <w:tc>
          <w:tcPr>
            <w:tcW w:w="0" w:type="auto"/>
          </w:tcPr>
          <w:p w14:paraId="18A1304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Work experience from previous jobs at the bank and insurance company, </w:t>
            </w:r>
          </w:p>
        </w:tc>
        <w:tc>
          <w:tcPr>
            <w:tcW w:w="0" w:type="auto"/>
          </w:tcPr>
          <w:p w14:paraId="7AC5F845"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BSc Mathematical Science, BSc Applied Mathematics, Master of Management in Finance and investment – South Africa</w:t>
            </w:r>
          </w:p>
        </w:tc>
      </w:tr>
      <w:tr w:rsidR="00CD6352" w:rsidRPr="00EA7665" w14:paraId="0B09BDF5" w14:textId="77777777" w:rsidTr="00CD6352">
        <w:trPr>
          <w:trHeight w:val="498"/>
          <w:jc w:val="center"/>
        </w:trPr>
        <w:tc>
          <w:tcPr>
            <w:tcW w:w="0" w:type="auto"/>
          </w:tcPr>
          <w:p w14:paraId="7EC0A6D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Mgr2</w:t>
            </w:r>
          </w:p>
        </w:tc>
        <w:tc>
          <w:tcPr>
            <w:tcW w:w="0" w:type="auto"/>
          </w:tcPr>
          <w:p w14:paraId="3FCD54EE"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Short courses on property management</w:t>
            </w:r>
          </w:p>
        </w:tc>
        <w:tc>
          <w:tcPr>
            <w:tcW w:w="0" w:type="auto"/>
          </w:tcPr>
          <w:p w14:paraId="43400B99"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BSc Business and Commerce University of Pretoria, South Africa, Postgraduate diploma in Real Estates, Wits University South Africa.</w:t>
            </w:r>
          </w:p>
        </w:tc>
      </w:tr>
      <w:tr w:rsidR="00CD6352" w:rsidRPr="00EA7665" w14:paraId="48A5B02C" w14:textId="77777777" w:rsidTr="00CD6352">
        <w:trPr>
          <w:trHeight w:val="446"/>
          <w:jc w:val="center"/>
        </w:trPr>
        <w:tc>
          <w:tcPr>
            <w:tcW w:w="0" w:type="auto"/>
          </w:tcPr>
          <w:p w14:paraId="0FC91D86"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Mgr3</w:t>
            </w:r>
          </w:p>
        </w:tc>
        <w:tc>
          <w:tcPr>
            <w:tcW w:w="0" w:type="auto"/>
          </w:tcPr>
          <w:p w14:paraId="317E5607"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Senior executive program at Harvard Business School</w:t>
            </w:r>
          </w:p>
        </w:tc>
        <w:tc>
          <w:tcPr>
            <w:tcW w:w="0" w:type="auto"/>
          </w:tcPr>
          <w:p w14:paraId="56B714CC" w14:textId="29C94193"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BSc Quantity Surveying Tshwane University of Technology </w:t>
            </w:r>
            <w:r w:rsidR="00D201DD" w:rsidRPr="00EA7665">
              <w:rPr>
                <w:rFonts w:ascii="Arial" w:hAnsi="Arial" w:cs="Arial"/>
                <w:sz w:val="16"/>
                <w:szCs w:val="16"/>
              </w:rPr>
              <w:t>and Master</w:t>
            </w:r>
            <w:r w:rsidRPr="00EA7665">
              <w:rPr>
                <w:rFonts w:ascii="Arial" w:hAnsi="Arial" w:cs="Arial"/>
                <w:sz w:val="16"/>
                <w:szCs w:val="16"/>
              </w:rPr>
              <w:t xml:space="preserve"> of Business leadership finance, general </w:t>
            </w:r>
          </w:p>
        </w:tc>
      </w:tr>
      <w:tr w:rsidR="00CD6352" w:rsidRPr="00EA7665" w14:paraId="6D263F31" w14:textId="77777777" w:rsidTr="00CD6352">
        <w:trPr>
          <w:trHeight w:val="843"/>
          <w:jc w:val="center"/>
        </w:trPr>
        <w:tc>
          <w:tcPr>
            <w:tcW w:w="0" w:type="auto"/>
          </w:tcPr>
          <w:p w14:paraId="17646E90"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South Africa Mgr4</w:t>
            </w:r>
          </w:p>
        </w:tc>
        <w:tc>
          <w:tcPr>
            <w:tcW w:w="0" w:type="auto"/>
          </w:tcPr>
          <w:p w14:paraId="02F25758" w14:textId="77777777" w:rsidR="00CD6352" w:rsidRPr="00EA7665" w:rsidRDefault="00CD6352" w:rsidP="00CD6352">
            <w:pPr>
              <w:jc w:val="both"/>
              <w:rPr>
                <w:rFonts w:ascii="Arial" w:hAnsi="Arial" w:cs="Arial"/>
                <w:sz w:val="16"/>
                <w:szCs w:val="16"/>
              </w:rPr>
            </w:pPr>
            <w:r w:rsidRPr="00EA7665">
              <w:rPr>
                <w:rFonts w:ascii="Arial" w:hAnsi="Arial" w:cs="Arial"/>
                <w:sz w:val="16"/>
                <w:szCs w:val="16"/>
              </w:rPr>
              <w:t>Registered professional Valuer with regular training on same; executive development program and property management trainee program</w:t>
            </w:r>
          </w:p>
        </w:tc>
        <w:tc>
          <w:tcPr>
            <w:tcW w:w="0" w:type="auto"/>
          </w:tcPr>
          <w:p w14:paraId="260D73F5" w14:textId="212B2801" w:rsidR="00CD6352" w:rsidRPr="00EA7665" w:rsidRDefault="00CD6352" w:rsidP="00CD6352">
            <w:pPr>
              <w:jc w:val="both"/>
              <w:rPr>
                <w:rFonts w:ascii="Arial" w:hAnsi="Arial" w:cs="Arial"/>
                <w:sz w:val="16"/>
                <w:szCs w:val="16"/>
              </w:rPr>
            </w:pPr>
            <w:r w:rsidRPr="00EA7665">
              <w:rPr>
                <w:rFonts w:ascii="Arial" w:hAnsi="Arial" w:cs="Arial"/>
                <w:sz w:val="16"/>
                <w:szCs w:val="16"/>
              </w:rPr>
              <w:t xml:space="preserve">BSc Corporate finance and Economics; Postgraduate degree in business </w:t>
            </w:r>
            <w:r w:rsidR="00D201DD" w:rsidRPr="00EA7665">
              <w:rPr>
                <w:rFonts w:ascii="Arial" w:hAnsi="Arial" w:cs="Arial"/>
                <w:sz w:val="16"/>
                <w:szCs w:val="16"/>
              </w:rPr>
              <w:t>management,</w:t>
            </w:r>
            <w:r w:rsidRPr="00EA7665">
              <w:rPr>
                <w:rFonts w:ascii="Arial" w:hAnsi="Arial" w:cs="Arial"/>
                <w:sz w:val="16"/>
                <w:szCs w:val="16"/>
              </w:rPr>
              <w:t xml:space="preserve"> a postgraduate degree in future studies</w:t>
            </w:r>
            <w:r w:rsidR="009C0B88">
              <w:rPr>
                <w:rFonts w:ascii="Arial" w:hAnsi="Arial" w:cs="Arial"/>
                <w:sz w:val="16"/>
                <w:szCs w:val="16"/>
              </w:rPr>
              <w:t>,</w:t>
            </w:r>
            <w:r w:rsidRPr="00EA7665">
              <w:rPr>
                <w:rFonts w:ascii="Arial" w:hAnsi="Arial" w:cs="Arial"/>
                <w:sz w:val="16"/>
                <w:szCs w:val="16"/>
              </w:rPr>
              <w:t xml:space="preserve"> and research master’s in </w:t>
            </w:r>
            <w:r w:rsidR="00ED2623" w:rsidRPr="00EA7665">
              <w:rPr>
                <w:rFonts w:ascii="Arial" w:hAnsi="Arial" w:cs="Arial"/>
                <w:sz w:val="16"/>
                <w:szCs w:val="16"/>
              </w:rPr>
              <w:t>performance in</w:t>
            </w:r>
            <w:r w:rsidRPr="00EA7665">
              <w:rPr>
                <w:rFonts w:ascii="Arial" w:hAnsi="Arial" w:cs="Arial"/>
                <w:sz w:val="16"/>
                <w:szCs w:val="16"/>
              </w:rPr>
              <w:t xml:space="preserve"> real estate  performance structuring in progress – South Africa</w:t>
            </w:r>
          </w:p>
        </w:tc>
      </w:tr>
    </w:tbl>
    <w:p w14:paraId="6F532CB0" w14:textId="77777777" w:rsidR="00CD6352" w:rsidRPr="00EA7665" w:rsidRDefault="00CD6352" w:rsidP="00CD6352">
      <w:pPr>
        <w:spacing w:line="360" w:lineRule="auto"/>
        <w:jc w:val="both"/>
        <w:rPr>
          <w:rFonts w:ascii="Arial" w:eastAsia="Calibri" w:hAnsi="Arial" w:cs="Arial"/>
        </w:rPr>
      </w:pPr>
    </w:p>
    <w:p w14:paraId="64E65FBC" w14:textId="2992C732" w:rsidR="00CD6352" w:rsidRPr="00EA7665" w:rsidRDefault="00CD6352" w:rsidP="00CD6352">
      <w:pPr>
        <w:spacing w:line="360" w:lineRule="auto"/>
        <w:jc w:val="both"/>
        <w:rPr>
          <w:rFonts w:ascii="Arial" w:eastAsia="Calibri" w:hAnsi="Arial" w:cs="Arial"/>
        </w:rPr>
      </w:pPr>
      <w:r>
        <w:rPr>
          <w:rFonts w:ascii="Arial" w:eastAsia="Calibri" w:hAnsi="Arial" w:cs="Arial"/>
        </w:rPr>
        <w:t xml:space="preserve">Table </w:t>
      </w:r>
      <w:r w:rsidR="00EE010A">
        <w:rPr>
          <w:rFonts w:ascii="Arial" w:eastAsia="Calibri" w:hAnsi="Arial" w:cs="Arial"/>
        </w:rPr>
        <w:t>9.3.11</w:t>
      </w:r>
      <w:r>
        <w:rPr>
          <w:rFonts w:ascii="Arial" w:eastAsia="Calibri" w:hAnsi="Arial" w:cs="Arial"/>
        </w:rPr>
        <w:t xml:space="preserve"> and </w:t>
      </w:r>
      <w:r w:rsidR="00EE010A">
        <w:rPr>
          <w:rFonts w:ascii="Arial" w:eastAsia="Calibri" w:hAnsi="Arial" w:cs="Arial"/>
        </w:rPr>
        <w:t>9.3.12</w:t>
      </w:r>
      <w:r>
        <w:rPr>
          <w:rFonts w:ascii="Arial" w:eastAsia="Calibri" w:hAnsi="Arial" w:cs="Arial"/>
        </w:rPr>
        <w:t xml:space="preserve"> show that </w:t>
      </w:r>
      <w:r w:rsidRPr="00EA7665">
        <w:rPr>
          <w:rFonts w:ascii="Arial" w:eastAsia="Calibri" w:hAnsi="Arial" w:cs="Arial"/>
        </w:rPr>
        <w:t xml:space="preserve">over 90% of the managers interviewed in the developed economies of Germany, the United Kingdom, and the United States have first degrees, </w:t>
      </w:r>
      <w:r>
        <w:rPr>
          <w:rFonts w:ascii="Arial" w:eastAsia="Calibri" w:hAnsi="Arial" w:cs="Arial"/>
        </w:rPr>
        <w:t>M</w:t>
      </w:r>
      <w:r w:rsidRPr="00EA7665">
        <w:rPr>
          <w:rFonts w:ascii="Arial" w:eastAsia="Calibri" w:hAnsi="Arial" w:cs="Arial"/>
        </w:rPr>
        <w:t xml:space="preserve">asters and a few PhDs. They have qualifications </w:t>
      </w:r>
      <w:r>
        <w:rPr>
          <w:rFonts w:ascii="Arial" w:eastAsia="Calibri" w:hAnsi="Arial" w:cs="Arial"/>
        </w:rPr>
        <w:t>mainly</w:t>
      </w:r>
      <w:r w:rsidRPr="00EA7665">
        <w:rPr>
          <w:rFonts w:ascii="Arial" w:eastAsia="Calibri" w:hAnsi="Arial" w:cs="Arial"/>
        </w:rPr>
        <w:t xml:space="preserve"> in </w:t>
      </w:r>
      <w:r>
        <w:rPr>
          <w:rFonts w:ascii="Arial" w:eastAsia="Calibri" w:hAnsi="Arial" w:cs="Arial"/>
        </w:rPr>
        <w:t>F</w:t>
      </w:r>
      <w:r w:rsidRPr="00EA7665">
        <w:rPr>
          <w:rFonts w:ascii="Arial" w:eastAsia="Calibri" w:hAnsi="Arial" w:cs="Arial"/>
        </w:rPr>
        <w:t xml:space="preserve">inance, </w:t>
      </w:r>
      <w:r>
        <w:rPr>
          <w:rFonts w:ascii="Arial" w:eastAsia="Calibri" w:hAnsi="Arial" w:cs="Arial"/>
        </w:rPr>
        <w:t>E</w:t>
      </w:r>
      <w:r w:rsidRPr="00EA7665">
        <w:rPr>
          <w:rFonts w:ascii="Arial" w:eastAsia="Calibri" w:hAnsi="Arial" w:cs="Arial"/>
        </w:rPr>
        <w:t xml:space="preserve">conomics, and </w:t>
      </w:r>
      <w:r>
        <w:rPr>
          <w:rFonts w:ascii="Arial" w:eastAsia="Calibri" w:hAnsi="Arial" w:cs="Arial"/>
        </w:rPr>
        <w:t>M</w:t>
      </w:r>
      <w:r w:rsidRPr="00EA7665">
        <w:rPr>
          <w:rFonts w:ascii="Arial" w:eastAsia="Calibri" w:hAnsi="Arial" w:cs="Arial"/>
        </w:rPr>
        <w:t xml:space="preserve">anagement. The managers interviewed in the emerging economies all have first degrees and higher-level degrees. The areas of qualification </w:t>
      </w:r>
      <w:r w:rsidR="000039B5">
        <w:rPr>
          <w:rFonts w:ascii="Arial" w:eastAsia="Calibri" w:hAnsi="Arial" w:cs="Arial"/>
        </w:rPr>
        <w:t xml:space="preserve">for managers in the emerging economies </w:t>
      </w:r>
      <w:r w:rsidRPr="00EA7665">
        <w:rPr>
          <w:rFonts w:ascii="Arial" w:eastAsia="Calibri" w:hAnsi="Arial" w:cs="Arial"/>
        </w:rPr>
        <w:t xml:space="preserve">include Engineering, Economics, Architecture, Estate Management, and </w:t>
      </w:r>
      <w:r>
        <w:rPr>
          <w:rFonts w:ascii="Arial" w:eastAsia="Calibri" w:hAnsi="Arial" w:cs="Arial"/>
        </w:rPr>
        <w:t>Q</w:t>
      </w:r>
      <w:r w:rsidRPr="00EA7665">
        <w:rPr>
          <w:rFonts w:ascii="Arial" w:eastAsia="Calibri" w:hAnsi="Arial" w:cs="Arial"/>
        </w:rPr>
        <w:t xml:space="preserve">uantity </w:t>
      </w:r>
      <w:r>
        <w:rPr>
          <w:rFonts w:ascii="Arial" w:eastAsia="Calibri" w:hAnsi="Arial" w:cs="Arial"/>
        </w:rPr>
        <w:t>S</w:t>
      </w:r>
      <w:r w:rsidRPr="00EA7665">
        <w:rPr>
          <w:rFonts w:ascii="Arial" w:eastAsia="Calibri" w:hAnsi="Arial" w:cs="Arial"/>
        </w:rPr>
        <w:t xml:space="preserve">urveying. </w:t>
      </w:r>
    </w:p>
    <w:p w14:paraId="74F39C9D" w14:textId="77777777" w:rsidR="00CD6352" w:rsidRDefault="00CD6352" w:rsidP="00CD6352">
      <w:pPr>
        <w:spacing w:line="360" w:lineRule="auto"/>
        <w:jc w:val="both"/>
        <w:rPr>
          <w:rFonts w:ascii="Arial" w:eastAsia="Calibri" w:hAnsi="Arial" w:cs="Arial"/>
        </w:rPr>
      </w:pPr>
      <w:r w:rsidRPr="00EA7665">
        <w:rPr>
          <w:rFonts w:ascii="Arial" w:eastAsia="Calibri" w:hAnsi="Arial" w:cs="Arial"/>
        </w:rPr>
        <w:t xml:space="preserve">The training achievement by managers in the developed and emerging economies shows training through workshops, mentoring, seminars, work experience, specialised training, and classroom-based training. </w:t>
      </w:r>
    </w:p>
    <w:p w14:paraId="40CC33C3" w14:textId="36ABD033" w:rsidR="00CD6352" w:rsidRPr="00EA7665" w:rsidRDefault="00CD6352" w:rsidP="00CD6352">
      <w:pPr>
        <w:pStyle w:val="Heading3"/>
        <w:rPr>
          <w:rFonts w:eastAsia="Calibri"/>
          <w:sz w:val="22"/>
          <w:szCs w:val="22"/>
        </w:rPr>
      </w:pPr>
      <w:bookmarkStart w:id="1412" w:name="_Toc78983930"/>
      <w:r w:rsidRPr="00EA7665">
        <w:rPr>
          <w:rFonts w:eastAsia="Calibri"/>
          <w:sz w:val="22"/>
          <w:szCs w:val="22"/>
        </w:rPr>
        <w:t>Comparison of</w:t>
      </w:r>
      <w:r w:rsidR="00546A06">
        <w:rPr>
          <w:rFonts w:eastAsia="Calibri"/>
          <w:sz w:val="22"/>
          <w:szCs w:val="22"/>
        </w:rPr>
        <w:t xml:space="preserve"> education and training for securing finance for real estate project development in </w:t>
      </w:r>
      <w:r w:rsidRPr="00EA7665">
        <w:rPr>
          <w:rFonts w:eastAsia="Calibri"/>
          <w:sz w:val="22"/>
          <w:szCs w:val="22"/>
        </w:rPr>
        <w:t xml:space="preserve"> the developed and emerging economies</w:t>
      </w:r>
      <w:bookmarkEnd w:id="1412"/>
      <w:r w:rsidRPr="00EA7665">
        <w:rPr>
          <w:rFonts w:eastAsia="Calibri"/>
          <w:sz w:val="22"/>
          <w:szCs w:val="22"/>
        </w:rPr>
        <w:t xml:space="preserve"> </w:t>
      </w:r>
    </w:p>
    <w:p w14:paraId="74EA9C13" w14:textId="77777777" w:rsidR="00CD6352" w:rsidRPr="00EA7665" w:rsidRDefault="00CD6352" w:rsidP="00CD6352">
      <w:pPr>
        <w:spacing w:line="360" w:lineRule="auto"/>
        <w:jc w:val="both"/>
        <w:rPr>
          <w:rFonts w:ascii="Arial" w:eastAsia="Calibri" w:hAnsi="Arial" w:cs="Arial"/>
        </w:rPr>
      </w:pPr>
    </w:p>
    <w:p w14:paraId="677275BE" w14:textId="2A307CA9" w:rsidR="00CD6352" w:rsidRPr="00EA7665" w:rsidRDefault="00CD6352" w:rsidP="00CD6352">
      <w:pPr>
        <w:spacing w:line="360" w:lineRule="auto"/>
        <w:jc w:val="both"/>
        <w:rPr>
          <w:rFonts w:ascii="Arial" w:eastAsia="Calibri" w:hAnsi="Arial" w:cs="Arial"/>
        </w:rPr>
      </w:pPr>
      <w:bookmarkStart w:id="1413" w:name="_Hlk42773287"/>
      <w:r w:rsidRPr="00EA7665">
        <w:rPr>
          <w:rFonts w:ascii="Arial" w:eastAsia="Calibri" w:hAnsi="Arial" w:cs="Arial"/>
        </w:rPr>
        <w:t>A distinct commonality in both the developed and the emerging economies shows that they both have similar levels of education and platforms for training and education. The levels of education in this regard include first degrees, higher degrees such as MSc, MA, MBA, and PhDs</w:t>
      </w:r>
      <w:r w:rsidR="009C0B88">
        <w:rPr>
          <w:rFonts w:ascii="Arial" w:eastAsia="Calibri" w:hAnsi="Arial" w:cs="Arial"/>
        </w:rPr>
        <w:t>,</w:t>
      </w:r>
      <w:r w:rsidRPr="00EA7665">
        <w:rPr>
          <w:rFonts w:ascii="Arial" w:eastAsia="Calibri" w:hAnsi="Arial" w:cs="Arial"/>
        </w:rPr>
        <w:t xml:space="preserve"> as well as membership of professional institutions both by examination and associations. The commonality of similar platforms for training and education for both the developed and emerging economies shows that they both use platforms such as classroom instruction led training for short periods (offered by consultants), company-specific courses targeted at securing financing skills &amp; knowledge,  computer-based training, conferences and seminars, continuing professional development, executive MBA with classes on </w:t>
      </w:r>
      <w:r>
        <w:rPr>
          <w:rFonts w:ascii="Arial" w:eastAsia="Calibri" w:hAnsi="Arial" w:cs="Arial"/>
        </w:rPr>
        <w:t xml:space="preserve">a </w:t>
      </w:r>
      <w:r w:rsidRPr="00EA7665">
        <w:rPr>
          <w:rFonts w:ascii="Arial" w:eastAsia="Calibri" w:hAnsi="Arial" w:cs="Arial"/>
        </w:rPr>
        <w:t>part-time basis, external training,  learning by holding meetings with experts, online and tutorial, usage of formal qualification, utilisation of internal programs and instructors.</w:t>
      </w:r>
    </w:p>
    <w:p w14:paraId="2D1BE925" w14:textId="7D5AE019"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The findings from the questionnaire survey show that managers in both the developed and emerging economies use the twelve approaches to training and education for securing finance </w:t>
      </w:r>
      <w:r w:rsidRPr="00EA7665">
        <w:rPr>
          <w:rFonts w:ascii="Arial" w:eastAsia="Calibri" w:hAnsi="Arial" w:cs="Arial"/>
        </w:rPr>
        <w:lastRenderedPageBreak/>
        <w:t xml:space="preserve">for real estate project </w:t>
      </w:r>
      <w:r w:rsidRPr="002449FC">
        <w:rPr>
          <w:rFonts w:ascii="Arial" w:eastAsia="Calibri" w:hAnsi="Arial" w:cs="Arial"/>
        </w:rPr>
        <w:t xml:space="preserve">development </w:t>
      </w:r>
      <w:r w:rsidR="00D3458B" w:rsidRPr="002449FC">
        <w:rPr>
          <w:rFonts w:ascii="Arial" w:eastAsia="Calibri" w:hAnsi="Arial" w:cs="Arial"/>
        </w:rPr>
        <w:t xml:space="preserve">( see </w:t>
      </w:r>
      <w:r w:rsidR="002449FC">
        <w:rPr>
          <w:rFonts w:ascii="Arial" w:eastAsia="Calibri" w:hAnsi="Arial" w:cs="Arial"/>
        </w:rPr>
        <w:t>table 9.3.9</w:t>
      </w:r>
      <w:r w:rsidR="00D3458B" w:rsidRPr="002449FC">
        <w:rPr>
          <w:rFonts w:ascii="Arial" w:eastAsia="Calibri" w:hAnsi="Arial" w:cs="Arial"/>
        </w:rPr>
        <w:t>)</w:t>
      </w:r>
      <w:r w:rsidRPr="002449FC">
        <w:rPr>
          <w:rFonts w:ascii="Arial" w:eastAsia="Calibri" w:hAnsi="Arial" w:cs="Arial"/>
        </w:rPr>
        <w:t>.</w:t>
      </w:r>
      <w:r w:rsidRPr="00EA7665">
        <w:rPr>
          <w:rFonts w:ascii="Arial" w:eastAsia="Calibri" w:hAnsi="Arial" w:cs="Arial"/>
        </w:rPr>
        <w:t xml:space="preserve"> The response also shows the degree of perceived importance of those approaches on their present jobs and the future ( next 5years). A comparison of the degree of use, perceived </w:t>
      </w:r>
      <w:r>
        <w:rPr>
          <w:rFonts w:ascii="Arial" w:eastAsia="Calibri" w:hAnsi="Arial" w:cs="Arial"/>
        </w:rPr>
        <w:t>importance</w:t>
      </w:r>
      <w:r w:rsidRPr="00EA7665">
        <w:rPr>
          <w:rFonts w:ascii="Arial" w:eastAsia="Calibri" w:hAnsi="Arial" w:cs="Arial"/>
        </w:rPr>
        <w:t xml:space="preserve"> for the present and future at the aggregate level is sho</w:t>
      </w:r>
      <w:r>
        <w:rPr>
          <w:rFonts w:ascii="Arial" w:eastAsia="Calibri" w:hAnsi="Arial" w:cs="Arial"/>
        </w:rPr>
        <w:t>wn</w:t>
      </w:r>
      <w:r w:rsidRPr="00EA7665">
        <w:rPr>
          <w:rFonts w:ascii="Arial" w:eastAsia="Calibri" w:hAnsi="Arial" w:cs="Arial"/>
        </w:rPr>
        <w:t xml:space="preserve"> below.</w:t>
      </w:r>
    </w:p>
    <w:tbl>
      <w:tblPr>
        <w:tblW w:w="8520" w:type="dxa"/>
        <w:tblInd w:w="93" w:type="dxa"/>
        <w:tblLook w:val="04A0" w:firstRow="1" w:lastRow="0" w:firstColumn="1" w:lastColumn="0" w:noHBand="0" w:noVBand="1"/>
      </w:tblPr>
      <w:tblGrid>
        <w:gridCol w:w="4977"/>
        <w:gridCol w:w="850"/>
        <w:gridCol w:w="1276"/>
        <w:gridCol w:w="1417"/>
      </w:tblGrid>
      <w:tr w:rsidR="00CD6352" w:rsidRPr="00EA7665" w14:paraId="7E5D9E07" w14:textId="77777777" w:rsidTr="00CD6352">
        <w:trPr>
          <w:trHeight w:val="576"/>
        </w:trPr>
        <w:tc>
          <w:tcPr>
            <w:tcW w:w="4977" w:type="dxa"/>
            <w:shd w:val="clear" w:color="auto" w:fill="auto"/>
            <w:vAlign w:val="center"/>
            <w:hideMark/>
          </w:tcPr>
          <w:p w14:paraId="22CBF23B"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Management Training &amp; Education</w:t>
            </w:r>
          </w:p>
        </w:tc>
        <w:tc>
          <w:tcPr>
            <w:tcW w:w="850" w:type="dxa"/>
            <w:shd w:val="clear" w:color="auto" w:fill="auto"/>
            <w:vAlign w:val="center"/>
            <w:hideMark/>
          </w:tcPr>
          <w:p w14:paraId="05188758"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Degree of use</w:t>
            </w:r>
          </w:p>
        </w:tc>
        <w:tc>
          <w:tcPr>
            <w:tcW w:w="1276" w:type="dxa"/>
            <w:shd w:val="clear" w:color="auto" w:fill="auto"/>
            <w:vAlign w:val="center"/>
            <w:hideMark/>
          </w:tcPr>
          <w:p w14:paraId="190D0081"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Perceived importance for present job</w:t>
            </w:r>
          </w:p>
        </w:tc>
        <w:tc>
          <w:tcPr>
            <w:tcW w:w="1417" w:type="dxa"/>
            <w:shd w:val="clear" w:color="auto" w:fill="auto"/>
            <w:vAlign w:val="center"/>
            <w:hideMark/>
          </w:tcPr>
          <w:p w14:paraId="22D91DEC"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Perceived importance for future job</w:t>
            </w:r>
          </w:p>
        </w:tc>
      </w:tr>
      <w:tr w:rsidR="00CD6352" w:rsidRPr="00EA7665" w14:paraId="0DA3056E" w14:textId="77777777" w:rsidTr="00CD6352">
        <w:trPr>
          <w:trHeight w:val="450"/>
        </w:trPr>
        <w:tc>
          <w:tcPr>
            <w:tcW w:w="4977" w:type="dxa"/>
            <w:shd w:val="clear" w:color="auto" w:fill="auto"/>
            <w:vAlign w:val="center"/>
            <w:hideMark/>
          </w:tcPr>
          <w:p w14:paraId="688474B1"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Classroom instructor-led training for a short period(offered by consultants)</w:t>
            </w:r>
          </w:p>
        </w:tc>
        <w:tc>
          <w:tcPr>
            <w:tcW w:w="850" w:type="dxa"/>
            <w:shd w:val="clear" w:color="auto" w:fill="auto"/>
            <w:vAlign w:val="center"/>
            <w:hideMark/>
          </w:tcPr>
          <w:p w14:paraId="3C7D97C6"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5</w:t>
            </w:r>
          </w:p>
        </w:tc>
        <w:tc>
          <w:tcPr>
            <w:tcW w:w="1276" w:type="dxa"/>
            <w:shd w:val="clear" w:color="auto" w:fill="auto"/>
            <w:noWrap/>
            <w:vAlign w:val="center"/>
            <w:hideMark/>
          </w:tcPr>
          <w:p w14:paraId="393448DE"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7</w:t>
            </w:r>
          </w:p>
        </w:tc>
        <w:tc>
          <w:tcPr>
            <w:tcW w:w="1417" w:type="dxa"/>
            <w:shd w:val="clear" w:color="auto" w:fill="auto"/>
            <w:vAlign w:val="center"/>
            <w:hideMark/>
          </w:tcPr>
          <w:p w14:paraId="25DC407F"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8</w:t>
            </w:r>
          </w:p>
        </w:tc>
      </w:tr>
      <w:tr w:rsidR="00CD6352" w:rsidRPr="00EA7665" w14:paraId="1C106E19" w14:textId="77777777" w:rsidTr="00CD6352">
        <w:trPr>
          <w:trHeight w:val="450"/>
        </w:trPr>
        <w:tc>
          <w:tcPr>
            <w:tcW w:w="4977" w:type="dxa"/>
            <w:shd w:val="clear" w:color="auto" w:fill="auto"/>
            <w:vAlign w:val="center"/>
            <w:hideMark/>
          </w:tcPr>
          <w:p w14:paraId="421416C4"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Company-specific courses targeted at securing financing skills &amp; knowledge</w:t>
            </w:r>
          </w:p>
        </w:tc>
        <w:tc>
          <w:tcPr>
            <w:tcW w:w="850" w:type="dxa"/>
            <w:shd w:val="clear" w:color="auto" w:fill="auto"/>
            <w:vAlign w:val="center"/>
            <w:hideMark/>
          </w:tcPr>
          <w:p w14:paraId="17BA33D3"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9</w:t>
            </w:r>
          </w:p>
        </w:tc>
        <w:tc>
          <w:tcPr>
            <w:tcW w:w="1276" w:type="dxa"/>
            <w:shd w:val="clear" w:color="auto" w:fill="auto"/>
            <w:noWrap/>
            <w:vAlign w:val="center"/>
            <w:hideMark/>
          </w:tcPr>
          <w:p w14:paraId="5D62D83A"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2</w:t>
            </w:r>
          </w:p>
        </w:tc>
        <w:tc>
          <w:tcPr>
            <w:tcW w:w="1417" w:type="dxa"/>
            <w:shd w:val="clear" w:color="auto" w:fill="auto"/>
            <w:vAlign w:val="center"/>
            <w:hideMark/>
          </w:tcPr>
          <w:p w14:paraId="340E1A37"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4</w:t>
            </w:r>
          </w:p>
        </w:tc>
      </w:tr>
      <w:tr w:rsidR="00CD6352" w:rsidRPr="00EA7665" w14:paraId="58D1111C" w14:textId="77777777" w:rsidTr="00CD6352">
        <w:trPr>
          <w:trHeight w:val="300"/>
        </w:trPr>
        <w:tc>
          <w:tcPr>
            <w:tcW w:w="4977" w:type="dxa"/>
            <w:shd w:val="clear" w:color="auto" w:fill="auto"/>
            <w:vAlign w:val="center"/>
            <w:hideMark/>
          </w:tcPr>
          <w:p w14:paraId="3D5C7ED0"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Computer-based training</w:t>
            </w:r>
          </w:p>
        </w:tc>
        <w:tc>
          <w:tcPr>
            <w:tcW w:w="850" w:type="dxa"/>
            <w:shd w:val="clear" w:color="auto" w:fill="auto"/>
            <w:vAlign w:val="center"/>
            <w:hideMark/>
          </w:tcPr>
          <w:p w14:paraId="2079C137"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3</w:t>
            </w:r>
          </w:p>
        </w:tc>
        <w:tc>
          <w:tcPr>
            <w:tcW w:w="1276" w:type="dxa"/>
            <w:shd w:val="clear" w:color="auto" w:fill="auto"/>
            <w:noWrap/>
            <w:vAlign w:val="center"/>
            <w:hideMark/>
          </w:tcPr>
          <w:p w14:paraId="79F611AD"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w:t>
            </w:r>
          </w:p>
        </w:tc>
        <w:tc>
          <w:tcPr>
            <w:tcW w:w="1417" w:type="dxa"/>
            <w:shd w:val="clear" w:color="auto" w:fill="auto"/>
            <w:vAlign w:val="center"/>
            <w:hideMark/>
          </w:tcPr>
          <w:p w14:paraId="70110A9D"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3</w:t>
            </w:r>
          </w:p>
        </w:tc>
      </w:tr>
      <w:tr w:rsidR="00CD6352" w:rsidRPr="00EA7665" w14:paraId="2BBE9DF9" w14:textId="77777777" w:rsidTr="00CD6352">
        <w:trPr>
          <w:trHeight w:val="207"/>
        </w:trPr>
        <w:tc>
          <w:tcPr>
            <w:tcW w:w="4977" w:type="dxa"/>
            <w:shd w:val="clear" w:color="auto" w:fill="auto"/>
            <w:vAlign w:val="center"/>
            <w:hideMark/>
          </w:tcPr>
          <w:p w14:paraId="678A448C"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Conferences &amp; seminar</w:t>
            </w:r>
          </w:p>
        </w:tc>
        <w:tc>
          <w:tcPr>
            <w:tcW w:w="850" w:type="dxa"/>
            <w:shd w:val="clear" w:color="auto" w:fill="auto"/>
            <w:vAlign w:val="center"/>
            <w:hideMark/>
          </w:tcPr>
          <w:p w14:paraId="3E74A5D9"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2</w:t>
            </w:r>
          </w:p>
        </w:tc>
        <w:tc>
          <w:tcPr>
            <w:tcW w:w="1276" w:type="dxa"/>
            <w:shd w:val="clear" w:color="auto" w:fill="auto"/>
            <w:noWrap/>
            <w:vAlign w:val="center"/>
            <w:hideMark/>
          </w:tcPr>
          <w:p w14:paraId="1C0B3A65"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5</w:t>
            </w:r>
          </w:p>
        </w:tc>
        <w:tc>
          <w:tcPr>
            <w:tcW w:w="1417" w:type="dxa"/>
            <w:shd w:val="clear" w:color="auto" w:fill="auto"/>
            <w:vAlign w:val="center"/>
            <w:hideMark/>
          </w:tcPr>
          <w:p w14:paraId="75CBEFE2"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5</w:t>
            </w:r>
          </w:p>
        </w:tc>
      </w:tr>
      <w:tr w:rsidR="00CD6352" w:rsidRPr="00EA7665" w14:paraId="47B0CBB9" w14:textId="77777777" w:rsidTr="00CD6352">
        <w:trPr>
          <w:trHeight w:val="254"/>
        </w:trPr>
        <w:tc>
          <w:tcPr>
            <w:tcW w:w="4977" w:type="dxa"/>
            <w:shd w:val="clear" w:color="auto" w:fill="auto"/>
            <w:vAlign w:val="center"/>
            <w:hideMark/>
          </w:tcPr>
          <w:p w14:paraId="4ABF3073"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Continuing professional development</w:t>
            </w:r>
          </w:p>
        </w:tc>
        <w:tc>
          <w:tcPr>
            <w:tcW w:w="850" w:type="dxa"/>
            <w:shd w:val="clear" w:color="auto" w:fill="auto"/>
            <w:vAlign w:val="center"/>
            <w:hideMark/>
          </w:tcPr>
          <w:p w14:paraId="23B28133"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w:t>
            </w:r>
          </w:p>
        </w:tc>
        <w:tc>
          <w:tcPr>
            <w:tcW w:w="1276" w:type="dxa"/>
            <w:shd w:val="clear" w:color="auto" w:fill="auto"/>
            <w:noWrap/>
            <w:vAlign w:val="center"/>
            <w:hideMark/>
          </w:tcPr>
          <w:p w14:paraId="121337B4"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w:t>
            </w:r>
          </w:p>
        </w:tc>
        <w:tc>
          <w:tcPr>
            <w:tcW w:w="1417" w:type="dxa"/>
            <w:shd w:val="clear" w:color="auto" w:fill="auto"/>
            <w:vAlign w:val="center"/>
            <w:hideMark/>
          </w:tcPr>
          <w:p w14:paraId="064CB462"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1</w:t>
            </w:r>
          </w:p>
        </w:tc>
      </w:tr>
      <w:tr w:rsidR="00CD6352" w:rsidRPr="00EA7665" w14:paraId="7A9326B7" w14:textId="77777777" w:rsidTr="00CD6352">
        <w:trPr>
          <w:trHeight w:val="304"/>
        </w:trPr>
        <w:tc>
          <w:tcPr>
            <w:tcW w:w="4977" w:type="dxa"/>
            <w:shd w:val="clear" w:color="auto" w:fill="auto"/>
            <w:vAlign w:val="center"/>
            <w:hideMark/>
          </w:tcPr>
          <w:p w14:paraId="648453EB"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Executive MBA(with classes on a part-time basis)</w:t>
            </w:r>
          </w:p>
        </w:tc>
        <w:tc>
          <w:tcPr>
            <w:tcW w:w="850" w:type="dxa"/>
            <w:shd w:val="clear" w:color="auto" w:fill="auto"/>
            <w:vAlign w:val="center"/>
            <w:hideMark/>
          </w:tcPr>
          <w:p w14:paraId="439444CC"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11</w:t>
            </w:r>
          </w:p>
        </w:tc>
        <w:tc>
          <w:tcPr>
            <w:tcW w:w="1276" w:type="dxa"/>
            <w:shd w:val="clear" w:color="auto" w:fill="auto"/>
            <w:noWrap/>
            <w:vAlign w:val="center"/>
            <w:hideMark/>
          </w:tcPr>
          <w:p w14:paraId="2A202B90"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10</w:t>
            </w:r>
          </w:p>
        </w:tc>
        <w:tc>
          <w:tcPr>
            <w:tcW w:w="1417" w:type="dxa"/>
            <w:shd w:val="clear" w:color="auto" w:fill="auto"/>
            <w:vAlign w:val="center"/>
            <w:hideMark/>
          </w:tcPr>
          <w:p w14:paraId="2F340AE8"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10</w:t>
            </w:r>
          </w:p>
        </w:tc>
      </w:tr>
      <w:tr w:rsidR="00CD6352" w:rsidRPr="00EA7665" w14:paraId="00FF3685" w14:textId="77777777" w:rsidTr="00CD6352">
        <w:trPr>
          <w:trHeight w:val="300"/>
        </w:trPr>
        <w:tc>
          <w:tcPr>
            <w:tcW w:w="4977" w:type="dxa"/>
            <w:shd w:val="clear" w:color="auto" w:fill="auto"/>
            <w:vAlign w:val="center"/>
            <w:hideMark/>
          </w:tcPr>
          <w:p w14:paraId="7A4142C6"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External training</w:t>
            </w:r>
          </w:p>
        </w:tc>
        <w:tc>
          <w:tcPr>
            <w:tcW w:w="850" w:type="dxa"/>
            <w:shd w:val="clear" w:color="auto" w:fill="auto"/>
            <w:vAlign w:val="center"/>
            <w:hideMark/>
          </w:tcPr>
          <w:p w14:paraId="34AB8F5B"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8</w:t>
            </w:r>
          </w:p>
        </w:tc>
        <w:tc>
          <w:tcPr>
            <w:tcW w:w="1276" w:type="dxa"/>
            <w:shd w:val="clear" w:color="auto" w:fill="auto"/>
            <w:noWrap/>
            <w:vAlign w:val="center"/>
            <w:hideMark/>
          </w:tcPr>
          <w:p w14:paraId="34A75F6A"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6</w:t>
            </w:r>
          </w:p>
        </w:tc>
        <w:tc>
          <w:tcPr>
            <w:tcW w:w="1417" w:type="dxa"/>
            <w:shd w:val="clear" w:color="auto" w:fill="auto"/>
            <w:vAlign w:val="center"/>
            <w:hideMark/>
          </w:tcPr>
          <w:p w14:paraId="140438AE"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7</w:t>
            </w:r>
          </w:p>
        </w:tc>
      </w:tr>
      <w:tr w:rsidR="00CD6352" w:rsidRPr="00EA7665" w14:paraId="06D10377" w14:textId="77777777" w:rsidTr="00CD6352">
        <w:trPr>
          <w:trHeight w:val="312"/>
        </w:trPr>
        <w:tc>
          <w:tcPr>
            <w:tcW w:w="4977" w:type="dxa"/>
            <w:shd w:val="clear" w:color="auto" w:fill="auto"/>
            <w:vAlign w:val="center"/>
            <w:hideMark/>
          </w:tcPr>
          <w:p w14:paraId="59DB2E7C"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 xml:space="preserve">Learning by holding meetings </w:t>
            </w:r>
          </w:p>
        </w:tc>
        <w:tc>
          <w:tcPr>
            <w:tcW w:w="850" w:type="dxa"/>
            <w:shd w:val="clear" w:color="auto" w:fill="auto"/>
            <w:vAlign w:val="center"/>
            <w:hideMark/>
          </w:tcPr>
          <w:p w14:paraId="48931E4B"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4</w:t>
            </w:r>
          </w:p>
        </w:tc>
        <w:tc>
          <w:tcPr>
            <w:tcW w:w="1276" w:type="dxa"/>
            <w:shd w:val="clear" w:color="auto" w:fill="auto"/>
            <w:noWrap/>
            <w:vAlign w:val="center"/>
            <w:hideMark/>
          </w:tcPr>
          <w:p w14:paraId="4EFE00FB"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3</w:t>
            </w:r>
          </w:p>
        </w:tc>
        <w:tc>
          <w:tcPr>
            <w:tcW w:w="1417" w:type="dxa"/>
            <w:shd w:val="clear" w:color="auto" w:fill="auto"/>
            <w:vAlign w:val="center"/>
            <w:hideMark/>
          </w:tcPr>
          <w:p w14:paraId="01787FF1"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2</w:t>
            </w:r>
          </w:p>
        </w:tc>
      </w:tr>
      <w:tr w:rsidR="00CD6352" w:rsidRPr="00EA7665" w14:paraId="404F8167" w14:textId="77777777" w:rsidTr="00CD6352">
        <w:trPr>
          <w:trHeight w:val="275"/>
        </w:trPr>
        <w:tc>
          <w:tcPr>
            <w:tcW w:w="4977" w:type="dxa"/>
            <w:shd w:val="clear" w:color="auto" w:fill="auto"/>
            <w:vAlign w:val="center"/>
            <w:hideMark/>
          </w:tcPr>
          <w:p w14:paraId="1B7EA794"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Online and tutorial training</w:t>
            </w:r>
          </w:p>
        </w:tc>
        <w:tc>
          <w:tcPr>
            <w:tcW w:w="850" w:type="dxa"/>
            <w:shd w:val="clear" w:color="auto" w:fill="auto"/>
            <w:vAlign w:val="center"/>
            <w:hideMark/>
          </w:tcPr>
          <w:p w14:paraId="64EF9259"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10</w:t>
            </w:r>
          </w:p>
        </w:tc>
        <w:tc>
          <w:tcPr>
            <w:tcW w:w="1276" w:type="dxa"/>
            <w:shd w:val="clear" w:color="auto" w:fill="auto"/>
            <w:noWrap/>
            <w:vAlign w:val="center"/>
            <w:hideMark/>
          </w:tcPr>
          <w:p w14:paraId="55CE3DA7"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11</w:t>
            </w:r>
          </w:p>
        </w:tc>
        <w:tc>
          <w:tcPr>
            <w:tcW w:w="1417" w:type="dxa"/>
            <w:shd w:val="clear" w:color="auto" w:fill="auto"/>
            <w:vAlign w:val="center"/>
            <w:hideMark/>
          </w:tcPr>
          <w:p w14:paraId="6420259A"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11</w:t>
            </w:r>
          </w:p>
        </w:tc>
      </w:tr>
      <w:tr w:rsidR="00CD6352" w:rsidRPr="00EA7665" w14:paraId="4E9D0FDD" w14:textId="77777777" w:rsidTr="00CD6352">
        <w:trPr>
          <w:trHeight w:val="264"/>
        </w:trPr>
        <w:tc>
          <w:tcPr>
            <w:tcW w:w="4977" w:type="dxa"/>
            <w:shd w:val="clear" w:color="auto" w:fill="auto"/>
            <w:vAlign w:val="center"/>
            <w:hideMark/>
          </w:tcPr>
          <w:p w14:paraId="45241AF1"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University residential (the full-time program for some weeks )</w:t>
            </w:r>
          </w:p>
        </w:tc>
        <w:tc>
          <w:tcPr>
            <w:tcW w:w="850" w:type="dxa"/>
            <w:shd w:val="clear" w:color="auto" w:fill="auto"/>
            <w:vAlign w:val="center"/>
            <w:hideMark/>
          </w:tcPr>
          <w:p w14:paraId="152A772E"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12</w:t>
            </w:r>
          </w:p>
        </w:tc>
        <w:tc>
          <w:tcPr>
            <w:tcW w:w="1276" w:type="dxa"/>
            <w:shd w:val="clear" w:color="auto" w:fill="auto"/>
            <w:noWrap/>
            <w:vAlign w:val="center"/>
            <w:hideMark/>
          </w:tcPr>
          <w:p w14:paraId="192ADB35"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12</w:t>
            </w:r>
          </w:p>
        </w:tc>
        <w:tc>
          <w:tcPr>
            <w:tcW w:w="1417" w:type="dxa"/>
            <w:shd w:val="clear" w:color="auto" w:fill="auto"/>
            <w:vAlign w:val="center"/>
            <w:hideMark/>
          </w:tcPr>
          <w:p w14:paraId="1C283C46"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12</w:t>
            </w:r>
          </w:p>
        </w:tc>
      </w:tr>
      <w:tr w:rsidR="00CD6352" w:rsidRPr="00EA7665" w14:paraId="25B96AE6" w14:textId="77777777" w:rsidTr="00CD6352">
        <w:trPr>
          <w:trHeight w:val="300"/>
        </w:trPr>
        <w:tc>
          <w:tcPr>
            <w:tcW w:w="4977" w:type="dxa"/>
            <w:shd w:val="clear" w:color="auto" w:fill="auto"/>
            <w:vAlign w:val="center"/>
            <w:hideMark/>
          </w:tcPr>
          <w:p w14:paraId="7A76613B"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Usage of formal qualification</w:t>
            </w:r>
          </w:p>
        </w:tc>
        <w:tc>
          <w:tcPr>
            <w:tcW w:w="850" w:type="dxa"/>
            <w:shd w:val="clear" w:color="auto" w:fill="auto"/>
            <w:vAlign w:val="center"/>
            <w:hideMark/>
          </w:tcPr>
          <w:p w14:paraId="2A7D0D5F"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7</w:t>
            </w:r>
          </w:p>
        </w:tc>
        <w:tc>
          <w:tcPr>
            <w:tcW w:w="1276" w:type="dxa"/>
            <w:shd w:val="clear" w:color="auto" w:fill="auto"/>
            <w:noWrap/>
            <w:vAlign w:val="center"/>
            <w:hideMark/>
          </w:tcPr>
          <w:p w14:paraId="1A76AF95"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9</w:t>
            </w:r>
          </w:p>
        </w:tc>
        <w:tc>
          <w:tcPr>
            <w:tcW w:w="1417" w:type="dxa"/>
            <w:shd w:val="clear" w:color="auto" w:fill="auto"/>
            <w:vAlign w:val="center"/>
            <w:hideMark/>
          </w:tcPr>
          <w:p w14:paraId="563AB833"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6</w:t>
            </w:r>
          </w:p>
        </w:tc>
      </w:tr>
      <w:tr w:rsidR="00CD6352" w:rsidRPr="00EA7665" w14:paraId="74B58E77" w14:textId="77777777" w:rsidTr="00CD6352">
        <w:trPr>
          <w:trHeight w:val="450"/>
        </w:trPr>
        <w:tc>
          <w:tcPr>
            <w:tcW w:w="4977" w:type="dxa"/>
            <w:shd w:val="clear" w:color="auto" w:fill="auto"/>
            <w:vAlign w:val="center"/>
            <w:hideMark/>
          </w:tcPr>
          <w:p w14:paraId="5546C262" w14:textId="77777777" w:rsidR="00CD6352" w:rsidRPr="00EA7665" w:rsidRDefault="00CD6352" w:rsidP="00CD6352">
            <w:pPr>
              <w:spacing w:after="0" w:line="240" w:lineRule="auto"/>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Usage of internal program and instructors</w:t>
            </w:r>
          </w:p>
        </w:tc>
        <w:tc>
          <w:tcPr>
            <w:tcW w:w="850" w:type="dxa"/>
            <w:shd w:val="clear" w:color="auto" w:fill="auto"/>
            <w:vAlign w:val="center"/>
            <w:hideMark/>
          </w:tcPr>
          <w:p w14:paraId="169C18B9"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6</w:t>
            </w:r>
          </w:p>
        </w:tc>
        <w:tc>
          <w:tcPr>
            <w:tcW w:w="1276" w:type="dxa"/>
            <w:shd w:val="clear" w:color="auto" w:fill="auto"/>
            <w:noWrap/>
            <w:vAlign w:val="center"/>
            <w:hideMark/>
          </w:tcPr>
          <w:p w14:paraId="7D6D32FE"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r w:rsidRPr="00EA7665">
              <w:rPr>
                <w:rFonts w:ascii="Arial" w:eastAsia="Times New Roman" w:hAnsi="Arial" w:cs="Arial"/>
                <w:color w:val="000000"/>
                <w:sz w:val="16"/>
                <w:szCs w:val="16"/>
                <w:lang w:eastAsia="en-GB"/>
              </w:rPr>
              <w:t>8</w:t>
            </w:r>
          </w:p>
        </w:tc>
        <w:tc>
          <w:tcPr>
            <w:tcW w:w="1417" w:type="dxa"/>
            <w:shd w:val="clear" w:color="auto" w:fill="auto"/>
            <w:vAlign w:val="center"/>
            <w:hideMark/>
          </w:tcPr>
          <w:p w14:paraId="614A268B"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r w:rsidRPr="00EA7665">
              <w:rPr>
                <w:rFonts w:ascii="Calibri" w:eastAsia="Times New Roman" w:hAnsi="Calibri" w:cs="Times New Roman"/>
                <w:color w:val="000000"/>
                <w:sz w:val="16"/>
                <w:szCs w:val="16"/>
                <w:lang w:eastAsia="en-GB"/>
              </w:rPr>
              <w:t>9</w:t>
            </w:r>
          </w:p>
        </w:tc>
      </w:tr>
      <w:tr w:rsidR="00CD6352" w:rsidRPr="00EA7665" w14:paraId="6814E1DE" w14:textId="77777777" w:rsidTr="00CD6352">
        <w:trPr>
          <w:trHeight w:val="450"/>
        </w:trPr>
        <w:tc>
          <w:tcPr>
            <w:tcW w:w="4977" w:type="dxa"/>
            <w:shd w:val="clear" w:color="auto" w:fill="auto"/>
            <w:vAlign w:val="center"/>
          </w:tcPr>
          <w:p w14:paraId="7427619D" w14:textId="77777777" w:rsidR="00CD6352" w:rsidRPr="00EA7665" w:rsidRDefault="00CD6352" w:rsidP="00CD6352">
            <w:pPr>
              <w:spacing w:after="0" w:line="240" w:lineRule="auto"/>
              <w:rPr>
                <w:rFonts w:ascii="Arial" w:eastAsia="Times New Roman" w:hAnsi="Arial" w:cs="Arial"/>
                <w:color w:val="000000"/>
                <w:sz w:val="16"/>
                <w:szCs w:val="16"/>
                <w:lang w:eastAsia="en-GB"/>
              </w:rPr>
            </w:pPr>
          </w:p>
        </w:tc>
        <w:tc>
          <w:tcPr>
            <w:tcW w:w="850" w:type="dxa"/>
            <w:shd w:val="clear" w:color="auto" w:fill="auto"/>
            <w:vAlign w:val="center"/>
          </w:tcPr>
          <w:p w14:paraId="25D8C3F1"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p>
        </w:tc>
        <w:tc>
          <w:tcPr>
            <w:tcW w:w="1276" w:type="dxa"/>
            <w:shd w:val="clear" w:color="auto" w:fill="auto"/>
            <w:noWrap/>
            <w:vAlign w:val="center"/>
          </w:tcPr>
          <w:p w14:paraId="07E1AA6E" w14:textId="77777777" w:rsidR="00CD6352" w:rsidRPr="00EA7665" w:rsidRDefault="00CD6352" w:rsidP="00CD6352">
            <w:pPr>
              <w:spacing w:after="0" w:line="240" w:lineRule="auto"/>
              <w:jc w:val="right"/>
              <w:rPr>
                <w:rFonts w:ascii="Arial" w:eastAsia="Times New Roman" w:hAnsi="Arial" w:cs="Arial"/>
                <w:color w:val="000000"/>
                <w:sz w:val="16"/>
                <w:szCs w:val="16"/>
                <w:lang w:eastAsia="en-GB"/>
              </w:rPr>
            </w:pPr>
          </w:p>
        </w:tc>
        <w:tc>
          <w:tcPr>
            <w:tcW w:w="1417" w:type="dxa"/>
            <w:shd w:val="clear" w:color="auto" w:fill="auto"/>
            <w:vAlign w:val="center"/>
          </w:tcPr>
          <w:p w14:paraId="7753E213" w14:textId="77777777" w:rsidR="00CD6352" w:rsidRPr="00EA7665" w:rsidRDefault="00CD6352" w:rsidP="00CD6352">
            <w:pPr>
              <w:spacing w:after="0" w:line="240" w:lineRule="auto"/>
              <w:jc w:val="right"/>
              <w:rPr>
                <w:rFonts w:ascii="Calibri" w:eastAsia="Times New Roman" w:hAnsi="Calibri" w:cs="Times New Roman"/>
                <w:color w:val="000000"/>
                <w:sz w:val="16"/>
                <w:szCs w:val="16"/>
                <w:lang w:eastAsia="en-GB"/>
              </w:rPr>
            </w:pPr>
          </w:p>
        </w:tc>
      </w:tr>
    </w:tbl>
    <w:p w14:paraId="6CCD337E" w14:textId="77777777" w:rsidR="002A4046" w:rsidRDefault="002A4046" w:rsidP="00CD6352">
      <w:pPr>
        <w:spacing w:line="360" w:lineRule="auto"/>
        <w:jc w:val="both"/>
        <w:rPr>
          <w:rFonts w:ascii="Arial" w:eastAsia="Calibri" w:hAnsi="Arial" w:cs="Arial"/>
        </w:rPr>
      </w:pPr>
      <w:bookmarkStart w:id="1414" w:name="_Hlk45898009"/>
    </w:p>
    <w:p w14:paraId="042A024E" w14:textId="4565EB72"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There is no clear divide </w:t>
      </w:r>
      <w:r>
        <w:rPr>
          <w:rFonts w:ascii="Arial" w:eastAsia="Calibri" w:hAnsi="Arial" w:cs="Arial"/>
        </w:rPr>
        <w:t>i</w:t>
      </w:r>
      <w:r w:rsidRPr="00EA7665">
        <w:rPr>
          <w:rFonts w:ascii="Arial" w:eastAsia="Calibri" w:hAnsi="Arial" w:cs="Arial"/>
        </w:rPr>
        <w:t>n the approaches for training and education for the developed and emerging economies based on the survey questionnaire. However, continuing professional development and computer</w:t>
      </w:r>
      <w:r w:rsidR="005C2663">
        <w:rPr>
          <w:rFonts w:ascii="Arial" w:eastAsia="Calibri" w:hAnsi="Arial" w:cs="Arial"/>
        </w:rPr>
        <w:t>-</w:t>
      </w:r>
      <w:r w:rsidRPr="00EA7665">
        <w:rPr>
          <w:rFonts w:ascii="Arial" w:eastAsia="Calibri" w:hAnsi="Arial" w:cs="Arial"/>
        </w:rPr>
        <w:t>based training ranks top for both the developed and emerging economies</w:t>
      </w:r>
      <w:bookmarkEnd w:id="1414"/>
      <w:r w:rsidRPr="00EA7665">
        <w:rPr>
          <w:rFonts w:ascii="Arial" w:eastAsia="Calibri" w:hAnsi="Arial" w:cs="Arial"/>
        </w:rPr>
        <w:t xml:space="preserve"> ( </w:t>
      </w:r>
      <w:r w:rsidR="00802ACC">
        <w:rPr>
          <w:rFonts w:ascii="Arial" w:eastAsia="Calibri" w:hAnsi="Arial" w:cs="Arial"/>
        </w:rPr>
        <w:t>see chapter</w:t>
      </w:r>
      <w:r w:rsidR="000869DC">
        <w:rPr>
          <w:rFonts w:ascii="Arial" w:eastAsia="Calibri" w:hAnsi="Arial" w:cs="Arial"/>
        </w:rPr>
        <w:t>s</w:t>
      </w:r>
      <w:r w:rsidR="00802ACC">
        <w:rPr>
          <w:rFonts w:ascii="Arial" w:eastAsia="Calibri" w:hAnsi="Arial" w:cs="Arial"/>
        </w:rPr>
        <w:t xml:space="preserve"> 9.32, 9.3.4 and 9.3</w:t>
      </w:r>
      <w:r w:rsidR="000424D2">
        <w:rPr>
          <w:rFonts w:ascii="Arial" w:eastAsia="Calibri" w:hAnsi="Arial" w:cs="Arial"/>
        </w:rPr>
        <w:t>.</w:t>
      </w:r>
      <w:r w:rsidR="00802ACC">
        <w:rPr>
          <w:rFonts w:ascii="Arial" w:eastAsia="Calibri" w:hAnsi="Arial" w:cs="Arial"/>
        </w:rPr>
        <w:t>6).</w:t>
      </w:r>
    </w:p>
    <w:p w14:paraId="5AA71917" w14:textId="4E583D32" w:rsidR="00CD6352" w:rsidRPr="00EA7665" w:rsidRDefault="00CD6352" w:rsidP="00CD6352">
      <w:pPr>
        <w:spacing w:line="360" w:lineRule="auto"/>
        <w:jc w:val="both"/>
        <w:rPr>
          <w:rFonts w:ascii="Arial" w:eastAsia="Calibri" w:hAnsi="Arial" w:cs="Arial"/>
        </w:rPr>
      </w:pPr>
      <w:r>
        <w:rPr>
          <w:rFonts w:ascii="Arial" w:eastAsia="Calibri" w:hAnsi="Arial" w:cs="Arial"/>
        </w:rPr>
        <w:t>Furthermore</w:t>
      </w:r>
      <w:r w:rsidRPr="00EA7665">
        <w:rPr>
          <w:rFonts w:ascii="Arial" w:eastAsia="Calibri" w:hAnsi="Arial" w:cs="Arial"/>
        </w:rPr>
        <w:t xml:space="preserve">, the semi-structured </w:t>
      </w:r>
      <w:r>
        <w:rPr>
          <w:rFonts w:ascii="Arial" w:eastAsia="Calibri" w:hAnsi="Arial" w:cs="Arial"/>
        </w:rPr>
        <w:t xml:space="preserve">interviews </w:t>
      </w:r>
      <w:r w:rsidRPr="00EA7665">
        <w:rPr>
          <w:rFonts w:ascii="Arial" w:eastAsia="Calibri" w:hAnsi="Arial" w:cs="Arial"/>
        </w:rPr>
        <w:t>sho</w:t>
      </w:r>
      <w:r>
        <w:rPr>
          <w:rFonts w:ascii="Arial" w:eastAsia="Calibri" w:hAnsi="Arial" w:cs="Arial"/>
        </w:rPr>
        <w:t>w</w:t>
      </w:r>
      <w:r w:rsidRPr="00EA7665">
        <w:rPr>
          <w:rFonts w:ascii="Arial" w:eastAsia="Calibri" w:hAnsi="Arial" w:cs="Arial"/>
        </w:rPr>
        <w:t xml:space="preserve"> that the use of experience, seminars and on-the-job training are common approaches for training for securing finance for real estate project development in both the developed and emerging </w:t>
      </w:r>
      <w:r w:rsidR="00CF376B" w:rsidRPr="00EA7665">
        <w:rPr>
          <w:rFonts w:ascii="Arial" w:eastAsia="Calibri" w:hAnsi="Arial" w:cs="Arial"/>
        </w:rPr>
        <w:t>economies.</w:t>
      </w:r>
      <w:r w:rsidRPr="00EA7665">
        <w:rPr>
          <w:rFonts w:ascii="Arial" w:eastAsia="Calibri" w:hAnsi="Arial" w:cs="Arial"/>
        </w:rPr>
        <w:t xml:space="preserve"> The differences in</w:t>
      </w:r>
      <w:r>
        <w:rPr>
          <w:rFonts w:ascii="Arial" w:eastAsia="Calibri" w:hAnsi="Arial" w:cs="Arial"/>
        </w:rPr>
        <w:t xml:space="preserve"> education </w:t>
      </w:r>
      <w:r w:rsidR="00CF376B">
        <w:rPr>
          <w:rFonts w:ascii="Arial" w:eastAsia="Calibri" w:hAnsi="Arial" w:cs="Arial"/>
        </w:rPr>
        <w:t xml:space="preserve">and </w:t>
      </w:r>
      <w:r w:rsidR="00CF376B" w:rsidRPr="00EA7665">
        <w:rPr>
          <w:rFonts w:ascii="Arial" w:eastAsia="Calibri" w:hAnsi="Arial" w:cs="Arial"/>
        </w:rPr>
        <w:t>training</w:t>
      </w:r>
      <w:r w:rsidRPr="00EA7665">
        <w:rPr>
          <w:rFonts w:ascii="Arial" w:eastAsia="Calibri" w:hAnsi="Arial" w:cs="Arial"/>
        </w:rPr>
        <w:t xml:space="preserve"> approaches used by managers in the developed and emerging economies </w:t>
      </w:r>
      <w:r w:rsidR="009C0B88">
        <w:rPr>
          <w:rFonts w:ascii="Arial" w:eastAsia="Calibri" w:hAnsi="Arial" w:cs="Arial"/>
        </w:rPr>
        <w:t>are</w:t>
      </w:r>
      <w:r w:rsidRPr="00EA7665">
        <w:rPr>
          <w:rFonts w:ascii="Arial" w:eastAsia="Calibri" w:hAnsi="Arial" w:cs="Arial"/>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290"/>
      </w:tblGrid>
      <w:tr w:rsidR="00CD6352" w:rsidRPr="00EA7665" w14:paraId="2D6393E4" w14:textId="77777777" w:rsidTr="00CD6352">
        <w:tc>
          <w:tcPr>
            <w:tcW w:w="0" w:type="auto"/>
          </w:tcPr>
          <w:p w14:paraId="577A6E61" w14:textId="77777777" w:rsidR="00CD6352" w:rsidRPr="00EA7665" w:rsidRDefault="00CD6352" w:rsidP="00CD6352">
            <w:pPr>
              <w:jc w:val="both"/>
              <w:rPr>
                <w:rFonts w:ascii="Arial" w:eastAsia="Calibri" w:hAnsi="Arial" w:cs="Arial"/>
                <w:b/>
              </w:rPr>
            </w:pPr>
            <w:r w:rsidRPr="00EA7665">
              <w:rPr>
                <w:rFonts w:ascii="Arial" w:eastAsia="Calibri" w:hAnsi="Arial" w:cs="Arial"/>
                <w:b/>
              </w:rPr>
              <w:t>Developed economies</w:t>
            </w:r>
          </w:p>
        </w:tc>
        <w:tc>
          <w:tcPr>
            <w:tcW w:w="0" w:type="auto"/>
          </w:tcPr>
          <w:p w14:paraId="0EE97614" w14:textId="77777777" w:rsidR="00CD6352" w:rsidRPr="00EA7665" w:rsidRDefault="00CD6352" w:rsidP="00CD6352">
            <w:pPr>
              <w:jc w:val="both"/>
              <w:rPr>
                <w:rFonts w:ascii="Arial" w:eastAsia="Calibri" w:hAnsi="Arial" w:cs="Arial"/>
                <w:b/>
              </w:rPr>
            </w:pPr>
            <w:r w:rsidRPr="00EA7665">
              <w:rPr>
                <w:rFonts w:ascii="Arial" w:eastAsia="Calibri" w:hAnsi="Arial" w:cs="Arial"/>
                <w:b/>
              </w:rPr>
              <w:t xml:space="preserve">Emerging economies </w:t>
            </w:r>
          </w:p>
        </w:tc>
      </w:tr>
      <w:tr w:rsidR="00CD6352" w:rsidRPr="00EA7665" w14:paraId="5D32ABAA" w14:textId="77777777" w:rsidTr="00CD6352">
        <w:tc>
          <w:tcPr>
            <w:tcW w:w="0" w:type="auto"/>
          </w:tcPr>
          <w:p w14:paraId="602D5543"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Academic research</w:t>
            </w:r>
          </w:p>
          <w:p w14:paraId="462CD776"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 xml:space="preserve">Classroom-based training with consultants </w:t>
            </w:r>
          </w:p>
          <w:p w14:paraId="4152A7D4"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Internship with banks</w:t>
            </w:r>
          </w:p>
          <w:p w14:paraId="1AFD4151"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Market briefings</w:t>
            </w:r>
          </w:p>
          <w:p w14:paraId="00BF76FA"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Professional qualification from RICS</w:t>
            </w:r>
          </w:p>
          <w:p w14:paraId="4C441149"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 xml:space="preserve">Seminars </w:t>
            </w:r>
          </w:p>
          <w:p w14:paraId="6A580DC3"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Usage of external advisers</w:t>
            </w:r>
          </w:p>
          <w:p w14:paraId="4F14DAE4" w14:textId="77777777" w:rsidR="00CD6352" w:rsidRPr="00EA7665" w:rsidRDefault="00CD6352" w:rsidP="007625E7">
            <w:pPr>
              <w:numPr>
                <w:ilvl w:val="0"/>
                <w:numId w:val="388"/>
              </w:numPr>
              <w:spacing w:after="0" w:line="240" w:lineRule="auto"/>
              <w:jc w:val="both"/>
              <w:rPr>
                <w:rFonts w:ascii="Arial" w:eastAsia="Calibri" w:hAnsi="Arial" w:cs="Arial"/>
              </w:rPr>
            </w:pPr>
            <w:r w:rsidRPr="00EA7665">
              <w:rPr>
                <w:rFonts w:ascii="Arial" w:eastAsia="Calibri" w:hAnsi="Arial" w:cs="Arial"/>
              </w:rPr>
              <w:t>Workshops</w:t>
            </w:r>
          </w:p>
          <w:p w14:paraId="6E1E29A1" w14:textId="77777777" w:rsidR="00CD6352" w:rsidRPr="00EA7665" w:rsidRDefault="00CD6352" w:rsidP="00CD6352">
            <w:pPr>
              <w:ind w:left="720"/>
              <w:jc w:val="both"/>
              <w:rPr>
                <w:rFonts w:ascii="Arial" w:eastAsia="Calibri" w:hAnsi="Arial" w:cs="Arial"/>
              </w:rPr>
            </w:pPr>
          </w:p>
        </w:tc>
        <w:tc>
          <w:tcPr>
            <w:tcW w:w="0" w:type="auto"/>
          </w:tcPr>
          <w:p w14:paraId="162FE64C" w14:textId="77777777" w:rsidR="00CD6352" w:rsidRPr="00EA7665" w:rsidRDefault="00CD6352" w:rsidP="007625E7">
            <w:pPr>
              <w:numPr>
                <w:ilvl w:val="0"/>
                <w:numId w:val="389"/>
              </w:numPr>
              <w:spacing w:after="0" w:line="240" w:lineRule="auto"/>
              <w:jc w:val="both"/>
              <w:rPr>
                <w:rFonts w:ascii="Arial" w:eastAsia="Calibri" w:hAnsi="Arial" w:cs="Arial"/>
              </w:rPr>
            </w:pPr>
            <w:r w:rsidRPr="00EA7665">
              <w:rPr>
                <w:rFonts w:ascii="Arial" w:eastAsia="Calibri" w:hAnsi="Arial" w:cs="Arial"/>
              </w:rPr>
              <w:t>Business development courses</w:t>
            </w:r>
          </w:p>
          <w:p w14:paraId="46A2BF29" w14:textId="77777777" w:rsidR="00CD6352" w:rsidRPr="00EA7665" w:rsidRDefault="00CD6352" w:rsidP="007625E7">
            <w:pPr>
              <w:numPr>
                <w:ilvl w:val="0"/>
                <w:numId w:val="389"/>
              </w:numPr>
              <w:spacing w:after="0" w:line="240" w:lineRule="auto"/>
              <w:jc w:val="both"/>
              <w:rPr>
                <w:rFonts w:ascii="Arial" w:eastAsia="Calibri" w:hAnsi="Arial" w:cs="Arial"/>
              </w:rPr>
            </w:pPr>
            <w:r w:rsidRPr="00EA7665">
              <w:rPr>
                <w:rFonts w:ascii="Arial" w:eastAsia="Calibri" w:hAnsi="Arial" w:cs="Arial"/>
              </w:rPr>
              <w:t>Experience in real estate and finance</w:t>
            </w:r>
          </w:p>
          <w:p w14:paraId="6C8C61A8" w14:textId="77777777" w:rsidR="00CD6352" w:rsidRPr="00EA7665" w:rsidRDefault="00CD6352" w:rsidP="007625E7">
            <w:pPr>
              <w:numPr>
                <w:ilvl w:val="0"/>
                <w:numId w:val="389"/>
              </w:numPr>
              <w:spacing w:after="0" w:line="240" w:lineRule="auto"/>
              <w:jc w:val="both"/>
              <w:rPr>
                <w:rFonts w:ascii="Arial" w:eastAsia="Calibri" w:hAnsi="Arial" w:cs="Arial"/>
              </w:rPr>
            </w:pPr>
            <w:r w:rsidRPr="00EA7665">
              <w:rPr>
                <w:rFonts w:ascii="Arial" w:eastAsia="Calibri" w:hAnsi="Arial" w:cs="Arial"/>
              </w:rPr>
              <w:t>In-house training</w:t>
            </w:r>
          </w:p>
          <w:p w14:paraId="608B5B19" w14:textId="77777777" w:rsidR="00CD6352" w:rsidRPr="00EA7665" w:rsidRDefault="00CD6352" w:rsidP="007625E7">
            <w:pPr>
              <w:numPr>
                <w:ilvl w:val="0"/>
                <w:numId w:val="389"/>
              </w:numPr>
              <w:spacing w:after="0" w:line="240" w:lineRule="auto"/>
              <w:jc w:val="both"/>
              <w:rPr>
                <w:rFonts w:ascii="Arial" w:eastAsia="Calibri" w:hAnsi="Arial" w:cs="Arial"/>
              </w:rPr>
            </w:pPr>
            <w:r w:rsidRPr="00EA7665">
              <w:rPr>
                <w:rFonts w:ascii="Arial" w:eastAsia="Calibri" w:hAnsi="Arial" w:cs="Arial"/>
              </w:rPr>
              <w:t xml:space="preserve">Training in project management </w:t>
            </w:r>
          </w:p>
        </w:tc>
      </w:tr>
    </w:tbl>
    <w:p w14:paraId="7BF093F0" w14:textId="10DF1E3B" w:rsidR="00CD6352" w:rsidRPr="00EA7665" w:rsidRDefault="00063F0D" w:rsidP="00CD6352">
      <w:pPr>
        <w:pStyle w:val="Heading3"/>
        <w:spacing w:after="240"/>
        <w:rPr>
          <w:sz w:val="22"/>
          <w:szCs w:val="22"/>
        </w:rPr>
      </w:pPr>
      <w:bookmarkStart w:id="1415" w:name="_Toc78983931"/>
      <w:bookmarkEnd w:id="1413"/>
      <w:r>
        <w:rPr>
          <w:sz w:val="22"/>
          <w:szCs w:val="22"/>
        </w:rPr>
        <w:lastRenderedPageBreak/>
        <w:t>The i</w:t>
      </w:r>
      <w:r w:rsidRPr="00EA7665">
        <w:rPr>
          <w:sz w:val="22"/>
          <w:szCs w:val="22"/>
        </w:rPr>
        <w:t xml:space="preserve">mplication </w:t>
      </w:r>
      <w:r w:rsidR="00CD6352" w:rsidRPr="00EA7665">
        <w:rPr>
          <w:sz w:val="22"/>
          <w:szCs w:val="22"/>
        </w:rPr>
        <w:t xml:space="preserve">of findings </w:t>
      </w:r>
      <w:r w:rsidR="007327F5">
        <w:rPr>
          <w:sz w:val="22"/>
          <w:szCs w:val="22"/>
        </w:rPr>
        <w:t>on education and training for securing finance for real estate project development in the developed and emerging economies</w:t>
      </w:r>
      <w:bookmarkEnd w:id="1415"/>
    </w:p>
    <w:p w14:paraId="57684FB4" w14:textId="40D6888F" w:rsidR="00CD6352" w:rsidRPr="00EA7665" w:rsidRDefault="00CD6352" w:rsidP="00CD6352">
      <w:pPr>
        <w:spacing w:line="360" w:lineRule="auto"/>
        <w:rPr>
          <w:rFonts w:ascii="Arial" w:hAnsi="Arial" w:cs="Arial"/>
        </w:rPr>
      </w:pPr>
      <w:r w:rsidRPr="00EA7665">
        <w:rPr>
          <w:rFonts w:ascii="Arial" w:hAnsi="Arial" w:cs="Arial"/>
        </w:rPr>
        <w:t>Th</w:t>
      </w:r>
      <w:r w:rsidR="009C0B88">
        <w:rPr>
          <w:rFonts w:ascii="Arial" w:hAnsi="Arial" w:cs="Arial"/>
        </w:rPr>
        <w:t>is research shows</w:t>
      </w:r>
      <w:r w:rsidRPr="00EA7665">
        <w:rPr>
          <w:rFonts w:ascii="Arial" w:hAnsi="Arial" w:cs="Arial"/>
        </w:rPr>
        <w:t xml:space="preserve"> that education</w:t>
      </w:r>
      <w:r>
        <w:rPr>
          <w:rFonts w:ascii="Arial" w:hAnsi="Arial" w:cs="Arial"/>
        </w:rPr>
        <w:t xml:space="preserve"> </w:t>
      </w:r>
      <w:r w:rsidR="00CF376B">
        <w:rPr>
          <w:rFonts w:ascii="Arial" w:hAnsi="Arial" w:cs="Arial"/>
        </w:rPr>
        <w:t xml:space="preserve">and </w:t>
      </w:r>
      <w:r w:rsidR="00CF376B" w:rsidRPr="00EA7665">
        <w:rPr>
          <w:rFonts w:ascii="Arial" w:hAnsi="Arial" w:cs="Arial"/>
        </w:rPr>
        <w:t>training</w:t>
      </w:r>
      <w:r w:rsidRPr="00EA7665">
        <w:rPr>
          <w:rFonts w:ascii="Arial" w:hAnsi="Arial" w:cs="Arial"/>
        </w:rPr>
        <w:t xml:space="preserve"> have some degree of effect on the manager’s ability to secure finance for real estate project development. </w:t>
      </w:r>
      <w:bookmarkStart w:id="1416" w:name="_Hlk42774004"/>
      <w:r w:rsidRPr="00EA7665">
        <w:rPr>
          <w:rFonts w:ascii="Arial" w:hAnsi="Arial" w:cs="Arial"/>
        </w:rPr>
        <w:t>Th</w:t>
      </w:r>
      <w:r>
        <w:rPr>
          <w:rFonts w:ascii="Arial" w:hAnsi="Arial" w:cs="Arial"/>
        </w:rPr>
        <w:t>is</w:t>
      </w:r>
      <w:r w:rsidRPr="00EA7665">
        <w:rPr>
          <w:rFonts w:ascii="Arial" w:hAnsi="Arial" w:cs="Arial"/>
        </w:rPr>
        <w:t xml:space="preserve"> study developed a conceptual </w:t>
      </w:r>
      <w:r w:rsidR="00CF376B" w:rsidRPr="00EA7665">
        <w:rPr>
          <w:rFonts w:ascii="Arial" w:hAnsi="Arial" w:cs="Arial"/>
        </w:rPr>
        <w:t>framework</w:t>
      </w:r>
      <w:r w:rsidRPr="00EA7665">
        <w:rPr>
          <w:rFonts w:ascii="Arial" w:hAnsi="Arial" w:cs="Arial"/>
        </w:rPr>
        <w:t xml:space="preserve"> for training and education for securing finance for real estate project development which forms a part of the toolkit for securing finance for real estate project development</w:t>
      </w:r>
      <w:r>
        <w:rPr>
          <w:rFonts w:ascii="Arial" w:hAnsi="Arial" w:cs="Arial"/>
        </w:rPr>
        <w:t xml:space="preserve"> in chapter </w:t>
      </w:r>
      <w:r w:rsidR="0088064A">
        <w:rPr>
          <w:rFonts w:ascii="Arial" w:hAnsi="Arial" w:cs="Arial"/>
        </w:rPr>
        <w:t>10</w:t>
      </w:r>
      <w:r>
        <w:rPr>
          <w:rFonts w:ascii="Arial" w:hAnsi="Arial" w:cs="Arial"/>
        </w:rPr>
        <w:t>.</w:t>
      </w:r>
      <w:r w:rsidR="0088064A">
        <w:rPr>
          <w:rFonts w:ascii="Arial" w:hAnsi="Arial" w:cs="Arial"/>
        </w:rPr>
        <w:t xml:space="preserve"> The variables used </w:t>
      </w:r>
      <w:r w:rsidR="009C0B88">
        <w:rPr>
          <w:rFonts w:ascii="Arial" w:hAnsi="Arial" w:cs="Arial"/>
        </w:rPr>
        <w:t>to develop the conceptual framework for training and education for securing finance for real estate development were obtained</w:t>
      </w:r>
      <w:r w:rsidR="0088064A">
        <w:rPr>
          <w:rFonts w:ascii="Arial" w:hAnsi="Arial" w:cs="Arial"/>
        </w:rPr>
        <w:t xml:space="preserve"> from both the questionnaire and semi-structure</w:t>
      </w:r>
      <w:r w:rsidR="00427B51">
        <w:rPr>
          <w:rFonts w:ascii="Arial" w:hAnsi="Arial" w:cs="Arial"/>
        </w:rPr>
        <w:t>d interview</w:t>
      </w:r>
      <w:r w:rsidR="0088064A">
        <w:rPr>
          <w:rFonts w:ascii="Arial" w:hAnsi="Arial" w:cs="Arial"/>
        </w:rPr>
        <w:t xml:space="preserve"> responses.</w:t>
      </w:r>
    </w:p>
    <w:bookmarkEnd w:id="1416"/>
    <w:p w14:paraId="57C68D6C" w14:textId="77777777" w:rsidR="00CD6352" w:rsidRPr="00EA7665" w:rsidRDefault="00CD6352" w:rsidP="00CD6352"/>
    <w:p w14:paraId="772C4AB0" w14:textId="336300EF" w:rsidR="00CD6352" w:rsidRPr="00367590" w:rsidRDefault="00CD6352" w:rsidP="00367590">
      <w:pPr>
        <w:pStyle w:val="Heading3"/>
        <w:rPr>
          <w:sz w:val="22"/>
          <w:szCs w:val="22"/>
        </w:rPr>
      </w:pPr>
      <w:bookmarkStart w:id="1417" w:name="_Toc78983932"/>
      <w:r w:rsidRPr="00367590">
        <w:rPr>
          <w:sz w:val="22"/>
          <w:szCs w:val="22"/>
        </w:rPr>
        <w:t xml:space="preserve">Development of a conceptual framework for training and education for securing finance for real estate project </w:t>
      </w:r>
      <w:r w:rsidR="008109E2" w:rsidRPr="00367590">
        <w:rPr>
          <w:sz w:val="22"/>
          <w:szCs w:val="22"/>
        </w:rPr>
        <w:t>development.</w:t>
      </w:r>
      <w:bookmarkEnd w:id="1417"/>
      <w:r w:rsidRPr="00367590">
        <w:rPr>
          <w:sz w:val="22"/>
          <w:szCs w:val="22"/>
        </w:rPr>
        <w:t xml:space="preserve"> </w:t>
      </w:r>
    </w:p>
    <w:p w14:paraId="793A35B3" w14:textId="77777777" w:rsidR="00CD6352" w:rsidRPr="00CC2F6A" w:rsidRDefault="00CD6352" w:rsidP="00CD6352"/>
    <w:p w14:paraId="492B064B" w14:textId="14A279D3" w:rsidR="00CD6352" w:rsidRPr="00EA7665" w:rsidRDefault="00CD6352" w:rsidP="00CD6352">
      <w:pPr>
        <w:spacing w:line="360" w:lineRule="auto"/>
        <w:rPr>
          <w:rFonts w:ascii="Arial" w:hAnsi="Arial" w:cs="Arial"/>
        </w:rPr>
      </w:pPr>
      <w:r w:rsidRPr="00D11F54">
        <w:rPr>
          <w:rFonts w:ascii="Arial" w:hAnsi="Arial" w:cs="Arial"/>
        </w:rPr>
        <w:t xml:space="preserve">The purpose of this segment is to set out a </w:t>
      </w:r>
      <w:r w:rsidR="00CF376B" w:rsidRPr="00D11F54">
        <w:rPr>
          <w:rFonts w:ascii="Arial" w:hAnsi="Arial" w:cs="Arial"/>
        </w:rPr>
        <w:t>conceptual framework</w:t>
      </w:r>
      <w:r w:rsidRPr="00D11F54">
        <w:rPr>
          <w:rFonts w:ascii="Arial" w:hAnsi="Arial" w:cs="Arial"/>
        </w:rPr>
        <w:t xml:space="preserve"> for training and education for securing finance for real estate project development. Information from this study on </w:t>
      </w:r>
      <w:r>
        <w:rPr>
          <w:rFonts w:ascii="Arial" w:hAnsi="Arial" w:cs="Arial"/>
        </w:rPr>
        <w:t>the</w:t>
      </w:r>
      <w:r w:rsidRPr="00D11F54">
        <w:rPr>
          <w:rFonts w:ascii="Arial" w:hAnsi="Arial" w:cs="Arial"/>
        </w:rPr>
        <w:t xml:space="preserve"> training and education forms the basis for the </w:t>
      </w:r>
      <w:r w:rsidR="00CF376B" w:rsidRPr="00D11F54">
        <w:rPr>
          <w:rFonts w:ascii="Arial" w:hAnsi="Arial" w:cs="Arial"/>
        </w:rPr>
        <w:t>framework</w:t>
      </w:r>
      <w:r w:rsidRPr="00D11F54">
        <w:rPr>
          <w:rFonts w:ascii="Arial" w:hAnsi="Arial" w:cs="Arial"/>
        </w:rPr>
        <w:t xml:space="preserve">. Some learning theories </w:t>
      </w:r>
      <w:r>
        <w:rPr>
          <w:rFonts w:ascii="Arial" w:hAnsi="Arial" w:cs="Arial"/>
        </w:rPr>
        <w:t>were incorporated in</w:t>
      </w:r>
      <w:r w:rsidR="006D4931">
        <w:rPr>
          <w:rFonts w:ascii="Arial" w:hAnsi="Arial" w:cs="Arial"/>
        </w:rPr>
        <w:t>to</w:t>
      </w:r>
      <w:r>
        <w:rPr>
          <w:rFonts w:ascii="Arial" w:hAnsi="Arial" w:cs="Arial"/>
        </w:rPr>
        <w:t xml:space="preserve"> the development of the framework.</w:t>
      </w:r>
    </w:p>
    <w:p w14:paraId="129D453D" w14:textId="40DF8AF4" w:rsidR="00CD6352" w:rsidRPr="00EA7665" w:rsidRDefault="00CD6352" w:rsidP="00CD6352">
      <w:pPr>
        <w:spacing w:line="360" w:lineRule="auto"/>
        <w:rPr>
          <w:rFonts w:ascii="Arial" w:hAnsi="Arial" w:cs="Arial"/>
        </w:rPr>
      </w:pPr>
      <w:bookmarkStart w:id="1418" w:name="_Hlk43126677"/>
      <w:r w:rsidRPr="002A109E">
        <w:rPr>
          <w:rFonts w:ascii="Arial" w:hAnsi="Arial" w:cs="Arial"/>
        </w:rPr>
        <w:t xml:space="preserve">The learning theories are principles </w:t>
      </w:r>
      <w:r w:rsidR="006D4931" w:rsidRPr="002A109E">
        <w:rPr>
          <w:rFonts w:ascii="Arial" w:hAnsi="Arial" w:cs="Arial"/>
        </w:rPr>
        <w:t>that</w:t>
      </w:r>
      <w:r w:rsidRPr="002A109E">
        <w:rPr>
          <w:rFonts w:ascii="Arial" w:hAnsi="Arial" w:cs="Arial"/>
        </w:rPr>
        <w:t xml:space="preserve"> explain how different managers acquire, </w:t>
      </w:r>
      <w:r w:rsidR="00760175" w:rsidRPr="002A109E">
        <w:rPr>
          <w:rFonts w:ascii="Arial" w:hAnsi="Arial" w:cs="Arial"/>
        </w:rPr>
        <w:t>retain,</w:t>
      </w:r>
      <w:r w:rsidRPr="002A109E">
        <w:rPr>
          <w:rFonts w:ascii="Arial" w:hAnsi="Arial" w:cs="Arial"/>
        </w:rPr>
        <w:t xml:space="preserve"> and recall knowledge (Egbu,1994).  They help </w:t>
      </w:r>
      <w:r w:rsidR="00A62B60" w:rsidRPr="002A109E">
        <w:rPr>
          <w:rFonts w:ascii="Arial" w:hAnsi="Arial" w:cs="Arial"/>
        </w:rPr>
        <w:t>give clarity and guidance to help in the selection of training that will help enhance</w:t>
      </w:r>
      <w:r w:rsidRPr="002A109E">
        <w:rPr>
          <w:rFonts w:ascii="Arial" w:hAnsi="Arial" w:cs="Arial"/>
        </w:rPr>
        <w:t xml:space="preserve"> skills, </w:t>
      </w:r>
      <w:r w:rsidR="00760175" w:rsidRPr="002A109E">
        <w:rPr>
          <w:rFonts w:ascii="Arial" w:hAnsi="Arial" w:cs="Arial"/>
        </w:rPr>
        <w:t>knowledge,</w:t>
      </w:r>
      <w:r w:rsidRPr="002A109E">
        <w:rPr>
          <w:rFonts w:ascii="Arial" w:hAnsi="Arial" w:cs="Arial"/>
        </w:rPr>
        <w:t xml:space="preserve"> and competences for securing finance for real estate project development. </w:t>
      </w:r>
      <w:bookmarkStart w:id="1419" w:name="_Hlk76329880"/>
      <w:r w:rsidRPr="002A109E">
        <w:rPr>
          <w:rFonts w:ascii="Arial" w:hAnsi="Arial" w:cs="Arial"/>
        </w:rPr>
        <w:t>This study adopted the three major learning theories as guides in the development of a conceptual framework for training for securing finance for</w:t>
      </w:r>
      <w:r w:rsidRPr="00EA7665">
        <w:rPr>
          <w:rFonts w:ascii="Arial" w:hAnsi="Arial" w:cs="Arial"/>
        </w:rPr>
        <w:t xml:space="preserve"> real estate project </w:t>
      </w:r>
      <w:r w:rsidR="00CF376B" w:rsidRPr="00EA7665">
        <w:rPr>
          <w:rFonts w:ascii="Arial" w:hAnsi="Arial" w:cs="Arial"/>
        </w:rPr>
        <w:t>development.</w:t>
      </w:r>
      <w:r w:rsidRPr="00EA7665">
        <w:rPr>
          <w:rFonts w:ascii="Arial" w:hAnsi="Arial" w:cs="Arial"/>
        </w:rPr>
        <w:t xml:space="preserve"> </w:t>
      </w:r>
    </w:p>
    <w:p w14:paraId="3675EE68" w14:textId="77777777" w:rsidR="00CD6352" w:rsidRPr="00EA7665" w:rsidRDefault="00CD6352" w:rsidP="00CD6352">
      <w:pPr>
        <w:pStyle w:val="Heading4"/>
        <w:spacing w:after="240"/>
        <w:rPr>
          <w:rFonts w:ascii="Arial" w:hAnsi="Arial" w:cs="Arial"/>
          <w:color w:val="auto"/>
        </w:rPr>
      </w:pPr>
      <w:r w:rsidRPr="00EA7665">
        <w:rPr>
          <w:rFonts w:ascii="Arial" w:hAnsi="Arial" w:cs="Arial"/>
          <w:color w:val="auto"/>
        </w:rPr>
        <w:t>Learning theories</w:t>
      </w:r>
    </w:p>
    <w:p w14:paraId="6547DCED" w14:textId="77777777" w:rsidR="00CD6352" w:rsidRPr="00EA7665" w:rsidRDefault="00CD6352" w:rsidP="00CD6352">
      <w:pPr>
        <w:rPr>
          <w:rFonts w:ascii="Arial" w:hAnsi="Arial" w:cs="Arial"/>
        </w:rPr>
      </w:pPr>
      <w:r w:rsidRPr="00EA7665">
        <w:rPr>
          <w:rFonts w:ascii="Arial" w:hAnsi="Arial" w:cs="Arial"/>
        </w:rPr>
        <w:t>The selected learning theories are:</w:t>
      </w:r>
    </w:p>
    <w:p w14:paraId="10F36570" w14:textId="77777777" w:rsidR="00CD6352" w:rsidRPr="00EA7665" w:rsidRDefault="00CD6352" w:rsidP="00C74AEC">
      <w:pPr>
        <w:pStyle w:val="ListParagraph"/>
        <w:numPr>
          <w:ilvl w:val="0"/>
          <w:numId w:val="210"/>
        </w:numPr>
        <w:rPr>
          <w:rFonts w:ascii="Arial" w:hAnsi="Arial" w:cs="Arial"/>
        </w:rPr>
      </w:pPr>
      <w:r w:rsidRPr="00EA7665">
        <w:rPr>
          <w:rFonts w:ascii="Arial" w:hAnsi="Arial" w:cs="Arial"/>
        </w:rPr>
        <w:t>Behavio</w:t>
      </w:r>
      <w:r>
        <w:rPr>
          <w:rFonts w:ascii="Arial" w:hAnsi="Arial" w:cs="Arial"/>
        </w:rPr>
        <w:t>urist</w:t>
      </w:r>
      <w:r w:rsidRPr="00EA7665">
        <w:rPr>
          <w:rFonts w:ascii="Arial" w:hAnsi="Arial" w:cs="Arial"/>
        </w:rPr>
        <w:t xml:space="preserve"> school of though</w:t>
      </w:r>
      <w:r>
        <w:rPr>
          <w:rFonts w:ascii="Arial" w:hAnsi="Arial" w:cs="Arial"/>
        </w:rPr>
        <w:t>t</w:t>
      </w:r>
    </w:p>
    <w:p w14:paraId="64873E65" w14:textId="77777777" w:rsidR="00CD6352" w:rsidRPr="00EA7665" w:rsidRDefault="00CD6352" w:rsidP="00C74AEC">
      <w:pPr>
        <w:pStyle w:val="ListParagraph"/>
        <w:numPr>
          <w:ilvl w:val="0"/>
          <w:numId w:val="210"/>
        </w:numPr>
        <w:rPr>
          <w:rFonts w:ascii="Arial" w:hAnsi="Arial" w:cs="Arial"/>
        </w:rPr>
      </w:pPr>
      <w:r w:rsidRPr="00EA7665">
        <w:rPr>
          <w:rFonts w:ascii="Arial" w:hAnsi="Arial" w:cs="Arial"/>
        </w:rPr>
        <w:t>Cognitivism theories</w:t>
      </w:r>
    </w:p>
    <w:p w14:paraId="33719830" w14:textId="77777777" w:rsidR="00CD6352" w:rsidRPr="00EA7665" w:rsidRDefault="00CD6352" w:rsidP="00C74AEC">
      <w:pPr>
        <w:pStyle w:val="ListParagraph"/>
        <w:numPr>
          <w:ilvl w:val="0"/>
          <w:numId w:val="210"/>
        </w:numPr>
        <w:rPr>
          <w:rFonts w:ascii="Arial" w:hAnsi="Arial" w:cs="Arial"/>
        </w:rPr>
      </w:pPr>
      <w:r w:rsidRPr="00EA7665">
        <w:rPr>
          <w:rFonts w:ascii="Arial" w:hAnsi="Arial" w:cs="Arial"/>
        </w:rPr>
        <w:t>Constructivism theories</w:t>
      </w:r>
    </w:p>
    <w:p w14:paraId="27E827B4" w14:textId="77777777" w:rsidR="00CD6352" w:rsidRPr="00EA7665" w:rsidRDefault="00CD6352" w:rsidP="00CD6352">
      <w:pPr>
        <w:pStyle w:val="ListParagraph"/>
        <w:rPr>
          <w:rFonts w:ascii="Arial" w:hAnsi="Arial" w:cs="Arial"/>
        </w:rPr>
      </w:pPr>
    </w:p>
    <w:bookmarkEnd w:id="1419"/>
    <w:p w14:paraId="6D4C50ED" w14:textId="77777777" w:rsidR="00CD6352" w:rsidRPr="00EA7665" w:rsidRDefault="00CD6352" w:rsidP="00CD6352">
      <w:pPr>
        <w:rPr>
          <w:rFonts w:ascii="Arial" w:hAnsi="Arial" w:cs="Arial"/>
        </w:rPr>
      </w:pPr>
    </w:p>
    <w:p w14:paraId="23C98E62" w14:textId="7EDE5BC8" w:rsidR="00CD6352" w:rsidRPr="00063F0D" w:rsidRDefault="00CD6352" w:rsidP="00CD6352">
      <w:pPr>
        <w:pStyle w:val="Heading4"/>
        <w:spacing w:after="240"/>
        <w:rPr>
          <w:rFonts w:ascii="Arial" w:hAnsi="Arial" w:cs="Arial"/>
          <w:b/>
          <w:bCs/>
          <w:color w:val="auto"/>
        </w:rPr>
      </w:pPr>
      <w:r w:rsidRPr="00063F0D">
        <w:rPr>
          <w:rFonts w:ascii="Arial" w:hAnsi="Arial" w:cs="Arial"/>
          <w:b/>
          <w:bCs/>
          <w:color w:val="auto"/>
        </w:rPr>
        <w:t xml:space="preserve">The conceptual framework for training and education for securing finance for real estate project </w:t>
      </w:r>
      <w:r w:rsidR="00B36A83" w:rsidRPr="00063F0D">
        <w:rPr>
          <w:rFonts w:ascii="Arial" w:hAnsi="Arial" w:cs="Arial"/>
          <w:b/>
          <w:bCs/>
          <w:color w:val="auto"/>
        </w:rPr>
        <w:t>development.</w:t>
      </w:r>
    </w:p>
    <w:p w14:paraId="066809DD" w14:textId="4E70DB57" w:rsidR="00CD6352" w:rsidRPr="00EA7665" w:rsidRDefault="00CD6352" w:rsidP="00CD6352">
      <w:pPr>
        <w:spacing w:line="360" w:lineRule="auto"/>
        <w:rPr>
          <w:rFonts w:ascii="Arial" w:hAnsi="Arial" w:cs="Arial"/>
        </w:rPr>
      </w:pPr>
      <w:r w:rsidRPr="00063F0D">
        <w:rPr>
          <w:rFonts w:ascii="Arial" w:hAnsi="Arial" w:cs="Arial"/>
        </w:rPr>
        <w:t xml:space="preserve">The different learning styles projected in the framework for training and education for securing finance for real estate project development takes into cognisance the behavioural, cognitive and constructivism learning theories as well as Kolb’s learning stages; Kolb’s </w:t>
      </w:r>
      <w:r w:rsidRPr="00063F0D">
        <w:rPr>
          <w:rFonts w:ascii="Arial" w:hAnsi="Arial" w:cs="Arial"/>
        </w:rPr>
        <w:lastRenderedPageBreak/>
        <w:t>learning styles and Gibbs’ learning cycle to enhance the learning experiences for the managers and facilitate effectiveness in securing finance for real estate project development. A combination of learning theories is necessary as no single theory is adequate ( Egbu,</w:t>
      </w:r>
      <w:r w:rsidRPr="00EA7665">
        <w:rPr>
          <w:rFonts w:ascii="Arial" w:hAnsi="Arial" w:cs="Arial"/>
        </w:rPr>
        <w:t xml:space="preserve"> 1994; Whetten and Cameron, 1991).</w:t>
      </w:r>
      <w:r w:rsidR="00F35CBE">
        <w:rPr>
          <w:rFonts w:ascii="Arial" w:hAnsi="Arial" w:cs="Arial"/>
        </w:rPr>
        <w:t xml:space="preserve"> The theories are discussed in greater detail in chapter 3.</w:t>
      </w:r>
    </w:p>
    <w:p w14:paraId="604F28F8" w14:textId="67D153AE" w:rsidR="00CD6352" w:rsidRPr="00EA7665" w:rsidRDefault="00CD6352" w:rsidP="00CD6352">
      <w:pPr>
        <w:spacing w:line="360" w:lineRule="auto"/>
        <w:rPr>
          <w:rFonts w:ascii="Arial" w:hAnsi="Arial" w:cs="Arial"/>
        </w:rPr>
      </w:pPr>
      <w:r w:rsidRPr="00F35CBE">
        <w:rPr>
          <w:rFonts w:ascii="Arial" w:hAnsi="Arial" w:cs="Arial"/>
        </w:rPr>
        <w:t xml:space="preserve">A total of 23 training and education styles/ </w:t>
      </w:r>
      <w:r w:rsidR="00B36A83" w:rsidRPr="00F35CBE">
        <w:rPr>
          <w:rFonts w:ascii="Arial" w:hAnsi="Arial" w:cs="Arial"/>
        </w:rPr>
        <w:t>types were</w:t>
      </w:r>
      <w:r w:rsidRPr="00F35CBE">
        <w:rPr>
          <w:rFonts w:ascii="Arial" w:hAnsi="Arial" w:cs="Arial"/>
        </w:rPr>
        <w:t xml:space="preserve"> identified from both the questionnaire surveys and the semi-structured interviews</w:t>
      </w:r>
      <w:r w:rsidR="009C0B88">
        <w:rPr>
          <w:rFonts w:ascii="Arial" w:hAnsi="Arial" w:cs="Arial"/>
        </w:rPr>
        <w:t>,</w:t>
      </w:r>
      <w:r w:rsidRPr="00F35CBE">
        <w:rPr>
          <w:rFonts w:ascii="Arial" w:hAnsi="Arial" w:cs="Arial"/>
        </w:rPr>
        <w:t xml:space="preserve"> and they </w:t>
      </w:r>
      <w:r w:rsidR="00DE772F">
        <w:rPr>
          <w:rFonts w:ascii="Arial" w:hAnsi="Arial" w:cs="Arial"/>
        </w:rPr>
        <w:t>are</w:t>
      </w:r>
      <w:r w:rsidRPr="00F35CBE">
        <w:rPr>
          <w:rFonts w:ascii="Arial" w:hAnsi="Arial" w:cs="Arial"/>
        </w:rPr>
        <w:t xml:space="preserve"> used for the framework. The different approaches to training and education can apply to either on the job or off the job methods of training and education for managers depending on the organisational preferences and application of cost-benefit analysis. On the job and off the job training and education could be customised in conjunction with universities or their training institutions</w:t>
      </w:r>
      <w:r w:rsidR="009C0B88">
        <w:rPr>
          <w:rFonts w:ascii="Arial" w:hAnsi="Arial" w:cs="Arial"/>
        </w:rPr>
        <w:t>, as</w:t>
      </w:r>
      <w:r w:rsidRPr="00F35CBE">
        <w:rPr>
          <w:rFonts w:ascii="Arial" w:hAnsi="Arial" w:cs="Arial"/>
        </w:rPr>
        <w:t xml:space="preserve"> with the University of California and Silicon Valley Titans</w:t>
      </w:r>
      <w:r w:rsidR="009C0B88">
        <w:rPr>
          <w:rFonts w:ascii="Arial" w:hAnsi="Arial" w:cs="Arial"/>
        </w:rPr>
        <w:t>,</w:t>
      </w:r>
      <w:r w:rsidRPr="00F35CBE">
        <w:rPr>
          <w:rFonts w:ascii="Arial" w:hAnsi="Arial" w:cs="Arial"/>
        </w:rPr>
        <w:t xml:space="preserve"> where customised corporate training is offered for an average of six months (Clark, 1999).</w:t>
      </w:r>
      <w:r w:rsidRPr="00EA7665">
        <w:rPr>
          <w:rFonts w:ascii="Arial" w:hAnsi="Arial" w:cs="Arial"/>
        </w:rPr>
        <w:t xml:space="preserve"> </w:t>
      </w:r>
    </w:p>
    <w:p w14:paraId="57E38916" w14:textId="4CA6D675" w:rsidR="00CD6352" w:rsidRPr="00EA7665" w:rsidRDefault="00CD6352" w:rsidP="00CD6352">
      <w:pPr>
        <w:spacing w:line="360" w:lineRule="auto"/>
        <w:rPr>
          <w:rFonts w:ascii="Arial" w:hAnsi="Arial" w:cs="Arial"/>
        </w:rPr>
      </w:pPr>
      <w:r w:rsidRPr="00EA7665">
        <w:rPr>
          <w:rFonts w:ascii="Arial" w:hAnsi="Arial" w:cs="Arial"/>
        </w:rPr>
        <w:t>The different approaches to training and education for securing finance for real estate project deve</w:t>
      </w:r>
      <w:r>
        <w:rPr>
          <w:rFonts w:ascii="Arial" w:hAnsi="Arial" w:cs="Arial"/>
        </w:rPr>
        <w:t>lop</w:t>
      </w:r>
      <w:r w:rsidRPr="00EA7665">
        <w:rPr>
          <w:rFonts w:ascii="Arial" w:hAnsi="Arial" w:cs="Arial"/>
        </w:rPr>
        <w:t xml:space="preserve">ment </w:t>
      </w:r>
      <w:r>
        <w:rPr>
          <w:rFonts w:ascii="Arial" w:hAnsi="Arial" w:cs="Arial"/>
        </w:rPr>
        <w:t>are</w:t>
      </w:r>
      <w:r w:rsidRPr="00EA7665">
        <w:rPr>
          <w:rFonts w:ascii="Arial" w:hAnsi="Arial" w:cs="Arial"/>
        </w:rPr>
        <w:t xml:space="preserve"> classified into traditional and computer</w:t>
      </w:r>
      <w:r w:rsidR="006D4931">
        <w:rPr>
          <w:rFonts w:ascii="Arial" w:hAnsi="Arial" w:cs="Arial"/>
        </w:rPr>
        <w:t>-</w:t>
      </w:r>
      <w:r w:rsidRPr="00EA7665">
        <w:rPr>
          <w:rFonts w:ascii="Arial" w:hAnsi="Arial" w:cs="Arial"/>
        </w:rPr>
        <w:t>assisted training</w:t>
      </w:r>
      <w:r w:rsidR="009C0B88">
        <w:rPr>
          <w:rFonts w:ascii="Arial" w:hAnsi="Arial" w:cs="Arial"/>
        </w:rPr>
        <w:t>,</w:t>
      </w:r>
      <w:r w:rsidRPr="00EA7665">
        <w:rPr>
          <w:rFonts w:ascii="Arial" w:hAnsi="Arial" w:cs="Arial"/>
        </w:rPr>
        <w:t xml:space="preserve"> </w:t>
      </w:r>
      <w:r w:rsidR="00B36A83" w:rsidRPr="00EA7665">
        <w:rPr>
          <w:rFonts w:ascii="Arial" w:hAnsi="Arial" w:cs="Arial"/>
        </w:rPr>
        <w:t>collaborative,</w:t>
      </w:r>
      <w:r w:rsidRPr="00EA7665">
        <w:rPr>
          <w:rFonts w:ascii="Arial" w:hAnsi="Arial" w:cs="Arial"/>
        </w:rPr>
        <w:t xml:space="preserve"> talent</w:t>
      </w:r>
      <w:r w:rsidR="006D4931">
        <w:rPr>
          <w:rFonts w:ascii="Arial" w:hAnsi="Arial" w:cs="Arial"/>
        </w:rPr>
        <w:t>-</w:t>
      </w:r>
      <w:r w:rsidRPr="00EA7665">
        <w:rPr>
          <w:rFonts w:ascii="Arial" w:hAnsi="Arial" w:cs="Arial"/>
        </w:rPr>
        <w:t>driven training</w:t>
      </w:r>
      <w:r w:rsidR="009C0B88">
        <w:rPr>
          <w:rFonts w:ascii="Arial" w:hAnsi="Arial" w:cs="Arial"/>
        </w:rPr>
        <w:t>,</w:t>
      </w:r>
      <w:r w:rsidRPr="00EA7665">
        <w:rPr>
          <w:rFonts w:ascii="Arial" w:hAnsi="Arial" w:cs="Arial"/>
        </w:rPr>
        <w:t xml:space="preserve"> blended and informal learning and E-learning. Th</w:t>
      </w:r>
      <w:r w:rsidR="009C0B88">
        <w:rPr>
          <w:rFonts w:ascii="Arial" w:hAnsi="Arial" w:cs="Arial"/>
        </w:rPr>
        <w:t>e benefits of the behaviourist learning school of thought are obtained through the training and education approaches classified under the traditional and computer-assisted training platforms</w:t>
      </w:r>
      <w:r w:rsidRPr="00EA7665">
        <w:rPr>
          <w:rFonts w:ascii="Arial" w:hAnsi="Arial" w:cs="Arial"/>
        </w:rPr>
        <w:t xml:space="preserve"> (Umida et al</w:t>
      </w:r>
      <w:r w:rsidR="009C0B88">
        <w:rPr>
          <w:rFonts w:ascii="Arial" w:hAnsi="Arial" w:cs="Arial"/>
        </w:rPr>
        <w:t>.</w:t>
      </w:r>
      <w:r w:rsidRPr="00EA7665">
        <w:rPr>
          <w:rFonts w:ascii="Arial" w:hAnsi="Arial" w:cs="Arial"/>
        </w:rPr>
        <w:t>, 2020</w:t>
      </w:r>
      <w:r w:rsidR="00B36A83" w:rsidRPr="00EA7665">
        <w:rPr>
          <w:rFonts w:ascii="Arial" w:hAnsi="Arial" w:cs="Arial"/>
        </w:rPr>
        <w:t>).</w:t>
      </w:r>
      <w:r w:rsidRPr="00EA7665">
        <w:rPr>
          <w:rFonts w:ascii="Arial" w:hAnsi="Arial" w:cs="Arial"/>
        </w:rPr>
        <w:t xml:space="preserve"> The approaches to training and education classified under the collaborative, blended and informal learning and the </w:t>
      </w:r>
      <w:r>
        <w:rPr>
          <w:rFonts w:ascii="Arial" w:hAnsi="Arial" w:cs="Arial"/>
        </w:rPr>
        <w:t>e</w:t>
      </w:r>
      <w:r w:rsidRPr="00EA7665">
        <w:rPr>
          <w:rFonts w:ascii="Arial" w:hAnsi="Arial" w:cs="Arial"/>
        </w:rPr>
        <w:t>-leering platforms incorporat</w:t>
      </w:r>
      <w:r>
        <w:rPr>
          <w:rFonts w:ascii="Arial" w:hAnsi="Arial" w:cs="Arial"/>
        </w:rPr>
        <w:t xml:space="preserve">e </w:t>
      </w:r>
      <w:r w:rsidRPr="00EA7665">
        <w:rPr>
          <w:rFonts w:ascii="Arial" w:hAnsi="Arial" w:cs="Arial"/>
        </w:rPr>
        <w:t xml:space="preserve">the </w:t>
      </w:r>
      <w:r>
        <w:rPr>
          <w:rFonts w:ascii="Arial" w:hAnsi="Arial" w:cs="Arial"/>
        </w:rPr>
        <w:t>c</w:t>
      </w:r>
      <w:r w:rsidRPr="00EA7665">
        <w:rPr>
          <w:rFonts w:ascii="Arial" w:hAnsi="Arial" w:cs="Arial"/>
        </w:rPr>
        <w:t>ognitivism and constructivism learning theories ( Yadav, 2016 &amp; Yilmazi, 2011;</w:t>
      </w:r>
      <w:r w:rsidRPr="00EA7665">
        <w:t xml:space="preserve"> </w:t>
      </w:r>
      <w:r w:rsidRPr="00EA7665">
        <w:rPr>
          <w:rFonts w:ascii="Arial" w:hAnsi="Arial" w:cs="Arial"/>
        </w:rPr>
        <w:t>Bersin, 2020 ).</w:t>
      </w:r>
    </w:p>
    <w:p w14:paraId="4F0EE669" w14:textId="7B91EE50" w:rsidR="00CD6352" w:rsidRDefault="00CD6352" w:rsidP="00CD6352">
      <w:pPr>
        <w:spacing w:line="360" w:lineRule="auto"/>
        <w:rPr>
          <w:rFonts w:ascii="Arial" w:hAnsi="Arial" w:cs="Arial"/>
        </w:rPr>
      </w:pPr>
      <w:r w:rsidRPr="00EA7665">
        <w:rPr>
          <w:rFonts w:ascii="Arial" w:hAnsi="Arial" w:cs="Arial"/>
        </w:rPr>
        <w:t xml:space="preserve">The feedback mechanism </w:t>
      </w:r>
      <w:r w:rsidR="00B36A83" w:rsidRPr="00EA7665">
        <w:rPr>
          <w:rFonts w:ascii="Arial" w:hAnsi="Arial" w:cs="Arial"/>
        </w:rPr>
        <w:t>of questionnaires</w:t>
      </w:r>
      <w:r w:rsidRPr="00EA7665">
        <w:rPr>
          <w:rFonts w:ascii="Arial" w:hAnsi="Arial" w:cs="Arial"/>
        </w:rPr>
        <w:t>, observation, role</w:t>
      </w:r>
      <w:r w:rsidR="006D4931">
        <w:rPr>
          <w:rFonts w:ascii="Arial" w:hAnsi="Arial" w:cs="Arial"/>
        </w:rPr>
        <w:t>-</w:t>
      </w:r>
      <w:r w:rsidRPr="00EA7665">
        <w:rPr>
          <w:rFonts w:ascii="Arial" w:hAnsi="Arial" w:cs="Arial"/>
        </w:rPr>
        <w:t>play, group discussion, practice</w:t>
      </w:r>
      <w:r w:rsidR="009C0B88">
        <w:rPr>
          <w:rFonts w:ascii="Arial" w:hAnsi="Arial" w:cs="Arial"/>
        </w:rPr>
        <w:t>,</w:t>
      </w:r>
      <w:r w:rsidRPr="00EA7665">
        <w:rPr>
          <w:rFonts w:ascii="Arial" w:hAnsi="Arial" w:cs="Arial"/>
        </w:rPr>
        <w:t xml:space="preserve"> and experience incorporate the Kolb learning cycle</w:t>
      </w:r>
      <w:r w:rsidR="009C0B88">
        <w:rPr>
          <w:rFonts w:ascii="Arial" w:hAnsi="Arial" w:cs="Arial"/>
        </w:rPr>
        <w:t>,</w:t>
      </w:r>
      <w:r w:rsidRPr="00EA7665">
        <w:rPr>
          <w:rFonts w:ascii="Arial" w:hAnsi="Arial" w:cs="Arial"/>
        </w:rPr>
        <w:t xml:space="preserve"> Kolb learning style and Gibbs reflective cycle (Gibbs, 1988 &amp; Kolb,1976). The feedback mechanism also incorporates fo</w:t>
      </w:r>
      <w:r>
        <w:rPr>
          <w:rFonts w:ascii="Arial" w:hAnsi="Arial" w:cs="Arial"/>
        </w:rPr>
        <w:t>u</w:t>
      </w:r>
      <w:r w:rsidRPr="00EA7665">
        <w:rPr>
          <w:rFonts w:ascii="Arial" w:hAnsi="Arial" w:cs="Arial"/>
        </w:rPr>
        <w:t>r main stages</w:t>
      </w:r>
      <w:r>
        <w:rPr>
          <w:rFonts w:ascii="Arial" w:hAnsi="Arial" w:cs="Arial"/>
        </w:rPr>
        <w:t xml:space="preserve"> </w:t>
      </w:r>
      <w:r w:rsidRPr="00EA7665">
        <w:rPr>
          <w:rFonts w:ascii="Arial" w:hAnsi="Arial" w:cs="Arial"/>
        </w:rPr>
        <w:t>show</w:t>
      </w:r>
      <w:r>
        <w:rPr>
          <w:rFonts w:ascii="Arial" w:hAnsi="Arial" w:cs="Arial"/>
        </w:rPr>
        <w:t>n</w:t>
      </w:r>
      <w:r w:rsidRPr="00EA7665">
        <w:rPr>
          <w:rFonts w:ascii="Arial" w:hAnsi="Arial" w:cs="Arial"/>
        </w:rPr>
        <w:t xml:space="preserve"> to be effective for developing management skills/knowledge (Egbu, 1994).</w:t>
      </w:r>
      <w:r w:rsidR="00DE772F">
        <w:rPr>
          <w:rFonts w:ascii="Arial" w:hAnsi="Arial" w:cs="Arial"/>
        </w:rPr>
        <w:t xml:space="preserve"> The detailed conceptual framework for training and education for securing finance for real estate project development is contained in table 9.3.13.</w:t>
      </w:r>
    </w:p>
    <w:p w14:paraId="2495A66E" w14:textId="6E5FEFA2" w:rsidR="0068317B" w:rsidRDefault="0068317B" w:rsidP="00CD6352">
      <w:pPr>
        <w:spacing w:line="360" w:lineRule="auto"/>
        <w:rPr>
          <w:rFonts w:ascii="Arial" w:hAnsi="Arial" w:cs="Arial"/>
        </w:rPr>
      </w:pPr>
    </w:p>
    <w:p w14:paraId="7179110F" w14:textId="206F1563" w:rsidR="0068317B" w:rsidRDefault="0068317B" w:rsidP="00CD6352">
      <w:pPr>
        <w:spacing w:line="360" w:lineRule="auto"/>
        <w:rPr>
          <w:rFonts w:ascii="Arial" w:hAnsi="Arial" w:cs="Arial"/>
        </w:rPr>
      </w:pPr>
    </w:p>
    <w:p w14:paraId="60944C9B" w14:textId="214C3445" w:rsidR="00B07624" w:rsidRDefault="00B07624" w:rsidP="00CD6352">
      <w:pPr>
        <w:spacing w:line="360" w:lineRule="auto"/>
        <w:rPr>
          <w:rFonts w:ascii="Arial" w:hAnsi="Arial" w:cs="Arial"/>
        </w:rPr>
      </w:pPr>
    </w:p>
    <w:p w14:paraId="037E0C38" w14:textId="049C8C9D" w:rsidR="00B07624" w:rsidRDefault="00B07624" w:rsidP="00CD6352">
      <w:pPr>
        <w:spacing w:line="360" w:lineRule="auto"/>
        <w:rPr>
          <w:rFonts w:ascii="Arial" w:hAnsi="Arial" w:cs="Arial"/>
        </w:rPr>
      </w:pPr>
    </w:p>
    <w:p w14:paraId="04CB214E" w14:textId="77777777" w:rsidR="00B07624" w:rsidRPr="00EA7665" w:rsidRDefault="00B07624" w:rsidP="00CD6352">
      <w:pPr>
        <w:spacing w:line="360" w:lineRule="auto"/>
        <w:rPr>
          <w:rFonts w:ascii="Arial" w:hAnsi="Arial" w:cs="Arial"/>
        </w:rPr>
      </w:pPr>
    </w:p>
    <w:p w14:paraId="7B93CA24" w14:textId="79B102D9" w:rsidR="00B07B4C" w:rsidRPr="00BA5F50" w:rsidRDefault="00B07B4C" w:rsidP="00B07B4C">
      <w:pPr>
        <w:pStyle w:val="Caption"/>
        <w:keepNext/>
        <w:rPr>
          <w:rFonts w:ascii="Arial" w:hAnsi="Arial" w:cs="Arial"/>
          <w:sz w:val="16"/>
          <w:szCs w:val="16"/>
        </w:rPr>
      </w:pPr>
      <w:bookmarkStart w:id="1420" w:name="_Toc78984041"/>
      <w:bookmarkStart w:id="1421" w:name="_Hlk42858814"/>
      <w:bookmarkEnd w:id="1418"/>
      <w:r w:rsidRPr="00DE7A09">
        <w:rPr>
          <w:rFonts w:ascii="Arial" w:hAnsi="Arial" w:cs="Arial"/>
        </w:rPr>
        <w:lastRenderedPageBreak/>
        <w:t xml:space="preserve">Table </w:t>
      </w:r>
      <w:r w:rsidR="008F25B1">
        <w:rPr>
          <w:rFonts w:ascii="Arial" w:hAnsi="Arial" w:cs="Arial"/>
        </w:rPr>
        <w:fldChar w:fldCharType="begin"/>
      </w:r>
      <w:r w:rsidR="008F25B1">
        <w:rPr>
          <w:rFonts w:ascii="Arial" w:hAnsi="Arial" w:cs="Arial"/>
        </w:rPr>
        <w:instrText xml:space="preserve"> STYLEREF 2 \s </w:instrText>
      </w:r>
      <w:r w:rsidR="008F25B1">
        <w:rPr>
          <w:rFonts w:ascii="Arial" w:hAnsi="Arial" w:cs="Arial"/>
        </w:rPr>
        <w:fldChar w:fldCharType="separate"/>
      </w:r>
      <w:r w:rsidR="008F25B1">
        <w:rPr>
          <w:rFonts w:ascii="Arial" w:hAnsi="Arial" w:cs="Arial"/>
          <w:noProof/>
        </w:rPr>
        <w:t>9.3</w:t>
      </w:r>
      <w:r w:rsidR="008F25B1">
        <w:rPr>
          <w:rFonts w:ascii="Arial" w:hAnsi="Arial" w:cs="Arial"/>
        </w:rPr>
        <w:fldChar w:fldCharType="end"/>
      </w:r>
      <w:r w:rsidR="008F25B1">
        <w:rPr>
          <w:rFonts w:ascii="Arial" w:hAnsi="Arial" w:cs="Arial"/>
        </w:rPr>
        <w:noBreakHyphen/>
      </w:r>
      <w:r w:rsidR="008F25B1">
        <w:rPr>
          <w:rFonts w:ascii="Arial" w:hAnsi="Arial" w:cs="Arial"/>
        </w:rPr>
        <w:fldChar w:fldCharType="begin"/>
      </w:r>
      <w:r w:rsidR="008F25B1">
        <w:rPr>
          <w:rFonts w:ascii="Arial" w:hAnsi="Arial" w:cs="Arial"/>
        </w:rPr>
        <w:instrText xml:space="preserve"> SEQ Table \* ARABIC \s 2 </w:instrText>
      </w:r>
      <w:r w:rsidR="008F25B1">
        <w:rPr>
          <w:rFonts w:ascii="Arial" w:hAnsi="Arial" w:cs="Arial"/>
        </w:rPr>
        <w:fldChar w:fldCharType="separate"/>
      </w:r>
      <w:r w:rsidR="008F25B1">
        <w:rPr>
          <w:rFonts w:ascii="Arial" w:hAnsi="Arial" w:cs="Arial"/>
          <w:noProof/>
        </w:rPr>
        <w:t>13</w:t>
      </w:r>
      <w:r w:rsidR="008F25B1">
        <w:rPr>
          <w:rFonts w:ascii="Arial" w:hAnsi="Arial" w:cs="Arial"/>
        </w:rPr>
        <w:fldChar w:fldCharType="end"/>
      </w:r>
      <w:r w:rsidR="00DE7A09" w:rsidRPr="00DE7A09">
        <w:rPr>
          <w:rFonts w:ascii="Arial" w:hAnsi="Arial" w:cs="Arial"/>
        </w:rPr>
        <w:t xml:space="preserve">: </w:t>
      </w:r>
      <w:r w:rsidR="00DE7A09" w:rsidRPr="00DE7A09">
        <w:rPr>
          <w:rFonts w:ascii="Arial" w:hAnsi="Arial" w:cs="Arial"/>
          <w:color w:val="auto"/>
        </w:rPr>
        <w:t xml:space="preserve">Conceptual </w:t>
      </w:r>
      <w:r w:rsidR="00BE3479" w:rsidRPr="00DE7A09">
        <w:rPr>
          <w:rFonts w:ascii="Arial" w:hAnsi="Arial" w:cs="Arial"/>
          <w:color w:val="auto"/>
        </w:rPr>
        <w:t>framework</w:t>
      </w:r>
      <w:r w:rsidR="00DE7A09" w:rsidRPr="00DE7A09">
        <w:rPr>
          <w:rFonts w:ascii="Arial" w:hAnsi="Arial" w:cs="Arial"/>
          <w:color w:val="auto"/>
        </w:rPr>
        <w:t xml:space="preserve"> for training and education for securing finance for real estate project </w:t>
      </w:r>
      <w:r w:rsidR="00DE7A09" w:rsidRPr="00BA5F50">
        <w:rPr>
          <w:rFonts w:ascii="Arial" w:hAnsi="Arial" w:cs="Arial"/>
          <w:color w:val="auto"/>
          <w:sz w:val="16"/>
          <w:szCs w:val="16"/>
        </w:rPr>
        <w:t>development</w:t>
      </w:r>
      <w:bookmarkEnd w:id="1420"/>
    </w:p>
    <w:tbl>
      <w:tblPr>
        <w:tblStyle w:val="TableGrid"/>
        <w:tblW w:w="9020" w:type="dxa"/>
        <w:tblLayout w:type="fixed"/>
        <w:tblLook w:val="04A0" w:firstRow="1" w:lastRow="0" w:firstColumn="1" w:lastColumn="0" w:noHBand="0" w:noVBand="1"/>
      </w:tblPr>
      <w:tblGrid>
        <w:gridCol w:w="1413"/>
        <w:gridCol w:w="1814"/>
        <w:gridCol w:w="2126"/>
        <w:gridCol w:w="1701"/>
        <w:gridCol w:w="1966"/>
      </w:tblGrid>
      <w:tr w:rsidR="00CD6352" w:rsidRPr="00BA5F50" w14:paraId="620C16D2" w14:textId="77777777" w:rsidTr="00A60EB1">
        <w:tc>
          <w:tcPr>
            <w:tcW w:w="1413" w:type="dxa"/>
          </w:tcPr>
          <w:p w14:paraId="5F9AC790" w14:textId="77777777" w:rsidR="00CD6352" w:rsidRPr="00BE3479" w:rsidRDefault="00CD6352" w:rsidP="00CD6352">
            <w:pPr>
              <w:rPr>
                <w:rFonts w:ascii="Arial" w:hAnsi="Arial" w:cs="Arial"/>
                <w:b/>
                <w:bCs/>
                <w:sz w:val="16"/>
                <w:szCs w:val="16"/>
              </w:rPr>
            </w:pPr>
            <w:r w:rsidRPr="00BE3479">
              <w:rPr>
                <w:rFonts w:ascii="Arial" w:hAnsi="Arial" w:cs="Arial"/>
                <w:b/>
                <w:bCs/>
                <w:sz w:val="16"/>
                <w:szCs w:val="16"/>
              </w:rPr>
              <w:t xml:space="preserve">Form of training </w:t>
            </w:r>
          </w:p>
        </w:tc>
        <w:tc>
          <w:tcPr>
            <w:tcW w:w="7607" w:type="dxa"/>
            <w:gridSpan w:val="4"/>
          </w:tcPr>
          <w:p w14:paraId="4FE6BDCC" w14:textId="7780C02B" w:rsidR="00CD6352" w:rsidRPr="00BE3479" w:rsidRDefault="00CD6352" w:rsidP="00CD6352">
            <w:pPr>
              <w:jc w:val="center"/>
              <w:rPr>
                <w:rFonts w:ascii="Arial" w:hAnsi="Arial" w:cs="Arial"/>
                <w:b/>
                <w:bCs/>
                <w:sz w:val="16"/>
                <w:szCs w:val="16"/>
              </w:rPr>
            </w:pPr>
            <w:r w:rsidRPr="00BE3479">
              <w:rPr>
                <w:rFonts w:ascii="Arial" w:hAnsi="Arial" w:cs="Arial"/>
                <w:b/>
                <w:bCs/>
                <w:sz w:val="16"/>
                <w:szCs w:val="16"/>
              </w:rPr>
              <w:t>On the job and</w:t>
            </w:r>
            <w:r w:rsidR="006D4931">
              <w:rPr>
                <w:rFonts w:ascii="Arial" w:hAnsi="Arial" w:cs="Arial"/>
                <w:b/>
                <w:bCs/>
                <w:sz w:val="16"/>
                <w:szCs w:val="16"/>
              </w:rPr>
              <w:t>/</w:t>
            </w:r>
            <w:r w:rsidRPr="00BE3479">
              <w:rPr>
                <w:rFonts w:ascii="Arial" w:hAnsi="Arial" w:cs="Arial"/>
                <w:b/>
                <w:bCs/>
                <w:sz w:val="16"/>
                <w:szCs w:val="16"/>
              </w:rPr>
              <w:t>or off the job training and education</w:t>
            </w:r>
          </w:p>
        </w:tc>
      </w:tr>
      <w:tr w:rsidR="00CD6352" w:rsidRPr="00BA5F50" w14:paraId="1B4C47D7" w14:textId="77777777" w:rsidTr="00A60EB1">
        <w:tc>
          <w:tcPr>
            <w:tcW w:w="1413" w:type="dxa"/>
          </w:tcPr>
          <w:p w14:paraId="04D45CB8" w14:textId="77777777" w:rsidR="00CD6352" w:rsidRPr="00BA5F50" w:rsidRDefault="00CD6352" w:rsidP="00CD6352">
            <w:pPr>
              <w:rPr>
                <w:rFonts w:ascii="Arial" w:hAnsi="Arial" w:cs="Arial"/>
                <w:b/>
                <w:sz w:val="16"/>
                <w:szCs w:val="16"/>
              </w:rPr>
            </w:pPr>
            <w:r w:rsidRPr="00BA5F50">
              <w:rPr>
                <w:rFonts w:ascii="Arial" w:hAnsi="Arial" w:cs="Arial"/>
                <w:b/>
                <w:sz w:val="16"/>
                <w:szCs w:val="16"/>
              </w:rPr>
              <w:t>Learning platforms</w:t>
            </w:r>
          </w:p>
        </w:tc>
        <w:tc>
          <w:tcPr>
            <w:tcW w:w="1814" w:type="dxa"/>
          </w:tcPr>
          <w:p w14:paraId="61F5BDEE" w14:textId="4EBBAD61" w:rsidR="00CD6352" w:rsidRPr="00BA5F50" w:rsidRDefault="00CD6352" w:rsidP="00CD6352">
            <w:pPr>
              <w:rPr>
                <w:rFonts w:ascii="Arial" w:hAnsi="Arial" w:cs="Arial"/>
                <w:b/>
                <w:sz w:val="16"/>
                <w:szCs w:val="16"/>
              </w:rPr>
            </w:pPr>
            <w:r w:rsidRPr="00BA5F50">
              <w:rPr>
                <w:rFonts w:ascii="Arial" w:hAnsi="Arial" w:cs="Arial"/>
                <w:b/>
                <w:sz w:val="16"/>
                <w:szCs w:val="16"/>
              </w:rPr>
              <w:t>Traditional and computer</w:t>
            </w:r>
            <w:r w:rsidR="006D4931">
              <w:rPr>
                <w:rFonts w:ascii="Arial" w:hAnsi="Arial" w:cs="Arial"/>
                <w:b/>
                <w:sz w:val="16"/>
                <w:szCs w:val="16"/>
              </w:rPr>
              <w:t>-</w:t>
            </w:r>
            <w:r w:rsidRPr="00BA5F50">
              <w:rPr>
                <w:rFonts w:ascii="Arial" w:hAnsi="Arial" w:cs="Arial"/>
                <w:b/>
                <w:sz w:val="16"/>
                <w:szCs w:val="16"/>
              </w:rPr>
              <w:t>assisted training</w:t>
            </w:r>
          </w:p>
        </w:tc>
        <w:tc>
          <w:tcPr>
            <w:tcW w:w="2126" w:type="dxa"/>
          </w:tcPr>
          <w:p w14:paraId="2B84516B" w14:textId="2DDD1F04" w:rsidR="00CD6352" w:rsidRPr="00BA5F50" w:rsidRDefault="00CD6352" w:rsidP="00CD6352">
            <w:pPr>
              <w:rPr>
                <w:rFonts w:ascii="Arial" w:hAnsi="Arial" w:cs="Arial"/>
                <w:b/>
                <w:sz w:val="16"/>
                <w:szCs w:val="16"/>
              </w:rPr>
            </w:pPr>
            <w:r w:rsidRPr="00BA5F50">
              <w:rPr>
                <w:rFonts w:ascii="Arial" w:hAnsi="Arial" w:cs="Arial"/>
                <w:b/>
                <w:sz w:val="16"/>
                <w:szCs w:val="16"/>
              </w:rPr>
              <w:t>Collaborative, talent</w:t>
            </w:r>
            <w:r w:rsidR="006D4931">
              <w:rPr>
                <w:rFonts w:ascii="Arial" w:hAnsi="Arial" w:cs="Arial"/>
                <w:b/>
                <w:sz w:val="16"/>
                <w:szCs w:val="16"/>
              </w:rPr>
              <w:t>-</w:t>
            </w:r>
            <w:r w:rsidRPr="00BA5F50">
              <w:rPr>
                <w:rFonts w:ascii="Arial" w:hAnsi="Arial" w:cs="Arial"/>
                <w:b/>
                <w:sz w:val="16"/>
                <w:szCs w:val="16"/>
              </w:rPr>
              <w:t>driven learning</w:t>
            </w:r>
          </w:p>
        </w:tc>
        <w:tc>
          <w:tcPr>
            <w:tcW w:w="1701" w:type="dxa"/>
          </w:tcPr>
          <w:p w14:paraId="0E343650" w14:textId="77777777" w:rsidR="00CD6352" w:rsidRPr="00BA5F50" w:rsidRDefault="00CD6352" w:rsidP="00CD6352">
            <w:pPr>
              <w:jc w:val="center"/>
              <w:rPr>
                <w:rFonts w:ascii="Arial" w:hAnsi="Arial" w:cs="Arial"/>
                <w:b/>
                <w:sz w:val="16"/>
                <w:szCs w:val="16"/>
              </w:rPr>
            </w:pPr>
            <w:r w:rsidRPr="00BA5F50">
              <w:rPr>
                <w:rFonts w:ascii="Arial" w:hAnsi="Arial" w:cs="Arial"/>
                <w:b/>
                <w:sz w:val="16"/>
                <w:szCs w:val="16"/>
              </w:rPr>
              <w:t>Blended and informal learning</w:t>
            </w:r>
          </w:p>
        </w:tc>
        <w:tc>
          <w:tcPr>
            <w:tcW w:w="1966" w:type="dxa"/>
          </w:tcPr>
          <w:p w14:paraId="041456A2" w14:textId="77777777" w:rsidR="00CD6352" w:rsidRPr="00BA5F50" w:rsidRDefault="00CD6352" w:rsidP="00CD6352">
            <w:pPr>
              <w:rPr>
                <w:rFonts w:ascii="Arial" w:hAnsi="Arial" w:cs="Arial"/>
                <w:b/>
                <w:sz w:val="16"/>
                <w:szCs w:val="16"/>
              </w:rPr>
            </w:pPr>
            <w:r w:rsidRPr="00BA5F50">
              <w:rPr>
                <w:rFonts w:ascii="Arial" w:hAnsi="Arial" w:cs="Arial"/>
                <w:b/>
                <w:sz w:val="16"/>
                <w:szCs w:val="16"/>
              </w:rPr>
              <w:t>E-learning</w:t>
            </w:r>
          </w:p>
        </w:tc>
      </w:tr>
      <w:tr w:rsidR="00CD6352" w:rsidRPr="00BA5F50" w14:paraId="7D79E829" w14:textId="77777777" w:rsidTr="00A60EB1">
        <w:tc>
          <w:tcPr>
            <w:tcW w:w="1413" w:type="dxa"/>
          </w:tcPr>
          <w:p w14:paraId="586CC56A" w14:textId="77777777" w:rsidR="00CD6352" w:rsidRPr="00A60EB1" w:rsidRDefault="00CD6352" w:rsidP="00CD6352">
            <w:pPr>
              <w:rPr>
                <w:rFonts w:ascii="Arial" w:hAnsi="Arial" w:cs="Arial"/>
                <w:bCs/>
                <w:sz w:val="16"/>
                <w:szCs w:val="16"/>
              </w:rPr>
            </w:pPr>
            <w:r w:rsidRPr="00A60EB1">
              <w:rPr>
                <w:rFonts w:ascii="Arial" w:hAnsi="Arial" w:cs="Arial"/>
                <w:bCs/>
                <w:sz w:val="16"/>
                <w:szCs w:val="16"/>
              </w:rPr>
              <w:t>Recommended frequencies</w:t>
            </w:r>
          </w:p>
        </w:tc>
        <w:tc>
          <w:tcPr>
            <w:tcW w:w="1814" w:type="dxa"/>
          </w:tcPr>
          <w:p w14:paraId="5FDE6A31" w14:textId="77777777" w:rsidR="00CD6352" w:rsidRPr="00BA5F50" w:rsidRDefault="00CD6352" w:rsidP="00CD6352">
            <w:pPr>
              <w:rPr>
                <w:rFonts w:ascii="Arial" w:hAnsi="Arial" w:cs="Arial"/>
                <w:bCs/>
                <w:sz w:val="16"/>
                <w:szCs w:val="16"/>
              </w:rPr>
            </w:pPr>
            <w:r w:rsidRPr="00BA5F50">
              <w:rPr>
                <w:rFonts w:ascii="Arial" w:hAnsi="Arial" w:cs="Arial"/>
                <w:bCs/>
                <w:sz w:val="16"/>
                <w:szCs w:val="16"/>
              </w:rPr>
              <w:t>1 to 2 times annually</w:t>
            </w:r>
          </w:p>
        </w:tc>
        <w:tc>
          <w:tcPr>
            <w:tcW w:w="2126" w:type="dxa"/>
          </w:tcPr>
          <w:p w14:paraId="729CCF36" w14:textId="77777777" w:rsidR="00CD6352" w:rsidRPr="00BA5F50" w:rsidRDefault="00CD6352" w:rsidP="00CD6352">
            <w:pPr>
              <w:rPr>
                <w:rFonts w:ascii="Arial" w:hAnsi="Arial" w:cs="Arial"/>
                <w:bCs/>
                <w:sz w:val="16"/>
                <w:szCs w:val="16"/>
              </w:rPr>
            </w:pPr>
            <w:r w:rsidRPr="00BA5F50">
              <w:rPr>
                <w:rFonts w:ascii="Arial" w:hAnsi="Arial" w:cs="Arial"/>
                <w:bCs/>
                <w:sz w:val="16"/>
                <w:szCs w:val="16"/>
              </w:rPr>
              <w:t>1 to 2 times annually</w:t>
            </w:r>
          </w:p>
        </w:tc>
        <w:tc>
          <w:tcPr>
            <w:tcW w:w="1701" w:type="dxa"/>
          </w:tcPr>
          <w:p w14:paraId="04C63CA9" w14:textId="77777777" w:rsidR="00CD6352" w:rsidRPr="00BA5F50" w:rsidRDefault="00CD6352" w:rsidP="00CD6352">
            <w:pPr>
              <w:jc w:val="center"/>
              <w:rPr>
                <w:rFonts w:ascii="Arial" w:hAnsi="Arial" w:cs="Arial"/>
                <w:bCs/>
                <w:sz w:val="16"/>
                <w:szCs w:val="16"/>
              </w:rPr>
            </w:pPr>
            <w:r w:rsidRPr="00BA5F50">
              <w:rPr>
                <w:rFonts w:ascii="Arial" w:hAnsi="Arial" w:cs="Arial"/>
                <w:bCs/>
                <w:sz w:val="16"/>
                <w:szCs w:val="16"/>
              </w:rPr>
              <w:t>Regular basis</w:t>
            </w:r>
          </w:p>
        </w:tc>
        <w:tc>
          <w:tcPr>
            <w:tcW w:w="1966" w:type="dxa"/>
          </w:tcPr>
          <w:p w14:paraId="4411E48E" w14:textId="77777777" w:rsidR="00CD6352" w:rsidRPr="00BA5F50" w:rsidRDefault="00CD6352" w:rsidP="00CD6352">
            <w:pPr>
              <w:rPr>
                <w:rFonts w:ascii="Arial" w:hAnsi="Arial" w:cs="Arial"/>
                <w:bCs/>
                <w:sz w:val="16"/>
                <w:szCs w:val="16"/>
              </w:rPr>
            </w:pPr>
            <w:r w:rsidRPr="00BA5F50">
              <w:rPr>
                <w:rFonts w:ascii="Arial" w:hAnsi="Arial" w:cs="Arial"/>
                <w:bCs/>
                <w:sz w:val="16"/>
                <w:szCs w:val="16"/>
              </w:rPr>
              <w:t>Regular basis</w:t>
            </w:r>
          </w:p>
        </w:tc>
      </w:tr>
      <w:tr w:rsidR="00CD6352" w:rsidRPr="00BA5F50" w14:paraId="71910212" w14:textId="77777777" w:rsidTr="00A60EB1">
        <w:trPr>
          <w:trHeight w:val="7519"/>
        </w:trPr>
        <w:tc>
          <w:tcPr>
            <w:tcW w:w="1413" w:type="dxa"/>
            <w:textDirection w:val="btLr"/>
          </w:tcPr>
          <w:p w14:paraId="48CC5F29" w14:textId="77777777" w:rsidR="00CD6352" w:rsidRPr="00BA5F50" w:rsidRDefault="00CD6352" w:rsidP="00CD6352">
            <w:pPr>
              <w:ind w:left="113" w:right="113"/>
              <w:jc w:val="right"/>
              <w:rPr>
                <w:rFonts w:ascii="Arial" w:hAnsi="Arial" w:cs="Arial"/>
                <w:sz w:val="16"/>
                <w:szCs w:val="16"/>
              </w:rPr>
            </w:pPr>
            <w:r w:rsidRPr="00BA5F50">
              <w:rPr>
                <w:rFonts w:ascii="Arial" w:hAnsi="Arial" w:cs="Arial"/>
                <w:sz w:val="16"/>
                <w:szCs w:val="16"/>
              </w:rPr>
              <w:t>Learning approaches</w:t>
            </w:r>
          </w:p>
        </w:tc>
        <w:tc>
          <w:tcPr>
            <w:tcW w:w="1814" w:type="dxa"/>
          </w:tcPr>
          <w:p w14:paraId="636B81E2"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Classroom instructor-led training for a short period(offered by consultants)</w:t>
            </w:r>
          </w:p>
          <w:p w14:paraId="2E629AB6"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Computer-based training</w:t>
            </w:r>
          </w:p>
          <w:p w14:paraId="17D60944"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Continuing professional development</w:t>
            </w:r>
          </w:p>
          <w:p w14:paraId="092E44AE"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Executive MBA(with classes on a part-time basis)</w:t>
            </w:r>
          </w:p>
          <w:p w14:paraId="4F0D8BEB"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External training</w:t>
            </w:r>
          </w:p>
          <w:p w14:paraId="55BDA5DD"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University residential (the full-time program for some weeks )</w:t>
            </w:r>
          </w:p>
          <w:p w14:paraId="6790F3E9"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Usage of formal qualification</w:t>
            </w:r>
          </w:p>
          <w:p w14:paraId="3EEA2FAD"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Academic research</w:t>
            </w:r>
          </w:p>
          <w:p w14:paraId="3933C741"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Classroom-based training with consultant</w:t>
            </w:r>
          </w:p>
          <w:p w14:paraId="126FE66D"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Professional qualification from RICS or other relevant bodies</w:t>
            </w:r>
          </w:p>
          <w:p w14:paraId="69E7A6F5"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Business development courses</w:t>
            </w:r>
          </w:p>
          <w:p w14:paraId="76FCEA27"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Experience in real estate and finance</w:t>
            </w:r>
          </w:p>
          <w:p w14:paraId="5FAFE29C" w14:textId="77777777" w:rsidR="00CD6352" w:rsidRPr="00BA5F50" w:rsidRDefault="00CD6352" w:rsidP="00C74AEC">
            <w:pPr>
              <w:pStyle w:val="ListParagraph"/>
              <w:numPr>
                <w:ilvl w:val="0"/>
                <w:numId w:val="212"/>
              </w:numPr>
              <w:spacing w:after="0" w:line="240" w:lineRule="auto"/>
              <w:rPr>
                <w:rFonts w:ascii="Arial" w:hAnsi="Arial" w:cs="Arial"/>
                <w:sz w:val="16"/>
                <w:szCs w:val="16"/>
              </w:rPr>
            </w:pPr>
            <w:r w:rsidRPr="00BA5F50">
              <w:rPr>
                <w:rFonts w:ascii="Arial" w:hAnsi="Arial" w:cs="Arial"/>
                <w:sz w:val="16"/>
                <w:szCs w:val="16"/>
              </w:rPr>
              <w:t>In-house training</w:t>
            </w:r>
          </w:p>
        </w:tc>
        <w:tc>
          <w:tcPr>
            <w:tcW w:w="2126" w:type="dxa"/>
          </w:tcPr>
          <w:p w14:paraId="79957208" w14:textId="77777777" w:rsidR="00CD6352" w:rsidRPr="00BA5F50" w:rsidRDefault="00CD6352" w:rsidP="00C74AEC">
            <w:pPr>
              <w:pStyle w:val="ListParagraph"/>
              <w:numPr>
                <w:ilvl w:val="0"/>
                <w:numId w:val="214"/>
              </w:numPr>
              <w:spacing w:after="0" w:line="240" w:lineRule="auto"/>
              <w:rPr>
                <w:rFonts w:ascii="Arial" w:hAnsi="Arial" w:cs="Arial"/>
                <w:sz w:val="16"/>
                <w:szCs w:val="16"/>
              </w:rPr>
            </w:pPr>
            <w:r w:rsidRPr="00BA5F50">
              <w:rPr>
                <w:rFonts w:ascii="Arial" w:hAnsi="Arial" w:cs="Arial"/>
                <w:sz w:val="16"/>
                <w:szCs w:val="16"/>
              </w:rPr>
              <w:t>Conferences &amp; seminars</w:t>
            </w:r>
          </w:p>
          <w:p w14:paraId="7544844E"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Continuing professional development</w:t>
            </w:r>
          </w:p>
          <w:p w14:paraId="609497A6"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Executive MBA(with classes on a part-time basis)</w:t>
            </w:r>
          </w:p>
          <w:p w14:paraId="3F8AAA20"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Learning by holding meetings</w:t>
            </w:r>
          </w:p>
          <w:p w14:paraId="45AD59E7"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External training</w:t>
            </w:r>
          </w:p>
          <w:p w14:paraId="265EC950"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Academic research</w:t>
            </w:r>
          </w:p>
          <w:p w14:paraId="1D5DC61A"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Internship with banks</w:t>
            </w:r>
          </w:p>
          <w:p w14:paraId="3185843A"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Usage of external advisers</w:t>
            </w:r>
          </w:p>
          <w:p w14:paraId="6A2E620F"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Workshops</w:t>
            </w:r>
          </w:p>
          <w:p w14:paraId="1074D41C"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Business development courses</w:t>
            </w:r>
          </w:p>
          <w:p w14:paraId="6CF9F6E8"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Experience in real estate and finance</w:t>
            </w:r>
          </w:p>
          <w:p w14:paraId="4C822016" w14:textId="77777777" w:rsidR="00CD6352" w:rsidRPr="00BA5F50" w:rsidRDefault="00CD6352" w:rsidP="00C74AEC">
            <w:pPr>
              <w:pStyle w:val="ListParagraph"/>
              <w:numPr>
                <w:ilvl w:val="0"/>
                <w:numId w:val="213"/>
              </w:numPr>
              <w:spacing w:after="0" w:line="240" w:lineRule="auto"/>
              <w:rPr>
                <w:rFonts w:ascii="Arial" w:hAnsi="Arial" w:cs="Arial"/>
                <w:sz w:val="16"/>
                <w:szCs w:val="16"/>
              </w:rPr>
            </w:pPr>
            <w:r w:rsidRPr="00BA5F50">
              <w:rPr>
                <w:rFonts w:ascii="Arial" w:hAnsi="Arial" w:cs="Arial"/>
                <w:sz w:val="16"/>
                <w:szCs w:val="16"/>
              </w:rPr>
              <w:t>In-house training</w:t>
            </w:r>
          </w:p>
        </w:tc>
        <w:tc>
          <w:tcPr>
            <w:tcW w:w="1701" w:type="dxa"/>
          </w:tcPr>
          <w:p w14:paraId="3715C4EF"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Conferences &amp; seminar</w:t>
            </w:r>
          </w:p>
          <w:p w14:paraId="5930CF9A"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Continuing professional development</w:t>
            </w:r>
          </w:p>
          <w:p w14:paraId="40992B6D"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Learning by holding meetings</w:t>
            </w:r>
          </w:p>
          <w:p w14:paraId="4F23BE54"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External training</w:t>
            </w:r>
          </w:p>
          <w:p w14:paraId="29496C2B"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Internship with banks</w:t>
            </w:r>
          </w:p>
          <w:p w14:paraId="00C76453"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Usage of external advisers</w:t>
            </w:r>
          </w:p>
          <w:p w14:paraId="7C606831"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Workshops</w:t>
            </w:r>
          </w:p>
          <w:p w14:paraId="198A07CE"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Business development courses</w:t>
            </w:r>
          </w:p>
          <w:p w14:paraId="5F5A2D58"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Experience in real estate and finance</w:t>
            </w:r>
          </w:p>
          <w:p w14:paraId="218A7C10" w14:textId="77777777" w:rsidR="00CD6352" w:rsidRPr="00BA5F50" w:rsidRDefault="00CD6352" w:rsidP="00C74AEC">
            <w:pPr>
              <w:pStyle w:val="ListParagraph"/>
              <w:numPr>
                <w:ilvl w:val="0"/>
                <w:numId w:val="215"/>
              </w:numPr>
              <w:spacing w:after="0" w:line="240" w:lineRule="auto"/>
              <w:rPr>
                <w:rFonts w:ascii="Arial" w:hAnsi="Arial" w:cs="Arial"/>
                <w:sz w:val="16"/>
                <w:szCs w:val="16"/>
              </w:rPr>
            </w:pPr>
            <w:r w:rsidRPr="00BA5F50">
              <w:rPr>
                <w:rFonts w:ascii="Arial" w:hAnsi="Arial" w:cs="Arial"/>
                <w:sz w:val="16"/>
                <w:szCs w:val="16"/>
              </w:rPr>
              <w:t>In-house training</w:t>
            </w:r>
          </w:p>
        </w:tc>
        <w:tc>
          <w:tcPr>
            <w:tcW w:w="1966" w:type="dxa"/>
          </w:tcPr>
          <w:p w14:paraId="58C62549"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Company-specific courses targeted at securing financing skills &amp; knowledge</w:t>
            </w:r>
          </w:p>
          <w:p w14:paraId="4491598E"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Computer-based training</w:t>
            </w:r>
          </w:p>
          <w:p w14:paraId="172575FA"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Continuing professional development</w:t>
            </w:r>
          </w:p>
          <w:p w14:paraId="132BC60C"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Executive MBA(with classes on a part-time basis)</w:t>
            </w:r>
          </w:p>
          <w:p w14:paraId="1159861D"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Learning by holding meetings</w:t>
            </w:r>
          </w:p>
          <w:p w14:paraId="327AD283"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External training</w:t>
            </w:r>
          </w:p>
          <w:p w14:paraId="2CEACC79"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Online and tutorial training</w:t>
            </w:r>
          </w:p>
          <w:p w14:paraId="46B3127A"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University residential (the full-time program for some weeks )</w:t>
            </w:r>
          </w:p>
          <w:p w14:paraId="5ED8A7F6"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Usage of formal qualification</w:t>
            </w:r>
          </w:p>
          <w:p w14:paraId="38B079CF"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Academic research</w:t>
            </w:r>
          </w:p>
          <w:p w14:paraId="653DD430"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Classroom-based training with consultant</w:t>
            </w:r>
          </w:p>
          <w:p w14:paraId="1002150D"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Professional qualification from RICS or other relevant bodies</w:t>
            </w:r>
          </w:p>
          <w:p w14:paraId="3AEE3E82"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Usage of external advisers</w:t>
            </w:r>
          </w:p>
          <w:p w14:paraId="60E0D033"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Workshops</w:t>
            </w:r>
          </w:p>
          <w:p w14:paraId="2BA01F9A"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Business development courses</w:t>
            </w:r>
          </w:p>
          <w:p w14:paraId="38E92013"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Experience in real estate and finance</w:t>
            </w:r>
          </w:p>
          <w:p w14:paraId="62805D87"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In-house training</w:t>
            </w:r>
          </w:p>
        </w:tc>
      </w:tr>
      <w:tr w:rsidR="00CD6352" w:rsidRPr="00BA5F50" w14:paraId="7ADC0A27" w14:textId="77777777" w:rsidTr="00A60EB1">
        <w:trPr>
          <w:trHeight w:val="1347"/>
        </w:trPr>
        <w:tc>
          <w:tcPr>
            <w:tcW w:w="1413" w:type="dxa"/>
          </w:tcPr>
          <w:p w14:paraId="63095A4F" w14:textId="73F932EB" w:rsidR="00CD6352" w:rsidRPr="00BA5F50" w:rsidRDefault="00CD6352" w:rsidP="00CD6352">
            <w:pPr>
              <w:jc w:val="center"/>
              <w:rPr>
                <w:rFonts w:ascii="Arial" w:hAnsi="Arial" w:cs="Arial"/>
                <w:sz w:val="16"/>
                <w:szCs w:val="16"/>
              </w:rPr>
            </w:pPr>
            <w:r w:rsidRPr="00BA5F50">
              <w:rPr>
                <w:rFonts w:ascii="Arial" w:hAnsi="Arial" w:cs="Arial"/>
                <w:sz w:val="16"/>
                <w:szCs w:val="16"/>
              </w:rPr>
              <w:t>Feedbacks mechanism</w:t>
            </w:r>
          </w:p>
        </w:tc>
        <w:tc>
          <w:tcPr>
            <w:tcW w:w="7607" w:type="dxa"/>
            <w:gridSpan w:val="4"/>
          </w:tcPr>
          <w:p w14:paraId="78DA6695"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Questionnaires</w:t>
            </w:r>
          </w:p>
          <w:p w14:paraId="6D9E52D2"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Observation</w:t>
            </w:r>
          </w:p>
          <w:p w14:paraId="6DDC2352" w14:textId="21592550"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Roleplays</w:t>
            </w:r>
          </w:p>
          <w:p w14:paraId="3143E352"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Group discussion</w:t>
            </w:r>
          </w:p>
          <w:p w14:paraId="1474953C" w14:textId="77777777" w:rsidR="00CD6352" w:rsidRPr="00BA5F50" w:rsidRDefault="00CD6352" w:rsidP="00C74AEC">
            <w:pPr>
              <w:pStyle w:val="ListParagraph"/>
              <w:numPr>
                <w:ilvl w:val="0"/>
                <w:numId w:val="216"/>
              </w:numPr>
              <w:spacing w:after="0" w:line="240" w:lineRule="auto"/>
              <w:rPr>
                <w:rFonts w:ascii="Arial" w:hAnsi="Arial" w:cs="Arial"/>
                <w:sz w:val="16"/>
                <w:szCs w:val="16"/>
              </w:rPr>
            </w:pPr>
            <w:r w:rsidRPr="00BA5F50">
              <w:rPr>
                <w:rFonts w:ascii="Arial" w:hAnsi="Arial" w:cs="Arial"/>
                <w:sz w:val="16"/>
                <w:szCs w:val="16"/>
              </w:rPr>
              <w:t>Practice</w:t>
            </w:r>
          </w:p>
          <w:p w14:paraId="578DED78" w14:textId="77777777" w:rsidR="00CD6352" w:rsidRPr="00BA5F50" w:rsidRDefault="00CD6352" w:rsidP="00C74AEC">
            <w:pPr>
              <w:pStyle w:val="ListParagraph"/>
              <w:keepNext/>
              <w:numPr>
                <w:ilvl w:val="0"/>
                <w:numId w:val="216"/>
              </w:numPr>
              <w:spacing w:after="0" w:line="240" w:lineRule="auto"/>
              <w:rPr>
                <w:rFonts w:ascii="Arial" w:hAnsi="Arial" w:cs="Arial"/>
                <w:sz w:val="16"/>
                <w:szCs w:val="16"/>
              </w:rPr>
            </w:pPr>
            <w:r w:rsidRPr="00BA5F50">
              <w:rPr>
                <w:rFonts w:ascii="Arial" w:hAnsi="Arial" w:cs="Arial"/>
                <w:sz w:val="16"/>
                <w:szCs w:val="16"/>
              </w:rPr>
              <w:t>Experience</w:t>
            </w:r>
          </w:p>
        </w:tc>
      </w:tr>
      <w:bookmarkEnd w:id="1421"/>
    </w:tbl>
    <w:p w14:paraId="0C8886CC" w14:textId="77777777" w:rsidR="00CD6352" w:rsidRPr="00ED3807" w:rsidRDefault="00CD6352" w:rsidP="00CD6352">
      <w:pPr>
        <w:spacing w:line="360" w:lineRule="auto"/>
        <w:rPr>
          <w:rFonts w:ascii="Arial" w:hAnsi="Arial" w:cs="Arial"/>
        </w:rPr>
      </w:pPr>
    </w:p>
    <w:p w14:paraId="173A6832" w14:textId="2DF35F4E" w:rsidR="00CD6352" w:rsidRDefault="00CD6352" w:rsidP="00CD6352">
      <w:pPr>
        <w:rPr>
          <w:rFonts w:ascii="Arial" w:hAnsi="Arial" w:cs="Arial"/>
        </w:rPr>
      </w:pPr>
    </w:p>
    <w:p w14:paraId="6C9BFBF0" w14:textId="77777777" w:rsidR="0068317B" w:rsidRPr="00EA7665" w:rsidRDefault="0068317B" w:rsidP="00CD6352">
      <w:pPr>
        <w:rPr>
          <w:rFonts w:ascii="Arial" w:hAnsi="Arial" w:cs="Arial"/>
        </w:rPr>
      </w:pPr>
    </w:p>
    <w:p w14:paraId="36BBF8E4" w14:textId="25A6D7CB" w:rsidR="00CD6352" w:rsidRPr="000B2CC7" w:rsidRDefault="00CD6352" w:rsidP="00CD6352">
      <w:pPr>
        <w:pStyle w:val="Heading2"/>
        <w:rPr>
          <w:sz w:val="22"/>
          <w:szCs w:val="22"/>
        </w:rPr>
      </w:pPr>
      <w:bookmarkStart w:id="1422" w:name="_Toc78983933"/>
      <w:bookmarkStart w:id="1423" w:name="_Hlk64139415"/>
      <w:r w:rsidRPr="000B2CC7">
        <w:rPr>
          <w:sz w:val="22"/>
          <w:szCs w:val="22"/>
        </w:rPr>
        <w:lastRenderedPageBreak/>
        <w:t xml:space="preserve">Summary </w:t>
      </w:r>
      <w:r w:rsidR="00426CEB" w:rsidRPr="000B2CC7">
        <w:rPr>
          <w:sz w:val="22"/>
          <w:szCs w:val="22"/>
        </w:rPr>
        <w:t xml:space="preserve">of </w:t>
      </w:r>
      <w:r w:rsidR="00426CEB">
        <w:rPr>
          <w:sz w:val="22"/>
          <w:szCs w:val="22"/>
        </w:rPr>
        <w:t xml:space="preserve">management </w:t>
      </w:r>
      <w:r w:rsidR="00426CEB" w:rsidRPr="000B2CC7">
        <w:rPr>
          <w:sz w:val="22"/>
          <w:szCs w:val="22"/>
        </w:rPr>
        <w:t>career</w:t>
      </w:r>
      <w:r w:rsidRPr="000B2CC7">
        <w:rPr>
          <w:sz w:val="22"/>
          <w:szCs w:val="22"/>
        </w:rPr>
        <w:t xml:space="preserve"> path</w:t>
      </w:r>
      <w:r w:rsidR="008E0F1B">
        <w:rPr>
          <w:sz w:val="22"/>
          <w:szCs w:val="22"/>
        </w:rPr>
        <w:t>,</w:t>
      </w:r>
      <w:r w:rsidRPr="000B2CC7">
        <w:rPr>
          <w:sz w:val="22"/>
          <w:szCs w:val="22"/>
        </w:rPr>
        <w:t xml:space="preserve"> education and training for securing finance for real estate project development</w:t>
      </w:r>
      <w:r w:rsidR="002A5DB8">
        <w:rPr>
          <w:sz w:val="22"/>
          <w:szCs w:val="22"/>
        </w:rPr>
        <w:t xml:space="preserve"> in developed and emerging </w:t>
      </w:r>
      <w:r w:rsidR="007A5042">
        <w:rPr>
          <w:sz w:val="22"/>
          <w:szCs w:val="22"/>
        </w:rPr>
        <w:t>economies.</w:t>
      </w:r>
      <w:bookmarkEnd w:id="1422"/>
    </w:p>
    <w:p w14:paraId="64481B8B" w14:textId="77777777" w:rsidR="00CD6352" w:rsidRDefault="00CD6352" w:rsidP="00CD6352">
      <w:pPr>
        <w:tabs>
          <w:tab w:val="left" w:pos="1208"/>
        </w:tabs>
      </w:pPr>
      <w:r>
        <w:tab/>
      </w:r>
    </w:p>
    <w:p w14:paraId="71F6846F" w14:textId="48D9B1E3" w:rsidR="00CD6352" w:rsidRPr="00EA7665" w:rsidRDefault="00CD6352" w:rsidP="00426CEB">
      <w:pPr>
        <w:spacing w:line="360" w:lineRule="auto"/>
        <w:rPr>
          <w:rFonts w:ascii="Arial" w:hAnsi="Arial" w:cs="Arial"/>
        </w:rPr>
      </w:pPr>
      <w:bookmarkStart w:id="1424" w:name="_Toc42168034"/>
      <w:r w:rsidRPr="00E26C7B">
        <w:rPr>
          <w:rFonts w:ascii="Arial" w:hAnsi="Arial" w:cs="Arial"/>
        </w:rPr>
        <w:t xml:space="preserve">This </w:t>
      </w:r>
      <w:r>
        <w:rPr>
          <w:rFonts w:ascii="Arial" w:hAnsi="Arial" w:cs="Arial"/>
        </w:rPr>
        <w:t xml:space="preserve">chapter examined the management career path, </w:t>
      </w:r>
      <w:r w:rsidR="00D47B3C">
        <w:rPr>
          <w:rFonts w:ascii="Arial" w:hAnsi="Arial" w:cs="Arial"/>
        </w:rPr>
        <w:t>education,</w:t>
      </w:r>
      <w:r>
        <w:rPr>
          <w:rFonts w:ascii="Arial" w:hAnsi="Arial" w:cs="Arial"/>
        </w:rPr>
        <w:t xml:space="preserve"> and training for securing finance for real estate project development in the developed and emerging economies. </w:t>
      </w:r>
      <w:bookmarkEnd w:id="1424"/>
    </w:p>
    <w:bookmarkEnd w:id="1423"/>
    <w:p w14:paraId="4CB11BBB" w14:textId="02F61D3D" w:rsidR="00CD6352" w:rsidRPr="00EA7665" w:rsidRDefault="00892064" w:rsidP="00CD6352">
      <w:pPr>
        <w:spacing w:line="360" w:lineRule="auto"/>
        <w:jc w:val="both"/>
        <w:rPr>
          <w:rFonts w:ascii="Arial" w:hAnsi="Arial" w:cs="Arial"/>
        </w:rPr>
      </w:pPr>
      <w:r>
        <w:rPr>
          <w:rFonts w:ascii="Arial" w:eastAsia="Calibri" w:hAnsi="Arial" w:cs="Arial"/>
        </w:rPr>
        <w:t>Despite having worked in the real estate sector for several years, most of the interviewees and respondents to the questionnaires</w:t>
      </w:r>
      <w:r w:rsidR="00CD6352" w:rsidRPr="00EA7665">
        <w:rPr>
          <w:rFonts w:ascii="Arial" w:eastAsia="Calibri" w:hAnsi="Arial" w:cs="Arial"/>
        </w:rPr>
        <w:t xml:space="preserve"> did not rise to the top in just one organisation. There were cross-organization</w:t>
      </w:r>
      <w:r>
        <w:rPr>
          <w:rFonts w:ascii="Arial" w:eastAsia="Calibri" w:hAnsi="Arial" w:cs="Arial"/>
        </w:rPr>
        <w:t>,</w:t>
      </w:r>
      <w:r w:rsidR="00CD6352" w:rsidRPr="00EA7665">
        <w:rPr>
          <w:rFonts w:ascii="Arial" w:eastAsia="Calibri" w:hAnsi="Arial" w:cs="Arial"/>
        </w:rPr>
        <w:t xml:space="preserve"> and cross-industry ris</w:t>
      </w:r>
      <w:r w:rsidR="00CD6352">
        <w:rPr>
          <w:rFonts w:ascii="Arial" w:eastAsia="Calibri" w:hAnsi="Arial" w:cs="Arial"/>
        </w:rPr>
        <w:t xml:space="preserve">es </w:t>
      </w:r>
      <w:r w:rsidR="00CD6352" w:rsidRPr="00EA7665">
        <w:rPr>
          <w:rFonts w:ascii="Arial" w:eastAsia="Calibri" w:hAnsi="Arial" w:cs="Arial"/>
        </w:rPr>
        <w:t xml:space="preserve">to the </w:t>
      </w:r>
      <w:r w:rsidR="00CD6352">
        <w:rPr>
          <w:rFonts w:ascii="Arial" w:eastAsia="Calibri" w:hAnsi="Arial" w:cs="Arial"/>
        </w:rPr>
        <w:t>top</w:t>
      </w:r>
      <w:r w:rsidR="00CD6352" w:rsidRPr="00EA7665">
        <w:rPr>
          <w:rFonts w:ascii="Arial" w:eastAsia="Calibri" w:hAnsi="Arial" w:cs="Arial"/>
        </w:rPr>
        <w:t xml:space="preserve"> in their careers. This is indicative of the influence of higher education and training on </w:t>
      </w:r>
      <w:r w:rsidR="00CD6352">
        <w:rPr>
          <w:rFonts w:ascii="Arial" w:eastAsia="Calibri" w:hAnsi="Arial" w:cs="Arial"/>
        </w:rPr>
        <w:t xml:space="preserve">career </w:t>
      </w:r>
      <w:r w:rsidR="00CD6352" w:rsidRPr="00EA7665">
        <w:rPr>
          <w:rFonts w:ascii="Arial" w:eastAsia="Calibri" w:hAnsi="Arial" w:cs="Arial"/>
        </w:rPr>
        <w:t>mobility.</w:t>
      </w:r>
      <w:r w:rsidR="00CD6352">
        <w:rPr>
          <w:rFonts w:ascii="Arial" w:eastAsia="Calibri" w:hAnsi="Arial" w:cs="Arial"/>
        </w:rPr>
        <w:t xml:space="preserve"> </w:t>
      </w:r>
      <w:r w:rsidR="00CD6352" w:rsidRPr="00EA7665">
        <w:rPr>
          <w:rFonts w:ascii="Arial" w:eastAsia="Calibri" w:hAnsi="Arial" w:cs="Arial"/>
        </w:rPr>
        <w:t xml:space="preserve">Furthermore, the multiple country work experiences of managers in the developed economy show the effect of </w:t>
      </w:r>
      <w:r w:rsidR="00CD6352">
        <w:rPr>
          <w:rFonts w:ascii="Arial" w:eastAsia="Calibri" w:hAnsi="Arial" w:cs="Arial"/>
        </w:rPr>
        <w:t>s</w:t>
      </w:r>
      <w:r w:rsidR="00CD6352" w:rsidRPr="00EA7665">
        <w:rPr>
          <w:rFonts w:ascii="Arial" w:eastAsia="Calibri" w:hAnsi="Arial" w:cs="Arial"/>
        </w:rPr>
        <w:t xml:space="preserve">ocio-economic stability on career mobility. </w:t>
      </w:r>
      <w:r w:rsidR="00CD6352" w:rsidRPr="00EA7665">
        <w:rPr>
          <w:rFonts w:ascii="Arial" w:hAnsi="Arial" w:cs="Arial"/>
        </w:rPr>
        <w:t xml:space="preserve">The managers interviewed in </w:t>
      </w:r>
      <w:r>
        <w:rPr>
          <w:rFonts w:ascii="Arial" w:hAnsi="Arial" w:cs="Arial"/>
        </w:rPr>
        <w:t>developed economies are mostly strategic managers involved in</w:t>
      </w:r>
      <w:r w:rsidR="00CD6352" w:rsidRPr="00EA7665">
        <w:rPr>
          <w:rFonts w:ascii="Arial" w:hAnsi="Arial" w:cs="Arial"/>
        </w:rPr>
        <w:t xml:space="preserve"> commercial and residential real estate development. They </w:t>
      </w:r>
      <w:r w:rsidR="00386BFC" w:rsidRPr="00EA7665">
        <w:rPr>
          <w:rFonts w:ascii="Arial" w:hAnsi="Arial" w:cs="Arial"/>
        </w:rPr>
        <w:t xml:space="preserve">have </w:t>
      </w:r>
      <w:r w:rsidR="00386BFC">
        <w:rPr>
          <w:rFonts w:ascii="Arial" w:hAnsi="Arial" w:cs="Arial"/>
        </w:rPr>
        <w:t>an</w:t>
      </w:r>
      <w:r w:rsidR="00CD6352" w:rsidRPr="00EA7665">
        <w:rPr>
          <w:rFonts w:ascii="Arial" w:hAnsi="Arial" w:cs="Arial"/>
        </w:rPr>
        <w:t xml:space="preserve"> average </w:t>
      </w:r>
      <w:r w:rsidR="006D4931">
        <w:rPr>
          <w:rFonts w:ascii="Arial" w:hAnsi="Arial" w:cs="Arial"/>
        </w:rPr>
        <w:t xml:space="preserve">of </w:t>
      </w:r>
      <w:r w:rsidR="00CD6352">
        <w:rPr>
          <w:rFonts w:ascii="Arial" w:hAnsi="Arial" w:cs="Arial"/>
        </w:rPr>
        <w:t xml:space="preserve">17 years </w:t>
      </w:r>
      <w:r w:rsidR="005A585B">
        <w:rPr>
          <w:rFonts w:ascii="Arial" w:hAnsi="Arial" w:cs="Arial"/>
        </w:rPr>
        <w:t xml:space="preserve">of </w:t>
      </w:r>
      <w:r w:rsidR="00CD6352" w:rsidRPr="00EA7665">
        <w:rPr>
          <w:rFonts w:ascii="Arial" w:hAnsi="Arial" w:cs="Arial"/>
        </w:rPr>
        <w:t>real estate work experience</w:t>
      </w:r>
      <w:r w:rsidR="00CD6352">
        <w:rPr>
          <w:rFonts w:ascii="Arial" w:hAnsi="Arial" w:cs="Arial"/>
        </w:rPr>
        <w:t xml:space="preserve">, </w:t>
      </w:r>
      <w:r w:rsidR="00CD6352" w:rsidRPr="00EA7665">
        <w:rPr>
          <w:rFonts w:ascii="Arial" w:hAnsi="Arial" w:cs="Arial"/>
        </w:rPr>
        <w:t xml:space="preserve">with the highest </w:t>
      </w:r>
      <w:r w:rsidR="00CD6352">
        <w:rPr>
          <w:rFonts w:ascii="Arial" w:hAnsi="Arial" w:cs="Arial"/>
        </w:rPr>
        <w:t xml:space="preserve">amount of experience standing at </w:t>
      </w:r>
      <w:r w:rsidR="00CD6352" w:rsidRPr="00EA7665">
        <w:rPr>
          <w:rFonts w:ascii="Arial" w:hAnsi="Arial" w:cs="Arial"/>
        </w:rPr>
        <w:t xml:space="preserve"> 30</w:t>
      </w:r>
      <w:r w:rsidR="00CD6352">
        <w:rPr>
          <w:rFonts w:ascii="Arial" w:hAnsi="Arial" w:cs="Arial"/>
        </w:rPr>
        <w:t xml:space="preserve"> </w:t>
      </w:r>
      <w:r w:rsidR="00CD6352" w:rsidRPr="00EA7665">
        <w:rPr>
          <w:rFonts w:ascii="Arial" w:hAnsi="Arial" w:cs="Arial"/>
        </w:rPr>
        <w:t xml:space="preserve">years and </w:t>
      </w:r>
      <w:r w:rsidR="00CD6352">
        <w:rPr>
          <w:rFonts w:ascii="Arial" w:hAnsi="Arial" w:cs="Arial"/>
        </w:rPr>
        <w:t xml:space="preserve">the </w:t>
      </w:r>
      <w:r w:rsidR="00CD6352" w:rsidRPr="00EA7665">
        <w:rPr>
          <w:rFonts w:ascii="Arial" w:hAnsi="Arial" w:cs="Arial"/>
        </w:rPr>
        <w:t xml:space="preserve">lowest </w:t>
      </w:r>
      <w:r w:rsidR="00CD6352">
        <w:rPr>
          <w:rFonts w:ascii="Arial" w:hAnsi="Arial" w:cs="Arial"/>
        </w:rPr>
        <w:t>at 4</w:t>
      </w:r>
      <w:r w:rsidR="00CD6352" w:rsidRPr="00EA7665">
        <w:rPr>
          <w:rFonts w:ascii="Arial" w:hAnsi="Arial" w:cs="Arial"/>
        </w:rPr>
        <w:t xml:space="preserve"> years. </w:t>
      </w:r>
      <w:r>
        <w:rPr>
          <w:rFonts w:ascii="Arial" w:hAnsi="Arial" w:cs="Arial"/>
        </w:rPr>
        <w:t>Most of the managers in the developed economies' chronological work experience</w:t>
      </w:r>
      <w:r w:rsidR="00CD6352" w:rsidRPr="00EA7665">
        <w:rPr>
          <w:rFonts w:ascii="Arial" w:hAnsi="Arial" w:cs="Arial"/>
        </w:rPr>
        <w:t xml:space="preserve"> show a strong finance background as most of them have worked in banks, insurance companies, and pension funds before moving into the real estate sector. Their specialisati</w:t>
      </w:r>
      <w:r w:rsidR="00CD6352">
        <w:rPr>
          <w:rFonts w:ascii="Arial" w:hAnsi="Arial" w:cs="Arial"/>
        </w:rPr>
        <w:t>ons</w:t>
      </w:r>
      <w:r w:rsidR="00CD6352" w:rsidRPr="00EA7665">
        <w:rPr>
          <w:rFonts w:ascii="Arial" w:hAnsi="Arial" w:cs="Arial"/>
        </w:rPr>
        <w:t xml:space="preserve"> </w:t>
      </w:r>
      <w:r w:rsidR="00CD6352">
        <w:rPr>
          <w:rFonts w:ascii="Arial" w:hAnsi="Arial" w:cs="Arial"/>
        </w:rPr>
        <w:t>range</w:t>
      </w:r>
      <w:r w:rsidR="00CD6352" w:rsidRPr="00EA7665">
        <w:rPr>
          <w:rFonts w:ascii="Arial" w:hAnsi="Arial" w:cs="Arial"/>
        </w:rPr>
        <w:t xml:space="preserve"> from real estate industry analyst and real estate to pension fund management. Most of the managers interviewed in Germany, the United Kingdom, and China have strong finance backgrounds as they have worked </w:t>
      </w:r>
      <w:r w:rsidR="00CD6352">
        <w:rPr>
          <w:rFonts w:ascii="Arial" w:hAnsi="Arial" w:cs="Arial"/>
        </w:rPr>
        <w:t>at</w:t>
      </w:r>
      <w:r w:rsidR="00CD6352" w:rsidRPr="00EA7665">
        <w:rPr>
          <w:rFonts w:ascii="Arial" w:hAnsi="Arial" w:cs="Arial"/>
        </w:rPr>
        <w:t xml:space="preserve"> managerial levels </w:t>
      </w:r>
      <w:r w:rsidR="00EB49BB" w:rsidRPr="00EA7665">
        <w:rPr>
          <w:rFonts w:ascii="Arial" w:hAnsi="Arial" w:cs="Arial"/>
        </w:rPr>
        <w:t>in finance</w:t>
      </w:r>
      <w:r w:rsidR="00CD6352" w:rsidRPr="00EA7665">
        <w:rPr>
          <w:rFonts w:ascii="Arial" w:hAnsi="Arial" w:cs="Arial"/>
        </w:rPr>
        <w:t xml:space="preserve"> sectors before taking on real estate and properties. Furthermore, most of the managers interviewed in Germany, the United Kingdom, the United States of </w:t>
      </w:r>
      <w:r w:rsidR="00EB49BB" w:rsidRPr="00EA7665">
        <w:rPr>
          <w:rFonts w:ascii="Arial" w:hAnsi="Arial" w:cs="Arial"/>
        </w:rPr>
        <w:t>America,</w:t>
      </w:r>
      <w:r w:rsidR="00CD6352" w:rsidRPr="00EA7665">
        <w:rPr>
          <w:rFonts w:ascii="Arial" w:hAnsi="Arial" w:cs="Arial"/>
        </w:rPr>
        <w:t xml:space="preserve"> and China have international real estate experienc</w:t>
      </w:r>
      <w:r w:rsidR="00CD6352">
        <w:rPr>
          <w:rFonts w:ascii="Arial" w:hAnsi="Arial" w:cs="Arial"/>
        </w:rPr>
        <w:t>e</w:t>
      </w:r>
      <w:r w:rsidR="00CD6352" w:rsidRPr="00EA7665">
        <w:rPr>
          <w:rFonts w:ascii="Arial" w:hAnsi="Arial" w:cs="Arial"/>
        </w:rPr>
        <w:t xml:space="preserve"> as they have worked in other countries</w:t>
      </w:r>
      <w:r w:rsidR="009C0B88">
        <w:rPr>
          <w:rFonts w:ascii="Arial" w:hAnsi="Arial" w:cs="Arial"/>
        </w:rPr>
        <w:t>,</w:t>
      </w:r>
      <w:r w:rsidR="00CD6352" w:rsidRPr="00EA7665">
        <w:rPr>
          <w:rFonts w:ascii="Arial" w:hAnsi="Arial" w:cs="Arial"/>
        </w:rPr>
        <w:t xml:space="preserve"> and some have subsidiaries of the companies they are actively involved </w:t>
      </w:r>
      <w:r w:rsidR="009C0B88">
        <w:rPr>
          <w:rFonts w:ascii="Arial" w:hAnsi="Arial" w:cs="Arial"/>
        </w:rPr>
        <w:t xml:space="preserve">in </w:t>
      </w:r>
      <w:r w:rsidR="00CD6352" w:rsidRPr="00EA7665">
        <w:rPr>
          <w:rFonts w:ascii="Arial" w:hAnsi="Arial" w:cs="Arial"/>
        </w:rPr>
        <w:t>different countries and continents.</w:t>
      </w:r>
    </w:p>
    <w:p w14:paraId="4181A34F" w14:textId="24920CF0" w:rsidR="00CD6352" w:rsidRPr="00EA7665" w:rsidRDefault="00CD6352" w:rsidP="00CD6352">
      <w:pPr>
        <w:spacing w:line="360" w:lineRule="auto"/>
        <w:jc w:val="both"/>
        <w:rPr>
          <w:rFonts w:ascii="Arial" w:hAnsi="Arial" w:cs="Arial"/>
        </w:rPr>
      </w:pPr>
      <w:r w:rsidRPr="00EA7665">
        <w:rPr>
          <w:rFonts w:ascii="Arial" w:hAnsi="Arial" w:cs="Arial"/>
        </w:rPr>
        <w:t>The managers interviewed f</w:t>
      </w:r>
      <w:r w:rsidR="00581217">
        <w:rPr>
          <w:rFonts w:ascii="Arial" w:hAnsi="Arial" w:cs="Arial"/>
        </w:rPr>
        <w:t>rom</w:t>
      </w:r>
      <w:r w:rsidRPr="00EA7665">
        <w:rPr>
          <w:rFonts w:ascii="Arial" w:hAnsi="Arial" w:cs="Arial"/>
        </w:rPr>
        <w:t xml:space="preserve"> the emerging economies were mostly strategic managers with a few middle level and lower-level managers. The average years of work experience for these managers </w:t>
      </w:r>
      <w:r>
        <w:rPr>
          <w:rFonts w:ascii="Arial" w:hAnsi="Arial" w:cs="Arial"/>
        </w:rPr>
        <w:t>was</w:t>
      </w:r>
      <w:r w:rsidRPr="00EA7665">
        <w:rPr>
          <w:rFonts w:ascii="Arial" w:hAnsi="Arial" w:cs="Arial"/>
        </w:rPr>
        <w:t>16 years</w:t>
      </w:r>
      <w:r w:rsidR="009C0B88">
        <w:rPr>
          <w:rFonts w:ascii="Arial" w:hAnsi="Arial" w:cs="Arial"/>
        </w:rPr>
        <w:t>,</w:t>
      </w:r>
      <w:r w:rsidRPr="00EA7665">
        <w:rPr>
          <w:rFonts w:ascii="Arial" w:hAnsi="Arial" w:cs="Arial"/>
        </w:rPr>
        <w:t xml:space="preserve"> with the lowest </w:t>
      </w:r>
      <w:r>
        <w:rPr>
          <w:rFonts w:ascii="Arial" w:hAnsi="Arial" w:cs="Arial"/>
        </w:rPr>
        <w:t>being 6</w:t>
      </w:r>
      <w:r w:rsidRPr="00EA7665">
        <w:rPr>
          <w:rFonts w:ascii="Arial" w:hAnsi="Arial" w:cs="Arial"/>
        </w:rPr>
        <w:t xml:space="preserve"> years and the highest 30 years. </w:t>
      </w:r>
      <w:r>
        <w:rPr>
          <w:rFonts w:ascii="Arial" w:hAnsi="Arial" w:cs="Arial"/>
        </w:rPr>
        <w:t xml:space="preserve">Most of the managers interviewed operated in </w:t>
      </w:r>
      <w:r w:rsidRPr="00EA7665">
        <w:rPr>
          <w:rFonts w:ascii="Arial" w:hAnsi="Arial" w:cs="Arial"/>
        </w:rPr>
        <w:t xml:space="preserve">commercial and residential </w:t>
      </w:r>
      <w:r>
        <w:rPr>
          <w:rFonts w:ascii="Arial" w:hAnsi="Arial" w:cs="Arial"/>
        </w:rPr>
        <w:t>real estate sectors, however</w:t>
      </w:r>
      <w:r w:rsidR="00F91DD5">
        <w:rPr>
          <w:rFonts w:ascii="Arial" w:hAnsi="Arial" w:cs="Arial"/>
        </w:rPr>
        <w:t>,</w:t>
      </w:r>
      <w:r>
        <w:rPr>
          <w:rFonts w:ascii="Arial" w:hAnsi="Arial" w:cs="Arial"/>
        </w:rPr>
        <w:t xml:space="preserve"> </w:t>
      </w:r>
      <w:r w:rsidRPr="00EA7665">
        <w:rPr>
          <w:rFonts w:ascii="Arial" w:hAnsi="Arial" w:cs="Arial"/>
        </w:rPr>
        <w:t>for most of the managers interviewed in China</w:t>
      </w:r>
      <w:r w:rsidR="009C0B88">
        <w:rPr>
          <w:rFonts w:ascii="Arial" w:hAnsi="Arial" w:cs="Arial"/>
        </w:rPr>
        <w:t>,</w:t>
      </w:r>
      <w:r>
        <w:rPr>
          <w:rFonts w:ascii="Arial" w:hAnsi="Arial" w:cs="Arial"/>
        </w:rPr>
        <w:t xml:space="preserve"> the area of operation was residential</w:t>
      </w:r>
      <w:r w:rsidRPr="00EA7665">
        <w:rPr>
          <w:rFonts w:ascii="Arial" w:hAnsi="Arial" w:cs="Arial"/>
        </w:rPr>
        <w:t xml:space="preserve">. While South Africa </w:t>
      </w:r>
      <w:r>
        <w:rPr>
          <w:rFonts w:ascii="Arial" w:hAnsi="Arial" w:cs="Arial"/>
        </w:rPr>
        <w:t>had</w:t>
      </w:r>
      <w:r w:rsidRPr="00EA7665">
        <w:rPr>
          <w:rFonts w:ascii="Arial" w:hAnsi="Arial" w:cs="Arial"/>
        </w:rPr>
        <w:t xml:space="preserve"> a few combinations of commercial and residential</w:t>
      </w:r>
      <w:r>
        <w:rPr>
          <w:rFonts w:ascii="Arial" w:hAnsi="Arial" w:cs="Arial"/>
        </w:rPr>
        <w:t xml:space="preserve"> operations, </w:t>
      </w:r>
      <w:r w:rsidRPr="00EA7665">
        <w:rPr>
          <w:rFonts w:ascii="Arial" w:hAnsi="Arial" w:cs="Arial"/>
        </w:rPr>
        <w:t xml:space="preserve">the majority </w:t>
      </w:r>
      <w:r>
        <w:rPr>
          <w:rFonts w:ascii="Arial" w:hAnsi="Arial" w:cs="Arial"/>
        </w:rPr>
        <w:t>were</w:t>
      </w:r>
      <w:r w:rsidRPr="00EA7665">
        <w:rPr>
          <w:rFonts w:ascii="Arial" w:hAnsi="Arial" w:cs="Arial"/>
        </w:rPr>
        <w:t xml:space="preserve"> residential, all the managers interviewed in Nigeria </w:t>
      </w:r>
      <w:r>
        <w:rPr>
          <w:rFonts w:ascii="Arial" w:hAnsi="Arial" w:cs="Arial"/>
        </w:rPr>
        <w:t>were</w:t>
      </w:r>
      <w:r w:rsidRPr="00EA7665">
        <w:rPr>
          <w:rFonts w:ascii="Arial" w:hAnsi="Arial" w:cs="Arial"/>
        </w:rPr>
        <w:t xml:space="preserve"> involved in residential real estate development.</w:t>
      </w:r>
    </w:p>
    <w:p w14:paraId="2562E764" w14:textId="6EEBC357" w:rsidR="00CD6352" w:rsidRPr="00EA7665" w:rsidRDefault="00CD6352" w:rsidP="00CD6352">
      <w:pPr>
        <w:spacing w:line="360" w:lineRule="auto"/>
        <w:jc w:val="both"/>
        <w:rPr>
          <w:rFonts w:ascii="Arial" w:hAnsi="Arial" w:cs="Arial"/>
        </w:rPr>
      </w:pPr>
      <w:r w:rsidRPr="00EA7665">
        <w:rPr>
          <w:rFonts w:ascii="Arial" w:hAnsi="Arial" w:cs="Arial"/>
        </w:rPr>
        <w:t>The managers interviewed in China have lots of international experienc</w:t>
      </w:r>
      <w:r>
        <w:rPr>
          <w:rFonts w:ascii="Arial" w:hAnsi="Arial" w:cs="Arial"/>
        </w:rPr>
        <w:t>e</w:t>
      </w:r>
      <w:r w:rsidRPr="00EA7665">
        <w:rPr>
          <w:rFonts w:ascii="Arial" w:hAnsi="Arial" w:cs="Arial"/>
        </w:rPr>
        <w:t xml:space="preserve">, just like the </w:t>
      </w:r>
      <w:r w:rsidR="00892064">
        <w:rPr>
          <w:rFonts w:ascii="Arial" w:hAnsi="Arial" w:cs="Arial"/>
        </w:rPr>
        <w:t>developed economies' manager</w:t>
      </w:r>
      <w:r w:rsidRPr="00EA7665">
        <w:rPr>
          <w:rFonts w:ascii="Arial" w:hAnsi="Arial" w:cs="Arial"/>
        </w:rPr>
        <w:t>s. However,  the managers interviewed in South Africa and Nigeria have been involved in mostly regional country</w:t>
      </w:r>
      <w:r w:rsidR="006D4931">
        <w:rPr>
          <w:rFonts w:ascii="Arial" w:hAnsi="Arial" w:cs="Arial"/>
        </w:rPr>
        <w:t>-</w:t>
      </w:r>
      <w:r w:rsidRPr="00EA7665">
        <w:rPr>
          <w:rFonts w:ascii="Arial" w:hAnsi="Arial" w:cs="Arial"/>
        </w:rPr>
        <w:t>based operatio</w:t>
      </w:r>
      <w:r>
        <w:rPr>
          <w:rFonts w:ascii="Arial" w:hAnsi="Arial" w:cs="Arial"/>
        </w:rPr>
        <w:t>ns</w:t>
      </w:r>
      <w:r w:rsidRPr="00EA7665">
        <w:rPr>
          <w:rFonts w:ascii="Arial" w:hAnsi="Arial" w:cs="Arial"/>
        </w:rPr>
        <w:t xml:space="preserve"> </w:t>
      </w:r>
      <w:r>
        <w:rPr>
          <w:rFonts w:ascii="Arial" w:hAnsi="Arial" w:cs="Arial"/>
        </w:rPr>
        <w:t>with</w:t>
      </w:r>
      <w:r w:rsidRPr="00EA7665">
        <w:rPr>
          <w:rFonts w:ascii="Arial" w:hAnsi="Arial" w:cs="Arial"/>
        </w:rPr>
        <w:t xml:space="preserve"> no international </w:t>
      </w:r>
      <w:r w:rsidRPr="00EA7665">
        <w:rPr>
          <w:rFonts w:ascii="Arial" w:hAnsi="Arial" w:cs="Arial"/>
        </w:rPr>
        <w:lastRenderedPageBreak/>
        <w:t xml:space="preserve">real estate business operation apart from one Nigerian manager who has marginal operations in Dubai. The professional background of the managers interviewed in China reflects a good composition of finance, property investment, and management. The professional background of managers interviewed in South Africa indicates project finance, risks management and property development. However, the professional backgrounds of managers interviewed in Nigeria reflect mostly hard skills such as </w:t>
      </w:r>
      <w:r>
        <w:rPr>
          <w:rFonts w:ascii="Arial" w:hAnsi="Arial" w:cs="Arial"/>
        </w:rPr>
        <w:t>a</w:t>
      </w:r>
      <w:r w:rsidRPr="00EA7665">
        <w:rPr>
          <w:rFonts w:ascii="Arial" w:hAnsi="Arial" w:cs="Arial"/>
        </w:rPr>
        <w:t xml:space="preserve">rchitecture, </w:t>
      </w:r>
      <w:r w:rsidR="007D1C5D" w:rsidRPr="00EA7665">
        <w:rPr>
          <w:rFonts w:ascii="Arial" w:hAnsi="Arial" w:cs="Arial"/>
        </w:rPr>
        <w:t>constru</w:t>
      </w:r>
      <w:r w:rsidR="007D1C5D">
        <w:rPr>
          <w:rFonts w:ascii="Arial" w:hAnsi="Arial" w:cs="Arial"/>
        </w:rPr>
        <w:t>ction,</w:t>
      </w:r>
      <w:r w:rsidRPr="00EA7665">
        <w:rPr>
          <w:rFonts w:ascii="Arial" w:hAnsi="Arial" w:cs="Arial"/>
        </w:rPr>
        <w:t xml:space="preserve"> and real estate development. </w:t>
      </w:r>
    </w:p>
    <w:p w14:paraId="5E53AB10" w14:textId="386DD126" w:rsidR="00CD6352" w:rsidRDefault="00CD6352" w:rsidP="00CD6352">
      <w:pPr>
        <w:spacing w:line="360" w:lineRule="auto"/>
        <w:jc w:val="both"/>
        <w:rPr>
          <w:rFonts w:ascii="Arial" w:hAnsi="Arial" w:cs="Arial"/>
        </w:rPr>
      </w:pPr>
      <w:r w:rsidRPr="00EA7665">
        <w:rPr>
          <w:rFonts w:ascii="Arial" w:hAnsi="Arial" w:cs="Arial"/>
        </w:rPr>
        <w:t>Managers operating in Nigeria, South Africa, and the United States have more country-based experiences</w:t>
      </w:r>
      <w:r>
        <w:rPr>
          <w:rFonts w:ascii="Arial" w:hAnsi="Arial" w:cs="Arial"/>
        </w:rPr>
        <w:t xml:space="preserve">. </w:t>
      </w:r>
      <w:r w:rsidRPr="00EA7665">
        <w:rPr>
          <w:rFonts w:ascii="Arial" w:hAnsi="Arial" w:cs="Arial"/>
        </w:rPr>
        <w:t xml:space="preserve"> </w:t>
      </w:r>
      <w:r>
        <w:rPr>
          <w:rFonts w:ascii="Arial" w:hAnsi="Arial" w:cs="Arial"/>
        </w:rPr>
        <w:t>A</w:t>
      </w:r>
      <w:r w:rsidRPr="00EA7665">
        <w:rPr>
          <w:rFonts w:ascii="Arial" w:hAnsi="Arial" w:cs="Arial"/>
        </w:rPr>
        <w:t xml:space="preserve"> few managers in the United States of America </w:t>
      </w:r>
      <w:r>
        <w:rPr>
          <w:rFonts w:ascii="Arial" w:hAnsi="Arial" w:cs="Arial"/>
        </w:rPr>
        <w:t xml:space="preserve">have </w:t>
      </w:r>
      <w:r w:rsidRPr="00EA7665">
        <w:rPr>
          <w:rFonts w:ascii="Arial" w:hAnsi="Arial" w:cs="Arial"/>
        </w:rPr>
        <w:t>experienc</w:t>
      </w:r>
      <w:r>
        <w:rPr>
          <w:rFonts w:ascii="Arial" w:hAnsi="Arial" w:cs="Arial"/>
        </w:rPr>
        <w:t>e</w:t>
      </w:r>
      <w:r w:rsidRPr="00EA7665">
        <w:rPr>
          <w:rFonts w:ascii="Arial" w:hAnsi="Arial" w:cs="Arial"/>
        </w:rPr>
        <w:t xml:space="preserve"> operating in other countries. Notably</w:t>
      </w:r>
      <w:r w:rsidR="006D4931">
        <w:rPr>
          <w:rFonts w:ascii="Arial" w:hAnsi="Arial" w:cs="Arial"/>
        </w:rPr>
        <w:t>,</w:t>
      </w:r>
      <w:r w:rsidRPr="00EA7665">
        <w:rPr>
          <w:rFonts w:ascii="Arial" w:hAnsi="Arial" w:cs="Arial"/>
        </w:rPr>
        <w:t xml:space="preserve"> the US is already a very large market; hence some operators do not need to extend to other countries.</w:t>
      </w:r>
      <w:r>
        <w:rPr>
          <w:rFonts w:ascii="Arial" w:hAnsi="Arial" w:cs="Arial"/>
        </w:rPr>
        <w:t xml:space="preserve"> This study developed a conceptual framework for </w:t>
      </w:r>
      <w:r w:rsidR="00190255">
        <w:rPr>
          <w:rFonts w:ascii="Arial" w:hAnsi="Arial" w:cs="Arial"/>
        </w:rPr>
        <w:t xml:space="preserve">a </w:t>
      </w:r>
      <w:r>
        <w:rPr>
          <w:rFonts w:ascii="Arial" w:hAnsi="Arial" w:cs="Arial"/>
        </w:rPr>
        <w:t>career path for securing finance for real estate project development and this also forms part of the toolkit for securing finance for real estate project development</w:t>
      </w:r>
      <w:r w:rsidR="007D1C5D">
        <w:rPr>
          <w:rFonts w:ascii="Arial" w:hAnsi="Arial" w:cs="Arial"/>
        </w:rPr>
        <w:t xml:space="preserve"> in chapter 10.</w:t>
      </w:r>
    </w:p>
    <w:p w14:paraId="1E24F0E4" w14:textId="299DAAAF" w:rsidR="00CD6352" w:rsidRDefault="00CD6352" w:rsidP="00CD6352">
      <w:pPr>
        <w:spacing w:line="360" w:lineRule="auto"/>
        <w:jc w:val="both"/>
        <w:rPr>
          <w:rFonts w:ascii="Arial" w:eastAsia="Calibri" w:hAnsi="Arial" w:cs="Arial"/>
        </w:rPr>
      </w:pPr>
      <w:r w:rsidRPr="00EA7665">
        <w:rPr>
          <w:rFonts w:ascii="Arial" w:eastAsia="Calibri" w:hAnsi="Arial" w:cs="Arial"/>
        </w:rPr>
        <w:t>A distinct commonality in both the developed and the emerging economies shows that they both have similar levels of education and similar platforms for training and education. The levels of education in this regard include first degrees, higher degrees such as MSc, MA, MBA, and PhDs</w:t>
      </w:r>
      <w:r w:rsidR="009C0B88">
        <w:rPr>
          <w:rFonts w:ascii="Arial" w:eastAsia="Calibri" w:hAnsi="Arial" w:cs="Arial"/>
        </w:rPr>
        <w:t>, and</w:t>
      </w:r>
      <w:r w:rsidRPr="00EA7665">
        <w:rPr>
          <w:rFonts w:ascii="Arial" w:eastAsia="Calibri" w:hAnsi="Arial" w:cs="Arial"/>
        </w:rPr>
        <w:t xml:space="preserve"> membership of professional institutions both by examination and associations. </w:t>
      </w:r>
      <w:r>
        <w:rPr>
          <w:rFonts w:ascii="Arial" w:eastAsia="Calibri" w:hAnsi="Arial" w:cs="Arial"/>
        </w:rPr>
        <w:t xml:space="preserve">The findings also show that there is no correlation between the levels of management and the qualification obtained in both the developed and emerging economies. </w:t>
      </w:r>
    </w:p>
    <w:p w14:paraId="0A3A2DA1" w14:textId="33AC4F0D" w:rsidR="00CD6352" w:rsidRPr="00EA7665" w:rsidRDefault="00CD6352" w:rsidP="00CD6352">
      <w:pPr>
        <w:spacing w:line="360" w:lineRule="auto"/>
        <w:jc w:val="both"/>
        <w:rPr>
          <w:rFonts w:ascii="Arial" w:eastAsia="Calibri" w:hAnsi="Arial" w:cs="Arial"/>
        </w:rPr>
      </w:pPr>
      <w:r w:rsidRPr="00EA7665">
        <w:rPr>
          <w:rFonts w:ascii="Arial" w:eastAsia="Calibri" w:hAnsi="Arial" w:cs="Arial"/>
        </w:rPr>
        <w:t xml:space="preserve">The commonality of similar platforms for training and education for both the developed and emerging economies shows that they both use platforms such as classroom instruction led training for short periods (offered by consultants), company-specific courses targeted at securing financing skills &amp; knowledge,  computer-based training, conferences and seminars, continuing professional development, executive MBA with classes on </w:t>
      </w:r>
      <w:r>
        <w:rPr>
          <w:rFonts w:ascii="Arial" w:eastAsia="Calibri" w:hAnsi="Arial" w:cs="Arial"/>
        </w:rPr>
        <w:t xml:space="preserve">a </w:t>
      </w:r>
      <w:r w:rsidRPr="00EA7665">
        <w:rPr>
          <w:rFonts w:ascii="Arial" w:eastAsia="Calibri" w:hAnsi="Arial" w:cs="Arial"/>
        </w:rPr>
        <w:t>part-time basis, external training,  learning by holding meetings with experts, online and tutorial, usage of formal qualification, utilisation of internal programs and instructors.</w:t>
      </w:r>
      <w:r>
        <w:rPr>
          <w:rFonts w:ascii="Arial" w:eastAsia="Calibri" w:hAnsi="Arial" w:cs="Arial"/>
        </w:rPr>
        <w:t xml:space="preserve"> </w:t>
      </w:r>
      <w:r w:rsidRPr="00EA7665">
        <w:rPr>
          <w:rFonts w:ascii="Arial" w:eastAsia="Calibri" w:hAnsi="Arial" w:cs="Arial"/>
        </w:rPr>
        <w:t xml:space="preserve">The findings from the questionnaire survey show that managers in both the developed and emerging economies use the mentioned twelve approaches </w:t>
      </w:r>
      <w:r w:rsidR="008C3EB0">
        <w:rPr>
          <w:rFonts w:ascii="Arial" w:eastAsia="Calibri" w:hAnsi="Arial" w:cs="Arial"/>
        </w:rPr>
        <w:t>for</w:t>
      </w:r>
      <w:r w:rsidRPr="00EA7665">
        <w:rPr>
          <w:rFonts w:ascii="Arial" w:eastAsia="Calibri" w:hAnsi="Arial" w:cs="Arial"/>
        </w:rPr>
        <w:t xml:space="preserve"> training and education for securing finance for real estate project development</w:t>
      </w:r>
      <w:r>
        <w:rPr>
          <w:rFonts w:ascii="Arial" w:eastAsia="Calibri" w:hAnsi="Arial" w:cs="Arial"/>
        </w:rPr>
        <w:t xml:space="preserve">. </w:t>
      </w:r>
      <w:r w:rsidRPr="00EA7665">
        <w:rPr>
          <w:rFonts w:ascii="Arial" w:eastAsia="Calibri" w:hAnsi="Arial" w:cs="Arial"/>
        </w:rPr>
        <w:t>The respons</w:t>
      </w:r>
      <w:r>
        <w:rPr>
          <w:rFonts w:ascii="Arial" w:eastAsia="Calibri" w:hAnsi="Arial" w:cs="Arial"/>
        </w:rPr>
        <w:t>es</w:t>
      </w:r>
      <w:r w:rsidRPr="00EA7665">
        <w:rPr>
          <w:rFonts w:ascii="Arial" w:eastAsia="Calibri" w:hAnsi="Arial" w:cs="Arial"/>
        </w:rPr>
        <w:t xml:space="preserve"> also show the degree of perceived importance of those approaches on their present jobs and the future ( next 5years). There is no clear divide on the approaches for training and education for the developed and emerging economies based on the survey questionnaire. However, continuing professional development and computer-based training ranks top for both the developed and emerging economies.</w:t>
      </w:r>
      <w:r>
        <w:rPr>
          <w:rFonts w:ascii="Arial" w:eastAsia="Calibri" w:hAnsi="Arial" w:cs="Arial"/>
        </w:rPr>
        <w:t xml:space="preserve"> The computation of the spearman rho shows a strong positive correlation between the levels of management and some of the approaches for training and education such as university residential (full</w:t>
      </w:r>
      <w:r w:rsidR="006D4931">
        <w:rPr>
          <w:rFonts w:ascii="Arial" w:eastAsia="Calibri" w:hAnsi="Arial" w:cs="Arial"/>
        </w:rPr>
        <w:t>-</w:t>
      </w:r>
      <w:r>
        <w:rPr>
          <w:rFonts w:ascii="Arial" w:eastAsia="Calibri" w:hAnsi="Arial" w:cs="Arial"/>
        </w:rPr>
        <w:t xml:space="preserve">time program for some weeks), executive MBA( with classes on </w:t>
      </w:r>
      <w:r w:rsidR="007F5705">
        <w:rPr>
          <w:rFonts w:ascii="Arial" w:eastAsia="Calibri" w:hAnsi="Arial" w:cs="Arial"/>
        </w:rPr>
        <w:t xml:space="preserve">a </w:t>
      </w:r>
      <w:r>
        <w:rPr>
          <w:rFonts w:ascii="Arial" w:eastAsia="Calibri" w:hAnsi="Arial" w:cs="Arial"/>
        </w:rPr>
        <w:t>part</w:t>
      </w:r>
      <w:r w:rsidR="006D4931">
        <w:rPr>
          <w:rFonts w:ascii="Arial" w:eastAsia="Calibri" w:hAnsi="Arial" w:cs="Arial"/>
        </w:rPr>
        <w:t>-</w:t>
      </w:r>
      <w:r>
        <w:rPr>
          <w:rFonts w:ascii="Arial" w:eastAsia="Calibri" w:hAnsi="Arial" w:cs="Arial"/>
        </w:rPr>
        <w:t xml:space="preserve">time </w:t>
      </w:r>
      <w:r>
        <w:rPr>
          <w:rFonts w:ascii="Arial" w:eastAsia="Calibri" w:hAnsi="Arial" w:cs="Arial"/>
        </w:rPr>
        <w:lastRenderedPageBreak/>
        <w:t>basis), continuing professional development, external training, online tutorial training and usage of formal qualification.</w:t>
      </w:r>
    </w:p>
    <w:p w14:paraId="74F521F2" w14:textId="7A491307" w:rsidR="00CD6352" w:rsidRDefault="00CD6352" w:rsidP="00CD6352">
      <w:pPr>
        <w:spacing w:line="360" w:lineRule="auto"/>
        <w:jc w:val="both"/>
        <w:rPr>
          <w:rFonts w:ascii="Arial" w:eastAsia="Calibri" w:hAnsi="Arial" w:cs="Arial"/>
        </w:rPr>
      </w:pPr>
      <w:r>
        <w:rPr>
          <w:rFonts w:ascii="Arial" w:eastAsia="Calibri" w:hAnsi="Arial" w:cs="Arial"/>
        </w:rPr>
        <w:t>T</w:t>
      </w:r>
      <w:r w:rsidRPr="00EA7665">
        <w:rPr>
          <w:rFonts w:ascii="Arial" w:eastAsia="Calibri" w:hAnsi="Arial" w:cs="Arial"/>
        </w:rPr>
        <w:t>he semi-structured</w:t>
      </w:r>
      <w:r>
        <w:rPr>
          <w:rFonts w:ascii="Arial" w:eastAsia="Calibri" w:hAnsi="Arial" w:cs="Arial"/>
        </w:rPr>
        <w:t xml:space="preserve"> interviews</w:t>
      </w:r>
      <w:r w:rsidRPr="00EA7665">
        <w:rPr>
          <w:rFonts w:ascii="Arial" w:eastAsia="Calibri" w:hAnsi="Arial" w:cs="Arial"/>
        </w:rPr>
        <w:t xml:space="preserve"> </w:t>
      </w:r>
      <w:r>
        <w:rPr>
          <w:rFonts w:ascii="Arial" w:eastAsia="Calibri" w:hAnsi="Arial" w:cs="Arial"/>
        </w:rPr>
        <w:t xml:space="preserve">show </w:t>
      </w:r>
      <w:r w:rsidRPr="00EA7665">
        <w:rPr>
          <w:rFonts w:ascii="Arial" w:eastAsia="Calibri" w:hAnsi="Arial" w:cs="Arial"/>
        </w:rPr>
        <w:t xml:space="preserve">that the use of experience, seminars and on-the-job training are common approaches for training for securing finance for real estate project development in both the developed and emerging economies. The differences in </w:t>
      </w:r>
      <w:r>
        <w:rPr>
          <w:rFonts w:ascii="Arial" w:eastAsia="Calibri" w:hAnsi="Arial" w:cs="Arial"/>
        </w:rPr>
        <w:t xml:space="preserve">education and </w:t>
      </w:r>
      <w:r w:rsidRPr="00EA7665">
        <w:rPr>
          <w:rFonts w:ascii="Arial" w:eastAsia="Calibri" w:hAnsi="Arial" w:cs="Arial"/>
        </w:rPr>
        <w:t xml:space="preserve">training approaches used by managers in the developed and emerging economies </w:t>
      </w:r>
      <w:r w:rsidR="009C0B88">
        <w:rPr>
          <w:rFonts w:ascii="Arial" w:eastAsia="Calibri" w:hAnsi="Arial" w:cs="Arial"/>
        </w:rPr>
        <w:t>are</w:t>
      </w:r>
      <w:r w:rsidRPr="00EA7665">
        <w:rPr>
          <w:rFonts w:ascii="Arial" w:eastAsia="Calibri" w:hAnsi="Arial" w:cs="Arial"/>
        </w:rPr>
        <w:t xml:space="preserve"> as follows:</w:t>
      </w:r>
    </w:p>
    <w:p w14:paraId="4B07477E" w14:textId="77777777" w:rsidR="00063F0D" w:rsidRPr="00EA7665" w:rsidRDefault="00063F0D" w:rsidP="00CD6352">
      <w:pPr>
        <w:spacing w:line="360" w:lineRule="auto"/>
        <w:jc w:val="both"/>
        <w:rPr>
          <w:rFonts w:ascii="Arial" w:eastAsia="Calibri"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290"/>
      </w:tblGrid>
      <w:tr w:rsidR="00CD6352" w:rsidRPr="00EA7665" w14:paraId="68DDE690" w14:textId="77777777" w:rsidTr="00CD6352">
        <w:tc>
          <w:tcPr>
            <w:tcW w:w="0" w:type="auto"/>
          </w:tcPr>
          <w:p w14:paraId="7B244469" w14:textId="77777777" w:rsidR="00CD6352" w:rsidRPr="00EA7665" w:rsidRDefault="00CD6352" w:rsidP="00CD6352">
            <w:pPr>
              <w:jc w:val="both"/>
              <w:rPr>
                <w:rFonts w:ascii="Arial" w:eastAsia="Calibri" w:hAnsi="Arial" w:cs="Arial"/>
                <w:b/>
              </w:rPr>
            </w:pPr>
            <w:r w:rsidRPr="00EA7665">
              <w:rPr>
                <w:rFonts w:ascii="Arial" w:eastAsia="Calibri" w:hAnsi="Arial" w:cs="Arial"/>
                <w:b/>
              </w:rPr>
              <w:t>Developed economies</w:t>
            </w:r>
          </w:p>
        </w:tc>
        <w:tc>
          <w:tcPr>
            <w:tcW w:w="0" w:type="auto"/>
          </w:tcPr>
          <w:p w14:paraId="396167F5" w14:textId="77777777" w:rsidR="00CD6352" w:rsidRPr="00EA7665" w:rsidRDefault="00CD6352" w:rsidP="00CD6352">
            <w:pPr>
              <w:jc w:val="both"/>
              <w:rPr>
                <w:rFonts w:ascii="Arial" w:eastAsia="Calibri" w:hAnsi="Arial" w:cs="Arial"/>
                <w:b/>
              </w:rPr>
            </w:pPr>
            <w:r w:rsidRPr="00EA7665">
              <w:rPr>
                <w:rFonts w:ascii="Arial" w:eastAsia="Calibri" w:hAnsi="Arial" w:cs="Arial"/>
                <w:b/>
              </w:rPr>
              <w:t xml:space="preserve">Emerging economies </w:t>
            </w:r>
          </w:p>
        </w:tc>
      </w:tr>
      <w:tr w:rsidR="00CD6352" w:rsidRPr="00EA7665" w14:paraId="22E6DDC3" w14:textId="77777777" w:rsidTr="00CD6352">
        <w:tc>
          <w:tcPr>
            <w:tcW w:w="0" w:type="auto"/>
          </w:tcPr>
          <w:p w14:paraId="23E303DF"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Academic research</w:t>
            </w:r>
          </w:p>
          <w:p w14:paraId="57184885"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 xml:space="preserve">Classroom-based training with consultants </w:t>
            </w:r>
          </w:p>
          <w:p w14:paraId="59A2ED3B"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Internship with banks</w:t>
            </w:r>
          </w:p>
          <w:p w14:paraId="5A73E53F"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Market briefings</w:t>
            </w:r>
          </w:p>
          <w:p w14:paraId="2B2E828C"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Professional qualification from RICS</w:t>
            </w:r>
          </w:p>
          <w:p w14:paraId="3252F47A"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 xml:space="preserve">Seminars </w:t>
            </w:r>
          </w:p>
          <w:p w14:paraId="3379A7F7"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Usage of external advisers</w:t>
            </w:r>
          </w:p>
          <w:p w14:paraId="5D2D78AF" w14:textId="77777777" w:rsidR="00CD6352" w:rsidRPr="00EA7665" w:rsidRDefault="00CD6352" w:rsidP="008D4A4F">
            <w:pPr>
              <w:numPr>
                <w:ilvl w:val="0"/>
                <w:numId w:val="260"/>
              </w:numPr>
              <w:spacing w:after="0" w:line="240" w:lineRule="auto"/>
              <w:jc w:val="both"/>
              <w:rPr>
                <w:rFonts w:ascii="Arial" w:eastAsia="Calibri" w:hAnsi="Arial" w:cs="Arial"/>
              </w:rPr>
            </w:pPr>
            <w:r w:rsidRPr="00EA7665">
              <w:rPr>
                <w:rFonts w:ascii="Arial" w:eastAsia="Calibri" w:hAnsi="Arial" w:cs="Arial"/>
              </w:rPr>
              <w:t>Workshops</w:t>
            </w:r>
          </w:p>
          <w:p w14:paraId="347BB621" w14:textId="77777777" w:rsidR="00CD6352" w:rsidRPr="00EA7665" w:rsidRDefault="00CD6352" w:rsidP="00CD6352">
            <w:pPr>
              <w:ind w:left="720"/>
              <w:jc w:val="both"/>
              <w:rPr>
                <w:rFonts w:ascii="Arial" w:eastAsia="Calibri" w:hAnsi="Arial" w:cs="Arial"/>
              </w:rPr>
            </w:pPr>
          </w:p>
        </w:tc>
        <w:tc>
          <w:tcPr>
            <w:tcW w:w="0" w:type="auto"/>
          </w:tcPr>
          <w:p w14:paraId="0906E0B1" w14:textId="77777777" w:rsidR="00CD6352" w:rsidRPr="00EA7665" w:rsidRDefault="00CD6352" w:rsidP="008D4A4F">
            <w:pPr>
              <w:numPr>
                <w:ilvl w:val="0"/>
                <w:numId w:val="261"/>
              </w:numPr>
              <w:spacing w:after="0" w:line="240" w:lineRule="auto"/>
              <w:jc w:val="both"/>
              <w:rPr>
                <w:rFonts w:ascii="Arial" w:eastAsia="Calibri" w:hAnsi="Arial" w:cs="Arial"/>
              </w:rPr>
            </w:pPr>
            <w:r w:rsidRPr="00EA7665">
              <w:rPr>
                <w:rFonts w:ascii="Arial" w:eastAsia="Calibri" w:hAnsi="Arial" w:cs="Arial"/>
              </w:rPr>
              <w:t>Business development courses</w:t>
            </w:r>
          </w:p>
          <w:p w14:paraId="67E68B77" w14:textId="77777777" w:rsidR="00CD6352" w:rsidRPr="00EA7665" w:rsidRDefault="00CD6352" w:rsidP="008D4A4F">
            <w:pPr>
              <w:numPr>
                <w:ilvl w:val="0"/>
                <w:numId w:val="261"/>
              </w:numPr>
              <w:spacing w:after="0" w:line="240" w:lineRule="auto"/>
              <w:jc w:val="both"/>
              <w:rPr>
                <w:rFonts w:ascii="Arial" w:eastAsia="Calibri" w:hAnsi="Arial" w:cs="Arial"/>
              </w:rPr>
            </w:pPr>
            <w:r w:rsidRPr="00EA7665">
              <w:rPr>
                <w:rFonts w:ascii="Arial" w:eastAsia="Calibri" w:hAnsi="Arial" w:cs="Arial"/>
              </w:rPr>
              <w:t>Experience in real estate and finance</w:t>
            </w:r>
          </w:p>
          <w:p w14:paraId="128131AB" w14:textId="77777777" w:rsidR="00CD6352" w:rsidRPr="00EA7665" w:rsidRDefault="00CD6352" w:rsidP="008D4A4F">
            <w:pPr>
              <w:numPr>
                <w:ilvl w:val="0"/>
                <w:numId w:val="261"/>
              </w:numPr>
              <w:spacing w:after="0" w:line="240" w:lineRule="auto"/>
              <w:jc w:val="both"/>
              <w:rPr>
                <w:rFonts w:ascii="Arial" w:eastAsia="Calibri" w:hAnsi="Arial" w:cs="Arial"/>
              </w:rPr>
            </w:pPr>
            <w:r w:rsidRPr="00EA7665">
              <w:rPr>
                <w:rFonts w:ascii="Arial" w:eastAsia="Calibri" w:hAnsi="Arial" w:cs="Arial"/>
              </w:rPr>
              <w:t>In-house training</w:t>
            </w:r>
          </w:p>
          <w:p w14:paraId="015B3402" w14:textId="77777777" w:rsidR="00CD6352" w:rsidRPr="00EA7665" w:rsidRDefault="00CD6352" w:rsidP="008D4A4F">
            <w:pPr>
              <w:numPr>
                <w:ilvl w:val="0"/>
                <w:numId w:val="261"/>
              </w:numPr>
              <w:spacing w:after="0" w:line="240" w:lineRule="auto"/>
              <w:jc w:val="both"/>
              <w:rPr>
                <w:rFonts w:ascii="Arial" w:eastAsia="Calibri" w:hAnsi="Arial" w:cs="Arial"/>
              </w:rPr>
            </w:pPr>
            <w:r w:rsidRPr="00EA7665">
              <w:rPr>
                <w:rFonts w:ascii="Arial" w:eastAsia="Calibri" w:hAnsi="Arial" w:cs="Arial"/>
              </w:rPr>
              <w:t xml:space="preserve">Training in project management </w:t>
            </w:r>
          </w:p>
        </w:tc>
      </w:tr>
    </w:tbl>
    <w:p w14:paraId="0DD63BB0" w14:textId="0A43318B" w:rsidR="00CD6352" w:rsidRPr="00EA7665" w:rsidRDefault="00CD6352" w:rsidP="00CD6352">
      <w:pPr>
        <w:spacing w:line="360" w:lineRule="auto"/>
        <w:rPr>
          <w:rFonts w:ascii="Arial" w:hAnsi="Arial" w:cs="Arial"/>
        </w:rPr>
      </w:pPr>
      <w:r w:rsidRPr="00EA7665">
        <w:rPr>
          <w:rFonts w:ascii="Arial" w:hAnsi="Arial" w:cs="Arial"/>
        </w:rPr>
        <w:t>Th</w:t>
      </w:r>
      <w:r>
        <w:rPr>
          <w:rFonts w:ascii="Arial" w:hAnsi="Arial" w:cs="Arial"/>
        </w:rPr>
        <w:t>is</w:t>
      </w:r>
      <w:r w:rsidRPr="00EA7665">
        <w:rPr>
          <w:rFonts w:ascii="Arial" w:hAnsi="Arial" w:cs="Arial"/>
        </w:rPr>
        <w:t xml:space="preserve"> study developed a conceptual framework for training and education for securing finance for real estate project development which</w:t>
      </w:r>
      <w:r>
        <w:rPr>
          <w:rFonts w:ascii="Arial" w:hAnsi="Arial" w:cs="Arial"/>
        </w:rPr>
        <w:t xml:space="preserve"> </w:t>
      </w:r>
      <w:r w:rsidR="00E963DD">
        <w:rPr>
          <w:rFonts w:ascii="Arial" w:hAnsi="Arial" w:cs="Arial"/>
        </w:rPr>
        <w:t xml:space="preserve">also </w:t>
      </w:r>
      <w:r w:rsidR="00E963DD" w:rsidRPr="00EA7665">
        <w:rPr>
          <w:rFonts w:ascii="Arial" w:hAnsi="Arial" w:cs="Arial"/>
        </w:rPr>
        <w:t>forms</w:t>
      </w:r>
      <w:r w:rsidRPr="00EA7665">
        <w:rPr>
          <w:rFonts w:ascii="Arial" w:hAnsi="Arial" w:cs="Arial"/>
        </w:rPr>
        <w:t xml:space="preserve"> a part of the toolkit for securing finance for real estate project development</w:t>
      </w:r>
      <w:r w:rsidR="00F16FD1">
        <w:rPr>
          <w:rFonts w:ascii="Arial" w:hAnsi="Arial" w:cs="Arial"/>
        </w:rPr>
        <w:t xml:space="preserve"> in chapter 10</w:t>
      </w:r>
      <w:r w:rsidRPr="00EA7665">
        <w:rPr>
          <w:rFonts w:ascii="Arial" w:hAnsi="Arial" w:cs="Arial"/>
        </w:rPr>
        <w:t>.</w:t>
      </w:r>
    </w:p>
    <w:p w14:paraId="6EBC969B" w14:textId="77777777" w:rsidR="00CD6352" w:rsidRPr="00B867E9" w:rsidRDefault="00CD6352" w:rsidP="00CD6352">
      <w:pPr>
        <w:rPr>
          <w:rStyle w:val="SubtleReference"/>
          <w:rFonts w:ascii="Arial" w:hAnsi="Arial" w:cs="Arial"/>
        </w:rPr>
      </w:pPr>
    </w:p>
    <w:p w14:paraId="53EA9B53" w14:textId="67FD64DD" w:rsidR="00CD6352" w:rsidRDefault="00CD6352" w:rsidP="00CD6352">
      <w:pPr>
        <w:spacing w:line="360" w:lineRule="auto"/>
        <w:rPr>
          <w:rFonts w:ascii="Arial" w:hAnsi="Arial" w:cs="Arial"/>
          <w:lang w:val="en-US"/>
        </w:rPr>
      </w:pPr>
    </w:p>
    <w:p w14:paraId="7F135CC1" w14:textId="7F94453C" w:rsidR="00190255" w:rsidRDefault="00190255" w:rsidP="00CD6352">
      <w:pPr>
        <w:spacing w:line="360" w:lineRule="auto"/>
        <w:rPr>
          <w:rFonts w:ascii="Arial" w:hAnsi="Arial" w:cs="Arial"/>
          <w:lang w:val="en-US"/>
        </w:rPr>
      </w:pPr>
    </w:p>
    <w:p w14:paraId="763118BD" w14:textId="70E48AB8" w:rsidR="00190255" w:rsidRDefault="00190255" w:rsidP="00CD6352">
      <w:pPr>
        <w:spacing w:line="360" w:lineRule="auto"/>
        <w:rPr>
          <w:rFonts w:ascii="Arial" w:hAnsi="Arial" w:cs="Arial"/>
          <w:lang w:val="en-US"/>
        </w:rPr>
      </w:pPr>
    </w:p>
    <w:p w14:paraId="0AAAA5C4" w14:textId="7F4EA55B" w:rsidR="00190255" w:rsidRDefault="00190255" w:rsidP="00CD6352">
      <w:pPr>
        <w:spacing w:line="360" w:lineRule="auto"/>
        <w:rPr>
          <w:rFonts w:ascii="Arial" w:hAnsi="Arial" w:cs="Arial"/>
          <w:lang w:val="en-US"/>
        </w:rPr>
      </w:pPr>
    </w:p>
    <w:p w14:paraId="072AA26D" w14:textId="0466AF3C" w:rsidR="00190255" w:rsidRDefault="00190255" w:rsidP="00CD6352">
      <w:pPr>
        <w:spacing w:line="360" w:lineRule="auto"/>
        <w:rPr>
          <w:rFonts w:ascii="Arial" w:hAnsi="Arial" w:cs="Arial"/>
          <w:lang w:val="en-US"/>
        </w:rPr>
      </w:pPr>
    </w:p>
    <w:p w14:paraId="725D4F22" w14:textId="5B448E3D" w:rsidR="00190255" w:rsidRDefault="00190255" w:rsidP="00CD6352">
      <w:pPr>
        <w:spacing w:line="360" w:lineRule="auto"/>
        <w:rPr>
          <w:rFonts w:ascii="Arial" w:hAnsi="Arial" w:cs="Arial"/>
          <w:lang w:val="en-US"/>
        </w:rPr>
      </w:pPr>
    </w:p>
    <w:p w14:paraId="7011A7B4" w14:textId="218E64E0" w:rsidR="00190255" w:rsidRDefault="00190255" w:rsidP="00CD6352">
      <w:pPr>
        <w:spacing w:line="360" w:lineRule="auto"/>
        <w:rPr>
          <w:rFonts w:ascii="Arial" w:hAnsi="Arial" w:cs="Arial"/>
          <w:lang w:val="en-US"/>
        </w:rPr>
      </w:pPr>
    </w:p>
    <w:p w14:paraId="6EC0AE81" w14:textId="4AB7090F" w:rsidR="00190255" w:rsidRDefault="00190255" w:rsidP="00CD6352">
      <w:pPr>
        <w:spacing w:line="360" w:lineRule="auto"/>
        <w:rPr>
          <w:rFonts w:ascii="Arial" w:hAnsi="Arial" w:cs="Arial"/>
          <w:lang w:val="en-US"/>
        </w:rPr>
      </w:pPr>
    </w:p>
    <w:p w14:paraId="6AE35F56" w14:textId="2FCD4CBF" w:rsidR="00A272D6" w:rsidRDefault="00A272D6" w:rsidP="00CD6352">
      <w:pPr>
        <w:spacing w:line="360" w:lineRule="auto"/>
        <w:rPr>
          <w:rFonts w:ascii="Arial" w:hAnsi="Arial" w:cs="Arial"/>
          <w:lang w:val="en-US"/>
        </w:rPr>
      </w:pPr>
    </w:p>
    <w:p w14:paraId="72060171" w14:textId="6B7245E2" w:rsidR="00A272D6" w:rsidRDefault="00A272D6" w:rsidP="00CD6352">
      <w:pPr>
        <w:spacing w:line="360" w:lineRule="auto"/>
        <w:rPr>
          <w:rFonts w:ascii="Arial" w:hAnsi="Arial" w:cs="Arial"/>
          <w:lang w:val="en-US"/>
        </w:rPr>
      </w:pPr>
    </w:p>
    <w:p w14:paraId="19EFD66E" w14:textId="21020005" w:rsidR="00A272D6" w:rsidRDefault="00A272D6" w:rsidP="00CD6352">
      <w:pPr>
        <w:spacing w:line="360" w:lineRule="auto"/>
        <w:rPr>
          <w:rFonts w:ascii="Arial" w:hAnsi="Arial" w:cs="Arial"/>
          <w:lang w:val="en-US"/>
        </w:rPr>
      </w:pPr>
    </w:p>
    <w:p w14:paraId="64C79349" w14:textId="576A3EB2" w:rsidR="00A272D6" w:rsidRDefault="00A272D6" w:rsidP="00CD6352">
      <w:pPr>
        <w:spacing w:line="360" w:lineRule="auto"/>
        <w:rPr>
          <w:rFonts w:ascii="Arial" w:hAnsi="Arial" w:cs="Arial"/>
          <w:lang w:val="en-US"/>
        </w:rPr>
      </w:pPr>
    </w:p>
    <w:p w14:paraId="6A55ADAB" w14:textId="48CAE23B" w:rsidR="00CD6352" w:rsidRPr="00EA7665" w:rsidRDefault="00CD6352" w:rsidP="00CD6352">
      <w:pPr>
        <w:pStyle w:val="Heading1"/>
      </w:pPr>
      <w:bookmarkStart w:id="1425" w:name="_Toc78983934"/>
      <w:r>
        <w:lastRenderedPageBreak/>
        <w:t>D</w:t>
      </w:r>
      <w:r w:rsidRPr="00EA7665">
        <w:t xml:space="preserve">evelopment of a toolkit for securing finance for real estate project </w:t>
      </w:r>
      <w:r w:rsidR="007A2A70" w:rsidRPr="00EA7665">
        <w:t>development.</w:t>
      </w:r>
      <w:bookmarkEnd w:id="1425"/>
      <w:r w:rsidRPr="00EA7665">
        <w:t xml:space="preserve"> </w:t>
      </w:r>
    </w:p>
    <w:p w14:paraId="73F47640" w14:textId="184D76BD" w:rsidR="00CD6352" w:rsidRDefault="00CD6352" w:rsidP="00CD6352">
      <w:pPr>
        <w:pStyle w:val="Heading2"/>
        <w:spacing w:after="240"/>
      </w:pPr>
      <w:bookmarkStart w:id="1426" w:name="_Toc78983935"/>
      <w:r w:rsidRPr="00EA7665">
        <w:t>Introduction</w:t>
      </w:r>
      <w:bookmarkEnd w:id="1426"/>
    </w:p>
    <w:p w14:paraId="6ED0EFD2" w14:textId="46C3161F" w:rsidR="000530F6" w:rsidRPr="000530F6" w:rsidRDefault="000530F6" w:rsidP="007625E7">
      <w:pPr>
        <w:jc w:val="center"/>
        <w:rPr>
          <w:rFonts w:ascii="Arial" w:hAnsi="Arial" w:cs="Arial"/>
          <w:i/>
          <w:iCs/>
        </w:rPr>
      </w:pPr>
      <w:r w:rsidRPr="000530F6">
        <w:rPr>
          <w:rFonts w:ascii="Arial" w:hAnsi="Arial" w:cs="Arial"/>
          <w:i/>
          <w:iCs/>
        </w:rPr>
        <w:t>“Never tell people how to do things. Tell them what to do</w:t>
      </w:r>
      <w:r w:rsidR="00F108BC">
        <w:rPr>
          <w:rFonts w:ascii="Arial" w:hAnsi="Arial" w:cs="Arial"/>
          <w:i/>
          <w:iCs/>
        </w:rPr>
        <w:t>,</w:t>
      </w:r>
      <w:r w:rsidRPr="000530F6">
        <w:rPr>
          <w:rFonts w:ascii="Arial" w:hAnsi="Arial" w:cs="Arial"/>
          <w:i/>
          <w:iCs/>
        </w:rPr>
        <w:t xml:space="preserve"> and they will surprise you with ingenuity”</w:t>
      </w:r>
    </w:p>
    <w:p w14:paraId="374A04DF" w14:textId="21DCA348" w:rsidR="000530F6" w:rsidRPr="000530F6" w:rsidRDefault="000530F6" w:rsidP="007625E7">
      <w:pPr>
        <w:pStyle w:val="ListParagraph"/>
        <w:numPr>
          <w:ilvl w:val="0"/>
          <w:numId w:val="264"/>
        </w:numPr>
        <w:ind w:left="0"/>
        <w:jc w:val="center"/>
        <w:rPr>
          <w:rFonts w:ascii="Arial" w:hAnsi="Arial" w:cs="Arial"/>
          <w:i/>
          <w:iCs/>
        </w:rPr>
      </w:pPr>
      <w:r w:rsidRPr="000530F6">
        <w:rPr>
          <w:rFonts w:ascii="Arial" w:hAnsi="Arial" w:cs="Arial"/>
          <w:i/>
          <w:iCs/>
        </w:rPr>
        <w:t>George S. Patton</w:t>
      </w:r>
    </w:p>
    <w:p w14:paraId="2EF0532F" w14:textId="59FED8FE" w:rsidR="00295A23" w:rsidRDefault="00295A23" w:rsidP="00295A23">
      <w:pPr>
        <w:spacing w:line="360" w:lineRule="auto"/>
        <w:jc w:val="both"/>
        <w:rPr>
          <w:rFonts w:ascii="Arial" w:hAnsi="Arial" w:cs="Arial"/>
        </w:rPr>
      </w:pPr>
      <w:r w:rsidRPr="00EA7665">
        <w:rPr>
          <w:rFonts w:ascii="Arial" w:hAnsi="Arial" w:cs="Arial"/>
        </w:rPr>
        <w:t xml:space="preserve">This </w:t>
      </w:r>
      <w:r>
        <w:rPr>
          <w:rFonts w:ascii="Arial" w:hAnsi="Arial" w:cs="Arial"/>
        </w:rPr>
        <w:t xml:space="preserve">segment of the </w:t>
      </w:r>
      <w:r w:rsidRPr="00EA7665">
        <w:rPr>
          <w:rFonts w:ascii="Arial" w:hAnsi="Arial" w:cs="Arial"/>
        </w:rPr>
        <w:t xml:space="preserve">study focuses on the </w:t>
      </w:r>
      <w:r>
        <w:rPr>
          <w:rFonts w:ascii="Arial" w:hAnsi="Arial" w:cs="Arial"/>
        </w:rPr>
        <w:t xml:space="preserve">toolkit </w:t>
      </w:r>
      <w:r w:rsidRPr="00EA7665">
        <w:rPr>
          <w:rFonts w:ascii="Arial" w:hAnsi="Arial" w:cs="Arial"/>
        </w:rPr>
        <w:t xml:space="preserve">for securing finance for real estate project development. </w:t>
      </w:r>
      <w:r>
        <w:rPr>
          <w:rFonts w:ascii="Arial" w:hAnsi="Arial" w:cs="Arial"/>
        </w:rPr>
        <w:t xml:space="preserve">The toolkit </w:t>
      </w:r>
      <w:r w:rsidR="00F108BC">
        <w:rPr>
          <w:rFonts w:ascii="Arial" w:hAnsi="Arial" w:cs="Arial"/>
        </w:rPr>
        <w:t>provides</w:t>
      </w:r>
      <w:r>
        <w:rPr>
          <w:rFonts w:ascii="Arial" w:hAnsi="Arial" w:cs="Arial"/>
        </w:rPr>
        <w:t xml:space="preserve"> a </w:t>
      </w:r>
      <w:r w:rsidR="00B014BF">
        <w:rPr>
          <w:rFonts w:ascii="Arial" w:hAnsi="Arial" w:cs="Arial"/>
        </w:rPr>
        <w:t>guide</w:t>
      </w:r>
      <w:r>
        <w:rPr>
          <w:rFonts w:ascii="Arial" w:hAnsi="Arial" w:cs="Arial"/>
        </w:rPr>
        <w:t xml:space="preserve"> that will improve the real estate manager’s ability to secure finance for real estate project development. It is meant to be a support system for the manager in securing </w:t>
      </w:r>
      <w:r w:rsidR="00F108BC">
        <w:rPr>
          <w:rFonts w:ascii="Arial" w:hAnsi="Arial" w:cs="Arial"/>
        </w:rPr>
        <w:t>real estate project development finance</w:t>
      </w:r>
      <w:r>
        <w:rPr>
          <w:rFonts w:ascii="Arial" w:hAnsi="Arial" w:cs="Arial"/>
        </w:rPr>
        <w:t xml:space="preserve">. This chapter brings together the different </w:t>
      </w:r>
      <w:r w:rsidR="00F108BC">
        <w:rPr>
          <w:rFonts w:ascii="Arial" w:hAnsi="Arial" w:cs="Arial"/>
        </w:rPr>
        <w:t>toolkit elements,</w:t>
      </w:r>
      <w:r>
        <w:rPr>
          <w:rFonts w:ascii="Arial" w:hAnsi="Arial" w:cs="Arial"/>
        </w:rPr>
        <w:t xml:space="preserve"> which were developed in chapters 5, 6,7, 8 and 9. The detailed development of the components of </w:t>
      </w:r>
      <w:r w:rsidR="006D4931">
        <w:rPr>
          <w:rFonts w:ascii="Arial" w:hAnsi="Arial" w:cs="Arial"/>
        </w:rPr>
        <w:t xml:space="preserve">the </w:t>
      </w:r>
      <w:r>
        <w:rPr>
          <w:rFonts w:ascii="Arial" w:hAnsi="Arial" w:cs="Arial"/>
        </w:rPr>
        <w:t xml:space="preserve">toolkit is contained in those chapters. The variables used in </w:t>
      </w:r>
      <w:r w:rsidR="00F108BC">
        <w:rPr>
          <w:rFonts w:ascii="Arial" w:hAnsi="Arial" w:cs="Arial"/>
        </w:rPr>
        <w:t>developing the individual components of the toolkit were obtained</w:t>
      </w:r>
      <w:r>
        <w:rPr>
          <w:rFonts w:ascii="Arial" w:hAnsi="Arial" w:cs="Arial"/>
        </w:rPr>
        <w:t xml:space="preserve"> from </w:t>
      </w:r>
      <w:r w:rsidR="00DB479F">
        <w:rPr>
          <w:rFonts w:ascii="Arial" w:hAnsi="Arial" w:cs="Arial"/>
        </w:rPr>
        <w:t xml:space="preserve">the </w:t>
      </w:r>
      <w:r>
        <w:rPr>
          <w:rFonts w:ascii="Arial" w:hAnsi="Arial" w:cs="Arial"/>
        </w:rPr>
        <w:t xml:space="preserve">manager’s responses to the semi-structured interview questions and questionnaires </w:t>
      </w:r>
      <w:r w:rsidR="0013356F">
        <w:rPr>
          <w:rFonts w:ascii="Arial" w:hAnsi="Arial" w:cs="Arial"/>
        </w:rPr>
        <w:t>from</w:t>
      </w:r>
      <w:r>
        <w:rPr>
          <w:rFonts w:ascii="Arial" w:hAnsi="Arial" w:cs="Arial"/>
        </w:rPr>
        <w:t xml:space="preserve"> both the developed and emerging economies.</w:t>
      </w:r>
    </w:p>
    <w:p w14:paraId="54B3F595" w14:textId="731BCF54" w:rsidR="00295A23" w:rsidRDefault="00295A23" w:rsidP="00295A23">
      <w:pPr>
        <w:spacing w:line="360" w:lineRule="auto"/>
        <w:jc w:val="both"/>
        <w:rPr>
          <w:rFonts w:ascii="Arial" w:hAnsi="Arial" w:cs="Arial"/>
        </w:rPr>
      </w:pPr>
      <w:r w:rsidRPr="00F9114E">
        <w:rPr>
          <w:rFonts w:ascii="Arial" w:hAnsi="Arial" w:cs="Arial"/>
        </w:rPr>
        <w:t xml:space="preserve">This chapter </w:t>
      </w:r>
      <w:r w:rsidR="00F108BC" w:rsidRPr="00F9114E">
        <w:rPr>
          <w:rFonts w:ascii="Arial" w:hAnsi="Arial" w:cs="Arial"/>
        </w:rPr>
        <w:t xml:space="preserve">addresses objective </w:t>
      </w:r>
      <w:r w:rsidR="00F9114E">
        <w:rPr>
          <w:rFonts w:ascii="Arial" w:hAnsi="Arial" w:cs="Arial"/>
        </w:rPr>
        <w:t>5</w:t>
      </w:r>
      <w:r w:rsidR="00F108BC" w:rsidRPr="00F9114E">
        <w:rPr>
          <w:rFonts w:ascii="Arial" w:hAnsi="Arial" w:cs="Arial"/>
        </w:rPr>
        <w:t xml:space="preserve"> of the study, which is; “</w:t>
      </w:r>
      <w:r w:rsidR="00F9114E">
        <w:rPr>
          <w:rFonts w:ascii="Arial" w:hAnsi="Arial" w:cs="Arial"/>
        </w:rPr>
        <w:t>t</w:t>
      </w:r>
      <w:r w:rsidR="00F9114E" w:rsidRPr="00F9114E">
        <w:rPr>
          <w:rFonts w:ascii="Arial" w:hAnsi="Arial" w:cs="Arial"/>
        </w:rPr>
        <w:t xml:space="preserve">o integrate the different components of the tool kit for securing finance for real estate project development. </w:t>
      </w:r>
      <w:r w:rsidR="00F108BC" w:rsidRPr="00F9114E">
        <w:rPr>
          <w:rFonts w:ascii="Arial" w:hAnsi="Arial" w:cs="Arial"/>
        </w:rPr>
        <w:t xml:space="preserve">“, </w:t>
      </w:r>
      <w:r w:rsidR="00643A02" w:rsidRPr="00F9114E">
        <w:rPr>
          <w:rFonts w:ascii="Arial" w:hAnsi="Arial" w:cs="Arial"/>
        </w:rPr>
        <w:t xml:space="preserve">which </w:t>
      </w:r>
      <w:r w:rsidR="00F9114E">
        <w:rPr>
          <w:rFonts w:ascii="Arial" w:hAnsi="Arial" w:cs="Arial"/>
        </w:rPr>
        <w:t xml:space="preserve">essentially takes care of the </w:t>
      </w:r>
      <w:r w:rsidR="00643A02" w:rsidRPr="00F9114E">
        <w:rPr>
          <w:rFonts w:ascii="Arial" w:hAnsi="Arial" w:cs="Arial"/>
        </w:rPr>
        <w:t>study's aim</w:t>
      </w:r>
      <w:r w:rsidR="00F108BC" w:rsidRPr="00F9114E">
        <w:rPr>
          <w:rFonts w:ascii="Arial" w:hAnsi="Arial" w:cs="Arial"/>
        </w:rPr>
        <w:t xml:space="preserve">. The importance of the toolkit </w:t>
      </w:r>
      <w:r w:rsidR="00F9114E">
        <w:rPr>
          <w:rFonts w:ascii="Arial" w:hAnsi="Arial" w:cs="Arial"/>
        </w:rPr>
        <w:t>is</w:t>
      </w:r>
      <w:r w:rsidR="00F108BC" w:rsidRPr="00F9114E">
        <w:rPr>
          <w:rFonts w:ascii="Arial" w:hAnsi="Arial" w:cs="Arial"/>
        </w:rPr>
        <w:t xml:space="preserve"> discussed in chapter 3. This chapter is divided into five segments: an introduction of the toolkit, a discussion on the individual components of the toolkit, the recommended usage of the toolkit, the weaknesses of the toolkit, and how the weakness can be ameliorated and finally the summary</w:t>
      </w:r>
      <w:r w:rsidR="00815564" w:rsidRPr="00F9114E">
        <w:rPr>
          <w:rFonts w:ascii="Arial" w:hAnsi="Arial" w:cs="Arial"/>
        </w:rPr>
        <w:t>.</w:t>
      </w:r>
    </w:p>
    <w:p w14:paraId="05C0BBDA" w14:textId="7B0A0C3E" w:rsidR="00CD6352" w:rsidRPr="0042619C" w:rsidRDefault="00CD6352" w:rsidP="00CD6352">
      <w:pPr>
        <w:pStyle w:val="Heading2"/>
        <w:spacing w:after="240"/>
        <w:rPr>
          <w:sz w:val="22"/>
          <w:szCs w:val="22"/>
        </w:rPr>
      </w:pPr>
      <w:bookmarkStart w:id="1427" w:name="_Toc77600871"/>
      <w:bookmarkStart w:id="1428" w:name="_Toc77939443"/>
      <w:bookmarkStart w:id="1429" w:name="_Toc77949237"/>
      <w:bookmarkStart w:id="1430" w:name="_Toc77600872"/>
      <w:bookmarkStart w:id="1431" w:name="_Toc77939444"/>
      <w:bookmarkStart w:id="1432" w:name="_Toc77949238"/>
      <w:bookmarkStart w:id="1433" w:name="_Toc77600873"/>
      <w:bookmarkStart w:id="1434" w:name="_Toc77939445"/>
      <w:bookmarkStart w:id="1435" w:name="_Toc77949239"/>
      <w:bookmarkStart w:id="1436" w:name="_Toc77600874"/>
      <w:bookmarkStart w:id="1437" w:name="_Toc77939446"/>
      <w:bookmarkStart w:id="1438" w:name="_Toc77949240"/>
      <w:bookmarkStart w:id="1439" w:name="_Toc77600875"/>
      <w:bookmarkStart w:id="1440" w:name="_Toc77939447"/>
      <w:bookmarkStart w:id="1441" w:name="_Toc77949241"/>
      <w:bookmarkStart w:id="1442" w:name="_Toc77600876"/>
      <w:bookmarkStart w:id="1443" w:name="_Toc77939448"/>
      <w:bookmarkStart w:id="1444" w:name="_Toc77949242"/>
      <w:bookmarkStart w:id="1445" w:name="_Toc77600877"/>
      <w:bookmarkStart w:id="1446" w:name="_Toc77939449"/>
      <w:bookmarkStart w:id="1447" w:name="_Toc77949243"/>
      <w:bookmarkStart w:id="1448" w:name="_Toc77600878"/>
      <w:bookmarkStart w:id="1449" w:name="_Toc77939450"/>
      <w:bookmarkStart w:id="1450" w:name="_Toc77949244"/>
      <w:bookmarkStart w:id="1451" w:name="_Toc77600879"/>
      <w:bookmarkStart w:id="1452" w:name="_Toc77939451"/>
      <w:bookmarkStart w:id="1453" w:name="_Toc77949245"/>
      <w:bookmarkStart w:id="1454" w:name="_Toc77600880"/>
      <w:bookmarkStart w:id="1455" w:name="_Toc77939452"/>
      <w:bookmarkStart w:id="1456" w:name="_Toc77949246"/>
      <w:bookmarkStart w:id="1457" w:name="_Toc77600881"/>
      <w:bookmarkStart w:id="1458" w:name="_Toc77939453"/>
      <w:bookmarkStart w:id="1459" w:name="_Toc77949247"/>
      <w:bookmarkStart w:id="1460" w:name="_Toc7898393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Pr="0042619C">
        <w:rPr>
          <w:sz w:val="22"/>
          <w:szCs w:val="22"/>
        </w:rPr>
        <w:t xml:space="preserve">Development </w:t>
      </w:r>
      <w:r w:rsidR="004550B8" w:rsidRPr="0042619C">
        <w:rPr>
          <w:sz w:val="22"/>
          <w:szCs w:val="22"/>
        </w:rPr>
        <w:t>of the</w:t>
      </w:r>
      <w:r w:rsidRPr="0042619C">
        <w:rPr>
          <w:sz w:val="22"/>
          <w:szCs w:val="22"/>
        </w:rPr>
        <w:t xml:space="preserve"> toolkit for securing finance for real estate project development/ key components of the toolkit for securing finance for real estate project </w:t>
      </w:r>
      <w:r w:rsidR="00705F9B" w:rsidRPr="0042619C">
        <w:rPr>
          <w:sz w:val="22"/>
          <w:szCs w:val="22"/>
        </w:rPr>
        <w:t>development.</w:t>
      </w:r>
      <w:bookmarkEnd w:id="1460"/>
    </w:p>
    <w:p w14:paraId="2A25E604" w14:textId="41BA2DAB" w:rsidR="00840C01" w:rsidRDefault="00CD6352" w:rsidP="00CD6352">
      <w:pPr>
        <w:spacing w:line="360" w:lineRule="auto"/>
        <w:jc w:val="both"/>
        <w:rPr>
          <w:rFonts w:ascii="Arial" w:hAnsi="Arial" w:cs="Arial"/>
        </w:rPr>
      </w:pPr>
      <w:r w:rsidRPr="002E412C">
        <w:rPr>
          <w:rFonts w:ascii="Arial" w:hAnsi="Arial" w:cs="Arial"/>
        </w:rPr>
        <w:t xml:space="preserve">The development of a toolkit for securing finance for real estate project development involved </w:t>
      </w:r>
      <w:r w:rsidR="00840C01">
        <w:rPr>
          <w:rFonts w:ascii="Arial" w:hAnsi="Arial" w:cs="Arial"/>
        </w:rPr>
        <w:t>six</w:t>
      </w:r>
      <w:r w:rsidR="00840C01" w:rsidRPr="002E412C">
        <w:rPr>
          <w:rFonts w:ascii="Arial" w:hAnsi="Arial" w:cs="Arial"/>
        </w:rPr>
        <w:t xml:space="preserve"> stages</w:t>
      </w:r>
      <w:r w:rsidRPr="002E412C">
        <w:rPr>
          <w:rFonts w:ascii="Arial" w:hAnsi="Arial" w:cs="Arial"/>
        </w:rPr>
        <w:t xml:space="preserve">, shown in table </w:t>
      </w:r>
      <w:r w:rsidR="00840C01">
        <w:rPr>
          <w:rFonts w:ascii="Arial" w:hAnsi="Arial" w:cs="Arial"/>
        </w:rPr>
        <w:t>10</w:t>
      </w:r>
      <w:r w:rsidR="00840C01" w:rsidRPr="002E412C">
        <w:rPr>
          <w:rFonts w:ascii="Arial" w:hAnsi="Arial" w:cs="Arial"/>
        </w:rPr>
        <w:t>.</w:t>
      </w:r>
      <w:r w:rsidR="00A7391A">
        <w:rPr>
          <w:rFonts w:ascii="Arial" w:hAnsi="Arial" w:cs="Arial"/>
        </w:rPr>
        <w:t>2</w:t>
      </w:r>
      <w:r w:rsidR="00840C01">
        <w:rPr>
          <w:rFonts w:ascii="Arial" w:hAnsi="Arial" w:cs="Arial"/>
        </w:rPr>
        <w:t>.</w:t>
      </w:r>
      <w:r w:rsidR="00840C01" w:rsidRPr="002E412C">
        <w:rPr>
          <w:rFonts w:ascii="Arial" w:hAnsi="Arial" w:cs="Arial"/>
        </w:rPr>
        <w:t>1.</w:t>
      </w:r>
      <w:r w:rsidR="00705F9B">
        <w:rPr>
          <w:rFonts w:ascii="Arial" w:hAnsi="Arial" w:cs="Arial"/>
        </w:rPr>
        <w:t xml:space="preserve"> </w:t>
      </w:r>
      <w:r>
        <w:rPr>
          <w:rFonts w:ascii="Arial" w:hAnsi="Arial" w:cs="Arial"/>
        </w:rPr>
        <w:t xml:space="preserve"> </w:t>
      </w:r>
      <w:r w:rsidR="00A7391A">
        <w:rPr>
          <w:rFonts w:ascii="Arial" w:hAnsi="Arial" w:cs="Arial"/>
        </w:rPr>
        <w:t>Different approaches are used in constructing the model,</w:t>
      </w:r>
      <w:r w:rsidR="00840C01">
        <w:rPr>
          <w:rFonts w:ascii="Arial" w:hAnsi="Arial" w:cs="Arial"/>
        </w:rPr>
        <w:t xml:space="preserve"> such as the toolkit for securing finance for real estate project development. </w:t>
      </w:r>
      <w:r w:rsidR="00CC3D68">
        <w:rPr>
          <w:rFonts w:ascii="Arial" w:hAnsi="Arial" w:cs="Arial"/>
        </w:rPr>
        <w:t>Some</w:t>
      </w:r>
      <w:r w:rsidR="00A7391A">
        <w:rPr>
          <w:rFonts w:ascii="Arial" w:hAnsi="Arial" w:cs="Arial"/>
        </w:rPr>
        <w:t xml:space="preserve"> models are</w:t>
      </w:r>
      <w:r w:rsidR="00CC3D68">
        <w:rPr>
          <w:rFonts w:ascii="Arial" w:hAnsi="Arial" w:cs="Arial"/>
        </w:rPr>
        <w:t xml:space="preserve"> </w:t>
      </w:r>
      <w:r w:rsidR="00A7391A">
        <w:rPr>
          <w:rFonts w:ascii="Arial" w:hAnsi="Arial" w:cs="Arial"/>
        </w:rPr>
        <w:t>depicted in</w:t>
      </w:r>
      <w:r w:rsidR="00CC3D68">
        <w:rPr>
          <w:rFonts w:ascii="Arial" w:hAnsi="Arial" w:cs="Arial"/>
        </w:rPr>
        <w:t xml:space="preserve"> </w:t>
      </w:r>
      <w:r w:rsidR="006D4931">
        <w:rPr>
          <w:rFonts w:ascii="Arial" w:hAnsi="Arial" w:cs="Arial"/>
        </w:rPr>
        <w:t xml:space="preserve">a </w:t>
      </w:r>
      <w:r w:rsidR="00CC3D68">
        <w:rPr>
          <w:rFonts w:ascii="Arial" w:hAnsi="Arial" w:cs="Arial"/>
        </w:rPr>
        <w:t>diagram or visual representation</w:t>
      </w:r>
      <w:r w:rsidR="009C79A2">
        <w:rPr>
          <w:rFonts w:ascii="Arial" w:hAnsi="Arial" w:cs="Arial"/>
        </w:rPr>
        <w:t>,</w:t>
      </w:r>
      <w:r w:rsidR="00CC3D68">
        <w:rPr>
          <w:rFonts w:ascii="Arial" w:hAnsi="Arial" w:cs="Arial"/>
        </w:rPr>
        <w:t xml:space="preserve"> while others use steps that can be </w:t>
      </w:r>
      <w:r w:rsidR="00CC3D68" w:rsidRPr="008765EE">
        <w:rPr>
          <w:rFonts w:ascii="Arial" w:hAnsi="Arial" w:cs="Arial"/>
        </w:rPr>
        <w:t xml:space="preserve">followed just like the </w:t>
      </w:r>
      <w:r w:rsidR="004D240C">
        <w:rPr>
          <w:rFonts w:ascii="Arial" w:hAnsi="Arial" w:cs="Arial"/>
        </w:rPr>
        <w:t>w</w:t>
      </w:r>
      <w:r w:rsidR="00CC3D68" w:rsidRPr="008765EE">
        <w:rPr>
          <w:rFonts w:ascii="Arial" w:hAnsi="Arial" w:cs="Arial"/>
        </w:rPr>
        <w:t xml:space="preserve">ork </w:t>
      </w:r>
      <w:r w:rsidR="004D240C">
        <w:rPr>
          <w:rFonts w:ascii="Arial" w:hAnsi="Arial" w:cs="Arial"/>
        </w:rPr>
        <w:t>b</w:t>
      </w:r>
      <w:r w:rsidR="00CC3D68" w:rsidRPr="008765EE">
        <w:rPr>
          <w:rFonts w:ascii="Arial" w:hAnsi="Arial" w:cs="Arial"/>
        </w:rPr>
        <w:t>reak</w:t>
      </w:r>
      <w:r w:rsidR="004D240C">
        <w:rPr>
          <w:rFonts w:ascii="Arial" w:hAnsi="Arial" w:cs="Arial"/>
        </w:rPr>
        <w:t>d</w:t>
      </w:r>
      <w:r w:rsidR="00CC3D68" w:rsidRPr="008765EE">
        <w:rPr>
          <w:rFonts w:ascii="Arial" w:hAnsi="Arial" w:cs="Arial"/>
        </w:rPr>
        <w:t xml:space="preserve">own </w:t>
      </w:r>
      <w:r w:rsidR="009C79A2">
        <w:rPr>
          <w:rFonts w:ascii="Arial" w:hAnsi="Arial" w:cs="Arial"/>
        </w:rPr>
        <w:t>s</w:t>
      </w:r>
      <w:r w:rsidR="00CC3D68" w:rsidRPr="008765EE">
        <w:rPr>
          <w:rFonts w:ascii="Arial" w:hAnsi="Arial" w:cs="Arial"/>
        </w:rPr>
        <w:t>tructure</w:t>
      </w:r>
      <w:r w:rsidR="00A7391A">
        <w:rPr>
          <w:rFonts w:ascii="Arial" w:hAnsi="Arial" w:cs="Arial"/>
        </w:rPr>
        <w:t>.</w:t>
      </w:r>
      <w:r w:rsidR="00CC3D68" w:rsidRPr="008765EE">
        <w:rPr>
          <w:rFonts w:ascii="Arial" w:hAnsi="Arial" w:cs="Arial"/>
        </w:rPr>
        <w:t xml:space="preserve"> </w:t>
      </w:r>
      <w:r w:rsidR="005A4E82" w:rsidRPr="005A4E82">
        <w:rPr>
          <w:rFonts w:ascii="Arial" w:hAnsi="Arial" w:cs="Arial"/>
          <w:color w:val="222222"/>
          <w:shd w:val="clear" w:color="auto" w:fill="FFFFFF"/>
        </w:rPr>
        <w:t>The toolkit for securing finan</w:t>
      </w:r>
      <w:r w:rsidR="005A4E82">
        <w:rPr>
          <w:rFonts w:ascii="Arial" w:hAnsi="Arial" w:cs="Arial"/>
          <w:color w:val="222222"/>
          <w:shd w:val="clear" w:color="auto" w:fill="FFFFFF"/>
        </w:rPr>
        <w:t>ce for real estate project development could be said to be ‘hybrid’. This is because the approach to the development of the different compo</w:t>
      </w:r>
      <w:r w:rsidR="00737C3F">
        <w:rPr>
          <w:rFonts w:ascii="Arial" w:hAnsi="Arial" w:cs="Arial"/>
          <w:color w:val="222222"/>
          <w:shd w:val="clear" w:color="auto" w:fill="FFFFFF"/>
        </w:rPr>
        <w:t>nents</w:t>
      </w:r>
      <w:r w:rsidR="005A4E82">
        <w:rPr>
          <w:rFonts w:ascii="Arial" w:hAnsi="Arial" w:cs="Arial"/>
          <w:color w:val="222222"/>
          <w:shd w:val="clear" w:color="auto" w:fill="FFFFFF"/>
        </w:rPr>
        <w:t xml:space="preserve"> could be said to be a mixture </w:t>
      </w:r>
      <w:r w:rsidR="006D4931">
        <w:rPr>
          <w:rFonts w:ascii="Arial" w:hAnsi="Arial" w:cs="Arial"/>
          <w:color w:val="222222"/>
          <w:shd w:val="clear" w:color="auto" w:fill="FFFFFF"/>
        </w:rPr>
        <w:t xml:space="preserve">of </w:t>
      </w:r>
      <w:r w:rsidR="005A4E82">
        <w:rPr>
          <w:rFonts w:ascii="Arial" w:hAnsi="Arial" w:cs="Arial"/>
          <w:color w:val="222222"/>
          <w:shd w:val="clear" w:color="auto" w:fill="FFFFFF"/>
        </w:rPr>
        <w:t xml:space="preserve">visual representation and steps </w:t>
      </w:r>
      <w:r w:rsidR="004D240C">
        <w:rPr>
          <w:rFonts w:ascii="Arial" w:hAnsi="Arial" w:cs="Arial"/>
          <w:color w:val="222222"/>
          <w:shd w:val="clear" w:color="auto" w:fill="FFFFFF"/>
        </w:rPr>
        <w:t xml:space="preserve">to be followed </w:t>
      </w:r>
      <w:r w:rsidR="00C02833" w:rsidRPr="005A4E82">
        <w:rPr>
          <w:rFonts w:ascii="Arial" w:hAnsi="Arial" w:cs="Arial"/>
        </w:rPr>
        <w:t>(Suresh, 2006</w:t>
      </w:r>
      <w:r w:rsidR="004D240C" w:rsidRPr="005A4E82">
        <w:rPr>
          <w:rFonts w:ascii="Arial" w:hAnsi="Arial" w:cs="Arial"/>
        </w:rPr>
        <w:t>).</w:t>
      </w:r>
      <w:r w:rsidR="00C02833" w:rsidRPr="005A4E82">
        <w:rPr>
          <w:rFonts w:ascii="Arial" w:hAnsi="Arial" w:cs="Arial"/>
        </w:rPr>
        <w:t xml:space="preserve"> </w:t>
      </w:r>
      <w:r w:rsidR="00FA6D62">
        <w:rPr>
          <w:rFonts w:ascii="Arial" w:hAnsi="Arial" w:cs="Arial"/>
        </w:rPr>
        <w:t>The toolkit for securing finance for real estate project development prescribes the steps used in the development of the different compo</w:t>
      </w:r>
      <w:r w:rsidR="00737C3F">
        <w:rPr>
          <w:rFonts w:ascii="Arial" w:hAnsi="Arial" w:cs="Arial"/>
        </w:rPr>
        <w:t>nents</w:t>
      </w:r>
      <w:r w:rsidR="00FA6D62">
        <w:rPr>
          <w:rFonts w:ascii="Arial" w:hAnsi="Arial" w:cs="Arial"/>
        </w:rPr>
        <w:t xml:space="preserve"> of the toolkit </w:t>
      </w:r>
      <w:r w:rsidR="00B845DF">
        <w:rPr>
          <w:rFonts w:ascii="Arial" w:hAnsi="Arial" w:cs="Arial"/>
        </w:rPr>
        <w:t>(see</w:t>
      </w:r>
      <w:r w:rsidR="00FA6D62">
        <w:rPr>
          <w:rFonts w:ascii="Arial" w:hAnsi="Arial" w:cs="Arial"/>
        </w:rPr>
        <w:t xml:space="preserve"> chapter 5, 6,7,8 and 9). It also recommends steps in the usage of the toolkit.</w:t>
      </w:r>
    </w:p>
    <w:p w14:paraId="5109F571" w14:textId="390AE6E9" w:rsidR="00B845DF" w:rsidRDefault="00B845DF" w:rsidP="00CD6352">
      <w:pPr>
        <w:spacing w:line="360" w:lineRule="auto"/>
        <w:jc w:val="both"/>
        <w:rPr>
          <w:rFonts w:ascii="Arial" w:hAnsi="Arial" w:cs="Arial"/>
        </w:rPr>
      </w:pPr>
      <w:r>
        <w:rPr>
          <w:rFonts w:ascii="Arial" w:hAnsi="Arial" w:cs="Arial"/>
        </w:rPr>
        <w:lastRenderedPageBreak/>
        <w:t>The toolkit for securing finance for real estate project development was developed through a thorough review of literature on the real estate sector</w:t>
      </w:r>
      <w:r w:rsidR="00EC51F7">
        <w:rPr>
          <w:rFonts w:ascii="Arial" w:hAnsi="Arial" w:cs="Arial"/>
        </w:rPr>
        <w:t xml:space="preserve"> in </w:t>
      </w:r>
      <w:r>
        <w:rPr>
          <w:rFonts w:ascii="Arial" w:hAnsi="Arial" w:cs="Arial"/>
        </w:rPr>
        <w:t xml:space="preserve">the developed and </w:t>
      </w:r>
      <w:r w:rsidR="00EC51F7">
        <w:rPr>
          <w:rFonts w:ascii="Arial" w:hAnsi="Arial" w:cs="Arial"/>
        </w:rPr>
        <w:t xml:space="preserve">emerging economies, skills, knowledge, competences, training, career path and education ( see chapter 2 and 3). Furthermore, it </w:t>
      </w:r>
      <w:r w:rsidR="00B6660E">
        <w:rPr>
          <w:rFonts w:ascii="Arial" w:hAnsi="Arial" w:cs="Arial"/>
        </w:rPr>
        <w:t>fundamentally used the data</w:t>
      </w:r>
      <w:r w:rsidR="00EC51F7">
        <w:rPr>
          <w:rFonts w:ascii="Arial" w:hAnsi="Arial" w:cs="Arial"/>
        </w:rPr>
        <w:t xml:space="preserve"> collected </w:t>
      </w:r>
      <w:r w:rsidR="00190255">
        <w:rPr>
          <w:rFonts w:ascii="Arial" w:hAnsi="Arial" w:cs="Arial"/>
        </w:rPr>
        <w:t xml:space="preserve">from </w:t>
      </w:r>
      <w:r w:rsidR="00EC51F7">
        <w:rPr>
          <w:rFonts w:ascii="Arial" w:hAnsi="Arial" w:cs="Arial"/>
        </w:rPr>
        <w:t>11</w:t>
      </w:r>
      <w:r w:rsidR="00190255">
        <w:rPr>
          <w:rFonts w:ascii="Arial" w:hAnsi="Arial" w:cs="Arial"/>
        </w:rPr>
        <w:t>6</w:t>
      </w:r>
      <w:r w:rsidR="00EC51F7">
        <w:rPr>
          <w:rFonts w:ascii="Arial" w:hAnsi="Arial" w:cs="Arial"/>
        </w:rPr>
        <w:t xml:space="preserve"> managers in the real estate sectors of both the developed and emerging economies who are involved in securing finance for real estate project development.</w:t>
      </w:r>
      <w:r w:rsidR="006D4096">
        <w:rPr>
          <w:rFonts w:ascii="Arial" w:hAnsi="Arial" w:cs="Arial"/>
        </w:rPr>
        <w:t xml:space="preserve"> </w:t>
      </w:r>
      <w:r w:rsidR="00D650AD">
        <w:rPr>
          <w:rFonts w:ascii="Arial" w:hAnsi="Arial" w:cs="Arial"/>
        </w:rPr>
        <w:t>Specifically,</w:t>
      </w:r>
      <w:r w:rsidR="006D4096">
        <w:rPr>
          <w:rFonts w:ascii="Arial" w:hAnsi="Arial" w:cs="Arial"/>
        </w:rPr>
        <w:t xml:space="preserve"> these managers were from the developed economies of Germany, </w:t>
      </w:r>
      <w:r w:rsidR="006D4931">
        <w:rPr>
          <w:rFonts w:ascii="Arial" w:hAnsi="Arial" w:cs="Arial"/>
        </w:rPr>
        <w:t xml:space="preserve">the </w:t>
      </w:r>
      <w:r w:rsidR="006D4096">
        <w:rPr>
          <w:rFonts w:ascii="Arial" w:hAnsi="Arial" w:cs="Arial"/>
        </w:rPr>
        <w:t xml:space="preserve">UK and </w:t>
      </w:r>
      <w:r w:rsidR="006D4931">
        <w:rPr>
          <w:rFonts w:ascii="Arial" w:hAnsi="Arial" w:cs="Arial"/>
        </w:rPr>
        <w:t xml:space="preserve">the </w:t>
      </w:r>
      <w:r w:rsidR="006D4096">
        <w:rPr>
          <w:rFonts w:ascii="Arial" w:hAnsi="Arial" w:cs="Arial"/>
        </w:rPr>
        <w:t>USA</w:t>
      </w:r>
      <w:r w:rsidR="00B6660E">
        <w:rPr>
          <w:rFonts w:ascii="Arial" w:hAnsi="Arial" w:cs="Arial"/>
        </w:rPr>
        <w:t>,</w:t>
      </w:r>
      <w:r w:rsidR="006D4096">
        <w:rPr>
          <w:rFonts w:ascii="Arial" w:hAnsi="Arial" w:cs="Arial"/>
        </w:rPr>
        <w:t xml:space="preserve"> while the emerging economies are China, Nigeria and South </w:t>
      </w:r>
      <w:r w:rsidR="00C04DEF">
        <w:rPr>
          <w:rFonts w:ascii="Arial" w:hAnsi="Arial" w:cs="Arial"/>
        </w:rPr>
        <w:t>Africa.</w:t>
      </w:r>
      <w:r w:rsidR="00EC51F7">
        <w:rPr>
          <w:rFonts w:ascii="Arial" w:hAnsi="Arial" w:cs="Arial"/>
        </w:rPr>
        <w:t xml:space="preserve"> </w:t>
      </w:r>
      <w:r w:rsidR="006D4096">
        <w:rPr>
          <w:rFonts w:ascii="Arial" w:hAnsi="Arial" w:cs="Arial"/>
        </w:rPr>
        <w:t>Thirty-five</w:t>
      </w:r>
      <w:r w:rsidR="00EC51F7">
        <w:rPr>
          <w:rFonts w:ascii="Arial" w:hAnsi="Arial" w:cs="Arial"/>
        </w:rPr>
        <w:t xml:space="preserve"> (35) of these managers provided information through semi</w:t>
      </w:r>
      <w:r w:rsidR="006D4931">
        <w:rPr>
          <w:rFonts w:ascii="Arial" w:hAnsi="Arial" w:cs="Arial"/>
        </w:rPr>
        <w:t>-</w:t>
      </w:r>
      <w:r w:rsidR="00EC51F7">
        <w:rPr>
          <w:rFonts w:ascii="Arial" w:hAnsi="Arial" w:cs="Arial"/>
        </w:rPr>
        <w:t>structured interviews</w:t>
      </w:r>
      <w:r w:rsidR="00B6660E">
        <w:rPr>
          <w:rFonts w:ascii="Arial" w:hAnsi="Arial" w:cs="Arial"/>
        </w:rPr>
        <w:t>,</w:t>
      </w:r>
      <w:r w:rsidR="00EC51F7">
        <w:rPr>
          <w:rFonts w:ascii="Arial" w:hAnsi="Arial" w:cs="Arial"/>
        </w:rPr>
        <w:t xml:space="preserve"> while 81 was through </w:t>
      </w:r>
      <w:r w:rsidR="00737C3F">
        <w:rPr>
          <w:rFonts w:ascii="Arial" w:hAnsi="Arial" w:cs="Arial"/>
        </w:rPr>
        <w:t xml:space="preserve">a </w:t>
      </w:r>
      <w:r w:rsidR="00EC51F7">
        <w:rPr>
          <w:rFonts w:ascii="Arial" w:hAnsi="Arial" w:cs="Arial"/>
        </w:rPr>
        <w:t xml:space="preserve">questionnaire survey.  </w:t>
      </w:r>
      <w:r w:rsidR="003A77FE">
        <w:rPr>
          <w:rFonts w:ascii="Arial" w:hAnsi="Arial" w:cs="Arial"/>
        </w:rPr>
        <w:t xml:space="preserve">The managers volunteered </w:t>
      </w:r>
      <w:r w:rsidR="002F0663">
        <w:rPr>
          <w:rFonts w:ascii="Arial" w:hAnsi="Arial" w:cs="Arial"/>
        </w:rPr>
        <w:t xml:space="preserve">the </w:t>
      </w:r>
      <w:r w:rsidR="003A77FE">
        <w:rPr>
          <w:rFonts w:ascii="Arial" w:hAnsi="Arial" w:cs="Arial"/>
        </w:rPr>
        <w:t xml:space="preserve">information </w:t>
      </w:r>
      <w:r w:rsidR="006D4931">
        <w:rPr>
          <w:rFonts w:ascii="Arial" w:hAnsi="Arial" w:cs="Arial"/>
        </w:rPr>
        <w:t>that</w:t>
      </w:r>
      <w:r w:rsidR="003A77FE">
        <w:rPr>
          <w:rFonts w:ascii="Arial" w:hAnsi="Arial" w:cs="Arial"/>
        </w:rPr>
        <w:t xml:space="preserve"> facilitated the development of the toolkit for securing finance for real estate project </w:t>
      </w:r>
      <w:r w:rsidR="00C04DEF">
        <w:rPr>
          <w:rFonts w:ascii="Arial" w:hAnsi="Arial" w:cs="Arial"/>
        </w:rPr>
        <w:t>development.</w:t>
      </w:r>
      <w:r w:rsidR="00A40131">
        <w:rPr>
          <w:rFonts w:ascii="Arial" w:hAnsi="Arial" w:cs="Arial"/>
        </w:rPr>
        <w:t xml:space="preserve"> The responses helped </w:t>
      </w:r>
      <w:r w:rsidR="00B6660E">
        <w:rPr>
          <w:rFonts w:ascii="Arial" w:hAnsi="Arial" w:cs="Arial"/>
        </w:rPr>
        <w:t>meet the research objectives and develop</w:t>
      </w:r>
      <w:r w:rsidR="00A40131">
        <w:rPr>
          <w:rFonts w:ascii="Arial" w:hAnsi="Arial" w:cs="Arial"/>
        </w:rPr>
        <w:t xml:space="preserve"> the individual compo</w:t>
      </w:r>
      <w:r w:rsidR="00737C3F">
        <w:rPr>
          <w:rFonts w:ascii="Arial" w:hAnsi="Arial" w:cs="Arial"/>
        </w:rPr>
        <w:t>nents</w:t>
      </w:r>
      <w:r w:rsidR="00A40131">
        <w:rPr>
          <w:rFonts w:ascii="Arial" w:hAnsi="Arial" w:cs="Arial"/>
        </w:rPr>
        <w:t xml:space="preserve"> of the toolkit </w:t>
      </w:r>
      <w:r w:rsidR="00B6660E">
        <w:rPr>
          <w:rFonts w:ascii="Arial" w:hAnsi="Arial" w:cs="Arial"/>
        </w:rPr>
        <w:t xml:space="preserve">as contained in table 1.2. </w:t>
      </w:r>
    </w:p>
    <w:p w14:paraId="5C1F1E85" w14:textId="1DE479B7" w:rsidR="00CD6352" w:rsidRDefault="00CD6352" w:rsidP="00CD6352">
      <w:pPr>
        <w:spacing w:before="240" w:line="360" w:lineRule="auto"/>
        <w:jc w:val="both"/>
        <w:rPr>
          <w:rFonts w:ascii="Arial" w:hAnsi="Arial" w:cs="Arial"/>
        </w:rPr>
      </w:pPr>
      <w:r w:rsidRPr="00E2675B">
        <w:rPr>
          <w:rFonts w:ascii="Arial" w:hAnsi="Arial" w:cs="Arial"/>
        </w:rPr>
        <w:t>The next section presents the various elements of the toolkit for securing finance for real estate project development. The toolkit is presented in a series of short chapters, just like the World Bank’s toolkit for the evaluation of financial capability programs in low and middle-income countries (Young et al., 2013).</w:t>
      </w:r>
    </w:p>
    <w:p w14:paraId="7669D496" w14:textId="7A3FFA40" w:rsidR="00720421" w:rsidRPr="000A4261" w:rsidRDefault="00720421" w:rsidP="00720421">
      <w:pPr>
        <w:pStyle w:val="Caption"/>
        <w:rPr>
          <w:rFonts w:ascii="Arial" w:hAnsi="Arial" w:cs="Arial"/>
          <w:sz w:val="16"/>
          <w:szCs w:val="16"/>
        </w:rPr>
      </w:pPr>
      <w:bookmarkStart w:id="1461" w:name="_Toc78984042"/>
      <w:r w:rsidRPr="000A4261">
        <w:rPr>
          <w:rFonts w:ascii="Arial" w:hAnsi="Arial" w:cs="Arial"/>
          <w:sz w:val="16"/>
          <w:szCs w:val="16"/>
        </w:rPr>
        <w:t xml:space="preserve">Table </w:t>
      </w:r>
      <w:r w:rsidR="008F25B1" w:rsidRPr="000A4261">
        <w:rPr>
          <w:rFonts w:ascii="Arial" w:hAnsi="Arial" w:cs="Arial"/>
          <w:sz w:val="16"/>
          <w:szCs w:val="16"/>
        </w:rPr>
        <w:fldChar w:fldCharType="begin"/>
      </w:r>
      <w:r w:rsidR="008F25B1" w:rsidRPr="000A4261">
        <w:rPr>
          <w:rFonts w:ascii="Arial" w:hAnsi="Arial" w:cs="Arial"/>
          <w:sz w:val="16"/>
          <w:szCs w:val="16"/>
        </w:rPr>
        <w:instrText xml:space="preserve"> STYLEREF 2 \s </w:instrText>
      </w:r>
      <w:r w:rsidR="008F25B1" w:rsidRPr="000A4261">
        <w:rPr>
          <w:rFonts w:ascii="Arial" w:hAnsi="Arial" w:cs="Arial"/>
          <w:sz w:val="16"/>
          <w:szCs w:val="16"/>
        </w:rPr>
        <w:fldChar w:fldCharType="separate"/>
      </w:r>
      <w:r w:rsidR="008F25B1" w:rsidRPr="000A4261">
        <w:rPr>
          <w:rFonts w:ascii="Arial" w:hAnsi="Arial" w:cs="Arial"/>
          <w:noProof/>
          <w:sz w:val="16"/>
          <w:szCs w:val="16"/>
        </w:rPr>
        <w:t>10.2</w:t>
      </w:r>
      <w:r w:rsidR="008F25B1" w:rsidRPr="000A4261">
        <w:rPr>
          <w:rFonts w:ascii="Arial" w:hAnsi="Arial" w:cs="Arial"/>
          <w:sz w:val="16"/>
          <w:szCs w:val="16"/>
        </w:rPr>
        <w:fldChar w:fldCharType="end"/>
      </w:r>
      <w:r w:rsidR="008F25B1" w:rsidRPr="000A4261">
        <w:rPr>
          <w:rFonts w:ascii="Arial" w:hAnsi="Arial" w:cs="Arial"/>
          <w:sz w:val="16"/>
          <w:szCs w:val="16"/>
        </w:rPr>
        <w:noBreakHyphen/>
      </w:r>
      <w:r w:rsidR="008F25B1" w:rsidRPr="000A4261">
        <w:rPr>
          <w:rFonts w:ascii="Arial" w:hAnsi="Arial" w:cs="Arial"/>
          <w:sz w:val="16"/>
          <w:szCs w:val="16"/>
        </w:rPr>
        <w:fldChar w:fldCharType="begin"/>
      </w:r>
      <w:r w:rsidR="008F25B1" w:rsidRPr="000A4261">
        <w:rPr>
          <w:rFonts w:ascii="Arial" w:hAnsi="Arial" w:cs="Arial"/>
          <w:sz w:val="16"/>
          <w:szCs w:val="16"/>
        </w:rPr>
        <w:instrText xml:space="preserve"> SEQ Table \* ARABIC \s 2 </w:instrText>
      </w:r>
      <w:r w:rsidR="008F25B1" w:rsidRPr="000A4261">
        <w:rPr>
          <w:rFonts w:ascii="Arial" w:hAnsi="Arial" w:cs="Arial"/>
          <w:sz w:val="16"/>
          <w:szCs w:val="16"/>
        </w:rPr>
        <w:fldChar w:fldCharType="separate"/>
      </w:r>
      <w:r w:rsidR="008F25B1" w:rsidRPr="000A4261">
        <w:rPr>
          <w:rFonts w:ascii="Arial" w:hAnsi="Arial" w:cs="Arial"/>
          <w:noProof/>
          <w:sz w:val="16"/>
          <w:szCs w:val="16"/>
        </w:rPr>
        <w:t>1</w:t>
      </w:r>
      <w:r w:rsidR="008F25B1" w:rsidRPr="000A4261">
        <w:rPr>
          <w:rFonts w:ascii="Arial" w:hAnsi="Arial" w:cs="Arial"/>
          <w:sz w:val="16"/>
          <w:szCs w:val="16"/>
        </w:rPr>
        <w:fldChar w:fldCharType="end"/>
      </w:r>
      <w:r w:rsidRPr="000A4261">
        <w:rPr>
          <w:rFonts w:ascii="Arial" w:hAnsi="Arial" w:cs="Arial"/>
          <w:sz w:val="16"/>
          <w:szCs w:val="16"/>
        </w:rPr>
        <w:t>: Toolkit for securing finance for real estate project development (A reader’s guide to the toolkit)</w:t>
      </w:r>
      <w:bookmarkEnd w:id="1461"/>
    </w:p>
    <w:tbl>
      <w:tblPr>
        <w:tblStyle w:val="TableGrid"/>
        <w:tblW w:w="5000" w:type="pct"/>
        <w:tblLook w:val="04A0" w:firstRow="1" w:lastRow="0" w:firstColumn="1" w:lastColumn="0" w:noHBand="0" w:noVBand="1"/>
      </w:tblPr>
      <w:tblGrid>
        <w:gridCol w:w="9016"/>
      </w:tblGrid>
      <w:tr w:rsidR="00CD6352" w:rsidRPr="00F155F1" w14:paraId="3A68203C" w14:textId="77777777" w:rsidTr="00CD6352">
        <w:tc>
          <w:tcPr>
            <w:tcW w:w="5000" w:type="pct"/>
          </w:tcPr>
          <w:p w14:paraId="03AA616C" w14:textId="77777777" w:rsidR="00CD6352" w:rsidRPr="00F155F1" w:rsidRDefault="00CD6352" w:rsidP="00CD6352">
            <w:pPr>
              <w:rPr>
                <w:rFonts w:ascii="Arial" w:hAnsi="Arial" w:cs="Arial"/>
                <w:color w:val="0070C0"/>
                <w:sz w:val="16"/>
                <w:szCs w:val="16"/>
              </w:rPr>
            </w:pPr>
            <w:r w:rsidRPr="00F155F1">
              <w:rPr>
                <w:rFonts w:ascii="Arial" w:hAnsi="Arial" w:cs="Arial"/>
                <w:color w:val="0070C0"/>
                <w:sz w:val="16"/>
                <w:szCs w:val="16"/>
              </w:rPr>
              <w:t>Stage 1: Inventory of finance options and criteria for securing finance for real estate project development</w:t>
            </w:r>
          </w:p>
        </w:tc>
      </w:tr>
      <w:tr w:rsidR="00CD6352" w:rsidRPr="00F155F1" w14:paraId="4BB5B602" w14:textId="77777777" w:rsidTr="00CD6352">
        <w:tc>
          <w:tcPr>
            <w:tcW w:w="5000" w:type="pct"/>
          </w:tcPr>
          <w:p w14:paraId="47A979E2"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Finance type</w:t>
            </w:r>
          </w:p>
        </w:tc>
      </w:tr>
      <w:tr w:rsidR="00CD6352" w:rsidRPr="00F155F1" w14:paraId="443E4FDE" w14:textId="77777777" w:rsidTr="00CD6352">
        <w:tc>
          <w:tcPr>
            <w:tcW w:w="5000" w:type="pct"/>
          </w:tcPr>
          <w:p w14:paraId="15143B94"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Finance option</w:t>
            </w:r>
            <w:r>
              <w:rPr>
                <w:rFonts w:ascii="Arial" w:hAnsi="Arial" w:cs="Arial"/>
                <w:sz w:val="16"/>
                <w:szCs w:val="16"/>
              </w:rPr>
              <w:t>s</w:t>
            </w:r>
          </w:p>
        </w:tc>
      </w:tr>
      <w:tr w:rsidR="00CD6352" w:rsidRPr="00F155F1" w14:paraId="58E14219" w14:textId="77777777" w:rsidTr="00CD6352">
        <w:tc>
          <w:tcPr>
            <w:tcW w:w="5000" w:type="pct"/>
          </w:tcPr>
          <w:p w14:paraId="258ACCD8" w14:textId="717A6A6C" w:rsidR="00CD6352" w:rsidRPr="00F155F1" w:rsidRDefault="00075667" w:rsidP="00CD6352">
            <w:pPr>
              <w:ind w:left="720"/>
              <w:rPr>
                <w:rFonts w:ascii="Arial" w:hAnsi="Arial" w:cs="Arial"/>
                <w:sz w:val="16"/>
                <w:szCs w:val="16"/>
              </w:rPr>
            </w:pPr>
            <w:r>
              <w:rPr>
                <w:rFonts w:ascii="Arial" w:hAnsi="Arial" w:cs="Arial"/>
                <w:sz w:val="16"/>
                <w:szCs w:val="16"/>
              </w:rPr>
              <w:t>The d</w:t>
            </w:r>
            <w:r w:rsidR="00CD6352" w:rsidRPr="00F155F1">
              <w:rPr>
                <w:rFonts w:ascii="Arial" w:hAnsi="Arial" w:cs="Arial"/>
                <w:sz w:val="16"/>
                <w:szCs w:val="16"/>
              </w:rPr>
              <w:t>ecision on capital structure</w:t>
            </w:r>
          </w:p>
        </w:tc>
      </w:tr>
      <w:tr w:rsidR="00CD6352" w:rsidRPr="00F155F1" w14:paraId="3F188E78" w14:textId="77777777" w:rsidTr="00CD6352">
        <w:tc>
          <w:tcPr>
            <w:tcW w:w="5000" w:type="pct"/>
          </w:tcPr>
          <w:p w14:paraId="54B1ABCC"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Criteria for securing finance for real estate project development</w:t>
            </w:r>
          </w:p>
        </w:tc>
      </w:tr>
      <w:tr w:rsidR="00CD6352" w:rsidRPr="00F155F1" w14:paraId="27E97D88" w14:textId="77777777" w:rsidTr="00CD6352">
        <w:tc>
          <w:tcPr>
            <w:tcW w:w="5000" w:type="pct"/>
          </w:tcPr>
          <w:p w14:paraId="2C1E77DF" w14:textId="77777777" w:rsidR="00CD6352" w:rsidRPr="00F155F1" w:rsidRDefault="00CD6352" w:rsidP="00CD6352">
            <w:pPr>
              <w:rPr>
                <w:rFonts w:ascii="Arial" w:hAnsi="Arial" w:cs="Arial"/>
                <w:color w:val="0070C0"/>
                <w:sz w:val="16"/>
                <w:szCs w:val="16"/>
              </w:rPr>
            </w:pPr>
            <w:r w:rsidRPr="00F155F1">
              <w:rPr>
                <w:rFonts w:ascii="Arial" w:hAnsi="Arial" w:cs="Arial"/>
                <w:color w:val="0070C0"/>
                <w:sz w:val="16"/>
                <w:szCs w:val="16"/>
              </w:rPr>
              <w:t xml:space="preserve">Stage 2: </w:t>
            </w:r>
            <w:r>
              <w:rPr>
                <w:rFonts w:ascii="Arial" w:hAnsi="Arial" w:cs="Arial"/>
                <w:color w:val="0070C0"/>
                <w:sz w:val="16"/>
                <w:szCs w:val="16"/>
              </w:rPr>
              <w:t>Conceptual framework for e</w:t>
            </w:r>
            <w:r w:rsidRPr="00F155F1">
              <w:rPr>
                <w:rFonts w:ascii="Arial" w:hAnsi="Arial" w:cs="Arial"/>
                <w:color w:val="0070C0"/>
                <w:sz w:val="16"/>
                <w:szCs w:val="16"/>
              </w:rPr>
              <w:t>nvironmental scan for securing finance for real estate project development</w:t>
            </w:r>
          </w:p>
        </w:tc>
      </w:tr>
      <w:tr w:rsidR="00CD6352" w:rsidRPr="00F155F1" w14:paraId="5AAD0E6D" w14:textId="77777777" w:rsidTr="00CD6352">
        <w:tc>
          <w:tcPr>
            <w:tcW w:w="5000" w:type="pct"/>
          </w:tcPr>
          <w:p w14:paraId="438183E0"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External environmental scan</w:t>
            </w:r>
          </w:p>
        </w:tc>
      </w:tr>
      <w:tr w:rsidR="00CD6352" w:rsidRPr="00F155F1" w14:paraId="332C513D" w14:textId="77777777" w:rsidTr="00CD6352">
        <w:tc>
          <w:tcPr>
            <w:tcW w:w="5000" w:type="pct"/>
          </w:tcPr>
          <w:p w14:paraId="3C0F5493"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 xml:space="preserve">Internal environmental scan </w:t>
            </w:r>
          </w:p>
        </w:tc>
      </w:tr>
      <w:tr w:rsidR="00CD6352" w:rsidRPr="00F155F1" w14:paraId="06405FC0" w14:textId="77777777" w:rsidTr="00CD6352">
        <w:tc>
          <w:tcPr>
            <w:tcW w:w="5000" w:type="pct"/>
          </w:tcPr>
          <w:p w14:paraId="46354FBA"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Feedback mechanism</w:t>
            </w:r>
          </w:p>
        </w:tc>
      </w:tr>
      <w:tr w:rsidR="00CD6352" w:rsidRPr="00F155F1" w14:paraId="714E48CA" w14:textId="77777777" w:rsidTr="00CD6352">
        <w:tc>
          <w:tcPr>
            <w:tcW w:w="5000" w:type="pct"/>
          </w:tcPr>
          <w:p w14:paraId="6EA5FFAB" w14:textId="77777777" w:rsidR="00CD6352" w:rsidRPr="00F155F1" w:rsidRDefault="00CD6352" w:rsidP="00CD6352">
            <w:pPr>
              <w:rPr>
                <w:rFonts w:ascii="Arial" w:hAnsi="Arial" w:cs="Arial"/>
                <w:color w:val="0070C0"/>
                <w:sz w:val="16"/>
                <w:szCs w:val="16"/>
              </w:rPr>
            </w:pPr>
            <w:r w:rsidRPr="00F155F1">
              <w:rPr>
                <w:rFonts w:ascii="Arial" w:hAnsi="Arial" w:cs="Arial"/>
                <w:color w:val="0070C0"/>
                <w:sz w:val="16"/>
                <w:szCs w:val="16"/>
              </w:rPr>
              <w:t>Stage 3: Process map for securing finance for real estate project development</w:t>
            </w:r>
          </w:p>
        </w:tc>
      </w:tr>
      <w:tr w:rsidR="00CD6352" w:rsidRPr="00F155F1" w14:paraId="5FFCE222" w14:textId="77777777" w:rsidTr="00CD6352">
        <w:tc>
          <w:tcPr>
            <w:tcW w:w="5000" w:type="pct"/>
          </w:tcPr>
          <w:p w14:paraId="634B6F62" w14:textId="77777777" w:rsidR="00CD6352" w:rsidRPr="00F155F1" w:rsidRDefault="00CD6352" w:rsidP="00CD6352">
            <w:pPr>
              <w:ind w:left="720"/>
              <w:rPr>
                <w:rFonts w:ascii="Arial" w:hAnsi="Arial" w:cs="Arial"/>
                <w:color w:val="0070C0"/>
                <w:sz w:val="16"/>
                <w:szCs w:val="16"/>
              </w:rPr>
            </w:pPr>
            <w:r w:rsidRPr="00F155F1">
              <w:rPr>
                <w:rFonts w:ascii="Arial" w:hAnsi="Arial" w:cs="Arial"/>
                <w:sz w:val="16"/>
                <w:szCs w:val="16"/>
              </w:rPr>
              <w:t>Stages</w:t>
            </w:r>
          </w:p>
        </w:tc>
      </w:tr>
      <w:tr w:rsidR="00CD6352" w:rsidRPr="00F155F1" w14:paraId="4C537E49" w14:textId="77777777" w:rsidTr="00CD6352">
        <w:tc>
          <w:tcPr>
            <w:tcW w:w="5000" w:type="pct"/>
          </w:tcPr>
          <w:p w14:paraId="037C22E6" w14:textId="0E5B9F38" w:rsidR="00CD6352" w:rsidRPr="00F155F1" w:rsidRDefault="00CD6352" w:rsidP="00CD6352">
            <w:pPr>
              <w:ind w:left="720"/>
              <w:rPr>
                <w:rFonts w:ascii="Arial" w:hAnsi="Arial" w:cs="Arial"/>
                <w:sz w:val="16"/>
                <w:szCs w:val="16"/>
              </w:rPr>
            </w:pPr>
            <w:r w:rsidRPr="00F155F1">
              <w:rPr>
                <w:rFonts w:ascii="Arial" w:hAnsi="Arial" w:cs="Arial"/>
                <w:sz w:val="16"/>
                <w:szCs w:val="16"/>
              </w:rPr>
              <w:t>Routines / key decision</w:t>
            </w:r>
            <w:r w:rsidR="00815564">
              <w:rPr>
                <w:rFonts w:ascii="Arial" w:hAnsi="Arial" w:cs="Arial"/>
                <w:sz w:val="16"/>
                <w:szCs w:val="16"/>
              </w:rPr>
              <w:t>s</w:t>
            </w:r>
            <w:r>
              <w:rPr>
                <w:rFonts w:ascii="Arial" w:hAnsi="Arial" w:cs="Arial"/>
                <w:sz w:val="16"/>
                <w:szCs w:val="16"/>
              </w:rPr>
              <w:t xml:space="preserve"> and </w:t>
            </w:r>
            <w:r w:rsidRPr="00F155F1">
              <w:rPr>
                <w:rFonts w:ascii="Arial" w:hAnsi="Arial" w:cs="Arial"/>
                <w:sz w:val="16"/>
                <w:szCs w:val="16"/>
              </w:rPr>
              <w:t>processes</w:t>
            </w:r>
          </w:p>
        </w:tc>
      </w:tr>
      <w:tr w:rsidR="00CD6352" w:rsidRPr="00F155F1" w14:paraId="10D5AE00" w14:textId="77777777" w:rsidTr="00CD6352">
        <w:tc>
          <w:tcPr>
            <w:tcW w:w="5000" w:type="pct"/>
          </w:tcPr>
          <w:p w14:paraId="3A20A138" w14:textId="77777777" w:rsidR="00CD6352" w:rsidRPr="00F155F1" w:rsidRDefault="00CD6352" w:rsidP="00CD6352">
            <w:pPr>
              <w:rPr>
                <w:rFonts w:ascii="Arial" w:hAnsi="Arial" w:cs="Arial"/>
                <w:sz w:val="16"/>
                <w:szCs w:val="16"/>
              </w:rPr>
            </w:pPr>
            <w:r w:rsidRPr="00F155F1">
              <w:rPr>
                <w:rFonts w:ascii="Arial" w:hAnsi="Arial" w:cs="Arial"/>
                <w:color w:val="0070C0"/>
                <w:sz w:val="16"/>
                <w:szCs w:val="16"/>
              </w:rPr>
              <w:t>Stage 4: Inventory of skills knowledge &amp; competences</w:t>
            </w:r>
          </w:p>
        </w:tc>
      </w:tr>
      <w:tr w:rsidR="00CD6352" w:rsidRPr="00F155F1" w14:paraId="1B7E6B06" w14:textId="77777777" w:rsidTr="00CD6352">
        <w:tc>
          <w:tcPr>
            <w:tcW w:w="5000" w:type="pct"/>
          </w:tcPr>
          <w:p w14:paraId="7080E281"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 xml:space="preserve"> Inventory of management skills for securing finance for real estate project development</w:t>
            </w:r>
          </w:p>
        </w:tc>
      </w:tr>
      <w:tr w:rsidR="00CD6352" w:rsidRPr="00F155F1" w14:paraId="33F0D7FF" w14:textId="77777777" w:rsidTr="00CD6352">
        <w:tc>
          <w:tcPr>
            <w:tcW w:w="5000" w:type="pct"/>
          </w:tcPr>
          <w:p w14:paraId="5BDC77E8"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 xml:space="preserve"> Inventory of management knowledge for securing finance for real estate project development</w:t>
            </w:r>
          </w:p>
        </w:tc>
      </w:tr>
      <w:tr w:rsidR="00CD6352" w:rsidRPr="00F155F1" w14:paraId="113BB4DB" w14:textId="77777777" w:rsidTr="00CD6352">
        <w:tc>
          <w:tcPr>
            <w:tcW w:w="5000" w:type="pct"/>
          </w:tcPr>
          <w:p w14:paraId="399B2DE0"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Inventory of management competences for securing finance for real estate project development</w:t>
            </w:r>
          </w:p>
        </w:tc>
      </w:tr>
      <w:tr w:rsidR="00CD6352" w:rsidRPr="00F155F1" w14:paraId="27446B79" w14:textId="77777777" w:rsidTr="00CD6352">
        <w:tc>
          <w:tcPr>
            <w:tcW w:w="5000" w:type="pct"/>
          </w:tcPr>
          <w:p w14:paraId="3A95FE2A" w14:textId="77777777" w:rsidR="00CD6352" w:rsidRPr="00F155F1" w:rsidRDefault="00CD6352" w:rsidP="00CD6352">
            <w:pPr>
              <w:rPr>
                <w:rFonts w:ascii="Arial" w:hAnsi="Arial" w:cs="Arial"/>
                <w:sz w:val="16"/>
                <w:szCs w:val="16"/>
              </w:rPr>
            </w:pPr>
            <w:r w:rsidRPr="00F155F1">
              <w:rPr>
                <w:rFonts w:ascii="Arial" w:hAnsi="Arial" w:cs="Arial"/>
                <w:color w:val="0070C0"/>
                <w:sz w:val="16"/>
                <w:szCs w:val="16"/>
              </w:rPr>
              <w:t xml:space="preserve">Stage </w:t>
            </w:r>
            <w:r>
              <w:rPr>
                <w:rFonts w:ascii="Arial" w:hAnsi="Arial" w:cs="Arial"/>
                <w:color w:val="0070C0"/>
                <w:sz w:val="16"/>
                <w:szCs w:val="16"/>
              </w:rPr>
              <w:t>5</w:t>
            </w:r>
            <w:r w:rsidRPr="00F155F1">
              <w:rPr>
                <w:rFonts w:ascii="Arial" w:hAnsi="Arial" w:cs="Arial"/>
                <w:color w:val="0070C0"/>
                <w:sz w:val="16"/>
                <w:szCs w:val="16"/>
              </w:rPr>
              <w:t xml:space="preserve">: </w:t>
            </w:r>
            <w:r>
              <w:rPr>
                <w:rFonts w:ascii="Arial" w:hAnsi="Arial" w:cs="Arial"/>
                <w:color w:val="0070C0"/>
                <w:sz w:val="16"/>
                <w:szCs w:val="16"/>
              </w:rPr>
              <w:t>Conceptual f</w:t>
            </w:r>
            <w:r w:rsidRPr="00F155F1">
              <w:rPr>
                <w:rFonts w:ascii="Arial" w:hAnsi="Arial" w:cs="Arial"/>
                <w:color w:val="0070C0"/>
                <w:sz w:val="16"/>
                <w:szCs w:val="16"/>
              </w:rPr>
              <w:t xml:space="preserve">ramework for </w:t>
            </w:r>
            <w:r>
              <w:rPr>
                <w:rFonts w:ascii="Arial" w:hAnsi="Arial" w:cs="Arial"/>
                <w:color w:val="0070C0"/>
                <w:sz w:val="16"/>
                <w:szCs w:val="16"/>
              </w:rPr>
              <w:t xml:space="preserve">career path </w:t>
            </w:r>
            <w:r w:rsidRPr="00F155F1">
              <w:rPr>
                <w:rFonts w:ascii="Arial" w:hAnsi="Arial" w:cs="Arial"/>
                <w:color w:val="0070C0"/>
                <w:sz w:val="16"/>
                <w:szCs w:val="16"/>
              </w:rPr>
              <w:t xml:space="preserve"> for securing finance for real estate project development</w:t>
            </w:r>
          </w:p>
        </w:tc>
      </w:tr>
      <w:tr w:rsidR="00CD6352" w:rsidRPr="00F155F1" w14:paraId="39A529F5" w14:textId="77777777" w:rsidTr="00CD6352">
        <w:tc>
          <w:tcPr>
            <w:tcW w:w="5000" w:type="pct"/>
          </w:tcPr>
          <w:p w14:paraId="06DBCF1C"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Career history</w:t>
            </w:r>
          </w:p>
        </w:tc>
      </w:tr>
      <w:tr w:rsidR="00CD6352" w:rsidRPr="00F155F1" w14:paraId="1F0B01F5" w14:textId="77777777" w:rsidTr="00CD6352">
        <w:tc>
          <w:tcPr>
            <w:tcW w:w="5000" w:type="pct"/>
          </w:tcPr>
          <w:p w14:paraId="10476C1B"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Education</w:t>
            </w:r>
          </w:p>
        </w:tc>
      </w:tr>
      <w:tr w:rsidR="00CD6352" w:rsidRPr="00F155F1" w14:paraId="0FEA8E76" w14:textId="77777777" w:rsidTr="00CD6352">
        <w:tc>
          <w:tcPr>
            <w:tcW w:w="5000" w:type="pct"/>
          </w:tcPr>
          <w:p w14:paraId="0456C5AF" w14:textId="6E92ACC8" w:rsidR="00CD6352" w:rsidRPr="00F155F1" w:rsidRDefault="00CD6352" w:rsidP="00CD6352">
            <w:pPr>
              <w:ind w:left="720"/>
              <w:rPr>
                <w:rFonts w:ascii="Arial" w:hAnsi="Arial" w:cs="Arial"/>
                <w:sz w:val="16"/>
                <w:szCs w:val="16"/>
              </w:rPr>
            </w:pPr>
            <w:r w:rsidRPr="00F155F1">
              <w:rPr>
                <w:rFonts w:ascii="Arial" w:hAnsi="Arial" w:cs="Arial"/>
                <w:sz w:val="16"/>
                <w:szCs w:val="16"/>
              </w:rPr>
              <w:t>Module guide for undergraduates and postgraduate education</w:t>
            </w:r>
          </w:p>
        </w:tc>
      </w:tr>
      <w:tr w:rsidR="00CD6352" w:rsidRPr="00F155F1" w14:paraId="16F0B424" w14:textId="77777777" w:rsidTr="00CD6352">
        <w:tc>
          <w:tcPr>
            <w:tcW w:w="5000" w:type="pct"/>
          </w:tcPr>
          <w:p w14:paraId="34680E13"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lastRenderedPageBreak/>
              <w:t>Cross organisational mobility</w:t>
            </w:r>
          </w:p>
        </w:tc>
      </w:tr>
      <w:tr w:rsidR="00CD6352" w:rsidRPr="00F155F1" w14:paraId="2334B020" w14:textId="77777777" w:rsidTr="00CD6352">
        <w:tc>
          <w:tcPr>
            <w:tcW w:w="5000" w:type="pct"/>
          </w:tcPr>
          <w:p w14:paraId="2B3B7643"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International content</w:t>
            </w:r>
          </w:p>
        </w:tc>
      </w:tr>
      <w:tr w:rsidR="00CD6352" w:rsidRPr="00F155F1" w14:paraId="63A54957" w14:textId="77777777" w:rsidTr="00CD6352">
        <w:tc>
          <w:tcPr>
            <w:tcW w:w="5000" w:type="pct"/>
          </w:tcPr>
          <w:p w14:paraId="37556F8D"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Extra-organisational support/membership</w:t>
            </w:r>
          </w:p>
        </w:tc>
      </w:tr>
      <w:tr w:rsidR="00CD6352" w:rsidRPr="00F155F1" w14:paraId="07DC9854" w14:textId="77777777" w:rsidTr="00CD6352">
        <w:tc>
          <w:tcPr>
            <w:tcW w:w="5000" w:type="pct"/>
          </w:tcPr>
          <w:p w14:paraId="56FB75A1" w14:textId="77777777" w:rsidR="00CD6352" w:rsidRPr="00F155F1" w:rsidRDefault="00CD6352" w:rsidP="00CD6352">
            <w:pPr>
              <w:rPr>
                <w:rFonts w:ascii="Arial" w:hAnsi="Arial" w:cs="Arial"/>
                <w:color w:val="0070C0"/>
                <w:sz w:val="16"/>
                <w:szCs w:val="16"/>
              </w:rPr>
            </w:pPr>
            <w:r w:rsidRPr="00F155F1">
              <w:rPr>
                <w:rFonts w:ascii="Arial" w:hAnsi="Arial" w:cs="Arial"/>
                <w:color w:val="0070C0"/>
                <w:sz w:val="16"/>
                <w:szCs w:val="16"/>
              </w:rPr>
              <w:t xml:space="preserve">Stage </w:t>
            </w:r>
            <w:r>
              <w:rPr>
                <w:rFonts w:ascii="Arial" w:hAnsi="Arial" w:cs="Arial"/>
                <w:color w:val="0070C0"/>
                <w:sz w:val="16"/>
                <w:szCs w:val="16"/>
              </w:rPr>
              <w:t>6</w:t>
            </w:r>
            <w:r w:rsidRPr="00F155F1">
              <w:rPr>
                <w:rFonts w:ascii="Arial" w:hAnsi="Arial" w:cs="Arial"/>
                <w:color w:val="0070C0"/>
                <w:sz w:val="16"/>
                <w:szCs w:val="16"/>
              </w:rPr>
              <w:t xml:space="preserve">: </w:t>
            </w:r>
            <w:r>
              <w:rPr>
                <w:rFonts w:ascii="Arial" w:hAnsi="Arial" w:cs="Arial"/>
                <w:color w:val="0070C0"/>
                <w:sz w:val="16"/>
                <w:szCs w:val="16"/>
              </w:rPr>
              <w:t>Conceptual f</w:t>
            </w:r>
            <w:r w:rsidRPr="00F155F1">
              <w:rPr>
                <w:rFonts w:ascii="Arial" w:hAnsi="Arial" w:cs="Arial"/>
                <w:color w:val="0070C0"/>
                <w:sz w:val="16"/>
                <w:szCs w:val="16"/>
              </w:rPr>
              <w:t>ramework for training and education for securing finance for real estate project development</w:t>
            </w:r>
          </w:p>
        </w:tc>
      </w:tr>
      <w:tr w:rsidR="00CD6352" w:rsidRPr="00F155F1" w14:paraId="251C7984" w14:textId="77777777" w:rsidTr="00CD6352">
        <w:trPr>
          <w:trHeight w:val="377"/>
        </w:trPr>
        <w:tc>
          <w:tcPr>
            <w:tcW w:w="5000" w:type="pct"/>
          </w:tcPr>
          <w:p w14:paraId="34CC8524"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Learning platforms</w:t>
            </w:r>
          </w:p>
        </w:tc>
      </w:tr>
      <w:tr w:rsidR="00CD6352" w:rsidRPr="00F155F1" w14:paraId="3A995E14" w14:textId="77777777" w:rsidTr="00CD6352">
        <w:tc>
          <w:tcPr>
            <w:tcW w:w="5000" w:type="pct"/>
          </w:tcPr>
          <w:p w14:paraId="506E82B6"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Recommended frequencies</w:t>
            </w:r>
          </w:p>
        </w:tc>
      </w:tr>
      <w:tr w:rsidR="00CD6352" w:rsidRPr="00F155F1" w14:paraId="2791CF3A" w14:textId="77777777" w:rsidTr="00CD6352">
        <w:tc>
          <w:tcPr>
            <w:tcW w:w="5000" w:type="pct"/>
          </w:tcPr>
          <w:p w14:paraId="28BAF691"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Learning approaches</w:t>
            </w:r>
          </w:p>
        </w:tc>
      </w:tr>
      <w:tr w:rsidR="00CD6352" w:rsidRPr="00F155F1" w14:paraId="48669803" w14:textId="77777777" w:rsidTr="00CD6352">
        <w:tc>
          <w:tcPr>
            <w:tcW w:w="5000" w:type="pct"/>
          </w:tcPr>
          <w:p w14:paraId="1FC7A08A" w14:textId="77777777" w:rsidR="00CD6352" w:rsidRPr="00F155F1" w:rsidRDefault="00CD6352" w:rsidP="00CD6352">
            <w:pPr>
              <w:ind w:left="720"/>
              <w:rPr>
                <w:rFonts w:ascii="Arial" w:hAnsi="Arial" w:cs="Arial"/>
                <w:sz w:val="16"/>
                <w:szCs w:val="16"/>
              </w:rPr>
            </w:pPr>
            <w:r w:rsidRPr="00F155F1">
              <w:rPr>
                <w:rFonts w:ascii="Arial" w:hAnsi="Arial" w:cs="Arial"/>
                <w:sz w:val="16"/>
                <w:szCs w:val="16"/>
              </w:rPr>
              <w:t>Feedback mechanism</w:t>
            </w:r>
          </w:p>
        </w:tc>
      </w:tr>
    </w:tbl>
    <w:p w14:paraId="22E288AD" w14:textId="5AB34D70" w:rsidR="00CD6352" w:rsidRPr="000A4261" w:rsidRDefault="00CD6352" w:rsidP="00CD6352">
      <w:pPr>
        <w:rPr>
          <w:rFonts w:ascii="Arial" w:hAnsi="Arial" w:cs="Arial"/>
        </w:rPr>
      </w:pPr>
      <w:r w:rsidRPr="000A4261">
        <w:rPr>
          <w:rFonts w:ascii="Arial" w:hAnsi="Arial" w:cs="Arial"/>
        </w:rPr>
        <w:t>Compilation by the Author (202</w:t>
      </w:r>
      <w:r w:rsidR="00697AFB" w:rsidRPr="000A4261">
        <w:rPr>
          <w:rFonts w:ascii="Arial" w:hAnsi="Arial" w:cs="Arial"/>
        </w:rPr>
        <w:t>1</w:t>
      </w:r>
      <w:r w:rsidRPr="000A4261">
        <w:rPr>
          <w:rFonts w:ascii="Arial" w:hAnsi="Arial" w:cs="Arial"/>
        </w:rPr>
        <w:t>)</w:t>
      </w:r>
    </w:p>
    <w:p w14:paraId="67A229AA" w14:textId="77777777" w:rsidR="00CD6352" w:rsidRDefault="00CD6352" w:rsidP="00CD6352"/>
    <w:p w14:paraId="53255046" w14:textId="6751CA40" w:rsidR="00CD6352" w:rsidRPr="008E1F1E" w:rsidRDefault="00CD6352" w:rsidP="00CD6352">
      <w:pPr>
        <w:spacing w:before="240"/>
        <w:rPr>
          <w:rStyle w:val="IntenseEmphasis"/>
          <w:rFonts w:ascii="Arial" w:hAnsi="Arial" w:cs="Arial"/>
          <w:b/>
          <w:bCs/>
          <w:color w:val="auto"/>
        </w:rPr>
      </w:pPr>
      <w:r w:rsidRPr="008E1F1E">
        <w:rPr>
          <w:rStyle w:val="IntenseEmphasis"/>
          <w:rFonts w:ascii="Arial" w:hAnsi="Arial" w:cs="Arial"/>
          <w:b/>
          <w:bCs/>
          <w:color w:val="auto"/>
        </w:rPr>
        <w:t xml:space="preserve">Toolkit stage1: Inventory of finance options and criteria for securing finance for real estate project </w:t>
      </w:r>
      <w:r w:rsidR="005A48E0" w:rsidRPr="008E1F1E">
        <w:rPr>
          <w:rStyle w:val="IntenseEmphasis"/>
          <w:rFonts w:ascii="Arial" w:hAnsi="Arial" w:cs="Arial"/>
          <w:b/>
          <w:bCs/>
          <w:color w:val="auto"/>
        </w:rPr>
        <w:t>development.</w:t>
      </w:r>
      <w:r w:rsidRPr="008E1F1E">
        <w:rPr>
          <w:rStyle w:val="IntenseEmphasis"/>
          <w:rFonts w:ascii="Arial" w:hAnsi="Arial" w:cs="Arial"/>
          <w:b/>
          <w:bCs/>
          <w:color w:val="auto"/>
        </w:rPr>
        <w:t xml:space="preserve"> </w:t>
      </w:r>
    </w:p>
    <w:p w14:paraId="59856E63" w14:textId="6C121841" w:rsidR="00CD6352" w:rsidRPr="00EA7665" w:rsidRDefault="00CD6352" w:rsidP="00CD6352">
      <w:pPr>
        <w:spacing w:before="240" w:line="360" w:lineRule="auto"/>
        <w:jc w:val="both"/>
        <w:rPr>
          <w:rFonts w:ascii="Arial" w:hAnsi="Arial" w:cs="Arial"/>
        </w:rPr>
      </w:pPr>
      <w:r w:rsidRPr="00EA7665">
        <w:rPr>
          <w:rFonts w:ascii="Arial" w:hAnsi="Arial" w:cs="Arial"/>
        </w:rPr>
        <w:t xml:space="preserve">It is essential for the manager involved with </w:t>
      </w:r>
      <w:r w:rsidR="003309AB">
        <w:rPr>
          <w:rFonts w:ascii="Arial" w:hAnsi="Arial" w:cs="Arial"/>
        </w:rPr>
        <w:t>securing</w:t>
      </w:r>
      <w:r w:rsidRPr="00EA7665">
        <w:rPr>
          <w:rFonts w:ascii="Arial" w:hAnsi="Arial" w:cs="Arial"/>
        </w:rPr>
        <w:t xml:space="preserve"> finance for real estate project development to know</w:t>
      </w:r>
      <w:r>
        <w:rPr>
          <w:rFonts w:ascii="Arial" w:hAnsi="Arial" w:cs="Arial"/>
        </w:rPr>
        <w:t xml:space="preserve"> the</w:t>
      </w:r>
      <w:r w:rsidRPr="00EA7665">
        <w:rPr>
          <w:rFonts w:ascii="Arial" w:hAnsi="Arial" w:cs="Arial"/>
        </w:rPr>
        <w:t xml:space="preserve"> varied finance options for real estate project development</w:t>
      </w:r>
      <w:r>
        <w:rPr>
          <w:rFonts w:ascii="Arial" w:hAnsi="Arial" w:cs="Arial"/>
        </w:rPr>
        <w:t xml:space="preserve"> and </w:t>
      </w:r>
      <w:r w:rsidR="00815564">
        <w:rPr>
          <w:rFonts w:ascii="Arial" w:hAnsi="Arial" w:cs="Arial"/>
        </w:rPr>
        <w:t xml:space="preserve">the </w:t>
      </w:r>
      <w:r>
        <w:rPr>
          <w:rFonts w:ascii="Arial" w:hAnsi="Arial" w:cs="Arial"/>
        </w:rPr>
        <w:t xml:space="preserve">criteria required by </w:t>
      </w:r>
      <w:r w:rsidR="00275963">
        <w:rPr>
          <w:rFonts w:ascii="Arial" w:hAnsi="Arial" w:cs="Arial"/>
        </w:rPr>
        <w:t>financiers.</w:t>
      </w:r>
      <w:r w:rsidRPr="00EA7665">
        <w:rPr>
          <w:rFonts w:ascii="Arial" w:hAnsi="Arial" w:cs="Arial"/>
        </w:rPr>
        <w:t xml:space="preserve"> This section </w:t>
      </w:r>
      <w:r w:rsidR="003309AB">
        <w:rPr>
          <w:rFonts w:ascii="Arial" w:hAnsi="Arial" w:cs="Arial"/>
        </w:rPr>
        <w:t>raises</w:t>
      </w:r>
      <w:r w:rsidRPr="00EA7665">
        <w:rPr>
          <w:rFonts w:ascii="Arial" w:hAnsi="Arial" w:cs="Arial"/>
        </w:rPr>
        <w:t xml:space="preserve"> awareness of various finance options available for real estate project development</w:t>
      </w:r>
      <w:r>
        <w:rPr>
          <w:rFonts w:ascii="Arial" w:hAnsi="Arial" w:cs="Arial"/>
        </w:rPr>
        <w:t xml:space="preserve"> and some of the fundamental criteria required by financiers</w:t>
      </w:r>
      <w:r w:rsidRPr="00EA7665">
        <w:rPr>
          <w:rFonts w:ascii="Arial" w:hAnsi="Arial" w:cs="Arial"/>
        </w:rPr>
        <w:t>. Typically</w:t>
      </w:r>
      <w:r>
        <w:rPr>
          <w:rFonts w:ascii="Arial" w:hAnsi="Arial" w:cs="Arial"/>
        </w:rPr>
        <w:t>,</w:t>
      </w:r>
      <w:r w:rsidRPr="00EA7665">
        <w:rPr>
          <w:rFonts w:ascii="Arial" w:hAnsi="Arial" w:cs="Arial"/>
        </w:rPr>
        <w:t xml:space="preserve"> sources of finance for real estate project development are categorised into equity and debt; however, this study has also included creative and innovative sources of finance (Ogbenjuwa &amp; Egbu, 2017). </w:t>
      </w:r>
    </w:p>
    <w:p w14:paraId="52D09D76" w14:textId="77777777" w:rsidR="00275963" w:rsidRDefault="00CD6352" w:rsidP="00275963">
      <w:pPr>
        <w:keepNext/>
        <w:spacing w:line="360" w:lineRule="auto"/>
        <w:jc w:val="both"/>
      </w:pPr>
      <w:r w:rsidRPr="00EA7665">
        <w:rPr>
          <w:rFonts w:ascii="Arial" w:hAnsi="Arial" w:cs="Arial"/>
          <w:noProof/>
          <w:lang w:eastAsia="en-GB"/>
        </w:rPr>
        <w:drawing>
          <wp:inline distT="0" distB="0" distL="0" distR="0" wp14:anchorId="1FEDD5C7" wp14:editId="051DBF7B">
            <wp:extent cx="5486400" cy="32004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EE8A773" w14:textId="34BB8658" w:rsidR="00CD6352" w:rsidRPr="000A4261" w:rsidRDefault="00275963" w:rsidP="00275963">
      <w:pPr>
        <w:pStyle w:val="Caption"/>
        <w:jc w:val="both"/>
        <w:rPr>
          <w:sz w:val="16"/>
          <w:szCs w:val="16"/>
        </w:rPr>
      </w:pPr>
      <w:bookmarkStart w:id="1462" w:name="_Toc78739577"/>
      <w:r w:rsidRPr="000A4261">
        <w:rPr>
          <w:rFonts w:ascii="Arial" w:hAnsi="Arial" w:cs="Arial"/>
          <w:sz w:val="16"/>
          <w:szCs w:val="16"/>
        </w:rPr>
        <w:t xml:space="preserve">Figure </w:t>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STYLEREF 2 \s </w:instrText>
      </w:r>
      <w:r w:rsidR="00591802" w:rsidRPr="000A4261">
        <w:rPr>
          <w:rFonts w:ascii="Arial" w:hAnsi="Arial" w:cs="Arial"/>
          <w:sz w:val="16"/>
          <w:szCs w:val="16"/>
        </w:rPr>
        <w:fldChar w:fldCharType="separate"/>
      </w:r>
      <w:r w:rsidR="00324B0D" w:rsidRPr="000A4261">
        <w:rPr>
          <w:rFonts w:ascii="Arial" w:hAnsi="Arial" w:cs="Arial"/>
          <w:noProof/>
          <w:sz w:val="16"/>
          <w:szCs w:val="16"/>
        </w:rPr>
        <w:t>10.3</w:t>
      </w:r>
      <w:r w:rsidR="00591802" w:rsidRPr="000A4261">
        <w:rPr>
          <w:rFonts w:ascii="Arial" w:hAnsi="Arial" w:cs="Arial"/>
          <w:noProof/>
          <w:sz w:val="16"/>
          <w:szCs w:val="16"/>
        </w:rPr>
        <w:fldChar w:fldCharType="end"/>
      </w:r>
      <w:r w:rsidR="00324B0D" w:rsidRPr="000A4261">
        <w:rPr>
          <w:rFonts w:ascii="Arial" w:hAnsi="Arial" w:cs="Arial"/>
          <w:sz w:val="16"/>
          <w:szCs w:val="16"/>
        </w:rPr>
        <w:noBreakHyphen/>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SEQ Figure \* ARABIC \s 2 </w:instrText>
      </w:r>
      <w:r w:rsidR="00591802" w:rsidRPr="000A4261">
        <w:rPr>
          <w:rFonts w:ascii="Arial" w:hAnsi="Arial" w:cs="Arial"/>
          <w:sz w:val="16"/>
          <w:szCs w:val="16"/>
        </w:rPr>
        <w:fldChar w:fldCharType="separate"/>
      </w:r>
      <w:r w:rsidR="00324B0D" w:rsidRPr="000A4261">
        <w:rPr>
          <w:rFonts w:ascii="Arial" w:hAnsi="Arial" w:cs="Arial"/>
          <w:noProof/>
          <w:sz w:val="16"/>
          <w:szCs w:val="16"/>
        </w:rPr>
        <w:t>1</w:t>
      </w:r>
      <w:r w:rsidR="00591802" w:rsidRPr="000A4261">
        <w:rPr>
          <w:rFonts w:ascii="Arial" w:hAnsi="Arial" w:cs="Arial"/>
          <w:noProof/>
          <w:sz w:val="16"/>
          <w:szCs w:val="16"/>
        </w:rPr>
        <w:fldChar w:fldCharType="end"/>
      </w:r>
      <w:r w:rsidRPr="000A4261">
        <w:rPr>
          <w:rFonts w:ascii="Arial" w:hAnsi="Arial" w:cs="Arial"/>
          <w:sz w:val="16"/>
          <w:szCs w:val="16"/>
        </w:rPr>
        <w:t>:</w:t>
      </w:r>
      <w:r w:rsidRPr="000A4261">
        <w:rPr>
          <w:sz w:val="16"/>
          <w:szCs w:val="16"/>
        </w:rPr>
        <w:t xml:space="preserve"> </w:t>
      </w:r>
      <w:r w:rsidRPr="000A4261">
        <w:rPr>
          <w:rFonts w:ascii="Arial" w:hAnsi="Arial" w:cs="Arial"/>
          <w:sz w:val="16"/>
          <w:szCs w:val="16"/>
        </w:rPr>
        <w:t xml:space="preserve">The Summary inventory of finance options for securing finance for real estate project </w:t>
      </w:r>
      <w:r w:rsidR="00E930D6" w:rsidRPr="000A4261">
        <w:rPr>
          <w:rFonts w:ascii="Arial" w:hAnsi="Arial" w:cs="Arial"/>
          <w:sz w:val="16"/>
          <w:szCs w:val="16"/>
        </w:rPr>
        <w:t>development.</w:t>
      </w:r>
      <w:bookmarkEnd w:id="1462"/>
    </w:p>
    <w:p w14:paraId="61A6EB35" w14:textId="6C2DF580" w:rsidR="00CD6352" w:rsidRPr="00EA7665" w:rsidRDefault="00CD6352" w:rsidP="00CD6352">
      <w:pPr>
        <w:spacing w:line="360" w:lineRule="auto"/>
        <w:jc w:val="both"/>
        <w:rPr>
          <w:rFonts w:ascii="Arial" w:hAnsi="Arial" w:cs="Arial"/>
        </w:rPr>
      </w:pPr>
      <w:r w:rsidRPr="00EA7665">
        <w:rPr>
          <w:rFonts w:ascii="Arial" w:hAnsi="Arial" w:cs="Arial"/>
        </w:rPr>
        <w:t xml:space="preserve">Equity finance can be described as an exchange of funds for part business ownership (Magos, 2002). This type of financing allows you to obtain funds without incurring debt. The </w:t>
      </w:r>
      <w:r w:rsidRPr="00EA7665">
        <w:rPr>
          <w:rFonts w:ascii="Arial" w:hAnsi="Arial" w:cs="Arial"/>
        </w:rPr>
        <w:lastRenderedPageBreak/>
        <w:t>fundamental disadvantage of equity finance for the real estate development firm is that it dilutes ownership intere</w:t>
      </w:r>
      <w:r>
        <w:rPr>
          <w:rFonts w:ascii="Arial" w:hAnsi="Arial" w:cs="Arial"/>
        </w:rPr>
        <w:t xml:space="preserve">sts </w:t>
      </w:r>
      <w:r w:rsidRPr="00EA7665">
        <w:rPr>
          <w:rFonts w:ascii="Arial" w:hAnsi="Arial" w:cs="Arial"/>
        </w:rPr>
        <w:t xml:space="preserve">and could </w:t>
      </w:r>
      <w:r w:rsidR="003309AB">
        <w:rPr>
          <w:rFonts w:ascii="Arial" w:hAnsi="Arial" w:cs="Arial"/>
        </w:rPr>
        <w:t>possibly lose</w:t>
      </w:r>
      <w:r w:rsidRPr="00EA7665">
        <w:rPr>
          <w:rFonts w:ascii="Arial" w:hAnsi="Arial" w:cs="Arial"/>
        </w:rPr>
        <w:t xml:space="preserve"> control </w:t>
      </w:r>
      <w:r w:rsidR="005A48E0" w:rsidRPr="00EA7665">
        <w:rPr>
          <w:rFonts w:ascii="Arial" w:hAnsi="Arial" w:cs="Arial"/>
        </w:rPr>
        <w:t>because of</w:t>
      </w:r>
      <w:r w:rsidRPr="00EA7665">
        <w:rPr>
          <w:rFonts w:ascii="Arial" w:hAnsi="Arial" w:cs="Arial"/>
        </w:rPr>
        <w:t xml:space="preserve"> sharing ownership with additional investors. Conversely, debt means borrowing money that is repaid</w:t>
      </w:r>
      <w:r>
        <w:rPr>
          <w:rFonts w:ascii="Arial" w:hAnsi="Arial" w:cs="Arial"/>
        </w:rPr>
        <w:t>,</w:t>
      </w:r>
      <w:r w:rsidRPr="00EA7665">
        <w:rPr>
          <w:rFonts w:ascii="Arial" w:hAnsi="Arial" w:cs="Arial"/>
        </w:rPr>
        <w:t xml:space="preserve"> usually with interest</w:t>
      </w:r>
      <w:r>
        <w:rPr>
          <w:rFonts w:ascii="Arial" w:hAnsi="Arial" w:cs="Arial"/>
        </w:rPr>
        <w:t>,</w:t>
      </w:r>
      <w:r w:rsidRPr="00EA7665">
        <w:rPr>
          <w:rFonts w:ascii="Arial" w:hAnsi="Arial" w:cs="Arial"/>
        </w:rPr>
        <w:t xml:space="preserve"> </w:t>
      </w:r>
      <w:r w:rsidR="005A48E0" w:rsidRPr="00EA7665">
        <w:rPr>
          <w:rFonts w:ascii="Arial" w:hAnsi="Arial" w:cs="Arial"/>
        </w:rPr>
        <w:t>over time</w:t>
      </w:r>
      <w:r w:rsidRPr="00EA7665">
        <w:rPr>
          <w:rFonts w:ascii="Arial" w:hAnsi="Arial" w:cs="Arial"/>
        </w:rPr>
        <w:t>. This could be short or long-</w:t>
      </w:r>
      <w:r w:rsidR="005A48E0" w:rsidRPr="00EA7665">
        <w:rPr>
          <w:rFonts w:ascii="Arial" w:hAnsi="Arial" w:cs="Arial"/>
        </w:rPr>
        <w:t>tenured, the</w:t>
      </w:r>
      <w:r w:rsidRPr="00EA7665">
        <w:rPr>
          <w:rFonts w:ascii="Arial" w:hAnsi="Arial" w:cs="Arial"/>
        </w:rPr>
        <w:t xml:space="preserve"> lender does not gain any ownership interest, and the obligation of the real estate development firm or manager is limited to repaying the loan and the interest (Glickman, 2014). </w:t>
      </w:r>
    </w:p>
    <w:p w14:paraId="5B9A4D28" w14:textId="0905CB5E" w:rsidR="00CD6352" w:rsidRPr="00EA7665" w:rsidRDefault="00CD6352" w:rsidP="00CD6352">
      <w:pPr>
        <w:spacing w:line="360" w:lineRule="auto"/>
        <w:jc w:val="both"/>
        <w:rPr>
          <w:rFonts w:ascii="Arial" w:hAnsi="Arial" w:cs="Arial"/>
        </w:rPr>
      </w:pPr>
      <w:r w:rsidRPr="00EA7665">
        <w:rPr>
          <w:rFonts w:ascii="Arial" w:hAnsi="Arial" w:cs="Arial"/>
        </w:rPr>
        <w:t>However, creative and innovative finance in the context is a mechanism to raise funds in addition to conventional methods as well as a mechanism to improve the use of the funds (Gargasson &amp; Salome,</w:t>
      </w:r>
      <w:r w:rsidR="002F7077" w:rsidRPr="00EA7665">
        <w:rPr>
          <w:rFonts w:ascii="Arial" w:hAnsi="Arial" w:cs="Arial"/>
        </w:rPr>
        <w:t>2010</w:t>
      </w:r>
      <w:r w:rsidR="002F7077">
        <w:rPr>
          <w:rFonts w:ascii="Arial" w:hAnsi="Arial" w:cs="Arial"/>
        </w:rPr>
        <w:t>;</w:t>
      </w:r>
      <w:r w:rsidRPr="00301624">
        <w:rPr>
          <w:rFonts w:ascii="Arial" w:hAnsi="Arial" w:cs="Arial"/>
        </w:rPr>
        <w:t xml:space="preserve"> </w:t>
      </w:r>
      <w:r w:rsidRPr="00EA7665">
        <w:rPr>
          <w:rFonts w:ascii="Arial" w:hAnsi="Arial" w:cs="Arial"/>
        </w:rPr>
        <w:t>Grishankar, 2009</w:t>
      </w:r>
      <w:r>
        <w:rPr>
          <w:rFonts w:ascii="Arial" w:hAnsi="Arial" w:cs="Arial"/>
        </w:rPr>
        <w:t xml:space="preserve"> </w:t>
      </w:r>
      <w:r w:rsidRPr="00EA7665">
        <w:rPr>
          <w:rFonts w:ascii="Arial" w:hAnsi="Arial" w:cs="Arial"/>
        </w:rPr>
        <w:t xml:space="preserve">). </w:t>
      </w:r>
      <w:r>
        <w:rPr>
          <w:rFonts w:ascii="Arial" w:hAnsi="Arial" w:cs="Arial"/>
        </w:rPr>
        <w:t>I</w:t>
      </w:r>
      <w:r w:rsidRPr="00EA7665">
        <w:rPr>
          <w:rFonts w:ascii="Arial" w:hAnsi="Arial" w:cs="Arial"/>
        </w:rPr>
        <w:t xml:space="preserve">t encompasses the bringing </w:t>
      </w:r>
      <w:r>
        <w:rPr>
          <w:rFonts w:ascii="Arial" w:hAnsi="Arial" w:cs="Arial"/>
        </w:rPr>
        <w:t xml:space="preserve">in </w:t>
      </w:r>
      <w:r w:rsidRPr="00EA7665">
        <w:rPr>
          <w:rFonts w:ascii="Arial" w:hAnsi="Arial" w:cs="Arial"/>
        </w:rPr>
        <w:t>of existing options in readiness for a new market or in a market where their maximal effect is yet to be utilised</w:t>
      </w:r>
      <w:r w:rsidR="00970C75">
        <w:rPr>
          <w:rFonts w:ascii="Arial" w:hAnsi="Arial" w:cs="Arial"/>
        </w:rPr>
        <w:t>.</w:t>
      </w:r>
      <w:r w:rsidRPr="00EA7665">
        <w:rPr>
          <w:rFonts w:ascii="Arial" w:hAnsi="Arial" w:cs="Arial"/>
        </w:rPr>
        <w:t xml:space="preserve">  Excessive debt financing may impair the firm’s credit rating and ability to raise funds in the future, </w:t>
      </w:r>
      <w:r w:rsidR="003309AB">
        <w:rPr>
          <w:rFonts w:ascii="Arial" w:hAnsi="Arial" w:cs="Arial"/>
        </w:rPr>
        <w:t>making</w:t>
      </w:r>
      <w:r w:rsidRPr="00EA7665">
        <w:rPr>
          <w:rFonts w:ascii="Arial" w:hAnsi="Arial" w:cs="Arial"/>
        </w:rPr>
        <w:t xml:space="preserve"> potential creditors consider it too risky and unsafe for investment (Magos, 2002). Lenders often consider the debt-to-equity ratio in assessing if it is safe and viable to avail debt to any particular firm. The debt-equity ratio is usually 1:2 (33 per cent equity) and 1:1 (50 per cent equity), and this does not often apply to turnkey projects where the firm may not have sufficient equity. Financing for these kinds of projects is usually </w:t>
      </w:r>
      <w:r w:rsidR="002F7077" w:rsidRPr="00EA7665">
        <w:rPr>
          <w:rFonts w:ascii="Arial" w:hAnsi="Arial" w:cs="Arial"/>
        </w:rPr>
        <w:t>project</w:t>
      </w:r>
      <w:r w:rsidR="006D4931">
        <w:rPr>
          <w:rFonts w:ascii="Arial" w:hAnsi="Arial" w:cs="Arial"/>
        </w:rPr>
        <w:t>-</w:t>
      </w:r>
      <w:r w:rsidR="002F7077" w:rsidRPr="00EA7665">
        <w:rPr>
          <w:rFonts w:ascii="Arial" w:hAnsi="Arial" w:cs="Arial"/>
        </w:rPr>
        <w:t>specific</w:t>
      </w:r>
      <w:r w:rsidRPr="00EA7665">
        <w:rPr>
          <w:rFonts w:ascii="Arial" w:hAnsi="Arial" w:cs="Arial"/>
        </w:rPr>
        <w:t xml:space="preserve">. </w:t>
      </w:r>
    </w:p>
    <w:p w14:paraId="498EEFDE" w14:textId="61EC197D" w:rsidR="00CD6352" w:rsidRDefault="00CD6352" w:rsidP="00CD6352">
      <w:pPr>
        <w:spacing w:line="360" w:lineRule="auto"/>
        <w:jc w:val="both"/>
        <w:rPr>
          <w:rFonts w:ascii="Arial" w:hAnsi="Arial" w:cs="Arial"/>
        </w:rPr>
      </w:pPr>
      <w:r w:rsidRPr="00EA7665">
        <w:rPr>
          <w:rFonts w:ascii="Arial" w:hAnsi="Arial" w:cs="Arial"/>
        </w:rPr>
        <w:t xml:space="preserve">Table </w:t>
      </w:r>
      <w:r w:rsidR="00715486">
        <w:rPr>
          <w:rFonts w:ascii="Arial" w:hAnsi="Arial" w:cs="Arial"/>
        </w:rPr>
        <w:t>10.</w:t>
      </w:r>
      <w:r w:rsidR="003309AB">
        <w:rPr>
          <w:rFonts w:ascii="Arial" w:hAnsi="Arial" w:cs="Arial"/>
        </w:rPr>
        <w:t>2</w:t>
      </w:r>
      <w:r w:rsidR="00715486">
        <w:rPr>
          <w:rFonts w:ascii="Arial" w:hAnsi="Arial" w:cs="Arial"/>
        </w:rPr>
        <w:t>.</w:t>
      </w:r>
      <w:r w:rsidR="003309AB">
        <w:rPr>
          <w:rFonts w:ascii="Arial" w:hAnsi="Arial" w:cs="Arial"/>
        </w:rPr>
        <w:t>2</w:t>
      </w:r>
      <w:r w:rsidRPr="00EA7665">
        <w:rPr>
          <w:rFonts w:ascii="Arial" w:hAnsi="Arial" w:cs="Arial"/>
        </w:rPr>
        <w:t xml:space="preserve"> provides an inventory of some viable finance options</w:t>
      </w:r>
      <w:r>
        <w:rPr>
          <w:rFonts w:ascii="Arial" w:hAnsi="Arial" w:cs="Arial"/>
        </w:rPr>
        <w:t>, a guide on capital structure decisions, and criteria</w:t>
      </w:r>
      <w:r w:rsidRPr="00EA7665">
        <w:rPr>
          <w:rFonts w:ascii="Arial" w:hAnsi="Arial" w:cs="Arial"/>
        </w:rPr>
        <w:t xml:space="preserve"> for securing </w:t>
      </w:r>
      <w:r w:rsidR="003309AB">
        <w:rPr>
          <w:rFonts w:ascii="Arial" w:hAnsi="Arial" w:cs="Arial"/>
        </w:rPr>
        <w:t>real estate project development finance</w:t>
      </w:r>
      <w:r w:rsidR="00F257A1" w:rsidRPr="00EA7665">
        <w:rPr>
          <w:rFonts w:ascii="Arial" w:hAnsi="Arial" w:cs="Arial"/>
        </w:rPr>
        <w:t xml:space="preserve">. </w:t>
      </w:r>
      <w:r w:rsidR="003309AB">
        <w:rPr>
          <w:rFonts w:ascii="Arial" w:hAnsi="Arial" w:cs="Arial"/>
        </w:rPr>
        <w:t>D</w:t>
      </w:r>
      <w:r>
        <w:rPr>
          <w:rFonts w:ascii="Arial" w:hAnsi="Arial" w:cs="Arial"/>
        </w:rPr>
        <w:t xml:space="preserve">ata from the questionnaire survey and the semi-structured interviews with the support of some relevant theories were used </w:t>
      </w:r>
      <w:r w:rsidR="003309AB">
        <w:rPr>
          <w:rFonts w:ascii="Arial" w:hAnsi="Arial" w:cs="Arial"/>
        </w:rPr>
        <w:t>to develop</w:t>
      </w:r>
      <w:r>
        <w:rPr>
          <w:rFonts w:ascii="Arial" w:hAnsi="Arial" w:cs="Arial"/>
        </w:rPr>
        <w:t xml:space="preserve"> the inventory of finance options and criteria for securing finance for real estate project development.  The inventory of options</w:t>
      </w:r>
      <w:r w:rsidR="003309AB">
        <w:rPr>
          <w:rFonts w:ascii="Arial" w:hAnsi="Arial" w:cs="Arial"/>
        </w:rPr>
        <w:t xml:space="preserve"> and criteria for securing finance for real estate project development </w:t>
      </w:r>
      <w:r>
        <w:rPr>
          <w:rFonts w:ascii="Arial" w:hAnsi="Arial" w:cs="Arial"/>
        </w:rPr>
        <w:t>is divided into four major segments</w:t>
      </w:r>
      <w:r w:rsidR="003309AB">
        <w:rPr>
          <w:rFonts w:ascii="Arial" w:hAnsi="Arial" w:cs="Arial"/>
        </w:rPr>
        <w:t>: finance types, finance options, the decision on capital structure,</w:t>
      </w:r>
      <w:r>
        <w:rPr>
          <w:rFonts w:ascii="Arial" w:hAnsi="Arial" w:cs="Arial"/>
        </w:rPr>
        <w:t xml:space="preserve"> and criteria for securing finance. The finance type is divided into equity, debt and creative and innovative finance in line with the findings based on the primary data collection. The classification into debt, equity and innovative and creative finance </w:t>
      </w:r>
      <w:r w:rsidR="00395DA2">
        <w:rPr>
          <w:rFonts w:ascii="Arial" w:hAnsi="Arial" w:cs="Arial"/>
        </w:rPr>
        <w:t>are</w:t>
      </w:r>
      <w:r>
        <w:rPr>
          <w:rFonts w:ascii="Arial" w:hAnsi="Arial" w:cs="Arial"/>
        </w:rPr>
        <w:t xml:space="preserve"> in line with existing literature which created a platform for the data collection ( </w:t>
      </w:r>
      <w:r w:rsidR="003309AB">
        <w:rPr>
          <w:rFonts w:ascii="Arial" w:hAnsi="Arial" w:cs="Arial"/>
        </w:rPr>
        <w:t>see chapters 2 and 3 ).</w:t>
      </w:r>
      <w:r>
        <w:rPr>
          <w:rFonts w:ascii="Arial" w:hAnsi="Arial" w:cs="Arial"/>
        </w:rPr>
        <w:t xml:space="preserve"> </w:t>
      </w:r>
    </w:p>
    <w:p w14:paraId="0B94E68D" w14:textId="4E3D5C7C" w:rsidR="00CD6352" w:rsidRDefault="00CD6352" w:rsidP="00CD6352">
      <w:pPr>
        <w:spacing w:line="360" w:lineRule="auto"/>
        <w:rPr>
          <w:rFonts w:ascii="Arial" w:hAnsi="Arial" w:cs="Arial"/>
        </w:rPr>
      </w:pPr>
      <w:r>
        <w:rPr>
          <w:rFonts w:ascii="Arial" w:hAnsi="Arial" w:cs="Arial"/>
        </w:rPr>
        <w:t xml:space="preserve">The inventory of options and criteria for securing finance for real estate project development is based on the data collection information on short- and long-term </w:t>
      </w:r>
      <w:r w:rsidR="00A27261">
        <w:rPr>
          <w:rFonts w:ascii="Arial" w:hAnsi="Arial" w:cs="Arial"/>
        </w:rPr>
        <w:t>finance options</w:t>
      </w:r>
      <w:r>
        <w:rPr>
          <w:rFonts w:ascii="Arial" w:hAnsi="Arial" w:cs="Arial"/>
        </w:rPr>
        <w:t xml:space="preserve"> for real estate project development. It also contains the decision on </w:t>
      </w:r>
      <w:r w:rsidR="006D4931">
        <w:rPr>
          <w:rFonts w:ascii="Arial" w:hAnsi="Arial" w:cs="Arial"/>
        </w:rPr>
        <w:t xml:space="preserve">the </w:t>
      </w:r>
      <w:r>
        <w:rPr>
          <w:rFonts w:ascii="Arial" w:hAnsi="Arial" w:cs="Arial"/>
        </w:rPr>
        <w:t>capital structure</w:t>
      </w:r>
      <w:r w:rsidR="00A27261">
        <w:rPr>
          <w:rFonts w:ascii="Arial" w:hAnsi="Arial" w:cs="Arial"/>
        </w:rPr>
        <w:t>,</w:t>
      </w:r>
      <w:r>
        <w:rPr>
          <w:rFonts w:ascii="Arial" w:hAnsi="Arial" w:cs="Arial"/>
        </w:rPr>
        <w:t xml:space="preserve"> which is essentially guided by the finance theor</w:t>
      </w:r>
      <w:r w:rsidR="00A27261">
        <w:rPr>
          <w:rFonts w:ascii="Arial" w:hAnsi="Arial" w:cs="Arial"/>
        </w:rPr>
        <w:t>ies</w:t>
      </w:r>
      <w:r>
        <w:rPr>
          <w:rFonts w:ascii="Arial" w:hAnsi="Arial" w:cs="Arial"/>
        </w:rPr>
        <w:t xml:space="preserve"> used in this study</w:t>
      </w:r>
      <w:r w:rsidR="00A27261">
        <w:rPr>
          <w:rFonts w:ascii="Arial" w:hAnsi="Arial" w:cs="Arial"/>
        </w:rPr>
        <w:t xml:space="preserve"> ( see the detailed development in chapter 5)</w:t>
      </w:r>
      <w:r>
        <w:rPr>
          <w:rFonts w:ascii="Arial" w:hAnsi="Arial" w:cs="Arial"/>
        </w:rPr>
        <w:t>.  Finally, the</w:t>
      </w:r>
      <w:r w:rsidR="000154DC">
        <w:rPr>
          <w:rFonts w:ascii="Arial" w:hAnsi="Arial" w:cs="Arial"/>
        </w:rPr>
        <w:t xml:space="preserve"> criteria for securing finance are</w:t>
      </w:r>
      <w:r>
        <w:rPr>
          <w:rFonts w:ascii="Arial" w:hAnsi="Arial" w:cs="Arial"/>
        </w:rPr>
        <w:t xml:space="preserve"> based on information from the data collected</w:t>
      </w:r>
      <w:r w:rsidR="00A27261">
        <w:rPr>
          <w:rFonts w:ascii="Arial" w:hAnsi="Arial" w:cs="Arial"/>
        </w:rPr>
        <w:t xml:space="preserve"> in chapter 5</w:t>
      </w:r>
      <w:r>
        <w:rPr>
          <w:rFonts w:ascii="Arial" w:hAnsi="Arial" w:cs="Arial"/>
        </w:rPr>
        <w:t>.</w:t>
      </w:r>
    </w:p>
    <w:p w14:paraId="2311CFCC" w14:textId="1D827C1A" w:rsidR="00D33EDB" w:rsidRDefault="00D33EDB" w:rsidP="00CD6352">
      <w:pPr>
        <w:spacing w:line="360" w:lineRule="auto"/>
        <w:rPr>
          <w:rFonts w:ascii="Arial" w:hAnsi="Arial" w:cs="Arial"/>
        </w:rPr>
      </w:pPr>
    </w:p>
    <w:p w14:paraId="31DFB448" w14:textId="77777777" w:rsidR="00D33EDB" w:rsidRDefault="00D33EDB" w:rsidP="00CD6352">
      <w:pPr>
        <w:spacing w:line="360" w:lineRule="auto"/>
        <w:rPr>
          <w:rFonts w:ascii="Arial" w:hAnsi="Arial" w:cs="Arial"/>
        </w:rPr>
      </w:pPr>
    </w:p>
    <w:p w14:paraId="6A5D6CF6" w14:textId="1C37C832" w:rsidR="00CD6352" w:rsidRPr="000A4261" w:rsidRDefault="00CD6352" w:rsidP="00CD6352">
      <w:pPr>
        <w:pStyle w:val="Caption"/>
        <w:rPr>
          <w:rFonts w:ascii="Arial" w:hAnsi="Arial" w:cs="Arial"/>
          <w:sz w:val="16"/>
          <w:szCs w:val="16"/>
        </w:rPr>
      </w:pPr>
      <w:bookmarkStart w:id="1463" w:name="_Toc78984043"/>
      <w:r w:rsidRPr="000A4261">
        <w:rPr>
          <w:rFonts w:ascii="Arial" w:hAnsi="Arial" w:cs="Arial"/>
          <w:sz w:val="16"/>
          <w:szCs w:val="16"/>
        </w:rPr>
        <w:lastRenderedPageBreak/>
        <w:t xml:space="preserve">Table </w:t>
      </w:r>
      <w:r w:rsidR="008F25B1" w:rsidRPr="000A4261">
        <w:rPr>
          <w:rFonts w:ascii="Arial" w:hAnsi="Arial" w:cs="Arial"/>
          <w:sz w:val="16"/>
          <w:szCs w:val="16"/>
        </w:rPr>
        <w:fldChar w:fldCharType="begin"/>
      </w:r>
      <w:r w:rsidR="008F25B1" w:rsidRPr="000A4261">
        <w:rPr>
          <w:rFonts w:ascii="Arial" w:hAnsi="Arial" w:cs="Arial"/>
          <w:sz w:val="16"/>
          <w:szCs w:val="16"/>
        </w:rPr>
        <w:instrText xml:space="preserve"> STYLEREF 2 \s </w:instrText>
      </w:r>
      <w:r w:rsidR="008F25B1" w:rsidRPr="000A4261">
        <w:rPr>
          <w:rFonts w:ascii="Arial" w:hAnsi="Arial" w:cs="Arial"/>
          <w:sz w:val="16"/>
          <w:szCs w:val="16"/>
        </w:rPr>
        <w:fldChar w:fldCharType="separate"/>
      </w:r>
      <w:r w:rsidR="008F25B1" w:rsidRPr="000A4261">
        <w:rPr>
          <w:rFonts w:ascii="Arial" w:hAnsi="Arial" w:cs="Arial"/>
          <w:noProof/>
          <w:sz w:val="16"/>
          <w:szCs w:val="16"/>
        </w:rPr>
        <w:t>10.2</w:t>
      </w:r>
      <w:r w:rsidR="008F25B1" w:rsidRPr="000A4261">
        <w:rPr>
          <w:rFonts w:ascii="Arial" w:hAnsi="Arial" w:cs="Arial"/>
          <w:sz w:val="16"/>
          <w:szCs w:val="16"/>
        </w:rPr>
        <w:fldChar w:fldCharType="end"/>
      </w:r>
      <w:r w:rsidR="008F25B1" w:rsidRPr="000A4261">
        <w:rPr>
          <w:rFonts w:ascii="Arial" w:hAnsi="Arial" w:cs="Arial"/>
          <w:sz w:val="16"/>
          <w:szCs w:val="16"/>
        </w:rPr>
        <w:noBreakHyphen/>
      </w:r>
      <w:r w:rsidR="008F25B1" w:rsidRPr="000A4261">
        <w:rPr>
          <w:rFonts w:ascii="Arial" w:hAnsi="Arial" w:cs="Arial"/>
          <w:sz w:val="16"/>
          <w:szCs w:val="16"/>
        </w:rPr>
        <w:fldChar w:fldCharType="begin"/>
      </w:r>
      <w:r w:rsidR="008F25B1" w:rsidRPr="000A4261">
        <w:rPr>
          <w:rFonts w:ascii="Arial" w:hAnsi="Arial" w:cs="Arial"/>
          <w:sz w:val="16"/>
          <w:szCs w:val="16"/>
        </w:rPr>
        <w:instrText xml:space="preserve"> SEQ Table \* ARABIC \s 2 </w:instrText>
      </w:r>
      <w:r w:rsidR="008F25B1" w:rsidRPr="000A4261">
        <w:rPr>
          <w:rFonts w:ascii="Arial" w:hAnsi="Arial" w:cs="Arial"/>
          <w:sz w:val="16"/>
          <w:szCs w:val="16"/>
        </w:rPr>
        <w:fldChar w:fldCharType="separate"/>
      </w:r>
      <w:r w:rsidR="008F25B1" w:rsidRPr="000A4261">
        <w:rPr>
          <w:rFonts w:ascii="Arial" w:hAnsi="Arial" w:cs="Arial"/>
          <w:noProof/>
          <w:sz w:val="16"/>
          <w:szCs w:val="16"/>
        </w:rPr>
        <w:t>2</w:t>
      </w:r>
      <w:r w:rsidR="008F25B1" w:rsidRPr="000A4261">
        <w:rPr>
          <w:rFonts w:ascii="Arial" w:hAnsi="Arial" w:cs="Arial"/>
          <w:sz w:val="16"/>
          <w:szCs w:val="16"/>
        </w:rPr>
        <w:fldChar w:fldCharType="end"/>
      </w:r>
      <w:r w:rsidRPr="000A4261">
        <w:rPr>
          <w:rFonts w:ascii="Arial" w:hAnsi="Arial" w:cs="Arial"/>
          <w:sz w:val="16"/>
          <w:szCs w:val="16"/>
        </w:rPr>
        <w:t>: Inventory of finance options</w:t>
      </w:r>
      <w:r w:rsidR="003309AB" w:rsidRPr="000A4261">
        <w:rPr>
          <w:rFonts w:ascii="Arial" w:hAnsi="Arial" w:cs="Arial"/>
          <w:sz w:val="16"/>
          <w:szCs w:val="16"/>
        </w:rPr>
        <w:t xml:space="preserve"> and criteria</w:t>
      </w:r>
      <w:r w:rsidRPr="000A4261">
        <w:rPr>
          <w:rFonts w:ascii="Arial" w:hAnsi="Arial" w:cs="Arial"/>
          <w:sz w:val="16"/>
          <w:szCs w:val="16"/>
        </w:rPr>
        <w:t xml:space="preserve"> for securing finance for real estate project </w:t>
      </w:r>
      <w:r w:rsidR="00F257A1" w:rsidRPr="000A4261">
        <w:rPr>
          <w:rFonts w:ascii="Arial" w:hAnsi="Arial" w:cs="Arial"/>
          <w:sz w:val="16"/>
          <w:szCs w:val="16"/>
        </w:rPr>
        <w:t>development.</w:t>
      </w:r>
      <w:bookmarkEnd w:id="1463"/>
    </w:p>
    <w:tbl>
      <w:tblPr>
        <w:tblStyle w:val="TableGrid"/>
        <w:tblW w:w="10201" w:type="dxa"/>
        <w:tblBorders>
          <w:top w:val="single" w:sz="4" w:space="0" w:color="4F81BD"/>
          <w:left w:val="single" w:sz="4" w:space="0" w:color="4F81BD"/>
          <w:bottom w:val="single" w:sz="4" w:space="0" w:color="4F81BD"/>
          <w:right w:val="single" w:sz="4" w:space="0" w:color="4F81BD"/>
          <w:insideH w:val="dashSmallGap" w:sz="4" w:space="0" w:color="auto"/>
          <w:insideV w:val="dashSmallGap" w:sz="4" w:space="0" w:color="auto"/>
        </w:tblBorders>
        <w:tblLayout w:type="fixed"/>
        <w:tblLook w:val="04A0" w:firstRow="1" w:lastRow="0" w:firstColumn="1" w:lastColumn="0" w:noHBand="0" w:noVBand="1"/>
      </w:tblPr>
      <w:tblGrid>
        <w:gridCol w:w="1271"/>
        <w:gridCol w:w="3544"/>
        <w:gridCol w:w="2410"/>
        <w:gridCol w:w="2976"/>
      </w:tblGrid>
      <w:tr w:rsidR="00CD6352" w:rsidRPr="009157EC" w14:paraId="26835AC7" w14:textId="77777777" w:rsidTr="00CD6352">
        <w:trPr>
          <w:trHeight w:val="544"/>
        </w:trPr>
        <w:tc>
          <w:tcPr>
            <w:tcW w:w="1271" w:type="dxa"/>
            <w:shd w:val="clear" w:color="auto" w:fill="auto"/>
          </w:tcPr>
          <w:p w14:paraId="1D2A0CFC" w14:textId="77777777" w:rsidR="00CD6352" w:rsidRPr="009157EC" w:rsidRDefault="00CD6352" w:rsidP="00CD6352">
            <w:pPr>
              <w:jc w:val="both"/>
              <w:rPr>
                <w:rFonts w:ascii="Arial" w:eastAsia="Calibri" w:hAnsi="Arial" w:cs="Arial"/>
                <w:b/>
                <w:sz w:val="16"/>
                <w:szCs w:val="16"/>
              </w:rPr>
            </w:pPr>
            <w:r w:rsidRPr="009157EC">
              <w:rPr>
                <w:rFonts w:ascii="Arial" w:eastAsia="Calibri" w:hAnsi="Arial" w:cs="Arial"/>
                <w:b/>
                <w:sz w:val="16"/>
                <w:szCs w:val="16"/>
              </w:rPr>
              <w:t>Finance types</w:t>
            </w:r>
          </w:p>
          <w:p w14:paraId="7140DD6F" w14:textId="77777777" w:rsidR="00CD6352" w:rsidRPr="009157EC" w:rsidRDefault="00CD6352" w:rsidP="00CD6352">
            <w:pPr>
              <w:jc w:val="both"/>
              <w:rPr>
                <w:rFonts w:ascii="Arial" w:eastAsia="Calibri" w:hAnsi="Arial" w:cs="Arial"/>
                <w:b/>
                <w:bCs/>
                <w:sz w:val="16"/>
                <w:szCs w:val="16"/>
              </w:rPr>
            </w:pPr>
          </w:p>
        </w:tc>
        <w:tc>
          <w:tcPr>
            <w:tcW w:w="3544" w:type="dxa"/>
            <w:shd w:val="clear" w:color="auto" w:fill="auto"/>
          </w:tcPr>
          <w:p w14:paraId="607BECE0" w14:textId="77777777" w:rsidR="00CD6352" w:rsidRPr="009157EC" w:rsidRDefault="00CD6352" w:rsidP="00CD6352">
            <w:pPr>
              <w:jc w:val="both"/>
              <w:rPr>
                <w:rFonts w:ascii="Arial" w:eastAsia="Calibri" w:hAnsi="Arial" w:cs="Arial"/>
                <w:b/>
                <w:bCs/>
                <w:sz w:val="16"/>
                <w:szCs w:val="16"/>
              </w:rPr>
            </w:pPr>
            <w:r w:rsidRPr="009157EC">
              <w:rPr>
                <w:rFonts w:ascii="Arial" w:eastAsia="Calibri" w:hAnsi="Arial" w:cs="Arial"/>
                <w:b/>
                <w:bCs/>
                <w:sz w:val="16"/>
                <w:szCs w:val="16"/>
              </w:rPr>
              <w:t>Finance options</w:t>
            </w:r>
          </w:p>
        </w:tc>
        <w:tc>
          <w:tcPr>
            <w:tcW w:w="2410" w:type="dxa"/>
          </w:tcPr>
          <w:p w14:paraId="0D3B2977" w14:textId="0DE81856" w:rsidR="00CD6352" w:rsidRPr="009157EC" w:rsidRDefault="00395DA2" w:rsidP="00CD6352">
            <w:pPr>
              <w:jc w:val="both"/>
              <w:rPr>
                <w:rFonts w:ascii="Arial" w:eastAsia="Calibri" w:hAnsi="Arial" w:cs="Arial"/>
                <w:b/>
                <w:bCs/>
                <w:sz w:val="16"/>
                <w:szCs w:val="16"/>
              </w:rPr>
            </w:pPr>
            <w:r>
              <w:rPr>
                <w:rFonts w:ascii="Arial" w:eastAsia="Calibri" w:hAnsi="Arial" w:cs="Arial"/>
                <w:b/>
                <w:bCs/>
                <w:sz w:val="16"/>
                <w:szCs w:val="16"/>
              </w:rPr>
              <w:t>The d</w:t>
            </w:r>
            <w:r w:rsidR="00CD6352" w:rsidRPr="009157EC">
              <w:rPr>
                <w:rFonts w:ascii="Arial" w:eastAsia="Calibri" w:hAnsi="Arial" w:cs="Arial"/>
                <w:b/>
                <w:bCs/>
                <w:sz w:val="16"/>
                <w:szCs w:val="16"/>
              </w:rPr>
              <w:t>ecision on capital structure</w:t>
            </w:r>
          </w:p>
        </w:tc>
        <w:tc>
          <w:tcPr>
            <w:tcW w:w="2976" w:type="dxa"/>
          </w:tcPr>
          <w:p w14:paraId="31B276C6" w14:textId="77777777" w:rsidR="00CD6352" w:rsidRPr="009157EC" w:rsidRDefault="00CD6352" w:rsidP="00CD6352">
            <w:pPr>
              <w:jc w:val="both"/>
              <w:rPr>
                <w:rFonts w:ascii="Arial" w:eastAsia="Calibri" w:hAnsi="Arial" w:cs="Arial"/>
                <w:b/>
                <w:bCs/>
                <w:sz w:val="16"/>
                <w:szCs w:val="16"/>
              </w:rPr>
            </w:pPr>
            <w:r w:rsidRPr="009157EC">
              <w:rPr>
                <w:rFonts w:ascii="Arial" w:eastAsia="Calibri" w:hAnsi="Arial" w:cs="Arial"/>
                <w:b/>
                <w:bCs/>
                <w:sz w:val="16"/>
                <w:szCs w:val="16"/>
              </w:rPr>
              <w:t xml:space="preserve">Criteria </w:t>
            </w:r>
          </w:p>
        </w:tc>
      </w:tr>
      <w:tr w:rsidR="00CD6352" w:rsidRPr="009157EC" w14:paraId="6C4E364C" w14:textId="77777777" w:rsidTr="00CD6352">
        <w:trPr>
          <w:trHeight w:val="1187"/>
        </w:trPr>
        <w:tc>
          <w:tcPr>
            <w:tcW w:w="1271" w:type="dxa"/>
            <w:shd w:val="clear" w:color="auto" w:fill="auto"/>
          </w:tcPr>
          <w:p w14:paraId="183E5DC3" w14:textId="0D06AF60" w:rsidR="00CD6352" w:rsidRPr="009157EC" w:rsidRDefault="00CD6352" w:rsidP="00CD6352">
            <w:pPr>
              <w:jc w:val="both"/>
              <w:rPr>
                <w:rFonts w:ascii="Arial" w:eastAsia="Calibri" w:hAnsi="Arial" w:cs="Arial"/>
                <w:b/>
                <w:bCs/>
                <w:sz w:val="16"/>
                <w:szCs w:val="16"/>
              </w:rPr>
            </w:pPr>
            <w:r w:rsidRPr="009157EC">
              <w:rPr>
                <w:rFonts w:ascii="Arial" w:eastAsia="Calibri" w:hAnsi="Arial" w:cs="Arial"/>
                <w:sz w:val="16"/>
                <w:szCs w:val="16"/>
              </w:rPr>
              <w:t>Equity Finance (See chapter 2</w:t>
            </w:r>
            <w:r w:rsidR="00395DA2">
              <w:rPr>
                <w:rFonts w:ascii="Arial" w:eastAsia="Calibri" w:hAnsi="Arial" w:cs="Arial"/>
                <w:sz w:val="16"/>
                <w:szCs w:val="16"/>
              </w:rPr>
              <w:t>,3</w:t>
            </w:r>
            <w:r w:rsidRPr="009157EC">
              <w:rPr>
                <w:rFonts w:ascii="Arial" w:eastAsia="Calibri" w:hAnsi="Arial" w:cs="Arial"/>
                <w:sz w:val="16"/>
                <w:szCs w:val="16"/>
              </w:rPr>
              <w:t xml:space="preserve"> &amp; 5)</w:t>
            </w:r>
          </w:p>
        </w:tc>
        <w:tc>
          <w:tcPr>
            <w:tcW w:w="3544" w:type="dxa"/>
            <w:shd w:val="clear" w:color="auto" w:fill="auto"/>
          </w:tcPr>
          <w:p w14:paraId="2B9FB0AC" w14:textId="77777777" w:rsidR="00CD6352" w:rsidRPr="009157EC" w:rsidRDefault="00CD6352" w:rsidP="008D4A4F">
            <w:pPr>
              <w:numPr>
                <w:ilvl w:val="0"/>
                <w:numId w:val="233"/>
              </w:numPr>
              <w:spacing w:after="0" w:line="240" w:lineRule="auto"/>
              <w:jc w:val="both"/>
              <w:rPr>
                <w:rFonts w:ascii="Arial" w:eastAsia="Calibri" w:hAnsi="Arial" w:cs="Arial"/>
                <w:sz w:val="16"/>
                <w:szCs w:val="16"/>
              </w:rPr>
            </w:pPr>
            <w:r w:rsidRPr="009157EC">
              <w:rPr>
                <w:rFonts w:ascii="Arial" w:eastAsia="Calibri" w:hAnsi="Arial" w:cs="Arial"/>
                <w:sz w:val="16"/>
                <w:szCs w:val="16"/>
              </w:rPr>
              <w:t>Cash flow from business/ undistributed profit</w:t>
            </w:r>
            <w:r>
              <w:rPr>
                <w:rFonts w:ascii="Arial" w:eastAsia="Calibri" w:hAnsi="Arial" w:cs="Arial"/>
                <w:sz w:val="16"/>
                <w:szCs w:val="16"/>
              </w:rPr>
              <w:t>s</w:t>
            </w:r>
          </w:p>
          <w:p w14:paraId="28497E1E"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sz w:val="16"/>
                <w:szCs w:val="16"/>
              </w:rPr>
              <w:t>Equity crowdfunding</w:t>
            </w:r>
          </w:p>
          <w:p w14:paraId="26781141"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sz w:val="16"/>
                <w:szCs w:val="16"/>
              </w:rPr>
              <w:t>Equity fund</w:t>
            </w:r>
          </w:p>
          <w:p w14:paraId="673AA19C"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sz w:val="16"/>
                <w:szCs w:val="16"/>
              </w:rPr>
              <w:t>Equity REITs</w:t>
            </w:r>
          </w:p>
          <w:p w14:paraId="4F56C3F3"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sz w:val="16"/>
                <w:szCs w:val="16"/>
              </w:rPr>
              <w:t>High net worth individuals</w:t>
            </w:r>
          </w:p>
          <w:p w14:paraId="4EA818CB"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sz w:val="16"/>
                <w:szCs w:val="16"/>
              </w:rPr>
              <w:t>Private equity (pension funds &amp; insurance companies</w:t>
            </w:r>
          </w:p>
          <w:p w14:paraId="21CC0395"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bCs/>
                <w:sz w:val="16"/>
                <w:szCs w:val="16"/>
              </w:rPr>
              <w:t>Public equity (public listing &amp;</w:t>
            </w:r>
            <w:r w:rsidRPr="009157EC">
              <w:rPr>
                <w:rFonts w:ascii="Arial" w:eastAsia="Calibri" w:hAnsi="Arial" w:cs="Arial"/>
                <w:b/>
                <w:bCs/>
                <w:sz w:val="16"/>
                <w:szCs w:val="16"/>
              </w:rPr>
              <w:t xml:space="preserve"> IPO)</w:t>
            </w:r>
          </w:p>
          <w:p w14:paraId="2AB22AD2" w14:textId="77777777" w:rsidR="00CD6352" w:rsidRPr="009157EC" w:rsidRDefault="00CD6352" w:rsidP="008D4A4F">
            <w:pPr>
              <w:numPr>
                <w:ilvl w:val="0"/>
                <w:numId w:val="233"/>
              </w:numPr>
              <w:spacing w:after="0" w:line="240" w:lineRule="auto"/>
              <w:jc w:val="both"/>
              <w:rPr>
                <w:rFonts w:ascii="Arial" w:eastAsia="Calibri" w:hAnsi="Arial" w:cs="Arial"/>
                <w:sz w:val="16"/>
                <w:szCs w:val="16"/>
              </w:rPr>
            </w:pPr>
            <w:r w:rsidRPr="009157EC">
              <w:rPr>
                <w:rFonts w:ascii="Arial" w:eastAsia="Calibri" w:hAnsi="Arial" w:cs="Arial"/>
                <w:sz w:val="16"/>
                <w:szCs w:val="16"/>
              </w:rPr>
              <w:t>Sale of common stock</w:t>
            </w:r>
          </w:p>
          <w:p w14:paraId="10217CE7" w14:textId="77777777" w:rsidR="00CD6352" w:rsidRPr="009157EC" w:rsidRDefault="00CD6352" w:rsidP="008D4A4F">
            <w:pPr>
              <w:numPr>
                <w:ilvl w:val="0"/>
                <w:numId w:val="233"/>
              </w:numPr>
              <w:spacing w:after="0" w:line="240" w:lineRule="auto"/>
              <w:jc w:val="both"/>
              <w:rPr>
                <w:rFonts w:ascii="Arial" w:eastAsia="Calibri" w:hAnsi="Arial" w:cs="Arial"/>
                <w:b/>
                <w:bCs/>
                <w:sz w:val="16"/>
                <w:szCs w:val="16"/>
              </w:rPr>
            </w:pPr>
            <w:r w:rsidRPr="009157EC">
              <w:rPr>
                <w:rFonts w:ascii="Arial" w:eastAsia="Calibri" w:hAnsi="Arial" w:cs="Arial"/>
                <w:sz w:val="16"/>
                <w:szCs w:val="16"/>
              </w:rPr>
              <w:t>Sale of preferred.</w:t>
            </w:r>
          </w:p>
        </w:tc>
        <w:tc>
          <w:tcPr>
            <w:tcW w:w="2410" w:type="dxa"/>
            <w:vMerge w:val="restart"/>
          </w:tcPr>
          <w:p w14:paraId="6FC16FC0" w14:textId="22DF7461" w:rsidR="00CD6352" w:rsidRPr="009157EC" w:rsidRDefault="006D4931" w:rsidP="008D4A4F">
            <w:pPr>
              <w:numPr>
                <w:ilvl w:val="0"/>
                <w:numId w:val="236"/>
              </w:numPr>
              <w:spacing w:after="0" w:line="240" w:lineRule="auto"/>
              <w:contextualSpacing/>
              <w:jc w:val="both"/>
              <w:rPr>
                <w:rFonts w:ascii="Arial" w:eastAsia="Calibri" w:hAnsi="Arial" w:cs="Arial"/>
                <w:sz w:val="16"/>
                <w:szCs w:val="16"/>
              </w:rPr>
            </w:pPr>
            <w:r>
              <w:rPr>
                <w:rFonts w:ascii="Arial" w:eastAsia="Calibri" w:hAnsi="Arial" w:cs="Arial"/>
                <w:sz w:val="16"/>
                <w:szCs w:val="16"/>
              </w:rPr>
              <w:t>The c</w:t>
            </w:r>
            <w:r w:rsidR="00CD6352" w:rsidRPr="009157EC">
              <w:rPr>
                <w:rFonts w:ascii="Arial" w:eastAsia="Calibri" w:hAnsi="Arial" w:cs="Arial"/>
                <w:sz w:val="16"/>
                <w:szCs w:val="16"/>
              </w:rPr>
              <w:t>ost-benefit analysis should be</w:t>
            </w:r>
            <w:r w:rsidR="00CD6352">
              <w:rPr>
                <w:rFonts w:ascii="Arial" w:eastAsia="Calibri" w:hAnsi="Arial" w:cs="Arial"/>
                <w:sz w:val="16"/>
                <w:szCs w:val="16"/>
              </w:rPr>
              <w:t xml:space="preserve"> </w:t>
            </w:r>
            <w:r w:rsidR="00F257A1" w:rsidRPr="009157EC">
              <w:rPr>
                <w:rFonts w:ascii="Arial" w:eastAsia="Calibri" w:hAnsi="Arial" w:cs="Arial"/>
                <w:sz w:val="16"/>
                <w:szCs w:val="16"/>
              </w:rPr>
              <w:t>primary.</w:t>
            </w:r>
          </w:p>
          <w:p w14:paraId="6AE8FDAD" w14:textId="77777777" w:rsidR="00CD6352" w:rsidRPr="009157EC" w:rsidRDefault="00CD6352" w:rsidP="008D4A4F">
            <w:pPr>
              <w:numPr>
                <w:ilvl w:val="0"/>
                <w:numId w:val="236"/>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A blend of debt and equity</w:t>
            </w:r>
          </w:p>
          <w:p w14:paraId="0758C977" w14:textId="77777777" w:rsidR="00CD6352" w:rsidRPr="009157EC" w:rsidRDefault="00CD6352" w:rsidP="00CD6352">
            <w:pPr>
              <w:jc w:val="both"/>
              <w:rPr>
                <w:rFonts w:ascii="Arial" w:eastAsia="Calibri" w:hAnsi="Arial" w:cs="Arial"/>
                <w:sz w:val="16"/>
                <w:szCs w:val="16"/>
              </w:rPr>
            </w:pPr>
          </w:p>
          <w:p w14:paraId="74359831" w14:textId="77777777" w:rsidR="00CD6352" w:rsidRPr="009157EC" w:rsidRDefault="00CD6352" w:rsidP="008D4A4F">
            <w:pPr>
              <w:numPr>
                <w:ilvl w:val="0"/>
                <w:numId w:val="236"/>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Increased debt-equity ratio if the company has plenty of taxable income to shield.</w:t>
            </w:r>
          </w:p>
          <w:p w14:paraId="471C9852" w14:textId="77777777" w:rsidR="00CD6352" w:rsidRPr="009157EC" w:rsidRDefault="00CD6352" w:rsidP="00CD6352">
            <w:pPr>
              <w:jc w:val="both"/>
              <w:rPr>
                <w:rFonts w:ascii="Arial" w:eastAsia="Calibri" w:hAnsi="Arial" w:cs="Arial"/>
                <w:sz w:val="16"/>
                <w:szCs w:val="16"/>
              </w:rPr>
            </w:pPr>
          </w:p>
          <w:p w14:paraId="2F0C59D5" w14:textId="71807611" w:rsidR="00CD6352" w:rsidRPr="009157EC" w:rsidRDefault="00CD6352" w:rsidP="008D4A4F">
            <w:pPr>
              <w:numPr>
                <w:ilvl w:val="0"/>
                <w:numId w:val="236"/>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 xml:space="preserve">Unprofitable firms may rely more on equity in the short term to reduce </w:t>
            </w:r>
            <w:r w:rsidR="006D4931">
              <w:rPr>
                <w:rFonts w:ascii="Arial" w:eastAsia="Calibri" w:hAnsi="Arial" w:cs="Arial"/>
                <w:sz w:val="16"/>
                <w:szCs w:val="16"/>
              </w:rPr>
              <w:t xml:space="preserve">the </w:t>
            </w:r>
            <w:r w:rsidRPr="009157EC">
              <w:rPr>
                <w:rFonts w:ascii="Arial" w:eastAsia="Calibri" w:hAnsi="Arial" w:cs="Arial"/>
                <w:sz w:val="16"/>
                <w:szCs w:val="16"/>
              </w:rPr>
              <w:t>impact of debt burden</w:t>
            </w:r>
          </w:p>
        </w:tc>
        <w:tc>
          <w:tcPr>
            <w:tcW w:w="2976" w:type="dxa"/>
            <w:vMerge w:val="restart"/>
          </w:tcPr>
          <w:p w14:paraId="07DF0445"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Details of the proposed project</w:t>
            </w:r>
          </w:p>
          <w:p w14:paraId="11B36DE9"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Contractual documentation on land acquisition/land title</w:t>
            </w:r>
          </w:p>
          <w:p w14:paraId="2B8C48E1"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Loan agreement</w:t>
            </w:r>
          </w:p>
          <w:p w14:paraId="3FD4B349"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Feasibility report (economic &amp; technical feasibility)</w:t>
            </w:r>
          </w:p>
          <w:p w14:paraId="5DEEBF4D"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Collateral to mitigate default risk</w:t>
            </w:r>
          </w:p>
          <w:p w14:paraId="2B2DC743"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Capital base</w:t>
            </w:r>
          </w:p>
          <w:p w14:paraId="16422A76"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Due diligence</w:t>
            </w:r>
          </w:p>
          <w:p w14:paraId="0363B189"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Cash flow</w:t>
            </w:r>
          </w:p>
          <w:p w14:paraId="229E7EE2"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Management capabilities/management profile</w:t>
            </w:r>
          </w:p>
          <w:p w14:paraId="35765ABA"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Track records (records of accomplishment</w:t>
            </w:r>
          </w:p>
          <w:p w14:paraId="18835502"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Audited financial reports/ independent audit committee</w:t>
            </w:r>
          </w:p>
          <w:p w14:paraId="0160F37D"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Necessary permits &amp; site clearance</w:t>
            </w:r>
          </w:p>
          <w:p w14:paraId="7F69BA01"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Risk and returns</w:t>
            </w:r>
          </w:p>
          <w:p w14:paraId="1611B007"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Indemnification</w:t>
            </w:r>
          </w:p>
          <w:p w14:paraId="3F9ABEB4"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Performance support guarantees</w:t>
            </w:r>
          </w:p>
          <w:p w14:paraId="2E92E824"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Usage of hedging instruments</w:t>
            </w:r>
          </w:p>
          <w:p w14:paraId="54E0845E"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Tax returns</w:t>
            </w:r>
          </w:p>
          <w:p w14:paraId="4442FB71"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Equity contribution</w:t>
            </w:r>
          </w:p>
          <w:p w14:paraId="58B4EA1A"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Potential rent</w:t>
            </w:r>
          </w:p>
          <w:p w14:paraId="2F85CF4C"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 xml:space="preserve">Availability of prospective tenants </w:t>
            </w:r>
          </w:p>
          <w:p w14:paraId="3B6E6702"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Due diligence</w:t>
            </w:r>
          </w:p>
          <w:p w14:paraId="15728DBF"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Track records</w:t>
            </w:r>
          </w:p>
          <w:p w14:paraId="66B49FF1"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Cost relationship with developers</w:t>
            </w:r>
          </w:p>
          <w:p w14:paraId="3A68CC4C"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Business plan</w:t>
            </w:r>
          </w:p>
          <w:p w14:paraId="61726117"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Financial models</w:t>
            </w:r>
          </w:p>
          <w:p w14:paraId="7C039541"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Supporting documents that describe the site</w:t>
            </w:r>
          </w:p>
          <w:p w14:paraId="3081E004"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Geotechnical study</w:t>
            </w:r>
            <w:permStart w:id="982928270" w:edGrp="everyone"/>
            <w:permEnd w:id="982928270"/>
          </w:p>
          <w:p w14:paraId="017BC79C"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Topographical survey</w:t>
            </w:r>
          </w:p>
          <w:p w14:paraId="04A54A19"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Pre-sale details</w:t>
            </w:r>
          </w:p>
          <w:p w14:paraId="54184AD1"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Projected returns</w:t>
            </w:r>
          </w:p>
          <w:p w14:paraId="42FB1FEE"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Proof of adherence to government regulations</w:t>
            </w:r>
          </w:p>
          <w:p w14:paraId="3704CC8C"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Company profile</w:t>
            </w:r>
          </w:p>
          <w:p w14:paraId="4E27DD97" w14:textId="77777777" w:rsidR="00CD6352" w:rsidRPr="009157EC" w:rsidRDefault="00CD6352" w:rsidP="008D4A4F">
            <w:pPr>
              <w:numPr>
                <w:ilvl w:val="0"/>
                <w:numId w:val="237"/>
              </w:numPr>
              <w:spacing w:after="0" w:line="240" w:lineRule="auto"/>
              <w:contextualSpacing/>
              <w:jc w:val="both"/>
              <w:rPr>
                <w:rFonts w:ascii="Arial" w:eastAsia="Calibri" w:hAnsi="Arial" w:cs="Arial"/>
                <w:b/>
                <w:sz w:val="16"/>
                <w:szCs w:val="16"/>
              </w:rPr>
            </w:pPr>
            <w:r w:rsidRPr="009157EC">
              <w:rPr>
                <w:rFonts w:ascii="Arial" w:eastAsia="Calibri" w:hAnsi="Arial" w:cs="Arial"/>
                <w:sz w:val="16"/>
                <w:szCs w:val="16"/>
              </w:rPr>
              <w:t>Collateral</w:t>
            </w:r>
          </w:p>
          <w:p w14:paraId="6A6CD5AD" w14:textId="77777777" w:rsidR="00CD6352" w:rsidRPr="009157EC" w:rsidRDefault="00CD6352" w:rsidP="008D4A4F">
            <w:pPr>
              <w:numPr>
                <w:ilvl w:val="0"/>
                <w:numId w:val="237"/>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Projected revenue and income</w:t>
            </w:r>
          </w:p>
        </w:tc>
      </w:tr>
      <w:tr w:rsidR="00CD6352" w:rsidRPr="009157EC" w14:paraId="6652BEB8" w14:textId="77777777" w:rsidTr="00CD6352">
        <w:trPr>
          <w:trHeight w:val="557"/>
        </w:trPr>
        <w:tc>
          <w:tcPr>
            <w:tcW w:w="1271" w:type="dxa"/>
            <w:shd w:val="clear" w:color="auto" w:fill="auto"/>
          </w:tcPr>
          <w:p w14:paraId="0F85E365" w14:textId="32182558" w:rsidR="00CD6352" w:rsidRPr="009157EC" w:rsidRDefault="00CD6352" w:rsidP="00CD6352">
            <w:pPr>
              <w:jc w:val="both"/>
              <w:rPr>
                <w:rFonts w:ascii="Arial" w:eastAsia="Calibri" w:hAnsi="Arial" w:cs="Arial"/>
                <w:sz w:val="16"/>
                <w:szCs w:val="16"/>
              </w:rPr>
            </w:pPr>
            <w:r w:rsidRPr="009157EC">
              <w:rPr>
                <w:rFonts w:ascii="Arial" w:eastAsia="Calibri" w:hAnsi="Arial" w:cs="Arial"/>
                <w:sz w:val="16"/>
                <w:szCs w:val="16"/>
              </w:rPr>
              <w:t>Debt Finance ( See chapter 2</w:t>
            </w:r>
            <w:r w:rsidR="00395DA2">
              <w:rPr>
                <w:rFonts w:ascii="Arial" w:eastAsia="Calibri" w:hAnsi="Arial" w:cs="Arial"/>
                <w:sz w:val="16"/>
                <w:szCs w:val="16"/>
              </w:rPr>
              <w:t>,3</w:t>
            </w:r>
            <w:r w:rsidRPr="009157EC">
              <w:rPr>
                <w:rFonts w:ascii="Arial" w:eastAsia="Calibri" w:hAnsi="Arial" w:cs="Arial"/>
                <w:sz w:val="16"/>
                <w:szCs w:val="16"/>
              </w:rPr>
              <w:t xml:space="preserve"> &amp; </w:t>
            </w:r>
            <w:r w:rsidR="00395DA2">
              <w:rPr>
                <w:rFonts w:ascii="Arial" w:eastAsia="Calibri" w:hAnsi="Arial" w:cs="Arial"/>
                <w:sz w:val="16"/>
                <w:szCs w:val="16"/>
              </w:rPr>
              <w:t>5</w:t>
            </w:r>
            <w:r w:rsidRPr="009157EC">
              <w:rPr>
                <w:rFonts w:ascii="Arial" w:eastAsia="Calibri" w:hAnsi="Arial" w:cs="Arial"/>
                <w:sz w:val="16"/>
                <w:szCs w:val="16"/>
              </w:rPr>
              <w:t>)</w:t>
            </w:r>
          </w:p>
        </w:tc>
        <w:tc>
          <w:tcPr>
            <w:tcW w:w="3544" w:type="dxa"/>
            <w:shd w:val="clear" w:color="auto" w:fill="auto"/>
          </w:tcPr>
          <w:p w14:paraId="1E714ED1" w14:textId="77777777" w:rsidR="00CD6352" w:rsidRPr="00A51C02" w:rsidRDefault="00CD6352" w:rsidP="008D4A4F">
            <w:pPr>
              <w:pStyle w:val="ListParagraph"/>
              <w:numPr>
                <w:ilvl w:val="0"/>
                <w:numId w:val="234"/>
              </w:numPr>
              <w:spacing w:after="0" w:line="240" w:lineRule="auto"/>
              <w:jc w:val="both"/>
              <w:rPr>
                <w:rFonts w:ascii="Arial" w:eastAsia="Calibri" w:hAnsi="Arial" w:cs="Arial"/>
                <w:sz w:val="16"/>
                <w:szCs w:val="16"/>
              </w:rPr>
            </w:pPr>
            <w:r w:rsidRPr="00A51C02">
              <w:rPr>
                <w:rFonts w:ascii="Arial" w:eastAsia="Calibri" w:hAnsi="Arial" w:cs="Arial"/>
                <w:sz w:val="16"/>
                <w:szCs w:val="16"/>
              </w:rPr>
              <w:t>Bank loans</w:t>
            </w:r>
          </w:p>
          <w:p w14:paraId="7BE97972"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Bonds</w:t>
            </w:r>
          </w:p>
          <w:p w14:paraId="46E4FC3B"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Debenture</w:t>
            </w:r>
          </w:p>
          <w:p w14:paraId="59AD39F9"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Debt fund</w:t>
            </w:r>
          </w:p>
          <w:p w14:paraId="6595FDCA"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Hybrid REITs</w:t>
            </w:r>
          </w:p>
          <w:p w14:paraId="463623A5"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Limited Partnership.</w:t>
            </w:r>
          </w:p>
          <w:p w14:paraId="2602550C"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Mortgage Bonds.</w:t>
            </w:r>
          </w:p>
          <w:p w14:paraId="42857A9C"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Mortgage Loans.</w:t>
            </w:r>
          </w:p>
          <w:p w14:paraId="15BD96EE"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Mortgage REITs.</w:t>
            </w:r>
          </w:p>
          <w:p w14:paraId="2553DD4A"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Participating mortgages</w:t>
            </w:r>
          </w:p>
          <w:p w14:paraId="1D5D1589"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Sale and Leaseback arrangement.</w:t>
            </w:r>
          </w:p>
          <w:p w14:paraId="170FDE59"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Sale of collateralised mortgage-backed obligation</w:t>
            </w:r>
          </w:p>
          <w:p w14:paraId="56D1AAF0"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Sale of Commercial mortgage-backed securities</w:t>
            </w:r>
          </w:p>
          <w:p w14:paraId="44979247"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Sale of commercial paper</w:t>
            </w:r>
          </w:p>
          <w:p w14:paraId="05D38683" w14:textId="77777777" w:rsidR="00CD6352" w:rsidRPr="009157EC" w:rsidRDefault="00CD6352" w:rsidP="008D4A4F">
            <w:pPr>
              <w:numPr>
                <w:ilvl w:val="0"/>
                <w:numId w:val="234"/>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Sale of unsecured bonds</w:t>
            </w:r>
          </w:p>
        </w:tc>
        <w:tc>
          <w:tcPr>
            <w:tcW w:w="2410" w:type="dxa"/>
            <w:vMerge/>
          </w:tcPr>
          <w:p w14:paraId="1EDC0577" w14:textId="77777777" w:rsidR="00CD6352" w:rsidRPr="009157EC" w:rsidRDefault="00CD6352" w:rsidP="008D4A4F">
            <w:pPr>
              <w:numPr>
                <w:ilvl w:val="0"/>
                <w:numId w:val="233"/>
              </w:numPr>
              <w:spacing w:after="0" w:line="240" w:lineRule="auto"/>
              <w:contextualSpacing/>
              <w:jc w:val="both"/>
              <w:rPr>
                <w:rFonts w:ascii="Arial" w:eastAsia="Calibri" w:hAnsi="Arial" w:cs="Arial"/>
                <w:sz w:val="16"/>
                <w:szCs w:val="16"/>
              </w:rPr>
            </w:pPr>
          </w:p>
        </w:tc>
        <w:tc>
          <w:tcPr>
            <w:tcW w:w="2976" w:type="dxa"/>
            <w:vMerge/>
          </w:tcPr>
          <w:p w14:paraId="79CA70B5" w14:textId="77777777" w:rsidR="00CD6352" w:rsidRPr="009157EC" w:rsidRDefault="00CD6352" w:rsidP="008D4A4F">
            <w:pPr>
              <w:numPr>
                <w:ilvl w:val="0"/>
                <w:numId w:val="233"/>
              </w:numPr>
              <w:spacing w:after="0" w:line="240" w:lineRule="auto"/>
              <w:contextualSpacing/>
              <w:jc w:val="both"/>
              <w:rPr>
                <w:rFonts w:ascii="Arial" w:eastAsia="Calibri" w:hAnsi="Arial" w:cs="Arial"/>
                <w:sz w:val="16"/>
                <w:szCs w:val="16"/>
              </w:rPr>
            </w:pPr>
          </w:p>
        </w:tc>
      </w:tr>
      <w:tr w:rsidR="00CD6352" w:rsidRPr="009157EC" w14:paraId="1C424A06" w14:textId="77777777" w:rsidTr="00CD6352">
        <w:trPr>
          <w:trHeight w:val="416"/>
        </w:trPr>
        <w:tc>
          <w:tcPr>
            <w:tcW w:w="1271" w:type="dxa"/>
            <w:shd w:val="clear" w:color="auto" w:fill="auto"/>
          </w:tcPr>
          <w:p w14:paraId="0F6B9980" w14:textId="087DAB23" w:rsidR="00CD6352" w:rsidRPr="009157EC" w:rsidRDefault="00CD6352" w:rsidP="00CD6352">
            <w:pPr>
              <w:jc w:val="both"/>
              <w:rPr>
                <w:rFonts w:ascii="Arial" w:eastAsia="Calibri" w:hAnsi="Arial" w:cs="Arial"/>
                <w:sz w:val="16"/>
                <w:szCs w:val="16"/>
              </w:rPr>
            </w:pPr>
            <w:r w:rsidRPr="009157EC">
              <w:rPr>
                <w:rFonts w:ascii="Arial" w:eastAsia="Calibri" w:hAnsi="Arial" w:cs="Arial"/>
                <w:sz w:val="16"/>
                <w:szCs w:val="16"/>
              </w:rPr>
              <w:t>Innovative &amp; creative finance (See chapter 2</w:t>
            </w:r>
            <w:r w:rsidR="009B4CDC">
              <w:rPr>
                <w:rFonts w:ascii="Arial" w:eastAsia="Calibri" w:hAnsi="Arial" w:cs="Arial"/>
                <w:sz w:val="16"/>
                <w:szCs w:val="16"/>
              </w:rPr>
              <w:t>,3</w:t>
            </w:r>
            <w:r w:rsidRPr="009157EC">
              <w:rPr>
                <w:rFonts w:ascii="Arial" w:eastAsia="Calibri" w:hAnsi="Arial" w:cs="Arial"/>
                <w:sz w:val="16"/>
                <w:szCs w:val="16"/>
              </w:rPr>
              <w:t xml:space="preserve"> &amp; 6)</w:t>
            </w:r>
          </w:p>
        </w:tc>
        <w:tc>
          <w:tcPr>
            <w:tcW w:w="3544" w:type="dxa"/>
            <w:shd w:val="clear" w:color="auto" w:fill="auto"/>
          </w:tcPr>
          <w:p w14:paraId="2DEC7242"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Community-based housing finance initiatives</w:t>
            </w:r>
          </w:p>
          <w:p w14:paraId="62E80EA3"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Convertible Mortgages</w:t>
            </w:r>
          </w:p>
          <w:p w14:paraId="7B867A0C"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Crowdfunding</w:t>
            </w:r>
          </w:p>
          <w:p w14:paraId="710521B5"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Derivatives</w:t>
            </w:r>
          </w:p>
          <w:p w14:paraId="6CEB06A0"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Government grants and subsidies</w:t>
            </w:r>
          </w:p>
          <w:p w14:paraId="0F6A1B4B"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bCs/>
                <w:sz w:val="16"/>
                <w:szCs w:val="16"/>
              </w:rPr>
              <w:t>Housing microfinance</w:t>
            </w:r>
          </w:p>
          <w:p w14:paraId="74A5C6C3"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Joint Ventures</w:t>
            </w:r>
          </w:p>
          <w:p w14:paraId="16C721BA"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Long tenured Mortgage bond</w:t>
            </w:r>
          </w:p>
          <w:p w14:paraId="70658BD9"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Mezzanine Capital Financing</w:t>
            </w:r>
          </w:p>
          <w:p w14:paraId="02B2F547"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Participating Mortgages</w:t>
            </w:r>
          </w:p>
          <w:p w14:paraId="26785892"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Pension Backed Housing Finance</w:t>
            </w:r>
          </w:p>
          <w:p w14:paraId="71EAA038"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PPP (Public-Private Partnership)</w:t>
            </w:r>
          </w:p>
          <w:p w14:paraId="51118A9D"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Project Financing</w:t>
            </w:r>
          </w:p>
          <w:p w14:paraId="28FF960F"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Public-Private Partnership (PPP)/ Private Finance Initiates (PFI)</w:t>
            </w:r>
          </w:p>
          <w:p w14:paraId="702C7BF0"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Real estate investment trust (REITs)</w:t>
            </w:r>
          </w:p>
          <w:p w14:paraId="759B92C1"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Residential mortgage-backed securitisation (RMBS)</w:t>
            </w:r>
          </w:p>
          <w:p w14:paraId="6C59FDF5"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Sovereign wealth fund</w:t>
            </w:r>
          </w:p>
          <w:p w14:paraId="537085FB"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Tax-exempt bond financing</w:t>
            </w:r>
          </w:p>
          <w:p w14:paraId="1ED0D044" w14:textId="77777777" w:rsidR="00CD6352" w:rsidRPr="009157EC" w:rsidRDefault="00CD6352" w:rsidP="008D4A4F">
            <w:pPr>
              <w:numPr>
                <w:ilvl w:val="0"/>
                <w:numId w:val="235"/>
              </w:numPr>
              <w:spacing w:after="0" w:line="240" w:lineRule="auto"/>
              <w:contextualSpacing/>
              <w:jc w:val="both"/>
              <w:rPr>
                <w:rFonts w:ascii="Arial" w:eastAsia="Calibri" w:hAnsi="Arial" w:cs="Arial"/>
                <w:sz w:val="16"/>
                <w:szCs w:val="16"/>
              </w:rPr>
            </w:pPr>
            <w:r w:rsidRPr="009157EC">
              <w:rPr>
                <w:rFonts w:ascii="Arial" w:eastAsia="Calibri" w:hAnsi="Arial" w:cs="Arial"/>
                <w:sz w:val="16"/>
                <w:szCs w:val="16"/>
              </w:rPr>
              <w:t>Venture capital</w:t>
            </w:r>
          </w:p>
        </w:tc>
        <w:tc>
          <w:tcPr>
            <w:tcW w:w="2410" w:type="dxa"/>
            <w:vMerge/>
          </w:tcPr>
          <w:p w14:paraId="4BD291A0" w14:textId="77777777" w:rsidR="00CD6352" w:rsidRPr="009157EC" w:rsidRDefault="00CD6352" w:rsidP="008D4A4F">
            <w:pPr>
              <w:numPr>
                <w:ilvl w:val="0"/>
                <w:numId w:val="233"/>
              </w:numPr>
              <w:spacing w:after="0" w:line="240" w:lineRule="auto"/>
              <w:jc w:val="both"/>
              <w:rPr>
                <w:rFonts w:ascii="Arial" w:eastAsia="Calibri" w:hAnsi="Arial" w:cs="Arial"/>
                <w:sz w:val="16"/>
                <w:szCs w:val="16"/>
              </w:rPr>
            </w:pPr>
          </w:p>
        </w:tc>
        <w:tc>
          <w:tcPr>
            <w:tcW w:w="2976" w:type="dxa"/>
            <w:vMerge/>
          </w:tcPr>
          <w:p w14:paraId="6829878E" w14:textId="77777777" w:rsidR="00CD6352" w:rsidRPr="009157EC" w:rsidRDefault="00CD6352" w:rsidP="008D4A4F">
            <w:pPr>
              <w:numPr>
                <w:ilvl w:val="0"/>
                <w:numId w:val="233"/>
              </w:numPr>
              <w:spacing w:after="0" w:line="240" w:lineRule="auto"/>
              <w:jc w:val="both"/>
              <w:rPr>
                <w:rFonts w:ascii="Arial" w:eastAsia="Calibri" w:hAnsi="Arial" w:cs="Arial"/>
                <w:sz w:val="16"/>
                <w:szCs w:val="16"/>
              </w:rPr>
            </w:pPr>
          </w:p>
        </w:tc>
      </w:tr>
    </w:tbl>
    <w:p w14:paraId="361E9030" w14:textId="7D87EC30" w:rsidR="00CD6352" w:rsidRDefault="00CD6352" w:rsidP="00B25648">
      <w:pPr>
        <w:spacing w:line="240" w:lineRule="auto"/>
        <w:jc w:val="both"/>
        <w:rPr>
          <w:rFonts w:ascii="Arial" w:hAnsi="Arial" w:cs="Arial"/>
          <w:sz w:val="16"/>
          <w:szCs w:val="16"/>
        </w:rPr>
      </w:pPr>
      <w:r w:rsidRPr="00EA7665">
        <w:rPr>
          <w:rFonts w:ascii="Arial" w:hAnsi="Arial" w:cs="Arial"/>
          <w:sz w:val="16"/>
          <w:szCs w:val="16"/>
        </w:rPr>
        <w:t>Compilation by the author (20</w:t>
      </w:r>
      <w:r w:rsidR="00FB3869">
        <w:rPr>
          <w:rFonts w:ascii="Arial" w:hAnsi="Arial" w:cs="Arial"/>
          <w:sz w:val="16"/>
          <w:szCs w:val="16"/>
        </w:rPr>
        <w:t>21</w:t>
      </w:r>
      <w:r w:rsidRPr="00EA7665">
        <w:rPr>
          <w:rFonts w:ascii="Arial" w:hAnsi="Arial" w:cs="Arial"/>
          <w:sz w:val="16"/>
          <w:szCs w:val="16"/>
        </w:rPr>
        <w:t>)</w:t>
      </w:r>
    </w:p>
    <w:p w14:paraId="0958B631" w14:textId="057307AD" w:rsidR="00B25648" w:rsidRPr="00EA7665" w:rsidRDefault="00B25648" w:rsidP="00B25648">
      <w:pPr>
        <w:spacing w:line="240" w:lineRule="auto"/>
        <w:jc w:val="both"/>
        <w:rPr>
          <w:rFonts w:ascii="Arial" w:hAnsi="Arial" w:cs="Arial"/>
          <w:sz w:val="16"/>
          <w:szCs w:val="16"/>
        </w:rPr>
      </w:pPr>
      <w:r>
        <w:rPr>
          <w:rFonts w:ascii="Arial" w:hAnsi="Arial" w:cs="Arial"/>
          <w:sz w:val="16"/>
          <w:szCs w:val="16"/>
        </w:rPr>
        <w:t>See detailed development of the inventory of options and criteria for securing finance for real estate project development in Chapter 5.4.</w:t>
      </w:r>
    </w:p>
    <w:p w14:paraId="4D8E4A44" w14:textId="77777777" w:rsidR="00CD6352" w:rsidRPr="00EA7665" w:rsidRDefault="00CD6352" w:rsidP="00CD6352">
      <w:pPr>
        <w:spacing w:line="360" w:lineRule="auto"/>
        <w:jc w:val="both"/>
        <w:rPr>
          <w:rFonts w:ascii="Arial" w:hAnsi="Arial" w:cs="Arial"/>
        </w:rPr>
      </w:pPr>
    </w:p>
    <w:p w14:paraId="66C401D2" w14:textId="77777777" w:rsidR="00CD6352" w:rsidRPr="00BE0C4F" w:rsidRDefault="00CD6352" w:rsidP="00CD6352">
      <w:pPr>
        <w:rPr>
          <w:rStyle w:val="IntenseEmphasis"/>
          <w:rFonts w:ascii="Arial" w:hAnsi="Arial" w:cs="Arial"/>
          <w:b/>
          <w:bCs/>
          <w:color w:val="auto"/>
        </w:rPr>
      </w:pPr>
      <w:r>
        <w:rPr>
          <w:rStyle w:val="IntenseEmphasis"/>
          <w:rFonts w:ascii="Arial" w:hAnsi="Arial" w:cs="Arial"/>
          <w:b/>
          <w:bCs/>
          <w:color w:val="auto"/>
        </w:rPr>
        <w:t>Further c</w:t>
      </w:r>
      <w:r w:rsidRPr="00BE0C4F">
        <w:rPr>
          <w:rStyle w:val="IntenseEmphasis"/>
          <w:rFonts w:ascii="Arial" w:hAnsi="Arial" w:cs="Arial"/>
          <w:b/>
          <w:bCs/>
          <w:color w:val="auto"/>
        </w:rPr>
        <w:t>omments</w:t>
      </w:r>
    </w:p>
    <w:p w14:paraId="0886BD71" w14:textId="2D1E1D8B" w:rsidR="00CD6352" w:rsidRPr="00EA7665" w:rsidRDefault="00CD6352" w:rsidP="00CD6352">
      <w:pPr>
        <w:spacing w:line="360" w:lineRule="auto"/>
        <w:jc w:val="both"/>
        <w:rPr>
          <w:rFonts w:ascii="Arial" w:hAnsi="Arial" w:cs="Arial"/>
        </w:rPr>
      </w:pPr>
      <w:r w:rsidRPr="00EA7665">
        <w:rPr>
          <w:rFonts w:ascii="Arial" w:hAnsi="Arial" w:cs="Arial"/>
        </w:rPr>
        <w:t xml:space="preserve">The real estate manager responsible for securing finance for real estate project development and </w:t>
      </w:r>
      <w:r w:rsidR="00DF756A">
        <w:rPr>
          <w:rFonts w:ascii="Arial" w:hAnsi="Arial" w:cs="Arial"/>
        </w:rPr>
        <w:t>his team members</w:t>
      </w:r>
      <w:r w:rsidRPr="00EA7665">
        <w:rPr>
          <w:rFonts w:ascii="Arial" w:hAnsi="Arial" w:cs="Arial"/>
        </w:rPr>
        <w:t xml:space="preserve"> </w:t>
      </w:r>
      <w:r>
        <w:rPr>
          <w:rFonts w:ascii="Arial" w:hAnsi="Arial" w:cs="Arial"/>
        </w:rPr>
        <w:t>should</w:t>
      </w:r>
      <w:r w:rsidRPr="00EA7665">
        <w:rPr>
          <w:rFonts w:ascii="Arial" w:hAnsi="Arial" w:cs="Arial"/>
        </w:rPr>
        <w:t xml:space="preserve"> study the various options for securing finance for real estate project development. It will enable them to understand the options that are best suitable for their project (s) and understand how to secure the funds using such finance options. </w:t>
      </w:r>
      <w:r w:rsidRPr="00EA7665">
        <w:rPr>
          <w:rFonts w:ascii="Arial" w:hAnsi="Arial" w:cs="Arial"/>
        </w:rPr>
        <w:lastRenderedPageBreak/>
        <w:t>Furthermore, researc</w:t>
      </w:r>
      <w:r>
        <w:rPr>
          <w:rFonts w:ascii="Arial" w:hAnsi="Arial" w:cs="Arial"/>
        </w:rPr>
        <w:t>h</w:t>
      </w:r>
      <w:r w:rsidRPr="00EA7665">
        <w:rPr>
          <w:rFonts w:ascii="Arial" w:hAnsi="Arial" w:cs="Arial"/>
        </w:rPr>
        <w:t xml:space="preserve"> by the managers into the different finance options can enable them to make recommendations of creative and innovative finance options to their financiers. </w:t>
      </w:r>
      <w:r>
        <w:rPr>
          <w:rFonts w:ascii="Arial" w:hAnsi="Arial" w:cs="Arial"/>
        </w:rPr>
        <w:t xml:space="preserve">It is also very important for the real estate manager and his team to know the </w:t>
      </w:r>
      <w:r w:rsidR="002F7077">
        <w:rPr>
          <w:rFonts w:ascii="Arial" w:hAnsi="Arial" w:cs="Arial"/>
        </w:rPr>
        <w:t>fundamental criteria</w:t>
      </w:r>
      <w:r>
        <w:rPr>
          <w:rFonts w:ascii="Arial" w:hAnsi="Arial" w:cs="Arial"/>
        </w:rPr>
        <w:t xml:space="preserve"> </w:t>
      </w:r>
      <w:r w:rsidR="00DF756A">
        <w:rPr>
          <w:rFonts w:ascii="Arial" w:hAnsi="Arial" w:cs="Arial"/>
        </w:rPr>
        <w:t>r</w:t>
      </w:r>
      <w:r>
        <w:rPr>
          <w:rFonts w:ascii="Arial" w:hAnsi="Arial" w:cs="Arial"/>
        </w:rPr>
        <w:t>equested by financiers a</w:t>
      </w:r>
      <w:r w:rsidR="00DF756A">
        <w:rPr>
          <w:rFonts w:ascii="Arial" w:hAnsi="Arial" w:cs="Arial"/>
        </w:rPr>
        <w:t>nd</w:t>
      </w:r>
      <w:r>
        <w:rPr>
          <w:rFonts w:ascii="Arial" w:hAnsi="Arial" w:cs="Arial"/>
        </w:rPr>
        <w:t xml:space="preserve"> understand capital structure decisions. This segment of the toolkit has provided a guide to these elements.</w:t>
      </w:r>
    </w:p>
    <w:p w14:paraId="341E5DF6" w14:textId="223C7F58" w:rsidR="00CD6352" w:rsidRPr="00112F93" w:rsidRDefault="00CD6352" w:rsidP="00CD6352">
      <w:pPr>
        <w:spacing w:before="240"/>
        <w:rPr>
          <w:rFonts w:ascii="Arial" w:hAnsi="Arial" w:cs="Arial"/>
          <w:b/>
          <w:bCs/>
        </w:rPr>
      </w:pPr>
      <w:r w:rsidRPr="00112F93">
        <w:rPr>
          <w:rFonts w:ascii="Arial" w:hAnsi="Arial" w:cs="Arial"/>
          <w:b/>
          <w:bCs/>
        </w:rPr>
        <w:t xml:space="preserve">Toolkit stage 2: Conceptual framework for Environmental </w:t>
      </w:r>
      <w:r w:rsidR="002F7077" w:rsidRPr="00112F93">
        <w:rPr>
          <w:rFonts w:ascii="Arial" w:hAnsi="Arial" w:cs="Arial"/>
          <w:b/>
          <w:bCs/>
        </w:rPr>
        <w:t>scan for</w:t>
      </w:r>
      <w:r w:rsidRPr="00112F93">
        <w:rPr>
          <w:rFonts w:ascii="Arial" w:hAnsi="Arial" w:cs="Arial"/>
          <w:b/>
          <w:bCs/>
        </w:rPr>
        <w:t xml:space="preserve"> securing finance for real estate project development </w:t>
      </w:r>
    </w:p>
    <w:p w14:paraId="0C076BE7" w14:textId="299EDFFA" w:rsidR="00CD6352" w:rsidRPr="00EA7665" w:rsidRDefault="00CD6352" w:rsidP="00CD6352">
      <w:pPr>
        <w:spacing w:before="240" w:line="360" w:lineRule="auto"/>
        <w:jc w:val="both"/>
        <w:rPr>
          <w:rFonts w:ascii="Arial" w:hAnsi="Arial" w:cs="Arial"/>
        </w:rPr>
      </w:pPr>
      <w:r w:rsidRPr="00EA7665">
        <w:rPr>
          <w:rFonts w:ascii="Arial" w:hAnsi="Arial" w:cs="Arial"/>
        </w:rPr>
        <w:t>E</w:t>
      </w:r>
      <w:r>
        <w:rPr>
          <w:rFonts w:ascii="Arial" w:hAnsi="Arial" w:cs="Arial"/>
        </w:rPr>
        <w:t xml:space="preserve">nvironmental </w:t>
      </w:r>
      <w:r w:rsidRPr="00EA7665">
        <w:rPr>
          <w:rFonts w:ascii="Arial" w:hAnsi="Arial" w:cs="Arial"/>
        </w:rPr>
        <w:t>scanning</w:t>
      </w:r>
      <w:r>
        <w:rPr>
          <w:rFonts w:ascii="Arial" w:hAnsi="Arial" w:cs="Arial"/>
        </w:rPr>
        <w:t xml:space="preserve"> enhances an organisation’s ability to monitor the internal and external environments and incorporate anticipated changes into its strategic plans t</w:t>
      </w:r>
      <w:r w:rsidR="009E369A">
        <w:rPr>
          <w:rFonts w:ascii="Arial" w:hAnsi="Arial" w:cs="Arial"/>
        </w:rPr>
        <w:t>o</w:t>
      </w:r>
      <w:r>
        <w:rPr>
          <w:rFonts w:ascii="Arial" w:hAnsi="Arial" w:cs="Arial"/>
        </w:rPr>
        <w:t xml:space="preserve"> foster its adaptability and survival (Frolick et al</w:t>
      </w:r>
      <w:r w:rsidR="009E369A">
        <w:rPr>
          <w:rFonts w:ascii="Arial" w:hAnsi="Arial" w:cs="Arial"/>
        </w:rPr>
        <w:t>.</w:t>
      </w:r>
      <w:r>
        <w:rPr>
          <w:rFonts w:ascii="Arial" w:hAnsi="Arial" w:cs="Arial"/>
        </w:rPr>
        <w:t>, 2007</w:t>
      </w:r>
      <w:r w:rsidR="00F257A1">
        <w:rPr>
          <w:rFonts w:ascii="Arial" w:hAnsi="Arial" w:cs="Arial"/>
        </w:rPr>
        <w:t>).</w:t>
      </w:r>
      <w:r w:rsidRPr="00EA7665">
        <w:rPr>
          <w:rFonts w:ascii="Arial" w:hAnsi="Arial" w:cs="Arial"/>
        </w:rPr>
        <w:t xml:space="preserve"> The knowledge of this will enable the management </w:t>
      </w:r>
      <w:r>
        <w:rPr>
          <w:rFonts w:ascii="Arial" w:hAnsi="Arial" w:cs="Arial"/>
        </w:rPr>
        <w:t xml:space="preserve">to </w:t>
      </w:r>
      <w:r w:rsidRPr="00EA7665">
        <w:rPr>
          <w:rFonts w:ascii="Arial" w:hAnsi="Arial" w:cs="Arial"/>
        </w:rPr>
        <w:t xml:space="preserve">plan </w:t>
      </w:r>
      <w:r w:rsidR="006D4931">
        <w:rPr>
          <w:rFonts w:ascii="Arial" w:hAnsi="Arial" w:cs="Arial"/>
        </w:rPr>
        <w:t xml:space="preserve">the </w:t>
      </w:r>
      <w:r w:rsidR="009E369A">
        <w:rPr>
          <w:rFonts w:ascii="Arial" w:hAnsi="Arial" w:cs="Arial"/>
        </w:rPr>
        <w:t>organisation's activities</w:t>
      </w:r>
      <w:r w:rsidRPr="00EA7665">
        <w:rPr>
          <w:rFonts w:ascii="Arial" w:hAnsi="Arial" w:cs="Arial"/>
        </w:rPr>
        <w:t xml:space="preserve"> better and enhance their chances of securing finance. </w:t>
      </w:r>
      <w:r>
        <w:rPr>
          <w:rFonts w:ascii="Arial" w:hAnsi="Arial" w:cs="Arial"/>
        </w:rPr>
        <w:t xml:space="preserve">The </w:t>
      </w:r>
      <w:r w:rsidRPr="00EA7665">
        <w:rPr>
          <w:rFonts w:ascii="Arial" w:hAnsi="Arial" w:cs="Arial"/>
        </w:rPr>
        <w:t xml:space="preserve">environmental scan enables the </w:t>
      </w:r>
      <w:r w:rsidR="009E369A">
        <w:rPr>
          <w:rFonts w:ascii="Arial" w:hAnsi="Arial" w:cs="Arial"/>
        </w:rPr>
        <w:t xml:space="preserve">organisation's </w:t>
      </w:r>
      <w:r w:rsidR="000426CE">
        <w:rPr>
          <w:rFonts w:ascii="Arial" w:hAnsi="Arial" w:cs="Arial"/>
        </w:rPr>
        <w:t>leadership</w:t>
      </w:r>
      <w:r w:rsidR="009E369A">
        <w:rPr>
          <w:rFonts w:ascii="Arial" w:hAnsi="Arial" w:cs="Arial"/>
        </w:rPr>
        <w:t xml:space="preserve"> to develop effective responses to </w:t>
      </w:r>
      <w:r w:rsidR="000426CE">
        <w:rPr>
          <w:rFonts w:ascii="Arial" w:hAnsi="Arial" w:cs="Arial"/>
        </w:rPr>
        <w:t>ens</w:t>
      </w:r>
      <w:r w:rsidR="009E369A">
        <w:rPr>
          <w:rFonts w:ascii="Arial" w:hAnsi="Arial" w:cs="Arial"/>
        </w:rPr>
        <w:t>ure the organisation's operations</w:t>
      </w:r>
      <w:r w:rsidRPr="00EA7665">
        <w:rPr>
          <w:rFonts w:ascii="Arial" w:hAnsi="Arial" w:cs="Arial"/>
        </w:rPr>
        <w:t xml:space="preserve"> and facilitates an effective SWOT (strength, weaknesses, opportunities, and threats) analysis. The external environmental scanning helps to focus the organisation’s strategic and tactical plans on those factors that may threaten its stability and </w:t>
      </w:r>
      <w:r w:rsidR="00B73510">
        <w:rPr>
          <w:rFonts w:ascii="Arial" w:hAnsi="Arial" w:cs="Arial"/>
        </w:rPr>
        <w:t xml:space="preserve">enables them to </w:t>
      </w:r>
      <w:r w:rsidRPr="00EA7665">
        <w:rPr>
          <w:rFonts w:ascii="Arial" w:hAnsi="Arial" w:cs="Arial"/>
        </w:rPr>
        <w:t xml:space="preserve">turn potential problems </w:t>
      </w:r>
      <w:r w:rsidR="00B73510">
        <w:rPr>
          <w:rFonts w:ascii="Arial" w:hAnsi="Arial" w:cs="Arial"/>
        </w:rPr>
        <w:t>in</w:t>
      </w:r>
      <w:r w:rsidRPr="00EA7665">
        <w:rPr>
          <w:rFonts w:ascii="Arial" w:hAnsi="Arial" w:cs="Arial"/>
        </w:rPr>
        <w:t>to advantages (</w:t>
      </w:r>
      <w:r>
        <w:rPr>
          <w:rFonts w:ascii="Arial" w:hAnsi="Arial" w:cs="Arial"/>
        </w:rPr>
        <w:t xml:space="preserve">Choo, 2001; </w:t>
      </w:r>
      <w:r w:rsidRPr="00EA7665">
        <w:rPr>
          <w:rFonts w:ascii="Arial" w:hAnsi="Arial" w:cs="Arial"/>
        </w:rPr>
        <w:t>Albright, 2004).</w:t>
      </w:r>
    </w:p>
    <w:p w14:paraId="3FCB99A4" w14:textId="43CD1B74" w:rsidR="00324B0D" w:rsidRDefault="00B73510" w:rsidP="00CD6352">
      <w:pPr>
        <w:spacing w:line="360" w:lineRule="auto"/>
        <w:jc w:val="both"/>
        <w:rPr>
          <w:rFonts w:ascii="Arial" w:hAnsi="Arial" w:cs="Arial"/>
        </w:rPr>
      </w:pPr>
      <w:r>
        <w:rPr>
          <w:rFonts w:ascii="Arial" w:hAnsi="Arial" w:cs="Arial"/>
        </w:rPr>
        <w:t>Understanding c</w:t>
      </w:r>
      <w:r w:rsidR="00CD6352" w:rsidRPr="00EA7665">
        <w:rPr>
          <w:rFonts w:ascii="Arial" w:hAnsi="Arial" w:cs="Arial"/>
        </w:rPr>
        <w:t xml:space="preserve">ertain environmental factors are vital for success in securing finance for real estate project development. These factors could be in the form of </w:t>
      </w:r>
      <w:r w:rsidR="00F257A1" w:rsidRPr="00EA7665">
        <w:rPr>
          <w:rFonts w:ascii="Arial" w:hAnsi="Arial" w:cs="Arial"/>
        </w:rPr>
        <w:t>challenges,</w:t>
      </w:r>
      <w:r w:rsidR="00CD6352">
        <w:rPr>
          <w:rFonts w:ascii="Arial" w:hAnsi="Arial" w:cs="Arial"/>
        </w:rPr>
        <w:t xml:space="preserve"> </w:t>
      </w:r>
      <w:r w:rsidR="00CD6352" w:rsidRPr="00EA7665">
        <w:rPr>
          <w:rFonts w:ascii="Arial" w:hAnsi="Arial" w:cs="Arial"/>
        </w:rPr>
        <w:t>opportunities</w:t>
      </w:r>
      <w:r w:rsidR="00CD6352">
        <w:rPr>
          <w:rFonts w:ascii="Arial" w:hAnsi="Arial" w:cs="Arial"/>
        </w:rPr>
        <w:t xml:space="preserve"> and critical success factors</w:t>
      </w:r>
      <w:r w:rsidR="000426CE">
        <w:rPr>
          <w:rFonts w:ascii="Arial" w:hAnsi="Arial" w:cs="Arial"/>
        </w:rPr>
        <w:t>.</w:t>
      </w:r>
      <w:r w:rsidR="00CD6352" w:rsidRPr="00EA7665">
        <w:rPr>
          <w:rFonts w:ascii="Arial" w:hAnsi="Arial" w:cs="Arial"/>
        </w:rPr>
        <w:t xml:space="preserve"> The real estate managers involved with obtaining finance for real estate project development must understand how to mitigate against and reduce potential challenges and harness potential opportunities</w:t>
      </w:r>
      <w:r w:rsidR="000426CE">
        <w:rPr>
          <w:rFonts w:ascii="Arial" w:hAnsi="Arial" w:cs="Arial"/>
        </w:rPr>
        <w:t>.</w:t>
      </w:r>
      <w:r w:rsidR="00CD6352" w:rsidRPr="00EA7665">
        <w:rPr>
          <w:rFonts w:ascii="Arial" w:hAnsi="Arial" w:cs="Arial"/>
        </w:rPr>
        <w:t xml:space="preserve"> Challenges and opportunities </w:t>
      </w:r>
      <w:r w:rsidR="00CD6352">
        <w:rPr>
          <w:rFonts w:ascii="Arial" w:hAnsi="Arial" w:cs="Arial"/>
        </w:rPr>
        <w:t xml:space="preserve">are often </w:t>
      </w:r>
      <w:r w:rsidR="00CD6352" w:rsidRPr="00EA7665">
        <w:rPr>
          <w:rFonts w:ascii="Arial" w:hAnsi="Arial" w:cs="Arial"/>
        </w:rPr>
        <w:t xml:space="preserve">factors </w:t>
      </w:r>
      <w:r w:rsidR="00223E37">
        <w:rPr>
          <w:rFonts w:ascii="Arial" w:hAnsi="Arial" w:cs="Arial"/>
        </w:rPr>
        <w:t>that</w:t>
      </w:r>
      <w:r w:rsidR="00CD6352" w:rsidRPr="00EA7665">
        <w:rPr>
          <w:rFonts w:ascii="Arial" w:hAnsi="Arial" w:cs="Arial"/>
        </w:rPr>
        <w:t xml:space="preserve"> are economic, political, social, legal and country-specific factors. The real estate manager should scan the environment to identify these potential challenges and opportunities when preparing to secure finance for real estate project development. </w:t>
      </w:r>
      <w:r w:rsidR="00CD6352">
        <w:rPr>
          <w:rFonts w:ascii="Arial" w:hAnsi="Arial" w:cs="Arial"/>
        </w:rPr>
        <w:t xml:space="preserve">The conceptual framework for environment scan for securing finance for real estate project development is divided into three major segments. These segments are the external environmental scan, internal environmental scan </w:t>
      </w:r>
      <w:r w:rsidR="00CD6352" w:rsidRPr="00150474">
        <w:rPr>
          <w:rFonts w:ascii="Arial" w:hAnsi="Arial" w:cs="Arial"/>
        </w:rPr>
        <w:t xml:space="preserve">and the feedback mechanism as contained in table </w:t>
      </w:r>
      <w:r w:rsidR="00F257A1" w:rsidRPr="00150474">
        <w:rPr>
          <w:rFonts w:ascii="Arial" w:hAnsi="Arial" w:cs="Arial"/>
        </w:rPr>
        <w:t>10.</w:t>
      </w:r>
      <w:r w:rsidR="00150474" w:rsidRPr="00150474">
        <w:rPr>
          <w:rFonts w:ascii="Arial" w:hAnsi="Arial" w:cs="Arial"/>
        </w:rPr>
        <w:t>2</w:t>
      </w:r>
      <w:r w:rsidR="00F257A1" w:rsidRPr="00150474">
        <w:rPr>
          <w:rFonts w:ascii="Arial" w:hAnsi="Arial" w:cs="Arial"/>
        </w:rPr>
        <w:t>.</w:t>
      </w:r>
      <w:r w:rsidR="00150474" w:rsidRPr="00150474">
        <w:rPr>
          <w:rFonts w:ascii="Arial" w:hAnsi="Arial" w:cs="Arial"/>
        </w:rPr>
        <w:t>3</w:t>
      </w:r>
      <w:r w:rsidR="00F257A1" w:rsidRPr="00150474">
        <w:rPr>
          <w:rFonts w:ascii="Arial" w:hAnsi="Arial" w:cs="Arial"/>
        </w:rPr>
        <w:t>.</w:t>
      </w:r>
      <w:r w:rsidR="00D6047F">
        <w:rPr>
          <w:rFonts w:ascii="Arial" w:hAnsi="Arial" w:cs="Arial"/>
        </w:rPr>
        <w:t xml:space="preserve"> </w:t>
      </w:r>
    </w:p>
    <w:p w14:paraId="18623DB0" w14:textId="3E09F9E5" w:rsidR="00CD6352" w:rsidRDefault="00CD6352" w:rsidP="00CD6352">
      <w:pPr>
        <w:spacing w:line="360" w:lineRule="auto"/>
        <w:jc w:val="both"/>
        <w:rPr>
          <w:rFonts w:ascii="Arial" w:hAnsi="Arial" w:cs="Arial"/>
        </w:rPr>
      </w:pPr>
      <w:r>
        <w:rPr>
          <w:rFonts w:ascii="Arial" w:hAnsi="Arial" w:cs="Arial"/>
        </w:rPr>
        <w:t xml:space="preserve">The PESTLE and SWOT analysis techniques for environmental scan provided a guide for the framework. Pestle theory helped </w:t>
      </w:r>
      <w:r w:rsidR="006D720B">
        <w:rPr>
          <w:rFonts w:ascii="Arial" w:hAnsi="Arial" w:cs="Arial"/>
        </w:rPr>
        <w:t>elaborate</w:t>
      </w:r>
      <w:r>
        <w:rPr>
          <w:rFonts w:ascii="Arial" w:hAnsi="Arial" w:cs="Arial"/>
        </w:rPr>
        <w:t xml:space="preserve"> the external environmental factors that the managers will need to monitor </w:t>
      </w:r>
      <w:r w:rsidR="00D6047F">
        <w:rPr>
          <w:rFonts w:ascii="Arial" w:hAnsi="Arial" w:cs="Arial"/>
        </w:rPr>
        <w:t>to</w:t>
      </w:r>
      <w:r>
        <w:rPr>
          <w:rFonts w:ascii="Arial" w:hAnsi="Arial" w:cs="Arial"/>
        </w:rPr>
        <w:t xml:space="preserve"> secure finance for real estate project development. </w:t>
      </w:r>
      <w:r w:rsidR="00D6047F">
        <w:rPr>
          <w:rFonts w:ascii="Arial" w:hAnsi="Arial" w:cs="Arial"/>
        </w:rPr>
        <w:t>PESTLE analysis</w:t>
      </w:r>
      <w:r>
        <w:rPr>
          <w:rFonts w:ascii="Arial" w:hAnsi="Arial" w:cs="Arial"/>
        </w:rPr>
        <w:t xml:space="preserve"> helps </w:t>
      </w:r>
      <w:r w:rsidR="006D720B">
        <w:rPr>
          <w:rFonts w:ascii="Arial" w:hAnsi="Arial" w:cs="Arial"/>
        </w:rPr>
        <w:t>analyse</w:t>
      </w:r>
      <w:r>
        <w:rPr>
          <w:rFonts w:ascii="Arial" w:hAnsi="Arial" w:cs="Arial"/>
        </w:rPr>
        <w:t xml:space="preserve"> factors influencing an organisation </w:t>
      </w:r>
      <w:r w:rsidR="00223E37">
        <w:rPr>
          <w:rFonts w:ascii="Arial" w:hAnsi="Arial" w:cs="Arial"/>
        </w:rPr>
        <w:t>that</w:t>
      </w:r>
      <w:r>
        <w:rPr>
          <w:rFonts w:ascii="Arial" w:hAnsi="Arial" w:cs="Arial"/>
        </w:rPr>
        <w:t xml:space="preserve"> is external to the firm (Hassan et al, 2019). This study used the Pestle analytical tool in classifying the challenges and opportunities associated with securing finance for real estate project development into </w:t>
      </w:r>
      <w:r>
        <w:rPr>
          <w:rFonts w:ascii="Arial" w:hAnsi="Arial" w:cs="Arial"/>
        </w:rPr>
        <w:lastRenderedPageBreak/>
        <w:t xml:space="preserve">political, economic, social, technological, legal and environmental </w:t>
      </w:r>
      <w:r w:rsidR="00324B0D">
        <w:rPr>
          <w:rFonts w:ascii="Arial" w:hAnsi="Arial" w:cs="Arial"/>
        </w:rPr>
        <w:t>factors.</w:t>
      </w:r>
      <w:r>
        <w:rPr>
          <w:rFonts w:ascii="Arial" w:hAnsi="Arial" w:cs="Arial"/>
        </w:rPr>
        <w:t xml:space="preserve"> The manager is to mitigate and or reduce the challenges while maximising the opportunities</w:t>
      </w:r>
      <w:r w:rsidR="006D720B">
        <w:rPr>
          <w:rFonts w:ascii="Arial" w:hAnsi="Arial" w:cs="Arial"/>
        </w:rPr>
        <w:t>.</w:t>
      </w:r>
    </w:p>
    <w:p w14:paraId="0BE54FF9" w14:textId="0B7585AB" w:rsidR="00CD6352" w:rsidRDefault="00CD6352" w:rsidP="00CD6352">
      <w:pPr>
        <w:spacing w:line="360" w:lineRule="auto"/>
        <w:jc w:val="both"/>
        <w:rPr>
          <w:rFonts w:ascii="Arial" w:hAnsi="Arial" w:cs="Arial"/>
        </w:rPr>
      </w:pPr>
      <w:r>
        <w:rPr>
          <w:rFonts w:ascii="Arial" w:hAnsi="Arial" w:cs="Arial"/>
        </w:rPr>
        <w:t xml:space="preserve">The SWOT analysis theory also helps to </w:t>
      </w:r>
      <w:r w:rsidR="006D720B">
        <w:rPr>
          <w:rFonts w:ascii="Arial" w:hAnsi="Arial" w:cs="Arial"/>
        </w:rPr>
        <w:t>understand</w:t>
      </w:r>
      <w:r>
        <w:rPr>
          <w:rFonts w:ascii="Arial" w:hAnsi="Arial" w:cs="Arial"/>
        </w:rPr>
        <w:t xml:space="preserve"> the framework for environmental scan for securing finance for real estate project </w:t>
      </w:r>
      <w:r w:rsidR="00C52EC2">
        <w:rPr>
          <w:rFonts w:ascii="Arial" w:hAnsi="Arial" w:cs="Arial"/>
        </w:rPr>
        <w:t>development.</w:t>
      </w:r>
      <w:r>
        <w:rPr>
          <w:rFonts w:ascii="Arial" w:hAnsi="Arial" w:cs="Arial"/>
        </w:rPr>
        <w:t xml:space="preserve"> SWOT ( an acronym for strength, weaknesses, opportunities and threats) supports the analysis of the internal ( strengths, weaknesses) and external ( opportunities, threats) factors for adopting a strategy which in this case is securing finance for real estate project development. SWOT </w:t>
      </w:r>
      <w:r w:rsidR="006D720B">
        <w:rPr>
          <w:rFonts w:ascii="Arial" w:hAnsi="Arial" w:cs="Arial"/>
        </w:rPr>
        <w:t>clarifies</w:t>
      </w:r>
      <w:r>
        <w:rPr>
          <w:rFonts w:ascii="Arial" w:hAnsi="Arial" w:cs="Arial"/>
        </w:rPr>
        <w:t xml:space="preserve"> the internal environmental scan for this study which is the critical success factor</w:t>
      </w:r>
      <w:r w:rsidR="006D720B">
        <w:rPr>
          <w:rFonts w:ascii="Arial" w:hAnsi="Arial" w:cs="Arial"/>
        </w:rPr>
        <w:t>.</w:t>
      </w:r>
      <w:r>
        <w:rPr>
          <w:rFonts w:ascii="Arial" w:hAnsi="Arial" w:cs="Arial"/>
        </w:rPr>
        <w:t xml:space="preserve"> </w:t>
      </w:r>
      <w:r w:rsidR="006D720B">
        <w:rPr>
          <w:rFonts w:ascii="Arial" w:hAnsi="Arial" w:cs="Arial"/>
        </w:rPr>
        <w:t>Understanding</w:t>
      </w:r>
      <w:r>
        <w:rPr>
          <w:rFonts w:ascii="Arial" w:hAnsi="Arial" w:cs="Arial"/>
        </w:rPr>
        <w:t xml:space="preserve"> the SWOT analysis will enable the manager to formulate strategies that will enhance strengths and opportunities and reduce threats and </w:t>
      </w:r>
      <w:r w:rsidR="00C52EC2">
        <w:rPr>
          <w:rFonts w:ascii="Arial" w:hAnsi="Arial" w:cs="Arial"/>
        </w:rPr>
        <w:t>weaknesses.</w:t>
      </w:r>
      <w:r>
        <w:rPr>
          <w:rFonts w:ascii="Arial" w:hAnsi="Arial" w:cs="Arial"/>
        </w:rPr>
        <w:t xml:space="preserve"> The SWOT analysis is an effective tool for analysing the strengths, weaknesses, opportunities </w:t>
      </w:r>
      <w:r w:rsidR="00C52EC2">
        <w:rPr>
          <w:rFonts w:ascii="Arial" w:hAnsi="Arial" w:cs="Arial"/>
        </w:rPr>
        <w:t>and threats</w:t>
      </w:r>
      <w:r>
        <w:rPr>
          <w:rFonts w:ascii="Arial" w:hAnsi="Arial" w:cs="Arial"/>
        </w:rPr>
        <w:t xml:space="preserve"> of an organisation or a project and </w:t>
      </w:r>
      <w:r w:rsidR="00C52EC2">
        <w:rPr>
          <w:rFonts w:ascii="Arial" w:hAnsi="Arial" w:cs="Arial"/>
        </w:rPr>
        <w:t>facilitating effective</w:t>
      </w:r>
      <w:r>
        <w:rPr>
          <w:rFonts w:ascii="Arial" w:hAnsi="Arial" w:cs="Arial"/>
        </w:rPr>
        <w:t xml:space="preserve"> planning (Sabbagbi and Vaidyanathan, 2004). </w:t>
      </w:r>
    </w:p>
    <w:p w14:paraId="7739BE6C" w14:textId="3695A499" w:rsidR="00CD6352" w:rsidRDefault="00CD6352" w:rsidP="00CD6352">
      <w:pPr>
        <w:spacing w:line="360" w:lineRule="auto"/>
        <w:jc w:val="both"/>
        <w:rPr>
          <w:rFonts w:ascii="Arial" w:hAnsi="Arial" w:cs="Arial"/>
        </w:rPr>
      </w:pPr>
      <w:r>
        <w:rPr>
          <w:rFonts w:ascii="Arial" w:hAnsi="Arial" w:cs="Arial"/>
        </w:rPr>
        <w:t xml:space="preserve">The manager is expected to check the critical success factors to identify the strengths, weaknesses, </w:t>
      </w:r>
      <w:r w:rsidR="00324B0D">
        <w:rPr>
          <w:rFonts w:ascii="Arial" w:hAnsi="Arial" w:cs="Arial"/>
        </w:rPr>
        <w:t>opportunities,</w:t>
      </w:r>
      <w:r>
        <w:rPr>
          <w:rFonts w:ascii="Arial" w:hAnsi="Arial" w:cs="Arial"/>
        </w:rPr>
        <w:t xml:space="preserve"> and threats in his firm that could affect securing finance to facilitate adequate planning, </w:t>
      </w:r>
      <w:r w:rsidR="00324B0D">
        <w:rPr>
          <w:rFonts w:ascii="Arial" w:hAnsi="Arial" w:cs="Arial"/>
        </w:rPr>
        <w:t>policy,</w:t>
      </w:r>
      <w:r>
        <w:rPr>
          <w:rFonts w:ascii="Arial" w:hAnsi="Arial" w:cs="Arial"/>
        </w:rPr>
        <w:t xml:space="preserve"> and strategy formulation. </w:t>
      </w:r>
    </w:p>
    <w:p w14:paraId="1C43D7C5" w14:textId="353AAD87" w:rsidR="00324B0D" w:rsidRDefault="00324B0D" w:rsidP="00CD6352">
      <w:pPr>
        <w:spacing w:line="360" w:lineRule="auto"/>
        <w:jc w:val="both"/>
        <w:rPr>
          <w:rFonts w:ascii="Arial" w:hAnsi="Arial" w:cs="Arial"/>
        </w:rPr>
      </w:pPr>
    </w:p>
    <w:p w14:paraId="7D4B338F" w14:textId="421354C1" w:rsidR="00CD6352" w:rsidRDefault="00CD6352" w:rsidP="00CD6352">
      <w:pPr>
        <w:pStyle w:val="Caption"/>
        <w:rPr>
          <w:rFonts w:ascii="Arial" w:hAnsi="Arial" w:cs="Arial"/>
          <w:sz w:val="16"/>
          <w:szCs w:val="16"/>
        </w:rPr>
      </w:pPr>
      <w:bookmarkStart w:id="1464" w:name="_Toc78984044"/>
      <w:r w:rsidRPr="00EA7665">
        <w:rPr>
          <w:rFonts w:ascii="Arial" w:hAnsi="Arial" w:cs="Arial"/>
          <w:sz w:val="16"/>
          <w:szCs w:val="16"/>
        </w:rPr>
        <w:t xml:space="preserve">Table </w:t>
      </w:r>
      <w:r w:rsidR="008F25B1">
        <w:rPr>
          <w:rFonts w:ascii="Arial" w:hAnsi="Arial" w:cs="Arial"/>
          <w:sz w:val="16"/>
          <w:szCs w:val="16"/>
        </w:rPr>
        <w:fldChar w:fldCharType="begin"/>
      </w:r>
      <w:r w:rsidR="008F25B1">
        <w:rPr>
          <w:rFonts w:ascii="Arial" w:hAnsi="Arial" w:cs="Arial"/>
          <w:sz w:val="16"/>
          <w:szCs w:val="16"/>
        </w:rPr>
        <w:instrText xml:space="preserve"> STYLEREF 2 \s </w:instrText>
      </w:r>
      <w:r w:rsidR="008F25B1">
        <w:rPr>
          <w:rFonts w:ascii="Arial" w:hAnsi="Arial" w:cs="Arial"/>
          <w:sz w:val="16"/>
          <w:szCs w:val="16"/>
        </w:rPr>
        <w:fldChar w:fldCharType="separate"/>
      </w:r>
      <w:r w:rsidR="008F25B1">
        <w:rPr>
          <w:rFonts w:ascii="Arial" w:hAnsi="Arial" w:cs="Arial"/>
          <w:noProof/>
          <w:sz w:val="16"/>
          <w:szCs w:val="16"/>
        </w:rPr>
        <w:t>10.2</w:t>
      </w:r>
      <w:r w:rsidR="008F25B1">
        <w:rPr>
          <w:rFonts w:ascii="Arial" w:hAnsi="Arial" w:cs="Arial"/>
          <w:sz w:val="16"/>
          <w:szCs w:val="16"/>
        </w:rPr>
        <w:fldChar w:fldCharType="end"/>
      </w:r>
      <w:r w:rsidR="008F25B1">
        <w:rPr>
          <w:rFonts w:ascii="Arial" w:hAnsi="Arial" w:cs="Arial"/>
          <w:sz w:val="16"/>
          <w:szCs w:val="16"/>
        </w:rPr>
        <w:noBreakHyphen/>
      </w:r>
      <w:r w:rsidR="008F25B1">
        <w:rPr>
          <w:rFonts w:ascii="Arial" w:hAnsi="Arial" w:cs="Arial"/>
          <w:sz w:val="16"/>
          <w:szCs w:val="16"/>
        </w:rPr>
        <w:fldChar w:fldCharType="begin"/>
      </w:r>
      <w:r w:rsidR="008F25B1">
        <w:rPr>
          <w:rFonts w:ascii="Arial" w:hAnsi="Arial" w:cs="Arial"/>
          <w:sz w:val="16"/>
          <w:szCs w:val="16"/>
        </w:rPr>
        <w:instrText xml:space="preserve"> SEQ Table \* ARABIC \s 2 </w:instrText>
      </w:r>
      <w:r w:rsidR="008F25B1">
        <w:rPr>
          <w:rFonts w:ascii="Arial" w:hAnsi="Arial" w:cs="Arial"/>
          <w:sz w:val="16"/>
          <w:szCs w:val="16"/>
        </w:rPr>
        <w:fldChar w:fldCharType="separate"/>
      </w:r>
      <w:r w:rsidR="008F25B1">
        <w:rPr>
          <w:rFonts w:ascii="Arial" w:hAnsi="Arial" w:cs="Arial"/>
          <w:noProof/>
          <w:sz w:val="16"/>
          <w:szCs w:val="16"/>
        </w:rPr>
        <w:t>3</w:t>
      </w:r>
      <w:r w:rsidR="008F25B1">
        <w:rPr>
          <w:rFonts w:ascii="Arial" w:hAnsi="Arial" w:cs="Arial"/>
          <w:sz w:val="16"/>
          <w:szCs w:val="16"/>
        </w:rPr>
        <w:fldChar w:fldCharType="end"/>
      </w:r>
      <w:r w:rsidRPr="00EA7665">
        <w:rPr>
          <w:rFonts w:ascii="Arial" w:hAnsi="Arial" w:cs="Arial"/>
          <w:sz w:val="16"/>
          <w:szCs w:val="16"/>
        </w:rPr>
        <w:t xml:space="preserve">: </w:t>
      </w:r>
      <w:r>
        <w:rPr>
          <w:rFonts w:ascii="Arial" w:hAnsi="Arial" w:cs="Arial"/>
          <w:sz w:val="16"/>
          <w:szCs w:val="16"/>
        </w:rPr>
        <w:t>Conceptual framework for environmental scan for securing finance for real estate project development</w:t>
      </w:r>
      <w:bookmarkEnd w:id="1464"/>
    </w:p>
    <w:tbl>
      <w:tblPr>
        <w:tblStyle w:val="TableGrid"/>
        <w:tblW w:w="0" w:type="auto"/>
        <w:tblLook w:val="04A0" w:firstRow="1" w:lastRow="0" w:firstColumn="1" w:lastColumn="0" w:noHBand="0" w:noVBand="1"/>
      </w:tblPr>
      <w:tblGrid>
        <w:gridCol w:w="848"/>
        <w:gridCol w:w="6229"/>
        <w:gridCol w:w="1755"/>
      </w:tblGrid>
      <w:tr w:rsidR="00CD6352" w:rsidRPr="003B49F0" w14:paraId="060A9A5D" w14:textId="77777777" w:rsidTr="00CD6352">
        <w:tc>
          <w:tcPr>
            <w:tcW w:w="8534" w:type="dxa"/>
            <w:gridSpan w:val="3"/>
          </w:tcPr>
          <w:p w14:paraId="4905FEBE" w14:textId="77777777" w:rsidR="00CD6352" w:rsidRPr="003B49F0" w:rsidRDefault="00CD6352" w:rsidP="00CD6352">
            <w:pPr>
              <w:spacing w:line="360" w:lineRule="auto"/>
              <w:jc w:val="center"/>
              <w:rPr>
                <w:rFonts w:ascii="Arial" w:eastAsia="Calibri" w:hAnsi="Arial" w:cs="Arial"/>
                <w:b/>
                <w:bCs/>
                <w:sz w:val="16"/>
                <w:szCs w:val="16"/>
              </w:rPr>
            </w:pPr>
            <w:r w:rsidRPr="003B49F0">
              <w:rPr>
                <w:rFonts w:ascii="Arial" w:eastAsia="Calibri" w:hAnsi="Arial" w:cs="Arial"/>
                <w:b/>
                <w:bCs/>
                <w:sz w:val="16"/>
                <w:szCs w:val="16"/>
              </w:rPr>
              <w:t>Environmental scan for securing finance for real estate project development</w:t>
            </w:r>
          </w:p>
        </w:tc>
      </w:tr>
      <w:tr w:rsidR="00CD6352" w:rsidRPr="003B49F0" w14:paraId="192CD982" w14:textId="77777777" w:rsidTr="00CD6352">
        <w:trPr>
          <w:cantSplit/>
          <w:trHeight w:val="312"/>
        </w:trPr>
        <w:tc>
          <w:tcPr>
            <w:tcW w:w="846" w:type="dxa"/>
          </w:tcPr>
          <w:p w14:paraId="5FD0A55E" w14:textId="77777777" w:rsidR="00CD6352" w:rsidRPr="003B49F0" w:rsidRDefault="00CD6352" w:rsidP="00CD6352">
            <w:pPr>
              <w:spacing w:line="360" w:lineRule="auto"/>
              <w:jc w:val="both"/>
              <w:rPr>
                <w:rFonts w:ascii="Arial" w:eastAsia="Calibri" w:hAnsi="Arial" w:cs="Arial"/>
                <w:sz w:val="16"/>
                <w:szCs w:val="16"/>
              </w:rPr>
            </w:pPr>
            <w:r w:rsidRPr="003B49F0">
              <w:rPr>
                <w:rFonts w:ascii="Arial" w:eastAsia="Calibri" w:hAnsi="Arial" w:cs="Arial"/>
                <w:sz w:val="16"/>
                <w:szCs w:val="16"/>
              </w:rPr>
              <w:t>Phase 1</w:t>
            </w:r>
          </w:p>
        </w:tc>
        <w:tc>
          <w:tcPr>
            <w:tcW w:w="5933" w:type="dxa"/>
          </w:tcPr>
          <w:p w14:paraId="62650134" w14:textId="77777777" w:rsidR="00CD6352" w:rsidRPr="003A2BF5" w:rsidRDefault="00CD6352" w:rsidP="00CD6352">
            <w:pPr>
              <w:spacing w:line="360" w:lineRule="auto"/>
              <w:jc w:val="both"/>
              <w:rPr>
                <w:rFonts w:ascii="Arial" w:eastAsia="Calibri" w:hAnsi="Arial" w:cs="Arial"/>
                <w:b/>
                <w:bCs/>
                <w:sz w:val="16"/>
                <w:szCs w:val="16"/>
              </w:rPr>
            </w:pPr>
            <w:r w:rsidRPr="003A2BF5">
              <w:rPr>
                <w:rFonts w:ascii="Arial" w:eastAsia="Calibri" w:hAnsi="Arial" w:cs="Arial"/>
                <w:b/>
                <w:bCs/>
                <w:sz w:val="16"/>
                <w:szCs w:val="16"/>
              </w:rPr>
              <w:t>External environmental scan</w:t>
            </w:r>
          </w:p>
        </w:tc>
        <w:tc>
          <w:tcPr>
            <w:tcW w:w="1755" w:type="dxa"/>
          </w:tcPr>
          <w:p w14:paraId="57EC23F9" w14:textId="77777777" w:rsidR="00CD6352" w:rsidRPr="003B49F0" w:rsidRDefault="00CD6352" w:rsidP="00CD6352">
            <w:pPr>
              <w:spacing w:line="360" w:lineRule="auto"/>
              <w:rPr>
                <w:rFonts w:ascii="Arial" w:eastAsia="Calibri" w:hAnsi="Arial" w:cs="Arial"/>
                <w:b/>
                <w:bCs/>
                <w:sz w:val="16"/>
                <w:szCs w:val="16"/>
              </w:rPr>
            </w:pPr>
            <w:r w:rsidRPr="003B49F0">
              <w:rPr>
                <w:rFonts w:ascii="Arial" w:eastAsia="Calibri" w:hAnsi="Arial" w:cs="Arial"/>
                <w:b/>
                <w:bCs/>
                <w:sz w:val="16"/>
                <w:szCs w:val="16"/>
              </w:rPr>
              <w:t>Feedback mechanism</w:t>
            </w:r>
          </w:p>
        </w:tc>
      </w:tr>
      <w:tr w:rsidR="00CD6352" w:rsidRPr="003B49F0" w14:paraId="17CC9C62" w14:textId="77777777" w:rsidTr="006D720B">
        <w:tc>
          <w:tcPr>
            <w:tcW w:w="846" w:type="dxa"/>
            <w:vMerge w:val="restart"/>
          </w:tcPr>
          <w:p w14:paraId="68A0FFBB" w14:textId="1D593E9C" w:rsidR="00CD6352" w:rsidRPr="003B49F0" w:rsidRDefault="00CD6352" w:rsidP="006D720B">
            <w:pPr>
              <w:spacing w:line="360" w:lineRule="auto"/>
              <w:jc w:val="both"/>
              <w:rPr>
                <w:rFonts w:ascii="Arial" w:eastAsia="Calibri" w:hAnsi="Arial" w:cs="Arial"/>
                <w:sz w:val="16"/>
                <w:szCs w:val="16"/>
              </w:rPr>
            </w:pPr>
            <w:r w:rsidRPr="003B49F0">
              <w:rPr>
                <w:rFonts w:ascii="Arial" w:eastAsia="Calibri" w:hAnsi="Arial" w:cs="Arial"/>
                <w:sz w:val="16"/>
                <w:szCs w:val="16"/>
              </w:rPr>
              <w:t>Phase1</w:t>
            </w:r>
            <w:r w:rsidR="006D720B">
              <w:rPr>
                <w:rFonts w:ascii="Arial" w:eastAsia="Calibri" w:hAnsi="Arial" w:cs="Arial"/>
                <w:sz w:val="16"/>
                <w:szCs w:val="16"/>
              </w:rPr>
              <w:t>a</w:t>
            </w:r>
          </w:p>
        </w:tc>
        <w:tc>
          <w:tcPr>
            <w:tcW w:w="5933" w:type="dxa"/>
          </w:tcPr>
          <w:p w14:paraId="037F88EC" w14:textId="77777777" w:rsidR="00CD6352" w:rsidRPr="003A2BF5" w:rsidRDefault="00CD6352" w:rsidP="00CD6352">
            <w:pPr>
              <w:spacing w:line="360" w:lineRule="auto"/>
              <w:jc w:val="both"/>
              <w:rPr>
                <w:rFonts w:ascii="Arial" w:eastAsia="Calibri" w:hAnsi="Arial" w:cs="Arial"/>
                <w:b/>
                <w:bCs/>
                <w:sz w:val="16"/>
                <w:szCs w:val="16"/>
              </w:rPr>
            </w:pPr>
            <w:r w:rsidRPr="003A2BF5">
              <w:rPr>
                <w:rFonts w:ascii="Arial" w:eastAsia="Calibri" w:hAnsi="Arial" w:cs="Arial"/>
                <w:b/>
                <w:bCs/>
                <w:sz w:val="16"/>
                <w:szCs w:val="16"/>
              </w:rPr>
              <w:t>Potential challenges</w:t>
            </w:r>
          </w:p>
        </w:tc>
        <w:tc>
          <w:tcPr>
            <w:tcW w:w="1755" w:type="dxa"/>
            <w:vMerge w:val="restart"/>
          </w:tcPr>
          <w:p w14:paraId="4EB46CFF" w14:textId="77777777" w:rsidR="00CD6352" w:rsidRPr="003B49F0" w:rsidRDefault="00CD6352" w:rsidP="00C74AEC">
            <w:pPr>
              <w:numPr>
                <w:ilvl w:val="0"/>
                <w:numId w:val="228"/>
              </w:numPr>
              <w:spacing w:after="0" w:line="360" w:lineRule="auto"/>
              <w:contextualSpacing/>
              <w:jc w:val="both"/>
              <w:rPr>
                <w:rFonts w:ascii="Arial" w:eastAsia="Calibri" w:hAnsi="Arial" w:cs="Arial"/>
                <w:sz w:val="16"/>
                <w:szCs w:val="16"/>
              </w:rPr>
            </w:pPr>
            <w:r w:rsidRPr="003B49F0">
              <w:rPr>
                <w:rFonts w:ascii="Arial" w:eastAsia="Calibri" w:hAnsi="Arial" w:cs="Arial"/>
                <w:sz w:val="16"/>
                <w:szCs w:val="16"/>
              </w:rPr>
              <w:t>Access to finance</w:t>
            </w:r>
          </w:p>
          <w:p w14:paraId="7AC6535E" w14:textId="77777777" w:rsidR="00CD6352" w:rsidRPr="003B49F0" w:rsidRDefault="00CD6352" w:rsidP="00C74AEC">
            <w:pPr>
              <w:numPr>
                <w:ilvl w:val="0"/>
                <w:numId w:val="228"/>
              </w:numPr>
              <w:spacing w:after="0" w:line="360" w:lineRule="auto"/>
              <w:contextualSpacing/>
              <w:jc w:val="both"/>
              <w:rPr>
                <w:rFonts w:ascii="Arial" w:eastAsia="Calibri" w:hAnsi="Arial" w:cs="Arial"/>
                <w:sz w:val="16"/>
                <w:szCs w:val="16"/>
              </w:rPr>
            </w:pPr>
            <w:r w:rsidRPr="003B49F0">
              <w:rPr>
                <w:rFonts w:ascii="Arial" w:eastAsia="Calibri" w:hAnsi="Arial" w:cs="Arial"/>
                <w:sz w:val="16"/>
                <w:szCs w:val="16"/>
              </w:rPr>
              <w:t>Sustained relationship with financiers</w:t>
            </w:r>
          </w:p>
          <w:p w14:paraId="25792A19" w14:textId="77777777" w:rsidR="00CD6352" w:rsidRPr="003B49F0" w:rsidRDefault="00CD6352" w:rsidP="00C74AEC">
            <w:pPr>
              <w:numPr>
                <w:ilvl w:val="0"/>
                <w:numId w:val="228"/>
              </w:numPr>
              <w:spacing w:after="0" w:line="360" w:lineRule="auto"/>
              <w:contextualSpacing/>
              <w:jc w:val="both"/>
              <w:rPr>
                <w:rFonts w:ascii="Arial" w:eastAsia="Calibri" w:hAnsi="Arial" w:cs="Arial"/>
                <w:sz w:val="16"/>
                <w:szCs w:val="16"/>
              </w:rPr>
            </w:pPr>
            <w:r w:rsidRPr="003B49F0">
              <w:rPr>
                <w:rFonts w:ascii="Arial" w:eastAsia="Calibri" w:hAnsi="Arial" w:cs="Arial"/>
                <w:sz w:val="16"/>
                <w:szCs w:val="16"/>
              </w:rPr>
              <w:t xml:space="preserve">Reduced default in payback </w:t>
            </w:r>
          </w:p>
          <w:p w14:paraId="3450B8C1"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1CA86C77" w14:textId="77777777" w:rsidTr="00CD6352">
        <w:tc>
          <w:tcPr>
            <w:tcW w:w="846" w:type="dxa"/>
            <w:vMerge/>
          </w:tcPr>
          <w:p w14:paraId="1F980E08" w14:textId="77777777" w:rsidR="00CD6352" w:rsidRPr="003B49F0" w:rsidRDefault="00CD6352" w:rsidP="00CD6352">
            <w:pPr>
              <w:spacing w:line="360" w:lineRule="auto"/>
              <w:jc w:val="both"/>
              <w:rPr>
                <w:rFonts w:ascii="Arial" w:eastAsia="Calibri" w:hAnsi="Arial" w:cs="Arial"/>
                <w:sz w:val="16"/>
                <w:szCs w:val="16"/>
              </w:rPr>
            </w:pPr>
          </w:p>
        </w:tc>
        <w:tc>
          <w:tcPr>
            <w:tcW w:w="5933" w:type="dxa"/>
          </w:tcPr>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81"/>
              <w:gridCol w:w="1829"/>
              <w:gridCol w:w="1328"/>
              <w:gridCol w:w="1875"/>
            </w:tblGrid>
            <w:tr w:rsidR="00CD6352" w:rsidRPr="003B49F0" w14:paraId="532F157E" w14:textId="77777777" w:rsidTr="00CD6352">
              <w:trPr>
                <w:trHeight w:val="558"/>
              </w:trPr>
              <w:tc>
                <w:tcPr>
                  <w:tcW w:w="1560" w:type="dxa"/>
                  <w:shd w:val="clear" w:color="auto" w:fill="auto"/>
                </w:tcPr>
                <w:p w14:paraId="275F05C0" w14:textId="77777777" w:rsidR="00CD6352" w:rsidRPr="00337847" w:rsidRDefault="00CD6352" w:rsidP="00CD6352">
                  <w:pPr>
                    <w:jc w:val="both"/>
                    <w:rPr>
                      <w:rFonts w:ascii="Arial" w:eastAsia="Calibri" w:hAnsi="Arial" w:cs="Arial"/>
                      <w:b/>
                      <w:bCs/>
                      <w:sz w:val="16"/>
                      <w:szCs w:val="16"/>
                    </w:rPr>
                  </w:pPr>
                  <w:r w:rsidRPr="00337847">
                    <w:rPr>
                      <w:rFonts w:ascii="Arial" w:eastAsia="Calibri" w:hAnsi="Arial" w:cs="Arial"/>
                      <w:b/>
                      <w:bCs/>
                      <w:sz w:val="16"/>
                      <w:szCs w:val="16"/>
                    </w:rPr>
                    <w:t>Economic factors</w:t>
                  </w:r>
                </w:p>
              </w:tc>
              <w:tc>
                <w:tcPr>
                  <w:tcW w:w="2948" w:type="dxa"/>
                  <w:shd w:val="clear" w:color="auto" w:fill="auto"/>
                </w:tcPr>
                <w:p w14:paraId="036C5D1D" w14:textId="77777777"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Access to finance</w:t>
                  </w:r>
                </w:p>
                <w:p w14:paraId="6F3CC426" w14:textId="77777777"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Access to land</w:t>
                  </w:r>
                </w:p>
                <w:p w14:paraId="093DE2DD"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Currency risk</w:t>
                  </w:r>
                </w:p>
                <w:p w14:paraId="2634F1E8" w14:textId="77777777"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Lengthy and challenging banking criteria</w:t>
                  </w:r>
                </w:p>
                <w:p w14:paraId="58311EE8" w14:textId="77777777"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Difficult experiences for foreign investors in getting loans</w:t>
                  </w:r>
                </w:p>
                <w:p w14:paraId="6F7B8B03"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Economy trends</w:t>
                  </w:r>
                </w:p>
                <w:p w14:paraId="7190DF08"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Collateral requirement</w:t>
                  </w:r>
                </w:p>
                <w:p w14:paraId="5DC93A4E"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Exchange rate volatility</w:t>
                  </w:r>
                </w:p>
                <w:p w14:paraId="0BCE9AAE"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High-interest rates</w:t>
                  </w:r>
                </w:p>
                <w:p w14:paraId="1010BE9C"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Import/export ratios</w:t>
                  </w:r>
                </w:p>
                <w:p w14:paraId="6D6D1F64" w14:textId="77777777"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The increasing cost of construction</w:t>
                  </w:r>
                </w:p>
                <w:p w14:paraId="0E5A2C6D"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Industry growth</w:t>
                  </w:r>
                </w:p>
                <w:p w14:paraId="3467170F"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Inflation</w:t>
                  </w:r>
                </w:p>
                <w:p w14:paraId="71EC5C89"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International exchange rates</w:t>
                  </w:r>
                </w:p>
                <w:p w14:paraId="13A6D58E"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lastRenderedPageBreak/>
                    <w:t>International trade</w:t>
                  </w:r>
                </w:p>
                <w:p w14:paraId="025B5DB7"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Lack of long term financing</w:t>
                  </w:r>
                </w:p>
                <w:p w14:paraId="0626E0A5" w14:textId="6621FFC9"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Large equity input request</w:t>
                  </w:r>
                  <w:r w:rsidR="00815564">
                    <w:rPr>
                      <w:rFonts w:ascii="Arial" w:eastAsia="Calibri" w:hAnsi="Arial" w:cs="Arial"/>
                      <w:sz w:val="16"/>
                      <w:szCs w:val="16"/>
                    </w:rPr>
                    <w:t>s</w:t>
                  </w:r>
                  <w:r w:rsidRPr="003B49F0">
                    <w:rPr>
                      <w:rFonts w:ascii="Arial" w:eastAsia="Calibri" w:hAnsi="Arial" w:cs="Arial"/>
                      <w:sz w:val="16"/>
                      <w:szCs w:val="16"/>
                    </w:rPr>
                    <w:t xml:space="preserve"> by banks</w:t>
                  </w:r>
                </w:p>
                <w:p w14:paraId="1C84BF09"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Local economy</w:t>
                  </w:r>
                </w:p>
                <w:p w14:paraId="2BA1835E" w14:textId="53F07BB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Low demand for real estate and properties</w:t>
                  </w:r>
                </w:p>
                <w:p w14:paraId="6E398633"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Seasonality issues</w:t>
                  </w:r>
                </w:p>
                <w:p w14:paraId="2FDE3AF1" w14:textId="77777777" w:rsidR="00CD6352" w:rsidRPr="003B49F0" w:rsidRDefault="00CD6352" w:rsidP="00CD6352">
                  <w:pPr>
                    <w:numPr>
                      <w:ilvl w:val="0"/>
                      <w:numId w:val="9"/>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Size of transaction</w:t>
                  </w:r>
                </w:p>
                <w:p w14:paraId="7B87FAB3"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Taxation</w:t>
                  </w:r>
                </w:p>
              </w:tc>
              <w:tc>
                <w:tcPr>
                  <w:tcW w:w="1729" w:type="dxa"/>
                  <w:shd w:val="clear" w:color="auto" w:fill="auto"/>
                </w:tcPr>
                <w:p w14:paraId="2AA9AC59" w14:textId="77777777" w:rsidR="00CD6352" w:rsidRPr="00337847" w:rsidRDefault="00CD6352" w:rsidP="00CD6352">
                  <w:pPr>
                    <w:jc w:val="both"/>
                    <w:rPr>
                      <w:rFonts w:ascii="Arial" w:eastAsia="Calibri" w:hAnsi="Arial" w:cs="Arial"/>
                      <w:b/>
                      <w:bCs/>
                      <w:sz w:val="16"/>
                      <w:szCs w:val="16"/>
                    </w:rPr>
                  </w:pPr>
                  <w:r w:rsidRPr="00337847">
                    <w:rPr>
                      <w:rFonts w:ascii="Arial" w:eastAsia="Calibri" w:hAnsi="Arial" w:cs="Arial"/>
                      <w:b/>
                      <w:bCs/>
                      <w:sz w:val="16"/>
                      <w:szCs w:val="16"/>
                    </w:rPr>
                    <w:lastRenderedPageBreak/>
                    <w:t>Political factors</w:t>
                  </w:r>
                </w:p>
              </w:tc>
              <w:tc>
                <w:tcPr>
                  <w:tcW w:w="2779" w:type="dxa"/>
                  <w:shd w:val="clear" w:color="auto" w:fill="auto"/>
                </w:tcPr>
                <w:p w14:paraId="4A45ADF8"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Bureaucracy</w:t>
                  </w:r>
                </w:p>
                <w:p w14:paraId="6E2FE28D"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Corruption</w:t>
                  </w:r>
                </w:p>
                <w:p w14:paraId="3E1324CC"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Difficulties accessing a loan from the government</w:t>
                  </w:r>
                </w:p>
                <w:p w14:paraId="7F777D66"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Elections and political trends</w:t>
                  </w:r>
                </w:p>
                <w:p w14:paraId="2612A359"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Funding, grants, and initiatives</w:t>
                  </w:r>
                </w:p>
                <w:p w14:paraId="34115963"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Government policies</w:t>
                  </w:r>
                </w:p>
                <w:p w14:paraId="189EEC74"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Government terms and changes in policies</w:t>
                  </w:r>
                </w:p>
                <w:p w14:paraId="23E1EE8A"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Inter-country relationships</w:t>
                  </w:r>
                </w:p>
                <w:p w14:paraId="2D88FA27"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Internal political issues</w:t>
                  </w:r>
                </w:p>
                <w:p w14:paraId="7AF171B9"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Lobbying and pressure groups</w:t>
                  </w:r>
                </w:p>
                <w:p w14:paraId="1BA4B1F5"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Local commissioning processes</w:t>
                  </w:r>
                </w:p>
                <w:p w14:paraId="184BBF46"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Terrorism</w:t>
                  </w:r>
                </w:p>
                <w:p w14:paraId="2CF5ADE8"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Trading policies</w:t>
                  </w:r>
                </w:p>
                <w:p w14:paraId="681D7013" w14:textId="77777777" w:rsidR="00CD6352" w:rsidRPr="003B49F0" w:rsidRDefault="00CD6352" w:rsidP="00CD6352">
                  <w:pPr>
                    <w:numPr>
                      <w:ilvl w:val="0"/>
                      <w:numId w:val="8"/>
                    </w:numPr>
                    <w:spacing w:after="0" w:line="240" w:lineRule="auto"/>
                    <w:contextualSpacing/>
                    <w:rPr>
                      <w:rFonts w:ascii="Arial" w:eastAsia="Calibri" w:hAnsi="Arial" w:cs="Arial"/>
                      <w:sz w:val="16"/>
                      <w:szCs w:val="16"/>
                    </w:rPr>
                  </w:pPr>
                  <w:r w:rsidRPr="003B49F0">
                    <w:rPr>
                      <w:rFonts w:ascii="Arial" w:eastAsia="Calibri" w:hAnsi="Arial" w:cs="Arial"/>
                      <w:sz w:val="16"/>
                      <w:szCs w:val="16"/>
                    </w:rPr>
                    <w:t>Wars and conflicts</w:t>
                  </w:r>
                </w:p>
                <w:p w14:paraId="4C617E17" w14:textId="77777777" w:rsidR="00CD6352" w:rsidRPr="003B49F0" w:rsidRDefault="00CD6352" w:rsidP="00CD6352">
                  <w:pPr>
                    <w:ind w:left="501"/>
                    <w:contextualSpacing/>
                    <w:jc w:val="both"/>
                    <w:rPr>
                      <w:rFonts w:ascii="Arial" w:eastAsia="Calibri" w:hAnsi="Arial" w:cs="Arial"/>
                      <w:sz w:val="16"/>
                      <w:szCs w:val="16"/>
                    </w:rPr>
                  </w:pPr>
                </w:p>
              </w:tc>
            </w:tr>
            <w:tr w:rsidR="00CD6352" w:rsidRPr="003B49F0" w14:paraId="070BB21D" w14:textId="77777777" w:rsidTr="00CD6352">
              <w:trPr>
                <w:trHeight w:val="1124"/>
              </w:trPr>
              <w:tc>
                <w:tcPr>
                  <w:tcW w:w="1560" w:type="dxa"/>
                  <w:shd w:val="clear" w:color="auto" w:fill="auto"/>
                </w:tcPr>
                <w:p w14:paraId="50585425" w14:textId="77777777" w:rsidR="00CD6352" w:rsidRPr="00337847" w:rsidRDefault="00CD6352" w:rsidP="00CD6352">
                  <w:pPr>
                    <w:jc w:val="both"/>
                    <w:rPr>
                      <w:rFonts w:ascii="Arial" w:eastAsia="Calibri" w:hAnsi="Arial" w:cs="Arial"/>
                      <w:b/>
                      <w:bCs/>
                      <w:sz w:val="16"/>
                      <w:szCs w:val="16"/>
                    </w:rPr>
                  </w:pPr>
                  <w:r w:rsidRPr="00337847">
                    <w:rPr>
                      <w:rFonts w:ascii="Arial" w:eastAsia="Calibri" w:hAnsi="Arial" w:cs="Arial"/>
                      <w:b/>
                      <w:bCs/>
                      <w:sz w:val="16"/>
                      <w:szCs w:val="16"/>
                    </w:rPr>
                    <w:lastRenderedPageBreak/>
                    <w:t>Social factors</w:t>
                  </w:r>
                </w:p>
              </w:tc>
              <w:tc>
                <w:tcPr>
                  <w:tcW w:w="2948" w:type="dxa"/>
                  <w:shd w:val="clear" w:color="auto" w:fill="auto"/>
                </w:tcPr>
                <w:p w14:paraId="67A0F352"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 Work ethic</w:t>
                  </w:r>
                </w:p>
                <w:p w14:paraId="24A36F80"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 Advertising and publicity</w:t>
                  </w:r>
                </w:p>
                <w:p w14:paraId="2CF94BC1"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Buying access and trends</w:t>
                  </w:r>
                </w:p>
                <w:p w14:paraId="72DC052D"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Consumer buying patterns</w:t>
                  </w:r>
                </w:p>
                <w:p w14:paraId="7DBF75EC"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Cultural Taboos</w:t>
                  </w:r>
                </w:p>
                <w:p w14:paraId="351BD233"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Demographics </w:t>
                  </w:r>
                </w:p>
                <w:p w14:paraId="075BC4EC"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Ethical issues</w:t>
                  </w:r>
                </w:p>
                <w:p w14:paraId="669E55C4"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Lack of skilled professionalism in project development</w:t>
                  </w:r>
                </w:p>
                <w:p w14:paraId="634D3DB5"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Lifestyle trends</w:t>
                  </w:r>
                </w:p>
                <w:p w14:paraId="25452C1C"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Major events and influences</w:t>
                  </w:r>
                </w:p>
                <w:p w14:paraId="69BA0277"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Population shrinking and ageing</w:t>
                  </w:r>
                </w:p>
                <w:p w14:paraId="1FFD7656"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Real estate market transparency </w:t>
                  </w:r>
                </w:p>
                <w:p w14:paraId="59B17252"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Unemployment</w:t>
                  </w:r>
                </w:p>
              </w:tc>
              <w:tc>
                <w:tcPr>
                  <w:tcW w:w="1729" w:type="dxa"/>
                  <w:shd w:val="clear" w:color="auto" w:fill="auto"/>
                </w:tcPr>
                <w:p w14:paraId="077B8CA8" w14:textId="77777777" w:rsidR="00CD6352" w:rsidRPr="00337847" w:rsidRDefault="00CD6352" w:rsidP="00CD6352">
                  <w:pPr>
                    <w:jc w:val="both"/>
                    <w:rPr>
                      <w:rFonts w:ascii="Arial" w:eastAsia="Calibri" w:hAnsi="Arial" w:cs="Arial"/>
                      <w:b/>
                      <w:bCs/>
                      <w:sz w:val="16"/>
                      <w:szCs w:val="16"/>
                    </w:rPr>
                  </w:pPr>
                  <w:r w:rsidRPr="00337847">
                    <w:rPr>
                      <w:rFonts w:ascii="Arial" w:eastAsia="Calibri" w:hAnsi="Arial" w:cs="Arial"/>
                      <w:b/>
                      <w:bCs/>
                      <w:sz w:val="16"/>
                      <w:szCs w:val="16"/>
                    </w:rPr>
                    <w:t>Technological factors</w:t>
                  </w:r>
                </w:p>
              </w:tc>
              <w:tc>
                <w:tcPr>
                  <w:tcW w:w="2779" w:type="dxa"/>
                  <w:shd w:val="clear" w:color="auto" w:fill="auto"/>
                </w:tcPr>
                <w:p w14:paraId="29CFCCD8"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Emerging technologies</w:t>
                  </w:r>
                </w:p>
                <w:p w14:paraId="23F23CB5"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Maturity of technology</w:t>
                  </w:r>
                </w:p>
                <w:p w14:paraId="1F0FB51C"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Technology legislation</w:t>
                  </w:r>
                </w:p>
                <w:p w14:paraId="38A3C658"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Research and Innovation</w:t>
                  </w:r>
                </w:p>
                <w:p w14:paraId="7DFCE945"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Information and communications</w:t>
                  </w:r>
                </w:p>
                <w:p w14:paraId="6A8DEAF5"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Competitor technology development</w:t>
                  </w:r>
                </w:p>
                <w:p w14:paraId="617BB29C"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Intellectual property issues</w:t>
                  </w:r>
                </w:p>
                <w:p w14:paraId="6180034E" w14:textId="77777777" w:rsidR="00CD6352" w:rsidRPr="003B49F0" w:rsidRDefault="00CD6352" w:rsidP="00CD6352">
                  <w:pPr>
                    <w:jc w:val="both"/>
                    <w:rPr>
                      <w:rFonts w:ascii="Arial" w:eastAsia="Calibri" w:hAnsi="Arial" w:cs="Arial"/>
                      <w:sz w:val="16"/>
                      <w:szCs w:val="16"/>
                    </w:rPr>
                  </w:pPr>
                </w:p>
              </w:tc>
            </w:tr>
            <w:tr w:rsidR="00CD6352" w:rsidRPr="003B49F0" w14:paraId="36348337" w14:textId="77777777" w:rsidTr="00CD6352">
              <w:trPr>
                <w:trHeight w:val="2409"/>
              </w:trPr>
              <w:tc>
                <w:tcPr>
                  <w:tcW w:w="1560" w:type="dxa"/>
                  <w:shd w:val="clear" w:color="auto" w:fill="auto"/>
                </w:tcPr>
                <w:p w14:paraId="66BCAFCA" w14:textId="77777777" w:rsidR="00CD6352" w:rsidRPr="00A555AB" w:rsidRDefault="00CD6352" w:rsidP="00CD6352">
                  <w:pPr>
                    <w:jc w:val="both"/>
                    <w:rPr>
                      <w:rFonts w:ascii="Arial" w:eastAsia="Calibri" w:hAnsi="Arial" w:cs="Arial"/>
                      <w:b/>
                      <w:bCs/>
                      <w:sz w:val="16"/>
                      <w:szCs w:val="16"/>
                    </w:rPr>
                  </w:pPr>
                  <w:r w:rsidRPr="00A555AB">
                    <w:rPr>
                      <w:rFonts w:ascii="Arial" w:eastAsia="Calibri" w:hAnsi="Arial" w:cs="Arial"/>
                      <w:b/>
                      <w:bCs/>
                      <w:sz w:val="16"/>
                      <w:szCs w:val="16"/>
                    </w:rPr>
                    <w:t>Legal Factors</w:t>
                  </w:r>
                </w:p>
              </w:tc>
              <w:tc>
                <w:tcPr>
                  <w:tcW w:w="2948" w:type="dxa"/>
                  <w:shd w:val="clear" w:color="auto" w:fill="auto"/>
                </w:tcPr>
                <w:p w14:paraId="6FB0CD7E" w14:textId="66CA55D4"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Complicated processes of getting </w:t>
                  </w:r>
                  <w:r w:rsidR="00815564">
                    <w:rPr>
                      <w:rFonts w:ascii="Arial" w:eastAsia="Calibri" w:hAnsi="Arial" w:cs="Arial"/>
                      <w:sz w:val="16"/>
                      <w:szCs w:val="16"/>
                    </w:rPr>
                    <w:t xml:space="preserve">a </w:t>
                  </w:r>
                  <w:r w:rsidRPr="003B49F0">
                    <w:rPr>
                      <w:rFonts w:ascii="Arial" w:eastAsia="Calibri" w:hAnsi="Arial" w:cs="Arial"/>
                      <w:sz w:val="16"/>
                      <w:szCs w:val="16"/>
                    </w:rPr>
                    <w:t>land lease</w:t>
                  </w:r>
                </w:p>
                <w:p w14:paraId="6CC8574D"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Current legislation </w:t>
                  </w:r>
                </w:p>
                <w:p w14:paraId="5CCA20FA"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Difficult land-use laws</w:t>
                  </w:r>
                </w:p>
                <w:p w14:paraId="51600856"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Future legislation</w:t>
                  </w:r>
                </w:p>
                <w:p w14:paraId="6C2CAC32"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Industry-specific regulations</w:t>
                  </w:r>
                </w:p>
                <w:p w14:paraId="08D6FC05"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International legislation</w:t>
                  </w:r>
                </w:p>
                <w:p w14:paraId="3A8EF70D"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Money laundering regulations</w:t>
                  </w:r>
                </w:p>
                <w:p w14:paraId="19A88025"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Regulatory bodies and processes</w:t>
                  </w:r>
                </w:p>
                <w:p w14:paraId="7048DDC9"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Tax regulations Competitive regulations</w:t>
                  </w:r>
                </w:p>
              </w:tc>
              <w:tc>
                <w:tcPr>
                  <w:tcW w:w="1729" w:type="dxa"/>
                  <w:shd w:val="clear" w:color="auto" w:fill="auto"/>
                </w:tcPr>
                <w:p w14:paraId="367159C3" w14:textId="77777777" w:rsidR="00CD6352" w:rsidRPr="00A555AB" w:rsidRDefault="00CD6352" w:rsidP="00CD6352">
                  <w:pPr>
                    <w:jc w:val="both"/>
                    <w:rPr>
                      <w:rFonts w:ascii="Arial" w:eastAsia="Calibri" w:hAnsi="Arial" w:cs="Arial"/>
                      <w:b/>
                      <w:bCs/>
                      <w:sz w:val="16"/>
                      <w:szCs w:val="16"/>
                    </w:rPr>
                  </w:pPr>
                  <w:r w:rsidRPr="00A555AB">
                    <w:rPr>
                      <w:rFonts w:ascii="Arial" w:eastAsia="Calibri" w:hAnsi="Arial" w:cs="Arial"/>
                      <w:b/>
                      <w:bCs/>
                      <w:sz w:val="16"/>
                      <w:szCs w:val="16"/>
                    </w:rPr>
                    <w:t>Environmental Factors</w:t>
                  </w:r>
                </w:p>
              </w:tc>
              <w:tc>
                <w:tcPr>
                  <w:tcW w:w="2779" w:type="dxa"/>
                  <w:shd w:val="clear" w:color="auto" w:fill="auto"/>
                </w:tcPr>
                <w:p w14:paraId="358D5D7D"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Ecological regulations</w:t>
                  </w:r>
                </w:p>
                <w:p w14:paraId="0B48617A"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Environmental regulations </w:t>
                  </w:r>
                </w:p>
                <w:p w14:paraId="72D0295C"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Impact of adverse weather</w:t>
                  </w:r>
                </w:p>
                <w:p w14:paraId="36CF966C" w14:textId="7B4BA4CA"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Lenders not equipped to review construction cost</w:t>
                  </w:r>
                  <w:r w:rsidR="00815564">
                    <w:rPr>
                      <w:rFonts w:ascii="Arial" w:eastAsia="Calibri" w:hAnsi="Arial" w:cs="Arial"/>
                      <w:sz w:val="16"/>
                      <w:szCs w:val="16"/>
                    </w:rPr>
                    <w:t>s</w:t>
                  </w:r>
                  <w:r w:rsidRPr="003B49F0">
                    <w:rPr>
                      <w:rFonts w:ascii="Arial" w:eastAsia="Calibri" w:hAnsi="Arial" w:cs="Arial"/>
                      <w:sz w:val="16"/>
                      <w:szCs w:val="16"/>
                    </w:rPr>
                    <w:t xml:space="preserve"> and projects</w:t>
                  </w:r>
                </w:p>
                <w:p w14:paraId="54CA8B91"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Reduction of carbon footprint</w:t>
                  </w:r>
                </w:p>
                <w:p w14:paraId="79592DD0"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 Sustainability</w:t>
                  </w:r>
                </w:p>
                <w:p w14:paraId="6D3F733B" w14:textId="77777777" w:rsidR="00CD6352" w:rsidRPr="003B49F0" w:rsidRDefault="00CD6352" w:rsidP="00CD6352">
                  <w:pPr>
                    <w:ind w:left="502"/>
                    <w:contextualSpacing/>
                    <w:jc w:val="both"/>
                    <w:rPr>
                      <w:rFonts w:ascii="Arial" w:eastAsia="Calibri" w:hAnsi="Arial" w:cs="Arial"/>
                      <w:sz w:val="16"/>
                      <w:szCs w:val="16"/>
                    </w:rPr>
                  </w:pPr>
                </w:p>
              </w:tc>
            </w:tr>
          </w:tbl>
          <w:p w14:paraId="179A944C" w14:textId="77777777" w:rsidR="00CD6352" w:rsidRPr="003B49F0" w:rsidRDefault="00CD6352" w:rsidP="00CD6352">
            <w:pPr>
              <w:spacing w:line="360" w:lineRule="auto"/>
              <w:jc w:val="both"/>
              <w:rPr>
                <w:rFonts w:ascii="Arial" w:eastAsia="Calibri" w:hAnsi="Arial" w:cs="Arial"/>
                <w:sz w:val="16"/>
                <w:szCs w:val="16"/>
              </w:rPr>
            </w:pPr>
          </w:p>
        </w:tc>
        <w:tc>
          <w:tcPr>
            <w:tcW w:w="1755" w:type="dxa"/>
            <w:vMerge/>
          </w:tcPr>
          <w:p w14:paraId="2037EDBF"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5745808A" w14:textId="77777777" w:rsidTr="00CD6352">
        <w:trPr>
          <w:trHeight w:val="201"/>
        </w:trPr>
        <w:tc>
          <w:tcPr>
            <w:tcW w:w="6779" w:type="dxa"/>
            <w:gridSpan w:val="2"/>
          </w:tcPr>
          <w:p w14:paraId="0455CDED" w14:textId="77777777" w:rsidR="00CD6352" w:rsidRPr="003B49F0" w:rsidRDefault="00CD6352" w:rsidP="00CD6352">
            <w:pPr>
              <w:spacing w:line="360" w:lineRule="auto"/>
              <w:jc w:val="both"/>
              <w:rPr>
                <w:rFonts w:ascii="Arial" w:eastAsia="Calibri" w:hAnsi="Arial" w:cs="Arial"/>
                <w:sz w:val="16"/>
                <w:szCs w:val="16"/>
              </w:rPr>
            </w:pPr>
          </w:p>
        </w:tc>
        <w:tc>
          <w:tcPr>
            <w:tcW w:w="1755" w:type="dxa"/>
            <w:vMerge/>
          </w:tcPr>
          <w:p w14:paraId="6AC9B584"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5907A0EB" w14:textId="77777777" w:rsidTr="006D720B">
        <w:tc>
          <w:tcPr>
            <w:tcW w:w="846" w:type="dxa"/>
            <w:vMerge w:val="restart"/>
          </w:tcPr>
          <w:p w14:paraId="20610414" w14:textId="05A96B31" w:rsidR="00CD6352" w:rsidRPr="003B49F0" w:rsidRDefault="00CD6352" w:rsidP="006D720B">
            <w:pPr>
              <w:spacing w:line="360" w:lineRule="auto"/>
              <w:rPr>
                <w:rFonts w:ascii="Arial" w:eastAsia="Calibri" w:hAnsi="Arial" w:cs="Arial"/>
                <w:sz w:val="16"/>
                <w:szCs w:val="16"/>
              </w:rPr>
            </w:pPr>
            <w:r w:rsidRPr="003B49F0">
              <w:rPr>
                <w:rFonts w:ascii="Arial" w:eastAsia="Calibri" w:hAnsi="Arial" w:cs="Arial"/>
                <w:sz w:val="16"/>
                <w:szCs w:val="16"/>
              </w:rPr>
              <w:t>Phase1b</w:t>
            </w:r>
          </w:p>
        </w:tc>
        <w:tc>
          <w:tcPr>
            <w:tcW w:w="5933" w:type="dxa"/>
          </w:tcPr>
          <w:p w14:paraId="44E633DB" w14:textId="77777777" w:rsidR="00CD6352" w:rsidRPr="003A2BF5" w:rsidRDefault="00CD6352" w:rsidP="00CD6352">
            <w:pPr>
              <w:spacing w:line="360" w:lineRule="auto"/>
              <w:jc w:val="both"/>
              <w:rPr>
                <w:rFonts w:ascii="Arial" w:eastAsia="Calibri" w:hAnsi="Arial" w:cs="Arial"/>
                <w:b/>
                <w:bCs/>
                <w:sz w:val="16"/>
                <w:szCs w:val="16"/>
              </w:rPr>
            </w:pPr>
            <w:r w:rsidRPr="003A2BF5">
              <w:rPr>
                <w:rFonts w:ascii="Arial" w:eastAsia="Calibri" w:hAnsi="Arial" w:cs="Arial"/>
                <w:b/>
                <w:bCs/>
                <w:sz w:val="16"/>
                <w:szCs w:val="16"/>
              </w:rPr>
              <w:t>Potential opportunities</w:t>
            </w:r>
          </w:p>
        </w:tc>
        <w:tc>
          <w:tcPr>
            <w:tcW w:w="1755" w:type="dxa"/>
            <w:vMerge/>
          </w:tcPr>
          <w:p w14:paraId="4E602210"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7EE90B5C" w14:textId="77777777" w:rsidTr="00CD6352">
        <w:tc>
          <w:tcPr>
            <w:tcW w:w="846" w:type="dxa"/>
            <w:vMerge/>
          </w:tcPr>
          <w:p w14:paraId="14B540CC" w14:textId="77777777" w:rsidR="00CD6352" w:rsidRPr="003B49F0" w:rsidRDefault="00CD6352" w:rsidP="00CD6352">
            <w:pPr>
              <w:spacing w:line="360" w:lineRule="auto"/>
              <w:jc w:val="both"/>
              <w:rPr>
                <w:rFonts w:ascii="Arial" w:eastAsia="Calibri" w:hAnsi="Arial" w:cs="Arial"/>
                <w:sz w:val="16"/>
                <w:szCs w:val="16"/>
              </w:rPr>
            </w:pPr>
          </w:p>
        </w:tc>
        <w:tc>
          <w:tcPr>
            <w:tcW w:w="5933" w:type="dxa"/>
          </w:tcPr>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86"/>
              <w:gridCol w:w="1804"/>
              <w:gridCol w:w="1331"/>
              <w:gridCol w:w="1882"/>
            </w:tblGrid>
            <w:tr w:rsidR="00CD6352" w:rsidRPr="003B49F0" w14:paraId="48E59DC5" w14:textId="77777777" w:rsidTr="00CD6352">
              <w:trPr>
                <w:trHeight w:val="1550"/>
              </w:trPr>
              <w:tc>
                <w:tcPr>
                  <w:tcW w:w="1555" w:type="dxa"/>
                  <w:shd w:val="clear" w:color="auto" w:fill="auto"/>
                </w:tcPr>
                <w:p w14:paraId="08839B65" w14:textId="77777777" w:rsidR="00CD6352" w:rsidRPr="00A533B6" w:rsidRDefault="00CD6352" w:rsidP="00CD6352">
                  <w:pPr>
                    <w:jc w:val="both"/>
                    <w:rPr>
                      <w:rFonts w:ascii="Arial" w:eastAsia="Calibri" w:hAnsi="Arial" w:cs="Arial"/>
                      <w:b/>
                      <w:bCs/>
                      <w:sz w:val="16"/>
                      <w:szCs w:val="16"/>
                    </w:rPr>
                  </w:pPr>
                  <w:r w:rsidRPr="00A533B6">
                    <w:rPr>
                      <w:rFonts w:ascii="Arial" w:eastAsia="Calibri" w:hAnsi="Arial" w:cs="Arial"/>
                      <w:b/>
                      <w:bCs/>
                      <w:sz w:val="16"/>
                      <w:szCs w:val="16"/>
                    </w:rPr>
                    <w:t>Economic factors</w:t>
                  </w:r>
                </w:p>
              </w:tc>
              <w:tc>
                <w:tcPr>
                  <w:tcW w:w="2953" w:type="dxa"/>
                  <w:shd w:val="clear" w:color="auto" w:fill="auto"/>
                </w:tcPr>
                <w:p w14:paraId="3BED1788"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Local economy</w:t>
                  </w:r>
                </w:p>
                <w:p w14:paraId="11AC8BD5"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Growing demand in the property market</w:t>
                  </w:r>
                </w:p>
                <w:p w14:paraId="237D3289"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Favourable tax platform </w:t>
                  </w:r>
                </w:p>
                <w:p w14:paraId="1508888A"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Foreign exchange stability</w:t>
                  </w:r>
                </w:p>
                <w:p w14:paraId="036AD6A6"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Low Inflation</w:t>
                  </w:r>
                </w:p>
                <w:p w14:paraId="34B960D8"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Low-interest rates</w:t>
                  </w:r>
                </w:p>
                <w:p w14:paraId="46C4FD55"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Economy trends</w:t>
                  </w:r>
                </w:p>
                <w:p w14:paraId="0E378EEF"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Seasonality issues</w:t>
                  </w:r>
                </w:p>
                <w:p w14:paraId="04730D44"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Industry growth</w:t>
                  </w:r>
                </w:p>
                <w:p w14:paraId="4CD0A426"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Import/export ratios</w:t>
                  </w:r>
                </w:p>
                <w:p w14:paraId="7B36135A"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International trade</w:t>
                  </w:r>
                </w:p>
                <w:p w14:paraId="649163D2"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International exchange rates</w:t>
                  </w:r>
                </w:p>
                <w:p w14:paraId="38AF6082"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Availability of long term funds</w:t>
                  </w:r>
                </w:p>
                <w:p w14:paraId="3B162050"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Market liquidity</w:t>
                  </w:r>
                </w:p>
                <w:p w14:paraId="5AE262AB"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Market maturity &amp; transparency</w:t>
                  </w:r>
                </w:p>
                <w:p w14:paraId="39F03082"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Multiple finance sources</w:t>
                  </w:r>
                </w:p>
                <w:p w14:paraId="4E81C4C4"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Positive and sustained economic growth</w:t>
                  </w:r>
                </w:p>
                <w:p w14:paraId="63666F5D"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Foreign exchange stability</w:t>
                  </w:r>
                </w:p>
                <w:p w14:paraId="6BCB2CA8"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Presence of international market interest</w:t>
                  </w:r>
                </w:p>
                <w:p w14:paraId="6C7D1C1E"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Access to bank loan</w:t>
                  </w:r>
                </w:p>
                <w:p w14:paraId="16ACAB1B"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Access to equity &amp; debt</w:t>
                  </w:r>
                </w:p>
                <w:p w14:paraId="792CD630"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Involvements in large real estate deals</w:t>
                  </w:r>
                </w:p>
                <w:p w14:paraId="4821F629"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Availability of finance from existing properties</w:t>
                  </w:r>
                </w:p>
                <w:p w14:paraId="59ED4D26" w14:textId="77777777" w:rsidR="00CD6352" w:rsidRPr="003B49F0" w:rsidRDefault="00CD6352" w:rsidP="00CD6352">
                  <w:pPr>
                    <w:numPr>
                      <w:ilvl w:val="0"/>
                      <w:numId w:val="9"/>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A long-standing relationship with existing bankers </w:t>
                  </w:r>
                </w:p>
              </w:tc>
              <w:tc>
                <w:tcPr>
                  <w:tcW w:w="1724" w:type="dxa"/>
                  <w:shd w:val="clear" w:color="auto" w:fill="auto"/>
                </w:tcPr>
                <w:p w14:paraId="7FB584DD" w14:textId="77777777" w:rsidR="00CD6352" w:rsidRPr="00A533B6" w:rsidRDefault="00CD6352" w:rsidP="00CD6352">
                  <w:pPr>
                    <w:jc w:val="both"/>
                    <w:rPr>
                      <w:rFonts w:ascii="Arial" w:eastAsia="Calibri" w:hAnsi="Arial" w:cs="Arial"/>
                      <w:b/>
                      <w:bCs/>
                      <w:sz w:val="16"/>
                      <w:szCs w:val="16"/>
                    </w:rPr>
                  </w:pPr>
                  <w:r w:rsidRPr="00A533B6">
                    <w:rPr>
                      <w:rFonts w:ascii="Arial" w:eastAsia="Calibri" w:hAnsi="Arial" w:cs="Arial"/>
                      <w:b/>
                      <w:bCs/>
                      <w:sz w:val="16"/>
                      <w:szCs w:val="16"/>
                    </w:rPr>
                    <w:t>Political factors</w:t>
                  </w:r>
                </w:p>
              </w:tc>
              <w:tc>
                <w:tcPr>
                  <w:tcW w:w="2784" w:type="dxa"/>
                  <w:shd w:val="clear" w:color="auto" w:fill="auto"/>
                </w:tcPr>
                <w:p w14:paraId="71B71F39"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Funding, grants, and initiatives</w:t>
                  </w:r>
                </w:p>
                <w:p w14:paraId="1935C12D"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Government housing regulations and policies</w:t>
                  </w:r>
                </w:p>
                <w:p w14:paraId="3E408B61"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Government housing subsidies &amp; credit interventions </w:t>
                  </w:r>
                </w:p>
                <w:p w14:paraId="4D2FCC46"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Government monetary and fiscal policies</w:t>
                  </w:r>
                </w:p>
                <w:p w14:paraId="3DBC7092"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Government policies</w:t>
                  </w:r>
                </w:p>
                <w:p w14:paraId="01377466"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Government support to first-time homeowners </w:t>
                  </w:r>
                </w:p>
                <w:p w14:paraId="47791AFC"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Government term and change</w:t>
                  </w:r>
                </w:p>
                <w:p w14:paraId="0C0D1CA7"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Local commissioning processes</w:t>
                  </w:r>
                </w:p>
                <w:p w14:paraId="6E10EF35"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Political stability</w:t>
                  </w:r>
                </w:p>
                <w:p w14:paraId="1AB5BB78"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Trading policies</w:t>
                  </w:r>
                </w:p>
              </w:tc>
            </w:tr>
            <w:tr w:rsidR="00CD6352" w:rsidRPr="003B49F0" w14:paraId="4643D515" w14:textId="77777777" w:rsidTr="00CD6352">
              <w:tc>
                <w:tcPr>
                  <w:tcW w:w="1555" w:type="dxa"/>
                  <w:shd w:val="clear" w:color="auto" w:fill="auto"/>
                </w:tcPr>
                <w:p w14:paraId="2BE26ABB" w14:textId="77777777" w:rsidR="00CD6352" w:rsidRPr="00061D3A" w:rsidRDefault="00CD6352" w:rsidP="00CD6352">
                  <w:pPr>
                    <w:jc w:val="both"/>
                    <w:rPr>
                      <w:rFonts w:ascii="Arial" w:eastAsia="Calibri" w:hAnsi="Arial" w:cs="Arial"/>
                      <w:b/>
                      <w:bCs/>
                      <w:sz w:val="16"/>
                      <w:szCs w:val="16"/>
                    </w:rPr>
                  </w:pPr>
                  <w:r w:rsidRPr="00061D3A">
                    <w:rPr>
                      <w:rFonts w:ascii="Arial" w:eastAsia="Calibri" w:hAnsi="Arial" w:cs="Arial"/>
                      <w:b/>
                      <w:bCs/>
                      <w:sz w:val="16"/>
                      <w:szCs w:val="16"/>
                    </w:rPr>
                    <w:t>Social factors</w:t>
                  </w:r>
                </w:p>
              </w:tc>
              <w:tc>
                <w:tcPr>
                  <w:tcW w:w="2953" w:type="dxa"/>
                  <w:shd w:val="clear" w:color="auto" w:fill="auto"/>
                </w:tcPr>
                <w:p w14:paraId="28254B72"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 Work ethic</w:t>
                  </w:r>
                </w:p>
                <w:p w14:paraId="39CC2124"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 Advertising and publicity</w:t>
                  </w:r>
                </w:p>
                <w:p w14:paraId="67203BEA"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 Buying access and trends</w:t>
                  </w:r>
                </w:p>
                <w:p w14:paraId="5AA7780B"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Consumer buying patterns</w:t>
                  </w:r>
                </w:p>
                <w:p w14:paraId="65B51762"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Cultural Taboos</w:t>
                  </w:r>
                </w:p>
                <w:p w14:paraId="6F4EFF30"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Demographics: Growing population</w:t>
                  </w:r>
                </w:p>
                <w:p w14:paraId="44A0C68E"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Developer’s rights to </w:t>
                  </w:r>
                  <w:r w:rsidRPr="003B49F0">
                    <w:rPr>
                      <w:rFonts w:ascii="Arial" w:eastAsia="Calibri" w:hAnsi="Arial" w:cs="Arial"/>
                      <w:sz w:val="16"/>
                      <w:szCs w:val="16"/>
                    </w:rPr>
                    <w:lastRenderedPageBreak/>
                    <w:t>combining the construction of industrial, commercial, residential, health care centre</w:t>
                  </w:r>
                  <w:r>
                    <w:rPr>
                      <w:rFonts w:ascii="Arial" w:eastAsia="Calibri" w:hAnsi="Arial" w:cs="Arial"/>
                      <w:sz w:val="16"/>
                      <w:szCs w:val="16"/>
                    </w:rPr>
                    <w:t>s</w:t>
                  </w:r>
                  <w:r w:rsidRPr="003B49F0">
                    <w:rPr>
                      <w:rFonts w:ascii="Arial" w:eastAsia="Calibri" w:hAnsi="Arial" w:cs="Arial"/>
                      <w:sz w:val="16"/>
                      <w:szCs w:val="16"/>
                    </w:rPr>
                    <w:t>.</w:t>
                  </w:r>
                </w:p>
                <w:p w14:paraId="66EE01A3"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Ethical issues</w:t>
                  </w:r>
                </w:p>
                <w:p w14:paraId="53C1B211"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Experience working with the lender</w:t>
                  </w:r>
                </w:p>
                <w:p w14:paraId="48D90693"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Highly skilled labour</w:t>
                  </w:r>
                </w:p>
                <w:p w14:paraId="48DE0B6B"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Increase in demand for modular housing and workforce housing</w:t>
                  </w:r>
                </w:p>
                <w:p w14:paraId="0968F5CB"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An increasing trend in the development of senior housing </w:t>
                  </w:r>
                </w:p>
                <w:p w14:paraId="1AAA3222"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Infrastructure quality</w:t>
                  </w:r>
                </w:p>
                <w:p w14:paraId="0E51FD79" w14:textId="77777777" w:rsidR="00CD6352" w:rsidRPr="003B49F0" w:rsidRDefault="00CD6352" w:rsidP="00CD6352">
                  <w:pPr>
                    <w:numPr>
                      <w:ilvl w:val="0"/>
                      <w:numId w:val="8"/>
                    </w:numPr>
                    <w:spacing w:after="0" w:line="240" w:lineRule="auto"/>
                    <w:jc w:val="both"/>
                    <w:rPr>
                      <w:rFonts w:ascii="Arial" w:eastAsia="Calibri" w:hAnsi="Arial" w:cs="Arial"/>
                      <w:sz w:val="16"/>
                      <w:szCs w:val="16"/>
                    </w:rPr>
                  </w:pPr>
                  <w:r w:rsidRPr="003B49F0">
                    <w:rPr>
                      <w:rFonts w:ascii="Arial" w:eastAsia="Calibri" w:hAnsi="Arial" w:cs="Arial"/>
                      <w:sz w:val="16"/>
                      <w:szCs w:val="16"/>
                    </w:rPr>
                    <w:t>Lifestyle trends</w:t>
                  </w:r>
                </w:p>
                <w:p w14:paraId="7A75CA7E" w14:textId="77777777" w:rsidR="00CD6352" w:rsidRPr="003B49F0" w:rsidRDefault="00CD6352" w:rsidP="00CD6352">
                  <w:pPr>
                    <w:numPr>
                      <w:ilvl w:val="0"/>
                      <w:numId w:val="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 Major events and influences</w:t>
                  </w:r>
                </w:p>
              </w:tc>
              <w:tc>
                <w:tcPr>
                  <w:tcW w:w="1724" w:type="dxa"/>
                  <w:shd w:val="clear" w:color="auto" w:fill="auto"/>
                </w:tcPr>
                <w:p w14:paraId="13E6452D" w14:textId="77777777" w:rsidR="00CD6352" w:rsidRPr="00061D3A" w:rsidRDefault="00CD6352" w:rsidP="00CD6352">
                  <w:pPr>
                    <w:jc w:val="both"/>
                    <w:rPr>
                      <w:rFonts w:ascii="Arial" w:eastAsia="Calibri" w:hAnsi="Arial" w:cs="Arial"/>
                      <w:b/>
                      <w:bCs/>
                      <w:sz w:val="16"/>
                      <w:szCs w:val="16"/>
                    </w:rPr>
                  </w:pPr>
                  <w:r w:rsidRPr="00061D3A">
                    <w:rPr>
                      <w:rFonts w:ascii="Arial" w:eastAsia="Calibri" w:hAnsi="Arial" w:cs="Arial"/>
                      <w:b/>
                      <w:bCs/>
                      <w:sz w:val="16"/>
                      <w:szCs w:val="16"/>
                    </w:rPr>
                    <w:lastRenderedPageBreak/>
                    <w:t>Technological factors</w:t>
                  </w:r>
                </w:p>
              </w:tc>
              <w:tc>
                <w:tcPr>
                  <w:tcW w:w="2784" w:type="dxa"/>
                  <w:shd w:val="clear" w:color="auto" w:fill="auto"/>
                </w:tcPr>
                <w:p w14:paraId="03F89D80"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Competitor technology development</w:t>
                  </w:r>
                </w:p>
                <w:p w14:paraId="73BEFC48"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Emerging technologies</w:t>
                  </w:r>
                </w:p>
                <w:p w14:paraId="00E14C9F"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Information and communications</w:t>
                  </w:r>
                </w:p>
                <w:p w14:paraId="5E4529FB"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Intellectual property issues</w:t>
                  </w:r>
                </w:p>
                <w:p w14:paraId="1E686132"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Maturity of technology</w:t>
                  </w:r>
                </w:p>
                <w:p w14:paraId="25658665"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t>Research and Innovation</w:t>
                  </w:r>
                </w:p>
                <w:p w14:paraId="42E19241" w14:textId="77777777" w:rsidR="00CD6352" w:rsidRPr="003B49F0" w:rsidRDefault="00CD6352" w:rsidP="00CD6352">
                  <w:pPr>
                    <w:numPr>
                      <w:ilvl w:val="0"/>
                      <w:numId w:val="11"/>
                    </w:numPr>
                    <w:spacing w:after="0" w:line="240" w:lineRule="auto"/>
                    <w:jc w:val="both"/>
                    <w:rPr>
                      <w:rFonts w:ascii="Arial" w:eastAsia="Calibri" w:hAnsi="Arial" w:cs="Arial"/>
                      <w:sz w:val="16"/>
                      <w:szCs w:val="16"/>
                    </w:rPr>
                  </w:pPr>
                  <w:r w:rsidRPr="003B49F0">
                    <w:rPr>
                      <w:rFonts w:ascii="Arial" w:eastAsia="Calibri" w:hAnsi="Arial" w:cs="Arial"/>
                      <w:sz w:val="16"/>
                      <w:szCs w:val="16"/>
                    </w:rPr>
                    <w:lastRenderedPageBreak/>
                    <w:t>Technology legislation</w:t>
                  </w:r>
                </w:p>
                <w:p w14:paraId="62B49EFA" w14:textId="77777777" w:rsidR="00CD6352" w:rsidRPr="003B49F0" w:rsidRDefault="00CD6352" w:rsidP="00CD6352">
                  <w:pPr>
                    <w:jc w:val="both"/>
                    <w:rPr>
                      <w:rFonts w:ascii="Arial" w:eastAsia="Calibri" w:hAnsi="Arial" w:cs="Arial"/>
                      <w:sz w:val="16"/>
                      <w:szCs w:val="16"/>
                    </w:rPr>
                  </w:pPr>
                </w:p>
              </w:tc>
            </w:tr>
            <w:tr w:rsidR="00CD6352" w:rsidRPr="003B49F0" w14:paraId="00287E72" w14:textId="77777777" w:rsidTr="00CD6352">
              <w:trPr>
                <w:trHeight w:val="983"/>
              </w:trPr>
              <w:tc>
                <w:tcPr>
                  <w:tcW w:w="1555" w:type="dxa"/>
                  <w:shd w:val="clear" w:color="auto" w:fill="auto"/>
                </w:tcPr>
                <w:p w14:paraId="33524E90" w14:textId="77777777" w:rsidR="00CD6352" w:rsidRPr="008F7709" w:rsidRDefault="00CD6352" w:rsidP="00CD6352">
                  <w:pPr>
                    <w:jc w:val="both"/>
                    <w:rPr>
                      <w:rFonts w:ascii="Arial" w:eastAsia="Calibri" w:hAnsi="Arial" w:cs="Arial"/>
                      <w:b/>
                      <w:bCs/>
                      <w:sz w:val="16"/>
                      <w:szCs w:val="16"/>
                    </w:rPr>
                  </w:pPr>
                  <w:r w:rsidRPr="008F7709">
                    <w:rPr>
                      <w:rFonts w:ascii="Arial" w:eastAsia="Calibri" w:hAnsi="Arial" w:cs="Arial"/>
                      <w:b/>
                      <w:bCs/>
                      <w:sz w:val="16"/>
                      <w:szCs w:val="16"/>
                    </w:rPr>
                    <w:lastRenderedPageBreak/>
                    <w:t>Legal factors</w:t>
                  </w:r>
                </w:p>
              </w:tc>
              <w:tc>
                <w:tcPr>
                  <w:tcW w:w="2953" w:type="dxa"/>
                  <w:shd w:val="clear" w:color="auto" w:fill="auto"/>
                </w:tcPr>
                <w:p w14:paraId="779CAC2C"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Current legislation </w:t>
                  </w:r>
                </w:p>
                <w:p w14:paraId="50860739"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Future legislation</w:t>
                  </w:r>
                </w:p>
                <w:p w14:paraId="40CFFDA2"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International legislation</w:t>
                  </w:r>
                </w:p>
                <w:p w14:paraId="06420739"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Regulatory bodies and processes</w:t>
                  </w:r>
                </w:p>
                <w:p w14:paraId="2E1BC13E"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Money laundering regulations</w:t>
                  </w:r>
                </w:p>
                <w:p w14:paraId="79D12F74"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Tax regulations Competitive regulations</w:t>
                  </w:r>
                </w:p>
                <w:p w14:paraId="69165D5D"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Industry-specific regulations</w:t>
                  </w:r>
                </w:p>
                <w:p w14:paraId="1A08AC1A"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 xml:space="preserve">Strong judiciary system </w:t>
                  </w:r>
                </w:p>
                <w:p w14:paraId="59BF29D3" w14:textId="77777777" w:rsidR="00CD6352" w:rsidRPr="003B49F0" w:rsidRDefault="00CD6352" w:rsidP="00CD6352">
                  <w:pPr>
                    <w:numPr>
                      <w:ilvl w:val="0"/>
                      <w:numId w:val="10"/>
                    </w:numPr>
                    <w:spacing w:after="0" w:line="240" w:lineRule="auto"/>
                    <w:jc w:val="both"/>
                    <w:rPr>
                      <w:rFonts w:ascii="Arial" w:eastAsia="Calibri" w:hAnsi="Arial" w:cs="Arial"/>
                      <w:sz w:val="16"/>
                      <w:szCs w:val="16"/>
                    </w:rPr>
                  </w:pPr>
                  <w:r w:rsidRPr="003B49F0">
                    <w:rPr>
                      <w:rFonts w:ascii="Arial" w:eastAsia="Calibri" w:hAnsi="Arial" w:cs="Arial"/>
                      <w:sz w:val="16"/>
                      <w:szCs w:val="16"/>
                    </w:rPr>
                    <w:t>Track records</w:t>
                  </w:r>
                </w:p>
              </w:tc>
              <w:tc>
                <w:tcPr>
                  <w:tcW w:w="1724" w:type="dxa"/>
                  <w:shd w:val="clear" w:color="auto" w:fill="auto"/>
                </w:tcPr>
                <w:p w14:paraId="15B46F54" w14:textId="77777777" w:rsidR="00CD6352" w:rsidRPr="008F7709" w:rsidRDefault="00CD6352" w:rsidP="00CD6352">
                  <w:pPr>
                    <w:jc w:val="both"/>
                    <w:rPr>
                      <w:rFonts w:ascii="Arial" w:eastAsia="Calibri" w:hAnsi="Arial" w:cs="Arial"/>
                      <w:b/>
                      <w:bCs/>
                      <w:sz w:val="16"/>
                      <w:szCs w:val="16"/>
                    </w:rPr>
                  </w:pPr>
                  <w:r w:rsidRPr="008F7709">
                    <w:rPr>
                      <w:rFonts w:ascii="Arial" w:eastAsia="Calibri" w:hAnsi="Arial" w:cs="Arial"/>
                      <w:b/>
                      <w:bCs/>
                      <w:sz w:val="16"/>
                      <w:szCs w:val="16"/>
                    </w:rPr>
                    <w:t>Environmental Factors</w:t>
                  </w:r>
                </w:p>
              </w:tc>
              <w:tc>
                <w:tcPr>
                  <w:tcW w:w="2784" w:type="dxa"/>
                  <w:shd w:val="clear" w:color="auto" w:fill="auto"/>
                </w:tcPr>
                <w:p w14:paraId="461F9DAA"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Ecological regulations</w:t>
                  </w:r>
                </w:p>
                <w:p w14:paraId="45F06CC8"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Environmental regulations </w:t>
                  </w:r>
                </w:p>
                <w:p w14:paraId="338A0F52"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Impact of adverse weather</w:t>
                  </w:r>
                </w:p>
                <w:p w14:paraId="527A8E63"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Reduction of carbon footprint</w:t>
                  </w:r>
                </w:p>
                <w:p w14:paraId="42B53E63" w14:textId="77777777" w:rsidR="00CD6352" w:rsidRPr="003B49F0" w:rsidRDefault="00CD6352" w:rsidP="00CD6352">
                  <w:pPr>
                    <w:numPr>
                      <w:ilvl w:val="0"/>
                      <w:numId w:val="12"/>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Sustainability</w:t>
                  </w:r>
                </w:p>
                <w:p w14:paraId="3E272E50" w14:textId="77777777" w:rsidR="00CD6352" w:rsidRPr="003B49F0" w:rsidRDefault="00CD6352" w:rsidP="00CD6352">
                  <w:pPr>
                    <w:ind w:left="502"/>
                    <w:contextualSpacing/>
                    <w:jc w:val="both"/>
                    <w:rPr>
                      <w:rFonts w:ascii="Arial" w:eastAsia="Calibri" w:hAnsi="Arial" w:cs="Arial"/>
                      <w:sz w:val="16"/>
                      <w:szCs w:val="16"/>
                    </w:rPr>
                  </w:pPr>
                </w:p>
              </w:tc>
            </w:tr>
          </w:tbl>
          <w:p w14:paraId="2C87848D" w14:textId="77777777" w:rsidR="00CD6352" w:rsidRPr="003B49F0" w:rsidRDefault="00CD6352" w:rsidP="00CD6352">
            <w:pPr>
              <w:spacing w:line="360" w:lineRule="auto"/>
              <w:jc w:val="both"/>
              <w:rPr>
                <w:rFonts w:ascii="Arial" w:eastAsia="Calibri" w:hAnsi="Arial" w:cs="Arial"/>
                <w:sz w:val="16"/>
                <w:szCs w:val="16"/>
              </w:rPr>
            </w:pPr>
          </w:p>
        </w:tc>
        <w:tc>
          <w:tcPr>
            <w:tcW w:w="1755" w:type="dxa"/>
            <w:vMerge/>
          </w:tcPr>
          <w:p w14:paraId="65F4E459"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18E483AB" w14:textId="77777777" w:rsidTr="00CD6352">
        <w:tc>
          <w:tcPr>
            <w:tcW w:w="6779" w:type="dxa"/>
            <w:gridSpan w:val="2"/>
          </w:tcPr>
          <w:p w14:paraId="4D65D13E" w14:textId="77777777" w:rsidR="00CD6352" w:rsidRPr="003B49F0" w:rsidRDefault="00CD6352" w:rsidP="00CD6352">
            <w:pPr>
              <w:spacing w:line="360" w:lineRule="auto"/>
              <w:jc w:val="both"/>
              <w:rPr>
                <w:rFonts w:ascii="Arial" w:eastAsia="Calibri" w:hAnsi="Arial" w:cs="Arial"/>
                <w:sz w:val="16"/>
                <w:szCs w:val="16"/>
              </w:rPr>
            </w:pPr>
          </w:p>
        </w:tc>
        <w:tc>
          <w:tcPr>
            <w:tcW w:w="1755" w:type="dxa"/>
            <w:vMerge/>
          </w:tcPr>
          <w:p w14:paraId="56190513"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04047773" w14:textId="77777777" w:rsidTr="009E62D8">
        <w:tc>
          <w:tcPr>
            <w:tcW w:w="846" w:type="dxa"/>
            <w:vMerge w:val="restart"/>
          </w:tcPr>
          <w:p w14:paraId="119C01D4" w14:textId="77777777" w:rsidR="00CD6352" w:rsidRPr="003B49F0" w:rsidRDefault="00CD6352" w:rsidP="009E62D8">
            <w:pPr>
              <w:spacing w:line="360" w:lineRule="auto"/>
              <w:jc w:val="right"/>
              <w:rPr>
                <w:rFonts w:ascii="Arial" w:eastAsia="Calibri" w:hAnsi="Arial" w:cs="Arial"/>
                <w:sz w:val="16"/>
                <w:szCs w:val="16"/>
              </w:rPr>
            </w:pPr>
            <w:r w:rsidRPr="003B49F0">
              <w:rPr>
                <w:rFonts w:ascii="Arial" w:eastAsia="Calibri" w:hAnsi="Arial" w:cs="Arial"/>
                <w:sz w:val="16"/>
                <w:szCs w:val="16"/>
              </w:rPr>
              <w:t>Phase 2</w:t>
            </w:r>
          </w:p>
        </w:tc>
        <w:tc>
          <w:tcPr>
            <w:tcW w:w="5933" w:type="dxa"/>
          </w:tcPr>
          <w:p w14:paraId="28FED92A" w14:textId="77777777" w:rsidR="00CD6352" w:rsidRPr="003A2BF5" w:rsidRDefault="00CD6352" w:rsidP="00CD6352">
            <w:pPr>
              <w:spacing w:line="360" w:lineRule="auto"/>
              <w:jc w:val="both"/>
              <w:rPr>
                <w:rFonts w:ascii="Arial" w:eastAsia="Calibri" w:hAnsi="Arial" w:cs="Arial"/>
                <w:b/>
                <w:bCs/>
                <w:sz w:val="16"/>
                <w:szCs w:val="16"/>
              </w:rPr>
            </w:pPr>
            <w:r w:rsidRPr="003A2BF5">
              <w:rPr>
                <w:rFonts w:ascii="Arial" w:eastAsia="Calibri" w:hAnsi="Arial" w:cs="Arial"/>
                <w:b/>
                <w:bCs/>
                <w:sz w:val="16"/>
                <w:szCs w:val="16"/>
              </w:rPr>
              <w:t>Internal environmental scan</w:t>
            </w:r>
          </w:p>
        </w:tc>
        <w:tc>
          <w:tcPr>
            <w:tcW w:w="1755" w:type="dxa"/>
            <w:vMerge/>
          </w:tcPr>
          <w:p w14:paraId="53DDEE1C"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1B9B091F" w14:textId="77777777" w:rsidTr="00CD6352">
        <w:tc>
          <w:tcPr>
            <w:tcW w:w="846" w:type="dxa"/>
            <w:vMerge/>
          </w:tcPr>
          <w:p w14:paraId="3A6730FF" w14:textId="77777777" w:rsidR="00CD6352" w:rsidRPr="003B49F0" w:rsidRDefault="00CD6352" w:rsidP="00CD6352">
            <w:pPr>
              <w:spacing w:line="360" w:lineRule="auto"/>
              <w:jc w:val="both"/>
              <w:rPr>
                <w:rFonts w:ascii="Arial" w:eastAsia="Calibri" w:hAnsi="Arial" w:cs="Arial"/>
                <w:sz w:val="16"/>
                <w:szCs w:val="16"/>
              </w:rPr>
            </w:pPr>
          </w:p>
        </w:tc>
        <w:tc>
          <w:tcPr>
            <w:tcW w:w="5933" w:type="dxa"/>
          </w:tcPr>
          <w:p w14:paraId="23CF85A6" w14:textId="77777777" w:rsidR="00CD6352" w:rsidRPr="003A2BF5" w:rsidRDefault="00CD6352" w:rsidP="00CD6352">
            <w:pPr>
              <w:spacing w:line="360" w:lineRule="auto"/>
              <w:jc w:val="both"/>
              <w:rPr>
                <w:rFonts w:ascii="Arial" w:eastAsia="Calibri" w:hAnsi="Arial" w:cs="Arial"/>
                <w:b/>
                <w:bCs/>
                <w:sz w:val="16"/>
                <w:szCs w:val="16"/>
              </w:rPr>
            </w:pPr>
            <w:r w:rsidRPr="003A2BF5">
              <w:rPr>
                <w:rFonts w:ascii="Arial" w:eastAsia="Calibri" w:hAnsi="Arial" w:cs="Arial"/>
                <w:b/>
                <w:bCs/>
                <w:sz w:val="16"/>
                <w:szCs w:val="16"/>
              </w:rPr>
              <w:t>Critical success factors</w:t>
            </w:r>
          </w:p>
        </w:tc>
        <w:tc>
          <w:tcPr>
            <w:tcW w:w="1755" w:type="dxa"/>
            <w:vMerge/>
          </w:tcPr>
          <w:p w14:paraId="6B46F111" w14:textId="77777777" w:rsidR="00CD6352" w:rsidRPr="003B49F0" w:rsidRDefault="00CD6352" w:rsidP="00CD6352">
            <w:pPr>
              <w:spacing w:line="360" w:lineRule="auto"/>
              <w:jc w:val="both"/>
              <w:rPr>
                <w:rFonts w:ascii="Arial" w:eastAsia="Calibri" w:hAnsi="Arial" w:cs="Arial"/>
                <w:sz w:val="16"/>
                <w:szCs w:val="16"/>
              </w:rPr>
            </w:pPr>
          </w:p>
        </w:tc>
      </w:tr>
      <w:tr w:rsidR="00CD6352" w:rsidRPr="003B49F0" w14:paraId="30ED17C9" w14:textId="77777777" w:rsidTr="00CD6352">
        <w:tc>
          <w:tcPr>
            <w:tcW w:w="846" w:type="dxa"/>
            <w:vMerge/>
          </w:tcPr>
          <w:p w14:paraId="25B9AC20" w14:textId="77777777" w:rsidR="00CD6352" w:rsidRPr="003B49F0" w:rsidRDefault="00CD6352" w:rsidP="00CD6352">
            <w:pPr>
              <w:spacing w:line="360" w:lineRule="auto"/>
              <w:jc w:val="both"/>
              <w:rPr>
                <w:rFonts w:ascii="Arial" w:eastAsia="Calibri" w:hAnsi="Arial" w:cs="Arial"/>
                <w:sz w:val="16"/>
                <w:szCs w:val="16"/>
              </w:rPr>
            </w:pPr>
          </w:p>
        </w:tc>
        <w:tc>
          <w:tcPr>
            <w:tcW w:w="5933" w:type="dxa"/>
          </w:tcPr>
          <w:p w14:paraId="5F0D1480"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Access to land</w:t>
            </w:r>
          </w:p>
          <w:p w14:paraId="13D85A47"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Access to relevant update data</w:t>
            </w:r>
          </w:p>
          <w:p w14:paraId="6E0C1F38"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An understanding of the financer and how they operate; understand the terms and conditions of banks</w:t>
            </w:r>
          </w:p>
          <w:p w14:paraId="6216A7D8"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Assembling the right team of advisors</w:t>
            </w:r>
          </w:p>
          <w:p w14:paraId="1A31F717"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Audited financial reports/ independent audit committee</w:t>
            </w:r>
          </w:p>
          <w:p w14:paraId="09E0FD3C"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 xml:space="preserve">Availability of prospective tenants </w:t>
            </w:r>
          </w:p>
          <w:p w14:paraId="175F8C0A"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Business plan</w:t>
            </w:r>
          </w:p>
          <w:p w14:paraId="478C19AC"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Capital base</w:t>
            </w:r>
          </w:p>
          <w:p w14:paraId="64C1C49B"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Cash flow</w:t>
            </w:r>
          </w:p>
          <w:p w14:paraId="78A06870"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Collateral to mitigate default risk</w:t>
            </w:r>
          </w:p>
          <w:p w14:paraId="3CD393BD"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Company profile</w:t>
            </w:r>
          </w:p>
          <w:p w14:paraId="1BD787AA"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Contractual documentation on land acquisition/land title</w:t>
            </w:r>
          </w:p>
          <w:p w14:paraId="367C3B9B"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Cost relationship with developers</w:t>
            </w:r>
          </w:p>
          <w:p w14:paraId="570781A6"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Demonstration of skills to execute the job</w:t>
            </w:r>
          </w:p>
          <w:p w14:paraId="56059D10"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Details of the proposed project</w:t>
            </w:r>
          </w:p>
          <w:p w14:paraId="30674DE6"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lastRenderedPageBreak/>
              <w:t>Due diligence</w:t>
            </w:r>
          </w:p>
          <w:p w14:paraId="0624374A"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Equity contribution</w:t>
            </w:r>
          </w:p>
          <w:p w14:paraId="3669D758"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Establishing an appropriate length and form of contract</w:t>
            </w:r>
          </w:p>
          <w:p w14:paraId="15770D0F"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Existence of enabling policy and legal framework</w:t>
            </w:r>
          </w:p>
          <w:p w14:paraId="133CB3DF"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Familiarity with local legislation &amp; clear contract terms</w:t>
            </w:r>
          </w:p>
          <w:p w14:paraId="1ACD2710"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Feasibility report( economic &amp; technical feasibility)</w:t>
            </w:r>
          </w:p>
          <w:p w14:paraId="4B605B5E"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Financial modelling with realistic assumptions</w:t>
            </w:r>
          </w:p>
          <w:p w14:paraId="4A9DF4B9"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Financial models</w:t>
            </w:r>
          </w:p>
          <w:p w14:paraId="28C2334D"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Geotechnical study</w:t>
            </w:r>
            <w:permStart w:id="851462823" w:edGrp="everyone"/>
            <w:permEnd w:id="851462823"/>
          </w:p>
          <w:p w14:paraId="3D36DF7F"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Good relationships with lenders &amp; effective communication</w:t>
            </w:r>
          </w:p>
          <w:p w14:paraId="7D28F2C2"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Indemnification</w:t>
            </w:r>
          </w:p>
          <w:p w14:paraId="26F604B3"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 xml:space="preserve">Liquidity management </w:t>
            </w:r>
          </w:p>
          <w:p w14:paraId="471F0332"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Loan agreement</w:t>
            </w:r>
          </w:p>
          <w:p w14:paraId="0BCA6989"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Location and visibility of the project</w:t>
            </w:r>
          </w:p>
          <w:p w14:paraId="6F3F7479"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Management capabilities/management profile</w:t>
            </w:r>
          </w:p>
          <w:p w14:paraId="70643FA3"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Manager’s knowledge and skills</w:t>
            </w:r>
          </w:p>
          <w:p w14:paraId="50EA4FD1"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Meeting of project timeline &amp; control of project performance</w:t>
            </w:r>
          </w:p>
          <w:p w14:paraId="4804EBA7"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Necessary permits &amp; site clearance</w:t>
            </w:r>
          </w:p>
          <w:p w14:paraId="7FD140A1"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Performance support guarantees</w:t>
            </w:r>
          </w:p>
          <w:p w14:paraId="19A94DF6"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Planning permission</w:t>
            </w:r>
          </w:p>
          <w:p w14:paraId="0F209862"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Potential rent</w:t>
            </w:r>
          </w:p>
          <w:p w14:paraId="70829C0C"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Pre-sale details</w:t>
            </w:r>
          </w:p>
          <w:p w14:paraId="5DA97E41"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Project manager’s experience</w:t>
            </w:r>
          </w:p>
          <w:p w14:paraId="4A5D743B"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Project technical feasibility</w:t>
            </w:r>
          </w:p>
          <w:p w14:paraId="7E40D57E"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Projected returns</w:t>
            </w:r>
          </w:p>
          <w:p w14:paraId="184B4FB7"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Projected revenue and income</w:t>
            </w:r>
          </w:p>
          <w:p w14:paraId="1C3DEC96"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Proof of adherence to government regulations</w:t>
            </w:r>
          </w:p>
          <w:p w14:paraId="0EA9E673"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Risk and returns</w:t>
            </w:r>
          </w:p>
          <w:p w14:paraId="26FA86D9"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Risks allocation and risk-sharing</w:t>
            </w:r>
          </w:p>
          <w:p w14:paraId="7413E7BB"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Shared responsibility between the public and private sector</w:t>
            </w:r>
          </w:p>
          <w:p w14:paraId="3AADD3EA"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Stable macro-economic environment</w:t>
            </w:r>
          </w:p>
          <w:p w14:paraId="39A78FE6"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Stable political and social environment</w:t>
            </w:r>
          </w:p>
          <w:p w14:paraId="6C4846DD"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Supporting documents that describe the site</w:t>
            </w:r>
          </w:p>
          <w:p w14:paraId="2BD38419"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Tax returns</w:t>
            </w:r>
          </w:p>
          <w:p w14:paraId="6C7F77A4"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The expected debt-paying ability of the project</w:t>
            </w:r>
          </w:p>
          <w:p w14:paraId="711DB022"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The financial capacity of the organisation</w:t>
            </w:r>
          </w:p>
          <w:p w14:paraId="1AFAF560"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The profitability of the project</w:t>
            </w:r>
          </w:p>
          <w:p w14:paraId="28A42271" w14:textId="77777777" w:rsidR="00CD6352" w:rsidRPr="003B49F0" w:rsidRDefault="00CD6352" w:rsidP="00C74AEC">
            <w:pPr>
              <w:numPr>
                <w:ilvl w:val="0"/>
                <w:numId w:val="58"/>
              </w:numPr>
              <w:spacing w:after="0" w:line="240" w:lineRule="auto"/>
              <w:contextualSpacing/>
              <w:jc w:val="both"/>
              <w:rPr>
                <w:rFonts w:ascii="Arial" w:eastAsia="Calibri" w:hAnsi="Arial" w:cs="Arial"/>
                <w:b/>
                <w:sz w:val="16"/>
                <w:szCs w:val="16"/>
              </w:rPr>
            </w:pPr>
            <w:r w:rsidRPr="003B49F0">
              <w:rPr>
                <w:rFonts w:ascii="Arial" w:eastAsia="Calibri" w:hAnsi="Arial" w:cs="Arial"/>
                <w:sz w:val="16"/>
                <w:szCs w:val="16"/>
              </w:rPr>
              <w:t>Topographical survey</w:t>
            </w:r>
          </w:p>
          <w:p w14:paraId="3BCA163A" w14:textId="77777777" w:rsidR="00CD6352" w:rsidRPr="003B49F0" w:rsidRDefault="00CD6352" w:rsidP="00C74AEC">
            <w:pPr>
              <w:numPr>
                <w:ilvl w:val="0"/>
                <w:numId w:val="58"/>
              </w:numPr>
              <w:spacing w:after="0" w:line="240" w:lineRule="auto"/>
              <w:contextualSpacing/>
              <w:jc w:val="both"/>
              <w:rPr>
                <w:rFonts w:ascii="Arial" w:eastAsia="Calibri" w:hAnsi="Arial" w:cs="Arial"/>
                <w:sz w:val="16"/>
                <w:szCs w:val="16"/>
              </w:rPr>
            </w:pPr>
            <w:r w:rsidRPr="003B49F0">
              <w:rPr>
                <w:rFonts w:ascii="Arial" w:eastAsia="Calibri" w:hAnsi="Arial" w:cs="Arial"/>
                <w:sz w:val="16"/>
                <w:szCs w:val="16"/>
              </w:rPr>
              <w:t>Track records(records of accomplishment)</w:t>
            </w:r>
          </w:p>
          <w:p w14:paraId="52C38C5B" w14:textId="77777777" w:rsidR="00CD6352" w:rsidRPr="003B49F0" w:rsidRDefault="00CD6352" w:rsidP="00C74AEC">
            <w:pPr>
              <w:numPr>
                <w:ilvl w:val="0"/>
                <w:numId w:val="58"/>
              </w:numPr>
              <w:spacing w:after="0" w:line="360" w:lineRule="auto"/>
              <w:contextualSpacing/>
              <w:jc w:val="both"/>
              <w:rPr>
                <w:rFonts w:ascii="Arial" w:eastAsia="Calibri" w:hAnsi="Arial" w:cs="Arial"/>
                <w:sz w:val="16"/>
                <w:szCs w:val="16"/>
              </w:rPr>
            </w:pPr>
            <w:r w:rsidRPr="003B49F0">
              <w:rPr>
                <w:rFonts w:ascii="Arial" w:eastAsia="Calibri" w:hAnsi="Arial" w:cs="Arial"/>
                <w:sz w:val="16"/>
                <w:szCs w:val="16"/>
              </w:rPr>
              <w:t>Usage of hedging instruments</w:t>
            </w:r>
          </w:p>
        </w:tc>
        <w:tc>
          <w:tcPr>
            <w:tcW w:w="1755" w:type="dxa"/>
            <w:vMerge/>
          </w:tcPr>
          <w:p w14:paraId="32EC5E5E" w14:textId="77777777" w:rsidR="00CD6352" w:rsidRPr="003B49F0" w:rsidRDefault="00CD6352" w:rsidP="00CD6352">
            <w:pPr>
              <w:spacing w:line="360" w:lineRule="auto"/>
              <w:jc w:val="both"/>
              <w:rPr>
                <w:rFonts w:ascii="Arial" w:eastAsia="Calibri" w:hAnsi="Arial" w:cs="Arial"/>
                <w:sz w:val="16"/>
                <w:szCs w:val="16"/>
              </w:rPr>
            </w:pPr>
          </w:p>
        </w:tc>
      </w:tr>
    </w:tbl>
    <w:p w14:paraId="12B6597B" w14:textId="426DA8D9" w:rsidR="00CD6352" w:rsidRDefault="00CD6352" w:rsidP="005F00F8">
      <w:pPr>
        <w:spacing w:line="240" w:lineRule="auto"/>
        <w:jc w:val="both"/>
        <w:rPr>
          <w:rFonts w:ascii="Arial" w:hAnsi="Arial" w:cs="Arial"/>
          <w:sz w:val="16"/>
          <w:szCs w:val="16"/>
        </w:rPr>
      </w:pPr>
      <w:bookmarkStart w:id="1465" w:name="_Hlk65276766"/>
      <w:r w:rsidRPr="00EA7665">
        <w:rPr>
          <w:rFonts w:ascii="Arial" w:hAnsi="Arial" w:cs="Arial"/>
          <w:sz w:val="16"/>
          <w:szCs w:val="16"/>
        </w:rPr>
        <w:t>Source: compilation by the author (20</w:t>
      </w:r>
      <w:r w:rsidR="00FB3869">
        <w:rPr>
          <w:rFonts w:ascii="Arial" w:hAnsi="Arial" w:cs="Arial"/>
          <w:sz w:val="16"/>
          <w:szCs w:val="16"/>
        </w:rPr>
        <w:t>21</w:t>
      </w:r>
      <w:r w:rsidRPr="00EA7665">
        <w:rPr>
          <w:rFonts w:ascii="Arial" w:hAnsi="Arial" w:cs="Arial"/>
          <w:sz w:val="16"/>
          <w:szCs w:val="16"/>
        </w:rPr>
        <w:t>)</w:t>
      </w:r>
    </w:p>
    <w:bookmarkEnd w:id="1465"/>
    <w:p w14:paraId="56A11B75" w14:textId="3E9C834E" w:rsidR="003A2BF5" w:rsidRPr="00EA7665" w:rsidRDefault="003A2BF5" w:rsidP="005F00F8">
      <w:pPr>
        <w:spacing w:line="240" w:lineRule="auto"/>
        <w:jc w:val="both"/>
        <w:rPr>
          <w:rFonts w:ascii="Arial" w:hAnsi="Arial" w:cs="Arial"/>
          <w:sz w:val="16"/>
          <w:szCs w:val="16"/>
        </w:rPr>
      </w:pPr>
      <w:r>
        <w:rPr>
          <w:rFonts w:ascii="Arial" w:hAnsi="Arial" w:cs="Arial"/>
          <w:sz w:val="16"/>
          <w:szCs w:val="16"/>
        </w:rPr>
        <w:t>Detailed development of a conceptual framework for environmental scan for securing finance for real estate project development is contained in chapter 6.5.</w:t>
      </w:r>
    </w:p>
    <w:p w14:paraId="4EAAD668" w14:textId="77777777" w:rsidR="00CD6352" w:rsidRPr="00BE0C4F" w:rsidRDefault="00CD6352" w:rsidP="00CD6352">
      <w:pPr>
        <w:rPr>
          <w:rStyle w:val="IntenseEmphasis"/>
          <w:rFonts w:ascii="Arial" w:hAnsi="Arial" w:cs="Arial"/>
          <w:b/>
          <w:bCs/>
          <w:color w:val="auto"/>
        </w:rPr>
      </w:pPr>
      <w:r>
        <w:rPr>
          <w:rStyle w:val="IntenseEmphasis"/>
          <w:rFonts w:ascii="Arial" w:hAnsi="Arial" w:cs="Arial"/>
          <w:b/>
          <w:bCs/>
          <w:color w:val="auto"/>
        </w:rPr>
        <w:t>Further c</w:t>
      </w:r>
      <w:r w:rsidRPr="00BE0C4F">
        <w:rPr>
          <w:rStyle w:val="IntenseEmphasis"/>
          <w:rFonts w:ascii="Arial" w:hAnsi="Arial" w:cs="Arial"/>
          <w:b/>
          <w:bCs/>
          <w:color w:val="auto"/>
        </w:rPr>
        <w:t>omments</w:t>
      </w:r>
    </w:p>
    <w:p w14:paraId="0AF03E1C" w14:textId="5AA09A0C" w:rsidR="00CD6352" w:rsidRDefault="00CD6352" w:rsidP="00CD6352">
      <w:pPr>
        <w:spacing w:line="360" w:lineRule="auto"/>
        <w:jc w:val="both"/>
        <w:rPr>
          <w:rFonts w:ascii="Arial" w:hAnsi="Arial" w:cs="Arial"/>
        </w:rPr>
      </w:pPr>
      <w:r w:rsidRPr="00EA7665">
        <w:rPr>
          <w:rFonts w:ascii="Arial" w:hAnsi="Arial" w:cs="Arial"/>
        </w:rPr>
        <w:t xml:space="preserve">The real estate manager and his team </w:t>
      </w:r>
      <w:r>
        <w:rPr>
          <w:rFonts w:ascii="Arial" w:hAnsi="Arial" w:cs="Arial"/>
        </w:rPr>
        <w:t>should</w:t>
      </w:r>
      <w:r w:rsidRPr="00EA7665">
        <w:rPr>
          <w:rFonts w:ascii="Arial" w:hAnsi="Arial" w:cs="Arial"/>
        </w:rPr>
        <w:t xml:space="preserve"> </w:t>
      </w:r>
      <w:r w:rsidR="0068440D">
        <w:rPr>
          <w:rFonts w:ascii="Arial" w:hAnsi="Arial" w:cs="Arial"/>
        </w:rPr>
        <w:t>consider</w:t>
      </w:r>
      <w:r w:rsidRPr="00EA7665">
        <w:rPr>
          <w:rFonts w:ascii="Arial" w:hAnsi="Arial" w:cs="Arial"/>
        </w:rPr>
        <w:t xml:space="preserve"> the environmental </w:t>
      </w:r>
      <w:r>
        <w:rPr>
          <w:rFonts w:ascii="Arial" w:hAnsi="Arial" w:cs="Arial"/>
        </w:rPr>
        <w:t xml:space="preserve">scan </w:t>
      </w:r>
      <w:r w:rsidRPr="00EA7665">
        <w:rPr>
          <w:rFonts w:ascii="Arial" w:hAnsi="Arial" w:cs="Arial"/>
        </w:rPr>
        <w:t xml:space="preserve">when making plans to secure finance for real estate project development. </w:t>
      </w:r>
      <w:r>
        <w:rPr>
          <w:rFonts w:ascii="Arial" w:hAnsi="Arial" w:cs="Arial"/>
        </w:rPr>
        <w:t>These factors affect the r</w:t>
      </w:r>
      <w:r w:rsidRPr="00EA7665">
        <w:rPr>
          <w:rFonts w:ascii="Arial" w:hAnsi="Arial" w:cs="Arial"/>
        </w:rPr>
        <w:t>eal estate manager’s ability to secure finance for project development</w:t>
      </w:r>
      <w:r>
        <w:rPr>
          <w:rFonts w:ascii="Arial" w:hAnsi="Arial" w:cs="Arial"/>
        </w:rPr>
        <w:t xml:space="preserve"> and </w:t>
      </w:r>
      <w:r w:rsidR="00AC1881">
        <w:rPr>
          <w:rFonts w:ascii="Arial" w:hAnsi="Arial" w:cs="Arial"/>
        </w:rPr>
        <w:t>their</w:t>
      </w:r>
      <w:r>
        <w:rPr>
          <w:rFonts w:ascii="Arial" w:hAnsi="Arial" w:cs="Arial"/>
        </w:rPr>
        <w:t xml:space="preserve"> ability </w:t>
      </w:r>
      <w:r w:rsidR="00324B0D">
        <w:rPr>
          <w:rFonts w:ascii="Arial" w:hAnsi="Arial" w:cs="Arial"/>
        </w:rPr>
        <w:t xml:space="preserve">to </w:t>
      </w:r>
      <w:r w:rsidR="00324B0D" w:rsidRPr="00EA7665">
        <w:rPr>
          <w:rFonts w:ascii="Arial" w:hAnsi="Arial" w:cs="Arial"/>
        </w:rPr>
        <w:t>utilise</w:t>
      </w:r>
      <w:r w:rsidRPr="00EA7665">
        <w:rPr>
          <w:rFonts w:ascii="Arial" w:hAnsi="Arial" w:cs="Arial"/>
        </w:rPr>
        <w:t xml:space="preserve"> such funds effectively with the prospect of payback. To be abreast of contemporary happenin</w:t>
      </w:r>
      <w:r>
        <w:rPr>
          <w:rFonts w:ascii="Arial" w:hAnsi="Arial" w:cs="Arial"/>
        </w:rPr>
        <w:t>gs</w:t>
      </w:r>
      <w:r w:rsidRPr="00EA7665">
        <w:rPr>
          <w:rFonts w:ascii="Arial" w:hAnsi="Arial" w:cs="Arial"/>
        </w:rPr>
        <w:t xml:space="preserve"> on all the platforms for external environmental scan, the manager needs to keep regula</w:t>
      </w:r>
      <w:r>
        <w:rPr>
          <w:rFonts w:ascii="Arial" w:hAnsi="Arial" w:cs="Arial"/>
        </w:rPr>
        <w:t>rly</w:t>
      </w:r>
      <w:r w:rsidRPr="00EA7665">
        <w:rPr>
          <w:rFonts w:ascii="Arial" w:hAnsi="Arial" w:cs="Arial"/>
        </w:rPr>
        <w:t xml:space="preserve"> upda</w:t>
      </w:r>
      <w:r>
        <w:rPr>
          <w:rFonts w:ascii="Arial" w:hAnsi="Arial" w:cs="Arial"/>
        </w:rPr>
        <w:t>ted</w:t>
      </w:r>
      <w:r w:rsidRPr="00EA7665">
        <w:rPr>
          <w:rFonts w:ascii="Arial" w:hAnsi="Arial" w:cs="Arial"/>
        </w:rPr>
        <w:t xml:space="preserve"> with business and political news through different platforms like personal contacts, journals, newspapers, financial publicatio</w:t>
      </w:r>
      <w:r>
        <w:rPr>
          <w:rFonts w:ascii="Arial" w:hAnsi="Arial" w:cs="Arial"/>
        </w:rPr>
        <w:t>ns</w:t>
      </w:r>
      <w:r w:rsidRPr="00EA7665">
        <w:rPr>
          <w:rFonts w:ascii="Arial" w:hAnsi="Arial" w:cs="Arial"/>
        </w:rPr>
        <w:t>, seminars, conferences, workshops, commercial databases</w:t>
      </w:r>
      <w:r w:rsidR="00AC1881">
        <w:rPr>
          <w:rFonts w:ascii="Arial" w:hAnsi="Arial" w:cs="Arial"/>
        </w:rPr>
        <w:t>.</w:t>
      </w:r>
      <w:r w:rsidRPr="00EA7665">
        <w:rPr>
          <w:rFonts w:ascii="Arial" w:hAnsi="Arial" w:cs="Arial"/>
        </w:rPr>
        <w:t xml:space="preserve"> Large organisations could have departments dedicated to contemporary happenings.</w:t>
      </w:r>
    </w:p>
    <w:p w14:paraId="6A7F8AFE" w14:textId="3A0426B6" w:rsidR="00815564" w:rsidRDefault="00815564" w:rsidP="00CD6352">
      <w:pPr>
        <w:spacing w:line="360" w:lineRule="auto"/>
        <w:jc w:val="both"/>
        <w:rPr>
          <w:rFonts w:ascii="Arial" w:hAnsi="Arial" w:cs="Arial"/>
        </w:rPr>
      </w:pPr>
    </w:p>
    <w:p w14:paraId="4C4DF84C" w14:textId="77777777" w:rsidR="00815564" w:rsidRPr="00EA7665" w:rsidRDefault="00815564" w:rsidP="00CD6352">
      <w:pPr>
        <w:spacing w:line="360" w:lineRule="auto"/>
        <w:jc w:val="both"/>
        <w:rPr>
          <w:rFonts w:ascii="Arial" w:hAnsi="Arial" w:cs="Arial"/>
        </w:rPr>
      </w:pPr>
    </w:p>
    <w:p w14:paraId="3D8B61FB" w14:textId="77777777" w:rsidR="00CD6352" w:rsidRPr="00EA7665" w:rsidRDefault="00CD6352" w:rsidP="00CD6352">
      <w:pPr>
        <w:spacing w:after="0" w:line="360" w:lineRule="auto"/>
        <w:jc w:val="both"/>
        <w:rPr>
          <w:rFonts w:ascii="Arial" w:hAnsi="Arial" w:cs="Arial"/>
        </w:rPr>
      </w:pPr>
    </w:p>
    <w:p w14:paraId="273AC1A9" w14:textId="77777777" w:rsidR="00CD6352" w:rsidRPr="008B11C8" w:rsidRDefault="00CD6352" w:rsidP="00CD6352">
      <w:pPr>
        <w:rPr>
          <w:rFonts w:ascii="Arial" w:hAnsi="Arial" w:cs="Arial"/>
          <w:b/>
          <w:bCs/>
        </w:rPr>
      </w:pPr>
      <w:bookmarkStart w:id="1466" w:name="_Hlk42081952"/>
      <w:r w:rsidRPr="008B11C8">
        <w:rPr>
          <w:rFonts w:ascii="Arial" w:hAnsi="Arial" w:cs="Arial"/>
          <w:b/>
          <w:bCs/>
        </w:rPr>
        <w:lastRenderedPageBreak/>
        <w:t>Toolkit stage 3: Process map for securing finance for real estate project development.</w:t>
      </w:r>
    </w:p>
    <w:p w14:paraId="4E5D9BAF" w14:textId="1C0BAB82" w:rsidR="00CD6352" w:rsidRDefault="00CD6352" w:rsidP="00CD6352">
      <w:pPr>
        <w:spacing w:after="0" w:line="360" w:lineRule="auto"/>
        <w:jc w:val="both"/>
        <w:rPr>
          <w:rFonts w:ascii="Arial" w:hAnsi="Arial" w:cs="Arial"/>
        </w:rPr>
      </w:pPr>
      <w:r w:rsidRPr="006F24E3">
        <w:rPr>
          <w:rFonts w:ascii="Arial" w:hAnsi="Arial" w:cs="Arial"/>
        </w:rPr>
        <w:t xml:space="preserve">The process map provides a sequence of activities to be undertaken in </w:t>
      </w:r>
      <w:r w:rsidR="00275F9C">
        <w:rPr>
          <w:rFonts w:ascii="Arial" w:hAnsi="Arial" w:cs="Arial"/>
        </w:rPr>
        <w:t>securing finance for real estate project development</w:t>
      </w:r>
      <w:r w:rsidR="006175AB">
        <w:rPr>
          <w:rFonts w:ascii="Arial" w:hAnsi="Arial" w:cs="Arial"/>
        </w:rPr>
        <w:t xml:space="preserve"> as contained in table 10.2.4</w:t>
      </w:r>
      <w:r w:rsidR="00275F9C">
        <w:rPr>
          <w:rFonts w:ascii="Arial" w:hAnsi="Arial" w:cs="Arial"/>
        </w:rPr>
        <w:t>. It is developed from data collected from the literature review, questionnaire surveys,</w:t>
      </w:r>
      <w:r w:rsidRPr="006F24E3">
        <w:rPr>
          <w:rFonts w:ascii="Arial" w:hAnsi="Arial" w:cs="Arial"/>
        </w:rPr>
        <w:t xml:space="preserve"> and semi-structured interviews. The process map for securing finance for real estate project development is inspired by advance</w:t>
      </w:r>
      <w:r w:rsidR="00275F9C">
        <w:rPr>
          <w:rFonts w:ascii="Arial" w:hAnsi="Arial" w:cs="Arial"/>
        </w:rPr>
        <w:t>d</w:t>
      </w:r>
      <w:r w:rsidRPr="006F24E3">
        <w:rPr>
          <w:rFonts w:ascii="Arial" w:hAnsi="Arial" w:cs="Arial"/>
        </w:rPr>
        <w:t xml:space="preserve"> work packing for construction projects by Ryan (2017)</w:t>
      </w:r>
      <w:r w:rsidR="00275F9C">
        <w:rPr>
          <w:rFonts w:ascii="Arial" w:hAnsi="Arial" w:cs="Arial"/>
        </w:rPr>
        <w:t xml:space="preserve">, the work breakdown structure </w:t>
      </w:r>
      <w:r w:rsidRPr="006F24E3">
        <w:rPr>
          <w:rFonts w:ascii="Arial" w:hAnsi="Arial" w:cs="Arial"/>
        </w:rPr>
        <w:t>and the RIBA Plan of work 20</w:t>
      </w:r>
      <w:r w:rsidR="00224455">
        <w:rPr>
          <w:rFonts w:ascii="Arial" w:hAnsi="Arial" w:cs="Arial"/>
        </w:rPr>
        <w:t>20</w:t>
      </w:r>
      <w:r w:rsidRPr="006F24E3">
        <w:rPr>
          <w:rFonts w:ascii="Arial" w:hAnsi="Arial" w:cs="Arial"/>
        </w:rPr>
        <w:t xml:space="preserve">. The process protocol mapping methodology also </w:t>
      </w:r>
      <w:r w:rsidR="00406563">
        <w:rPr>
          <w:rFonts w:ascii="Arial" w:hAnsi="Arial" w:cs="Arial"/>
        </w:rPr>
        <w:t>guided</w:t>
      </w:r>
      <w:r w:rsidRPr="006F24E3">
        <w:rPr>
          <w:rFonts w:ascii="Arial" w:hAnsi="Arial" w:cs="Arial"/>
        </w:rPr>
        <w:t xml:space="preserve"> </w:t>
      </w:r>
      <w:r w:rsidR="00275F9C">
        <w:rPr>
          <w:rFonts w:ascii="Arial" w:hAnsi="Arial" w:cs="Arial"/>
        </w:rPr>
        <w:t>developing</w:t>
      </w:r>
      <w:r w:rsidRPr="006F24E3">
        <w:rPr>
          <w:rFonts w:ascii="Arial" w:hAnsi="Arial" w:cs="Arial"/>
        </w:rPr>
        <w:t xml:space="preserve"> the process map for securing finance for real estate project development</w:t>
      </w:r>
      <w:r w:rsidR="00275F9C">
        <w:rPr>
          <w:rFonts w:ascii="Arial" w:hAnsi="Arial" w:cs="Arial"/>
        </w:rPr>
        <w:t xml:space="preserve">. The detailed development process is in chapter 7. </w:t>
      </w:r>
      <w:r>
        <w:rPr>
          <w:rFonts w:ascii="Arial" w:hAnsi="Arial" w:cs="Arial"/>
        </w:rPr>
        <w:t xml:space="preserve"> </w:t>
      </w:r>
    </w:p>
    <w:p w14:paraId="02B4F8D1" w14:textId="1C098FCC" w:rsidR="00CD6352" w:rsidRDefault="00CD6352" w:rsidP="00CD6352">
      <w:pPr>
        <w:spacing w:line="360" w:lineRule="auto"/>
        <w:rPr>
          <w:rFonts w:ascii="Arial" w:hAnsi="Arial" w:cs="Arial"/>
        </w:rPr>
      </w:pPr>
      <w:r>
        <w:rPr>
          <w:rFonts w:ascii="Arial" w:hAnsi="Arial" w:cs="Arial"/>
        </w:rPr>
        <w:t>The process map for securing finance for real estate project development is divided into five stages</w:t>
      </w:r>
      <w:r w:rsidR="00877015">
        <w:rPr>
          <w:rFonts w:ascii="Arial" w:hAnsi="Arial" w:cs="Arial"/>
        </w:rPr>
        <w:t>:</w:t>
      </w:r>
      <w:r>
        <w:rPr>
          <w:rFonts w:ascii="Arial" w:hAnsi="Arial" w:cs="Arial"/>
        </w:rPr>
        <w:t xml:space="preserve"> stage zero to stage four. Stage 0 has to do with the identification stage. The manager identifies the market/demand at this stage and </w:t>
      </w:r>
      <w:r w:rsidR="00877015">
        <w:rPr>
          <w:rFonts w:ascii="Arial" w:hAnsi="Arial" w:cs="Arial"/>
        </w:rPr>
        <w:t>decides</w:t>
      </w:r>
      <w:r>
        <w:rPr>
          <w:rFonts w:ascii="Arial" w:hAnsi="Arial" w:cs="Arial"/>
        </w:rPr>
        <w:t xml:space="preserve"> whether it is a commercial or retail project (Geltner et al</w:t>
      </w:r>
      <w:r w:rsidR="001C3611">
        <w:rPr>
          <w:rFonts w:ascii="Arial" w:hAnsi="Arial" w:cs="Arial"/>
        </w:rPr>
        <w:t>.</w:t>
      </w:r>
      <w:r>
        <w:rPr>
          <w:rFonts w:ascii="Arial" w:hAnsi="Arial" w:cs="Arial"/>
        </w:rPr>
        <w:t xml:space="preserve">, 2001). The demand for real estate </w:t>
      </w:r>
      <w:r w:rsidR="00877015">
        <w:rPr>
          <w:rFonts w:ascii="Arial" w:hAnsi="Arial" w:cs="Arial"/>
        </w:rPr>
        <w:t>often referred to as the market for real estate, is a factor that the manager should critically assess</w:t>
      </w:r>
      <w:r>
        <w:rPr>
          <w:rFonts w:ascii="Arial" w:hAnsi="Arial" w:cs="Arial"/>
        </w:rPr>
        <w:t xml:space="preserve"> before initiating the financing process. The demand for real estate is </w:t>
      </w:r>
      <w:r w:rsidR="00877015">
        <w:rPr>
          <w:rFonts w:ascii="Arial" w:hAnsi="Arial" w:cs="Arial"/>
        </w:rPr>
        <w:t>a fundamental economic decision, and the manager needs to gather enough data</w:t>
      </w:r>
      <w:r>
        <w:rPr>
          <w:rFonts w:ascii="Arial" w:hAnsi="Arial" w:cs="Arial"/>
        </w:rPr>
        <w:t xml:space="preserve"> to understand the nature of the demand</w:t>
      </w:r>
      <w:r w:rsidR="00877015">
        <w:rPr>
          <w:rFonts w:ascii="Arial" w:hAnsi="Arial" w:cs="Arial"/>
        </w:rPr>
        <w:t>.</w:t>
      </w:r>
    </w:p>
    <w:p w14:paraId="73BA25CA" w14:textId="5BCFADE1" w:rsidR="00CD6352" w:rsidRDefault="00CD6352" w:rsidP="00CD6352">
      <w:pPr>
        <w:spacing w:line="360" w:lineRule="auto"/>
        <w:rPr>
          <w:rFonts w:ascii="Arial" w:hAnsi="Arial" w:cs="Arial"/>
        </w:rPr>
      </w:pPr>
      <w:r w:rsidRPr="008969DB">
        <w:rPr>
          <w:rFonts w:ascii="Arial" w:hAnsi="Arial" w:cs="Arial"/>
        </w:rPr>
        <w:t>Stage 1 is identification phase 2</w:t>
      </w:r>
      <w:r w:rsidR="00FE03C2">
        <w:rPr>
          <w:rFonts w:ascii="Arial" w:hAnsi="Arial" w:cs="Arial"/>
        </w:rPr>
        <w:t>,</w:t>
      </w:r>
      <w:r w:rsidRPr="008969DB">
        <w:rPr>
          <w:rFonts w:ascii="Arial" w:hAnsi="Arial" w:cs="Arial"/>
        </w:rPr>
        <w:t xml:space="preserve"> and this is essentially the concept and strategic definition. At this stage</w:t>
      </w:r>
      <w:r w:rsidR="00386C73" w:rsidRPr="008969DB">
        <w:rPr>
          <w:rFonts w:ascii="Arial" w:hAnsi="Arial" w:cs="Arial"/>
        </w:rPr>
        <w:t>,</w:t>
      </w:r>
      <w:r w:rsidRPr="008969DB">
        <w:rPr>
          <w:rFonts w:ascii="Arial" w:hAnsi="Arial" w:cs="Arial"/>
        </w:rPr>
        <w:t xml:space="preserve"> the manager and his team undertake the external and internal environmental scan, determine the</w:t>
      </w:r>
      <w:r w:rsidR="00877015" w:rsidRPr="008969DB">
        <w:rPr>
          <w:rFonts w:ascii="Arial" w:hAnsi="Arial" w:cs="Arial"/>
        </w:rPr>
        <w:t>ir skills,</w:t>
      </w:r>
      <w:r w:rsidRPr="008969DB">
        <w:rPr>
          <w:rFonts w:ascii="Arial" w:hAnsi="Arial" w:cs="Arial"/>
        </w:rPr>
        <w:t xml:space="preserve"> and scan for financiers. A detailed environmental scan will enable the manager to access the strength</w:t>
      </w:r>
      <w:r w:rsidR="00DB0822" w:rsidRPr="008969DB">
        <w:rPr>
          <w:rFonts w:ascii="Arial" w:hAnsi="Arial" w:cs="Arial"/>
        </w:rPr>
        <w:t>s</w:t>
      </w:r>
      <w:r w:rsidR="008969DB" w:rsidRPr="008969DB">
        <w:rPr>
          <w:rFonts w:ascii="Arial" w:hAnsi="Arial" w:cs="Arial"/>
        </w:rPr>
        <w:t>,</w:t>
      </w:r>
      <w:r w:rsidR="001C3611">
        <w:rPr>
          <w:rFonts w:ascii="Arial" w:hAnsi="Arial" w:cs="Arial"/>
        </w:rPr>
        <w:t xml:space="preserve"> </w:t>
      </w:r>
      <w:r w:rsidR="00DB0822" w:rsidRPr="008969DB">
        <w:rPr>
          <w:rFonts w:ascii="Arial" w:hAnsi="Arial" w:cs="Arial"/>
        </w:rPr>
        <w:t>weaknesses</w:t>
      </w:r>
      <w:r w:rsidR="008969DB" w:rsidRPr="008969DB">
        <w:rPr>
          <w:rFonts w:ascii="Arial" w:hAnsi="Arial" w:cs="Arial"/>
        </w:rPr>
        <w:t>,</w:t>
      </w:r>
      <w:r w:rsidR="00DB0822" w:rsidRPr="008969DB">
        <w:rPr>
          <w:rFonts w:ascii="Arial" w:hAnsi="Arial" w:cs="Arial"/>
        </w:rPr>
        <w:t xml:space="preserve"> opportunities</w:t>
      </w:r>
      <w:r w:rsidR="001C3611">
        <w:rPr>
          <w:rFonts w:ascii="Arial" w:hAnsi="Arial" w:cs="Arial"/>
        </w:rPr>
        <w:t>, and threats the team may face in securing real estate project execution finance</w:t>
      </w:r>
      <w:r w:rsidRPr="008969DB">
        <w:rPr>
          <w:rFonts w:ascii="Arial" w:hAnsi="Arial" w:cs="Arial"/>
        </w:rPr>
        <w:t>. A proper SWOT analysis will enable policies t</w:t>
      </w:r>
      <w:r w:rsidR="001C3611">
        <w:rPr>
          <w:rFonts w:ascii="Arial" w:hAnsi="Arial" w:cs="Arial"/>
        </w:rPr>
        <w:t>o</w:t>
      </w:r>
      <w:r w:rsidRPr="008969DB">
        <w:rPr>
          <w:rFonts w:ascii="Arial" w:hAnsi="Arial" w:cs="Arial"/>
        </w:rPr>
        <w:t xml:space="preserve"> mitigate and /or reduce weaknes</w:t>
      </w:r>
      <w:r w:rsidR="00DB0822" w:rsidRPr="008969DB">
        <w:rPr>
          <w:rFonts w:ascii="Arial" w:hAnsi="Arial" w:cs="Arial"/>
        </w:rPr>
        <w:t>se</w:t>
      </w:r>
      <w:r w:rsidRPr="008969DB">
        <w:rPr>
          <w:rFonts w:ascii="Arial" w:hAnsi="Arial" w:cs="Arial"/>
        </w:rPr>
        <w:t>s and threats a</w:t>
      </w:r>
      <w:r w:rsidR="00DB0822" w:rsidRPr="008969DB">
        <w:rPr>
          <w:rFonts w:ascii="Arial" w:hAnsi="Arial" w:cs="Arial"/>
        </w:rPr>
        <w:t>nd</w:t>
      </w:r>
      <w:r>
        <w:rPr>
          <w:rFonts w:ascii="Arial" w:hAnsi="Arial" w:cs="Arial"/>
        </w:rPr>
        <w:t xml:space="preserve"> enhance strengths and opportunities (Fine, 2009). Stage 1 also enables the managers to preliminarily assess both hard and soft skills that are available to them and what would be </w:t>
      </w:r>
      <w:r w:rsidR="00C52EC2">
        <w:rPr>
          <w:rFonts w:ascii="Arial" w:hAnsi="Arial" w:cs="Arial"/>
        </w:rPr>
        <w:t>needed.</w:t>
      </w:r>
      <w:r>
        <w:rPr>
          <w:rFonts w:ascii="Arial" w:hAnsi="Arial" w:cs="Arial"/>
        </w:rPr>
        <w:t xml:space="preserve"> The skills budget will enable the manager to initiate the process </w:t>
      </w:r>
      <w:r w:rsidR="00C52EC2">
        <w:rPr>
          <w:rFonts w:ascii="Arial" w:hAnsi="Arial" w:cs="Arial"/>
        </w:rPr>
        <w:t>of assembling</w:t>
      </w:r>
      <w:r>
        <w:rPr>
          <w:rFonts w:ascii="Arial" w:hAnsi="Arial" w:cs="Arial"/>
        </w:rPr>
        <w:t xml:space="preserve"> the needed skills set. Lenders traditionally look at the skills set of an organisation in making decisions to </w:t>
      </w:r>
      <w:r w:rsidR="007E021B">
        <w:rPr>
          <w:rFonts w:ascii="Arial" w:hAnsi="Arial" w:cs="Arial"/>
        </w:rPr>
        <w:t>provide</w:t>
      </w:r>
      <w:r>
        <w:rPr>
          <w:rFonts w:ascii="Arial" w:hAnsi="Arial" w:cs="Arial"/>
        </w:rPr>
        <w:t xml:space="preserve"> the financing or not (Ogbenjuwa et al</w:t>
      </w:r>
      <w:r w:rsidR="001C3611">
        <w:rPr>
          <w:rFonts w:ascii="Arial" w:hAnsi="Arial" w:cs="Arial"/>
        </w:rPr>
        <w:t>.</w:t>
      </w:r>
      <w:r>
        <w:rPr>
          <w:rFonts w:ascii="Arial" w:hAnsi="Arial" w:cs="Arial"/>
        </w:rPr>
        <w:t>, 2018).  The manager also scans for financiers at this stage</w:t>
      </w:r>
      <w:r w:rsidR="001C3611">
        <w:rPr>
          <w:rFonts w:ascii="Arial" w:hAnsi="Arial" w:cs="Arial"/>
        </w:rPr>
        <w:t>,</w:t>
      </w:r>
      <w:r>
        <w:rPr>
          <w:rFonts w:ascii="Arial" w:hAnsi="Arial" w:cs="Arial"/>
        </w:rPr>
        <w:t xml:space="preserve"> and this could be either debt or equity finance in the form </w:t>
      </w:r>
      <w:r w:rsidR="00324B0D">
        <w:rPr>
          <w:rFonts w:ascii="Arial" w:hAnsi="Arial" w:cs="Arial"/>
        </w:rPr>
        <w:t>of public</w:t>
      </w:r>
      <w:r>
        <w:rPr>
          <w:rFonts w:ascii="Arial" w:hAnsi="Arial" w:cs="Arial"/>
        </w:rPr>
        <w:t xml:space="preserve"> or private finance (Geltner et al</w:t>
      </w:r>
      <w:r w:rsidR="001C3611">
        <w:rPr>
          <w:rFonts w:ascii="Arial" w:hAnsi="Arial" w:cs="Arial"/>
        </w:rPr>
        <w:t>.</w:t>
      </w:r>
      <w:r>
        <w:rPr>
          <w:rFonts w:ascii="Arial" w:hAnsi="Arial" w:cs="Arial"/>
        </w:rPr>
        <w:t>, 2001).</w:t>
      </w:r>
    </w:p>
    <w:p w14:paraId="4748BB9C" w14:textId="2DAD5F59" w:rsidR="00CD6352" w:rsidRPr="002478DF" w:rsidRDefault="00CD6352" w:rsidP="00CD6352">
      <w:pPr>
        <w:spacing w:line="360" w:lineRule="auto"/>
        <w:rPr>
          <w:rFonts w:ascii="Arial" w:hAnsi="Arial" w:cs="Arial"/>
        </w:rPr>
      </w:pPr>
      <w:r w:rsidRPr="002478DF">
        <w:rPr>
          <w:rFonts w:ascii="Arial" w:hAnsi="Arial" w:cs="Arial"/>
        </w:rPr>
        <w:t>Stage 2 is the development stage</w:t>
      </w:r>
      <w:r w:rsidR="001C3611">
        <w:rPr>
          <w:rFonts w:ascii="Arial" w:hAnsi="Arial" w:cs="Arial"/>
        </w:rPr>
        <w:t>,</w:t>
      </w:r>
      <w:r w:rsidRPr="002478DF">
        <w:rPr>
          <w:rFonts w:ascii="Arial" w:hAnsi="Arial" w:cs="Arial"/>
        </w:rPr>
        <w:t xml:space="preserve"> and </w:t>
      </w:r>
      <w:r>
        <w:rPr>
          <w:rFonts w:ascii="Arial" w:hAnsi="Arial" w:cs="Arial"/>
        </w:rPr>
        <w:t xml:space="preserve">it is the </w:t>
      </w:r>
      <w:r w:rsidRPr="002478DF">
        <w:rPr>
          <w:rFonts w:ascii="Arial" w:hAnsi="Arial" w:cs="Arial"/>
        </w:rPr>
        <w:t>stage</w:t>
      </w:r>
      <w:r>
        <w:rPr>
          <w:rFonts w:ascii="Arial" w:hAnsi="Arial" w:cs="Arial"/>
        </w:rPr>
        <w:t xml:space="preserve"> when</w:t>
      </w:r>
      <w:r w:rsidRPr="002478DF">
        <w:rPr>
          <w:rFonts w:ascii="Arial" w:hAnsi="Arial" w:cs="Arial"/>
        </w:rPr>
        <w:t xml:space="preserve"> the manager and his team develop the feasibility study, consumer relatio</w:t>
      </w:r>
      <w:r>
        <w:rPr>
          <w:rFonts w:ascii="Arial" w:hAnsi="Arial" w:cs="Arial"/>
        </w:rPr>
        <w:t>ns</w:t>
      </w:r>
      <w:r w:rsidRPr="002478DF">
        <w:rPr>
          <w:rFonts w:ascii="Arial" w:hAnsi="Arial" w:cs="Arial"/>
        </w:rPr>
        <w:t xml:space="preserve"> and </w:t>
      </w:r>
      <w:r>
        <w:rPr>
          <w:rFonts w:ascii="Arial" w:hAnsi="Arial" w:cs="Arial"/>
        </w:rPr>
        <w:t xml:space="preserve">the </w:t>
      </w:r>
      <w:r w:rsidRPr="002478DF">
        <w:rPr>
          <w:rFonts w:ascii="Arial" w:hAnsi="Arial" w:cs="Arial"/>
        </w:rPr>
        <w:t xml:space="preserve">proposal </w:t>
      </w:r>
      <w:r w:rsidR="00324B0D" w:rsidRPr="002478DF">
        <w:rPr>
          <w:rFonts w:ascii="Arial" w:hAnsi="Arial" w:cs="Arial"/>
        </w:rPr>
        <w:t>requesting finance</w:t>
      </w:r>
      <w:r w:rsidRPr="002478DF">
        <w:rPr>
          <w:rFonts w:ascii="Arial" w:hAnsi="Arial" w:cs="Arial"/>
        </w:rPr>
        <w:t xml:space="preserve">. The feasibility study the manager develops at this stage is the legal, commercial and technical feasibility. </w:t>
      </w:r>
      <w:r>
        <w:rPr>
          <w:rFonts w:ascii="Arial" w:hAnsi="Arial" w:cs="Arial"/>
        </w:rPr>
        <w:t>The d</w:t>
      </w:r>
      <w:r w:rsidRPr="002478DF">
        <w:rPr>
          <w:rFonts w:ascii="Arial" w:hAnsi="Arial" w:cs="Arial"/>
        </w:rPr>
        <w:t>evelopment of consumer relationshi</w:t>
      </w:r>
      <w:r>
        <w:rPr>
          <w:rFonts w:ascii="Arial" w:hAnsi="Arial" w:cs="Arial"/>
        </w:rPr>
        <w:t>ps</w:t>
      </w:r>
      <w:r w:rsidRPr="002478DF">
        <w:rPr>
          <w:rFonts w:ascii="Arial" w:hAnsi="Arial" w:cs="Arial"/>
        </w:rPr>
        <w:t xml:space="preserve"> at this stage entails building relatio</w:t>
      </w:r>
      <w:r>
        <w:rPr>
          <w:rFonts w:ascii="Arial" w:hAnsi="Arial" w:cs="Arial"/>
        </w:rPr>
        <w:t>ns</w:t>
      </w:r>
      <w:r w:rsidRPr="002478DF">
        <w:rPr>
          <w:rFonts w:ascii="Arial" w:hAnsi="Arial" w:cs="Arial"/>
        </w:rPr>
        <w:t xml:space="preserve"> with off-takers and</w:t>
      </w:r>
      <w:r w:rsidR="006D4931">
        <w:rPr>
          <w:rFonts w:ascii="Arial" w:hAnsi="Arial" w:cs="Arial"/>
        </w:rPr>
        <w:t>/</w:t>
      </w:r>
      <w:r w:rsidRPr="002478DF">
        <w:rPr>
          <w:rFonts w:ascii="Arial" w:hAnsi="Arial" w:cs="Arial"/>
        </w:rPr>
        <w:t>or prospective tenants depending on the nature of the real estate. The feasibility study helps the manager and his team prepare to launch and manage their business (Wyckham and Wedley, 1990). Technical feasibility is multi-</w:t>
      </w:r>
      <w:r>
        <w:rPr>
          <w:rFonts w:ascii="Arial" w:hAnsi="Arial" w:cs="Arial"/>
        </w:rPr>
        <w:t>faceted</w:t>
      </w:r>
      <w:r w:rsidRPr="002478DF">
        <w:rPr>
          <w:rFonts w:ascii="Arial" w:hAnsi="Arial" w:cs="Arial"/>
        </w:rPr>
        <w:t xml:space="preserve"> and could be </w:t>
      </w:r>
      <w:r w:rsidR="002A0169">
        <w:rPr>
          <w:rFonts w:ascii="Arial" w:hAnsi="Arial" w:cs="Arial"/>
        </w:rPr>
        <w:lastRenderedPageBreak/>
        <w:t>concerning</w:t>
      </w:r>
      <w:r w:rsidRPr="002478DF">
        <w:rPr>
          <w:rFonts w:ascii="Arial" w:hAnsi="Arial" w:cs="Arial"/>
        </w:rPr>
        <w:t xml:space="preserve"> skills acquisition, site-location analysis and customer location. </w:t>
      </w:r>
      <w:r>
        <w:rPr>
          <w:rFonts w:ascii="Arial" w:hAnsi="Arial" w:cs="Arial"/>
        </w:rPr>
        <w:t>The g</w:t>
      </w:r>
      <w:r w:rsidRPr="002478DF">
        <w:rPr>
          <w:rFonts w:ascii="Arial" w:hAnsi="Arial" w:cs="Arial"/>
        </w:rPr>
        <w:t xml:space="preserve">eographical information system ( GIS) is a good tool for site location analysis and customer location analysis ( Pearson, 2007). The GIS could </w:t>
      </w:r>
      <w:r>
        <w:rPr>
          <w:rFonts w:ascii="Arial" w:hAnsi="Arial" w:cs="Arial"/>
        </w:rPr>
        <w:t xml:space="preserve">also </w:t>
      </w:r>
      <w:r w:rsidRPr="002478DF">
        <w:rPr>
          <w:rFonts w:ascii="Arial" w:hAnsi="Arial" w:cs="Arial"/>
        </w:rPr>
        <w:t>support commercial feasibility because it helps to locate where future marke</w:t>
      </w:r>
      <w:r>
        <w:rPr>
          <w:rFonts w:ascii="Arial" w:hAnsi="Arial" w:cs="Arial"/>
        </w:rPr>
        <w:t>ts</w:t>
      </w:r>
      <w:r w:rsidRPr="002478DF">
        <w:rPr>
          <w:rFonts w:ascii="Arial" w:hAnsi="Arial" w:cs="Arial"/>
        </w:rPr>
        <w:t xml:space="preserve"> could be </w:t>
      </w:r>
      <w:r w:rsidR="001430ED">
        <w:rPr>
          <w:rFonts w:ascii="Arial" w:hAnsi="Arial" w:cs="Arial"/>
        </w:rPr>
        <w:t>foun</w:t>
      </w:r>
      <w:r w:rsidRPr="002478DF">
        <w:rPr>
          <w:rFonts w:ascii="Arial" w:hAnsi="Arial" w:cs="Arial"/>
        </w:rPr>
        <w:t>d</w:t>
      </w:r>
      <w:r w:rsidR="00FE03C2">
        <w:rPr>
          <w:rFonts w:ascii="Arial" w:hAnsi="Arial" w:cs="Arial"/>
        </w:rPr>
        <w:t xml:space="preserve">. </w:t>
      </w:r>
      <w:r w:rsidR="001430ED">
        <w:rPr>
          <w:rFonts w:ascii="Arial" w:hAnsi="Arial" w:cs="Arial"/>
        </w:rPr>
        <w:t>It</w:t>
      </w:r>
      <w:r w:rsidR="00FE03C2">
        <w:rPr>
          <w:rFonts w:ascii="Arial" w:hAnsi="Arial" w:cs="Arial"/>
        </w:rPr>
        <w:t xml:space="preserve"> would determine where the manager could get the highest market for the real estate project depending on the business objective, which could be profit maximisation or fulfilling some noble cause such</w:t>
      </w:r>
      <w:r w:rsidRPr="002478DF">
        <w:rPr>
          <w:rFonts w:ascii="Arial" w:hAnsi="Arial" w:cs="Arial"/>
        </w:rPr>
        <w:t xml:space="preserve"> a</w:t>
      </w:r>
      <w:r w:rsidR="00FE03C2">
        <w:rPr>
          <w:rFonts w:ascii="Arial" w:hAnsi="Arial" w:cs="Arial"/>
        </w:rPr>
        <w:t>s</w:t>
      </w:r>
      <w:r w:rsidRPr="002478DF">
        <w:rPr>
          <w:rFonts w:ascii="Arial" w:hAnsi="Arial" w:cs="Arial"/>
        </w:rPr>
        <w:t xml:space="preserve"> corporate social responsibility. Overall, the feasibility study will determine the </w:t>
      </w:r>
      <w:r w:rsidR="00FE03C2">
        <w:rPr>
          <w:rFonts w:ascii="Arial" w:hAnsi="Arial" w:cs="Arial"/>
        </w:rPr>
        <w:t>project's economic/ commercial, legal, and technical viability. The feasibility study will</w:t>
      </w:r>
      <w:r w:rsidRPr="002478DF">
        <w:rPr>
          <w:rFonts w:ascii="Arial" w:hAnsi="Arial" w:cs="Arial"/>
        </w:rPr>
        <w:t xml:space="preserve"> aid the managers</w:t>
      </w:r>
      <w:r w:rsidR="006D4931">
        <w:rPr>
          <w:rFonts w:ascii="Arial" w:hAnsi="Arial" w:cs="Arial"/>
        </w:rPr>
        <w:t>'</w:t>
      </w:r>
      <w:r w:rsidRPr="002478DF">
        <w:rPr>
          <w:rFonts w:ascii="Arial" w:hAnsi="Arial" w:cs="Arial"/>
        </w:rPr>
        <w:t xml:space="preserve"> decisions on whether to proceed with the project or not ( Siemieniako &amp; Gebarowski, 2014).</w:t>
      </w:r>
    </w:p>
    <w:p w14:paraId="4C521894" w14:textId="3B8BC8CE" w:rsidR="00CD6352" w:rsidRPr="002478DF" w:rsidRDefault="00CD6352" w:rsidP="00CD6352">
      <w:pPr>
        <w:spacing w:line="360" w:lineRule="auto"/>
        <w:rPr>
          <w:rFonts w:ascii="Arial" w:hAnsi="Arial" w:cs="Arial"/>
        </w:rPr>
      </w:pPr>
      <w:r w:rsidRPr="002478DF">
        <w:rPr>
          <w:rFonts w:ascii="Arial" w:hAnsi="Arial" w:cs="Arial"/>
        </w:rPr>
        <w:t>The 3</w:t>
      </w:r>
      <w:r w:rsidRPr="002478DF">
        <w:rPr>
          <w:rFonts w:ascii="Arial" w:hAnsi="Arial" w:cs="Arial"/>
          <w:vertAlign w:val="superscript"/>
        </w:rPr>
        <w:t>rd</w:t>
      </w:r>
      <w:r w:rsidRPr="002478DF">
        <w:rPr>
          <w:rFonts w:ascii="Arial" w:hAnsi="Arial" w:cs="Arial"/>
        </w:rPr>
        <w:t xml:space="preserve"> stage</w:t>
      </w:r>
      <w:r w:rsidR="001430ED">
        <w:rPr>
          <w:rFonts w:ascii="Arial" w:hAnsi="Arial" w:cs="Arial"/>
        </w:rPr>
        <w:t>,</w:t>
      </w:r>
      <w:r w:rsidRPr="002478DF">
        <w:rPr>
          <w:rFonts w:ascii="Arial" w:hAnsi="Arial" w:cs="Arial"/>
        </w:rPr>
        <w:t xml:space="preserve"> know</w:t>
      </w:r>
      <w:r>
        <w:rPr>
          <w:rFonts w:ascii="Arial" w:hAnsi="Arial" w:cs="Arial"/>
        </w:rPr>
        <w:t>n</w:t>
      </w:r>
      <w:r w:rsidRPr="002478DF">
        <w:rPr>
          <w:rFonts w:ascii="Arial" w:hAnsi="Arial" w:cs="Arial"/>
        </w:rPr>
        <w:t xml:space="preserve"> as the selection stage</w:t>
      </w:r>
      <w:r w:rsidR="001430ED">
        <w:rPr>
          <w:rFonts w:ascii="Arial" w:hAnsi="Arial" w:cs="Arial"/>
        </w:rPr>
        <w:t>,</w:t>
      </w:r>
      <w:r w:rsidRPr="002478DF">
        <w:rPr>
          <w:rFonts w:ascii="Arial" w:hAnsi="Arial" w:cs="Arial"/>
        </w:rPr>
        <w:t xml:space="preserve"> entails contacting financiers, obtaining funds and executing project development. The manager answers the question of optimal capital structure at this stage. </w:t>
      </w:r>
      <w:r w:rsidR="001430ED">
        <w:rPr>
          <w:rFonts w:ascii="Arial" w:hAnsi="Arial" w:cs="Arial"/>
        </w:rPr>
        <w:t>At this stage,</w:t>
      </w:r>
      <w:r w:rsidRPr="002478DF">
        <w:rPr>
          <w:rFonts w:ascii="Arial" w:hAnsi="Arial" w:cs="Arial"/>
        </w:rPr>
        <w:t xml:space="preserve"> the manager makes decisions on financiers and</w:t>
      </w:r>
      <w:r>
        <w:rPr>
          <w:rFonts w:ascii="Arial" w:hAnsi="Arial" w:cs="Arial"/>
        </w:rPr>
        <w:t xml:space="preserve"> the</w:t>
      </w:r>
      <w:r w:rsidRPr="002478DF">
        <w:rPr>
          <w:rFonts w:ascii="Arial" w:hAnsi="Arial" w:cs="Arial"/>
        </w:rPr>
        <w:t xml:space="preserve"> type of finance that should be used for the project. The manager determin</w:t>
      </w:r>
      <w:r>
        <w:rPr>
          <w:rFonts w:ascii="Arial" w:hAnsi="Arial" w:cs="Arial"/>
        </w:rPr>
        <w:t>es</w:t>
      </w:r>
      <w:r w:rsidRPr="002478DF">
        <w:rPr>
          <w:rFonts w:ascii="Arial" w:hAnsi="Arial" w:cs="Arial"/>
        </w:rPr>
        <w:t xml:space="preserve"> the </w:t>
      </w:r>
      <w:r>
        <w:rPr>
          <w:rFonts w:ascii="Arial" w:hAnsi="Arial" w:cs="Arial"/>
        </w:rPr>
        <w:t>appro</w:t>
      </w:r>
      <w:r w:rsidRPr="002478DF">
        <w:rPr>
          <w:rFonts w:ascii="Arial" w:hAnsi="Arial" w:cs="Arial"/>
        </w:rPr>
        <w:t>p</w:t>
      </w:r>
      <w:r>
        <w:rPr>
          <w:rFonts w:ascii="Arial" w:hAnsi="Arial" w:cs="Arial"/>
        </w:rPr>
        <w:t>r</w:t>
      </w:r>
      <w:r w:rsidRPr="002478DF">
        <w:rPr>
          <w:rFonts w:ascii="Arial" w:hAnsi="Arial" w:cs="Arial"/>
        </w:rPr>
        <w:t xml:space="preserve">iate mix </w:t>
      </w:r>
      <w:r>
        <w:rPr>
          <w:rFonts w:ascii="Arial" w:hAnsi="Arial" w:cs="Arial"/>
        </w:rPr>
        <w:t>of</w:t>
      </w:r>
      <w:r w:rsidRPr="002478DF">
        <w:rPr>
          <w:rFonts w:ascii="Arial" w:hAnsi="Arial" w:cs="Arial"/>
        </w:rPr>
        <w:t xml:space="preserve"> inside and outside finance</w:t>
      </w:r>
      <w:r w:rsidR="001430ED">
        <w:rPr>
          <w:rFonts w:ascii="Arial" w:hAnsi="Arial" w:cs="Arial"/>
        </w:rPr>
        <w:t>,</w:t>
      </w:r>
      <w:r w:rsidRPr="002478DF">
        <w:rPr>
          <w:rFonts w:ascii="Arial" w:hAnsi="Arial" w:cs="Arial"/>
        </w:rPr>
        <w:t xml:space="preserve"> otherwise known as the capital structure at this stage</w:t>
      </w:r>
      <w:r>
        <w:rPr>
          <w:rFonts w:ascii="Arial" w:hAnsi="Arial" w:cs="Arial"/>
        </w:rPr>
        <w:t xml:space="preserve">, and </w:t>
      </w:r>
      <w:r w:rsidRPr="002478DF">
        <w:rPr>
          <w:rFonts w:ascii="Arial" w:hAnsi="Arial" w:cs="Arial"/>
        </w:rPr>
        <w:t>contacts and negotia</w:t>
      </w:r>
      <w:r>
        <w:rPr>
          <w:rFonts w:ascii="Arial" w:hAnsi="Arial" w:cs="Arial"/>
        </w:rPr>
        <w:t>tes</w:t>
      </w:r>
      <w:r w:rsidRPr="002478DF">
        <w:rPr>
          <w:rFonts w:ascii="Arial" w:hAnsi="Arial" w:cs="Arial"/>
        </w:rPr>
        <w:t xml:space="preserve"> with financiers (Riddiough, 2004; Squires et al</w:t>
      </w:r>
      <w:r w:rsidR="00DE6B90">
        <w:rPr>
          <w:rFonts w:ascii="Arial" w:hAnsi="Arial" w:cs="Arial"/>
        </w:rPr>
        <w:t>.</w:t>
      </w:r>
      <w:r w:rsidRPr="002478DF">
        <w:rPr>
          <w:rFonts w:ascii="Arial" w:hAnsi="Arial" w:cs="Arial"/>
        </w:rPr>
        <w:t>, 2016). The real estate project is developed at this stage</w:t>
      </w:r>
      <w:r w:rsidR="00DE6B90">
        <w:rPr>
          <w:rFonts w:ascii="Arial" w:hAnsi="Arial" w:cs="Arial"/>
        </w:rPr>
        <w:t>,</w:t>
      </w:r>
      <w:r w:rsidRPr="002478DF">
        <w:rPr>
          <w:rFonts w:ascii="Arial" w:hAnsi="Arial" w:cs="Arial"/>
        </w:rPr>
        <w:t xml:space="preserve"> and the deal </w:t>
      </w:r>
      <w:r w:rsidR="00DE6B90">
        <w:rPr>
          <w:rFonts w:ascii="Arial" w:hAnsi="Arial" w:cs="Arial"/>
        </w:rPr>
        <w:t xml:space="preserve">is </w:t>
      </w:r>
      <w:r w:rsidRPr="002478DF">
        <w:rPr>
          <w:rFonts w:ascii="Arial" w:hAnsi="Arial" w:cs="Arial"/>
        </w:rPr>
        <w:t>closed.</w:t>
      </w:r>
    </w:p>
    <w:p w14:paraId="0485B57E" w14:textId="282786BD" w:rsidR="00CD6352" w:rsidRDefault="00CD6352" w:rsidP="00CD6352">
      <w:pPr>
        <w:spacing w:line="360" w:lineRule="auto"/>
        <w:rPr>
          <w:rFonts w:ascii="Arial" w:hAnsi="Arial" w:cs="Arial"/>
        </w:rPr>
      </w:pPr>
      <w:r w:rsidRPr="002478DF">
        <w:rPr>
          <w:rFonts w:ascii="Arial" w:hAnsi="Arial" w:cs="Arial"/>
        </w:rPr>
        <w:t>The 4</w:t>
      </w:r>
      <w:r w:rsidRPr="002478DF">
        <w:rPr>
          <w:rFonts w:ascii="Arial" w:hAnsi="Arial" w:cs="Arial"/>
          <w:vertAlign w:val="superscript"/>
        </w:rPr>
        <w:t>th</w:t>
      </w:r>
      <w:r w:rsidRPr="002478DF">
        <w:rPr>
          <w:rFonts w:ascii="Arial" w:hAnsi="Arial" w:cs="Arial"/>
        </w:rPr>
        <w:t xml:space="preserve"> stage is the final stage</w:t>
      </w:r>
      <w:r w:rsidR="00250A99">
        <w:rPr>
          <w:rFonts w:ascii="Arial" w:hAnsi="Arial" w:cs="Arial"/>
        </w:rPr>
        <w:t>,</w:t>
      </w:r>
      <w:r w:rsidRPr="002478DF">
        <w:rPr>
          <w:rFonts w:ascii="Arial" w:hAnsi="Arial" w:cs="Arial"/>
        </w:rPr>
        <w:t xml:space="preserve"> and this is also a </w:t>
      </w:r>
      <w:r>
        <w:rPr>
          <w:rFonts w:ascii="Arial" w:hAnsi="Arial" w:cs="Arial"/>
        </w:rPr>
        <w:t>feedback</w:t>
      </w:r>
      <w:r w:rsidRPr="002478DF">
        <w:rPr>
          <w:rFonts w:ascii="Arial" w:hAnsi="Arial" w:cs="Arial"/>
        </w:rPr>
        <w:t xml:space="preserve"> stage. At this stage</w:t>
      </w:r>
      <w:r w:rsidR="00FB3869">
        <w:rPr>
          <w:rFonts w:ascii="Arial" w:hAnsi="Arial" w:cs="Arial"/>
        </w:rPr>
        <w:t>,</w:t>
      </w:r>
      <w:r w:rsidRPr="002478DF">
        <w:rPr>
          <w:rFonts w:ascii="Arial" w:hAnsi="Arial" w:cs="Arial"/>
        </w:rPr>
        <w:t xml:space="preserve"> the manager meets up with the debt and</w:t>
      </w:r>
      <w:r w:rsidR="006D4931">
        <w:rPr>
          <w:rFonts w:ascii="Arial" w:hAnsi="Arial" w:cs="Arial"/>
        </w:rPr>
        <w:t>/</w:t>
      </w:r>
      <w:r w:rsidRPr="002478DF">
        <w:rPr>
          <w:rFonts w:ascii="Arial" w:hAnsi="Arial" w:cs="Arial"/>
        </w:rPr>
        <w:t>or equity covenants, pays of</w:t>
      </w:r>
      <w:r>
        <w:rPr>
          <w:rFonts w:ascii="Arial" w:hAnsi="Arial" w:cs="Arial"/>
        </w:rPr>
        <w:t>f</w:t>
      </w:r>
      <w:r w:rsidRPr="002478DF">
        <w:rPr>
          <w:rFonts w:ascii="Arial" w:hAnsi="Arial" w:cs="Arial"/>
        </w:rPr>
        <w:t xml:space="preserve"> debt and sustains </w:t>
      </w:r>
      <w:r>
        <w:rPr>
          <w:rFonts w:ascii="Arial" w:hAnsi="Arial" w:cs="Arial"/>
        </w:rPr>
        <w:t xml:space="preserve">a </w:t>
      </w:r>
      <w:r w:rsidRPr="002478DF">
        <w:rPr>
          <w:rFonts w:ascii="Arial" w:hAnsi="Arial" w:cs="Arial"/>
        </w:rPr>
        <w:t>relationship with the financiers. Debt/equity covenant violation has great cos</w:t>
      </w:r>
      <w:r>
        <w:rPr>
          <w:rFonts w:ascii="Arial" w:hAnsi="Arial" w:cs="Arial"/>
        </w:rPr>
        <w:t xml:space="preserve">ts </w:t>
      </w:r>
      <w:r w:rsidRPr="002478DF">
        <w:rPr>
          <w:rFonts w:ascii="Arial" w:hAnsi="Arial" w:cs="Arial"/>
        </w:rPr>
        <w:t>and relationship implicatio</w:t>
      </w:r>
      <w:r>
        <w:rPr>
          <w:rFonts w:ascii="Arial" w:hAnsi="Arial" w:cs="Arial"/>
        </w:rPr>
        <w:t>ns</w:t>
      </w:r>
      <w:r w:rsidRPr="002478DF">
        <w:rPr>
          <w:rFonts w:ascii="Arial" w:hAnsi="Arial" w:cs="Arial"/>
        </w:rPr>
        <w:t xml:space="preserve"> for the real estate </w:t>
      </w:r>
      <w:r w:rsidR="00722D0F" w:rsidRPr="002478DF">
        <w:rPr>
          <w:rFonts w:ascii="Arial" w:hAnsi="Arial" w:cs="Arial"/>
        </w:rPr>
        <w:t>manager;</w:t>
      </w:r>
      <w:r w:rsidRPr="002478DF">
        <w:rPr>
          <w:rFonts w:ascii="Arial" w:hAnsi="Arial" w:cs="Arial"/>
        </w:rPr>
        <w:t xml:space="preserve"> hence they are e</w:t>
      </w:r>
      <w:r>
        <w:rPr>
          <w:rFonts w:ascii="Arial" w:hAnsi="Arial" w:cs="Arial"/>
        </w:rPr>
        <w:t>x</w:t>
      </w:r>
      <w:r w:rsidRPr="002478DF">
        <w:rPr>
          <w:rFonts w:ascii="Arial" w:hAnsi="Arial" w:cs="Arial"/>
        </w:rPr>
        <w:t xml:space="preserve">pected to </w:t>
      </w:r>
      <w:r w:rsidR="00250A99">
        <w:rPr>
          <w:rFonts w:ascii="Arial" w:hAnsi="Arial" w:cs="Arial"/>
        </w:rPr>
        <w:t>mak</w:t>
      </w:r>
      <w:r w:rsidRPr="002478DF">
        <w:rPr>
          <w:rFonts w:ascii="Arial" w:hAnsi="Arial" w:cs="Arial"/>
        </w:rPr>
        <w:t>e decisions to mitigate against</w:t>
      </w:r>
      <w:r>
        <w:rPr>
          <w:rFonts w:ascii="Arial" w:hAnsi="Arial" w:cs="Arial"/>
        </w:rPr>
        <w:t xml:space="preserve"> the</w:t>
      </w:r>
      <w:r w:rsidRPr="002478DF">
        <w:rPr>
          <w:rFonts w:ascii="Arial" w:hAnsi="Arial" w:cs="Arial"/>
        </w:rPr>
        <w:t xml:space="preserve"> </w:t>
      </w:r>
      <w:r w:rsidR="00250A99">
        <w:rPr>
          <w:rFonts w:ascii="Arial" w:hAnsi="Arial" w:cs="Arial"/>
        </w:rPr>
        <w:t>breach</w:t>
      </w:r>
      <w:r w:rsidRPr="002478DF">
        <w:rPr>
          <w:rFonts w:ascii="Arial" w:hAnsi="Arial" w:cs="Arial"/>
        </w:rPr>
        <w:t xml:space="preserve"> of covenants (Dyreng, 2009).</w:t>
      </w:r>
    </w:p>
    <w:p w14:paraId="75D09555" w14:textId="77777777" w:rsidR="00CD6352" w:rsidRDefault="00CD6352" w:rsidP="00CD6352">
      <w:pPr>
        <w:spacing w:line="360" w:lineRule="auto"/>
        <w:rPr>
          <w:rFonts w:ascii="Arial" w:hAnsi="Arial" w:cs="Arial"/>
        </w:rPr>
      </w:pPr>
    </w:p>
    <w:p w14:paraId="55452EED" w14:textId="2771AAD4" w:rsidR="00324B0D" w:rsidRPr="000A4261" w:rsidRDefault="00324B0D" w:rsidP="00324B0D">
      <w:pPr>
        <w:pStyle w:val="Caption"/>
        <w:keepNext/>
        <w:rPr>
          <w:rFonts w:ascii="Arial" w:hAnsi="Arial" w:cs="Arial"/>
          <w:sz w:val="16"/>
          <w:szCs w:val="16"/>
        </w:rPr>
      </w:pPr>
      <w:bookmarkStart w:id="1467" w:name="_Toc78984045"/>
      <w:r w:rsidRPr="000A4261">
        <w:rPr>
          <w:rFonts w:ascii="Arial" w:hAnsi="Arial" w:cs="Arial"/>
          <w:sz w:val="16"/>
          <w:szCs w:val="16"/>
        </w:rPr>
        <w:t xml:space="preserve">Table </w:t>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STYLEREF 2 \s </w:instrText>
      </w:r>
      <w:r w:rsidR="00591802" w:rsidRPr="000A4261">
        <w:rPr>
          <w:rFonts w:ascii="Arial" w:hAnsi="Arial" w:cs="Arial"/>
          <w:sz w:val="16"/>
          <w:szCs w:val="16"/>
        </w:rPr>
        <w:fldChar w:fldCharType="separate"/>
      </w:r>
      <w:r w:rsidR="008F25B1" w:rsidRPr="000A4261">
        <w:rPr>
          <w:rFonts w:ascii="Arial" w:hAnsi="Arial" w:cs="Arial"/>
          <w:noProof/>
          <w:sz w:val="16"/>
          <w:szCs w:val="16"/>
        </w:rPr>
        <w:t>10.2</w:t>
      </w:r>
      <w:r w:rsidR="00591802" w:rsidRPr="000A4261">
        <w:rPr>
          <w:rFonts w:ascii="Arial" w:hAnsi="Arial" w:cs="Arial"/>
          <w:noProof/>
          <w:sz w:val="16"/>
          <w:szCs w:val="16"/>
        </w:rPr>
        <w:fldChar w:fldCharType="end"/>
      </w:r>
      <w:r w:rsidR="008F25B1" w:rsidRPr="000A4261">
        <w:rPr>
          <w:rFonts w:ascii="Arial" w:hAnsi="Arial" w:cs="Arial"/>
          <w:sz w:val="16"/>
          <w:szCs w:val="16"/>
        </w:rPr>
        <w:noBreakHyphen/>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SEQ Table \* ARABIC \s 2 </w:instrText>
      </w:r>
      <w:r w:rsidR="00591802" w:rsidRPr="000A4261">
        <w:rPr>
          <w:rFonts w:ascii="Arial" w:hAnsi="Arial" w:cs="Arial"/>
          <w:sz w:val="16"/>
          <w:szCs w:val="16"/>
        </w:rPr>
        <w:fldChar w:fldCharType="separate"/>
      </w:r>
      <w:r w:rsidR="008F25B1" w:rsidRPr="000A4261">
        <w:rPr>
          <w:rFonts w:ascii="Arial" w:hAnsi="Arial" w:cs="Arial"/>
          <w:noProof/>
          <w:sz w:val="16"/>
          <w:szCs w:val="16"/>
        </w:rPr>
        <w:t>4</w:t>
      </w:r>
      <w:r w:rsidR="00591802" w:rsidRPr="000A4261">
        <w:rPr>
          <w:rFonts w:ascii="Arial" w:hAnsi="Arial" w:cs="Arial"/>
          <w:noProof/>
          <w:sz w:val="16"/>
          <w:szCs w:val="16"/>
        </w:rPr>
        <w:fldChar w:fldCharType="end"/>
      </w:r>
      <w:r w:rsidRPr="000A4261">
        <w:rPr>
          <w:rFonts w:ascii="Arial" w:hAnsi="Arial" w:cs="Arial"/>
          <w:sz w:val="16"/>
          <w:szCs w:val="16"/>
        </w:rPr>
        <w:t xml:space="preserve">: </w:t>
      </w:r>
      <w:r w:rsidRPr="000A4261">
        <w:rPr>
          <w:rFonts w:ascii="Arial" w:eastAsia="Calibri" w:hAnsi="Arial" w:cs="Arial"/>
          <w:i w:val="0"/>
          <w:iCs w:val="0"/>
          <w:color w:val="44546A"/>
          <w:sz w:val="16"/>
          <w:szCs w:val="16"/>
        </w:rPr>
        <w:t>Process map for securing finance for real estate project development</w:t>
      </w:r>
      <w:bookmarkEnd w:id="1467"/>
    </w:p>
    <w:tbl>
      <w:tblPr>
        <w:tblStyle w:val="TableGrid"/>
        <w:tblW w:w="0" w:type="auto"/>
        <w:tblLook w:val="04A0" w:firstRow="1" w:lastRow="0" w:firstColumn="1" w:lastColumn="0" w:noHBand="0" w:noVBand="1"/>
      </w:tblPr>
      <w:tblGrid>
        <w:gridCol w:w="1385"/>
        <w:gridCol w:w="595"/>
        <w:gridCol w:w="7036"/>
      </w:tblGrid>
      <w:tr w:rsidR="00CD6352" w:rsidRPr="002510FA" w14:paraId="5E6CC36B" w14:textId="77777777" w:rsidTr="00CD6352">
        <w:trPr>
          <w:cantSplit/>
          <w:trHeight w:val="294"/>
        </w:trPr>
        <w:tc>
          <w:tcPr>
            <w:tcW w:w="1980" w:type="dxa"/>
            <w:gridSpan w:val="2"/>
          </w:tcPr>
          <w:p w14:paraId="6BAB8680" w14:textId="77777777" w:rsidR="00CD6352" w:rsidRPr="002510FA" w:rsidRDefault="00CD6352" w:rsidP="00CD6352">
            <w:pPr>
              <w:ind w:left="113" w:right="113"/>
              <w:rPr>
                <w:rFonts w:ascii="Arial" w:eastAsia="Calibri" w:hAnsi="Arial" w:cs="Arial"/>
                <w:sz w:val="16"/>
                <w:szCs w:val="16"/>
              </w:rPr>
            </w:pPr>
            <w:r w:rsidRPr="002510FA">
              <w:rPr>
                <w:rFonts w:ascii="Arial" w:eastAsia="Calibri" w:hAnsi="Arial" w:cs="Arial"/>
                <w:sz w:val="16"/>
                <w:szCs w:val="16"/>
              </w:rPr>
              <w:t>Stages</w:t>
            </w:r>
          </w:p>
        </w:tc>
        <w:tc>
          <w:tcPr>
            <w:tcW w:w="7036" w:type="dxa"/>
          </w:tcPr>
          <w:p w14:paraId="2E53C301" w14:textId="5746A8D3" w:rsidR="00CD6352" w:rsidRPr="002510FA" w:rsidRDefault="00CD6352" w:rsidP="00CD6352">
            <w:pPr>
              <w:rPr>
                <w:rFonts w:ascii="Arial" w:eastAsia="Calibri" w:hAnsi="Arial" w:cs="Arial"/>
                <w:noProof/>
                <w:sz w:val="16"/>
                <w:szCs w:val="16"/>
              </w:rPr>
            </w:pPr>
            <w:r w:rsidRPr="002510FA">
              <w:rPr>
                <w:rFonts w:ascii="Arial" w:eastAsia="Calibri" w:hAnsi="Arial" w:cs="Arial"/>
                <w:noProof/>
                <w:sz w:val="16"/>
                <w:szCs w:val="16"/>
              </w:rPr>
              <w:t>Routines / Key dec</w:t>
            </w:r>
            <w:r w:rsidR="006D4931">
              <w:rPr>
                <w:rFonts w:ascii="Arial" w:eastAsia="Calibri" w:hAnsi="Arial" w:cs="Arial"/>
                <w:noProof/>
                <w:sz w:val="16"/>
                <w:szCs w:val="16"/>
              </w:rPr>
              <w:t>i</w:t>
            </w:r>
            <w:r w:rsidRPr="002510FA">
              <w:rPr>
                <w:rFonts w:ascii="Arial" w:eastAsia="Calibri" w:hAnsi="Arial" w:cs="Arial"/>
                <w:noProof/>
                <w:sz w:val="16"/>
                <w:szCs w:val="16"/>
              </w:rPr>
              <w:t>sions and processes</w:t>
            </w:r>
          </w:p>
        </w:tc>
      </w:tr>
      <w:tr w:rsidR="00CD6352" w:rsidRPr="002510FA" w14:paraId="34D52F21" w14:textId="77777777" w:rsidTr="00CD6352">
        <w:trPr>
          <w:cantSplit/>
          <w:trHeight w:val="1134"/>
        </w:trPr>
        <w:tc>
          <w:tcPr>
            <w:tcW w:w="1385" w:type="dxa"/>
          </w:tcPr>
          <w:p w14:paraId="0D91D9B5" w14:textId="77777777" w:rsidR="00CD6352" w:rsidRPr="002510FA" w:rsidRDefault="00CD6352" w:rsidP="00CD6352">
            <w:pPr>
              <w:rPr>
                <w:rFonts w:ascii="Arial" w:eastAsia="Calibri" w:hAnsi="Arial" w:cs="Arial"/>
              </w:rPr>
            </w:pPr>
            <w:r w:rsidRPr="002510FA">
              <w:rPr>
                <w:rFonts w:ascii="Arial" w:eastAsia="Calibri" w:hAnsi="Arial" w:cs="Arial"/>
              </w:rPr>
              <w:t>Stage 0</w:t>
            </w:r>
          </w:p>
          <w:p w14:paraId="2F59B591" w14:textId="77777777" w:rsidR="00CD6352" w:rsidRPr="002510FA" w:rsidRDefault="00CD6352" w:rsidP="00CD6352">
            <w:pPr>
              <w:rPr>
                <w:rFonts w:ascii="Arial" w:eastAsia="Calibri" w:hAnsi="Arial" w:cs="Arial"/>
              </w:rPr>
            </w:pPr>
          </w:p>
          <w:p w14:paraId="1F975A16" w14:textId="77777777" w:rsidR="00CD6352" w:rsidRPr="002510FA" w:rsidRDefault="00CD6352" w:rsidP="00CD6352">
            <w:pPr>
              <w:rPr>
                <w:rFonts w:ascii="Arial" w:eastAsia="Calibri" w:hAnsi="Arial" w:cs="Arial"/>
              </w:rPr>
            </w:pPr>
          </w:p>
          <w:p w14:paraId="0C67D2BD" w14:textId="77777777" w:rsidR="00CD6352" w:rsidRPr="002510FA" w:rsidRDefault="00CD6352" w:rsidP="00CD6352">
            <w:pPr>
              <w:rPr>
                <w:rFonts w:ascii="Arial" w:eastAsia="Calibri" w:hAnsi="Arial" w:cs="Arial"/>
              </w:rPr>
            </w:pPr>
          </w:p>
          <w:p w14:paraId="060C60D9" w14:textId="77777777" w:rsidR="00CD6352" w:rsidRPr="002510FA" w:rsidRDefault="00CD6352" w:rsidP="00CD6352">
            <w:pPr>
              <w:rPr>
                <w:rFonts w:ascii="Arial" w:eastAsia="Calibri" w:hAnsi="Arial" w:cs="Arial"/>
              </w:rPr>
            </w:pPr>
          </w:p>
          <w:p w14:paraId="23EC238D" w14:textId="77777777" w:rsidR="00CD6352" w:rsidRPr="002510FA" w:rsidRDefault="00CD6352" w:rsidP="00CD6352">
            <w:pPr>
              <w:rPr>
                <w:rFonts w:ascii="Arial" w:eastAsia="Calibri" w:hAnsi="Arial" w:cs="Arial"/>
              </w:rPr>
            </w:pPr>
          </w:p>
          <w:p w14:paraId="351C8CF9" w14:textId="77777777" w:rsidR="00CD6352" w:rsidRPr="002510FA" w:rsidRDefault="00CD6352" w:rsidP="00CD6352">
            <w:pPr>
              <w:rPr>
                <w:rFonts w:ascii="Arial" w:eastAsia="Calibri" w:hAnsi="Arial" w:cs="Arial"/>
              </w:rPr>
            </w:pPr>
          </w:p>
          <w:p w14:paraId="23590181" w14:textId="77777777" w:rsidR="00CD6352" w:rsidRPr="002510FA" w:rsidRDefault="00CD6352" w:rsidP="00CD6352">
            <w:pPr>
              <w:rPr>
                <w:rFonts w:ascii="Arial" w:eastAsia="Calibri" w:hAnsi="Arial" w:cs="Arial"/>
              </w:rPr>
            </w:pPr>
          </w:p>
          <w:p w14:paraId="289B6B8F" w14:textId="77777777" w:rsidR="00CD6352" w:rsidRPr="002510FA" w:rsidRDefault="00CD6352" w:rsidP="00CD6352">
            <w:pPr>
              <w:rPr>
                <w:rFonts w:ascii="Arial" w:eastAsia="Calibri" w:hAnsi="Arial" w:cs="Arial"/>
              </w:rPr>
            </w:pPr>
          </w:p>
        </w:tc>
        <w:tc>
          <w:tcPr>
            <w:tcW w:w="595" w:type="dxa"/>
            <w:textDirection w:val="btLr"/>
          </w:tcPr>
          <w:p w14:paraId="6D7A218A" w14:textId="77777777" w:rsidR="00CD6352" w:rsidRPr="002510FA" w:rsidRDefault="00CD6352" w:rsidP="00CD6352">
            <w:pPr>
              <w:ind w:left="113" w:right="113"/>
              <w:rPr>
                <w:rFonts w:ascii="Arial" w:eastAsia="Calibri" w:hAnsi="Arial" w:cs="Arial"/>
                <w:sz w:val="16"/>
                <w:szCs w:val="16"/>
              </w:rPr>
            </w:pPr>
            <w:r w:rsidRPr="002510FA">
              <w:rPr>
                <w:rFonts w:ascii="Arial" w:eastAsia="Calibri" w:hAnsi="Arial" w:cs="Arial"/>
                <w:sz w:val="16"/>
                <w:szCs w:val="16"/>
              </w:rPr>
              <w:t>Identification 1</w:t>
            </w:r>
          </w:p>
        </w:tc>
        <w:tc>
          <w:tcPr>
            <w:tcW w:w="7036" w:type="dxa"/>
          </w:tcPr>
          <w:p w14:paraId="0165AE1D"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06720" behindDoc="0" locked="0" layoutInCell="1" allowOverlap="1" wp14:anchorId="5E93EB80" wp14:editId="6BBE7ECB">
                      <wp:simplePos x="0" y="0"/>
                      <wp:positionH relativeFrom="column">
                        <wp:posOffset>2285365</wp:posOffset>
                      </wp:positionH>
                      <wp:positionV relativeFrom="paragraph">
                        <wp:posOffset>663640</wp:posOffset>
                      </wp:positionV>
                      <wp:extent cx="93966" cy="122505"/>
                      <wp:effectExtent l="19050" t="0" r="40005" b="30480"/>
                      <wp:wrapNone/>
                      <wp:docPr id="71" name="Arrow: Down 71"/>
                      <wp:cNvGraphicFramePr/>
                      <a:graphic xmlns:a="http://schemas.openxmlformats.org/drawingml/2006/main">
                        <a:graphicData uri="http://schemas.microsoft.com/office/word/2010/wordprocessingShape">
                          <wps:wsp>
                            <wps:cNvSpPr/>
                            <wps:spPr>
                              <a:xfrm>
                                <a:off x="0" y="0"/>
                                <a:ext cx="93966" cy="12250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EC39" id="Arrow: Down 71" o:spid="_x0000_s1026" type="#_x0000_t67" style="position:absolute;margin-left:179.95pt;margin-top:52.25pt;width:7.4pt;height: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" adj="13316"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05696" behindDoc="0" locked="0" layoutInCell="1" allowOverlap="1" wp14:anchorId="061314CE" wp14:editId="2511DB69">
                      <wp:simplePos x="0" y="0"/>
                      <wp:positionH relativeFrom="column">
                        <wp:posOffset>1034001</wp:posOffset>
                      </wp:positionH>
                      <wp:positionV relativeFrom="paragraph">
                        <wp:posOffset>282426</wp:posOffset>
                      </wp:positionV>
                      <wp:extent cx="852755" cy="114514"/>
                      <wp:effectExtent l="0" t="19050" r="43180" b="38100"/>
                      <wp:wrapNone/>
                      <wp:docPr id="93" name="Arrow: Right 93"/>
                      <wp:cNvGraphicFramePr/>
                      <a:graphic xmlns:a="http://schemas.openxmlformats.org/drawingml/2006/main">
                        <a:graphicData uri="http://schemas.microsoft.com/office/word/2010/wordprocessingShape">
                          <wps:wsp>
                            <wps:cNvSpPr/>
                            <wps:spPr>
                              <a:xfrm>
                                <a:off x="0" y="0"/>
                                <a:ext cx="852755" cy="114514"/>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801A" id="Arrow: Right 93" o:spid="_x0000_s1026" type="#_x0000_t13" style="position:absolute;margin-left:81.4pt;margin-top:22.25pt;width:67.15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" adj="2015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03648" behindDoc="0" locked="0" layoutInCell="1" allowOverlap="1" wp14:anchorId="391B03F1" wp14:editId="5C730240">
                      <wp:simplePos x="0" y="0"/>
                      <wp:positionH relativeFrom="column">
                        <wp:posOffset>1899024</wp:posOffset>
                      </wp:positionH>
                      <wp:positionV relativeFrom="paragraph">
                        <wp:posOffset>795468</wp:posOffset>
                      </wp:positionV>
                      <wp:extent cx="914400" cy="523912"/>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914400" cy="523912"/>
                              </a:xfrm>
                              <a:prstGeom prst="rect">
                                <a:avLst/>
                              </a:prstGeom>
                              <a:solidFill>
                                <a:sysClr val="window" lastClr="FFFFFF"/>
                              </a:solidFill>
                              <a:ln w="12700" cap="flat" cmpd="sng" algn="ctr">
                                <a:solidFill>
                                  <a:srgbClr val="70AD47"/>
                                </a:solidFill>
                                <a:prstDash val="solid"/>
                                <a:miter lim="800000"/>
                              </a:ln>
                              <a:effectLst/>
                            </wps:spPr>
                            <wps:txbx>
                              <w:txbxContent>
                                <w:p w14:paraId="5DCF4AE6" w14:textId="77777777" w:rsidR="004F5D57" w:rsidRPr="00CC7261" w:rsidRDefault="004F5D57" w:rsidP="00CD6352">
                                  <w:pPr>
                                    <w:jc w:val="center"/>
                                    <w:rPr>
                                      <w:rFonts w:ascii="Arial" w:hAnsi="Arial" w:cs="Arial"/>
                                      <w:sz w:val="16"/>
                                      <w:szCs w:val="16"/>
                                    </w:rPr>
                                  </w:pPr>
                                  <w:permStart w:id="469436930" w:edGrp="everyone"/>
                                  <w:r>
                                    <w:rPr>
                                      <w:rFonts w:ascii="Arial" w:hAnsi="Arial" w:cs="Arial"/>
                                      <w:sz w:val="16"/>
                                      <w:szCs w:val="16"/>
                                    </w:rPr>
                                    <w:t>Identify usage or rental market</w:t>
                                  </w:r>
                                  <w:permEnd w:id="4694369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B03F1" id="Rectangle 112" o:spid="_x0000_s1080" style="position:absolute;margin-left:149.55pt;margin-top:62.65pt;width:1in;height:41.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" fillcolor="window" strokecolor="#70ad47" strokeweight="1pt">
                      <v:textbox>
                        <w:txbxContent>
                          <w:p w14:paraId="5DCF4AE6" w14:textId="77777777" w:rsidR="004F5D57" w:rsidRPr="00CC7261" w:rsidRDefault="004F5D57" w:rsidP="00CD6352">
                            <w:pPr>
                              <w:jc w:val="center"/>
                              <w:rPr>
                                <w:rFonts w:ascii="Arial" w:hAnsi="Arial" w:cs="Arial"/>
                                <w:sz w:val="16"/>
                                <w:szCs w:val="16"/>
                              </w:rPr>
                            </w:pPr>
                            <w:permStart w:id="469436930" w:edGrp="everyone"/>
                            <w:r>
                              <w:rPr>
                                <w:rFonts w:ascii="Arial" w:hAnsi="Arial" w:cs="Arial"/>
                                <w:sz w:val="16"/>
                                <w:szCs w:val="16"/>
                              </w:rPr>
                              <w:t>Identify usage or rental market</w:t>
                            </w:r>
                            <w:permEnd w:id="46943693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70880" behindDoc="0" locked="0" layoutInCell="1" allowOverlap="1" wp14:anchorId="432A38F3" wp14:editId="45D7AB1A">
                      <wp:simplePos x="0" y="0"/>
                      <wp:positionH relativeFrom="column">
                        <wp:posOffset>1931371</wp:posOffset>
                      </wp:positionH>
                      <wp:positionV relativeFrom="paragraph">
                        <wp:posOffset>129652</wp:posOffset>
                      </wp:positionV>
                      <wp:extent cx="914400" cy="523912"/>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914400" cy="523912"/>
                              </a:xfrm>
                              <a:prstGeom prst="rect">
                                <a:avLst/>
                              </a:prstGeom>
                              <a:solidFill>
                                <a:sysClr val="window" lastClr="FFFFFF"/>
                              </a:solidFill>
                              <a:ln w="12700" cap="flat" cmpd="sng" algn="ctr">
                                <a:solidFill>
                                  <a:srgbClr val="70AD47"/>
                                </a:solidFill>
                                <a:prstDash val="solid"/>
                                <a:miter lim="800000"/>
                              </a:ln>
                              <a:effectLst/>
                            </wps:spPr>
                            <wps:txbx>
                              <w:txbxContent>
                                <w:p w14:paraId="6CDD0B83" w14:textId="77777777" w:rsidR="004F5D57" w:rsidRPr="00CC7261" w:rsidRDefault="004F5D57" w:rsidP="00CD6352">
                                  <w:pPr>
                                    <w:jc w:val="center"/>
                                    <w:rPr>
                                      <w:rFonts w:ascii="Arial" w:hAnsi="Arial" w:cs="Arial"/>
                                      <w:sz w:val="16"/>
                                      <w:szCs w:val="16"/>
                                    </w:rPr>
                                  </w:pPr>
                                  <w:permStart w:id="1589842770" w:edGrp="everyone"/>
                                  <w:r w:rsidRPr="00CC7261">
                                    <w:rPr>
                                      <w:rFonts w:ascii="Arial" w:hAnsi="Arial" w:cs="Arial"/>
                                      <w:sz w:val="16"/>
                                      <w:szCs w:val="16"/>
                                    </w:rPr>
                                    <w:t>Identify demand/need for real estates</w:t>
                                  </w:r>
                                  <w:permEnd w:id="15898427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A38F3" id="Rectangle 113" o:spid="_x0000_s1081" style="position:absolute;margin-left:152.1pt;margin-top:10.2pt;width:1in;height:41.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" fillcolor="window" strokecolor="#70ad47" strokeweight="1pt">
                      <v:textbox>
                        <w:txbxContent>
                          <w:p w14:paraId="6CDD0B83" w14:textId="77777777" w:rsidR="004F5D57" w:rsidRPr="00CC7261" w:rsidRDefault="004F5D57" w:rsidP="00CD6352">
                            <w:pPr>
                              <w:jc w:val="center"/>
                              <w:rPr>
                                <w:rFonts w:ascii="Arial" w:hAnsi="Arial" w:cs="Arial"/>
                                <w:sz w:val="16"/>
                                <w:szCs w:val="16"/>
                              </w:rPr>
                            </w:pPr>
                            <w:permStart w:id="1589842770" w:edGrp="everyone"/>
                            <w:r w:rsidRPr="00CC7261">
                              <w:rPr>
                                <w:rFonts w:ascii="Arial" w:hAnsi="Arial" w:cs="Arial"/>
                                <w:sz w:val="16"/>
                                <w:szCs w:val="16"/>
                              </w:rPr>
                              <w:t>Identify demand/need for real estates</w:t>
                            </w:r>
                            <w:permEnd w:id="158984277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71904" behindDoc="0" locked="0" layoutInCell="1" allowOverlap="1" wp14:anchorId="7DCBE2B4" wp14:editId="11C50090">
                      <wp:simplePos x="0" y="0"/>
                      <wp:positionH relativeFrom="column">
                        <wp:posOffset>128009</wp:posOffset>
                      </wp:positionH>
                      <wp:positionV relativeFrom="paragraph">
                        <wp:posOffset>119380</wp:posOffset>
                      </wp:positionV>
                      <wp:extent cx="914400" cy="470087"/>
                      <wp:effectExtent l="0" t="0" r="19050" b="25400"/>
                      <wp:wrapNone/>
                      <wp:docPr id="136" name="Rectangle 136"/>
                      <wp:cNvGraphicFramePr/>
                      <a:graphic xmlns:a="http://schemas.openxmlformats.org/drawingml/2006/main">
                        <a:graphicData uri="http://schemas.microsoft.com/office/word/2010/wordprocessingShape">
                          <wps:wsp>
                            <wps:cNvSpPr/>
                            <wps:spPr>
                              <a:xfrm>
                                <a:off x="0" y="0"/>
                                <a:ext cx="914400" cy="470087"/>
                              </a:xfrm>
                              <a:prstGeom prst="rect">
                                <a:avLst/>
                              </a:prstGeom>
                              <a:solidFill>
                                <a:sysClr val="window" lastClr="FFFFFF"/>
                              </a:solidFill>
                              <a:ln w="12700" cap="flat" cmpd="sng" algn="ctr">
                                <a:solidFill>
                                  <a:srgbClr val="70AD47"/>
                                </a:solidFill>
                                <a:prstDash val="solid"/>
                                <a:miter lim="800000"/>
                              </a:ln>
                              <a:effectLst/>
                            </wps:spPr>
                            <wps:txbx>
                              <w:txbxContent>
                                <w:p w14:paraId="293D0FAC" w14:textId="77777777" w:rsidR="004F5D57" w:rsidRPr="000A259E" w:rsidRDefault="004F5D57" w:rsidP="00CD6352">
                                  <w:pPr>
                                    <w:jc w:val="center"/>
                                    <w:rPr>
                                      <w:rFonts w:ascii="Arial" w:hAnsi="Arial" w:cs="Arial"/>
                                      <w:sz w:val="16"/>
                                      <w:szCs w:val="16"/>
                                    </w:rPr>
                                  </w:pPr>
                                  <w:permStart w:id="796471873" w:edGrp="everyone"/>
                                  <w:r>
                                    <w:rPr>
                                      <w:rFonts w:ascii="Arial" w:hAnsi="Arial" w:cs="Arial"/>
                                      <w:sz w:val="16"/>
                                      <w:szCs w:val="16"/>
                                    </w:rPr>
                                    <w:t>Make decisions on location</w:t>
                                  </w:r>
                                  <w:permEnd w:id="7964718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BE2B4" id="Rectangle 136" o:spid="_x0000_s1082" style="position:absolute;margin-left:10.1pt;margin-top:9.4pt;width:1in;height:37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" fillcolor="window" strokecolor="#70ad47" strokeweight="1pt">
                      <v:textbox>
                        <w:txbxContent>
                          <w:p w14:paraId="293D0FAC" w14:textId="77777777" w:rsidR="004F5D57" w:rsidRPr="000A259E" w:rsidRDefault="004F5D57" w:rsidP="00CD6352">
                            <w:pPr>
                              <w:jc w:val="center"/>
                              <w:rPr>
                                <w:rFonts w:ascii="Arial" w:hAnsi="Arial" w:cs="Arial"/>
                                <w:sz w:val="16"/>
                                <w:szCs w:val="16"/>
                              </w:rPr>
                            </w:pPr>
                            <w:permStart w:id="796471873" w:edGrp="everyone"/>
                            <w:r>
                              <w:rPr>
                                <w:rFonts w:ascii="Arial" w:hAnsi="Arial" w:cs="Arial"/>
                                <w:sz w:val="16"/>
                                <w:szCs w:val="16"/>
                              </w:rPr>
                              <w:t>Make decisions on location</w:t>
                            </w:r>
                            <w:permEnd w:id="796471873"/>
                          </w:p>
                        </w:txbxContent>
                      </v:textbox>
                    </v:rect>
                  </w:pict>
                </mc:Fallback>
              </mc:AlternateContent>
            </w:r>
          </w:p>
        </w:tc>
      </w:tr>
      <w:tr w:rsidR="00CD6352" w:rsidRPr="002510FA" w14:paraId="6EA551F4" w14:textId="77777777" w:rsidTr="00CD6352">
        <w:trPr>
          <w:cantSplit/>
          <w:trHeight w:val="6623"/>
        </w:trPr>
        <w:tc>
          <w:tcPr>
            <w:tcW w:w="1385" w:type="dxa"/>
          </w:tcPr>
          <w:p w14:paraId="717DDF5A" w14:textId="77777777" w:rsidR="00CD6352" w:rsidRPr="002510FA" w:rsidRDefault="00CD6352" w:rsidP="00CD6352">
            <w:pPr>
              <w:rPr>
                <w:rFonts w:ascii="Arial" w:eastAsia="Calibri" w:hAnsi="Arial" w:cs="Arial"/>
              </w:rPr>
            </w:pPr>
            <w:r w:rsidRPr="002510FA">
              <w:rPr>
                <w:rFonts w:ascii="Arial" w:eastAsia="Calibri" w:hAnsi="Arial" w:cs="Arial"/>
              </w:rPr>
              <w:lastRenderedPageBreak/>
              <w:t>Stage 1</w:t>
            </w:r>
          </w:p>
        </w:tc>
        <w:tc>
          <w:tcPr>
            <w:tcW w:w="595" w:type="dxa"/>
            <w:textDirection w:val="btLr"/>
          </w:tcPr>
          <w:p w14:paraId="04EE674A" w14:textId="77777777" w:rsidR="00CD6352" w:rsidRPr="002510FA" w:rsidRDefault="00CD6352" w:rsidP="00CD6352">
            <w:pPr>
              <w:ind w:left="113" w:right="113"/>
              <w:rPr>
                <w:rFonts w:ascii="Arial" w:eastAsia="Calibri" w:hAnsi="Arial" w:cs="Arial"/>
                <w:sz w:val="16"/>
                <w:szCs w:val="16"/>
              </w:rPr>
            </w:pPr>
            <w:r w:rsidRPr="002510FA">
              <w:rPr>
                <w:rFonts w:ascii="Arial" w:eastAsia="Calibri" w:hAnsi="Arial" w:cs="Arial"/>
                <w:sz w:val="16"/>
                <w:szCs w:val="16"/>
              </w:rPr>
              <w:t>Identification phase 2</w:t>
            </w:r>
          </w:p>
        </w:tc>
        <w:tc>
          <w:tcPr>
            <w:tcW w:w="7036" w:type="dxa"/>
          </w:tcPr>
          <w:p w14:paraId="48FD26D2" w14:textId="77777777" w:rsidR="00CD6352" w:rsidRPr="002510FA" w:rsidRDefault="00CD6352" w:rsidP="00CD6352">
            <w:pPr>
              <w:rPr>
                <w:rFonts w:ascii="Arial" w:eastAsia="Calibri" w:hAnsi="Arial" w:cs="Arial"/>
              </w:rPr>
            </w:pPr>
          </w:p>
          <w:p w14:paraId="32C7352F"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60640" behindDoc="0" locked="0" layoutInCell="1" allowOverlap="1" wp14:anchorId="4DB360D0" wp14:editId="7595F6DB">
                      <wp:simplePos x="0" y="0"/>
                      <wp:positionH relativeFrom="column">
                        <wp:posOffset>252319</wp:posOffset>
                      </wp:positionH>
                      <wp:positionV relativeFrom="paragraph">
                        <wp:posOffset>23495</wp:posOffset>
                      </wp:positionV>
                      <wp:extent cx="1032734" cy="349623"/>
                      <wp:effectExtent l="0" t="0" r="15240" b="12700"/>
                      <wp:wrapNone/>
                      <wp:docPr id="137" name="Rectangle 137"/>
                      <wp:cNvGraphicFramePr/>
                      <a:graphic xmlns:a="http://schemas.openxmlformats.org/drawingml/2006/main">
                        <a:graphicData uri="http://schemas.microsoft.com/office/word/2010/wordprocessingShape">
                          <wps:wsp>
                            <wps:cNvSpPr/>
                            <wps:spPr>
                              <a:xfrm>
                                <a:off x="0" y="0"/>
                                <a:ext cx="1032734" cy="349623"/>
                              </a:xfrm>
                              <a:prstGeom prst="rect">
                                <a:avLst/>
                              </a:prstGeom>
                              <a:solidFill>
                                <a:sysClr val="window" lastClr="FFFFFF"/>
                              </a:solidFill>
                              <a:ln w="12700" cap="flat" cmpd="sng" algn="ctr">
                                <a:solidFill>
                                  <a:srgbClr val="70AD47"/>
                                </a:solidFill>
                                <a:prstDash val="solid"/>
                                <a:miter lim="800000"/>
                              </a:ln>
                              <a:effectLst/>
                            </wps:spPr>
                            <wps:txbx>
                              <w:txbxContent>
                                <w:p w14:paraId="590AB2A7" w14:textId="77777777" w:rsidR="004F5D57" w:rsidRPr="000169D2" w:rsidRDefault="004F5D57" w:rsidP="00CD6352">
                                  <w:pPr>
                                    <w:jc w:val="center"/>
                                    <w:rPr>
                                      <w:rFonts w:ascii="Arial" w:hAnsi="Arial" w:cs="Arial"/>
                                      <w:sz w:val="16"/>
                                      <w:szCs w:val="16"/>
                                    </w:rPr>
                                  </w:pPr>
                                  <w:permStart w:id="1745379139" w:edGrp="everyone"/>
                                  <w:r>
                                    <w:rPr>
                                      <w:rFonts w:ascii="Arial" w:hAnsi="Arial" w:cs="Arial"/>
                                      <w:sz w:val="16"/>
                                      <w:szCs w:val="16"/>
                                    </w:rPr>
                                    <w:t>Concept/</w:t>
                                  </w:r>
                                  <w:r w:rsidRPr="000169D2">
                                    <w:rPr>
                                      <w:rFonts w:ascii="Arial" w:hAnsi="Arial" w:cs="Arial"/>
                                      <w:sz w:val="16"/>
                                      <w:szCs w:val="16"/>
                                    </w:rPr>
                                    <w:t>Strategic definition</w:t>
                                  </w:r>
                                  <w:permEnd w:id="1745379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60D0" id="Rectangle 137" o:spid="_x0000_s1083" style="position:absolute;margin-left:19.85pt;margin-top:1.85pt;width:81.3pt;height:27.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" fillcolor="window" strokecolor="#70ad47" strokeweight="1pt">
                      <v:textbox>
                        <w:txbxContent>
                          <w:p w14:paraId="590AB2A7" w14:textId="77777777" w:rsidR="004F5D57" w:rsidRPr="000169D2" w:rsidRDefault="004F5D57" w:rsidP="00CD6352">
                            <w:pPr>
                              <w:jc w:val="center"/>
                              <w:rPr>
                                <w:rFonts w:ascii="Arial" w:hAnsi="Arial" w:cs="Arial"/>
                                <w:sz w:val="16"/>
                                <w:szCs w:val="16"/>
                              </w:rPr>
                            </w:pPr>
                            <w:permStart w:id="1745379139" w:edGrp="everyone"/>
                            <w:r>
                              <w:rPr>
                                <w:rFonts w:ascii="Arial" w:hAnsi="Arial" w:cs="Arial"/>
                                <w:sz w:val="16"/>
                                <w:szCs w:val="16"/>
                              </w:rPr>
                              <w:t>Concept/</w:t>
                            </w:r>
                            <w:r w:rsidRPr="000169D2">
                              <w:rPr>
                                <w:rFonts w:ascii="Arial" w:hAnsi="Arial" w:cs="Arial"/>
                                <w:sz w:val="16"/>
                                <w:szCs w:val="16"/>
                              </w:rPr>
                              <w:t>Strategic definition</w:t>
                            </w:r>
                            <w:permEnd w:id="1745379139"/>
                          </w:p>
                        </w:txbxContent>
                      </v:textbox>
                    </v:rect>
                  </w:pict>
                </mc:Fallback>
              </mc:AlternateContent>
            </w:r>
          </w:p>
          <w:p w14:paraId="1F501F52" w14:textId="77777777" w:rsidR="00CD6352" w:rsidRPr="002510FA" w:rsidRDefault="00CD6352" w:rsidP="00CD6352">
            <w:pPr>
              <w:rPr>
                <w:rFonts w:ascii="Arial" w:eastAsia="Calibri" w:hAnsi="Arial" w:cs="Arial"/>
              </w:rPr>
            </w:pPr>
          </w:p>
          <w:p w14:paraId="5FCE5F0F"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07744" behindDoc="0" locked="0" layoutInCell="1" allowOverlap="1" wp14:anchorId="152C33F6" wp14:editId="5BD21658">
                      <wp:simplePos x="0" y="0"/>
                      <wp:positionH relativeFrom="column">
                        <wp:posOffset>600989</wp:posOffset>
                      </wp:positionH>
                      <wp:positionV relativeFrom="paragraph">
                        <wp:posOffset>75772</wp:posOffset>
                      </wp:positionV>
                      <wp:extent cx="73418" cy="133564"/>
                      <wp:effectExtent l="19050" t="0" r="41275" b="38100"/>
                      <wp:wrapNone/>
                      <wp:docPr id="138" name="Arrow: Down 138"/>
                      <wp:cNvGraphicFramePr/>
                      <a:graphic xmlns:a="http://schemas.openxmlformats.org/drawingml/2006/main">
                        <a:graphicData uri="http://schemas.microsoft.com/office/word/2010/wordprocessingShape">
                          <wps:wsp>
                            <wps:cNvSpPr/>
                            <wps:spPr>
                              <a:xfrm>
                                <a:off x="0" y="0"/>
                                <a:ext cx="73418" cy="133564"/>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C077" id="Arrow: Down 138" o:spid="_x0000_s1026" type="#_x0000_t67" style="position:absolute;margin-left:47.3pt;margin-top:5.95pt;width:5.8pt;height:1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" adj="15663" fillcolor="window" strokecolor="#70ad47" strokeweight="1pt"/>
                  </w:pict>
                </mc:Fallback>
              </mc:AlternateContent>
            </w:r>
          </w:p>
          <w:p w14:paraId="0B21AD3A"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61664" behindDoc="0" locked="0" layoutInCell="1" allowOverlap="1" wp14:anchorId="25B00DBB" wp14:editId="6E0B77A7">
                      <wp:simplePos x="0" y="0"/>
                      <wp:positionH relativeFrom="column">
                        <wp:posOffset>191356</wp:posOffset>
                      </wp:positionH>
                      <wp:positionV relativeFrom="paragraph">
                        <wp:posOffset>89778</wp:posOffset>
                      </wp:positionV>
                      <wp:extent cx="841425" cy="503433"/>
                      <wp:effectExtent l="0" t="0" r="15875" b="11430"/>
                      <wp:wrapNone/>
                      <wp:docPr id="139" name="Rectangle 139"/>
                      <wp:cNvGraphicFramePr/>
                      <a:graphic xmlns:a="http://schemas.openxmlformats.org/drawingml/2006/main">
                        <a:graphicData uri="http://schemas.microsoft.com/office/word/2010/wordprocessingShape">
                          <wps:wsp>
                            <wps:cNvSpPr/>
                            <wps:spPr>
                              <a:xfrm>
                                <a:off x="0" y="0"/>
                                <a:ext cx="841425" cy="503433"/>
                              </a:xfrm>
                              <a:prstGeom prst="rect">
                                <a:avLst/>
                              </a:prstGeom>
                              <a:solidFill>
                                <a:sysClr val="window" lastClr="FFFFFF"/>
                              </a:solidFill>
                              <a:ln w="12700" cap="flat" cmpd="sng" algn="ctr">
                                <a:solidFill>
                                  <a:srgbClr val="70AD47"/>
                                </a:solidFill>
                                <a:prstDash val="solid"/>
                                <a:miter lim="800000"/>
                              </a:ln>
                              <a:effectLst/>
                            </wps:spPr>
                            <wps:txbx>
                              <w:txbxContent>
                                <w:p w14:paraId="34D2A4D0" w14:textId="77777777" w:rsidR="004F5D57" w:rsidRPr="000C3B03" w:rsidRDefault="004F5D57" w:rsidP="00CD6352">
                                  <w:pPr>
                                    <w:spacing w:after="0" w:line="240" w:lineRule="auto"/>
                                    <w:jc w:val="center"/>
                                    <w:rPr>
                                      <w:rFonts w:ascii="Arial" w:hAnsi="Arial" w:cs="Arial"/>
                                      <w:sz w:val="16"/>
                                      <w:szCs w:val="16"/>
                                    </w:rPr>
                                  </w:pPr>
                                  <w:permStart w:id="1844530950" w:edGrp="everyone"/>
                                  <w:r w:rsidRPr="000C3B03">
                                    <w:rPr>
                                      <w:rFonts w:ascii="Arial" w:hAnsi="Arial" w:cs="Arial"/>
                                      <w:sz w:val="16"/>
                                      <w:szCs w:val="16"/>
                                    </w:rPr>
                                    <w:t>External environmental scan</w:t>
                                  </w:r>
                                  <w:permEnd w:id="18445309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00DBB" id="Rectangle 139" o:spid="_x0000_s1084" style="position:absolute;margin-left:15.05pt;margin-top:7.05pt;width:66.25pt;height:3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" fillcolor="window" strokecolor="#70ad47" strokeweight="1pt">
                      <v:textbox>
                        <w:txbxContent>
                          <w:p w14:paraId="34D2A4D0" w14:textId="77777777" w:rsidR="004F5D57" w:rsidRPr="000C3B03" w:rsidRDefault="004F5D57" w:rsidP="00CD6352">
                            <w:pPr>
                              <w:spacing w:after="0" w:line="240" w:lineRule="auto"/>
                              <w:jc w:val="center"/>
                              <w:rPr>
                                <w:rFonts w:ascii="Arial" w:hAnsi="Arial" w:cs="Arial"/>
                                <w:sz w:val="16"/>
                                <w:szCs w:val="16"/>
                              </w:rPr>
                            </w:pPr>
                            <w:permStart w:id="1844530950" w:edGrp="everyone"/>
                            <w:r w:rsidRPr="000C3B03">
                              <w:rPr>
                                <w:rFonts w:ascii="Arial" w:hAnsi="Arial" w:cs="Arial"/>
                                <w:sz w:val="16"/>
                                <w:szCs w:val="16"/>
                              </w:rPr>
                              <w:t>External environmental scan</w:t>
                            </w:r>
                            <w:permEnd w:id="184453095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64736" behindDoc="0" locked="0" layoutInCell="1" allowOverlap="1" wp14:anchorId="48FA2EC3" wp14:editId="40E0DAA9">
                      <wp:simplePos x="0" y="0"/>
                      <wp:positionH relativeFrom="column">
                        <wp:posOffset>3247016</wp:posOffset>
                      </wp:positionH>
                      <wp:positionV relativeFrom="paragraph">
                        <wp:posOffset>76574</wp:posOffset>
                      </wp:positionV>
                      <wp:extent cx="766483" cy="443454"/>
                      <wp:effectExtent l="0" t="0" r="14605" b="13970"/>
                      <wp:wrapNone/>
                      <wp:docPr id="140" name="Rectangle 140"/>
                      <wp:cNvGraphicFramePr/>
                      <a:graphic xmlns:a="http://schemas.openxmlformats.org/drawingml/2006/main">
                        <a:graphicData uri="http://schemas.microsoft.com/office/word/2010/wordprocessingShape">
                          <wps:wsp>
                            <wps:cNvSpPr/>
                            <wps:spPr>
                              <a:xfrm>
                                <a:off x="0" y="0"/>
                                <a:ext cx="766483" cy="443454"/>
                              </a:xfrm>
                              <a:prstGeom prst="rect">
                                <a:avLst/>
                              </a:prstGeom>
                              <a:solidFill>
                                <a:sysClr val="window" lastClr="FFFFFF"/>
                              </a:solidFill>
                              <a:ln w="12700" cap="flat" cmpd="sng" algn="ctr">
                                <a:solidFill>
                                  <a:srgbClr val="70AD47"/>
                                </a:solidFill>
                                <a:prstDash val="solid"/>
                                <a:miter lim="800000"/>
                              </a:ln>
                              <a:effectLst/>
                            </wps:spPr>
                            <wps:txbx>
                              <w:txbxContent>
                                <w:p w14:paraId="590FEFF4" w14:textId="77777777" w:rsidR="004F5D57" w:rsidRPr="00E2111E" w:rsidRDefault="004F5D57" w:rsidP="00CD6352">
                                  <w:pPr>
                                    <w:jc w:val="center"/>
                                    <w:rPr>
                                      <w:rFonts w:ascii="Arial" w:hAnsi="Arial" w:cs="Arial"/>
                                      <w:sz w:val="16"/>
                                      <w:szCs w:val="16"/>
                                    </w:rPr>
                                  </w:pPr>
                                  <w:permStart w:id="98175296" w:edGrp="everyone"/>
                                  <w:r>
                                    <w:rPr>
                                      <w:rFonts w:ascii="Arial" w:hAnsi="Arial" w:cs="Arial"/>
                                      <w:sz w:val="16"/>
                                      <w:szCs w:val="16"/>
                                    </w:rPr>
                                    <w:t xml:space="preserve">Scan for </w:t>
                                  </w:r>
                                  <w:r w:rsidRPr="00E2111E">
                                    <w:rPr>
                                      <w:rFonts w:ascii="Arial" w:hAnsi="Arial" w:cs="Arial"/>
                                      <w:sz w:val="16"/>
                                      <w:szCs w:val="16"/>
                                    </w:rPr>
                                    <w:t>Financiers</w:t>
                                  </w:r>
                                </w:p>
                                <w:permEnd w:id="98175296"/>
                                <w:p w14:paraId="53754F9D" w14:textId="77777777" w:rsidR="004F5D57" w:rsidRPr="00E2111E" w:rsidRDefault="004F5D57" w:rsidP="00CD6352">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A2EC3" id="Rectangle 140" o:spid="_x0000_s1085" style="position:absolute;margin-left:255.65pt;margin-top:6.05pt;width:60.35pt;height:34.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" fillcolor="window" strokecolor="#70ad47" strokeweight="1pt">
                      <v:textbox>
                        <w:txbxContent>
                          <w:p w14:paraId="590FEFF4" w14:textId="77777777" w:rsidR="004F5D57" w:rsidRPr="00E2111E" w:rsidRDefault="004F5D57" w:rsidP="00CD6352">
                            <w:pPr>
                              <w:jc w:val="center"/>
                              <w:rPr>
                                <w:rFonts w:ascii="Arial" w:hAnsi="Arial" w:cs="Arial"/>
                                <w:sz w:val="16"/>
                                <w:szCs w:val="16"/>
                              </w:rPr>
                            </w:pPr>
                            <w:permStart w:id="98175296" w:edGrp="everyone"/>
                            <w:r>
                              <w:rPr>
                                <w:rFonts w:ascii="Arial" w:hAnsi="Arial" w:cs="Arial"/>
                                <w:sz w:val="16"/>
                                <w:szCs w:val="16"/>
                              </w:rPr>
                              <w:t xml:space="preserve">Scan for </w:t>
                            </w:r>
                            <w:r w:rsidRPr="00E2111E">
                              <w:rPr>
                                <w:rFonts w:ascii="Arial" w:hAnsi="Arial" w:cs="Arial"/>
                                <w:sz w:val="16"/>
                                <w:szCs w:val="16"/>
                              </w:rPr>
                              <w:t>Financiers</w:t>
                            </w:r>
                          </w:p>
                          <w:permEnd w:id="98175296"/>
                          <w:p w14:paraId="53754F9D" w14:textId="77777777" w:rsidR="004F5D57" w:rsidRPr="00E2111E" w:rsidRDefault="004F5D57" w:rsidP="00CD6352">
                            <w:pPr>
                              <w:jc w:val="center"/>
                              <w:rPr>
                                <w:rFonts w:ascii="Arial" w:hAnsi="Arial" w:cs="Arial"/>
                                <w:sz w:val="16"/>
                                <w:szCs w:val="16"/>
                              </w:rPr>
                            </w:pPr>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63712" behindDoc="0" locked="0" layoutInCell="1" allowOverlap="1" wp14:anchorId="0D316DD9" wp14:editId="3C4FD940">
                      <wp:simplePos x="0" y="0"/>
                      <wp:positionH relativeFrom="column">
                        <wp:posOffset>2278828</wp:posOffset>
                      </wp:positionH>
                      <wp:positionV relativeFrom="paragraph">
                        <wp:posOffset>103468</wp:posOffset>
                      </wp:positionV>
                      <wp:extent cx="847016" cy="416858"/>
                      <wp:effectExtent l="0" t="0" r="10795" b="21590"/>
                      <wp:wrapNone/>
                      <wp:docPr id="141" name="Rectangle 141"/>
                      <wp:cNvGraphicFramePr/>
                      <a:graphic xmlns:a="http://schemas.openxmlformats.org/drawingml/2006/main">
                        <a:graphicData uri="http://schemas.microsoft.com/office/word/2010/wordprocessingShape">
                          <wps:wsp>
                            <wps:cNvSpPr/>
                            <wps:spPr>
                              <a:xfrm>
                                <a:off x="0" y="0"/>
                                <a:ext cx="847016" cy="416858"/>
                              </a:xfrm>
                              <a:prstGeom prst="rect">
                                <a:avLst/>
                              </a:prstGeom>
                              <a:solidFill>
                                <a:sysClr val="window" lastClr="FFFFFF"/>
                              </a:solidFill>
                              <a:ln w="12700" cap="flat" cmpd="sng" algn="ctr">
                                <a:solidFill>
                                  <a:srgbClr val="70AD47"/>
                                </a:solidFill>
                                <a:prstDash val="solid"/>
                                <a:miter lim="800000"/>
                              </a:ln>
                              <a:effectLst/>
                            </wps:spPr>
                            <wps:txbx>
                              <w:txbxContent>
                                <w:p w14:paraId="6F9ABAFC" w14:textId="77777777" w:rsidR="004F5D57" w:rsidRPr="000B015B" w:rsidRDefault="004F5D57" w:rsidP="00CD6352">
                                  <w:pPr>
                                    <w:jc w:val="center"/>
                                    <w:rPr>
                                      <w:rFonts w:ascii="Arial" w:hAnsi="Arial" w:cs="Arial"/>
                                      <w:sz w:val="16"/>
                                      <w:szCs w:val="16"/>
                                    </w:rPr>
                                  </w:pPr>
                                  <w:permStart w:id="1821585740" w:edGrp="everyone"/>
                                  <w:r w:rsidRPr="000B015B">
                                    <w:rPr>
                                      <w:rFonts w:ascii="Arial" w:hAnsi="Arial" w:cs="Arial"/>
                                      <w:sz w:val="16"/>
                                      <w:szCs w:val="16"/>
                                    </w:rPr>
                                    <w:t>Determine Skills</w:t>
                                  </w:r>
                                  <w:permEnd w:id="18215857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16DD9" id="Rectangle 141" o:spid="_x0000_s1086" style="position:absolute;margin-left:179.45pt;margin-top:8.15pt;width:66.7pt;height:3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" fillcolor="window" strokecolor="#70ad47" strokeweight="1pt">
                      <v:textbox>
                        <w:txbxContent>
                          <w:p w14:paraId="6F9ABAFC" w14:textId="77777777" w:rsidR="004F5D57" w:rsidRPr="000B015B" w:rsidRDefault="004F5D57" w:rsidP="00CD6352">
                            <w:pPr>
                              <w:jc w:val="center"/>
                              <w:rPr>
                                <w:rFonts w:ascii="Arial" w:hAnsi="Arial" w:cs="Arial"/>
                                <w:sz w:val="16"/>
                                <w:szCs w:val="16"/>
                              </w:rPr>
                            </w:pPr>
                            <w:permStart w:id="1821585740" w:edGrp="everyone"/>
                            <w:r w:rsidRPr="000B015B">
                              <w:rPr>
                                <w:rFonts w:ascii="Arial" w:hAnsi="Arial" w:cs="Arial"/>
                                <w:sz w:val="16"/>
                                <w:szCs w:val="16"/>
                              </w:rPr>
                              <w:t>Determine Skills</w:t>
                            </w:r>
                            <w:permEnd w:id="182158574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62688" behindDoc="0" locked="0" layoutInCell="1" allowOverlap="1" wp14:anchorId="5E4E47A9" wp14:editId="7C200F4F">
                      <wp:simplePos x="0" y="0"/>
                      <wp:positionH relativeFrom="column">
                        <wp:posOffset>1229958</wp:posOffset>
                      </wp:positionH>
                      <wp:positionV relativeFrom="paragraph">
                        <wp:posOffset>76574</wp:posOffset>
                      </wp:positionV>
                      <wp:extent cx="847164" cy="497541"/>
                      <wp:effectExtent l="0" t="0" r="10160" b="17145"/>
                      <wp:wrapNone/>
                      <wp:docPr id="143" name="Rectangle 143"/>
                      <wp:cNvGraphicFramePr/>
                      <a:graphic xmlns:a="http://schemas.openxmlformats.org/drawingml/2006/main">
                        <a:graphicData uri="http://schemas.microsoft.com/office/word/2010/wordprocessingShape">
                          <wps:wsp>
                            <wps:cNvSpPr/>
                            <wps:spPr>
                              <a:xfrm>
                                <a:off x="0" y="0"/>
                                <a:ext cx="847164" cy="497541"/>
                              </a:xfrm>
                              <a:prstGeom prst="rect">
                                <a:avLst/>
                              </a:prstGeom>
                              <a:solidFill>
                                <a:sysClr val="window" lastClr="FFFFFF"/>
                              </a:solidFill>
                              <a:ln w="12700" cap="flat" cmpd="sng" algn="ctr">
                                <a:solidFill>
                                  <a:srgbClr val="70AD47"/>
                                </a:solidFill>
                                <a:prstDash val="solid"/>
                                <a:miter lim="800000"/>
                              </a:ln>
                              <a:effectLst/>
                            </wps:spPr>
                            <wps:txbx>
                              <w:txbxContent>
                                <w:p w14:paraId="27B39490" w14:textId="77777777" w:rsidR="004F5D57" w:rsidRPr="00296620" w:rsidRDefault="004F5D57" w:rsidP="00CD6352">
                                  <w:pPr>
                                    <w:spacing w:after="0"/>
                                    <w:jc w:val="center"/>
                                    <w:rPr>
                                      <w:rFonts w:ascii="Arial" w:hAnsi="Arial" w:cs="Arial"/>
                                      <w:sz w:val="16"/>
                                      <w:szCs w:val="16"/>
                                    </w:rPr>
                                  </w:pPr>
                                  <w:permStart w:id="2121606449" w:edGrp="everyone"/>
                                  <w:r w:rsidRPr="00296620">
                                    <w:rPr>
                                      <w:rFonts w:ascii="Arial" w:hAnsi="Arial" w:cs="Arial"/>
                                      <w:sz w:val="16"/>
                                      <w:szCs w:val="16"/>
                                    </w:rPr>
                                    <w:t>Internal environmental scan</w:t>
                                  </w:r>
                                  <w:permEnd w:id="21216064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47A9" id="Rectangle 143" o:spid="_x0000_s1087" style="position:absolute;margin-left:96.85pt;margin-top:6.05pt;width:66.7pt;height:3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" fillcolor="window" strokecolor="#70ad47" strokeweight="1pt">
                      <v:textbox>
                        <w:txbxContent>
                          <w:p w14:paraId="27B39490" w14:textId="77777777" w:rsidR="004F5D57" w:rsidRPr="00296620" w:rsidRDefault="004F5D57" w:rsidP="00CD6352">
                            <w:pPr>
                              <w:spacing w:after="0"/>
                              <w:jc w:val="center"/>
                              <w:rPr>
                                <w:rFonts w:ascii="Arial" w:hAnsi="Arial" w:cs="Arial"/>
                                <w:sz w:val="16"/>
                                <w:szCs w:val="16"/>
                              </w:rPr>
                            </w:pPr>
                            <w:permStart w:id="2121606449" w:edGrp="everyone"/>
                            <w:r w:rsidRPr="00296620">
                              <w:rPr>
                                <w:rFonts w:ascii="Arial" w:hAnsi="Arial" w:cs="Arial"/>
                                <w:sz w:val="16"/>
                                <w:szCs w:val="16"/>
                              </w:rPr>
                              <w:t>Internal environmental scan</w:t>
                            </w:r>
                            <w:permEnd w:id="2121606449"/>
                          </w:p>
                        </w:txbxContent>
                      </v:textbox>
                    </v:rect>
                  </w:pict>
                </mc:Fallback>
              </mc:AlternateContent>
            </w:r>
          </w:p>
          <w:p w14:paraId="25FF3754" w14:textId="77777777" w:rsidR="00CD6352" w:rsidRPr="002510FA" w:rsidRDefault="00CD6352" w:rsidP="00CD6352">
            <w:pPr>
              <w:tabs>
                <w:tab w:val="left" w:pos="5379"/>
              </w:tabs>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10816" behindDoc="0" locked="0" layoutInCell="1" allowOverlap="1" wp14:anchorId="74F83FA2" wp14:editId="72AE2674">
                      <wp:simplePos x="0" y="0"/>
                      <wp:positionH relativeFrom="column">
                        <wp:posOffset>3150478</wp:posOffset>
                      </wp:positionH>
                      <wp:positionV relativeFrom="paragraph">
                        <wp:posOffset>102285</wp:posOffset>
                      </wp:positionV>
                      <wp:extent cx="79589" cy="145237"/>
                      <wp:effectExtent l="0" t="38100" r="34925" b="64770"/>
                      <wp:wrapNone/>
                      <wp:docPr id="189" name="Arrow: Right 189"/>
                      <wp:cNvGraphicFramePr/>
                      <a:graphic xmlns:a="http://schemas.openxmlformats.org/drawingml/2006/main">
                        <a:graphicData uri="http://schemas.microsoft.com/office/word/2010/wordprocessingShape">
                          <wps:wsp>
                            <wps:cNvSpPr/>
                            <wps:spPr>
                              <a:xfrm>
                                <a:off x="0" y="0"/>
                                <a:ext cx="79589" cy="145237"/>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33995" id="Arrow: Right 189" o:spid="_x0000_s1026" type="#_x0000_t13" style="position:absolute;margin-left:248.05pt;margin-top:8.05pt;width:6.25pt;height:1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09792" behindDoc="0" locked="0" layoutInCell="1" allowOverlap="1" wp14:anchorId="1E06330B" wp14:editId="6EE0ED0F">
                      <wp:simplePos x="0" y="0"/>
                      <wp:positionH relativeFrom="column">
                        <wp:posOffset>2146243</wp:posOffset>
                      </wp:positionH>
                      <wp:positionV relativeFrom="paragraph">
                        <wp:posOffset>148690</wp:posOffset>
                      </wp:positionV>
                      <wp:extent cx="164173" cy="104240"/>
                      <wp:effectExtent l="0" t="19050" r="45720" b="29210"/>
                      <wp:wrapNone/>
                      <wp:docPr id="190" name="Arrow: Right 190"/>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90E53" id="Arrow: Right 190" o:spid="_x0000_s1026" type="#_x0000_t13" style="position:absolute;margin-left:169pt;margin-top:11.7pt;width:12.95pt;height:8.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" adj="14743"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08768" behindDoc="0" locked="0" layoutInCell="1" allowOverlap="1" wp14:anchorId="45F33DE7" wp14:editId="1F9A9EA9">
                      <wp:simplePos x="0" y="0"/>
                      <wp:positionH relativeFrom="column">
                        <wp:posOffset>1044275</wp:posOffset>
                      </wp:positionH>
                      <wp:positionV relativeFrom="paragraph">
                        <wp:posOffset>122833</wp:posOffset>
                      </wp:positionV>
                      <wp:extent cx="164173" cy="104240"/>
                      <wp:effectExtent l="0" t="19050" r="45720" b="29210"/>
                      <wp:wrapNone/>
                      <wp:docPr id="191" name="Arrow: Right 191"/>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5B00" id="Arrow: Right 191" o:spid="_x0000_s1026" type="#_x0000_t13" style="position:absolute;margin-left:82.25pt;margin-top:9.65pt;width:12.95pt;height:8.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" adj="14743" fillcolor="window" strokecolor="#70ad47" strokeweight="1pt"/>
                  </w:pict>
                </mc:Fallback>
              </mc:AlternateContent>
            </w:r>
            <w:r w:rsidRPr="002510FA">
              <w:rPr>
                <w:rFonts w:ascii="Arial" w:eastAsia="Calibri" w:hAnsi="Arial" w:cs="Arial"/>
              </w:rPr>
              <w:tab/>
            </w:r>
          </w:p>
          <w:p w14:paraId="4AFA6044" w14:textId="77777777" w:rsidR="00CD6352" w:rsidRPr="002510FA" w:rsidRDefault="00CD6352" w:rsidP="00CD6352">
            <w:pPr>
              <w:rPr>
                <w:rFonts w:ascii="Arial" w:eastAsia="Calibri" w:hAnsi="Arial" w:cs="Arial"/>
              </w:rPr>
            </w:pPr>
          </w:p>
          <w:p w14:paraId="024BE6E0"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25152" behindDoc="0" locked="0" layoutInCell="1" allowOverlap="1" wp14:anchorId="09C587C6" wp14:editId="79F66A41">
                      <wp:simplePos x="0" y="0"/>
                      <wp:positionH relativeFrom="column">
                        <wp:posOffset>3554859</wp:posOffset>
                      </wp:positionH>
                      <wp:positionV relativeFrom="paragraph">
                        <wp:posOffset>75280</wp:posOffset>
                      </wp:positionV>
                      <wp:extent cx="124168" cy="123289"/>
                      <wp:effectExtent l="19050" t="0" r="47625" b="29210"/>
                      <wp:wrapNone/>
                      <wp:docPr id="192" name="Arrow: Down 192"/>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30DE" id="Arrow: Down 192" o:spid="_x0000_s1026" type="#_x0000_t67" style="position:absolute;margin-left:279.9pt;margin-top:5.95pt;width:9.8pt;height:9.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22080" behindDoc="0" locked="0" layoutInCell="1" allowOverlap="1" wp14:anchorId="7D5729B5" wp14:editId="13E80CC0">
                      <wp:simplePos x="0" y="0"/>
                      <wp:positionH relativeFrom="column">
                        <wp:posOffset>2661007</wp:posOffset>
                      </wp:positionH>
                      <wp:positionV relativeFrom="paragraph">
                        <wp:posOffset>15854</wp:posOffset>
                      </wp:positionV>
                      <wp:extent cx="124168" cy="123289"/>
                      <wp:effectExtent l="19050" t="0" r="47625" b="29210"/>
                      <wp:wrapNone/>
                      <wp:docPr id="193" name="Arrow: Down 193"/>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952F" id="Arrow: Down 193" o:spid="_x0000_s1026" type="#_x0000_t67" style="position:absolute;margin-left:209.55pt;margin-top:1.25pt;width:9.8pt;height:9.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17984" behindDoc="0" locked="0" layoutInCell="1" allowOverlap="1" wp14:anchorId="483DEF4D" wp14:editId="0B1236BE">
                      <wp:simplePos x="0" y="0"/>
                      <wp:positionH relativeFrom="column">
                        <wp:posOffset>1551398</wp:posOffset>
                      </wp:positionH>
                      <wp:positionV relativeFrom="paragraph">
                        <wp:posOffset>146457</wp:posOffset>
                      </wp:positionV>
                      <wp:extent cx="124168" cy="123289"/>
                      <wp:effectExtent l="19050" t="0" r="47625" b="29210"/>
                      <wp:wrapNone/>
                      <wp:docPr id="194" name="Arrow: Down 194"/>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9C3E1" id="Arrow: Down 194" o:spid="_x0000_s1026" type="#_x0000_t67" style="position:absolute;margin-left:122.15pt;margin-top:11.55pt;width:9.8pt;height:9.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11840" behindDoc="0" locked="0" layoutInCell="1" allowOverlap="1" wp14:anchorId="54CABB5D" wp14:editId="0082BC4D">
                      <wp:simplePos x="0" y="0"/>
                      <wp:positionH relativeFrom="column">
                        <wp:posOffset>570159</wp:posOffset>
                      </wp:positionH>
                      <wp:positionV relativeFrom="paragraph">
                        <wp:posOffset>59512</wp:posOffset>
                      </wp:positionV>
                      <wp:extent cx="93966" cy="143838"/>
                      <wp:effectExtent l="19050" t="0" r="40005" b="46990"/>
                      <wp:wrapNone/>
                      <wp:docPr id="195" name="Arrow: Down 195"/>
                      <wp:cNvGraphicFramePr/>
                      <a:graphic xmlns:a="http://schemas.openxmlformats.org/drawingml/2006/main">
                        <a:graphicData uri="http://schemas.microsoft.com/office/word/2010/wordprocessingShape">
                          <wps:wsp>
                            <wps:cNvSpPr/>
                            <wps:spPr>
                              <a:xfrm>
                                <a:off x="0" y="0"/>
                                <a:ext cx="93966" cy="14383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170EC" id="Arrow: Down 195" o:spid="_x0000_s1026" type="#_x0000_t67" style="position:absolute;margin-left:44.9pt;margin-top:4.7pt;width:7.4pt;height:11.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" adj="14545"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77024" behindDoc="0" locked="0" layoutInCell="1" allowOverlap="1" wp14:anchorId="327E7D76" wp14:editId="399FE725">
                      <wp:simplePos x="0" y="0"/>
                      <wp:positionH relativeFrom="column">
                        <wp:posOffset>2344345</wp:posOffset>
                      </wp:positionH>
                      <wp:positionV relativeFrom="paragraph">
                        <wp:posOffset>133125</wp:posOffset>
                      </wp:positionV>
                      <wp:extent cx="779930" cy="242047"/>
                      <wp:effectExtent l="0" t="0" r="20320" b="24765"/>
                      <wp:wrapNone/>
                      <wp:docPr id="196" name="Rectangle 196"/>
                      <wp:cNvGraphicFramePr/>
                      <a:graphic xmlns:a="http://schemas.openxmlformats.org/drawingml/2006/main">
                        <a:graphicData uri="http://schemas.microsoft.com/office/word/2010/wordprocessingShape">
                          <wps:wsp>
                            <wps:cNvSpPr/>
                            <wps:spPr>
                              <a:xfrm>
                                <a:off x="0" y="0"/>
                                <a:ext cx="779930" cy="242047"/>
                              </a:xfrm>
                              <a:prstGeom prst="rect">
                                <a:avLst/>
                              </a:prstGeom>
                              <a:solidFill>
                                <a:sysClr val="window" lastClr="FFFFFF"/>
                              </a:solidFill>
                              <a:ln w="12700" cap="flat" cmpd="sng" algn="ctr">
                                <a:solidFill>
                                  <a:srgbClr val="70AD47"/>
                                </a:solidFill>
                                <a:prstDash val="solid"/>
                                <a:miter lim="800000"/>
                              </a:ln>
                              <a:effectLst/>
                            </wps:spPr>
                            <wps:txbx>
                              <w:txbxContent>
                                <w:p w14:paraId="3F4B726B" w14:textId="77777777" w:rsidR="004F5D57" w:rsidRPr="005D65D3" w:rsidRDefault="004F5D57" w:rsidP="00CD6352">
                                  <w:pPr>
                                    <w:jc w:val="center"/>
                                    <w:rPr>
                                      <w:rFonts w:ascii="Arial" w:hAnsi="Arial" w:cs="Arial"/>
                                      <w:sz w:val="16"/>
                                      <w:szCs w:val="16"/>
                                    </w:rPr>
                                  </w:pPr>
                                  <w:permStart w:id="1806377675" w:edGrp="everyone"/>
                                  <w:r w:rsidRPr="005D65D3">
                                    <w:rPr>
                                      <w:rFonts w:ascii="Arial" w:hAnsi="Arial" w:cs="Arial"/>
                                      <w:sz w:val="16"/>
                                      <w:szCs w:val="16"/>
                                    </w:rPr>
                                    <w:t>Skill</w:t>
                                  </w:r>
                                  <w:permEnd w:id="18063776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E7D76" id="Rectangle 196" o:spid="_x0000_s1088" style="position:absolute;margin-left:184.6pt;margin-top:10.5pt;width:61.4pt;height:19.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" fillcolor="window" strokecolor="#70ad47" strokeweight="1pt">
                      <v:textbox>
                        <w:txbxContent>
                          <w:p w14:paraId="3F4B726B" w14:textId="77777777" w:rsidR="004F5D57" w:rsidRPr="005D65D3" w:rsidRDefault="004F5D57" w:rsidP="00CD6352">
                            <w:pPr>
                              <w:jc w:val="center"/>
                              <w:rPr>
                                <w:rFonts w:ascii="Arial" w:hAnsi="Arial" w:cs="Arial"/>
                                <w:sz w:val="16"/>
                                <w:szCs w:val="16"/>
                              </w:rPr>
                            </w:pPr>
                            <w:permStart w:id="1806377675" w:edGrp="everyone"/>
                            <w:r w:rsidRPr="005D65D3">
                              <w:rPr>
                                <w:rFonts w:ascii="Arial" w:hAnsi="Arial" w:cs="Arial"/>
                                <w:sz w:val="16"/>
                                <w:szCs w:val="16"/>
                              </w:rPr>
                              <w:t>Skill</w:t>
                            </w:r>
                            <w:permEnd w:id="1806377675"/>
                          </w:p>
                        </w:txbxContent>
                      </v:textbox>
                    </v:rect>
                  </w:pict>
                </mc:Fallback>
              </mc:AlternateContent>
            </w:r>
          </w:p>
          <w:p w14:paraId="34E4CE82"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80096" behindDoc="0" locked="0" layoutInCell="1" allowOverlap="1" wp14:anchorId="46733C2A" wp14:editId="4DD7DE97">
                      <wp:simplePos x="0" y="0"/>
                      <wp:positionH relativeFrom="column">
                        <wp:posOffset>3232671</wp:posOffset>
                      </wp:positionH>
                      <wp:positionV relativeFrom="paragraph">
                        <wp:posOffset>12236</wp:posOffset>
                      </wp:positionV>
                      <wp:extent cx="779780" cy="482886"/>
                      <wp:effectExtent l="0" t="0" r="20320" b="12700"/>
                      <wp:wrapNone/>
                      <wp:docPr id="197" name="Rectangle 197"/>
                      <wp:cNvGraphicFramePr/>
                      <a:graphic xmlns:a="http://schemas.openxmlformats.org/drawingml/2006/main">
                        <a:graphicData uri="http://schemas.microsoft.com/office/word/2010/wordprocessingShape">
                          <wps:wsp>
                            <wps:cNvSpPr/>
                            <wps:spPr>
                              <a:xfrm>
                                <a:off x="0" y="0"/>
                                <a:ext cx="779780" cy="482886"/>
                              </a:xfrm>
                              <a:prstGeom prst="rect">
                                <a:avLst/>
                              </a:prstGeom>
                              <a:solidFill>
                                <a:sysClr val="window" lastClr="FFFFFF"/>
                              </a:solidFill>
                              <a:ln w="12700" cap="flat" cmpd="sng" algn="ctr">
                                <a:solidFill>
                                  <a:srgbClr val="70AD47"/>
                                </a:solidFill>
                                <a:prstDash val="solid"/>
                                <a:miter lim="800000"/>
                              </a:ln>
                              <a:effectLst/>
                            </wps:spPr>
                            <wps:txbx>
                              <w:txbxContent>
                                <w:p w14:paraId="307C2098" w14:textId="77777777" w:rsidR="004F5D57" w:rsidRPr="004A2EC2" w:rsidRDefault="004F5D57" w:rsidP="00CD6352">
                                  <w:pPr>
                                    <w:spacing w:after="0" w:line="240" w:lineRule="auto"/>
                                    <w:jc w:val="center"/>
                                    <w:rPr>
                                      <w:rFonts w:ascii="Arial" w:hAnsi="Arial" w:cs="Arial"/>
                                      <w:sz w:val="16"/>
                                      <w:szCs w:val="16"/>
                                    </w:rPr>
                                  </w:pPr>
                                  <w:permStart w:id="188112104" w:edGrp="everyone"/>
                                  <w:r w:rsidRPr="004A2EC2">
                                    <w:rPr>
                                      <w:rFonts w:ascii="Arial" w:hAnsi="Arial" w:cs="Arial"/>
                                      <w:sz w:val="16"/>
                                      <w:szCs w:val="16"/>
                                    </w:rPr>
                                    <w:t>Debt &amp;</w:t>
                                  </w:r>
                                  <w:r>
                                    <w:rPr>
                                      <w:rFonts w:ascii="Arial" w:hAnsi="Arial" w:cs="Arial"/>
                                      <w:sz w:val="16"/>
                                      <w:szCs w:val="16"/>
                                    </w:rPr>
                                    <w:t>/</w:t>
                                  </w:r>
                                  <w:r w:rsidRPr="004A2EC2">
                                    <w:rPr>
                                      <w:rFonts w:ascii="Arial" w:hAnsi="Arial" w:cs="Arial"/>
                                      <w:sz w:val="16"/>
                                      <w:szCs w:val="16"/>
                                    </w:rPr>
                                    <w:t xml:space="preserve"> or</w:t>
                                  </w:r>
                                </w:p>
                                <w:p w14:paraId="24FB3299" w14:textId="77777777" w:rsidR="004F5D57" w:rsidRPr="004A2EC2" w:rsidRDefault="004F5D57" w:rsidP="00CD6352">
                                  <w:pPr>
                                    <w:spacing w:after="0" w:line="240" w:lineRule="auto"/>
                                    <w:jc w:val="center"/>
                                    <w:rPr>
                                      <w:rFonts w:ascii="Arial" w:hAnsi="Arial" w:cs="Arial"/>
                                      <w:sz w:val="16"/>
                                      <w:szCs w:val="16"/>
                                    </w:rPr>
                                  </w:pPr>
                                  <w:r w:rsidRPr="004A2EC2">
                                    <w:rPr>
                                      <w:rFonts w:ascii="Arial" w:hAnsi="Arial" w:cs="Arial"/>
                                      <w:sz w:val="16"/>
                                      <w:szCs w:val="16"/>
                                    </w:rPr>
                                    <w:t xml:space="preserve"> Equity</w:t>
                                  </w:r>
                                  <w:r>
                                    <w:rPr>
                                      <w:rFonts w:ascii="Arial" w:hAnsi="Arial" w:cs="Arial"/>
                                      <w:sz w:val="16"/>
                                      <w:szCs w:val="16"/>
                                    </w:rPr>
                                    <w:t xml:space="preserve"> decisions</w:t>
                                  </w:r>
                                  <w:permEnd w:id="1881121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33C2A" id="Rectangle 197" o:spid="_x0000_s1089" style="position:absolute;margin-left:254.55pt;margin-top:.95pt;width:61.4pt;height:3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" fillcolor="window" strokecolor="#70ad47" strokeweight="1pt">
                      <v:textbox>
                        <w:txbxContent>
                          <w:p w14:paraId="307C2098" w14:textId="77777777" w:rsidR="004F5D57" w:rsidRPr="004A2EC2" w:rsidRDefault="004F5D57" w:rsidP="00CD6352">
                            <w:pPr>
                              <w:spacing w:after="0" w:line="240" w:lineRule="auto"/>
                              <w:jc w:val="center"/>
                              <w:rPr>
                                <w:rFonts w:ascii="Arial" w:hAnsi="Arial" w:cs="Arial"/>
                                <w:sz w:val="16"/>
                                <w:szCs w:val="16"/>
                              </w:rPr>
                            </w:pPr>
                            <w:permStart w:id="188112104" w:edGrp="everyone"/>
                            <w:r w:rsidRPr="004A2EC2">
                              <w:rPr>
                                <w:rFonts w:ascii="Arial" w:hAnsi="Arial" w:cs="Arial"/>
                                <w:sz w:val="16"/>
                                <w:szCs w:val="16"/>
                              </w:rPr>
                              <w:t>Debt &amp;</w:t>
                            </w:r>
                            <w:r>
                              <w:rPr>
                                <w:rFonts w:ascii="Arial" w:hAnsi="Arial" w:cs="Arial"/>
                                <w:sz w:val="16"/>
                                <w:szCs w:val="16"/>
                              </w:rPr>
                              <w:t>/</w:t>
                            </w:r>
                            <w:r w:rsidRPr="004A2EC2">
                              <w:rPr>
                                <w:rFonts w:ascii="Arial" w:hAnsi="Arial" w:cs="Arial"/>
                                <w:sz w:val="16"/>
                                <w:szCs w:val="16"/>
                              </w:rPr>
                              <w:t xml:space="preserve"> or</w:t>
                            </w:r>
                          </w:p>
                          <w:p w14:paraId="24FB3299" w14:textId="77777777" w:rsidR="004F5D57" w:rsidRPr="004A2EC2" w:rsidRDefault="004F5D57" w:rsidP="00CD6352">
                            <w:pPr>
                              <w:spacing w:after="0" w:line="240" w:lineRule="auto"/>
                              <w:jc w:val="center"/>
                              <w:rPr>
                                <w:rFonts w:ascii="Arial" w:hAnsi="Arial" w:cs="Arial"/>
                                <w:sz w:val="16"/>
                                <w:szCs w:val="16"/>
                              </w:rPr>
                            </w:pPr>
                            <w:r w:rsidRPr="004A2EC2">
                              <w:rPr>
                                <w:rFonts w:ascii="Arial" w:hAnsi="Arial" w:cs="Arial"/>
                                <w:sz w:val="16"/>
                                <w:szCs w:val="16"/>
                              </w:rPr>
                              <w:t xml:space="preserve"> Equity</w:t>
                            </w:r>
                            <w:r>
                              <w:rPr>
                                <w:rFonts w:ascii="Arial" w:hAnsi="Arial" w:cs="Arial"/>
                                <w:sz w:val="16"/>
                                <w:szCs w:val="16"/>
                              </w:rPr>
                              <w:t xml:space="preserve"> decisions</w:t>
                            </w:r>
                            <w:permEnd w:id="188112104"/>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65760" behindDoc="0" locked="0" layoutInCell="1" allowOverlap="1" wp14:anchorId="6D831DB2" wp14:editId="5A172382">
                      <wp:simplePos x="0" y="0"/>
                      <wp:positionH relativeFrom="column">
                        <wp:posOffset>263439</wp:posOffset>
                      </wp:positionH>
                      <wp:positionV relativeFrom="paragraph">
                        <wp:posOffset>43059</wp:posOffset>
                      </wp:positionV>
                      <wp:extent cx="779780" cy="339047"/>
                      <wp:effectExtent l="0" t="0" r="20320" b="23495"/>
                      <wp:wrapNone/>
                      <wp:docPr id="198" name="Rectangle 198"/>
                      <wp:cNvGraphicFramePr/>
                      <a:graphic xmlns:a="http://schemas.openxmlformats.org/drawingml/2006/main">
                        <a:graphicData uri="http://schemas.microsoft.com/office/word/2010/wordprocessingShape">
                          <wps:wsp>
                            <wps:cNvSpPr/>
                            <wps:spPr>
                              <a:xfrm>
                                <a:off x="0" y="0"/>
                                <a:ext cx="779780" cy="339047"/>
                              </a:xfrm>
                              <a:prstGeom prst="rect">
                                <a:avLst/>
                              </a:prstGeom>
                              <a:solidFill>
                                <a:sysClr val="window" lastClr="FFFFFF"/>
                              </a:solidFill>
                              <a:ln w="12700" cap="flat" cmpd="sng" algn="ctr">
                                <a:solidFill>
                                  <a:srgbClr val="70AD47"/>
                                </a:solidFill>
                                <a:prstDash val="solid"/>
                                <a:miter lim="800000"/>
                              </a:ln>
                              <a:effectLst/>
                            </wps:spPr>
                            <wps:txbx>
                              <w:txbxContent>
                                <w:p w14:paraId="103DDFC2" w14:textId="77777777" w:rsidR="004F5D57" w:rsidRPr="000B015B" w:rsidRDefault="004F5D57" w:rsidP="00CD6352">
                                  <w:pPr>
                                    <w:jc w:val="center"/>
                                    <w:rPr>
                                      <w:rFonts w:ascii="Arial" w:hAnsi="Arial" w:cs="Arial"/>
                                      <w:sz w:val="16"/>
                                      <w:szCs w:val="16"/>
                                    </w:rPr>
                                  </w:pPr>
                                  <w:permStart w:id="1899124354" w:edGrp="everyone"/>
                                  <w:r w:rsidRPr="000B015B">
                                    <w:rPr>
                                      <w:rFonts w:ascii="Arial" w:hAnsi="Arial" w:cs="Arial"/>
                                      <w:sz w:val="16"/>
                                      <w:szCs w:val="16"/>
                                    </w:rPr>
                                    <w:t>Economic env</w:t>
                                  </w:r>
                                  <w:r>
                                    <w:rPr>
                                      <w:rFonts w:ascii="Arial" w:hAnsi="Arial" w:cs="Arial"/>
                                      <w:sz w:val="16"/>
                                      <w:szCs w:val="16"/>
                                    </w:rPr>
                                    <w:t>ironment</w:t>
                                  </w:r>
                                  <w:permEnd w:id="18991243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31DB2" id="Rectangle 198" o:spid="_x0000_s1090" style="position:absolute;margin-left:20.75pt;margin-top:3.4pt;width:61.4pt;height:2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" fillcolor="window" strokecolor="#70ad47" strokeweight="1pt">
                      <v:textbox>
                        <w:txbxContent>
                          <w:p w14:paraId="103DDFC2" w14:textId="77777777" w:rsidR="004F5D57" w:rsidRPr="000B015B" w:rsidRDefault="004F5D57" w:rsidP="00CD6352">
                            <w:pPr>
                              <w:jc w:val="center"/>
                              <w:rPr>
                                <w:rFonts w:ascii="Arial" w:hAnsi="Arial" w:cs="Arial"/>
                                <w:sz w:val="16"/>
                                <w:szCs w:val="16"/>
                              </w:rPr>
                            </w:pPr>
                            <w:permStart w:id="1899124354" w:edGrp="everyone"/>
                            <w:r w:rsidRPr="000B015B">
                              <w:rPr>
                                <w:rFonts w:ascii="Arial" w:hAnsi="Arial" w:cs="Arial"/>
                                <w:sz w:val="16"/>
                                <w:szCs w:val="16"/>
                              </w:rPr>
                              <w:t>Economic env</w:t>
                            </w:r>
                            <w:r>
                              <w:rPr>
                                <w:rFonts w:ascii="Arial" w:hAnsi="Arial" w:cs="Arial"/>
                                <w:sz w:val="16"/>
                                <w:szCs w:val="16"/>
                              </w:rPr>
                              <w:t>ironment</w:t>
                            </w:r>
                            <w:permEnd w:id="1899124354"/>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73952" behindDoc="0" locked="0" layoutInCell="1" allowOverlap="1" wp14:anchorId="44BA1728" wp14:editId="321726B5">
                      <wp:simplePos x="0" y="0"/>
                      <wp:positionH relativeFrom="column">
                        <wp:posOffset>1283746</wp:posOffset>
                      </wp:positionH>
                      <wp:positionV relativeFrom="paragraph">
                        <wp:posOffset>119754</wp:posOffset>
                      </wp:positionV>
                      <wp:extent cx="779930" cy="336176"/>
                      <wp:effectExtent l="0" t="0" r="20320" b="26035"/>
                      <wp:wrapNone/>
                      <wp:docPr id="199" name="Rectangle 199"/>
                      <wp:cNvGraphicFramePr/>
                      <a:graphic xmlns:a="http://schemas.openxmlformats.org/drawingml/2006/main">
                        <a:graphicData uri="http://schemas.microsoft.com/office/word/2010/wordprocessingShape">
                          <wps:wsp>
                            <wps:cNvSpPr/>
                            <wps:spPr>
                              <a:xfrm>
                                <a:off x="0" y="0"/>
                                <a:ext cx="779930" cy="336176"/>
                              </a:xfrm>
                              <a:prstGeom prst="rect">
                                <a:avLst/>
                              </a:prstGeom>
                              <a:solidFill>
                                <a:sysClr val="window" lastClr="FFFFFF"/>
                              </a:solidFill>
                              <a:ln w="12700" cap="flat" cmpd="sng" algn="ctr">
                                <a:solidFill>
                                  <a:srgbClr val="70AD47"/>
                                </a:solidFill>
                                <a:prstDash val="solid"/>
                                <a:miter lim="800000"/>
                              </a:ln>
                              <a:effectLst/>
                            </wps:spPr>
                            <wps:txbx>
                              <w:txbxContent>
                                <w:p w14:paraId="7ABF16B9" w14:textId="77777777" w:rsidR="004F5D57" w:rsidRPr="00F50782" w:rsidRDefault="004F5D57" w:rsidP="00CD6352">
                                  <w:pPr>
                                    <w:jc w:val="center"/>
                                    <w:rPr>
                                      <w:rFonts w:ascii="Arial" w:hAnsi="Arial" w:cs="Arial"/>
                                      <w:sz w:val="16"/>
                                      <w:szCs w:val="16"/>
                                    </w:rPr>
                                  </w:pPr>
                                  <w:permStart w:id="141971314" w:edGrp="everyone"/>
                                  <w:r w:rsidRPr="00F50782">
                                    <w:rPr>
                                      <w:rFonts w:ascii="Arial" w:hAnsi="Arial" w:cs="Arial"/>
                                      <w:sz w:val="16"/>
                                      <w:szCs w:val="16"/>
                                    </w:rPr>
                                    <w:t>Access to land</w:t>
                                  </w:r>
                                  <w:permEnd w:id="1419713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A1728" id="Rectangle 199" o:spid="_x0000_s1091" style="position:absolute;margin-left:101.1pt;margin-top:9.45pt;width:61.4pt;height:26.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" fillcolor="window" strokecolor="#70ad47" strokeweight="1pt">
                      <v:textbox>
                        <w:txbxContent>
                          <w:p w14:paraId="7ABF16B9" w14:textId="77777777" w:rsidR="004F5D57" w:rsidRPr="00F50782" w:rsidRDefault="004F5D57" w:rsidP="00CD6352">
                            <w:pPr>
                              <w:jc w:val="center"/>
                              <w:rPr>
                                <w:rFonts w:ascii="Arial" w:hAnsi="Arial" w:cs="Arial"/>
                                <w:sz w:val="16"/>
                                <w:szCs w:val="16"/>
                              </w:rPr>
                            </w:pPr>
                            <w:permStart w:id="141971314" w:edGrp="everyone"/>
                            <w:r w:rsidRPr="00F50782">
                              <w:rPr>
                                <w:rFonts w:ascii="Arial" w:hAnsi="Arial" w:cs="Arial"/>
                                <w:sz w:val="16"/>
                                <w:szCs w:val="16"/>
                              </w:rPr>
                              <w:t>Access to land</w:t>
                            </w:r>
                            <w:permEnd w:id="141971314"/>
                          </w:p>
                        </w:txbxContent>
                      </v:textbox>
                    </v:rect>
                  </w:pict>
                </mc:Fallback>
              </mc:AlternateContent>
            </w:r>
          </w:p>
          <w:p w14:paraId="48D30E5F"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23104" behindDoc="0" locked="0" layoutInCell="1" allowOverlap="1" wp14:anchorId="3D34CB0A" wp14:editId="2D5E1DF1">
                      <wp:simplePos x="0" y="0"/>
                      <wp:positionH relativeFrom="column">
                        <wp:posOffset>2661349</wp:posOffset>
                      </wp:positionH>
                      <wp:positionV relativeFrom="paragraph">
                        <wp:posOffset>95621</wp:posOffset>
                      </wp:positionV>
                      <wp:extent cx="124168" cy="123289"/>
                      <wp:effectExtent l="19050" t="0" r="47625" b="29210"/>
                      <wp:wrapNone/>
                      <wp:docPr id="200" name="Arrow: Down 200"/>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C88C" id="Arrow: Down 200" o:spid="_x0000_s1026" type="#_x0000_t67" style="position:absolute;margin-left:209.55pt;margin-top:7.55pt;width:9.8pt;height:9.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" adj="10800" fillcolor="window" strokecolor="#70ad47" strokeweight="1pt"/>
                  </w:pict>
                </mc:Fallback>
              </mc:AlternateContent>
            </w:r>
          </w:p>
          <w:p w14:paraId="63DB2561"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12864" behindDoc="0" locked="0" layoutInCell="1" allowOverlap="1" wp14:anchorId="0EAF8231" wp14:editId="7E224AE5">
                      <wp:simplePos x="0" y="0"/>
                      <wp:positionH relativeFrom="column">
                        <wp:posOffset>539344</wp:posOffset>
                      </wp:positionH>
                      <wp:positionV relativeFrom="paragraph">
                        <wp:posOffset>40248</wp:posOffset>
                      </wp:positionV>
                      <wp:extent cx="124168" cy="123289"/>
                      <wp:effectExtent l="19050" t="0" r="47625" b="29210"/>
                      <wp:wrapNone/>
                      <wp:docPr id="201" name="Arrow: Down 201"/>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07E3" id="Arrow: Down 201" o:spid="_x0000_s1026" type="#_x0000_t67" style="position:absolute;margin-left:42.45pt;margin-top:3.15pt;width:9.8pt;height:9.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66784" behindDoc="0" locked="0" layoutInCell="1" allowOverlap="1" wp14:anchorId="04A01CC5" wp14:editId="0D7C627F">
                      <wp:simplePos x="0" y="0"/>
                      <wp:positionH relativeFrom="column">
                        <wp:posOffset>263439</wp:posOffset>
                      </wp:positionH>
                      <wp:positionV relativeFrom="paragraph">
                        <wp:posOffset>142989</wp:posOffset>
                      </wp:positionV>
                      <wp:extent cx="779780" cy="366738"/>
                      <wp:effectExtent l="0" t="0" r="20320" b="14605"/>
                      <wp:wrapNone/>
                      <wp:docPr id="202" name="Rectangle 202"/>
                      <wp:cNvGraphicFramePr/>
                      <a:graphic xmlns:a="http://schemas.openxmlformats.org/drawingml/2006/main">
                        <a:graphicData uri="http://schemas.microsoft.com/office/word/2010/wordprocessingShape">
                          <wps:wsp>
                            <wps:cNvSpPr/>
                            <wps:spPr>
                              <a:xfrm>
                                <a:off x="0" y="0"/>
                                <a:ext cx="779780" cy="366738"/>
                              </a:xfrm>
                              <a:prstGeom prst="rect">
                                <a:avLst/>
                              </a:prstGeom>
                              <a:solidFill>
                                <a:sysClr val="window" lastClr="FFFFFF"/>
                              </a:solidFill>
                              <a:ln w="12700" cap="flat" cmpd="sng" algn="ctr">
                                <a:solidFill>
                                  <a:srgbClr val="70AD47"/>
                                </a:solidFill>
                                <a:prstDash val="solid"/>
                                <a:miter lim="800000"/>
                              </a:ln>
                              <a:effectLst/>
                            </wps:spPr>
                            <wps:txbx>
                              <w:txbxContent>
                                <w:p w14:paraId="635EB4F9" w14:textId="77777777" w:rsidR="004F5D57" w:rsidRPr="000B015B" w:rsidRDefault="004F5D57" w:rsidP="00CD6352">
                                  <w:pPr>
                                    <w:jc w:val="center"/>
                                    <w:rPr>
                                      <w:rFonts w:ascii="Arial" w:hAnsi="Arial" w:cs="Arial"/>
                                      <w:sz w:val="16"/>
                                      <w:szCs w:val="16"/>
                                    </w:rPr>
                                  </w:pPr>
                                  <w:permStart w:id="1142768358" w:edGrp="everyone"/>
                                  <w:r w:rsidRPr="000B015B">
                                    <w:rPr>
                                      <w:rFonts w:ascii="Arial" w:hAnsi="Arial" w:cs="Arial"/>
                                      <w:sz w:val="16"/>
                                      <w:szCs w:val="16"/>
                                    </w:rPr>
                                    <w:t>Social</w:t>
                                  </w:r>
                                  <w:r>
                                    <w:rPr>
                                      <w:rFonts w:ascii="Arial" w:hAnsi="Arial" w:cs="Arial"/>
                                      <w:sz w:val="16"/>
                                      <w:szCs w:val="16"/>
                                    </w:rPr>
                                    <w:t xml:space="preserve"> environment</w:t>
                                  </w:r>
                                  <w:permEnd w:id="11427683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01CC5" id="Rectangle 202" o:spid="_x0000_s1092" style="position:absolute;margin-left:20.75pt;margin-top:11.25pt;width:61.4pt;height:2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" fillcolor="window" strokecolor="#70ad47" strokeweight="1pt">
                      <v:textbox>
                        <w:txbxContent>
                          <w:p w14:paraId="635EB4F9" w14:textId="77777777" w:rsidR="004F5D57" w:rsidRPr="000B015B" w:rsidRDefault="004F5D57" w:rsidP="00CD6352">
                            <w:pPr>
                              <w:jc w:val="center"/>
                              <w:rPr>
                                <w:rFonts w:ascii="Arial" w:hAnsi="Arial" w:cs="Arial"/>
                                <w:sz w:val="16"/>
                                <w:szCs w:val="16"/>
                              </w:rPr>
                            </w:pPr>
                            <w:permStart w:id="1142768358" w:edGrp="everyone"/>
                            <w:r w:rsidRPr="000B015B">
                              <w:rPr>
                                <w:rFonts w:ascii="Arial" w:hAnsi="Arial" w:cs="Arial"/>
                                <w:sz w:val="16"/>
                                <w:szCs w:val="16"/>
                              </w:rPr>
                              <w:t>Social</w:t>
                            </w:r>
                            <w:r>
                              <w:rPr>
                                <w:rFonts w:ascii="Arial" w:hAnsi="Arial" w:cs="Arial"/>
                                <w:sz w:val="16"/>
                                <w:szCs w:val="16"/>
                              </w:rPr>
                              <w:t xml:space="preserve"> environment</w:t>
                            </w:r>
                            <w:permEnd w:id="1142768358"/>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78048" behindDoc="0" locked="0" layoutInCell="1" allowOverlap="1" wp14:anchorId="77DB6D10" wp14:editId="37F3F13B">
                      <wp:simplePos x="0" y="0"/>
                      <wp:positionH relativeFrom="column">
                        <wp:posOffset>2344346</wp:posOffset>
                      </wp:positionH>
                      <wp:positionV relativeFrom="paragraph">
                        <wp:posOffset>78740</wp:posOffset>
                      </wp:positionV>
                      <wp:extent cx="779930" cy="242047"/>
                      <wp:effectExtent l="0" t="0" r="20320" b="24765"/>
                      <wp:wrapNone/>
                      <wp:docPr id="203" name="Rectangle 203"/>
                      <wp:cNvGraphicFramePr/>
                      <a:graphic xmlns:a="http://schemas.openxmlformats.org/drawingml/2006/main">
                        <a:graphicData uri="http://schemas.microsoft.com/office/word/2010/wordprocessingShape">
                          <wps:wsp>
                            <wps:cNvSpPr/>
                            <wps:spPr>
                              <a:xfrm>
                                <a:off x="0" y="0"/>
                                <a:ext cx="779930" cy="242047"/>
                              </a:xfrm>
                              <a:prstGeom prst="rect">
                                <a:avLst/>
                              </a:prstGeom>
                              <a:solidFill>
                                <a:sysClr val="window" lastClr="FFFFFF"/>
                              </a:solidFill>
                              <a:ln w="12700" cap="flat" cmpd="sng" algn="ctr">
                                <a:solidFill>
                                  <a:srgbClr val="70AD47"/>
                                </a:solidFill>
                                <a:prstDash val="solid"/>
                                <a:miter lim="800000"/>
                              </a:ln>
                              <a:effectLst/>
                            </wps:spPr>
                            <wps:txbx>
                              <w:txbxContent>
                                <w:p w14:paraId="2E6781C5" w14:textId="77777777" w:rsidR="004F5D57" w:rsidRPr="005D65D3" w:rsidRDefault="004F5D57" w:rsidP="00CD6352">
                                  <w:pPr>
                                    <w:jc w:val="center"/>
                                    <w:rPr>
                                      <w:rFonts w:ascii="Arial" w:hAnsi="Arial" w:cs="Arial"/>
                                      <w:sz w:val="16"/>
                                      <w:szCs w:val="16"/>
                                    </w:rPr>
                                  </w:pPr>
                                  <w:permStart w:id="1890671344" w:edGrp="everyone"/>
                                  <w:r w:rsidRPr="005D65D3">
                                    <w:rPr>
                                      <w:rFonts w:ascii="Arial" w:hAnsi="Arial" w:cs="Arial"/>
                                      <w:sz w:val="16"/>
                                      <w:szCs w:val="16"/>
                                    </w:rPr>
                                    <w:t>Knowledge</w:t>
                                  </w:r>
                                  <w:permEnd w:id="18906713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B6D10" id="Rectangle 203" o:spid="_x0000_s1093" style="position:absolute;margin-left:184.6pt;margin-top:6.2pt;width:61.4pt;height:1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" fillcolor="window" strokecolor="#70ad47" strokeweight="1pt">
                      <v:textbox>
                        <w:txbxContent>
                          <w:p w14:paraId="2E6781C5" w14:textId="77777777" w:rsidR="004F5D57" w:rsidRPr="005D65D3" w:rsidRDefault="004F5D57" w:rsidP="00CD6352">
                            <w:pPr>
                              <w:jc w:val="center"/>
                              <w:rPr>
                                <w:rFonts w:ascii="Arial" w:hAnsi="Arial" w:cs="Arial"/>
                                <w:sz w:val="16"/>
                                <w:szCs w:val="16"/>
                              </w:rPr>
                            </w:pPr>
                            <w:permStart w:id="1890671344" w:edGrp="everyone"/>
                            <w:r w:rsidRPr="005D65D3">
                              <w:rPr>
                                <w:rFonts w:ascii="Arial" w:hAnsi="Arial" w:cs="Arial"/>
                                <w:sz w:val="16"/>
                                <w:szCs w:val="16"/>
                              </w:rPr>
                              <w:t>Knowledge</w:t>
                            </w:r>
                            <w:permEnd w:id="1890671344"/>
                          </w:p>
                        </w:txbxContent>
                      </v:textbox>
                    </v:rect>
                  </w:pict>
                </mc:Fallback>
              </mc:AlternateContent>
            </w:r>
          </w:p>
          <w:p w14:paraId="6935F664"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26176" behindDoc="0" locked="0" layoutInCell="1" allowOverlap="1" wp14:anchorId="247A25FF" wp14:editId="7D107F00">
                      <wp:simplePos x="0" y="0"/>
                      <wp:positionH relativeFrom="column">
                        <wp:posOffset>3575050</wp:posOffset>
                      </wp:positionH>
                      <wp:positionV relativeFrom="paragraph">
                        <wp:posOffset>58698</wp:posOffset>
                      </wp:positionV>
                      <wp:extent cx="124168" cy="123289"/>
                      <wp:effectExtent l="19050" t="0" r="47625" b="29210"/>
                      <wp:wrapNone/>
                      <wp:docPr id="204" name="Arrow: Down 204"/>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4FF4D" id="Arrow: Down 204" o:spid="_x0000_s1026" type="#_x0000_t67" style="position:absolute;margin-left:281.5pt;margin-top:4.6pt;width:9.8pt;height:9.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74976" behindDoc="0" locked="0" layoutInCell="1" allowOverlap="1" wp14:anchorId="7CE51B42" wp14:editId="7C53A158">
                      <wp:simplePos x="0" y="0"/>
                      <wp:positionH relativeFrom="column">
                        <wp:posOffset>1299845</wp:posOffset>
                      </wp:positionH>
                      <wp:positionV relativeFrom="paragraph">
                        <wp:posOffset>78105</wp:posOffset>
                      </wp:positionV>
                      <wp:extent cx="779780" cy="241935"/>
                      <wp:effectExtent l="0" t="0" r="20320" b="24765"/>
                      <wp:wrapNone/>
                      <wp:docPr id="205" name="Rectangle 205"/>
                      <wp:cNvGraphicFramePr/>
                      <a:graphic xmlns:a="http://schemas.openxmlformats.org/drawingml/2006/main">
                        <a:graphicData uri="http://schemas.microsoft.com/office/word/2010/wordprocessingShape">
                          <wps:wsp>
                            <wps:cNvSpPr/>
                            <wps:spPr>
                              <a:xfrm>
                                <a:off x="0" y="0"/>
                                <a:ext cx="779780" cy="241935"/>
                              </a:xfrm>
                              <a:prstGeom prst="rect">
                                <a:avLst/>
                              </a:prstGeom>
                              <a:solidFill>
                                <a:sysClr val="window" lastClr="FFFFFF"/>
                              </a:solidFill>
                              <a:ln w="12700" cap="flat" cmpd="sng" algn="ctr">
                                <a:solidFill>
                                  <a:srgbClr val="70AD47"/>
                                </a:solidFill>
                                <a:prstDash val="solid"/>
                                <a:miter lim="800000"/>
                              </a:ln>
                              <a:effectLst/>
                            </wps:spPr>
                            <wps:txbx>
                              <w:txbxContent>
                                <w:p w14:paraId="5944F42C" w14:textId="77777777" w:rsidR="004F5D57" w:rsidRPr="00815A02" w:rsidRDefault="004F5D57" w:rsidP="00CD6352">
                                  <w:pPr>
                                    <w:jc w:val="center"/>
                                    <w:rPr>
                                      <w:rFonts w:ascii="Arial" w:hAnsi="Arial" w:cs="Arial"/>
                                      <w:sz w:val="16"/>
                                      <w:szCs w:val="16"/>
                                    </w:rPr>
                                  </w:pPr>
                                  <w:permStart w:id="1917193456" w:edGrp="everyone"/>
                                  <w:r w:rsidRPr="00815A02">
                                    <w:rPr>
                                      <w:rFonts w:ascii="Arial" w:hAnsi="Arial" w:cs="Arial"/>
                                      <w:sz w:val="16"/>
                                      <w:szCs w:val="16"/>
                                    </w:rPr>
                                    <w:t>Cash flow</w:t>
                                  </w:r>
                                  <w:permEnd w:id="19171934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1B42" id="Rectangle 205" o:spid="_x0000_s1094" style="position:absolute;margin-left:102.35pt;margin-top:6.15pt;width:61.4pt;height:19.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" fillcolor="window" strokecolor="#70ad47" strokeweight="1pt">
                      <v:textbox>
                        <w:txbxContent>
                          <w:p w14:paraId="5944F42C" w14:textId="77777777" w:rsidR="004F5D57" w:rsidRPr="00815A02" w:rsidRDefault="004F5D57" w:rsidP="00CD6352">
                            <w:pPr>
                              <w:jc w:val="center"/>
                              <w:rPr>
                                <w:rFonts w:ascii="Arial" w:hAnsi="Arial" w:cs="Arial"/>
                                <w:sz w:val="16"/>
                                <w:szCs w:val="16"/>
                              </w:rPr>
                            </w:pPr>
                            <w:permStart w:id="1917193456" w:edGrp="everyone"/>
                            <w:r w:rsidRPr="00815A02">
                              <w:rPr>
                                <w:rFonts w:ascii="Arial" w:hAnsi="Arial" w:cs="Arial"/>
                                <w:sz w:val="16"/>
                                <w:szCs w:val="16"/>
                              </w:rPr>
                              <w:t>Cash flow</w:t>
                            </w:r>
                            <w:permEnd w:id="1917193456"/>
                          </w:p>
                        </w:txbxContent>
                      </v:textbox>
                    </v:rect>
                  </w:pict>
                </mc:Fallback>
              </mc:AlternateContent>
            </w:r>
          </w:p>
          <w:p w14:paraId="563A59B5"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81120" behindDoc="0" locked="0" layoutInCell="1" allowOverlap="1" wp14:anchorId="2F619C3D" wp14:editId="4EB39FF5">
                      <wp:simplePos x="0" y="0"/>
                      <wp:positionH relativeFrom="column">
                        <wp:posOffset>3300730</wp:posOffset>
                      </wp:positionH>
                      <wp:positionV relativeFrom="paragraph">
                        <wp:posOffset>67410</wp:posOffset>
                      </wp:positionV>
                      <wp:extent cx="779930" cy="336177"/>
                      <wp:effectExtent l="0" t="0" r="20320" b="26035"/>
                      <wp:wrapNone/>
                      <wp:docPr id="206" name="Rectangle 206"/>
                      <wp:cNvGraphicFramePr/>
                      <a:graphic xmlns:a="http://schemas.openxmlformats.org/drawingml/2006/main">
                        <a:graphicData uri="http://schemas.microsoft.com/office/word/2010/wordprocessingShape">
                          <wps:wsp>
                            <wps:cNvSpPr/>
                            <wps:spPr>
                              <a:xfrm>
                                <a:off x="0" y="0"/>
                                <a:ext cx="779930" cy="336177"/>
                              </a:xfrm>
                              <a:prstGeom prst="rect">
                                <a:avLst/>
                              </a:prstGeom>
                              <a:solidFill>
                                <a:sysClr val="window" lastClr="FFFFFF"/>
                              </a:solidFill>
                              <a:ln w="12700" cap="flat" cmpd="sng" algn="ctr">
                                <a:solidFill>
                                  <a:srgbClr val="70AD47"/>
                                </a:solidFill>
                                <a:prstDash val="solid"/>
                                <a:miter lim="800000"/>
                              </a:ln>
                              <a:effectLst/>
                            </wps:spPr>
                            <wps:txbx>
                              <w:txbxContent>
                                <w:p w14:paraId="603E6654" w14:textId="77777777" w:rsidR="004F5D57" w:rsidRPr="00216C08" w:rsidRDefault="004F5D57" w:rsidP="00CD6352">
                                  <w:pPr>
                                    <w:jc w:val="center"/>
                                    <w:rPr>
                                      <w:rFonts w:ascii="Arial" w:hAnsi="Arial" w:cs="Arial"/>
                                      <w:sz w:val="16"/>
                                      <w:szCs w:val="16"/>
                                    </w:rPr>
                                  </w:pPr>
                                  <w:permStart w:id="702432414" w:edGrp="everyone"/>
                                  <w:r w:rsidRPr="00216C08">
                                    <w:rPr>
                                      <w:rFonts w:ascii="Arial" w:hAnsi="Arial" w:cs="Arial"/>
                                      <w:sz w:val="16"/>
                                      <w:szCs w:val="16"/>
                                    </w:rPr>
                                    <w:t>Cost of finance</w:t>
                                  </w:r>
                                  <w:permEnd w:id="7024324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9C3D" id="Rectangle 206" o:spid="_x0000_s1095" style="position:absolute;margin-left:259.9pt;margin-top:5.3pt;width:61.4pt;height:2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" fillcolor="window" strokecolor="#70ad47" strokeweight="1pt">
                      <v:textbox>
                        <w:txbxContent>
                          <w:p w14:paraId="603E6654" w14:textId="77777777" w:rsidR="004F5D57" w:rsidRPr="00216C08" w:rsidRDefault="004F5D57" w:rsidP="00CD6352">
                            <w:pPr>
                              <w:jc w:val="center"/>
                              <w:rPr>
                                <w:rFonts w:ascii="Arial" w:hAnsi="Arial" w:cs="Arial"/>
                                <w:sz w:val="16"/>
                                <w:szCs w:val="16"/>
                              </w:rPr>
                            </w:pPr>
                            <w:permStart w:id="702432414" w:edGrp="everyone"/>
                            <w:r w:rsidRPr="00216C08">
                              <w:rPr>
                                <w:rFonts w:ascii="Arial" w:hAnsi="Arial" w:cs="Arial"/>
                                <w:sz w:val="16"/>
                                <w:szCs w:val="16"/>
                              </w:rPr>
                              <w:t>Cost of finance</w:t>
                            </w:r>
                            <w:permEnd w:id="702432414"/>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24128" behindDoc="0" locked="0" layoutInCell="1" allowOverlap="1" wp14:anchorId="5C0C6500" wp14:editId="628B9986">
                      <wp:simplePos x="0" y="0"/>
                      <wp:positionH relativeFrom="column">
                        <wp:posOffset>2682518</wp:posOffset>
                      </wp:positionH>
                      <wp:positionV relativeFrom="paragraph">
                        <wp:posOffset>60311</wp:posOffset>
                      </wp:positionV>
                      <wp:extent cx="124168" cy="123289"/>
                      <wp:effectExtent l="19050" t="0" r="47625" b="29210"/>
                      <wp:wrapNone/>
                      <wp:docPr id="207" name="Arrow: Down 207"/>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667A" id="Arrow: Down 207" o:spid="_x0000_s1026" type="#_x0000_t67" style="position:absolute;margin-left:211.2pt;margin-top:4.75pt;width:9.8pt;height:9.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" adj="10800" fillcolor="window" strokecolor="#70ad47" strokeweight="1pt"/>
                  </w:pict>
                </mc:Fallback>
              </mc:AlternateContent>
            </w:r>
          </w:p>
          <w:p w14:paraId="17904681"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19008" behindDoc="0" locked="0" layoutInCell="1" allowOverlap="1" wp14:anchorId="208D926F" wp14:editId="72375D40">
                      <wp:simplePos x="0" y="0"/>
                      <wp:positionH relativeFrom="column">
                        <wp:posOffset>1623316</wp:posOffset>
                      </wp:positionH>
                      <wp:positionV relativeFrom="paragraph">
                        <wp:posOffset>37172</wp:posOffset>
                      </wp:positionV>
                      <wp:extent cx="124168" cy="123289"/>
                      <wp:effectExtent l="19050" t="0" r="47625" b="29210"/>
                      <wp:wrapNone/>
                      <wp:docPr id="208" name="Arrow: Down 208"/>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EAB2" id="Arrow: Down 208" o:spid="_x0000_s1026" type="#_x0000_t67" style="position:absolute;margin-left:127.8pt;margin-top:2.95pt;width:9.8pt;height:9.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76000" behindDoc="0" locked="0" layoutInCell="1" allowOverlap="1" wp14:anchorId="5101518A" wp14:editId="3AA20D8D">
                      <wp:simplePos x="0" y="0"/>
                      <wp:positionH relativeFrom="column">
                        <wp:posOffset>1301129</wp:posOffset>
                      </wp:positionH>
                      <wp:positionV relativeFrom="paragraph">
                        <wp:posOffset>154184</wp:posOffset>
                      </wp:positionV>
                      <wp:extent cx="810603" cy="267128"/>
                      <wp:effectExtent l="0" t="0" r="27940" b="19050"/>
                      <wp:wrapNone/>
                      <wp:docPr id="209" name="Rectangle 209"/>
                      <wp:cNvGraphicFramePr/>
                      <a:graphic xmlns:a="http://schemas.openxmlformats.org/drawingml/2006/main">
                        <a:graphicData uri="http://schemas.microsoft.com/office/word/2010/wordprocessingShape">
                          <wps:wsp>
                            <wps:cNvSpPr/>
                            <wps:spPr>
                              <a:xfrm>
                                <a:off x="0" y="0"/>
                                <a:ext cx="810603" cy="267128"/>
                              </a:xfrm>
                              <a:prstGeom prst="rect">
                                <a:avLst/>
                              </a:prstGeom>
                              <a:solidFill>
                                <a:sysClr val="window" lastClr="FFFFFF"/>
                              </a:solidFill>
                              <a:ln w="12700" cap="flat" cmpd="sng" algn="ctr">
                                <a:solidFill>
                                  <a:srgbClr val="70AD47"/>
                                </a:solidFill>
                                <a:prstDash val="solid"/>
                                <a:miter lim="800000"/>
                              </a:ln>
                              <a:effectLst/>
                            </wps:spPr>
                            <wps:txbx>
                              <w:txbxContent>
                                <w:p w14:paraId="7B3221F4" w14:textId="77777777" w:rsidR="004F5D57" w:rsidRPr="00815A02" w:rsidRDefault="004F5D57" w:rsidP="00CD6352">
                                  <w:pPr>
                                    <w:jc w:val="center"/>
                                    <w:rPr>
                                      <w:rFonts w:ascii="Arial" w:hAnsi="Arial" w:cs="Arial"/>
                                      <w:sz w:val="16"/>
                                      <w:szCs w:val="16"/>
                                    </w:rPr>
                                  </w:pPr>
                                  <w:permStart w:id="1954506241" w:edGrp="everyone"/>
                                  <w:r w:rsidRPr="00815A02">
                                    <w:rPr>
                                      <w:rFonts w:ascii="Arial" w:hAnsi="Arial" w:cs="Arial"/>
                                      <w:sz w:val="16"/>
                                      <w:szCs w:val="16"/>
                                    </w:rPr>
                                    <w:t>Collateral</w:t>
                                  </w:r>
                                  <w:permEnd w:id="19545062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518A" id="Rectangle 209" o:spid="_x0000_s1096" style="position:absolute;margin-left:102.45pt;margin-top:12.15pt;width:63.85pt;height:2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" fillcolor="window" strokecolor="#70ad47" strokeweight="1pt">
                      <v:textbox>
                        <w:txbxContent>
                          <w:p w14:paraId="7B3221F4" w14:textId="77777777" w:rsidR="004F5D57" w:rsidRPr="00815A02" w:rsidRDefault="004F5D57" w:rsidP="00CD6352">
                            <w:pPr>
                              <w:jc w:val="center"/>
                              <w:rPr>
                                <w:rFonts w:ascii="Arial" w:hAnsi="Arial" w:cs="Arial"/>
                                <w:sz w:val="16"/>
                                <w:szCs w:val="16"/>
                              </w:rPr>
                            </w:pPr>
                            <w:permStart w:id="1954506241" w:edGrp="everyone"/>
                            <w:r w:rsidRPr="00815A02">
                              <w:rPr>
                                <w:rFonts w:ascii="Arial" w:hAnsi="Arial" w:cs="Arial"/>
                                <w:sz w:val="16"/>
                                <w:szCs w:val="16"/>
                              </w:rPr>
                              <w:t>Collateral</w:t>
                            </w:r>
                            <w:permEnd w:id="1954506241"/>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16960" behindDoc="0" locked="0" layoutInCell="1" allowOverlap="1" wp14:anchorId="75EE9BB5" wp14:editId="5DD86584">
                      <wp:simplePos x="0" y="0"/>
                      <wp:positionH relativeFrom="column">
                        <wp:posOffset>616450</wp:posOffset>
                      </wp:positionH>
                      <wp:positionV relativeFrom="paragraph">
                        <wp:posOffset>37272</wp:posOffset>
                      </wp:positionV>
                      <wp:extent cx="124168" cy="123289"/>
                      <wp:effectExtent l="19050" t="0" r="47625" b="29210"/>
                      <wp:wrapNone/>
                      <wp:docPr id="210" name="Arrow: Down 210"/>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E979" id="Arrow: Down 210" o:spid="_x0000_s1026" type="#_x0000_t67" style="position:absolute;margin-left:48.55pt;margin-top:2.95pt;width:9.8pt;height: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67808" behindDoc="0" locked="0" layoutInCell="1" allowOverlap="1" wp14:anchorId="51BB4F0C" wp14:editId="19D44DE3">
                      <wp:simplePos x="0" y="0"/>
                      <wp:positionH relativeFrom="column">
                        <wp:posOffset>283988</wp:posOffset>
                      </wp:positionH>
                      <wp:positionV relativeFrom="paragraph">
                        <wp:posOffset>133635</wp:posOffset>
                      </wp:positionV>
                      <wp:extent cx="779780" cy="359596"/>
                      <wp:effectExtent l="0" t="0" r="20320" b="21590"/>
                      <wp:wrapNone/>
                      <wp:docPr id="211" name="Rectangle 211"/>
                      <wp:cNvGraphicFramePr/>
                      <a:graphic xmlns:a="http://schemas.openxmlformats.org/drawingml/2006/main">
                        <a:graphicData uri="http://schemas.microsoft.com/office/word/2010/wordprocessingShape">
                          <wps:wsp>
                            <wps:cNvSpPr/>
                            <wps:spPr>
                              <a:xfrm>
                                <a:off x="0" y="0"/>
                                <a:ext cx="779780" cy="359596"/>
                              </a:xfrm>
                              <a:prstGeom prst="rect">
                                <a:avLst/>
                              </a:prstGeom>
                              <a:solidFill>
                                <a:sysClr val="window" lastClr="FFFFFF"/>
                              </a:solidFill>
                              <a:ln w="12700" cap="flat" cmpd="sng" algn="ctr">
                                <a:solidFill>
                                  <a:srgbClr val="70AD47"/>
                                </a:solidFill>
                                <a:prstDash val="solid"/>
                                <a:miter lim="800000"/>
                              </a:ln>
                              <a:effectLst/>
                            </wps:spPr>
                            <wps:txbx>
                              <w:txbxContent>
                                <w:p w14:paraId="324D5465" w14:textId="77777777" w:rsidR="004F5D57" w:rsidRPr="000B015B" w:rsidRDefault="004F5D57" w:rsidP="00CD6352">
                                  <w:pPr>
                                    <w:jc w:val="center"/>
                                    <w:rPr>
                                      <w:rFonts w:ascii="Arial" w:hAnsi="Arial" w:cs="Arial"/>
                                      <w:sz w:val="16"/>
                                      <w:szCs w:val="16"/>
                                    </w:rPr>
                                  </w:pPr>
                                  <w:permStart w:id="1610549677" w:edGrp="everyone"/>
                                  <w:r w:rsidRPr="000B015B">
                                    <w:rPr>
                                      <w:rFonts w:ascii="Arial" w:hAnsi="Arial" w:cs="Arial"/>
                                      <w:sz w:val="16"/>
                                      <w:szCs w:val="16"/>
                                    </w:rPr>
                                    <w:t>Political</w:t>
                                  </w:r>
                                  <w:r>
                                    <w:rPr>
                                      <w:rFonts w:ascii="Arial" w:hAnsi="Arial" w:cs="Arial"/>
                                      <w:sz w:val="16"/>
                                      <w:szCs w:val="16"/>
                                    </w:rPr>
                                    <w:t xml:space="preserve"> environment</w:t>
                                  </w:r>
                                  <w:permEnd w:id="16105496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B4F0C" id="Rectangle 211" o:spid="_x0000_s1097" style="position:absolute;margin-left:22.35pt;margin-top:10.5pt;width:61.4pt;height:2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" fillcolor="window" strokecolor="#70ad47" strokeweight="1pt">
                      <v:textbox>
                        <w:txbxContent>
                          <w:p w14:paraId="324D5465" w14:textId="77777777" w:rsidR="004F5D57" w:rsidRPr="000B015B" w:rsidRDefault="004F5D57" w:rsidP="00CD6352">
                            <w:pPr>
                              <w:jc w:val="center"/>
                              <w:rPr>
                                <w:rFonts w:ascii="Arial" w:hAnsi="Arial" w:cs="Arial"/>
                                <w:sz w:val="16"/>
                                <w:szCs w:val="16"/>
                              </w:rPr>
                            </w:pPr>
                            <w:permStart w:id="1610549677" w:edGrp="everyone"/>
                            <w:r w:rsidRPr="000B015B">
                              <w:rPr>
                                <w:rFonts w:ascii="Arial" w:hAnsi="Arial" w:cs="Arial"/>
                                <w:sz w:val="16"/>
                                <w:szCs w:val="16"/>
                              </w:rPr>
                              <w:t>Political</w:t>
                            </w:r>
                            <w:r>
                              <w:rPr>
                                <w:rFonts w:ascii="Arial" w:hAnsi="Arial" w:cs="Arial"/>
                                <w:sz w:val="16"/>
                                <w:szCs w:val="16"/>
                              </w:rPr>
                              <w:t xml:space="preserve"> environment</w:t>
                            </w:r>
                            <w:permEnd w:id="1610549677"/>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79072" behindDoc="0" locked="0" layoutInCell="1" allowOverlap="1" wp14:anchorId="00BCBEBB" wp14:editId="63EDC76D">
                      <wp:simplePos x="0" y="0"/>
                      <wp:positionH relativeFrom="column">
                        <wp:posOffset>2372958</wp:posOffset>
                      </wp:positionH>
                      <wp:positionV relativeFrom="paragraph">
                        <wp:posOffset>69514</wp:posOffset>
                      </wp:positionV>
                      <wp:extent cx="860611" cy="241935"/>
                      <wp:effectExtent l="0" t="0" r="15875" b="24765"/>
                      <wp:wrapNone/>
                      <wp:docPr id="212" name="Rectangle 212"/>
                      <wp:cNvGraphicFramePr/>
                      <a:graphic xmlns:a="http://schemas.openxmlformats.org/drawingml/2006/main">
                        <a:graphicData uri="http://schemas.microsoft.com/office/word/2010/wordprocessingShape">
                          <wps:wsp>
                            <wps:cNvSpPr/>
                            <wps:spPr>
                              <a:xfrm>
                                <a:off x="0" y="0"/>
                                <a:ext cx="860611" cy="241935"/>
                              </a:xfrm>
                              <a:prstGeom prst="rect">
                                <a:avLst/>
                              </a:prstGeom>
                              <a:solidFill>
                                <a:sysClr val="window" lastClr="FFFFFF"/>
                              </a:solidFill>
                              <a:ln w="12700" cap="flat" cmpd="sng" algn="ctr">
                                <a:solidFill>
                                  <a:srgbClr val="70AD47"/>
                                </a:solidFill>
                                <a:prstDash val="solid"/>
                                <a:miter lim="800000"/>
                              </a:ln>
                              <a:effectLst/>
                            </wps:spPr>
                            <wps:txbx>
                              <w:txbxContent>
                                <w:p w14:paraId="599A7F2D" w14:textId="77777777" w:rsidR="004F5D57" w:rsidRPr="004A2EC2" w:rsidRDefault="004F5D57" w:rsidP="00CD6352">
                                  <w:pPr>
                                    <w:jc w:val="center"/>
                                    <w:rPr>
                                      <w:rFonts w:ascii="Arial" w:hAnsi="Arial" w:cs="Arial"/>
                                      <w:sz w:val="16"/>
                                      <w:szCs w:val="16"/>
                                    </w:rPr>
                                  </w:pPr>
                                  <w:permStart w:id="643135897" w:edGrp="everyone"/>
                                  <w:r w:rsidRPr="004A2EC2">
                                    <w:rPr>
                                      <w:rFonts w:ascii="Arial" w:hAnsi="Arial" w:cs="Arial"/>
                                      <w:sz w:val="16"/>
                                      <w:szCs w:val="16"/>
                                    </w:rPr>
                                    <w:t>Competences</w:t>
                                  </w:r>
                                  <w:permEnd w:id="6431358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CBEBB" id="Rectangle 212" o:spid="_x0000_s1098" style="position:absolute;margin-left:186.85pt;margin-top:5.45pt;width:67.75pt;height:19.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" fillcolor="window" strokecolor="#70ad47" strokeweight="1pt">
                      <v:textbox>
                        <w:txbxContent>
                          <w:p w14:paraId="599A7F2D" w14:textId="77777777" w:rsidR="004F5D57" w:rsidRPr="004A2EC2" w:rsidRDefault="004F5D57" w:rsidP="00CD6352">
                            <w:pPr>
                              <w:jc w:val="center"/>
                              <w:rPr>
                                <w:rFonts w:ascii="Arial" w:hAnsi="Arial" w:cs="Arial"/>
                                <w:sz w:val="16"/>
                                <w:szCs w:val="16"/>
                              </w:rPr>
                            </w:pPr>
                            <w:permStart w:id="643135897" w:edGrp="everyone"/>
                            <w:r w:rsidRPr="004A2EC2">
                              <w:rPr>
                                <w:rFonts w:ascii="Arial" w:hAnsi="Arial" w:cs="Arial"/>
                                <w:sz w:val="16"/>
                                <w:szCs w:val="16"/>
                              </w:rPr>
                              <w:t>Competences</w:t>
                            </w:r>
                            <w:permEnd w:id="643135897"/>
                          </w:p>
                        </w:txbxContent>
                      </v:textbox>
                    </v:rect>
                  </w:pict>
                </mc:Fallback>
              </mc:AlternateContent>
            </w:r>
          </w:p>
          <w:p w14:paraId="14ED7CDC" w14:textId="77777777" w:rsidR="00CD6352" w:rsidRPr="002510FA" w:rsidRDefault="00CD6352" w:rsidP="00CD6352">
            <w:pPr>
              <w:rPr>
                <w:rFonts w:ascii="Arial" w:eastAsia="Calibri" w:hAnsi="Arial" w:cs="Arial"/>
              </w:rPr>
            </w:pPr>
          </w:p>
          <w:p w14:paraId="75DBCE06"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20032" behindDoc="0" locked="0" layoutInCell="1" allowOverlap="1" wp14:anchorId="340882FB" wp14:editId="4595A915">
                      <wp:simplePos x="0" y="0"/>
                      <wp:positionH relativeFrom="column">
                        <wp:posOffset>1660604</wp:posOffset>
                      </wp:positionH>
                      <wp:positionV relativeFrom="paragraph">
                        <wp:posOffset>110155</wp:posOffset>
                      </wp:positionV>
                      <wp:extent cx="132601" cy="112916"/>
                      <wp:effectExtent l="19050" t="0" r="39370" b="40005"/>
                      <wp:wrapNone/>
                      <wp:docPr id="213" name="Arrow: Down 213"/>
                      <wp:cNvGraphicFramePr/>
                      <a:graphic xmlns:a="http://schemas.openxmlformats.org/drawingml/2006/main">
                        <a:graphicData uri="http://schemas.microsoft.com/office/word/2010/wordprocessingShape">
                          <wps:wsp>
                            <wps:cNvSpPr/>
                            <wps:spPr>
                              <a:xfrm>
                                <a:off x="0" y="0"/>
                                <a:ext cx="132601" cy="112916"/>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1190" id="Arrow: Down 213" o:spid="_x0000_s1026" type="#_x0000_t67" style="position:absolute;margin-left:130.75pt;margin-top:8.65pt;width:10.45pt;height:8.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" adj="10800" fillcolor="window" strokecolor="#70ad47" strokeweight="1pt"/>
                  </w:pict>
                </mc:Fallback>
              </mc:AlternateContent>
            </w:r>
          </w:p>
          <w:p w14:paraId="0C7BAEAC"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82144" behindDoc="0" locked="0" layoutInCell="1" allowOverlap="1" wp14:anchorId="19845290" wp14:editId="0460202E">
                      <wp:simplePos x="0" y="0"/>
                      <wp:positionH relativeFrom="column">
                        <wp:posOffset>1311404</wp:posOffset>
                      </wp:positionH>
                      <wp:positionV relativeFrom="paragraph">
                        <wp:posOffset>43180</wp:posOffset>
                      </wp:positionV>
                      <wp:extent cx="860425" cy="362585"/>
                      <wp:effectExtent l="0" t="0" r="15875" b="18415"/>
                      <wp:wrapNone/>
                      <wp:docPr id="214" name="Rectangle 214"/>
                      <wp:cNvGraphicFramePr/>
                      <a:graphic xmlns:a="http://schemas.openxmlformats.org/drawingml/2006/main">
                        <a:graphicData uri="http://schemas.microsoft.com/office/word/2010/wordprocessingShape">
                          <wps:wsp>
                            <wps:cNvSpPr/>
                            <wps:spPr>
                              <a:xfrm>
                                <a:off x="0" y="0"/>
                                <a:ext cx="860425" cy="362585"/>
                              </a:xfrm>
                              <a:prstGeom prst="rect">
                                <a:avLst/>
                              </a:prstGeom>
                              <a:solidFill>
                                <a:sysClr val="window" lastClr="FFFFFF"/>
                              </a:solidFill>
                              <a:ln w="12700" cap="flat" cmpd="sng" algn="ctr">
                                <a:solidFill>
                                  <a:srgbClr val="70AD47"/>
                                </a:solidFill>
                                <a:prstDash val="solid"/>
                                <a:miter lim="800000"/>
                              </a:ln>
                              <a:effectLst/>
                            </wps:spPr>
                            <wps:txbx>
                              <w:txbxContent>
                                <w:p w14:paraId="0862291E" w14:textId="77777777" w:rsidR="004F5D57" w:rsidRPr="00216C08" w:rsidRDefault="004F5D57" w:rsidP="00CD6352">
                                  <w:pPr>
                                    <w:jc w:val="center"/>
                                    <w:rPr>
                                      <w:rFonts w:ascii="Arial" w:hAnsi="Arial" w:cs="Arial"/>
                                      <w:sz w:val="16"/>
                                      <w:szCs w:val="16"/>
                                    </w:rPr>
                                  </w:pPr>
                                  <w:permStart w:id="1896696679" w:edGrp="everyone"/>
                                  <w:r w:rsidRPr="00216C08">
                                    <w:rPr>
                                      <w:rFonts w:ascii="Arial" w:hAnsi="Arial" w:cs="Arial"/>
                                      <w:sz w:val="16"/>
                                      <w:szCs w:val="16"/>
                                    </w:rPr>
                                    <w:t>Liquidity management</w:t>
                                  </w:r>
                                  <w:permEnd w:id="18966966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45290" id="Rectangle 214" o:spid="_x0000_s1099" style="position:absolute;margin-left:103.25pt;margin-top:3.4pt;width:67.75pt;height:2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" fillcolor="window" strokecolor="#70ad47" strokeweight="1pt">
                      <v:textbox>
                        <w:txbxContent>
                          <w:p w14:paraId="0862291E" w14:textId="77777777" w:rsidR="004F5D57" w:rsidRPr="00216C08" w:rsidRDefault="004F5D57" w:rsidP="00CD6352">
                            <w:pPr>
                              <w:jc w:val="center"/>
                              <w:rPr>
                                <w:rFonts w:ascii="Arial" w:hAnsi="Arial" w:cs="Arial"/>
                                <w:sz w:val="16"/>
                                <w:szCs w:val="16"/>
                              </w:rPr>
                            </w:pPr>
                            <w:permStart w:id="1896696679" w:edGrp="everyone"/>
                            <w:r w:rsidRPr="00216C08">
                              <w:rPr>
                                <w:rFonts w:ascii="Arial" w:hAnsi="Arial" w:cs="Arial"/>
                                <w:sz w:val="16"/>
                                <w:szCs w:val="16"/>
                              </w:rPr>
                              <w:t>Liquidity management</w:t>
                            </w:r>
                            <w:permEnd w:id="1896696679"/>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13888" behindDoc="0" locked="0" layoutInCell="1" allowOverlap="1" wp14:anchorId="76BF2B39" wp14:editId="1EEA117C">
                      <wp:simplePos x="0" y="0"/>
                      <wp:positionH relativeFrom="column">
                        <wp:posOffset>599490</wp:posOffset>
                      </wp:positionH>
                      <wp:positionV relativeFrom="paragraph">
                        <wp:posOffset>11266</wp:posOffset>
                      </wp:positionV>
                      <wp:extent cx="177657" cy="82193"/>
                      <wp:effectExtent l="38100" t="0" r="13335" b="32385"/>
                      <wp:wrapNone/>
                      <wp:docPr id="215" name="Arrow: Down 215"/>
                      <wp:cNvGraphicFramePr/>
                      <a:graphic xmlns:a="http://schemas.openxmlformats.org/drawingml/2006/main">
                        <a:graphicData uri="http://schemas.microsoft.com/office/word/2010/wordprocessingShape">
                          <wps:wsp>
                            <wps:cNvSpPr/>
                            <wps:spPr>
                              <a:xfrm>
                                <a:off x="0" y="0"/>
                                <a:ext cx="177657" cy="82193"/>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3814E" id="Arrow: Down 215" o:spid="_x0000_s1026" type="#_x0000_t67" style="position:absolute;margin-left:47.2pt;margin-top:.9pt;width:14pt;height:6.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68832" behindDoc="0" locked="0" layoutInCell="1" allowOverlap="1" wp14:anchorId="14AD8B8E" wp14:editId="60CF8154">
                      <wp:simplePos x="0" y="0"/>
                      <wp:positionH relativeFrom="column">
                        <wp:posOffset>253165</wp:posOffset>
                      </wp:positionH>
                      <wp:positionV relativeFrom="paragraph">
                        <wp:posOffset>124282</wp:posOffset>
                      </wp:positionV>
                      <wp:extent cx="779930" cy="349321"/>
                      <wp:effectExtent l="0" t="0" r="20320" b="12700"/>
                      <wp:wrapNone/>
                      <wp:docPr id="216" name="Rectangle 216"/>
                      <wp:cNvGraphicFramePr/>
                      <a:graphic xmlns:a="http://schemas.openxmlformats.org/drawingml/2006/main">
                        <a:graphicData uri="http://schemas.microsoft.com/office/word/2010/wordprocessingShape">
                          <wps:wsp>
                            <wps:cNvSpPr/>
                            <wps:spPr>
                              <a:xfrm>
                                <a:off x="0" y="0"/>
                                <a:ext cx="779930" cy="349321"/>
                              </a:xfrm>
                              <a:prstGeom prst="rect">
                                <a:avLst/>
                              </a:prstGeom>
                              <a:solidFill>
                                <a:sysClr val="window" lastClr="FFFFFF"/>
                              </a:solidFill>
                              <a:ln w="12700" cap="flat" cmpd="sng" algn="ctr">
                                <a:solidFill>
                                  <a:srgbClr val="70AD47"/>
                                </a:solidFill>
                                <a:prstDash val="solid"/>
                                <a:miter lim="800000"/>
                              </a:ln>
                              <a:effectLst/>
                            </wps:spPr>
                            <wps:txbx>
                              <w:txbxContent>
                                <w:p w14:paraId="21BEB3D1" w14:textId="77777777" w:rsidR="004F5D57" w:rsidRPr="00473BEC" w:rsidRDefault="004F5D57" w:rsidP="00CD6352">
                                  <w:pPr>
                                    <w:jc w:val="center"/>
                                    <w:rPr>
                                      <w:rFonts w:ascii="Arial" w:hAnsi="Arial" w:cs="Arial"/>
                                      <w:sz w:val="16"/>
                                      <w:szCs w:val="16"/>
                                    </w:rPr>
                                  </w:pPr>
                                  <w:permStart w:id="408831311" w:edGrp="everyone"/>
                                  <w:r>
                                    <w:rPr>
                                      <w:rFonts w:ascii="Arial" w:hAnsi="Arial" w:cs="Arial"/>
                                      <w:sz w:val="16"/>
                                      <w:szCs w:val="16"/>
                                    </w:rPr>
                                    <w:t>Legal environment</w:t>
                                  </w:r>
                                  <w:permEnd w:id="4088313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D8B8E" id="Rectangle 216" o:spid="_x0000_s1100" style="position:absolute;margin-left:19.95pt;margin-top:9.8pt;width:61.4pt;height: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" fillcolor="window" strokecolor="#70ad47" strokeweight="1pt">
                      <v:textbox>
                        <w:txbxContent>
                          <w:p w14:paraId="21BEB3D1" w14:textId="77777777" w:rsidR="004F5D57" w:rsidRPr="00473BEC" w:rsidRDefault="004F5D57" w:rsidP="00CD6352">
                            <w:pPr>
                              <w:jc w:val="center"/>
                              <w:rPr>
                                <w:rFonts w:ascii="Arial" w:hAnsi="Arial" w:cs="Arial"/>
                                <w:sz w:val="16"/>
                                <w:szCs w:val="16"/>
                              </w:rPr>
                            </w:pPr>
                            <w:permStart w:id="408831311" w:edGrp="everyone"/>
                            <w:r>
                              <w:rPr>
                                <w:rFonts w:ascii="Arial" w:hAnsi="Arial" w:cs="Arial"/>
                                <w:sz w:val="16"/>
                                <w:szCs w:val="16"/>
                              </w:rPr>
                              <w:t>Legal environment</w:t>
                            </w:r>
                            <w:permEnd w:id="408831311"/>
                          </w:p>
                        </w:txbxContent>
                      </v:textbox>
                    </v:rect>
                  </w:pict>
                </mc:Fallback>
              </mc:AlternateContent>
            </w:r>
          </w:p>
          <w:p w14:paraId="7FE8C4F0" w14:textId="77777777" w:rsidR="00CD6352" w:rsidRPr="002510FA" w:rsidRDefault="00CD6352" w:rsidP="00CD6352">
            <w:pPr>
              <w:rPr>
                <w:rFonts w:ascii="Arial" w:eastAsia="Calibri" w:hAnsi="Arial" w:cs="Arial"/>
              </w:rPr>
            </w:pPr>
          </w:p>
          <w:p w14:paraId="1FD81DD5" w14:textId="7E9A8A16" w:rsidR="00CD6352" w:rsidRPr="002510FA" w:rsidRDefault="00324B0D"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14912" behindDoc="0" locked="0" layoutInCell="1" allowOverlap="1" wp14:anchorId="182B4446" wp14:editId="0F400733">
                      <wp:simplePos x="0" y="0"/>
                      <wp:positionH relativeFrom="column">
                        <wp:posOffset>2950322</wp:posOffset>
                      </wp:positionH>
                      <wp:positionV relativeFrom="paragraph">
                        <wp:posOffset>122813</wp:posOffset>
                      </wp:positionV>
                      <wp:extent cx="129719" cy="153734"/>
                      <wp:effectExtent l="19050" t="0" r="41910" b="36830"/>
                      <wp:wrapNone/>
                      <wp:docPr id="221" name="Arrow: Down 221"/>
                      <wp:cNvGraphicFramePr/>
                      <a:graphic xmlns:a="http://schemas.openxmlformats.org/drawingml/2006/main">
                        <a:graphicData uri="http://schemas.microsoft.com/office/word/2010/wordprocessingShape">
                          <wps:wsp>
                            <wps:cNvSpPr/>
                            <wps:spPr>
                              <a:xfrm>
                                <a:off x="0" y="0"/>
                                <a:ext cx="129719" cy="153734"/>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71F8" id="Arrow: Down 221" o:spid="_x0000_s1026" type="#_x0000_t67" style="position:absolute;margin-left:232.3pt;margin-top:9.65pt;width:10.2pt;height:12.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" adj="12487" fillcolor="window" strokecolor="#70ad47" strokeweight="1pt"/>
                  </w:pict>
                </mc:Fallback>
              </mc:AlternateContent>
            </w:r>
            <w:r w:rsidR="00CD6352" w:rsidRPr="002510FA">
              <w:rPr>
                <w:rFonts w:ascii="Arial" w:eastAsia="Calibri" w:hAnsi="Arial" w:cs="Arial"/>
                <w:noProof/>
              </w:rPr>
              <mc:AlternateContent>
                <mc:Choice Requires="wps">
                  <w:drawing>
                    <wp:anchor distT="0" distB="0" distL="114300" distR="114300" simplePos="0" relativeHeight="251821056" behindDoc="0" locked="0" layoutInCell="1" allowOverlap="1" wp14:anchorId="13A15CF1" wp14:editId="307752D5">
                      <wp:simplePos x="0" y="0"/>
                      <wp:positionH relativeFrom="column">
                        <wp:posOffset>1633591</wp:posOffset>
                      </wp:positionH>
                      <wp:positionV relativeFrom="paragraph">
                        <wp:posOffset>84069</wp:posOffset>
                      </wp:positionV>
                      <wp:extent cx="124168" cy="123289"/>
                      <wp:effectExtent l="19050" t="0" r="47625" b="29210"/>
                      <wp:wrapNone/>
                      <wp:docPr id="217" name="Arrow: Down 217"/>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13391" id="Arrow: Down 217" o:spid="_x0000_s1026" type="#_x0000_t67" style="position:absolute;margin-left:128.65pt;margin-top:6.6pt;width:9.8pt;height:9.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" adj="10800" fillcolor="window" strokecolor="#70ad47" strokeweight="1pt"/>
                  </w:pict>
                </mc:Fallback>
              </mc:AlternateContent>
            </w:r>
            <w:r w:rsidR="00CD6352" w:rsidRPr="002510FA">
              <w:rPr>
                <w:rFonts w:ascii="Arial" w:eastAsia="Calibri" w:hAnsi="Arial" w:cs="Arial"/>
                <w:noProof/>
              </w:rPr>
              <mc:AlternateContent>
                <mc:Choice Requires="wps">
                  <w:drawing>
                    <wp:anchor distT="0" distB="0" distL="114300" distR="114300" simplePos="0" relativeHeight="251815936" behindDoc="0" locked="0" layoutInCell="1" allowOverlap="1" wp14:anchorId="6CB18194" wp14:editId="70C5008D">
                      <wp:simplePos x="0" y="0"/>
                      <wp:positionH relativeFrom="column">
                        <wp:posOffset>573063</wp:posOffset>
                      </wp:positionH>
                      <wp:positionV relativeFrom="paragraph">
                        <wp:posOffset>166370</wp:posOffset>
                      </wp:positionV>
                      <wp:extent cx="124168" cy="123289"/>
                      <wp:effectExtent l="19050" t="0" r="47625" b="29210"/>
                      <wp:wrapNone/>
                      <wp:docPr id="218" name="Arrow: Down 218"/>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0127" id="Arrow: Down 218" o:spid="_x0000_s1026" type="#_x0000_t67" style="position:absolute;margin-left:45.1pt;margin-top:13.1pt;width:9.8pt;height:9.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" adj="10800" fillcolor="window" strokecolor="#70ad47" strokeweight="1pt"/>
                  </w:pict>
                </mc:Fallback>
              </mc:AlternateContent>
            </w:r>
          </w:p>
          <w:p w14:paraId="40FD248F" w14:textId="1B07558C" w:rsidR="00CD6352" w:rsidRPr="002510FA" w:rsidRDefault="00324B0D"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72928" behindDoc="0" locked="0" layoutInCell="1" allowOverlap="1" wp14:anchorId="0B75439F" wp14:editId="246B2370">
                      <wp:simplePos x="0" y="0"/>
                      <wp:positionH relativeFrom="column">
                        <wp:posOffset>2459676</wp:posOffset>
                      </wp:positionH>
                      <wp:positionV relativeFrom="paragraph">
                        <wp:posOffset>193277</wp:posOffset>
                      </wp:positionV>
                      <wp:extent cx="1143000" cy="400692"/>
                      <wp:effectExtent l="0" t="0" r="19050" b="18415"/>
                      <wp:wrapNone/>
                      <wp:docPr id="222" name="Rectangle 222"/>
                      <wp:cNvGraphicFramePr/>
                      <a:graphic xmlns:a="http://schemas.openxmlformats.org/drawingml/2006/main">
                        <a:graphicData uri="http://schemas.microsoft.com/office/word/2010/wordprocessingShape">
                          <wps:wsp>
                            <wps:cNvSpPr/>
                            <wps:spPr>
                              <a:xfrm>
                                <a:off x="0" y="0"/>
                                <a:ext cx="1143000" cy="400692"/>
                              </a:xfrm>
                              <a:prstGeom prst="rect">
                                <a:avLst/>
                              </a:prstGeom>
                              <a:solidFill>
                                <a:sysClr val="window" lastClr="FFFFFF"/>
                              </a:solidFill>
                              <a:ln w="12700" cap="flat" cmpd="sng" algn="ctr">
                                <a:solidFill>
                                  <a:srgbClr val="70AD47"/>
                                </a:solidFill>
                                <a:prstDash val="solid"/>
                                <a:miter lim="800000"/>
                              </a:ln>
                              <a:effectLst/>
                            </wps:spPr>
                            <wps:txbx>
                              <w:txbxContent>
                                <w:p w14:paraId="1D364DB1" w14:textId="77777777" w:rsidR="004F5D57" w:rsidRPr="00473BEC" w:rsidRDefault="004F5D57" w:rsidP="00CD6352">
                                  <w:pPr>
                                    <w:jc w:val="center"/>
                                    <w:rPr>
                                      <w:rFonts w:ascii="Arial" w:hAnsi="Arial" w:cs="Arial"/>
                                      <w:sz w:val="16"/>
                                      <w:szCs w:val="16"/>
                                    </w:rPr>
                                  </w:pPr>
                                  <w:permStart w:id="842010392" w:edGrp="everyone"/>
                                  <w:r>
                                    <w:rPr>
                                      <w:rFonts w:ascii="Arial" w:hAnsi="Arial" w:cs="Arial"/>
                                      <w:sz w:val="16"/>
                                      <w:szCs w:val="16"/>
                                    </w:rPr>
                                    <w:t xml:space="preserve">Physical </w:t>
                                  </w:r>
                                  <w:r w:rsidRPr="00473BEC">
                                    <w:rPr>
                                      <w:rFonts w:ascii="Arial" w:hAnsi="Arial" w:cs="Arial"/>
                                      <w:sz w:val="16"/>
                                      <w:szCs w:val="16"/>
                                    </w:rPr>
                                    <w:t>Environmental</w:t>
                                  </w:r>
                                  <w:permEnd w:id="8420103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439F" id="Rectangle 222" o:spid="_x0000_s1101" style="position:absolute;margin-left:193.7pt;margin-top:15.2pt;width:90pt;height:31.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" fillcolor="window" strokecolor="#70ad47" strokeweight="1pt">
                      <v:textbox>
                        <w:txbxContent>
                          <w:p w14:paraId="1D364DB1" w14:textId="77777777" w:rsidR="004F5D57" w:rsidRPr="00473BEC" w:rsidRDefault="004F5D57" w:rsidP="00CD6352">
                            <w:pPr>
                              <w:jc w:val="center"/>
                              <w:rPr>
                                <w:rFonts w:ascii="Arial" w:hAnsi="Arial" w:cs="Arial"/>
                                <w:sz w:val="16"/>
                                <w:szCs w:val="16"/>
                              </w:rPr>
                            </w:pPr>
                            <w:permStart w:id="842010392" w:edGrp="everyone"/>
                            <w:r>
                              <w:rPr>
                                <w:rFonts w:ascii="Arial" w:hAnsi="Arial" w:cs="Arial"/>
                                <w:sz w:val="16"/>
                                <w:szCs w:val="16"/>
                              </w:rPr>
                              <w:t xml:space="preserve">Physical </w:t>
                            </w:r>
                            <w:r w:rsidRPr="00473BEC">
                              <w:rPr>
                                <w:rFonts w:ascii="Arial" w:hAnsi="Arial" w:cs="Arial"/>
                                <w:sz w:val="16"/>
                                <w:szCs w:val="16"/>
                              </w:rPr>
                              <w:t>Environmental</w:t>
                            </w:r>
                            <w:permEnd w:id="842010392"/>
                          </w:p>
                        </w:txbxContent>
                      </v:textbox>
                    </v:rect>
                  </w:pict>
                </mc:Fallback>
              </mc:AlternateContent>
            </w:r>
            <w:r w:rsidR="00CD6352" w:rsidRPr="002510FA">
              <w:rPr>
                <w:rFonts w:ascii="Arial" w:eastAsia="Calibri" w:hAnsi="Arial" w:cs="Arial"/>
                <w:noProof/>
              </w:rPr>
              <mc:AlternateContent>
                <mc:Choice Requires="wps">
                  <w:drawing>
                    <wp:anchor distT="0" distB="0" distL="114300" distR="114300" simplePos="0" relativeHeight="251783168" behindDoc="0" locked="0" layoutInCell="1" allowOverlap="1" wp14:anchorId="50B30FBE" wp14:editId="006FC2DF">
                      <wp:simplePos x="0" y="0"/>
                      <wp:positionH relativeFrom="column">
                        <wp:posOffset>1321678</wp:posOffset>
                      </wp:positionH>
                      <wp:positionV relativeFrom="paragraph">
                        <wp:posOffset>53283</wp:posOffset>
                      </wp:positionV>
                      <wp:extent cx="887506" cy="493159"/>
                      <wp:effectExtent l="0" t="0" r="27305" b="21590"/>
                      <wp:wrapNone/>
                      <wp:docPr id="219" name="Rectangle 219"/>
                      <wp:cNvGraphicFramePr/>
                      <a:graphic xmlns:a="http://schemas.openxmlformats.org/drawingml/2006/main">
                        <a:graphicData uri="http://schemas.microsoft.com/office/word/2010/wordprocessingShape">
                          <wps:wsp>
                            <wps:cNvSpPr/>
                            <wps:spPr>
                              <a:xfrm>
                                <a:off x="0" y="0"/>
                                <a:ext cx="887506" cy="493159"/>
                              </a:xfrm>
                              <a:prstGeom prst="rect">
                                <a:avLst/>
                              </a:prstGeom>
                              <a:solidFill>
                                <a:sysClr val="window" lastClr="FFFFFF"/>
                              </a:solidFill>
                              <a:ln w="12700" cap="flat" cmpd="sng" algn="ctr">
                                <a:solidFill>
                                  <a:srgbClr val="70AD47"/>
                                </a:solidFill>
                                <a:prstDash val="solid"/>
                                <a:miter lim="800000"/>
                              </a:ln>
                              <a:effectLst/>
                            </wps:spPr>
                            <wps:txbx>
                              <w:txbxContent>
                                <w:p w14:paraId="5BCA59C8" w14:textId="77777777" w:rsidR="004F5D57" w:rsidRPr="00C0512A" w:rsidRDefault="004F5D57" w:rsidP="00CD6352">
                                  <w:pPr>
                                    <w:jc w:val="center"/>
                                    <w:rPr>
                                      <w:rFonts w:ascii="Arial" w:hAnsi="Arial" w:cs="Arial"/>
                                      <w:sz w:val="16"/>
                                      <w:szCs w:val="16"/>
                                    </w:rPr>
                                  </w:pPr>
                                  <w:permStart w:id="599590662" w:edGrp="everyone"/>
                                  <w:r w:rsidRPr="00C0512A">
                                    <w:rPr>
                                      <w:rFonts w:ascii="Arial" w:hAnsi="Arial" w:cs="Arial"/>
                                      <w:sz w:val="16"/>
                                      <w:szCs w:val="16"/>
                                    </w:rPr>
                                    <w:t>Risk assessment</w:t>
                                  </w:r>
                                  <w:r>
                                    <w:rPr>
                                      <w:rFonts w:ascii="Arial" w:hAnsi="Arial" w:cs="Arial"/>
                                      <w:sz w:val="16"/>
                                      <w:szCs w:val="16"/>
                                    </w:rPr>
                                    <w:t xml:space="preserve"> &amp; management</w:t>
                                  </w:r>
                                  <w:permEnd w:id="5995906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30FBE" id="Rectangle 219" o:spid="_x0000_s1102" style="position:absolute;margin-left:104.05pt;margin-top:4.2pt;width:69.9pt;height:38.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" fillcolor="window" strokecolor="#70ad47" strokeweight="1pt">
                      <v:textbox>
                        <w:txbxContent>
                          <w:p w14:paraId="5BCA59C8" w14:textId="77777777" w:rsidR="004F5D57" w:rsidRPr="00C0512A" w:rsidRDefault="004F5D57" w:rsidP="00CD6352">
                            <w:pPr>
                              <w:jc w:val="center"/>
                              <w:rPr>
                                <w:rFonts w:ascii="Arial" w:hAnsi="Arial" w:cs="Arial"/>
                                <w:sz w:val="16"/>
                                <w:szCs w:val="16"/>
                              </w:rPr>
                            </w:pPr>
                            <w:permStart w:id="599590662" w:edGrp="everyone"/>
                            <w:r w:rsidRPr="00C0512A">
                              <w:rPr>
                                <w:rFonts w:ascii="Arial" w:hAnsi="Arial" w:cs="Arial"/>
                                <w:sz w:val="16"/>
                                <w:szCs w:val="16"/>
                              </w:rPr>
                              <w:t>Risk assessment</w:t>
                            </w:r>
                            <w:r>
                              <w:rPr>
                                <w:rFonts w:ascii="Arial" w:hAnsi="Arial" w:cs="Arial"/>
                                <w:sz w:val="16"/>
                                <w:szCs w:val="16"/>
                              </w:rPr>
                              <w:t xml:space="preserve"> &amp; management</w:t>
                            </w:r>
                            <w:permEnd w:id="599590662"/>
                          </w:p>
                        </w:txbxContent>
                      </v:textbox>
                    </v:rect>
                  </w:pict>
                </mc:Fallback>
              </mc:AlternateContent>
            </w:r>
            <w:r w:rsidR="00CD6352" w:rsidRPr="002510FA">
              <w:rPr>
                <w:rFonts w:ascii="Arial" w:eastAsia="Calibri" w:hAnsi="Arial" w:cs="Arial"/>
                <w:noProof/>
              </w:rPr>
              <mc:AlternateContent>
                <mc:Choice Requires="wps">
                  <w:drawing>
                    <wp:anchor distT="0" distB="0" distL="114300" distR="114300" simplePos="0" relativeHeight="251769856" behindDoc="0" locked="0" layoutInCell="1" allowOverlap="1" wp14:anchorId="5A938621" wp14:editId="688D84C4">
                      <wp:simplePos x="0" y="0"/>
                      <wp:positionH relativeFrom="column">
                        <wp:posOffset>170972</wp:posOffset>
                      </wp:positionH>
                      <wp:positionV relativeFrom="paragraph">
                        <wp:posOffset>73831</wp:posOffset>
                      </wp:positionV>
                      <wp:extent cx="873760" cy="336729"/>
                      <wp:effectExtent l="0" t="0" r="21590" b="25400"/>
                      <wp:wrapNone/>
                      <wp:docPr id="220" name="Rectangle 220"/>
                      <wp:cNvGraphicFramePr/>
                      <a:graphic xmlns:a="http://schemas.openxmlformats.org/drawingml/2006/main">
                        <a:graphicData uri="http://schemas.microsoft.com/office/word/2010/wordprocessingShape">
                          <wps:wsp>
                            <wps:cNvSpPr/>
                            <wps:spPr>
                              <a:xfrm>
                                <a:off x="0" y="0"/>
                                <a:ext cx="873760" cy="336729"/>
                              </a:xfrm>
                              <a:prstGeom prst="rect">
                                <a:avLst/>
                              </a:prstGeom>
                              <a:solidFill>
                                <a:sysClr val="window" lastClr="FFFFFF"/>
                              </a:solidFill>
                              <a:ln w="12700" cap="flat" cmpd="sng" algn="ctr">
                                <a:solidFill>
                                  <a:srgbClr val="70AD47"/>
                                </a:solidFill>
                                <a:prstDash val="solid"/>
                                <a:miter lim="800000"/>
                              </a:ln>
                              <a:effectLst/>
                            </wps:spPr>
                            <wps:txbx>
                              <w:txbxContent>
                                <w:p w14:paraId="353D78F8" w14:textId="77777777" w:rsidR="004F5D57" w:rsidRPr="00807509" w:rsidRDefault="004F5D57" w:rsidP="00CD6352">
                                  <w:pPr>
                                    <w:jc w:val="center"/>
                                    <w:rPr>
                                      <w:rFonts w:ascii="Arial" w:hAnsi="Arial" w:cs="Arial"/>
                                      <w:sz w:val="16"/>
                                      <w:szCs w:val="16"/>
                                    </w:rPr>
                                  </w:pPr>
                                  <w:permStart w:id="409752311" w:edGrp="everyone"/>
                                  <w:r w:rsidRPr="00807509">
                                    <w:rPr>
                                      <w:rFonts w:ascii="Arial" w:hAnsi="Arial" w:cs="Arial"/>
                                      <w:sz w:val="16"/>
                                      <w:szCs w:val="16"/>
                                    </w:rPr>
                                    <w:t>Technologica</w:t>
                                  </w:r>
                                  <w:r>
                                    <w:rPr>
                                      <w:rFonts w:ascii="Arial" w:hAnsi="Arial" w:cs="Arial"/>
                                      <w:sz w:val="16"/>
                                      <w:szCs w:val="16"/>
                                    </w:rPr>
                                    <w:t>l environment</w:t>
                                  </w:r>
                                  <w:permEnd w:id="4097523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38621" id="Rectangle 220" o:spid="_x0000_s1103" style="position:absolute;margin-left:13.45pt;margin-top:5.8pt;width:68.8pt;height: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" fillcolor="window" strokecolor="#70ad47" strokeweight="1pt">
                      <v:textbox>
                        <w:txbxContent>
                          <w:p w14:paraId="353D78F8" w14:textId="77777777" w:rsidR="004F5D57" w:rsidRPr="00807509" w:rsidRDefault="004F5D57" w:rsidP="00CD6352">
                            <w:pPr>
                              <w:jc w:val="center"/>
                              <w:rPr>
                                <w:rFonts w:ascii="Arial" w:hAnsi="Arial" w:cs="Arial"/>
                                <w:sz w:val="16"/>
                                <w:szCs w:val="16"/>
                              </w:rPr>
                            </w:pPr>
                            <w:permStart w:id="409752311" w:edGrp="everyone"/>
                            <w:r w:rsidRPr="00807509">
                              <w:rPr>
                                <w:rFonts w:ascii="Arial" w:hAnsi="Arial" w:cs="Arial"/>
                                <w:sz w:val="16"/>
                                <w:szCs w:val="16"/>
                              </w:rPr>
                              <w:t>Technologica</w:t>
                            </w:r>
                            <w:r>
                              <w:rPr>
                                <w:rFonts w:ascii="Arial" w:hAnsi="Arial" w:cs="Arial"/>
                                <w:sz w:val="16"/>
                                <w:szCs w:val="16"/>
                              </w:rPr>
                              <w:t>l environment</w:t>
                            </w:r>
                            <w:permEnd w:id="409752311"/>
                          </w:p>
                        </w:txbxContent>
                      </v:textbox>
                    </v:rect>
                  </w:pict>
                </mc:Fallback>
              </mc:AlternateContent>
            </w:r>
          </w:p>
          <w:p w14:paraId="4A7053EC" w14:textId="0DAA6788" w:rsidR="00CD6352" w:rsidRPr="002510FA" w:rsidRDefault="00CD6352" w:rsidP="00CD6352">
            <w:pPr>
              <w:rPr>
                <w:rFonts w:ascii="Arial" w:eastAsia="Calibri" w:hAnsi="Arial" w:cs="Arial"/>
              </w:rPr>
            </w:pPr>
          </w:p>
          <w:p w14:paraId="525053A2" w14:textId="0FDFE2AA" w:rsidR="00CD6352" w:rsidRPr="002510FA" w:rsidRDefault="00CD6352" w:rsidP="00CD6352">
            <w:pPr>
              <w:rPr>
                <w:rFonts w:ascii="Arial" w:eastAsia="Calibri" w:hAnsi="Arial" w:cs="Arial"/>
              </w:rPr>
            </w:pPr>
          </w:p>
        </w:tc>
      </w:tr>
      <w:tr w:rsidR="00CD6352" w:rsidRPr="002510FA" w14:paraId="25044653" w14:textId="77777777" w:rsidTr="00CD6352">
        <w:trPr>
          <w:cantSplit/>
          <w:trHeight w:val="1134"/>
        </w:trPr>
        <w:tc>
          <w:tcPr>
            <w:tcW w:w="1385" w:type="dxa"/>
          </w:tcPr>
          <w:p w14:paraId="5745F141" w14:textId="77777777" w:rsidR="00CD6352" w:rsidRPr="002510FA" w:rsidRDefault="00CD6352" w:rsidP="00CD6352">
            <w:pPr>
              <w:rPr>
                <w:rFonts w:ascii="Arial" w:eastAsia="Calibri" w:hAnsi="Arial" w:cs="Arial"/>
              </w:rPr>
            </w:pPr>
            <w:r w:rsidRPr="002510FA">
              <w:rPr>
                <w:rFonts w:ascii="Arial" w:eastAsia="Calibri" w:hAnsi="Arial" w:cs="Arial"/>
              </w:rPr>
              <w:lastRenderedPageBreak/>
              <w:t>Stage 2</w:t>
            </w:r>
          </w:p>
        </w:tc>
        <w:tc>
          <w:tcPr>
            <w:tcW w:w="595" w:type="dxa"/>
            <w:textDirection w:val="btLr"/>
          </w:tcPr>
          <w:p w14:paraId="31452EF2" w14:textId="77777777" w:rsidR="00CD6352" w:rsidRPr="002510FA" w:rsidRDefault="00CD6352" w:rsidP="00CD6352">
            <w:pPr>
              <w:ind w:left="113" w:right="113"/>
              <w:rPr>
                <w:rFonts w:ascii="Arial" w:eastAsia="Calibri" w:hAnsi="Arial" w:cs="Arial"/>
                <w:sz w:val="16"/>
                <w:szCs w:val="16"/>
              </w:rPr>
            </w:pPr>
            <w:r w:rsidRPr="002510FA">
              <w:rPr>
                <w:rFonts w:ascii="Arial" w:eastAsia="Calibri" w:hAnsi="Arial" w:cs="Arial"/>
                <w:sz w:val="16"/>
                <w:szCs w:val="16"/>
              </w:rPr>
              <w:t>Development</w:t>
            </w:r>
          </w:p>
        </w:tc>
        <w:tc>
          <w:tcPr>
            <w:tcW w:w="7036" w:type="dxa"/>
          </w:tcPr>
          <w:p w14:paraId="4626B5B5"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84192" behindDoc="0" locked="0" layoutInCell="1" allowOverlap="1" wp14:anchorId="70584E10" wp14:editId="06B7C130">
                      <wp:simplePos x="0" y="0"/>
                      <wp:positionH relativeFrom="column">
                        <wp:posOffset>-3689</wp:posOffset>
                      </wp:positionH>
                      <wp:positionV relativeFrom="paragraph">
                        <wp:posOffset>158607</wp:posOffset>
                      </wp:positionV>
                      <wp:extent cx="1037690" cy="362585"/>
                      <wp:effectExtent l="0" t="0" r="10160" b="18415"/>
                      <wp:wrapNone/>
                      <wp:docPr id="223" name="Rectangle 223"/>
                      <wp:cNvGraphicFramePr/>
                      <a:graphic xmlns:a="http://schemas.openxmlformats.org/drawingml/2006/main">
                        <a:graphicData uri="http://schemas.microsoft.com/office/word/2010/wordprocessingShape">
                          <wps:wsp>
                            <wps:cNvSpPr/>
                            <wps:spPr>
                              <a:xfrm>
                                <a:off x="0" y="0"/>
                                <a:ext cx="1037690" cy="362585"/>
                              </a:xfrm>
                              <a:prstGeom prst="rect">
                                <a:avLst/>
                              </a:prstGeom>
                              <a:solidFill>
                                <a:sysClr val="window" lastClr="FFFFFF"/>
                              </a:solidFill>
                              <a:ln w="12700" cap="flat" cmpd="sng" algn="ctr">
                                <a:solidFill>
                                  <a:srgbClr val="70AD47"/>
                                </a:solidFill>
                                <a:prstDash val="solid"/>
                                <a:miter lim="800000"/>
                              </a:ln>
                              <a:effectLst/>
                            </wps:spPr>
                            <wps:txbx>
                              <w:txbxContent>
                                <w:p w14:paraId="46B1B311" w14:textId="77777777" w:rsidR="004F5D57" w:rsidRPr="00533B67" w:rsidRDefault="004F5D57" w:rsidP="00CD6352">
                                  <w:pPr>
                                    <w:spacing w:after="0"/>
                                    <w:jc w:val="center"/>
                                    <w:rPr>
                                      <w:rFonts w:ascii="Arial" w:hAnsi="Arial" w:cs="Arial"/>
                                      <w:sz w:val="16"/>
                                      <w:szCs w:val="16"/>
                                    </w:rPr>
                                  </w:pPr>
                                  <w:permStart w:id="2055999688" w:edGrp="everyone"/>
                                  <w:r w:rsidRPr="00533B67">
                                    <w:rPr>
                                      <w:rFonts w:ascii="Arial" w:hAnsi="Arial" w:cs="Arial"/>
                                      <w:sz w:val="16"/>
                                      <w:szCs w:val="16"/>
                                    </w:rPr>
                                    <w:t>Feasibility report</w:t>
                                  </w:r>
                                  <w:permEnd w:id="20559996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4E10" id="Rectangle 223" o:spid="_x0000_s1104" style="position:absolute;margin-left:-.3pt;margin-top:12.5pt;width:81.7pt;height:2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" fillcolor="window" strokecolor="#70ad47" strokeweight="1pt">
                      <v:textbox>
                        <w:txbxContent>
                          <w:p w14:paraId="46B1B311" w14:textId="77777777" w:rsidR="004F5D57" w:rsidRPr="00533B67" w:rsidRDefault="004F5D57" w:rsidP="00CD6352">
                            <w:pPr>
                              <w:spacing w:after="0"/>
                              <w:jc w:val="center"/>
                              <w:rPr>
                                <w:rFonts w:ascii="Arial" w:hAnsi="Arial" w:cs="Arial"/>
                                <w:sz w:val="16"/>
                                <w:szCs w:val="16"/>
                              </w:rPr>
                            </w:pPr>
                            <w:permStart w:id="2055999688" w:edGrp="everyone"/>
                            <w:r w:rsidRPr="00533B67">
                              <w:rPr>
                                <w:rFonts w:ascii="Arial" w:hAnsi="Arial" w:cs="Arial"/>
                                <w:sz w:val="16"/>
                                <w:szCs w:val="16"/>
                              </w:rPr>
                              <w:t>Feasibility report</w:t>
                            </w:r>
                            <w:permEnd w:id="2055999688"/>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87264" behindDoc="0" locked="0" layoutInCell="1" allowOverlap="1" wp14:anchorId="527B0E33" wp14:editId="55DCAA78">
                      <wp:simplePos x="0" y="0"/>
                      <wp:positionH relativeFrom="column">
                        <wp:posOffset>1256852</wp:posOffset>
                      </wp:positionH>
                      <wp:positionV relativeFrom="paragraph">
                        <wp:posOffset>145302</wp:posOffset>
                      </wp:positionV>
                      <wp:extent cx="914400" cy="524435"/>
                      <wp:effectExtent l="0" t="0" r="19050" b="28575"/>
                      <wp:wrapNone/>
                      <wp:docPr id="224" name="Rectangle 224"/>
                      <wp:cNvGraphicFramePr/>
                      <a:graphic xmlns:a="http://schemas.openxmlformats.org/drawingml/2006/main">
                        <a:graphicData uri="http://schemas.microsoft.com/office/word/2010/wordprocessingShape">
                          <wps:wsp>
                            <wps:cNvSpPr/>
                            <wps:spPr>
                              <a:xfrm>
                                <a:off x="0" y="0"/>
                                <a:ext cx="914400" cy="524435"/>
                              </a:xfrm>
                              <a:prstGeom prst="rect">
                                <a:avLst/>
                              </a:prstGeom>
                              <a:solidFill>
                                <a:sysClr val="window" lastClr="FFFFFF"/>
                              </a:solidFill>
                              <a:ln w="12700" cap="flat" cmpd="sng" algn="ctr">
                                <a:solidFill>
                                  <a:srgbClr val="70AD47"/>
                                </a:solidFill>
                                <a:prstDash val="solid"/>
                                <a:miter lim="800000"/>
                              </a:ln>
                              <a:effectLst/>
                            </wps:spPr>
                            <wps:txbx>
                              <w:txbxContent>
                                <w:p w14:paraId="766ADBA9" w14:textId="77777777" w:rsidR="004F5D57" w:rsidRPr="00533B67" w:rsidRDefault="004F5D57" w:rsidP="00CD6352">
                                  <w:pPr>
                                    <w:jc w:val="center"/>
                                    <w:rPr>
                                      <w:rFonts w:ascii="Arial" w:hAnsi="Arial" w:cs="Arial"/>
                                      <w:sz w:val="16"/>
                                      <w:szCs w:val="16"/>
                                    </w:rPr>
                                  </w:pPr>
                                  <w:permStart w:id="1161768040" w:edGrp="everyone"/>
                                  <w:r w:rsidRPr="00533B67">
                                    <w:rPr>
                                      <w:rFonts w:ascii="Arial" w:hAnsi="Arial" w:cs="Arial"/>
                                      <w:sz w:val="16"/>
                                      <w:szCs w:val="16"/>
                                    </w:rPr>
                                    <w:t>Develop consumer relationship</w:t>
                                  </w:r>
                                  <w:permEnd w:id="11617680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B0E33" id="Rectangle 224" o:spid="_x0000_s1105" style="position:absolute;margin-left:98.95pt;margin-top:11.45pt;width:1in;height:41.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" fillcolor="window" strokecolor="#70ad47" strokeweight="1pt">
                      <v:textbox>
                        <w:txbxContent>
                          <w:p w14:paraId="766ADBA9" w14:textId="77777777" w:rsidR="004F5D57" w:rsidRPr="00533B67" w:rsidRDefault="004F5D57" w:rsidP="00CD6352">
                            <w:pPr>
                              <w:jc w:val="center"/>
                              <w:rPr>
                                <w:rFonts w:ascii="Arial" w:hAnsi="Arial" w:cs="Arial"/>
                                <w:sz w:val="16"/>
                                <w:szCs w:val="16"/>
                              </w:rPr>
                            </w:pPr>
                            <w:permStart w:id="1161768040" w:edGrp="everyone"/>
                            <w:r w:rsidRPr="00533B67">
                              <w:rPr>
                                <w:rFonts w:ascii="Arial" w:hAnsi="Arial" w:cs="Arial"/>
                                <w:sz w:val="16"/>
                                <w:szCs w:val="16"/>
                              </w:rPr>
                              <w:t>Develop consumer relationship</w:t>
                            </w:r>
                            <w:permEnd w:id="1161768040"/>
                          </w:p>
                        </w:txbxContent>
                      </v:textbox>
                    </v:rect>
                  </w:pict>
                </mc:Fallback>
              </mc:AlternateContent>
            </w:r>
          </w:p>
          <w:p w14:paraId="5615B8A5"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38464" behindDoc="0" locked="0" layoutInCell="1" allowOverlap="1" wp14:anchorId="0D84A5AC" wp14:editId="34D4766D">
                      <wp:simplePos x="0" y="0"/>
                      <wp:positionH relativeFrom="column">
                        <wp:posOffset>1099892</wp:posOffset>
                      </wp:positionH>
                      <wp:positionV relativeFrom="paragraph">
                        <wp:posOffset>122505</wp:posOffset>
                      </wp:positionV>
                      <wp:extent cx="164173" cy="104240"/>
                      <wp:effectExtent l="0" t="19050" r="45720" b="29210"/>
                      <wp:wrapNone/>
                      <wp:docPr id="225" name="Arrow: Right 225"/>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3963" id="Arrow: Right 225" o:spid="_x0000_s1026" type="#_x0000_t13" style="position:absolute;margin-left:86.6pt;margin-top:9.65pt;width:12.95pt;height:8.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" adj="14743"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98528" behindDoc="0" locked="0" layoutInCell="1" allowOverlap="1" wp14:anchorId="55CFFD40" wp14:editId="27336F4C">
                      <wp:simplePos x="0" y="0"/>
                      <wp:positionH relativeFrom="column">
                        <wp:posOffset>2431869</wp:posOffset>
                      </wp:positionH>
                      <wp:positionV relativeFrom="paragraph">
                        <wp:posOffset>30752</wp:posOffset>
                      </wp:positionV>
                      <wp:extent cx="1273265" cy="391886"/>
                      <wp:effectExtent l="0" t="0" r="22225" b="27305"/>
                      <wp:wrapNone/>
                      <wp:docPr id="226" name="Rectangle 226"/>
                      <wp:cNvGraphicFramePr/>
                      <a:graphic xmlns:a="http://schemas.openxmlformats.org/drawingml/2006/main">
                        <a:graphicData uri="http://schemas.microsoft.com/office/word/2010/wordprocessingShape">
                          <wps:wsp>
                            <wps:cNvSpPr/>
                            <wps:spPr>
                              <a:xfrm>
                                <a:off x="0" y="0"/>
                                <a:ext cx="1273265" cy="391886"/>
                              </a:xfrm>
                              <a:prstGeom prst="rect">
                                <a:avLst/>
                              </a:prstGeom>
                              <a:solidFill>
                                <a:sysClr val="window" lastClr="FFFFFF"/>
                              </a:solidFill>
                              <a:ln w="12700" cap="flat" cmpd="sng" algn="ctr">
                                <a:solidFill>
                                  <a:srgbClr val="70AD47"/>
                                </a:solidFill>
                                <a:prstDash val="solid"/>
                                <a:miter lim="800000"/>
                              </a:ln>
                              <a:effectLst/>
                            </wps:spPr>
                            <wps:txbx>
                              <w:txbxContent>
                                <w:p w14:paraId="685077D9" w14:textId="77777777" w:rsidR="004F5D57" w:rsidRPr="00533B67" w:rsidRDefault="004F5D57" w:rsidP="00CD6352">
                                  <w:pPr>
                                    <w:spacing w:after="0"/>
                                    <w:jc w:val="center"/>
                                    <w:rPr>
                                      <w:rFonts w:ascii="Arial" w:hAnsi="Arial" w:cs="Arial"/>
                                      <w:sz w:val="16"/>
                                      <w:szCs w:val="16"/>
                                    </w:rPr>
                                  </w:pPr>
                                  <w:permStart w:id="1654733846" w:edGrp="everyone"/>
                                  <w:r>
                                    <w:rPr>
                                      <w:rFonts w:ascii="Arial" w:hAnsi="Arial" w:cs="Arial"/>
                                      <w:sz w:val="16"/>
                                      <w:szCs w:val="16"/>
                                    </w:rPr>
                                    <w:t>Proposal/ request for finance</w:t>
                                  </w:r>
                                  <w:permEnd w:id="16547338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FD40" id="Rectangle 226" o:spid="_x0000_s1106" style="position:absolute;margin-left:191.5pt;margin-top:2.4pt;width:100.25pt;height:3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" fillcolor="window" strokecolor="#70ad47" strokeweight="1pt">
                      <v:textbox>
                        <w:txbxContent>
                          <w:p w14:paraId="685077D9" w14:textId="77777777" w:rsidR="004F5D57" w:rsidRPr="00533B67" w:rsidRDefault="004F5D57" w:rsidP="00CD6352">
                            <w:pPr>
                              <w:spacing w:after="0"/>
                              <w:jc w:val="center"/>
                              <w:rPr>
                                <w:rFonts w:ascii="Arial" w:hAnsi="Arial" w:cs="Arial"/>
                                <w:sz w:val="16"/>
                                <w:szCs w:val="16"/>
                              </w:rPr>
                            </w:pPr>
                            <w:permStart w:id="1654733846" w:edGrp="everyone"/>
                            <w:r>
                              <w:rPr>
                                <w:rFonts w:ascii="Arial" w:hAnsi="Arial" w:cs="Arial"/>
                                <w:sz w:val="16"/>
                                <w:szCs w:val="16"/>
                              </w:rPr>
                              <w:t>Proposal/ request for finance</w:t>
                            </w:r>
                            <w:permEnd w:id="1654733846"/>
                          </w:p>
                        </w:txbxContent>
                      </v:textbox>
                    </v:rect>
                  </w:pict>
                </mc:Fallback>
              </mc:AlternateContent>
            </w:r>
          </w:p>
          <w:p w14:paraId="1A596E41"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39488" behindDoc="0" locked="0" layoutInCell="1" allowOverlap="1" wp14:anchorId="7B41716D" wp14:editId="18A952FE">
                      <wp:simplePos x="0" y="0"/>
                      <wp:positionH relativeFrom="column">
                        <wp:posOffset>2239767</wp:posOffset>
                      </wp:positionH>
                      <wp:positionV relativeFrom="paragraph">
                        <wp:posOffset>23395</wp:posOffset>
                      </wp:positionV>
                      <wp:extent cx="164173" cy="104240"/>
                      <wp:effectExtent l="0" t="19050" r="45720" b="29210"/>
                      <wp:wrapNone/>
                      <wp:docPr id="227" name="Arrow: Right 227"/>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3C5F" id="Arrow: Right 227" o:spid="_x0000_s1026" type="#_x0000_t13" style="position:absolute;margin-left:176.35pt;margin-top:1.85pt;width:12.95pt;height:8.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" adj="14743" fillcolor="window" strokecolor="#70ad47" strokeweight="1pt"/>
                  </w:pict>
                </mc:Fallback>
              </mc:AlternateContent>
            </w:r>
          </w:p>
          <w:p w14:paraId="73E7850F"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32320" behindDoc="0" locked="0" layoutInCell="1" allowOverlap="1" wp14:anchorId="32E19F6F" wp14:editId="14AE31E7">
                      <wp:simplePos x="0" y="0"/>
                      <wp:positionH relativeFrom="column">
                        <wp:posOffset>3025689</wp:posOffset>
                      </wp:positionH>
                      <wp:positionV relativeFrom="paragraph">
                        <wp:posOffset>97883</wp:posOffset>
                      </wp:positionV>
                      <wp:extent cx="101778" cy="92360"/>
                      <wp:effectExtent l="19050" t="0" r="31750" b="41275"/>
                      <wp:wrapNone/>
                      <wp:docPr id="228" name="Arrow: Down 228"/>
                      <wp:cNvGraphicFramePr/>
                      <a:graphic xmlns:a="http://schemas.openxmlformats.org/drawingml/2006/main">
                        <a:graphicData uri="http://schemas.microsoft.com/office/word/2010/wordprocessingShape">
                          <wps:wsp>
                            <wps:cNvSpPr/>
                            <wps:spPr>
                              <a:xfrm>
                                <a:off x="0" y="0"/>
                                <a:ext cx="101778" cy="9236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B940" id="Arrow: Down 228" o:spid="_x0000_s1026" type="#_x0000_t67" style="position:absolute;margin-left:238.25pt;margin-top:7.7pt;width:8pt;height: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29248" behindDoc="0" locked="0" layoutInCell="1" allowOverlap="1" wp14:anchorId="79BD36D1" wp14:editId="6AECF033">
                      <wp:simplePos x="0" y="0"/>
                      <wp:positionH relativeFrom="column">
                        <wp:posOffset>441254</wp:posOffset>
                      </wp:positionH>
                      <wp:positionV relativeFrom="paragraph">
                        <wp:posOffset>32606</wp:posOffset>
                      </wp:positionV>
                      <wp:extent cx="124168" cy="123289"/>
                      <wp:effectExtent l="19050" t="0" r="47625" b="29210"/>
                      <wp:wrapNone/>
                      <wp:docPr id="229" name="Arrow: Down 229"/>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7491" id="Arrow: Down 229" o:spid="_x0000_s1026" type="#_x0000_t67" style="position:absolute;margin-left:34.75pt;margin-top:2.55pt;width:9.8pt;height:9.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85216" behindDoc="0" locked="0" layoutInCell="1" allowOverlap="1" wp14:anchorId="1EC7D388" wp14:editId="730ADDBF">
                      <wp:simplePos x="0" y="0"/>
                      <wp:positionH relativeFrom="column">
                        <wp:posOffset>-7172</wp:posOffset>
                      </wp:positionH>
                      <wp:positionV relativeFrom="paragraph">
                        <wp:posOffset>160879</wp:posOffset>
                      </wp:positionV>
                      <wp:extent cx="1048721" cy="349624"/>
                      <wp:effectExtent l="0" t="0" r="18415" b="12700"/>
                      <wp:wrapNone/>
                      <wp:docPr id="230" name="Rectangle 230"/>
                      <wp:cNvGraphicFramePr/>
                      <a:graphic xmlns:a="http://schemas.openxmlformats.org/drawingml/2006/main">
                        <a:graphicData uri="http://schemas.microsoft.com/office/word/2010/wordprocessingShape">
                          <wps:wsp>
                            <wps:cNvSpPr/>
                            <wps:spPr>
                              <a:xfrm>
                                <a:off x="0" y="0"/>
                                <a:ext cx="1048721" cy="349624"/>
                              </a:xfrm>
                              <a:prstGeom prst="rect">
                                <a:avLst/>
                              </a:prstGeom>
                              <a:solidFill>
                                <a:sysClr val="window" lastClr="FFFFFF"/>
                              </a:solidFill>
                              <a:ln w="12700" cap="flat" cmpd="sng" algn="ctr">
                                <a:solidFill>
                                  <a:srgbClr val="70AD47"/>
                                </a:solidFill>
                                <a:prstDash val="solid"/>
                                <a:miter lim="800000"/>
                              </a:ln>
                              <a:effectLst/>
                            </wps:spPr>
                            <wps:txbx>
                              <w:txbxContent>
                                <w:p w14:paraId="51A08A7F" w14:textId="77777777" w:rsidR="004F5D57" w:rsidRPr="00533B67" w:rsidRDefault="004F5D57" w:rsidP="00CD6352">
                                  <w:pPr>
                                    <w:jc w:val="center"/>
                                    <w:rPr>
                                      <w:rFonts w:ascii="Arial" w:hAnsi="Arial" w:cs="Arial"/>
                                      <w:sz w:val="16"/>
                                      <w:szCs w:val="16"/>
                                    </w:rPr>
                                  </w:pPr>
                                  <w:permStart w:id="278663032" w:edGrp="everyone"/>
                                  <w:r>
                                    <w:rPr>
                                      <w:rFonts w:ascii="Arial" w:hAnsi="Arial" w:cs="Arial"/>
                                      <w:sz w:val="16"/>
                                      <w:szCs w:val="16"/>
                                    </w:rPr>
                                    <w:t>Legal</w:t>
                                  </w:r>
                                  <w:r w:rsidRPr="00533B67">
                                    <w:rPr>
                                      <w:rFonts w:ascii="Arial" w:hAnsi="Arial" w:cs="Arial"/>
                                      <w:sz w:val="16"/>
                                      <w:szCs w:val="16"/>
                                    </w:rPr>
                                    <w:t xml:space="preserve"> feasibility</w:t>
                                  </w:r>
                                  <w:permEnd w:id="2786630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7D388" id="Rectangle 230" o:spid="_x0000_s1107" style="position:absolute;margin-left:-.55pt;margin-top:12.65pt;width:82.6pt;height:2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" fillcolor="window" strokecolor="#70ad47" strokeweight="1pt">
                      <v:textbox>
                        <w:txbxContent>
                          <w:p w14:paraId="51A08A7F" w14:textId="77777777" w:rsidR="004F5D57" w:rsidRPr="00533B67" w:rsidRDefault="004F5D57" w:rsidP="00CD6352">
                            <w:pPr>
                              <w:jc w:val="center"/>
                              <w:rPr>
                                <w:rFonts w:ascii="Arial" w:hAnsi="Arial" w:cs="Arial"/>
                                <w:sz w:val="16"/>
                                <w:szCs w:val="16"/>
                              </w:rPr>
                            </w:pPr>
                            <w:permStart w:id="278663032" w:edGrp="everyone"/>
                            <w:r>
                              <w:rPr>
                                <w:rFonts w:ascii="Arial" w:hAnsi="Arial" w:cs="Arial"/>
                                <w:sz w:val="16"/>
                                <w:szCs w:val="16"/>
                              </w:rPr>
                              <w:t>Legal</w:t>
                            </w:r>
                            <w:r w:rsidRPr="00533B67">
                              <w:rPr>
                                <w:rFonts w:ascii="Arial" w:hAnsi="Arial" w:cs="Arial"/>
                                <w:sz w:val="16"/>
                                <w:szCs w:val="16"/>
                              </w:rPr>
                              <w:t xml:space="preserve"> feasibility</w:t>
                            </w:r>
                            <w:permEnd w:id="278663032"/>
                          </w:p>
                        </w:txbxContent>
                      </v:textbox>
                    </v:rect>
                  </w:pict>
                </mc:Fallback>
              </mc:AlternateContent>
            </w:r>
          </w:p>
          <w:p w14:paraId="13E87B4D"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99552" behindDoc="0" locked="0" layoutInCell="1" allowOverlap="1" wp14:anchorId="02E9E452" wp14:editId="61E8E20C">
                      <wp:simplePos x="0" y="0"/>
                      <wp:positionH relativeFrom="column">
                        <wp:posOffset>2441561</wp:posOffset>
                      </wp:positionH>
                      <wp:positionV relativeFrom="paragraph">
                        <wp:posOffset>29695</wp:posOffset>
                      </wp:positionV>
                      <wp:extent cx="1258099" cy="500380"/>
                      <wp:effectExtent l="0" t="0" r="18415" b="13970"/>
                      <wp:wrapNone/>
                      <wp:docPr id="231" name="Rectangle 231"/>
                      <wp:cNvGraphicFramePr/>
                      <a:graphic xmlns:a="http://schemas.openxmlformats.org/drawingml/2006/main">
                        <a:graphicData uri="http://schemas.microsoft.com/office/word/2010/wordprocessingShape">
                          <wps:wsp>
                            <wps:cNvSpPr/>
                            <wps:spPr>
                              <a:xfrm>
                                <a:off x="0" y="0"/>
                                <a:ext cx="1258099" cy="500380"/>
                              </a:xfrm>
                              <a:prstGeom prst="rect">
                                <a:avLst/>
                              </a:prstGeom>
                              <a:solidFill>
                                <a:sysClr val="window" lastClr="FFFFFF"/>
                              </a:solidFill>
                              <a:ln w="12700" cap="flat" cmpd="sng" algn="ctr">
                                <a:solidFill>
                                  <a:srgbClr val="70AD47"/>
                                </a:solidFill>
                                <a:prstDash val="solid"/>
                                <a:miter lim="800000"/>
                              </a:ln>
                              <a:effectLst/>
                            </wps:spPr>
                            <wps:txbx>
                              <w:txbxContent>
                                <w:p w14:paraId="4546520B" w14:textId="77777777" w:rsidR="004F5D57" w:rsidRPr="00533B67" w:rsidRDefault="004F5D57" w:rsidP="00CD6352">
                                  <w:pPr>
                                    <w:jc w:val="center"/>
                                    <w:rPr>
                                      <w:rFonts w:ascii="Arial" w:hAnsi="Arial" w:cs="Arial"/>
                                      <w:sz w:val="16"/>
                                      <w:szCs w:val="16"/>
                                    </w:rPr>
                                  </w:pPr>
                                  <w:permStart w:id="612656432" w:edGrp="everyone"/>
                                  <w:r>
                                    <w:rPr>
                                      <w:rFonts w:ascii="Arial" w:hAnsi="Arial" w:cs="Arial"/>
                                      <w:sz w:val="16"/>
                                      <w:szCs w:val="16"/>
                                    </w:rPr>
                                    <w:t>Provide financial modelling with realistic assumptions</w:t>
                                  </w:r>
                                  <w:permEnd w:id="6126564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9E452" id="Rectangle 231" o:spid="_x0000_s1108" style="position:absolute;margin-left:192.25pt;margin-top:2.35pt;width:99.05pt;height:39.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" fillcolor="window" strokecolor="#70ad47" strokeweight="1pt">
                      <v:textbox>
                        <w:txbxContent>
                          <w:p w14:paraId="4546520B" w14:textId="77777777" w:rsidR="004F5D57" w:rsidRPr="00533B67" w:rsidRDefault="004F5D57" w:rsidP="00CD6352">
                            <w:pPr>
                              <w:jc w:val="center"/>
                              <w:rPr>
                                <w:rFonts w:ascii="Arial" w:hAnsi="Arial" w:cs="Arial"/>
                                <w:sz w:val="16"/>
                                <w:szCs w:val="16"/>
                              </w:rPr>
                            </w:pPr>
                            <w:permStart w:id="612656432" w:edGrp="everyone"/>
                            <w:r>
                              <w:rPr>
                                <w:rFonts w:ascii="Arial" w:hAnsi="Arial" w:cs="Arial"/>
                                <w:sz w:val="16"/>
                                <w:szCs w:val="16"/>
                              </w:rPr>
                              <w:t>Provide financial modelling with realistic assumptions</w:t>
                            </w:r>
                            <w:permEnd w:id="612656432"/>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30272" behindDoc="0" locked="0" layoutInCell="1" allowOverlap="1" wp14:anchorId="3E34D269" wp14:editId="0B78CDC8">
                      <wp:simplePos x="0" y="0"/>
                      <wp:positionH relativeFrom="column">
                        <wp:posOffset>1643865</wp:posOffset>
                      </wp:positionH>
                      <wp:positionV relativeFrom="paragraph">
                        <wp:posOffset>45541</wp:posOffset>
                      </wp:positionV>
                      <wp:extent cx="124168" cy="123289"/>
                      <wp:effectExtent l="19050" t="0" r="47625" b="29210"/>
                      <wp:wrapNone/>
                      <wp:docPr id="232" name="Arrow: Down 232"/>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E4A7" id="Arrow: Down 232" o:spid="_x0000_s1026" type="#_x0000_t67" style="position:absolute;margin-left:129.45pt;margin-top:3.6pt;width:9.8pt;height:9.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88288" behindDoc="0" locked="0" layoutInCell="1" allowOverlap="1" wp14:anchorId="347B17A5" wp14:editId="7146F24D">
                      <wp:simplePos x="0" y="0"/>
                      <wp:positionH relativeFrom="column">
                        <wp:posOffset>1280581</wp:posOffset>
                      </wp:positionH>
                      <wp:positionV relativeFrom="paragraph">
                        <wp:posOffset>132437</wp:posOffset>
                      </wp:positionV>
                      <wp:extent cx="890841" cy="268605"/>
                      <wp:effectExtent l="0" t="0" r="24130" b="17145"/>
                      <wp:wrapNone/>
                      <wp:docPr id="233" name="Rectangle 233"/>
                      <wp:cNvGraphicFramePr/>
                      <a:graphic xmlns:a="http://schemas.openxmlformats.org/drawingml/2006/main">
                        <a:graphicData uri="http://schemas.microsoft.com/office/word/2010/wordprocessingShape">
                          <wps:wsp>
                            <wps:cNvSpPr/>
                            <wps:spPr>
                              <a:xfrm>
                                <a:off x="0" y="0"/>
                                <a:ext cx="890841" cy="268605"/>
                              </a:xfrm>
                              <a:prstGeom prst="rect">
                                <a:avLst/>
                              </a:prstGeom>
                              <a:solidFill>
                                <a:sysClr val="window" lastClr="FFFFFF"/>
                              </a:solidFill>
                              <a:ln w="12700" cap="flat" cmpd="sng" algn="ctr">
                                <a:solidFill>
                                  <a:srgbClr val="70AD47"/>
                                </a:solidFill>
                                <a:prstDash val="solid"/>
                                <a:miter lim="800000"/>
                              </a:ln>
                              <a:effectLst/>
                            </wps:spPr>
                            <wps:txbx>
                              <w:txbxContent>
                                <w:p w14:paraId="11FD3493" w14:textId="77777777" w:rsidR="004F5D57" w:rsidRPr="00575267" w:rsidRDefault="004F5D57" w:rsidP="00CD6352">
                                  <w:pPr>
                                    <w:jc w:val="center"/>
                                    <w:rPr>
                                      <w:rFonts w:ascii="Arial" w:hAnsi="Arial" w:cs="Arial"/>
                                      <w:sz w:val="16"/>
                                      <w:szCs w:val="16"/>
                                    </w:rPr>
                                  </w:pPr>
                                  <w:permStart w:id="1415254672" w:edGrp="everyone"/>
                                  <w:r w:rsidRPr="00575267">
                                    <w:rPr>
                                      <w:rFonts w:ascii="Arial" w:hAnsi="Arial" w:cs="Arial"/>
                                      <w:sz w:val="16"/>
                                      <w:szCs w:val="16"/>
                                    </w:rPr>
                                    <w:t>Off-takers</w:t>
                                  </w:r>
                                  <w:permEnd w:id="14152546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B17A5" id="Rectangle 233" o:spid="_x0000_s1109" style="position:absolute;margin-left:100.85pt;margin-top:10.45pt;width:70.15pt;height:2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" fillcolor="window" strokecolor="#70ad47" strokeweight="1pt">
                      <v:textbox>
                        <w:txbxContent>
                          <w:p w14:paraId="11FD3493" w14:textId="77777777" w:rsidR="004F5D57" w:rsidRPr="00575267" w:rsidRDefault="004F5D57" w:rsidP="00CD6352">
                            <w:pPr>
                              <w:jc w:val="center"/>
                              <w:rPr>
                                <w:rFonts w:ascii="Arial" w:hAnsi="Arial" w:cs="Arial"/>
                                <w:sz w:val="16"/>
                                <w:szCs w:val="16"/>
                              </w:rPr>
                            </w:pPr>
                            <w:permStart w:id="1415254672" w:edGrp="everyone"/>
                            <w:r w:rsidRPr="00575267">
                              <w:rPr>
                                <w:rFonts w:ascii="Arial" w:hAnsi="Arial" w:cs="Arial"/>
                                <w:sz w:val="16"/>
                                <w:szCs w:val="16"/>
                              </w:rPr>
                              <w:t>Off-takers</w:t>
                            </w:r>
                            <w:permEnd w:id="1415254672"/>
                          </w:p>
                        </w:txbxContent>
                      </v:textbox>
                    </v:rect>
                  </w:pict>
                </mc:Fallback>
              </mc:AlternateContent>
            </w:r>
          </w:p>
          <w:p w14:paraId="58CEED59"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28224" behindDoc="0" locked="0" layoutInCell="1" allowOverlap="1" wp14:anchorId="49CA5A40" wp14:editId="72F520D7">
                      <wp:simplePos x="0" y="0"/>
                      <wp:positionH relativeFrom="column">
                        <wp:posOffset>405765</wp:posOffset>
                      </wp:positionH>
                      <wp:positionV relativeFrom="paragraph">
                        <wp:posOffset>144780</wp:posOffset>
                      </wp:positionV>
                      <wp:extent cx="144780" cy="153670"/>
                      <wp:effectExtent l="19050" t="0" r="26670" b="36830"/>
                      <wp:wrapNone/>
                      <wp:docPr id="234" name="Arrow: Down 234"/>
                      <wp:cNvGraphicFramePr/>
                      <a:graphic xmlns:a="http://schemas.openxmlformats.org/drawingml/2006/main">
                        <a:graphicData uri="http://schemas.microsoft.com/office/word/2010/wordprocessingShape">
                          <wps:wsp>
                            <wps:cNvSpPr/>
                            <wps:spPr>
                              <a:xfrm>
                                <a:off x="0" y="0"/>
                                <a:ext cx="144780" cy="15367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2D4D" id="Arrow: Down 234" o:spid="_x0000_s1026" type="#_x0000_t67" style="position:absolute;margin-left:31.95pt;margin-top:11.4pt;width:11.4pt;height:1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" adj="11425" fillcolor="window" strokecolor="#70ad47" strokeweight="1pt"/>
                  </w:pict>
                </mc:Fallback>
              </mc:AlternateContent>
            </w:r>
          </w:p>
          <w:p w14:paraId="157447E6"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31296" behindDoc="0" locked="0" layoutInCell="1" allowOverlap="1" wp14:anchorId="40F9BEE8" wp14:editId="481DAC36">
                      <wp:simplePos x="0" y="0"/>
                      <wp:positionH relativeFrom="column">
                        <wp:posOffset>1618130</wp:posOffset>
                      </wp:positionH>
                      <wp:positionV relativeFrom="paragraph">
                        <wp:posOffset>57707</wp:posOffset>
                      </wp:positionV>
                      <wp:extent cx="144373" cy="151058"/>
                      <wp:effectExtent l="19050" t="0" r="27305" b="40005"/>
                      <wp:wrapNone/>
                      <wp:docPr id="235" name="Arrow: Down 235"/>
                      <wp:cNvGraphicFramePr/>
                      <a:graphic xmlns:a="http://schemas.openxmlformats.org/drawingml/2006/main">
                        <a:graphicData uri="http://schemas.microsoft.com/office/word/2010/wordprocessingShape">
                          <wps:wsp>
                            <wps:cNvSpPr/>
                            <wps:spPr>
                              <a:xfrm flipH="1">
                                <a:off x="0" y="0"/>
                                <a:ext cx="144373" cy="15105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91A0" id="Arrow: Down 235" o:spid="_x0000_s1026" type="#_x0000_t67" style="position:absolute;margin-left:127.4pt;margin-top:4.55pt;width:11.35pt;height:11.9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" adj="11278"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86240" behindDoc="0" locked="0" layoutInCell="1" allowOverlap="1" wp14:anchorId="35647CF8" wp14:editId="6B1AF867">
                      <wp:simplePos x="0" y="0"/>
                      <wp:positionH relativeFrom="column">
                        <wp:posOffset>-3689</wp:posOffset>
                      </wp:positionH>
                      <wp:positionV relativeFrom="paragraph">
                        <wp:posOffset>139900</wp:posOffset>
                      </wp:positionV>
                      <wp:extent cx="1047964" cy="349624"/>
                      <wp:effectExtent l="0" t="0" r="19050" b="12700"/>
                      <wp:wrapNone/>
                      <wp:docPr id="236" name="Rectangle 236"/>
                      <wp:cNvGraphicFramePr/>
                      <a:graphic xmlns:a="http://schemas.openxmlformats.org/drawingml/2006/main">
                        <a:graphicData uri="http://schemas.microsoft.com/office/word/2010/wordprocessingShape">
                          <wps:wsp>
                            <wps:cNvSpPr/>
                            <wps:spPr>
                              <a:xfrm>
                                <a:off x="0" y="0"/>
                                <a:ext cx="1047964" cy="349624"/>
                              </a:xfrm>
                              <a:prstGeom prst="rect">
                                <a:avLst/>
                              </a:prstGeom>
                              <a:solidFill>
                                <a:sysClr val="window" lastClr="FFFFFF"/>
                              </a:solidFill>
                              <a:ln w="12700" cap="flat" cmpd="sng" algn="ctr">
                                <a:solidFill>
                                  <a:srgbClr val="70AD47"/>
                                </a:solidFill>
                                <a:prstDash val="solid"/>
                                <a:miter lim="800000"/>
                              </a:ln>
                              <a:effectLst/>
                            </wps:spPr>
                            <wps:txbx>
                              <w:txbxContent>
                                <w:p w14:paraId="7A1869B7" w14:textId="77777777" w:rsidR="004F5D57" w:rsidRPr="00533B67" w:rsidRDefault="004F5D57" w:rsidP="00CD6352">
                                  <w:pPr>
                                    <w:jc w:val="center"/>
                                    <w:rPr>
                                      <w:rFonts w:ascii="Arial" w:hAnsi="Arial" w:cs="Arial"/>
                                      <w:sz w:val="16"/>
                                      <w:szCs w:val="16"/>
                                    </w:rPr>
                                  </w:pPr>
                                  <w:permStart w:id="384721850" w:edGrp="everyone"/>
                                  <w:r w:rsidRPr="00533B67">
                                    <w:rPr>
                                      <w:rFonts w:ascii="Arial" w:hAnsi="Arial" w:cs="Arial"/>
                                      <w:sz w:val="16"/>
                                      <w:szCs w:val="16"/>
                                    </w:rPr>
                                    <w:t>Commercial feasibility</w:t>
                                  </w:r>
                                  <w:permEnd w:id="3847218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7CF8" id="Rectangle 236" o:spid="_x0000_s1110" style="position:absolute;margin-left:-.3pt;margin-top:11pt;width:82.5pt;height:27.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" fillcolor="window" strokecolor="#70ad47" strokeweight="1pt">
                      <v:textbox>
                        <w:txbxContent>
                          <w:p w14:paraId="7A1869B7" w14:textId="77777777" w:rsidR="004F5D57" w:rsidRPr="00533B67" w:rsidRDefault="004F5D57" w:rsidP="00CD6352">
                            <w:pPr>
                              <w:jc w:val="center"/>
                              <w:rPr>
                                <w:rFonts w:ascii="Arial" w:hAnsi="Arial" w:cs="Arial"/>
                                <w:sz w:val="16"/>
                                <w:szCs w:val="16"/>
                              </w:rPr>
                            </w:pPr>
                            <w:permStart w:id="384721850" w:edGrp="everyone"/>
                            <w:r w:rsidRPr="00533B67">
                              <w:rPr>
                                <w:rFonts w:ascii="Arial" w:hAnsi="Arial" w:cs="Arial"/>
                                <w:sz w:val="16"/>
                                <w:szCs w:val="16"/>
                              </w:rPr>
                              <w:t>Commercial feasibility</w:t>
                            </w:r>
                            <w:permEnd w:id="384721850"/>
                          </w:p>
                        </w:txbxContent>
                      </v:textbox>
                    </v:rect>
                  </w:pict>
                </mc:Fallback>
              </mc:AlternateContent>
            </w:r>
          </w:p>
          <w:p w14:paraId="28F710DB"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89312" behindDoc="0" locked="0" layoutInCell="1" allowOverlap="1" wp14:anchorId="04B87E1C" wp14:editId="34CAA0DC">
                      <wp:simplePos x="0" y="0"/>
                      <wp:positionH relativeFrom="column">
                        <wp:posOffset>1297826</wp:posOffset>
                      </wp:positionH>
                      <wp:positionV relativeFrom="paragraph">
                        <wp:posOffset>54575</wp:posOffset>
                      </wp:positionV>
                      <wp:extent cx="914400" cy="268942"/>
                      <wp:effectExtent l="0" t="0" r="19050" b="17145"/>
                      <wp:wrapNone/>
                      <wp:docPr id="237" name="Rectangle 237"/>
                      <wp:cNvGraphicFramePr/>
                      <a:graphic xmlns:a="http://schemas.openxmlformats.org/drawingml/2006/main">
                        <a:graphicData uri="http://schemas.microsoft.com/office/word/2010/wordprocessingShape">
                          <wps:wsp>
                            <wps:cNvSpPr/>
                            <wps:spPr>
                              <a:xfrm>
                                <a:off x="0" y="0"/>
                                <a:ext cx="914400" cy="268942"/>
                              </a:xfrm>
                              <a:prstGeom prst="rect">
                                <a:avLst/>
                              </a:prstGeom>
                              <a:solidFill>
                                <a:sysClr val="window" lastClr="FFFFFF"/>
                              </a:solidFill>
                              <a:ln w="12700" cap="flat" cmpd="sng" algn="ctr">
                                <a:solidFill>
                                  <a:srgbClr val="70AD47"/>
                                </a:solidFill>
                                <a:prstDash val="solid"/>
                                <a:miter lim="800000"/>
                              </a:ln>
                              <a:effectLst/>
                            </wps:spPr>
                            <wps:txbx>
                              <w:txbxContent>
                                <w:p w14:paraId="340EE6FE" w14:textId="77777777" w:rsidR="004F5D57" w:rsidRPr="00575267" w:rsidRDefault="004F5D57" w:rsidP="00CD6352">
                                  <w:pPr>
                                    <w:jc w:val="center"/>
                                    <w:rPr>
                                      <w:rFonts w:ascii="Arial" w:hAnsi="Arial" w:cs="Arial"/>
                                      <w:sz w:val="16"/>
                                      <w:szCs w:val="16"/>
                                    </w:rPr>
                                  </w:pPr>
                                  <w:permStart w:id="1942056800" w:edGrp="everyone"/>
                                  <w:r w:rsidRPr="00575267">
                                    <w:rPr>
                                      <w:rFonts w:ascii="Arial" w:hAnsi="Arial" w:cs="Arial"/>
                                      <w:sz w:val="16"/>
                                      <w:szCs w:val="16"/>
                                    </w:rPr>
                                    <w:t>Tenants</w:t>
                                  </w:r>
                                  <w:permEnd w:id="19420568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87E1C" id="Rectangle 237" o:spid="_x0000_s1111" style="position:absolute;margin-left:102.2pt;margin-top:4.3pt;width:1in;height:21.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" fillcolor="window" strokecolor="#70ad47" strokeweight="1pt">
                      <v:textbox>
                        <w:txbxContent>
                          <w:p w14:paraId="340EE6FE" w14:textId="77777777" w:rsidR="004F5D57" w:rsidRPr="00575267" w:rsidRDefault="004F5D57" w:rsidP="00CD6352">
                            <w:pPr>
                              <w:jc w:val="center"/>
                              <w:rPr>
                                <w:rFonts w:ascii="Arial" w:hAnsi="Arial" w:cs="Arial"/>
                                <w:sz w:val="16"/>
                                <w:szCs w:val="16"/>
                              </w:rPr>
                            </w:pPr>
                            <w:permStart w:id="1942056800" w:edGrp="everyone"/>
                            <w:r w:rsidRPr="00575267">
                              <w:rPr>
                                <w:rFonts w:ascii="Arial" w:hAnsi="Arial" w:cs="Arial"/>
                                <w:sz w:val="16"/>
                                <w:szCs w:val="16"/>
                              </w:rPr>
                              <w:t>Tenants</w:t>
                            </w:r>
                            <w:permEnd w:id="1942056800"/>
                          </w:p>
                        </w:txbxContent>
                      </v:textbox>
                    </v:rect>
                  </w:pict>
                </mc:Fallback>
              </mc:AlternateContent>
            </w:r>
          </w:p>
          <w:p w14:paraId="294E7448" w14:textId="77777777" w:rsidR="00CD6352" w:rsidRPr="002510FA" w:rsidRDefault="00CD6352" w:rsidP="00CD6352">
            <w:pPr>
              <w:rPr>
                <w:rFonts w:ascii="Arial" w:eastAsia="Calibri" w:hAnsi="Arial" w:cs="Arial"/>
              </w:rPr>
            </w:pPr>
          </w:p>
          <w:p w14:paraId="41CFB603"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27200" behindDoc="0" locked="0" layoutInCell="1" allowOverlap="1" wp14:anchorId="5C89E399" wp14:editId="30ED4FF5">
                      <wp:simplePos x="0" y="0"/>
                      <wp:positionH relativeFrom="column">
                        <wp:posOffset>410431</wp:posOffset>
                      </wp:positionH>
                      <wp:positionV relativeFrom="paragraph">
                        <wp:posOffset>41910</wp:posOffset>
                      </wp:positionV>
                      <wp:extent cx="124168" cy="123289"/>
                      <wp:effectExtent l="19050" t="0" r="47625" b="29210"/>
                      <wp:wrapNone/>
                      <wp:docPr id="238" name="Arrow: Down 238"/>
                      <wp:cNvGraphicFramePr/>
                      <a:graphic xmlns:a="http://schemas.openxmlformats.org/drawingml/2006/main">
                        <a:graphicData uri="http://schemas.microsoft.com/office/word/2010/wordprocessingShape">
                          <wps:wsp>
                            <wps:cNvSpPr/>
                            <wps:spPr>
                              <a:xfrm>
                                <a:off x="0" y="0"/>
                                <a:ext cx="124168" cy="123289"/>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E57B" id="Arrow: Down 238" o:spid="_x0000_s1026" type="#_x0000_t67" style="position:absolute;margin-left:32.3pt;margin-top:3.3pt;width:9.8pt;height:9.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" adj="10800" fillcolor="window" strokecolor="#70ad47" strokeweight="1pt"/>
                  </w:pict>
                </mc:Fallback>
              </mc:AlternateContent>
            </w:r>
          </w:p>
          <w:p w14:paraId="58867258"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90336" behindDoc="0" locked="0" layoutInCell="1" allowOverlap="1" wp14:anchorId="1B2128A6" wp14:editId="62211616">
                      <wp:simplePos x="0" y="0"/>
                      <wp:positionH relativeFrom="column">
                        <wp:posOffset>-3689</wp:posOffset>
                      </wp:positionH>
                      <wp:positionV relativeFrom="paragraph">
                        <wp:posOffset>31536</wp:posOffset>
                      </wp:positionV>
                      <wp:extent cx="1047964" cy="349321"/>
                      <wp:effectExtent l="0" t="0" r="19050" b="12700"/>
                      <wp:wrapNone/>
                      <wp:docPr id="239" name="Rectangle 239"/>
                      <wp:cNvGraphicFramePr/>
                      <a:graphic xmlns:a="http://schemas.openxmlformats.org/drawingml/2006/main">
                        <a:graphicData uri="http://schemas.microsoft.com/office/word/2010/wordprocessingShape">
                          <wps:wsp>
                            <wps:cNvSpPr/>
                            <wps:spPr>
                              <a:xfrm>
                                <a:off x="0" y="0"/>
                                <a:ext cx="1047964" cy="349321"/>
                              </a:xfrm>
                              <a:prstGeom prst="rect">
                                <a:avLst/>
                              </a:prstGeom>
                              <a:solidFill>
                                <a:sysClr val="window" lastClr="FFFFFF"/>
                              </a:solidFill>
                              <a:ln w="12700" cap="flat" cmpd="sng" algn="ctr">
                                <a:solidFill>
                                  <a:srgbClr val="70AD47"/>
                                </a:solidFill>
                                <a:prstDash val="solid"/>
                                <a:miter lim="800000"/>
                              </a:ln>
                              <a:effectLst/>
                            </wps:spPr>
                            <wps:txbx>
                              <w:txbxContent>
                                <w:p w14:paraId="03823115" w14:textId="77777777" w:rsidR="004F5D57" w:rsidRPr="00533B67" w:rsidRDefault="004F5D57" w:rsidP="00CD6352">
                                  <w:pPr>
                                    <w:jc w:val="center"/>
                                    <w:rPr>
                                      <w:rFonts w:ascii="Arial" w:hAnsi="Arial" w:cs="Arial"/>
                                      <w:sz w:val="16"/>
                                      <w:szCs w:val="16"/>
                                    </w:rPr>
                                  </w:pPr>
                                  <w:permStart w:id="62263326" w:edGrp="everyone"/>
                                  <w:r>
                                    <w:rPr>
                                      <w:rFonts w:ascii="Arial" w:hAnsi="Arial" w:cs="Arial"/>
                                      <w:sz w:val="16"/>
                                      <w:szCs w:val="16"/>
                                    </w:rPr>
                                    <w:t>Technical f</w:t>
                                  </w:r>
                                  <w:r w:rsidRPr="00533B67">
                                    <w:rPr>
                                      <w:rFonts w:ascii="Arial" w:hAnsi="Arial" w:cs="Arial"/>
                                      <w:sz w:val="16"/>
                                      <w:szCs w:val="16"/>
                                    </w:rPr>
                                    <w:t>easibility</w:t>
                                  </w:r>
                                  <w:permEnd w:id="622633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128A6" id="Rectangle 239" o:spid="_x0000_s1112" style="position:absolute;margin-left:-.3pt;margin-top:2.5pt;width:82.5pt;height: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" fillcolor="window" strokecolor="#70ad47" strokeweight="1pt">
                      <v:textbox>
                        <w:txbxContent>
                          <w:p w14:paraId="03823115" w14:textId="77777777" w:rsidR="004F5D57" w:rsidRPr="00533B67" w:rsidRDefault="004F5D57" w:rsidP="00CD6352">
                            <w:pPr>
                              <w:jc w:val="center"/>
                              <w:rPr>
                                <w:rFonts w:ascii="Arial" w:hAnsi="Arial" w:cs="Arial"/>
                                <w:sz w:val="16"/>
                                <w:szCs w:val="16"/>
                              </w:rPr>
                            </w:pPr>
                            <w:permStart w:id="62263326" w:edGrp="everyone"/>
                            <w:r>
                              <w:rPr>
                                <w:rFonts w:ascii="Arial" w:hAnsi="Arial" w:cs="Arial"/>
                                <w:sz w:val="16"/>
                                <w:szCs w:val="16"/>
                              </w:rPr>
                              <w:t>Technical f</w:t>
                            </w:r>
                            <w:r w:rsidRPr="00533B67">
                              <w:rPr>
                                <w:rFonts w:ascii="Arial" w:hAnsi="Arial" w:cs="Arial"/>
                                <w:sz w:val="16"/>
                                <w:szCs w:val="16"/>
                              </w:rPr>
                              <w:t>easibility</w:t>
                            </w:r>
                            <w:permEnd w:id="62263326"/>
                          </w:p>
                        </w:txbxContent>
                      </v:textbox>
                    </v:rect>
                  </w:pict>
                </mc:Fallback>
              </mc:AlternateContent>
            </w:r>
          </w:p>
          <w:p w14:paraId="38DD9155" w14:textId="77777777" w:rsidR="00CD6352" w:rsidRPr="002510FA" w:rsidRDefault="00CD6352" w:rsidP="00CD6352">
            <w:pPr>
              <w:rPr>
                <w:rFonts w:ascii="Arial" w:eastAsia="Calibri" w:hAnsi="Arial" w:cs="Arial"/>
              </w:rPr>
            </w:pPr>
          </w:p>
          <w:p w14:paraId="271D2AEB" w14:textId="77777777" w:rsidR="00CD6352" w:rsidRPr="002510FA" w:rsidRDefault="00CD6352" w:rsidP="00CD6352">
            <w:pPr>
              <w:rPr>
                <w:rFonts w:ascii="Arial" w:eastAsia="Calibri" w:hAnsi="Arial" w:cs="Arial"/>
              </w:rPr>
            </w:pPr>
          </w:p>
        </w:tc>
      </w:tr>
      <w:tr w:rsidR="00CD6352" w:rsidRPr="002510FA" w14:paraId="6CE59052" w14:textId="77777777" w:rsidTr="00CD6352">
        <w:trPr>
          <w:cantSplit/>
          <w:trHeight w:val="1134"/>
        </w:trPr>
        <w:tc>
          <w:tcPr>
            <w:tcW w:w="1385" w:type="dxa"/>
          </w:tcPr>
          <w:p w14:paraId="300AA689" w14:textId="77777777" w:rsidR="00CD6352" w:rsidRPr="002510FA" w:rsidRDefault="00CD6352" w:rsidP="00CD6352">
            <w:pPr>
              <w:rPr>
                <w:rFonts w:ascii="Arial" w:eastAsia="Calibri" w:hAnsi="Arial" w:cs="Arial"/>
              </w:rPr>
            </w:pPr>
            <w:r w:rsidRPr="002510FA">
              <w:rPr>
                <w:rFonts w:ascii="Arial" w:eastAsia="Calibri" w:hAnsi="Arial" w:cs="Arial"/>
              </w:rPr>
              <w:t>Stage 3</w:t>
            </w:r>
          </w:p>
        </w:tc>
        <w:tc>
          <w:tcPr>
            <w:tcW w:w="595" w:type="dxa"/>
            <w:textDirection w:val="btLr"/>
          </w:tcPr>
          <w:p w14:paraId="23A39B15" w14:textId="77777777" w:rsidR="00CD6352" w:rsidRPr="002510FA" w:rsidRDefault="00CD6352" w:rsidP="00CD6352">
            <w:pPr>
              <w:ind w:left="113" w:right="113"/>
              <w:rPr>
                <w:rFonts w:ascii="Arial" w:eastAsia="Calibri" w:hAnsi="Arial" w:cs="Arial"/>
                <w:sz w:val="16"/>
                <w:szCs w:val="16"/>
              </w:rPr>
            </w:pPr>
            <w:r w:rsidRPr="002510FA">
              <w:rPr>
                <w:rFonts w:ascii="Arial" w:eastAsia="Calibri" w:hAnsi="Arial" w:cs="Arial"/>
                <w:sz w:val="16"/>
                <w:szCs w:val="16"/>
              </w:rPr>
              <w:t>Selection</w:t>
            </w:r>
          </w:p>
        </w:tc>
        <w:tc>
          <w:tcPr>
            <w:tcW w:w="7036" w:type="dxa"/>
          </w:tcPr>
          <w:p w14:paraId="568128C7"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94432" behindDoc="0" locked="0" layoutInCell="1" allowOverlap="1" wp14:anchorId="2A592329" wp14:editId="38A69537">
                      <wp:simplePos x="0" y="0"/>
                      <wp:positionH relativeFrom="column">
                        <wp:posOffset>1383323</wp:posOffset>
                      </wp:positionH>
                      <wp:positionV relativeFrom="paragraph">
                        <wp:posOffset>137488</wp:posOffset>
                      </wp:positionV>
                      <wp:extent cx="955496" cy="257746"/>
                      <wp:effectExtent l="0" t="0" r="16510" b="28575"/>
                      <wp:wrapNone/>
                      <wp:docPr id="240" name="Rectangle 240"/>
                      <wp:cNvGraphicFramePr/>
                      <a:graphic xmlns:a="http://schemas.openxmlformats.org/drawingml/2006/main">
                        <a:graphicData uri="http://schemas.microsoft.com/office/word/2010/wordprocessingShape">
                          <wps:wsp>
                            <wps:cNvSpPr/>
                            <wps:spPr>
                              <a:xfrm>
                                <a:off x="0" y="0"/>
                                <a:ext cx="955496" cy="257746"/>
                              </a:xfrm>
                              <a:prstGeom prst="rect">
                                <a:avLst/>
                              </a:prstGeom>
                              <a:solidFill>
                                <a:sysClr val="window" lastClr="FFFFFF"/>
                              </a:solidFill>
                              <a:ln w="12700" cap="flat" cmpd="sng" algn="ctr">
                                <a:solidFill>
                                  <a:srgbClr val="70AD47"/>
                                </a:solidFill>
                                <a:prstDash val="solid"/>
                                <a:miter lim="800000"/>
                              </a:ln>
                              <a:effectLst/>
                            </wps:spPr>
                            <wps:txbx>
                              <w:txbxContent>
                                <w:p w14:paraId="3A6534D9" w14:textId="77777777" w:rsidR="004F5D57" w:rsidRPr="00533B67" w:rsidRDefault="004F5D57" w:rsidP="00CD6352">
                                  <w:pPr>
                                    <w:jc w:val="center"/>
                                    <w:rPr>
                                      <w:rFonts w:ascii="Arial" w:hAnsi="Arial" w:cs="Arial"/>
                                      <w:sz w:val="16"/>
                                      <w:szCs w:val="16"/>
                                    </w:rPr>
                                  </w:pPr>
                                  <w:permStart w:id="1626800570" w:edGrp="everyone"/>
                                  <w:r>
                                    <w:rPr>
                                      <w:rFonts w:ascii="Arial" w:hAnsi="Arial" w:cs="Arial"/>
                                      <w:sz w:val="16"/>
                                      <w:szCs w:val="16"/>
                                    </w:rPr>
                                    <w:t>Secure funds</w:t>
                                  </w:r>
                                  <w:permEnd w:id="16268005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2329" id="Rectangle 240" o:spid="_x0000_s1113" style="position:absolute;margin-left:108.9pt;margin-top:10.85pt;width:75.25pt;height:2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" fillcolor="window" strokecolor="#70ad47" strokeweight="1pt">
                      <v:textbox>
                        <w:txbxContent>
                          <w:p w14:paraId="3A6534D9" w14:textId="77777777" w:rsidR="004F5D57" w:rsidRPr="00533B67" w:rsidRDefault="004F5D57" w:rsidP="00CD6352">
                            <w:pPr>
                              <w:jc w:val="center"/>
                              <w:rPr>
                                <w:rFonts w:ascii="Arial" w:hAnsi="Arial" w:cs="Arial"/>
                                <w:sz w:val="16"/>
                                <w:szCs w:val="16"/>
                              </w:rPr>
                            </w:pPr>
                            <w:permStart w:id="1626800570" w:edGrp="everyone"/>
                            <w:r>
                              <w:rPr>
                                <w:rFonts w:ascii="Arial" w:hAnsi="Arial" w:cs="Arial"/>
                                <w:sz w:val="16"/>
                                <w:szCs w:val="16"/>
                              </w:rPr>
                              <w:t>Secure funds</w:t>
                            </w:r>
                            <w:permEnd w:id="162680057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96480" behindDoc="0" locked="0" layoutInCell="1" allowOverlap="1" wp14:anchorId="69B73718" wp14:editId="34C984F0">
                      <wp:simplePos x="0" y="0"/>
                      <wp:positionH relativeFrom="column">
                        <wp:posOffset>2671354</wp:posOffset>
                      </wp:positionH>
                      <wp:positionV relativeFrom="paragraph">
                        <wp:posOffset>143691</wp:posOffset>
                      </wp:positionV>
                      <wp:extent cx="1034143" cy="279491"/>
                      <wp:effectExtent l="0" t="0" r="13970" b="25400"/>
                      <wp:wrapNone/>
                      <wp:docPr id="241" name="Rectangle 241"/>
                      <wp:cNvGraphicFramePr/>
                      <a:graphic xmlns:a="http://schemas.openxmlformats.org/drawingml/2006/main">
                        <a:graphicData uri="http://schemas.microsoft.com/office/word/2010/wordprocessingShape">
                          <wps:wsp>
                            <wps:cNvSpPr/>
                            <wps:spPr>
                              <a:xfrm>
                                <a:off x="0" y="0"/>
                                <a:ext cx="1034143" cy="279491"/>
                              </a:xfrm>
                              <a:prstGeom prst="rect">
                                <a:avLst/>
                              </a:prstGeom>
                              <a:solidFill>
                                <a:sysClr val="window" lastClr="FFFFFF"/>
                              </a:solidFill>
                              <a:ln w="12700" cap="flat" cmpd="sng" algn="ctr">
                                <a:solidFill>
                                  <a:srgbClr val="70AD47"/>
                                </a:solidFill>
                                <a:prstDash val="solid"/>
                                <a:miter lim="800000"/>
                              </a:ln>
                              <a:effectLst/>
                            </wps:spPr>
                            <wps:txbx>
                              <w:txbxContent>
                                <w:p w14:paraId="1486659D" w14:textId="77777777" w:rsidR="004F5D57" w:rsidRPr="00533B67" w:rsidRDefault="004F5D57" w:rsidP="00CD6352">
                                  <w:pPr>
                                    <w:jc w:val="center"/>
                                    <w:rPr>
                                      <w:rFonts w:ascii="Arial" w:hAnsi="Arial" w:cs="Arial"/>
                                      <w:sz w:val="16"/>
                                      <w:szCs w:val="16"/>
                                    </w:rPr>
                                  </w:pPr>
                                  <w:permStart w:id="166080745" w:edGrp="everyone"/>
                                  <w:r>
                                    <w:rPr>
                                      <w:rFonts w:ascii="Arial" w:hAnsi="Arial" w:cs="Arial"/>
                                      <w:sz w:val="16"/>
                                      <w:szCs w:val="16"/>
                                    </w:rPr>
                                    <w:t>Develop project</w:t>
                                  </w:r>
                                  <w:permEnd w:id="1660807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73718" id="Rectangle 241" o:spid="_x0000_s1114" style="position:absolute;margin-left:210.35pt;margin-top:11.3pt;width:81.45pt;height: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" fillcolor="window" strokecolor="#70ad47" strokeweight="1pt">
                      <v:textbox>
                        <w:txbxContent>
                          <w:p w14:paraId="1486659D" w14:textId="77777777" w:rsidR="004F5D57" w:rsidRPr="00533B67" w:rsidRDefault="004F5D57" w:rsidP="00CD6352">
                            <w:pPr>
                              <w:jc w:val="center"/>
                              <w:rPr>
                                <w:rFonts w:ascii="Arial" w:hAnsi="Arial" w:cs="Arial"/>
                                <w:sz w:val="16"/>
                                <w:szCs w:val="16"/>
                              </w:rPr>
                            </w:pPr>
                            <w:permStart w:id="166080745" w:edGrp="everyone"/>
                            <w:r>
                              <w:rPr>
                                <w:rFonts w:ascii="Arial" w:hAnsi="Arial" w:cs="Arial"/>
                                <w:sz w:val="16"/>
                                <w:szCs w:val="16"/>
                              </w:rPr>
                              <w:t>Develop project</w:t>
                            </w:r>
                            <w:permEnd w:id="166080745"/>
                          </w:p>
                        </w:txbxContent>
                      </v:textbox>
                    </v:rect>
                  </w:pict>
                </mc:Fallback>
              </mc:AlternateContent>
            </w:r>
          </w:p>
          <w:p w14:paraId="34064451"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41536" behindDoc="0" locked="0" layoutInCell="1" allowOverlap="1" wp14:anchorId="31FDB046" wp14:editId="6C603309">
                      <wp:simplePos x="0" y="0"/>
                      <wp:positionH relativeFrom="column">
                        <wp:posOffset>2434976</wp:posOffset>
                      </wp:positionH>
                      <wp:positionV relativeFrom="paragraph">
                        <wp:posOffset>79310</wp:posOffset>
                      </wp:positionV>
                      <wp:extent cx="164173" cy="104240"/>
                      <wp:effectExtent l="0" t="19050" r="45720" b="29210"/>
                      <wp:wrapNone/>
                      <wp:docPr id="242" name="Arrow: Right 242"/>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1ADF" id="Arrow: Right 242" o:spid="_x0000_s1026" type="#_x0000_t13" style="position:absolute;margin-left:191.75pt;margin-top:6.25pt;width:12.95pt;height:8.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" adj="14743"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40512" behindDoc="0" locked="0" layoutInCell="1" allowOverlap="1" wp14:anchorId="4192D6A8" wp14:editId="3941C492">
                      <wp:simplePos x="0" y="0"/>
                      <wp:positionH relativeFrom="column">
                        <wp:posOffset>1160980</wp:posOffset>
                      </wp:positionH>
                      <wp:positionV relativeFrom="paragraph">
                        <wp:posOffset>79311</wp:posOffset>
                      </wp:positionV>
                      <wp:extent cx="164173" cy="104240"/>
                      <wp:effectExtent l="0" t="19050" r="45720" b="29210"/>
                      <wp:wrapNone/>
                      <wp:docPr id="243" name="Arrow: Right 243"/>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183D" id="Arrow: Right 243" o:spid="_x0000_s1026" type="#_x0000_t13" style="position:absolute;margin-left:91.4pt;margin-top:6.25pt;width:12.95pt;height:8.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" adj="14743"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91360" behindDoc="0" locked="0" layoutInCell="1" allowOverlap="1" wp14:anchorId="2B1EF134" wp14:editId="5D181B66">
                      <wp:simplePos x="0" y="0"/>
                      <wp:positionH relativeFrom="column">
                        <wp:posOffset>-8890</wp:posOffset>
                      </wp:positionH>
                      <wp:positionV relativeFrom="paragraph">
                        <wp:posOffset>-6350</wp:posOffset>
                      </wp:positionV>
                      <wp:extent cx="1102360" cy="268942"/>
                      <wp:effectExtent l="0" t="0" r="21590" b="17145"/>
                      <wp:wrapNone/>
                      <wp:docPr id="244" name="Rectangle 244"/>
                      <wp:cNvGraphicFramePr/>
                      <a:graphic xmlns:a="http://schemas.openxmlformats.org/drawingml/2006/main">
                        <a:graphicData uri="http://schemas.microsoft.com/office/word/2010/wordprocessingShape">
                          <wps:wsp>
                            <wps:cNvSpPr/>
                            <wps:spPr>
                              <a:xfrm>
                                <a:off x="0" y="0"/>
                                <a:ext cx="1102360" cy="268942"/>
                              </a:xfrm>
                              <a:prstGeom prst="rect">
                                <a:avLst/>
                              </a:prstGeom>
                              <a:solidFill>
                                <a:sysClr val="window" lastClr="FFFFFF"/>
                              </a:solidFill>
                              <a:ln w="12700" cap="flat" cmpd="sng" algn="ctr">
                                <a:solidFill>
                                  <a:srgbClr val="70AD47"/>
                                </a:solidFill>
                                <a:prstDash val="solid"/>
                                <a:miter lim="800000"/>
                              </a:ln>
                              <a:effectLst/>
                            </wps:spPr>
                            <wps:txbx>
                              <w:txbxContent>
                                <w:p w14:paraId="0C404CA2" w14:textId="77777777" w:rsidR="004F5D57" w:rsidRPr="00533B67" w:rsidRDefault="004F5D57" w:rsidP="00CD6352">
                                  <w:pPr>
                                    <w:jc w:val="center"/>
                                    <w:rPr>
                                      <w:rFonts w:ascii="Arial" w:hAnsi="Arial" w:cs="Arial"/>
                                      <w:sz w:val="16"/>
                                      <w:szCs w:val="16"/>
                                    </w:rPr>
                                  </w:pPr>
                                  <w:permStart w:id="1663265194" w:edGrp="everyone"/>
                                  <w:r>
                                    <w:rPr>
                                      <w:rFonts w:ascii="Arial" w:hAnsi="Arial" w:cs="Arial"/>
                                      <w:sz w:val="16"/>
                                      <w:szCs w:val="16"/>
                                    </w:rPr>
                                    <w:t>Financiers</w:t>
                                  </w:r>
                                  <w:permEnd w:id="16632651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EF134" id="Rectangle 244" o:spid="_x0000_s1115" style="position:absolute;margin-left:-.7pt;margin-top:-.5pt;width:86.8pt;height:2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" fillcolor="window" strokecolor="#70ad47" strokeweight="1pt">
                      <v:textbox>
                        <w:txbxContent>
                          <w:p w14:paraId="0C404CA2" w14:textId="77777777" w:rsidR="004F5D57" w:rsidRPr="00533B67" w:rsidRDefault="004F5D57" w:rsidP="00CD6352">
                            <w:pPr>
                              <w:jc w:val="center"/>
                              <w:rPr>
                                <w:rFonts w:ascii="Arial" w:hAnsi="Arial" w:cs="Arial"/>
                                <w:sz w:val="16"/>
                                <w:szCs w:val="16"/>
                              </w:rPr>
                            </w:pPr>
                            <w:permStart w:id="1663265194" w:edGrp="everyone"/>
                            <w:r>
                              <w:rPr>
                                <w:rFonts w:ascii="Arial" w:hAnsi="Arial" w:cs="Arial"/>
                                <w:sz w:val="16"/>
                                <w:szCs w:val="16"/>
                              </w:rPr>
                              <w:t>Financiers</w:t>
                            </w:r>
                            <w:permEnd w:id="1663265194"/>
                          </w:p>
                        </w:txbxContent>
                      </v:textbox>
                    </v:rect>
                  </w:pict>
                </mc:Fallback>
              </mc:AlternateContent>
            </w:r>
          </w:p>
          <w:p w14:paraId="6F77B216"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37440" behindDoc="0" locked="0" layoutInCell="1" allowOverlap="1" wp14:anchorId="00E00B26" wp14:editId="2E186448">
                      <wp:simplePos x="0" y="0"/>
                      <wp:positionH relativeFrom="column">
                        <wp:posOffset>3087334</wp:posOffset>
                      </wp:positionH>
                      <wp:positionV relativeFrom="paragraph">
                        <wp:posOffset>134678</wp:posOffset>
                      </wp:positionV>
                      <wp:extent cx="114514" cy="236042"/>
                      <wp:effectExtent l="19050" t="0" r="38100" b="31115"/>
                      <wp:wrapNone/>
                      <wp:docPr id="245" name="Arrow: Down 245"/>
                      <wp:cNvGraphicFramePr/>
                      <a:graphic xmlns:a="http://schemas.openxmlformats.org/drawingml/2006/main">
                        <a:graphicData uri="http://schemas.microsoft.com/office/word/2010/wordprocessingShape">
                          <wps:wsp>
                            <wps:cNvSpPr/>
                            <wps:spPr>
                              <a:xfrm flipH="1">
                                <a:off x="0" y="0"/>
                                <a:ext cx="114514" cy="236042"/>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C678" id="Arrow: Down 245" o:spid="_x0000_s1026" type="#_x0000_t67" style="position:absolute;margin-left:243.1pt;margin-top:10.6pt;width:9pt;height:18.6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" adj="1636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36416" behindDoc="0" locked="0" layoutInCell="1" allowOverlap="1" wp14:anchorId="78CBEFD3" wp14:editId="42BC7CE8">
                      <wp:simplePos x="0" y="0"/>
                      <wp:positionH relativeFrom="column">
                        <wp:posOffset>1751686</wp:posOffset>
                      </wp:positionH>
                      <wp:positionV relativeFrom="paragraph">
                        <wp:posOffset>93495</wp:posOffset>
                      </wp:positionV>
                      <wp:extent cx="155611" cy="88850"/>
                      <wp:effectExtent l="38100" t="0" r="15875" b="45085"/>
                      <wp:wrapNone/>
                      <wp:docPr id="246" name="Arrow: Down 246"/>
                      <wp:cNvGraphicFramePr/>
                      <a:graphic xmlns:a="http://schemas.openxmlformats.org/drawingml/2006/main">
                        <a:graphicData uri="http://schemas.microsoft.com/office/word/2010/wordprocessingShape">
                          <wps:wsp>
                            <wps:cNvSpPr/>
                            <wps:spPr>
                              <a:xfrm flipH="1">
                                <a:off x="0" y="0"/>
                                <a:ext cx="155611" cy="8885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001A" id="Arrow: Down 246" o:spid="_x0000_s1026" type="#_x0000_t67" style="position:absolute;margin-left:137.95pt;margin-top:7.35pt;width:12.25pt;height:7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" adj="10800"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33344" behindDoc="0" locked="0" layoutInCell="1" allowOverlap="1" wp14:anchorId="5410AD44" wp14:editId="1ED3F381">
                      <wp:simplePos x="0" y="0"/>
                      <wp:positionH relativeFrom="column">
                        <wp:posOffset>421240</wp:posOffset>
                      </wp:positionH>
                      <wp:positionV relativeFrom="paragraph">
                        <wp:posOffset>105246</wp:posOffset>
                      </wp:positionV>
                      <wp:extent cx="144373" cy="151058"/>
                      <wp:effectExtent l="19050" t="0" r="27305" b="40005"/>
                      <wp:wrapNone/>
                      <wp:docPr id="247" name="Arrow: Down 247"/>
                      <wp:cNvGraphicFramePr/>
                      <a:graphic xmlns:a="http://schemas.openxmlformats.org/drawingml/2006/main">
                        <a:graphicData uri="http://schemas.microsoft.com/office/word/2010/wordprocessingShape">
                          <wps:wsp>
                            <wps:cNvSpPr/>
                            <wps:spPr>
                              <a:xfrm flipH="1">
                                <a:off x="0" y="0"/>
                                <a:ext cx="144373" cy="15105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3EB5" id="Arrow: Down 247" o:spid="_x0000_s1026" type="#_x0000_t67" style="position:absolute;margin-left:33.15pt;margin-top:8.3pt;width:11.35pt;height:11.9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" adj="11278" fillcolor="window" strokecolor="#70ad47" strokeweight="1pt"/>
                  </w:pict>
                </mc:Fallback>
              </mc:AlternateContent>
            </w:r>
          </w:p>
          <w:p w14:paraId="5DF7EDF3"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92384" behindDoc="0" locked="0" layoutInCell="1" allowOverlap="1" wp14:anchorId="4431619F" wp14:editId="357AEEB9">
                      <wp:simplePos x="0" y="0"/>
                      <wp:positionH relativeFrom="column">
                        <wp:posOffset>-9541</wp:posOffset>
                      </wp:positionH>
                      <wp:positionV relativeFrom="paragraph">
                        <wp:posOffset>148871</wp:posOffset>
                      </wp:positionV>
                      <wp:extent cx="1102360" cy="347241"/>
                      <wp:effectExtent l="0" t="0" r="21590" b="15240"/>
                      <wp:wrapNone/>
                      <wp:docPr id="248" name="Rectangle 248"/>
                      <wp:cNvGraphicFramePr/>
                      <a:graphic xmlns:a="http://schemas.openxmlformats.org/drawingml/2006/main">
                        <a:graphicData uri="http://schemas.microsoft.com/office/word/2010/wordprocessingShape">
                          <wps:wsp>
                            <wps:cNvSpPr/>
                            <wps:spPr>
                              <a:xfrm>
                                <a:off x="0" y="0"/>
                                <a:ext cx="1102360" cy="347241"/>
                              </a:xfrm>
                              <a:prstGeom prst="rect">
                                <a:avLst/>
                              </a:prstGeom>
                              <a:solidFill>
                                <a:sysClr val="window" lastClr="FFFFFF"/>
                              </a:solidFill>
                              <a:ln w="12700" cap="flat" cmpd="sng" algn="ctr">
                                <a:solidFill>
                                  <a:srgbClr val="70AD47"/>
                                </a:solidFill>
                                <a:prstDash val="solid"/>
                                <a:miter lim="800000"/>
                              </a:ln>
                              <a:effectLst/>
                            </wps:spPr>
                            <wps:txbx>
                              <w:txbxContent>
                                <w:p w14:paraId="3DAC6F28" w14:textId="77777777" w:rsidR="004F5D57" w:rsidRPr="00533B67" w:rsidRDefault="004F5D57" w:rsidP="00CD6352">
                                  <w:pPr>
                                    <w:jc w:val="center"/>
                                    <w:rPr>
                                      <w:rFonts w:ascii="Arial" w:hAnsi="Arial" w:cs="Arial"/>
                                      <w:sz w:val="16"/>
                                      <w:szCs w:val="16"/>
                                    </w:rPr>
                                  </w:pPr>
                                  <w:permStart w:id="124719875" w:edGrp="everyone"/>
                                  <w:r>
                                    <w:rPr>
                                      <w:rFonts w:ascii="Arial" w:hAnsi="Arial" w:cs="Arial"/>
                                      <w:sz w:val="16"/>
                                      <w:szCs w:val="16"/>
                                    </w:rPr>
                                    <w:t>Evaluate choices of financiers</w:t>
                                  </w:r>
                                  <w:permEnd w:id="1247198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1619F" id="Rectangle 248" o:spid="_x0000_s1116" style="position:absolute;margin-left:-.75pt;margin-top:11.7pt;width:86.8pt;height:27.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" fillcolor="window" strokecolor="#70ad47" strokeweight="1pt">
                      <v:textbox>
                        <w:txbxContent>
                          <w:p w14:paraId="3DAC6F28" w14:textId="77777777" w:rsidR="004F5D57" w:rsidRPr="00533B67" w:rsidRDefault="004F5D57" w:rsidP="00CD6352">
                            <w:pPr>
                              <w:jc w:val="center"/>
                              <w:rPr>
                                <w:rFonts w:ascii="Arial" w:hAnsi="Arial" w:cs="Arial"/>
                                <w:sz w:val="16"/>
                                <w:szCs w:val="16"/>
                              </w:rPr>
                            </w:pPr>
                            <w:permStart w:id="124719875" w:edGrp="everyone"/>
                            <w:r>
                              <w:rPr>
                                <w:rFonts w:ascii="Arial" w:hAnsi="Arial" w:cs="Arial"/>
                                <w:sz w:val="16"/>
                                <w:szCs w:val="16"/>
                              </w:rPr>
                              <w:t>Evaluate choices of financiers</w:t>
                            </w:r>
                            <w:permEnd w:id="124719875"/>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795456" behindDoc="0" locked="0" layoutInCell="1" allowOverlap="1" wp14:anchorId="48250081" wp14:editId="4E9131C6">
                      <wp:simplePos x="0" y="0"/>
                      <wp:positionH relativeFrom="column">
                        <wp:posOffset>1371114</wp:posOffset>
                      </wp:positionH>
                      <wp:positionV relativeFrom="paragraph">
                        <wp:posOffset>33394</wp:posOffset>
                      </wp:positionV>
                      <wp:extent cx="1001486" cy="365760"/>
                      <wp:effectExtent l="0" t="0" r="27305" b="15240"/>
                      <wp:wrapNone/>
                      <wp:docPr id="249" name="Rectangle 249"/>
                      <wp:cNvGraphicFramePr/>
                      <a:graphic xmlns:a="http://schemas.openxmlformats.org/drawingml/2006/main">
                        <a:graphicData uri="http://schemas.microsoft.com/office/word/2010/wordprocessingShape">
                          <wps:wsp>
                            <wps:cNvSpPr/>
                            <wps:spPr>
                              <a:xfrm>
                                <a:off x="0" y="0"/>
                                <a:ext cx="1001486" cy="365760"/>
                              </a:xfrm>
                              <a:prstGeom prst="rect">
                                <a:avLst/>
                              </a:prstGeom>
                              <a:solidFill>
                                <a:sysClr val="window" lastClr="FFFFFF"/>
                              </a:solidFill>
                              <a:ln w="12700" cap="flat" cmpd="sng" algn="ctr">
                                <a:solidFill>
                                  <a:srgbClr val="70AD47"/>
                                </a:solidFill>
                                <a:prstDash val="solid"/>
                                <a:miter lim="800000"/>
                              </a:ln>
                              <a:effectLst/>
                            </wps:spPr>
                            <wps:txbx>
                              <w:txbxContent>
                                <w:p w14:paraId="49FECA33" w14:textId="77777777" w:rsidR="004F5D57" w:rsidRPr="00533B67" w:rsidRDefault="004F5D57" w:rsidP="00CD6352">
                                  <w:pPr>
                                    <w:jc w:val="center"/>
                                    <w:rPr>
                                      <w:rFonts w:ascii="Arial" w:hAnsi="Arial" w:cs="Arial"/>
                                      <w:sz w:val="16"/>
                                      <w:szCs w:val="16"/>
                                    </w:rPr>
                                  </w:pPr>
                                  <w:permStart w:id="2143969469" w:edGrp="everyone"/>
                                  <w:r>
                                    <w:rPr>
                                      <w:rFonts w:ascii="Arial" w:hAnsi="Arial" w:cs="Arial"/>
                                      <w:sz w:val="16"/>
                                      <w:szCs w:val="16"/>
                                    </w:rPr>
                                    <w:t>Debt &amp; /or equity finance</w:t>
                                  </w:r>
                                  <w:permEnd w:id="21439694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0081" id="Rectangle 249" o:spid="_x0000_s1117" style="position:absolute;margin-left:107.95pt;margin-top:2.65pt;width:78.85pt;height:28.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" fillcolor="window" strokecolor="#70ad47" strokeweight="1pt">
                      <v:textbox>
                        <w:txbxContent>
                          <w:p w14:paraId="49FECA33" w14:textId="77777777" w:rsidR="004F5D57" w:rsidRPr="00533B67" w:rsidRDefault="004F5D57" w:rsidP="00CD6352">
                            <w:pPr>
                              <w:jc w:val="center"/>
                              <w:rPr>
                                <w:rFonts w:ascii="Arial" w:hAnsi="Arial" w:cs="Arial"/>
                                <w:sz w:val="16"/>
                                <w:szCs w:val="16"/>
                              </w:rPr>
                            </w:pPr>
                            <w:permStart w:id="2143969469" w:edGrp="everyone"/>
                            <w:r>
                              <w:rPr>
                                <w:rFonts w:ascii="Arial" w:hAnsi="Arial" w:cs="Arial"/>
                                <w:sz w:val="16"/>
                                <w:szCs w:val="16"/>
                              </w:rPr>
                              <w:t>Debt &amp; /or equity finance</w:t>
                            </w:r>
                            <w:permEnd w:id="2143969469"/>
                          </w:p>
                        </w:txbxContent>
                      </v:textbox>
                    </v:rect>
                  </w:pict>
                </mc:Fallback>
              </mc:AlternateContent>
            </w:r>
          </w:p>
          <w:p w14:paraId="0B707C24"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797504" behindDoc="0" locked="0" layoutInCell="1" allowOverlap="1" wp14:anchorId="332F5BC3" wp14:editId="3AE011B8">
                      <wp:simplePos x="0" y="0"/>
                      <wp:positionH relativeFrom="column">
                        <wp:posOffset>2698416</wp:posOffset>
                      </wp:positionH>
                      <wp:positionV relativeFrom="paragraph">
                        <wp:posOffset>39399</wp:posOffset>
                      </wp:positionV>
                      <wp:extent cx="948740" cy="226031"/>
                      <wp:effectExtent l="0" t="0" r="22860" b="22225"/>
                      <wp:wrapNone/>
                      <wp:docPr id="250" name="Rectangle 250"/>
                      <wp:cNvGraphicFramePr/>
                      <a:graphic xmlns:a="http://schemas.openxmlformats.org/drawingml/2006/main">
                        <a:graphicData uri="http://schemas.microsoft.com/office/word/2010/wordprocessingShape">
                          <wps:wsp>
                            <wps:cNvSpPr/>
                            <wps:spPr>
                              <a:xfrm>
                                <a:off x="0" y="0"/>
                                <a:ext cx="948740" cy="226031"/>
                              </a:xfrm>
                              <a:prstGeom prst="rect">
                                <a:avLst/>
                              </a:prstGeom>
                              <a:solidFill>
                                <a:sysClr val="window" lastClr="FFFFFF"/>
                              </a:solidFill>
                              <a:ln w="12700" cap="flat" cmpd="sng" algn="ctr">
                                <a:solidFill>
                                  <a:srgbClr val="70AD47"/>
                                </a:solidFill>
                                <a:prstDash val="solid"/>
                                <a:miter lim="800000"/>
                              </a:ln>
                              <a:effectLst/>
                            </wps:spPr>
                            <wps:txbx>
                              <w:txbxContent>
                                <w:p w14:paraId="675AFD37" w14:textId="77777777" w:rsidR="004F5D57" w:rsidRPr="00533B67" w:rsidRDefault="004F5D57" w:rsidP="00CD6352">
                                  <w:pPr>
                                    <w:jc w:val="center"/>
                                    <w:rPr>
                                      <w:rFonts w:ascii="Arial" w:hAnsi="Arial" w:cs="Arial"/>
                                      <w:sz w:val="16"/>
                                      <w:szCs w:val="16"/>
                                    </w:rPr>
                                  </w:pPr>
                                  <w:permStart w:id="829107390" w:edGrp="everyone"/>
                                  <w:r>
                                    <w:rPr>
                                      <w:rFonts w:ascii="Arial" w:hAnsi="Arial" w:cs="Arial"/>
                                      <w:sz w:val="16"/>
                                      <w:szCs w:val="16"/>
                                    </w:rPr>
                                    <w:t>Close deal</w:t>
                                  </w:r>
                                  <w:permEnd w:id="8291073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F5BC3" id="Rectangle 250" o:spid="_x0000_s1118" style="position:absolute;margin-left:212.45pt;margin-top:3.1pt;width:74.7pt;height:17.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" fillcolor="window" strokecolor="#70ad47" strokeweight="1pt">
                      <v:textbox>
                        <w:txbxContent>
                          <w:p w14:paraId="675AFD37" w14:textId="77777777" w:rsidR="004F5D57" w:rsidRPr="00533B67" w:rsidRDefault="004F5D57" w:rsidP="00CD6352">
                            <w:pPr>
                              <w:jc w:val="center"/>
                              <w:rPr>
                                <w:rFonts w:ascii="Arial" w:hAnsi="Arial" w:cs="Arial"/>
                                <w:sz w:val="16"/>
                                <w:szCs w:val="16"/>
                              </w:rPr>
                            </w:pPr>
                            <w:permStart w:id="829107390" w:edGrp="everyone"/>
                            <w:r>
                              <w:rPr>
                                <w:rFonts w:ascii="Arial" w:hAnsi="Arial" w:cs="Arial"/>
                                <w:sz w:val="16"/>
                                <w:szCs w:val="16"/>
                              </w:rPr>
                              <w:t>Close deal</w:t>
                            </w:r>
                            <w:permEnd w:id="829107390"/>
                          </w:p>
                        </w:txbxContent>
                      </v:textbox>
                    </v:rect>
                  </w:pict>
                </mc:Fallback>
              </mc:AlternateContent>
            </w:r>
          </w:p>
          <w:p w14:paraId="75572407"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35392" behindDoc="0" locked="0" layoutInCell="1" allowOverlap="1" wp14:anchorId="41149D6E" wp14:editId="4EE859C7">
                      <wp:simplePos x="0" y="0"/>
                      <wp:positionH relativeFrom="column">
                        <wp:posOffset>1772242</wp:posOffset>
                      </wp:positionH>
                      <wp:positionV relativeFrom="paragraph">
                        <wp:posOffset>104775</wp:posOffset>
                      </wp:positionV>
                      <wp:extent cx="124788" cy="82193"/>
                      <wp:effectExtent l="38100" t="0" r="46990" b="32385"/>
                      <wp:wrapNone/>
                      <wp:docPr id="251" name="Arrow: Down 251"/>
                      <wp:cNvGraphicFramePr/>
                      <a:graphic xmlns:a="http://schemas.openxmlformats.org/drawingml/2006/main">
                        <a:graphicData uri="http://schemas.microsoft.com/office/word/2010/wordprocessingShape">
                          <wps:wsp>
                            <wps:cNvSpPr/>
                            <wps:spPr>
                              <a:xfrm flipH="1">
                                <a:off x="0" y="0"/>
                                <a:ext cx="124788" cy="82193"/>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81DF" id="Arrow: Down 251" o:spid="_x0000_s1026" type="#_x0000_t67" style="position:absolute;margin-left:139.55pt;margin-top:8.25pt;width:9.85pt;height:6.4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" adj="10800" fillcolor="window" strokecolor="#70ad47" strokeweight="1pt"/>
                  </w:pict>
                </mc:Fallback>
              </mc:AlternateContent>
            </w:r>
          </w:p>
          <w:p w14:paraId="2B0E0E2A" w14:textId="77777777" w:rsidR="00CD6352" w:rsidRPr="002510FA" w:rsidRDefault="00CD6352" w:rsidP="00CD6352">
            <w:pPr>
              <w:rPr>
                <w:rFonts w:ascii="Arial" w:eastAsia="Calibri" w:hAnsi="Arial" w:cs="Arial"/>
              </w:rPr>
            </w:pPr>
            <w:r w:rsidRPr="002510FA">
              <w:rPr>
                <w:rFonts w:ascii="Arial" w:eastAsia="Calibri" w:hAnsi="Arial" w:cs="Arial"/>
                <w:noProof/>
              </w:rPr>
              <mc:AlternateContent>
                <mc:Choice Requires="wps">
                  <w:drawing>
                    <wp:anchor distT="0" distB="0" distL="114300" distR="114300" simplePos="0" relativeHeight="251804672" behindDoc="0" locked="0" layoutInCell="1" allowOverlap="1" wp14:anchorId="42C918CF" wp14:editId="37C99E28">
                      <wp:simplePos x="0" y="0"/>
                      <wp:positionH relativeFrom="column">
                        <wp:posOffset>1352500</wp:posOffset>
                      </wp:positionH>
                      <wp:positionV relativeFrom="paragraph">
                        <wp:posOffset>26313</wp:posOffset>
                      </wp:positionV>
                      <wp:extent cx="1021943" cy="375920"/>
                      <wp:effectExtent l="0" t="0" r="26035" b="24130"/>
                      <wp:wrapNone/>
                      <wp:docPr id="252" name="Rectangle 252"/>
                      <wp:cNvGraphicFramePr/>
                      <a:graphic xmlns:a="http://schemas.openxmlformats.org/drawingml/2006/main">
                        <a:graphicData uri="http://schemas.microsoft.com/office/word/2010/wordprocessingShape">
                          <wps:wsp>
                            <wps:cNvSpPr/>
                            <wps:spPr>
                              <a:xfrm>
                                <a:off x="0" y="0"/>
                                <a:ext cx="1021943" cy="375920"/>
                              </a:xfrm>
                              <a:prstGeom prst="rect">
                                <a:avLst/>
                              </a:prstGeom>
                              <a:solidFill>
                                <a:sysClr val="window" lastClr="FFFFFF"/>
                              </a:solidFill>
                              <a:ln w="12700" cap="flat" cmpd="sng" algn="ctr">
                                <a:solidFill>
                                  <a:srgbClr val="70AD47"/>
                                </a:solidFill>
                                <a:prstDash val="solid"/>
                                <a:miter lim="800000"/>
                              </a:ln>
                              <a:effectLst/>
                            </wps:spPr>
                            <wps:txbx>
                              <w:txbxContent>
                                <w:p w14:paraId="2A81BE11" w14:textId="77777777" w:rsidR="004F5D57" w:rsidRPr="00CC7261" w:rsidRDefault="004F5D57" w:rsidP="00CD6352">
                                  <w:pPr>
                                    <w:jc w:val="center"/>
                                    <w:rPr>
                                      <w:rFonts w:ascii="Arial" w:hAnsi="Arial" w:cs="Arial"/>
                                      <w:sz w:val="16"/>
                                      <w:szCs w:val="16"/>
                                    </w:rPr>
                                  </w:pPr>
                                  <w:permStart w:id="1783177070" w:edGrp="everyone"/>
                                  <w:r>
                                    <w:rPr>
                                      <w:rFonts w:ascii="Arial" w:hAnsi="Arial" w:cs="Arial"/>
                                      <w:sz w:val="16"/>
                                      <w:szCs w:val="16"/>
                                    </w:rPr>
                                    <w:t>Public or private source of finance</w:t>
                                  </w:r>
                                  <w:permEnd w:id="17831770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918CF" id="Rectangle 252" o:spid="_x0000_s1119" style="position:absolute;margin-left:106.5pt;margin-top:2.05pt;width:80.45pt;height:29.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" fillcolor="window" strokecolor="#70ad47" strokeweight="1pt">
                      <v:textbox>
                        <w:txbxContent>
                          <w:p w14:paraId="2A81BE11" w14:textId="77777777" w:rsidR="004F5D57" w:rsidRPr="00CC7261" w:rsidRDefault="004F5D57" w:rsidP="00CD6352">
                            <w:pPr>
                              <w:jc w:val="center"/>
                              <w:rPr>
                                <w:rFonts w:ascii="Arial" w:hAnsi="Arial" w:cs="Arial"/>
                                <w:sz w:val="16"/>
                                <w:szCs w:val="16"/>
                              </w:rPr>
                            </w:pPr>
                            <w:permStart w:id="1783177070" w:edGrp="everyone"/>
                            <w:r>
                              <w:rPr>
                                <w:rFonts w:ascii="Arial" w:hAnsi="Arial" w:cs="Arial"/>
                                <w:sz w:val="16"/>
                                <w:szCs w:val="16"/>
                              </w:rPr>
                              <w:t>Public or private source of finance</w:t>
                            </w:r>
                            <w:permEnd w:id="178317707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34368" behindDoc="0" locked="0" layoutInCell="1" allowOverlap="1" wp14:anchorId="4CC54005" wp14:editId="4635D157">
                      <wp:simplePos x="0" y="0"/>
                      <wp:positionH relativeFrom="column">
                        <wp:posOffset>431515</wp:posOffset>
                      </wp:positionH>
                      <wp:positionV relativeFrom="paragraph">
                        <wp:posOffset>12822</wp:posOffset>
                      </wp:positionV>
                      <wp:extent cx="144373" cy="151058"/>
                      <wp:effectExtent l="19050" t="0" r="27305" b="40005"/>
                      <wp:wrapNone/>
                      <wp:docPr id="253" name="Arrow: Down 253"/>
                      <wp:cNvGraphicFramePr/>
                      <a:graphic xmlns:a="http://schemas.openxmlformats.org/drawingml/2006/main">
                        <a:graphicData uri="http://schemas.microsoft.com/office/word/2010/wordprocessingShape">
                          <wps:wsp>
                            <wps:cNvSpPr/>
                            <wps:spPr>
                              <a:xfrm flipH="1">
                                <a:off x="0" y="0"/>
                                <a:ext cx="144373" cy="15105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808A" id="Arrow: Down 253" o:spid="_x0000_s1026" type="#_x0000_t67" style="position:absolute;margin-left:34pt;margin-top:1pt;width:11.35pt;height:11.9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" adj="11278"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793408" behindDoc="0" locked="0" layoutInCell="1" allowOverlap="1" wp14:anchorId="19ACC210" wp14:editId="139D8FEB">
                      <wp:simplePos x="0" y="0"/>
                      <wp:positionH relativeFrom="column">
                        <wp:posOffset>-20465</wp:posOffset>
                      </wp:positionH>
                      <wp:positionV relativeFrom="paragraph">
                        <wp:posOffset>135690</wp:posOffset>
                      </wp:positionV>
                      <wp:extent cx="1102360" cy="268942"/>
                      <wp:effectExtent l="0" t="0" r="21590" b="17145"/>
                      <wp:wrapNone/>
                      <wp:docPr id="254" name="Rectangle 254"/>
                      <wp:cNvGraphicFramePr/>
                      <a:graphic xmlns:a="http://schemas.openxmlformats.org/drawingml/2006/main">
                        <a:graphicData uri="http://schemas.microsoft.com/office/word/2010/wordprocessingShape">
                          <wps:wsp>
                            <wps:cNvSpPr/>
                            <wps:spPr>
                              <a:xfrm>
                                <a:off x="0" y="0"/>
                                <a:ext cx="1102360" cy="268942"/>
                              </a:xfrm>
                              <a:prstGeom prst="rect">
                                <a:avLst/>
                              </a:prstGeom>
                              <a:solidFill>
                                <a:sysClr val="window" lastClr="FFFFFF"/>
                              </a:solidFill>
                              <a:ln w="12700" cap="flat" cmpd="sng" algn="ctr">
                                <a:solidFill>
                                  <a:srgbClr val="70AD47"/>
                                </a:solidFill>
                                <a:prstDash val="solid"/>
                                <a:miter lim="800000"/>
                              </a:ln>
                              <a:effectLst/>
                            </wps:spPr>
                            <wps:txbx>
                              <w:txbxContent>
                                <w:p w14:paraId="1EC9225C" w14:textId="77777777" w:rsidR="004F5D57" w:rsidRPr="00533B67" w:rsidRDefault="004F5D57" w:rsidP="00CD6352">
                                  <w:pPr>
                                    <w:jc w:val="center"/>
                                    <w:rPr>
                                      <w:rFonts w:ascii="Arial" w:hAnsi="Arial" w:cs="Arial"/>
                                      <w:sz w:val="16"/>
                                      <w:szCs w:val="16"/>
                                    </w:rPr>
                                  </w:pPr>
                                  <w:permStart w:id="2049069778" w:edGrp="everyone"/>
                                  <w:r>
                                    <w:rPr>
                                      <w:rFonts w:ascii="Arial" w:hAnsi="Arial" w:cs="Arial"/>
                                      <w:sz w:val="16"/>
                                      <w:szCs w:val="16"/>
                                    </w:rPr>
                                    <w:t>Negotiate</w:t>
                                  </w:r>
                                  <w:permEnd w:id="20490697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CC210" id="Rectangle 254" o:spid="_x0000_s1120" style="position:absolute;margin-left:-1.6pt;margin-top:10.7pt;width:86.8pt;height:2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" fillcolor="window" strokecolor="#70ad47" strokeweight="1pt">
                      <v:textbox>
                        <w:txbxContent>
                          <w:p w14:paraId="1EC9225C" w14:textId="77777777" w:rsidR="004F5D57" w:rsidRPr="00533B67" w:rsidRDefault="004F5D57" w:rsidP="00CD6352">
                            <w:pPr>
                              <w:jc w:val="center"/>
                              <w:rPr>
                                <w:rFonts w:ascii="Arial" w:hAnsi="Arial" w:cs="Arial"/>
                                <w:sz w:val="16"/>
                                <w:szCs w:val="16"/>
                              </w:rPr>
                            </w:pPr>
                            <w:permStart w:id="2049069778" w:edGrp="everyone"/>
                            <w:r>
                              <w:rPr>
                                <w:rFonts w:ascii="Arial" w:hAnsi="Arial" w:cs="Arial"/>
                                <w:sz w:val="16"/>
                                <w:szCs w:val="16"/>
                              </w:rPr>
                              <w:t>Negotiate</w:t>
                            </w:r>
                            <w:permEnd w:id="2049069778"/>
                          </w:p>
                        </w:txbxContent>
                      </v:textbox>
                    </v:rect>
                  </w:pict>
                </mc:Fallback>
              </mc:AlternateContent>
            </w:r>
          </w:p>
          <w:p w14:paraId="55423135" w14:textId="77777777" w:rsidR="00CD6352" w:rsidRPr="002510FA" w:rsidRDefault="00CD6352" w:rsidP="00CD6352">
            <w:pPr>
              <w:rPr>
                <w:rFonts w:ascii="Arial" w:eastAsia="Calibri" w:hAnsi="Arial" w:cs="Arial"/>
              </w:rPr>
            </w:pPr>
          </w:p>
          <w:p w14:paraId="676690D3" w14:textId="77777777" w:rsidR="00CD6352" w:rsidRPr="002510FA" w:rsidRDefault="00CD6352" w:rsidP="00CD6352">
            <w:pPr>
              <w:rPr>
                <w:rFonts w:ascii="Arial" w:eastAsia="Calibri" w:hAnsi="Arial" w:cs="Arial"/>
              </w:rPr>
            </w:pPr>
          </w:p>
          <w:p w14:paraId="64CECEEF" w14:textId="77777777" w:rsidR="00CD6352" w:rsidRPr="002510FA" w:rsidRDefault="00CD6352" w:rsidP="00CD6352">
            <w:pPr>
              <w:rPr>
                <w:rFonts w:ascii="Arial" w:eastAsia="Calibri" w:hAnsi="Arial" w:cs="Arial"/>
              </w:rPr>
            </w:pPr>
          </w:p>
        </w:tc>
      </w:tr>
      <w:tr w:rsidR="00CD6352" w:rsidRPr="002510FA" w14:paraId="104CFD80" w14:textId="77777777" w:rsidTr="00CD6352">
        <w:trPr>
          <w:cantSplit/>
          <w:trHeight w:val="1134"/>
        </w:trPr>
        <w:tc>
          <w:tcPr>
            <w:tcW w:w="1385" w:type="dxa"/>
          </w:tcPr>
          <w:p w14:paraId="3DDE9067" w14:textId="77777777" w:rsidR="00CD6352" w:rsidRPr="002510FA" w:rsidRDefault="00CD6352" w:rsidP="00CD6352">
            <w:pPr>
              <w:rPr>
                <w:rFonts w:ascii="Arial" w:eastAsia="Calibri" w:hAnsi="Arial" w:cs="Arial"/>
              </w:rPr>
            </w:pPr>
            <w:r w:rsidRPr="002510FA">
              <w:rPr>
                <w:rFonts w:ascii="Arial" w:eastAsia="Calibri" w:hAnsi="Arial" w:cs="Arial"/>
              </w:rPr>
              <w:t>Stage 4</w:t>
            </w:r>
          </w:p>
        </w:tc>
        <w:tc>
          <w:tcPr>
            <w:tcW w:w="595" w:type="dxa"/>
            <w:textDirection w:val="btLr"/>
          </w:tcPr>
          <w:p w14:paraId="1E568794" w14:textId="77777777" w:rsidR="00CD6352" w:rsidRPr="002510FA" w:rsidRDefault="00CD6352" w:rsidP="00CD6352">
            <w:pPr>
              <w:ind w:left="113" w:right="113"/>
              <w:rPr>
                <w:rFonts w:ascii="Arial" w:eastAsia="Calibri" w:hAnsi="Arial" w:cs="Arial"/>
                <w:sz w:val="16"/>
                <w:szCs w:val="16"/>
              </w:rPr>
            </w:pPr>
            <w:r w:rsidRPr="002510FA">
              <w:rPr>
                <w:rFonts w:ascii="Arial" w:eastAsia="Calibri" w:hAnsi="Arial" w:cs="Arial"/>
                <w:sz w:val="16"/>
                <w:szCs w:val="16"/>
              </w:rPr>
              <w:t xml:space="preserve">Feedbacks </w:t>
            </w:r>
          </w:p>
        </w:tc>
        <w:tc>
          <w:tcPr>
            <w:tcW w:w="7036" w:type="dxa"/>
          </w:tcPr>
          <w:p w14:paraId="789BE92B" w14:textId="77777777" w:rsidR="00CD6352" w:rsidRPr="002510FA" w:rsidRDefault="00CD6352" w:rsidP="00324B0D">
            <w:pPr>
              <w:keepNext/>
              <w:rPr>
                <w:rFonts w:ascii="Arial" w:eastAsia="Calibri" w:hAnsi="Arial" w:cs="Arial"/>
                <w:noProof/>
              </w:rPr>
            </w:pPr>
            <w:r w:rsidRPr="002510FA">
              <w:rPr>
                <w:rFonts w:ascii="Arial" w:eastAsia="Calibri" w:hAnsi="Arial" w:cs="Arial"/>
                <w:noProof/>
              </w:rPr>
              <mc:AlternateContent>
                <mc:Choice Requires="wps">
                  <w:drawing>
                    <wp:anchor distT="0" distB="0" distL="114300" distR="114300" simplePos="0" relativeHeight="251843584" behindDoc="0" locked="0" layoutInCell="1" allowOverlap="1" wp14:anchorId="1EA6F560" wp14:editId="062036E6">
                      <wp:simplePos x="0" y="0"/>
                      <wp:positionH relativeFrom="column">
                        <wp:posOffset>2014292</wp:posOffset>
                      </wp:positionH>
                      <wp:positionV relativeFrom="paragraph">
                        <wp:posOffset>325891</wp:posOffset>
                      </wp:positionV>
                      <wp:extent cx="164173" cy="104240"/>
                      <wp:effectExtent l="0" t="19050" r="45720" b="29210"/>
                      <wp:wrapNone/>
                      <wp:docPr id="255" name="Arrow: Right 255"/>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9120" id="Arrow: Right 255" o:spid="_x0000_s1026" type="#_x0000_t13" style="position:absolute;margin-left:158.6pt;margin-top:25.65pt;width:12.95pt;height: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" adj="14743"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42560" behindDoc="0" locked="0" layoutInCell="1" allowOverlap="1" wp14:anchorId="1CE6D2EC" wp14:editId="5E367881">
                      <wp:simplePos x="0" y="0"/>
                      <wp:positionH relativeFrom="column">
                        <wp:posOffset>904125</wp:posOffset>
                      </wp:positionH>
                      <wp:positionV relativeFrom="paragraph">
                        <wp:posOffset>315616</wp:posOffset>
                      </wp:positionV>
                      <wp:extent cx="164173" cy="104240"/>
                      <wp:effectExtent l="0" t="19050" r="45720" b="29210"/>
                      <wp:wrapNone/>
                      <wp:docPr id="256" name="Arrow: Right 256"/>
                      <wp:cNvGraphicFramePr/>
                      <a:graphic xmlns:a="http://schemas.openxmlformats.org/drawingml/2006/main">
                        <a:graphicData uri="http://schemas.microsoft.com/office/word/2010/wordprocessingShape">
                          <wps:wsp>
                            <wps:cNvSpPr/>
                            <wps:spPr>
                              <a:xfrm>
                                <a:off x="0" y="0"/>
                                <a:ext cx="164173" cy="10424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1E42" id="Arrow: Right 256" o:spid="_x0000_s1026" type="#_x0000_t13" style="position:absolute;margin-left:71.2pt;margin-top:24.85pt;width:12.95pt;height:8.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" adj="14743" fillcolor="window" strokecolor="#70ad47" strokeweight="1pt"/>
                  </w:pict>
                </mc:Fallback>
              </mc:AlternateContent>
            </w:r>
            <w:r w:rsidRPr="002510FA">
              <w:rPr>
                <w:rFonts w:ascii="Arial" w:eastAsia="Calibri" w:hAnsi="Arial" w:cs="Arial"/>
                <w:noProof/>
              </w:rPr>
              <mc:AlternateContent>
                <mc:Choice Requires="wps">
                  <w:drawing>
                    <wp:anchor distT="0" distB="0" distL="114300" distR="114300" simplePos="0" relativeHeight="251801600" behindDoc="0" locked="0" layoutInCell="1" allowOverlap="1" wp14:anchorId="6AB9E5B8" wp14:editId="78AEC385">
                      <wp:simplePos x="0" y="0"/>
                      <wp:positionH relativeFrom="column">
                        <wp:posOffset>1075098</wp:posOffset>
                      </wp:positionH>
                      <wp:positionV relativeFrom="paragraph">
                        <wp:posOffset>117082</wp:posOffset>
                      </wp:positionV>
                      <wp:extent cx="914400" cy="472611"/>
                      <wp:effectExtent l="0" t="0" r="19050" b="22860"/>
                      <wp:wrapNone/>
                      <wp:docPr id="257" name="Rectangle 257"/>
                      <wp:cNvGraphicFramePr/>
                      <a:graphic xmlns:a="http://schemas.openxmlformats.org/drawingml/2006/main">
                        <a:graphicData uri="http://schemas.microsoft.com/office/word/2010/wordprocessingShape">
                          <wps:wsp>
                            <wps:cNvSpPr/>
                            <wps:spPr>
                              <a:xfrm>
                                <a:off x="0" y="0"/>
                                <a:ext cx="914400" cy="472611"/>
                              </a:xfrm>
                              <a:prstGeom prst="rect">
                                <a:avLst/>
                              </a:prstGeom>
                              <a:solidFill>
                                <a:sysClr val="window" lastClr="FFFFFF"/>
                              </a:solidFill>
                              <a:ln w="12700" cap="flat" cmpd="sng" algn="ctr">
                                <a:solidFill>
                                  <a:srgbClr val="70AD47"/>
                                </a:solidFill>
                                <a:prstDash val="solid"/>
                                <a:miter lim="800000"/>
                              </a:ln>
                              <a:effectLst/>
                            </wps:spPr>
                            <wps:txbx>
                              <w:txbxContent>
                                <w:p w14:paraId="6B4FFACF" w14:textId="77777777" w:rsidR="004F5D57" w:rsidRPr="00533B67" w:rsidRDefault="004F5D57" w:rsidP="00CD6352">
                                  <w:pPr>
                                    <w:jc w:val="center"/>
                                    <w:rPr>
                                      <w:rFonts w:ascii="Arial" w:hAnsi="Arial" w:cs="Arial"/>
                                      <w:sz w:val="16"/>
                                      <w:szCs w:val="16"/>
                                    </w:rPr>
                                  </w:pPr>
                                  <w:permStart w:id="204354880" w:edGrp="everyone"/>
                                  <w:r>
                                    <w:rPr>
                                      <w:rFonts w:ascii="Arial" w:hAnsi="Arial" w:cs="Arial"/>
                                      <w:sz w:val="16"/>
                                      <w:szCs w:val="16"/>
                                    </w:rPr>
                                    <w:t>Pay-off debt</w:t>
                                  </w:r>
                                  <w:permEnd w:id="2043548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9E5B8" id="Rectangle 257" o:spid="_x0000_s1121" style="position:absolute;margin-left:84.65pt;margin-top:9.2pt;width:1in;height:37.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" fillcolor="window" strokecolor="#70ad47" strokeweight="1pt">
                      <v:textbox>
                        <w:txbxContent>
                          <w:p w14:paraId="6B4FFACF" w14:textId="77777777" w:rsidR="004F5D57" w:rsidRPr="00533B67" w:rsidRDefault="004F5D57" w:rsidP="00CD6352">
                            <w:pPr>
                              <w:jc w:val="center"/>
                              <w:rPr>
                                <w:rFonts w:ascii="Arial" w:hAnsi="Arial" w:cs="Arial"/>
                                <w:sz w:val="16"/>
                                <w:szCs w:val="16"/>
                              </w:rPr>
                            </w:pPr>
                            <w:permStart w:id="204354880" w:edGrp="everyone"/>
                            <w:r>
                              <w:rPr>
                                <w:rFonts w:ascii="Arial" w:hAnsi="Arial" w:cs="Arial"/>
                                <w:sz w:val="16"/>
                                <w:szCs w:val="16"/>
                              </w:rPr>
                              <w:t>Pay-off debt</w:t>
                            </w:r>
                            <w:permEnd w:id="204354880"/>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02624" behindDoc="0" locked="0" layoutInCell="1" allowOverlap="1" wp14:anchorId="638FB2EF" wp14:editId="1AD07123">
                      <wp:simplePos x="0" y="0"/>
                      <wp:positionH relativeFrom="column">
                        <wp:posOffset>2177938</wp:posOffset>
                      </wp:positionH>
                      <wp:positionV relativeFrom="paragraph">
                        <wp:posOffset>125655</wp:posOffset>
                      </wp:positionV>
                      <wp:extent cx="914400" cy="559398"/>
                      <wp:effectExtent l="0" t="0" r="19050" b="12700"/>
                      <wp:wrapNone/>
                      <wp:docPr id="258" name="Rectangle 258"/>
                      <wp:cNvGraphicFramePr/>
                      <a:graphic xmlns:a="http://schemas.openxmlformats.org/drawingml/2006/main">
                        <a:graphicData uri="http://schemas.microsoft.com/office/word/2010/wordprocessingShape">
                          <wps:wsp>
                            <wps:cNvSpPr/>
                            <wps:spPr>
                              <a:xfrm>
                                <a:off x="0" y="0"/>
                                <a:ext cx="914400" cy="559398"/>
                              </a:xfrm>
                              <a:prstGeom prst="rect">
                                <a:avLst/>
                              </a:prstGeom>
                              <a:solidFill>
                                <a:sysClr val="window" lastClr="FFFFFF"/>
                              </a:solidFill>
                              <a:ln w="12700" cap="flat" cmpd="sng" algn="ctr">
                                <a:solidFill>
                                  <a:srgbClr val="70AD47"/>
                                </a:solidFill>
                                <a:prstDash val="solid"/>
                                <a:miter lim="800000"/>
                              </a:ln>
                              <a:effectLst/>
                            </wps:spPr>
                            <wps:txbx>
                              <w:txbxContent>
                                <w:p w14:paraId="545831A2" w14:textId="77777777" w:rsidR="004F5D57" w:rsidRPr="00533B67" w:rsidRDefault="004F5D57" w:rsidP="00CD6352">
                                  <w:pPr>
                                    <w:jc w:val="center"/>
                                    <w:rPr>
                                      <w:rFonts w:ascii="Arial" w:hAnsi="Arial" w:cs="Arial"/>
                                      <w:sz w:val="16"/>
                                      <w:szCs w:val="16"/>
                                    </w:rPr>
                                  </w:pPr>
                                  <w:permStart w:id="1906277984" w:edGrp="everyone"/>
                                  <w:r>
                                    <w:rPr>
                                      <w:rFonts w:ascii="Arial" w:hAnsi="Arial" w:cs="Arial"/>
                                      <w:sz w:val="16"/>
                                      <w:szCs w:val="16"/>
                                    </w:rPr>
                                    <w:t>Sustain relationship with financiers</w:t>
                                  </w:r>
                                  <w:permEnd w:id="19062779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FB2EF" id="Rectangle 258" o:spid="_x0000_s1122" style="position:absolute;margin-left:171.5pt;margin-top:9.9pt;width:1in;height:44.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" fillcolor="window" strokecolor="#70ad47" strokeweight="1pt">
                      <v:textbox>
                        <w:txbxContent>
                          <w:p w14:paraId="545831A2" w14:textId="77777777" w:rsidR="004F5D57" w:rsidRPr="00533B67" w:rsidRDefault="004F5D57" w:rsidP="00CD6352">
                            <w:pPr>
                              <w:jc w:val="center"/>
                              <w:rPr>
                                <w:rFonts w:ascii="Arial" w:hAnsi="Arial" w:cs="Arial"/>
                                <w:sz w:val="16"/>
                                <w:szCs w:val="16"/>
                              </w:rPr>
                            </w:pPr>
                            <w:permStart w:id="1906277984" w:edGrp="everyone"/>
                            <w:r>
                              <w:rPr>
                                <w:rFonts w:ascii="Arial" w:hAnsi="Arial" w:cs="Arial"/>
                                <w:sz w:val="16"/>
                                <w:szCs w:val="16"/>
                              </w:rPr>
                              <w:t>Sustain relationship with financiers</w:t>
                            </w:r>
                            <w:permEnd w:id="1906277984"/>
                          </w:p>
                        </w:txbxContent>
                      </v:textbox>
                    </v:rect>
                  </w:pict>
                </mc:Fallback>
              </mc:AlternateContent>
            </w:r>
            <w:r w:rsidRPr="002510FA">
              <w:rPr>
                <w:rFonts w:ascii="Arial" w:eastAsia="Calibri" w:hAnsi="Arial" w:cs="Arial"/>
                <w:noProof/>
              </w:rPr>
              <mc:AlternateContent>
                <mc:Choice Requires="wps">
                  <w:drawing>
                    <wp:anchor distT="0" distB="0" distL="114300" distR="114300" simplePos="0" relativeHeight="251800576" behindDoc="0" locked="0" layoutInCell="1" allowOverlap="1" wp14:anchorId="49911E49" wp14:editId="5F43B6CD">
                      <wp:simplePos x="0" y="0"/>
                      <wp:positionH relativeFrom="column">
                        <wp:posOffset>-5864</wp:posOffset>
                      </wp:positionH>
                      <wp:positionV relativeFrom="paragraph">
                        <wp:posOffset>125655</wp:posOffset>
                      </wp:positionV>
                      <wp:extent cx="914400" cy="505610"/>
                      <wp:effectExtent l="0" t="0" r="19050" b="27940"/>
                      <wp:wrapNone/>
                      <wp:docPr id="259" name="Rectangle 259"/>
                      <wp:cNvGraphicFramePr/>
                      <a:graphic xmlns:a="http://schemas.openxmlformats.org/drawingml/2006/main">
                        <a:graphicData uri="http://schemas.microsoft.com/office/word/2010/wordprocessingShape">
                          <wps:wsp>
                            <wps:cNvSpPr/>
                            <wps:spPr>
                              <a:xfrm>
                                <a:off x="0" y="0"/>
                                <a:ext cx="914400" cy="505610"/>
                              </a:xfrm>
                              <a:prstGeom prst="rect">
                                <a:avLst/>
                              </a:prstGeom>
                              <a:solidFill>
                                <a:sysClr val="window" lastClr="FFFFFF"/>
                              </a:solidFill>
                              <a:ln w="12700" cap="flat" cmpd="sng" algn="ctr">
                                <a:solidFill>
                                  <a:srgbClr val="70AD47"/>
                                </a:solidFill>
                                <a:prstDash val="solid"/>
                                <a:miter lim="800000"/>
                              </a:ln>
                              <a:effectLst/>
                            </wps:spPr>
                            <wps:txbx>
                              <w:txbxContent>
                                <w:p w14:paraId="5ED530B6" w14:textId="77777777" w:rsidR="004F5D57" w:rsidRPr="00533B67" w:rsidRDefault="004F5D57" w:rsidP="00CD6352">
                                  <w:pPr>
                                    <w:jc w:val="center"/>
                                    <w:rPr>
                                      <w:rFonts w:ascii="Arial" w:hAnsi="Arial" w:cs="Arial"/>
                                      <w:sz w:val="16"/>
                                      <w:szCs w:val="16"/>
                                    </w:rPr>
                                  </w:pPr>
                                  <w:permStart w:id="1345857393" w:edGrp="everyone"/>
                                  <w:r>
                                    <w:rPr>
                                      <w:rFonts w:ascii="Arial" w:hAnsi="Arial" w:cs="Arial"/>
                                      <w:sz w:val="16"/>
                                      <w:szCs w:val="16"/>
                                    </w:rPr>
                                    <w:t>Meet up with debt/equity covenants</w:t>
                                  </w:r>
                                  <w:permEnd w:id="13458573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11E49" id="Rectangle 259" o:spid="_x0000_s1123" style="position:absolute;margin-left:-.45pt;margin-top:9.9pt;width:1in;height:3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" fillcolor="window" strokecolor="#70ad47" strokeweight="1pt">
                      <v:textbox>
                        <w:txbxContent>
                          <w:p w14:paraId="5ED530B6" w14:textId="77777777" w:rsidR="004F5D57" w:rsidRPr="00533B67" w:rsidRDefault="004F5D57" w:rsidP="00CD6352">
                            <w:pPr>
                              <w:jc w:val="center"/>
                              <w:rPr>
                                <w:rFonts w:ascii="Arial" w:hAnsi="Arial" w:cs="Arial"/>
                                <w:sz w:val="16"/>
                                <w:szCs w:val="16"/>
                              </w:rPr>
                            </w:pPr>
                            <w:permStart w:id="1345857393" w:edGrp="everyone"/>
                            <w:r>
                              <w:rPr>
                                <w:rFonts w:ascii="Arial" w:hAnsi="Arial" w:cs="Arial"/>
                                <w:sz w:val="16"/>
                                <w:szCs w:val="16"/>
                              </w:rPr>
                              <w:t>Meet up with debt/equity covenants</w:t>
                            </w:r>
                            <w:permEnd w:id="1345857393"/>
                          </w:p>
                        </w:txbxContent>
                      </v:textbox>
                    </v:rect>
                  </w:pict>
                </mc:Fallback>
              </mc:AlternateContent>
            </w:r>
          </w:p>
        </w:tc>
      </w:tr>
    </w:tbl>
    <w:p w14:paraId="59FD5DDC" w14:textId="77777777" w:rsidR="00FB3869" w:rsidRPr="00355D91" w:rsidRDefault="00FB3869" w:rsidP="00355D91">
      <w:pPr>
        <w:spacing w:line="240" w:lineRule="auto"/>
        <w:jc w:val="both"/>
        <w:rPr>
          <w:rFonts w:ascii="Arial" w:hAnsi="Arial" w:cs="Arial"/>
          <w:sz w:val="16"/>
          <w:szCs w:val="16"/>
        </w:rPr>
      </w:pPr>
      <w:bookmarkStart w:id="1468" w:name="_Hlk65277257"/>
      <w:r w:rsidRPr="00355D91">
        <w:rPr>
          <w:rFonts w:ascii="Arial" w:hAnsi="Arial" w:cs="Arial"/>
          <w:sz w:val="16"/>
          <w:szCs w:val="16"/>
        </w:rPr>
        <w:t>Source: compilation by the author (2021)</w:t>
      </w:r>
    </w:p>
    <w:bookmarkEnd w:id="1468"/>
    <w:p w14:paraId="5491A9C6" w14:textId="2BF7C456" w:rsidR="00324B0D" w:rsidRDefault="00FB3869" w:rsidP="00355D91">
      <w:pPr>
        <w:pStyle w:val="Subtitle"/>
        <w:spacing w:line="240" w:lineRule="auto"/>
        <w:rPr>
          <w:rStyle w:val="IntenseEmphasis"/>
          <w:rFonts w:ascii="Arial" w:hAnsi="Arial" w:cs="Arial"/>
          <w:i w:val="0"/>
          <w:iCs w:val="0"/>
          <w:color w:val="auto"/>
          <w:sz w:val="16"/>
          <w:szCs w:val="16"/>
        </w:rPr>
      </w:pPr>
      <w:r w:rsidRPr="00355D91">
        <w:rPr>
          <w:rStyle w:val="IntenseEmphasis"/>
          <w:rFonts w:ascii="Arial" w:hAnsi="Arial" w:cs="Arial"/>
          <w:i w:val="0"/>
          <w:iCs w:val="0"/>
          <w:color w:val="auto"/>
          <w:sz w:val="16"/>
          <w:szCs w:val="16"/>
        </w:rPr>
        <w:t>Detailed development of process map for securing finance for real estate project development is contained in chapter 7.5.</w:t>
      </w:r>
    </w:p>
    <w:p w14:paraId="5B33F4AD" w14:textId="77777777" w:rsidR="00355D91" w:rsidRPr="00355D91" w:rsidRDefault="00355D91" w:rsidP="00355D91"/>
    <w:p w14:paraId="19AD505F" w14:textId="2291F5DB" w:rsidR="00CD6352" w:rsidRPr="008B76EF" w:rsidRDefault="00CD6352" w:rsidP="00CD6352">
      <w:pPr>
        <w:pStyle w:val="Subtitle"/>
        <w:rPr>
          <w:rStyle w:val="IntenseEmphasis"/>
          <w:rFonts w:ascii="Arial" w:hAnsi="Arial" w:cs="Arial"/>
          <w:b/>
          <w:bCs/>
          <w:color w:val="auto"/>
        </w:rPr>
      </w:pPr>
      <w:r>
        <w:rPr>
          <w:rStyle w:val="IntenseEmphasis"/>
          <w:rFonts w:ascii="Arial" w:hAnsi="Arial" w:cs="Arial"/>
          <w:b/>
          <w:bCs/>
          <w:color w:val="auto"/>
        </w:rPr>
        <w:t>Further c</w:t>
      </w:r>
      <w:r w:rsidRPr="008B76EF">
        <w:rPr>
          <w:rStyle w:val="IntenseEmphasis"/>
          <w:rFonts w:ascii="Arial" w:hAnsi="Arial" w:cs="Arial"/>
          <w:b/>
          <w:bCs/>
          <w:color w:val="auto"/>
        </w:rPr>
        <w:t>omments</w:t>
      </w:r>
    </w:p>
    <w:p w14:paraId="28F10B14" w14:textId="66DA4298" w:rsidR="00CD6352" w:rsidRPr="00EA7665" w:rsidRDefault="00CD6352" w:rsidP="00CD6352">
      <w:pPr>
        <w:spacing w:line="360" w:lineRule="auto"/>
        <w:jc w:val="both"/>
        <w:rPr>
          <w:rFonts w:ascii="Arial" w:hAnsi="Arial" w:cs="Arial"/>
        </w:rPr>
      </w:pPr>
      <w:r w:rsidRPr="00EA7665">
        <w:rPr>
          <w:rFonts w:ascii="Arial" w:hAnsi="Arial" w:cs="Arial"/>
        </w:rPr>
        <w:t>The process map provides a general overview of the processes for securing finance for real estate project development</w:t>
      </w:r>
      <w:r w:rsidR="006175AB">
        <w:rPr>
          <w:rFonts w:ascii="Arial" w:hAnsi="Arial" w:cs="Arial"/>
        </w:rPr>
        <w:t>. I</w:t>
      </w:r>
      <w:r w:rsidRPr="00EA7665">
        <w:rPr>
          <w:rFonts w:ascii="Arial" w:hAnsi="Arial" w:cs="Arial"/>
        </w:rPr>
        <w:t xml:space="preserve">t is meant to guide </w:t>
      </w:r>
      <w:r w:rsidR="006175AB">
        <w:rPr>
          <w:rFonts w:ascii="Arial" w:hAnsi="Arial" w:cs="Arial"/>
        </w:rPr>
        <w:t>and</w:t>
      </w:r>
      <w:r w:rsidRPr="00EA7665">
        <w:rPr>
          <w:rFonts w:ascii="Arial" w:hAnsi="Arial" w:cs="Arial"/>
        </w:rPr>
        <w:t xml:space="preserve"> improve the quality and safety </w:t>
      </w:r>
      <w:r w:rsidR="006175AB">
        <w:rPr>
          <w:rFonts w:ascii="Arial" w:hAnsi="Arial" w:cs="Arial"/>
        </w:rPr>
        <w:t xml:space="preserve">of the </w:t>
      </w:r>
      <w:r w:rsidRPr="00EA7665">
        <w:rPr>
          <w:rFonts w:ascii="Arial" w:hAnsi="Arial" w:cs="Arial"/>
        </w:rPr>
        <w:t>process</w:t>
      </w:r>
      <w:r w:rsidR="006175AB">
        <w:rPr>
          <w:rFonts w:ascii="Arial" w:hAnsi="Arial" w:cs="Arial"/>
        </w:rPr>
        <w:t xml:space="preserve"> </w:t>
      </w:r>
      <w:r w:rsidRPr="00EA7665">
        <w:rPr>
          <w:rFonts w:ascii="Arial" w:hAnsi="Arial" w:cs="Arial"/>
        </w:rPr>
        <w:t xml:space="preserve">in obtaining finance for real estate project development. It is intended to be a planning tool that describes the flow of work that may be required when the real estate manager is </w:t>
      </w:r>
      <w:r w:rsidRPr="00EA7665">
        <w:rPr>
          <w:rFonts w:ascii="Arial" w:hAnsi="Arial" w:cs="Arial"/>
        </w:rPr>
        <w:lastRenderedPageBreak/>
        <w:t xml:space="preserve">securing finance for project development. The process map demonstrates the steps and the key decisions that are taken in the process of securing finance for project development. The process map as a guide helps </w:t>
      </w:r>
      <w:r>
        <w:rPr>
          <w:rFonts w:ascii="Arial" w:hAnsi="Arial" w:cs="Arial"/>
        </w:rPr>
        <w:t xml:space="preserve">to </w:t>
      </w:r>
      <w:r w:rsidRPr="00EA7665">
        <w:rPr>
          <w:rFonts w:ascii="Arial" w:hAnsi="Arial" w:cs="Arial"/>
        </w:rPr>
        <w:t>eliminate risk and reduce delays in the process of securing finance for real estate project development if the managers tak</w:t>
      </w:r>
      <w:r>
        <w:rPr>
          <w:rFonts w:ascii="Arial" w:hAnsi="Arial" w:cs="Arial"/>
        </w:rPr>
        <w:t>e</w:t>
      </w:r>
      <w:r w:rsidRPr="00EA7665">
        <w:rPr>
          <w:rFonts w:ascii="Arial" w:hAnsi="Arial" w:cs="Arial"/>
        </w:rPr>
        <w:t xml:space="preserve"> the time to understand and adapt it to their peculiar financial environment. Furthermore, the processes at the different stages could overlap depending on</w:t>
      </w:r>
      <w:r>
        <w:rPr>
          <w:rFonts w:ascii="Arial" w:hAnsi="Arial" w:cs="Arial"/>
        </w:rPr>
        <w:t xml:space="preserve"> agreements</w:t>
      </w:r>
      <w:r w:rsidRPr="00EA7665">
        <w:rPr>
          <w:rFonts w:ascii="Arial" w:hAnsi="Arial" w:cs="Arial"/>
        </w:rPr>
        <w:t xml:space="preserve"> by the parties involved in the finance process.</w:t>
      </w:r>
    </w:p>
    <w:bookmarkEnd w:id="1466"/>
    <w:p w14:paraId="4242CB71" w14:textId="77777777" w:rsidR="00CD6352" w:rsidRPr="00C7376C" w:rsidRDefault="00CD6352" w:rsidP="00CD6352">
      <w:pPr>
        <w:spacing w:before="240"/>
        <w:rPr>
          <w:rStyle w:val="IntenseEmphasis"/>
          <w:rFonts w:ascii="Arial" w:hAnsi="Arial" w:cs="Arial"/>
          <w:b/>
          <w:bCs/>
        </w:rPr>
      </w:pPr>
      <w:r w:rsidRPr="00C7376C">
        <w:rPr>
          <w:rStyle w:val="IntenseEmphasis"/>
          <w:rFonts w:ascii="Arial" w:hAnsi="Arial" w:cs="Arial"/>
          <w:b/>
          <w:bCs/>
          <w:color w:val="auto"/>
        </w:rPr>
        <w:t>Toolkit stage 4: Inventory of skills, knowledge, and competences for securing finance for real estate project development</w:t>
      </w:r>
      <w:r w:rsidRPr="00C7376C">
        <w:rPr>
          <w:rStyle w:val="IntenseEmphasis"/>
          <w:rFonts w:ascii="Arial" w:hAnsi="Arial" w:cs="Arial"/>
          <w:b/>
          <w:bCs/>
        </w:rPr>
        <w:t xml:space="preserve"> </w:t>
      </w:r>
    </w:p>
    <w:p w14:paraId="17838B57" w14:textId="69229FC7" w:rsidR="00CD6352" w:rsidRPr="00EA7665" w:rsidRDefault="00CD6352" w:rsidP="00CD6352">
      <w:pPr>
        <w:spacing w:line="360" w:lineRule="auto"/>
        <w:jc w:val="both"/>
        <w:rPr>
          <w:rFonts w:ascii="Arial" w:hAnsi="Arial" w:cs="Arial"/>
        </w:rPr>
      </w:pPr>
      <w:r w:rsidRPr="00EA7665">
        <w:rPr>
          <w:rFonts w:ascii="Arial" w:hAnsi="Arial" w:cs="Arial"/>
        </w:rPr>
        <w:t xml:space="preserve">Stage </w:t>
      </w:r>
      <w:r>
        <w:rPr>
          <w:rFonts w:ascii="Arial" w:hAnsi="Arial" w:cs="Arial"/>
        </w:rPr>
        <w:t>4 of the toolkit for securing finance for real estate project development has</w:t>
      </w:r>
      <w:r w:rsidRPr="00EA7665">
        <w:rPr>
          <w:rFonts w:ascii="Arial" w:hAnsi="Arial" w:cs="Arial"/>
        </w:rPr>
        <w:t xml:space="preserve"> three main components</w:t>
      </w:r>
      <w:r w:rsidR="006175AB">
        <w:rPr>
          <w:rFonts w:ascii="Arial" w:hAnsi="Arial" w:cs="Arial"/>
        </w:rPr>
        <w:t>: the skills, knowledge, and competenc</w:t>
      </w:r>
      <w:r w:rsidRPr="00EA7665">
        <w:rPr>
          <w:rFonts w:ascii="Arial" w:hAnsi="Arial" w:cs="Arial"/>
        </w:rPr>
        <w:t xml:space="preserve">es for securing finance for real estate project development. </w:t>
      </w:r>
    </w:p>
    <w:p w14:paraId="2C85418D" w14:textId="77777777" w:rsidR="00CD6352" w:rsidRPr="0041644B" w:rsidRDefault="00CD6352" w:rsidP="008D4A4F">
      <w:pPr>
        <w:pStyle w:val="ListParagraph"/>
        <w:numPr>
          <w:ilvl w:val="0"/>
          <w:numId w:val="247"/>
        </w:numPr>
        <w:rPr>
          <w:rFonts w:ascii="Arial" w:hAnsi="Arial" w:cs="Arial"/>
          <w:b/>
          <w:bCs/>
        </w:rPr>
      </w:pPr>
      <w:r w:rsidRPr="0041644B">
        <w:rPr>
          <w:rFonts w:ascii="Arial" w:hAnsi="Arial" w:cs="Arial"/>
          <w:b/>
          <w:bCs/>
        </w:rPr>
        <w:t xml:space="preserve">Toolkit stage 4.1: Inventory of skills for securing finance for real estate project development </w:t>
      </w:r>
    </w:p>
    <w:p w14:paraId="0F3099DD" w14:textId="50546670" w:rsidR="00CD6352" w:rsidRPr="00EA7665" w:rsidRDefault="00CD6352" w:rsidP="00CD6352">
      <w:pPr>
        <w:spacing w:before="240" w:line="360" w:lineRule="auto"/>
        <w:jc w:val="both"/>
        <w:rPr>
          <w:rFonts w:ascii="Arial" w:hAnsi="Arial" w:cs="Arial"/>
        </w:rPr>
      </w:pPr>
      <w:r w:rsidRPr="00EA7665">
        <w:rPr>
          <w:rFonts w:ascii="Arial" w:hAnsi="Arial" w:cs="Arial"/>
        </w:rPr>
        <w:t xml:space="preserve">This inventory of skills </w:t>
      </w:r>
      <w:r w:rsidR="006175AB">
        <w:rPr>
          <w:rFonts w:ascii="Arial" w:hAnsi="Arial" w:cs="Arial"/>
        </w:rPr>
        <w:t>guides the managers in securing finance for real estate project development and acts</w:t>
      </w:r>
      <w:r w:rsidRPr="00EA7665">
        <w:rPr>
          <w:rFonts w:ascii="Arial" w:hAnsi="Arial" w:cs="Arial"/>
        </w:rPr>
        <w:t xml:space="preserve"> as training and development </w:t>
      </w:r>
      <w:r>
        <w:rPr>
          <w:rFonts w:ascii="Arial" w:hAnsi="Arial" w:cs="Arial"/>
        </w:rPr>
        <w:t>support</w:t>
      </w:r>
      <w:r w:rsidRPr="00EA7665">
        <w:rPr>
          <w:rFonts w:ascii="Arial" w:hAnsi="Arial" w:cs="Arial"/>
        </w:rPr>
        <w:t>. The conceptual skills framework</w:t>
      </w:r>
      <w:r w:rsidR="006D4931">
        <w:rPr>
          <w:rFonts w:ascii="Arial" w:hAnsi="Arial" w:cs="Arial"/>
        </w:rPr>
        <w:t>/</w:t>
      </w:r>
      <w:r w:rsidRPr="00EA7665">
        <w:rPr>
          <w:rFonts w:ascii="Arial" w:hAnsi="Arial" w:cs="Arial"/>
        </w:rPr>
        <w:t xml:space="preserve">inventory of skills for securing finance for real estate project development is divided into five major </w:t>
      </w:r>
      <w:r w:rsidR="006175AB">
        <w:rPr>
          <w:rFonts w:ascii="Arial" w:hAnsi="Arial" w:cs="Arial"/>
        </w:rPr>
        <w:t>skills: human, technical, conceptual, political,</w:t>
      </w:r>
      <w:r w:rsidRPr="00EA7665">
        <w:rPr>
          <w:rFonts w:ascii="Arial" w:hAnsi="Arial" w:cs="Arial"/>
        </w:rPr>
        <w:t xml:space="preserve"> and financial management skills</w:t>
      </w:r>
      <w:r w:rsidR="006175AB">
        <w:rPr>
          <w:rFonts w:ascii="Arial" w:hAnsi="Arial" w:cs="Arial"/>
        </w:rPr>
        <w:t xml:space="preserve"> (please see table 10.2.5)</w:t>
      </w:r>
      <w:r w:rsidRPr="00EA7665">
        <w:rPr>
          <w:rFonts w:ascii="Arial" w:hAnsi="Arial" w:cs="Arial"/>
        </w:rPr>
        <w:t xml:space="preserve">. The </w:t>
      </w:r>
      <w:r>
        <w:rPr>
          <w:rFonts w:ascii="Arial" w:hAnsi="Arial" w:cs="Arial"/>
        </w:rPr>
        <w:t>framework</w:t>
      </w:r>
      <w:r w:rsidRPr="00EA7665">
        <w:rPr>
          <w:rFonts w:ascii="Arial" w:hAnsi="Arial" w:cs="Arial"/>
        </w:rPr>
        <w:t xml:space="preserve"> is inspired by </w:t>
      </w:r>
      <w:r w:rsidR="00884A70">
        <w:rPr>
          <w:rFonts w:ascii="Arial" w:hAnsi="Arial" w:cs="Arial"/>
        </w:rPr>
        <w:t>some</w:t>
      </w:r>
      <w:r w:rsidRPr="00EA7665">
        <w:rPr>
          <w:rFonts w:ascii="Arial" w:hAnsi="Arial" w:cs="Arial"/>
        </w:rPr>
        <w:t xml:space="preserve"> authors</w:t>
      </w:r>
      <w:r w:rsidR="006175AB">
        <w:rPr>
          <w:rFonts w:ascii="Arial" w:hAnsi="Arial" w:cs="Arial"/>
        </w:rPr>
        <w:t>,</w:t>
      </w:r>
      <w:r w:rsidRPr="00EA7665">
        <w:rPr>
          <w:rFonts w:ascii="Arial" w:hAnsi="Arial" w:cs="Arial"/>
        </w:rPr>
        <w:t xml:space="preserve"> which includes Boyatzis (1982), Katz (1971), Egbu (1992), IPMA (2015), Grizzle (1985), Whetten &amp; Camron (2015), Spencer &amp; Spencer (1993), Whetton &amp; Cameron (2015), Muthuveloo(2017) and Ogbenjuwa et</w:t>
      </w:r>
      <w:r>
        <w:rPr>
          <w:rFonts w:ascii="Arial" w:hAnsi="Arial" w:cs="Arial"/>
        </w:rPr>
        <w:t xml:space="preserve"> a</w:t>
      </w:r>
      <w:r w:rsidRPr="00EA7665">
        <w:rPr>
          <w:rFonts w:ascii="Arial" w:hAnsi="Arial" w:cs="Arial"/>
        </w:rPr>
        <w:t>l</w:t>
      </w:r>
      <w:r w:rsidR="006175AB">
        <w:rPr>
          <w:rFonts w:ascii="Arial" w:hAnsi="Arial" w:cs="Arial"/>
        </w:rPr>
        <w:t>.</w:t>
      </w:r>
      <w:r w:rsidRPr="00EA7665">
        <w:rPr>
          <w:rFonts w:ascii="Arial" w:hAnsi="Arial" w:cs="Arial"/>
        </w:rPr>
        <w:t xml:space="preserve"> (2018).</w:t>
      </w:r>
      <w:r w:rsidR="00884A70">
        <w:rPr>
          <w:rFonts w:ascii="Arial" w:hAnsi="Arial" w:cs="Arial"/>
        </w:rPr>
        <w:t xml:space="preserve"> However, variables used in </w:t>
      </w:r>
      <w:r w:rsidR="006175AB">
        <w:rPr>
          <w:rFonts w:ascii="Arial" w:hAnsi="Arial" w:cs="Arial"/>
        </w:rPr>
        <w:t>developing</w:t>
      </w:r>
      <w:r w:rsidR="00884A70">
        <w:rPr>
          <w:rFonts w:ascii="Arial" w:hAnsi="Arial" w:cs="Arial"/>
        </w:rPr>
        <w:t xml:space="preserve"> the toolkit are fundamentally from the semi-structured interviews and questionnaire survey responses.</w:t>
      </w:r>
    </w:p>
    <w:p w14:paraId="7DF25919" w14:textId="6F49B96C" w:rsidR="00722D0F" w:rsidRPr="000A4261" w:rsidRDefault="00722D0F" w:rsidP="00722D0F">
      <w:pPr>
        <w:pStyle w:val="Caption"/>
        <w:keepNext/>
        <w:rPr>
          <w:rFonts w:ascii="Arial" w:hAnsi="Arial" w:cs="Arial"/>
          <w:sz w:val="16"/>
          <w:szCs w:val="16"/>
        </w:rPr>
      </w:pPr>
      <w:bookmarkStart w:id="1469" w:name="_Toc78984046"/>
      <w:r w:rsidRPr="000A4261">
        <w:rPr>
          <w:rFonts w:ascii="Arial" w:hAnsi="Arial" w:cs="Arial"/>
          <w:sz w:val="16"/>
          <w:szCs w:val="16"/>
        </w:rPr>
        <w:t xml:space="preserve">Table </w:t>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STYLEREF 2 \s </w:instrText>
      </w:r>
      <w:r w:rsidR="00591802" w:rsidRPr="000A4261">
        <w:rPr>
          <w:rFonts w:ascii="Arial" w:hAnsi="Arial" w:cs="Arial"/>
          <w:sz w:val="16"/>
          <w:szCs w:val="16"/>
        </w:rPr>
        <w:fldChar w:fldCharType="separate"/>
      </w:r>
      <w:r w:rsidR="008F25B1" w:rsidRPr="000A4261">
        <w:rPr>
          <w:rFonts w:ascii="Arial" w:hAnsi="Arial" w:cs="Arial"/>
          <w:noProof/>
          <w:sz w:val="16"/>
          <w:szCs w:val="16"/>
        </w:rPr>
        <w:t>10.2</w:t>
      </w:r>
      <w:r w:rsidR="00591802" w:rsidRPr="000A4261">
        <w:rPr>
          <w:rFonts w:ascii="Arial" w:hAnsi="Arial" w:cs="Arial"/>
          <w:noProof/>
          <w:sz w:val="16"/>
          <w:szCs w:val="16"/>
        </w:rPr>
        <w:fldChar w:fldCharType="end"/>
      </w:r>
      <w:r w:rsidR="008F25B1" w:rsidRPr="000A4261">
        <w:rPr>
          <w:rFonts w:ascii="Arial" w:hAnsi="Arial" w:cs="Arial"/>
          <w:sz w:val="16"/>
          <w:szCs w:val="16"/>
        </w:rPr>
        <w:noBreakHyphen/>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SEQ Table \* ARABIC \s 2 </w:instrText>
      </w:r>
      <w:r w:rsidR="00591802" w:rsidRPr="000A4261">
        <w:rPr>
          <w:rFonts w:ascii="Arial" w:hAnsi="Arial" w:cs="Arial"/>
          <w:sz w:val="16"/>
          <w:szCs w:val="16"/>
        </w:rPr>
        <w:fldChar w:fldCharType="separate"/>
      </w:r>
      <w:r w:rsidR="008F25B1" w:rsidRPr="000A4261">
        <w:rPr>
          <w:rFonts w:ascii="Arial" w:hAnsi="Arial" w:cs="Arial"/>
          <w:noProof/>
          <w:sz w:val="16"/>
          <w:szCs w:val="16"/>
        </w:rPr>
        <w:t>5</w:t>
      </w:r>
      <w:r w:rsidR="00591802" w:rsidRPr="000A4261">
        <w:rPr>
          <w:rFonts w:ascii="Arial" w:hAnsi="Arial" w:cs="Arial"/>
          <w:noProof/>
          <w:sz w:val="16"/>
          <w:szCs w:val="16"/>
        </w:rPr>
        <w:fldChar w:fldCharType="end"/>
      </w:r>
      <w:r w:rsidRPr="000A4261">
        <w:rPr>
          <w:rFonts w:ascii="Arial" w:hAnsi="Arial" w:cs="Arial"/>
          <w:sz w:val="16"/>
          <w:szCs w:val="16"/>
        </w:rPr>
        <w:t>: Framework/ Inventory of management skills for securing finance for real estate project development</w:t>
      </w:r>
      <w:bookmarkEnd w:id="1469"/>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2112"/>
        <w:gridCol w:w="1350"/>
        <w:gridCol w:w="2336"/>
        <w:gridCol w:w="1984"/>
      </w:tblGrid>
      <w:tr w:rsidR="00CD6352" w:rsidRPr="006E4060" w14:paraId="279836C4" w14:textId="77777777" w:rsidTr="00CD6352">
        <w:trPr>
          <w:trHeight w:val="300"/>
        </w:trPr>
        <w:tc>
          <w:tcPr>
            <w:tcW w:w="1398" w:type="dxa"/>
            <w:tcBorders>
              <w:top w:val="single" w:sz="4" w:space="0" w:color="auto"/>
              <w:left w:val="single" w:sz="4" w:space="0" w:color="auto"/>
              <w:bottom w:val="single" w:sz="4" w:space="0" w:color="auto"/>
            </w:tcBorders>
            <w:noWrap/>
            <w:hideMark/>
          </w:tcPr>
          <w:p w14:paraId="3DC9AED0" w14:textId="77777777" w:rsidR="00CD6352" w:rsidRPr="006E4060" w:rsidRDefault="00CD6352" w:rsidP="00CD6352">
            <w:pPr>
              <w:rPr>
                <w:rFonts w:ascii="Arial" w:eastAsia="Calibri" w:hAnsi="Arial" w:cs="Arial"/>
                <w:b/>
                <w:bCs/>
                <w:sz w:val="16"/>
                <w:szCs w:val="16"/>
              </w:rPr>
            </w:pPr>
            <w:r w:rsidRPr="006E4060">
              <w:rPr>
                <w:rFonts w:ascii="Arial" w:eastAsia="Calibri" w:hAnsi="Arial" w:cs="Arial"/>
                <w:b/>
                <w:bCs/>
                <w:sz w:val="16"/>
                <w:szCs w:val="16"/>
              </w:rPr>
              <w:t>Human skills</w:t>
            </w:r>
          </w:p>
        </w:tc>
        <w:tc>
          <w:tcPr>
            <w:tcW w:w="2112" w:type="dxa"/>
            <w:tcBorders>
              <w:top w:val="single" w:sz="4" w:space="0" w:color="auto"/>
              <w:bottom w:val="single" w:sz="4" w:space="0" w:color="auto"/>
            </w:tcBorders>
            <w:noWrap/>
            <w:hideMark/>
          </w:tcPr>
          <w:p w14:paraId="7D4438C7" w14:textId="77777777" w:rsidR="00CD6352" w:rsidRPr="006E4060" w:rsidRDefault="00CD6352" w:rsidP="00CD6352">
            <w:pPr>
              <w:rPr>
                <w:rFonts w:ascii="Arial" w:eastAsia="Calibri" w:hAnsi="Arial" w:cs="Arial"/>
                <w:b/>
                <w:bCs/>
                <w:sz w:val="16"/>
                <w:szCs w:val="16"/>
              </w:rPr>
            </w:pPr>
            <w:r w:rsidRPr="006E4060">
              <w:rPr>
                <w:rFonts w:ascii="Arial" w:eastAsia="Calibri" w:hAnsi="Arial" w:cs="Arial"/>
                <w:b/>
                <w:bCs/>
                <w:sz w:val="16"/>
                <w:szCs w:val="16"/>
              </w:rPr>
              <w:t>Technical skills</w:t>
            </w:r>
          </w:p>
        </w:tc>
        <w:tc>
          <w:tcPr>
            <w:tcW w:w="1350" w:type="dxa"/>
            <w:tcBorders>
              <w:top w:val="single" w:sz="4" w:space="0" w:color="auto"/>
              <w:bottom w:val="single" w:sz="4" w:space="0" w:color="auto"/>
            </w:tcBorders>
            <w:noWrap/>
            <w:hideMark/>
          </w:tcPr>
          <w:p w14:paraId="3D43149E" w14:textId="77777777" w:rsidR="00CD6352" w:rsidRPr="006E4060" w:rsidRDefault="00CD6352" w:rsidP="00CD6352">
            <w:pPr>
              <w:rPr>
                <w:rFonts w:ascii="Arial" w:eastAsia="Calibri" w:hAnsi="Arial" w:cs="Arial"/>
                <w:b/>
                <w:bCs/>
                <w:sz w:val="16"/>
                <w:szCs w:val="16"/>
              </w:rPr>
            </w:pPr>
            <w:r w:rsidRPr="006E4060">
              <w:rPr>
                <w:rFonts w:ascii="Arial" w:eastAsia="Calibri" w:hAnsi="Arial" w:cs="Arial"/>
                <w:b/>
                <w:bCs/>
                <w:sz w:val="16"/>
                <w:szCs w:val="16"/>
              </w:rPr>
              <w:t>Conceptual skills</w:t>
            </w:r>
          </w:p>
        </w:tc>
        <w:tc>
          <w:tcPr>
            <w:tcW w:w="2336" w:type="dxa"/>
            <w:tcBorders>
              <w:top w:val="single" w:sz="4" w:space="0" w:color="auto"/>
              <w:bottom w:val="single" w:sz="4" w:space="0" w:color="auto"/>
            </w:tcBorders>
            <w:noWrap/>
            <w:hideMark/>
          </w:tcPr>
          <w:p w14:paraId="517AC1A5" w14:textId="77777777" w:rsidR="00CD6352" w:rsidRPr="006E4060" w:rsidRDefault="00CD6352" w:rsidP="00CD6352">
            <w:pPr>
              <w:rPr>
                <w:rFonts w:ascii="Arial" w:eastAsia="Calibri" w:hAnsi="Arial" w:cs="Arial"/>
                <w:b/>
                <w:bCs/>
                <w:sz w:val="16"/>
                <w:szCs w:val="16"/>
              </w:rPr>
            </w:pPr>
            <w:r w:rsidRPr="006E4060">
              <w:rPr>
                <w:rFonts w:ascii="Arial" w:eastAsia="Calibri" w:hAnsi="Arial" w:cs="Arial"/>
                <w:b/>
                <w:bCs/>
                <w:sz w:val="16"/>
                <w:szCs w:val="16"/>
              </w:rPr>
              <w:t>Political skills</w:t>
            </w:r>
          </w:p>
        </w:tc>
        <w:tc>
          <w:tcPr>
            <w:tcW w:w="1984" w:type="dxa"/>
            <w:tcBorders>
              <w:top w:val="single" w:sz="4" w:space="0" w:color="auto"/>
              <w:bottom w:val="single" w:sz="4" w:space="0" w:color="auto"/>
              <w:right w:val="single" w:sz="4" w:space="0" w:color="auto"/>
            </w:tcBorders>
            <w:noWrap/>
            <w:hideMark/>
          </w:tcPr>
          <w:p w14:paraId="6D63C562" w14:textId="77777777" w:rsidR="00CD6352" w:rsidRPr="006E4060" w:rsidRDefault="00CD6352" w:rsidP="00CD6352">
            <w:pPr>
              <w:rPr>
                <w:rFonts w:ascii="Arial" w:eastAsia="Calibri" w:hAnsi="Arial" w:cs="Arial"/>
                <w:b/>
                <w:bCs/>
                <w:sz w:val="16"/>
                <w:szCs w:val="16"/>
              </w:rPr>
            </w:pPr>
            <w:r w:rsidRPr="006E4060">
              <w:rPr>
                <w:rFonts w:ascii="Arial" w:eastAsia="Calibri" w:hAnsi="Arial" w:cs="Arial"/>
                <w:b/>
                <w:bCs/>
                <w:sz w:val="16"/>
                <w:szCs w:val="16"/>
              </w:rPr>
              <w:t>Financial management skills</w:t>
            </w:r>
          </w:p>
        </w:tc>
      </w:tr>
      <w:tr w:rsidR="00CD6352" w:rsidRPr="006E4060" w14:paraId="5B2ED476" w14:textId="77777777" w:rsidTr="00CD6352">
        <w:trPr>
          <w:trHeight w:val="690"/>
        </w:trPr>
        <w:tc>
          <w:tcPr>
            <w:tcW w:w="1398" w:type="dxa"/>
            <w:tcBorders>
              <w:top w:val="single" w:sz="4" w:space="0" w:color="auto"/>
            </w:tcBorders>
            <w:hideMark/>
          </w:tcPr>
          <w:p w14:paraId="1579C1EA"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anticipate questions</w:t>
            </w:r>
          </w:p>
        </w:tc>
        <w:tc>
          <w:tcPr>
            <w:tcW w:w="2112" w:type="dxa"/>
            <w:tcBorders>
              <w:top w:val="single" w:sz="4" w:space="0" w:color="auto"/>
            </w:tcBorders>
            <w:hideMark/>
          </w:tcPr>
          <w:p w14:paraId="7B10F72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identify the right Land opportunities</w:t>
            </w:r>
          </w:p>
        </w:tc>
        <w:tc>
          <w:tcPr>
            <w:tcW w:w="1350" w:type="dxa"/>
            <w:tcBorders>
              <w:top w:val="single" w:sz="4" w:space="0" w:color="auto"/>
            </w:tcBorders>
            <w:noWrap/>
            <w:hideMark/>
          </w:tcPr>
          <w:p w14:paraId="54E5DE5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Analytical abilities</w:t>
            </w:r>
          </w:p>
        </w:tc>
        <w:tc>
          <w:tcPr>
            <w:tcW w:w="2336" w:type="dxa"/>
            <w:tcBorders>
              <w:top w:val="single" w:sz="4" w:space="0" w:color="auto"/>
            </w:tcBorders>
            <w:hideMark/>
          </w:tcPr>
          <w:p w14:paraId="118FADB7" w14:textId="4D6CAD22"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Ability to improve </w:t>
            </w:r>
            <w:r w:rsidR="00603C08" w:rsidRPr="006E4060">
              <w:rPr>
                <w:rFonts w:ascii="Arial" w:eastAsia="Calibri" w:hAnsi="Arial" w:cs="Arial"/>
                <w:sz w:val="16"/>
                <w:szCs w:val="16"/>
              </w:rPr>
              <w:t xml:space="preserve">the </w:t>
            </w:r>
            <w:r w:rsidRPr="006E4060">
              <w:rPr>
                <w:rFonts w:ascii="Arial" w:eastAsia="Calibri" w:hAnsi="Arial" w:cs="Arial"/>
                <w:sz w:val="16"/>
                <w:szCs w:val="16"/>
              </w:rPr>
              <w:t xml:space="preserve">company's profile through LinkedIn, </w:t>
            </w:r>
            <w:r w:rsidR="00603C08" w:rsidRPr="006E4060">
              <w:rPr>
                <w:rFonts w:ascii="Arial" w:eastAsia="Calibri" w:hAnsi="Arial" w:cs="Arial"/>
                <w:sz w:val="16"/>
                <w:szCs w:val="16"/>
              </w:rPr>
              <w:t>T</w:t>
            </w:r>
            <w:r w:rsidRPr="006E4060">
              <w:rPr>
                <w:rFonts w:ascii="Arial" w:eastAsia="Calibri" w:hAnsi="Arial" w:cs="Arial"/>
                <w:sz w:val="16"/>
                <w:szCs w:val="16"/>
              </w:rPr>
              <w:t>witter &amp; Facebook (virtual skill)</w:t>
            </w:r>
          </w:p>
        </w:tc>
        <w:tc>
          <w:tcPr>
            <w:tcW w:w="1984" w:type="dxa"/>
            <w:tcBorders>
              <w:top w:val="single" w:sz="4" w:space="0" w:color="auto"/>
            </w:tcBorders>
            <w:noWrap/>
            <w:hideMark/>
          </w:tcPr>
          <w:p w14:paraId="5007ED7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Budgeting</w:t>
            </w:r>
          </w:p>
        </w:tc>
      </w:tr>
      <w:tr w:rsidR="00CD6352" w:rsidRPr="006E4060" w14:paraId="3B8CDB45" w14:textId="77777777" w:rsidTr="00CD6352">
        <w:trPr>
          <w:trHeight w:val="465"/>
        </w:trPr>
        <w:tc>
          <w:tcPr>
            <w:tcW w:w="1398" w:type="dxa"/>
            <w:hideMark/>
          </w:tcPr>
          <w:p w14:paraId="2E999CF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ask questions &amp; listen to clients</w:t>
            </w:r>
          </w:p>
        </w:tc>
        <w:tc>
          <w:tcPr>
            <w:tcW w:w="2112" w:type="dxa"/>
            <w:hideMark/>
          </w:tcPr>
          <w:p w14:paraId="5627915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incorporate finance models</w:t>
            </w:r>
          </w:p>
        </w:tc>
        <w:tc>
          <w:tcPr>
            <w:tcW w:w="1350" w:type="dxa"/>
            <w:noWrap/>
            <w:hideMark/>
          </w:tcPr>
          <w:p w14:paraId="47006A43"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Creativity</w:t>
            </w:r>
          </w:p>
        </w:tc>
        <w:tc>
          <w:tcPr>
            <w:tcW w:w="2336" w:type="dxa"/>
            <w:noWrap/>
            <w:hideMark/>
          </w:tcPr>
          <w:p w14:paraId="75F95F2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Apparent sincerity</w:t>
            </w:r>
          </w:p>
        </w:tc>
        <w:tc>
          <w:tcPr>
            <w:tcW w:w="1984" w:type="dxa"/>
            <w:noWrap/>
            <w:hideMark/>
          </w:tcPr>
          <w:p w14:paraId="7AC39089"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Commercial awareness</w:t>
            </w:r>
          </w:p>
        </w:tc>
      </w:tr>
      <w:tr w:rsidR="00CD6352" w:rsidRPr="006E4060" w14:paraId="7C62B943" w14:textId="77777777" w:rsidTr="00CD6352">
        <w:trPr>
          <w:trHeight w:val="465"/>
        </w:trPr>
        <w:tc>
          <w:tcPr>
            <w:tcW w:w="1398" w:type="dxa"/>
            <w:noWrap/>
            <w:hideMark/>
          </w:tcPr>
          <w:p w14:paraId="25C4B784"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Communication</w:t>
            </w:r>
          </w:p>
        </w:tc>
        <w:tc>
          <w:tcPr>
            <w:tcW w:w="2112" w:type="dxa"/>
            <w:hideMark/>
          </w:tcPr>
          <w:p w14:paraId="06C10771"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package the application for funding</w:t>
            </w:r>
          </w:p>
        </w:tc>
        <w:tc>
          <w:tcPr>
            <w:tcW w:w="1350" w:type="dxa"/>
            <w:noWrap/>
            <w:hideMark/>
          </w:tcPr>
          <w:p w14:paraId="36472E47"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Critical thinking</w:t>
            </w:r>
          </w:p>
        </w:tc>
        <w:tc>
          <w:tcPr>
            <w:tcW w:w="2336" w:type="dxa"/>
            <w:hideMark/>
          </w:tcPr>
          <w:p w14:paraId="63C7246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Diplomatic skills   </w:t>
            </w:r>
          </w:p>
        </w:tc>
        <w:tc>
          <w:tcPr>
            <w:tcW w:w="1984" w:type="dxa"/>
            <w:hideMark/>
          </w:tcPr>
          <w:p w14:paraId="69CD19C6" w14:textId="781F16BE"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Cost</w:t>
            </w:r>
            <w:r w:rsidR="00603C08" w:rsidRPr="006E4060">
              <w:rPr>
                <w:rFonts w:ascii="Arial" w:eastAsia="Calibri" w:hAnsi="Arial" w:cs="Arial"/>
                <w:sz w:val="16"/>
                <w:szCs w:val="16"/>
              </w:rPr>
              <w:t>-</w:t>
            </w:r>
            <w:r w:rsidRPr="006E4060">
              <w:rPr>
                <w:rFonts w:ascii="Arial" w:eastAsia="Calibri" w:hAnsi="Arial" w:cs="Arial"/>
                <w:sz w:val="16"/>
                <w:szCs w:val="16"/>
              </w:rPr>
              <w:t>benefit analysis</w:t>
            </w:r>
          </w:p>
        </w:tc>
      </w:tr>
      <w:tr w:rsidR="00CD6352" w:rsidRPr="006E4060" w14:paraId="79BE45CF" w14:textId="77777777" w:rsidTr="00CD6352">
        <w:trPr>
          <w:trHeight w:val="465"/>
        </w:trPr>
        <w:tc>
          <w:tcPr>
            <w:tcW w:w="1398" w:type="dxa"/>
            <w:noWrap/>
            <w:hideMark/>
          </w:tcPr>
          <w:p w14:paraId="726A349A"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Diligence</w:t>
            </w:r>
          </w:p>
        </w:tc>
        <w:tc>
          <w:tcPr>
            <w:tcW w:w="2112" w:type="dxa"/>
            <w:hideMark/>
          </w:tcPr>
          <w:p w14:paraId="6F70DC1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put in a place a feasibility study</w:t>
            </w:r>
          </w:p>
        </w:tc>
        <w:tc>
          <w:tcPr>
            <w:tcW w:w="1350" w:type="dxa"/>
            <w:noWrap/>
            <w:hideMark/>
          </w:tcPr>
          <w:p w14:paraId="57B98BE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literacy</w:t>
            </w:r>
          </w:p>
        </w:tc>
        <w:tc>
          <w:tcPr>
            <w:tcW w:w="2336" w:type="dxa"/>
            <w:noWrap/>
            <w:hideMark/>
          </w:tcPr>
          <w:p w14:paraId="04399D8D"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Global networking &amp; ability to attract international financiers</w:t>
            </w:r>
          </w:p>
        </w:tc>
        <w:tc>
          <w:tcPr>
            <w:tcW w:w="1984" w:type="dxa"/>
            <w:hideMark/>
          </w:tcPr>
          <w:p w14:paraId="315DE24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Debt management</w:t>
            </w:r>
          </w:p>
        </w:tc>
      </w:tr>
      <w:tr w:rsidR="00CD6352" w:rsidRPr="006E4060" w14:paraId="528B7D23" w14:textId="77777777" w:rsidTr="00CD6352">
        <w:trPr>
          <w:trHeight w:val="465"/>
        </w:trPr>
        <w:tc>
          <w:tcPr>
            <w:tcW w:w="1398" w:type="dxa"/>
            <w:noWrap/>
            <w:hideMark/>
          </w:tcPr>
          <w:p w14:paraId="138900C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Emotional intelligence</w:t>
            </w:r>
          </w:p>
        </w:tc>
        <w:tc>
          <w:tcPr>
            <w:tcW w:w="2112" w:type="dxa"/>
            <w:hideMark/>
          </w:tcPr>
          <w:p w14:paraId="09EE849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package &amp; structure funding proposal</w:t>
            </w:r>
          </w:p>
        </w:tc>
        <w:tc>
          <w:tcPr>
            <w:tcW w:w="1350" w:type="dxa"/>
            <w:noWrap/>
            <w:hideMark/>
          </w:tcPr>
          <w:p w14:paraId="1E626416"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Innovative thinking</w:t>
            </w:r>
          </w:p>
        </w:tc>
        <w:tc>
          <w:tcPr>
            <w:tcW w:w="2336" w:type="dxa"/>
            <w:hideMark/>
          </w:tcPr>
          <w:p w14:paraId="3FA66CC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Interpersonal influence</w:t>
            </w:r>
          </w:p>
        </w:tc>
        <w:tc>
          <w:tcPr>
            <w:tcW w:w="1984" w:type="dxa"/>
            <w:hideMark/>
          </w:tcPr>
          <w:p w14:paraId="6EA8888D"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Debt servicing ability</w:t>
            </w:r>
          </w:p>
        </w:tc>
      </w:tr>
      <w:tr w:rsidR="00CD6352" w:rsidRPr="006E4060" w14:paraId="4BD82D77" w14:textId="77777777" w:rsidTr="00CD6352">
        <w:trPr>
          <w:trHeight w:val="465"/>
        </w:trPr>
        <w:tc>
          <w:tcPr>
            <w:tcW w:w="1398" w:type="dxa"/>
            <w:noWrap/>
            <w:hideMark/>
          </w:tcPr>
          <w:p w14:paraId="4C4C818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Integrity</w:t>
            </w:r>
          </w:p>
        </w:tc>
        <w:tc>
          <w:tcPr>
            <w:tcW w:w="2112" w:type="dxa"/>
            <w:noWrap/>
            <w:hideMark/>
          </w:tcPr>
          <w:p w14:paraId="2E12F64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Analytical skills</w:t>
            </w:r>
          </w:p>
        </w:tc>
        <w:tc>
          <w:tcPr>
            <w:tcW w:w="1350" w:type="dxa"/>
            <w:noWrap/>
            <w:hideMark/>
          </w:tcPr>
          <w:p w14:paraId="287E1B5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Planning &amp; control</w:t>
            </w:r>
          </w:p>
        </w:tc>
        <w:tc>
          <w:tcPr>
            <w:tcW w:w="2336" w:type="dxa"/>
            <w:hideMark/>
          </w:tcPr>
          <w:p w14:paraId="08ECB361"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Knowing  people and building relationships</w:t>
            </w:r>
          </w:p>
        </w:tc>
        <w:tc>
          <w:tcPr>
            <w:tcW w:w="1984" w:type="dxa"/>
            <w:hideMark/>
          </w:tcPr>
          <w:p w14:paraId="7BAA35A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Developing financial forecast &amp; models</w:t>
            </w:r>
          </w:p>
        </w:tc>
      </w:tr>
      <w:tr w:rsidR="00CD6352" w:rsidRPr="006E4060" w14:paraId="2596BCB0" w14:textId="77777777" w:rsidTr="00CD6352">
        <w:trPr>
          <w:trHeight w:val="300"/>
        </w:trPr>
        <w:tc>
          <w:tcPr>
            <w:tcW w:w="1398" w:type="dxa"/>
            <w:hideMark/>
          </w:tcPr>
          <w:p w14:paraId="3F550F43"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lastRenderedPageBreak/>
              <w:t>Interpersonal skills</w:t>
            </w:r>
          </w:p>
        </w:tc>
        <w:tc>
          <w:tcPr>
            <w:tcW w:w="2112" w:type="dxa"/>
            <w:hideMark/>
          </w:tcPr>
          <w:p w14:paraId="3D375FC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Corporate governance </w:t>
            </w:r>
          </w:p>
        </w:tc>
        <w:tc>
          <w:tcPr>
            <w:tcW w:w="1350" w:type="dxa"/>
            <w:noWrap/>
            <w:hideMark/>
          </w:tcPr>
          <w:p w14:paraId="1062E283"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Risk management</w:t>
            </w:r>
          </w:p>
        </w:tc>
        <w:tc>
          <w:tcPr>
            <w:tcW w:w="2336" w:type="dxa"/>
            <w:hideMark/>
          </w:tcPr>
          <w:p w14:paraId="3C98876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Network ability</w:t>
            </w:r>
          </w:p>
        </w:tc>
        <w:tc>
          <w:tcPr>
            <w:tcW w:w="1984" w:type="dxa"/>
            <w:hideMark/>
          </w:tcPr>
          <w:p w14:paraId="428FE6D1"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Finance skills</w:t>
            </w:r>
          </w:p>
        </w:tc>
      </w:tr>
      <w:tr w:rsidR="00CD6352" w:rsidRPr="006E4060" w14:paraId="4177B27C" w14:textId="77777777" w:rsidTr="00CD6352">
        <w:trPr>
          <w:trHeight w:val="465"/>
        </w:trPr>
        <w:tc>
          <w:tcPr>
            <w:tcW w:w="1398" w:type="dxa"/>
            <w:noWrap/>
            <w:hideMark/>
          </w:tcPr>
          <w:p w14:paraId="22D180D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Leadership skills</w:t>
            </w:r>
          </w:p>
        </w:tc>
        <w:tc>
          <w:tcPr>
            <w:tcW w:w="2112" w:type="dxa"/>
            <w:hideMark/>
          </w:tcPr>
          <w:p w14:paraId="5A483D8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Data analytics</w:t>
            </w:r>
          </w:p>
        </w:tc>
        <w:tc>
          <w:tcPr>
            <w:tcW w:w="1350" w:type="dxa"/>
            <w:noWrap/>
            <w:hideMark/>
          </w:tcPr>
          <w:p w14:paraId="206C3457"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Strategic planning</w:t>
            </w:r>
          </w:p>
        </w:tc>
        <w:tc>
          <w:tcPr>
            <w:tcW w:w="2336" w:type="dxa"/>
            <w:hideMark/>
          </w:tcPr>
          <w:p w14:paraId="7220A31A"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Positive impression management</w:t>
            </w:r>
          </w:p>
        </w:tc>
        <w:tc>
          <w:tcPr>
            <w:tcW w:w="1984" w:type="dxa"/>
            <w:hideMark/>
          </w:tcPr>
          <w:p w14:paraId="691E10C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Financial management approach analysis</w:t>
            </w:r>
          </w:p>
        </w:tc>
      </w:tr>
      <w:tr w:rsidR="00CD6352" w:rsidRPr="006E4060" w14:paraId="54AAA732" w14:textId="77777777" w:rsidTr="00CD6352">
        <w:trPr>
          <w:trHeight w:val="465"/>
        </w:trPr>
        <w:tc>
          <w:tcPr>
            <w:tcW w:w="1398" w:type="dxa"/>
            <w:noWrap/>
            <w:hideMark/>
          </w:tcPr>
          <w:p w14:paraId="28071E5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Negotiation skills</w:t>
            </w:r>
          </w:p>
        </w:tc>
        <w:tc>
          <w:tcPr>
            <w:tcW w:w="2112" w:type="dxa"/>
            <w:hideMark/>
          </w:tcPr>
          <w:p w14:paraId="342464B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Emerging technologies (such as artificial intelligence &amp; machine learning)</w:t>
            </w:r>
          </w:p>
        </w:tc>
        <w:tc>
          <w:tcPr>
            <w:tcW w:w="1350" w:type="dxa"/>
            <w:noWrap/>
            <w:hideMark/>
          </w:tcPr>
          <w:p w14:paraId="7337E01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Strategic thinking</w:t>
            </w:r>
          </w:p>
        </w:tc>
        <w:tc>
          <w:tcPr>
            <w:tcW w:w="2336" w:type="dxa"/>
            <w:hideMark/>
          </w:tcPr>
          <w:p w14:paraId="419DEED6" w14:textId="77777777" w:rsidR="00CD6352" w:rsidRPr="006E4060" w:rsidRDefault="00CD6352" w:rsidP="00CD6352">
            <w:pPr>
              <w:rPr>
                <w:rFonts w:ascii="Arial" w:eastAsia="Calibri" w:hAnsi="Arial" w:cs="Arial"/>
                <w:sz w:val="16"/>
                <w:szCs w:val="16"/>
              </w:rPr>
            </w:pPr>
          </w:p>
        </w:tc>
        <w:tc>
          <w:tcPr>
            <w:tcW w:w="1984" w:type="dxa"/>
            <w:hideMark/>
          </w:tcPr>
          <w:p w14:paraId="62E05F0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Financial modelling , stress testing &amp; comparing scenarios </w:t>
            </w:r>
          </w:p>
        </w:tc>
      </w:tr>
      <w:tr w:rsidR="00CD6352" w:rsidRPr="006E4060" w14:paraId="63E0323E" w14:textId="77777777" w:rsidTr="00CD6352">
        <w:trPr>
          <w:trHeight w:val="465"/>
        </w:trPr>
        <w:tc>
          <w:tcPr>
            <w:tcW w:w="1398" w:type="dxa"/>
            <w:hideMark/>
          </w:tcPr>
          <w:p w14:paraId="31DD1B9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Persuasion skills</w:t>
            </w:r>
          </w:p>
        </w:tc>
        <w:tc>
          <w:tcPr>
            <w:tcW w:w="2112" w:type="dxa"/>
            <w:hideMark/>
          </w:tcPr>
          <w:p w14:paraId="0A77E49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Identifying trends &amp; accessing alternatives</w:t>
            </w:r>
          </w:p>
        </w:tc>
        <w:tc>
          <w:tcPr>
            <w:tcW w:w="1350" w:type="dxa"/>
            <w:noWrap/>
            <w:hideMark/>
          </w:tcPr>
          <w:p w14:paraId="348A51CC" w14:textId="77777777" w:rsidR="00CD6352" w:rsidRPr="006E4060" w:rsidRDefault="00CD6352" w:rsidP="00CD6352">
            <w:pPr>
              <w:rPr>
                <w:rFonts w:ascii="Arial" w:eastAsia="Calibri" w:hAnsi="Arial" w:cs="Arial"/>
                <w:sz w:val="16"/>
                <w:szCs w:val="16"/>
              </w:rPr>
            </w:pPr>
          </w:p>
        </w:tc>
        <w:tc>
          <w:tcPr>
            <w:tcW w:w="2336" w:type="dxa"/>
            <w:hideMark/>
          </w:tcPr>
          <w:p w14:paraId="3970D521"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Recognising &amp; using influence</w:t>
            </w:r>
          </w:p>
        </w:tc>
        <w:tc>
          <w:tcPr>
            <w:tcW w:w="1984" w:type="dxa"/>
            <w:hideMark/>
          </w:tcPr>
          <w:p w14:paraId="38AD1A8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Fiscal impact analysis</w:t>
            </w:r>
          </w:p>
        </w:tc>
      </w:tr>
      <w:tr w:rsidR="00CD6352" w:rsidRPr="006E4060" w14:paraId="324FDF73" w14:textId="77777777" w:rsidTr="00CD6352">
        <w:trPr>
          <w:trHeight w:val="300"/>
        </w:trPr>
        <w:tc>
          <w:tcPr>
            <w:tcW w:w="1398" w:type="dxa"/>
            <w:hideMark/>
          </w:tcPr>
          <w:p w14:paraId="2AF4560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Relationship management</w:t>
            </w:r>
          </w:p>
        </w:tc>
        <w:tc>
          <w:tcPr>
            <w:tcW w:w="2112" w:type="dxa"/>
            <w:hideMark/>
          </w:tcPr>
          <w:p w14:paraId="7A944A43"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land purchasing &amp; appraisal skill</w:t>
            </w:r>
          </w:p>
        </w:tc>
        <w:tc>
          <w:tcPr>
            <w:tcW w:w="1350" w:type="dxa"/>
            <w:noWrap/>
            <w:hideMark/>
          </w:tcPr>
          <w:p w14:paraId="25F1EDBE" w14:textId="77777777" w:rsidR="00CD6352" w:rsidRPr="006E4060" w:rsidRDefault="00CD6352" w:rsidP="00CD6352">
            <w:pPr>
              <w:rPr>
                <w:rFonts w:ascii="Arial" w:eastAsia="Calibri" w:hAnsi="Arial" w:cs="Arial"/>
                <w:sz w:val="16"/>
                <w:szCs w:val="16"/>
              </w:rPr>
            </w:pPr>
          </w:p>
        </w:tc>
        <w:tc>
          <w:tcPr>
            <w:tcW w:w="2336" w:type="dxa"/>
            <w:hideMark/>
          </w:tcPr>
          <w:p w14:paraId="4D3A602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Relationship with financiers</w:t>
            </w:r>
          </w:p>
        </w:tc>
        <w:tc>
          <w:tcPr>
            <w:tcW w:w="1984" w:type="dxa"/>
            <w:noWrap/>
            <w:hideMark/>
          </w:tcPr>
          <w:p w14:paraId="5388632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Hedging skills</w:t>
            </w:r>
          </w:p>
        </w:tc>
      </w:tr>
      <w:tr w:rsidR="00CD6352" w:rsidRPr="006E4060" w14:paraId="350409F4" w14:textId="77777777" w:rsidTr="00CD6352">
        <w:trPr>
          <w:trHeight w:val="465"/>
        </w:trPr>
        <w:tc>
          <w:tcPr>
            <w:tcW w:w="1398" w:type="dxa"/>
            <w:noWrap/>
            <w:hideMark/>
          </w:tcPr>
          <w:p w14:paraId="3D3C1F49"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Reliability</w:t>
            </w:r>
          </w:p>
        </w:tc>
        <w:tc>
          <w:tcPr>
            <w:tcW w:w="2112" w:type="dxa"/>
            <w:noWrap/>
            <w:hideMark/>
          </w:tcPr>
          <w:p w14:paraId="46890B8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Legal skill</w:t>
            </w:r>
          </w:p>
        </w:tc>
        <w:tc>
          <w:tcPr>
            <w:tcW w:w="1350" w:type="dxa"/>
            <w:noWrap/>
            <w:hideMark/>
          </w:tcPr>
          <w:p w14:paraId="128D5733" w14:textId="77777777" w:rsidR="00CD6352" w:rsidRPr="006E4060" w:rsidRDefault="00CD6352" w:rsidP="00CD6352">
            <w:pPr>
              <w:rPr>
                <w:rFonts w:ascii="Arial" w:eastAsia="Calibri" w:hAnsi="Arial" w:cs="Arial"/>
                <w:sz w:val="16"/>
                <w:szCs w:val="16"/>
              </w:rPr>
            </w:pPr>
          </w:p>
        </w:tc>
        <w:tc>
          <w:tcPr>
            <w:tcW w:w="2336" w:type="dxa"/>
            <w:hideMark/>
          </w:tcPr>
          <w:p w14:paraId="535708B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Relationship with tenants &amp; prospective tenants</w:t>
            </w:r>
          </w:p>
        </w:tc>
        <w:tc>
          <w:tcPr>
            <w:tcW w:w="1984" w:type="dxa"/>
            <w:hideMark/>
          </w:tcPr>
          <w:p w14:paraId="4CF6D98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Investment</w:t>
            </w:r>
          </w:p>
        </w:tc>
      </w:tr>
      <w:tr w:rsidR="00CD6352" w:rsidRPr="006E4060" w14:paraId="6BA411B3" w14:textId="77777777" w:rsidTr="00CD6352">
        <w:trPr>
          <w:trHeight w:val="300"/>
        </w:trPr>
        <w:tc>
          <w:tcPr>
            <w:tcW w:w="1398" w:type="dxa"/>
            <w:noWrap/>
            <w:hideMark/>
          </w:tcPr>
          <w:p w14:paraId="76FE9D6B" w14:textId="1961DE24"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Teamwork</w:t>
            </w:r>
          </w:p>
        </w:tc>
        <w:tc>
          <w:tcPr>
            <w:tcW w:w="2112" w:type="dxa"/>
            <w:hideMark/>
          </w:tcPr>
          <w:p w14:paraId="20EA1286"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Management skills</w:t>
            </w:r>
          </w:p>
        </w:tc>
        <w:tc>
          <w:tcPr>
            <w:tcW w:w="1350" w:type="dxa"/>
            <w:noWrap/>
            <w:hideMark/>
          </w:tcPr>
          <w:p w14:paraId="4ED573DF" w14:textId="77777777" w:rsidR="00CD6352" w:rsidRPr="006E4060" w:rsidRDefault="00CD6352" w:rsidP="00CD6352">
            <w:pPr>
              <w:rPr>
                <w:rFonts w:ascii="Arial" w:eastAsia="Calibri" w:hAnsi="Arial" w:cs="Arial"/>
                <w:sz w:val="16"/>
                <w:szCs w:val="16"/>
              </w:rPr>
            </w:pPr>
          </w:p>
        </w:tc>
        <w:tc>
          <w:tcPr>
            <w:tcW w:w="2336" w:type="dxa"/>
            <w:hideMark/>
          </w:tcPr>
          <w:p w14:paraId="6DCB2001" w14:textId="3241979B"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Self</w:t>
            </w:r>
            <w:r w:rsidR="00603C08" w:rsidRPr="006E4060">
              <w:rPr>
                <w:rFonts w:ascii="Arial" w:eastAsia="Calibri" w:hAnsi="Arial" w:cs="Arial"/>
                <w:sz w:val="16"/>
                <w:szCs w:val="16"/>
              </w:rPr>
              <w:t>-</w:t>
            </w:r>
            <w:r w:rsidRPr="006E4060">
              <w:rPr>
                <w:rFonts w:ascii="Arial" w:eastAsia="Calibri" w:hAnsi="Arial" w:cs="Arial"/>
                <w:sz w:val="16"/>
                <w:szCs w:val="16"/>
              </w:rPr>
              <w:t>awareness</w:t>
            </w:r>
          </w:p>
        </w:tc>
        <w:tc>
          <w:tcPr>
            <w:tcW w:w="1984" w:type="dxa"/>
            <w:noWrap/>
            <w:hideMark/>
          </w:tcPr>
          <w:p w14:paraId="2497B91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Market liquidity timing</w:t>
            </w:r>
          </w:p>
        </w:tc>
      </w:tr>
      <w:tr w:rsidR="00CD6352" w:rsidRPr="006E4060" w14:paraId="7199505B" w14:textId="77777777" w:rsidTr="00CD6352">
        <w:trPr>
          <w:trHeight w:val="465"/>
        </w:trPr>
        <w:tc>
          <w:tcPr>
            <w:tcW w:w="1398" w:type="dxa"/>
            <w:hideMark/>
          </w:tcPr>
          <w:p w14:paraId="1047ED47"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foreign languages/ Multilingual</w:t>
            </w:r>
          </w:p>
          <w:p w14:paraId="326669FA" w14:textId="77777777" w:rsidR="00CD6352" w:rsidRPr="006E4060" w:rsidRDefault="00CD6352" w:rsidP="00CD6352">
            <w:pPr>
              <w:rPr>
                <w:rFonts w:ascii="Arial" w:eastAsia="Calibri" w:hAnsi="Arial" w:cs="Arial"/>
                <w:sz w:val="16"/>
                <w:szCs w:val="16"/>
              </w:rPr>
            </w:pPr>
          </w:p>
          <w:p w14:paraId="1DFC639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diversity</w:t>
            </w:r>
          </w:p>
        </w:tc>
        <w:tc>
          <w:tcPr>
            <w:tcW w:w="2112" w:type="dxa"/>
            <w:hideMark/>
          </w:tcPr>
          <w:p w14:paraId="7685E53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Market analysis</w:t>
            </w:r>
          </w:p>
        </w:tc>
        <w:tc>
          <w:tcPr>
            <w:tcW w:w="1350" w:type="dxa"/>
            <w:noWrap/>
            <w:hideMark/>
          </w:tcPr>
          <w:p w14:paraId="09B803EB" w14:textId="77777777" w:rsidR="00CD6352" w:rsidRPr="006E4060" w:rsidRDefault="00CD6352" w:rsidP="00CD6352">
            <w:pPr>
              <w:rPr>
                <w:rFonts w:ascii="Arial" w:eastAsia="Calibri" w:hAnsi="Arial" w:cs="Arial"/>
                <w:sz w:val="16"/>
                <w:szCs w:val="16"/>
              </w:rPr>
            </w:pPr>
          </w:p>
        </w:tc>
        <w:tc>
          <w:tcPr>
            <w:tcW w:w="2336" w:type="dxa"/>
            <w:noWrap/>
            <w:hideMark/>
          </w:tcPr>
          <w:p w14:paraId="737B0F0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Social intelligence</w:t>
            </w:r>
          </w:p>
          <w:p w14:paraId="52FC9CBE" w14:textId="77777777" w:rsidR="00CD6352" w:rsidRPr="006E4060" w:rsidRDefault="00CD6352" w:rsidP="00CD6352">
            <w:pPr>
              <w:rPr>
                <w:rFonts w:ascii="Arial" w:eastAsia="Calibri" w:hAnsi="Arial" w:cs="Arial"/>
                <w:sz w:val="16"/>
                <w:szCs w:val="16"/>
              </w:rPr>
            </w:pPr>
          </w:p>
          <w:p w14:paraId="40160229"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connect to people on an emotional level</w:t>
            </w:r>
          </w:p>
          <w:p w14:paraId="275DB045" w14:textId="77777777" w:rsidR="00CD6352" w:rsidRPr="006E4060" w:rsidRDefault="00CD6352" w:rsidP="00CD6352">
            <w:pPr>
              <w:rPr>
                <w:rFonts w:ascii="Arial" w:eastAsia="Calibri" w:hAnsi="Arial" w:cs="Arial"/>
                <w:sz w:val="16"/>
                <w:szCs w:val="16"/>
              </w:rPr>
            </w:pPr>
          </w:p>
          <w:p w14:paraId="5040049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Ability to lobby</w:t>
            </w:r>
          </w:p>
        </w:tc>
        <w:tc>
          <w:tcPr>
            <w:tcW w:w="1984" w:type="dxa"/>
            <w:hideMark/>
          </w:tcPr>
          <w:p w14:paraId="42FCA6D7"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Presentation of a project to banks &amp; other financiers</w:t>
            </w:r>
          </w:p>
        </w:tc>
      </w:tr>
      <w:tr w:rsidR="00CD6352" w:rsidRPr="006E4060" w14:paraId="7B6E6944" w14:textId="77777777" w:rsidTr="00CD6352">
        <w:trPr>
          <w:trHeight w:val="690"/>
        </w:trPr>
        <w:tc>
          <w:tcPr>
            <w:tcW w:w="1398" w:type="dxa"/>
            <w:noWrap/>
            <w:hideMark/>
          </w:tcPr>
          <w:p w14:paraId="21ACB37D"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796E82C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Modelling skills</w:t>
            </w:r>
          </w:p>
        </w:tc>
        <w:tc>
          <w:tcPr>
            <w:tcW w:w="1350" w:type="dxa"/>
            <w:noWrap/>
            <w:hideMark/>
          </w:tcPr>
          <w:p w14:paraId="1F9BC0E5" w14:textId="77777777" w:rsidR="00CD6352" w:rsidRPr="006E4060" w:rsidRDefault="00CD6352" w:rsidP="00CD6352">
            <w:pPr>
              <w:rPr>
                <w:rFonts w:ascii="Arial" w:eastAsia="Calibri" w:hAnsi="Arial" w:cs="Arial"/>
                <w:sz w:val="16"/>
                <w:szCs w:val="16"/>
              </w:rPr>
            </w:pPr>
          </w:p>
        </w:tc>
        <w:tc>
          <w:tcPr>
            <w:tcW w:w="2336" w:type="dxa"/>
            <w:noWrap/>
            <w:hideMark/>
          </w:tcPr>
          <w:p w14:paraId="3543D873" w14:textId="77777777" w:rsidR="00CD6352" w:rsidRPr="006E4060" w:rsidRDefault="00CD6352" w:rsidP="00CD6352">
            <w:pPr>
              <w:rPr>
                <w:rFonts w:ascii="Arial" w:eastAsia="Calibri" w:hAnsi="Arial" w:cs="Arial"/>
                <w:sz w:val="16"/>
                <w:szCs w:val="16"/>
              </w:rPr>
            </w:pPr>
          </w:p>
        </w:tc>
        <w:tc>
          <w:tcPr>
            <w:tcW w:w="1984" w:type="dxa"/>
            <w:hideMark/>
          </w:tcPr>
          <w:p w14:paraId="06D383A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Skills at putting together investment case and approaching providers of funds </w:t>
            </w:r>
          </w:p>
        </w:tc>
      </w:tr>
      <w:tr w:rsidR="00CD6352" w:rsidRPr="006E4060" w14:paraId="4FD9B698" w14:textId="77777777" w:rsidTr="00CD6352">
        <w:trPr>
          <w:trHeight w:val="300"/>
        </w:trPr>
        <w:tc>
          <w:tcPr>
            <w:tcW w:w="1398" w:type="dxa"/>
            <w:noWrap/>
            <w:hideMark/>
          </w:tcPr>
          <w:p w14:paraId="55C9607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2986C4B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Monitoring skills</w:t>
            </w:r>
          </w:p>
        </w:tc>
        <w:tc>
          <w:tcPr>
            <w:tcW w:w="1350" w:type="dxa"/>
            <w:noWrap/>
            <w:hideMark/>
          </w:tcPr>
          <w:p w14:paraId="32359A9D" w14:textId="77777777" w:rsidR="00CD6352" w:rsidRPr="006E4060" w:rsidRDefault="00CD6352" w:rsidP="00CD6352">
            <w:pPr>
              <w:rPr>
                <w:rFonts w:ascii="Arial" w:eastAsia="Calibri" w:hAnsi="Arial" w:cs="Arial"/>
                <w:sz w:val="16"/>
                <w:szCs w:val="16"/>
              </w:rPr>
            </w:pPr>
          </w:p>
        </w:tc>
        <w:tc>
          <w:tcPr>
            <w:tcW w:w="2336" w:type="dxa"/>
            <w:noWrap/>
            <w:hideMark/>
          </w:tcPr>
          <w:p w14:paraId="4D7955B9" w14:textId="77777777" w:rsidR="00CD6352" w:rsidRPr="006E4060" w:rsidRDefault="00CD6352" w:rsidP="00CD6352">
            <w:pPr>
              <w:rPr>
                <w:rFonts w:ascii="Arial" w:eastAsia="Calibri" w:hAnsi="Arial" w:cs="Arial"/>
                <w:sz w:val="16"/>
                <w:szCs w:val="16"/>
              </w:rPr>
            </w:pPr>
          </w:p>
        </w:tc>
        <w:tc>
          <w:tcPr>
            <w:tcW w:w="1984" w:type="dxa"/>
            <w:hideMark/>
          </w:tcPr>
          <w:p w14:paraId="42DA682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of loan contracts</w:t>
            </w:r>
          </w:p>
        </w:tc>
      </w:tr>
      <w:tr w:rsidR="00CD6352" w:rsidRPr="006E4060" w14:paraId="0481B9B7" w14:textId="77777777" w:rsidTr="00CD6352">
        <w:trPr>
          <w:trHeight w:val="465"/>
        </w:trPr>
        <w:tc>
          <w:tcPr>
            <w:tcW w:w="1398" w:type="dxa"/>
            <w:noWrap/>
            <w:hideMark/>
          </w:tcPr>
          <w:p w14:paraId="6E3EC1A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noWrap/>
            <w:hideMark/>
          </w:tcPr>
          <w:p w14:paraId="78990F97"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Project delivering skills</w:t>
            </w:r>
          </w:p>
        </w:tc>
        <w:tc>
          <w:tcPr>
            <w:tcW w:w="1350" w:type="dxa"/>
            <w:noWrap/>
            <w:hideMark/>
          </w:tcPr>
          <w:p w14:paraId="22F81CE7" w14:textId="77777777" w:rsidR="00CD6352" w:rsidRPr="006E4060" w:rsidRDefault="00CD6352" w:rsidP="00CD6352">
            <w:pPr>
              <w:rPr>
                <w:rFonts w:ascii="Arial" w:eastAsia="Calibri" w:hAnsi="Arial" w:cs="Arial"/>
                <w:sz w:val="16"/>
                <w:szCs w:val="16"/>
              </w:rPr>
            </w:pPr>
          </w:p>
        </w:tc>
        <w:tc>
          <w:tcPr>
            <w:tcW w:w="2336" w:type="dxa"/>
            <w:noWrap/>
            <w:hideMark/>
          </w:tcPr>
          <w:p w14:paraId="237985F0" w14:textId="77777777" w:rsidR="00CD6352" w:rsidRPr="006E4060" w:rsidRDefault="00CD6352" w:rsidP="00CD6352">
            <w:pPr>
              <w:rPr>
                <w:rFonts w:ascii="Arial" w:eastAsia="Calibri" w:hAnsi="Arial" w:cs="Arial"/>
                <w:sz w:val="16"/>
                <w:szCs w:val="16"/>
              </w:rPr>
            </w:pPr>
          </w:p>
        </w:tc>
        <w:tc>
          <w:tcPr>
            <w:tcW w:w="1984" w:type="dxa"/>
            <w:hideMark/>
          </w:tcPr>
          <w:p w14:paraId="08140EA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of options for structuring debt</w:t>
            </w:r>
          </w:p>
        </w:tc>
      </w:tr>
      <w:tr w:rsidR="00CD6352" w:rsidRPr="006E4060" w14:paraId="6F077E19" w14:textId="77777777" w:rsidTr="00CD6352">
        <w:trPr>
          <w:trHeight w:val="690"/>
        </w:trPr>
        <w:tc>
          <w:tcPr>
            <w:tcW w:w="1398" w:type="dxa"/>
            <w:noWrap/>
            <w:hideMark/>
          </w:tcPr>
          <w:p w14:paraId="7FBE4DA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noWrap/>
            <w:hideMark/>
          </w:tcPr>
          <w:p w14:paraId="42B7393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Risks management</w:t>
            </w:r>
          </w:p>
        </w:tc>
        <w:tc>
          <w:tcPr>
            <w:tcW w:w="1350" w:type="dxa"/>
            <w:noWrap/>
            <w:hideMark/>
          </w:tcPr>
          <w:p w14:paraId="0A1B02EC" w14:textId="77777777" w:rsidR="00CD6352" w:rsidRPr="006E4060" w:rsidRDefault="00CD6352" w:rsidP="00CD6352">
            <w:pPr>
              <w:rPr>
                <w:rFonts w:ascii="Arial" w:eastAsia="Calibri" w:hAnsi="Arial" w:cs="Arial"/>
                <w:sz w:val="16"/>
                <w:szCs w:val="16"/>
              </w:rPr>
            </w:pPr>
          </w:p>
        </w:tc>
        <w:tc>
          <w:tcPr>
            <w:tcW w:w="2336" w:type="dxa"/>
            <w:noWrap/>
            <w:hideMark/>
          </w:tcPr>
          <w:p w14:paraId="494BC896" w14:textId="77777777" w:rsidR="00CD6352" w:rsidRPr="006E4060" w:rsidRDefault="00CD6352" w:rsidP="00CD6352">
            <w:pPr>
              <w:rPr>
                <w:rFonts w:ascii="Arial" w:eastAsia="Calibri" w:hAnsi="Arial" w:cs="Arial"/>
                <w:sz w:val="16"/>
                <w:szCs w:val="16"/>
              </w:rPr>
            </w:pPr>
          </w:p>
        </w:tc>
        <w:tc>
          <w:tcPr>
            <w:tcW w:w="1984" w:type="dxa"/>
            <w:hideMark/>
          </w:tcPr>
          <w:p w14:paraId="7B5B0CD0" w14:textId="74327A8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of what lenders look out for in terms of structure, security, pricing &amp; covenants</w:t>
            </w:r>
          </w:p>
        </w:tc>
      </w:tr>
      <w:tr w:rsidR="00CD6352" w:rsidRPr="006E4060" w14:paraId="6CAB13A4" w14:textId="77777777" w:rsidTr="00CD6352">
        <w:trPr>
          <w:trHeight w:val="690"/>
        </w:trPr>
        <w:tc>
          <w:tcPr>
            <w:tcW w:w="1398" w:type="dxa"/>
            <w:noWrap/>
            <w:hideMark/>
          </w:tcPr>
          <w:p w14:paraId="0D7D6CB6"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1FC03DB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Rolodex (networking) and modelling for Joint venture deals</w:t>
            </w:r>
          </w:p>
        </w:tc>
        <w:tc>
          <w:tcPr>
            <w:tcW w:w="1350" w:type="dxa"/>
            <w:noWrap/>
            <w:hideMark/>
          </w:tcPr>
          <w:p w14:paraId="2D0B4BED" w14:textId="77777777" w:rsidR="00CD6352" w:rsidRPr="006E4060" w:rsidRDefault="00CD6352" w:rsidP="00CD6352">
            <w:pPr>
              <w:rPr>
                <w:rFonts w:ascii="Arial" w:eastAsia="Calibri" w:hAnsi="Arial" w:cs="Arial"/>
                <w:sz w:val="16"/>
                <w:szCs w:val="16"/>
              </w:rPr>
            </w:pPr>
          </w:p>
        </w:tc>
        <w:tc>
          <w:tcPr>
            <w:tcW w:w="2336" w:type="dxa"/>
            <w:noWrap/>
            <w:hideMark/>
          </w:tcPr>
          <w:p w14:paraId="256C8569" w14:textId="77777777" w:rsidR="00CD6352" w:rsidRPr="006E4060" w:rsidRDefault="00CD6352" w:rsidP="00CD6352">
            <w:pPr>
              <w:rPr>
                <w:rFonts w:ascii="Arial" w:eastAsia="Calibri" w:hAnsi="Arial" w:cs="Arial"/>
                <w:sz w:val="16"/>
                <w:szCs w:val="16"/>
              </w:rPr>
            </w:pPr>
          </w:p>
        </w:tc>
        <w:tc>
          <w:tcPr>
            <w:tcW w:w="1984" w:type="dxa"/>
            <w:hideMark/>
          </w:tcPr>
          <w:p w14:paraId="4F46DD78" w14:textId="5A93D3D5"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Understanding </w:t>
            </w:r>
            <w:r w:rsidR="00603C08" w:rsidRPr="006E4060">
              <w:rPr>
                <w:rFonts w:ascii="Arial" w:eastAsia="Calibri" w:hAnsi="Arial" w:cs="Arial"/>
                <w:sz w:val="16"/>
                <w:szCs w:val="16"/>
              </w:rPr>
              <w:t xml:space="preserve">the </w:t>
            </w:r>
            <w:r w:rsidRPr="006E4060">
              <w:rPr>
                <w:rFonts w:ascii="Arial" w:eastAsia="Calibri" w:hAnsi="Arial" w:cs="Arial"/>
                <w:sz w:val="16"/>
                <w:szCs w:val="16"/>
              </w:rPr>
              <w:t>requirements of financiers for different classes of assets</w:t>
            </w:r>
          </w:p>
        </w:tc>
      </w:tr>
      <w:tr w:rsidR="00CD6352" w:rsidRPr="006E4060" w14:paraId="69D019C8" w14:textId="77777777" w:rsidTr="00CD6352">
        <w:trPr>
          <w:trHeight w:val="465"/>
        </w:trPr>
        <w:tc>
          <w:tcPr>
            <w:tcW w:w="1398" w:type="dxa"/>
            <w:noWrap/>
            <w:hideMark/>
          </w:tcPr>
          <w:p w14:paraId="7A1D6C9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55DCD4E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Sales / Marketing skills</w:t>
            </w:r>
          </w:p>
        </w:tc>
        <w:tc>
          <w:tcPr>
            <w:tcW w:w="1350" w:type="dxa"/>
            <w:noWrap/>
            <w:hideMark/>
          </w:tcPr>
          <w:p w14:paraId="13E12E64" w14:textId="77777777" w:rsidR="00CD6352" w:rsidRPr="006E4060" w:rsidRDefault="00CD6352" w:rsidP="00CD6352">
            <w:pPr>
              <w:rPr>
                <w:rFonts w:ascii="Arial" w:eastAsia="Calibri" w:hAnsi="Arial" w:cs="Arial"/>
                <w:sz w:val="16"/>
                <w:szCs w:val="16"/>
              </w:rPr>
            </w:pPr>
          </w:p>
        </w:tc>
        <w:tc>
          <w:tcPr>
            <w:tcW w:w="2336" w:type="dxa"/>
            <w:noWrap/>
            <w:hideMark/>
          </w:tcPr>
          <w:p w14:paraId="40BD5ED6" w14:textId="77777777" w:rsidR="00CD6352" w:rsidRPr="006E4060" w:rsidRDefault="00CD6352" w:rsidP="00CD6352">
            <w:pPr>
              <w:rPr>
                <w:rFonts w:ascii="Arial" w:eastAsia="Calibri" w:hAnsi="Arial" w:cs="Arial"/>
                <w:sz w:val="16"/>
                <w:szCs w:val="16"/>
              </w:rPr>
            </w:pPr>
          </w:p>
        </w:tc>
        <w:tc>
          <w:tcPr>
            <w:tcW w:w="1984" w:type="dxa"/>
            <w:hideMark/>
          </w:tcPr>
          <w:p w14:paraId="3BEC0D89"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the risk banks are willing to take</w:t>
            </w:r>
          </w:p>
        </w:tc>
      </w:tr>
      <w:tr w:rsidR="00CD6352" w:rsidRPr="006E4060" w14:paraId="7684C02F" w14:textId="77777777" w:rsidTr="00CD6352">
        <w:trPr>
          <w:trHeight w:val="465"/>
        </w:trPr>
        <w:tc>
          <w:tcPr>
            <w:tcW w:w="1398" w:type="dxa"/>
            <w:noWrap/>
            <w:hideMark/>
          </w:tcPr>
          <w:p w14:paraId="6F7A05C4"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373C109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Skills at accessing property buyers &amp; investors</w:t>
            </w:r>
          </w:p>
        </w:tc>
        <w:tc>
          <w:tcPr>
            <w:tcW w:w="1350" w:type="dxa"/>
            <w:noWrap/>
            <w:hideMark/>
          </w:tcPr>
          <w:p w14:paraId="16542E92" w14:textId="77777777" w:rsidR="00CD6352" w:rsidRPr="006E4060" w:rsidRDefault="00CD6352" w:rsidP="00CD6352">
            <w:pPr>
              <w:rPr>
                <w:rFonts w:ascii="Arial" w:eastAsia="Calibri" w:hAnsi="Arial" w:cs="Arial"/>
                <w:sz w:val="16"/>
                <w:szCs w:val="16"/>
              </w:rPr>
            </w:pPr>
          </w:p>
        </w:tc>
        <w:tc>
          <w:tcPr>
            <w:tcW w:w="2336" w:type="dxa"/>
            <w:noWrap/>
            <w:hideMark/>
          </w:tcPr>
          <w:p w14:paraId="368B4ABE" w14:textId="77777777" w:rsidR="00CD6352" w:rsidRPr="006E4060" w:rsidRDefault="00CD6352" w:rsidP="00CD6352">
            <w:pPr>
              <w:rPr>
                <w:rFonts w:ascii="Arial" w:eastAsia="Calibri" w:hAnsi="Arial" w:cs="Arial"/>
                <w:sz w:val="16"/>
                <w:szCs w:val="16"/>
              </w:rPr>
            </w:pPr>
          </w:p>
        </w:tc>
        <w:tc>
          <w:tcPr>
            <w:tcW w:w="1984" w:type="dxa"/>
            <w:noWrap/>
            <w:hideMark/>
          </w:tcPr>
          <w:p w14:paraId="18BF1B3D"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r w:rsidR="00CD6352" w:rsidRPr="006E4060" w14:paraId="761F8A33" w14:textId="77777777" w:rsidTr="00CD6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398" w:type="dxa"/>
            <w:tcBorders>
              <w:top w:val="nil"/>
              <w:left w:val="nil"/>
              <w:bottom w:val="nil"/>
              <w:right w:val="nil"/>
            </w:tcBorders>
            <w:noWrap/>
            <w:hideMark/>
          </w:tcPr>
          <w:p w14:paraId="5DCDC0C9"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tcBorders>
              <w:top w:val="nil"/>
              <w:left w:val="nil"/>
              <w:bottom w:val="nil"/>
              <w:right w:val="nil"/>
            </w:tcBorders>
            <w:noWrap/>
            <w:hideMark/>
          </w:tcPr>
          <w:p w14:paraId="3969C6A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Specialised industry skills</w:t>
            </w:r>
          </w:p>
        </w:tc>
        <w:tc>
          <w:tcPr>
            <w:tcW w:w="1350" w:type="dxa"/>
            <w:tcBorders>
              <w:top w:val="nil"/>
              <w:left w:val="nil"/>
              <w:bottom w:val="nil"/>
              <w:right w:val="nil"/>
            </w:tcBorders>
            <w:noWrap/>
            <w:hideMark/>
          </w:tcPr>
          <w:p w14:paraId="29F689CD" w14:textId="77777777" w:rsidR="00CD6352" w:rsidRPr="006E4060" w:rsidRDefault="00CD6352" w:rsidP="00CD6352">
            <w:pPr>
              <w:rPr>
                <w:rFonts w:ascii="Arial" w:eastAsia="Calibri" w:hAnsi="Arial" w:cs="Arial"/>
                <w:sz w:val="16"/>
                <w:szCs w:val="16"/>
              </w:rPr>
            </w:pPr>
          </w:p>
        </w:tc>
        <w:tc>
          <w:tcPr>
            <w:tcW w:w="2336" w:type="dxa"/>
            <w:tcBorders>
              <w:top w:val="nil"/>
              <w:left w:val="nil"/>
              <w:bottom w:val="nil"/>
              <w:right w:val="nil"/>
            </w:tcBorders>
            <w:noWrap/>
            <w:hideMark/>
          </w:tcPr>
          <w:p w14:paraId="7211397D" w14:textId="77777777" w:rsidR="00CD6352" w:rsidRPr="006E4060" w:rsidRDefault="00CD6352" w:rsidP="00CD6352">
            <w:pPr>
              <w:rPr>
                <w:rFonts w:ascii="Arial" w:eastAsia="Calibri" w:hAnsi="Arial" w:cs="Arial"/>
                <w:sz w:val="16"/>
                <w:szCs w:val="16"/>
              </w:rPr>
            </w:pPr>
          </w:p>
        </w:tc>
        <w:tc>
          <w:tcPr>
            <w:tcW w:w="1984" w:type="dxa"/>
            <w:tcBorders>
              <w:top w:val="nil"/>
              <w:left w:val="nil"/>
              <w:bottom w:val="nil"/>
              <w:right w:val="nil"/>
            </w:tcBorders>
            <w:noWrap/>
            <w:hideMark/>
          </w:tcPr>
          <w:p w14:paraId="19D75D3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r w:rsidR="00CD6352" w:rsidRPr="006E4060" w14:paraId="60CF6CB8" w14:textId="77777777" w:rsidTr="00CD6352">
        <w:trPr>
          <w:trHeight w:val="300"/>
        </w:trPr>
        <w:tc>
          <w:tcPr>
            <w:tcW w:w="1398" w:type="dxa"/>
            <w:noWrap/>
            <w:hideMark/>
          </w:tcPr>
          <w:p w14:paraId="3305BF76"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7E8EF24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xml:space="preserve">Supervision and control </w:t>
            </w:r>
          </w:p>
        </w:tc>
        <w:tc>
          <w:tcPr>
            <w:tcW w:w="1350" w:type="dxa"/>
            <w:noWrap/>
            <w:hideMark/>
          </w:tcPr>
          <w:p w14:paraId="4CF2450B" w14:textId="77777777" w:rsidR="00CD6352" w:rsidRPr="006E4060" w:rsidRDefault="00CD6352" w:rsidP="00CD6352">
            <w:pPr>
              <w:rPr>
                <w:rFonts w:ascii="Arial" w:eastAsia="Calibri" w:hAnsi="Arial" w:cs="Arial"/>
                <w:sz w:val="16"/>
                <w:szCs w:val="16"/>
              </w:rPr>
            </w:pPr>
          </w:p>
        </w:tc>
        <w:tc>
          <w:tcPr>
            <w:tcW w:w="2336" w:type="dxa"/>
            <w:noWrap/>
            <w:hideMark/>
          </w:tcPr>
          <w:p w14:paraId="054FA585" w14:textId="77777777" w:rsidR="00CD6352" w:rsidRPr="006E4060" w:rsidRDefault="00CD6352" w:rsidP="00CD6352">
            <w:pPr>
              <w:rPr>
                <w:rFonts w:ascii="Arial" w:eastAsia="Calibri" w:hAnsi="Arial" w:cs="Arial"/>
                <w:sz w:val="16"/>
                <w:szCs w:val="16"/>
              </w:rPr>
            </w:pPr>
          </w:p>
        </w:tc>
        <w:tc>
          <w:tcPr>
            <w:tcW w:w="1984" w:type="dxa"/>
            <w:noWrap/>
            <w:hideMark/>
          </w:tcPr>
          <w:p w14:paraId="5B8D8FB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r w:rsidR="00CD6352" w:rsidRPr="006E4060" w14:paraId="6FD72B35" w14:textId="77777777" w:rsidTr="00CD6352">
        <w:trPr>
          <w:trHeight w:val="300"/>
        </w:trPr>
        <w:tc>
          <w:tcPr>
            <w:tcW w:w="1398" w:type="dxa"/>
            <w:noWrap/>
            <w:hideMark/>
          </w:tcPr>
          <w:p w14:paraId="108AB7B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34B7D941"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TIS mapping &amp; prop-tech mapping</w:t>
            </w:r>
          </w:p>
        </w:tc>
        <w:tc>
          <w:tcPr>
            <w:tcW w:w="1350" w:type="dxa"/>
            <w:noWrap/>
            <w:hideMark/>
          </w:tcPr>
          <w:p w14:paraId="0C16554E" w14:textId="77777777" w:rsidR="00CD6352" w:rsidRPr="006E4060" w:rsidRDefault="00CD6352" w:rsidP="00CD6352">
            <w:pPr>
              <w:rPr>
                <w:rFonts w:ascii="Arial" w:eastAsia="Calibri" w:hAnsi="Arial" w:cs="Arial"/>
                <w:sz w:val="16"/>
                <w:szCs w:val="16"/>
              </w:rPr>
            </w:pPr>
          </w:p>
        </w:tc>
        <w:tc>
          <w:tcPr>
            <w:tcW w:w="2336" w:type="dxa"/>
            <w:noWrap/>
            <w:hideMark/>
          </w:tcPr>
          <w:p w14:paraId="4FD337C6" w14:textId="77777777" w:rsidR="00CD6352" w:rsidRPr="006E4060" w:rsidRDefault="00CD6352" w:rsidP="00CD6352">
            <w:pPr>
              <w:rPr>
                <w:rFonts w:ascii="Arial" w:eastAsia="Calibri" w:hAnsi="Arial" w:cs="Arial"/>
                <w:sz w:val="16"/>
                <w:szCs w:val="16"/>
              </w:rPr>
            </w:pPr>
          </w:p>
        </w:tc>
        <w:tc>
          <w:tcPr>
            <w:tcW w:w="1984" w:type="dxa"/>
            <w:noWrap/>
            <w:hideMark/>
          </w:tcPr>
          <w:p w14:paraId="750F87BC"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r w:rsidR="00CD6352" w:rsidRPr="006E4060" w14:paraId="402B74B1" w14:textId="77777777" w:rsidTr="00CD6352">
        <w:trPr>
          <w:trHeight w:val="300"/>
        </w:trPr>
        <w:tc>
          <w:tcPr>
            <w:tcW w:w="1398" w:type="dxa"/>
            <w:noWrap/>
            <w:hideMark/>
          </w:tcPr>
          <w:p w14:paraId="2CA19075"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4D2FAA4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Town planning skills</w:t>
            </w:r>
          </w:p>
        </w:tc>
        <w:tc>
          <w:tcPr>
            <w:tcW w:w="1350" w:type="dxa"/>
            <w:noWrap/>
            <w:hideMark/>
          </w:tcPr>
          <w:p w14:paraId="38A3399C" w14:textId="77777777" w:rsidR="00CD6352" w:rsidRPr="006E4060" w:rsidRDefault="00CD6352" w:rsidP="00CD6352">
            <w:pPr>
              <w:rPr>
                <w:rFonts w:ascii="Arial" w:eastAsia="Calibri" w:hAnsi="Arial" w:cs="Arial"/>
                <w:sz w:val="16"/>
                <w:szCs w:val="16"/>
              </w:rPr>
            </w:pPr>
          </w:p>
        </w:tc>
        <w:tc>
          <w:tcPr>
            <w:tcW w:w="2336" w:type="dxa"/>
            <w:noWrap/>
            <w:hideMark/>
          </w:tcPr>
          <w:p w14:paraId="68E5DFC6" w14:textId="77777777" w:rsidR="00CD6352" w:rsidRPr="006E4060" w:rsidRDefault="00CD6352" w:rsidP="00CD6352">
            <w:pPr>
              <w:rPr>
                <w:rFonts w:ascii="Arial" w:eastAsia="Calibri" w:hAnsi="Arial" w:cs="Arial"/>
                <w:sz w:val="16"/>
                <w:szCs w:val="16"/>
              </w:rPr>
            </w:pPr>
          </w:p>
        </w:tc>
        <w:tc>
          <w:tcPr>
            <w:tcW w:w="1984" w:type="dxa"/>
            <w:noWrap/>
            <w:hideMark/>
          </w:tcPr>
          <w:p w14:paraId="55C6A16B"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r w:rsidR="00CD6352" w:rsidRPr="006E4060" w14:paraId="0E137AA3" w14:textId="77777777" w:rsidTr="00CD6352">
        <w:trPr>
          <w:trHeight w:val="465"/>
        </w:trPr>
        <w:tc>
          <w:tcPr>
            <w:tcW w:w="1398" w:type="dxa"/>
            <w:noWrap/>
            <w:hideMark/>
          </w:tcPr>
          <w:p w14:paraId="5E287694"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112" w:type="dxa"/>
            <w:hideMark/>
          </w:tcPr>
          <w:p w14:paraId="5159E228"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of regulatory framework</w:t>
            </w:r>
          </w:p>
        </w:tc>
        <w:tc>
          <w:tcPr>
            <w:tcW w:w="1350" w:type="dxa"/>
            <w:noWrap/>
            <w:hideMark/>
          </w:tcPr>
          <w:p w14:paraId="004602EF" w14:textId="77777777" w:rsidR="00CD6352" w:rsidRPr="006E4060" w:rsidRDefault="00CD6352" w:rsidP="00CD6352">
            <w:pPr>
              <w:rPr>
                <w:rFonts w:ascii="Arial" w:eastAsia="Calibri" w:hAnsi="Arial" w:cs="Arial"/>
                <w:sz w:val="16"/>
                <w:szCs w:val="16"/>
              </w:rPr>
            </w:pPr>
          </w:p>
        </w:tc>
        <w:tc>
          <w:tcPr>
            <w:tcW w:w="2336" w:type="dxa"/>
            <w:noWrap/>
            <w:hideMark/>
          </w:tcPr>
          <w:p w14:paraId="18EB3B9B" w14:textId="77777777" w:rsidR="00CD6352" w:rsidRPr="006E4060" w:rsidRDefault="00CD6352" w:rsidP="00CD6352">
            <w:pPr>
              <w:rPr>
                <w:rFonts w:ascii="Arial" w:eastAsia="Calibri" w:hAnsi="Arial" w:cs="Arial"/>
                <w:sz w:val="16"/>
                <w:szCs w:val="16"/>
              </w:rPr>
            </w:pPr>
          </w:p>
        </w:tc>
        <w:tc>
          <w:tcPr>
            <w:tcW w:w="1984" w:type="dxa"/>
            <w:noWrap/>
            <w:hideMark/>
          </w:tcPr>
          <w:p w14:paraId="135A664E"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r w:rsidR="00CD6352" w:rsidRPr="006E4060" w14:paraId="652705AF" w14:textId="77777777" w:rsidTr="00CD6352">
        <w:trPr>
          <w:trHeight w:val="465"/>
        </w:trPr>
        <w:tc>
          <w:tcPr>
            <w:tcW w:w="1398" w:type="dxa"/>
            <w:tcBorders>
              <w:bottom w:val="single" w:sz="4" w:space="0" w:color="auto"/>
            </w:tcBorders>
            <w:noWrap/>
            <w:hideMark/>
          </w:tcPr>
          <w:p w14:paraId="1C548302"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lastRenderedPageBreak/>
              <w:t> </w:t>
            </w:r>
          </w:p>
        </w:tc>
        <w:tc>
          <w:tcPr>
            <w:tcW w:w="2112" w:type="dxa"/>
            <w:tcBorders>
              <w:bottom w:val="single" w:sz="4" w:space="0" w:color="auto"/>
            </w:tcBorders>
            <w:hideMark/>
          </w:tcPr>
          <w:p w14:paraId="7132ADC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Understanding of the project to be developed</w:t>
            </w:r>
          </w:p>
        </w:tc>
        <w:tc>
          <w:tcPr>
            <w:tcW w:w="1350" w:type="dxa"/>
            <w:tcBorders>
              <w:bottom w:val="single" w:sz="4" w:space="0" w:color="auto"/>
            </w:tcBorders>
            <w:noWrap/>
            <w:hideMark/>
          </w:tcPr>
          <w:p w14:paraId="4042D88F"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2336" w:type="dxa"/>
            <w:tcBorders>
              <w:bottom w:val="single" w:sz="4" w:space="0" w:color="auto"/>
            </w:tcBorders>
            <w:noWrap/>
            <w:hideMark/>
          </w:tcPr>
          <w:p w14:paraId="5F7AB140"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c>
          <w:tcPr>
            <w:tcW w:w="1984" w:type="dxa"/>
            <w:tcBorders>
              <w:bottom w:val="single" w:sz="4" w:space="0" w:color="auto"/>
            </w:tcBorders>
            <w:noWrap/>
            <w:hideMark/>
          </w:tcPr>
          <w:p w14:paraId="00EED326" w14:textId="77777777" w:rsidR="00CD6352" w:rsidRPr="006E4060" w:rsidRDefault="00CD6352" w:rsidP="00CD6352">
            <w:pPr>
              <w:rPr>
                <w:rFonts w:ascii="Arial" w:eastAsia="Calibri" w:hAnsi="Arial" w:cs="Arial"/>
                <w:sz w:val="16"/>
                <w:szCs w:val="16"/>
              </w:rPr>
            </w:pPr>
            <w:r w:rsidRPr="006E4060">
              <w:rPr>
                <w:rFonts w:ascii="Arial" w:eastAsia="Calibri" w:hAnsi="Arial" w:cs="Arial"/>
                <w:sz w:val="16"/>
                <w:szCs w:val="16"/>
              </w:rPr>
              <w:t> </w:t>
            </w:r>
          </w:p>
        </w:tc>
      </w:tr>
    </w:tbl>
    <w:p w14:paraId="43A8ACA7" w14:textId="1198CBCA" w:rsidR="00FE5110" w:rsidRDefault="00FE5110" w:rsidP="00FE5110">
      <w:pPr>
        <w:spacing w:line="240" w:lineRule="auto"/>
        <w:jc w:val="both"/>
        <w:rPr>
          <w:rFonts w:ascii="Arial" w:hAnsi="Arial" w:cs="Arial"/>
          <w:sz w:val="16"/>
          <w:szCs w:val="16"/>
        </w:rPr>
      </w:pPr>
      <w:r w:rsidRPr="00355D91">
        <w:rPr>
          <w:rFonts w:ascii="Arial" w:hAnsi="Arial" w:cs="Arial"/>
          <w:sz w:val="16"/>
          <w:szCs w:val="16"/>
        </w:rPr>
        <w:t>Source: compilation by the author (2021)</w:t>
      </w:r>
    </w:p>
    <w:p w14:paraId="24504AC9" w14:textId="3315039C" w:rsidR="00FE5110" w:rsidRPr="00355D91" w:rsidRDefault="00FE5110" w:rsidP="00FE5110">
      <w:pPr>
        <w:spacing w:line="240" w:lineRule="auto"/>
        <w:jc w:val="both"/>
        <w:rPr>
          <w:rFonts w:ascii="Arial" w:hAnsi="Arial" w:cs="Arial"/>
          <w:sz w:val="16"/>
          <w:szCs w:val="16"/>
        </w:rPr>
      </w:pPr>
      <w:r>
        <w:rPr>
          <w:rFonts w:ascii="Arial" w:hAnsi="Arial" w:cs="Arial"/>
          <w:sz w:val="16"/>
          <w:szCs w:val="16"/>
        </w:rPr>
        <w:t xml:space="preserve">The detailed development of </w:t>
      </w:r>
      <w:r w:rsidR="00815564">
        <w:rPr>
          <w:rFonts w:ascii="Arial" w:hAnsi="Arial" w:cs="Arial"/>
          <w:sz w:val="16"/>
          <w:szCs w:val="16"/>
        </w:rPr>
        <w:t xml:space="preserve">an </w:t>
      </w:r>
      <w:r>
        <w:rPr>
          <w:rFonts w:ascii="Arial" w:hAnsi="Arial" w:cs="Arial"/>
          <w:sz w:val="16"/>
          <w:szCs w:val="16"/>
        </w:rPr>
        <w:t>inventory of skills for securing finance for real estate project development is contained in Chapter 8.2.7</w:t>
      </w:r>
    </w:p>
    <w:p w14:paraId="25120336" w14:textId="0A0C513E" w:rsidR="00CD6352" w:rsidRPr="00EA7665" w:rsidRDefault="00CD6352" w:rsidP="00CD6352">
      <w:pPr>
        <w:spacing w:before="240" w:line="360" w:lineRule="auto"/>
        <w:jc w:val="both"/>
        <w:rPr>
          <w:rFonts w:ascii="Arial" w:hAnsi="Arial" w:cs="Arial"/>
        </w:rPr>
      </w:pPr>
      <w:r w:rsidRPr="00EA7665">
        <w:rPr>
          <w:rFonts w:ascii="Arial" w:hAnsi="Arial" w:cs="Arial"/>
        </w:rPr>
        <w:t xml:space="preserve">The interplay of human, technical, conceptual, political and financial management </w:t>
      </w:r>
      <w:r>
        <w:rPr>
          <w:rFonts w:ascii="Arial" w:hAnsi="Arial" w:cs="Arial"/>
        </w:rPr>
        <w:t>skills</w:t>
      </w:r>
      <w:r w:rsidRPr="00EA7665">
        <w:rPr>
          <w:rFonts w:ascii="Arial" w:hAnsi="Arial" w:cs="Arial"/>
        </w:rPr>
        <w:t xml:space="preserve"> is essential for the real estate manager to secure finance for project development based on the findings.</w:t>
      </w:r>
      <w:r>
        <w:rPr>
          <w:rFonts w:ascii="Arial" w:hAnsi="Arial" w:cs="Arial"/>
        </w:rPr>
        <w:t xml:space="preserve"> </w:t>
      </w:r>
      <w:r w:rsidRPr="00EA7665">
        <w:rPr>
          <w:rFonts w:ascii="Arial" w:hAnsi="Arial" w:cs="Arial"/>
        </w:rPr>
        <w:t xml:space="preserve">The </w:t>
      </w:r>
      <w:r w:rsidR="00061AE9" w:rsidRPr="00EA7665">
        <w:rPr>
          <w:rFonts w:ascii="Arial" w:hAnsi="Arial" w:cs="Arial"/>
        </w:rPr>
        <w:t>skills most</w:t>
      </w:r>
      <w:r w:rsidRPr="00EA7665">
        <w:rPr>
          <w:rFonts w:ascii="Arial" w:hAnsi="Arial" w:cs="Arial"/>
        </w:rPr>
        <w:t xml:space="preserve"> cited by managers for securing finance for real estate project development with the highest counts in citations based on NVIVO software analysis are management, project development, relationship management, financial skills, and negotiation. </w:t>
      </w:r>
    </w:p>
    <w:p w14:paraId="3F11FE7E" w14:textId="77777777" w:rsidR="00CD6352" w:rsidRPr="00C55BC2" w:rsidRDefault="00CD6352" w:rsidP="008D4A4F">
      <w:pPr>
        <w:pStyle w:val="ListParagraph"/>
        <w:numPr>
          <w:ilvl w:val="0"/>
          <w:numId w:val="247"/>
        </w:numPr>
        <w:spacing w:before="240"/>
        <w:rPr>
          <w:rFonts w:ascii="Arial" w:hAnsi="Arial" w:cs="Arial"/>
          <w:b/>
          <w:bCs/>
        </w:rPr>
      </w:pPr>
      <w:r w:rsidRPr="00C55BC2">
        <w:rPr>
          <w:rFonts w:ascii="Arial" w:hAnsi="Arial" w:cs="Arial"/>
          <w:b/>
          <w:bCs/>
        </w:rPr>
        <w:t xml:space="preserve">Toolkit stage 4.2: Inventory of Knowledge for securing finance for real estate project development </w:t>
      </w:r>
    </w:p>
    <w:p w14:paraId="305CF361" w14:textId="1C30D67D" w:rsidR="00CD6352" w:rsidRPr="00EA7665" w:rsidRDefault="00300B67" w:rsidP="00CD6352">
      <w:pPr>
        <w:spacing w:before="240" w:line="360" w:lineRule="auto"/>
        <w:jc w:val="both"/>
        <w:rPr>
          <w:rFonts w:ascii="Arial" w:hAnsi="Arial" w:cs="Arial"/>
        </w:rPr>
      </w:pPr>
      <w:r>
        <w:rPr>
          <w:rFonts w:ascii="Arial" w:hAnsi="Arial" w:cs="Arial"/>
        </w:rPr>
        <w:t>T</w:t>
      </w:r>
      <w:r w:rsidRPr="00300B67">
        <w:rPr>
          <w:rFonts w:ascii="Arial" w:hAnsi="Arial" w:cs="Arial"/>
        </w:rPr>
        <w:t xml:space="preserve">his study developed an inventory of management’s financial knowledge for securing finance for real estate project development </w:t>
      </w:r>
      <w:r>
        <w:rPr>
          <w:rFonts w:ascii="Arial" w:hAnsi="Arial" w:cs="Arial"/>
        </w:rPr>
        <w:t>t</w:t>
      </w:r>
      <w:r w:rsidR="00CD6352" w:rsidRPr="00EA7665">
        <w:rPr>
          <w:rFonts w:ascii="Arial" w:hAnsi="Arial" w:cs="Arial"/>
        </w:rPr>
        <w:t xml:space="preserve">o bridge the gap in the </w:t>
      </w:r>
      <w:r w:rsidR="00CD6352">
        <w:rPr>
          <w:rFonts w:ascii="Arial" w:hAnsi="Arial" w:cs="Arial"/>
        </w:rPr>
        <w:t xml:space="preserve">management </w:t>
      </w:r>
      <w:r w:rsidR="00CD6352" w:rsidRPr="00EA7665">
        <w:rPr>
          <w:rFonts w:ascii="Arial" w:hAnsi="Arial" w:cs="Arial"/>
        </w:rPr>
        <w:t>knowledge</w:t>
      </w:r>
      <w:r w:rsidR="00CD6352">
        <w:rPr>
          <w:rFonts w:ascii="Arial" w:hAnsi="Arial" w:cs="Arial"/>
        </w:rPr>
        <w:t xml:space="preserve"> for securing finance for real estate project development</w:t>
      </w:r>
      <w:r w:rsidR="00CD6352" w:rsidRPr="00EA7665">
        <w:rPr>
          <w:rFonts w:ascii="Arial" w:hAnsi="Arial" w:cs="Arial"/>
        </w:rPr>
        <w:t xml:space="preserve">. </w:t>
      </w:r>
      <w:r w:rsidR="00C25A35">
        <w:rPr>
          <w:rFonts w:ascii="Arial" w:hAnsi="Arial" w:cs="Arial"/>
        </w:rPr>
        <w:t>This is made up of</w:t>
      </w:r>
      <w:r w:rsidR="00CD6352" w:rsidRPr="00EA7665">
        <w:rPr>
          <w:rFonts w:ascii="Arial" w:hAnsi="Arial" w:cs="Arial"/>
        </w:rPr>
        <w:t xml:space="preserve"> findings from both the questionnaire surve</w:t>
      </w:r>
      <w:r w:rsidR="00CD6352">
        <w:rPr>
          <w:rFonts w:ascii="Arial" w:hAnsi="Arial" w:cs="Arial"/>
        </w:rPr>
        <w:t>ys</w:t>
      </w:r>
      <w:r w:rsidR="00CD6352" w:rsidRPr="00EA7665">
        <w:rPr>
          <w:rFonts w:ascii="Arial" w:hAnsi="Arial" w:cs="Arial"/>
        </w:rPr>
        <w:t xml:space="preserve"> and semi-structured interviews. The inventory of financial management knowledge for securing finance for real estate project development is </w:t>
      </w:r>
      <w:r w:rsidR="00CD6352">
        <w:rPr>
          <w:rFonts w:ascii="Arial" w:hAnsi="Arial" w:cs="Arial"/>
        </w:rPr>
        <w:t>shown</w:t>
      </w:r>
      <w:r w:rsidR="00CD6352" w:rsidRPr="00EA7665">
        <w:rPr>
          <w:rFonts w:ascii="Arial" w:hAnsi="Arial" w:cs="Arial"/>
        </w:rPr>
        <w:t xml:space="preserve"> </w:t>
      </w:r>
      <w:r w:rsidR="00CD6352">
        <w:rPr>
          <w:rFonts w:ascii="Arial" w:hAnsi="Arial" w:cs="Arial"/>
        </w:rPr>
        <w:t>in table</w:t>
      </w:r>
      <w:r w:rsidR="009B2953">
        <w:rPr>
          <w:rFonts w:ascii="Arial" w:hAnsi="Arial" w:cs="Arial"/>
        </w:rPr>
        <w:t xml:space="preserve"> 10.</w:t>
      </w:r>
      <w:r w:rsidR="00D70D6D">
        <w:rPr>
          <w:rFonts w:ascii="Arial" w:hAnsi="Arial" w:cs="Arial"/>
        </w:rPr>
        <w:t>2</w:t>
      </w:r>
      <w:r w:rsidR="009B2953">
        <w:rPr>
          <w:rFonts w:ascii="Arial" w:hAnsi="Arial" w:cs="Arial"/>
        </w:rPr>
        <w:t>.</w:t>
      </w:r>
      <w:r w:rsidR="00D70D6D">
        <w:rPr>
          <w:rFonts w:ascii="Arial" w:hAnsi="Arial" w:cs="Arial"/>
        </w:rPr>
        <w:t>6</w:t>
      </w:r>
      <w:r w:rsidR="00CD6352" w:rsidRPr="00EA7665">
        <w:rPr>
          <w:rFonts w:ascii="Arial" w:hAnsi="Arial" w:cs="Arial"/>
        </w:rPr>
        <w:t xml:space="preserve"> </w:t>
      </w:r>
    </w:p>
    <w:p w14:paraId="71879636" w14:textId="212FD686" w:rsidR="00760BA0" w:rsidRPr="000A4261" w:rsidRDefault="00760BA0" w:rsidP="00760BA0">
      <w:pPr>
        <w:pStyle w:val="Caption"/>
        <w:keepNext/>
        <w:rPr>
          <w:rFonts w:ascii="Arial" w:hAnsi="Arial" w:cs="Arial"/>
          <w:sz w:val="16"/>
          <w:szCs w:val="16"/>
        </w:rPr>
      </w:pPr>
      <w:bookmarkStart w:id="1470" w:name="_Toc78984047"/>
      <w:r w:rsidRPr="000A4261">
        <w:rPr>
          <w:rFonts w:ascii="Arial" w:hAnsi="Arial" w:cs="Arial"/>
          <w:sz w:val="16"/>
          <w:szCs w:val="16"/>
        </w:rPr>
        <w:t xml:space="preserve">Table </w:t>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STYLEREF 2 \s </w:instrText>
      </w:r>
      <w:r w:rsidR="00591802" w:rsidRPr="000A4261">
        <w:rPr>
          <w:rFonts w:ascii="Arial" w:hAnsi="Arial" w:cs="Arial"/>
          <w:sz w:val="16"/>
          <w:szCs w:val="16"/>
        </w:rPr>
        <w:fldChar w:fldCharType="separate"/>
      </w:r>
      <w:r w:rsidR="008F25B1" w:rsidRPr="000A4261">
        <w:rPr>
          <w:rFonts w:ascii="Arial" w:hAnsi="Arial" w:cs="Arial"/>
          <w:noProof/>
          <w:sz w:val="16"/>
          <w:szCs w:val="16"/>
        </w:rPr>
        <w:t>10.2</w:t>
      </w:r>
      <w:r w:rsidR="00591802" w:rsidRPr="000A4261">
        <w:rPr>
          <w:rFonts w:ascii="Arial" w:hAnsi="Arial" w:cs="Arial"/>
          <w:noProof/>
          <w:sz w:val="16"/>
          <w:szCs w:val="16"/>
        </w:rPr>
        <w:fldChar w:fldCharType="end"/>
      </w:r>
      <w:r w:rsidR="008F25B1" w:rsidRPr="000A4261">
        <w:rPr>
          <w:rFonts w:ascii="Arial" w:hAnsi="Arial" w:cs="Arial"/>
          <w:sz w:val="16"/>
          <w:szCs w:val="16"/>
        </w:rPr>
        <w:noBreakHyphen/>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SEQ Table \* ARABIC \s 2 </w:instrText>
      </w:r>
      <w:r w:rsidR="00591802" w:rsidRPr="000A4261">
        <w:rPr>
          <w:rFonts w:ascii="Arial" w:hAnsi="Arial" w:cs="Arial"/>
          <w:sz w:val="16"/>
          <w:szCs w:val="16"/>
        </w:rPr>
        <w:fldChar w:fldCharType="separate"/>
      </w:r>
      <w:r w:rsidR="008F25B1" w:rsidRPr="000A4261">
        <w:rPr>
          <w:rFonts w:ascii="Arial" w:hAnsi="Arial" w:cs="Arial"/>
          <w:noProof/>
          <w:sz w:val="16"/>
          <w:szCs w:val="16"/>
        </w:rPr>
        <w:t>6</w:t>
      </w:r>
      <w:r w:rsidR="00591802" w:rsidRPr="000A4261">
        <w:rPr>
          <w:rFonts w:ascii="Arial" w:hAnsi="Arial" w:cs="Arial"/>
          <w:noProof/>
          <w:sz w:val="16"/>
          <w:szCs w:val="16"/>
        </w:rPr>
        <w:fldChar w:fldCharType="end"/>
      </w:r>
      <w:r w:rsidRPr="000A4261">
        <w:rPr>
          <w:rFonts w:ascii="Arial" w:hAnsi="Arial" w:cs="Arial"/>
          <w:sz w:val="16"/>
          <w:szCs w:val="16"/>
        </w:rPr>
        <w:t>: Inventory of financial knowledge for securing finance for real estate project development</w:t>
      </w:r>
      <w:bookmarkEnd w:id="1470"/>
    </w:p>
    <w:tbl>
      <w:tblPr>
        <w:tblStyle w:val="TableGrid"/>
        <w:tblW w:w="0" w:type="auto"/>
        <w:tblLook w:val="04A0" w:firstRow="1" w:lastRow="0" w:firstColumn="1" w:lastColumn="0" w:noHBand="0" w:noVBand="1"/>
      </w:tblPr>
      <w:tblGrid>
        <w:gridCol w:w="8613"/>
      </w:tblGrid>
      <w:tr w:rsidR="00CD6352" w:rsidRPr="00EA7665" w14:paraId="596A73B9" w14:textId="77777777" w:rsidTr="00CD6352">
        <w:trPr>
          <w:trHeight w:val="1223"/>
        </w:trPr>
        <w:tc>
          <w:tcPr>
            <w:tcW w:w="8613" w:type="dxa"/>
          </w:tcPr>
          <w:p w14:paraId="65EC22EA"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w:t>
            </w:r>
            <w:r w:rsidRPr="00EA7665">
              <w:rPr>
                <w:rFonts w:ascii="Arial" w:hAnsi="Arial" w:cs="Arial"/>
                <w:sz w:val="16"/>
                <w:szCs w:val="16"/>
              </w:rPr>
              <w:tab/>
              <w:t>Asset management</w:t>
            </w:r>
          </w:p>
          <w:p w14:paraId="2F046538"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w:t>
            </w:r>
            <w:r w:rsidRPr="00EA7665">
              <w:rPr>
                <w:rFonts w:ascii="Arial" w:hAnsi="Arial" w:cs="Arial"/>
                <w:sz w:val="16"/>
                <w:szCs w:val="16"/>
              </w:rPr>
              <w:tab/>
              <w:t>Awareness of the client’s need</w:t>
            </w:r>
          </w:p>
          <w:p w14:paraId="56ABD2A2"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w:t>
            </w:r>
            <w:r w:rsidRPr="00EA7665">
              <w:rPr>
                <w:rFonts w:ascii="Arial" w:hAnsi="Arial" w:cs="Arial"/>
                <w:sz w:val="16"/>
                <w:szCs w:val="16"/>
              </w:rPr>
              <w:tab/>
              <w:t>Cash flow</w:t>
            </w:r>
          </w:p>
          <w:p w14:paraId="18BC8106"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4.</w:t>
            </w:r>
            <w:r w:rsidRPr="00EA7665">
              <w:rPr>
                <w:rFonts w:ascii="Arial" w:hAnsi="Arial" w:cs="Arial"/>
                <w:sz w:val="16"/>
                <w:szCs w:val="16"/>
              </w:rPr>
              <w:tab/>
              <w:t>Contingency approach</w:t>
            </w:r>
          </w:p>
          <w:p w14:paraId="12AE7370"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5.</w:t>
            </w:r>
            <w:r w:rsidRPr="00EA7665">
              <w:rPr>
                <w:rFonts w:ascii="Arial" w:hAnsi="Arial" w:cs="Arial"/>
                <w:sz w:val="16"/>
                <w:szCs w:val="16"/>
              </w:rPr>
              <w:tab/>
              <w:t>Cost calculation techniques</w:t>
            </w:r>
          </w:p>
          <w:p w14:paraId="498F4244"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6.</w:t>
            </w:r>
            <w:r w:rsidRPr="00EA7665">
              <w:rPr>
                <w:rFonts w:ascii="Arial" w:hAnsi="Arial" w:cs="Arial"/>
                <w:sz w:val="16"/>
                <w:szCs w:val="16"/>
              </w:rPr>
              <w:tab/>
              <w:t>Cost estimation methods</w:t>
            </w:r>
          </w:p>
          <w:p w14:paraId="17EDF57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7.</w:t>
            </w:r>
            <w:r w:rsidRPr="00EA7665">
              <w:rPr>
                <w:rFonts w:ascii="Arial" w:hAnsi="Arial" w:cs="Arial"/>
                <w:sz w:val="16"/>
                <w:szCs w:val="16"/>
              </w:rPr>
              <w:tab/>
              <w:t>Debt literacy</w:t>
            </w:r>
          </w:p>
          <w:p w14:paraId="1EEF542A"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8.</w:t>
            </w:r>
            <w:r w:rsidRPr="00EA7665">
              <w:rPr>
                <w:rFonts w:ascii="Arial" w:hAnsi="Arial" w:cs="Arial"/>
                <w:sz w:val="16"/>
                <w:szCs w:val="16"/>
              </w:rPr>
              <w:tab/>
              <w:t>Feasibility studies</w:t>
            </w:r>
          </w:p>
          <w:p w14:paraId="5E7C98F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9.</w:t>
            </w:r>
            <w:r w:rsidRPr="00EA7665">
              <w:rPr>
                <w:rFonts w:ascii="Arial" w:hAnsi="Arial" w:cs="Arial"/>
                <w:sz w:val="16"/>
                <w:szCs w:val="16"/>
              </w:rPr>
              <w:tab/>
              <w:t>Finance options</w:t>
            </w:r>
          </w:p>
          <w:p w14:paraId="6D05F18E"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10.</w:t>
            </w:r>
            <w:r w:rsidRPr="00EA7665">
              <w:rPr>
                <w:rFonts w:ascii="Arial" w:hAnsi="Arial" w:cs="Arial"/>
                <w:sz w:val="16"/>
                <w:szCs w:val="16"/>
              </w:rPr>
              <w:tab/>
              <w:t xml:space="preserve">Financial accounting basics </w:t>
            </w:r>
          </w:p>
          <w:p w14:paraId="1810D80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11.</w:t>
            </w:r>
            <w:r w:rsidRPr="00EA7665">
              <w:rPr>
                <w:rFonts w:ascii="Arial" w:hAnsi="Arial" w:cs="Arial"/>
                <w:sz w:val="16"/>
                <w:szCs w:val="16"/>
              </w:rPr>
              <w:tab/>
              <w:t>Financial analysis</w:t>
            </w:r>
          </w:p>
          <w:p w14:paraId="593BB5A4"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12.</w:t>
            </w:r>
            <w:r w:rsidRPr="00EA7665">
              <w:rPr>
                <w:rFonts w:ascii="Arial" w:hAnsi="Arial" w:cs="Arial"/>
                <w:sz w:val="16"/>
                <w:szCs w:val="16"/>
              </w:rPr>
              <w:tab/>
              <w:t>Financial management concepts &amp; terms such as ( cash flow, debt – asset ratio, return on investment &amp; rate of return)</w:t>
            </w:r>
          </w:p>
          <w:p w14:paraId="62B44A8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13.</w:t>
            </w:r>
            <w:r w:rsidRPr="00EA7665">
              <w:rPr>
                <w:rFonts w:ascii="Arial" w:hAnsi="Arial" w:cs="Arial"/>
                <w:sz w:val="16"/>
                <w:szCs w:val="16"/>
              </w:rPr>
              <w:tab/>
              <w:t xml:space="preserve">Financial modelling </w:t>
            </w:r>
          </w:p>
          <w:p w14:paraId="399B800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14.</w:t>
            </w:r>
            <w:r w:rsidRPr="00EA7665">
              <w:rPr>
                <w:rFonts w:ascii="Arial" w:hAnsi="Arial" w:cs="Arial"/>
                <w:sz w:val="16"/>
                <w:szCs w:val="16"/>
              </w:rPr>
              <w:tab/>
              <w:t>Fundamental concepts of economics &amp; finance ( e.g. calculation of interest rate &amp; inflation)</w:t>
            </w:r>
          </w:p>
          <w:p w14:paraId="1D8C1AE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15.</w:t>
            </w:r>
            <w:r w:rsidRPr="00EA7665">
              <w:rPr>
                <w:rFonts w:ascii="Arial" w:hAnsi="Arial" w:cs="Arial"/>
                <w:sz w:val="16"/>
                <w:szCs w:val="16"/>
              </w:rPr>
              <w:tab/>
              <w:t>Funding sources</w:t>
            </w:r>
          </w:p>
          <w:p w14:paraId="22F037BB"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16.</w:t>
            </w:r>
            <w:r w:rsidRPr="00EA7665">
              <w:rPr>
                <w:rFonts w:ascii="Arial" w:hAnsi="Arial" w:cs="Arial"/>
                <w:sz w:val="16"/>
                <w:szCs w:val="16"/>
              </w:rPr>
              <w:tab/>
              <w:t>Knowledge of accounting and economics</w:t>
            </w:r>
          </w:p>
          <w:p w14:paraId="7496BC6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17.</w:t>
            </w:r>
            <w:r w:rsidRPr="00EA7665">
              <w:rPr>
                <w:rFonts w:ascii="Arial" w:hAnsi="Arial" w:cs="Arial"/>
                <w:sz w:val="16"/>
                <w:szCs w:val="16"/>
              </w:rPr>
              <w:tab/>
              <w:t xml:space="preserve">Knowledge of finance instruments </w:t>
            </w:r>
          </w:p>
          <w:p w14:paraId="55C783FA" w14:textId="77FE003A"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lastRenderedPageBreak/>
              <w:t>18.</w:t>
            </w:r>
            <w:r w:rsidRPr="00EA7665">
              <w:rPr>
                <w:rFonts w:ascii="Arial" w:hAnsi="Arial" w:cs="Arial"/>
                <w:sz w:val="16"/>
                <w:szCs w:val="16"/>
              </w:rPr>
              <w:tab/>
              <w:t>Knowledge of loan agreement</w:t>
            </w:r>
            <w:r w:rsidR="00C87367">
              <w:rPr>
                <w:rFonts w:ascii="Arial" w:hAnsi="Arial" w:cs="Arial"/>
                <w:sz w:val="16"/>
                <w:szCs w:val="16"/>
              </w:rPr>
              <w:t>s</w:t>
            </w:r>
            <w:r w:rsidRPr="00EA7665">
              <w:rPr>
                <w:rFonts w:ascii="Arial" w:hAnsi="Arial" w:cs="Arial"/>
                <w:sz w:val="16"/>
                <w:szCs w:val="16"/>
              </w:rPr>
              <w:t xml:space="preserve"> &amp; how they work</w:t>
            </w:r>
          </w:p>
          <w:p w14:paraId="621EFAB0"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19.</w:t>
            </w:r>
            <w:r w:rsidRPr="00EA7665">
              <w:rPr>
                <w:rFonts w:ascii="Arial" w:hAnsi="Arial" w:cs="Arial"/>
                <w:sz w:val="16"/>
                <w:szCs w:val="16"/>
              </w:rPr>
              <w:tab/>
              <w:t>Knowledge of location &amp; topography</w:t>
            </w:r>
          </w:p>
          <w:p w14:paraId="59842F37"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20.</w:t>
            </w:r>
            <w:r w:rsidRPr="00EA7665">
              <w:rPr>
                <w:rFonts w:ascii="Arial" w:hAnsi="Arial" w:cs="Arial"/>
                <w:sz w:val="16"/>
                <w:szCs w:val="16"/>
              </w:rPr>
              <w:tab/>
              <w:t xml:space="preserve">Knowledge of regulations </w:t>
            </w:r>
          </w:p>
          <w:p w14:paraId="3F1445CB"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21.</w:t>
            </w:r>
            <w:r w:rsidRPr="00EA7665">
              <w:rPr>
                <w:rFonts w:ascii="Arial" w:hAnsi="Arial" w:cs="Arial"/>
                <w:sz w:val="16"/>
                <w:szCs w:val="16"/>
              </w:rPr>
              <w:tab/>
              <w:t>Knowledge of the market</w:t>
            </w:r>
          </w:p>
          <w:p w14:paraId="07C65D68"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22.</w:t>
            </w:r>
            <w:r w:rsidRPr="00EA7665">
              <w:rPr>
                <w:rFonts w:ascii="Arial" w:hAnsi="Arial" w:cs="Arial"/>
                <w:sz w:val="16"/>
                <w:szCs w:val="16"/>
              </w:rPr>
              <w:tab/>
              <w:t>Knowledge of what lenders want</w:t>
            </w:r>
          </w:p>
          <w:p w14:paraId="5FFA1E65"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23.</w:t>
            </w:r>
            <w:r w:rsidRPr="00EA7665">
              <w:rPr>
                <w:rFonts w:ascii="Arial" w:hAnsi="Arial" w:cs="Arial"/>
                <w:sz w:val="16"/>
                <w:szCs w:val="16"/>
              </w:rPr>
              <w:tab/>
              <w:t>Leadership &amp; negotiation</w:t>
            </w:r>
          </w:p>
          <w:p w14:paraId="196CEAB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24.</w:t>
            </w:r>
            <w:r w:rsidRPr="00EA7665">
              <w:rPr>
                <w:rFonts w:ascii="Arial" w:hAnsi="Arial" w:cs="Arial"/>
                <w:sz w:val="16"/>
                <w:szCs w:val="16"/>
              </w:rPr>
              <w:tab/>
              <w:t xml:space="preserve">Legal knowledge </w:t>
            </w:r>
          </w:p>
          <w:p w14:paraId="02749EF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25.</w:t>
            </w:r>
            <w:r w:rsidRPr="00EA7665">
              <w:rPr>
                <w:rFonts w:ascii="Arial" w:hAnsi="Arial" w:cs="Arial"/>
                <w:sz w:val="16"/>
                <w:szCs w:val="16"/>
              </w:rPr>
              <w:tab/>
              <w:t xml:space="preserve">Location knowledge </w:t>
            </w:r>
          </w:p>
          <w:p w14:paraId="4F03E7BD"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26.</w:t>
            </w:r>
            <w:r w:rsidRPr="00EA7665">
              <w:rPr>
                <w:rFonts w:ascii="Arial" w:hAnsi="Arial" w:cs="Arial"/>
                <w:sz w:val="16"/>
                <w:szCs w:val="16"/>
              </w:rPr>
              <w:tab/>
              <w:t xml:space="preserve">Market intelligence </w:t>
            </w:r>
          </w:p>
          <w:p w14:paraId="63DE0E5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27.</w:t>
            </w:r>
            <w:r w:rsidRPr="00EA7665">
              <w:rPr>
                <w:rFonts w:ascii="Arial" w:hAnsi="Arial" w:cs="Arial"/>
                <w:sz w:val="16"/>
                <w:szCs w:val="16"/>
              </w:rPr>
              <w:tab/>
              <w:t>Performance indicator</w:t>
            </w:r>
          </w:p>
          <w:p w14:paraId="58D9C1F4"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28.</w:t>
            </w:r>
            <w:r w:rsidRPr="00EA7665">
              <w:rPr>
                <w:rFonts w:ascii="Arial" w:hAnsi="Arial" w:cs="Arial"/>
                <w:sz w:val="16"/>
                <w:szCs w:val="16"/>
              </w:rPr>
              <w:tab/>
              <w:t xml:space="preserve">Policy knowledge </w:t>
            </w:r>
          </w:p>
          <w:p w14:paraId="34F2820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29.</w:t>
            </w:r>
            <w:r w:rsidRPr="00EA7665">
              <w:rPr>
                <w:rFonts w:ascii="Arial" w:hAnsi="Arial" w:cs="Arial"/>
                <w:sz w:val="16"/>
                <w:szCs w:val="16"/>
              </w:rPr>
              <w:tab/>
              <w:t>Portfolio management</w:t>
            </w:r>
          </w:p>
          <w:p w14:paraId="567274CC"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30.</w:t>
            </w:r>
            <w:r w:rsidRPr="00EA7665">
              <w:rPr>
                <w:rFonts w:ascii="Arial" w:hAnsi="Arial" w:cs="Arial"/>
                <w:sz w:val="16"/>
                <w:szCs w:val="16"/>
              </w:rPr>
              <w:tab/>
              <w:t>Principles of risk and diversification</w:t>
            </w:r>
          </w:p>
          <w:p w14:paraId="7FF7896D"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31.</w:t>
            </w:r>
            <w:r w:rsidRPr="00EA7665">
              <w:rPr>
                <w:rFonts w:ascii="Arial" w:hAnsi="Arial" w:cs="Arial"/>
                <w:sz w:val="16"/>
                <w:szCs w:val="16"/>
              </w:rPr>
              <w:tab/>
              <w:t>Process and governance for cost management</w:t>
            </w:r>
          </w:p>
          <w:p w14:paraId="56601A3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32.</w:t>
            </w:r>
            <w:r w:rsidRPr="00EA7665">
              <w:rPr>
                <w:rFonts w:ascii="Arial" w:hAnsi="Arial" w:cs="Arial"/>
                <w:sz w:val="16"/>
                <w:szCs w:val="16"/>
              </w:rPr>
              <w:tab/>
              <w:t>Proposal packing</w:t>
            </w:r>
          </w:p>
          <w:p w14:paraId="3FD9FD41"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33.</w:t>
            </w:r>
            <w:r w:rsidRPr="00EA7665">
              <w:rPr>
                <w:rFonts w:ascii="Arial" w:hAnsi="Arial" w:cs="Arial"/>
                <w:sz w:val="16"/>
                <w:szCs w:val="16"/>
              </w:rPr>
              <w:tab/>
              <w:t>Quantity surveying</w:t>
            </w:r>
          </w:p>
          <w:p w14:paraId="28D58194" w14:textId="2F9F6E2C"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34.</w:t>
            </w:r>
            <w:r w:rsidRPr="00EA7665">
              <w:rPr>
                <w:rFonts w:ascii="Arial" w:hAnsi="Arial" w:cs="Arial"/>
                <w:sz w:val="16"/>
                <w:szCs w:val="16"/>
              </w:rPr>
              <w:tab/>
              <w:t>Relevant conventions, agreement</w:t>
            </w:r>
            <w:r w:rsidR="00815564">
              <w:rPr>
                <w:rFonts w:ascii="Arial" w:hAnsi="Arial" w:cs="Arial"/>
                <w:sz w:val="16"/>
                <w:szCs w:val="16"/>
              </w:rPr>
              <w:t>s</w:t>
            </w:r>
            <w:r w:rsidRPr="00EA7665">
              <w:rPr>
                <w:rFonts w:ascii="Arial" w:hAnsi="Arial" w:cs="Arial"/>
                <w:sz w:val="16"/>
                <w:szCs w:val="16"/>
              </w:rPr>
              <w:t xml:space="preserve">, legislation and regulations </w:t>
            </w:r>
          </w:p>
          <w:p w14:paraId="21D8D1E0"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35.</w:t>
            </w:r>
            <w:r w:rsidRPr="00EA7665">
              <w:rPr>
                <w:rFonts w:ascii="Arial" w:hAnsi="Arial" w:cs="Arial"/>
                <w:sz w:val="16"/>
                <w:szCs w:val="16"/>
              </w:rPr>
              <w:tab/>
              <w:t>Risk</w:t>
            </w:r>
          </w:p>
          <w:p w14:paraId="15F84051"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37.</w:t>
            </w:r>
            <w:r w:rsidRPr="00EA7665">
              <w:rPr>
                <w:rFonts w:ascii="Arial" w:hAnsi="Arial" w:cs="Arial"/>
                <w:sz w:val="16"/>
                <w:szCs w:val="16"/>
              </w:rPr>
              <w:tab/>
              <w:t>Risks and opportunities response strategies and plan</w:t>
            </w:r>
          </w:p>
          <w:p w14:paraId="6FC810E8"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38.</w:t>
            </w:r>
            <w:r w:rsidRPr="00EA7665">
              <w:rPr>
                <w:rFonts w:ascii="Arial" w:hAnsi="Arial" w:cs="Arial"/>
                <w:sz w:val="16"/>
                <w:szCs w:val="16"/>
              </w:rPr>
              <w:tab/>
              <w:t>Sales</w:t>
            </w:r>
          </w:p>
          <w:p w14:paraId="693D77EF"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39.</w:t>
            </w:r>
            <w:r w:rsidRPr="00EA7665">
              <w:rPr>
                <w:rFonts w:ascii="Arial" w:hAnsi="Arial" w:cs="Arial"/>
                <w:sz w:val="16"/>
                <w:szCs w:val="16"/>
              </w:rPr>
              <w:tab/>
              <w:t>Strategies for managing risks and uncertainty</w:t>
            </w:r>
          </w:p>
          <w:p w14:paraId="762EFC24"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40.</w:t>
            </w:r>
            <w:r w:rsidRPr="00EA7665">
              <w:rPr>
                <w:rFonts w:ascii="Arial" w:hAnsi="Arial" w:cs="Arial"/>
                <w:sz w:val="16"/>
                <w:szCs w:val="16"/>
              </w:rPr>
              <w:tab/>
              <w:t xml:space="preserve">Technical knowledge </w:t>
            </w:r>
          </w:p>
          <w:p w14:paraId="038BD5A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42.</w:t>
            </w:r>
            <w:r w:rsidRPr="00EA7665">
              <w:rPr>
                <w:rFonts w:ascii="Arial" w:hAnsi="Arial" w:cs="Arial"/>
                <w:sz w:val="16"/>
                <w:szCs w:val="16"/>
              </w:rPr>
              <w:tab/>
              <w:t>Techniques and conditions for loan effectiveness</w:t>
            </w:r>
          </w:p>
          <w:p w14:paraId="268F78B3"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43.</w:t>
            </w:r>
            <w:r w:rsidRPr="00EA7665">
              <w:rPr>
                <w:rFonts w:ascii="Arial" w:hAnsi="Arial" w:cs="Arial"/>
                <w:sz w:val="16"/>
                <w:szCs w:val="16"/>
              </w:rPr>
              <w:tab/>
              <w:t>Understanding Joint venture legal document</w:t>
            </w:r>
          </w:p>
          <w:p w14:paraId="6916447D"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44.</w:t>
            </w:r>
            <w:r w:rsidRPr="00EA7665">
              <w:rPr>
                <w:rFonts w:ascii="Arial" w:hAnsi="Arial" w:cs="Arial"/>
                <w:sz w:val="16"/>
                <w:szCs w:val="16"/>
              </w:rPr>
              <w:tab/>
              <w:t xml:space="preserve">Understanding of Macroeconomics factors </w:t>
            </w:r>
          </w:p>
          <w:p w14:paraId="164E6AF8" w14:textId="77777777" w:rsidR="00CD6352" w:rsidRPr="00EA7665" w:rsidRDefault="00CD6352" w:rsidP="00CD6352">
            <w:pPr>
              <w:spacing w:line="360" w:lineRule="auto"/>
              <w:jc w:val="both"/>
              <w:rPr>
                <w:rFonts w:ascii="Arial" w:hAnsi="Arial" w:cs="Arial"/>
                <w:sz w:val="16"/>
                <w:szCs w:val="16"/>
              </w:rPr>
            </w:pPr>
            <w:r w:rsidRPr="00EA7665">
              <w:rPr>
                <w:rFonts w:ascii="Arial" w:hAnsi="Arial" w:cs="Arial"/>
                <w:sz w:val="16"/>
                <w:szCs w:val="16"/>
              </w:rPr>
              <w:t>45.</w:t>
            </w:r>
            <w:r w:rsidRPr="00EA7665">
              <w:rPr>
                <w:rFonts w:ascii="Arial" w:hAnsi="Arial" w:cs="Arial"/>
                <w:sz w:val="16"/>
                <w:szCs w:val="16"/>
              </w:rPr>
              <w:tab/>
              <w:t>Understanding of the product</w:t>
            </w:r>
          </w:p>
        </w:tc>
      </w:tr>
    </w:tbl>
    <w:p w14:paraId="3AF6D6D6" w14:textId="2A9CA430" w:rsidR="001D4E3F" w:rsidRDefault="001D4E3F" w:rsidP="001D4E3F">
      <w:pPr>
        <w:spacing w:line="240" w:lineRule="auto"/>
        <w:jc w:val="both"/>
        <w:rPr>
          <w:rFonts w:ascii="Arial" w:hAnsi="Arial" w:cs="Arial"/>
          <w:sz w:val="16"/>
          <w:szCs w:val="16"/>
        </w:rPr>
      </w:pPr>
      <w:r w:rsidRPr="00355D91">
        <w:rPr>
          <w:rFonts w:ascii="Arial" w:hAnsi="Arial" w:cs="Arial"/>
          <w:sz w:val="16"/>
          <w:szCs w:val="16"/>
        </w:rPr>
        <w:lastRenderedPageBreak/>
        <w:t>Source: compilation by the author (2021)</w:t>
      </w:r>
    </w:p>
    <w:p w14:paraId="5653941C" w14:textId="645A1677" w:rsidR="001D4E3F" w:rsidRPr="00355D91" w:rsidRDefault="001D4E3F" w:rsidP="001D4E3F">
      <w:pPr>
        <w:spacing w:line="240" w:lineRule="auto"/>
        <w:jc w:val="both"/>
        <w:rPr>
          <w:rFonts w:ascii="Arial" w:hAnsi="Arial" w:cs="Arial"/>
          <w:sz w:val="16"/>
          <w:szCs w:val="16"/>
        </w:rPr>
      </w:pPr>
      <w:r>
        <w:rPr>
          <w:rFonts w:ascii="Arial" w:hAnsi="Arial" w:cs="Arial"/>
          <w:sz w:val="16"/>
          <w:szCs w:val="16"/>
        </w:rPr>
        <w:t>The detailed development of the inventory of financial knowledge for securing finance for real estate project development is contained in 8.3.7.</w:t>
      </w:r>
    </w:p>
    <w:p w14:paraId="1AD3A519" w14:textId="3634BD71" w:rsidR="00CD6352" w:rsidRDefault="00CD6352" w:rsidP="00CD6352">
      <w:pPr>
        <w:spacing w:before="240" w:line="360" w:lineRule="auto"/>
        <w:jc w:val="both"/>
        <w:rPr>
          <w:rFonts w:ascii="Arial" w:hAnsi="Arial" w:cs="Arial"/>
        </w:rPr>
      </w:pPr>
      <w:r w:rsidRPr="004A639E">
        <w:rPr>
          <w:rFonts w:ascii="Arial" w:hAnsi="Arial" w:cs="Arial"/>
        </w:rPr>
        <w:t>The most cited knowled</w:t>
      </w:r>
      <w:r>
        <w:rPr>
          <w:rFonts w:ascii="Arial" w:hAnsi="Arial" w:cs="Arial"/>
        </w:rPr>
        <w:t>ge</w:t>
      </w:r>
      <w:r w:rsidRPr="004A639E">
        <w:rPr>
          <w:rFonts w:ascii="Arial" w:hAnsi="Arial" w:cs="Arial"/>
        </w:rPr>
        <w:t xml:space="preserve"> the real estate managers use in securing finance for real estate project development based on NVIVO software </w:t>
      </w:r>
      <w:r w:rsidR="001274D0" w:rsidRPr="004A639E">
        <w:rPr>
          <w:rFonts w:ascii="Arial" w:hAnsi="Arial" w:cs="Arial"/>
        </w:rPr>
        <w:t>analysis</w:t>
      </w:r>
      <w:r w:rsidR="001274D0">
        <w:rPr>
          <w:rFonts w:ascii="Arial" w:hAnsi="Arial" w:cs="Arial"/>
        </w:rPr>
        <w:t xml:space="preserve"> </w:t>
      </w:r>
      <w:r w:rsidR="00B07F92">
        <w:rPr>
          <w:rFonts w:ascii="Arial" w:hAnsi="Arial" w:cs="Arial"/>
        </w:rPr>
        <w:t>is</w:t>
      </w:r>
      <w:r w:rsidRPr="004A639E">
        <w:rPr>
          <w:rFonts w:ascii="Arial" w:hAnsi="Arial" w:cs="Arial"/>
        </w:rPr>
        <w:t xml:space="preserve"> finance options, financial knowledge, finance sources, accounting, and economics.  </w:t>
      </w:r>
      <w:r w:rsidRPr="004A639E">
        <w:rPr>
          <w:rFonts w:ascii="Arial" w:hAnsi="Arial" w:cs="Arial"/>
        </w:rPr>
        <w:tab/>
      </w:r>
    </w:p>
    <w:p w14:paraId="7F1AF32C" w14:textId="205463BB" w:rsidR="00815564" w:rsidRDefault="00815564" w:rsidP="00CD6352">
      <w:pPr>
        <w:spacing w:before="240" w:line="360" w:lineRule="auto"/>
        <w:jc w:val="both"/>
        <w:rPr>
          <w:rFonts w:ascii="Arial" w:hAnsi="Arial" w:cs="Arial"/>
        </w:rPr>
      </w:pPr>
    </w:p>
    <w:p w14:paraId="6082C1F1" w14:textId="77777777" w:rsidR="00B07F92" w:rsidRPr="00EA7665" w:rsidRDefault="00B07F92" w:rsidP="00CD6352">
      <w:pPr>
        <w:spacing w:before="240" w:line="360" w:lineRule="auto"/>
        <w:jc w:val="both"/>
        <w:rPr>
          <w:rFonts w:ascii="Arial" w:hAnsi="Arial" w:cs="Arial"/>
        </w:rPr>
      </w:pPr>
    </w:p>
    <w:p w14:paraId="44716FFF" w14:textId="77777777" w:rsidR="00CD6352" w:rsidRPr="00C55BC2" w:rsidRDefault="00CD6352" w:rsidP="008D4A4F">
      <w:pPr>
        <w:pStyle w:val="ListParagraph"/>
        <w:numPr>
          <w:ilvl w:val="0"/>
          <w:numId w:val="247"/>
        </w:numPr>
        <w:rPr>
          <w:rFonts w:ascii="Arial" w:hAnsi="Arial" w:cs="Arial"/>
          <w:b/>
          <w:bCs/>
        </w:rPr>
      </w:pPr>
      <w:r w:rsidRPr="00C55BC2">
        <w:rPr>
          <w:rFonts w:ascii="Arial" w:hAnsi="Arial" w:cs="Arial"/>
          <w:b/>
          <w:bCs/>
        </w:rPr>
        <w:lastRenderedPageBreak/>
        <w:t xml:space="preserve">Toolkit stage 4.3: Inventory of competences for securing finance for real estate project development </w:t>
      </w:r>
    </w:p>
    <w:p w14:paraId="4EE26127" w14:textId="5F2F6A3A" w:rsidR="00CD6352" w:rsidRDefault="00CD6352" w:rsidP="00CD6352">
      <w:pPr>
        <w:spacing w:before="240" w:line="360" w:lineRule="auto"/>
        <w:jc w:val="both"/>
        <w:rPr>
          <w:rFonts w:ascii="Arial" w:hAnsi="Arial" w:cs="Arial"/>
        </w:rPr>
      </w:pPr>
      <w:r w:rsidRPr="00E068E6">
        <w:rPr>
          <w:rFonts w:ascii="Arial" w:hAnsi="Arial" w:cs="Arial"/>
        </w:rPr>
        <w:t>This research developed an inventory of competences for securing finance for real estate project development based on the findings from this study</w:t>
      </w:r>
      <w:r w:rsidR="00936E16">
        <w:rPr>
          <w:rFonts w:ascii="Arial" w:hAnsi="Arial" w:cs="Arial"/>
        </w:rPr>
        <w:t xml:space="preserve"> ( see table 10.2.7)</w:t>
      </w:r>
      <w:r w:rsidRPr="00E068E6">
        <w:rPr>
          <w:rFonts w:ascii="Arial" w:hAnsi="Arial" w:cs="Arial"/>
        </w:rPr>
        <w:t xml:space="preserve">. The inventory of competences is meant to act as a guide to managers and also as a platform for training and </w:t>
      </w:r>
      <w:r w:rsidR="00061AE9" w:rsidRPr="00E068E6">
        <w:rPr>
          <w:rFonts w:ascii="Arial" w:hAnsi="Arial" w:cs="Arial"/>
        </w:rPr>
        <w:t>development.</w:t>
      </w:r>
      <w:r w:rsidRPr="00E068E6">
        <w:rPr>
          <w:rFonts w:ascii="Arial" w:hAnsi="Arial" w:cs="Arial"/>
        </w:rPr>
        <w:t xml:space="preserve"> </w:t>
      </w:r>
    </w:p>
    <w:p w14:paraId="40DB4F9C" w14:textId="7424C888" w:rsidR="001274D0" w:rsidRPr="000A4261" w:rsidRDefault="001274D0" w:rsidP="001274D0">
      <w:pPr>
        <w:pStyle w:val="Caption"/>
        <w:keepNext/>
        <w:rPr>
          <w:rFonts w:ascii="Arial" w:hAnsi="Arial" w:cs="Arial"/>
          <w:sz w:val="16"/>
          <w:szCs w:val="16"/>
        </w:rPr>
      </w:pPr>
      <w:bookmarkStart w:id="1471" w:name="_Toc78984048"/>
      <w:r w:rsidRPr="000A4261">
        <w:rPr>
          <w:rFonts w:ascii="Arial" w:hAnsi="Arial" w:cs="Arial"/>
          <w:sz w:val="16"/>
          <w:szCs w:val="16"/>
        </w:rPr>
        <w:t xml:space="preserve">Table </w:t>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STYLEREF 2 \s </w:instrText>
      </w:r>
      <w:r w:rsidR="00591802" w:rsidRPr="000A4261">
        <w:rPr>
          <w:rFonts w:ascii="Arial" w:hAnsi="Arial" w:cs="Arial"/>
          <w:sz w:val="16"/>
          <w:szCs w:val="16"/>
        </w:rPr>
        <w:fldChar w:fldCharType="separate"/>
      </w:r>
      <w:r w:rsidR="008F25B1" w:rsidRPr="000A4261">
        <w:rPr>
          <w:rFonts w:ascii="Arial" w:hAnsi="Arial" w:cs="Arial"/>
          <w:noProof/>
          <w:sz w:val="16"/>
          <w:szCs w:val="16"/>
        </w:rPr>
        <w:t>10.2</w:t>
      </w:r>
      <w:r w:rsidR="00591802" w:rsidRPr="000A4261">
        <w:rPr>
          <w:rFonts w:ascii="Arial" w:hAnsi="Arial" w:cs="Arial"/>
          <w:noProof/>
          <w:sz w:val="16"/>
          <w:szCs w:val="16"/>
        </w:rPr>
        <w:fldChar w:fldCharType="end"/>
      </w:r>
      <w:r w:rsidR="008F25B1" w:rsidRPr="000A4261">
        <w:rPr>
          <w:rFonts w:ascii="Arial" w:hAnsi="Arial" w:cs="Arial"/>
          <w:sz w:val="16"/>
          <w:szCs w:val="16"/>
        </w:rPr>
        <w:noBreakHyphen/>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SEQ Table \* ARABIC \s 2 </w:instrText>
      </w:r>
      <w:r w:rsidR="00591802" w:rsidRPr="000A4261">
        <w:rPr>
          <w:rFonts w:ascii="Arial" w:hAnsi="Arial" w:cs="Arial"/>
          <w:sz w:val="16"/>
          <w:szCs w:val="16"/>
        </w:rPr>
        <w:fldChar w:fldCharType="separate"/>
      </w:r>
      <w:r w:rsidR="008F25B1" w:rsidRPr="000A4261">
        <w:rPr>
          <w:rFonts w:ascii="Arial" w:hAnsi="Arial" w:cs="Arial"/>
          <w:noProof/>
          <w:sz w:val="16"/>
          <w:szCs w:val="16"/>
        </w:rPr>
        <w:t>7</w:t>
      </w:r>
      <w:r w:rsidR="00591802" w:rsidRPr="000A4261">
        <w:rPr>
          <w:rFonts w:ascii="Arial" w:hAnsi="Arial" w:cs="Arial"/>
          <w:noProof/>
          <w:sz w:val="16"/>
          <w:szCs w:val="16"/>
        </w:rPr>
        <w:fldChar w:fldCharType="end"/>
      </w:r>
      <w:r w:rsidRPr="000A4261">
        <w:rPr>
          <w:rFonts w:ascii="Arial" w:hAnsi="Arial" w:cs="Arial"/>
          <w:sz w:val="16"/>
          <w:szCs w:val="16"/>
        </w:rPr>
        <w:t>: Inventory of management competences for securing finance for real estate project development</w:t>
      </w:r>
      <w:bookmarkEnd w:id="1471"/>
    </w:p>
    <w:tbl>
      <w:tblPr>
        <w:tblStyle w:val="TableGrid"/>
        <w:tblW w:w="0" w:type="auto"/>
        <w:tblLook w:val="04A0" w:firstRow="1" w:lastRow="0" w:firstColumn="1" w:lastColumn="0" w:noHBand="0" w:noVBand="1"/>
      </w:tblPr>
      <w:tblGrid>
        <w:gridCol w:w="2992"/>
        <w:gridCol w:w="3041"/>
        <w:gridCol w:w="2983"/>
      </w:tblGrid>
      <w:tr w:rsidR="00CD6352" w:rsidRPr="00EA7665" w14:paraId="1FFEBB52" w14:textId="77777777" w:rsidTr="001274D0">
        <w:trPr>
          <w:trHeight w:val="6369"/>
        </w:trPr>
        <w:tc>
          <w:tcPr>
            <w:tcW w:w="2992" w:type="dxa"/>
          </w:tcPr>
          <w:p w14:paraId="2884E70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Asset allocation</w:t>
            </w:r>
          </w:p>
          <w:p w14:paraId="0DA0C6B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Business case</w:t>
            </w:r>
          </w:p>
          <w:p w14:paraId="6BF386D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Capability development</w:t>
            </w:r>
          </w:p>
          <w:p w14:paraId="78898AD9"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Commercial management </w:t>
            </w:r>
          </w:p>
          <w:p w14:paraId="4FA09A7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Compliance, standards &amp; regulations</w:t>
            </w:r>
          </w:p>
          <w:p w14:paraId="5F51EBB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Ethics, compliance, and professionalism</w:t>
            </w:r>
          </w:p>
          <w:p w14:paraId="64CDBA2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Financial management </w:t>
            </w:r>
          </w:p>
          <w:p w14:paraId="436C4E9A"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Governance, structure, and processes</w:t>
            </w:r>
          </w:p>
          <w:p w14:paraId="2D10464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Independence assurance</w:t>
            </w:r>
          </w:p>
          <w:p w14:paraId="6464236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Leadership competence</w:t>
            </w:r>
          </w:p>
          <w:p w14:paraId="70AFD11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Managerial competences</w:t>
            </w:r>
          </w:p>
          <w:p w14:paraId="23F4ED3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Negotiation </w:t>
            </w:r>
          </w:p>
          <w:p w14:paraId="063D480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Planning &amp; control</w:t>
            </w:r>
          </w:p>
          <w:p w14:paraId="7801D1D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Political competence( self-confidence, social astuteness &amp; ability to influence others</w:t>
            </w:r>
          </w:p>
          <w:p w14:paraId="78DD25D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Politics &amp; use of power</w:t>
            </w:r>
          </w:p>
          <w:p w14:paraId="57025EA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Resourcefulness</w:t>
            </w:r>
          </w:p>
          <w:p w14:paraId="10F5547B"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Result oriented</w:t>
            </w:r>
          </w:p>
          <w:p w14:paraId="2EB6AE2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Risk &amp; opportunity</w:t>
            </w:r>
          </w:p>
          <w:p w14:paraId="3144D6BB"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Technical competence</w:t>
            </w:r>
          </w:p>
          <w:p w14:paraId="38EE8A5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Ability to communicate effectively with financiers </w:t>
            </w:r>
          </w:p>
          <w:p w14:paraId="323F0819"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consummate transactions</w:t>
            </w:r>
          </w:p>
          <w:p w14:paraId="372679A7"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Ability to deliver in good time</w:t>
            </w:r>
          </w:p>
          <w:p w14:paraId="5A15DBF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do a rigorous analysis of the market</w:t>
            </w:r>
          </w:p>
          <w:p w14:paraId="13A3E2C8" w14:textId="40E15BA3" w:rsidR="00CD6352" w:rsidRPr="00EA7665" w:rsidRDefault="00CD6352" w:rsidP="00C74AEC">
            <w:pPr>
              <w:pStyle w:val="ListParagraph"/>
              <w:numPr>
                <w:ilvl w:val="0"/>
                <w:numId w:val="190"/>
              </w:numPr>
              <w:spacing w:after="200" w:line="240" w:lineRule="auto"/>
              <w:jc w:val="both"/>
              <w:rPr>
                <w:rFonts w:ascii="Arial" w:hAnsi="Arial" w:cs="Arial"/>
              </w:rPr>
            </w:pPr>
            <w:r w:rsidRPr="005733BE">
              <w:rPr>
                <w:rFonts w:ascii="Arial" w:hAnsi="Arial" w:cs="Arial"/>
                <w:sz w:val="16"/>
                <w:szCs w:val="16"/>
              </w:rPr>
              <w:t xml:space="preserve"> Ability to explain in a concise way that is believable how things are going to be</w:t>
            </w:r>
          </w:p>
        </w:tc>
        <w:tc>
          <w:tcPr>
            <w:tcW w:w="3041" w:type="dxa"/>
          </w:tcPr>
          <w:p w14:paraId="113FBC8B"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make development computation</w:t>
            </w:r>
          </w:p>
          <w:p w14:paraId="5530E89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manage lenders</w:t>
            </w:r>
          </w:p>
          <w:p w14:paraId="50574590"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 Ability to negotiate documentation with partners</w:t>
            </w:r>
          </w:p>
          <w:p w14:paraId="3F14904F"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Ability to supervise and manage the project from start to finish</w:t>
            </w:r>
          </w:p>
          <w:p w14:paraId="12F10F3A"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An understanding of the geographical location and specific product type</w:t>
            </w:r>
          </w:p>
          <w:p w14:paraId="44E1E67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An understanding of the relevant laws </w:t>
            </w:r>
          </w:p>
          <w:p w14:paraId="2952EDCC"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 xml:space="preserve">Being attentive </w:t>
            </w:r>
          </w:p>
          <w:p w14:paraId="6D797609" w14:textId="365D0798" w:rsidR="00CD6352" w:rsidRPr="00EA7665" w:rsidRDefault="001D4E3F" w:rsidP="00C74AEC">
            <w:pPr>
              <w:pStyle w:val="ListParagraph"/>
              <w:numPr>
                <w:ilvl w:val="0"/>
                <w:numId w:val="190"/>
              </w:numPr>
              <w:spacing w:after="0" w:line="240" w:lineRule="auto"/>
              <w:rPr>
                <w:rFonts w:ascii="Arial" w:hAnsi="Arial" w:cs="Arial"/>
                <w:sz w:val="16"/>
                <w:szCs w:val="16"/>
              </w:rPr>
            </w:pPr>
            <w:r>
              <w:rPr>
                <w:rFonts w:ascii="Arial" w:hAnsi="Arial" w:cs="Arial"/>
                <w:sz w:val="16"/>
                <w:szCs w:val="16"/>
              </w:rPr>
              <w:t>The b</w:t>
            </w:r>
            <w:r w:rsidR="00CD6352" w:rsidRPr="00EA7665">
              <w:rPr>
                <w:rFonts w:ascii="Arial" w:hAnsi="Arial" w:cs="Arial"/>
                <w:sz w:val="16"/>
                <w:szCs w:val="16"/>
              </w:rPr>
              <w:t xml:space="preserve">uilding of properties/ real estate development </w:t>
            </w:r>
          </w:p>
          <w:p w14:paraId="67B229AF"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 xml:space="preserve">Competence in obtaining finance and committing to a senior loan contract </w:t>
            </w:r>
          </w:p>
          <w:p w14:paraId="38F60680" w14:textId="77777777"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Competence in understanding how finance works</w:t>
            </w:r>
          </w:p>
          <w:p w14:paraId="516433DE" w14:textId="29F92CE2" w:rsidR="00CD6352" w:rsidRPr="00EA7665" w:rsidRDefault="00CD6352" w:rsidP="00C74AEC">
            <w:pPr>
              <w:pStyle w:val="ListParagraph"/>
              <w:numPr>
                <w:ilvl w:val="0"/>
                <w:numId w:val="190"/>
              </w:numPr>
              <w:spacing w:after="200" w:line="240" w:lineRule="auto"/>
              <w:rPr>
                <w:rFonts w:ascii="Arial" w:hAnsi="Arial" w:cs="Arial"/>
                <w:sz w:val="16"/>
                <w:szCs w:val="16"/>
              </w:rPr>
            </w:pPr>
            <w:r w:rsidRPr="00EA7665">
              <w:rPr>
                <w:rFonts w:ascii="Arial" w:hAnsi="Arial" w:cs="Arial"/>
                <w:sz w:val="16"/>
                <w:szCs w:val="16"/>
              </w:rPr>
              <w:t xml:space="preserve">Competent in </w:t>
            </w:r>
            <w:r w:rsidR="001D4E3F">
              <w:rPr>
                <w:rFonts w:ascii="Arial" w:hAnsi="Arial" w:cs="Arial"/>
                <w:sz w:val="16"/>
                <w:szCs w:val="16"/>
              </w:rPr>
              <w:t xml:space="preserve">an </w:t>
            </w:r>
            <w:r w:rsidRPr="00EA7665">
              <w:rPr>
                <w:rFonts w:ascii="Arial" w:hAnsi="Arial" w:cs="Arial"/>
                <w:sz w:val="16"/>
                <w:szCs w:val="16"/>
              </w:rPr>
              <w:t>understanding of real estate entrance, operation, and exit; staffing &amp; management</w:t>
            </w:r>
          </w:p>
          <w:p w14:paraId="0C269D8C"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Due diligence</w:t>
            </w:r>
          </w:p>
          <w:p w14:paraId="4076CBCA"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Established track record of successful acquisitions/dispositions</w:t>
            </w:r>
          </w:p>
          <w:p w14:paraId="2874EC9C" w14:textId="77777777" w:rsidR="00CD6352" w:rsidRPr="00EA7665" w:rsidRDefault="00CD6352" w:rsidP="00C74AEC">
            <w:pPr>
              <w:pStyle w:val="ListParagraph"/>
              <w:numPr>
                <w:ilvl w:val="0"/>
                <w:numId w:val="190"/>
              </w:numPr>
              <w:spacing w:after="0" w:line="240" w:lineRule="auto"/>
              <w:jc w:val="both"/>
              <w:rPr>
                <w:rFonts w:ascii="Arial" w:hAnsi="Arial" w:cs="Arial"/>
              </w:rPr>
            </w:pPr>
            <w:r w:rsidRPr="00EA7665">
              <w:rPr>
                <w:rFonts w:ascii="Arial" w:hAnsi="Arial" w:cs="Arial"/>
                <w:sz w:val="16"/>
                <w:szCs w:val="16"/>
              </w:rPr>
              <w:t>Expert in land and building</w:t>
            </w:r>
          </w:p>
          <w:p w14:paraId="28A5E98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Finance </w:t>
            </w:r>
          </w:p>
          <w:p w14:paraId="7FFD87A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Financial analysis </w:t>
            </w:r>
          </w:p>
          <w:p w14:paraId="3C4941A5"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Financial competence</w:t>
            </w:r>
          </w:p>
          <w:p w14:paraId="6168311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Financial models and  comparing scenarios</w:t>
            </w:r>
          </w:p>
          <w:p w14:paraId="752FB9CF" w14:textId="77777777" w:rsidR="00CD6352" w:rsidRPr="00EA7665" w:rsidRDefault="00CD6352" w:rsidP="00CD6352">
            <w:pPr>
              <w:pStyle w:val="ListParagraph"/>
              <w:rPr>
                <w:rFonts w:ascii="Arial" w:hAnsi="Arial" w:cs="Arial"/>
                <w:sz w:val="16"/>
                <w:szCs w:val="16"/>
              </w:rPr>
            </w:pPr>
          </w:p>
          <w:p w14:paraId="42F82978" w14:textId="77777777" w:rsidR="00CD6352" w:rsidRPr="00EA7665" w:rsidRDefault="00CD6352" w:rsidP="00CD6352">
            <w:pPr>
              <w:pStyle w:val="ListParagraph"/>
              <w:jc w:val="both"/>
              <w:rPr>
                <w:rFonts w:ascii="Arial" w:hAnsi="Arial" w:cs="Arial"/>
              </w:rPr>
            </w:pPr>
          </w:p>
        </w:tc>
        <w:tc>
          <w:tcPr>
            <w:tcW w:w="2983" w:type="dxa"/>
          </w:tcPr>
          <w:p w14:paraId="455BB06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Grounded business relationship</w:t>
            </w:r>
          </w:p>
          <w:p w14:paraId="698AD753"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Knowledge of the market</w:t>
            </w:r>
          </w:p>
          <w:p w14:paraId="0E7373AE"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Legal analysis</w:t>
            </w:r>
          </w:p>
          <w:p w14:paraId="7E299C98"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Networking</w:t>
            </w:r>
          </w:p>
          <w:p w14:paraId="1D6970E0"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 xml:space="preserve">Never defaulting on a loan </w:t>
            </w:r>
          </w:p>
          <w:p w14:paraId="711C0C60"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Paying regular interest and sometimes amortisation</w:t>
            </w:r>
          </w:p>
          <w:p w14:paraId="5C13B842"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Personal presentation skills and sales competences</w:t>
            </w:r>
          </w:p>
          <w:p w14:paraId="7B909FB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Project execution</w:t>
            </w:r>
          </w:p>
          <w:p w14:paraId="764BB386"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Project implementation</w:t>
            </w:r>
          </w:p>
          <w:p w14:paraId="513314B0"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Project management</w:t>
            </w:r>
          </w:p>
          <w:p w14:paraId="2FAD8B44"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Property development</w:t>
            </w:r>
          </w:p>
          <w:p w14:paraId="2FC475B0"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Relationship development and maintenance with investors and financiers</w:t>
            </w:r>
          </w:p>
          <w:p w14:paraId="1EE3AD71"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Reliability</w:t>
            </w:r>
          </w:p>
          <w:p w14:paraId="1F818CFD" w14:textId="77777777" w:rsidR="00CD6352" w:rsidRPr="00EA7665" w:rsidRDefault="00CD6352" w:rsidP="00C74AEC">
            <w:pPr>
              <w:pStyle w:val="ListParagraph"/>
              <w:numPr>
                <w:ilvl w:val="0"/>
                <w:numId w:val="190"/>
              </w:numPr>
              <w:spacing w:after="0" w:line="240" w:lineRule="auto"/>
              <w:rPr>
                <w:rFonts w:ascii="Arial" w:hAnsi="Arial" w:cs="Arial"/>
                <w:sz w:val="16"/>
                <w:szCs w:val="16"/>
              </w:rPr>
            </w:pPr>
            <w:r w:rsidRPr="00EA7665">
              <w:rPr>
                <w:rFonts w:ascii="Arial" w:hAnsi="Arial" w:cs="Arial"/>
                <w:sz w:val="16"/>
                <w:szCs w:val="16"/>
              </w:rPr>
              <w:t>Retail development, management</w:t>
            </w:r>
          </w:p>
          <w:p w14:paraId="480A7D95"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Sales</w:t>
            </w:r>
          </w:p>
          <w:p w14:paraId="55809565"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 xml:space="preserve">Strong finance background </w:t>
            </w:r>
          </w:p>
          <w:p w14:paraId="40F01C7B"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Track record</w:t>
            </w:r>
          </w:p>
          <w:p w14:paraId="56817DE3"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Track record in executing projects</w:t>
            </w:r>
          </w:p>
          <w:p w14:paraId="40C75A30"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 xml:space="preserve">Track record in mass housing development, </w:t>
            </w:r>
          </w:p>
          <w:p w14:paraId="3ADBAC6B"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Track record in the commercial property arena</w:t>
            </w:r>
          </w:p>
          <w:p w14:paraId="18725B91"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 xml:space="preserve">Understanding of analytics </w:t>
            </w:r>
          </w:p>
          <w:p w14:paraId="762F8338"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Understanding of construction</w:t>
            </w:r>
          </w:p>
          <w:p w14:paraId="17C9E85E"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Understanding of Joint Venture proposals</w:t>
            </w:r>
          </w:p>
          <w:p w14:paraId="37E41CB7" w14:textId="77777777" w:rsidR="00CD6352" w:rsidRPr="00EA7665" w:rsidRDefault="00CD6352" w:rsidP="00C74AEC">
            <w:pPr>
              <w:pStyle w:val="ListParagraph"/>
              <w:numPr>
                <w:ilvl w:val="0"/>
                <w:numId w:val="190"/>
              </w:numPr>
              <w:spacing w:after="0" w:line="240" w:lineRule="auto"/>
              <w:jc w:val="both"/>
              <w:rPr>
                <w:rFonts w:ascii="Arial" w:hAnsi="Arial" w:cs="Arial"/>
                <w:sz w:val="16"/>
                <w:szCs w:val="16"/>
              </w:rPr>
            </w:pPr>
            <w:r w:rsidRPr="00EA7665">
              <w:rPr>
                <w:rFonts w:ascii="Arial" w:hAnsi="Arial" w:cs="Arial"/>
                <w:sz w:val="16"/>
                <w:szCs w:val="16"/>
              </w:rPr>
              <w:t>Understanding of market needs and financing deals</w:t>
            </w:r>
          </w:p>
          <w:p w14:paraId="452E65A8" w14:textId="77777777" w:rsidR="00CD6352" w:rsidRPr="00EA7665" w:rsidRDefault="00CD6352" w:rsidP="00C74AEC">
            <w:pPr>
              <w:pStyle w:val="ListParagraph"/>
              <w:numPr>
                <w:ilvl w:val="0"/>
                <w:numId w:val="190"/>
              </w:numPr>
              <w:spacing w:after="0" w:line="240" w:lineRule="auto"/>
              <w:jc w:val="both"/>
              <w:rPr>
                <w:rFonts w:ascii="Arial" w:hAnsi="Arial" w:cs="Arial"/>
              </w:rPr>
            </w:pPr>
            <w:r w:rsidRPr="00EA7665">
              <w:rPr>
                <w:rFonts w:ascii="Arial" w:hAnsi="Arial" w:cs="Arial"/>
                <w:sz w:val="16"/>
                <w:szCs w:val="16"/>
              </w:rPr>
              <w:t>Understanding of the market</w:t>
            </w:r>
          </w:p>
        </w:tc>
      </w:tr>
    </w:tbl>
    <w:p w14:paraId="50545E4D" w14:textId="4FB2902E" w:rsidR="001D4E3F" w:rsidRDefault="001D4E3F" w:rsidP="001D4E3F">
      <w:pPr>
        <w:spacing w:line="240" w:lineRule="auto"/>
        <w:jc w:val="both"/>
        <w:rPr>
          <w:rFonts w:ascii="Arial" w:hAnsi="Arial" w:cs="Arial"/>
          <w:sz w:val="16"/>
          <w:szCs w:val="16"/>
        </w:rPr>
      </w:pPr>
      <w:bookmarkStart w:id="1472" w:name="_Hlk65277939"/>
      <w:r w:rsidRPr="00355D91">
        <w:rPr>
          <w:rFonts w:ascii="Arial" w:hAnsi="Arial" w:cs="Arial"/>
          <w:sz w:val="16"/>
          <w:szCs w:val="16"/>
        </w:rPr>
        <w:t>Source: compilation by the author (2021)</w:t>
      </w:r>
    </w:p>
    <w:bookmarkEnd w:id="1472"/>
    <w:p w14:paraId="1052173F" w14:textId="08E94BF8" w:rsidR="001D4E3F" w:rsidRPr="00355D91" w:rsidRDefault="001D4E3F" w:rsidP="001D4E3F">
      <w:pPr>
        <w:spacing w:line="240" w:lineRule="auto"/>
        <w:jc w:val="both"/>
        <w:rPr>
          <w:rFonts w:ascii="Arial" w:hAnsi="Arial" w:cs="Arial"/>
          <w:sz w:val="16"/>
          <w:szCs w:val="16"/>
        </w:rPr>
      </w:pPr>
      <w:r>
        <w:rPr>
          <w:rFonts w:ascii="Arial" w:hAnsi="Arial" w:cs="Arial"/>
          <w:sz w:val="16"/>
          <w:szCs w:val="16"/>
        </w:rPr>
        <w:t>The detailed development of inventory of competences for securing finance for real estate project development is contained in chapter 8.4.7.</w:t>
      </w:r>
    </w:p>
    <w:p w14:paraId="160E6264" w14:textId="77777777" w:rsidR="001D4E3F" w:rsidRDefault="001D4E3F" w:rsidP="00CD6352">
      <w:pPr>
        <w:spacing w:line="360" w:lineRule="auto"/>
        <w:jc w:val="both"/>
        <w:rPr>
          <w:rFonts w:ascii="Arial" w:hAnsi="Arial" w:cs="Arial"/>
        </w:rPr>
      </w:pPr>
    </w:p>
    <w:p w14:paraId="5D9A94EF" w14:textId="573BABB3" w:rsidR="00CD6352" w:rsidRPr="00EA7665" w:rsidRDefault="00CD6352" w:rsidP="00CD6352">
      <w:pPr>
        <w:spacing w:line="360" w:lineRule="auto"/>
        <w:jc w:val="both"/>
        <w:rPr>
          <w:rFonts w:ascii="Arial" w:hAnsi="Arial" w:cs="Arial"/>
        </w:rPr>
      </w:pPr>
      <w:r w:rsidRPr="00EA7665">
        <w:rPr>
          <w:rFonts w:ascii="Arial" w:hAnsi="Arial" w:cs="Arial"/>
        </w:rPr>
        <w:t>The most cited competences based on NVIVO software analysis are management competence management, business development, understanding of construction and ability to deliver projects</w:t>
      </w:r>
      <w:r>
        <w:rPr>
          <w:rFonts w:ascii="Arial" w:hAnsi="Arial" w:cs="Arial"/>
        </w:rPr>
        <w:t>.</w:t>
      </w:r>
    </w:p>
    <w:p w14:paraId="0E507449" w14:textId="77777777" w:rsidR="00CD6352" w:rsidRPr="005733BE" w:rsidRDefault="00CD6352" w:rsidP="00CD6352">
      <w:pPr>
        <w:rPr>
          <w:rFonts w:ascii="Arial" w:hAnsi="Arial" w:cs="Arial"/>
          <w:b/>
          <w:bCs/>
        </w:rPr>
      </w:pPr>
      <w:r>
        <w:rPr>
          <w:rFonts w:ascii="Arial" w:hAnsi="Arial" w:cs="Arial"/>
          <w:b/>
          <w:bCs/>
        </w:rPr>
        <w:t>Further c</w:t>
      </w:r>
      <w:r w:rsidRPr="005733BE">
        <w:rPr>
          <w:rFonts w:ascii="Arial" w:hAnsi="Arial" w:cs="Arial"/>
          <w:b/>
          <w:bCs/>
        </w:rPr>
        <w:t>omments</w:t>
      </w:r>
    </w:p>
    <w:p w14:paraId="3F89D7BB" w14:textId="77777777" w:rsidR="00CD6352" w:rsidRPr="00DE3B9E" w:rsidRDefault="00CD6352" w:rsidP="00CD6352">
      <w:pPr>
        <w:spacing w:after="240" w:line="360" w:lineRule="auto"/>
        <w:jc w:val="both"/>
        <w:rPr>
          <w:rFonts w:ascii="Arial" w:hAnsi="Arial" w:cs="Arial"/>
        </w:rPr>
      </w:pPr>
      <w:r w:rsidRPr="00DE3B9E">
        <w:rPr>
          <w:rFonts w:ascii="Arial" w:hAnsi="Arial" w:cs="Arial"/>
        </w:rPr>
        <w:t xml:space="preserve">The interplay of various skills, knowledge, and competences is significant to the manager’s ability to secure finance for real estate project development. A single manager might not have </w:t>
      </w:r>
      <w:r w:rsidRPr="00DE3B9E">
        <w:rPr>
          <w:rFonts w:ascii="Arial" w:hAnsi="Arial" w:cs="Arial"/>
        </w:rPr>
        <w:lastRenderedPageBreak/>
        <w:t xml:space="preserve">all the skills, knowledge and competences. However, it is recommended that managers build up teams with the required skills, knowledge and competences to effectively secure funding from different sources for real estate project development (Ogbenjuwa et al., 2018). </w:t>
      </w:r>
    </w:p>
    <w:p w14:paraId="2625F827" w14:textId="5A8133F2" w:rsidR="00CD6352" w:rsidRPr="00DE3B9E" w:rsidRDefault="00CD6352" w:rsidP="00CD6352">
      <w:pPr>
        <w:spacing w:after="240" w:line="360" w:lineRule="auto"/>
        <w:jc w:val="both"/>
        <w:rPr>
          <w:rFonts w:ascii="Arial" w:hAnsi="Arial" w:cs="Arial"/>
        </w:rPr>
      </w:pPr>
      <w:r w:rsidRPr="00DE3B9E">
        <w:rPr>
          <w:rFonts w:ascii="Arial" w:hAnsi="Arial" w:cs="Arial"/>
        </w:rPr>
        <w:t>The</w:t>
      </w:r>
      <w:r w:rsidR="00F10329">
        <w:rPr>
          <w:rFonts w:ascii="Arial" w:hAnsi="Arial" w:cs="Arial"/>
        </w:rPr>
        <w:t>refore, the next section provides a conceptual framework on the career path, training,</w:t>
      </w:r>
      <w:r w:rsidRPr="00DE3B9E">
        <w:rPr>
          <w:rFonts w:ascii="Arial" w:hAnsi="Arial" w:cs="Arial"/>
        </w:rPr>
        <w:t xml:space="preserve"> and education for managers involved with securing finance for real estate project development. It is a guide for delivering training and education needs and career pathways for professional development through higher education and continuing professional education (CPD). </w:t>
      </w:r>
    </w:p>
    <w:p w14:paraId="37E4262A" w14:textId="77777777" w:rsidR="00CD6352" w:rsidRPr="00090BDC" w:rsidRDefault="00CD6352" w:rsidP="00CD6352">
      <w:pPr>
        <w:rPr>
          <w:rStyle w:val="IntenseEmphasis"/>
          <w:rFonts w:ascii="Arial" w:hAnsi="Arial" w:cs="Arial"/>
          <w:b/>
          <w:bCs/>
          <w:color w:val="auto"/>
        </w:rPr>
      </w:pPr>
      <w:bookmarkStart w:id="1473" w:name="_Hlk43125700"/>
      <w:r w:rsidRPr="00090BDC">
        <w:rPr>
          <w:rStyle w:val="IntenseEmphasis"/>
          <w:rFonts w:ascii="Arial" w:hAnsi="Arial" w:cs="Arial"/>
          <w:b/>
          <w:bCs/>
          <w:color w:val="auto"/>
        </w:rPr>
        <w:t xml:space="preserve">Toolkit stage 5: </w:t>
      </w:r>
      <w:r>
        <w:rPr>
          <w:rStyle w:val="IntenseEmphasis"/>
          <w:rFonts w:ascii="Arial" w:hAnsi="Arial" w:cs="Arial"/>
          <w:b/>
          <w:bCs/>
          <w:color w:val="auto"/>
        </w:rPr>
        <w:t xml:space="preserve">Conceptual framework for </w:t>
      </w:r>
      <w:r w:rsidRPr="00090BDC">
        <w:rPr>
          <w:rStyle w:val="IntenseEmphasis"/>
          <w:rFonts w:ascii="Arial" w:hAnsi="Arial" w:cs="Arial"/>
          <w:b/>
          <w:bCs/>
          <w:color w:val="auto"/>
        </w:rPr>
        <w:t xml:space="preserve">career </w:t>
      </w:r>
      <w:r>
        <w:rPr>
          <w:rStyle w:val="IntenseEmphasis"/>
          <w:rFonts w:ascii="Arial" w:hAnsi="Arial" w:cs="Arial"/>
          <w:b/>
          <w:bCs/>
          <w:color w:val="auto"/>
        </w:rPr>
        <w:t xml:space="preserve">path for securing </w:t>
      </w:r>
      <w:r w:rsidRPr="00090BDC">
        <w:rPr>
          <w:rStyle w:val="IntenseEmphasis"/>
          <w:rFonts w:ascii="Arial" w:hAnsi="Arial" w:cs="Arial"/>
          <w:b/>
          <w:bCs/>
          <w:color w:val="auto"/>
        </w:rPr>
        <w:t xml:space="preserve">finance for real estate project development </w:t>
      </w:r>
    </w:p>
    <w:bookmarkEnd w:id="1473"/>
    <w:p w14:paraId="4698DA5F" w14:textId="0FA3D9E2" w:rsidR="00CD6352" w:rsidRDefault="00CD6352" w:rsidP="00CD6352">
      <w:pPr>
        <w:spacing w:line="360" w:lineRule="auto"/>
        <w:rPr>
          <w:rFonts w:ascii="Arial" w:hAnsi="Arial" w:cs="Arial"/>
        </w:rPr>
      </w:pPr>
      <w:r>
        <w:rPr>
          <w:rFonts w:ascii="Arial" w:hAnsi="Arial" w:cs="Arial"/>
        </w:rPr>
        <w:t xml:space="preserve">The framework for </w:t>
      </w:r>
      <w:r w:rsidR="00386C73">
        <w:rPr>
          <w:rFonts w:ascii="Arial" w:hAnsi="Arial" w:cs="Arial"/>
        </w:rPr>
        <w:t xml:space="preserve">the </w:t>
      </w:r>
      <w:r>
        <w:rPr>
          <w:rFonts w:ascii="Arial" w:hAnsi="Arial" w:cs="Arial"/>
        </w:rPr>
        <w:t xml:space="preserve">career path for securing finance for real estate project development is made up of five parts. These five parts </w:t>
      </w:r>
      <w:r w:rsidR="00F10329">
        <w:rPr>
          <w:rFonts w:ascii="Arial" w:hAnsi="Arial" w:cs="Arial"/>
        </w:rPr>
        <w:t>reflect the data collected and</w:t>
      </w:r>
      <w:r>
        <w:rPr>
          <w:rFonts w:ascii="Arial" w:hAnsi="Arial" w:cs="Arial"/>
        </w:rPr>
        <w:t xml:space="preserve"> the three theories used as </w:t>
      </w:r>
      <w:r w:rsidR="00603C08">
        <w:rPr>
          <w:rFonts w:ascii="Arial" w:hAnsi="Arial" w:cs="Arial"/>
        </w:rPr>
        <w:t xml:space="preserve">the </w:t>
      </w:r>
      <w:r>
        <w:rPr>
          <w:rFonts w:ascii="Arial" w:hAnsi="Arial" w:cs="Arial"/>
        </w:rPr>
        <w:t>basis for the creation of the framework. The five parts are career history, education, module guide for undergraduates and postgraduate studies, organisational mobility and international content</w:t>
      </w:r>
      <w:r w:rsidR="00F10329">
        <w:rPr>
          <w:rFonts w:ascii="Arial" w:hAnsi="Arial" w:cs="Arial"/>
        </w:rPr>
        <w:t xml:space="preserve"> ( see table 10.2.8)</w:t>
      </w:r>
      <w:r>
        <w:rPr>
          <w:rFonts w:ascii="Arial" w:hAnsi="Arial" w:cs="Arial"/>
        </w:rPr>
        <w:t xml:space="preserve">. </w:t>
      </w:r>
    </w:p>
    <w:p w14:paraId="70FE426E" w14:textId="089FDA88" w:rsidR="00CD6352" w:rsidRPr="00EA7665" w:rsidRDefault="00CD6352" w:rsidP="00CD6352">
      <w:pPr>
        <w:rPr>
          <w:rFonts w:ascii="Arial" w:hAnsi="Arial" w:cs="Arial"/>
        </w:rPr>
      </w:pPr>
      <w:r>
        <w:rPr>
          <w:rFonts w:ascii="Arial" w:hAnsi="Arial" w:cs="Arial"/>
        </w:rPr>
        <w:t>T</w:t>
      </w:r>
      <w:r w:rsidRPr="00EA7665">
        <w:rPr>
          <w:rFonts w:ascii="Arial" w:hAnsi="Arial" w:cs="Arial"/>
        </w:rPr>
        <w:t xml:space="preserve">he theoretical </w:t>
      </w:r>
      <w:r>
        <w:rPr>
          <w:rFonts w:ascii="Arial" w:hAnsi="Arial" w:cs="Arial"/>
        </w:rPr>
        <w:t>frameworks</w:t>
      </w:r>
      <w:r w:rsidRPr="00EA7665">
        <w:rPr>
          <w:rFonts w:ascii="Arial" w:hAnsi="Arial" w:cs="Arial"/>
        </w:rPr>
        <w:t xml:space="preserve"> </w:t>
      </w:r>
      <w:r w:rsidR="00061AE9" w:rsidRPr="00EA7665">
        <w:rPr>
          <w:rFonts w:ascii="Arial" w:hAnsi="Arial" w:cs="Arial"/>
        </w:rPr>
        <w:t>that supported</w:t>
      </w:r>
      <w:r w:rsidRPr="00EA7665">
        <w:rPr>
          <w:rFonts w:ascii="Arial" w:hAnsi="Arial" w:cs="Arial"/>
        </w:rPr>
        <w:t xml:space="preserve"> the development of the framework for career path for securing finance for real estate project development are:</w:t>
      </w:r>
    </w:p>
    <w:p w14:paraId="65476095" w14:textId="77777777" w:rsidR="00CD6352" w:rsidRPr="00EA7665" w:rsidRDefault="00CD6352" w:rsidP="00C74AEC">
      <w:pPr>
        <w:pStyle w:val="ListParagraph"/>
        <w:numPr>
          <w:ilvl w:val="0"/>
          <w:numId w:val="217"/>
        </w:numPr>
        <w:rPr>
          <w:rFonts w:ascii="Arial" w:hAnsi="Arial" w:cs="Arial"/>
        </w:rPr>
      </w:pPr>
      <w:r w:rsidRPr="00EA7665">
        <w:rPr>
          <w:rFonts w:ascii="Arial" w:hAnsi="Arial" w:cs="Arial"/>
        </w:rPr>
        <w:t>Human capital school of thoughts</w:t>
      </w:r>
    </w:p>
    <w:p w14:paraId="7E51203F" w14:textId="77777777" w:rsidR="00CD6352" w:rsidRPr="00EA7665" w:rsidRDefault="00CD6352" w:rsidP="00C74AEC">
      <w:pPr>
        <w:pStyle w:val="ListParagraph"/>
        <w:numPr>
          <w:ilvl w:val="0"/>
          <w:numId w:val="217"/>
        </w:numPr>
        <w:rPr>
          <w:rFonts w:ascii="Arial" w:hAnsi="Arial" w:cs="Arial"/>
        </w:rPr>
      </w:pPr>
      <w:r w:rsidRPr="00EA7665">
        <w:rPr>
          <w:rFonts w:ascii="Arial" w:hAnsi="Arial" w:cs="Arial"/>
        </w:rPr>
        <w:t>Job matching theory</w:t>
      </w:r>
    </w:p>
    <w:p w14:paraId="094F1537" w14:textId="77777777" w:rsidR="00CD6352" w:rsidRPr="00EA7665" w:rsidRDefault="00CD6352" w:rsidP="00C74AEC">
      <w:pPr>
        <w:pStyle w:val="ListParagraph"/>
        <w:numPr>
          <w:ilvl w:val="0"/>
          <w:numId w:val="217"/>
        </w:numPr>
        <w:rPr>
          <w:rFonts w:ascii="Arial" w:hAnsi="Arial" w:cs="Arial"/>
        </w:rPr>
      </w:pPr>
      <w:r w:rsidRPr="00EA7665">
        <w:rPr>
          <w:rFonts w:ascii="Arial" w:hAnsi="Arial" w:cs="Arial"/>
        </w:rPr>
        <w:t>Theory boundaryless career</w:t>
      </w:r>
    </w:p>
    <w:p w14:paraId="68D672A8" w14:textId="04454B4F" w:rsidR="00CD6352" w:rsidRDefault="00CD6352" w:rsidP="00CD6352">
      <w:pPr>
        <w:rPr>
          <w:rFonts w:ascii="Arial" w:hAnsi="Arial" w:cs="Arial"/>
        </w:rPr>
      </w:pPr>
    </w:p>
    <w:p w14:paraId="7166BA09" w14:textId="0CFBEF26" w:rsidR="00594A06" w:rsidRDefault="00594A06" w:rsidP="00CD6352">
      <w:pPr>
        <w:rPr>
          <w:rFonts w:ascii="Arial" w:hAnsi="Arial" w:cs="Arial"/>
        </w:rPr>
      </w:pPr>
    </w:p>
    <w:p w14:paraId="38122C4B" w14:textId="2C3A0886" w:rsidR="00594A06" w:rsidRDefault="00594A06" w:rsidP="00CD6352">
      <w:pPr>
        <w:rPr>
          <w:rFonts w:ascii="Arial" w:hAnsi="Arial" w:cs="Arial"/>
        </w:rPr>
      </w:pPr>
    </w:p>
    <w:p w14:paraId="4965B6E6" w14:textId="5E267490" w:rsidR="00594A06" w:rsidRDefault="00594A06" w:rsidP="00CD6352">
      <w:pPr>
        <w:rPr>
          <w:rFonts w:ascii="Arial" w:hAnsi="Arial" w:cs="Arial"/>
        </w:rPr>
      </w:pPr>
    </w:p>
    <w:p w14:paraId="04529E72" w14:textId="70951EA1" w:rsidR="00594A06" w:rsidRDefault="00594A06" w:rsidP="00CD6352">
      <w:pPr>
        <w:rPr>
          <w:rFonts w:ascii="Arial" w:hAnsi="Arial" w:cs="Arial"/>
        </w:rPr>
      </w:pPr>
    </w:p>
    <w:p w14:paraId="23C4EE91" w14:textId="5500EFB1" w:rsidR="00594A06" w:rsidRDefault="00594A06" w:rsidP="00CD6352">
      <w:pPr>
        <w:rPr>
          <w:rFonts w:ascii="Arial" w:hAnsi="Arial" w:cs="Arial"/>
        </w:rPr>
      </w:pPr>
    </w:p>
    <w:p w14:paraId="1FF829ED" w14:textId="0E6D2DA9" w:rsidR="00594A06" w:rsidRDefault="00594A06" w:rsidP="00CD6352">
      <w:pPr>
        <w:rPr>
          <w:rFonts w:ascii="Arial" w:hAnsi="Arial" w:cs="Arial"/>
        </w:rPr>
      </w:pPr>
    </w:p>
    <w:p w14:paraId="0D7D6797" w14:textId="1EFBD25E" w:rsidR="00594A06" w:rsidRDefault="00594A06" w:rsidP="00CD6352">
      <w:pPr>
        <w:rPr>
          <w:rFonts w:ascii="Arial" w:hAnsi="Arial" w:cs="Arial"/>
        </w:rPr>
      </w:pPr>
    </w:p>
    <w:p w14:paraId="3DC210B4" w14:textId="590797D7" w:rsidR="00594A06" w:rsidRDefault="00594A06" w:rsidP="00CD6352">
      <w:pPr>
        <w:rPr>
          <w:rFonts w:ascii="Arial" w:hAnsi="Arial" w:cs="Arial"/>
        </w:rPr>
      </w:pPr>
    </w:p>
    <w:p w14:paraId="1358F3C4" w14:textId="568C65D1" w:rsidR="00594A06" w:rsidRDefault="00594A06" w:rsidP="00CD6352">
      <w:pPr>
        <w:rPr>
          <w:rFonts w:ascii="Arial" w:hAnsi="Arial" w:cs="Arial"/>
        </w:rPr>
      </w:pPr>
    </w:p>
    <w:p w14:paraId="632AE4EE" w14:textId="7F9D6EC6" w:rsidR="00594A06" w:rsidRDefault="00594A06" w:rsidP="00CD6352">
      <w:pPr>
        <w:rPr>
          <w:rFonts w:ascii="Arial" w:hAnsi="Arial" w:cs="Arial"/>
        </w:rPr>
      </w:pPr>
    </w:p>
    <w:p w14:paraId="55AFACD9" w14:textId="4F86D1AE" w:rsidR="00594A06" w:rsidRDefault="00594A06" w:rsidP="00CD6352">
      <w:pPr>
        <w:rPr>
          <w:rFonts w:ascii="Arial" w:hAnsi="Arial" w:cs="Arial"/>
        </w:rPr>
      </w:pPr>
    </w:p>
    <w:p w14:paraId="0226D9AE" w14:textId="2779970B" w:rsidR="00594A06" w:rsidRDefault="00594A06" w:rsidP="00CD6352">
      <w:pPr>
        <w:rPr>
          <w:rFonts w:ascii="Arial" w:hAnsi="Arial" w:cs="Arial"/>
        </w:rPr>
      </w:pPr>
    </w:p>
    <w:p w14:paraId="7EA448A0" w14:textId="7F832BD7" w:rsidR="00594A06" w:rsidRDefault="00594A06" w:rsidP="00CD6352">
      <w:pPr>
        <w:rPr>
          <w:rFonts w:ascii="Arial" w:hAnsi="Arial" w:cs="Arial"/>
        </w:rPr>
      </w:pPr>
    </w:p>
    <w:p w14:paraId="6635D1E9" w14:textId="39C2CCC2" w:rsidR="00594A06" w:rsidRDefault="00594A06" w:rsidP="00CD6352">
      <w:pPr>
        <w:rPr>
          <w:rFonts w:ascii="Arial" w:hAnsi="Arial" w:cs="Arial"/>
        </w:rPr>
      </w:pPr>
    </w:p>
    <w:p w14:paraId="263243BB" w14:textId="1362D4F6" w:rsidR="00594A06" w:rsidRPr="000A4261" w:rsidRDefault="00594A06" w:rsidP="00594A06">
      <w:pPr>
        <w:pStyle w:val="Caption"/>
        <w:keepNext/>
        <w:rPr>
          <w:rFonts w:ascii="Arial" w:hAnsi="Arial" w:cs="Arial"/>
          <w:sz w:val="16"/>
          <w:szCs w:val="16"/>
        </w:rPr>
      </w:pPr>
      <w:bookmarkStart w:id="1474" w:name="_Toc78984049"/>
      <w:r w:rsidRPr="000A4261">
        <w:rPr>
          <w:rFonts w:ascii="Arial" w:hAnsi="Arial" w:cs="Arial"/>
          <w:sz w:val="16"/>
          <w:szCs w:val="16"/>
        </w:rPr>
        <w:lastRenderedPageBreak/>
        <w:t xml:space="preserve">Table </w:t>
      </w:r>
      <w:r w:rsidR="008F25B1" w:rsidRPr="000A4261">
        <w:rPr>
          <w:rFonts w:ascii="Arial" w:hAnsi="Arial" w:cs="Arial"/>
          <w:sz w:val="16"/>
          <w:szCs w:val="16"/>
        </w:rPr>
        <w:fldChar w:fldCharType="begin"/>
      </w:r>
      <w:r w:rsidR="008F25B1" w:rsidRPr="000A4261">
        <w:rPr>
          <w:rFonts w:ascii="Arial" w:hAnsi="Arial" w:cs="Arial"/>
          <w:sz w:val="16"/>
          <w:szCs w:val="16"/>
        </w:rPr>
        <w:instrText xml:space="preserve"> STYLEREF 2 \s </w:instrText>
      </w:r>
      <w:r w:rsidR="008F25B1" w:rsidRPr="000A4261">
        <w:rPr>
          <w:rFonts w:ascii="Arial" w:hAnsi="Arial" w:cs="Arial"/>
          <w:sz w:val="16"/>
          <w:szCs w:val="16"/>
        </w:rPr>
        <w:fldChar w:fldCharType="separate"/>
      </w:r>
      <w:r w:rsidR="008F25B1" w:rsidRPr="000A4261">
        <w:rPr>
          <w:rFonts w:ascii="Arial" w:hAnsi="Arial" w:cs="Arial"/>
          <w:noProof/>
          <w:sz w:val="16"/>
          <w:szCs w:val="16"/>
        </w:rPr>
        <w:t>10.2</w:t>
      </w:r>
      <w:r w:rsidR="008F25B1" w:rsidRPr="000A4261">
        <w:rPr>
          <w:rFonts w:ascii="Arial" w:hAnsi="Arial" w:cs="Arial"/>
          <w:sz w:val="16"/>
          <w:szCs w:val="16"/>
        </w:rPr>
        <w:fldChar w:fldCharType="end"/>
      </w:r>
      <w:r w:rsidR="008F25B1" w:rsidRPr="000A4261">
        <w:rPr>
          <w:rFonts w:ascii="Arial" w:hAnsi="Arial" w:cs="Arial"/>
          <w:sz w:val="16"/>
          <w:szCs w:val="16"/>
        </w:rPr>
        <w:noBreakHyphen/>
      </w:r>
      <w:r w:rsidR="008F25B1" w:rsidRPr="000A4261">
        <w:rPr>
          <w:rFonts w:ascii="Arial" w:hAnsi="Arial" w:cs="Arial"/>
          <w:sz w:val="16"/>
          <w:szCs w:val="16"/>
        </w:rPr>
        <w:fldChar w:fldCharType="begin"/>
      </w:r>
      <w:r w:rsidR="008F25B1" w:rsidRPr="000A4261">
        <w:rPr>
          <w:rFonts w:ascii="Arial" w:hAnsi="Arial" w:cs="Arial"/>
          <w:sz w:val="16"/>
          <w:szCs w:val="16"/>
        </w:rPr>
        <w:instrText xml:space="preserve"> SEQ Table \* ARABIC \s 2 </w:instrText>
      </w:r>
      <w:r w:rsidR="008F25B1" w:rsidRPr="000A4261">
        <w:rPr>
          <w:rFonts w:ascii="Arial" w:hAnsi="Arial" w:cs="Arial"/>
          <w:sz w:val="16"/>
          <w:szCs w:val="16"/>
        </w:rPr>
        <w:fldChar w:fldCharType="separate"/>
      </w:r>
      <w:r w:rsidR="008F25B1" w:rsidRPr="000A4261">
        <w:rPr>
          <w:rFonts w:ascii="Arial" w:hAnsi="Arial" w:cs="Arial"/>
          <w:noProof/>
          <w:sz w:val="16"/>
          <w:szCs w:val="16"/>
        </w:rPr>
        <w:t>8</w:t>
      </w:r>
      <w:r w:rsidR="008F25B1" w:rsidRPr="000A4261">
        <w:rPr>
          <w:rFonts w:ascii="Arial" w:hAnsi="Arial" w:cs="Arial"/>
          <w:sz w:val="16"/>
          <w:szCs w:val="16"/>
        </w:rPr>
        <w:fldChar w:fldCharType="end"/>
      </w:r>
      <w:r w:rsidRPr="000A4261">
        <w:rPr>
          <w:rFonts w:ascii="Arial" w:hAnsi="Arial" w:cs="Arial"/>
          <w:sz w:val="16"/>
          <w:szCs w:val="16"/>
        </w:rPr>
        <w:t xml:space="preserve">: </w:t>
      </w:r>
      <w:r w:rsidR="00A67D95" w:rsidRPr="000A4261">
        <w:rPr>
          <w:rFonts w:ascii="Arial" w:hAnsi="Arial" w:cs="Arial"/>
          <w:sz w:val="16"/>
          <w:szCs w:val="16"/>
        </w:rPr>
        <w:t xml:space="preserve">A </w:t>
      </w:r>
      <w:r w:rsidRPr="000A4261">
        <w:rPr>
          <w:rFonts w:ascii="Arial" w:hAnsi="Arial" w:cs="Arial"/>
          <w:sz w:val="16"/>
          <w:szCs w:val="16"/>
        </w:rPr>
        <w:t xml:space="preserve">conceptual framework for career path for securing finance for real estate project </w:t>
      </w:r>
      <w:r w:rsidR="00DC65AE" w:rsidRPr="000A4261">
        <w:rPr>
          <w:rFonts w:ascii="Arial" w:hAnsi="Arial" w:cs="Arial"/>
          <w:sz w:val="16"/>
          <w:szCs w:val="16"/>
        </w:rPr>
        <w:t>development.</w:t>
      </w:r>
      <w:bookmarkEnd w:id="1474"/>
    </w:p>
    <w:tbl>
      <w:tblPr>
        <w:tblStyle w:val="PlainTable21"/>
        <w:tblpPr w:leftFromText="180" w:rightFromText="180" w:horzAnchor="margin" w:tblpY="450"/>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01"/>
        <w:gridCol w:w="1559"/>
        <w:gridCol w:w="1276"/>
        <w:gridCol w:w="1843"/>
        <w:gridCol w:w="1384"/>
      </w:tblGrid>
      <w:tr w:rsidR="00CD6352" w:rsidRPr="00DC65AE" w14:paraId="131A7B24" w14:textId="77777777" w:rsidTr="00621B40">
        <w:trPr>
          <w:cnfStyle w:val="100000000000" w:firstRow="1" w:lastRow="0" w:firstColumn="0" w:lastColumn="0" w:oddVBand="0" w:evenVBand="0" w:oddHBand="0" w:evenHBand="0" w:firstRowFirstColumn="0" w:firstRowLastColumn="0" w:lastRowFirstColumn="0" w:lastRowLastColumn="0"/>
          <w:cantSplit/>
          <w:trHeight w:val="1509"/>
        </w:trPr>
        <w:tc>
          <w:tcPr>
            <w:cnfStyle w:val="001000000000" w:firstRow="0" w:lastRow="0" w:firstColumn="1" w:lastColumn="0" w:oddVBand="0" w:evenVBand="0" w:oddHBand="0" w:evenHBand="0" w:firstRowFirstColumn="0" w:firstRowLastColumn="0" w:lastRowFirstColumn="0" w:lastRowLastColumn="0"/>
            <w:tcW w:w="2405" w:type="dxa"/>
          </w:tcPr>
          <w:p w14:paraId="5348692D" w14:textId="77777777" w:rsidR="00CD6352" w:rsidRPr="00DC65AE" w:rsidRDefault="00CD6352" w:rsidP="008411D8">
            <w:pPr>
              <w:jc w:val="both"/>
              <w:rPr>
                <w:rFonts w:ascii="Arial" w:eastAsia="Calibri" w:hAnsi="Arial" w:cs="Arial"/>
                <w:sz w:val="16"/>
                <w:szCs w:val="16"/>
              </w:rPr>
            </w:pPr>
            <w:r w:rsidRPr="00DC65AE">
              <w:rPr>
                <w:rFonts w:ascii="Arial" w:eastAsia="Calibri" w:hAnsi="Arial" w:cs="Arial"/>
                <w:sz w:val="16"/>
                <w:szCs w:val="16"/>
              </w:rPr>
              <w:t>Career history</w:t>
            </w:r>
          </w:p>
        </w:tc>
        <w:tc>
          <w:tcPr>
            <w:tcW w:w="1701" w:type="dxa"/>
          </w:tcPr>
          <w:p w14:paraId="1BF7B9E4" w14:textId="77777777" w:rsidR="00CD6352" w:rsidRPr="00DC65AE" w:rsidRDefault="00CD6352" w:rsidP="008411D8">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Education</w:t>
            </w:r>
          </w:p>
        </w:tc>
        <w:tc>
          <w:tcPr>
            <w:tcW w:w="1559" w:type="dxa"/>
          </w:tcPr>
          <w:p w14:paraId="09A331CE" w14:textId="5F8E5F4E" w:rsidR="00CD6352" w:rsidRPr="00DC65AE" w:rsidRDefault="00CD6352" w:rsidP="008411D8">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Module guide for undergraduates &amp; postgraduate education</w:t>
            </w:r>
          </w:p>
        </w:tc>
        <w:tc>
          <w:tcPr>
            <w:tcW w:w="1276" w:type="dxa"/>
          </w:tcPr>
          <w:p w14:paraId="54BA545F" w14:textId="77777777" w:rsidR="00CD6352" w:rsidRPr="00DC65AE" w:rsidRDefault="00CD6352" w:rsidP="008411D8">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Cross organisational mobility</w:t>
            </w:r>
          </w:p>
        </w:tc>
        <w:tc>
          <w:tcPr>
            <w:tcW w:w="1843" w:type="dxa"/>
          </w:tcPr>
          <w:p w14:paraId="0B43A49F" w14:textId="77777777" w:rsidR="00CD6352" w:rsidRPr="00DC65AE" w:rsidRDefault="00CD6352" w:rsidP="008411D8">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International content</w:t>
            </w:r>
          </w:p>
        </w:tc>
        <w:tc>
          <w:tcPr>
            <w:tcW w:w="1384" w:type="dxa"/>
          </w:tcPr>
          <w:p w14:paraId="3D0F0EA6" w14:textId="77777777" w:rsidR="00CD6352" w:rsidRPr="00DC65AE" w:rsidRDefault="00CD6352" w:rsidP="008411D8">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Extra-organisational</w:t>
            </w:r>
          </w:p>
          <w:p w14:paraId="05B1DA90" w14:textId="77777777" w:rsidR="00CD6352" w:rsidRPr="00DC65AE" w:rsidRDefault="00CD6352" w:rsidP="008411D8">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6"/>
                <w:szCs w:val="16"/>
              </w:rPr>
            </w:pPr>
            <w:r w:rsidRPr="00DC65AE">
              <w:rPr>
                <w:rFonts w:ascii="Arial" w:eastAsia="Calibri" w:hAnsi="Arial" w:cs="Arial"/>
                <w:sz w:val="16"/>
                <w:szCs w:val="16"/>
              </w:rPr>
              <w:t xml:space="preserve"> support/ membership</w:t>
            </w:r>
          </w:p>
        </w:tc>
      </w:tr>
      <w:tr w:rsidR="00CD6352" w:rsidRPr="00DC65AE" w14:paraId="5A5A7731" w14:textId="77777777" w:rsidTr="00621B40">
        <w:trPr>
          <w:cnfStyle w:val="000000100000" w:firstRow="0" w:lastRow="0" w:firstColumn="0" w:lastColumn="0" w:oddVBand="0" w:evenVBand="0" w:oddHBand="1" w:evenHBand="0" w:firstRowFirstColumn="0" w:firstRowLastColumn="0" w:lastRowFirstColumn="0" w:lastRowLastColumn="0"/>
          <w:cantSplit/>
          <w:trHeight w:val="1162"/>
        </w:trPr>
        <w:tc>
          <w:tcPr>
            <w:cnfStyle w:val="001000000000" w:firstRow="0" w:lastRow="0" w:firstColumn="1" w:lastColumn="0" w:oddVBand="0" w:evenVBand="0" w:oddHBand="0" w:evenHBand="0" w:firstRowFirstColumn="0" w:firstRowLastColumn="0" w:lastRowFirstColumn="0" w:lastRowLastColumn="0"/>
            <w:tcW w:w="2405" w:type="dxa"/>
          </w:tcPr>
          <w:p w14:paraId="79F2C9B9" w14:textId="77777777" w:rsidR="00CD6352" w:rsidRPr="00621B40" w:rsidRDefault="00CD6352" w:rsidP="008411D8">
            <w:pPr>
              <w:numPr>
                <w:ilvl w:val="0"/>
                <w:numId w:val="60"/>
              </w:numPr>
              <w:spacing w:after="0" w:line="240" w:lineRule="auto"/>
              <w:contextualSpacing/>
              <w:jc w:val="both"/>
              <w:rPr>
                <w:rFonts w:ascii="Arial" w:eastAsia="Calibri" w:hAnsi="Arial" w:cs="Arial"/>
                <w:b w:val="0"/>
                <w:bCs w:val="0"/>
                <w:sz w:val="16"/>
                <w:szCs w:val="16"/>
              </w:rPr>
            </w:pPr>
            <w:r w:rsidRPr="00621B40">
              <w:rPr>
                <w:rFonts w:ascii="Arial" w:eastAsia="Calibri" w:hAnsi="Arial" w:cs="Arial"/>
                <w:b w:val="0"/>
                <w:bCs w:val="0"/>
                <w:sz w:val="16"/>
                <w:szCs w:val="16"/>
              </w:rPr>
              <w:t>Strong finance background.</w:t>
            </w:r>
          </w:p>
          <w:p w14:paraId="7231C081" w14:textId="77777777" w:rsidR="00CD6352" w:rsidRPr="00621B40" w:rsidRDefault="00CD6352" w:rsidP="008411D8">
            <w:pPr>
              <w:numPr>
                <w:ilvl w:val="0"/>
                <w:numId w:val="60"/>
              </w:numPr>
              <w:spacing w:after="0" w:line="240" w:lineRule="auto"/>
              <w:contextualSpacing/>
              <w:jc w:val="both"/>
              <w:rPr>
                <w:rFonts w:ascii="Arial" w:eastAsia="Calibri" w:hAnsi="Arial" w:cs="Arial"/>
                <w:b w:val="0"/>
                <w:bCs w:val="0"/>
                <w:sz w:val="16"/>
                <w:szCs w:val="16"/>
              </w:rPr>
            </w:pPr>
            <w:r w:rsidRPr="00621B40">
              <w:rPr>
                <w:rFonts w:ascii="Arial" w:eastAsia="Calibri" w:hAnsi="Arial" w:cs="Arial"/>
                <w:b w:val="0"/>
                <w:bCs w:val="0"/>
                <w:sz w:val="16"/>
                <w:szCs w:val="16"/>
              </w:rPr>
              <w:t>Specialisation ranging from real estate industry analyst and real estate to pension fund management.</w:t>
            </w:r>
          </w:p>
          <w:p w14:paraId="79B31044" w14:textId="77777777" w:rsidR="00CD6352" w:rsidRPr="00621B40" w:rsidRDefault="00CD6352" w:rsidP="008411D8">
            <w:pPr>
              <w:numPr>
                <w:ilvl w:val="0"/>
                <w:numId w:val="60"/>
              </w:numPr>
              <w:spacing w:after="0" w:line="240" w:lineRule="auto"/>
              <w:contextualSpacing/>
              <w:jc w:val="both"/>
              <w:rPr>
                <w:rFonts w:ascii="Arial" w:eastAsia="Calibri" w:hAnsi="Arial" w:cs="Arial"/>
                <w:b w:val="0"/>
                <w:bCs w:val="0"/>
                <w:sz w:val="16"/>
                <w:szCs w:val="16"/>
              </w:rPr>
            </w:pPr>
            <w:r w:rsidRPr="00621B40">
              <w:rPr>
                <w:rFonts w:ascii="Arial" w:eastAsia="Calibri" w:hAnsi="Arial" w:cs="Arial"/>
                <w:b w:val="0"/>
                <w:bCs w:val="0"/>
                <w:sz w:val="16"/>
                <w:szCs w:val="16"/>
              </w:rPr>
              <w:t>Specialisation in commercial or /and retail real estate developments</w:t>
            </w:r>
          </w:p>
          <w:p w14:paraId="65840733" w14:textId="77777777" w:rsidR="00CD6352" w:rsidRPr="00621B40" w:rsidRDefault="00CD6352" w:rsidP="008411D8">
            <w:pPr>
              <w:numPr>
                <w:ilvl w:val="0"/>
                <w:numId w:val="60"/>
              </w:numPr>
              <w:spacing w:after="0" w:line="240" w:lineRule="auto"/>
              <w:contextualSpacing/>
              <w:jc w:val="both"/>
              <w:rPr>
                <w:rFonts w:ascii="Arial" w:eastAsia="Calibri" w:hAnsi="Arial" w:cs="Arial"/>
                <w:b w:val="0"/>
                <w:bCs w:val="0"/>
                <w:sz w:val="16"/>
                <w:szCs w:val="16"/>
              </w:rPr>
            </w:pPr>
            <w:r w:rsidRPr="00621B40">
              <w:rPr>
                <w:rFonts w:ascii="Arial" w:eastAsia="Calibri" w:hAnsi="Arial" w:cs="Arial"/>
                <w:b w:val="0"/>
                <w:bCs w:val="0"/>
                <w:sz w:val="16"/>
                <w:szCs w:val="16"/>
              </w:rPr>
              <w:t xml:space="preserve">Good international work experiences across countries </w:t>
            </w:r>
          </w:p>
          <w:p w14:paraId="15150B2B" w14:textId="77777777" w:rsidR="00CD6352" w:rsidRPr="00621B40" w:rsidRDefault="00CD6352" w:rsidP="008411D8">
            <w:pPr>
              <w:numPr>
                <w:ilvl w:val="0"/>
                <w:numId w:val="60"/>
              </w:numPr>
              <w:spacing w:after="0" w:line="240" w:lineRule="auto"/>
              <w:contextualSpacing/>
              <w:jc w:val="both"/>
              <w:rPr>
                <w:rFonts w:ascii="Arial" w:eastAsia="Calibri" w:hAnsi="Arial" w:cs="Arial"/>
                <w:b w:val="0"/>
                <w:bCs w:val="0"/>
                <w:sz w:val="16"/>
                <w:szCs w:val="16"/>
              </w:rPr>
            </w:pPr>
            <w:r w:rsidRPr="00621B40">
              <w:rPr>
                <w:rFonts w:ascii="Arial" w:eastAsia="Calibri" w:hAnsi="Arial" w:cs="Arial"/>
                <w:b w:val="0"/>
                <w:bCs w:val="0"/>
                <w:sz w:val="16"/>
                <w:szCs w:val="16"/>
              </w:rPr>
              <w:t>Academic specialisation with a strong emphasis on real estate, construction &amp; project finance, management &amp; finance</w:t>
            </w:r>
          </w:p>
          <w:p w14:paraId="635A29B7" w14:textId="77777777" w:rsidR="00CD6352" w:rsidRPr="00621B40" w:rsidRDefault="00CD6352" w:rsidP="008411D8">
            <w:pPr>
              <w:numPr>
                <w:ilvl w:val="0"/>
                <w:numId w:val="60"/>
              </w:numPr>
              <w:spacing w:after="0" w:line="240" w:lineRule="auto"/>
              <w:contextualSpacing/>
              <w:jc w:val="both"/>
              <w:rPr>
                <w:rFonts w:ascii="Arial" w:eastAsia="Calibri" w:hAnsi="Arial" w:cs="Arial"/>
                <w:b w:val="0"/>
                <w:bCs w:val="0"/>
                <w:sz w:val="16"/>
                <w:szCs w:val="16"/>
              </w:rPr>
            </w:pPr>
            <w:r w:rsidRPr="00621B40">
              <w:rPr>
                <w:rFonts w:ascii="Arial" w:eastAsia="Calibri" w:hAnsi="Arial" w:cs="Arial"/>
                <w:b w:val="0"/>
                <w:bCs w:val="0"/>
                <w:sz w:val="16"/>
                <w:szCs w:val="16"/>
              </w:rPr>
              <w:t xml:space="preserve">A range of 4 to 17 years average experience in the real estate sector </w:t>
            </w:r>
          </w:p>
          <w:p w14:paraId="14FF3B0F" w14:textId="77777777" w:rsidR="00CD6352" w:rsidRPr="00DC65AE" w:rsidRDefault="00CD6352" w:rsidP="008411D8">
            <w:pPr>
              <w:jc w:val="both"/>
              <w:rPr>
                <w:rFonts w:ascii="Arial" w:eastAsia="Calibri" w:hAnsi="Arial" w:cs="Arial"/>
                <w:sz w:val="16"/>
                <w:szCs w:val="16"/>
              </w:rPr>
            </w:pPr>
          </w:p>
          <w:p w14:paraId="1E895F4E" w14:textId="77777777" w:rsidR="00CD6352" w:rsidRPr="00DC65AE" w:rsidRDefault="00CD6352" w:rsidP="008411D8">
            <w:pPr>
              <w:jc w:val="both"/>
              <w:rPr>
                <w:rFonts w:ascii="Arial" w:eastAsia="Calibri" w:hAnsi="Arial" w:cs="Arial"/>
                <w:sz w:val="16"/>
                <w:szCs w:val="16"/>
              </w:rPr>
            </w:pPr>
          </w:p>
        </w:tc>
        <w:tc>
          <w:tcPr>
            <w:tcW w:w="1701" w:type="dxa"/>
          </w:tcPr>
          <w:p w14:paraId="1719F74C"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BA Chinese</w:t>
            </w:r>
          </w:p>
          <w:p w14:paraId="5A30EEC8"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BA Law </w:t>
            </w:r>
          </w:p>
          <w:p w14:paraId="22455622"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BA Rhetoric </w:t>
            </w:r>
          </w:p>
          <w:p w14:paraId="59062A45"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BA, Economics  </w:t>
            </w:r>
          </w:p>
          <w:p w14:paraId="5C9083B0"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Bachelor of Science in Business Administration</w:t>
            </w:r>
          </w:p>
          <w:p w14:paraId="2F18E2FC"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Bachelor of Science in Civil Engineering </w:t>
            </w:r>
          </w:p>
          <w:p w14:paraId="68C8B48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Bachelor of Science in Finance </w:t>
            </w:r>
          </w:p>
          <w:p w14:paraId="76C2E78C"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Bachelor of Science in Management </w:t>
            </w:r>
          </w:p>
          <w:p w14:paraId="2E39E8C3"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 of Science in Real estate </w:t>
            </w:r>
          </w:p>
          <w:p w14:paraId="7EA340E6"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BSc applied mathematics </w:t>
            </w:r>
          </w:p>
          <w:p w14:paraId="57FDC35F"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BSc Business and Commerce</w:t>
            </w:r>
          </w:p>
          <w:p w14:paraId="3D3CEB41"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BSc Business property </w:t>
            </w:r>
          </w:p>
          <w:p w14:paraId="6519EAFD"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BSc Corporate finance and Economics</w:t>
            </w:r>
          </w:p>
          <w:p w14:paraId="2E58C59A"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BSc Economics </w:t>
            </w:r>
          </w:p>
          <w:p w14:paraId="1EA168AF"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BSc Estate Management</w:t>
            </w:r>
          </w:p>
          <w:p w14:paraId="3139BCD8"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BSc Housing and Consumer Economics</w:t>
            </w:r>
          </w:p>
          <w:p w14:paraId="0F0E77F3"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BSc Management Estate Management </w:t>
            </w:r>
          </w:p>
          <w:p w14:paraId="391C51B6"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BSc Mathematical Science,</w:t>
            </w:r>
          </w:p>
          <w:p w14:paraId="0E7781F2"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BSc political science </w:t>
            </w:r>
          </w:p>
          <w:p w14:paraId="19C0D7B0"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BSc Quantity Surveying </w:t>
            </w:r>
          </w:p>
          <w:p w14:paraId="161F4C50"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Certificate in mortgage practice </w:t>
            </w:r>
          </w:p>
          <w:p w14:paraId="49BF5694"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CFAI- Chartered Financial Analyst Institute </w:t>
            </w:r>
          </w:p>
          <w:p w14:paraId="4C694A7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Chartered accountancy</w:t>
            </w:r>
          </w:p>
          <w:p w14:paraId="7E5AF492"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Degree in Economics &amp; Geography </w:t>
            </w:r>
          </w:p>
          <w:p w14:paraId="02658578"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Degree in Economics and public administration </w:t>
            </w:r>
          </w:p>
          <w:p w14:paraId="0BBE0CF6"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lastRenderedPageBreak/>
              <w:t xml:space="preserve">Degree in Finance and accounting </w:t>
            </w:r>
          </w:p>
          <w:p w14:paraId="1503EDF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Degree in Land Economics </w:t>
            </w:r>
          </w:p>
          <w:p w14:paraId="52CD2132"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Finance degree </w:t>
            </w:r>
          </w:p>
          <w:p w14:paraId="227F4B27"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Higher National Diploma ( HND) Quantity – Survey </w:t>
            </w:r>
          </w:p>
          <w:p w14:paraId="0872DA02"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J.D Law </w:t>
            </w:r>
          </w:p>
          <w:p w14:paraId="3922331A"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 of Business leadership finance </w:t>
            </w:r>
          </w:p>
          <w:p w14:paraId="700F4502"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 of Management in Finance and investment </w:t>
            </w:r>
          </w:p>
          <w:p w14:paraId="14D75265"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 of Science in Construction Management </w:t>
            </w:r>
          </w:p>
          <w:p w14:paraId="23809920"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 of Science in Property Investment </w:t>
            </w:r>
          </w:p>
          <w:p w14:paraId="177F2F74"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Master’s degree in Finance </w:t>
            </w:r>
          </w:p>
          <w:p w14:paraId="054C2BEB"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Masters European Law focusing on real estates</w:t>
            </w:r>
          </w:p>
          <w:p w14:paraId="563D8161"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Masters in Senior Housing </w:t>
            </w:r>
          </w:p>
          <w:p w14:paraId="10994A1F"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MBA </w:t>
            </w:r>
          </w:p>
          <w:p w14:paraId="63BD3F9B"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MSc Architecture </w:t>
            </w:r>
          </w:p>
          <w:p w14:paraId="6E3E0DEC"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MSC Estate Survey </w:t>
            </w:r>
          </w:p>
          <w:p w14:paraId="5DA9172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MSc Project Management </w:t>
            </w:r>
          </w:p>
          <w:p w14:paraId="3AEA669F"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MSc Real estate </w:t>
            </w:r>
          </w:p>
          <w:p w14:paraId="4D6FBCB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MSc, Investment Analysis </w:t>
            </w:r>
          </w:p>
          <w:p w14:paraId="52A7F2AD"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PhD Finance </w:t>
            </w:r>
          </w:p>
          <w:p w14:paraId="1015BF27"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PhD in Leadership Development.</w:t>
            </w:r>
          </w:p>
          <w:p w14:paraId="2D52E8A7"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PhD. Construction Management and Economics </w:t>
            </w:r>
          </w:p>
          <w:p w14:paraId="60B40BF5"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Postgraduate degree in business management </w:t>
            </w:r>
          </w:p>
          <w:p w14:paraId="763BA62B"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Postgraduate degree in future studies </w:t>
            </w:r>
          </w:p>
          <w:p w14:paraId="6962BC9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Postgraduate Diploma  In Real Estates </w:t>
            </w:r>
          </w:p>
          <w:p w14:paraId="0BEA38E4"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Research masters in performance  in real estate  performance structuring </w:t>
            </w:r>
          </w:p>
          <w:p w14:paraId="3395273F"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RICS post-graduate </w:t>
            </w:r>
            <w:r w:rsidRPr="00DC65AE">
              <w:rPr>
                <w:rFonts w:ascii="Arial" w:eastAsia="Calibri" w:hAnsi="Arial" w:cs="Arial"/>
                <w:sz w:val="16"/>
                <w:szCs w:val="16"/>
              </w:rPr>
              <w:lastRenderedPageBreak/>
              <w:t xml:space="preserve">diploma in property investment </w:t>
            </w:r>
          </w:p>
          <w:p w14:paraId="7C0F5A00"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Self –education </w:t>
            </w:r>
          </w:p>
          <w:p w14:paraId="73FCA217" w14:textId="77777777" w:rsidR="00CD6352" w:rsidRPr="00DC65AE" w:rsidRDefault="00CD6352" w:rsidP="008411D8">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p>
        </w:tc>
        <w:tc>
          <w:tcPr>
            <w:tcW w:w="1559" w:type="dxa"/>
          </w:tcPr>
          <w:p w14:paraId="3DE3425E"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lastRenderedPageBreak/>
              <w:t>Financial accounting basics</w:t>
            </w:r>
          </w:p>
          <w:p w14:paraId="5275ED49"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Finance options</w:t>
            </w:r>
          </w:p>
          <w:p w14:paraId="111CDAE5"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Cost calculation techniques</w:t>
            </w:r>
          </w:p>
          <w:p w14:paraId="1B0640B6"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Financial management concepts &amp; terms such as ( cashflows, debt-asset ratio &amp; return on investment.</w:t>
            </w:r>
          </w:p>
          <w:p w14:paraId="59ED3E76"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Debt literacy</w:t>
            </w:r>
          </w:p>
          <w:p w14:paraId="7D82257B"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Market intelligence</w:t>
            </w:r>
          </w:p>
          <w:p w14:paraId="04E4E01D"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Principles of risk &amp; diversification</w:t>
            </w:r>
          </w:p>
          <w:p w14:paraId="5B7678E6"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Relevant conventions, regulations and legislation</w:t>
            </w:r>
          </w:p>
          <w:p w14:paraId="6B08EA84"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Strategies for managing risk and uncertainties</w:t>
            </w:r>
          </w:p>
          <w:p w14:paraId="5019B76C"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Cost estimation methods</w:t>
            </w:r>
          </w:p>
          <w:p w14:paraId="059E929D"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Technics and conditions for loan effectiveness</w:t>
            </w:r>
          </w:p>
        </w:tc>
        <w:tc>
          <w:tcPr>
            <w:tcW w:w="1276" w:type="dxa"/>
          </w:tcPr>
          <w:p w14:paraId="2F6B457C"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Insurance companies</w:t>
            </w:r>
          </w:p>
          <w:p w14:paraId="41558595"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Mortgage firms</w:t>
            </w:r>
          </w:p>
          <w:p w14:paraId="08F26F50"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Banks</w:t>
            </w:r>
          </w:p>
          <w:p w14:paraId="57A4FCCB"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Legal firms</w:t>
            </w:r>
          </w:p>
        </w:tc>
        <w:tc>
          <w:tcPr>
            <w:tcW w:w="1843" w:type="dxa"/>
          </w:tcPr>
          <w:p w14:paraId="6F82E271" w14:textId="77777777"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Work experiences in different countries</w:t>
            </w:r>
          </w:p>
          <w:p w14:paraId="0B35FC12" w14:textId="35DF5596"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Academic experiences in </w:t>
            </w:r>
            <w:r w:rsidR="00255AE5">
              <w:rPr>
                <w:rFonts w:ascii="Arial" w:eastAsia="Calibri" w:hAnsi="Arial" w:cs="Arial"/>
                <w:sz w:val="16"/>
                <w:szCs w:val="16"/>
              </w:rPr>
              <w:t>other</w:t>
            </w:r>
            <w:r w:rsidRPr="00DC65AE">
              <w:rPr>
                <w:rFonts w:ascii="Arial" w:eastAsia="Calibri" w:hAnsi="Arial" w:cs="Arial"/>
                <w:sz w:val="16"/>
                <w:szCs w:val="16"/>
              </w:rPr>
              <w:t xml:space="preserve"> countries</w:t>
            </w:r>
          </w:p>
          <w:p w14:paraId="3113EB1F" w14:textId="4AB91B22"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Internship programs in </w:t>
            </w:r>
            <w:r w:rsidR="00255AE5">
              <w:rPr>
                <w:rFonts w:ascii="Arial" w:eastAsia="Calibri" w:hAnsi="Arial" w:cs="Arial"/>
                <w:sz w:val="16"/>
                <w:szCs w:val="16"/>
              </w:rPr>
              <w:t>other</w:t>
            </w:r>
            <w:r w:rsidRPr="00DC65AE">
              <w:rPr>
                <w:rFonts w:ascii="Arial" w:eastAsia="Calibri" w:hAnsi="Arial" w:cs="Arial"/>
                <w:sz w:val="16"/>
                <w:szCs w:val="16"/>
              </w:rPr>
              <w:t xml:space="preserve"> countries</w:t>
            </w:r>
          </w:p>
          <w:p w14:paraId="642FE105" w14:textId="5BD613F6"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Universities exchange program</w:t>
            </w:r>
            <w:r w:rsidR="00255AE5">
              <w:rPr>
                <w:rFonts w:ascii="Arial" w:eastAsia="Calibri" w:hAnsi="Arial" w:cs="Arial"/>
                <w:sz w:val="16"/>
                <w:szCs w:val="16"/>
              </w:rPr>
              <w:t>s</w:t>
            </w:r>
            <w:r w:rsidRPr="00DC65AE">
              <w:rPr>
                <w:rFonts w:ascii="Arial" w:eastAsia="Calibri" w:hAnsi="Arial" w:cs="Arial"/>
                <w:sz w:val="16"/>
                <w:szCs w:val="16"/>
              </w:rPr>
              <w:t xml:space="preserve"> in different countries</w:t>
            </w:r>
          </w:p>
          <w:p w14:paraId="1BD87813" w14:textId="3A52C876"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Short courses focused on real estate in different countries</w:t>
            </w:r>
          </w:p>
          <w:p w14:paraId="5A834306" w14:textId="1AAC88BE" w:rsidR="00CD6352" w:rsidRPr="00DC65AE" w:rsidRDefault="00CD6352" w:rsidP="008411D8">
            <w:pPr>
              <w:numPr>
                <w:ilvl w:val="0"/>
                <w:numId w:val="5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 xml:space="preserve">Seminars and conferences in </w:t>
            </w:r>
            <w:r w:rsidR="00255AE5">
              <w:rPr>
                <w:rFonts w:ascii="Arial" w:eastAsia="Calibri" w:hAnsi="Arial" w:cs="Arial"/>
                <w:sz w:val="16"/>
                <w:szCs w:val="16"/>
              </w:rPr>
              <w:t>other</w:t>
            </w:r>
            <w:r w:rsidRPr="00DC65AE">
              <w:rPr>
                <w:rFonts w:ascii="Arial" w:eastAsia="Calibri" w:hAnsi="Arial" w:cs="Arial"/>
                <w:sz w:val="16"/>
                <w:szCs w:val="16"/>
              </w:rPr>
              <w:t xml:space="preserve"> countries</w:t>
            </w:r>
          </w:p>
        </w:tc>
        <w:tc>
          <w:tcPr>
            <w:tcW w:w="1384" w:type="dxa"/>
          </w:tcPr>
          <w:p w14:paraId="78AF1A03"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Society of property researchers (SPR)</w:t>
            </w:r>
          </w:p>
          <w:p w14:paraId="7085E750"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ARCOM</w:t>
            </w:r>
          </w:p>
          <w:p w14:paraId="5C07DC93" w14:textId="78B8CFC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C</w:t>
            </w:r>
            <w:r w:rsidR="0088723D">
              <w:rPr>
                <w:rFonts w:ascii="Arial" w:eastAsia="Calibri" w:hAnsi="Arial" w:cs="Arial"/>
                <w:sz w:val="16"/>
                <w:szCs w:val="16"/>
              </w:rPr>
              <w:t>.</w:t>
            </w:r>
            <w:r w:rsidRPr="00DC65AE">
              <w:rPr>
                <w:rFonts w:ascii="Arial" w:eastAsia="Calibri" w:hAnsi="Arial" w:cs="Arial"/>
                <w:sz w:val="16"/>
                <w:szCs w:val="16"/>
              </w:rPr>
              <w:t>I</w:t>
            </w:r>
            <w:r w:rsidR="0088723D">
              <w:rPr>
                <w:rFonts w:ascii="Arial" w:eastAsia="Calibri" w:hAnsi="Arial" w:cs="Arial"/>
                <w:sz w:val="16"/>
                <w:szCs w:val="16"/>
              </w:rPr>
              <w:t>.</w:t>
            </w:r>
            <w:r w:rsidRPr="00DC65AE">
              <w:rPr>
                <w:rFonts w:ascii="Arial" w:eastAsia="Calibri" w:hAnsi="Arial" w:cs="Arial"/>
                <w:sz w:val="16"/>
                <w:szCs w:val="16"/>
              </w:rPr>
              <w:t>B</w:t>
            </w:r>
          </w:p>
          <w:p w14:paraId="34A5DEA0" w14:textId="77777777" w:rsidR="00CD6352" w:rsidRPr="00DC65AE" w:rsidRDefault="00CD6352" w:rsidP="008411D8">
            <w:pPr>
              <w:numPr>
                <w:ilvl w:val="0"/>
                <w:numId w:val="59"/>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DC65AE">
              <w:rPr>
                <w:rFonts w:ascii="Arial" w:eastAsia="Calibri" w:hAnsi="Arial" w:cs="Arial"/>
                <w:sz w:val="16"/>
                <w:szCs w:val="16"/>
              </w:rPr>
              <w:t>Mentors</w:t>
            </w:r>
          </w:p>
        </w:tc>
      </w:tr>
    </w:tbl>
    <w:p w14:paraId="27B60B98" w14:textId="0DE788FC" w:rsidR="008411D8" w:rsidRDefault="008411D8" w:rsidP="008411D8">
      <w:pPr>
        <w:spacing w:line="240" w:lineRule="auto"/>
        <w:jc w:val="both"/>
        <w:rPr>
          <w:rFonts w:ascii="Arial" w:hAnsi="Arial" w:cs="Arial"/>
          <w:sz w:val="16"/>
          <w:szCs w:val="16"/>
        </w:rPr>
      </w:pPr>
      <w:r w:rsidRPr="00355D91">
        <w:rPr>
          <w:rFonts w:ascii="Arial" w:hAnsi="Arial" w:cs="Arial"/>
          <w:sz w:val="16"/>
          <w:szCs w:val="16"/>
        </w:rPr>
        <w:lastRenderedPageBreak/>
        <w:t>Source: compilation by the author (2021)</w:t>
      </w:r>
    </w:p>
    <w:p w14:paraId="067ED8F5" w14:textId="1EED976B" w:rsidR="008411D8" w:rsidRDefault="008411D8" w:rsidP="008411D8">
      <w:pPr>
        <w:spacing w:line="240" w:lineRule="auto"/>
        <w:jc w:val="both"/>
        <w:rPr>
          <w:rFonts w:ascii="Arial" w:hAnsi="Arial" w:cs="Arial"/>
          <w:sz w:val="16"/>
          <w:szCs w:val="16"/>
        </w:rPr>
      </w:pPr>
      <w:r>
        <w:rPr>
          <w:rFonts w:ascii="Arial" w:hAnsi="Arial" w:cs="Arial"/>
          <w:sz w:val="16"/>
          <w:szCs w:val="16"/>
        </w:rPr>
        <w:t>The detailed development of the conceptual framework for career path for securing finance for real estate project is contained 9.2.5</w:t>
      </w:r>
    </w:p>
    <w:p w14:paraId="5B9B6F30" w14:textId="77777777" w:rsidR="00CD6352" w:rsidRDefault="00CD6352" w:rsidP="00CD6352"/>
    <w:p w14:paraId="75055CDA" w14:textId="1570770E" w:rsidR="00CD6352" w:rsidRDefault="00CD6352" w:rsidP="00CD6352">
      <w:pPr>
        <w:spacing w:line="360" w:lineRule="auto"/>
        <w:rPr>
          <w:rFonts w:ascii="Arial" w:hAnsi="Arial" w:cs="Arial"/>
        </w:rPr>
      </w:pPr>
      <w:r>
        <w:rPr>
          <w:rFonts w:ascii="Arial" w:hAnsi="Arial" w:cs="Arial"/>
        </w:rPr>
        <w:t>Management education is seen as instrumental to the success of any task</w:t>
      </w:r>
      <w:r w:rsidR="0000672C">
        <w:rPr>
          <w:rFonts w:ascii="Arial" w:hAnsi="Arial" w:cs="Arial"/>
        </w:rPr>
        <w:t>;</w:t>
      </w:r>
      <w:r>
        <w:rPr>
          <w:rFonts w:ascii="Arial" w:hAnsi="Arial" w:cs="Arial"/>
        </w:rPr>
        <w:t xml:space="preserve"> hence this framework suggests an education and module guide that tilts towards management skills in finance</w:t>
      </w:r>
      <w:r w:rsidR="0000672C">
        <w:rPr>
          <w:rFonts w:ascii="Arial" w:hAnsi="Arial" w:cs="Arial"/>
        </w:rPr>
        <w:t xml:space="preserve">. </w:t>
      </w:r>
      <w:r>
        <w:rPr>
          <w:rFonts w:ascii="Arial" w:hAnsi="Arial" w:cs="Arial"/>
        </w:rPr>
        <w:t xml:space="preserve">The framework acts as a guide for prospective students with </w:t>
      </w:r>
      <w:r w:rsidR="006B5C85">
        <w:rPr>
          <w:rFonts w:ascii="Arial" w:hAnsi="Arial" w:cs="Arial"/>
        </w:rPr>
        <w:t xml:space="preserve">an </w:t>
      </w:r>
      <w:r>
        <w:rPr>
          <w:rFonts w:ascii="Arial" w:hAnsi="Arial" w:cs="Arial"/>
        </w:rPr>
        <w:t xml:space="preserve">interest in this sector and provides broad content for undergraduates and postgraduate students. It is recommended that school authorities design the curriculum for students in the Built Environment to include the modules in the framework to enhance the </w:t>
      </w:r>
      <w:r w:rsidR="0000672C">
        <w:rPr>
          <w:rFonts w:ascii="Arial" w:hAnsi="Arial" w:cs="Arial"/>
        </w:rPr>
        <w:t>students' career</w:t>
      </w:r>
      <w:r>
        <w:rPr>
          <w:rFonts w:ascii="Arial" w:hAnsi="Arial" w:cs="Arial"/>
        </w:rPr>
        <w:t>s. The provision of the courses and module guide in the framework aligns with the human capital theory</w:t>
      </w:r>
      <w:r w:rsidR="0042718C">
        <w:rPr>
          <w:rFonts w:ascii="Arial" w:hAnsi="Arial" w:cs="Arial"/>
        </w:rPr>
        <w:t>,</w:t>
      </w:r>
      <w:r>
        <w:rPr>
          <w:rFonts w:ascii="Arial" w:hAnsi="Arial" w:cs="Arial"/>
        </w:rPr>
        <w:t xml:space="preserve"> which emphasises that education increases the productivity and efficiency of workers by increasing the level of cognitive stock of economically productive human capability, which is a product of inborn abilities and investment in human beings (Almendarez, 2016).</w:t>
      </w:r>
    </w:p>
    <w:p w14:paraId="69C7FDEB" w14:textId="77777777" w:rsidR="00CD6352" w:rsidRPr="00845BAC" w:rsidRDefault="00CD6352" w:rsidP="00C74AEC">
      <w:pPr>
        <w:pStyle w:val="ListParagraph"/>
        <w:numPr>
          <w:ilvl w:val="0"/>
          <w:numId w:val="219"/>
        </w:numPr>
        <w:rPr>
          <w:rFonts w:ascii="Arial" w:hAnsi="Arial" w:cs="Arial"/>
          <w:b/>
          <w:bCs/>
        </w:rPr>
      </w:pPr>
      <w:r w:rsidRPr="00845BAC">
        <w:rPr>
          <w:rFonts w:ascii="Arial" w:hAnsi="Arial" w:cs="Arial"/>
          <w:b/>
          <w:bCs/>
        </w:rPr>
        <w:t>Cross organisational mobility and international content</w:t>
      </w:r>
    </w:p>
    <w:p w14:paraId="386521C6" w14:textId="4757B7F8" w:rsidR="00CD6352" w:rsidRDefault="00CD6352" w:rsidP="00CD6352">
      <w:pPr>
        <w:spacing w:line="360" w:lineRule="auto"/>
        <w:rPr>
          <w:rFonts w:ascii="Arial" w:hAnsi="Arial" w:cs="Arial"/>
        </w:rPr>
      </w:pPr>
      <w:r>
        <w:rPr>
          <w:rFonts w:ascii="Arial" w:hAnsi="Arial" w:cs="Arial"/>
        </w:rPr>
        <w:t xml:space="preserve">The data collected from the interview shows </w:t>
      </w:r>
      <w:r w:rsidR="00386C73">
        <w:rPr>
          <w:rFonts w:ascii="Arial" w:hAnsi="Arial" w:cs="Arial"/>
        </w:rPr>
        <w:t xml:space="preserve">the </w:t>
      </w:r>
      <w:r>
        <w:rPr>
          <w:rFonts w:ascii="Arial" w:hAnsi="Arial" w:cs="Arial"/>
        </w:rPr>
        <w:t xml:space="preserve">significant mobility of managers from different sectors into the real estate sector. Most of these migrations were from </w:t>
      </w:r>
      <w:r w:rsidR="00A455AE">
        <w:rPr>
          <w:rFonts w:ascii="Arial" w:hAnsi="Arial" w:cs="Arial"/>
        </w:rPr>
        <w:t xml:space="preserve">the </w:t>
      </w:r>
      <w:r>
        <w:rPr>
          <w:rFonts w:ascii="Arial" w:hAnsi="Arial" w:cs="Arial"/>
        </w:rPr>
        <w:t xml:space="preserve">banking, pension fund and insurance sectors into the real estate sector. These are areas that are very closely linked to the real estate sector. The data also showed that a number of the managers in the developed economies who claimed they did not have problems with access to finance had either schooled or/ and worked in other countries </w:t>
      </w:r>
      <w:r w:rsidR="00061AE9">
        <w:rPr>
          <w:rFonts w:ascii="Arial" w:hAnsi="Arial" w:cs="Arial"/>
        </w:rPr>
        <w:t>previously.</w:t>
      </w:r>
      <w:r>
        <w:rPr>
          <w:rFonts w:ascii="Arial" w:hAnsi="Arial" w:cs="Arial"/>
        </w:rPr>
        <w:t xml:space="preserve"> The relationship linking skills that are specific to turnover</w:t>
      </w:r>
      <w:r w:rsidR="00814AAA">
        <w:rPr>
          <w:rFonts w:ascii="Arial" w:hAnsi="Arial" w:cs="Arial"/>
        </w:rPr>
        <w:t>-</w:t>
      </w:r>
      <w:r>
        <w:rPr>
          <w:rFonts w:ascii="Arial" w:hAnsi="Arial" w:cs="Arial"/>
        </w:rPr>
        <w:t xml:space="preserve">over </w:t>
      </w:r>
      <w:r w:rsidR="00A455AE">
        <w:rPr>
          <w:rFonts w:ascii="Arial" w:hAnsi="Arial" w:cs="Arial"/>
        </w:rPr>
        <w:t xml:space="preserve">the </w:t>
      </w:r>
      <w:r>
        <w:rPr>
          <w:rFonts w:ascii="Arial" w:hAnsi="Arial" w:cs="Arial"/>
        </w:rPr>
        <w:t>decision is considered very important in the economics of labour mobility (Miller,1984). Hence, the introduction of cross</w:t>
      </w:r>
      <w:r w:rsidR="00603C08">
        <w:rPr>
          <w:rFonts w:ascii="Arial" w:hAnsi="Arial" w:cs="Arial"/>
        </w:rPr>
        <w:t>-</w:t>
      </w:r>
      <w:r>
        <w:rPr>
          <w:rFonts w:ascii="Arial" w:hAnsi="Arial" w:cs="Arial"/>
        </w:rPr>
        <w:t xml:space="preserve">organisational mobility and international content </w:t>
      </w:r>
      <w:r w:rsidR="006B5C85">
        <w:rPr>
          <w:rFonts w:ascii="Arial" w:hAnsi="Arial" w:cs="Arial"/>
        </w:rPr>
        <w:t>i</w:t>
      </w:r>
      <w:r>
        <w:rPr>
          <w:rFonts w:ascii="Arial" w:hAnsi="Arial" w:cs="Arial"/>
        </w:rPr>
        <w:t xml:space="preserve">s a </w:t>
      </w:r>
      <w:r w:rsidR="00814AAA">
        <w:rPr>
          <w:rFonts w:ascii="Arial" w:hAnsi="Arial" w:cs="Arial"/>
        </w:rPr>
        <w:t>vital</w:t>
      </w:r>
      <w:r>
        <w:rPr>
          <w:rFonts w:ascii="Arial" w:hAnsi="Arial" w:cs="Arial"/>
        </w:rPr>
        <w:t xml:space="preserve"> component of this </w:t>
      </w:r>
      <w:r w:rsidR="00061AE9">
        <w:rPr>
          <w:rFonts w:ascii="Arial" w:hAnsi="Arial" w:cs="Arial"/>
        </w:rPr>
        <w:t>framework</w:t>
      </w:r>
      <w:r>
        <w:rPr>
          <w:rFonts w:ascii="Arial" w:hAnsi="Arial" w:cs="Arial"/>
        </w:rPr>
        <w:t xml:space="preserve"> because of the incremental knowledge managers gained from such movement and its positive impact on their career</w:t>
      </w:r>
      <w:r w:rsidR="00814AAA">
        <w:rPr>
          <w:rFonts w:ascii="Arial" w:hAnsi="Arial" w:cs="Arial"/>
        </w:rPr>
        <w:t>s</w:t>
      </w:r>
      <w:r>
        <w:rPr>
          <w:rFonts w:ascii="Arial" w:hAnsi="Arial" w:cs="Arial"/>
        </w:rPr>
        <w:t>.</w:t>
      </w:r>
    </w:p>
    <w:p w14:paraId="1ACD7702" w14:textId="65D72B28" w:rsidR="00CD6352" w:rsidRDefault="00CD6352" w:rsidP="00CD6352">
      <w:pPr>
        <w:spacing w:line="360" w:lineRule="auto"/>
        <w:rPr>
          <w:rFonts w:ascii="Arial" w:hAnsi="Arial" w:cs="Arial"/>
        </w:rPr>
      </w:pPr>
      <w:r>
        <w:rPr>
          <w:rFonts w:ascii="Arial" w:hAnsi="Arial" w:cs="Arial"/>
        </w:rPr>
        <w:t xml:space="preserve">The boundaryless career theory </w:t>
      </w:r>
      <w:r w:rsidR="00061AE9">
        <w:rPr>
          <w:rFonts w:ascii="Arial" w:hAnsi="Arial" w:cs="Arial"/>
        </w:rPr>
        <w:t>adds credence</w:t>
      </w:r>
      <w:r>
        <w:rPr>
          <w:rFonts w:ascii="Arial" w:hAnsi="Arial" w:cs="Arial"/>
        </w:rPr>
        <w:t xml:space="preserve"> to the importance of inter-organisation mobility of labour and the importance of international content. Contemporary employment contexts call for careers to be more boundaryless</w:t>
      </w:r>
      <w:r w:rsidR="00814AAA">
        <w:rPr>
          <w:rFonts w:ascii="Arial" w:hAnsi="Arial" w:cs="Arial"/>
        </w:rPr>
        <w:t>. T</w:t>
      </w:r>
      <w:r>
        <w:rPr>
          <w:rFonts w:ascii="Arial" w:hAnsi="Arial" w:cs="Arial"/>
        </w:rPr>
        <w:t>here is evidence that people who exhibit boundaryless career behaviour report considerably higher levels of career success;  career success in this regard includes promotions, salary increases, scales of career satisfaction  (Arthur et al</w:t>
      </w:r>
      <w:r w:rsidR="00814AAA">
        <w:rPr>
          <w:rFonts w:ascii="Arial" w:hAnsi="Arial" w:cs="Arial"/>
        </w:rPr>
        <w:t>.</w:t>
      </w:r>
      <w:r>
        <w:rPr>
          <w:rFonts w:ascii="Arial" w:hAnsi="Arial" w:cs="Arial"/>
        </w:rPr>
        <w:t>, 2005). The boundaryless career provides opportunities that transcend any single employer.</w:t>
      </w:r>
    </w:p>
    <w:p w14:paraId="575B458B" w14:textId="4CDBB479" w:rsidR="00CD6352" w:rsidRPr="00EA7665" w:rsidRDefault="00CD6352" w:rsidP="00CD6352">
      <w:pPr>
        <w:spacing w:line="360" w:lineRule="auto"/>
        <w:jc w:val="both"/>
        <w:rPr>
          <w:rFonts w:ascii="Arial" w:hAnsi="Arial" w:cs="Arial"/>
        </w:rPr>
      </w:pPr>
      <w:r>
        <w:rPr>
          <w:rFonts w:ascii="Arial" w:hAnsi="Arial" w:cs="Arial"/>
        </w:rPr>
        <w:lastRenderedPageBreak/>
        <w:t>The boundaryless career theory also supports extra-organisational support</w:t>
      </w:r>
      <w:r w:rsidR="002A787E">
        <w:rPr>
          <w:rFonts w:ascii="Arial" w:hAnsi="Arial" w:cs="Arial"/>
        </w:rPr>
        <w:t>,</w:t>
      </w:r>
      <w:r>
        <w:rPr>
          <w:rFonts w:ascii="Arial" w:hAnsi="Arial" w:cs="Arial"/>
        </w:rPr>
        <w:t xml:space="preserve"> which entails people developing their career and enhancing career successes through relevant peer groups or work</w:t>
      </w:r>
      <w:r w:rsidR="00603C08">
        <w:rPr>
          <w:rFonts w:ascii="Arial" w:hAnsi="Arial" w:cs="Arial"/>
        </w:rPr>
        <w:t>-</w:t>
      </w:r>
      <w:r>
        <w:rPr>
          <w:rFonts w:ascii="Arial" w:hAnsi="Arial" w:cs="Arial"/>
        </w:rPr>
        <w:t xml:space="preserve">related </w:t>
      </w:r>
      <w:r w:rsidR="00061AE9">
        <w:rPr>
          <w:rFonts w:ascii="Arial" w:hAnsi="Arial" w:cs="Arial"/>
        </w:rPr>
        <w:t>communities.</w:t>
      </w:r>
      <w:r>
        <w:rPr>
          <w:rFonts w:ascii="Arial" w:hAnsi="Arial" w:cs="Arial"/>
        </w:rPr>
        <w:t xml:space="preserve"> These provide </w:t>
      </w:r>
      <w:r w:rsidR="002A787E">
        <w:rPr>
          <w:rFonts w:ascii="Arial" w:hAnsi="Arial" w:cs="Arial"/>
        </w:rPr>
        <w:t>enhanced skills and knowledge platforms</w:t>
      </w:r>
      <w:r>
        <w:rPr>
          <w:rFonts w:ascii="Arial" w:hAnsi="Arial" w:cs="Arial"/>
        </w:rPr>
        <w:t xml:space="preserve"> through shared information and overlapping work experiences </w:t>
      </w:r>
      <w:r w:rsidR="002A787E" w:rsidRPr="002A787E">
        <w:rPr>
          <w:rFonts w:ascii="Arial" w:hAnsi="Arial" w:cs="Arial"/>
        </w:rPr>
        <w:t>(Arthur et al</w:t>
      </w:r>
      <w:r w:rsidR="002A787E">
        <w:rPr>
          <w:rFonts w:ascii="Arial" w:hAnsi="Arial" w:cs="Arial"/>
        </w:rPr>
        <w:t>.</w:t>
      </w:r>
      <w:r w:rsidR="002A787E" w:rsidRPr="002A787E">
        <w:rPr>
          <w:rFonts w:ascii="Arial" w:hAnsi="Arial" w:cs="Arial"/>
        </w:rPr>
        <w:t>, 2005).</w:t>
      </w:r>
      <w:r w:rsidR="002A787E">
        <w:rPr>
          <w:rFonts w:ascii="Arial" w:hAnsi="Arial" w:cs="Arial"/>
        </w:rPr>
        <w:t xml:space="preserve">  </w:t>
      </w:r>
      <w:r>
        <w:rPr>
          <w:rFonts w:ascii="Arial" w:hAnsi="Arial" w:cs="Arial"/>
        </w:rPr>
        <w:t>Such groups are meant to support managers and aspiring managers in their work roles and help them make sense of what kind of career success they have attained</w:t>
      </w:r>
      <w:r w:rsidR="002A787E">
        <w:rPr>
          <w:rFonts w:ascii="Arial" w:hAnsi="Arial" w:cs="Arial"/>
        </w:rPr>
        <w:t>.</w:t>
      </w:r>
    </w:p>
    <w:p w14:paraId="6387B9B7" w14:textId="77777777" w:rsidR="00CD6352" w:rsidRPr="007444CA" w:rsidRDefault="00CD6352" w:rsidP="00CD6352">
      <w:pPr>
        <w:rPr>
          <w:rFonts w:ascii="Arial" w:hAnsi="Arial" w:cs="Arial"/>
          <w:b/>
          <w:bCs/>
        </w:rPr>
      </w:pPr>
      <w:bookmarkStart w:id="1475" w:name="_Hlk45195173"/>
      <w:r>
        <w:rPr>
          <w:rFonts w:ascii="Arial" w:hAnsi="Arial" w:cs="Arial"/>
          <w:b/>
          <w:bCs/>
        </w:rPr>
        <w:t>Further c</w:t>
      </w:r>
      <w:r w:rsidRPr="007444CA">
        <w:rPr>
          <w:rFonts w:ascii="Arial" w:hAnsi="Arial" w:cs="Arial"/>
          <w:b/>
          <w:bCs/>
        </w:rPr>
        <w:t>omments</w:t>
      </w:r>
    </w:p>
    <w:p w14:paraId="68EC819C" w14:textId="3690F677" w:rsidR="00CD6352"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Table </w:t>
      </w:r>
      <w:r w:rsidR="002A787E">
        <w:rPr>
          <w:rFonts w:ascii="Arial" w:eastAsia="Calibri" w:hAnsi="Arial" w:cs="Arial"/>
          <w:lang w:val="en-US"/>
        </w:rPr>
        <w:t>10.2.8</w:t>
      </w:r>
      <w:r w:rsidRPr="00EA7665">
        <w:rPr>
          <w:rFonts w:ascii="Arial" w:eastAsia="Calibri" w:hAnsi="Arial" w:cs="Arial"/>
          <w:lang w:val="en-US"/>
        </w:rPr>
        <w:t xml:space="preserve"> shows </w:t>
      </w:r>
      <w:r w:rsidR="002A787E">
        <w:rPr>
          <w:rFonts w:ascii="Arial" w:eastAsia="Calibri" w:hAnsi="Arial" w:cs="Arial"/>
          <w:lang w:val="en-US"/>
        </w:rPr>
        <w:t>a career path involving a strong background in finance, international experiences, and</w:t>
      </w:r>
      <w:r w:rsidRPr="00EA7665">
        <w:rPr>
          <w:rFonts w:ascii="Arial" w:eastAsia="Calibri" w:hAnsi="Arial" w:cs="Arial"/>
          <w:lang w:val="en-US"/>
        </w:rPr>
        <w:t xml:space="preserve"> specialisation in commercial and residential real estate</w:t>
      </w:r>
      <w:r w:rsidR="002A787E">
        <w:rPr>
          <w:rFonts w:ascii="Arial" w:eastAsia="Calibri" w:hAnsi="Arial" w:cs="Arial"/>
          <w:lang w:val="en-US"/>
        </w:rPr>
        <w:t>. A</w:t>
      </w:r>
      <w:r w:rsidRPr="00EA7665">
        <w:rPr>
          <w:rFonts w:ascii="Arial" w:eastAsia="Calibri" w:hAnsi="Arial" w:cs="Arial"/>
          <w:lang w:val="en-US"/>
        </w:rPr>
        <w:t xml:space="preserve">n academic </w:t>
      </w:r>
      <w:r w:rsidR="00771EE5" w:rsidRPr="00EA7665">
        <w:rPr>
          <w:rFonts w:ascii="Arial" w:eastAsia="Calibri" w:hAnsi="Arial" w:cs="Arial"/>
          <w:lang w:val="en-US"/>
        </w:rPr>
        <w:t>special</w:t>
      </w:r>
      <w:r w:rsidR="00603C08">
        <w:rPr>
          <w:rFonts w:ascii="Arial" w:eastAsia="Calibri" w:hAnsi="Arial" w:cs="Arial"/>
          <w:lang w:val="en-US"/>
        </w:rPr>
        <w:t>i</w:t>
      </w:r>
      <w:r w:rsidR="00771EE5" w:rsidRPr="00EA7665">
        <w:rPr>
          <w:rFonts w:ascii="Arial" w:eastAsia="Calibri" w:hAnsi="Arial" w:cs="Arial"/>
          <w:lang w:val="en-US"/>
        </w:rPr>
        <w:t>ty</w:t>
      </w:r>
      <w:r w:rsidRPr="00EA7665">
        <w:rPr>
          <w:rFonts w:ascii="Arial" w:eastAsia="Calibri" w:hAnsi="Arial" w:cs="Arial"/>
          <w:lang w:val="en-US"/>
        </w:rPr>
        <w:t xml:space="preserve"> with a strong focus on real estate, construction and finance </w:t>
      </w:r>
      <w:r w:rsidR="006B5C85">
        <w:rPr>
          <w:rFonts w:ascii="Arial" w:eastAsia="Calibri" w:hAnsi="Arial" w:cs="Arial"/>
          <w:lang w:val="en-US"/>
        </w:rPr>
        <w:t>are</w:t>
      </w:r>
      <w:r w:rsidRPr="00EA7665">
        <w:rPr>
          <w:rFonts w:ascii="Arial" w:eastAsia="Calibri" w:hAnsi="Arial" w:cs="Arial"/>
          <w:lang w:val="en-US"/>
        </w:rPr>
        <w:t xml:space="preserve"> very important for the manager involved in securing finance for real estate project development. </w:t>
      </w:r>
      <w:r w:rsidR="002A787E">
        <w:rPr>
          <w:rFonts w:ascii="Arial" w:eastAsia="Calibri" w:hAnsi="Arial" w:cs="Arial"/>
          <w:lang w:val="en-US"/>
        </w:rPr>
        <w:t xml:space="preserve">The career path for securing finance for real estate project development is also </w:t>
      </w:r>
      <w:r>
        <w:rPr>
          <w:rFonts w:ascii="Arial" w:eastAsia="Calibri" w:hAnsi="Arial" w:cs="Arial"/>
          <w:lang w:val="en-US"/>
        </w:rPr>
        <w:t xml:space="preserve">depicted in figure </w:t>
      </w:r>
      <w:r w:rsidR="00DC65AE">
        <w:rPr>
          <w:rFonts w:ascii="Arial" w:eastAsia="Calibri" w:hAnsi="Arial" w:cs="Arial"/>
          <w:lang w:val="en-US"/>
        </w:rPr>
        <w:t>10.3.3</w:t>
      </w:r>
      <w:r>
        <w:rPr>
          <w:rFonts w:ascii="Arial" w:eastAsia="Calibri" w:hAnsi="Arial" w:cs="Arial"/>
          <w:lang w:val="en-US"/>
        </w:rPr>
        <w:t>.</w:t>
      </w:r>
    </w:p>
    <w:bookmarkEnd w:id="1475"/>
    <w:p w14:paraId="54353F99" w14:textId="77777777" w:rsidR="00CD6352" w:rsidRDefault="00CD6352" w:rsidP="00CD6352">
      <w:pPr>
        <w:rPr>
          <w:rFonts w:ascii="Arial" w:hAnsi="Arial" w:cs="Arial"/>
          <w:b/>
          <w:bCs/>
        </w:rPr>
      </w:pPr>
      <w:r w:rsidRPr="00EA7665">
        <w:rPr>
          <w:rFonts w:ascii="Arial" w:hAnsi="Arial" w:cs="Arial"/>
          <w:noProof/>
          <w:lang w:eastAsia="en-GB"/>
        </w:rPr>
        <w:drawing>
          <wp:inline distT="0" distB="0" distL="0" distR="0" wp14:anchorId="43C8BFF9" wp14:editId="077983B6">
            <wp:extent cx="5486400" cy="3200400"/>
            <wp:effectExtent l="0" t="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9D5A913" w14:textId="219D8FBE" w:rsidR="00CD6352" w:rsidRPr="000A4261" w:rsidRDefault="00CD6352" w:rsidP="00CD6352">
      <w:pPr>
        <w:pStyle w:val="Caption"/>
        <w:jc w:val="both"/>
        <w:rPr>
          <w:rFonts w:ascii="Arial" w:hAnsi="Arial" w:cs="Arial"/>
          <w:sz w:val="16"/>
          <w:szCs w:val="16"/>
        </w:rPr>
      </w:pPr>
      <w:bookmarkStart w:id="1476" w:name="_Toc78739578"/>
      <w:r w:rsidRPr="000A4261">
        <w:rPr>
          <w:rFonts w:ascii="Arial" w:hAnsi="Arial" w:cs="Arial"/>
          <w:sz w:val="16"/>
          <w:szCs w:val="16"/>
        </w:rPr>
        <w:t xml:space="preserve">Figure </w:t>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STYLEREF 2 \s </w:instrText>
      </w:r>
      <w:r w:rsidR="00591802" w:rsidRPr="000A4261">
        <w:rPr>
          <w:rFonts w:ascii="Arial" w:hAnsi="Arial" w:cs="Arial"/>
          <w:sz w:val="16"/>
          <w:szCs w:val="16"/>
        </w:rPr>
        <w:fldChar w:fldCharType="separate"/>
      </w:r>
      <w:r w:rsidR="00324B0D" w:rsidRPr="000A4261">
        <w:rPr>
          <w:rFonts w:ascii="Arial" w:hAnsi="Arial" w:cs="Arial"/>
          <w:noProof/>
          <w:sz w:val="16"/>
          <w:szCs w:val="16"/>
        </w:rPr>
        <w:t>10.3</w:t>
      </w:r>
      <w:r w:rsidR="00591802" w:rsidRPr="000A4261">
        <w:rPr>
          <w:rFonts w:ascii="Arial" w:hAnsi="Arial" w:cs="Arial"/>
          <w:noProof/>
          <w:sz w:val="16"/>
          <w:szCs w:val="16"/>
        </w:rPr>
        <w:fldChar w:fldCharType="end"/>
      </w:r>
      <w:r w:rsidR="00324B0D" w:rsidRPr="000A4261">
        <w:rPr>
          <w:rFonts w:ascii="Arial" w:hAnsi="Arial" w:cs="Arial"/>
          <w:sz w:val="16"/>
          <w:szCs w:val="16"/>
        </w:rPr>
        <w:noBreakHyphen/>
      </w:r>
      <w:r w:rsidR="00591802" w:rsidRPr="000A4261">
        <w:rPr>
          <w:rFonts w:ascii="Arial" w:hAnsi="Arial" w:cs="Arial"/>
          <w:sz w:val="16"/>
          <w:szCs w:val="16"/>
        </w:rPr>
        <w:fldChar w:fldCharType="begin"/>
      </w:r>
      <w:r w:rsidR="00591802" w:rsidRPr="000A4261">
        <w:rPr>
          <w:rFonts w:ascii="Arial" w:hAnsi="Arial" w:cs="Arial"/>
          <w:sz w:val="16"/>
          <w:szCs w:val="16"/>
        </w:rPr>
        <w:instrText xml:space="preserve"> SEQ Figure \* ARABIC \s 2 </w:instrText>
      </w:r>
      <w:r w:rsidR="00591802" w:rsidRPr="000A4261">
        <w:rPr>
          <w:rFonts w:ascii="Arial" w:hAnsi="Arial" w:cs="Arial"/>
          <w:sz w:val="16"/>
          <w:szCs w:val="16"/>
        </w:rPr>
        <w:fldChar w:fldCharType="separate"/>
      </w:r>
      <w:r w:rsidR="00324B0D" w:rsidRPr="000A4261">
        <w:rPr>
          <w:rFonts w:ascii="Arial" w:hAnsi="Arial" w:cs="Arial"/>
          <w:noProof/>
          <w:sz w:val="16"/>
          <w:szCs w:val="16"/>
        </w:rPr>
        <w:t>3</w:t>
      </w:r>
      <w:r w:rsidR="00591802" w:rsidRPr="000A4261">
        <w:rPr>
          <w:rFonts w:ascii="Arial" w:hAnsi="Arial" w:cs="Arial"/>
          <w:noProof/>
          <w:sz w:val="16"/>
          <w:szCs w:val="16"/>
        </w:rPr>
        <w:fldChar w:fldCharType="end"/>
      </w:r>
      <w:r w:rsidRPr="000A4261">
        <w:rPr>
          <w:rFonts w:ascii="Arial" w:hAnsi="Arial" w:cs="Arial"/>
          <w:sz w:val="16"/>
          <w:szCs w:val="16"/>
        </w:rPr>
        <w:t>: Career path for securing finance for real estate project development</w:t>
      </w:r>
      <w:bookmarkEnd w:id="1476"/>
    </w:p>
    <w:p w14:paraId="34C4053C" w14:textId="77777777" w:rsidR="00CD6352" w:rsidRDefault="00CD6352" w:rsidP="00CD6352">
      <w:pPr>
        <w:rPr>
          <w:rFonts w:ascii="Arial" w:hAnsi="Arial" w:cs="Arial"/>
          <w:b/>
          <w:bCs/>
        </w:rPr>
      </w:pPr>
    </w:p>
    <w:p w14:paraId="5B86C03A" w14:textId="2743947D" w:rsidR="00CD6352" w:rsidRPr="00090BDC" w:rsidRDefault="00CD6352" w:rsidP="00CD6352">
      <w:pPr>
        <w:rPr>
          <w:rFonts w:ascii="Arial" w:hAnsi="Arial" w:cs="Arial"/>
          <w:b/>
          <w:bCs/>
        </w:rPr>
      </w:pPr>
      <w:r w:rsidRPr="00090BDC">
        <w:rPr>
          <w:rFonts w:ascii="Arial" w:hAnsi="Arial" w:cs="Arial"/>
          <w:b/>
          <w:bCs/>
        </w:rPr>
        <w:t xml:space="preserve">Toolkit stage </w:t>
      </w:r>
      <w:r>
        <w:rPr>
          <w:rFonts w:ascii="Arial" w:hAnsi="Arial" w:cs="Arial"/>
          <w:b/>
          <w:bCs/>
        </w:rPr>
        <w:t>6</w:t>
      </w:r>
      <w:r w:rsidRPr="00090BDC">
        <w:rPr>
          <w:rFonts w:ascii="Arial" w:hAnsi="Arial" w:cs="Arial"/>
          <w:b/>
          <w:bCs/>
        </w:rPr>
        <w:t xml:space="preserve">: Conceptual framework </w:t>
      </w:r>
      <w:r w:rsidR="00061AE9" w:rsidRPr="00090BDC">
        <w:rPr>
          <w:rFonts w:ascii="Arial" w:hAnsi="Arial" w:cs="Arial"/>
          <w:b/>
          <w:bCs/>
        </w:rPr>
        <w:t>for</w:t>
      </w:r>
      <w:r w:rsidR="00061AE9">
        <w:rPr>
          <w:rFonts w:ascii="Arial" w:hAnsi="Arial" w:cs="Arial"/>
          <w:b/>
          <w:bCs/>
        </w:rPr>
        <w:t xml:space="preserve"> </w:t>
      </w:r>
      <w:r w:rsidR="00061AE9" w:rsidRPr="00090BDC">
        <w:rPr>
          <w:rFonts w:ascii="Arial" w:hAnsi="Arial" w:cs="Arial"/>
          <w:b/>
          <w:bCs/>
        </w:rPr>
        <w:t>training</w:t>
      </w:r>
      <w:r w:rsidRPr="00090BDC">
        <w:rPr>
          <w:rFonts w:ascii="Arial" w:hAnsi="Arial" w:cs="Arial"/>
          <w:b/>
          <w:bCs/>
        </w:rPr>
        <w:t xml:space="preserve"> and education for securing finance for real estate project development </w:t>
      </w:r>
    </w:p>
    <w:p w14:paraId="5B8956AC" w14:textId="5C93EED5" w:rsidR="00CD6352" w:rsidRPr="00140D82" w:rsidRDefault="00CD6352" w:rsidP="00CD6352">
      <w:pPr>
        <w:spacing w:line="360" w:lineRule="auto"/>
        <w:rPr>
          <w:rFonts w:ascii="Arial" w:hAnsi="Arial" w:cs="Arial"/>
        </w:rPr>
      </w:pPr>
      <w:r w:rsidRPr="00140D82">
        <w:rPr>
          <w:rFonts w:ascii="Arial" w:hAnsi="Arial" w:cs="Arial"/>
        </w:rPr>
        <w:t xml:space="preserve">The different learning styles projected in the </w:t>
      </w:r>
      <w:r>
        <w:rPr>
          <w:rFonts w:ascii="Arial" w:hAnsi="Arial" w:cs="Arial"/>
        </w:rPr>
        <w:t>framework</w:t>
      </w:r>
      <w:r w:rsidRPr="00140D82">
        <w:rPr>
          <w:rFonts w:ascii="Arial" w:hAnsi="Arial" w:cs="Arial"/>
        </w:rPr>
        <w:t xml:space="preserve"> for training and education for securing finance for real estate project development takes into cognisance the behavioural, cognitive and constructivism learning theories as well as Kolb learning stages, Kolb learning styles and Gibbs </w:t>
      </w:r>
      <w:r w:rsidR="008C0E36">
        <w:rPr>
          <w:rFonts w:ascii="Arial" w:hAnsi="Arial" w:cs="Arial"/>
        </w:rPr>
        <w:t>reflective</w:t>
      </w:r>
      <w:r w:rsidRPr="00140D82">
        <w:rPr>
          <w:rFonts w:ascii="Arial" w:hAnsi="Arial" w:cs="Arial"/>
        </w:rPr>
        <w:t xml:space="preserve"> cycle to enhance the learning experiences for the managers and facilitate effectiveness in securing finance for real estate project development. A combination of learning theories is necessary as no single learning theory is adequate ( Egbu, 1994; </w:t>
      </w:r>
      <w:r w:rsidRPr="00140D82">
        <w:rPr>
          <w:rFonts w:ascii="Arial" w:hAnsi="Arial" w:cs="Arial"/>
        </w:rPr>
        <w:lastRenderedPageBreak/>
        <w:t>Whetten and Cameron, 1991).</w:t>
      </w:r>
      <w:r>
        <w:rPr>
          <w:rFonts w:ascii="Arial" w:hAnsi="Arial" w:cs="Arial"/>
        </w:rPr>
        <w:t xml:space="preserve"> </w:t>
      </w:r>
      <w:r w:rsidR="002D1E80">
        <w:rPr>
          <w:rFonts w:ascii="Arial" w:hAnsi="Arial" w:cs="Arial"/>
        </w:rPr>
        <w:t xml:space="preserve">Training and education for securing finance for real estate project development </w:t>
      </w:r>
      <w:r w:rsidR="008D3C79">
        <w:rPr>
          <w:rFonts w:ascii="Arial" w:hAnsi="Arial" w:cs="Arial"/>
        </w:rPr>
        <w:t>are</w:t>
      </w:r>
      <w:r>
        <w:rPr>
          <w:rFonts w:ascii="Arial" w:hAnsi="Arial" w:cs="Arial"/>
        </w:rPr>
        <w:t xml:space="preserve"> discussed in more detail in chapter </w:t>
      </w:r>
      <w:r w:rsidR="008C0E36">
        <w:rPr>
          <w:rFonts w:ascii="Arial" w:hAnsi="Arial" w:cs="Arial"/>
        </w:rPr>
        <w:t>9</w:t>
      </w:r>
      <w:r>
        <w:rPr>
          <w:rFonts w:ascii="Arial" w:hAnsi="Arial" w:cs="Arial"/>
        </w:rPr>
        <w:t>.</w:t>
      </w:r>
    </w:p>
    <w:p w14:paraId="3ECEEA03" w14:textId="53DEE092" w:rsidR="00CD6352" w:rsidRPr="00C61B3E" w:rsidRDefault="00CD6352" w:rsidP="00CD6352">
      <w:pPr>
        <w:spacing w:line="360" w:lineRule="auto"/>
        <w:rPr>
          <w:rFonts w:ascii="Arial" w:hAnsi="Arial" w:cs="Arial"/>
        </w:rPr>
      </w:pPr>
      <w:r w:rsidRPr="00C61B3E">
        <w:rPr>
          <w:rFonts w:ascii="Arial" w:hAnsi="Arial" w:cs="Arial"/>
        </w:rPr>
        <w:t xml:space="preserve">A total of 23 training and education styles/ </w:t>
      </w:r>
      <w:r w:rsidR="00061AE9" w:rsidRPr="00C61B3E">
        <w:rPr>
          <w:rFonts w:ascii="Arial" w:hAnsi="Arial" w:cs="Arial"/>
        </w:rPr>
        <w:t>types were</w:t>
      </w:r>
      <w:r w:rsidRPr="00C61B3E">
        <w:rPr>
          <w:rFonts w:ascii="Arial" w:hAnsi="Arial" w:cs="Arial"/>
        </w:rPr>
        <w:t xml:space="preserve"> identified from both the questionnaire surve</w:t>
      </w:r>
      <w:r>
        <w:rPr>
          <w:rFonts w:ascii="Arial" w:hAnsi="Arial" w:cs="Arial"/>
        </w:rPr>
        <w:t>ys</w:t>
      </w:r>
      <w:r w:rsidRPr="00C61B3E">
        <w:rPr>
          <w:rFonts w:ascii="Arial" w:hAnsi="Arial" w:cs="Arial"/>
        </w:rPr>
        <w:t xml:space="preserve"> and semi-structured interviews</w:t>
      </w:r>
      <w:r w:rsidR="002D1E80">
        <w:rPr>
          <w:rFonts w:ascii="Arial" w:hAnsi="Arial" w:cs="Arial"/>
        </w:rPr>
        <w:t>,</w:t>
      </w:r>
      <w:r w:rsidRPr="00C61B3E">
        <w:rPr>
          <w:rFonts w:ascii="Arial" w:hAnsi="Arial" w:cs="Arial"/>
        </w:rPr>
        <w:t xml:space="preserve"> and they w</w:t>
      </w:r>
      <w:r>
        <w:rPr>
          <w:rFonts w:ascii="Arial" w:hAnsi="Arial" w:cs="Arial"/>
        </w:rPr>
        <w:t>ere</w:t>
      </w:r>
      <w:r w:rsidRPr="00C61B3E">
        <w:rPr>
          <w:rFonts w:ascii="Arial" w:hAnsi="Arial" w:cs="Arial"/>
        </w:rPr>
        <w:t xml:space="preserve"> used for the </w:t>
      </w:r>
      <w:r>
        <w:rPr>
          <w:rFonts w:ascii="Arial" w:hAnsi="Arial" w:cs="Arial"/>
        </w:rPr>
        <w:t>framework</w:t>
      </w:r>
      <w:r w:rsidRPr="00C61B3E">
        <w:rPr>
          <w:rFonts w:ascii="Arial" w:hAnsi="Arial" w:cs="Arial"/>
        </w:rPr>
        <w:t xml:space="preserve">. The different approaches to training and education can apply either on the job or off the job methods of training and education for managers depending on the organisational preferences and </w:t>
      </w:r>
      <w:r>
        <w:rPr>
          <w:rFonts w:ascii="Arial" w:hAnsi="Arial" w:cs="Arial"/>
        </w:rPr>
        <w:t xml:space="preserve">the </w:t>
      </w:r>
      <w:r w:rsidRPr="00C61B3E">
        <w:rPr>
          <w:rFonts w:ascii="Arial" w:hAnsi="Arial" w:cs="Arial"/>
        </w:rPr>
        <w:t xml:space="preserve">application of cost-benefit analysis. On the job and off the job training and education could be customised in conjunction with universities or their training </w:t>
      </w:r>
      <w:r>
        <w:rPr>
          <w:rFonts w:ascii="Arial" w:hAnsi="Arial" w:cs="Arial"/>
        </w:rPr>
        <w:t>instit</w:t>
      </w:r>
      <w:r w:rsidRPr="00C61B3E">
        <w:rPr>
          <w:rFonts w:ascii="Arial" w:hAnsi="Arial" w:cs="Arial"/>
        </w:rPr>
        <w:t>utions</w:t>
      </w:r>
      <w:r w:rsidR="002D1E80">
        <w:rPr>
          <w:rFonts w:ascii="Arial" w:hAnsi="Arial" w:cs="Arial"/>
        </w:rPr>
        <w:t>, as</w:t>
      </w:r>
      <w:r w:rsidRPr="00C61B3E">
        <w:rPr>
          <w:rFonts w:ascii="Arial" w:hAnsi="Arial" w:cs="Arial"/>
        </w:rPr>
        <w:t xml:space="preserve"> with </w:t>
      </w:r>
      <w:r>
        <w:rPr>
          <w:rFonts w:ascii="Arial" w:hAnsi="Arial" w:cs="Arial"/>
        </w:rPr>
        <w:t>the U</w:t>
      </w:r>
      <w:r w:rsidRPr="00C61B3E">
        <w:rPr>
          <w:rFonts w:ascii="Arial" w:hAnsi="Arial" w:cs="Arial"/>
        </w:rPr>
        <w:t>niversity of California and Silicon Valley Titans</w:t>
      </w:r>
      <w:r w:rsidR="002D1E80">
        <w:rPr>
          <w:rFonts w:ascii="Arial" w:hAnsi="Arial" w:cs="Arial"/>
        </w:rPr>
        <w:t>,</w:t>
      </w:r>
      <w:r w:rsidRPr="00C61B3E">
        <w:rPr>
          <w:rFonts w:ascii="Arial" w:hAnsi="Arial" w:cs="Arial"/>
        </w:rPr>
        <w:t xml:space="preserve"> where customised corporate training </w:t>
      </w:r>
      <w:r>
        <w:rPr>
          <w:rFonts w:ascii="Arial" w:hAnsi="Arial" w:cs="Arial"/>
        </w:rPr>
        <w:t>was</w:t>
      </w:r>
      <w:r w:rsidRPr="00C61B3E">
        <w:rPr>
          <w:rFonts w:ascii="Arial" w:hAnsi="Arial" w:cs="Arial"/>
        </w:rPr>
        <w:t xml:space="preserve"> offered for an average of six months (Clark, 1999). </w:t>
      </w:r>
    </w:p>
    <w:p w14:paraId="22F453A7" w14:textId="13DE387F" w:rsidR="00CD6352" w:rsidRPr="00C61B3E" w:rsidRDefault="00CD6352" w:rsidP="00CD6352">
      <w:pPr>
        <w:spacing w:line="360" w:lineRule="auto"/>
        <w:rPr>
          <w:rFonts w:ascii="Arial" w:hAnsi="Arial" w:cs="Arial"/>
        </w:rPr>
      </w:pPr>
      <w:r w:rsidRPr="00C61B3E">
        <w:rPr>
          <w:rFonts w:ascii="Arial" w:hAnsi="Arial" w:cs="Arial"/>
        </w:rPr>
        <w:t>The different approaches to training and education for securing finance for real estate project deve</w:t>
      </w:r>
      <w:r>
        <w:rPr>
          <w:rFonts w:ascii="Arial" w:hAnsi="Arial" w:cs="Arial"/>
        </w:rPr>
        <w:t>lopment</w:t>
      </w:r>
      <w:r w:rsidRPr="00C61B3E">
        <w:rPr>
          <w:rFonts w:ascii="Arial" w:hAnsi="Arial" w:cs="Arial"/>
        </w:rPr>
        <w:t xml:space="preserve"> are classified into traditional and computer</w:t>
      </w:r>
      <w:r w:rsidR="00603C08">
        <w:rPr>
          <w:rFonts w:ascii="Arial" w:hAnsi="Arial" w:cs="Arial"/>
        </w:rPr>
        <w:t>-</w:t>
      </w:r>
      <w:r w:rsidRPr="00C61B3E">
        <w:rPr>
          <w:rFonts w:ascii="Arial" w:hAnsi="Arial" w:cs="Arial"/>
        </w:rPr>
        <w:t>assisted training</w:t>
      </w:r>
      <w:r w:rsidR="002D1E80">
        <w:rPr>
          <w:rFonts w:ascii="Arial" w:hAnsi="Arial" w:cs="Arial"/>
        </w:rPr>
        <w:t>,</w:t>
      </w:r>
      <w:r w:rsidRPr="00C61B3E">
        <w:rPr>
          <w:rFonts w:ascii="Arial" w:hAnsi="Arial" w:cs="Arial"/>
        </w:rPr>
        <w:t xml:space="preserve"> collaborative, talent</w:t>
      </w:r>
      <w:r w:rsidR="00223E37">
        <w:rPr>
          <w:rFonts w:ascii="Arial" w:hAnsi="Arial" w:cs="Arial"/>
        </w:rPr>
        <w:t>-</w:t>
      </w:r>
      <w:r w:rsidRPr="00C61B3E">
        <w:rPr>
          <w:rFonts w:ascii="Arial" w:hAnsi="Arial" w:cs="Arial"/>
        </w:rPr>
        <w:t>driven training</w:t>
      </w:r>
      <w:r w:rsidR="002D1E80">
        <w:rPr>
          <w:rFonts w:ascii="Arial" w:hAnsi="Arial" w:cs="Arial"/>
        </w:rPr>
        <w:t>,</w:t>
      </w:r>
      <w:r w:rsidRPr="00C61B3E">
        <w:rPr>
          <w:rFonts w:ascii="Arial" w:hAnsi="Arial" w:cs="Arial"/>
        </w:rPr>
        <w:t xml:space="preserve"> blended and informal learning and E-learning. Th</w:t>
      </w:r>
      <w:r w:rsidR="002D1E80">
        <w:rPr>
          <w:rFonts w:ascii="Arial" w:hAnsi="Arial" w:cs="Arial"/>
        </w:rPr>
        <w:t>e behaviourist learning school of thought benefits are obtained through the training and education approaches classified under the traditional and computer-assisted training platforms</w:t>
      </w:r>
      <w:r w:rsidRPr="00C61B3E">
        <w:rPr>
          <w:rFonts w:ascii="Arial" w:hAnsi="Arial" w:cs="Arial"/>
        </w:rPr>
        <w:t xml:space="preserve">. </w:t>
      </w:r>
      <w:r w:rsidR="002E6671">
        <w:rPr>
          <w:rFonts w:ascii="Arial" w:hAnsi="Arial" w:cs="Arial"/>
        </w:rPr>
        <w:t>However, t</w:t>
      </w:r>
      <w:r w:rsidRPr="00C61B3E">
        <w:rPr>
          <w:rFonts w:ascii="Arial" w:hAnsi="Arial" w:cs="Arial"/>
        </w:rPr>
        <w:t xml:space="preserve">he </w:t>
      </w:r>
      <w:r w:rsidR="002D1E80">
        <w:rPr>
          <w:rFonts w:ascii="Arial" w:hAnsi="Arial" w:cs="Arial"/>
        </w:rPr>
        <w:t>approaches</w:t>
      </w:r>
      <w:r w:rsidRPr="00C61B3E">
        <w:rPr>
          <w:rFonts w:ascii="Arial" w:hAnsi="Arial" w:cs="Arial"/>
        </w:rPr>
        <w:t xml:space="preserve"> to training and education </w:t>
      </w:r>
      <w:r w:rsidR="002E6671">
        <w:rPr>
          <w:rFonts w:ascii="Arial" w:hAnsi="Arial" w:cs="Arial"/>
        </w:rPr>
        <w:t xml:space="preserve">that are </w:t>
      </w:r>
      <w:r w:rsidRPr="00C61B3E">
        <w:rPr>
          <w:rFonts w:ascii="Arial" w:hAnsi="Arial" w:cs="Arial"/>
        </w:rPr>
        <w:t xml:space="preserve">classified under collaborative, blended and informal learning and the E-learning platforms incorporate the </w:t>
      </w:r>
      <w:r>
        <w:rPr>
          <w:rFonts w:ascii="Arial" w:hAnsi="Arial" w:cs="Arial"/>
        </w:rPr>
        <w:t>c</w:t>
      </w:r>
      <w:r w:rsidRPr="00C61B3E">
        <w:rPr>
          <w:rFonts w:ascii="Arial" w:hAnsi="Arial" w:cs="Arial"/>
        </w:rPr>
        <w:t>ognitivis</w:t>
      </w:r>
      <w:r>
        <w:rPr>
          <w:rFonts w:ascii="Arial" w:hAnsi="Arial" w:cs="Arial"/>
        </w:rPr>
        <w:t>m</w:t>
      </w:r>
      <w:r w:rsidRPr="00C61B3E">
        <w:rPr>
          <w:rFonts w:ascii="Arial" w:hAnsi="Arial" w:cs="Arial"/>
        </w:rPr>
        <w:t xml:space="preserve"> and constructivi</w:t>
      </w:r>
      <w:r>
        <w:rPr>
          <w:rFonts w:ascii="Arial" w:hAnsi="Arial" w:cs="Arial"/>
        </w:rPr>
        <w:t>sm</w:t>
      </w:r>
      <w:r w:rsidRPr="00C61B3E">
        <w:rPr>
          <w:rFonts w:ascii="Arial" w:hAnsi="Arial" w:cs="Arial"/>
        </w:rPr>
        <w:t xml:space="preserve"> learning theories</w:t>
      </w:r>
      <w:r w:rsidR="002D1E80">
        <w:rPr>
          <w:rFonts w:ascii="Arial" w:hAnsi="Arial" w:cs="Arial"/>
        </w:rPr>
        <w:t>.</w:t>
      </w:r>
    </w:p>
    <w:p w14:paraId="1239E9FD" w14:textId="2B972696" w:rsidR="00CD6352" w:rsidRPr="00C61B3E" w:rsidRDefault="00CD6352" w:rsidP="00CD6352">
      <w:pPr>
        <w:spacing w:line="360" w:lineRule="auto"/>
        <w:rPr>
          <w:rFonts w:ascii="Arial" w:hAnsi="Arial" w:cs="Arial"/>
        </w:rPr>
      </w:pPr>
      <w:r w:rsidRPr="00C61B3E">
        <w:rPr>
          <w:rFonts w:ascii="Arial" w:hAnsi="Arial" w:cs="Arial"/>
        </w:rPr>
        <w:t>The feedback mechanis</w:t>
      </w:r>
      <w:r>
        <w:rPr>
          <w:rFonts w:ascii="Arial" w:hAnsi="Arial" w:cs="Arial"/>
        </w:rPr>
        <w:t>m</w:t>
      </w:r>
      <w:r w:rsidRPr="00C61B3E">
        <w:rPr>
          <w:rFonts w:ascii="Arial" w:hAnsi="Arial" w:cs="Arial"/>
        </w:rPr>
        <w:t xml:space="preserve"> </w:t>
      </w:r>
      <w:r w:rsidR="00061AE9" w:rsidRPr="00C61B3E">
        <w:rPr>
          <w:rFonts w:ascii="Arial" w:hAnsi="Arial" w:cs="Arial"/>
        </w:rPr>
        <w:t>of questionnaires</w:t>
      </w:r>
      <w:r w:rsidRPr="00C61B3E">
        <w:rPr>
          <w:rFonts w:ascii="Arial" w:hAnsi="Arial" w:cs="Arial"/>
        </w:rPr>
        <w:t>, observation, role</w:t>
      </w:r>
      <w:r w:rsidR="00603C08">
        <w:rPr>
          <w:rFonts w:ascii="Arial" w:hAnsi="Arial" w:cs="Arial"/>
        </w:rPr>
        <w:t>-</w:t>
      </w:r>
      <w:r w:rsidRPr="00C61B3E">
        <w:rPr>
          <w:rFonts w:ascii="Arial" w:hAnsi="Arial" w:cs="Arial"/>
        </w:rPr>
        <w:t>play, group discussion, practice</w:t>
      </w:r>
      <w:r w:rsidR="002E6671">
        <w:rPr>
          <w:rFonts w:ascii="Arial" w:hAnsi="Arial" w:cs="Arial"/>
        </w:rPr>
        <w:t>,</w:t>
      </w:r>
      <w:r w:rsidRPr="00C61B3E">
        <w:rPr>
          <w:rFonts w:ascii="Arial" w:hAnsi="Arial" w:cs="Arial"/>
        </w:rPr>
        <w:t xml:space="preserve"> and experience incorporate the Kolb learning cycle</w:t>
      </w:r>
      <w:r w:rsidR="002E6671">
        <w:rPr>
          <w:rFonts w:ascii="Arial" w:hAnsi="Arial" w:cs="Arial"/>
        </w:rPr>
        <w:t>,</w:t>
      </w:r>
      <w:r w:rsidRPr="00C61B3E">
        <w:rPr>
          <w:rFonts w:ascii="Arial" w:hAnsi="Arial" w:cs="Arial"/>
        </w:rPr>
        <w:t xml:space="preserve"> Kolb learning style and Gibbs reflective cycle (Gibbs, 1988 &amp; Kolb,1976). The feedback mechanism also incorporates </w:t>
      </w:r>
      <w:r>
        <w:rPr>
          <w:rFonts w:ascii="Arial" w:hAnsi="Arial" w:cs="Arial"/>
        </w:rPr>
        <w:t xml:space="preserve">the </w:t>
      </w:r>
      <w:r w:rsidRPr="00C61B3E">
        <w:rPr>
          <w:rFonts w:ascii="Arial" w:hAnsi="Arial" w:cs="Arial"/>
        </w:rPr>
        <w:t>fo</w:t>
      </w:r>
      <w:r>
        <w:rPr>
          <w:rFonts w:ascii="Arial" w:hAnsi="Arial" w:cs="Arial"/>
        </w:rPr>
        <w:t>u</w:t>
      </w:r>
      <w:r w:rsidRPr="00C61B3E">
        <w:rPr>
          <w:rFonts w:ascii="Arial" w:hAnsi="Arial" w:cs="Arial"/>
        </w:rPr>
        <w:t>r main stages</w:t>
      </w:r>
      <w:r>
        <w:rPr>
          <w:rFonts w:ascii="Arial" w:hAnsi="Arial" w:cs="Arial"/>
        </w:rPr>
        <w:t xml:space="preserve"> </w:t>
      </w:r>
      <w:r w:rsidRPr="00C61B3E">
        <w:rPr>
          <w:rFonts w:ascii="Arial" w:hAnsi="Arial" w:cs="Arial"/>
        </w:rPr>
        <w:t>show</w:t>
      </w:r>
      <w:r>
        <w:rPr>
          <w:rFonts w:ascii="Arial" w:hAnsi="Arial" w:cs="Arial"/>
        </w:rPr>
        <w:t>n</w:t>
      </w:r>
      <w:r w:rsidRPr="00C61B3E">
        <w:rPr>
          <w:rFonts w:ascii="Arial" w:hAnsi="Arial" w:cs="Arial"/>
        </w:rPr>
        <w:t xml:space="preserve"> to be effective for developing management skills/knowledge (Egbu, 1994).</w:t>
      </w:r>
    </w:p>
    <w:p w14:paraId="2D0C60D7" w14:textId="6C7AE245" w:rsidR="00C17E21" w:rsidRDefault="005570CD" w:rsidP="00CD6352">
      <w:pPr>
        <w:keepNext/>
        <w:spacing w:after="200" w:line="240" w:lineRule="auto"/>
        <w:rPr>
          <w:rFonts w:ascii="Calibri" w:eastAsia="Calibri" w:hAnsi="Calibri" w:cs="Times New Roman"/>
          <w:i/>
          <w:iCs/>
          <w:color w:val="1F497D"/>
          <w:sz w:val="18"/>
          <w:szCs w:val="18"/>
        </w:rPr>
      </w:pPr>
      <w:bookmarkStart w:id="1477" w:name="_Toc78984050"/>
      <w:r w:rsidRPr="00C17E21">
        <w:rPr>
          <w:rFonts w:ascii="Arial" w:eastAsia="Calibri" w:hAnsi="Arial" w:cs="Arial"/>
          <w:i/>
          <w:iCs/>
          <w:sz w:val="16"/>
          <w:szCs w:val="16"/>
        </w:rPr>
        <w:t xml:space="preserve">Table </w:t>
      </w:r>
      <w:r w:rsidR="008F25B1">
        <w:rPr>
          <w:rFonts w:ascii="Arial" w:eastAsia="Calibri" w:hAnsi="Arial" w:cs="Arial"/>
          <w:i/>
          <w:iCs/>
          <w:sz w:val="16"/>
          <w:szCs w:val="16"/>
        </w:rPr>
        <w:fldChar w:fldCharType="begin"/>
      </w:r>
      <w:r w:rsidR="008F25B1">
        <w:rPr>
          <w:rFonts w:ascii="Arial" w:eastAsia="Calibri" w:hAnsi="Arial" w:cs="Arial"/>
          <w:i/>
          <w:iCs/>
          <w:sz w:val="16"/>
          <w:szCs w:val="16"/>
        </w:rPr>
        <w:instrText xml:space="preserve"> STYLEREF 2 \s </w:instrText>
      </w:r>
      <w:r w:rsidR="008F25B1">
        <w:rPr>
          <w:rFonts w:ascii="Arial" w:eastAsia="Calibri" w:hAnsi="Arial" w:cs="Arial"/>
          <w:i/>
          <w:iCs/>
          <w:sz w:val="16"/>
          <w:szCs w:val="16"/>
        </w:rPr>
        <w:fldChar w:fldCharType="separate"/>
      </w:r>
      <w:r w:rsidR="008F25B1">
        <w:rPr>
          <w:rFonts w:ascii="Arial" w:eastAsia="Calibri" w:hAnsi="Arial" w:cs="Arial"/>
          <w:i/>
          <w:iCs/>
          <w:noProof/>
          <w:sz w:val="16"/>
          <w:szCs w:val="16"/>
        </w:rPr>
        <w:t>10.2</w:t>
      </w:r>
      <w:r w:rsidR="008F25B1">
        <w:rPr>
          <w:rFonts w:ascii="Arial" w:eastAsia="Calibri" w:hAnsi="Arial" w:cs="Arial"/>
          <w:i/>
          <w:iCs/>
          <w:sz w:val="16"/>
          <w:szCs w:val="16"/>
        </w:rPr>
        <w:fldChar w:fldCharType="end"/>
      </w:r>
      <w:r w:rsidR="008F25B1">
        <w:rPr>
          <w:rFonts w:ascii="Arial" w:eastAsia="Calibri" w:hAnsi="Arial" w:cs="Arial"/>
          <w:i/>
          <w:iCs/>
          <w:sz w:val="16"/>
          <w:szCs w:val="16"/>
        </w:rPr>
        <w:noBreakHyphen/>
      </w:r>
      <w:r w:rsidR="008F25B1">
        <w:rPr>
          <w:rFonts w:ascii="Arial" w:eastAsia="Calibri" w:hAnsi="Arial" w:cs="Arial"/>
          <w:i/>
          <w:iCs/>
          <w:sz w:val="16"/>
          <w:szCs w:val="16"/>
        </w:rPr>
        <w:fldChar w:fldCharType="begin"/>
      </w:r>
      <w:r w:rsidR="008F25B1">
        <w:rPr>
          <w:rFonts w:ascii="Arial" w:eastAsia="Calibri" w:hAnsi="Arial" w:cs="Arial"/>
          <w:i/>
          <w:iCs/>
          <w:sz w:val="16"/>
          <w:szCs w:val="16"/>
        </w:rPr>
        <w:instrText xml:space="preserve"> SEQ Table \* ARABIC \s 2 </w:instrText>
      </w:r>
      <w:r w:rsidR="008F25B1">
        <w:rPr>
          <w:rFonts w:ascii="Arial" w:eastAsia="Calibri" w:hAnsi="Arial" w:cs="Arial"/>
          <w:i/>
          <w:iCs/>
          <w:sz w:val="16"/>
          <w:szCs w:val="16"/>
        </w:rPr>
        <w:fldChar w:fldCharType="separate"/>
      </w:r>
      <w:r w:rsidR="008F25B1">
        <w:rPr>
          <w:rFonts w:ascii="Arial" w:eastAsia="Calibri" w:hAnsi="Arial" w:cs="Arial"/>
          <w:i/>
          <w:iCs/>
          <w:noProof/>
          <w:sz w:val="16"/>
          <w:szCs w:val="16"/>
        </w:rPr>
        <w:t>9</w:t>
      </w:r>
      <w:r w:rsidR="008F25B1">
        <w:rPr>
          <w:rFonts w:ascii="Arial" w:eastAsia="Calibri" w:hAnsi="Arial" w:cs="Arial"/>
          <w:i/>
          <w:iCs/>
          <w:sz w:val="16"/>
          <w:szCs w:val="16"/>
        </w:rPr>
        <w:fldChar w:fldCharType="end"/>
      </w:r>
      <w:r w:rsidRPr="00C17E21">
        <w:rPr>
          <w:rFonts w:ascii="Arial" w:eastAsia="Calibri" w:hAnsi="Arial" w:cs="Arial"/>
          <w:i/>
          <w:iCs/>
          <w:sz w:val="16"/>
          <w:szCs w:val="16"/>
        </w:rPr>
        <w:t>: Conceptual framework for training and education for securing finance for real estate project development</w:t>
      </w:r>
      <w:bookmarkEnd w:id="1477"/>
    </w:p>
    <w:tbl>
      <w:tblPr>
        <w:tblStyle w:val="TableGrid"/>
        <w:tblpPr w:leftFromText="180" w:rightFromText="180" w:vertAnchor="text" w:horzAnchor="margin" w:tblpY="65"/>
        <w:tblW w:w="9020" w:type="dxa"/>
        <w:tblLayout w:type="fixed"/>
        <w:tblLook w:val="04A0" w:firstRow="1" w:lastRow="0" w:firstColumn="1" w:lastColumn="0" w:noHBand="0" w:noVBand="1"/>
      </w:tblPr>
      <w:tblGrid>
        <w:gridCol w:w="1310"/>
        <w:gridCol w:w="1917"/>
        <w:gridCol w:w="2126"/>
        <w:gridCol w:w="1701"/>
        <w:gridCol w:w="1966"/>
      </w:tblGrid>
      <w:tr w:rsidR="005570CD" w:rsidRPr="00DF6F30" w14:paraId="43ED879F" w14:textId="77777777" w:rsidTr="005570CD">
        <w:tc>
          <w:tcPr>
            <w:tcW w:w="1310" w:type="dxa"/>
          </w:tcPr>
          <w:p w14:paraId="72873880" w14:textId="77777777" w:rsidR="005570CD" w:rsidRPr="00DF6F30" w:rsidRDefault="005570CD" w:rsidP="005570CD">
            <w:pPr>
              <w:rPr>
                <w:rFonts w:ascii="Arial" w:eastAsia="Calibri" w:hAnsi="Arial" w:cs="Arial"/>
                <w:sz w:val="16"/>
                <w:szCs w:val="16"/>
              </w:rPr>
            </w:pPr>
            <w:r w:rsidRPr="00DF6F30">
              <w:rPr>
                <w:rFonts w:ascii="Arial" w:eastAsia="Calibri" w:hAnsi="Arial" w:cs="Arial"/>
                <w:sz w:val="16"/>
                <w:szCs w:val="16"/>
              </w:rPr>
              <w:t xml:space="preserve">Form of training </w:t>
            </w:r>
          </w:p>
        </w:tc>
        <w:tc>
          <w:tcPr>
            <w:tcW w:w="7710" w:type="dxa"/>
            <w:gridSpan w:val="4"/>
          </w:tcPr>
          <w:p w14:paraId="488F7E4F" w14:textId="77777777" w:rsidR="005570CD" w:rsidRPr="00DF6F30" w:rsidRDefault="005570CD" w:rsidP="005570CD">
            <w:pPr>
              <w:jc w:val="center"/>
              <w:rPr>
                <w:rFonts w:ascii="Arial" w:eastAsia="Calibri" w:hAnsi="Arial" w:cs="Arial"/>
                <w:sz w:val="16"/>
                <w:szCs w:val="16"/>
              </w:rPr>
            </w:pPr>
            <w:r w:rsidRPr="00DF6F30">
              <w:rPr>
                <w:rFonts w:ascii="Arial" w:eastAsia="Calibri" w:hAnsi="Arial" w:cs="Arial"/>
                <w:sz w:val="16"/>
                <w:szCs w:val="16"/>
              </w:rPr>
              <w:t>On the job and</w:t>
            </w:r>
            <w:r>
              <w:rPr>
                <w:rFonts w:ascii="Arial" w:eastAsia="Calibri" w:hAnsi="Arial" w:cs="Arial"/>
                <w:sz w:val="16"/>
                <w:szCs w:val="16"/>
              </w:rPr>
              <w:t>/</w:t>
            </w:r>
            <w:r w:rsidRPr="00DF6F30">
              <w:rPr>
                <w:rFonts w:ascii="Arial" w:eastAsia="Calibri" w:hAnsi="Arial" w:cs="Arial"/>
                <w:sz w:val="16"/>
                <w:szCs w:val="16"/>
              </w:rPr>
              <w:t>or off the job training and education</w:t>
            </w:r>
          </w:p>
        </w:tc>
      </w:tr>
      <w:tr w:rsidR="005570CD" w:rsidRPr="00DF6F30" w14:paraId="6A80DEF0" w14:textId="77777777" w:rsidTr="005570CD">
        <w:tc>
          <w:tcPr>
            <w:tcW w:w="1310" w:type="dxa"/>
          </w:tcPr>
          <w:p w14:paraId="0A78C052" w14:textId="77777777" w:rsidR="005570CD" w:rsidRPr="00DF6F30" w:rsidRDefault="005570CD" w:rsidP="005570CD">
            <w:pPr>
              <w:rPr>
                <w:rFonts w:ascii="Arial" w:eastAsia="Calibri" w:hAnsi="Arial" w:cs="Arial"/>
                <w:b/>
                <w:sz w:val="16"/>
                <w:szCs w:val="16"/>
              </w:rPr>
            </w:pPr>
            <w:r w:rsidRPr="00DF6F30">
              <w:rPr>
                <w:rFonts w:ascii="Arial" w:eastAsia="Calibri" w:hAnsi="Arial" w:cs="Arial"/>
                <w:b/>
                <w:sz w:val="16"/>
                <w:szCs w:val="16"/>
              </w:rPr>
              <w:t>Learning platforms</w:t>
            </w:r>
          </w:p>
        </w:tc>
        <w:tc>
          <w:tcPr>
            <w:tcW w:w="1917" w:type="dxa"/>
          </w:tcPr>
          <w:p w14:paraId="5576D04C" w14:textId="77777777" w:rsidR="005570CD" w:rsidRPr="00DF6F30" w:rsidRDefault="005570CD" w:rsidP="005570CD">
            <w:pPr>
              <w:rPr>
                <w:rFonts w:ascii="Arial" w:eastAsia="Calibri" w:hAnsi="Arial" w:cs="Arial"/>
                <w:b/>
                <w:sz w:val="16"/>
                <w:szCs w:val="16"/>
              </w:rPr>
            </w:pPr>
            <w:r w:rsidRPr="00DF6F30">
              <w:rPr>
                <w:rFonts w:ascii="Arial" w:eastAsia="Calibri" w:hAnsi="Arial" w:cs="Arial"/>
                <w:b/>
                <w:sz w:val="16"/>
                <w:szCs w:val="16"/>
              </w:rPr>
              <w:t>Traditional and computer</w:t>
            </w:r>
            <w:r>
              <w:rPr>
                <w:rFonts w:ascii="Arial" w:eastAsia="Calibri" w:hAnsi="Arial" w:cs="Arial"/>
                <w:b/>
                <w:sz w:val="16"/>
                <w:szCs w:val="16"/>
              </w:rPr>
              <w:t>-</w:t>
            </w:r>
            <w:r w:rsidRPr="00DF6F30">
              <w:rPr>
                <w:rFonts w:ascii="Arial" w:eastAsia="Calibri" w:hAnsi="Arial" w:cs="Arial"/>
                <w:b/>
                <w:sz w:val="16"/>
                <w:szCs w:val="16"/>
              </w:rPr>
              <w:t>assisted training</w:t>
            </w:r>
          </w:p>
        </w:tc>
        <w:tc>
          <w:tcPr>
            <w:tcW w:w="2126" w:type="dxa"/>
          </w:tcPr>
          <w:p w14:paraId="4A21CA87" w14:textId="77777777" w:rsidR="005570CD" w:rsidRPr="00DF6F30" w:rsidRDefault="005570CD" w:rsidP="005570CD">
            <w:pPr>
              <w:rPr>
                <w:rFonts w:ascii="Arial" w:eastAsia="Calibri" w:hAnsi="Arial" w:cs="Arial"/>
                <w:b/>
                <w:sz w:val="16"/>
                <w:szCs w:val="16"/>
              </w:rPr>
            </w:pPr>
            <w:r w:rsidRPr="00DF6F30">
              <w:rPr>
                <w:rFonts w:ascii="Arial" w:eastAsia="Calibri" w:hAnsi="Arial" w:cs="Arial"/>
                <w:b/>
                <w:sz w:val="16"/>
                <w:szCs w:val="16"/>
              </w:rPr>
              <w:t>Collaborative, talent</w:t>
            </w:r>
            <w:r>
              <w:rPr>
                <w:rFonts w:ascii="Arial" w:eastAsia="Calibri" w:hAnsi="Arial" w:cs="Arial"/>
                <w:b/>
                <w:sz w:val="16"/>
                <w:szCs w:val="16"/>
              </w:rPr>
              <w:t>-</w:t>
            </w:r>
            <w:r w:rsidRPr="00DF6F30">
              <w:rPr>
                <w:rFonts w:ascii="Arial" w:eastAsia="Calibri" w:hAnsi="Arial" w:cs="Arial"/>
                <w:b/>
                <w:sz w:val="16"/>
                <w:szCs w:val="16"/>
              </w:rPr>
              <w:t>driven learning</w:t>
            </w:r>
          </w:p>
        </w:tc>
        <w:tc>
          <w:tcPr>
            <w:tcW w:w="1701" w:type="dxa"/>
          </w:tcPr>
          <w:p w14:paraId="0D636B7F" w14:textId="77777777" w:rsidR="005570CD" w:rsidRPr="00DF6F30" w:rsidRDefault="005570CD" w:rsidP="005570CD">
            <w:pPr>
              <w:jc w:val="center"/>
              <w:rPr>
                <w:rFonts w:ascii="Arial" w:eastAsia="Calibri" w:hAnsi="Arial" w:cs="Arial"/>
                <w:b/>
                <w:sz w:val="16"/>
                <w:szCs w:val="16"/>
              </w:rPr>
            </w:pPr>
            <w:r w:rsidRPr="00DF6F30">
              <w:rPr>
                <w:rFonts w:ascii="Arial" w:eastAsia="Calibri" w:hAnsi="Arial" w:cs="Arial"/>
                <w:b/>
                <w:sz w:val="16"/>
                <w:szCs w:val="16"/>
              </w:rPr>
              <w:t>Blended and informal learning</w:t>
            </w:r>
          </w:p>
        </w:tc>
        <w:tc>
          <w:tcPr>
            <w:tcW w:w="1966" w:type="dxa"/>
          </w:tcPr>
          <w:p w14:paraId="3A1FA16E" w14:textId="77777777" w:rsidR="005570CD" w:rsidRPr="00DF6F30" w:rsidRDefault="005570CD" w:rsidP="005570CD">
            <w:pPr>
              <w:rPr>
                <w:rFonts w:ascii="Arial" w:eastAsia="Calibri" w:hAnsi="Arial" w:cs="Arial"/>
                <w:b/>
                <w:sz w:val="16"/>
                <w:szCs w:val="16"/>
              </w:rPr>
            </w:pPr>
            <w:r w:rsidRPr="00DF6F30">
              <w:rPr>
                <w:rFonts w:ascii="Arial" w:eastAsia="Calibri" w:hAnsi="Arial" w:cs="Arial"/>
                <w:b/>
                <w:sz w:val="16"/>
                <w:szCs w:val="16"/>
              </w:rPr>
              <w:t>E-learning</w:t>
            </w:r>
          </w:p>
        </w:tc>
      </w:tr>
      <w:tr w:rsidR="005570CD" w:rsidRPr="00DF6F30" w14:paraId="049D22FF" w14:textId="77777777" w:rsidTr="005570CD">
        <w:tc>
          <w:tcPr>
            <w:tcW w:w="1310" w:type="dxa"/>
          </w:tcPr>
          <w:p w14:paraId="6CF57F31" w14:textId="77777777" w:rsidR="005570CD" w:rsidRPr="00DF6F30" w:rsidRDefault="005570CD" w:rsidP="005570CD">
            <w:pPr>
              <w:rPr>
                <w:rFonts w:ascii="Arial" w:eastAsia="Calibri" w:hAnsi="Arial" w:cs="Arial"/>
                <w:b/>
                <w:sz w:val="16"/>
                <w:szCs w:val="16"/>
              </w:rPr>
            </w:pPr>
            <w:r w:rsidRPr="00DF6F30">
              <w:rPr>
                <w:rFonts w:ascii="Arial" w:eastAsia="Calibri" w:hAnsi="Arial" w:cs="Arial"/>
                <w:b/>
                <w:sz w:val="16"/>
                <w:szCs w:val="16"/>
              </w:rPr>
              <w:t>Recommended frequencies</w:t>
            </w:r>
          </w:p>
        </w:tc>
        <w:tc>
          <w:tcPr>
            <w:tcW w:w="1917" w:type="dxa"/>
          </w:tcPr>
          <w:p w14:paraId="211D6B1F" w14:textId="77777777" w:rsidR="005570CD" w:rsidRPr="00DF6F30" w:rsidRDefault="005570CD" w:rsidP="005570CD">
            <w:pPr>
              <w:rPr>
                <w:rFonts w:ascii="Arial" w:eastAsia="Calibri" w:hAnsi="Arial" w:cs="Arial"/>
                <w:bCs/>
                <w:sz w:val="16"/>
                <w:szCs w:val="16"/>
              </w:rPr>
            </w:pPr>
            <w:r w:rsidRPr="00DF6F30">
              <w:rPr>
                <w:rFonts w:ascii="Arial" w:eastAsia="Calibri" w:hAnsi="Arial" w:cs="Arial"/>
                <w:bCs/>
                <w:sz w:val="16"/>
                <w:szCs w:val="16"/>
              </w:rPr>
              <w:t>1 to 2 times annually</w:t>
            </w:r>
          </w:p>
        </w:tc>
        <w:tc>
          <w:tcPr>
            <w:tcW w:w="2126" w:type="dxa"/>
          </w:tcPr>
          <w:p w14:paraId="00A34288" w14:textId="77777777" w:rsidR="005570CD" w:rsidRPr="00DF6F30" w:rsidRDefault="005570CD" w:rsidP="005570CD">
            <w:pPr>
              <w:rPr>
                <w:rFonts w:ascii="Arial" w:eastAsia="Calibri" w:hAnsi="Arial" w:cs="Arial"/>
                <w:bCs/>
                <w:sz w:val="16"/>
                <w:szCs w:val="16"/>
              </w:rPr>
            </w:pPr>
            <w:r w:rsidRPr="00DF6F30">
              <w:rPr>
                <w:rFonts w:ascii="Arial" w:eastAsia="Calibri" w:hAnsi="Arial" w:cs="Arial"/>
                <w:bCs/>
                <w:sz w:val="16"/>
                <w:szCs w:val="16"/>
              </w:rPr>
              <w:t>1 to 2 times annually</w:t>
            </w:r>
          </w:p>
        </w:tc>
        <w:tc>
          <w:tcPr>
            <w:tcW w:w="1701" w:type="dxa"/>
          </w:tcPr>
          <w:p w14:paraId="123C0CB6" w14:textId="77777777" w:rsidR="005570CD" w:rsidRPr="00DF6F30" w:rsidRDefault="005570CD" w:rsidP="005570CD">
            <w:pPr>
              <w:jc w:val="center"/>
              <w:rPr>
                <w:rFonts w:ascii="Arial" w:eastAsia="Calibri" w:hAnsi="Arial" w:cs="Arial"/>
                <w:bCs/>
                <w:sz w:val="16"/>
                <w:szCs w:val="16"/>
              </w:rPr>
            </w:pPr>
            <w:r w:rsidRPr="00DF6F30">
              <w:rPr>
                <w:rFonts w:ascii="Arial" w:eastAsia="Calibri" w:hAnsi="Arial" w:cs="Arial"/>
                <w:bCs/>
                <w:sz w:val="16"/>
                <w:szCs w:val="16"/>
              </w:rPr>
              <w:t>Regular basis</w:t>
            </w:r>
          </w:p>
        </w:tc>
        <w:tc>
          <w:tcPr>
            <w:tcW w:w="1966" w:type="dxa"/>
          </w:tcPr>
          <w:p w14:paraId="24C06987" w14:textId="77777777" w:rsidR="005570CD" w:rsidRPr="00DF6F30" w:rsidRDefault="005570CD" w:rsidP="005570CD">
            <w:pPr>
              <w:rPr>
                <w:rFonts w:ascii="Arial" w:eastAsia="Calibri" w:hAnsi="Arial" w:cs="Arial"/>
                <w:bCs/>
                <w:sz w:val="16"/>
                <w:szCs w:val="16"/>
              </w:rPr>
            </w:pPr>
            <w:r w:rsidRPr="00DF6F30">
              <w:rPr>
                <w:rFonts w:ascii="Arial" w:eastAsia="Calibri" w:hAnsi="Arial" w:cs="Arial"/>
                <w:bCs/>
                <w:sz w:val="16"/>
                <w:szCs w:val="16"/>
              </w:rPr>
              <w:t>Regular basis</w:t>
            </w:r>
          </w:p>
        </w:tc>
      </w:tr>
      <w:tr w:rsidR="005570CD" w:rsidRPr="00DF6F30" w14:paraId="220F2FE0" w14:textId="77777777" w:rsidTr="005570CD">
        <w:trPr>
          <w:trHeight w:val="416"/>
        </w:trPr>
        <w:tc>
          <w:tcPr>
            <w:tcW w:w="1310" w:type="dxa"/>
            <w:textDirection w:val="btLr"/>
          </w:tcPr>
          <w:p w14:paraId="1B543C49" w14:textId="77777777" w:rsidR="005570CD" w:rsidRPr="00DF6F30" w:rsidRDefault="005570CD" w:rsidP="005570CD">
            <w:pPr>
              <w:ind w:left="113" w:right="113"/>
              <w:jc w:val="center"/>
              <w:rPr>
                <w:rFonts w:ascii="Arial" w:eastAsia="Calibri" w:hAnsi="Arial" w:cs="Arial"/>
                <w:sz w:val="16"/>
                <w:szCs w:val="16"/>
              </w:rPr>
            </w:pPr>
            <w:r w:rsidRPr="00DF6F30">
              <w:rPr>
                <w:rFonts w:ascii="Arial" w:eastAsia="Calibri" w:hAnsi="Arial" w:cs="Arial"/>
                <w:sz w:val="16"/>
                <w:szCs w:val="16"/>
              </w:rPr>
              <w:t>Learning approaches</w:t>
            </w:r>
          </w:p>
        </w:tc>
        <w:tc>
          <w:tcPr>
            <w:tcW w:w="1917" w:type="dxa"/>
          </w:tcPr>
          <w:p w14:paraId="09997BBA"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Classroom instructor-led training for a short period(offered by consultants)</w:t>
            </w:r>
          </w:p>
          <w:p w14:paraId="602C3711"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Computer-based training</w:t>
            </w:r>
          </w:p>
          <w:p w14:paraId="1B497AFB"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Continuing professional development</w:t>
            </w:r>
          </w:p>
          <w:p w14:paraId="6CFFAB46"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 xml:space="preserve">Executive MBA(with classes </w:t>
            </w:r>
            <w:r w:rsidRPr="00DF6F30">
              <w:rPr>
                <w:rFonts w:ascii="Arial" w:eastAsia="Calibri" w:hAnsi="Arial" w:cs="Arial"/>
                <w:sz w:val="16"/>
                <w:szCs w:val="16"/>
              </w:rPr>
              <w:lastRenderedPageBreak/>
              <w:t>on a part-time basis)</w:t>
            </w:r>
          </w:p>
          <w:p w14:paraId="275A9032"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External training</w:t>
            </w:r>
          </w:p>
          <w:p w14:paraId="585A9A11"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University residential (the full-time program for some weeks )</w:t>
            </w:r>
          </w:p>
          <w:p w14:paraId="26D55817"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Usage of formal qualification</w:t>
            </w:r>
          </w:p>
          <w:p w14:paraId="61A142FE"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Academic research</w:t>
            </w:r>
          </w:p>
          <w:p w14:paraId="029405E9"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Classroom-based training with consultant</w:t>
            </w:r>
          </w:p>
          <w:p w14:paraId="03B363E3"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Professional qualification from RICS or other relevant bodies</w:t>
            </w:r>
          </w:p>
          <w:p w14:paraId="140B9D56"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Business development courses</w:t>
            </w:r>
          </w:p>
          <w:p w14:paraId="1C9FBA9C"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Experience in real estate and finance</w:t>
            </w:r>
          </w:p>
          <w:p w14:paraId="36C6BD1D" w14:textId="77777777" w:rsidR="005570CD" w:rsidRPr="00DF6F30" w:rsidRDefault="005570CD" w:rsidP="005570CD">
            <w:pPr>
              <w:numPr>
                <w:ilvl w:val="0"/>
                <w:numId w:val="212"/>
              </w:numPr>
              <w:spacing w:after="0" w:line="240" w:lineRule="auto"/>
              <w:contextualSpacing/>
              <w:rPr>
                <w:rFonts w:ascii="Arial" w:eastAsia="Calibri" w:hAnsi="Arial" w:cs="Arial"/>
                <w:sz w:val="16"/>
                <w:szCs w:val="16"/>
              </w:rPr>
            </w:pPr>
            <w:r w:rsidRPr="00DF6F30">
              <w:rPr>
                <w:rFonts w:ascii="Arial" w:eastAsia="Calibri" w:hAnsi="Arial" w:cs="Arial"/>
                <w:sz w:val="16"/>
                <w:szCs w:val="16"/>
              </w:rPr>
              <w:t>In-house training</w:t>
            </w:r>
          </w:p>
        </w:tc>
        <w:tc>
          <w:tcPr>
            <w:tcW w:w="2126" w:type="dxa"/>
          </w:tcPr>
          <w:p w14:paraId="0151D9D8" w14:textId="77777777" w:rsidR="005570CD" w:rsidRPr="00DF6F30" w:rsidRDefault="005570CD" w:rsidP="005570CD">
            <w:pPr>
              <w:numPr>
                <w:ilvl w:val="0"/>
                <w:numId w:val="214"/>
              </w:numPr>
              <w:spacing w:after="0" w:line="240" w:lineRule="auto"/>
              <w:contextualSpacing/>
              <w:rPr>
                <w:rFonts w:ascii="Arial" w:eastAsia="Calibri" w:hAnsi="Arial" w:cs="Arial"/>
                <w:sz w:val="16"/>
                <w:szCs w:val="16"/>
              </w:rPr>
            </w:pPr>
            <w:r w:rsidRPr="00DF6F30">
              <w:rPr>
                <w:rFonts w:ascii="Arial" w:eastAsia="Calibri" w:hAnsi="Arial" w:cs="Arial"/>
                <w:sz w:val="16"/>
                <w:szCs w:val="16"/>
              </w:rPr>
              <w:lastRenderedPageBreak/>
              <w:t>Conferences &amp; seminars</w:t>
            </w:r>
          </w:p>
          <w:p w14:paraId="3C1ED63C"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Continuing professional development</w:t>
            </w:r>
          </w:p>
          <w:p w14:paraId="060DA06E"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Executive MBA(with classes on a part-time basis)</w:t>
            </w:r>
          </w:p>
          <w:p w14:paraId="53D058BA"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Learning by holding meetings</w:t>
            </w:r>
          </w:p>
          <w:p w14:paraId="7AE8BD52"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lastRenderedPageBreak/>
              <w:t>External training</w:t>
            </w:r>
          </w:p>
          <w:p w14:paraId="4DB3E641"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Academic research</w:t>
            </w:r>
          </w:p>
          <w:p w14:paraId="09952202"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Internship with banks</w:t>
            </w:r>
          </w:p>
          <w:p w14:paraId="39466AC3"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Usage of external advisers</w:t>
            </w:r>
          </w:p>
          <w:p w14:paraId="5D7A91FB"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Workshops</w:t>
            </w:r>
          </w:p>
          <w:p w14:paraId="423F2D8A"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Business development courses</w:t>
            </w:r>
          </w:p>
          <w:p w14:paraId="0CC2DB6E"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Experience in real estate and finance</w:t>
            </w:r>
          </w:p>
          <w:p w14:paraId="2A68CBB3" w14:textId="77777777" w:rsidR="005570CD" w:rsidRPr="00DF6F30" w:rsidRDefault="005570CD" w:rsidP="005570CD">
            <w:pPr>
              <w:numPr>
                <w:ilvl w:val="0"/>
                <w:numId w:val="213"/>
              </w:numPr>
              <w:spacing w:after="0" w:line="240" w:lineRule="auto"/>
              <w:contextualSpacing/>
              <w:rPr>
                <w:rFonts w:ascii="Arial" w:eastAsia="Calibri" w:hAnsi="Arial" w:cs="Arial"/>
                <w:sz w:val="16"/>
                <w:szCs w:val="16"/>
              </w:rPr>
            </w:pPr>
            <w:r w:rsidRPr="00DF6F30">
              <w:rPr>
                <w:rFonts w:ascii="Arial" w:eastAsia="Calibri" w:hAnsi="Arial" w:cs="Arial"/>
                <w:sz w:val="16"/>
                <w:szCs w:val="16"/>
              </w:rPr>
              <w:t>In-house training</w:t>
            </w:r>
          </w:p>
        </w:tc>
        <w:tc>
          <w:tcPr>
            <w:tcW w:w="1701" w:type="dxa"/>
          </w:tcPr>
          <w:p w14:paraId="115B6979"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lastRenderedPageBreak/>
              <w:t>Conferences &amp; seminar</w:t>
            </w:r>
          </w:p>
          <w:p w14:paraId="7AE9F975"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Continuing professional development</w:t>
            </w:r>
          </w:p>
          <w:p w14:paraId="7D13E7AD"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Learning by holding meetings</w:t>
            </w:r>
          </w:p>
          <w:p w14:paraId="7FABC085"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External training</w:t>
            </w:r>
          </w:p>
          <w:p w14:paraId="7B05A513"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Internship with banks</w:t>
            </w:r>
          </w:p>
          <w:p w14:paraId="229AC65C"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lastRenderedPageBreak/>
              <w:t>Usage of external advisers</w:t>
            </w:r>
          </w:p>
          <w:p w14:paraId="26B88606"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Workshops</w:t>
            </w:r>
          </w:p>
          <w:p w14:paraId="0FFA5C6A"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Business development courses</w:t>
            </w:r>
          </w:p>
          <w:p w14:paraId="12B805E2"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Experience in real estate and finance</w:t>
            </w:r>
          </w:p>
          <w:p w14:paraId="38C66B7F" w14:textId="77777777" w:rsidR="005570CD" w:rsidRPr="00DF6F30" w:rsidRDefault="005570CD" w:rsidP="005570CD">
            <w:pPr>
              <w:numPr>
                <w:ilvl w:val="0"/>
                <w:numId w:val="215"/>
              </w:numPr>
              <w:spacing w:after="0" w:line="240" w:lineRule="auto"/>
              <w:contextualSpacing/>
              <w:rPr>
                <w:rFonts w:ascii="Arial" w:eastAsia="Calibri" w:hAnsi="Arial" w:cs="Arial"/>
                <w:sz w:val="16"/>
                <w:szCs w:val="16"/>
              </w:rPr>
            </w:pPr>
            <w:r w:rsidRPr="00DF6F30">
              <w:rPr>
                <w:rFonts w:ascii="Arial" w:eastAsia="Calibri" w:hAnsi="Arial" w:cs="Arial"/>
                <w:sz w:val="16"/>
                <w:szCs w:val="16"/>
              </w:rPr>
              <w:t>In-house training</w:t>
            </w:r>
          </w:p>
        </w:tc>
        <w:tc>
          <w:tcPr>
            <w:tcW w:w="1966" w:type="dxa"/>
          </w:tcPr>
          <w:p w14:paraId="2F16AA0D"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lastRenderedPageBreak/>
              <w:t>Company-specific courses targeted at securing financing skills &amp; knowledge</w:t>
            </w:r>
          </w:p>
          <w:p w14:paraId="13867012"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Computer-based training</w:t>
            </w:r>
          </w:p>
          <w:p w14:paraId="2786109F"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Continuing professional development</w:t>
            </w:r>
          </w:p>
          <w:p w14:paraId="5D38726F"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 xml:space="preserve">Executive MBA(with classes </w:t>
            </w:r>
            <w:r w:rsidRPr="00DF6F30">
              <w:rPr>
                <w:rFonts w:ascii="Arial" w:eastAsia="Calibri" w:hAnsi="Arial" w:cs="Arial"/>
                <w:sz w:val="16"/>
                <w:szCs w:val="16"/>
              </w:rPr>
              <w:lastRenderedPageBreak/>
              <w:t>on a part-time basis)</w:t>
            </w:r>
          </w:p>
          <w:p w14:paraId="598B01E3"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Learning by holding meetings</w:t>
            </w:r>
          </w:p>
          <w:p w14:paraId="44D43B14"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External training</w:t>
            </w:r>
          </w:p>
          <w:p w14:paraId="1CEB5166"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Online and tutorial training</w:t>
            </w:r>
          </w:p>
          <w:p w14:paraId="0A9E7573"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University residential (the full-time program for some weeks )</w:t>
            </w:r>
          </w:p>
          <w:p w14:paraId="7C0C6383"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Usage of formal qualification</w:t>
            </w:r>
          </w:p>
          <w:p w14:paraId="02529546"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Academic research</w:t>
            </w:r>
          </w:p>
          <w:p w14:paraId="35355B7F"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Classroom-based training with consultant</w:t>
            </w:r>
          </w:p>
          <w:p w14:paraId="5B03F267"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Professional qualification from RICS or other relevant bodies</w:t>
            </w:r>
          </w:p>
          <w:p w14:paraId="41772D0A"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Usage of external advisers</w:t>
            </w:r>
          </w:p>
          <w:p w14:paraId="1407A763"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Workshops</w:t>
            </w:r>
          </w:p>
          <w:p w14:paraId="04AD30C6"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Business development courses</w:t>
            </w:r>
          </w:p>
          <w:p w14:paraId="0334CB10"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Experience in real estate and finance</w:t>
            </w:r>
          </w:p>
          <w:p w14:paraId="1B5EE1F5"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In-house training</w:t>
            </w:r>
          </w:p>
        </w:tc>
      </w:tr>
      <w:tr w:rsidR="005570CD" w:rsidRPr="00DF6F30" w14:paraId="6E164987" w14:textId="77777777" w:rsidTr="005570CD">
        <w:trPr>
          <w:trHeight w:val="1347"/>
        </w:trPr>
        <w:tc>
          <w:tcPr>
            <w:tcW w:w="1310" w:type="dxa"/>
          </w:tcPr>
          <w:p w14:paraId="3BAC73E0" w14:textId="77777777" w:rsidR="005570CD" w:rsidRPr="00DF6F30" w:rsidRDefault="005570CD" w:rsidP="005570CD">
            <w:pPr>
              <w:jc w:val="center"/>
              <w:rPr>
                <w:rFonts w:ascii="Arial" w:eastAsia="Calibri" w:hAnsi="Arial" w:cs="Arial"/>
                <w:sz w:val="16"/>
                <w:szCs w:val="16"/>
              </w:rPr>
            </w:pPr>
            <w:r w:rsidRPr="00DF6F30">
              <w:rPr>
                <w:rFonts w:ascii="Arial" w:eastAsia="Calibri" w:hAnsi="Arial" w:cs="Arial"/>
                <w:sz w:val="16"/>
                <w:szCs w:val="16"/>
              </w:rPr>
              <w:lastRenderedPageBreak/>
              <w:t>Feed backs mechanism</w:t>
            </w:r>
          </w:p>
        </w:tc>
        <w:tc>
          <w:tcPr>
            <w:tcW w:w="7710" w:type="dxa"/>
            <w:gridSpan w:val="4"/>
          </w:tcPr>
          <w:p w14:paraId="61E6277F"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Questionnaires</w:t>
            </w:r>
          </w:p>
          <w:p w14:paraId="55862C25"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Observation</w:t>
            </w:r>
          </w:p>
          <w:p w14:paraId="17586EB2"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Role plays</w:t>
            </w:r>
          </w:p>
          <w:p w14:paraId="369B61AE"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Group discussion</w:t>
            </w:r>
          </w:p>
          <w:p w14:paraId="01FF20D7"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Practice</w:t>
            </w:r>
          </w:p>
          <w:p w14:paraId="339B764D" w14:textId="77777777" w:rsidR="005570CD" w:rsidRPr="00DF6F30" w:rsidRDefault="005570CD" w:rsidP="005570CD">
            <w:pPr>
              <w:numPr>
                <w:ilvl w:val="0"/>
                <w:numId w:val="216"/>
              </w:numPr>
              <w:spacing w:after="0" w:line="240" w:lineRule="auto"/>
              <w:contextualSpacing/>
              <w:rPr>
                <w:rFonts w:ascii="Arial" w:eastAsia="Calibri" w:hAnsi="Arial" w:cs="Arial"/>
                <w:sz w:val="16"/>
                <w:szCs w:val="16"/>
              </w:rPr>
            </w:pPr>
            <w:r w:rsidRPr="00DF6F30">
              <w:rPr>
                <w:rFonts w:ascii="Arial" w:eastAsia="Calibri" w:hAnsi="Arial" w:cs="Arial"/>
                <w:sz w:val="16"/>
                <w:szCs w:val="16"/>
              </w:rPr>
              <w:t>Experience</w:t>
            </w:r>
          </w:p>
        </w:tc>
      </w:tr>
    </w:tbl>
    <w:p w14:paraId="41D4803B" w14:textId="15388F7C" w:rsidR="00223E37" w:rsidRDefault="00223E37" w:rsidP="00CD6352">
      <w:pPr>
        <w:keepNext/>
        <w:spacing w:after="200" w:line="240" w:lineRule="auto"/>
        <w:rPr>
          <w:rFonts w:ascii="Calibri" w:eastAsia="Calibri" w:hAnsi="Calibri" w:cs="Times New Roman"/>
          <w:i/>
          <w:iCs/>
          <w:color w:val="1F497D"/>
          <w:sz w:val="18"/>
          <w:szCs w:val="18"/>
        </w:rPr>
      </w:pPr>
    </w:p>
    <w:p w14:paraId="79FC0C82" w14:textId="77777777" w:rsidR="00C1087F" w:rsidRDefault="00C1087F" w:rsidP="00E6321A">
      <w:pPr>
        <w:spacing w:line="240" w:lineRule="auto"/>
        <w:jc w:val="both"/>
        <w:rPr>
          <w:rFonts w:ascii="Arial" w:hAnsi="Arial" w:cs="Arial"/>
          <w:sz w:val="16"/>
          <w:szCs w:val="16"/>
        </w:rPr>
      </w:pPr>
      <w:r w:rsidRPr="00355D91">
        <w:rPr>
          <w:rFonts w:ascii="Arial" w:hAnsi="Arial" w:cs="Arial"/>
          <w:sz w:val="16"/>
          <w:szCs w:val="16"/>
        </w:rPr>
        <w:t>Source: compilation by the author (2021)</w:t>
      </w:r>
    </w:p>
    <w:p w14:paraId="0E6F7151" w14:textId="1BCABAE7" w:rsidR="00223E37" w:rsidRPr="00E6321A" w:rsidRDefault="00C1087F" w:rsidP="00E6321A">
      <w:pPr>
        <w:keepNext/>
        <w:spacing w:after="200" w:line="240" w:lineRule="auto"/>
        <w:rPr>
          <w:rFonts w:ascii="Arial" w:eastAsia="Calibri" w:hAnsi="Arial" w:cs="Arial"/>
          <w:sz w:val="16"/>
          <w:szCs w:val="16"/>
        </w:rPr>
      </w:pPr>
      <w:r w:rsidRPr="00E6321A">
        <w:rPr>
          <w:rFonts w:ascii="Arial" w:eastAsia="Calibri" w:hAnsi="Arial" w:cs="Arial"/>
          <w:sz w:val="16"/>
          <w:szCs w:val="16"/>
        </w:rPr>
        <w:t xml:space="preserve">Detailed development of </w:t>
      </w:r>
      <w:r w:rsidR="006E2F87">
        <w:rPr>
          <w:rFonts w:ascii="Arial" w:eastAsia="Calibri" w:hAnsi="Arial" w:cs="Arial"/>
          <w:sz w:val="16"/>
          <w:szCs w:val="16"/>
        </w:rPr>
        <w:t xml:space="preserve">a </w:t>
      </w:r>
      <w:r w:rsidRPr="00E6321A">
        <w:rPr>
          <w:rFonts w:ascii="Arial" w:eastAsia="Calibri" w:hAnsi="Arial" w:cs="Arial"/>
          <w:sz w:val="16"/>
          <w:szCs w:val="16"/>
        </w:rPr>
        <w:t>conceptual framework for training and education for securing finance for real estate project development is contained in chapter 9.3.7.3</w:t>
      </w:r>
      <w:r w:rsidR="00E6321A" w:rsidRPr="00E6321A">
        <w:rPr>
          <w:rFonts w:ascii="Arial" w:eastAsia="Calibri" w:hAnsi="Arial" w:cs="Arial"/>
          <w:sz w:val="16"/>
          <w:szCs w:val="16"/>
        </w:rPr>
        <w:t>.</w:t>
      </w:r>
    </w:p>
    <w:p w14:paraId="7F2913C0" w14:textId="77777777" w:rsidR="00CD6352" w:rsidRPr="007444CA" w:rsidRDefault="00CD6352" w:rsidP="00CD6352">
      <w:pPr>
        <w:rPr>
          <w:rFonts w:ascii="Arial" w:hAnsi="Arial" w:cs="Arial"/>
          <w:b/>
          <w:bCs/>
        </w:rPr>
      </w:pPr>
      <w:r>
        <w:rPr>
          <w:rFonts w:ascii="Arial" w:hAnsi="Arial" w:cs="Arial"/>
          <w:b/>
          <w:bCs/>
        </w:rPr>
        <w:t>Further c</w:t>
      </w:r>
      <w:r w:rsidRPr="007444CA">
        <w:rPr>
          <w:rFonts w:ascii="Arial" w:hAnsi="Arial" w:cs="Arial"/>
          <w:b/>
          <w:bCs/>
        </w:rPr>
        <w:t>omments</w:t>
      </w:r>
    </w:p>
    <w:p w14:paraId="1A8BF67B" w14:textId="77777777" w:rsidR="000A113F"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 xml:space="preserve">There are varied training and education </w:t>
      </w:r>
      <w:r>
        <w:rPr>
          <w:rFonts w:ascii="Arial" w:eastAsia="Calibri" w:hAnsi="Arial" w:cs="Arial"/>
          <w:lang w:val="en-US"/>
        </w:rPr>
        <w:t xml:space="preserve">methods </w:t>
      </w:r>
      <w:r w:rsidRPr="00EA7665">
        <w:rPr>
          <w:rFonts w:ascii="Arial" w:eastAsia="Calibri" w:hAnsi="Arial" w:cs="Arial"/>
          <w:lang w:val="en-US"/>
        </w:rPr>
        <w:t>that will help the manager in securing finance for real estate project development</w:t>
      </w:r>
      <w:r w:rsidR="00B91DAD">
        <w:rPr>
          <w:rFonts w:ascii="Arial" w:eastAsia="Calibri" w:hAnsi="Arial" w:cs="Arial"/>
          <w:lang w:val="en-US"/>
        </w:rPr>
        <w:t>,</w:t>
      </w:r>
      <w:r w:rsidRPr="00EA7665">
        <w:rPr>
          <w:rFonts w:ascii="Arial" w:eastAsia="Calibri" w:hAnsi="Arial" w:cs="Arial"/>
          <w:lang w:val="en-US"/>
        </w:rPr>
        <w:t xml:space="preserve"> as shown </w:t>
      </w:r>
      <w:r w:rsidR="00D8102F">
        <w:rPr>
          <w:rFonts w:ascii="Arial" w:eastAsia="Calibri" w:hAnsi="Arial" w:cs="Arial"/>
          <w:lang w:val="en-US"/>
        </w:rPr>
        <w:t>in</w:t>
      </w:r>
      <w:r w:rsidRPr="00EA7665">
        <w:rPr>
          <w:rFonts w:ascii="Arial" w:eastAsia="Calibri" w:hAnsi="Arial" w:cs="Arial"/>
          <w:lang w:val="en-US"/>
        </w:rPr>
        <w:t xml:space="preserve"> the information </w:t>
      </w:r>
      <w:r>
        <w:rPr>
          <w:rFonts w:ascii="Arial" w:eastAsia="Calibri" w:hAnsi="Arial" w:cs="Arial"/>
          <w:lang w:val="en-US"/>
        </w:rPr>
        <w:t>obtained</w:t>
      </w:r>
      <w:r w:rsidRPr="00EA7665">
        <w:rPr>
          <w:rFonts w:ascii="Arial" w:eastAsia="Calibri" w:hAnsi="Arial" w:cs="Arial"/>
          <w:lang w:val="en-US"/>
        </w:rPr>
        <w:t xml:space="preserve"> from real estate managers involved with securing finance for project development and </w:t>
      </w:r>
      <w:r>
        <w:rPr>
          <w:rFonts w:ascii="Arial" w:eastAsia="Calibri" w:hAnsi="Arial" w:cs="Arial"/>
          <w:lang w:val="en-US"/>
        </w:rPr>
        <w:t xml:space="preserve">from </w:t>
      </w:r>
      <w:r w:rsidRPr="00EA7665">
        <w:rPr>
          <w:rFonts w:ascii="Arial" w:eastAsia="Calibri" w:hAnsi="Arial" w:cs="Arial"/>
          <w:lang w:val="en-US"/>
        </w:rPr>
        <w:t>existing literature.</w:t>
      </w:r>
      <w:r>
        <w:rPr>
          <w:rFonts w:ascii="Arial" w:eastAsia="Calibri" w:hAnsi="Arial" w:cs="Arial"/>
          <w:lang w:val="en-US"/>
        </w:rPr>
        <w:t xml:space="preserve"> </w:t>
      </w:r>
      <w:r w:rsidRPr="00EA7665">
        <w:rPr>
          <w:rFonts w:ascii="Arial" w:eastAsia="Calibri" w:hAnsi="Arial" w:cs="Arial"/>
          <w:lang w:val="en-US"/>
        </w:rPr>
        <w:t>Effective training</w:t>
      </w:r>
      <w:r>
        <w:rPr>
          <w:rFonts w:ascii="Arial" w:eastAsia="Calibri" w:hAnsi="Arial" w:cs="Arial"/>
          <w:lang w:val="en-US"/>
        </w:rPr>
        <w:t xml:space="preserve"> and education</w:t>
      </w:r>
      <w:r w:rsidRPr="00EA7665">
        <w:rPr>
          <w:rFonts w:ascii="Arial" w:eastAsia="Calibri" w:hAnsi="Arial" w:cs="Arial"/>
          <w:lang w:val="en-US"/>
        </w:rPr>
        <w:t xml:space="preserve"> for managers involved in securing finance for real estate project development in contemporary times can be </w:t>
      </w:r>
      <w:r>
        <w:rPr>
          <w:rFonts w:ascii="Arial" w:eastAsia="Calibri" w:hAnsi="Arial" w:cs="Arial"/>
          <w:lang w:val="en-US"/>
        </w:rPr>
        <w:t xml:space="preserve">further </w:t>
      </w:r>
      <w:r w:rsidRPr="00EA7665">
        <w:rPr>
          <w:rFonts w:ascii="Arial" w:eastAsia="Calibri" w:hAnsi="Arial" w:cs="Arial"/>
          <w:lang w:val="en-US"/>
        </w:rPr>
        <w:t>enhanced</w:t>
      </w:r>
      <w:r>
        <w:rPr>
          <w:rFonts w:ascii="Arial" w:eastAsia="Calibri" w:hAnsi="Arial" w:cs="Arial"/>
          <w:lang w:val="en-US"/>
        </w:rPr>
        <w:t>,</w:t>
      </w:r>
      <w:r w:rsidRPr="00EA7665">
        <w:rPr>
          <w:rFonts w:ascii="Arial" w:eastAsia="Calibri" w:hAnsi="Arial" w:cs="Arial"/>
          <w:lang w:val="en-US"/>
        </w:rPr>
        <w:t xml:space="preserve"> </w:t>
      </w:r>
      <w:r>
        <w:rPr>
          <w:rFonts w:ascii="Arial" w:eastAsia="Calibri" w:hAnsi="Arial" w:cs="Arial"/>
          <w:lang w:val="en-US"/>
        </w:rPr>
        <w:t>in addition to the above framework</w:t>
      </w:r>
      <w:r w:rsidR="00B91DAD">
        <w:rPr>
          <w:rFonts w:ascii="Arial" w:eastAsia="Calibri" w:hAnsi="Arial" w:cs="Arial"/>
          <w:lang w:val="en-US"/>
        </w:rPr>
        <w:t xml:space="preserve"> in table 10.2.9. It can be achieved b</w:t>
      </w:r>
      <w:r w:rsidRPr="00EA7665">
        <w:rPr>
          <w:rFonts w:ascii="Arial" w:eastAsia="Calibri" w:hAnsi="Arial" w:cs="Arial"/>
          <w:lang w:val="en-US"/>
        </w:rPr>
        <w:t>y bringing managers in the different parts of the built environment into a classroom setting where discussions can be held from time to time to develop interdisciplinary skills, knowledge, and competences for securing finance for real estate project development. Putting this more simplistically</w:t>
      </w:r>
      <w:r w:rsidR="00D8102F">
        <w:rPr>
          <w:rFonts w:ascii="Arial" w:eastAsia="Calibri" w:hAnsi="Arial" w:cs="Arial"/>
          <w:lang w:val="en-US"/>
        </w:rPr>
        <w:t xml:space="preserve"> </w:t>
      </w:r>
      <w:r w:rsidRPr="00EA7665">
        <w:rPr>
          <w:rFonts w:ascii="Arial" w:eastAsia="Calibri" w:hAnsi="Arial" w:cs="Arial"/>
          <w:lang w:val="en-US"/>
        </w:rPr>
        <w:t>entails putting professionals in the different arms of the built environment and real estate sector to be in one class. This class will constitute legal consultants, financiers, investors, agents, facilities managers, etc.</w:t>
      </w:r>
      <w:r w:rsidR="000A113F">
        <w:rPr>
          <w:rFonts w:ascii="Arial" w:eastAsia="Calibri" w:hAnsi="Arial" w:cs="Arial"/>
          <w:lang w:val="en-US"/>
        </w:rPr>
        <w:t>,</w:t>
      </w:r>
      <w:r w:rsidRPr="00EA7665">
        <w:rPr>
          <w:rFonts w:ascii="Arial" w:eastAsia="Calibri" w:hAnsi="Arial" w:cs="Arial"/>
          <w:lang w:val="en-US"/>
        </w:rPr>
        <w:t xml:space="preserve"> who</w:t>
      </w:r>
      <w:r w:rsidR="000A113F">
        <w:rPr>
          <w:rFonts w:ascii="Arial" w:eastAsia="Calibri" w:hAnsi="Arial" w:cs="Arial"/>
          <w:lang w:val="en-US"/>
        </w:rPr>
        <w:t xml:space="preserve"> would </w:t>
      </w:r>
      <w:r w:rsidRPr="00EA7665">
        <w:rPr>
          <w:rFonts w:ascii="Arial" w:eastAsia="Calibri" w:hAnsi="Arial" w:cs="Arial"/>
          <w:lang w:val="en-US"/>
        </w:rPr>
        <w:t xml:space="preserve"> work on projects. It will be a form of formal education and could lead to the development of an app that can be termed </w:t>
      </w:r>
      <w:r>
        <w:rPr>
          <w:rFonts w:ascii="Arial" w:eastAsia="Calibri" w:hAnsi="Arial" w:cs="Arial"/>
          <w:lang w:val="en-US"/>
        </w:rPr>
        <w:t xml:space="preserve">a </w:t>
      </w:r>
      <w:r w:rsidRPr="00EA7665">
        <w:rPr>
          <w:rFonts w:ascii="Arial" w:eastAsia="Calibri" w:hAnsi="Arial" w:cs="Arial"/>
          <w:lang w:val="en-US"/>
        </w:rPr>
        <w:t>real estate financing app for inquiry, training and development purpos</w:t>
      </w:r>
      <w:r>
        <w:rPr>
          <w:rFonts w:ascii="Arial" w:eastAsia="Calibri" w:hAnsi="Arial" w:cs="Arial"/>
          <w:lang w:val="en-US"/>
        </w:rPr>
        <w:t>es</w:t>
      </w:r>
      <w:r w:rsidRPr="00EA7665">
        <w:rPr>
          <w:rFonts w:ascii="Arial" w:eastAsia="Calibri" w:hAnsi="Arial" w:cs="Arial"/>
          <w:lang w:val="en-US"/>
        </w:rPr>
        <w:t xml:space="preserve"> for managers in this sector. This interdisciplinary training will have managers </w:t>
      </w:r>
      <w:r w:rsidRPr="00EA7665">
        <w:rPr>
          <w:rFonts w:ascii="Arial" w:eastAsia="Calibri" w:hAnsi="Arial" w:cs="Arial"/>
          <w:lang w:val="en-US"/>
        </w:rPr>
        <w:lastRenderedPageBreak/>
        <w:t>wor</w:t>
      </w:r>
      <w:r>
        <w:rPr>
          <w:rFonts w:ascii="Arial" w:eastAsia="Calibri" w:hAnsi="Arial" w:cs="Arial"/>
          <w:lang w:val="en-US"/>
        </w:rPr>
        <w:t xml:space="preserve">king in groups and </w:t>
      </w:r>
      <w:r w:rsidR="000A113F">
        <w:rPr>
          <w:rFonts w:ascii="Arial" w:eastAsia="Calibri" w:hAnsi="Arial" w:cs="Arial"/>
          <w:lang w:val="en-US"/>
        </w:rPr>
        <w:t>participating</w:t>
      </w:r>
      <w:r>
        <w:rPr>
          <w:rFonts w:ascii="Arial" w:eastAsia="Calibri" w:hAnsi="Arial" w:cs="Arial"/>
          <w:lang w:val="en-US"/>
        </w:rPr>
        <w:t xml:space="preserve"> in group discussions</w:t>
      </w:r>
      <w:r w:rsidR="000A113F">
        <w:rPr>
          <w:rFonts w:ascii="Arial" w:eastAsia="Calibri" w:hAnsi="Arial" w:cs="Arial"/>
          <w:lang w:val="en-US"/>
        </w:rPr>
        <w:t>;</w:t>
      </w:r>
      <w:r w:rsidRPr="00EA7665">
        <w:rPr>
          <w:rFonts w:ascii="Arial" w:eastAsia="Calibri" w:hAnsi="Arial" w:cs="Arial"/>
          <w:lang w:val="en-US"/>
        </w:rPr>
        <w:t xml:space="preserve"> that way</w:t>
      </w:r>
      <w:r w:rsidR="000A113F">
        <w:rPr>
          <w:rFonts w:ascii="Arial" w:eastAsia="Calibri" w:hAnsi="Arial" w:cs="Arial"/>
          <w:lang w:val="en-US"/>
        </w:rPr>
        <w:t>,</w:t>
      </w:r>
      <w:r w:rsidRPr="00EA7665">
        <w:rPr>
          <w:rFonts w:ascii="Arial" w:eastAsia="Calibri" w:hAnsi="Arial" w:cs="Arial"/>
          <w:lang w:val="en-US"/>
        </w:rPr>
        <w:t xml:space="preserve"> they get to understand how the different professionals in the loop think and what they require for effectiveness</w:t>
      </w:r>
      <w:r w:rsidR="000A113F">
        <w:rPr>
          <w:rFonts w:ascii="Arial" w:eastAsia="Calibri" w:hAnsi="Arial" w:cs="Arial"/>
          <w:lang w:val="en-US"/>
        </w:rPr>
        <w:t>. T</w:t>
      </w:r>
      <w:r w:rsidRPr="00EA7665">
        <w:rPr>
          <w:rFonts w:ascii="Arial" w:eastAsia="Calibri" w:hAnsi="Arial" w:cs="Arial"/>
          <w:lang w:val="en-US"/>
        </w:rPr>
        <w:t xml:space="preserve">his will ultimately facilitate access to finance. </w:t>
      </w:r>
    </w:p>
    <w:p w14:paraId="65E79E6A" w14:textId="2827D10F" w:rsidR="00CD6352" w:rsidRPr="00EA7665" w:rsidRDefault="00CD6352" w:rsidP="00CD6352">
      <w:pPr>
        <w:spacing w:line="360" w:lineRule="auto"/>
        <w:jc w:val="both"/>
        <w:rPr>
          <w:rFonts w:ascii="Arial" w:eastAsia="Calibri" w:hAnsi="Arial" w:cs="Arial"/>
          <w:lang w:val="en-US"/>
        </w:rPr>
      </w:pPr>
      <w:r w:rsidRPr="00EA7665">
        <w:rPr>
          <w:rFonts w:ascii="Arial" w:eastAsia="Calibri" w:hAnsi="Arial" w:cs="Arial"/>
          <w:lang w:val="en-US"/>
        </w:rPr>
        <w:t>It is recommended that managers involved in securing finance for real estate project development undertake a least two (2) training courses concerning finance annually</w:t>
      </w:r>
      <w:r>
        <w:rPr>
          <w:rFonts w:ascii="Arial" w:eastAsia="Calibri" w:hAnsi="Arial" w:cs="Arial"/>
          <w:lang w:val="en-US"/>
        </w:rPr>
        <w:t xml:space="preserve"> based on the findings from this study</w:t>
      </w:r>
      <w:r w:rsidRPr="00EA7665">
        <w:rPr>
          <w:rFonts w:ascii="Arial" w:eastAsia="Calibri" w:hAnsi="Arial" w:cs="Arial"/>
          <w:lang w:val="en-US"/>
        </w:rPr>
        <w:t>.</w:t>
      </w:r>
    </w:p>
    <w:p w14:paraId="01B5377B" w14:textId="11DC1F29" w:rsidR="00CD6352" w:rsidRDefault="00CD6352" w:rsidP="00CD6352">
      <w:pPr>
        <w:spacing w:line="360" w:lineRule="auto"/>
        <w:rPr>
          <w:rFonts w:ascii="Arial" w:eastAsia="Calibri" w:hAnsi="Arial" w:cs="Arial"/>
          <w:lang w:val="en-US"/>
        </w:rPr>
      </w:pPr>
      <w:r w:rsidRPr="00EA7665">
        <w:rPr>
          <w:rFonts w:ascii="Arial" w:eastAsia="Calibri" w:hAnsi="Arial" w:cs="Arial"/>
          <w:lang w:val="en-US"/>
        </w:rPr>
        <w:t>Furthermore, there is a need for a banke</w:t>
      </w:r>
      <w:r>
        <w:rPr>
          <w:rFonts w:ascii="Arial" w:eastAsia="Calibri" w:hAnsi="Arial" w:cs="Arial"/>
          <w:lang w:val="en-US"/>
        </w:rPr>
        <w:t xml:space="preserve">rs/ financiers </w:t>
      </w:r>
      <w:r w:rsidRPr="00EA7665">
        <w:rPr>
          <w:rFonts w:ascii="Arial" w:eastAsia="Calibri" w:hAnsi="Arial" w:cs="Arial"/>
          <w:lang w:val="en-US"/>
        </w:rPr>
        <w:t>- real estate development manager</w:t>
      </w:r>
      <w:r>
        <w:rPr>
          <w:rFonts w:ascii="Arial" w:eastAsia="Calibri" w:hAnsi="Arial" w:cs="Arial"/>
          <w:lang w:val="en-US"/>
        </w:rPr>
        <w:t>s</w:t>
      </w:r>
      <w:r w:rsidRPr="00EA7665">
        <w:rPr>
          <w:rFonts w:ascii="Arial" w:eastAsia="Calibri" w:hAnsi="Arial" w:cs="Arial"/>
          <w:lang w:val="en-US"/>
        </w:rPr>
        <w:t xml:space="preserve"> forum and training. This way, the bankers and financiers will get to have a better perspective of what the real estate developer does, as this will help the bankers/ financiers in their assessment</w:t>
      </w:r>
      <w:r>
        <w:rPr>
          <w:rFonts w:ascii="Arial" w:eastAsia="Calibri" w:hAnsi="Arial" w:cs="Arial"/>
          <w:lang w:val="en-US"/>
        </w:rPr>
        <w:t>,</w:t>
      </w:r>
      <w:r w:rsidRPr="00EA7665">
        <w:rPr>
          <w:rFonts w:ascii="Arial" w:eastAsia="Calibri" w:hAnsi="Arial" w:cs="Arial"/>
          <w:lang w:val="en-US"/>
        </w:rPr>
        <w:t xml:space="preserve"> </w:t>
      </w:r>
      <w:r w:rsidR="0088456D">
        <w:rPr>
          <w:rFonts w:ascii="Arial" w:eastAsia="Calibri" w:hAnsi="Arial" w:cs="Arial"/>
          <w:lang w:val="en-US"/>
        </w:rPr>
        <w:t>which</w:t>
      </w:r>
      <w:r w:rsidRPr="00EA7665">
        <w:rPr>
          <w:rFonts w:ascii="Arial" w:eastAsia="Calibri" w:hAnsi="Arial" w:cs="Arial"/>
          <w:lang w:val="en-US"/>
        </w:rPr>
        <w:t xml:space="preserve"> will</w:t>
      </w:r>
      <w:r w:rsidR="0088456D">
        <w:rPr>
          <w:rFonts w:ascii="Arial" w:eastAsia="Calibri" w:hAnsi="Arial" w:cs="Arial"/>
          <w:lang w:val="en-US"/>
        </w:rPr>
        <w:t>, in turn,</w:t>
      </w:r>
      <w:r>
        <w:rPr>
          <w:rFonts w:ascii="Arial" w:eastAsia="Calibri" w:hAnsi="Arial" w:cs="Arial"/>
          <w:lang w:val="en-US"/>
        </w:rPr>
        <w:t xml:space="preserve"> </w:t>
      </w:r>
      <w:r w:rsidRPr="00EA7665">
        <w:rPr>
          <w:rFonts w:ascii="Arial" w:eastAsia="Calibri" w:hAnsi="Arial" w:cs="Arial"/>
          <w:lang w:val="en-US"/>
        </w:rPr>
        <w:t xml:space="preserve">enable the real estate manager </w:t>
      </w:r>
      <w:r>
        <w:rPr>
          <w:rFonts w:ascii="Arial" w:eastAsia="Calibri" w:hAnsi="Arial" w:cs="Arial"/>
          <w:lang w:val="en-US"/>
        </w:rPr>
        <w:t xml:space="preserve">to </w:t>
      </w:r>
      <w:r w:rsidRPr="00EA7665">
        <w:rPr>
          <w:rFonts w:ascii="Arial" w:eastAsia="Calibri" w:hAnsi="Arial" w:cs="Arial"/>
          <w:lang w:val="en-US"/>
        </w:rPr>
        <w:t xml:space="preserve">access finance for project development. This is because </w:t>
      </w:r>
      <w:r w:rsidR="0088456D">
        <w:rPr>
          <w:rFonts w:ascii="Arial" w:eastAsia="Calibri" w:hAnsi="Arial" w:cs="Arial"/>
          <w:lang w:val="en-US"/>
        </w:rPr>
        <w:t>some</w:t>
      </w:r>
      <w:r w:rsidRPr="00EA7665">
        <w:rPr>
          <w:rFonts w:ascii="Arial" w:eastAsia="Calibri" w:hAnsi="Arial" w:cs="Arial"/>
          <w:lang w:val="en-US"/>
        </w:rPr>
        <w:t xml:space="preserve"> managers interviewed complained that the bankers/ financiers do not fully understand their operation</w:t>
      </w:r>
      <w:r>
        <w:rPr>
          <w:rFonts w:ascii="Arial" w:eastAsia="Calibri" w:hAnsi="Arial" w:cs="Arial"/>
          <w:lang w:val="en-US"/>
        </w:rPr>
        <w:t>s</w:t>
      </w:r>
      <w:r w:rsidRPr="00EA7665">
        <w:rPr>
          <w:rFonts w:ascii="Arial" w:eastAsia="Calibri" w:hAnsi="Arial" w:cs="Arial"/>
          <w:lang w:val="en-US"/>
        </w:rPr>
        <w:t>, and this ultimately mitigates against their access to finance.</w:t>
      </w:r>
    </w:p>
    <w:p w14:paraId="44A419B9" w14:textId="77777777" w:rsidR="0088456D" w:rsidRDefault="0088456D" w:rsidP="00CD6352">
      <w:pPr>
        <w:spacing w:line="360" w:lineRule="auto"/>
        <w:rPr>
          <w:rFonts w:ascii="Arial" w:eastAsia="Calibri" w:hAnsi="Arial" w:cs="Arial"/>
          <w:lang w:val="en-US"/>
        </w:rPr>
      </w:pPr>
    </w:p>
    <w:p w14:paraId="0149481A" w14:textId="6C856098" w:rsidR="00663846" w:rsidRDefault="004C23E1" w:rsidP="004C23E1">
      <w:pPr>
        <w:pStyle w:val="Heading2"/>
        <w:rPr>
          <w:sz w:val="22"/>
          <w:szCs w:val="22"/>
        </w:rPr>
      </w:pPr>
      <w:bookmarkStart w:id="1478" w:name="_Toc78983937"/>
      <w:r w:rsidRPr="004C23E1">
        <w:rPr>
          <w:sz w:val="22"/>
          <w:szCs w:val="22"/>
        </w:rPr>
        <w:t>Recommendations on the usage of the toolkit</w:t>
      </w:r>
      <w:r w:rsidR="00265794">
        <w:rPr>
          <w:sz w:val="22"/>
          <w:szCs w:val="22"/>
        </w:rPr>
        <w:t xml:space="preserve"> for securing finance for real estate project development in the developed and emerging </w:t>
      </w:r>
      <w:r w:rsidR="0051133C">
        <w:rPr>
          <w:sz w:val="22"/>
          <w:szCs w:val="22"/>
        </w:rPr>
        <w:t>economies.</w:t>
      </w:r>
      <w:bookmarkEnd w:id="1478"/>
    </w:p>
    <w:p w14:paraId="26D6C8A0" w14:textId="7659C624" w:rsidR="008518E0" w:rsidRDefault="008518E0" w:rsidP="008518E0"/>
    <w:p w14:paraId="6A251372" w14:textId="77777777" w:rsidR="00542FA5" w:rsidRDefault="00542FA5" w:rsidP="00386C73">
      <w:pPr>
        <w:rPr>
          <w:rFonts w:ascii="Arial" w:hAnsi="Arial" w:cs="Arial"/>
        </w:rPr>
      </w:pPr>
      <w:r w:rsidRPr="00542FA5">
        <w:rPr>
          <w:rFonts w:ascii="Arial" w:hAnsi="Arial" w:cs="Arial"/>
        </w:rPr>
        <w:t>The researcher recommends a multi-facet approach to the usage of the toolkit for securing finance for real estate project development</w:t>
      </w:r>
      <w:r>
        <w:rPr>
          <w:rFonts w:ascii="Arial" w:hAnsi="Arial" w:cs="Arial"/>
        </w:rPr>
        <w:t xml:space="preserve"> and they are as follows:</w:t>
      </w:r>
    </w:p>
    <w:p w14:paraId="6D133E86" w14:textId="0884FD23" w:rsidR="00542FA5" w:rsidRDefault="00542FA5" w:rsidP="00386C73">
      <w:pPr>
        <w:pStyle w:val="ListParagraph"/>
        <w:numPr>
          <w:ilvl w:val="1"/>
          <w:numId w:val="261"/>
        </w:numPr>
        <w:rPr>
          <w:rFonts w:ascii="Arial" w:hAnsi="Arial" w:cs="Arial"/>
        </w:rPr>
      </w:pPr>
      <w:r w:rsidRPr="00542FA5">
        <w:rPr>
          <w:rFonts w:ascii="Arial" w:hAnsi="Arial" w:cs="Arial"/>
        </w:rPr>
        <w:t xml:space="preserve">The toolkit is generic and is meant to act as a guide for managers involved in securing finance for real estate project development. It is also a tool that could be used for training and education for both industry practitioners and academia. </w:t>
      </w:r>
      <w:r>
        <w:rPr>
          <w:rFonts w:ascii="Arial" w:hAnsi="Arial" w:cs="Arial"/>
        </w:rPr>
        <w:t xml:space="preserve">Consequently, the </w:t>
      </w:r>
      <w:r w:rsidRPr="00542FA5">
        <w:rPr>
          <w:rFonts w:ascii="Arial" w:hAnsi="Arial" w:cs="Arial"/>
        </w:rPr>
        <w:t>managers can plug</w:t>
      </w:r>
      <w:r w:rsidR="00B67B15">
        <w:rPr>
          <w:rFonts w:ascii="Arial" w:hAnsi="Arial" w:cs="Arial"/>
        </w:rPr>
        <w:t xml:space="preserve"> </w:t>
      </w:r>
      <w:r w:rsidRPr="00542FA5">
        <w:rPr>
          <w:rFonts w:ascii="Arial" w:hAnsi="Arial" w:cs="Arial"/>
        </w:rPr>
        <w:t>in</w:t>
      </w:r>
      <w:r w:rsidR="00932576">
        <w:rPr>
          <w:rFonts w:ascii="Arial" w:hAnsi="Arial" w:cs="Arial"/>
        </w:rPr>
        <w:t xml:space="preserve"> at any stage</w:t>
      </w:r>
      <w:r w:rsidRPr="00542FA5">
        <w:rPr>
          <w:rFonts w:ascii="Arial" w:hAnsi="Arial" w:cs="Arial"/>
        </w:rPr>
        <w:t xml:space="preserve"> depending on their level</w:t>
      </w:r>
      <w:r w:rsidR="00D52681">
        <w:rPr>
          <w:rFonts w:ascii="Arial" w:hAnsi="Arial" w:cs="Arial"/>
        </w:rPr>
        <w:t>s</w:t>
      </w:r>
      <w:r w:rsidRPr="00542FA5">
        <w:rPr>
          <w:rFonts w:ascii="Arial" w:hAnsi="Arial" w:cs="Arial"/>
        </w:rPr>
        <w:t xml:space="preserve"> of need</w:t>
      </w:r>
      <w:r w:rsidR="00D30DB4">
        <w:rPr>
          <w:rFonts w:ascii="Arial" w:hAnsi="Arial" w:cs="Arial"/>
        </w:rPr>
        <w:t>s</w:t>
      </w:r>
      <w:r w:rsidRPr="00542FA5">
        <w:rPr>
          <w:rFonts w:ascii="Arial" w:hAnsi="Arial" w:cs="Arial"/>
        </w:rPr>
        <w:t>.</w:t>
      </w:r>
    </w:p>
    <w:p w14:paraId="6FBE2A9A" w14:textId="77777777" w:rsidR="00A4148B" w:rsidRDefault="00A4148B" w:rsidP="00386C73">
      <w:pPr>
        <w:pStyle w:val="ListParagraph"/>
        <w:rPr>
          <w:rFonts w:ascii="Arial" w:hAnsi="Arial" w:cs="Arial"/>
        </w:rPr>
      </w:pPr>
    </w:p>
    <w:p w14:paraId="66BEA40E" w14:textId="4138AC0D" w:rsidR="00932576" w:rsidRDefault="00932576" w:rsidP="00386C73">
      <w:pPr>
        <w:pStyle w:val="ListParagraph"/>
        <w:numPr>
          <w:ilvl w:val="1"/>
          <w:numId w:val="261"/>
        </w:numPr>
        <w:rPr>
          <w:rFonts w:ascii="Arial" w:hAnsi="Arial" w:cs="Arial"/>
        </w:rPr>
      </w:pPr>
      <w:r>
        <w:rPr>
          <w:rFonts w:ascii="Arial" w:hAnsi="Arial" w:cs="Arial"/>
        </w:rPr>
        <w:t xml:space="preserve">It is recommended that </w:t>
      </w:r>
      <w:r w:rsidR="00BE5968">
        <w:rPr>
          <w:rFonts w:ascii="Arial" w:hAnsi="Arial" w:cs="Arial"/>
        </w:rPr>
        <w:t>man</w:t>
      </w:r>
      <w:r w:rsidR="00412927">
        <w:rPr>
          <w:rFonts w:ascii="Arial" w:hAnsi="Arial" w:cs="Arial"/>
        </w:rPr>
        <w:t>a</w:t>
      </w:r>
      <w:r w:rsidR="00BE5968">
        <w:rPr>
          <w:rFonts w:ascii="Arial" w:hAnsi="Arial" w:cs="Arial"/>
        </w:rPr>
        <w:t>ger</w:t>
      </w:r>
      <w:r w:rsidR="003954F0">
        <w:rPr>
          <w:rFonts w:ascii="Arial" w:hAnsi="Arial" w:cs="Arial"/>
        </w:rPr>
        <w:t>s</w:t>
      </w:r>
      <w:r>
        <w:rPr>
          <w:rFonts w:ascii="Arial" w:hAnsi="Arial" w:cs="Arial"/>
        </w:rPr>
        <w:t xml:space="preserve"> who </w:t>
      </w:r>
      <w:r w:rsidR="003954F0">
        <w:rPr>
          <w:rFonts w:ascii="Arial" w:hAnsi="Arial" w:cs="Arial"/>
        </w:rPr>
        <w:t>are</w:t>
      </w:r>
      <w:r>
        <w:rPr>
          <w:rFonts w:ascii="Arial" w:hAnsi="Arial" w:cs="Arial"/>
        </w:rPr>
        <w:t xml:space="preserve"> new on the job or in a new environment navigate consecutively from stage 1 to stage 6 </w:t>
      </w:r>
      <w:r w:rsidR="00755811">
        <w:rPr>
          <w:rFonts w:ascii="Arial" w:hAnsi="Arial" w:cs="Arial"/>
        </w:rPr>
        <w:t>to</w:t>
      </w:r>
      <w:r>
        <w:rPr>
          <w:rFonts w:ascii="Arial" w:hAnsi="Arial" w:cs="Arial"/>
        </w:rPr>
        <w:t xml:space="preserve"> enhance </w:t>
      </w:r>
      <w:r w:rsidR="00412927">
        <w:rPr>
          <w:rFonts w:ascii="Arial" w:hAnsi="Arial" w:cs="Arial"/>
        </w:rPr>
        <w:t xml:space="preserve">the </w:t>
      </w:r>
      <w:r>
        <w:rPr>
          <w:rFonts w:ascii="Arial" w:hAnsi="Arial" w:cs="Arial"/>
        </w:rPr>
        <w:t>prospect of mitigating against possible risk</w:t>
      </w:r>
      <w:r w:rsidR="00BE5968">
        <w:rPr>
          <w:rFonts w:ascii="Arial" w:hAnsi="Arial" w:cs="Arial"/>
        </w:rPr>
        <w:t xml:space="preserve"> and enhancing prospects of making the right decisions</w:t>
      </w:r>
      <w:r w:rsidR="00B92931">
        <w:rPr>
          <w:rFonts w:ascii="Arial" w:hAnsi="Arial" w:cs="Arial"/>
        </w:rPr>
        <w:t xml:space="preserve"> in the process of securing finance for real estate project development</w:t>
      </w:r>
      <w:r>
        <w:rPr>
          <w:rFonts w:ascii="Arial" w:hAnsi="Arial" w:cs="Arial"/>
        </w:rPr>
        <w:t xml:space="preserve">. Emphasis should be placed greatly </w:t>
      </w:r>
      <w:r w:rsidR="00412927">
        <w:rPr>
          <w:rFonts w:ascii="Arial" w:hAnsi="Arial" w:cs="Arial"/>
        </w:rPr>
        <w:t xml:space="preserve">in </w:t>
      </w:r>
      <w:r>
        <w:rPr>
          <w:rFonts w:ascii="Arial" w:hAnsi="Arial" w:cs="Arial"/>
        </w:rPr>
        <w:t>stages 1, 2,3,4 and 6</w:t>
      </w:r>
      <w:r w:rsidR="00BE5968">
        <w:rPr>
          <w:rFonts w:ascii="Arial" w:hAnsi="Arial" w:cs="Arial"/>
        </w:rPr>
        <w:t xml:space="preserve"> because of the peculiarity of their construct</w:t>
      </w:r>
      <w:r w:rsidR="003954F0">
        <w:rPr>
          <w:rFonts w:ascii="Arial" w:hAnsi="Arial" w:cs="Arial"/>
        </w:rPr>
        <w:t>s</w:t>
      </w:r>
      <w:r w:rsidR="00BE5968">
        <w:rPr>
          <w:rFonts w:ascii="Arial" w:hAnsi="Arial" w:cs="Arial"/>
        </w:rPr>
        <w:t xml:space="preserve">. </w:t>
      </w:r>
      <w:r w:rsidR="00102C83">
        <w:rPr>
          <w:rFonts w:ascii="Arial" w:hAnsi="Arial" w:cs="Arial"/>
        </w:rPr>
        <w:t>(Please</w:t>
      </w:r>
      <w:r w:rsidR="00BE5968">
        <w:rPr>
          <w:rFonts w:ascii="Arial" w:hAnsi="Arial" w:cs="Arial"/>
        </w:rPr>
        <w:t xml:space="preserve"> see chapter </w:t>
      </w:r>
      <w:r w:rsidR="006B5166">
        <w:rPr>
          <w:rFonts w:ascii="Arial" w:hAnsi="Arial" w:cs="Arial"/>
        </w:rPr>
        <w:t xml:space="preserve">5.4, 6.5,7.5,8.2.7, 8.3.7, 8.4.7 and </w:t>
      </w:r>
      <w:r w:rsidR="00AF0CA4">
        <w:rPr>
          <w:rFonts w:ascii="Arial" w:hAnsi="Arial" w:cs="Arial"/>
        </w:rPr>
        <w:t xml:space="preserve">9.3.7). </w:t>
      </w:r>
    </w:p>
    <w:p w14:paraId="5852AA27" w14:textId="77777777" w:rsidR="00A4148B" w:rsidRDefault="00A4148B" w:rsidP="00A4148B">
      <w:pPr>
        <w:pStyle w:val="ListParagraph"/>
        <w:rPr>
          <w:rFonts w:ascii="Arial" w:hAnsi="Arial" w:cs="Arial"/>
        </w:rPr>
      </w:pPr>
    </w:p>
    <w:p w14:paraId="4FDCFBDE" w14:textId="46188345" w:rsidR="00A4148B" w:rsidRDefault="00A4148B" w:rsidP="008D4A4F">
      <w:pPr>
        <w:pStyle w:val="ListParagraph"/>
        <w:numPr>
          <w:ilvl w:val="1"/>
          <w:numId w:val="261"/>
        </w:numPr>
        <w:rPr>
          <w:rFonts w:ascii="Arial" w:hAnsi="Arial" w:cs="Arial"/>
        </w:rPr>
      </w:pPr>
      <w:r>
        <w:rPr>
          <w:rFonts w:ascii="Arial" w:hAnsi="Arial" w:cs="Arial"/>
        </w:rPr>
        <w:t xml:space="preserve">It is recommended that users in academia or industry for training and development navigate consecutively from stage 1 to stage 6. This is because each stage has learning outcomes that flow almost sequentially in </w:t>
      </w:r>
      <w:r w:rsidR="00223E37">
        <w:rPr>
          <w:rFonts w:ascii="Arial" w:hAnsi="Arial" w:cs="Arial"/>
        </w:rPr>
        <w:t xml:space="preserve">a </w:t>
      </w:r>
      <w:r>
        <w:rPr>
          <w:rFonts w:ascii="Arial" w:hAnsi="Arial" w:cs="Arial"/>
        </w:rPr>
        <w:t>real</w:t>
      </w:r>
      <w:r w:rsidR="00412927">
        <w:rPr>
          <w:rFonts w:ascii="Arial" w:hAnsi="Arial" w:cs="Arial"/>
        </w:rPr>
        <w:t>-</w:t>
      </w:r>
      <w:r>
        <w:rPr>
          <w:rFonts w:ascii="Arial" w:hAnsi="Arial" w:cs="Arial"/>
        </w:rPr>
        <w:t xml:space="preserve">life scenario in some regard. Conversely, some of the stages could </w:t>
      </w:r>
      <w:r w:rsidR="00653EF5">
        <w:rPr>
          <w:rFonts w:ascii="Arial" w:hAnsi="Arial" w:cs="Arial"/>
        </w:rPr>
        <w:t xml:space="preserve">also </w:t>
      </w:r>
      <w:r>
        <w:rPr>
          <w:rFonts w:ascii="Arial" w:hAnsi="Arial" w:cs="Arial"/>
        </w:rPr>
        <w:t>overlap</w:t>
      </w:r>
      <w:r w:rsidR="00CC3B2E">
        <w:rPr>
          <w:rFonts w:ascii="Arial" w:hAnsi="Arial" w:cs="Arial"/>
        </w:rPr>
        <w:t>,</w:t>
      </w:r>
      <w:r>
        <w:rPr>
          <w:rFonts w:ascii="Arial" w:hAnsi="Arial" w:cs="Arial"/>
        </w:rPr>
        <w:t xml:space="preserve"> </w:t>
      </w:r>
      <w:r w:rsidR="00653EF5">
        <w:rPr>
          <w:rFonts w:ascii="Arial" w:hAnsi="Arial" w:cs="Arial"/>
        </w:rPr>
        <w:t xml:space="preserve">but </w:t>
      </w:r>
      <w:r w:rsidR="00CC3B2E">
        <w:rPr>
          <w:rFonts w:ascii="Arial" w:hAnsi="Arial" w:cs="Arial"/>
        </w:rPr>
        <w:t>navigating consecutively is recommended for learning purposes</w:t>
      </w:r>
      <w:r w:rsidR="000A15DB">
        <w:rPr>
          <w:rFonts w:ascii="Arial" w:hAnsi="Arial" w:cs="Arial"/>
        </w:rPr>
        <w:t>.</w:t>
      </w:r>
      <w:r w:rsidR="007039EC">
        <w:rPr>
          <w:rFonts w:ascii="Arial" w:hAnsi="Arial" w:cs="Arial"/>
        </w:rPr>
        <w:t xml:space="preserve"> However, </w:t>
      </w:r>
      <w:r w:rsidR="00755811">
        <w:rPr>
          <w:rFonts w:ascii="Arial" w:hAnsi="Arial" w:cs="Arial"/>
        </w:rPr>
        <w:t xml:space="preserve">in </w:t>
      </w:r>
      <w:r w:rsidR="007039EC">
        <w:rPr>
          <w:rFonts w:ascii="Arial" w:hAnsi="Arial" w:cs="Arial"/>
        </w:rPr>
        <w:t>CPD programs, facilitators can plug</w:t>
      </w:r>
      <w:r w:rsidR="00CC3B2E">
        <w:rPr>
          <w:rFonts w:ascii="Arial" w:hAnsi="Arial" w:cs="Arial"/>
        </w:rPr>
        <w:t xml:space="preserve"> in at any stage of the toolkit depending on the learners' levels and experience</w:t>
      </w:r>
      <w:r w:rsidR="007039EC">
        <w:rPr>
          <w:rFonts w:ascii="Arial" w:hAnsi="Arial" w:cs="Arial"/>
        </w:rPr>
        <w:t>s.</w:t>
      </w:r>
    </w:p>
    <w:p w14:paraId="726025B2" w14:textId="77777777" w:rsidR="004776E4" w:rsidRPr="004776E4" w:rsidRDefault="004776E4" w:rsidP="004776E4">
      <w:pPr>
        <w:pStyle w:val="ListParagraph"/>
        <w:rPr>
          <w:rFonts w:ascii="Arial" w:hAnsi="Arial" w:cs="Arial"/>
        </w:rPr>
      </w:pPr>
    </w:p>
    <w:p w14:paraId="7894752D" w14:textId="406D23D7" w:rsidR="004776E4" w:rsidRDefault="00CC2B30" w:rsidP="008D4A4F">
      <w:pPr>
        <w:pStyle w:val="ListParagraph"/>
        <w:numPr>
          <w:ilvl w:val="1"/>
          <w:numId w:val="261"/>
        </w:numPr>
        <w:rPr>
          <w:rFonts w:ascii="Arial" w:hAnsi="Arial" w:cs="Arial"/>
        </w:rPr>
      </w:pPr>
      <w:r>
        <w:rPr>
          <w:rFonts w:ascii="Arial" w:hAnsi="Arial" w:cs="Arial"/>
        </w:rPr>
        <w:t>The research</w:t>
      </w:r>
      <w:r w:rsidR="00580F6A">
        <w:rPr>
          <w:rFonts w:ascii="Arial" w:hAnsi="Arial" w:cs="Arial"/>
        </w:rPr>
        <w:t>er</w:t>
      </w:r>
      <w:r>
        <w:rPr>
          <w:rFonts w:ascii="Arial" w:hAnsi="Arial" w:cs="Arial"/>
        </w:rPr>
        <w:t xml:space="preserve"> does not make rigid recommendations on usage by managers in the developed and emerging economies because the results show </w:t>
      </w:r>
      <w:r w:rsidR="00CC3B2E">
        <w:rPr>
          <w:rFonts w:ascii="Arial" w:hAnsi="Arial" w:cs="Arial"/>
        </w:rPr>
        <w:t>significan</w:t>
      </w:r>
      <w:r>
        <w:rPr>
          <w:rFonts w:ascii="Arial" w:hAnsi="Arial" w:cs="Arial"/>
        </w:rPr>
        <w:t xml:space="preserve">t similarities </w:t>
      </w:r>
      <w:r>
        <w:rPr>
          <w:rFonts w:ascii="Arial" w:hAnsi="Arial" w:cs="Arial"/>
        </w:rPr>
        <w:lastRenderedPageBreak/>
        <w:t>between managers in the developed and emerging economies. However, managers in the emerging economies are recommended to give some serious thought to the learning platforms (</w:t>
      </w:r>
      <w:r w:rsidRPr="00CC3B2E">
        <w:rPr>
          <w:rFonts w:ascii="Arial" w:hAnsi="Arial" w:cs="Arial"/>
        </w:rPr>
        <w:t>see table 10.</w:t>
      </w:r>
      <w:r w:rsidR="00CC3B2E" w:rsidRPr="00CC3B2E">
        <w:rPr>
          <w:rFonts w:ascii="Arial" w:hAnsi="Arial" w:cs="Arial"/>
        </w:rPr>
        <w:t>2</w:t>
      </w:r>
      <w:r w:rsidRPr="00CC3B2E">
        <w:rPr>
          <w:rFonts w:ascii="Arial" w:hAnsi="Arial" w:cs="Arial"/>
        </w:rPr>
        <w:t>.</w:t>
      </w:r>
      <w:r w:rsidR="00CC3B2E" w:rsidRPr="00CC3B2E">
        <w:rPr>
          <w:rFonts w:ascii="Arial" w:hAnsi="Arial" w:cs="Arial"/>
        </w:rPr>
        <w:t>9</w:t>
      </w:r>
      <w:r w:rsidR="0051133C" w:rsidRPr="00CC3B2E">
        <w:rPr>
          <w:rFonts w:ascii="Arial" w:hAnsi="Arial" w:cs="Arial"/>
        </w:rPr>
        <w:t>). This</w:t>
      </w:r>
      <w:r w:rsidRPr="00CC3B2E">
        <w:rPr>
          <w:rFonts w:ascii="Arial" w:hAnsi="Arial" w:cs="Arial"/>
        </w:rPr>
        <w:t xml:space="preserve"> is because the blended approach and E-learning options may</w:t>
      </w:r>
      <w:r w:rsidR="00412927" w:rsidRPr="00CC3B2E">
        <w:rPr>
          <w:rFonts w:ascii="Arial" w:hAnsi="Arial" w:cs="Arial"/>
        </w:rPr>
        <w:t xml:space="preserve"> </w:t>
      </w:r>
      <w:r w:rsidRPr="00CC3B2E">
        <w:rPr>
          <w:rFonts w:ascii="Arial" w:hAnsi="Arial" w:cs="Arial"/>
        </w:rPr>
        <w:t>be a problem in some regions</w:t>
      </w:r>
      <w:r w:rsidR="00745796" w:rsidRPr="00CC3B2E">
        <w:rPr>
          <w:rFonts w:ascii="Arial" w:hAnsi="Arial" w:cs="Arial"/>
        </w:rPr>
        <w:t xml:space="preserve"> of the emerging economies</w:t>
      </w:r>
      <w:r w:rsidRPr="00CC3B2E">
        <w:rPr>
          <w:rFonts w:ascii="Arial" w:hAnsi="Arial" w:cs="Arial"/>
        </w:rPr>
        <w:t xml:space="preserve"> because of problems with internet connections</w:t>
      </w:r>
      <w:r>
        <w:rPr>
          <w:rFonts w:ascii="Arial" w:hAnsi="Arial" w:cs="Arial"/>
        </w:rPr>
        <w:t xml:space="preserve">.  </w:t>
      </w:r>
    </w:p>
    <w:p w14:paraId="302AD73C" w14:textId="77777777" w:rsidR="00657893" w:rsidRPr="00657893" w:rsidRDefault="00657893" w:rsidP="00657893">
      <w:pPr>
        <w:pStyle w:val="ListParagraph"/>
        <w:rPr>
          <w:rFonts w:ascii="Arial" w:hAnsi="Arial" w:cs="Arial"/>
        </w:rPr>
      </w:pPr>
    </w:p>
    <w:p w14:paraId="7BC78449" w14:textId="5EA73EDD" w:rsidR="00657893" w:rsidRDefault="00412927" w:rsidP="00A7377B">
      <w:pPr>
        <w:pStyle w:val="Heading2"/>
        <w:rPr>
          <w:sz w:val="22"/>
          <w:szCs w:val="22"/>
        </w:rPr>
      </w:pPr>
      <w:bookmarkStart w:id="1479" w:name="_Toc78983938"/>
      <w:r>
        <w:rPr>
          <w:sz w:val="22"/>
          <w:szCs w:val="22"/>
        </w:rPr>
        <w:t>The w</w:t>
      </w:r>
      <w:r w:rsidR="00657893" w:rsidRPr="00A7377B">
        <w:rPr>
          <w:sz w:val="22"/>
          <w:szCs w:val="22"/>
        </w:rPr>
        <w:t xml:space="preserve">eakness of the toolkit for securing finance for real estate project </w:t>
      </w:r>
      <w:r w:rsidR="00A7377B" w:rsidRPr="00A7377B">
        <w:rPr>
          <w:sz w:val="22"/>
          <w:szCs w:val="22"/>
        </w:rPr>
        <w:t>development</w:t>
      </w:r>
      <w:r w:rsidR="00A7377B">
        <w:rPr>
          <w:sz w:val="22"/>
          <w:szCs w:val="22"/>
        </w:rPr>
        <w:t xml:space="preserve"> in the developed and emerging economies</w:t>
      </w:r>
      <w:r w:rsidR="00A7377B" w:rsidRPr="00A7377B">
        <w:rPr>
          <w:sz w:val="22"/>
          <w:szCs w:val="22"/>
        </w:rPr>
        <w:t>.</w:t>
      </w:r>
      <w:bookmarkEnd w:id="1479"/>
    </w:p>
    <w:p w14:paraId="7192E4F9" w14:textId="77777777" w:rsidR="008A2A72" w:rsidRPr="008A2A72" w:rsidRDefault="008A2A72" w:rsidP="00CD009C">
      <w:pPr>
        <w:shd w:val="clear" w:color="auto" w:fill="FFFFFF" w:themeFill="background1"/>
      </w:pPr>
    </w:p>
    <w:p w14:paraId="56864B3C" w14:textId="5CB71315" w:rsidR="008A2A72" w:rsidRDefault="008A2A72" w:rsidP="00CD009C">
      <w:pPr>
        <w:shd w:val="clear" w:color="auto" w:fill="FFFFFF" w:themeFill="background1"/>
        <w:rPr>
          <w:rFonts w:ascii="Arial" w:hAnsi="Arial" w:cs="Arial"/>
        </w:rPr>
      </w:pPr>
      <w:r w:rsidRPr="00CD009C">
        <w:rPr>
          <w:rFonts w:ascii="Arial" w:hAnsi="Arial" w:cs="Arial"/>
        </w:rPr>
        <w:t>There are two fundamental weaknesses with the toolkit for securing finance for real estate project development</w:t>
      </w:r>
      <w:r w:rsidR="001440C7">
        <w:rPr>
          <w:rFonts w:ascii="Arial" w:hAnsi="Arial" w:cs="Arial"/>
        </w:rPr>
        <w:t>,</w:t>
      </w:r>
      <w:r w:rsidRPr="00CD009C">
        <w:rPr>
          <w:rFonts w:ascii="Arial" w:hAnsi="Arial" w:cs="Arial"/>
        </w:rPr>
        <w:t xml:space="preserve"> and they are the lack of inputs from financiers </w:t>
      </w:r>
      <w:r w:rsidR="00AF4CDD" w:rsidRPr="00CD009C">
        <w:rPr>
          <w:rFonts w:ascii="Arial" w:hAnsi="Arial" w:cs="Arial"/>
        </w:rPr>
        <w:t xml:space="preserve">in the development of the toolkit. Secondly, </w:t>
      </w:r>
      <w:r w:rsidRPr="00CD009C">
        <w:rPr>
          <w:rFonts w:ascii="Arial" w:hAnsi="Arial" w:cs="Arial"/>
        </w:rPr>
        <w:t xml:space="preserve">the possible internet challenges that some regions </w:t>
      </w:r>
      <w:r w:rsidR="00AF4CDD" w:rsidRPr="00CD009C">
        <w:rPr>
          <w:rFonts w:ascii="Arial" w:hAnsi="Arial" w:cs="Arial"/>
        </w:rPr>
        <w:t>in the emerging economies could encounter and hence have difficulties using the blended and E-learning platforms.</w:t>
      </w:r>
    </w:p>
    <w:p w14:paraId="45FA261D" w14:textId="4A74DD09" w:rsidR="00CD009C" w:rsidRPr="008A2A72" w:rsidRDefault="00CD009C" w:rsidP="00CD009C">
      <w:pPr>
        <w:shd w:val="clear" w:color="auto" w:fill="FFFFFF" w:themeFill="background1"/>
        <w:rPr>
          <w:rFonts w:ascii="Arial" w:hAnsi="Arial" w:cs="Arial"/>
        </w:rPr>
      </w:pPr>
      <w:r>
        <w:rPr>
          <w:rFonts w:ascii="Arial" w:hAnsi="Arial" w:cs="Arial"/>
        </w:rPr>
        <w:t xml:space="preserve">The </w:t>
      </w:r>
      <w:r w:rsidR="00B25A80">
        <w:rPr>
          <w:rFonts w:ascii="Arial" w:hAnsi="Arial" w:cs="Arial"/>
        </w:rPr>
        <w:t>usage of</w:t>
      </w:r>
      <w:r>
        <w:rPr>
          <w:rFonts w:ascii="Arial" w:hAnsi="Arial" w:cs="Arial"/>
        </w:rPr>
        <w:t xml:space="preserve"> information from semi</w:t>
      </w:r>
      <w:r w:rsidR="00412927">
        <w:rPr>
          <w:rFonts w:ascii="Arial" w:hAnsi="Arial" w:cs="Arial"/>
        </w:rPr>
        <w:t>-</w:t>
      </w:r>
      <w:r>
        <w:rPr>
          <w:rFonts w:ascii="Arial" w:hAnsi="Arial" w:cs="Arial"/>
        </w:rPr>
        <w:t>structured interviews, questionnaires</w:t>
      </w:r>
      <w:r w:rsidR="001440C7">
        <w:rPr>
          <w:rFonts w:ascii="Arial" w:hAnsi="Arial" w:cs="Arial"/>
        </w:rPr>
        <w:t>, and literature review</w:t>
      </w:r>
      <w:r>
        <w:rPr>
          <w:rFonts w:ascii="Arial" w:hAnsi="Arial" w:cs="Arial"/>
        </w:rPr>
        <w:t xml:space="preserve"> provides great depth to the different constructs discussed. Hence this is still a very robust toolkit despite not having input from financiers.</w:t>
      </w:r>
      <w:r w:rsidR="005E41CA">
        <w:rPr>
          <w:rFonts w:ascii="Arial" w:hAnsi="Arial" w:cs="Arial"/>
        </w:rPr>
        <w:t xml:space="preserve"> The study also covers the developed and emerging economies</w:t>
      </w:r>
      <w:r w:rsidR="001440C7">
        <w:rPr>
          <w:rFonts w:ascii="Arial" w:hAnsi="Arial" w:cs="Arial"/>
        </w:rPr>
        <w:t>,</w:t>
      </w:r>
      <w:r w:rsidR="005E41CA">
        <w:rPr>
          <w:rFonts w:ascii="Arial" w:hAnsi="Arial" w:cs="Arial"/>
        </w:rPr>
        <w:t xml:space="preserve"> and this provides great depth to the findings.</w:t>
      </w:r>
      <w:r>
        <w:rPr>
          <w:rFonts w:ascii="Arial" w:hAnsi="Arial" w:cs="Arial"/>
        </w:rPr>
        <w:t xml:space="preserve"> Furthermore, the toolkit provides multiple </w:t>
      </w:r>
      <w:r w:rsidR="00E52EEA">
        <w:rPr>
          <w:rFonts w:ascii="Arial" w:hAnsi="Arial" w:cs="Arial"/>
        </w:rPr>
        <w:t>platforms for training and education</w:t>
      </w:r>
      <w:r w:rsidR="001440C7">
        <w:rPr>
          <w:rFonts w:ascii="Arial" w:hAnsi="Arial" w:cs="Arial"/>
        </w:rPr>
        <w:t>. This could help ameliorate the impact of problems with internet services, which could hinder</w:t>
      </w:r>
      <w:r w:rsidR="00E52EEA">
        <w:rPr>
          <w:rFonts w:ascii="Arial" w:hAnsi="Arial" w:cs="Arial"/>
        </w:rPr>
        <w:t xml:space="preserve"> the usage of blended and E-Learning platforms</w:t>
      </w:r>
      <w:r w:rsidR="009B387A">
        <w:rPr>
          <w:rFonts w:ascii="Arial" w:hAnsi="Arial" w:cs="Arial"/>
        </w:rPr>
        <w:t xml:space="preserve"> in some emerging economies</w:t>
      </w:r>
      <w:r w:rsidR="00E52EEA">
        <w:rPr>
          <w:rFonts w:ascii="Arial" w:hAnsi="Arial" w:cs="Arial"/>
        </w:rPr>
        <w:t>.</w:t>
      </w:r>
    </w:p>
    <w:p w14:paraId="201E1D89" w14:textId="77777777" w:rsidR="00CD6352" w:rsidRPr="00EA7665" w:rsidRDefault="00CD6352" w:rsidP="00CD6352">
      <w:pPr>
        <w:spacing w:line="360" w:lineRule="auto"/>
        <w:jc w:val="both"/>
        <w:rPr>
          <w:rFonts w:ascii="Arial" w:eastAsia="Calibri" w:hAnsi="Arial" w:cs="Arial"/>
          <w:lang w:val="en-US"/>
        </w:rPr>
      </w:pPr>
    </w:p>
    <w:p w14:paraId="3E5FDEEC" w14:textId="77777777" w:rsidR="00CD6352" w:rsidRPr="00EA7665" w:rsidRDefault="00CD6352" w:rsidP="00CD6352">
      <w:pPr>
        <w:pStyle w:val="Heading2"/>
        <w:spacing w:after="240"/>
      </w:pPr>
      <w:bookmarkStart w:id="1480" w:name="_Toc78983939"/>
      <w:r w:rsidRPr="00EA7665">
        <w:t>Summary</w:t>
      </w:r>
      <w:bookmarkEnd w:id="1480"/>
    </w:p>
    <w:p w14:paraId="123791E6" w14:textId="5F4B7B52" w:rsidR="00BE2600" w:rsidRPr="00EA7665" w:rsidRDefault="00BE2600" w:rsidP="006334A2">
      <w:pPr>
        <w:jc w:val="both"/>
        <w:rPr>
          <w:rFonts w:ascii="Arial" w:hAnsi="Arial" w:cs="Arial"/>
        </w:rPr>
      </w:pPr>
      <w:r w:rsidRPr="006334A2">
        <w:rPr>
          <w:rFonts w:ascii="Arial" w:hAnsi="Arial" w:cs="Arial"/>
        </w:rPr>
        <w:t>This chapter discussed</w:t>
      </w:r>
      <w:r w:rsidR="006334A2">
        <w:rPr>
          <w:rFonts w:ascii="Arial" w:hAnsi="Arial" w:cs="Arial"/>
        </w:rPr>
        <w:t xml:space="preserve"> the </w:t>
      </w:r>
      <w:r w:rsidR="006334A2" w:rsidRPr="006334A2">
        <w:rPr>
          <w:rFonts w:ascii="Arial" w:hAnsi="Arial" w:cs="Arial"/>
        </w:rPr>
        <w:t>integrat</w:t>
      </w:r>
      <w:r w:rsidR="006334A2">
        <w:rPr>
          <w:rFonts w:ascii="Arial" w:hAnsi="Arial" w:cs="Arial"/>
        </w:rPr>
        <w:t>ion of</w:t>
      </w:r>
      <w:r w:rsidR="006334A2" w:rsidRPr="006334A2">
        <w:rPr>
          <w:rFonts w:ascii="Arial" w:hAnsi="Arial" w:cs="Arial"/>
        </w:rPr>
        <w:t xml:space="preserve"> the different components of the tool kit for securing finance for real estate project development.</w:t>
      </w:r>
      <w:r w:rsidR="006334A2">
        <w:rPr>
          <w:rFonts w:ascii="Arial" w:hAnsi="Arial" w:cs="Arial"/>
        </w:rPr>
        <w:t xml:space="preserve"> </w:t>
      </w:r>
      <w:r w:rsidRPr="006334A2">
        <w:rPr>
          <w:rFonts w:ascii="Arial" w:hAnsi="Arial" w:cs="Arial"/>
        </w:rPr>
        <w:t>The toolkit fulfilled the primary aim of this research</w:t>
      </w:r>
      <w:r w:rsidR="006334A2">
        <w:rPr>
          <w:rFonts w:ascii="Arial" w:hAnsi="Arial" w:cs="Arial"/>
        </w:rPr>
        <w:t>:</w:t>
      </w:r>
      <w:r w:rsidRPr="006334A2">
        <w:rPr>
          <w:rFonts w:ascii="Arial" w:hAnsi="Arial" w:cs="Arial"/>
        </w:rPr>
        <w:t xml:space="preserve"> to develop a toolkit for securing finance for real estate project development. The toolkit is to assist the manager in the real estate sector in planning the process of securing finance for real estate project development. It is also to act as a guide when </w:t>
      </w:r>
      <w:r w:rsidR="006334A2">
        <w:rPr>
          <w:rFonts w:ascii="Arial" w:hAnsi="Arial" w:cs="Arial"/>
        </w:rPr>
        <w:t>the process of securing finance for the project has commenced and</w:t>
      </w:r>
      <w:r w:rsidRPr="006334A2">
        <w:rPr>
          <w:rFonts w:ascii="Arial" w:hAnsi="Arial" w:cs="Arial"/>
        </w:rPr>
        <w:t xml:space="preserve"> a guide for training and education.</w:t>
      </w:r>
    </w:p>
    <w:p w14:paraId="78E4DA46" w14:textId="2077FBD5" w:rsidR="00BE2600" w:rsidRDefault="00BE2600" w:rsidP="00BE2600">
      <w:r>
        <w:rPr>
          <w:rFonts w:ascii="Arial" w:hAnsi="Arial" w:cs="Arial"/>
        </w:rPr>
        <w:t>Six</w:t>
      </w:r>
      <w:r w:rsidRPr="00EA7665">
        <w:rPr>
          <w:rFonts w:ascii="Arial" w:hAnsi="Arial" w:cs="Arial"/>
        </w:rPr>
        <w:t xml:space="preserve"> major stages </w:t>
      </w:r>
      <w:r>
        <w:rPr>
          <w:rFonts w:ascii="Arial" w:hAnsi="Arial" w:cs="Arial"/>
        </w:rPr>
        <w:t>of the toolkit</w:t>
      </w:r>
      <w:r w:rsidR="006334A2">
        <w:rPr>
          <w:rFonts w:ascii="Arial" w:hAnsi="Arial" w:cs="Arial"/>
        </w:rPr>
        <w:t>,</w:t>
      </w:r>
      <w:r>
        <w:rPr>
          <w:rFonts w:ascii="Arial" w:hAnsi="Arial" w:cs="Arial"/>
        </w:rPr>
        <w:t xml:space="preserve"> which were initially developed in chapter</w:t>
      </w:r>
      <w:r w:rsidR="006334A2">
        <w:rPr>
          <w:rFonts w:ascii="Arial" w:hAnsi="Arial" w:cs="Arial"/>
        </w:rPr>
        <w:t>s</w:t>
      </w:r>
      <w:r>
        <w:rPr>
          <w:rFonts w:ascii="Arial" w:hAnsi="Arial" w:cs="Arial"/>
        </w:rPr>
        <w:t xml:space="preserve"> 5,6,7,8 and 9 were all assembled in this chapter showing the different stages of the toolkit. </w:t>
      </w:r>
      <w:r w:rsidRPr="00EA7665">
        <w:rPr>
          <w:rFonts w:ascii="Arial" w:hAnsi="Arial" w:cs="Arial"/>
        </w:rPr>
        <w:t>Consequently, the toolkit is a composition of the inventory of finance options</w:t>
      </w:r>
      <w:r>
        <w:rPr>
          <w:rFonts w:ascii="Arial" w:hAnsi="Arial" w:cs="Arial"/>
        </w:rPr>
        <w:t xml:space="preserve"> and criteria; </w:t>
      </w:r>
      <w:r w:rsidR="009812C6">
        <w:rPr>
          <w:rFonts w:ascii="Arial" w:hAnsi="Arial" w:cs="Arial"/>
        </w:rPr>
        <w:t xml:space="preserve">a </w:t>
      </w:r>
      <w:r>
        <w:rPr>
          <w:rFonts w:ascii="Arial" w:hAnsi="Arial" w:cs="Arial"/>
        </w:rPr>
        <w:t xml:space="preserve">conceptual framework for </w:t>
      </w:r>
      <w:r w:rsidR="00070C6E">
        <w:rPr>
          <w:rFonts w:ascii="Arial" w:hAnsi="Arial" w:cs="Arial"/>
        </w:rPr>
        <w:t xml:space="preserve">the </w:t>
      </w:r>
      <w:r>
        <w:rPr>
          <w:rFonts w:ascii="Arial" w:hAnsi="Arial" w:cs="Arial"/>
        </w:rPr>
        <w:t xml:space="preserve">environmental scan; process map; </w:t>
      </w:r>
      <w:r w:rsidR="00070C6E">
        <w:rPr>
          <w:rFonts w:ascii="Arial" w:hAnsi="Arial" w:cs="Arial"/>
        </w:rPr>
        <w:t xml:space="preserve">inventory of </w:t>
      </w:r>
      <w:r>
        <w:rPr>
          <w:rFonts w:ascii="Arial" w:hAnsi="Arial" w:cs="Arial"/>
        </w:rPr>
        <w:t xml:space="preserve">skills, knowledge &amp; competences; </w:t>
      </w:r>
      <w:r w:rsidR="009812C6">
        <w:rPr>
          <w:rFonts w:ascii="Arial" w:hAnsi="Arial" w:cs="Arial"/>
        </w:rPr>
        <w:t xml:space="preserve">a </w:t>
      </w:r>
      <w:r>
        <w:rPr>
          <w:rFonts w:ascii="Arial" w:hAnsi="Arial" w:cs="Arial"/>
        </w:rPr>
        <w:t xml:space="preserve">conceptual framework for </w:t>
      </w:r>
      <w:r w:rsidR="00522E4E">
        <w:rPr>
          <w:rFonts w:ascii="Arial" w:hAnsi="Arial" w:cs="Arial"/>
        </w:rPr>
        <w:t xml:space="preserve">a </w:t>
      </w:r>
      <w:r>
        <w:rPr>
          <w:rFonts w:ascii="Arial" w:hAnsi="Arial" w:cs="Arial"/>
        </w:rPr>
        <w:t xml:space="preserve">career path and conceptual framework for training and education for securing finance for real estate project development. </w:t>
      </w:r>
      <w:r w:rsidRPr="00EA7665">
        <w:rPr>
          <w:rFonts w:ascii="Arial" w:hAnsi="Arial" w:cs="Arial"/>
        </w:rPr>
        <w:t>The toolkit can be adaptable to both the developed and emerging economies</w:t>
      </w:r>
      <w:r w:rsidR="006334A2">
        <w:rPr>
          <w:rFonts w:ascii="Arial" w:hAnsi="Arial" w:cs="Arial"/>
        </w:rPr>
        <w:t>. I</w:t>
      </w:r>
      <w:r w:rsidRPr="00EA7665">
        <w:rPr>
          <w:rFonts w:ascii="Arial" w:hAnsi="Arial" w:cs="Arial"/>
        </w:rPr>
        <w:t xml:space="preserve">t is a </w:t>
      </w:r>
      <w:r w:rsidR="006334A2">
        <w:rPr>
          <w:rFonts w:ascii="Arial" w:hAnsi="Arial" w:cs="Arial"/>
        </w:rPr>
        <w:t>valuable</w:t>
      </w:r>
      <w:r w:rsidRPr="00EA7665">
        <w:rPr>
          <w:rFonts w:ascii="Arial" w:hAnsi="Arial" w:cs="Arial"/>
        </w:rPr>
        <w:t xml:space="preserve"> guide for training and education for the real estate manager involved with securing finance for real estate project development.</w:t>
      </w:r>
      <w:r>
        <w:rPr>
          <w:rFonts w:ascii="Arial" w:hAnsi="Arial" w:cs="Arial"/>
        </w:rPr>
        <w:t xml:space="preserve"> This chapter also highlighted the</w:t>
      </w:r>
      <w:r w:rsidR="006904B6">
        <w:rPr>
          <w:rFonts w:ascii="Arial" w:hAnsi="Arial" w:cs="Arial"/>
        </w:rPr>
        <w:t xml:space="preserve"> recommended usage of the toolkit, the</w:t>
      </w:r>
      <w:r>
        <w:rPr>
          <w:rFonts w:ascii="Arial" w:hAnsi="Arial" w:cs="Arial"/>
        </w:rPr>
        <w:t xml:space="preserve"> weaknesses</w:t>
      </w:r>
      <w:r w:rsidR="006904B6">
        <w:rPr>
          <w:rFonts w:ascii="Arial" w:hAnsi="Arial" w:cs="Arial"/>
        </w:rPr>
        <w:t>,</w:t>
      </w:r>
      <w:r>
        <w:rPr>
          <w:rFonts w:ascii="Arial" w:hAnsi="Arial" w:cs="Arial"/>
        </w:rPr>
        <w:t xml:space="preserve"> and how these weaknesses were ameliorated.</w:t>
      </w:r>
    </w:p>
    <w:p w14:paraId="50088CBE" w14:textId="77777777" w:rsidR="00CD6352" w:rsidRPr="00EA7665" w:rsidRDefault="00CD6352" w:rsidP="00CD6352">
      <w:pPr>
        <w:spacing w:line="360" w:lineRule="auto"/>
        <w:jc w:val="both"/>
        <w:rPr>
          <w:rFonts w:ascii="Arial" w:hAnsi="Arial" w:cs="Arial"/>
        </w:rPr>
      </w:pPr>
    </w:p>
    <w:p w14:paraId="730C384D" w14:textId="77777777" w:rsidR="00CD6352" w:rsidRDefault="00CD6352" w:rsidP="00CD6352"/>
    <w:p w14:paraId="36D8D5AA" w14:textId="33D3CB3B" w:rsidR="00CD6352" w:rsidRDefault="00CD6352" w:rsidP="00CD6352"/>
    <w:p w14:paraId="37899F9E" w14:textId="203301AF" w:rsidR="00CD6352" w:rsidRPr="00EA7665" w:rsidRDefault="00CD6352" w:rsidP="00CD6352">
      <w:pPr>
        <w:pStyle w:val="Heading1"/>
        <w:rPr>
          <w:sz w:val="22"/>
          <w:szCs w:val="22"/>
        </w:rPr>
      </w:pPr>
      <w:bookmarkStart w:id="1481" w:name="_Toc78983940"/>
      <w:r w:rsidRPr="00EA7665">
        <w:rPr>
          <w:sz w:val="22"/>
          <w:szCs w:val="22"/>
        </w:rPr>
        <w:lastRenderedPageBreak/>
        <w:t>Conclusions</w:t>
      </w:r>
      <w:r>
        <w:rPr>
          <w:sz w:val="22"/>
          <w:szCs w:val="22"/>
        </w:rPr>
        <w:t xml:space="preserve"> </w:t>
      </w:r>
      <w:r w:rsidR="00061AE9">
        <w:rPr>
          <w:sz w:val="22"/>
          <w:szCs w:val="22"/>
        </w:rPr>
        <w:t>and recommendation</w:t>
      </w:r>
      <w:bookmarkEnd w:id="1481"/>
      <w:r>
        <w:rPr>
          <w:sz w:val="22"/>
          <w:szCs w:val="22"/>
        </w:rPr>
        <w:t xml:space="preserve"> </w:t>
      </w:r>
    </w:p>
    <w:p w14:paraId="35BD4777" w14:textId="77777777" w:rsidR="00CD6352" w:rsidRPr="00EA7665" w:rsidRDefault="00CD6352" w:rsidP="00CD6352">
      <w:pPr>
        <w:spacing w:after="0" w:line="360" w:lineRule="auto"/>
        <w:jc w:val="both"/>
        <w:rPr>
          <w:rFonts w:ascii="Arial" w:hAnsi="Arial" w:cs="Arial"/>
        </w:rPr>
      </w:pPr>
    </w:p>
    <w:p w14:paraId="396B7C9E" w14:textId="77777777" w:rsidR="00CD6352" w:rsidRDefault="00CD6352" w:rsidP="00CD6352">
      <w:pPr>
        <w:pStyle w:val="Heading2"/>
        <w:spacing w:after="240"/>
        <w:rPr>
          <w:sz w:val="22"/>
          <w:szCs w:val="22"/>
        </w:rPr>
      </w:pPr>
      <w:bookmarkStart w:id="1482" w:name="_Toc78983941"/>
      <w:r w:rsidRPr="00EA7665">
        <w:rPr>
          <w:rFonts w:cs="Arial"/>
          <w:sz w:val="22"/>
          <w:szCs w:val="22"/>
        </w:rPr>
        <w:t>I</w:t>
      </w:r>
      <w:r w:rsidRPr="00EA7665">
        <w:rPr>
          <w:sz w:val="22"/>
          <w:szCs w:val="22"/>
        </w:rPr>
        <w:t>ntroduction</w:t>
      </w:r>
      <w:bookmarkEnd w:id="1482"/>
    </w:p>
    <w:p w14:paraId="6B9891D0" w14:textId="56A7B5C7" w:rsidR="00CD6352" w:rsidRDefault="00CD6352" w:rsidP="00CD6352">
      <w:pPr>
        <w:spacing w:line="360" w:lineRule="auto"/>
        <w:rPr>
          <w:rFonts w:ascii="Arial" w:hAnsi="Arial" w:cs="Arial"/>
        </w:rPr>
      </w:pPr>
      <w:r w:rsidRPr="00BB0912">
        <w:rPr>
          <w:rFonts w:ascii="Arial" w:hAnsi="Arial" w:cs="Arial"/>
        </w:rPr>
        <w:t xml:space="preserve">The study on securing finance for real estate project development in the developed and emerging economies has been undertaken. This chapter summarises the main findings from the study </w:t>
      </w:r>
      <w:r w:rsidR="007C49A2" w:rsidRPr="00BB0912">
        <w:rPr>
          <w:rFonts w:ascii="Arial" w:hAnsi="Arial" w:cs="Arial"/>
        </w:rPr>
        <w:t>and</w:t>
      </w:r>
      <w:r w:rsidRPr="00BB0912">
        <w:rPr>
          <w:rFonts w:ascii="Arial" w:hAnsi="Arial" w:cs="Arial"/>
        </w:rPr>
        <w:t xml:space="preserve"> provides recommendations and limitations of the study.</w:t>
      </w:r>
      <w:r>
        <w:rPr>
          <w:rFonts w:ascii="Arial" w:hAnsi="Arial" w:cs="Arial"/>
        </w:rPr>
        <w:t xml:space="preserve"> </w:t>
      </w:r>
    </w:p>
    <w:p w14:paraId="571EBF4A" w14:textId="5C9494FB" w:rsidR="00CD6352" w:rsidRPr="00C4625B" w:rsidRDefault="008C02E5" w:rsidP="00CD6352">
      <w:pPr>
        <w:pStyle w:val="Heading2"/>
        <w:spacing w:after="240"/>
        <w:rPr>
          <w:sz w:val="22"/>
          <w:szCs w:val="22"/>
        </w:rPr>
      </w:pPr>
      <w:bookmarkStart w:id="1483" w:name="_Toc78983942"/>
      <w:r>
        <w:rPr>
          <w:sz w:val="22"/>
          <w:szCs w:val="22"/>
        </w:rPr>
        <w:t>Conclusions on Research Objectives</w:t>
      </w:r>
      <w:bookmarkEnd w:id="1483"/>
    </w:p>
    <w:p w14:paraId="519D54EC" w14:textId="5930F373" w:rsidR="00CD6352" w:rsidRDefault="00CD6352" w:rsidP="00CD6352">
      <w:pPr>
        <w:spacing w:line="360" w:lineRule="auto"/>
        <w:jc w:val="both"/>
        <w:rPr>
          <w:rFonts w:ascii="Arial" w:hAnsi="Arial" w:cs="Arial"/>
        </w:rPr>
      </w:pPr>
      <w:r w:rsidRPr="00C4625B">
        <w:rPr>
          <w:rFonts w:ascii="Arial" w:hAnsi="Arial" w:cs="Arial"/>
        </w:rPr>
        <w:t xml:space="preserve">The research objectives were developed to achieve the research aim (see section 1.5 of chapter 1). There were </w:t>
      </w:r>
      <w:r>
        <w:rPr>
          <w:rFonts w:ascii="Arial" w:hAnsi="Arial" w:cs="Arial"/>
        </w:rPr>
        <w:t>six</w:t>
      </w:r>
      <w:r w:rsidRPr="00C4625B">
        <w:rPr>
          <w:rFonts w:ascii="Arial" w:hAnsi="Arial" w:cs="Arial"/>
        </w:rPr>
        <w:t xml:space="preserve"> (6) objectives, and all six objectives were achieved through the review of literature, questionnaire surve</w:t>
      </w:r>
      <w:r>
        <w:rPr>
          <w:rFonts w:ascii="Arial" w:hAnsi="Arial" w:cs="Arial"/>
        </w:rPr>
        <w:t>ys</w:t>
      </w:r>
      <w:r w:rsidRPr="00C4625B">
        <w:rPr>
          <w:rFonts w:ascii="Arial" w:hAnsi="Arial" w:cs="Arial"/>
        </w:rPr>
        <w:t xml:space="preserve">, and semi-structured interviews. This section provides a summary of the key findings to demonstrate the achievement of the objectives. </w:t>
      </w:r>
    </w:p>
    <w:p w14:paraId="6C49A219" w14:textId="77777777" w:rsidR="00BE714C" w:rsidRPr="00BE714C" w:rsidRDefault="00BE714C" w:rsidP="00BE714C">
      <w:pPr>
        <w:spacing w:line="360" w:lineRule="auto"/>
        <w:rPr>
          <w:rFonts w:ascii="Arial" w:hAnsi="Arial" w:cs="Arial"/>
        </w:rPr>
      </w:pPr>
      <w:r w:rsidRPr="00BE714C">
        <w:rPr>
          <w:rFonts w:ascii="Arial" w:hAnsi="Arial" w:cs="Arial"/>
          <w:b/>
        </w:rPr>
        <w:t>Research objective one</w:t>
      </w:r>
      <w:r w:rsidRPr="00BE714C">
        <w:rPr>
          <w:rFonts w:ascii="Arial" w:hAnsi="Arial" w:cs="Arial"/>
        </w:rPr>
        <w:t>: To examine the real estate finance options and criteria for securing finance for real estate project development in the developed and emerging economies.</w:t>
      </w:r>
    </w:p>
    <w:p w14:paraId="5FDC9217" w14:textId="6DDCCE21" w:rsidR="00BE714C" w:rsidRPr="00BE714C" w:rsidRDefault="00BE714C" w:rsidP="00BE714C">
      <w:pPr>
        <w:spacing w:line="360" w:lineRule="auto"/>
        <w:rPr>
          <w:rFonts w:ascii="Arial" w:eastAsia="Calibri" w:hAnsi="Arial" w:cs="Arial"/>
        </w:rPr>
      </w:pPr>
      <w:r w:rsidRPr="00BE714C">
        <w:rPr>
          <w:rFonts w:ascii="Arial" w:eastAsia="Calibri" w:hAnsi="Arial" w:cs="Arial"/>
        </w:rPr>
        <w:t xml:space="preserve">The findings at the aggregate level show that all eighteen (18) finance options listed in the questionnaire survey are used at the aggregate level with varying degrees of usage by managers in </w:t>
      </w:r>
      <w:r w:rsidR="00981949">
        <w:rPr>
          <w:rFonts w:ascii="Arial" w:eastAsia="Calibri" w:hAnsi="Arial" w:cs="Arial"/>
        </w:rPr>
        <w:t xml:space="preserve">the </w:t>
      </w:r>
      <w:r w:rsidRPr="00BE714C">
        <w:rPr>
          <w:rFonts w:ascii="Arial" w:eastAsia="Calibri" w:hAnsi="Arial" w:cs="Arial"/>
        </w:rPr>
        <w:t xml:space="preserve">different </w:t>
      </w:r>
      <w:r w:rsidR="00961DDB" w:rsidRPr="00BE714C">
        <w:rPr>
          <w:rFonts w:ascii="Arial" w:eastAsia="Calibri" w:hAnsi="Arial" w:cs="Arial"/>
        </w:rPr>
        <w:t>countries</w:t>
      </w:r>
      <w:r w:rsidR="00961DDB">
        <w:rPr>
          <w:rFonts w:ascii="Arial" w:eastAsia="Calibri" w:hAnsi="Arial" w:cs="Arial"/>
        </w:rPr>
        <w:t>(see</w:t>
      </w:r>
      <w:r w:rsidR="007A7B85">
        <w:rPr>
          <w:rFonts w:ascii="Arial" w:eastAsia="Calibri" w:hAnsi="Arial" w:cs="Arial"/>
        </w:rPr>
        <w:t xml:space="preserve"> table 5.2.1)</w:t>
      </w:r>
      <w:r w:rsidRPr="00BE714C">
        <w:rPr>
          <w:rFonts w:ascii="Arial" w:eastAsia="Calibri" w:hAnsi="Arial" w:cs="Arial"/>
        </w:rPr>
        <w:t xml:space="preserve">. However, the five most highly used finance options for real estate project development at the aggregate level are ranked below: </w:t>
      </w:r>
    </w:p>
    <w:p w14:paraId="2BDD63AF" w14:textId="77777777" w:rsidR="00BE714C" w:rsidRPr="00886C94" w:rsidRDefault="00BE714C" w:rsidP="007625E7">
      <w:pPr>
        <w:pStyle w:val="ListParagraph"/>
        <w:numPr>
          <w:ilvl w:val="0"/>
          <w:numId w:val="339"/>
        </w:numPr>
        <w:spacing w:line="240" w:lineRule="auto"/>
        <w:jc w:val="both"/>
        <w:rPr>
          <w:rFonts w:ascii="Arial" w:eastAsia="Calibri" w:hAnsi="Arial" w:cs="Arial"/>
        </w:rPr>
      </w:pPr>
      <w:r w:rsidRPr="00886C94">
        <w:rPr>
          <w:rFonts w:ascii="Arial" w:eastAsia="Calibri" w:hAnsi="Arial" w:cs="Arial"/>
        </w:rPr>
        <w:t>Bank loan</w:t>
      </w:r>
    </w:p>
    <w:p w14:paraId="6745F68E" w14:textId="77777777" w:rsidR="00BE714C" w:rsidRPr="00886C94" w:rsidRDefault="00BE714C" w:rsidP="007625E7">
      <w:pPr>
        <w:pStyle w:val="ListParagraph"/>
        <w:numPr>
          <w:ilvl w:val="0"/>
          <w:numId w:val="339"/>
        </w:numPr>
        <w:spacing w:line="240" w:lineRule="auto"/>
        <w:jc w:val="both"/>
        <w:rPr>
          <w:rFonts w:ascii="Arial" w:eastAsia="Calibri" w:hAnsi="Arial" w:cs="Arial"/>
        </w:rPr>
      </w:pPr>
      <w:r w:rsidRPr="00886C94">
        <w:rPr>
          <w:rFonts w:ascii="Arial" w:eastAsia="Calibri" w:hAnsi="Arial" w:cs="Arial"/>
        </w:rPr>
        <w:t>Cash flow from business operation</w:t>
      </w:r>
    </w:p>
    <w:p w14:paraId="02109875" w14:textId="77777777" w:rsidR="00BE714C" w:rsidRPr="00886C94" w:rsidRDefault="00BE714C" w:rsidP="007625E7">
      <w:pPr>
        <w:pStyle w:val="ListParagraph"/>
        <w:numPr>
          <w:ilvl w:val="0"/>
          <w:numId w:val="339"/>
        </w:numPr>
        <w:spacing w:line="240" w:lineRule="auto"/>
        <w:jc w:val="both"/>
        <w:rPr>
          <w:rFonts w:ascii="Arial" w:eastAsia="Calibri" w:hAnsi="Arial" w:cs="Arial"/>
        </w:rPr>
      </w:pPr>
      <w:r w:rsidRPr="00886C94">
        <w:rPr>
          <w:rFonts w:ascii="Arial" w:eastAsia="Calibri" w:hAnsi="Arial" w:cs="Arial"/>
        </w:rPr>
        <w:t>High net worth individuals</w:t>
      </w:r>
    </w:p>
    <w:p w14:paraId="51B55F13" w14:textId="77777777" w:rsidR="00BE714C" w:rsidRPr="00886C94" w:rsidRDefault="00BE714C" w:rsidP="007625E7">
      <w:pPr>
        <w:pStyle w:val="ListParagraph"/>
        <w:numPr>
          <w:ilvl w:val="0"/>
          <w:numId w:val="339"/>
        </w:numPr>
        <w:spacing w:line="240" w:lineRule="auto"/>
        <w:jc w:val="both"/>
        <w:rPr>
          <w:rFonts w:ascii="Arial" w:eastAsia="Calibri" w:hAnsi="Arial" w:cs="Arial"/>
        </w:rPr>
      </w:pPr>
      <w:r w:rsidRPr="00886C94">
        <w:rPr>
          <w:rFonts w:ascii="Arial" w:eastAsia="Calibri" w:hAnsi="Arial" w:cs="Arial"/>
        </w:rPr>
        <w:t xml:space="preserve">Equity funds </w:t>
      </w:r>
    </w:p>
    <w:p w14:paraId="360D39F1" w14:textId="77777777" w:rsidR="00BE714C" w:rsidRPr="00886C94" w:rsidRDefault="00BE714C" w:rsidP="007625E7">
      <w:pPr>
        <w:pStyle w:val="ListParagraph"/>
        <w:numPr>
          <w:ilvl w:val="0"/>
          <w:numId w:val="339"/>
        </w:numPr>
        <w:spacing w:line="240" w:lineRule="auto"/>
        <w:jc w:val="both"/>
        <w:rPr>
          <w:rFonts w:ascii="Arial" w:eastAsia="Calibri" w:hAnsi="Arial" w:cs="Arial"/>
        </w:rPr>
      </w:pPr>
      <w:r w:rsidRPr="00886C94">
        <w:rPr>
          <w:rFonts w:ascii="Arial" w:eastAsia="Calibri" w:hAnsi="Arial" w:cs="Arial"/>
        </w:rPr>
        <w:t xml:space="preserve">and Joint ventures. </w:t>
      </w:r>
    </w:p>
    <w:p w14:paraId="34749B75" w14:textId="77777777" w:rsidR="00BE714C" w:rsidRPr="00BE714C" w:rsidRDefault="00BE714C" w:rsidP="00BE714C">
      <w:pPr>
        <w:spacing w:line="360" w:lineRule="auto"/>
        <w:rPr>
          <w:rFonts w:ascii="Arial" w:eastAsia="Calibri" w:hAnsi="Arial" w:cs="Arial"/>
        </w:rPr>
      </w:pPr>
      <w:r w:rsidRPr="00BE714C">
        <w:rPr>
          <w:rFonts w:ascii="Arial" w:eastAsia="Calibri" w:hAnsi="Arial" w:cs="Arial"/>
        </w:rPr>
        <w:t>While debentures, derivatives, and equity crowdfunding are the least used. The findings from both the questionnaire survey and interviews show that bank debt is used highly in both the developed and emerging economies for real estate project development.</w:t>
      </w:r>
    </w:p>
    <w:p w14:paraId="787CA739" w14:textId="026244C0" w:rsidR="00BE714C" w:rsidRPr="00BE714C" w:rsidRDefault="00BE714C" w:rsidP="00BE714C">
      <w:pPr>
        <w:spacing w:line="360" w:lineRule="auto"/>
        <w:rPr>
          <w:rFonts w:ascii="Arial" w:eastAsia="Calibri" w:hAnsi="Arial" w:cs="Arial"/>
        </w:rPr>
      </w:pPr>
      <w:r w:rsidRPr="00BE714C">
        <w:rPr>
          <w:rFonts w:ascii="Arial" w:eastAsia="Calibri" w:hAnsi="Arial" w:cs="Arial"/>
        </w:rPr>
        <w:t xml:space="preserve">The developed economies in this study all have excellent access to debt finance as compared to the emerging economies despite debt finance being dominant in both regions. </w:t>
      </w:r>
    </w:p>
    <w:p w14:paraId="602FEBCD" w14:textId="2BFB3F47" w:rsidR="00BE714C" w:rsidRPr="00BE714C" w:rsidRDefault="00BE714C" w:rsidP="00BE714C">
      <w:pPr>
        <w:spacing w:line="360" w:lineRule="auto"/>
        <w:rPr>
          <w:rFonts w:ascii="Arial" w:eastAsia="Calibri" w:hAnsi="Arial" w:cs="Arial"/>
        </w:rPr>
      </w:pPr>
      <w:r w:rsidRPr="00BE714C">
        <w:rPr>
          <w:rFonts w:ascii="Arial" w:eastAsia="Calibri" w:hAnsi="Arial" w:cs="Arial"/>
        </w:rPr>
        <w:t xml:space="preserve">Managers in China have as much access to debt as those in the developed economies. Managers in China have access to bank debt, sovereign wealth funds and REITs. Managers in China have greater access to debt finance than those in Nigeria and South Africa. </w:t>
      </w:r>
      <w:r w:rsidR="00504E5A">
        <w:rPr>
          <w:rFonts w:ascii="Arial" w:eastAsia="Calibri" w:hAnsi="Arial" w:cs="Arial"/>
        </w:rPr>
        <w:t>The findings show</w:t>
      </w:r>
      <w:r w:rsidR="00AF6235">
        <w:rPr>
          <w:rFonts w:ascii="Arial" w:eastAsia="Calibri" w:hAnsi="Arial" w:cs="Arial"/>
        </w:rPr>
        <w:t xml:space="preserve"> that Nigeria managers have the least access to bank</w:t>
      </w:r>
      <w:r w:rsidR="00C65ED3">
        <w:rPr>
          <w:rFonts w:ascii="Arial" w:eastAsia="Calibri" w:hAnsi="Arial" w:cs="Arial"/>
        </w:rPr>
        <w:t xml:space="preserve"> debt</w:t>
      </w:r>
      <w:r w:rsidR="00AF6235">
        <w:rPr>
          <w:rFonts w:ascii="Arial" w:eastAsia="Calibri" w:hAnsi="Arial" w:cs="Arial"/>
        </w:rPr>
        <w:t>, private debt finance,</w:t>
      </w:r>
      <w:r w:rsidRPr="00BE714C">
        <w:rPr>
          <w:rFonts w:ascii="Arial" w:eastAsia="Calibri" w:hAnsi="Arial" w:cs="Arial"/>
        </w:rPr>
        <w:t xml:space="preserve"> and REITs for real estate project development. The comparative shortfall in debt finance in Nigeria and South Africa compared to China and the selected developed economies is partly a result of their governments’ unfavourable monetary policies.    </w:t>
      </w:r>
      <w:r w:rsidR="00E83AA6">
        <w:rPr>
          <w:rFonts w:ascii="Arial" w:eastAsia="Calibri" w:hAnsi="Arial" w:cs="Arial"/>
        </w:rPr>
        <w:t>Also</w:t>
      </w:r>
      <w:r w:rsidRPr="00BE714C">
        <w:rPr>
          <w:rFonts w:ascii="Arial" w:eastAsia="Calibri" w:hAnsi="Arial" w:cs="Arial"/>
        </w:rPr>
        <w:t xml:space="preserve">, </w:t>
      </w:r>
      <w:r w:rsidRPr="00BE714C">
        <w:rPr>
          <w:rFonts w:ascii="Arial" w:eastAsia="Calibri" w:hAnsi="Arial" w:cs="Arial"/>
        </w:rPr>
        <w:lastRenderedPageBreak/>
        <w:t>mortgage institutions in Nigeria are plagued with bureaucracy, high</w:t>
      </w:r>
      <w:r w:rsidR="00C65ED3">
        <w:rPr>
          <w:rFonts w:ascii="Arial" w:eastAsia="Calibri" w:hAnsi="Arial" w:cs="Arial"/>
        </w:rPr>
        <w:t xml:space="preserve"> </w:t>
      </w:r>
      <w:r w:rsidRPr="00BE714C">
        <w:rPr>
          <w:rFonts w:ascii="Arial" w:eastAsia="Calibri" w:hAnsi="Arial" w:cs="Arial"/>
        </w:rPr>
        <w:t>interest rates, and high collateral requests</w:t>
      </w:r>
      <w:r w:rsidR="00C65ED3">
        <w:rPr>
          <w:rFonts w:ascii="Arial" w:eastAsia="Calibri" w:hAnsi="Arial" w:cs="Arial"/>
        </w:rPr>
        <w:t>,</w:t>
      </w:r>
      <w:r w:rsidRPr="00BE714C">
        <w:rPr>
          <w:rFonts w:ascii="Arial" w:eastAsia="Calibri" w:hAnsi="Arial" w:cs="Arial"/>
        </w:rPr>
        <w:t xml:space="preserve"> and there are also problems of historical inequalities in South Africa. </w:t>
      </w:r>
    </w:p>
    <w:p w14:paraId="3237CB4F" w14:textId="3F8D290D" w:rsidR="00BE714C" w:rsidRPr="00BE714C" w:rsidRDefault="00BE714C" w:rsidP="00BE714C">
      <w:pPr>
        <w:spacing w:before="240" w:after="0" w:line="360" w:lineRule="auto"/>
        <w:jc w:val="both"/>
        <w:rPr>
          <w:rFonts w:ascii="Arial" w:eastAsia="Calibri" w:hAnsi="Arial" w:cs="Arial"/>
        </w:rPr>
      </w:pPr>
      <w:r w:rsidRPr="00BE714C">
        <w:rPr>
          <w:rFonts w:ascii="Arial" w:eastAsia="Calibri" w:hAnsi="Arial" w:cs="Arial"/>
        </w:rPr>
        <w:t xml:space="preserve">The criteria for real estate project development finance for both developed and emerging economies are very similar, and this is because the world has become a global village </w:t>
      </w:r>
      <w:r w:rsidR="00E83AA6">
        <w:rPr>
          <w:rFonts w:ascii="Arial" w:eastAsia="Calibri" w:hAnsi="Arial" w:cs="Arial"/>
        </w:rPr>
        <w:t>for</w:t>
      </w:r>
      <w:r w:rsidRPr="00BE714C">
        <w:rPr>
          <w:rFonts w:ascii="Arial" w:eastAsia="Calibri" w:hAnsi="Arial" w:cs="Arial"/>
        </w:rPr>
        <w:t xml:space="preserve"> information and how financial risk can be avoided and mitigated. </w:t>
      </w:r>
      <w:r w:rsidR="00C65ED3">
        <w:rPr>
          <w:rFonts w:ascii="Arial" w:eastAsia="Calibri" w:hAnsi="Arial" w:cs="Arial"/>
        </w:rPr>
        <w:t>Furthermore, there is a great deal of international economic coordination amongst governments. Through their central banks, the different governments have set guidelines for the financial sectors, which have also greatly influenced real estate project development finance.</w:t>
      </w:r>
      <w:r w:rsidRPr="00BE714C">
        <w:rPr>
          <w:rFonts w:ascii="Arial" w:eastAsia="Calibri" w:hAnsi="Arial" w:cs="Arial"/>
        </w:rPr>
        <w:t xml:space="preserve"> The survey response at the aggregate level shows that all the sixteen criteria for securing finance for real estate project development as listed in the questionnaire survey are requested by financiers in all six countries</w:t>
      </w:r>
      <w:r w:rsidR="00F17294">
        <w:rPr>
          <w:rFonts w:ascii="Arial" w:eastAsia="Calibri" w:hAnsi="Arial" w:cs="Arial"/>
        </w:rPr>
        <w:t xml:space="preserve"> ( see table 5.3.1)</w:t>
      </w:r>
      <w:r w:rsidRPr="00BE714C">
        <w:rPr>
          <w:rFonts w:ascii="Arial" w:eastAsia="Calibri" w:hAnsi="Arial" w:cs="Arial"/>
        </w:rPr>
        <w:t xml:space="preserve">. However, rankings vary </w:t>
      </w:r>
      <w:r w:rsidR="00E83AA6">
        <w:rPr>
          <w:rFonts w:ascii="Arial" w:eastAsia="Calibri" w:hAnsi="Arial" w:cs="Arial"/>
        </w:rPr>
        <w:t>for</w:t>
      </w:r>
      <w:r w:rsidRPr="00BE714C">
        <w:rPr>
          <w:rFonts w:ascii="Arial" w:eastAsia="Calibri" w:hAnsi="Arial" w:cs="Arial"/>
        </w:rPr>
        <w:t xml:space="preserve"> the degree </w:t>
      </w:r>
      <w:r w:rsidR="00E83AA6">
        <w:rPr>
          <w:rFonts w:ascii="Arial" w:eastAsia="Calibri" w:hAnsi="Arial" w:cs="Arial"/>
        </w:rPr>
        <w:t>to</w:t>
      </w:r>
      <w:r w:rsidRPr="00BE714C">
        <w:rPr>
          <w:rFonts w:ascii="Arial" w:eastAsia="Calibri" w:hAnsi="Arial" w:cs="Arial"/>
        </w:rPr>
        <w:t xml:space="preserve"> which </w:t>
      </w:r>
      <w:r w:rsidR="00AF6235">
        <w:rPr>
          <w:rFonts w:ascii="Arial" w:eastAsia="Calibri" w:hAnsi="Arial" w:cs="Arial"/>
        </w:rPr>
        <w:t>financiers request them</w:t>
      </w:r>
      <w:r w:rsidRPr="00BE714C">
        <w:rPr>
          <w:rFonts w:ascii="Arial" w:eastAsia="Calibri" w:hAnsi="Arial" w:cs="Arial"/>
        </w:rPr>
        <w:t xml:space="preserve"> in different countries. The five </w:t>
      </w:r>
      <w:r w:rsidR="004F0036" w:rsidRPr="00BE714C">
        <w:rPr>
          <w:rFonts w:ascii="Arial" w:eastAsia="Calibri" w:hAnsi="Arial" w:cs="Arial"/>
        </w:rPr>
        <w:t>topmost</w:t>
      </w:r>
      <w:r w:rsidRPr="00BE714C">
        <w:rPr>
          <w:rFonts w:ascii="Arial" w:eastAsia="Calibri" w:hAnsi="Arial" w:cs="Arial"/>
        </w:rPr>
        <w:t xml:space="preserve"> criteria always requested by financiers in both the developed and emerging economies at an aggregate level is ranked as follows:</w:t>
      </w:r>
    </w:p>
    <w:p w14:paraId="217F5C5C" w14:textId="77777777" w:rsidR="00BE714C" w:rsidRPr="00886C94" w:rsidRDefault="00BE714C" w:rsidP="007625E7">
      <w:pPr>
        <w:pStyle w:val="ListParagraph"/>
        <w:numPr>
          <w:ilvl w:val="0"/>
          <w:numId w:val="340"/>
        </w:numPr>
        <w:spacing w:after="0" w:line="240" w:lineRule="auto"/>
        <w:jc w:val="both"/>
        <w:rPr>
          <w:rFonts w:ascii="Arial" w:eastAsia="Calibri" w:hAnsi="Arial" w:cs="Arial"/>
        </w:rPr>
      </w:pPr>
      <w:r w:rsidRPr="00886C94">
        <w:rPr>
          <w:rFonts w:ascii="Arial" w:eastAsia="Calibri" w:hAnsi="Arial" w:cs="Arial"/>
        </w:rPr>
        <w:t>Details of the proposed project</w:t>
      </w:r>
    </w:p>
    <w:p w14:paraId="2E06F3EA" w14:textId="77777777" w:rsidR="00BE714C" w:rsidRPr="00886C94" w:rsidRDefault="00BE714C" w:rsidP="007625E7">
      <w:pPr>
        <w:pStyle w:val="ListParagraph"/>
        <w:numPr>
          <w:ilvl w:val="0"/>
          <w:numId w:val="340"/>
        </w:numPr>
        <w:spacing w:after="0" w:line="240" w:lineRule="auto"/>
        <w:jc w:val="both"/>
        <w:rPr>
          <w:rFonts w:ascii="Arial" w:eastAsia="Calibri" w:hAnsi="Arial" w:cs="Arial"/>
        </w:rPr>
      </w:pPr>
      <w:r w:rsidRPr="00886C94">
        <w:rPr>
          <w:rFonts w:ascii="Arial" w:eastAsia="Calibri" w:hAnsi="Arial" w:cs="Arial"/>
        </w:rPr>
        <w:t>Contractual document on land acquisition/ land title</w:t>
      </w:r>
    </w:p>
    <w:p w14:paraId="5BC81E37" w14:textId="77777777" w:rsidR="00BE714C" w:rsidRPr="00886C94" w:rsidRDefault="00BE714C" w:rsidP="007625E7">
      <w:pPr>
        <w:pStyle w:val="ListParagraph"/>
        <w:numPr>
          <w:ilvl w:val="0"/>
          <w:numId w:val="340"/>
        </w:numPr>
        <w:spacing w:after="0" w:line="240" w:lineRule="auto"/>
        <w:jc w:val="both"/>
        <w:rPr>
          <w:rFonts w:ascii="Arial" w:eastAsia="Calibri" w:hAnsi="Arial" w:cs="Arial"/>
        </w:rPr>
      </w:pPr>
      <w:r w:rsidRPr="00886C94">
        <w:rPr>
          <w:rFonts w:ascii="Arial" w:eastAsia="Calibri" w:hAnsi="Arial" w:cs="Arial"/>
        </w:rPr>
        <w:t>Loan agreement</w:t>
      </w:r>
    </w:p>
    <w:p w14:paraId="273C0564" w14:textId="13438E30" w:rsidR="00BE714C" w:rsidRPr="00886C94" w:rsidRDefault="00BE714C" w:rsidP="007625E7">
      <w:pPr>
        <w:pStyle w:val="ListParagraph"/>
        <w:numPr>
          <w:ilvl w:val="0"/>
          <w:numId w:val="340"/>
        </w:numPr>
        <w:spacing w:after="0" w:line="240" w:lineRule="auto"/>
        <w:jc w:val="both"/>
        <w:rPr>
          <w:rFonts w:ascii="Arial" w:eastAsia="Calibri" w:hAnsi="Arial" w:cs="Arial"/>
        </w:rPr>
      </w:pPr>
      <w:r w:rsidRPr="00886C94">
        <w:rPr>
          <w:rFonts w:ascii="Arial" w:eastAsia="Calibri" w:hAnsi="Arial" w:cs="Arial"/>
        </w:rPr>
        <w:t xml:space="preserve">Feasibility report </w:t>
      </w:r>
      <w:r w:rsidR="00961DDB" w:rsidRPr="00886C94">
        <w:rPr>
          <w:rFonts w:ascii="Arial" w:eastAsia="Calibri" w:hAnsi="Arial" w:cs="Arial"/>
        </w:rPr>
        <w:t>(economic</w:t>
      </w:r>
      <w:r w:rsidRPr="00886C94">
        <w:rPr>
          <w:rFonts w:ascii="Arial" w:eastAsia="Calibri" w:hAnsi="Arial" w:cs="Arial"/>
        </w:rPr>
        <w:t xml:space="preserve"> &amp; technical feasibility)</w:t>
      </w:r>
    </w:p>
    <w:p w14:paraId="44A785E6" w14:textId="77777777" w:rsidR="00BE714C" w:rsidRPr="00886C94" w:rsidRDefault="00BE714C" w:rsidP="007625E7">
      <w:pPr>
        <w:pStyle w:val="ListParagraph"/>
        <w:numPr>
          <w:ilvl w:val="0"/>
          <w:numId w:val="340"/>
        </w:numPr>
        <w:spacing w:after="0" w:line="240" w:lineRule="auto"/>
        <w:jc w:val="both"/>
        <w:rPr>
          <w:rFonts w:ascii="Arial" w:eastAsia="Calibri" w:hAnsi="Arial" w:cs="Arial"/>
        </w:rPr>
      </w:pPr>
      <w:r w:rsidRPr="00886C94">
        <w:rPr>
          <w:rFonts w:ascii="Arial" w:eastAsia="Calibri" w:hAnsi="Arial" w:cs="Arial"/>
        </w:rPr>
        <w:t xml:space="preserve">Collateral </w:t>
      </w:r>
    </w:p>
    <w:p w14:paraId="69C8A7B6" w14:textId="34B311F8" w:rsidR="00BE714C" w:rsidRPr="00BE714C" w:rsidRDefault="00BE714C" w:rsidP="00BE714C">
      <w:pPr>
        <w:spacing w:line="360" w:lineRule="auto"/>
        <w:jc w:val="both"/>
        <w:rPr>
          <w:rFonts w:ascii="Arial" w:eastAsia="Calibri" w:hAnsi="Arial" w:cs="Arial"/>
        </w:rPr>
      </w:pPr>
      <w:r w:rsidRPr="00BE714C">
        <w:rPr>
          <w:rFonts w:ascii="Arial" w:eastAsia="Calibri" w:hAnsi="Arial" w:cs="Arial"/>
        </w:rPr>
        <w:t xml:space="preserve">While the criteria least requested by financiers for real estate project finance on an aggregate level is the usage of the hedging instrument. </w:t>
      </w:r>
      <w:r w:rsidR="0032260B">
        <w:rPr>
          <w:rFonts w:ascii="Arial" w:eastAsia="Calibri" w:hAnsi="Arial" w:cs="Arial"/>
        </w:rPr>
        <w:t>A t</w:t>
      </w:r>
      <w:r w:rsidRPr="00BE714C">
        <w:rPr>
          <w:rFonts w:ascii="Arial" w:eastAsia="Calibri" w:hAnsi="Arial" w:cs="Arial"/>
        </w:rPr>
        <w:t>rack record is a criterion required by financiers in both the developed and emerging economies, and it is the most cited criteria by the managers who were interviewed. It is followed closely by cash flow, business plan and then collateral. However, the ranking of the most cited criteria requested by financiers in developed economies interviewed are:</w:t>
      </w:r>
    </w:p>
    <w:p w14:paraId="51D6E52E" w14:textId="77777777" w:rsidR="00BE714C" w:rsidRPr="00BE714C" w:rsidRDefault="00BE714C" w:rsidP="007625E7">
      <w:pPr>
        <w:numPr>
          <w:ilvl w:val="0"/>
          <w:numId w:val="341"/>
        </w:numPr>
        <w:spacing w:before="240" w:after="0" w:line="360" w:lineRule="auto"/>
        <w:contextualSpacing/>
        <w:jc w:val="both"/>
        <w:rPr>
          <w:rFonts w:ascii="Arial" w:eastAsia="Calibri" w:hAnsi="Arial" w:cs="Arial"/>
        </w:rPr>
      </w:pPr>
      <w:r w:rsidRPr="00BE714C">
        <w:rPr>
          <w:rFonts w:ascii="Arial" w:eastAsia="Calibri" w:hAnsi="Arial" w:cs="Arial"/>
        </w:rPr>
        <w:t>Track record</w:t>
      </w:r>
    </w:p>
    <w:p w14:paraId="3C22FD6A" w14:textId="77777777" w:rsidR="00BE714C" w:rsidRPr="00BE714C" w:rsidRDefault="00BE714C" w:rsidP="007625E7">
      <w:pPr>
        <w:numPr>
          <w:ilvl w:val="0"/>
          <w:numId w:val="341"/>
        </w:numPr>
        <w:spacing w:before="240" w:after="0" w:line="360" w:lineRule="auto"/>
        <w:contextualSpacing/>
        <w:jc w:val="both"/>
        <w:rPr>
          <w:rFonts w:ascii="Arial" w:eastAsia="Calibri" w:hAnsi="Arial" w:cs="Arial"/>
        </w:rPr>
      </w:pPr>
      <w:r w:rsidRPr="00BE714C">
        <w:rPr>
          <w:rFonts w:ascii="Arial" w:eastAsia="Calibri" w:hAnsi="Arial" w:cs="Arial"/>
        </w:rPr>
        <w:t>Due diligence</w:t>
      </w:r>
    </w:p>
    <w:p w14:paraId="25608DF9" w14:textId="77777777" w:rsidR="00BE714C" w:rsidRPr="00BE714C" w:rsidRDefault="00BE714C" w:rsidP="007625E7">
      <w:pPr>
        <w:numPr>
          <w:ilvl w:val="0"/>
          <w:numId w:val="341"/>
        </w:numPr>
        <w:spacing w:before="240" w:after="0" w:line="360" w:lineRule="auto"/>
        <w:contextualSpacing/>
        <w:jc w:val="both"/>
        <w:rPr>
          <w:rFonts w:ascii="Arial" w:eastAsia="Calibri" w:hAnsi="Arial" w:cs="Arial"/>
        </w:rPr>
      </w:pPr>
      <w:r w:rsidRPr="00BE714C">
        <w:rPr>
          <w:rFonts w:ascii="Arial" w:eastAsia="Calibri" w:hAnsi="Arial" w:cs="Arial"/>
        </w:rPr>
        <w:t>Details of projected rent</w:t>
      </w:r>
    </w:p>
    <w:p w14:paraId="0433415C" w14:textId="77777777" w:rsidR="00BE714C" w:rsidRPr="00BE714C" w:rsidRDefault="00BE714C" w:rsidP="007625E7">
      <w:pPr>
        <w:numPr>
          <w:ilvl w:val="0"/>
          <w:numId w:val="341"/>
        </w:numPr>
        <w:spacing w:before="240" w:after="0" w:line="360" w:lineRule="auto"/>
        <w:contextualSpacing/>
        <w:jc w:val="both"/>
        <w:rPr>
          <w:rFonts w:ascii="Arial" w:eastAsia="Calibri" w:hAnsi="Arial" w:cs="Arial"/>
        </w:rPr>
      </w:pPr>
      <w:r w:rsidRPr="00BE714C">
        <w:rPr>
          <w:rFonts w:ascii="Arial" w:eastAsia="Calibri" w:hAnsi="Arial" w:cs="Arial"/>
        </w:rPr>
        <w:t>Business plan</w:t>
      </w:r>
    </w:p>
    <w:p w14:paraId="3D5F06DE" w14:textId="77777777" w:rsidR="00BE714C" w:rsidRPr="00BE714C" w:rsidRDefault="00BE714C" w:rsidP="007625E7">
      <w:pPr>
        <w:numPr>
          <w:ilvl w:val="0"/>
          <w:numId w:val="341"/>
        </w:numPr>
        <w:spacing w:before="240" w:after="0" w:line="360" w:lineRule="auto"/>
        <w:contextualSpacing/>
        <w:jc w:val="both"/>
        <w:rPr>
          <w:rFonts w:ascii="Arial" w:eastAsia="Calibri" w:hAnsi="Arial" w:cs="Arial"/>
        </w:rPr>
      </w:pPr>
      <w:r w:rsidRPr="00BE714C">
        <w:rPr>
          <w:rFonts w:ascii="Arial" w:eastAsia="Calibri" w:hAnsi="Arial" w:cs="Arial"/>
        </w:rPr>
        <w:t>Cash flow</w:t>
      </w:r>
    </w:p>
    <w:p w14:paraId="01973F14" w14:textId="77777777" w:rsidR="00BE714C" w:rsidRPr="00BE714C" w:rsidRDefault="00BE714C" w:rsidP="007625E7">
      <w:pPr>
        <w:numPr>
          <w:ilvl w:val="0"/>
          <w:numId w:val="341"/>
        </w:numPr>
        <w:spacing w:before="240" w:after="0" w:line="360" w:lineRule="auto"/>
        <w:contextualSpacing/>
        <w:jc w:val="both"/>
        <w:rPr>
          <w:rFonts w:ascii="Arial" w:eastAsia="Calibri" w:hAnsi="Arial" w:cs="Arial"/>
        </w:rPr>
      </w:pPr>
      <w:r w:rsidRPr="00BE714C">
        <w:rPr>
          <w:rFonts w:ascii="Arial" w:eastAsia="Calibri" w:hAnsi="Arial" w:cs="Arial"/>
        </w:rPr>
        <w:t xml:space="preserve">Collateral </w:t>
      </w:r>
    </w:p>
    <w:p w14:paraId="225BA03C" w14:textId="77777777" w:rsidR="00BE714C" w:rsidRPr="00BE714C" w:rsidRDefault="00BE714C" w:rsidP="00BE714C">
      <w:pPr>
        <w:spacing w:before="240" w:line="360" w:lineRule="auto"/>
        <w:jc w:val="both"/>
        <w:rPr>
          <w:rFonts w:ascii="Arial" w:eastAsia="Calibri" w:hAnsi="Arial" w:cs="Arial"/>
        </w:rPr>
      </w:pPr>
      <w:r w:rsidRPr="00BE714C">
        <w:rPr>
          <w:rFonts w:ascii="Arial" w:eastAsia="Calibri" w:hAnsi="Arial" w:cs="Arial"/>
        </w:rPr>
        <w:t>While the ranking of the most mentioned criteria requested by financiers in the emerging economies based on the interview are:</w:t>
      </w:r>
    </w:p>
    <w:p w14:paraId="301ED998"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t>Track record</w:t>
      </w:r>
    </w:p>
    <w:p w14:paraId="2A8E5940"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t>Projected returns</w:t>
      </w:r>
    </w:p>
    <w:p w14:paraId="3202B0D9"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t>Cash flow</w:t>
      </w:r>
    </w:p>
    <w:p w14:paraId="2C4746B1"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t>Existing relationships with financiers</w:t>
      </w:r>
    </w:p>
    <w:p w14:paraId="456FCBEE"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lastRenderedPageBreak/>
        <w:t>Adherence to government policies</w:t>
      </w:r>
    </w:p>
    <w:p w14:paraId="6CEF4090"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t>Business plan</w:t>
      </w:r>
    </w:p>
    <w:p w14:paraId="318CC767" w14:textId="77777777" w:rsidR="00BE714C" w:rsidRPr="00BE714C" w:rsidRDefault="00BE714C" w:rsidP="007625E7">
      <w:pPr>
        <w:numPr>
          <w:ilvl w:val="0"/>
          <w:numId w:val="342"/>
        </w:numPr>
        <w:spacing w:before="240" w:after="0" w:line="360" w:lineRule="auto"/>
        <w:contextualSpacing/>
        <w:jc w:val="both"/>
        <w:rPr>
          <w:rFonts w:ascii="Arial" w:eastAsia="Calibri" w:hAnsi="Arial" w:cs="Arial"/>
        </w:rPr>
      </w:pPr>
      <w:r w:rsidRPr="00BE714C">
        <w:rPr>
          <w:rFonts w:ascii="Arial" w:eastAsia="Calibri" w:hAnsi="Arial" w:cs="Arial"/>
        </w:rPr>
        <w:t>Collateral</w:t>
      </w:r>
    </w:p>
    <w:p w14:paraId="76A679A5" w14:textId="7086FE1C" w:rsidR="00BE714C" w:rsidRPr="00BE714C" w:rsidRDefault="00BE714C" w:rsidP="00BE714C">
      <w:pPr>
        <w:spacing w:before="240" w:line="360" w:lineRule="auto"/>
        <w:jc w:val="both"/>
        <w:rPr>
          <w:rFonts w:ascii="Arial" w:eastAsia="Calibri" w:hAnsi="Arial" w:cs="Arial"/>
        </w:rPr>
      </w:pPr>
      <w:r w:rsidRPr="00BE714C">
        <w:rPr>
          <w:rFonts w:ascii="Arial" w:eastAsia="Calibri" w:hAnsi="Arial" w:cs="Arial"/>
        </w:rPr>
        <w:t>This study developed an inventory of finance options and criteria for securing finance for real estate project development. This is to act as a guide for managers</w:t>
      </w:r>
      <w:r w:rsidR="006E7BC4">
        <w:rPr>
          <w:rFonts w:ascii="Arial" w:eastAsia="Calibri" w:hAnsi="Arial" w:cs="Arial"/>
        </w:rPr>
        <w:t>,</w:t>
      </w:r>
      <w:r w:rsidRPr="00BE714C">
        <w:rPr>
          <w:rFonts w:ascii="Arial" w:eastAsia="Calibri" w:hAnsi="Arial" w:cs="Arial"/>
        </w:rPr>
        <w:t xml:space="preserve"> and it also forms a part of the toolkit for securing finance for real estate project development.</w:t>
      </w:r>
    </w:p>
    <w:p w14:paraId="6B95AEB1" w14:textId="436DE041" w:rsidR="00BE714C" w:rsidRPr="00BE714C" w:rsidRDefault="00BE714C" w:rsidP="00BE714C">
      <w:pPr>
        <w:spacing w:line="360" w:lineRule="auto"/>
        <w:rPr>
          <w:rFonts w:ascii="Arial" w:hAnsi="Arial" w:cs="Arial"/>
        </w:rPr>
      </w:pPr>
      <w:r w:rsidRPr="00BE714C">
        <w:rPr>
          <w:rFonts w:ascii="Arial" w:hAnsi="Arial" w:cs="Arial"/>
          <w:b/>
        </w:rPr>
        <w:t xml:space="preserve">Research objective 2: </w:t>
      </w:r>
      <w:r w:rsidRPr="00BE714C">
        <w:rPr>
          <w:rFonts w:ascii="Arial" w:hAnsi="Arial" w:cs="Arial"/>
        </w:rPr>
        <w:t xml:space="preserve">To identify the critical success </w:t>
      </w:r>
      <w:r w:rsidR="00CF29C1" w:rsidRPr="00BE714C">
        <w:rPr>
          <w:rFonts w:ascii="Arial" w:hAnsi="Arial" w:cs="Arial"/>
        </w:rPr>
        <w:t>factors,</w:t>
      </w:r>
      <w:r w:rsidRPr="00BE714C">
        <w:rPr>
          <w:rFonts w:ascii="Arial" w:hAnsi="Arial" w:cs="Arial"/>
        </w:rPr>
        <w:t xml:space="preserve"> </w:t>
      </w:r>
      <w:r w:rsidR="00125207" w:rsidRPr="00BE714C">
        <w:rPr>
          <w:rFonts w:ascii="Arial" w:hAnsi="Arial" w:cs="Arial"/>
        </w:rPr>
        <w:t>challenges,</w:t>
      </w:r>
      <w:r w:rsidRPr="00BE714C">
        <w:rPr>
          <w:rFonts w:ascii="Arial" w:hAnsi="Arial" w:cs="Arial"/>
        </w:rPr>
        <w:t xml:space="preserve"> and opportunities for securing </w:t>
      </w:r>
      <w:r w:rsidR="00AF6235">
        <w:rPr>
          <w:rFonts w:ascii="Arial" w:hAnsi="Arial" w:cs="Arial"/>
        </w:rPr>
        <w:t>real estate project development finance</w:t>
      </w:r>
      <w:r w:rsidRPr="00BE714C">
        <w:rPr>
          <w:rFonts w:ascii="Arial" w:hAnsi="Arial" w:cs="Arial"/>
        </w:rPr>
        <w:t xml:space="preserve"> in developed and emerging economies.</w:t>
      </w:r>
    </w:p>
    <w:p w14:paraId="685BBC80" w14:textId="45FCF2EF" w:rsidR="00BE714C" w:rsidRPr="00BE714C" w:rsidRDefault="00BE714C" w:rsidP="00BE714C">
      <w:pPr>
        <w:spacing w:line="360" w:lineRule="auto"/>
        <w:rPr>
          <w:rFonts w:ascii="Arial" w:hAnsi="Arial" w:cs="Arial"/>
        </w:rPr>
      </w:pPr>
      <w:r w:rsidRPr="00BE714C">
        <w:rPr>
          <w:rFonts w:ascii="Arial" w:hAnsi="Arial" w:cs="Arial"/>
        </w:rPr>
        <w:t>The findings at the aggregate level based on the questionnaire survey demonstrate that all the twenty factors listed in the questionnaire are critical for securing finance for real estate project development in both the developed and emerging economies based on their mean values</w:t>
      </w:r>
      <w:r w:rsidR="007C792D">
        <w:rPr>
          <w:rFonts w:ascii="Arial" w:hAnsi="Arial" w:cs="Arial"/>
        </w:rPr>
        <w:t xml:space="preserve"> </w:t>
      </w:r>
      <w:r w:rsidR="00C30B35">
        <w:rPr>
          <w:rFonts w:ascii="Arial" w:hAnsi="Arial" w:cs="Arial"/>
        </w:rPr>
        <w:t>(see</w:t>
      </w:r>
      <w:r w:rsidR="007C792D">
        <w:rPr>
          <w:rFonts w:ascii="Arial" w:hAnsi="Arial" w:cs="Arial"/>
        </w:rPr>
        <w:t xml:space="preserve"> table 6.2.1)</w:t>
      </w:r>
      <w:r w:rsidRPr="00BE714C">
        <w:rPr>
          <w:rFonts w:ascii="Arial" w:hAnsi="Arial" w:cs="Arial"/>
        </w:rPr>
        <w:t>. However, the five top</w:t>
      </w:r>
      <w:r w:rsidR="0032260B">
        <w:rPr>
          <w:rFonts w:ascii="Arial" w:hAnsi="Arial" w:cs="Arial"/>
        </w:rPr>
        <w:t>-</w:t>
      </w:r>
      <w:r w:rsidRPr="00BE714C">
        <w:rPr>
          <w:rFonts w:ascii="Arial" w:hAnsi="Arial" w:cs="Arial"/>
        </w:rPr>
        <w:t>ranked critical success factors for securing finance for real estate project development at the aggregate level are:</w:t>
      </w:r>
    </w:p>
    <w:p w14:paraId="225B729D" w14:textId="77777777" w:rsidR="00BE714C" w:rsidRPr="00BE714C" w:rsidRDefault="00BE714C" w:rsidP="007625E7">
      <w:pPr>
        <w:numPr>
          <w:ilvl w:val="0"/>
          <w:numId w:val="343"/>
        </w:numPr>
        <w:spacing w:after="0" w:line="240" w:lineRule="auto"/>
        <w:contextualSpacing/>
        <w:rPr>
          <w:rFonts w:ascii="Arial" w:eastAsia="Times New Roman" w:hAnsi="Arial" w:cs="Times New Roman"/>
        </w:rPr>
      </w:pPr>
      <w:r w:rsidRPr="00BE714C">
        <w:rPr>
          <w:rFonts w:ascii="Arial" w:eastAsia="Times New Roman" w:hAnsi="Arial" w:cs="Times New Roman"/>
        </w:rPr>
        <w:t>Access to land</w:t>
      </w:r>
    </w:p>
    <w:p w14:paraId="2948AB08" w14:textId="77777777" w:rsidR="00BE714C" w:rsidRPr="00BE714C" w:rsidRDefault="00BE714C" w:rsidP="007625E7">
      <w:pPr>
        <w:numPr>
          <w:ilvl w:val="0"/>
          <w:numId w:val="343"/>
        </w:numPr>
        <w:spacing w:after="0" w:line="240" w:lineRule="auto"/>
        <w:contextualSpacing/>
        <w:rPr>
          <w:rFonts w:ascii="Arial" w:eastAsia="Times New Roman" w:hAnsi="Arial" w:cs="Times New Roman"/>
        </w:rPr>
      </w:pPr>
      <w:r w:rsidRPr="00BE714C">
        <w:rPr>
          <w:rFonts w:ascii="Arial" w:eastAsia="Times New Roman" w:hAnsi="Arial" w:cs="Times New Roman"/>
        </w:rPr>
        <w:t>The profitability of the project</w:t>
      </w:r>
    </w:p>
    <w:p w14:paraId="63D61C02" w14:textId="77777777" w:rsidR="00BE714C" w:rsidRPr="00BE714C" w:rsidRDefault="00BE714C" w:rsidP="007625E7">
      <w:pPr>
        <w:numPr>
          <w:ilvl w:val="0"/>
          <w:numId w:val="343"/>
        </w:numPr>
        <w:spacing w:after="0" w:line="240" w:lineRule="auto"/>
        <w:contextualSpacing/>
        <w:rPr>
          <w:rFonts w:ascii="Arial" w:eastAsia="Times New Roman" w:hAnsi="Arial" w:cs="Times New Roman"/>
        </w:rPr>
      </w:pPr>
      <w:r w:rsidRPr="00BE714C">
        <w:rPr>
          <w:rFonts w:ascii="Arial" w:eastAsia="Times New Roman" w:hAnsi="Arial" w:cs="Times New Roman"/>
        </w:rPr>
        <w:t>Business plan</w:t>
      </w:r>
    </w:p>
    <w:p w14:paraId="27FD6B38" w14:textId="77777777" w:rsidR="00BE714C" w:rsidRPr="00BE714C" w:rsidRDefault="00BE714C" w:rsidP="007625E7">
      <w:pPr>
        <w:numPr>
          <w:ilvl w:val="0"/>
          <w:numId w:val="343"/>
        </w:numPr>
        <w:spacing w:after="0" w:line="240" w:lineRule="auto"/>
        <w:contextualSpacing/>
        <w:rPr>
          <w:rFonts w:ascii="Arial" w:eastAsia="Times New Roman" w:hAnsi="Arial" w:cs="Times New Roman"/>
        </w:rPr>
      </w:pPr>
      <w:r w:rsidRPr="00BE714C">
        <w:rPr>
          <w:rFonts w:ascii="Arial" w:eastAsia="Times New Roman" w:hAnsi="Arial" w:cs="Times New Roman"/>
        </w:rPr>
        <w:t>Project technical feasibility</w:t>
      </w:r>
    </w:p>
    <w:p w14:paraId="40070BCD" w14:textId="14008F32" w:rsidR="00BE714C" w:rsidRDefault="00BE714C" w:rsidP="00C30B35">
      <w:pPr>
        <w:numPr>
          <w:ilvl w:val="0"/>
          <w:numId w:val="343"/>
        </w:numPr>
        <w:spacing w:after="0" w:line="240" w:lineRule="auto"/>
        <w:contextualSpacing/>
        <w:rPr>
          <w:rFonts w:ascii="Arial" w:eastAsia="Times New Roman" w:hAnsi="Arial" w:cs="Times New Roman"/>
        </w:rPr>
      </w:pPr>
      <w:r w:rsidRPr="00BE714C">
        <w:rPr>
          <w:rFonts w:ascii="Arial" w:eastAsia="Times New Roman" w:hAnsi="Arial" w:cs="Times New Roman"/>
        </w:rPr>
        <w:t>Project manager’s experience</w:t>
      </w:r>
    </w:p>
    <w:p w14:paraId="748238DE" w14:textId="77777777" w:rsidR="00C30B35" w:rsidRPr="00BE714C" w:rsidRDefault="00C30B35" w:rsidP="007625E7">
      <w:pPr>
        <w:spacing w:after="0" w:line="240" w:lineRule="auto"/>
        <w:ind w:left="360"/>
        <w:contextualSpacing/>
        <w:rPr>
          <w:rFonts w:ascii="Arial" w:eastAsia="Times New Roman" w:hAnsi="Arial" w:cs="Times New Roman"/>
        </w:rPr>
      </w:pPr>
    </w:p>
    <w:p w14:paraId="69B1D679" w14:textId="594CFBB8" w:rsidR="00BE714C" w:rsidRPr="00BE714C" w:rsidRDefault="00BE714C" w:rsidP="00BE714C">
      <w:pPr>
        <w:spacing w:line="360" w:lineRule="auto"/>
        <w:rPr>
          <w:rFonts w:ascii="Arial" w:hAnsi="Arial" w:cs="Arial"/>
        </w:rPr>
      </w:pPr>
      <w:r w:rsidRPr="00BE714C">
        <w:rPr>
          <w:rFonts w:ascii="Arial" w:hAnsi="Arial" w:cs="Arial"/>
        </w:rPr>
        <w:t>Furthermore, the managers interviewed in both the developed and emerging economies cited the following critical success criteria in common</w:t>
      </w:r>
      <w:r w:rsidR="00961DDB">
        <w:rPr>
          <w:rFonts w:ascii="Arial" w:hAnsi="Arial" w:cs="Arial"/>
        </w:rPr>
        <w:t xml:space="preserve"> </w:t>
      </w:r>
      <w:r w:rsidRPr="00BE714C">
        <w:rPr>
          <w:rFonts w:ascii="Arial" w:hAnsi="Arial" w:cs="Arial"/>
        </w:rPr>
        <w:t>:</w:t>
      </w:r>
    </w:p>
    <w:p w14:paraId="667DDD76" w14:textId="77777777" w:rsidR="00BE714C" w:rsidRPr="00BE714C" w:rsidRDefault="00BE714C" w:rsidP="007625E7">
      <w:pPr>
        <w:numPr>
          <w:ilvl w:val="1"/>
          <w:numId w:val="344"/>
        </w:numPr>
        <w:contextualSpacing/>
        <w:rPr>
          <w:rFonts w:ascii="Arial" w:hAnsi="Arial" w:cs="Arial"/>
        </w:rPr>
      </w:pPr>
      <w:r w:rsidRPr="00BE714C">
        <w:rPr>
          <w:rFonts w:ascii="Arial" w:hAnsi="Arial" w:cs="Arial"/>
        </w:rPr>
        <w:t>Track records</w:t>
      </w:r>
    </w:p>
    <w:p w14:paraId="05A5DB3A" w14:textId="77777777" w:rsidR="00BE714C" w:rsidRPr="00BE714C" w:rsidRDefault="00BE714C" w:rsidP="007625E7">
      <w:pPr>
        <w:numPr>
          <w:ilvl w:val="1"/>
          <w:numId w:val="344"/>
        </w:numPr>
        <w:contextualSpacing/>
        <w:rPr>
          <w:rFonts w:ascii="Arial" w:hAnsi="Arial" w:cs="Arial"/>
        </w:rPr>
      </w:pPr>
      <w:r w:rsidRPr="00BE714C">
        <w:rPr>
          <w:rFonts w:ascii="Arial" w:hAnsi="Arial" w:cs="Arial"/>
        </w:rPr>
        <w:t xml:space="preserve">Access to land </w:t>
      </w:r>
    </w:p>
    <w:p w14:paraId="46D7EE00" w14:textId="77777777" w:rsidR="00BE714C" w:rsidRPr="00BE714C" w:rsidRDefault="00BE714C" w:rsidP="007625E7">
      <w:pPr>
        <w:numPr>
          <w:ilvl w:val="1"/>
          <w:numId w:val="344"/>
        </w:numPr>
        <w:contextualSpacing/>
        <w:rPr>
          <w:rFonts w:ascii="Arial" w:hAnsi="Arial" w:cs="Arial"/>
        </w:rPr>
      </w:pPr>
      <w:r w:rsidRPr="00BE714C">
        <w:rPr>
          <w:rFonts w:ascii="Arial" w:hAnsi="Arial" w:cs="Arial"/>
        </w:rPr>
        <w:t>Cash flow</w:t>
      </w:r>
    </w:p>
    <w:p w14:paraId="64D25D19" w14:textId="77777777" w:rsidR="00BE714C" w:rsidRPr="00BE714C" w:rsidRDefault="00BE714C" w:rsidP="007625E7">
      <w:pPr>
        <w:numPr>
          <w:ilvl w:val="1"/>
          <w:numId w:val="344"/>
        </w:numPr>
        <w:contextualSpacing/>
        <w:rPr>
          <w:rFonts w:ascii="Arial" w:hAnsi="Arial" w:cs="Arial"/>
        </w:rPr>
      </w:pPr>
      <w:r w:rsidRPr="00BE714C">
        <w:rPr>
          <w:rFonts w:ascii="Arial" w:hAnsi="Arial" w:cs="Arial"/>
        </w:rPr>
        <w:t>Relationship with financiers</w:t>
      </w:r>
    </w:p>
    <w:p w14:paraId="754A85E2" w14:textId="77777777" w:rsidR="00BE714C" w:rsidRPr="00BE714C" w:rsidRDefault="00BE714C" w:rsidP="007625E7">
      <w:pPr>
        <w:numPr>
          <w:ilvl w:val="1"/>
          <w:numId w:val="344"/>
        </w:numPr>
        <w:contextualSpacing/>
        <w:rPr>
          <w:rFonts w:ascii="Arial" w:hAnsi="Arial" w:cs="Arial"/>
        </w:rPr>
      </w:pPr>
      <w:r w:rsidRPr="00BE714C">
        <w:rPr>
          <w:rFonts w:ascii="Arial" w:hAnsi="Arial" w:cs="Arial"/>
        </w:rPr>
        <w:t>Access to market</w:t>
      </w:r>
    </w:p>
    <w:p w14:paraId="46FF2E54" w14:textId="77777777" w:rsidR="00BE714C" w:rsidRPr="00BE714C" w:rsidRDefault="00BE714C" w:rsidP="00BE714C">
      <w:pPr>
        <w:rPr>
          <w:rFonts w:ascii="Arial" w:hAnsi="Arial" w:cs="Arial"/>
        </w:rPr>
      </w:pPr>
      <w:r w:rsidRPr="00BE714C">
        <w:rPr>
          <w:rFonts w:ascii="Arial" w:hAnsi="Arial" w:cs="Arial"/>
        </w:rPr>
        <w:t>The ranking of the critical success factors most cited by managers interviewed in the developed economies are:</w:t>
      </w:r>
    </w:p>
    <w:p w14:paraId="46A136D7" w14:textId="77777777" w:rsidR="00BE714C" w:rsidRPr="00BE714C" w:rsidRDefault="00BE714C" w:rsidP="007625E7">
      <w:pPr>
        <w:numPr>
          <w:ilvl w:val="1"/>
          <w:numId w:val="345"/>
        </w:numPr>
        <w:contextualSpacing/>
        <w:rPr>
          <w:rFonts w:ascii="Arial" w:hAnsi="Arial" w:cs="Arial"/>
        </w:rPr>
      </w:pPr>
      <w:r w:rsidRPr="00BE714C">
        <w:rPr>
          <w:rFonts w:ascii="Arial" w:hAnsi="Arial" w:cs="Arial"/>
        </w:rPr>
        <w:t>Track records</w:t>
      </w:r>
    </w:p>
    <w:p w14:paraId="31C1A648" w14:textId="77777777" w:rsidR="00BE714C" w:rsidRPr="00BE714C" w:rsidRDefault="00BE714C" w:rsidP="007625E7">
      <w:pPr>
        <w:numPr>
          <w:ilvl w:val="1"/>
          <w:numId w:val="345"/>
        </w:numPr>
        <w:contextualSpacing/>
        <w:rPr>
          <w:rFonts w:ascii="Arial" w:hAnsi="Arial" w:cs="Arial"/>
        </w:rPr>
      </w:pPr>
      <w:r w:rsidRPr="00BE714C">
        <w:rPr>
          <w:rFonts w:ascii="Arial" w:hAnsi="Arial" w:cs="Arial"/>
        </w:rPr>
        <w:t>Cash flow</w:t>
      </w:r>
    </w:p>
    <w:p w14:paraId="6D14D944" w14:textId="77777777" w:rsidR="00BE714C" w:rsidRPr="00BE714C" w:rsidRDefault="00BE714C" w:rsidP="007625E7">
      <w:pPr>
        <w:numPr>
          <w:ilvl w:val="1"/>
          <w:numId w:val="345"/>
        </w:numPr>
        <w:contextualSpacing/>
        <w:rPr>
          <w:rFonts w:ascii="Arial" w:hAnsi="Arial" w:cs="Arial"/>
        </w:rPr>
      </w:pPr>
      <w:r w:rsidRPr="00BE714C">
        <w:rPr>
          <w:rFonts w:ascii="Arial" w:hAnsi="Arial" w:cs="Arial"/>
        </w:rPr>
        <w:t>Access to land</w:t>
      </w:r>
    </w:p>
    <w:p w14:paraId="53DFFFFC" w14:textId="77777777" w:rsidR="00BE714C" w:rsidRPr="00BE714C" w:rsidRDefault="00BE714C" w:rsidP="007625E7">
      <w:pPr>
        <w:numPr>
          <w:ilvl w:val="1"/>
          <w:numId w:val="345"/>
        </w:numPr>
        <w:contextualSpacing/>
        <w:rPr>
          <w:rFonts w:ascii="Arial" w:hAnsi="Arial" w:cs="Arial"/>
        </w:rPr>
      </w:pPr>
      <w:r w:rsidRPr="00BE714C">
        <w:rPr>
          <w:rFonts w:ascii="Arial" w:hAnsi="Arial" w:cs="Arial"/>
        </w:rPr>
        <w:t>Access to market</w:t>
      </w:r>
    </w:p>
    <w:p w14:paraId="536C512B" w14:textId="77777777" w:rsidR="00BE714C" w:rsidRPr="00BE714C" w:rsidRDefault="00BE714C" w:rsidP="007625E7">
      <w:pPr>
        <w:numPr>
          <w:ilvl w:val="1"/>
          <w:numId w:val="345"/>
        </w:numPr>
        <w:contextualSpacing/>
        <w:rPr>
          <w:rFonts w:ascii="Arial" w:hAnsi="Arial" w:cs="Arial"/>
        </w:rPr>
      </w:pPr>
      <w:r w:rsidRPr="00BE714C">
        <w:rPr>
          <w:rFonts w:ascii="Arial" w:hAnsi="Arial" w:cs="Arial"/>
        </w:rPr>
        <w:t>Experience</w:t>
      </w:r>
    </w:p>
    <w:p w14:paraId="7D72CAAA" w14:textId="77777777" w:rsidR="00BE714C" w:rsidRPr="00BE714C" w:rsidRDefault="00BE714C" w:rsidP="00BE714C">
      <w:pPr>
        <w:rPr>
          <w:rFonts w:ascii="Arial" w:hAnsi="Arial" w:cs="Arial"/>
        </w:rPr>
      </w:pPr>
      <w:r w:rsidRPr="00BE714C">
        <w:rPr>
          <w:rFonts w:ascii="Arial" w:hAnsi="Arial" w:cs="Arial"/>
        </w:rPr>
        <w:t>While the ranking of critical success factors for securing finance for real estate project development most cited by managers in the emerging economies are as follows:</w:t>
      </w:r>
    </w:p>
    <w:p w14:paraId="37D5D91D" w14:textId="77777777" w:rsidR="00BE714C" w:rsidRPr="00BE714C" w:rsidRDefault="00BE714C" w:rsidP="007625E7">
      <w:pPr>
        <w:numPr>
          <w:ilvl w:val="1"/>
          <w:numId w:val="346"/>
        </w:numPr>
        <w:contextualSpacing/>
        <w:rPr>
          <w:rFonts w:ascii="Arial" w:hAnsi="Arial" w:cs="Arial"/>
        </w:rPr>
      </w:pPr>
      <w:r w:rsidRPr="00BE714C">
        <w:rPr>
          <w:rFonts w:ascii="Arial" w:hAnsi="Arial" w:cs="Arial"/>
        </w:rPr>
        <w:t>Access to land</w:t>
      </w:r>
    </w:p>
    <w:p w14:paraId="21F70308" w14:textId="77777777" w:rsidR="00BE714C" w:rsidRPr="00BE714C" w:rsidRDefault="00BE714C" w:rsidP="007625E7">
      <w:pPr>
        <w:numPr>
          <w:ilvl w:val="1"/>
          <w:numId w:val="346"/>
        </w:numPr>
        <w:contextualSpacing/>
        <w:rPr>
          <w:rFonts w:ascii="Arial" w:hAnsi="Arial" w:cs="Arial"/>
        </w:rPr>
      </w:pPr>
      <w:r w:rsidRPr="00BE714C">
        <w:rPr>
          <w:rFonts w:ascii="Arial" w:hAnsi="Arial" w:cs="Arial"/>
        </w:rPr>
        <w:t>Track records</w:t>
      </w:r>
    </w:p>
    <w:p w14:paraId="1C3C070D" w14:textId="77777777" w:rsidR="00BE714C" w:rsidRPr="00BE714C" w:rsidRDefault="00BE714C" w:rsidP="007625E7">
      <w:pPr>
        <w:numPr>
          <w:ilvl w:val="1"/>
          <w:numId w:val="346"/>
        </w:numPr>
        <w:contextualSpacing/>
        <w:rPr>
          <w:rFonts w:ascii="Arial" w:hAnsi="Arial" w:cs="Arial"/>
        </w:rPr>
      </w:pPr>
      <w:r w:rsidRPr="00BE714C">
        <w:rPr>
          <w:rFonts w:ascii="Arial" w:hAnsi="Arial" w:cs="Arial"/>
        </w:rPr>
        <w:t>Cash flow</w:t>
      </w:r>
    </w:p>
    <w:p w14:paraId="45E73997" w14:textId="77777777" w:rsidR="00BE714C" w:rsidRPr="00BE714C" w:rsidRDefault="00BE714C" w:rsidP="007625E7">
      <w:pPr>
        <w:numPr>
          <w:ilvl w:val="1"/>
          <w:numId w:val="346"/>
        </w:numPr>
        <w:contextualSpacing/>
        <w:rPr>
          <w:rFonts w:ascii="Arial" w:hAnsi="Arial" w:cs="Arial"/>
        </w:rPr>
      </w:pPr>
      <w:r w:rsidRPr="00BE714C">
        <w:rPr>
          <w:rFonts w:ascii="Arial" w:hAnsi="Arial" w:cs="Arial"/>
        </w:rPr>
        <w:t>Equity</w:t>
      </w:r>
    </w:p>
    <w:p w14:paraId="529934B7" w14:textId="77777777" w:rsidR="00BE714C" w:rsidRPr="00BE714C" w:rsidRDefault="00BE714C" w:rsidP="007625E7">
      <w:pPr>
        <w:numPr>
          <w:ilvl w:val="1"/>
          <w:numId w:val="346"/>
        </w:numPr>
        <w:contextualSpacing/>
        <w:rPr>
          <w:rFonts w:ascii="Arial" w:hAnsi="Arial" w:cs="Arial"/>
        </w:rPr>
      </w:pPr>
      <w:r w:rsidRPr="00BE714C">
        <w:rPr>
          <w:rFonts w:ascii="Arial" w:hAnsi="Arial" w:cs="Arial"/>
        </w:rPr>
        <w:t>Relationship with financiers</w:t>
      </w:r>
    </w:p>
    <w:p w14:paraId="5A8828AB" w14:textId="77777777" w:rsidR="00BE714C" w:rsidRPr="00BE714C" w:rsidRDefault="00BE714C" w:rsidP="007625E7">
      <w:pPr>
        <w:numPr>
          <w:ilvl w:val="1"/>
          <w:numId w:val="346"/>
        </w:numPr>
        <w:contextualSpacing/>
        <w:rPr>
          <w:rFonts w:ascii="Arial" w:hAnsi="Arial" w:cs="Arial"/>
        </w:rPr>
      </w:pPr>
      <w:r w:rsidRPr="00BE714C">
        <w:rPr>
          <w:rFonts w:ascii="Arial" w:hAnsi="Arial" w:cs="Arial"/>
        </w:rPr>
        <w:t>Off takers</w:t>
      </w:r>
    </w:p>
    <w:p w14:paraId="348D204F" w14:textId="77777777" w:rsidR="00BE714C" w:rsidRPr="00BE714C" w:rsidRDefault="00BE714C" w:rsidP="00BE714C">
      <w:pPr>
        <w:rPr>
          <w:rFonts w:ascii="Arial" w:hAnsi="Arial" w:cs="Arial"/>
        </w:rPr>
      </w:pPr>
    </w:p>
    <w:p w14:paraId="251D37AA" w14:textId="7A71A7BA" w:rsidR="00BE714C" w:rsidRPr="00BE714C" w:rsidRDefault="00BB6B04" w:rsidP="00BE714C">
      <w:pPr>
        <w:spacing w:line="360" w:lineRule="auto"/>
        <w:jc w:val="both"/>
        <w:rPr>
          <w:rFonts w:ascii="Arial" w:hAnsi="Arial" w:cs="Arial"/>
        </w:rPr>
      </w:pPr>
      <w:r>
        <w:rPr>
          <w:rFonts w:ascii="Arial" w:hAnsi="Arial" w:cs="Arial"/>
        </w:rPr>
        <w:t>Based on the survey questionnaire responses, the ranking of the top five challenges associated with securing finance for real estate project development in both developed and emerging economies at the aggregate level are :</w:t>
      </w:r>
    </w:p>
    <w:p w14:paraId="6CED3ABD" w14:textId="77777777" w:rsidR="00BE714C" w:rsidRPr="00BE714C" w:rsidRDefault="00BE714C" w:rsidP="007625E7">
      <w:pPr>
        <w:numPr>
          <w:ilvl w:val="1"/>
          <w:numId w:val="347"/>
        </w:numPr>
        <w:spacing w:line="240" w:lineRule="auto"/>
        <w:contextualSpacing/>
        <w:jc w:val="both"/>
        <w:rPr>
          <w:rFonts w:ascii="Arial" w:hAnsi="Arial" w:cs="Arial"/>
        </w:rPr>
      </w:pPr>
      <w:r w:rsidRPr="00BE714C">
        <w:rPr>
          <w:rFonts w:ascii="Arial" w:hAnsi="Arial" w:cs="Arial"/>
        </w:rPr>
        <w:t>Government’s ineffective policies</w:t>
      </w:r>
    </w:p>
    <w:p w14:paraId="63F35786" w14:textId="77777777" w:rsidR="00BE714C" w:rsidRPr="00BE714C" w:rsidRDefault="00BE714C" w:rsidP="007625E7">
      <w:pPr>
        <w:numPr>
          <w:ilvl w:val="1"/>
          <w:numId w:val="347"/>
        </w:numPr>
        <w:spacing w:line="240" w:lineRule="auto"/>
        <w:contextualSpacing/>
        <w:jc w:val="both"/>
        <w:rPr>
          <w:rFonts w:ascii="Arial" w:hAnsi="Arial" w:cs="Arial"/>
        </w:rPr>
      </w:pPr>
      <w:r w:rsidRPr="00BE714C">
        <w:rPr>
          <w:rFonts w:ascii="Arial" w:hAnsi="Arial" w:cs="Arial"/>
        </w:rPr>
        <w:t>Excessive collateral requirement</w:t>
      </w:r>
    </w:p>
    <w:p w14:paraId="09719B0E" w14:textId="77777777" w:rsidR="00BE714C" w:rsidRPr="00BE714C" w:rsidRDefault="00BE714C" w:rsidP="007625E7">
      <w:pPr>
        <w:numPr>
          <w:ilvl w:val="1"/>
          <w:numId w:val="347"/>
        </w:numPr>
        <w:spacing w:line="240" w:lineRule="auto"/>
        <w:contextualSpacing/>
        <w:jc w:val="both"/>
        <w:rPr>
          <w:rFonts w:ascii="Arial" w:hAnsi="Arial" w:cs="Arial"/>
        </w:rPr>
      </w:pPr>
      <w:r w:rsidRPr="00BE714C">
        <w:rPr>
          <w:rFonts w:ascii="Arial" w:hAnsi="Arial" w:cs="Arial"/>
        </w:rPr>
        <w:t>Difficult lending criteria by financiers</w:t>
      </w:r>
    </w:p>
    <w:p w14:paraId="665626B9" w14:textId="7961A57F" w:rsidR="00BE714C" w:rsidRPr="00BE714C" w:rsidRDefault="00BE714C" w:rsidP="007625E7">
      <w:pPr>
        <w:numPr>
          <w:ilvl w:val="1"/>
          <w:numId w:val="347"/>
        </w:numPr>
        <w:spacing w:line="240" w:lineRule="auto"/>
        <w:contextualSpacing/>
        <w:jc w:val="both"/>
        <w:rPr>
          <w:rFonts w:ascii="Arial" w:hAnsi="Arial" w:cs="Arial"/>
        </w:rPr>
      </w:pPr>
      <w:r w:rsidRPr="00BE714C">
        <w:rPr>
          <w:rFonts w:ascii="Arial" w:hAnsi="Arial" w:cs="Arial"/>
        </w:rPr>
        <w:t xml:space="preserve">Lack of </w:t>
      </w:r>
      <w:r w:rsidR="00961DDB" w:rsidRPr="00BE714C">
        <w:rPr>
          <w:rFonts w:ascii="Arial" w:hAnsi="Arial" w:cs="Arial"/>
        </w:rPr>
        <w:t>long-term</w:t>
      </w:r>
      <w:r w:rsidRPr="00BE714C">
        <w:rPr>
          <w:rFonts w:ascii="Arial" w:hAnsi="Arial" w:cs="Arial"/>
        </w:rPr>
        <w:t xml:space="preserve"> financing</w:t>
      </w:r>
    </w:p>
    <w:p w14:paraId="121881B8" w14:textId="77777777" w:rsidR="00BE714C" w:rsidRPr="00BE714C" w:rsidRDefault="00BE714C" w:rsidP="007625E7">
      <w:pPr>
        <w:numPr>
          <w:ilvl w:val="1"/>
          <w:numId w:val="347"/>
        </w:numPr>
        <w:spacing w:line="240" w:lineRule="auto"/>
        <w:contextualSpacing/>
        <w:jc w:val="both"/>
        <w:rPr>
          <w:rFonts w:ascii="Arial" w:hAnsi="Arial" w:cs="Arial"/>
        </w:rPr>
      </w:pPr>
      <w:r w:rsidRPr="00BE714C">
        <w:rPr>
          <w:rFonts w:ascii="Arial" w:hAnsi="Arial" w:cs="Arial"/>
        </w:rPr>
        <w:t>High-interest rate</w:t>
      </w:r>
    </w:p>
    <w:p w14:paraId="1118AA0D" w14:textId="77777777" w:rsidR="000344C5" w:rsidRDefault="000344C5" w:rsidP="00BE714C">
      <w:pPr>
        <w:spacing w:line="360" w:lineRule="auto"/>
        <w:jc w:val="both"/>
        <w:rPr>
          <w:rFonts w:ascii="Arial" w:hAnsi="Arial" w:cs="Arial"/>
        </w:rPr>
      </w:pPr>
    </w:p>
    <w:p w14:paraId="7E7EF39F" w14:textId="3216E94E" w:rsidR="00BE714C" w:rsidRPr="00BE714C" w:rsidRDefault="00961DDB" w:rsidP="00BE714C">
      <w:pPr>
        <w:spacing w:line="360" w:lineRule="auto"/>
        <w:jc w:val="both"/>
        <w:rPr>
          <w:rFonts w:ascii="Arial" w:hAnsi="Arial" w:cs="Arial"/>
        </w:rPr>
      </w:pPr>
      <w:r>
        <w:rPr>
          <w:rFonts w:ascii="Arial" w:hAnsi="Arial" w:cs="Arial"/>
        </w:rPr>
        <w:t>While</w:t>
      </w:r>
      <w:r w:rsidR="00C30B35">
        <w:rPr>
          <w:rFonts w:ascii="Arial" w:hAnsi="Arial" w:cs="Arial"/>
        </w:rPr>
        <w:t xml:space="preserve"> t</w:t>
      </w:r>
      <w:r w:rsidR="00BE714C" w:rsidRPr="00BE714C">
        <w:rPr>
          <w:rFonts w:ascii="Arial" w:hAnsi="Arial" w:cs="Arial"/>
        </w:rPr>
        <w:t>he dominant challenges for securing finance for real estate project development common to both the developed and emerging economies from the interview are:</w:t>
      </w:r>
    </w:p>
    <w:p w14:paraId="6755193D" w14:textId="77777777" w:rsidR="00BE714C" w:rsidRPr="00BE714C" w:rsidRDefault="00BE714C" w:rsidP="007625E7">
      <w:pPr>
        <w:numPr>
          <w:ilvl w:val="0"/>
          <w:numId w:val="348"/>
        </w:numPr>
        <w:spacing w:after="0" w:line="360" w:lineRule="auto"/>
        <w:jc w:val="both"/>
        <w:rPr>
          <w:rFonts w:ascii="Arial" w:hAnsi="Arial" w:cs="Arial"/>
        </w:rPr>
      </w:pPr>
      <w:r w:rsidRPr="00BE714C">
        <w:rPr>
          <w:rFonts w:ascii="Arial" w:hAnsi="Arial" w:cs="Arial"/>
        </w:rPr>
        <w:t>Access to land</w:t>
      </w:r>
    </w:p>
    <w:p w14:paraId="46B62A60" w14:textId="77777777" w:rsidR="00BE714C" w:rsidRPr="00BE714C" w:rsidRDefault="00BE714C" w:rsidP="007625E7">
      <w:pPr>
        <w:numPr>
          <w:ilvl w:val="0"/>
          <w:numId w:val="348"/>
        </w:numPr>
        <w:spacing w:after="0" w:line="360" w:lineRule="auto"/>
        <w:jc w:val="both"/>
        <w:rPr>
          <w:rFonts w:ascii="Arial" w:hAnsi="Arial" w:cs="Arial"/>
        </w:rPr>
      </w:pPr>
      <w:r w:rsidRPr="00BE714C">
        <w:rPr>
          <w:rFonts w:ascii="Arial" w:hAnsi="Arial" w:cs="Arial"/>
        </w:rPr>
        <w:t>Collateral</w:t>
      </w:r>
    </w:p>
    <w:p w14:paraId="55849052" w14:textId="77777777" w:rsidR="00BE714C" w:rsidRPr="00BE714C" w:rsidRDefault="00BE714C" w:rsidP="007625E7">
      <w:pPr>
        <w:numPr>
          <w:ilvl w:val="0"/>
          <w:numId w:val="348"/>
        </w:numPr>
        <w:spacing w:after="0" w:line="360" w:lineRule="auto"/>
        <w:jc w:val="both"/>
        <w:rPr>
          <w:rFonts w:ascii="Arial" w:hAnsi="Arial" w:cs="Arial"/>
        </w:rPr>
      </w:pPr>
      <w:r w:rsidRPr="00BE714C">
        <w:rPr>
          <w:rFonts w:ascii="Arial" w:hAnsi="Arial" w:cs="Arial"/>
        </w:rPr>
        <w:t xml:space="preserve">Rising interest rates </w:t>
      </w:r>
    </w:p>
    <w:p w14:paraId="59A185C2" w14:textId="753C72CB" w:rsidR="00BE714C" w:rsidRPr="00BE714C" w:rsidRDefault="00BE714C" w:rsidP="00BE714C">
      <w:pPr>
        <w:spacing w:line="360" w:lineRule="auto"/>
        <w:jc w:val="both"/>
        <w:rPr>
          <w:rFonts w:ascii="Arial" w:hAnsi="Arial" w:cs="Arial"/>
        </w:rPr>
      </w:pPr>
      <w:r w:rsidRPr="00BE714C">
        <w:rPr>
          <w:rFonts w:ascii="Arial" w:hAnsi="Arial" w:cs="Arial"/>
        </w:rPr>
        <w:t>However, the five most cited challenges associated with securing finance for both the developed and emerging economies from the interviews are as follows-</w:t>
      </w:r>
    </w:p>
    <w:p w14:paraId="249559DE" w14:textId="77777777" w:rsidR="00BE714C" w:rsidRPr="00BE714C" w:rsidRDefault="00BE714C" w:rsidP="00BE714C">
      <w:pPr>
        <w:spacing w:line="360" w:lineRule="auto"/>
        <w:jc w:val="both"/>
        <w:rPr>
          <w:rFonts w:ascii="Arial" w:hAnsi="Arial" w:cs="Arial"/>
          <w:b/>
        </w:rPr>
      </w:pPr>
      <w:r w:rsidRPr="00BE714C">
        <w:rPr>
          <w:rFonts w:ascii="Arial" w:hAnsi="Arial" w:cs="Arial"/>
          <w:b/>
        </w:rPr>
        <w:t>Developed economies:</w:t>
      </w:r>
    </w:p>
    <w:p w14:paraId="10A54CD4" w14:textId="77777777" w:rsidR="00BE714C" w:rsidRPr="00BE714C" w:rsidRDefault="00BE714C" w:rsidP="007625E7">
      <w:pPr>
        <w:numPr>
          <w:ilvl w:val="0"/>
          <w:numId w:val="349"/>
        </w:numPr>
        <w:spacing w:after="0" w:line="360" w:lineRule="auto"/>
        <w:jc w:val="both"/>
        <w:rPr>
          <w:rFonts w:ascii="Arial" w:hAnsi="Arial" w:cs="Arial"/>
        </w:rPr>
      </w:pPr>
      <w:r w:rsidRPr="00BE714C">
        <w:rPr>
          <w:rFonts w:ascii="Arial" w:hAnsi="Arial" w:cs="Arial"/>
        </w:rPr>
        <w:t>Access to land</w:t>
      </w:r>
    </w:p>
    <w:p w14:paraId="308116D1" w14:textId="77777777" w:rsidR="00BE714C" w:rsidRPr="00BE714C" w:rsidRDefault="00BE714C" w:rsidP="007625E7">
      <w:pPr>
        <w:numPr>
          <w:ilvl w:val="0"/>
          <w:numId w:val="349"/>
        </w:numPr>
        <w:spacing w:after="0" w:line="360" w:lineRule="auto"/>
        <w:jc w:val="both"/>
        <w:rPr>
          <w:rFonts w:ascii="Arial" w:hAnsi="Arial" w:cs="Arial"/>
        </w:rPr>
      </w:pPr>
      <w:r w:rsidRPr="00BE714C">
        <w:rPr>
          <w:rFonts w:ascii="Arial" w:hAnsi="Arial" w:cs="Arial"/>
        </w:rPr>
        <w:t xml:space="preserve">Lenders do not have staff and the expertise in-house to be able to monitor construction </w:t>
      </w:r>
    </w:p>
    <w:p w14:paraId="6355136F" w14:textId="77777777" w:rsidR="00BE714C" w:rsidRPr="00BE714C" w:rsidRDefault="00BE714C" w:rsidP="007625E7">
      <w:pPr>
        <w:numPr>
          <w:ilvl w:val="0"/>
          <w:numId w:val="349"/>
        </w:numPr>
        <w:spacing w:after="0" w:line="360" w:lineRule="auto"/>
        <w:jc w:val="both"/>
        <w:rPr>
          <w:rFonts w:ascii="Arial" w:hAnsi="Arial" w:cs="Arial"/>
        </w:rPr>
      </w:pPr>
      <w:r w:rsidRPr="00BE714C">
        <w:rPr>
          <w:rFonts w:ascii="Arial" w:hAnsi="Arial" w:cs="Arial"/>
        </w:rPr>
        <w:t>Banks being too suspicious of foreign inflows for real estate project finance</w:t>
      </w:r>
    </w:p>
    <w:p w14:paraId="51D77C6A" w14:textId="77777777" w:rsidR="00BE714C" w:rsidRPr="00BE714C" w:rsidRDefault="00BE714C" w:rsidP="007625E7">
      <w:pPr>
        <w:numPr>
          <w:ilvl w:val="0"/>
          <w:numId w:val="349"/>
        </w:numPr>
        <w:spacing w:after="0" w:line="360" w:lineRule="auto"/>
        <w:jc w:val="both"/>
        <w:rPr>
          <w:rFonts w:ascii="Arial" w:hAnsi="Arial" w:cs="Arial"/>
        </w:rPr>
      </w:pPr>
      <w:r w:rsidRPr="00BE714C">
        <w:rPr>
          <w:rFonts w:ascii="Arial" w:hAnsi="Arial" w:cs="Arial"/>
        </w:rPr>
        <w:t>Criteria of big institutional investors</w:t>
      </w:r>
    </w:p>
    <w:p w14:paraId="52CCC859" w14:textId="77777777" w:rsidR="00BE714C" w:rsidRPr="00BE714C" w:rsidRDefault="00BE714C" w:rsidP="007625E7">
      <w:pPr>
        <w:numPr>
          <w:ilvl w:val="0"/>
          <w:numId w:val="349"/>
        </w:numPr>
        <w:spacing w:after="0" w:line="360" w:lineRule="auto"/>
        <w:jc w:val="both"/>
        <w:rPr>
          <w:rFonts w:ascii="Arial" w:hAnsi="Arial" w:cs="Arial"/>
        </w:rPr>
      </w:pPr>
      <w:r w:rsidRPr="00BE714C">
        <w:rPr>
          <w:rFonts w:ascii="Arial" w:hAnsi="Arial" w:cs="Arial"/>
        </w:rPr>
        <w:t>Collateral</w:t>
      </w:r>
    </w:p>
    <w:p w14:paraId="152ED002" w14:textId="77777777" w:rsidR="00BE714C" w:rsidRPr="00BE714C" w:rsidRDefault="00BE714C" w:rsidP="00BE714C">
      <w:pPr>
        <w:spacing w:line="360" w:lineRule="auto"/>
        <w:jc w:val="both"/>
        <w:rPr>
          <w:rFonts w:ascii="Arial" w:hAnsi="Arial" w:cs="Arial"/>
          <w:b/>
        </w:rPr>
      </w:pPr>
      <w:r w:rsidRPr="00BE714C">
        <w:rPr>
          <w:rFonts w:ascii="Arial" w:hAnsi="Arial" w:cs="Arial"/>
          <w:b/>
        </w:rPr>
        <w:t>Emerging economies:</w:t>
      </w:r>
    </w:p>
    <w:p w14:paraId="3FEE8FC1" w14:textId="77777777" w:rsidR="00BE714C" w:rsidRPr="00BE714C" w:rsidRDefault="00BE714C" w:rsidP="007625E7">
      <w:pPr>
        <w:numPr>
          <w:ilvl w:val="0"/>
          <w:numId w:val="350"/>
        </w:numPr>
        <w:spacing w:line="360" w:lineRule="auto"/>
        <w:jc w:val="both"/>
        <w:rPr>
          <w:rFonts w:ascii="Arial" w:hAnsi="Arial" w:cs="Arial"/>
        </w:rPr>
      </w:pPr>
      <w:r w:rsidRPr="00BE714C">
        <w:rPr>
          <w:rFonts w:ascii="Arial" w:hAnsi="Arial" w:cs="Arial"/>
        </w:rPr>
        <w:t>Access to land &amp; multiple ownership of land</w:t>
      </w:r>
    </w:p>
    <w:p w14:paraId="3E0DAD57" w14:textId="77777777" w:rsidR="00BE714C" w:rsidRPr="00BE714C" w:rsidRDefault="00BE714C" w:rsidP="007625E7">
      <w:pPr>
        <w:numPr>
          <w:ilvl w:val="0"/>
          <w:numId w:val="350"/>
        </w:numPr>
        <w:spacing w:line="360" w:lineRule="auto"/>
        <w:jc w:val="both"/>
        <w:rPr>
          <w:rFonts w:ascii="Arial" w:hAnsi="Arial" w:cs="Arial"/>
        </w:rPr>
      </w:pPr>
      <w:r w:rsidRPr="00BE714C">
        <w:rPr>
          <w:rFonts w:ascii="Arial" w:hAnsi="Arial" w:cs="Arial"/>
        </w:rPr>
        <w:t>Corrupt government officials</w:t>
      </w:r>
    </w:p>
    <w:p w14:paraId="2DBFAE5C" w14:textId="248A3345" w:rsidR="00BE714C" w:rsidRPr="00BE714C" w:rsidRDefault="00BE714C" w:rsidP="007625E7">
      <w:pPr>
        <w:numPr>
          <w:ilvl w:val="0"/>
          <w:numId w:val="350"/>
        </w:numPr>
        <w:spacing w:line="360" w:lineRule="auto"/>
        <w:jc w:val="both"/>
        <w:rPr>
          <w:rFonts w:ascii="Arial" w:hAnsi="Arial" w:cs="Arial"/>
        </w:rPr>
      </w:pPr>
      <w:r w:rsidRPr="00BE714C">
        <w:rPr>
          <w:rFonts w:ascii="Arial" w:hAnsi="Arial" w:cs="Arial"/>
        </w:rPr>
        <w:t>Difficult lending criteria &amp; high</w:t>
      </w:r>
      <w:r w:rsidR="00BB6B04">
        <w:rPr>
          <w:rFonts w:ascii="Arial" w:hAnsi="Arial" w:cs="Arial"/>
        </w:rPr>
        <w:t xml:space="preserve"> </w:t>
      </w:r>
      <w:r w:rsidRPr="00BE714C">
        <w:rPr>
          <w:rFonts w:ascii="Arial" w:hAnsi="Arial" w:cs="Arial"/>
        </w:rPr>
        <w:t>interest rate</w:t>
      </w:r>
    </w:p>
    <w:p w14:paraId="2D90CB67" w14:textId="77777777" w:rsidR="00BE714C" w:rsidRPr="00BE714C" w:rsidRDefault="00BE714C" w:rsidP="007625E7">
      <w:pPr>
        <w:numPr>
          <w:ilvl w:val="0"/>
          <w:numId w:val="350"/>
        </w:numPr>
        <w:spacing w:line="360" w:lineRule="auto"/>
        <w:jc w:val="both"/>
        <w:rPr>
          <w:rFonts w:ascii="Arial" w:hAnsi="Arial" w:cs="Arial"/>
        </w:rPr>
      </w:pPr>
      <w:r w:rsidRPr="00BE714C">
        <w:rPr>
          <w:rFonts w:ascii="Arial" w:hAnsi="Arial" w:cs="Arial"/>
        </w:rPr>
        <w:t>Government interventions</w:t>
      </w:r>
    </w:p>
    <w:p w14:paraId="26D7E8F0" w14:textId="77777777" w:rsidR="00BE714C" w:rsidRPr="00BE714C" w:rsidRDefault="00BE714C" w:rsidP="007625E7">
      <w:pPr>
        <w:numPr>
          <w:ilvl w:val="0"/>
          <w:numId w:val="350"/>
        </w:numPr>
        <w:spacing w:line="360" w:lineRule="auto"/>
        <w:jc w:val="both"/>
        <w:rPr>
          <w:rFonts w:ascii="Arial" w:hAnsi="Arial" w:cs="Arial"/>
        </w:rPr>
      </w:pPr>
      <w:r w:rsidRPr="00BE714C">
        <w:rPr>
          <w:rFonts w:ascii="Arial" w:hAnsi="Arial" w:cs="Arial"/>
        </w:rPr>
        <w:t>Long negotiation period</w:t>
      </w:r>
    </w:p>
    <w:p w14:paraId="441013B5" w14:textId="3604DD37" w:rsidR="00BE714C" w:rsidRPr="00BE714C" w:rsidRDefault="00BB6B04" w:rsidP="00BE714C">
      <w:pPr>
        <w:spacing w:line="360" w:lineRule="auto"/>
        <w:rPr>
          <w:rFonts w:ascii="Arial" w:hAnsi="Arial" w:cs="Arial"/>
        </w:rPr>
      </w:pPr>
      <w:r>
        <w:rPr>
          <w:rFonts w:ascii="Arial" w:hAnsi="Arial" w:cs="Arial"/>
        </w:rPr>
        <w:t>Based on the questionnaire, the opportunities associated with securing finance for real estate project development at the aggregate level for both the developed and emerging economies</w:t>
      </w:r>
      <w:r w:rsidR="00BE714C" w:rsidRPr="00BE714C">
        <w:rPr>
          <w:rFonts w:ascii="Arial" w:hAnsi="Arial" w:cs="Arial"/>
        </w:rPr>
        <w:t xml:space="preserve"> include all the nineteen (19) factors listed in the questionnaire survey</w:t>
      </w:r>
      <w:r w:rsidR="00D83D3D">
        <w:rPr>
          <w:rFonts w:ascii="Arial" w:hAnsi="Arial" w:cs="Arial"/>
        </w:rPr>
        <w:t xml:space="preserve"> </w:t>
      </w:r>
      <w:r w:rsidR="00A3491F">
        <w:rPr>
          <w:rFonts w:ascii="Arial" w:hAnsi="Arial" w:cs="Arial"/>
        </w:rPr>
        <w:t>(see</w:t>
      </w:r>
      <w:r w:rsidR="00D83D3D">
        <w:rPr>
          <w:rFonts w:ascii="Arial" w:hAnsi="Arial" w:cs="Arial"/>
        </w:rPr>
        <w:t xml:space="preserve"> table 6.4.1)</w:t>
      </w:r>
      <w:r>
        <w:rPr>
          <w:rFonts w:ascii="Arial" w:hAnsi="Arial" w:cs="Arial"/>
        </w:rPr>
        <w:t xml:space="preserve">. </w:t>
      </w:r>
      <w:r w:rsidR="00D83D3D">
        <w:rPr>
          <w:rFonts w:ascii="Arial" w:hAnsi="Arial" w:cs="Arial"/>
        </w:rPr>
        <w:t>H</w:t>
      </w:r>
      <w:r w:rsidR="00BE714C" w:rsidRPr="00BE714C">
        <w:rPr>
          <w:rFonts w:ascii="Arial" w:hAnsi="Arial" w:cs="Arial"/>
        </w:rPr>
        <w:t>owever</w:t>
      </w:r>
      <w:r w:rsidR="0032260B">
        <w:rPr>
          <w:rFonts w:ascii="Arial" w:hAnsi="Arial" w:cs="Arial"/>
        </w:rPr>
        <w:t>,</w:t>
      </w:r>
      <w:r w:rsidR="00BE714C" w:rsidRPr="00BE714C">
        <w:rPr>
          <w:rFonts w:ascii="Arial" w:hAnsi="Arial" w:cs="Arial"/>
        </w:rPr>
        <w:t xml:space="preserve"> there are differing rankings for the individual developed and emerging economies based on the mean values</w:t>
      </w:r>
      <w:r w:rsidR="00677F42">
        <w:rPr>
          <w:rFonts w:ascii="Arial" w:hAnsi="Arial" w:cs="Arial"/>
        </w:rPr>
        <w:t xml:space="preserve">. </w:t>
      </w:r>
      <w:r w:rsidR="00BE714C" w:rsidRPr="00BE714C">
        <w:rPr>
          <w:rFonts w:ascii="Arial" w:hAnsi="Arial" w:cs="Arial"/>
        </w:rPr>
        <w:t>Notably, all the managers who responded to the survey questionnaire ranked among</w:t>
      </w:r>
      <w:r w:rsidR="00AF6235">
        <w:rPr>
          <w:rFonts w:ascii="Arial" w:hAnsi="Arial" w:cs="Arial"/>
        </w:rPr>
        <w:t xml:space="preserve"> their five top factors considered an opportunity to </w:t>
      </w:r>
      <w:r w:rsidR="00AF6235">
        <w:rPr>
          <w:rFonts w:ascii="Arial" w:hAnsi="Arial" w:cs="Arial"/>
        </w:rPr>
        <w:lastRenderedPageBreak/>
        <w:t>secure</w:t>
      </w:r>
      <w:r w:rsidR="00BE714C" w:rsidRPr="00BE714C">
        <w:rPr>
          <w:rFonts w:ascii="Arial" w:hAnsi="Arial" w:cs="Arial"/>
        </w:rPr>
        <w:t xml:space="preserve"> finance for real estate project development, “growing demand in the property market”. The list below shows the ranking of the top five opportunities at the aggregate level. </w:t>
      </w:r>
    </w:p>
    <w:p w14:paraId="37D0DC66" w14:textId="77777777" w:rsidR="00BE714C" w:rsidRPr="00BE714C" w:rsidRDefault="00BE714C" w:rsidP="007625E7">
      <w:pPr>
        <w:numPr>
          <w:ilvl w:val="0"/>
          <w:numId w:val="351"/>
        </w:numPr>
        <w:spacing w:line="240" w:lineRule="auto"/>
        <w:contextualSpacing/>
        <w:rPr>
          <w:rFonts w:ascii="Arial" w:hAnsi="Arial" w:cs="Arial"/>
        </w:rPr>
      </w:pPr>
      <w:r w:rsidRPr="00BE714C">
        <w:rPr>
          <w:rFonts w:ascii="Arial" w:hAnsi="Arial" w:cs="Arial"/>
        </w:rPr>
        <w:t>Growing demand in the property market</w:t>
      </w:r>
    </w:p>
    <w:p w14:paraId="62A40022" w14:textId="3AA026F7" w:rsidR="00BE714C" w:rsidRPr="00BE714C" w:rsidRDefault="00BE714C" w:rsidP="007625E7">
      <w:pPr>
        <w:numPr>
          <w:ilvl w:val="0"/>
          <w:numId w:val="351"/>
        </w:numPr>
        <w:spacing w:line="240" w:lineRule="auto"/>
        <w:contextualSpacing/>
        <w:rPr>
          <w:rFonts w:ascii="Arial" w:hAnsi="Arial" w:cs="Arial"/>
        </w:rPr>
      </w:pPr>
      <w:r w:rsidRPr="00BE714C">
        <w:rPr>
          <w:rFonts w:ascii="Arial" w:hAnsi="Arial" w:cs="Arial"/>
        </w:rPr>
        <w:t xml:space="preserve">Positive and sustained economic </w:t>
      </w:r>
      <w:r w:rsidR="00A3491F" w:rsidRPr="00BE714C">
        <w:rPr>
          <w:rFonts w:ascii="Arial" w:hAnsi="Arial" w:cs="Arial"/>
        </w:rPr>
        <w:t>growth.</w:t>
      </w:r>
    </w:p>
    <w:p w14:paraId="48A5F257" w14:textId="77777777" w:rsidR="00BE714C" w:rsidRPr="00BE714C" w:rsidRDefault="00BE714C" w:rsidP="007625E7">
      <w:pPr>
        <w:numPr>
          <w:ilvl w:val="0"/>
          <w:numId w:val="351"/>
        </w:numPr>
        <w:spacing w:line="240" w:lineRule="auto"/>
        <w:contextualSpacing/>
        <w:rPr>
          <w:rFonts w:ascii="Arial" w:hAnsi="Arial" w:cs="Arial"/>
        </w:rPr>
      </w:pPr>
      <w:r w:rsidRPr="00BE714C">
        <w:rPr>
          <w:rFonts w:ascii="Arial" w:hAnsi="Arial" w:cs="Arial"/>
        </w:rPr>
        <w:t>Availability of long-term funds</w:t>
      </w:r>
    </w:p>
    <w:p w14:paraId="214ED337" w14:textId="77777777" w:rsidR="00BE714C" w:rsidRPr="00BE714C" w:rsidRDefault="00BE714C" w:rsidP="007625E7">
      <w:pPr>
        <w:numPr>
          <w:ilvl w:val="0"/>
          <w:numId w:val="351"/>
        </w:numPr>
        <w:spacing w:line="240" w:lineRule="auto"/>
        <w:contextualSpacing/>
        <w:rPr>
          <w:rFonts w:ascii="Arial" w:hAnsi="Arial" w:cs="Arial"/>
        </w:rPr>
      </w:pPr>
      <w:r w:rsidRPr="00BE714C">
        <w:rPr>
          <w:rFonts w:ascii="Arial" w:hAnsi="Arial" w:cs="Arial"/>
        </w:rPr>
        <w:t>Political stability</w:t>
      </w:r>
    </w:p>
    <w:p w14:paraId="6809B620" w14:textId="77777777" w:rsidR="00BE714C" w:rsidRPr="00BE714C" w:rsidRDefault="00BE714C" w:rsidP="007625E7">
      <w:pPr>
        <w:numPr>
          <w:ilvl w:val="0"/>
          <w:numId w:val="351"/>
        </w:numPr>
        <w:spacing w:line="240" w:lineRule="auto"/>
        <w:contextualSpacing/>
        <w:rPr>
          <w:rFonts w:ascii="Arial" w:hAnsi="Arial" w:cs="Arial"/>
        </w:rPr>
      </w:pPr>
      <w:r w:rsidRPr="00BE714C">
        <w:rPr>
          <w:rFonts w:ascii="Arial" w:hAnsi="Arial" w:cs="Arial"/>
        </w:rPr>
        <w:t>Multiple finance sources</w:t>
      </w:r>
    </w:p>
    <w:p w14:paraId="579CDEF6" w14:textId="2D0397F1" w:rsidR="00BE714C" w:rsidRPr="00BE714C" w:rsidRDefault="00BE714C" w:rsidP="00BE714C">
      <w:pPr>
        <w:rPr>
          <w:rFonts w:ascii="Arial" w:hAnsi="Arial" w:cs="Arial"/>
        </w:rPr>
      </w:pPr>
      <w:r w:rsidRPr="00BE714C">
        <w:rPr>
          <w:rFonts w:ascii="Arial" w:hAnsi="Arial" w:cs="Arial"/>
        </w:rPr>
        <w:t>The factors which are considered as opportunities in common by managers in both the developed and emerging economies based on the semi-structured interviews are</w:t>
      </w:r>
      <w:r w:rsidR="00677F42">
        <w:rPr>
          <w:rFonts w:ascii="Arial" w:hAnsi="Arial" w:cs="Arial"/>
        </w:rPr>
        <w:t xml:space="preserve"> high demand for housing and long-standing relationship with financiers.</w:t>
      </w:r>
    </w:p>
    <w:p w14:paraId="6E6DFF56" w14:textId="45418B4B" w:rsidR="00BE714C" w:rsidRPr="00BE714C" w:rsidRDefault="00BE714C" w:rsidP="00BE714C">
      <w:pPr>
        <w:rPr>
          <w:rFonts w:ascii="Arial" w:hAnsi="Arial" w:cs="Arial"/>
        </w:rPr>
      </w:pPr>
      <w:r w:rsidRPr="00BE714C">
        <w:rPr>
          <w:rFonts w:ascii="Arial" w:hAnsi="Arial" w:cs="Arial"/>
        </w:rPr>
        <w:t>However, the five most cited opportunities associated with securing finance for real estate project development for the developed and emerging economies</w:t>
      </w:r>
      <w:r w:rsidR="00BB6B04">
        <w:rPr>
          <w:rFonts w:ascii="Arial" w:hAnsi="Arial" w:cs="Arial"/>
        </w:rPr>
        <w:t>,</w:t>
      </w:r>
      <w:r w:rsidRPr="00BE714C">
        <w:rPr>
          <w:rFonts w:ascii="Arial" w:hAnsi="Arial" w:cs="Arial"/>
        </w:rPr>
        <w:t xml:space="preserve"> respectively are – </w:t>
      </w:r>
    </w:p>
    <w:p w14:paraId="0CE98446" w14:textId="77777777" w:rsidR="00BE714C" w:rsidRPr="00BE714C" w:rsidRDefault="00BE714C" w:rsidP="00BE714C">
      <w:pPr>
        <w:rPr>
          <w:rFonts w:ascii="Arial" w:hAnsi="Arial" w:cs="Arial"/>
          <w:b/>
        </w:rPr>
      </w:pPr>
      <w:r w:rsidRPr="00BE714C">
        <w:rPr>
          <w:rFonts w:ascii="Arial" w:hAnsi="Arial" w:cs="Arial"/>
          <w:b/>
        </w:rPr>
        <w:t xml:space="preserve">Developed economies: </w:t>
      </w:r>
    </w:p>
    <w:p w14:paraId="758438FC" w14:textId="77777777" w:rsidR="00BE714C" w:rsidRPr="00BE714C" w:rsidRDefault="00BE714C" w:rsidP="007625E7">
      <w:pPr>
        <w:numPr>
          <w:ilvl w:val="0"/>
          <w:numId w:val="352"/>
        </w:numPr>
        <w:spacing w:after="0" w:line="360" w:lineRule="auto"/>
        <w:contextualSpacing/>
        <w:jc w:val="both"/>
        <w:rPr>
          <w:rFonts w:ascii="Arial" w:hAnsi="Arial" w:cs="Arial"/>
        </w:rPr>
      </w:pPr>
      <w:r w:rsidRPr="00BE714C">
        <w:rPr>
          <w:rFonts w:ascii="Arial" w:hAnsi="Arial" w:cs="Arial"/>
        </w:rPr>
        <w:t>An abundance of both equity and debt</w:t>
      </w:r>
    </w:p>
    <w:p w14:paraId="6C8B074B" w14:textId="77777777" w:rsidR="00BE714C" w:rsidRPr="00BE714C" w:rsidRDefault="00BE714C" w:rsidP="007625E7">
      <w:pPr>
        <w:numPr>
          <w:ilvl w:val="0"/>
          <w:numId w:val="352"/>
        </w:numPr>
        <w:spacing w:after="0" w:line="360" w:lineRule="auto"/>
        <w:contextualSpacing/>
        <w:jc w:val="both"/>
        <w:rPr>
          <w:rFonts w:ascii="Arial" w:hAnsi="Arial" w:cs="Arial"/>
        </w:rPr>
      </w:pPr>
      <w:r w:rsidRPr="00BE714C">
        <w:rPr>
          <w:rFonts w:ascii="Arial" w:hAnsi="Arial" w:cs="Arial"/>
        </w:rPr>
        <w:t>Government support to first-time homeowners</w:t>
      </w:r>
    </w:p>
    <w:p w14:paraId="2CA3A9E1" w14:textId="77777777" w:rsidR="00BE714C" w:rsidRPr="00BE714C" w:rsidRDefault="00BE714C" w:rsidP="007625E7">
      <w:pPr>
        <w:numPr>
          <w:ilvl w:val="0"/>
          <w:numId w:val="352"/>
        </w:numPr>
        <w:spacing w:after="0" w:line="360" w:lineRule="auto"/>
        <w:contextualSpacing/>
        <w:jc w:val="both"/>
        <w:rPr>
          <w:rFonts w:ascii="Arial" w:hAnsi="Arial" w:cs="Arial"/>
        </w:rPr>
      </w:pPr>
      <w:r w:rsidRPr="00BE714C">
        <w:rPr>
          <w:rFonts w:ascii="Arial" w:hAnsi="Arial" w:cs="Arial"/>
        </w:rPr>
        <w:t>Increase in demand for housing</w:t>
      </w:r>
    </w:p>
    <w:p w14:paraId="1DB8EA4B" w14:textId="77777777" w:rsidR="00BE714C" w:rsidRPr="00BE714C" w:rsidRDefault="00BE714C" w:rsidP="007625E7">
      <w:pPr>
        <w:numPr>
          <w:ilvl w:val="0"/>
          <w:numId w:val="352"/>
        </w:numPr>
        <w:spacing w:after="0" w:line="360" w:lineRule="auto"/>
        <w:contextualSpacing/>
        <w:jc w:val="both"/>
        <w:rPr>
          <w:rFonts w:ascii="Arial" w:hAnsi="Arial" w:cs="Arial"/>
        </w:rPr>
      </w:pPr>
      <w:r w:rsidRPr="00BE714C">
        <w:rPr>
          <w:rFonts w:ascii="Arial" w:hAnsi="Arial" w:cs="Arial"/>
        </w:rPr>
        <w:t>International market</w:t>
      </w:r>
    </w:p>
    <w:p w14:paraId="5A00F2A5" w14:textId="77777777" w:rsidR="00BE714C" w:rsidRPr="00BE714C" w:rsidRDefault="00BE714C" w:rsidP="007625E7">
      <w:pPr>
        <w:numPr>
          <w:ilvl w:val="0"/>
          <w:numId w:val="352"/>
        </w:numPr>
        <w:spacing w:after="0" w:line="360" w:lineRule="auto"/>
        <w:contextualSpacing/>
        <w:jc w:val="both"/>
        <w:rPr>
          <w:rFonts w:ascii="Arial" w:hAnsi="Arial" w:cs="Arial"/>
        </w:rPr>
      </w:pPr>
      <w:r w:rsidRPr="00BE714C">
        <w:rPr>
          <w:rFonts w:ascii="Arial" w:hAnsi="Arial" w:cs="Arial"/>
        </w:rPr>
        <w:t>Low-interest rate</w:t>
      </w:r>
    </w:p>
    <w:p w14:paraId="71699501" w14:textId="77777777" w:rsidR="00BE714C" w:rsidRPr="00BE714C" w:rsidRDefault="00BE714C" w:rsidP="00BE714C">
      <w:pPr>
        <w:ind w:left="360"/>
        <w:rPr>
          <w:rFonts w:ascii="Arial" w:hAnsi="Arial" w:cs="Arial"/>
          <w:b/>
        </w:rPr>
      </w:pPr>
      <w:r w:rsidRPr="00BE714C">
        <w:rPr>
          <w:rFonts w:ascii="Arial" w:hAnsi="Arial" w:cs="Arial"/>
          <w:b/>
        </w:rPr>
        <w:t xml:space="preserve">Emerging economies: </w:t>
      </w:r>
    </w:p>
    <w:p w14:paraId="7A864B3C" w14:textId="77777777" w:rsidR="00BE714C" w:rsidRPr="00BE714C" w:rsidRDefault="00BE714C" w:rsidP="007625E7">
      <w:pPr>
        <w:numPr>
          <w:ilvl w:val="0"/>
          <w:numId w:val="353"/>
        </w:numPr>
        <w:contextualSpacing/>
        <w:rPr>
          <w:rFonts w:ascii="Arial" w:hAnsi="Arial" w:cs="Arial"/>
        </w:rPr>
      </w:pPr>
      <w:r w:rsidRPr="00BE714C">
        <w:rPr>
          <w:rFonts w:ascii="Arial" w:hAnsi="Arial" w:cs="Arial"/>
        </w:rPr>
        <w:t>High demand for housing</w:t>
      </w:r>
    </w:p>
    <w:p w14:paraId="0D013104" w14:textId="77777777" w:rsidR="00BE714C" w:rsidRPr="00BE714C" w:rsidRDefault="00BE714C" w:rsidP="007625E7">
      <w:pPr>
        <w:numPr>
          <w:ilvl w:val="0"/>
          <w:numId w:val="353"/>
        </w:numPr>
        <w:contextualSpacing/>
        <w:rPr>
          <w:rFonts w:ascii="Arial" w:hAnsi="Arial" w:cs="Arial"/>
        </w:rPr>
      </w:pPr>
      <w:r w:rsidRPr="00BE714C">
        <w:rPr>
          <w:rFonts w:ascii="Arial" w:hAnsi="Arial" w:cs="Arial"/>
        </w:rPr>
        <w:t xml:space="preserve">A long-standing relationship with financiers </w:t>
      </w:r>
    </w:p>
    <w:p w14:paraId="01C20F71" w14:textId="77777777" w:rsidR="00BE714C" w:rsidRPr="00BE714C" w:rsidRDefault="00BE714C" w:rsidP="007625E7">
      <w:pPr>
        <w:numPr>
          <w:ilvl w:val="0"/>
          <w:numId w:val="353"/>
        </w:numPr>
        <w:spacing w:line="360" w:lineRule="auto"/>
        <w:contextualSpacing/>
        <w:jc w:val="both"/>
        <w:rPr>
          <w:rFonts w:ascii="Arial" w:hAnsi="Arial" w:cs="Arial"/>
        </w:rPr>
      </w:pPr>
      <w:r w:rsidRPr="00BE714C">
        <w:rPr>
          <w:rFonts w:ascii="Arial" w:hAnsi="Arial" w:cs="Arial"/>
        </w:rPr>
        <w:t>Existing markets for office retail and logistics sectors and key 2nd tier cities across China</w:t>
      </w:r>
    </w:p>
    <w:p w14:paraId="0CD7233E" w14:textId="77777777" w:rsidR="00BE714C" w:rsidRPr="00BE714C" w:rsidRDefault="00BE714C" w:rsidP="007625E7">
      <w:pPr>
        <w:numPr>
          <w:ilvl w:val="0"/>
          <w:numId w:val="353"/>
        </w:numPr>
        <w:contextualSpacing/>
        <w:rPr>
          <w:rFonts w:ascii="Arial" w:hAnsi="Arial" w:cs="Arial"/>
        </w:rPr>
      </w:pPr>
      <w:r w:rsidRPr="00BE714C">
        <w:rPr>
          <w:rFonts w:ascii="Arial" w:hAnsi="Arial" w:cs="Arial"/>
        </w:rPr>
        <w:t>Private equity/offtakes</w:t>
      </w:r>
    </w:p>
    <w:p w14:paraId="346FB60D" w14:textId="7EABC308" w:rsidR="00BE714C" w:rsidRPr="00BE714C" w:rsidRDefault="00BE714C" w:rsidP="007625E7">
      <w:pPr>
        <w:numPr>
          <w:ilvl w:val="0"/>
          <w:numId w:val="353"/>
        </w:numPr>
        <w:spacing w:line="360" w:lineRule="auto"/>
        <w:contextualSpacing/>
        <w:jc w:val="both"/>
        <w:rPr>
          <w:rFonts w:ascii="Arial" w:hAnsi="Arial" w:cs="Arial"/>
        </w:rPr>
      </w:pPr>
      <w:r w:rsidRPr="00BE714C">
        <w:rPr>
          <w:rFonts w:ascii="Arial" w:hAnsi="Arial" w:cs="Arial"/>
        </w:rPr>
        <w:t>Developers combin</w:t>
      </w:r>
      <w:r w:rsidR="00BB6B04">
        <w:rPr>
          <w:rFonts w:ascii="Arial" w:hAnsi="Arial" w:cs="Arial"/>
        </w:rPr>
        <w:t>e</w:t>
      </w:r>
      <w:r w:rsidRPr="00BE714C">
        <w:rPr>
          <w:rFonts w:ascii="Arial" w:hAnsi="Arial" w:cs="Arial"/>
        </w:rPr>
        <w:t xml:space="preserve"> industrial, commercial, residential, and health care centres, especially in </w:t>
      </w:r>
      <w:r w:rsidR="00536913" w:rsidRPr="00BE714C">
        <w:rPr>
          <w:rFonts w:ascii="Arial" w:hAnsi="Arial" w:cs="Arial"/>
        </w:rPr>
        <w:t>China.</w:t>
      </w:r>
    </w:p>
    <w:p w14:paraId="3CA7E7DB" w14:textId="1EAEFEF8" w:rsidR="00BE714C" w:rsidRPr="00BE714C" w:rsidRDefault="00BE714C" w:rsidP="00BE714C">
      <w:pPr>
        <w:spacing w:line="360" w:lineRule="auto"/>
        <w:jc w:val="both"/>
        <w:rPr>
          <w:rFonts w:ascii="Arial" w:hAnsi="Arial" w:cs="Arial"/>
        </w:rPr>
      </w:pPr>
      <w:r w:rsidRPr="00A3491F">
        <w:rPr>
          <w:rFonts w:ascii="Arial" w:hAnsi="Arial" w:cs="Arial"/>
        </w:rPr>
        <w:t>The study developed a conceptual framework for environmental scan for securing finance for real estate project development based on the findings from critical success factors and challenges and opportunities for securing finance for real estate project development. This framework forms part of the toolkit for securing finance for real</w:t>
      </w:r>
      <w:r w:rsidRPr="00BE714C">
        <w:rPr>
          <w:rFonts w:ascii="Arial" w:hAnsi="Arial" w:cs="Arial"/>
        </w:rPr>
        <w:t xml:space="preserve"> estate project development.</w:t>
      </w:r>
    </w:p>
    <w:p w14:paraId="107690AB" w14:textId="77777777" w:rsidR="00BE714C" w:rsidRPr="00BE714C" w:rsidRDefault="00BE714C" w:rsidP="00BE714C">
      <w:pPr>
        <w:rPr>
          <w:rFonts w:ascii="Arial" w:hAnsi="Arial" w:cs="Arial"/>
          <w:b/>
        </w:rPr>
      </w:pPr>
      <w:r w:rsidRPr="00BE714C">
        <w:rPr>
          <w:rFonts w:ascii="Arial" w:hAnsi="Arial" w:cs="Arial"/>
          <w:b/>
        </w:rPr>
        <w:t>Objective 3: To document the processes and key decisions for securing finance for project development in developed and emerging economies.</w:t>
      </w:r>
    </w:p>
    <w:p w14:paraId="06E51908" w14:textId="5912D204" w:rsidR="00BE714C" w:rsidRPr="00BE714C" w:rsidRDefault="00BE714C" w:rsidP="003B270F">
      <w:pPr>
        <w:spacing w:line="360" w:lineRule="auto"/>
        <w:rPr>
          <w:rFonts w:ascii="Arial" w:hAnsi="Arial" w:cs="Arial"/>
        </w:rPr>
      </w:pPr>
      <w:r w:rsidRPr="00BE714C">
        <w:rPr>
          <w:rFonts w:ascii="Arial" w:hAnsi="Arial" w:cs="Arial"/>
        </w:rPr>
        <w:t xml:space="preserve">The questionnaire and interviews show no strictly uniform key decisions and </w:t>
      </w:r>
      <w:r w:rsidR="004E29F6" w:rsidRPr="00BE714C">
        <w:rPr>
          <w:rFonts w:ascii="Arial" w:hAnsi="Arial" w:cs="Arial"/>
        </w:rPr>
        <w:t>processes adopted</w:t>
      </w:r>
      <w:r w:rsidRPr="00BE714C">
        <w:rPr>
          <w:rFonts w:ascii="Arial" w:hAnsi="Arial" w:cs="Arial"/>
        </w:rPr>
        <w:t xml:space="preserve"> by the managers in both the developed and emerging economies for securing finance for real estate project development. The findings also show that the managers consider processes and decisions a joint process</w:t>
      </w:r>
      <w:r w:rsidR="00BB6B04">
        <w:rPr>
          <w:rFonts w:ascii="Arial" w:hAnsi="Arial" w:cs="Arial"/>
        </w:rPr>
        <w:t>,</w:t>
      </w:r>
      <w:r w:rsidRPr="00BE714C">
        <w:rPr>
          <w:rFonts w:ascii="Arial" w:hAnsi="Arial" w:cs="Arial"/>
        </w:rPr>
        <w:t xml:space="preserve"> and this position was adopted for the study. The decision-making processes </w:t>
      </w:r>
      <w:r w:rsidR="00864DD1">
        <w:rPr>
          <w:rFonts w:ascii="Arial" w:hAnsi="Arial" w:cs="Arial"/>
        </w:rPr>
        <w:t xml:space="preserve">adopted by different managers </w:t>
      </w:r>
      <w:r w:rsidRPr="00BE714C">
        <w:rPr>
          <w:rFonts w:ascii="Arial" w:hAnsi="Arial" w:cs="Arial"/>
        </w:rPr>
        <w:t>are similar but not strictly in the same order.  Consequently, this study summarised the decision-making processes from both the questionnaire survey and semi</w:t>
      </w:r>
      <w:r w:rsidR="0032260B">
        <w:rPr>
          <w:rFonts w:ascii="Arial" w:hAnsi="Arial" w:cs="Arial"/>
        </w:rPr>
        <w:t>-</w:t>
      </w:r>
      <w:r w:rsidRPr="00BE714C">
        <w:rPr>
          <w:rFonts w:ascii="Arial" w:hAnsi="Arial" w:cs="Arial"/>
        </w:rPr>
        <w:t xml:space="preserve">structured </w:t>
      </w:r>
      <w:r w:rsidR="00424C1E" w:rsidRPr="00BE714C">
        <w:rPr>
          <w:rFonts w:ascii="Arial" w:hAnsi="Arial" w:cs="Arial"/>
        </w:rPr>
        <w:t>interviews</w:t>
      </w:r>
      <w:r w:rsidR="00864DD1">
        <w:rPr>
          <w:rFonts w:ascii="Arial" w:hAnsi="Arial" w:cs="Arial"/>
        </w:rPr>
        <w:t xml:space="preserve"> which,</w:t>
      </w:r>
      <w:r w:rsidR="00BB6B04">
        <w:rPr>
          <w:rFonts w:ascii="Arial" w:hAnsi="Arial" w:cs="Arial"/>
        </w:rPr>
        <w:t xml:space="preserve"> w</w:t>
      </w:r>
      <w:r w:rsidR="00864DD1">
        <w:rPr>
          <w:rFonts w:ascii="Arial" w:hAnsi="Arial" w:cs="Arial"/>
        </w:rPr>
        <w:t>ere</w:t>
      </w:r>
      <w:r w:rsidR="00BB6B04">
        <w:rPr>
          <w:rFonts w:ascii="Arial" w:hAnsi="Arial" w:cs="Arial"/>
        </w:rPr>
        <w:t xml:space="preserve"> used in developing a process map for securing finance for real estate project development. </w:t>
      </w:r>
      <w:r w:rsidR="00864DD1">
        <w:rPr>
          <w:rFonts w:ascii="Arial" w:hAnsi="Arial" w:cs="Arial"/>
        </w:rPr>
        <w:lastRenderedPageBreak/>
        <w:t>The process map for securing finance for real estate project development</w:t>
      </w:r>
      <w:r w:rsidRPr="00BE714C">
        <w:rPr>
          <w:rFonts w:ascii="Arial" w:hAnsi="Arial" w:cs="Arial"/>
        </w:rPr>
        <w:t xml:space="preserve"> also forms part of the toolkit for securing finance for real estate project development. The process map is divided into five </w:t>
      </w:r>
      <w:r w:rsidR="00864DD1">
        <w:rPr>
          <w:rFonts w:ascii="Arial" w:hAnsi="Arial" w:cs="Arial"/>
        </w:rPr>
        <w:t>stages: stages</w:t>
      </w:r>
      <w:r w:rsidR="006A3304" w:rsidRPr="00BE714C">
        <w:rPr>
          <w:rFonts w:ascii="Arial" w:hAnsi="Arial" w:cs="Arial"/>
        </w:rPr>
        <w:t xml:space="preserve"> 0</w:t>
      </w:r>
      <w:r w:rsidRPr="00BE714C">
        <w:rPr>
          <w:rFonts w:ascii="Arial" w:hAnsi="Arial" w:cs="Arial"/>
        </w:rPr>
        <w:t xml:space="preserve"> to 4</w:t>
      </w:r>
      <w:r w:rsidR="00F34050">
        <w:rPr>
          <w:rFonts w:ascii="Arial" w:hAnsi="Arial" w:cs="Arial"/>
        </w:rPr>
        <w:t xml:space="preserve"> </w:t>
      </w:r>
      <w:r w:rsidR="00763196">
        <w:rPr>
          <w:rFonts w:ascii="Arial" w:hAnsi="Arial" w:cs="Arial"/>
        </w:rPr>
        <w:t>(see</w:t>
      </w:r>
      <w:r w:rsidR="00F34050">
        <w:rPr>
          <w:rFonts w:ascii="Arial" w:hAnsi="Arial" w:cs="Arial"/>
        </w:rPr>
        <w:t xml:space="preserve"> table </w:t>
      </w:r>
      <w:r w:rsidR="00434760">
        <w:rPr>
          <w:rFonts w:ascii="Arial" w:hAnsi="Arial" w:cs="Arial"/>
        </w:rPr>
        <w:t>7.5.1</w:t>
      </w:r>
      <w:r w:rsidR="00F34050">
        <w:rPr>
          <w:rFonts w:ascii="Arial" w:hAnsi="Arial" w:cs="Arial"/>
        </w:rPr>
        <w:t>).</w:t>
      </w:r>
      <w:r w:rsidRPr="00BE714C">
        <w:rPr>
          <w:rFonts w:ascii="Arial" w:hAnsi="Arial" w:cs="Arial"/>
        </w:rPr>
        <w:t xml:space="preserve"> The process map for securing finance for real estate projects was inspired by the advance work package for </w:t>
      </w:r>
      <w:r w:rsidR="003B270F">
        <w:rPr>
          <w:rFonts w:ascii="Arial" w:hAnsi="Arial" w:cs="Arial"/>
        </w:rPr>
        <w:t xml:space="preserve">the </w:t>
      </w:r>
      <w:r w:rsidRPr="00BE714C">
        <w:rPr>
          <w:rFonts w:ascii="Arial" w:hAnsi="Arial" w:cs="Arial"/>
        </w:rPr>
        <w:t>construction project by Ryan (2017)</w:t>
      </w:r>
      <w:r w:rsidR="00BB6B04">
        <w:rPr>
          <w:rFonts w:ascii="Arial" w:hAnsi="Arial" w:cs="Arial"/>
        </w:rPr>
        <w:t>, the work breakdown structure</w:t>
      </w:r>
      <w:r w:rsidRPr="00BE714C">
        <w:rPr>
          <w:rFonts w:ascii="Arial" w:hAnsi="Arial" w:cs="Arial"/>
        </w:rPr>
        <w:t xml:space="preserve"> and the RIBA Plan of work </w:t>
      </w:r>
      <w:r w:rsidR="00894085">
        <w:rPr>
          <w:rFonts w:ascii="Arial" w:hAnsi="Arial" w:cs="Arial"/>
        </w:rPr>
        <w:t>2020</w:t>
      </w:r>
      <w:r w:rsidRPr="00BE714C">
        <w:rPr>
          <w:rFonts w:ascii="Arial" w:hAnsi="Arial" w:cs="Arial"/>
        </w:rPr>
        <w:t xml:space="preserve">. </w:t>
      </w:r>
    </w:p>
    <w:p w14:paraId="1DFDEE59" w14:textId="77777777" w:rsidR="00BE714C" w:rsidRPr="00BE714C" w:rsidRDefault="00BE714C" w:rsidP="00BE714C">
      <w:pPr>
        <w:rPr>
          <w:rFonts w:ascii="Arial" w:hAnsi="Arial" w:cs="Arial"/>
          <w:b/>
        </w:rPr>
      </w:pPr>
    </w:p>
    <w:p w14:paraId="31AD86C7" w14:textId="1EC89664" w:rsidR="00BE714C" w:rsidRPr="00BE714C" w:rsidRDefault="00BE714C" w:rsidP="00BE714C">
      <w:pPr>
        <w:rPr>
          <w:rFonts w:ascii="Arial" w:hAnsi="Arial" w:cs="Arial"/>
          <w:b/>
        </w:rPr>
      </w:pPr>
      <w:r w:rsidRPr="00BE714C">
        <w:rPr>
          <w:rFonts w:ascii="Arial" w:hAnsi="Arial" w:cs="Arial"/>
          <w:b/>
        </w:rPr>
        <w:t xml:space="preserve">Objective 4: To identify and document the skills, knowledge, competences and ascertain the training background, </w:t>
      </w:r>
      <w:r w:rsidR="000A0E1B" w:rsidRPr="00BE714C">
        <w:rPr>
          <w:rFonts w:ascii="Arial" w:hAnsi="Arial" w:cs="Arial"/>
          <w:b/>
        </w:rPr>
        <w:t>education,</w:t>
      </w:r>
      <w:r w:rsidRPr="00BE714C">
        <w:rPr>
          <w:rFonts w:ascii="Arial" w:hAnsi="Arial" w:cs="Arial"/>
          <w:b/>
        </w:rPr>
        <w:t xml:space="preserve"> and career pathway </w:t>
      </w:r>
      <w:r w:rsidR="00956E85">
        <w:rPr>
          <w:rFonts w:ascii="Arial" w:hAnsi="Arial" w:cs="Arial"/>
          <w:b/>
        </w:rPr>
        <w:t>for securing finance for real estate project development</w:t>
      </w:r>
    </w:p>
    <w:p w14:paraId="69184DD7" w14:textId="77777777" w:rsidR="00BE714C" w:rsidRPr="00BE714C" w:rsidRDefault="00BE714C" w:rsidP="00BE714C">
      <w:pPr>
        <w:rPr>
          <w:rFonts w:ascii="Arial" w:hAnsi="Arial" w:cs="Arial"/>
          <w:b/>
        </w:rPr>
      </w:pPr>
    </w:p>
    <w:p w14:paraId="646F313B" w14:textId="77777777" w:rsidR="00BE714C" w:rsidRPr="00BE714C" w:rsidRDefault="00BE714C" w:rsidP="00BE714C">
      <w:pPr>
        <w:rPr>
          <w:rFonts w:ascii="Arial" w:hAnsi="Arial" w:cs="Arial"/>
          <w:b/>
        </w:rPr>
      </w:pPr>
      <w:r w:rsidRPr="00BE714C">
        <w:rPr>
          <w:rFonts w:ascii="Arial" w:hAnsi="Arial" w:cs="Arial"/>
          <w:b/>
        </w:rPr>
        <w:t>Skills for securing finance for real estate project development:</w:t>
      </w:r>
    </w:p>
    <w:p w14:paraId="18C09581" w14:textId="73A761B7" w:rsidR="00BE714C" w:rsidRPr="00BE714C" w:rsidRDefault="00BE714C" w:rsidP="00BE714C">
      <w:pPr>
        <w:spacing w:line="360" w:lineRule="auto"/>
        <w:rPr>
          <w:rFonts w:ascii="Arial" w:eastAsia="Calibri" w:hAnsi="Arial" w:cs="Arial"/>
        </w:rPr>
      </w:pPr>
      <w:r w:rsidRPr="00F60EDD">
        <w:rPr>
          <w:rFonts w:ascii="Arial" w:hAnsi="Arial" w:cs="Arial"/>
          <w:iCs/>
        </w:rPr>
        <w:t>The findings from the survey questionnaire demonstrate that all the twenty</w:t>
      </w:r>
      <w:r w:rsidR="00223E37" w:rsidRPr="00F60EDD">
        <w:rPr>
          <w:rFonts w:ascii="Arial" w:hAnsi="Arial" w:cs="Arial"/>
          <w:iCs/>
        </w:rPr>
        <w:t>-</w:t>
      </w:r>
      <w:r w:rsidRPr="00F60EDD">
        <w:rPr>
          <w:rFonts w:ascii="Arial" w:hAnsi="Arial" w:cs="Arial"/>
          <w:iCs/>
        </w:rPr>
        <w:t>three skills listed are considered important for securing finance for real estate project development in both the developed and emerging economies</w:t>
      </w:r>
      <w:r w:rsidR="005C763F" w:rsidRPr="00F60EDD">
        <w:rPr>
          <w:rFonts w:ascii="Arial" w:hAnsi="Arial" w:cs="Arial"/>
          <w:iCs/>
        </w:rPr>
        <w:t xml:space="preserve"> (see table 8.2.1)</w:t>
      </w:r>
      <w:r w:rsidRPr="00F60EDD">
        <w:rPr>
          <w:rFonts w:ascii="Arial" w:hAnsi="Arial" w:cs="Arial"/>
          <w:iCs/>
        </w:rPr>
        <w:t xml:space="preserve">. The data also revealed that there is a need for training and education for all the skills for both the present work managers do </w:t>
      </w:r>
      <w:r w:rsidR="00223E37" w:rsidRPr="00F60EDD">
        <w:rPr>
          <w:rFonts w:ascii="Arial" w:hAnsi="Arial" w:cs="Arial"/>
          <w:iCs/>
        </w:rPr>
        <w:t>for</w:t>
      </w:r>
      <w:r w:rsidRPr="00F60EDD">
        <w:rPr>
          <w:rFonts w:ascii="Arial" w:hAnsi="Arial" w:cs="Arial"/>
          <w:iCs/>
        </w:rPr>
        <w:t xml:space="preserve"> real estate project development and the future. However, the degree of importance and need for training and education for the present and future varies in the six different countries. </w:t>
      </w:r>
      <w:r w:rsidR="009A43ED" w:rsidRPr="00F60EDD">
        <w:rPr>
          <w:rFonts w:ascii="Arial" w:hAnsi="Arial" w:cs="Arial"/>
          <w:iCs/>
        </w:rPr>
        <w:t>Notably, the</w:t>
      </w:r>
      <w:r w:rsidRPr="00F60EDD">
        <w:rPr>
          <w:rFonts w:ascii="Arial" w:hAnsi="Arial" w:cs="Arial"/>
          <w:iCs/>
        </w:rPr>
        <w:t xml:space="preserve"> ranking of the skills for the different countries does not demarcate skills used in developed countries as different from the emerging economies. However, the top</w:t>
      </w:r>
      <w:r w:rsidR="00223E37" w:rsidRPr="00F60EDD">
        <w:rPr>
          <w:rFonts w:ascii="Arial" w:hAnsi="Arial" w:cs="Arial"/>
          <w:iCs/>
        </w:rPr>
        <w:t>-</w:t>
      </w:r>
      <w:r w:rsidRPr="00F60EDD">
        <w:rPr>
          <w:rFonts w:ascii="Arial" w:hAnsi="Arial" w:cs="Arial"/>
          <w:iCs/>
        </w:rPr>
        <w:t xml:space="preserve">ranked skills show a blend of human, technical, conceptual, </w:t>
      </w:r>
      <w:r w:rsidR="009A43ED" w:rsidRPr="00F60EDD">
        <w:rPr>
          <w:rFonts w:ascii="Arial" w:hAnsi="Arial" w:cs="Arial"/>
          <w:iCs/>
        </w:rPr>
        <w:t>political,</w:t>
      </w:r>
      <w:r w:rsidRPr="00F60EDD">
        <w:rPr>
          <w:rFonts w:ascii="Arial" w:hAnsi="Arial" w:cs="Arial"/>
          <w:iCs/>
        </w:rPr>
        <w:t xml:space="preserve"> and financial management skills for all the countries. </w:t>
      </w:r>
      <w:r w:rsidRPr="00F60EDD">
        <w:rPr>
          <w:rFonts w:ascii="Arial" w:eastAsia="Calibri" w:hAnsi="Arial" w:cs="Arial"/>
        </w:rPr>
        <w:t>The findings from the questionnaire survey at the aggregate</w:t>
      </w:r>
      <w:r w:rsidRPr="00BE714C">
        <w:rPr>
          <w:rFonts w:ascii="Arial" w:eastAsia="Calibri" w:hAnsi="Arial" w:cs="Arial"/>
        </w:rPr>
        <w:t xml:space="preserve"> level show the ranking of the selected skills based on their degree of importance and need for training and education for the present and future </w:t>
      </w:r>
      <w:r w:rsidR="009A43ED" w:rsidRPr="00BE714C">
        <w:rPr>
          <w:rFonts w:ascii="Arial" w:eastAsia="Calibri" w:hAnsi="Arial" w:cs="Arial"/>
        </w:rPr>
        <w:t>(next</w:t>
      </w:r>
      <w:r w:rsidRPr="00BE714C">
        <w:rPr>
          <w:rFonts w:ascii="Arial" w:eastAsia="Calibri" w:hAnsi="Arial" w:cs="Arial"/>
        </w:rPr>
        <w:t xml:space="preserve"> </w:t>
      </w:r>
      <w:r w:rsidR="005266ED">
        <w:rPr>
          <w:rFonts w:ascii="Arial" w:eastAsia="Calibri" w:hAnsi="Arial" w:cs="Arial"/>
        </w:rPr>
        <w:t>five</w:t>
      </w:r>
      <w:r w:rsidRPr="00BE714C">
        <w:rPr>
          <w:rFonts w:ascii="Arial" w:eastAsia="Calibri" w:hAnsi="Arial" w:cs="Arial"/>
        </w:rPr>
        <w:t xml:space="preserve"> years) </w:t>
      </w:r>
      <w:r w:rsidR="00255E73">
        <w:rPr>
          <w:rFonts w:ascii="Arial" w:eastAsia="Calibri" w:hAnsi="Arial" w:cs="Arial"/>
        </w:rPr>
        <w:t>for</w:t>
      </w:r>
      <w:r w:rsidRPr="00BE714C">
        <w:rPr>
          <w:rFonts w:ascii="Arial" w:eastAsia="Calibri" w:hAnsi="Arial" w:cs="Arial"/>
        </w:rPr>
        <w:t xml:space="preserve"> securing finance for real estate project development in both the developed and emerging economies.</w:t>
      </w:r>
    </w:p>
    <w:p w14:paraId="2F342D03" w14:textId="54A58D95" w:rsidR="00BE714C" w:rsidRPr="00BE714C" w:rsidRDefault="00BE714C" w:rsidP="00BE714C">
      <w:pPr>
        <w:spacing w:line="360" w:lineRule="auto"/>
        <w:rPr>
          <w:rFonts w:ascii="Arial" w:eastAsia="Calibri" w:hAnsi="Arial" w:cs="Arial"/>
        </w:rPr>
      </w:pPr>
      <w:r w:rsidRPr="00BE714C">
        <w:rPr>
          <w:rFonts w:ascii="Arial" w:eastAsia="Calibri" w:hAnsi="Arial" w:cs="Arial"/>
        </w:rPr>
        <w:t>The findings from the semi</w:t>
      </w:r>
      <w:r w:rsidR="0032260B">
        <w:rPr>
          <w:rFonts w:ascii="Arial" w:eastAsia="Calibri" w:hAnsi="Arial" w:cs="Arial"/>
        </w:rPr>
        <w:t>-</w:t>
      </w:r>
      <w:r w:rsidRPr="00BE714C">
        <w:rPr>
          <w:rFonts w:ascii="Arial" w:eastAsia="Calibri" w:hAnsi="Arial" w:cs="Arial"/>
        </w:rPr>
        <w:t>structured interviews emphasise some skills already picked up from the survey questionnaire and br</w:t>
      </w:r>
      <w:r w:rsidR="005266ED">
        <w:rPr>
          <w:rFonts w:ascii="Arial" w:eastAsia="Calibri" w:hAnsi="Arial" w:cs="Arial"/>
        </w:rPr>
        <w:t>ought</w:t>
      </w:r>
      <w:r w:rsidRPr="00BE714C">
        <w:rPr>
          <w:rFonts w:ascii="Arial" w:eastAsia="Calibri" w:hAnsi="Arial" w:cs="Arial"/>
        </w:rPr>
        <w:t xml:space="preserve"> on</w:t>
      </w:r>
      <w:r w:rsidR="005266ED">
        <w:rPr>
          <w:rFonts w:ascii="Arial" w:eastAsia="Calibri" w:hAnsi="Arial" w:cs="Arial"/>
        </w:rPr>
        <w:t xml:space="preserve"> </w:t>
      </w:r>
      <w:r w:rsidRPr="00BE714C">
        <w:rPr>
          <w:rFonts w:ascii="Arial" w:eastAsia="Calibri" w:hAnsi="Arial" w:cs="Arial"/>
        </w:rPr>
        <w:t>board some new skills. Some skills managers in both the developed and emerging economies have in common for securing finance for real estate project development based on the semi</w:t>
      </w:r>
      <w:r w:rsidR="0032260B">
        <w:rPr>
          <w:rFonts w:ascii="Arial" w:eastAsia="Calibri" w:hAnsi="Arial" w:cs="Arial"/>
        </w:rPr>
        <w:t>-</w:t>
      </w:r>
      <w:r w:rsidRPr="00BE714C">
        <w:rPr>
          <w:rFonts w:ascii="Arial" w:eastAsia="Calibri" w:hAnsi="Arial" w:cs="Arial"/>
        </w:rPr>
        <w:t>structured interviews include the following:</w:t>
      </w:r>
    </w:p>
    <w:p w14:paraId="7FAF99F0" w14:textId="77777777" w:rsidR="00BE714C" w:rsidRPr="00BE714C" w:rsidRDefault="00BE714C" w:rsidP="007625E7">
      <w:pPr>
        <w:numPr>
          <w:ilvl w:val="0"/>
          <w:numId w:val="354"/>
        </w:numPr>
        <w:contextualSpacing/>
        <w:rPr>
          <w:rFonts w:ascii="Arial" w:eastAsia="Calibri" w:hAnsi="Arial" w:cs="Arial"/>
        </w:rPr>
      </w:pPr>
      <w:r w:rsidRPr="00BE714C">
        <w:rPr>
          <w:rFonts w:ascii="Arial" w:eastAsia="Calibri" w:hAnsi="Arial" w:cs="Arial"/>
        </w:rPr>
        <w:t>Analytical skills</w:t>
      </w:r>
    </w:p>
    <w:p w14:paraId="0EB181D4" w14:textId="77777777" w:rsidR="00BE714C" w:rsidRPr="00BE714C" w:rsidRDefault="00BE714C" w:rsidP="007625E7">
      <w:pPr>
        <w:numPr>
          <w:ilvl w:val="0"/>
          <w:numId w:val="354"/>
        </w:numPr>
        <w:contextualSpacing/>
        <w:rPr>
          <w:rFonts w:ascii="Arial" w:eastAsia="Calibri" w:hAnsi="Arial" w:cs="Arial"/>
        </w:rPr>
      </w:pPr>
      <w:r w:rsidRPr="00BE714C">
        <w:rPr>
          <w:rFonts w:ascii="Arial" w:eastAsia="Calibri" w:hAnsi="Arial" w:cs="Arial"/>
        </w:rPr>
        <w:t>Selling/ Marketing skills</w:t>
      </w:r>
    </w:p>
    <w:p w14:paraId="4ACE5C62" w14:textId="77777777" w:rsidR="00BE714C" w:rsidRPr="00BE714C" w:rsidRDefault="00BE714C" w:rsidP="007625E7">
      <w:pPr>
        <w:numPr>
          <w:ilvl w:val="0"/>
          <w:numId w:val="354"/>
        </w:numPr>
        <w:contextualSpacing/>
        <w:rPr>
          <w:rFonts w:ascii="Arial" w:eastAsia="Calibri" w:hAnsi="Arial" w:cs="Arial"/>
        </w:rPr>
      </w:pPr>
      <w:r w:rsidRPr="00BE714C">
        <w:rPr>
          <w:rFonts w:ascii="Arial" w:eastAsia="Calibri" w:hAnsi="Arial" w:cs="Arial"/>
        </w:rPr>
        <w:t>Relationship management</w:t>
      </w:r>
    </w:p>
    <w:p w14:paraId="69BB088C" w14:textId="6E3570EE" w:rsidR="00BE714C" w:rsidRDefault="00BE714C" w:rsidP="007625E7">
      <w:pPr>
        <w:numPr>
          <w:ilvl w:val="0"/>
          <w:numId w:val="354"/>
        </w:numPr>
        <w:contextualSpacing/>
        <w:rPr>
          <w:rFonts w:ascii="Arial" w:eastAsia="Calibri" w:hAnsi="Arial" w:cs="Arial"/>
        </w:rPr>
      </w:pPr>
      <w:r w:rsidRPr="00BE714C">
        <w:rPr>
          <w:rFonts w:ascii="Arial" w:eastAsia="Calibri" w:hAnsi="Arial" w:cs="Arial"/>
        </w:rPr>
        <w:t>Monitoring skills</w:t>
      </w:r>
    </w:p>
    <w:p w14:paraId="133A5891" w14:textId="40648120" w:rsidR="005266ED" w:rsidRDefault="005266ED" w:rsidP="005266ED">
      <w:pPr>
        <w:ind w:left="360"/>
        <w:contextualSpacing/>
        <w:rPr>
          <w:rFonts w:ascii="Arial" w:eastAsia="Calibri" w:hAnsi="Arial" w:cs="Arial"/>
        </w:rPr>
      </w:pPr>
    </w:p>
    <w:p w14:paraId="6ABA8948" w14:textId="11317523" w:rsidR="005266ED" w:rsidRDefault="005266ED" w:rsidP="005266ED">
      <w:pPr>
        <w:ind w:left="360"/>
        <w:contextualSpacing/>
        <w:rPr>
          <w:rFonts w:ascii="Arial" w:eastAsia="Calibri" w:hAnsi="Arial" w:cs="Arial"/>
        </w:rPr>
      </w:pPr>
    </w:p>
    <w:p w14:paraId="31677B5C" w14:textId="77777777" w:rsidR="005266ED" w:rsidRPr="00BE714C" w:rsidRDefault="005266ED" w:rsidP="005266ED">
      <w:pPr>
        <w:ind w:left="360"/>
        <w:contextualSpacing/>
        <w:rPr>
          <w:rFonts w:ascii="Arial" w:eastAsia="Calibri" w:hAnsi="Arial" w:cs="Arial"/>
        </w:rPr>
      </w:pPr>
    </w:p>
    <w:p w14:paraId="4743C0BF" w14:textId="77777777" w:rsidR="00BE714C" w:rsidRPr="00BE714C" w:rsidRDefault="00BE714C" w:rsidP="00BE714C">
      <w:pPr>
        <w:rPr>
          <w:rFonts w:ascii="Arial" w:eastAsia="Calibri" w:hAnsi="Arial" w:cs="Arial"/>
        </w:rPr>
      </w:pPr>
      <w:r w:rsidRPr="00BE714C">
        <w:rPr>
          <w:rFonts w:ascii="Arial" w:eastAsia="Calibri" w:hAnsi="Arial" w:cs="Arial"/>
        </w:rPr>
        <w:lastRenderedPageBreak/>
        <w:t>However, their differing skills include the following –</w:t>
      </w:r>
    </w:p>
    <w:p w14:paraId="0D4629B8" w14:textId="77777777" w:rsidR="00BE714C" w:rsidRPr="00BE714C" w:rsidRDefault="00BE714C" w:rsidP="00BE714C">
      <w:pPr>
        <w:rPr>
          <w:rFonts w:ascii="Arial" w:eastAsia="Calibri" w:hAnsi="Arial" w:cs="Arial"/>
          <w:b/>
        </w:rPr>
      </w:pPr>
      <w:r w:rsidRPr="00BE714C">
        <w:rPr>
          <w:rFonts w:ascii="Arial" w:eastAsia="Calibri" w:hAnsi="Arial" w:cs="Arial"/>
          <w:b/>
        </w:rPr>
        <w:t xml:space="preserve">Developed economies: </w:t>
      </w:r>
    </w:p>
    <w:p w14:paraId="57BB3283" w14:textId="77777777" w:rsidR="00BE714C" w:rsidRPr="00BE714C" w:rsidRDefault="00BE714C" w:rsidP="007625E7">
      <w:pPr>
        <w:numPr>
          <w:ilvl w:val="0"/>
          <w:numId w:val="355"/>
        </w:numPr>
        <w:spacing w:after="0"/>
        <w:rPr>
          <w:rFonts w:ascii="Arial" w:eastAsia="Calibri" w:hAnsi="Arial" w:cs="Arial"/>
          <w:iCs/>
        </w:rPr>
      </w:pPr>
      <w:r w:rsidRPr="00BE714C">
        <w:rPr>
          <w:rFonts w:ascii="Arial" w:eastAsia="Calibri" w:hAnsi="Arial" w:cs="Arial"/>
          <w:iCs/>
        </w:rPr>
        <w:t xml:space="preserve">Ability to improve your profile in the market by using the internet, LinkedIn and Facebook </w:t>
      </w:r>
    </w:p>
    <w:p w14:paraId="438DAE0C" w14:textId="77777777" w:rsidR="00BE714C" w:rsidRPr="00BE714C" w:rsidRDefault="00BE714C" w:rsidP="007625E7">
      <w:pPr>
        <w:numPr>
          <w:ilvl w:val="0"/>
          <w:numId w:val="355"/>
        </w:numPr>
        <w:spacing w:after="0"/>
        <w:rPr>
          <w:rFonts w:ascii="Arial" w:eastAsia="Calibri" w:hAnsi="Arial" w:cs="Arial"/>
          <w:iCs/>
        </w:rPr>
      </w:pPr>
      <w:r w:rsidRPr="00BE714C">
        <w:rPr>
          <w:rFonts w:ascii="Arial" w:eastAsia="Calibri" w:hAnsi="Arial" w:cs="Arial"/>
          <w:iCs/>
        </w:rPr>
        <w:t xml:space="preserve">Financial modelling </w:t>
      </w:r>
    </w:p>
    <w:p w14:paraId="2D5ACFC3" w14:textId="77777777" w:rsidR="00BE714C" w:rsidRPr="00BE714C" w:rsidRDefault="00BE714C" w:rsidP="007625E7">
      <w:pPr>
        <w:numPr>
          <w:ilvl w:val="0"/>
          <w:numId w:val="355"/>
        </w:numPr>
        <w:spacing w:after="0"/>
        <w:rPr>
          <w:rFonts w:ascii="Arial" w:eastAsia="Calibri" w:hAnsi="Arial" w:cs="Arial"/>
          <w:iCs/>
        </w:rPr>
      </w:pPr>
      <w:r w:rsidRPr="00BE714C">
        <w:rPr>
          <w:rFonts w:ascii="Arial" w:eastAsia="Calibri" w:hAnsi="Arial" w:cs="Arial"/>
          <w:iCs/>
        </w:rPr>
        <w:t>Foreign language skills / Multi-lingual</w:t>
      </w:r>
    </w:p>
    <w:p w14:paraId="0FE137AC" w14:textId="77777777" w:rsidR="00BE714C" w:rsidRPr="00BE714C" w:rsidRDefault="00BE714C" w:rsidP="007625E7">
      <w:pPr>
        <w:numPr>
          <w:ilvl w:val="0"/>
          <w:numId w:val="355"/>
        </w:numPr>
        <w:spacing w:after="0"/>
        <w:rPr>
          <w:rFonts w:ascii="Arial" w:eastAsia="Calibri" w:hAnsi="Arial" w:cs="Arial"/>
          <w:iCs/>
        </w:rPr>
      </w:pPr>
      <w:r w:rsidRPr="00BE714C">
        <w:rPr>
          <w:rFonts w:ascii="Arial" w:eastAsia="Calibri" w:hAnsi="Arial" w:cs="Arial"/>
          <w:iCs/>
        </w:rPr>
        <w:t>Global networking</w:t>
      </w:r>
    </w:p>
    <w:p w14:paraId="4E216E11" w14:textId="77777777" w:rsidR="00BE714C" w:rsidRPr="00BE714C" w:rsidRDefault="00BE714C" w:rsidP="007625E7">
      <w:pPr>
        <w:numPr>
          <w:ilvl w:val="0"/>
          <w:numId w:val="355"/>
        </w:numPr>
        <w:spacing w:after="0"/>
        <w:rPr>
          <w:rFonts w:ascii="Arial" w:eastAsia="Calibri" w:hAnsi="Arial" w:cs="Arial"/>
          <w:iCs/>
        </w:rPr>
      </w:pPr>
      <w:r w:rsidRPr="00BE714C">
        <w:rPr>
          <w:rFonts w:ascii="Arial" w:eastAsia="Calibri" w:hAnsi="Arial" w:cs="Arial"/>
          <w:iCs/>
        </w:rPr>
        <w:t>Hedging skills</w:t>
      </w:r>
    </w:p>
    <w:p w14:paraId="73885EEF" w14:textId="77777777" w:rsidR="00BE714C" w:rsidRPr="00BE714C" w:rsidRDefault="00BE714C" w:rsidP="00BE714C">
      <w:pPr>
        <w:ind w:left="142"/>
        <w:rPr>
          <w:rFonts w:ascii="Arial" w:eastAsia="Calibri" w:hAnsi="Arial" w:cs="Arial"/>
          <w:b/>
        </w:rPr>
      </w:pPr>
      <w:r w:rsidRPr="00BE714C">
        <w:rPr>
          <w:rFonts w:ascii="Arial" w:eastAsia="Calibri" w:hAnsi="Arial" w:cs="Arial"/>
          <w:b/>
        </w:rPr>
        <w:t xml:space="preserve">Emerging economies: </w:t>
      </w:r>
    </w:p>
    <w:p w14:paraId="51AEF215" w14:textId="77777777" w:rsidR="00BE714C" w:rsidRPr="00BE714C" w:rsidRDefault="00BE714C" w:rsidP="007625E7">
      <w:pPr>
        <w:numPr>
          <w:ilvl w:val="0"/>
          <w:numId w:val="356"/>
        </w:numPr>
        <w:spacing w:after="0"/>
        <w:rPr>
          <w:rFonts w:ascii="Arial" w:eastAsia="Calibri" w:hAnsi="Arial" w:cs="Arial"/>
          <w:iCs/>
        </w:rPr>
      </w:pPr>
      <w:r w:rsidRPr="00BE714C">
        <w:rPr>
          <w:rFonts w:ascii="Arial" w:eastAsia="Calibri" w:hAnsi="Arial" w:cs="Arial"/>
          <w:iCs/>
        </w:rPr>
        <w:t>Ability to connect to people on an emotional level</w:t>
      </w:r>
    </w:p>
    <w:p w14:paraId="3F89E1D3" w14:textId="77777777" w:rsidR="00BE714C" w:rsidRPr="00BE714C" w:rsidRDefault="00BE714C" w:rsidP="007625E7">
      <w:pPr>
        <w:numPr>
          <w:ilvl w:val="0"/>
          <w:numId w:val="356"/>
        </w:numPr>
        <w:spacing w:after="0"/>
        <w:rPr>
          <w:rFonts w:ascii="Arial" w:eastAsia="Calibri" w:hAnsi="Arial" w:cs="Arial"/>
          <w:iCs/>
        </w:rPr>
      </w:pPr>
      <w:r w:rsidRPr="00BE714C">
        <w:rPr>
          <w:rFonts w:ascii="Arial" w:eastAsia="Calibri" w:hAnsi="Arial" w:cs="Arial"/>
          <w:iCs/>
        </w:rPr>
        <w:t>Ability to lobby</w:t>
      </w:r>
    </w:p>
    <w:p w14:paraId="27A93F75" w14:textId="77777777" w:rsidR="00BE714C" w:rsidRPr="00BE714C" w:rsidRDefault="00BE714C" w:rsidP="007625E7">
      <w:pPr>
        <w:numPr>
          <w:ilvl w:val="0"/>
          <w:numId w:val="356"/>
        </w:numPr>
        <w:spacing w:after="0"/>
        <w:rPr>
          <w:rFonts w:ascii="Arial" w:eastAsia="Calibri" w:hAnsi="Arial" w:cs="Arial"/>
          <w:iCs/>
        </w:rPr>
      </w:pPr>
      <w:r w:rsidRPr="00BE714C">
        <w:rPr>
          <w:rFonts w:ascii="Arial" w:eastAsia="Calibri" w:hAnsi="Arial" w:cs="Arial"/>
          <w:iCs/>
        </w:rPr>
        <w:t>Integrity &amp; diversity</w:t>
      </w:r>
    </w:p>
    <w:p w14:paraId="22F4433F" w14:textId="77777777" w:rsidR="00BE714C" w:rsidRPr="00BE714C" w:rsidRDefault="00BE714C" w:rsidP="007625E7">
      <w:pPr>
        <w:numPr>
          <w:ilvl w:val="0"/>
          <w:numId w:val="356"/>
        </w:numPr>
        <w:spacing w:after="0"/>
        <w:rPr>
          <w:rFonts w:ascii="Arial" w:eastAsia="Calibri" w:hAnsi="Arial" w:cs="Arial"/>
          <w:iCs/>
        </w:rPr>
      </w:pPr>
      <w:r w:rsidRPr="00BE714C">
        <w:rPr>
          <w:rFonts w:ascii="Arial" w:eastAsia="Calibri" w:hAnsi="Arial" w:cs="Arial"/>
          <w:iCs/>
        </w:rPr>
        <w:t>Technical skills</w:t>
      </w:r>
    </w:p>
    <w:p w14:paraId="0FC49644" w14:textId="77777777" w:rsidR="00BE714C" w:rsidRPr="00BE714C" w:rsidRDefault="00BE714C" w:rsidP="00BE714C">
      <w:pPr>
        <w:rPr>
          <w:rFonts w:ascii="Calibri" w:eastAsia="Calibri" w:hAnsi="Calibri" w:cs="Times New Roman"/>
        </w:rPr>
      </w:pPr>
    </w:p>
    <w:p w14:paraId="03C56208" w14:textId="77777777" w:rsidR="00BE714C" w:rsidRPr="00BE714C" w:rsidRDefault="00BE714C" w:rsidP="00BE714C">
      <w:pPr>
        <w:spacing w:after="0" w:line="360" w:lineRule="auto"/>
        <w:jc w:val="both"/>
        <w:rPr>
          <w:rFonts w:ascii="Arial" w:eastAsia="Calibri" w:hAnsi="Arial" w:cs="Arial"/>
        </w:rPr>
      </w:pPr>
      <w:r w:rsidRPr="00BE714C">
        <w:rPr>
          <w:rFonts w:ascii="Arial" w:eastAsia="Calibri" w:hAnsi="Arial" w:cs="Arial"/>
        </w:rPr>
        <w:t>The findings show that the managers in the real estate sector of both the developed</w:t>
      </w:r>
    </w:p>
    <w:p w14:paraId="3E784984" w14:textId="1759833E" w:rsidR="00BE714C" w:rsidRPr="00BE714C" w:rsidRDefault="00BE714C" w:rsidP="00255E73">
      <w:pPr>
        <w:spacing w:after="0" w:line="360" w:lineRule="auto"/>
        <w:jc w:val="both"/>
        <w:rPr>
          <w:rFonts w:ascii="Arial" w:eastAsia="Calibri" w:hAnsi="Arial" w:cs="Arial"/>
        </w:rPr>
      </w:pPr>
      <w:r w:rsidRPr="00BE714C">
        <w:rPr>
          <w:rFonts w:ascii="Arial" w:eastAsia="Calibri" w:hAnsi="Arial" w:cs="Arial"/>
        </w:rPr>
        <w:t xml:space="preserve">and emerging economies have a multiplicity of skills </w:t>
      </w:r>
      <w:r w:rsidR="00550177">
        <w:rPr>
          <w:rFonts w:ascii="Arial" w:eastAsia="Calibri" w:hAnsi="Arial" w:cs="Arial"/>
        </w:rPr>
        <w:t>that</w:t>
      </w:r>
      <w:r w:rsidRPr="00BE714C">
        <w:rPr>
          <w:rFonts w:ascii="Arial" w:eastAsia="Calibri" w:hAnsi="Arial" w:cs="Arial"/>
        </w:rPr>
        <w:t xml:space="preserve"> help them </w:t>
      </w:r>
      <w:r w:rsidR="005266ED">
        <w:rPr>
          <w:rFonts w:ascii="Arial" w:eastAsia="Calibri" w:hAnsi="Arial" w:cs="Arial"/>
        </w:rPr>
        <w:t>secure</w:t>
      </w:r>
      <w:r w:rsidR="00A86F7A">
        <w:rPr>
          <w:rFonts w:ascii="Arial" w:eastAsia="Calibri" w:hAnsi="Arial" w:cs="Arial"/>
        </w:rPr>
        <w:t xml:space="preserve"> </w:t>
      </w:r>
      <w:r w:rsidRPr="00BE714C">
        <w:rPr>
          <w:rFonts w:ascii="Arial" w:eastAsia="Calibri" w:hAnsi="Arial" w:cs="Arial"/>
        </w:rPr>
        <w:t xml:space="preserve">finance for real estate project development. However, the findings also show that some managers do not have some salient skills </w:t>
      </w:r>
      <w:r w:rsidR="005266ED">
        <w:rPr>
          <w:rFonts w:ascii="Arial" w:eastAsia="Calibri" w:hAnsi="Arial" w:cs="Arial"/>
        </w:rPr>
        <w:t>to secure</w:t>
      </w:r>
      <w:r w:rsidRPr="00BE714C">
        <w:rPr>
          <w:rFonts w:ascii="Arial" w:eastAsia="Calibri" w:hAnsi="Arial" w:cs="Arial"/>
        </w:rPr>
        <w:t xml:space="preserve"> finance for real estate project development. </w:t>
      </w:r>
      <w:r w:rsidR="00A86F7A" w:rsidRPr="00BE714C">
        <w:rPr>
          <w:rFonts w:ascii="Arial" w:eastAsia="Calibri" w:hAnsi="Arial" w:cs="Arial"/>
        </w:rPr>
        <w:t>Notably, some</w:t>
      </w:r>
      <w:r w:rsidRPr="00BE714C">
        <w:rPr>
          <w:rFonts w:ascii="Arial" w:eastAsia="Calibri" w:hAnsi="Arial" w:cs="Arial"/>
        </w:rPr>
        <w:t xml:space="preserve"> of these managers would want to be trained to acquire these skills, while others would rather pay contractors who have the skills sets needed. This study developed a skills conceptual framework</w:t>
      </w:r>
      <w:r w:rsidR="00AF6235">
        <w:rPr>
          <w:rFonts w:ascii="Arial" w:eastAsia="Calibri" w:hAnsi="Arial" w:cs="Arial"/>
        </w:rPr>
        <w:t xml:space="preserve">, an inventory of skills for securing </w:t>
      </w:r>
      <w:r w:rsidR="005266ED">
        <w:rPr>
          <w:rFonts w:ascii="Arial" w:eastAsia="Calibri" w:hAnsi="Arial" w:cs="Arial"/>
        </w:rPr>
        <w:t>real estate project development finance</w:t>
      </w:r>
      <w:r w:rsidR="00AF6235">
        <w:rPr>
          <w:rFonts w:ascii="Arial" w:eastAsia="Calibri" w:hAnsi="Arial" w:cs="Arial"/>
        </w:rPr>
        <w:t xml:space="preserve">. </w:t>
      </w:r>
      <w:r w:rsidR="005266ED">
        <w:rPr>
          <w:rFonts w:ascii="Arial" w:eastAsia="Calibri" w:hAnsi="Arial" w:cs="Arial"/>
        </w:rPr>
        <w:t xml:space="preserve">It </w:t>
      </w:r>
      <w:r w:rsidRPr="00BE714C">
        <w:rPr>
          <w:rFonts w:ascii="Arial" w:eastAsia="Calibri" w:hAnsi="Arial" w:cs="Arial"/>
        </w:rPr>
        <w:t xml:space="preserve">forms part of the tool kit for securing finance for real estate project development. This inventory of skills </w:t>
      </w:r>
      <w:r w:rsidR="005266ED">
        <w:rPr>
          <w:rFonts w:ascii="Arial" w:eastAsia="Calibri" w:hAnsi="Arial" w:cs="Arial"/>
        </w:rPr>
        <w:t xml:space="preserve">could </w:t>
      </w:r>
      <w:r w:rsidR="00AF6235">
        <w:rPr>
          <w:rFonts w:ascii="Arial" w:eastAsia="Calibri" w:hAnsi="Arial" w:cs="Arial"/>
        </w:rPr>
        <w:t xml:space="preserve">guide the managers in </w:t>
      </w:r>
      <w:r w:rsidR="005266ED">
        <w:rPr>
          <w:rFonts w:ascii="Arial" w:eastAsia="Calibri" w:hAnsi="Arial" w:cs="Arial"/>
        </w:rPr>
        <w:t>obtain</w:t>
      </w:r>
      <w:r w:rsidR="00AF6235">
        <w:rPr>
          <w:rFonts w:ascii="Arial" w:eastAsia="Calibri" w:hAnsi="Arial" w:cs="Arial"/>
        </w:rPr>
        <w:t>ing finance for real estate project development and acts</w:t>
      </w:r>
      <w:r w:rsidRPr="00BE714C">
        <w:rPr>
          <w:rFonts w:ascii="Arial" w:eastAsia="Calibri" w:hAnsi="Arial" w:cs="Arial"/>
        </w:rPr>
        <w:t xml:space="preserve"> as a training and development guide. </w:t>
      </w:r>
    </w:p>
    <w:p w14:paraId="27A91BC8" w14:textId="77777777" w:rsidR="00BE714C" w:rsidRPr="00BE714C" w:rsidRDefault="00BE714C" w:rsidP="00BE714C">
      <w:pPr>
        <w:rPr>
          <w:rFonts w:ascii="Arial" w:hAnsi="Arial" w:cs="Arial"/>
          <w:b/>
        </w:rPr>
      </w:pPr>
      <w:r w:rsidRPr="00BE714C">
        <w:rPr>
          <w:rFonts w:ascii="Arial" w:hAnsi="Arial" w:cs="Arial"/>
          <w:b/>
        </w:rPr>
        <w:t>Knowledge for securing finance for real estate project development:</w:t>
      </w:r>
    </w:p>
    <w:p w14:paraId="1D9B7E6E" w14:textId="1FA2C244" w:rsidR="00BE714C" w:rsidRPr="00BE714C" w:rsidRDefault="00BE714C" w:rsidP="00BE714C">
      <w:pPr>
        <w:spacing w:line="360" w:lineRule="auto"/>
        <w:jc w:val="both"/>
        <w:rPr>
          <w:rFonts w:ascii="Arial" w:hAnsi="Arial" w:cs="Arial"/>
        </w:rPr>
      </w:pPr>
      <w:r w:rsidRPr="00BE714C">
        <w:rPr>
          <w:rFonts w:ascii="Arial" w:hAnsi="Arial" w:cs="Arial"/>
        </w:rPr>
        <w:t>The findings from the questionnaires and semi-structured interviews show that there are varied financial knowledge sets that the managers in the real estate sector use</w:t>
      </w:r>
      <w:r w:rsidR="000B7A9F">
        <w:rPr>
          <w:rFonts w:ascii="Arial" w:hAnsi="Arial" w:cs="Arial"/>
        </w:rPr>
        <w:t>d</w:t>
      </w:r>
      <w:r w:rsidRPr="00BE714C">
        <w:rPr>
          <w:rFonts w:ascii="Arial" w:hAnsi="Arial" w:cs="Arial"/>
        </w:rPr>
        <w:t xml:space="preserve"> for securing finance for real estate project development. The findings from the survey questionnaire demonstrate that all the seventeen-management knowledge</w:t>
      </w:r>
      <w:r w:rsidR="00223E37">
        <w:rPr>
          <w:rFonts w:ascii="Arial" w:hAnsi="Arial" w:cs="Arial"/>
        </w:rPr>
        <w:t xml:space="preserve"> set</w:t>
      </w:r>
      <w:r w:rsidR="00ED36AC">
        <w:rPr>
          <w:rFonts w:ascii="Arial" w:hAnsi="Arial" w:cs="Arial"/>
        </w:rPr>
        <w:t>s</w:t>
      </w:r>
      <w:r w:rsidR="00223E37">
        <w:rPr>
          <w:rFonts w:ascii="Arial" w:hAnsi="Arial" w:cs="Arial"/>
        </w:rPr>
        <w:t xml:space="preserve"> </w:t>
      </w:r>
      <w:r w:rsidRPr="00BE714C">
        <w:rPr>
          <w:rFonts w:ascii="Arial" w:hAnsi="Arial" w:cs="Arial"/>
        </w:rPr>
        <w:t>are considered important for securing finance for real estate project development at the aggregate level by managers in both the developed and emerging economies</w:t>
      </w:r>
      <w:r w:rsidR="0055369B">
        <w:rPr>
          <w:rFonts w:ascii="Arial" w:hAnsi="Arial" w:cs="Arial"/>
        </w:rPr>
        <w:t xml:space="preserve"> ( see table 8.3.1)</w:t>
      </w:r>
      <w:r w:rsidRPr="00BE714C">
        <w:rPr>
          <w:rFonts w:ascii="Arial" w:hAnsi="Arial" w:cs="Arial"/>
        </w:rPr>
        <w:t xml:space="preserve">. The managers at the aggregate level also indicated different degrees of need for training and education for all the management knowledge for securing finance for real estate project development for their present and future jobs. Interestingly, the knowledge of funding sources and market intelligence have top rankings </w:t>
      </w:r>
      <w:r w:rsidR="000B7A9F">
        <w:rPr>
          <w:rFonts w:ascii="Arial" w:hAnsi="Arial" w:cs="Arial"/>
        </w:rPr>
        <w:t>for</w:t>
      </w:r>
      <w:r w:rsidRPr="00BE714C">
        <w:rPr>
          <w:rFonts w:ascii="Arial" w:hAnsi="Arial" w:cs="Arial"/>
        </w:rPr>
        <w:t xml:space="preserve"> the degree of importance, the need for training and education for the present and the future.</w:t>
      </w:r>
    </w:p>
    <w:p w14:paraId="5B4887C2" w14:textId="1B09654B" w:rsidR="00BE714C" w:rsidRPr="00BE714C" w:rsidRDefault="00BE714C" w:rsidP="00BE714C">
      <w:pPr>
        <w:spacing w:line="360" w:lineRule="auto"/>
        <w:rPr>
          <w:rFonts w:ascii="Arial" w:eastAsia="Calibri" w:hAnsi="Arial" w:cs="Arial"/>
        </w:rPr>
      </w:pPr>
      <w:r w:rsidRPr="00BE714C">
        <w:rPr>
          <w:rFonts w:ascii="Arial" w:eastAsia="Calibri" w:hAnsi="Arial" w:cs="Arial"/>
        </w:rPr>
        <w:t xml:space="preserve">The </w:t>
      </w:r>
      <w:r w:rsidR="00ED36AC">
        <w:rPr>
          <w:rFonts w:ascii="Arial" w:eastAsia="Calibri" w:hAnsi="Arial" w:cs="Arial"/>
        </w:rPr>
        <w:t>semi-structured interviews also show that managers in both the developed and emerging economies have some common financial knowledge sets that help them secure</w:t>
      </w:r>
      <w:r w:rsidRPr="00BE714C">
        <w:rPr>
          <w:rFonts w:ascii="Arial" w:eastAsia="Calibri" w:hAnsi="Arial" w:cs="Arial"/>
        </w:rPr>
        <w:t xml:space="preserve"> finance for real estate project development. Arguably, this is because of the global nature of </w:t>
      </w:r>
      <w:r w:rsidRPr="00BE714C">
        <w:rPr>
          <w:rFonts w:ascii="Arial" w:eastAsia="Calibri" w:hAnsi="Arial" w:cs="Arial"/>
        </w:rPr>
        <w:lastRenderedPageBreak/>
        <w:t>the education sector. Considering that about 99% of the managers interviewed for both the developed &amp; emerging economies have at least a first degree. Some knowledge sets they have in common are as follows:</w:t>
      </w:r>
    </w:p>
    <w:p w14:paraId="088CFC44" w14:textId="77777777" w:rsidR="00BE714C" w:rsidRPr="00BE714C" w:rsidRDefault="00BE714C" w:rsidP="007625E7">
      <w:pPr>
        <w:numPr>
          <w:ilvl w:val="0"/>
          <w:numId w:val="357"/>
        </w:numPr>
        <w:spacing w:after="0" w:line="240" w:lineRule="auto"/>
        <w:contextualSpacing/>
        <w:rPr>
          <w:rFonts w:ascii="Arial" w:eastAsia="Calibri" w:hAnsi="Arial" w:cs="Arial"/>
        </w:rPr>
      </w:pPr>
      <w:r w:rsidRPr="00BE714C">
        <w:rPr>
          <w:rFonts w:ascii="Arial" w:eastAsia="Calibri" w:hAnsi="Arial" w:cs="Arial"/>
        </w:rPr>
        <w:t>Sales</w:t>
      </w:r>
    </w:p>
    <w:p w14:paraId="23B66790" w14:textId="77777777" w:rsidR="00BE714C" w:rsidRPr="00BE714C" w:rsidRDefault="00BE714C" w:rsidP="007625E7">
      <w:pPr>
        <w:numPr>
          <w:ilvl w:val="0"/>
          <w:numId w:val="357"/>
        </w:numPr>
        <w:spacing w:after="0" w:line="240" w:lineRule="auto"/>
        <w:contextualSpacing/>
        <w:rPr>
          <w:rFonts w:ascii="Arial" w:eastAsia="Calibri" w:hAnsi="Arial" w:cs="Arial"/>
        </w:rPr>
      </w:pPr>
      <w:r w:rsidRPr="00BE714C">
        <w:rPr>
          <w:rFonts w:ascii="Arial" w:eastAsia="Calibri" w:hAnsi="Arial" w:cs="Arial"/>
        </w:rPr>
        <w:t>Knowledge of the market</w:t>
      </w:r>
    </w:p>
    <w:p w14:paraId="27AFD542" w14:textId="77777777" w:rsidR="00BE714C" w:rsidRPr="00BE714C" w:rsidRDefault="00BE714C" w:rsidP="007625E7">
      <w:pPr>
        <w:numPr>
          <w:ilvl w:val="0"/>
          <w:numId w:val="357"/>
        </w:numPr>
        <w:spacing w:after="0" w:line="240" w:lineRule="auto"/>
        <w:contextualSpacing/>
        <w:rPr>
          <w:rFonts w:ascii="Arial" w:eastAsia="Calibri" w:hAnsi="Arial" w:cs="Arial"/>
        </w:rPr>
      </w:pPr>
      <w:r w:rsidRPr="00BE714C">
        <w:rPr>
          <w:rFonts w:ascii="Arial" w:eastAsia="Calibri" w:hAnsi="Arial" w:cs="Arial"/>
        </w:rPr>
        <w:t>Risk</w:t>
      </w:r>
    </w:p>
    <w:p w14:paraId="1F950591" w14:textId="77777777" w:rsidR="00BE714C" w:rsidRPr="00BE714C" w:rsidRDefault="00BE714C" w:rsidP="007625E7">
      <w:pPr>
        <w:numPr>
          <w:ilvl w:val="0"/>
          <w:numId w:val="357"/>
        </w:numPr>
        <w:spacing w:after="0" w:line="240" w:lineRule="auto"/>
        <w:contextualSpacing/>
        <w:rPr>
          <w:rFonts w:ascii="Arial" w:eastAsia="Calibri" w:hAnsi="Arial" w:cs="Arial"/>
        </w:rPr>
      </w:pPr>
      <w:r w:rsidRPr="00BE714C">
        <w:rPr>
          <w:rFonts w:ascii="Arial" w:eastAsia="Calibri" w:hAnsi="Arial" w:cs="Arial"/>
        </w:rPr>
        <w:t>Cash flow</w:t>
      </w:r>
    </w:p>
    <w:p w14:paraId="3303552E" w14:textId="77777777" w:rsidR="00BE714C" w:rsidRPr="00BE714C" w:rsidRDefault="00BE714C" w:rsidP="007625E7">
      <w:pPr>
        <w:numPr>
          <w:ilvl w:val="0"/>
          <w:numId w:val="357"/>
        </w:numPr>
        <w:spacing w:after="0" w:line="240" w:lineRule="auto"/>
        <w:contextualSpacing/>
        <w:rPr>
          <w:rFonts w:ascii="Arial" w:eastAsia="Calibri" w:hAnsi="Arial" w:cs="Arial"/>
        </w:rPr>
      </w:pPr>
      <w:r w:rsidRPr="00BE714C">
        <w:rPr>
          <w:rFonts w:ascii="Arial" w:eastAsia="Calibri" w:hAnsi="Arial" w:cs="Arial"/>
        </w:rPr>
        <w:t>Financial analysis</w:t>
      </w:r>
    </w:p>
    <w:p w14:paraId="21E7A6D2" w14:textId="77777777" w:rsidR="00BE714C" w:rsidRPr="00BE714C" w:rsidRDefault="00BE714C" w:rsidP="007625E7">
      <w:pPr>
        <w:numPr>
          <w:ilvl w:val="0"/>
          <w:numId w:val="357"/>
        </w:numPr>
        <w:spacing w:after="0" w:line="240" w:lineRule="auto"/>
        <w:contextualSpacing/>
        <w:rPr>
          <w:rFonts w:ascii="Arial" w:eastAsia="Calibri" w:hAnsi="Arial" w:cs="Arial"/>
        </w:rPr>
      </w:pPr>
      <w:r w:rsidRPr="00BE714C">
        <w:rPr>
          <w:rFonts w:ascii="Arial" w:eastAsia="Calibri" w:hAnsi="Arial" w:cs="Arial"/>
        </w:rPr>
        <w:t>Understanding of the product</w:t>
      </w:r>
    </w:p>
    <w:p w14:paraId="4EF78959" w14:textId="798F6DFD" w:rsidR="00BE714C" w:rsidRDefault="00BE714C" w:rsidP="00890A33">
      <w:pPr>
        <w:numPr>
          <w:ilvl w:val="0"/>
          <w:numId w:val="357"/>
        </w:numPr>
        <w:spacing w:after="0" w:line="240" w:lineRule="auto"/>
        <w:contextualSpacing/>
        <w:rPr>
          <w:rFonts w:ascii="Arial" w:eastAsia="Calibri" w:hAnsi="Arial" w:cs="Arial"/>
        </w:rPr>
      </w:pPr>
      <w:r w:rsidRPr="00BE714C">
        <w:rPr>
          <w:rFonts w:ascii="Arial" w:eastAsia="Calibri" w:hAnsi="Arial" w:cs="Arial"/>
        </w:rPr>
        <w:t xml:space="preserve">Knowledge of regulations </w:t>
      </w:r>
    </w:p>
    <w:p w14:paraId="0E7B7627" w14:textId="77777777" w:rsidR="00890A33" w:rsidRPr="00BE714C" w:rsidRDefault="00890A33" w:rsidP="007625E7">
      <w:pPr>
        <w:spacing w:after="0" w:line="240" w:lineRule="auto"/>
        <w:ind w:left="360"/>
        <w:contextualSpacing/>
        <w:rPr>
          <w:rFonts w:ascii="Arial" w:eastAsia="Calibri" w:hAnsi="Arial" w:cs="Arial"/>
        </w:rPr>
      </w:pPr>
    </w:p>
    <w:p w14:paraId="095D0AFB" w14:textId="3919342F" w:rsidR="00BE714C" w:rsidRPr="00BE714C" w:rsidRDefault="00BE714C" w:rsidP="00BE714C">
      <w:pPr>
        <w:spacing w:line="360" w:lineRule="auto"/>
        <w:rPr>
          <w:rFonts w:ascii="Arial" w:eastAsia="Calibri" w:hAnsi="Arial" w:cs="Arial"/>
        </w:rPr>
      </w:pPr>
      <w:r w:rsidRPr="00BE714C">
        <w:rPr>
          <w:rFonts w:ascii="Arial" w:eastAsia="Calibri" w:hAnsi="Arial" w:cs="Arial"/>
        </w:rPr>
        <w:t>Some knowledge sets that are differing for both developed and emerging economies respectively based on the semi-structured interviews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E714C" w:rsidRPr="00BE714C" w14:paraId="078B9078" w14:textId="77777777" w:rsidTr="00AD1306">
        <w:tc>
          <w:tcPr>
            <w:tcW w:w="4508" w:type="dxa"/>
          </w:tcPr>
          <w:p w14:paraId="517AE506" w14:textId="77777777" w:rsidR="00BE714C" w:rsidRPr="00BE714C" w:rsidRDefault="00BE714C" w:rsidP="00BE714C">
            <w:pPr>
              <w:rPr>
                <w:rFonts w:ascii="Arial" w:eastAsia="Calibri" w:hAnsi="Arial" w:cs="Arial"/>
                <w:b/>
              </w:rPr>
            </w:pPr>
            <w:r w:rsidRPr="00BE714C">
              <w:rPr>
                <w:rFonts w:ascii="Arial" w:eastAsia="Calibri" w:hAnsi="Arial" w:cs="Arial"/>
                <w:b/>
              </w:rPr>
              <w:t>Developed economies</w:t>
            </w:r>
          </w:p>
        </w:tc>
        <w:tc>
          <w:tcPr>
            <w:tcW w:w="4508" w:type="dxa"/>
          </w:tcPr>
          <w:p w14:paraId="72B0E69A" w14:textId="77777777" w:rsidR="00BE714C" w:rsidRPr="00BE714C" w:rsidRDefault="00BE714C" w:rsidP="00BE714C">
            <w:pPr>
              <w:rPr>
                <w:rFonts w:ascii="Arial" w:eastAsia="Calibri" w:hAnsi="Arial" w:cs="Arial"/>
                <w:b/>
              </w:rPr>
            </w:pPr>
            <w:r w:rsidRPr="00BE714C">
              <w:rPr>
                <w:rFonts w:ascii="Arial" w:eastAsia="Calibri" w:hAnsi="Arial" w:cs="Arial"/>
                <w:b/>
              </w:rPr>
              <w:t>Emerging economies</w:t>
            </w:r>
          </w:p>
        </w:tc>
      </w:tr>
      <w:tr w:rsidR="00BE714C" w:rsidRPr="00BE714C" w14:paraId="2C911B7D" w14:textId="77777777" w:rsidTr="00AD1306">
        <w:tc>
          <w:tcPr>
            <w:tcW w:w="4508" w:type="dxa"/>
          </w:tcPr>
          <w:p w14:paraId="1031FC13"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 xml:space="preserve">Financial modelling </w:t>
            </w:r>
          </w:p>
          <w:p w14:paraId="68A02C62"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 xml:space="preserve">Legal knowledge </w:t>
            </w:r>
          </w:p>
          <w:p w14:paraId="63D39061"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 xml:space="preserve">Location knowledge </w:t>
            </w:r>
          </w:p>
          <w:p w14:paraId="4656BED7"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 xml:space="preserve">Policy knowledge </w:t>
            </w:r>
          </w:p>
          <w:p w14:paraId="08E423A3"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Risk</w:t>
            </w:r>
          </w:p>
          <w:p w14:paraId="3337DC6A"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 xml:space="preserve">Technical knowledge </w:t>
            </w:r>
          </w:p>
          <w:p w14:paraId="010F8AD4"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Understanding Joint venture legal document</w:t>
            </w:r>
          </w:p>
          <w:p w14:paraId="4C4DA2F5" w14:textId="527FAA6A"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Knowledge of loan agreement</w:t>
            </w:r>
            <w:r w:rsidR="00ED36AC">
              <w:rPr>
                <w:rFonts w:ascii="Arial" w:eastAsia="Calibri" w:hAnsi="Arial" w:cs="Arial"/>
              </w:rPr>
              <w:t>s</w:t>
            </w:r>
            <w:r w:rsidRPr="00BE714C">
              <w:rPr>
                <w:rFonts w:ascii="Arial" w:eastAsia="Calibri" w:hAnsi="Arial" w:cs="Arial"/>
              </w:rPr>
              <w:t xml:space="preserve"> &amp; how they work</w:t>
            </w:r>
          </w:p>
          <w:p w14:paraId="597176D5"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 xml:space="preserve">Understanding of Macroeconomics factors </w:t>
            </w:r>
          </w:p>
          <w:p w14:paraId="70E8A8E9"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Awareness of the client’s need</w:t>
            </w:r>
          </w:p>
          <w:p w14:paraId="28A4E330" w14:textId="77777777" w:rsidR="00BE714C" w:rsidRPr="00BE714C" w:rsidRDefault="00BE714C" w:rsidP="007625E7">
            <w:pPr>
              <w:numPr>
                <w:ilvl w:val="0"/>
                <w:numId w:val="358"/>
              </w:numPr>
              <w:spacing w:after="0" w:line="240" w:lineRule="auto"/>
              <w:contextualSpacing/>
              <w:rPr>
                <w:rFonts w:ascii="Arial" w:eastAsia="Calibri" w:hAnsi="Arial" w:cs="Arial"/>
              </w:rPr>
            </w:pPr>
            <w:r w:rsidRPr="00BE714C">
              <w:rPr>
                <w:rFonts w:ascii="Arial" w:eastAsia="Calibri" w:hAnsi="Arial" w:cs="Arial"/>
              </w:rPr>
              <w:t>Knowledge of what lenders want</w:t>
            </w:r>
          </w:p>
          <w:p w14:paraId="58AC7BAF" w14:textId="77777777" w:rsidR="00BE714C" w:rsidRPr="00BE714C" w:rsidRDefault="00BE714C" w:rsidP="00BE714C">
            <w:pPr>
              <w:rPr>
                <w:rFonts w:ascii="Arial" w:eastAsia="Calibri" w:hAnsi="Arial" w:cs="Arial"/>
              </w:rPr>
            </w:pPr>
          </w:p>
        </w:tc>
        <w:tc>
          <w:tcPr>
            <w:tcW w:w="4508" w:type="dxa"/>
          </w:tcPr>
          <w:p w14:paraId="6C11BAD8"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Asset management</w:t>
            </w:r>
          </w:p>
          <w:p w14:paraId="7F39DB3D"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Feasibility studies</w:t>
            </w:r>
          </w:p>
          <w:p w14:paraId="699CAD37"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Knowledge of accounting and economics</w:t>
            </w:r>
          </w:p>
          <w:p w14:paraId="3AAE1323"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 xml:space="preserve">Knowledge of finance instruments </w:t>
            </w:r>
          </w:p>
          <w:p w14:paraId="4320FEBB"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Knowledge of location &amp; topography</w:t>
            </w:r>
          </w:p>
          <w:p w14:paraId="63D91DAE"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Leadership &amp; negotiation</w:t>
            </w:r>
          </w:p>
          <w:p w14:paraId="1B547C92"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Portfolio management</w:t>
            </w:r>
          </w:p>
          <w:p w14:paraId="133BB725"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Proposal packing</w:t>
            </w:r>
          </w:p>
          <w:p w14:paraId="74EDD291"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Quantity surveying</w:t>
            </w:r>
          </w:p>
          <w:p w14:paraId="62B3F37E" w14:textId="77777777" w:rsidR="00BE714C" w:rsidRPr="00BE714C" w:rsidRDefault="00BE714C" w:rsidP="007625E7">
            <w:pPr>
              <w:numPr>
                <w:ilvl w:val="0"/>
                <w:numId w:val="359"/>
              </w:numPr>
              <w:spacing w:after="0" w:line="240" w:lineRule="auto"/>
              <w:contextualSpacing/>
              <w:rPr>
                <w:rFonts w:ascii="Arial" w:eastAsia="Calibri" w:hAnsi="Arial" w:cs="Arial"/>
              </w:rPr>
            </w:pPr>
            <w:r w:rsidRPr="00BE714C">
              <w:rPr>
                <w:rFonts w:ascii="Arial" w:eastAsia="Calibri" w:hAnsi="Arial" w:cs="Arial"/>
              </w:rPr>
              <w:t>Technical knowledge</w:t>
            </w:r>
          </w:p>
        </w:tc>
      </w:tr>
    </w:tbl>
    <w:p w14:paraId="55D867C5" w14:textId="775CA868" w:rsidR="00BE714C" w:rsidRPr="00BE714C" w:rsidRDefault="00ED36AC" w:rsidP="00BE714C">
      <w:pPr>
        <w:spacing w:line="360" w:lineRule="auto"/>
        <w:jc w:val="both"/>
        <w:rPr>
          <w:rFonts w:ascii="Arial" w:hAnsi="Arial" w:cs="Arial"/>
        </w:rPr>
      </w:pPr>
      <w:r>
        <w:rPr>
          <w:rFonts w:ascii="Arial" w:hAnsi="Arial" w:cs="Arial"/>
        </w:rPr>
        <w:t>T</w:t>
      </w:r>
      <w:r w:rsidRPr="00ED36AC">
        <w:rPr>
          <w:rFonts w:ascii="Arial" w:hAnsi="Arial" w:cs="Arial"/>
        </w:rPr>
        <w:t>his study developed an inventory of management’s financial knowledge for securing finance for real estate project development</w:t>
      </w:r>
      <w:r>
        <w:rPr>
          <w:rFonts w:ascii="Arial" w:hAnsi="Arial" w:cs="Arial"/>
        </w:rPr>
        <w:t xml:space="preserve"> to </w:t>
      </w:r>
      <w:r w:rsidR="00BE714C" w:rsidRPr="00BE714C">
        <w:rPr>
          <w:rFonts w:ascii="Arial" w:hAnsi="Arial" w:cs="Arial"/>
        </w:rPr>
        <w:t xml:space="preserve">bridge the gap in the knowledge that managers have for securing finance for real estate project development </w:t>
      </w:r>
    </w:p>
    <w:p w14:paraId="6A11D6D7" w14:textId="77777777" w:rsidR="00BE714C" w:rsidRPr="00BE714C" w:rsidRDefault="00BE714C" w:rsidP="00BE714C">
      <w:pPr>
        <w:rPr>
          <w:rFonts w:ascii="Arial" w:hAnsi="Arial" w:cs="Arial"/>
          <w:b/>
        </w:rPr>
      </w:pPr>
      <w:r w:rsidRPr="00BE714C">
        <w:rPr>
          <w:rFonts w:ascii="Arial" w:hAnsi="Arial" w:cs="Arial"/>
          <w:b/>
        </w:rPr>
        <w:t>Competences for securing finance for real estate project development:</w:t>
      </w:r>
    </w:p>
    <w:p w14:paraId="496BF3FC" w14:textId="6EA0CD41" w:rsidR="00BE714C" w:rsidRPr="00BE714C" w:rsidRDefault="00BE714C" w:rsidP="00BE714C">
      <w:pPr>
        <w:spacing w:line="360" w:lineRule="auto"/>
        <w:rPr>
          <w:rFonts w:ascii="Arial" w:hAnsi="Arial" w:cs="Arial"/>
          <w:lang w:val="en-US"/>
        </w:rPr>
      </w:pPr>
      <w:r w:rsidRPr="00BE714C">
        <w:rPr>
          <w:rFonts w:ascii="Arial" w:hAnsi="Arial" w:cs="Arial"/>
          <w:lang w:val="en-US"/>
        </w:rPr>
        <w:t>Comparatively, the competences for securing finance for real estate project development in both the developed and emerging economies are similar</w:t>
      </w:r>
      <w:r w:rsidR="000F2163">
        <w:rPr>
          <w:rFonts w:ascii="Arial" w:hAnsi="Arial" w:cs="Arial"/>
          <w:lang w:val="en-US"/>
        </w:rPr>
        <w:t>,</w:t>
      </w:r>
      <w:r w:rsidRPr="00BE714C">
        <w:rPr>
          <w:rFonts w:ascii="Arial" w:hAnsi="Arial" w:cs="Arial"/>
          <w:lang w:val="en-US"/>
        </w:rPr>
        <w:t xml:space="preserve"> just as in knowledge and skills. The findings from the survey questionnaire show that all nineteen management competences listed in the questionnaire are considered important for securing finance for real estate project development by both managers in the developed and emerging economies at the aggregate </w:t>
      </w:r>
      <w:r w:rsidR="00D36081" w:rsidRPr="00BE714C">
        <w:rPr>
          <w:rFonts w:ascii="Arial" w:hAnsi="Arial" w:cs="Arial"/>
          <w:lang w:val="en-US"/>
        </w:rPr>
        <w:t>level</w:t>
      </w:r>
      <w:r w:rsidR="00B57955">
        <w:rPr>
          <w:rFonts w:ascii="Arial" w:hAnsi="Arial" w:cs="Arial"/>
          <w:lang w:val="en-US"/>
        </w:rPr>
        <w:t xml:space="preserve"> ( see table 8.4.1)</w:t>
      </w:r>
      <w:r w:rsidR="00D36081" w:rsidRPr="00BE714C">
        <w:rPr>
          <w:rFonts w:ascii="Arial" w:hAnsi="Arial" w:cs="Arial"/>
          <w:lang w:val="en-US"/>
        </w:rPr>
        <w:t>.</w:t>
      </w:r>
      <w:r w:rsidRPr="00BE714C">
        <w:rPr>
          <w:rFonts w:ascii="Arial" w:hAnsi="Arial" w:cs="Arial"/>
          <w:lang w:val="en-US"/>
        </w:rPr>
        <w:t xml:space="preserve"> It also shows that the managers indicated a need for some degree of training and education for all nineteen competenc</w:t>
      </w:r>
      <w:r w:rsidR="000F2163">
        <w:rPr>
          <w:rFonts w:ascii="Arial" w:hAnsi="Arial" w:cs="Arial"/>
          <w:lang w:val="en-US"/>
        </w:rPr>
        <w:t>es for the present and future need to secure</w:t>
      </w:r>
      <w:r w:rsidRPr="00BE714C">
        <w:rPr>
          <w:rFonts w:ascii="Arial" w:hAnsi="Arial" w:cs="Arial"/>
          <w:lang w:val="en-US"/>
        </w:rPr>
        <w:t xml:space="preserve"> finance for real estate project development.</w:t>
      </w:r>
    </w:p>
    <w:p w14:paraId="4D7BEA61" w14:textId="59D0082E" w:rsidR="00BE714C" w:rsidRPr="00BE714C" w:rsidRDefault="00BE714C" w:rsidP="00BE714C">
      <w:pPr>
        <w:spacing w:line="360" w:lineRule="auto"/>
        <w:rPr>
          <w:rFonts w:ascii="Arial" w:hAnsi="Arial" w:cs="Arial"/>
          <w:lang w:val="en-US"/>
        </w:rPr>
      </w:pPr>
      <w:r w:rsidRPr="00BE714C">
        <w:rPr>
          <w:rFonts w:ascii="Arial" w:hAnsi="Arial" w:cs="Arial"/>
          <w:lang w:val="en-US"/>
        </w:rPr>
        <w:lastRenderedPageBreak/>
        <w:t>The findings from the semi-structured interviews show some commonalities in competences for securing finance for real estate project development as follows:</w:t>
      </w:r>
    </w:p>
    <w:p w14:paraId="25DB714B" w14:textId="77777777" w:rsidR="00BE714C" w:rsidRPr="00BE714C" w:rsidRDefault="00BE714C" w:rsidP="007625E7">
      <w:pPr>
        <w:numPr>
          <w:ilvl w:val="0"/>
          <w:numId w:val="360"/>
        </w:numPr>
        <w:spacing w:line="360" w:lineRule="auto"/>
        <w:contextualSpacing/>
        <w:rPr>
          <w:rFonts w:ascii="Arial" w:hAnsi="Arial" w:cs="Arial"/>
          <w:lang w:val="en-US"/>
        </w:rPr>
      </w:pPr>
      <w:r w:rsidRPr="00BE714C">
        <w:rPr>
          <w:rFonts w:ascii="Arial" w:hAnsi="Arial" w:cs="Arial"/>
          <w:lang w:val="en-US"/>
        </w:rPr>
        <w:t>Ability to analyze the market</w:t>
      </w:r>
    </w:p>
    <w:p w14:paraId="6E960CDB" w14:textId="77777777" w:rsidR="00BE714C" w:rsidRPr="00BE714C" w:rsidRDefault="00BE714C" w:rsidP="007625E7">
      <w:pPr>
        <w:numPr>
          <w:ilvl w:val="0"/>
          <w:numId w:val="360"/>
        </w:numPr>
        <w:spacing w:line="360" w:lineRule="auto"/>
        <w:contextualSpacing/>
        <w:rPr>
          <w:rFonts w:ascii="Arial" w:hAnsi="Arial" w:cs="Arial"/>
          <w:lang w:val="en-US"/>
        </w:rPr>
      </w:pPr>
      <w:r w:rsidRPr="00BE714C">
        <w:rPr>
          <w:rFonts w:ascii="Arial" w:hAnsi="Arial" w:cs="Arial"/>
          <w:lang w:val="en-US"/>
        </w:rPr>
        <w:t xml:space="preserve">Legal competences </w:t>
      </w:r>
    </w:p>
    <w:p w14:paraId="0D7819C2" w14:textId="77777777" w:rsidR="00BE714C" w:rsidRPr="00BE714C" w:rsidRDefault="00BE714C" w:rsidP="007625E7">
      <w:pPr>
        <w:numPr>
          <w:ilvl w:val="0"/>
          <w:numId w:val="360"/>
        </w:numPr>
        <w:spacing w:line="360" w:lineRule="auto"/>
        <w:contextualSpacing/>
        <w:rPr>
          <w:rFonts w:ascii="Arial" w:hAnsi="Arial" w:cs="Arial"/>
          <w:lang w:val="en-US"/>
        </w:rPr>
      </w:pPr>
      <w:r w:rsidRPr="00BE714C">
        <w:rPr>
          <w:rFonts w:ascii="Arial" w:hAnsi="Arial" w:cs="Arial"/>
          <w:lang w:val="en-US"/>
        </w:rPr>
        <w:t>Sales competences</w:t>
      </w:r>
    </w:p>
    <w:p w14:paraId="5380E60A" w14:textId="77777777" w:rsidR="00BE714C" w:rsidRPr="00BE714C" w:rsidRDefault="00BE714C" w:rsidP="007625E7">
      <w:pPr>
        <w:numPr>
          <w:ilvl w:val="0"/>
          <w:numId w:val="360"/>
        </w:numPr>
        <w:spacing w:line="360" w:lineRule="auto"/>
        <w:contextualSpacing/>
        <w:rPr>
          <w:rFonts w:ascii="Arial" w:hAnsi="Arial" w:cs="Arial"/>
          <w:lang w:val="en-US"/>
        </w:rPr>
      </w:pPr>
      <w:r w:rsidRPr="00BE714C">
        <w:rPr>
          <w:rFonts w:ascii="Arial" w:hAnsi="Arial" w:cs="Arial"/>
          <w:lang w:val="en-US"/>
        </w:rPr>
        <w:t xml:space="preserve">Communication </w:t>
      </w:r>
    </w:p>
    <w:p w14:paraId="1306012D" w14:textId="77777777" w:rsidR="00BE714C" w:rsidRPr="00BE714C" w:rsidRDefault="00BE714C" w:rsidP="007625E7">
      <w:pPr>
        <w:numPr>
          <w:ilvl w:val="0"/>
          <w:numId w:val="360"/>
        </w:numPr>
        <w:spacing w:line="360" w:lineRule="auto"/>
        <w:contextualSpacing/>
        <w:rPr>
          <w:rFonts w:ascii="Arial" w:hAnsi="Arial" w:cs="Arial"/>
          <w:lang w:val="en-US"/>
        </w:rPr>
      </w:pPr>
      <w:r w:rsidRPr="00BE714C">
        <w:rPr>
          <w:rFonts w:ascii="Arial" w:hAnsi="Arial" w:cs="Arial"/>
          <w:lang w:val="en-US"/>
        </w:rPr>
        <w:t>Construction of properties</w:t>
      </w:r>
    </w:p>
    <w:p w14:paraId="6867D245" w14:textId="11DB7AA3" w:rsidR="00BE714C" w:rsidRPr="00BE714C" w:rsidRDefault="000F2163" w:rsidP="00BE714C">
      <w:pPr>
        <w:spacing w:line="360" w:lineRule="auto"/>
        <w:rPr>
          <w:rFonts w:ascii="Arial" w:hAnsi="Arial" w:cs="Arial"/>
          <w:lang w:val="en-US"/>
        </w:rPr>
      </w:pPr>
      <w:r>
        <w:rPr>
          <w:rFonts w:ascii="Arial" w:hAnsi="Arial" w:cs="Arial"/>
          <w:lang w:val="en-US"/>
        </w:rPr>
        <w:t>The</w:t>
      </w:r>
      <w:r w:rsidR="00BE714C" w:rsidRPr="00BE714C">
        <w:rPr>
          <w:rFonts w:ascii="Arial" w:hAnsi="Arial" w:cs="Arial"/>
          <w:lang w:val="en-US"/>
        </w:rPr>
        <w:t xml:space="preserve"> fundamentally differing competences for both regions are financial mode</w:t>
      </w:r>
      <w:r w:rsidR="00223E37">
        <w:rPr>
          <w:rFonts w:ascii="Arial" w:hAnsi="Arial" w:cs="Arial"/>
          <w:lang w:val="en-US"/>
        </w:rPr>
        <w:t>l</w:t>
      </w:r>
      <w:r w:rsidR="00BE714C" w:rsidRPr="00BE714C">
        <w:rPr>
          <w:rFonts w:ascii="Arial" w:hAnsi="Arial" w:cs="Arial"/>
          <w:lang w:val="en-US"/>
        </w:rPr>
        <w:t>ling for the developed economies and networking and retail developments for the emerging economies.</w:t>
      </w:r>
    </w:p>
    <w:p w14:paraId="71FA805F" w14:textId="77777777" w:rsidR="00BE714C" w:rsidRPr="00BE714C" w:rsidRDefault="00BE714C" w:rsidP="00BE714C">
      <w:pPr>
        <w:spacing w:line="360" w:lineRule="auto"/>
        <w:jc w:val="both"/>
        <w:rPr>
          <w:rFonts w:ascii="Arial" w:hAnsi="Arial" w:cs="Arial"/>
        </w:rPr>
      </w:pPr>
      <w:r w:rsidRPr="00BE714C">
        <w:rPr>
          <w:rFonts w:ascii="Arial" w:hAnsi="Arial" w:cs="Arial"/>
        </w:rPr>
        <w:t xml:space="preserve">This research developed an inventory of competences for securing finance for real estate project development based on the findings from this study. The inventory of competences is meant to act as a guide to managers and also as a platform for training and development. It also forms a part of the toolkit for securing finance for real estate project development. </w:t>
      </w:r>
    </w:p>
    <w:p w14:paraId="321BBE83" w14:textId="77777777" w:rsidR="00BE714C" w:rsidRPr="00BE714C" w:rsidRDefault="00BE714C" w:rsidP="00BE714C">
      <w:pPr>
        <w:rPr>
          <w:rFonts w:ascii="Arial" w:hAnsi="Arial" w:cs="Arial"/>
          <w:b/>
        </w:rPr>
      </w:pPr>
      <w:r w:rsidRPr="00BE714C">
        <w:rPr>
          <w:rFonts w:eastAsia="Calibri" w:cs="Arial"/>
          <w:highlight w:val="yellow"/>
          <w:lang w:val="en-US"/>
        </w:rPr>
        <w:br/>
      </w:r>
      <w:r w:rsidRPr="00BE714C">
        <w:rPr>
          <w:rFonts w:ascii="Arial" w:hAnsi="Arial" w:cs="Arial"/>
          <w:b/>
        </w:rPr>
        <w:t>Career path for securing finance for real estate project development:</w:t>
      </w:r>
    </w:p>
    <w:p w14:paraId="6D68871F" w14:textId="28150BEA" w:rsidR="00BE714C" w:rsidRPr="00BE714C" w:rsidRDefault="004A07F1" w:rsidP="00BE714C">
      <w:pPr>
        <w:spacing w:line="360" w:lineRule="auto"/>
        <w:jc w:val="both"/>
        <w:rPr>
          <w:rFonts w:ascii="Arial" w:hAnsi="Arial" w:cs="Arial"/>
        </w:rPr>
      </w:pPr>
      <w:r>
        <w:rPr>
          <w:rFonts w:ascii="Arial" w:eastAsia="Calibri" w:hAnsi="Arial" w:cs="Arial"/>
        </w:rPr>
        <w:t>Despite working in the real estate sector for several years, most of the interviewees and respondents to the questionnaires</w:t>
      </w:r>
      <w:r w:rsidR="00BE714C" w:rsidRPr="00BE714C">
        <w:rPr>
          <w:rFonts w:ascii="Arial" w:eastAsia="Calibri" w:hAnsi="Arial" w:cs="Arial"/>
        </w:rPr>
        <w:t xml:space="preserve"> did not rise to the top in just one organisation. There were cross-organization</w:t>
      </w:r>
      <w:r>
        <w:rPr>
          <w:rFonts w:ascii="Arial" w:eastAsia="Calibri" w:hAnsi="Arial" w:cs="Arial"/>
        </w:rPr>
        <w:t>,</w:t>
      </w:r>
      <w:r w:rsidR="00BE714C" w:rsidRPr="00BE714C">
        <w:rPr>
          <w:rFonts w:ascii="Arial" w:eastAsia="Calibri" w:hAnsi="Arial" w:cs="Arial"/>
        </w:rPr>
        <w:t xml:space="preserve"> and cross-industry rises to the top in their careers. This is indicative of the influence of higher education and training on mobility. Furthermore, the multiple country work experiences of managers in the developed economy also show the effect of socio-economic stability on career mobility. </w:t>
      </w:r>
      <w:r w:rsidR="00BE714C" w:rsidRPr="00BE714C">
        <w:rPr>
          <w:rFonts w:ascii="Arial" w:hAnsi="Arial" w:cs="Arial"/>
        </w:rPr>
        <w:t xml:space="preserve">The managers interviewed in the developed economies are mostly strategic managers </w:t>
      </w:r>
      <w:r>
        <w:rPr>
          <w:rFonts w:ascii="Arial" w:hAnsi="Arial" w:cs="Arial"/>
        </w:rPr>
        <w:t>involved in</w:t>
      </w:r>
      <w:r w:rsidR="00BE714C" w:rsidRPr="00BE714C">
        <w:rPr>
          <w:rFonts w:ascii="Arial" w:hAnsi="Arial" w:cs="Arial"/>
        </w:rPr>
        <w:t xml:space="preserve"> commercial and residential real estate development. They have had an average real estate work experience of 17 years</w:t>
      </w:r>
      <w:r>
        <w:rPr>
          <w:rFonts w:ascii="Arial" w:hAnsi="Arial" w:cs="Arial"/>
        </w:rPr>
        <w:t>,</w:t>
      </w:r>
      <w:r w:rsidR="00BE714C" w:rsidRPr="00BE714C">
        <w:rPr>
          <w:rFonts w:ascii="Arial" w:hAnsi="Arial" w:cs="Arial"/>
        </w:rPr>
        <w:t xml:space="preserve"> with the highest be</w:t>
      </w:r>
      <w:r w:rsidR="007B5FEB">
        <w:rPr>
          <w:rFonts w:ascii="Arial" w:hAnsi="Arial" w:cs="Arial"/>
        </w:rPr>
        <w:t>en</w:t>
      </w:r>
      <w:r w:rsidR="00BE714C" w:rsidRPr="00BE714C">
        <w:rPr>
          <w:rFonts w:ascii="Arial" w:hAnsi="Arial" w:cs="Arial"/>
        </w:rPr>
        <w:t xml:space="preserve">  30 years and the lowest 4 years. The chronological work experience of most of the managers shows a strong finance background as most of them have worked in banks, insurance companies, and pension funds before moving into the real estate sector. Their specialisations range from real estate industry analyst and real estate to pension fund management. </w:t>
      </w:r>
    </w:p>
    <w:p w14:paraId="5E14A0CD" w14:textId="3DC150AF" w:rsidR="00BE714C" w:rsidRPr="00BE714C" w:rsidRDefault="00BE714C" w:rsidP="00BE714C">
      <w:pPr>
        <w:spacing w:line="360" w:lineRule="auto"/>
        <w:jc w:val="both"/>
        <w:rPr>
          <w:rFonts w:ascii="Arial" w:hAnsi="Arial" w:cs="Arial"/>
        </w:rPr>
      </w:pPr>
      <w:r w:rsidRPr="00BE714C">
        <w:rPr>
          <w:rFonts w:ascii="Arial" w:hAnsi="Arial" w:cs="Arial"/>
        </w:rPr>
        <w:t>Most of the managers interviewed in Germany, the United Kingdom, and China have strong finance backgrounds</w:t>
      </w:r>
      <w:r w:rsidR="004A07F1">
        <w:rPr>
          <w:rFonts w:ascii="Arial" w:hAnsi="Arial" w:cs="Arial"/>
        </w:rPr>
        <w:t>. T</w:t>
      </w:r>
      <w:r w:rsidRPr="00BE714C">
        <w:rPr>
          <w:rFonts w:ascii="Arial" w:hAnsi="Arial" w:cs="Arial"/>
        </w:rPr>
        <w:t xml:space="preserve">hey have worked in managerial levels in the finance sectors before taking on real estate and properties. Furthermore, most of the managers interviewed in Germany, the United Kingdom, the United States of America and China have international real estate experience as they have worked in other </w:t>
      </w:r>
      <w:r w:rsidR="002C743D" w:rsidRPr="00BE714C">
        <w:rPr>
          <w:rFonts w:ascii="Arial" w:hAnsi="Arial" w:cs="Arial"/>
        </w:rPr>
        <w:t>countries,</w:t>
      </w:r>
      <w:r w:rsidRPr="00BE714C">
        <w:rPr>
          <w:rFonts w:ascii="Arial" w:hAnsi="Arial" w:cs="Arial"/>
        </w:rPr>
        <w:t xml:space="preserve"> and some have subsidiaries of the companies they are actively involved in different countries and continents.</w:t>
      </w:r>
    </w:p>
    <w:p w14:paraId="5869D215" w14:textId="28C45C5E" w:rsidR="00BE714C" w:rsidRPr="00BE714C" w:rsidRDefault="00BE714C" w:rsidP="00BE714C">
      <w:pPr>
        <w:spacing w:line="360" w:lineRule="auto"/>
        <w:jc w:val="both"/>
        <w:rPr>
          <w:rFonts w:ascii="Arial" w:hAnsi="Arial" w:cs="Arial"/>
        </w:rPr>
      </w:pPr>
      <w:r w:rsidRPr="00BE714C">
        <w:rPr>
          <w:rFonts w:ascii="Arial" w:hAnsi="Arial" w:cs="Arial"/>
        </w:rPr>
        <w:t xml:space="preserve">The managers interviewed for the emerging economies </w:t>
      </w:r>
      <w:r w:rsidR="004A07F1">
        <w:rPr>
          <w:rFonts w:ascii="Arial" w:hAnsi="Arial" w:cs="Arial"/>
        </w:rPr>
        <w:t>mainly were</w:t>
      </w:r>
      <w:r w:rsidRPr="00BE714C">
        <w:rPr>
          <w:rFonts w:ascii="Arial" w:hAnsi="Arial" w:cs="Arial"/>
        </w:rPr>
        <w:t xml:space="preserve"> strategic managers with a few middle level and lower-level managers. They have</w:t>
      </w:r>
      <w:r w:rsidR="004A07F1">
        <w:rPr>
          <w:rFonts w:ascii="Arial" w:hAnsi="Arial" w:cs="Arial"/>
        </w:rPr>
        <w:t>,</w:t>
      </w:r>
      <w:r w:rsidRPr="00BE714C">
        <w:rPr>
          <w:rFonts w:ascii="Arial" w:hAnsi="Arial" w:cs="Arial"/>
        </w:rPr>
        <w:t xml:space="preserve"> on average</w:t>
      </w:r>
      <w:r w:rsidR="004A07F1">
        <w:rPr>
          <w:rFonts w:ascii="Arial" w:hAnsi="Arial" w:cs="Arial"/>
        </w:rPr>
        <w:t>,</w:t>
      </w:r>
      <w:r w:rsidRPr="00BE714C">
        <w:rPr>
          <w:rFonts w:ascii="Arial" w:hAnsi="Arial" w:cs="Arial"/>
        </w:rPr>
        <w:t xml:space="preserve"> 16 years of work </w:t>
      </w:r>
      <w:r w:rsidRPr="00BE714C">
        <w:rPr>
          <w:rFonts w:ascii="Arial" w:hAnsi="Arial" w:cs="Arial"/>
        </w:rPr>
        <w:lastRenderedPageBreak/>
        <w:t>experience</w:t>
      </w:r>
      <w:r w:rsidR="004A07F1">
        <w:rPr>
          <w:rFonts w:ascii="Arial" w:hAnsi="Arial" w:cs="Arial"/>
        </w:rPr>
        <w:t>,</w:t>
      </w:r>
      <w:r w:rsidRPr="00BE714C">
        <w:rPr>
          <w:rFonts w:ascii="Arial" w:hAnsi="Arial" w:cs="Arial"/>
        </w:rPr>
        <w:t xml:space="preserve"> with the lowest being 6 years and the highest 30 years. The areas of operation in the real estate sector for most of the managers interviewed in China are commercial and residential. While South Africa has a few combinations of commercial and residential with the majority being residential, all the managers interviewed in Nigeria are involved in residential real estate development.</w:t>
      </w:r>
    </w:p>
    <w:p w14:paraId="6EAD41E6" w14:textId="19B87CF3" w:rsidR="00BE714C" w:rsidRPr="00BE714C" w:rsidRDefault="00BE714C" w:rsidP="00BE714C">
      <w:pPr>
        <w:spacing w:line="360" w:lineRule="auto"/>
        <w:jc w:val="both"/>
        <w:rPr>
          <w:rFonts w:ascii="Arial" w:hAnsi="Arial" w:cs="Arial"/>
        </w:rPr>
      </w:pPr>
      <w:r w:rsidRPr="00BE714C">
        <w:rPr>
          <w:rFonts w:ascii="Arial" w:hAnsi="Arial" w:cs="Arial"/>
        </w:rPr>
        <w:t xml:space="preserve">The managers interviewed in China have lots of international experience, just like the managers of the developed economies. </w:t>
      </w:r>
      <w:r w:rsidR="002C743D" w:rsidRPr="00BE714C">
        <w:rPr>
          <w:rFonts w:ascii="Arial" w:hAnsi="Arial" w:cs="Arial"/>
        </w:rPr>
        <w:t>However, the</w:t>
      </w:r>
      <w:r w:rsidRPr="00BE714C">
        <w:rPr>
          <w:rFonts w:ascii="Arial" w:hAnsi="Arial" w:cs="Arial"/>
        </w:rPr>
        <w:t xml:space="preserve"> managers interviewed in South Africa and Nigeria have been involved in mostly regional country</w:t>
      </w:r>
      <w:r w:rsidR="00F61FC2">
        <w:rPr>
          <w:rFonts w:ascii="Arial" w:hAnsi="Arial" w:cs="Arial"/>
        </w:rPr>
        <w:t>-</w:t>
      </w:r>
      <w:r w:rsidRPr="00BE714C">
        <w:rPr>
          <w:rFonts w:ascii="Arial" w:hAnsi="Arial" w:cs="Arial"/>
        </w:rPr>
        <w:t xml:space="preserve">based operations and, apart from one Nigerian manager who has marginal operations in Dubai, have no international real estate business operations.   The professional background of the managers interviewed in China reflects a good composition of finance, property investment, and management. The professional background of managers interviewed in South Africa indicates project finance, risks management and property development. However, the </w:t>
      </w:r>
      <w:r w:rsidR="004A07F1">
        <w:rPr>
          <w:rFonts w:ascii="Arial" w:hAnsi="Arial" w:cs="Arial"/>
        </w:rPr>
        <w:t>managers' professional backgrounds in Nigeria mostly reflect</w:t>
      </w:r>
      <w:r w:rsidRPr="00BE714C">
        <w:rPr>
          <w:rFonts w:ascii="Arial" w:hAnsi="Arial" w:cs="Arial"/>
        </w:rPr>
        <w:t xml:space="preserve"> hard skills such as architecture, construction and real estate development.  While managers operating in Nigeria, South Africa, and the United States have more country-based experiences, a few managers in the United States of America have experiences operating in other countries. Notably,  the US is already a very large market; hence some operators do not need to extend to other countries.</w:t>
      </w:r>
    </w:p>
    <w:p w14:paraId="07C5FF55" w14:textId="16AF5A3F" w:rsidR="00BE714C" w:rsidRPr="00BE714C" w:rsidRDefault="00BE714C" w:rsidP="00BE714C">
      <w:pPr>
        <w:spacing w:line="360" w:lineRule="auto"/>
        <w:jc w:val="both"/>
        <w:rPr>
          <w:rFonts w:ascii="Arial" w:hAnsi="Arial" w:cs="Arial"/>
        </w:rPr>
      </w:pPr>
      <w:r w:rsidRPr="00BE714C">
        <w:rPr>
          <w:rFonts w:ascii="Arial" w:hAnsi="Arial" w:cs="Arial"/>
        </w:rPr>
        <w:t xml:space="preserve">This study developed a conceptual framework for </w:t>
      </w:r>
      <w:r w:rsidR="00223E37">
        <w:rPr>
          <w:rFonts w:ascii="Arial" w:hAnsi="Arial" w:cs="Arial"/>
        </w:rPr>
        <w:t xml:space="preserve">a </w:t>
      </w:r>
      <w:r w:rsidRPr="00BE714C">
        <w:rPr>
          <w:rFonts w:ascii="Arial" w:hAnsi="Arial" w:cs="Arial"/>
        </w:rPr>
        <w:t>career path for securing finance for real estate project development which also forms part of the toolkit for securing finance for real estate project development.</w:t>
      </w:r>
    </w:p>
    <w:p w14:paraId="51E10D36" w14:textId="77777777" w:rsidR="00BE714C" w:rsidRPr="00BE714C" w:rsidRDefault="00BE714C" w:rsidP="00BE714C">
      <w:pPr>
        <w:rPr>
          <w:rFonts w:ascii="Arial" w:hAnsi="Arial" w:cs="Arial"/>
          <w:b/>
        </w:rPr>
      </w:pPr>
      <w:r w:rsidRPr="00BE714C">
        <w:rPr>
          <w:rFonts w:ascii="Arial" w:hAnsi="Arial" w:cs="Arial"/>
          <w:b/>
        </w:rPr>
        <w:t>Education and training for securing finance for real estate project development:</w:t>
      </w:r>
    </w:p>
    <w:p w14:paraId="41C4A656" w14:textId="34354EED" w:rsidR="00BE714C" w:rsidRPr="00BE714C" w:rsidRDefault="00BE714C" w:rsidP="00BE714C">
      <w:pPr>
        <w:spacing w:line="360" w:lineRule="auto"/>
        <w:jc w:val="both"/>
        <w:rPr>
          <w:rFonts w:ascii="Arial" w:eastAsia="Calibri" w:hAnsi="Arial" w:cs="Arial"/>
        </w:rPr>
      </w:pPr>
      <w:r w:rsidRPr="00BE714C">
        <w:rPr>
          <w:rFonts w:ascii="Arial" w:eastAsia="Calibri" w:hAnsi="Arial" w:cs="Arial"/>
        </w:rPr>
        <w:t>A distinct commonality in both the developed and the emerging economies shows that they both have similar levels of education and similar platforms for training and education. The levels of education in this regard include first degrees, higher degrees such as MSc, MA, MBA, and PhDs</w:t>
      </w:r>
      <w:r w:rsidR="004A07F1">
        <w:rPr>
          <w:rFonts w:ascii="Arial" w:eastAsia="Calibri" w:hAnsi="Arial" w:cs="Arial"/>
        </w:rPr>
        <w:t>, and</w:t>
      </w:r>
      <w:r w:rsidRPr="00BE714C">
        <w:rPr>
          <w:rFonts w:ascii="Arial" w:eastAsia="Calibri" w:hAnsi="Arial" w:cs="Arial"/>
        </w:rPr>
        <w:t xml:space="preserve"> membership of professional institutions both by examination and associations. The commonality of similar platforms for training and education for both the developed and emerging economies shows that they both use platforms such as classroom instruction led training for short periods (offered by consultants), company-specific courses targeted at securing financing skills &amp; knowledge,  computer-based training, conferences and seminars, continuing professional development, executive MBA with classes on a part-time basis, external training,  learning by holding meetings with experts, online and tutorial, usage of formal qualification, utilisation of internal programs and instructors.</w:t>
      </w:r>
    </w:p>
    <w:p w14:paraId="302E034A" w14:textId="27B8BAF3" w:rsidR="00BE714C" w:rsidRPr="00BE714C" w:rsidRDefault="00BE714C" w:rsidP="00BE714C">
      <w:pPr>
        <w:spacing w:line="360" w:lineRule="auto"/>
        <w:jc w:val="both"/>
        <w:rPr>
          <w:rFonts w:ascii="Arial" w:eastAsia="Calibri" w:hAnsi="Arial" w:cs="Arial"/>
        </w:rPr>
      </w:pPr>
      <w:r w:rsidRPr="00BE714C">
        <w:rPr>
          <w:rFonts w:ascii="Arial" w:eastAsia="Calibri" w:hAnsi="Arial" w:cs="Arial"/>
        </w:rPr>
        <w:t xml:space="preserve">The findings from the questionnaire survey show that managers in both the developed and emerging economies use the twelve approaches to training and education for securing finance </w:t>
      </w:r>
      <w:r w:rsidRPr="00BE714C">
        <w:rPr>
          <w:rFonts w:ascii="Arial" w:eastAsia="Calibri" w:hAnsi="Arial" w:cs="Arial"/>
        </w:rPr>
        <w:lastRenderedPageBreak/>
        <w:t xml:space="preserve">for real estate project development mentioned in the questionnaire survey. The responses also show the degree of perceived importance of those approaches on their present jobs and the future (next 5years). </w:t>
      </w:r>
    </w:p>
    <w:p w14:paraId="704103BF" w14:textId="77777777" w:rsidR="00BE714C" w:rsidRPr="00BE714C" w:rsidRDefault="00BE714C" w:rsidP="00BE714C">
      <w:pPr>
        <w:spacing w:line="360" w:lineRule="auto"/>
        <w:jc w:val="both"/>
        <w:rPr>
          <w:rFonts w:ascii="Arial" w:eastAsia="Calibri" w:hAnsi="Arial" w:cs="Arial"/>
        </w:rPr>
      </w:pPr>
      <w:r w:rsidRPr="00BE714C">
        <w:rPr>
          <w:rFonts w:ascii="Arial" w:eastAsia="Calibri" w:hAnsi="Arial" w:cs="Arial"/>
        </w:rPr>
        <w:t>There is no clear divide on the approaches for training and education for the developed and emerging economies based on the survey questionnaire. However, continuing professional development and computer-based training ranks top for both the developed and emerging economies.</w:t>
      </w:r>
    </w:p>
    <w:p w14:paraId="0939BCBD" w14:textId="2FF4A30C" w:rsidR="00BE714C" w:rsidRPr="00BE714C" w:rsidRDefault="00BE714C" w:rsidP="00BE714C">
      <w:pPr>
        <w:spacing w:line="360" w:lineRule="auto"/>
        <w:jc w:val="both"/>
        <w:rPr>
          <w:rFonts w:ascii="Arial" w:eastAsia="Calibri" w:hAnsi="Arial" w:cs="Arial"/>
        </w:rPr>
      </w:pPr>
      <w:r w:rsidRPr="00BE714C">
        <w:rPr>
          <w:rFonts w:ascii="Arial" w:eastAsia="Calibri" w:hAnsi="Arial" w:cs="Arial"/>
        </w:rPr>
        <w:t xml:space="preserve">The semi-structured interviews show that </w:t>
      </w:r>
      <w:r w:rsidR="004A07F1">
        <w:rPr>
          <w:rFonts w:ascii="Arial" w:eastAsia="Calibri" w:hAnsi="Arial" w:cs="Arial"/>
        </w:rPr>
        <w:t>experience, seminars, and on-the-job training are common approaches for training on securing finance for real estate project development in both</w:t>
      </w:r>
      <w:r w:rsidRPr="00BE714C">
        <w:rPr>
          <w:rFonts w:ascii="Arial" w:eastAsia="Calibri" w:hAnsi="Arial" w:cs="Arial"/>
        </w:rPr>
        <w:t xml:space="preserve"> developed and emerging economies. The differences in education and training approaches used by managers in the developed and emerging economies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290"/>
      </w:tblGrid>
      <w:tr w:rsidR="00BE714C" w:rsidRPr="00BE714C" w14:paraId="2A20DF12" w14:textId="77777777" w:rsidTr="00AD1306">
        <w:tc>
          <w:tcPr>
            <w:tcW w:w="0" w:type="auto"/>
          </w:tcPr>
          <w:p w14:paraId="070A4600" w14:textId="77777777" w:rsidR="00BE714C" w:rsidRPr="00BE714C" w:rsidRDefault="00BE714C" w:rsidP="00BE714C">
            <w:pPr>
              <w:jc w:val="both"/>
              <w:rPr>
                <w:rFonts w:ascii="Arial" w:eastAsia="Calibri" w:hAnsi="Arial" w:cs="Arial"/>
                <w:b/>
              </w:rPr>
            </w:pPr>
            <w:r w:rsidRPr="00BE714C">
              <w:rPr>
                <w:rFonts w:ascii="Arial" w:eastAsia="Calibri" w:hAnsi="Arial" w:cs="Arial"/>
                <w:b/>
              </w:rPr>
              <w:t>Developed economies</w:t>
            </w:r>
          </w:p>
        </w:tc>
        <w:tc>
          <w:tcPr>
            <w:tcW w:w="0" w:type="auto"/>
          </w:tcPr>
          <w:p w14:paraId="302C2F57" w14:textId="77777777" w:rsidR="00BE714C" w:rsidRPr="00BE714C" w:rsidRDefault="00BE714C" w:rsidP="00BE714C">
            <w:pPr>
              <w:jc w:val="both"/>
              <w:rPr>
                <w:rFonts w:ascii="Arial" w:eastAsia="Calibri" w:hAnsi="Arial" w:cs="Arial"/>
                <w:b/>
              </w:rPr>
            </w:pPr>
            <w:r w:rsidRPr="00BE714C">
              <w:rPr>
                <w:rFonts w:ascii="Arial" w:eastAsia="Calibri" w:hAnsi="Arial" w:cs="Arial"/>
                <w:b/>
              </w:rPr>
              <w:t xml:space="preserve">Emerging economies </w:t>
            </w:r>
          </w:p>
        </w:tc>
      </w:tr>
      <w:tr w:rsidR="00BE714C" w:rsidRPr="00BE714C" w14:paraId="17FCA5E9" w14:textId="77777777" w:rsidTr="00AD1306">
        <w:tc>
          <w:tcPr>
            <w:tcW w:w="0" w:type="auto"/>
          </w:tcPr>
          <w:p w14:paraId="4A1A6D6F"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Academic research</w:t>
            </w:r>
          </w:p>
          <w:p w14:paraId="72E5287E"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 xml:space="preserve">Classroom-based training with consultants </w:t>
            </w:r>
          </w:p>
          <w:p w14:paraId="5C4F5C90"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Internship with banks</w:t>
            </w:r>
          </w:p>
          <w:p w14:paraId="6B9EE4A4"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Market briefings</w:t>
            </w:r>
          </w:p>
          <w:p w14:paraId="49B649BC"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Professional qualification from RICS</w:t>
            </w:r>
          </w:p>
          <w:p w14:paraId="71378956"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 xml:space="preserve">Seminars </w:t>
            </w:r>
          </w:p>
          <w:p w14:paraId="7A9C927D"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Usage of external advisers</w:t>
            </w:r>
          </w:p>
          <w:p w14:paraId="63ACB520" w14:textId="77777777" w:rsidR="00BE714C" w:rsidRPr="00BE714C" w:rsidRDefault="00BE714C" w:rsidP="007625E7">
            <w:pPr>
              <w:numPr>
                <w:ilvl w:val="0"/>
                <w:numId w:val="361"/>
              </w:numPr>
              <w:spacing w:after="0" w:line="240" w:lineRule="auto"/>
              <w:jc w:val="both"/>
              <w:rPr>
                <w:rFonts w:ascii="Arial" w:eastAsia="Calibri" w:hAnsi="Arial" w:cs="Arial"/>
              </w:rPr>
            </w:pPr>
            <w:r w:rsidRPr="00BE714C">
              <w:rPr>
                <w:rFonts w:ascii="Arial" w:eastAsia="Calibri" w:hAnsi="Arial" w:cs="Arial"/>
              </w:rPr>
              <w:t>Workshops</w:t>
            </w:r>
          </w:p>
          <w:p w14:paraId="73AD863B" w14:textId="77777777" w:rsidR="00BE714C" w:rsidRPr="00BE714C" w:rsidRDefault="00BE714C" w:rsidP="00BE714C">
            <w:pPr>
              <w:ind w:left="720"/>
              <w:jc w:val="both"/>
              <w:rPr>
                <w:rFonts w:ascii="Arial" w:eastAsia="Calibri" w:hAnsi="Arial" w:cs="Arial"/>
              </w:rPr>
            </w:pPr>
          </w:p>
        </w:tc>
        <w:tc>
          <w:tcPr>
            <w:tcW w:w="0" w:type="auto"/>
          </w:tcPr>
          <w:p w14:paraId="63037E11" w14:textId="77777777" w:rsidR="00BE714C" w:rsidRPr="00BE714C" w:rsidRDefault="00BE714C" w:rsidP="007625E7">
            <w:pPr>
              <w:numPr>
                <w:ilvl w:val="0"/>
                <w:numId w:val="362"/>
              </w:numPr>
              <w:spacing w:after="0" w:line="240" w:lineRule="auto"/>
              <w:jc w:val="both"/>
              <w:rPr>
                <w:rFonts w:ascii="Arial" w:eastAsia="Calibri" w:hAnsi="Arial" w:cs="Arial"/>
              </w:rPr>
            </w:pPr>
            <w:r w:rsidRPr="00BE714C">
              <w:rPr>
                <w:rFonts w:ascii="Arial" w:eastAsia="Calibri" w:hAnsi="Arial" w:cs="Arial"/>
              </w:rPr>
              <w:t>Business development courses</w:t>
            </w:r>
          </w:p>
          <w:p w14:paraId="18083D1A" w14:textId="77777777" w:rsidR="00BE714C" w:rsidRPr="00BE714C" w:rsidRDefault="00BE714C" w:rsidP="007625E7">
            <w:pPr>
              <w:numPr>
                <w:ilvl w:val="0"/>
                <w:numId w:val="362"/>
              </w:numPr>
              <w:spacing w:after="0" w:line="240" w:lineRule="auto"/>
              <w:jc w:val="both"/>
              <w:rPr>
                <w:rFonts w:ascii="Arial" w:eastAsia="Calibri" w:hAnsi="Arial" w:cs="Arial"/>
              </w:rPr>
            </w:pPr>
            <w:r w:rsidRPr="00BE714C">
              <w:rPr>
                <w:rFonts w:ascii="Arial" w:eastAsia="Calibri" w:hAnsi="Arial" w:cs="Arial"/>
              </w:rPr>
              <w:t>Experience in real estate and finance</w:t>
            </w:r>
          </w:p>
          <w:p w14:paraId="0F1CC9A4" w14:textId="77777777" w:rsidR="00BE714C" w:rsidRPr="00BE714C" w:rsidRDefault="00BE714C" w:rsidP="007625E7">
            <w:pPr>
              <w:numPr>
                <w:ilvl w:val="0"/>
                <w:numId w:val="362"/>
              </w:numPr>
              <w:spacing w:after="0" w:line="240" w:lineRule="auto"/>
              <w:jc w:val="both"/>
              <w:rPr>
                <w:rFonts w:ascii="Arial" w:eastAsia="Calibri" w:hAnsi="Arial" w:cs="Arial"/>
              </w:rPr>
            </w:pPr>
            <w:r w:rsidRPr="00BE714C">
              <w:rPr>
                <w:rFonts w:ascii="Arial" w:eastAsia="Calibri" w:hAnsi="Arial" w:cs="Arial"/>
              </w:rPr>
              <w:t>In-house training</w:t>
            </w:r>
          </w:p>
          <w:p w14:paraId="5E705F16" w14:textId="77777777" w:rsidR="00BE714C" w:rsidRPr="00BE714C" w:rsidRDefault="00BE714C" w:rsidP="007625E7">
            <w:pPr>
              <w:numPr>
                <w:ilvl w:val="0"/>
                <w:numId w:val="362"/>
              </w:numPr>
              <w:spacing w:after="0" w:line="240" w:lineRule="auto"/>
              <w:jc w:val="both"/>
              <w:rPr>
                <w:rFonts w:ascii="Arial" w:eastAsia="Calibri" w:hAnsi="Arial" w:cs="Arial"/>
              </w:rPr>
            </w:pPr>
            <w:r w:rsidRPr="00BE714C">
              <w:rPr>
                <w:rFonts w:ascii="Arial" w:eastAsia="Calibri" w:hAnsi="Arial" w:cs="Arial"/>
              </w:rPr>
              <w:t xml:space="preserve">Training in project management </w:t>
            </w:r>
          </w:p>
        </w:tc>
      </w:tr>
    </w:tbl>
    <w:p w14:paraId="5275AA18" w14:textId="77777777" w:rsidR="00BE714C" w:rsidRPr="00BE714C" w:rsidRDefault="00BE714C" w:rsidP="00BE714C">
      <w:pPr>
        <w:spacing w:line="360" w:lineRule="auto"/>
        <w:rPr>
          <w:rFonts w:ascii="Arial" w:hAnsi="Arial" w:cs="Arial"/>
        </w:rPr>
      </w:pPr>
      <w:r w:rsidRPr="00BE714C">
        <w:rPr>
          <w:rFonts w:ascii="Arial" w:hAnsi="Arial" w:cs="Arial"/>
        </w:rPr>
        <w:t>This study developed a conceptual framework for training and education for securing finance for real estate project development which forms a part of the toolkit for securing finance for real estate project development.</w:t>
      </w:r>
    </w:p>
    <w:p w14:paraId="070B3B61" w14:textId="77777777" w:rsidR="00BE714C" w:rsidRPr="00BE714C" w:rsidRDefault="00BE714C" w:rsidP="00BE714C">
      <w:pPr>
        <w:spacing w:line="360" w:lineRule="auto"/>
        <w:jc w:val="both"/>
        <w:rPr>
          <w:rFonts w:ascii="Arial" w:eastAsia="Calibri" w:hAnsi="Arial" w:cs="Arial"/>
          <w:highlight w:val="yellow"/>
        </w:rPr>
      </w:pPr>
    </w:p>
    <w:p w14:paraId="6746DA41" w14:textId="77777777" w:rsidR="00B55B68" w:rsidRDefault="00BE714C" w:rsidP="00B55B68">
      <w:pPr>
        <w:rPr>
          <w:rFonts w:ascii="Arial" w:hAnsi="Arial" w:cs="Arial"/>
          <w:b/>
          <w:i/>
          <w:iCs/>
        </w:rPr>
      </w:pPr>
      <w:r w:rsidRPr="00BE714C">
        <w:rPr>
          <w:rFonts w:ascii="Arial" w:hAnsi="Arial" w:cs="Arial"/>
          <w:b/>
          <w:i/>
          <w:iCs/>
        </w:rPr>
        <w:t xml:space="preserve">Research objective five: </w:t>
      </w:r>
      <w:r w:rsidR="00B55B68" w:rsidRPr="00B55B68">
        <w:rPr>
          <w:rFonts w:ascii="Arial" w:hAnsi="Arial" w:cs="Arial"/>
          <w:b/>
          <w:i/>
          <w:iCs/>
        </w:rPr>
        <w:t>To integrate the different components of the tool kit for securing finance for real estate project development.</w:t>
      </w:r>
    </w:p>
    <w:p w14:paraId="58270833" w14:textId="3F65D104" w:rsidR="00BE714C" w:rsidRPr="00BE714C" w:rsidRDefault="00BE714C" w:rsidP="00B55B68">
      <w:pPr>
        <w:rPr>
          <w:rFonts w:ascii="Arial" w:hAnsi="Arial" w:cs="Arial"/>
        </w:rPr>
      </w:pPr>
      <w:r w:rsidRPr="00BE714C">
        <w:rPr>
          <w:rFonts w:ascii="Arial" w:hAnsi="Arial" w:cs="Arial"/>
        </w:rPr>
        <w:t>The toolkit fulfilled the primary aim of this research</w:t>
      </w:r>
      <w:r w:rsidR="004A07F1">
        <w:rPr>
          <w:rFonts w:ascii="Arial" w:hAnsi="Arial" w:cs="Arial"/>
        </w:rPr>
        <w:t>:</w:t>
      </w:r>
      <w:r w:rsidRPr="00BE714C">
        <w:rPr>
          <w:rFonts w:ascii="Arial" w:hAnsi="Arial" w:cs="Arial"/>
        </w:rPr>
        <w:t xml:space="preserve"> to develop a toolkit for securing finance for real estate project development. The toolkit is to assist the manager in the real estate sector in planning the process of securing finance for real estate project development. It is also to act as a guide when </w:t>
      </w:r>
      <w:r w:rsidR="004A07F1">
        <w:rPr>
          <w:rFonts w:ascii="Arial" w:hAnsi="Arial" w:cs="Arial"/>
        </w:rPr>
        <w:t>securing finance for the project has commenced and</w:t>
      </w:r>
      <w:r w:rsidRPr="00BE714C">
        <w:rPr>
          <w:rFonts w:ascii="Arial" w:hAnsi="Arial" w:cs="Arial"/>
        </w:rPr>
        <w:t xml:space="preserve"> a guide for training and education.</w:t>
      </w:r>
    </w:p>
    <w:p w14:paraId="45F856FF" w14:textId="50E5FC6C" w:rsidR="00BE714C" w:rsidRDefault="00BE714C" w:rsidP="00BE714C">
      <w:pPr>
        <w:spacing w:line="360" w:lineRule="auto"/>
        <w:jc w:val="both"/>
        <w:rPr>
          <w:rFonts w:ascii="Arial" w:hAnsi="Arial" w:cs="Arial"/>
        </w:rPr>
      </w:pPr>
      <w:r w:rsidRPr="00BE714C">
        <w:rPr>
          <w:rFonts w:ascii="Arial" w:hAnsi="Arial" w:cs="Arial"/>
        </w:rPr>
        <w:t xml:space="preserve">Six major stages were developed as part of the tool kit. Consequently, the toolkit is a composition of the inventory of finance options and criteria, environmental scan, process map, skills, knowledge &amp; competences, </w:t>
      </w:r>
      <w:r w:rsidR="00180BEC">
        <w:rPr>
          <w:rFonts w:ascii="Arial" w:hAnsi="Arial" w:cs="Arial"/>
        </w:rPr>
        <w:t xml:space="preserve">the </w:t>
      </w:r>
      <w:r w:rsidRPr="00BE714C">
        <w:rPr>
          <w:rFonts w:ascii="Arial" w:hAnsi="Arial" w:cs="Arial"/>
        </w:rPr>
        <w:t xml:space="preserve">conceptual framework for career path and conceptual framework for training </w:t>
      </w:r>
      <w:r w:rsidR="00E50E92" w:rsidRPr="00BE714C">
        <w:rPr>
          <w:rFonts w:ascii="Arial" w:hAnsi="Arial" w:cs="Arial"/>
        </w:rPr>
        <w:t>and education</w:t>
      </w:r>
      <w:r w:rsidRPr="00BE714C">
        <w:rPr>
          <w:rFonts w:ascii="Arial" w:hAnsi="Arial" w:cs="Arial"/>
        </w:rPr>
        <w:t xml:space="preserve"> for securing finance for real estate project development. The toolkit can be adapted </w:t>
      </w:r>
      <w:r w:rsidR="00E50E92" w:rsidRPr="00BE714C">
        <w:rPr>
          <w:rFonts w:ascii="Arial" w:hAnsi="Arial" w:cs="Arial"/>
        </w:rPr>
        <w:t>for both</w:t>
      </w:r>
      <w:r w:rsidRPr="00BE714C">
        <w:rPr>
          <w:rFonts w:ascii="Arial" w:hAnsi="Arial" w:cs="Arial"/>
        </w:rPr>
        <w:t xml:space="preserve"> the developed and emerging economies</w:t>
      </w:r>
      <w:r w:rsidR="004A07F1">
        <w:rPr>
          <w:rFonts w:ascii="Arial" w:hAnsi="Arial" w:cs="Arial"/>
        </w:rPr>
        <w:t>. I</w:t>
      </w:r>
      <w:r w:rsidRPr="00BE714C">
        <w:rPr>
          <w:rFonts w:ascii="Arial" w:hAnsi="Arial" w:cs="Arial"/>
        </w:rPr>
        <w:t xml:space="preserve">t is a useful </w:t>
      </w:r>
      <w:r w:rsidRPr="00BE714C">
        <w:rPr>
          <w:rFonts w:ascii="Arial" w:hAnsi="Arial" w:cs="Arial"/>
        </w:rPr>
        <w:lastRenderedPageBreak/>
        <w:t>guide for training and education for the real estate manager involved with securing finance for real estate project development.</w:t>
      </w:r>
    </w:p>
    <w:p w14:paraId="553520B5" w14:textId="43E186A6" w:rsidR="002777D4" w:rsidRDefault="002777D4" w:rsidP="00CD6352">
      <w:pPr>
        <w:pStyle w:val="Heading2"/>
        <w:spacing w:after="240"/>
      </w:pPr>
      <w:bookmarkStart w:id="1484" w:name="_Toc78983943"/>
      <w:r>
        <w:t>Contribution of the research</w:t>
      </w:r>
      <w:bookmarkEnd w:id="1484"/>
    </w:p>
    <w:p w14:paraId="0B315B19" w14:textId="77777777" w:rsidR="002777D4" w:rsidRPr="007625E7" w:rsidRDefault="002777D4" w:rsidP="007625E7">
      <w:pPr>
        <w:spacing w:line="360" w:lineRule="auto"/>
        <w:rPr>
          <w:rFonts w:ascii="Arial" w:hAnsi="Arial" w:cs="Arial"/>
        </w:rPr>
      </w:pPr>
      <w:r w:rsidRPr="007625E7">
        <w:rPr>
          <w:rFonts w:ascii="Arial" w:hAnsi="Arial" w:cs="Arial"/>
        </w:rPr>
        <w:t xml:space="preserve">This study will contribute to both theoretical and practical bodies of knowledge. </w:t>
      </w:r>
    </w:p>
    <w:p w14:paraId="7F808D3E" w14:textId="77777777" w:rsidR="002777D4" w:rsidRPr="007625E7" w:rsidRDefault="002777D4" w:rsidP="007625E7">
      <w:pPr>
        <w:spacing w:line="360" w:lineRule="auto"/>
        <w:rPr>
          <w:rFonts w:ascii="Arial" w:hAnsi="Arial" w:cs="Arial"/>
          <w:b/>
        </w:rPr>
      </w:pPr>
      <w:r w:rsidRPr="007625E7">
        <w:rPr>
          <w:rFonts w:ascii="Arial" w:hAnsi="Arial" w:cs="Arial"/>
          <w:b/>
        </w:rPr>
        <w:t>Main contribution/ Contribution to the theoretical and practical body of knowledge:</w:t>
      </w:r>
    </w:p>
    <w:p w14:paraId="01B78873" w14:textId="33F6DEA8" w:rsidR="002777D4" w:rsidRPr="007625E7" w:rsidRDefault="002777D4" w:rsidP="007625E7">
      <w:pPr>
        <w:spacing w:line="360" w:lineRule="auto"/>
        <w:rPr>
          <w:rFonts w:ascii="Arial" w:hAnsi="Arial" w:cs="Arial"/>
        </w:rPr>
      </w:pPr>
      <w:r w:rsidRPr="007625E7">
        <w:rPr>
          <w:rFonts w:ascii="Arial" w:hAnsi="Arial" w:cs="Arial"/>
        </w:rPr>
        <w:t>This study's main contribution to theoretical and practical bodies of knowledge is the development of a toolkit for securing finance for real estate project development. This toolkit will act as a support for managers in obtaining finance for real estate project development. The study also proves that finance theories, such as the pecking order theory, market capital timing theory, and trade-off theories, are relevant to understanding the manager’s responsibility to secure finance for real estate project development. The findings show that capital acquisition for real estate sector project development is first internally generated funds and debt before issuance of equity. These findings are in line with the Pecking order theory</w:t>
      </w:r>
      <w:r w:rsidR="0063658B">
        <w:rPr>
          <w:rFonts w:ascii="Arial" w:hAnsi="Arial" w:cs="Arial"/>
        </w:rPr>
        <w:t xml:space="preserve">. </w:t>
      </w:r>
      <w:r w:rsidRPr="007625E7">
        <w:rPr>
          <w:rFonts w:ascii="Arial" w:hAnsi="Arial" w:cs="Arial"/>
        </w:rPr>
        <w:t xml:space="preserve">The results also show that the managers use cost-benefit analysis to determine the source of capital to employ for real estate project development depending on the option that optimises value, which is an application of the trade-off theory. </w:t>
      </w:r>
    </w:p>
    <w:p w14:paraId="78FA603E" w14:textId="283FEA8A" w:rsidR="002777D4" w:rsidRPr="007625E7" w:rsidRDefault="002777D4" w:rsidP="007625E7">
      <w:pPr>
        <w:spacing w:line="360" w:lineRule="auto"/>
        <w:rPr>
          <w:rFonts w:ascii="Arial" w:hAnsi="Arial" w:cs="Arial"/>
        </w:rPr>
      </w:pPr>
      <w:r w:rsidRPr="007625E7">
        <w:rPr>
          <w:rFonts w:ascii="Arial" w:hAnsi="Arial" w:cs="Arial"/>
        </w:rPr>
        <w:t>The findings collaborate Katz’s three skills approach to management, Mumford’s skills model of leadership, motivation theory, human capital theory, theory of traditional career and boundaryless career as platforms for development that equip</w:t>
      </w:r>
      <w:r w:rsidR="00FE4835">
        <w:rPr>
          <w:rFonts w:ascii="Arial" w:hAnsi="Arial" w:cs="Arial"/>
        </w:rPr>
        <w:t>s</w:t>
      </w:r>
      <w:r w:rsidRPr="007625E7">
        <w:rPr>
          <w:rFonts w:ascii="Arial" w:hAnsi="Arial" w:cs="Arial"/>
        </w:rPr>
        <w:t xml:space="preserve"> the managers with the tools for securing finance for real estate project development. These theories illustrate the importance of skills, knowledge, competences, career path, training and education as enablers to work performance at a high</w:t>
      </w:r>
      <w:r w:rsidR="008B4FDB">
        <w:rPr>
          <w:rFonts w:ascii="Arial" w:hAnsi="Arial" w:cs="Arial"/>
        </w:rPr>
        <w:t xml:space="preserve"> level</w:t>
      </w:r>
      <w:r w:rsidR="0063658B">
        <w:rPr>
          <w:rFonts w:ascii="Arial" w:hAnsi="Arial" w:cs="Arial"/>
        </w:rPr>
        <w:t>.</w:t>
      </w:r>
      <w:r w:rsidRPr="007625E7">
        <w:rPr>
          <w:rFonts w:ascii="Arial" w:hAnsi="Arial" w:cs="Arial"/>
        </w:rPr>
        <w:t xml:space="preserve"> The findings show that the managers' application of skills, knowledge, competences, career path, training and education enhances their ability to secure finance for real estate project development in developed and emerging economies.</w:t>
      </w:r>
    </w:p>
    <w:p w14:paraId="384B1AC5" w14:textId="77777777" w:rsidR="002777D4" w:rsidRPr="007625E7" w:rsidRDefault="002777D4" w:rsidP="007625E7">
      <w:pPr>
        <w:spacing w:line="360" w:lineRule="auto"/>
        <w:rPr>
          <w:rFonts w:ascii="Arial" w:hAnsi="Arial" w:cs="Arial"/>
          <w:b/>
        </w:rPr>
      </w:pPr>
      <w:r w:rsidRPr="007625E7">
        <w:rPr>
          <w:rFonts w:ascii="Arial" w:hAnsi="Arial" w:cs="Arial"/>
          <w:b/>
        </w:rPr>
        <w:t>Contribution to academics, researchers, and empirical research:</w:t>
      </w:r>
    </w:p>
    <w:p w14:paraId="344EC5DE" w14:textId="77777777" w:rsidR="002777D4" w:rsidRPr="007625E7" w:rsidRDefault="002777D4" w:rsidP="007625E7">
      <w:pPr>
        <w:spacing w:line="360" w:lineRule="auto"/>
        <w:rPr>
          <w:rFonts w:ascii="Arial" w:hAnsi="Arial" w:cs="Arial"/>
        </w:rPr>
      </w:pPr>
      <w:r w:rsidRPr="007625E7">
        <w:rPr>
          <w:rFonts w:ascii="Arial" w:hAnsi="Arial" w:cs="Arial"/>
        </w:rPr>
        <w:t>The research makes the following contribution to academics and researchers:</w:t>
      </w:r>
    </w:p>
    <w:p w14:paraId="4D09A85E" w14:textId="4065041B" w:rsidR="002777D4" w:rsidRPr="007625E7" w:rsidRDefault="002777D4" w:rsidP="007625E7">
      <w:pPr>
        <w:numPr>
          <w:ilvl w:val="0"/>
          <w:numId w:val="24"/>
        </w:numPr>
        <w:spacing w:line="360" w:lineRule="auto"/>
        <w:rPr>
          <w:rFonts w:ascii="Arial" w:hAnsi="Arial" w:cs="Arial"/>
        </w:rPr>
      </w:pPr>
      <w:r w:rsidRPr="007625E7">
        <w:rPr>
          <w:rFonts w:ascii="Arial" w:hAnsi="Arial" w:cs="Arial"/>
        </w:rPr>
        <w:t xml:space="preserve">The development of a conceptual </w:t>
      </w:r>
      <w:r w:rsidR="001D67C5">
        <w:rPr>
          <w:rFonts w:ascii="Arial" w:hAnsi="Arial" w:cs="Arial"/>
        </w:rPr>
        <w:t>model</w:t>
      </w:r>
      <w:r w:rsidRPr="007625E7">
        <w:rPr>
          <w:rFonts w:ascii="Arial" w:hAnsi="Arial" w:cs="Arial"/>
        </w:rPr>
        <w:t xml:space="preserve"> for securing finance for real estate project development (the toolkit): This conceptual </w:t>
      </w:r>
      <w:r w:rsidR="001D67C5">
        <w:rPr>
          <w:rFonts w:ascii="Arial" w:hAnsi="Arial" w:cs="Arial"/>
        </w:rPr>
        <w:t>model</w:t>
      </w:r>
      <w:r w:rsidRPr="007625E7">
        <w:rPr>
          <w:rFonts w:ascii="Arial" w:hAnsi="Arial" w:cs="Arial"/>
        </w:rPr>
        <w:t xml:space="preserve"> can be further validated using different scenarios or countries, therefore, enhancing knowledge in real estate project development finance.</w:t>
      </w:r>
    </w:p>
    <w:p w14:paraId="068D0C5F" w14:textId="501428A2" w:rsidR="002777D4" w:rsidRPr="007625E7" w:rsidRDefault="002777D4" w:rsidP="007625E7">
      <w:pPr>
        <w:numPr>
          <w:ilvl w:val="0"/>
          <w:numId w:val="24"/>
        </w:numPr>
        <w:spacing w:line="360" w:lineRule="auto"/>
        <w:rPr>
          <w:rFonts w:ascii="Arial" w:hAnsi="Arial" w:cs="Arial"/>
        </w:rPr>
      </w:pPr>
      <w:r w:rsidRPr="007625E7">
        <w:rPr>
          <w:rFonts w:ascii="Arial" w:hAnsi="Arial" w:cs="Arial"/>
        </w:rPr>
        <w:t xml:space="preserve">The toolkit can be used as a platform for guiding </w:t>
      </w:r>
      <w:r w:rsidR="007A4450">
        <w:rPr>
          <w:rFonts w:ascii="Arial" w:hAnsi="Arial" w:cs="Arial"/>
        </w:rPr>
        <w:t xml:space="preserve">fresh </w:t>
      </w:r>
      <w:r w:rsidRPr="007625E7">
        <w:rPr>
          <w:rFonts w:ascii="Arial" w:hAnsi="Arial" w:cs="Arial"/>
        </w:rPr>
        <w:t>students into the real estate sector on the path to take for a sustainable career in the real estate and property sector.</w:t>
      </w:r>
    </w:p>
    <w:p w14:paraId="6C205367" w14:textId="77777777" w:rsidR="002777D4" w:rsidRPr="007625E7" w:rsidRDefault="002777D4" w:rsidP="007625E7">
      <w:pPr>
        <w:numPr>
          <w:ilvl w:val="0"/>
          <w:numId w:val="24"/>
        </w:numPr>
        <w:spacing w:line="360" w:lineRule="auto"/>
        <w:rPr>
          <w:rFonts w:ascii="Arial" w:hAnsi="Arial" w:cs="Arial"/>
        </w:rPr>
      </w:pPr>
      <w:r w:rsidRPr="007625E7">
        <w:rPr>
          <w:rFonts w:ascii="Arial" w:hAnsi="Arial" w:cs="Arial"/>
        </w:rPr>
        <w:lastRenderedPageBreak/>
        <w:t>This research's findings can be used to enhance the curriculum for real estate and property studies in the built environment.</w:t>
      </w:r>
    </w:p>
    <w:p w14:paraId="2F2C8DC8" w14:textId="77777777" w:rsidR="002777D4" w:rsidRPr="007625E7" w:rsidRDefault="002777D4" w:rsidP="007625E7">
      <w:pPr>
        <w:spacing w:line="360" w:lineRule="auto"/>
        <w:rPr>
          <w:rFonts w:ascii="Arial" w:hAnsi="Arial" w:cs="Arial"/>
          <w:b/>
        </w:rPr>
      </w:pPr>
      <w:r w:rsidRPr="007625E7">
        <w:rPr>
          <w:rFonts w:ascii="Arial" w:hAnsi="Arial" w:cs="Arial"/>
          <w:b/>
        </w:rPr>
        <w:t>Contribution to professionals and the industry:</w:t>
      </w:r>
    </w:p>
    <w:p w14:paraId="5B47F2C5" w14:textId="3DCF3C5E" w:rsidR="002777D4" w:rsidRPr="007625E7" w:rsidRDefault="002777D4" w:rsidP="007625E7">
      <w:pPr>
        <w:numPr>
          <w:ilvl w:val="0"/>
          <w:numId w:val="88"/>
        </w:numPr>
        <w:spacing w:line="360" w:lineRule="auto"/>
        <w:rPr>
          <w:rFonts w:ascii="Arial" w:hAnsi="Arial" w:cs="Arial"/>
          <w:b/>
        </w:rPr>
      </w:pPr>
      <w:r w:rsidRPr="007625E7">
        <w:rPr>
          <w:rFonts w:ascii="Arial" w:hAnsi="Arial" w:cs="Arial"/>
        </w:rPr>
        <w:t xml:space="preserve">This study would assist decision-makers in real estate development organisations </w:t>
      </w:r>
      <w:r w:rsidR="007A4450">
        <w:rPr>
          <w:rFonts w:ascii="Arial" w:hAnsi="Arial" w:cs="Arial"/>
        </w:rPr>
        <w:t>select and recruit</w:t>
      </w:r>
      <w:r w:rsidRPr="007625E7">
        <w:rPr>
          <w:rFonts w:ascii="Arial" w:hAnsi="Arial" w:cs="Arial"/>
        </w:rPr>
        <w:t xml:space="preserve"> personnel and managers with the requisite skills, knowledge, and competencies. </w:t>
      </w:r>
      <w:r w:rsidR="007A4450">
        <w:rPr>
          <w:rFonts w:ascii="Arial" w:hAnsi="Arial" w:cs="Arial"/>
        </w:rPr>
        <w:t>Which</w:t>
      </w:r>
      <w:r w:rsidRPr="007625E7">
        <w:rPr>
          <w:rFonts w:ascii="Arial" w:hAnsi="Arial" w:cs="Arial"/>
        </w:rPr>
        <w:t xml:space="preserve"> should potentially help mitigate the issue associated with securing finance for real estate project development.</w:t>
      </w:r>
    </w:p>
    <w:p w14:paraId="7239437C" w14:textId="3F46A145" w:rsidR="002777D4" w:rsidRPr="007625E7" w:rsidRDefault="002777D4" w:rsidP="007625E7">
      <w:pPr>
        <w:numPr>
          <w:ilvl w:val="0"/>
          <w:numId w:val="88"/>
        </w:numPr>
        <w:spacing w:line="360" w:lineRule="auto"/>
        <w:rPr>
          <w:rFonts w:ascii="Arial" w:hAnsi="Arial" w:cs="Arial"/>
        </w:rPr>
      </w:pPr>
      <w:r w:rsidRPr="007625E7">
        <w:rPr>
          <w:rFonts w:ascii="Arial" w:hAnsi="Arial" w:cs="Arial"/>
        </w:rPr>
        <w:t xml:space="preserve">This study provides a platform for the training and education needed for managers in the real estate and property sector, </w:t>
      </w:r>
      <w:r w:rsidR="007A4450">
        <w:rPr>
          <w:rFonts w:ascii="Arial" w:hAnsi="Arial" w:cs="Arial"/>
        </w:rPr>
        <w:t>potentially enhancing</w:t>
      </w:r>
      <w:r w:rsidRPr="007625E7">
        <w:rPr>
          <w:rFonts w:ascii="Arial" w:hAnsi="Arial" w:cs="Arial"/>
        </w:rPr>
        <w:t xml:space="preserve"> their ability to secure finance for project development.</w:t>
      </w:r>
    </w:p>
    <w:p w14:paraId="19DED6AC" w14:textId="77777777" w:rsidR="002777D4" w:rsidRPr="007625E7" w:rsidRDefault="002777D4" w:rsidP="007625E7">
      <w:pPr>
        <w:numPr>
          <w:ilvl w:val="0"/>
          <w:numId w:val="88"/>
        </w:numPr>
        <w:spacing w:line="360" w:lineRule="auto"/>
        <w:rPr>
          <w:rFonts w:ascii="Arial" w:hAnsi="Arial" w:cs="Arial"/>
        </w:rPr>
      </w:pPr>
      <w:r w:rsidRPr="007625E7">
        <w:rPr>
          <w:rFonts w:ascii="Arial" w:hAnsi="Arial" w:cs="Arial"/>
        </w:rPr>
        <w:t xml:space="preserve">Through the process map and the inventory of different finance options, the study will create more knowledge of finance sources, which will create an enhanced enabling environment for significant real estate project development. </w:t>
      </w:r>
    </w:p>
    <w:p w14:paraId="14DE4A3F" w14:textId="77777777" w:rsidR="002777D4" w:rsidRPr="007625E7" w:rsidRDefault="002777D4" w:rsidP="007625E7">
      <w:pPr>
        <w:numPr>
          <w:ilvl w:val="0"/>
          <w:numId w:val="88"/>
        </w:numPr>
        <w:spacing w:line="360" w:lineRule="auto"/>
        <w:rPr>
          <w:rFonts w:ascii="Arial" w:hAnsi="Arial" w:cs="Arial"/>
        </w:rPr>
      </w:pPr>
      <w:r w:rsidRPr="007625E7">
        <w:rPr>
          <w:rFonts w:ascii="Arial" w:hAnsi="Arial" w:cs="Arial"/>
        </w:rPr>
        <w:t>National and international investors depend on information about the real estate markets in different countries as decision-making platforms. This research will provide a platform from where they can secure information that will enhance investment decision making.</w:t>
      </w:r>
    </w:p>
    <w:p w14:paraId="3DF75616" w14:textId="77777777" w:rsidR="002777D4" w:rsidRPr="00C7647C" w:rsidRDefault="002777D4" w:rsidP="007625E7"/>
    <w:p w14:paraId="2E83754E" w14:textId="7CC60EDD" w:rsidR="00CD6352" w:rsidRPr="00EA7665" w:rsidRDefault="00CD6352" w:rsidP="00CD6352">
      <w:pPr>
        <w:pStyle w:val="Heading2"/>
        <w:spacing w:after="240"/>
      </w:pPr>
      <w:bookmarkStart w:id="1485" w:name="_Toc78983944"/>
      <w:r w:rsidRPr="00EA7665">
        <w:t>Recommendation for future works</w:t>
      </w:r>
      <w:bookmarkEnd w:id="1485"/>
    </w:p>
    <w:p w14:paraId="0437F812" w14:textId="77777777" w:rsidR="00CD6352" w:rsidRPr="00EA7665" w:rsidRDefault="00CD6352" w:rsidP="00CD6352">
      <w:pPr>
        <w:spacing w:line="360" w:lineRule="auto"/>
        <w:jc w:val="both"/>
        <w:rPr>
          <w:rFonts w:ascii="Arial" w:hAnsi="Arial" w:cs="Arial"/>
        </w:rPr>
      </w:pPr>
      <w:r w:rsidRPr="00EA7665">
        <w:rPr>
          <w:rFonts w:ascii="Arial" w:hAnsi="Arial" w:cs="Arial"/>
        </w:rPr>
        <w:t>The recommendations are as shown below:</w:t>
      </w:r>
    </w:p>
    <w:p w14:paraId="72348FFF" w14:textId="77777777" w:rsidR="00CD6352" w:rsidRPr="00EA7665" w:rsidRDefault="00CD6352" w:rsidP="00CD6352">
      <w:pPr>
        <w:pStyle w:val="Heading3"/>
      </w:pPr>
      <w:bookmarkStart w:id="1486" w:name="_Toc78983945"/>
      <w:r w:rsidRPr="00EA7665">
        <w:t>Recommendations for practitioners</w:t>
      </w:r>
      <w:bookmarkEnd w:id="1486"/>
      <w:r w:rsidRPr="00EA7665">
        <w:t xml:space="preserve"> </w:t>
      </w:r>
    </w:p>
    <w:p w14:paraId="65851216" w14:textId="0660A7B5" w:rsidR="00CD6352" w:rsidRPr="00EA7665" w:rsidRDefault="00CD6352" w:rsidP="007625E7">
      <w:pPr>
        <w:pStyle w:val="ListParagraph"/>
        <w:numPr>
          <w:ilvl w:val="0"/>
          <w:numId w:val="390"/>
        </w:numPr>
        <w:spacing w:line="360" w:lineRule="auto"/>
        <w:jc w:val="both"/>
        <w:rPr>
          <w:rFonts w:ascii="Arial" w:hAnsi="Arial" w:cs="Arial"/>
        </w:rPr>
      </w:pPr>
      <w:r w:rsidRPr="00EA7665">
        <w:rPr>
          <w:rFonts w:ascii="Arial" w:hAnsi="Arial" w:cs="Arial"/>
        </w:rPr>
        <w:t>It is recommended that managers in the different parts of the built environment be brought into a classroom setting where discussions can be held from time to time to develop interdisciplinary skills, knowledge, and competences for securing finance for real estate project development. Putting this more simplistically entails putting professionals in the different arms of the built environment and real estate sector in one class. Th</w:t>
      </w:r>
      <w:r w:rsidR="00706F68">
        <w:rPr>
          <w:rFonts w:ascii="Arial" w:hAnsi="Arial" w:cs="Arial"/>
        </w:rPr>
        <w:t>e</w:t>
      </w:r>
      <w:r w:rsidRPr="00EA7665">
        <w:rPr>
          <w:rFonts w:ascii="Arial" w:hAnsi="Arial" w:cs="Arial"/>
        </w:rPr>
        <w:t xml:space="preserve"> class will constitute legal consultants, financiers, investors, agents, facilities managers, etc. who will be made to work on a project and this will be a form of formal education and could lead to the development of an app that can be termed </w:t>
      </w:r>
      <w:r>
        <w:rPr>
          <w:rFonts w:ascii="Arial" w:hAnsi="Arial" w:cs="Arial"/>
        </w:rPr>
        <w:t xml:space="preserve">a </w:t>
      </w:r>
      <w:r w:rsidRPr="00EA7665">
        <w:rPr>
          <w:rFonts w:ascii="Arial" w:hAnsi="Arial" w:cs="Arial"/>
        </w:rPr>
        <w:t xml:space="preserve">real estate financing app for inquiry, training and development </w:t>
      </w:r>
      <w:r>
        <w:rPr>
          <w:rFonts w:ascii="Arial" w:hAnsi="Arial" w:cs="Arial"/>
        </w:rPr>
        <w:t>purposes</w:t>
      </w:r>
      <w:r w:rsidRPr="00EA7665">
        <w:rPr>
          <w:rFonts w:ascii="Arial" w:hAnsi="Arial" w:cs="Arial"/>
        </w:rPr>
        <w:t xml:space="preserve"> for managers in this sector. This interdisciplinary training will have managers </w:t>
      </w:r>
      <w:r>
        <w:rPr>
          <w:rFonts w:ascii="Arial" w:hAnsi="Arial" w:cs="Arial"/>
        </w:rPr>
        <w:t>working</w:t>
      </w:r>
      <w:r w:rsidRPr="00EA7665">
        <w:rPr>
          <w:rFonts w:ascii="Arial" w:hAnsi="Arial" w:cs="Arial"/>
        </w:rPr>
        <w:t xml:space="preserve"> in groups and </w:t>
      </w:r>
      <w:r>
        <w:rPr>
          <w:rFonts w:ascii="Arial" w:hAnsi="Arial" w:cs="Arial"/>
        </w:rPr>
        <w:t>taking part in group discussions</w:t>
      </w:r>
      <w:r w:rsidR="00706F68">
        <w:rPr>
          <w:rFonts w:ascii="Arial" w:hAnsi="Arial" w:cs="Arial"/>
        </w:rPr>
        <w:t>;</w:t>
      </w:r>
      <w:r w:rsidRPr="00EA7665">
        <w:rPr>
          <w:rFonts w:ascii="Arial" w:hAnsi="Arial" w:cs="Arial"/>
        </w:rPr>
        <w:t xml:space="preserve"> that way</w:t>
      </w:r>
      <w:r w:rsidR="00706F68">
        <w:rPr>
          <w:rFonts w:ascii="Arial" w:hAnsi="Arial" w:cs="Arial"/>
        </w:rPr>
        <w:t>,</w:t>
      </w:r>
      <w:r w:rsidRPr="00EA7665">
        <w:rPr>
          <w:rFonts w:ascii="Arial" w:hAnsi="Arial" w:cs="Arial"/>
        </w:rPr>
        <w:t xml:space="preserve"> they get to understand how the different professionals in the loop think and what they require for effectiveness, and this will ultimately facilitate access to finance.</w:t>
      </w:r>
    </w:p>
    <w:p w14:paraId="3D13B7ED" w14:textId="59B9BBD6" w:rsidR="00CD6352" w:rsidRPr="00EA7665" w:rsidRDefault="00CD6352" w:rsidP="007625E7">
      <w:pPr>
        <w:pStyle w:val="ListParagraph"/>
        <w:numPr>
          <w:ilvl w:val="0"/>
          <w:numId w:val="390"/>
        </w:numPr>
        <w:spacing w:line="360" w:lineRule="auto"/>
        <w:jc w:val="both"/>
        <w:rPr>
          <w:rFonts w:ascii="Arial" w:hAnsi="Arial" w:cs="Arial"/>
        </w:rPr>
      </w:pPr>
      <w:r w:rsidRPr="00EA7665">
        <w:rPr>
          <w:rFonts w:ascii="Arial" w:hAnsi="Arial" w:cs="Arial"/>
        </w:rPr>
        <w:lastRenderedPageBreak/>
        <w:t>This study also recommends a banker- real estate development manager forum and training. This way, the bankers and financiers will get to have a better perspective of what the real estate developer does</w:t>
      </w:r>
      <w:r w:rsidR="00706F68">
        <w:rPr>
          <w:rFonts w:ascii="Arial" w:hAnsi="Arial" w:cs="Arial"/>
        </w:rPr>
        <w:t>. This will help the bankers in their assessments, enabling</w:t>
      </w:r>
      <w:r w:rsidRPr="00EA7665">
        <w:rPr>
          <w:rFonts w:ascii="Arial" w:hAnsi="Arial" w:cs="Arial"/>
        </w:rPr>
        <w:t xml:space="preserve"> the real estate manager </w:t>
      </w:r>
      <w:r>
        <w:rPr>
          <w:rFonts w:ascii="Arial" w:hAnsi="Arial" w:cs="Arial"/>
        </w:rPr>
        <w:t xml:space="preserve">to </w:t>
      </w:r>
      <w:r w:rsidRPr="00EA7665">
        <w:rPr>
          <w:rFonts w:ascii="Arial" w:hAnsi="Arial" w:cs="Arial"/>
        </w:rPr>
        <w:t xml:space="preserve">access finance for project development. This is because </w:t>
      </w:r>
      <w:r w:rsidR="00223E37">
        <w:rPr>
          <w:rFonts w:ascii="Arial" w:hAnsi="Arial" w:cs="Arial"/>
        </w:rPr>
        <w:t>some</w:t>
      </w:r>
      <w:r w:rsidRPr="00EA7665">
        <w:rPr>
          <w:rFonts w:ascii="Arial" w:hAnsi="Arial" w:cs="Arial"/>
        </w:rPr>
        <w:t xml:space="preserve"> managers interviewed complained that the financiers and bankers do not fully understand their operation.</w:t>
      </w:r>
    </w:p>
    <w:p w14:paraId="3883C216" w14:textId="6F3E08F9" w:rsidR="00CD6352" w:rsidRPr="00EA7665" w:rsidRDefault="00CD6352" w:rsidP="007625E7">
      <w:pPr>
        <w:pStyle w:val="ListParagraph"/>
        <w:numPr>
          <w:ilvl w:val="0"/>
          <w:numId w:val="390"/>
        </w:numPr>
        <w:spacing w:line="360" w:lineRule="auto"/>
        <w:jc w:val="both"/>
        <w:rPr>
          <w:rFonts w:ascii="Arial" w:hAnsi="Arial" w:cs="Arial"/>
        </w:rPr>
      </w:pPr>
      <w:r w:rsidRPr="00EA7665">
        <w:rPr>
          <w:rFonts w:ascii="Arial" w:hAnsi="Arial" w:cs="Arial"/>
        </w:rPr>
        <w:t>It is recommended that the industry practitioners use this toolkit for training and education purposes as it will facilitate greater access to finance for real estate project development. Six major steps were developed as part of the tool kit. Consequently, the toolkit is a composition of the inventory of finance options</w:t>
      </w:r>
      <w:r>
        <w:rPr>
          <w:rFonts w:ascii="Arial" w:hAnsi="Arial" w:cs="Arial"/>
        </w:rPr>
        <w:t xml:space="preserve"> and criteria; </w:t>
      </w:r>
      <w:r w:rsidR="00DA18CF">
        <w:rPr>
          <w:rFonts w:ascii="Arial" w:hAnsi="Arial" w:cs="Arial"/>
        </w:rPr>
        <w:t xml:space="preserve">a </w:t>
      </w:r>
      <w:r>
        <w:rPr>
          <w:rFonts w:ascii="Arial" w:hAnsi="Arial" w:cs="Arial"/>
        </w:rPr>
        <w:t xml:space="preserve">conceptual framework for </w:t>
      </w:r>
      <w:r w:rsidR="00DA18CF">
        <w:rPr>
          <w:rFonts w:ascii="Arial" w:hAnsi="Arial" w:cs="Arial"/>
        </w:rPr>
        <w:t xml:space="preserve">the </w:t>
      </w:r>
      <w:r>
        <w:rPr>
          <w:rFonts w:ascii="Arial" w:hAnsi="Arial" w:cs="Arial"/>
        </w:rPr>
        <w:t xml:space="preserve">environmental scan; process map; inventory of skills, knowledge &amp; competences; </w:t>
      </w:r>
      <w:r w:rsidR="00DA18CF">
        <w:rPr>
          <w:rFonts w:ascii="Arial" w:hAnsi="Arial" w:cs="Arial"/>
        </w:rPr>
        <w:t xml:space="preserve">a </w:t>
      </w:r>
      <w:r>
        <w:rPr>
          <w:rFonts w:ascii="Arial" w:hAnsi="Arial" w:cs="Arial"/>
        </w:rPr>
        <w:t xml:space="preserve">conceptual framework for </w:t>
      </w:r>
      <w:r w:rsidR="00DA18CF">
        <w:rPr>
          <w:rFonts w:ascii="Arial" w:hAnsi="Arial" w:cs="Arial"/>
        </w:rPr>
        <w:t xml:space="preserve">a </w:t>
      </w:r>
      <w:r>
        <w:rPr>
          <w:rFonts w:ascii="Arial" w:hAnsi="Arial" w:cs="Arial"/>
        </w:rPr>
        <w:t>career path and conceptual framework for training and education for securing finance for real estate project development.</w:t>
      </w:r>
      <w:r w:rsidRPr="00EA7665">
        <w:rPr>
          <w:rFonts w:ascii="Arial" w:hAnsi="Arial" w:cs="Arial"/>
        </w:rPr>
        <w:t xml:space="preserve"> The toolkit can be adapt</w:t>
      </w:r>
      <w:r>
        <w:rPr>
          <w:rFonts w:ascii="Arial" w:hAnsi="Arial" w:cs="Arial"/>
        </w:rPr>
        <w:t>ed</w:t>
      </w:r>
      <w:r w:rsidRPr="00EA7665">
        <w:rPr>
          <w:rFonts w:ascii="Arial" w:hAnsi="Arial" w:cs="Arial"/>
        </w:rPr>
        <w:t xml:space="preserve"> </w:t>
      </w:r>
      <w:r>
        <w:rPr>
          <w:rFonts w:ascii="Arial" w:hAnsi="Arial" w:cs="Arial"/>
        </w:rPr>
        <w:t>for</w:t>
      </w:r>
      <w:r w:rsidRPr="00EA7665">
        <w:rPr>
          <w:rFonts w:ascii="Arial" w:hAnsi="Arial" w:cs="Arial"/>
        </w:rPr>
        <w:t xml:space="preserve"> both developed and emerging economies.</w:t>
      </w:r>
    </w:p>
    <w:p w14:paraId="31B9884E" w14:textId="77777777" w:rsidR="00CD6352" w:rsidRPr="00EA7665" w:rsidRDefault="00CD6352" w:rsidP="00CD6352">
      <w:pPr>
        <w:pStyle w:val="Heading3"/>
      </w:pPr>
      <w:bookmarkStart w:id="1487" w:name="_Toc78983946"/>
      <w:r w:rsidRPr="00EA7665">
        <w:t>Recommendation for policymakers</w:t>
      </w:r>
      <w:bookmarkEnd w:id="1487"/>
      <w:r w:rsidRPr="00EA7665">
        <w:t xml:space="preserve"> </w:t>
      </w:r>
    </w:p>
    <w:p w14:paraId="35AEE8A9" w14:textId="6C882305" w:rsidR="00CD6352" w:rsidRDefault="00CD6352" w:rsidP="00CD6352">
      <w:pPr>
        <w:spacing w:line="360" w:lineRule="auto"/>
        <w:rPr>
          <w:rFonts w:ascii="Arial" w:hAnsi="Arial" w:cs="Arial"/>
        </w:rPr>
      </w:pPr>
      <w:r w:rsidRPr="00EA7665">
        <w:rPr>
          <w:rFonts w:ascii="Arial" w:hAnsi="Arial" w:cs="Arial"/>
        </w:rPr>
        <w:t xml:space="preserve">This study recommends that various </w:t>
      </w:r>
      <w:r>
        <w:rPr>
          <w:rFonts w:ascii="Arial" w:hAnsi="Arial" w:cs="Arial"/>
        </w:rPr>
        <w:t>policymakers,</w:t>
      </w:r>
      <w:r w:rsidRPr="00EA7665">
        <w:rPr>
          <w:rFonts w:ascii="Arial" w:hAnsi="Arial" w:cs="Arial"/>
        </w:rPr>
        <w:t xml:space="preserve"> </w:t>
      </w:r>
      <w:r w:rsidR="00706F68">
        <w:rPr>
          <w:rFonts w:ascii="Arial" w:hAnsi="Arial" w:cs="Arial"/>
        </w:rPr>
        <w:t>including</w:t>
      </w:r>
      <w:r w:rsidRPr="00EA7665">
        <w:rPr>
          <w:rFonts w:ascii="Arial" w:hAnsi="Arial" w:cs="Arial"/>
        </w:rPr>
        <w:t xml:space="preserve"> </w:t>
      </w:r>
      <w:r>
        <w:rPr>
          <w:rFonts w:ascii="Arial" w:hAnsi="Arial" w:cs="Arial"/>
        </w:rPr>
        <w:t>go</w:t>
      </w:r>
      <w:r w:rsidRPr="00EA7665">
        <w:rPr>
          <w:rFonts w:ascii="Arial" w:hAnsi="Arial" w:cs="Arial"/>
        </w:rPr>
        <w:t xml:space="preserve">vernments of different countries, </w:t>
      </w:r>
      <w:r>
        <w:rPr>
          <w:rFonts w:ascii="Arial" w:hAnsi="Arial" w:cs="Arial"/>
        </w:rPr>
        <w:t xml:space="preserve">the </w:t>
      </w:r>
      <w:r w:rsidRPr="00EA7665">
        <w:rPr>
          <w:rFonts w:ascii="Arial" w:hAnsi="Arial" w:cs="Arial"/>
        </w:rPr>
        <w:t>private sector, local banks and multilateral development banks</w:t>
      </w:r>
      <w:r>
        <w:rPr>
          <w:rFonts w:ascii="Arial" w:hAnsi="Arial" w:cs="Arial"/>
        </w:rPr>
        <w:t>,</w:t>
      </w:r>
      <w:r w:rsidRPr="00EA7665">
        <w:rPr>
          <w:rFonts w:ascii="Arial" w:hAnsi="Arial" w:cs="Arial"/>
        </w:rPr>
        <w:t xml:space="preserve"> should provide scalable and sustainable solutions that will facilitate access to finance for real estate project development hence</w:t>
      </w:r>
      <w:r>
        <w:rPr>
          <w:rFonts w:ascii="Arial" w:hAnsi="Arial" w:cs="Arial"/>
        </w:rPr>
        <w:t xml:space="preserve"> resulting in</w:t>
      </w:r>
      <w:r w:rsidRPr="00EA7665">
        <w:rPr>
          <w:rFonts w:ascii="Arial" w:hAnsi="Arial" w:cs="Arial"/>
        </w:rPr>
        <w:t xml:space="preserve"> a reduction to the global housing crisis.</w:t>
      </w:r>
      <w:r>
        <w:rPr>
          <w:rFonts w:ascii="Arial" w:hAnsi="Arial" w:cs="Arial"/>
        </w:rPr>
        <w:t xml:space="preserve"> These </w:t>
      </w:r>
      <w:r w:rsidR="00061AE9">
        <w:rPr>
          <w:rFonts w:ascii="Arial" w:hAnsi="Arial" w:cs="Arial"/>
        </w:rPr>
        <w:t xml:space="preserve">recommendations </w:t>
      </w:r>
      <w:r w:rsidR="00061AE9" w:rsidRPr="002E4D9D">
        <w:rPr>
          <w:rFonts w:ascii="Arial" w:hAnsi="Arial" w:cs="Arial"/>
        </w:rPr>
        <w:t>will</w:t>
      </w:r>
      <w:r w:rsidRPr="002E4D9D">
        <w:rPr>
          <w:rFonts w:ascii="Arial" w:hAnsi="Arial" w:cs="Arial"/>
        </w:rPr>
        <w:t xml:space="preserve"> </w:t>
      </w:r>
      <w:r w:rsidR="00706F68">
        <w:rPr>
          <w:rFonts w:ascii="Arial" w:hAnsi="Arial" w:cs="Arial"/>
        </w:rPr>
        <w:t>assist policy-makers to support developers/ managers, governments, and any other parties interested in the funding of the real estate sector. T</w:t>
      </w:r>
      <w:r w:rsidRPr="002E4D9D">
        <w:rPr>
          <w:rFonts w:ascii="Arial" w:hAnsi="Arial" w:cs="Arial"/>
        </w:rPr>
        <w:t>his will ultimately reduce or eliminate the challenges in accessing finance for real estate project development.</w:t>
      </w:r>
      <w:r>
        <w:rPr>
          <w:rFonts w:ascii="Arial" w:hAnsi="Arial" w:cs="Arial"/>
        </w:rPr>
        <w:t xml:space="preserve"> A breakdown of these recommendations is as follows:</w:t>
      </w:r>
    </w:p>
    <w:p w14:paraId="12206A72" w14:textId="77777777" w:rsidR="00CD6352" w:rsidRPr="00EA7665" w:rsidRDefault="00CD6352" w:rsidP="00CD6352">
      <w:pPr>
        <w:spacing w:line="360" w:lineRule="auto"/>
        <w:rPr>
          <w:rFonts w:ascii="Arial" w:hAnsi="Arial" w:cs="Arial"/>
        </w:rPr>
      </w:pPr>
      <w:r w:rsidRPr="00EA7665">
        <w:rPr>
          <w:rFonts w:ascii="Arial" w:hAnsi="Arial" w:cs="Arial"/>
        </w:rPr>
        <w:t>Enhanced efforts by different stakeholders can help to bridge this funding gap in the following ways:</w:t>
      </w:r>
    </w:p>
    <w:p w14:paraId="00A06319" w14:textId="4C3EAF7B" w:rsidR="00CD6352" w:rsidRDefault="00CD6352" w:rsidP="007625E7">
      <w:pPr>
        <w:pStyle w:val="ListParagraph"/>
        <w:numPr>
          <w:ilvl w:val="0"/>
          <w:numId w:val="391"/>
        </w:numPr>
        <w:spacing w:line="360" w:lineRule="auto"/>
        <w:rPr>
          <w:rFonts w:ascii="Arial" w:hAnsi="Arial" w:cs="Arial"/>
        </w:rPr>
      </w:pPr>
      <w:r w:rsidRPr="00EA7665">
        <w:rPr>
          <w:rFonts w:ascii="Arial" w:hAnsi="Arial" w:cs="Arial"/>
        </w:rPr>
        <w:t xml:space="preserve">Governments should develop economic stability through fiscal and monetary policies </w:t>
      </w:r>
      <w:r>
        <w:rPr>
          <w:rFonts w:ascii="Arial" w:hAnsi="Arial" w:cs="Arial"/>
        </w:rPr>
        <w:t xml:space="preserve">and provide </w:t>
      </w:r>
      <w:r w:rsidRPr="00EA7665">
        <w:rPr>
          <w:rFonts w:ascii="Arial" w:hAnsi="Arial" w:cs="Arial"/>
        </w:rPr>
        <w:t xml:space="preserve">robust sovereign wealth funds to enhance </w:t>
      </w:r>
      <w:r w:rsidR="00706F68">
        <w:rPr>
          <w:rFonts w:ascii="Arial" w:hAnsi="Arial" w:cs="Arial"/>
        </w:rPr>
        <w:t>long-</w:t>
      </w:r>
      <w:r w:rsidRPr="00EA7665">
        <w:rPr>
          <w:rFonts w:ascii="Arial" w:hAnsi="Arial" w:cs="Arial"/>
        </w:rPr>
        <w:t>term debt for real estate project development.</w:t>
      </w:r>
    </w:p>
    <w:p w14:paraId="240654BB" w14:textId="77777777" w:rsidR="00CD6352" w:rsidRDefault="00CD6352" w:rsidP="007625E7">
      <w:pPr>
        <w:pStyle w:val="ListParagraph"/>
        <w:numPr>
          <w:ilvl w:val="0"/>
          <w:numId w:val="391"/>
        </w:numPr>
        <w:spacing w:line="360" w:lineRule="auto"/>
        <w:rPr>
          <w:rFonts w:ascii="Arial" w:hAnsi="Arial" w:cs="Arial"/>
        </w:rPr>
      </w:pPr>
      <w:r w:rsidRPr="00C63D45">
        <w:rPr>
          <w:rFonts w:ascii="Arial" w:hAnsi="Arial" w:cs="Arial"/>
        </w:rPr>
        <w:t xml:space="preserve">Governments should create </w:t>
      </w:r>
      <w:r>
        <w:rPr>
          <w:rFonts w:ascii="Arial" w:hAnsi="Arial" w:cs="Arial"/>
        </w:rPr>
        <w:t xml:space="preserve">an </w:t>
      </w:r>
      <w:r w:rsidRPr="00C63D45">
        <w:rPr>
          <w:rFonts w:ascii="Arial" w:hAnsi="Arial" w:cs="Arial"/>
        </w:rPr>
        <w:t>enabling environment for the establishmen</w:t>
      </w:r>
      <w:r>
        <w:rPr>
          <w:rFonts w:ascii="Arial" w:hAnsi="Arial" w:cs="Arial"/>
        </w:rPr>
        <w:t>t</w:t>
      </w:r>
      <w:r w:rsidRPr="00C63D45">
        <w:rPr>
          <w:rFonts w:ascii="Arial" w:hAnsi="Arial" w:cs="Arial"/>
        </w:rPr>
        <w:t xml:space="preserve"> of more REITs</w:t>
      </w:r>
      <w:r>
        <w:rPr>
          <w:rFonts w:ascii="Arial" w:hAnsi="Arial" w:cs="Arial"/>
        </w:rPr>
        <w:t>,</w:t>
      </w:r>
      <w:r w:rsidRPr="00C63D45">
        <w:rPr>
          <w:rFonts w:ascii="Arial" w:hAnsi="Arial" w:cs="Arial"/>
        </w:rPr>
        <w:t xml:space="preserve"> especially in the emerging economies</w:t>
      </w:r>
    </w:p>
    <w:p w14:paraId="27060F0D" w14:textId="77777777" w:rsidR="00CD6352" w:rsidRPr="00C63D45" w:rsidRDefault="00CD6352" w:rsidP="007625E7">
      <w:pPr>
        <w:pStyle w:val="ListParagraph"/>
        <w:numPr>
          <w:ilvl w:val="0"/>
          <w:numId w:val="391"/>
        </w:numPr>
        <w:spacing w:line="360" w:lineRule="auto"/>
        <w:rPr>
          <w:rFonts w:ascii="Arial" w:hAnsi="Arial" w:cs="Arial"/>
        </w:rPr>
      </w:pPr>
      <w:r w:rsidRPr="00C63D45">
        <w:rPr>
          <w:rFonts w:ascii="Arial" w:hAnsi="Arial" w:cs="Arial"/>
        </w:rPr>
        <w:t xml:space="preserve">Governments should create platforms for the merger of some real estate firms and therefore reduce fragmentation as this will lead to better access </w:t>
      </w:r>
      <w:r>
        <w:rPr>
          <w:rFonts w:ascii="Arial" w:hAnsi="Arial" w:cs="Arial"/>
        </w:rPr>
        <w:t>to</w:t>
      </w:r>
      <w:r w:rsidRPr="00C63D45">
        <w:rPr>
          <w:rFonts w:ascii="Arial" w:hAnsi="Arial" w:cs="Arial"/>
        </w:rPr>
        <w:t xml:space="preserve"> finance</w:t>
      </w:r>
    </w:p>
    <w:p w14:paraId="2E7C272D" w14:textId="509849D7" w:rsidR="00CD6352" w:rsidRPr="00EA7665" w:rsidRDefault="00CD6352" w:rsidP="007625E7">
      <w:pPr>
        <w:pStyle w:val="ListParagraph"/>
        <w:numPr>
          <w:ilvl w:val="0"/>
          <w:numId w:val="391"/>
        </w:numPr>
        <w:spacing w:line="360" w:lineRule="auto"/>
        <w:rPr>
          <w:rFonts w:ascii="Arial" w:hAnsi="Arial" w:cs="Arial"/>
        </w:rPr>
      </w:pPr>
      <w:r w:rsidRPr="00EA7665">
        <w:rPr>
          <w:rFonts w:ascii="Arial" w:hAnsi="Arial" w:cs="Arial"/>
        </w:rPr>
        <w:t xml:space="preserve">Multilateral development banks should create a more engaging platform to influence </w:t>
      </w:r>
      <w:r w:rsidR="00706F68">
        <w:rPr>
          <w:rFonts w:ascii="Arial" w:hAnsi="Arial" w:cs="Arial"/>
        </w:rPr>
        <w:t>emerging economies' monetary and fiscal polic</w:t>
      </w:r>
      <w:r w:rsidRPr="00EA7665">
        <w:rPr>
          <w:rFonts w:ascii="Arial" w:hAnsi="Arial" w:cs="Arial"/>
        </w:rPr>
        <w:t xml:space="preserve">ies to facilitate </w:t>
      </w:r>
      <w:r>
        <w:rPr>
          <w:rFonts w:ascii="Arial" w:hAnsi="Arial" w:cs="Arial"/>
        </w:rPr>
        <w:t xml:space="preserve">the </w:t>
      </w:r>
      <w:r w:rsidRPr="00EA7665">
        <w:rPr>
          <w:rFonts w:ascii="Arial" w:hAnsi="Arial" w:cs="Arial"/>
        </w:rPr>
        <w:t xml:space="preserve">provision </w:t>
      </w:r>
      <w:r>
        <w:rPr>
          <w:rFonts w:ascii="Arial" w:hAnsi="Arial" w:cs="Arial"/>
        </w:rPr>
        <w:t xml:space="preserve">of </w:t>
      </w:r>
      <w:r w:rsidRPr="00EA7665">
        <w:rPr>
          <w:rFonts w:ascii="Arial" w:hAnsi="Arial" w:cs="Arial"/>
        </w:rPr>
        <w:t>finance for real estate project development.</w:t>
      </w:r>
    </w:p>
    <w:p w14:paraId="6BF7A314" w14:textId="77777777" w:rsidR="00CD6352" w:rsidRDefault="00CD6352" w:rsidP="007625E7">
      <w:pPr>
        <w:pStyle w:val="ListParagraph"/>
        <w:numPr>
          <w:ilvl w:val="0"/>
          <w:numId w:val="391"/>
        </w:numPr>
        <w:spacing w:line="360" w:lineRule="auto"/>
        <w:rPr>
          <w:rFonts w:ascii="Arial" w:hAnsi="Arial" w:cs="Arial"/>
        </w:rPr>
      </w:pPr>
      <w:r>
        <w:rPr>
          <w:rFonts w:ascii="Arial" w:hAnsi="Arial" w:cs="Arial"/>
        </w:rPr>
        <w:lastRenderedPageBreak/>
        <w:t xml:space="preserve">The </w:t>
      </w:r>
      <w:r w:rsidRPr="00EA7665">
        <w:rPr>
          <w:rFonts w:ascii="Arial" w:hAnsi="Arial" w:cs="Arial"/>
        </w:rPr>
        <w:t>Research Community should undertake more research  on innovative financing to a</w:t>
      </w:r>
      <w:r>
        <w:rPr>
          <w:rFonts w:ascii="Arial" w:hAnsi="Arial" w:cs="Arial"/>
        </w:rPr>
        <w:t>cc</w:t>
      </w:r>
      <w:r w:rsidRPr="00EA7665">
        <w:rPr>
          <w:rFonts w:ascii="Arial" w:hAnsi="Arial" w:cs="Arial"/>
        </w:rPr>
        <w:t>ess the funding requirements for real estate project development</w:t>
      </w:r>
    </w:p>
    <w:p w14:paraId="16382187" w14:textId="77777777" w:rsidR="00CD6352" w:rsidRPr="00A23AF8" w:rsidRDefault="00CD6352" w:rsidP="007625E7">
      <w:pPr>
        <w:pStyle w:val="ListParagraph"/>
        <w:numPr>
          <w:ilvl w:val="0"/>
          <w:numId w:val="391"/>
        </w:numPr>
        <w:spacing w:line="360" w:lineRule="auto"/>
        <w:rPr>
          <w:rFonts w:ascii="Arial" w:hAnsi="Arial" w:cs="Arial"/>
        </w:rPr>
      </w:pPr>
      <w:r w:rsidRPr="00A23AF8">
        <w:rPr>
          <w:rFonts w:ascii="Arial" w:hAnsi="Arial" w:cs="Arial"/>
        </w:rPr>
        <w:t xml:space="preserve">Private sector/ Real estate managers should take advantage of government economic policies like tax exemptions that encourage real estate investment. They should </w:t>
      </w:r>
      <w:r>
        <w:rPr>
          <w:rFonts w:ascii="Arial" w:hAnsi="Arial" w:cs="Arial"/>
        </w:rPr>
        <w:t xml:space="preserve">also </w:t>
      </w:r>
      <w:r w:rsidRPr="00A23AF8">
        <w:rPr>
          <w:rFonts w:ascii="Arial" w:hAnsi="Arial" w:cs="Arial"/>
        </w:rPr>
        <w:t>take advantage of existing policies that facilitate partnership with government and managers in the real estate’s sector to provide housing</w:t>
      </w:r>
    </w:p>
    <w:p w14:paraId="026AFF74" w14:textId="12EA3880" w:rsidR="00CD6352" w:rsidRPr="00A23AF8" w:rsidRDefault="00223E37" w:rsidP="007625E7">
      <w:pPr>
        <w:pStyle w:val="ListParagraph"/>
        <w:numPr>
          <w:ilvl w:val="0"/>
          <w:numId w:val="391"/>
        </w:numPr>
        <w:spacing w:line="360" w:lineRule="auto"/>
        <w:rPr>
          <w:rFonts w:ascii="Arial" w:hAnsi="Arial" w:cs="Arial"/>
        </w:rPr>
      </w:pPr>
      <w:r>
        <w:rPr>
          <w:rFonts w:ascii="Arial" w:hAnsi="Arial" w:cs="Arial"/>
        </w:rPr>
        <w:t>The p</w:t>
      </w:r>
      <w:r w:rsidR="00CD6352" w:rsidRPr="00A23AF8">
        <w:rPr>
          <w:rFonts w:ascii="Arial" w:hAnsi="Arial" w:cs="Arial"/>
        </w:rPr>
        <w:t xml:space="preserve">rivate sector should get involved in </w:t>
      </w:r>
      <w:r w:rsidR="00706F68">
        <w:rPr>
          <w:rFonts w:ascii="Arial" w:hAnsi="Arial" w:cs="Arial"/>
        </w:rPr>
        <w:t>establishing</w:t>
      </w:r>
      <w:r w:rsidR="00CD6352">
        <w:rPr>
          <w:rFonts w:ascii="Arial" w:hAnsi="Arial" w:cs="Arial"/>
        </w:rPr>
        <w:t xml:space="preserve"> </w:t>
      </w:r>
      <w:r w:rsidR="00CD6352" w:rsidRPr="00A23AF8">
        <w:rPr>
          <w:rFonts w:ascii="Arial" w:hAnsi="Arial" w:cs="Arial"/>
        </w:rPr>
        <w:t xml:space="preserve">more REITs and real estate companies and should </w:t>
      </w:r>
      <w:r w:rsidR="00CD6352">
        <w:rPr>
          <w:rFonts w:ascii="Arial" w:hAnsi="Arial" w:cs="Arial"/>
        </w:rPr>
        <w:t>enhance</w:t>
      </w:r>
      <w:r w:rsidR="00CD6352" w:rsidRPr="00A23AF8">
        <w:rPr>
          <w:rFonts w:ascii="Arial" w:hAnsi="Arial" w:cs="Arial"/>
        </w:rPr>
        <w:t xml:space="preserve"> capacity building </w:t>
      </w:r>
      <w:r w:rsidR="00CD6352">
        <w:rPr>
          <w:rFonts w:ascii="Arial" w:hAnsi="Arial" w:cs="Arial"/>
        </w:rPr>
        <w:t>for</w:t>
      </w:r>
      <w:r w:rsidR="00CD6352" w:rsidRPr="00A23AF8">
        <w:rPr>
          <w:rFonts w:ascii="Arial" w:hAnsi="Arial" w:cs="Arial"/>
        </w:rPr>
        <w:t xml:space="preserve"> the development of </w:t>
      </w:r>
      <w:r w:rsidR="00CD6352">
        <w:rPr>
          <w:rFonts w:ascii="Arial" w:hAnsi="Arial" w:cs="Arial"/>
        </w:rPr>
        <w:t>sk</w:t>
      </w:r>
      <w:r w:rsidR="00CD6352" w:rsidRPr="00A23AF8">
        <w:rPr>
          <w:rFonts w:ascii="Arial" w:hAnsi="Arial" w:cs="Arial"/>
        </w:rPr>
        <w:t>ills. knowledge and competences to facilitate access to more funding</w:t>
      </w:r>
    </w:p>
    <w:p w14:paraId="5DD6BC96" w14:textId="77777777" w:rsidR="00CD6352" w:rsidRPr="00C63D45" w:rsidRDefault="00CD6352" w:rsidP="007625E7">
      <w:pPr>
        <w:pStyle w:val="ListParagraph"/>
        <w:numPr>
          <w:ilvl w:val="0"/>
          <w:numId w:val="391"/>
        </w:numPr>
        <w:spacing w:line="360" w:lineRule="auto"/>
        <w:rPr>
          <w:rFonts w:ascii="Arial" w:hAnsi="Arial" w:cs="Arial"/>
        </w:rPr>
      </w:pPr>
      <w:r w:rsidRPr="00C63D45">
        <w:rPr>
          <w:rFonts w:ascii="Arial" w:hAnsi="Arial" w:cs="Arial"/>
        </w:rPr>
        <w:t xml:space="preserve">Local banks should </w:t>
      </w:r>
      <w:r>
        <w:rPr>
          <w:rFonts w:ascii="Arial" w:hAnsi="Arial" w:cs="Arial"/>
        </w:rPr>
        <w:t>pr</w:t>
      </w:r>
      <w:r w:rsidRPr="00C63D45">
        <w:rPr>
          <w:rFonts w:ascii="Arial" w:hAnsi="Arial" w:cs="Arial"/>
        </w:rPr>
        <w:t>ovide more banking products that encourage real estate provision, as well as get into joint venture agreements with the government for real estate provision</w:t>
      </w:r>
    </w:p>
    <w:p w14:paraId="120DB039" w14:textId="77777777" w:rsidR="00CD6352" w:rsidRPr="00C63D45" w:rsidRDefault="00CD6352" w:rsidP="007625E7">
      <w:pPr>
        <w:pStyle w:val="ListParagraph"/>
        <w:numPr>
          <w:ilvl w:val="0"/>
          <w:numId w:val="391"/>
        </w:numPr>
        <w:spacing w:line="360" w:lineRule="auto"/>
        <w:rPr>
          <w:rFonts w:ascii="Arial" w:hAnsi="Arial" w:cs="Arial"/>
        </w:rPr>
      </w:pPr>
      <w:r w:rsidRPr="00C63D45">
        <w:rPr>
          <w:rFonts w:ascii="Arial" w:hAnsi="Arial" w:cs="Arial"/>
        </w:rPr>
        <w:t>Communities growth and development should be encouraged to enhance employment and hence finance for real estate project development.</w:t>
      </w:r>
    </w:p>
    <w:p w14:paraId="322E2A23" w14:textId="77777777" w:rsidR="00CD6352" w:rsidRPr="00C63D45" w:rsidRDefault="00CD6352" w:rsidP="00CD6352">
      <w:pPr>
        <w:spacing w:line="360" w:lineRule="auto"/>
        <w:rPr>
          <w:rFonts w:ascii="Arial" w:hAnsi="Arial" w:cs="Arial"/>
        </w:rPr>
      </w:pPr>
    </w:p>
    <w:p w14:paraId="301359BB" w14:textId="77777777" w:rsidR="00CD6352" w:rsidRPr="00EA7665" w:rsidRDefault="00CD6352" w:rsidP="00CD6352">
      <w:pPr>
        <w:pStyle w:val="Heading3"/>
        <w:spacing w:after="240"/>
      </w:pPr>
      <w:bookmarkStart w:id="1488" w:name="_Toc78983947"/>
      <w:r w:rsidRPr="00EA7665">
        <w:t>Recommendation for the Academics</w:t>
      </w:r>
      <w:bookmarkEnd w:id="1488"/>
    </w:p>
    <w:p w14:paraId="71662CAD" w14:textId="77777777" w:rsidR="00CD6352" w:rsidRPr="00EA7665" w:rsidRDefault="00CD6352" w:rsidP="007625E7">
      <w:pPr>
        <w:pStyle w:val="ListParagraph"/>
        <w:numPr>
          <w:ilvl w:val="0"/>
          <w:numId w:val="392"/>
        </w:numPr>
        <w:spacing w:line="360" w:lineRule="auto"/>
        <w:jc w:val="both"/>
        <w:rPr>
          <w:rFonts w:ascii="Arial" w:hAnsi="Arial" w:cs="Arial"/>
        </w:rPr>
      </w:pPr>
      <w:r w:rsidRPr="00EA7665">
        <w:rPr>
          <w:rFonts w:ascii="Arial" w:hAnsi="Arial" w:cs="Arial"/>
        </w:rPr>
        <w:t xml:space="preserve">The study developed a toolkit for securing finance for real estate project development. It is recommended that </w:t>
      </w:r>
      <w:r>
        <w:rPr>
          <w:rFonts w:ascii="Arial" w:hAnsi="Arial" w:cs="Arial"/>
        </w:rPr>
        <w:t>other academics</w:t>
      </w:r>
      <w:r w:rsidRPr="00EA7665">
        <w:rPr>
          <w:rFonts w:ascii="Arial" w:hAnsi="Arial" w:cs="Arial"/>
        </w:rPr>
        <w:t xml:space="preserve"> validate this toolkit in the specific countries considered for this research as well as other countries.</w:t>
      </w:r>
    </w:p>
    <w:p w14:paraId="77CCEF91" w14:textId="65DBC9BB" w:rsidR="00CD6352" w:rsidRPr="00EA7665" w:rsidRDefault="00CD6352" w:rsidP="007625E7">
      <w:pPr>
        <w:pStyle w:val="ListParagraph"/>
        <w:numPr>
          <w:ilvl w:val="0"/>
          <w:numId w:val="392"/>
        </w:numPr>
        <w:spacing w:line="360" w:lineRule="auto"/>
        <w:jc w:val="both"/>
        <w:rPr>
          <w:rFonts w:ascii="Arial" w:hAnsi="Arial" w:cs="Arial"/>
        </w:rPr>
      </w:pPr>
      <w:r w:rsidRPr="00EA7665">
        <w:rPr>
          <w:rFonts w:ascii="Arial" w:hAnsi="Arial" w:cs="Arial"/>
        </w:rPr>
        <w:t>Since the respondents for this research are from managerial positions (top</w:t>
      </w:r>
      <w:r>
        <w:rPr>
          <w:rFonts w:ascii="Arial" w:hAnsi="Arial" w:cs="Arial"/>
        </w:rPr>
        <w:t>,</w:t>
      </w:r>
      <w:r w:rsidRPr="00EA7665">
        <w:rPr>
          <w:rFonts w:ascii="Arial" w:hAnsi="Arial" w:cs="Arial"/>
        </w:rPr>
        <w:t xml:space="preserve"> </w:t>
      </w:r>
      <w:r>
        <w:rPr>
          <w:rFonts w:ascii="Arial" w:hAnsi="Arial" w:cs="Arial"/>
        </w:rPr>
        <w:t>m</w:t>
      </w:r>
      <w:r w:rsidRPr="00EA7665">
        <w:rPr>
          <w:rFonts w:ascii="Arial" w:hAnsi="Arial" w:cs="Arial"/>
        </w:rPr>
        <w:t xml:space="preserve">iddle and </w:t>
      </w:r>
      <w:r>
        <w:rPr>
          <w:rFonts w:ascii="Arial" w:hAnsi="Arial" w:cs="Arial"/>
        </w:rPr>
        <w:t>lower</w:t>
      </w:r>
      <w:r w:rsidR="00223E37">
        <w:rPr>
          <w:rFonts w:ascii="Arial" w:hAnsi="Arial" w:cs="Arial"/>
        </w:rPr>
        <w:t>-</w:t>
      </w:r>
      <w:r>
        <w:rPr>
          <w:rFonts w:ascii="Arial" w:hAnsi="Arial" w:cs="Arial"/>
        </w:rPr>
        <w:t>level</w:t>
      </w:r>
      <w:r w:rsidRPr="00EA7665">
        <w:rPr>
          <w:rFonts w:ascii="Arial" w:hAnsi="Arial" w:cs="Arial"/>
        </w:rPr>
        <w:t xml:space="preserve"> managers) involved with financing decisions in the real estate sectors</w:t>
      </w:r>
      <w:r>
        <w:rPr>
          <w:rFonts w:ascii="Arial" w:hAnsi="Arial" w:cs="Arial"/>
        </w:rPr>
        <w:t xml:space="preserve">, </w:t>
      </w:r>
      <w:r w:rsidRPr="00EA7665">
        <w:rPr>
          <w:rFonts w:ascii="Arial" w:hAnsi="Arial" w:cs="Arial"/>
        </w:rPr>
        <w:t xml:space="preserve"> </w:t>
      </w:r>
      <w:r>
        <w:rPr>
          <w:rFonts w:ascii="Arial" w:hAnsi="Arial" w:cs="Arial"/>
        </w:rPr>
        <w:t>a</w:t>
      </w:r>
      <w:r w:rsidRPr="00EA7665">
        <w:rPr>
          <w:rFonts w:ascii="Arial" w:hAnsi="Arial" w:cs="Arial"/>
        </w:rPr>
        <w:t xml:space="preserve"> survey of a different group of respondents who are financiers</w:t>
      </w:r>
      <w:r>
        <w:rPr>
          <w:rFonts w:ascii="Arial" w:hAnsi="Arial" w:cs="Arial"/>
        </w:rPr>
        <w:t>,</w:t>
      </w:r>
      <w:r w:rsidRPr="00EA7665">
        <w:rPr>
          <w:rFonts w:ascii="Arial" w:hAnsi="Arial" w:cs="Arial"/>
        </w:rPr>
        <w:t xml:space="preserve"> which in this case should be debt, equity</w:t>
      </w:r>
      <w:r>
        <w:rPr>
          <w:rFonts w:ascii="Arial" w:hAnsi="Arial" w:cs="Arial"/>
        </w:rPr>
        <w:t>,</w:t>
      </w:r>
      <w:r w:rsidRPr="00EA7665">
        <w:rPr>
          <w:rFonts w:ascii="Arial" w:hAnsi="Arial" w:cs="Arial"/>
        </w:rPr>
        <w:t xml:space="preserve"> and innovative and creative financiers</w:t>
      </w:r>
      <w:r>
        <w:rPr>
          <w:rFonts w:ascii="Arial" w:hAnsi="Arial" w:cs="Arial"/>
        </w:rPr>
        <w:t>,</w:t>
      </w:r>
      <w:r w:rsidRPr="00EA7665">
        <w:rPr>
          <w:rFonts w:ascii="Arial" w:hAnsi="Arial" w:cs="Arial"/>
        </w:rPr>
        <w:t xml:space="preserve"> may reveal a per</w:t>
      </w:r>
      <w:r>
        <w:rPr>
          <w:rFonts w:ascii="Arial" w:hAnsi="Arial" w:cs="Arial"/>
        </w:rPr>
        <w:t xml:space="preserve">spective </w:t>
      </w:r>
      <w:r w:rsidRPr="00EA7665">
        <w:rPr>
          <w:rFonts w:ascii="Arial" w:hAnsi="Arial" w:cs="Arial"/>
        </w:rPr>
        <w:t>that will further enhance knowledge in this sector greatly.</w:t>
      </w:r>
    </w:p>
    <w:p w14:paraId="0C0F7E4C" w14:textId="1349974A" w:rsidR="00CD6352" w:rsidRDefault="00CD6352" w:rsidP="00815564">
      <w:pPr>
        <w:pStyle w:val="ListParagraph"/>
        <w:numPr>
          <w:ilvl w:val="0"/>
          <w:numId w:val="392"/>
        </w:numPr>
        <w:spacing w:line="360" w:lineRule="auto"/>
        <w:jc w:val="both"/>
        <w:rPr>
          <w:rFonts w:ascii="Arial" w:hAnsi="Arial" w:cs="Arial"/>
        </w:rPr>
      </w:pPr>
      <w:r w:rsidRPr="00EA7665">
        <w:rPr>
          <w:rFonts w:ascii="Arial" w:hAnsi="Arial" w:cs="Arial"/>
        </w:rPr>
        <w:t>Considering the broad scope of this research</w:t>
      </w:r>
      <w:r w:rsidR="00706F68">
        <w:rPr>
          <w:rFonts w:ascii="Arial" w:hAnsi="Arial" w:cs="Arial"/>
        </w:rPr>
        <w:t>,</w:t>
      </w:r>
      <w:r w:rsidRPr="00EA7665">
        <w:rPr>
          <w:rFonts w:ascii="Arial" w:hAnsi="Arial" w:cs="Arial"/>
        </w:rPr>
        <w:t xml:space="preserve"> it is also recommended that some future research be done on a narrower and broader perspective</w:t>
      </w:r>
      <w:r w:rsidR="00706F68">
        <w:rPr>
          <w:rFonts w:ascii="Arial" w:hAnsi="Arial" w:cs="Arial"/>
        </w:rPr>
        <w:t>,</w:t>
      </w:r>
      <w:r w:rsidRPr="00EA7665">
        <w:rPr>
          <w:rFonts w:ascii="Arial" w:hAnsi="Arial" w:cs="Arial"/>
        </w:rPr>
        <w:t xml:space="preserve"> respectively. Narrower could be focused on one country or a few countries in either the developed or emerging economies</w:t>
      </w:r>
      <w:r w:rsidR="00706F68">
        <w:rPr>
          <w:rFonts w:ascii="Arial" w:hAnsi="Arial" w:cs="Arial"/>
        </w:rPr>
        <w:t>,</w:t>
      </w:r>
      <w:r w:rsidRPr="00EA7665">
        <w:rPr>
          <w:rFonts w:ascii="Arial" w:hAnsi="Arial" w:cs="Arial"/>
        </w:rPr>
        <w:t xml:space="preserve"> and wider could be focused on more countries, and this could yield vibrant comparative data. </w:t>
      </w:r>
    </w:p>
    <w:p w14:paraId="496CDD62" w14:textId="77777777" w:rsidR="00CD6352" w:rsidRPr="00EA7665" w:rsidRDefault="00CD6352" w:rsidP="00CD6352">
      <w:pPr>
        <w:pStyle w:val="ListParagraph"/>
        <w:spacing w:line="360" w:lineRule="auto"/>
        <w:jc w:val="both"/>
        <w:rPr>
          <w:rFonts w:ascii="Arial" w:hAnsi="Arial" w:cs="Arial"/>
        </w:rPr>
      </w:pPr>
    </w:p>
    <w:p w14:paraId="7075E625" w14:textId="77777777" w:rsidR="00CD6352" w:rsidRPr="00DF03A1" w:rsidRDefault="00CD6352" w:rsidP="00C74AEC">
      <w:pPr>
        <w:pStyle w:val="ListParagraph"/>
        <w:numPr>
          <w:ilvl w:val="1"/>
          <w:numId w:val="86"/>
        </w:numPr>
        <w:spacing w:line="360" w:lineRule="auto"/>
        <w:jc w:val="both"/>
        <w:rPr>
          <w:rFonts w:ascii="Arial" w:hAnsi="Arial" w:cs="Arial"/>
          <w:b/>
          <w:bCs/>
          <w:u w:val="single"/>
        </w:rPr>
      </w:pPr>
      <w:r w:rsidRPr="00DF03A1">
        <w:rPr>
          <w:rFonts w:ascii="Arial" w:hAnsi="Arial" w:cs="Arial"/>
          <w:b/>
          <w:bCs/>
          <w:u w:val="single"/>
        </w:rPr>
        <w:t xml:space="preserve"> Limitation of the study</w:t>
      </w:r>
    </w:p>
    <w:p w14:paraId="760B08B5" w14:textId="77777777" w:rsidR="00CD6352" w:rsidRPr="004067FD" w:rsidRDefault="00CD6352" w:rsidP="00CD6352">
      <w:pPr>
        <w:spacing w:line="360" w:lineRule="auto"/>
        <w:rPr>
          <w:rFonts w:ascii="Arial" w:hAnsi="Arial" w:cs="Arial"/>
        </w:rPr>
      </w:pPr>
      <w:r w:rsidRPr="004067FD">
        <w:rPr>
          <w:rFonts w:ascii="Arial" w:hAnsi="Arial" w:cs="Arial"/>
        </w:rPr>
        <w:t>The study has achieved very useful results, but there are, however, some limitations, and they are as follows:</w:t>
      </w:r>
    </w:p>
    <w:p w14:paraId="376EE515" w14:textId="34297DB1" w:rsidR="00CD6352" w:rsidRDefault="00AF0FBE" w:rsidP="007625E7">
      <w:pPr>
        <w:pStyle w:val="ListParagraph"/>
        <w:numPr>
          <w:ilvl w:val="0"/>
          <w:numId w:val="363"/>
        </w:numPr>
        <w:spacing w:line="360" w:lineRule="auto"/>
        <w:rPr>
          <w:rFonts w:ascii="Arial" w:hAnsi="Arial" w:cs="Arial"/>
        </w:rPr>
      </w:pPr>
      <w:r>
        <w:rPr>
          <w:rFonts w:ascii="Arial" w:hAnsi="Arial" w:cs="Arial"/>
        </w:rPr>
        <w:t xml:space="preserve">One of the </w:t>
      </w:r>
      <w:r w:rsidR="00CD6352" w:rsidRPr="004067FD">
        <w:rPr>
          <w:rFonts w:ascii="Arial" w:hAnsi="Arial" w:cs="Arial"/>
        </w:rPr>
        <w:t>limitation</w:t>
      </w:r>
      <w:r>
        <w:rPr>
          <w:rFonts w:ascii="Arial" w:hAnsi="Arial" w:cs="Arial"/>
        </w:rPr>
        <w:t>s</w:t>
      </w:r>
      <w:r w:rsidR="00CD6352" w:rsidRPr="004067FD">
        <w:rPr>
          <w:rFonts w:ascii="Arial" w:hAnsi="Arial" w:cs="Arial"/>
        </w:rPr>
        <w:t xml:space="preserve"> of this study is gaining access to managers in all six countries for both </w:t>
      </w:r>
      <w:r w:rsidR="00CD6352">
        <w:rPr>
          <w:rFonts w:ascii="Arial" w:hAnsi="Arial" w:cs="Arial"/>
        </w:rPr>
        <w:t xml:space="preserve">the </w:t>
      </w:r>
      <w:r w:rsidR="00CD6352" w:rsidRPr="004067FD">
        <w:rPr>
          <w:rFonts w:ascii="Arial" w:hAnsi="Arial" w:cs="Arial"/>
        </w:rPr>
        <w:t xml:space="preserve">semi-structured interviews and online questionnaire surveys. This is due to the </w:t>
      </w:r>
      <w:r w:rsidR="00CD6352" w:rsidRPr="004067FD">
        <w:rPr>
          <w:rFonts w:ascii="Arial" w:hAnsi="Arial" w:cs="Arial"/>
        </w:rPr>
        <w:lastRenderedPageBreak/>
        <w:t xml:space="preserve">broadness of the scope of the research and the very busy schedule of managers in the real estate sector. </w:t>
      </w:r>
    </w:p>
    <w:p w14:paraId="6A6771D6" w14:textId="07351754" w:rsidR="00AF0FBE" w:rsidRDefault="00AF0FBE" w:rsidP="00AF0FBE">
      <w:pPr>
        <w:pStyle w:val="ListParagraph"/>
        <w:numPr>
          <w:ilvl w:val="0"/>
          <w:numId w:val="363"/>
        </w:numPr>
        <w:spacing w:line="360" w:lineRule="auto"/>
        <w:rPr>
          <w:rFonts w:ascii="Arial" w:hAnsi="Arial" w:cs="Arial"/>
        </w:rPr>
      </w:pPr>
      <w:r>
        <w:rPr>
          <w:rFonts w:ascii="Arial" w:hAnsi="Arial" w:cs="Arial"/>
        </w:rPr>
        <w:t>A significant limitation of this study is the fact that the toolkit has not been validated.</w:t>
      </w:r>
    </w:p>
    <w:p w14:paraId="0D6A3A1C" w14:textId="3F7CF3BB" w:rsidR="00CD6352" w:rsidRDefault="00CD6352" w:rsidP="007625E7">
      <w:pPr>
        <w:pStyle w:val="ListParagraph"/>
        <w:numPr>
          <w:ilvl w:val="0"/>
          <w:numId w:val="363"/>
        </w:numPr>
        <w:spacing w:line="360" w:lineRule="auto"/>
        <w:rPr>
          <w:rFonts w:ascii="Arial" w:hAnsi="Arial" w:cs="Arial"/>
        </w:rPr>
      </w:pPr>
      <w:r w:rsidRPr="007625E7">
        <w:rPr>
          <w:rFonts w:ascii="Arial" w:hAnsi="Arial" w:cs="Arial"/>
        </w:rPr>
        <w:t xml:space="preserve">A significant challenge to this study is the low response rate to the questionnaire survey. Initially, this </w:t>
      </w:r>
      <w:r w:rsidR="00350613">
        <w:rPr>
          <w:rFonts w:ascii="Arial" w:hAnsi="Arial" w:cs="Arial"/>
        </w:rPr>
        <w:t>resulted from</w:t>
      </w:r>
      <w:r w:rsidRPr="007625E7">
        <w:rPr>
          <w:rFonts w:ascii="Arial" w:hAnsi="Arial" w:cs="Arial"/>
        </w:rPr>
        <w:t xml:space="preserve"> insufficient access to respondents who seem to be more willing to do interviews than questionnaires. Eventually, when the researcher gained access to extensive coverage of managers in the real estate development sector of both the developed and emerging economies, the challenge then centred on the robustness of the questionnaire. The managers complained they did not have time to respond to the survey. The length of the questionnaire was, however, highlighted in the course of the pilot</w:t>
      </w:r>
      <w:r w:rsidR="00350613">
        <w:rPr>
          <w:rFonts w:ascii="Arial" w:hAnsi="Arial" w:cs="Arial"/>
        </w:rPr>
        <w:t>,</w:t>
      </w:r>
      <w:r w:rsidRPr="007625E7">
        <w:rPr>
          <w:rFonts w:ascii="Arial" w:hAnsi="Arial" w:cs="Arial"/>
        </w:rPr>
        <w:t xml:space="preserve"> but not much reduction could be made because of the robustness of the information required for the research considering the broad coverage of the study. </w:t>
      </w:r>
      <w:r w:rsidR="00350613">
        <w:rPr>
          <w:rFonts w:ascii="Arial" w:hAnsi="Arial" w:cs="Arial"/>
        </w:rPr>
        <w:t>However, this limitation is mitigated by the very detailed and rich semi-structured interviews from managers in Germany, the United Kingdom, the United States of America, China, South Africa, and Nigeria as well as the literature review</w:t>
      </w:r>
      <w:r w:rsidRPr="007625E7">
        <w:rPr>
          <w:rFonts w:ascii="Arial" w:hAnsi="Arial" w:cs="Arial"/>
        </w:rPr>
        <w:t>.</w:t>
      </w:r>
    </w:p>
    <w:p w14:paraId="379F35FC" w14:textId="703110EF" w:rsidR="00DF2E23" w:rsidRDefault="00DF2E23" w:rsidP="00DF2E23">
      <w:pPr>
        <w:spacing w:line="360" w:lineRule="auto"/>
        <w:rPr>
          <w:rFonts w:ascii="Arial" w:hAnsi="Arial" w:cs="Arial"/>
        </w:rPr>
      </w:pPr>
    </w:p>
    <w:p w14:paraId="2563950A" w14:textId="52462255" w:rsidR="00DF2E23" w:rsidRDefault="00DF2E23" w:rsidP="00DF2E23">
      <w:pPr>
        <w:spacing w:line="360" w:lineRule="auto"/>
        <w:rPr>
          <w:rFonts w:ascii="Arial" w:hAnsi="Arial" w:cs="Arial"/>
        </w:rPr>
      </w:pPr>
    </w:p>
    <w:p w14:paraId="67A00B51" w14:textId="6AD7E72D" w:rsidR="00DF2E23" w:rsidRDefault="00DF2E23" w:rsidP="00DF2E23">
      <w:pPr>
        <w:spacing w:line="360" w:lineRule="auto"/>
        <w:rPr>
          <w:rFonts w:ascii="Arial" w:hAnsi="Arial" w:cs="Arial"/>
        </w:rPr>
      </w:pPr>
    </w:p>
    <w:p w14:paraId="77CC9BE9" w14:textId="02E1F84A" w:rsidR="00DF2E23" w:rsidRDefault="00DF2E23" w:rsidP="00DF2E23">
      <w:pPr>
        <w:spacing w:line="360" w:lineRule="auto"/>
        <w:rPr>
          <w:rFonts w:ascii="Arial" w:hAnsi="Arial" w:cs="Arial"/>
        </w:rPr>
      </w:pPr>
    </w:p>
    <w:p w14:paraId="31FEF29F" w14:textId="21F5FBB2" w:rsidR="00DF2E23" w:rsidRDefault="00DF2E23" w:rsidP="00DF2E23">
      <w:pPr>
        <w:spacing w:line="360" w:lineRule="auto"/>
        <w:rPr>
          <w:rFonts w:ascii="Arial" w:hAnsi="Arial" w:cs="Arial"/>
        </w:rPr>
      </w:pPr>
    </w:p>
    <w:p w14:paraId="74C5AB4F" w14:textId="78A4B348" w:rsidR="00DF2E23" w:rsidRDefault="00DF2E23" w:rsidP="00DF2E23">
      <w:pPr>
        <w:spacing w:line="360" w:lineRule="auto"/>
        <w:rPr>
          <w:rFonts w:ascii="Arial" w:hAnsi="Arial" w:cs="Arial"/>
        </w:rPr>
      </w:pPr>
    </w:p>
    <w:p w14:paraId="617ECD9C" w14:textId="7969F225" w:rsidR="00DF2E23" w:rsidRDefault="00DF2E23" w:rsidP="00DF2E23">
      <w:pPr>
        <w:spacing w:line="360" w:lineRule="auto"/>
        <w:rPr>
          <w:rFonts w:ascii="Arial" w:hAnsi="Arial" w:cs="Arial"/>
        </w:rPr>
      </w:pPr>
    </w:p>
    <w:p w14:paraId="707B7EA2" w14:textId="298D51EB" w:rsidR="00DF2E23" w:rsidRDefault="00DF2E23" w:rsidP="00DF2E23">
      <w:pPr>
        <w:spacing w:line="360" w:lineRule="auto"/>
        <w:rPr>
          <w:rFonts w:ascii="Arial" w:hAnsi="Arial" w:cs="Arial"/>
        </w:rPr>
      </w:pPr>
    </w:p>
    <w:p w14:paraId="2D8C6BEE" w14:textId="664B7141" w:rsidR="00DF2E23" w:rsidRDefault="00DF2E23" w:rsidP="00DF2E23">
      <w:pPr>
        <w:spacing w:line="360" w:lineRule="auto"/>
        <w:rPr>
          <w:rFonts w:ascii="Arial" w:hAnsi="Arial" w:cs="Arial"/>
        </w:rPr>
      </w:pPr>
    </w:p>
    <w:p w14:paraId="7744ACB1" w14:textId="3165882C" w:rsidR="00DF2E23" w:rsidRDefault="00DF2E23" w:rsidP="00DF2E23">
      <w:pPr>
        <w:spacing w:line="360" w:lineRule="auto"/>
        <w:rPr>
          <w:rFonts w:ascii="Arial" w:hAnsi="Arial" w:cs="Arial"/>
        </w:rPr>
      </w:pPr>
    </w:p>
    <w:p w14:paraId="1F25C7FE" w14:textId="7F4642AD" w:rsidR="00DF2E23" w:rsidRDefault="00DF2E23" w:rsidP="00DF2E23">
      <w:pPr>
        <w:spacing w:line="360" w:lineRule="auto"/>
        <w:rPr>
          <w:rFonts w:ascii="Arial" w:hAnsi="Arial" w:cs="Arial"/>
        </w:rPr>
      </w:pPr>
    </w:p>
    <w:p w14:paraId="4578E63A" w14:textId="0D7B74A1" w:rsidR="00DF2E23" w:rsidRDefault="00DF2E23" w:rsidP="00DF2E23">
      <w:pPr>
        <w:spacing w:line="360" w:lineRule="auto"/>
        <w:rPr>
          <w:rFonts w:ascii="Arial" w:hAnsi="Arial" w:cs="Arial"/>
        </w:rPr>
      </w:pPr>
    </w:p>
    <w:p w14:paraId="5435EA40" w14:textId="77777777" w:rsidR="00DF2E23" w:rsidRPr="00DF2E23" w:rsidRDefault="00DF2E23" w:rsidP="00DF2E23">
      <w:pPr>
        <w:spacing w:line="360" w:lineRule="auto"/>
        <w:rPr>
          <w:rFonts w:ascii="Arial" w:hAnsi="Arial" w:cs="Arial"/>
        </w:rPr>
      </w:pPr>
    </w:p>
    <w:p w14:paraId="1E648D66" w14:textId="6BA4D93D" w:rsidR="00CD6352" w:rsidRPr="00EA7665" w:rsidRDefault="009E2042" w:rsidP="00CD6352">
      <w:pPr>
        <w:pStyle w:val="Heading1"/>
        <w:spacing w:after="240"/>
      </w:pPr>
      <w:bookmarkStart w:id="1489" w:name="_Toc76460595"/>
      <w:bookmarkStart w:id="1490" w:name="_Toc76476271"/>
      <w:bookmarkStart w:id="1491" w:name="_Toc76494218"/>
      <w:bookmarkStart w:id="1492" w:name="_Toc77600894"/>
      <w:bookmarkStart w:id="1493" w:name="_Toc77939466"/>
      <w:bookmarkStart w:id="1494" w:name="_Toc77949260"/>
      <w:bookmarkStart w:id="1495" w:name="_Toc76460596"/>
      <w:bookmarkStart w:id="1496" w:name="_Toc76476272"/>
      <w:bookmarkStart w:id="1497" w:name="_Toc76494219"/>
      <w:bookmarkStart w:id="1498" w:name="_Toc77600895"/>
      <w:bookmarkStart w:id="1499" w:name="_Toc77939467"/>
      <w:bookmarkStart w:id="1500" w:name="_Toc77949261"/>
      <w:bookmarkStart w:id="1501" w:name="_Toc76460597"/>
      <w:bookmarkStart w:id="1502" w:name="_Toc76476273"/>
      <w:bookmarkStart w:id="1503" w:name="_Toc76494220"/>
      <w:bookmarkStart w:id="1504" w:name="_Toc77600896"/>
      <w:bookmarkStart w:id="1505" w:name="_Toc77939468"/>
      <w:bookmarkStart w:id="1506" w:name="_Toc77949262"/>
      <w:bookmarkStart w:id="1507" w:name="_Toc76460598"/>
      <w:bookmarkStart w:id="1508" w:name="_Toc76476274"/>
      <w:bookmarkStart w:id="1509" w:name="_Toc76494221"/>
      <w:bookmarkStart w:id="1510" w:name="_Toc77600897"/>
      <w:bookmarkStart w:id="1511" w:name="_Toc77939469"/>
      <w:bookmarkStart w:id="1512" w:name="_Toc77949263"/>
      <w:bookmarkStart w:id="1513" w:name="_Toc76460599"/>
      <w:bookmarkStart w:id="1514" w:name="_Toc76476275"/>
      <w:bookmarkStart w:id="1515" w:name="_Toc76494222"/>
      <w:bookmarkStart w:id="1516" w:name="_Toc77600898"/>
      <w:bookmarkStart w:id="1517" w:name="_Toc77939470"/>
      <w:bookmarkStart w:id="1518" w:name="_Toc77949264"/>
      <w:bookmarkStart w:id="1519" w:name="_Toc76460600"/>
      <w:bookmarkStart w:id="1520" w:name="_Toc76476276"/>
      <w:bookmarkStart w:id="1521" w:name="_Toc76494223"/>
      <w:bookmarkStart w:id="1522" w:name="_Toc77600899"/>
      <w:bookmarkStart w:id="1523" w:name="_Toc77939471"/>
      <w:bookmarkStart w:id="1524" w:name="_Toc77949265"/>
      <w:bookmarkStart w:id="1525" w:name="_Toc76460601"/>
      <w:bookmarkStart w:id="1526" w:name="_Toc76476277"/>
      <w:bookmarkStart w:id="1527" w:name="_Toc76494224"/>
      <w:bookmarkStart w:id="1528" w:name="_Toc77600900"/>
      <w:bookmarkStart w:id="1529" w:name="_Toc77939472"/>
      <w:bookmarkStart w:id="1530" w:name="_Toc77949266"/>
      <w:bookmarkStart w:id="1531" w:name="_Toc76460602"/>
      <w:bookmarkStart w:id="1532" w:name="_Toc76476278"/>
      <w:bookmarkStart w:id="1533" w:name="_Toc76494225"/>
      <w:bookmarkStart w:id="1534" w:name="_Toc77600901"/>
      <w:bookmarkStart w:id="1535" w:name="_Toc77939473"/>
      <w:bookmarkStart w:id="1536" w:name="_Toc77949267"/>
      <w:bookmarkStart w:id="1537" w:name="_Toc76460603"/>
      <w:bookmarkStart w:id="1538" w:name="_Toc76476279"/>
      <w:bookmarkStart w:id="1539" w:name="_Toc76494226"/>
      <w:bookmarkStart w:id="1540" w:name="_Toc77600902"/>
      <w:bookmarkStart w:id="1541" w:name="_Toc77939474"/>
      <w:bookmarkStart w:id="1542" w:name="_Toc77949268"/>
      <w:bookmarkStart w:id="1543" w:name="_Toc76460604"/>
      <w:bookmarkStart w:id="1544" w:name="_Toc76476280"/>
      <w:bookmarkStart w:id="1545" w:name="_Toc76494227"/>
      <w:bookmarkStart w:id="1546" w:name="_Toc77600903"/>
      <w:bookmarkStart w:id="1547" w:name="_Toc77939475"/>
      <w:bookmarkStart w:id="1548" w:name="_Toc77949269"/>
      <w:bookmarkStart w:id="1549" w:name="_Toc76460605"/>
      <w:bookmarkStart w:id="1550" w:name="_Toc76476281"/>
      <w:bookmarkStart w:id="1551" w:name="_Toc76494228"/>
      <w:bookmarkStart w:id="1552" w:name="_Toc77600904"/>
      <w:bookmarkStart w:id="1553" w:name="_Toc77939476"/>
      <w:bookmarkStart w:id="1554" w:name="_Toc77949270"/>
      <w:bookmarkStart w:id="1555" w:name="_Toc76460606"/>
      <w:bookmarkStart w:id="1556" w:name="_Toc76476282"/>
      <w:bookmarkStart w:id="1557" w:name="_Toc76494229"/>
      <w:bookmarkStart w:id="1558" w:name="_Toc77600905"/>
      <w:bookmarkStart w:id="1559" w:name="_Toc77939477"/>
      <w:bookmarkStart w:id="1560" w:name="_Toc77949271"/>
      <w:bookmarkStart w:id="1561" w:name="_Toc76460607"/>
      <w:bookmarkStart w:id="1562" w:name="_Toc76476283"/>
      <w:bookmarkStart w:id="1563" w:name="_Toc76494230"/>
      <w:bookmarkStart w:id="1564" w:name="_Toc77600906"/>
      <w:bookmarkStart w:id="1565" w:name="_Toc77939478"/>
      <w:bookmarkStart w:id="1566" w:name="_Toc77949272"/>
      <w:bookmarkStart w:id="1567" w:name="_Toc76460608"/>
      <w:bookmarkStart w:id="1568" w:name="_Toc76476284"/>
      <w:bookmarkStart w:id="1569" w:name="_Toc76494231"/>
      <w:bookmarkStart w:id="1570" w:name="_Toc77600907"/>
      <w:bookmarkStart w:id="1571" w:name="_Toc77939479"/>
      <w:bookmarkStart w:id="1572" w:name="_Toc77949273"/>
      <w:bookmarkStart w:id="1573" w:name="_Toc76460609"/>
      <w:bookmarkStart w:id="1574" w:name="_Toc76476285"/>
      <w:bookmarkStart w:id="1575" w:name="_Toc76494232"/>
      <w:bookmarkStart w:id="1576" w:name="_Toc77600908"/>
      <w:bookmarkStart w:id="1577" w:name="_Toc77939480"/>
      <w:bookmarkStart w:id="1578" w:name="_Toc77949274"/>
      <w:bookmarkStart w:id="1579" w:name="_Toc76460610"/>
      <w:bookmarkStart w:id="1580" w:name="_Toc76476286"/>
      <w:bookmarkStart w:id="1581" w:name="_Toc76494233"/>
      <w:bookmarkStart w:id="1582" w:name="_Toc77600909"/>
      <w:bookmarkStart w:id="1583" w:name="_Toc77939481"/>
      <w:bookmarkStart w:id="1584" w:name="_Toc77949275"/>
      <w:bookmarkStart w:id="1585" w:name="_Toc76460611"/>
      <w:bookmarkStart w:id="1586" w:name="_Toc76476287"/>
      <w:bookmarkStart w:id="1587" w:name="_Toc76494234"/>
      <w:bookmarkStart w:id="1588" w:name="_Toc77600910"/>
      <w:bookmarkStart w:id="1589" w:name="_Toc77939482"/>
      <w:bookmarkStart w:id="1590" w:name="_Toc77949276"/>
      <w:bookmarkStart w:id="1591" w:name="_Toc76460612"/>
      <w:bookmarkStart w:id="1592" w:name="_Toc76476288"/>
      <w:bookmarkStart w:id="1593" w:name="_Toc76494235"/>
      <w:bookmarkStart w:id="1594" w:name="_Toc77600911"/>
      <w:bookmarkStart w:id="1595" w:name="_Toc77939483"/>
      <w:bookmarkStart w:id="1596" w:name="_Toc77949277"/>
      <w:bookmarkStart w:id="1597" w:name="_Toc7898394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r>
        <w:lastRenderedPageBreak/>
        <w:t>References</w:t>
      </w:r>
      <w:bookmarkEnd w:id="1597"/>
      <w:r w:rsidR="00CD6352" w:rsidRPr="00EA7665">
        <w:t xml:space="preserve"> </w:t>
      </w:r>
    </w:p>
    <w:p w14:paraId="14219BD0" w14:textId="77777777" w:rsidR="005D5270" w:rsidRPr="008203A6" w:rsidRDefault="005D5270" w:rsidP="003B792A">
      <w:pPr>
        <w:spacing w:before="240" w:line="360" w:lineRule="auto"/>
        <w:jc w:val="both"/>
        <w:rPr>
          <w:rFonts w:ascii="Arial" w:hAnsi="Arial" w:cs="Arial"/>
        </w:rPr>
      </w:pPr>
      <w:bookmarkStart w:id="1598" w:name="_Hlk45213172"/>
      <w:r w:rsidRPr="008203A6">
        <w:rPr>
          <w:rFonts w:ascii="Arial" w:hAnsi="Arial" w:cs="Arial"/>
        </w:rPr>
        <w:t xml:space="preserve">Abdulnasser, H., Eduardo, R., &amp; Abdulrahman, A. ( 2013) How Integrated Are Real Estate Markets With The World Market? Evidence from A Case Bootstrap Analysis. Available At: </w:t>
      </w:r>
      <w:hyperlink r:id="rId42" w:tgtFrame="_blank" w:tooltip="Persistent link using digital object identifier" w:history="1">
        <w:r w:rsidRPr="008203A6">
          <w:rPr>
            <w:rStyle w:val="Hyperlink"/>
            <w:rFonts w:ascii="Arial" w:hAnsi="Arial" w:cs="Arial"/>
            <w:color w:val="auto"/>
          </w:rPr>
          <w:t>Https://Doi.Org/10.1016/J.Econmod.2013.10.037</w:t>
        </w:r>
      </w:hyperlink>
      <w:r w:rsidRPr="008203A6">
        <w:rPr>
          <w:rFonts w:ascii="Arial" w:hAnsi="Arial" w:cs="Arial"/>
        </w:rPr>
        <w:t>. Accessed On (22nd March 2019).</w:t>
      </w:r>
    </w:p>
    <w:p w14:paraId="68632BCA"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Achuthan, N (2018) All You Need To Know About Finance Process Mapping. Available At: </w:t>
      </w:r>
      <w:hyperlink r:id="rId43" w:history="1">
        <w:r w:rsidRPr="008203A6">
          <w:rPr>
            <w:rStyle w:val="Hyperlink"/>
            <w:rFonts w:ascii="Arial" w:hAnsi="Arial" w:cs="Arial"/>
            <w:color w:val="auto"/>
          </w:rPr>
          <w:t>Https://Kissflow.Com/Finance/Finance-Process-Mapping-Basics/</w:t>
        </w:r>
      </w:hyperlink>
      <w:r w:rsidRPr="008203A6">
        <w:rPr>
          <w:rFonts w:ascii="Arial" w:hAnsi="Arial" w:cs="Arial"/>
        </w:rPr>
        <w:t xml:space="preserve"> ( Accessed On 29</w:t>
      </w:r>
      <w:r w:rsidRPr="008203A6">
        <w:rPr>
          <w:rFonts w:ascii="Arial" w:hAnsi="Arial" w:cs="Arial"/>
          <w:vertAlign w:val="superscript"/>
        </w:rPr>
        <w:t>th</w:t>
      </w:r>
      <w:r w:rsidRPr="008203A6">
        <w:rPr>
          <w:rFonts w:ascii="Arial" w:hAnsi="Arial" w:cs="Arial"/>
        </w:rPr>
        <w:t xml:space="preserve"> June 2019).</w:t>
      </w:r>
    </w:p>
    <w:p w14:paraId="3F93CB2F" w14:textId="1C4D6279" w:rsidR="005D5270" w:rsidRPr="008203A6" w:rsidRDefault="005D5270" w:rsidP="003B792A">
      <w:pPr>
        <w:spacing w:before="240" w:line="360" w:lineRule="auto"/>
        <w:jc w:val="both"/>
        <w:rPr>
          <w:rFonts w:ascii="Arial" w:hAnsi="Arial" w:cs="Arial"/>
        </w:rPr>
      </w:pPr>
      <w:r w:rsidRPr="008203A6">
        <w:rPr>
          <w:rFonts w:ascii="Arial" w:hAnsi="Arial" w:cs="Arial"/>
        </w:rPr>
        <w:t xml:space="preserve">Adegboye, K. (2018) Developers Unfold Potentials In Lekki Property Market. Available At: </w:t>
      </w:r>
      <w:hyperlink r:id="rId44" w:history="1">
        <w:r w:rsidRPr="008203A6">
          <w:rPr>
            <w:rStyle w:val="Hyperlink"/>
            <w:rFonts w:ascii="Arial" w:hAnsi="Arial" w:cs="Arial"/>
            <w:color w:val="auto"/>
          </w:rPr>
          <w:t>Https://Www.Vanguardngr.Com/2018/01/Developers-Unfold-Potentials-Lekki-Property-Market/</w:t>
        </w:r>
      </w:hyperlink>
      <w:r w:rsidRPr="008203A6">
        <w:rPr>
          <w:rFonts w:ascii="Arial" w:hAnsi="Arial" w:cs="Arial"/>
        </w:rPr>
        <w:t>( Accessed On 1</w:t>
      </w:r>
      <w:r w:rsidRPr="008203A6">
        <w:rPr>
          <w:rFonts w:ascii="Arial" w:hAnsi="Arial" w:cs="Arial"/>
          <w:vertAlign w:val="superscript"/>
        </w:rPr>
        <w:t>st</w:t>
      </w:r>
      <w:r w:rsidRPr="008203A6">
        <w:rPr>
          <w:rFonts w:ascii="Arial" w:hAnsi="Arial" w:cs="Arial"/>
        </w:rPr>
        <w:t xml:space="preserve"> April 2018).</w:t>
      </w:r>
    </w:p>
    <w:p w14:paraId="23E6AC02" w14:textId="77777777" w:rsidR="005D5270" w:rsidRPr="008203A6" w:rsidRDefault="005D5270" w:rsidP="003B792A">
      <w:pPr>
        <w:spacing w:before="240" w:line="360" w:lineRule="auto"/>
        <w:jc w:val="both"/>
        <w:rPr>
          <w:rFonts w:ascii="Arial" w:hAnsi="Arial" w:cs="Arial"/>
        </w:rPr>
      </w:pPr>
      <w:r w:rsidRPr="008203A6">
        <w:rPr>
          <w:rFonts w:ascii="Arial" w:hAnsi="Arial" w:cs="Arial"/>
        </w:rPr>
        <w:t>Adejumo, A.O (2000), “Abandoned Projects: Causes and Remedies; Case Study Of Some Selected Government Properties In Osun State “, Bsc Dissertation, Department Of Estate Management, Obafemi Awolowo University, Ile-Ife.</w:t>
      </w:r>
    </w:p>
    <w:p w14:paraId="63618BB6"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Adenusi, B. (2013) Nigerian Rules on Private Equity Fund. Available At: </w:t>
      </w:r>
      <w:hyperlink r:id="rId45" w:history="1">
        <w:r w:rsidRPr="008203A6">
          <w:rPr>
            <w:rStyle w:val="Hyperlink"/>
            <w:rFonts w:ascii="Arial" w:hAnsi="Arial" w:cs="Arial"/>
            <w:color w:val="auto"/>
          </w:rPr>
          <w:t>Https://Www.Iflr.Com/Article/3196331/Nigerian-Rules-On-Private-Equity-Funds.Html?Articleid=3196331</w:t>
        </w:r>
      </w:hyperlink>
      <w:r w:rsidRPr="008203A6">
        <w:rPr>
          <w:rFonts w:ascii="Arial" w:hAnsi="Arial" w:cs="Arial"/>
        </w:rPr>
        <w:t xml:space="preserve"> (Accessed On 19</w:t>
      </w:r>
      <w:r w:rsidRPr="008203A6">
        <w:rPr>
          <w:rFonts w:ascii="Arial" w:hAnsi="Arial" w:cs="Arial"/>
          <w:vertAlign w:val="superscript"/>
        </w:rPr>
        <w:t>th</w:t>
      </w:r>
      <w:r w:rsidRPr="008203A6">
        <w:rPr>
          <w:rFonts w:ascii="Arial" w:hAnsi="Arial" w:cs="Arial"/>
        </w:rPr>
        <w:t xml:space="preserve"> February 2019) </w:t>
      </w:r>
    </w:p>
    <w:p w14:paraId="3039ADCB"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Adeyemi, D. (2017). Reclamation: Lagos Emerging Water Cities. Available At: </w:t>
      </w:r>
      <w:hyperlink r:id="rId46" w:history="1">
        <w:r w:rsidRPr="008203A6">
          <w:rPr>
            <w:rStyle w:val="Hyperlink"/>
            <w:rFonts w:ascii="Arial" w:hAnsi="Arial" w:cs="Arial"/>
            <w:color w:val="auto"/>
          </w:rPr>
          <w:t>Https://Newtelegraphonline.Com/2017/11/Reclamation-Lagos-Emerging-Water-Cities/</w:t>
        </w:r>
      </w:hyperlink>
      <w:r w:rsidRPr="008203A6">
        <w:rPr>
          <w:rFonts w:ascii="Arial" w:hAnsi="Arial" w:cs="Arial"/>
        </w:rPr>
        <w:t xml:space="preserve"> (Accessed On 27</w:t>
      </w:r>
      <w:r w:rsidRPr="008203A6">
        <w:rPr>
          <w:rFonts w:ascii="Arial" w:hAnsi="Arial" w:cs="Arial"/>
          <w:vertAlign w:val="superscript"/>
        </w:rPr>
        <w:t>th</w:t>
      </w:r>
      <w:r w:rsidRPr="008203A6">
        <w:rPr>
          <w:rFonts w:ascii="Arial" w:hAnsi="Arial" w:cs="Arial"/>
        </w:rPr>
        <w:t xml:space="preserve"> March 2018).</w:t>
      </w:r>
    </w:p>
    <w:p w14:paraId="2FCD1512" w14:textId="77777777" w:rsidR="005D5270" w:rsidRPr="008203A6" w:rsidRDefault="005D5270" w:rsidP="003B792A">
      <w:pPr>
        <w:spacing w:before="240" w:line="360" w:lineRule="auto"/>
        <w:jc w:val="both"/>
        <w:rPr>
          <w:rFonts w:ascii="Arial" w:hAnsi="Arial" w:cs="Arial"/>
        </w:rPr>
      </w:pPr>
      <w:r w:rsidRPr="008203A6">
        <w:rPr>
          <w:rFonts w:ascii="Arial" w:hAnsi="Arial" w:cs="Arial"/>
        </w:rPr>
        <w:t>Afonso Silva, A., Maria Rocha, &amp; Soares, C. A. P. (2018). Competencies And Skills Of Site Managers From The Point Of View Of Human Resources Professionals And Site Managers.</w:t>
      </w:r>
      <w:r w:rsidRPr="008203A6">
        <w:rPr>
          <w:rFonts w:ascii="Arial" w:hAnsi="Arial" w:cs="Arial"/>
          <w:i/>
          <w:iCs/>
        </w:rPr>
        <w:t> Business Management Dynamics, 7</w:t>
      </w:r>
      <w:r w:rsidRPr="008203A6">
        <w:rPr>
          <w:rFonts w:ascii="Arial" w:hAnsi="Arial" w:cs="Arial"/>
        </w:rPr>
        <w:t>(9), 1-10.</w:t>
      </w:r>
    </w:p>
    <w:p w14:paraId="69AE2296" w14:textId="6CB2E057" w:rsidR="005D5270" w:rsidRPr="008203A6" w:rsidRDefault="005D5270" w:rsidP="003B792A">
      <w:pPr>
        <w:spacing w:before="240" w:after="0" w:line="360" w:lineRule="auto"/>
        <w:jc w:val="both"/>
        <w:rPr>
          <w:rFonts w:ascii="Arial" w:hAnsi="Arial" w:cs="Arial"/>
        </w:rPr>
      </w:pPr>
      <w:r w:rsidRPr="008203A6">
        <w:rPr>
          <w:rFonts w:ascii="Arial" w:hAnsi="Arial" w:cs="Arial"/>
        </w:rPr>
        <w:t xml:space="preserve">African Real Estate Society (Afres) (2012). </w:t>
      </w:r>
      <w:hyperlink r:id="rId47" w:history="1">
        <w:r w:rsidR="00033232">
          <w:rPr>
            <w:rStyle w:val="Hyperlink"/>
            <w:rFonts w:ascii="Arial" w:hAnsi="Arial" w:cs="Arial"/>
            <w:color w:val="auto"/>
          </w:rPr>
          <w:t>h</w:t>
        </w:r>
        <w:r w:rsidRPr="008203A6">
          <w:rPr>
            <w:rStyle w:val="Hyperlink"/>
            <w:rFonts w:ascii="Arial" w:hAnsi="Arial" w:cs="Arial"/>
            <w:color w:val="auto"/>
          </w:rPr>
          <w:t>ttp://</w:t>
        </w:r>
        <w:r w:rsidR="00033232">
          <w:rPr>
            <w:rStyle w:val="Hyperlink"/>
            <w:rFonts w:ascii="Arial" w:hAnsi="Arial" w:cs="Arial"/>
            <w:color w:val="auto"/>
          </w:rPr>
          <w:t>w</w:t>
        </w:r>
        <w:r w:rsidRPr="008203A6">
          <w:rPr>
            <w:rStyle w:val="Hyperlink"/>
            <w:rFonts w:ascii="Arial" w:hAnsi="Arial" w:cs="Arial"/>
            <w:color w:val="auto"/>
          </w:rPr>
          <w:t>ww.Afresnet.Net/About-Site</w:t>
        </w:r>
      </w:hyperlink>
      <w:r w:rsidRPr="008203A6">
        <w:rPr>
          <w:rFonts w:ascii="Arial" w:hAnsi="Arial" w:cs="Arial"/>
        </w:rPr>
        <w:t xml:space="preserve"> (Accessed January 2019).</w:t>
      </w:r>
    </w:p>
    <w:p w14:paraId="5871C688" w14:textId="25555AAD" w:rsidR="005D5270" w:rsidRPr="008203A6" w:rsidRDefault="005D5270" w:rsidP="003B792A">
      <w:pPr>
        <w:spacing w:after="0" w:line="360" w:lineRule="auto"/>
        <w:jc w:val="both"/>
        <w:rPr>
          <w:rFonts w:ascii="Arial" w:eastAsia="Calibri" w:hAnsi="Arial" w:cs="Arial"/>
        </w:rPr>
      </w:pPr>
      <w:r w:rsidRPr="008203A6">
        <w:rPr>
          <w:rFonts w:ascii="Arial" w:eastAsia="Calibri" w:hAnsi="Arial" w:cs="Arial"/>
        </w:rPr>
        <w:br/>
      </w:r>
      <w:r w:rsidRPr="008203A6">
        <w:rPr>
          <w:rFonts w:ascii="Arial" w:eastAsia="Calibri" w:hAnsi="Arial" w:cs="Arial"/>
          <w:i/>
          <w:iCs/>
        </w:rPr>
        <w:t>Ahmed, A., Bwisa, H., Otieno, R. &amp; Kabare, K. (2014) Strategic Decision Making: Process, Models,</w:t>
      </w:r>
      <w:r w:rsidR="00CA55C4">
        <w:rPr>
          <w:rFonts w:ascii="Arial" w:eastAsia="Calibri" w:hAnsi="Arial" w:cs="Arial"/>
          <w:i/>
          <w:iCs/>
        </w:rPr>
        <w:t xml:space="preserve"> a</w:t>
      </w:r>
      <w:r w:rsidRPr="008203A6">
        <w:rPr>
          <w:rFonts w:ascii="Arial" w:eastAsia="Calibri" w:hAnsi="Arial" w:cs="Arial"/>
          <w:i/>
          <w:iCs/>
        </w:rPr>
        <w:t>nd Theories</w:t>
      </w:r>
      <w:r w:rsidRPr="008203A6">
        <w:rPr>
          <w:rFonts w:ascii="Arial" w:eastAsia="Calibri" w:hAnsi="Arial" w:cs="Arial"/>
        </w:rPr>
        <w:t xml:space="preserve">. Available From: </w:t>
      </w:r>
      <w:hyperlink r:id="rId48" w:history="1">
        <w:r w:rsidRPr="008203A6">
          <w:rPr>
            <w:rFonts w:ascii="Arial" w:eastAsia="Calibri" w:hAnsi="Arial" w:cs="Arial"/>
            <w:u w:val="single"/>
          </w:rPr>
          <w:t>Https://Www.Researchgate.Net/Publication/312187946_Strategic_Decision_Making_Process_Models_And_Theories</w:t>
        </w:r>
      </w:hyperlink>
      <w:r w:rsidRPr="008203A6">
        <w:rPr>
          <w:rFonts w:ascii="Arial" w:eastAsia="Calibri" w:hAnsi="Arial" w:cs="Arial"/>
        </w:rPr>
        <w:t xml:space="preserve"> [Accessed Jun 03 2020].</w:t>
      </w:r>
    </w:p>
    <w:p w14:paraId="1FDA3AC8" w14:textId="77777777" w:rsidR="005D5270" w:rsidRPr="008203A6" w:rsidRDefault="005D5270" w:rsidP="003B792A">
      <w:pPr>
        <w:spacing w:before="240" w:line="360" w:lineRule="auto"/>
        <w:jc w:val="both"/>
        <w:rPr>
          <w:rFonts w:ascii="Arial" w:hAnsi="Arial" w:cs="Arial"/>
        </w:rPr>
      </w:pPr>
      <w:r w:rsidRPr="008203A6">
        <w:rPr>
          <w:rFonts w:ascii="Arial" w:hAnsi="Arial" w:cs="Arial"/>
        </w:rPr>
        <w:t>Ahmed, R. (01). The Empirical Study of Project Managers’ Leadership Competence and Project Performance.</w:t>
      </w:r>
      <w:r w:rsidRPr="008203A6">
        <w:rPr>
          <w:rFonts w:ascii="Arial" w:hAnsi="Arial" w:cs="Arial"/>
          <w:i/>
          <w:iCs/>
        </w:rPr>
        <w:t> Engineering Management Journal, 29</w:t>
      </w:r>
      <w:r w:rsidRPr="008203A6">
        <w:rPr>
          <w:rFonts w:ascii="Arial" w:hAnsi="Arial" w:cs="Arial"/>
        </w:rPr>
        <w:t>(3), 189-205.</w:t>
      </w:r>
    </w:p>
    <w:p w14:paraId="120DC94D" w14:textId="56845612" w:rsidR="005D5270" w:rsidRPr="008203A6" w:rsidRDefault="005D5270" w:rsidP="003B792A">
      <w:pPr>
        <w:spacing w:line="360" w:lineRule="auto"/>
        <w:rPr>
          <w:rFonts w:ascii="Arial" w:hAnsi="Arial" w:cs="Arial"/>
        </w:rPr>
      </w:pPr>
      <w:r w:rsidRPr="008203A6">
        <w:rPr>
          <w:rFonts w:ascii="Arial" w:hAnsi="Arial" w:cs="Arial"/>
        </w:rPr>
        <w:lastRenderedPageBreak/>
        <w:t>Akinbogun, SP., Binuyo, OP.,  and Akinbogun, OT. (2017). A comparison of Monte Carlo simulation and discounted cash flow investment appraisal techniques using an office building in Akure, Nigeria. Available at : (PDF) nijest.com. (Accessed on 29/07/2020).</w:t>
      </w:r>
    </w:p>
    <w:p w14:paraId="35F03CC1" w14:textId="2DE6C55C" w:rsidR="005D5270" w:rsidRPr="008203A6" w:rsidRDefault="005D5270" w:rsidP="003B792A">
      <w:pPr>
        <w:spacing w:before="240" w:line="360" w:lineRule="auto"/>
        <w:jc w:val="both"/>
        <w:rPr>
          <w:rFonts w:ascii="Arial" w:hAnsi="Arial" w:cs="Arial"/>
        </w:rPr>
      </w:pPr>
      <w:r w:rsidRPr="008203A6">
        <w:rPr>
          <w:rFonts w:ascii="Arial" w:hAnsi="Arial" w:cs="Arial"/>
        </w:rPr>
        <w:t xml:space="preserve">Akintola, A., Root, D., And Venkatachalam (2017) Key Constraints to Optimal and Widespread Implantation Of Bim In The South African Construction Industry. Available At: </w:t>
      </w:r>
      <w:hyperlink r:id="rId49" w:history="1">
        <w:r w:rsidRPr="008203A6">
          <w:rPr>
            <w:rStyle w:val="Hyperlink"/>
            <w:rFonts w:ascii="Arial" w:hAnsi="Arial" w:cs="Arial"/>
            <w:color w:val="auto"/>
          </w:rPr>
          <w:t>Http://Www.Arcom.Ac.Uk/-Docs/Archive/2017-Indexed-Papers.Pdf</w:t>
        </w:r>
      </w:hyperlink>
      <w:r w:rsidRPr="008203A6">
        <w:rPr>
          <w:rFonts w:ascii="Arial" w:hAnsi="Arial" w:cs="Arial"/>
        </w:rPr>
        <w:t xml:space="preserve"> (Accessed On 7</w:t>
      </w:r>
      <w:r w:rsidRPr="008203A6">
        <w:rPr>
          <w:rFonts w:ascii="Arial" w:hAnsi="Arial" w:cs="Arial"/>
          <w:vertAlign w:val="superscript"/>
        </w:rPr>
        <w:t>th</w:t>
      </w:r>
      <w:r w:rsidRPr="008203A6">
        <w:rPr>
          <w:rFonts w:ascii="Arial" w:hAnsi="Arial" w:cs="Arial"/>
        </w:rPr>
        <w:t xml:space="preserve"> January 2019).</w:t>
      </w:r>
    </w:p>
    <w:p w14:paraId="5C579147" w14:textId="5189F6EF" w:rsidR="005D5270" w:rsidRPr="008203A6" w:rsidRDefault="005D5270" w:rsidP="003B792A">
      <w:pPr>
        <w:spacing w:before="240" w:line="360" w:lineRule="auto"/>
        <w:jc w:val="both"/>
        <w:rPr>
          <w:rFonts w:ascii="Arial" w:hAnsi="Arial" w:cs="Arial"/>
        </w:rPr>
      </w:pPr>
      <w:r w:rsidRPr="008203A6">
        <w:rPr>
          <w:rFonts w:ascii="Arial" w:hAnsi="Arial" w:cs="Arial"/>
        </w:rPr>
        <w:t xml:space="preserve">Alake, T &amp; Onu, E (2017) Nigerian Mortgage Lenders Strains as Loans Sour On Jobs. Available At: </w:t>
      </w:r>
      <w:hyperlink r:id="rId50" w:history="1">
        <w:r w:rsidRPr="008203A6">
          <w:rPr>
            <w:rStyle w:val="Hyperlink"/>
            <w:rFonts w:ascii="Arial" w:hAnsi="Arial" w:cs="Arial"/>
            <w:color w:val="auto"/>
          </w:rPr>
          <w:t>Https://Www.Bloomberg.Com/News/Articles/2017-03-28/Nigerian-Mortgage-Lenders-Strain-As-Loans-Sour-On-Job-Losses</w:t>
        </w:r>
      </w:hyperlink>
      <w:r w:rsidRPr="008203A6">
        <w:rPr>
          <w:rFonts w:ascii="Arial" w:hAnsi="Arial" w:cs="Arial"/>
        </w:rPr>
        <w:t>. ( Accessed On 21</w:t>
      </w:r>
      <w:r w:rsidRPr="008203A6">
        <w:rPr>
          <w:rFonts w:ascii="Arial" w:hAnsi="Arial" w:cs="Arial"/>
          <w:vertAlign w:val="superscript"/>
        </w:rPr>
        <w:t>st</w:t>
      </w:r>
      <w:r w:rsidRPr="008203A6">
        <w:rPr>
          <w:rFonts w:ascii="Arial" w:hAnsi="Arial" w:cs="Arial"/>
        </w:rPr>
        <w:t xml:space="preserve"> October 2017).</w:t>
      </w:r>
    </w:p>
    <w:p w14:paraId="266D307A"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Albright, K.S. (2004). Environmental Scanning: Radar for Success. Available At: </w:t>
      </w:r>
      <w:hyperlink r:id="rId51" w:history="1">
        <w:r w:rsidRPr="008203A6">
          <w:rPr>
            <w:rStyle w:val="Hyperlink"/>
            <w:rFonts w:ascii="Arial" w:hAnsi="Arial" w:cs="Arial"/>
            <w:color w:val="auto"/>
          </w:rPr>
          <w:t>Http://Citeseerx.Ist.Psu.Edu/Viewdoc/Download?Doi=10.1.1.983.8496&amp;Rep=Rep1&amp;Type=Pdf</w:t>
        </w:r>
      </w:hyperlink>
      <w:r w:rsidRPr="008203A6">
        <w:rPr>
          <w:rFonts w:ascii="Arial" w:hAnsi="Arial" w:cs="Arial"/>
        </w:rPr>
        <w:t xml:space="preserve"> (Accessed On 16/09/2019)</w:t>
      </w:r>
    </w:p>
    <w:p w14:paraId="45E99070" w14:textId="77777777" w:rsidR="005D5270" w:rsidRPr="008203A6" w:rsidRDefault="005D5270" w:rsidP="003B792A">
      <w:pPr>
        <w:spacing w:before="240" w:line="360" w:lineRule="auto"/>
        <w:jc w:val="both"/>
        <w:rPr>
          <w:rFonts w:ascii="Arial" w:hAnsi="Arial" w:cs="Arial"/>
        </w:rPr>
      </w:pPr>
      <w:r w:rsidRPr="008203A6">
        <w:rPr>
          <w:rFonts w:ascii="Arial" w:hAnsi="Arial" w:cs="Arial"/>
        </w:rPr>
        <w:t>Alda, M. (2018). Pension Fund Manager Skills Over The Economic Cycle: The (Non-) Specialisation Cost.</w:t>
      </w:r>
      <w:r w:rsidRPr="008203A6">
        <w:rPr>
          <w:rFonts w:ascii="Arial" w:hAnsi="Arial" w:cs="Arial"/>
          <w:i/>
          <w:iCs/>
        </w:rPr>
        <w:t> European Journal Of Finance, 24</w:t>
      </w:r>
      <w:r w:rsidRPr="008203A6">
        <w:rPr>
          <w:rFonts w:ascii="Arial" w:hAnsi="Arial" w:cs="Arial"/>
        </w:rPr>
        <w:t>(1), 36-58.</w:t>
      </w:r>
    </w:p>
    <w:p w14:paraId="2C56E38B" w14:textId="092E2594" w:rsidR="005D5270" w:rsidRPr="00DF4AF1" w:rsidRDefault="005D5270" w:rsidP="00DF4AF1">
      <w:pPr>
        <w:spacing w:line="360" w:lineRule="auto"/>
        <w:jc w:val="both"/>
        <w:rPr>
          <w:rFonts w:ascii="Arial" w:hAnsi="Arial" w:cs="Arial"/>
        </w:rPr>
      </w:pPr>
      <w:r w:rsidRPr="00DF4AF1">
        <w:rPr>
          <w:rFonts w:ascii="Arial" w:hAnsi="Arial" w:cs="Arial"/>
        </w:rPr>
        <w:t>Alexander, L.D. (1979). The Effect Level in the Hierarchy and Functional Area Have on the Extent Mintzberg's Roles Are Required by Managerial Jobs. In Academy of Management Proceedings (Vol. 1979, No. 1, pp. 186-189). Briarcliff Manor, NY 10510: Academy of Management.</w:t>
      </w:r>
    </w:p>
    <w:p w14:paraId="1C641095"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Alexander, R. (2019). Implicit, Tacit, Or Explicit: All Knowledge Is Valuable. Available At: </w:t>
      </w:r>
      <w:hyperlink r:id="rId52" w:history="1">
        <w:r w:rsidRPr="008203A6">
          <w:rPr>
            <w:rStyle w:val="Hyperlink"/>
            <w:rFonts w:ascii="Arial" w:hAnsi="Arial" w:cs="Arial"/>
            <w:color w:val="auto"/>
          </w:rPr>
          <w:t>Https://Bloomfire.Com/Blog/Implicit-Tacit-Explicit-Knowledge/</w:t>
        </w:r>
      </w:hyperlink>
      <w:r w:rsidRPr="008203A6">
        <w:rPr>
          <w:rFonts w:ascii="Arial" w:hAnsi="Arial" w:cs="Arial"/>
        </w:rPr>
        <w:t xml:space="preserve"> ( Accessed On 25</w:t>
      </w:r>
      <w:r w:rsidRPr="008203A6">
        <w:rPr>
          <w:rFonts w:ascii="Arial" w:hAnsi="Arial" w:cs="Arial"/>
          <w:vertAlign w:val="superscript"/>
        </w:rPr>
        <w:t>th</w:t>
      </w:r>
      <w:r w:rsidRPr="008203A6">
        <w:rPr>
          <w:rFonts w:ascii="Arial" w:hAnsi="Arial" w:cs="Arial"/>
        </w:rPr>
        <w:t xml:space="preserve"> February 2019). </w:t>
      </w:r>
    </w:p>
    <w:p w14:paraId="45DCE9BD"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Alexandrou, G., Gounopoulos, D. And Thomas, H. M. (2014) Mergers And Acquisitions In Shipping, </w:t>
      </w:r>
      <w:r w:rsidRPr="008203A6">
        <w:rPr>
          <w:rFonts w:ascii="Arial" w:hAnsi="Arial" w:cs="Arial"/>
          <w:i/>
          <w:iCs/>
          <w:sz w:val="22"/>
          <w:szCs w:val="22"/>
        </w:rPr>
        <w:t xml:space="preserve">Transportation Research Part E: Logistics And Transportation Review, </w:t>
      </w:r>
      <w:r w:rsidRPr="008203A6">
        <w:rPr>
          <w:rFonts w:ascii="Arial" w:hAnsi="Arial" w:cs="Arial"/>
          <w:sz w:val="22"/>
          <w:szCs w:val="22"/>
        </w:rPr>
        <w:t>61 (0), Pp. 212-234.</w:t>
      </w:r>
    </w:p>
    <w:p w14:paraId="46FFC7AF"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Al-Fadli, F (1990). Factors Influencing The Effectiveness Of Management Development Programs: The Case Of Kuwait. A Thesis Submitted For The Degree Of Doctor Of Philosophy At Cardiff Business School, University Of Wales. Available On Ethos (Accessed On 21</w:t>
      </w:r>
      <w:r w:rsidRPr="008203A6">
        <w:rPr>
          <w:rFonts w:ascii="Arial" w:hAnsi="Arial" w:cs="Arial"/>
          <w:vertAlign w:val="superscript"/>
        </w:rPr>
        <w:t>st</w:t>
      </w:r>
      <w:r w:rsidRPr="008203A6">
        <w:rPr>
          <w:rFonts w:ascii="Arial" w:hAnsi="Arial" w:cs="Arial"/>
        </w:rPr>
        <w:t xml:space="preserve"> December 2018).</w:t>
      </w:r>
    </w:p>
    <w:p w14:paraId="5D9C5E1D" w14:textId="34D30046"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 xml:space="preserve">Almendarez, L., (2016) Human Capital Theory: Implication For Educational Development In Belize And The Caribbean. Available At: </w:t>
      </w:r>
      <w:hyperlink r:id="rId53" w:history="1">
        <w:r w:rsidRPr="008203A6">
          <w:rPr>
            <w:rStyle w:val="Hyperlink"/>
            <w:rFonts w:ascii="Arial" w:eastAsia="Calibri" w:hAnsi="Arial" w:cs="Arial"/>
            <w:color w:val="auto"/>
          </w:rPr>
          <w:t>Https://Www.Tandfonline.Com/Doi/Abs/10.1080/00086495.2013.11672495?Journalcode=Rcbq20</w:t>
        </w:r>
      </w:hyperlink>
      <w:r w:rsidRPr="008203A6">
        <w:rPr>
          <w:rFonts w:ascii="Arial" w:eastAsia="Calibri" w:hAnsi="Arial" w:cs="Arial"/>
        </w:rPr>
        <w:t xml:space="preserve"> (Accessed On 26/05/2020).</w:t>
      </w:r>
    </w:p>
    <w:p w14:paraId="52D35AB2" w14:textId="77777777" w:rsidR="005D5270" w:rsidRPr="008203A6" w:rsidRDefault="005D5270" w:rsidP="003B792A">
      <w:pPr>
        <w:spacing w:before="240" w:line="360" w:lineRule="auto"/>
        <w:jc w:val="both"/>
        <w:rPr>
          <w:rFonts w:ascii="Arial" w:hAnsi="Arial" w:cs="Arial"/>
        </w:rPr>
      </w:pPr>
      <w:r w:rsidRPr="008203A6">
        <w:rPr>
          <w:rFonts w:ascii="Arial" w:hAnsi="Arial" w:cs="Arial"/>
        </w:rPr>
        <w:t>Alyousif, M. H., &amp; Kalenkoski, C. M. (2017). Who Seeks Financial Advice?</w:t>
      </w:r>
      <w:r w:rsidRPr="008203A6">
        <w:rPr>
          <w:rFonts w:ascii="Arial" w:hAnsi="Arial" w:cs="Arial"/>
          <w:i/>
          <w:iCs/>
        </w:rPr>
        <w:t> Financial Services Review, 26</w:t>
      </w:r>
      <w:r w:rsidRPr="008203A6">
        <w:rPr>
          <w:rFonts w:ascii="Arial" w:hAnsi="Arial" w:cs="Arial"/>
        </w:rPr>
        <w:t>(4), 405-432.</w:t>
      </w:r>
    </w:p>
    <w:p w14:paraId="114B488A" w14:textId="77777777" w:rsidR="005D5270" w:rsidRPr="008203A6" w:rsidRDefault="005D5270" w:rsidP="003B792A">
      <w:pPr>
        <w:spacing w:before="240" w:line="360" w:lineRule="auto"/>
        <w:jc w:val="both"/>
        <w:rPr>
          <w:rFonts w:ascii="Arial" w:hAnsi="Arial" w:cs="Arial"/>
        </w:rPr>
      </w:pPr>
      <w:r w:rsidRPr="008203A6">
        <w:rPr>
          <w:rFonts w:ascii="Arial" w:hAnsi="Arial" w:cs="Arial"/>
        </w:rPr>
        <w:t>Amatucci, F. M. And Sohl, J. E. (2004) Women Entrepreneurs Securing Business Angel Financing: Tales From The Field, Venture Capital, 6 (2-3), Pp. 181-196.</w:t>
      </w:r>
    </w:p>
    <w:p w14:paraId="102AA2DD" w14:textId="77777777" w:rsidR="005D5270" w:rsidRPr="008203A6" w:rsidRDefault="005D5270" w:rsidP="003B792A">
      <w:pPr>
        <w:spacing w:line="360" w:lineRule="auto"/>
        <w:rPr>
          <w:rFonts w:ascii="Arial" w:hAnsi="Arial" w:cs="Arial"/>
        </w:rPr>
      </w:pPr>
      <w:r w:rsidRPr="008203A6">
        <w:rPr>
          <w:rFonts w:ascii="Arial" w:hAnsi="Arial" w:cs="Arial"/>
        </w:rPr>
        <w:t>Amberg, M., Fischl, F., Wiener, M. and Alexander, F. (2005). Background of critical success factor research. Available at : (PDF) Semanticscholar.org. ( accessed on 29/07/2020).</w:t>
      </w:r>
    </w:p>
    <w:p w14:paraId="4EB6ABC3" w14:textId="77777777" w:rsidR="005D5270" w:rsidRPr="008203A6" w:rsidRDefault="005D5270" w:rsidP="003B792A">
      <w:pPr>
        <w:spacing w:before="240" w:line="360" w:lineRule="auto"/>
        <w:jc w:val="both"/>
        <w:rPr>
          <w:rFonts w:ascii="Arial" w:hAnsi="Arial" w:cs="Arial"/>
        </w:rPr>
      </w:pPr>
      <w:r w:rsidRPr="008203A6">
        <w:rPr>
          <w:rFonts w:ascii="Arial" w:hAnsi="Arial" w:cs="Arial"/>
        </w:rPr>
        <w:t>Ameyaw, E. E. And Chan, A. P.C. (2016) "Critical Success Factors For Public-Private Partnership In Water Supply Projects", Facilities, Vol. 34 Issue: 3/4, Pp.124-160, Https://0-Doi-Org.Lispac.Lsbu.Ac.Uk/10.1108/F-04-2014-0034</w:t>
      </w:r>
    </w:p>
    <w:p w14:paraId="50E82983"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Amonn D'Arcy, E.Â. and Keogh, G., 2002. The market context of property development activity. Development and Developers: perspectives on property, p.19.</w:t>
      </w:r>
    </w:p>
    <w:p w14:paraId="758D5FFA"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Anderson, C. W., Becher, D. A., And Campbell Ii, T. L. (2004) Bank Mergers, The Market For Bank Ceos, And Managerial Incentives, </w:t>
      </w:r>
      <w:r w:rsidRPr="008203A6">
        <w:rPr>
          <w:rFonts w:ascii="Arial" w:hAnsi="Arial" w:cs="Arial"/>
          <w:i/>
          <w:iCs/>
          <w:sz w:val="22"/>
          <w:szCs w:val="22"/>
        </w:rPr>
        <w:t xml:space="preserve">Journal Of Financial Intermediation, </w:t>
      </w:r>
      <w:r w:rsidRPr="008203A6">
        <w:rPr>
          <w:rFonts w:ascii="Arial" w:hAnsi="Arial" w:cs="Arial"/>
          <w:sz w:val="22"/>
          <w:szCs w:val="22"/>
        </w:rPr>
        <w:t>13 (1), Pp. 6-27.</w:t>
      </w:r>
    </w:p>
    <w:p w14:paraId="4BA7EE69"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Andreou, P. C., Louca, C. And Panayides, P. M. (2012) Valuation Effects Of Mergers And Acquisitions In Freight Transportation, </w:t>
      </w:r>
      <w:r w:rsidRPr="008203A6">
        <w:rPr>
          <w:rFonts w:ascii="Arial" w:hAnsi="Arial" w:cs="Arial"/>
          <w:i/>
          <w:iCs/>
          <w:sz w:val="22"/>
          <w:szCs w:val="22"/>
        </w:rPr>
        <w:t xml:space="preserve">Transportation Research Part E: Logistics And Transportation Review, </w:t>
      </w:r>
      <w:r w:rsidRPr="008203A6">
        <w:rPr>
          <w:rFonts w:ascii="Arial" w:hAnsi="Arial" w:cs="Arial"/>
          <w:sz w:val="22"/>
          <w:szCs w:val="22"/>
        </w:rPr>
        <w:t>48 (6), Pp. 1221-1234.</w:t>
      </w:r>
    </w:p>
    <w:p w14:paraId="0471FDE7"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Andriosopoulos, D. And Yang, S. The Impact Of Institutional Investors On Mergers And Acquisitions In The United Kingdom, </w:t>
      </w:r>
      <w:r w:rsidRPr="008203A6">
        <w:rPr>
          <w:rFonts w:ascii="Arial" w:hAnsi="Arial" w:cs="Arial"/>
          <w:i/>
          <w:iCs/>
          <w:sz w:val="22"/>
          <w:szCs w:val="22"/>
        </w:rPr>
        <w:t xml:space="preserve">Journal Of Banking &amp; Finance, </w:t>
      </w:r>
      <w:r w:rsidRPr="008203A6">
        <w:rPr>
          <w:rFonts w:ascii="Arial" w:hAnsi="Arial" w:cs="Arial"/>
          <w:sz w:val="22"/>
          <w:szCs w:val="22"/>
        </w:rPr>
        <w:t>(0).</w:t>
      </w:r>
    </w:p>
    <w:p w14:paraId="24262C89"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Ang, J. S., Ҫolak, G. And Zhang, T. (2014) Decoupling By Clienteles And By Time In The Financial Markets: The Case Of Two-Stage Stock-Financed Mergers, </w:t>
      </w:r>
      <w:r w:rsidRPr="008203A6">
        <w:rPr>
          <w:rFonts w:ascii="Arial" w:hAnsi="Arial" w:cs="Arial"/>
          <w:i/>
          <w:iCs/>
          <w:sz w:val="22"/>
          <w:szCs w:val="22"/>
        </w:rPr>
        <w:t xml:space="preserve">Journal Of Corporate Finance, </w:t>
      </w:r>
      <w:r w:rsidRPr="008203A6">
        <w:rPr>
          <w:rFonts w:ascii="Arial" w:hAnsi="Arial" w:cs="Arial"/>
          <w:sz w:val="22"/>
          <w:szCs w:val="22"/>
        </w:rPr>
        <w:t>25 (0), Pp. 360-375.</w:t>
      </w:r>
    </w:p>
    <w:p w14:paraId="67873E49" w14:textId="06C4F9EA" w:rsidR="005D5270" w:rsidRPr="008203A6" w:rsidRDefault="005D5270" w:rsidP="003B792A">
      <w:pPr>
        <w:spacing w:before="240" w:line="360" w:lineRule="auto"/>
        <w:jc w:val="both"/>
        <w:rPr>
          <w:rFonts w:ascii="Arial" w:hAnsi="Arial" w:cs="Arial"/>
        </w:rPr>
      </w:pPr>
      <w:r w:rsidRPr="008203A6">
        <w:rPr>
          <w:rFonts w:ascii="Arial" w:hAnsi="Arial" w:cs="Arial"/>
        </w:rPr>
        <w:t>Anghel, I. And Hristea, A. M. (2015) Some Considerations Regarding The International Real Estate Market – Present And Future Predictions, </w:t>
      </w:r>
      <w:r w:rsidRPr="008203A6">
        <w:rPr>
          <w:rFonts w:ascii="Arial" w:hAnsi="Arial" w:cs="Arial"/>
          <w:i/>
          <w:iCs/>
        </w:rPr>
        <w:t>Procedia Economics And Finance, </w:t>
      </w:r>
      <w:r w:rsidRPr="008203A6">
        <w:rPr>
          <w:rFonts w:ascii="Arial" w:hAnsi="Arial" w:cs="Arial"/>
        </w:rPr>
        <w:t xml:space="preserve">2015th, 32, Pp. 1442-1452. </w:t>
      </w:r>
      <w:r w:rsidR="00CA55C4">
        <w:rPr>
          <w:rFonts w:ascii="Arial" w:hAnsi="Arial" w:cs="Arial"/>
        </w:rPr>
        <w:t>DOI</w:t>
      </w:r>
      <w:r w:rsidRPr="008203A6">
        <w:rPr>
          <w:rFonts w:ascii="Arial" w:hAnsi="Arial" w:cs="Arial"/>
        </w:rPr>
        <w:t>: </w:t>
      </w:r>
      <w:hyperlink r:id="rId54" w:tgtFrame="_blank" w:history="1">
        <w:r w:rsidRPr="008203A6">
          <w:rPr>
            <w:rStyle w:val="Hyperlink"/>
            <w:rFonts w:ascii="Arial" w:hAnsi="Arial" w:cs="Arial"/>
            <w:color w:val="auto"/>
          </w:rPr>
          <w:t>Https://0-Doi-Org.Lispac.Lsbu.Ac.Uk/10.1016/S2212-5671(15)01520-8</w:t>
        </w:r>
      </w:hyperlink>
      <w:r w:rsidRPr="008203A6">
        <w:rPr>
          <w:rFonts w:ascii="Arial" w:hAnsi="Arial" w:cs="Arial"/>
        </w:rPr>
        <w:t>.</w:t>
      </w:r>
    </w:p>
    <w:p w14:paraId="4A6D7167" w14:textId="77777777" w:rsidR="005D5270" w:rsidRPr="008203A6" w:rsidRDefault="005D5270" w:rsidP="003B792A">
      <w:pPr>
        <w:spacing w:before="240" w:line="360" w:lineRule="auto"/>
        <w:jc w:val="both"/>
        <w:rPr>
          <w:rFonts w:ascii="Arial" w:hAnsi="Arial" w:cs="Arial"/>
        </w:rPr>
      </w:pPr>
      <w:r w:rsidRPr="008203A6">
        <w:rPr>
          <w:rFonts w:ascii="Arial" w:hAnsi="Arial" w:cs="Arial"/>
        </w:rPr>
        <w:t>Ankur, J., Saket, K., Satish, C. And Paul, D.K. ( 2015). Likert Scale: Explored And Explained. British Journal Of Applied Science &amp; Technology 7(4): 396-403, Article No Bjast. 2015.157</w:t>
      </w:r>
    </w:p>
    <w:p w14:paraId="63A4520F" w14:textId="32077D23" w:rsidR="005D5270" w:rsidRDefault="005D5270" w:rsidP="003B792A">
      <w:pPr>
        <w:spacing w:line="360" w:lineRule="auto"/>
        <w:rPr>
          <w:rFonts w:ascii="Arial" w:hAnsi="Arial" w:cs="Arial"/>
        </w:rPr>
      </w:pPr>
      <w:r w:rsidRPr="008203A6">
        <w:rPr>
          <w:rFonts w:ascii="Arial" w:hAnsi="Arial" w:cs="Arial"/>
        </w:rPr>
        <w:lastRenderedPageBreak/>
        <w:t>Anop, S. (2010). Determinants of foreign direct investments in real estate in European Countries-panel data analysis. Available at (PDF) diva-portal.org</w:t>
      </w:r>
    </w:p>
    <w:p w14:paraId="64586468" w14:textId="7CF0C9D7" w:rsidR="00605809" w:rsidRPr="008203A6" w:rsidRDefault="00605809" w:rsidP="003B792A">
      <w:pPr>
        <w:spacing w:line="360" w:lineRule="auto"/>
        <w:rPr>
          <w:rFonts w:ascii="Arial" w:hAnsi="Arial" w:cs="Arial"/>
        </w:rPr>
      </w:pPr>
      <w:r w:rsidRPr="00605809">
        <w:rPr>
          <w:rFonts w:ascii="Arial" w:hAnsi="Arial" w:cs="Arial"/>
        </w:rPr>
        <w:t>APM Competence Framework</w:t>
      </w:r>
      <w:r>
        <w:rPr>
          <w:rFonts w:ascii="Arial" w:hAnsi="Arial" w:cs="Arial"/>
        </w:rPr>
        <w:t xml:space="preserve"> (2015) </w:t>
      </w:r>
      <w:r w:rsidRPr="00605809">
        <w:rPr>
          <w:rFonts w:ascii="Arial" w:hAnsi="Arial" w:cs="Arial"/>
        </w:rPr>
        <w:t xml:space="preserve"> 2nd edition v1.0</w:t>
      </w:r>
      <w:r>
        <w:rPr>
          <w:rFonts w:ascii="Arial" w:hAnsi="Arial" w:cs="Arial"/>
        </w:rPr>
        <w:t xml:space="preserve">. Available at: </w:t>
      </w:r>
      <w:hyperlink r:id="rId55" w:history="1">
        <w:r w:rsidRPr="001D64E6">
          <w:rPr>
            <w:rStyle w:val="Hyperlink"/>
            <w:rFonts w:ascii="Arial" w:hAnsi="Arial" w:cs="Arial"/>
          </w:rPr>
          <w:t>https://www.apm.org.uk/media/2274/apm-competence-framework.pdf</w:t>
        </w:r>
      </w:hyperlink>
      <w:r>
        <w:rPr>
          <w:rFonts w:ascii="Arial" w:hAnsi="Arial" w:cs="Arial"/>
        </w:rPr>
        <w:t xml:space="preserve"> ( accessed on 24</w:t>
      </w:r>
      <w:r w:rsidRPr="007625E7">
        <w:rPr>
          <w:rFonts w:ascii="Arial" w:hAnsi="Arial" w:cs="Arial"/>
          <w:vertAlign w:val="superscript"/>
        </w:rPr>
        <w:t>th</w:t>
      </w:r>
      <w:r>
        <w:rPr>
          <w:rFonts w:ascii="Arial" w:hAnsi="Arial" w:cs="Arial"/>
        </w:rPr>
        <w:t xml:space="preserve"> June 2021)</w:t>
      </w:r>
    </w:p>
    <w:p w14:paraId="31ECFAE4"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Antoniadis, I., Alexandridis, A. And Sariannidis, N. (2014) Mergers And Acquisitions In The Greek Banking Sector: An Event Study Of A Proposal, </w:t>
      </w:r>
      <w:r w:rsidRPr="008203A6">
        <w:rPr>
          <w:rFonts w:ascii="Arial" w:hAnsi="Arial" w:cs="Arial"/>
          <w:i/>
          <w:iCs/>
          <w:sz w:val="22"/>
          <w:szCs w:val="22"/>
        </w:rPr>
        <w:t xml:space="preserve">Procedia Economics, And Finance, </w:t>
      </w:r>
      <w:r w:rsidRPr="008203A6">
        <w:rPr>
          <w:rFonts w:ascii="Arial" w:hAnsi="Arial" w:cs="Arial"/>
          <w:sz w:val="22"/>
          <w:szCs w:val="22"/>
        </w:rPr>
        <w:t>14 (0), Pp. 13-22.</w:t>
      </w:r>
    </w:p>
    <w:p w14:paraId="6B61D6D1"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 xml:space="preserve">Anwar, A., Bwisa, H., &amp; Otieno, R. (2014). Strategic decision making: Process, models and theories. Available at: (PDF) academia.edu ( accessed on 30/07/2020). </w:t>
      </w:r>
    </w:p>
    <w:p w14:paraId="237AEF89" w14:textId="67CC2035" w:rsidR="005D5270" w:rsidRPr="008203A6" w:rsidRDefault="005D5270" w:rsidP="003B792A">
      <w:pPr>
        <w:spacing w:after="200" w:line="360" w:lineRule="auto"/>
        <w:contextualSpacing/>
        <w:jc w:val="both"/>
        <w:rPr>
          <w:rFonts w:ascii="Arial" w:hAnsi="Arial" w:cs="Arial"/>
        </w:rPr>
      </w:pPr>
      <w:r w:rsidRPr="008203A6">
        <w:rPr>
          <w:rFonts w:ascii="Arial" w:hAnsi="Arial" w:cs="Arial"/>
        </w:rPr>
        <w:t xml:space="preserve">Anwar, M. (2018). Business model innovation and SMEs performance- Does competitive advantage mediate? Available at: </w:t>
      </w:r>
      <w:hyperlink r:id="rId56" w:history="1">
        <w:r w:rsidRPr="008203A6">
          <w:rPr>
            <w:rStyle w:val="Hyperlink"/>
            <w:rFonts w:ascii="Arial" w:hAnsi="Arial" w:cs="Arial"/>
            <w:color w:val="auto"/>
          </w:rPr>
          <w:t>https://doi.org/10.1142/S1363919618500573</w:t>
        </w:r>
      </w:hyperlink>
      <w:r w:rsidRPr="008203A6">
        <w:rPr>
          <w:rFonts w:ascii="Arial" w:hAnsi="Arial" w:cs="Arial"/>
        </w:rPr>
        <w:t xml:space="preserve"> (accessed on 30/07/2020).</w:t>
      </w:r>
    </w:p>
    <w:p w14:paraId="3E442BEB" w14:textId="6AB6EF8C" w:rsidR="005D5270" w:rsidRPr="008203A6" w:rsidRDefault="005D5270" w:rsidP="003B792A">
      <w:pPr>
        <w:spacing w:line="360" w:lineRule="auto"/>
        <w:jc w:val="both"/>
        <w:rPr>
          <w:rFonts w:ascii="Arial" w:hAnsi="Arial" w:cs="Arial"/>
        </w:rPr>
      </w:pPr>
      <w:r w:rsidRPr="008203A6">
        <w:rPr>
          <w:rFonts w:ascii="Arial" w:hAnsi="Arial" w:cs="Arial"/>
        </w:rPr>
        <w:t xml:space="preserve">Appelbaum, S. (1997) Socio-Technical Systems Theory: An Intervention Strategy For Organisational Development.  Management Decision 35(6); Pp 452 -463 Available At </w:t>
      </w:r>
      <w:hyperlink r:id="rId57" w:history="1">
        <w:r w:rsidRPr="008203A6">
          <w:rPr>
            <w:rStyle w:val="Hyperlink"/>
            <w:rFonts w:ascii="Arial" w:hAnsi="Arial" w:cs="Arial"/>
            <w:color w:val="auto"/>
          </w:rPr>
          <w:t>Https://Www.Researchgate.Net/Publication/235266179_Socio-Technical_Systems_Theory_An_Intervention_Strategy_For_Organizational_Development</w:t>
        </w:r>
      </w:hyperlink>
      <w:r w:rsidRPr="008203A6">
        <w:rPr>
          <w:rFonts w:ascii="Arial" w:hAnsi="Arial" w:cs="Arial"/>
        </w:rPr>
        <w:t xml:space="preserve"> ( Accessed On 05/06/2020).</w:t>
      </w:r>
    </w:p>
    <w:p w14:paraId="5855A558" w14:textId="77777777" w:rsidR="005D5270" w:rsidRPr="008203A6" w:rsidRDefault="005D5270" w:rsidP="003B792A">
      <w:pPr>
        <w:pStyle w:val="NormalWeb"/>
        <w:spacing w:before="0" w:line="360" w:lineRule="auto"/>
        <w:jc w:val="both"/>
        <w:rPr>
          <w:rFonts w:ascii="Arial" w:hAnsi="Arial" w:cs="Arial"/>
          <w:sz w:val="22"/>
          <w:szCs w:val="22"/>
        </w:rPr>
      </w:pPr>
      <w:r w:rsidRPr="008203A6">
        <w:rPr>
          <w:rFonts w:ascii="Arial" w:hAnsi="Arial" w:cs="Arial"/>
          <w:sz w:val="22"/>
          <w:szCs w:val="22"/>
        </w:rPr>
        <w:t xml:space="preserve">Arbel, A. And Orgler, Y. E. (1990) An Application Of The Ahp To Strategic Bank Planning: The Mergers And Acquisitions Process, </w:t>
      </w:r>
      <w:r w:rsidRPr="008203A6">
        <w:rPr>
          <w:rFonts w:ascii="Arial" w:hAnsi="Arial" w:cs="Arial"/>
          <w:i/>
          <w:iCs/>
          <w:sz w:val="22"/>
          <w:szCs w:val="22"/>
        </w:rPr>
        <w:t xml:space="preserve">European Journal Of Operational Research, </w:t>
      </w:r>
      <w:r w:rsidRPr="008203A6">
        <w:rPr>
          <w:rFonts w:ascii="Arial" w:hAnsi="Arial" w:cs="Arial"/>
          <w:sz w:val="22"/>
          <w:szCs w:val="22"/>
        </w:rPr>
        <w:t>48 (1), Pp. 27-37.</w:t>
      </w:r>
    </w:p>
    <w:p w14:paraId="68B50C0A" w14:textId="26881DFC" w:rsidR="005D5270" w:rsidRPr="008203A6" w:rsidRDefault="005D5270" w:rsidP="003B792A">
      <w:pPr>
        <w:spacing w:line="360" w:lineRule="auto"/>
        <w:jc w:val="both"/>
        <w:rPr>
          <w:rFonts w:ascii="Arial" w:hAnsi="Arial" w:cs="Arial"/>
        </w:rPr>
      </w:pPr>
      <w:r w:rsidRPr="008203A6">
        <w:rPr>
          <w:rFonts w:ascii="Arial" w:hAnsi="Arial" w:cs="Arial"/>
        </w:rPr>
        <w:t xml:space="preserve">Aristodemou, L. &amp; Tietze, F. (2019) Technology Strategic Decision Making (SDM); An Overview Of Decision Theories, Processes And Methods. Centre For Technology Management Working Paper Series. ISSM 2058-8887, No. 5. Available At: </w:t>
      </w:r>
      <w:hyperlink r:id="rId58" w:history="1">
        <w:r w:rsidRPr="008203A6">
          <w:rPr>
            <w:rStyle w:val="Hyperlink"/>
            <w:rFonts w:ascii="Arial" w:hAnsi="Arial" w:cs="Arial"/>
            <w:color w:val="auto"/>
          </w:rPr>
          <w:t>Https://Www.Repository.Cam.Ac.Uk/Bitstream/Handle/1810/288412/19_05_Aristodemou_Tietze.Pdf?Sequence=3&amp;Isallowed=Y</w:t>
        </w:r>
      </w:hyperlink>
      <w:r w:rsidRPr="008203A6">
        <w:rPr>
          <w:rFonts w:ascii="Arial" w:hAnsi="Arial" w:cs="Arial"/>
        </w:rPr>
        <w:t xml:space="preserve"> ( Accessed On 04/06/2020).</w:t>
      </w:r>
    </w:p>
    <w:p w14:paraId="049BCB21" w14:textId="4EF30A70" w:rsidR="005D5270" w:rsidRPr="008203A6" w:rsidRDefault="005D5270" w:rsidP="003B792A">
      <w:pPr>
        <w:spacing w:before="240" w:line="360" w:lineRule="auto"/>
        <w:jc w:val="both"/>
        <w:rPr>
          <w:rFonts w:ascii="Arial" w:hAnsi="Arial" w:cs="Arial"/>
        </w:rPr>
      </w:pPr>
      <w:r w:rsidRPr="008203A6">
        <w:rPr>
          <w:rFonts w:ascii="Arial" w:hAnsi="Arial" w:cs="Arial"/>
        </w:rPr>
        <w:t>Armento, B.J. (1983). A Study Of The Basic Economic Concepts Presented In DEEP Curriculum Guides, Grades 7-12, Journal Of Economic Education, 14 (3),</w:t>
      </w:r>
      <w:r w:rsidR="00D947F5">
        <w:rPr>
          <w:rFonts w:ascii="Arial" w:hAnsi="Arial" w:cs="Arial"/>
        </w:rPr>
        <w:t xml:space="preserve"> </w:t>
      </w:r>
      <w:r w:rsidRPr="008203A6">
        <w:rPr>
          <w:rFonts w:ascii="Arial" w:hAnsi="Arial" w:cs="Arial"/>
        </w:rPr>
        <w:t>Pp.22-27.</w:t>
      </w:r>
    </w:p>
    <w:p w14:paraId="67CC6F40" w14:textId="23BAC87E" w:rsidR="005D5270" w:rsidRPr="008203A6" w:rsidRDefault="005D5270" w:rsidP="003B792A">
      <w:pPr>
        <w:spacing w:before="240" w:after="200" w:line="360" w:lineRule="auto"/>
        <w:jc w:val="both"/>
        <w:rPr>
          <w:rFonts w:ascii="Arial" w:eastAsia="Calibri" w:hAnsi="Arial" w:cs="Arial"/>
        </w:rPr>
      </w:pPr>
      <w:r w:rsidRPr="008203A6">
        <w:rPr>
          <w:rFonts w:ascii="Arial" w:eastAsia="Calibri" w:hAnsi="Arial" w:cs="Arial"/>
        </w:rPr>
        <w:t xml:space="preserve">Arthur, M.B., Khapova, S.N., &amp; Wilderom, C. (2005) Career Success In Boundaryless Career World. Journal Of Organisational Behaviour 26, 177-202. Available At: </w:t>
      </w:r>
      <w:hyperlink r:id="rId59" w:history="1">
        <w:r w:rsidRPr="008203A6">
          <w:rPr>
            <w:rStyle w:val="Hyperlink"/>
            <w:rFonts w:ascii="Arial" w:eastAsia="Calibri" w:hAnsi="Arial" w:cs="Arial"/>
            <w:color w:val="auto"/>
          </w:rPr>
          <w:t>Http://Citeseerx.Ist.Psu.Edu/Viewdoc/Download?Doi=10.1.1.989.3396&amp;Rep=Rep1&amp;Type=Pdf</w:t>
        </w:r>
      </w:hyperlink>
      <w:r w:rsidRPr="008203A6">
        <w:rPr>
          <w:rFonts w:ascii="Arial" w:eastAsia="Calibri" w:hAnsi="Arial" w:cs="Arial"/>
        </w:rPr>
        <w:t xml:space="preserve"> ( Accessed On 26/05/2020).</w:t>
      </w:r>
    </w:p>
    <w:p w14:paraId="28D4E848" w14:textId="3C597E63" w:rsidR="005D5270" w:rsidRPr="008203A6" w:rsidRDefault="005D5270" w:rsidP="003B792A">
      <w:pPr>
        <w:spacing w:line="360" w:lineRule="auto"/>
        <w:rPr>
          <w:rFonts w:ascii="Arial" w:hAnsi="Arial" w:cs="Arial"/>
        </w:rPr>
      </w:pPr>
      <w:r w:rsidRPr="008203A6">
        <w:rPr>
          <w:rFonts w:ascii="Arial" w:hAnsi="Arial" w:cs="Arial"/>
        </w:rPr>
        <w:lastRenderedPageBreak/>
        <w:t>Arthur, MB. And Rousseau, DM (1996). A career lexicon for the 21</w:t>
      </w:r>
      <w:r w:rsidRPr="008203A6">
        <w:rPr>
          <w:rFonts w:ascii="Arial" w:hAnsi="Arial" w:cs="Arial"/>
          <w:vertAlign w:val="superscript"/>
        </w:rPr>
        <w:t>st</w:t>
      </w:r>
      <w:r w:rsidRPr="008203A6">
        <w:rPr>
          <w:rFonts w:ascii="Arial" w:hAnsi="Arial" w:cs="Arial"/>
        </w:rPr>
        <w:t xml:space="preserve"> century. Available at (PDF) univalle. Edu.</w:t>
      </w:r>
      <w:r w:rsidR="00D947F5">
        <w:rPr>
          <w:rFonts w:ascii="Arial" w:hAnsi="Arial" w:cs="Arial"/>
        </w:rPr>
        <w:t xml:space="preserve"> </w:t>
      </w:r>
      <w:r w:rsidRPr="008203A6">
        <w:rPr>
          <w:rFonts w:ascii="Arial" w:hAnsi="Arial" w:cs="Arial"/>
        </w:rPr>
        <w:t>co. (accessed on 29/07/2020).</w:t>
      </w:r>
    </w:p>
    <w:p w14:paraId="0ADFD991"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Asimakopoulos, I. And Athanasoglou, P. P. (2013) Revisiting The Merger And Acquisition Performance Of European Banks, </w:t>
      </w:r>
      <w:r w:rsidRPr="008203A6">
        <w:rPr>
          <w:rFonts w:ascii="Arial" w:hAnsi="Arial" w:cs="Arial"/>
          <w:i/>
          <w:iCs/>
          <w:sz w:val="22"/>
          <w:szCs w:val="22"/>
        </w:rPr>
        <w:t xml:space="preserve">International Review Of Financial Analysis, </w:t>
      </w:r>
      <w:r w:rsidRPr="008203A6">
        <w:rPr>
          <w:rFonts w:ascii="Arial" w:hAnsi="Arial" w:cs="Arial"/>
          <w:sz w:val="22"/>
          <w:szCs w:val="22"/>
        </w:rPr>
        <w:t>29 (0), Pp. 237-249.</w:t>
      </w:r>
    </w:p>
    <w:p w14:paraId="48AA471F" w14:textId="77777777" w:rsidR="005D5270" w:rsidRPr="008203A6" w:rsidRDefault="005D5270" w:rsidP="003B792A">
      <w:pPr>
        <w:spacing w:line="360" w:lineRule="auto"/>
        <w:rPr>
          <w:rFonts w:ascii="Arial" w:hAnsi="Arial" w:cs="Arial"/>
        </w:rPr>
      </w:pPr>
      <w:r w:rsidRPr="008203A6">
        <w:rPr>
          <w:rFonts w:ascii="Arial" w:hAnsi="Arial" w:cs="Arial"/>
        </w:rPr>
        <w:t>Assaf, S., and Sadiq, A. (2016). Factors affecting delays on private construction. (PDF) academia.edu. (accessed on 29/07/2020).</w:t>
      </w:r>
    </w:p>
    <w:p w14:paraId="477759FC" w14:textId="505277E7" w:rsidR="005D5270" w:rsidRPr="008203A6" w:rsidRDefault="005D5270" w:rsidP="003B792A">
      <w:pPr>
        <w:spacing w:before="240" w:line="360" w:lineRule="auto"/>
        <w:jc w:val="both"/>
        <w:rPr>
          <w:rFonts w:ascii="Arial" w:hAnsi="Arial" w:cs="Arial"/>
        </w:rPr>
      </w:pPr>
      <w:r w:rsidRPr="008203A6">
        <w:rPr>
          <w:rFonts w:ascii="Arial" w:hAnsi="Arial" w:cs="Arial"/>
        </w:rPr>
        <w:t xml:space="preserve">Asu, F. (2017). Inflation To Remain High In Nigeria Next Year- IMF. Available At: </w:t>
      </w:r>
      <w:hyperlink r:id="rId60" w:history="1">
        <w:r w:rsidRPr="008203A6">
          <w:rPr>
            <w:rStyle w:val="Hyperlink"/>
            <w:rFonts w:ascii="Arial" w:hAnsi="Arial" w:cs="Arial"/>
            <w:color w:val="auto"/>
          </w:rPr>
          <w:t>Http://Punchng.Com/Inflation-To-Remain-High-In-Nigeria-Next-Year-Imf/</w:t>
        </w:r>
      </w:hyperlink>
      <w:r w:rsidRPr="008203A6">
        <w:rPr>
          <w:rFonts w:ascii="Arial" w:hAnsi="Arial" w:cs="Arial"/>
        </w:rPr>
        <w:t xml:space="preserve"> ( Accessed On 11</w:t>
      </w:r>
      <w:r w:rsidRPr="008203A6">
        <w:rPr>
          <w:rFonts w:ascii="Arial" w:hAnsi="Arial" w:cs="Arial"/>
          <w:vertAlign w:val="superscript"/>
        </w:rPr>
        <w:t>th</w:t>
      </w:r>
      <w:r w:rsidRPr="008203A6">
        <w:rPr>
          <w:rFonts w:ascii="Arial" w:hAnsi="Arial" w:cs="Arial"/>
        </w:rPr>
        <w:t xml:space="preserve"> October 2017)</w:t>
      </w:r>
    </w:p>
    <w:p w14:paraId="48C3FDB3" w14:textId="65C2515E" w:rsidR="005D5270" w:rsidRPr="00CA55C4" w:rsidRDefault="005D5270" w:rsidP="007625E7">
      <w:pPr>
        <w:spacing w:before="240" w:line="360" w:lineRule="auto"/>
        <w:rPr>
          <w:rFonts w:ascii="Arial" w:hAnsi="Arial" w:cs="Arial"/>
        </w:rPr>
      </w:pPr>
      <w:r w:rsidRPr="008203A6">
        <w:rPr>
          <w:rFonts w:ascii="Arial" w:hAnsi="Arial" w:cs="Arial"/>
        </w:rPr>
        <w:t>Atlas, S., Nilton,  P. And Jing Jian,  X ( 2018) Financial Education And Confidence In Financial Knowledge</w:t>
      </w:r>
      <w:r w:rsidR="00CA55C4">
        <w:rPr>
          <w:rFonts w:ascii="Arial" w:hAnsi="Arial" w:cs="Arial"/>
        </w:rPr>
        <w:t xml:space="preserve"> </w:t>
      </w:r>
      <w:r w:rsidRPr="008203A6">
        <w:rPr>
          <w:rFonts w:ascii="Arial" w:hAnsi="Arial" w:cs="Arial"/>
        </w:rPr>
        <w:t>Available At</w:t>
      </w:r>
      <w:r w:rsidR="00CA55C4">
        <w:rPr>
          <w:rFonts w:ascii="Arial" w:hAnsi="Arial" w:cs="Arial"/>
        </w:rPr>
        <w:t xml:space="preserve">:  </w:t>
      </w:r>
      <w:r w:rsidR="00CA55C4" w:rsidRPr="00CA55C4">
        <w:rPr>
          <w:rFonts w:ascii="Arial" w:hAnsi="Arial" w:cs="Arial"/>
        </w:rPr>
        <w:t>Https://Www.Researchgate.Net/Search.Search.Html?</w:t>
      </w:r>
      <w:hyperlink r:id="rId61" w:history="1">
        <w:r w:rsidR="00CA55C4" w:rsidRPr="007625E7">
          <w:rPr>
            <w:rStyle w:val="Hyperlink"/>
            <w:rFonts w:ascii="Arial" w:hAnsi="Arial" w:cs="Arial"/>
            <w:u w:val="none"/>
          </w:rPr>
          <w:t>Type=Publication&amp;Query=Financial%20knowledge</w:t>
        </w:r>
      </w:hyperlink>
      <w:r w:rsidRPr="00CA55C4">
        <w:rPr>
          <w:rFonts w:ascii="Arial" w:hAnsi="Arial" w:cs="Arial"/>
        </w:rPr>
        <w:t xml:space="preserve"> (Accessed On 25</w:t>
      </w:r>
      <w:r w:rsidRPr="00CA55C4">
        <w:rPr>
          <w:rFonts w:ascii="Arial" w:hAnsi="Arial" w:cs="Arial"/>
          <w:vertAlign w:val="superscript"/>
        </w:rPr>
        <w:t>th</w:t>
      </w:r>
      <w:r w:rsidRPr="00CA55C4">
        <w:rPr>
          <w:rFonts w:ascii="Arial" w:hAnsi="Arial" w:cs="Arial"/>
        </w:rPr>
        <w:t xml:space="preserve"> February 2019).</w:t>
      </w:r>
    </w:p>
    <w:p w14:paraId="21E89E1C" w14:textId="77777777" w:rsidR="005D5270" w:rsidRPr="008203A6" w:rsidRDefault="005D5270" w:rsidP="003B792A">
      <w:pPr>
        <w:spacing w:before="240" w:line="360" w:lineRule="auto"/>
        <w:jc w:val="both"/>
        <w:rPr>
          <w:rFonts w:ascii="Arial" w:hAnsi="Arial" w:cs="Arial"/>
        </w:rPr>
      </w:pPr>
      <w:r w:rsidRPr="008203A6">
        <w:rPr>
          <w:rFonts w:ascii="Arial" w:hAnsi="Arial" w:cs="Arial"/>
        </w:rPr>
        <w:t>Avery, H (2011) Us Banks Remain On Real Estate Knife Edge. Euromoney March 2011</w:t>
      </w:r>
    </w:p>
    <w:p w14:paraId="74066917" w14:textId="77777777" w:rsidR="005D5270" w:rsidRPr="008203A6" w:rsidRDefault="005D5270" w:rsidP="003B792A">
      <w:pPr>
        <w:spacing w:before="240" w:line="360" w:lineRule="auto"/>
        <w:jc w:val="both"/>
        <w:rPr>
          <w:rFonts w:ascii="Arial" w:hAnsi="Arial" w:cs="Arial"/>
        </w:rPr>
      </w:pPr>
      <w:r w:rsidRPr="008203A6">
        <w:rPr>
          <w:rFonts w:ascii="Arial" w:hAnsi="Arial" w:cs="Arial"/>
        </w:rPr>
        <w:t>Avkiran, N. K. (1999). An Improved Subordinate Appraisal Of Bank Manager's Competence.</w:t>
      </w:r>
      <w:r w:rsidRPr="008203A6">
        <w:rPr>
          <w:rFonts w:ascii="Arial" w:hAnsi="Arial" w:cs="Arial"/>
          <w:i/>
          <w:iCs/>
        </w:rPr>
        <w:t> International Journal Of Human Resource Management, 10</w:t>
      </w:r>
      <w:r w:rsidRPr="008203A6">
        <w:rPr>
          <w:rFonts w:ascii="Arial" w:hAnsi="Arial" w:cs="Arial"/>
        </w:rPr>
        <w:t>(2), 273-286.</w:t>
      </w:r>
    </w:p>
    <w:p w14:paraId="34FA9E27" w14:textId="77777777" w:rsidR="005D5270" w:rsidRPr="008203A6" w:rsidRDefault="005D5270" w:rsidP="003B792A">
      <w:pPr>
        <w:spacing w:before="240" w:line="360" w:lineRule="auto"/>
        <w:jc w:val="both"/>
        <w:rPr>
          <w:rFonts w:ascii="Arial" w:hAnsi="Arial" w:cs="Arial"/>
        </w:rPr>
      </w:pPr>
      <w:r w:rsidRPr="008203A6">
        <w:rPr>
          <w:rFonts w:ascii="Arial" w:hAnsi="Arial" w:cs="Arial"/>
        </w:rPr>
        <w:t>Awofeso, P. (2010) One Out Of Every Two Nigerians Now Lives In A City, World Policy Journal, 27 (4), Pp. 67-73.</w:t>
      </w:r>
    </w:p>
    <w:p w14:paraId="0D920F52" w14:textId="06CEADE4" w:rsidR="005D5270" w:rsidRPr="008203A6" w:rsidRDefault="005D5270" w:rsidP="003B792A">
      <w:pPr>
        <w:spacing w:line="360" w:lineRule="auto"/>
        <w:rPr>
          <w:rFonts w:ascii="Arial" w:hAnsi="Arial" w:cs="Arial"/>
        </w:rPr>
      </w:pPr>
      <w:r w:rsidRPr="008203A6">
        <w:rPr>
          <w:rFonts w:ascii="Arial" w:hAnsi="Arial" w:cs="Arial"/>
        </w:rPr>
        <w:t>Badman, R., Clegg, C., and Wall, T (2000). Socio-technical theory. Handbook on Ergonomics. New York, NY: John Wiley.</w:t>
      </w:r>
    </w:p>
    <w:p w14:paraId="37626567"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Bailey, S. (1999) Merger Market Power Analysis: Pacific Enterprises And Enova Corporation, </w:t>
      </w:r>
      <w:r w:rsidRPr="008203A6">
        <w:rPr>
          <w:rFonts w:ascii="Arial" w:hAnsi="Arial" w:cs="Arial"/>
          <w:i/>
          <w:iCs/>
          <w:sz w:val="22"/>
          <w:szCs w:val="22"/>
        </w:rPr>
        <w:t xml:space="preserve">Utilities Policy, </w:t>
      </w:r>
      <w:r w:rsidRPr="008203A6">
        <w:rPr>
          <w:rFonts w:ascii="Arial" w:hAnsi="Arial" w:cs="Arial"/>
          <w:sz w:val="22"/>
          <w:szCs w:val="22"/>
        </w:rPr>
        <w:t>8 (1), Pp. 51-59.</w:t>
      </w:r>
    </w:p>
    <w:p w14:paraId="54D8E520" w14:textId="77777777" w:rsidR="005D5270" w:rsidRPr="008203A6" w:rsidRDefault="005D5270" w:rsidP="003B792A">
      <w:pPr>
        <w:spacing w:line="360" w:lineRule="auto"/>
        <w:jc w:val="both"/>
        <w:rPr>
          <w:rStyle w:val="Hyperlink"/>
          <w:rFonts w:ascii="Arial" w:hAnsi="Arial" w:cs="Arial"/>
          <w:color w:val="auto"/>
        </w:rPr>
      </w:pPr>
      <w:r w:rsidRPr="008203A6">
        <w:rPr>
          <w:rFonts w:ascii="Arial" w:hAnsi="Arial" w:cs="Arial"/>
        </w:rPr>
        <w:t>Baker And Wurgler, "Market Timing And Capital Structure", The Journal Of Finance, 2002. </w:t>
      </w:r>
      <w:hyperlink r:id="rId62" w:history="1">
        <w:r w:rsidRPr="008203A6">
          <w:rPr>
            <w:rStyle w:val="Hyperlink"/>
            <w:rFonts w:ascii="Arial" w:hAnsi="Arial" w:cs="Arial"/>
            <w:color w:val="auto"/>
            <w:u w:val="none"/>
          </w:rPr>
          <w:t>Http://Www.Blackwellpublishing.Com/Content/BPL_Images/Journal_Samples/JOFI0022-1082~57~1~414%5C414.Pdf</w:t>
        </w:r>
      </w:hyperlink>
    </w:p>
    <w:p w14:paraId="2CA11F87" w14:textId="70F53E4C" w:rsidR="005D5270" w:rsidRPr="008203A6" w:rsidRDefault="005D5270" w:rsidP="003B792A">
      <w:pPr>
        <w:spacing w:after="0" w:line="360" w:lineRule="auto"/>
        <w:jc w:val="both"/>
        <w:rPr>
          <w:rFonts w:ascii="Arial" w:hAnsi="Arial" w:cs="Arial"/>
        </w:rPr>
      </w:pPr>
      <w:r w:rsidRPr="008203A6">
        <w:rPr>
          <w:rFonts w:ascii="Arial" w:hAnsi="Arial" w:cs="Arial"/>
        </w:rPr>
        <w:t xml:space="preserve">Baker, N. (2018). England Needs 340,000 New Homes A Year, Says NHF. Available At: </w:t>
      </w:r>
      <w:hyperlink r:id="rId63" w:history="1">
        <w:r w:rsidRPr="008203A6">
          <w:rPr>
            <w:rStyle w:val="Hyperlink"/>
            <w:rFonts w:ascii="Arial" w:hAnsi="Arial" w:cs="Arial"/>
            <w:color w:val="auto"/>
          </w:rPr>
          <w:t>Https://Www.Insidehousing.Co.Uk/News/News/England-Needs-340000-New-Homes-A-Year-Says-Nhf-56355</w:t>
        </w:r>
      </w:hyperlink>
      <w:r w:rsidRPr="008203A6">
        <w:rPr>
          <w:rFonts w:ascii="Arial" w:hAnsi="Arial" w:cs="Arial"/>
        </w:rPr>
        <w:t xml:space="preserve"> (Accessed On 10</w:t>
      </w:r>
      <w:r w:rsidRPr="008203A6">
        <w:rPr>
          <w:rFonts w:ascii="Arial" w:hAnsi="Arial" w:cs="Arial"/>
          <w:vertAlign w:val="superscript"/>
        </w:rPr>
        <w:t>th</w:t>
      </w:r>
      <w:r w:rsidRPr="008203A6">
        <w:rPr>
          <w:rFonts w:ascii="Arial" w:hAnsi="Arial" w:cs="Arial"/>
        </w:rPr>
        <w:t xml:space="preserve"> February 2020).</w:t>
      </w:r>
    </w:p>
    <w:p w14:paraId="3C4355B6"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lastRenderedPageBreak/>
        <w:t>Bala, K., Bustani, SA., &amp; Kuoshi, P. (2014). Nigeria’s housing finance mechanism in pre-2012 national housing era: matters arising. Available at : (PDF) housingscience.org ( accessed on 30/07/2020).</w:t>
      </w:r>
    </w:p>
    <w:p w14:paraId="7E3BEE85" w14:textId="77777777" w:rsidR="005D5270" w:rsidRPr="008203A6" w:rsidRDefault="005D5270" w:rsidP="003B792A">
      <w:pPr>
        <w:spacing w:before="240" w:line="360" w:lineRule="auto"/>
        <w:jc w:val="both"/>
        <w:rPr>
          <w:rFonts w:ascii="Arial" w:hAnsi="Arial" w:cs="Arial"/>
        </w:rPr>
      </w:pPr>
      <w:r w:rsidRPr="008203A6">
        <w:rPr>
          <w:rFonts w:ascii="Arial" w:hAnsi="Arial" w:cs="Arial"/>
        </w:rPr>
        <w:t>Banister, C.M And Meriac, J.P (2015) Political Skills And Work Attitudes: A Comparison Of Multiple Social Effectiveness Constructs, Journal Of Psychology, 149 (8), Pp. 775-795.</w:t>
      </w:r>
    </w:p>
    <w:p w14:paraId="5C3A687D"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Barkham, R. (2012). Real estate and globalisation. Available at: books.google.com. (accessed on 30/07/2020).</w:t>
      </w:r>
    </w:p>
    <w:p w14:paraId="47C76D22" w14:textId="77777777" w:rsidR="005D5270" w:rsidRPr="008203A6" w:rsidRDefault="005D5270" w:rsidP="003B792A">
      <w:pPr>
        <w:spacing w:after="0" w:line="360" w:lineRule="auto"/>
        <w:jc w:val="both"/>
        <w:rPr>
          <w:rFonts w:ascii="Arial" w:hAnsi="Arial" w:cs="Arial"/>
        </w:rPr>
      </w:pPr>
      <w:r w:rsidRPr="008203A6">
        <w:rPr>
          <w:rFonts w:ascii="Arial" w:hAnsi="Arial" w:cs="Arial"/>
        </w:rPr>
        <w:t>Barth, J.R., Lin, C., Ma, Y., Seade, J., &amp; Song, F.M. (2013). Do Bank Regulators, Supervision And Monitoring Enhance Or Impede Bank Efficiency? Journal Of Banking &amp; Finance, 37(8), 2879-2892. Available At: (PDF) In .Edu.Hk ( Accessed On 29/06/2020)</w:t>
      </w:r>
    </w:p>
    <w:p w14:paraId="48B29681"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Barton, C. (2017). Homeownership And Renting: Demographics. Available At: </w:t>
      </w:r>
      <w:hyperlink r:id="rId64" w:history="1">
        <w:r w:rsidRPr="008203A6">
          <w:rPr>
            <w:rStyle w:val="Hyperlink"/>
            <w:rFonts w:ascii="Arial" w:hAnsi="Arial" w:cs="Arial"/>
            <w:color w:val="auto"/>
          </w:rPr>
          <w:t>File:///C:/Users/Ogbenjl2/Downloads/Cbp-7706%20(1).Pdf</w:t>
        </w:r>
      </w:hyperlink>
      <w:r w:rsidRPr="008203A6">
        <w:rPr>
          <w:rFonts w:ascii="Arial" w:hAnsi="Arial" w:cs="Arial"/>
        </w:rPr>
        <w:t xml:space="preserve"> ( Accessed On 17</w:t>
      </w:r>
      <w:r w:rsidRPr="008203A6">
        <w:rPr>
          <w:rFonts w:ascii="Arial" w:hAnsi="Arial" w:cs="Arial"/>
          <w:vertAlign w:val="superscript"/>
        </w:rPr>
        <w:t>th</w:t>
      </w:r>
      <w:r w:rsidRPr="008203A6">
        <w:rPr>
          <w:rFonts w:ascii="Arial" w:hAnsi="Arial" w:cs="Arial"/>
        </w:rPr>
        <w:t xml:space="preserve"> December 2018). </w:t>
      </w:r>
    </w:p>
    <w:p w14:paraId="0644B4F3" w14:textId="0B63EC37" w:rsidR="005D5270" w:rsidRPr="008203A6" w:rsidRDefault="005D5270" w:rsidP="003B792A">
      <w:pPr>
        <w:spacing w:after="200" w:line="360" w:lineRule="auto"/>
        <w:contextualSpacing/>
        <w:jc w:val="both"/>
        <w:rPr>
          <w:rFonts w:ascii="Arial" w:hAnsi="Arial" w:cs="Arial"/>
        </w:rPr>
      </w:pPr>
      <w:r w:rsidRPr="008203A6">
        <w:rPr>
          <w:rFonts w:ascii="Arial" w:hAnsi="Arial" w:cs="Arial"/>
        </w:rPr>
        <w:t xml:space="preserve">Bass, BM., and Vaughan, JA. (1966). </w:t>
      </w:r>
      <w:r w:rsidR="007D390C">
        <w:rPr>
          <w:rFonts w:ascii="Arial" w:hAnsi="Arial" w:cs="Arial"/>
        </w:rPr>
        <w:t>Industry training</w:t>
      </w:r>
      <w:r w:rsidRPr="008203A6">
        <w:rPr>
          <w:rFonts w:ascii="Arial" w:hAnsi="Arial" w:cs="Arial"/>
        </w:rPr>
        <w:t>. The management of learning. Available at: Google scholar ( accessed on 29/07/2020).</w:t>
      </w:r>
    </w:p>
    <w:p w14:paraId="14DE78D7" w14:textId="13699E2D" w:rsidR="005D5270" w:rsidRPr="008203A6" w:rsidRDefault="005D5270" w:rsidP="003B792A">
      <w:pPr>
        <w:spacing w:line="360" w:lineRule="auto"/>
        <w:jc w:val="both"/>
        <w:rPr>
          <w:rFonts w:ascii="Arial" w:hAnsi="Arial" w:cs="Arial"/>
        </w:rPr>
      </w:pPr>
      <w:r w:rsidRPr="008203A6">
        <w:rPr>
          <w:rFonts w:ascii="Arial" w:hAnsi="Arial" w:cs="Arial"/>
        </w:rPr>
        <w:t xml:space="preserve">Baxter, G. &amp; Sommerville, I. (2010) Socio-Technical Systems: From Design Methods To Systems Engineering. Available At: </w:t>
      </w:r>
      <w:hyperlink r:id="rId65" w:history="1">
        <w:r w:rsidRPr="008203A6">
          <w:rPr>
            <w:rStyle w:val="Hyperlink"/>
            <w:rFonts w:ascii="Arial" w:hAnsi="Arial" w:cs="Arial"/>
            <w:color w:val="auto"/>
          </w:rPr>
          <w:t>Https://Academic.Oup.Com/Iwc/Article/23/1/4/693091</w:t>
        </w:r>
      </w:hyperlink>
      <w:r w:rsidRPr="008203A6">
        <w:rPr>
          <w:rFonts w:ascii="Arial" w:hAnsi="Arial" w:cs="Arial"/>
        </w:rPr>
        <w:t xml:space="preserve"> ( Accessed On 05/06/2020).</w:t>
      </w:r>
    </w:p>
    <w:p w14:paraId="35CE8A2D" w14:textId="77777777" w:rsidR="005D5270" w:rsidRPr="008203A6" w:rsidRDefault="005D5270" w:rsidP="003B792A">
      <w:pPr>
        <w:spacing w:before="240" w:line="360" w:lineRule="auto"/>
        <w:jc w:val="both"/>
        <w:rPr>
          <w:rFonts w:ascii="Arial" w:hAnsi="Arial" w:cs="Arial"/>
        </w:rPr>
      </w:pPr>
      <w:r w:rsidRPr="008203A6">
        <w:rPr>
          <w:rFonts w:ascii="Arial" w:hAnsi="Arial" w:cs="Arial"/>
        </w:rPr>
        <w:t>Bazgour, T., Bodson, L., &amp; Sougné, D. (2017). What Style Liquidity Timing Skills Do Mutual Fund Managers Possess?</w:t>
      </w:r>
      <w:r w:rsidRPr="008203A6">
        <w:rPr>
          <w:rFonts w:ascii="Arial" w:hAnsi="Arial" w:cs="Arial"/>
          <w:i/>
          <w:iCs/>
        </w:rPr>
        <w:t> Financial Review, 52</w:t>
      </w:r>
      <w:r w:rsidRPr="008203A6">
        <w:rPr>
          <w:rFonts w:ascii="Arial" w:hAnsi="Arial" w:cs="Arial"/>
        </w:rPr>
        <w:t>(4), 597-626.</w:t>
      </w:r>
    </w:p>
    <w:p w14:paraId="4F97B16B" w14:textId="55E5CD8F" w:rsidR="005D5270" w:rsidRPr="008203A6" w:rsidRDefault="005D5270" w:rsidP="003B792A">
      <w:pPr>
        <w:spacing w:after="0" w:line="360" w:lineRule="auto"/>
        <w:jc w:val="both"/>
        <w:rPr>
          <w:rFonts w:ascii="Arial" w:hAnsi="Arial" w:cs="Arial"/>
        </w:rPr>
      </w:pPr>
      <w:r w:rsidRPr="008203A6">
        <w:rPr>
          <w:rFonts w:ascii="Arial" w:hAnsi="Arial" w:cs="Arial"/>
        </w:rPr>
        <w:t xml:space="preserve">BBC (2019). Housing Crisis Affects Estimated 8.4 Million In England-Research. Available At: </w:t>
      </w:r>
      <w:hyperlink r:id="rId66" w:history="1">
        <w:r w:rsidRPr="008203A6">
          <w:rPr>
            <w:rStyle w:val="Hyperlink"/>
            <w:rFonts w:ascii="Arial" w:hAnsi="Arial" w:cs="Arial"/>
            <w:color w:val="auto"/>
          </w:rPr>
          <w:t>Https://Www.Bbc.Co.Uk/News/Uk-49787913</w:t>
        </w:r>
      </w:hyperlink>
      <w:r w:rsidRPr="008203A6">
        <w:rPr>
          <w:rFonts w:ascii="Arial" w:hAnsi="Arial" w:cs="Arial"/>
        </w:rPr>
        <w:t xml:space="preserve"> (Accessed On 10</w:t>
      </w:r>
      <w:r w:rsidRPr="008203A6">
        <w:rPr>
          <w:rFonts w:ascii="Arial" w:hAnsi="Arial" w:cs="Arial"/>
          <w:vertAlign w:val="superscript"/>
        </w:rPr>
        <w:t>th</w:t>
      </w:r>
      <w:r w:rsidRPr="008203A6">
        <w:rPr>
          <w:rFonts w:ascii="Arial" w:hAnsi="Arial" w:cs="Arial"/>
        </w:rPr>
        <w:t xml:space="preserve"> February 2020).</w:t>
      </w:r>
    </w:p>
    <w:p w14:paraId="097E443E"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Beckman, S. R., Deangelo, G. And James Smith, W. (2012) Experiments On Horizontal Mergers: Does Size Matter? </w:t>
      </w:r>
      <w:r w:rsidRPr="008203A6">
        <w:rPr>
          <w:rFonts w:ascii="Arial" w:hAnsi="Arial" w:cs="Arial"/>
          <w:i/>
          <w:iCs/>
          <w:sz w:val="22"/>
          <w:szCs w:val="22"/>
        </w:rPr>
        <w:t xml:space="preserve">Economics Letters, </w:t>
      </w:r>
      <w:r w:rsidRPr="008203A6">
        <w:rPr>
          <w:rFonts w:ascii="Arial" w:hAnsi="Arial" w:cs="Arial"/>
          <w:sz w:val="22"/>
          <w:szCs w:val="22"/>
        </w:rPr>
        <w:t>117 (3), Pp. 537-539.</w:t>
      </w:r>
    </w:p>
    <w:p w14:paraId="4C0CC75A"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Behr, A. And Heid, F. (2011) The Success Of Bank Mergers Revisited. An Assessment Based On A Matching Strategy, </w:t>
      </w:r>
      <w:r w:rsidRPr="008203A6">
        <w:rPr>
          <w:rFonts w:ascii="Arial" w:hAnsi="Arial" w:cs="Arial"/>
          <w:i/>
          <w:iCs/>
          <w:sz w:val="22"/>
          <w:szCs w:val="22"/>
        </w:rPr>
        <w:t xml:space="preserve">Journal Of Empirical Finance, </w:t>
      </w:r>
      <w:r w:rsidRPr="008203A6">
        <w:rPr>
          <w:rFonts w:ascii="Arial" w:hAnsi="Arial" w:cs="Arial"/>
          <w:sz w:val="22"/>
          <w:szCs w:val="22"/>
        </w:rPr>
        <w:t>18 (1), Pp. 117-135.</w:t>
      </w:r>
    </w:p>
    <w:p w14:paraId="2148B6D1"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Beladi, H. And Mukherjee, A. (2012) Footloose Foreign Firm And Profitable Domestic Merger, </w:t>
      </w:r>
      <w:r w:rsidRPr="008203A6">
        <w:rPr>
          <w:rFonts w:ascii="Arial" w:hAnsi="Arial" w:cs="Arial"/>
          <w:i/>
          <w:iCs/>
          <w:sz w:val="22"/>
          <w:szCs w:val="22"/>
        </w:rPr>
        <w:t xml:space="preserve">Journal Of Economic Behavior &amp; Organization, </w:t>
      </w:r>
      <w:r w:rsidRPr="008203A6">
        <w:rPr>
          <w:rFonts w:ascii="Arial" w:hAnsi="Arial" w:cs="Arial"/>
          <w:sz w:val="22"/>
          <w:szCs w:val="22"/>
        </w:rPr>
        <w:t>83 (2), Pp. 186-194.</w:t>
      </w:r>
    </w:p>
    <w:p w14:paraId="7D9A31B6" w14:textId="19601D86" w:rsidR="005D5270" w:rsidRPr="008203A6" w:rsidRDefault="005D5270" w:rsidP="003B792A">
      <w:pPr>
        <w:spacing w:after="200" w:line="360" w:lineRule="auto"/>
        <w:contextualSpacing/>
        <w:jc w:val="both"/>
        <w:rPr>
          <w:rFonts w:ascii="Arial" w:hAnsi="Arial" w:cs="Arial"/>
        </w:rPr>
      </w:pPr>
      <w:r w:rsidRPr="008203A6">
        <w:rPr>
          <w:rFonts w:ascii="Arial" w:hAnsi="Arial" w:cs="Arial"/>
        </w:rPr>
        <w:t>Bell, J. (2014). Doing your research project: A guide for first</w:t>
      </w:r>
      <w:r w:rsidR="00D947F5">
        <w:rPr>
          <w:rFonts w:ascii="Arial" w:hAnsi="Arial" w:cs="Arial"/>
        </w:rPr>
        <w:t>-</w:t>
      </w:r>
      <w:r w:rsidRPr="008203A6">
        <w:rPr>
          <w:rFonts w:ascii="Arial" w:hAnsi="Arial" w:cs="Arial"/>
        </w:rPr>
        <w:t>time researchers. Available at : (PDF) 182.160.97.198 (accessed 30/07/2020).</w:t>
      </w:r>
    </w:p>
    <w:p w14:paraId="1F71FF64"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lastRenderedPageBreak/>
        <w:t>Bell, J., and Waters, S. (2014). Doing your research project: A guide for first-time. Available at Google scholar (accessed 30/07/2020)</w:t>
      </w:r>
    </w:p>
    <w:p w14:paraId="735F64EF" w14:textId="77777777" w:rsidR="005D5270" w:rsidRPr="008203A6" w:rsidRDefault="005D5270" w:rsidP="003B792A">
      <w:pPr>
        <w:spacing w:before="240" w:line="360" w:lineRule="auto"/>
        <w:jc w:val="both"/>
        <w:rPr>
          <w:rFonts w:ascii="Arial" w:hAnsi="Arial" w:cs="Arial"/>
        </w:rPr>
      </w:pPr>
      <w:r w:rsidRPr="008203A6">
        <w:rPr>
          <w:rFonts w:ascii="Arial" w:hAnsi="Arial" w:cs="Arial"/>
        </w:rPr>
        <w:t>Beltratti, A., &amp; Morana, C. (2010). </w:t>
      </w:r>
      <w:r w:rsidRPr="008203A6">
        <w:rPr>
          <w:rFonts w:ascii="Arial" w:hAnsi="Arial" w:cs="Arial"/>
          <w:i/>
          <w:iCs/>
        </w:rPr>
        <w:t>International House Prices And Macroeconomic Fluctuations</w:t>
      </w:r>
      <w:r w:rsidRPr="008203A6">
        <w:rPr>
          <w:rFonts w:ascii="Arial" w:hAnsi="Arial" w:cs="Arial"/>
        </w:rPr>
        <w:t> Doi:</w:t>
      </w:r>
      <w:hyperlink r:id="rId67" w:tgtFrame="_blank" w:history="1">
        <w:r w:rsidRPr="008203A6">
          <w:rPr>
            <w:rStyle w:val="Hyperlink"/>
            <w:rFonts w:ascii="Arial" w:hAnsi="Arial" w:cs="Arial"/>
            <w:color w:val="auto"/>
          </w:rPr>
          <w:t>Https://Doi.Org/10.1016/J.Jbankfin.2009.08.020</w:t>
        </w:r>
      </w:hyperlink>
    </w:p>
    <w:p w14:paraId="2DB01B36"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Bensaid, B., Encaoua, D. And Winckler, A. (1994) Competition, Cooperation, And Mergers: Economic And Policy Issues, </w:t>
      </w:r>
      <w:r w:rsidRPr="008203A6">
        <w:rPr>
          <w:rFonts w:ascii="Arial" w:hAnsi="Arial" w:cs="Arial"/>
          <w:i/>
          <w:iCs/>
          <w:sz w:val="22"/>
          <w:szCs w:val="22"/>
        </w:rPr>
        <w:t xml:space="preserve">European Economic Review, </w:t>
      </w:r>
      <w:r w:rsidRPr="008203A6">
        <w:rPr>
          <w:rFonts w:ascii="Arial" w:hAnsi="Arial" w:cs="Arial"/>
          <w:sz w:val="22"/>
          <w:szCs w:val="22"/>
        </w:rPr>
        <w:t>38 (3–4), Pp. 637-650.</w:t>
      </w:r>
    </w:p>
    <w:p w14:paraId="5810C028"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Benson, B. W., Davidson Iii, W. N., Davidson, T. R. And Wang, H. Do Busy Directors And Ceos Shirk Their Responsibilities? Evidence From Mergers And Acquisitions, </w:t>
      </w:r>
      <w:r w:rsidRPr="008203A6">
        <w:rPr>
          <w:rFonts w:ascii="Arial" w:hAnsi="Arial" w:cs="Arial"/>
          <w:i/>
          <w:iCs/>
          <w:sz w:val="22"/>
          <w:szCs w:val="22"/>
        </w:rPr>
        <w:t xml:space="preserve">The Quarterly Review Of Economics And Finance, </w:t>
      </w:r>
      <w:r w:rsidRPr="008203A6">
        <w:rPr>
          <w:rFonts w:ascii="Arial" w:hAnsi="Arial" w:cs="Arial"/>
          <w:sz w:val="22"/>
          <w:szCs w:val="22"/>
        </w:rPr>
        <w:t>(0).</w:t>
      </w:r>
    </w:p>
    <w:p w14:paraId="15A89AB2" w14:textId="77777777" w:rsidR="005D5270" w:rsidRPr="008203A6" w:rsidRDefault="005D5270" w:rsidP="003B792A">
      <w:pPr>
        <w:spacing w:before="240" w:after="200" w:line="360" w:lineRule="auto"/>
        <w:jc w:val="both"/>
        <w:rPr>
          <w:rFonts w:ascii="Arial" w:eastAsia="Calibri" w:hAnsi="Arial" w:cs="Arial"/>
        </w:rPr>
      </w:pPr>
      <w:r w:rsidRPr="008203A6">
        <w:rPr>
          <w:rFonts w:ascii="Arial" w:eastAsia="Calibri" w:hAnsi="Arial" w:cs="Arial"/>
        </w:rPr>
        <w:t>Berlin. M. (2007). Dancing With Wolves: Syndicated Loans And The Economics Of Multiple Lenders, Business Review (Federal Reserve Bank Of Philadelphia), Pp. 775-795</w:t>
      </w:r>
    </w:p>
    <w:p w14:paraId="0043622E" w14:textId="6AB87483" w:rsidR="005D5270" w:rsidRPr="008203A6" w:rsidRDefault="005D5270" w:rsidP="003B792A">
      <w:pPr>
        <w:spacing w:after="200" w:line="360" w:lineRule="auto"/>
        <w:contextualSpacing/>
        <w:jc w:val="both"/>
        <w:rPr>
          <w:rFonts w:ascii="Arial" w:hAnsi="Arial" w:cs="Arial"/>
          <w:shd w:val="clear" w:color="auto" w:fill="FFFFFF"/>
        </w:rPr>
      </w:pPr>
      <w:r w:rsidRPr="008203A6">
        <w:rPr>
          <w:rFonts w:ascii="Arial" w:hAnsi="Arial" w:cs="Arial"/>
          <w:shd w:val="clear" w:color="auto" w:fill="FFFFFF"/>
        </w:rPr>
        <w:t>Bersin, J., (2020). Responding to COVID-19. </w:t>
      </w:r>
      <w:r w:rsidRPr="008203A6">
        <w:rPr>
          <w:rFonts w:ascii="Arial" w:hAnsi="Arial" w:cs="Arial"/>
          <w:i/>
          <w:iCs/>
          <w:shd w:val="clear" w:color="auto" w:fill="FFFFFF"/>
        </w:rPr>
        <w:t>Ten lessons from the World's HR leaders. Retrieved April</w:t>
      </w:r>
      <w:r w:rsidRPr="008203A6">
        <w:rPr>
          <w:rFonts w:ascii="Arial" w:hAnsi="Arial" w:cs="Arial"/>
          <w:shd w:val="clear" w:color="auto" w:fill="FFFFFF"/>
        </w:rPr>
        <w:t> </w:t>
      </w:r>
      <w:r w:rsidRPr="008203A6">
        <w:rPr>
          <w:rFonts w:ascii="Arial" w:hAnsi="Arial" w:cs="Arial"/>
          <w:i/>
          <w:iCs/>
          <w:shd w:val="clear" w:color="auto" w:fill="FFFFFF"/>
        </w:rPr>
        <w:t>5</w:t>
      </w:r>
      <w:r w:rsidRPr="008203A6">
        <w:rPr>
          <w:rFonts w:ascii="Arial" w:hAnsi="Arial" w:cs="Arial"/>
          <w:shd w:val="clear" w:color="auto" w:fill="FFFFFF"/>
        </w:rPr>
        <w:t>, p.2020.</w:t>
      </w:r>
    </w:p>
    <w:p w14:paraId="341A2513" w14:textId="77777777" w:rsidR="005D5270" w:rsidRPr="008203A6" w:rsidRDefault="005D5270" w:rsidP="003B792A">
      <w:pPr>
        <w:spacing w:after="200" w:line="360" w:lineRule="auto"/>
        <w:contextualSpacing/>
        <w:jc w:val="both"/>
        <w:rPr>
          <w:rFonts w:ascii="Arial" w:hAnsi="Arial" w:cs="Arial"/>
          <w:shd w:val="clear" w:color="auto" w:fill="FFFFFF"/>
        </w:rPr>
      </w:pPr>
      <w:r w:rsidRPr="008203A6">
        <w:rPr>
          <w:rFonts w:ascii="Arial" w:hAnsi="Arial" w:cs="Arial"/>
          <w:shd w:val="clear" w:color="auto" w:fill="FFFFFF"/>
        </w:rPr>
        <w:t>Bersin, J., (2014). Envisioning the future: What will HCM look like in 2020. </w:t>
      </w:r>
      <w:r w:rsidRPr="008203A6">
        <w:rPr>
          <w:rFonts w:ascii="Arial" w:hAnsi="Arial" w:cs="Arial"/>
          <w:i/>
          <w:iCs/>
          <w:shd w:val="clear" w:color="auto" w:fill="FFFFFF"/>
        </w:rPr>
        <w:t>Workforce</w:t>
      </w:r>
      <w:r w:rsidRPr="008203A6">
        <w:rPr>
          <w:rFonts w:ascii="Arial" w:hAnsi="Arial" w:cs="Arial"/>
          <w:shd w:val="clear" w:color="auto" w:fill="FFFFFF"/>
        </w:rPr>
        <w:t>.</w:t>
      </w:r>
    </w:p>
    <w:p w14:paraId="6A0D23BE" w14:textId="3353E92A" w:rsidR="005D5270" w:rsidRPr="008203A6" w:rsidRDefault="005D5270" w:rsidP="003B792A">
      <w:pPr>
        <w:spacing w:line="360" w:lineRule="auto"/>
        <w:jc w:val="both"/>
        <w:rPr>
          <w:rFonts w:ascii="Arial" w:hAnsi="Arial" w:cs="Arial"/>
        </w:rPr>
      </w:pPr>
      <w:r w:rsidRPr="008203A6">
        <w:rPr>
          <w:rFonts w:ascii="Arial" w:hAnsi="Arial" w:cs="Arial"/>
        </w:rPr>
        <w:t>Berst, J. (2016) The Same Technology That Makes Your City Smarter Can Bring In New Jobs, American City AND County Exclusive Insight, 1-1.</w:t>
      </w:r>
    </w:p>
    <w:p w14:paraId="15211016"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Bertaud, A. (1988). Efficiency in land use and infrastructure design: Available at: (PDF) worldbank.org (accessed on 30/07/2020).</w:t>
      </w:r>
    </w:p>
    <w:p w14:paraId="3072CA39" w14:textId="77777777" w:rsidR="005D5270" w:rsidRPr="008203A6" w:rsidRDefault="005D5270" w:rsidP="003B792A">
      <w:pPr>
        <w:spacing w:before="240" w:after="160" w:line="360" w:lineRule="auto"/>
        <w:contextualSpacing/>
        <w:jc w:val="both"/>
        <w:rPr>
          <w:rFonts w:ascii="Arial" w:hAnsi="Arial" w:cs="Arial"/>
        </w:rPr>
      </w:pPr>
      <w:r w:rsidRPr="008203A6">
        <w:rPr>
          <w:rFonts w:ascii="Arial" w:hAnsi="Arial" w:cs="Arial"/>
        </w:rPr>
        <w:t xml:space="preserve">Bertaud, A. (2018), Avoiding Dubious Urban Policies. Available At: </w:t>
      </w:r>
      <w:hyperlink r:id="rId68" w:history="1">
        <w:r w:rsidRPr="008203A6">
          <w:rPr>
            <w:rFonts w:ascii="Arial" w:hAnsi="Arial" w:cs="Arial"/>
            <w:u w:val="single"/>
          </w:rPr>
          <w:t>Http://Www.Demographia.Com/Dhi.Pdf</w:t>
        </w:r>
      </w:hyperlink>
      <w:r w:rsidRPr="008203A6">
        <w:rPr>
          <w:rFonts w:ascii="Arial" w:hAnsi="Arial" w:cs="Arial"/>
        </w:rPr>
        <w:t xml:space="preserve"> (Accessed On 03/12/2019)</w:t>
      </w:r>
    </w:p>
    <w:p w14:paraId="3EC4C952" w14:textId="77777777" w:rsidR="005D5270" w:rsidRPr="008203A6" w:rsidRDefault="005D5270" w:rsidP="003B792A">
      <w:pPr>
        <w:spacing w:before="240" w:after="200" w:line="360" w:lineRule="auto"/>
        <w:jc w:val="both"/>
        <w:rPr>
          <w:rFonts w:ascii="Arial" w:eastAsia="Calibri" w:hAnsi="Arial" w:cs="Arial"/>
        </w:rPr>
      </w:pPr>
      <w:r w:rsidRPr="008203A6">
        <w:rPr>
          <w:rFonts w:ascii="Arial" w:eastAsia="Calibri" w:hAnsi="Arial" w:cs="Arial"/>
        </w:rPr>
        <w:t xml:space="preserve">Bhat, Z. (2014) Job Matching. International Journal Of Research In Organisational Behaviour And Human Resource Management, Vol. 2, No. 4, 2014, Pp 257-269. Available At: </w:t>
      </w:r>
      <w:hyperlink r:id="rId69" w:history="1">
        <w:r w:rsidRPr="008203A6">
          <w:rPr>
            <w:rStyle w:val="Hyperlink"/>
            <w:rFonts w:ascii="Arial" w:eastAsia="Calibri" w:hAnsi="Arial" w:cs="Arial"/>
            <w:color w:val="auto"/>
          </w:rPr>
          <w:t>Https://Www.Researchgate.Net/Publication/279526238_Job_Matching_The_Key_To_Performance</w:t>
        </w:r>
      </w:hyperlink>
      <w:r w:rsidRPr="008203A6">
        <w:rPr>
          <w:rFonts w:ascii="Arial" w:eastAsia="Calibri" w:hAnsi="Arial" w:cs="Arial"/>
        </w:rPr>
        <w:t xml:space="preserve"> ( Accessed On 26/05/2020).</w:t>
      </w:r>
    </w:p>
    <w:p w14:paraId="1E6C15C0" w14:textId="77777777" w:rsidR="005D5270" w:rsidRPr="008203A6" w:rsidRDefault="005D5270" w:rsidP="003B792A">
      <w:pPr>
        <w:spacing w:line="360" w:lineRule="auto"/>
        <w:jc w:val="both"/>
        <w:rPr>
          <w:rFonts w:ascii="Arial" w:hAnsi="Arial" w:cs="Arial"/>
        </w:rPr>
      </w:pPr>
      <w:r w:rsidRPr="008203A6">
        <w:rPr>
          <w:rFonts w:ascii="Arial" w:hAnsi="Arial" w:cs="Arial"/>
        </w:rPr>
        <w:t>Biazzo, S. (1997) Process Mapping Techniques And Organisational Analysis. Available At: (PDF) Semanticsscholar.Org. (Accessed On 04/06/2020)</w:t>
      </w:r>
    </w:p>
    <w:p w14:paraId="338B1AC0"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Bilson, CM., Brailsford, TJ., and Hooper, VC., (2002). The explanatory power of political risk in emerging markets. Available at: (PDF) anu.edu.au (accessed on 29/07/2020).</w:t>
      </w:r>
    </w:p>
    <w:p w14:paraId="7A8E13D5" w14:textId="77777777" w:rsidR="005D5270" w:rsidRPr="008203A6" w:rsidRDefault="005D5270" w:rsidP="003B792A">
      <w:pPr>
        <w:spacing w:before="240" w:line="360" w:lineRule="auto"/>
        <w:jc w:val="both"/>
        <w:rPr>
          <w:rFonts w:ascii="Arial" w:hAnsi="Arial" w:cs="Arial"/>
        </w:rPr>
      </w:pPr>
      <w:r w:rsidRPr="008203A6">
        <w:rPr>
          <w:rFonts w:ascii="Arial" w:hAnsi="Arial" w:cs="Arial"/>
        </w:rPr>
        <w:t>Blackstone, J. H., Cox, J. F., &amp; Schleier, J. G. (2009). A Tutorial On Project Management From A Theory Of Constraints Perspective.</w:t>
      </w:r>
      <w:r w:rsidRPr="008203A6">
        <w:rPr>
          <w:rFonts w:ascii="Arial" w:hAnsi="Arial" w:cs="Arial"/>
          <w:i/>
          <w:iCs/>
        </w:rPr>
        <w:t> International Journal Of Production Research, 47</w:t>
      </w:r>
      <w:r w:rsidRPr="008203A6">
        <w:rPr>
          <w:rFonts w:ascii="Arial" w:hAnsi="Arial" w:cs="Arial"/>
        </w:rPr>
        <w:t>(24), 7029-7046.</w:t>
      </w:r>
    </w:p>
    <w:p w14:paraId="379BDBA6" w14:textId="77777777" w:rsidR="005D5270" w:rsidRPr="008203A6" w:rsidRDefault="005D5270" w:rsidP="003B792A">
      <w:pPr>
        <w:spacing w:line="360" w:lineRule="auto"/>
        <w:jc w:val="both"/>
        <w:rPr>
          <w:rFonts w:ascii="Arial" w:hAnsi="Arial" w:cs="Arial"/>
        </w:rPr>
      </w:pPr>
      <w:r w:rsidRPr="008203A6">
        <w:rPr>
          <w:rFonts w:ascii="Arial" w:hAnsi="Arial" w:cs="Arial"/>
        </w:rPr>
        <w:lastRenderedPageBreak/>
        <w:t>Blanksby, M, And Iles, P. (1992) Assessing Management Skills: A Guide To Competencies And Evaluation Techniques. London: Kogan Page.</w:t>
      </w:r>
    </w:p>
    <w:p w14:paraId="71464026"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Boateng, A., Hua, X., Uddin, M. And Du, M. (2014) Home Country Macroeconomic Factors On Outward Cross-Border Mergers And Acquisitions: Evidence From The Uk, </w:t>
      </w:r>
      <w:r w:rsidRPr="008203A6">
        <w:rPr>
          <w:rFonts w:ascii="Arial" w:hAnsi="Arial" w:cs="Arial"/>
          <w:i/>
          <w:iCs/>
          <w:sz w:val="22"/>
          <w:szCs w:val="22"/>
        </w:rPr>
        <w:t xml:space="preserve">Research In International Business And Finance, </w:t>
      </w:r>
      <w:r w:rsidRPr="008203A6">
        <w:rPr>
          <w:rFonts w:ascii="Arial" w:hAnsi="Arial" w:cs="Arial"/>
          <w:sz w:val="22"/>
          <w:szCs w:val="22"/>
        </w:rPr>
        <w:t>30 (0), Pp. 202-216.</w:t>
      </w:r>
    </w:p>
    <w:p w14:paraId="2F17F1A2"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Boeh, K. K., And Beamish, P. W. (2007) </w:t>
      </w:r>
      <w:r w:rsidRPr="008203A6">
        <w:rPr>
          <w:rFonts w:ascii="Arial" w:hAnsi="Arial" w:cs="Arial"/>
          <w:i/>
          <w:iCs/>
          <w:sz w:val="22"/>
          <w:szCs w:val="22"/>
        </w:rPr>
        <w:t>Mergers And Acquisitions: Text And Cases</w:t>
      </w:r>
      <w:r w:rsidRPr="008203A6">
        <w:rPr>
          <w:rFonts w:ascii="Arial" w:hAnsi="Arial" w:cs="Arial"/>
          <w:i/>
          <w:iCs/>
          <w:sz w:val="22"/>
          <w:szCs w:val="22"/>
        </w:rPr>
        <w:br/>
      </w:r>
      <w:r w:rsidRPr="008203A6">
        <w:rPr>
          <w:rFonts w:ascii="Arial" w:hAnsi="Arial" w:cs="Arial"/>
          <w:sz w:val="22"/>
          <w:szCs w:val="22"/>
        </w:rPr>
        <w:t>Thousand Oak: Sage Publications.</w:t>
      </w:r>
    </w:p>
    <w:p w14:paraId="449DA932" w14:textId="77777777" w:rsidR="005D5270" w:rsidRPr="008203A6" w:rsidRDefault="005D5270" w:rsidP="003B792A">
      <w:pPr>
        <w:spacing w:line="360" w:lineRule="auto"/>
        <w:jc w:val="both"/>
        <w:rPr>
          <w:rFonts w:ascii="Arial" w:hAnsi="Arial" w:cs="Arial"/>
        </w:rPr>
      </w:pPr>
      <w:r w:rsidRPr="008203A6">
        <w:rPr>
          <w:rFonts w:ascii="Arial" w:hAnsi="Arial" w:cs="Arial"/>
        </w:rPr>
        <w:t>Boyatzis, R.E (1982). The Competent Manager: A Model For Effective Performance. New York; Chichester: Wiley.</w:t>
      </w:r>
    </w:p>
    <w:p w14:paraId="6F70B8BB"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Bozos, K., Koutmos, D. And Song, W. (2013) Beta Risk And Price Synchronicity Of Bank Acquirers’ Common Stock Following Merger Announcements, </w:t>
      </w:r>
      <w:r w:rsidRPr="008203A6">
        <w:rPr>
          <w:rFonts w:ascii="Arial" w:hAnsi="Arial" w:cs="Arial"/>
          <w:i/>
          <w:iCs/>
          <w:sz w:val="22"/>
          <w:szCs w:val="22"/>
        </w:rPr>
        <w:t xml:space="preserve">Journal Of International Financial Markets, Institutions, And Money, </w:t>
      </w:r>
      <w:r w:rsidRPr="008203A6">
        <w:rPr>
          <w:rFonts w:ascii="Arial" w:hAnsi="Arial" w:cs="Arial"/>
          <w:sz w:val="22"/>
          <w:szCs w:val="22"/>
        </w:rPr>
        <w:t>27 (0), Pp. 47-58.</w:t>
      </w:r>
    </w:p>
    <w:p w14:paraId="526BC868"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Bozos, K., Ratnaike, Y. C. And Alsharairi, M. (2014) How Has The International Harmonization Of Financial Reporting Standards Affected Merger Premiums Within The European Union? </w:t>
      </w:r>
      <w:r w:rsidRPr="008203A6">
        <w:rPr>
          <w:rFonts w:ascii="Arial" w:hAnsi="Arial" w:cs="Arial"/>
          <w:i/>
          <w:iCs/>
          <w:sz w:val="22"/>
          <w:szCs w:val="22"/>
        </w:rPr>
        <w:t xml:space="preserve">International Review Of Financial Analysis, </w:t>
      </w:r>
      <w:r w:rsidRPr="008203A6">
        <w:rPr>
          <w:rFonts w:ascii="Arial" w:hAnsi="Arial" w:cs="Arial"/>
          <w:sz w:val="22"/>
          <w:szCs w:val="22"/>
        </w:rPr>
        <w:t>31 (0), Pp. 48-60.</w:t>
      </w:r>
    </w:p>
    <w:p w14:paraId="0BF41BF8"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Braun, V., &amp; Clarke, V. (2006). Using thematic analysis in psychology. Available at: (PDF) worktribe.com (accessed on 30/07/2020).</w:t>
      </w:r>
    </w:p>
    <w:p w14:paraId="2EE1B8EF" w14:textId="77777777" w:rsidR="005D5270" w:rsidRPr="008203A6" w:rsidRDefault="005D5270" w:rsidP="003B792A">
      <w:pPr>
        <w:spacing w:line="360" w:lineRule="auto"/>
        <w:jc w:val="both"/>
        <w:rPr>
          <w:rFonts w:ascii="Arial" w:hAnsi="Arial" w:cs="Arial"/>
        </w:rPr>
      </w:pPr>
      <w:r w:rsidRPr="008203A6">
        <w:rPr>
          <w:rFonts w:ascii="Arial" w:hAnsi="Arial" w:cs="Arial"/>
        </w:rPr>
        <w:t>Brealey RA, Myers SC, And Allen F (2008). Principles Of Corporate Finance – 9th Edition. Mcgraw-Hill/Irwin, New York.</w:t>
      </w:r>
    </w:p>
    <w:p w14:paraId="24807960" w14:textId="77777777" w:rsidR="005D5270" w:rsidRPr="008203A6" w:rsidRDefault="005D5270" w:rsidP="003B792A">
      <w:pPr>
        <w:spacing w:before="240" w:line="360" w:lineRule="auto"/>
        <w:jc w:val="both"/>
        <w:rPr>
          <w:rFonts w:ascii="Arial" w:hAnsi="Arial" w:cs="Arial"/>
        </w:rPr>
      </w:pPr>
      <w:r w:rsidRPr="008203A6">
        <w:rPr>
          <w:rFonts w:ascii="Arial" w:hAnsi="Arial" w:cs="Arial"/>
        </w:rPr>
        <w:t>Brealey RA, Myers SC, And Allen F (2008). </w:t>
      </w:r>
      <w:hyperlink r:id="rId70" w:tooltip="Principles of Corporate Finance" w:history="1">
        <w:r w:rsidRPr="008203A6">
          <w:rPr>
            <w:rStyle w:val="Hyperlink"/>
            <w:rFonts w:ascii="Arial" w:hAnsi="Arial" w:cs="Arial"/>
            <w:color w:val="auto"/>
          </w:rPr>
          <w:t>Principles Of Corporate Finance</w:t>
        </w:r>
      </w:hyperlink>
      <w:r w:rsidRPr="008203A6">
        <w:rPr>
          <w:rFonts w:ascii="Arial" w:hAnsi="Arial" w:cs="Arial"/>
        </w:rPr>
        <w:t> – 9th Edition. Mcgraw-Hill/Irwin, New York.</w:t>
      </w:r>
    </w:p>
    <w:p w14:paraId="6FBD1577"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Breuillé, M. And Zanaj, S. (2013) Mergers In Fiscal Federalism, </w:t>
      </w:r>
      <w:r w:rsidRPr="008203A6">
        <w:rPr>
          <w:rFonts w:ascii="Arial" w:hAnsi="Arial" w:cs="Arial"/>
          <w:i/>
          <w:iCs/>
          <w:sz w:val="22"/>
          <w:szCs w:val="22"/>
        </w:rPr>
        <w:t xml:space="preserve">Journal Of Public Economics, </w:t>
      </w:r>
      <w:r w:rsidRPr="008203A6">
        <w:rPr>
          <w:rFonts w:ascii="Arial" w:hAnsi="Arial" w:cs="Arial"/>
          <w:sz w:val="22"/>
          <w:szCs w:val="22"/>
        </w:rPr>
        <w:t>105 (0), Pp. 11-22.</w:t>
      </w:r>
    </w:p>
    <w:p w14:paraId="03EBBFDB" w14:textId="5C81743F"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Brito, D., Pereira, P. And Ramalho, J. J. S. (2013) Mergers, Coordinated Effects And Efficiency In The Portuguese Non-Life Insurance Industry, </w:t>
      </w:r>
      <w:r w:rsidRPr="008203A6">
        <w:rPr>
          <w:rFonts w:ascii="Arial" w:hAnsi="Arial" w:cs="Arial"/>
          <w:i/>
          <w:iCs/>
          <w:sz w:val="22"/>
          <w:szCs w:val="22"/>
        </w:rPr>
        <w:t xml:space="preserve">International Journal Of Industrial Organization, </w:t>
      </w:r>
      <w:r w:rsidRPr="008203A6">
        <w:rPr>
          <w:rFonts w:ascii="Arial" w:hAnsi="Arial" w:cs="Arial"/>
          <w:sz w:val="22"/>
          <w:szCs w:val="22"/>
        </w:rPr>
        <w:t xml:space="preserve">31 (5), </w:t>
      </w:r>
      <w:r w:rsidR="00D947F5">
        <w:rPr>
          <w:rFonts w:ascii="Arial" w:hAnsi="Arial" w:cs="Arial"/>
          <w:sz w:val="22"/>
          <w:szCs w:val="22"/>
        </w:rPr>
        <w:t>p</w:t>
      </w:r>
      <w:r w:rsidRPr="008203A6">
        <w:rPr>
          <w:rFonts w:ascii="Arial" w:hAnsi="Arial" w:cs="Arial"/>
          <w:sz w:val="22"/>
          <w:szCs w:val="22"/>
        </w:rPr>
        <w:t>p. 554-568.</w:t>
      </w:r>
    </w:p>
    <w:p w14:paraId="062BEF9B"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Brooks, T., Ewuga, D., Scott, L., And Spillane, John (2018) The Impact Of Cross Border Trade By The Construction Sector In Ireland: An Exploratory Study. Available At: </w:t>
      </w:r>
      <w:hyperlink r:id="rId71" w:history="1">
        <w:r w:rsidRPr="008203A6">
          <w:rPr>
            <w:rStyle w:val="Hyperlink"/>
            <w:rFonts w:ascii="Arial" w:hAnsi="Arial" w:cs="Arial"/>
            <w:color w:val="auto"/>
          </w:rPr>
          <w:t>Http://Www.Arcom.Ac.Uk/-Docs/Archive/2018-Indexed-Papers.Pdf</w:t>
        </w:r>
      </w:hyperlink>
      <w:r w:rsidRPr="008203A6">
        <w:rPr>
          <w:rFonts w:ascii="Arial" w:hAnsi="Arial" w:cs="Arial"/>
        </w:rPr>
        <w:t xml:space="preserve"> (Accessed On 7</w:t>
      </w:r>
      <w:r w:rsidRPr="008203A6">
        <w:rPr>
          <w:rFonts w:ascii="Arial" w:hAnsi="Arial" w:cs="Arial"/>
          <w:vertAlign w:val="superscript"/>
        </w:rPr>
        <w:t>th</w:t>
      </w:r>
      <w:r w:rsidRPr="008203A6">
        <w:rPr>
          <w:rFonts w:ascii="Arial" w:hAnsi="Arial" w:cs="Arial"/>
        </w:rPr>
        <w:t xml:space="preserve"> January 2019).</w:t>
      </w:r>
    </w:p>
    <w:p w14:paraId="5E93C5E1"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Brotherton, B., &amp; Watson, S. (2001). Licensed House Manager Skills/Competences And The Management Development Process In Bass Taverns.</w:t>
      </w:r>
      <w:r w:rsidRPr="008203A6">
        <w:rPr>
          <w:rFonts w:ascii="Arial" w:hAnsi="Arial" w:cs="Arial"/>
          <w:i/>
          <w:iCs/>
        </w:rPr>
        <w:t> Human Resource Development International, 4</w:t>
      </w:r>
      <w:r w:rsidRPr="008203A6">
        <w:rPr>
          <w:rFonts w:ascii="Arial" w:hAnsi="Arial" w:cs="Arial"/>
        </w:rPr>
        <w:t>(4), 521-542.</w:t>
      </w:r>
    </w:p>
    <w:p w14:paraId="661B27E5"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Brouer, R., Badaway, R., Gallagher, V. And Haber, J. (2015) Political Skill Dimensionality And Impression Management Choice And Effective Use, Journal Of Business &amp; Psychology, 30 (2), Pp. 217-233.</w:t>
      </w:r>
    </w:p>
    <w:p w14:paraId="3AD67042"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Brown, A. (2008). Rainbow Nation – Dream Or Reality. Available At: </w:t>
      </w:r>
      <w:hyperlink r:id="rId72" w:history="1">
        <w:r w:rsidRPr="008203A6">
          <w:rPr>
            <w:rStyle w:val="Hyperlink"/>
            <w:rFonts w:ascii="Arial" w:hAnsi="Arial" w:cs="Arial"/>
            <w:color w:val="auto"/>
          </w:rPr>
          <w:t>Http://News.Bbc.Co.Uk/1/Hi/World/Africa/7512700.Stm</w:t>
        </w:r>
      </w:hyperlink>
      <w:r w:rsidRPr="008203A6">
        <w:rPr>
          <w:rFonts w:ascii="Arial" w:hAnsi="Arial" w:cs="Arial"/>
        </w:rPr>
        <w:t xml:space="preserve"> (Accessed On 2</w:t>
      </w:r>
      <w:r w:rsidRPr="008203A6">
        <w:rPr>
          <w:rFonts w:ascii="Arial" w:hAnsi="Arial" w:cs="Arial"/>
          <w:vertAlign w:val="superscript"/>
        </w:rPr>
        <w:t>nd</w:t>
      </w:r>
      <w:r w:rsidRPr="008203A6">
        <w:rPr>
          <w:rFonts w:ascii="Arial" w:hAnsi="Arial" w:cs="Arial"/>
        </w:rPr>
        <w:t xml:space="preserve"> January 2019).</w:t>
      </w:r>
    </w:p>
    <w:p w14:paraId="4F9D5550"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Brown, R (1991) The Knowledge Of Business And The Business Of Knowledge.  A Thesis Submitted For The Degree Of Doctor Of Philosophy At The Management Centre University Of Bradford. Available On Ethos (Accessed On 24</w:t>
      </w:r>
      <w:r w:rsidRPr="008203A6">
        <w:rPr>
          <w:rFonts w:ascii="Arial" w:hAnsi="Arial" w:cs="Arial"/>
          <w:vertAlign w:val="superscript"/>
        </w:rPr>
        <w:t>th</w:t>
      </w:r>
      <w:r w:rsidRPr="008203A6">
        <w:rPr>
          <w:rFonts w:ascii="Arial" w:hAnsi="Arial" w:cs="Arial"/>
        </w:rPr>
        <w:t xml:space="preserve"> December 2018).</w:t>
      </w:r>
    </w:p>
    <w:p w14:paraId="61DEC6E3"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Bruner, R. F. (1999) An Analysis Of Value Destruction And Recovery In The Alliance And Proposed Merger Of Volvo And Renault, </w:t>
      </w:r>
      <w:r w:rsidRPr="008203A6">
        <w:rPr>
          <w:rFonts w:ascii="Arial" w:hAnsi="Arial" w:cs="Arial"/>
          <w:i/>
          <w:iCs/>
          <w:sz w:val="22"/>
          <w:szCs w:val="22"/>
        </w:rPr>
        <w:t xml:space="preserve">Journal Of Financial Economics, </w:t>
      </w:r>
      <w:r w:rsidRPr="008203A6">
        <w:rPr>
          <w:rFonts w:ascii="Arial" w:hAnsi="Arial" w:cs="Arial"/>
          <w:sz w:val="22"/>
          <w:szCs w:val="22"/>
        </w:rPr>
        <w:t>51 (1), Pp. 125-166.</w:t>
      </w:r>
    </w:p>
    <w:p w14:paraId="3A80D0BA"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Brunnhuber, S. (2015). How to finance our sustainable development goals (SDGs): socioecological quantitative easing (QE) as parallel currency to make the world a better place. Available at: (PDF) semanticscholar.org. (accessed on 29/07/2020)</w:t>
      </w:r>
    </w:p>
    <w:p w14:paraId="7AD43660"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Bryman, A. &amp; Bell, E. (2011). Reliability and validity in quantitative research. Available at: Google scholar (accessed on 30/07/2020).</w:t>
      </w:r>
    </w:p>
    <w:p w14:paraId="3A36F3AA" w14:textId="77777777" w:rsidR="005D5270" w:rsidRPr="008203A6" w:rsidRDefault="005D5270" w:rsidP="003B792A">
      <w:pPr>
        <w:spacing w:line="360" w:lineRule="auto"/>
        <w:jc w:val="both"/>
        <w:rPr>
          <w:rFonts w:ascii="Arial" w:hAnsi="Arial" w:cs="Arial"/>
        </w:rPr>
      </w:pPr>
      <w:r w:rsidRPr="008203A6">
        <w:rPr>
          <w:rFonts w:ascii="Arial" w:hAnsi="Arial" w:cs="Arial"/>
        </w:rPr>
        <w:t>Bryman, A. (2008). Social research methods (4</w:t>
      </w:r>
      <w:r w:rsidRPr="008203A6">
        <w:rPr>
          <w:rFonts w:ascii="Arial" w:hAnsi="Arial" w:cs="Arial"/>
          <w:vertAlign w:val="superscript"/>
        </w:rPr>
        <w:t>th</w:t>
      </w:r>
      <w:r w:rsidRPr="008203A6">
        <w:rPr>
          <w:rFonts w:ascii="Arial" w:hAnsi="Arial" w:cs="Arial"/>
        </w:rPr>
        <w:t xml:space="preserve"> ed.). oxford University Press: Oxford</w:t>
      </w:r>
    </w:p>
    <w:p w14:paraId="7737CCB1"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Bryman, A., &amp; Cramer, D., (2009). Quantitative data analysis with SPSS 14,15 &amp; 16: A guide for social scientists. Available at: psycnet.apa.org. (accessed on 29/07/2020)</w:t>
      </w:r>
    </w:p>
    <w:p w14:paraId="32B4A4FA" w14:textId="77777777" w:rsidR="005D5270" w:rsidRPr="008203A6" w:rsidRDefault="005D5270" w:rsidP="003B792A">
      <w:pPr>
        <w:spacing w:before="240" w:line="360" w:lineRule="auto"/>
        <w:jc w:val="both"/>
        <w:rPr>
          <w:rFonts w:ascii="Arial" w:hAnsi="Arial" w:cs="Arial"/>
        </w:rPr>
      </w:pPr>
      <w:r w:rsidRPr="008203A6">
        <w:rPr>
          <w:rFonts w:ascii="Arial" w:hAnsi="Arial" w:cs="Arial"/>
        </w:rPr>
        <w:t>Brzezicka, J., Wisniewski, R. And Figurska, M. (2018) Disequilibrium In The Real Estate Market: Evidence From Poland, </w:t>
      </w:r>
      <w:r w:rsidRPr="008203A6">
        <w:rPr>
          <w:rFonts w:ascii="Arial" w:hAnsi="Arial" w:cs="Arial"/>
          <w:i/>
          <w:iCs/>
        </w:rPr>
        <w:t>Land Use Policy, </w:t>
      </w:r>
      <w:r w:rsidRPr="008203A6">
        <w:rPr>
          <w:rFonts w:ascii="Arial" w:hAnsi="Arial" w:cs="Arial"/>
        </w:rPr>
        <w:t>November 2018, 78, Pp. 515-531. Doi: </w:t>
      </w:r>
      <w:hyperlink r:id="rId73" w:tgtFrame="_blank" w:history="1">
        <w:r w:rsidRPr="008203A6">
          <w:rPr>
            <w:rFonts w:ascii="Arial" w:hAnsi="Arial" w:cs="Arial"/>
            <w:u w:val="single"/>
          </w:rPr>
          <w:t>Https://0-Doi-Org.Lispac.Lsbu.Ac.Uk/10.1016/J.Landusepol.2018.06.013</w:t>
        </w:r>
      </w:hyperlink>
      <w:r w:rsidRPr="008203A6">
        <w:rPr>
          <w:rFonts w:ascii="Arial" w:hAnsi="Arial" w:cs="Arial"/>
        </w:rPr>
        <w:t>.</w:t>
      </w:r>
    </w:p>
    <w:p w14:paraId="5729DC44" w14:textId="77777777" w:rsidR="005D5270" w:rsidRPr="008203A6" w:rsidRDefault="005D5270" w:rsidP="003B792A">
      <w:pPr>
        <w:spacing w:before="240" w:line="360" w:lineRule="auto"/>
        <w:jc w:val="both"/>
        <w:rPr>
          <w:rFonts w:ascii="Arial" w:hAnsi="Arial" w:cs="Arial"/>
        </w:rPr>
      </w:pPr>
      <w:r w:rsidRPr="008203A6">
        <w:rPr>
          <w:rFonts w:ascii="Arial" w:hAnsi="Arial" w:cs="Arial"/>
        </w:rPr>
        <w:t>Buckley, A. (2011) Financial Crisis: Causes, Context, And Consequences. New York: Pearson Financial Times/Prentice Hall.</w:t>
      </w:r>
    </w:p>
    <w:p w14:paraId="7BF4078C" w14:textId="77777777" w:rsidR="005D5270" w:rsidRPr="008203A6" w:rsidRDefault="005D5270" w:rsidP="003B792A">
      <w:pPr>
        <w:spacing w:before="240" w:line="360" w:lineRule="auto"/>
        <w:jc w:val="both"/>
        <w:rPr>
          <w:rFonts w:ascii="Arial" w:hAnsi="Arial" w:cs="Arial"/>
        </w:rPr>
      </w:pPr>
      <w:r w:rsidRPr="008203A6">
        <w:rPr>
          <w:rFonts w:ascii="Arial" w:hAnsi="Arial" w:cs="Arial"/>
        </w:rPr>
        <w:t>Burgoyne, J. &amp; Stuart, R., (1978) Management Development: Context And Strategies, Personal Review Monographs, Gower Press</w:t>
      </w:r>
    </w:p>
    <w:p w14:paraId="5BD286CF"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Burke, J. (2010). What’s the big idea? Question-driven units to motivate reading, writing and thinking. Heinemann Portsmouth, NH.</w:t>
      </w:r>
    </w:p>
    <w:p w14:paraId="368AA444"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 xml:space="preserve">Burrell, A. (2015). Emerging International Real Estate Markets. Available At: </w:t>
      </w:r>
      <w:hyperlink r:id="rId74" w:history="1">
        <w:r w:rsidRPr="008203A6">
          <w:rPr>
            <w:rStyle w:val="Hyperlink"/>
            <w:rFonts w:ascii="Arial" w:hAnsi="Arial" w:cs="Arial"/>
            <w:color w:val="auto"/>
          </w:rPr>
          <w:t>File:///C:/Users/Smart/Downloads/Emerging%20international%20real%20estate%20markets%20(December%202015)%20short%20paper.Pdf</w:t>
        </w:r>
      </w:hyperlink>
      <w:r w:rsidRPr="008203A6">
        <w:rPr>
          <w:rFonts w:ascii="Arial" w:hAnsi="Arial" w:cs="Arial"/>
        </w:rPr>
        <w:t xml:space="preserve"> (Accessed On 10</w:t>
      </w:r>
      <w:r w:rsidRPr="008203A6">
        <w:rPr>
          <w:rFonts w:ascii="Arial" w:hAnsi="Arial" w:cs="Arial"/>
          <w:vertAlign w:val="superscript"/>
        </w:rPr>
        <w:t>th</w:t>
      </w:r>
      <w:r w:rsidRPr="008203A6">
        <w:rPr>
          <w:rFonts w:ascii="Arial" w:hAnsi="Arial" w:cs="Arial"/>
        </w:rPr>
        <w:t xml:space="preserve"> December 2018). </w:t>
      </w:r>
    </w:p>
    <w:p w14:paraId="7FCCA236"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Burton, M. And Gameson, R. (2017) An Evaluation Of The Factors For Successful Alliance In The United Kingdom (Uk) Construction Industry. Available At: </w:t>
      </w:r>
      <w:hyperlink r:id="rId75" w:history="1">
        <w:r w:rsidRPr="008203A6">
          <w:rPr>
            <w:rStyle w:val="Hyperlink"/>
            <w:rFonts w:ascii="Arial" w:hAnsi="Arial" w:cs="Arial"/>
            <w:color w:val="auto"/>
          </w:rPr>
          <w:t>Http://Usir.Salford.Ac.Uk/44058/7/Irc2017_Proceedings_12102017_Optimised.Pdf</w:t>
        </w:r>
      </w:hyperlink>
      <w:r w:rsidRPr="008203A6">
        <w:rPr>
          <w:rFonts w:ascii="Arial" w:hAnsi="Arial" w:cs="Arial"/>
        </w:rPr>
        <w:t xml:space="preserve"> (Accessed On 2</w:t>
      </w:r>
      <w:r w:rsidRPr="008203A6">
        <w:rPr>
          <w:rFonts w:ascii="Arial" w:hAnsi="Arial" w:cs="Arial"/>
          <w:vertAlign w:val="superscript"/>
        </w:rPr>
        <w:t>nd</w:t>
      </w:r>
      <w:r w:rsidRPr="008203A6">
        <w:rPr>
          <w:rFonts w:ascii="Arial" w:hAnsi="Arial" w:cs="Arial"/>
        </w:rPr>
        <w:t xml:space="preserve"> January 2019).</w:t>
      </w:r>
    </w:p>
    <w:p w14:paraId="6877E5D4"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Calem, P. S., Dor, A. And Rizzo, J. A. (1999) The Welfare Effects Of Mergers In The Hospital Industry, </w:t>
      </w:r>
      <w:r w:rsidRPr="008203A6">
        <w:rPr>
          <w:rFonts w:ascii="Arial" w:hAnsi="Arial" w:cs="Arial"/>
          <w:i/>
          <w:iCs/>
          <w:sz w:val="22"/>
          <w:szCs w:val="22"/>
        </w:rPr>
        <w:t xml:space="preserve">Journal Of Economics And Business, </w:t>
      </w:r>
      <w:r w:rsidRPr="008203A6">
        <w:rPr>
          <w:rFonts w:ascii="Arial" w:hAnsi="Arial" w:cs="Arial"/>
          <w:sz w:val="22"/>
          <w:szCs w:val="22"/>
        </w:rPr>
        <w:t>51 (3), Pp. 197-213.</w:t>
      </w:r>
    </w:p>
    <w:p w14:paraId="5AB8EBBA" w14:textId="6D558DD2" w:rsidR="005D5270" w:rsidRPr="008203A6" w:rsidRDefault="005D5270" w:rsidP="003B792A">
      <w:pPr>
        <w:spacing w:after="0" w:line="360" w:lineRule="auto"/>
        <w:jc w:val="both"/>
        <w:rPr>
          <w:rFonts w:ascii="Arial" w:hAnsi="Arial" w:cs="Arial"/>
        </w:rPr>
      </w:pPr>
      <w:r w:rsidRPr="008203A6">
        <w:rPr>
          <w:rFonts w:ascii="Arial" w:hAnsi="Arial" w:cs="Arial"/>
        </w:rPr>
        <w:t>Canuto, O. &amp; Ghosh, SR (2013) Capital Flow Volatility And Systemic Risk In Emerging Markets: The Policy Tool Kit. Available At : (PDF) World Bank.Org.(Accessed On 29/06/2020)</w:t>
      </w:r>
    </w:p>
    <w:p w14:paraId="03382620" w14:textId="77777777" w:rsidR="005D5270" w:rsidRPr="008203A6" w:rsidRDefault="005D5270" w:rsidP="003B792A">
      <w:pPr>
        <w:spacing w:before="240" w:line="360" w:lineRule="auto"/>
        <w:jc w:val="both"/>
        <w:rPr>
          <w:rFonts w:ascii="Arial" w:hAnsi="Arial" w:cs="Arial"/>
        </w:rPr>
      </w:pPr>
      <w:r w:rsidRPr="008203A6">
        <w:rPr>
          <w:rFonts w:ascii="Arial" w:hAnsi="Arial" w:cs="Arial"/>
        </w:rPr>
        <w:t>Cao, C., Goldie, B. A., Liang, B., &amp; Petrasek, L. (2016). What Is The Nature Of Hedge Fund Manager Skills? Evidence From The Risk-Arbitrage Strategy.</w:t>
      </w:r>
      <w:r w:rsidRPr="008203A6">
        <w:rPr>
          <w:rFonts w:ascii="Arial" w:hAnsi="Arial" w:cs="Arial"/>
          <w:i/>
          <w:iCs/>
        </w:rPr>
        <w:t> Journal Of Financial &amp; Quantitative Analysis, 51</w:t>
      </w:r>
      <w:r w:rsidRPr="008203A6">
        <w:rPr>
          <w:rFonts w:ascii="Arial" w:hAnsi="Arial" w:cs="Arial"/>
        </w:rPr>
        <w:t>(3), 929-957.</w:t>
      </w:r>
    </w:p>
    <w:p w14:paraId="1C1B4E27" w14:textId="062E9193"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Cao, J.A., (2015). The Chinese real estate market: Development, regulation and investment. Routledge.</w:t>
      </w:r>
    </w:p>
    <w:p w14:paraId="5E91EE4F" w14:textId="77777777" w:rsidR="005D5270" w:rsidRPr="008203A6" w:rsidRDefault="005D5270" w:rsidP="003B792A">
      <w:pPr>
        <w:spacing w:before="240" w:line="360" w:lineRule="auto"/>
        <w:jc w:val="both"/>
        <w:rPr>
          <w:rFonts w:ascii="Arial" w:hAnsi="Arial" w:cs="Arial"/>
        </w:rPr>
      </w:pPr>
      <w:r w:rsidRPr="008203A6">
        <w:rPr>
          <w:rFonts w:ascii="Arial" w:hAnsi="Arial" w:cs="Arial"/>
        </w:rPr>
        <w:t>Carvalho, M. M. D., &amp; Rabechini, Junior, R. (2015). Impact Of Risk Management On Project Performance: The Importance Of Soft Skills.</w:t>
      </w:r>
      <w:r w:rsidRPr="008203A6">
        <w:rPr>
          <w:rFonts w:ascii="Arial" w:hAnsi="Arial" w:cs="Arial"/>
          <w:i/>
          <w:iCs/>
        </w:rPr>
        <w:t> International Journal Of Production Research, 53</w:t>
      </w:r>
      <w:r w:rsidRPr="008203A6">
        <w:rPr>
          <w:rFonts w:ascii="Arial" w:hAnsi="Arial" w:cs="Arial"/>
        </w:rPr>
        <w:t>(2), 321-340.</w:t>
      </w:r>
    </w:p>
    <w:p w14:paraId="1F7029C3"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Cato, S. And Matsumura, T. (2013) Merger And Entry-License Tax, </w:t>
      </w:r>
      <w:r w:rsidRPr="008203A6">
        <w:rPr>
          <w:rFonts w:ascii="Arial" w:hAnsi="Arial" w:cs="Arial"/>
          <w:i/>
          <w:iCs/>
          <w:sz w:val="22"/>
          <w:szCs w:val="22"/>
        </w:rPr>
        <w:t xml:space="preserve">Economics Letters, </w:t>
      </w:r>
      <w:r w:rsidRPr="008203A6">
        <w:rPr>
          <w:rFonts w:ascii="Arial" w:hAnsi="Arial" w:cs="Arial"/>
          <w:sz w:val="22"/>
          <w:szCs w:val="22"/>
        </w:rPr>
        <w:t>119 (1), Pp. 11-13.</w:t>
      </w:r>
    </w:p>
    <w:p w14:paraId="2CFEE83F" w14:textId="0B609941" w:rsidR="005D5270" w:rsidRPr="008203A6" w:rsidRDefault="005D5270" w:rsidP="003B792A">
      <w:pPr>
        <w:spacing w:before="240" w:line="360" w:lineRule="auto"/>
        <w:jc w:val="both"/>
        <w:rPr>
          <w:rFonts w:ascii="Arial" w:hAnsi="Arial" w:cs="Arial"/>
        </w:rPr>
      </w:pPr>
      <w:r w:rsidRPr="008203A6">
        <w:rPr>
          <w:rFonts w:ascii="Arial" w:hAnsi="Arial" w:cs="Arial"/>
        </w:rPr>
        <w:t xml:space="preserve">CESIFO Group Munich (2014). Institute For Centre For Economic Studies (CES). Available At: </w:t>
      </w:r>
      <w:hyperlink r:id="rId76" w:history="1">
        <w:r w:rsidRPr="008203A6">
          <w:rPr>
            <w:rStyle w:val="Hyperlink"/>
            <w:rFonts w:ascii="Arial" w:hAnsi="Arial" w:cs="Arial"/>
            <w:color w:val="auto"/>
          </w:rPr>
          <w:t>Http://Www.Cesifo-Group.De/De/Ifohome/Facts/DICE/Banking-And-Financial-Markets/Banking/Comparative-Statistics.Html</w:t>
        </w:r>
      </w:hyperlink>
      <w:r w:rsidRPr="008203A6">
        <w:rPr>
          <w:rFonts w:ascii="Arial" w:hAnsi="Arial" w:cs="Arial"/>
        </w:rPr>
        <w:t xml:space="preserve"> ( Accessed On 21</w:t>
      </w:r>
      <w:r w:rsidRPr="008203A6">
        <w:rPr>
          <w:rFonts w:ascii="Arial" w:hAnsi="Arial" w:cs="Arial"/>
          <w:vertAlign w:val="superscript"/>
        </w:rPr>
        <w:t>st</w:t>
      </w:r>
      <w:r w:rsidRPr="008203A6">
        <w:rPr>
          <w:rFonts w:ascii="Arial" w:hAnsi="Arial" w:cs="Arial"/>
        </w:rPr>
        <w:t xml:space="preserve"> October 2017).</w:t>
      </w:r>
    </w:p>
    <w:p w14:paraId="4A207A86" w14:textId="77777777" w:rsidR="005D5270" w:rsidRPr="008203A6" w:rsidRDefault="005D5270" w:rsidP="003B792A">
      <w:pPr>
        <w:spacing w:before="240" w:line="360" w:lineRule="auto"/>
        <w:jc w:val="both"/>
        <w:rPr>
          <w:rFonts w:ascii="Arial" w:hAnsi="Arial" w:cs="Arial"/>
        </w:rPr>
      </w:pPr>
      <w:r w:rsidRPr="008203A6">
        <w:rPr>
          <w:rFonts w:ascii="Arial" w:hAnsi="Arial" w:cs="Arial"/>
        </w:rPr>
        <w:t>Chan, A. P. C., Lam, P. T. I., Chan, D. W. M., Cheung, E., &amp; Ke, Y. (2010). Critical Success Factors For Ppps In Infrastructure Developments: A Chinese Perspective.</w:t>
      </w:r>
      <w:r w:rsidRPr="008203A6">
        <w:rPr>
          <w:rFonts w:ascii="Arial" w:hAnsi="Arial" w:cs="Arial"/>
          <w:i/>
          <w:iCs/>
        </w:rPr>
        <w:t> Journal Of Construction Engineering &amp; Management, 136</w:t>
      </w:r>
      <w:r w:rsidRPr="008203A6">
        <w:rPr>
          <w:rFonts w:ascii="Arial" w:hAnsi="Arial" w:cs="Arial"/>
        </w:rPr>
        <w:t>(5), 484-494.</w:t>
      </w:r>
    </w:p>
    <w:p w14:paraId="5B094503" w14:textId="77777777" w:rsidR="005D5270" w:rsidRPr="008203A6" w:rsidRDefault="005D5270" w:rsidP="003B792A">
      <w:pPr>
        <w:spacing w:line="360" w:lineRule="auto"/>
        <w:jc w:val="both"/>
        <w:rPr>
          <w:rFonts w:ascii="Arial" w:hAnsi="Arial" w:cs="Arial"/>
          <w:lang w:val="en-US"/>
        </w:rPr>
      </w:pPr>
      <w:r w:rsidRPr="008203A6">
        <w:rPr>
          <w:rFonts w:ascii="Arial" w:hAnsi="Arial" w:cs="Arial"/>
          <w:lang w:val="en-US"/>
        </w:rPr>
        <w:t>Chang Liu And Wei Xiong (2019), China's Real Estate Market, The Handbook Of China's Financial System, Edited By Marlene Amstad, Guofeng Sun, And Wei Xiong, Princeton University Press</w:t>
      </w:r>
    </w:p>
    <w:p w14:paraId="0DA9783B" w14:textId="54C9CD7A" w:rsidR="005D5270" w:rsidRPr="008203A6" w:rsidRDefault="005D5270" w:rsidP="003B792A">
      <w:pPr>
        <w:spacing w:line="360" w:lineRule="auto"/>
        <w:jc w:val="both"/>
        <w:rPr>
          <w:rFonts w:ascii="Arial" w:hAnsi="Arial" w:cs="Arial"/>
        </w:rPr>
      </w:pPr>
      <w:r w:rsidRPr="008203A6">
        <w:rPr>
          <w:rFonts w:ascii="Arial" w:hAnsi="Arial" w:cs="Arial"/>
        </w:rPr>
        <w:lastRenderedPageBreak/>
        <w:t xml:space="preserve">Chappelow, J (2018). What Is Behavorist? Available At: </w:t>
      </w:r>
      <w:hyperlink r:id="rId77" w:history="1">
        <w:r w:rsidRPr="008203A6">
          <w:rPr>
            <w:rStyle w:val="Hyperlink"/>
            <w:rFonts w:ascii="Arial" w:hAnsi="Arial" w:cs="Arial"/>
            <w:color w:val="auto"/>
          </w:rPr>
          <w:t>Https://Www.Investopedia.Com/Terms/B/Behavioralist.Asp</w:t>
        </w:r>
      </w:hyperlink>
      <w:r w:rsidRPr="008203A6">
        <w:rPr>
          <w:rFonts w:ascii="Arial" w:hAnsi="Arial" w:cs="Arial"/>
        </w:rPr>
        <w:t xml:space="preserve"> ( Accessed On 14/05/2020)</w:t>
      </w:r>
    </w:p>
    <w:p w14:paraId="397637BD" w14:textId="77777777" w:rsidR="005D5270" w:rsidRPr="008203A6" w:rsidRDefault="005D5270" w:rsidP="003B792A">
      <w:pPr>
        <w:spacing w:before="240" w:line="360" w:lineRule="auto"/>
        <w:jc w:val="both"/>
        <w:rPr>
          <w:rFonts w:ascii="Arial" w:hAnsi="Arial" w:cs="Arial"/>
        </w:rPr>
      </w:pPr>
      <w:r w:rsidRPr="008203A6">
        <w:rPr>
          <w:rFonts w:ascii="Arial" w:hAnsi="Arial" w:cs="Arial"/>
        </w:rPr>
        <w:t>Charles, G. And Mori, N. (2016) Effects Of Collateral On Loan Repayment: Evidence From An Informal Lending Institution, Journal Of African Business, 17 (2), Pp. 254-272.</w:t>
      </w:r>
    </w:p>
    <w:p w14:paraId="0745325E" w14:textId="77777777" w:rsidR="005D5270" w:rsidRPr="008203A6" w:rsidRDefault="005D5270" w:rsidP="003B792A">
      <w:pPr>
        <w:spacing w:after="0" w:line="360" w:lineRule="auto"/>
        <w:jc w:val="both"/>
        <w:rPr>
          <w:rFonts w:ascii="Arial" w:hAnsi="Arial" w:cs="Arial"/>
        </w:rPr>
      </w:pPr>
      <w:r w:rsidRPr="008203A6">
        <w:rPr>
          <w:rFonts w:ascii="Arial" w:hAnsi="Arial" w:cs="Arial"/>
        </w:rPr>
        <w:t>Chen, Aimin; Zhang, Kevin H. (2004). Urbanization And Social Welfare In China. Ashgate Publishing, Ltd. P. 99. ISBN 978-0-7546-3313-6. Retrieved 17 August 2012.</w:t>
      </w:r>
    </w:p>
    <w:p w14:paraId="04A9F86C"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Chen, J. (2018) What Is Eurobond. Available At: </w:t>
      </w:r>
      <w:hyperlink r:id="rId78" w:history="1">
        <w:r w:rsidRPr="008203A6">
          <w:rPr>
            <w:rFonts w:ascii="Arial" w:hAnsi="Arial" w:cs="Arial"/>
            <w:u w:val="single"/>
          </w:rPr>
          <w:t>Https://Www.Investopedia.Com/Terms/E/Eurobond.Asp</w:t>
        </w:r>
      </w:hyperlink>
      <w:r w:rsidRPr="008203A6">
        <w:rPr>
          <w:rFonts w:ascii="Arial" w:hAnsi="Arial" w:cs="Arial"/>
        </w:rPr>
        <w:t xml:space="preserve"> (Accessed On 5</w:t>
      </w:r>
      <w:r w:rsidRPr="008203A6">
        <w:rPr>
          <w:rFonts w:ascii="Arial" w:hAnsi="Arial" w:cs="Arial"/>
          <w:vertAlign w:val="superscript"/>
        </w:rPr>
        <w:t>th</w:t>
      </w:r>
      <w:r w:rsidRPr="008203A6">
        <w:rPr>
          <w:rFonts w:ascii="Arial" w:hAnsi="Arial" w:cs="Arial"/>
        </w:rPr>
        <w:t xml:space="preserve"> January 2019). </w:t>
      </w:r>
    </w:p>
    <w:p w14:paraId="07AC0A86"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Chen, J. (2018). Modigliani Miller Theorem – M&amp; M. Available At </w:t>
      </w:r>
      <w:hyperlink r:id="rId79" w:history="1">
        <w:r w:rsidRPr="008203A6">
          <w:rPr>
            <w:rStyle w:val="Hyperlink"/>
            <w:rFonts w:ascii="Arial" w:hAnsi="Arial" w:cs="Arial"/>
            <w:color w:val="auto"/>
          </w:rPr>
          <w:t>Https://Www.Investopedia.Com/Terms/M/Modigliani-Millertheorem.Asp</w:t>
        </w:r>
      </w:hyperlink>
      <w:r w:rsidRPr="008203A6">
        <w:rPr>
          <w:rFonts w:ascii="Arial" w:hAnsi="Arial" w:cs="Arial"/>
        </w:rPr>
        <w:t xml:space="preserve"> ( Accessed On 24</w:t>
      </w:r>
      <w:r w:rsidRPr="008203A6">
        <w:rPr>
          <w:rFonts w:ascii="Arial" w:hAnsi="Arial" w:cs="Arial"/>
          <w:vertAlign w:val="superscript"/>
        </w:rPr>
        <w:t>th</w:t>
      </w:r>
      <w:r w:rsidRPr="008203A6">
        <w:rPr>
          <w:rFonts w:ascii="Arial" w:hAnsi="Arial" w:cs="Arial"/>
        </w:rPr>
        <w:t xml:space="preserve"> January 2019). </w:t>
      </w:r>
    </w:p>
    <w:p w14:paraId="6E1C6E80" w14:textId="77777777" w:rsidR="005D5270" w:rsidRPr="008203A6" w:rsidRDefault="005D5270" w:rsidP="003B792A">
      <w:pPr>
        <w:spacing w:after="0" w:line="360" w:lineRule="auto"/>
        <w:jc w:val="both"/>
        <w:rPr>
          <w:rFonts w:ascii="Arial" w:hAnsi="Arial" w:cs="Arial"/>
        </w:rPr>
      </w:pPr>
      <w:r w:rsidRPr="008203A6">
        <w:rPr>
          <w:rFonts w:ascii="Arial" w:hAnsi="Arial" w:cs="Arial"/>
        </w:rPr>
        <w:t>Chen, Kaiji; Wen, Yi (2017). "The Great Housing Boom Of China". American Economic Journal: Macroeconomics. 9 (2): 73–114. Doi:10.1257/Mac.20140234. ISSN 1945-7707.</w:t>
      </w:r>
    </w:p>
    <w:p w14:paraId="53C80AB4"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 xml:space="preserve">Chen, Y. And Soileau, J. S. (2014) Does Pedigree Matter? Earnings Quality Of U.S. Listed Domestic Firms Via Reverse Mergers, </w:t>
      </w:r>
      <w:r w:rsidRPr="008203A6">
        <w:rPr>
          <w:rFonts w:ascii="Arial" w:hAnsi="Arial" w:cs="Arial"/>
          <w:i/>
          <w:iCs/>
          <w:sz w:val="22"/>
          <w:szCs w:val="22"/>
        </w:rPr>
        <w:t xml:space="preserve">Journal Of Accounting And Public Policy, </w:t>
      </w:r>
      <w:r w:rsidRPr="008203A6">
        <w:rPr>
          <w:rFonts w:ascii="Arial" w:hAnsi="Arial" w:cs="Arial"/>
          <w:sz w:val="22"/>
          <w:szCs w:val="22"/>
        </w:rPr>
        <w:t xml:space="preserve">33 (6), Pp. 573-595. </w:t>
      </w:r>
    </w:p>
    <w:p w14:paraId="3C4F6BF0" w14:textId="77777777" w:rsidR="005D5270" w:rsidRPr="008203A6" w:rsidRDefault="005D5270" w:rsidP="003B792A">
      <w:pPr>
        <w:spacing w:line="360" w:lineRule="auto"/>
        <w:jc w:val="both"/>
        <w:rPr>
          <w:rFonts w:ascii="Arial" w:hAnsi="Arial" w:cs="Arial"/>
        </w:rPr>
      </w:pPr>
      <w:r w:rsidRPr="008203A6">
        <w:rPr>
          <w:rFonts w:ascii="Arial" w:hAnsi="Arial" w:cs="Arial"/>
        </w:rPr>
        <w:t>Cherry, B., &amp; Jacob, S. R. (2005). Contemporary Nursing: Issues, Trends, &amp; Management. St. Louis, Mo, Elsevier Mosby.</w:t>
      </w:r>
    </w:p>
    <w:p w14:paraId="4DECBA24"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Chiang, L., 2016. Real estate crowdfunding booms in Asia despite regulatory uncertainties.</w:t>
      </w:r>
    </w:p>
    <w:p w14:paraId="0DADDCC2"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Chiang, S.H., 2016. Interaction among real estate properties in China using three submarket panels. </w:t>
      </w:r>
      <w:r w:rsidRPr="008203A6">
        <w:rPr>
          <w:rFonts w:ascii="Arial" w:hAnsi="Arial" w:cs="Arial"/>
          <w:i/>
          <w:iCs/>
          <w:shd w:val="clear" w:color="auto" w:fill="FFFFFF"/>
        </w:rPr>
        <w:t>Habitat International</w:t>
      </w:r>
      <w:r w:rsidRPr="008203A6">
        <w:rPr>
          <w:rFonts w:ascii="Arial" w:hAnsi="Arial" w:cs="Arial"/>
          <w:shd w:val="clear" w:color="auto" w:fill="FFFFFF"/>
        </w:rPr>
        <w:t>, </w:t>
      </w:r>
      <w:r w:rsidRPr="008203A6">
        <w:rPr>
          <w:rFonts w:ascii="Arial" w:hAnsi="Arial" w:cs="Arial"/>
          <w:i/>
          <w:iCs/>
          <w:shd w:val="clear" w:color="auto" w:fill="FFFFFF"/>
        </w:rPr>
        <w:t>53</w:t>
      </w:r>
      <w:r w:rsidRPr="008203A6">
        <w:rPr>
          <w:rFonts w:ascii="Arial" w:hAnsi="Arial" w:cs="Arial"/>
          <w:shd w:val="clear" w:color="auto" w:fill="FFFFFF"/>
        </w:rPr>
        <w:t>, pp.243-253.</w:t>
      </w:r>
    </w:p>
    <w:p w14:paraId="61FAC49C" w14:textId="77777777" w:rsidR="005D5270" w:rsidRPr="008203A6" w:rsidRDefault="005D5270" w:rsidP="003B792A">
      <w:pPr>
        <w:spacing w:before="240" w:line="360" w:lineRule="auto"/>
        <w:jc w:val="both"/>
        <w:rPr>
          <w:rFonts w:ascii="Arial" w:hAnsi="Arial" w:cs="Arial"/>
        </w:rPr>
      </w:pPr>
      <w:r w:rsidRPr="008203A6">
        <w:rPr>
          <w:rFonts w:ascii="Arial" w:hAnsi="Arial" w:cs="Arial"/>
        </w:rPr>
        <w:t>Chobotová, M., &amp; Rylková, Ž. (2015). Management Of A Project Manager's Competences In Public Organisations.</w:t>
      </w:r>
      <w:r w:rsidRPr="008203A6">
        <w:rPr>
          <w:rFonts w:ascii="Arial" w:hAnsi="Arial" w:cs="Arial"/>
          <w:i/>
          <w:iCs/>
        </w:rPr>
        <w:t> Acta Academica Karviniensia, </w:t>
      </w:r>
      <w:r w:rsidRPr="008203A6">
        <w:rPr>
          <w:rFonts w:ascii="Arial" w:hAnsi="Arial" w:cs="Arial"/>
        </w:rPr>
        <w:t>(1), 70-81.</w:t>
      </w:r>
    </w:p>
    <w:p w14:paraId="6C556F1C"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Choo. C.W. (2001). Environmental Scanning As Information Seeking And Organisational Learning. Available At: </w:t>
      </w:r>
      <w:hyperlink r:id="rId80" w:history="1">
        <w:r w:rsidRPr="008203A6">
          <w:rPr>
            <w:rStyle w:val="Hyperlink"/>
            <w:rFonts w:ascii="Arial" w:hAnsi="Arial" w:cs="Arial"/>
            <w:color w:val="auto"/>
          </w:rPr>
          <w:t>Http://Choo.Ischool.Utoronto.Ca/Fis/Respub/Chooimreader.Pdf</w:t>
        </w:r>
      </w:hyperlink>
      <w:r w:rsidRPr="008203A6">
        <w:rPr>
          <w:rFonts w:ascii="Arial" w:hAnsi="Arial" w:cs="Arial"/>
        </w:rPr>
        <w:t xml:space="preserve"> (Accessed On 16/09/2019)</w:t>
      </w:r>
    </w:p>
    <w:p w14:paraId="2494683B" w14:textId="77777777" w:rsidR="005D5270" w:rsidRPr="008203A6" w:rsidRDefault="005D5270" w:rsidP="003B792A">
      <w:pPr>
        <w:spacing w:after="0" w:line="360" w:lineRule="auto"/>
        <w:jc w:val="both"/>
        <w:rPr>
          <w:rFonts w:ascii="Arial" w:hAnsi="Arial" w:cs="Arial"/>
        </w:rPr>
      </w:pPr>
      <w:r w:rsidRPr="008203A6">
        <w:rPr>
          <w:rFonts w:ascii="Arial" w:hAnsi="Arial" w:cs="Arial"/>
        </w:rPr>
        <w:t>Chortareas, G. E., Girardone, C. And Ventouri, A. (2012) Bank Supervision, Regulation, And Efficiency: Evidence From The European Union, </w:t>
      </w:r>
      <w:r w:rsidRPr="008203A6">
        <w:rPr>
          <w:rFonts w:ascii="Arial" w:hAnsi="Arial" w:cs="Arial"/>
          <w:i/>
          <w:iCs/>
        </w:rPr>
        <w:t>Journal Of Financial Stability, </w:t>
      </w:r>
      <w:r w:rsidRPr="008203A6">
        <w:rPr>
          <w:rFonts w:ascii="Arial" w:hAnsi="Arial" w:cs="Arial"/>
        </w:rPr>
        <w:t>December 2012, 8 (4), Pp. 292-302. DOI: </w:t>
      </w:r>
      <w:hyperlink r:id="rId81" w:tgtFrame="_blank" w:history="1">
        <w:r w:rsidRPr="008203A6">
          <w:rPr>
            <w:rStyle w:val="Hyperlink"/>
            <w:rFonts w:ascii="Arial" w:hAnsi="Arial" w:cs="Arial"/>
            <w:color w:val="auto"/>
          </w:rPr>
          <w:t>Https://Doi.Org/10.1016/J.Jfs.2011.12.001</w:t>
        </w:r>
      </w:hyperlink>
      <w:r w:rsidRPr="008203A6">
        <w:rPr>
          <w:rFonts w:ascii="Arial" w:hAnsi="Arial" w:cs="Arial"/>
        </w:rPr>
        <w:t>.</w:t>
      </w:r>
    </w:p>
    <w:p w14:paraId="6C6F5801"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Cicekli, E. (2016). Graduate Skills Requirements For Effective Performance In The Banking Sector.</w:t>
      </w:r>
      <w:r w:rsidRPr="008203A6">
        <w:rPr>
          <w:rFonts w:ascii="Arial" w:hAnsi="Arial" w:cs="Arial"/>
          <w:i/>
          <w:iCs/>
        </w:rPr>
        <w:t> Business: Theory &amp; Practice, 17</w:t>
      </w:r>
      <w:r w:rsidRPr="008203A6">
        <w:rPr>
          <w:rFonts w:ascii="Arial" w:hAnsi="Arial" w:cs="Arial"/>
        </w:rPr>
        <w:t>(4), 317-324.</w:t>
      </w:r>
    </w:p>
    <w:p w14:paraId="068FFD87" w14:textId="3042D594" w:rsidR="005D5270" w:rsidRPr="008203A6" w:rsidRDefault="005D5270" w:rsidP="003B792A">
      <w:pPr>
        <w:spacing w:before="240" w:line="360" w:lineRule="auto"/>
        <w:jc w:val="both"/>
        <w:rPr>
          <w:rFonts w:ascii="Arial" w:hAnsi="Arial" w:cs="Arial"/>
        </w:rPr>
      </w:pPr>
      <w:r w:rsidRPr="008203A6">
        <w:rPr>
          <w:rFonts w:ascii="Arial" w:hAnsi="Arial" w:cs="Arial"/>
        </w:rPr>
        <w:t xml:space="preserve">CIOB (2013). The Chartered Institute Of Building. A Report Exploring Skills In The UK Construction Industry. Available At: </w:t>
      </w:r>
      <w:hyperlink r:id="rId82" w:history="1">
        <w:r w:rsidRPr="008203A6">
          <w:rPr>
            <w:rStyle w:val="Hyperlink"/>
            <w:rFonts w:ascii="Arial" w:hAnsi="Arial" w:cs="Arial"/>
            <w:color w:val="auto"/>
          </w:rPr>
          <w:t>Http://Www.Ciob.Org/Sites/Default/Files/Skills</w:t>
        </w:r>
      </w:hyperlink>
      <w:r w:rsidRPr="008203A6">
        <w:rPr>
          <w:rFonts w:ascii="Arial" w:hAnsi="Arial" w:cs="Arial"/>
        </w:rPr>
        <w:t xml:space="preserve"> Report (Accessed On 27th May 2018).</w:t>
      </w:r>
    </w:p>
    <w:p w14:paraId="5CFDCB87" w14:textId="77777777" w:rsidR="005D5270" w:rsidRPr="008203A6" w:rsidRDefault="005D5270" w:rsidP="003B792A">
      <w:pPr>
        <w:spacing w:line="360" w:lineRule="auto"/>
        <w:jc w:val="both"/>
        <w:rPr>
          <w:rFonts w:ascii="Arial" w:hAnsi="Arial" w:cs="Arial"/>
        </w:rPr>
      </w:pPr>
      <w:r w:rsidRPr="008203A6">
        <w:rPr>
          <w:rFonts w:ascii="Arial" w:hAnsi="Arial" w:cs="Arial"/>
        </w:rPr>
        <w:t>Clark, S. A. (1999). University Of California Customizes Education For Silicon Valley Titans HR Events.</w:t>
      </w:r>
    </w:p>
    <w:p w14:paraId="0F75EFAF"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Clarke, D., (2018). Form and function in China’s urban land regime: The irrelevance of “ownership”. </w:t>
      </w:r>
      <w:r w:rsidRPr="008203A6">
        <w:rPr>
          <w:rFonts w:ascii="Arial" w:hAnsi="Arial" w:cs="Arial"/>
          <w:i/>
          <w:iCs/>
          <w:shd w:val="clear" w:color="auto" w:fill="FFFFFF"/>
        </w:rPr>
        <w:t>Land Use Policy</w:t>
      </w:r>
      <w:r w:rsidRPr="008203A6">
        <w:rPr>
          <w:rFonts w:ascii="Arial" w:hAnsi="Arial" w:cs="Arial"/>
          <w:shd w:val="clear" w:color="auto" w:fill="FFFFFF"/>
        </w:rPr>
        <w:t>, </w:t>
      </w:r>
      <w:r w:rsidRPr="008203A6">
        <w:rPr>
          <w:rFonts w:ascii="Arial" w:hAnsi="Arial" w:cs="Arial"/>
          <w:i/>
          <w:iCs/>
          <w:shd w:val="clear" w:color="auto" w:fill="FFFFFF"/>
        </w:rPr>
        <w:t>79</w:t>
      </w:r>
      <w:r w:rsidRPr="008203A6">
        <w:rPr>
          <w:rFonts w:ascii="Arial" w:hAnsi="Arial" w:cs="Arial"/>
          <w:shd w:val="clear" w:color="auto" w:fill="FFFFFF"/>
        </w:rPr>
        <w:t>, pp.902-912.</w:t>
      </w:r>
    </w:p>
    <w:p w14:paraId="3A78C6CB"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Clarke, T., (2010) The Development Of A Tacit Knowledge Spectrum Based On The Interrelationship Between Tacit And Explicit Knowledge. A Thesis Submitted To Cardiff School Of Arts And Design For The Degree Of Doctor Of Philosophy. Available On Ethos (Accessed On 24</w:t>
      </w:r>
      <w:r w:rsidRPr="008203A6">
        <w:rPr>
          <w:rFonts w:ascii="Arial" w:hAnsi="Arial" w:cs="Arial"/>
          <w:vertAlign w:val="superscript"/>
        </w:rPr>
        <w:t>th</w:t>
      </w:r>
      <w:r w:rsidRPr="008203A6">
        <w:rPr>
          <w:rFonts w:ascii="Arial" w:hAnsi="Arial" w:cs="Arial"/>
        </w:rPr>
        <w:t xml:space="preserve"> December 2018)</w:t>
      </w:r>
    </w:p>
    <w:p w14:paraId="466F38C1" w14:textId="77777777" w:rsidR="005D5270" w:rsidRPr="008203A6" w:rsidRDefault="005D5270" w:rsidP="003B792A">
      <w:pPr>
        <w:spacing w:before="240" w:line="360" w:lineRule="auto"/>
        <w:jc w:val="both"/>
        <w:rPr>
          <w:rFonts w:ascii="Arial" w:hAnsi="Arial" w:cs="Arial"/>
        </w:rPr>
      </w:pPr>
      <w:r w:rsidRPr="008203A6">
        <w:rPr>
          <w:rFonts w:ascii="Arial" w:hAnsi="Arial" w:cs="Arial"/>
        </w:rPr>
        <w:t>Clauretie, T. M. And Sirmans, G. S. (2010) </w:t>
      </w:r>
      <w:r w:rsidRPr="008203A6">
        <w:rPr>
          <w:rFonts w:ascii="Arial" w:hAnsi="Arial" w:cs="Arial"/>
          <w:i/>
          <w:iCs/>
        </w:rPr>
        <w:t>Real Estate Finance: Theory And Practice. </w:t>
      </w:r>
      <w:r w:rsidRPr="008203A6">
        <w:rPr>
          <w:rFonts w:ascii="Arial" w:hAnsi="Arial" w:cs="Arial"/>
        </w:rPr>
        <w:t>Mason, Ohio; Australia: Cengage Learning, C2010; 6th Ed.</w:t>
      </w:r>
    </w:p>
    <w:p w14:paraId="33E12A3E"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Coldwell, M (2018) Professional Learning And Professional Careers: Theory, Evaluation, And Practice.  Published Work Submitted In Partial Fulfillment Of The Requirements Of Sheffield Hallam University For The Degree Of Doctor Of Philosophy On The Basis Of Published Work. Available On Ethos (Accessed On 21st December 2018).   </w:t>
      </w:r>
    </w:p>
    <w:p w14:paraId="601E561A" w14:textId="77777777" w:rsidR="005D5270" w:rsidRPr="008203A6" w:rsidRDefault="005D5270" w:rsidP="003B792A">
      <w:pPr>
        <w:spacing w:before="240" w:line="360" w:lineRule="auto"/>
        <w:jc w:val="both"/>
        <w:rPr>
          <w:rFonts w:ascii="Arial" w:hAnsi="Arial" w:cs="Arial"/>
          <w:i/>
          <w:iCs/>
        </w:rPr>
      </w:pPr>
      <w:r w:rsidRPr="008203A6">
        <w:rPr>
          <w:rFonts w:ascii="Arial" w:hAnsi="Arial" w:cs="Arial"/>
          <w:i/>
          <w:iCs/>
        </w:rPr>
        <w:t>Colligan, L., Anderson, J., Potts, H. And Berman, J. (2010). Does The Process Map Influence The Outcome Of Quality Improvement Work? A Comparison Of The Sequential Flow Diagram And Hierarchical Task Analysis Diagram. Available At:</w:t>
      </w:r>
      <w:r w:rsidRPr="008203A6">
        <w:rPr>
          <w:rFonts w:ascii="Arial" w:hAnsi="Arial" w:cs="Arial"/>
        </w:rPr>
        <w:t xml:space="preserve"> </w:t>
      </w:r>
      <w:hyperlink r:id="rId83" w:history="1">
        <w:r w:rsidRPr="008203A6">
          <w:rPr>
            <w:rStyle w:val="Hyperlink"/>
            <w:rFonts w:ascii="Arial" w:hAnsi="Arial" w:cs="Arial"/>
            <w:i/>
            <w:iCs/>
            <w:color w:val="auto"/>
          </w:rPr>
          <w:t>Https://Bmchealthservres.Biomedcentral.Com/Articles/10.1186/1472-6963-10-7</w:t>
        </w:r>
      </w:hyperlink>
      <w:r w:rsidRPr="008203A6">
        <w:rPr>
          <w:rFonts w:ascii="Arial" w:hAnsi="Arial" w:cs="Arial"/>
          <w:i/>
          <w:iCs/>
        </w:rPr>
        <w:t xml:space="preserve"> (Accessed On 28</w:t>
      </w:r>
      <w:r w:rsidRPr="008203A6">
        <w:rPr>
          <w:rFonts w:ascii="Arial" w:hAnsi="Arial" w:cs="Arial"/>
          <w:i/>
          <w:iCs/>
          <w:vertAlign w:val="superscript"/>
        </w:rPr>
        <w:t>th</w:t>
      </w:r>
      <w:r w:rsidRPr="008203A6">
        <w:rPr>
          <w:rFonts w:ascii="Arial" w:hAnsi="Arial" w:cs="Arial"/>
          <w:i/>
          <w:iCs/>
        </w:rPr>
        <w:t xml:space="preserve"> May 2019). </w:t>
      </w:r>
    </w:p>
    <w:p w14:paraId="06DA0B86" w14:textId="77777777" w:rsidR="005D5270" w:rsidRPr="008203A6" w:rsidRDefault="005D5270" w:rsidP="003B792A">
      <w:pPr>
        <w:spacing w:before="240" w:line="360" w:lineRule="auto"/>
        <w:jc w:val="both"/>
        <w:rPr>
          <w:rFonts w:ascii="Arial" w:hAnsi="Arial" w:cs="Arial"/>
          <w:lang w:val="en-US"/>
        </w:rPr>
      </w:pPr>
      <w:r w:rsidRPr="008203A6">
        <w:rPr>
          <w:rFonts w:ascii="Arial" w:hAnsi="Arial" w:cs="Arial"/>
          <w:lang w:val="en-US"/>
        </w:rPr>
        <w:t>Collins, G. (2019). Berlin Housing Market Forecast. Available On:</w:t>
      </w:r>
      <w:r w:rsidRPr="008203A6">
        <w:rPr>
          <w:rFonts w:ascii="Arial" w:hAnsi="Arial" w:cs="Arial"/>
        </w:rPr>
        <w:t xml:space="preserve"> </w:t>
      </w:r>
      <w:hyperlink r:id="rId84" w:history="1">
        <w:r w:rsidRPr="008203A6">
          <w:rPr>
            <w:rStyle w:val="Hyperlink"/>
            <w:rFonts w:ascii="Arial" w:hAnsi="Arial" w:cs="Arial"/>
            <w:color w:val="auto"/>
            <w:lang w:val="en-US"/>
          </w:rPr>
          <w:t>Https://Managecasa.Com/Articles/Berlin-Housing-Market/</w:t>
        </w:r>
      </w:hyperlink>
      <w:r w:rsidRPr="008203A6">
        <w:rPr>
          <w:rFonts w:ascii="Arial" w:hAnsi="Arial" w:cs="Arial"/>
          <w:lang w:val="en-US"/>
        </w:rPr>
        <w:t xml:space="preserve"> ( Accessed On 2</w:t>
      </w:r>
      <w:r w:rsidRPr="008203A6">
        <w:rPr>
          <w:rFonts w:ascii="Arial" w:hAnsi="Arial" w:cs="Arial"/>
          <w:vertAlign w:val="superscript"/>
          <w:lang w:val="en-US"/>
        </w:rPr>
        <w:t>nd</w:t>
      </w:r>
      <w:r w:rsidRPr="008203A6">
        <w:rPr>
          <w:rFonts w:ascii="Arial" w:hAnsi="Arial" w:cs="Arial"/>
          <w:lang w:val="en-US"/>
        </w:rPr>
        <w:t xml:space="preserve"> December 2019)</w:t>
      </w:r>
    </w:p>
    <w:p w14:paraId="75F8D29E"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Collins, J. ( 1979). British Abolish Control On Foreign Currency. Available At: </w:t>
      </w:r>
      <w:hyperlink r:id="rId85" w:history="1">
        <w:r w:rsidRPr="008203A6">
          <w:rPr>
            <w:rStyle w:val="Hyperlink"/>
            <w:rFonts w:ascii="Arial" w:hAnsi="Arial" w:cs="Arial"/>
            <w:color w:val="auto"/>
          </w:rPr>
          <w:t>Https://Www.Nytimes.Com/1979/10/24/Archives/British-Abolish-Controls-On-Foreign-Currency-Some-Outflows-Are.Html</w:t>
        </w:r>
      </w:hyperlink>
      <w:r w:rsidRPr="008203A6">
        <w:rPr>
          <w:rFonts w:ascii="Arial" w:hAnsi="Arial" w:cs="Arial"/>
        </w:rPr>
        <w:t xml:space="preserve"> ( Accessed On 17</w:t>
      </w:r>
      <w:r w:rsidRPr="008203A6">
        <w:rPr>
          <w:rFonts w:ascii="Arial" w:hAnsi="Arial" w:cs="Arial"/>
          <w:vertAlign w:val="superscript"/>
        </w:rPr>
        <w:t>th</w:t>
      </w:r>
      <w:r w:rsidRPr="008203A6">
        <w:rPr>
          <w:rFonts w:ascii="Arial" w:hAnsi="Arial" w:cs="Arial"/>
        </w:rPr>
        <w:t xml:space="preserve"> December 2018).</w:t>
      </w:r>
    </w:p>
    <w:p w14:paraId="65B4E76A"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Converse, N., (2013) Essay On International Capital Flow. A Thesis Submitted To The Department Of Economics Of The London School Of Economics And Political Science For A Degree Of Doctor Of Philosophy. Available On Ethos ( Accessed 29</w:t>
      </w:r>
      <w:r w:rsidRPr="008203A6">
        <w:rPr>
          <w:rFonts w:ascii="Arial" w:hAnsi="Arial" w:cs="Arial"/>
          <w:vertAlign w:val="superscript"/>
        </w:rPr>
        <w:t>th</w:t>
      </w:r>
      <w:r w:rsidRPr="008203A6">
        <w:rPr>
          <w:rFonts w:ascii="Arial" w:hAnsi="Arial" w:cs="Arial"/>
        </w:rPr>
        <w:t xml:space="preserve"> December 2018).</w:t>
      </w:r>
    </w:p>
    <w:p w14:paraId="681EBCA0"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Copley.  J. ( 2017) Capital Controls Are Back On The Agenda – But Why Did Britain Scrap Them In The 1970s? Available At: </w:t>
      </w:r>
      <w:hyperlink r:id="rId86" w:history="1">
        <w:r w:rsidRPr="008203A6">
          <w:rPr>
            <w:rStyle w:val="Hyperlink"/>
            <w:rFonts w:ascii="Arial" w:hAnsi="Arial" w:cs="Arial"/>
            <w:color w:val="auto"/>
          </w:rPr>
          <w:t>Http://Speri.Dept.Shef.Ac.Uk/2017/12/07/Capital-Controls-Are-Back-On-The-Agenda-But-Why-Did-Britain-Scrap-Them-In-The-1970s/</w:t>
        </w:r>
      </w:hyperlink>
      <w:r w:rsidRPr="008203A6">
        <w:rPr>
          <w:rFonts w:ascii="Arial" w:hAnsi="Arial" w:cs="Arial"/>
        </w:rPr>
        <w:t xml:space="preserve"> ( Accessed On 17</w:t>
      </w:r>
      <w:r w:rsidRPr="008203A6">
        <w:rPr>
          <w:rFonts w:ascii="Arial" w:hAnsi="Arial" w:cs="Arial"/>
          <w:vertAlign w:val="superscript"/>
        </w:rPr>
        <w:t>th</w:t>
      </w:r>
      <w:r w:rsidRPr="008203A6">
        <w:rPr>
          <w:rFonts w:ascii="Arial" w:hAnsi="Arial" w:cs="Arial"/>
        </w:rPr>
        <w:t xml:space="preserve"> December 2018). </w:t>
      </w:r>
    </w:p>
    <w:p w14:paraId="7E372E46" w14:textId="77777777" w:rsidR="005D5270" w:rsidRPr="008203A6" w:rsidRDefault="005D5270" w:rsidP="003B792A">
      <w:pPr>
        <w:spacing w:before="240" w:line="360" w:lineRule="auto"/>
        <w:jc w:val="both"/>
        <w:rPr>
          <w:rFonts w:ascii="Arial" w:hAnsi="Arial" w:cs="Arial"/>
        </w:rPr>
      </w:pPr>
      <w:r w:rsidRPr="008203A6">
        <w:rPr>
          <w:rFonts w:ascii="Arial" w:hAnsi="Arial" w:cs="Arial"/>
        </w:rPr>
        <w:t>Cottrell, S. And Cottrell, S. (2017) </w:t>
      </w:r>
      <w:r w:rsidRPr="008203A6">
        <w:rPr>
          <w:rFonts w:ascii="Arial" w:hAnsi="Arial" w:cs="Arial"/>
          <w:i/>
          <w:iCs/>
        </w:rPr>
        <w:t>Critical Thinking Skills: Effective Analysis, Argument, And Reflection. </w:t>
      </w:r>
      <w:r w:rsidRPr="008203A6">
        <w:rPr>
          <w:rFonts w:ascii="Arial" w:hAnsi="Arial" w:cs="Arial"/>
        </w:rPr>
        <w:t>Third Ed. London; Basingstoke; 4: Palgrave Macmillan Education.</w:t>
      </w:r>
    </w:p>
    <w:p w14:paraId="25F71FB4"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Cox, C.J. and Cooper, C.L., (1988). High flyers: An anatomy of managerial success. Basil Blackwell.</w:t>
      </w:r>
    </w:p>
    <w:p w14:paraId="14880201" w14:textId="77777777" w:rsidR="005D5270" w:rsidRPr="008203A6" w:rsidRDefault="005D5270" w:rsidP="003B792A">
      <w:pPr>
        <w:spacing w:line="360" w:lineRule="auto"/>
        <w:jc w:val="both"/>
        <w:rPr>
          <w:rFonts w:ascii="Arial" w:hAnsi="Arial" w:cs="Arial"/>
        </w:rPr>
      </w:pPr>
      <w:r w:rsidRPr="008203A6">
        <w:rPr>
          <w:rFonts w:ascii="Arial" w:hAnsi="Arial" w:cs="Arial"/>
        </w:rPr>
        <w:t>Creswell, J.W. (2009). Research design: Qualitative, quantitative and mixed methods approaches (3</w:t>
      </w:r>
      <w:r w:rsidRPr="008203A6">
        <w:rPr>
          <w:rFonts w:ascii="Arial" w:hAnsi="Arial" w:cs="Arial"/>
          <w:vertAlign w:val="superscript"/>
        </w:rPr>
        <w:t>rd</w:t>
      </w:r>
      <w:r w:rsidRPr="008203A6">
        <w:rPr>
          <w:rFonts w:ascii="Arial" w:hAnsi="Arial" w:cs="Arial"/>
        </w:rPr>
        <w:t xml:space="preserve"> edition). London: Sage</w:t>
      </w:r>
    </w:p>
    <w:p w14:paraId="40C18A06" w14:textId="6E71FBB6" w:rsidR="005D5270" w:rsidRPr="008203A6" w:rsidRDefault="005D5270" w:rsidP="003B792A">
      <w:pPr>
        <w:spacing w:line="360" w:lineRule="auto"/>
        <w:jc w:val="both"/>
        <w:rPr>
          <w:rFonts w:ascii="Arial" w:hAnsi="Arial" w:cs="Arial"/>
        </w:rPr>
      </w:pPr>
      <w:r w:rsidRPr="008203A6">
        <w:rPr>
          <w:rFonts w:ascii="Arial" w:hAnsi="Arial" w:cs="Arial"/>
        </w:rPr>
        <w:t>Creswell, J.W., &amp; Clark, V.I.P. (2011) Designing and conducting mixed methods research. 2</w:t>
      </w:r>
      <w:r w:rsidRPr="008203A6">
        <w:rPr>
          <w:rFonts w:ascii="Arial" w:hAnsi="Arial" w:cs="Arial"/>
          <w:vertAlign w:val="superscript"/>
        </w:rPr>
        <w:t>nd</w:t>
      </w:r>
      <w:r w:rsidRPr="008203A6">
        <w:rPr>
          <w:rFonts w:ascii="Arial" w:hAnsi="Arial" w:cs="Arial"/>
        </w:rPr>
        <w:t xml:space="preserve"> ed. Thousand </w:t>
      </w:r>
      <w:r w:rsidR="00D947F5">
        <w:rPr>
          <w:rFonts w:ascii="Arial" w:hAnsi="Arial" w:cs="Arial"/>
        </w:rPr>
        <w:t>O</w:t>
      </w:r>
      <w:r w:rsidRPr="008203A6">
        <w:rPr>
          <w:rFonts w:ascii="Arial" w:hAnsi="Arial" w:cs="Arial"/>
        </w:rPr>
        <w:t>aks, CA: Sage publication</w:t>
      </w:r>
    </w:p>
    <w:p w14:paraId="5BD8E1B8"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Crook, T.R., Todd, S.Y., Combs, J.G., Woehr, D.J. and Ketchen Jr, D.J., 2011. Does human capital matter? A meta-analysis of the relationship between human capital and firm performance. Journal of applied psychology, 96(3), p.443.</w:t>
      </w:r>
    </w:p>
    <w:p w14:paraId="2A582C02" w14:textId="4CED3EA8"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 xml:space="preserve">Crowford, V.P., &amp; Knoer, E., (1981) Job Matching With Heterogeneous Firms And Workers. Econometrica, Vol.49. No.2. Available At: </w:t>
      </w:r>
      <w:hyperlink r:id="rId87" w:history="1">
        <w:r w:rsidRPr="008203A6">
          <w:rPr>
            <w:rStyle w:val="Hyperlink"/>
            <w:rFonts w:ascii="Arial" w:eastAsia="Calibri" w:hAnsi="Arial" w:cs="Arial"/>
            <w:color w:val="auto"/>
          </w:rPr>
          <w:t>Https://Econweb.Ucsd.Edu/~Vcrawfor/Crawfordknoer81emt.Pdf</w:t>
        </w:r>
      </w:hyperlink>
      <w:r w:rsidRPr="008203A6">
        <w:rPr>
          <w:rFonts w:ascii="Arial" w:eastAsia="Calibri" w:hAnsi="Arial" w:cs="Arial"/>
        </w:rPr>
        <w:t xml:space="preserve"> ( Accessed On 26/05/2020).</w:t>
      </w:r>
    </w:p>
    <w:p w14:paraId="139D0C3D"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Cude, B.,  Lyons, C., Cogle, L., (2007) Get Financial Education Toolkit For College Campuses. Available At: </w:t>
      </w:r>
      <w:hyperlink r:id="rId88" w:history="1">
        <w:r w:rsidRPr="008203A6">
          <w:rPr>
            <w:rStyle w:val="Hyperlink"/>
            <w:rFonts w:ascii="Arial" w:hAnsi="Arial" w:cs="Arial"/>
            <w:color w:val="auto"/>
          </w:rPr>
          <w:t>Https://Acci.Memberclicks.Net/Assets/Docs/Cia/Cia2007/Cudelawrencelyons_Getfinanciallyfitafinancialeducationtoolki.Pdf</w:t>
        </w:r>
      </w:hyperlink>
      <w:r w:rsidRPr="008203A6">
        <w:rPr>
          <w:rFonts w:ascii="Arial" w:hAnsi="Arial" w:cs="Arial"/>
        </w:rPr>
        <w:t xml:space="preserve"> ( Accessed On 11</w:t>
      </w:r>
      <w:r w:rsidRPr="008203A6">
        <w:rPr>
          <w:rFonts w:ascii="Arial" w:hAnsi="Arial" w:cs="Arial"/>
          <w:vertAlign w:val="superscript"/>
        </w:rPr>
        <w:t>th</w:t>
      </w:r>
      <w:r w:rsidRPr="008203A6">
        <w:rPr>
          <w:rFonts w:ascii="Arial" w:hAnsi="Arial" w:cs="Arial"/>
        </w:rPr>
        <w:t xml:space="preserve"> November 2019)</w:t>
      </w:r>
    </w:p>
    <w:p w14:paraId="0AEB4CE4" w14:textId="25D27279" w:rsidR="005D5270" w:rsidRPr="008203A6" w:rsidRDefault="005D5270" w:rsidP="003B792A">
      <w:pPr>
        <w:spacing w:after="0" w:line="360" w:lineRule="auto"/>
        <w:contextualSpacing/>
        <w:jc w:val="both"/>
        <w:rPr>
          <w:rFonts w:ascii="Arial" w:eastAsia="Times New Roman" w:hAnsi="Arial" w:cs="Arial"/>
        </w:rPr>
      </w:pPr>
      <w:r w:rsidRPr="008203A6">
        <w:rPr>
          <w:rFonts w:ascii="Arial" w:eastAsia="Times New Roman" w:hAnsi="Arial" w:cs="Arial"/>
        </w:rPr>
        <w:t xml:space="preserve">Cunningham, D. (2018) Why German Real Estate Bankers Are Under Pressure. Available At </w:t>
      </w:r>
      <w:hyperlink r:id="rId89" w:history="1">
        <w:r w:rsidRPr="008203A6">
          <w:rPr>
            <w:rFonts w:ascii="Arial" w:eastAsia="Times New Roman" w:hAnsi="Arial" w:cs="Arial"/>
            <w:u w:val="single"/>
          </w:rPr>
          <w:t>Https://Www.Recapitalnews.Com/German-Real-Estate-Bankers-Pressure/</w:t>
        </w:r>
      </w:hyperlink>
      <w:r w:rsidRPr="008203A6">
        <w:rPr>
          <w:rFonts w:ascii="Arial" w:eastAsia="Times New Roman" w:hAnsi="Arial" w:cs="Arial"/>
        </w:rPr>
        <w:t xml:space="preserve"> (Accessed On 07/12/2019).</w:t>
      </w:r>
    </w:p>
    <w:p w14:paraId="7FF17A4D" w14:textId="77777777" w:rsidR="005D5270" w:rsidRPr="008203A6" w:rsidRDefault="005D5270" w:rsidP="003B792A">
      <w:pPr>
        <w:spacing w:before="240" w:line="360" w:lineRule="auto"/>
        <w:jc w:val="both"/>
        <w:rPr>
          <w:rFonts w:ascii="Arial" w:hAnsi="Arial" w:cs="Arial"/>
        </w:rPr>
      </w:pPr>
      <w:r w:rsidRPr="008203A6">
        <w:rPr>
          <w:rFonts w:ascii="Arial" w:hAnsi="Arial" w:cs="Arial"/>
        </w:rPr>
        <w:t>Cvetic, B., Vasiljevic, D., &amp; Danilovic, M. (2017). Competence Requirements For Logistics Managers In The Republic Of Serbia.</w:t>
      </w:r>
      <w:r w:rsidRPr="008203A6">
        <w:rPr>
          <w:rFonts w:ascii="Arial" w:hAnsi="Arial" w:cs="Arial"/>
          <w:i/>
          <w:iCs/>
        </w:rPr>
        <w:t> Management: Journal Of Sustainable Business &amp; Management Solutions In Emerging Economies, 22</w:t>
      </w:r>
      <w:r w:rsidRPr="008203A6">
        <w:rPr>
          <w:rFonts w:ascii="Arial" w:hAnsi="Arial" w:cs="Arial"/>
        </w:rPr>
        <w:t>(2), 37-46.</w:t>
      </w:r>
    </w:p>
    <w:p w14:paraId="6DEDD401"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 xml:space="preserve">D’apice, V. &amp; Ferri, G (2010). </w:t>
      </w:r>
      <w:r w:rsidRPr="008203A6">
        <w:rPr>
          <w:rFonts w:ascii="Arial" w:hAnsi="Arial" w:cs="Arial"/>
          <w:i/>
        </w:rPr>
        <w:t>Financial Instability, Toolkit For Interpreting Boom And Bust Cycles.1st</w:t>
      </w:r>
      <w:r w:rsidRPr="008203A6">
        <w:rPr>
          <w:rFonts w:ascii="Arial" w:hAnsi="Arial" w:cs="Arial"/>
        </w:rPr>
        <w:t xml:space="preserve">  Edn” Palgrave Macmillan, New York. </w:t>
      </w:r>
    </w:p>
    <w:p w14:paraId="57EB2A44"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Dale, M. and Iles, P., (1995). </w:t>
      </w:r>
      <w:r w:rsidRPr="008203A6">
        <w:rPr>
          <w:rFonts w:ascii="Arial" w:hAnsi="Arial" w:cs="Arial"/>
          <w:i/>
          <w:iCs/>
          <w:shd w:val="clear" w:color="auto" w:fill="FFFFFF"/>
        </w:rPr>
        <w:t>Assessing management skills: a guide to competencies and evaluation techniques</w:t>
      </w:r>
      <w:r w:rsidRPr="008203A6">
        <w:rPr>
          <w:rFonts w:ascii="Arial" w:hAnsi="Arial" w:cs="Arial"/>
          <w:shd w:val="clear" w:color="auto" w:fill="FFFFFF"/>
        </w:rPr>
        <w:t>. Kogan Page Publishers.</w:t>
      </w:r>
    </w:p>
    <w:p w14:paraId="73C14EF0" w14:textId="77777777" w:rsidR="005D5270" w:rsidRPr="008203A6" w:rsidRDefault="005D5270" w:rsidP="003B792A">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60" w:line="360" w:lineRule="auto"/>
        <w:jc w:val="both"/>
        <w:rPr>
          <w:rFonts w:ascii="Arial" w:hAnsi="Arial" w:cs="Arial"/>
        </w:rPr>
      </w:pPr>
      <w:r w:rsidRPr="008203A6">
        <w:rPr>
          <w:rFonts w:ascii="Arial" w:hAnsi="Arial" w:cs="Arial"/>
        </w:rPr>
        <w:t>Davidson, A. (2009) </w:t>
      </w:r>
      <w:r w:rsidRPr="008203A6">
        <w:rPr>
          <w:rFonts w:ascii="Arial" w:hAnsi="Arial" w:cs="Arial"/>
          <w:i/>
          <w:iCs/>
        </w:rPr>
        <w:t>How The Global Financial Markets Really Work: The Definitive Guide To Understanding International Investment And Money Flows. </w:t>
      </w:r>
      <w:r w:rsidRPr="008203A6">
        <w:rPr>
          <w:rFonts w:ascii="Arial" w:hAnsi="Arial" w:cs="Arial"/>
        </w:rPr>
        <w:t>London; Philadelphia: Kogan Page.</w:t>
      </w:r>
    </w:p>
    <w:p w14:paraId="59FE3E07" w14:textId="77777777" w:rsidR="005D5270" w:rsidRPr="008203A6" w:rsidRDefault="005D5270" w:rsidP="003B792A">
      <w:pPr>
        <w:spacing w:before="240" w:line="360" w:lineRule="auto"/>
        <w:jc w:val="both"/>
        <w:rPr>
          <w:rFonts w:ascii="Arial" w:hAnsi="Arial" w:cs="Arial"/>
        </w:rPr>
      </w:pPr>
      <w:r w:rsidRPr="008203A6">
        <w:rPr>
          <w:rFonts w:ascii="Arial" w:hAnsi="Arial" w:cs="Arial"/>
        </w:rPr>
        <w:t>Delisle, J. ( 2015) Cautionary Signal From Commercial Real Estate Markets And Consumers.Appraisal Journal2015, Vol. 83, Issue 3, P179-192, 14p.</w:t>
      </w:r>
    </w:p>
    <w:p w14:paraId="099E81AA"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Delmendo, L. (2019). South Africa’s House Price Appreciation Remains Below Inflation. Available At: </w:t>
      </w:r>
      <w:hyperlink r:id="rId90" w:history="1">
        <w:r w:rsidRPr="008203A6">
          <w:rPr>
            <w:rStyle w:val="Hyperlink"/>
            <w:rFonts w:ascii="Arial" w:hAnsi="Arial" w:cs="Arial"/>
            <w:color w:val="auto"/>
          </w:rPr>
          <w:t>Https://Www.Globalpropertyguide.Com/Africa/South-Africa/Price-History</w:t>
        </w:r>
      </w:hyperlink>
      <w:r w:rsidRPr="008203A6">
        <w:rPr>
          <w:rFonts w:ascii="Arial" w:hAnsi="Arial" w:cs="Arial"/>
        </w:rPr>
        <w:t xml:space="preserve"> ( Accessed On 12/12/2019).</w:t>
      </w:r>
    </w:p>
    <w:p w14:paraId="20E1188C"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Delmendo, L.C., 2019. Japan's housing market is a picture of stability.</w:t>
      </w:r>
    </w:p>
    <w:p w14:paraId="767778C4" w14:textId="4689B2FE" w:rsidR="005D5270" w:rsidRPr="008203A6" w:rsidRDefault="005D5270" w:rsidP="003B792A">
      <w:pPr>
        <w:spacing w:after="0" w:line="360" w:lineRule="auto"/>
        <w:jc w:val="both"/>
        <w:rPr>
          <w:rFonts w:ascii="Arial" w:hAnsi="Arial" w:cs="Arial"/>
        </w:rPr>
      </w:pPr>
      <w:r w:rsidRPr="008203A6">
        <w:rPr>
          <w:rFonts w:ascii="Arial" w:hAnsi="Arial" w:cs="Arial"/>
        </w:rPr>
        <w:t xml:space="preserve">Delmendo. L (2019) Nigeria’s Housing Market Stabilizing Amidst Improving Economic Conditions Conditions. Available At: </w:t>
      </w:r>
      <w:hyperlink r:id="rId91" w:history="1">
        <w:r w:rsidRPr="008203A6">
          <w:rPr>
            <w:rStyle w:val="Hyperlink"/>
            <w:rFonts w:ascii="Arial" w:hAnsi="Arial" w:cs="Arial"/>
            <w:color w:val="auto"/>
            <w:u w:val="none"/>
          </w:rPr>
          <w:t>Https://Www.Globalpropertyguide.Com/Africa/Nigeria/Price-History</w:t>
        </w:r>
      </w:hyperlink>
      <w:r w:rsidRPr="008203A6">
        <w:rPr>
          <w:rFonts w:ascii="Arial" w:hAnsi="Arial" w:cs="Arial"/>
        </w:rPr>
        <w:t xml:space="preserve"> (Accessed On 13</w:t>
      </w:r>
      <w:r w:rsidRPr="008203A6">
        <w:rPr>
          <w:rFonts w:ascii="Arial" w:hAnsi="Arial" w:cs="Arial"/>
          <w:vertAlign w:val="superscript"/>
        </w:rPr>
        <w:t>th</w:t>
      </w:r>
      <w:r w:rsidRPr="008203A6">
        <w:rPr>
          <w:rFonts w:ascii="Arial" w:hAnsi="Arial" w:cs="Arial"/>
        </w:rPr>
        <w:t xml:space="preserve"> February 2020).</w:t>
      </w:r>
    </w:p>
    <w:p w14:paraId="6060E319" w14:textId="77777777" w:rsidR="005D5270" w:rsidRPr="008203A6" w:rsidRDefault="005D5270" w:rsidP="003B792A">
      <w:pPr>
        <w:spacing w:before="240" w:line="360" w:lineRule="auto"/>
        <w:jc w:val="both"/>
        <w:rPr>
          <w:rFonts w:ascii="Arial" w:hAnsi="Arial" w:cs="Arial"/>
        </w:rPr>
      </w:pPr>
      <w:r w:rsidRPr="008203A6">
        <w:rPr>
          <w:rFonts w:ascii="Arial" w:hAnsi="Arial" w:cs="Arial"/>
        </w:rPr>
        <w:t>Demirag, I., Khadaroo, I., Stapleton, P., &amp; Stevenson, C. (2012). The Diffusion Of Risks In Public-Private Partnership Contracts.</w:t>
      </w:r>
      <w:r w:rsidRPr="008203A6">
        <w:rPr>
          <w:rFonts w:ascii="Arial" w:hAnsi="Arial" w:cs="Arial"/>
          <w:i/>
          <w:iCs/>
        </w:rPr>
        <w:t> Accounting, Auditing &amp; Accountability Journal, 25</w:t>
      </w:r>
      <w:r w:rsidRPr="008203A6">
        <w:rPr>
          <w:rFonts w:ascii="Arial" w:hAnsi="Arial" w:cs="Arial"/>
        </w:rPr>
        <w:t>(8), 1317-1339.</w:t>
      </w:r>
    </w:p>
    <w:p w14:paraId="7FF5257F"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Denzin, N.K. and Lincoln, Y.S., 2005. Paradigms and perspectives in contention. </w:t>
      </w:r>
      <w:r w:rsidRPr="008203A6">
        <w:rPr>
          <w:rFonts w:ascii="Arial" w:hAnsi="Arial" w:cs="Arial"/>
          <w:i/>
          <w:iCs/>
          <w:shd w:val="clear" w:color="auto" w:fill="FFFFFF"/>
        </w:rPr>
        <w:t>The Sage handbook of qualitative research</w:t>
      </w:r>
      <w:r w:rsidRPr="008203A6">
        <w:rPr>
          <w:rFonts w:ascii="Arial" w:hAnsi="Arial" w:cs="Arial"/>
          <w:shd w:val="clear" w:color="auto" w:fill="FFFFFF"/>
        </w:rPr>
        <w:t>, pp.183-190.</w:t>
      </w:r>
    </w:p>
    <w:p w14:paraId="7AAC7D28" w14:textId="35C3EE02" w:rsidR="005D5270" w:rsidRPr="008203A6" w:rsidRDefault="005D5270" w:rsidP="003B792A">
      <w:pPr>
        <w:spacing w:after="0" w:line="360" w:lineRule="auto"/>
        <w:jc w:val="both"/>
        <w:rPr>
          <w:rFonts w:ascii="Arial" w:hAnsi="Arial" w:cs="Arial"/>
        </w:rPr>
      </w:pPr>
      <w:r w:rsidRPr="008203A6">
        <w:rPr>
          <w:rFonts w:ascii="Arial" w:hAnsi="Arial" w:cs="Arial"/>
        </w:rPr>
        <w:t xml:space="preserve">Dergisisi, A. (2017) SWOT Analysis: A Theoretical Review. Available At: Journal Of International Research. Available At: </w:t>
      </w:r>
      <w:hyperlink r:id="rId92" w:history="1">
        <w:r w:rsidRPr="008203A6">
          <w:rPr>
            <w:rStyle w:val="Hyperlink"/>
            <w:rFonts w:ascii="Arial" w:hAnsi="Arial" w:cs="Arial"/>
            <w:color w:val="auto"/>
          </w:rPr>
          <w:t>Http://Sosyalarastirmalar.Com/Cilt10/Sayi51_Pdf/6iksisat_Kamu_Isletme/Gurel_Emet.Pdf</w:t>
        </w:r>
      </w:hyperlink>
      <w:r w:rsidRPr="008203A6">
        <w:rPr>
          <w:rFonts w:ascii="Arial" w:hAnsi="Arial" w:cs="Arial"/>
        </w:rPr>
        <w:t xml:space="preserve"> ( Accessed On 02/06/2020)</w:t>
      </w:r>
    </w:p>
    <w:p w14:paraId="464A69D5" w14:textId="77777777" w:rsidR="005D5270" w:rsidRPr="008203A6" w:rsidRDefault="005D5270" w:rsidP="003B792A">
      <w:pPr>
        <w:spacing w:line="360" w:lineRule="auto"/>
        <w:jc w:val="both"/>
        <w:rPr>
          <w:rFonts w:ascii="Arial" w:hAnsi="Arial" w:cs="Arial"/>
        </w:rPr>
      </w:pPr>
      <w:r w:rsidRPr="008203A6">
        <w:rPr>
          <w:rFonts w:ascii="Arial" w:hAnsi="Arial" w:cs="Arial"/>
        </w:rPr>
        <w:t>Dillman, D.A.(1978), Mail and Telephone survey: The total design method, Wiley, New York, USA.</w:t>
      </w:r>
    </w:p>
    <w:p w14:paraId="2FCAE56D"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Docherty, P. and Easton, S., 2018. State-varying illiquidity risk in sovereign bond spreads. </w:t>
      </w:r>
      <w:r w:rsidRPr="008203A6">
        <w:rPr>
          <w:rFonts w:ascii="Arial" w:hAnsi="Arial" w:cs="Arial"/>
          <w:i/>
          <w:iCs/>
          <w:shd w:val="clear" w:color="auto" w:fill="FFFFFF"/>
        </w:rPr>
        <w:t>Pacific-Basin Finance Journal</w:t>
      </w:r>
      <w:r w:rsidRPr="008203A6">
        <w:rPr>
          <w:rFonts w:ascii="Arial" w:hAnsi="Arial" w:cs="Arial"/>
          <w:shd w:val="clear" w:color="auto" w:fill="FFFFFF"/>
        </w:rPr>
        <w:t>, </w:t>
      </w:r>
      <w:r w:rsidRPr="008203A6">
        <w:rPr>
          <w:rFonts w:ascii="Arial" w:hAnsi="Arial" w:cs="Arial"/>
          <w:i/>
          <w:iCs/>
          <w:shd w:val="clear" w:color="auto" w:fill="FFFFFF"/>
        </w:rPr>
        <w:t>50</w:t>
      </w:r>
      <w:r w:rsidRPr="008203A6">
        <w:rPr>
          <w:rFonts w:ascii="Arial" w:hAnsi="Arial" w:cs="Arial"/>
          <w:shd w:val="clear" w:color="auto" w:fill="FFFFFF"/>
        </w:rPr>
        <w:t>, pp.235-248.</w:t>
      </w:r>
    </w:p>
    <w:p w14:paraId="15D0404C" w14:textId="388E8830" w:rsidR="005D5270" w:rsidRPr="008203A6" w:rsidRDefault="005D5270" w:rsidP="003B792A">
      <w:pPr>
        <w:spacing w:line="360" w:lineRule="auto"/>
        <w:jc w:val="both"/>
        <w:rPr>
          <w:rFonts w:ascii="Arial" w:hAnsi="Arial" w:cs="Arial"/>
        </w:rPr>
      </w:pPr>
      <w:r w:rsidRPr="008203A6">
        <w:rPr>
          <w:rFonts w:ascii="Arial" w:hAnsi="Arial" w:cs="Arial"/>
        </w:rPr>
        <w:lastRenderedPageBreak/>
        <w:t>Donahue, K. (2019). The State Of The Nation’s Housing. Available At:  Https://Www.Jchs.Harvard.Edu/State-Nations-Housing-2019 (Accessed On 10th February 2020).</w:t>
      </w:r>
    </w:p>
    <w:p w14:paraId="713F51D6"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Donaldson, G., (1961). Corporate debt capacity: A study of corporate debt policy and the determination of corporate debt capacity. Boston: Division of Research, Harvard School of Business Administration.</w:t>
      </w:r>
    </w:p>
    <w:p w14:paraId="253381B8"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Donaldson, W. (2003). Not By Rules Alone. Available At: </w:t>
      </w:r>
      <w:hyperlink r:id="rId93" w:history="1">
        <w:r w:rsidRPr="008203A6">
          <w:rPr>
            <w:rStyle w:val="Hyperlink"/>
            <w:rFonts w:ascii="Arial" w:hAnsi="Arial" w:cs="Arial"/>
            <w:color w:val="auto"/>
          </w:rPr>
          <w:t>Https://Www.Economist.Com/News/2003/11/20/Not-By-Rules-Alone</w:t>
        </w:r>
      </w:hyperlink>
      <w:r w:rsidRPr="008203A6">
        <w:rPr>
          <w:rFonts w:ascii="Arial" w:hAnsi="Arial" w:cs="Arial"/>
        </w:rPr>
        <w:t xml:space="preserve"> (Accessed On 20</w:t>
      </w:r>
      <w:r w:rsidRPr="008203A6">
        <w:rPr>
          <w:rFonts w:ascii="Arial" w:hAnsi="Arial" w:cs="Arial"/>
          <w:vertAlign w:val="superscript"/>
        </w:rPr>
        <w:t>th</w:t>
      </w:r>
      <w:r w:rsidRPr="008203A6">
        <w:rPr>
          <w:rFonts w:ascii="Arial" w:hAnsi="Arial" w:cs="Arial"/>
        </w:rPr>
        <w:t xml:space="preserve"> February 2019). </w:t>
      </w:r>
    </w:p>
    <w:p w14:paraId="440436CD" w14:textId="77777777" w:rsidR="005D5270" w:rsidRPr="008203A6" w:rsidRDefault="005D5270" w:rsidP="003B792A">
      <w:pPr>
        <w:spacing w:before="240" w:line="360" w:lineRule="auto"/>
        <w:jc w:val="both"/>
        <w:rPr>
          <w:rFonts w:ascii="Arial" w:hAnsi="Arial" w:cs="Arial"/>
          <w:iCs/>
        </w:rPr>
      </w:pPr>
      <w:r w:rsidRPr="008203A6">
        <w:rPr>
          <w:rFonts w:ascii="Arial" w:hAnsi="Arial" w:cs="Arial"/>
          <w:iCs/>
        </w:rPr>
        <w:t>Donkor-Hyiaman, K.A. And Owusu-Manu, D. (2016), "Another Look At Housing Finance In Africa: The Anatomy Of Pension Asset-Backed Housing Financing", International Journal Of Housing Markets And Analysis, Vol. 9 No. 1, Pp. 20-46. Https://Doi.Org/10.1108/IJHMA-11-2014-0048</w:t>
      </w:r>
    </w:p>
    <w:p w14:paraId="70B730D5"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Doyle, A. (2018) Career Path Definition With Examples. Available At: </w:t>
      </w:r>
      <w:hyperlink r:id="rId94" w:history="1">
        <w:r w:rsidRPr="008203A6">
          <w:rPr>
            <w:rStyle w:val="Hyperlink"/>
            <w:rFonts w:ascii="Arial" w:hAnsi="Arial" w:cs="Arial"/>
            <w:color w:val="auto"/>
          </w:rPr>
          <w:t>Https://Www.Thebalancecareers.Com/Career-Path-Definition-With-Examples-2059765</w:t>
        </w:r>
      </w:hyperlink>
      <w:r w:rsidRPr="008203A6">
        <w:rPr>
          <w:rFonts w:ascii="Arial" w:hAnsi="Arial" w:cs="Arial"/>
        </w:rPr>
        <w:t xml:space="preserve"> (Accessed On 23/11/2018).</w:t>
      </w:r>
    </w:p>
    <w:p w14:paraId="3ED95DD4" w14:textId="01C30577" w:rsidR="005D5270" w:rsidRPr="008203A6" w:rsidRDefault="005D5270" w:rsidP="003B792A">
      <w:pPr>
        <w:spacing w:line="360" w:lineRule="auto"/>
        <w:jc w:val="both"/>
        <w:rPr>
          <w:rFonts w:ascii="Arial" w:hAnsi="Arial" w:cs="Arial"/>
        </w:rPr>
      </w:pPr>
      <w:r w:rsidRPr="008203A6">
        <w:rPr>
          <w:rFonts w:ascii="Arial" w:hAnsi="Arial" w:cs="Arial"/>
        </w:rPr>
        <w:t>Drublin, C.(2015) Global Research Reveals The Importance Of The I</w:t>
      </w:r>
      <w:r w:rsidR="00D947F5">
        <w:rPr>
          <w:rFonts w:ascii="Arial" w:hAnsi="Arial" w:cs="Arial"/>
        </w:rPr>
        <w:t>o</w:t>
      </w:r>
      <w:r w:rsidRPr="008203A6">
        <w:rPr>
          <w:rFonts w:ascii="Arial" w:hAnsi="Arial" w:cs="Arial"/>
        </w:rPr>
        <w:t>T To Developing Economies, Microwave Journals, 58 (4), 99-100</w:t>
      </w:r>
    </w:p>
    <w:p w14:paraId="33F170FF" w14:textId="77777777" w:rsidR="005D5270" w:rsidRPr="008203A6" w:rsidRDefault="005D5270" w:rsidP="003B792A">
      <w:pPr>
        <w:spacing w:line="360" w:lineRule="auto"/>
        <w:jc w:val="both"/>
        <w:rPr>
          <w:rFonts w:ascii="Arial" w:hAnsi="Arial" w:cs="Arial"/>
        </w:rPr>
      </w:pPr>
      <w:r w:rsidRPr="008203A6">
        <w:rPr>
          <w:rFonts w:ascii="Arial" w:hAnsi="Arial" w:cs="Arial"/>
        </w:rPr>
        <w:t>Drucker, P. F. (1995) Managing In A Time Of Great Change. New York: Truman Talley Books/Dutton.</w:t>
      </w:r>
    </w:p>
    <w:p w14:paraId="5088BE74" w14:textId="77777777" w:rsidR="005D5270" w:rsidRPr="008203A6" w:rsidRDefault="005D5270" w:rsidP="003B792A">
      <w:pPr>
        <w:spacing w:line="360" w:lineRule="auto"/>
        <w:jc w:val="both"/>
        <w:rPr>
          <w:rFonts w:ascii="Arial" w:hAnsi="Arial" w:cs="Arial"/>
        </w:rPr>
      </w:pPr>
      <w:r w:rsidRPr="008203A6">
        <w:rPr>
          <w:rFonts w:ascii="Arial" w:hAnsi="Arial" w:cs="Arial"/>
        </w:rPr>
        <w:t>Drucker, P. F. (1998) Peter Drucker On The Profession Of Management. Boston, Mass.: Harvard Business School Press.</w:t>
      </w:r>
    </w:p>
    <w:p w14:paraId="28FF3D7C"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Drucker, V. (2012) Real Estate Financing: New Avenues. Available At: </w:t>
      </w:r>
      <w:hyperlink r:id="rId95" w:history="1">
        <w:r w:rsidRPr="008203A6">
          <w:rPr>
            <w:rStyle w:val="Hyperlink"/>
            <w:rFonts w:ascii="Arial" w:hAnsi="Arial" w:cs="Arial"/>
            <w:color w:val="auto"/>
          </w:rPr>
          <w:t>Https://Www.Gfmag.Com/Magazine/January-2012/Sector-Report-Real-Estate-Finance</w:t>
        </w:r>
      </w:hyperlink>
      <w:r w:rsidRPr="008203A6">
        <w:rPr>
          <w:rFonts w:ascii="Arial" w:hAnsi="Arial" w:cs="Arial"/>
        </w:rPr>
        <w:t xml:space="preserve"> ( Accessed On 09/12/2019).</w:t>
      </w:r>
    </w:p>
    <w:p w14:paraId="62E6939D" w14:textId="77777777" w:rsidR="005D5270" w:rsidRPr="008203A6" w:rsidRDefault="005D5270" w:rsidP="003B792A">
      <w:pPr>
        <w:shd w:val="clear" w:color="auto" w:fill="FFFFFF"/>
        <w:spacing w:before="100" w:beforeAutospacing="1" w:after="24" w:line="360" w:lineRule="auto"/>
        <w:jc w:val="both"/>
        <w:rPr>
          <w:rFonts w:ascii="Arial" w:eastAsia="Times New Roman" w:hAnsi="Arial" w:cs="Arial"/>
          <w:iCs/>
          <w:lang w:eastAsia="en-GB"/>
        </w:rPr>
      </w:pPr>
      <w:r w:rsidRPr="008203A6">
        <w:rPr>
          <w:rFonts w:ascii="Arial" w:eastAsia="Times New Roman" w:hAnsi="Arial" w:cs="Arial"/>
          <w:iCs/>
          <w:lang w:eastAsia="en-GB"/>
        </w:rPr>
        <w:t>Dunkley, Dan (2014). </w:t>
      </w:r>
      <w:hyperlink r:id="rId96" w:history="1">
        <w:r w:rsidRPr="008203A6">
          <w:rPr>
            <w:rFonts w:ascii="Arial" w:eastAsia="Times New Roman" w:hAnsi="Arial" w:cs="Arial"/>
            <w:iCs/>
            <w:lang w:eastAsia="en-GB"/>
          </w:rPr>
          <w:t>"Sovereign-Wealth Funds Pump Near Record Amount Of Cash In Deals"</w:t>
        </w:r>
      </w:hyperlink>
      <w:r w:rsidRPr="008203A6">
        <w:rPr>
          <w:rFonts w:ascii="Arial" w:eastAsia="Times New Roman" w:hAnsi="Arial" w:cs="Arial"/>
          <w:iCs/>
          <w:lang w:eastAsia="en-GB"/>
        </w:rPr>
        <w:t xml:space="preserve">. Wall Street Journal. </w:t>
      </w:r>
    </w:p>
    <w:p w14:paraId="42B9D882" w14:textId="31B55B48" w:rsidR="005D5270" w:rsidRPr="008203A6" w:rsidRDefault="005D5270" w:rsidP="003B792A">
      <w:pPr>
        <w:spacing w:line="360" w:lineRule="auto"/>
        <w:jc w:val="both"/>
        <w:rPr>
          <w:rFonts w:ascii="Arial" w:hAnsi="Arial" w:cs="Arial"/>
        </w:rPr>
      </w:pPr>
      <w:r w:rsidRPr="008203A6">
        <w:rPr>
          <w:rFonts w:ascii="Arial" w:hAnsi="Arial" w:cs="Arial"/>
        </w:rPr>
        <w:t xml:space="preserve">Dyreng, S. (2009) The Cost Of Private Debt Covenant Violation. Available At: </w:t>
      </w:r>
      <w:hyperlink r:id="rId97" w:history="1">
        <w:r w:rsidRPr="008203A6">
          <w:rPr>
            <w:rFonts w:ascii="Arial" w:hAnsi="Arial" w:cs="Arial"/>
            <w:u w:val="single"/>
          </w:rPr>
          <w:t>Https://Pdfs.Semanticscholar.Org/8df1/1aafddb28b39d57155767f4282548e5833d0.Pdf</w:t>
        </w:r>
      </w:hyperlink>
      <w:r w:rsidRPr="008203A6">
        <w:rPr>
          <w:rFonts w:ascii="Arial" w:hAnsi="Arial" w:cs="Arial"/>
        </w:rPr>
        <w:t xml:space="preserve"> ( Accessed On 09/06/2020)</w:t>
      </w:r>
    </w:p>
    <w:p w14:paraId="6EB3D155"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lastRenderedPageBreak/>
        <w:t>Dyson, M., 2010. What might a person-centred model of teacher education look like in the 21st century? The transformism model of teacher education. </w:t>
      </w:r>
      <w:r w:rsidRPr="008203A6">
        <w:rPr>
          <w:rFonts w:ascii="Arial" w:hAnsi="Arial" w:cs="Arial"/>
          <w:i/>
          <w:iCs/>
          <w:shd w:val="clear" w:color="auto" w:fill="FFFFFF"/>
        </w:rPr>
        <w:t>Journal of transformative education</w:t>
      </w:r>
      <w:r w:rsidRPr="008203A6">
        <w:rPr>
          <w:rFonts w:ascii="Arial" w:hAnsi="Arial" w:cs="Arial"/>
          <w:shd w:val="clear" w:color="auto" w:fill="FFFFFF"/>
        </w:rPr>
        <w:t>, </w:t>
      </w:r>
      <w:r w:rsidRPr="008203A6">
        <w:rPr>
          <w:rFonts w:ascii="Arial" w:hAnsi="Arial" w:cs="Arial"/>
          <w:i/>
          <w:iCs/>
          <w:shd w:val="clear" w:color="auto" w:fill="FFFFFF"/>
        </w:rPr>
        <w:t>8</w:t>
      </w:r>
      <w:r w:rsidRPr="008203A6">
        <w:rPr>
          <w:rFonts w:ascii="Arial" w:hAnsi="Arial" w:cs="Arial"/>
          <w:shd w:val="clear" w:color="auto" w:fill="FFFFFF"/>
        </w:rPr>
        <w:t>(1), pp.3-21.</w:t>
      </w:r>
    </w:p>
    <w:p w14:paraId="0372AF7B" w14:textId="77777777" w:rsidR="005D5270" w:rsidRPr="008203A6" w:rsidRDefault="005D5270" w:rsidP="003B792A">
      <w:pPr>
        <w:spacing w:line="360" w:lineRule="auto"/>
        <w:jc w:val="both"/>
        <w:rPr>
          <w:rFonts w:ascii="Arial" w:hAnsi="Arial" w:cs="Arial"/>
        </w:rPr>
      </w:pPr>
      <w:r w:rsidRPr="008203A6">
        <w:rPr>
          <w:rFonts w:ascii="Arial" w:hAnsi="Arial" w:cs="Arial"/>
        </w:rPr>
        <w:t>Easterby-Smith, M., R., &amp; Jackson, R.P. (2008). Management Research (3</w:t>
      </w:r>
      <w:r w:rsidRPr="008203A6">
        <w:rPr>
          <w:rFonts w:ascii="Arial" w:hAnsi="Arial" w:cs="Arial"/>
          <w:vertAlign w:val="superscript"/>
        </w:rPr>
        <w:t>rd</w:t>
      </w:r>
      <w:r w:rsidRPr="008203A6">
        <w:rPr>
          <w:rFonts w:ascii="Arial" w:hAnsi="Arial" w:cs="Arial"/>
        </w:rPr>
        <w:t xml:space="preserve"> ed.). Sage Publication</w:t>
      </w:r>
    </w:p>
    <w:p w14:paraId="61C2B010"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Ebi, U, And Kalu, I.U., (2016) Views On Real Estate Investment Financing In Nigeria. Journal Of Economics And International Business Management. Vol. 4(1), Pp.30-40. Available At: </w:t>
      </w:r>
      <w:hyperlink r:id="rId98" w:history="1">
        <w:r w:rsidRPr="008203A6">
          <w:rPr>
            <w:rStyle w:val="Hyperlink"/>
            <w:rFonts w:ascii="Arial" w:hAnsi="Arial" w:cs="Arial"/>
            <w:color w:val="auto"/>
          </w:rPr>
          <w:t>Http://Www.Sciencewebpublishing.Net/Jeibm/Archive/2016/1/Pdf/Uchenna%20and%20kalu.Pdf</w:t>
        </w:r>
      </w:hyperlink>
      <w:r w:rsidRPr="008203A6">
        <w:rPr>
          <w:rFonts w:ascii="Arial" w:hAnsi="Arial" w:cs="Arial"/>
        </w:rPr>
        <w:t xml:space="preserve"> ( Accessed On 11/12/2019).</w:t>
      </w:r>
    </w:p>
    <w:p w14:paraId="04E9405D" w14:textId="77777777" w:rsidR="005D5270" w:rsidRPr="008203A6" w:rsidRDefault="005D5270" w:rsidP="003B792A">
      <w:pPr>
        <w:spacing w:before="240" w:after="100" w:afterAutospacing="1" w:line="360" w:lineRule="auto"/>
        <w:jc w:val="both"/>
        <w:rPr>
          <w:rFonts w:ascii="Arial" w:eastAsia="Times New Roman" w:hAnsi="Arial" w:cs="Arial"/>
          <w:lang w:eastAsia="en-GB"/>
        </w:rPr>
      </w:pPr>
      <w:r w:rsidRPr="008203A6">
        <w:rPr>
          <w:rFonts w:ascii="Arial" w:eastAsia="Times New Roman" w:hAnsi="Arial" w:cs="Arial"/>
          <w:lang w:eastAsia="en-GB"/>
        </w:rPr>
        <w:t>Edo, S.E. (2012). Performance Of Liabilities Accruing From Liberalization Of The Banking Sector In Nigeria, Review Of Finance &amp; Banking, 4(2), Pp.135-146</w:t>
      </w:r>
    </w:p>
    <w:p w14:paraId="0356EE81"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Edwards, D.J. and Holt, G.D., 2009. Construction plant and equipment management research: thematic review. </w:t>
      </w:r>
      <w:r w:rsidRPr="008203A6">
        <w:rPr>
          <w:rFonts w:ascii="Arial" w:hAnsi="Arial" w:cs="Arial"/>
          <w:i/>
          <w:iCs/>
          <w:shd w:val="clear" w:color="auto" w:fill="FFFFFF"/>
        </w:rPr>
        <w:t>Journal of Engineering, Design and Technology</w:t>
      </w:r>
      <w:r w:rsidRPr="008203A6">
        <w:rPr>
          <w:rFonts w:ascii="Arial" w:hAnsi="Arial" w:cs="Arial"/>
          <w:shd w:val="clear" w:color="auto" w:fill="FFFFFF"/>
        </w:rPr>
        <w:t>.</w:t>
      </w:r>
    </w:p>
    <w:p w14:paraId="39087F9D" w14:textId="77777777" w:rsidR="005D5270" w:rsidRPr="008203A6" w:rsidRDefault="005D5270" w:rsidP="003B792A">
      <w:pPr>
        <w:spacing w:line="360" w:lineRule="auto"/>
        <w:jc w:val="both"/>
        <w:rPr>
          <w:rFonts w:ascii="Arial" w:hAnsi="Arial" w:cs="Arial"/>
        </w:rPr>
      </w:pPr>
      <w:r w:rsidRPr="008203A6">
        <w:rPr>
          <w:rFonts w:ascii="Arial" w:hAnsi="Arial" w:cs="Arial"/>
        </w:rPr>
        <w:t>Egbu, C. (1994). Management Education And Training For Refurbishment Work With The Construction Industry. A Thesis Submitted To The University Of Salford For The Purpose Of Doctor Of Philosophy</w:t>
      </w:r>
    </w:p>
    <w:p w14:paraId="16147F15" w14:textId="434463B2" w:rsidR="005D5270" w:rsidRPr="008203A6" w:rsidRDefault="005D5270" w:rsidP="003B792A">
      <w:pPr>
        <w:spacing w:before="240" w:line="360" w:lineRule="auto"/>
        <w:jc w:val="both"/>
        <w:rPr>
          <w:rFonts w:ascii="Arial" w:hAnsi="Arial" w:cs="Arial"/>
        </w:rPr>
      </w:pPr>
      <w:r w:rsidRPr="008203A6">
        <w:rPr>
          <w:rFonts w:ascii="Arial" w:hAnsi="Arial" w:cs="Arial"/>
        </w:rPr>
        <w:t>El-Sabaa, S. (2001) The Skills And Career Path Of An Effective Project Manager, </w:t>
      </w:r>
      <w:r w:rsidRPr="008203A6">
        <w:rPr>
          <w:rFonts w:ascii="Arial" w:hAnsi="Arial" w:cs="Arial"/>
          <w:i/>
          <w:iCs/>
        </w:rPr>
        <w:t>International Journal Of Project Management, </w:t>
      </w:r>
      <w:r w:rsidRPr="008203A6">
        <w:rPr>
          <w:rFonts w:ascii="Arial" w:hAnsi="Arial" w:cs="Arial"/>
        </w:rPr>
        <w:t xml:space="preserve">January 2001, 19 (1), Pp. 1-7. </w:t>
      </w:r>
      <w:r w:rsidR="00D947F5">
        <w:rPr>
          <w:rFonts w:ascii="Arial" w:hAnsi="Arial" w:cs="Arial"/>
        </w:rPr>
        <w:t>d</w:t>
      </w:r>
      <w:r w:rsidRPr="008203A6">
        <w:rPr>
          <w:rFonts w:ascii="Arial" w:hAnsi="Arial" w:cs="Arial"/>
        </w:rPr>
        <w:t>oi: </w:t>
      </w:r>
      <w:hyperlink r:id="rId99" w:tgtFrame="_blank" w:history="1">
        <w:r w:rsidRPr="008203A6">
          <w:rPr>
            <w:rStyle w:val="Hyperlink"/>
            <w:rFonts w:ascii="Arial" w:hAnsi="Arial" w:cs="Arial"/>
            <w:color w:val="auto"/>
          </w:rPr>
          <w:t>Https://Doi.Org/10.1016/S0263-7863(99)00034-4</w:t>
        </w:r>
      </w:hyperlink>
      <w:r w:rsidRPr="008203A6">
        <w:rPr>
          <w:rFonts w:ascii="Arial" w:hAnsi="Arial" w:cs="Arial"/>
        </w:rPr>
        <w:t>.</w:t>
      </w:r>
    </w:p>
    <w:p w14:paraId="2B5C0253" w14:textId="77777777" w:rsidR="005D5270" w:rsidRPr="008203A6" w:rsidRDefault="005D5270" w:rsidP="003B792A">
      <w:pPr>
        <w:spacing w:before="240" w:line="360" w:lineRule="auto"/>
        <w:jc w:val="both"/>
        <w:rPr>
          <w:rFonts w:ascii="Arial" w:hAnsi="Arial" w:cs="Arial"/>
        </w:rPr>
      </w:pPr>
      <w:r w:rsidRPr="008203A6">
        <w:rPr>
          <w:rFonts w:ascii="Arial" w:hAnsi="Arial" w:cs="Arial"/>
        </w:rPr>
        <w:t>Elvitigalage, D., Amaratunga, Rdg &amp; Haigh, Rp (2006) Women Career Development And The Role Of Training And Development. Available At:  Http://Usir.Salford.Ac.Uk/Id/Eprint/9912/1/191_Gayani_Elvitigala_Women%E2%80%99s_Career_Development_And_The_Role_Of_Training_And_Development.Pdf ( Accessed On 09/11/2019).</w:t>
      </w:r>
    </w:p>
    <w:p w14:paraId="03D1FEC0" w14:textId="77777777" w:rsidR="005D5270" w:rsidRPr="008203A6" w:rsidRDefault="005D5270" w:rsidP="003B792A">
      <w:pPr>
        <w:spacing w:before="240" w:after="100" w:afterAutospacing="1" w:line="360" w:lineRule="auto"/>
        <w:jc w:val="both"/>
        <w:rPr>
          <w:rFonts w:ascii="Arial" w:eastAsia="Times New Roman" w:hAnsi="Arial" w:cs="Arial"/>
          <w:lang w:eastAsia="en-GB"/>
        </w:rPr>
      </w:pPr>
      <w:r w:rsidRPr="008203A6">
        <w:rPr>
          <w:rFonts w:ascii="Arial" w:eastAsia="Times New Roman" w:hAnsi="Arial" w:cs="Arial"/>
          <w:lang w:eastAsia="en-GB"/>
        </w:rPr>
        <w:t>Encyclopedia Of The Social &amp; Behavioural Sciences (Second Edition) (Pp. 12-19). Oxford: Elsevier.</w:t>
      </w:r>
    </w:p>
    <w:p w14:paraId="2A26C200" w14:textId="77777777" w:rsidR="005D5270" w:rsidRPr="008203A6" w:rsidRDefault="005D5270" w:rsidP="003B792A">
      <w:pPr>
        <w:spacing w:before="240" w:after="100" w:afterAutospacing="1" w:line="360" w:lineRule="auto"/>
        <w:jc w:val="both"/>
        <w:rPr>
          <w:rFonts w:ascii="Arial" w:eastAsia="Times New Roman" w:hAnsi="Arial" w:cs="Arial"/>
          <w:lang w:eastAsia="en-GB"/>
        </w:rPr>
      </w:pPr>
      <w:r w:rsidRPr="008203A6">
        <w:rPr>
          <w:rFonts w:ascii="Arial" w:eastAsia="Times New Roman" w:hAnsi="Arial" w:cs="Arial"/>
          <w:lang w:eastAsia="en-GB"/>
        </w:rPr>
        <w:t>Erebo, F. (2009). A New Dawn For Banking Oil &amp; Gas Investor, 2009 (1), Pp. N-23; N25.</w:t>
      </w:r>
    </w:p>
    <w:p w14:paraId="2BED40F5" w14:textId="77777777" w:rsidR="005D5270" w:rsidRPr="008203A6" w:rsidRDefault="005D5270" w:rsidP="003B792A">
      <w:pPr>
        <w:spacing w:before="240" w:line="360" w:lineRule="auto"/>
        <w:jc w:val="both"/>
        <w:rPr>
          <w:rFonts w:ascii="Arial" w:hAnsi="Arial" w:cs="Arial"/>
        </w:rPr>
      </w:pPr>
      <w:r w:rsidRPr="008203A6">
        <w:rPr>
          <w:rFonts w:ascii="Arial" w:hAnsi="Arial" w:cs="Arial"/>
        </w:rPr>
        <w:t>Ernest Effah Ameyaw, Albert P.C. Chan, De-Graft Owusu-Manu, (2017) "A Survey Of Critical Success Factors For Attracting Private Sector Participation In Water Supply Projects In Developing Countries", Journal Of Facilities Management, Vol. 15 Issue: 1, Pp.35-61, Https://Doi.Org/10.1108/ Jfm-06-2016-0027 Permanent Link To This</w:t>
      </w:r>
    </w:p>
    <w:p w14:paraId="47E1D15E" w14:textId="31B170B1" w:rsidR="005D5270" w:rsidRPr="008203A6" w:rsidRDefault="005D5270" w:rsidP="003B792A">
      <w:pPr>
        <w:spacing w:line="360" w:lineRule="auto"/>
        <w:jc w:val="both"/>
        <w:rPr>
          <w:rFonts w:ascii="Arial" w:hAnsi="Arial" w:cs="Arial"/>
        </w:rPr>
      </w:pPr>
      <w:r w:rsidRPr="008203A6">
        <w:rPr>
          <w:rFonts w:ascii="Arial" w:hAnsi="Arial" w:cs="Arial"/>
        </w:rPr>
        <w:lastRenderedPageBreak/>
        <w:t>Este, R.A (2012) The Necessity Of Conceptual Skill Enhancement To Address Philosophical Challenges Of New Science: Background And Implication. In: Minai A.A., Braha D., Bar-Yam Y. (Eds) Unifying Themes In Complex Systems V11. Springer , Berlin, Heidelberg</w:t>
      </w:r>
    </w:p>
    <w:p w14:paraId="3D29DF3C" w14:textId="77777777" w:rsidR="005D5270" w:rsidRPr="008203A6" w:rsidRDefault="005D5270" w:rsidP="003B792A">
      <w:pPr>
        <w:spacing w:before="240" w:line="360" w:lineRule="auto"/>
        <w:jc w:val="both"/>
        <w:rPr>
          <w:rFonts w:ascii="Arial" w:hAnsi="Arial" w:cs="Arial"/>
        </w:rPr>
      </w:pPr>
      <w:r w:rsidRPr="008203A6">
        <w:rPr>
          <w:rFonts w:ascii="Arial" w:hAnsi="Arial" w:cs="Arial"/>
        </w:rPr>
        <w:t>Estrada, J (2011). The Essential Of Financial Toolkit, 1</w:t>
      </w:r>
      <w:r w:rsidRPr="008203A6">
        <w:rPr>
          <w:rFonts w:ascii="Arial" w:hAnsi="Arial" w:cs="Arial"/>
          <w:vertAlign w:val="superscript"/>
        </w:rPr>
        <w:t>st</w:t>
      </w:r>
      <w:r w:rsidRPr="008203A6">
        <w:rPr>
          <w:rFonts w:ascii="Arial" w:hAnsi="Arial" w:cs="Arial"/>
        </w:rPr>
        <w:t xml:space="preserve"> Ed. Palgrave Macmillan. New York.</w:t>
      </w:r>
    </w:p>
    <w:p w14:paraId="0A65E3B5"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Ezimuo, P.N., Onyejiaka, C.J., &amp; Emoh, F.I. (2014) Sources of Real Estate Finance And Their Impact On Property Development In Nigeria: A Case Study Of Mortgage Institutions In Lagos Metropolis. British Journal Of Environmental Research. Vol. 2, No.2, Pp. 35 -58. Available At: </w:t>
      </w:r>
      <w:hyperlink r:id="rId100" w:history="1">
        <w:r w:rsidRPr="008203A6">
          <w:rPr>
            <w:rStyle w:val="Hyperlink"/>
            <w:rFonts w:ascii="Arial" w:hAnsi="Arial" w:cs="Arial"/>
            <w:color w:val="auto"/>
          </w:rPr>
          <w:t>Http://Eajournals.Org/Wp-Content/Uploads/Sources-Of-Real-Estate-Finance-And-Their-Impact-On-Property-Development-In-Nigeria.Pdf</w:t>
        </w:r>
      </w:hyperlink>
      <w:r w:rsidRPr="008203A6">
        <w:rPr>
          <w:rFonts w:ascii="Arial" w:hAnsi="Arial" w:cs="Arial"/>
        </w:rPr>
        <w:t xml:space="preserve"> ( Accessed On 11/12/2016).</w:t>
      </w:r>
    </w:p>
    <w:p w14:paraId="01DD413E" w14:textId="77777777" w:rsidR="005D5270" w:rsidRPr="008203A6" w:rsidRDefault="005D5270" w:rsidP="003B792A">
      <w:pPr>
        <w:spacing w:line="360" w:lineRule="auto"/>
        <w:jc w:val="both"/>
        <w:rPr>
          <w:rFonts w:ascii="Arial" w:hAnsi="Arial" w:cs="Arial"/>
        </w:rPr>
      </w:pPr>
      <w:r w:rsidRPr="008203A6">
        <w:rPr>
          <w:rFonts w:ascii="Arial" w:hAnsi="Arial" w:cs="Arial"/>
        </w:rPr>
        <w:t>Fama, E. And French, K. "Testing Tradeoff And Pecking Order Predictions About Dividends and Debt," Review Of Financial Studies 15 (Spring 2002), 1-37,</w:t>
      </w:r>
    </w:p>
    <w:p w14:paraId="0464C153" w14:textId="420AE499"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 xml:space="preserve">Feyen, E. (2015). Six financial sector challenges for emerging and developing economies. The world bank private sector development. Available at: </w:t>
      </w:r>
      <w:hyperlink r:id="rId101" w:history="1">
        <w:r w:rsidRPr="008203A6">
          <w:rPr>
            <w:rStyle w:val="Hyperlink"/>
            <w:rFonts w:ascii="Arial" w:hAnsi="Arial" w:cs="Arial"/>
            <w:color w:val="auto"/>
            <w:shd w:val="clear" w:color="auto" w:fill="FFFFFF"/>
          </w:rPr>
          <w:t>http://blogs.worldbank.org/psd/six-financial-sector-challenges-emerging-and-developing-economies</w:t>
        </w:r>
      </w:hyperlink>
      <w:r w:rsidRPr="008203A6">
        <w:rPr>
          <w:rFonts w:ascii="Arial" w:hAnsi="Arial" w:cs="Arial"/>
          <w:shd w:val="clear" w:color="auto" w:fill="FFFFFF"/>
        </w:rPr>
        <w:t xml:space="preserve"> (accessed on 17/10/2020)</w:t>
      </w:r>
    </w:p>
    <w:p w14:paraId="2859456D"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Fine, L.G., 2009. The SWOT analysis. </w:t>
      </w:r>
      <w:r w:rsidRPr="008203A6">
        <w:rPr>
          <w:rFonts w:ascii="Arial" w:hAnsi="Arial" w:cs="Arial"/>
          <w:i/>
          <w:iCs/>
          <w:shd w:val="clear" w:color="auto" w:fill="FFFFFF"/>
        </w:rPr>
        <w:t>Using your Strength to overcome Weaknesses, Using Opportunities to overcome Threats</w:t>
      </w:r>
      <w:r w:rsidRPr="008203A6">
        <w:rPr>
          <w:rFonts w:ascii="Arial" w:hAnsi="Arial" w:cs="Arial"/>
          <w:shd w:val="clear" w:color="auto" w:fill="FFFFFF"/>
        </w:rPr>
        <w:t>.</w:t>
      </w:r>
    </w:p>
    <w:p w14:paraId="03C929E3" w14:textId="77777777" w:rsidR="005D5270" w:rsidRPr="008203A6" w:rsidRDefault="005D5270" w:rsidP="003B792A">
      <w:pPr>
        <w:spacing w:before="240" w:line="360" w:lineRule="auto"/>
        <w:jc w:val="both"/>
        <w:rPr>
          <w:rFonts w:ascii="Arial" w:hAnsi="Arial" w:cs="Arial"/>
        </w:rPr>
      </w:pPr>
      <w:r w:rsidRPr="008203A6">
        <w:rPr>
          <w:rFonts w:ascii="Arial" w:hAnsi="Arial" w:cs="Arial"/>
        </w:rPr>
        <w:t>Fisher C. Researching and Writing A Dissertation For Business Students, Ft Prentice Hall – Pearson Education Limited Harlow, Essex, England</w:t>
      </w:r>
    </w:p>
    <w:p w14:paraId="5758A149"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Flick, U., 2014. Mapping the field. </w:t>
      </w:r>
      <w:r w:rsidRPr="008203A6">
        <w:rPr>
          <w:rFonts w:ascii="Arial" w:hAnsi="Arial" w:cs="Arial"/>
          <w:i/>
          <w:iCs/>
          <w:shd w:val="clear" w:color="auto" w:fill="FFFFFF"/>
        </w:rPr>
        <w:t>The SAGE handbook of qualitative data analysis</w:t>
      </w:r>
      <w:r w:rsidRPr="008203A6">
        <w:rPr>
          <w:rFonts w:ascii="Arial" w:hAnsi="Arial" w:cs="Arial"/>
          <w:shd w:val="clear" w:color="auto" w:fill="FFFFFF"/>
        </w:rPr>
        <w:t>, pp.1-18.</w:t>
      </w:r>
    </w:p>
    <w:p w14:paraId="7E3053B8" w14:textId="77777777" w:rsidR="005D5270" w:rsidRPr="008203A6" w:rsidRDefault="005D5270" w:rsidP="003B792A">
      <w:pPr>
        <w:spacing w:after="160" w:line="360" w:lineRule="auto"/>
        <w:contextualSpacing/>
        <w:jc w:val="both"/>
        <w:rPr>
          <w:rFonts w:ascii="Arial" w:hAnsi="Arial" w:cs="Arial"/>
        </w:rPr>
      </w:pPr>
      <w:r w:rsidRPr="008203A6">
        <w:rPr>
          <w:rFonts w:ascii="Arial" w:hAnsi="Arial" w:cs="Arial"/>
          <w:lang w:val="en-US"/>
        </w:rPr>
        <w:t xml:space="preserve">Florida, R &amp; Schneider, B (2018) The Global Housing Crisis. Available At: </w:t>
      </w:r>
      <w:hyperlink r:id="rId102" w:history="1">
        <w:r w:rsidRPr="008203A6">
          <w:rPr>
            <w:rFonts w:ascii="Arial" w:hAnsi="Arial" w:cs="Arial"/>
            <w:u w:val="single"/>
          </w:rPr>
          <w:t>Https://Www.Citylab.Com/Equity/2018/04/The-Global-Housing-Crisis/557639/</w:t>
        </w:r>
      </w:hyperlink>
      <w:r w:rsidRPr="008203A6">
        <w:rPr>
          <w:rFonts w:ascii="Arial" w:hAnsi="Arial" w:cs="Arial"/>
        </w:rPr>
        <w:t xml:space="preserve"> ( Accessed On 3</w:t>
      </w:r>
      <w:r w:rsidRPr="008203A6">
        <w:rPr>
          <w:rFonts w:ascii="Arial" w:hAnsi="Arial" w:cs="Arial"/>
          <w:vertAlign w:val="superscript"/>
        </w:rPr>
        <w:t>rd</w:t>
      </w:r>
      <w:r w:rsidRPr="008203A6">
        <w:rPr>
          <w:rFonts w:ascii="Arial" w:hAnsi="Arial" w:cs="Arial"/>
        </w:rPr>
        <w:t xml:space="preserve"> December 2019)</w:t>
      </w:r>
    </w:p>
    <w:p w14:paraId="1F08B0C2" w14:textId="45C40436" w:rsidR="005D5270" w:rsidRPr="008203A6" w:rsidRDefault="005D5270" w:rsidP="003B792A">
      <w:pPr>
        <w:spacing w:line="360" w:lineRule="auto"/>
        <w:jc w:val="both"/>
        <w:rPr>
          <w:rFonts w:ascii="Arial" w:hAnsi="Arial" w:cs="Arial"/>
        </w:rPr>
      </w:pPr>
      <w:r w:rsidRPr="008203A6">
        <w:rPr>
          <w:rFonts w:ascii="Arial" w:hAnsi="Arial" w:cs="Arial"/>
        </w:rPr>
        <w:t>Fox, S. (2014). The political economy of slums: the theory and evidence from sub-</w:t>
      </w:r>
      <w:r w:rsidR="00D947F5">
        <w:rPr>
          <w:rFonts w:ascii="Arial" w:hAnsi="Arial" w:cs="Arial"/>
        </w:rPr>
        <w:t>S</w:t>
      </w:r>
      <w:r w:rsidRPr="008203A6">
        <w:rPr>
          <w:rFonts w:ascii="Arial" w:hAnsi="Arial" w:cs="Arial"/>
        </w:rPr>
        <w:t xml:space="preserve">aharan Africa, World Development 2014, 54, 191-203. DOI: </w:t>
      </w:r>
      <w:hyperlink r:id="rId103" w:history="1">
        <w:r w:rsidRPr="008203A6">
          <w:rPr>
            <w:rStyle w:val="Hyperlink"/>
            <w:rFonts w:ascii="Arial" w:hAnsi="Arial" w:cs="Arial"/>
            <w:color w:val="auto"/>
          </w:rPr>
          <w:t>https://doi.org/10.1016/j.worlddev.2013.08.005</w:t>
        </w:r>
      </w:hyperlink>
    </w:p>
    <w:p w14:paraId="2B71C025" w14:textId="77777777" w:rsidR="005D5270" w:rsidRPr="008203A6" w:rsidRDefault="005D5270" w:rsidP="003B792A">
      <w:pPr>
        <w:spacing w:before="240" w:line="360" w:lineRule="auto"/>
        <w:jc w:val="both"/>
        <w:rPr>
          <w:rFonts w:ascii="Arial" w:hAnsi="Arial" w:cs="Arial"/>
        </w:rPr>
      </w:pPr>
      <w:r w:rsidRPr="008203A6">
        <w:rPr>
          <w:rFonts w:ascii="Arial" w:hAnsi="Arial" w:cs="Arial"/>
        </w:rPr>
        <w:t>Francesco, M., Paul, A., Dionysia, D &amp; Ioannis T. (2017) Compliance with Goodwill-Related Mandatory Disclosure Requirements And The Cost Of Equity Capital, Accounting And Business Research, 47:3, 268-312, Doi: 10.1080/00014788.2016.1254593</w:t>
      </w:r>
    </w:p>
    <w:p w14:paraId="45E511B9" w14:textId="77777777" w:rsidR="005D5270" w:rsidRPr="008203A6" w:rsidRDefault="005D5270" w:rsidP="003B792A">
      <w:pPr>
        <w:spacing w:before="240" w:line="360" w:lineRule="auto"/>
        <w:jc w:val="both"/>
        <w:rPr>
          <w:rFonts w:ascii="Arial" w:hAnsi="Arial" w:cs="Arial"/>
        </w:rPr>
      </w:pPr>
      <w:r w:rsidRPr="008203A6">
        <w:rPr>
          <w:rFonts w:ascii="Arial" w:hAnsi="Arial" w:cs="Arial"/>
          <w:iCs/>
        </w:rPr>
        <w:t>Frank, Murray Z.; Goyal, Vidhan K. (1 November 2018). "Testing the Pecking Order Theory Of Capital Structure". </w:t>
      </w:r>
      <w:hyperlink r:id="rId104" w:tooltip="Digital object identifier" w:history="1">
        <w:r w:rsidRPr="008203A6">
          <w:rPr>
            <w:rStyle w:val="Hyperlink"/>
            <w:rFonts w:ascii="Arial" w:hAnsi="Arial" w:cs="Arial"/>
            <w:iCs/>
            <w:color w:val="auto"/>
          </w:rPr>
          <w:t>Doi</w:t>
        </w:r>
      </w:hyperlink>
      <w:r w:rsidRPr="008203A6">
        <w:rPr>
          <w:rFonts w:ascii="Arial" w:hAnsi="Arial" w:cs="Arial"/>
          <w:iCs/>
        </w:rPr>
        <w:t>:</w:t>
      </w:r>
      <w:hyperlink r:id="rId105" w:history="1">
        <w:r w:rsidRPr="008203A6">
          <w:rPr>
            <w:rStyle w:val="Hyperlink"/>
            <w:rFonts w:ascii="Arial" w:hAnsi="Arial" w:cs="Arial"/>
            <w:iCs/>
            <w:color w:val="auto"/>
          </w:rPr>
          <w:t>10.2139/Ssrn.243138</w:t>
        </w:r>
      </w:hyperlink>
      <w:r w:rsidRPr="008203A6">
        <w:rPr>
          <w:rFonts w:ascii="Arial" w:hAnsi="Arial" w:cs="Arial"/>
          <w:iCs/>
        </w:rPr>
        <w:t>. </w:t>
      </w:r>
      <w:hyperlink r:id="rId106" w:tooltip="Social Science Research Network" w:history="1">
        <w:r w:rsidRPr="008203A6">
          <w:rPr>
            <w:rStyle w:val="Hyperlink"/>
            <w:rFonts w:ascii="Arial" w:hAnsi="Arial" w:cs="Arial"/>
            <w:iCs/>
            <w:color w:val="auto"/>
          </w:rPr>
          <w:t>SSRN</w:t>
        </w:r>
      </w:hyperlink>
      <w:r w:rsidRPr="008203A6">
        <w:rPr>
          <w:rFonts w:ascii="Arial" w:hAnsi="Arial" w:cs="Arial"/>
          <w:iCs/>
        </w:rPr>
        <w:t> </w:t>
      </w:r>
      <w:hyperlink r:id="rId107" w:history="1">
        <w:r w:rsidRPr="008203A6">
          <w:rPr>
            <w:rStyle w:val="Hyperlink"/>
            <w:rFonts w:ascii="Arial" w:hAnsi="Arial" w:cs="Arial"/>
            <w:iCs/>
            <w:color w:val="auto"/>
          </w:rPr>
          <w:t>243138</w:t>
        </w:r>
      </w:hyperlink>
      <w:r w:rsidRPr="008203A6">
        <w:rPr>
          <w:rFonts w:ascii="Arial" w:hAnsi="Arial" w:cs="Arial"/>
          <w:iCs/>
        </w:rPr>
        <w:t>.</w:t>
      </w:r>
    </w:p>
    <w:p w14:paraId="7FE5CE94" w14:textId="77777777" w:rsidR="005D5270" w:rsidRPr="008203A6" w:rsidRDefault="005D5270" w:rsidP="003B792A">
      <w:pPr>
        <w:spacing w:line="360" w:lineRule="auto"/>
        <w:jc w:val="both"/>
        <w:rPr>
          <w:rFonts w:ascii="Arial" w:hAnsi="Arial" w:cs="Arial"/>
        </w:rPr>
      </w:pPr>
      <w:r w:rsidRPr="008203A6">
        <w:rPr>
          <w:rFonts w:ascii="Arial" w:hAnsi="Arial" w:cs="Arial"/>
        </w:rPr>
        <w:lastRenderedPageBreak/>
        <w:t>Frank, Murray Z.; Goyal, Vidhan K. (2011). "Trade-Off And Pecking Order Theories Of Debt". Handbook Of Empirical Corporate Finance: Empirical Corporate Finance. Elsevier. Pp. 135–202. ISBN 978-0-08-093211-8. SSRN 670543.</w:t>
      </w:r>
    </w:p>
    <w:p w14:paraId="2E3304F2" w14:textId="77777777" w:rsidR="005D5270" w:rsidRPr="008203A6" w:rsidRDefault="005D5270" w:rsidP="003B792A">
      <w:pPr>
        <w:spacing w:before="240" w:line="360" w:lineRule="auto"/>
        <w:jc w:val="both"/>
        <w:rPr>
          <w:rFonts w:ascii="Arial" w:hAnsi="Arial" w:cs="Arial"/>
        </w:rPr>
      </w:pPr>
      <w:r w:rsidRPr="008203A6">
        <w:rPr>
          <w:rFonts w:ascii="Arial" w:hAnsi="Arial" w:cs="Arial"/>
        </w:rPr>
        <w:t>Freear, J., Sohl, J. E. And Wetzel Jr., W. E. (1994) Angels and Non-Angels: Are There Differences? Journal Of Business Venturing, 9 (2), Pp. 109-123.</w:t>
      </w:r>
    </w:p>
    <w:p w14:paraId="76517115" w14:textId="77777777" w:rsidR="005D5270" w:rsidRPr="008203A6" w:rsidRDefault="005D5270" w:rsidP="003B792A">
      <w:pPr>
        <w:spacing w:after="200" w:line="360" w:lineRule="auto"/>
        <w:jc w:val="both"/>
        <w:rPr>
          <w:rFonts w:ascii="Arial" w:hAnsi="Arial" w:cs="Arial"/>
        </w:rPr>
      </w:pPr>
      <w:r w:rsidRPr="008203A6">
        <w:rPr>
          <w:rFonts w:ascii="Arial" w:hAnsi="Arial" w:cs="Arial"/>
        </w:rPr>
        <w:t>Frolick, M. N., Parzinger, M. J., Rainer, R. K. And Ramarapu, N. K. (1997) USING Eiss FOR ENVIRONMENTAL SCANNING, </w:t>
      </w:r>
      <w:r w:rsidRPr="008203A6">
        <w:rPr>
          <w:rFonts w:ascii="Arial" w:hAnsi="Arial" w:cs="Arial"/>
          <w:i/>
          <w:iCs/>
        </w:rPr>
        <w:t>Information Systems Management, </w:t>
      </w:r>
      <w:r w:rsidRPr="008203A6">
        <w:rPr>
          <w:rFonts w:ascii="Arial" w:hAnsi="Arial" w:cs="Arial"/>
        </w:rPr>
        <w:t>14 (1), Pp. 35-40.</w:t>
      </w:r>
    </w:p>
    <w:p w14:paraId="2D6C232C" w14:textId="77777777" w:rsidR="005D5270" w:rsidRPr="008203A6" w:rsidRDefault="005D5270" w:rsidP="003B792A">
      <w:pPr>
        <w:spacing w:before="240" w:line="360" w:lineRule="auto"/>
        <w:jc w:val="both"/>
        <w:rPr>
          <w:rFonts w:ascii="Arial" w:hAnsi="Arial" w:cs="Arial"/>
        </w:rPr>
      </w:pPr>
      <w:r w:rsidRPr="008203A6">
        <w:rPr>
          <w:rFonts w:ascii="Arial" w:hAnsi="Arial" w:cs="Arial"/>
        </w:rPr>
        <w:t>Fulmer, R. M. And Conger, J.A (2004). Growing Your Company’s Leaders: How Organisations Use Succession Management To Sustain Competitive Advantage. New York: Amacom</w:t>
      </w:r>
    </w:p>
    <w:p w14:paraId="288E223B"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Gan, L &amp; Zhang, Q. (2013). Market Thickness And The Impact Of Unemployment On Housing Market Outcomes, Cambridge, MA </w:t>
      </w:r>
    </w:p>
    <w:p w14:paraId="6FC403B4" w14:textId="068374E1" w:rsidR="005D5270" w:rsidRPr="008203A6" w:rsidRDefault="005D5270" w:rsidP="003B792A">
      <w:pPr>
        <w:spacing w:line="360" w:lineRule="auto"/>
        <w:jc w:val="both"/>
        <w:rPr>
          <w:rFonts w:ascii="Arial" w:hAnsi="Arial" w:cs="Arial"/>
        </w:rPr>
      </w:pPr>
      <w:r w:rsidRPr="008203A6">
        <w:rPr>
          <w:rFonts w:ascii="Arial" w:hAnsi="Arial" w:cs="Arial"/>
        </w:rPr>
        <w:t xml:space="preserve">Ganti, A &amp; Westfall, P (2020). What Is Correlation Coefficient. Available At: </w:t>
      </w:r>
      <w:hyperlink r:id="rId108" w:history="1">
        <w:r w:rsidRPr="008203A6">
          <w:rPr>
            <w:rStyle w:val="Hyperlink"/>
            <w:rFonts w:ascii="Arial" w:hAnsi="Arial" w:cs="Arial"/>
            <w:color w:val="auto"/>
          </w:rPr>
          <w:t>Https://Www.Investopedia.Com/Terms/C/Correlationcoefficient.Asp</w:t>
        </w:r>
      </w:hyperlink>
      <w:r w:rsidRPr="008203A6">
        <w:rPr>
          <w:rFonts w:ascii="Arial" w:hAnsi="Arial" w:cs="Arial"/>
        </w:rPr>
        <w:t xml:space="preserve"> (Accessed On 30th June, 2020).</w:t>
      </w:r>
    </w:p>
    <w:p w14:paraId="4DCEFB2A" w14:textId="5AFC1D9E" w:rsidR="005D5270" w:rsidRPr="008203A6" w:rsidRDefault="005D5270" w:rsidP="003B792A">
      <w:pPr>
        <w:spacing w:line="360" w:lineRule="auto"/>
        <w:jc w:val="both"/>
        <w:rPr>
          <w:rFonts w:ascii="Arial" w:hAnsi="Arial" w:cs="Arial"/>
        </w:rPr>
      </w:pPr>
      <w:r w:rsidRPr="008203A6">
        <w:rPr>
          <w:rFonts w:ascii="Arial" w:hAnsi="Arial" w:cs="Arial"/>
        </w:rPr>
        <w:t xml:space="preserve">Gargasson, J. and Salome, B. (2010). The role of innovative financing mechanism for health. Available at: </w:t>
      </w:r>
      <w:hyperlink r:id="rId109" w:history="1">
        <w:r w:rsidR="00D947F5">
          <w:rPr>
            <w:rStyle w:val="Hyperlink"/>
            <w:rFonts w:ascii="Arial" w:hAnsi="Arial" w:cs="Arial"/>
            <w:color w:val="auto"/>
          </w:rPr>
          <w:t>www.who.int/health systems/</w:t>
        </w:r>
      </w:hyperlink>
      <w:r w:rsidRPr="008203A6">
        <w:rPr>
          <w:rFonts w:ascii="Arial" w:hAnsi="Arial" w:cs="Arial"/>
        </w:rPr>
        <w:t>topics/financing/health</w:t>
      </w:r>
      <w:r w:rsidR="00D947F5">
        <w:rPr>
          <w:rFonts w:ascii="Arial" w:hAnsi="Arial" w:cs="Arial"/>
        </w:rPr>
        <w:t xml:space="preserve"> </w:t>
      </w:r>
      <w:r w:rsidRPr="008203A6">
        <w:rPr>
          <w:rFonts w:ascii="Arial" w:hAnsi="Arial" w:cs="Arial"/>
        </w:rPr>
        <w:t>report/ innovative BP12FINAL.pdf (accessed 29/07/2017).</w:t>
      </w:r>
    </w:p>
    <w:p w14:paraId="18864DF5"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Gbonegun, V. (2019). Developers, Investors Opt For Crowdfunding To Finance Real Estate. Available At: </w:t>
      </w:r>
      <w:hyperlink r:id="rId110" w:history="1">
        <w:r w:rsidRPr="008203A6">
          <w:rPr>
            <w:rStyle w:val="Hyperlink"/>
            <w:rFonts w:ascii="Arial" w:hAnsi="Arial" w:cs="Arial"/>
            <w:color w:val="auto"/>
          </w:rPr>
          <w:t>Https://Guardian.Ng/Property/Developers-Investors-Opt-For-Crowd-Funding-To-Finance-Real-Estate/</w:t>
        </w:r>
      </w:hyperlink>
      <w:r w:rsidRPr="008203A6">
        <w:rPr>
          <w:rFonts w:ascii="Arial" w:hAnsi="Arial" w:cs="Arial"/>
        </w:rPr>
        <w:t xml:space="preserve"> ( Accessed On 11/12/2019).</w:t>
      </w:r>
    </w:p>
    <w:p w14:paraId="73695F5B" w14:textId="77777777" w:rsidR="005D5270" w:rsidRPr="008203A6" w:rsidRDefault="005D5270" w:rsidP="003B792A">
      <w:pPr>
        <w:spacing w:line="360" w:lineRule="auto"/>
        <w:jc w:val="both"/>
        <w:rPr>
          <w:rFonts w:ascii="Arial" w:hAnsi="Arial" w:cs="Arial"/>
        </w:rPr>
      </w:pPr>
      <w:r w:rsidRPr="008203A6">
        <w:rPr>
          <w:rFonts w:ascii="Arial" w:hAnsi="Arial" w:cs="Arial"/>
        </w:rPr>
        <w:t>Geltner, D., Miller, N.G., Clayton, J. &amp; Eichholtz (2001) Commercial Real Estate Analysis And Investment. Available At (PDF) Researchgate.Net (Accessed On 08/06/2020)</w:t>
      </w:r>
    </w:p>
    <w:p w14:paraId="2C7C1E78"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 xml:space="preserve">Gerli, F., Bonesso, S., &amp; Claudio, P. (2015) Boundaryless Career And Career Success: The Impact Of Emotional And Social Competencies. Available At: </w:t>
      </w:r>
      <w:hyperlink r:id="rId111" w:history="1">
        <w:r w:rsidRPr="008203A6">
          <w:rPr>
            <w:rFonts w:ascii="Arial" w:eastAsia="Calibri" w:hAnsi="Arial" w:cs="Arial"/>
            <w:u w:val="single"/>
          </w:rPr>
          <w:t>Https://Www.Frontiersin.Org/Articles/10.3389/Fpsyg.2015.01304/Full</w:t>
        </w:r>
      </w:hyperlink>
      <w:r w:rsidRPr="008203A6">
        <w:rPr>
          <w:rFonts w:ascii="Arial" w:eastAsia="Calibri" w:hAnsi="Arial" w:cs="Arial"/>
        </w:rPr>
        <w:t xml:space="preserve"> ( Accessed On 23/05/2020)</w:t>
      </w:r>
    </w:p>
    <w:p w14:paraId="30A9B78A" w14:textId="15091436" w:rsidR="005D5270" w:rsidRPr="008203A6" w:rsidRDefault="005D5270" w:rsidP="003B792A">
      <w:pPr>
        <w:spacing w:line="360" w:lineRule="auto"/>
        <w:jc w:val="both"/>
        <w:rPr>
          <w:rFonts w:ascii="Arial" w:hAnsi="Arial" w:cs="Arial"/>
        </w:rPr>
      </w:pPr>
      <w:r w:rsidRPr="008203A6">
        <w:rPr>
          <w:rFonts w:ascii="Arial" w:hAnsi="Arial" w:cs="Arial"/>
        </w:rPr>
        <w:t xml:space="preserve">Ghazinoory, S., Zadeh, E and Memariani, A. (2007) Fuzzy SWOT Analysis. Journal Of Intelligent &amp; Fuzzy  System 18, 99-108. Available At: </w:t>
      </w:r>
      <w:hyperlink r:id="rId112" w:history="1">
        <w:r w:rsidRPr="008203A6">
          <w:rPr>
            <w:rStyle w:val="Hyperlink"/>
            <w:rFonts w:ascii="Arial" w:hAnsi="Arial" w:cs="Arial"/>
            <w:color w:val="auto"/>
          </w:rPr>
          <w:t>Https://Www.Researchgate.Net/Profile/Sepehr_Ghazinoory/Publication/220256472_Fuzzy_SWOT_Analysis/Links/553e1ab80cf20184050dca1a.Pdf</w:t>
        </w:r>
      </w:hyperlink>
      <w:r w:rsidRPr="008203A6">
        <w:rPr>
          <w:rFonts w:ascii="Arial" w:hAnsi="Arial" w:cs="Arial"/>
        </w:rPr>
        <w:t xml:space="preserve"> ( Accessed On 02/06/2020).</w:t>
      </w:r>
    </w:p>
    <w:p w14:paraId="79F2E9B8" w14:textId="77777777" w:rsidR="005D5270" w:rsidRPr="008203A6" w:rsidRDefault="005D5270" w:rsidP="003B792A">
      <w:pPr>
        <w:spacing w:after="0" w:line="360" w:lineRule="auto"/>
        <w:jc w:val="both"/>
        <w:rPr>
          <w:rFonts w:ascii="Arial" w:hAnsi="Arial" w:cs="Arial"/>
        </w:rPr>
      </w:pPr>
      <w:r w:rsidRPr="008203A6">
        <w:rPr>
          <w:rFonts w:ascii="Arial" w:hAnsi="Arial" w:cs="Arial"/>
        </w:rPr>
        <w:t>Gibbs G (1988). Learning by Doing: A Guide To Teaching And Learning Methods. Further</w:t>
      </w:r>
    </w:p>
    <w:p w14:paraId="76FD27B5"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i/>
          <w:iCs/>
          <w:u w:val="single"/>
          <w:shd w:val="clear" w:color="auto" w:fill="FFFFFF"/>
        </w:rPr>
        <w:t>Gini Index</w:t>
      </w:r>
      <w:r w:rsidRPr="008203A6">
        <w:rPr>
          <w:rFonts w:ascii="Arial" w:hAnsi="Arial" w:cs="Arial"/>
          <w:i/>
          <w:iCs/>
          <w:shd w:val="clear" w:color="auto" w:fill="FFFFFF"/>
        </w:rPr>
        <w:t>, World Bank. Retrieved 02 January 2019.</w:t>
      </w:r>
    </w:p>
    <w:p w14:paraId="68E9524C" w14:textId="18591EFB" w:rsidR="005D5270" w:rsidRPr="008203A6" w:rsidRDefault="005D5270" w:rsidP="003B792A">
      <w:pPr>
        <w:spacing w:line="360" w:lineRule="auto"/>
        <w:jc w:val="both"/>
        <w:rPr>
          <w:rFonts w:ascii="Arial" w:hAnsi="Arial" w:cs="Arial"/>
        </w:rPr>
      </w:pPr>
      <w:r w:rsidRPr="008203A6">
        <w:rPr>
          <w:rFonts w:ascii="Arial" w:hAnsi="Arial" w:cs="Arial"/>
        </w:rPr>
        <w:lastRenderedPageBreak/>
        <w:t>Girishankar, N. (2009). Innovating development finance from financing sources to financial solutions. Available at: http//siteresources.worldbank.org/CFPEXT/Resources/CFP_Working_paper_No 1.pdf (accessed 28/07/2017).</w:t>
      </w:r>
    </w:p>
    <w:p w14:paraId="5A071E13"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Glaser, B.G., 1978. Strauss (1967): The Discovery of Grounded Theory: Strategies for Qualitative Research. </w:t>
      </w:r>
      <w:r w:rsidRPr="008203A6">
        <w:rPr>
          <w:rFonts w:ascii="Arial" w:hAnsi="Arial" w:cs="Arial"/>
          <w:i/>
          <w:iCs/>
          <w:shd w:val="clear" w:color="auto" w:fill="FFFFFF"/>
        </w:rPr>
        <w:t>London: Wiedenfeld and Nicholson</w:t>
      </w:r>
      <w:r w:rsidRPr="008203A6">
        <w:rPr>
          <w:rFonts w:ascii="Arial" w:hAnsi="Arial" w:cs="Arial"/>
          <w:shd w:val="clear" w:color="auto" w:fill="FFFFFF"/>
        </w:rPr>
        <w:t>, </w:t>
      </w:r>
      <w:r w:rsidRPr="008203A6">
        <w:rPr>
          <w:rFonts w:ascii="Arial" w:hAnsi="Arial" w:cs="Arial"/>
          <w:i/>
          <w:iCs/>
          <w:shd w:val="clear" w:color="auto" w:fill="FFFFFF"/>
        </w:rPr>
        <w:t>81</w:t>
      </w:r>
      <w:r w:rsidRPr="008203A6">
        <w:rPr>
          <w:rFonts w:ascii="Arial" w:hAnsi="Arial" w:cs="Arial"/>
          <w:shd w:val="clear" w:color="auto" w:fill="FFFFFF"/>
        </w:rPr>
        <w:t>, p.86.</w:t>
      </w:r>
    </w:p>
    <w:p w14:paraId="5E19B164"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Glickman, E. (2013). </w:t>
      </w:r>
      <w:r w:rsidRPr="008203A6">
        <w:rPr>
          <w:rFonts w:ascii="Arial" w:hAnsi="Arial" w:cs="Arial"/>
          <w:i/>
          <w:iCs/>
        </w:rPr>
        <w:t>An Introduction to Real Estate Finance</w:t>
      </w:r>
      <w:r w:rsidRPr="008203A6">
        <w:rPr>
          <w:rFonts w:ascii="Arial" w:hAnsi="Arial" w:cs="Arial"/>
        </w:rPr>
        <w:t>. Amsterdam: Academic Press.</w:t>
      </w:r>
    </w:p>
    <w:p w14:paraId="1AB73826"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Glickman, N.J., (2014). </w:t>
      </w:r>
      <w:r w:rsidRPr="008203A6">
        <w:rPr>
          <w:rFonts w:ascii="Arial" w:hAnsi="Arial" w:cs="Arial"/>
          <w:i/>
          <w:iCs/>
          <w:shd w:val="clear" w:color="auto" w:fill="FFFFFF"/>
        </w:rPr>
        <w:t>Econometric analysis of regional systems: explorations in model building and policy analysis</w:t>
      </w:r>
      <w:r w:rsidRPr="008203A6">
        <w:rPr>
          <w:rFonts w:ascii="Arial" w:hAnsi="Arial" w:cs="Arial"/>
          <w:shd w:val="clear" w:color="auto" w:fill="FFFFFF"/>
        </w:rPr>
        <w:t>. Academic Press.</w:t>
      </w:r>
    </w:p>
    <w:p w14:paraId="01F1D616"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Global Real Estate Transparency Index (2018). Available At: </w:t>
      </w:r>
      <w:hyperlink r:id="rId113" w:history="1">
        <w:r w:rsidRPr="008203A6">
          <w:rPr>
            <w:rStyle w:val="Hyperlink"/>
            <w:rFonts w:ascii="Arial" w:hAnsi="Arial" w:cs="Arial"/>
            <w:color w:val="auto"/>
          </w:rPr>
          <w:t>Https://Www.Jll.Co.Uk/Content/Dam/Jll-Com/Documents/Pdf/Research/Global/Jll%20transparency%20report%202018%20final.Pdf</w:t>
        </w:r>
      </w:hyperlink>
      <w:r w:rsidRPr="008203A6">
        <w:rPr>
          <w:rFonts w:ascii="Arial" w:hAnsi="Arial" w:cs="Arial"/>
        </w:rPr>
        <w:t xml:space="preserve"> (Accessed On 13</w:t>
      </w:r>
      <w:r w:rsidRPr="008203A6">
        <w:rPr>
          <w:rFonts w:ascii="Arial" w:hAnsi="Arial" w:cs="Arial"/>
          <w:vertAlign w:val="superscript"/>
        </w:rPr>
        <w:t>th</w:t>
      </w:r>
      <w:r w:rsidRPr="008203A6">
        <w:rPr>
          <w:rFonts w:ascii="Arial" w:hAnsi="Arial" w:cs="Arial"/>
        </w:rPr>
        <w:t xml:space="preserve"> November 2018)</w:t>
      </w:r>
    </w:p>
    <w:p w14:paraId="35AEBA06" w14:textId="77777777" w:rsidR="005D5270" w:rsidRPr="008203A6" w:rsidRDefault="005D5270" w:rsidP="003B792A">
      <w:pPr>
        <w:spacing w:before="240" w:line="360" w:lineRule="auto"/>
        <w:jc w:val="both"/>
        <w:rPr>
          <w:rFonts w:ascii="Arial" w:hAnsi="Arial" w:cs="Arial"/>
        </w:rPr>
      </w:pPr>
      <w:r w:rsidRPr="008203A6">
        <w:rPr>
          <w:rFonts w:ascii="Arial" w:hAnsi="Arial" w:cs="Arial"/>
        </w:rPr>
        <w:t>Goodhart, C. A. E., Sunirand, P., &amp; Tsomocos, D. P. (2011). The Optimal Monetary Instrument For Prudential Purposes.</w:t>
      </w:r>
      <w:r w:rsidRPr="008203A6">
        <w:rPr>
          <w:rFonts w:ascii="Arial" w:hAnsi="Arial" w:cs="Arial"/>
          <w:i/>
          <w:iCs/>
        </w:rPr>
        <w:t> Journal Of Financial Stability, 7</w:t>
      </w:r>
      <w:r w:rsidRPr="008203A6">
        <w:rPr>
          <w:rFonts w:ascii="Arial" w:hAnsi="Arial" w:cs="Arial"/>
        </w:rPr>
        <w:t>, 70-77.</w:t>
      </w:r>
    </w:p>
    <w:p w14:paraId="0B233C38"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Gordon, K., (2003). Risk assessment in development lending. </w:t>
      </w:r>
      <w:r w:rsidRPr="008203A6">
        <w:rPr>
          <w:rFonts w:ascii="Arial" w:hAnsi="Arial" w:cs="Arial"/>
          <w:i/>
          <w:iCs/>
          <w:shd w:val="clear" w:color="auto" w:fill="FFFFFF"/>
        </w:rPr>
        <w:t>Briefings in Real Estate Finance</w:t>
      </w:r>
      <w:r w:rsidRPr="008203A6">
        <w:rPr>
          <w:rFonts w:ascii="Arial" w:hAnsi="Arial" w:cs="Arial"/>
          <w:shd w:val="clear" w:color="auto" w:fill="FFFFFF"/>
        </w:rPr>
        <w:t>, </w:t>
      </w:r>
      <w:r w:rsidRPr="008203A6">
        <w:rPr>
          <w:rFonts w:ascii="Arial" w:hAnsi="Arial" w:cs="Arial"/>
          <w:i/>
          <w:iCs/>
          <w:shd w:val="clear" w:color="auto" w:fill="FFFFFF"/>
        </w:rPr>
        <w:t>3</w:t>
      </w:r>
      <w:r w:rsidRPr="008203A6">
        <w:rPr>
          <w:rFonts w:ascii="Arial" w:hAnsi="Arial" w:cs="Arial"/>
          <w:shd w:val="clear" w:color="auto" w:fill="FFFFFF"/>
        </w:rPr>
        <w:t>(1), pp.7-26.</w:t>
      </w:r>
    </w:p>
    <w:p w14:paraId="61C9F820"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Gordon, R.N., (2018). REIT and MLP Taxation Under the New Tax Law. </w:t>
      </w:r>
      <w:r w:rsidRPr="008203A6">
        <w:rPr>
          <w:rFonts w:ascii="Arial" w:hAnsi="Arial" w:cs="Arial"/>
          <w:i/>
          <w:iCs/>
          <w:shd w:val="clear" w:color="auto" w:fill="FFFFFF"/>
        </w:rPr>
        <w:t>Journal of Taxation of Investments</w:t>
      </w:r>
      <w:r w:rsidRPr="008203A6">
        <w:rPr>
          <w:rFonts w:ascii="Arial" w:hAnsi="Arial" w:cs="Arial"/>
          <w:shd w:val="clear" w:color="auto" w:fill="FFFFFF"/>
        </w:rPr>
        <w:t>, </w:t>
      </w:r>
      <w:r w:rsidRPr="008203A6">
        <w:rPr>
          <w:rFonts w:ascii="Arial" w:hAnsi="Arial" w:cs="Arial"/>
          <w:i/>
          <w:iCs/>
          <w:shd w:val="clear" w:color="auto" w:fill="FFFFFF"/>
        </w:rPr>
        <w:t>35</w:t>
      </w:r>
      <w:r w:rsidRPr="008203A6">
        <w:rPr>
          <w:rFonts w:ascii="Arial" w:hAnsi="Arial" w:cs="Arial"/>
          <w:shd w:val="clear" w:color="auto" w:fill="FFFFFF"/>
        </w:rPr>
        <w:t>(4).</w:t>
      </w:r>
    </w:p>
    <w:p w14:paraId="1C40BDEB" w14:textId="411DCF8A" w:rsidR="005D5270" w:rsidRPr="008203A6" w:rsidRDefault="005D5270" w:rsidP="003B792A">
      <w:pPr>
        <w:spacing w:before="240" w:line="360" w:lineRule="auto"/>
        <w:jc w:val="both"/>
        <w:rPr>
          <w:rFonts w:ascii="Arial" w:hAnsi="Arial" w:cs="Arial"/>
        </w:rPr>
      </w:pPr>
      <w:r w:rsidRPr="008203A6">
        <w:rPr>
          <w:rFonts w:ascii="Arial" w:hAnsi="Arial" w:cs="Arial"/>
        </w:rPr>
        <w:t xml:space="preserve">Graham-Rowe, D. (2009). Is The Net Caught In The Credit Crunch? </w:t>
      </w:r>
      <w:r w:rsidR="00D947F5">
        <w:rPr>
          <w:rFonts w:ascii="Arial" w:hAnsi="Arial" w:cs="Arial"/>
        </w:rPr>
        <w:t>d</w:t>
      </w:r>
      <w:r w:rsidRPr="008203A6">
        <w:rPr>
          <w:rFonts w:ascii="Arial" w:hAnsi="Arial" w:cs="Arial"/>
        </w:rPr>
        <w:t xml:space="preserve">oi:Https://0-Doi-Org.Lispac.Lsbu.Ac.Uk/10.1016/S0262-4079(09)61198-2 " </w:t>
      </w:r>
    </w:p>
    <w:p w14:paraId="7AC28F20"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Greenwald, S.F. and Hilen, C.A., ( 2005). Unreasonable credit requirements are slowing new technology deployment. </w:t>
      </w:r>
      <w:r w:rsidRPr="008203A6">
        <w:rPr>
          <w:rFonts w:ascii="Arial" w:hAnsi="Arial" w:cs="Arial"/>
          <w:i/>
          <w:iCs/>
          <w:shd w:val="clear" w:color="auto" w:fill="FFFFFF"/>
        </w:rPr>
        <w:t>Power</w:t>
      </w:r>
      <w:r w:rsidRPr="008203A6">
        <w:rPr>
          <w:rFonts w:ascii="Arial" w:hAnsi="Arial" w:cs="Arial"/>
          <w:shd w:val="clear" w:color="auto" w:fill="FFFFFF"/>
        </w:rPr>
        <w:t>, </w:t>
      </w:r>
      <w:r w:rsidRPr="008203A6">
        <w:rPr>
          <w:rFonts w:ascii="Arial" w:hAnsi="Arial" w:cs="Arial"/>
          <w:i/>
          <w:iCs/>
          <w:shd w:val="clear" w:color="auto" w:fill="FFFFFF"/>
        </w:rPr>
        <w:t>149</w:t>
      </w:r>
      <w:r w:rsidRPr="008203A6">
        <w:rPr>
          <w:rFonts w:ascii="Arial" w:hAnsi="Arial" w:cs="Arial"/>
          <w:shd w:val="clear" w:color="auto" w:fill="FFFFFF"/>
        </w:rPr>
        <w:t>(9), pp.28-28.</w:t>
      </w:r>
    </w:p>
    <w:p w14:paraId="14F9A5A8" w14:textId="77777777" w:rsidR="005D5270" w:rsidRPr="008203A6" w:rsidRDefault="005D5270" w:rsidP="003B792A">
      <w:pPr>
        <w:spacing w:before="240" w:line="360" w:lineRule="auto"/>
        <w:jc w:val="both"/>
        <w:rPr>
          <w:rFonts w:ascii="Arial" w:hAnsi="Arial" w:cs="Arial"/>
        </w:rPr>
      </w:pPr>
      <w:r w:rsidRPr="008203A6">
        <w:rPr>
          <w:rFonts w:ascii="Arial" w:hAnsi="Arial" w:cs="Arial"/>
        </w:rPr>
        <w:t>Grizzle, G.A. (1985). Essential Skills For Financial Management: Are MPA Students Acquiring The Necessary Competencies? Public Administration Review, 45 (6), 840-844</w:t>
      </w:r>
    </w:p>
    <w:p w14:paraId="4854C837" w14:textId="06C75CBA" w:rsidR="005D5270" w:rsidRPr="008203A6" w:rsidRDefault="005D5270" w:rsidP="003B792A">
      <w:pPr>
        <w:spacing w:line="360" w:lineRule="auto"/>
        <w:jc w:val="both"/>
        <w:rPr>
          <w:rFonts w:ascii="Arial" w:hAnsi="Arial" w:cs="Arial"/>
        </w:rPr>
      </w:pPr>
      <w:r w:rsidRPr="008203A6">
        <w:rPr>
          <w:rFonts w:ascii="Arial" w:hAnsi="Arial" w:cs="Arial"/>
        </w:rPr>
        <w:t xml:space="preserve">Gu, Z. &amp; Ku, J. (1997). Financing Theories And Financing Practices: A Case Study Of Two Casino Companies. Journal Of Hospitality Financial Management. Vol5, Issue 1. Available At: </w:t>
      </w:r>
      <w:hyperlink r:id="rId114" w:history="1">
        <w:r w:rsidRPr="008203A6">
          <w:rPr>
            <w:rStyle w:val="Hyperlink"/>
            <w:rFonts w:ascii="Arial" w:hAnsi="Arial" w:cs="Arial"/>
            <w:color w:val="auto"/>
          </w:rPr>
          <w:t>Https://Scholarworks.Umass.Edu/Cgi/Viewcontent.Cgi?Article=1079&amp;Context=Jhfm</w:t>
        </w:r>
      </w:hyperlink>
      <w:r w:rsidRPr="008203A6">
        <w:rPr>
          <w:rFonts w:ascii="Arial" w:hAnsi="Arial" w:cs="Arial"/>
        </w:rPr>
        <w:t xml:space="preserve"> (Accessed On 28/05/2020).</w:t>
      </w:r>
    </w:p>
    <w:p w14:paraId="7791C9EF" w14:textId="024EA386" w:rsidR="005D5270" w:rsidRPr="008203A6" w:rsidRDefault="005D5270" w:rsidP="003B792A">
      <w:pPr>
        <w:spacing w:before="240" w:line="360" w:lineRule="auto"/>
        <w:jc w:val="both"/>
        <w:rPr>
          <w:rFonts w:ascii="Arial" w:hAnsi="Arial" w:cs="Arial"/>
        </w:rPr>
      </w:pPr>
      <w:r w:rsidRPr="008203A6">
        <w:rPr>
          <w:rFonts w:ascii="Arial" w:hAnsi="Arial" w:cs="Arial"/>
        </w:rPr>
        <w:t>Guggenheim (1999). Tax</w:t>
      </w:r>
      <w:r w:rsidR="00D947F5">
        <w:rPr>
          <w:rFonts w:ascii="Arial" w:hAnsi="Arial" w:cs="Arial"/>
        </w:rPr>
        <w:t>-</w:t>
      </w:r>
      <w:r w:rsidRPr="008203A6">
        <w:rPr>
          <w:rFonts w:ascii="Arial" w:hAnsi="Arial" w:cs="Arial"/>
        </w:rPr>
        <w:t>Exempt Financing: New Opportunities For Affordable Housing, Journal Of Housing &amp; Community Development, 56 (6), Pp.25</w:t>
      </w:r>
    </w:p>
    <w:p w14:paraId="2EFCBB81" w14:textId="77777777" w:rsidR="005D5270" w:rsidRPr="008203A6" w:rsidRDefault="005D5270" w:rsidP="003B792A">
      <w:pPr>
        <w:spacing w:line="360" w:lineRule="auto"/>
        <w:jc w:val="both"/>
        <w:rPr>
          <w:rFonts w:ascii="Arial" w:hAnsi="Arial" w:cs="Arial"/>
        </w:rPr>
      </w:pPr>
      <w:r w:rsidRPr="008203A6">
        <w:rPr>
          <w:rFonts w:ascii="Arial" w:hAnsi="Arial" w:cs="Arial"/>
        </w:rPr>
        <w:lastRenderedPageBreak/>
        <w:t>Guzman, M. (2019) China’s House Price Boom Over In The 1</w:t>
      </w:r>
      <w:r w:rsidRPr="008203A6">
        <w:rPr>
          <w:rFonts w:ascii="Arial" w:hAnsi="Arial" w:cs="Arial"/>
          <w:vertAlign w:val="superscript"/>
        </w:rPr>
        <w:t>st</w:t>
      </w:r>
      <w:r w:rsidRPr="008203A6">
        <w:rPr>
          <w:rFonts w:ascii="Arial" w:hAnsi="Arial" w:cs="Arial"/>
        </w:rPr>
        <w:t xml:space="preserve"> Tier Cities. Available At: </w:t>
      </w:r>
      <w:hyperlink r:id="rId115" w:history="1">
        <w:r w:rsidRPr="008203A6">
          <w:rPr>
            <w:rStyle w:val="Hyperlink"/>
            <w:rFonts w:ascii="Arial" w:hAnsi="Arial" w:cs="Arial"/>
            <w:color w:val="auto"/>
          </w:rPr>
          <w:t>Https://Www.Globalpropertyguide.Com/Asia/China</w:t>
        </w:r>
      </w:hyperlink>
      <w:r w:rsidRPr="008203A6">
        <w:rPr>
          <w:rFonts w:ascii="Arial" w:hAnsi="Arial" w:cs="Arial"/>
        </w:rPr>
        <w:t xml:space="preserve"> ( Accessed On 12/12/2019).</w:t>
      </w:r>
    </w:p>
    <w:p w14:paraId="30B20A13" w14:textId="77777777" w:rsidR="005D5270" w:rsidRPr="008203A6" w:rsidRDefault="005D5270" w:rsidP="003B792A">
      <w:pPr>
        <w:spacing w:before="240" w:line="360" w:lineRule="auto"/>
        <w:jc w:val="both"/>
        <w:rPr>
          <w:rFonts w:ascii="Arial" w:hAnsi="Arial" w:cs="Arial"/>
        </w:rPr>
      </w:pPr>
      <w:r w:rsidRPr="008203A6">
        <w:rPr>
          <w:rFonts w:ascii="Arial" w:hAnsi="Arial" w:cs="Arial"/>
        </w:rPr>
        <w:t>Hamza, A., Roshana, T &amp; Wong, S. (2009) Financial- Related Causes Contributing To Project Delays. Journal Of Retail &amp; Leisure Property, Volume 8, Number 3, Page 225</w:t>
      </w:r>
    </w:p>
    <w:p w14:paraId="393935F2" w14:textId="77777777" w:rsidR="005D5270" w:rsidRPr="008203A6" w:rsidRDefault="005D5270" w:rsidP="003B792A">
      <w:pPr>
        <w:spacing w:before="240" w:line="360" w:lineRule="auto"/>
        <w:jc w:val="both"/>
        <w:rPr>
          <w:rFonts w:ascii="Arial" w:hAnsi="Arial" w:cs="Arial"/>
        </w:rPr>
      </w:pPr>
      <w:r w:rsidRPr="008203A6">
        <w:rPr>
          <w:rFonts w:ascii="Arial" w:hAnsi="Arial" w:cs="Arial"/>
        </w:rPr>
        <w:t>Harris, C. M., Pattie, M. W. And Mcmahan, G. C. (2015) Advancement Along A Career Path: The Influence Of Human Capital And Performance, </w:t>
      </w:r>
      <w:r w:rsidRPr="008203A6">
        <w:rPr>
          <w:rFonts w:ascii="Arial" w:hAnsi="Arial" w:cs="Arial"/>
          <w:i/>
          <w:iCs/>
        </w:rPr>
        <w:t>Human Resource Management Journal, </w:t>
      </w:r>
      <w:r w:rsidRPr="008203A6">
        <w:rPr>
          <w:rFonts w:ascii="Arial" w:hAnsi="Arial" w:cs="Arial"/>
        </w:rPr>
        <w:t>25 (1), Pp. 102-115.</w:t>
      </w:r>
    </w:p>
    <w:p w14:paraId="62D763D9" w14:textId="77777777" w:rsidR="005D5270" w:rsidRPr="008203A6" w:rsidRDefault="005D5270" w:rsidP="003B792A">
      <w:pPr>
        <w:spacing w:before="240" w:line="360" w:lineRule="auto"/>
        <w:jc w:val="both"/>
        <w:rPr>
          <w:rFonts w:ascii="Arial" w:hAnsi="Arial" w:cs="Arial"/>
        </w:rPr>
      </w:pPr>
      <w:r w:rsidRPr="008203A6">
        <w:rPr>
          <w:rFonts w:ascii="Arial" w:hAnsi="Arial" w:cs="Arial"/>
        </w:rPr>
        <w:t>Harvey, M., &amp; Novicevic, M. (2002). The Role Of Political Competence In Global Assignments Of Expatriate Managers.</w:t>
      </w:r>
      <w:r w:rsidRPr="008203A6">
        <w:rPr>
          <w:rFonts w:ascii="Arial" w:hAnsi="Arial" w:cs="Arial"/>
          <w:i/>
          <w:iCs/>
        </w:rPr>
        <w:t> Journal Of International Management, 8</w:t>
      </w:r>
      <w:r w:rsidRPr="008203A6">
        <w:rPr>
          <w:rFonts w:ascii="Arial" w:hAnsi="Arial" w:cs="Arial"/>
        </w:rPr>
        <w:t>(4), 389.</w:t>
      </w:r>
    </w:p>
    <w:p w14:paraId="7C1E5AFD" w14:textId="524C70E4" w:rsidR="005D5270" w:rsidRPr="008203A6" w:rsidRDefault="005D5270" w:rsidP="003B792A">
      <w:pPr>
        <w:spacing w:line="360" w:lineRule="auto"/>
        <w:jc w:val="both"/>
        <w:rPr>
          <w:rFonts w:ascii="Arial" w:hAnsi="Arial" w:cs="Arial"/>
        </w:rPr>
      </w:pPr>
      <w:r w:rsidRPr="008203A6">
        <w:rPr>
          <w:rFonts w:ascii="Arial" w:hAnsi="Arial" w:cs="Arial"/>
        </w:rPr>
        <w:t>Hassan, D.N., Aboki, H. &amp; Audu, A. (2019) The Application Of Pestle Theory To The Role Of Chairman ( Chief Executive Officer) In A New Business In Gurgoan, India. Internal Journal Of Entrepreneurship And Business Innovation. Volume 2, Issue 1,Pp 53-62</w:t>
      </w:r>
    </w:p>
    <w:p w14:paraId="33958FFA"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Heakal, R. (2018). What Is An Emerging Market Economy? Available At: </w:t>
      </w:r>
      <w:hyperlink r:id="rId116" w:history="1">
        <w:r w:rsidRPr="008203A6">
          <w:rPr>
            <w:rStyle w:val="Hyperlink"/>
            <w:rFonts w:ascii="Arial" w:hAnsi="Arial" w:cs="Arial"/>
            <w:color w:val="auto"/>
          </w:rPr>
          <w:t>Https://Www.Investopedia.Com/Articles/03/073003.Asp</w:t>
        </w:r>
      </w:hyperlink>
      <w:r w:rsidRPr="008203A6">
        <w:rPr>
          <w:rFonts w:ascii="Arial" w:hAnsi="Arial" w:cs="Arial"/>
        </w:rPr>
        <w:t xml:space="preserve"> (Accessed On 10</w:t>
      </w:r>
      <w:r w:rsidRPr="008203A6">
        <w:rPr>
          <w:rFonts w:ascii="Arial" w:hAnsi="Arial" w:cs="Arial"/>
          <w:vertAlign w:val="superscript"/>
        </w:rPr>
        <w:t>th</w:t>
      </w:r>
      <w:r w:rsidRPr="008203A6">
        <w:rPr>
          <w:rFonts w:ascii="Arial" w:hAnsi="Arial" w:cs="Arial"/>
        </w:rPr>
        <w:t xml:space="preserve"> December 2018).</w:t>
      </w:r>
    </w:p>
    <w:p w14:paraId="0BC12B3C" w14:textId="77777777" w:rsidR="005D5270" w:rsidRPr="008203A6" w:rsidRDefault="005D5270" w:rsidP="003B792A">
      <w:pPr>
        <w:spacing w:line="360" w:lineRule="auto"/>
        <w:jc w:val="both"/>
        <w:rPr>
          <w:rFonts w:ascii="Arial" w:hAnsi="Arial" w:cs="Arial"/>
        </w:rPr>
      </w:pPr>
      <w:r w:rsidRPr="008203A6">
        <w:rPr>
          <w:rFonts w:ascii="Arial" w:hAnsi="Arial" w:cs="Arial"/>
        </w:rPr>
        <w:t>Heale, R., and Twycross, A. (2015). Validity and reliability in quantitative studies. Available at : (PDF) researchgate.net (accessed on 05/08/2020)</w:t>
      </w:r>
    </w:p>
    <w:p w14:paraId="0CA4663B"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 xml:space="preserve">Heijke, H (1996) Labour Market Information For Educational Investment. Available At: </w:t>
      </w:r>
      <w:hyperlink r:id="rId117" w:history="1">
        <w:r w:rsidRPr="008203A6">
          <w:rPr>
            <w:rFonts w:ascii="Arial" w:eastAsia="Calibri" w:hAnsi="Arial" w:cs="Arial"/>
            <w:u w:val="single"/>
          </w:rPr>
          <w:t>Https://Core.Ac.Uk/Download/Pdf/6908799.Pdf</w:t>
        </w:r>
      </w:hyperlink>
      <w:r w:rsidRPr="008203A6">
        <w:rPr>
          <w:rFonts w:ascii="Arial" w:eastAsia="Calibri" w:hAnsi="Arial" w:cs="Arial"/>
        </w:rPr>
        <w:t xml:space="preserve"> ( Accessed On 23/05/2020)</w:t>
      </w:r>
    </w:p>
    <w:p w14:paraId="19F29936" w14:textId="65AA2E1C" w:rsidR="005D5270" w:rsidRPr="008203A6" w:rsidRDefault="005D5270" w:rsidP="003B792A">
      <w:pPr>
        <w:spacing w:line="360" w:lineRule="auto"/>
        <w:jc w:val="both"/>
        <w:rPr>
          <w:rFonts w:ascii="Arial" w:hAnsi="Arial" w:cs="Arial"/>
        </w:rPr>
      </w:pPr>
      <w:r w:rsidRPr="008203A6">
        <w:rPr>
          <w:rFonts w:ascii="Arial" w:hAnsi="Arial" w:cs="Arial"/>
        </w:rPr>
        <w:t xml:space="preserve">Hobbs, M. (2018). America’s Housing Crisis Is A Ticking Time Bomb. Available On Https://Www.Huffingtonpost.Co.Uk/Entry/Housing-Crisis-Inequality-Harvard-Report </w:t>
      </w:r>
      <w:r w:rsidR="00BF5B11">
        <w:rPr>
          <w:rFonts w:ascii="Arial" w:hAnsi="Arial" w:cs="Arial"/>
        </w:rPr>
        <w:t>(</w:t>
      </w:r>
      <w:r w:rsidRPr="008203A6">
        <w:rPr>
          <w:rFonts w:ascii="Arial" w:hAnsi="Arial" w:cs="Arial"/>
        </w:rPr>
        <w:t>Accessed On 10th February 2020).</w:t>
      </w:r>
    </w:p>
    <w:p w14:paraId="0AEC73CD" w14:textId="77777777" w:rsidR="005D5270" w:rsidRPr="008203A6" w:rsidRDefault="005D5270" w:rsidP="003B792A">
      <w:pPr>
        <w:spacing w:line="360" w:lineRule="auto"/>
        <w:jc w:val="both"/>
        <w:rPr>
          <w:rFonts w:ascii="Arial" w:hAnsi="Arial" w:cs="Arial"/>
        </w:rPr>
      </w:pPr>
      <w:r w:rsidRPr="008203A6">
        <w:rPr>
          <w:rFonts w:ascii="Arial" w:hAnsi="Arial" w:cs="Arial"/>
        </w:rPr>
        <w:t>Hofstede, G. (2001). Culture’s consequences: comparing values, behaviours, institutions and organisations across nations (2</w:t>
      </w:r>
      <w:r w:rsidRPr="008203A6">
        <w:rPr>
          <w:rFonts w:ascii="Arial" w:hAnsi="Arial" w:cs="Arial"/>
          <w:vertAlign w:val="superscript"/>
        </w:rPr>
        <w:t>nd</w:t>
      </w:r>
      <w:r w:rsidRPr="008203A6">
        <w:rPr>
          <w:rFonts w:ascii="Arial" w:hAnsi="Arial" w:cs="Arial"/>
        </w:rPr>
        <w:t xml:space="preserve"> ed.). Thousand Oaks, CA: Sage</w:t>
      </w:r>
    </w:p>
    <w:p w14:paraId="2C234861" w14:textId="77777777" w:rsidR="005D5270" w:rsidRPr="008203A6" w:rsidRDefault="005D5270" w:rsidP="003B792A">
      <w:pPr>
        <w:shd w:val="clear" w:color="auto" w:fill="FFFFFF"/>
        <w:spacing w:before="100" w:beforeAutospacing="1" w:line="360" w:lineRule="auto"/>
        <w:jc w:val="both"/>
        <w:rPr>
          <w:rFonts w:ascii="Arial" w:eastAsia="Times New Roman" w:hAnsi="Arial" w:cs="Arial"/>
          <w:lang w:eastAsia="en-GB"/>
        </w:rPr>
      </w:pPr>
      <w:r w:rsidRPr="008203A6">
        <w:rPr>
          <w:rFonts w:ascii="Arial" w:eastAsia="Times New Roman" w:hAnsi="Arial" w:cs="Arial"/>
          <w:lang w:eastAsia="en-GB"/>
        </w:rPr>
        <w:t>Hopkin, P. (2017) </w:t>
      </w:r>
      <w:r w:rsidRPr="008203A6">
        <w:rPr>
          <w:rFonts w:ascii="Arial" w:eastAsia="Times New Roman" w:hAnsi="Arial" w:cs="Arial"/>
          <w:iCs/>
          <w:lang w:eastAsia="en-GB"/>
        </w:rPr>
        <w:t>Fundamentals Of Risk Management: Understanding, Evaluating And Implementing Effective Risk Management. </w:t>
      </w:r>
      <w:r w:rsidRPr="008203A6">
        <w:rPr>
          <w:rFonts w:ascii="Arial" w:eastAsia="Times New Roman" w:hAnsi="Arial" w:cs="Arial"/>
          <w:lang w:eastAsia="en-GB"/>
        </w:rPr>
        <w:t>Fourth Ed. New York: Kogan Page Ltd.</w:t>
      </w:r>
    </w:p>
    <w:p w14:paraId="609C80F6" w14:textId="77777777" w:rsidR="005D5270" w:rsidRPr="008203A6" w:rsidRDefault="005D5270" w:rsidP="003B792A">
      <w:pPr>
        <w:spacing w:before="240" w:line="360" w:lineRule="auto"/>
        <w:jc w:val="both"/>
        <w:rPr>
          <w:rFonts w:ascii="Arial" w:hAnsi="Arial" w:cs="Arial"/>
        </w:rPr>
      </w:pPr>
      <w:r w:rsidRPr="008203A6">
        <w:rPr>
          <w:rFonts w:ascii="Arial" w:hAnsi="Arial" w:cs="Arial"/>
        </w:rPr>
        <w:t>Horák, M., &amp; Matošková, J. (2018). Comparison Of Training Programs And Activities For Cluster Managers In Europe With Respect To Their Focus On Skills Development.</w:t>
      </w:r>
      <w:r w:rsidRPr="008203A6">
        <w:rPr>
          <w:rFonts w:ascii="Arial" w:hAnsi="Arial" w:cs="Arial"/>
          <w:i/>
          <w:iCs/>
        </w:rPr>
        <w:t> International Journal Of Entrepreneurial Knowledge, 6</w:t>
      </w:r>
      <w:r w:rsidRPr="008203A6">
        <w:rPr>
          <w:rFonts w:ascii="Arial" w:hAnsi="Arial" w:cs="Arial"/>
        </w:rPr>
        <w:t>(1), 16-29.</w:t>
      </w:r>
    </w:p>
    <w:p w14:paraId="6F0C4165" w14:textId="77777777" w:rsidR="005D5270" w:rsidRPr="008203A6" w:rsidRDefault="005D5270" w:rsidP="003B792A">
      <w:pPr>
        <w:spacing w:before="240" w:line="360" w:lineRule="auto"/>
        <w:jc w:val="both"/>
        <w:rPr>
          <w:rFonts w:ascii="Arial" w:hAnsi="Arial" w:cs="Arial"/>
        </w:rPr>
      </w:pPr>
      <w:r w:rsidRPr="008203A6">
        <w:rPr>
          <w:rFonts w:ascii="Arial" w:hAnsi="Arial" w:cs="Arial"/>
        </w:rPr>
        <w:t>How Can Project Professionals Get Ahead In Their Careers In 2019? (2019). </w:t>
      </w:r>
      <w:r w:rsidRPr="008203A6">
        <w:rPr>
          <w:rFonts w:ascii="Arial" w:hAnsi="Arial" w:cs="Arial"/>
          <w:i/>
          <w:iCs/>
        </w:rPr>
        <w:t>Pm Network, 33</w:t>
      </w:r>
      <w:r w:rsidRPr="008203A6">
        <w:rPr>
          <w:rFonts w:ascii="Arial" w:hAnsi="Arial" w:cs="Arial"/>
        </w:rPr>
        <w:t>(1), 33-39.</w:t>
      </w:r>
    </w:p>
    <w:p w14:paraId="4435AC56"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Hrzone (2017), “What-Is-A-Career-Path”, Available At </w:t>
      </w:r>
      <w:hyperlink r:id="rId118" w:tgtFrame="_blank" w:history="1">
        <w:r w:rsidRPr="008203A6">
          <w:rPr>
            <w:rStyle w:val="Hyperlink"/>
            <w:rFonts w:ascii="Arial" w:hAnsi="Arial" w:cs="Arial"/>
            <w:color w:val="auto"/>
          </w:rPr>
          <w:t>Www.Hrzone.Com/Hr-Glossary/What-Is-A-Career-Path</w:t>
        </w:r>
      </w:hyperlink>
      <w:r w:rsidRPr="008203A6">
        <w:rPr>
          <w:rFonts w:ascii="Arial" w:hAnsi="Arial" w:cs="Arial"/>
        </w:rPr>
        <w:t> (Assessed 15 June 2017</w:t>
      </w:r>
    </w:p>
    <w:p w14:paraId="5A2147C4"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Huang, R., (2004). </w:t>
      </w:r>
      <w:r w:rsidRPr="008203A6">
        <w:rPr>
          <w:rFonts w:ascii="Arial" w:hAnsi="Arial" w:cs="Arial"/>
          <w:i/>
          <w:iCs/>
          <w:shd w:val="clear" w:color="auto" w:fill="FFFFFF"/>
        </w:rPr>
        <w:t>Ritter j R. Testing the nlal’ket timing theory of capital structure</w:t>
      </w:r>
      <w:r w:rsidRPr="008203A6">
        <w:rPr>
          <w:rFonts w:ascii="Arial" w:hAnsi="Arial" w:cs="Arial"/>
          <w:shd w:val="clear" w:color="auto" w:fill="FFFFFF"/>
        </w:rPr>
        <w:t>. Working paper.</w:t>
      </w:r>
    </w:p>
    <w:p w14:paraId="49CB12F4" w14:textId="77777777" w:rsidR="005D5270" w:rsidRPr="008203A6" w:rsidRDefault="005D5270" w:rsidP="003B792A">
      <w:pPr>
        <w:spacing w:line="360" w:lineRule="auto"/>
        <w:jc w:val="both"/>
        <w:rPr>
          <w:rFonts w:ascii="Arial" w:hAnsi="Arial" w:cs="Arial"/>
        </w:rPr>
      </w:pPr>
      <w:r w:rsidRPr="008203A6">
        <w:rPr>
          <w:rFonts w:ascii="Arial" w:hAnsi="Arial" w:cs="Arial"/>
        </w:rPr>
        <w:t>Huberman, A.M. &amp; Miles, M.B. (2002). The qualitative researcher’s companion. Thousand Oaks, California: Sage Publication</w:t>
      </w:r>
    </w:p>
    <w:p w14:paraId="0EA2F1EF"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Hudson-Wilson, S., Fabozzi, F.J. and Gordon, J.N., 2003. Why real estate?. </w:t>
      </w:r>
      <w:r w:rsidRPr="008203A6">
        <w:rPr>
          <w:rFonts w:ascii="Arial" w:hAnsi="Arial" w:cs="Arial"/>
          <w:i/>
          <w:iCs/>
          <w:shd w:val="clear" w:color="auto" w:fill="FFFFFF"/>
        </w:rPr>
        <w:t>The Journal of Portfolio Management</w:t>
      </w:r>
      <w:r w:rsidRPr="008203A6">
        <w:rPr>
          <w:rFonts w:ascii="Arial" w:hAnsi="Arial" w:cs="Arial"/>
          <w:shd w:val="clear" w:color="auto" w:fill="FFFFFF"/>
        </w:rPr>
        <w:t>, </w:t>
      </w:r>
      <w:r w:rsidRPr="008203A6">
        <w:rPr>
          <w:rFonts w:ascii="Arial" w:hAnsi="Arial" w:cs="Arial"/>
          <w:i/>
          <w:iCs/>
          <w:shd w:val="clear" w:color="auto" w:fill="FFFFFF"/>
        </w:rPr>
        <w:t>29</w:t>
      </w:r>
      <w:r w:rsidRPr="008203A6">
        <w:rPr>
          <w:rFonts w:ascii="Arial" w:hAnsi="Arial" w:cs="Arial"/>
          <w:shd w:val="clear" w:color="auto" w:fill="FFFFFF"/>
        </w:rPr>
        <w:t>(5), pp.12-25.</w:t>
      </w:r>
    </w:p>
    <w:p w14:paraId="1C2828C1" w14:textId="77777777" w:rsidR="005D5270" w:rsidRPr="008203A6" w:rsidRDefault="005D5270" w:rsidP="003B792A">
      <w:pPr>
        <w:spacing w:before="240" w:line="360" w:lineRule="auto"/>
        <w:jc w:val="both"/>
        <w:rPr>
          <w:rFonts w:ascii="Arial" w:hAnsi="Arial" w:cs="Arial"/>
        </w:rPr>
      </w:pPr>
      <w:r w:rsidRPr="008203A6">
        <w:rPr>
          <w:rFonts w:ascii="Arial" w:hAnsi="Arial" w:cs="Arial"/>
        </w:rPr>
        <w:t>Huhne, C. (1999). </w:t>
      </w:r>
      <w:r w:rsidRPr="008203A6">
        <w:rPr>
          <w:rFonts w:ascii="Arial" w:hAnsi="Arial" w:cs="Arial"/>
          <w:i/>
          <w:iCs/>
        </w:rPr>
        <w:t>Both Sides Of The Coin: The Arguments For The Euro And European Monetary Union</w:t>
      </w:r>
      <w:r w:rsidRPr="008203A6">
        <w:rPr>
          <w:rFonts w:ascii="Arial" w:hAnsi="Arial" w:cs="Arial"/>
        </w:rPr>
        <w:t>. London: Profile.</w:t>
      </w:r>
    </w:p>
    <w:p w14:paraId="4BB0402A" w14:textId="77777777" w:rsidR="005D5270" w:rsidRPr="008203A6" w:rsidRDefault="005D5270" w:rsidP="003B792A">
      <w:pPr>
        <w:spacing w:before="240" w:line="360" w:lineRule="auto"/>
        <w:jc w:val="both"/>
        <w:rPr>
          <w:rFonts w:ascii="Arial" w:hAnsi="Arial" w:cs="Arial"/>
        </w:rPr>
      </w:pPr>
      <w:r w:rsidRPr="008203A6">
        <w:rPr>
          <w:rFonts w:ascii="Arial" w:hAnsi="Arial" w:cs="Arial"/>
        </w:rPr>
        <w:t>Hysong, S.J. (2018) “The Role Of Technical Skill In Perception Of Managerial Performance” Journal Of Management Development, Vol. 27 Issue 3, 275-290</w:t>
      </w:r>
    </w:p>
    <w:p w14:paraId="439A731C"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Iles, P., (1992). Centres of excellence? Assessment and development centres, managerial competence, and human resource strategies. </w:t>
      </w:r>
      <w:r w:rsidRPr="008203A6">
        <w:rPr>
          <w:rFonts w:ascii="Arial" w:hAnsi="Arial" w:cs="Arial"/>
          <w:i/>
          <w:iCs/>
          <w:shd w:val="clear" w:color="auto" w:fill="FFFFFF"/>
        </w:rPr>
        <w:t>British Journal of Management</w:t>
      </w:r>
      <w:r w:rsidRPr="008203A6">
        <w:rPr>
          <w:rFonts w:ascii="Arial" w:hAnsi="Arial" w:cs="Arial"/>
          <w:shd w:val="clear" w:color="auto" w:fill="FFFFFF"/>
        </w:rPr>
        <w:t>, </w:t>
      </w:r>
      <w:r w:rsidRPr="008203A6">
        <w:rPr>
          <w:rFonts w:ascii="Arial" w:hAnsi="Arial" w:cs="Arial"/>
          <w:i/>
          <w:iCs/>
          <w:shd w:val="clear" w:color="auto" w:fill="FFFFFF"/>
        </w:rPr>
        <w:t>3</w:t>
      </w:r>
      <w:r w:rsidRPr="008203A6">
        <w:rPr>
          <w:rFonts w:ascii="Arial" w:hAnsi="Arial" w:cs="Arial"/>
          <w:shd w:val="clear" w:color="auto" w:fill="FFFFFF"/>
        </w:rPr>
        <w:t>(2), pp.79-90.</w:t>
      </w:r>
    </w:p>
    <w:p w14:paraId="173EC993" w14:textId="61E21D13" w:rsidR="005D5270" w:rsidRPr="008203A6" w:rsidRDefault="005D5270" w:rsidP="003B792A">
      <w:pPr>
        <w:spacing w:before="240" w:line="360" w:lineRule="auto"/>
        <w:jc w:val="both"/>
        <w:rPr>
          <w:rFonts w:ascii="Arial" w:hAnsi="Arial" w:cs="Arial"/>
        </w:rPr>
      </w:pPr>
      <w:r w:rsidRPr="008203A6">
        <w:rPr>
          <w:rFonts w:ascii="Arial" w:hAnsi="Arial" w:cs="Arial"/>
        </w:rPr>
        <w:t>Inflation.</w:t>
      </w:r>
      <w:r w:rsidR="00D947F5">
        <w:rPr>
          <w:rFonts w:ascii="Arial" w:hAnsi="Arial" w:cs="Arial"/>
        </w:rPr>
        <w:t xml:space="preserve"> </w:t>
      </w:r>
      <w:r w:rsidRPr="008203A6">
        <w:rPr>
          <w:rFonts w:ascii="Arial" w:hAnsi="Arial" w:cs="Arial"/>
        </w:rPr>
        <w:t xml:space="preserve">Eu Worldwide Inflation Data /Historical Harmonised Inflation Germany (Hicp) By Year. Available At: </w:t>
      </w:r>
      <w:hyperlink r:id="rId119" w:history="1">
        <w:r w:rsidRPr="008203A6">
          <w:rPr>
            <w:rStyle w:val="Hyperlink"/>
            <w:rFonts w:ascii="Arial" w:hAnsi="Arial" w:cs="Arial"/>
            <w:color w:val="auto"/>
          </w:rPr>
          <w:t>Https://Www.Inflation.Eu/Inflation-Rates/Germany/Historic-Inflation/Hicp-Inflation-Germany.Aspx</w:t>
        </w:r>
      </w:hyperlink>
      <w:r w:rsidRPr="008203A6">
        <w:rPr>
          <w:rFonts w:ascii="Arial" w:hAnsi="Arial" w:cs="Arial"/>
        </w:rPr>
        <w:t xml:space="preserve"> (Accessed On 13</w:t>
      </w:r>
      <w:r w:rsidRPr="008203A6">
        <w:rPr>
          <w:rFonts w:ascii="Arial" w:hAnsi="Arial" w:cs="Arial"/>
          <w:vertAlign w:val="superscript"/>
        </w:rPr>
        <w:t>th</w:t>
      </w:r>
      <w:r w:rsidRPr="008203A6">
        <w:rPr>
          <w:rFonts w:ascii="Arial" w:hAnsi="Arial" w:cs="Arial"/>
        </w:rPr>
        <w:t xml:space="preserve"> November 2018)</w:t>
      </w:r>
    </w:p>
    <w:p w14:paraId="5EC7BC0E" w14:textId="77777777" w:rsidR="005D5270" w:rsidRPr="008203A6" w:rsidRDefault="005D5270" w:rsidP="003B792A">
      <w:pPr>
        <w:spacing w:before="240" w:line="360" w:lineRule="auto"/>
        <w:jc w:val="both"/>
        <w:rPr>
          <w:rFonts w:ascii="Arial" w:hAnsi="Arial" w:cs="Arial"/>
        </w:rPr>
      </w:pPr>
      <w:r w:rsidRPr="008203A6">
        <w:rPr>
          <w:rFonts w:ascii="Arial" w:hAnsi="Arial" w:cs="Arial"/>
        </w:rPr>
        <w:t>International Project Management Association (IPMA 2015) Individual Competence Baseline For Project, Programme And Portfolio Management</w:t>
      </w:r>
    </w:p>
    <w:p w14:paraId="2F865302" w14:textId="77777777" w:rsidR="005D5270" w:rsidRPr="008203A6" w:rsidRDefault="005D5270" w:rsidP="003B792A">
      <w:pPr>
        <w:spacing w:after="0" w:line="360" w:lineRule="auto"/>
        <w:contextualSpacing/>
        <w:jc w:val="both"/>
        <w:rPr>
          <w:rFonts w:ascii="Arial" w:eastAsia="Times New Roman" w:hAnsi="Arial" w:cs="Arial"/>
        </w:rPr>
      </w:pPr>
      <w:r w:rsidRPr="008203A6">
        <w:rPr>
          <w:rFonts w:ascii="Arial" w:eastAsia="Times New Roman" w:hAnsi="Arial" w:cs="Arial"/>
        </w:rPr>
        <w:t>Ipf Research Programme (2017). Changing Sources Of Real Estate Debt Capital: Facts And Implications . Available At :  Changing%20sources%20of%20real%20estate%20debt%20capital_%20facts%20and%20implications%20(May%202017)%20full%20report.Pdf ( Accessed On 07/12/2019)</w:t>
      </w:r>
    </w:p>
    <w:p w14:paraId="4F2B391C" w14:textId="6BC8273B"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Irving, J. and Manroth, A., ( 2009). </w:t>
      </w:r>
      <w:r w:rsidRPr="008203A6">
        <w:rPr>
          <w:rFonts w:ascii="Arial" w:hAnsi="Arial" w:cs="Arial"/>
          <w:i/>
          <w:iCs/>
          <w:shd w:val="clear" w:color="auto" w:fill="FFFFFF"/>
        </w:rPr>
        <w:t>Local sources of financing for infrastructure in Africa: A cross-country analysis</w:t>
      </w:r>
      <w:r w:rsidRPr="008203A6">
        <w:rPr>
          <w:rFonts w:ascii="Arial" w:hAnsi="Arial" w:cs="Arial"/>
          <w:shd w:val="clear" w:color="auto" w:fill="FFFFFF"/>
        </w:rPr>
        <w:t>. The World Bank.</w:t>
      </w:r>
    </w:p>
    <w:p w14:paraId="483AC8A7" w14:textId="77777777" w:rsidR="005D5270" w:rsidRPr="008203A6" w:rsidRDefault="005D5270" w:rsidP="003B792A">
      <w:pPr>
        <w:spacing w:before="240" w:line="360" w:lineRule="auto"/>
        <w:jc w:val="both"/>
        <w:rPr>
          <w:rFonts w:ascii="Arial" w:hAnsi="Arial" w:cs="Arial"/>
        </w:rPr>
      </w:pPr>
      <w:r w:rsidRPr="008203A6">
        <w:rPr>
          <w:rFonts w:ascii="Arial" w:hAnsi="Arial" w:cs="Arial"/>
        </w:rPr>
        <w:t>Isaac F. Megbolugbe &amp; Allen P. Marks &amp; Mary B. Schwartz, 1991. "The Economic Theory Of Housing Demand: A Critical Review," Journal Of Real Estate Research, American Real Estate Society, Vol. 6(3), Pages 381-393.</w:t>
      </w:r>
    </w:p>
    <w:p w14:paraId="12309493" w14:textId="77777777" w:rsidR="005D5270" w:rsidRPr="008203A6" w:rsidRDefault="005D5270" w:rsidP="003B792A">
      <w:pPr>
        <w:spacing w:before="240" w:line="360" w:lineRule="auto"/>
        <w:jc w:val="both"/>
        <w:rPr>
          <w:rFonts w:ascii="Arial" w:hAnsi="Arial" w:cs="Arial"/>
        </w:rPr>
      </w:pPr>
      <w:r w:rsidRPr="008203A6">
        <w:rPr>
          <w:rFonts w:ascii="Arial" w:hAnsi="Arial" w:cs="Arial"/>
        </w:rPr>
        <w:t>Jalilvand, H. (2015). The Relationship Between Negotiation Skills Of Managers And Organisational Health.</w:t>
      </w:r>
      <w:r w:rsidRPr="008203A6">
        <w:rPr>
          <w:rFonts w:ascii="Arial" w:hAnsi="Arial" w:cs="Arial"/>
          <w:i/>
          <w:iCs/>
        </w:rPr>
        <w:t> International Journal Of Management, Accounting &amp; Economics, 2</w:t>
      </w:r>
      <w:r w:rsidRPr="008203A6">
        <w:rPr>
          <w:rFonts w:ascii="Arial" w:hAnsi="Arial" w:cs="Arial"/>
        </w:rPr>
        <w:t>(11), 1349-1356.</w:t>
      </w:r>
    </w:p>
    <w:p w14:paraId="6CC08013" w14:textId="330F449E"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lastRenderedPageBreak/>
        <w:t>Järvelin, K. and Wilson, T.D., (2003). On conceptual models for information seeking and retrieval research. </w:t>
      </w:r>
      <w:r w:rsidRPr="008203A6">
        <w:rPr>
          <w:rFonts w:ascii="Arial" w:hAnsi="Arial" w:cs="Arial"/>
          <w:i/>
          <w:iCs/>
          <w:shd w:val="clear" w:color="auto" w:fill="FFFFFF"/>
        </w:rPr>
        <w:t xml:space="preserve">Information </w:t>
      </w:r>
      <w:r w:rsidR="00D947F5">
        <w:rPr>
          <w:rFonts w:ascii="Arial" w:hAnsi="Arial" w:cs="Arial"/>
          <w:i/>
          <w:iCs/>
          <w:shd w:val="clear" w:color="auto" w:fill="FFFFFF"/>
        </w:rPr>
        <w:t>R</w:t>
      </w:r>
      <w:r w:rsidRPr="008203A6">
        <w:rPr>
          <w:rFonts w:ascii="Arial" w:hAnsi="Arial" w:cs="Arial"/>
          <w:i/>
          <w:iCs/>
          <w:shd w:val="clear" w:color="auto" w:fill="FFFFFF"/>
        </w:rPr>
        <w:t>esearch</w:t>
      </w:r>
      <w:r w:rsidRPr="008203A6">
        <w:rPr>
          <w:rFonts w:ascii="Arial" w:hAnsi="Arial" w:cs="Arial"/>
          <w:shd w:val="clear" w:color="auto" w:fill="FFFFFF"/>
        </w:rPr>
        <w:t>, </w:t>
      </w:r>
      <w:r w:rsidRPr="008203A6">
        <w:rPr>
          <w:rFonts w:ascii="Arial" w:hAnsi="Arial" w:cs="Arial"/>
          <w:i/>
          <w:iCs/>
          <w:shd w:val="clear" w:color="auto" w:fill="FFFFFF"/>
        </w:rPr>
        <w:t>9</w:t>
      </w:r>
      <w:r w:rsidRPr="008203A6">
        <w:rPr>
          <w:rFonts w:ascii="Arial" w:hAnsi="Arial" w:cs="Arial"/>
          <w:shd w:val="clear" w:color="auto" w:fill="FFFFFF"/>
        </w:rPr>
        <w:t>(1), pp.9-1.</w:t>
      </w:r>
    </w:p>
    <w:p w14:paraId="2FFE4D58" w14:textId="77777777" w:rsidR="005D5270" w:rsidRPr="008203A6" w:rsidRDefault="005D5270" w:rsidP="003B792A">
      <w:pPr>
        <w:spacing w:before="240" w:line="360" w:lineRule="auto"/>
        <w:jc w:val="both"/>
        <w:rPr>
          <w:rFonts w:ascii="Arial" w:hAnsi="Arial" w:cs="Arial"/>
        </w:rPr>
      </w:pPr>
      <w:r w:rsidRPr="008203A6">
        <w:rPr>
          <w:rFonts w:ascii="Arial" w:hAnsi="Arial" w:cs="Arial"/>
        </w:rPr>
        <w:t>Jeffrey, R., Michael, X., &amp; Shin, G. (2003). Project Management Characteristics And New Product Survival.</w:t>
      </w:r>
      <w:r w:rsidRPr="008203A6">
        <w:rPr>
          <w:rFonts w:ascii="Arial" w:hAnsi="Arial" w:cs="Arial"/>
          <w:i/>
          <w:iCs/>
        </w:rPr>
        <w:t> Journal Of Product Innovation Management, 20</w:t>
      </w:r>
      <w:r w:rsidRPr="008203A6">
        <w:rPr>
          <w:rFonts w:ascii="Arial" w:hAnsi="Arial" w:cs="Arial"/>
        </w:rPr>
        <w:t>(2), 104-119.</w:t>
      </w:r>
    </w:p>
    <w:p w14:paraId="49E9E6EF" w14:textId="77777777" w:rsidR="005D5270" w:rsidRPr="008203A6" w:rsidRDefault="005D5270" w:rsidP="003B792A">
      <w:pPr>
        <w:spacing w:after="0" w:line="360" w:lineRule="auto"/>
        <w:contextualSpacing/>
        <w:jc w:val="both"/>
        <w:rPr>
          <w:rFonts w:ascii="Arial" w:eastAsia="Times New Roman" w:hAnsi="Arial" w:cs="Arial"/>
        </w:rPr>
      </w:pPr>
      <w:r w:rsidRPr="008203A6">
        <w:rPr>
          <w:rFonts w:ascii="Arial" w:eastAsia="Times New Roman" w:hAnsi="Arial" w:cs="Arial"/>
        </w:rPr>
        <w:t xml:space="preserve">Jll (2019) New Business Report. Available At: </w:t>
      </w:r>
      <w:r w:rsidRPr="008203A6">
        <w:rPr>
          <w:rFonts w:ascii="Arial" w:eastAsia="Times New Roman" w:hAnsi="Arial" w:cs="Arial"/>
        </w:rPr>
        <w:tab/>
      </w:r>
      <w:hyperlink r:id="rId120" w:history="1">
        <w:r w:rsidRPr="008203A6">
          <w:rPr>
            <w:rStyle w:val="Hyperlink"/>
            <w:rFonts w:ascii="Arial" w:eastAsia="Times" w:hAnsi="Arial" w:cs="Arial"/>
            <w:color w:val="auto"/>
          </w:rPr>
          <w:t>Https://Www.Jll.De/Content/Dam/Jll-Com/Documents/Pdf/Research/Emea/Germany/En/New-Business-Report-Real-Estate-Financing-Jll-Germany.Pdf</w:t>
        </w:r>
      </w:hyperlink>
      <w:r w:rsidRPr="008203A6">
        <w:rPr>
          <w:rFonts w:ascii="Arial" w:eastAsia="Times New Roman" w:hAnsi="Arial" w:cs="Arial"/>
        </w:rPr>
        <w:t xml:space="preserve"> (Accessed On 07/12/2019).</w:t>
      </w:r>
    </w:p>
    <w:p w14:paraId="2D4D40FB"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Jonanovic, B., (1979). Job Matching And The Theory Of Turnover, Journal Of Political Economy 87 (5), Pp. 972-990.</w:t>
      </w:r>
    </w:p>
    <w:p w14:paraId="07C2B514" w14:textId="77777777" w:rsidR="005D5270" w:rsidRPr="008203A6" w:rsidRDefault="005D5270" w:rsidP="003B792A">
      <w:pPr>
        <w:spacing w:before="240" w:line="360" w:lineRule="auto"/>
        <w:jc w:val="both"/>
        <w:rPr>
          <w:rFonts w:ascii="Arial" w:hAnsi="Arial" w:cs="Arial"/>
        </w:rPr>
      </w:pPr>
      <w:r w:rsidRPr="008203A6">
        <w:rPr>
          <w:rFonts w:ascii="Arial" w:hAnsi="Arial" w:cs="Arial"/>
        </w:rPr>
        <w:t>Jones, S. (2017) Current Issues And Controversies In Real Estate Finance, </w:t>
      </w:r>
      <w:r w:rsidRPr="008203A6">
        <w:rPr>
          <w:rFonts w:ascii="Arial" w:hAnsi="Arial" w:cs="Arial"/>
          <w:i/>
          <w:iCs/>
        </w:rPr>
        <w:t>Abacus, </w:t>
      </w:r>
      <w:r w:rsidRPr="008203A6">
        <w:rPr>
          <w:rFonts w:ascii="Arial" w:hAnsi="Arial" w:cs="Arial"/>
        </w:rPr>
        <w:t>53 (3), Pp. 299-303.</w:t>
      </w:r>
    </w:p>
    <w:p w14:paraId="53A97637" w14:textId="7C0E52A9" w:rsidR="005D5270" w:rsidRPr="008203A6" w:rsidRDefault="005D5270" w:rsidP="003B792A">
      <w:pPr>
        <w:spacing w:before="240" w:line="360" w:lineRule="auto"/>
        <w:jc w:val="both"/>
        <w:rPr>
          <w:rFonts w:ascii="Arial" w:hAnsi="Arial" w:cs="Arial"/>
        </w:rPr>
      </w:pPr>
      <w:r w:rsidRPr="008203A6">
        <w:rPr>
          <w:rFonts w:ascii="Arial" w:hAnsi="Arial" w:cs="Arial"/>
        </w:rPr>
        <w:t xml:space="preserve">Just, T. </w:t>
      </w:r>
      <w:r w:rsidR="0000223B">
        <w:rPr>
          <w:rFonts w:ascii="Arial" w:hAnsi="Arial" w:cs="Arial"/>
        </w:rPr>
        <w:t>a</w:t>
      </w:r>
      <w:r w:rsidRPr="008203A6">
        <w:rPr>
          <w:rFonts w:ascii="Arial" w:hAnsi="Arial" w:cs="Arial"/>
        </w:rPr>
        <w:t>nd Maennig, W. (2017) Understanding German Real Estate Markets. Second Ed. Switzerland; 4: Springer.</w:t>
      </w:r>
    </w:p>
    <w:p w14:paraId="68295971"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Just, T., 2012. </w:t>
      </w:r>
      <w:r w:rsidRPr="008203A6">
        <w:rPr>
          <w:rFonts w:ascii="Arial" w:hAnsi="Arial" w:cs="Arial"/>
          <w:i/>
          <w:iCs/>
          <w:shd w:val="clear" w:color="auto" w:fill="FFFFFF"/>
        </w:rPr>
        <w:t>What makes the German real estate markets so special?</w:t>
      </w:r>
      <w:r w:rsidRPr="008203A6">
        <w:rPr>
          <w:rFonts w:ascii="Arial" w:hAnsi="Arial" w:cs="Arial"/>
          <w:shd w:val="clear" w:color="auto" w:fill="FFFFFF"/>
        </w:rPr>
        <w:t>. European Real Estate Society (ERES).</w:t>
      </w:r>
    </w:p>
    <w:p w14:paraId="15594501" w14:textId="77777777" w:rsidR="005D5270" w:rsidRPr="008203A6" w:rsidRDefault="005D5270" w:rsidP="003B792A">
      <w:pPr>
        <w:spacing w:before="240" w:line="360" w:lineRule="auto"/>
        <w:jc w:val="both"/>
        <w:rPr>
          <w:rFonts w:ascii="Arial" w:hAnsi="Arial" w:cs="Arial"/>
        </w:rPr>
      </w:pPr>
      <w:r w:rsidRPr="008203A6">
        <w:rPr>
          <w:rFonts w:ascii="Arial" w:hAnsi="Arial" w:cs="Arial"/>
        </w:rPr>
        <w:t>Kacperczyk, M., Nieuwerburgh, S. V., &amp; Veldkamp, L. (2014). Time-Varying Fund Manager Skill.</w:t>
      </w:r>
      <w:r w:rsidRPr="008203A6">
        <w:rPr>
          <w:rFonts w:ascii="Arial" w:hAnsi="Arial" w:cs="Arial"/>
          <w:i/>
          <w:iCs/>
        </w:rPr>
        <w:t> Journal Of Finance, 69</w:t>
      </w:r>
      <w:r w:rsidRPr="008203A6">
        <w:rPr>
          <w:rFonts w:ascii="Arial" w:hAnsi="Arial" w:cs="Arial"/>
        </w:rPr>
        <w:t>(4), 1455-1484.</w:t>
      </w:r>
    </w:p>
    <w:p w14:paraId="1CB901FF" w14:textId="77777777" w:rsidR="005D5270" w:rsidRPr="008203A6" w:rsidRDefault="005D5270" w:rsidP="003B792A">
      <w:pPr>
        <w:spacing w:before="240" w:line="360" w:lineRule="auto"/>
        <w:jc w:val="both"/>
        <w:rPr>
          <w:rFonts w:ascii="Arial" w:hAnsi="Arial" w:cs="Arial"/>
        </w:rPr>
      </w:pPr>
      <w:r w:rsidRPr="008203A6">
        <w:rPr>
          <w:rFonts w:ascii="Arial" w:hAnsi="Arial" w:cs="Arial"/>
        </w:rPr>
        <w:t>Kalidindi, S. N., &amp; Boeing Singh, L. (2009). Criteria Influencing Debt Financing Of Indian Ppp Road Projects: A Case Study.</w:t>
      </w:r>
      <w:r w:rsidRPr="008203A6">
        <w:rPr>
          <w:rFonts w:ascii="Arial" w:hAnsi="Arial" w:cs="Arial"/>
          <w:i/>
          <w:iCs/>
        </w:rPr>
        <w:t> J Of Fin Man Of Prop And Cons, 14</w:t>
      </w:r>
      <w:r w:rsidRPr="008203A6">
        <w:rPr>
          <w:rFonts w:ascii="Arial" w:hAnsi="Arial" w:cs="Arial"/>
        </w:rPr>
        <w:t>(1), 34-60.</w:t>
      </w:r>
    </w:p>
    <w:p w14:paraId="008E43D2"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Kalman-Lamb, G., (2017). The financialization of housing in Canada: intensifying contradictions of neoliberal accumulation. </w:t>
      </w:r>
      <w:r w:rsidRPr="008203A6">
        <w:rPr>
          <w:rFonts w:ascii="Arial" w:hAnsi="Arial" w:cs="Arial"/>
          <w:i/>
          <w:iCs/>
          <w:shd w:val="clear" w:color="auto" w:fill="FFFFFF"/>
        </w:rPr>
        <w:t>Studies in Political Economy</w:t>
      </w:r>
      <w:r w:rsidRPr="008203A6">
        <w:rPr>
          <w:rFonts w:ascii="Arial" w:hAnsi="Arial" w:cs="Arial"/>
          <w:shd w:val="clear" w:color="auto" w:fill="FFFFFF"/>
        </w:rPr>
        <w:t>, </w:t>
      </w:r>
      <w:r w:rsidRPr="008203A6">
        <w:rPr>
          <w:rFonts w:ascii="Arial" w:hAnsi="Arial" w:cs="Arial"/>
          <w:i/>
          <w:iCs/>
          <w:shd w:val="clear" w:color="auto" w:fill="FFFFFF"/>
        </w:rPr>
        <w:t>98</w:t>
      </w:r>
      <w:r w:rsidRPr="008203A6">
        <w:rPr>
          <w:rFonts w:ascii="Arial" w:hAnsi="Arial" w:cs="Arial"/>
          <w:shd w:val="clear" w:color="auto" w:fill="FFFFFF"/>
        </w:rPr>
        <w:t>(3), pp.298-323.</w:t>
      </w:r>
    </w:p>
    <w:p w14:paraId="6CCC7AE5" w14:textId="1E10459A" w:rsidR="005D5270" w:rsidRPr="008203A6" w:rsidRDefault="005D5270" w:rsidP="003B792A">
      <w:pPr>
        <w:spacing w:line="360" w:lineRule="auto"/>
        <w:jc w:val="both"/>
        <w:rPr>
          <w:rFonts w:ascii="Arial" w:hAnsi="Arial" w:cs="Arial"/>
        </w:rPr>
      </w:pPr>
      <w:r w:rsidRPr="008203A6">
        <w:rPr>
          <w:rFonts w:ascii="Arial" w:hAnsi="Arial" w:cs="Arial"/>
        </w:rPr>
        <w:t>Kane, M (2018). Real Estate Financing In The U</w:t>
      </w:r>
      <w:r w:rsidR="00D947F5">
        <w:rPr>
          <w:rFonts w:ascii="Arial" w:hAnsi="Arial" w:cs="Arial"/>
        </w:rPr>
        <w:t>SA</w:t>
      </w:r>
      <w:r w:rsidRPr="008203A6">
        <w:rPr>
          <w:rFonts w:ascii="Arial" w:hAnsi="Arial" w:cs="Arial"/>
        </w:rPr>
        <w:t xml:space="preserve">. Available At </w:t>
      </w:r>
      <w:hyperlink r:id="rId121" w:history="1">
        <w:r w:rsidRPr="008203A6">
          <w:rPr>
            <w:rStyle w:val="Hyperlink"/>
            <w:rFonts w:ascii="Arial" w:hAnsi="Arial" w:cs="Arial"/>
            <w:color w:val="auto"/>
          </w:rPr>
          <w:t>Https://Www.Lexology.Com/Library/Detail.Aspx?G=C6b0c850-0546-4f7d-A6a5-957e5e6eeea3</w:t>
        </w:r>
      </w:hyperlink>
      <w:r w:rsidRPr="008203A6">
        <w:rPr>
          <w:rFonts w:ascii="Arial" w:hAnsi="Arial" w:cs="Arial"/>
        </w:rPr>
        <w:t xml:space="preserve"> (Accessed On 09/12/2019). </w:t>
      </w:r>
    </w:p>
    <w:p w14:paraId="7B939874" w14:textId="77777777" w:rsidR="005D5270" w:rsidRPr="008203A6" w:rsidRDefault="005D5270" w:rsidP="003B792A">
      <w:pPr>
        <w:shd w:val="clear" w:color="auto" w:fill="FFFFFF"/>
        <w:spacing w:before="240" w:after="180" w:line="360" w:lineRule="auto"/>
        <w:jc w:val="both"/>
        <w:textAlignment w:val="baseline"/>
        <w:rPr>
          <w:rFonts w:ascii="Arial" w:eastAsia="Times New Roman" w:hAnsi="Arial" w:cs="Arial"/>
          <w:lang w:eastAsia="en-GB"/>
        </w:rPr>
      </w:pPr>
      <w:r w:rsidRPr="008203A6">
        <w:rPr>
          <w:rFonts w:ascii="Arial" w:hAnsi="Arial" w:cs="Arial"/>
        </w:rPr>
        <w:t>Kang, W., Ratti, R. A. And Vespignani, J. L. (2016) Chinese Liquidity Increases And The U.S. Economy, </w:t>
      </w:r>
      <w:r w:rsidRPr="008203A6">
        <w:rPr>
          <w:rFonts w:ascii="Arial" w:hAnsi="Arial" w:cs="Arial"/>
          <w:i/>
          <w:iCs/>
        </w:rPr>
        <w:t>Economic Modelling, </w:t>
      </w:r>
      <w:r w:rsidRPr="008203A6">
        <w:rPr>
          <w:rFonts w:ascii="Arial" w:hAnsi="Arial" w:cs="Arial"/>
        </w:rPr>
        <w:t>January 2016, 52, Pp. 764-771. Doi: </w:t>
      </w:r>
      <w:hyperlink r:id="rId122" w:tgtFrame="_blank" w:history="1">
        <w:r w:rsidRPr="008203A6">
          <w:rPr>
            <w:rFonts w:ascii="Arial" w:hAnsi="Arial" w:cs="Arial"/>
            <w:u w:val="single"/>
          </w:rPr>
          <w:t>Https://Doi.Org/10.1016/J.Econmod.2015.10.015</w:t>
        </w:r>
      </w:hyperlink>
      <w:r w:rsidRPr="008203A6">
        <w:rPr>
          <w:rFonts w:ascii="Arial" w:hAnsi="Arial" w:cs="Arial"/>
        </w:rPr>
        <w:t>.</w:t>
      </w:r>
    </w:p>
    <w:p w14:paraId="684C89DB" w14:textId="77777777" w:rsidR="005D5270" w:rsidRPr="008203A6" w:rsidRDefault="005D5270" w:rsidP="003B792A">
      <w:pPr>
        <w:spacing w:before="240" w:line="360" w:lineRule="auto"/>
        <w:jc w:val="both"/>
        <w:rPr>
          <w:rFonts w:ascii="Arial" w:hAnsi="Arial" w:cs="Arial"/>
        </w:rPr>
      </w:pPr>
      <w:r w:rsidRPr="008203A6">
        <w:rPr>
          <w:rFonts w:ascii="Arial" w:hAnsi="Arial" w:cs="Arial"/>
        </w:rPr>
        <w:t>Kaplan, I. C. (2011) Real Estate Finance Challenges In The Wake Of The Recession: The Case For Private Equity Funds, </w:t>
      </w:r>
      <w:r w:rsidRPr="008203A6">
        <w:rPr>
          <w:rFonts w:ascii="Arial" w:hAnsi="Arial" w:cs="Arial"/>
          <w:i/>
          <w:iCs/>
        </w:rPr>
        <w:t>Real Estate Finance (Aspen Publishers Inc.), </w:t>
      </w:r>
      <w:r w:rsidRPr="008203A6">
        <w:rPr>
          <w:rFonts w:ascii="Arial" w:hAnsi="Arial" w:cs="Arial"/>
        </w:rPr>
        <w:t>28 (1), Pp. 3-6.</w:t>
      </w:r>
    </w:p>
    <w:p w14:paraId="5B51902A"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Karjalainen, H., &amp; Benhaida, D. (2018). Compétences Interculturelles Individuelles Au Sein D'une Équipe Multiculturelle: Une Étude Expérimentale.</w:t>
      </w:r>
      <w:r w:rsidRPr="008203A6">
        <w:rPr>
          <w:rFonts w:ascii="Arial" w:hAnsi="Arial" w:cs="Arial"/>
          <w:i/>
          <w:iCs/>
        </w:rPr>
        <w:t> Revue Management Et Avenir, </w:t>
      </w:r>
      <w:r w:rsidRPr="008203A6">
        <w:rPr>
          <w:rFonts w:ascii="Arial" w:hAnsi="Arial" w:cs="Arial"/>
        </w:rPr>
        <w:t>(101), 15-38.</w:t>
      </w:r>
    </w:p>
    <w:p w14:paraId="631493E4" w14:textId="77777777" w:rsidR="005D5270" w:rsidRPr="008203A6" w:rsidRDefault="005D5270" w:rsidP="003B792A">
      <w:pPr>
        <w:spacing w:before="240" w:line="360" w:lineRule="auto"/>
        <w:jc w:val="both"/>
        <w:rPr>
          <w:rFonts w:ascii="Arial" w:hAnsi="Arial" w:cs="Arial"/>
        </w:rPr>
      </w:pPr>
      <w:r w:rsidRPr="008203A6">
        <w:rPr>
          <w:rFonts w:ascii="Arial" w:hAnsi="Arial" w:cs="Arial"/>
        </w:rPr>
        <w:t>Kashyap, A. K., Berner, R., And Goodhart, C. A. E. (2011) ‘The Macroprudential Toolkit’, Imf Economic Review, 59(2), Pp. 145–161. Doi: 10.1057/Imfer.2011.4.</w:t>
      </w:r>
    </w:p>
    <w:p w14:paraId="277A7C9A" w14:textId="1B314CC5" w:rsidR="005D5270" w:rsidRPr="008203A6" w:rsidRDefault="005D5270" w:rsidP="003B792A">
      <w:pPr>
        <w:spacing w:before="240" w:after="0" w:line="360" w:lineRule="auto"/>
        <w:jc w:val="both"/>
        <w:rPr>
          <w:rFonts w:ascii="Arial" w:hAnsi="Arial" w:cs="Arial"/>
        </w:rPr>
      </w:pPr>
      <w:r w:rsidRPr="008203A6">
        <w:rPr>
          <w:rFonts w:ascii="Arial" w:hAnsi="Arial" w:cs="Arial"/>
        </w:rPr>
        <w:t>Katz, R. L (1971) “Skills Of An Effective Administrator” In Bursk, E.C And Blodgett, T.B (Eds.), Developing Executive Leaders, Harvard University Press, Pp. 55 -64</w:t>
      </w:r>
    </w:p>
    <w:p w14:paraId="210AF391" w14:textId="0C711122"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Katz, R., 1955. Skills of an effective administrator. </w:t>
      </w:r>
      <w:r w:rsidRPr="008203A6">
        <w:rPr>
          <w:rFonts w:ascii="Arial" w:hAnsi="Arial" w:cs="Arial"/>
          <w:i/>
          <w:iCs/>
          <w:shd w:val="clear" w:color="auto" w:fill="FFFFFF"/>
        </w:rPr>
        <w:t xml:space="preserve">Harvard </w:t>
      </w:r>
      <w:r w:rsidR="00384B9D">
        <w:rPr>
          <w:rFonts w:ascii="Arial" w:hAnsi="Arial" w:cs="Arial"/>
          <w:i/>
          <w:iCs/>
          <w:shd w:val="clear" w:color="auto" w:fill="FFFFFF"/>
        </w:rPr>
        <w:t>business r</w:t>
      </w:r>
      <w:r w:rsidRPr="008203A6">
        <w:rPr>
          <w:rFonts w:ascii="Arial" w:hAnsi="Arial" w:cs="Arial"/>
          <w:i/>
          <w:iCs/>
          <w:shd w:val="clear" w:color="auto" w:fill="FFFFFF"/>
        </w:rPr>
        <w:t>eview</w:t>
      </w:r>
      <w:r w:rsidRPr="008203A6">
        <w:rPr>
          <w:rFonts w:ascii="Arial" w:hAnsi="Arial" w:cs="Arial"/>
          <w:shd w:val="clear" w:color="auto" w:fill="FFFFFF"/>
        </w:rPr>
        <w:t>, pp.Jan-Feb.</w:t>
      </w:r>
    </w:p>
    <w:p w14:paraId="3C2ED06D"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Kavishe, N., And Chilesche, N. (2017) Joint Venture Housing Project In Dar Es Salaam City: An Analysis Of Challenges And Effectiveness. Available At: </w:t>
      </w:r>
      <w:hyperlink r:id="rId123" w:history="1">
        <w:r w:rsidRPr="008203A6">
          <w:rPr>
            <w:rStyle w:val="Hyperlink"/>
            <w:rFonts w:ascii="Arial" w:hAnsi="Arial" w:cs="Arial"/>
            <w:color w:val="auto"/>
          </w:rPr>
          <w:t>Http://Www.Arcom.Ac.Uk/-Docs/Archive/2017-Indexed-Papers.Pdf</w:t>
        </w:r>
      </w:hyperlink>
      <w:r w:rsidRPr="008203A6">
        <w:rPr>
          <w:rFonts w:ascii="Arial" w:hAnsi="Arial" w:cs="Arial"/>
        </w:rPr>
        <w:t xml:space="preserve"> (Accessed On 7</w:t>
      </w:r>
      <w:r w:rsidRPr="008203A6">
        <w:rPr>
          <w:rFonts w:ascii="Arial" w:hAnsi="Arial" w:cs="Arial"/>
          <w:vertAlign w:val="superscript"/>
        </w:rPr>
        <w:t>th</w:t>
      </w:r>
      <w:r w:rsidRPr="008203A6">
        <w:rPr>
          <w:rFonts w:ascii="Arial" w:hAnsi="Arial" w:cs="Arial"/>
        </w:rPr>
        <w:t xml:space="preserve"> January 2019).</w:t>
      </w:r>
    </w:p>
    <w:p w14:paraId="6AFEBBC3" w14:textId="77777777" w:rsidR="005D5270" w:rsidRPr="008203A6" w:rsidRDefault="005D5270" w:rsidP="003B792A">
      <w:pPr>
        <w:spacing w:before="240" w:line="360" w:lineRule="auto"/>
        <w:jc w:val="both"/>
        <w:rPr>
          <w:rFonts w:ascii="Arial" w:hAnsi="Arial" w:cs="Arial"/>
        </w:rPr>
      </w:pPr>
      <w:r w:rsidRPr="008203A6">
        <w:rPr>
          <w:rFonts w:ascii="Arial" w:hAnsi="Arial" w:cs="Arial"/>
        </w:rPr>
        <w:t>Ke, C., Wang, Z. And Cheng, G. (2007), "The Financing and Abandonment Options In Chinese Real Estate Development Projects", Journal Of Corporate Real Estate, Vol. 9 No. 2, Pp. 111-124. Https://0-Doi-Org.Lispac.Lsbu.Ac.Uk/10.1108/14630010710828117</w:t>
      </w:r>
    </w:p>
    <w:p w14:paraId="497623B2" w14:textId="77777777" w:rsidR="005D5270" w:rsidRPr="008203A6" w:rsidRDefault="005D5270" w:rsidP="003B792A">
      <w:pPr>
        <w:spacing w:before="240" w:after="0" w:line="360" w:lineRule="auto"/>
        <w:jc w:val="both"/>
        <w:rPr>
          <w:rFonts w:ascii="Arial" w:hAnsi="Arial" w:cs="Arial"/>
        </w:rPr>
      </w:pPr>
      <w:r w:rsidRPr="008203A6">
        <w:rPr>
          <w:rFonts w:ascii="Arial" w:hAnsi="Arial" w:cs="Arial"/>
        </w:rPr>
        <w:t>Kelilume, I (2016). Exchange Rate Volatility And Firm Performance In Nigeria: A Dynamic Panel Regression Approach Journal Of Developing Areas, Tennessee State University, ( USA) ISBN 978-0-9925622-3-6</w:t>
      </w:r>
    </w:p>
    <w:p w14:paraId="5444473E" w14:textId="714AE0BC"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Kemp, M., Kruger, F.P., Thorsen, J.E. and Zitting, H., (2019). Leanna K. Fuller serves as Associate Professor of Pastoral Care at Pittsburgh Theological Seminary. Her primary research interests include conflict in congregations, eccle-sial reconciliation, and clergy self-care. She lives in Pittsburgh, Pennsylvania, with her family. </w:t>
      </w:r>
      <w:r w:rsidRPr="008203A6">
        <w:rPr>
          <w:rFonts w:ascii="Arial" w:hAnsi="Arial" w:cs="Arial"/>
          <w:i/>
          <w:iCs/>
          <w:shd w:val="clear" w:color="auto" w:fill="FFFFFF"/>
        </w:rPr>
        <w:t>ecclesiology</w:t>
      </w:r>
      <w:r w:rsidRPr="008203A6">
        <w:rPr>
          <w:rFonts w:ascii="Arial" w:hAnsi="Arial" w:cs="Arial"/>
          <w:shd w:val="clear" w:color="auto" w:fill="FFFFFF"/>
        </w:rPr>
        <w:t>, </w:t>
      </w:r>
      <w:r w:rsidRPr="008203A6">
        <w:rPr>
          <w:rFonts w:ascii="Arial" w:hAnsi="Arial" w:cs="Arial"/>
          <w:i/>
          <w:iCs/>
          <w:shd w:val="clear" w:color="auto" w:fill="FFFFFF"/>
        </w:rPr>
        <w:t>15</w:t>
      </w:r>
      <w:r w:rsidRPr="008203A6">
        <w:rPr>
          <w:rFonts w:ascii="Arial" w:hAnsi="Arial" w:cs="Arial"/>
          <w:shd w:val="clear" w:color="auto" w:fill="FFFFFF"/>
        </w:rPr>
        <w:t>, pp.125-126.</w:t>
      </w:r>
    </w:p>
    <w:p w14:paraId="5A6DFEB9" w14:textId="77777777" w:rsidR="005D5270" w:rsidRPr="008203A6" w:rsidRDefault="005D5270" w:rsidP="003B792A">
      <w:pPr>
        <w:spacing w:before="240" w:line="360" w:lineRule="auto"/>
        <w:jc w:val="both"/>
        <w:rPr>
          <w:rFonts w:ascii="Arial" w:hAnsi="Arial" w:cs="Arial"/>
        </w:rPr>
      </w:pPr>
      <w:r w:rsidRPr="008203A6">
        <w:rPr>
          <w:rFonts w:ascii="Arial" w:hAnsi="Arial" w:cs="Arial"/>
        </w:rPr>
        <w:t>Kess, S., Grimaldi, J. R., &amp; Revels, J. A. J. (2018). Financial Knowledge For Recent Graduates.</w:t>
      </w:r>
      <w:r w:rsidRPr="008203A6">
        <w:rPr>
          <w:rFonts w:ascii="Arial" w:hAnsi="Arial" w:cs="Arial"/>
          <w:i/>
          <w:iCs/>
        </w:rPr>
        <w:t> Cpa Journal, 88</w:t>
      </w:r>
      <w:r w:rsidRPr="008203A6">
        <w:rPr>
          <w:rFonts w:ascii="Arial" w:hAnsi="Arial" w:cs="Arial"/>
        </w:rPr>
        <w:t>(8), 66-67.</w:t>
      </w:r>
    </w:p>
    <w:p w14:paraId="48D1D9F2" w14:textId="77777777" w:rsidR="005D5270" w:rsidRPr="008203A6" w:rsidRDefault="005D5270" w:rsidP="003B792A">
      <w:pPr>
        <w:spacing w:before="240" w:line="360" w:lineRule="auto"/>
        <w:jc w:val="both"/>
        <w:rPr>
          <w:rFonts w:ascii="Arial" w:hAnsi="Arial" w:cs="Arial"/>
        </w:rPr>
      </w:pPr>
      <w:r w:rsidRPr="008203A6">
        <w:rPr>
          <w:rFonts w:ascii="Arial" w:hAnsi="Arial" w:cs="Arial"/>
        </w:rPr>
        <w:t>Khadijah, M.R., Mohammed N.M., And Suhana, M.A. (2017) The Impact Of Internal Factors On Small Business Success: A Case Of Small Enterprises Under The Felda Scheme. Asian Academy Of Management Journal. Vol 22, No. 1, 27-55, 2017.</w:t>
      </w:r>
    </w:p>
    <w:p w14:paraId="35A2F17B"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Khan, M.A., Qin, X. and Jebran, K., (2019). Does uncertainty influence the leverage-investment association in Chinese firms?. </w:t>
      </w:r>
      <w:r w:rsidRPr="008203A6">
        <w:rPr>
          <w:rFonts w:ascii="Arial" w:hAnsi="Arial" w:cs="Arial"/>
          <w:i/>
          <w:iCs/>
          <w:shd w:val="clear" w:color="auto" w:fill="FFFFFF"/>
        </w:rPr>
        <w:t>Research in International Business and Finance</w:t>
      </w:r>
      <w:r w:rsidRPr="008203A6">
        <w:rPr>
          <w:rFonts w:ascii="Arial" w:hAnsi="Arial" w:cs="Arial"/>
          <w:shd w:val="clear" w:color="auto" w:fill="FFFFFF"/>
        </w:rPr>
        <w:t>, </w:t>
      </w:r>
      <w:r w:rsidRPr="008203A6">
        <w:rPr>
          <w:rFonts w:ascii="Arial" w:hAnsi="Arial" w:cs="Arial"/>
          <w:i/>
          <w:iCs/>
          <w:shd w:val="clear" w:color="auto" w:fill="FFFFFF"/>
        </w:rPr>
        <w:t>50</w:t>
      </w:r>
      <w:r w:rsidRPr="008203A6">
        <w:rPr>
          <w:rFonts w:ascii="Arial" w:hAnsi="Arial" w:cs="Arial"/>
          <w:shd w:val="clear" w:color="auto" w:fill="FFFFFF"/>
        </w:rPr>
        <w:t>, pp.134-152.</w:t>
      </w:r>
    </w:p>
    <w:p w14:paraId="4716C9FC"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Kim, M., Schmidgall, R. S., &amp; Damitio, J. W. (2017). Key Managerial Accounting Skills For Lodging Industry Managers: The Third Phase Of A Repeated Cross-Sectional Study.</w:t>
      </w:r>
      <w:r w:rsidRPr="008203A6">
        <w:rPr>
          <w:rFonts w:ascii="Arial" w:hAnsi="Arial" w:cs="Arial"/>
          <w:i/>
          <w:iCs/>
        </w:rPr>
        <w:t> International Journal Of Hospitality &amp; Tourism Administration, 18</w:t>
      </w:r>
      <w:r w:rsidRPr="008203A6">
        <w:rPr>
          <w:rFonts w:ascii="Arial" w:hAnsi="Arial" w:cs="Arial"/>
        </w:rPr>
        <w:t>(1), 23-40.</w:t>
      </w:r>
    </w:p>
    <w:p w14:paraId="504F9B44"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Klotz, L. &amp; Horman, M. (2008) Impact Of Process Mapping On Transparency. Available At: (PDF) Researchgate.Net ( Accessed On 03/06/2020)</w:t>
      </w:r>
    </w:p>
    <w:p w14:paraId="19046DED" w14:textId="77777777" w:rsidR="005D5270" w:rsidRPr="008203A6" w:rsidRDefault="005D5270" w:rsidP="003B792A">
      <w:pPr>
        <w:spacing w:line="360" w:lineRule="auto"/>
        <w:jc w:val="both"/>
        <w:rPr>
          <w:rFonts w:ascii="Arial" w:hAnsi="Arial" w:cs="Arial"/>
        </w:rPr>
      </w:pPr>
      <w:r w:rsidRPr="008203A6">
        <w:rPr>
          <w:rFonts w:ascii="Arial" w:hAnsi="Arial" w:cs="Arial"/>
        </w:rPr>
        <w:t>Kolb, D.A. (1976). Learning style inventory: Technical manual, Boston, Mass, McBer, U.S.A.</w:t>
      </w:r>
    </w:p>
    <w:p w14:paraId="59F9D7FD" w14:textId="77777777" w:rsidR="005D5270" w:rsidRPr="008203A6" w:rsidRDefault="005D5270" w:rsidP="003B792A">
      <w:pPr>
        <w:spacing w:before="240" w:line="360" w:lineRule="auto"/>
        <w:jc w:val="both"/>
        <w:rPr>
          <w:rFonts w:ascii="Arial" w:hAnsi="Arial" w:cs="Arial"/>
        </w:rPr>
      </w:pPr>
      <w:r w:rsidRPr="008203A6">
        <w:rPr>
          <w:rFonts w:ascii="Arial" w:hAnsi="Arial" w:cs="Arial"/>
        </w:rPr>
        <w:t>Kothari, C. (01). Human Capital, Skills, And Competencies: Varying Effects On Inward Fdi In The Eu Context.</w:t>
      </w:r>
      <w:r w:rsidRPr="008203A6">
        <w:rPr>
          <w:rFonts w:ascii="Arial" w:hAnsi="Arial" w:cs="Arial"/>
          <w:i/>
          <w:iCs/>
        </w:rPr>
        <w:t> International Business Review, 28</w:t>
      </w:r>
      <w:r w:rsidRPr="008203A6">
        <w:rPr>
          <w:rFonts w:ascii="Arial" w:hAnsi="Arial" w:cs="Arial"/>
        </w:rPr>
        <w:t>(2), 375-390.</w:t>
      </w:r>
    </w:p>
    <w:p w14:paraId="0BDDCA79" w14:textId="77777777" w:rsidR="005D5270" w:rsidRPr="008203A6" w:rsidRDefault="005D5270" w:rsidP="003B792A">
      <w:pPr>
        <w:spacing w:before="240" w:line="360" w:lineRule="auto"/>
        <w:jc w:val="both"/>
        <w:rPr>
          <w:rFonts w:ascii="Arial" w:hAnsi="Arial" w:cs="Arial"/>
        </w:rPr>
      </w:pPr>
      <w:r w:rsidRPr="008203A6">
        <w:rPr>
          <w:rFonts w:ascii="Arial" w:hAnsi="Arial" w:cs="Arial"/>
        </w:rPr>
        <w:t>Kotter, J.P (1982) What Effective Managers Do? Harvard Business Review</w:t>
      </w:r>
    </w:p>
    <w:p w14:paraId="56AD2A8B" w14:textId="77777777" w:rsidR="005D5270" w:rsidRPr="008203A6" w:rsidRDefault="005D5270" w:rsidP="003B792A">
      <w:pPr>
        <w:spacing w:line="360" w:lineRule="auto"/>
        <w:jc w:val="both"/>
        <w:rPr>
          <w:rFonts w:ascii="Arial" w:hAnsi="Arial" w:cs="Arial"/>
        </w:rPr>
      </w:pPr>
      <w:r w:rsidRPr="008203A6">
        <w:rPr>
          <w:rFonts w:ascii="Arial" w:hAnsi="Arial" w:cs="Arial"/>
        </w:rPr>
        <w:t>Kraus, A.; Litzenberger, R.H. (1973). "A State-Preference Model Of Optimal Financial Leverage". Journal Of Finance. 28: 911–922. Doi:10.1111/J.1540-6261.1973.Tb01415.X.</w:t>
      </w:r>
    </w:p>
    <w:p w14:paraId="3543E0D5" w14:textId="4CB7E7DA" w:rsidR="005D5270" w:rsidRPr="008203A6" w:rsidRDefault="005D5270" w:rsidP="003B792A">
      <w:pPr>
        <w:spacing w:before="240" w:after="0" w:line="360" w:lineRule="auto"/>
        <w:jc w:val="both"/>
        <w:rPr>
          <w:rFonts w:ascii="Arial" w:hAnsi="Arial" w:cs="Arial"/>
        </w:rPr>
      </w:pPr>
      <w:r w:rsidRPr="008203A6">
        <w:rPr>
          <w:rFonts w:ascii="Arial" w:hAnsi="Arial" w:cs="Arial"/>
        </w:rPr>
        <w:t>Krugman, P., Obstfeld, M. And Melitz, M. (2012) ‘</w:t>
      </w:r>
      <w:r w:rsidRPr="008203A6">
        <w:rPr>
          <w:rFonts w:ascii="Arial" w:hAnsi="Arial" w:cs="Arial"/>
          <w:i/>
          <w:iCs/>
        </w:rPr>
        <w:t>International Economics: Theory And Policy</w:t>
      </w:r>
      <w:r w:rsidRPr="008203A6">
        <w:rPr>
          <w:rFonts w:ascii="Arial" w:hAnsi="Arial" w:cs="Arial"/>
        </w:rPr>
        <w:t>, 9</w:t>
      </w:r>
      <w:r w:rsidRPr="008203A6">
        <w:rPr>
          <w:rFonts w:ascii="Arial" w:hAnsi="Arial" w:cs="Arial"/>
          <w:vertAlign w:val="superscript"/>
        </w:rPr>
        <w:t>th</w:t>
      </w:r>
      <w:r w:rsidRPr="008203A6">
        <w:rPr>
          <w:rFonts w:ascii="Arial" w:hAnsi="Arial" w:cs="Arial"/>
        </w:rPr>
        <w:t xml:space="preserve"> Edition, Harlow: Pearson, Ch. 22</w:t>
      </w:r>
    </w:p>
    <w:p w14:paraId="081525E5" w14:textId="77777777" w:rsidR="005D5270" w:rsidRPr="008203A6" w:rsidRDefault="005D5270" w:rsidP="003B792A">
      <w:pPr>
        <w:spacing w:before="240" w:line="360" w:lineRule="auto"/>
        <w:jc w:val="both"/>
        <w:rPr>
          <w:rFonts w:ascii="Arial" w:hAnsi="Arial" w:cs="Arial"/>
        </w:rPr>
      </w:pPr>
      <w:r w:rsidRPr="008203A6">
        <w:rPr>
          <w:rFonts w:ascii="Arial" w:hAnsi="Arial" w:cs="Arial"/>
        </w:rPr>
        <w:t>Laishram Boeing Singh; Satyanarayana N. Kalidindi (2009). Criteria Influencing Debt Financing Of Indian Ppp Road Projects: A Case Study.  Journal Of Financial Management Of Property And Construction, 2009, Vol. 14, Issue 1, Pp. 34-60.; Emerald Group Publishing Limited, April 17, 2009. Language: English, Database: Emerald Insight</w:t>
      </w:r>
    </w:p>
    <w:p w14:paraId="02CF22B7" w14:textId="464668EB" w:rsidR="00374A37" w:rsidRDefault="005D5270" w:rsidP="003B792A">
      <w:pPr>
        <w:spacing w:line="360" w:lineRule="auto"/>
        <w:jc w:val="both"/>
        <w:rPr>
          <w:rFonts w:ascii="Arial" w:hAnsi="Arial" w:cs="Arial"/>
        </w:rPr>
      </w:pPr>
      <w:r w:rsidRPr="008203A6">
        <w:rPr>
          <w:rFonts w:ascii="Arial" w:hAnsi="Arial" w:cs="Arial"/>
        </w:rPr>
        <w:t>Lam</w:t>
      </w:r>
      <w:r w:rsidR="00374A37">
        <w:rPr>
          <w:rFonts w:ascii="Arial" w:hAnsi="Arial" w:cs="Arial"/>
        </w:rPr>
        <w:t>b</w:t>
      </w:r>
      <w:r w:rsidRPr="008203A6">
        <w:rPr>
          <w:rFonts w:ascii="Arial" w:hAnsi="Arial" w:cs="Arial"/>
        </w:rPr>
        <w:t xml:space="preserve">, L., Becker, G.V., Nunes, M.P. (2017) The Strategic Decision- Making Process In Mergers </w:t>
      </w:r>
      <w:r w:rsidR="00D947F5">
        <w:rPr>
          <w:rFonts w:ascii="Arial" w:hAnsi="Arial" w:cs="Arial"/>
        </w:rPr>
        <w:t>a</w:t>
      </w:r>
      <w:r w:rsidRPr="008203A6">
        <w:rPr>
          <w:rFonts w:ascii="Arial" w:hAnsi="Arial" w:cs="Arial"/>
        </w:rPr>
        <w:t>nd Acquisitions: The Perspective Of Acquired Companies From South Brazil. Available</w:t>
      </w:r>
      <w:r w:rsidR="00374A37">
        <w:rPr>
          <w:rFonts w:ascii="Arial" w:hAnsi="Arial" w:cs="Arial"/>
        </w:rPr>
        <w:t xml:space="preserve"> </w:t>
      </w:r>
      <w:r w:rsidRPr="008203A6">
        <w:rPr>
          <w:rFonts w:ascii="Arial" w:hAnsi="Arial" w:cs="Arial"/>
        </w:rPr>
        <w:t xml:space="preserve">At: </w:t>
      </w:r>
      <w:hyperlink r:id="rId124" w:history="1">
        <w:r w:rsidR="00374A37" w:rsidRPr="001E7DE4">
          <w:rPr>
            <w:rStyle w:val="Hyperlink"/>
            <w:rFonts w:ascii="Arial" w:hAnsi="Arial" w:cs="Arial"/>
          </w:rPr>
          <w:t>https://www.semanticscholar.org/paper/The-Strategic-Decision-Making-Process-in-Mergers-of-Lamb-Becker/3d8cdc871113d43e59f437778e9b0badfcab70d2</w:t>
        </w:r>
      </w:hyperlink>
      <w:r w:rsidR="00374A37">
        <w:rPr>
          <w:rFonts w:ascii="Arial" w:hAnsi="Arial" w:cs="Arial"/>
        </w:rPr>
        <w:t xml:space="preserve"> </w:t>
      </w:r>
    </w:p>
    <w:p w14:paraId="2E5B85DA" w14:textId="5B6EDD53" w:rsidR="005D5270" w:rsidRPr="008203A6" w:rsidRDefault="005D5270" w:rsidP="003B792A">
      <w:pPr>
        <w:spacing w:line="360" w:lineRule="auto"/>
        <w:jc w:val="both"/>
        <w:rPr>
          <w:rFonts w:ascii="Arial" w:hAnsi="Arial" w:cs="Arial"/>
        </w:rPr>
      </w:pPr>
      <w:r w:rsidRPr="008203A6">
        <w:rPr>
          <w:rFonts w:ascii="Arial" w:hAnsi="Arial" w:cs="Arial"/>
        </w:rPr>
        <w:t>( Accessed On 04/06/2020).</w:t>
      </w:r>
    </w:p>
    <w:p w14:paraId="082AD6DD" w14:textId="77777777" w:rsidR="005D5270" w:rsidRPr="008203A6" w:rsidRDefault="005D5270" w:rsidP="003B792A">
      <w:pPr>
        <w:spacing w:before="240" w:line="360" w:lineRule="auto"/>
        <w:jc w:val="both"/>
        <w:rPr>
          <w:rFonts w:ascii="Arial" w:hAnsi="Arial" w:cs="Arial"/>
        </w:rPr>
      </w:pPr>
      <w:r w:rsidRPr="008203A6">
        <w:rPr>
          <w:rFonts w:ascii="Arial" w:hAnsi="Arial" w:cs="Arial"/>
        </w:rPr>
        <w:t>Lam, P. T. I., Chiang, Y. H. &amp; Chan, S. H. (2011). Critical Success Factors For Bond Financing Of Construction Projects In Asia.</w:t>
      </w:r>
      <w:r w:rsidRPr="008203A6">
        <w:rPr>
          <w:rFonts w:ascii="Arial" w:hAnsi="Arial" w:cs="Arial"/>
          <w:i/>
          <w:iCs/>
        </w:rPr>
        <w:t> Journal Of Management In Engineering, 27</w:t>
      </w:r>
      <w:r w:rsidRPr="008203A6">
        <w:rPr>
          <w:rFonts w:ascii="Arial" w:hAnsi="Arial" w:cs="Arial"/>
        </w:rPr>
        <w:t>(4), 190-199</w:t>
      </w:r>
    </w:p>
    <w:p w14:paraId="6E818784"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Lam, P.T.I and Law, A.O.K (2016). Crowdfunding for renewable and sustainable energy projects: An exploratory case study approach, renewable and sustainable energy reviews, July 2016, 60, pp.11-20. DOI: </w:t>
      </w:r>
      <w:hyperlink r:id="rId125" w:history="1">
        <w:r w:rsidRPr="008203A6">
          <w:rPr>
            <w:rStyle w:val="Hyperlink"/>
            <w:rFonts w:ascii="Arial" w:hAnsi="Arial" w:cs="Arial"/>
            <w:color w:val="auto"/>
          </w:rPr>
          <w:t>http://dx.doi.org/10.1016/</w:t>
        </w:r>
      </w:hyperlink>
      <w:r w:rsidRPr="008203A6">
        <w:rPr>
          <w:rFonts w:ascii="Arial" w:hAnsi="Arial" w:cs="Arial"/>
        </w:rPr>
        <w:t xml:space="preserve"> j.rser.206.01.046</w:t>
      </w:r>
    </w:p>
    <w:p w14:paraId="7A38CBBC"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Lapier, T.W., (1995) Real Estate Advisory Services: Growth And Competition In Japan, Europe, And United States, 1960 – 1990. A Thesis Submitted For The Degree Of Doctor Of Philosophy At The London School Of Economics And Political Science, University Of London. </w:t>
      </w:r>
      <w:r w:rsidRPr="008203A6">
        <w:rPr>
          <w:rFonts w:ascii="Arial" w:hAnsi="Arial" w:cs="Arial"/>
        </w:rPr>
        <w:lastRenderedPageBreak/>
        <w:t xml:space="preserve">Available At: </w:t>
      </w:r>
      <w:hyperlink r:id="rId126" w:history="1">
        <w:r w:rsidRPr="008203A6">
          <w:rPr>
            <w:rFonts w:ascii="Arial" w:hAnsi="Arial" w:cs="Arial"/>
            <w:u w:val="single"/>
          </w:rPr>
          <w:t>Http://Etheses.Lse.Ac.Uk/1429/1/U087133.Pdf</w:t>
        </w:r>
      </w:hyperlink>
      <w:r w:rsidRPr="008203A6">
        <w:rPr>
          <w:rFonts w:ascii="Arial" w:hAnsi="Arial" w:cs="Arial"/>
        </w:rPr>
        <w:t xml:space="preserve"> (Accessed On 5th January 2019).</w:t>
      </w:r>
    </w:p>
    <w:p w14:paraId="6FECE401"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Lawal, A.I., Nwanji, T.I., Asaleye, A. and Ahmed, V., 2016. Economic growth, financial development and trade openness in Nigeria: An application of the ARDL bound testing approach. </w:t>
      </w:r>
      <w:r w:rsidRPr="008203A6">
        <w:rPr>
          <w:rFonts w:ascii="Arial" w:hAnsi="Arial" w:cs="Arial"/>
          <w:i/>
          <w:iCs/>
          <w:shd w:val="clear" w:color="auto" w:fill="FFFFFF"/>
        </w:rPr>
        <w:t>Cogent Economics &amp; Finance</w:t>
      </w:r>
      <w:r w:rsidRPr="008203A6">
        <w:rPr>
          <w:rFonts w:ascii="Arial" w:hAnsi="Arial" w:cs="Arial"/>
          <w:shd w:val="clear" w:color="auto" w:fill="FFFFFF"/>
        </w:rPr>
        <w:t>, </w:t>
      </w:r>
      <w:r w:rsidRPr="008203A6">
        <w:rPr>
          <w:rFonts w:ascii="Arial" w:hAnsi="Arial" w:cs="Arial"/>
          <w:i/>
          <w:iCs/>
          <w:shd w:val="clear" w:color="auto" w:fill="FFFFFF"/>
        </w:rPr>
        <w:t>4</w:t>
      </w:r>
      <w:r w:rsidRPr="008203A6">
        <w:rPr>
          <w:rFonts w:ascii="Arial" w:hAnsi="Arial" w:cs="Arial"/>
          <w:shd w:val="clear" w:color="auto" w:fill="FFFFFF"/>
        </w:rPr>
        <w:t>(1), p.1258810.</w:t>
      </w:r>
    </w:p>
    <w:p w14:paraId="6DF3EC2D"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Lawal, A.I., Somoye, R.O. and Babajide, A.A., 2016. Impact of oil price shocks and exchange rate volatility on stock market behavior in Nigeria. </w:t>
      </w:r>
      <w:r w:rsidRPr="008203A6">
        <w:rPr>
          <w:rFonts w:ascii="Arial" w:hAnsi="Arial" w:cs="Arial"/>
          <w:i/>
          <w:iCs/>
          <w:shd w:val="clear" w:color="auto" w:fill="FFFFFF"/>
        </w:rPr>
        <w:t>Binus Business Review</w:t>
      </w:r>
      <w:r w:rsidRPr="008203A6">
        <w:rPr>
          <w:rFonts w:ascii="Arial" w:hAnsi="Arial" w:cs="Arial"/>
          <w:shd w:val="clear" w:color="auto" w:fill="FFFFFF"/>
        </w:rPr>
        <w:t>, </w:t>
      </w:r>
      <w:r w:rsidRPr="008203A6">
        <w:rPr>
          <w:rFonts w:ascii="Arial" w:hAnsi="Arial" w:cs="Arial"/>
          <w:i/>
          <w:iCs/>
          <w:shd w:val="clear" w:color="auto" w:fill="FFFFFF"/>
        </w:rPr>
        <w:t>7</w:t>
      </w:r>
      <w:r w:rsidRPr="008203A6">
        <w:rPr>
          <w:rFonts w:ascii="Arial" w:hAnsi="Arial" w:cs="Arial"/>
          <w:shd w:val="clear" w:color="auto" w:fill="FFFFFF"/>
        </w:rPr>
        <w:t>(2), pp.171-177.</w:t>
      </w:r>
    </w:p>
    <w:p w14:paraId="41B87741"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Lawal, F.A., Worlu, R.E. and Ayoade, O.E., 2016. Critical success factors for sustainable entrepreneurship in SMEs: Nigerian perspective. </w:t>
      </w:r>
      <w:r w:rsidRPr="008203A6">
        <w:rPr>
          <w:rFonts w:ascii="Arial" w:hAnsi="Arial" w:cs="Arial"/>
          <w:i/>
          <w:iCs/>
          <w:shd w:val="clear" w:color="auto" w:fill="FFFFFF"/>
        </w:rPr>
        <w:t>Mediterranean Journal of Social Sciences</w:t>
      </w:r>
      <w:r w:rsidRPr="008203A6">
        <w:rPr>
          <w:rFonts w:ascii="Arial" w:hAnsi="Arial" w:cs="Arial"/>
          <w:shd w:val="clear" w:color="auto" w:fill="FFFFFF"/>
        </w:rPr>
        <w:t>, </w:t>
      </w:r>
      <w:r w:rsidRPr="008203A6">
        <w:rPr>
          <w:rFonts w:ascii="Arial" w:hAnsi="Arial" w:cs="Arial"/>
          <w:i/>
          <w:iCs/>
          <w:shd w:val="clear" w:color="auto" w:fill="FFFFFF"/>
        </w:rPr>
        <w:t>7</w:t>
      </w:r>
      <w:r w:rsidRPr="008203A6">
        <w:rPr>
          <w:rFonts w:ascii="Arial" w:hAnsi="Arial" w:cs="Arial"/>
          <w:shd w:val="clear" w:color="auto" w:fill="FFFFFF"/>
        </w:rPr>
        <w:t>(3 S1), p.338.</w:t>
      </w:r>
    </w:p>
    <w:p w14:paraId="5CC3CAA9"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Le, T.P.V. and Phan, T.B.N., (2017). Capital structure and firm performance: Empirical evidence from a small transition country. </w:t>
      </w:r>
      <w:r w:rsidRPr="008203A6">
        <w:rPr>
          <w:rFonts w:ascii="Arial" w:hAnsi="Arial" w:cs="Arial"/>
          <w:i/>
          <w:iCs/>
          <w:shd w:val="clear" w:color="auto" w:fill="FFFFFF"/>
        </w:rPr>
        <w:t>Research in international business and finance</w:t>
      </w:r>
      <w:r w:rsidRPr="008203A6">
        <w:rPr>
          <w:rFonts w:ascii="Arial" w:hAnsi="Arial" w:cs="Arial"/>
          <w:shd w:val="clear" w:color="auto" w:fill="FFFFFF"/>
        </w:rPr>
        <w:t>, </w:t>
      </w:r>
      <w:r w:rsidRPr="008203A6">
        <w:rPr>
          <w:rFonts w:ascii="Arial" w:hAnsi="Arial" w:cs="Arial"/>
          <w:i/>
          <w:iCs/>
          <w:shd w:val="clear" w:color="auto" w:fill="FFFFFF"/>
        </w:rPr>
        <w:t>42</w:t>
      </w:r>
      <w:r w:rsidRPr="008203A6">
        <w:rPr>
          <w:rFonts w:ascii="Arial" w:hAnsi="Arial" w:cs="Arial"/>
          <w:shd w:val="clear" w:color="auto" w:fill="FFFFFF"/>
        </w:rPr>
        <w:t>, pp.710-726.</w:t>
      </w:r>
    </w:p>
    <w:p w14:paraId="5E428B43"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Le, T.T.T. And Ooni, J.T.L (2012) Financial Structure Of Property Companies And Capital Development. Journal Of European Real Estate Research, 1(3), 235 -253</w:t>
      </w:r>
    </w:p>
    <w:p w14:paraId="39E56953" w14:textId="77777777" w:rsidR="005D5270" w:rsidRPr="008203A6" w:rsidRDefault="005D5270" w:rsidP="003B792A">
      <w:pPr>
        <w:spacing w:before="240" w:line="360" w:lineRule="auto"/>
        <w:jc w:val="both"/>
        <w:rPr>
          <w:rFonts w:ascii="Arial" w:hAnsi="Arial" w:cs="Arial"/>
        </w:rPr>
      </w:pPr>
      <w:r w:rsidRPr="008203A6">
        <w:rPr>
          <w:rFonts w:ascii="Arial" w:hAnsi="Arial" w:cs="Arial"/>
        </w:rPr>
        <w:t>Le. T.P.V and Phan, T.B.N. (2017) Capital Structure And Firm’s Performance: Empirical Evidence From A Small Transition Country, Research In International Business And Finance, 42, Pp 710-726</w:t>
      </w:r>
    </w:p>
    <w:p w14:paraId="310662C7"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Lee, C. (2019), "Financing Method For Real Estate And Infrastructure Development Using Markowitz’s Portfolio Selection Model And The Monte Carlo Simulation", Engineering, Construction And Architectural Management, Vol. 26 No. 9, Pp. 2008-2022. </w:t>
      </w:r>
      <w:hyperlink r:id="rId127" w:history="1">
        <w:r w:rsidRPr="008203A6">
          <w:rPr>
            <w:rStyle w:val="Hyperlink"/>
            <w:rFonts w:ascii="Arial" w:hAnsi="Arial" w:cs="Arial"/>
            <w:color w:val="auto"/>
          </w:rPr>
          <w:t>Https://0-Doi-Org.Lispac.Lsbu.Ac.Uk/10.1108/Ecam-10-2018-0440</w:t>
        </w:r>
      </w:hyperlink>
    </w:p>
    <w:p w14:paraId="5D084D06" w14:textId="77777777" w:rsidR="005D5270" w:rsidRPr="008203A6" w:rsidRDefault="005D5270" w:rsidP="003B792A">
      <w:pPr>
        <w:tabs>
          <w:tab w:val="num" w:pos="1418"/>
        </w:tabs>
        <w:spacing w:before="240" w:line="360" w:lineRule="auto"/>
        <w:jc w:val="both"/>
        <w:rPr>
          <w:rFonts w:ascii="Arial" w:hAnsi="Arial" w:cs="Arial"/>
        </w:rPr>
      </w:pPr>
      <w:r w:rsidRPr="008203A6">
        <w:rPr>
          <w:rFonts w:ascii="Arial" w:hAnsi="Arial" w:cs="Arial"/>
        </w:rPr>
        <w:t>Leedy, P. D., And Ormrod, J. E. (2015) </w:t>
      </w:r>
      <w:r w:rsidRPr="008203A6">
        <w:rPr>
          <w:rFonts w:ascii="Arial" w:hAnsi="Arial" w:cs="Arial"/>
          <w:iCs/>
        </w:rPr>
        <w:t>Practical Research: Planning And Design. </w:t>
      </w:r>
      <w:r w:rsidRPr="008203A6">
        <w:rPr>
          <w:rFonts w:ascii="Arial" w:hAnsi="Arial" w:cs="Arial"/>
        </w:rPr>
        <w:t>Eleventh; Global Ed. Harlow: Pearson Education.</w:t>
      </w:r>
    </w:p>
    <w:p w14:paraId="227FCC21"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Leinberger, C.B., ( 2007). </w:t>
      </w:r>
      <w:r w:rsidRPr="008203A6">
        <w:rPr>
          <w:rFonts w:ascii="Arial" w:hAnsi="Arial" w:cs="Arial"/>
          <w:i/>
          <w:iCs/>
          <w:shd w:val="clear" w:color="auto" w:fill="FFFFFF"/>
        </w:rPr>
        <w:t>Back to the future: the need for patient equity in real estate development finance</w:t>
      </w:r>
      <w:r w:rsidRPr="008203A6">
        <w:rPr>
          <w:rFonts w:ascii="Arial" w:hAnsi="Arial" w:cs="Arial"/>
          <w:shd w:val="clear" w:color="auto" w:fill="FFFFFF"/>
        </w:rPr>
        <w:t>. Washington, DC: Brookings Institution.</w:t>
      </w:r>
    </w:p>
    <w:p w14:paraId="1BC6C583"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Leinberger, C.B., (2007). Financing Walkable Urbane Projects. </w:t>
      </w:r>
      <w:r w:rsidRPr="008203A6">
        <w:rPr>
          <w:rFonts w:ascii="Arial" w:hAnsi="Arial" w:cs="Arial"/>
          <w:i/>
          <w:iCs/>
          <w:shd w:val="clear" w:color="auto" w:fill="FFFFFF"/>
        </w:rPr>
        <w:t>Urban Land</w:t>
      </w:r>
      <w:r w:rsidRPr="008203A6">
        <w:rPr>
          <w:rFonts w:ascii="Arial" w:hAnsi="Arial" w:cs="Arial"/>
          <w:shd w:val="clear" w:color="auto" w:fill="FFFFFF"/>
        </w:rPr>
        <w:t>, </w:t>
      </w:r>
      <w:r w:rsidRPr="008203A6">
        <w:rPr>
          <w:rFonts w:ascii="Arial" w:hAnsi="Arial" w:cs="Arial"/>
          <w:i/>
          <w:iCs/>
          <w:shd w:val="clear" w:color="auto" w:fill="FFFFFF"/>
        </w:rPr>
        <w:t>66</w:t>
      </w:r>
      <w:r w:rsidRPr="008203A6">
        <w:rPr>
          <w:rFonts w:ascii="Arial" w:hAnsi="Arial" w:cs="Arial"/>
          <w:shd w:val="clear" w:color="auto" w:fill="FFFFFF"/>
        </w:rPr>
        <w:t>(1), p.122.</w:t>
      </w:r>
    </w:p>
    <w:p w14:paraId="3393FCEB"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Lester, T.W., (2014). Does Chicago’s tax increment financing (TIF) programme pass the ‘but-for’test? Job creation and economic development impacts using time-series data. </w:t>
      </w:r>
      <w:r w:rsidRPr="008203A6">
        <w:rPr>
          <w:rFonts w:ascii="Arial" w:hAnsi="Arial" w:cs="Arial"/>
          <w:i/>
          <w:iCs/>
          <w:shd w:val="clear" w:color="auto" w:fill="FFFFFF"/>
        </w:rPr>
        <w:t>Urban Studies</w:t>
      </w:r>
      <w:r w:rsidRPr="008203A6">
        <w:rPr>
          <w:rFonts w:ascii="Arial" w:hAnsi="Arial" w:cs="Arial"/>
          <w:shd w:val="clear" w:color="auto" w:fill="FFFFFF"/>
        </w:rPr>
        <w:t>, </w:t>
      </w:r>
      <w:r w:rsidRPr="008203A6">
        <w:rPr>
          <w:rFonts w:ascii="Arial" w:hAnsi="Arial" w:cs="Arial"/>
          <w:i/>
          <w:iCs/>
          <w:shd w:val="clear" w:color="auto" w:fill="FFFFFF"/>
        </w:rPr>
        <w:t>51</w:t>
      </w:r>
      <w:r w:rsidRPr="008203A6">
        <w:rPr>
          <w:rFonts w:ascii="Arial" w:hAnsi="Arial" w:cs="Arial"/>
          <w:shd w:val="clear" w:color="auto" w:fill="FFFFFF"/>
        </w:rPr>
        <w:t>(4), pp.655-674.</w:t>
      </w:r>
    </w:p>
    <w:p w14:paraId="4F5AA467" w14:textId="77777777" w:rsidR="005D5270" w:rsidRPr="008203A6" w:rsidRDefault="005D5270" w:rsidP="003B792A">
      <w:pPr>
        <w:tabs>
          <w:tab w:val="left" w:pos="720"/>
        </w:tabs>
        <w:spacing w:before="240" w:line="360" w:lineRule="auto"/>
        <w:jc w:val="both"/>
        <w:rPr>
          <w:rFonts w:ascii="Arial" w:hAnsi="Arial" w:cs="Arial"/>
        </w:rPr>
      </w:pPr>
      <w:r w:rsidRPr="008203A6">
        <w:rPr>
          <w:rFonts w:ascii="Arial" w:hAnsi="Arial" w:cs="Arial"/>
        </w:rPr>
        <w:lastRenderedPageBreak/>
        <w:t>Levi M D (2009) ‘</w:t>
      </w:r>
      <w:r w:rsidRPr="008203A6">
        <w:rPr>
          <w:rFonts w:ascii="Arial" w:hAnsi="Arial" w:cs="Arial"/>
          <w:i/>
          <w:iCs/>
        </w:rPr>
        <w:t>International Finance</w:t>
      </w:r>
      <w:r w:rsidRPr="008203A6">
        <w:rPr>
          <w:rFonts w:ascii="Arial" w:hAnsi="Arial" w:cs="Arial"/>
        </w:rPr>
        <w:t>’, 5</w:t>
      </w:r>
      <w:r w:rsidRPr="008203A6">
        <w:rPr>
          <w:rFonts w:ascii="Arial" w:hAnsi="Arial" w:cs="Arial"/>
          <w:vertAlign w:val="superscript"/>
        </w:rPr>
        <w:t>th</w:t>
      </w:r>
      <w:r w:rsidRPr="008203A6">
        <w:rPr>
          <w:rFonts w:ascii="Arial" w:hAnsi="Arial" w:cs="Arial"/>
        </w:rPr>
        <w:t xml:space="preserve"> Edition, London, Routledge.</w:t>
      </w:r>
    </w:p>
    <w:p w14:paraId="6361E5DF" w14:textId="23A0F3CF"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Li, H., Liu, Y. and Peng, K., 2018. Characterizing the relationship between road infrastructure and local economy using structural equation mode</w:t>
      </w:r>
      <w:r w:rsidR="00D947F5">
        <w:rPr>
          <w:rFonts w:ascii="Arial" w:hAnsi="Arial" w:cs="Arial"/>
          <w:shd w:val="clear" w:color="auto" w:fill="FFFFFF"/>
        </w:rPr>
        <w:t>l</w:t>
      </w:r>
      <w:r w:rsidRPr="008203A6">
        <w:rPr>
          <w:rFonts w:ascii="Arial" w:hAnsi="Arial" w:cs="Arial"/>
          <w:shd w:val="clear" w:color="auto" w:fill="FFFFFF"/>
        </w:rPr>
        <w:t>ling. </w:t>
      </w:r>
      <w:r w:rsidRPr="008203A6">
        <w:rPr>
          <w:rFonts w:ascii="Arial" w:hAnsi="Arial" w:cs="Arial"/>
          <w:i/>
          <w:iCs/>
          <w:shd w:val="clear" w:color="auto" w:fill="FFFFFF"/>
        </w:rPr>
        <w:t>Transport Policy</w:t>
      </w:r>
      <w:r w:rsidRPr="008203A6">
        <w:rPr>
          <w:rFonts w:ascii="Arial" w:hAnsi="Arial" w:cs="Arial"/>
          <w:shd w:val="clear" w:color="auto" w:fill="FFFFFF"/>
        </w:rPr>
        <w:t>, </w:t>
      </w:r>
      <w:r w:rsidRPr="008203A6">
        <w:rPr>
          <w:rFonts w:ascii="Arial" w:hAnsi="Arial" w:cs="Arial"/>
          <w:i/>
          <w:iCs/>
          <w:shd w:val="clear" w:color="auto" w:fill="FFFFFF"/>
        </w:rPr>
        <w:t>61</w:t>
      </w:r>
      <w:r w:rsidRPr="008203A6">
        <w:rPr>
          <w:rFonts w:ascii="Arial" w:hAnsi="Arial" w:cs="Arial"/>
          <w:shd w:val="clear" w:color="auto" w:fill="FFFFFF"/>
        </w:rPr>
        <w:t>, pp.17-25.</w:t>
      </w:r>
    </w:p>
    <w:p w14:paraId="3DBC8FC7"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Li, M., Bao, Z., Sellis, T., Yan, S. and Zhang, R., (2018). HomeSeeker: A visual analytics system of real estate data. </w:t>
      </w:r>
      <w:r w:rsidRPr="008203A6">
        <w:rPr>
          <w:rFonts w:ascii="Arial" w:hAnsi="Arial" w:cs="Arial"/>
          <w:i/>
          <w:iCs/>
          <w:shd w:val="clear" w:color="auto" w:fill="FFFFFF"/>
        </w:rPr>
        <w:t>Journal of Visual Languages &amp; Computing</w:t>
      </w:r>
      <w:r w:rsidRPr="008203A6">
        <w:rPr>
          <w:rFonts w:ascii="Arial" w:hAnsi="Arial" w:cs="Arial"/>
          <w:shd w:val="clear" w:color="auto" w:fill="FFFFFF"/>
        </w:rPr>
        <w:t>, </w:t>
      </w:r>
      <w:r w:rsidRPr="008203A6">
        <w:rPr>
          <w:rFonts w:ascii="Arial" w:hAnsi="Arial" w:cs="Arial"/>
          <w:i/>
          <w:iCs/>
          <w:shd w:val="clear" w:color="auto" w:fill="FFFFFF"/>
        </w:rPr>
        <w:t>45</w:t>
      </w:r>
      <w:r w:rsidRPr="008203A6">
        <w:rPr>
          <w:rFonts w:ascii="Arial" w:hAnsi="Arial" w:cs="Arial"/>
          <w:shd w:val="clear" w:color="auto" w:fill="FFFFFF"/>
        </w:rPr>
        <w:t>, pp.1-16.</w:t>
      </w:r>
    </w:p>
    <w:p w14:paraId="05E49120"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Lieser, K. and Groh, A.P., (2010). Heading Down Route 66: How Do the 66 Investable Real Estate Markets Around the World Measure Up for Institutional Investors?. </w:t>
      </w:r>
      <w:r w:rsidRPr="008203A6">
        <w:rPr>
          <w:rFonts w:ascii="Arial" w:hAnsi="Arial" w:cs="Arial"/>
          <w:i/>
          <w:iCs/>
          <w:shd w:val="clear" w:color="auto" w:fill="FFFFFF"/>
        </w:rPr>
        <w:t>The Institutional Real Estate Letter</w:t>
      </w:r>
      <w:r w:rsidRPr="008203A6">
        <w:rPr>
          <w:rFonts w:ascii="Arial" w:hAnsi="Arial" w:cs="Arial"/>
          <w:shd w:val="clear" w:color="auto" w:fill="FFFFFF"/>
        </w:rPr>
        <w:t>, </w:t>
      </w:r>
      <w:r w:rsidRPr="008203A6">
        <w:rPr>
          <w:rFonts w:ascii="Arial" w:hAnsi="Arial" w:cs="Arial"/>
          <w:i/>
          <w:iCs/>
          <w:shd w:val="clear" w:color="auto" w:fill="FFFFFF"/>
        </w:rPr>
        <w:t>4</w:t>
      </w:r>
      <w:r w:rsidRPr="008203A6">
        <w:rPr>
          <w:rFonts w:ascii="Arial" w:hAnsi="Arial" w:cs="Arial"/>
          <w:shd w:val="clear" w:color="auto" w:fill="FFFFFF"/>
        </w:rPr>
        <w:t>(10).</w:t>
      </w:r>
    </w:p>
    <w:p w14:paraId="2CA02535"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Liu, C. and Xiong, W., (2018). </w:t>
      </w:r>
      <w:r w:rsidRPr="008203A6">
        <w:rPr>
          <w:rFonts w:ascii="Arial" w:hAnsi="Arial" w:cs="Arial"/>
          <w:i/>
          <w:iCs/>
          <w:shd w:val="clear" w:color="auto" w:fill="FFFFFF"/>
        </w:rPr>
        <w:t>China's Real Estate Market</w:t>
      </w:r>
      <w:r w:rsidRPr="008203A6">
        <w:rPr>
          <w:rFonts w:ascii="Arial" w:hAnsi="Arial" w:cs="Arial"/>
          <w:shd w:val="clear" w:color="auto" w:fill="FFFFFF"/>
        </w:rPr>
        <w:t> (No. w25297). National Bureau of Economic Research.</w:t>
      </w:r>
    </w:p>
    <w:p w14:paraId="16C03F05" w14:textId="77777777" w:rsidR="005D5270" w:rsidRPr="008203A6" w:rsidRDefault="005D5270" w:rsidP="003B792A">
      <w:pPr>
        <w:spacing w:line="360" w:lineRule="auto"/>
        <w:jc w:val="both"/>
        <w:rPr>
          <w:rFonts w:ascii="Arial" w:hAnsi="Arial" w:cs="Arial"/>
          <w:lang w:val="en-US"/>
        </w:rPr>
      </w:pPr>
      <w:r w:rsidRPr="008203A6">
        <w:rPr>
          <w:rFonts w:ascii="Arial" w:hAnsi="Arial" w:cs="Arial"/>
          <w:lang w:val="en-US"/>
        </w:rPr>
        <w:t>Liu, T., (2004)</w:t>
      </w:r>
      <w:r w:rsidRPr="008203A6">
        <w:rPr>
          <w:rFonts w:ascii="Arial" w:hAnsi="Arial" w:cs="Arial"/>
        </w:rPr>
        <w:t xml:space="preserve"> China’s Real Estate Finance And Policy Implications,</w:t>
      </w:r>
      <w:r w:rsidRPr="008203A6">
        <w:rPr>
          <w:rFonts w:ascii="Arial" w:hAnsi="Arial" w:cs="Arial"/>
          <w:lang w:val="en-US"/>
        </w:rPr>
        <w:t xml:space="preserve"> Jiangxi. Available At: </w:t>
      </w:r>
      <w:hyperlink r:id="rId128" w:history="1">
        <w:r w:rsidRPr="008203A6">
          <w:rPr>
            <w:rStyle w:val="Hyperlink"/>
            <w:rFonts w:ascii="Arial" w:hAnsi="Arial" w:cs="Arial"/>
            <w:color w:val="auto"/>
          </w:rPr>
          <w:t>Https://Www.Bis.Org/Review/R040820e.Pdf</w:t>
        </w:r>
      </w:hyperlink>
      <w:r w:rsidRPr="008203A6">
        <w:rPr>
          <w:rFonts w:ascii="Arial" w:hAnsi="Arial" w:cs="Arial"/>
          <w:lang w:val="en-US"/>
        </w:rPr>
        <w:t xml:space="preserve"> ( Accessed On 10/12/2019)</w:t>
      </w:r>
    </w:p>
    <w:p w14:paraId="683E5158" w14:textId="77777777" w:rsidR="005D5270" w:rsidRPr="008203A6" w:rsidRDefault="005D5270" w:rsidP="003B792A">
      <w:pPr>
        <w:spacing w:before="240" w:line="360" w:lineRule="auto"/>
        <w:jc w:val="both"/>
        <w:rPr>
          <w:rFonts w:ascii="Arial" w:hAnsi="Arial" w:cs="Arial"/>
        </w:rPr>
      </w:pPr>
      <w:r w:rsidRPr="008203A6">
        <w:rPr>
          <w:rFonts w:ascii="Arial" w:hAnsi="Arial" w:cs="Arial"/>
        </w:rPr>
        <w:t>Lok, S. H. (2006). Role Of Fiscal And Monetary Policy.</w:t>
      </w:r>
      <w:r w:rsidRPr="008203A6">
        <w:rPr>
          <w:rFonts w:ascii="Arial" w:hAnsi="Arial" w:cs="Arial"/>
          <w:i/>
          <w:iCs/>
        </w:rPr>
        <w:t> Pacific Economic Review, 11</w:t>
      </w:r>
      <w:r w:rsidRPr="008203A6">
        <w:rPr>
          <w:rFonts w:ascii="Arial" w:hAnsi="Arial" w:cs="Arial"/>
        </w:rPr>
        <w:t>(1), 121-127.</w:t>
      </w:r>
    </w:p>
    <w:p w14:paraId="39C39574"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Loo, W.K., Anuar, M.A. and Ramakrishnan, S., ( 2016). Integration between the Asian REIT markets and macroeconomic variables. </w:t>
      </w:r>
      <w:r w:rsidRPr="008203A6">
        <w:rPr>
          <w:rFonts w:ascii="Arial" w:hAnsi="Arial" w:cs="Arial"/>
          <w:i/>
          <w:iCs/>
          <w:shd w:val="clear" w:color="auto" w:fill="FFFFFF"/>
        </w:rPr>
        <w:t>Journal of Property Investment &amp; Finance</w:t>
      </w:r>
      <w:r w:rsidRPr="008203A6">
        <w:rPr>
          <w:rFonts w:ascii="Arial" w:hAnsi="Arial" w:cs="Arial"/>
          <w:shd w:val="clear" w:color="auto" w:fill="FFFFFF"/>
        </w:rPr>
        <w:t>.</w:t>
      </w:r>
    </w:p>
    <w:p w14:paraId="1F495FFB"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Louise, S. (2019) The Macroeconomics Of Residential Investment Factors Economic Essay. Available At: </w:t>
      </w:r>
      <w:hyperlink r:id="rId129" w:history="1">
        <w:r w:rsidRPr="008203A6">
          <w:rPr>
            <w:rStyle w:val="Hyperlink"/>
            <w:rFonts w:ascii="Arial" w:hAnsi="Arial" w:cs="Arial"/>
            <w:color w:val="auto"/>
          </w:rPr>
          <w:t>Https://Www.Uniassignment.Com/Essay-Samples/Economics/The-Macroeconomics-Of-Residential-Investment-Factors-Economics-Essay.Php</w:t>
        </w:r>
      </w:hyperlink>
      <w:r w:rsidRPr="008203A6">
        <w:rPr>
          <w:rFonts w:ascii="Arial" w:hAnsi="Arial" w:cs="Arial"/>
        </w:rPr>
        <w:t xml:space="preserve"> (Accessed On 22</w:t>
      </w:r>
      <w:r w:rsidRPr="008203A6">
        <w:rPr>
          <w:rFonts w:ascii="Arial" w:hAnsi="Arial" w:cs="Arial"/>
          <w:vertAlign w:val="superscript"/>
        </w:rPr>
        <w:t>nd</w:t>
      </w:r>
      <w:r w:rsidRPr="008203A6">
        <w:rPr>
          <w:rFonts w:ascii="Arial" w:hAnsi="Arial" w:cs="Arial"/>
        </w:rPr>
        <w:t xml:space="preserve"> March 2019). </w:t>
      </w:r>
    </w:p>
    <w:p w14:paraId="5CF3D5AE"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Lu, Y.C., Chang, T. and Wei, Y.C., (2007). An Empirical Note on Testing the Co-integration Relationship between the Real Estate and Stock Markets in Taiwan. </w:t>
      </w:r>
      <w:r w:rsidRPr="008203A6">
        <w:rPr>
          <w:rFonts w:ascii="Arial" w:hAnsi="Arial" w:cs="Arial"/>
          <w:i/>
          <w:iCs/>
          <w:shd w:val="clear" w:color="auto" w:fill="FFFFFF"/>
        </w:rPr>
        <w:t>Economics Bulletin</w:t>
      </w:r>
      <w:r w:rsidRPr="008203A6">
        <w:rPr>
          <w:rFonts w:ascii="Arial" w:hAnsi="Arial" w:cs="Arial"/>
          <w:shd w:val="clear" w:color="auto" w:fill="FFFFFF"/>
        </w:rPr>
        <w:t>, </w:t>
      </w:r>
      <w:r w:rsidRPr="008203A6">
        <w:rPr>
          <w:rFonts w:ascii="Arial" w:hAnsi="Arial" w:cs="Arial"/>
          <w:i/>
          <w:iCs/>
          <w:shd w:val="clear" w:color="auto" w:fill="FFFFFF"/>
        </w:rPr>
        <w:t>3</w:t>
      </w:r>
      <w:r w:rsidRPr="008203A6">
        <w:rPr>
          <w:rFonts w:ascii="Arial" w:hAnsi="Arial" w:cs="Arial"/>
          <w:shd w:val="clear" w:color="auto" w:fill="FFFFFF"/>
        </w:rPr>
        <w:t>(45), pp.1-11.</w:t>
      </w:r>
    </w:p>
    <w:p w14:paraId="11596894" w14:textId="77777777" w:rsidR="005D5270" w:rsidRPr="008203A6" w:rsidRDefault="005D5270" w:rsidP="003B792A">
      <w:pPr>
        <w:spacing w:before="240" w:line="360" w:lineRule="auto"/>
        <w:jc w:val="both"/>
        <w:rPr>
          <w:rFonts w:ascii="Arial" w:hAnsi="Arial" w:cs="Arial"/>
        </w:rPr>
      </w:pPr>
      <w:r w:rsidRPr="008203A6">
        <w:rPr>
          <w:rFonts w:ascii="Arial" w:hAnsi="Arial" w:cs="Arial"/>
        </w:rPr>
        <w:t>Lukkarinen, A., Teich, J. E., Wallenius, H., &amp; Wallenius, J. (2016). </w:t>
      </w:r>
      <w:r w:rsidRPr="008203A6">
        <w:rPr>
          <w:rFonts w:ascii="Arial" w:hAnsi="Arial" w:cs="Arial"/>
          <w:i/>
          <w:iCs/>
        </w:rPr>
        <w:t>Success Drivers Of Online Equity Crowdfunding Campaigns</w:t>
      </w:r>
      <w:r w:rsidRPr="008203A6">
        <w:rPr>
          <w:rFonts w:ascii="Arial" w:hAnsi="Arial" w:cs="Arial"/>
        </w:rPr>
        <w:t> Doi:</w:t>
      </w:r>
      <w:hyperlink r:id="rId130" w:tgtFrame="_blank" w:history="1">
        <w:r w:rsidRPr="008203A6">
          <w:rPr>
            <w:rStyle w:val="Hyperlink"/>
            <w:rFonts w:ascii="Arial" w:hAnsi="Arial" w:cs="Arial"/>
            <w:color w:val="auto"/>
          </w:rPr>
          <w:t>Https://0-Doi-Org.Lispac.Lsbu.Ac.Uk/10.1016/J.Dss.2016.04.006</w:t>
        </w:r>
      </w:hyperlink>
    </w:p>
    <w:p w14:paraId="2E0DAC9D"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Lusardi, A. &amp; Mitchell, O.S. (2014) The Economic Importance Of Financial Literacy: Theory And Evidence. Journal Of Economic Literature, 52 (1), 5-44. Available At: </w:t>
      </w:r>
      <w:hyperlink r:id="rId131" w:history="1">
        <w:r w:rsidRPr="008203A6">
          <w:rPr>
            <w:rStyle w:val="Hyperlink"/>
            <w:rFonts w:ascii="Arial" w:hAnsi="Arial" w:cs="Arial"/>
            <w:color w:val="auto"/>
          </w:rPr>
          <w:t>Https://Gflec.Org/Wp-Content/Uploads/2014/12/Economic-Importance-Financial-Literacy-Theory-Evidence.Pdf</w:t>
        </w:r>
      </w:hyperlink>
      <w:r w:rsidRPr="008203A6">
        <w:rPr>
          <w:rFonts w:ascii="Arial" w:hAnsi="Arial" w:cs="Arial"/>
        </w:rPr>
        <w:t xml:space="preserve"> (Accessed On 26</w:t>
      </w:r>
      <w:r w:rsidRPr="008203A6">
        <w:rPr>
          <w:rFonts w:ascii="Arial" w:hAnsi="Arial" w:cs="Arial"/>
          <w:vertAlign w:val="superscript"/>
        </w:rPr>
        <w:t>th</w:t>
      </w:r>
      <w:r w:rsidRPr="008203A6">
        <w:rPr>
          <w:rFonts w:ascii="Arial" w:hAnsi="Arial" w:cs="Arial"/>
        </w:rPr>
        <w:t xml:space="preserve"> February 2019)</w:t>
      </w:r>
    </w:p>
    <w:p w14:paraId="5DA3DB60"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Lusardi, A., Michaud, P., &amp; Mitchell, O. S. (2017). Optimal Financial Knowledge And Wealth Inequality.</w:t>
      </w:r>
      <w:r w:rsidRPr="008203A6">
        <w:rPr>
          <w:rFonts w:ascii="Arial" w:hAnsi="Arial" w:cs="Arial"/>
          <w:i/>
          <w:iCs/>
        </w:rPr>
        <w:t> Journal Of Political Economy, 125</w:t>
      </w:r>
      <w:r w:rsidRPr="008203A6">
        <w:rPr>
          <w:rFonts w:ascii="Arial" w:hAnsi="Arial" w:cs="Arial"/>
        </w:rPr>
        <w:t>(2), 431-477.</w:t>
      </w:r>
    </w:p>
    <w:p w14:paraId="7223D1A1" w14:textId="70B61374" w:rsidR="005D5270" w:rsidRPr="008203A6" w:rsidRDefault="005D5270" w:rsidP="003B792A">
      <w:pPr>
        <w:spacing w:before="240" w:after="0" w:line="360" w:lineRule="auto"/>
        <w:jc w:val="both"/>
        <w:rPr>
          <w:rFonts w:ascii="Arial" w:hAnsi="Arial" w:cs="Arial"/>
        </w:rPr>
      </w:pPr>
      <w:r w:rsidRPr="008203A6">
        <w:rPr>
          <w:rFonts w:ascii="Arial" w:hAnsi="Arial" w:cs="Arial"/>
        </w:rPr>
        <w:t>Luthan, F (1988), “Successful Vs Effective Managers”, Academy Of Management Executive, Vol, 2, Pp. 127 -32</w:t>
      </w:r>
    </w:p>
    <w:p w14:paraId="632E12EF" w14:textId="14153F61"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Luthans, F. and Lockwood, D.L., (1984). Toward an observation system for measuring leader behavior in natural settings. </w:t>
      </w:r>
      <w:r w:rsidRPr="008203A6">
        <w:rPr>
          <w:rFonts w:ascii="Arial" w:hAnsi="Arial" w:cs="Arial"/>
          <w:i/>
          <w:iCs/>
          <w:shd w:val="clear" w:color="auto" w:fill="FFFFFF"/>
        </w:rPr>
        <w:t>Leaders and managers</w:t>
      </w:r>
      <w:r w:rsidRPr="008203A6">
        <w:rPr>
          <w:rFonts w:ascii="Arial" w:hAnsi="Arial" w:cs="Arial"/>
          <w:shd w:val="clear" w:color="auto" w:fill="FFFFFF"/>
        </w:rPr>
        <w:t> (pp. 117-141). Pergamon.</w:t>
      </w:r>
    </w:p>
    <w:p w14:paraId="799947FE" w14:textId="77777777" w:rsidR="005D5270" w:rsidRPr="008203A6" w:rsidRDefault="005D5270" w:rsidP="003B792A">
      <w:pPr>
        <w:spacing w:before="240" w:line="360" w:lineRule="auto"/>
        <w:jc w:val="both"/>
        <w:rPr>
          <w:rFonts w:ascii="Arial" w:hAnsi="Arial" w:cs="Arial"/>
        </w:rPr>
      </w:pPr>
      <w:r w:rsidRPr="008203A6">
        <w:rPr>
          <w:rFonts w:ascii="Arial" w:hAnsi="Arial" w:cs="Arial"/>
        </w:rPr>
        <w:t>Luthans, F., Hodgetts, R.M., &amp; Rosenkrantz, S.A (1988). Real Managers, Cambridge, Ma. Ballinger</w:t>
      </w:r>
    </w:p>
    <w:p w14:paraId="086BCE11"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Lynn, D. J., &amp; Wang, T. (2010). </w:t>
      </w:r>
      <w:r w:rsidRPr="008203A6">
        <w:rPr>
          <w:rFonts w:ascii="Arial" w:hAnsi="Arial" w:cs="Arial"/>
          <w:i/>
          <w:iCs/>
        </w:rPr>
        <w:t>Emerging Market Real Estate Investment: Investing In China, India, And Brazil</w:t>
      </w:r>
      <w:r w:rsidRPr="008203A6">
        <w:rPr>
          <w:rFonts w:ascii="Arial" w:hAnsi="Arial" w:cs="Arial"/>
        </w:rPr>
        <w:t>. Hoboken, N.J.: Wiley.</w:t>
      </w:r>
    </w:p>
    <w:p w14:paraId="2ACD2025" w14:textId="1D03EB00"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Madanayake, U. and Egbu, C.,( 2017), November. A Systematic Review for the Challenges Related to the Implementation of Building Information Modelling, Big Data Analytics and Internet of Things (BBI) in the Construction Sector. In </w:t>
      </w:r>
      <w:r w:rsidRPr="008203A6">
        <w:rPr>
          <w:rFonts w:ascii="Arial" w:hAnsi="Arial" w:cs="Arial"/>
          <w:i/>
          <w:iCs/>
          <w:shd w:val="clear" w:color="auto" w:fill="FFFFFF"/>
        </w:rPr>
        <w:t>International Conference on Sustainable Futures-ICSF 2017</w:t>
      </w:r>
      <w:r w:rsidRPr="008203A6">
        <w:rPr>
          <w:rFonts w:ascii="Arial" w:hAnsi="Arial" w:cs="Arial"/>
          <w:shd w:val="clear" w:color="auto" w:fill="FFFFFF"/>
        </w:rPr>
        <w:t xml:space="preserve">. </w:t>
      </w:r>
      <w:r w:rsidR="007710FE">
        <w:rPr>
          <w:rFonts w:ascii="Arial" w:hAnsi="Arial" w:cs="Arial"/>
          <w:shd w:val="clear" w:color="auto" w:fill="FFFFFF"/>
        </w:rPr>
        <w:t xml:space="preserve">The </w:t>
      </w:r>
      <w:r w:rsidRPr="008203A6">
        <w:rPr>
          <w:rFonts w:ascii="Arial" w:hAnsi="Arial" w:cs="Arial"/>
          <w:shd w:val="clear" w:color="auto" w:fill="FFFFFF"/>
        </w:rPr>
        <w:t>Applied Science University</w:t>
      </w:r>
      <w:r w:rsidR="00D947F5">
        <w:rPr>
          <w:rFonts w:ascii="Arial" w:hAnsi="Arial" w:cs="Arial"/>
          <w:shd w:val="clear" w:color="auto" w:fill="FFFFFF"/>
        </w:rPr>
        <w:t xml:space="preserve"> of</w:t>
      </w:r>
      <w:r w:rsidRPr="008203A6">
        <w:rPr>
          <w:rFonts w:ascii="Arial" w:hAnsi="Arial" w:cs="Arial"/>
          <w:shd w:val="clear" w:color="auto" w:fill="FFFFFF"/>
        </w:rPr>
        <w:t xml:space="preserve"> Bahrain.</w:t>
      </w:r>
    </w:p>
    <w:p w14:paraId="1A56E73D" w14:textId="77777777" w:rsidR="005D5270" w:rsidRPr="008203A6" w:rsidRDefault="005D5270" w:rsidP="003B792A">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60" w:line="360" w:lineRule="auto"/>
        <w:jc w:val="both"/>
        <w:rPr>
          <w:rFonts w:ascii="Arial" w:hAnsi="Arial" w:cs="Arial"/>
        </w:rPr>
      </w:pPr>
      <w:r w:rsidRPr="008203A6">
        <w:rPr>
          <w:rFonts w:ascii="Arial" w:hAnsi="Arial" w:cs="Arial"/>
        </w:rPr>
        <w:t>Madura, J (2017). Financial Markets And Institutions</w:t>
      </w:r>
    </w:p>
    <w:p w14:paraId="12F1C0B1" w14:textId="15539323"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Magos, K. and Politi, F., (2008). The creative second language lesson: The contribution of the role-play technique to the teaching of a second language in immigrant classes. </w:t>
      </w:r>
      <w:r w:rsidRPr="008203A6">
        <w:rPr>
          <w:rFonts w:ascii="Arial" w:hAnsi="Arial" w:cs="Arial"/>
          <w:i/>
          <w:iCs/>
          <w:shd w:val="clear" w:color="auto" w:fill="FFFFFF"/>
        </w:rPr>
        <w:t xml:space="preserve">RELC </w:t>
      </w:r>
      <w:r w:rsidR="00D947F5">
        <w:rPr>
          <w:rFonts w:ascii="Arial" w:hAnsi="Arial" w:cs="Arial"/>
          <w:i/>
          <w:iCs/>
          <w:shd w:val="clear" w:color="auto" w:fill="FFFFFF"/>
        </w:rPr>
        <w:t>J</w:t>
      </w:r>
      <w:r w:rsidRPr="008203A6">
        <w:rPr>
          <w:rFonts w:ascii="Arial" w:hAnsi="Arial" w:cs="Arial"/>
          <w:i/>
          <w:iCs/>
          <w:shd w:val="clear" w:color="auto" w:fill="FFFFFF"/>
        </w:rPr>
        <w:t>ournal</w:t>
      </w:r>
      <w:r w:rsidRPr="008203A6">
        <w:rPr>
          <w:rFonts w:ascii="Arial" w:hAnsi="Arial" w:cs="Arial"/>
          <w:shd w:val="clear" w:color="auto" w:fill="FFFFFF"/>
        </w:rPr>
        <w:t>, </w:t>
      </w:r>
      <w:r w:rsidRPr="008203A6">
        <w:rPr>
          <w:rFonts w:ascii="Arial" w:hAnsi="Arial" w:cs="Arial"/>
          <w:i/>
          <w:iCs/>
          <w:shd w:val="clear" w:color="auto" w:fill="FFFFFF"/>
        </w:rPr>
        <w:t>39</w:t>
      </w:r>
      <w:r w:rsidRPr="008203A6">
        <w:rPr>
          <w:rFonts w:ascii="Arial" w:hAnsi="Arial" w:cs="Arial"/>
          <w:shd w:val="clear" w:color="auto" w:fill="FFFFFF"/>
        </w:rPr>
        <w:t>(1), pp.96-112.</w:t>
      </w:r>
    </w:p>
    <w:p w14:paraId="5F79FC3F" w14:textId="77777777" w:rsidR="005D5270" w:rsidRPr="008203A6" w:rsidRDefault="00257087" w:rsidP="003B792A">
      <w:pPr>
        <w:spacing w:line="360" w:lineRule="auto"/>
        <w:jc w:val="both"/>
        <w:rPr>
          <w:rFonts w:ascii="Arial" w:hAnsi="Arial" w:cs="Arial"/>
        </w:rPr>
      </w:pPr>
      <w:hyperlink r:id="rId132" w:tooltip="Damien Maguire" w:history="1">
        <w:r w:rsidR="005D5270" w:rsidRPr="008203A6">
          <w:rPr>
            <w:rStyle w:val="Hyperlink"/>
            <w:rFonts w:ascii="Arial" w:hAnsi="Arial" w:cs="Arial"/>
            <w:color w:val="auto"/>
          </w:rPr>
          <w:t>Maguire, D.</w:t>
        </w:r>
      </w:hyperlink>
      <w:r w:rsidR="005D5270" w:rsidRPr="008203A6">
        <w:rPr>
          <w:rFonts w:ascii="Arial" w:hAnsi="Arial" w:cs="Arial"/>
        </w:rPr>
        <w:t> And </w:t>
      </w:r>
      <w:hyperlink r:id="rId133" w:tooltip="Andrew Axcell" w:history="1">
        <w:r w:rsidR="005D5270" w:rsidRPr="008203A6">
          <w:rPr>
            <w:rStyle w:val="Hyperlink"/>
            <w:rFonts w:ascii="Arial" w:hAnsi="Arial" w:cs="Arial"/>
            <w:color w:val="auto"/>
          </w:rPr>
          <w:t>Axcell, A.</w:t>
        </w:r>
      </w:hyperlink>
      <w:r w:rsidR="005D5270" w:rsidRPr="008203A6">
        <w:rPr>
          <w:rFonts w:ascii="Arial" w:hAnsi="Arial" w:cs="Arial"/>
        </w:rPr>
        <w:t> (1994), "Real Estate Finance: France, Germany And The Uk", </w:t>
      </w:r>
      <w:hyperlink r:id="rId134" w:history="1">
        <w:r w:rsidR="005D5270" w:rsidRPr="008203A6">
          <w:rPr>
            <w:rStyle w:val="Hyperlink"/>
            <w:rFonts w:ascii="Arial" w:hAnsi="Arial" w:cs="Arial"/>
            <w:i/>
            <w:iCs/>
            <w:color w:val="auto"/>
          </w:rPr>
          <w:t>Journal Of Property Finance</w:t>
        </w:r>
      </w:hyperlink>
      <w:r w:rsidR="005D5270" w:rsidRPr="008203A6">
        <w:rPr>
          <w:rFonts w:ascii="Arial" w:hAnsi="Arial" w:cs="Arial"/>
        </w:rPr>
        <w:t>, Vol. 5 No. 1, Pp. 29-40. </w:t>
      </w:r>
      <w:hyperlink r:id="rId135" w:tooltip="DOI: https://doi.org/10.1108/09588689410063184" w:history="1">
        <w:r w:rsidR="005D5270" w:rsidRPr="008203A6">
          <w:rPr>
            <w:rStyle w:val="Hyperlink"/>
            <w:rFonts w:ascii="Arial" w:hAnsi="Arial" w:cs="Arial"/>
            <w:color w:val="auto"/>
          </w:rPr>
          <w:t>Https://Doi.Org/10.1108/09588689410063184</w:t>
        </w:r>
      </w:hyperlink>
    </w:p>
    <w:p w14:paraId="65CEF4B2" w14:textId="77777777" w:rsidR="005D5270" w:rsidRPr="008203A6" w:rsidRDefault="005D5270" w:rsidP="003B792A">
      <w:pPr>
        <w:spacing w:line="360" w:lineRule="auto"/>
        <w:jc w:val="both"/>
        <w:rPr>
          <w:rFonts w:ascii="Arial" w:hAnsi="Arial" w:cs="Arial"/>
          <w:iCs/>
        </w:rPr>
      </w:pPr>
      <w:r w:rsidRPr="008203A6">
        <w:rPr>
          <w:rFonts w:ascii="Arial" w:hAnsi="Arial" w:cs="Arial"/>
          <w:iCs/>
        </w:rPr>
        <w:t>Mahdavian, M. And Mostajeran, F. (2013) Studying Key Users’ Skills Of ERP System Through A Comprehensive Skill Measurement Model. The International Journal Of Advanced Manufacturing Technology</w:t>
      </w:r>
    </w:p>
    <w:p w14:paraId="4F8E3B83" w14:textId="77777777" w:rsidR="005D5270" w:rsidRPr="008203A6" w:rsidRDefault="005D5270" w:rsidP="003B792A">
      <w:pPr>
        <w:spacing w:line="360" w:lineRule="auto"/>
        <w:jc w:val="both"/>
        <w:rPr>
          <w:rFonts w:ascii="Arial" w:hAnsi="Arial" w:cs="Arial"/>
        </w:rPr>
      </w:pPr>
      <w:r w:rsidRPr="008203A6">
        <w:rPr>
          <w:rFonts w:ascii="Arial" w:hAnsi="Arial" w:cs="Arial"/>
        </w:rPr>
        <w:t>Mamun, A. (2017). An investigation into the factors causing financial crisis: Lessons from recent overwhelming episodes, Journal of academic research in economics, 9 (1), pp. 7-18.</w:t>
      </w:r>
    </w:p>
    <w:p w14:paraId="1E8DEB2E" w14:textId="424053F2" w:rsidR="005D5270" w:rsidRPr="008203A6" w:rsidRDefault="005D5270" w:rsidP="003B792A">
      <w:pPr>
        <w:spacing w:line="360" w:lineRule="auto"/>
        <w:jc w:val="both"/>
        <w:rPr>
          <w:rFonts w:ascii="Arial" w:hAnsi="Arial" w:cs="Arial"/>
          <w:iCs/>
        </w:rPr>
      </w:pPr>
      <w:r w:rsidRPr="008203A6">
        <w:rPr>
          <w:rFonts w:ascii="Arial" w:hAnsi="Arial" w:cs="Arial"/>
          <w:iCs/>
        </w:rPr>
        <w:t>Mann, F.C. (1965) `Toward An Understanding Of The Leadership Role In Formal Organizations', In R. Dubin, G. C. Homand , F. C. Mann &amp; D. C. Miller (Eds) Leadership And Productivity, Pp. 68-103. San Francisco, CA:</w:t>
      </w:r>
    </w:p>
    <w:p w14:paraId="45840E57" w14:textId="77777777" w:rsidR="005D5270" w:rsidRPr="008203A6" w:rsidRDefault="005D5270" w:rsidP="003B792A">
      <w:pPr>
        <w:spacing w:before="240" w:line="360" w:lineRule="auto"/>
        <w:jc w:val="both"/>
        <w:rPr>
          <w:rFonts w:ascii="Arial" w:hAnsi="Arial" w:cs="Arial"/>
        </w:rPr>
      </w:pPr>
      <w:r w:rsidRPr="008203A6">
        <w:rPr>
          <w:rFonts w:ascii="Arial" w:hAnsi="Arial" w:cs="Arial"/>
        </w:rPr>
        <w:t>Marrying For Money: Structuring Joint Ventures With Equity Investors (2005). International Council Of Shopping Centres.</w:t>
      </w:r>
    </w:p>
    <w:p w14:paraId="7626F625" w14:textId="77777777" w:rsidR="005D5270" w:rsidRPr="008203A6" w:rsidRDefault="005D5270" w:rsidP="003B792A">
      <w:pPr>
        <w:spacing w:after="0" w:line="360" w:lineRule="auto"/>
        <w:jc w:val="both"/>
        <w:rPr>
          <w:rFonts w:ascii="Arial" w:hAnsi="Arial" w:cs="Arial"/>
        </w:rPr>
      </w:pPr>
      <w:r w:rsidRPr="008203A6">
        <w:rPr>
          <w:rFonts w:ascii="Arial" w:hAnsi="Arial" w:cs="Arial"/>
        </w:rPr>
        <w:lastRenderedPageBreak/>
        <w:t>Martin, V (2011) The International Appraiser: Objective Valuation Advice On International Real Estate . Available At: Https://Www.Internationalappraiser.Com/2011/05/Beijing-Housing-Shortage.Html ( Accessed On 11th February, 2020).</w:t>
      </w:r>
    </w:p>
    <w:p w14:paraId="4FBDE1C7" w14:textId="77777777" w:rsidR="005D5270" w:rsidRPr="008203A6" w:rsidRDefault="005D5270" w:rsidP="003B792A">
      <w:pPr>
        <w:spacing w:line="360" w:lineRule="auto"/>
        <w:jc w:val="both"/>
        <w:rPr>
          <w:rFonts w:ascii="Arial" w:hAnsi="Arial" w:cs="Arial"/>
        </w:rPr>
      </w:pPr>
      <w:r w:rsidRPr="008203A6">
        <w:rPr>
          <w:rFonts w:ascii="Arial" w:hAnsi="Arial" w:cs="Arial"/>
          <w:iCs/>
        </w:rPr>
        <w:t>Matemilola, B.T; Bany-Ariffin, A.N (2011). </w:t>
      </w:r>
      <w:hyperlink r:id="rId136" w:history="1">
        <w:r w:rsidRPr="008203A6">
          <w:rPr>
            <w:rStyle w:val="Hyperlink"/>
            <w:rFonts w:ascii="Arial" w:hAnsi="Arial" w:cs="Arial"/>
            <w:iCs/>
            <w:color w:val="auto"/>
          </w:rPr>
          <w:t>"Pecking Order Theory Of Capital Structure: Empirical Evidence From Dynamic Panel Data"</w:t>
        </w:r>
      </w:hyperlink>
      <w:r w:rsidRPr="008203A6">
        <w:rPr>
          <w:rFonts w:ascii="Arial" w:hAnsi="Arial" w:cs="Arial"/>
          <w:iCs/>
        </w:rPr>
        <w:t>. International Journal On GSTF Business Review. </w:t>
      </w:r>
      <w:r w:rsidRPr="008203A6">
        <w:rPr>
          <w:rFonts w:ascii="Arial" w:hAnsi="Arial" w:cs="Arial"/>
          <w:b/>
          <w:bCs/>
          <w:iCs/>
        </w:rPr>
        <w:t>1</w:t>
      </w:r>
      <w:r w:rsidRPr="008203A6">
        <w:rPr>
          <w:rFonts w:ascii="Arial" w:hAnsi="Arial" w:cs="Arial"/>
          <w:iCs/>
        </w:rPr>
        <w:t> (1): 185–189. </w:t>
      </w:r>
      <w:hyperlink r:id="rId137" w:tooltip="Digital object identifier" w:history="1">
        <w:r w:rsidRPr="008203A6">
          <w:rPr>
            <w:rStyle w:val="Hyperlink"/>
            <w:rFonts w:ascii="Arial" w:hAnsi="Arial" w:cs="Arial"/>
            <w:iCs/>
            <w:color w:val="auto"/>
          </w:rPr>
          <w:t>Doi</w:t>
        </w:r>
      </w:hyperlink>
      <w:r w:rsidRPr="008203A6">
        <w:rPr>
          <w:rFonts w:ascii="Arial" w:hAnsi="Arial" w:cs="Arial"/>
          <w:iCs/>
        </w:rPr>
        <w:t>:</w:t>
      </w:r>
      <w:hyperlink r:id="rId138" w:history="1">
        <w:r w:rsidRPr="008203A6">
          <w:rPr>
            <w:rStyle w:val="Hyperlink"/>
            <w:rFonts w:ascii="Arial" w:hAnsi="Arial" w:cs="Arial"/>
            <w:iCs/>
            <w:color w:val="auto"/>
          </w:rPr>
          <w:t>10.5176/2010-4804/1.1.29</w:t>
        </w:r>
      </w:hyperlink>
      <w:r w:rsidRPr="008203A6">
        <w:rPr>
          <w:rFonts w:ascii="Arial" w:hAnsi="Arial" w:cs="Arial"/>
          <w:iCs/>
        </w:rPr>
        <w:t> (Inactive 2019-12-13).</w:t>
      </w:r>
    </w:p>
    <w:p w14:paraId="428B5E58" w14:textId="0FF454D0" w:rsidR="005D5270" w:rsidRPr="008203A6" w:rsidRDefault="005D5270" w:rsidP="003B792A">
      <w:pPr>
        <w:spacing w:after="0" w:line="360" w:lineRule="auto"/>
        <w:jc w:val="both"/>
        <w:rPr>
          <w:rFonts w:ascii="Arial" w:hAnsi="Arial" w:cs="Arial"/>
        </w:rPr>
      </w:pPr>
      <w:r w:rsidRPr="008203A6">
        <w:rPr>
          <w:rFonts w:ascii="Arial" w:hAnsi="Arial" w:cs="Arial"/>
        </w:rPr>
        <w:t>Maupin, C.T (2017) China’s Housing Concern.Available At: Http://Www.Bjreview.Com/Opinion/201711/T20171120_800110458.Html (Accessed On 23rd November 2017)</w:t>
      </w:r>
    </w:p>
    <w:p w14:paraId="14AAA251" w14:textId="11401053" w:rsidR="005D5270" w:rsidRPr="008203A6" w:rsidRDefault="005D5270" w:rsidP="003B792A">
      <w:pPr>
        <w:spacing w:before="240" w:line="360" w:lineRule="auto"/>
        <w:jc w:val="both"/>
        <w:rPr>
          <w:rFonts w:ascii="Arial" w:hAnsi="Arial" w:cs="Arial"/>
        </w:rPr>
      </w:pPr>
      <w:r w:rsidRPr="008203A6">
        <w:rPr>
          <w:rFonts w:ascii="Arial" w:hAnsi="Arial" w:cs="Arial"/>
        </w:rPr>
        <w:t>Mayer, J.D., And Salvoney, P. (1990). Perceiving Effective Content In Ambig</w:t>
      </w:r>
      <w:r w:rsidR="00D947F5">
        <w:rPr>
          <w:rFonts w:ascii="Arial" w:hAnsi="Arial" w:cs="Arial"/>
        </w:rPr>
        <w:t>u</w:t>
      </w:r>
      <w:r w:rsidRPr="008203A6">
        <w:rPr>
          <w:rFonts w:ascii="Arial" w:hAnsi="Arial" w:cs="Arial"/>
        </w:rPr>
        <w:t>ous Visual Stimuli: A Component Of Emotional Intelligence. Journal Of Personality Assessment 54, 772-781</w:t>
      </w:r>
    </w:p>
    <w:p w14:paraId="7121BC23" w14:textId="77777777" w:rsidR="005D5270" w:rsidRDefault="005D5270" w:rsidP="00DF4AF1">
      <w:pPr>
        <w:spacing w:line="360" w:lineRule="auto"/>
        <w:jc w:val="both"/>
        <w:rPr>
          <w:rFonts w:ascii="Arial" w:hAnsi="Arial" w:cs="Arial"/>
        </w:rPr>
      </w:pPr>
      <w:bookmarkStart w:id="1599" w:name="_Hlk63789952"/>
      <w:r w:rsidRPr="00DF4AF1">
        <w:rPr>
          <w:rFonts w:ascii="Arial" w:hAnsi="Arial" w:cs="Arial"/>
        </w:rPr>
        <w:t xml:space="preserve">McGuinness, T. (1991) </w:t>
      </w:r>
      <w:bookmarkEnd w:id="1599"/>
      <w:r w:rsidRPr="00DF4AF1">
        <w:rPr>
          <w:rFonts w:ascii="Arial" w:hAnsi="Arial" w:cs="Arial"/>
        </w:rPr>
        <w:t>Markets and managerial hierarchies. Markets, Hierarchies and Networks-The Coordination of Social Life, Thompson G. et al.(editors), London, pp.66-81.</w:t>
      </w:r>
    </w:p>
    <w:p w14:paraId="363B8C31" w14:textId="77777777" w:rsidR="005D5270" w:rsidRPr="008203A6" w:rsidRDefault="005D5270" w:rsidP="003B792A">
      <w:pPr>
        <w:spacing w:before="240" w:line="360" w:lineRule="auto"/>
        <w:jc w:val="both"/>
        <w:rPr>
          <w:rFonts w:ascii="Arial" w:hAnsi="Arial" w:cs="Arial"/>
          <w:iCs/>
        </w:rPr>
      </w:pPr>
      <w:r w:rsidRPr="008203A6">
        <w:rPr>
          <w:rFonts w:ascii="Arial" w:hAnsi="Arial" w:cs="Arial"/>
          <w:iCs/>
        </w:rPr>
        <w:t>Mckinsey Global Institution (2014), Tracking World’s Affordable Housing Challenge, Available At:</w:t>
      </w:r>
      <w:r w:rsidRPr="008203A6">
        <w:rPr>
          <w:rFonts w:ascii="Arial" w:hAnsi="Arial" w:cs="Arial"/>
        </w:rPr>
        <w:t xml:space="preserve"> </w:t>
      </w:r>
      <w:hyperlink r:id="rId139" w:history="1">
        <w:r w:rsidRPr="008203A6">
          <w:rPr>
            <w:rStyle w:val="Hyperlink"/>
            <w:rFonts w:ascii="Arial" w:hAnsi="Arial" w:cs="Arial"/>
            <w:iCs/>
            <w:color w:val="auto"/>
          </w:rPr>
          <w:t>Https://Www.Mckinsey.Com/Featured-Insights/Urbanization/Tackling-The-Worlds-Affordable-Housing-Challenge</w:t>
        </w:r>
      </w:hyperlink>
      <w:r w:rsidRPr="008203A6">
        <w:rPr>
          <w:rFonts w:ascii="Arial" w:hAnsi="Arial" w:cs="Arial"/>
          <w:iCs/>
        </w:rPr>
        <w:t xml:space="preserve"> (Accessed 29/07/2018).</w:t>
      </w:r>
    </w:p>
    <w:p w14:paraId="257E08D9"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Midgley, K. and Burns, R., (1977). Conclusion: the Effectiveness of the UK Capital Market. In t</w:t>
      </w:r>
      <w:r w:rsidRPr="008203A6">
        <w:rPr>
          <w:rFonts w:ascii="Arial" w:hAnsi="Arial" w:cs="Arial"/>
          <w:i/>
          <w:iCs/>
          <w:shd w:val="clear" w:color="auto" w:fill="FFFFFF"/>
        </w:rPr>
        <w:t>he Capital Market: its Nature and Significance</w:t>
      </w:r>
      <w:r w:rsidRPr="008203A6">
        <w:rPr>
          <w:rFonts w:ascii="Arial" w:hAnsi="Arial" w:cs="Arial"/>
          <w:shd w:val="clear" w:color="auto" w:fill="FFFFFF"/>
        </w:rPr>
        <w:t> (pp. 124-134). Palgrave, London.</w:t>
      </w:r>
    </w:p>
    <w:p w14:paraId="6F262686"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Mid-Year Population Estimates 2014. </w:t>
      </w:r>
      <w:hyperlink r:id="rId140" w:history="1">
        <w:r w:rsidRPr="008203A6">
          <w:rPr>
            <w:rStyle w:val="Hyperlink"/>
            <w:rFonts w:ascii="Arial" w:hAnsi="Arial" w:cs="Arial"/>
            <w:color w:val="auto"/>
          </w:rPr>
          <w:t>Https://Web.Archive.Org/Web/20140808032616/Http://Beta2.Statssa.Gov.Za/Publications/P0302/P03022014.Pdf</w:t>
        </w:r>
      </w:hyperlink>
    </w:p>
    <w:p w14:paraId="25A0DDA4" w14:textId="77777777" w:rsidR="005D5270" w:rsidRPr="008203A6" w:rsidRDefault="005D5270" w:rsidP="003B792A">
      <w:pPr>
        <w:spacing w:line="360" w:lineRule="auto"/>
        <w:jc w:val="both"/>
        <w:rPr>
          <w:rFonts w:ascii="Arial" w:hAnsi="Arial" w:cs="Arial"/>
        </w:rPr>
      </w:pPr>
      <w:r w:rsidRPr="008203A6">
        <w:rPr>
          <w:rFonts w:ascii="Arial" w:hAnsi="Arial" w:cs="Arial"/>
        </w:rPr>
        <w:t>Miller, M. H. (1977). "Debt And Taxes". Journal Of Finance. 32 (2): 261–275. Doi:10.1111/J.1540-6261.1977.Tb03267.X. JSTOR 2326758.</w:t>
      </w:r>
    </w:p>
    <w:p w14:paraId="276392E7" w14:textId="77777777" w:rsidR="005D5270" w:rsidRPr="008203A6" w:rsidRDefault="005D5270" w:rsidP="003B792A">
      <w:pPr>
        <w:spacing w:before="240" w:line="360" w:lineRule="auto"/>
        <w:jc w:val="both"/>
        <w:rPr>
          <w:rFonts w:ascii="Arial" w:hAnsi="Arial" w:cs="Arial"/>
        </w:rPr>
      </w:pPr>
      <w:r w:rsidRPr="008203A6">
        <w:rPr>
          <w:rFonts w:ascii="Arial" w:hAnsi="Arial" w:cs="Arial"/>
        </w:rPr>
        <w:t>Miller, M.H And Modigliani, F (1958). The Cost Of Capital, Corporate Finance, And Theory Of Investment, America Economic Review, 48 (3), Pp. 201-297</w:t>
      </w:r>
    </w:p>
    <w:p w14:paraId="320775D8" w14:textId="77777777" w:rsidR="005D5270" w:rsidRPr="008203A6" w:rsidRDefault="005D5270" w:rsidP="003B792A">
      <w:pPr>
        <w:spacing w:before="240" w:line="360" w:lineRule="auto"/>
        <w:jc w:val="both"/>
        <w:rPr>
          <w:rFonts w:ascii="Arial" w:hAnsi="Arial" w:cs="Arial"/>
        </w:rPr>
      </w:pPr>
      <w:r w:rsidRPr="008203A6">
        <w:rPr>
          <w:rFonts w:ascii="Arial" w:hAnsi="Arial" w:cs="Arial"/>
        </w:rPr>
        <w:t>Miller, M.H And Modigliani, F (1963) Corporate Income Tax And Cost Of Capital; A Correction, America Economic Review, 48 (3), Pp.201-297</w:t>
      </w:r>
    </w:p>
    <w:p w14:paraId="6340B5B6" w14:textId="794F8E39"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 xml:space="preserve">Miller, R.A. (1984) Job Matching And Occupational Choice. The Journal Of Political Economy, Vol.92, No 6. Pp 1086-1120. Available At: </w:t>
      </w:r>
      <w:hyperlink r:id="rId141" w:history="1">
        <w:r w:rsidRPr="008203A6">
          <w:rPr>
            <w:rStyle w:val="Hyperlink"/>
            <w:rFonts w:ascii="Arial" w:eastAsia="Calibri" w:hAnsi="Arial" w:cs="Arial"/>
            <w:color w:val="auto"/>
          </w:rPr>
          <w:t>Http://Citeseerx.Ist.Psu.Edu/Viewdoc/Download?Doi=10.1.1.560.905&amp;Rep=Rep1&amp;Type=Pdf</w:t>
        </w:r>
      </w:hyperlink>
      <w:r w:rsidRPr="008203A6">
        <w:rPr>
          <w:rFonts w:ascii="Arial" w:eastAsia="Calibri" w:hAnsi="Arial" w:cs="Arial"/>
        </w:rPr>
        <w:t xml:space="preserve"> (Accessed On 26/05/2020).</w:t>
      </w:r>
    </w:p>
    <w:p w14:paraId="4487E394"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lastRenderedPageBreak/>
        <w:t>Mintzberg,  H.,  &amp;  Lampel,  J.  (1999).  Reflecting  On  The  Strategy  Process.  Sloan  Management  Review, 40(3), 21-30.</w:t>
      </w:r>
    </w:p>
    <w:p w14:paraId="2C328427" w14:textId="0DE8C924"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Mintzberg,  H.,  Raisinghani,  D.,  &amp;  Theoret,  A.  (1976).  The  St</w:t>
      </w:r>
      <w:r w:rsidR="00D947F5">
        <w:rPr>
          <w:rFonts w:ascii="Arial" w:eastAsia="Calibri" w:hAnsi="Arial" w:cs="Arial"/>
        </w:rPr>
        <w:t>r</w:t>
      </w:r>
      <w:r w:rsidRPr="008203A6">
        <w:rPr>
          <w:rFonts w:ascii="Arial" w:eastAsia="Calibri" w:hAnsi="Arial" w:cs="Arial"/>
        </w:rPr>
        <w:t>ucture  Of  Unstructure</w:t>
      </w:r>
      <w:r w:rsidR="00D947F5">
        <w:rPr>
          <w:rFonts w:ascii="Arial" w:eastAsia="Calibri" w:hAnsi="Arial" w:cs="Arial"/>
        </w:rPr>
        <w:t>d</w:t>
      </w:r>
      <w:r w:rsidRPr="008203A6">
        <w:rPr>
          <w:rFonts w:ascii="Arial" w:eastAsia="Calibri" w:hAnsi="Arial" w:cs="Arial"/>
        </w:rPr>
        <w:t xml:space="preserve">  Decision  Processes. Administrative            Science            Quarterly,            21(2),            246-275.            </w:t>
      </w:r>
      <w:hyperlink r:id="rId142" w:history="1">
        <w:r w:rsidRPr="008203A6">
          <w:rPr>
            <w:rStyle w:val="Hyperlink"/>
            <w:rFonts w:ascii="Arial" w:eastAsia="Calibri" w:hAnsi="Arial" w:cs="Arial"/>
            <w:color w:val="auto"/>
          </w:rPr>
          <w:t>Http://Dx.Doi.Org/10.2307/2392045</w:t>
        </w:r>
      </w:hyperlink>
      <w:r w:rsidRPr="008203A6">
        <w:rPr>
          <w:rFonts w:ascii="Arial" w:eastAsia="Calibri" w:hAnsi="Arial" w:cs="Arial"/>
        </w:rPr>
        <w:t xml:space="preserve"> </w:t>
      </w:r>
    </w:p>
    <w:p w14:paraId="29048869" w14:textId="46F14AEF"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Mintzberg, H (2009; 2011) Managing. San Francisco: Berrett-Koehler Publishers</w:t>
      </w:r>
    </w:p>
    <w:p w14:paraId="2DF1FF7C" w14:textId="77777777" w:rsidR="005D5270" w:rsidRPr="008203A6" w:rsidRDefault="005D5270" w:rsidP="003B792A">
      <w:pPr>
        <w:spacing w:line="360" w:lineRule="auto"/>
        <w:jc w:val="both"/>
        <w:rPr>
          <w:rFonts w:ascii="Arial" w:hAnsi="Arial" w:cs="Arial"/>
        </w:rPr>
      </w:pPr>
      <w:r w:rsidRPr="008203A6">
        <w:rPr>
          <w:rFonts w:ascii="Arial" w:hAnsi="Arial" w:cs="Arial"/>
        </w:rPr>
        <w:t>Mintzberg, H. (1980). The nature of managerial work, Prentice and Hall, Englewood Cliffs.</w:t>
      </w:r>
    </w:p>
    <w:p w14:paraId="37E2FBA2" w14:textId="77777777" w:rsidR="005D5270" w:rsidRPr="008203A6" w:rsidRDefault="005D5270" w:rsidP="003B792A">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after="60" w:line="360" w:lineRule="auto"/>
        <w:jc w:val="both"/>
        <w:rPr>
          <w:rFonts w:ascii="Arial" w:hAnsi="Arial" w:cs="Arial"/>
        </w:rPr>
      </w:pPr>
      <w:r w:rsidRPr="008203A6">
        <w:rPr>
          <w:rFonts w:ascii="Arial" w:hAnsi="Arial" w:cs="Arial"/>
        </w:rPr>
        <w:t>Mishkin, F. S. And Eakins, S. G. (2012) </w:t>
      </w:r>
      <w:r w:rsidRPr="008203A6">
        <w:rPr>
          <w:rFonts w:ascii="Arial" w:hAnsi="Arial" w:cs="Arial"/>
          <w:i/>
          <w:iCs/>
        </w:rPr>
        <w:t>Financial Markets And Institutions. </w:t>
      </w:r>
      <w:r w:rsidRPr="008203A6">
        <w:rPr>
          <w:rFonts w:ascii="Arial" w:hAnsi="Arial" w:cs="Arial"/>
        </w:rPr>
        <w:t xml:space="preserve">7th Ed. Harlow; Boston, Mass.: Pearson Education. </w:t>
      </w:r>
    </w:p>
    <w:p w14:paraId="19DC498D" w14:textId="77777777" w:rsidR="005D5270" w:rsidRPr="008203A6" w:rsidRDefault="005D5270" w:rsidP="003B792A">
      <w:pPr>
        <w:spacing w:before="240" w:line="360" w:lineRule="auto"/>
        <w:jc w:val="both"/>
        <w:rPr>
          <w:rFonts w:ascii="Arial" w:hAnsi="Arial" w:cs="Arial"/>
        </w:rPr>
      </w:pPr>
      <w:r w:rsidRPr="008203A6">
        <w:rPr>
          <w:rFonts w:ascii="Arial" w:hAnsi="Arial" w:cs="Arial"/>
        </w:rPr>
        <w:t>Mohaddes, K., &amp; Pesaran, M. H. (2017). Oil Prices And The Global Economy: Is It Different This Time Around?</w:t>
      </w:r>
      <w:r w:rsidRPr="008203A6">
        <w:rPr>
          <w:rFonts w:ascii="Arial" w:hAnsi="Arial" w:cs="Arial"/>
          <w:i/>
          <w:iCs/>
        </w:rPr>
        <w:t> Energy Economics, 65</w:t>
      </w:r>
      <w:r w:rsidRPr="008203A6">
        <w:rPr>
          <w:rFonts w:ascii="Arial" w:hAnsi="Arial" w:cs="Arial"/>
        </w:rPr>
        <w:t>, 315-325.</w:t>
      </w:r>
    </w:p>
    <w:p w14:paraId="32FE5594" w14:textId="77777777" w:rsidR="005D5270" w:rsidRPr="008203A6" w:rsidRDefault="005D5270" w:rsidP="003B792A">
      <w:pPr>
        <w:spacing w:line="360" w:lineRule="auto"/>
        <w:jc w:val="both"/>
        <w:rPr>
          <w:rFonts w:ascii="Arial" w:hAnsi="Arial" w:cs="Arial"/>
          <w:iCs/>
        </w:rPr>
      </w:pPr>
      <w:r w:rsidRPr="008203A6">
        <w:rPr>
          <w:rFonts w:ascii="Arial" w:hAnsi="Arial" w:cs="Arial"/>
          <w:iCs/>
        </w:rPr>
        <w:t>Moldoch, J. (2009) Dynamika Rynku Nieruchomosci A Okreslanie Ryzyka Kredytowego, Acta Scientiarum Polonorum: Geodesia Et Descriptio Terrarum, 8 (4), Pp. 31-38.</w:t>
      </w:r>
    </w:p>
    <w:bookmarkEnd w:id="1598"/>
    <w:p w14:paraId="6225E0CF" w14:textId="77777777" w:rsidR="005D5270" w:rsidRPr="008203A6" w:rsidRDefault="005D5270" w:rsidP="003B792A">
      <w:pPr>
        <w:spacing w:line="360" w:lineRule="auto"/>
        <w:jc w:val="both"/>
        <w:rPr>
          <w:rFonts w:ascii="Arial" w:hAnsi="Arial" w:cs="Arial"/>
          <w:iCs/>
        </w:rPr>
      </w:pPr>
      <w:r w:rsidRPr="008203A6">
        <w:rPr>
          <w:rFonts w:ascii="Arial" w:hAnsi="Arial" w:cs="Arial"/>
          <w:iCs/>
        </w:rPr>
        <w:t>Montalvo, W. And Byrne, M. W. (2016) Mentoring Nurses In Political Skill To Navigate Organizational Politics, Nursing Research &amp; Practice, Pp. 1-8.</w:t>
      </w:r>
    </w:p>
    <w:p w14:paraId="622E616E" w14:textId="36792A98"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Morris, J., (1971). </w:t>
      </w:r>
      <w:r w:rsidRPr="008203A6">
        <w:rPr>
          <w:rFonts w:ascii="Arial" w:hAnsi="Arial" w:cs="Arial"/>
          <w:i/>
          <w:iCs/>
          <w:shd w:val="clear" w:color="auto" w:fill="FFFFFF"/>
        </w:rPr>
        <w:t>Some Aspects of the Theory of Investments in Education, unpublished Ph. D</w:t>
      </w:r>
      <w:r w:rsidRPr="008203A6">
        <w:rPr>
          <w:rFonts w:ascii="Arial" w:hAnsi="Arial" w:cs="Arial"/>
          <w:shd w:val="clear" w:color="auto" w:fill="FFFFFF"/>
        </w:rPr>
        <w:t> (Doctoral dissertation, dissertation, University of California, Berkeley).</w:t>
      </w:r>
    </w:p>
    <w:p w14:paraId="285C98F2"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Morse, J.M. ed., 1994. </w:t>
      </w:r>
      <w:r w:rsidRPr="008203A6">
        <w:rPr>
          <w:rFonts w:ascii="Arial" w:hAnsi="Arial" w:cs="Arial"/>
          <w:i/>
          <w:iCs/>
          <w:shd w:val="clear" w:color="auto" w:fill="FFFFFF"/>
        </w:rPr>
        <w:t>Critical issues in qualitative research methods</w:t>
      </w:r>
      <w:r w:rsidRPr="008203A6">
        <w:rPr>
          <w:rFonts w:ascii="Arial" w:hAnsi="Arial" w:cs="Arial"/>
          <w:shd w:val="clear" w:color="auto" w:fill="FFFFFF"/>
        </w:rPr>
        <w:t>. Sage.</w:t>
      </w:r>
    </w:p>
    <w:p w14:paraId="0364498B" w14:textId="77777777" w:rsidR="005D5270" w:rsidRPr="008203A6" w:rsidRDefault="005D5270" w:rsidP="003B792A">
      <w:pPr>
        <w:spacing w:line="360" w:lineRule="auto"/>
        <w:jc w:val="both"/>
        <w:rPr>
          <w:rFonts w:ascii="Arial" w:hAnsi="Arial" w:cs="Arial"/>
        </w:rPr>
      </w:pPr>
      <w:r w:rsidRPr="008203A6">
        <w:rPr>
          <w:rFonts w:ascii="Arial" w:hAnsi="Arial" w:cs="Arial"/>
        </w:rPr>
        <w:t>Moser C.A., &amp; Kalton, G. (1971). Survey method in social investigation. London. Heinemann.</w:t>
      </w:r>
    </w:p>
    <w:p w14:paraId="396613DE"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Moss, A (2011). The German Listed Real Estate Sector- Disproportional Representation. Available At:  </w:t>
      </w:r>
      <w:hyperlink r:id="rId143" w:history="1"/>
      <w:r w:rsidRPr="008203A6">
        <w:rPr>
          <w:rFonts w:ascii="Arial" w:hAnsi="Arial" w:cs="Arial"/>
        </w:rPr>
        <w:t xml:space="preserve"> </w:t>
      </w:r>
      <w:hyperlink r:id="rId144" w:history="1">
        <w:r w:rsidRPr="008203A6">
          <w:rPr>
            <w:rFonts w:ascii="Arial" w:hAnsi="Arial" w:cs="Arial"/>
            <w:u w:val="single"/>
          </w:rPr>
          <w:t>Http://Consiliacapital.Com/Sitemanager/Uploads/Ck_Files/Files/German%20listed%20real%20estate%20sector%20-%20disproportinoal%20representation.Pdf</w:t>
        </w:r>
      </w:hyperlink>
      <w:r w:rsidRPr="008203A6">
        <w:rPr>
          <w:rFonts w:ascii="Arial" w:hAnsi="Arial" w:cs="Arial"/>
        </w:rPr>
        <w:t xml:space="preserve"> ( Accessed On 13</w:t>
      </w:r>
      <w:r w:rsidRPr="008203A6">
        <w:rPr>
          <w:rFonts w:ascii="Arial" w:hAnsi="Arial" w:cs="Arial"/>
          <w:vertAlign w:val="superscript"/>
        </w:rPr>
        <w:t>th</w:t>
      </w:r>
      <w:r w:rsidRPr="008203A6">
        <w:rPr>
          <w:rFonts w:ascii="Arial" w:hAnsi="Arial" w:cs="Arial"/>
        </w:rPr>
        <w:t xml:space="preserve"> July 2019)</w:t>
      </w:r>
    </w:p>
    <w:p w14:paraId="1C14F23C" w14:textId="6163CBC1" w:rsidR="005D5270" w:rsidRPr="008203A6" w:rsidRDefault="005D5270" w:rsidP="003B792A">
      <w:pPr>
        <w:spacing w:line="360" w:lineRule="auto"/>
        <w:jc w:val="both"/>
        <w:rPr>
          <w:rFonts w:ascii="Arial" w:hAnsi="Arial" w:cs="Arial"/>
        </w:rPr>
      </w:pPr>
      <w:r w:rsidRPr="008203A6">
        <w:rPr>
          <w:rFonts w:ascii="Arial" w:hAnsi="Arial" w:cs="Arial"/>
        </w:rPr>
        <w:t>Mueller, R.G (2002) What Will The Next Real Estate Cycle Look Like? Available At : (PDF0 Researchgate.Net (Accessed On 08/06/2020).</w:t>
      </w:r>
    </w:p>
    <w:p w14:paraId="6A9D9F51" w14:textId="77777777" w:rsidR="005D5270" w:rsidRPr="008203A6" w:rsidRDefault="005D5270" w:rsidP="003B792A">
      <w:pPr>
        <w:spacing w:line="360" w:lineRule="auto"/>
        <w:jc w:val="both"/>
        <w:rPr>
          <w:rFonts w:ascii="Arial" w:hAnsi="Arial" w:cs="Arial"/>
        </w:rPr>
      </w:pPr>
      <w:r w:rsidRPr="008203A6">
        <w:rPr>
          <w:rFonts w:ascii="Arial" w:hAnsi="Arial" w:cs="Arial"/>
        </w:rPr>
        <w:t>Mumford, A. (1987). Using reality in management development”, management education and development, Vol. 18, pt. 3, pp. 223-243</w:t>
      </w:r>
    </w:p>
    <w:p w14:paraId="3BF5D71E" w14:textId="77777777" w:rsidR="005D5270" w:rsidRPr="008203A6" w:rsidRDefault="005D5270" w:rsidP="003B792A">
      <w:pPr>
        <w:spacing w:line="360" w:lineRule="auto"/>
        <w:jc w:val="both"/>
        <w:rPr>
          <w:rFonts w:ascii="Arial" w:hAnsi="Arial" w:cs="Arial"/>
          <w:iCs/>
        </w:rPr>
      </w:pPr>
      <w:r w:rsidRPr="008203A6">
        <w:rPr>
          <w:rFonts w:ascii="Arial" w:hAnsi="Arial" w:cs="Arial"/>
          <w:iCs/>
        </w:rPr>
        <w:t>Murphy, S.E., Blyth, D And Fiedler, F.E (1992), “ Cognitive Resource Theory And The Utilisation Of The Leader’s And Group Member’s Technical Competence”, Leadership Quarterly, Vol. 3 No 3, Pp. 237- 55</w:t>
      </w:r>
    </w:p>
    <w:p w14:paraId="614A7AEE"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Mustapha, F., (1990) Who are the Effective Construction Site Manager And What Skill Do They Bring To Their Work. A Thesis Submitted for The Degree Of Doctor Of Philosophy At The University of Bath School Of Architecture And Engineering. Available On Ethos. (Accessed On 22</w:t>
      </w:r>
      <w:r w:rsidRPr="008203A6">
        <w:rPr>
          <w:rFonts w:ascii="Arial" w:hAnsi="Arial" w:cs="Arial"/>
          <w:vertAlign w:val="superscript"/>
        </w:rPr>
        <w:t>nd</w:t>
      </w:r>
      <w:r w:rsidRPr="008203A6">
        <w:rPr>
          <w:rFonts w:ascii="Arial" w:hAnsi="Arial" w:cs="Arial"/>
        </w:rPr>
        <w:t xml:space="preserve"> December 2018).</w:t>
      </w:r>
    </w:p>
    <w:p w14:paraId="015ADEEC" w14:textId="77777777" w:rsidR="005D5270" w:rsidRPr="008203A6" w:rsidRDefault="005D5270" w:rsidP="003B792A">
      <w:pPr>
        <w:spacing w:line="360" w:lineRule="auto"/>
        <w:jc w:val="both"/>
        <w:rPr>
          <w:rFonts w:ascii="Arial" w:hAnsi="Arial" w:cs="Arial"/>
          <w:iCs/>
        </w:rPr>
      </w:pPr>
      <w:r w:rsidRPr="008203A6">
        <w:rPr>
          <w:rFonts w:ascii="Arial" w:hAnsi="Arial" w:cs="Arial"/>
          <w:iCs/>
        </w:rPr>
        <w:t>Muthuveloo, R., Kang, C. C. And Ping, T. A. (2017) An Empirical Analysis Of The Perceived Skills In Predicting Managerial Effectiveness: The Malaysian Perspective, Global Business &amp; Management Research, 9, Pp. 41-59.</w:t>
      </w:r>
    </w:p>
    <w:p w14:paraId="1626AAC6" w14:textId="5FBE0A92" w:rsidR="005D5270" w:rsidRPr="008203A6" w:rsidRDefault="005D5270" w:rsidP="003B792A">
      <w:pPr>
        <w:spacing w:line="360" w:lineRule="auto"/>
        <w:jc w:val="both"/>
        <w:rPr>
          <w:rFonts w:ascii="Arial" w:hAnsi="Arial" w:cs="Arial"/>
        </w:rPr>
      </w:pPr>
      <w:r w:rsidRPr="008203A6">
        <w:rPr>
          <w:rFonts w:ascii="Arial" w:hAnsi="Arial" w:cs="Arial"/>
        </w:rPr>
        <w:t xml:space="preserve">Myers And Majluf, (1984) Corporate Financing And Investment Decisions When Firms Have Information That Investors Do Not Have. Journal Of Financial Economics. 1984;13(2):187-221. Http://Www.Sciencedirect.Com/Science/Article/Pii/0304405X84900230. </w:t>
      </w:r>
      <w:r w:rsidR="00343F07">
        <w:rPr>
          <w:rFonts w:ascii="Arial" w:hAnsi="Arial" w:cs="Arial"/>
        </w:rPr>
        <w:t>d</w:t>
      </w:r>
      <w:r w:rsidR="00D8218D" w:rsidRPr="008203A6">
        <w:rPr>
          <w:rFonts w:ascii="Arial" w:hAnsi="Arial" w:cs="Arial"/>
        </w:rPr>
        <w:t>oi</w:t>
      </w:r>
      <w:r w:rsidRPr="008203A6">
        <w:rPr>
          <w:rFonts w:ascii="Arial" w:hAnsi="Arial" w:cs="Arial"/>
        </w:rPr>
        <w:t xml:space="preserve">: </w:t>
      </w:r>
      <w:hyperlink r:id="rId145" w:history="1">
        <w:r w:rsidRPr="008203A6">
          <w:rPr>
            <w:rStyle w:val="Hyperlink"/>
            <w:rFonts w:ascii="Arial" w:hAnsi="Arial" w:cs="Arial"/>
            <w:color w:val="auto"/>
          </w:rPr>
          <w:t>Https://Doi.Org/10.1016/0304-405X(84)90023-0</w:t>
        </w:r>
      </w:hyperlink>
      <w:r w:rsidRPr="008203A6">
        <w:rPr>
          <w:rFonts w:ascii="Arial" w:hAnsi="Arial" w:cs="Arial"/>
        </w:rPr>
        <w:t>.</w:t>
      </w:r>
    </w:p>
    <w:p w14:paraId="647239C2" w14:textId="77777777" w:rsidR="005D5270" w:rsidRPr="008203A6" w:rsidRDefault="005D5270" w:rsidP="003B792A">
      <w:pPr>
        <w:spacing w:before="240" w:line="360" w:lineRule="auto"/>
        <w:jc w:val="both"/>
        <w:rPr>
          <w:rFonts w:ascii="Arial" w:hAnsi="Arial" w:cs="Arial"/>
        </w:rPr>
      </w:pPr>
      <w:r w:rsidRPr="008203A6">
        <w:rPr>
          <w:rFonts w:ascii="Arial" w:hAnsi="Arial" w:cs="Arial"/>
        </w:rPr>
        <w:t>Myers, S. (1977). The Determinants Of Corporate Borrowing, Journal Of Financial Economics, 5(2), Pp. 147-176.</w:t>
      </w:r>
    </w:p>
    <w:p w14:paraId="0D1EA5ED"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Myers, S.C., (1984). </w:t>
      </w:r>
      <w:r w:rsidRPr="008203A6">
        <w:rPr>
          <w:rFonts w:ascii="Arial" w:hAnsi="Arial" w:cs="Arial"/>
          <w:i/>
          <w:iCs/>
          <w:shd w:val="clear" w:color="auto" w:fill="FFFFFF"/>
        </w:rPr>
        <w:t>Capital structure puzzle</w:t>
      </w:r>
      <w:r w:rsidRPr="008203A6">
        <w:rPr>
          <w:rFonts w:ascii="Arial" w:hAnsi="Arial" w:cs="Arial"/>
          <w:shd w:val="clear" w:color="auto" w:fill="FFFFFF"/>
        </w:rPr>
        <w:t> (No. w1393). National Bureau of Economic Research.</w:t>
      </w:r>
    </w:p>
    <w:p w14:paraId="2E54E2AF" w14:textId="77777777" w:rsidR="005D5270" w:rsidRPr="008203A6" w:rsidRDefault="005D5270" w:rsidP="003B792A">
      <w:pPr>
        <w:spacing w:line="360" w:lineRule="auto"/>
        <w:jc w:val="both"/>
        <w:rPr>
          <w:rFonts w:ascii="Arial" w:hAnsi="Arial" w:cs="Arial"/>
          <w:iCs/>
        </w:rPr>
      </w:pPr>
      <w:r w:rsidRPr="008203A6">
        <w:rPr>
          <w:rFonts w:ascii="Arial" w:hAnsi="Arial" w:cs="Arial"/>
          <w:iCs/>
        </w:rPr>
        <w:t>Myers, Stewart C. (1984). "Corporate Financing And Investment Decisions When Firms Have Information That Investors Do Not Have". Journal Of Financial Economics. </w:t>
      </w:r>
      <w:r w:rsidRPr="008203A6">
        <w:rPr>
          <w:rFonts w:ascii="Arial" w:hAnsi="Arial" w:cs="Arial"/>
          <w:b/>
          <w:bCs/>
          <w:iCs/>
        </w:rPr>
        <w:t>13</w:t>
      </w:r>
      <w:r w:rsidRPr="008203A6">
        <w:rPr>
          <w:rFonts w:ascii="Arial" w:hAnsi="Arial" w:cs="Arial"/>
          <w:iCs/>
        </w:rPr>
        <w:t> (2): 187–221. </w:t>
      </w:r>
      <w:hyperlink r:id="rId146" w:tooltip="Digital object identifier" w:history="1">
        <w:r w:rsidRPr="008203A6">
          <w:rPr>
            <w:rStyle w:val="Hyperlink"/>
            <w:rFonts w:ascii="Arial" w:hAnsi="Arial" w:cs="Arial"/>
            <w:iCs/>
            <w:color w:val="auto"/>
          </w:rPr>
          <w:t>Doi</w:t>
        </w:r>
      </w:hyperlink>
      <w:r w:rsidRPr="008203A6">
        <w:rPr>
          <w:rFonts w:ascii="Arial" w:hAnsi="Arial" w:cs="Arial"/>
          <w:iCs/>
        </w:rPr>
        <w:t>:</w:t>
      </w:r>
      <w:hyperlink r:id="rId147" w:history="1">
        <w:r w:rsidRPr="008203A6">
          <w:rPr>
            <w:rStyle w:val="Hyperlink"/>
            <w:rFonts w:ascii="Arial" w:hAnsi="Arial" w:cs="Arial"/>
            <w:iCs/>
            <w:color w:val="auto"/>
          </w:rPr>
          <w:t>10.1016/0304-405X(84)90023-0</w:t>
        </w:r>
      </w:hyperlink>
      <w:r w:rsidRPr="008203A6">
        <w:rPr>
          <w:rFonts w:ascii="Arial" w:hAnsi="Arial" w:cs="Arial"/>
          <w:iCs/>
        </w:rPr>
        <w:t>. </w:t>
      </w:r>
      <w:hyperlink r:id="rId148" w:tooltip="Handle System" w:history="1">
        <w:r w:rsidRPr="008203A6">
          <w:rPr>
            <w:rStyle w:val="Hyperlink"/>
            <w:rFonts w:ascii="Arial" w:hAnsi="Arial" w:cs="Arial"/>
            <w:iCs/>
            <w:color w:val="auto"/>
          </w:rPr>
          <w:t>Hdl</w:t>
        </w:r>
      </w:hyperlink>
      <w:r w:rsidRPr="008203A6">
        <w:rPr>
          <w:rFonts w:ascii="Arial" w:hAnsi="Arial" w:cs="Arial"/>
          <w:iCs/>
        </w:rPr>
        <w:t>:</w:t>
      </w:r>
      <w:hyperlink r:id="rId149" w:history="1">
        <w:r w:rsidRPr="008203A6">
          <w:rPr>
            <w:rStyle w:val="Hyperlink"/>
            <w:rFonts w:ascii="Arial" w:hAnsi="Arial" w:cs="Arial"/>
            <w:iCs/>
            <w:color w:val="auto"/>
          </w:rPr>
          <w:t>1721.1/2068</w:t>
        </w:r>
      </w:hyperlink>
      <w:r w:rsidRPr="008203A6">
        <w:rPr>
          <w:rFonts w:ascii="Arial" w:hAnsi="Arial" w:cs="Arial"/>
          <w:iCs/>
        </w:rPr>
        <w:t>.</w:t>
      </w:r>
    </w:p>
    <w:p w14:paraId="098923AD" w14:textId="77777777" w:rsidR="005D5270" w:rsidRPr="008203A6" w:rsidRDefault="005D5270" w:rsidP="003B792A">
      <w:pPr>
        <w:spacing w:line="360" w:lineRule="auto"/>
        <w:jc w:val="both"/>
        <w:rPr>
          <w:rFonts w:ascii="Arial" w:hAnsi="Arial" w:cs="Arial"/>
          <w:iCs/>
        </w:rPr>
      </w:pPr>
      <w:r w:rsidRPr="008203A6">
        <w:rPr>
          <w:rFonts w:ascii="Arial" w:hAnsi="Arial" w:cs="Arial"/>
          <w:iCs/>
        </w:rPr>
        <w:t>Myers, Stewart C.; Majluf, Nicholas S. (1984). "Corporate Financing And Investment Decisions When Firms Have Information That Investors Do Not Have". Journal Of Financial Economics. </w:t>
      </w:r>
      <w:r w:rsidRPr="008203A6">
        <w:rPr>
          <w:rFonts w:ascii="Arial" w:hAnsi="Arial" w:cs="Arial"/>
          <w:b/>
          <w:bCs/>
          <w:iCs/>
        </w:rPr>
        <w:t>13</w:t>
      </w:r>
      <w:r w:rsidRPr="008203A6">
        <w:rPr>
          <w:rFonts w:ascii="Arial" w:hAnsi="Arial" w:cs="Arial"/>
          <w:iCs/>
        </w:rPr>
        <w:t> (2): 187–221. </w:t>
      </w:r>
      <w:hyperlink r:id="rId150" w:tooltip="Digital object identifier" w:history="1">
        <w:r w:rsidRPr="008203A6">
          <w:rPr>
            <w:rStyle w:val="Hyperlink"/>
            <w:rFonts w:ascii="Arial" w:hAnsi="Arial" w:cs="Arial"/>
            <w:iCs/>
            <w:color w:val="auto"/>
          </w:rPr>
          <w:t>Doi</w:t>
        </w:r>
      </w:hyperlink>
      <w:r w:rsidRPr="008203A6">
        <w:rPr>
          <w:rFonts w:ascii="Arial" w:hAnsi="Arial" w:cs="Arial"/>
          <w:iCs/>
        </w:rPr>
        <w:t>:</w:t>
      </w:r>
      <w:hyperlink r:id="rId151" w:history="1">
        <w:r w:rsidRPr="008203A6">
          <w:rPr>
            <w:rStyle w:val="Hyperlink"/>
            <w:rFonts w:ascii="Arial" w:hAnsi="Arial" w:cs="Arial"/>
            <w:iCs/>
            <w:color w:val="auto"/>
          </w:rPr>
          <w:t>10.1016/0304-405X(84)90023-0</w:t>
        </w:r>
      </w:hyperlink>
      <w:r w:rsidRPr="008203A6">
        <w:rPr>
          <w:rFonts w:ascii="Arial" w:hAnsi="Arial" w:cs="Arial"/>
          <w:iCs/>
        </w:rPr>
        <w:t>. </w:t>
      </w:r>
      <w:hyperlink r:id="rId152" w:tooltip="Handle System" w:history="1">
        <w:r w:rsidRPr="008203A6">
          <w:rPr>
            <w:rStyle w:val="Hyperlink"/>
            <w:rFonts w:ascii="Arial" w:hAnsi="Arial" w:cs="Arial"/>
            <w:iCs/>
            <w:color w:val="auto"/>
          </w:rPr>
          <w:t>Hdl</w:t>
        </w:r>
      </w:hyperlink>
      <w:r w:rsidRPr="008203A6">
        <w:rPr>
          <w:rFonts w:ascii="Arial" w:hAnsi="Arial" w:cs="Arial"/>
          <w:iCs/>
        </w:rPr>
        <w:t>:</w:t>
      </w:r>
      <w:hyperlink r:id="rId153" w:history="1">
        <w:r w:rsidRPr="008203A6">
          <w:rPr>
            <w:rStyle w:val="Hyperlink"/>
            <w:rFonts w:ascii="Arial" w:hAnsi="Arial" w:cs="Arial"/>
            <w:iCs/>
            <w:color w:val="auto"/>
          </w:rPr>
          <w:t>1721.1/2068</w:t>
        </w:r>
      </w:hyperlink>
      <w:r w:rsidRPr="008203A6">
        <w:rPr>
          <w:rFonts w:ascii="Arial" w:hAnsi="Arial" w:cs="Arial"/>
          <w:iCs/>
        </w:rPr>
        <w:t>.</w:t>
      </w:r>
    </w:p>
    <w:p w14:paraId="6D2A5DFD" w14:textId="77777777" w:rsidR="005D5270" w:rsidRPr="008203A6" w:rsidRDefault="005D5270" w:rsidP="003B792A">
      <w:pPr>
        <w:spacing w:before="240" w:line="360" w:lineRule="auto"/>
        <w:jc w:val="both"/>
        <w:rPr>
          <w:rFonts w:ascii="Arial" w:hAnsi="Arial" w:cs="Arial"/>
        </w:rPr>
      </w:pPr>
      <w:r w:rsidRPr="008203A6">
        <w:rPr>
          <w:rFonts w:ascii="Arial" w:hAnsi="Arial" w:cs="Arial"/>
        </w:rPr>
        <w:t>Napier, N. P., Keil, M., &amp; Tan, F. B. (2009). It Project Managers' Construction Of Successful Project Management Practice: A Repertory Grid Investigation.</w:t>
      </w:r>
      <w:r w:rsidRPr="008203A6">
        <w:rPr>
          <w:rFonts w:ascii="Arial" w:hAnsi="Arial" w:cs="Arial"/>
          <w:i/>
          <w:iCs/>
        </w:rPr>
        <w:t> Information Systems Journal, 19</w:t>
      </w:r>
      <w:r w:rsidRPr="008203A6">
        <w:rPr>
          <w:rFonts w:ascii="Arial" w:hAnsi="Arial" w:cs="Arial"/>
        </w:rPr>
        <w:t>(3), 255-282.</w:t>
      </w:r>
    </w:p>
    <w:p w14:paraId="0D64B151" w14:textId="1E2BF3D6" w:rsidR="005D5270" w:rsidRPr="008203A6" w:rsidRDefault="005D5270" w:rsidP="003B792A">
      <w:pPr>
        <w:spacing w:before="240" w:line="360" w:lineRule="auto"/>
        <w:jc w:val="both"/>
        <w:rPr>
          <w:rFonts w:ascii="Arial" w:hAnsi="Arial" w:cs="Arial"/>
        </w:rPr>
      </w:pPr>
      <w:r w:rsidRPr="008203A6">
        <w:rPr>
          <w:rFonts w:ascii="Arial" w:hAnsi="Arial" w:cs="Arial"/>
        </w:rPr>
        <w:t xml:space="preserve">National Bureau Of Statistics (2017). Available At: </w:t>
      </w:r>
      <w:hyperlink r:id="rId154" w:history="1">
        <w:r w:rsidRPr="008203A6">
          <w:rPr>
            <w:rStyle w:val="Hyperlink"/>
            <w:rFonts w:ascii="Arial" w:hAnsi="Arial" w:cs="Arial"/>
            <w:color w:val="auto"/>
          </w:rPr>
          <w:t>Http://Www.Nigerianstat.Gov.Ng/(Accessed</w:t>
        </w:r>
      </w:hyperlink>
      <w:r w:rsidRPr="008203A6">
        <w:rPr>
          <w:rFonts w:ascii="Arial" w:hAnsi="Arial" w:cs="Arial"/>
        </w:rPr>
        <w:t xml:space="preserve"> On 21</w:t>
      </w:r>
      <w:r w:rsidRPr="008203A6">
        <w:rPr>
          <w:rFonts w:ascii="Arial" w:hAnsi="Arial" w:cs="Arial"/>
          <w:vertAlign w:val="superscript"/>
        </w:rPr>
        <w:t>st</w:t>
      </w:r>
      <w:r w:rsidRPr="008203A6">
        <w:rPr>
          <w:rFonts w:ascii="Arial" w:hAnsi="Arial" w:cs="Arial"/>
        </w:rPr>
        <w:t xml:space="preserve"> October 2017)</w:t>
      </w:r>
    </w:p>
    <w:p w14:paraId="6AF33462" w14:textId="108AE5FE" w:rsidR="005D5270" w:rsidRPr="008203A6" w:rsidRDefault="005D5270" w:rsidP="003B792A">
      <w:pPr>
        <w:spacing w:after="0" w:line="360" w:lineRule="auto"/>
        <w:jc w:val="both"/>
        <w:rPr>
          <w:rFonts w:ascii="Arial" w:hAnsi="Arial" w:cs="Arial"/>
        </w:rPr>
      </w:pPr>
      <w:r w:rsidRPr="008203A6">
        <w:rPr>
          <w:rFonts w:ascii="Arial" w:hAnsi="Arial" w:cs="Arial"/>
        </w:rPr>
        <w:t>Nechaev, A., Romanova, T. &amp; Tyapkina, M. (2018) Author’s Toolkit Of The State Regulation Of The Development Of Leasing. Available At : (PDF) Matec-Conference.Org ( Accessed On 29/06/2020)</w:t>
      </w:r>
    </w:p>
    <w:p w14:paraId="0F2D8A24" w14:textId="68A85B8D" w:rsidR="005D5270" w:rsidRPr="008203A6" w:rsidRDefault="005D5270" w:rsidP="003B792A">
      <w:pPr>
        <w:spacing w:before="240" w:after="160" w:line="360" w:lineRule="auto"/>
        <w:jc w:val="both"/>
        <w:rPr>
          <w:rFonts w:ascii="Arial" w:hAnsi="Arial" w:cs="Arial"/>
        </w:rPr>
      </w:pPr>
      <w:r w:rsidRPr="008203A6">
        <w:rPr>
          <w:rFonts w:ascii="Arial" w:hAnsi="Arial" w:cs="Arial"/>
        </w:rPr>
        <w:t>Nell, K., (2000) Money, Inflation And Growth In South Africa. A Thesis Submitted For The Degree Of Ph</w:t>
      </w:r>
      <w:r w:rsidR="00D947F5">
        <w:rPr>
          <w:rFonts w:ascii="Arial" w:hAnsi="Arial" w:cs="Arial"/>
        </w:rPr>
        <w:t>D</w:t>
      </w:r>
      <w:r w:rsidRPr="008203A6">
        <w:rPr>
          <w:rFonts w:ascii="Arial" w:hAnsi="Arial" w:cs="Arial"/>
        </w:rPr>
        <w:t xml:space="preserve"> In Economics At The University Of Kent At Canterbury. Available At:  </w:t>
      </w:r>
      <w:hyperlink r:id="rId155" w:history="1">
        <w:r w:rsidRPr="008203A6">
          <w:rPr>
            <w:rStyle w:val="Hyperlink"/>
            <w:rFonts w:ascii="Arial" w:hAnsi="Arial" w:cs="Arial"/>
            <w:color w:val="auto"/>
          </w:rPr>
          <w:t>Https://Ethos.Bl.Uk/Processorderdetailsdirect.Do?Eprintid=322826&amp;Thesistitle=Money%2c+Inflation+And+Growth+In+South+Africa.&amp;Documentid=24</w:t>
        </w:r>
      </w:hyperlink>
      <w:r w:rsidRPr="008203A6">
        <w:rPr>
          <w:rFonts w:ascii="Arial" w:hAnsi="Arial" w:cs="Arial"/>
        </w:rPr>
        <w:t xml:space="preserve"> ( Accessed On 2</w:t>
      </w:r>
      <w:r w:rsidRPr="008203A6">
        <w:rPr>
          <w:rFonts w:ascii="Arial" w:hAnsi="Arial" w:cs="Arial"/>
          <w:vertAlign w:val="superscript"/>
        </w:rPr>
        <w:t>nd</w:t>
      </w:r>
      <w:r w:rsidRPr="008203A6">
        <w:rPr>
          <w:rFonts w:ascii="Arial" w:hAnsi="Arial" w:cs="Arial"/>
        </w:rPr>
        <w:t xml:space="preserve"> January 2019)</w:t>
      </w:r>
    </w:p>
    <w:p w14:paraId="61194857" w14:textId="77777777" w:rsidR="005D5270" w:rsidRPr="008203A6" w:rsidRDefault="005D5270" w:rsidP="003B792A">
      <w:pPr>
        <w:spacing w:line="360" w:lineRule="auto"/>
        <w:jc w:val="both"/>
        <w:rPr>
          <w:rFonts w:ascii="Arial" w:hAnsi="Arial" w:cs="Arial"/>
        </w:rPr>
      </w:pPr>
      <w:r w:rsidRPr="008203A6">
        <w:rPr>
          <w:rFonts w:ascii="Arial" w:hAnsi="Arial" w:cs="Arial"/>
        </w:rPr>
        <w:t>Neuman., W. L. (2011). Social research methods: qualitative and quantitative approaches (6</w:t>
      </w:r>
      <w:r w:rsidRPr="008203A6">
        <w:rPr>
          <w:rFonts w:ascii="Arial" w:hAnsi="Arial" w:cs="Arial"/>
          <w:vertAlign w:val="superscript"/>
        </w:rPr>
        <w:t>th</w:t>
      </w:r>
      <w:r w:rsidRPr="008203A6">
        <w:rPr>
          <w:rFonts w:ascii="Arial" w:hAnsi="Arial" w:cs="Arial"/>
        </w:rPr>
        <w:t xml:space="preserve"> ed.) USA: Pearson International</w:t>
      </w:r>
    </w:p>
    <w:p w14:paraId="21F91377"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Nfcs (2016) Financial Capability In The United States, 2016. Available At: </w:t>
      </w:r>
      <w:hyperlink r:id="rId156" w:history="1">
        <w:r w:rsidRPr="008203A6">
          <w:rPr>
            <w:rStyle w:val="Hyperlink"/>
            <w:rFonts w:ascii="Arial" w:hAnsi="Arial" w:cs="Arial"/>
            <w:color w:val="auto"/>
          </w:rPr>
          <w:t>Http://Www.Usfinancialcapability.Org/Downloads/Nfcs_2015_Report_Natl_Findings.Pdf</w:t>
        </w:r>
      </w:hyperlink>
      <w:r w:rsidRPr="008203A6">
        <w:rPr>
          <w:rFonts w:ascii="Arial" w:hAnsi="Arial" w:cs="Arial"/>
        </w:rPr>
        <w:t xml:space="preserve"> ( Accessed On 26</w:t>
      </w:r>
      <w:r w:rsidRPr="008203A6">
        <w:rPr>
          <w:rFonts w:ascii="Arial" w:hAnsi="Arial" w:cs="Arial"/>
          <w:vertAlign w:val="superscript"/>
        </w:rPr>
        <w:t>th</w:t>
      </w:r>
      <w:r w:rsidRPr="008203A6">
        <w:rPr>
          <w:rFonts w:ascii="Arial" w:hAnsi="Arial" w:cs="Arial"/>
        </w:rPr>
        <w:t xml:space="preserve"> February 2019). </w:t>
      </w:r>
    </w:p>
    <w:p w14:paraId="6B6C783F"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Nichols, S.E., Tippins, D. &amp; Wieseman, K. Research In Science Education (1997) 27: 175. </w:t>
      </w:r>
      <w:hyperlink r:id="rId157" w:history="1">
        <w:r w:rsidRPr="008203A6">
          <w:rPr>
            <w:rStyle w:val="Hyperlink"/>
            <w:rFonts w:ascii="Arial" w:hAnsi="Arial" w:cs="Arial"/>
            <w:color w:val="auto"/>
          </w:rPr>
          <w:t>Https://0-Doi-Org.Lispac.Lsbu.Ac.Uk/10.1007/Bf02461315</w:t>
        </w:r>
      </w:hyperlink>
    </w:p>
    <w:p w14:paraId="3B4DF5AF" w14:textId="77777777" w:rsidR="005D5270" w:rsidRPr="008203A6" w:rsidRDefault="005D5270" w:rsidP="003B792A">
      <w:pPr>
        <w:spacing w:before="240" w:line="360" w:lineRule="auto"/>
        <w:jc w:val="both"/>
        <w:rPr>
          <w:rFonts w:ascii="Arial" w:hAnsi="Arial" w:cs="Arial"/>
          <w:iCs/>
        </w:rPr>
      </w:pPr>
      <w:r w:rsidRPr="008203A6">
        <w:rPr>
          <w:rFonts w:ascii="Arial" w:hAnsi="Arial" w:cs="Arial"/>
          <w:iCs/>
        </w:rPr>
        <w:t>Nigeria New Reforms Pave The Way For Inclusive Economic Growth, (2013) Africa Business, (401), Pp. 47-50</w:t>
      </w:r>
    </w:p>
    <w:p w14:paraId="38D70A86" w14:textId="77777777" w:rsidR="005D5270" w:rsidRPr="008203A6" w:rsidRDefault="005D5270" w:rsidP="003B792A">
      <w:pPr>
        <w:spacing w:before="240" w:line="360" w:lineRule="auto"/>
        <w:jc w:val="both"/>
        <w:rPr>
          <w:rFonts w:ascii="Arial" w:hAnsi="Arial" w:cs="Arial"/>
        </w:rPr>
      </w:pPr>
      <w:r w:rsidRPr="008203A6">
        <w:rPr>
          <w:rFonts w:ascii="Arial" w:hAnsi="Arial" w:cs="Arial"/>
        </w:rPr>
        <w:t>Nitz, N.H (1996) Where’s The Cash: Secured Lender Vol. 52 Issue 6, P124.2p Black And White Photographs</w:t>
      </w:r>
    </w:p>
    <w:p w14:paraId="2CBB8941" w14:textId="5E94B325" w:rsidR="005D5270" w:rsidRPr="008203A6" w:rsidRDefault="005D5270" w:rsidP="003B792A">
      <w:pPr>
        <w:spacing w:before="240" w:line="360" w:lineRule="auto"/>
        <w:jc w:val="both"/>
        <w:rPr>
          <w:rFonts w:ascii="Arial" w:hAnsi="Arial" w:cs="Arial"/>
        </w:rPr>
      </w:pPr>
      <w:r w:rsidRPr="008203A6">
        <w:rPr>
          <w:rFonts w:ascii="Arial" w:hAnsi="Arial" w:cs="Arial"/>
        </w:rPr>
        <w:t xml:space="preserve">Njoku, J (2012) Lekki, A Time Bomb Waiting To Explode. Available At: </w:t>
      </w:r>
      <w:hyperlink r:id="rId158" w:history="1">
        <w:r w:rsidRPr="008203A6">
          <w:rPr>
            <w:rStyle w:val="Hyperlink"/>
            <w:rFonts w:ascii="Arial" w:hAnsi="Arial" w:cs="Arial"/>
            <w:color w:val="auto"/>
          </w:rPr>
          <w:t>Https://Www.Vanguardngr.Com/2012/09/Lekki-A-Time-Bomb-Waiting-To-Explode/</w:t>
        </w:r>
      </w:hyperlink>
      <w:r w:rsidRPr="008203A6">
        <w:rPr>
          <w:rFonts w:ascii="Arial" w:hAnsi="Arial" w:cs="Arial"/>
        </w:rPr>
        <w:t xml:space="preserve"> (Accessed On 27</w:t>
      </w:r>
      <w:r w:rsidRPr="008203A6">
        <w:rPr>
          <w:rFonts w:ascii="Arial" w:hAnsi="Arial" w:cs="Arial"/>
          <w:vertAlign w:val="superscript"/>
        </w:rPr>
        <w:t>th</w:t>
      </w:r>
      <w:r w:rsidRPr="008203A6">
        <w:rPr>
          <w:rFonts w:ascii="Arial" w:hAnsi="Arial" w:cs="Arial"/>
        </w:rPr>
        <w:t xml:space="preserve"> March 2018).</w:t>
      </w:r>
    </w:p>
    <w:p w14:paraId="318D3C89"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Noruwa, B., Merschbrock, C., Arewa, O.A., And Agyekum- Mensah, G. (2018). The Institutional Foundation Of Construction Ict: A View From The West Midlands Of England. Available At: </w:t>
      </w:r>
      <w:hyperlink r:id="rId159" w:history="1">
        <w:r w:rsidRPr="008203A6">
          <w:rPr>
            <w:rStyle w:val="Hyperlink"/>
            <w:rFonts w:ascii="Arial" w:hAnsi="Arial" w:cs="Arial"/>
            <w:color w:val="auto"/>
          </w:rPr>
          <w:t>Http://Www.Arcom.Ac.Uk/-Docs/Archive/2018-Indexed-Papers.Pdf</w:t>
        </w:r>
      </w:hyperlink>
      <w:r w:rsidRPr="008203A6">
        <w:rPr>
          <w:rFonts w:ascii="Arial" w:hAnsi="Arial" w:cs="Arial"/>
        </w:rPr>
        <w:t xml:space="preserve"> (Accessed On 7</w:t>
      </w:r>
      <w:r w:rsidRPr="008203A6">
        <w:rPr>
          <w:rFonts w:ascii="Arial" w:hAnsi="Arial" w:cs="Arial"/>
          <w:vertAlign w:val="superscript"/>
        </w:rPr>
        <w:t>th</w:t>
      </w:r>
      <w:r w:rsidRPr="008203A6">
        <w:rPr>
          <w:rFonts w:ascii="Arial" w:hAnsi="Arial" w:cs="Arial"/>
        </w:rPr>
        <w:t xml:space="preserve"> January 2019).</w:t>
      </w:r>
    </w:p>
    <w:p w14:paraId="125816E9" w14:textId="77777777" w:rsidR="005D5270" w:rsidRPr="008203A6" w:rsidRDefault="005D5270" w:rsidP="003B792A">
      <w:pPr>
        <w:spacing w:line="360" w:lineRule="auto"/>
        <w:jc w:val="both"/>
        <w:rPr>
          <w:rFonts w:ascii="Arial" w:hAnsi="Arial" w:cs="Arial"/>
          <w:iCs/>
        </w:rPr>
      </w:pPr>
      <w:r w:rsidRPr="008203A6">
        <w:rPr>
          <w:rFonts w:ascii="Arial" w:hAnsi="Arial" w:cs="Arial"/>
          <w:iCs/>
        </w:rPr>
        <w:t>Nubi, T.G (2010) Towards A Sustainable Housing Finance In Nigeria: The Challenges Of Developing Adequate Housing Stock And A Road Map, Housing Finance International, 24 (4), Pp.22-28.</w:t>
      </w:r>
    </w:p>
    <w:p w14:paraId="58739287"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Nulty, D. (2008). The Adequacy Of Response To Online And Paper Surveys: What Can Be Done?. Available On </w:t>
      </w:r>
      <w:hyperlink r:id="rId160" w:history="1">
        <w:r w:rsidRPr="008203A6">
          <w:rPr>
            <w:rStyle w:val="Hyperlink"/>
            <w:rFonts w:ascii="Arial" w:hAnsi="Arial" w:cs="Arial"/>
            <w:color w:val="auto"/>
          </w:rPr>
          <w:t>Https://Www.Uaf.Edu/Files/Uafgov/Fsadmin-Nulty5-19-10.Pdf(Accessed</w:t>
        </w:r>
      </w:hyperlink>
      <w:r w:rsidRPr="008203A6">
        <w:rPr>
          <w:rFonts w:ascii="Arial" w:hAnsi="Arial" w:cs="Arial"/>
        </w:rPr>
        <w:t xml:space="preserve"> On 12</w:t>
      </w:r>
      <w:r w:rsidRPr="008203A6">
        <w:rPr>
          <w:rFonts w:ascii="Arial" w:hAnsi="Arial" w:cs="Arial"/>
          <w:vertAlign w:val="superscript"/>
        </w:rPr>
        <w:t>th</w:t>
      </w:r>
      <w:r w:rsidRPr="008203A6">
        <w:rPr>
          <w:rFonts w:ascii="Arial" w:hAnsi="Arial" w:cs="Arial"/>
        </w:rPr>
        <w:t xml:space="preserve"> July 2019.</w:t>
      </w:r>
    </w:p>
    <w:p w14:paraId="64C9337C"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Nur, H.I., Melissa, F.W., Shafinar, I., &amp; Khairunnisa, A.B. (2018) Financial Knowledge, Debt Literacy &amp; Over-Indebtedness. The Journal Of Social Science Research. Issn (P): 2413-6670, Special Issue. 3, Pp: 22-29, 2018. Available At: </w:t>
      </w:r>
      <w:hyperlink r:id="rId161" w:history="1">
        <w:r w:rsidRPr="008203A6">
          <w:rPr>
            <w:rStyle w:val="Hyperlink"/>
            <w:rFonts w:ascii="Arial" w:hAnsi="Arial" w:cs="Arial"/>
            <w:color w:val="auto"/>
          </w:rPr>
          <w:t>Https://Arpgweb.Com/Journal/Journal/7/Special_Issue</w:t>
        </w:r>
      </w:hyperlink>
      <w:r w:rsidRPr="008203A6">
        <w:rPr>
          <w:rFonts w:ascii="Arial" w:hAnsi="Arial" w:cs="Arial"/>
        </w:rPr>
        <w:t xml:space="preserve"> (Accessed On 26</w:t>
      </w:r>
      <w:r w:rsidRPr="008203A6">
        <w:rPr>
          <w:rFonts w:ascii="Arial" w:hAnsi="Arial" w:cs="Arial"/>
          <w:vertAlign w:val="superscript"/>
        </w:rPr>
        <w:t>th</w:t>
      </w:r>
      <w:r w:rsidRPr="008203A6">
        <w:rPr>
          <w:rFonts w:ascii="Arial" w:hAnsi="Arial" w:cs="Arial"/>
        </w:rPr>
        <w:t xml:space="preserve"> February 2018).</w:t>
      </w:r>
    </w:p>
    <w:p w14:paraId="15C91236"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lastRenderedPageBreak/>
        <w:t>Nurick, S., Boyle, L., Morris, G., Potgieter, J. and Allen, O., ( 2018). An investigation into the relatively low uptake of residential stock within South African Real Estate Investment Trusts. </w:t>
      </w:r>
      <w:r w:rsidRPr="008203A6">
        <w:rPr>
          <w:rFonts w:ascii="Arial" w:hAnsi="Arial" w:cs="Arial"/>
          <w:i/>
          <w:iCs/>
          <w:shd w:val="clear" w:color="auto" w:fill="FFFFFF"/>
        </w:rPr>
        <w:t>Journal of African Real Estate Research</w:t>
      </w:r>
      <w:r w:rsidRPr="008203A6">
        <w:rPr>
          <w:rFonts w:ascii="Arial" w:hAnsi="Arial" w:cs="Arial"/>
          <w:shd w:val="clear" w:color="auto" w:fill="FFFFFF"/>
        </w:rPr>
        <w:t>, </w:t>
      </w:r>
      <w:r w:rsidRPr="008203A6">
        <w:rPr>
          <w:rFonts w:ascii="Arial" w:hAnsi="Arial" w:cs="Arial"/>
          <w:i/>
          <w:iCs/>
          <w:shd w:val="clear" w:color="auto" w:fill="FFFFFF"/>
        </w:rPr>
        <w:t>3</w:t>
      </w:r>
      <w:r w:rsidRPr="008203A6">
        <w:rPr>
          <w:rFonts w:ascii="Arial" w:hAnsi="Arial" w:cs="Arial"/>
          <w:shd w:val="clear" w:color="auto" w:fill="FFFFFF"/>
        </w:rPr>
        <w:t>(1), pp.61-80.</w:t>
      </w:r>
    </w:p>
    <w:p w14:paraId="057B8DC7"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Nurick, S., Viruly, F., Mitchell, K. and Boyle, L.,( 2017). An empirical assessment of the United Kingdom and South African property markets. In </w:t>
      </w:r>
      <w:r w:rsidRPr="008203A6">
        <w:rPr>
          <w:rFonts w:ascii="Arial" w:hAnsi="Arial" w:cs="Arial"/>
          <w:i/>
          <w:iCs/>
          <w:shd w:val="clear" w:color="auto" w:fill="FFFFFF"/>
        </w:rPr>
        <w:t>International Research Week Conference W</w:t>
      </w:r>
      <w:r w:rsidRPr="008203A6">
        <w:rPr>
          <w:rFonts w:ascii="Arial" w:hAnsi="Arial" w:cs="Arial"/>
          <w:shd w:val="clear" w:color="auto" w:fill="FFFFFF"/>
        </w:rPr>
        <w:t> (Vol. 55, pp. 54-64).</w:t>
      </w:r>
    </w:p>
    <w:p w14:paraId="6FFACDAD" w14:textId="77777777" w:rsidR="005D5270" w:rsidRPr="008203A6" w:rsidRDefault="005D5270" w:rsidP="003B792A">
      <w:pPr>
        <w:spacing w:before="240" w:line="360" w:lineRule="auto"/>
        <w:jc w:val="both"/>
        <w:rPr>
          <w:rFonts w:ascii="Arial" w:hAnsi="Arial" w:cs="Arial"/>
        </w:rPr>
      </w:pPr>
      <w:r w:rsidRPr="008203A6">
        <w:rPr>
          <w:rFonts w:ascii="Arial" w:hAnsi="Arial" w:cs="Arial"/>
        </w:rPr>
        <w:t>Ogbenjuwa, L., And Egbu, C. (2017) Creative And Innovative Financing, An Approach To Financing A Sustainable Real Estate Environment. In: P.G Aouad, A., Al-Hajj &amp; C. Egbu (Eds). Sustainable Futures Proceedings Of The International Conference On Sustainable Futures- ICSF 2017, The Grove Hotel, Amwaj Island, Kingdom Of Bahrain; 26 -27 November 2017, Pp. 545 – 555</w:t>
      </w:r>
    </w:p>
    <w:p w14:paraId="03B16382" w14:textId="77777777" w:rsidR="005D5270" w:rsidRPr="008203A6" w:rsidRDefault="005D5270" w:rsidP="003B792A">
      <w:pPr>
        <w:spacing w:line="360" w:lineRule="auto"/>
        <w:jc w:val="both"/>
        <w:rPr>
          <w:rFonts w:ascii="Arial" w:hAnsi="Arial" w:cs="Arial"/>
        </w:rPr>
      </w:pPr>
      <w:r w:rsidRPr="008203A6">
        <w:rPr>
          <w:rFonts w:ascii="Arial" w:hAnsi="Arial" w:cs="Arial"/>
        </w:rPr>
        <w:t>Ogbenjuwa, L., Egbu,  C., And Robinson, H. (2018). A Skilled Manager, Strategic To Real Estate Financing. International Journal Of Real Estate And Land Planning, 1(March), Pp.106–115.  Available At: Http://Ejournals.Lib.Auth.Gr/Reland/Article/View/6463</w:t>
      </w:r>
    </w:p>
    <w:p w14:paraId="474316DE" w14:textId="77777777" w:rsidR="005D5270" w:rsidRPr="008203A6" w:rsidRDefault="005D5270" w:rsidP="003B792A">
      <w:pPr>
        <w:spacing w:line="360" w:lineRule="auto"/>
        <w:jc w:val="both"/>
        <w:rPr>
          <w:rFonts w:ascii="Arial" w:hAnsi="Arial" w:cs="Arial"/>
        </w:rPr>
      </w:pPr>
      <w:r w:rsidRPr="008203A6">
        <w:rPr>
          <w:rFonts w:ascii="Arial" w:hAnsi="Arial" w:cs="Arial"/>
        </w:rPr>
        <w:t>Ogbenjuwa, L., Egbu, C., &amp; Robinson, H. (2018). A Strategic Approach To Real Estate Financing: Challenges &amp; Opportunities In Real Estate Financing In Nigeria. In RICS COBRA 2018. London: RICS.  Available At Https://Www.Rics.Org/Es/News-Insight/Research/Conference-Papers/A-Strategic-Approach-To-Real-Estate-Financing-Opportunities-In-Nigeria/</w:t>
      </w:r>
    </w:p>
    <w:p w14:paraId="73D115AB" w14:textId="77777777" w:rsidR="005D5270" w:rsidRPr="008203A6" w:rsidRDefault="005D5270" w:rsidP="003B792A">
      <w:pPr>
        <w:spacing w:line="360" w:lineRule="auto"/>
        <w:jc w:val="both"/>
        <w:rPr>
          <w:rFonts w:ascii="Arial" w:hAnsi="Arial" w:cs="Arial"/>
        </w:rPr>
      </w:pPr>
      <w:r w:rsidRPr="008203A6">
        <w:rPr>
          <w:rFonts w:ascii="Arial" w:hAnsi="Arial" w:cs="Arial"/>
        </w:rPr>
        <w:t>Ogbenjuwa, L., Egbu, C., And Robinson, H. (2018). Shortages Of Skills And Competences: Constraint To Private Sector Real Estate Funding In The Emerging Economies. In ARCOM Conference, Belfast UK 3rd – 5th September, (2018, Pp. 390 – 399. Available At: Http://Www.Arcom.Ac.Uk/-Docs/Archive/2018-Working-Papers.Pdf</w:t>
      </w:r>
    </w:p>
    <w:p w14:paraId="373924DA" w14:textId="77777777" w:rsidR="005D5270" w:rsidRPr="008203A6" w:rsidRDefault="005D5270" w:rsidP="003B792A">
      <w:pPr>
        <w:spacing w:line="360" w:lineRule="auto"/>
        <w:jc w:val="both"/>
        <w:rPr>
          <w:rFonts w:ascii="Arial" w:hAnsi="Arial" w:cs="Arial"/>
        </w:rPr>
      </w:pPr>
      <w:r w:rsidRPr="008203A6">
        <w:rPr>
          <w:rFonts w:ascii="Arial" w:hAnsi="Arial" w:cs="Arial"/>
        </w:rPr>
        <w:t>Ogbenjuwa, L., Egbu, C., And Robinson, H. (2018). The Real Estate Manager: Towards A Financial Knowledge And Skills Framework For Professional Development. In Proc. Of The International Conference On Professionalism And Ethics In Construction, London, UK, 21st-22rd November 2018, Pp. 363 -372. Available At: Http://Www.Lsbu.Ac.Uk/__Data/Assets/Pdf_File/0014/136022/Final-International-Conference-On-Professionalism-And-Ethics-In-Construc....Pdf</w:t>
      </w:r>
    </w:p>
    <w:p w14:paraId="2647900B"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Oladokun, T. T., &amp; Ogunbiyi, J. O. (2018). External Factors Were Critical To Success In The Business Of Estate Surveying Firms In Lagos State, </w:t>
      </w:r>
      <w:r w:rsidRPr="008203A6">
        <w:rPr>
          <w:rFonts w:ascii="Arial" w:hAnsi="Arial" w:cs="Arial"/>
        </w:rPr>
        <w:pgNum/>
      </w:r>
      <w:r w:rsidRPr="008203A6">
        <w:rPr>
          <w:rFonts w:ascii="Arial" w:hAnsi="Arial" w:cs="Arial"/>
        </w:rPr>
        <w:t>Ustral.</w:t>
      </w:r>
      <w:r w:rsidRPr="008203A6">
        <w:rPr>
          <w:rFonts w:ascii="Arial" w:hAnsi="Arial" w:cs="Arial"/>
          <w:i/>
          <w:iCs/>
        </w:rPr>
        <w:t> Journal Of Facilities Management, 16</w:t>
      </w:r>
      <w:r w:rsidRPr="008203A6">
        <w:rPr>
          <w:rFonts w:ascii="Arial" w:hAnsi="Arial" w:cs="Arial"/>
        </w:rPr>
        <w:t>(2), 142-156.</w:t>
      </w:r>
    </w:p>
    <w:p w14:paraId="69BCB70F"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 xml:space="preserve">Olaleye, A., </w:t>
      </w:r>
      <w:r w:rsidRPr="008203A6">
        <w:rPr>
          <w:rFonts w:ascii="Arial" w:hAnsi="Arial" w:cs="Arial"/>
        </w:rPr>
        <w:pgNum/>
      </w:r>
      <w:r w:rsidRPr="008203A6">
        <w:rPr>
          <w:rFonts w:ascii="Arial" w:hAnsi="Arial" w:cs="Arial"/>
        </w:rPr>
        <w:t xml:space="preserve">Ustral, J And Araloyin, F.M (2014). Inadequacies In Development Viability Appraisal Studies In The </w:t>
      </w:r>
      <w:r w:rsidRPr="008203A6">
        <w:rPr>
          <w:rFonts w:ascii="Arial" w:hAnsi="Arial" w:cs="Arial"/>
        </w:rPr>
        <w:pgNum/>
      </w:r>
      <w:r w:rsidRPr="008203A6">
        <w:rPr>
          <w:rFonts w:ascii="Arial" w:hAnsi="Arial" w:cs="Arial"/>
        </w:rPr>
        <w:t xml:space="preserve">Ustrali Property Market. Available At: </w:t>
      </w:r>
      <w:hyperlink r:id="rId162" w:history="1">
        <w:r w:rsidRPr="008203A6">
          <w:rPr>
            <w:rStyle w:val="Hyperlink"/>
            <w:rFonts w:ascii="Arial" w:hAnsi="Arial" w:cs="Arial"/>
            <w:color w:val="auto"/>
          </w:rPr>
          <w:t>Http://Www.Afrer.Org/Docs/Pdf/Journal%20african%20real%20estate%20research%202014.Pdf</w:t>
        </w:r>
      </w:hyperlink>
      <w:r w:rsidRPr="008203A6">
        <w:rPr>
          <w:rFonts w:ascii="Arial" w:hAnsi="Arial" w:cs="Arial"/>
        </w:rPr>
        <w:t xml:space="preserve"> (Accessed On 4</w:t>
      </w:r>
      <w:r w:rsidRPr="008203A6">
        <w:rPr>
          <w:rFonts w:ascii="Arial" w:hAnsi="Arial" w:cs="Arial"/>
          <w:vertAlign w:val="superscript"/>
        </w:rPr>
        <w:t>th</w:t>
      </w:r>
      <w:r w:rsidRPr="008203A6">
        <w:rPr>
          <w:rFonts w:ascii="Arial" w:hAnsi="Arial" w:cs="Arial"/>
        </w:rPr>
        <w:t xml:space="preserve"> </w:t>
      </w:r>
      <w:r w:rsidRPr="008203A6">
        <w:rPr>
          <w:rFonts w:ascii="Arial" w:hAnsi="Arial" w:cs="Arial"/>
        </w:rPr>
        <w:pgNum/>
      </w:r>
      <w:r w:rsidRPr="008203A6">
        <w:rPr>
          <w:rFonts w:ascii="Arial" w:hAnsi="Arial" w:cs="Arial"/>
        </w:rPr>
        <w:t>Ustral 2019)</w:t>
      </w:r>
    </w:p>
    <w:p w14:paraId="07C7A873"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Olaleye, A., (2008). Property market nature and the choice of property portfolio diversification strategies: The Nigeria experience. </w:t>
      </w:r>
      <w:r w:rsidRPr="008203A6">
        <w:rPr>
          <w:rFonts w:ascii="Arial" w:hAnsi="Arial" w:cs="Arial"/>
          <w:i/>
          <w:iCs/>
          <w:shd w:val="clear" w:color="auto" w:fill="FFFFFF"/>
        </w:rPr>
        <w:t>International Journal of Strategic Property Management</w:t>
      </w:r>
      <w:r w:rsidRPr="008203A6">
        <w:rPr>
          <w:rFonts w:ascii="Arial" w:hAnsi="Arial" w:cs="Arial"/>
          <w:shd w:val="clear" w:color="auto" w:fill="FFFFFF"/>
        </w:rPr>
        <w:t>, </w:t>
      </w:r>
      <w:r w:rsidRPr="008203A6">
        <w:rPr>
          <w:rFonts w:ascii="Arial" w:hAnsi="Arial" w:cs="Arial"/>
          <w:i/>
          <w:iCs/>
          <w:shd w:val="clear" w:color="auto" w:fill="FFFFFF"/>
        </w:rPr>
        <w:t>12</w:t>
      </w:r>
      <w:r w:rsidRPr="008203A6">
        <w:rPr>
          <w:rFonts w:ascii="Arial" w:hAnsi="Arial" w:cs="Arial"/>
          <w:shd w:val="clear" w:color="auto" w:fill="FFFFFF"/>
        </w:rPr>
        <w:t>(1), pp.35-51.</w:t>
      </w:r>
    </w:p>
    <w:p w14:paraId="1195E9C5"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Olaleye, A., Aluko, B. and Oloyede, S., (2008). Evaluating diversification strategies for direct property investment portfolios. </w:t>
      </w:r>
      <w:r w:rsidRPr="008203A6">
        <w:rPr>
          <w:rFonts w:ascii="Arial" w:hAnsi="Arial" w:cs="Arial"/>
          <w:i/>
          <w:iCs/>
          <w:shd w:val="clear" w:color="auto" w:fill="FFFFFF"/>
        </w:rPr>
        <w:t>Journal of Real Estate Portfolio Management</w:t>
      </w:r>
      <w:r w:rsidRPr="008203A6">
        <w:rPr>
          <w:rFonts w:ascii="Arial" w:hAnsi="Arial" w:cs="Arial"/>
          <w:shd w:val="clear" w:color="auto" w:fill="FFFFFF"/>
        </w:rPr>
        <w:t>, </w:t>
      </w:r>
      <w:r w:rsidRPr="008203A6">
        <w:rPr>
          <w:rFonts w:ascii="Arial" w:hAnsi="Arial" w:cs="Arial"/>
          <w:i/>
          <w:iCs/>
          <w:shd w:val="clear" w:color="auto" w:fill="FFFFFF"/>
        </w:rPr>
        <w:t>14</w:t>
      </w:r>
      <w:r w:rsidRPr="008203A6">
        <w:rPr>
          <w:rFonts w:ascii="Arial" w:hAnsi="Arial" w:cs="Arial"/>
          <w:shd w:val="clear" w:color="auto" w:fill="FFFFFF"/>
        </w:rPr>
        <w:t>(3), pp.223-232.</w:t>
      </w:r>
    </w:p>
    <w:p w14:paraId="3F35E190" w14:textId="09A98815" w:rsidR="005D5270" w:rsidRPr="008203A6" w:rsidRDefault="005D5270" w:rsidP="003B792A">
      <w:pPr>
        <w:spacing w:before="240" w:line="360" w:lineRule="auto"/>
        <w:jc w:val="both"/>
        <w:rPr>
          <w:rFonts w:ascii="Arial" w:hAnsi="Arial" w:cs="Arial"/>
        </w:rPr>
      </w:pPr>
      <w:r w:rsidRPr="008203A6">
        <w:rPr>
          <w:rFonts w:ascii="Arial" w:hAnsi="Arial" w:cs="Arial"/>
        </w:rPr>
        <w:t xml:space="preserve">Olawoyin, O. (2017). Nigeria Economy Out Of Recession-Statistics Bureau. Available At: </w:t>
      </w:r>
      <w:hyperlink r:id="rId163" w:history="1">
        <w:r w:rsidRPr="008203A6">
          <w:rPr>
            <w:rStyle w:val="Hyperlink"/>
            <w:rFonts w:ascii="Arial" w:hAnsi="Arial" w:cs="Arial"/>
            <w:color w:val="auto"/>
          </w:rPr>
          <w:t>Https://Www.Premiumtimesng.Com/News/Headlines/242391-Breaking-Nigerian-Economy-Recession-Statistics-Bureau.Html</w:t>
        </w:r>
      </w:hyperlink>
      <w:r w:rsidRPr="008203A6">
        <w:rPr>
          <w:rFonts w:ascii="Arial" w:hAnsi="Arial" w:cs="Arial"/>
        </w:rPr>
        <w:t xml:space="preserve"> (Accessed On 10th October 2017).</w:t>
      </w:r>
    </w:p>
    <w:p w14:paraId="111B3798" w14:textId="77777777" w:rsidR="005D5270" w:rsidRPr="008203A6" w:rsidRDefault="005D5270" w:rsidP="003B792A">
      <w:pPr>
        <w:spacing w:before="240" w:line="360" w:lineRule="auto"/>
        <w:jc w:val="both"/>
        <w:rPr>
          <w:rFonts w:ascii="Arial" w:hAnsi="Arial" w:cs="Arial"/>
        </w:rPr>
      </w:pPr>
      <w:r w:rsidRPr="008203A6">
        <w:rPr>
          <w:rFonts w:ascii="Arial" w:hAnsi="Arial" w:cs="Arial"/>
        </w:rPr>
        <w:t>Oliver Bigas, Lianabel. (2018). Financial Skills Every Manager Should Be Able To Navigate.</w:t>
      </w:r>
      <w:r w:rsidRPr="008203A6">
        <w:rPr>
          <w:rFonts w:ascii="Arial" w:hAnsi="Arial" w:cs="Arial"/>
          <w:i/>
          <w:iCs/>
        </w:rPr>
        <w:t> Td: Talent Development, 72</w:t>
      </w:r>
      <w:r w:rsidRPr="008203A6">
        <w:rPr>
          <w:rFonts w:ascii="Arial" w:hAnsi="Arial" w:cs="Arial"/>
        </w:rPr>
        <w:t>(6), 32-37.</w:t>
      </w:r>
    </w:p>
    <w:p w14:paraId="5C30735F"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Oliver, L (2018) The 5 Basic Financial Skills Every Manager Should Know And Understand. Available At: </w:t>
      </w:r>
      <w:hyperlink r:id="rId164" w:history="1">
        <w:r w:rsidRPr="008203A6">
          <w:rPr>
            <w:rStyle w:val="Hyperlink"/>
            <w:rFonts w:ascii="Arial" w:hAnsi="Arial" w:cs="Arial"/>
            <w:color w:val="auto"/>
          </w:rPr>
          <w:t>Https://Www.Obalearn.Com/5-Basic-Financial-Skills-Every-Manager-Know-Understand/</w:t>
        </w:r>
      </w:hyperlink>
      <w:r w:rsidRPr="008203A6">
        <w:rPr>
          <w:rFonts w:ascii="Arial" w:hAnsi="Arial" w:cs="Arial"/>
        </w:rPr>
        <w:t xml:space="preserve"> ( Accessed On 24</w:t>
      </w:r>
      <w:r w:rsidRPr="008203A6">
        <w:rPr>
          <w:rFonts w:ascii="Arial" w:hAnsi="Arial" w:cs="Arial"/>
          <w:vertAlign w:val="superscript"/>
        </w:rPr>
        <w:t>th</w:t>
      </w:r>
      <w:r w:rsidRPr="008203A6">
        <w:rPr>
          <w:rFonts w:ascii="Arial" w:hAnsi="Arial" w:cs="Arial"/>
        </w:rPr>
        <w:t xml:space="preserve"> </w:t>
      </w:r>
      <w:r w:rsidRPr="008203A6">
        <w:rPr>
          <w:rFonts w:ascii="Arial" w:hAnsi="Arial" w:cs="Arial"/>
        </w:rPr>
        <w:pgNum/>
      </w:r>
      <w:r w:rsidRPr="008203A6">
        <w:rPr>
          <w:rFonts w:ascii="Arial" w:hAnsi="Arial" w:cs="Arial"/>
        </w:rPr>
        <w:t>Ustralia 2018).</w:t>
      </w:r>
    </w:p>
    <w:p w14:paraId="49C6E358"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Ongera, O.N (2015) Challenges Faced By Smes In Accessing Private Equity Financing. A Research Project Report Presented For The Degree Of Master Of Business Administration Presented To United States International University </w:t>
      </w:r>
      <w:r w:rsidRPr="008203A6">
        <w:rPr>
          <w:rFonts w:ascii="Arial" w:hAnsi="Arial" w:cs="Arial"/>
        </w:rPr>
        <w:pgNum/>
      </w:r>
      <w:r w:rsidRPr="008203A6">
        <w:rPr>
          <w:rFonts w:ascii="Arial" w:hAnsi="Arial" w:cs="Arial"/>
        </w:rPr>
        <w:t xml:space="preserve">Ustra. Available At: </w:t>
      </w:r>
      <w:hyperlink r:id="rId165" w:history="1">
        <w:r w:rsidRPr="008203A6">
          <w:rPr>
            <w:rStyle w:val="Hyperlink"/>
            <w:rFonts w:ascii="Arial" w:hAnsi="Arial" w:cs="Arial"/>
            <w:color w:val="auto"/>
          </w:rPr>
          <w:t>Http://Erepo.Usiu.Ac.Ke/Bitstream/Handle/11732/651/Onsomu%20vincent%20ongera%20mba%202015.Pdf?Sequence=4&amp;Isallowed=Y</w:t>
        </w:r>
      </w:hyperlink>
      <w:r w:rsidRPr="008203A6">
        <w:rPr>
          <w:rFonts w:ascii="Arial" w:hAnsi="Arial" w:cs="Arial"/>
        </w:rPr>
        <w:t xml:space="preserve"> (Accessed On 15</w:t>
      </w:r>
      <w:r w:rsidRPr="008203A6">
        <w:rPr>
          <w:rFonts w:ascii="Arial" w:hAnsi="Arial" w:cs="Arial"/>
          <w:vertAlign w:val="superscript"/>
        </w:rPr>
        <w:t>th</w:t>
      </w:r>
      <w:r w:rsidRPr="008203A6">
        <w:rPr>
          <w:rFonts w:ascii="Arial" w:hAnsi="Arial" w:cs="Arial"/>
        </w:rPr>
        <w:t xml:space="preserve"> </w:t>
      </w:r>
      <w:r w:rsidRPr="008203A6">
        <w:rPr>
          <w:rFonts w:ascii="Arial" w:hAnsi="Arial" w:cs="Arial"/>
        </w:rPr>
        <w:pgNum/>
      </w:r>
      <w:r w:rsidRPr="008203A6">
        <w:rPr>
          <w:rFonts w:ascii="Arial" w:hAnsi="Arial" w:cs="Arial"/>
        </w:rPr>
        <w:t xml:space="preserve">Ustrali 2019). </w:t>
      </w:r>
    </w:p>
    <w:p w14:paraId="6E0C8D05"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Onstad, P., Croymans, S., Olson, T., Scharmer, L., Beers, N., Johnson, C &amp; Lee, H., (University Of </w:t>
      </w:r>
      <w:r w:rsidRPr="008203A6">
        <w:rPr>
          <w:rFonts w:ascii="Arial" w:hAnsi="Arial" w:cs="Arial"/>
        </w:rPr>
        <w:pgNum/>
      </w:r>
      <w:r w:rsidRPr="008203A6">
        <w:rPr>
          <w:rFonts w:ascii="Arial" w:hAnsi="Arial" w:cs="Arial"/>
        </w:rPr>
        <w:t xml:space="preserve">Ustralia Extension, 2010). Recovery After Disaster: The Family Financial Toolkit. Available At: </w:t>
      </w:r>
      <w:hyperlink r:id="rId166" w:history="1">
        <w:r w:rsidRPr="008203A6">
          <w:rPr>
            <w:rStyle w:val="Hyperlink"/>
            <w:rFonts w:ascii="Arial" w:hAnsi="Arial" w:cs="Arial"/>
            <w:color w:val="auto"/>
          </w:rPr>
          <w:t>Https://Conservancy.Umn.Edu/Handle/11299/199849</w:t>
        </w:r>
      </w:hyperlink>
      <w:r w:rsidRPr="008203A6">
        <w:rPr>
          <w:rFonts w:ascii="Arial" w:hAnsi="Arial" w:cs="Arial"/>
        </w:rPr>
        <w:t xml:space="preserve"> ( Accessed On 11</w:t>
      </w:r>
      <w:r w:rsidRPr="008203A6">
        <w:rPr>
          <w:rFonts w:ascii="Arial" w:hAnsi="Arial" w:cs="Arial"/>
          <w:vertAlign w:val="superscript"/>
        </w:rPr>
        <w:t>th</w:t>
      </w:r>
      <w:r w:rsidRPr="008203A6">
        <w:rPr>
          <w:rFonts w:ascii="Arial" w:hAnsi="Arial" w:cs="Arial"/>
        </w:rPr>
        <w:t xml:space="preserve"> </w:t>
      </w:r>
      <w:r w:rsidRPr="008203A6">
        <w:rPr>
          <w:rFonts w:ascii="Arial" w:hAnsi="Arial" w:cs="Arial"/>
        </w:rPr>
        <w:pgNum/>
      </w:r>
      <w:r w:rsidRPr="008203A6">
        <w:rPr>
          <w:rFonts w:ascii="Arial" w:hAnsi="Arial" w:cs="Arial"/>
        </w:rPr>
        <w:t>Ustrali 2019)</w:t>
      </w:r>
    </w:p>
    <w:p w14:paraId="728AE1CA" w14:textId="028F2ED8" w:rsidR="005D5270" w:rsidRPr="008203A6" w:rsidRDefault="005D5270" w:rsidP="003B792A">
      <w:pPr>
        <w:spacing w:before="240" w:line="360" w:lineRule="auto"/>
        <w:jc w:val="both"/>
        <w:rPr>
          <w:rFonts w:ascii="Arial" w:hAnsi="Arial" w:cs="Arial"/>
        </w:rPr>
      </w:pPr>
      <w:r w:rsidRPr="008203A6">
        <w:rPr>
          <w:rFonts w:ascii="Arial" w:hAnsi="Arial" w:cs="Arial"/>
        </w:rPr>
        <w:t xml:space="preserve">Onu, E. &amp; Wallace, P. (2015). Nigeria Bans Dollars Cash Deposit In Bid To Bolster Naira. Available At: </w:t>
      </w:r>
      <w:hyperlink r:id="rId167" w:history="1">
        <w:r w:rsidRPr="008203A6">
          <w:rPr>
            <w:rStyle w:val="Hyperlink"/>
            <w:rFonts w:ascii="Arial" w:hAnsi="Arial" w:cs="Arial"/>
            <w:color w:val="auto"/>
          </w:rPr>
          <w:t>Https://Www.Bloomberg.Com/News/Articles/2015-08-06/Nigeria-Central-Bank-Bans-Foreign-Currency-Deposits-In-Lenders-Iczyeddh</w:t>
        </w:r>
      </w:hyperlink>
      <w:r w:rsidRPr="008203A6">
        <w:rPr>
          <w:rFonts w:ascii="Arial" w:hAnsi="Arial" w:cs="Arial"/>
        </w:rPr>
        <w:t xml:space="preserve"> ( Accessed On 11</w:t>
      </w:r>
      <w:r w:rsidRPr="008203A6">
        <w:rPr>
          <w:rFonts w:ascii="Arial" w:hAnsi="Arial" w:cs="Arial"/>
          <w:vertAlign w:val="superscript"/>
        </w:rPr>
        <w:t>th</w:t>
      </w:r>
      <w:r w:rsidRPr="008203A6">
        <w:rPr>
          <w:rFonts w:ascii="Arial" w:hAnsi="Arial" w:cs="Arial"/>
        </w:rPr>
        <w:t xml:space="preserve"> October 2017).</w:t>
      </w:r>
    </w:p>
    <w:p w14:paraId="5504EEA7" w14:textId="47D647D9" w:rsidR="005D5270" w:rsidRPr="008203A6" w:rsidRDefault="005D5270" w:rsidP="003B792A">
      <w:pPr>
        <w:spacing w:line="360" w:lineRule="auto"/>
        <w:jc w:val="both"/>
        <w:rPr>
          <w:rFonts w:ascii="Arial" w:hAnsi="Arial" w:cs="Arial"/>
        </w:rPr>
      </w:pPr>
      <w:r w:rsidRPr="008203A6">
        <w:rPr>
          <w:rFonts w:ascii="Arial" w:hAnsi="Arial" w:cs="Arial"/>
        </w:rPr>
        <w:lastRenderedPageBreak/>
        <w:t xml:space="preserve">Onuzo, M. (2015). Growing the middle class in Nigeria: A 3- Year blueprint. Available at: </w:t>
      </w:r>
      <w:hyperlink r:id="rId168" w:history="1">
        <w:r w:rsidRPr="008203A6">
          <w:rPr>
            <w:rStyle w:val="Hyperlink"/>
            <w:rFonts w:ascii="Arial" w:hAnsi="Arial" w:cs="Arial"/>
            <w:color w:val="auto"/>
          </w:rPr>
          <w:t>http://govandbusinessjournal.com.ng/growing-the-middle-class-in-Nigeria-a-</w:t>
        </w:r>
      </w:hyperlink>
      <w:r w:rsidRPr="008203A6">
        <w:rPr>
          <w:rFonts w:ascii="Arial" w:hAnsi="Arial" w:cs="Arial"/>
        </w:rPr>
        <w:t xml:space="preserve"> 3-year- blueprint ( accessed on 17/10/2017)</w:t>
      </w:r>
    </w:p>
    <w:p w14:paraId="394468A4" w14:textId="4A04D43C" w:rsidR="005D5270" w:rsidRPr="008203A6" w:rsidRDefault="005D5270" w:rsidP="003B792A">
      <w:pPr>
        <w:spacing w:before="240" w:line="360" w:lineRule="auto"/>
        <w:jc w:val="both"/>
        <w:rPr>
          <w:rFonts w:ascii="Arial" w:hAnsi="Arial" w:cs="Arial"/>
        </w:rPr>
      </w:pPr>
      <w:r w:rsidRPr="008203A6">
        <w:rPr>
          <w:rFonts w:ascii="Arial" w:hAnsi="Arial" w:cs="Arial"/>
        </w:rPr>
        <w:t>Ooi, J.T.L., Le, T.T.T And Lee, N. (2014). The Impact Of Construction Quality On House Prices, Journal Of Housing Economics, 26, Pp. 126-138</w:t>
      </w:r>
    </w:p>
    <w:p w14:paraId="106F2B9B" w14:textId="77777777" w:rsidR="005D5270" w:rsidRPr="008203A6" w:rsidRDefault="005D5270" w:rsidP="003B792A">
      <w:pPr>
        <w:spacing w:line="360" w:lineRule="auto"/>
        <w:jc w:val="both"/>
        <w:rPr>
          <w:rFonts w:ascii="Arial" w:hAnsi="Arial" w:cs="Arial"/>
        </w:rPr>
      </w:pPr>
      <w:r w:rsidRPr="008203A6">
        <w:rPr>
          <w:rFonts w:ascii="Arial" w:hAnsi="Arial" w:cs="Arial"/>
        </w:rPr>
        <w:t>Oppenheim, A.N. (1996). Questionnaire design and attitude measurement, New York: Basic Books, Incl Webster</w:t>
      </w:r>
    </w:p>
    <w:p w14:paraId="13E88C7D"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Organ, S., Squires, G., Hutchison, N., Adair, A. and McGreal, S., 2015. Innovative finance for real estate development in pan-European regeneration.</w:t>
      </w:r>
    </w:p>
    <w:p w14:paraId="6538D420"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Osaily, Y., Copping, A. and Lo, S.,( 2018), September. Critical success factors: The development of a conceptual framework for demolition projects. In </w:t>
      </w:r>
      <w:r w:rsidRPr="008203A6">
        <w:rPr>
          <w:rFonts w:ascii="Arial" w:hAnsi="Arial" w:cs="Arial"/>
          <w:i/>
          <w:iCs/>
          <w:shd w:val="clear" w:color="auto" w:fill="FFFFFF"/>
        </w:rPr>
        <w:t>Proceedings 34th Annual ARCOM Conference</w:t>
      </w:r>
      <w:r w:rsidRPr="008203A6">
        <w:rPr>
          <w:rFonts w:ascii="Arial" w:hAnsi="Arial" w:cs="Arial"/>
          <w:shd w:val="clear" w:color="auto" w:fill="FFFFFF"/>
        </w:rPr>
        <w:t> (pp. 3-5).</w:t>
      </w:r>
    </w:p>
    <w:p w14:paraId="502EC2B7" w14:textId="364ECB61" w:rsidR="005D5270" w:rsidRPr="008203A6" w:rsidRDefault="005D5270" w:rsidP="003B792A">
      <w:pPr>
        <w:spacing w:line="360" w:lineRule="auto"/>
        <w:jc w:val="both"/>
        <w:rPr>
          <w:rFonts w:ascii="Arial" w:hAnsi="Arial" w:cs="Arial"/>
        </w:rPr>
      </w:pPr>
      <w:r w:rsidRPr="008203A6">
        <w:rPr>
          <w:rFonts w:ascii="Arial" w:hAnsi="Arial" w:cs="Arial"/>
        </w:rPr>
        <w:t>Owusu- Manu, DG., Edward, DJ., &amp; Parn, EA (2018). The Knowledge Enablers Of Knowledge Transfer: A Study In The Construction Industries In Ghana. Available At : (PDF) Bcu.Ac.Uk ( Accessed On 21/07/2020)</w:t>
      </w:r>
    </w:p>
    <w:p w14:paraId="2CF0C052"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Owusu-Manu, D., Edwards, D.J., Badu, E., Donkor-Hyiaman, K.A. and Love, P.E.D., (2015). Real estate infrastructure financing in Ghana: Sources and constraints. </w:t>
      </w:r>
      <w:r w:rsidRPr="008203A6">
        <w:rPr>
          <w:rFonts w:ascii="Arial" w:hAnsi="Arial" w:cs="Arial"/>
          <w:i/>
          <w:iCs/>
          <w:shd w:val="clear" w:color="auto" w:fill="FFFFFF"/>
        </w:rPr>
        <w:t>Habitat international</w:t>
      </w:r>
      <w:r w:rsidRPr="008203A6">
        <w:rPr>
          <w:rFonts w:ascii="Arial" w:hAnsi="Arial" w:cs="Arial"/>
          <w:shd w:val="clear" w:color="auto" w:fill="FFFFFF"/>
        </w:rPr>
        <w:t>, </w:t>
      </w:r>
      <w:r w:rsidRPr="008203A6">
        <w:rPr>
          <w:rFonts w:ascii="Arial" w:hAnsi="Arial" w:cs="Arial"/>
          <w:i/>
          <w:iCs/>
          <w:shd w:val="clear" w:color="auto" w:fill="FFFFFF"/>
        </w:rPr>
        <w:t>50</w:t>
      </w:r>
      <w:r w:rsidRPr="008203A6">
        <w:rPr>
          <w:rFonts w:ascii="Arial" w:hAnsi="Arial" w:cs="Arial"/>
          <w:shd w:val="clear" w:color="auto" w:fill="FFFFFF"/>
        </w:rPr>
        <w:t>, pp.35-41.</w:t>
      </w:r>
    </w:p>
    <w:p w14:paraId="2B0EDB76" w14:textId="77777777" w:rsidR="005D5270" w:rsidRPr="008203A6" w:rsidRDefault="005D5270" w:rsidP="003B792A">
      <w:pPr>
        <w:spacing w:before="240" w:line="360" w:lineRule="auto"/>
        <w:jc w:val="both"/>
        <w:rPr>
          <w:rFonts w:ascii="Arial" w:hAnsi="Arial" w:cs="Arial"/>
        </w:rPr>
      </w:pPr>
      <w:r w:rsidRPr="008203A6">
        <w:rPr>
          <w:rFonts w:ascii="Arial" w:hAnsi="Arial" w:cs="Arial"/>
        </w:rPr>
        <w:t>Oyewunmi, A. E. (2018). Normalising Difference: Emotional Intelligence And Diversity Management Competence In Healthcare Managers.</w:t>
      </w:r>
      <w:r w:rsidRPr="008203A6">
        <w:rPr>
          <w:rFonts w:ascii="Arial" w:hAnsi="Arial" w:cs="Arial"/>
          <w:i/>
          <w:iCs/>
        </w:rPr>
        <w:t> Intangible Capital, 14</w:t>
      </w:r>
      <w:r w:rsidRPr="008203A6">
        <w:rPr>
          <w:rFonts w:ascii="Arial" w:hAnsi="Arial" w:cs="Arial"/>
        </w:rPr>
        <w:t>(3), 429-444.</w:t>
      </w:r>
    </w:p>
    <w:p w14:paraId="74061741" w14:textId="77777777" w:rsidR="005D5270" w:rsidRPr="008203A6" w:rsidRDefault="005D5270" w:rsidP="003B792A">
      <w:pPr>
        <w:spacing w:before="240" w:line="360" w:lineRule="auto"/>
        <w:jc w:val="both"/>
        <w:rPr>
          <w:rFonts w:ascii="Arial" w:hAnsi="Arial" w:cs="Arial"/>
        </w:rPr>
      </w:pPr>
      <w:r w:rsidRPr="008203A6">
        <w:rPr>
          <w:rFonts w:ascii="Arial" w:hAnsi="Arial" w:cs="Arial"/>
        </w:rPr>
        <w:t>Ozorhon, B. And Karahan, U. (2017) Critical Success Factors Of Building Information Modelling Implementation, Journal Of Management In Engineering, 33 (3), 1-10</w:t>
      </w:r>
    </w:p>
    <w:p w14:paraId="28B70D34"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Ozorhon, B., Durna, E., And Caglayan, S. (2017) Critical Success Factors For Public-Private Projects In Developing Countries: A Case Study Of Turkey. Available At: </w:t>
      </w:r>
      <w:hyperlink r:id="rId169" w:history="1">
        <w:r w:rsidRPr="008203A6">
          <w:rPr>
            <w:rStyle w:val="Hyperlink"/>
            <w:rFonts w:ascii="Arial" w:hAnsi="Arial" w:cs="Arial"/>
            <w:color w:val="auto"/>
          </w:rPr>
          <w:t>Http://Usir.Salford.Ac.Uk/44058/7/Irc2017_Proceedings_12102017_Optimised.Pdf</w:t>
        </w:r>
      </w:hyperlink>
      <w:r w:rsidRPr="008203A6">
        <w:rPr>
          <w:rFonts w:ascii="Arial" w:hAnsi="Arial" w:cs="Arial"/>
        </w:rPr>
        <w:t xml:space="preserve"> (Accessed On 2</w:t>
      </w:r>
      <w:r w:rsidRPr="008203A6">
        <w:rPr>
          <w:rFonts w:ascii="Arial" w:hAnsi="Arial" w:cs="Arial"/>
          <w:vertAlign w:val="superscript"/>
        </w:rPr>
        <w:t>nd</w:t>
      </w:r>
      <w:r w:rsidRPr="008203A6">
        <w:rPr>
          <w:rFonts w:ascii="Arial" w:hAnsi="Arial" w:cs="Arial"/>
        </w:rPr>
        <w:t xml:space="preserve"> </w:t>
      </w:r>
      <w:r w:rsidRPr="008203A6">
        <w:rPr>
          <w:rFonts w:ascii="Arial" w:hAnsi="Arial" w:cs="Arial"/>
        </w:rPr>
        <w:pgNum/>
      </w:r>
      <w:r w:rsidRPr="008203A6">
        <w:rPr>
          <w:rFonts w:ascii="Arial" w:hAnsi="Arial" w:cs="Arial"/>
        </w:rPr>
        <w:t>Ustral 2019).</w:t>
      </w:r>
    </w:p>
    <w:p w14:paraId="11824FA5" w14:textId="1521D2F4" w:rsidR="005D5270" w:rsidRPr="008203A6" w:rsidRDefault="005D5270" w:rsidP="003B792A">
      <w:pPr>
        <w:spacing w:line="360" w:lineRule="auto"/>
        <w:jc w:val="both"/>
        <w:rPr>
          <w:rFonts w:ascii="Arial" w:hAnsi="Arial" w:cs="Arial"/>
        </w:rPr>
      </w:pPr>
      <w:r w:rsidRPr="008203A6">
        <w:rPr>
          <w:rFonts w:ascii="Arial" w:hAnsi="Arial" w:cs="Arial"/>
        </w:rPr>
        <w:t xml:space="preserve">Pallant, J. (2001). SPSS Survival </w:t>
      </w:r>
      <w:r w:rsidR="00D947F5">
        <w:rPr>
          <w:rFonts w:ascii="Arial" w:hAnsi="Arial" w:cs="Arial"/>
        </w:rPr>
        <w:t>M</w:t>
      </w:r>
      <w:r w:rsidRPr="008203A6">
        <w:rPr>
          <w:rFonts w:ascii="Arial" w:hAnsi="Arial" w:cs="Arial"/>
        </w:rPr>
        <w:t xml:space="preserve">anual : a step by step guide to data analysis using SPSS version 22. Buckingham: Open University </w:t>
      </w:r>
      <w:r w:rsidR="00D947F5">
        <w:rPr>
          <w:rFonts w:ascii="Arial" w:hAnsi="Arial" w:cs="Arial"/>
        </w:rPr>
        <w:t>P</w:t>
      </w:r>
      <w:r w:rsidRPr="008203A6">
        <w:rPr>
          <w:rFonts w:ascii="Arial" w:hAnsi="Arial" w:cs="Arial"/>
        </w:rPr>
        <w:t>ress.</w:t>
      </w:r>
    </w:p>
    <w:p w14:paraId="4F3638EB"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PARSA, A.G. and REDDING, B., (1999). Globalization of Real Estate Markets in Central.</w:t>
      </w:r>
    </w:p>
    <w:p w14:paraId="6E327040" w14:textId="77777777" w:rsidR="005D5270" w:rsidRPr="008203A6" w:rsidRDefault="00257087" w:rsidP="003B792A">
      <w:pPr>
        <w:spacing w:before="240" w:line="360" w:lineRule="auto"/>
        <w:jc w:val="both"/>
        <w:rPr>
          <w:rFonts w:ascii="Arial" w:hAnsi="Arial" w:cs="Arial"/>
        </w:rPr>
      </w:pPr>
      <w:hyperlink r:id="rId170" w:history="1">
        <w:r w:rsidR="005D5270" w:rsidRPr="008203A6">
          <w:rPr>
            <w:rFonts w:ascii="Arial" w:hAnsi="Arial" w:cs="Arial"/>
            <w:spacing w:val="5"/>
            <w:lang w:val="en"/>
          </w:rPr>
          <w:t xml:space="preserve">Patterson, G, </w:t>
        </w:r>
      </w:hyperlink>
      <w:r w:rsidR="005D5270" w:rsidRPr="008203A6">
        <w:rPr>
          <w:rFonts w:ascii="Arial" w:hAnsi="Arial" w:cs="Arial"/>
          <w:spacing w:val="5"/>
          <w:lang w:val="en"/>
        </w:rPr>
        <w:t xml:space="preserve">(2013), Investment In The Global Real Estate Market, In Hung-Gay Fung, Yiuman Tse (Ed.) </w:t>
      </w:r>
      <w:r w:rsidR="005D5270" w:rsidRPr="008203A6">
        <w:rPr>
          <w:rFonts w:ascii="Arial" w:hAnsi="Arial" w:cs="Arial"/>
          <w:i/>
          <w:iCs/>
          <w:spacing w:val="5"/>
          <w:lang w:val="en"/>
        </w:rPr>
        <w:t xml:space="preserve">International Financial Markets (Frontiers Of Economics And Globalization, Volume 13) </w:t>
      </w:r>
      <w:r w:rsidR="005D5270" w:rsidRPr="008203A6">
        <w:rPr>
          <w:rFonts w:ascii="Arial" w:hAnsi="Arial" w:cs="Arial"/>
          <w:spacing w:val="5"/>
          <w:lang w:val="en"/>
        </w:rPr>
        <w:t>Emerald Group Publishing Limited, Pp.69 – 89</w:t>
      </w:r>
    </w:p>
    <w:p w14:paraId="20094222" w14:textId="09B545ED" w:rsidR="005D5270" w:rsidRPr="008203A6" w:rsidRDefault="005D5270" w:rsidP="003B792A">
      <w:pPr>
        <w:spacing w:line="360" w:lineRule="auto"/>
        <w:jc w:val="both"/>
        <w:rPr>
          <w:rFonts w:ascii="Arial" w:hAnsi="Arial" w:cs="Arial"/>
        </w:rPr>
      </w:pPr>
      <w:r w:rsidRPr="008203A6">
        <w:rPr>
          <w:rFonts w:ascii="Arial" w:hAnsi="Arial" w:cs="Arial"/>
        </w:rPr>
        <w:t>Patton, M.Q. (1990). Qualitative evaluation and research methods (2</w:t>
      </w:r>
      <w:r w:rsidRPr="008203A6">
        <w:rPr>
          <w:rFonts w:ascii="Arial" w:hAnsi="Arial" w:cs="Arial"/>
          <w:vertAlign w:val="superscript"/>
        </w:rPr>
        <w:t>nd</w:t>
      </w:r>
      <w:r w:rsidRPr="008203A6">
        <w:rPr>
          <w:rFonts w:ascii="Arial" w:hAnsi="Arial" w:cs="Arial"/>
        </w:rPr>
        <w:t xml:space="preserve"> ed.). London: Sage Publications</w:t>
      </w:r>
    </w:p>
    <w:p w14:paraId="1E3AE7FF"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Pavlov, I.P., 1927. Conditioned Reflexes: oxford University Press. </w:t>
      </w:r>
      <w:r w:rsidRPr="008203A6">
        <w:rPr>
          <w:rFonts w:ascii="Arial" w:hAnsi="Arial" w:cs="Arial"/>
          <w:i/>
          <w:iCs/>
          <w:shd w:val="clear" w:color="auto" w:fill="FFFFFF"/>
        </w:rPr>
        <w:t>New York</w:t>
      </w:r>
      <w:r w:rsidRPr="008203A6">
        <w:rPr>
          <w:rFonts w:ascii="Arial" w:hAnsi="Arial" w:cs="Arial"/>
          <w:shd w:val="clear" w:color="auto" w:fill="FFFFFF"/>
        </w:rPr>
        <w:t>.</w:t>
      </w:r>
    </w:p>
    <w:p w14:paraId="54E2ECB7" w14:textId="77777777" w:rsidR="005D5270" w:rsidRPr="008203A6" w:rsidRDefault="005D5270" w:rsidP="003B792A">
      <w:pPr>
        <w:spacing w:line="360" w:lineRule="auto"/>
        <w:jc w:val="both"/>
        <w:rPr>
          <w:rFonts w:ascii="Arial" w:hAnsi="Arial" w:cs="Arial"/>
        </w:rPr>
      </w:pPr>
      <w:bookmarkStart w:id="1600" w:name="_Hlk42605846"/>
      <w:r w:rsidRPr="008203A6">
        <w:rPr>
          <w:rFonts w:ascii="Arial" w:hAnsi="Arial" w:cs="Arial"/>
        </w:rPr>
        <w:t>Pearson, K.J. (2007)</w:t>
      </w:r>
      <w:bookmarkEnd w:id="1600"/>
      <w:r w:rsidRPr="008203A6">
        <w:rPr>
          <w:rFonts w:ascii="Arial" w:hAnsi="Arial" w:cs="Arial"/>
        </w:rPr>
        <w:t xml:space="preserve"> A Comparative Business Site-Location Feasibility. Available At : (PDF) Smumn.Edu. (Accessed On 09/06/2020)</w:t>
      </w:r>
    </w:p>
    <w:p w14:paraId="20A00279" w14:textId="77777777" w:rsidR="005D5270" w:rsidRPr="008203A6" w:rsidRDefault="005D5270" w:rsidP="003B792A">
      <w:pPr>
        <w:spacing w:before="240" w:after="100" w:afterAutospacing="1" w:line="360" w:lineRule="auto"/>
        <w:jc w:val="both"/>
        <w:rPr>
          <w:rFonts w:ascii="Arial" w:eastAsia="Times New Roman" w:hAnsi="Arial" w:cs="Arial"/>
          <w:i/>
          <w:iCs/>
          <w:lang w:eastAsia="en-GB"/>
        </w:rPr>
      </w:pPr>
      <w:r w:rsidRPr="008203A6">
        <w:rPr>
          <w:rFonts w:ascii="Arial" w:eastAsia="Times New Roman" w:hAnsi="Arial" w:cs="Arial"/>
          <w:lang w:eastAsia="en-GB"/>
        </w:rPr>
        <w:t>Peiser, R. (2015). Real Estate Development. In J. D. Wright (Ed.), </w:t>
      </w:r>
      <w:r w:rsidRPr="008203A6">
        <w:rPr>
          <w:rFonts w:ascii="Arial" w:eastAsia="Times New Roman" w:hAnsi="Arial" w:cs="Arial"/>
          <w:i/>
          <w:iCs/>
          <w:lang w:eastAsia="en-GB"/>
        </w:rPr>
        <w:t xml:space="preserve">International </w:t>
      </w:r>
    </w:p>
    <w:p w14:paraId="358B9534" w14:textId="77777777" w:rsidR="005D5270" w:rsidRPr="008203A6" w:rsidRDefault="005D5270" w:rsidP="003B792A">
      <w:pPr>
        <w:spacing w:line="360" w:lineRule="auto"/>
        <w:rPr>
          <w:rFonts w:ascii="Arial" w:hAnsi="Arial" w:cs="Arial"/>
        </w:rPr>
      </w:pPr>
      <w:r w:rsidRPr="008203A6">
        <w:rPr>
          <w:rFonts w:ascii="Arial" w:hAnsi="Arial" w:cs="Arial"/>
        </w:rPr>
        <w:t>Pilbeam, K. (2006) ‘</w:t>
      </w:r>
      <w:r w:rsidRPr="008203A6">
        <w:rPr>
          <w:rFonts w:ascii="Arial" w:hAnsi="Arial" w:cs="Arial"/>
          <w:i/>
          <w:iCs/>
        </w:rPr>
        <w:t>International Finance</w:t>
      </w:r>
      <w:r w:rsidRPr="008203A6">
        <w:rPr>
          <w:rFonts w:ascii="Arial" w:hAnsi="Arial" w:cs="Arial"/>
        </w:rPr>
        <w:t>’, Basingstoke: Palgrave Macmillan.</w:t>
      </w:r>
    </w:p>
    <w:p w14:paraId="46E7BD0A"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Pilbeam, K. (2010) ‘Finance And Financial Markets’, </w:t>
      </w:r>
      <w:r w:rsidRPr="008203A6">
        <w:rPr>
          <w:rFonts w:ascii="Arial" w:hAnsi="Arial" w:cs="Arial"/>
        </w:rPr>
        <w:pgNum/>
      </w:r>
      <w:r w:rsidRPr="008203A6">
        <w:rPr>
          <w:rFonts w:ascii="Arial" w:hAnsi="Arial" w:cs="Arial"/>
        </w:rPr>
        <w:t>Ustralia</w:t>
      </w:r>
      <w:r w:rsidRPr="008203A6">
        <w:rPr>
          <w:rFonts w:ascii="Arial" w:hAnsi="Arial" w:cs="Arial"/>
        </w:rPr>
        <w:pgNum/>
      </w:r>
      <w:r w:rsidRPr="008203A6">
        <w:rPr>
          <w:rFonts w:ascii="Arial" w:hAnsi="Arial" w:cs="Arial"/>
        </w:rPr>
        <w:t>S: Palgrave Macmillan, Ch. 17</w:t>
      </w:r>
    </w:p>
    <w:p w14:paraId="434BF79B" w14:textId="77777777" w:rsidR="005D5270" w:rsidRPr="008203A6" w:rsidRDefault="005D5270" w:rsidP="003B792A">
      <w:pPr>
        <w:spacing w:before="240" w:line="360" w:lineRule="auto"/>
        <w:jc w:val="both"/>
        <w:rPr>
          <w:rFonts w:ascii="Arial" w:hAnsi="Arial" w:cs="Arial"/>
          <w:i/>
          <w:iCs/>
        </w:rPr>
      </w:pPr>
      <w:r w:rsidRPr="008203A6">
        <w:rPr>
          <w:rFonts w:ascii="Arial" w:hAnsi="Arial" w:cs="Arial"/>
        </w:rPr>
        <w:t>Poels, G. (01). Conceptualising Business Process Maps.</w:t>
      </w:r>
      <w:r w:rsidRPr="008203A6">
        <w:rPr>
          <w:rFonts w:ascii="Arial" w:hAnsi="Arial" w:cs="Arial"/>
          <w:i/>
          <w:iCs/>
        </w:rPr>
        <w:t> Conceptualising Business Process Maps,</w:t>
      </w:r>
    </w:p>
    <w:p w14:paraId="5466E061" w14:textId="77777777" w:rsidR="005D5270" w:rsidRPr="008203A6" w:rsidRDefault="005D5270" w:rsidP="003B792A">
      <w:pPr>
        <w:spacing w:before="240" w:line="360" w:lineRule="auto"/>
        <w:jc w:val="both"/>
        <w:rPr>
          <w:rFonts w:ascii="Arial" w:hAnsi="Arial" w:cs="Arial"/>
        </w:rPr>
      </w:pPr>
      <w:r w:rsidRPr="008203A6">
        <w:rPr>
          <w:rFonts w:ascii="Arial" w:hAnsi="Arial" w:cs="Arial"/>
        </w:rPr>
        <w:t>Porto, N., &amp; Jing, J. X. (2016). Financial Literacy Overconfidence And Financial Advice Seeking.</w:t>
      </w:r>
      <w:r w:rsidRPr="008203A6">
        <w:rPr>
          <w:rFonts w:ascii="Arial" w:hAnsi="Arial" w:cs="Arial"/>
          <w:i/>
          <w:iCs/>
        </w:rPr>
        <w:t> Journal Of Financial Service Professionals, 70</w:t>
      </w:r>
      <w:r w:rsidRPr="008203A6">
        <w:rPr>
          <w:rFonts w:ascii="Arial" w:hAnsi="Arial" w:cs="Arial"/>
        </w:rPr>
        <w:t>(4), 78-88.</w:t>
      </w:r>
    </w:p>
    <w:p w14:paraId="09BAD8BC" w14:textId="6AE875DE" w:rsidR="005D5270" w:rsidRPr="008203A6" w:rsidRDefault="005D5270" w:rsidP="003B792A">
      <w:pPr>
        <w:spacing w:before="240" w:line="360" w:lineRule="auto"/>
        <w:jc w:val="both"/>
        <w:rPr>
          <w:rFonts w:ascii="Arial" w:hAnsi="Arial" w:cs="Arial"/>
        </w:rPr>
      </w:pPr>
      <w:r w:rsidRPr="008203A6">
        <w:rPr>
          <w:rFonts w:ascii="Arial" w:hAnsi="Arial" w:cs="Arial"/>
        </w:rPr>
        <w:t xml:space="preserve">Pour Rahimian, F., </w:t>
      </w:r>
      <w:r w:rsidRPr="008203A6">
        <w:rPr>
          <w:rFonts w:ascii="Arial" w:hAnsi="Arial" w:cs="Arial"/>
        </w:rPr>
        <w:pgNum/>
      </w:r>
      <w:r w:rsidRPr="008203A6">
        <w:rPr>
          <w:rFonts w:ascii="Arial" w:hAnsi="Arial" w:cs="Arial"/>
        </w:rPr>
        <w:t xml:space="preserve">Ustrali, J.S., Akintoye, A. And Kolo, S.J (2017). Motivations, Success Factors, And The Adoption Of Offsite Manufacturing In </w:t>
      </w:r>
      <w:r w:rsidRPr="008203A6">
        <w:rPr>
          <w:rFonts w:ascii="Arial" w:hAnsi="Arial" w:cs="Arial"/>
        </w:rPr>
        <w:pgNum/>
      </w:r>
      <w:r w:rsidRPr="008203A6">
        <w:rPr>
          <w:rFonts w:ascii="Arial" w:hAnsi="Arial" w:cs="Arial"/>
        </w:rPr>
        <w:t xml:space="preserve">Ustral. Available At: </w:t>
      </w:r>
      <w:hyperlink r:id="rId171" w:history="1">
        <w:r w:rsidRPr="008203A6">
          <w:rPr>
            <w:rStyle w:val="Hyperlink"/>
            <w:rFonts w:ascii="Arial" w:hAnsi="Arial" w:cs="Arial"/>
            <w:color w:val="auto"/>
          </w:rPr>
          <w:t>Http://Usir.Salford.Ac.Uk/44058/7/Irc2017_Proceedings_12102017_Optimised.Pdf</w:t>
        </w:r>
      </w:hyperlink>
      <w:r w:rsidR="003B047D">
        <w:rPr>
          <w:rFonts w:ascii="Arial" w:hAnsi="Arial" w:cs="Arial"/>
        </w:rPr>
        <w:t>(a</w:t>
      </w:r>
      <w:r w:rsidRPr="008203A6">
        <w:rPr>
          <w:rFonts w:ascii="Arial" w:hAnsi="Arial" w:cs="Arial"/>
        </w:rPr>
        <w:t xml:space="preserve">ccessed </w:t>
      </w:r>
      <w:r w:rsidR="003B047D">
        <w:rPr>
          <w:rFonts w:ascii="Arial" w:hAnsi="Arial" w:cs="Arial"/>
        </w:rPr>
        <w:t>o</w:t>
      </w:r>
      <w:r w:rsidRPr="008203A6">
        <w:rPr>
          <w:rFonts w:ascii="Arial" w:hAnsi="Arial" w:cs="Arial"/>
        </w:rPr>
        <w:t>n 2</w:t>
      </w:r>
      <w:r w:rsidRPr="008203A6">
        <w:rPr>
          <w:rFonts w:ascii="Arial" w:hAnsi="Arial" w:cs="Arial"/>
          <w:vertAlign w:val="superscript"/>
        </w:rPr>
        <w:t>nd</w:t>
      </w:r>
      <w:r w:rsidRPr="008203A6">
        <w:rPr>
          <w:rFonts w:ascii="Arial" w:hAnsi="Arial" w:cs="Arial"/>
        </w:rPr>
        <w:t xml:space="preserve"> </w:t>
      </w:r>
      <w:r w:rsidR="003B047D">
        <w:rPr>
          <w:rFonts w:ascii="Arial" w:hAnsi="Arial" w:cs="Arial"/>
        </w:rPr>
        <w:t>December</w:t>
      </w:r>
      <w:r w:rsidRPr="008203A6">
        <w:rPr>
          <w:rFonts w:ascii="Arial" w:hAnsi="Arial" w:cs="Arial"/>
        </w:rPr>
        <w:t xml:space="preserve"> 2019).</w:t>
      </w:r>
    </w:p>
    <w:p w14:paraId="60196290" w14:textId="0A4859E3" w:rsidR="005D5270" w:rsidRPr="008203A6" w:rsidRDefault="005D5270" w:rsidP="003B792A">
      <w:pPr>
        <w:tabs>
          <w:tab w:val="num" w:pos="1418"/>
        </w:tabs>
        <w:spacing w:before="240" w:line="360" w:lineRule="auto"/>
        <w:jc w:val="both"/>
        <w:rPr>
          <w:rFonts w:ascii="Arial" w:eastAsia="Times" w:hAnsi="Arial" w:cs="Arial"/>
        </w:rPr>
      </w:pPr>
      <w:r w:rsidRPr="008203A6">
        <w:rPr>
          <w:rFonts w:ascii="Arial" w:hAnsi="Arial" w:cs="Arial"/>
        </w:rPr>
        <w:t>Powell, K., Reddy, V. And Juan, A. (2016) Skills In South Africa: The Journey Towards Credible Planning, Development Southern Africa, 33 (3), 298-311</w:t>
      </w:r>
    </w:p>
    <w:p w14:paraId="48E705FA" w14:textId="14AD0334" w:rsidR="005D5270" w:rsidRPr="008203A6" w:rsidRDefault="005D5270" w:rsidP="003B792A">
      <w:pPr>
        <w:spacing w:after="0" w:line="360" w:lineRule="auto"/>
        <w:jc w:val="both"/>
        <w:rPr>
          <w:rFonts w:ascii="Arial" w:hAnsi="Arial" w:cs="Arial"/>
        </w:rPr>
      </w:pPr>
      <w:r w:rsidRPr="008203A6">
        <w:rPr>
          <w:rFonts w:ascii="Arial" w:hAnsi="Arial" w:cs="Arial"/>
        </w:rPr>
        <w:t xml:space="preserve">Pretorius, L. (2019). Housing In SA: 3 Faqs Answered. Available At: </w:t>
      </w:r>
      <w:hyperlink r:id="rId172" w:history="1">
        <w:r w:rsidRPr="008203A6">
          <w:rPr>
            <w:rStyle w:val="Hyperlink"/>
            <w:rFonts w:ascii="Arial" w:hAnsi="Arial" w:cs="Arial"/>
            <w:color w:val="auto"/>
            <w:u w:val="none"/>
          </w:rPr>
          <w:t>Https://City-Press.News24.Com/News/Housing-In-Sa-3-Faqs-</w:t>
        </w:r>
      </w:hyperlink>
      <w:r w:rsidRPr="008203A6">
        <w:rPr>
          <w:rFonts w:ascii="Arial" w:hAnsi="Arial" w:cs="Arial"/>
        </w:rPr>
        <w:t xml:space="preserve"> (Accessed On 13</w:t>
      </w:r>
      <w:r w:rsidRPr="008203A6">
        <w:rPr>
          <w:rFonts w:ascii="Arial" w:hAnsi="Arial" w:cs="Arial"/>
          <w:vertAlign w:val="superscript"/>
        </w:rPr>
        <w:t>th</w:t>
      </w:r>
      <w:r w:rsidRPr="008203A6">
        <w:rPr>
          <w:rFonts w:ascii="Arial" w:hAnsi="Arial" w:cs="Arial"/>
        </w:rPr>
        <w:t xml:space="preserve"> February 2020). </w:t>
      </w:r>
    </w:p>
    <w:p w14:paraId="61DD3597" w14:textId="77777777" w:rsidR="005D5270" w:rsidRPr="008203A6" w:rsidRDefault="005D5270" w:rsidP="003B792A">
      <w:pPr>
        <w:tabs>
          <w:tab w:val="num" w:pos="1418"/>
        </w:tabs>
        <w:spacing w:before="240" w:line="360" w:lineRule="auto"/>
        <w:jc w:val="both"/>
        <w:rPr>
          <w:rFonts w:ascii="Arial" w:hAnsi="Arial" w:cs="Arial"/>
        </w:rPr>
      </w:pPr>
      <w:r w:rsidRPr="008203A6">
        <w:rPr>
          <w:rFonts w:ascii="Arial" w:hAnsi="Arial" w:cs="Arial"/>
        </w:rPr>
        <w:t>Quinlan, C., Griffin, M., Carr, J. C., Babin, B. J. And Zikmund, W. G. (2015) </w:t>
      </w:r>
      <w:r w:rsidRPr="008203A6">
        <w:rPr>
          <w:rFonts w:ascii="Arial" w:hAnsi="Arial" w:cs="Arial"/>
          <w:i/>
          <w:iCs/>
        </w:rPr>
        <w:t>Business Research Methods. </w:t>
      </w:r>
      <w:r w:rsidRPr="008203A6">
        <w:rPr>
          <w:rFonts w:ascii="Arial" w:hAnsi="Arial" w:cs="Arial"/>
        </w:rPr>
        <w:t>New Revis First Ed. Andover: South-Western Cengage Learning Emea.</w:t>
      </w:r>
    </w:p>
    <w:p w14:paraId="7E5DBFAA" w14:textId="4C609C09" w:rsidR="005D5270" w:rsidRPr="008203A6" w:rsidRDefault="005D5270" w:rsidP="003B792A">
      <w:pPr>
        <w:spacing w:before="240" w:line="360" w:lineRule="auto"/>
        <w:jc w:val="both"/>
        <w:rPr>
          <w:rFonts w:ascii="Arial" w:hAnsi="Arial" w:cs="Arial"/>
        </w:rPr>
      </w:pPr>
      <w:r w:rsidRPr="008203A6">
        <w:rPr>
          <w:rFonts w:ascii="Arial" w:hAnsi="Arial" w:cs="Arial"/>
        </w:rPr>
        <w:t>Raji, R. (2017) Will Nigeria’s Pension Funds Take On The Infrastructure Gap? African Business, 439,</w:t>
      </w:r>
      <w:r w:rsidR="00D947F5">
        <w:rPr>
          <w:rFonts w:ascii="Arial" w:hAnsi="Arial" w:cs="Arial"/>
        </w:rPr>
        <w:t xml:space="preserve"> </w:t>
      </w:r>
      <w:r w:rsidRPr="008203A6">
        <w:rPr>
          <w:rFonts w:ascii="Arial" w:hAnsi="Arial" w:cs="Arial"/>
        </w:rPr>
        <w:t>Pp.29-30</w:t>
      </w:r>
    </w:p>
    <w:p w14:paraId="6D8EC67B"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lastRenderedPageBreak/>
        <w:t>Ranong, P.N., (2009). </w:t>
      </w:r>
      <w:r w:rsidRPr="008203A6">
        <w:rPr>
          <w:rFonts w:ascii="Arial" w:hAnsi="Arial" w:cs="Arial"/>
          <w:i/>
          <w:iCs/>
          <w:shd w:val="clear" w:color="auto" w:fill="FFFFFF"/>
        </w:rPr>
        <w:t>Critical Success Factors for effective risk management procedures in financial industries: A study from the perspectives of the financial institutions in Thailand</w:t>
      </w:r>
      <w:r w:rsidRPr="008203A6">
        <w:rPr>
          <w:rFonts w:ascii="Arial" w:hAnsi="Arial" w:cs="Arial"/>
          <w:shd w:val="clear" w:color="auto" w:fill="FFFFFF"/>
        </w:rPr>
        <w:t> (Doctoral dissertation, Umeå University. Umeå School of Business).</w:t>
      </w:r>
    </w:p>
    <w:p w14:paraId="196141EA"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Ratings, F., 2018. Corporate rating criteria.</w:t>
      </w:r>
    </w:p>
    <w:p w14:paraId="432A70C5" w14:textId="314EDD50"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Ratings, F., 2018. Dodd-Frank rating information disclosure form., 2018. </w:t>
      </w:r>
      <w:r w:rsidRPr="008203A6">
        <w:rPr>
          <w:rFonts w:ascii="Arial" w:hAnsi="Arial" w:cs="Arial"/>
          <w:i/>
          <w:iCs/>
          <w:shd w:val="clear" w:color="auto" w:fill="FFFFFF"/>
        </w:rPr>
        <w:t>Recuperado de https://www. fitch</w:t>
      </w:r>
      <w:r w:rsidR="00D947F5">
        <w:rPr>
          <w:rFonts w:ascii="Arial" w:hAnsi="Arial" w:cs="Arial"/>
          <w:i/>
          <w:iCs/>
          <w:shd w:val="clear" w:color="auto" w:fill="FFFFFF"/>
        </w:rPr>
        <w:t xml:space="preserve"> </w:t>
      </w:r>
      <w:r w:rsidRPr="008203A6">
        <w:rPr>
          <w:rFonts w:ascii="Arial" w:hAnsi="Arial" w:cs="Arial"/>
          <w:i/>
          <w:iCs/>
          <w:shd w:val="clear" w:color="auto" w:fill="FFFFFF"/>
        </w:rPr>
        <w:t>ratings. com/site/dodd-frank-disclosure/10034071</w:t>
      </w:r>
      <w:r w:rsidRPr="008203A6">
        <w:rPr>
          <w:rFonts w:ascii="Arial" w:hAnsi="Arial" w:cs="Arial"/>
          <w:shd w:val="clear" w:color="auto" w:fill="FFFFFF"/>
        </w:rPr>
        <w:t>.</w:t>
      </w:r>
    </w:p>
    <w:p w14:paraId="4E350956"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Raymond, C. M., Bryan, B. A., MacDonald, D. H., Cast, A., Strathearn, S., Grandgirard, A.</w:t>
      </w:r>
      <w:r w:rsidRPr="008203A6">
        <w:rPr>
          <w:rFonts w:ascii="Arial" w:hAnsi="Arial" w:cs="Arial"/>
          <w:i/>
          <w:iCs/>
        </w:rPr>
        <w:t> et al. </w:t>
      </w:r>
      <w:r w:rsidRPr="008203A6">
        <w:rPr>
          <w:rFonts w:ascii="Arial" w:hAnsi="Arial" w:cs="Arial"/>
        </w:rPr>
        <w:t>(2009) Mapping community values for natural capital and ecosystem services, </w:t>
      </w:r>
      <w:r w:rsidRPr="008203A6">
        <w:rPr>
          <w:rFonts w:ascii="Arial" w:hAnsi="Arial" w:cs="Arial"/>
          <w:i/>
          <w:iCs/>
        </w:rPr>
        <w:t>Ecological Economics, </w:t>
      </w:r>
      <w:r w:rsidRPr="008203A6">
        <w:rPr>
          <w:rFonts w:ascii="Arial" w:hAnsi="Arial" w:cs="Arial"/>
        </w:rPr>
        <w:t>68 (5), pp. 1301-1315. DOI: </w:t>
      </w:r>
      <w:hyperlink r:id="rId173" w:tgtFrame="_blank" w:history="1">
        <w:r w:rsidRPr="008203A6">
          <w:rPr>
            <w:rFonts w:ascii="Arial" w:hAnsi="Arial" w:cs="Arial"/>
            <w:u w:val="single"/>
          </w:rPr>
          <w:t>https://doi.org/10.1016/j.ecolecon.2008.12.006</w:t>
        </w:r>
      </w:hyperlink>
      <w:r w:rsidRPr="008203A6">
        <w:rPr>
          <w:rFonts w:ascii="Arial" w:hAnsi="Arial" w:cs="Arial"/>
        </w:rPr>
        <w:t>.</w:t>
      </w:r>
    </w:p>
    <w:p w14:paraId="63B404ED" w14:textId="77777777" w:rsidR="005D5270" w:rsidRPr="008203A6" w:rsidRDefault="005D5270" w:rsidP="003B792A">
      <w:pPr>
        <w:spacing w:before="240" w:after="100" w:afterAutospacing="1" w:line="360" w:lineRule="auto"/>
        <w:jc w:val="both"/>
        <w:rPr>
          <w:rFonts w:ascii="Arial" w:eastAsia="Times New Roman" w:hAnsi="Arial" w:cs="Arial"/>
          <w:lang w:eastAsia="en-GB"/>
        </w:rPr>
      </w:pPr>
      <w:r w:rsidRPr="008203A6">
        <w:rPr>
          <w:rFonts w:ascii="Arial" w:eastAsia="Times New Roman" w:hAnsi="Arial" w:cs="Arial"/>
          <w:lang w:eastAsia="en-GB"/>
        </w:rPr>
        <w:t>Real Estate?</w:t>
      </w:r>
      <w:r w:rsidRPr="008203A6">
        <w:rPr>
          <w:rFonts w:ascii="Arial" w:eastAsia="Times New Roman" w:hAnsi="Arial" w:cs="Arial"/>
          <w:i/>
          <w:iCs/>
          <w:lang w:eastAsia="en-GB"/>
        </w:rPr>
        <w:t> Probate &amp; Property, 24</w:t>
      </w:r>
      <w:r w:rsidRPr="008203A6">
        <w:rPr>
          <w:rFonts w:ascii="Arial" w:eastAsia="Times New Roman" w:hAnsi="Arial" w:cs="Arial"/>
          <w:lang w:eastAsia="en-GB"/>
        </w:rPr>
        <w:t>(1), 51-56.</w:t>
      </w:r>
    </w:p>
    <w:p w14:paraId="0C2DEC64" w14:textId="77777777" w:rsidR="005D5270" w:rsidRPr="008203A6" w:rsidRDefault="005D5270" w:rsidP="003B792A">
      <w:pPr>
        <w:spacing w:before="240" w:line="360" w:lineRule="auto"/>
        <w:jc w:val="both"/>
        <w:rPr>
          <w:rFonts w:ascii="Arial" w:hAnsi="Arial" w:cs="Arial"/>
        </w:rPr>
      </w:pPr>
      <w:r w:rsidRPr="008203A6">
        <w:rPr>
          <w:rFonts w:ascii="Arial" w:hAnsi="Arial" w:cs="Arial"/>
        </w:rPr>
        <w:t>Rector, K (2002) What Lenders Want: America Machinist, 10417958 Vol 146, Issue 11</w:t>
      </w:r>
    </w:p>
    <w:p w14:paraId="58D26835"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Reh, J., ( 2019) Understanding Critical Success Factors And Indicators In Business. Available At: </w:t>
      </w:r>
      <w:hyperlink r:id="rId174" w:history="1">
        <w:r w:rsidRPr="008203A6">
          <w:rPr>
            <w:rStyle w:val="Hyperlink"/>
            <w:rFonts w:ascii="Arial" w:hAnsi="Arial" w:cs="Arial"/>
            <w:color w:val="auto"/>
          </w:rPr>
          <w:t>Https://Www.Thebalancecareers.Com/Critical-Success-Factors-In-Business-2275171</w:t>
        </w:r>
      </w:hyperlink>
      <w:r w:rsidRPr="008203A6">
        <w:rPr>
          <w:rFonts w:ascii="Arial" w:hAnsi="Arial" w:cs="Arial"/>
        </w:rPr>
        <w:t xml:space="preserve"> ( Accessed On 7</w:t>
      </w:r>
      <w:r w:rsidRPr="008203A6">
        <w:rPr>
          <w:rFonts w:ascii="Arial" w:hAnsi="Arial" w:cs="Arial"/>
          <w:vertAlign w:val="superscript"/>
        </w:rPr>
        <w:t>th</w:t>
      </w:r>
      <w:r w:rsidRPr="008203A6">
        <w:rPr>
          <w:rFonts w:ascii="Arial" w:hAnsi="Arial" w:cs="Arial"/>
        </w:rPr>
        <w:t xml:space="preserve"> </w:t>
      </w:r>
      <w:r w:rsidRPr="008203A6">
        <w:rPr>
          <w:rFonts w:ascii="Arial" w:hAnsi="Arial" w:cs="Arial"/>
        </w:rPr>
        <w:pgNum/>
      </w:r>
      <w:r w:rsidRPr="008203A6">
        <w:rPr>
          <w:rFonts w:ascii="Arial" w:hAnsi="Arial" w:cs="Arial"/>
        </w:rPr>
        <w:t>Ustral 2019).</w:t>
      </w:r>
    </w:p>
    <w:p w14:paraId="1AF495B8" w14:textId="398D09F3" w:rsidR="005D5270" w:rsidRPr="008203A6" w:rsidRDefault="005D5270" w:rsidP="003B792A">
      <w:pPr>
        <w:spacing w:before="240" w:line="360" w:lineRule="auto"/>
        <w:jc w:val="both"/>
        <w:rPr>
          <w:rFonts w:ascii="Arial" w:hAnsi="Arial" w:cs="Arial"/>
        </w:rPr>
      </w:pPr>
      <w:r w:rsidRPr="008203A6">
        <w:rPr>
          <w:rFonts w:ascii="Arial" w:hAnsi="Arial" w:cs="Arial"/>
        </w:rPr>
        <w:t>RIBA (20</w:t>
      </w:r>
      <w:r w:rsidR="003B16AD">
        <w:rPr>
          <w:rFonts w:ascii="Arial" w:hAnsi="Arial" w:cs="Arial"/>
        </w:rPr>
        <w:t>20</w:t>
      </w:r>
      <w:r w:rsidRPr="008203A6">
        <w:rPr>
          <w:rFonts w:ascii="Arial" w:hAnsi="Arial" w:cs="Arial"/>
        </w:rPr>
        <w:t xml:space="preserve">). RIBA Plan Of Work, Available At: </w:t>
      </w:r>
      <w:hyperlink r:id="rId175" w:history="1">
        <w:r w:rsidRPr="008203A6">
          <w:rPr>
            <w:rStyle w:val="Hyperlink"/>
            <w:rFonts w:ascii="Arial" w:hAnsi="Arial" w:cs="Arial"/>
            <w:color w:val="auto"/>
          </w:rPr>
          <w:t>Https://Www.Ribaplanofwork.Com/</w:t>
        </w:r>
      </w:hyperlink>
      <w:r w:rsidRPr="008203A6">
        <w:rPr>
          <w:rFonts w:ascii="Arial" w:hAnsi="Arial" w:cs="Arial"/>
        </w:rPr>
        <w:t xml:space="preserve"> (Accessed On </w:t>
      </w:r>
      <w:r w:rsidR="003B16AD">
        <w:rPr>
          <w:rFonts w:ascii="Arial" w:hAnsi="Arial" w:cs="Arial"/>
        </w:rPr>
        <w:t>01/02/2021</w:t>
      </w:r>
      <w:r w:rsidRPr="008203A6">
        <w:rPr>
          <w:rFonts w:ascii="Arial" w:hAnsi="Arial" w:cs="Arial"/>
        </w:rPr>
        <w:t>).</w:t>
      </w:r>
    </w:p>
    <w:p w14:paraId="34206CDD" w14:textId="72C3787B" w:rsidR="005D5270" w:rsidRPr="008203A6" w:rsidRDefault="005D5270" w:rsidP="003B792A">
      <w:pPr>
        <w:spacing w:before="240" w:line="360" w:lineRule="auto"/>
        <w:jc w:val="both"/>
        <w:rPr>
          <w:rFonts w:ascii="Arial" w:hAnsi="Arial" w:cs="Arial"/>
        </w:rPr>
      </w:pPr>
      <w:r w:rsidRPr="008203A6">
        <w:rPr>
          <w:rFonts w:ascii="Arial" w:hAnsi="Arial" w:cs="Arial"/>
        </w:rPr>
        <w:t xml:space="preserve">RICS (2018). Financial Core Skills Bundle. Available At: </w:t>
      </w:r>
      <w:hyperlink r:id="rId176" w:history="1">
        <w:r w:rsidRPr="008203A6">
          <w:rPr>
            <w:rStyle w:val="Hyperlink"/>
            <w:rFonts w:ascii="Arial" w:hAnsi="Arial" w:cs="Arial"/>
            <w:color w:val="auto"/>
          </w:rPr>
          <w:t>Https://Www.Rics.Org/Uk/Events/E-Learning/E-Learning/Financial</w:t>
        </w:r>
      </w:hyperlink>
      <w:r w:rsidRPr="008203A6">
        <w:rPr>
          <w:rFonts w:ascii="Arial" w:hAnsi="Arial" w:cs="Arial"/>
        </w:rPr>
        <w:t xml:space="preserve"> ( Accessed On 03/11/2018).</w:t>
      </w:r>
    </w:p>
    <w:p w14:paraId="5AFD3CE4" w14:textId="77777777" w:rsidR="005D5270" w:rsidRPr="008203A6" w:rsidRDefault="005D5270" w:rsidP="003B792A">
      <w:pPr>
        <w:spacing w:line="360" w:lineRule="auto"/>
        <w:jc w:val="both"/>
        <w:rPr>
          <w:rFonts w:ascii="Arial" w:hAnsi="Arial" w:cs="Arial"/>
        </w:rPr>
      </w:pPr>
      <w:r w:rsidRPr="008203A6">
        <w:rPr>
          <w:rFonts w:ascii="Arial" w:hAnsi="Arial" w:cs="Arial"/>
        </w:rPr>
        <w:t>Riddiough, T. (2004) Optimal Capital Structure And The Market For Outside Finance In Commercial Real Estate. Available At : (PDF) Researchgate.Net ( Accessed On 09/06/2020)</w:t>
      </w:r>
    </w:p>
    <w:p w14:paraId="4015D22B" w14:textId="77777777" w:rsidR="005D5270" w:rsidRPr="008203A6" w:rsidRDefault="005D5270" w:rsidP="003B792A">
      <w:pPr>
        <w:spacing w:before="240" w:line="360" w:lineRule="auto"/>
        <w:jc w:val="both"/>
        <w:rPr>
          <w:rFonts w:ascii="Arial" w:hAnsi="Arial" w:cs="Arial"/>
        </w:rPr>
      </w:pPr>
      <w:r w:rsidRPr="008203A6">
        <w:rPr>
          <w:rFonts w:ascii="Arial" w:hAnsi="Arial" w:cs="Arial"/>
        </w:rPr>
        <w:t>Robb, C. A. (2014). Personal Financial Knowledge, Conundrum.</w:t>
      </w:r>
      <w:r w:rsidRPr="008203A6">
        <w:rPr>
          <w:rFonts w:ascii="Arial" w:hAnsi="Arial" w:cs="Arial"/>
          <w:i/>
          <w:iCs/>
        </w:rPr>
        <w:t> Journal Of Financial Service Professionals, 68</w:t>
      </w:r>
      <w:r w:rsidRPr="008203A6">
        <w:rPr>
          <w:rFonts w:ascii="Arial" w:hAnsi="Arial" w:cs="Arial"/>
        </w:rPr>
        <w:t>(4), 69-72.</w:t>
      </w:r>
    </w:p>
    <w:p w14:paraId="202C7F35" w14:textId="77777777" w:rsidR="005D5270" w:rsidRPr="008203A6" w:rsidRDefault="005D5270" w:rsidP="003B792A">
      <w:pPr>
        <w:spacing w:before="240" w:line="360" w:lineRule="auto"/>
        <w:jc w:val="both"/>
        <w:rPr>
          <w:rFonts w:ascii="Arial" w:hAnsi="Arial" w:cs="Arial"/>
        </w:rPr>
      </w:pPr>
      <w:r w:rsidRPr="008203A6">
        <w:rPr>
          <w:rFonts w:ascii="Arial" w:hAnsi="Arial" w:cs="Arial"/>
        </w:rPr>
        <w:t>Robert, E., Wenlan, Q And Desmond, T. (2011). How Do Institutional Factors Affecting International Real Estate Return? The Journal Of Real Estate Finance And Economics. Volume 43, Issue 1-2, Pp 130-151</w:t>
      </w:r>
    </w:p>
    <w:p w14:paraId="6618E7F2"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Robson, B.T., (2006). </w:t>
      </w:r>
      <w:r w:rsidRPr="008203A6">
        <w:rPr>
          <w:rFonts w:ascii="Arial" w:hAnsi="Arial" w:cs="Arial"/>
          <w:i/>
          <w:iCs/>
          <w:shd w:val="clear" w:color="auto" w:fill="FFFFFF"/>
        </w:rPr>
        <w:t>Urban growth: an approach</w:t>
      </w:r>
      <w:r w:rsidRPr="008203A6">
        <w:rPr>
          <w:rFonts w:ascii="Arial" w:hAnsi="Arial" w:cs="Arial"/>
          <w:shd w:val="clear" w:color="auto" w:fill="FFFFFF"/>
        </w:rPr>
        <w:t> (Vol. 9). Routledge.</w:t>
      </w:r>
    </w:p>
    <w:p w14:paraId="64872AFE"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Rockart, J. (1979). Chief Executives Define Their Own Information Needs. In: </w:t>
      </w:r>
      <w:r w:rsidRPr="008203A6">
        <w:rPr>
          <w:rFonts w:ascii="Arial" w:hAnsi="Arial" w:cs="Arial"/>
        </w:rPr>
        <w:pgNum/>
      </w:r>
      <w:r w:rsidRPr="008203A6">
        <w:rPr>
          <w:rFonts w:ascii="Arial" w:hAnsi="Arial" w:cs="Arial"/>
        </w:rPr>
        <w:t>Ustral Business Review, March/</w:t>
      </w:r>
      <w:r w:rsidRPr="008203A6">
        <w:rPr>
          <w:rFonts w:ascii="Arial" w:hAnsi="Arial" w:cs="Arial"/>
        </w:rPr>
        <w:pgNum/>
      </w:r>
      <w:r w:rsidRPr="008203A6">
        <w:rPr>
          <w:rFonts w:ascii="Arial" w:hAnsi="Arial" w:cs="Arial"/>
        </w:rPr>
        <w:t>Ustr 1979, 81-92.</w:t>
      </w:r>
    </w:p>
    <w:p w14:paraId="30894AAF" w14:textId="77777777" w:rsidR="005D5270" w:rsidRPr="008203A6" w:rsidRDefault="005D5270" w:rsidP="003B792A">
      <w:pPr>
        <w:spacing w:before="240" w:line="360" w:lineRule="auto"/>
        <w:jc w:val="both"/>
        <w:rPr>
          <w:rFonts w:ascii="Arial" w:hAnsi="Arial" w:cs="Arial"/>
        </w:rPr>
      </w:pPr>
      <w:r w:rsidRPr="008203A6">
        <w:rPr>
          <w:rFonts w:ascii="Arial" w:hAnsi="Arial" w:cs="Arial"/>
        </w:rPr>
        <w:t>Rodnyansky, A., &amp; Darmouni, R. (2017). The Effects Of Quantitative Easing On Bank Lending Behaviour.</w:t>
      </w:r>
      <w:r w:rsidRPr="008203A6">
        <w:rPr>
          <w:rFonts w:ascii="Arial" w:hAnsi="Arial" w:cs="Arial"/>
          <w:i/>
          <w:iCs/>
        </w:rPr>
        <w:t> Review Of Financial Studies, 30</w:t>
      </w:r>
      <w:r w:rsidRPr="008203A6">
        <w:rPr>
          <w:rFonts w:ascii="Arial" w:hAnsi="Arial" w:cs="Arial"/>
        </w:rPr>
        <w:t>(11), 3858-3887.</w:t>
      </w:r>
    </w:p>
    <w:p w14:paraId="71F55C08"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lastRenderedPageBreak/>
        <w:t>Rodríguez</w:t>
      </w:r>
      <w:r w:rsidRPr="008203A6">
        <w:rPr>
          <w:rFonts w:ascii="Cambria Math" w:hAnsi="Cambria Math" w:cs="Cambria Math"/>
          <w:shd w:val="clear" w:color="auto" w:fill="FFFFFF"/>
        </w:rPr>
        <w:t>‐</w:t>
      </w:r>
      <w:r w:rsidRPr="008203A6">
        <w:rPr>
          <w:rFonts w:ascii="Arial" w:hAnsi="Arial" w:cs="Arial"/>
          <w:shd w:val="clear" w:color="auto" w:fill="FFFFFF"/>
        </w:rPr>
        <w:t>Rivero, R., Ortiz</w:t>
      </w:r>
      <w:r w:rsidRPr="008203A6">
        <w:rPr>
          <w:rFonts w:ascii="Cambria Math" w:hAnsi="Cambria Math" w:cs="Cambria Math"/>
          <w:shd w:val="clear" w:color="auto" w:fill="FFFFFF"/>
        </w:rPr>
        <w:t>‐</w:t>
      </w:r>
      <w:r w:rsidRPr="008203A6">
        <w:rPr>
          <w:rFonts w:ascii="Arial" w:hAnsi="Arial" w:cs="Arial"/>
          <w:shd w:val="clear" w:color="auto" w:fill="FFFFFF"/>
        </w:rPr>
        <w:t>Marcos, I., Ballesteros</w:t>
      </w:r>
      <w:r w:rsidRPr="008203A6">
        <w:rPr>
          <w:rFonts w:ascii="Cambria Math" w:hAnsi="Cambria Math" w:cs="Cambria Math"/>
          <w:shd w:val="clear" w:color="auto" w:fill="FFFFFF"/>
        </w:rPr>
        <w:t>‐</w:t>
      </w:r>
      <w:r w:rsidRPr="008203A6">
        <w:rPr>
          <w:rFonts w:ascii="Arial" w:hAnsi="Arial" w:cs="Arial"/>
          <w:shd w:val="clear" w:color="auto" w:fill="FFFFFF"/>
        </w:rPr>
        <w:t>Sánchez, L. and Romero, J., (2018). The opportunity to improve psychological competences of project managers in international businesses. </w:t>
      </w:r>
      <w:r w:rsidRPr="008203A6">
        <w:rPr>
          <w:rFonts w:ascii="Arial" w:hAnsi="Arial" w:cs="Arial"/>
          <w:i/>
          <w:iCs/>
          <w:shd w:val="clear" w:color="auto" w:fill="FFFFFF"/>
        </w:rPr>
        <w:t>Psychology &amp; Marketing</w:t>
      </w:r>
      <w:r w:rsidRPr="008203A6">
        <w:rPr>
          <w:rFonts w:ascii="Arial" w:hAnsi="Arial" w:cs="Arial"/>
          <w:shd w:val="clear" w:color="auto" w:fill="FFFFFF"/>
        </w:rPr>
        <w:t>, </w:t>
      </w:r>
      <w:r w:rsidRPr="008203A6">
        <w:rPr>
          <w:rFonts w:ascii="Arial" w:hAnsi="Arial" w:cs="Arial"/>
          <w:i/>
          <w:iCs/>
          <w:shd w:val="clear" w:color="auto" w:fill="FFFFFF"/>
        </w:rPr>
        <w:t>35</w:t>
      </w:r>
      <w:r w:rsidRPr="008203A6">
        <w:rPr>
          <w:rFonts w:ascii="Arial" w:hAnsi="Arial" w:cs="Arial"/>
          <w:shd w:val="clear" w:color="auto" w:fill="FFFFFF"/>
        </w:rPr>
        <w:t>(2), pp.150-159.</w:t>
      </w:r>
    </w:p>
    <w:p w14:paraId="6CD892E5"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Rohm, M. ( 2017) Modelling Critical Success Factors Of International Joint Ventures In Real Estate Development: Perspective Of Capital Investor. A Thesis Submitted To The University Of </w:t>
      </w:r>
      <w:r w:rsidRPr="008203A6">
        <w:rPr>
          <w:rFonts w:ascii="Arial" w:hAnsi="Arial" w:cs="Arial"/>
        </w:rPr>
        <w:pgNum/>
      </w:r>
      <w:r w:rsidRPr="008203A6">
        <w:rPr>
          <w:rFonts w:ascii="Arial" w:hAnsi="Arial" w:cs="Arial"/>
        </w:rPr>
        <w:t>Ustralia</w:t>
      </w:r>
      <w:r w:rsidRPr="008203A6">
        <w:rPr>
          <w:rFonts w:ascii="Arial" w:hAnsi="Arial" w:cs="Arial"/>
        </w:rPr>
        <w:pgNum/>
      </w:r>
      <w:r w:rsidRPr="008203A6">
        <w:rPr>
          <w:rFonts w:ascii="Arial" w:hAnsi="Arial" w:cs="Arial"/>
        </w:rPr>
        <w:t xml:space="preserve">Shire. Available At: </w:t>
      </w:r>
      <w:hyperlink r:id="rId177" w:history="1">
        <w:r w:rsidRPr="008203A6">
          <w:rPr>
            <w:rStyle w:val="Hyperlink"/>
            <w:rFonts w:ascii="Arial" w:hAnsi="Arial" w:cs="Arial"/>
            <w:color w:val="auto"/>
          </w:rPr>
          <w:t>Http://Eprints.Glos.Ac.Uk/5641/1/Phd_Final_Thesis_Redacted_Signature_Cv.Pdf</w:t>
        </w:r>
      </w:hyperlink>
      <w:r w:rsidRPr="008203A6">
        <w:rPr>
          <w:rFonts w:ascii="Arial" w:hAnsi="Arial" w:cs="Arial"/>
        </w:rPr>
        <w:t xml:space="preserve"> (Accessed On 22</w:t>
      </w:r>
      <w:r w:rsidRPr="008203A6">
        <w:rPr>
          <w:rFonts w:ascii="Arial" w:hAnsi="Arial" w:cs="Arial"/>
          <w:vertAlign w:val="superscript"/>
        </w:rPr>
        <w:t>nd</w:t>
      </w:r>
      <w:r w:rsidRPr="008203A6">
        <w:rPr>
          <w:rFonts w:ascii="Arial" w:hAnsi="Arial" w:cs="Arial"/>
        </w:rPr>
        <w:t xml:space="preserve"> </w:t>
      </w:r>
      <w:r w:rsidRPr="008203A6">
        <w:rPr>
          <w:rFonts w:ascii="Arial" w:hAnsi="Arial" w:cs="Arial"/>
        </w:rPr>
        <w:pgNum/>
      </w:r>
      <w:r w:rsidRPr="008203A6">
        <w:rPr>
          <w:rFonts w:ascii="Arial" w:hAnsi="Arial" w:cs="Arial"/>
        </w:rPr>
        <w:t xml:space="preserve">Ustrali 2019). </w:t>
      </w:r>
    </w:p>
    <w:p w14:paraId="4B883BEC" w14:textId="77777777" w:rsidR="005D5270" w:rsidRPr="008203A6" w:rsidRDefault="005D5270" w:rsidP="003B792A">
      <w:pPr>
        <w:spacing w:line="360" w:lineRule="auto"/>
        <w:rPr>
          <w:rFonts w:ascii="Arial" w:hAnsi="Arial" w:cs="Arial"/>
        </w:rPr>
      </w:pPr>
      <w:r w:rsidRPr="008203A6">
        <w:rPr>
          <w:rFonts w:ascii="Arial" w:hAnsi="Arial" w:cs="Arial"/>
        </w:rPr>
        <w:t>Rojas, E. M. (2013) Identifying, Recruiting, And Retaining Quality Field Supervisors And Project Managers In The Electrical Construction Industry, Journal Of Management In Engineering, 29 (4), Pp. 424-434.</w:t>
      </w:r>
    </w:p>
    <w:p w14:paraId="446FB9C1"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Rowley, S., </w:t>
      </w:r>
      <w:r w:rsidRPr="008203A6">
        <w:rPr>
          <w:rFonts w:ascii="Arial" w:hAnsi="Arial" w:cs="Arial"/>
        </w:rPr>
        <w:pgNum/>
      </w:r>
      <w:r w:rsidRPr="008203A6">
        <w:rPr>
          <w:rFonts w:ascii="Arial" w:hAnsi="Arial" w:cs="Arial"/>
        </w:rPr>
        <w:t xml:space="preserve">Ustrali, G., Higgins, D. And Phibbs, P. (2014) The Financing Of Residential Development In </w:t>
      </w:r>
      <w:r w:rsidRPr="008203A6">
        <w:rPr>
          <w:rFonts w:ascii="Arial" w:hAnsi="Arial" w:cs="Arial"/>
        </w:rPr>
        <w:pgNum/>
      </w:r>
      <w:r w:rsidRPr="008203A6">
        <w:rPr>
          <w:rFonts w:ascii="Arial" w:hAnsi="Arial" w:cs="Arial"/>
        </w:rPr>
        <w:t xml:space="preserve">Ustralia | Request Pdf. Available From: </w:t>
      </w:r>
      <w:hyperlink r:id="rId178" w:history="1">
        <w:r w:rsidRPr="008203A6">
          <w:rPr>
            <w:rStyle w:val="Hyperlink"/>
            <w:rFonts w:ascii="Arial" w:hAnsi="Arial" w:cs="Arial"/>
            <w:color w:val="auto"/>
          </w:rPr>
          <w:t>Https://Www</w:t>
        </w:r>
      </w:hyperlink>
      <w:r w:rsidRPr="008203A6">
        <w:rPr>
          <w:rFonts w:ascii="Arial" w:hAnsi="Arial" w:cs="Arial"/>
        </w:rPr>
        <w:t>.Researchgate.Net/Publication/281038408_The_Financing_Of_Residential_Development_In_Australia [Accessed Oct 03 2018].</w:t>
      </w:r>
    </w:p>
    <w:p w14:paraId="0D3605F8" w14:textId="77777777" w:rsidR="005D5270" w:rsidRPr="008203A6" w:rsidRDefault="005D5270" w:rsidP="003B792A">
      <w:pPr>
        <w:spacing w:before="240" w:line="360" w:lineRule="auto"/>
        <w:jc w:val="both"/>
        <w:rPr>
          <w:rFonts w:ascii="Arial" w:hAnsi="Arial" w:cs="Arial"/>
        </w:rPr>
      </w:pPr>
      <w:r w:rsidRPr="008203A6">
        <w:rPr>
          <w:rFonts w:ascii="Arial" w:hAnsi="Arial" w:cs="Arial"/>
        </w:rPr>
        <w:t>Saari, L. M., Johnson, T. R., Mclaughlin, S. D., &amp; Zimmerle, D. M. (1988). A Survey Of Management Training And Education Practices In U.S. Companies.</w:t>
      </w:r>
      <w:r w:rsidRPr="008203A6">
        <w:rPr>
          <w:rFonts w:ascii="Arial" w:hAnsi="Arial" w:cs="Arial"/>
          <w:i/>
          <w:iCs/>
        </w:rPr>
        <w:t> Personnel Psychology, 41</w:t>
      </w:r>
      <w:r w:rsidRPr="008203A6">
        <w:rPr>
          <w:rFonts w:ascii="Arial" w:hAnsi="Arial" w:cs="Arial"/>
        </w:rPr>
        <w:t>(4), 731-743.</w:t>
      </w:r>
    </w:p>
    <w:p w14:paraId="6C8FC14D" w14:textId="77777777" w:rsidR="005D5270" w:rsidRPr="008203A6" w:rsidRDefault="005D5270" w:rsidP="003B792A">
      <w:pPr>
        <w:spacing w:line="360" w:lineRule="auto"/>
        <w:jc w:val="both"/>
        <w:rPr>
          <w:rFonts w:ascii="Arial" w:hAnsi="Arial" w:cs="Arial"/>
        </w:rPr>
      </w:pPr>
      <w:r w:rsidRPr="008203A6">
        <w:rPr>
          <w:rFonts w:ascii="Arial" w:hAnsi="Arial" w:cs="Arial"/>
        </w:rPr>
        <w:t>Sabbaghi, A &amp; Vaidyanathan, G., (2004) Information Systems Education Journal. Volume 2, Number 23. Available At : (Pdf ) Isedj.Org ( Accessed On 02/06/2020).</w:t>
      </w:r>
    </w:p>
    <w:p w14:paraId="61F78861"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Salem, M., (2011) The Determinant Of Foreign Direct Investment In Commercial Real Estate And Hotel Sectors From Selected Mena Countries. Submitted In Partial Fulfillment Of The Requirement Of The Degree Of Doctor Of Philosophy At The School Of Built Environment, Liverpool John Moores University. Available On Ethos (Accessed On 29</w:t>
      </w:r>
      <w:r w:rsidRPr="008203A6">
        <w:rPr>
          <w:rFonts w:ascii="Arial" w:hAnsi="Arial" w:cs="Arial"/>
          <w:vertAlign w:val="superscript"/>
        </w:rPr>
        <w:t>th</w:t>
      </w:r>
      <w:r w:rsidRPr="008203A6">
        <w:rPr>
          <w:rFonts w:ascii="Arial" w:hAnsi="Arial" w:cs="Arial"/>
        </w:rPr>
        <w:t xml:space="preserve"> December 2018).</w:t>
      </w:r>
    </w:p>
    <w:p w14:paraId="7037D02B" w14:textId="77777777" w:rsidR="005D5270" w:rsidRPr="008203A6" w:rsidRDefault="005D5270" w:rsidP="003B792A">
      <w:pPr>
        <w:spacing w:line="360" w:lineRule="auto"/>
        <w:jc w:val="both"/>
        <w:rPr>
          <w:rFonts w:ascii="Arial" w:hAnsi="Arial" w:cs="Arial"/>
        </w:rPr>
      </w:pPr>
      <w:r w:rsidRPr="008203A6">
        <w:rPr>
          <w:rFonts w:ascii="Arial" w:hAnsi="Arial" w:cs="Arial"/>
        </w:rPr>
        <w:t>Salkind, N.J. (2004). Statistics for people who think them hate statistics (3</w:t>
      </w:r>
      <w:r w:rsidRPr="008203A6">
        <w:rPr>
          <w:rFonts w:ascii="Arial" w:hAnsi="Arial" w:cs="Arial"/>
          <w:vertAlign w:val="superscript"/>
        </w:rPr>
        <w:t>rd</w:t>
      </w:r>
      <w:r w:rsidRPr="008203A6">
        <w:rPr>
          <w:rFonts w:ascii="Arial" w:hAnsi="Arial" w:cs="Arial"/>
        </w:rPr>
        <w:t xml:space="preserve"> ed.). Sage Publications</w:t>
      </w:r>
    </w:p>
    <w:p w14:paraId="283A0725" w14:textId="77777777" w:rsidR="005D5270" w:rsidRPr="008203A6" w:rsidRDefault="005D5270" w:rsidP="003B792A">
      <w:pPr>
        <w:spacing w:before="240" w:line="360" w:lineRule="auto"/>
        <w:jc w:val="both"/>
        <w:rPr>
          <w:rFonts w:ascii="Arial" w:hAnsi="Arial" w:cs="Arial"/>
        </w:rPr>
      </w:pPr>
      <w:r w:rsidRPr="008203A6">
        <w:rPr>
          <w:rFonts w:ascii="Arial" w:hAnsi="Arial" w:cs="Arial"/>
        </w:rPr>
        <w:t>Salovey, P. and Meyer, J.D. (1990) Emotional Intelligence, Imagination, Cognition And Personality, 9 (3) Pp.185-211</w:t>
      </w:r>
    </w:p>
    <w:p w14:paraId="5530E44A"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Sattinger, M (1975). Comparative Advantage And The Distribution Of Earnings And Abilities, Econometrica 43 (3), Pp. 455-468</w:t>
      </w:r>
    </w:p>
    <w:p w14:paraId="4FB2E085"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Saunders, M. N. K., Lewis, P., And Thornhill, A. (2015) </w:t>
      </w:r>
      <w:r w:rsidRPr="008203A6">
        <w:rPr>
          <w:rFonts w:ascii="Arial" w:hAnsi="Arial" w:cs="Arial"/>
          <w:i/>
          <w:iCs/>
        </w:rPr>
        <w:t>Research Methods For Business Students. </w:t>
      </w:r>
      <w:r w:rsidRPr="008203A6">
        <w:rPr>
          <w:rFonts w:ascii="Arial" w:hAnsi="Arial" w:cs="Arial"/>
        </w:rPr>
        <w:t>Seventh Ed. New York: Pearson Education. Https://Www.Bbc.Co.Uk/News/World-Europe-18023389</w:t>
      </w:r>
    </w:p>
    <w:p w14:paraId="1C5C2EE7" w14:textId="77777777" w:rsidR="005D5270" w:rsidRPr="008203A6" w:rsidRDefault="005D5270" w:rsidP="003B792A">
      <w:pPr>
        <w:spacing w:before="240" w:line="360" w:lineRule="auto"/>
        <w:jc w:val="both"/>
        <w:rPr>
          <w:rFonts w:ascii="Arial" w:hAnsi="Arial" w:cs="Arial"/>
        </w:rPr>
      </w:pPr>
      <w:r w:rsidRPr="008203A6">
        <w:rPr>
          <w:rFonts w:ascii="Arial" w:hAnsi="Arial" w:cs="Arial"/>
        </w:rPr>
        <w:t>Savaneviciene, A., Rutelione, A., &amp; Ciutiene, R. (2014). Crucial Transversal Competences In The Changing Environment: Case Of The European Sme Managers.</w:t>
      </w:r>
      <w:r w:rsidRPr="008203A6">
        <w:rPr>
          <w:rFonts w:ascii="Arial" w:hAnsi="Arial" w:cs="Arial"/>
          <w:i/>
          <w:iCs/>
        </w:rPr>
        <w:t> Economics &amp; Management, 19</w:t>
      </w:r>
      <w:r w:rsidRPr="008203A6">
        <w:rPr>
          <w:rFonts w:ascii="Arial" w:hAnsi="Arial" w:cs="Arial"/>
        </w:rPr>
        <w:t>(1), 100-108.</w:t>
      </w:r>
    </w:p>
    <w:p w14:paraId="17800C91" w14:textId="77777777" w:rsidR="005D5270" w:rsidRPr="008203A6" w:rsidRDefault="005D5270" w:rsidP="003B792A">
      <w:pPr>
        <w:spacing w:after="0" w:line="360" w:lineRule="auto"/>
        <w:jc w:val="both"/>
        <w:rPr>
          <w:rFonts w:ascii="Arial" w:hAnsi="Arial" w:cs="Arial"/>
        </w:rPr>
      </w:pPr>
      <w:r w:rsidRPr="008203A6">
        <w:rPr>
          <w:rFonts w:ascii="Arial" w:hAnsi="Arial" w:cs="Arial"/>
        </w:rPr>
        <w:t>Schaechter, A., Alper, C. E., Arbatli, E., Caceres, C., Callegari, G., Gerard, M.</w:t>
      </w:r>
      <w:r w:rsidRPr="008203A6">
        <w:rPr>
          <w:rFonts w:ascii="Arial" w:hAnsi="Arial" w:cs="Arial"/>
          <w:i/>
          <w:iCs/>
        </w:rPr>
        <w:t> Et Al. </w:t>
      </w:r>
      <w:r w:rsidRPr="008203A6">
        <w:rPr>
          <w:rFonts w:ascii="Arial" w:hAnsi="Arial" w:cs="Arial"/>
        </w:rPr>
        <w:t>(2014) A Toolkit To Assess Fiscal Vulnerabilities And Risks In Advanced Economies, </w:t>
      </w:r>
      <w:r w:rsidRPr="008203A6">
        <w:rPr>
          <w:rFonts w:ascii="Arial" w:hAnsi="Arial" w:cs="Arial"/>
          <w:i/>
          <w:iCs/>
        </w:rPr>
        <w:t>Applied Economics, </w:t>
      </w:r>
      <w:r w:rsidRPr="008203A6">
        <w:rPr>
          <w:rFonts w:ascii="Arial" w:hAnsi="Arial" w:cs="Arial"/>
        </w:rPr>
        <w:t>46 (6), Pp. 650-660.</w:t>
      </w:r>
    </w:p>
    <w:p w14:paraId="266ED671" w14:textId="77777777" w:rsidR="005D5270" w:rsidRPr="008203A6" w:rsidRDefault="005D5270" w:rsidP="003B792A">
      <w:pPr>
        <w:spacing w:after="0" w:line="360" w:lineRule="auto"/>
        <w:jc w:val="both"/>
        <w:rPr>
          <w:rFonts w:ascii="Arial" w:hAnsi="Arial" w:cs="Arial"/>
        </w:rPr>
      </w:pPr>
      <w:r w:rsidRPr="008203A6">
        <w:rPr>
          <w:rFonts w:ascii="Arial" w:hAnsi="Arial" w:cs="Arial"/>
        </w:rPr>
        <w:t>Schaeffer, M. (2003) Local Government Budgeting Toolkit . Available At : (PDF) Psu.Edu( Accessed On 29/06/2020).</w:t>
      </w:r>
    </w:p>
    <w:p w14:paraId="052576A2" w14:textId="77777777" w:rsidR="005D5270" w:rsidRPr="008203A6" w:rsidRDefault="005D5270" w:rsidP="003B792A">
      <w:pPr>
        <w:spacing w:after="0" w:line="360" w:lineRule="auto"/>
        <w:jc w:val="both"/>
        <w:rPr>
          <w:rFonts w:ascii="Arial" w:hAnsi="Arial" w:cs="Arial"/>
        </w:rPr>
      </w:pPr>
      <w:r w:rsidRPr="008203A6">
        <w:rPr>
          <w:rFonts w:ascii="Arial" w:hAnsi="Arial" w:cs="Arial"/>
        </w:rPr>
        <w:t>Schamer, L. &amp; Croymans, S. (2013) Recovery After Disaster: The Family Financial Toolkit. An Evaluation Of The Efficacy. Available At : (PDF) Umn.Edu (Accessed On 29/06/2020)</w:t>
      </w:r>
    </w:p>
    <w:p w14:paraId="0944E691"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Schultz, T.W (1961). Investment In Human Capital, America Economic Review 51(1), Pp.1-17</w:t>
      </w:r>
    </w:p>
    <w:p w14:paraId="334E079E"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Schwab, K., (2018), November. The global competitiveness report 2018. In </w:t>
      </w:r>
      <w:r w:rsidRPr="008203A6">
        <w:rPr>
          <w:rFonts w:ascii="Arial" w:hAnsi="Arial" w:cs="Arial"/>
          <w:i/>
          <w:iCs/>
          <w:shd w:val="clear" w:color="auto" w:fill="FFFFFF"/>
        </w:rPr>
        <w:t>World Economic Forum</w:t>
      </w:r>
      <w:r w:rsidRPr="008203A6">
        <w:rPr>
          <w:rFonts w:ascii="Arial" w:hAnsi="Arial" w:cs="Arial"/>
          <w:shd w:val="clear" w:color="auto" w:fill="FFFFFF"/>
        </w:rPr>
        <w:t> (pp. 9-14).</w:t>
      </w:r>
    </w:p>
    <w:p w14:paraId="5387020D" w14:textId="0FE887B4" w:rsidR="005D5270" w:rsidRPr="008203A6" w:rsidRDefault="005D5270" w:rsidP="003B792A">
      <w:pPr>
        <w:spacing w:before="240" w:line="360" w:lineRule="auto"/>
        <w:jc w:val="both"/>
        <w:rPr>
          <w:rFonts w:ascii="Arial" w:hAnsi="Arial" w:cs="Arial"/>
        </w:rPr>
      </w:pPr>
      <w:r w:rsidRPr="008203A6">
        <w:rPr>
          <w:rFonts w:ascii="Arial" w:hAnsi="Arial" w:cs="Arial"/>
        </w:rPr>
        <w:t>Scott, J., Rochester, A. And British Institution Of Management (1990;1984). What Is A Manager? London: Sphere/ British Institute Of Management.</w:t>
      </w:r>
    </w:p>
    <w:p w14:paraId="7D669BC3"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Segal (2019) What Is Private Equity? Available At: </w:t>
      </w:r>
      <w:hyperlink r:id="rId179" w:history="1">
        <w:r w:rsidRPr="008203A6">
          <w:rPr>
            <w:rStyle w:val="Hyperlink"/>
            <w:rFonts w:ascii="Arial" w:hAnsi="Arial" w:cs="Arial"/>
            <w:color w:val="auto"/>
          </w:rPr>
          <w:t>Https://Www.Investopedia.Com/Articles/Financial-Careers/09/Private-Equity.Asp</w:t>
        </w:r>
      </w:hyperlink>
      <w:r w:rsidRPr="008203A6">
        <w:rPr>
          <w:rFonts w:ascii="Arial" w:hAnsi="Arial" w:cs="Arial"/>
        </w:rPr>
        <w:t xml:space="preserve"> (Accessed On 19</w:t>
      </w:r>
      <w:r w:rsidRPr="008203A6">
        <w:rPr>
          <w:rFonts w:ascii="Arial" w:hAnsi="Arial" w:cs="Arial"/>
          <w:vertAlign w:val="superscript"/>
        </w:rPr>
        <w:t>th</w:t>
      </w:r>
      <w:r w:rsidRPr="008203A6">
        <w:rPr>
          <w:rFonts w:ascii="Arial" w:hAnsi="Arial" w:cs="Arial"/>
        </w:rPr>
        <w:t xml:space="preserve"> February 2019). </w:t>
      </w:r>
    </w:p>
    <w:p w14:paraId="64728F62" w14:textId="41678E46" w:rsidR="005D5270" w:rsidRPr="008203A6" w:rsidRDefault="005D5270" w:rsidP="003B792A">
      <w:pPr>
        <w:spacing w:line="360" w:lineRule="auto"/>
        <w:jc w:val="both"/>
        <w:rPr>
          <w:rFonts w:ascii="Arial" w:hAnsi="Arial" w:cs="Arial"/>
        </w:rPr>
      </w:pPr>
      <w:r w:rsidRPr="008203A6">
        <w:rPr>
          <w:rFonts w:ascii="Arial" w:hAnsi="Arial" w:cs="Arial"/>
        </w:rPr>
        <w:t>Sekaran, U. (2003). Research methods for business. A skill</w:t>
      </w:r>
      <w:r w:rsidR="00D947F5">
        <w:rPr>
          <w:rFonts w:ascii="Arial" w:hAnsi="Arial" w:cs="Arial"/>
        </w:rPr>
        <w:t>-</w:t>
      </w:r>
      <w:r w:rsidRPr="008203A6">
        <w:rPr>
          <w:rFonts w:ascii="Arial" w:hAnsi="Arial" w:cs="Arial"/>
        </w:rPr>
        <w:t>building approach (4</w:t>
      </w:r>
      <w:r w:rsidRPr="008203A6">
        <w:rPr>
          <w:rFonts w:ascii="Arial" w:hAnsi="Arial" w:cs="Arial"/>
          <w:vertAlign w:val="superscript"/>
        </w:rPr>
        <w:t>th</w:t>
      </w:r>
      <w:r w:rsidRPr="008203A6">
        <w:rPr>
          <w:rFonts w:ascii="Arial" w:hAnsi="Arial" w:cs="Arial"/>
        </w:rPr>
        <w:t xml:space="preserve"> ed.). John Wiley &amp; Sons</w:t>
      </w:r>
    </w:p>
    <w:p w14:paraId="19F39312" w14:textId="77777777" w:rsidR="005D5270" w:rsidRPr="008203A6" w:rsidRDefault="005D5270" w:rsidP="003B792A">
      <w:pPr>
        <w:spacing w:before="240" w:line="360" w:lineRule="auto"/>
        <w:jc w:val="both"/>
        <w:rPr>
          <w:rFonts w:ascii="Arial" w:hAnsi="Arial" w:cs="Arial"/>
        </w:rPr>
      </w:pPr>
      <w:r w:rsidRPr="008203A6">
        <w:rPr>
          <w:rFonts w:ascii="Arial" w:hAnsi="Arial" w:cs="Arial"/>
        </w:rPr>
        <w:t>Selbert, Z. (2018). Owners Interested In Institutional Equity, But Is It The Right Choice? Hotel Management (21582122), 233(9), 28.</w:t>
      </w:r>
    </w:p>
    <w:p w14:paraId="305DE5AB" w14:textId="77777777" w:rsidR="005D5270" w:rsidRPr="008203A6" w:rsidRDefault="005D5270" w:rsidP="003B792A">
      <w:pPr>
        <w:spacing w:before="240" w:line="360" w:lineRule="auto"/>
        <w:jc w:val="both"/>
        <w:rPr>
          <w:rFonts w:ascii="Arial" w:hAnsi="Arial" w:cs="Arial"/>
        </w:rPr>
      </w:pPr>
      <w:r w:rsidRPr="008203A6">
        <w:rPr>
          <w:rFonts w:ascii="Arial" w:hAnsi="Arial" w:cs="Arial"/>
        </w:rPr>
        <w:t>Sequires, P., Kaufman, H., Togelius, J., And Jaramilo, C. ( 2017)A Comparative Sequence Analysis Of Career Paths Among Knowledge Workers In A Multinational Bank, (2017) </w:t>
      </w:r>
      <w:r w:rsidRPr="008203A6">
        <w:rPr>
          <w:rFonts w:ascii="Arial" w:hAnsi="Arial" w:cs="Arial"/>
          <w:i/>
          <w:iCs/>
        </w:rPr>
        <w:t>2017 Ieee International Conference On Big Data (Big Data), Big Data (Big Data), 2017 Ieee International Conference On, </w:t>
      </w:r>
      <w:r w:rsidRPr="008203A6">
        <w:rPr>
          <w:rFonts w:ascii="Arial" w:hAnsi="Arial" w:cs="Arial"/>
        </w:rPr>
        <w:t xml:space="preserve"> Pp. 3604.</w:t>
      </w:r>
    </w:p>
    <w:p w14:paraId="1D409994" w14:textId="77777777" w:rsidR="005D5270" w:rsidRPr="008203A6" w:rsidRDefault="005D5270" w:rsidP="003B792A">
      <w:pPr>
        <w:spacing w:line="360" w:lineRule="auto"/>
        <w:jc w:val="both"/>
        <w:rPr>
          <w:rFonts w:ascii="Arial" w:hAnsi="Arial" w:cs="Arial"/>
        </w:rPr>
      </w:pPr>
      <w:r w:rsidRPr="008203A6">
        <w:rPr>
          <w:rFonts w:ascii="Arial" w:hAnsi="Arial" w:cs="Arial"/>
        </w:rPr>
        <w:lastRenderedPageBreak/>
        <w:t>Shapiro, S.S. &amp; Francia, R.S. (1972). An Approximate Analysis of Variance Test for Normality, Journal of the American Statistical Association, 67:337, 215-216, DOI: </w:t>
      </w:r>
      <w:hyperlink r:id="rId180" w:history="1">
        <w:r w:rsidRPr="00D947F5">
          <w:rPr>
            <w:rStyle w:val="Hyperlink"/>
            <w:rFonts w:ascii="Arial" w:hAnsi="Arial" w:cs="Arial"/>
            <w:color w:val="auto"/>
          </w:rPr>
          <w:t>10.1080/01621459.1972.10481232</w:t>
        </w:r>
      </w:hyperlink>
    </w:p>
    <w:p w14:paraId="52508F0B" w14:textId="77777777" w:rsidR="005D5270" w:rsidRPr="008203A6" w:rsidRDefault="005D5270" w:rsidP="003B792A">
      <w:pPr>
        <w:spacing w:before="240" w:line="360" w:lineRule="auto"/>
        <w:jc w:val="both"/>
        <w:rPr>
          <w:rFonts w:ascii="Arial" w:hAnsi="Arial" w:cs="Arial"/>
        </w:rPr>
      </w:pPr>
      <w:r w:rsidRPr="008203A6">
        <w:rPr>
          <w:rFonts w:ascii="Arial" w:hAnsi="Arial" w:cs="Arial"/>
        </w:rPr>
        <w:t>Siebert, W. S., &amp; Zubanov, N. (2010). Management Economics In A Large Retail Company.</w:t>
      </w:r>
      <w:r w:rsidRPr="008203A6">
        <w:rPr>
          <w:rFonts w:ascii="Arial" w:hAnsi="Arial" w:cs="Arial"/>
          <w:i/>
          <w:iCs/>
        </w:rPr>
        <w:t> Management Science, 56</w:t>
      </w:r>
      <w:r w:rsidRPr="008203A6">
        <w:rPr>
          <w:rFonts w:ascii="Arial" w:hAnsi="Arial" w:cs="Arial"/>
        </w:rPr>
        <w:t>(8), 1398-1414.</w:t>
      </w:r>
    </w:p>
    <w:p w14:paraId="778C6F63" w14:textId="3CC9E88C" w:rsidR="005D5270" w:rsidRPr="008203A6" w:rsidRDefault="005D5270" w:rsidP="003B792A">
      <w:pPr>
        <w:spacing w:line="360" w:lineRule="auto"/>
        <w:jc w:val="both"/>
        <w:rPr>
          <w:rFonts w:ascii="Arial" w:hAnsi="Arial" w:cs="Arial"/>
        </w:rPr>
      </w:pPr>
      <w:r w:rsidRPr="008203A6">
        <w:rPr>
          <w:rFonts w:ascii="Arial" w:hAnsi="Arial" w:cs="Arial"/>
        </w:rPr>
        <w:t>Siemieniako, D. &amp; Gebarowski, M (2014) The Process Of Dynamic Trade Show Activity Management Within A Real Estate Development Cycle. Modern Management Review Vol. XIX, 21 Pp 129-141. Available At: Researchgate,</w:t>
      </w:r>
      <w:r w:rsidR="00D947F5">
        <w:rPr>
          <w:rFonts w:ascii="Arial" w:hAnsi="Arial" w:cs="Arial"/>
        </w:rPr>
        <w:t xml:space="preserve"> </w:t>
      </w:r>
      <w:r w:rsidRPr="008203A6">
        <w:rPr>
          <w:rFonts w:ascii="Arial" w:hAnsi="Arial" w:cs="Arial"/>
        </w:rPr>
        <w:t>Net. (Accessed On 09/06/2020)</w:t>
      </w:r>
    </w:p>
    <w:p w14:paraId="619A135C" w14:textId="77777777" w:rsidR="005D5270" w:rsidRPr="008203A6" w:rsidRDefault="005D5270" w:rsidP="003B792A">
      <w:pPr>
        <w:spacing w:before="240" w:line="360" w:lineRule="auto"/>
        <w:jc w:val="both"/>
        <w:rPr>
          <w:rFonts w:ascii="Arial" w:hAnsi="Arial" w:cs="Arial"/>
        </w:rPr>
      </w:pPr>
      <w:r w:rsidRPr="008203A6">
        <w:rPr>
          <w:rFonts w:ascii="Arial" w:hAnsi="Arial" w:cs="Arial"/>
        </w:rPr>
        <w:t>Sieracki, K., &amp; Ke, Q. (2015). Market Maturity: China's Commercial Real Estate Market.</w:t>
      </w:r>
      <w:r w:rsidRPr="008203A6">
        <w:rPr>
          <w:rFonts w:ascii="Arial" w:hAnsi="Arial" w:cs="Arial"/>
          <w:i/>
          <w:iCs/>
        </w:rPr>
        <w:t> J Of Property Inv &amp; Finance, 33</w:t>
      </w:r>
      <w:r w:rsidRPr="008203A6">
        <w:rPr>
          <w:rFonts w:ascii="Arial" w:hAnsi="Arial" w:cs="Arial"/>
        </w:rPr>
        <w:t>(1), 4-18.</w:t>
      </w:r>
    </w:p>
    <w:p w14:paraId="6EE5ADED" w14:textId="60B2B9F0" w:rsidR="005D5270" w:rsidRPr="008203A6" w:rsidRDefault="005D5270" w:rsidP="003B792A">
      <w:pPr>
        <w:spacing w:before="240" w:line="360" w:lineRule="auto"/>
        <w:jc w:val="both"/>
        <w:rPr>
          <w:rFonts w:ascii="Arial" w:hAnsi="Arial" w:cs="Arial"/>
        </w:rPr>
      </w:pPr>
      <w:r w:rsidRPr="008203A6">
        <w:rPr>
          <w:rFonts w:ascii="Arial" w:hAnsi="Arial" w:cs="Arial"/>
        </w:rPr>
        <w:t xml:space="preserve">Simire, M. (2017) Aligning With The World Bank Recommendation On Housing Crisis. Available At: </w:t>
      </w:r>
      <w:hyperlink r:id="rId181" w:history="1">
        <w:r w:rsidRPr="008203A6">
          <w:rPr>
            <w:rStyle w:val="Hyperlink"/>
            <w:rFonts w:ascii="Arial" w:hAnsi="Arial" w:cs="Arial"/>
            <w:color w:val="auto"/>
          </w:rPr>
          <w:t>Https://Www.Businessdayonline.Com/Aligning-World-Bank-Recommendation-Housing-Crisis/</w:t>
        </w:r>
      </w:hyperlink>
      <w:r w:rsidRPr="008203A6">
        <w:rPr>
          <w:rFonts w:ascii="Arial" w:hAnsi="Arial" w:cs="Arial"/>
        </w:rPr>
        <w:t xml:space="preserve"> (Accessed On 10</w:t>
      </w:r>
      <w:r w:rsidRPr="008203A6">
        <w:rPr>
          <w:rFonts w:ascii="Arial" w:hAnsi="Arial" w:cs="Arial"/>
          <w:vertAlign w:val="superscript"/>
        </w:rPr>
        <w:t>th</w:t>
      </w:r>
      <w:r w:rsidRPr="008203A6">
        <w:rPr>
          <w:rFonts w:ascii="Arial" w:hAnsi="Arial" w:cs="Arial"/>
        </w:rPr>
        <w:t xml:space="preserve"> October 2017)</w:t>
      </w:r>
    </w:p>
    <w:p w14:paraId="7C4E4073"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Simon, R (2014). Residential Satisfaction In Southern Johannesburg, South Africa. Available At: </w:t>
      </w:r>
      <w:hyperlink r:id="rId182" w:history="1">
        <w:r w:rsidRPr="008203A6">
          <w:rPr>
            <w:rStyle w:val="Hyperlink"/>
            <w:rFonts w:ascii="Arial" w:hAnsi="Arial" w:cs="Arial"/>
            <w:color w:val="auto"/>
          </w:rPr>
          <w:t>Http://Www.Afrer.Org/Docs/Pdf/Journal%20african%20real%20estate%20research%202014.Pdf</w:t>
        </w:r>
      </w:hyperlink>
      <w:r w:rsidRPr="008203A6">
        <w:rPr>
          <w:rFonts w:ascii="Arial" w:hAnsi="Arial" w:cs="Arial"/>
        </w:rPr>
        <w:t xml:space="preserve"> ( Accessed On 4</w:t>
      </w:r>
      <w:r w:rsidRPr="008203A6">
        <w:rPr>
          <w:rFonts w:ascii="Arial" w:hAnsi="Arial" w:cs="Arial"/>
          <w:vertAlign w:val="superscript"/>
        </w:rPr>
        <w:t>th</w:t>
      </w:r>
      <w:r w:rsidRPr="008203A6">
        <w:rPr>
          <w:rFonts w:ascii="Arial" w:hAnsi="Arial" w:cs="Arial"/>
        </w:rPr>
        <w:t xml:space="preserve"> January 2019).</w:t>
      </w:r>
    </w:p>
    <w:p w14:paraId="610B7695" w14:textId="77777777" w:rsidR="005D5270" w:rsidRPr="008203A6" w:rsidRDefault="005D5270" w:rsidP="003B792A">
      <w:pPr>
        <w:spacing w:before="240" w:line="360" w:lineRule="auto"/>
        <w:jc w:val="both"/>
        <w:rPr>
          <w:rFonts w:ascii="Arial" w:hAnsi="Arial" w:cs="Arial"/>
        </w:rPr>
      </w:pPr>
      <w:r w:rsidRPr="008203A6">
        <w:rPr>
          <w:rFonts w:ascii="Arial" w:hAnsi="Arial" w:cs="Arial"/>
        </w:rPr>
        <w:t>Singh, A. (2017). Budget 2017: Impact On India’s Residential Real Estate Market</w:t>
      </w:r>
    </w:p>
    <w:p w14:paraId="0FD1273F" w14:textId="77777777" w:rsidR="005D5270" w:rsidRPr="008203A6" w:rsidRDefault="005D5270" w:rsidP="003B792A">
      <w:pPr>
        <w:spacing w:before="240" w:line="360" w:lineRule="auto"/>
        <w:jc w:val="both"/>
        <w:rPr>
          <w:rFonts w:ascii="Arial" w:hAnsi="Arial" w:cs="Arial"/>
        </w:rPr>
      </w:pPr>
      <w:r w:rsidRPr="008203A6">
        <w:rPr>
          <w:rFonts w:ascii="Arial" w:hAnsi="Arial" w:cs="Arial"/>
        </w:rPr>
        <w:t>Smets, P.(2001). Small Is Beautiful, But Big Is Often The Practice: Housing Microfinance In Discussion, Habitat International, 30(3), Pp.595-613</w:t>
      </w:r>
    </w:p>
    <w:p w14:paraId="65DB4BB0"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Smith, D. And Oliver, A. (2018) Perception Of Sustainability In Domestic Housing: How Do Those Who Must Deliver It Understand It.  Available At: </w:t>
      </w:r>
      <w:hyperlink r:id="rId183" w:history="1">
        <w:r w:rsidRPr="008203A6">
          <w:rPr>
            <w:rStyle w:val="Hyperlink"/>
            <w:rFonts w:ascii="Arial" w:hAnsi="Arial" w:cs="Arial"/>
            <w:color w:val="auto"/>
          </w:rPr>
          <w:t>Http://Www.Arcom.Ac.Uk/-Docs/Archive/2018-Indexed-Papers.Pdf</w:t>
        </w:r>
      </w:hyperlink>
      <w:r w:rsidRPr="008203A6">
        <w:rPr>
          <w:rFonts w:ascii="Arial" w:hAnsi="Arial" w:cs="Arial"/>
        </w:rPr>
        <w:t xml:space="preserve"> ( Accessed On 7</w:t>
      </w:r>
      <w:r w:rsidRPr="008203A6">
        <w:rPr>
          <w:rFonts w:ascii="Arial" w:hAnsi="Arial" w:cs="Arial"/>
          <w:vertAlign w:val="superscript"/>
        </w:rPr>
        <w:t>th</w:t>
      </w:r>
      <w:r w:rsidRPr="008203A6">
        <w:rPr>
          <w:rFonts w:ascii="Arial" w:hAnsi="Arial" w:cs="Arial"/>
        </w:rPr>
        <w:t xml:space="preserve"> January 2019).</w:t>
      </w:r>
    </w:p>
    <w:p w14:paraId="28F39ACC" w14:textId="77777777" w:rsidR="005D5270" w:rsidRPr="008203A6" w:rsidRDefault="005D5270" w:rsidP="003B792A">
      <w:pPr>
        <w:tabs>
          <w:tab w:val="num" w:pos="1418"/>
        </w:tabs>
        <w:spacing w:before="240" w:line="360" w:lineRule="auto"/>
        <w:jc w:val="both"/>
        <w:rPr>
          <w:rFonts w:ascii="Arial" w:hAnsi="Arial" w:cs="Arial"/>
        </w:rPr>
      </w:pPr>
      <w:r w:rsidRPr="008203A6">
        <w:rPr>
          <w:rFonts w:ascii="Arial" w:hAnsi="Arial" w:cs="Arial"/>
        </w:rPr>
        <w:t>Smith, M. (2017; 201z7) </w:t>
      </w:r>
      <w:r w:rsidRPr="008203A6">
        <w:rPr>
          <w:rFonts w:ascii="Arial" w:hAnsi="Arial" w:cs="Arial"/>
          <w:i/>
          <w:iCs/>
        </w:rPr>
        <w:t>Research Methods In Accounting. </w:t>
      </w:r>
      <w:r w:rsidRPr="008203A6">
        <w:rPr>
          <w:rFonts w:ascii="Arial" w:hAnsi="Arial" w:cs="Arial"/>
        </w:rPr>
        <w:t>Fourth Ed. London; 4: Sage Publications Ltd.</w:t>
      </w:r>
    </w:p>
    <w:p w14:paraId="24864141"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Soskic, N. (2013). Dynamic Utilisation Of Knowledge In Decision-Making. A Thesis Submitted In Partial Fulfillment Of The Requirement For The Degree Of Philosophy At Warwick Business School. Available On Ethos (Accessed On 24</w:t>
      </w:r>
      <w:r w:rsidRPr="008203A6">
        <w:rPr>
          <w:rFonts w:ascii="Arial" w:hAnsi="Arial" w:cs="Arial"/>
          <w:vertAlign w:val="superscript"/>
        </w:rPr>
        <w:t>th</w:t>
      </w:r>
      <w:r w:rsidRPr="008203A6">
        <w:rPr>
          <w:rFonts w:ascii="Arial" w:hAnsi="Arial" w:cs="Arial"/>
        </w:rPr>
        <w:t xml:space="preserve"> December 2018).</w:t>
      </w:r>
    </w:p>
    <w:p w14:paraId="4D82167B"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Spencer, L.M., 1993. Spencer. SM (1993). </w:t>
      </w:r>
      <w:r w:rsidRPr="008203A6">
        <w:rPr>
          <w:rFonts w:ascii="Arial" w:hAnsi="Arial" w:cs="Arial"/>
          <w:i/>
          <w:iCs/>
          <w:shd w:val="clear" w:color="auto" w:fill="FFFFFF"/>
        </w:rPr>
        <w:t>Competence at work. Models for superior performance</w:t>
      </w:r>
      <w:r w:rsidRPr="008203A6">
        <w:rPr>
          <w:rFonts w:ascii="Arial" w:hAnsi="Arial" w:cs="Arial"/>
          <w:shd w:val="clear" w:color="auto" w:fill="FFFFFF"/>
        </w:rPr>
        <w:t>.</w:t>
      </w:r>
    </w:p>
    <w:p w14:paraId="6A4FEBAF"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lastRenderedPageBreak/>
        <w:t>Squires, G., Hutchison, N., Berry, J., Adair, A., McGreal, S., Organ, S. and Lo, D., (2016) Financing Infrastructure Development: Time to Unshackle the Bonds?.</w:t>
      </w:r>
    </w:p>
    <w:p w14:paraId="171190C3" w14:textId="4394092C" w:rsidR="005D5270" w:rsidRPr="008203A6" w:rsidRDefault="005D5270" w:rsidP="003B792A">
      <w:pPr>
        <w:spacing w:before="240" w:line="360" w:lineRule="auto"/>
        <w:jc w:val="both"/>
        <w:rPr>
          <w:rFonts w:ascii="Arial" w:hAnsi="Arial" w:cs="Arial"/>
        </w:rPr>
      </w:pPr>
      <w:r w:rsidRPr="008203A6">
        <w:rPr>
          <w:rFonts w:ascii="Arial" w:hAnsi="Arial" w:cs="Arial"/>
        </w:rPr>
        <w:t>Stewart, R. (1969) The Managers And Their Jobs, Penguin Books</w:t>
      </w:r>
    </w:p>
    <w:p w14:paraId="17EB49CE" w14:textId="77777777" w:rsidR="005D5270" w:rsidRPr="008203A6" w:rsidRDefault="005D5270" w:rsidP="003B792A">
      <w:pPr>
        <w:spacing w:before="240" w:line="360" w:lineRule="auto"/>
        <w:jc w:val="both"/>
        <w:rPr>
          <w:rFonts w:ascii="Arial" w:hAnsi="Arial" w:cs="Arial"/>
        </w:rPr>
      </w:pPr>
      <w:r w:rsidRPr="008203A6">
        <w:rPr>
          <w:rFonts w:ascii="Arial" w:hAnsi="Arial" w:cs="Arial"/>
        </w:rPr>
        <w:t>Stewart, A. J., And Kuenzi, K. (2018) The Nonprofit Career Ladder: Exploring Career Paths As Leadership Development For Future Nonprofit Executives, </w:t>
      </w:r>
      <w:r w:rsidRPr="008203A6">
        <w:rPr>
          <w:rFonts w:ascii="Arial" w:hAnsi="Arial" w:cs="Arial"/>
          <w:i/>
          <w:iCs/>
        </w:rPr>
        <w:t>Public Personnel Management, </w:t>
      </w:r>
      <w:r w:rsidRPr="008203A6">
        <w:rPr>
          <w:rFonts w:ascii="Arial" w:hAnsi="Arial" w:cs="Arial"/>
        </w:rPr>
        <w:t>47 (4), Pp. 359-381.</w:t>
      </w:r>
    </w:p>
    <w:p w14:paraId="680029CA" w14:textId="2DD4892D" w:rsidR="005D5270" w:rsidRPr="008203A6" w:rsidRDefault="005D5270" w:rsidP="003B792A">
      <w:pPr>
        <w:spacing w:before="240" w:line="360" w:lineRule="auto"/>
        <w:jc w:val="both"/>
        <w:rPr>
          <w:rFonts w:ascii="Arial" w:hAnsi="Arial" w:cs="Arial"/>
        </w:rPr>
      </w:pPr>
      <w:r w:rsidRPr="008203A6">
        <w:rPr>
          <w:rFonts w:ascii="Arial" w:hAnsi="Arial" w:cs="Arial"/>
        </w:rPr>
        <w:t>Stewart, R. (1999) The Reality Of Management. Oxford: Butterworth-Heinemann.</w:t>
      </w:r>
    </w:p>
    <w:p w14:paraId="695015AE" w14:textId="77777777" w:rsidR="005D5270" w:rsidRPr="008203A6" w:rsidRDefault="005D5270" w:rsidP="003B792A">
      <w:pPr>
        <w:spacing w:line="360" w:lineRule="auto"/>
        <w:jc w:val="both"/>
        <w:rPr>
          <w:rFonts w:ascii="Arial" w:hAnsi="Arial" w:cs="Arial"/>
        </w:rPr>
      </w:pPr>
      <w:r w:rsidRPr="008203A6">
        <w:rPr>
          <w:rFonts w:ascii="Arial" w:hAnsi="Arial" w:cs="Arial"/>
        </w:rPr>
        <w:t>Stewart, T.A. (1997). Intellectual capital: the new wealth of nations. New York: Doubleday.</w:t>
      </w:r>
    </w:p>
    <w:p w14:paraId="405C923F"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Stigler, G.J. (1961) The Economics Of Information. The Journal Of Political Economy, Volume 69, Issue 3 (June. 1961), 213-225. Available At: </w:t>
      </w:r>
      <w:hyperlink r:id="rId184" w:history="1">
        <w:r w:rsidRPr="008203A6">
          <w:rPr>
            <w:rStyle w:val="Hyperlink"/>
            <w:rFonts w:ascii="Arial" w:hAnsi="Arial" w:cs="Arial"/>
            <w:color w:val="auto"/>
          </w:rPr>
          <w:t>Http://Home.Uchicago.Edu/~Vlima/Courses/Econ200/Spring01/Stigler.Pdf</w:t>
        </w:r>
      </w:hyperlink>
      <w:r w:rsidRPr="008203A6">
        <w:rPr>
          <w:rFonts w:ascii="Arial" w:hAnsi="Arial" w:cs="Arial"/>
        </w:rPr>
        <w:t xml:space="preserve"> ( Accessed On 26</w:t>
      </w:r>
      <w:r w:rsidRPr="008203A6">
        <w:rPr>
          <w:rFonts w:ascii="Arial" w:hAnsi="Arial" w:cs="Arial"/>
          <w:vertAlign w:val="superscript"/>
        </w:rPr>
        <w:t>th</w:t>
      </w:r>
      <w:r w:rsidRPr="008203A6">
        <w:rPr>
          <w:rFonts w:ascii="Arial" w:hAnsi="Arial" w:cs="Arial"/>
        </w:rPr>
        <w:t xml:space="preserve"> February 2019).</w:t>
      </w:r>
    </w:p>
    <w:p w14:paraId="3A635327" w14:textId="77777777"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Stiglitz, J.E (1975), The Theory Of Screening, Education And The Distribution Of Income, American Economic Review 65, Pp. 283-300</w:t>
      </w:r>
    </w:p>
    <w:p w14:paraId="0F79D7F6" w14:textId="6746D2C7" w:rsidR="005D5270" w:rsidRPr="008203A6" w:rsidRDefault="005D5270" w:rsidP="003B792A">
      <w:pPr>
        <w:spacing w:line="360" w:lineRule="auto"/>
        <w:jc w:val="both"/>
        <w:rPr>
          <w:rFonts w:ascii="Arial" w:hAnsi="Arial" w:cs="Arial"/>
        </w:rPr>
      </w:pPr>
      <w:r w:rsidRPr="008203A6">
        <w:rPr>
          <w:rFonts w:ascii="Arial" w:hAnsi="Arial" w:cs="Arial"/>
        </w:rPr>
        <w:t>Stone, ME. (2006) What Is Housing Affordability? The Case Of Residual Income Approach. Available At : (PDF) China-Up.Com ( Accessed On 17/06/2020)</w:t>
      </w:r>
    </w:p>
    <w:p w14:paraId="505EB535" w14:textId="2310FA41" w:rsidR="005D5270" w:rsidRPr="008203A6" w:rsidRDefault="005D5270" w:rsidP="003B792A">
      <w:pPr>
        <w:spacing w:after="200" w:line="360" w:lineRule="auto"/>
        <w:jc w:val="both"/>
        <w:rPr>
          <w:rFonts w:ascii="Arial" w:eastAsia="Calibri" w:hAnsi="Arial" w:cs="Arial"/>
        </w:rPr>
      </w:pPr>
      <w:r w:rsidRPr="008203A6">
        <w:rPr>
          <w:rFonts w:ascii="Arial" w:eastAsia="Calibri" w:hAnsi="Arial" w:cs="Arial"/>
        </w:rPr>
        <w:t xml:space="preserve">Strober, M., (1990) Human Capital Theory: Implication For HR Managers. Industrial Relations: A Journal Of Economy And Society, Volume 29, Issue 2.  Available At: </w:t>
      </w:r>
      <w:hyperlink r:id="rId185" w:history="1">
        <w:r w:rsidRPr="008203A6">
          <w:rPr>
            <w:rStyle w:val="Hyperlink"/>
            <w:rFonts w:ascii="Arial" w:eastAsia="Calibri" w:hAnsi="Arial" w:cs="Arial"/>
            <w:color w:val="auto"/>
          </w:rPr>
          <w:t>Https://Onlinelibrary.Wiley.Com/Doi/Abs/10.1111/J.1468-232X.1990.Tb00752.X</w:t>
        </w:r>
      </w:hyperlink>
      <w:r w:rsidRPr="008203A6">
        <w:rPr>
          <w:rFonts w:ascii="Arial" w:eastAsia="Calibri" w:hAnsi="Arial" w:cs="Arial"/>
        </w:rPr>
        <w:t xml:space="preserve"> ( Accessed On 26/05/2020).</w:t>
      </w:r>
    </w:p>
    <w:p w14:paraId="5C5A9EF9"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Sullivan, L. (2020). Nonparametric tests. Available at: </w:t>
      </w:r>
      <w:hyperlink r:id="rId186" w:history="1">
        <w:r w:rsidRPr="0034486C">
          <w:rPr>
            <w:rFonts w:ascii="Arial" w:hAnsi="Arial" w:cs="Arial"/>
            <w:color w:val="000000" w:themeColor="text1"/>
            <w:u w:val="single"/>
          </w:rPr>
          <w:t>https://sphweb.bumc.bu.edu/otlt/MPH-Modules/BS/BS704_Nonparametric/BS704_Nonparametric_print.html</w:t>
        </w:r>
      </w:hyperlink>
      <w:r w:rsidRPr="008203A6">
        <w:rPr>
          <w:rFonts w:ascii="Arial" w:hAnsi="Arial" w:cs="Arial"/>
        </w:rPr>
        <w:t xml:space="preserve"> (accessed on 05/08/2020)</w:t>
      </w:r>
    </w:p>
    <w:p w14:paraId="1B91A5CE"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Sullivan, S.E., Carden, W.A. and Martin, D.F., 1998. Careers in the next millennium: Directions for future research. </w:t>
      </w:r>
      <w:r w:rsidRPr="008203A6">
        <w:rPr>
          <w:rFonts w:ascii="Arial" w:hAnsi="Arial" w:cs="Arial"/>
          <w:i/>
          <w:iCs/>
          <w:shd w:val="clear" w:color="auto" w:fill="FFFFFF"/>
        </w:rPr>
        <w:t>Human Resource Management Review</w:t>
      </w:r>
      <w:r w:rsidRPr="008203A6">
        <w:rPr>
          <w:rFonts w:ascii="Arial" w:hAnsi="Arial" w:cs="Arial"/>
          <w:shd w:val="clear" w:color="auto" w:fill="FFFFFF"/>
        </w:rPr>
        <w:t>, </w:t>
      </w:r>
      <w:r w:rsidRPr="008203A6">
        <w:rPr>
          <w:rFonts w:ascii="Arial" w:hAnsi="Arial" w:cs="Arial"/>
          <w:i/>
          <w:iCs/>
          <w:shd w:val="clear" w:color="auto" w:fill="FFFFFF"/>
        </w:rPr>
        <w:t>8</w:t>
      </w:r>
      <w:r w:rsidRPr="008203A6">
        <w:rPr>
          <w:rFonts w:ascii="Arial" w:hAnsi="Arial" w:cs="Arial"/>
          <w:shd w:val="clear" w:color="auto" w:fill="FFFFFF"/>
        </w:rPr>
        <w:t>(2), pp.165-185.</w:t>
      </w:r>
    </w:p>
    <w:p w14:paraId="3D92802A" w14:textId="77777777" w:rsidR="005D5270" w:rsidRPr="008203A6" w:rsidRDefault="005D5270" w:rsidP="003B792A">
      <w:pPr>
        <w:spacing w:after="200" w:line="360" w:lineRule="auto"/>
        <w:contextualSpacing/>
        <w:jc w:val="both"/>
        <w:rPr>
          <w:rFonts w:ascii="Arial" w:hAnsi="Arial" w:cs="Arial"/>
        </w:rPr>
      </w:pPr>
      <w:r w:rsidRPr="008203A6">
        <w:rPr>
          <w:rFonts w:ascii="Arial" w:hAnsi="Arial" w:cs="Arial"/>
        </w:rPr>
        <w:t xml:space="preserve">Sun, L. (2020). Housing affordability in Chinese Cities. Available at : (PDF) lincolninst.edu. (accessed on 30/07/2020). </w:t>
      </w:r>
    </w:p>
    <w:p w14:paraId="384BAB2B" w14:textId="77777777" w:rsidR="005D5270" w:rsidRPr="008203A6" w:rsidRDefault="005D5270" w:rsidP="003B792A">
      <w:pPr>
        <w:spacing w:before="240" w:line="360" w:lineRule="auto"/>
        <w:jc w:val="both"/>
        <w:rPr>
          <w:rFonts w:ascii="Arial" w:hAnsi="Arial" w:cs="Arial"/>
        </w:rPr>
      </w:pPr>
      <w:r w:rsidRPr="008203A6">
        <w:rPr>
          <w:rFonts w:ascii="Arial" w:hAnsi="Arial" w:cs="Arial"/>
        </w:rPr>
        <w:t>Sunindijo, R.Y., Zou, P.X.W And Dainty, A.R.J. ( 2017) Managerial Skills For Managing Construction Safety: Civil Engineering Dimension Vol. 19, No. 2</w:t>
      </w:r>
    </w:p>
    <w:p w14:paraId="49F25747" w14:textId="77777777" w:rsidR="005D5270" w:rsidRPr="005D5270" w:rsidRDefault="005D5270" w:rsidP="005D5270">
      <w:pPr>
        <w:suppressAutoHyphens/>
        <w:autoSpaceDN w:val="0"/>
        <w:spacing w:after="160" w:line="256" w:lineRule="auto"/>
        <w:textAlignment w:val="baseline"/>
        <w:rPr>
          <w:rFonts w:ascii="Arial" w:eastAsia="Calibri" w:hAnsi="Arial" w:cs="Arial"/>
        </w:rPr>
      </w:pPr>
      <w:r w:rsidRPr="005D5270">
        <w:rPr>
          <w:rFonts w:ascii="Arial" w:eastAsia="Calibri" w:hAnsi="Arial" w:cs="Arial"/>
        </w:rPr>
        <w:t>Suresh. S., (2006) Knowledge capture in small and medium enterprises in the UK construction industry (Doctoral dissertation, Glasgow Caledonian University).</w:t>
      </w:r>
    </w:p>
    <w:p w14:paraId="710B23A5"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Susca, P. T. (2019). Balanced Organisational Decision-Making. Professional Safety, 64(4), 16-19.</w:t>
      </w:r>
    </w:p>
    <w:p w14:paraId="53635D83" w14:textId="625BA78E" w:rsidR="005D5270" w:rsidRPr="008203A6" w:rsidRDefault="005D5270" w:rsidP="003B792A">
      <w:pPr>
        <w:spacing w:line="360" w:lineRule="auto"/>
        <w:jc w:val="both"/>
        <w:rPr>
          <w:rFonts w:ascii="Arial" w:hAnsi="Arial" w:cs="Arial"/>
        </w:rPr>
      </w:pPr>
      <w:r w:rsidRPr="008203A6">
        <w:rPr>
          <w:rFonts w:ascii="Arial" w:hAnsi="Arial" w:cs="Arial"/>
        </w:rPr>
        <w:t>Tan, J., Chua, W.L., Chow, C.K, Chong, M.C. &amp; Chew, C. (2012) PESTLE Analysis On Toyota Hybrid  Vehicle. Available At: Pdf Academia.Edu. Accessed On (02/06/2020)</w:t>
      </w:r>
    </w:p>
    <w:p w14:paraId="26074C13"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Tan, Y., Shen, L. and Langston, C.,( 2012). A casual relationship between building maintenance market and GDP: Hong Kong study. </w:t>
      </w:r>
      <w:r w:rsidRPr="008203A6">
        <w:rPr>
          <w:rFonts w:ascii="Arial" w:hAnsi="Arial" w:cs="Arial"/>
          <w:i/>
          <w:iCs/>
          <w:shd w:val="clear" w:color="auto" w:fill="FFFFFF"/>
        </w:rPr>
        <w:t>Journal of Facilities Management</w:t>
      </w:r>
      <w:r w:rsidRPr="008203A6">
        <w:rPr>
          <w:rFonts w:ascii="Arial" w:hAnsi="Arial" w:cs="Arial"/>
          <w:shd w:val="clear" w:color="auto" w:fill="FFFFFF"/>
        </w:rPr>
        <w:t>.</w:t>
      </w:r>
    </w:p>
    <w:p w14:paraId="00FE3472"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Tarver, E (2018). Which Financial Principles Help Companies Choose The Capital Structure. Available At: </w:t>
      </w:r>
      <w:hyperlink r:id="rId187" w:history="1">
        <w:r w:rsidRPr="008203A6">
          <w:rPr>
            <w:rStyle w:val="Hyperlink"/>
            <w:rFonts w:ascii="Arial" w:hAnsi="Arial" w:cs="Arial"/>
            <w:color w:val="auto"/>
          </w:rPr>
          <w:t>Https://Www.Investopedia.Com/Ask/Answers/052215/Does-Tradeoff-Model-Or-Pecking-Order-Play-Greater-Role-Capital-Budgeting.Asp</w:t>
        </w:r>
      </w:hyperlink>
      <w:r w:rsidRPr="008203A6">
        <w:rPr>
          <w:rFonts w:ascii="Arial" w:hAnsi="Arial" w:cs="Arial"/>
        </w:rPr>
        <w:t xml:space="preserve"> ( Accessed On 24</w:t>
      </w:r>
      <w:r w:rsidRPr="008203A6">
        <w:rPr>
          <w:rFonts w:ascii="Arial" w:hAnsi="Arial" w:cs="Arial"/>
          <w:vertAlign w:val="superscript"/>
        </w:rPr>
        <w:t>th</w:t>
      </w:r>
      <w:r w:rsidRPr="008203A6">
        <w:rPr>
          <w:rFonts w:ascii="Arial" w:hAnsi="Arial" w:cs="Arial"/>
        </w:rPr>
        <w:t xml:space="preserve"> January 2019).</w:t>
      </w:r>
    </w:p>
    <w:p w14:paraId="332EAE17" w14:textId="77777777" w:rsidR="005D5270" w:rsidRPr="008203A6" w:rsidRDefault="005D5270" w:rsidP="003B792A">
      <w:pPr>
        <w:spacing w:before="240" w:line="360" w:lineRule="auto"/>
        <w:jc w:val="both"/>
        <w:rPr>
          <w:rFonts w:ascii="Arial" w:hAnsi="Arial" w:cs="Arial"/>
        </w:rPr>
      </w:pPr>
      <w:r w:rsidRPr="008203A6">
        <w:rPr>
          <w:rFonts w:ascii="Arial" w:hAnsi="Arial" w:cs="Arial"/>
        </w:rPr>
        <w:t>Thal, A.E, Cook, J.J And White, E.D. (2010) . Estimation Of Cost Contingency For Air Force Construction Projects, Journal Of Construction Engineering And Management, 136(11), 1181-1188.</w:t>
      </w:r>
    </w:p>
    <w:p w14:paraId="20D9766F" w14:textId="060333C1" w:rsidR="005D5270" w:rsidRPr="008203A6" w:rsidRDefault="005D5270" w:rsidP="003B792A">
      <w:pPr>
        <w:spacing w:line="360" w:lineRule="auto"/>
        <w:rPr>
          <w:rFonts w:ascii="Arial" w:hAnsi="Arial" w:cs="Arial"/>
        </w:rPr>
      </w:pPr>
      <w:r w:rsidRPr="008203A6">
        <w:rPr>
          <w:rFonts w:ascii="Arial" w:hAnsi="Arial" w:cs="Arial"/>
          <w:shd w:val="clear" w:color="auto" w:fill="FFFFFF"/>
        </w:rPr>
        <w:t>The FRED (2019). Economic research. Available at:</w:t>
      </w:r>
      <w:r w:rsidRPr="008203A6">
        <w:rPr>
          <w:rFonts w:ascii="Arial" w:hAnsi="Arial" w:cs="Arial"/>
        </w:rPr>
        <w:t xml:space="preserve"> </w:t>
      </w:r>
      <w:hyperlink r:id="rId188" w:history="1">
        <w:r w:rsidRPr="008203A6">
          <w:rPr>
            <w:rFonts w:ascii="Arial" w:hAnsi="Arial" w:cs="Arial"/>
            <w:u w:val="single"/>
          </w:rPr>
          <w:t>https://fred.stlouisfed.org/</w:t>
        </w:r>
      </w:hyperlink>
      <w:r w:rsidRPr="008203A6">
        <w:rPr>
          <w:rFonts w:ascii="Arial" w:hAnsi="Arial" w:cs="Arial"/>
        </w:rPr>
        <w:t xml:space="preserve"> (accessed on 30/07/2020).</w:t>
      </w:r>
    </w:p>
    <w:p w14:paraId="51A149A4" w14:textId="3DC23F18" w:rsidR="005D5270" w:rsidRPr="008203A6" w:rsidRDefault="005D5270" w:rsidP="003B792A">
      <w:pPr>
        <w:spacing w:before="240" w:line="360" w:lineRule="auto"/>
        <w:jc w:val="both"/>
        <w:rPr>
          <w:rFonts w:ascii="Arial" w:hAnsi="Arial" w:cs="Arial"/>
        </w:rPr>
      </w:pPr>
      <w:r w:rsidRPr="008203A6">
        <w:rPr>
          <w:rFonts w:ascii="Arial" w:hAnsi="Arial" w:cs="Arial"/>
        </w:rPr>
        <w:t xml:space="preserve">The Trading Economics (2017). Available At: </w:t>
      </w:r>
      <w:hyperlink r:id="rId189" w:history="1">
        <w:r w:rsidRPr="008203A6">
          <w:rPr>
            <w:rStyle w:val="Hyperlink"/>
            <w:rFonts w:ascii="Arial" w:hAnsi="Arial" w:cs="Arial"/>
            <w:color w:val="auto"/>
          </w:rPr>
          <w:t>Https://Tradingeconomics.Com/</w:t>
        </w:r>
      </w:hyperlink>
      <w:r w:rsidRPr="008203A6">
        <w:rPr>
          <w:rFonts w:ascii="Arial" w:hAnsi="Arial" w:cs="Arial"/>
        </w:rPr>
        <w:t xml:space="preserve"> ( Accessed On 21</w:t>
      </w:r>
      <w:r w:rsidR="00D947F5">
        <w:rPr>
          <w:rFonts w:ascii="Arial" w:hAnsi="Arial" w:cs="Arial"/>
        </w:rPr>
        <w:t>st</w:t>
      </w:r>
      <w:r w:rsidRPr="008203A6">
        <w:rPr>
          <w:rFonts w:ascii="Arial" w:hAnsi="Arial" w:cs="Arial"/>
        </w:rPr>
        <w:t xml:space="preserve"> October 2017)</w:t>
      </w:r>
    </w:p>
    <w:p w14:paraId="3392FB72" w14:textId="77777777" w:rsidR="005D5270" w:rsidRPr="008203A6" w:rsidRDefault="005D5270" w:rsidP="003B792A">
      <w:pPr>
        <w:spacing w:before="240" w:after="0" w:line="360" w:lineRule="auto"/>
        <w:jc w:val="both"/>
        <w:rPr>
          <w:rFonts w:ascii="Arial" w:hAnsi="Arial" w:cs="Arial"/>
        </w:rPr>
      </w:pPr>
      <w:r w:rsidRPr="008203A6">
        <w:rPr>
          <w:rFonts w:ascii="Arial" w:hAnsi="Arial" w:cs="Arial"/>
        </w:rPr>
        <w:t xml:space="preserve">The World Bank Date: Fertility Rate, Total (Births Per Woman). Available At: </w:t>
      </w:r>
      <w:hyperlink r:id="rId190" w:history="1">
        <w:r w:rsidRPr="008203A6">
          <w:rPr>
            <w:rStyle w:val="Hyperlink"/>
            <w:rFonts w:ascii="Arial" w:hAnsi="Arial" w:cs="Arial"/>
            <w:color w:val="auto"/>
          </w:rPr>
          <w:t>Https://Data.Worldbank.Org/Indicator/Sp.Dyn.Tfrt.In?End=2016&amp;Locations=De&amp;Start=1960</w:t>
        </w:r>
      </w:hyperlink>
      <w:r w:rsidRPr="008203A6">
        <w:rPr>
          <w:rFonts w:ascii="Arial" w:hAnsi="Arial" w:cs="Arial"/>
        </w:rPr>
        <w:t xml:space="preserve"> (Accessed On 13</w:t>
      </w:r>
      <w:r w:rsidRPr="008203A6">
        <w:rPr>
          <w:rFonts w:ascii="Arial" w:hAnsi="Arial" w:cs="Arial"/>
          <w:vertAlign w:val="superscript"/>
        </w:rPr>
        <w:t>th</w:t>
      </w:r>
      <w:r w:rsidRPr="008203A6">
        <w:rPr>
          <w:rFonts w:ascii="Arial" w:hAnsi="Arial" w:cs="Arial"/>
        </w:rPr>
        <w:t xml:space="preserve"> November 2018).</w:t>
      </w:r>
    </w:p>
    <w:p w14:paraId="28C524EC"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The World Bank In China (2018) Available At </w:t>
      </w:r>
      <w:hyperlink r:id="rId191" w:history="1">
        <w:r w:rsidRPr="008203A6">
          <w:rPr>
            <w:rStyle w:val="Hyperlink"/>
            <w:rFonts w:ascii="Arial" w:hAnsi="Arial" w:cs="Arial"/>
            <w:color w:val="auto"/>
          </w:rPr>
          <w:t>Https://Www.Worldbank.Org/En/Country/China/Overview</w:t>
        </w:r>
      </w:hyperlink>
      <w:r w:rsidRPr="008203A6">
        <w:rPr>
          <w:rFonts w:ascii="Arial" w:hAnsi="Arial" w:cs="Arial"/>
        </w:rPr>
        <w:t xml:space="preserve"> (Accessed On 28</w:t>
      </w:r>
      <w:r w:rsidRPr="008203A6">
        <w:rPr>
          <w:rFonts w:ascii="Arial" w:hAnsi="Arial" w:cs="Arial"/>
          <w:vertAlign w:val="superscript"/>
        </w:rPr>
        <w:t>th</w:t>
      </w:r>
      <w:r w:rsidRPr="008203A6">
        <w:rPr>
          <w:rFonts w:ascii="Arial" w:hAnsi="Arial" w:cs="Arial"/>
        </w:rPr>
        <w:t xml:space="preserve"> October 2018)</w:t>
      </w:r>
    </w:p>
    <w:p w14:paraId="2E2649C7" w14:textId="77777777" w:rsidR="005D5270" w:rsidRPr="008203A6" w:rsidRDefault="005D5270" w:rsidP="003B792A">
      <w:pPr>
        <w:spacing w:after="0" w:line="360" w:lineRule="auto"/>
        <w:jc w:val="both"/>
        <w:rPr>
          <w:rFonts w:ascii="Arial" w:eastAsia="Times New Roman" w:hAnsi="Arial" w:cs="Arial"/>
        </w:rPr>
      </w:pPr>
      <w:r w:rsidRPr="008203A6">
        <w:rPr>
          <w:rFonts w:ascii="Arial" w:eastAsia="Times New Roman" w:hAnsi="Arial" w:cs="Arial"/>
        </w:rPr>
        <w:t>Thesis, University Of Manchester Institute Of Science And Technology (Umist),</w:t>
      </w:r>
    </w:p>
    <w:p w14:paraId="0DE91B2E" w14:textId="77777777" w:rsidR="005D5270" w:rsidRPr="008203A6" w:rsidRDefault="005D5270" w:rsidP="003B792A">
      <w:pPr>
        <w:spacing w:before="240" w:line="360" w:lineRule="auto"/>
        <w:jc w:val="both"/>
        <w:rPr>
          <w:rFonts w:ascii="Arial" w:hAnsi="Arial" w:cs="Arial"/>
        </w:rPr>
      </w:pPr>
      <w:r w:rsidRPr="008203A6">
        <w:rPr>
          <w:rFonts w:ascii="Arial" w:hAnsi="Arial" w:cs="Arial"/>
        </w:rPr>
        <w:t>Thompson, P.J (1995), “Competence-Based Learning And Qualification In The UK”, Accounting Education, Vol. 4 No 1, 5-15</w:t>
      </w:r>
    </w:p>
    <w:p w14:paraId="42C47CEB" w14:textId="77777777" w:rsidR="005D5270" w:rsidRPr="005D5270" w:rsidRDefault="005D5270" w:rsidP="005D5270">
      <w:pPr>
        <w:suppressAutoHyphens/>
        <w:autoSpaceDN w:val="0"/>
        <w:spacing w:after="160" w:line="256" w:lineRule="auto"/>
        <w:textAlignment w:val="baseline"/>
        <w:rPr>
          <w:rFonts w:ascii="Calibri" w:eastAsia="Calibri" w:hAnsi="Calibri" w:cs="Times New Roman"/>
        </w:rPr>
      </w:pPr>
      <w:r w:rsidRPr="005D5270">
        <w:rPr>
          <w:rFonts w:ascii="Arial" w:eastAsia="Calibri" w:hAnsi="Arial" w:cs="Arial"/>
          <w:color w:val="222222"/>
          <w:shd w:val="clear" w:color="auto" w:fill="FFFFFF"/>
        </w:rPr>
        <w:t>Thomsett, M., (2009) The little black book of project management. Amacom.</w:t>
      </w:r>
    </w:p>
    <w:p w14:paraId="06F9089C" w14:textId="5FFB5029" w:rsidR="005D5270" w:rsidRPr="008203A6" w:rsidRDefault="005D5270" w:rsidP="003B792A">
      <w:pPr>
        <w:spacing w:after="200" w:line="360" w:lineRule="auto"/>
        <w:contextualSpacing/>
        <w:jc w:val="both"/>
        <w:rPr>
          <w:rFonts w:ascii="Arial" w:hAnsi="Arial" w:cs="Arial"/>
        </w:rPr>
      </w:pPr>
      <w:r w:rsidRPr="008203A6">
        <w:rPr>
          <w:rFonts w:ascii="Arial" w:hAnsi="Arial" w:cs="Arial"/>
        </w:rPr>
        <w:t>Thorp, H. (1996). European Management Education: Learning to think differently. Available at: Google scholar (accessed on 29/07/2020).</w:t>
      </w:r>
    </w:p>
    <w:p w14:paraId="1ACBF5DB"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Tilford, S., 2015. Britain, immigration and Brexit. </w:t>
      </w:r>
      <w:r w:rsidRPr="008203A6">
        <w:rPr>
          <w:rFonts w:ascii="Arial" w:hAnsi="Arial" w:cs="Arial"/>
          <w:i/>
          <w:iCs/>
          <w:shd w:val="clear" w:color="auto" w:fill="FFFFFF"/>
        </w:rPr>
        <w:t>CER Bulletin</w:t>
      </w:r>
      <w:r w:rsidRPr="008203A6">
        <w:rPr>
          <w:rFonts w:ascii="Arial" w:hAnsi="Arial" w:cs="Arial"/>
          <w:shd w:val="clear" w:color="auto" w:fill="FFFFFF"/>
        </w:rPr>
        <w:t>, </w:t>
      </w:r>
      <w:r w:rsidRPr="008203A6">
        <w:rPr>
          <w:rFonts w:ascii="Arial" w:hAnsi="Arial" w:cs="Arial"/>
          <w:i/>
          <w:iCs/>
          <w:shd w:val="clear" w:color="auto" w:fill="FFFFFF"/>
        </w:rPr>
        <w:t>30</w:t>
      </w:r>
      <w:r w:rsidRPr="008203A6">
        <w:rPr>
          <w:rFonts w:ascii="Arial" w:hAnsi="Arial" w:cs="Arial"/>
          <w:shd w:val="clear" w:color="auto" w:fill="FFFFFF"/>
        </w:rPr>
        <w:t>, pp.64-162.</w:t>
      </w:r>
    </w:p>
    <w:p w14:paraId="1DA39A58"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Timothy J. D., Gaye P., (2006) "Lessons From Real Estate Partnerships In The Uk: Drivers, Barriers And Critical Success Factors", Property Management, Vol. 24 Issue: 5, Pp.479-495, Https://0-Doi-Org.Lispac.Lsbu.Ac.Uk/10.1108/02637470610710538</w:t>
      </w:r>
    </w:p>
    <w:p w14:paraId="2864D5E5" w14:textId="77777777" w:rsidR="005D5270" w:rsidRPr="008203A6" w:rsidRDefault="005D5270" w:rsidP="003B792A">
      <w:pPr>
        <w:spacing w:before="240" w:line="360" w:lineRule="auto"/>
        <w:jc w:val="both"/>
        <w:rPr>
          <w:rFonts w:ascii="Arial" w:hAnsi="Arial" w:cs="Arial"/>
        </w:rPr>
      </w:pPr>
      <w:r w:rsidRPr="008203A6">
        <w:rPr>
          <w:rFonts w:ascii="Arial" w:hAnsi="Arial" w:cs="Arial"/>
        </w:rPr>
        <w:t>Titus Ebenezer Kwofie, Samuel Afram, Edward Botchway, (2016) "A Critical Success Model For Ppp Public Housing Delivery In Ghana", Built Environment Proj</w:t>
      </w:r>
    </w:p>
    <w:p w14:paraId="3F6E874F" w14:textId="77777777" w:rsidR="005D5270" w:rsidRPr="008203A6" w:rsidRDefault="005D5270" w:rsidP="003B792A">
      <w:pPr>
        <w:spacing w:line="360" w:lineRule="auto"/>
        <w:rPr>
          <w:rFonts w:ascii="Arial" w:hAnsi="Arial" w:cs="Arial"/>
        </w:rPr>
      </w:pPr>
      <w:r w:rsidRPr="008203A6">
        <w:rPr>
          <w:rFonts w:ascii="Arial" w:hAnsi="Arial" w:cs="Arial"/>
        </w:rPr>
        <w:t>Trimble, C. J. and Trimble, D. C. (1993) Hone Your Financial Management-Skills, Secretary, 53 (9), Pp. 12.</w:t>
      </w:r>
    </w:p>
    <w:p w14:paraId="0E49C8BB" w14:textId="77777777" w:rsidR="005D5270" w:rsidRPr="008203A6" w:rsidRDefault="005D5270" w:rsidP="003B792A">
      <w:pPr>
        <w:spacing w:before="240" w:line="360" w:lineRule="auto"/>
        <w:jc w:val="both"/>
        <w:rPr>
          <w:rFonts w:ascii="Arial" w:hAnsi="Arial" w:cs="Arial"/>
        </w:rPr>
      </w:pPr>
      <w:r w:rsidRPr="008203A6">
        <w:rPr>
          <w:rFonts w:ascii="Arial" w:hAnsi="Arial" w:cs="Arial"/>
        </w:rPr>
        <w:t>Tuominen, T. A. (. 1. )., Suominen, A.L. ( 1,2 ) And Lammintakanen, J. (. 3. ). (2018) Career Path From A Dentist To A Leader, </w:t>
      </w:r>
      <w:r w:rsidRPr="008203A6">
        <w:rPr>
          <w:rFonts w:ascii="Arial" w:hAnsi="Arial" w:cs="Arial"/>
          <w:i/>
          <w:iCs/>
        </w:rPr>
        <w:t>Leadership In Health Services, </w:t>
      </w:r>
      <w:r w:rsidRPr="008203A6">
        <w:rPr>
          <w:rFonts w:ascii="Arial" w:hAnsi="Arial" w:cs="Arial"/>
        </w:rPr>
        <w:t>31 (4), Pp. 384-397.</w:t>
      </w:r>
    </w:p>
    <w:p w14:paraId="3FA6580B" w14:textId="473F29EF" w:rsidR="005D5270" w:rsidRPr="008203A6" w:rsidRDefault="005D5270" w:rsidP="003B792A">
      <w:pPr>
        <w:spacing w:before="240" w:line="360" w:lineRule="auto"/>
        <w:jc w:val="both"/>
        <w:rPr>
          <w:rFonts w:ascii="Arial" w:hAnsi="Arial" w:cs="Arial"/>
        </w:rPr>
      </w:pPr>
      <w:r w:rsidRPr="008203A6">
        <w:rPr>
          <w:rFonts w:ascii="Arial" w:hAnsi="Arial" w:cs="Arial"/>
        </w:rPr>
        <w:t xml:space="preserve">Ubosi, E. (2017). Nigerian Real Estate Market Review &amp; Strategic Outlook 2017. Available At: </w:t>
      </w:r>
      <w:hyperlink r:id="rId192" w:history="1">
        <w:r w:rsidRPr="008203A6">
          <w:rPr>
            <w:rStyle w:val="Hyperlink"/>
            <w:rFonts w:ascii="Arial" w:hAnsi="Arial" w:cs="Arial"/>
            <w:color w:val="auto"/>
          </w:rPr>
          <w:t>Http://Ubosieleh.Com/Wp-Content/Uploads/2017/05/Nigeria-Real-Estate-Market-Review-Strategic-Outlook-2017.Pdf</w:t>
        </w:r>
      </w:hyperlink>
      <w:r w:rsidRPr="008203A6">
        <w:rPr>
          <w:rFonts w:ascii="Arial" w:hAnsi="Arial" w:cs="Arial"/>
        </w:rPr>
        <w:t xml:space="preserve"> ( Accessed On 10</w:t>
      </w:r>
      <w:r w:rsidRPr="008203A6">
        <w:rPr>
          <w:rFonts w:ascii="Arial" w:hAnsi="Arial" w:cs="Arial"/>
          <w:vertAlign w:val="superscript"/>
        </w:rPr>
        <w:t>th</w:t>
      </w:r>
      <w:r w:rsidRPr="008203A6">
        <w:rPr>
          <w:rFonts w:ascii="Arial" w:hAnsi="Arial" w:cs="Arial"/>
        </w:rPr>
        <w:t xml:space="preserve"> October 2017).</w:t>
      </w:r>
    </w:p>
    <w:p w14:paraId="6B8C7AFB" w14:textId="5C5410CB" w:rsidR="005D5270" w:rsidRPr="008203A6" w:rsidRDefault="005D5270" w:rsidP="003B792A">
      <w:pPr>
        <w:spacing w:before="240" w:line="360" w:lineRule="auto"/>
        <w:jc w:val="both"/>
        <w:rPr>
          <w:rFonts w:ascii="Arial" w:hAnsi="Arial" w:cs="Arial"/>
        </w:rPr>
      </w:pPr>
      <w:r w:rsidRPr="008203A6">
        <w:rPr>
          <w:rFonts w:ascii="Arial" w:hAnsi="Arial" w:cs="Arial"/>
        </w:rPr>
        <w:t xml:space="preserve">Udo, B. (2016). 15 Things To Know About Treasury Single Account (TSA). Available At: </w:t>
      </w:r>
      <w:hyperlink r:id="rId193" w:history="1">
        <w:r w:rsidRPr="008203A6">
          <w:rPr>
            <w:rStyle w:val="Hyperlink"/>
            <w:rFonts w:ascii="Arial" w:hAnsi="Arial" w:cs="Arial"/>
            <w:color w:val="auto"/>
          </w:rPr>
          <w:t>Https://Www.Premiumtimesng.Com/Features-And-Interviews/199725-15-Things-Know-Treasury-Single-Account-Tsa.Html</w:t>
        </w:r>
      </w:hyperlink>
      <w:r w:rsidRPr="008203A6">
        <w:rPr>
          <w:rFonts w:ascii="Arial" w:hAnsi="Arial" w:cs="Arial"/>
        </w:rPr>
        <w:t xml:space="preserve"> (Accessed On 11th November 2017).</w:t>
      </w:r>
    </w:p>
    <w:p w14:paraId="0756D8FC"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Udomdech, P., Papadonikolaki, E., and  Davies, A. (2018). An Alternative Project-Based Learning Model for Building Information Modeling – Using Teams. Available At: </w:t>
      </w:r>
      <w:hyperlink r:id="rId194" w:history="1">
        <w:r w:rsidRPr="008203A6">
          <w:rPr>
            <w:rStyle w:val="Hyperlink"/>
            <w:rFonts w:ascii="Arial" w:hAnsi="Arial" w:cs="Arial"/>
            <w:color w:val="auto"/>
          </w:rPr>
          <w:t>Http://Www.Arcom.Ac.Uk/-Docs/Archive/2018-Indexed-Papers.Pdf</w:t>
        </w:r>
      </w:hyperlink>
      <w:r w:rsidRPr="008203A6">
        <w:rPr>
          <w:rFonts w:ascii="Arial" w:hAnsi="Arial" w:cs="Arial"/>
        </w:rPr>
        <w:t xml:space="preserve"> ( Accessed On 7</w:t>
      </w:r>
      <w:r w:rsidRPr="008203A6">
        <w:rPr>
          <w:rFonts w:ascii="Arial" w:hAnsi="Arial" w:cs="Arial"/>
          <w:vertAlign w:val="superscript"/>
        </w:rPr>
        <w:t>th</w:t>
      </w:r>
      <w:r w:rsidRPr="008203A6">
        <w:rPr>
          <w:rFonts w:ascii="Arial" w:hAnsi="Arial" w:cs="Arial"/>
        </w:rPr>
        <w:t xml:space="preserve"> January 2019).</w:t>
      </w:r>
    </w:p>
    <w:p w14:paraId="29CF014F" w14:textId="77777777" w:rsidR="005D5270" w:rsidRPr="008203A6" w:rsidRDefault="005D5270" w:rsidP="003B792A">
      <w:pPr>
        <w:spacing w:line="360" w:lineRule="auto"/>
        <w:rPr>
          <w:rFonts w:ascii="Arial" w:hAnsi="Arial" w:cs="Arial"/>
        </w:rPr>
      </w:pPr>
      <w:r w:rsidRPr="008203A6">
        <w:rPr>
          <w:rFonts w:ascii="Arial" w:hAnsi="Arial" w:cs="Arial"/>
        </w:rPr>
        <w:t>Ukpevbo, P., and Egbenta, IR (2016). Buyer’s perceptions of the proximity of High-Voltage overhead electricity transmission lines on residential land values in Auchi, Nigeria. Available at : (PDF) researchgate.net.( Accessed on 29/07/2020)</w:t>
      </w:r>
    </w:p>
    <w:p w14:paraId="0571EB4D" w14:textId="20151EE1" w:rsidR="005D5270" w:rsidRPr="008203A6" w:rsidRDefault="005D5270" w:rsidP="003B792A">
      <w:pPr>
        <w:spacing w:line="360" w:lineRule="auto"/>
        <w:rPr>
          <w:rFonts w:ascii="Arial" w:hAnsi="Arial" w:cs="Arial"/>
        </w:rPr>
      </w:pPr>
      <w:r w:rsidRPr="008203A6">
        <w:rPr>
          <w:rFonts w:ascii="Arial" w:hAnsi="Arial" w:cs="Arial"/>
        </w:rPr>
        <w:t xml:space="preserve">UN Habitat (2009). The right to adequate housing facet sheet No. 21. Available at: </w:t>
      </w:r>
      <w:hyperlink r:id="rId195" w:history="1">
        <w:r w:rsidRPr="008203A6">
          <w:rPr>
            <w:rFonts w:ascii="Arial" w:hAnsi="Arial" w:cs="Arial"/>
            <w:u w:val="single"/>
          </w:rPr>
          <w:t>https://scholar.google.com/scholar?hl=en&amp;as_sdt=0%2C5&amp;q=UN+Habitat%2C+2009&amp;btnG=</w:t>
        </w:r>
      </w:hyperlink>
      <w:r w:rsidRPr="008203A6">
        <w:rPr>
          <w:rFonts w:ascii="Arial" w:hAnsi="Arial" w:cs="Arial"/>
        </w:rPr>
        <w:t xml:space="preserve"> (accessed on 29/07/2020).</w:t>
      </w:r>
    </w:p>
    <w:p w14:paraId="7E5C93E7" w14:textId="77777777" w:rsidR="005D5270" w:rsidRPr="008203A6" w:rsidRDefault="005D5270" w:rsidP="003B792A">
      <w:pPr>
        <w:spacing w:before="240" w:after="100" w:afterAutospacing="1" w:line="360" w:lineRule="auto"/>
        <w:jc w:val="both"/>
        <w:rPr>
          <w:rFonts w:ascii="Arial" w:eastAsia="Times New Roman" w:hAnsi="Arial" w:cs="Arial"/>
          <w:lang w:eastAsia="en-GB"/>
        </w:rPr>
      </w:pPr>
      <w:r w:rsidRPr="008203A6">
        <w:rPr>
          <w:rFonts w:ascii="Arial" w:eastAsia="Times New Roman" w:hAnsi="Arial" w:cs="Arial"/>
          <w:lang w:eastAsia="en-GB"/>
        </w:rPr>
        <w:t xml:space="preserve">Usow, J. A., &amp; Newburn, J. E. (2010). The Return Of Seller Financing For Commercial </w:t>
      </w:r>
    </w:p>
    <w:p w14:paraId="40A30831" w14:textId="411AAC67" w:rsidR="005D5270" w:rsidRPr="008203A6" w:rsidRDefault="005D5270" w:rsidP="003B792A">
      <w:pPr>
        <w:spacing w:line="360" w:lineRule="auto"/>
        <w:jc w:val="both"/>
        <w:rPr>
          <w:rFonts w:ascii="Arial" w:hAnsi="Arial" w:cs="Arial"/>
        </w:rPr>
      </w:pPr>
      <w:r w:rsidRPr="008203A6">
        <w:rPr>
          <w:rFonts w:ascii="Arial" w:hAnsi="Arial" w:cs="Arial"/>
        </w:rPr>
        <w:t>Uumida, K., Dilora, A., &amp; Umar, E. (2020). Constructivism In Teaching And Learning Process. European Journal Of Of Research And Reflection In Educational Sciences Vol. 8 No 3, 2020 Part 11 ISSN 2056-5852. Available At: Https://Www.Idpublications.Org/Wp-Content/Uploads/2020/03/Full-Paper-</w:t>
      </w:r>
      <w:r w:rsidR="00D76C4A" w:rsidRPr="008203A6">
        <w:rPr>
          <w:rFonts w:ascii="Arial" w:hAnsi="Arial" w:cs="Arial"/>
        </w:rPr>
        <w:t>Constructivism-In-Teaching-And-Learning-Process</w:t>
      </w:r>
      <w:r w:rsidRPr="008203A6">
        <w:rPr>
          <w:rFonts w:ascii="Arial" w:hAnsi="Arial" w:cs="Arial"/>
        </w:rPr>
        <w:t>.Pdf ( Accessed On 18/05/2020).</w:t>
      </w:r>
    </w:p>
    <w:p w14:paraId="497E22A2" w14:textId="33F06EC0" w:rsidR="005D5270" w:rsidRPr="008203A6" w:rsidRDefault="005D5270" w:rsidP="003B792A">
      <w:pPr>
        <w:spacing w:after="200" w:line="360" w:lineRule="auto"/>
        <w:contextualSpacing/>
        <w:jc w:val="both"/>
        <w:rPr>
          <w:rFonts w:ascii="Arial" w:eastAsia="Calibri" w:hAnsi="Arial" w:cs="Arial"/>
          <w:lang w:val="en-US"/>
        </w:rPr>
      </w:pPr>
      <w:r w:rsidRPr="008203A6">
        <w:rPr>
          <w:rFonts w:ascii="Arial" w:eastAsia="Calibri" w:hAnsi="Arial" w:cs="Arial"/>
          <w:lang w:val="en-US"/>
        </w:rPr>
        <w:lastRenderedPageBreak/>
        <w:t>Varajao, J.,   &amp; Cruz-Cunha, MM. (2013) Using AHP and the IPMA competence Baseline in the Project manager’s selection process. Available at (PDF) uminho.</w:t>
      </w:r>
      <w:r w:rsidR="00606BEA">
        <w:rPr>
          <w:rFonts w:ascii="Arial" w:eastAsia="Calibri" w:hAnsi="Arial" w:cs="Arial"/>
          <w:lang w:val="en-US"/>
        </w:rPr>
        <w:t xml:space="preserve"> </w:t>
      </w:r>
      <w:r w:rsidRPr="008203A6">
        <w:rPr>
          <w:rFonts w:ascii="Arial" w:eastAsia="Calibri" w:hAnsi="Arial" w:cs="Arial"/>
          <w:lang w:val="en-US"/>
        </w:rPr>
        <w:t>pt. (accessed on 29/07/2020).</w:t>
      </w:r>
    </w:p>
    <w:p w14:paraId="07036ABC" w14:textId="77777777" w:rsidR="005D5270" w:rsidRPr="008203A6" w:rsidRDefault="005D5270" w:rsidP="003B792A">
      <w:pPr>
        <w:spacing w:before="240" w:line="360" w:lineRule="auto"/>
        <w:jc w:val="both"/>
        <w:rPr>
          <w:rFonts w:ascii="Arial" w:hAnsi="Arial" w:cs="Arial"/>
        </w:rPr>
      </w:pPr>
      <w:r w:rsidRPr="008203A6">
        <w:rPr>
          <w:rFonts w:ascii="Arial" w:hAnsi="Arial" w:cs="Arial"/>
        </w:rPr>
        <w:t>Venema, W. H. (2012). Integration: The Critical M&amp;A Success Factor.</w:t>
      </w:r>
      <w:r w:rsidRPr="008203A6">
        <w:rPr>
          <w:rFonts w:ascii="Arial" w:hAnsi="Arial" w:cs="Arial"/>
          <w:i/>
          <w:iCs/>
        </w:rPr>
        <w:t> Journal Of Corporate Accounting &amp; Finance (Wiley), 23</w:t>
      </w:r>
      <w:r w:rsidRPr="008203A6">
        <w:rPr>
          <w:rFonts w:ascii="Arial" w:hAnsi="Arial" w:cs="Arial"/>
        </w:rPr>
        <w:t>(2), 49-53.</w:t>
      </w:r>
    </w:p>
    <w:p w14:paraId="29226585" w14:textId="77777777" w:rsidR="005D5270" w:rsidRPr="008203A6" w:rsidRDefault="005D5270" w:rsidP="003B792A">
      <w:pPr>
        <w:spacing w:before="240" w:line="360" w:lineRule="auto"/>
        <w:jc w:val="both"/>
        <w:rPr>
          <w:rFonts w:ascii="Arial" w:hAnsi="Arial" w:cs="Arial"/>
        </w:rPr>
      </w:pPr>
      <w:r w:rsidRPr="008203A6">
        <w:rPr>
          <w:rFonts w:ascii="Arial" w:hAnsi="Arial" w:cs="Arial"/>
        </w:rPr>
        <w:t>Vijayabanu, C., &amp; Vignesh, T. (2018). Critical Factors Determining The Success Of Public-Private Partnership In Construction Projects: An Indian Context.</w:t>
      </w:r>
      <w:r w:rsidRPr="008203A6">
        <w:rPr>
          <w:rFonts w:ascii="Arial" w:hAnsi="Arial" w:cs="Arial"/>
          <w:i/>
          <w:iCs/>
        </w:rPr>
        <w:t> Journal Of Modern Project Management, </w:t>
      </w:r>
      <w:r w:rsidRPr="008203A6">
        <w:rPr>
          <w:rFonts w:ascii="Arial" w:hAnsi="Arial" w:cs="Arial"/>
        </w:rPr>
        <w:t xml:space="preserve"> 24-39.</w:t>
      </w:r>
    </w:p>
    <w:p w14:paraId="279D7423" w14:textId="77777777" w:rsidR="005D5270" w:rsidRPr="008203A6" w:rsidRDefault="005D5270" w:rsidP="003B792A">
      <w:pPr>
        <w:spacing w:before="240" w:line="360" w:lineRule="auto"/>
        <w:jc w:val="both"/>
        <w:rPr>
          <w:rFonts w:ascii="Arial" w:hAnsi="Arial" w:cs="Arial"/>
        </w:rPr>
      </w:pPr>
      <w:r w:rsidRPr="008203A6">
        <w:rPr>
          <w:rFonts w:ascii="Arial" w:hAnsi="Arial" w:cs="Arial"/>
        </w:rPr>
        <w:t>Vink, L. M., Dijkstra, A. And Epstude, K. (2019) A Longitudinal Study Of Decision Making In The Process Of Acquiring A Dog, Anthrozoös, 32 (4), Pp. 489-501.</w:t>
      </w:r>
    </w:p>
    <w:p w14:paraId="5E7D2DDE"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Water.Org (2015) Water, Sanitation, And Microfinance Toolkit. Available At: </w:t>
      </w:r>
      <w:hyperlink r:id="rId196" w:history="1">
        <w:r w:rsidRPr="008203A6">
          <w:rPr>
            <w:rStyle w:val="Hyperlink"/>
            <w:rFonts w:ascii="Arial" w:hAnsi="Arial" w:cs="Arial"/>
            <w:color w:val="auto"/>
          </w:rPr>
          <w:t>File:///C:/Users/Smart/Downloads/Water.Org_Toolkit_4_-_Wash_Finance_Process_Risk_Mgmt_Pricing_Internal_Audit__Controls.Pdf</w:t>
        </w:r>
      </w:hyperlink>
      <w:r w:rsidRPr="008203A6">
        <w:rPr>
          <w:rFonts w:ascii="Arial" w:hAnsi="Arial" w:cs="Arial"/>
        </w:rPr>
        <w:t xml:space="preserve"> ( Accessed On 6</w:t>
      </w:r>
      <w:r w:rsidRPr="008203A6">
        <w:rPr>
          <w:rFonts w:ascii="Arial" w:hAnsi="Arial" w:cs="Arial"/>
          <w:vertAlign w:val="superscript"/>
        </w:rPr>
        <w:t>th</w:t>
      </w:r>
      <w:r w:rsidRPr="008203A6">
        <w:rPr>
          <w:rFonts w:ascii="Arial" w:hAnsi="Arial" w:cs="Arial"/>
        </w:rPr>
        <w:t xml:space="preserve"> November 2018).</w:t>
      </w:r>
    </w:p>
    <w:p w14:paraId="03557E9C" w14:textId="77777777" w:rsidR="005D5270" w:rsidRPr="008203A6" w:rsidRDefault="005D5270" w:rsidP="003B792A">
      <w:pPr>
        <w:spacing w:before="240" w:line="360" w:lineRule="auto"/>
        <w:jc w:val="both"/>
        <w:rPr>
          <w:rFonts w:ascii="Arial" w:hAnsi="Arial" w:cs="Arial"/>
        </w:rPr>
      </w:pPr>
      <w:r w:rsidRPr="008203A6">
        <w:rPr>
          <w:rFonts w:ascii="Arial" w:hAnsi="Arial" w:cs="Arial"/>
        </w:rPr>
        <w:t>Weber, B (2016) Tech Will Revolutionise The Uk Real Estate As It Was The Us. The Journal Of Property Service</w:t>
      </w:r>
    </w:p>
    <w:p w14:paraId="01E6DBCD" w14:textId="77777777" w:rsidR="005D5270" w:rsidRPr="008203A6" w:rsidRDefault="005D5270" w:rsidP="003B792A">
      <w:pPr>
        <w:spacing w:line="360" w:lineRule="auto"/>
        <w:jc w:val="both"/>
        <w:rPr>
          <w:rFonts w:ascii="Arial" w:hAnsi="Arial" w:cs="Arial"/>
        </w:rPr>
      </w:pPr>
      <w:r w:rsidRPr="008203A6">
        <w:rPr>
          <w:rFonts w:ascii="Arial" w:hAnsi="Arial" w:cs="Arial"/>
        </w:rPr>
        <w:t>Weihrich, H. And Koontz, H. (1992) Management: A Global Perspective. 10th Ed. New York: Mcgraw-Hill.</w:t>
      </w:r>
    </w:p>
    <w:p w14:paraId="108AF2A2" w14:textId="77777777" w:rsidR="005D5270" w:rsidRPr="008203A6" w:rsidRDefault="005D5270" w:rsidP="003B792A">
      <w:pPr>
        <w:spacing w:line="360" w:lineRule="auto"/>
        <w:jc w:val="both"/>
        <w:rPr>
          <w:rFonts w:ascii="Arial" w:hAnsi="Arial" w:cs="Arial"/>
        </w:rPr>
      </w:pPr>
      <w:r w:rsidRPr="008203A6">
        <w:rPr>
          <w:rFonts w:ascii="Arial" w:hAnsi="Arial" w:cs="Arial"/>
        </w:rPr>
        <w:t>Welch, I. (2004). "Capital Structure And Stock Returns". Journal Of Political Economy. 112 (1): 106–132. Citeseerx 10.1.1.488.1961. Doi:10.1086/379933</w:t>
      </w:r>
    </w:p>
    <w:p w14:paraId="3D8AFC4F"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What Next Business (2019) Equity Finance Option. Available At: </w:t>
      </w:r>
      <w:hyperlink r:id="rId197" w:history="1">
        <w:r w:rsidRPr="008203A6">
          <w:rPr>
            <w:rStyle w:val="Hyperlink"/>
            <w:rFonts w:ascii="Arial" w:hAnsi="Arial" w:cs="Arial"/>
            <w:color w:val="auto"/>
          </w:rPr>
          <w:t>Https://Nextlevelbusiness.Co.Uk/Equity-Finance-Options/</w:t>
        </w:r>
      </w:hyperlink>
      <w:r w:rsidRPr="008203A6">
        <w:rPr>
          <w:rFonts w:ascii="Arial" w:hAnsi="Arial" w:cs="Arial"/>
        </w:rPr>
        <w:t xml:space="preserve"> (Accessed On 19</w:t>
      </w:r>
      <w:r w:rsidRPr="008203A6">
        <w:rPr>
          <w:rFonts w:ascii="Arial" w:hAnsi="Arial" w:cs="Arial"/>
          <w:vertAlign w:val="superscript"/>
        </w:rPr>
        <w:t>th</w:t>
      </w:r>
      <w:r w:rsidRPr="008203A6">
        <w:rPr>
          <w:rFonts w:ascii="Arial" w:hAnsi="Arial" w:cs="Arial"/>
        </w:rPr>
        <w:t xml:space="preserve"> February 2019. </w:t>
      </w:r>
    </w:p>
    <w:p w14:paraId="17FE29CF" w14:textId="01825769" w:rsidR="005D5270" w:rsidRPr="008203A6" w:rsidRDefault="005D5270" w:rsidP="003B792A">
      <w:pPr>
        <w:spacing w:after="200" w:line="360" w:lineRule="auto"/>
        <w:contextualSpacing/>
        <w:jc w:val="both"/>
        <w:rPr>
          <w:rFonts w:ascii="Arial" w:hAnsi="Arial" w:cs="Arial"/>
        </w:rPr>
      </w:pPr>
      <w:r w:rsidRPr="008203A6">
        <w:rPr>
          <w:rFonts w:ascii="Arial" w:hAnsi="Arial" w:cs="Arial"/>
        </w:rPr>
        <w:t xml:space="preserve">Wheeler &amp; Mody (1992). International investment location decisions: The case </w:t>
      </w:r>
      <w:r w:rsidR="00606BEA">
        <w:rPr>
          <w:rFonts w:ascii="Arial" w:hAnsi="Arial" w:cs="Arial"/>
        </w:rPr>
        <w:t xml:space="preserve">of </w:t>
      </w:r>
      <w:r w:rsidRPr="008203A6">
        <w:rPr>
          <w:rFonts w:ascii="Arial" w:hAnsi="Arial" w:cs="Arial"/>
        </w:rPr>
        <w:t>US firms. Journal of international economics. Available at: Google scholar ( accessed on 29/07/2020</w:t>
      </w:r>
    </w:p>
    <w:p w14:paraId="0C96AC24" w14:textId="77777777" w:rsidR="005D5270" w:rsidRPr="008203A6" w:rsidRDefault="005D5270" w:rsidP="003B792A">
      <w:pPr>
        <w:spacing w:line="360" w:lineRule="auto"/>
        <w:rPr>
          <w:rFonts w:ascii="Arial" w:hAnsi="Arial" w:cs="Arial"/>
        </w:rPr>
      </w:pPr>
      <w:r w:rsidRPr="008203A6">
        <w:rPr>
          <w:rFonts w:ascii="Arial" w:hAnsi="Arial" w:cs="Arial"/>
          <w:shd w:val="clear" w:color="auto" w:fill="FFFFFF"/>
        </w:rPr>
        <w:t>Wheeler, D. and Mody, A., (1992). International investment location decisions: The case of US firms. </w:t>
      </w:r>
      <w:r w:rsidRPr="008203A6">
        <w:rPr>
          <w:rFonts w:ascii="Arial" w:hAnsi="Arial" w:cs="Arial"/>
          <w:i/>
          <w:iCs/>
          <w:shd w:val="clear" w:color="auto" w:fill="FFFFFF"/>
        </w:rPr>
        <w:t>Journal of international economics</w:t>
      </w:r>
      <w:r w:rsidRPr="008203A6">
        <w:rPr>
          <w:rFonts w:ascii="Arial" w:hAnsi="Arial" w:cs="Arial"/>
          <w:shd w:val="clear" w:color="auto" w:fill="FFFFFF"/>
        </w:rPr>
        <w:t>, </w:t>
      </w:r>
      <w:r w:rsidRPr="008203A6">
        <w:rPr>
          <w:rFonts w:ascii="Arial" w:hAnsi="Arial" w:cs="Arial"/>
          <w:i/>
          <w:iCs/>
          <w:shd w:val="clear" w:color="auto" w:fill="FFFFFF"/>
        </w:rPr>
        <w:t>33</w:t>
      </w:r>
      <w:r w:rsidRPr="008203A6">
        <w:rPr>
          <w:rFonts w:ascii="Arial" w:hAnsi="Arial" w:cs="Arial"/>
          <w:shd w:val="clear" w:color="auto" w:fill="FFFFFF"/>
        </w:rPr>
        <w:t>(1-2), pp.57-76.</w:t>
      </w:r>
    </w:p>
    <w:p w14:paraId="0B568E90" w14:textId="77777777" w:rsidR="005D5270" w:rsidRPr="008203A6" w:rsidRDefault="005D5270" w:rsidP="003B792A">
      <w:pPr>
        <w:spacing w:before="240" w:line="360" w:lineRule="auto"/>
        <w:jc w:val="both"/>
        <w:rPr>
          <w:rFonts w:ascii="Arial" w:hAnsi="Arial" w:cs="Arial"/>
        </w:rPr>
      </w:pPr>
      <w:r w:rsidRPr="008203A6">
        <w:rPr>
          <w:rFonts w:ascii="Arial" w:hAnsi="Arial" w:cs="Arial"/>
        </w:rPr>
        <w:t>Whetten, D.A. And Cameron, K.S (2015). Developing Management Skills, Global Edition. Harlow, United Kingdom: Pearson Education Limited</w:t>
      </w:r>
    </w:p>
    <w:p w14:paraId="12A7E79B"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Whiteman, D. (2010) Ten Questions: Securing Equity Funding For Your Business. Available At: </w:t>
      </w:r>
      <w:hyperlink r:id="rId198" w:history="1">
        <w:r w:rsidRPr="008203A6">
          <w:rPr>
            <w:rStyle w:val="Hyperlink"/>
            <w:rFonts w:ascii="Arial" w:hAnsi="Arial" w:cs="Arial"/>
            <w:color w:val="auto"/>
          </w:rPr>
          <w:t>Https://Www.Telegraph.Co.Uk/Finance/Businessclub/7779435/10-Questions-Securing-Equity-Funding-For-Your-Business.Html</w:t>
        </w:r>
      </w:hyperlink>
      <w:r w:rsidRPr="008203A6">
        <w:rPr>
          <w:rFonts w:ascii="Arial" w:hAnsi="Arial" w:cs="Arial"/>
        </w:rPr>
        <w:t xml:space="preserve"> (Accessed On 19</w:t>
      </w:r>
      <w:r w:rsidRPr="008203A6">
        <w:rPr>
          <w:rFonts w:ascii="Arial" w:hAnsi="Arial" w:cs="Arial"/>
          <w:vertAlign w:val="superscript"/>
        </w:rPr>
        <w:t>th</w:t>
      </w:r>
      <w:r w:rsidRPr="008203A6">
        <w:rPr>
          <w:rFonts w:ascii="Arial" w:hAnsi="Arial" w:cs="Arial"/>
        </w:rPr>
        <w:t xml:space="preserve"> February 2019). </w:t>
      </w:r>
    </w:p>
    <w:p w14:paraId="4E6CEF1D"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Wiegand, J., &amp; Prepared, J. W. (2008). Bank Recycling Of Petrodollars To Emerging Market Economies During The Current Oil Price Boom.</w:t>
      </w:r>
    </w:p>
    <w:p w14:paraId="441E0227"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Wildau, G., 2018. Fitch and S&amp;P to launch China credit-rating units. </w:t>
      </w:r>
      <w:r w:rsidRPr="008203A6">
        <w:rPr>
          <w:rFonts w:ascii="Arial" w:hAnsi="Arial" w:cs="Arial"/>
          <w:i/>
          <w:iCs/>
          <w:shd w:val="clear" w:color="auto" w:fill="FFFFFF"/>
        </w:rPr>
        <w:t>Financial Times</w:t>
      </w:r>
      <w:r w:rsidRPr="008203A6">
        <w:rPr>
          <w:rFonts w:ascii="Arial" w:hAnsi="Arial" w:cs="Arial"/>
          <w:shd w:val="clear" w:color="auto" w:fill="FFFFFF"/>
        </w:rPr>
        <w:t>.</w:t>
      </w:r>
    </w:p>
    <w:p w14:paraId="4E456B1B" w14:textId="77777777" w:rsidR="005D5270" w:rsidRPr="008203A6" w:rsidRDefault="005D5270" w:rsidP="003B792A">
      <w:pPr>
        <w:spacing w:before="240" w:after="160" w:line="360" w:lineRule="auto"/>
        <w:jc w:val="both"/>
        <w:rPr>
          <w:rFonts w:ascii="Arial" w:hAnsi="Arial" w:cs="Arial"/>
        </w:rPr>
      </w:pPr>
      <w:r w:rsidRPr="008203A6">
        <w:rPr>
          <w:rFonts w:ascii="Arial" w:hAnsi="Arial" w:cs="Arial"/>
        </w:rPr>
        <w:t xml:space="preserve">Williams, C. (2008). The Gender Of The Management Career Path Of Female Mba Graduates In Britain And China. Available On Ethos. (Accessed On 21st December 2018). </w:t>
      </w:r>
    </w:p>
    <w:p w14:paraId="582ADBF3" w14:textId="00BAB979" w:rsidR="005D5270" w:rsidRPr="008203A6" w:rsidRDefault="005D5270" w:rsidP="003B792A">
      <w:pPr>
        <w:spacing w:line="360" w:lineRule="auto"/>
        <w:jc w:val="both"/>
        <w:rPr>
          <w:rFonts w:ascii="Arial" w:hAnsi="Arial" w:cs="Arial"/>
        </w:rPr>
      </w:pPr>
      <w:r w:rsidRPr="008203A6">
        <w:rPr>
          <w:rFonts w:ascii="Arial" w:hAnsi="Arial" w:cs="Arial"/>
        </w:rPr>
        <w:t xml:space="preserve">Wilson, P.M. (2001) Strategic Decision Making In Professional Service Firm. Available At: </w:t>
      </w:r>
      <w:hyperlink r:id="rId199" w:history="1">
        <w:r w:rsidRPr="008203A6">
          <w:rPr>
            <w:rStyle w:val="Hyperlink"/>
            <w:rFonts w:ascii="Arial" w:hAnsi="Arial" w:cs="Arial"/>
            <w:color w:val="auto"/>
          </w:rPr>
          <w:t>Http://Www.Arcom.Ac.Uk/-Docs/Proceedings/Ar2001-649-659_Wilson.Pdf</w:t>
        </w:r>
      </w:hyperlink>
      <w:r w:rsidRPr="008203A6">
        <w:rPr>
          <w:rFonts w:ascii="Arial" w:hAnsi="Arial" w:cs="Arial"/>
        </w:rPr>
        <w:t xml:space="preserve"> ( Accessed On 04/06/2020).</w:t>
      </w:r>
    </w:p>
    <w:p w14:paraId="7F44DDC1"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Windapo, A. (2017). Factors Causing Differentiation In Building Material Prices In South Africa: The Perspective Of Retailers. Available At: </w:t>
      </w:r>
      <w:hyperlink r:id="rId200" w:history="1">
        <w:r w:rsidRPr="008203A6">
          <w:rPr>
            <w:rStyle w:val="Hyperlink"/>
            <w:rFonts w:ascii="Arial" w:hAnsi="Arial" w:cs="Arial"/>
            <w:color w:val="auto"/>
          </w:rPr>
          <w:t>Http://Usir.Salford.Ac.Uk/44058/7/Irc2017_Proceedings_12102017_Optimised.Pdf</w:t>
        </w:r>
      </w:hyperlink>
      <w:r w:rsidRPr="008203A6">
        <w:rPr>
          <w:rFonts w:ascii="Arial" w:hAnsi="Arial" w:cs="Arial"/>
        </w:rPr>
        <w:t xml:space="preserve"> (Accessed On 2</w:t>
      </w:r>
      <w:r w:rsidRPr="008203A6">
        <w:rPr>
          <w:rFonts w:ascii="Arial" w:hAnsi="Arial" w:cs="Arial"/>
          <w:vertAlign w:val="superscript"/>
        </w:rPr>
        <w:t>nd</w:t>
      </w:r>
      <w:r w:rsidRPr="008203A6">
        <w:rPr>
          <w:rFonts w:ascii="Arial" w:hAnsi="Arial" w:cs="Arial"/>
        </w:rPr>
        <w:t xml:space="preserve"> January 2019).</w:t>
      </w:r>
    </w:p>
    <w:p w14:paraId="0FFC2536" w14:textId="1669FE68"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 xml:space="preserve">Winterton, J. and Winterton, J., 2009. Competence across Europe: </w:t>
      </w:r>
      <w:r w:rsidR="00606BEA">
        <w:rPr>
          <w:rFonts w:ascii="Arial" w:hAnsi="Arial" w:cs="Arial"/>
          <w:shd w:val="clear" w:color="auto" w:fill="FFFFFF"/>
        </w:rPr>
        <w:t xml:space="preserve">the </w:t>
      </w:r>
      <w:r w:rsidRPr="008203A6">
        <w:rPr>
          <w:rFonts w:ascii="Arial" w:hAnsi="Arial" w:cs="Arial"/>
          <w:shd w:val="clear" w:color="auto" w:fill="FFFFFF"/>
        </w:rPr>
        <w:t>highest common factor or lowest common denominator?. </w:t>
      </w:r>
      <w:r w:rsidRPr="008203A6">
        <w:rPr>
          <w:rFonts w:ascii="Arial" w:hAnsi="Arial" w:cs="Arial"/>
          <w:i/>
          <w:iCs/>
          <w:shd w:val="clear" w:color="auto" w:fill="FFFFFF"/>
        </w:rPr>
        <w:t>Journal of European Industrial Training</w:t>
      </w:r>
      <w:r w:rsidRPr="008203A6">
        <w:rPr>
          <w:rFonts w:ascii="Arial" w:hAnsi="Arial" w:cs="Arial"/>
          <w:shd w:val="clear" w:color="auto" w:fill="FFFFFF"/>
        </w:rPr>
        <w:t>.</w:t>
      </w:r>
    </w:p>
    <w:p w14:paraId="572C31E7" w14:textId="77777777" w:rsidR="005D5270" w:rsidRPr="008203A6" w:rsidRDefault="005D5270" w:rsidP="003B792A">
      <w:pPr>
        <w:spacing w:line="360" w:lineRule="auto"/>
        <w:jc w:val="both"/>
        <w:rPr>
          <w:rFonts w:ascii="Arial" w:hAnsi="Arial" w:cs="Arial"/>
        </w:rPr>
      </w:pPr>
      <w:r w:rsidRPr="008203A6">
        <w:rPr>
          <w:rFonts w:ascii="Arial" w:hAnsi="Arial" w:cs="Arial"/>
        </w:rPr>
        <w:t>Winterton, J., Winterton, R. And Proquest (2002; 1999) Developing Managerial Competence. New York: Routledge</w:t>
      </w:r>
    </w:p>
    <w:p w14:paraId="558347FA" w14:textId="77777777" w:rsidR="005D5270" w:rsidRPr="008203A6" w:rsidRDefault="005D5270" w:rsidP="003B792A">
      <w:pPr>
        <w:spacing w:line="360" w:lineRule="auto"/>
        <w:rPr>
          <w:rFonts w:ascii="Arial" w:hAnsi="Arial" w:cs="Arial"/>
        </w:rPr>
      </w:pPr>
      <w:r w:rsidRPr="008203A6">
        <w:rPr>
          <w:rFonts w:ascii="Arial" w:hAnsi="Arial" w:cs="Arial"/>
        </w:rPr>
        <w:t>Wofford, EL., and Clauretie, MT. (1992). Real estate. John Wiley &amp; Sons. Inc New York</w:t>
      </w:r>
    </w:p>
    <w:p w14:paraId="286D3297" w14:textId="77777777" w:rsidR="005D5270" w:rsidRPr="008203A6" w:rsidRDefault="005D5270" w:rsidP="003B792A">
      <w:pPr>
        <w:spacing w:line="360" w:lineRule="auto"/>
        <w:rPr>
          <w:rFonts w:ascii="Arial" w:hAnsi="Arial" w:cs="Arial"/>
        </w:rPr>
      </w:pPr>
      <w:r w:rsidRPr="008203A6">
        <w:rPr>
          <w:rFonts w:ascii="Arial" w:hAnsi="Arial" w:cs="Arial"/>
        </w:rPr>
        <w:t>World bank group (2014). Going beyond efficiency: Comparing Business Regulations for Domestic Firms in 189 Economies: A World Bank Group Flagship Report.</w:t>
      </w:r>
    </w:p>
    <w:p w14:paraId="003A8C7F" w14:textId="77777777" w:rsidR="005D5270" w:rsidRPr="008203A6" w:rsidRDefault="005D5270" w:rsidP="003B792A">
      <w:pPr>
        <w:spacing w:line="360" w:lineRule="auto"/>
        <w:jc w:val="both"/>
        <w:rPr>
          <w:rFonts w:ascii="Arial" w:hAnsi="Arial" w:cs="Arial"/>
        </w:rPr>
      </w:pPr>
      <w:r w:rsidRPr="008203A6">
        <w:rPr>
          <w:rFonts w:ascii="Arial" w:hAnsi="Arial" w:cs="Arial"/>
        </w:rPr>
        <w:t xml:space="preserve">Wu, S., Fleming, A., Aouad, G., &amp; Cooper, R. ( 2001) The Development Of The Process Protocol. Available At: </w:t>
      </w:r>
      <w:hyperlink r:id="rId201" w:history="1">
        <w:r w:rsidRPr="008203A6">
          <w:rPr>
            <w:rStyle w:val="Hyperlink"/>
            <w:rFonts w:ascii="Arial" w:hAnsi="Arial" w:cs="Arial"/>
            <w:color w:val="auto"/>
          </w:rPr>
          <w:t>Https://Pdfs.Semanticscholar.Org/Befd/4b8abc0738244ee521b17ef1a0008d2e922f.Pdf</w:t>
        </w:r>
      </w:hyperlink>
      <w:r w:rsidRPr="008203A6">
        <w:rPr>
          <w:rFonts w:ascii="Arial" w:hAnsi="Arial" w:cs="Arial"/>
        </w:rPr>
        <w:t xml:space="preserve"> (Accessed On 08/06/2020)</w:t>
      </w:r>
    </w:p>
    <w:p w14:paraId="612C9C1B" w14:textId="7B51A6A1" w:rsidR="005D5270" w:rsidRPr="008203A6" w:rsidRDefault="005D5270" w:rsidP="003B792A">
      <w:pPr>
        <w:spacing w:line="360" w:lineRule="auto"/>
        <w:jc w:val="both"/>
        <w:rPr>
          <w:rFonts w:ascii="Arial" w:hAnsi="Arial" w:cs="Arial"/>
        </w:rPr>
      </w:pPr>
      <w:r w:rsidRPr="008203A6">
        <w:rPr>
          <w:rFonts w:ascii="Arial" w:hAnsi="Arial" w:cs="Arial"/>
        </w:rPr>
        <w:t>Wyckham, R.G. And Wedley, W.C. (1990) Factors Related To Venture Feasibility Analysis And Business Plan Preparation. Available At: Google Scholar (Accessed On 09/06/2020)</w:t>
      </w:r>
    </w:p>
    <w:p w14:paraId="076DABF4"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Xiao, J. J., &amp; O’neill, B. (2016). Consumer Financial Education And Financial Capability. Available At: </w:t>
      </w:r>
      <w:hyperlink r:id="rId202" w:history="1">
        <w:r w:rsidRPr="008203A6">
          <w:rPr>
            <w:rStyle w:val="Hyperlink"/>
            <w:rFonts w:ascii="Arial" w:hAnsi="Arial" w:cs="Arial"/>
            <w:color w:val="auto"/>
          </w:rPr>
          <w:t>Https://Papers.Ssrn.Com/Sol3/Papers.Cfm?Abstract_Id=2769384</w:t>
        </w:r>
      </w:hyperlink>
      <w:r w:rsidRPr="008203A6">
        <w:rPr>
          <w:rFonts w:ascii="Arial" w:hAnsi="Arial" w:cs="Arial"/>
        </w:rPr>
        <w:t xml:space="preserve"> (Accessed On 26</w:t>
      </w:r>
      <w:r w:rsidRPr="008203A6">
        <w:rPr>
          <w:rFonts w:ascii="Arial" w:hAnsi="Arial" w:cs="Arial"/>
          <w:vertAlign w:val="superscript"/>
        </w:rPr>
        <w:t>th</w:t>
      </w:r>
      <w:r w:rsidRPr="008203A6">
        <w:rPr>
          <w:rFonts w:ascii="Arial" w:hAnsi="Arial" w:cs="Arial"/>
        </w:rPr>
        <w:t xml:space="preserve"> February 2019)</w:t>
      </w:r>
    </w:p>
    <w:p w14:paraId="156A5FF9" w14:textId="0672694D" w:rsidR="005D5270" w:rsidRPr="008203A6" w:rsidRDefault="005D5270" w:rsidP="003B792A">
      <w:pPr>
        <w:spacing w:line="360" w:lineRule="auto"/>
        <w:jc w:val="both"/>
        <w:rPr>
          <w:rFonts w:ascii="Arial" w:hAnsi="Arial" w:cs="Arial"/>
        </w:rPr>
      </w:pPr>
      <w:r w:rsidRPr="008203A6">
        <w:rPr>
          <w:rFonts w:ascii="Arial" w:hAnsi="Arial" w:cs="Arial"/>
        </w:rPr>
        <w:t>Yadav, R ( 2016). Role Of Constructivism In Learning. Available At: Https://Www.Researchgate.Net/Publication/319442311_ROLE_OF_CONSTRUCTIVISM_IN_LEARNING ( Accessed On 18/05/2020).</w:t>
      </w:r>
    </w:p>
    <w:p w14:paraId="2CF08D01" w14:textId="77777777" w:rsidR="005D5270" w:rsidRPr="008203A6" w:rsidRDefault="005D5270" w:rsidP="003B792A">
      <w:pPr>
        <w:spacing w:before="240" w:line="360" w:lineRule="auto"/>
        <w:jc w:val="both"/>
        <w:rPr>
          <w:rFonts w:ascii="Arial" w:hAnsi="Arial" w:cs="Arial"/>
        </w:rPr>
      </w:pPr>
      <w:r w:rsidRPr="008203A6">
        <w:rPr>
          <w:rFonts w:ascii="Arial" w:hAnsi="Arial" w:cs="Arial"/>
        </w:rPr>
        <w:lastRenderedPageBreak/>
        <w:t>Yalta, A. Y., &amp; Sivrikaya, A. (2018). Is China's Current Account Surplus Persistent? Implications For Global Imbalances.</w:t>
      </w:r>
      <w:r w:rsidRPr="008203A6">
        <w:rPr>
          <w:rFonts w:ascii="Arial" w:hAnsi="Arial" w:cs="Arial"/>
          <w:i/>
          <w:iCs/>
        </w:rPr>
        <w:t> Chinese Economy, 51</w:t>
      </w:r>
      <w:r w:rsidRPr="008203A6">
        <w:rPr>
          <w:rFonts w:ascii="Arial" w:hAnsi="Arial" w:cs="Arial"/>
        </w:rPr>
        <w:t>(6), 534-547.</w:t>
      </w:r>
    </w:p>
    <w:p w14:paraId="235E2606"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Yescombe, E.R., 2014. </w:t>
      </w:r>
      <w:r w:rsidRPr="008203A6">
        <w:rPr>
          <w:rFonts w:ascii="Arial" w:hAnsi="Arial" w:cs="Arial"/>
          <w:i/>
          <w:iCs/>
          <w:shd w:val="clear" w:color="auto" w:fill="FFFFFF"/>
        </w:rPr>
        <w:t>Principles of project finance</w:t>
      </w:r>
      <w:r w:rsidRPr="008203A6">
        <w:rPr>
          <w:rFonts w:ascii="Arial" w:hAnsi="Arial" w:cs="Arial"/>
          <w:shd w:val="clear" w:color="auto" w:fill="FFFFFF"/>
        </w:rPr>
        <w:t>. Academic Press.</w:t>
      </w:r>
    </w:p>
    <w:p w14:paraId="6DE572AB" w14:textId="77777777" w:rsidR="005D5270" w:rsidRPr="008203A6" w:rsidRDefault="005D5270" w:rsidP="003B792A">
      <w:pPr>
        <w:spacing w:before="240" w:line="360" w:lineRule="auto"/>
        <w:jc w:val="both"/>
        <w:rPr>
          <w:rFonts w:ascii="Arial" w:hAnsi="Arial" w:cs="Arial"/>
        </w:rPr>
      </w:pPr>
      <w:r w:rsidRPr="008203A6">
        <w:rPr>
          <w:rFonts w:ascii="Arial" w:hAnsi="Arial" w:cs="Arial"/>
        </w:rPr>
        <w:t>Yiing-Jia Loke. (2017). The Influence Of Socio-Demographic And Financial Knowledge Factors On Financial Management Practices Of Malaysians.</w:t>
      </w:r>
      <w:r w:rsidRPr="008203A6">
        <w:rPr>
          <w:rFonts w:ascii="Arial" w:hAnsi="Arial" w:cs="Arial"/>
          <w:i/>
          <w:iCs/>
        </w:rPr>
        <w:t> International Journal Of Business &amp; Society, 18</w:t>
      </w:r>
      <w:r w:rsidRPr="008203A6">
        <w:rPr>
          <w:rFonts w:ascii="Arial" w:hAnsi="Arial" w:cs="Arial"/>
        </w:rPr>
        <w:t>(1), 33-50.</w:t>
      </w:r>
    </w:p>
    <w:p w14:paraId="166CF6B2" w14:textId="6E3E575B" w:rsidR="005D5270" w:rsidRPr="008203A6" w:rsidRDefault="005D5270" w:rsidP="003B792A">
      <w:pPr>
        <w:spacing w:line="360" w:lineRule="auto"/>
        <w:rPr>
          <w:rFonts w:ascii="Arial" w:hAnsi="Arial" w:cs="Arial"/>
        </w:rPr>
      </w:pPr>
      <w:r w:rsidRPr="008203A6">
        <w:rPr>
          <w:rFonts w:ascii="Arial" w:hAnsi="Arial" w:cs="Arial"/>
        </w:rPr>
        <w:t xml:space="preserve">Yilmaz, K. (2011). The cognitive perspective on learning: Its theoretical underpinning and implications for </w:t>
      </w:r>
      <w:r w:rsidR="00606BEA">
        <w:rPr>
          <w:rFonts w:ascii="Arial" w:hAnsi="Arial" w:cs="Arial"/>
        </w:rPr>
        <w:t xml:space="preserve">the </w:t>
      </w:r>
      <w:r w:rsidRPr="008203A6">
        <w:rPr>
          <w:rFonts w:ascii="Arial" w:hAnsi="Arial" w:cs="Arial"/>
        </w:rPr>
        <w:t>classroom. Available at (PDF) Research gate.net. (Accessed on 29/07/2020).</w:t>
      </w:r>
    </w:p>
    <w:p w14:paraId="6D40C5C8" w14:textId="6596887F"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Yin, L., (2016) Overeducation In Ch</w:t>
      </w:r>
      <w:r w:rsidR="00606BEA">
        <w:rPr>
          <w:rFonts w:ascii="Arial" w:hAnsi="Arial" w:cs="Arial"/>
          <w:sz w:val="22"/>
          <w:szCs w:val="22"/>
        </w:rPr>
        <w:t>i</w:t>
      </w:r>
      <w:r w:rsidRPr="008203A6">
        <w:rPr>
          <w:rFonts w:ascii="Arial" w:hAnsi="Arial" w:cs="Arial"/>
          <w:sz w:val="22"/>
          <w:szCs w:val="22"/>
        </w:rPr>
        <w:t>nese Labour Market. A Thesis Submitted In Partial Fulfilment Of The Requirements For The Degree Of Doctor Of Philosophy, The University Of Sheffield.</w:t>
      </w:r>
    </w:p>
    <w:p w14:paraId="68F06F8E" w14:textId="77777777" w:rsidR="005D5270" w:rsidRPr="008203A6" w:rsidRDefault="005D5270" w:rsidP="003B792A">
      <w:pPr>
        <w:spacing w:line="360" w:lineRule="auto"/>
        <w:jc w:val="both"/>
        <w:rPr>
          <w:rFonts w:ascii="Arial" w:hAnsi="Arial" w:cs="Arial"/>
        </w:rPr>
      </w:pPr>
      <w:r w:rsidRPr="008203A6">
        <w:rPr>
          <w:rFonts w:ascii="Arial" w:hAnsi="Arial" w:cs="Arial"/>
        </w:rPr>
        <w:t>Yin, R. (2009). Case study research design: design and methods (4</w:t>
      </w:r>
      <w:r w:rsidRPr="008203A6">
        <w:rPr>
          <w:rFonts w:ascii="Arial" w:hAnsi="Arial" w:cs="Arial"/>
          <w:vertAlign w:val="superscript"/>
        </w:rPr>
        <w:t>th</w:t>
      </w:r>
      <w:r w:rsidRPr="008203A6">
        <w:rPr>
          <w:rFonts w:ascii="Arial" w:hAnsi="Arial" w:cs="Arial"/>
        </w:rPr>
        <w:t xml:space="preserve"> ed.). London: Sage</w:t>
      </w:r>
    </w:p>
    <w:p w14:paraId="6AF49BFC" w14:textId="124F44C2" w:rsidR="005D5270" w:rsidRPr="008203A6" w:rsidRDefault="005D5270" w:rsidP="003B792A">
      <w:pPr>
        <w:spacing w:after="0" w:line="360" w:lineRule="auto"/>
        <w:jc w:val="both"/>
        <w:rPr>
          <w:rFonts w:ascii="Arial" w:eastAsia="Times New Roman" w:hAnsi="Arial" w:cs="Arial"/>
        </w:rPr>
      </w:pPr>
      <w:r w:rsidRPr="008203A6">
        <w:rPr>
          <w:rFonts w:ascii="Arial" w:eastAsia="Times New Roman" w:hAnsi="Arial" w:cs="Arial"/>
        </w:rPr>
        <w:t>Young, B.A. (1988) Career Development In Construction Management, Ph</w:t>
      </w:r>
      <w:r w:rsidR="00606BEA">
        <w:rPr>
          <w:rFonts w:ascii="Arial" w:eastAsia="Times New Roman" w:hAnsi="Arial" w:cs="Arial"/>
        </w:rPr>
        <w:t>D</w:t>
      </w:r>
      <w:r w:rsidRPr="008203A6">
        <w:rPr>
          <w:rFonts w:ascii="Arial" w:eastAsia="Times New Roman" w:hAnsi="Arial" w:cs="Arial"/>
        </w:rPr>
        <w:t>. Available At:</w:t>
      </w:r>
      <w:r w:rsidRPr="008203A6">
        <w:rPr>
          <w:rFonts w:ascii="Arial" w:hAnsi="Arial" w:cs="Arial"/>
        </w:rPr>
        <w:t xml:space="preserve"> </w:t>
      </w:r>
      <w:hyperlink r:id="rId203" w:history="1">
        <w:r w:rsidRPr="008203A6">
          <w:rPr>
            <w:rStyle w:val="Hyperlink"/>
            <w:rFonts w:ascii="Arial" w:eastAsia="Times New Roman" w:hAnsi="Arial" w:cs="Arial"/>
            <w:color w:val="auto"/>
          </w:rPr>
          <w:t>Https://Ethos.Bl.Uk/Orderdetails.Do?Did=1&amp;Uin=Uk.Bl.Ethos.335722</w:t>
        </w:r>
      </w:hyperlink>
      <w:r w:rsidRPr="008203A6">
        <w:rPr>
          <w:rFonts w:ascii="Arial" w:eastAsia="Times New Roman" w:hAnsi="Arial" w:cs="Arial"/>
        </w:rPr>
        <w:t xml:space="preserve"> (Accessed On 14/05/2020)</w:t>
      </w:r>
    </w:p>
    <w:p w14:paraId="451106FC"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Young, J., Mihaly, K., Bauoff, S., Rabinovich, L., &amp; Hung, A ( 2013). A Toolkit For The Evaluation Of Financial Capability Programs In Low And Middle-Income Countries. Available At: </w:t>
      </w:r>
      <w:hyperlink r:id="rId204" w:history="1">
        <w:r w:rsidRPr="008203A6">
          <w:rPr>
            <w:rStyle w:val="Hyperlink"/>
            <w:rFonts w:ascii="Arial" w:hAnsi="Arial" w:cs="Arial"/>
            <w:color w:val="auto"/>
          </w:rPr>
          <w:t>Https://Openknowledge.Worldbank.Org/Bitstream/Handle/10986/16294/798080wp050too0box0379791b00public0.Pdf;Sequence=1</w:t>
        </w:r>
      </w:hyperlink>
      <w:r w:rsidRPr="008203A6">
        <w:rPr>
          <w:rFonts w:ascii="Arial" w:hAnsi="Arial" w:cs="Arial"/>
        </w:rPr>
        <w:t xml:space="preserve"> (Accessed On 11</w:t>
      </w:r>
      <w:r w:rsidRPr="008203A6">
        <w:rPr>
          <w:rFonts w:ascii="Arial" w:hAnsi="Arial" w:cs="Arial"/>
          <w:vertAlign w:val="superscript"/>
        </w:rPr>
        <w:t>th</w:t>
      </w:r>
      <w:r w:rsidRPr="008203A6">
        <w:rPr>
          <w:rFonts w:ascii="Arial" w:hAnsi="Arial" w:cs="Arial"/>
        </w:rPr>
        <w:t xml:space="preserve"> November 2019).</w:t>
      </w:r>
    </w:p>
    <w:p w14:paraId="3945D5E0"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Your Financial Toolkit (2019) Government Of Canada. Available At: </w:t>
      </w:r>
      <w:hyperlink r:id="rId205" w:history="1">
        <w:r w:rsidRPr="008203A6">
          <w:rPr>
            <w:rStyle w:val="Hyperlink"/>
            <w:rFonts w:ascii="Arial" w:hAnsi="Arial" w:cs="Arial"/>
            <w:color w:val="auto"/>
          </w:rPr>
          <w:t>Https://Www.Canada.Ca/En/Financial-Consumer-Agency/Services/Financial-Toolkit.Html</w:t>
        </w:r>
      </w:hyperlink>
      <w:r w:rsidRPr="008203A6">
        <w:rPr>
          <w:rFonts w:ascii="Arial" w:hAnsi="Arial" w:cs="Arial"/>
        </w:rPr>
        <w:t xml:space="preserve"> ( Accessed On 25</w:t>
      </w:r>
      <w:r w:rsidRPr="008203A6">
        <w:rPr>
          <w:rFonts w:ascii="Arial" w:hAnsi="Arial" w:cs="Arial"/>
          <w:vertAlign w:val="superscript"/>
        </w:rPr>
        <w:t>th</w:t>
      </w:r>
      <w:r w:rsidRPr="008203A6">
        <w:rPr>
          <w:rFonts w:ascii="Arial" w:hAnsi="Arial" w:cs="Arial"/>
        </w:rPr>
        <w:t xml:space="preserve"> November 2019).</w:t>
      </w:r>
    </w:p>
    <w:p w14:paraId="472AD488" w14:textId="77777777" w:rsidR="005D5270" w:rsidRPr="008203A6" w:rsidRDefault="005D5270" w:rsidP="003B792A">
      <w:pPr>
        <w:pStyle w:val="NormalWeb"/>
        <w:spacing w:before="240" w:line="360" w:lineRule="auto"/>
        <w:jc w:val="both"/>
        <w:rPr>
          <w:rFonts w:ascii="Arial" w:hAnsi="Arial" w:cs="Arial"/>
          <w:sz w:val="22"/>
          <w:szCs w:val="22"/>
        </w:rPr>
      </w:pPr>
      <w:r w:rsidRPr="008203A6">
        <w:rPr>
          <w:rFonts w:ascii="Arial" w:hAnsi="Arial" w:cs="Arial"/>
          <w:sz w:val="22"/>
          <w:szCs w:val="22"/>
        </w:rPr>
        <w:t>Yunus, N. (2013). Dynamic Interactions Amongst Property Types. Journal Of Property Investment And Finance, 31(2), 135-159</w:t>
      </w:r>
    </w:p>
    <w:p w14:paraId="51283D4C" w14:textId="77777777" w:rsidR="005D5270" w:rsidRPr="008203A6" w:rsidRDefault="005D5270" w:rsidP="003B792A">
      <w:pPr>
        <w:spacing w:before="240" w:line="360" w:lineRule="auto"/>
        <w:jc w:val="both"/>
        <w:rPr>
          <w:rFonts w:ascii="Arial" w:hAnsi="Arial" w:cs="Arial"/>
        </w:rPr>
      </w:pPr>
      <w:r w:rsidRPr="008203A6">
        <w:rPr>
          <w:rFonts w:ascii="Arial" w:hAnsi="Arial" w:cs="Arial"/>
        </w:rPr>
        <w:t>Zainir, F. (2012). Private Savings, Financial Developments And Institutions In Emerging Economies. A Thesis Submitted To Coventry University. Available On Ethos (Accessed On 1</w:t>
      </w:r>
      <w:r w:rsidRPr="008203A6">
        <w:rPr>
          <w:rFonts w:ascii="Arial" w:hAnsi="Arial" w:cs="Arial"/>
          <w:vertAlign w:val="superscript"/>
        </w:rPr>
        <w:t>st</w:t>
      </w:r>
      <w:r w:rsidRPr="008203A6">
        <w:rPr>
          <w:rFonts w:ascii="Arial" w:hAnsi="Arial" w:cs="Arial"/>
        </w:rPr>
        <w:t xml:space="preserve"> January 2019)</w:t>
      </w:r>
    </w:p>
    <w:p w14:paraId="0FC468ED" w14:textId="77777777" w:rsidR="005D5270" w:rsidRPr="008203A6" w:rsidRDefault="005D5270" w:rsidP="003B792A">
      <w:pPr>
        <w:spacing w:line="360" w:lineRule="auto"/>
        <w:jc w:val="both"/>
        <w:rPr>
          <w:rFonts w:ascii="Arial" w:hAnsi="Arial" w:cs="Arial"/>
        </w:rPr>
      </w:pPr>
      <w:r w:rsidRPr="008203A6">
        <w:rPr>
          <w:rFonts w:ascii="Arial" w:hAnsi="Arial" w:cs="Arial"/>
        </w:rPr>
        <w:t>Zang, J. (2017). Research on BIM Technology’s financing and realization of real estate project financing under large data background, Revista De La facultad De Ingenieria, 32 (4), 709-716</w:t>
      </w:r>
    </w:p>
    <w:p w14:paraId="7CF9F72E" w14:textId="060D7FBA" w:rsidR="005D5270" w:rsidRPr="008203A6" w:rsidRDefault="005D5270" w:rsidP="003B792A">
      <w:pPr>
        <w:spacing w:line="360" w:lineRule="auto"/>
        <w:jc w:val="both"/>
        <w:rPr>
          <w:rFonts w:ascii="Arial" w:hAnsi="Arial" w:cs="Arial"/>
        </w:rPr>
      </w:pPr>
      <w:r w:rsidRPr="008203A6">
        <w:rPr>
          <w:rFonts w:ascii="Arial" w:hAnsi="Arial" w:cs="Arial"/>
        </w:rPr>
        <w:lastRenderedPageBreak/>
        <w:t>Zang, X., Wu, Y., Shen, L., and Skitmore, M . (2014). A Prototype System Dynamics Model For Assessing The Sustainability of construction projects, international journal of project management, 32 (1), pp. 66-76</w:t>
      </w:r>
    </w:p>
    <w:p w14:paraId="1C8C8A90" w14:textId="77777777" w:rsidR="005D5270" w:rsidRPr="008203A6" w:rsidRDefault="005D5270" w:rsidP="003B792A">
      <w:pPr>
        <w:spacing w:line="360" w:lineRule="auto"/>
        <w:jc w:val="both"/>
        <w:rPr>
          <w:rFonts w:ascii="Arial" w:hAnsi="Arial" w:cs="Arial"/>
        </w:rPr>
      </w:pPr>
      <w:r w:rsidRPr="008203A6">
        <w:rPr>
          <w:rFonts w:ascii="Arial" w:hAnsi="Arial" w:cs="Arial"/>
          <w:iCs/>
        </w:rPr>
        <w:t>Zeidan, Rodrigo M.; Galil, Koresh; Shapir, Offer Moshe (1 November 2018). "Do Ultimate Owners Follow The Pecking Order Theory?” </w:t>
      </w:r>
      <w:hyperlink r:id="rId206" w:tooltip="Digital object identifier" w:history="1">
        <w:r w:rsidRPr="008203A6">
          <w:rPr>
            <w:rStyle w:val="Hyperlink"/>
            <w:rFonts w:ascii="Arial" w:hAnsi="Arial" w:cs="Arial"/>
            <w:iCs/>
            <w:color w:val="auto"/>
          </w:rPr>
          <w:t>Doi</w:t>
        </w:r>
      </w:hyperlink>
      <w:r w:rsidRPr="008203A6">
        <w:rPr>
          <w:rFonts w:ascii="Arial" w:hAnsi="Arial" w:cs="Arial"/>
          <w:iCs/>
        </w:rPr>
        <w:t>:</w:t>
      </w:r>
      <w:hyperlink r:id="rId207" w:history="1">
        <w:r w:rsidRPr="008203A6">
          <w:rPr>
            <w:rStyle w:val="Hyperlink"/>
            <w:rFonts w:ascii="Arial" w:hAnsi="Arial" w:cs="Arial"/>
            <w:iCs/>
            <w:color w:val="auto"/>
          </w:rPr>
          <w:t>10.2139/Ssrn.2747749</w:t>
        </w:r>
      </w:hyperlink>
      <w:r w:rsidRPr="008203A6">
        <w:rPr>
          <w:rFonts w:ascii="Arial" w:hAnsi="Arial" w:cs="Arial"/>
          <w:iCs/>
        </w:rPr>
        <w:t>. </w:t>
      </w:r>
      <w:hyperlink r:id="rId208" w:tooltip="Social Science Research Network" w:history="1">
        <w:r w:rsidRPr="008203A6">
          <w:rPr>
            <w:rStyle w:val="Hyperlink"/>
            <w:rFonts w:ascii="Arial" w:hAnsi="Arial" w:cs="Arial"/>
            <w:iCs/>
            <w:color w:val="auto"/>
          </w:rPr>
          <w:t>SSRN</w:t>
        </w:r>
      </w:hyperlink>
      <w:r w:rsidRPr="008203A6">
        <w:rPr>
          <w:rFonts w:ascii="Arial" w:hAnsi="Arial" w:cs="Arial"/>
          <w:iCs/>
        </w:rPr>
        <w:t> </w:t>
      </w:r>
      <w:hyperlink r:id="rId209" w:history="1">
        <w:r w:rsidRPr="008203A6">
          <w:rPr>
            <w:rStyle w:val="Hyperlink"/>
            <w:rFonts w:ascii="Arial" w:hAnsi="Arial" w:cs="Arial"/>
            <w:iCs/>
            <w:color w:val="auto"/>
          </w:rPr>
          <w:t>2747749</w:t>
        </w:r>
      </w:hyperlink>
      <w:r w:rsidRPr="008203A6">
        <w:rPr>
          <w:rFonts w:ascii="Arial" w:hAnsi="Arial" w:cs="Arial"/>
          <w:iCs/>
        </w:rPr>
        <w:t>.</w:t>
      </w:r>
    </w:p>
    <w:p w14:paraId="56AC6AB0" w14:textId="77777777" w:rsidR="005D5270" w:rsidRPr="008203A6" w:rsidRDefault="005D5270" w:rsidP="003B792A">
      <w:pPr>
        <w:spacing w:line="360" w:lineRule="auto"/>
        <w:rPr>
          <w:rFonts w:ascii="Arial" w:hAnsi="Arial" w:cs="Arial"/>
        </w:rPr>
      </w:pPr>
      <w:r w:rsidRPr="008203A6">
        <w:rPr>
          <w:rFonts w:ascii="Arial" w:hAnsi="Arial" w:cs="Arial"/>
        </w:rPr>
        <w:t>Zhang, KZK., and Cheung, CMK (2012). Online service switching behaviour: the case of blog service providers. Available at : (PDF) Researchgate.net. (Accessed on 29/07/2020)</w:t>
      </w:r>
    </w:p>
    <w:p w14:paraId="2F85BA81" w14:textId="4EE9AD5B" w:rsidR="005D5270" w:rsidRPr="008203A6" w:rsidRDefault="005D5270" w:rsidP="003B792A">
      <w:pPr>
        <w:spacing w:line="360" w:lineRule="auto"/>
        <w:jc w:val="both"/>
        <w:rPr>
          <w:rFonts w:ascii="Arial" w:hAnsi="Arial" w:cs="Arial"/>
        </w:rPr>
      </w:pPr>
      <w:r w:rsidRPr="008203A6">
        <w:rPr>
          <w:rFonts w:ascii="Arial" w:hAnsi="Arial" w:cs="Arial"/>
        </w:rPr>
        <w:t xml:space="preserve">Zhang, W. and Wu, H. (2014). A research on the diversifications of financing modes of real estate enterprises in China, in 2014 international conference on </w:t>
      </w:r>
      <w:r w:rsidR="001C6709">
        <w:rPr>
          <w:rFonts w:ascii="Arial" w:hAnsi="Arial" w:cs="Arial"/>
        </w:rPr>
        <w:t xml:space="preserve">the </w:t>
      </w:r>
      <w:r w:rsidRPr="008203A6">
        <w:rPr>
          <w:rFonts w:ascii="Arial" w:hAnsi="Arial" w:cs="Arial"/>
        </w:rPr>
        <w:t>global economy, commerce and service science (GECSS-14), Atlantis press</w:t>
      </w:r>
    </w:p>
    <w:p w14:paraId="3850B52A" w14:textId="77777777" w:rsidR="005D5270" w:rsidRPr="008203A6" w:rsidRDefault="005D5270" w:rsidP="003B792A">
      <w:pPr>
        <w:spacing w:line="360" w:lineRule="auto"/>
        <w:rPr>
          <w:rFonts w:ascii="Arial" w:hAnsi="Arial" w:cs="Arial"/>
          <w:shd w:val="clear" w:color="auto" w:fill="FFFFFF"/>
        </w:rPr>
      </w:pPr>
      <w:r w:rsidRPr="008203A6">
        <w:rPr>
          <w:rFonts w:ascii="Arial" w:hAnsi="Arial" w:cs="Arial"/>
          <w:shd w:val="clear" w:color="auto" w:fill="FFFFFF"/>
        </w:rPr>
        <w:t>Zhang, W., Zhang, Y., Zhang, G., Han, K. and Chen, L., (2020). The Dynamic Industry Return Predictability: Evidence from Chinese Stock Markets. </w:t>
      </w:r>
      <w:r w:rsidRPr="008203A6">
        <w:rPr>
          <w:rFonts w:ascii="Arial" w:hAnsi="Arial" w:cs="Arial"/>
          <w:i/>
          <w:iCs/>
          <w:shd w:val="clear" w:color="auto" w:fill="FFFFFF"/>
        </w:rPr>
        <w:t>Emerging Markets Finance and Trade</w:t>
      </w:r>
      <w:r w:rsidRPr="008203A6">
        <w:rPr>
          <w:rFonts w:ascii="Arial" w:hAnsi="Arial" w:cs="Arial"/>
          <w:shd w:val="clear" w:color="auto" w:fill="FFFFFF"/>
        </w:rPr>
        <w:t>, pp.1-20.</w:t>
      </w:r>
    </w:p>
    <w:p w14:paraId="0B42DEFB" w14:textId="77777777" w:rsidR="005D5270" w:rsidRPr="008203A6" w:rsidRDefault="005D5270" w:rsidP="003B792A">
      <w:pPr>
        <w:spacing w:before="240" w:line="360" w:lineRule="auto"/>
        <w:jc w:val="both"/>
        <w:rPr>
          <w:rFonts w:ascii="Arial" w:hAnsi="Arial" w:cs="Arial"/>
        </w:rPr>
      </w:pPr>
      <w:r w:rsidRPr="008203A6">
        <w:rPr>
          <w:rFonts w:ascii="Arial" w:hAnsi="Arial" w:cs="Arial"/>
        </w:rPr>
        <w:t>Zhang, X., &amp; Cheung, E. (2012). A Comparative Study Of Critical Success Factors For Public-Private Partnerships (Ppp) Between Mainland China And The Hong Kong Special Administrative Region. Facilities, (13), 647.</w:t>
      </w:r>
    </w:p>
    <w:p w14:paraId="1F710B0B" w14:textId="77777777" w:rsidR="005D5270" w:rsidRPr="008203A6" w:rsidRDefault="005D5270" w:rsidP="003B792A">
      <w:pPr>
        <w:spacing w:after="0" w:line="360" w:lineRule="auto"/>
        <w:jc w:val="both"/>
        <w:rPr>
          <w:rFonts w:ascii="Arial" w:hAnsi="Arial" w:cs="Arial"/>
        </w:rPr>
      </w:pPr>
      <w:r w:rsidRPr="008203A6">
        <w:rPr>
          <w:rFonts w:ascii="Arial" w:hAnsi="Arial" w:cs="Arial"/>
        </w:rPr>
        <w:t>Zhang, Xing Quan (2008). Housing And Urban Upgrading In Yantai, China. UN-HABITAT. P. 67. ISBN 978-92-1-131923-1. Retrieved 17 August 2012.</w:t>
      </w:r>
    </w:p>
    <w:p w14:paraId="4EC15FE4" w14:textId="77777777" w:rsidR="005D5270" w:rsidRPr="008203A6" w:rsidRDefault="005D5270" w:rsidP="003B792A">
      <w:pPr>
        <w:spacing w:line="360" w:lineRule="auto"/>
        <w:jc w:val="both"/>
        <w:rPr>
          <w:rFonts w:ascii="Arial" w:hAnsi="Arial" w:cs="Arial"/>
          <w:lang w:val="en-US"/>
        </w:rPr>
      </w:pPr>
      <w:r w:rsidRPr="008203A6">
        <w:rPr>
          <w:rFonts w:ascii="Arial" w:hAnsi="Arial" w:cs="Arial"/>
        </w:rPr>
        <w:t>Zhang, Y., Wang, X., He, G. And Proquest (2010). The Economic Theory Of Developing Countries’ Rise. Lanham: University Press Of America.</w:t>
      </w:r>
    </w:p>
    <w:p w14:paraId="6B887ED3" w14:textId="69D311F1" w:rsidR="005D5270" w:rsidRPr="008203A6" w:rsidRDefault="005D5270" w:rsidP="003B792A">
      <w:pPr>
        <w:spacing w:before="240" w:line="360" w:lineRule="auto"/>
        <w:jc w:val="both"/>
        <w:rPr>
          <w:rFonts w:ascii="Arial" w:hAnsi="Arial" w:cs="Arial"/>
        </w:rPr>
      </w:pPr>
      <w:r w:rsidRPr="008203A6">
        <w:rPr>
          <w:rFonts w:ascii="Arial" w:hAnsi="Arial" w:cs="Arial"/>
        </w:rPr>
        <w:t>Zhao, Z., Zuo, J., Zillante, G., &amp; Wang, X. (2010). </w:t>
      </w:r>
      <w:r w:rsidRPr="008203A6">
        <w:rPr>
          <w:rFonts w:ascii="Arial" w:hAnsi="Arial" w:cs="Arial"/>
          <w:i/>
          <w:iCs/>
        </w:rPr>
        <w:t>Critical Success Factors For Bot Electric Power Projects In China: Thermal Power Versus Wind Power</w:t>
      </w:r>
      <w:r w:rsidRPr="008203A6">
        <w:rPr>
          <w:rFonts w:ascii="Arial" w:hAnsi="Arial" w:cs="Arial"/>
        </w:rPr>
        <w:t> Doi:</w:t>
      </w:r>
      <w:r w:rsidR="007305F7">
        <w:rPr>
          <w:rFonts w:ascii="Arial" w:hAnsi="Arial" w:cs="Arial"/>
        </w:rPr>
        <w:t xml:space="preserve"> </w:t>
      </w:r>
      <w:hyperlink r:id="rId210" w:tgtFrame="_blank" w:history="1">
        <w:r w:rsidRPr="008203A6">
          <w:rPr>
            <w:rStyle w:val="Hyperlink"/>
            <w:rFonts w:ascii="Arial" w:hAnsi="Arial" w:cs="Arial"/>
            <w:color w:val="auto"/>
          </w:rPr>
          <w:t>Https://0-Doi-Org.Lispac.Lsbu.Ac.Uk/10.1016/J.Renene.2009.09.016</w:t>
        </w:r>
      </w:hyperlink>
    </w:p>
    <w:p w14:paraId="6E764C0D" w14:textId="77777777" w:rsidR="005D5270" w:rsidRPr="008203A6" w:rsidRDefault="005D5270" w:rsidP="003B792A">
      <w:pPr>
        <w:spacing w:before="240" w:line="360" w:lineRule="auto"/>
        <w:jc w:val="both"/>
        <w:rPr>
          <w:rFonts w:ascii="Arial" w:hAnsi="Arial" w:cs="Arial"/>
        </w:rPr>
      </w:pPr>
      <w:r w:rsidRPr="008203A6">
        <w:rPr>
          <w:rFonts w:ascii="Arial" w:hAnsi="Arial" w:cs="Arial"/>
        </w:rPr>
        <w:t xml:space="preserve">Zhiguo, L. And Guanghui, C. (2013). The Theory Of Boundaryless Career And Employability Training In Higher Education. Available At: </w:t>
      </w:r>
      <w:hyperlink r:id="rId211" w:history="1">
        <w:r w:rsidRPr="008203A6">
          <w:rPr>
            <w:rStyle w:val="Hyperlink"/>
            <w:rFonts w:ascii="Arial" w:hAnsi="Arial" w:cs="Arial"/>
            <w:color w:val="auto"/>
          </w:rPr>
          <w:t>File:///C:/Users/Ogbenjul/Downloads/7006.Pdf</w:t>
        </w:r>
      </w:hyperlink>
      <w:r w:rsidRPr="008203A6">
        <w:rPr>
          <w:rFonts w:ascii="Arial" w:hAnsi="Arial" w:cs="Arial"/>
        </w:rPr>
        <w:t xml:space="preserve"> ( Accessed On 30</w:t>
      </w:r>
      <w:r w:rsidRPr="008203A6">
        <w:rPr>
          <w:rFonts w:ascii="Arial" w:hAnsi="Arial" w:cs="Arial"/>
          <w:vertAlign w:val="superscript"/>
        </w:rPr>
        <w:t>th</w:t>
      </w:r>
      <w:r w:rsidRPr="008203A6">
        <w:rPr>
          <w:rFonts w:ascii="Arial" w:hAnsi="Arial" w:cs="Arial"/>
        </w:rPr>
        <w:t xml:space="preserve"> November 2018) </w:t>
      </w:r>
    </w:p>
    <w:p w14:paraId="4B508209" w14:textId="6DC75CFA" w:rsidR="005D5270" w:rsidRPr="008203A6" w:rsidRDefault="005D5270" w:rsidP="003B792A">
      <w:pPr>
        <w:spacing w:line="360" w:lineRule="auto"/>
        <w:jc w:val="both"/>
        <w:rPr>
          <w:rFonts w:ascii="Arial" w:hAnsi="Arial" w:cs="Arial"/>
        </w:rPr>
      </w:pPr>
      <w:r w:rsidRPr="008203A6">
        <w:rPr>
          <w:rFonts w:ascii="Arial" w:hAnsi="Arial" w:cs="Arial"/>
        </w:rPr>
        <w:t xml:space="preserve">Zhong, Y., Wang, X., He, G.  and ProQuest (2010). The economic theory of developing countries rise. Lanham: University </w:t>
      </w:r>
      <w:r w:rsidR="00606BEA">
        <w:rPr>
          <w:rFonts w:ascii="Arial" w:hAnsi="Arial" w:cs="Arial"/>
        </w:rPr>
        <w:t>P</w:t>
      </w:r>
      <w:r w:rsidRPr="008203A6">
        <w:rPr>
          <w:rFonts w:ascii="Arial" w:hAnsi="Arial" w:cs="Arial"/>
        </w:rPr>
        <w:t>ress of America</w:t>
      </w:r>
    </w:p>
    <w:p w14:paraId="6A998216" w14:textId="77777777" w:rsidR="005D5270" w:rsidRPr="008203A6" w:rsidRDefault="005D5270" w:rsidP="003B792A">
      <w:pPr>
        <w:spacing w:before="240" w:line="360" w:lineRule="auto"/>
        <w:jc w:val="both"/>
        <w:rPr>
          <w:rFonts w:ascii="Arial" w:hAnsi="Arial" w:cs="Arial"/>
        </w:rPr>
      </w:pPr>
      <w:r w:rsidRPr="008203A6">
        <w:rPr>
          <w:rFonts w:ascii="Arial" w:hAnsi="Arial" w:cs="Arial"/>
        </w:rPr>
        <w:t>Zhou, J. ( 2015) Asian Capital Investing In Us Real Estate. Cornell Real Estate Review. Jun2015, Vol.13. P66-73. 8p</w:t>
      </w:r>
    </w:p>
    <w:p w14:paraId="1E2078A3" w14:textId="15AB5B1D" w:rsidR="005D5270" w:rsidRPr="008203A6" w:rsidRDefault="005D5270" w:rsidP="003B792A">
      <w:pPr>
        <w:spacing w:line="360" w:lineRule="auto"/>
        <w:jc w:val="both"/>
        <w:rPr>
          <w:rFonts w:ascii="Arial" w:hAnsi="Arial" w:cs="Arial"/>
        </w:rPr>
      </w:pPr>
      <w:r w:rsidRPr="008203A6">
        <w:rPr>
          <w:rFonts w:ascii="Arial" w:hAnsi="Arial" w:cs="Arial"/>
        </w:rPr>
        <w:lastRenderedPageBreak/>
        <w:t xml:space="preserve">Zhou, Z., (2019) The Development Of Mortgage Finance In China, China Perspectives. Available At:  </w:t>
      </w:r>
      <w:r w:rsidR="007305F7">
        <w:rPr>
          <w:rFonts w:ascii="Arial" w:hAnsi="Arial" w:cs="Arial"/>
        </w:rPr>
        <w:t>h</w:t>
      </w:r>
      <w:r w:rsidRPr="008203A6">
        <w:rPr>
          <w:rFonts w:ascii="Arial" w:hAnsi="Arial" w:cs="Arial"/>
        </w:rPr>
        <w:t xml:space="preserve">ttps:// Journals. Open edition. Org /China perspectives/6862 (Accessed On 10/12/2019). </w:t>
      </w:r>
    </w:p>
    <w:p w14:paraId="5EC0B53E" w14:textId="77777777" w:rsidR="005D5270" w:rsidRDefault="005D5270" w:rsidP="003B792A">
      <w:pPr>
        <w:spacing w:line="360" w:lineRule="auto"/>
        <w:jc w:val="both"/>
        <w:rPr>
          <w:rFonts w:ascii="Arial" w:hAnsi="Arial" w:cs="Arial"/>
        </w:rPr>
      </w:pPr>
      <w:r w:rsidRPr="008203A6">
        <w:rPr>
          <w:rFonts w:ascii="Arial" w:hAnsi="Arial" w:cs="Arial"/>
        </w:rPr>
        <w:t>Zin, I.N. (2013). Knowledge sharing approaches in Malaysian construction organisation for improved performance. A thesis submitted in partial fulfilment of PhD at Salford University, UK.</w:t>
      </w:r>
    </w:p>
    <w:p w14:paraId="65A41C9F" w14:textId="77777777" w:rsidR="005D5270" w:rsidRPr="00DF4AF1" w:rsidRDefault="005D5270" w:rsidP="00DF4AF1">
      <w:pPr>
        <w:spacing w:line="360" w:lineRule="auto"/>
        <w:jc w:val="both"/>
        <w:rPr>
          <w:rFonts w:ascii="Arial" w:hAnsi="Arial" w:cs="Arial"/>
        </w:rPr>
      </w:pPr>
    </w:p>
    <w:p w14:paraId="44279DC7" w14:textId="77777777" w:rsidR="00DF4AF1" w:rsidRPr="008203A6" w:rsidRDefault="00DF4AF1" w:rsidP="003B792A">
      <w:pPr>
        <w:spacing w:line="360" w:lineRule="auto"/>
        <w:jc w:val="both"/>
        <w:rPr>
          <w:rFonts w:ascii="Arial" w:hAnsi="Arial" w:cs="Arial"/>
        </w:rPr>
      </w:pPr>
    </w:p>
    <w:p w14:paraId="1517DA3B" w14:textId="77777777" w:rsidR="00CD6352" w:rsidRDefault="00CD6352" w:rsidP="00CD6352">
      <w:pPr>
        <w:spacing w:after="200"/>
        <w:rPr>
          <w:rFonts w:ascii="Arial" w:eastAsia="Calibri" w:hAnsi="Arial" w:cs="Arial"/>
        </w:rPr>
      </w:pPr>
    </w:p>
    <w:p w14:paraId="4F1BC227" w14:textId="77777777" w:rsidR="00CD6352" w:rsidRPr="00EA7665" w:rsidRDefault="00CD6352" w:rsidP="00CD6352">
      <w:pPr>
        <w:pStyle w:val="Heading1"/>
      </w:pPr>
      <w:bookmarkStart w:id="1601" w:name="_Toc78983949"/>
      <w:r w:rsidRPr="00EA7665">
        <w:t>Appendices</w:t>
      </w:r>
      <w:bookmarkEnd w:id="1601"/>
      <w:r w:rsidRPr="00EA7665">
        <w:t xml:space="preserve"> </w:t>
      </w:r>
    </w:p>
    <w:p w14:paraId="64F39772" w14:textId="77777777" w:rsidR="00F165B6" w:rsidRPr="00F165B6" w:rsidRDefault="00F165B6" w:rsidP="00F165B6">
      <w:pPr>
        <w:rPr>
          <w:i/>
          <w:iCs/>
        </w:rPr>
      </w:pPr>
    </w:p>
    <w:p w14:paraId="7005CC93" w14:textId="77777777" w:rsidR="00F165B6" w:rsidRPr="00F165B6" w:rsidRDefault="00F165B6" w:rsidP="00F165B6">
      <w:pPr>
        <w:rPr>
          <w:rFonts w:ascii="Arial" w:hAnsi="Arial" w:cs="Arial"/>
        </w:rPr>
      </w:pPr>
      <w:bookmarkStart w:id="1602" w:name="_Hlk64898004"/>
      <w:r w:rsidRPr="00F165B6">
        <w:rPr>
          <w:rFonts w:ascii="Arial" w:hAnsi="Arial" w:cs="Arial"/>
        </w:rPr>
        <w:t xml:space="preserve">APPENDIX 1: FINDINGS FROM THE QUESTIONNAIRE SURVEY AT THE DISAGGREGATE LEVELS </w:t>
      </w:r>
    </w:p>
    <w:bookmarkEnd w:id="1602"/>
    <w:p w14:paraId="16B82999" w14:textId="77777777" w:rsidR="00F165B6" w:rsidRPr="00F165B6" w:rsidRDefault="00F165B6" w:rsidP="00F165B6">
      <w:pPr>
        <w:rPr>
          <w:rFonts w:ascii="Arial" w:hAnsi="Arial" w:cs="Arial"/>
          <w:i/>
          <w:iCs/>
          <w:sz w:val="16"/>
          <w:szCs w:val="16"/>
        </w:rPr>
      </w:pPr>
    </w:p>
    <w:p w14:paraId="32208D07"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Table 1: </w:t>
      </w:r>
      <w:bookmarkStart w:id="1603" w:name="_Toc64663361"/>
      <w:r w:rsidRPr="00F165B6">
        <w:rPr>
          <w:rFonts w:ascii="Arial" w:hAnsi="Arial" w:cs="Arial"/>
          <w:i/>
          <w:iCs/>
          <w:sz w:val="16"/>
          <w:szCs w:val="16"/>
        </w:rPr>
        <w:t>Mean scores for Degree of importance of management skills for securing finance for real estate project development. at the disaggregate level</w:t>
      </w:r>
      <w:bookmarkEnd w:id="1603"/>
    </w:p>
    <w:tbl>
      <w:tblPr>
        <w:tblW w:w="4908" w:type="pct"/>
        <w:tblCellMar>
          <w:left w:w="10" w:type="dxa"/>
          <w:right w:w="10" w:type="dxa"/>
        </w:tblCellMar>
        <w:tblLook w:val="0000" w:firstRow="0" w:lastRow="0" w:firstColumn="0" w:lastColumn="0" w:noHBand="0" w:noVBand="0"/>
      </w:tblPr>
      <w:tblGrid>
        <w:gridCol w:w="1405"/>
        <w:gridCol w:w="710"/>
        <w:gridCol w:w="590"/>
        <w:gridCol w:w="625"/>
        <w:gridCol w:w="591"/>
        <w:gridCol w:w="626"/>
        <w:gridCol w:w="592"/>
        <w:gridCol w:w="626"/>
        <w:gridCol w:w="592"/>
        <w:gridCol w:w="657"/>
        <w:gridCol w:w="592"/>
        <w:gridCol w:w="652"/>
        <w:gridCol w:w="592"/>
      </w:tblGrid>
      <w:tr w:rsidR="00F165B6" w:rsidRPr="00F165B6" w14:paraId="31292213" w14:textId="77777777" w:rsidTr="004F5D57">
        <w:trPr>
          <w:trHeight w:val="241"/>
        </w:trPr>
        <w:tc>
          <w:tcPr>
            <w:tcW w:w="1405" w:type="dxa"/>
            <w:vMerge w:val="restart"/>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CF1318" w14:textId="77777777" w:rsidR="00F165B6" w:rsidRPr="00F165B6" w:rsidRDefault="00F165B6" w:rsidP="00F165B6">
            <w:pPr>
              <w:rPr>
                <w:rFonts w:ascii="Arial" w:hAnsi="Arial" w:cs="Arial"/>
                <w:sz w:val="16"/>
                <w:szCs w:val="16"/>
              </w:rPr>
            </w:pPr>
            <w:r w:rsidRPr="00F165B6">
              <w:rPr>
                <w:rFonts w:ascii="Arial" w:hAnsi="Arial" w:cs="Arial"/>
                <w:sz w:val="16"/>
                <w:szCs w:val="16"/>
              </w:rPr>
              <w:t>Degree of importance of Management skills</w:t>
            </w:r>
          </w:p>
        </w:tc>
        <w:tc>
          <w:tcPr>
            <w:tcW w:w="1300"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41C597C" w14:textId="77777777" w:rsidR="00F165B6" w:rsidRPr="00F165B6" w:rsidRDefault="00F165B6" w:rsidP="00F165B6">
            <w:pPr>
              <w:rPr>
                <w:rFonts w:ascii="Arial" w:hAnsi="Arial" w:cs="Arial"/>
                <w:b/>
                <w:sz w:val="16"/>
                <w:szCs w:val="16"/>
              </w:rPr>
            </w:pPr>
            <w:r w:rsidRPr="00F165B6">
              <w:rPr>
                <w:rFonts w:ascii="Arial" w:hAnsi="Arial" w:cs="Arial"/>
                <w:b/>
                <w:sz w:val="16"/>
                <w:szCs w:val="16"/>
              </w:rPr>
              <w:t>Germany</w:t>
            </w:r>
          </w:p>
          <w:p w14:paraId="1EA1B4C1" w14:textId="77777777" w:rsidR="00F165B6" w:rsidRPr="00F165B6" w:rsidRDefault="00F165B6" w:rsidP="00F165B6">
            <w:pPr>
              <w:rPr>
                <w:rFonts w:ascii="Arial" w:hAnsi="Arial" w:cs="Arial"/>
                <w:b/>
                <w:sz w:val="16"/>
                <w:szCs w:val="16"/>
              </w:rPr>
            </w:pPr>
            <w:r w:rsidRPr="00F165B6">
              <w:rPr>
                <w:rFonts w:ascii="Arial" w:hAnsi="Arial" w:cs="Arial"/>
                <w:b/>
                <w:sz w:val="16"/>
                <w:szCs w:val="16"/>
              </w:rPr>
              <w:t>N=5</w:t>
            </w:r>
          </w:p>
        </w:tc>
        <w:tc>
          <w:tcPr>
            <w:tcW w:w="1216"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A00743" w14:textId="77777777" w:rsidR="00F165B6" w:rsidRPr="00F165B6" w:rsidRDefault="00F165B6" w:rsidP="00F165B6">
            <w:pPr>
              <w:rPr>
                <w:rFonts w:ascii="Arial" w:hAnsi="Arial" w:cs="Arial"/>
                <w:b/>
                <w:sz w:val="16"/>
                <w:szCs w:val="16"/>
              </w:rPr>
            </w:pPr>
            <w:r w:rsidRPr="00F165B6">
              <w:rPr>
                <w:rFonts w:ascii="Arial" w:hAnsi="Arial" w:cs="Arial"/>
                <w:b/>
                <w:sz w:val="16"/>
                <w:szCs w:val="16"/>
              </w:rPr>
              <w:t>UK</w:t>
            </w:r>
          </w:p>
          <w:p w14:paraId="62436330" w14:textId="77777777" w:rsidR="00F165B6" w:rsidRPr="00F165B6" w:rsidRDefault="00F165B6" w:rsidP="00F165B6">
            <w:pPr>
              <w:rPr>
                <w:rFonts w:ascii="Arial" w:hAnsi="Arial" w:cs="Arial"/>
                <w:b/>
                <w:sz w:val="16"/>
                <w:szCs w:val="16"/>
              </w:rPr>
            </w:pPr>
            <w:r w:rsidRPr="00F165B6">
              <w:rPr>
                <w:rFonts w:ascii="Arial" w:hAnsi="Arial" w:cs="Arial"/>
                <w:b/>
                <w:sz w:val="16"/>
                <w:szCs w:val="16"/>
              </w:rPr>
              <w:t>N=20</w:t>
            </w:r>
          </w:p>
        </w:tc>
        <w:tc>
          <w:tcPr>
            <w:tcW w:w="1218"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411E13" w14:textId="77777777" w:rsidR="00F165B6" w:rsidRPr="00F165B6" w:rsidRDefault="00F165B6" w:rsidP="00F165B6">
            <w:pPr>
              <w:rPr>
                <w:rFonts w:ascii="Arial" w:hAnsi="Arial" w:cs="Arial"/>
                <w:b/>
                <w:sz w:val="16"/>
                <w:szCs w:val="16"/>
              </w:rPr>
            </w:pPr>
            <w:r w:rsidRPr="00F165B6">
              <w:rPr>
                <w:rFonts w:ascii="Arial" w:hAnsi="Arial" w:cs="Arial"/>
                <w:b/>
                <w:sz w:val="16"/>
                <w:szCs w:val="16"/>
              </w:rPr>
              <w:t>US</w:t>
            </w:r>
          </w:p>
          <w:p w14:paraId="332B9F7C" w14:textId="77777777" w:rsidR="00F165B6" w:rsidRPr="00F165B6" w:rsidRDefault="00F165B6" w:rsidP="00F165B6">
            <w:pPr>
              <w:rPr>
                <w:rFonts w:ascii="Arial" w:hAnsi="Arial" w:cs="Arial"/>
                <w:b/>
                <w:sz w:val="16"/>
                <w:szCs w:val="16"/>
              </w:rPr>
            </w:pPr>
            <w:r w:rsidRPr="00F165B6">
              <w:rPr>
                <w:rFonts w:ascii="Arial" w:hAnsi="Arial" w:cs="Arial"/>
                <w:b/>
                <w:sz w:val="16"/>
                <w:szCs w:val="16"/>
              </w:rPr>
              <w:t>N=8</w:t>
            </w:r>
          </w:p>
        </w:tc>
        <w:tc>
          <w:tcPr>
            <w:tcW w:w="1218"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92370F" w14:textId="77777777" w:rsidR="00F165B6" w:rsidRPr="00F165B6" w:rsidRDefault="00F165B6" w:rsidP="00F165B6">
            <w:pPr>
              <w:rPr>
                <w:rFonts w:ascii="Arial" w:hAnsi="Arial" w:cs="Arial"/>
                <w:b/>
                <w:sz w:val="16"/>
                <w:szCs w:val="16"/>
              </w:rPr>
            </w:pPr>
            <w:r w:rsidRPr="00F165B6">
              <w:rPr>
                <w:rFonts w:ascii="Arial" w:hAnsi="Arial" w:cs="Arial"/>
                <w:b/>
                <w:sz w:val="16"/>
                <w:szCs w:val="16"/>
              </w:rPr>
              <w:t>China</w:t>
            </w:r>
          </w:p>
          <w:p w14:paraId="2356FA37" w14:textId="77777777" w:rsidR="00F165B6" w:rsidRPr="00F165B6" w:rsidRDefault="00F165B6" w:rsidP="00F165B6">
            <w:pPr>
              <w:rPr>
                <w:rFonts w:ascii="Arial" w:hAnsi="Arial" w:cs="Arial"/>
                <w:b/>
                <w:sz w:val="16"/>
                <w:szCs w:val="16"/>
              </w:rPr>
            </w:pPr>
            <w:r w:rsidRPr="00F165B6">
              <w:rPr>
                <w:rFonts w:ascii="Arial" w:hAnsi="Arial" w:cs="Arial"/>
                <w:b/>
                <w:sz w:val="16"/>
                <w:szCs w:val="16"/>
              </w:rPr>
              <w:t>N=11</w:t>
            </w:r>
          </w:p>
        </w:tc>
        <w:tc>
          <w:tcPr>
            <w:tcW w:w="1249"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C9D98F" w14:textId="77777777" w:rsidR="00F165B6" w:rsidRPr="00F165B6" w:rsidRDefault="00F165B6" w:rsidP="00F165B6">
            <w:pPr>
              <w:rPr>
                <w:rFonts w:ascii="Arial" w:hAnsi="Arial" w:cs="Arial"/>
                <w:b/>
                <w:sz w:val="16"/>
                <w:szCs w:val="16"/>
              </w:rPr>
            </w:pPr>
            <w:r w:rsidRPr="00F165B6">
              <w:rPr>
                <w:rFonts w:ascii="Arial" w:hAnsi="Arial" w:cs="Arial"/>
                <w:b/>
                <w:sz w:val="16"/>
                <w:szCs w:val="16"/>
              </w:rPr>
              <w:t>Nigeria</w:t>
            </w:r>
          </w:p>
          <w:p w14:paraId="0CAC2B07" w14:textId="77777777" w:rsidR="00F165B6" w:rsidRPr="00F165B6" w:rsidRDefault="00F165B6" w:rsidP="00F165B6">
            <w:pPr>
              <w:rPr>
                <w:rFonts w:ascii="Arial" w:hAnsi="Arial" w:cs="Arial"/>
                <w:b/>
                <w:sz w:val="16"/>
                <w:szCs w:val="16"/>
              </w:rPr>
            </w:pPr>
            <w:r w:rsidRPr="00F165B6">
              <w:rPr>
                <w:rFonts w:ascii="Arial" w:hAnsi="Arial" w:cs="Arial"/>
                <w:b/>
                <w:sz w:val="16"/>
                <w:szCs w:val="16"/>
              </w:rPr>
              <w:t>N=26</w:t>
            </w:r>
          </w:p>
        </w:tc>
        <w:tc>
          <w:tcPr>
            <w:tcW w:w="1244"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FB6A7C" w14:textId="77777777" w:rsidR="00F165B6" w:rsidRPr="00F165B6" w:rsidRDefault="00F165B6" w:rsidP="00F165B6">
            <w:pPr>
              <w:rPr>
                <w:rFonts w:ascii="Arial" w:hAnsi="Arial" w:cs="Arial"/>
                <w:b/>
                <w:sz w:val="16"/>
                <w:szCs w:val="16"/>
              </w:rPr>
            </w:pPr>
            <w:r w:rsidRPr="00F165B6">
              <w:rPr>
                <w:rFonts w:ascii="Arial" w:hAnsi="Arial" w:cs="Arial"/>
                <w:b/>
                <w:sz w:val="16"/>
                <w:szCs w:val="16"/>
              </w:rPr>
              <w:t>South Africa</w:t>
            </w:r>
          </w:p>
          <w:p w14:paraId="1F30E0B4" w14:textId="77777777" w:rsidR="00F165B6" w:rsidRPr="00F165B6" w:rsidRDefault="00F165B6" w:rsidP="00F165B6">
            <w:pPr>
              <w:rPr>
                <w:rFonts w:ascii="Arial" w:hAnsi="Arial" w:cs="Arial"/>
                <w:b/>
                <w:sz w:val="16"/>
                <w:szCs w:val="16"/>
              </w:rPr>
            </w:pPr>
            <w:r w:rsidRPr="00F165B6">
              <w:rPr>
                <w:rFonts w:ascii="Arial" w:hAnsi="Arial" w:cs="Arial"/>
                <w:b/>
                <w:sz w:val="16"/>
                <w:szCs w:val="16"/>
              </w:rPr>
              <w:t>N=11</w:t>
            </w:r>
          </w:p>
        </w:tc>
      </w:tr>
      <w:tr w:rsidR="00F165B6" w:rsidRPr="00F165B6" w14:paraId="34A67F74" w14:textId="77777777" w:rsidTr="004F5D57">
        <w:trPr>
          <w:trHeight w:val="191"/>
        </w:trPr>
        <w:tc>
          <w:tcPr>
            <w:tcW w:w="1405" w:type="dxa"/>
            <w:vMerge/>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0CEDB9" w14:textId="77777777" w:rsidR="00F165B6" w:rsidRPr="00F165B6" w:rsidRDefault="00F165B6" w:rsidP="00F165B6">
            <w:pPr>
              <w:rPr>
                <w:rFonts w:ascii="Arial" w:hAnsi="Arial" w:cs="Arial"/>
                <w:b/>
                <w:sz w:val="16"/>
                <w:szCs w:val="16"/>
              </w:rPr>
            </w:pP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5089C3D"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Mean score </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5E9553"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93375D"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BFDD0D"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9015B5"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49DC6BB"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DD9EB8"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1EC7D1"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E48800"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423121"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F63A39F"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C88BC24"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7293C1C6"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2745ED4" w14:textId="77777777" w:rsidR="00F165B6" w:rsidRPr="00F165B6" w:rsidRDefault="00F165B6" w:rsidP="00F165B6">
            <w:pPr>
              <w:rPr>
                <w:rFonts w:ascii="Arial" w:hAnsi="Arial" w:cs="Arial"/>
                <w:sz w:val="16"/>
                <w:szCs w:val="16"/>
              </w:rPr>
            </w:pPr>
            <w:r w:rsidRPr="00F165B6">
              <w:rPr>
                <w:rFonts w:ascii="Arial" w:hAnsi="Arial" w:cs="Arial"/>
                <w:sz w:val="16"/>
                <w:szCs w:val="16"/>
              </w:rPr>
              <w:t>Analytical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66D51C"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0A9B2C"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EF8E2D" w14:textId="77777777" w:rsidR="00F165B6" w:rsidRPr="00F165B6" w:rsidRDefault="00F165B6" w:rsidP="00F165B6">
            <w:pPr>
              <w:rPr>
                <w:rFonts w:ascii="Arial" w:hAnsi="Arial" w:cs="Arial"/>
                <w:sz w:val="16"/>
                <w:szCs w:val="16"/>
              </w:rPr>
            </w:pPr>
            <w:r w:rsidRPr="00F165B6">
              <w:rPr>
                <w:rFonts w:ascii="Arial" w:hAnsi="Arial" w:cs="Arial"/>
                <w:sz w:val="16"/>
                <w:szCs w:val="16"/>
              </w:rPr>
              <w:t>4.17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2E07C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EC1B74"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E625A7"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B3F62E4"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C19BE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3867C93"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966122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D45570"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DE84A7"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2B38F27A"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7DB13B" w14:textId="77777777" w:rsidR="00F165B6" w:rsidRPr="00F165B6" w:rsidRDefault="00F165B6" w:rsidP="00F165B6">
            <w:pPr>
              <w:rPr>
                <w:rFonts w:ascii="Arial" w:hAnsi="Arial" w:cs="Arial"/>
                <w:sz w:val="16"/>
                <w:szCs w:val="16"/>
              </w:rPr>
            </w:pPr>
            <w:r w:rsidRPr="00F165B6">
              <w:rPr>
                <w:rFonts w:ascii="Arial" w:hAnsi="Arial" w:cs="Arial"/>
                <w:sz w:val="16"/>
                <w:szCs w:val="16"/>
              </w:rPr>
              <w:t>Budgeting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04F847"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7B59F7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B2C895"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C5D2B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632C254"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55DB4C"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CCAB0BA"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EA994C"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07EEA0" w14:textId="77777777" w:rsidR="00F165B6" w:rsidRPr="00F165B6" w:rsidRDefault="00F165B6" w:rsidP="00F165B6">
            <w:pPr>
              <w:rPr>
                <w:rFonts w:ascii="Arial" w:hAnsi="Arial" w:cs="Arial"/>
                <w:sz w:val="16"/>
                <w:szCs w:val="16"/>
              </w:rPr>
            </w:pPr>
            <w:r w:rsidRPr="00F165B6">
              <w:rPr>
                <w:rFonts w:ascii="Arial" w:hAnsi="Arial" w:cs="Arial"/>
                <w:sz w:val="16"/>
                <w:szCs w:val="16"/>
              </w:rPr>
              <w:t>4.75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5A26D3"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90370F"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9D0797"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r>
      <w:tr w:rsidR="00F165B6" w:rsidRPr="00F165B6" w14:paraId="760FDF03"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BB0082" w14:textId="77777777" w:rsidR="00F165B6" w:rsidRPr="00F165B6" w:rsidRDefault="00F165B6" w:rsidP="00F165B6">
            <w:pPr>
              <w:rPr>
                <w:rFonts w:ascii="Arial" w:hAnsi="Arial" w:cs="Arial"/>
                <w:sz w:val="16"/>
                <w:szCs w:val="16"/>
              </w:rPr>
            </w:pPr>
            <w:r w:rsidRPr="00F165B6">
              <w:rPr>
                <w:rFonts w:ascii="Arial" w:hAnsi="Arial" w:cs="Arial"/>
                <w:sz w:val="16"/>
                <w:szCs w:val="16"/>
              </w:rPr>
              <w:t>Teamwork</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0F56AE"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67D0C1B"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64638CE"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FE1E3C"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DAD71C"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7B3BFD"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B94B9F" w14:textId="77777777" w:rsidR="00F165B6" w:rsidRPr="00F165B6" w:rsidRDefault="00F165B6" w:rsidP="00F165B6">
            <w:pPr>
              <w:rPr>
                <w:rFonts w:ascii="Arial" w:hAnsi="Arial" w:cs="Arial"/>
                <w:sz w:val="16"/>
                <w:szCs w:val="16"/>
              </w:rPr>
            </w:pPr>
            <w:r w:rsidRPr="00F165B6">
              <w:rPr>
                <w:rFonts w:ascii="Arial" w:hAnsi="Arial" w:cs="Arial"/>
                <w:sz w:val="16"/>
                <w:szCs w:val="16"/>
              </w:rPr>
              <w:t>4.60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97167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467979"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5AEFC6A"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161FBC"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CC5619"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0BB74410"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EB5F83" w14:textId="77777777" w:rsidR="00F165B6" w:rsidRPr="00F165B6" w:rsidRDefault="00F165B6" w:rsidP="00F165B6">
            <w:pPr>
              <w:rPr>
                <w:rFonts w:ascii="Arial" w:hAnsi="Arial" w:cs="Arial"/>
                <w:sz w:val="16"/>
                <w:szCs w:val="16"/>
              </w:rPr>
            </w:pPr>
            <w:r w:rsidRPr="00F165B6">
              <w:rPr>
                <w:rFonts w:ascii="Arial" w:hAnsi="Arial" w:cs="Arial"/>
                <w:sz w:val="16"/>
                <w:szCs w:val="16"/>
              </w:rPr>
              <w:t>Communication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BC144F"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63EDE0"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3A94F51" w14:textId="77777777" w:rsidR="00F165B6" w:rsidRPr="00F165B6" w:rsidRDefault="00F165B6" w:rsidP="00F165B6">
            <w:pPr>
              <w:rPr>
                <w:rFonts w:ascii="Arial" w:hAnsi="Arial" w:cs="Arial"/>
                <w:sz w:val="16"/>
                <w:szCs w:val="16"/>
              </w:rPr>
            </w:pPr>
            <w:r w:rsidRPr="00F165B6">
              <w:rPr>
                <w:rFonts w:ascii="Arial" w:hAnsi="Arial" w:cs="Arial"/>
                <w:sz w:val="16"/>
                <w:szCs w:val="16"/>
              </w:rPr>
              <w:t>4.36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549EF4"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62F041"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CA7998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B96E16"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C13BFA"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26B491"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EA1B35"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2295BF"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D7A3E5"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2962EA64"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0BAD250"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confidence &amp; building relationships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22F8E3"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B314A6"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2C0BA2"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C70BD5"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1DDD3E"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BD7EE5"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B9FC33"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0CDE4F"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B955DD" w14:textId="77777777" w:rsidR="00F165B6" w:rsidRPr="00F165B6" w:rsidRDefault="00F165B6" w:rsidP="00F165B6">
            <w:pPr>
              <w:rPr>
                <w:rFonts w:ascii="Arial" w:hAnsi="Arial" w:cs="Arial"/>
                <w:sz w:val="16"/>
                <w:szCs w:val="16"/>
              </w:rPr>
            </w:pPr>
            <w:r w:rsidRPr="00F165B6">
              <w:rPr>
                <w:rFonts w:ascii="Arial" w:hAnsi="Arial" w:cs="Arial"/>
                <w:sz w:val="16"/>
                <w:szCs w:val="16"/>
              </w:rPr>
              <w:t>4.48</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1FF5F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p w14:paraId="6E2C2081" w14:textId="77777777" w:rsidR="00F165B6" w:rsidRPr="00F165B6" w:rsidRDefault="00F165B6" w:rsidP="00F165B6">
            <w:pPr>
              <w:rPr>
                <w:rFonts w:ascii="Arial" w:hAnsi="Arial" w:cs="Arial"/>
                <w:sz w:val="16"/>
                <w:szCs w:val="16"/>
              </w:rPr>
            </w:pP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E7E6E8"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p w14:paraId="34921771"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9A16A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0BE1459D"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2C6D83E" w14:textId="77777777" w:rsidR="00F165B6" w:rsidRPr="00F165B6" w:rsidRDefault="00F165B6" w:rsidP="00F165B6">
            <w:pPr>
              <w:rPr>
                <w:rFonts w:ascii="Arial" w:hAnsi="Arial" w:cs="Arial"/>
                <w:sz w:val="16"/>
                <w:szCs w:val="16"/>
              </w:rPr>
            </w:pPr>
            <w:r w:rsidRPr="00F165B6">
              <w:rPr>
                <w:rFonts w:ascii="Arial" w:hAnsi="Arial" w:cs="Arial"/>
                <w:sz w:val="16"/>
                <w:szCs w:val="16"/>
              </w:rPr>
              <w:t>Strategic planning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629B2A"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E76F87"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AE5CA4"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24EE2C"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D1EBB9"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4CD499"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84DADB"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7CCE544"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843626" w14:textId="77777777" w:rsidR="00F165B6" w:rsidRPr="00F165B6" w:rsidRDefault="00F165B6" w:rsidP="00F165B6">
            <w:pPr>
              <w:rPr>
                <w:rFonts w:ascii="Arial" w:hAnsi="Arial" w:cs="Arial"/>
                <w:sz w:val="16"/>
                <w:szCs w:val="16"/>
              </w:rPr>
            </w:pPr>
            <w:r w:rsidRPr="00F165B6">
              <w:rPr>
                <w:rFonts w:ascii="Arial" w:hAnsi="Arial" w:cs="Arial"/>
                <w:sz w:val="16"/>
                <w:szCs w:val="16"/>
              </w:rPr>
              <w:t>4.43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D1E1E7B"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78423E3"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616EB7"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r>
      <w:tr w:rsidR="00F165B6" w:rsidRPr="00F165B6" w14:paraId="3123D553"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38576C"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87EBDB2"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405259"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A3DD67"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716D52"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27B9F68"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9F3098"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1832ED"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C6683BE"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3D8DB19" w14:textId="77777777" w:rsidR="00F165B6" w:rsidRPr="00F165B6" w:rsidRDefault="00F165B6" w:rsidP="00F165B6">
            <w:pPr>
              <w:rPr>
                <w:rFonts w:ascii="Arial" w:hAnsi="Arial" w:cs="Arial"/>
                <w:sz w:val="16"/>
                <w:szCs w:val="16"/>
              </w:rPr>
            </w:pPr>
            <w:r w:rsidRPr="00F165B6">
              <w:rPr>
                <w:rFonts w:ascii="Arial" w:hAnsi="Arial" w:cs="Arial"/>
                <w:sz w:val="16"/>
                <w:szCs w:val="16"/>
              </w:rPr>
              <w:t>4.65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5A4E6F"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07FD802"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8E9CD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0711EFD3"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6BB963C" w14:textId="77777777" w:rsidR="00F165B6" w:rsidRPr="00F165B6" w:rsidRDefault="00F165B6" w:rsidP="00F165B6">
            <w:pPr>
              <w:rPr>
                <w:rFonts w:ascii="Arial" w:hAnsi="Arial" w:cs="Arial"/>
                <w:sz w:val="16"/>
                <w:szCs w:val="16"/>
              </w:rPr>
            </w:pPr>
            <w:r w:rsidRPr="00F165B6">
              <w:rPr>
                <w:rFonts w:ascii="Arial" w:hAnsi="Arial" w:cs="Arial"/>
                <w:sz w:val="16"/>
                <w:szCs w:val="16"/>
              </w:rPr>
              <w:t>Negotiation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7F67C5"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BCC098"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353A66" w14:textId="77777777" w:rsidR="00F165B6" w:rsidRPr="00F165B6" w:rsidRDefault="00F165B6" w:rsidP="00F165B6">
            <w:pPr>
              <w:rPr>
                <w:rFonts w:ascii="Arial" w:hAnsi="Arial" w:cs="Arial"/>
                <w:sz w:val="16"/>
                <w:szCs w:val="16"/>
              </w:rPr>
            </w:pPr>
            <w:r w:rsidRPr="00F165B6">
              <w:rPr>
                <w:rFonts w:ascii="Arial" w:hAnsi="Arial" w:cs="Arial"/>
                <w:sz w:val="16"/>
                <w:szCs w:val="16"/>
              </w:rPr>
              <w:t>3.91</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0E10DA"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A96513"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F97304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237A8C"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20F82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DD6302" w14:textId="77777777" w:rsidR="00F165B6" w:rsidRPr="00F165B6" w:rsidRDefault="00F165B6" w:rsidP="00F165B6">
            <w:pPr>
              <w:rPr>
                <w:rFonts w:ascii="Arial" w:hAnsi="Arial" w:cs="Arial"/>
                <w:sz w:val="16"/>
                <w:szCs w:val="16"/>
              </w:rPr>
            </w:pPr>
            <w:r w:rsidRPr="00F165B6">
              <w:rPr>
                <w:rFonts w:ascii="Arial" w:hAnsi="Arial" w:cs="Arial"/>
                <w:sz w:val="16"/>
                <w:szCs w:val="16"/>
              </w:rPr>
              <w:t>4.47</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2C3851"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79472F"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AC7BB1"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32E6BD23"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2A1FCF"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Critical thinking </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131DD8"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6CB28C"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0A7EDA" w14:textId="77777777" w:rsidR="00F165B6" w:rsidRPr="00F165B6" w:rsidRDefault="00F165B6" w:rsidP="00F165B6">
            <w:pPr>
              <w:rPr>
                <w:rFonts w:ascii="Arial" w:hAnsi="Arial" w:cs="Arial"/>
                <w:sz w:val="16"/>
                <w:szCs w:val="16"/>
              </w:rPr>
            </w:pPr>
            <w:r w:rsidRPr="00F165B6">
              <w:rPr>
                <w:rFonts w:ascii="Arial" w:hAnsi="Arial" w:cs="Arial"/>
                <w:sz w:val="16"/>
                <w:szCs w:val="16"/>
              </w:rPr>
              <w:t>4.18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B12A7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EB60233"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77F2D80"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017292"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953A8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EF3580A" w14:textId="77777777" w:rsidR="00F165B6" w:rsidRPr="00F165B6" w:rsidRDefault="00F165B6" w:rsidP="00F165B6">
            <w:pPr>
              <w:rPr>
                <w:rFonts w:ascii="Arial" w:hAnsi="Arial" w:cs="Arial"/>
                <w:sz w:val="16"/>
                <w:szCs w:val="16"/>
              </w:rPr>
            </w:pPr>
            <w:r w:rsidRPr="00F165B6">
              <w:rPr>
                <w:rFonts w:ascii="Arial" w:hAnsi="Arial" w:cs="Arial"/>
                <w:sz w:val="16"/>
                <w:szCs w:val="16"/>
              </w:rPr>
              <w:t>4.58</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88528EF"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804699"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21131A"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774DE795"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F2C8BF" w14:textId="77777777" w:rsidR="00F165B6" w:rsidRPr="00F165B6" w:rsidRDefault="00F165B6" w:rsidP="00F165B6">
            <w:pPr>
              <w:rPr>
                <w:rFonts w:ascii="Arial" w:hAnsi="Arial" w:cs="Arial"/>
                <w:sz w:val="16"/>
                <w:szCs w:val="16"/>
              </w:rPr>
            </w:pPr>
            <w:r w:rsidRPr="00F165B6">
              <w:rPr>
                <w:rFonts w:ascii="Arial" w:hAnsi="Arial" w:cs="Arial"/>
                <w:sz w:val="16"/>
                <w:szCs w:val="16"/>
              </w:rPr>
              <w:t>Commercial awareness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0C29D7"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AE10DE"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CA06EA" w14:textId="77777777" w:rsidR="00F165B6" w:rsidRPr="00F165B6" w:rsidRDefault="00F165B6" w:rsidP="00F165B6">
            <w:pPr>
              <w:rPr>
                <w:rFonts w:ascii="Arial" w:hAnsi="Arial" w:cs="Arial"/>
                <w:sz w:val="16"/>
                <w:szCs w:val="16"/>
              </w:rPr>
            </w:pPr>
            <w:r w:rsidRPr="00F165B6">
              <w:rPr>
                <w:rFonts w:ascii="Arial" w:hAnsi="Arial" w:cs="Arial"/>
                <w:sz w:val="16"/>
                <w:szCs w:val="16"/>
              </w:rPr>
              <w:t>4.09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7818FF"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63CE3F"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EC1808"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62E03E" w14:textId="77777777" w:rsidR="00F165B6" w:rsidRPr="00F165B6" w:rsidRDefault="00F165B6" w:rsidP="00F165B6">
            <w:pPr>
              <w:rPr>
                <w:rFonts w:ascii="Arial" w:hAnsi="Arial" w:cs="Arial"/>
                <w:sz w:val="16"/>
                <w:szCs w:val="16"/>
              </w:rPr>
            </w:pPr>
            <w:r w:rsidRPr="00F165B6">
              <w:rPr>
                <w:rFonts w:ascii="Arial" w:hAnsi="Arial" w:cs="Arial"/>
                <w:sz w:val="16"/>
                <w:szCs w:val="16"/>
              </w:rPr>
              <w:t>4.30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41959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14D7B7"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A445BF"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14880E"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B4487E"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31E575D9"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BA28DB" w14:textId="77777777" w:rsidR="00F165B6" w:rsidRPr="00F165B6" w:rsidRDefault="00F165B6" w:rsidP="00F165B6">
            <w:pPr>
              <w:rPr>
                <w:rFonts w:ascii="Arial" w:hAnsi="Arial" w:cs="Arial"/>
                <w:sz w:val="16"/>
                <w:szCs w:val="16"/>
              </w:rPr>
            </w:pPr>
            <w:r w:rsidRPr="00F165B6">
              <w:rPr>
                <w:rFonts w:ascii="Arial" w:hAnsi="Arial" w:cs="Arial"/>
                <w:sz w:val="16"/>
                <w:szCs w:val="16"/>
              </w:rPr>
              <w:t>Interpreting financial data and identifying trends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ABE186D"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BBD04A"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326453"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3F9BE5"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4C6E91" w14:textId="77777777" w:rsidR="00F165B6" w:rsidRPr="00F165B6" w:rsidRDefault="00F165B6" w:rsidP="00F165B6">
            <w:pPr>
              <w:rPr>
                <w:rFonts w:ascii="Arial" w:hAnsi="Arial" w:cs="Arial"/>
                <w:sz w:val="16"/>
                <w:szCs w:val="16"/>
              </w:rPr>
            </w:pPr>
            <w:r w:rsidRPr="00F165B6">
              <w:rPr>
                <w:rFonts w:ascii="Arial" w:hAnsi="Arial" w:cs="Arial"/>
                <w:sz w:val="16"/>
                <w:szCs w:val="16"/>
              </w:rPr>
              <w:t>4.80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3A8A5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BDAFBE2"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FDEEBC"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BC6FC5"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18D1B9"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329B66"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804ED5"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p w14:paraId="325CEC64" w14:textId="77777777" w:rsidR="00F165B6" w:rsidRPr="00F165B6" w:rsidRDefault="00F165B6" w:rsidP="00F165B6">
            <w:pPr>
              <w:rPr>
                <w:rFonts w:ascii="Arial" w:hAnsi="Arial" w:cs="Arial"/>
                <w:sz w:val="16"/>
                <w:szCs w:val="16"/>
              </w:rPr>
            </w:pPr>
          </w:p>
        </w:tc>
      </w:tr>
      <w:tr w:rsidR="00F165B6" w:rsidRPr="00F165B6" w14:paraId="246966D2"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E6C9AE" w14:textId="77777777" w:rsidR="00F165B6" w:rsidRPr="00F165B6" w:rsidRDefault="00F165B6" w:rsidP="00F165B6">
            <w:pPr>
              <w:rPr>
                <w:rFonts w:ascii="Arial" w:hAnsi="Arial" w:cs="Arial"/>
                <w:sz w:val="16"/>
                <w:szCs w:val="16"/>
              </w:rPr>
            </w:pPr>
            <w:r w:rsidRPr="00F165B6">
              <w:rPr>
                <w:rFonts w:ascii="Arial" w:hAnsi="Arial" w:cs="Arial"/>
                <w:sz w:val="16"/>
                <w:szCs w:val="16"/>
              </w:rPr>
              <w:t>Planning and control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D3F11E"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D5C00C"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357663" w14:textId="77777777" w:rsidR="00F165B6" w:rsidRPr="00F165B6" w:rsidRDefault="00F165B6" w:rsidP="00F165B6">
            <w:pPr>
              <w:rPr>
                <w:rFonts w:ascii="Arial" w:hAnsi="Arial" w:cs="Arial"/>
                <w:sz w:val="16"/>
                <w:szCs w:val="16"/>
              </w:rPr>
            </w:pPr>
            <w:r w:rsidRPr="00F165B6">
              <w:rPr>
                <w:rFonts w:ascii="Arial" w:hAnsi="Arial" w:cs="Arial"/>
                <w:sz w:val="16"/>
                <w:szCs w:val="16"/>
              </w:rPr>
              <w:t>3.58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0B6844"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ABCA4D"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D7CBE65"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A0FB09" w14:textId="77777777" w:rsidR="00F165B6" w:rsidRPr="00F165B6" w:rsidRDefault="00F165B6" w:rsidP="00F165B6">
            <w:pPr>
              <w:rPr>
                <w:rFonts w:ascii="Arial" w:hAnsi="Arial" w:cs="Arial"/>
                <w:sz w:val="16"/>
                <w:szCs w:val="16"/>
              </w:rPr>
            </w:pPr>
            <w:r w:rsidRPr="00F165B6">
              <w:rPr>
                <w:rFonts w:ascii="Arial" w:hAnsi="Arial" w:cs="Arial"/>
                <w:sz w:val="16"/>
                <w:szCs w:val="16"/>
              </w:rPr>
              <w:t>4.30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CB7A03"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1494BE"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89AF3B9"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84CA9D" w14:textId="77777777" w:rsidR="00F165B6" w:rsidRPr="00F165B6" w:rsidRDefault="00F165B6" w:rsidP="00F165B6">
            <w:pPr>
              <w:rPr>
                <w:rFonts w:ascii="Arial" w:hAnsi="Arial" w:cs="Arial"/>
                <w:sz w:val="16"/>
                <w:szCs w:val="16"/>
              </w:rPr>
            </w:pPr>
            <w:r w:rsidRPr="00F165B6">
              <w:rPr>
                <w:rFonts w:ascii="Arial" w:hAnsi="Arial" w:cs="Arial"/>
                <w:sz w:val="16"/>
                <w:szCs w:val="16"/>
              </w:rPr>
              <w:t>4.44</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5DAAAD"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62FBC46E"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9A5410"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Risks management</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97E6DF"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780B2A2"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F51BE7A"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052F0E"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EAF2AB"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6C6802"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DEDF0E"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1FFD1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B3E4A5B" w14:textId="77777777" w:rsidR="00F165B6" w:rsidRPr="00F165B6" w:rsidRDefault="00F165B6" w:rsidP="00F165B6">
            <w:pPr>
              <w:rPr>
                <w:rFonts w:ascii="Arial" w:hAnsi="Arial" w:cs="Arial"/>
                <w:sz w:val="16"/>
                <w:szCs w:val="16"/>
              </w:rPr>
            </w:pPr>
            <w:r w:rsidRPr="00F165B6">
              <w:rPr>
                <w:rFonts w:ascii="Arial" w:hAnsi="Arial" w:cs="Arial"/>
                <w:sz w:val="16"/>
                <w:szCs w:val="16"/>
              </w:rPr>
              <w:t>4.42</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B75276"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E344B2"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7CF339B"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0654A000"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ABAB5E"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financial forecast and models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DA1535" w14:textId="77777777" w:rsidR="00F165B6" w:rsidRPr="00F165B6" w:rsidRDefault="00F165B6" w:rsidP="00F165B6">
            <w:pPr>
              <w:rPr>
                <w:rFonts w:ascii="Arial" w:hAnsi="Arial" w:cs="Arial"/>
                <w:sz w:val="16"/>
                <w:szCs w:val="16"/>
              </w:rPr>
            </w:pPr>
            <w:r w:rsidRPr="00F165B6">
              <w:rPr>
                <w:rFonts w:ascii="Arial" w:hAnsi="Arial" w:cs="Arial"/>
                <w:sz w:val="16"/>
                <w:szCs w:val="16"/>
              </w:rPr>
              <w:t>5.00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6C66F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B82F2E" w14:textId="77777777" w:rsidR="00F165B6" w:rsidRPr="00F165B6" w:rsidRDefault="00F165B6" w:rsidP="00F165B6">
            <w:pPr>
              <w:rPr>
                <w:rFonts w:ascii="Arial" w:hAnsi="Arial" w:cs="Arial"/>
                <w:sz w:val="16"/>
                <w:szCs w:val="16"/>
              </w:rPr>
            </w:pPr>
            <w:r w:rsidRPr="00F165B6">
              <w:rPr>
                <w:rFonts w:ascii="Arial" w:hAnsi="Arial" w:cs="Arial"/>
                <w:sz w:val="16"/>
                <w:szCs w:val="16"/>
              </w:rPr>
              <w:t>3.91</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F7034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468A19" w14:textId="77777777" w:rsidR="00F165B6" w:rsidRPr="00F165B6" w:rsidRDefault="00F165B6" w:rsidP="00F165B6">
            <w:pPr>
              <w:rPr>
                <w:rFonts w:ascii="Arial" w:hAnsi="Arial" w:cs="Arial"/>
                <w:sz w:val="16"/>
                <w:szCs w:val="16"/>
              </w:rPr>
            </w:pPr>
            <w:r w:rsidRPr="00F165B6">
              <w:rPr>
                <w:rFonts w:ascii="Arial" w:hAnsi="Arial" w:cs="Arial"/>
                <w:sz w:val="16"/>
                <w:szCs w:val="16"/>
              </w:rPr>
              <w:t>4.57</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2CB4D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22EBE3"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C00B07"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73E1C9"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A9B87B"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172612"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1C3CC7"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2A6389EF"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78AC8D5"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management approach analysis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247935C"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ECED31"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2543030"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C994E8"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62383D"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14393A"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E45854"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1D5939"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p w14:paraId="22F496DB"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C4C1D69" w14:textId="77777777" w:rsidR="00F165B6" w:rsidRPr="00F165B6" w:rsidRDefault="00F165B6" w:rsidP="00F165B6">
            <w:pPr>
              <w:rPr>
                <w:rFonts w:ascii="Arial" w:hAnsi="Arial" w:cs="Arial"/>
                <w:sz w:val="16"/>
                <w:szCs w:val="16"/>
              </w:rPr>
            </w:pPr>
            <w:r w:rsidRPr="00F165B6">
              <w:rPr>
                <w:rFonts w:ascii="Arial" w:hAnsi="Arial" w:cs="Arial"/>
                <w:sz w:val="16"/>
                <w:szCs w:val="16"/>
              </w:rPr>
              <w:t>4.40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11146C"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D492D74"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619A26"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41654E27" w14:textId="77777777" w:rsidTr="004F5D57">
        <w:trPr>
          <w:trHeight w:val="483"/>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7AF5F67"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and maintaining a cost management system</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EBDA7F"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C29F91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453DED" w14:textId="77777777" w:rsidR="00F165B6" w:rsidRPr="00F165B6" w:rsidRDefault="00F165B6" w:rsidP="00F165B6">
            <w:pPr>
              <w:rPr>
                <w:rFonts w:ascii="Arial" w:hAnsi="Arial" w:cs="Arial"/>
                <w:sz w:val="16"/>
                <w:szCs w:val="16"/>
              </w:rPr>
            </w:pPr>
            <w:r w:rsidRPr="00F165B6">
              <w:rPr>
                <w:rFonts w:ascii="Arial" w:hAnsi="Arial" w:cs="Arial"/>
                <w:sz w:val="16"/>
                <w:szCs w:val="16"/>
              </w:rPr>
              <w:t>3.91</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654F6A"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A476B1"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6A39CB"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380440"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07ED7B"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p w14:paraId="522E668B"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20BAAF" w14:textId="77777777" w:rsidR="00F165B6" w:rsidRPr="00F165B6" w:rsidRDefault="00F165B6" w:rsidP="00F165B6">
            <w:pPr>
              <w:rPr>
                <w:rFonts w:ascii="Arial" w:hAnsi="Arial" w:cs="Arial"/>
                <w:sz w:val="16"/>
                <w:szCs w:val="16"/>
              </w:rPr>
            </w:pPr>
            <w:r w:rsidRPr="00F165B6">
              <w:rPr>
                <w:rFonts w:ascii="Arial" w:hAnsi="Arial" w:cs="Arial"/>
                <w:sz w:val="16"/>
                <w:szCs w:val="16"/>
              </w:rPr>
              <w:t>4.45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7A6C3C2"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p w14:paraId="33B0D0CE" w14:textId="77777777" w:rsidR="00F165B6" w:rsidRPr="00F165B6" w:rsidRDefault="00F165B6" w:rsidP="00F165B6">
            <w:pPr>
              <w:rPr>
                <w:rFonts w:ascii="Arial" w:hAnsi="Arial" w:cs="Arial"/>
                <w:sz w:val="16"/>
                <w:szCs w:val="16"/>
              </w:rPr>
            </w:pP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14734D2"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p w14:paraId="43C228CA"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A3B8A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p w14:paraId="45F0C93F" w14:textId="77777777" w:rsidR="00F165B6" w:rsidRPr="00F165B6" w:rsidRDefault="00F165B6" w:rsidP="00F165B6">
            <w:pPr>
              <w:rPr>
                <w:rFonts w:ascii="Arial" w:hAnsi="Arial" w:cs="Arial"/>
                <w:sz w:val="16"/>
                <w:szCs w:val="16"/>
              </w:rPr>
            </w:pPr>
          </w:p>
        </w:tc>
      </w:tr>
      <w:tr w:rsidR="00F165B6" w:rsidRPr="00F165B6" w14:paraId="587E8821"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7406F5" w14:textId="77777777" w:rsidR="00F165B6" w:rsidRPr="00F165B6" w:rsidRDefault="00F165B6" w:rsidP="00F165B6">
            <w:pPr>
              <w:rPr>
                <w:rFonts w:ascii="Arial" w:hAnsi="Arial" w:cs="Arial"/>
                <w:sz w:val="16"/>
                <w:szCs w:val="16"/>
              </w:rPr>
            </w:pPr>
            <w:r w:rsidRPr="00F165B6">
              <w:rPr>
                <w:rFonts w:ascii="Arial" w:hAnsi="Arial" w:cs="Arial"/>
                <w:sz w:val="16"/>
                <w:szCs w:val="16"/>
              </w:rPr>
              <w:t>Specialised industry skill/ construction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C3BC836"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7C85F9"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2C90CE" w14:textId="77777777" w:rsidR="00F165B6" w:rsidRPr="00F165B6" w:rsidRDefault="00F165B6" w:rsidP="00F165B6">
            <w:pPr>
              <w:rPr>
                <w:rFonts w:ascii="Arial" w:hAnsi="Arial" w:cs="Arial"/>
                <w:sz w:val="16"/>
                <w:szCs w:val="16"/>
              </w:rPr>
            </w:pPr>
            <w:r w:rsidRPr="00F165B6">
              <w:rPr>
                <w:rFonts w:ascii="Arial" w:hAnsi="Arial" w:cs="Arial"/>
                <w:sz w:val="16"/>
                <w:szCs w:val="16"/>
              </w:rPr>
              <w:t>4.09</w:t>
            </w:r>
          </w:p>
          <w:p w14:paraId="48BBDF50"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72EDE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1DD072"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p w14:paraId="50D28639"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7740642"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920EBBD"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p w14:paraId="7F00A2B9"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6F9728"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06AE6E" w14:textId="77777777" w:rsidR="00F165B6" w:rsidRPr="00F165B6" w:rsidRDefault="00F165B6" w:rsidP="00F165B6">
            <w:pPr>
              <w:rPr>
                <w:rFonts w:ascii="Arial" w:hAnsi="Arial" w:cs="Arial"/>
                <w:sz w:val="16"/>
                <w:szCs w:val="16"/>
              </w:rPr>
            </w:pPr>
            <w:r w:rsidRPr="00F165B6">
              <w:rPr>
                <w:rFonts w:ascii="Arial" w:hAnsi="Arial" w:cs="Arial"/>
                <w:sz w:val="16"/>
                <w:szCs w:val="16"/>
              </w:rPr>
              <w:t>4.35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5E5DB9"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03E38AE"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11471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p w14:paraId="57E071E7" w14:textId="77777777" w:rsidR="00F165B6" w:rsidRPr="00F165B6" w:rsidRDefault="00F165B6" w:rsidP="00F165B6">
            <w:pPr>
              <w:rPr>
                <w:rFonts w:ascii="Arial" w:hAnsi="Arial" w:cs="Arial"/>
                <w:sz w:val="16"/>
                <w:szCs w:val="16"/>
              </w:rPr>
            </w:pPr>
          </w:p>
        </w:tc>
      </w:tr>
      <w:tr w:rsidR="00F165B6" w:rsidRPr="00F165B6" w14:paraId="6B4F26FC"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9393255" w14:textId="77777777" w:rsidR="00F165B6" w:rsidRPr="00F165B6" w:rsidRDefault="00F165B6" w:rsidP="00F165B6">
            <w:pPr>
              <w:rPr>
                <w:rFonts w:ascii="Arial" w:hAnsi="Arial" w:cs="Arial"/>
                <w:sz w:val="16"/>
                <w:szCs w:val="16"/>
              </w:rPr>
            </w:pPr>
            <w:r w:rsidRPr="00F165B6">
              <w:rPr>
                <w:rFonts w:ascii="Arial" w:hAnsi="Arial" w:cs="Arial"/>
                <w:sz w:val="16"/>
                <w:szCs w:val="16"/>
              </w:rPr>
              <w:t>Diplomatic skills and social intelligence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24CA045"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AD7C85"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8E9AC3" w14:textId="77777777" w:rsidR="00F165B6" w:rsidRPr="00F165B6" w:rsidRDefault="00F165B6" w:rsidP="00F165B6">
            <w:pPr>
              <w:rPr>
                <w:rFonts w:ascii="Arial" w:hAnsi="Arial" w:cs="Arial"/>
                <w:sz w:val="16"/>
                <w:szCs w:val="16"/>
              </w:rPr>
            </w:pPr>
            <w:r w:rsidRPr="00F165B6">
              <w:rPr>
                <w:rFonts w:ascii="Arial" w:hAnsi="Arial" w:cs="Arial"/>
                <w:sz w:val="16"/>
                <w:szCs w:val="16"/>
              </w:rPr>
              <w:t>3.27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D3F744"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DC1DB89"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p w14:paraId="510FE153"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43FCB9"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4341A9" w14:textId="77777777" w:rsidR="00F165B6" w:rsidRPr="00F165B6" w:rsidRDefault="00F165B6" w:rsidP="00F165B6">
            <w:pPr>
              <w:rPr>
                <w:rFonts w:ascii="Arial" w:hAnsi="Arial" w:cs="Arial"/>
                <w:sz w:val="16"/>
                <w:szCs w:val="16"/>
              </w:rPr>
            </w:pPr>
            <w:r w:rsidRPr="00F165B6">
              <w:rPr>
                <w:rFonts w:ascii="Arial" w:hAnsi="Arial" w:cs="Arial"/>
                <w:sz w:val="16"/>
                <w:szCs w:val="16"/>
              </w:rPr>
              <w:t>3.90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3AE548"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17AE2C8" w14:textId="77777777" w:rsidR="00F165B6" w:rsidRPr="00F165B6" w:rsidRDefault="00F165B6" w:rsidP="00F165B6">
            <w:pPr>
              <w:rPr>
                <w:rFonts w:ascii="Arial" w:hAnsi="Arial" w:cs="Arial"/>
                <w:sz w:val="16"/>
                <w:szCs w:val="16"/>
              </w:rPr>
            </w:pPr>
            <w:r w:rsidRPr="00F165B6">
              <w:rPr>
                <w:rFonts w:ascii="Arial" w:hAnsi="Arial" w:cs="Arial"/>
                <w:sz w:val="16"/>
                <w:szCs w:val="16"/>
              </w:rPr>
              <w:t>4.19</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5AF484"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p w14:paraId="4663281F" w14:textId="77777777" w:rsidR="00F165B6" w:rsidRPr="00F165B6" w:rsidRDefault="00F165B6" w:rsidP="00F165B6">
            <w:pPr>
              <w:rPr>
                <w:rFonts w:ascii="Arial" w:hAnsi="Arial" w:cs="Arial"/>
                <w:sz w:val="16"/>
                <w:szCs w:val="16"/>
              </w:rPr>
            </w:pP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0701A1"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p w14:paraId="58D66B8F"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E92045"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p w14:paraId="6E87D04E" w14:textId="77777777" w:rsidR="00F165B6" w:rsidRPr="00F165B6" w:rsidRDefault="00F165B6" w:rsidP="00F165B6">
            <w:pPr>
              <w:rPr>
                <w:rFonts w:ascii="Arial" w:hAnsi="Arial" w:cs="Arial"/>
                <w:sz w:val="16"/>
                <w:szCs w:val="16"/>
              </w:rPr>
            </w:pPr>
          </w:p>
        </w:tc>
      </w:tr>
      <w:tr w:rsidR="00F165B6" w:rsidRPr="00F165B6" w14:paraId="43ECBCD8"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978C0E" w14:textId="77777777" w:rsidR="00F165B6" w:rsidRPr="00F165B6" w:rsidRDefault="00F165B6" w:rsidP="00F165B6">
            <w:pPr>
              <w:rPr>
                <w:rFonts w:ascii="Arial" w:hAnsi="Arial" w:cs="Arial"/>
                <w:sz w:val="16"/>
                <w:szCs w:val="16"/>
              </w:rPr>
            </w:pPr>
            <w:r w:rsidRPr="00F165B6">
              <w:rPr>
                <w:rFonts w:ascii="Arial" w:hAnsi="Arial" w:cs="Arial"/>
                <w:sz w:val="16"/>
                <w:szCs w:val="16"/>
              </w:rPr>
              <w:t>Identifying and accessing the alternative option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E4CE54"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CC2CCD"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DFAED6"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142ECAE"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7EBE1B"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C4FE50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p w14:paraId="10131C5C" w14:textId="77777777" w:rsidR="00F165B6" w:rsidRPr="00F165B6" w:rsidRDefault="00F165B6" w:rsidP="00F165B6">
            <w:pPr>
              <w:rPr>
                <w:rFonts w:ascii="Arial" w:hAnsi="Arial" w:cs="Arial"/>
                <w:sz w:val="16"/>
                <w:szCs w:val="16"/>
              </w:rPr>
            </w:pP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33B9D5"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p w14:paraId="036CF401"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D972C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p w14:paraId="021405EC"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33DDDD" w14:textId="77777777" w:rsidR="00F165B6" w:rsidRPr="00F165B6" w:rsidRDefault="00F165B6" w:rsidP="00F165B6">
            <w:pPr>
              <w:rPr>
                <w:rFonts w:ascii="Arial" w:hAnsi="Arial" w:cs="Arial"/>
                <w:sz w:val="16"/>
                <w:szCs w:val="16"/>
              </w:rPr>
            </w:pPr>
            <w:r w:rsidRPr="00F165B6">
              <w:rPr>
                <w:rFonts w:ascii="Arial" w:hAnsi="Arial" w:cs="Arial"/>
                <w:sz w:val="16"/>
                <w:szCs w:val="16"/>
              </w:rPr>
              <w:t>4.30</w:t>
            </w:r>
          </w:p>
          <w:p w14:paraId="41D34ACB" w14:textId="77777777" w:rsidR="00F165B6" w:rsidRPr="00F165B6" w:rsidRDefault="00F165B6" w:rsidP="00F165B6">
            <w:pPr>
              <w:rPr>
                <w:rFonts w:ascii="Arial" w:hAnsi="Arial" w:cs="Arial"/>
                <w:sz w:val="16"/>
                <w:szCs w:val="16"/>
              </w:rPr>
            </w:pP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E9209D"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7952331"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F73E7D1"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p w14:paraId="5C910EAC" w14:textId="77777777" w:rsidR="00F165B6" w:rsidRPr="00F165B6" w:rsidRDefault="00F165B6" w:rsidP="00F165B6">
            <w:pPr>
              <w:rPr>
                <w:rFonts w:ascii="Arial" w:hAnsi="Arial" w:cs="Arial"/>
                <w:sz w:val="16"/>
                <w:szCs w:val="16"/>
              </w:rPr>
            </w:pPr>
          </w:p>
        </w:tc>
      </w:tr>
      <w:tr w:rsidR="00F165B6" w:rsidRPr="00F165B6" w14:paraId="15D8FBAA"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157492" w14:textId="77777777" w:rsidR="00F165B6" w:rsidRPr="00F165B6" w:rsidRDefault="00F165B6" w:rsidP="00F165B6">
            <w:pPr>
              <w:rPr>
                <w:rFonts w:ascii="Arial" w:hAnsi="Arial" w:cs="Arial"/>
                <w:sz w:val="16"/>
                <w:szCs w:val="16"/>
              </w:rPr>
            </w:pPr>
            <w:r w:rsidRPr="00F165B6">
              <w:rPr>
                <w:rFonts w:ascii="Arial" w:hAnsi="Arial" w:cs="Arial"/>
                <w:sz w:val="16"/>
                <w:szCs w:val="16"/>
              </w:rPr>
              <w:t>Market liquidity timing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25F788"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95E4DC"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79BE90"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9070B5"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4093CA"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728386"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72C8F0A"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7820B7"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28BDB28" w14:textId="77777777" w:rsidR="00F165B6" w:rsidRPr="00F165B6" w:rsidRDefault="00F165B6" w:rsidP="00F165B6">
            <w:pPr>
              <w:rPr>
                <w:rFonts w:ascii="Arial" w:hAnsi="Arial" w:cs="Arial"/>
                <w:sz w:val="16"/>
                <w:szCs w:val="16"/>
              </w:rPr>
            </w:pPr>
            <w:r w:rsidRPr="00F165B6">
              <w:rPr>
                <w:rFonts w:ascii="Arial" w:hAnsi="Arial" w:cs="Arial"/>
                <w:sz w:val="16"/>
                <w:szCs w:val="16"/>
              </w:rPr>
              <w:t>4.26</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635CBB"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0E94B8D"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041CFE"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r>
      <w:tr w:rsidR="00F165B6" w:rsidRPr="00F165B6" w14:paraId="2FF2D554" w14:textId="77777777" w:rsidTr="004F5D57">
        <w:trPr>
          <w:trHeight w:val="217"/>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3B75DC" w14:textId="77777777" w:rsidR="00F165B6" w:rsidRPr="00F165B6" w:rsidRDefault="00F165B6" w:rsidP="00F165B6">
            <w:pPr>
              <w:rPr>
                <w:rFonts w:ascii="Arial" w:hAnsi="Arial" w:cs="Arial"/>
                <w:sz w:val="16"/>
                <w:szCs w:val="16"/>
              </w:rPr>
            </w:pPr>
            <w:r w:rsidRPr="00F165B6">
              <w:rPr>
                <w:rFonts w:ascii="Arial" w:hAnsi="Arial" w:cs="Arial"/>
                <w:sz w:val="16"/>
                <w:szCs w:val="16"/>
              </w:rPr>
              <w:t>Recognising and using influence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255ABE"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16F6B3"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031C66" w14:textId="77777777" w:rsidR="00F165B6" w:rsidRPr="00F165B6" w:rsidRDefault="00F165B6" w:rsidP="00F165B6">
            <w:pPr>
              <w:rPr>
                <w:rFonts w:ascii="Arial" w:hAnsi="Arial" w:cs="Arial"/>
                <w:sz w:val="16"/>
                <w:szCs w:val="16"/>
              </w:rPr>
            </w:pPr>
            <w:r w:rsidRPr="00F165B6">
              <w:rPr>
                <w:rFonts w:ascii="Arial" w:hAnsi="Arial" w:cs="Arial"/>
                <w:sz w:val="16"/>
                <w:szCs w:val="16"/>
              </w:rPr>
              <w:t>3.64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6655A10"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3CC598"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753162"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F45C4A" w14:textId="77777777" w:rsidR="00F165B6" w:rsidRPr="00F165B6" w:rsidRDefault="00F165B6" w:rsidP="00F165B6">
            <w:pPr>
              <w:rPr>
                <w:rFonts w:ascii="Arial" w:hAnsi="Arial" w:cs="Arial"/>
                <w:sz w:val="16"/>
                <w:szCs w:val="16"/>
              </w:rPr>
            </w:pPr>
            <w:r w:rsidRPr="00F165B6">
              <w:rPr>
                <w:rFonts w:ascii="Arial" w:hAnsi="Arial" w:cs="Arial"/>
                <w:sz w:val="16"/>
                <w:szCs w:val="16"/>
              </w:rPr>
              <w:t>3.90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8534A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411C11" w14:textId="77777777" w:rsidR="00F165B6" w:rsidRPr="00F165B6" w:rsidRDefault="00F165B6" w:rsidP="00F165B6">
            <w:pPr>
              <w:rPr>
                <w:rFonts w:ascii="Arial" w:hAnsi="Arial" w:cs="Arial"/>
                <w:sz w:val="16"/>
                <w:szCs w:val="16"/>
              </w:rPr>
            </w:pPr>
            <w:r w:rsidRPr="00F165B6">
              <w:rPr>
                <w:rFonts w:ascii="Arial" w:hAnsi="Arial" w:cs="Arial"/>
                <w:sz w:val="16"/>
                <w:szCs w:val="16"/>
              </w:rPr>
              <w:t>4.15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7DEA39F"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37F6BC"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015A52"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r>
      <w:tr w:rsidR="00F165B6" w:rsidRPr="00F165B6" w14:paraId="0E49DA1D" w14:textId="77777777" w:rsidTr="004F5D57">
        <w:trPr>
          <w:trHeight w:val="483"/>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1EED3AE" w14:textId="77777777" w:rsidR="00F165B6" w:rsidRPr="00F165B6" w:rsidRDefault="00F165B6" w:rsidP="00F165B6">
            <w:pPr>
              <w:rPr>
                <w:rFonts w:ascii="Arial" w:hAnsi="Arial" w:cs="Arial"/>
                <w:sz w:val="16"/>
                <w:szCs w:val="16"/>
              </w:rPr>
            </w:pPr>
            <w:r w:rsidRPr="00F165B6">
              <w:rPr>
                <w:rFonts w:ascii="Arial" w:hAnsi="Arial" w:cs="Arial"/>
                <w:sz w:val="16"/>
                <w:szCs w:val="16"/>
              </w:rPr>
              <w:t>Emerging technologies( such as artificial intelligence &amp; machine learning)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3B7DB9"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52EEF0"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A520A9" w14:textId="77777777" w:rsidR="00F165B6" w:rsidRPr="00F165B6" w:rsidRDefault="00F165B6" w:rsidP="00F165B6">
            <w:pPr>
              <w:rPr>
                <w:rFonts w:ascii="Arial" w:hAnsi="Arial" w:cs="Arial"/>
                <w:sz w:val="16"/>
                <w:szCs w:val="16"/>
              </w:rPr>
            </w:pPr>
            <w:r w:rsidRPr="00F165B6">
              <w:rPr>
                <w:rFonts w:ascii="Arial" w:hAnsi="Arial" w:cs="Arial"/>
                <w:sz w:val="16"/>
                <w:szCs w:val="16"/>
              </w:rPr>
              <w:t>3.27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E2EB6F"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46EB481"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0F6EAA"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153345"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5CAACA"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110795" w14:textId="77777777" w:rsidR="00F165B6" w:rsidRPr="00F165B6" w:rsidRDefault="00F165B6" w:rsidP="00F165B6">
            <w:pPr>
              <w:rPr>
                <w:rFonts w:ascii="Arial" w:hAnsi="Arial" w:cs="Arial"/>
                <w:sz w:val="16"/>
                <w:szCs w:val="16"/>
              </w:rPr>
            </w:pPr>
            <w:r w:rsidRPr="00F165B6">
              <w:rPr>
                <w:rFonts w:ascii="Arial" w:hAnsi="Arial" w:cs="Arial"/>
                <w:sz w:val="16"/>
                <w:szCs w:val="16"/>
              </w:rPr>
              <w:t>4.05</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35CD73E"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BA1F84"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57FB6B" w14:textId="77777777" w:rsidR="00F165B6" w:rsidRPr="00F165B6" w:rsidRDefault="00F165B6" w:rsidP="00F165B6">
            <w:pPr>
              <w:rPr>
                <w:rFonts w:ascii="Arial" w:hAnsi="Arial" w:cs="Arial"/>
                <w:sz w:val="16"/>
                <w:szCs w:val="16"/>
              </w:rPr>
            </w:pPr>
          </w:p>
          <w:p w14:paraId="70552A6F"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r>
      <w:tr w:rsidR="00F165B6" w:rsidRPr="00F165B6" w14:paraId="54349A22" w14:textId="77777777" w:rsidTr="004F5D57">
        <w:trPr>
          <w:trHeight w:val="241"/>
        </w:trPr>
        <w:tc>
          <w:tcPr>
            <w:tcW w:w="140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4152B1" w14:textId="77777777" w:rsidR="00F165B6" w:rsidRPr="00F165B6" w:rsidRDefault="00F165B6" w:rsidP="00F165B6">
            <w:pPr>
              <w:rPr>
                <w:rFonts w:ascii="Arial" w:hAnsi="Arial" w:cs="Arial"/>
                <w:sz w:val="16"/>
                <w:szCs w:val="16"/>
              </w:rPr>
            </w:pPr>
            <w:r w:rsidRPr="00F165B6">
              <w:rPr>
                <w:rFonts w:ascii="Arial" w:hAnsi="Arial" w:cs="Arial"/>
                <w:sz w:val="16"/>
                <w:szCs w:val="16"/>
              </w:rPr>
              <w:t>Emotional intelligence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0E2711"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FD9E0E"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A5419F" w14:textId="77777777" w:rsidR="00F165B6" w:rsidRPr="00F165B6" w:rsidRDefault="00F165B6" w:rsidP="00F165B6">
            <w:pPr>
              <w:rPr>
                <w:rFonts w:ascii="Arial" w:hAnsi="Arial" w:cs="Arial"/>
                <w:sz w:val="16"/>
                <w:szCs w:val="16"/>
              </w:rPr>
            </w:pPr>
            <w:r w:rsidRPr="00F165B6">
              <w:rPr>
                <w:rFonts w:ascii="Arial" w:hAnsi="Arial" w:cs="Arial"/>
                <w:sz w:val="16"/>
                <w:szCs w:val="16"/>
              </w:rPr>
              <w:t>3.42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D355FE"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496B3F6"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82B12A"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6"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D39F6D"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980C83"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24D75B" w14:textId="77777777" w:rsidR="00F165B6" w:rsidRPr="00F165B6" w:rsidRDefault="00F165B6" w:rsidP="00F165B6">
            <w:pPr>
              <w:rPr>
                <w:rFonts w:ascii="Arial" w:hAnsi="Arial" w:cs="Arial"/>
                <w:sz w:val="16"/>
                <w:szCs w:val="16"/>
              </w:rPr>
            </w:pPr>
            <w:r w:rsidRPr="00F165B6">
              <w:rPr>
                <w:rFonts w:ascii="Arial" w:hAnsi="Arial" w:cs="Arial"/>
                <w:sz w:val="16"/>
                <w:szCs w:val="16"/>
              </w:rPr>
              <w:t>3.71</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6688C3"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5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997E5A"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59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C91108C"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r>
    </w:tbl>
    <w:p w14:paraId="0109EAF0" w14:textId="77777777" w:rsidR="00F165B6" w:rsidRPr="00F165B6" w:rsidRDefault="00F165B6" w:rsidP="00F165B6">
      <w:pPr>
        <w:rPr>
          <w:rFonts w:ascii="Arial" w:hAnsi="Arial" w:cs="Arial"/>
          <w:sz w:val="16"/>
          <w:szCs w:val="16"/>
        </w:rPr>
      </w:pPr>
      <w:r w:rsidRPr="00F165B6">
        <w:rPr>
          <w:rFonts w:ascii="Arial" w:hAnsi="Arial" w:cs="Arial"/>
          <w:sz w:val="16"/>
          <w:szCs w:val="16"/>
        </w:rPr>
        <w:t>Not important at all (1) ,Less important (2,) Fairly important(3) ,Important</w:t>
      </w:r>
      <w:r w:rsidRPr="00F165B6">
        <w:rPr>
          <w:rFonts w:ascii="Arial" w:hAnsi="Arial" w:cs="Arial"/>
          <w:sz w:val="16"/>
          <w:szCs w:val="16"/>
        </w:rPr>
        <w:tab/>
        <w:t>(4), Very important(5)</w:t>
      </w:r>
    </w:p>
    <w:p w14:paraId="7486B1D5" w14:textId="77777777" w:rsidR="00F165B6" w:rsidRPr="00F165B6" w:rsidRDefault="00F165B6" w:rsidP="00F165B6">
      <w:pPr>
        <w:rPr>
          <w:rFonts w:ascii="Arial" w:hAnsi="Arial" w:cs="Arial"/>
          <w:i/>
          <w:iCs/>
          <w:sz w:val="16"/>
          <w:szCs w:val="16"/>
        </w:rPr>
      </w:pPr>
    </w:p>
    <w:p w14:paraId="6E611E81" w14:textId="77777777" w:rsidR="00F165B6" w:rsidRPr="00F165B6" w:rsidRDefault="00F165B6" w:rsidP="00F165B6">
      <w:pPr>
        <w:rPr>
          <w:rFonts w:ascii="Arial" w:hAnsi="Arial" w:cs="Arial"/>
          <w:sz w:val="16"/>
          <w:szCs w:val="16"/>
        </w:rPr>
      </w:pPr>
      <w:r w:rsidRPr="00F165B6">
        <w:rPr>
          <w:rFonts w:ascii="Arial" w:hAnsi="Arial" w:cs="Arial"/>
          <w:sz w:val="16"/>
          <w:szCs w:val="16"/>
        </w:rPr>
        <w:t>Table 2:</w:t>
      </w:r>
      <w:r w:rsidRPr="00F165B6">
        <w:rPr>
          <w:rFonts w:ascii="Arial" w:hAnsi="Arial" w:cs="Arial"/>
          <w:i/>
          <w:iCs/>
          <w:sz w:val="16"/>
          <w:szCs w:val="16"/>
        </w:rPr>
        <w:t xml:space="preserve"> Mean scores for Degree of need for training and education for management skills for securing finance for real estate project development. at the disaggregate level</w:t>
      </w:r>
    </w:p>
    <w:tbl>
      <w:tblPr>
        <w:tblW w:w="4908" w:type="pct"/>
        <w:tblCellMar>
          <w:left w:w="10" w:type="dxa"/>
          <w:right w:w="10" w:type="dxa"/>
        </w:tblCellMar>
        <w:tblLook w:val="0000" w:firstRow="0" w:lastRow="0" w:firstColumn="0" w:lastColumn="0" w:noHBand="0" w:noVBand="0"/>
      </w:tblPr>
      <w:tblGrid>
        <w:gridCol w:w="1404"/>
        <w:gridCol w:w="710"/>
        <w:gridCol w:w="590"/>
        <w:gridCol w:w="625"/>
        <w:gridCol w:w="591"/>
        <w:gridCol w:w="627"/>
        <w:gridCol w:w="591"/>
        <w:gridCol w:w="627"/>
        <w:gridCol w:w="591"/>
        <w:gridCol w:w="657"/>
        <w:gridCol w:w="593"/>
        <w:gridCol w:w="651"/>
        <w:gridCol w:w="593"/>
      </w:tblGrid>
      <w:tr w:rsidR="00F165B6" w:rsidRPr="00F165B6" w14:paraId="0016E6F2" w14:textId="77777777" w:rsidTr="004F5D57">
        <w:trPr>
          <w:trHeight w:val="241"/>
        </w:trPr>
        <w:tc>
          <w:tcPr>
            <w:tcW w:w="1404" w:type="dxa"/>
            <w:vMerge w:val="restart"/>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EDC366C" w14:textId="77777777" w:rsidR="00F165B6" w:rsidRPr="00F165B6" w:rsidRDefault="00F165B6" w:rsidP="00F165B6">
            <w:pPr>
              <w:rPr>
                <w:rFonts w:ascii="Arial" w:hAnsi="Arial" w:cs="Arial"/>
                <w:sz w:val="16"/>
                <w:szCs w:val="16"/>
              </w:rPr>
            </w:pPr>
            <w:r w:rsidRPr="00F165B6">
              <w:rPr>
                <w:rFonts w:ascii="Arial" w:hAnsi="Arial" w:cs="Arial"/>
                <w:sz w:val="16"/>
                <w:szCs w:val="16"/>
              </w:rPr>
              <w:t>Degree of importance of Management skills</w:t>
            </w:r>
          </w:p>
        </w:tc>
        <w:tc>
          <w:tcPr>
            <w:tcW w:w="1300"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2094F2" w14:textId="77777777" w:rsidR="00F165B6" w:rsidRPr="00F165B6" w:rsidRDefault="00F165B6" w:rsidP="00F165B6">
            <w:pPr>
              <w:rPr>
                <w:rFonts w:ascii="Arial" w:hAnsi="Arial" w:cs="Arial"/>
                <w:b/>
                <w:sz w:val="16"/>
                <w:szCs w:val="16"/>
              </w:rPr>
            </w:pPr>
            <w:r w:rsidRPr="00F165B6">
              <w:rPr>
                <w:rFonts w:ascii="Arial" w:hAnsi="Arial" w:cs="Arial"/>
                <w:b/>
                <w:sz w:val="16"/>
                <w:szCs w:val="16"/>
              </w:rPr>
              <w:t>Germany</w:t>
            </w:r>
          </w:p>
          <w:p w14:paraId="59FEB4DF" w14:textId="77777777" w:rsidR="00F165B6" w:rsidRPr="00F165B6" w:rsidRDefault="00F165B6" w:rsidP="00F165B6">
            <w:pPr>
              <w:rPr>
                <w:rFonts w:ascii="Arial" w:hAnsi="Arial" w:cs="Arial"/>
                <w:b/>
                <w:sz w:val="16"/>
                <w:szCs w:val="16"/>
              </w:rPr>
            </w:pPr>
            <w:r w:rsidRPr="00F165B6">
              <w:rPr>
                <w:rFonts w:ascii="Arial" w:hAnsi="Arial" w:cs="Arial"/>
                <w:b/>
                <w:sz w:val="16"/>
                <w:szCs w:val="16"/>
              </w:rPr>
              <w:t>N=5</w:t>
            </w:r>
          </w:p>
        </w:tc>
        <w:tc>
          <w:tcPr>
            <w:tcW w:w="1216"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6DA841" w14:textId="77777777" w:rsidR="00F165B6" w:rsidRPr="00F165B6" w:rsidRDefault="00F165B6" w:rsidP="00F165B6">
            <w:pPr>
              <w:rPr>
                <w:rFonts w:ascii="Arial" w:hAnsi="Arial" w:cs="Arial"/>
                <w:b/>
                <w:sz w:val="16"/>
                <w:szCs w:val="16"/>
              </w:rPr>
            </w:pPr>
            <w:r w:rsidRPr="00F165B6">
              <w:rPr>
                <w:rFonts w:ascii="Arial" w:hAnsi="Arial" w:cs="Arial"/>
                <w:b/>
                <w:sz w:val="16"/>
                <w:szCs w:val="16"/>
              </w:rPr>
              <w:t>UK</w:t>
            </w:r>
          </w:p>
          <w:p w14:paraId="58DC915D" w14:textId="77777777" w:rsidR="00F165B6" w:rsidRPr="00F165B6" w:rsidRDefault="00F165B6" w:rsidP="00F165B6">
            <w:pPr>
              <w:rPr>
                <w:rFonts w:ascii="Arial" w:hAnsi="Arial" w:cs="Arial"/>
                <w:b/>
                <w:sz w:val="16"/>
                <w:szCs w:val="16"/>
              </w:rPr>
            </w:pPr>
            <w:r w:rsidRPr="00F165B6">
              <w:rPr>
                <w:rFonts w:ascii="Arial" w:hAnsi="Arial" w:cs="Arial"/>
                <w:b/>
                <w:sz w:val="16"/>
                <w:szCs w:val="16"/>
              </w:rPr>
              <w:t>N=20</w:t>
            </w:r>
          </w:p>
        </w:tc>
        <w:tc>
          <w:tcPr>
            <w:tcW w:w="1218"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C18F21" w14:textId="77777777" w:rsidR="00F165B6" w:rsidRPr="00F165B6" w:rsidRDefault="00F165B6" w:rsidP="00F165B6">
            <w:pPr>
              <w:rPr>
                <w:rFonts w:ascii="Arial" w:hAnsi="Arial" w:cs="Arial"/>
                <w:b/>
                <w:sz w:val="16"/>
                <w:szCs w:val="16"/>
              </w:rPr>
            </w:pPr>
            <w:r w:rsidRPr="00F165B6">
              <w:rPr>
                <w:rFonts w:ascii="Arial" w:hAnsi="Arial" w:cs="Arial"/>
                <w:b/>
                <w:sz w:val="16"/>
                <w:szCs w:val="16"/>
              </w:rPr>
              <w:t>US</w:t>
            </w:r>
          </w:p>
          <w:p w14:paraId="3C9C9F82" w14:textId="77777777" w:rsidR="00F165B6" w:rsidRPr="00F165B6" w:rsidRDefault="00F165B6" w:rsidP="00F165B6">
            <w:pPr>
              <w:rPr>
                <w:rFonts w:ascii="Arial" w:hAnsi="Arial" w:cs="Arial"/>
                <w:b/>
                <w:sz w:val="16"/>
                <w:szCs w:val="16"/>
              </w:rPr>
            </w:pPr>
            <w:r w:rsidRPr="00F165B6">
              <w:rPr>
                <w:rFonts w:ascii="Arial" w:hAnsi="Arial" w:cs="Arial"/>
                <w:b/>
                <w:sz w:val="16"/>
                <w:szCs w:val="16"/>
              </w:rPr>
              <w:t>N=8</w:t>
            </w:r>
          </w:p>
        </w:tc>
        <w:tc>
          <w:tcPr>
            <w:tcW w:w="1218"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A012BE" w14:textId="77777777" w:rsidR="00F165B6" w:rsidRPr="00F165B6" w:rsidRDefault="00F165B6" w:rsidP="00F165B6">
            <w:pPr>
              <w:rPr>
                <w:rFonts w:ascii="Arial" w:hAnsi="Arial" w:cs="Arial"/>
                <w:b/>
                <w:sz w:val="16"/>
                <w:szCs w:val="16"/>
              </w:rPr>
            </w:pPr>
            <w:r w:rsidRPr="00F165B6">
              <w:rPr>
                <w:rFonts w:ascii="Arial" w:hAnsi="Arial" w:cs="Arial"/>
                <w:b/>
                <w:sz w:val="16"/>
                <w:szCs w:val="16"/>
              </w:rPr>
              <w:t>China</w:t>
            </w:r>
          </w:p>
          <w:p w14:paraId="1AFBFF08" w14:textId="77777777" w:rsidR="00F165B6" w:rsidRPr="00F165B6" w:rsidRDefault="00F165B6" w:rsidP="00F165B6">
            <w:pPr>
              <w:rPr>
                <w:rFonts w:ascii="Arial" w:hAnsi="Arial" w:cs="Arial"/>
                <w:b/>
                <w:sz w:val="16"/>
                <w:szCs w:val="16"/>
              </w:rPr>
            </w:pPr>
            <w:r w:rsidRPr="00F165B6">
              <w:rPr>
                <w:rFonts w:ascii="Arial" w:hAnsi="Arial" w:cs="Arial"/>
                <w:b/>
                <w:sz w:val="16"/>
                <w:szCs w:val="16"/>
              </w:rPr>
              <w:t>N=11</w:t>
            </w:r>
          </w:p>
        </w:tc>
        <w:tc>
          <w:tcPr>
            <w:tcW w:w="1250"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73A0FC" w14:textId="77777777" w:rsidR="00F165B6" w:rsidRPr="00F165B6" w:rsidRDefault="00F165B6" w:rsidP="00F165B6">
            <w:pPr>
              <w:rPr>
                <w:rFonts w:ascii="Arial" w:hAnsi="Arial" w:cs="Arial"/>
                <w:b/>
                <w:sz w:val="16"/>
                <w:szCs w:val="16"/>
              </w:rPr>
            </w:pPr>
            <w:r w:rsidRPr="00F165B6">
              <w:rPr>
                <w:rFonts w:ascii="Arial" w:hAnsi="Arial" w:cs="Arial"/>
                <w:b/>
                <w:sz w:val="16"/>
                <w:szCs w:val="16"/>
              </w:rPr>
              <w:t>Nigeria</w:t>
            </w:r>
          </w:p>
          <w:p w14:paraId="7EF3BD88" w14:textId="77777777" w:rsidR="00F165B6" w:rsidRPr="00F165B6" w:rsidRDefault="00F165B6" w:rsidP="00F165B6">
            <w:pPr>
              <w:rPr>
                <w:rFonts w:ascii="Arial" w:hAnsi="Arial" w:cs="Arial"/>
                <w:b/>
                <w:sz w:val="16"/>
                <w:szCs w:val="16"/>
              </w:rPr>
            </w:pPr>
            <w:r w:rsidRPr="00F165B6">
              <w:rPr>
                <w:rFonts w:ascii="Arial" w:hAnsi="Arial" w:cs="Arial"/>
                <w:b/>
                <w:sz w:val="16"/>
                <w:szCs w:val="16"/>
              </w:rPr>
              <w:t>N=26</w:t>
            </w:r>
          </w:p>
        </w:tc>
        <w:tc>
          <w:tcPr>
            <w:tcW w:w="1244"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BB1060" w14:textId="77777777" w:rsidR="00F165B6" w:rsidRPr="00F165B6" w:rsidRDefault="00F165B6" w:rsidP="00F165B6">
            <w:pPr>
              <w:rPr>
                <w:rFonts w:ascii="Arial" w:hAnsi="Arial" w:cs="Arial"/>
                <w:b/>
                <w:sz w:val="16"/>
                <w:szCs w:val="16"/>
              </w:rPr>
            </w:pPr>
            <w:r w:rsidRPr="00F165B6">
              <w:rPr>
                <w:rFonts w:ascii="Arial" w:hAnsi="Arial" w:cs="Arial"/>
                <w:b/>
                <w:sz w:val="16"/>
                <w:szCs w:val="16"/>
              </w:rPr>
              <w:t>South Africa</w:t>
            </w:r>
          </w:p>
          <w:p w14:paraId="0E702A64" w14:textId="77777777" w:rsidR="00F165B6" w:rsidRPr="00F165B6" w:rsidRDefault="00F165B6" w:rsidP="00F165B6">
            <w:pPr>
              <w:rPr>
                <w:rFonts w:ascii="Arial" w:hAnsi="Arial" w:cs="Arial"/>
                <w:b/>
                <w:sz w:val="16"/>
                <w:szCs w:val="16"/>
              </w:rPr>
            </w:pPr>
            <w:r w:rsidRPr="00F165B6">
              <w:rPr>
                <w:rFonts w:ascii="Arial" w:hAnsi="Arial" w:cs="Arial"/>
                <w:b/>
                <w:sz w:val="16"/>
                <w:szCs w:val="16"/>
              </w:rPr>
              <w:t>N=11</w:t>
            </w:r>
          </w:p>
        </w:tc>
      </w:tr>
      <w:tr w:rsidR="00F165B6" w:rsidRPr="00F165B6" w14:paraId="6EAE8D1E" w14:textId="77777777" w:rsidTr="004F5D57">
        <w:trPr>
          <w:trHeight w:val="191"/>
        </w:trPr>
        <w:tc>
          <w:tcPr>
            <w:tcW w:w="1404" w:type="dxa"/>
            <w:vMerge/>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9A67043" w14:textId="77777777" w:rsidR="00F165B6" w:rsidRPr="00F165B6" w:rsidRDefault="00F165B6" w:rsidP="00F165B6">
            <w:pPr>
              <w:rPr>
                <w:rFonts w:ascii="Arial" w:hAnsi="Arial" w:cs="Arial"/>
                <w:b/>
                <w:sz w:val="16"/>
                <w:szCs w:val="16"/>
              </w:rPr>
            </w:pP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12D8378"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Mean score </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1984E0"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0B7DC9"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3E55DE2"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4FAD73"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BDE27B"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7A64A06"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728AA4"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3D93D8"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5D65EA"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1B8E71"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3433A7"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0D6CF9E9"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68B70D" w14:textId="77777777" w:rsidR="00F165B6" w:rsidRPr="00F165B6" w:rsidRDefault="00F165B6" w:rsidP="00F165B6">
            <w:pPr>
              <w:rPr>
                <w:rFonts w:ascii="Arial" w:hAnsi="Arial" w:cs="Arial"/>
                <w:sz w:val="16"/>
                <w:szCs w:val="16"/>
              </w:rPr>
            </w:pPr>
            <w:r w:rsidRPr="00F165B6">
              <w:rPr>
                <w:rFonts w:ascii="Arial" w:hAnsi="Arial" w:cs="Arial"/>
                <w:sz w:val="16"/>
                <w:szCs w:val="16"/>
              </w:rPr>
              <w:t>Analytical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435102"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8760B1"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952B28"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7A5A676"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EFE7F1"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A1D1AE"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F5E4D6"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58E3C6"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26EA56"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F8C30E"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65FB372"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740191"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12CA414A"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BC1824" w14:textId="77777777" w:rsidR="00F165B6" w:rsidRPr="00F165B6" w:rsidRDefault="00F165B6" w:rsidP="00F165B6">
            <w:pPr>
              <w:rPr>
                <w:rFonts w:ascii="Arial" w:hAnsi="Arial" w:cs="Arial"/>
                <w:sz w:val="16"/>
                <w:szCs w:val="16"/>
              </w:rPr>
            </w:pPr>
            <w:r w:rsidRPr="00F165B6">
              <w:rPr>
                <w:rFonts w:ascii="Arial" w:hAnsi="Arial" w:cs="Arial"/>
                <w:sz w:val="16"/>
                <w:szCs w:val="16"/>
              </w:rPr>
              <w:t>Budgeting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2F6F545"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2C29E3"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4FD0CB"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09C1BB"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59EF71"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43609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DE91CC" w14:textId="77777777" w:rsidR="00F165B6" w:rsidRPr="00F165B6" w:rsidRDefault="00F165B6" w:rsidP="00F165B6">
            <w:pPr>
              <w:rPr>
                <w:rFonts w:ascii="Arial" w:hAnsi="Arial" w:cs="Arial"/>
                <w:sz w:val="16"/>
                <w:szCs w:val="16"/>
              </w:rPr>
            </w:pPr>
            <w:r w:rsidRPr="00F165B6">
              <w:rPr>
                <w:rFonts w:ascii="Arial" w:hAnsi="Arial" w:cs="Arial"/>
                <w:sz w:val="16"/>
                <w:szCs w:val="16"/>
              </w:rPr>
              <w:t>2.44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38C2E62"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DC0EF7"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C36D766"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F22A55" w14:textId="77777777" w:rsidR="00F165B6" w:rsidRPr="00F165B6" w:rsidRDefault="00F165B6" w:rsidP="00F165B6">
            <w:pPr>
              <w:rPr>
                <w:rFonts w:ascii="Arial" w:hAnsi="Arial" w:cs="Arial"/>
                <w:sz w:val="16"/>
                <w:szCs w:val="16"/>
              </w:rPr>
            </w:pPr>
            <w:r w:rsidRPr="00F165B6">
              <w:rPr>
                <w:rFonts w:ascii="Arial" w:hAnsi="Arial" w:cs="Arial"/>
                <w:sz w:val="16"/>
                <w:szCs w:val="16"/>
              </w:rPr>
              <w:t>3.71</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4F0D9E"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63B4AAB3"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377405" w14:textId="77777777" w:rsidR="00F165B6" w:rsidRPr="00F165B6" w:rsidRDefault="00F165B6" w:rsidP="00F165B6">
            <w:pPr>
              <w:rPr>
                <w:rFonts w:ascii="Arial" w:hAnsi="Arial" w:cs="Arial"/>
                <w:sz w:val="16"/>
                <w:szCs w:val="16"/>
              </w:rPr>
            </w:pPr>
            <w:r w:rsidRPr="00F165B6">
              <w:rPr>
                <w:rFonts w:ascii="Arial" w:hAnsi="Arial" w:cs="Arial"/>
                <w:sz w:val="16"/>
                <w:szCs w:val="16"/>
              </w:rPr>
              <w:t>Teamwork</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6AD03E"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2C387B5"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39F28A"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1A4C0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E4B092"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5691B4"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2076DD"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7CD94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A815DE" w14:textId="77777777" w:rsidR="00F165B6" w:rsidRPr="00F165B6" w:rsidRDefault="00F165B6" w:rsidP="00F165B6">
            <w:pPr>
              <w:rPr>
                <w:rFonts w:ascii="Arial" w:hAnsi="Arial" w:cs="Arial"/>
                <w:sz w:val="16"/>
                <w:szCs w:val="16"/>
              </w:rPr>
            </w:pPr>
            <w:r w:rsidRPr="00F165B6">
              <w:rPr>
                <w:rFonts w:ascii="Arial" w:hAnsi="Arial" w:cs="Arial"/>
                <w:sz w:val="16"/>
                <w:szCs w:val="16"/>
              </w:rPr>
              <w:t>4.24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A5BAB68"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CB92BD" w14:textId="77777777" w:rsidR="00F165B6" w:rsidRPr="00F165B6" w:rsidRDefault="00F165B6" w:rsidP="00F165B6">
            <w:pPr>
              <w:rPr>
                <w:rFonts w:ascii="Arial" w:hAnsi="Arial" w:cs="Arial"/>
                <w:sz w:val="16"/>
                <w:szCs w:val="16"/>
              </w:rPr>
            </w:pPr>
            <w:r w:rsidRPr="00F165B6">
              <w:rPr>
                <w:rFonts w:ascii="Arial" w:hAnsi="Arial" w:cs="Arial"/>
                <w:sz w:val="16"/>
                <w:szCs w:val="16"/>
              </w:rPr>
              <w:t>3.87</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C95452"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366E86DA"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0577DC" w14:textId="77777777" w:rsidR="00F165B6" w:rsidRPr="00F165B6" w:rsidRDefault="00F165B6" w:rsidP="00F165B6">
            <w:pPr>
              <w:rPr>
                <w:rFonts w:ascii="Arial" w:hAnsi="Arial" w:cs="Arial"/>
                <w:sz w:val="16"/>
                <w:szCs w:val="16"/>
              </w:rPr>
            </w:pPr>
            <w:r w:rsidRPr="00F165B6">
              <w:rPr>
                <w:rFonts w:ascii="Arial" w:hAnsi="Arial" w:cs="Arial"/>
                <w:sz w:val="16"/>
                <w:szCs w:val="16"/>
              </w:rPr>
              <w:t>Communication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D3FCCD"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96220F"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2A56E45"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F841838"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A1FD4D"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7F4E75"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F1D664"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BA85C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2AB2020"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FC36A2"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C89181"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830BF4" w14:textId="77777777" w:rsidR="00F165B6" w:rsidRPr="00F165B6" w:rsidRDefault="00F165B6" w:rsidP="00F165B6">
            <w:pPr>
              <w:rPr>
                <w:rFonts w:ascii="Arial" w:hAnsi="Arial" w:cs="Arial"/>
                <w:sz w:val="16"/>
                <w:szCs w:val="16"/>
              </w:rPr>
            </w:pPr>
          </w:p>
        </w:tc>
      </w:tr>
      <w:tr w:rsidR="00F165B6" w:rsidRPr="00F165B6" w14:paraId="6129CA3B"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3832A9"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Developing confidence &amp; </w:t>
            </w:r>
            <w:r w:rsidRPr="00F165B6">
              <w:rPr>
                <w:rFonts w:ascii="Arial" w:hAnsi="Arial" w:cs="Arial"/>
                <w:sz w:val="16"/>
                <w:szCs w:val="16"/>
              </w:rPr>
              <w:lastRenderedPageBreak/>
              <w:t>building relationships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FC5297"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F9327C"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p w14:paraId="1812B1C4" w14:textId="77777777" w:rsidR="00F165B6" w:rsidRPr="00F165B6" w:rsidRDefault="00F165B6" w:rsidP="00F165B6">
            <w:pPr>
              <w:rPr>
                <w:rFonts w:ascii="Arial" w:hAnsi="Arial" w:cs="Arial"/>
                <w:sz w:val="16"/>
                <w:szCs w:val="16"/>
              </w:rPr>
            </w:pP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3A6334"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3.38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FC81C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0C935A"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7DC388"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C2F818"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B499B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790780" w14:textId="77777777" w:rsidR="00F165B6" w:rsidRPr="00F165B6" w:rsidRDefault="00F165B6" w:rsidP="00F165B6">
            <w:pPr>
              <w:rPr>
                <w:rFonts w:ascii="Arial" w:hAnsi="Arial" w:cs="Arial"/>
                <w:sz w:val="16"/>
                <w:szCs w:val="16"/>
              </w:rPr>
            </w:pPr>
            <w:r w:rsidRPr="00F165B6">
              <w:rPr>
                <w:rFonts w:ascii="Arial" w:hAnsi="Arial" w:cs="Arial"/>
                <w:sz w:val="16"/>
                <w:szCs w:val="16"/>
              </w:rPr>
              <w:t>4.19</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21781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07F15A" w14:textId="77777777" w:rsidR="00F165B6" w:rsidRPr="00F165B6" w:rsidRDefault="00F165B6" w:rsidP="00F165B6">
            <w:pPr>
              <w:rPr>
                <w:rFonts w:ascii="Arial" w:hAnsi="Arial" w:cs="Arial"/>
                <w:sz w:val="16"/>
                <w:szCs w:val="16"/>
              </w:rPr>
            </w:pPr>
            <w:r w:rsidRPr="00F165B6">
              <w:rPr>
                <w:rFonts w:ascii="Arial" w:hAnsi="Arial" w:cs="Arial"/>
                <w:sz w:val="16"/>
                <w:szCs w:val="16"/>
              </w:rPr>
              <w:t>4.43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C2E72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r w:rsidR="00F165B6" w:rsidRPr="00F165B6" w14:paraId="300A7BBB"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403332" w14:textId="77777777" w:rsidR="00F165B6" w:rsidRPr="00F165B6" w:rsidRDefault="00F165B6" w:rsidP="00F165B6">
            <w:pPr>
              <w:rPr>
                <w:rFonts w:ascii="Arial" w:hAnsi="Arial" w:cs="Arial"/>
                <w:sz w:val="16"/>
                <w:szCs w:val="16"/>
              </w:rPr>
            </w:pPr>
            <w:r w:rsidRPr="00F165B6">
              <w:rPr>
                <w:rFonts w:ascii="Arial" w:hAnsi="Arial" w:cs="Arial"/>
                <w:sz w:val="16"/>
                <w:szCs w:val="16"/>
              </w:rPr>
              <w:t>Strategic planning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F8BF03"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C49242"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52BC259"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CB980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948AF3"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A38BE2"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3A1D78"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893931"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6405C7" w14:textId="77777777" w:rsidR="00F165B6" w:rsidRPr="00F165B6" w:rsidRDefault="00F165B6" w:rsidP="00F165B6">
            <w:pPr>
              <w:rPr>
                <w:rFonts w:ascii="Arial" w:hAnsi="Arial" w:cs="Arial"/>
                <w:sz w:val="16"/>
                <w:szCs w:val="16"/>
              </w:rPr>
            </w:pPr>
            <w:r w:rsidRPr="00F165B6">
              <w:rPr>
                <w:rFonts w:ascii="Arial" w:hAnsi="Arial" w:cs="Arial"/>
                <w:sz w:val="16"/>
                <w:szCs w:val="16"/>
              </w:rPr>
              <w:t>412</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83E4D8E"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320526"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FC4C5D"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r>
      <w:tr w:rsidR="00F165B6" w:rsidRPr="00F165B6" w14:paraId="3FC4C95B"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3976CC"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8F3CFC"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2237752"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A57495"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765245"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3EE841"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60A827"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1FD642"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6B6B1C"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F8CF71"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3AD35B"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2CB1176"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369E00A"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180640EA"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6D8D49" w14:textId="77777777" w:rsidR="00F165B6" w:rsidRPr="00F165B6" w:rsidRDefault="00F165B6" w:rsidP="00F165B6">
            <w:pPr>
              <w:rPr>
                <w:rFonts w:ascii="Arial" w:hAnsi="Arial" w:cs="Arial"/>
                <w:sz w:val="16"/>
                <w:szCs w:val="16"/>
              </w:rPr>
            </w:pPr>
            <w:r w:rsidRPr="00F165B6">
              <w:rPr>
                <w:rFonts w:ascii="Arial" w:hAnsi="Arial" w:cs="Arial"/>
                <w:sz w:val="16"/>
                <w:szCs w:val="16"/>
              </w:rPr>
              <w:t>Negotiation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D21292"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1F37FD"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B3D3A8"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CB997C"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CC38DC"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AE31DA"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6BB618C"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D99FA52"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24FA0D"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998B87"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8AACD6"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154BB5"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3D6DAC97"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F50289"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Critical thinking </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C6F1E15"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E1DD13"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EB0CC0"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54FC57"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761603B" w14:textId="77777777" w:rsidR="00F165B6" w:rsidRPr="00F165B6" w:rsidRDefault="00F165B6" w:rsidP="00F165B6">
            <w:pPr>
              <w:rPr>
                <w:rFonts w:ascii="Arial" w:hAnsi="Arial" w:cs="Arial"/>
                <w:sz w:val="16"/>
                <w:szCs w:val="16"/>
              </w:rPr>
            </w:pPr>
            <w:r w:rsidRPr="00F165B6">
              <w:rPr>
                <w:rFonts w:ascii="Arial" w:hAnsi="Arial" w:cs="Arial"/>
                <w:sz w:val="16"/>
                <w:szCs w:val="16"/>
              </w:rPr>
              <w:t>2.75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B5B456"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D43FA6"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9ABF9C"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B5AAB3"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626581"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DCBC7D" w14:textId="77777777" w:rsidR="00F165B6" w:rsidRPr="00F165B6" w:rsidRDefault="00F165B6" w:rsidP="00F165B6">
            <w:pPr>
              <w:rPr>
                <w:rFonts w:ascii="Arial" w:hAnsi="Arial" w:cs="Arial"/>
                <w:sz w:val="16"/>
                <w:szCs w:val="16"/>
              </w:rPr>
            </w:pPr>
            <w:r w:rsidRPr="00F165B6">
              <w:rPr>
                <w:rFonts w:ascii="Arial" w:hAnsi="Arial" w:cs="Arial"/>
                <w:sz w:val="16"/>
                <w:szCs w:val="16"/>
              </w:rPr>
              <w:t>3.71</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37CAD8"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197B31F0"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82FAE4" w14:textId="77777777" w:rsidR="00F165B6" w:rsidRPr="00F165B6" w:rsidRDefault="00F165B6" w:rsidP="00F165B6">
            <w:pPr>
              <w:rPr>
                <w:rFonts w:ascii="Arial" w:hAnsi="Arial" w:cs="Arial"/>
                <w:sz w:val="16"/>
                <w:szCs w:val="16"/>
              </w:rPr>
            </w:pPr>
            <w:r w:rsidRPr="00F165B6">
              <w:rPr>
                <w:rFonts w:ascii="Arial" w:hAnsi="Arial" w:cs="Arial"/>
                <w:sz w:val="16"/>
                <w:szCs w:val="16"/>
              </w:rPr>
              <w:t>Commercial awareness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DFD518"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FFED283"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DEA86F"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F070AF"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1FB28D"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11C84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3D2BC7"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9C53EEA"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F0B9E1B"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BD3878"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2C1215"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6BE9C33"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08A37526"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377CC3" w14:textId="77777777" w:rsidR="00F165B6" w:rsidRPr="00F165B6" w:rsidRDefault="00F165B6" w:rsidP="00F165B6">
            <w:pPr>
              <w:rPr>
                <w:rFonts w:ascii="Arial" w:hAnsi="Arial" w:cs="Arial"/>
                <w:sz w:val="16"/>
                <w:szCs w:val="16"/>
              </w:rPr>
            </w:pPr>
            <w:r w:rsidRPr="00F165B6">
              <w:rPr>
                <w:rFonts w:ascii="Arial" w:hAnsi="Arial" w:cs="Arial"/>
                <w:sz w:val="16"/>
                <w:szCs w:val="16"/>
              </w:rPr>
              <w:t>Interpreting financial data and identifying trends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B9FDA3"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4423EB"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22AFB5"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1BB9B95"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4C5B07"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D4CE25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946320"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AB8097"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710304"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C8D6222"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p w14:paraId="46FA763D" w14:textId="77777777" w:rsidR="00F165B6" w:rsidRPr="00F165B6" w:rsidRDefault="00F165B6" w:rsidP="00F165B6">
            <w:pPr>
              <w:rPr>
                <w:rFonts w:ascii="Arial" w:hAnsi="Arial" w:cs="Arial"/>
                <w:sz w:val="16"/>
                <w:szCs w:val="16"/>
              </w:rPr>
            </w:pP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196CB5E"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049A61"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7F64D59B"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D1FA97" w14:textId="77777777" w:rsidR="00F165B6" w:rsidRPr="00F165B6" w:rsidRDefault="00F165B6" w:rsidP="00F165B6">
            <w:pPr>
              <w:rPr>
                <w:rFonts w:ascii="Arial" w:hAnsi="Arial" w:cs="Arial"/>
                <w:sz w:val="16"/>
                <w:szCs w:val="16"/>
              </w:rPr>
            </w:pPr>
            <w:r w:rsidRPr="00F165B6">
              <w:rPr>
                <w:rFonts w:ascii="Arial" w:hAnsi="Arial" w:cs="Arial"/>
                <w:sz w:val="16"/>
                <w:szCs w:val="16"/>
              </w:rPr>
              <w:t>Planning and control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8726C7"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E79BC7"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4FF90A" w14:textId="77777777" w:rsidR="00F165B6" w:rsidRPr="00F165B6" w:rsidRDefault="00F165B6" w:rsidP="00F165B6">
            <w:pPr>
              <w:rPr>
                <w:rFonts w:ascii="Arial" w:hAnsi="Arial" w:cs="Arial"/>
                <w:sz w:val="16"/>
                <w:szCs w:val="16"/>
              </w:rPr>
            </w:pPr>
            <w:r w:rsidRPr="00F165B6">
              <w:rPr>
                <w:rFonts w:ascii="Arial" w:hAnsi="Arial" w:cs="Arial"/>
                <w:sz w:val="16"/>
                <w:szCs w:val="16"/>
              </w:rPr>
              <w:t>3.58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119CA5"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B33FA1"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9CED97"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53751F"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C11A1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0132A3D" w14:textId="77777777" w:rsidR="00F165B6" w:rsidRPr="00F165B6" w:rsidRDefault="00F165B6" w:rsidP="00F165B6">
            <w:pPr>
              <w:rPr>
                <w:rFonts w:ascii="Arial" w:hAnsi="Arial" w:cs="Arial"/>
                <w:sz w:val="16"/>
                <w:szCs w:val="16"/>
              </w:rPr>
            </w:pPr>
            <w:r w:rsidRPr="00F165B6">
              <w:rPr>
                <w:rFonts w:ascii="Arial" w:hAnsi="Arial" w:cs="Arial"/>
                <w:sz w:val="16"/>
                <w:szCs w:val="16"/>
              </w:rPr>
              <w:t>4.24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485B59"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E54278"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33C6F8"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5CD8D498"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63A061" w14:textId="77777777" w:rsidR="00F165B6" w:rsidRPr="00F165B6" w:rsidRDefault="00F165B6" w:rsidP="00F165B6">
            <w:pPr>
              <w:rPr>
                <w:rFonts w:ascii="Arial" w:hAnsi="Arial" w:cs="Arial"/>
                <w:sz w:val="16"/>
                <w:szCs w:val="16"/>
              </w:rPr>
            </w:pPr>
            <w:r w:rsidRPr="00F165B6">
              <w:rPr>
                <w:rFonts w:ascii="Arial" w:hAnsi="Arial" w:cs="Arial"/>
                <w:sz w:val="16"/>
                <w:szCs w:val="16"/>
              </w:rPr>
              <w:t>Risks management</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0C99DB"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77409F"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F6FA57"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EEA8B5"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9CAFE13"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B81DBF8"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E0945B"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A84A09"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2D3973"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01C61E"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1A68D4"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34777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29C3143D"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60B16D"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financial forecast and models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834CC8"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25789C"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190DE59"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p w14:paraId="3DAEE8E7"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29C75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D09A16"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B41D39"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D20EBD"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p w14:paraId="3D8C4C64"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5B691A"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DBDCF1"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p w14:paraId="20B7E2DE"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8725E8" w14:textId="77777777" w:rsidR="00F165B6" w:rsidRPr="00F165B6" w:rsidRDefault="00F165B6" w:rsidP="00F165B6">
            <w:pPr>
              <w:rPr>
                <w:rFonts w:ascii="Arial" w:hAnsi="Arial" w:cs="Arial"/>
                <w:sz w:val="16"/>
                <w:szCs w:val="16"/>
              </w:rPr>
            </w:pP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0C60527"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p w14:paraId="27C09B23"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0C4BC2"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727C63B0"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EC3BEE"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management approach analysis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C3F625"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C6DDBB"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35252C"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E00BC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B31E3BC"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FA6D7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46B46A"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843135"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p w14:paraId="42608AE8"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CBDB928" w14:textId="77777777" w:rsidR="00F165B6" w:rsidRPr="00F165B6" w:rsidRDefault="00F165B6" w:rsidP="00F165B6">
            <w:pPr>
              <w:rPr>
                <w:rFonts w:ascii="Arial" w:hAnsi="Arial" w:cs="Arial"/>
                <w:sz w:val="16"/>
                <w:szCs w:val="16"/>
              </w:rPr>
            </w:pPr>
            <w:r w:rsidRPr="00F165B6">
              <w:rPr>
                <w:rFonts w:ascii="Arial" w:hAnsi="Arial" w:cs="Arial"/>
                <w:sz w:val="16"/>
                <w:szCs w:val="16"/>
              </w:rPr>
              <w:t>4.12</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74E2F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33D062"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CE1159"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3047581A" w14:textId="77777777" w:rsidTr="004F5D57">
        <w:trPr>
          <w:trHeight w:val="483"/>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09478E"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and maintaining a cost management system</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0AECB9"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2862C1"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p w14:paraId="32614F05" w14:textId="77777777" w:rsidR="00F165B6" w:rsidRPr="00F165B6" w:rsidRDefault="00F165B6" w:rsidP="00F165B6">
            <w:pPr>
              <w:rPr>
                <w:rFonts w:ascii="Arial" w:hAnsi="Arial" w:cs="Arial"/>
                <w:sz w:val="16"/>
                <w:szCs w:val="16"/>
              </w:rPr>
            </w:pPr>
          </w:p>
          <w:p w14:paraId="5A21428A" w14:textId="77777777" w:rsidR="00F165B6" w:rsidRPr="00F165B6" w:rsidRDefault="00F165B6" w:rsidP="00F165B6">
            <w:pPr>
              <w:rPr>
                <w:rFonts w:ascii="Arial" w:hAnsi="Arial" w:cs="Arial"/>
                <w:sz w:val="16"/>
                <w:szCs w:val="16"/>
              </w:rPr>
            </w:pP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028C29"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p w14:paraId="01C7ED8B"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F0AF8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89E90B"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BE1B3E"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2807F7"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C684E4"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p w14:paraId="52E509D3"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7B6CC2E"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C3C31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206D60"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10C6E1"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p w14:paraId="74AA78C2" w14:textId="77777777" w:rsidR="00F165B6" w:rsidRPr="00F165B6" w:rsidRDefault="00F165B6" w:rsidP="00F165B6">
            <w:pPr>
              <w:rPr>
                <w:rFonts w:ascii="Arial" w:hAnsi="Arial" w:cs="Arial"/>
                <w:sz w:val="16"/>
                <w:szCs w:val="16"/>
              </w:rPr>
            </w:pPr>
          </w:p>
          <w:p w14:paraId="4AE78E35" w14:textId="77777777" w:rsidR="00F165B6" w:rsidRPr="00F165B6" w:rsidRDefault="00F165B6" w:rsidP="00F165B6">
            <w:pPr>
              <w:rPr>
                <w:rFonts w:ascii="Arial" w:hAnsi="Arial" w:cs="Arial"/>
                <w:sz w:val="16"/>
                <w:szCs w:val="16"/>
              </w:rPr>
            </w:pPr>
          </w:p>
        </w:tc>
      </w:tr>
      <w:tr w:rsidR="00F165B6" w:rsidRPr="00F165B6" w14:paraId="78F48CAC"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0BB6E9" w14:textId="77777777" w:rsidR="00F165B6" w:rsidRPr="00F165B6" w:rsidRDefault="00F165B6" w:rsidP="00F165B6">
            <w:pPr>
              <w:rPr>
                <w:rFonts w:ascii="Arial" w:hAnsi="Arial" w:cs="Arial"/>
                <w:sz w:val="16"/>
                <w:szCs w:val="16"/>
              </w:rPr>
            </w:pPr>
            <w:r w:rsidRPr="00F165B6">
              <w:rPr>
                <w:rFonts w:ascii="Arial" w:hAnsi="Arial" w:cs="Arial"/>
                <w:sz w:val="16"/>
                <w:szCs w:val="16"/>
              </w:rPr>
              <w:t>Specialised industry skill/ construction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74DDD7"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p w14:paraId="266F48BD" w14:textId="77777777" w:rsidR="00F165B6" w:rsidRPr="00F165B6" w:rsidRDefault="00F165B6" w:rsidP="00F165B6">
            <w:pPr>
              <w:rPr>
                <w:rFonts w:ascii="Arial" w:hAnsi="Arial" w:cs="Arial"/>
                <w:sz w:val="16"/>
                <w:szCs w:val="16"/>
              </w:rPr>
            </w:pP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6464704"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p w14:paraId="211F1B74" w14:textId="77777777" w:rsidR="00F165B6" w:rsidRPr="00F165B6" w:rsidRDefault="00F165B6" w:rsidP="00F165B6">
            <w:pPr>
              <w:rPr>
                <w:rFonts w:ascii="Arial" w:hAnsi="Arial" w:cs="Arial"/>
                <w:sz w:val="16"/>
                <w:szCs w:val="16"/>
              </w:rPr>
            </w:pP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6CF10E"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p w14:paraId="0B687D9B"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A75CC7"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9F2459"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p w14:paraId="59422CF1"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C305BF"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C05552"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95D19B"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96DE3B"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D85CB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6AC0AA"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6DF2ED"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p w14:paraId="010D5EA5" w14:textId="77777777" w:rsidR="00F165B6" w:rsidRPr="00F165B6" w:rsidRDefault="00F165B6" w:rsidP="00F165B6">
            <w:pPr>
              <w:rPr>
                <w:rFonts w:ascii="Arial" w:hAnsi="Arial" w:cs="Arial"/>
                <w:sz w:val="16"/>
                <w:szCs w:val="16"/>
              </w:rPr>
            </w:pPr>
          </w:p>
        </w:tc>
      </w:tr>
      <w:tr w:rsidR="00F165B6" w:rsidRPr="00F165B6" w14:paraId="0FE044F6"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C58D2F" w14:textId="77777777" w:rsidR="00F165B6" w:rsidRPr="00F165B6" w:rsidRDefault="00F165B6" w:rsidP="00F165B6">
            <w:pPr>
              <w:rPr>
                <w:rFonts w:ascii="Arial" w:hAnsi="Arial" w:cs="Arial"/>
                <w:sz w:val="16"/>
                <w:szCs w:val="16"/>
              </w:rPr>
            </w:pPr>
            <w:r w:rsidRPr="00F165B6">
              <w:rPr>
                <w:rFonts w:ascii="Arial" w:hAnsi="Arial" w:cs="Arial"/>
                <w:sz w:val="16"/>
                <w:szCs w:val="16"/>
              </w:rPr>
              <w:t>Diplomatic skills and social intelligence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DC61C44" w14:textId="77777777" w:rsidR="00F165B6" w:rsidRPr="00F165B6" w:rsidRDefault="00F165B6" w:rsidP="00F165B6">
            <w:pPr>
              <w:rPr>
                <w:rFonts w:ascii="Arial" w:hAnsi="Arial" w:cs="Arial"/>
                <w:sz w:val="16"/>
                <w:szCs w:val="16"/>
              </w:rPr>
            </w:pPr>
            <w:r w:rsidRPr="00F165B6">
              <w:rPr>
                <w:rFonts w:ascii="Arial" w:hAnsi="Arial" w:cs="Arial"/>
                <w:sz w:val="16"/>
                <w:szCs w:val="16"/>
              </w:rPr>
              <w:t>1.50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372E87"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00B201"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B9BCB5"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895EC5"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057E70"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D0647A"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AB9BB3"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80F3C7" w14:textId="77777777" w:rsidR="00F165B6" w:rsidRPr="00F165B6" w:rsidRDefault="00F165B6" w:rsidP="00F165B6">
            <w:pPr>
              <w:rPr>
                <w:rFonts w:ascii="Arial" w:hAnsi="Arial" w:cs="Arial"/>
                <w:sz w:val="16"/>
                <w:szCs w:val="16"/>
              </w:rPr>
            </w:pPr>
            <w:r w:rsidRPr="00F165B6">
              <w:rPr>
                <w:rFonts w:ascii="Arial" w:hAnsi="Arial" w:cs="Arial"/>
                <w:sz w:val="16"/>
                <w:szCs w:val="16"/>
              </w:rPr>
              <w:t>3.76</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814D349"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1FA87FC"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33FC11E"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r>
      <w:tr w:rsidR="00F165B6" w:rsidRPr="00F165B6" w14:paraId="505EE061"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C25986" w14:textId="77777777" w:rsidR="00F165B6" w:rsidRPr="00F165B6" w:rsidRDefault="00F165B6" w:rsidP="00F165B6">
            <w:pPr>
              <w:rPr>
                <w:rFonts w:ascii="Arial" w:hAnsi="Arial" w:cs="Arial"/>
                <w:sz w:val="16"/>
                <w:szCs w:val="16"/>
              </w:rPr>
            </w:pPr>
            <w:r w:rsidRPr="00F165B6">
              <w:rPr>
                <w:rFonts w:ascii="Arial" w:hAnsi="Arial" w:cs="Arial"/>
                <w:sz w:val="16"/>
                <w:szCs w:val="16"/>
              </w:rPr>
              <w:t>Identifying and accessing the alternative option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FF14073"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423C4B"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0FCBC8" w14:textId="77777777" w:rsidR="00F165B6" w:rsidRPr="00F165B6" w:rsidRDefault="00F165B6" w:rsidP="00F165B6">
            <w:pPr>
              <w:rPr>
                <w:rFonts w:ascii="Arial" w:hAnsi="Arial" w:cs="Arial"/>
                <w:sz w:val="16"/>
                <w:szCs w:val="16"/>
              </w:rPr>
            </w:pPr>
            <w:r w:rsidRPr="00F165B6">
              <w:rPr>
                <w:rFonts w:ascii="Arial" w:hAnsi="Arial" w:cs="Arial"/>
                <w:sz w:val="16"/>
                <w:szCs w:val="16"/>
              </w:rPr>
              <w:t>2.63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099CE2"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D47326"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526BF9"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04E9E7"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68E1077"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p w14:paraId="431AA55C"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468546" w14:textId="77777777" w:rsidR="00F165B6" w:rsidRPr="00F165B6" w:rsidRDefault="00F165B6" w:rsidP="00F165B6">
            <w:pPr>
              <w:rPr>
                <w:rFonts w:ascii="Arial" w:hAnsi="Arial" w:cs="Arial"/>
                <w:sz w:val="16"/>
                <w:szCs w:val="16"/>
              </w:rPr>
            </w:pPr>
            <w:r w:rsidRPr="00F165B6">
              <w:rPr>
                <w:rFonts w:ascii="Arial" w:hAnsi="Arial" w:cs="Arial"/>
                <w:sz w:val="16"/>
                <w:szCs w:val="16"/>
              </w:rPr>
              <w:t>3.81</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73B9E0"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AEB27F"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029018"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580E89C8"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2D2C639" w14:textId="77777777" w:rsidR="00F165B6" w:rsidRPr="00F165B6" w:rsidRDefault="00F165B6" w:rsidP="00F165B6">
            <w:pPr>
              <w:rPr>
                <w:rFonts w:ascii="Arial" w:hAnsi="Arial" w:cs="Arial"/>
                <w:sz w:val="16"/>
                <w:szCs w:val="16"/>
              </w:rPr>
            </w:pPr>
            <w:r w:rsidRPr="00F165B6">
              <w:rPr>
                <w:rFonts w:ascii="Arial" w:hAnsi="Arial" w:cs="Arial"/>
                <w:sz w:val="16"/>
                <w:szCs w:val="16"/>
              </w:rPr>
              <w:t>Market liquidity timing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B0B6281"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CEDAFD"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0B3D382" w14:textId="77777777" w:rsidR="00F165B6" w:rsidRPr="00F165B6" w:rsidRDefault="00F165B6" w:rsidP="00F165B6">
            <w:pPr>
              <w:rPr>
                <w:rFonts w:ascii="Arial" w:hAnsi="Arial" w:cs="Arial"/>
                <w:sz w:val="16"/>
                <w:szCs w:val="16"/>
              </w:rPr>
            </w:pPr>
            <w:r w:rsidRPr="00F165B6">
              <w:rPr>
                <w:rFonts w:ascii="Arial" w:hAnsi="Arial" w:cs="Arial"/>
                <w:sz w:val="16"/>
                <w:szCs w:val="16"/>
              </w:rPr>
              <w:t>2.88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C5F385"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1C3898"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B3DBB0"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FFB8D2"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6620783"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C70169" w14:textId="77777777" w:rsidR="00F165B6" w:rsidRPr="00F165B6" w:rsidRDefault="00F165B6" w:rsidP="00F165B6">
            <w:pPr>
              <w:rPr>
                <w:rFonts w:ascii="Arial" w:hAnsi="Arial" w:cs="Arial"/>
                <w:sz w:val="16"/>
                <w:szCs w:val="16"/>
              </w:rPr>
            </w:pPr>
            <w:r w:rsidRPr="00F165B6">
              <w:rPr>
                <w:rFonts w:ascii="Arial" w:hAnsi="Arial" w:cs="Arial"/>
                <w:sz w:val="16"/>
                <w:szCs w:val="16"/>
              </w:rPr>
              <w:t>3.81</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8DE44D"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87C1892"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C74E2A"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4893D9F4"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C8A67B" w14:textId="77777777" w:rsidR="00F165B6" w:rsidRPr="00F165B6" w:rsidRDefault="00F165B6" w:rsidP="00F165B6">
            <w:pPr>
              <w:rPr>
                <w:rFonts w:ascii="Arial" w:hAnsi="Arial" w:cs="Arial"/>
                <w:sz w:val="16"/>
                <w:szCs w:val="16"/>
              </w:rPr>
            </w:pPr>
            <w:r w:rsidRPr="00F165B6">
              <w:rPr>
                <w:rFonts w:ascii="Arial" w:hAnsi="Arial" w:cs="Arial"/>
                <w:sz w:val="16"/>
                <w:szCs w:val="16"/>
              </w:rPr>
              <w:t>Recognising and using influence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A79AF1" w14:textId="77777777" w:rsidR="00F165B6" w:rsidRPr="00F165B6" w:rsidRDefault="00F165B6" w:rsidP="00F165B6">
            <w:pPr>
              <w:rPr>
                <w:rFonts w:ascii="Arial" w:hAnsi="Arial" w:cs="Arial"/>
                <w:sz w:val="16"/>
                <w:szCs w:val="16"/>
              </w:rPr>
            </w:pPr>
            <w:r w:rsidRPr="00F165B6">
              <w:rPr>
                <w:rFonts w:ascii="Arial" w:hAnsi="Arial" w:cs="Arial"/>
                <w:sz w:val="16"/>
                <w:szCs w:val="16"/>
              </w:rPr>
              <w:t>1.50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EFFCB8"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BF11B6"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17381F"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BD108A1"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44DCA1"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D10C04"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C6D549"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F13793"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EDC503"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ABF04A"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2E0572"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r>
      <w:tr w:rsidR="00F165B6" w:rsidRPr="00F165B6" w14:paraId="5384D361" w14:textId="77777777" w:rsidTr="004F5D57">
        <w:trPr>
          <w:trHeight w:val="483"/>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1D42ED" w14:textId="77777777" w:rsidR="00F165B6" w:rsidRPr="00F165B6" w:rsidRDefault="00F165B6" w:rsidP="00F165B6">
            <w:pPr>
              <w:rPr>
                <w:rFonts w:ascii="Arial" w:hAnsi="Arial" w:cs="Arial"/>
                <w:sz w:val="16"/>
                <w:szCs w:val="16"/>
              </w:rPr>
            </w:pPr>
            <w:r w:rsidRPr="00F165B6">
              <w:rPr>
                <w:rFonts w:ascii="Arial" w:hAnsi="Arial" w:cs="Arial"/>
                <w:sz w:val="16"/>
                <w:szCs w:val="16"/>
              </w:rPr>
              <w:t>Emerging technologies( such as artificial intelligence &amp; machine learning)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9D5D68"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C153A6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6EFA54"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D865217"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0813A5"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E6923D"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84D3DA"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C013AF"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C007F8"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3FE72C4"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p w14:paraId="5385691F" w14:textId="77777777" w:rsidR="00F165B6" w:rsidRPr="00F165B6" w:rsidRDefault="00F165B6" w:rsidP="00F165B6">
            <w:pPr>
              <w:rPr>
                <w:rFonts w:ascii="Arial" w:hAnsi="Arial" w:cs="Arial"/>
                <w:sz w:val="16"/>
                <w:szCs w:val="16"/>
              </w:rPr>
            </w:pPr>
          </w:p>
          <w:p w14:paraId="401EB2A3" w14:textId="77777777" w:rsidR="00F165B6" w:rsidRPr="00F165B6" w:rsidRDefault="00F165B6" w:rsidP="00F165B6">
            <w:pPr>
              <w:rPr>
                <w:rFonts w:ascii="Arial" w:hAnsi="Arial" w:cs="Arial"/>
                <w:sz w:val="16"/>
                <w:szCs w:val="16"/>
              </w:rPr>
            </w:pPr>
          </w:p>
          <w:p w14:paraId="74B7F206" w14:textId="77777777" w:rsidR="00F165B6" w:rsidRPr="00F165B6" w:rsidRDefault="00F165B6" w:rsidP="00F165B6">
            <w:pPr>
              <w:rPr>
                <w:rFonts w:ascii="Arial" w:hAnsi="Arial" w:cs="Arial"/>
                <w:sz w:val="16"/>
                <w:szCs w:val="16"/>
              </w:rPr>
            </w:pP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CCD613"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3D8786"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r>
      <w:tr w:rsidR="00F165B6" w:rsidRPr="00F165B6" w14:paraId="38AE371B"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AE16D1" w14:textId="77777777" w:rsidR="00F165B6" w:rsidRPr="00F165B6" w:rsidRDefault="00F165B6" w:rsidP="00F165B6">
            <w:pPr>
              <w:rPr>
                <w:rFonts w:ascii="Arial" w:hAnsi="Arial" w:cs="Arial"/>
                <w:sz w:val="16"/>
                <w:szCs w:val="16"/>
              </w:rPr>
            </w:pPr>
            <w:r w:rsidRPr="00F165B6">
              <w:rPr>
                <w:rFonts w:ascii="Arial" w:hAnsi="Arial" w:cs="Arial"/>
                <w:sz w:val="16"/>
                <w:szCs w:val="16"/>
              </w:rPr>
              <w:t>Emotional intelligence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6AE2B57"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2C17329"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6BBB78" w14:textId="77777777" w:rsidR="00F165B6" w:rsidRPr="00F165B6" w:rsidRDefault="00F165B6" w:rsidP="00F165B6">
            <w:pPr>
              <w:rPr>
                <w:rFonts w:ascii="Arial" w:hAnsi="Arial" w:cs="Arial"/>
                <w:sz w:val="16"/>
                <w:szCs w:val="16"/>
              </w:rPr>
            </w:pPr>
            <w:r w:rsidRPr="00F165B6">
              <w:rPr>
                <w:rFonts w:ascii="Arial" w:hAnsi="Arial" w:cs="Arial"/>
                <w:sz w:val="16"/>
                <w:szCs w:val="16"/>
              </w:rPr>
              <w:t>2.63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A03C0B0"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D03EE76"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E00C7E"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04C1FA1"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6645D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934271" w14:textId="77777777" w:rsidR="00F165B6" w:rsidRPr="00F165B6" w:rsidRDefault="00F165B6" w:rsidP="00F165B6">
            <w:pPr>
              <w:rPr>
                <w:rFonts w:ascii="Arial" w:hAnsi="Arial" w:cs="Arial"/>
                <w:sz w:val="16"/>
                <w:szCs w:val="16"/>
              </w:rPr>
            </w:pPr>
            <w:r w:rsidRPr="00F165B6">
              <w:rPr>
                <w:rFonts w:ascii="Arial" w:hAnsi="Arial" w:cs="Arial"/>
                <w:sz w:val="16"/>
                <w:szCs w:val="16"/>
              </w:rPr>
              <w:t>3.18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68DF5C"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4DC55C"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1991458"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r>
    </w:tbl>
    <w:p w14:paraId="0E84D70F" w14:textId="77777777" w:rsidR="00F165B6" w:rsidRPr="00F165B6" w:rsidRDefault="00F165B6" w:rsidP="00F165B6">
      <w:pPr>
        <w:rPr>
          <w:rFonts w:ascii="Arial" w:hAnsi="Arial" w:cs="Arial"/>
          <w:sz w:val="16"/>
          <w:szCs w:val="16"/>
        </w:rPr>
      </w:pPr>
      <w:r w:rsidRPr="00F165B6">
        <w:rPr>
          <w:rFonts w:ascii="Arial" w:hAnsi="Arial" w:cs="Arial"/>
          <w:sz w:val="16"/>
          <w:szCs w:val="16"/>
        </w:rPr>
        <w:t>Not needed(1), Less needed(2), Needed</w:t>
      </w:r>
      <w:r w:rsidRPr="00F165B6">
        <w:rPr>
          <w:rFonts w:ascii="Arial" w:hAnsi="Arial" w:cs="Arial"/>
          <w:sz w:val="16"/>
          <w:szCs w:val="16"/>
        </w:rPr>
        <w:tab/>
        <w:t>(3), Very needed(4) &amp; Highly needed(5)</w:t>
      </w:r>
    </w:p>
    <w:p w14:paraId="193B2288" w14:textId="77777777" w:rsidR="00F165B6" w:rsidRPr="00F165B6" w:rsidRDefault="00F165B6" w:rsidP="00F165B6">
      <w:pPr>
        <w:rPr>
          <w:rFonts w:ascii="Arial" w:hAnsi="Arial" w:cs="Arial"/>
          <w:sz w:val="16"/>
          <w:szCs w:val="16"/>
        </w:rPr>
      </w:pPr>
    </w:p>
    <w:p w14:paraId="0CA88B3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Table 3: </w:t>
      </w:r>
      <w:r w:rsidRPr="00F165B6">
        <w:rPr>
          <w:rFonts w:ascii="Arial" w:hAnsi="Arial" w:cs="Arial"/>
          <w:i/>
          <w:iCs/>
          <w:sz w:val="16"/>
          <w:szCs w:val="16"/>
        </w:rPr>
        <w:t>Mean scores for degree of need for training and education for management skills for securing finance for real estate project development for the future at the disaggregate level</w:t>
      </w:r>
    </w:p>
    <w:tbl>
      <w:tblPr>
        <w:tblW w:w="4908" w:type="pct"/>
        <w:tblCellMar>
          <w:left w:w="10" w:type="dxa"/>
          <w:right w:w="10" w:type="dxa"/>
        </w:tblCellMar>
        <w:tblLook w:val="0000" w:firstRow="0" w:lastRow="0" w:firstColumn="0" w:lastColumn="0" w:noHBand="0" w:noVBand="0"/>
      </w:tblPr>
      <w:tblGrid>
        <w:gridCol w:w="1404"/>
        <w:gridCol w:w="710"/>
        <w:gridCol w:w="590"/>
        <w:gridCol w:w="625"/>
        <w:gridCol w:w="591"/>
        <w:gridCol w:w="627"/>
        <w:gridCol w:w="591"/>
        <w:gridCol w:w="627"/>
        <w:gridCol w:w="591"/>
        <w:gridCol w:w="657"/>
        <w:gridCol w:w="593"/>
        <w:gridCol w:w="651"/>
        <w:gridCol w:w="593"/>
      </w:tblGrid>
      <w:tr w:rsidR="00F165B6" w:rsidRPr="00F165B6" w14:paraId="0777D752" w14:textId="77777777" w:rsidTr="004F5D57">
        <w:trPr>
          <w:trHeight w:val="241"/>
        </w:trPr>
        <w:tc>
          <w:tcPr>
            <w:tcW w:w="1404" w:type="dxa"/>
            <w:vMerge w:val="restart"/>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F134E4" w14:textId="77777777" w:rsidR="00F165B6" w:rsidRPr="00F165B6" w:rsidRDefault="00F165B6" w:rsidP="00F165B6">
            <w:pPr>
              <w:rPr>
                <w:rFonts w:ascii="Arial" w:hAnsi="Arial" w:cs="Arial"/>
                <w:sz w:val="16"/>
                <w:szCs w:val="16"/>
              </w:rPr>
            </w:pPr>
            <w:r w:rsidRPr="00F165B6">
              <w:rPr>
                <w:rFonts w:ascii="Arial" w:hAnsi="Arial" w:cs="Arial"/>
                <w:sz w:val="16"/>
                <w:szCs w:val="16"/>
              </w:rPr>
              <w:t>Degree of the importance of Management skills</w:t>
            </w:r>
          </w:p>
        </w:tc>
        <w:tc>
          <w:tcPr>
            <w:tcW w:w="1300"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886D0FE" w14:textId="77777777" w:rsidR="00F165B6" w:rsidRPr="00F165B6" w:rsidRDefault="00F165B6" w:rsidP="00F165B6">
            <w:pPr>
              <w:rPr>
                <w:rFonts w:ascii="Arial" w:hAnsi="Arial" w:cs="Arial"/>
                <w:b/>
                <w:sz w:val="16"/>
                <w:szCs w:val="16"/>
              </w:rPr>
            </w:pPr>
            <w:r w:rsidRPr="00F165B6">
              <w:rPr>
                <w:rFonts w:ascii="Arial" w:hAnsi="Arial" w:cs="Arial"/>
                <w:b/>
                <w:sz w:val="16"/>
                <w:szCs w:val="16"/>
              </w:rPr>
              <w:t>Germany</w:t>
            </w:r>
          </w:p>
          <w:p w14:paraId="070C62AA" w14:textId="77777777" w:rsidR="00F165B6" w:rsidRPr="00F165B6" w:rsidRDefault="00F165B6" w:rsidP="00F165B6">
            <w:pPr>
              <w:rPr>
                <w:rFonts w:ascii="Arial" w:hAnsi="Arial" w:cs="Arial"/>
                <w:b/>
                <w:sz w:val="16"/>
                <w:szCs w:val="16"/>
              </w:rPr>
            </w:pPr>
            <w:r w:rsidRPr="00F165B6">
              <w:rPr>
                <w:rFonts w:ascii="Arial" w:hAnsi="Arial" w:cs="Arial"/>
                <w:b/>
                <w:sz w:val="16"/>
                <w:szCs w:val="16"/>
              </w:rPr>
              <w:t>N=5</w:t>
            </w:r>
          </w:p>
        </w:tc>
        <w:tc>
          <w:tcPr>
            <w:tcW w:w="1216"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31C4B1" w14:textId="77777777" w:rsidR="00F165B6" w:rsidRPr="00F165B6" w:rsidRDefault="00F165B6" w:rsidP="00F165B6">
            <w:pPr>
              <w:rPr>
                <w:rFonts w:ascii="Arial" w:hAnsi="Arial" w:cs="Arial"/>
                <w:b/>
                <w:sz w:val="16"/>
                <w:szCs w:val="16"/>
              </w:rPr>
            </w:pPr>
            <w:r w:rsidRPr="00F165B6">
              <w:rPr>
                <w:rFonts w:ascii="Arial" w:hAnsi="Arial" w:cs="Arial"/>
                <w:b/>
                <w:sz w:val="16"/>
                <w:szCs w:val="16"/>
              </w:rPr>
              <w:t>UK</w:t>
            </w:r>
          </w:p>
          <w:p w14:paraId="6D535EDD" w14:textId="77777777" w:rsidR="00F165B6" w:rsidRPr="00F165B6" w:rsidRDefault="00F165B6" w:rsidP="00F165B6">
            <w:pPr>
              <w:rPr>
                <w:rFonts w:ascii="Arial" w:hAnsi="Arial" w:cs="Arial"/>
                <w:b/>
                <w:sz w:val="16"/>
                <w:szCs w:val="16"/>
              </w:rPr>
            </w:pPr>
            <w:r w:rsidRPr="00F165B6">
              <w:rPr>
                <w:rFonts w:ascii="Arial" w:hAnsi="Arial" w:cs="Arial"/>
                <w:b/>
                <w:sz w:val="16"/>
                <w:szCs w:val="16"/>
              </w:rPr>
              <w:t>N=20</w:t>
            </w:r>
          </w:p>
        </w:tc>
        <w:tc>
          <w:tcPr>
            <w:tcW w:w="1218"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26B36B4" w14:textId="77777777" w:rsidR="00F165B6" w:rsidRPr="00F165B6" w:rsidRDefault="00F165B6" w:rsidP="00F165B6">
            <w:pPr>
              <w:rPr>
                <w:rFonts w:ascii="Arial" w:hAnsi="Arial" w:cs="Arial"/>
                <w:b/>
                <w:sz w:val="16"/>
                <w:szCs w:val="16"/>
              </w:rPr>
            </w:pPr>
            <w:r w:rsidRPr="00F165B6">
              <w:rPr>
                <w:rFonts w:ascii="Arial" w:hAnsi="Arial" w:cs="Arial"/>
                <w:b/>
                <w:sz w:val="16"/>
                <w:szCs w:val="16"/>
              </w:rPr>
              <w:t>US</w:t>
            </w:r>
          </w:p>
          <w:p w14:paraId="561E647E" w14:textId="77777777" w:rsidR="00F165B6" w:rsidRPr="00F165B6" w:rsidRDefault="00F165B6" w:rsidP="00F165B6">
            <w:pPr>
              <w:rPr>
                <w:rFonts w:ascii="Arial" w:hAnsi="Arial" w:cs="Arial"/>
                <w:b/>
                <w:sz w:val="16"/>
                <w:szCs w:val="16"/>
              </w:rPr>
            </w:pPr>
            <w:r w:rsidRPr="00F165B6">
              <w:rPr>
                <w:rFonts w:ascii="Arial" w:hAnsi="Arial" w:cs="Arial"/>
                <w:b/>
                <w:sz w:val="16"/>
                <w:szCs w:val="16"/>
              </w:rPr>
              <w:t>N=8</w:t>
            </w:r>
          </w:p>
        </w:tc>
        <w:tc>
          <w:tcPr>
            <w:tcW w:w="1218"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020C17" w14:textId="77777777" w:rsidR="00F165B6" w:rsidRPr="00F165B6" w:rsidRDefault="00F165B6" w:rsidP="00F165B6">
            <w:pPr>
              <w:rPr>
                <w:rFonts w:ascii="Arial" w:hAnsi="Arial" w:cs="Arial"/>
                <w:b/>
                <w:sz w:val="16"/>
                <w:szCs w:val="16"/>
              </w:rPr>
            </w:pPr>
            <w:r w:rsidRPr="00F165B6">
              <w:rPr>
                <w:rFonts w:ascii="Arial" w:hAnsi="Arial" w:cs="Arial"/>
                <w:b/>
                <w:sz w:val="16"/>
                <w:szCs w:val="16"/>
              </w:rPr>
              <w:t>China</w:t>
            </w:r>
          </w:p>
          <w:p w14:paraId="5496B1C9" w14:textId="77777777" w:rsidR="00F165B6" w:rsidRPr="00F165B6" w:rsidRDefault="00F165B6" w:rsidP="00F165B6">
            <w:pPr>
              <w:rPr>
                <w:rFonts w:ascii="Arial" w:hAnsi="Arial" w:cs="Arial"/>
                <w:b/>
                <w:sz w:val="16"/>
                <w:szCs w:val="16"/>
              </w:rPr>
            </w:pPr>
            <w:r w:rsidRPr="00F165B6">
              <w:rPr>
                <w:rFonts w:ascii="Arial" w:hAnsi="Arial" w:cs="Arial"/>
                <w:b/>
                <w:sz w:val="16"/>
                <w:szCs w:val="16"/>
              </w:rPr>
              <w:t>N=11</w:t>
            </w:r>
          </w:p>
        </w:tc>
        <w:tc>
          <w:tcPr>
            <w:tcW w:w="1250"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2F4749" w14:textId="77777777" w:rsidR="00F165B6" w:rsidRPr="00F165B6" w:rsidRDefault="00F165B6" w:rsidP="00F165B6">
            <w:pPr>
              <w:rPr>
                <w:rFonts w:ascii="Arial" w:hAnsi="Arial" w:cs="Arial"/>
                <w:b/>
                <w:sz w:val="16"/>
                <w:szCs w:val="16"/>
              </w:rPr>
            </w:pPr>
            <w:r w:rsidRPr="00F165B6">
              <w:rPr>
                <w:rFonts w:ascii="Arial" w:hAnsi="Arial" w:cs="Arial"/>
                <w:b/>
                <w:sz w:val="16"/>
                <w:szCs w:val="16"/>
              </w:rPr>
              <w:t>Nigeria</w:t>
            </w:r>
          </w:p>
          <w:p w14:paraId="14CE7824" w14:textId="77777777" w:rsidR="00F165B6" w:rsidRPr="00F165B6" w:rsidRDefault="00F165B6" w:rsidP="00F165B6">
            <w:pPr>
              <w:rPr>
                <w:rFonts w:ascii="Arial" w:hAnsi="Arial" w:cs="Arial"/>
                <w:b/>
                <w:sz w:val="16"/>
                <w:szCs w:val="16"/>
              </w:rPr>
            </w:pPr>
            <w:r w:rsidRPr="00F165B6">
              <w:rPr>
                <w:rFonts w:ascii="Arial" w:hAnsi="Arial" w:cs="Arial"/>
                <w:b/>
                <w:sz w:val="16"/>
                <w:szCs w:val="16"/>
              </w:rPr>
              <w:t>N=26</w:t>
            </w:r>
          </w:p>
        </w:tc>
        <w:tc>
          <w:tcPr>
            <w:tcW w:w="1244" w:type="dxa"/>
            <w:gridSpan w:val="2"/>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E3AE88" w14:textId="77777777" w:rsidR="00F165B6" w:rsidRPr="00F165B6" w:rsidRDefault="00F165B6" w:rsidP="00F165B6">
            <w:pPr>
              <w:rPr>
                <w:rFonts w:ascii="Arial" w:hAnsi="Arial" w:cs="Arial"/>
                <w:b/>
                <w:sz w:val="16"/>
                <w:szCs w:val="16"/>
              </w:rPr>
            </w:pPr>
            <w:r w:rsidRPr="00F165B6">
              <w:rPr>
                <w:rFonts w:ascii="Arial" w:hAnsi="Arial" w:cs="Arial"/>
                <w:b/>
                <w:sz w:val="16"/>
                <w:szCs w:val="16"/>
              </w:rPr>
              <w:t>South Africa</w:t>
            </w:r>
          </w:p>
          <w:p w14:paraId="6CAB6CBF" w14:textId="77777777" w:rsidR="00F165B6" w:rsidRPr="00F165B6" w:rsidRDefault="00F165B6" w:rsidP="00F165B6">
            <w:pPr>
              <w:rPr>
                <w:rFonts w:ascii="Arial" w:hAnsi="Arial" w:cs="Arial"/>
                <w:b/>
                <w:sz w:val="16"/>
                <w:szCs w:val="16"/>
              </w:rPr>
            </w:pPr>
            <w:r w:rsidRPr="00F165B6">
              <w:rPr>
                <w:rFonts w:ascii="Arial" w:hAnsi="Arial" w:cs="Arial"/>
                <w:b/>
                <w:sz w:val="16"/>
                <w:szCs w:val="16"/>
              </w:rPr>
              <w:t>N=11</w:t>
            </w:r>
          </w:p>
        </w:tc>
      </w:tr>
      <w:tr w:rsidR="00F165B6" w:rsidRPr="00F165B6" w14:paraId="1201E649" w14:textId="77777777" w:rsidTr="004F5D57">
        <w:trPr>
          <w:trHeight w:val="191"/>
        </w:trPr>
        <w:tc>
          <w:tcPr>
            <w:tcW w:w="1404" w:type="dxa"/>
            <w:vMerge/>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B8C290D" w14:textId="77777777" w:rsidR="00F165B6" w:rsidRPr="00F165B6" w:rsidRDefault="00F165B6" w:rsidP="00F165B6">
            <w:pPr>
              <w:rPr>
                <w:rFonts w:ascii="Arial" w:hAnsi="Arial" w:cs="Arial"/>
                <w:b/>
                <w:sz w:val="16"/>
                <w:szCs w:val="16"/>
              </w:rPr>
            </w:pP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0F9D67"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Mean score </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11675C6"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B1026C"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2B6CCBD"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D950E4"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0119B0"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434D22"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AF2BCD0"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423887" w14:textId="77777777" w:rsidR="00F165B6" w:rsidRPr="00F165B6" w:rsidRDefault="00F165B6" w:rsidP="00F165B6">
            <w:pPr>
              <w:rPr>
                <w:rFonts w:ascii="Arial" w:hAnsi="Arial" w:cs="Arial"/>
                <w:sz w:val="16"/>
                <w:szCs w:val="16"/>
              </w:rPr>
            </w:pPr>
            <w:r w:rsidRPr="00F165B6">
              <w:rPr>
                <w:rFonts w:ascii="Arial" w:hAnsi="Arial" w:cs="Arial"/>
                <w:sz w:val="16"/>
                <w:szCs w:val="16"/>
              </w:rPr>
              <w:t>Mean score</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7F5907"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872E0B"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CFE474C"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1352A11E"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EC306B" w14:textId="77777777" w:rsidR="00F165B6" w:rsidRPr="00F165B6" w:rsidRDefault="00F165B6" w:rsidP="00F165B6">
            <w:pPr>
              <w:rPr>
                <w:rFonts w:ascii="Arial" w:hAnsi="Arial" w:cs="Arial"/>
                <w:sz w:val="16"/>
                <w:szCs w:val="16"/>
              </w:rPr>
            </w:pPr>
            <w:r w:rsidRPr="00F165B6">
              <w:rPr>
                <w:rFonts w:ascii="Arial" w:hAnsi="Arial" w:cs="Arial"/>
                <w:sz w:val="16"/>
                <w:szCs w:val="16"/>
              </w:rPr>
              <w:t>Analytical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0A7807"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AB6176"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C6B931"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0BB7805"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2F8553F" w14:textId="77777777" w:rsidR="00F165B6" w:rsidRPr="00F165B6" w:rsidRDefault="00F165B6" w:rsidP="00F165B6">
            <w:pPr>
              <w:rPr>
                <w:rFonts w:ascii="Arial" w:hAnsi="Arial" w:cs="Arial"/>
                <w:sz w:val="16"/>
                <w:szCs w:val="16"/>
              </w:rPr>
            </w:pPr>
            <w:r w:rsidRPr="00F165B6">
              <w:rPr>
                <w:rFonts w:ascii="Arial" w:hAnsi="Arial" w:cs="Arial"/>
                <w:sz w:val="16"/>
                <w:szCs w:val="16"/>
              </w:rPr>
              <w:t>3.20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EB2E6C"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60CB96"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6F182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FD6D46" w14:textId="77777777" w:rsidR="00F165B6" w:rsidRPr="00F165B6" w:rsidRDefault="00F165B6" w:rsidP="00F165B6">
            <w:pPr>
              <w:rPr>
                <w:rFonts w:ascii="Arial" w:hAnsi="Arial" w:cs="Arial"/>
                <w:sz w:val="16"/>
                <w:szCs w:val="16"/>
              </w:rPr>
            </w:pPr>
            <w:r w:rsidRPr="00F165B6">
              <w:rPr>
                <w:rFonts w:ascii="Arial" w:hAnsi="Arial" w:cs="Arial"/>
                <w:sz w:val="16"/>
                <w:szCs w:val="16"/>
              </w:rPr>
              <w:t>3.81</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55F4C3"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19BD0FB"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1ACF57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173C9871"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FBB42B" w14:textId="77777777" w:rsidR="00F165B6" w:rsidRPr="00F165B6" w:rsidRDefault="00F165B6" w:rsidP="00F165B6">
            <w:pPr>
              <w:rPr>
                <w:rFonts w:ascii="Arial" w:hAnsi="Arial" w:cs="Arial"/>
                <w:sz w:val="16"/>
                <w:szCs w:val="16"/>
              </w:rPr>
            </w:pPr>
            <w:r w:rsidRPr="00F165B6">
              <w:rPr>
                <w:rFonts w:ascii="Arial" w:hAnsi="Arial" w:cs="Arial"/>
                <w:sz w:val="16"/>
                <w:szCs w:val="16"/>
              </w:rPr>
              <w:t>Budgeting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3BBF45"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1259840"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4EB574" w14:textId="77777777" w:rsidR="00F165B6" w:rsidRPr="00F165B6" w:rsidRDefault="00F165B6" w:rsidP="00F165B6">
            <w:pPr>
              <w:rPr>
                <w:rFonts w:ascii="Arial" w:hAnsi="Arial" w:cs="Arial"/>
                <w:sz w:val="16"/>
                <w:szCs w:val="16"/>
              </w:rPr>
            </w:pPr>
            <w:r w:rsidRPr="00F165B6">
              <w:rPr>
                <w:rFonts w:ascii="Arial" w:hAnsi="Arial" w:cs="Arial"/>
                <w:sz w:val="16"/>
                <w:szCs w:val="16"/>
              </w:rPr>
              <w:t>3.29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93F3B0"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F88AE4"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F53281"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C9F6B70"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E962BB"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67D7EDE"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778E9C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AE77E6" w14:textId="77777777" w:rsidR="00F165B6" w:rsidRPr="00F165B6" w:rsidRDefault="00F165B6" w:rsidP="00F165B6">
            <w:pPr>
              <w:rPr>
                <w:rFonts w:ascii="Arial" w:hAnsi="Arial" w:cs="Arial"/>
                <w:sz w:val="16"/>
                <w:szCs w:val="16"/>
              </w:rPr>
            </w:pPr>
            <w:r w:rsidRPr="00F165B6">
              <w:rPr>
                <w:rFonts w:ascii="Arial" w:hAnsi="Arial" w:cs="Arial"/>
                <w:sz w:val="16"/>
                <w:szCs w:val="16"/>
              </w:rPr>
              <w:t>3.57</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43A9A41"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r>
      <w:tr w:rsidR="00F165B6" w:rsidRPr="00F165B6" w14:paraId="6EB2C415"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B0DEF3" w14:textId="77777777" w:rsidR="00F165B6" w:rsidRPr="00F165B6" w:rsidRDefault="00F165B6" w:rsidP="00F165B6">
            <w:pPr>
              <w:rPr>
                <w:rFonts w:ascii="Arial" w:hAnsi="Arial" w:cs="Arial"/>
                <w:sz w:val="16"/>
                <w:szCs w:val="16"/>
              </w:rPr>
            </w:pPr>
            <w:r w:rsidRPr="00F165B6">
              <w:rPr>
                <w:rFonts w:ascii="Arial" w:hAnsi="Arial" w:cs="Arial"/>
                <w:sz w:val="16"/>
                <w:szCs w:val="16"/>
              </w:rPr>
              <w:t>Teamwork</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65D716"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F9336B"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367433"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614AAAF"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1E4D378"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291588A"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CFE9DF1"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FE1166"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3EE50CC"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9E544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154F5D"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927581"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0DF995D7"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B193AE2" w14:textId="77777777" w:rsidR="00F165B6" w:rsidRPr="00F165B6" w:rsidRDefault="00F165B6" w:rsidP="00F165B6">
            <w:pPr>
              <w:rPr>
                <w:rFonts w:ascii="Arial" w:hAnsi="Arial" w:cs="Arial"/>
                <w:sz w:val="16"/>
                <w:szCs w:val="16"/>
              </w:rPr>
            </w:pPr>
            <w:r w:rsidRPr="00F165B6">
              <w:rPr>
                <w:rFonts w:ascii="Arial" w:hAnsi="Arial" w:cs="Arial"/>
                <w:sz w:val="16"/>
                <w:szCs w:val="16"/>
              </w:rPr>
              <w:t>Communication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1F4E79C" w14:textId="77777777" w:rsidR="00F165B6" w:rsidRPr="00F165B6" w:rsidRDefault="00F165B6" w:rsidP="00F165B6">
            <w:pPr>
              <w:rPr>
                <w:rFonts w:ascii="Arial" w:hAnsi="Arial" w:cs="Arial"/>
                <w:sz w:val="16"/>
                <w:szCs w:val="16"/>
              </w:rPr>
            </w:pPr>
            <w:r w:rsidRPr="00F165B6">
              <w:rPr>
                <w:rFonts w:ascii="Arial" w:hAnsi="Arial" w:cs="Arial"/>
                <w:sz w:val="16"/>
                <w:szCs w:val="16"/>
              </w:rPr>
              <w:t>0.00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B664102"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CD8D4F2" w14:textId="77777777" w:rsidR="00F165B6" w:rsidRPr="00F165B6" w:rsidRDefault="00F165B6" w:rsidP="00F165B6">
            <w:pPr>
              <w:rPr>
                <w:rFonts w:ascii="Arial" w:hAnsi="Arial" w:cs="Arial"/>
                <w:sz w:val="16"/>
                <w:szCs w:val="16"/>
              </w:rPr>
            </w:pPr>
            <w:r w:rsidRPr="00F165B6">
              <w:rPr>
                <w:rFonts w:ascii="Arial" w:hAnsi="Arial" w:cs="Arial"/>
                <w:sz w:val="16"/>
                <w:szCs w:val="16"/>
              </w:rPr>
              <w:t>3.57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6E455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671D82"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8E3C438"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EB5076"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7AC0F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A48C3FA"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4933347"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22F305" w14:textId="77777777" w:rsidR="00F165B6" w:rsidRPr="00F165B6" w:rsidRDefault="00F165B6" w:rsidP="00F165B6">
            <w:pPr>
              <w:rPr>
                <w:rFonts w:ascii="Arial" w:hAnsi="Arial" w:cs="Arial"/>
                <w:sz w:val="16"/>
                <w:szCs w:val="16"/>
              </w:rPr>
            </w:pPr>
            <w:r w:rsidRPr="00F165B6">
              <w:rPr>
                <w:rFonts w:ascii="Arial" w:hAnsi="Arial" w:cs="Arial"/>
                <w:sz w:val="16"/>
                <w:szCs w:val="16"/>
              </w:rPr>
              <w:t>4.14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DD20AEA"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754D8054"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AF622FC"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confidence &amp; building relationships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A8FB23" w14:textId="77777777" w:rsidR="00F165B6" w:rsidRPr="00F165B6" w:rsidRDefault="00F165B6" w:rsidP="00F165B6">
            <w:pPr>
              <w:rPr>
                <w:rFonts w:ascii="Arial" w:hAnsi="Arial" w:cs="Arial"/>
                <w:sz w:val="16"/>
                <w:szCs w:val="16"/>
              </w:rPr>
            </w:pPr>
            <w:r w:rsidRPr="00F165B6">
              <w:rPr>
                <w:rFonts w:ascii="Arial" w:hAnsi="Arial" w:cs="Arial"/>
                <w:sz w:val="16"/>
                <w:szCs w:val="16"/>
              </w:rPr>
              <w:t>0.00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0B71C2B"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C08F23"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4012A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p w14:paraId="16192C20" w14:textId="77777777" w:rsidR="00F165B6" w:rsidRPr="00F165B6" w:rsidRDefault="00F165B6" w:rsidP="00F165B6">
            <w:pPr>
              <w:rPr>
                <w:rFonts w:ascii="Arial" w:hAnsi="Arial" w:cs="Arial"/>
                <w:sz w:val="16"/>
                <w:szCs w:val="16"/>
              </w:rPr>
            </w:pP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BE80B8"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D5CFC6B"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p w14:paraId="034C6C17" w14:textId="77777777" w:rsidR="00F165B6" w:rsidRPr="00F165B6" w:rsidRDefault="00F165B6" w:rsidP="00F165B6">
            <w:pPr>
              <w:rPr>
                <w:rFonts w:ascii="Arial" w:hAnsi="Arial" w:cs="Arial"/>
                <w:sz w:val="16"/>
                <w:szCs w:val="16"/>
              </w:rPr>
            </w:pP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DB7251"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BD5D99"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1BCB50F" w14:textId="77777777" w:rsidR="00F165B6" w:rsidRPr="00F165B6" w:rsidRDefault="00F165B6" w:rsidP="00F165B6">
            <w:pPr>
              <w:rPr>
                <w:rFonts w:ascii="Arial" w:hAnsi="Arial" w:cs="Arial"/>
                <w:sz w:val="16"/>
                <w:szCs w:val="16"/>
              </w:rPr>
            </w:pPr>
            <w:r w:rsidRPr="00F165B6">
              <w:rPr>
                <w:rFonts w:ascii="Arial" w:hAnsi="Arial" w:cs="Arial"/>
                <w:sz w:val="16"/>
                <w:szCs w:val="16"/>
              </w:rPr>
              <w:t>4.07</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7AF1AA"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95F247" w14:textId="77777777" w:rsidR="00F165B6" w:rsidRPr="00F165B6" w:rsidRDefault="00F165B6" w:rsidP="00F165B6">
            <w:pPr>
              <w:rPr>
                <w:rFonts w:ascii="Arial" w:hAnsi="Arial" w:cs="Arial"/>
                <w:sz w:val="16"/>
                <w:szCs w:val="16"/>
              </w:rPr>
            </w:pPr>
            <w:r w:rsidRPr="00F165B6">
              <w:rPr>
                <w:rFonts w:ascii="Arial" w:hAnsi="Arial" w:cs="Arial"/>
                <w:sz w:val="16"/>
                <w:szCs w:val="16"/>
              </w:rPr>
              <w:t>4.57</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7C80C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p w14:paraId="54665812" w14:textId="77777777" w:rsidR="00F165B6" w:rsidRPr="00F165B6" w:rsidRDefault="00F165B6" w:rsidP="00F165B6">
            <w:pPr>
              <w:rPr>
                <w:rFonts w:ascii="Arial" w:hAnsi="Arial" w:cs="Arial"/>
                <w:sz w:val="16"/>
                <w:szCs w:val="16"/>
              </w:rPr>
            </w:pPr>
          </w:p>
        </w:tc>
      </w:tr>
      <w:tr w:rsidR="00F165B6" w:rsidRPr="00F165B6" w14:paraId="1195A3E9"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4115E5" w14:textId="77777777" w:rsidR="00F165B6" w:rsidRPr="00F165B6" w:rsidRDefault="00F165B6" w:rsidP="00F165B6">
            <w:pPr>
              <w:rPr>
                <w:rFonts w:ascii="Arial" w:hAnsi="Arial" w:cs="Arial"/>
                <w:sz w:val="16"/>
                <w:szCs w:val="16"/>
              </w:rPr>
            </w:pPr>
            <w:r w:rsidRPr="00F165B6">
              <w:rPr>
                <w:rFonts w:ascii="Arial" w:hAnsi="Arial" w:cs="Arial"/>
                <w:sz w:val="16"/>
                <w:szCs w:val="16"/>
              </w:rPr>
              <w:t>Strategic planning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0F1C3F1"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F6AE8C"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392FAF8"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B2A1D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7F83D61"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577E84"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9D6459"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1F6E5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D9E34A"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6F1714F"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94E554"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62E8449"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r>
      <w:tr w:rsidR="00F165B6" w:rsidRPr="00F165B6" w14:paraId="36D9F592"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BDEEBF"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7CEBB4"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6B3BD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0E2C2A1"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515E14"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A92D298"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DA60D4C"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6591506"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28836C2"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A9976D"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23209D"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DA71628" w14:textId="77777777" w:rsidR="00F165B6" w:rsidRPr="00F165B6" w:rsidRDefault="00F165B6" w:rsidP="00F165B6">
            <w:pPr>
              <w:rPr>
                <w:rFonts w:ascii="Arial" w:hAnsi="Arial" w:cs="Arial"/>
                <w:sz w:val="16"/>
                <w:szCs w:val="16"/>
              </w:rPr>
            </w:pPr>
            <w:r w:rsidRPr="00F165B6">
              <w:rPr>
                <w:rFonts w:ascii="Arial" w:hAnsi="Arial" w:cs="Arial"/>
                <w:sz w:val="16"/>
                <w:szCs w:val="16"/>
              </w:rPr>
              <w:t>3.43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09BE64"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r>
      <w:tr w:rsidR="00F165B6" w:rsidRPr="00F165B6" w14:paraId="570D7EE3"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2AEA373" w14:textId="77777777" w:rsidR="00F165B6" w:rsidRPr="00F165B6" w:rsidRDefault="00F165B6" w:rsidP="00F165B6">
            <w:pPr>
              <w:rPr>
                <w:rFonts w:ascii="Arial" w:hAnsi="Arial" w:cs="Arial"/>
                <w:sz w:val="16"/>
                <w:szCs w:val="16"/>
              </w:rPr>
            </w:pPr>
            <w:r w:rsidRPr="00F165B6">
              <w:rPr>
                <w:rFonts w:ascii="Arial" w:hAnsi="Arial" w:cs="Arial"/>
                <w:sz w:val="16"/>
                <w:szCs w:val="16"/>
              </w:rPr>
              <w:t>Negotiation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0C16292"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EF552D"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9A38CE4"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260F640"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CD3ACA0"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923284"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6A8DB3A"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EF21C8"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EEFA3BD" w14:textId="77777777" w:rsidR="00F165B6" w:rsidRPr="00F165B6" w:rsidRDefault="00F165B6" w:rsidP="00F165B6">
            <w:pPr>
              <w:rPr>
                <w:rFonts w:ascii="Arial" w:hAnsi="Arial" w:cs="Arial"/>
                <w:sz w:val="16"/>
                <w:szCs w:val="16"/>
              </w:rPr>
            </w:pPr>
            <w:r w:rsidRPr="00F165B6">
              <w:rPr>
                <w:rFonts w:ascii="Arial" w:hAnsi="Arial" w:cs="Arial"/>
                <w:sz w:val="16"/>
                <w:szCs w:val="16"/>
              </w:rPr>
              <w:t>3.87</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695855"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6EAA70"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8D8AAA"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6CEDEDB4"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C9B038"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Critical thinking </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7A2172"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F61E8BB"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2A315D"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FB4980D"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39E757"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E6CCC6C"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EEB2094"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4DA355"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7FDE5B" w14:textId="77777777" w:rsidR="00F165B6" w:rsidRPr="00F165B6" w:rsidRDefault="00F165B6" w:rsidP="00F165B6">
            <w:pPr>
              <w:rPr>
                <w:rFonts w:ascii="Arial" w:hAnsi="Arial" w:cs="Arial"/>
                <w:sz w:val="16"/>
                <w:szCs w:val="16"/>
              </w:rPr>
            </w:pPr>
            <w:r w:rsidRPr="00F165B6">
              <w:rPr>
                <w:rFonts w:ascii="Arial" w:hAnsi="Arial" w:cs="Arial"/>
                <w:sz w:val="16"/>
                <w:szCs w:val="16"/>
              </w:rPr>
              <w:t>4.07</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28200CD"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65BE13"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398D4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1985E7EC"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C505DA" w14:textId="77777777" w:rsidR="00F165B6" w:rsidRPr="00F165B6" w:rsidRDefault="00F165B6" w:rsidP="00F165B6">
            <w:pPr>
              <w:rPr>
                <w:rFonts w:ascii="Arial" w:hAnsi="Arial" w:cs="Arial"/>
                <w:sz w:val="16"/>
                <w:szCs w:val="16"/>
              </w:rPr>
            </w:pPr>
            <w:r w:rsidRPr="00F165B6">
              <w:rPr>
                <w:rFonts w:ascii="Arial" w:hAnsi="Arial" w:cs="Arial"/>
                <w:sz w:val="16"/>
                <w:szCs w:val="16"/>
              </w:rPr>
              <w:t>Commercial awareness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77E78F3"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9F2ECBF"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7715FDB"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775A28"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CA8547"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67B8FB"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3033E7"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43D9AA"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024A2A"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E40D52"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9DFB105"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596E96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5E9129BC"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1EFCBC" w14:textId="77777777" w:rsidR="00F165B6" w:rsidRPr="00F165B6" w:rsidRDefault="00F165B6" w:rsidP="00F165B6">
            <w:pPr>
              <w:rPr>
                <w:rFonts w:ascii="Arial" w:hAnsi="Arial" w:cs="Arial"/>
                <w:sz w:val="16"/>
                <w:szCs w:val="16"/>
              </w:rPr>
            </w:pPr>
            <w:r w:rsidRPr="00F165B6">
              <w:rPr>
                <w:rFonts w:ascii="Arial" w:hAnsi="Arial" w:cs="Arial"/>
                <w:sz w:val="16"/>
                <w:szCs w:val="16"/>
              </w:rPr>
              <w:t>Interpreting financial data and identifying trends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D29462"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593568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6A8A13"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23FD45E"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p w14:paraId="05C2EF59" w14:textId="77777777" w:rsidR="00F165B6" w:rsidRPr="00F165B6" w:rsidRDefault="00F165B6" w:rsidP="00F165B6">
            <w:pPr>
              <w:rPr>
                <w:rFonts w:ascii="Arial" w:hAnsi="Arial" w:cs="Arial"/>
                <w:sz w:val="16"/>
                <w:szCs w:val="16"/>
              </w:rPr>
            </w:pP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264CA9A"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BD424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AA53AF8"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D4225F"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376E07" w14:textId="77777777" w:rsidR="00F165B6" w:rsidRPr="00F165B6" w:rsidRDefault="00F165B6" w:rsidP="00F165B6">
            <w:pPr>
              <w:rPr>
                <w:rFonts w:ascii="Arial" w:hAnsi="Arial" w:cs="Arial"/>
                <w:sz w:val="16"/>
                <w:szCs w:val="16"/>
              </w:rPr>
            </w:pPr>
            <w:r w:rsidRPr="00F165B6">
              <w:rPr>
                <w:rFonts w:ascii="Arial" w:hAnsi="Arial" w:cs="Arial"/>
                <w:sz w:val="16"/>
                <w:szCs w:val="16"/>
              </w:rPr>
              <w:t>3.81</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84E26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1ED62ED"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F90713"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2CD61764"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FAF63B" w14:textId="77777777" w:rsidR="00F165B6" w:rsidRPr="00F165B6" w:rsidRDefault="00F165B6" w:rsidP="00F165B6">
            <w:pPr>
              <w:rPr>
                <w:rFonts w:ascii="Arial" w:hAnsi="Arial" w:cs="Arial"/>
                <w:sz w:val="16"/>
                <w:szCs w:val="16"/>
              </w:rPr>
            </w:pPr>
            <w:r w:rsidRPr="00F165B6">
              <w:rPr>
                <w:rFonts w:ascii="Arial" w:hAnsi="Arial" w:cs="Arial"/>
                <w:sz w:val="16"/>
                <w:szCs w:val="16"/>
              </w:rPr>
              <w:t>Planning and control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3C4DC40"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423A2E"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BEA04C"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918562F"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AF19FF"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9852C11"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F87F9D"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C44720B"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8D7D8D4" w14:textId="77777777" w:rsidR="00F165B6" w:rsidRPr="00F165B6" w:rsidRDefault="00F165B6" w:rsidP="00F165B6">
            <w:pPr>
              <w:rPr>
                <w:rFonts w:ascii="Arial" w:hAnsi="Arial" w:cs="Arial"/>
                <w:sz w:val="16"/>
                <w:szCs w:val="16"/>
              </w:rPr>
            </w:pPr>
            <w:r w:rsidRPr="00F165B6">
              <w:rPr>
                <w:rFonts w:ascii="Arial" w:hAnsi="Arial" w:cs="Arial"/>
                <w:sz w:val="16"/>
                <w:szCs w:val="16"/>
              </w:rPr>
              <w:t>4.19</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A605C5"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383EB8"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7CADEE7"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r>
      <w:tr w:rsidR="00F165B6" w:rsidRPr="00F165B6" w14:paraId="3B8B5B80"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C4C1825" w14:textId="77777777" w:rsidR="00F165B6" w:rsidRPr="00F165B6" w:rsidRDefault="00F165B6" w:rsidP="00F165B6">
            <w:pPr>
              <w:rPr>
                <w:rFonts w:ascii="Arial" w:hAnsi="Arial" w:cs="Arial"/>
                <w:sz w:val="16"/>
                <w:szCs w:val="16"/>
              </w:rPr>
            </w:pPr>
            <w:r w:rsidRPr="00F165B6">
              <w:rPr>
                <w:rFonts w:ascii="Arial" w:hAnsi="Arial" w:cs="Arial"/>
                <w:sz w:val="16"/>
                <w:szCs w:val="16"/>
              </w:rPr>
              <w:t>Risks management</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E46FB7C"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42ABF2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6F425CA"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5AA26F"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162D1B"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4CD21C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9689C4"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300B4D"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C2E86C7" w14:textId="77777777" w:rsidR="00F165B6" w:rsidRPr="00F165B6" w:rsidRDefault="00F165B6" w:rsidP="00F165B6">
            <w:pPr>
              <w:rPr>
                <w:rFonts w:ascii="Arial" w:hAnsi="Arial" w:cs="Arial"/>
                <w:sz w:val="16"/>
                <w:szCs w:val="16"/>
              </w:rPr>
            </w:pPr>
            <w:r w:rsidRPr="00F165B6">
              <w:rPr>
                <w:rFonts w:ascii="Arial" w:hAnsi="Arial" w:cs="Arial"/>
                <w:sz w:val="16"/>
                <w:szCs w:val="16"/>
              </w:rPr>
              <w:t>4.19</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FF55928"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6A3DB5"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CE0B11"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257B926D"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42238D"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financial forecast and models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5AC133"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B2876F"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002993A"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p w14:paraId="7EBCE8C2"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03A5E81"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A483E39"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87F5DC"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EFDB02"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EB1864A"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797EF3"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p w14:paraId="2F0827B7"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6E85FA2"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A9C6FA"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437210"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4F06FA3A"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0AD256F"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management approach analysis</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D81D1E3"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85DE501"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52734A7"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1BA39C"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p w14:paraId="7B6099AB" w14:textId="77777777" w:rsidR="00F165B6" w:rsidRPr="00F165B6" w:rsidRDefault="00F165B6" w:rsidP="00F165B6">
            <w:pPr>
              <w:rPr>
                <w:rFonts w:ascii="Arial" w:hAnsi="Arial" w:cs="Arial"/>
                <w:sz w:val="16"/>
                <w:szCs w:val="16"/>
              </w:rPr>
            </w:pP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F43B05"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B88F91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0C8019B"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F25786"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3147CB4"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00FB1A"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ADFC12"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p w14:paraId="01AC2079"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6684F1"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051EB23B" w14:textId="77777777" w:rsidTr="004F5D57">
        <w:trPr>
          <w:trHeight w:val="483"/>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BA6A65" w14:textId="77777777" w:rsidR="00F165B6" w:rsidRPr="00F165B6" w:rsidRDefault="00F165B6" w:rsidP="00F165B6">
            <w:pPr>
              <w:rPr>
                <w:rFonts w:ascii="Arial" w:hAnsi="Arial" w:cs="Arial"/>
                <w:sz w:val="16"/>
                <w:szCs w:val="16"/>
              </w:rPr>
            </w:pPr>
            <w:r w:rsidRPr="00F165B6">
              <w:rPr>
                <w:rFonts w:ascii="Arial" w:hAnsi="Arial" w:cs="Arial"/>
                <w:sz w:val="16"/>
                <w:szCs w:val="16"/>
              </w:rPr>
              <w:t>Developing and maintaining a cost management system</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909109"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18F922"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1A78A7" w14:textId="77777777" w:rsidR="00F165B6" w:rsidRPr="00F165B6" w:rsidRDefault="00F165B6" w:rsidP="00F165B6">
            <w:pPr>
              <w:rPr>
                <w:rFonts w:ascii="Arial" w:hAnsi="Arial" w:cs="Arial"/>
                <w:sz w:val="16"/>
                <w:szCs w:val="16"/>
              </w:rPr>
            </w:pPr>
            <w:r w:rsidRPr="00F165B6">
              <w:rPr>
                <w:rFonts w:ascii="Arial" w:hAnsi="Arial" w:cs="Arial"/>
                <w:sz w:val="16"/>
                <w:szCs w:val="16"/>
              </w:rPr>
              <w:t>2.88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935656"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p w14:paraId="02641FE0" w14:textId="77777777" w:rsidR="00F165B6" w:rsidRPr="00F165B6" w:rsidRDefault="00F165B6" w:rsidP="00F165B6">
            <w:pPr>
              <w:rPr>
                <w:rFonts w:ascii="Arial" w:hAnsi="Arial" w:cs="Arial"/>
                <w:sz w:val="16"/>
                <w:szCs w:val="16"/>
              </w:rPr>
            </w:pP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6279257"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p w14:paraId="4725F5C4"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65228B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F1878A"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p w14:paraId="14E9B1C5" w14:textId="77777777" w:rsidR="00F165B6" w:rsidRPr="00F165B6" w:rsidRDefault="00F165B6" w:rsidP="00F165B6">
            <w:pPr>
              <w:rPr>
                <w:rFonts w:ascii="Arial" w:hAnsi="Arial" w:cs="Arial"/>
                <w:sz w:val="16"/>
                <w:szCs w:val="16"/>
              </w:rPr>
            </w:pP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5596F9"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28DC871" w14:textId="77777777" w:rsidR="00F165B6" w:rsidRPr="00F165B6" w:rsidRDefault="00F165B6" w:rsidP="00F165B6">
            <w:pPr>
              <w:rPr>
                <w:rFonts w:ascii="Arial" w:hAnsi="Arial" w:cs="Arial"/>
                <w:sz w:val="16"/>
                <w:szCs w:val="16"/>
              </w:rPr>
            </w:pPr>
            <w:r w:rsidRPr="00F165B6">
              <w:rPr>
                <w:rFonts w:ascii="Arial" w:hAnsi="Arial" w:cs="Arial"/>
                <w:sz w:val="16"/>
                <w:szCs w:val="16"/>
              </w:rPr>
              <w:t>4.12</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4F65CD"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013FA5"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p w14:paraId="1BF34C13"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BA320B"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7E9275B5"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A839EF" w14:textId="77777777" w:rsidR="00F165B6" w:rsidRPr="00F165B6" w:rsidRDefault="00F165B6" w:rsidP="00F165B6">
            <w:pPr>
              <w:rPr>
                <w:rFonts w:ascii="Arial" w:hAnsi="Arial" w:cs="Arial"/>
                <w:sz w:val="16"/>
                <w:szCs w:val="16"/>
              </w:rPr>
            </w:pPr>
            <w:r w:rsidRPr="00F165B6">
              <w:rPr>
                <w:rFonts w:ascii="Arial" w:hAnsi="Arial" w:cs="Arial"/>
                <w:sz w:val="16"/>
                <w:szCs w:val="16"/>
              </w:rPr>
              <w:t>Specialised industry skill/ construction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1C337A7"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3AD37D"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D049BD" w14:textId="77777777" w:rsidR="00F165B6" w:rsidRPr="00F165B6" w:rsidRDefault="00F165B6" w:rsidP="00F165B6">
            <w:pPr>
              <w:rPr>
                <w:rFonts w:ascii="Arial" w:hAnsi="Arial" w:cs="Arial"/>
                <w:sz w:val="16"/>
                <w:szCs w:val="16"/>
              </w:rPr>
            </w:pPr>
            <w:r w:rsidRPr="00F165B6">
              <w:rPr>
                <w:rFonts w:ascii="Arial" w:hAnsi="Arial" w:cs="Arial"/>
                <w:sz w:val="16"/>
                <w:szCs w:val="16"/>
              </w:rPr>
              <w:t>3.62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1A99DA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3118F72"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B8CD59"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AAAD5E"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5C9C769"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8F4064D"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p w14:paraId="14A274D1"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7683C49"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4DD8580"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575631"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r w:rsidR="00F165B6" w:rsidRPr="00F165B6" w14:paraId="11491448"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3BA8DC6" w14:textId="77777777" w:rsidR="00F165B6" w:rsidRPr="00F165B6" w:rsidRDefault="00F165B6" w:rsidP="00F165B6">
            <w:pPr>
              <w:rPr>
                <w:rFonts w:ascii="Arial" w:hAnsi="Arial" w:cs="Arial"/>
                <w:sz w:val="16"/>
                <w:szCs w:val="16"/>
              </w:rPr>
            </w:pPr>
            <w:r w:rsidRPr="00F165B6">
              <w:rPr>
                <w:rFonts w:ascii="Arial" w:hAnsi="Arial" w:cs="Arial"/>
                <w:sz w:val="16"/>
                <w:szCs w:val="16"/>
              </w:rPr>
              <w:t>Diplomatic skills and social intelligence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6DDC9DC"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595CA18"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E76FE5F" w14:textId="77777777" w:rsidR="00F165B6" w:rsidRPr="00F165B6" w:rsidRDefault="00F165B6" w:rsidP="00F165B6">
            <w:pPr>
              <w:rPr>
                <w:rFonts w:ascii="Arial" w:hAnsi="Arial" w:cs="Arial"/>
                <w:sz w:val="16"/>
                <w:szCs w:val="16"/>
              </w:rPr>
            </w:pPr>
            <w:r w:rsidRPr="00F165B6">
              <w:rPr>
                <w:rFonts w:ascii="Arial" w:hAnsi="Arial" w:cs="Arial"/>
                <w:sz w:val="16"/>
                <w:szCs w:val="16"/>
              </w:rPr>
              <w:t>2.75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6093B89"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B3DB303"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909556D"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61F208B"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306EB5"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413D320" w14:textId="77777777" w:rsidR="00F165B6" w:rsidRPr="00F165B6" w:rsidRDefault="00F165B6" w:rsidP="00F165B6">
            <w:pPr>
              <w:rPr>
                <w:rFonts w:ascii="Arial" w:hAnsi="Arial" w:cs="Arial"/>
                <w:sz w:val="16"/>
                <w:szCs w:val="16"/>
              </w:rPr>
            </w:pPr>
            <w:r w:rsidRPr="00F165B6">
              <w:rPr>
                <w:rFonts w:ascii="Arial" w:hAnsi="Arial" w:cs="Arial"/>
                <w:sz w:val="16"/>
                <w:szCs w:val="16"/>
              </w:rPr>
              <w:t>3.87</w:t>
            </w:r>
          </w:p>
          <w:p w14:paraId="57971D09" w14:textId="77777777" w:rsidR="00F165B6" w:rsidRPr="00F165B6" w:rsidRDefault="00F165B6" w:rsidP="00F165B6">
            <w:pPr>
              <w:rPr>
                <w:rFonts w:ascii="Arial" w:hAnsi="Arial" w:cs="Arial"/>
                <w:sz w:val="16"/>
                <w:szCs w:val="16"/>
              </w:rPr>
            </w:pP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B41B4C4"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C09C86"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2416193"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211BBCB0"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9BCA66"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Identifying and accessing the </w:t>
            </w:r>
            <w:r w:rsidRPr="00F165B6">
              <w:rPr>
                <w:rFonts w:ascii="Arial" w:hAnsi="Arial" w:cs="Arial"/>
                <w:sz w:val="16"/>
                <w:szCs w:val="16"/>
              </w:rPr>
              <w:lastRenderedPageBreak/>
              <w:t>alternative option</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2B08664"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9209447"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1E53B7C"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228002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399C409"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02632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FA215B2"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2741BA"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116445"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74093E4"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3767017"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1B6E92A"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3EE020BF"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02269E7" w14:textId="77777777" w:rsidR="00F165B6" w:rsidRPr="00F165B6" w:rsidRDefault="00F165B6" w:rsidP="00F165B6">
            <w:pPr>
              <w:rPr>
                <w:rFonts w:ascii="Arial" w:hAnsi="Arial" w:cs="Arial"/>
                <w:sz w:val="16"/>
                <w:szCs w:val="16"/>
              </w:rPr>
            </w:pPr>
            <w:r w:rsidRPr="00F165B6">
              <w:rPr>
                <w:rFonts w:ascii="Arial" w:hAnsi="Arial" w:cs="Arial"/>
                <w:sz w:val="16"/>
                <w:szCs w:val="16"/>
              </w:rPr>
              <w:t>Market liquidity timing skill</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345A514"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1DAA1CC"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B7DC50F" w14:textId="77777777" w:rsidR="00F165B6" w:rsidRPr="00F165B6" w:rsidRDefault="00F165B6" w:rsidP="00F165B6">
            <w:pPr>
              <w:rPr>
                <w:rFonts w:ascii="Arial" w:hAnsi="Arial" w:cs="Arial"/>
                <w:sz w:val="16"/>
                <w:szCs w:val="16"/>
              </w:rPr>
            </w:pPr>
            <w:r w:rsidRPr="00F165B6">
              <w:rPr>
                <w:rFonts w:ascii="Arial" w:hAnsi="Arial" w:cs="Arial"/>
                <w:sz w:val="16"/>
                <w:szCs w:val="16"/>
              </w:rPr>
              <w:t>2.75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2FDB8E7"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AAB3156"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4908BA7"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4A8D96"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26A084"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7E8A671" w14:textId="77777777" w:rsidR="00F165B6" w:rsidRPr="00F165B6" w:rsidRDefault="00F165B6" w:rsidP="00F165B6">
            <w:pPr>
              <w:rPr>
                <w:rFonts w:ascii="Arial" w:hAnsi="Arial" w:cs="Arial"/>
                <w:sz w:val="16"/>
                <w:szCs w:val="16"/>
              </w:rPr>
            </w:pPr>
            <w:r w:rsidRPr="00F165B6">
              <w:rPr>
                <w:rFonts w:ascii="Arial" w:hAnsi="Arial" w:cs="Arial"/>
                <w:sz w:val="16"/>
                <w:szCs w:val="16"/>
              </w:rPr>
              <w:t>3.73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34629A0"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5B79A2C"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FA2428D"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2C4845FA" w14:textId="77777777" w:rsidTr="004F5D57">
        <w:trPr>
          <w:trHeight w:val="217"/>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7550D3D" w14:textId="77777777" w:rsidR="00F165B6" w:rsidRPr="00F165B6" w:rsidRDefault="00F165B6" w:rsidP="00F165B6">
            <w:pPr>
              <w:rPr>
                <w:rFonts w:ascii="Arial" w:hAnsi="Arial" w:cs="Arial"/>
                <w:sz w:val="16"/>
                <w:szCs w:val="16"/>
              </w:rPr>
            </w:pPr>
            <w:r w:rsidRPr="00F165B6">
              <w:rPr>
                <w:rFonts w:ascii="Arial" w:hAnsi="Arial" w:cs="Arial"/>
                <w:sz w:val="16"/>
                <w:szCs w:val="16"/>
              </w:rPr>
              <w:t>Recognising and using influence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4E9AC6F"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88FEE9" w14:textId="77777777" w:rsidR="00F165B6" w:rsidRPr="00F165B6" w:rsidRDefault="00F165B6" w:rsidP="00F165B6">
            <w:pPr>
              <w:rPr>
                <w:rFonts w:ascii="Arial" w:hAnsi="Arial" w:cs="Arial"/>
                <w:sz w:val="16"/>
                <w:szCs w:val="16"/>
              </w:rPr>
            </w:pPr>
            <w:r w:rsidRPr="00F165B6">
              <w:rPr>
                <w:rFonts w:ascii="Arial" w:hAnsi="Arial" w:cs="Arial"/>
                <w:sz w:val="16"/>
                <w:szCs w:val="16"/>
              </w:rPr>
              <w:t>21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9A7E94A" w14:textId="77777777" w:rsidR="00F165B6" w:rsidRPr="00F165B6" w:rsidRDefault="00F165B6" w:rsidP="00F165B6">
            <w:pPr>
              <w:rPr>
                <w:rFonts w:ascii="Arial" w:hAnsi="Arial" w:cs="Arial"/>
                <w:sz w:val="16"/>
                <w:szCs w:val="16"/>
              </w:rPr>
            </w:pPr>
            <w:r w:rsidRPr="00F165B6">
              <w:rPr>
                <w:rFonts w:ascii="Arial" w:hAnsi="Arial" w:cs="Arial"/>
                <w:sz w:val="16"/>
                <w:szCs w:val="16"/>
              </w:rPr>
              <w:t>3.13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ADA203"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52D16AC"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CB8633"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3E81178"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8F2F240"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B4449EE"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D510A5" w14:textId="77777777" w:rsidR="00F165B6" w:rsidRPr="00F165B6" w:rsidRDefault="00F165B6" w:rsidP="00F165B6">
            <w:pPr>
              <w:rPr>
                <w:rFonts w:ascii="Arial" w:hAnsi="Arial" w:cs="Arial"/>
                <w:sz w:val="16"/>
                <w:szCs w:val="16"/>
              </w:rPr>
            </w:pPr>
            <w:r w:rsidRPr="00F165B6">
              <w:rPr>
                <w:rFonts w:ascii="Arial" w:hAnsi="Arial" w:cs="Arial"/>
                <w:sz w:val="16"/>
                <w:szCs w:val="16"/>
              </w:rPr>
              <w:t>22</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9EC53F9"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5E3C9E" w14:textId="77777777" w:rsidR="00F165B6" w:rsidRPr="00F165B6" w:rsidRDefault="00F165B6" w:rsidP="00F165B6">
            <w:pPr>
              <w:rPr>
                <w:rFonts w:ascii="Arial" w:hAnsi="Arial" w:cs="Arial"/>
                <w:sz w:val="16"/>
                <w:szCs w:val="16"/>
              </w:rPr>
            </w:pPr>
            <w:r w:rsidRPr="00F165B6">
              <w:rPr>
                <w:rFonts w:ascii="Arial" w:hAnsi="Arial" w:cs="Arial"/>
                <w:sz w:val="16"/>
                <w:szCs w:val="16"/>
              </w:rPr>
              <w:t>20</w:t>
            </w:r>
          </w:p>
        </w:tc>
      </w:tr>
      <w:tr w:rsidR="00F165B6" w:rsidRPr="00F165B6" w14:paraId="5C46AA05" w14:textId="77777777" w:rsidTr="004F5D57">
        <w:trPr>
          <w:trHeight w:val="483"/>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BB153B8" w14:textId="77777777" w:rsidR="00F165B6" w:rsidRPr="00F165B6" w:rsidRDefault="00F165B6" w:rsidP="00F165B6">
            <w:pPr>
              <w:rPr>
                <w:rFonts w:ascii="Arial" w:hAnsi="Arial" w:cs="Arial"/>
                <w:sz w:val="16"/>
                <w:szCs w:val="16"/>
              </w:rPr>
            </w:pPr>
            <w:r w:rsidRPr="00F165B6">
              <w:rPr>
                <w:rFonts w:ascii="Arial" w:hAnsi="Arial" w:cs="Arial"/>
                <w:sz w:val="16"/>
                <w:szCs w:val="16"/>
              </w:rPr>
              <w:t>Emerging technologies( such as artificial intelligence &amp; machine learning)</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CE5BA20"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4220FE6"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9C8E631"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B338E09"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p w14:paraId="03DCDDDE" w14:textId="77777777" w:rsidR="00F165B6" w:rsidRPr="00F165B6" w:rsidRDefault="00F165B6" w:rsidP="00F165B6">
            <w:pPr>
              <w:rPr>
                <w:rFonts w:ascii="Arial" w:hAnsi="Arial" w:cs="Arial"/>
                <w:sz w:val="16"/>
                <w:szCs w:val="16"/>
              </w:rPr>
            </w:pPr>
          </w:p>
          <w:p w14:paraId="4B384505" w14:textId="77777777" w:rsidR="00F165B6" w:rsidRPr="00F165B6" w:rsidRDefault="00F165B6" w:rsidP="00F165B6">
            <w:pPr>
              <w:rPr>
                <w:rFonts w:ascii="Arial" w:hAnsi="Arial" w:cs="Arial"/>
                <w:sz w:val="16"/>
                <w:szCs w:val="16"/>
              </w:rPr>
            </w:pP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8BCB392"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A41D151"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A07CBC6"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8211903" w14:textId="77777777" w:rsidR="00F165B6" w:rsidRPr="00F165B6" w:rsidRDefault="00F165B6" w:rsidP="00F165B6">
            <w:pPr>
              <w:rPr>
                <w:rFonts w:ascii="Arial" w:hAnsi="Arial" w:cs="Arial"/>
                <w:sz w:val="16"/>
                <w:szCs w:val="16"/>
              </w:rPr>
            </w:pP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8C956C3"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F126C6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D58508"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2A5D670A"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r>
      <w:tr w:rsidR="00F165B6" w:rsidRPr="00F165B6" w14:paraId="3A988F7D" w14:textId="77777777" w:rsidTr="004F5D57">
        <w:trPr>
          <w:trHeight w:val="241"/>
        </w:trPr>
        <w:tc>
          <w:tcPr>
            <w:tcW w:w="1404"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1DF57549" w14:textId="77777777" w:rsidR="00F165B6" w:rsidRPr="00F165B6" w:rsidRDefault="00F165B6" w:rsidP="00F165B6">
            <w:pPr>
              <w:rPr>
                <w:rFonts w:ascii="Arial" w:hAnsi="Arial" w:cs="Arial"/>
                <w:sz w:val="16"/>
                <w:szCs w:val="16"/>
              </w:rPr>
            </w:pPr>
            <w:r w:rsidRPr="00F165B6">
              <w:rPr>
                <w:rFonts w:ascii="Arial" w:hAnsi="Arial" w:cs="Arial"/>
                <w:sz w:val="16"/>
                <w:szCs w:val="16"/>
              </w:rPr>
              <w:t>Emotional intelligence</w:t>
            </w:r>
          </w:p>
        </w:tc>
        <w:tc>
          <w:tcPr>
            <w:tcW w:w="71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CA12179"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59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C8E026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25"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EFE6B4D"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316752FF"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63E7DB5F"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0D7CA71"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2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017E1F5B"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9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5E85926A"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7"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54EDABA"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7D29FE4A" w14:textId="77777777" w:rsidR="00F165B6" w:rsidRPr="00F165B6" w:rsidRDefault="00F165B6" w:rsidP="00F165B6">
            <w:pPr>
              <w:rPr>
                <w:rFonts w:ascii="Arial" w:hAnsi="Arial" w:cs="Arial"/>
                <w:sz w:val="16"/>
                <w:szCs w:val="16"/>
              </w:rPr>
            </w:pPr>
            <w:r w:rsidRPr="00F165B6">
              <w:rPr>
                <w:rFonts w:ascii="Arial" w:hAnsi="Arial" w:cs="Arial"/>
                <w:sz w:val="16"/>
                <w:szCs w:val="16"/>
              </w:rPr>
              <w:t>23</w:t>
            </w:r>
          </w:p>
        </w:tc>
        <w:tc>
          <w:tcPr>
            <w:tcW w:w="65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F0D4C3A"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93"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tcPr>
          <w:p w14:paraId="4C3223E9"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bl>
    <w:p w14:paraId="09C59331" w14:textId="77777777" w:rsidR="00F165B6" w:rsidRPr="00F165B6" w:rsidRDefault="00F165B6" w:rsidP="00F165B6">
      <w:pPr>
        <w:rPr>
          <w:rFonts w:ascii="Arial" w:hAnsi="Arial" w:cs="Arial"/>
          <w:sz w:val="16"/>
          <w:szCs w:val="16"/>
        </w:rPr>
      </w:pPr>
      <w:r w:rsidRPr="00F165B6">
        <w:rPr>
          <w:rFonts w:ascii="Arial" w:hAnsi="Arial" w:cs="Arial"/>
          <w:sz w:val="16"/>
          <w:szCs w:val="16"/>
        </w:rPr>
        <w:t>Not needed(1), Less needed(2), Needed</w:t>
      </w:r>
      <w:r w:rsidRPr="00F165B6">
        <w:rPr>
          <w:rFonts w:ascii="Arial" w:hAnsi="Arial" w:cs="Arial"/>
          <w:sz w:val="16"/>
          <w:szCs w:val="16"/>
        </w:rPr>
        <w:tab/>
        <w:t>(3), Very needed(4) &amp; Highly needed(5)</w:t>
      </w:r>
    </w:p>
    <w:p w14:paraId="7BAC7E09" w14:textId="77777777" w:rsidR="00F165B6" w:rsidRPr="00F165B6" w:rsidRDefault="00F165B6" w:rsidP="00F165B6">
      <w:pPr>
        <w:rPr>
          <w:rFonts w:ascii="Arial" w:hAnsi="Arial" w:cs="Arial"/>
          <w:i/>
          <w:iCs/>
          <w:sz w:val="16"/>
          <w:szCs w:val="16"/>
        </w:rPr>
      </w:pPr>
      <w:bookmarkStart w:id="1604" w:name="_Toc64663364"/>
      <w:r w:rsidRPr="00F165B6">
        <w:rPr>
          <w:rFonts w:ascii="Arial" w:hAnsi="Arial" w:cs="Arial"/>
          <w:i/>
          <w:iCs/>
          <w:sz w:val="16"/>
          <w:szCs w:val="16"/>
        </w:rPr>
        <w:t xml:space="preserve"> </w:t>
      </w:r>
      <w:bookmarkEnd w:id="1604"/>
    </w:p>
    <w:p w14:paraId="236C2B2A" w14:textId="77777777" w:rsidR="00F165B6" w:rsidRPr="00F165B6" w:rsidRDefault="00F165B6" w:rsidP="00F165B6">
      <w:pPr>
        <w:rPr>
          <w:rFonts w:ascii="Arial" w:hAnsi="Arial" w:cs="Arial"/>
          <w:i/>
          <w:iCs/>
          <w:sz w:val="16"/>
          <w:szCs w:val="16"/>
        </w:rPr>
      </w:pPr>
    </w:p>
    <w:p w14:paraId="09DCC611"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Table 4: </w:t>
      </w:r>
      <w:bookmarkStart w:id="1605" w:name="_Toc64912484"/>
      <w:r w:rsidRPr="00F165B6">
        <w:rPr>
          <w:rFonts w:ascii="Arial" w:hAnsi="Arial" w:cs="Arial"/>
          <w:i/>
          <w:iCs/>
          <w:sz w:val="16"/>
          <w:szCs w:val="16"/>
        </w:rPr>
        <w:t>Spearman correlation coefficient test for the relationship between the management level and the importance of skills for securing finance for real estate project development</w:t>
      </w:r>
      <w:bookmarkEnd w:id="1605"/>
    </w:p>
    <w:tbl>
      <w:tblPr>
        <w:tblW w:w="10060" w:type="dxa"/>
        <w:tblCellMar>
          <w:left w:w="10" w:type="dxa"/>
          <w:right w:w="10" w:type="dxa"/>
        </w:tblCellMar>
        <w:tblLook w:val="0000" w:firstRow="0" w:lastRow="0" w:firstColumn="0" w:lastColumn="0" w:noHBand="0" w:noVBand="0"/>
      </w:tblPr>
      <w:tblGrid>
        <w:gridCol w:w="4815"/>
        <w:gridCol w:w="5245"/>
      </w:tblGrid>
      <w:tr w:rsidR="00F165B6" w:rsidRPr="00F165B6" w14:paraId="04DA0AB9" w14:textId="77777777" w:rsidTr="004F5D57">
        <w:trPr>
          <w:trHeight w:val="300"/>
        </w:trPr>
        <w:tc>
          <w:tcPr>
            <w:tcW w:w="48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A7397D"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w:t>
            </w:r>
          </w:p>
        </w:tc>
        <w:tc>
          <w:tcPr>
            <w:tcW w:w="524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555CE8"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Sig. (2-tailed)</w:t>
            </w:r>
          </w:p>
        </w:tc>
      </w:tr>
      <w:tr w:rsidR="00F165B6" w:rsidRPr="00F165B6" w14:paraId="2C4727D4"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DA17E6"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Mgt level/ Job title</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D3B157"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1</w:t>
            </w:r>
          </w:p>
        </w:tc>
      </w:tr>
      <w:tr w:rsidR="00F165B6" w:rsidRPr="00F165B6" w14:paraId="1C183683"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CFC5F5"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Risks management.</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EA2EF4"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0.84</w:t>
            </w:r>
          </w:p>
        </w:tc>
      </w:tr>
      <w:tr w:rsidR="00F165B6" w:rsidRPr="00F165B6" w14:paraId="7D517B81"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EFFA68"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Budgeting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66582C"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0.823</w:t>
            </w:r>
          </w:p>
        </w:tc>
      </w:tr>
      <w:tr w:rsidR="00F165B6" w:rsidRPr="00F165B6" w14:paraId="78FD5E55"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9FBF6E1"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Planning and control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3AE8B0"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0.76</w:t>
            </w:r>
          </w:p>
        </w:tc>
      </w:tr>
      <w:tr w:rsidR="00F165B6" w:rsidRPr="00F165B6" w14:paraId="738BEC72"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18DE23"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Market liquidity timing skill</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0EB6E9"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0.642</w:t>
            </w:r>
          </w:p>
        </w:tc>
      </w:tr>
      <w:tr w:rsidR="00F165B6" w:rsidRPr="00F165B6" w14:paraId="13B612DD"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FACF84"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Emotional intelligence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5F7EFC5"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0.584</w:t>
            </w:r>
          </w:p>
        </w:tc>
      </w:tr>
      <w:tr w:rsidR="00F165B6" w:rsidRPr="00F165B6" w14:paraId="0F559245"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AFE67E6"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Teamwork.</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E4C490"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0.52</w:t>
            </w:r>
          </w:p>
        </w:tc>
      </w:tr>
      <w:tr w:rsidR="00F165B6" w:rsidRPr="00F165B6" w14:paraId="487A7360"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0D91F41"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Communication</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490F7AE"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0.49</w:t>
            </w:r>
          </w:p>
        </w:tc>
      </w:tr>
      <w:tr w:rsidR="00F165B6" w:rsidRPr="00F165B6" w14:paraId="24036D50"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A90750"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Diplomatic skills and social intelligence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8A4EF2"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0.489</w:t>
            </w:r>
          </w:p>
        </w:tc>
      </w:tr>
      <w:tr w:rsidR="00F165B6" w:rsidRPr="00F165B6" w14:paraId="151D54EF"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854FE9"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Identifying and accessing the alternative option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5759D0"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0.431</w:t>
            </w:r>
          </w:p>
        </w:tc>
      </w:tr>
      <w:tr w:rsidR="00F165B6" w:rsidRPr="00F165B6" w14:paraId="148298D0"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501C88"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Strategic planning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6360BB"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0.372</w:t>
            </w:r>
          </w:p>
        </w:tc>
      </w:tr>
      <w:tr w:rsidR="00F165B6" w:rsidRPr="00F165B6" w14:paraId="07BCC11C"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12D23D9"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Financial management approach analysis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C53630"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0.322</w:t>
            </w:r>
          </w:p>
        </w:tc>
      </w:tr>
      <w:tr w:rsidR="00F165B6" w:rsidRPr="00F165B6" w14:paraId="41B30C5C"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48F169"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Interpreting financial data and identifying trends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C6249B8"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0.311</w:t>
            </w:r>
          </w:p>
        </w:tc>
      </w:tr>
      <w:tr w:rsidR="00F165B6" w:rsidRPr="00F165B6" w14:paraId="68D93433"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EDEA36"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Analytical skill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EC35B"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0.308</w:t>
            </w:r>
          </w:p>
        </w:tc>
      </w:tr>
      <w:tr w:rsidR="00F165B6" w:rsidRPr="00F165B6" w14:paraId="27710979"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B486EE"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Leadership skill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BA942B5"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0.287</w:t>
            </w:r>
          </w:p>
        </w:tc>
      </w:tr>
      <w:tr w:rsidR="00F165B6" w:rsidRPr="00F165B6" w14:paraId="714AA2AA"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853A34"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Emerging technologies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16AF2A"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0.274</w:t>
            </w:r>
          </w:p>
        </w:tc>
      </w:tr>
      <w:tr w:rsidR="00F165B6" w:rsidRPr="00F165B6" w14:paraId="25CFC219"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4F4DBD"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Recognizing and using influence</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86640C7"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0.271</w:t>
            </w:r>
          </w:p>
        </w:tc>
      </w:tr>
      <w:tr w:rsidR="00F165B6" w:rsidRPr="00F165B6" w14:paraId="0181A684"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560E94"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Critical thinking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7A00E8"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0.237</w:t>
            </w:r>
          </w:p>
        </w:tc>
      </w:tr>
      <w:tr w:rsidR="00F165B6" w:rsidRPr="00F165B6" w14:paraId="5A2DAC61"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DDCE72"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Developing and maintaining cost management system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945E9F9"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0.205</w:t>
            </w:r>
          </w:p>
        </w:tc>
      </w:tr>
      <w:tr w:rsidR="00F165B6" w:rsidRPr="00F165B6" w14:paraId="4DBFA998"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3AE48D"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Specialized industry skill /Construction skill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5EAA7F"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0.188</w:t>
            </w:r>
          </w:p>
        </w:tc>
      </w:tr>
      <w:tr w:rsidR="00F165B6" w:rsidRPr="00F165B6" w14:paraId="69703EB0"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CDA15CB"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Developing confidence and building relationships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82E3F6"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0.102</w:t>
            </w:r>
          </w:p>
        </w:tc>
      </w:tr>
      <w:tr w:rsidR="00F165B6" w:rsidRPr="00F165B6" w14:paraId="70BB773E"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21DC7A"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Commercial awareness skill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13F56F"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0.09</w:t>
            </w:r>
          </w:p>
        </w:tc>
      </w:tr>
      <w:tr w:rsidR="00F165B6" w:rsidRPr="00F165B6" w14:paraId="20B39D46"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DA7025"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 xml:space="preserve">Developing financial forecasts and models </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10D278F"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0.021</w:t>
            </w:r>
          </w:p>
        </w:tc>
      </w:tr>
      <w:tr w:rsidR="00F165B6" w:rsidRPr="00F165B6" w14:paraId="6A6CC04B" w14:textId="77777777" w:rsidTr="004F5D57">
        <w:trPr>
          <w:trHeight w:val="300"/>
        </w:trPr>
        <w:tc>
          <w:tcPr>
            <w:tcW w:w="481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A557E1"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Negotiation</w:t>
            </w:r>
          </w:p>
        </w:tc>
        <w:tc>
          <w:tcPr>
            <w:tcW w:w="524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291739"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0.001</w:t>
            </w:r>
          </w:p>
        </w:tc>
      </w:tr>
    </w:tbl>
    <w:p w14:paraId="6919EE3C" w14:textId="6316D3D2" w:rsidR="00F165B6" w:rsidRDefault="00F165B6" w:rsidP="00F165B6">
      <w:pPr>
        <w:rPr>
          <w:rFonts w:ascii="Arial" w:hAnsi="Arial" w:cs="Arial"/>
          <w:i/>
          <w:iCs/>
          <w:sz w:val="16"/>
          <w:szCs w:val="16"/>
        </w:rPr>
      </w:pPr>
    </w:p>
    <w:p w14:paraId="7DC90976" w14:textId="247CDC78" w:rsidR="00431941" w:rsidRDefault="00431941" w:rsidP="00F165B6">
      <w:pPr>
        <w:rPr>
          <w:rFonts w:ascii="Arial" w:hAnsi="Arial" w:cs="Arial"/>
          <w:i/>
          <w:iCs/>
          <w:sz w:val="16"/>
          <w:szCs w:val="16"/>
        </w:rPr>
      </w:pPr>
    </w:p>
    <w:p w14:paraId="6522B0F2" w14:textId="7EEB2D72" w:rsidR="00431941" w:rsidRDefault="00431941" w:rsidP="00F165B6">
      <w:pPr>
        <w:rPr>
          <w:rFonts w:ascii="Arial" w:hAnsi="Arial" w:cs="Arial"/>
          <w:i/>
          <w:iCs/>
          <w:sz w:val="16"/>
          <w:szCs w:val="16"/>
        </w:rPr>
      </w:pPr>
    </w:p>
    <w:p w14:paraId="1F3B6015" w14:textId="43E1CE3C" w:rsidR="00431941" w:rsidRDefault="00431941" w:rsidP="00F165B6">
      <w:pPr>
        <w:rPr>
          <w:rFonts w:ascii="Arial" w:hAnsi="Arial" w:cs="Arial"/>
          <w:i/>
          <w:iCs/>
          <w:sz w:val="16"/>
          <w:szCs w:val="16"/>
        </w:rPr>
      </w:pPr>
    </w:p>
    <w:p w14:paraId="48B1AE03" w14:textId="636D773D" w:rsidR="00431941" w:rsidRDefault="00431941" w:rsidP="00F165B6">
      <w:pPr>
        <w:rPr>
          <w:rFonts w:ascii="Arial" w:hAnsi="Arial" w:cs="Arial"/>
          <w:i/>
          <w:iCs/>
          <w:sz w:val="16"/>
          <w:szCs w:val="16"/>
        </w:rPr>
      </w:pPr>
    </w:p>
    <w:p w14:paraId="79844A4E" w14:textId="632388CC" w:rsidR="00431941" w:rsidRDefault="00431941" w:rsidP="00F165B6">
      <w:pPr>
        <w:rPr>
          <w:rFonts w:ascii="Arial" w:hAnsi="Arial" w:cs="Arial"/>
          <w:i/>
          <w:iCs/>
          <w:sz w:val="16"/>
          <w:szCs w:val="16"/>
        </w:rPr>
      </w:pPr>
    </w:p>
    <w:p w14:paraId="6543DAB1" w14:textId="7729974F" w:rsidR="00431941" w:rsidRDefault="00431941" w:rsidP="00F165B6">
      <w:pPr>
        <w:rPr>
          <w:rFonts w:ascii="Arial" w:hAnsi="Arial" w:cs="Arial"/>
          <w:i/>
          <w:iCs/>
          <w:sz w:val="16"/>
          <w:szCs w:val="16"/>
        </w:rPr>
      </w:pPr>
    </w:p>
    <w:p w14:paraId="119E97D4" w14:textId="0C3369AC" w:rsidR="00431941" w:rsidRDefault="00431941" w:rsidP="00F165B6">
      <w:pPr>
        <w:rPr>
          <w:rFonts w:ascii="Arial" w:hAnsi="Arial" w:cs="Arial"/>
          <w:i/>
          <w:iCs/>
          <w:sz w:val="16"/>
          <w:szCs w:val="16"/>
        </w:rPr>
      </w:pPr>
    </w:p>
    <w:p w14:paraId="2B69B42B" w14:textId="11319071" w:rsidR="00431941" w:rsidRDefault="00431941" w:rsidP="00F165B6">
      <w:pPr>
        <w:rPr>
          <w:rFonts w:ascii="Arial" w:hAnsi="Arial" w:cs="Arial"/>
          <w:i/>
          <w:iCs/>
          <w:sz w:val="16"/>
          <w:szCs w:val="16"/>
        </w:rPr>
      </w:pPr>
    </w:p>
    <w:p w14:paraId="357F0915" w14:textId="77777777" w:rsidR="00431941" w:rsidRPr="00F165B6" w:rsidRDefault="00431941" w:rsidP="00F165B6">
      <w:pPr>
        <w:rPr>
          <w:rFonts w:ascii="Arial" w:hAnsi="Arial" w:cs="Arial"/>
          <w:i/>
          <w:iCs/>
          <w:sz w:val="16"/>
          <w:szCs w:val="16"/>
        </w:rPr>
      </w:pPr>
    </w:p>
    <w:p w14:paraId="22D570B4"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Table 5: </w:t>
      </w:r>
      <w:r w:rsidRPr="00F165B6">
        <w:rPr>
          <w:rFonts w:ascii="Arial" w:hAnsi="Arial" w:cs="Arial"/>
          <w:i/>
          <w:iCs/>
          <w:sz w:val="16"/>
          <w:szCs w:val="16"/>
        </w:rPr>
        <w:t>Mean scores for Degree of importance of management knowledge for securing finance for real estate project development.at the disaggregate level</w:t>
      </w:r>
    </w:p>
    <w:tbl>
      <w:tblPr>
        <w:tblW w:w="9029" w:type="dxa"/>
        <w:tblInd w:w="93" w:type="dxa"/>
        <w:tblLayout w:type="fixed"/>
        <w:tblCellMar>
          <w:left w:w="10" w:type="dxa"/>
          <w:right w:w="10" w:type="dxa"/>
        </w:tblCellMar>
        <w:tblLook w:val="0000" w:firstRow="0" w:lastRow="0" w:firstColumn="0" w:lastColumn="0" w:noHBand="0" w:noVBand="0"/>
      </w:tblPr>
      <w:tblGrid>
        <w:gridCol w:w="1291"/>
        <w:gridCol w:w="644"/>
        <w:gridCol w:w="645"/>
        <w:gridCol w:w="645"/>
        <w:gridCol w:w="645"/>
        <w:gridCol w:w="645"/>
        <w:gridCol w:w="645"/>
        <w:gridCol w:w="644"/>
        <w:gridCol w:w="645"/>
        <w:gridCol w:w="645"/>
        <w:gridCol w:w="645"/>
        <w:gridCol w:w="645"/>
        <w:gridCol w:w="645"/>
      </w:tblGrid>
      <w:tr w:rsidR="00F165B6" w:rsidRPr="00F165B6" w14:paraId="3538133A" w14:textId="77777777" w:rsidTr="004F5D57">
        <w:trPr>
          <w:trHeight w:val="464"/>
        </w:trPr>
        <w:tc>
          <w:tcPr>
            <w:tcW w:w="129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1517B5C" w14:textId="77777777" w:rsidR="00F165B6" w:rsidRPr="00F165B6" w:rsidRDefault="00F165B6" w:rsidP="00F165B6">
            <w:pPr>
              <w:rPr>
                <w:rFonts w:ascii="Arial" w:hAnsi="Arial" w:cs="Arial"/>
                <w:sz w:val="16"/>
                <w:szCs w:val="16"/>
              </w:rPr>
            </w:pPr>
            <w:r w:rsidRPr="00F165B6">
              <w:rPr>
                <w:rFonts w:ascii="Arial" w:hAnsi="Arial" w:cs="Arial"/>
                <w:sz w:val="16"/>
                <w:szCs w:val="16"/>
              </w:rPr>
              <w:t>Management  Knowledge</w:t>
            </w:r>
          </w:p>
        </w:tc>
        <w:tc>
          <w:tcPr>
            <w:tcW w:w="6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66DAF" w14:textId="77777777" w:rsidR="00F165B6" w:rsidRPr="00F165B6" w:rsidRDefault="00F165B6" w:rsidP="00F165B6">
            <w:pPr>
              <w:rPr>
                <w:rFonts w:ascii="Arial" w:hAnsi="Arial" w:cs="Arial"/>
                <w:sz w:val="16"/>
                <w:szCs w:val="16"/>
              </w:rPr>
            </w:pPr>
            <w:r w:rsidRPr="00F165B6">
              <w:rPr>
                <w:rFonts w:ascii="Arial" w:hAnsi="Arial" w:cs="Arial"/>
                <w:sz w:val="16"/>
                <w:szCs w:val="16"/>
              </w:rPr>
              <w:t>Germany</w:t>
            </w:r>
          </w:p>
          <w:p w14:paraId="51DAB6C1" w14:textId="77777777" w:rsidR="00F165B6" w:rsidRPr="00F165B6" w:rsidRDefault="00F165B6" w:rsidP="00F165B6">
            <w:pPr>
              <w:rPr>
                <w:rFonts w:ascii="Arial" w:hAnsi="Arial" w:cs="Arial"/>
                <w:sz w:val="16"/>
                <w:szCs w:val="16"/>
              </w:rPr>
            </w:pPr>
            <w:r w:rsidRPr="00F165B6">
              <w:rPr>
                <w:rFonts w:ascii="Arial" w:hAnsi="Arial" w:cs="Arial"/>
                <w:sz w:val="16"/>
                <w:szCs w:val="16"/>
              </w:rPr>
              <w:t>N=5</w:t>
            </w:r>
          </w:p>
        </w:tc>
        <w:tc>
          <w:tcPr>
            <w:tcW w:w="64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A1DE55"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B4303" w14:textId="77777777" w:rsidR="00F165B6" w:rsidRPr="00F165B6" w:rsidRDefault="00F165B6" w:rsidP="00F165B6">
            <w:pPr>
              <w:rPr>
                <w:rFonts w:ascii="Arial" w:hAnsi="Arial" w:cs="Arial"/>
                <w:sz w:val="16"/>
                <w:szCs w:val="16"/>
              </w:rPr>
            </w:pPr>
            <w:r w:rsidRPr="00F165B6">
              <w:rPr>
                <w:rFonts w:ascii="Arial" w:hAnsi="Arial" w:cs="Arial"/>
                <w:sz w:val="16"/>
                <w:szCs w:val="16"/>
              </w:rPr>
              <w:t>UK</w:t>
            </w:r>
          </w:p>
          <w:p w14:paraId="20A6A5A8" w14:textId="77777777" w:rsidR="00F165B6" w:rsidRPr="00F165B6" w:rsidRDefault="00F165B6" w:rsidP="00F165B6">
            <w:pPr>
              <w:rPr>
                <w:rFonts w:ascii="Arial" w:hAnsi="Arial" w:cs="Arial"/>
                <w:sz w:val="16"/>
                <w:szCs w:val="16"/>
              </w:rPr>
            </w:pPr>
            <w:r w:rsidRPr="00F165B6">
              <w:rPr>
                <w:rFonts w:ascii="Arial" w:hAnsi="Arial" w:cs="Arial"/>
                <w:sz w:val="16"/>
                <w:szCs w:val="16"/>
              </w:rPr>
              <w:t>N=20</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DD029"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77C3A" w14:textId="77777777" w:rsidR="00F165B6" w:rsidRPr="00F165B6" w:rsidRDefault="00F165B6" w:rsidP="00F165B6">
            <w:pPr>
              <w:rPr>
                <w:rFonts w:ascii="Arial" w:hAnsi="Arial" w:cs="Arial"/>
                <w:sz w:val="16"/>
                <w:szCs w:val="16"/>
              </w:rPr>
            </w:pPr>
            <w:r w:rsidRPr="00F165B6">
              <w:rPr>
                <w:rFonts w:ascii="Arial" w:hAnsi="Arial" w:cs="Arial"/>
                <w:sz w:val="16"/>
                <w:szCs w:val="16"/>
              </w:rPr>
              <w:t>US</w:t>
            </w:r>
          </w:p>
          <w:p w14:paraId="3A8593EA" w14:textId="77777777" w:rsidR="00F165B6" w:rsidRPr="00F165B6" w:rsidRDefault="00F165B6" w:rsidP="00F165B6">
            <w:pPr>
              <w:rPr>
                <w:rFonts w:ascii="Arial" w:hAnsi="Arial" w:cs="Arial"/>
                <w:sz w:val="16"/>
                <w:szCs w:val="16"/>
              </w:rPr>
            </w:pPr>
            <w:r w:rsidRPr="00F165B6">
              <w:rPr>
                <w:rFonts w:ascii="Arial" w:hAnsi="Arial" w:cs="Arial"/>
                <w:sz w:val="16"/>
                <w:szCs w:val="16"/>
              </w:rPr>
              <w:t>N=8</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83F7E"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88330" w14:textId="77777777" w:rsidR="00F165B6" w:rsidRPr="00F165B6" w:rsidRDefault="00F165B6" w:rsidP="00F165B6">
            <w:pPr>
              <w:rPr>
                <w:rFonts w:ascii="Arial" w:hAnsi="Arial" w:cs="Arial"/>
                <w:sz w:val="16"/>
                <w:szCs w:val="16"/>
              </w:rPr>
            </w:pPr>
            <w:r w:rsidRPr="00F165B6">
              <w:rPr>
                <w:rFonts w:ascii="Arial" w:hAnsi="Arial" w:cs="Arial"/>
                <w:sz w:val="16"/>
                <w:szCs w:val="16"/>
              </w:rPr>
              <w:t>China</w:t>
            </w:r>
          </w:p>
          <w:p w14:paraId="22CDAE0B" w14:textId="77777777" w:rsidR="00F165B6" w:rsidRPr="00F165B6" w:rsidRDefault="00F165B6" w:rsidP="00F165B6">
            <w:pPr>
              <w:rPr>
                <w:rFonts w:ascii="Arial" w:hAnsi="Arial" w:cs="Arial"/>
                <w:sz w:val="16"/>
                <w:szCs w:val="16"/>
              </w:rPr>
            </w:pPr>
            <w:r w:rsidRPr="00F165B6">
              <w:rPr>
                <w:rFonts w:ascii="Arial" w:hAnsi="Arial" w:cs="Arial"/>
                <w:sz w:val="16"/>
                <w:szCs w:val="16"/>
              </w:rPr>
              <w:t>N=11</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A9B29"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5275" w14:textId="77777777" w:rsidR="00F165B6" w:rsidRPr="00F165B6" w:rsidRDefault="00F165B6" w:rsidP="00F165B6">
            <w:pPr>
              <w:rPr>
                <w:rFonts w:ascii="Arial" w:hAnsi="Arial" w:cs="Arial"/>
                <w:sz w:val="16"/>
                <w:szCs w:val="16"/>
              </w:rPr>
            </w:pPr>
            <w:r w:rsidRPr="00F165B6">
              <w:rPr>
                <w:rFonts w:ascii="Arial" w:hAnsi="Arial" w:cs="Arial"/>
                <w:sz w:val="16"/>
                <w:szCs w:val="16"/>
              </w:rPr>
              <w:t>Nigeria</w:t>
            </w:r>
          </w:p>
          <w:p w14:paraId="454B0ED2" w14:textId="77777777" w:rsidR="00F165B6" w:rsidRPr="00F165B6" w:rsidRDefault="00F165B6" w:rsidP="00F165B6">
            <w:pPr>
              <w:rPr>
                <w:rFonts w:ascii="Arial" w:hAnsi="Arial" w:cs="Arial"/>
                <w:sz w:val="16"/>
                <w:szCs w:val="16"/>
              </w:rPr>
            </w:pPr>
            <w:r w:rsidRPr="00F165B6">
              <w:rPr>
                <w:rFonts w:ascii="Arial" w:hAnsi="Arial" w:cs="Arial"/>
                <w:sz w:val="16"/>
                <w:szCs w:val="16"/>
              </w:rPr>
              <w:t>N=26</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47098"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05D0C"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w:t>
            </w:r>
          </w:p>
          <w:p w14:paraId="045E6982" w14:textId="77777777" w:rsidR="00F165B6" w:rsidRPr="00F165B6" w:rsidRDefault="00F165B6" w:rsidP="00F165B6">
            <w:pPr>
              <w:rPr>
                <w:rFonts w:ascii="Arial" w:hAnsi="Arial" w:cs="Arial"/>
                <w:sz w:val="16"/>
                <w:szCs w:val="16"/>
              </w:rPr>
            </w:pPr>
            <w:r w:rsidRPr="00F165B6">
              <w:rPr>
                <w:rFonts w:ascii="Arial" w:hAnsi="Arial" w:cs="Arial"/>
                <w:sz w:val="16"/>
                <w:szCs w:val="16"/>
              </w:rPr>
              <w:t>N=11</w:t>
            </w:r>
          </w:p>
        </w:tc>
        <w:tc>
          <w:tcPr>
            <w:tcW w:w="64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25307"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66B8055A"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467030" w14:textId="77777777" w:rsidR="00F165B6" w:rsidRPr="00F165B6" w:rsidRDefault="00F165B6" w:rsidP="00F165B6">
            <w:pPr>
              <w:rPr>
                <w:rFonts w:ascii="Arial" w:hAnsi="Arial" w:cs="Arial"/>
                <w:sz w:val="16"/>
                <w:szCs w:val="16"/>
              </w:rPr>
            </w:pPr>
            <w:r w:rsidRPr="00F165B6">
              <w:rPr>
                <w:rFonts w:ascii="Arial" w:hAnsi="Arial" w:cs="Arial"/>
                <w:sz w:val="16"/>
                <w:szCs w:val="16"/>
              </w:rPr>
              <w:t>Funding sources</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04AAC4C"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BC07E54"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2BB487D"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5D8C1D2"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7906A08"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A409F73"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1C320A5F"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6C4A146"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06BCE34" w14:textId="77777777" w:rsidR="00F165B6" w:rsidRPr="00F165B6" w:rsidRDefault="00F165B6" w:rsidP="00F165B6">
            <w:pPr>
              <w:rPr>
                <w:rFonts w:ascii="Arial" w:hAnsi="Arial" w:cs="Arial"/>
                <w:sz w:val="16"/>
                <w:szCs w:val="16"/>
              </w:rPr>
            </w:pPr>
            <w:r w:rsidRPr="00F165B6">
              <w:rPr>
                <w:rFonts w:ascii="Arial" w:hAnsi="Arial" w:cs="Arial"/>
                <w:sz w:val="16"/>
                <w:szCs w:val="16"/>
              </w:rPr>
              <w:t>4.43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2D25737"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A68A6E9"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BD7F3F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6C058A44"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B242BC"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Market intelligence </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DB6F580"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EF4E2C1"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3ABC2E1" w14:textId="77777777" w:rsidR="00F165B6" w:rsidRPr="00F165B6" w:rsidRDefault="00F165B6" w:rsidP="00F165B6">
            <w:pPr>
              <w:rPr>
                <w:rFonts w:ascii="Arial" w:hAnsi="Arial" w:cs="Arial"/>
                <w:sz w:val="16"/>
                <w:szCs w:val="16"/>
              </w:rPr>
            </w:pPr>
            <w:r w:rsidRPr="00F165B6">
              <w:rPr>
                <w:rFonts w:ascii="Arial" w:hAnsi="Arial" w:cs="Arial"/>
                <w:sz w:val="16"/>
                <w:szCs w:val="16"/>
              </w:rPr>
              <w:t>4.18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F60177E"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47209E0" w14:textId="77777777" w:rsidR="00F165B6" w:rsidRPr="00F165B6" w:rsidRDefault="00F165B6" w:rsidP="00F165B6">
            <w:pPr>
              <w:rPr>
                <w:rFonts w:ascii="Arial" w:hAnsi="Arial" w:cs="Arial"/>
                <w:sz w:val="16"/>
                <w:szCs w:val="16"/>
              </w:rPr>
            </w:pPr>
            <w:r w:rsidRPr="00F165B6">
              <w:rPr>
                <w:rFonts w:ascii="Arial" w:hAnsi="Arial" w:cs="Arial"/>
                <w:sz w:val="16"/>
                <w:szCs w:val="16"/>
              </w:rPr>
              <w:t>4.80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5F1ACB2"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737AE5BA" w14:textId="77777777" w:rsidR="00F165B6" w:rsidRPr="00F165B6" w:rsidRDefault="00F165B6" w:rsidP="00F165B6">
            <w:pPr>
              <w:rPr>
                <w:rFonts w:ascii="Arial" w:hAnsi="Arial" w:cs="Arial"/>
                <w:sz w:val="16"/>
                <w:szCs w:val="16"/>
              </w:rPr>
            </w:pPr>
            <w:r w:rsidRPr="00F165B6">
              <w:rPr>
                <w:rFonts w:ascii="Arial" w:hAnsi="Arial" w:cs="Arial"/>
                <w:sz w:val="16"/>
                <w:szCs w:val="16"/>
              </w:rPr>
              <w:t>3.78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CCC123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BE2EB4B" w14:textId="77777777" w:rsidR="00F165B6" w:rsidRPr="00F165B6" w:rsidRDefault="00F165B6" w:rsidP="00F165B6">
            <w:pPr>
              <w:rPr>
                <w:rFonts w:ascii="Arial" w:hAnsi="Arial" w:cs="Arial"/>
                <w:sz w:val="16"/>
                <w:szCs w:val="16"/>
              </w:rPr>
            </w:pPr>
            <w:r w:rsidRPr="00F165B6">
              <w:rPr>
                <w:rFonts w:ascii="Arial" w:hAnsi="Arial" w:cs="Arial"/>
                <w:sz w:val="16"/>
                <w:szCs w:val="16"/>
              </w:rPr>
              <w:t>4.43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B6981F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9AD0719" w14:textId="77777777" w:rsidR="00F165B6" w:rsidRPr="00F165B6" w:rsidRDefault="00F165B6" w:rsidP="00F165B6">
            <w:pPr>
              <w:rPr>
                <w:rFonts w:ascii="Arial" w:hAnsi="Arial" w:cs="Arial"/>
                <w:sz w:val="16"/>
                <w:szCs w:val="16"/>
              </w:rPr>
            </w:pPr>
            <w:r w:rsidRPr="00F165B6">
              <w:rPr>
                <w:rFonts w:ascii="Arial" w:hAnsi="Arial" w:cs="Arial"/>
                <w:sz w:val="16"/>
                <w:szCs w:val="16"/>
              </w:rPr>
              <w:t>4.44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DF646C2"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580ECC17"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965468" w14:textId="77777777" w:rsidR="00F165B6" w:rsidRPr="00F165B6" w:rsidRDefault="00F165B6" w:rsidP="00F165B6">
            <w:pPr>
              <w:rPr>
                <w:rFonts w:ascii="Arial" w:hAnsi="Arial" w:cs="Arial"/>
                <w:sz w:val="16"/>
                <w:szCs w:val="16"/>
              </w:rPr>
            </w:pPr>
            <w:r w:rsidRPr="00F165B6">
              <w:rPr>
                <w:rFonts w:ascii="Arial" w:hAnsi="Arial" w:cs="Arial"/>
                <w:sz w:val="16"/>
                <w:szCs w:val="16"/>
              </w:rPr>
              <w:t>Fundamental concepts of economics &amp; finance ( e.g. calculation of interest rate &amp; inflation)</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130DD71"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AAC12B8"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656C815"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A4679B0"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CB7274A" w14:textId="77777777" w:rsidR="00F165B6" w:rsidRPr="00F165B6" w:rsidRDefault="00F165B6" w:rsidP="00F165B6">
            <w:pPr>
              <w:rPr>
                <w:rFonts w:ascii="Arial" w:hAnsi="Arial" w:cs="Arial"/>
                <w:sz w:val="16"/>
                <w:szCs w:val="16"/>
              </w:rPr>
            </w:pPr>
            <w:r w:rsidRPr="00F165B6">
              <w:rPr>
                <w:rFonts w:ascii="Arial" w:hAnsi="Arial" w:cs="Arial"/>
                <w:sz w:val="16"/>
                <w:szCs w:val="16"/>
              </w:rPr>
              <w:t>4.60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96AE6E5"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4528D50E"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A824936"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33F6F44" w14:textId="77777777" w:rsidR="00F165B6" w:rsidRPr="00F165B6" w:rsidRDefault="00F165B6" w:rsidP="00F165B6">
            <w:pPr>
              <w:rPr>
                <w:rFonts w:ascii="Arial" w:hAnsi="Arial" w:cs="Arial"/>
                <w:sz w:val="16"/>
                <w:szCs w:val="16"/>
              </w:rPr>
            </w:pPr>
            <w:r w:rsidRPr="00F165B6">
              <w:rPr>
                <w:rFonts w:ascii="Arial" w:hAnsi="Arial" w:cs="Arial"/>
                <w:sz w:val="16"/>
                <w:szCs w:val="16"/>
              </w:rPr>
              <w:t>4.43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39C4498"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D003A3D"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CC6F76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608B1E3D"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B870BC"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accounting basics </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0C9C918"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8346DA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E600BB2"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5AD65BD"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824AE5F" w14:textId="77777777" w:rsidR="00F165B6" w:rsidRPr="00F165B6" w:rsidRDefault="00F165B6" w:rsidP="00F165B6">
            <w:pPr>
              <w:rPr>
                <w:rFonts w:ascii="Arial" w:hAnsi="Arial" w:cs="Arial"/>
                <w:sz w:val="16"/>
                <w:szCs w:val="16"/>
              </w:rPr>
            </w:pPr>
            <w:r w:rsidRPr="00F165B6">
              <w:rPr>
                <w:rFonts w:ascii="Arial" w:hAnsi="Arial" w:cs="Arial"/>
                <w:sz w:val="16"/>
                <w:szCs w:val="16"/>
              </w:rPr>
              <w:t>4.80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2423A84"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71CBC925"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1F07F90"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25A792C" w14:textId="77777777" w:rsidR="00F165B6" w:rsidRPr="00F165B6" w:rsidRDefault="00F165B6" w:rsidP="00F165B6">
            <w:pPr>
              <w:rPr>
                <w:rFonts w:ascii="Arial" w:hAnsi="Arial" w:cs="Arial"/>
                <w:sz w:val="16"/>
                <w:szCs w:val="16"/>
              </w:rPr>
            </w:pPr>
            <w:r w:rsidRPr="00F165B6">
              <w:rPr>
                <w:rFonts w:ascii="Arial" w:hAnsi="Arial" w:cs="Arial"/>
                <w:sz w:val="16"/>
                <w:szCs w:val="16"/>
              </w:rPr>
              <w:t>4.55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3E7803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32EF2A2"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B1F083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67476ABA"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13F874" w14:textId="77777777" w:rsidR="00F165B6" w:rsidRPr="00F165B6" w:rsidRDefault="00F165B6" w:rsidP="00F165B6">
            <w:pPr>
              <w:rPr>
                <w:rFonts w:ascii="Arial" w:hAnsi="Arial" w:cs="Arial"/>
                <w:sz w:val="16"/>
                <w:szCs w:val="16"/>
              </w:rPr>
            </w:pPr>
            <w:r w:rsidRPr="00F165B6">
              <w:rPr>
                <w:rFonts w:ascii="Arial" w:hAnsi="Arial" w:cs="Arial"/>
                <w:sz w:val="16"/>
                <w:szCs w:val="16"/>
              </w:rPr>
              <w:t>Debt literacy</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D2F625E"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DDD7D06"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51236F4" w14:textId="77777777" w:rsidR="00F165B6" w:rsidRPr="00F165B6" w:rsidRDefault="00F165B6" w:rsidP="00F165B6">
            <w:pPr>
              <w:rPr>
                <w:rFonts w:ascii="Arial" w:hAnsi="Arial" w:cs="Arial"/>
                <w:sz w:val="16"/>
                <w:szCs w:val="16"/>
              </w:rPr>
            </w:pPr>
            <w:r w:rsidRPr="00F165B6">
              <w:rPr>
                <w:rFonts w:ascii="Arial" w:hAnsi="Arial" w:cs="Arial"/>
                <w:sz w:val="16"/>
                <w:szCs w:val="16"/>
              </w:rPr>
              <w:t>4.27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6D31E6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C436276" w14:textId="77777777" w:rsidR="00F165B6" w:rsidRPr="00F165B6" w:rsidRDefault="00F165B6" w:rsidP="00F165B6">
            <w:pPr>
              <w:rPr>
                <w:rFonts w:ascii="Arial" w:hAnsi="Arial" w:cs="Arial"/>
                <w:sz w:val="16"/>
                <w:szCs w:val="16"/>
              </w:rPr>
            </w:pPr>
            <w:r w:rsidRPr="00F165B6">
              <w:rPr>
                <w:rFonts w:ascii="Arial" w:hAnsi="Arial" w:cs="Arial"/>
                <w:sz w:val="16"/>
                <w:szCs w:val="16"/>
              </w:rPr>
              <w:t>5.00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025366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6EA5498F"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603F6F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1268A64" w14:textId="77777777" w:rsidR="00F165B6" w:rsidRPr="00F165B6" w:rsidRDefault="00F165B6" w:rsidP="00F165B6">
            <w:pPr>
              <w:rPr>
                <w:rFonts w:ascii="Arial" w:hAnsi="Arial" w:cs="Arial"/>
                <w:sz w:val="16"/>
                <w:szCs w:val="16"/>
              </w:rPr>
            </w:pPr>
            <w:r w:rsidRPr="00F165B6">
              <w:rPr>
                <w:rFonts w:ascii="Arial" w:hAnsi="Arial" w:cs="Arial"/>
                <w:sz w:val="16"/>
                <w:szCs w:val="16"/>
              </w:rPr>
              <w:t>4.32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E9819A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C1D41A2" w14:textId="77777777" w:rsidR="00F165B6" w:rsidRPr="00F165B6" w:rsidRDefault="00F165B6" w:rsidP="00F165B6">
            <w:pPr>
              <w:rPr>
                <w:rFonts w:ascii="Arial" w:hAnsi="Arial" w:cs="Arial"/>
                <w:sz w:val="16"/>
                <w:szCs w:val="16"/>
              </w:rPr>
            </w:pPr>
            <w:r w:rsidRPr="00F165B6">
              <w:rPr>
                <w:rFonts w:ascii="Arial" w:hAnsi="Arial" w:cs="Arial"/>
                <w:sz w:val="16"/>
                <w:szCs w:val="16"/>
              </w:rPr>
              <w:t>4.44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96BCA93"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7834373C" w14:textId="77777777" w:rsidTr="004F5D57">
        <w:trPr>
          <w:trHeight w:val="464"/>
        </w:trPr>
        <w:tc>
          <w:tcPr>
            <w:tcW w:w="129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64F0B"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management concepts &amp; terms such as ( cash flow, debt – asset ratio, return on investment &amp; rate of return)</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DA31AEE"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54D16AC" w14:textId="77777777" w:rsidR="00F165B6" w:rsidRPr="00F165B6" w:rsidRDefault="00F165B6" w:rsidP="00F165B6">
            <w:pPr>
              <w:rPr>
                <w:rFonts w:ascii="Arial" w:hAnsi="Arial" w:cs="Arial"/>
                <w:sz w:val="16"/>
                <w:szCs w:val="16"/>
              </w:rPr>
            </w:pPr>
          </w:p>
          <w:p w14:paraId="196B81DA"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C6158F8"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D9EF497"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61A1E2B"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304453F"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25E12B66"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p w14:paraId="4A4AB3A8"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EDB1870"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6454373" w14:textId="77777777" w:rsidR="00F165B6" w:rsidRPr="00F165B6" w:rsidRDefault="00F165B6" w:rsidP="00F165B6">
            <w:pPr>
              <w:rPr>
                <w:rFonts w:ascii="Arial" w:hAnsi="Arial" w:cs="Arial"/>
                <w:sz w:val="16"/>
                <w:szCs w:val="16"/>
              </w:rPr>
            </w:pPr>
            <w:r w:rsidRPr="00F165B6">
              <w:rPr>
                <w:rFonts w:ascii="Arial" w:hAnsi="Arial" w:cs="Arial"/>
                <w:sz w:val="16"/>
                <w:szCs w:val="16"/>
              </w:rPr>
              <w:t>4.43</w:t>
            </w:r>
          </w:p>
          <w:p w14:paraId="4A39668C" w14:textId="77777777" w:rsidR="00F165B6" w:rsidRPr="00F165B6" w:rsidRDefault="00F165B6" w:rsidP="00F165B6">
            <w:pPr>
              <w:rPr>
                <w:rFonts w:ascii="Arial" w:hAnsi="Arial" w:cs="Arial"/>
                <w:sz w:val="16"/>
                <w:szCs w:val="16"/>
              </w:rPr>
            </w:pPr>
          </w:p>
          <w:p w14:paraId="171FE58C" w14:textId="77777777" w:rsidR="00F165B6" w:rsidRPr="00F165B6" w:rsidRDefault="00F165B6" w:rsidP="00F165B6">
            <w:pPr>
              <w:rPr>
                <w:rFonts w:ascii="Arial" w:hAnsi="Arial" w:cs="Arial"/>
                <w:sz w:val="16"/>
                <w:szCs w:val="16"/>
              </w:rPr>
            </w:pPr>
          </w:p>
          <w:p w14:paraId="3DB5F9C9"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93C6A44"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DC568CD"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9525FDB"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133CC866"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380178" w14:textId="77777777" w:rsidR="00F165B6" w:rsidRPr="00F165B6" w:rsidRDefault="00F165B6" w:rsidP="00F165B6">
            <w:pPr>
              <w:rPr>
                <w:rFonts w:ascii="Arial" w:hAnsi="Arial" w:cs="Arial"/>
                <w:sz w:val="16"/>
                <w:szCs w:val="16"/>
              </w:rPr>
            </w:pPr>
            <w:r w:rsidRPr="00F165B6">
              <w:rPr>
                <w:rFonts w:ascii="Arial" w:hAnsi="Arial" w:cs="Arial"/>
                <w:sz w:val="16"/>
                <w:szCs w:val="16"/>
              </w:rPr>
              <w:t>Techniques and conditions for loan effectiveness</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D9D180F"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EB0CB84"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F7C7F83"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634A878"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D2FE24D"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1099497"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47963EFE"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9FB83D1"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0FCD831"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EFEC5E4"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EFA797E"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A13C36B"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542BFDBA"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E0B372" w14:textId="77777777" w:rsidR="00F165B6" w:rsidRPr="00F165B6" w:rsidRDefault="00F165B6" w:rsidP="00F165B6">
            <w:pPr>
              <w:rPr>
                <w:rFonts w:ascii="Arial" w:hAnsi="Arial" w:cs="Arial"/>
                <w:sz w:val="16"/>
                <w:szCs w:val="16"/>
              </w:rPr>
            </w:pPr>
            <w:r w:rsidRPr="00F165B6">
              <w:rPr>
                <w:rFonts w:ascii="Arial" w:hAnsi="Arial" w:cs="Arial"/>
                <w:sz w:val="16"/>
                <w:szCs w:val="16"/>
              </w:rPr>
              <w:t>Finance options</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050CD57"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6E273E6"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8850A9B"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2F4C429"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3162972" w14:textId="77777777" w:rsidR="00F165B6" w:rsidRPr="00F165B6" w:rsidRDefault="00F165B6" w:rsidP="00F165B6">
            <w:pPr>
              <w:rPr>
                <w:rFonts w:ascii="Arial" w:hAnsi="Arial" w:cs="Arial"/>
                <w:sz w:val="16"/>
                <w:szCs w:val="16"/>
              </w:rPr>
            </w:pPr>
            <w:r w:rsidRPr="00F165B6">
              <w:rPr>
                <w:rFonts w:ascii="Arial" w:hAnsi="Arial" w:cs="Arial"/>
                <w:sz w:val="16"/>
                <w:szCs w:val="16"/>
              </w:rPr>
              <w:t>4.60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440B80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61DFE40A"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53C4021"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3750C6D" w14:textId="77777777" w:rsidR="00F165B6" w:rsidRPr="00F165B6" w:rsidRDefault="00F165B6" w:rsidP="00F165B6">
            <w:pPr>
              <w:rPr>
                <w:rFonts w:ascii="Arial" w:hAnsi="Arial" w:cs="Arial"/>
                <w:sz w:val="16"/>
                <w:szCs w:val="16"/>
              </w:rPr>
            </w:pPr>
            <w:r w:rsidRPr="00F165B6">
              <w:rPr>
                <w:rFonts w:ascii="Arial" w:hAnsi="Arial" w:cs="Arial"/>
                <w:sz w:val="16"/>
                <w:szCs w:val="16"/>
              </w:rPr>
              <w:t>4.45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C6A94A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FD5A974" w14:textId="77777777" w:rsidR="00F165B6" w:rsidRPr="00F165B6" w:rsidRDefault="00F165B6" w:rsidP="00F165B6">
            <w:pPr>
              <w:rPr>
                <w:rFonts w:ascii="Arial" w:hAnsi="Arial" w:cs="Arial"/>
                <w:sz w:val="16"/>
                <w:szCs w:val="16"/>
              </w:rPr>
            </w:pPr>
            <w:r w:rsidRPr="00F165B6">
              <w:rPr>
                <w:rFonts w:ascii="Arial" w:hAnsi="Arial" w:cs="Arial"/>
                <w:sz w:val="16"/>
                <w:szCs w:val="16"/>
              </w:rPr>
              <w:t>4.60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2D2985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535E46AF"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B1AF86" w14:textId="77777777" w:rsidR="00F165B6" w:rsidRPr="00F165B6" w:rsidRDefault="00F165B6" w:rsidP="00F165B6">
            <w:pPr>
              <w:rPr>
                <w:rFonts w:ascii="Arial" w:hAnsi="Arial" w:cs="Arial"/>
                <w:sz w:val="16"/>
                <w:szCs w:val="16"/>
              </w:rPr>
            </w:pPr>
            <w:r w:rsidRPr="00F165B6">
              <w:rPr>
                <w:rFonts w:ascii="Arial" w:hAnsi="Arial" w:cs="Arial"/>
                <w:sz w:val="16"/>
                <w:szCs w:val="16"/>
              </w:rPr>
              <w:t>Cost calculation techniques</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9A7712F"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7ADF92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83D4323"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1455EF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D5A28D6" w14:textId="77777777" w:rsidR="00F165B6" w:rsidRPr="00F165B6" w:rsidRDefault="00F165B6" w:rsidP="00F165B6">
            <w:pPr>
              <w:rPr>
                <w:rFonts w:ascii="Arial" w:hAnsi="Arial" w:cs="Arial"/>
                <w:sz w:val="16"/>
                <w:szCs w:val="16"/>
              </w:rPr>
            </w:pPr>
            <w:r w:rsidRPr="00F165B6">
              <w:rPr>
                <w:rFonts w:ascii="Arial" w:hAnsi="Arial" w:cs="Arial"/>
                <w:sz w:val="16"/>
                <w:szCs w:val="16"/>
              </w:rPr>
              <w:t>4.80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6DD8F89"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7CD81C8F"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9CC9715"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8CCC14C"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2202AB8"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713B1D5"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999FBD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73C455F9"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CA8588" w14:textId="77777777" w:rsidR="00F165B6" w:rsidRPr="00F165B6" w:rsidRDefault="00F165B6" w:rsidP="00F165B6">
            <w:pPr>
              <w:rPr>
                <w:rFonts w:ascii="Arial" w:hAnsi="Arial" w:cs="Arial"/>
                <w:sz w:val="16"/>
                <w:szCs w:val="16"/>
              </w:rPr>
            </w:pPr>
            <w:r w:rsidRPr="00F165B6">
              <w:rPr>
                <w:rFonts w:ascii="Arial" w:hAnsi="Arial" w:cs="Arial"/>
                <w:sz w:val="16"/>
                <w:szCs w:val="16"/>
              </w:rPr>
              <w:t>Strategies for managing risks and uncertainty</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E71AA12"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9962B1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0FFCDD2" w14:textId="77777777" w:rsidR="00F165B6" w:rsidRPr="00F165B6" w:rsidRDefault="00F165B6" w:rsidP="00F165B6">
            <w:pPr>
              <w:rPr>
                <w:rFonts w:ascii="Arial" w:hAnsi="Arial" w:cs="Arial"/>
                <w:sz w:val="16"/>
                <w:szCs w:val="16"/>
              </w:rPr>
            </w:pPr>
            <w:r w:rsidRPr="00F165B6">
              <w:rPr>
                <w:rFonts w:ascii="Arial" w:hAnsi="Arial" w:cs="Arial"/>
                <w:sz w:val="16"/>
                <w:szCs w:val="16"/>
              </w:rPr>
              <w:t>3.40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087E189"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7E3FBFD"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0471419"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41DAB369"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E21A30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B792521" w14:textId="77777777" w:rsidR="00F165B6" w:rsidRPr="00F165B6" w:rsidRDefault="00F165B6" w:rsidP="00F165B6">
            <w:pPr>
              <w:rPr>
                <w:rFonts w:ascii="Arial" w:hAnsi="Arial" w:cs="Arial"/>
                <w:sz w:val="16"/>
                <w:szCs w:val="16"/>
              </w:rPr>
            </w:pPr>
            <w:r w:rsidRPr="00F165B6">
              <w:rPr>
                <w:rFonts w:ascii="Arial" w:hAnsi="Arial" w:cs="Arial"/>
                <w:sz w:val="16"/>
                <w:szCs w:val="16"/>
              </w:rPr>
              <w:t>4.30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1924320"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325D7E7"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p w14:paraId="5DD87203"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39AC6AA"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3EEC6952"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233914"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Performance indicator</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851856A"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A78027C"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90413C1"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C76C29C"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31498F0" w14:textId="77777777" w:rsidR="00F165B6" w:rsidRPr="00F165B6" w:rsidRDefault="00F165B6" w:rsidP="00F165B6">
            <w:pPr>
              <w:rPr>
                <w:rFonts w:ascii="Arial" w:hAnsi="Arial" w:cs="Arial"/>
                <w:sz w:val="16"/>
                <w:szCs w:val="16"/>
              </w:rPr>
            </w:pPr>
            <w:r w:rsidRPr="00F165B6">
              <w:rPr>
                <w:rFonts w:ascii="Arial" w:hAnsi="Arial" w:cs="Arial"/>
                <w:sz w:val="16"/>
                <w:szCs w:val="16"/>
              </w:rPr>
              <w:t>4.75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83C06DB"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01DFC6F8"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0E0CF8B"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B86CADC"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D212FB6"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D301F06"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A231513"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r w:rsidR="00F165B6" w:rsidRPr="00F165B6" w14:paraId="28AA7284"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914C74" w14:textId="77777777" w:rsidR="00F165B6" w:rsidRPr="00F165B6" w:rsidRDefault="00F165B6" w:rsidP="00F165B6">
            <w:pPr>
              <w:rPr>
                <w:rFonts w:ascii="Arial" w:hAnsi="Arial" w:cs="Arial"/>
                <w:sz w:val="16"/>
                <w:szCs w:val="16"/>
              </w:rPr>
            </w:pPr>
            <w:r w:rsidRPr="00F165B6">
              <w:rPr>
                <w:rFonts w:ascii="Arial" w:hAnsi="Arial" w:cs="Arial"/>
                <w:sz w:val="16"/>
                <w:szCs w:val="16"/>
              </w:rPr>
              <w:t>Principles of risk and diversification</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72EB390"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5AB88B5"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p w14:paraId="30A86916"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7D448F5"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5FFC249"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FCD37D9"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EE444B0"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462C115E"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3A31FB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40362ED"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0F6FC95"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E44BBD8"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p w14:paraId="1DE70D89"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3FEFFDC"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4D675203"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F7F265" w14:textId="77777777" w:rsidR="00F165B6" w:rsidRPr="00F165B6" w:rsidRDefault="00F165B6" w:rsidP="00F165B6">
            <w:pPr>
              <w:rPr>
                <w:rFonts w:ascii="Arial" w:hAnsi="Arial" w:cs="Arial"/>
                <w:sz w:val="16"/>
                <w:szCs w:val="16"/>
              </w:rPr>
            </w:pPr>
            <w:r w:rsidRPr="00F165B6">
              <w:rPr>
                <w:rFonts w:ascii="Arial" w:hAnsi="Arial" w:cs="Arial"/>
                <w:sz w:val="16"/>
                <w:szCs w:val="16"/>
              </w:rPr>
              <w:t>Cost estimation methods</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C1AC843"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A817553"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37ED9D3"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4776A57"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4375AA8" w14:textId="77777777" w:rsidR="00F165B6" w:rsidRPr="00F165B6" w:rsidRDefault="00F165B6" w:rsidP="00F165B6">
            <w:pPr>
              <w:rPr>
                <w:rFonts w:ascii="Arial" w:hAnsi="Arial" w:cs="Arial"/>
                <w:sz w:val="16"/>
                <w:szCs w:val="16"/>
              </w:rPr>
            </w:pPr>
            <w:r w:rsidRPr="00F165B6">
              <w:rPr>
                <w:rFonts w:ascii="Arial" w:hAnsi="Arial" w:cs="Arial"/>
                <w:sz w:val="16"/>
                <w:szCs w:val="16"/>
              </w:rPr>
              <w:t>4.50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A9DAAB6"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2DAACD21" w14:textId="77777777" w:rsidR="00F165B6" w:rsidRPr="00F165B6" w:rsidRDefault="00F165B6" w:rsidP="00F165B6">
            <w:pPr>
              <w:rPr>
                <w:rFonts w:ascii="Arial" w:hAnsi="Arial" w:cs="Arial"/>
                <w:sz w:val="16"/>
                <w:szCs w:val="16"/>
              </w:rPr>
            </w:pPr>
            <w:r w:rsidRPr="00F165B6">
              <w:rPr>
                <w:rFonts w:ascii="Arial" w:hAnsi="Arial" w:cs="Arial"/>
                <w:sz w:val="16"/>
                <w:szCs w:val="16"/>
              </w:rPr>
              <w:t>3.60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C8C29A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825D9A1"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F1AF504"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8367A4A"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CFE2892"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5F07F891"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C2294A"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Relevant conventions, agreement, legislation and regulations </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6B6BA73"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B1B9AF4"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D145FEC" w14:textId="77777777" w:rsidR="00F165B6" w:rsidRPr="00F165B6" w:rsidRDefault="00F165B6" w:rsidP="00F165B6">
            <w:pPr>
              <w:rPr>
                <w:rFonts w:ascii="Arial" w:hAnsi="Arial" w:cs="Arial"/>
                <w:sz w:val="16"/>
                <w:szCs w:val="16"/>
              </w:rPr>
            </w:pPr>
            <w:r w:rsidRPr="00F165B6">
              <w:rPr>
                <w:rFonts w:ascii="Arial" w:hAnsi="Arial" w:cs="Arial"/>
                <w:sz w:val="16"/>
                <w:szCs w:val="16"/>
              </w:rPr>
              <w:t>3.73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1B0E669"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A83FF6B"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4EA8B54"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74EFFF16" w14:textId="77777777" w:rsidR="00F165B6" w:rsidRPr="00F165B6" w:rsidRDefault="00F165B6" w:rsidP="00F165B6">
            <w:pPr>
              <w:rPr>
                <w:rFonts w:ascii="Arial" w:hAnsi="Arial" w:cs="Arial"/>
                <w:sz w:val="16"/>
                <w:szCs w:val="16"/>
              </w:rPr>
            </w:pPr>
            <w:r w:rsidRPr="00F165B6">
              <w:rPr>
                <w:rFonts w:ascii="Arial" w:hAnsi="Arial" w:cs="Arial"/>
                <w:sz w:val="16"/>
                <w:szCs w:val="16"/>
              </w:rPr>
              <w:t>3.90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619EC93"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B95875D" w14:textId="77777777" w:rsidR="00F165B6" w:rsidRPr="00F165B6" w:rsidRDefault="00F165B6" w:rsidP="00F165B6">
            <w:pPr>
              <w:rPr>
                <w:rFonts w:ascii="Arial" w:hAnsi="Arial" w:cs="Arial"/>
                <w:sz w:val="16"/>
                <w:szCs w:val="16"/>
              </w:rPr>
            </w:pPr>
            <w:r w:rsidRPr="00F165B6">
              <w:rPr>
                <w:rFonts w:ascii="Arial" w:hAnsi="Arial" w:cs="Arial"/>
                <w:sz w:val="16"/>
                <w:szCs w:val="16"/>
              </w:rPr>
              <w:t>4.14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276CAF5"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255007B"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200429B"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1C630346"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D7BEB9" w14:textId="77777777" w:rsidR="00F165B6" w:rsidRPr="00F165B6" w:rsidRDefault="00F165B6" w:rsidP="00F165B6">
            <w:pPr>
              <w:rPr>
                <w:rFonts w:ascii="Arial" w:hAnsi="Arial" w:cs="Arial"/>
                <w:sz w:val="16"/>
                <w:szCs w:val="16"/>
              </w:rPr>
            </w:pPr>
            <w:r w:rsidRPr="00F165B6">
              <w:rPr>
                <w:rFonts w:ascii="Arial" w:hAnsi="Arial" w:cs="Arial"/>
                <w:sz w:val="16"/>
                <w:szCs w:val="16"/>
              </w:rPr>
              <w:t>Contingency approach</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2BCAD34"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B4D703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4D7D7E3" w14:textId="77777777" w:rsidR="00F165B6" w:rsidRPr="00F165B6" w:rsidRDefault="00F165B6" w:rsidP="00F165B6">
            <w:pPr>
              <w:rPr>
                <w:rFonts w:ascii="Arial" w:hAnsi="Arial" w:cs="Arial"/>
                <w:sz w:val="16"/>
                <w:szCs w:val="16"/>
              </w:rPr>
            </w:pPr>
            <w:r w:rsidRPr="00F165B6">
              <w:rPr>
                <w:rFonts w:ascii="Arial" w:hAnsi="Arial" w:cs="Arial"/>
                <w:sz w:val="16"/>
                <w:szCs w:val="16"/>
              </w:rPr>
              <w:t>3.40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781DF6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C6363C2"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BF6C2F3"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34A1A3F8" w14:textId="77777777" w:rsidR="00F165B6" w:rsidRPr="00F165B6" w:rsidRDefault="00F165B6" w:rsidP="00F165B6">
            <w:pPr>
              <w:rPr>
                <w:rFonts w:ascii="Arial" w:hAnsi="Arial" w:cs="Arial"/>
                <w:sz w:val="16"/>
                <w:szCs w:val="16"/>
              </w:rPr>
            </w:pPr>
            <w:r w:rsidRPr="00F165B6">
              <w:rPr>
                <w:rFonts w:ascii="Arial" w:hAnsi="Arial" w:cs="Arial"/>
                <w:sz w:val="16"/>
                <w:szCs w:val="16"/>
              </w:rPr>
              <w:t>4.10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81C23B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A929C97" w14:textId="77777777" w:rsidR="00F165B6" w:rsidRPr="00F165B6" w:rsidRDefault="00F165B6" w:rsidP="00F165B6">
            <w:pPr>
              <w:rPr>
                <w:rFonts w:ascii="Arial" w:hAnsi="Arial" w:cs="Arial"/>
                <w:sz w:val="16"/>
                <w:szCs w:val="16"/>
              </w:rPr>
            </w:pPr>
            <w:r w:rsidRPr="00F165B6">
              <w:rPr>
                <w:rFonts w:ascii="Arial" w:hAnsi="Arial" w:cs="Arial"/>
                <w:sz w:val="16"/>
                <w:szCs w:val="16"/>
              </w:rPr>
              <w:t>4.14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58E0B6B"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558FB69"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1B1C86F"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70600FD3"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8149B5" w14:textId="77777777" w:rsidR="00F165B6" w:rsidRPr="00F165B6" w:rsidRDefault="00F165B6" w:rsidP="00F165B6">
            <w:pPr>
              <w:rPr>
                <w:rFonts w:ascii="Arial" w:hAnsi="Arial" w:cs="Arial"/>
                <w:sz w:val="16"/>
                <w:szCs w:val="16"/>
              </w:rPr>
            </w:pPr>
            <w:r w:rsidRPr="00F165B6">
              <w:rPr>
                <w:rFonts w:ascii="Arial" w:hAnsi="Arial" w:cs="Arial"/>
                <w:sz w:val="16"/>
                <w:szCs w:val="16"/>
              </w:rPr>
              <w:t>Risks and opportunities response strategies and plan</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3F574DB"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A90AFB3"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BB1646F" w14:textId="77777777" w:rsidR="00F165B6" w:rsidRPr="00F165B6" w:rsidRDefault="00F165B6" w:rsidP="00F165B6">
            <w:pPr>
              <w:rPr>
                <w:rFonts w:ascii="Arial" w:hAnsi="Arial" w:cs="Arial"/>
                <w:sz w:val="16"/>
                <w:szCs w:val="16"/>
              </w:rPr>
            </w:pPr>
            <w:r w:rsidRPr="00F165B6">
              <w:rPr>
                <w:rFonts w:ascii="Arial" w:hAnsi="Arial" w:cs="Arial"/>
                <w:sz w:val="16"/>
                <w:szCs w:val="16"/>
              </w:rPr>
              <w:t>3.30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F66BA48"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230552B2" w14:textId="77777777" w:rsidR="00F165B6" w:rsidRPr="00F165B6" w:rsidRDefault="00F165B6" w:rsidP="00F165B6">
            <w:pPr>
              <w:rPr>
                <w:rFonts w:ascii="Arial" w:hAnsi="Arial" w:cs="Arial"/>
                <w:sz w:val="16"/>
                <w:szCs w:val="16"/>
              </w:rPr>
            </w:pPr>
            <w:r w:rsidRPr="00F165B6">
              <w:rPr>
                <w:rFonts w:ascii="Arial" w:hAnsi="Arial" w:cs="Arial"/>
                <w:sz w:val="16"/>
                <w:szCs w:val="16"/>
              </w:rPr>
              <w:t>3.80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E4237EE"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6D6860F4"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585C5305"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8E9D3AF" w14:textId="77777777" w:rsidR="00F165B6" w:rsidRPr="00F165B6" w:rsidRDefault="00F165B6" w:rsidP="00F165B6">
            <w:pPr>
              <w:rPr>
                <w:rFonts w:ascii="Arial" w:hAnsi="Arial" w:cs="Arial"/>
                <w:sz w:val="16"/>
                <w:szCs w:val="16"/>
              </w:rPr>
            </w:pPr>
            <w:r w:rsidRPr="00F165B6">
              <w:rPr>
                <w:rFonts w:ascii="Arial" w:hAnsi="Arial" w:cs="Arial"/>
                <w:sz w:val="16"/>
                <w:szCs w:val="16"/>
              </w:rPr>
              <w:t>4.14</w:t>
            </w:r>
          </w:p>
          <w:p w14:paraId="6D6ADDDA"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7CDE90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170D275"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p w14:paraId="1046BF74"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52B7CD1"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1727A638" w14:textId="77777777" w:rsidTr="004F5D57">
        <w:trPr>
          <w:trHeight w:val="299"/>
        </w:trPr>
        <w:tc>
          <w:tcPr>
            <w:tcW w:w="129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4C10CF" w14:textId="77777777" w:rsidR="00F165B6" w:rsidRPr="00F165B6" w:rsidRDefault="00F165B6" w:rsidP="00F165B6">
            <w:pPr>
              <w:rPr>
                <w:rFonts w:ascii="Arial" w:hAnsi="Arial" w:cs="Arial"/>
                <w:sz w:val="16"/>
                <w:szCs w:val="16"/>
              </w:rPr>
            </w:pPr>
            <w:r w:rsidRPr="00F165B6">
              <w:rPr>
                <w:rFonts w:ascii="Arial" w:hAnsi="Arial" w:cs="Arial"/>
                <w:sz w:val="16"/>
                <w:szCs w:val="16"/>
              </w:rPr>
              <w:t>Process and governance for cost management</w:t>
            </w:r>
          </w:p>
        </w:tc>
        <w:tc>
          <w:tcPr>
            <w:tcW w:w="64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12D921D"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4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C4B5639"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137B3ED"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00FE889B"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FCB5F60"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7816C12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44" w:type="dxa"/>
            <w:tcBorders>
              <w:bottom w:val="single" w:sz="4" w:space="0" w:color="000000"/>
              <w:right w:val="single" w:sz="4" w:space="0" w:color="000000"/>
            </w:tcBorders>
            <w:shd w:val="clear" w:color="auto" w:fill="auto"/>
            <w:tcMar>
              <w:top w:w="0" w:type="dxa"/>
              <w:left w:w="108" w:type="dxa"/>
              <w:bottom w:w="0" w:type="dxa"/>
              <w:right w:w="108" w:type="dxa"/>
            </w:tcMar>
          </w:tcPr>
          <w:p w14:paraId="1BFC4A29" w14:textId="77777777" w:rsidR="00F165B6" w:rsidRPr="00F165B6" w:rsidRDefault="00F165B6" w:rsidP="00F165B6">
            <w:pPr>
              <w:rPr>
                <w:rFonts w:ascii="Arial" w:hAnsi="Arial" w:cs="Arial"/>
                <w:sz w:val="16"/>
                <w:szCs w:val="16"/>
              </w:rPr>
            </w:pPr>
            <w:r w:rsidRPr="00F165B6">
              <w:rPr>
                <w:rFonts w:ascii="Arial" w:hAnsi="Arial" w:cs="Arial"/>
                <w:sz w:val="16"/>
                <w:szCs w:val="16"/>
              </w:rPr>
              <w:t>3.70</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38B5D6D8"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p w14:paraId="32FFEF0A" w14:textId="77777777" w:rsidR="00F165B6" w:rsidRPr="00F165B6" w:rsidRDefault="00F165B6" w:rsidP="00F165B6">
            <w:pPr>
              <w:rPr>
                <w:rFonts w:ascii="Arial" w:hAnsi="Arial" w:cs="Arial"/>
                <w:sz w:val="16"/>
                <w:szCs w:val="16"/>
              </w:rPr>
            </w:pP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F8232EB" w14:textId="77777777" w:rsidR="00F165B6" w:rsidRPr="00F165B6" w:rsidRDefault="00F165B6" w:rsidP="00F165B6">
            <w:pPr>
              <w:rPr>
                <w:rFonts w:ascii="Arial" w:hAnsi="Arial" w:cs="Arial"/>
                <w:sz w:val="16"/>
                <w:szCs w:val="16"/>
              </w:rPr>
            </w:pPr>
            <w:r w:rsidRPr="00F165B6">
              <w:rPr>
                <w:rFonts w:ascii="Arial" w:hAnsi="Arial" w:cs="Arial"/>
                <w:sz w:val="16"/>
                <w:szCs w:val="16"/>
              </w:rPr>
              <w:t>4.05</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60E82481"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44CD5F7A"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45" w:type="dxa"/>
            <w:tcBorders>
              <w:bottom w:val="single" w:sz="4" w:space="0" w:color="000000"/>
              <w:right w:val="single" w:sz="4" w:space="0" w:color="000000"/>
            </w:tcBorders>
            <w:shd w:val="clear" w:color="auto" w:fill="auto"/>
            <w:tcMar>
              <w:top w:w="0" w:type="dxa"/>
              <w:left w:w="108" w:type="dxa"/>
              <w:bottom w:w="0" w:type="dxa"/>
              <w:right w:w="108" w:type="dxa"/>
            </w:tcMar>
          </w:tcPr>
          <w:p w14:paraId="15D49367"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bl>
    <w:p w14:paraId="672076FA" w14:textId="77777777" w:rsidR="00F165B6" w:rsidRPr="00F165B6" w:rsidRDefault="00F165B6" w:rsidP="00F165B6">
      <w:pPr>
        <w:rPr>
          <w:rFonts w:ascii="Arial" w:hAnsi="Arial" w:cs="Arial"/>
          <w:sz w:val="16"/>
          <w:szCs w:val="16"/>
        </w:rPr>
      </w:pPr>
      <w:r w:rsidRPr="00F165B6">
        <w:rPr>
          <w:rFonts w:ascii="Arial" w:hAnsi="Arial" w:cs="Arial"/>
          <w:sz w:val="16"/>
          <w:szCs w:val="16"/>
        </w:rPr>
        <w:t>Not important at all</w:t>
      </w:r>
      <w:r w:rsidRPr="00F165B6">
        <w:rPr>
          <w:rFonts w:ascii="Arial" w:hAnsi="Arial" w:cs="Arial"/>
          <w:sz w:val="16"/>
          <w:szCs w:val="16"/>
        </w:rPr>
        <w:tab/>
        <w:t>(1), Less important(2), Fairly important(3), Important(4) Very important(5)</w:t>
      </w:r>
    </w:p>
    <w:p w14:paraId="63813D58"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Table 6: </w:t>
      </w:r>
      <w:bookmarkStart w:id="1606" w:name="_Toc64663367"/>
      <w:r w:rsidRPr="00F165B6">
        <w:rPr>
          <w:rFonts w:ascii="Arial" w:hAnsi="Arial" w:cs="Arial"/>
          <w:i/>
          <w:iCs/>
          <w:sz w:val="16"/>
          <w:szCs w:val="16"/>
        </w:rPr>
        <w:t>Mean scores for Degree of need for training and education for management knowledge for securing finance for real estate project development for the present at the disaggregate level</w:t>
      </w:r>
      <w:bookmarkEnd w:id="1606"/>
    </w:p>
    <w:tbl>
      <w:tblPr>
        <w:tblW w:w="9029" w:type="dxa"/>
        <w:tblInd w:w="93" w:type="dxa"/>
        <w:tblLayout w:type="fixed"/>
        <w:tblCellMar>
          <w:left w:w="10" w:type="dxa"/>
          <w:right w:w="10" w:type="dxa"/>
        </w:tblCellMar>
        <w:tblLook w:val="0000" w:firstRow="0" w:lastRow="0" w:firstColumn="0" w:lastColumn="0" w:noHBand="0" w:noVBand="0"/>
      </w:tblPr>
      <w:tblGrid>
        <w:gridCol w:w="1411"/>
        <w:gridCol w:w="634"/>
        <w:gridCol w:w="635"/>
        <w:gridCol w:w="635"/>
        <w:gridCol w:w="635"/>
        <w:gridCol w:w="635"/>
        <w:gridCol w:w="635"/>
        <w:gridCol w:w="634"/>
        <w:gridCol w:w="635"/>
        <w:gridCol w:w="635"/>
        <w:gridCol w:w="635"/>
        <w:gridCol w:w="635"/>
        <w:gridCol w:w="635"/>
      </w:tblGrid>
      <w:tr w:rsidR="00F165B6" w:rsidRPr="00F165B6" w14:paraId="522A113A" w14:textId="77777777" w:rsidTr="004F5D57">
        <w:trPr>
          <w:trHeight w:val="464"/>
        </w:trPr>
        <w:tc>
          <w:tcPr>
            <w:tcW w:w="14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1B41B7" w14:textId="77777777" w:rsidR="00F165B6" w:rsidRPr="00F165B6" w:rsidRDefault="00F165B6" w:rsidP="00F165B6">
            <w:pPr>
              <w:rPr>
                <w:rFonts w:ascii="Arial" w:hAnsi="Arial" w:cs="Arial"/>
                <w:sz w:val="16"/>
                <w:szCs w:val="16"/>
              </w:rPr>
            </w:pPr>
            <w:r w:rsidRPr="00F165B6">
              <w:rPr>
                <w:rFonts w:ascii="Arial" w:hAnsi="Arial" w:cs="Arial"/>
                <w:sz w:val="16"/>
                <w:szCs w:val="16"/>
              </w:rPr>
              <w:t>Management  Knowledge</w:t>
            </w:r>
          </w:p>
        </w:tc>
        <w:tc>
          <w:tcPr>
            <w:tcW w:w="6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50722" w14:textId="77777777" w:rsidR="00F165B6" w:rsidRPr="00F165B6" w:rsidRDefault="00F165B6" w:rsidP="00F165B6">
            <w:pPr>
              <w:rPr>
                <w:rFonts w:ascii="Arial" w:hAnsi="Arial" w:cs="Arial"/>
                <w:sz w:val="16"/>
                <w:szCs w:val="16"/>
              </w:rPr>
            </w:pPr>
            <w:r w:rsidRPr="00F165B6">
              <w:rPr>
                <w:rFonts w:ascii="Arial" w:hAnsi="Arial" w:cs="Arial"/>
                <w:sz w:val="16"/>
                <w:szCs w:val="16"/>
              </w:rPr>
              <w:t>Germany</w:t>
            </w:r>
          </w:p>
          <w:p w14:paraId="1BDF94B8" w14:textId="77777777" w:rsidR="00F165B6" w:rsidRPr="00F165B6" w:rsidRDefault="00F165B6" w:rsidP="00F165B6">
            <w:pPr>
              <w:rPr>
                <w:rFonts w:ascii="Arial" w:hAnsi="Arial" w:cs="Arial"/>
                <w:sz w:val="16"/>
                <w:szCs w:val="16"/>
              </w:rPr>
            </w:pPr>
            <w:r w:rsidRPr="00F165B6">
              <w:rPr>
                <w:rFonts w:ascii="Arial" w:hAnsi="Arial" w:cs="Arial"/>
                <w:sz w:val="16"/>
                <w:szCs w:val="16"/>
              </w:rPr>
              <w:t>N=5</w:t>
            </w:r>
          </w:p>
        </w:tc>
        <w:tc>
          <w:tcPr>
            <w:tcW w:w="63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5929DD"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7E703" w14:textId="77777777" w:rsidR="00F165B6" w:rsidRPr="00F165B6" w:rsidRDefault="00F165B6" w:rsidP="00F165B6">
            <w:pPr>
              <w:rPr>
                <w:rFonts w:ascii="Arial" w:hAnsi="Arial" w:cs="Arial"/>
                <w:sz w:val="16"/>
                <w:szCs w:val="16"/>
              </w:rPr>
            </w:pPr>
            <w:r w:rsidRPr="00F165B6">
              <w:rPr>
                <w:rFonts w:ascii="Arial" w:hAnsi="Arial" w:cs="Arial"/>
                <w:sz w:val="16"/>
                <w:szCs w:val="16"/>
              </w:rPr>
              <w:t>UK</w:t>
            </w:r>
          </w:p>
          <w:p w14:paraId="0256554E" w14:textId="77777777" w:rsidR="00F165B6" w:rsidRPr="00F165B6" w:rsidRDefault="00F165B6" w:rsidP="00F165B6">
            <w:pPr>
              <w:rPr>
                <w:rFonts w:ascii="Arial" w:hAnsi="Arial" w:cs="Arial"/>
                <w:sz w:val="16"/>
                <w:szCs w:val="16"/>
              </w:rPr>
            </w:pPr>
            <w:r w:rsidRPr="00F165B6">
              <w:rPr>
                <w:rFonts w:ascii="Arial" w:hAnsi="Arial" w:cs="Arial"/>
                <w:sz w:val="16"/>
                <w:szCs w:val="16"/>
              </w:rPr>
              <w:t>N=20</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34470"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551E3" w14:textId="77777777" w:rsidR="00F165B6" w:rsidRPr="00F165B6" w:rsidRDefault="00F165B6" w:rsidP="00F165B6">
            <w:pPr>
              <w:rPr>
                <w:rFonts w:ascii="Arial" w:hAnsi="Arial" w:cs="Arial"/>
                <w:sz w:val="16"/>
                <w:szCs w:val="16"/>
              </w:rPr>
            </w:pPr>
            <w:r w:rsidRPr="00F165B6">
              <w:rPr>
                <w:rFonts w:ascii="Arial" w:hAnsi="Arial" w:cs="Arial"/>
                <w:sz w:val="16"/>
                <w:szCs w:val="16"/>
              </w:rPr>
              <w:t>US</w:t>
            </w:r>
          </w:p>
          <w:p w14:paraId="0B9329BD" w14:textId="77777777" w:rsidR="00F165B6" w:rsidRPr="00F165B6" w:rsidRDefault="00F165B6" w:rsidP="00F165B6">
            <w:pPr>
              <w:rPr>
                <w:rFonts w:ascii="Arial" w:hAnsi="Arial" w:cs="Arial"/>
                <w:sz w:val="16"/>
                <w:szCs w:val="16"/>
              </w:rPr>
            </w:pPr>
            <w:r w:rsidRPr="00F165B6">
              <w:rPr>
                <w:rFonts w:ascii="Arial" w:hAnsi="Arial" w:cs="Arial"/>
                <w:sz w:val="16"/>
                <w:szCs w:val="16"/>
              </w:rPr>
              <w:t>N=8</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4FAF3"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BF419" w14:textId="77777777" w:rsidR="00F165B6" w:rsidRPr="00F165B6" w:rsidRDefault="00F165B6" w:rsidP="00F165B6">
            <w:pPr>
              <w:rPr>
                <w:rFonts w:ascii="Arial" w:hAnsi="Arial" w:cs="Arial"/>
                <w:sz w:val="16"/>
                <w:szCs w:val="16"/>
              </w:rPr>
            </w:pPr>
            <w:r w:rsidRPr="00F165B6">
              <w:rPr>
                <w:rFonts w:ascii="Arial" w:hAnsi="Arial" w:cs="Arial"/>
                <w:sz w:val="16"/>
                <w:szCs w:val="16"/>
              </w:rPr>
              <w:t>China</w:t>
            </w:r>
          </w:p>
          <w:p w14:paraId="16A04949" w14:textId="77777777" w:rsidR="00F165B6" w:rsidRPr="00F165B6" w:rsidRDefault="00F165B6" w:rsidP="00F165B6">
            <w:pPr>
              <w:rPr>
                <w:rFonts w:ascii="Arial" w:hAnsi="Arial" w:cs="Arial"/>
                <w:sz w:val="16"/>
                <w:szCs w:val="16"/>
              </w:rPr>
            </w:pPr>
            <w:r w:rsidRPr="00F165B6">
              <w:rPr>
                <w:rFonts w:ascii="Arial" w:hAnsi="Arial" w:cs="Arial"/>
                <w:sz w:val="16"/>
                <w:szCs w:val="16"/>
              </w:rPr>
              <w:t>N=11</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84612"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4DE22" w14:textId="77777777" w:rsidR="00F165B6" w:rsidRPr="00F165B6" w:rsidRDefault="00F165B6" w:rsidP="00F165B6">
            <w:pPr>
              <w:rPr>
                <w:rFonts w:ascii="Arial" w:hAnsi="Arial" w:cs="Arial"/>
                <w:sz w:val="16"/>
                <w:szCs w:val="16"/>
              </w:rPr>
            </w:pPr>
            <w:r w:rsidRPr="00F165B6">
              <w:rPr>
                <w:rFonts w:ascii="Arial" w:hAnsi="Arial" w:cs="Arial"/>
                <w:sz w:val="16"/>
                <w:szCs w:val="16"/>
              </w:rPr>
              <w:t>Nigeria</w:t>
            </w:r>
          </w:p>
          <w:p w14:paraId="5D9A7DAA" w14:textId="77777777" w:rsidR="00F165B6" w:rsidRPr="00F165B6" w:rsidRDefault="00F165B6" w:rsidP="00F165B6">
            <w:pPr>
              <w:rPr>
                <w:rFonts w:ascii="Arial" w:hAnsi="Arial" w:cs="Arial"/>
                <w:sz w:val="16"/>
                <w:szCs w:val="16"/>
              </w:rPr>
            </w:pPr>
            <w:r w:rsidRPr="00F165B6">
              <w:rPr>
                <w:rFonts w:ascii="Arial" w:hAnsi="Arial" w:cs="Arial"/>
                <w:sz w:val="16"/>
                <w:szCs w:val="16"/>
              </w:rPr>
              <w:t>N=26</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3CF42"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2CB0C"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w:t>
            </w:r>
          </w:p>
          <w:p w14:paraId="1DF494C8" w14:textId="77777777" w:rsidR="00F165B6" w:rsidRPr="00F165B6" w:rsidRDefault="00F165B6" w:rsidP="00F165B6">
            <w:pPr>
              <w:rPr>
                <w:rFonts w:ascii="Arial" w:hAnsi="Arial" w:cs="Arial"/>
                <w:sz w:val="16"/>
                <w:szCs w:val="16"/>
              </w:rPr>
            </w:pPr>
            <w:r w:rsidRPr="00F165B6">
              <w:rPr>
                <w:rFonts w:ascii="Arial" w:hAnsi="Arial" w:cs="Arial"/>
                <w:sz w:val="16"/>
                <w:szCs w:val="16"/>
              </w:rPr>
              <w:t>N=11</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C753A"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045ADE92"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E3D223" w14:textId="77777777" w:rsidR="00F165B6" w:rsidRPr="00F165B6" w:rsidRDefault="00F165B6" w:rsidP="00F165B6">
            <w:pPr>
              <w:rPr>
                <w:rFonts w:ascii="Arial" w:hAnsi="Arial" w:cs="Arial"/>
                <w:sz w:val="16"/>
                <w:szCs w:val="16"/>
              </w:rPr>
            </w:pPr>
            <w:r w:rsidRPr="00F165B6">
              <w:rPr>
                <w:rFonts w:ascii="Arial" w:hAnsi="Arial" w:cs="Arial"/>
                <w:sz w:val="16"/>
                <w:szCs w:val="16"/>
              </w:rPr>
              <w:t>Funding sources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9014A0D"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182BD8B"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FAE821F"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4C2A639"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A6F8CB5"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475D7D8"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37E63603"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5B2E1F1"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A928DA8"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35114D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9A29EB"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D46E8B9"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70A93E2A"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1946F4"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Market intelligence </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DC3D628"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CFB9C5E"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BAA81D6"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743D7B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B773C0"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8E078A5"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5681415C" w14:textId="77777777" w:rsidR="00F165B6" w:rsidRPr="00F165B6" w:rsidRDefault="00F165B6" w:rsidP="00F165B6">
            <w:pPr>
              <w:rPr>
                <w:rFonts w:ascii="Arial" w:hAnsi="Arial" w:cs="Arial"/>
                <w:sz w:val="16"/>
                <w:szCs w:val="16"/>
              </w:rPr>
            </w:pPr>
            <w:r w:rsidRPr="00F165B6">
              <w:rPr>
                <w:rFonts w:ascii="Arial" w:hAnsi="Arial" w:cs="Arial"/>
                <w:sz w:val="16"/>
                <w:szCs w:val="16"/>
              </w:rPr>
              <w:t>2.63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7B54428"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0049549"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ADFFACC"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DA51F74"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2B47996"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4C3073A0"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C2C6D2" w14:textId="77777777" w:rsidR="00F165B6" w:rsidRPr="00F165B6" w:rsidRDefault="00F165B6" w:rsidP="00F165B6">
            <w:pPr>
              <w:rPr>
                <w:rFonts w:ascii="Arial" w:hAnsi="Arial" w:cs="Arial"/>
                <w:sz w:val="16"/>
                <w:szCs w:val="16"/>
              </w:rPr>
            </w:pPr>
            <w:r w:rsidRPr="00F165B6">
              <w:rPr>
                <w:rFonts w:ascii="Arial" w:hAnsi="Arial" w:cs="Arial"/>
                <w:sz w:val="16"/>
                <w:szCs w:val="16"/>
              </w:rPr>
              <w:t>Fundamental concepts of economics &amp; finance ( e.g. calculation of interest rate &amp; inflation)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6523FFA"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C6D43EB"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6D37001"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7CA3D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0A641E6"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53B09B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34F19B29"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3DA4545"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7A02595" w14:textId="77777777" w:rsidR="00F165B6" w:rsidRPr="00F165B6" w:rsidRDefault="00F165B6" w:rsidP="00F165B6">
            <w:pPr>
              <w:rPr>
                <w:rFonts w:ascii="Arial" w:hAnsi="Arial" w:cs="Arial"/>
                <w:sz w:val="16"/>
                <w:szCs w:val="16"/>
              </w:rPr>
            </w:pPr>
            <w:r w:rsidRPr="00F165B6">
              <w:rPr>
                <w:rFonts w:ascii="Arial" w:hAnsi="Arial" w:cs="Arial"/>
                <w:sz w:val="16"/>
                <w:szCs w:val="16"/>
              </w:rPr>
              <w:t>4.17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5CEA3D7"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370395C"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355587D"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797CF611"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D08E26"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accounting basics </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0EA3D84"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546D894"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9EF879F"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532C12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7286EE1"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5325753"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674CDDB9"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AE2E27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D17BEE9" w14:textId="77777777" w:rsidR="00F165B6" w:rsidRPr="00F165B6" w:rsidRDefault="00F165B6" w:rsidP="00F165B6">
            <w:pPr>
              <w:rPr>
                <w:rFonts w:ascii="Arial" w:hAnsi="Arial" w:cs="Arial"/>
                <w:sz w:val="16"/>
                <w:szCs w:val="16"/>
              </w:rPr>
            </w:pPr>
            <w:r w:rsidRPr="00F165B6">
              <w:rPr>
                <w:rFonts w:ascii="Arial" w:hAnsi="Arial" w:cs="Arial"/>
                <w:sz w:val="16"/>
                <w:szCs w:val="16"/>
              </w:rPr>
              <w:t>4.20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303C0E4"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20BD946"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B9B223B"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r w:rsidR="00F165B6" w:rsidRPr="00F165B6" w14:paraId="3DA12B93"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F8D2B3" w14:textId="77777777" w:rsidR="00F165B6" w:rsidRPr="00F165B6" w:rsidRDefault="00F165B6" w:rsidP="00F165B6">
            <w:pPr>
              <w:rPr>
                <w:rFonts w:ascii="Arial" w:hAnsi="Arial" w:cs="Arial"/>
                <w:sz w:val="16"/>
                <w:szCs w:val="16"/>
              </w:rPr>
            </w:pPr>
            <w:r w:rsidRPr="00F165B6">
              <w:rPr>
                <w:rFonts w:ascii="Arial" w:hAnsi="Arial" w:cs="Arial"/>
                <w:sz w:val="16"/>
                <w:szCs w:val="16"/>
              </w:rPr>
              <w:t>Debt literacy</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9B805DA"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3C55A74"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52C014F" w14:textId="77777777" w:rsidR="00F165B6" w:rsidRPr="00F165B6" w:rsidRDefault="00F165B6" w:rsidP="00F165B6">
            <w:pPr>
              <w:rPr>
                <w:rFonts w:ascii="Arial" w:hAnsi="Arial" w:cs="Arial"/>
                <w:sz w:val="16"/>
                <w:szCs w:val="16"/>
              </w:rPr>
            </w:pPr>
            <w:r w:rsidRPr="00F165B6">
              <w:rPr>
                <w:rFonts w:ascii="Arial" w:hAnsi="Arial" w:cs="Arial"/>
                <w:sz w:val="16"/>
                <w:szCs w:val="16"/>
              </w:rPr>
              <w:t>4.17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43B267E"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C406DBD"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EBECDD2"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8EAA2D1"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C75083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C9DD9B"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B476E3B"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E5CAEFE"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4B20CC9"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160D6887" w14:textId="77777777" w:rsidTr="004F5D57">
        <w:trPr>
          <w:trHeight w:val="464"/>
        </w:trPr>
        <w:tc>
          <w:tcPr>
            <w:tcW w:w="14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174DA"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management concepts &amp; terms such as ( cash flow, debt – asset ratio, return on investment &amp; rate of return)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7BCAFDB"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p w14:paraId="3CB32453" w14:textId="77777777" w:rsidR="00F165B6" w:rsidRPr="00F165B6" w:rsidRDefault="00F165B6" w:rsidP="00F165B6">
            <w:pPr>
              <w:rPr>
                <w:rFonts w:ascii="Arial" w:hAnsi="Arial" w:cs="Arial"/>
                <w:sz w:val="16"/>
                <w:szCs w:val="16"/>
              </w:rPr>
            </w:pPr>
          </w:p>
          <w:p w14:paraId="3F854DBB"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803E702"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C21D08"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p w14:paraId="59E0858F"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570ADFF"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ECFCA75"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p w14:paraId="2496B489" w14:textId="77777777" w:rsidR="00F165B6" w:rsidRPr="00F165B6" w:rsidRDefault="00F165B6" w:rsidP="00F165B6">
            <w:pPr>
              <w:rPr>
                <w:rFonts w:ascii="Arial" w:hAnsi="Arial" w:cs="Arial"/>
                <w:sz w:val="16"/>
                <w:szCs w:val="16"/>
              </w:rPr>
            </w:pPr>
          </w:p>
          <w:p w14:paraId="4498B0EE"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0C8670A"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1325B68A"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8D87FA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4A73538" w14:textId="77777777" w:rsidR="00F165B6" w:rsidRPr="00F165B6" w:rsidRDefault="00F165B6" w:rsidP="00F165B6">
            <w:pPr>
              <w:rPr>
                <w:rFonts w:ascii="Arial" w:hAnsi="Arial" w:cs="Arial"/>
                <w:sz w:val="16"/>
                <w:szCs w:val="16"/>
              </w:rPr>
            </w:pPr>
            <w:r w:rsidRPr="00F165B6">
              <w:rPr>
                <w:rFonts w:ascii="Arial" w:hAnsi="Arial" w:cs="Arial"/>
                <w:sz w:val="16"/>
                <w:szCs w:val="16"/>
              </w:rPr>
              <w:t>4.18</w:t>
            </w:r>
          </w:p>
          <w:p w14:paraId="6DB1543F"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6F9E9DA"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C8D187F"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BF1CB34"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2AC814A8"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6FC65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Techniques and conditions for </w:t>
            </w:r>
            <w:r w:rsidRPr="00F165B6">
              <w:rPr>
                <w:rFonts w:ascii="Arial" w:hAnsi="Arial" w:cs="Arial"/>
                <w:sz w:val="16"/>
                <w:szCs w:val="16"/>
              </w:rPr>
              <w:lastRenderedPageBreak/>
              <w:t>loan effectiveness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A1862B4"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1.50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8F533C"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978CEFC"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AA9572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D80BF64"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F3B4BE6"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00DB97F7"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361974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1F64422"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FA0A58C"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0FBDA9C"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8FE31C4"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2176DDCD"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CD37EA" w14:textId="77777777" w:rsidR="00F165B6" w:rsidRPr="00F165B6" w:rsidRDefault="00F165B6" w:rsidP="00F165B6">
            <w:pPr>
              <w:rPr>
                <w:rFonts w:ascii="Arial" w:hAnsi="Arial" w:cs="Arial"/>
                <w:sz w:val="16"/>
                <w:szCs w:val="16"/>
              </w:rPr>
            </w:pPr>
            <w:r w:rsidRPr="00F165B6">
              <w:rPr>
                <w:rFonts w:ascii="Arial" w:hAnsi="Arial" w:cs="Arial"/>
                <w:sz w:val="16"/>
                <w:szCs w:val="16"/>
              </w:rPr>
              <w:t>Finance options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3E6DF67"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B1552A0"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C0FA6A8"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F794F66"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BE7EA20"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B0DA0F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74E43D27"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30AE7D1"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46C3770"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6977690"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BAC58F7"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DDDCFB9"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04742DBF"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827C308" w14:textId="77777777" w:rsidR="00F165B6" w:rsidRPr="00F165B6" w:rsidRDefault="00F165B6" w:rsidP="00F165B6">
            <w:pPr>
              <w:rPr>
                <w:rFonts w:ascii="Arial" w:hAnsi="Arial" w:cs="Arial"/>
                <w:sz w:val="16"/>
                <w:szCs w:val="16"/>
              </w:rPr>
            </w:pPr>
            <w:r w:rsidRPr="00F165B6">
              <w:rPr>
                <w:rFonts w:ascii="Arial" w:hAnsi="Arial" w:cs="Arial"/>
                <w:sz w:val="16"/>
                <w:szCs w:val="16"/>
              </w:rPr>
              <w:t>Cost calculation techniques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87207A2"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99BCA1D"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8A58277"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8AF774"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E441061"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4354104"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2A0BFFE2"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9645B3E"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A0D20B5"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4AC88A9"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A038B1E"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4FCE1ED"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2BF6CDBF"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0BBA65" w14:textId="77777777" w:rsidR="00F165B6" w:rsidRPr="00F165B6" w:rsidRDefault="00F165B6" w:rsidP="00F165B6">
            <w:pPr>
              <w:rPr>
                <w:rFonts w:ascii="Arial" w:hAnsi="Arial" w:cs="Arial"/>
                <w:sz w:val="16"/>
                <w:szCs w:val="16"/>
              </w:rPr>
            </w:pPr>
            <w:r w:rsidRPr="00F165B6">
              <w:rPr>
                <w:rFonts w:ascii="Arial" w:hAnsi="Arial" w:cs="Arial"/>
                <w:sz w:val="16"/>
                <w:szCs w:val="16"/>
              </w:rPr>
              <w:t>Strategies for managing risks and uncertainty</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4FAB5DD"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11FE52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p w14:paraId="4FA80654"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C079E93"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B5B7A58"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F714F13"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8F33BDC"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764C23FC"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20D7C2C"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p w14:paraId="3A61871D"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A89494A" w14:textId="77777777" w:rsidR="00F165B6" w:rsidRPr="00F165B6" w:rsidRDefault="00F165B6" w:rsidP="00F165B6">
            <w:pPr>
              <w:rPr>
                <w:rFonts w:ascii="Arial" w:hAnsi="Arial" w:cs="Arial"/>
                <w:sz w:val="16"/>
                <w:szCs w:val="16"/>
              </w:rPr>
            </w:pPr>
            <w:r w:rsidRPr="00F165B6">
              <w:rPr>
                <w:rFonts w:ascii="Arial" w:hAnsi="Arial" w:cs="Arial"/>
                <w:sz w:val="16"/>
                <w:szCs w:val="16"/>
              </w:rPr>
              <w:t>4.24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FCD68F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64161DD"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5543EB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5E577DA5"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3FD501" w14:textId="77777777" w:rsidR="00F165B6" w:rsidRPr="00F165B6" w:rsidRDefault="00F165B6" w:rsidP="00F165B6">
            <w:pPr>
              <w:rPr>
                <w:rFonts w:ascii="Arial" w:hAnsi="Arial" w:cs="Arial"/>
                <w:sz w:val="16"/>
                <w:szCs w:val="16"/>
              </w:rPr>
            </w:pPr>
            <w:r w:rsidRPr="00F165B6">
              <w:rPr>
                <w:rFonts w:ascii="Arial" w:hAnsi="Arial" w:cs="Arial"/>
                <w:sz w:val="16"/>
                <w:szCs w:val="16"/>
              </w:rPr>
              <w:t>Performance indicator</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9DB5F2E"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FDF3D0D"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23617A8"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364C4A"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E199EEF"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7F2E774"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1CA62290"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C88A47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11B0F67"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62A9A8A"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B777BD8"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1D6F3E5"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2987B8B6"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7BFAAE" w14:textId="77777777" w:rsidR="00F165B6" w:rsidRPr="00F165B6" w:rsidRDefault="00F165B6" w:rsidP="00F165B6">
            <w:pPr>
              <w:rPr>
                <w:rFonts w:ascii="Arial" w:hAnsi="Arial" w:cs="Arial"/>
                <w:sz w:val="16"/>
                <w:szCs w:val="16"/>
              </w:rPr>
            </w:pPr>
            <w:r w:rsidRPr="00F165B6">
              <w:rPr>
                <w:rFonts w:ascii="Arial" w:hAnsi="Arial" w:cs="Arial"/>
                <w:sz w:val="16"/>
                <w:szCs w:val="16"/>
              </w:rPr>
              <w:t>Principles of risk and diversification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84CD9F2"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75218F8"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394A5E7"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8AD7784"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1CEF2AD"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B4083A8"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05078F57"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E129EC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B61E52C"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5A1C19E"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98DB552" w14:textId="77777777" w:rsidR="00F165B6" w:rsidRPr="00F165B6" w:rsidRDefault="00F165B6" w:rsidP="00F165B6">
            <w:pPr>
              <w:rPr>
                <w:rFonts w:ascii="Arial" w:hAnsi="Arial" w:cs="Arial"/>
                <w:sz w:val="16"/>
                <w:szCs w:val="16"/>
              </w:rPr>
            </w:pPr>
            <w:r w:rsidRPr="00F165B6">
              <w:rPr>
                <w:rFonts w:ascii="Arial" w:hAnsi="Arial" w:cs="Arial"/>
                <w:sz w:val="16"/>
                <w:szCs w:val="16"/>
              </w:rPr>
              <w:t>3.71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C71EC6C"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622A7F01"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C5F0E9" w14:textId="77777777" w:rsidR="00F165B6" w:rsidRPr="00F165B6" w:rsidRDefault="00F165B6" w:rsidP="00F165B6">
            <w:pPr>
              <w:rPr>
                <w:rFonts w:ascii="Arial" w:hAnsi="Arial" w:cs="Arial"/>
                <w:sz w:val="16"/>
                <w:szCs w:val="16"/>
              </w:rPr>
            </w:pPr>
            <w:r w:rsidRPr="00F165B6">
              <w:rPr>
                <w:rFonts w:ascii="Arial" w:hAnsi="Arial" w:cs="Arial"/>
                <w:sz w:val="16"/>
                <w:szCs w:val="16"/>
              </w:rPr>
              <w:t>Cost estimation methods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2B80FD6"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A443B83"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6AC0854"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0C85309"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02655EA"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9BABD17"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2BF4CEFC"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9B552CA"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C3606E4"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FB34E2A"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CCA8C7B" w14:textId="77777777" w:rsidR="00F165B6" w:rsidRPr="00F165B6" w:rsidRDefault="00F165B6" w:rsidP="00F165B6">
            <w:pPr>
              <w:rPr>
                <w:rFonts w:ascii="Arial" w:hAnsi="Arial" w:cs="Arial"/>
                <w:sz w:val="16"/>
                <w:szCs w:val="16"/>
              </w:rPr>
            </w:pPr>
            <w:r w:rsidRPr="00F165B6">
              <w:rPr>
                <w:rFonts w:ascii="Arial" w:hAnsi="Arial" w:cs="Arial"/>
                <w:sz w:val="16"/>
                <w:szCs w:val="16"/>
              </w:rPr>
              <w:t>3.43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17C21D4"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480B2F1D"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574406"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Relevant conventions, agreement, legislation and regulations </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5D95AEC"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E81C0D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p w14:paraId="62CEC46D"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15273C6"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330352B"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B747BFA"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EC4F8FE"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5590F393"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4DD3D4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6855FDB"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5BB26D4"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7CD7DCA"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15F8202"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25287467"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1B41B4" w14:textId="77777777" w:rsidR="00F165B6" w:rsidRPr="00F165B6" w:rsidRDefault="00F165B6" w:rsidP="00F165B6">
            <w:pPr>
              <w:rPr>
                <w:rFonts w:ascii="Arial" w:hAnsi="Arial" w:cs="Arial"/>
                <w:sz w:val="16"/>
                <w:szCs w:val="16"/>
              </w:rPr>
            </w:pPr>
            <w:r w:rsidRPr="00F165B6">
              <w:rPr>
                <w:rFonts w:ascii="Arial" w:hAnsi="Arial" w:cs="Arial"/>
                <w:sz w:val="16"/>
                <w:szCs w:val="16"/>
              </w:rPr>
              <w:t>Contingency approach</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0B47759" w14:textId="77777777" w:rsidR="00F165B6" w:rsidRPr="00F165B6" w:rsidRDefault="00F165B6" w:rsidP="00F165B6">
            <w:pPr>
              <w:rPr>
                <w:rFonts w:ascii="Arial" w:hAnsi="Arial" w:cs="Arial"/>
                <w:sz w:val="16"/>
                <w:szCs w:val="16"/>
              </w:rPr>
            </w:pPr>
            <w:r w:rsidRPr="00F165B6">
              <w:rPr>
                <w:rFonts w:ascii="Arial" w:hAnsi="Arial" w:cs="Arial"/>
                <w:sz w:val="16"/>
                <w:szCs w:val="16"/>
              </w:rPr>
              <w:t>1.50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6536CF9"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988458D"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BE11BCD"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5F43853"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521B27B"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8C8C27E"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8DA4340"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52C22B" w14:textId="77777777" w:rsidR="00F165B6" w:rsidRPr="00F165B6" w:rsidRDefault="00F165B6" w:rsidP="00F165B6">
            <w:pPr>
              <w:rPr>
                <w:rFonts w:ascii="Arial" w:hAnsi="Arial" w:cs="Arial"/>
                <w:sz w:val="16"/>
                <w:szCs w:val="16"/>
              </w:rPr>
            </w:pPr>
            <w:r w:rsidRPr="00F165B6">
              <w:rPr>
                <w:rFonts w:ascii="Arial" w:hAnsi="Arial" w:cs="Arial"/>
                <w:sz w:val="16"/>
                <w:szCs w:val="16"/>
              </w:rPr>
              <w:t>3.59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9EFD63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0FAF491"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6855C07"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r w:rsidR="00F165B6" w:rsidRPr="00F165B6" w14:paraId="06D9561E"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065090" w14:textId="77777777" w:rsidR="00F165B6" w:rsidRPr="00F165B6" w:rsidRDefault="00F165B6" w:rsidP="00F165B6">
            <w:pPr>
              <w:rPr>
                <w:rFonts w:ascii="Arial" w:hAnsi="Arial" w:cs="Arial"/>
                <w:sz w:val="16"/>
                <w:szCs w:val="16"/>
              </w:rPr>
            </w:pPr>
            <w:r w:rsidRPr="00F165B6">
              <w:rPr>
                <w:rFonts w:ascii="Arial" w:hAnsi="Arial" w:cs="Arial"/>
                <w:sz w:val="16"/>
                <w:szCs w:val="16"/>
              </w:rPr>
              <w:t>Risks and opportunities response strategies and plan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94D602E" w14:textId="77777777" w:rsidR="00F165B6" w:rsidRPr="00F165B6" w:rsidRDefault="00F165B6" w:rsidP="00F165B6">
            <w:pPr>
              <w:rPr>
                <w:rFonts w:ascii="Arial" w:hAnsi="Arial" w:cs="Arial"/>
                <w:sz w:val="16"/>
                <w:szCs w:val="16"/>
              </w:rPr>
            </w:pPr>
            <w:r w:rsidRPr="00F165B6">
              <w:rPr>
                <w:rFonts w:ascii="Arial" w:hAnsi="Arial" w:cs="Arial"/>
                <w:sz w:val="16"/>
                <w:szCs w:val="16"/>
              </w:rPr>
              <w:t>1.50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86FA391"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p w14:paraId="1DE2F03B"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626D942"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B6979F1"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877D888"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p w14:paraId="08BACC46"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13B5E5E"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5D9FF3D2"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C59978E"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41806D6"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p w14:paraId="58CB414B"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894B656"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C23BDC9"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23498D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18D96B5A"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C96BBA" w14:textId="77777777" w:rsidR="00F165B6" w:rsidRPr="00F165B6" w:rsidRDefault="00F165B6" w:rsidP="00F165B6">
            <w:pPr>
              <w:rPr>
                <w:rFonts w:ascii="Arial" w:hAnsi="Arial" w:cs="Arial"/>
                <w:sz w:val="16"/>
                <w:szCs w:val="16"/>
              </w:rPr>
            </w:pPr>
            <w:r w:rsidRPr="00F165B6">
              <w:rPr>
                <w:rFonts w:ascii="Arial" w:hAnsi="Arial" w:cs="Arial"/>
                <w:sz w:val="16"/>
                <w:szCs w:val="16"/>
              </w:rPr>
              <w:t>Process and governance for cost management</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C36AC90" w14:textId="77777777" w:rsidR="00F165B6" w:rsidRPr="00F165B6" w:rsidRDefault="00F165B6" w:rsidP="00F165B6">
            <w:pPr>
              <w:rPr>
                <w:rFonts w:ascii="Arial" w:hAnsi="Arial" w:cs="Arial"/>
                <w:sz w:val="16"/>
                <w:szCs w:val="16"/>
              </w:rPr>
            </w:pPr>
            <w:r w:rsidRPr="00F165B6">
              <w:rPr>
                <w:rFonts w:ascii="Arial" w:hAnsi="Arial" w:cs="Arial"/>
                <w:sz w:val="16"/>
                <w:szCs w:val="16"/>
              </w:rPr>
              <w:t>1.50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8870307"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E8C00FA" w14:textId="77777777" w:rsidR="00F165B6" w:rsidRPr="00F165B6" w:rsidRDefault="00F165B6" w:rsidP="00F165B6">
            <w:pPr>
              <w:rPr>
                <w:rFonts w:ascii="Arial" w:hAnsi="Arial" w:cs="Arial"/>
                <w:sz w:val="16"/>
                <w:szCs w:val="16"/>
              </w:rPr>
            </w:pPr>
            <w:r w:rsidRPr="00F165B6">
              <w:rPr>
                <w:rFonts w:ascii="Arial" w:hAnsi="Arial" w:cs="Arial"/>
                <w:sz w:val="16"/>
                <w:szCs w:val="16"/>
              </w:rPr>
              <w:t>3.17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C0E6410"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F21B391"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AF2C852"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5EFBDB5D"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F1B5600"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6BF2852"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E7AC866"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766DF80"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099017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bl>
    <w:p w14:paraId="67F8159D" w14:textId="77777777" w:rsidR="00F165B6" w:rsidRPr="00F165B6" w:rsidRDefault="00F165B6" w:rsidP="00F165B6">
      <w:pPr>
        <w:rPr>
          <w:rFonts w:ascii="Arial" w:hAnsi="Arial" w:cs="Arial"/>
          <w:sz w:val="16"/>
          <w:szCs w:val="16"/>
        </w:rPr>
      </w:pPr>
      <w:r w:rsidRPr="00F165B6">
        <w:rPr>
          <w:rFonts w:ascii="Arial" w:hAnsi="Arial" w:cs="Arial"/>
          <w:sz w:val="16"/>
          <w:szCs w:val="16"/>
        </w:rPr>
        <w:t>Not needed(1)</w:t>
      </w:r>
      <w:r w:rsidRPr="00F165B6">
        <w:rPr>
          <w:rFonts w:ascii="Arial" w:hAnsi="Arial" w:cs="Arial"/>
          <w:sz w:val="16"/>
          <w:szCs w:val="16"/>
        </w:rPr>
        <w:tab/>
        <w:t>, Less needed(2), Needed(3),Very needed(4)Highly needed(5)</w:t>
      </w:r>
    </w:p>
    <w:p w14:paraId="33621189" w14:textId="77777777" w:rsidR="00F165B6" w:rsidRPr="00F165B6" w:rsidRDefault="00F165B6" w:rsidP="00F165B6">
      <w:pPr>
        <w:rPr>
          <w:rFonts w:ascii="Arial" w:hAnsi="Arial" w:cs="Arial"/>
          <w:sz w:val="16"/>
          <w:szCs w:val="16"/>
        </w:rPr>
      </w:pPr>
    </w:p>
    <w:p w14:paraId="54478504" w14:textId="77777777" w:rsidR="00F165B6" w:rsidRPr="00F165B6" w:rsidRDefault="00F165B6" w:rsidP="00F165B6">
      <w:pPr>
        <w:rPr>
          <w:rFonts w:ascii="Arial" w:hAnsi="Arial" w:cs="Arial"/>
          <w:sz w:val="16"/>
          <w:szCs w:val="16"/>
        </w:rPr>
      </w:pPr>
      <w:bookmarkStart w:id="1607" w:name="_Toc64663370"/>
      <w:r w:rsidRPr="00F165B6">
        <w:rPr>
          <w:rFonts w:ascii="Arial" w:hAnsi="Arial" w:cs="Arial"/>
          <w:sz w:val="16"/>
          <w:szCs w:val="16"/>
        </w:rPr>
        <w:t xml:space="preserve"> </w:t>
      </w:r>
      <w:bookmarkEnd w:id="1607"/>
    </w:p>
    <w:p w14:paraId="56C6D8E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Table 7: </w:t>
      </w:r>
      <w:r w:rsidRPr="00F165B6">
        <w:rPr>
          <w:rFonts w:ascii="Arial" w:hAnsi="Arial" w:cs="Arial"/>
          <w:i/>
          <w:iCs/>
          <w:sz w:val="16"/>
          <w:szCs w:val="16"/>
        </w:rPr>
        <w:t>Mean scores for Degree of need for training and education for management knowledge for securing finance for real estate project development for the future at the disaggregate level</w:t>
      </w:r>
    </w:p>
    <w:tbl>
      <w:tblPr>
        <w:tblW w:w="9029" w:type="dxa"/>
        <w:tblInd w:w="93" w:type="dxa"/>
        <w:tblLayout w:type="fixed"/>
        <w:tblCellMar>
          <w:left w:w="10" w:type="dxa"/>
          <w:right w:w="10" w:type="dxa"/>
        </w:tblCellMar>
        <w:tblLook w:val="0000" w:firstRow="0" w:lastRow="0" w:firstColumn="0" w:lastColumn="0" w:noHBand="0" w:noVBand="0"/>
      </w:tblPr>
      <w:tblGrid>
        <w:gridCol w:w="1411"/>
        <w:gridCol w:w="634"/>
        <w:gridCol w:w="635"/>
        <w:gridCol w:w="635"/>
        <w:gridCol w:w="635"/>
        <w:gridCol w:w="635"/>
        <w:gridCol w:w="635"/>
        <w:gridCol w:w="634"/>
        <w:gridCol w:w="635"/>
        <w:gridCol w:w="635"/>
        <w:gridCol w:w="635"/>
        <w:gridCol w:w="635"/>
        <w:gridCol w:w="635"/>
      </w:tblGrid>
      <w:tr w:rsidR="00F165B6" w:rsidRPr="00F165B6" w14:paraId="56EB7F98" w14:textId="77777777" w:rsidTr="004F5D57">
        <w:trPr>
          <w:trHeight w:val="464"/>
        </w:trPr>
        <w:tc>
          <w:tcPr>
            <w:tcW w:w="14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7BBF5B" w14:textId="77777777" w:rsidR="00F165B6" w:rsidRPr="00F165B6" w:rsidRDefault="00F165B6" w:rsidP="00F165B6">
            <w:pPr>
              <w:rPr>
                <w:rFonts w:ascii="Arial" w:hAnsi="Arial" w:cs="Arial"/>
                <w:sz w:val="16"/>
                <w:szCs w:val="16"/>
              </w:rPr>
            </w:pPr>
            <w:r w:rsidRPr="00F165B6">
              <w:rPr>
                <w:rFonts w:ascii="Arial" w:hAnsi="Arial" w:cs="Arial"/>
                <w:sz w:val="16"/>
                <w:szCs w:val="16"/>
              </w:rPr>
              <w:t>Management Knowledge</w:t>
            </w:r>
          </w:p>
        </w:tc>
        <w:tc>
          <w:tcPr>
            <w:tcW w:w="6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8CAB2" w14:textId="77777777" w:rsidR="00F165B6" w:rsidRPr="00F165B6" w:rsidRDefault="00F165B6" w:rsidP="00F165B6">
            <w:pPr>
              <w:rPr>
                <w:rFonts w:ascii="Arial" w:hAnsi="Arial" w:cs="Arial"/>
                <w:sz w:val="16"/>
                <w:szCs w:val="16"/>
              </w:rPr>
            </w:pPr>
            <w:r w:rsidRPr="00F165B6">
              <w:rPr>
                <w:rFonts w:ascii="Arial" w:hAnsi="Arial" w:cs="Arial"/>
                <w:sz w:val="16"/>
                <w:szCs w:val="16"/>
              </w:rPr>
              <w:t>Germany</w:t>
            </w:r>
          </w:p>
          <w:p w14:paraId="2A34D0D4" w14:textId="77777777" w:rsidR="00F165B6" w:rsidRPr="00F165B6" w:rsidRDefault="00F165B6" w:rsidP="00F165B6">
            <w:pPr>
              <w:rPr>
                <w:rFonts w:ascii="Arial" w:hAnsi="Arial" w:cs="Arial"/>
                <w:sz w:val="16"/>
                <w:szCs w:val="16"/>
              </w:rPr>
            </w:pPr>
            <w:r w:rsidRPr="00F165B6">
              <w:rPr>
                <w:rFonts w:ascii="Arial" w:hAnsi="Arial" w:cs="Arial"/>
                <w:sz w:val="16"/>
                <w:szCs w:val="16"/>
              </w:rPr>
              <w:t>N=5</w:t>
            </w:r>
          </w:p>
        </w:tc>
        <w:tc>
          <w:tcPr>
            <w:tcW w:w="63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3C1767"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AA1B5" w14:textId="77777777" w:rsidR="00F165B6" w:rsidRPr="00F165B6" w:rsidRDefault="00F165B6" w:rsidP="00F165B6">
            <w:pPr>
              <w:rPr>
                <w:rFonts w:ascii="Arial" w:hAnsi="Arial" w:cs="Arial"/>
                <w:sz w:val="16"/>
                <w:szCs w:val="16"/>
              </w:rPr>
            </w:pPr>
            <w:r w:rsidRPr="00F165B6">
              <w:rPr>
                <w:rFonts w:ascii="Arial" w:hAnsi="Arial" w:cs="Arial"/>
                <w:sz w:val="16"/>
                <w:szCs w:val="16"/>
              </w:rPr>
              <w:t>UK</w:t>
            </w:r>
          </w:p>
          <w:p w14:paraId="1AFA8E0C" w14:textId="77777777" w:rsidR="00F165B6" w:rsidRPr="00F165B6" w:rsidRDefault="00F165B6" w:rsidP="00F165B6">
            <w:pPr>
              <w:rPr>
                <w:rFonts w:ascii="Arial" w:hAnsi="Arial" w:cs="Arial"/>
                <w:sz w:val="16"/>
                <w:szCs w:val="16"/>
              </w:rPr>
            </w:pPr>
            <w:r w:rsidRPr="00F165B6">
              <w:rPr>
                <w:rFonts w:ascii="Arial" w:hAnsi="Arial" w:cs="Arial"/>
                <w:sz w:val="16"/>
                <w:szCs w:val="16"/>
              </w:rPr>
              <w:t>N=20</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82E6A"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959FF" w14:textId="77777777" w:rsidR="00F165B6" w:rsidRPr="00F165B6" w:rsidRDefault="00F165B6" w:rsidP="00F165B6">
            <w:pPr>
              <w:rPr>
                <w:rFonts w:ascii="Arial" w:hAnsi="Arial" w:cs="Arial"/>
                <w:sz w:val="16"/>
                <w:szCs w:val="16"/>
              </w:rPr>
            </w:pPr>
            <w:r w:rsidRPr="00F165B6">
              <w:rPr>
                <w:rFonts w:ascii="Arial" w:hAnsi="Arial" w:cs="Arial"/>
                <w:sz w:val="16"/>
                <w:szCs w:val="16"/>
              </w:rPr>
              <w:t>US</w:t>
            </w:r>
          </w:p>
          <w:p w14:paraId="714E5C08" w14:textId="77777777" w:rsidR="00F165B6" w:rsidRPr="00F165B6" w:rsidRDefault="00F165B6" w:rsidP="00F165B6">
            <w:pPr>
              <w:rPr>
                <w:rFonts w:ascii="Arial" w:hAnsi="Arial" w:cs="Arial"/>
                <w:sz w:val="16"/>
                <w:szCs w:val="16"/>
              </w:rPr>
            </w:pPr>
            <w:r w:rsidRPr="00F165B6">
              <w:rPr>
                <w:rFonts w:ascii="Arial" w:hAnsi="Arial" w:cs="Arial"/>
                <w:sz w:val="16"/>
                <w:szCs w:val="16"/>
              </w:rPr>
              <w:t>N=8</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D9B49"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B2D70" w14:textId="77777777" w:rsidR="00F165B6" w:rsidRPr="00F165B6" w:rsidRDefault="00F165B6" w:rsidP="00F165B6">
            <w:pPr>
              <w:rPr>
                <w:rFonts w:ascii="Arial" w:hAnsi="Arial" w:cs="Arial"/>
                <w:sz w:val="16"/>
                <w:szCs w:val="16"/>
              </w:rPr>
            </w:pPr>
            <w:r w:rsidRPr="00F165B6">
              <w:rPr>
                <w:rFonts w:ascii="Arial" w:hAnsi="Arial" w:cs="Arial"/>
                <w:sz w:val="16"/>
                <w:szCs w:val="16"/>
              </w:rPr>
              <w:t>China</w:t>
            </w:r>
          </w:p>
          <w:p w14:paraId="07FB0D70" w14:textId="77777777" w:rsidR="00F165B6" w:rsidRPr="00F165B6" w:rsidRDefault="00F165B6" w:rsidP="00F165B6">
            <w:pPr>
              <w:rPr>
                <w:rFonts w:ascii="Arial" w:hAnsi="Arial" w:cs="Arial"/>
                <w:sz w:val="16"/>
                <w:szCs w:val="16"/>
              </w:rPr>
            </w:pPr>
            <w:r w:rsidRPr="00F165B6">
              <w:rPr>
                <w:rFonts w:ascii="Arial" w:hAnsi="Arial" w:cs="Arial"/>
                <w:sz w:val="16"/>
                <w:szCs w:val="16"/>
              </w:rPr>
              <w:t>N=11</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F3CF5"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2507B" w14:textId="77777777" w:rsidR="00F165B6" w:rsidRPr="00F165B6" w:rsidRDefault="00F165B6" w:rsidP="00F165B6">
            <w:pPr>
              <w:rPr>
                <w:rFonts w:ascii="Arial" w:hAnsi="Arial" w:cs="Arial"/>
                <w:sz w:val="16"/>
                <w:szCs w:val="16"/>
              </w:rPr>
            </w:pPr>
            <w:r w:rsidRPr="00F165B6">
              <w:rPr>
                <w:rFonts w:ascii="Arial" w:hAnsi="Arial" w:cs="Arial"/>
                <w:sz w:val="16"/>
                <w:szCs w:val="16"/>
              </w:rPr>
              <w:t>Nigeria</w:t>
            </w:r>
          </w:p>
          <w:p w14:paraId="27A6517B" w14:textId="77777777" w:rsidR="00F165B6" w:rsidRPr="00F165B6" w:rsidRDefault="00F165B6" w:rsidP="00F165B6">
            <w:pPr>
              <w:rPr>
                <w:rFonts w:ascii="Arial" w:hAnsi="Arial" w:cs="Arial"/>
                <w:sz w:val="16"/>
                <w:szCs w:val="16"/>
              </w:rPr>
            </w:pPr>
            <w:r w:rsidRPr="00F165B6">
              <w:rPr>
                <w:rFonts w:ascii="Arial" w:hAnsi="Arial" w:cs="Arial"/>
                <w:sz w:val="16"/>
                <w:szCs w:val="16"/>
              </w:rPr>
              <w:t>N=26</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0AA82"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1A5C"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w:t>
            </w:r>
          </w:p>
          <w:p w14:paraId="1A023329" w14:textId="77777777" w:rsidR="00F165B6" w:rsidRPr="00F165B6" w:rsidRDefault="00F165B6" w:rsidP="00F165B6">
            <w:pPr>
              <w:rPr>
                <w:rFonts w:ascii="Arial" w:hAnsi="Arial" w:cs="Arial"/>
                <w:sz w:val="16"/>
                <w:szCs w:val="16"/>
              </w:rPr>
            </w:pPr>
            <w:r w:rsidRPr="00F165B6">
              <w:rPr>
                <w:rFonts w:ascii="Arial" w:hAnsi="Arial" w:cs="Arial"/>
                <w:sz w:val="16"/>
                <w:szCs w:val="16"/>
              </w:rPr>
              <w:t>N=11</w:t>
            </w:r>
          </w:p>
        </w:tc>
        <w:tc>
          <w:tcPr>
            <w:tcW w:w="6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1698F"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3637BDF5"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8AD299" w14:textId="77777777" w:rsidR="00F165B6" w:rsidRPr="00F165B6" w:rsidRDefault="00F165B6" w:rsidP="00F165B6">
            <w:pPr>
              <w:rPr>
                <w:rFonts w:ascii="Arial" w:hAnsi="Arial" w:cs="Arial"/>
                <w:sz w:val="16"/>
                <w:szCs w:val="16"/>
              </w:rPr>
            </w:pPr>
            <w:r w:rsidRPr="00F165B6">
              <w:rPr>
                <w:rFonts w:ascii="Arial" w:hAnsi="Arial" w:cs="Arial"/>
                <w:sz w:val="16"/>
                <w:szCs w:val="16"/>
              </w:rPr>
              <w:t>Funding sources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FBDEC09"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414CE7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D408F3B"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0C39D8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B7F2EBE"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930FBAC"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6733EEB7"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E59DEC9"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8C4ABF8" w14:textId="77777777" w:rsidR="00F165B6" w:rsidRPr="00F165B6" w:rsidRDefault="00F165B6" w:rsidP="00F165B6">
            <w:pPr>
              <w:rPr>
                <w:rFonts w:ascii="Arial" w:hAnsi="Arial" w:cs="Arial"/>
                <w:sz w:val="16"/>
                <w:szCs w:val="16"/>
              </w:rPr>
            </w:pPr>
            <w:r w:rsidRPr="00F165B6">
              <w:rPr>
                <w:rFonts w:ascii="Arial" w:hAnsi="Arial" w:cs="Arial"/>
                <w:sz w:val="16"/>
                <w:szCs w:val="16"/>
              </w:rPr>
              <w:t>4.28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C0638F6"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5C41679"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E9F0961"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23BE9A69"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7F3341"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Market intelligence </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1DDF086"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A610918"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7A68AFA" w14:textId="77777777" w:rsidR="00F165B6" w:rsidRPr="00F165B6" w:rsidRDefault="00F165B6" w:rsidP="00F165B6">
            <w:pPr>
              <w:rPr>
                <w:rFonts w:ascii="Arial" w:hAnsi="Arial" w:cs="Arial"/>
                <w:sz w:val="16"/>
                <w:szCs w:val="16"/>
              </w:rPr>
            </w:pPr>
            <w:r w:rsidRPr="00F165B6">
              <w:rPr>
                <w:rFonts w:ascii="Arial" w:hAnsi="Arial" w:cs="Arial"/>
                <w:sz w:val="16"/>
                <w:szCs w:val="16"/>
              </w:rPr>
              <w:t>4.17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B2E6792"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E482235"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05520BF"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6CD622E4" w14:textId="77777777" w:rsidR="00F165B6" w:rsidRPr="00F165B6" w:rsidRDefault="00F165B6" w:rsidP="00F165B6">
            <w:pPr>
              <w:rPr>
                <w:rFonts w:ascii="Arial" w:hAnsi="Arial" w:cs="Arial"/>
                <w:sz w:val="16"/>
                <w:szCs w:val="16"/>
              </w:rPr>
            </w:pPr>
            <w:r w:rsidRPr="00F165B6">
              <w:rPr>
                <w:rFonts w:ascii="Arial" w:hAnsi="Arial" w:cs="Arial"/>
                <w:sz w:val="16"/>
                <w:szCs w:val="16"/>
              </w:rPr>
              <w:t>2.75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E05670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4F8962"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65653D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8DB0D6A"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69E58B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356015A5"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366285" w14:textId="77777777" w:rsidR="00F165B6" w:rsidRPr="00F165B6" w:rsidRDefault="00F165B6" w:rsidP="00F165B6">
            <w:pPr>
              <w:rPr>
                <w:rFonts w:ascii="Arial" w:hAnsi="Arial" w:cs="Arial"/>
                <w:sz w:val="16"/>
                <w:szCs w:val="16"/>
              </w:rPr>
            </w:pPr>
            <w:r w:rsidRPr="00F165B6">
              <w:rPr>
                <w:rFonts w:ascii="Arial" w:hAnsi="Arial" w:cs="Arial"/>
                <w:sz w:val="16"/>
                <w:szCs w:val="16"/>
              </w:rPr>
              <w:t>Fundamental concepts of economics &amp; finance ( e.g. calculation of interest rate &amp; inflation)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B6E60E1"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4878C67"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F221E23"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p w14:paraId="6AEB12EF"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7423C14"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307C2C7"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BC81B44"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6CAEAC7"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p w14:paraId="719D9D7F"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6AFFCBC"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87F8BD7"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024A541"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8E4628B"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CA51D4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r w:rsidR="00F165B6" w:rsidRPr="00F165B6" w14:paraId="6369325B"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2B2E78"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accounting basics </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DA2813F"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E450496"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8CDB8E6"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73B1130"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00F6323"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95B0390"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13A4A0F4"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DBF6ADD"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37358EF"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B27889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6AFD26F"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228D467"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2B1FAB94"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BDBD13"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Debt literacy</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B0B70F2"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0F8D519"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513EA2F" w14:textId="77777777" w:rsidR="00F165B6" w:rsidRPr="00F165B6" w:rsidRDefault="00F165B6" w:rsidP="00F165B6">
            <w:pPr>
              <w:rPr>
                <w:rFonts w:ascii="Arial" w:hAnsi="Arial" w:cs="Arial"/>
                <w:sz w:val="16"/>
                <w:szCs w:val="16"/>
              </w:rPr>
            </w:pPr>
            <w:r w:rsidRPr="00F165B6">
              <w:rPr>
                <w:rFonts w:ascii="Arial" w:hAnsi="Arial" w:cs="Arial"/>
                <w:sz w:val="16"/>
                <w:szCs w:val="16"/>
              </w:rPr>
              <w:t>4.17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80BFF90"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F582621"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3BBB2B3"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02C380D5"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1320BFA"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80229D3"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60B5061"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B177314"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DA697E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7B14CCED" w14:textId="77777777" w:rsidTr="004F5D57">
        <w:trPr>
          <w:trHeight w:val="464"/>
        </w:trPr>
        <w:tc>
          <w:tcPr>
            <w:tcW w:w="14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61B10"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management concepts &amp; terms such as ( cash flow, debt – asset ratio, return on investment &amp; rate of return)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A492DE5"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4729869"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B4DD57B"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403814A"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583B0CC"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82275C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2D0DFE55" w14:textId="77777777" w:rsidR="00F165B6" w:rsidRPr="00F165B6" w:rsidRDefault="00F165B6" w:rsidP="00F165B6">
            <w:pPr>
              <w:rPr>
                <w:rFonts w:ascii="Arial" w:hAnsi="Arial" w:cs="Arial"/>
                <w:sz w:val="16"/>
                <w:szCs w:val="16"/>
              </w:rPr>
            </w:pPr>
            <w:r w:rsidRPr="00F165B6">
              <w:rPr>
                <w:rFonts w:ascii="Arial" w:hAnsi="Arial" w:cs="Arial"/>
                <w:sz w:val="16"/>
                <w:szCs w:val="16"/>
              </w:rPr>
              <w:t>2.44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CE2D9F3"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5CFF54C" w14:textId="77777777" w:rsidR="00F165B6" w:rsidRPr="00F165B6" w:rsidRDefault="00F165B6" w:rsidP="00F165B6">
            <w:pPr>
              <w:rPr>
                <w:rFonts w:ascii="Arial" w:hAnsi="Arial" w:cs="Arial"/>
                <w:sz w:val="16"/>
                <w:szCs w:val="16"/>
              </w:rPr>
            </w:pPr>
            <w:r w:rsidRPr="00F165B6">
              <w:rPr>
                <w:rFonts w:ascii="Arial" w:hAnsi="Arial" w:cs="Arial"/>
                <w:sz w:val="16"/>
                <w:szCs w:val="16"/>
              </w:rPr>
              <w:t>4.17</w:t>
            </w:r>
          </w:p>
          <w:p w14:paraId="46026363" w14:textId="77777777" w:rsidR="00F165B6" w:rsidRPr="00F165B6" w:rsidRDefault="00F165B6" w:rsidP="00F165B6">
            <w:pPr>
              <w:rPr>
                <w:rFonts w:ascii="Arial" w:hAnsi="Arial" w:cs="Arial"/>
                <w:sz w:val="16"/>
                <w:szCs w:val="16"/>
              </w:rPr>
            </w:pPr>
          </w:p>
          <w:p w14:paraId="64ABB3B1" w14:textId="77777777" w:rsidR="00F165B6" w:rsidRPr="00F165B6" w:rsidRDefault="00F165B6" w:rsidP="00F165B6">
            <w:pPr>
              <w:rPr>
                <w:rFonts w:ascii="Arial" w:hAnsi="Arial" w:cs="Arial"/>
                <w:sz w:val="16"/>
                <w:szCs w:val="16"/>
              </w:rPr>
            </w:pPr>
          </w:p>
          <w:p w14:paraId="2A196844"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BC1BFD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2E85080"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p w14:paraId="65651258"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17D9D9F"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4AE03F86"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8069D27" w14:textId="77777777" w:rsidR="00F165B6" w:rsidRPr="00F165B6" w:rsidRDefault="00F165B6" w:rsidP="00F165B6">
            <w:pPr>
              <w:rPr>
                <w:rFonts w:ascii="Arial" w:hAnsi="Arial" w:cs="Arial"/>
                <w:sz w:val="16"/>
                <w:szCs w:val="16"/>
              </w:rPr>
            </w:pPr>
            <w:r w:rsidRPr="00F165B6">
              <w:rPr>
                <w:rFonts w:ascii="Arial" w:hAnsi="Arial" w:cs="Arial"/>
                <w:sz w:val="16"/>
                <w:szCs w:val="16"/>
              </w:rPr>
              <w:t>Techniques and conditions for loan effectiveness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0C7C126"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A49C2CB"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AC2C67B"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D452345"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066C597"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1B6FC2E"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13F5781C"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p w14:paraId="4B0D8657"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E78BF9"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DF1BD87"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E00B75D"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C874406"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C4980D5"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51392024"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F1D0D9" w14:textId="77777777" w:rsidR="00F165B6" w:rsidRPr="00F165B6" w:rsidRDefault="00F165B6" w:rsidP="00F165B6">
            <w:pPr>
              <w:rPr>
                <w:rFonts w:ascii="Arial" w:hAnsi="Arial" w:cs="Arial"/>
                <w:sz w:val="16"/>
                <w:szCs w:val="16"/>
              </w:rPr>
            </w:pPr>
            <w:r w:rsidRPr="00F165B6">
              <w:rPr>
                <w:rFonts w:ascii="Arial" w:hAnsi="Arial" w:cs="Arial"/>
                <w:sz w:val="16"/>
                <w:szCs w:val="16"/>
              </w:rPr>
              <w:t>Finance options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2E5CE27"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5228649"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8866960" w14:textId="77777777" w:rsidR="00F165B6" w:rsidRPr="00F165B6" w:rsidRDefault="00F165B6" w:rsidP="00F165B6">
            <w:pPr>
              <w:rPr>
                <w:rFonts w:ascii="Arial" w:hAnsi="Arial" w:cs="Arial"/>
                <w:sz w:val="16"/>
                <w:szCs w:val="16"/>
              </w:rPr>
            </w:pPr>
            <w:r w:rsidRPr="00F165B6">
              <w:rPr>
                <w:rFonts w:ascii="Arial" w:hAnsi="Arial" w:cs="Arial"/>
                <w:sz w:val="16"/>
                <w:szCs w:val="16"/>
              </w:rPr>
              <w:t>3.40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7854CF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FE63EFA"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F0ACCD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5C615402" w14:textId="77777777" w:rsidR="00F165B6" w:rsidRPr="00F165B6" w:rsidRDefault="00F165B6" w:rsidP="00F165B6">
            <w:pPr>
              <w:rPr>
                <w:rFonts w:ascii="Arial" w:hAnsi="Arial" w:cs="Arial"/>
                <w:sz w:val="16"/>
                <w:szCs w:val="16"/>
              </w:rPr>
            </w:pPr>
            <w:r w:rsidRPr="00F165B6">
              <w:rPr>
                <w:rFonts w:ascii="Arial" w:hAnsi="Arial" w:cs="Arial"/>
                <w:sz w:val="16"/>
                <w:szCs w:val="16"/>
              </w:rPr>
              <w:t>2.88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CE0ACF7"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2584A35"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023C239"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6DEDEFF"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F1DB1C2"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2C564D66"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92D58E" w14:textId="77777777" w:rsidR="00F165B6" w:rsidRPr="00F165B6" w:rsidRDefault="00F165B6" w:rsidP="00F165B6">
            <w:pPr>
              <w:rPr>
                <w:rFonts w:ascii="Arial" w:hAnsi="Arial" w:cs="Arial"/>
                <w:sz w:val="16"/>
                <w:szCs w:val="16"/>
              </w:rPr>
            </w:pPr>
            <w:r w:rsidRPr="00F165B6">
              <w:rPr>
                <w:rFonts w:ascii="Arial" w:hAnsi="Arial" w:cs="Arial"/>
                <w:sz w:val="16"/>
                <w:szCs w:val="16"/>
              </w:rPr>
              <w:t>Cost calculation techniques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7175F35"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6AC5E0D"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DA104D8"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543B06F"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0D43D42"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93EE9E3"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0D9F8C4C"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CD6097D"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A36DDFE"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5EF5475"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987D7A8"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B6928F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00D10213"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E41395" w14:textId="77777777" w:rsidR="00F165B6" w:rsidRPr="00F165B6" w:rsidRDefault="00F165B6" w:rsidP="00F165B6">
            <w:pPr>
              <w:rPr>
                <w:rFonts w:ascii="Arial" w:hAnsi="Arial" w:cs="Arial"/>
                <w:sz w:val="16"/>
                <w:szCs w:val="16"/>
              </w:rPr>
            </w:pPr>
            <w:r w:rsidRPr="00F165B6">
              <w:rPr>
                <w:rFonts w:ascii="Arial" w:hAnsi="Arial" w:cs="Arial"/>
                <w:sz w:val="16"/>
                <w:szCs w:val="16"/>
              </w:rPr>
              <w:t>Strategies for managing risks and uncertainty</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9CFE039"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6D99AC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514E890"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E2AD5B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C54F166"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1BD8077"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DF627BA"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75EE3E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E5942BA"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1618329"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4F1681A"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C338DBB"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572A63FF"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493CC9" w14:textId="77777777" w:rsidR="00F165B6" w:rsidRPr="00F165B6" w:rsidRDefault="00F165B6" w:rsidP="00F165B6">
            <w:pPr>
              <w:rPr>
                <w:rFonts w:ascii="Arial" w:hAnsi="Arial" w:cs="Arial"/>
                <w:sz w:val="16"/>
                <w:szCs w:val="16"/>
              </w:rPr>
            </w:pPr>
            <w:r w:rsidRPr="00F165B6">
              <w:rPr>
                <w:rFonts w:ascii="Arial" w:hAnsi="Arial" w:cs="Arial"/>
                <w:sz w:val="16"/>
                <w:szCs w:val="16"/>
              </w:rPr>
              <w:t>Performance indicator</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DADD977"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17C8592"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11CF5A0"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F07CED2"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9962F83"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1A96EF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C1299F3"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0A8DD2B"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9395E96" w14:textId="77777777" w:rsidR="00F165B6" w:rsidRPr="00F165B6" w:rsidRDefault="00F165B6" w:rsidP="00F165B6">
            <w:pPr>
              <w:rPr>
                <w:rFonts w:ascii="Arial" w:hAnsi="Arial" w:cs="Arial"/>
                <w:sz w:val="16"/>
                <w:szCs w:val="16"/>
              </w:rPr>
            </w:pPr>
            <w:r w:rsidRPr="00F165B6">
              <w:rPr>
                <w:rFonts w:ascii="Arial" w:hAnsi="Arial" w:cs="Arial"/>
                <w:sz w:val="16"/>
                <w:szCs w:val="16"/>
              </w:rPr>
              <w:t>3.76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8EE818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0EBDF99"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3EDDC55"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33AE1109"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4B138B" w14:textId="77777777" w:rsidR="00F165B6" w:rsidRPr="00F165B6" w:rsidRDefault="00F165B6" w:rsidP="00F165B6">
            <w:pPr>
              <w:rPr>
                <w:rFonts w:ascii="Arial" w:hAnsi="Arial" w:cs="Arial"/>
                <w:sz w:val="16"/>
                <w:szCs w:val="16"/>
              </w:rPr>
            </w:pPr>
            <w:r w:rsidRPr="00F165B6">
              <w:rPr>
                <w:rFonts w:ascii="Arial" w:hAnsi="Arial" w:cs="Arial"/>
                <w:sz w:val="16"/>
                <w:szCs w:val="16"/>
              </w:rPr>
              <w:t>Principles of risk and diversification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B39702C"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591160F"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A0821A1"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4FEF1B5"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38B8CE4" w14:textId="77777777" w:rsidR="00F165B6" w:rsidRPr="00F165B6" w:rsidRDefault="00F165B6" w:rsidP="00F165B6">
            <w:pPr>
              <w:rPr>
                <w:rFonts w:ascii="Arial" w:hAnsi="Arial" w:cs="Arial"/>
                <w:sz w:val="16"/>
                <w:szCs w:val="16"/>
              </w:rPr>
            </w:pPr>
            <w:r w:rsidRPr="00F165B6">
              <w:rPr>
                <w:rFonts w:ascii="Arial" w:hAnsi="Arial" w:cs="Arial"/>
                <w:sz w:val="16"/>
                <w:szCs w:val="16"/>
              </w:rPr>
              <w:t>2.50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BA8BC07"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53423108"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D5FED9A"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42B03C9"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13D23D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195BA10" w14:textId="77777777" w:rsidR="00F165B6" w:rsidRPr="00F165B6" w:rsidRDefault="00F165B6" w:rsidP="00F165B6">
            <w:pPr>
              <w:rPr>
                <w:rFonts w:ascii="Arial" w:hAnsi="Arial" w:cs="Arial"/>
                <w:sz w:val="16"/>
                <w:szCs w:val="16"/>
              </w:rPr>
            </w:pPr>
            <w:r w:rsidRPr="00F165B6">
              <w:rPr>
                <w:rFonts w:ascii="Arial" w:hAnsi="Arial" w:cs="Arial"/>
                <w:sz w:val="16"/>
                <w:szCs w:val="16"/>
              </w:rPr>
              <w:t>3.71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80FDD6B"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096D63A6"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D064D4" w14:textId="77777777" w:rsidR="00F165B6" w:rsidRPr="00F165B6" w:rsidRDefault="00F165B6" w:rsidP="00F165B6">
            <w:pPr>
              <w:rPr>
                <w:rFonts w:ascii="Arial" w:hAnsi="Arial" w:cs="Arial"/>
                <w:sz w:val="16"/>
                <w:szCs w:val="16"/>
              </w:rPr>
            </w:pPr>
            <w:r w:rsidRPr="00F165B6">
              <w:rPr>
                <w:rFonts w:ascii="Arial" w:hAnsi="Arial" w:cs="Arial"/>
                <w:sz w:val="16"/>
                <w:szCs w:val="16"/>
              </w:rPr>
              <w:t>Cost estimation methods</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0B8FBB2"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39CBDF8"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F30B8ED"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B3309CD"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00BF608"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5EA74B5"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3E8C41DC"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5C76360"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D3C142B"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4DE9B99"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B041EA9"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1930A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r w:rsidR="00F165B6" w:rsidRPr="00F165B6" w14:paraId="1E3340E2"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948204"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Relevant conventions, agreement, legislation and regulations </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04C9B76"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5F4C6B2"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A7789C8"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6EDA5C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5FEBC41"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890372"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p w14:paraId="4B5613BD" w14:textId="77777777" w:rsidR="00F165B6" w:rsidRPr="00F165B6" w:rsidRDefault="00F165B6" w:rsidP="00F165B6">
            <w:pPr>
              <w:rPr>
                <w:rFonts w:ascii="Arial" w:hAnsi="Arial" w:cs="Arial"/>
                <w:sz w:val="16"/>
                <w:szCs w:val="16"/>
              </w:rPr>
            </w:pP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0402602"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7FEE73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8F9875F"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7CAFF2E"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1AC8656"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2AA9066"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p w14:paraId="647255F8" w14:textId="77777777" w:rsidR="00F165B6" w:rsidRPr="00F165B6" w:rsidRDefault="00F165B6" w:rsidP="00F165B6">
            <w:pPr>
              <w:rPr>
                <w:rFonts w:ascii="Arial" w:hAnsi="Arial" w:cs="Arial"/>
                <w:sz w:val="16"/>
                <w:szCs w:val="16"/>
              </w:rPr>
            </w:pPr>
          </w:p>
          <w:p w14:paraId="1158FECA" w14:textId="77777777" w:rsidR="00F165B6" w:rsidRPr="00F165B6" w:rsidRDefault="00F165B6" w:rsidP="00F165B6">
            <w:pPr>
              <w:rPr>
                <w:rFonts w:ascii="Arial" w:hAnsi="Arial" w:cs="Arial"/>
                <w:sz w:val="16"/>
                <w:szCs w:val="16"/>
              </w:rPr>
            </w:pPr>
          </w:p>
        </w:tc>
      </w:tr>
      <w:tr w:rsidR="00F165B6" w:rsidRPr="00F165B6" w14:paraId="52AEAA94"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4CEC1A" w14:textId="77777777" w:rsidR="00F165B6" w:rsidRPr="00F165B6" w:rsidRDefault="00F165B6" w:rsidP="00F165B6">
            <w:pPr>
              <w:rPr>
                <w:rFonts w:ascii="Arial" w:hAnsi="Arial" w:cs="Arial"/>
                <w:sz w:val="16"/>
                <w:szCs w:val="16"/>
              </w:rPr>
            </w:pPr>
            <w:r w:rsidRPr="00F165B6">
              <w:rPr>
                <w:rFonts w:ascii="Arial" w:hAnsi="Arial" w:cs="Arial"/>
                <w:sz w:val="16"/>
                <w:szCs w:val="16"/>
              </w:rPr>
              <w:t>Contingency approach</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50A7EA8" w14:textId="77777777" w:rsidR="00F165B6" w:rsidRPr="00F165B6" w:rsidRDefault="00F165B6" w:rsidP="00F165B6">
            <w:pPr>
              <w:rPr>
                <w:rFonts w:ascii="Arial" w:hAnsi="Arial" w:cs="Arial"/>
                <w:sz w:val="16"/>
                <w:szCs w:val="16"/>
              </w:rPr>
            </w:pPr>
            <w:r w:rsidRPr="00F165B6">
              <w:rPr>
                <w:rFonts w:ascii="Arial" w:hAnsi="Arial" w:cs="Arial"/>
                <w:sz w:val="16"/>
                <w:szCs w:val="16"/>
              </w:rPr>
              <w:t>1.00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EA9CB5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2EBDB46"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D47C54D"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568EFA5"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5BE612A"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3A24207"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2CBE21B"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2ADFE4D"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801974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016622E"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5C14632"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6E43A3F7"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D2D55F" w14:textId="77777777" w:rsidR="00F165B6" w:rsidRPr="00F165B6" w:rsidRDefault="00F165B6" w:rsidP="00F165B6">
            <w:pPr>
              <w:rPr>
                <w:rFonts w:ascii="Arial" w:hAnsi="Arial" w:cs="Arial"/>
                <w:sz w:val="16"/>
                <w:szCs w:val="16"/>
              </w:rPr>
            </w:pPr>
            <w:r w:rsidRPr="00F165B6">
              <w:rPr>
                <w:rFonts w:ascii="Arial" w:hAnsi="Arial" w:cs="Arial"/>
                <w:sz w:val="16"/>
                <w:szCs w:val="16"/>
              </w:rPr>
              <w:t>Risks and opportunities response strategies and plan</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0505CAD"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6003769"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15A7376"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60C582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29F75CF"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p w14:paraId="6A7780A1"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58E9934"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p w14:paraId="4A9804E8" w14:textId="77777777" w:rsidR="00F165B6" w:rsidRPr="00F165B6" w:rsidRDefault="00F165B6" w:rsidP="00F165B6">
            <w:pPr>
              <w:rPr>
                <w:rFonts w:ascii="Arial" w:hAnsi="Arial" w:cs="Arial"/>
                <w:sz w:val="16"/>
                <w:szCs w:val="16"/>
              </w:rPr>
            </w:pP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450107C8"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p w14:paraId="539452C8" w14:textId="77777777" w:rsidR="00F165B6" w:rsidRPr="00F165B6" w:rsidRDefault="00F165B6" w:rsidP="00F165B6">
            <w:pPr>
              <w:rPr>
                <w:rFonts w:ascii="Arial" w:hAnsi="Arial" w:cs="Arial"/>
                <w:sz w:val="16"/>
                <w:szCs w:val="16"/>
              </w:rPr>
            </w:pP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7C38954C"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1C4923A"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D2A7A3D"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1A02E5C" w14:textId="77777777" w:rsidR="00F165B6" w:rsidRPr="00F165B6" w:rsidRDefault="00F165B6" w:rsidP="00F165B6">
            <w:pPr>
              <w:rPr>
                <w:rFonts w:ascii="Arial" w:hAnsi="Arial" w:cs="Arial"/>
                <w:sz w:val="16"/>
                <w:szCs w:val="16"/>
              </w:rPr>
            </w:pPr>
            <w:r w:rsidRPr="00F165B6">
              <w:rPr>
                <w:rFonts w:ascii="Arial" w:hAnsi="Arial" w:cs="Arial"/>
                <w:sz w:val="16"/>
                <w:szCs w:val="16"/>
              </w:rPr>
              <w:t>4.00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91F3BBD"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5CD7BDEA" w14:textId="77777777" w:rsidTr="004F5D57">
        <w:trPr>
          <w:trHeight w:val="299"/>
        </w:trPr>
        <w:tc>
          <w:tcPr>
            <w:tcW w:w="141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F6208F" w14:textId="77777777" w:rsidR="00F165B6" w:rsidRPr="00F165B6" w:rsidRDefault="00F165B6" w:rsidP="00F165B6">
            <w:pPr>
              <w:rPr>
                <w:rFonts w:ascii="Arial" w:hAnsi="Arial" w:cs="Arial"/>
                <w:sz w:val="16"/>
                <w:szCs w:val="16"/>
              </w:rPr>
            </w:pPr>
            <w:r w:rsidRPr="00F165B6">
              <w:rPr>
                <w:rFonts w:ascii="Arial" w:hAnsi="Arial" w:cs="Arial"/>
                <w:sz w:val="16"/>
                <w:szCs w:val="16"/>
              </w:rPr>
              <w:t>Process and governance for cost management</w:t>
            </w:r>
          </w:p>
        </w:tc>
        <w:tc>
          <w:tcPr>
            <w:tcW w:w="63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4BE219" w14:textId="77777777" w:rsidR="00F165B6" w:rsidRPr="00F165B6" w:rsidRDefault="00F165B6" w:rsidP="00F165B6">
            <w:pPr>
              <w:rPr>
                <w:rFonts w:ascii="Arial" w:hAnsi="Arial" w:cs="Arial"/>
                <w:sz w:val="16"/>
                <w:szCs w:val="16"/>
              </w:rPr>
            </w:pPr>
            <w:r w:rsidRPr="00F165B6">
              <w:rPr>
                <w:rFonts w:ascii="Arial" w:hAnsi="Arial" w:cs="Arial"/>
                <w:sz w:val="16"/>
                <w:szCs w:val="16"/>
              </w:rPr>
              <w:t>2.00</w:t>
            </w:r>
          </w:p>
        </w:tc>
        <w:tc>
          <w:tcPr>
            <w:tcW w:w="635"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E2D8BE2"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645C3CC8" w14:textId="77777777" w:rsidR="00F165B6" w:rsidRPr="00F165B6" w:rsidRDefault="00F165B6" w:rsidP="00F165B6">
            <w:pPr>
              <w:rPr>
                <w:rFonts w:ascii="Arial" w:hAnsi="Arial" w:cs="Arial"/>
                <w:sz w:val="16"/>
                <w:szCs w:val="16"/>
              </w:rPr>
            </w:pPr>
            <w:r w:rsidRPr="00F165B6">
              <w:rPr>
                <w:rFonts w:ascii="Arial" w:hAnsi="Arial" w:cs="Arial"/>
                <w:sz w:val="16"/>
                <w:szCs w:val="16"/>
              </w:rPr>
              <w:t>3.50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194C336"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0311C071"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5B10700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4" w:type="dxa"/>
            <w:tcBorders>
              <w:bottom w:val="single" w:sz="4" w:space="0" w:color="000000"/>
              <w:right w:val="single" w:sz="4" w:space="0" w:color="000000"/>
            </w:tcBorders>
            <w:shd w:val="clear" w:color="auto" w:fill="auto"/>
            <w:tcMar>
              <w:top w:w="0" w:type="dxa"/>
              <w:left w:w="108" w:type="dxa"/>
              <w:bottom w:w="0" w:type="dxa"/>
              <w:right w:w="108" w:type="dxa"/>
            </w:tcMar>
          </w:tcPr>
          <w:p w14:paraId="20A60F71" w14:textId="77777777" w:rsidR="00F165B6" w:rsidRPr="00F165B6" w:rsidRDefault="00F165B6" w:rsidP="00F165B6">
            <w:pPr>
              <w:rPr>
                <w:rFonts w:ascii="Arial" w:hAnsi="Arial" w:cs="Arial"/>
                <w:sz w:val="16"/>
                <w:szCs w:val="16"/>
              </w:rPr>
            </w:pPr>
            <w:r w:rsidRPr="00F165B6">
              <w:rPr>
                <w:rFonts w:ascii="Arial" w:hAnsi="Arial" w:cs="Arial"/>
                <w:sz w:val="16"/>
                <w:szCs w:val="16"/>
              </w:rPr>
              <w:t>3.00</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1DAB1F32"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8D87D08"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34417AC4"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4F0F8965"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635" w:type="dxa"/>
            <w:tcBorders>
              <w:bottom w:val="single" w:sz="4" w:space="0" w:color="000000"/>
              <w:right w:val="single" w:sz="4" w:space="0" w:color="000000"/>
            </w:tcBorders>
            <w:shd w:val="clear" w:color="auto" w:fill="auto"/>
            <w:tcMar>
              <w:top w:w="0" w:type="dxa"/>
              <w:left w:w="108" w:type="dxa"/>
              <w:bottom w:w="0" w:type="dxa"/>
              <w:right w:w="108" w:type="dxa"/>
            </w:tcMar>
          </w:tcPr>
          <w:p w14:paraId="2216B984"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bl>
    <w:p w14:paraId="5B9DA65A" w14:textId="77777777" w:rsidR="00F165B6" w:rsidRPr="00F165B6" w:rsidRDefault="00F165B6" w:rsidP="00F165B6">
      <w:pPr>
        <w:rPr>
          <w:rFonts w:ascii="Arial" w:hAnsi="Arial" w:cs="Arial"/>
          <w:sz w:val="16"/>
          <w:szCs w:val="16"/>
        </w:rPr>
      </w:pPr>
      <w:r w:rsidRPr="00F165B6">
        <w:rPr>
          <w:rFonts w:ascii="Arial" w:hAnsi="Arial" w:cs="Arial"/>
          <w:sz w:val="16"/>
          <w:szCs w:val="16"/>
        </w:rPr>
        <w:t>Not needed(1)</w:t>
      </w:r>
      <w:r w:rsidRPr="00F165B6">
        <w:rPr>
          <w:rFonts w:ascii="Arial" w:hAnsi="Arial" w:cs="Arial"/>
          <w:sz w:val="16"/>
          <w:szCs w:val="16"/>
        </w:rPr>
        <w:tab/>
        <w:t>, Less needed(2), Needed(3),Very needed(4)Highly needed(5)</w:t>
      </w:r>
    </w:p>
    <w:p w14:paraId="4A03BD8F" w14:textId="77777777" w:rsidR="00F165B6" w:rsidRPr="00F165B6" w:rsidRDefault="00F165B6" w:rsidP="00F165B6">
      <w:pPr>
        <w:rPr>
          <w:rFonts w:ascii="Arial" w:hAnsi="Arial" w:cs="Arial"/>
          <w:sz w:val="16"/>
          <w:szCs w:val="16"/>
        </w:rPr>
      </w:pPr>
    </w:p>
    <w:p w14:paraId="0C8C0240" w14:textId="77777777" w:rsidR="00F165B6" w:rsidRPr="00F165B6" w:rsidRDefault="00F165B6" w:rsidP="00F165B6">
      <w:pPr>
        <w:rPr>
          <w:rFonts w:ascii="Arial" w:hAnsi="Arial" w:cs="Arial"/>
          <w:i/>
          <w:iCs/>
          <w:sz w:val="16"/>
          <w:szCs w:val="16"/>
        </w:rPr>
      </w:pPr>
      <w:bookmarkStart w:id="1608" w:name="_Toc64912494"/>
      <w:r w:rsidRPr="00F165B6">
        <w:rPr>
          <w:rFonts w:ascii="Arial" w:hAnsi="Arial" w:cs="Arial"/>
          <w:i/>
          <w:iCs/>
          <w:sz w:val="16"/>
          <w:szCs w:val="16"/>
        </w:rPr>
        <w:t>Table 8.  Spearman correlation coefficient test for the relationship between the level of management and the degree of importance of management knowledge for securing finance for real estate project development:</w:t>
      </w:r>
      <w:bookmarkEnd w:id="1608"/>
    </w:p>
    <w:tbl>
      <w:tblPr>
        <w:tblW w:w="8642" w:type="dxa"/>
        <w:tblCellMar>
          <w:left w:w="10" w:type="dxa"/>
          <w:right w:w="10" w:type="dxa"/>
        </w:tblCellMar>
        <w:tblLook w:val="0000" w:firstRow="0" w:lastRow="0" w:firstColumn="0" w:lastColumn="0" w:noHBand="0" w:noVBand="0"/>
      </w:tblPr>
      <w:tblGrid>
        <w:gridCol w:w="7508"/>
        <w:gridCol w:w="1134"/>
      </w:tblGrid>
      <w:tr w:rsidR="00F165B6" w:rsidRPr="00F165B6" w14:paraId="57F9BEF0" w14:textId="77777777" w:rsidTr="004F5D57">
        <w:trPr>
          <w:trHeight w:val="300"/>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3F08EB"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Spearman rho correlation coefficient test </w:t>
            </w:r>
          </w:p>
        </w:tc>
        <w:tc>
          <w:tcPr>
            <w:tcW w:w="113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7461DFF" w14:textId="77777777" w:rsidR="00F165B6" w:rsidRPr="00F165B6" w:rsidRDefault="00F165B6" w:rsidP="00F165B6">
            <w:pPr>
              <w:rPr>
                <w:rFonts w:ascii="Arial" w:hAnsi="Arial" w:cs="Arial"/>
                <w:sz w:val="16"/>
                <w:szCs w:val="16"/>
              </w:rPr>
            </w:pPr>
            <w:r w:rsidRPr="00F165B6">
              <w:rPr>
                <w:rFonts w:ascii="Arial" w:hAnsi="Arial" w:cs="Arial"/>
                <w:sz w:val="16"/>
                <w:szCs w:val="16"/>
              </w:rPr>
              <w:t>Sig. (2-tailed)</w:t>
            </w:r>
          </w:p>
        </w:tc>
      </w:tr>
      <w:tr w:rsidR="00F165B6" w:rsidRPr="00F165B6" w14:paraId="24D59A42"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31EEE68" w14:textId="77777777" w:rsidR="00F165B6" w:rsidRPr="00F165B6" w:rsidRDefault="00F165B6" w:rsidP="00F165B6">
            <w:pPr>
              <w:rPr>
                <w:rFonts w:ascii="Arial" w:hAnsi="Arial" w:cs="Arial"/>
                <w:sz w:val="16"/>
                <w:szCs w:val="16"/>
              </w:rPr>
            </w:pPr>
            <w:r w:rsidRPr="00F165B6">
              <w:rPr>
                <w:rFonts w:ascii="Arial" w:hAnsi="Arial" w:cs="Arial"/>
                <w:sz w:val="16"/>
                <w:szCs w:val="16"/>
              </w:rPr>
              <w:t>Mgt level/ title</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ACD0D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1F7C1F30"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8BA613"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Strategies for managing risks and uncertainty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6F0769" w14:textId="77777777" w:rsidR="00F165B6" w:rsidRPr="00F165B6" w:rsidRDefault="00F165B6" w:rsidP="00F165B6">
            <w:pPr>
              <w:rPr>
                <w:rFonts w:ascii="Arial" w:hAnsi="Arial" w:cs="Arial"/>
                <w:sz w:val="16"/>
                <w:szCs w:val="16"/>
              </w:rPr>
            </w:pPr>
            <w:r w:rsidRPr="00F165B6">
              <w:rPr>
                <w:rFonts w:ascii="Arial" w:hAnsi="Arial" w:cs="Arial"/>
                <w:sz w:val="16"/>
                <w:szCs w:val="16"/>
              </w:rPr>
              <w:t>0.808</w:t>
            </w:r>
          </w:p>
        </w:tc>
      </w:tr>
      <w:tr w:rsidR="00F165B6" w:rsidRPr="00F165B6" w14:paraId="1DEB3BBC"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7C53852"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Risks and opportunity response strategies and plan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0E915B" w14:textId="77777777" w:rsidR="00F165B6" w:rsidRPr="00F165B6" w:rsidRDefault="00F165B6" w:rsidP="00F165B6">
            <w:pPr>
              <w:rPr>
                <w:rFonts w:ascii="Arial" w:hAnsi="Arial" w:cs="Arial"/>
                <w:sz w:val="16"/>
                <w:szCs w:val="16"/>
              </w:rPr>
            </w:pPr>
            <w:r w:rsidRPr="00F165B6">
              <w:rPr>
                <w:rFonts w:ascii="Arial" w:hAnsi="Arial" w:cs="Arial"/>
                <w:sz w:val="16"/>
                <w:szCs w:val="16"/>
              </w:rPr>
              <w:t>0.796</w:t>
            </w:r>
          </w:p>
        </w:tc>
      </w:tr>
      <w:tr w:rsidR="00F165B6" w:rsidRPr="00F165B6" w14:paraId="06054D5B"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5F4F72"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Techniques and conditions for loan effectiveness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77B270" w14:textId="77777777" w:rsidR="00F165B6" w:rsidRPr="00F165B6" w:rsidRDefault="00F165B6" w:rsidP="00F165B6">
            <w:pPr>
              <w:rPr>
                <w:rFonts w:ascii="Arial" w:hAnsi="Arial" w:cs="Arial"/>
                <w:sz w:val="16"/>
                <w:szCs w:val="16"/>
              </w:rPr>
            </w:pPr>
            <w:r w:rsidRPr="00F165B6">
              <w:rPr>
                <w:rFonts w:ascii="Arial" w:hAnsi="Arial" w:cs="Arial"/>
                <w:sz w:val="16"/>
                <w:szCs w:val="16"/>
              </w:rPr>
              <w:t>0.62</w:t>
            </w:r>
          </w:p>
        </w:tc>
      </w:tr>
      <w:tr w:rsidR="00F165B6" w:rsidRPr="00F165B6" w14:paraId="239DA478"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75474C"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 xml:space="preserve">Process and governance for cost management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3CDAAA" w14:textId="77777777" w:rsidR="00F165B6" w:rsidRPr="00F165B6" w:rsidRDefault="00F165B6" w:rsidP="00F165B6">
            <w:pPr>
              <w:rPr>
                <w:rFonts w:ascii="Arial" w:hAnsi="Arial" w:cs="Arial"/>
                <w:sz w:val="16"/>
                <w:szCs w:val="16"/>
              </w:rPr>
            </w:pPr>
            <w:r w:rsidRPr="00F165B6">
              <w:rPr>
                <w:rFonts w:ascii="Arial" w:hAnsi="Arial" w:cs="Arial"/>
                <w:sz w:val="16"/>
                <w:szCs w:val="16"/>
              </w:rPr>
              <w:t>0.525</w:t>
            </w:r>
          </w:p>
        </w:tc>
      </w:tr>
      <w:tr w:rsidR="00F165B6" w:rsidRPr="00F165B6" w14:paraId="1ED2DD2C"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1BB5B0B"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Contingency approach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A0B1D4" w14:textId="77777777" w:rsidR="00F165B6" w:rsidRPr="00F165B6" w:rsidRDefault="00F165B6" w:rsidP="00F165B6">
            <w:pPr>
              <w:rPr>
                <w:rFonts w:ascii="Arial" w:hAnsi="Arial" w:cs="Arial"/>
                <w:sz w:val="16"/>
                <w:szCs w:val="16"/>
              </w:rPr>
            </w:pPr>
            <w:r w:rsidRPr="00F165B6">
              <w:rPr>
                <w:rFonts w:ascii="Arial" w:hAnsi="Arial" w:cs="Arial"/>
                <w:sz w:val="16"/>
                <w:szCs w:val="16"/>
              </w:rPr>
              <w:t>0.449</w:t>
            </w:r>
          </w:p>
        </w:tc>
      </w:tr>
      <w:tr w:rsidR="00F165B6" w:rsidRPr="00F165B6" w14:paraId="5BA28722"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A7B9B9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Principles of risk and diversification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30C5842" w14:textId="77777777" w:rsidR="00F165B6" w:rsidRPr="00F165B6" w:rsidRDefault="00F165B6" w:rsidP="00F165B6">
            <w:pPr>
              <w:rPr>
                <w:rFonts w:ascii="Arial" w:hAnsi="Arial" w:cs="Arial"/>
                <w:sz w:val="16"/>
                <w:szCs w:val="16"/>
              </w:rPr>
            </w:pPr>
            <w:r w:rsidRPr="00F165B6">
              <w:rPr>
                <w:rFonts w:ascii="Arial" w:hAnsi="Arial" w:cs="Arial"/>
                <w:sz w:val="16"/>
                <w:szCs w:val="16"/>
              </w:rPr>
              <w:t>0.338</w:t>
            </w:r>
          </w:p>
        </w:tc>
      </w:tr>
      <w:tr w:rsidR="00F165B6" w:rsidRPr="00F165B6" w14:paraId="5EF1E25B" w14:textId="77777777" w:rsidTr="004F5D57">
        <w:trPr>
          <w:trHeight w:val="273"/>
        </w:trPr>
        <w:tc>
          <w:tcPr>
            <w:tcW w:w="75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27152C" w14:textId="77777777" w:rsidR="00F165B6" w:rsidRPr="00F165B6" w:rsidRDefault="00F165B6" w:rsidP="00F165B6">
            <w:pPr>
              <w:rPr>
                <w:rFonts w:ascii="Arial" w:hAnsi="Arial" w:cs="Arial"/>
                <w:sz w:val="16"/>
                <w:szCs w:val="16"/>
              </w:rPr>
            </w:pPr>
            <w:r w:rsidRPr="00F165B6">
              <w:rPr>
                <w:rFonts w:ascii="Arial" w:hAnsi="Arial" w:cs="Arial"/>
                <w:sz w:val="16"/>
                <w:szCs w:val="16"/>
              </w:rPr>
              <w:t>Relevant conventions, agreement, legislation and regulations</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63E917" w14:textId="77777777" w:rsidR="00F165B6" w:rsidRPr="00F165B6" w:rsidRDefault="00F165B6" w:rsidP="00F165B6">
            <w:pPr>
              <w:rPr>
                <w:rFonts w:ascii="Arial" w:hAnsi="Arial" w:cs="Arial"/>
                <w:sz w:val="16"/>
                <w:szCs w:val="16"/>
              </w:rPr>
            </w:pPr>
            <w:r w:rsidRPr="00F165B6">
              <w:rPr>
                <w:rFonts w:ascii="Arial" w:hAnsi="Arial" w:cs="Arial"/>
                <w:sz w:val="16"/>
                <w:szCs w:val="16"/>
              </w:rPr>
              <w:t>0.249</w:t>
            </w:r>
          </w:p>
        </w:tc>
      </w:tr>
      <w:tr w:rsidR="00F165B6" w:rsidRPr="00F165B6" w14:paraId="4C85F96E" w14:textId="77777777" w:rsidTr="004F5D57">
        <w:trPr>
          <w:trHeight w:val="263"/>
        </w:trPr>
        <w:tc>
          <w:tcPr>
            <w:tcW w:w="75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85B672" w14:textId="77777777" w:rsidR="00F165B6" w:rsidRPr="00F165B6" w:rsidRDefault="00F165B6" w:rsidP="00F165B6">
            <w:pPr>
              <w:rPr>
                <w:rFonts w:ascii="Arial" w:hAnsi="Arial" w:cs="Arial"/>
                <w:sz w:val="16"/>
                <w:szCs w:val="16"/>
              </w:rPr>
            </w:pPr>
            <w:r w:rsidRPr="00F165B6">
              <w:rPr>
                <w:rFonts w:ascii="Arial" w:hAnsi="Arial" w:cs="Arial"/>
                <w:sz w:val="16"/>
                <w:szCs w:val="16"/>
              </w:rPr>
              <w:t>Financial accounting basics (cash flow, charts of accounts and cost structure)</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B4F0C8" w14:textId="77777777" w:rsidR="00F165B6" w:rsidRPr="00F165B6" w:rsidRDefault="00F165B6" w:rsidP="00F165B6">
            <w:pPr>
              <w:rPr>
                <w:rFonts w:ascii="Arial" w:hAnsi="Arial" w:cs="Arial"/>
                <w:sz w:val="16"/>
                <w:szCs w:val="16"/>
              </w:rPr>
            </w:pPr>
            <w:r w:rsidRPr="00F165B6">
              <w:rPr>
                <w:rFonts w:ascii="Arial" w:hAnsi="Arial" w:cs="Arial"/>
                <w:sz w:val="16"/>
                <w:szCs w:val="16"/>
              </w:rPr>
              <w:t>0.22</w:t>
            </w:r>
          </w:p>
        </w:tc>
      </w:tr>
      <w:tr w:rsidR="00F165B6" w:rsidRPr="00F165B6" w14:paraId="199385B3"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ABECEF5" w14:textId="77777777" w:rsidR="00F165B6" w:rsidRPr="00F165B6" w:rsidRDefault="00F165B6" w:rsidP="00F165B6">
            <w:pPr>
              <w:rPr>
                <w:rFonts w:ascii="Arial" w:hAnsi="Arial" w:cs="Arial"/>
                <w:sz w:val="16"/>
                <w:szCs w:val="16"/>
              </w:rPr>
            </w:pPr>
            <w:r w:rsidRPr="00F165B6">
              <w:rPr>
                <w:rFonts w:ascii="Arial" w:hAnsi="Arial" w:cs="Arial"/>
                <w:sz w:val="16"/>
                <w:szCs w:val="16"/>
              </w:rPr>
              <w:t>Cost estimation methods</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167502" w14:textId="77777777" w:rsidR="00F165B6" w:rsidRPr="00F165B6" w:rsidRDefault="00F165B6" w:rsidP="00F165B6">
            <w:pPr>
              <w:rPr>
                <w:rFonts w:ascii="Arial" w:hAnsi="Arial" w:cs="Arial"/>
                <w:sz w:val="16"/>
                <w:szCs w:val="16"/>
              </w:rPr>
            </w:pPr>
            <w:r w:rsidRPr="00F165B6">
              <w:rPr>
                <w:rFonts w:ascii="Arial" w:hAnsi="Arial" w:cs="Arial"/>
                <w:sz w:val="16"/>
                <w:szCs w:val="16"/>
              </w:rPr>
              <w:t>0.188</w:t>
            </w:r>
          </w:p>
        </w:tc>
      </w:tr>
      <w:tr w:rsidR="00F165B6" w:rsidRPr="00F165B6" w14:paraId="46BE2DC8"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7CF1CD" w14:textId="77777777" w:rsidR="00F165B6" w:rsidRPr="00F165B6" w:rsidRDefault="00F165B6" w:rsidP="00F165B6">
            <w:pPr>
              <w:rPr>
                <w:rFonts w:ascii="Arial" w:hAnsi="Arial" w:cs="Arial"/>
                <w:sz w:val="16"/>
                <w:szCs w:val="16"/>
              </w:rPr>
            </w:pPr>
            <w:r w:rsidRPr="00F165B6">
              <w:rPr>
                <w:rFonts w:ascii="Arial" w:hAnsi="Arial" w:cs="Arial"/>
                <w:sz w:val="16"/>
                <w:szCs w:val="16"/>
              </w:rPr>
              <w:t>Performance indicator</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3553425" w14:textId="77777777" w:rsidR="00F165B6" w:rsidRPr="00F165B6" w:rsidRDefault="00F165B6" w:rsidP="00F165B6">
            <w:pPr>
              <w:rPr>
                <w:rFonts w:ascii="Arial" w:hAnsi="Arial" w:cs="Arial"/>
                <w:sz w:val="16"/>
                <w:szCs w:val="16"/>
              </w:rPr>
            </w:pPr>
            <w:r w:rsidRPr="00F165B6">
              <w:rPr>
                <w:rFonts w:ascii="Arial" w:hAnsi="Arial" w:cs="Arial"/>
                <w:sz w:val="16"/>
                <w:szCs w:val="16"/>
              </w:rPr>
              <w:t>0.144</w:t>
            </w:r>
          </w:p>
        </w:tc>
      </w:tr>
      <w:tr w:rsidR="00F165B6" w:rsidRPr="00F165B6" w14:paraId="6D15EF97"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EF304B"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Debt literacy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1C7088" w14:textId="77777777" w:rsidR="00F165B6" w:rsidRPr="00F165B6" w:rsidRDefault="00F165B6" w:rsidP="00F165B6">
            <w:pPr>
              <w:rPr>
                <w:rFonts w:ascii="Arial" w:hAnsi="Arial" w:cs="Arial"/>
                <w:sz w:val="16"/>
                <w:szCs w:val="16"/>
              </w:rPr>
            </w:pPr>
            <w:r w:rsidRPr="00F165B6">
              <w:rPr>
                <w:rFonts w:ascii="Arial" w:hAnsi="Arial" w:cs="Arial"/>
                <w:sz w:val="16"/>
                <w:szCs w:val="16"/>
              </w:rPr>
              <w:t>0.128</w:t>
            </w:r>
          </w:p>
        </w:tc>
      </w:tr>
      <w:tr w:rsidR="00F165B6" w:rsidRPr="00F165B6" w14:paraId="2F9B37AB"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955A0E" w14:textId="77777777" w:rsidR="00F165B6" w:rsidRPr="00F165B6" w:rsidRDefault="00F165B6" w:rsidP="00F165B6">
            <w:pPr>
              <w:rPr>
                <w:rFonts w:ascii="Arial" w:hAnsi="Arial" w:cs="Arial"/>
                <w:sz w:val="16"/>
                <w:szCs w:val="16"/>
              </w:rPr>
            </w:pPr>
            <w:r w:rsidRPr="00F165B6">
              <w:rPr>
                <w:rFonts w:ascii="Arial" w:hAnsi="Arial" w:cs="Arial"/>
                <w:sz w:val="16"/>
                <w:szCs w:val="16"/>
              </w:rPr>
              <w:t>Cost calculation techniques</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ACC1FF" w14:textId="77777777" w:rsidR="00F165B6" w:rsidRPr="00F165B6" w:rsidRDefault="00F165B6" w:rsidP="00F165B6">
            <w:pPr>
              <w:rPr>
                <w:rFonts w:ascii="Arial" w:hAnsi="Arial" w:cs="Arial"/>
                <w:sz w:val="16"/>
                <w:szCs w:val="16"/>
              </w:rPr>
            </w:pPr>
            <w:r w:rsidRPr="00F165B6">
              <w:rPr>
                <w:rFonts w:ascii="Arial" w:hAnsi="Arial" w:cs="Arial"/>
                <w:sz w:val="16"/>
                <w:szCs w:val="16"/>
              </w:rPr>
              <w:t>0.087</w:t>
            </w:r>
          </w:p>
        </w:tc>
      </w:tr>
      <w:tr w:rsidR="00F165B6" w:rsidRPr="00F165B6" w14:paraId="73D50AA2"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B36167"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Fundamental concepts of economics &amp; finance (e.g. calculation of interest rate &amp; inflation)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AC94CB" w14:textId="77777777" w:rsidR="00F165B6" w:rsidRPr="00F165B6" w:rsidRDefault="00F165B6" w:rsidP="00F165B6">
            <w:pPr>
              <w:rPr>
                <w:rFonts w:ascii="Arial" w:hAnsi="Arial" w:cs="Arial"/>
                <w:sz w:val="16"/>
                <w:szCs w:val="16"/>
              </w:rPr>
            </w:pPr>
            <w:r w:rsidRPr="00F165B6">
              <w:rPr>
                <w:rFonts w:ascii="Arial" w:hAnsi="Arial" w:cs="Arial"/>
                <w:sz w:val="16"/>
                <w:szCs w:val="16"/>
              </w:rPr>
              <w:t>0.079</w:t>
            </w:r>
          </w:p>
        </w:tc>
      </w:tr>
      <w:tr w:rsidR="00F165B6" w:rsidRPr="00F165B6" w14:paraId="25A1FE5F"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05CF5A"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Finance options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F09C1E" w14:textId="77777777" w:rsidR="00F165B6" w:rsidRPr="00F165B6" w:rsidRDefault="00F165B6" w:rsidP="00F165B6">
            <w:pPr>
              <w:rPr>
                <w:rFonts w:ascii="Arial" w:hAnsi="Arial" w:cs="Arial"/>
                <w:sz w:val="16"/>
                <w:szCs w:val="16"/>
              </w:rPr>
            </w:pPr>
            <w:r w:rsidRPr="00F165B6">
              <w:rPr>
                <w:rFonts w:ascii="Arial" w:hAnsi="Arial" w:cs="Arial"/>
                <w:sz w:val="16"/>
                <w:szCs w:val="16"/>
              </w:rPr>
              <w:t>0.077</w:t>
            </w:r>
          </w:p>
        </w:tc>
      </w:tr>
      <w:tr w:rsidR="00F165B6" w:rsidRPr="00F165B6" w14:paraId="517B5A0E"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A84353"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Market intelligence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2BA591" w14:textId="77777777" w:rsidR="00F165B6" w:rsidRPr="00F165B6" w:rsidRDefault="00F165B6" w:rsidP="00F165B6">
            <w:pPr>
              <w:rPr>
                <w:rFonts w:ascii="Arial" w:hAnsi="Arial" w:cs="Arial"/>
                <w:sz w:val="16"/>
                <w:szCs w:val="16"/>
              </w:rPr>
            </w:pPr>
            <w:r w:rsidRPr="00F165B6">
              <w:rPr>
                <w:rFonts w:ascii="Arial" w:hAnsi="Arial" w:cs="Arial"/>
                <w:sz w:val="16"/>
                <w:szCs w:val="16"/>
              </w:rPr>
              <w:t>0.05</w:t>
            </w:r>
          </w:p>
        </w:tc>
      </w:tr>
      <w:tr w:rsidR="00F165B6" w:rsidRPr="00F165B6" w14:paraId="30CC4193" w14:textId="77777777" w:rsidTr="004F5D57">
        <w:trPr>
          <w:trHeight w:val="369"/>
        </w:trPr>
        <w:tc>
          <w:tcPr>
            <w:tcW w:w="75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3AB5A3"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management concepts and terms such as (cash flow, debt – asset ratio, return on investment &amp; rate of return)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56ECEE" w14:textId="77777777" w:rsidR="00F165B6" w:rsidRPr="00F165B6" w:rsidRDefault="00F165B6" w:rsidP="00F165B6">
            <w:pPr>
              <w:rPr>
                <w:rFonts w:ascii="Arial" w:hAnsi="Arial" w:cs="Arial"/>
                <w:sz w:val="16"/>
                <w:szCs w:val="16"/>
              </w:rPr>
            </w:pPr>
            <w:r w:rsidRPr="00F165B6">
              <w:rPr>
                <w:rFonts w:ascii="Arial" w:hAnsi="Arial" w:cs="Arial"/>
                <w:sz w:val="16"/>
                <w:szCs w:val="16"/>
              </w:rPr>
              <w:t>0.023</w:t>
            </w:r>
          </w:p>
        </w:tc>
      </w:tr>
      <w:tr w:rsidR="00F165B6" w:rsidRPr="00F165B6" w14:paraId="2FEEF88D" w14:textId="77777777" w:rsidTr="004F5D57">
        <w:trPr>
          <w:trHeight w:val="300"/>
        </w:trPr>
        <w:tc>
          <w:tcPr>
            <w:tcW w:w="750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FC7973"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Funding sources </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CBEA79" w14:textId="77777777" w:rsidR="00F165B6" w:rsidRPr="00F165B6" w:rsidRDefault="00F165B6" w:rsidP="00F165B6">
            <w:pPr>
              <w:rPr>
                <w:rFonts w:ascii="Arial" w:hAnsi="Arial" w:cs="Arial"/>
                <w:sz w:val="16"/>
                <w:szCs w:val="16"/>
              </w:rPr>
            </w:pPr>
            <w:r w:rsidRPr="00F165B6">
              <w:rPr>
                <w:rFonts w:ascii="Arial" w:hAnsi="Arial" w:cs="Arial"/>
                <w:sz w:val="16"/>
                <w:szCs w:val="16"/>
              </w:rPr>
              <w:t>0.007</w:t>
            </w:r>
          </w:p>
        </w:tc>
      </w:tr>
    </w:tbl>
    <w:p w14:paraId="7DC215D5" w14:textId="77777777" w:rsidR="00F165B6" w:rsidRPr="00F165B6" w:rsidRDefault="00F165B6" w:rsidP="00F165B6">
      <w:pPr>
        <w:rPr>
          <w:rFonts w:ascii="Arial" w:hAnsi="Arial" w:cs="Arial"/>
          <w:sz w:val="16"/>
          <w:szCs w:val="16"/>
        </w:rPr>
      </w:pPr>
    </w:p>
    <w:p w14:paraId="4EFB568F"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Table 9: </w:t>
      </w:r>
      <w:bookmarkStart w:id="1609" w:name="_Toc64663377"/>
      <w:r w:rsidRPr="00F165B6">
        <w:rPr>
          <w:rFonts w:ascii="Arial" w:hAnsi="Arial" w:cs="Arial"/>
          <w:i/>
          <w:iCs/>
          <w:sz w:val="16"/>
          <w:szCs w:val="16"/>
        </w:rPr>
        <w:t>Mean scores for Degree of importance of management competences for securing finance for real estate project development.at the disaggregate level</w:t>
      </w:r>
      <w:bookmarkEnd w:id="1609"/>
    </w:p>
    <w:tbl>
      <w:tblPr>
        <w:tblW w:w="5000" w:type="pct"/>
        <w:tblLayout w:type="fixed"/>
        <w:tblCellMar>
          <w:left w:w="10" w:type="dxa"/>
          <w:right w:w="10" w:type="dxa"/>
        </w:tblCellMar>
        <w:tblLook w:val="0000" w:firstRow="0" w:lastRow="0" w:firstColumn="0" w:lastColumn="0" w:noHBand="0" w:noVBand="0"/>
      </w:tblPr>
      <w:tblGrid>
        <w:gridCol w:w="1698"/>
        <w:gridCol w:w="850"/>
        <w:gridCol w:w="694"/>
        <w:gridCol w:w="703"/>
        <w:gridCol w:w="505"/>
        <w:gridCol w:w="665"/>
        <w:gridCol w:w="505"/>
        <w:gridCol w:w="893"/>
        <w:gridCol w:w="505"/>
        <w:gridCol w:w="445"/>
        <w:gridCol w:w="505"/>
        <w:gridCol w:w="550"/>
        <w:gridCol w:w="498"/>
      </w:tblGrid>
      <w:tr w:rsidR="00F165B6" w:rsidRPr="00F165B6" w14:paraId="744B7E01" w14:textId="77777777" w:rsidTr="004F5D57">
        <w:trPr>
          <w:trHeight w:val="693"/>
        </w:trPr>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3481E5"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 xml:space="preserve">Management competences </w:t>
            </w:r>
          </w:p>
        </w:tc>
        <w:tc>
          <w:tcPr>
            <w:tcW w:w="8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67EEC8"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Germany N=5</w:t>
            </w:r>
          </w:p>
        </w:tc>
        <w:tc>
          <w:tcPr>
            <w:tcW w:w="69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6403829"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70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B75E00" w14:textId="77777777" w:rsidR="00F165B6" w:rsidRPr="00F165B6" w:rsidRDefault="00F165B6" w:rsidP="00F165B6">
            <w:pPr>
              <w:rPr>
                <w:rFonts w:ascii="Arial" w:hAnsi="Arial" w:cs="Arial"/>
                <w:sz w:val="16"/>
                <w:szCs w:val="16"/>
              </w:rPr>
            </w:pPr>
            <w:r w:rsidRPr="00F165B6">
              <w:rPr>
                <w:rFonts w:ascii="Arial" w:hAnsi="Arial" w:cs="Arial"/>
                <w:b/>
                <w:bCs/>
                <w:sz w:val="16"/>
                <w:szCs w:val="16"/>
              </w:rPr>
              <w:t>UK N=20</w:t>
            </w:r>
          </w:p>
        </w:tc>
        <w:tc>
          <w:tcPr>
            <w:tcW w:w="50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9E0F6D"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665"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3C291F4"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US N= 8</w:t>
            </w:r>
          </w:p>
        </w:tc>
        <w:tc>
          <w:tcPr>
            <w:tcW w:w="505"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A6610CF"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893"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89FC6DE"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China N= 11</w:t>
            </w:r>
          </w:p>
        </w:tc>
        <w:tc>
          <w:tcPr>
            <w:tcW w:w="505"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49CFB41"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44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55FC6D3"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Nigeria  N= 26</w:t>
            </w:r>
          </w:p>
        </w:tc>
        <w:tc>
          <w:tcPr>
            <w:tcW w:w="505"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65B812A"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5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77137B"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South Africa N= 11</w:t>
            </w:r>
          </w:p>
        </w:tc>
        <w:tc>
          <w:tcPr>
            <w:tcW w:w="498" w:type="dxa"/>
            <w:tcBorders>
              <w:top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6332CD4"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r>
      <w:tr w:rsidR="00F165B6" w:rsidRPr="00F165B6" w14:paraId="2450A1E6"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2DE706"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competence</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0491FD"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D619BA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49E5D51" w14:textId="77777777" w:rsidR="00F165B6" w:rsidRPr="00F165B6" w:rsidRDefault="00F165B6" w:rsidP="00F165B6">
            <w:pPr>
              <w:rPr>
                <w:rFonts w:ascii="Arial" w:hAnsi="Arial" w:cs="Arial"/>
                <w:sz w:val="16"/>
                <w:szCs w:val="16"/>
              </w:rPr>
            </w:pPr>
            <w:r w:rsidRPr="00F165B6">
              <w:rPr>
                <w:rFonts w:ascii="Arial" w:hAnsi="Arial" w:cs="Arial"/>
                <w:sz w:val="16"/>
                <w:szCs w:val="16"/>
              </w:rPr>
              <w:t>4.44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A6ED6F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939F389"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F40A9E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EC21826"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725238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6CFBA17" w14:textId="77777777" w:rsidR="00F165B6" w:rsidRPr="00F165B6" w:rsidRDefault="00F165B6" w:rsidP="00F165B6">
            <w:pPr>
              <w:rPr>
                <w:rFonts w:ascii="Arial" w:hAnsi="Arial" w:cs="Arial"/>
                <w:sz w:val="16"/>
                <w:szCs w:val="16"/>
              </w:rPr>
            </w:pPr>
            <w:r w:rsidRPr="00F165B6">
              <w:rPr>
                <w:rFonts w:ascii="Arial" w:hAnsi="Arial" w:cs="Arial"/>
                <w:sz w:val="16"/>
                <w:szCs w:val="16"/>
              </w:rPr>
              <w:t>4.57</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A230755"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CDD0ED6"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8F021B"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40E31EE5"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45FB119" w14:textId="77777777" w:rsidR="00F165B6" w:rsidRPr="00F165B6" w:rsidRDefault="00F165B6" w:rsidP="00F165B6">
            <w:pPr>
              <w:rPr>
                <w:rFonts w:ascii="Arial" w:hAnsi="Arial" w:cs="Arial"/>
                <w:sz w:val="16"/>
                <w:szCs w:val="16"/>
              </w:rPr>
            </w:pPr>
            <w:r w:rsidRPr="00F165B6">
              <w:rPr>
                <w:rFonts w:ascii="Arial" w:hAnsi="Arial" w:cs="Arial"/>
                <w:sz w:val="16"/>
                <w:szCs w:val="16"/>
              </w:rPr>
              <w:t>Result oriented</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19DCEE"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93D6FED"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FBAC4A"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60D80E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F160417"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AA7C3B7"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10C29C2"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AAACEFF"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5D3C61B" w14:textId="77777777" w:rsidR="00F165B6" w:rsidRPr="00F165B6" w:rsidRDefault="00F165B6" w:rsidP="00F165B6">
            <w:pPr>
              <w:rPr>
                <w:rFonts w:ascii="Arial" w:hAnsi="Arial" w:cs="Arial"/>
                <w:sz w:val="16"/>
                <w:szCs w:val="16"/>
              </w:rPr>
            </w:pPr>
            <w:r w:rsidRPr="00F165B6">
              <w:rPr>
                <w:rFonts w:ascii="Arial" w:hAnsi="Arial" w:cs="Arial"/>
                <w:sz w:val="16"/>
                <w:szCs w:val="16"/>
              </w:rPr>
              <w:t>4.4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863DFDD"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8FE3E5"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26B464"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34FEF62E"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25045E" w14:textId="77777777" w:rsidR="00F165B6" w:rsidRPr="00F165B6" w:rsidRDefault="00F165B6" w:rsidP="00F165B6">
            <w:pPr>
              <w:rPr>
                <w:rFonts w:ascii="Arial" w:hAnsi="Arial" w:cs="Arial"/>
                <w:sz w:val="16"/>
                <w:szCs w:val="16"/>
              </w:rPr>
            </w:pPr>
            <w:r w:rsidRPr="00F165B6">
              <w:rPr>
                <w:rFonts w:ascii="Arial" w:hAnsi="Arial" w:cs="Arial"/>
                <w:sz w:val="16"/>
                <w:szCs w:val="16"/>
              </w:rPr>
              <w:t>Managerial competences</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B25676E"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FDECA2"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6BDE7C" w14:textId="77777777" w:rsidR="00F165B6" w:rsidRPr="00F165B6" w:rsidRDefault="00F165B6" w:rsidP="00F165B6">
            <w:pPr>
              <w:rPr>
                <w:rFonts w:ascii="Arial" w:hAnsi="Arial" w:cs="Arial"/>
                <w:sz w:val="16"/>
                <w:szCs w:val="16"/>
              </w:rPr>
            </w:pPr>
            <w:r w:rsidRPr="00F165B6">
              <w:rPr>
                <w:rFonts w:ascii="Arial" w:hAnsi="Arial" w:cs="Arial"/>
                <w:sz w:val="16"/>
                <w:szCs w:val="16"/>
              </w:rPr>
              <w:t>3.78</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4340D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C1C6E60"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9C317AB"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C6FB6D7"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4C62708"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0D417FA" w14:textId="77777777" w:rsidR="00F165B6" w:rsidRPr="00F165B6" w:rsidRDefault="00F165B6" w:rsidP="00F165B6">
            <w:pPr>
              <w:rPr>
                <w:rFonts w:ascii="Arial" w:hAnsi="Arial" w:cs="Arial"/>
                <w:sz w:val="16"/>
                <w:szCs w:val="16"/>
              </w:rPr>
            </w:pPr>
            <w:r w:rsidRPr="00F165B6">
              <w:rPr>
                <w:rFonts w:ascii="Arial" w:hAnsi="Arial" w:cs="Arial"/>
                <w:sz w:val="16"/>
                <w:szCs w:val="16"/>
              </w:rPr>
              <w:t>4.52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3A8A2E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7DF333" w14:textId="77777777" w:rsidR="00F165B6" w:rsidRPr="00F165B6" w:rsidRDefault="00F165B6" w:rsidP="00F165B6">
            <w:pPr>
              <w:rPr>
                <w:rFonts w:ascii="Arial" w:hAnsi="Arial" w:cs="Arial"/>
                <w:sz w:val="16"/>
                <w:szCs w:val="16"/>
              </w:rPr>
            </w:pPr>
            <w:r w:rsidRPr="00F165B6">
              <w:rPr>
                <w:rFonts w:ascii="Arial" w:hAnsi="Arial" w:cs="Arial"/>
                <w:sz w:val="16"/>
                <w:szCs w:val="16"/>
              </w:rPr>
              <w:t>4.3</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E7B45B"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0A355364"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370480" w14:textId="77777777" w:rsidR="00F165B6" w:rsidRPr="00F165B6" w:rsidRDefault="00F165B6" w:rsidP="00F165B6">
            <w:pPr>
              <w:rPr>
                <w:rFonts w:ascii="Arial" w:hAnsi="Arial" w:cs="Arial"/>
                <w:sz w:val="16"/>
                <w:szCs w:val="16"/>
              </w:rPr>
            </w:pPr>
            <w:r w:rsidRPr="00F165B6">
              <w:rPr>
                <w:rFonts w:ascii="Arial" w:hAnsi="Arial" w:cs="Arial"/>
                <w:sz w:val="16"/>
                <w:szCs w:val="16"/>
              </w:rPr>
              <w:t>Resourcefulness</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DB46869"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1649AD"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156144"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414B5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9F50ABA" w14:textId="77777777" w:rsidR="00F165B6" w:rsidRPr="00F165B6" w:rsidRDefault="00F165B6" w:rsidP="00F165B6">
            <w:pPr>
              <w:rPr>
                <w:rFonts w:ascii="Arial" w:hAnsi="Arial" w:cs="Arial"/>
                <w:sz w:val="16"/>
                <w:szCs w:val="16"/>
              </w:rPr>
            </w:pPr>
            <w:r w:rsidRPr="00F165B6">
              <w:rPr>
                <w:rFonts w:ascii="Arial" w:hAnsi="Arial" w:cs="Arial"/>
                <w:sz w:val="16"/>
                <w:szCs w:val="16"/>
              </w:rPr>
              <w:t>4.75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8A9302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DAA0770"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EEC2C6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57047A9"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F79C283"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D27E432"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6A2C61"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3E4AC36B"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ACCE81D" w14:textId="77777777" w:rsidR="00F165B6" w:rsidRPr="00F165B6" w:rsidRDefault="00F165B6" w:rsidP="00F165B6">
            <w:pPr>
              <w:rPr>
                <w:rFonts w:ascii="Arial" w:hAnsi="Arial" w:cs="Arial"/>
                <w:sz w:val="16"/>
                <w:szCs w:val="16"/>
              </w:rPr>
            </w:pPr>
            <w:r w:rsidRPr="00F165B6">
              <w:rPr>
                <w:rFonts w:ascii="Arial" w:hAnsi="Arial" w:cs="Arial"/>
                <w:sz w:val="16"/>
                <w:szCs w:val="16"/>
              </w:rPr>
              <w:t>Planning &amp; control</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F170A2" w14:textId="77777777" w:rsidR="00F165B6" w:rsidRPr="00F165B6" w:rsidRDefault="00F165B6" w:rsidP="00F165B6">
            <w:pPr>
              <w:rPr>
                <w:rFonts w:ascii="Arial" w:hAnsi="Arial" w:cs="Arial"/>
                <w:sz w:val="16"/>
                <w:szCs w:val="16"/>
              </w:rPr>
            </w:pPr>
            <w:r w:rsidRPr="00F165B6">
              <w:rPr>
                <w:rFonts w:ascii="Arial" w:hAnsi="Arial" w:cs="Arial"/>
                <w:sz w:val="16"/>
                <w:szCs w:val="16"/>
              </w:rPr>
              <w:t>4.5</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7AD75D"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A4BC77" w14:textId="77777777" w:rsidR="00F165B6" w:rsidRPr="00F165B6" w:rsidRDefault="00F165B6" w:rsidP="00F165B6">
            <w:pPr>
              <w:rPr>
                <w:rFonts w:ascii="Arial" w:hAnsi="Arial" w:cs="Arial"/>
                <w:sz w:val="16"/>
                <w:szCs w:val="16"/>
              </w:rPr>
            </w:pPr>
            <w:r w:rsidRPr="00F165B6">
              <w:rPr>
                <w:rFonts w:ascii="Arial" w:hAnsi="Arial" w:cs="Arial"/>
                <w:sz w:val="16"/>
                <w:szCs w:val="16"/>
              </w:rPr>
              <w:t>3.87</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DEE51E"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D08791A"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91AC60B"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32C678C"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98D0747"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25D0916" w14:textId="77777777" w:rsidR="00F165B6" w:rsidRPr="00F165B6" w:rsidRDefault="00F165B6" w:rsidP="00F165B6">
            <w:pPr>
              <w:rPr>
                <w:rFonts w:ascii="Arial" w:hAnsi="Arial" w:cs="Arial"/>
                <w:sz w:val="16"/>
                <w:szCs w:val="16"/>
              </w:rPr>
            </w:pPr>
            <w:r w:rsidRPr="00F165B6">
              <w:rPr>
                <w:rFonts w:ascii="Arial" w:hAnsi="Arial" w:cs="Arial"/>
                <w:sz w:val="16"/>
                <w:szCs w:val="16"/>
              </w:rPr>
              <w:t>4.5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63256C1"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36E1B6" w14:textId="77777777" w:rsidR="00F165B6" w:rsidRPr="00F165B6" w:rsidRDefault="00F165B6" w:rsidP="00F165B6">
            <w:pPr>
              <w:rPr>
                <w:rFonts w:ascii="Arial" w:hAnsi="Arial" w:cs="Arial"/>
                <w:sz w:val="16"/>
                <w:szCs w:val="16"/>
              </w:rPr>
            </w:pPr>
            <w:r w:rsidRPr="00F165B6">
              <w:rPr>
                <w:rFonts w:ascii="Arial" w:hAnsi="Arial" w:cs="Arial"/>
                <w:sz w:val="16"/>
                <w:szCs w:val="16"/>
              </w:rPr>
              <w:t>4.71</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7DD46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7B613581"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37C2B3"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Negotiation </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353D45" w14:textId="77777777" w:rsidR="00F165B6" w:rsidRPr="00F165B6" w:rsidRDefault="00F165B6" w:rsidP="00F165B6">
            <w:pPr>
              <w:rPr>
                <w:rFonts w:ascii="Arial" w:hAnsi="Arial" w:cs="Arial"/>
                <w:sz w:val="16"/>
                <w:szCs w:val="16"/>
              </w:rPr>
            </w:pPr>
            <w:r w:rsidRPr="00F165B6">
              <w:rPr>
                <w:rFonts w:ascii="Arial" w:hAnsi="Arial" w:cs="Arial"/>
                <w:sz w:val="16"/>
                <w:szCs w:val="16"/>
              </w:rPr>
              <w:t>4.5</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7C5DA7"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21A47D"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B01A90"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DF7E746"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A701D8D"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A2AA21C"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099D7A1"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8F1EB97" w14:textId="77777777" w:rsidR="00F165B6" w:rsidRPr="00F165B6" w:rsidRDefault="00F165B6" w:rsidP="00F165B6">
            <w:pPr>
              <w:rPr>
                <w:rFonts w:ascii="Arial" w:hAnsi="Arial" w:cs="Arial"/>
                <w:sz w:val="16"/>
                <w:szCs w:val="16"/>
              </w:rPr>
            </w:pPr>
            <w:r w:rsidRPr="00F165B6">
              <w:rPr>
                <w:rFonts w:ascii="Arial" w:hAnsi="Arial" w:cs="Arial"/>
                <w:sz w:val="16"/>
                <w:szCs w:val="16"/>
              </w:rPr>
              <w:t>4.35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3E7F138"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1DEACE" w14:textId="77777777" w:rsidR="00F165B6" w:rsidRPr="00F165B6" w:rsidRDefault="00F165B6" w:rsidP="00F165B6">
            <w:pPr>
              <w:rPr>
                <w:rFonts w:ascii="Arial" w:hAnsi="Arial" w:cs="Arial"/>
                <w:sz w:val="16"/>
                <w:szCs w:val="16"/>
              </w:rPr>
            </w:pPr>
            <w:r w:rsidRPr="00F165B6">
              <w:rPr>
                <w:rFonts w:ascii="Arial" w:hAnsi="Arial" w:cs="Arial"/>
                <w:sz w:val="16"/>
                <w:szCs w:val="16"/>
              </w:rPr>
              <w:t>4.63</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AC5A53F"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37C43958"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4E8AFA" w14:textId="77777777" w:rsidR="00F165B6" w:rsidRPr="00F165B6" w:rsidRDefault="00F165B6" w:rsidP="00F165B6">
            <w:pPr>
              <w:rPr>
                <w:rFonts w:ascii="Arial" w:hAnsi="Arial" w:cs="Arial"/>
                <w:sz w:val="16"/>
                <w:szCs w:val="16"/>
              </w:rPr>
            </w:pPr>
            <w:r w:rsidRPr="00F165B6">
              <w:rPr>
                <w:rFonts w:ascii="Arial" w:hAnsi="Arial" w:cs="Arial"/>
                <w:sz w:val="16"/>
                <w:szCs w:val="16"/>
              </w:rPr>
              <w:t>Technical competence</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366F0F"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4F9547"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1E7DF8"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D336E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3EE5BBD" w14:textId="77777777" w:rsidR="00F165B6" w:rsidRPr="00F165B6" w:rsidRDefault="00F165B6" w:rsidP="00F165B6">
            <w:pPr>
              <w:rPr>
                <w:rFonts w:ascii="Arial" w:hAnsi="Arial" w:cs="Arial"/>
                <w:sz w:val="16"/>
                <w:szCs w:val="16"/>
              </w:rPr>
            </w:pPr>
            <w:r w:rsidRPr="00F165B6">
              <w:rPr>
                <w:rFonts w:ascii="Arial" w:hAnsi="Arial" w:cs="Arial"/>
                <w:sz w:val="16"/>
                <w:szCs w:val="16"/>
              </w:rPr>
              <w:t>4.5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A424C5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C783212" w14:textId="77777777" w:rsidR="00F165B6" w:rsidRPr="00F165B6" w:rsidRDefault="00F165B6" w:rsidP="00F165B6">
            <w:pPr>
              <w:rPr>
                <w:rFonts w:ascii="Arial" w:hAnsi="Arial" w:cs="Arial"/>
                <w:sz w:val="16"/>
                <w:szCs w:val="16"/>
              </w:rPr>
            </w:pPr>
            <w:r w:rsidRPr="00F165B6">
              <w:rPr>
                <w:rFonts w:ascii="Arial" w:hAnsi="Arial" w:cs="Arial"/>
                <w:sz w:val="16"/>
                <w:szCs w:val="16"/>
              </w:rPr>
              <w:t>4.5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A25D5C6"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886E2E0"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9BA6BF7"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CCAC3C" w14:textId="77777777" w:rsidR="00F165B6" w:rsidRPr="00F165B6" w:rsidRDefault="00F165B6" w:rsidP="00F165B6">
            <w:pPr>
              <w:rPr>
                <w:rFonts w:ascii="Arial" w:hAnsi="Arial" w:cs="Arial"/>
                <w:sz w:val="16"/>
                <w:szCs w:val="16"/>
              </w:rPr>
            </w:pPr>
            <w:r w:rsidRPr="00F165B6">
              <w:rPr>
                <w:rFonts w:ascii="Arial" w:hAnsi="Arial" w:cs="Arial"/>
                <w:sz w:val="16"/>
                <w:szCs w:val="16"/>
              </w:rPr>
              <w:t>4.56</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F85AE8"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07D92E97"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D8AE3F"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management </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A1997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88C6A3"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3950C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1DCBBE8"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C219669"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F941FF8"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09B678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4DF7865"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C1A5FB6" w14:textId="77777777" w:rsidR="00F165B6" w:rsidRPr="00F165B6" w:rsidRDefault="00F165B6" w:rsidP="00F165B6">
            <w:pPr>
              <w:rPr>
                <w:rFonts w:ascii="Arial" w:hAnsi="Arial" w:cs="Arial"/>
                <w:sz w:val="16"/>
                <w:szCs w:val="16"/>
              </w:rPr>
            </w:pPr>
            <w:r w:rsidRPr="00F165B6">
              <w:rPr>
                <w:rFonts w:ascii="Arial" w:hAnsi="Arial" w:cs="Arial"/>
                <w:sz w:val="16"/>
                <w:szCs w:val="16"/>
              </w:rPr>
              <w:t>4.48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AD6724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E9F6BD" w14:textId="77777777" w:rsidR="00F165B6" w:rsidRPr="00F165B6" w:rsidRDefault="00F165B6" w:rsidP="00F165B6">
            <w:pPr>
              <w:rPr>
                <w:rFonts w:ascii="Arial" w:hAnsi="Arial" w:cs="Arial"/>
                <w:sz w:val="16"/>
                <w:szCs w:val="16"/>
              </w:rPr>
            </w:pPr>
            <w:r w:rsidRPr="00F165B6">
              <w:rPr>
                <w:rFonts w:ascii="Arial" w:hAnsi="Arial" w:cs="Arial"/>
                <w:sz w:val="16"/>
                <w:szCs w:val="16"/>
              </w:rPr>
              <w:t>4.44</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AB834F"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645CB43C"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DD15DF" w14:textId="77777777" w:rsidR="00F165B6" w:rsidRPr="00F165B6" w:rsidRDefault="00F165B6" w:rsidP="00F165B6">
            <w:pPr>
              <w:rPr>
                <w:rFonts w:ascii="Arial" w:hAnsi="Arial" w:cs="Arial"/>
                <w:sz w:val="16"/>
                <w:szCs w:val="16"/>
              </w:rPr>
            </w:pPr>
            <w:r w:rsidRPr="00F165B6">
              <w:rPr>
                <w:rFonts w:ascii="Arial" w:hAnsi="Arial" w:cs="Arial"/>
                <w:sz w:val="16"/>
                <w:szCs w:val="16"/>
              </w:rPr>
              <w:t>Risk &amp; opportunity</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99CDCA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C91DC6"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B88167C"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D37FEB"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2DF315E"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7759234"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476B16F"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8819FF4"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FE2290E" w14:textId="77777777" w:rsidR="00F165B6" w:rsidRPr="00F165B6" w:rsidRDefault="00F165B6" w:rsidP="00F165B6">
            <w:pPr>
              <w:rPr>
                <w:rFonts w:ascii="Arial" w:hAnsi="Arial" w:cs="Arial"/>
                <w:sz w:val="16"/>
                <w:szCs w:val="16"/>
              </w:rPr>
            </w:pPr>
            <w:r w:rsidRPr="00F165B6">
              <w:rPr>
                <w:rFonts w:ascii="Arial" w:hAnsi="Arial" w:cs="Arial"/>
                <w:sz w:val="16"/>
                <w:szCs w:val="16"/>
              </w:rPr>
              <w:t>4.1</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24E00FD"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88A9FA"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ED9AEA"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3D3F9F92"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7B4899" w14:textId="77777777" w:rsidR="00F165B6" w:rsidRPr="00F165B6" w:rsidRDefault="00F165B6" w:rsidP="00F165B6">
            <w:pPr>
              <w:rPr>
                <w:rFonts w:ascii="Arial" w:hAnsi="Arial" w:cs="Arial"/>
                <w:sz w:val="16"/>
                <w:szCs w:val="16"/>
              </w:rPr>
            </w:pPr>
            <w:r w:rsidRPr="00F165B6">
              <w:rPr>
                <w:rFonts w:ascii="Arial" w:hAnsi="Arial" w:cs="Arial"/>
                <w:sz w:val="16"/>
                <w:szCs w:val="16"/>
              </w:rPr>
              <w:t>Compliance, standards &amp; regulations</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9CF784" w14:textId="77777777" w:rsidR="00F165B6" w:rsidRPr="00F165B6" w:rsidRDefault="00F165B6" w:rsidP="00F165B6">
            <w:pPr>
              <w:rPr>
                <w:rFonts w:ascii="Arial" w:hAnsi="Arial" w:cs="Arial"/>
                <w:sz w:val="16"/>
                <w:szCs w:val="16"/>
              </w:rPr>
            </w:pPr>
            <w:r w:rsidRPr="00F165B6">
              <w:rPr>
                <w:rFonts w:ascii="Arial" w:hAnsi="Arial" w:cs="Arial"/>
                <w:sz w:val="16"/>
                <w:szCs w:val="16"/>
              </w:rPr>
              <w:t>4.67</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D045F1"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417F0DD"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801E9B"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F2315B8" w14:textId="77777777" w:rsidR="00F165B6" w:rsidRPr="00F165B6" w:rsidRDefault="00F165B6" w:rsidP="00F165B6">
            <w:pPr>
              <w:rPr>
                <w:rFonts w:ascii="Arial" w:hAnsi="Arial" w:cs="Arial"/>
                <w:sz w:val="16"/>
                <w:szCs w:val="16"/>
              </w:rPr>
            </w:pPr>
            <w:r w:rsidRPr="00F165B6">
              <w:rPr>
                <w:rFonts w:ascii="Arial" w:hAnsi="Arial" w:cs="Arial"/>
                <w:sz w:val="16"/>
                <w:szCs w:val="16"/>
              </w:rPr>
              <w:t>4.75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00525E4"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08B3A9F" w14:textId="77777777" w:rsidR="00F165B6" w:rsidRPr="00F165B6" w:rsidRDefault="00F165B6" w:rsidP="00F165B6">
            <w:pPr>
              <w:rPr>
                <w:rFonts w:ascii="Arial" w:hAnsi="Arial" w:cs="Arial"/>
                <w:sz w:val="16"/>
                <w:szCs w:val="16"/>
              </w:rPr>
            </w:pPr>
            <w:r w:rsidRPr="00F165B6">
              <w:rPr>
                <w:rFonts w:ascii="Arial" w:hAnsi="Arial" w:cs="Arial"/>
                <w:sz w:val="16"/>
                <w:szCs w:val="16"/>
              </w:rPr>
              <w:t>3.7</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854D8B4"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A0A4B28" w14:textId="77777777" w:rsidR="00F165B6" w:rsidRPr="00F165B6" w:rsidRDefault="00F165B6" w:rsidP="00F165B6">
            <w:pPr>
              <w:rPr>
                <w:rFonts w:ascii="Arial" w:hAnsi="Arial" w:cs="Arial"/>
                <w:sz w:val="16"/>
                <w:szCs w:val="16"/>
              </w:rPr>
            </w:pPr>
            <w:r w:rsidRPr="00F165B6">
              <w:rPr>
                <w:rFonts w:ascii="Arial" w:hAnsi="Arial" w:cs="Arial"/>
                <w:sz w:val="16"/>
                <w:szCs w:val="16"/>
              </w:rPr>
              <w:t>4.45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7F2083D"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32C34E" w14:textId="77777777" w:rsidR="00F165B6" w:rsidRPr="00F165B6" w:rsidRDefault="00F165B6" w:rsidP="00F165B6">
            <w:pPr>
              <w:rPr>
                <w:rFonts w:ascii="Arial" w:hAnsi="Arial" w:cs="Arial"/>
                <w:sz w:val="16"/>
                <w:szCs w:val="16"/>
              </w:rPr>
            </w:pPr>
            <w:r w:rsidRPr="00F165B6">
              <w:rPr>
                <w:rFonts w:ascii="Arial" w:hAnsi="Arial" w:cs="Arial"/>
                <w:sz w:val="16"/>
                <w:szCs w:val="16"/>
              </w:rPr>
              <w:t>4.44</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7B7B8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770C8CC7" w14:textId="77777777" w:rsidTr="004F5D57">
        <w:trPr>
          <w:trHeight w:val="483"/>
        </w:trPr>
        <w:tc>
          <w:tcPr>
            <w:tcW w:w="16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D98B97" w14:textId="77777777" w:rsidR="00F165B6" w:rsidRPr="00F165B6" w:rsidRDefault="00F165B6" w:rsidP="00F165B6">
            <w:pPr>
              <w:rPr>
                <w:rFonts w:ascii="Arial" w:hAnsi="Arial" w:cs="Arial"/>
                <w:sz w:val="16"/>
                <w:szCs w:val="16"/>
              </w:rPr>
            </w:pPr>
            <w:r w:rsidRPr="00F165B6">
              <w:rPr>
                <w:rFonts w:ascii="Arial" w:hAnsi="Arial" w:cs="Arial"/>
                <w:sz w:val="16"/>
                <w:szCs w:val="16"/>
              </w:rPr>
              <w:t>Ethics, compliance, and professionalism</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0CCFABE"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BC3186"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C4CE19"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238EEA"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C2E8E30" w14:textId="77777777" w:rsidR="00F165B6" w:rsidRPr="00F165B6" w:rsidRDefault="00F165B6" w:rsidP="00F165B6">
            <w:pPr>
              <w:rPr>
                <w:rFonts w:ascii="Arial" w:hAnsi="Arial" w:cs="Arial"/>
                <w:sz w:val="16"/>
                <w:szCs w:val="16"/>
              </w:rPr>
            </w:pPr>
            <w:r w:rsidRPr="00F165B6">
              <w:rPr>
                <w:rFonts w:ascii="Arial" w:hAnsi="Arial" w:cs="Arial"/>
                <w:sz w:val="16"/>
                <w:szCs w:val="16"/>
              </w:rPr>
              <w:t>4.25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1117F7D"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7548CCA"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1AA0BEF"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3988E8A"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EA11F3E"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3888EE"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E9F298"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22D44F12" w14:textId="77777777" w:rsidTr="004F5D57">
        <w:trPr>
          <w:trHeight w:val="693"/>
        </w:trPr>
        <w:tc>
          <w:tcPr>
            <w:tcW w:w="169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81AD26"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Political competence( self-confidence, social </w:t>
            </w:r>
            <w:r w:rsidRPr="00F165B6">
              <w:rPr>
                <w:rFonts w:ascii="Arial" w:hAnsi="Arial" w:cs="Arial"/>
                <w:sz w:val="16"/>
                <w:szCs w:val="16"/>
              </w:rPr>
              <w:lastRenderedPageBreak/>
              <w:t>astuteness &amp; ability to influence others</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4DC5237"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3.67</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34ABF6E"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9EA253" w14:textId="77777777" w:rsidR="00F165B6" w:rsidRPr="00F165B6" w:rsidRDefault="00F165B6" w:rsidP="00F165B6">
            <w:pPr>
              <w:rPr>
                <w:rFonts w:ascii="Arial" w:hAnsi="Arial" w:cs="Arial"/>
                <w:sz w:val="16"/>
                <w:szCs w:val="16"/>
              </w:rPr>
            </w:pPr>
            <w:r w:rsidRPr="00F165B6">
              <w:rPr>
                <w:rFonts w:ascii="Arial" w:hAnsi="Arial" w:cs="Arial"/>
                <w:sz w:val="16"/>
                <w:szCs w:val="16"/>
              </w:rPr>
              <w:t>3.78</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C608F2"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551E7A2"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23002C5"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6E7465D"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1832EEE"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0AC55CE"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E645E2E"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7DFA35"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AF48D0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3A2BCE6A"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5EA181E" w14:textId="77777777" w:rsidR="00F165B6" w:rsidRPr="00F165B6" w:rsidRDefault="00F165B6" w:rsidP="00F165B6">
            <w:pPr>
              <w:rPr>
                <w:rFonts w:ascii="Arial" w:hAnsi="Arial" w:cs="Arial"/>
                <w:sz w:val="16"/>
                <w:szCs w:val="16"/>
              </w:rPr>
            </w:pPr>
            <w:r w:rsidRPr="00F165B6">
              <w:rPr>
                <w:rFonts w:ascii="Arial" w:hAnsi="Arial" w:cs="Arial"/>
                <w:sz w:val="16"/>
                <w:szCs w:val="16"/>
              </w:rPr>
              <w:t>Business case</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AC01AD"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C92E54"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03163F"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793E8A"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160EAD5" w14:textId="77777777" w:rsidR="00F165B6" w:rsidRPr="00F165B6" w:rsidRDefault="00F165B6" w:rsidP="00F165B6">
            <w:pPr>
              <w:rPr>
                <w:rFonts w:ascii="Arial" w:hAnsi="Arial" w:cs="Arial"/>
                <w:sz w:val="16"/>
                <w:szCs w:val="16"/>
              </w:rPr>
            </w:pPr>
            <w:r w:rsidRPr="00F165B6">
              <w:rPr>
                <w:rFonts w:ascii="Arial" w:hAnsi="Arial" w:cs="Arial"/>
                <w:sz w:val="16"/>
                <w:szCs w:val="16"/>
              </w:rPr>
              <w:t>4.2</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E1DB7C9"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5205BA7" w14:textId="77777777" w:rsidR="00F165B6" w:rsidRPr="00F165B6" w:rsidRDefault="00F165B6" w:rsidP="00F165B6">
            <w:pPr>
              <w:rPr>
                <w:rFonts w:ascii="Arial" w:hAnsi="Arial" w:cs="Arial"/>
                <w:sz w:val="16"/>
                <w:szCs w:val="16"/>
              </w:rPr>
            </w:pPr>
            <w:r w:rsidRPr="00F165B6">
              <w:rPr>
                <w:rFonts w:ascii="Arial" w:hAnsi="Arial" w:cs="Arial"/>
                <w:sz w:val="16"/>
                <w:szCs w:val="16"/>
              </w:rPr>
              <w:t>3.3</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5691A5D"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C2555FF" w14:textId="77777777" w:rsidR="00F165B6" w:rsidRPr="00F165B6" w:rsidRDefault="00F165B6" w:rsidP="00F165B6">
            <w:pPr>
              <w:rPr>
                <w:rFonts w:ascii="Arial" w:hAnsi="Arial" w:cs="Arial"/>
                <w:sz w:val="16"/>
                <w:szCs w:val="16"/>
              </w:rPr>
            </w:pPr>
            <w:r w:rsidRPr="00F165B6">
              <w:rPr>
                <w:rFonts w:ascii="Arial" w:hAnsi="Arial" w:cs="Arial"/>
                <w:sz w:val="16"/>
                <w:szCs w:val="16"/>
              </w:rPr>
              <w:t>4.26</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F610D5A"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949F6E1"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9116FD"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3588C63D"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D9A7E91" w14:textId="77777777" w:rsidR="00F165B6" w:rsidRPr="00F165B6" w:rsidRDefault="00F165B6" w:rsidP="00F165B6">
            <w:pPr>
              <w:rPr>
                <w:rFonts w:ascii="Arial" w:hAnsi="Arial" w:cs="Arial"/>
                <w:sz w:val="16"/>
                <w:szCs w:val="16"/>
              </w:rPr>
            </w:pPr>
            <w:r w:rsidRPr="00F165B6">
              <w:rPr>
                <w:rFonts w:ascii="Arial" w:hAnsi="Arial" w:cs="Arial"/>
                <w:sz w:val="16"/>
                <w:szCs w:val="16"/>
              </w:rPr>
              <w:t>Governance, structure, and processes</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F6542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706F69F"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2FE9E2"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2C5ED1"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F3E37FD"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0F6CA5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6BE2961"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8462EAD"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77984C7" w14:textId="77777777" w:rsidR="00F165B6" w:rsidRPr="00F165B6" w:rsidRDefault="00F165B6" w:rsidP="00F165B6">
            <w:pPr>
              <w:rPr>
                <w:rFonts w:ascii="Arial" w:hAnsi="Arial" w:cs="Arial"/>
                <w:sz w:val="16"/>
                <w:szCs w:val="16"/>
              </w:rPr>
            </w:pPr>
            <w:r w:rsidRPr="00F165B6">
              <w:rPr>
                <w:rFonts w:ascii="Arial" w:hAnsi="Arial" w:cs="Arial"/>
                <w:sz w:val="16"/>
                <w:szCs w:val="16"/>
              </w:rPr>
              <w:t>4.18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BE7AFA5"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4A0F41"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3800F0"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r>
      <w:tr w:rsidR="00F165B6" w:rsidRPr="00F165B6" w14:paraId="43B67DC8"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29DDD6" w14:textId="77777777" w:rsidR="00F165B6" w:rsidRPr="00F165B6" w:rsidRDefault="00F165B6" w:rsidP="00F165B6">
            <w:pPr>
              <w:rPr>
                <w:rFonts w:ascii="Arial" w:hAnsi="Arial" w:cs="Arial"/>
                <w:sz w:val="16"/>
                <w:szCs w:val="16"/>
              </w:rPr>
            </w:pPr>
            <w:r w:rsidRPr="00F165B6">
              <w:rPr>
                <w:rFonts w:ascii="Arial" w:hAnsi="Arial" w:cs="Arial"/>
                <w:sz w:val="16"/>
                <w:szCs w:val="16"/>
              </w:rPr>
              <w:t>Capability development</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30461D"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FEAB8B"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07A146" w14:textId="77777777" w:rsidR="00F165B6" w:rsidRPr="00F165B6" w:rsidRDefault="00F165B6" w:rsidP="00F165B6">
            <w:pPr>
              <w:rPr>
                <w:rFonts w:ascii="Arial" w:hAnsi="Arial" w:cs="Arial"/>
                <w:sz w:val="16"/>
                <w:szCs w:val="16"/>
              </w:rPr>
            </w:pPr>
            <w:r w:rsidRPr="00F165B6">
              <w:rPr>
                <w:rFonts w:ascii="Arial" w:hAnsi="Arial" w:cs="Arial"/>
                <w:sz w:val="16"/>
                <w:szCs w:val="16"/>
              </w:rPr>
              <w:t>3.78</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C2F9F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0FC0BD7"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05EF6CB"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62EB2B9" w14:textId="77777777" w:rsidR="00F165B6" w:rsidRPr="00F165B6" w:rsidRDefault="00F165B6" w:rsidP="00F165B6">
            <w:pPr>
              <w:rPr>
                <w:rFonts w:ascii="Arial" w:hAnsi="Arial" w:cs="Arial"/>
                <w:sz w:val="16"/>
                <w:szCs w:val="16"/>
              </w:rPr>
            </w:pPr>
            <w:r w:rsidRPr="00F165B6">
              <w:rPr>
                <w:rFonts w:ascii="Arial" w:hAnsi="Arial" w:cs="Arial"/>
                <w:sz w:val="16"/>
                <w:szCs w:val="16"/>
              </w:rPr>
              <w:t>3.4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88B348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F6A15C6"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3D22FC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7F15B9"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371116E"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63B7CE11"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042CCF" w14:textId="77777777" w:rsidR="00F165B6" w:rsidRPr="00F165B6" w:rsidRDefault="00F165B6" w:rsidP="00F165B6">
            <w:pPr>
              <w:rPr>
                <w:rFonts w:ascii="Arial" w:hAnsi="Arial" w:cs="Arial"/>
                <w:sz w:val="16"/>
                <w:szCs w:val="16"/>
              </w:rPr>
            </w:pPr>
            <w:r w:rsidRPr="00F165B6">
              <w:rPr>
                <w:rFonts w:ascii="Arial" w:hAnsi="Arial" w:cs="Arial"/>
                <w:sz w:val="16"/>
                <w:szCs w:val="16"/>
              </w:rPr>
              <w:t>Politics &amp; use of power</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37E227"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CEBF405"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FD356B"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F6F5EF"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B457DC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3F83994"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74C5B243"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F54A9D3"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E03FCA9" w14:textId="77777777" w:rsidR="00F165B6" w:rsidRPr="00F165B6" w:rsidRDefault="00F165B6" w:rsidP="00F165B6">
            <w:pPr>
              <w:rPr>
                <w:rFonts w:ascii="Arial" w:hAnsi="Arial" w:cs="Arial"/>
                <w:sz w:val="16"/>
                <w:szCs w:val="16"/>
              </w:rPr>
            </w:pPr>
            <w:r w:rsidRPr="00F165B6">
              <w:rPr>
                <w:rFonts w:ascii="Arial" w:hAnsi="Arial" w:cs="Arial"/>
                <w:sz w:val="16"/>
                <w:szCs w:val="16"/>
              </w:rPr>
              <w:t>4.14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A00C6A6"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D18D51" w14:textId="77777777" w:rsidR="00F165B6" w:rsidRPr="00F165B6" w:rsidRDefault="00F165B6" w:rsidP="00F165B6">
            <w:pPr>
              <w:rPr>
                <w:rFonts w:ascii="Arial" w:hAnsi="Arial" w:cs="Arial"/>
                <w:sz w:val="16"/>
                <w:szCs w:val="16"/>
              </w:rPr>
            </w:pPr>
            <w:r w:rsidRPr="00F165B6">
              <w:rPr>
                <w:rFonts w:ascii="Arial" w:hAnsi="Arial" w:cs="Arial"/>
                <w:sz w:val="16"/>
                <w:szCs w:val="16"/>
              </w:rPr>
              <w:t>4.22</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27536A"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r w:rsidR="00F165B6" w:rsidRPr="00F165B6" w14:paraId="585664C8"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D6943BC"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Commercial management </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5849CD"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143AC0"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1ECC91" w14:textId="77777777" w:rsidR="00F165B6" w:rsidRPr="00F165B6" w:rsidRDefault="00F165B6" w:rsidP="00F165B6">
            <w:pPr>
              <w:rPr>
                <w:rFonts w:ascii="Arial" w:hAnsi="Arial" w:cs="Arial"/>
                <w:sz w:val="16"/>
                <w:szCs w:val="16"/>
              </w:rPr>
            </w:pPr>
            <w:r w:rsidRPr="00F165B6">
              <w:rPr>
                <w:rFonts w:ascii="Arial" w:hAnsi="Arial" w:cs="Arial"/>
                <w:sz w:val="16"/>
                <w:szCs w:val="16"/>
              </w:rPr>
              <w:t>3.9</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79A90F9"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FB86012"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F4A748B"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665E8D1"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EA15831"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EC12777" w14:textId="77777777" w:rsidR="00F165B6" w:rsidRPr="00F165B6" w:rsidRDefault="00F165B6" w:rsidP="00F165B6">
            <w:pPr>
              <w:rPr>
                <w:rFonts w:ascii="Arial" w:hAnsi="Arial" w:cs="Arial"/>
                <w:sz w:val="16"/>
                <w:szCs w:val="16"/>
              </w:rPr>
            </w:pPr>
            <w:r w:rsidRPr="00F165B6">
              <w:rPr>
                <w:rFonts w:ascii="Arial" w:hAnsi="Arial" w:cs="Arial"/>
                <w:sz w:val="16"/>
                <w:szCs w:val="16"/>
              </w:rPr>
              <w:t>4.05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313EE01"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9E53E3" w14:textId="77777777" w:rsidR="00F165B6" w:rsidRPr="00F165B6" w:rsidRDefault="00F165B6" w:rsidP="00F165B6">
            <w:pPr>
              <w:rPr>
                <w:rFonts w:ascii="Arial" w:hAnsi="Arial" w:cs="Arial"/>
                <w:sz w:val="16"/>
                <w:szCs w:val="16"/>
              </w:rPr>
            </w:pPr>
            <w:r w:rsidRPr="00F165B6">
              <w:rPr>
                <w:rFonts w:ascii="Arial" w:hAnsi="Arial" w:cs="Arial"/>
                <w:sz w:val="16"/>
                <w:szCs w:val="16"/>
              </w:rPr>
              <w:t>4.3</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B04F5C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r w:rsidR="00F165B6" w:rsidRPr="00F165B6" w14:paraId="3DD532FD"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565260D" w14:textId="77777777" w:rsidR="00F165B6" w:rsidRPr="00F165B6" w:rsidRDefault="00F165B6" w:rsidP="00F165B6">
            <w:pPr>
              <w:rPr>
                <w:rFonts w:ascii="Arial" w:hAnsi="Arial" w:cs="Arial"/>
                <w:sz w:val="16"/>
                <w:szCs w:val="16"/>
              </w:rPr>
            </w:pPr>
            <w:r w:rsidRPr="00F165B6">
              <w:rPr>
                <w:rFonts w:ascii="Arial" w:hAnsi="Arial" w:cs="Arial"/>
                <w:sz w:val="16"/>
                <w:szCs w:val="16"/>
              </w:rPr>
              <w:t>Asset allocation</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716896"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DC60E3E"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1D52DE"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A00C92C"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B324B24" w14:textId="77777777" w:rsidR="00F165B6" w:rsidRPr="00F165B6" w:rsidRDefault="00F165B6" w:rsidP="00F165B6">
            <w:pPr>
              <w:rPr>
                <w:rFonts w:ascii="Arial" w:hAnsi="Arial" w:cs="Arial"/>
                <w:sz w:val="16"/>
                <w:szCs w:val="16"/>
              </w:rPr>
            </w:pPr>
            <w:r w:rsidRPr="00F165B6">
              <w:rPr>
                <w:rFonts w:ascii="Arial" w:hAnsi="Arial" w:cs="Arial"/>
                <w:sz w:val="16"/>
                <w:szCs w:val="16"/>
              </w:rPr>
              <w:t>4.5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37979B9"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63F7949"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C1CBF82"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5EBBDD6"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FDE8BE4"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7A978CE"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8C3B8C"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07CB91DE" w14:textId="77777777" w:rsidTr="004F5D57">
        <w:trPr>
          <w:trHeight w:val="301"/>
        </w:trPr>
        <w:tc>
          <w:tcPr>
            <w:tcW w:w="169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1F88A" w14:textId="77777777" w:rsidR="00F165B6" w:rsidRPr="00F165B6" w:rsidRDefault="00F165B6" w:rsidP="00F165B6">
            <w:pPr>
              <w:rPr>
                <w:rFonts w:ascii="Arial" w:hAnsi="Arial" w:cs="Arial"/>
                <w:sz w:val="16"/>
                <w:szCs w:val="16"/>
              </w:rPr>
            </w:pPr>
            <w:r w:rsidRPr="00F165B6">
              <w:rPr>
                <w:rFonts w:ascii="Arial" w:hAnsi="Arial" w:cs="Arial"/>
                <w:sz w:val="16"/>
                <w:szCs w:val="16"/>
              </w:rPr>
              <w:t>Independence assurance</w:t>
            </w:r>
          </w:p>
        </w:tc>
        <w:tc>
          <w:tcPr>
            <w:tcW w:w="8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789DCC" w14:textId="77777777" w:rsidR="00F165B6" w:rsidRPr="00F165B6" w:rsidRDefault="00F165B6" w:rsidP="00F165B6">
            <w:pPr>
              <w:rPr>
                <w:rFonts w:ascii="Arial" w:hAnsi="Arial" w:cs="Arial"/>
                <w:sz w:val="16"/>
                <w:szCs w:val="16"/>
              </w:rPr>
            </w:pPr>
            <w:r w:rsidRPr="00F165B6">
              <w:rPr>
                <w:rFonts w:ascii="Arial" w:hAnsi="Arial" w:cs="Arial"/>
                <w:sz w:val="16"/>
                <w:szCs w:val="16"/>
              </w:rPr>
              <w:t>4.33</w:t>
            </w:r>
          </w:p>
        </w:tc>
        <w:tc>
          <w:tcPr>
            <w:tcW w:w="69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94A88E0"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70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71FD8D"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18CD96"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6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1593B249"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E2B563C"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893"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3F983315" w14:textId="77777777" w:rsidR="00F165B6" w:rsidRPr="00F165B6" w:rsidRDefault="00F165B6" w:rsidP="00F165B6">
            <w:pPr>
              <w:rPr>
                <w:rFonts w:ascii="Arial" w:hAnsi="Arial" w:cs="Arial"/>
                <w:sz w:val="16"/>
                <w:szCs w:val="16"/>
              </w:rPr>
            </w:pPr>
            <w:r w:rsidRPr="00F165B6">
              <w:rPr>
                <w:rFonts w:ascii="Arial" w:hAnsi="Arial" w:cs="Arial"/>
                <w:sz w:val="16"/>
                <w:szCs w:val="16"/>
              </w:rPr>
              <w:t>3.7</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4CEC8D10"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44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29EC6FE3" w14:textId="77777777" w:rsidR="00F165B6" w:rsidRPr="00F165B6" w:rsidRDefault="00F165B6" w:rsidP="00F165B6">
            <w:pPr>
              <w:rPr>
                <w:rFonts w:ascii="Arial" w:hAnsi="Arial" w:cs="Arial"/>
                <w:sz w:val="16"/>
                <w:szCs w:val="16"/>
              </w:rPr>
            </w:pPr>
            <w:r w:rsidRPr="00F165B6">
              <w:rPr>
                <w:rFonts w:ascii="Arial" w:hAnsi="Arial" w:cs="Arial"/>
                <w:sz w:val="16"/>
                <w:szCs w:val="16"/>
              </w:rPr>
              <w:t>4.05</w:t>
            </w:r>
          </w:p>
        </w:tc>
        <w:tc>
          <w:tcPr>
            <w:tcW w:w="505" w:type="dxa"/>
            <w:tcBorders>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6E8D1F78"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55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FD2DCA"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49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D26724"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r>
    </w:tbl>
    <w:p w14:paraId="27A7B78F" w14:textId="77777777" w:rsidR="00F165B6" w:rsidRPr="00F165B6" w:rsidRDefault="00F165B6" w:rsidP="00F165B6">
      <w:pPr>
        <w:rPr>
          <w:rFonts w:ascii="Arial" w:hAnsi="Arial" w:cs="Arial"/>
          <w:sz w:val="16"/>
          <w:szCs w:val="16"/>
        </w:rPr>
      </w:pPr>
      <w:r w:rsidRPr="00F165B6">
        <w:rPr>
          <w:rFonts w:ascii="Arial" w:hAnsi="Arial" w:cs="Arial"/>
          <w:sz w:val="16"/>
          <w:szCs w:val="16"/>
        </w:rPr>
        <w:t>Not needed(1)</w:t>
      </w:r>
      <w:r w:rsidRPr="00F165B6">
        <w:rPr>
          <w:rFonts w:ascii="Arial" w:hAnsi="Arial" w:cs="Arial"/>
          <w:sz w:val="16"/>
          <w:szCs w:val="16"/>
        </w:rPr>
        <w:tab/>
        <w:t>, Less needed(2), Needed(3),Very needed(4)Highly needed(5)</w:t>
      </w:r>
    </w:p>
    <w:p w14:paraId="4E1224F6" w14:textId="77777777" w:rsidR="00431941" w:rsidRDefault="00431941" w:rsidP="00F165B6">
      <w:pPr>
        <w:rPr>
          <w:rFonts w:ascii="Arial" w:hAnsi="Arial" w:cs="Arial"/>
          <w:sz w:val="16"/>
          <w:szCs w:val="16"/>
        </w:rPr>
      </w:pPr>
    </w:p>
    <w:p w14:paraId="6839AE7B" w14:textId="658C2FC9" w:rsidR="00F165B6" w:rsidRPr="00F165B6" w:rsidRDefault="00F165B6" w:rsidP="00F165B6">
      <w:pPr>
        <w:rPr>
          <w:rFonts w:ascii="Arial" w:hAnsi="Arial" w:cs="Arial"/>
          <w:sz w:val="16"/>
          <w:szCs w:val="16"/>
        </w:rPr>
      </w:pPr>
      <w:r w:rsidRPr="00F165B6">
        <w:rPr>
          <w:rFonts w:ascii="Arial" w:hAnsi="Arial" w:cs="Arial"/>
          <w:sz w:val="16"/>
          <w:szCs w:val="16"/>
        </w:rPr>
        <w:t xml:space="preserve">Table 10: </w:t>
      </w:r>
      <w:bookmarkStart w:id="1610" w:name="_Toc64663380"/>
      <w:r w:rsidRPr="00F165B6">
        <w:rPr>
          <w:rFonts w:ascii="Arial" w:hAnsi="Arial" w:cs="Arial"/>
          <w:i/>
          <w:iCs/>
          <w:sz w:val="16"/>
          <w:szCs w:val="16"/>
        </w:rPr>
        <w:t>Mean scores for Degree of need for training and education for management competences for securing finance for real estate project development for the present at the disaggregate level</w:t>
      </w:r>
      <w:bookmarkEnd w:id="1610"/>
    </w:p>
    <w:tbl>
      <w:tblPr>
        <w:tblW w:w="9242" w:type="dxa"/>
        <w:tblLayout w:type="fixed"/>
        <w:tblCellMar>
          <w:left w:w="10" w:type="dxa"/>
          <w:right w:w="10" w:type="dxa"/>
        </w:tblCellMar>
        <w:tblLook w:val="0000" w:firstRow="0" w:lastRow="0" w:firstColumn="0" w:lastColumn="0" w:noHBand="0" w:noVBand="0"/>
      </w:tblPr>
      <w:tblGrid>
        <w:gridCol w:w="2421"/>
        <w:gridCol w:w="802"/>
        <w:gridCol w:w="547"/>
        <w:gridCol w:w="542"/>
        <w:gridCol w:w="546"/>
        <w:gridCol w:w="479"/>
        <w:gridCol w:w="531"/>
        <w:gridCol w:w="569"/>
        <w:gridCol w:w="531"/>
        <w:gridCol w:w="643"/>
        <w:gridCol w:w="531"/>
        <w:gridCol w:w="569"/>
        <w:gridCol w:w="531"/>
      </w:tblGrid>
      <w:tr w:rsidR="00F165B6" w:rsidRPr="00F165B6" w14:paraId="502E9606" w14:textId="77777777" w:rsidTr="004F5D57">
        <w:trPr>
          <w:trHeight w:val="690"/>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7941B"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 xml:space="preserve">Management competences </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9871B"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Germany N=5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30F299"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79E9E"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UK N=20</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ECCE5E"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5C41E" w14:textId="77777777" w:rsidR="00F165B6" w:rsidRPr="00F165B6" w:rsidRDefault="00F165B6" w:rsidP="00F165B6">
            <w:pPr>
              <w:rPr>
                <w:rFonts w:ascii="Arial" w:hAnsi="Arial" w:cs="Arial"/>
                <w:sz w:val="16"/>
                <w:szCs w:val="16"/>
              </w:rPr>
            </w:pPr>
            <w:r w:rsidRPr="00F165B6">
              <w:rPr>
                <w:rFonts w:ascii="Arial" w:hAnsi="Arial" w:cs="Arial"/>
                <w:sz w:val="16"/>
                <w:szCs w:val="16"/>
              </w:rPr>
              <w:t>US N= 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316FD2"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B7241" w14:textId="77777777" w:rsidR="00F165B6" w:rsidRPr="00F165B6" w:rsidRDefault="00F165B6" w:rsidP="00F165B6">
            <w:pPr>
              <w:rPr>
                <w:rFonts w:ascii="Arial" w:hAnsi="Arial" w:cs="Arial"/>
                <w:sz w:val="16"/>
                <w:szCs w:val="16"/>
              </w:rPr>
            </w:pPr>
            <w:r w:rsidRPr="00F165B6">
              <w:rPr>
                <w:rFonts w:ascii="Arial" w:hAnsi="Arial" w:cs="Arial"/>
                <w:sz w:val="16"/>
                <w:szCs w:val="16"/>
              </w:rPr>
              <w:t>China N= 11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7AEC79"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ECC06" w14:textId="77777777" w:rsidR="00F165B6" w:rsidRPr="00F165B6" w:rsidRDefault="00F165B6" w:rsidP="00F165B6">
            <w:pPr>
              <w:rPr>
                <w:rFonts w:ascii="Arial" w:hAnsi="Arial" w:cs="Arial"/>
                <w:sz w:val="16"/>
                <w:szCs w:val="16"/>
              </w:rPr>
            </w:pPr>
            <w:r w:rsidRPr="00F165B6">
              <w:rPr>
                <w:rFonts w:ascii="Arial" w:hAnsi="Arial" w:cs="Arial"/>
                <w:sz w:val="16"/>
                <w:szCs w:val="16"/>
              </w:rPr>
              <w:t>Nigeria  N= 26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75FBDD"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C2686"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 N= 11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6EC955"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F165B6" w:rsidRPr="00F165B6" w14:paraId="0AD84171"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3E3D59"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competence</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C438A7"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BE36C8"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24887DF"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91617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54B1A0"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2F251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AE8E4A"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9589CB"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D41393" w14:textId="77777777" w:rsidR="00F165B6" w:rsidRPr="00F165B6" w:rsidRDefault="00F165B6" w:rsidP="00F165B6">
            <w:pPr>
              <w:rPr>
                <w:rFonts w:ascii="Arial" w:hAnsi="Arial" w:cs="Arial"/>
                <w:sz w:val="16"/>
                <w:szCs w:val="16"/>
              </w:rPr>
            </w:pPr>
            <w:r w:rsidRPr="00F165B6">
              <w:rPr>
                <w:rFonts w:ascii="Arial" w:hAnsi="Arial" w:cs="Arial"/>
                <w:sz w:val="16"/>
                <w:szCs w:val="16"/>
              </w:rPr>
              <w:t>4.19</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FFDEA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0D3D88"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FE38DD"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F165B6" w:rsidRPr="00F165B6" w14:paraId="1045D1A3"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5346A6" w14:textId="77777777" w:rsidR="00F165B6" w:rsidRPr="00F165B6" w:rsidRDefault="00F165B6" w:rsidP="00F165B6">
            <w:pPr>
              <w:rPr>
                <w:rFonts w:ascii="Arial" w:hAnsi="Arial" w:cs="Arial"/>
                <w:sz w:val="16"/>
                <w:szCs w:val="16"/>
              </w:rPr>
            </w:pPr>
            <w:r w:rsidRPr="00F165B6">
              <w:rPr>
                <w:rFonts w:ascii="Arial" w:hAnsi="Arial" w:cs="Arial"/>
                <w:sz w:val="16"/>
                <w:szCs w:val="16"/>
              </w:rPr>
              <w:t>Result oriented</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CA036F" w14:textId="77777777" w:rsidR="00F165B6" w:rsidRPr="00F165B6" w:rsidRDefault="00F165B6" w:rsidP="00F165B6">
            <w:pPr>
              <w:rPr>
                <w:rFonts w:ascii="Arial" w:hAnsi="Arial" w:cs="Arial"/>
                <w:sz w:val="16"/>
                <w:szCs w:val="16"/>
              </w:rPr>
            </w:pPr>
            <w:r w:rsidRPr="00F165B6">
              <w:rPr>
                <w:rFonts w:ascii="Arial" w:hAnsi="Arial" w:cs="Arial"/>
                <w:sz w:val="16"/>
                <w:szCs w:val="16"/>
              </w:rPr>
              <w:t>1.67</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F2647C"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05B481" w14:textId="77777777" w:rsidR="00F165B6" w:rsidRPr="00F165B6" w:rsidRDefault="00F165B6" w:rsidP="00F165B6">
            <w:pPr>
              <w:rPr>
                <w:rFonts w:ascii="Arial" w:hAnsi="Arial" w:cs="Arial"/>
                <w:sz w:val="16"/>
                <w:szCs w:val="16"/>
              </w:rPr>
            </w:pPr>
            <w:r w:rsidRPr="00F165B6">
              <w:rPr>
                <w:rFonts w:ascii="Arial" w:hAnsi="Arial" w:cs="Arial"/>
                <w:sz w:val="16"/>
                <w:szCs w:val="16"/>
              </w:rPr>
              <w:t>3.14</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EA68F7"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C9BD18"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683B1A"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B0382C" w14:textId="77777777" w:rsidR="00F165B6" w:rsidRPr="00F165B6" w:rsidRDefault="00F165B6" w:rsidP="00F165B6">
            <w:pPr>
              <w:rPr>
                <w:rFonts w:ascii="Arial" w:hAnsi="Arial" w:cs="Arial"/>
                <w:sz w:val="16"/>
                <w:szCs w:val="16"/>
              </w:rPr>
            </w:pPr>
            <w:r w:rsidRPr="00F165B6">
              <w:rPr>
                <w:rFonts w:ascii="Arial" w:hAnsi="Arial" w:cs="Arial"/>
                <w:sz w:val="16"/>
                <w:szCs w:val="16"/>
              </w:rPr>
              <w:t>3.2</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E67E71F"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1A62C3" w14:textId="77777777" w:rsidR="00F165B6" w:rsidRPr="00F165B6" w:rsidRDefault="00F165B6" w:rsidP="00F165B6">
            <w:pPr>
              <w:rPr>
                <w:rFonts w:ascii="Arial" w:hAnsi="Arial" w:cs="Arial"/>
                <w:sz w:val="16"/>
                <w:szCs w:val="16"/>
              </w:rPr>
            </w:pPr>
            <w:r w:rsidRPr="00F165B6">
              <w:rPr>
                <w:rFonts w:ascii="Arial" w:hAnsi="Arial" w:cs="Arial"/>
                <w:sz w:val="16"/>
                <w:szCs w:val="16"/>
              </w:rPr>
              <w:t>3.68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4B85CA"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588401"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0CCEA50"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F165B6" w:rsidRPr="00F165B6" w14:paraId="3648F51E"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1881422" w14:textId="77777777" w:rsidR="00F165B6" w:rsidRPr="00F165B6" w:rsidRDefault="00F165B6" w:rsidP="00F165B6">
            <w:pPr>
              <w:rPr>
                <w:rFonts w:ascii="Arial" w:hAnsi="Arial" w:cs="Arial"/>
                <w:sz w:val="16"/>
                <w:szCs w:val="16"/>
              </w:rPr>
            </w:pPr>
            <w:r w:rsidRPr="00F165B6">
              <w:rPr>
                <w:rFonts w:ascii="Arial" w:hAnsi="Arial" w:cs="Arial"/>
                <w:sz w:val="16"/>
                <w:szCs w:val="16"/>
              </w:rPr>
              <w:t>Managerial competences</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7945D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798C72"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0DB97F" w14:textId="77777777" w:rsidR="00F165B6" w:rsidRPr="00F165B6" w:rsidRDefault="00F165B6" w:rsidP="00F165B6">
            <w:pPr>
              <w:rPr>
                <w:rFonts w:ascii="Arial" w:hAnsi="Arial" w:cs="Arial"/>
                <w:sz w:val="16"/>
                <w:szCs w:val="16"/>
              </w:rPr>
            </w:pPr>
            <w:r w:rsidRPr="00F165B6">
              <w:rPr>
                <w:rFonts w:ascii="Arial" w:hAnsi="Arial" w:cs="Arial"/>
                <w:sz w:val="16"/>
                <w:szCs w:val="16"/>
              </w:rPr>
              <w:t>3.17</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920CE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0717D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29BBD0"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170350"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E6EB5A"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DFCCFC" w14:textId="77777777" w:rsidR="00F165B6" w:rsidRPr="00F165B6" w:rsidRDefault="00F165B6" w:rsidP="00F165B6">
            <w:pPr>
              <w:rPr>
                <w:rFonts w:ascii="Arial" w:hAnsi="Arial" w:cs="Arial"/>
                <w:sz w:val="16"/>
                <w:szCs w:val="16"/>
              </w:rPr>
            </w:pPr>
            <w:r w:rsidRPr="00F165B6">
              <w:rPr>
                <w:rFonts w:ascii="Arial" w:hAnsi="Arial" w:cs="Arial"/>
                <w:sz w:val="16"/>
                <w:szCs w:val="16"/>
              </w:rPr>
              <w:t>4.11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C7D1F6"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CEB23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97DEBE"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F165B6" w:rsidRPr="00F165B6" w14:paraId="77A28347"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F04E6D" w14:textId="77777777" w:rsidR="00F165B6" w:rsidRPr="00F165B6" w:rsidRDefault="00F165B6" w:rsidP="00F165B6">
            <w:pPr>
              <w:rPr>
                <w:rFonts w:ascii="Arial" w:hAnsi="Arial" w:cs="Arial"/>
                <w:sz w:val="16"/>
                <w:szCs w:val="16"/>
              </w:rPr>
            </w:pPr>
            <w:r w:rsidRPr="00F165B6">
              <w:rPr>
                <w:rFonts w:ascii="Arial" w:hAnsi="Arial" w:cs="Arial"/>
                <w:sz w:val="16"/>
                <w:szCs w:val="16"/>
              </w:rPr>
              <w:t>Resourcefulness</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FD6CDC"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4615C7"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BE55AD" w14:textId="77777777" w:rsidR="00F165B6" w:rsidRPr="00F165B6" w:rsidRDefault="00F165B6" w:rsidP="00F165B6">
            <w:pPr>
              <w:rPr>
                <w:rFonts w:ascii="Arial" w:hAnsi="Arial" w:cs="Arial"/>
                <w:sz w:val="16"/>
                <w:szCs w:val="16"/>
              </w:rPr>
            </w:pPr>
            <w:r w:rsidRPr="00F165B6">
              <w:rPr>
                <w:rFonts w:ascii="Arial" w:hAnsi="Arial" w:cs="Arial"/>
                <w:sz w:val="16"/>
                <w:szCs w:val="16"/>
              </w:rPr>
              <w:t>3.4</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E99448"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EA5E1B"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290460"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99DD86"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D420E5"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FEA20B" w14:textId="77777777" w:rsidR="00F165B6" w:rsidRPr="00F165B6" w:rsidRDefault="00F165B6" w:rsidP="00F165B6">
            <w:pPr>
              <w:rPr>
                <w:rFonts w:ascii="Arial" w:hAnsi="Arial" w:cs="Arial"/>
                <w:sz w:val="16"/>
                <w:szCs w:val="16"/>
              </w:rPr>
            </w:pPr>
            <w:r w:rsidRPr="00F165B6">
              <w:rPr>
                <w:rFonts w:ascii="Arial" w:hAnsi="Arial" w:cs="Arial"/>
                <w:sz w:val="16"/>
                <w:szCs w:val="16"/>
              </w:rPr>
              <w:t>3.89</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9B6A52"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4A9C0B"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50F3B6"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F165B6" w:rsidRPr="00F165B6" w14:paraId="10F5BE44"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9325DE" w14:textId="77777777" w:rsidR="00F165B6" w:rsidRPr="00F165B6" w:rsidRDefault="00F165B6" w:rsidP="00F165B6">
            <w:pPr>
              <w:rPr>
                <w:rFonts w:ascii="Arial" w:hAnsi="Arial" w:cs="Arial"/>
                <w:sz w:val="16"/>
                <w:szCs w:val="16"/>
              </w:rPr>
            </w:pPr>
            <w:r w:rsidRPr="00F165B6">
              <w:rPr>
                <w:rFonts w:ascii="Arial" w:hAnsi="Arial" w:cs="Arial"/>
                <w:sz w:val="16"/>
                <w:szCs w:val="16"/>
              </w:rPr>
              <w:t>Planning &amp; control</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207EDB"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AF5CCB"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87AB4B" w14:textId="77777777" w:rsidR="00F165B6" w:rsidRPr="00F165B6" w:rsidRDefault="00F165B6" w:rsidP="00F165B6">
            <w:pPr>
              <w:rPr>
                <w:rFonts w:ascii="Arial" w:hAnsi="Arial" w:cs="Arial"/>
                <w:sz w:val="16"/>
                <w:szCs w:val="16"/>
              </w:rPr>
            </w:pPr>
            <w:r w:rsidRPr="00F165B6">
              <w:rPr>
                <w:rFonts w:ascii="Arial" w:hAnsi="Arial" w:cs="Arial"/>
                <w:sz w:val="16"/>
                <w:szCs w:val="16"/>
              </w:rPr>
              <w:t>3.8</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C32408"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49FAD6"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289281"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89102A"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3E0908"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ED2F5B" w14:textId="77777777" w:rsidR="00F165B6" w:rsidRPr="00F165B6" w:rsidRDefault="00F165B6" w:rsidP="00F165B6">
            <w:pPr>
              <w:rPr>
                <w:rFonts w:ascii="Arial" w:hAnsi="Arial" w:cs="Arial"/>
                <w:sz w:val="16"/>
                <w:szCs w:val="16"/>
              </w:rPr>
            </w:pPr>
            <w:r w:rsidRPr="00F165B6">
              <w:rPr>
                <w:rFonts w:ascii="Arial" w:hAnsi="Arial" w:cs="Arial"/>
                <w:sz w:val="16"/>
                <w:szCs w:val="16"/>
              </w:rPr>
              <w:t>4.13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3E796B"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C4E30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463F4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F165B6" w:rsidRPr="00F165B6" w14:paraId="753156E0"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90F0C6"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Negotiation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71AD00"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06C75E"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1B5058" w14:textId="77777777" w:rsidR="00F165B6" w:rsidRPr="00F165B6" w:rsidRDefault="00F165B6" w:rsidP="00F165B6">
            <w:pPr>
              <w:rPr>
                <w:rFonts w:ascii="Arial" w:hAnsi="Arial" w:cs="Arial"/>
                <w:sz w:val="16"/>
                <w:szCs w:val="16"/>
              </w:rPr>
            </w:pPr>
            <w:r w:rsidRPr="00F165B6">
              <w:rPr>
                <w:rFonts w:ascii="Arial" w:hAnsi="Arial" w:cs="Arial"/>
                <w:sz w:val="16"/>
                <w:szCs w:val="16"/>
              </w:rPr>
              <w:t>3.6</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E608B9"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1E9895B"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47547B"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80C63A" w14:textId="77777777" w:rsidR="00F165B6" w:rsidRPr="00F165B6" w:rsidRDefault="00F165B6" w:rsidP="00F165B6">
            <w:pPr>
              <w:rPr>
                <w:rFonts w:ascii="Arial" w:hAnsi="Arial" w:cs="Arial"/>
                <w:sz w:val="16"/>
                <w:szCs w:val="16"/>
              </w:rPr>
            </w:pPr>
            <w:r w:rsidRPr="00F165B6">
              <w:rPr>
                <w:rFonts w:ascii="Arial" w:hAnsi="Arial" w:cs="Arial"/>
                <w:sz w:val="16"/>
                <w:szCs w:val="16"/>
              </w:rPr>
              <w:t>3.38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418D37"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D3516A" w14:textId="77777777" w:rsidR="00F165B6" w:rsidRPr="00F165B6" w:rsidRDefault="00F165B6" w:rsidP="00F165B6">
            <w:pPr>
              <w:rPr>
                <w:rFonts w:ascii="Arial" w:hAnsi="Arial" w:cs="Arial"/>
                <w:sz w:val="16"/>
                <w:szCs w:val="16"/>
              </w:rPr>
            </w:pPr>
            <w:r w:rsidRPr="00F165B6">
              <w:rPr>
                <w:rFonts w:ascii="Arial" w:hAnsi="Arial" w:cs="Arial"/>
                <w:sz w:val="16"/>
                <w:szCs w:val="16"/>
              </w:rPr>
              <w:t>4.12</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E758EE"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4B5B08"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F02110"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F165B6" w:rsidRPr="00F165B6" w14:paraId="1C24C2DA"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DEB728" w14:textId="77777777" w:rsidR="00F165B6" w:rsidRPr="00F165B6" w:rsidRDefault="00F165B6" w:rsidP="00F165B6">
            <w:pPr>
              <w:rPr>
                <w:rFonts w:ascii="Arial" w:hAnsi="Arial" w:cs="Arial"/>
                <w:sz w:val="16"/>
                <w:szCs w:val="16"/>
              </w:rPr>
            </w:pPr>
            <w:r w:rsidRPr="00F165B6">
              <w:rPr>
                <w:rFonts w:ascii="Arial" w:hAnsi="Arial" w:cs="Arial"/>
                <w:sz w:val="16"/>
                <w:szCs w:val="16"/>
              </w:rPr>
              <w:t>Technical competence</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251CAB"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C9D39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C73CD2" w14:textId="77777777" w:rsidR="00F165B6" w:rsidRPr="00F165B6" w:rsidRDefault="00F165B6" w:rsidP="00F165B6">
            <w:pPr>
              <w:rPr>
                <w:rFonts w:ascii="Arial" w:hAnsi="Arial" w:cs="Arial"/>
                <w:sz w:val="16"/>
                <w:szCs w:val="16"/>
              </w:rPr>
            </w:pPr>
            <w:r w:rsidRPr="00F165B6">
              <w:rPr>
                <w:rFonts w:ascii="Arial" w:hAnsi="Arial" w:cs="Arial"/>
                <w:sz w:val="16"/>
                <w:szCs w:val="16"/>
              </w:rPr>
              <w:t>3.4</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750C85"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6E280E"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035D7B"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25FA99" w14:textId="77777777" w:rsidR="00F165B6" w:rsidRPr="00F165B6" w:rsidRDefault="00F165B6" w:rsidP="00F165B6">
            <w:pPr>
              <w:rPr>
                <w:rFonts w:ascii="Arial" w:hAnsi="Arial" w:cs="Arial"/>
                <w:sz w:val="16"/>
                <w:szCs w:val="16"/>
              </w:rPr>
            </w:pPr>
            <w:r w:rsidRPr="00F165B6">
              <w:rPr>
                <w:rFonts w:ascii="Arial" w:hAnsi="Arial" w:cs="Arial"/>
                <w:sz w:val="16"/>
                <w:szCs w:val="16"/>
              </w:rPr>
              <w:t>3.44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0B7AE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77AA8A"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2D6652C"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F41856"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565C6E"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F165B6" w:rsidRPr="00F165B6" w14:paraId="3690C173"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53E55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management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91DA4D"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708F72"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3BC93B"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A3947B"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84076E"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1DCB25"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072F85"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B6DC6F"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333D02" w14:textId="77777777" w:rsidR="00F165B6" w:rsidRPr="00F165B6" w:rsidRDefault="00F165B6" w:rsidP="00F165B6">
            <w:pPr>
              <w:rPr>
                <w:rFonts w:ascii="Arial" w:hAnsi="Arial" w:cs="Arial"/>
                <w:sz w:val="16"/>
                <w:szCs w:val="16"/>
              </w:rPr>
            </w:pPr>
            <w:r w:rsidRPr="00F165B6">
              <w:rPr>
                <w:rFonts w:ascii="Arial" w:hAnsi="Arial" w:cs="Arial"/>
                <w:sz w:val="16"/>
                <w:szCs w:val="16"/>
              </w:rPr>
              <w:t>4.24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B82F6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0016D5" w14:textId="77777777" w:rsidR="00F165B6" w:rsidRPr="00F165B6" w:rsidRDefault="00F165B6" w:rsidP="00F165B6">
            <w:pPr>
              <w:rPr>
                <w:rFonts w:ascii="Arial" w:hAnsi="Arial" w:cs="Arial"/>
                <w:sz w:val="16"/>
                <w:szCs w:val="16"/>
              </w:rPr>
            </w:pPr>
            <w:r w:rsidRPr="00F165B6">
              <w:rPr>
                <w:rFonts w:ascii="Arial" w:hAnsi="Arial" w:cs="Arial"/>
                <w:sz w:val="16"/>
                <w:szCs w:val="16"/>
              </w:rPr>
              <w:t>3.36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789FA2"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r>
      <w:tr w:rsidR="00F165B6" w:rsidRPr="00F165B6" w14:paraId="6C68F54F"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5A2A13" w14:textId="77777777" w:rsidR="00F165B6" w:rsidRPr="00F165B6" w:rsidRDefault="00F165B6" w:rsidP="00F165B6">
            <w:pPr>
              <w:rPr>
                <w:rFonts w:ascii="Arial" w:hAnsi="Arial" w:cs="Arial"/>
                <w:sz w:val="16"/>
                <w:szCs w:val="16"/>
              </w:rPr>
            </w:pPr>
            <w:r w:rsidRPr="00F165B6">
              <w:rPr>
                <w:rFonts w:ascii="Arial" w:hAnsi="Arial" w:cs="Arial"/>
                <w:sz w:val="16"/>
                <w:szCs w:val="16"/>
              </w:rPr>
              <w:t>Risk &amp; opportunity</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0CF7D1"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8BC965"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B9F193" w14:textId="77777777" w:rsidR="00F165B6" w:rsidRPr="00F165B6" w:rsidRDefault="00F165B6" w:rsidP="00F165B6">
            <w:pPr>
              <w:rPr>
                <w:rFonts w:ascii="Arial" w:hAnsi="Arial" w:cs="Arial"/>
                <w:sz w:val="16"/>
                <w:szCs w:val="16"/>
              </w:rPr>
            </w:pPr>
            <w:r w:rsidRPr="00F165B6">
              <w:rPr>
                <w:rFonts w:ascii="Arial" w:hAnsi="Arial" w:cs="Arial"/>
                <w:sz w:val="16"/>
                <w:szCs w:val="16"/>
              </w:rPr>
              <w:t>2.8</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754BA0"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E30DF1"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9AC811"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FA1523" w14:textId="77777777" w:rsidR="00F165B6" w:rsidRPr="00F165B6" w:rsidRDefault="00F165B6" w:rsidP="00F165B6">
            <w:pPr>
              <w:rPr>
                <w:rFonts w:ascii="Arial" w:hAnsi="Arial" w:cs="Arial"/>
                <w:sz w:val="16"/>
                <w:szCs w:val="16"/>
              </w:rPr>
            </w:pPr>
            <w:r w:rsidRPr="00F165B6">
              <w:rPr>
                <w:rFonts w:ascii="Arial" w:hAnsi="Arial" w:cs="Arial"/>
                <w:sz w:val="16"/>
                <w:szCs w:val="16"/>
              </w:rPr>
              <w:t>3.22</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0994D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9FCDA2" w14:textId="77777777" w:rsidR="00F165B6" w:rsidRPr="00F165B6" w:rsidRDefault="00F165B6" w:rsidP="00F165B6">
            <w:pPr>
              <w:rPr>
                <w:rFonts w:ascii="Arial" w:hAnsi="Arial" w:cs="Arial"/>
                <w:sz w:val="16"/>
                <w:szCs w:val="16"/>
              </w:rPr>
            </w:pPr>
            <w:r w:rsidRPr="00F165B6">
              <w:rPr>
                <w:rFonts w:ascii="Arial" w:hAnsi="Arial" w:cs="Arial"/>
                <w:sz w:val="16"/>
                <w:szCs w:val="16"/>
              </w:rPr>
              <w:t>3.61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A064F1"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4D4805"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D0B2D3"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F165B6" w:rsidRPr="00F165B6" w14:paraId="792D15DC"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97BB6F" w14:textId="77777777" w:rsidR="00F165B6" w:rsidRPr="00F165B6" w:rsidRDefault="00F165B6" w:rsidP="00F165B6">
            <w:pPr>
              <w:rPr>
                <w:rFonts w:ascii="Arial" w:hAnsi="Arial" w:cs="Arial"/>
                <w:sz w:val="16"/>
                <w:szCs w:val="16"/>
              </w:rPr>
            </w:pPr>
            <w:r w:rsidRPr="00F165B6">
              <w:rPr>
                <w:rFonts w:ascii="Arial" w:hAnsi="Arial" w:cs="Arial"/>
                <w:sz w:val="16"/>
                <w:szCs w:val="16"/>
              </w:rPr>
              <w:t>Compliance, standards &amp; regulations</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FE3BD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494DA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3547F4" w14:textId="77777777" w:rsidR="00F165B6" w:rsidRPr="00F165B6" w:rsidRDefault="00F165B6" w:rsidP="00F165B6">
            <w:pPr>
              <w:rPr>
                <w:rFonts w:ascii="Arial" w:hAnsi="Arial" w:cs="Arial"/>
                <w:sz w:val="16"/>
                <w:szCs w:val="16"/>
              </w:rPr>
            </w:pPr>
            <w:r w:rsidRPr="00F165B6">
              <w:rPr>
                <w:rFonts w:ascii="Arial" w:hAnsi="Arial" w:cs="Arial"/>
                <w:sz w:val="16"/>
                <w:szCs w:val="16"/>
              </w:rPr>
              <w:t>3.67</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16234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E5400C9"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AED60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553DBB"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62E0673"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BA499C"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A6CBB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E2615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BCCDBA"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F165B6" w:rsidRPr="00F165B6" w14:paraId="66F7077F" w14:textId="77777777" w:rsidTr="004F5D57">
        <w:trPr>
          <w:trHeight w:val="480"/>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C8917" w14:textId="77777777" w:rsidR="00F165B6" w:rsidRPr="00F165B6" w:rsidRDefault="00F165B6" w:rsidP="00F165B6">
            <w:pPr>
              <w:rPr>
                <w:rFonts w:ascii="Arial" w:hAnsi="Arial" w:cs="Arial"/>
                <w:sz w:val="16"/>
                <w:szCs w:val="16"/>
              </w:rPr>
            </w:pPr>
            <w:r w:rsidRPr="00F165B6">
              <w:rPr>
                <w:rFonts w:ascii="Arial" w:hAnsi="Arial" w:cs="Arial"/>
                <w:sz w:val="16"/>
                <w:szCs w:val="16"/>
              </w:rPr>
              <w:t>Ethics, compliance, and professionalism</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140E0C"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6BC24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0897BA" w14:textId="77777777" w:rsidR="00F165B6" w:rsidRPr="00F165B6" w:rsidRDefault="00F165B6" w:rsidP="00F165B6">
            <w:pPr>
              <w:rPr>
                <w:rFonts w:ascii="Arial" w:hAnsi="Arial" w:cs="Arial"/>
                <w:sz w:val="16"/>
                <w:szCs w:val="16"/>
              </w:rPr>
            </w:pPr>
            <w:r w:rsidRPr="00F165B6">
              <w:rPr>
                <w:rFonts w:ascii="Arial" w:hAnsi="Arial" w:cs="Arial"/>
                <w:sz w:val="16"/>
                <w:szCs w:val="16"/>
              </w:rPr>
              <w:t>3.17</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B1790F"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7E210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C59E4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56AF96"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9AEF7F"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E2CB75"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A405B1"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7B4E5C"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7A114F"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r w:rsidR="00F165B6" w:rsidRPr="00F165B6" w14:paraId="0C7D0EA9" w14:textId="77777777" w:rsidTr="004F5D57">
        <w:trPr>
          <w:trHeight w:val="690"/>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8075" w14:textId="77777777" w:rsidR="00F165B6" w:rsidRPr="00F165B6" w:rsidRDefault="00F165B6" w:rsidP="00F165B6">
            <w:pPr>
              <w:rPr>
                <w:rFonts w:ascii="Arial" w:hAnsi="Arial" w:cs="Arial"/>
                <w:sz w:val="16"/>
                <w:szCs w:val="16"/>
              </w:rPr>
            </w:pPr>
            <w:r w:rsidRPr="00F165B6">
              <w:rPr>
                <w:rFonts w:ascii="Arial" w:hAnsi="Arial" w:cs="Arial"/>
                <w:sz w:val="16"/>
                <w:szCs w:val="16"/>
              </w:rPr>
              <w:t>Political competence( self-confidence, social astuteness &amp; ability to influence others</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37E2DF"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073ABC"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65213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B798BC"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6B6433"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EFD4C5"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C22DAF" w14:textId="77777777" w:rsidR="00F165B6" w:rsidRPr="00F165B6" w:rsidRDefault="00F165B6" w:rsidP="00F165B6">
            <w:pPr>
              <w:rPr>
                <w:rFonts w:ascii="Arial" w:hAnsi="Arial" w:cs="Arial"/>
                <w:sz w:val="16"/>
                <w:szCs w:val="16"/>
              </w:rPr>
            </w:pPr>
            <w:r w:rsidRPr="00F165B6">
              <w:rPr>
                <w:rFonts w:ascii="Arial" w:hAnsi="Arial" w:cs="Arial"/>
                <w:sz w:val="16"/>
                <w:szCs w:val="16"/>
              </w:rPr>
              <w:t>2.7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5F5B2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39CDEE" w14:textId="77777777" w:rsidR="00F165B6" w:rsidRPr="00F165B6" w:rsidRDefault="00F165B6" w:rsidP="00F165B6">
            <w:pPr>
              <w:rPr>
                <w:rFonts w:ascii="Arial" w:hAnsi="Arial" w:cs="Arial"/>
                <w:sz w:val="16"/>
                <w:szCs w:val="16"/>
              </w:rPr>
            </w:pPr>
            <w:r w:rsidRPr="00F165B6">
              <w:rPr>
                <w:rFonts w:ascii="Arial" w:hAnsi="Arial" w:cs="Arial"/>
                <w:sz w:val="16"/>
                <w:szCs w:val="16"/>
              </w:rPr>
              <w:t>3.72</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9DCB3F"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8B1B09"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98F85E"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r>
      <w:tr w:rsidR="00F165B6" w:rsidRPr="00F165B6" w14:paraId="30EA3828"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A81B13" w14:textId="77777777" w:rsidR="00F165B6" w:rsidRPr="00F165B6" w:rsidRDefault="00F165B6" w:rsidP="00F165B6">
            <w:pPr>
              <w:rPr>
                <w:rFonts w:ascii="Arial" w:hAnsi="Arial" w:cs="Arial"/>
                <w:sz w:val="16"/>
                <w:szCs w:val="16"/>
              </w:rPr>
            </w:pPr>
            <w:r w:rsidRPr="00F165B6">
              <w:rPr>
                <w:rFonts w:ascii="Arial" w:hAnsi="Arial" w:cs="Arial"/>
                <w:sz w:val="16"/>
                <w:szCs w:val="16"/>
              </w:rPr>
              <w:t>Business case</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236BC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EAED96"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A97F1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7D68E7"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2E2DB4"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9C0652"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AB268C"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F28986"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92AA27" w14:textId="77777777" w:rsidR="00F165B6" w:rsidRPr="00F165B6" w:rsidRDefault="00F165B6" w:rsidP="00F165B6">
            <w:pPr>
              <w:rPr>
                <w:rFonts w:ascii="Arial" w:hAnsi="Arial" w:cs="Arial"/>
                <w:sz w:val="16"/>
                <w:szCs w:val="16"/>
              </w:rPr>
            </w:pPr>
            <w:r w:rsidRPr="00F165B6">
              <w:rPr>
                <w:rFonts w:ascii="Arial" w:hAnsi="Arial" w:cs="Arial"/>
                <w:sz w:val="16"/>
                <w:szCs w:val="16"/>
              </w:rPr>
              <w:t>3.56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967727"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65FCF7"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A67BD9"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01A58F3D" w14:textId="77777777" w:rsidTr="004F5D57">
        <w:trPr>
          <w:trHeight w:val="465"/>
        </w:trPr>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927FB" w14:textId="77777777" w:rsidR="00F165B6" w:rsidRPr="00F165B6" w:rsidRDefault="00F165B6" w:rsidP="00F165B6">
            <w:pPr>
              <w:rPr>
                <w:rFonts w:ascii="Arial" w:hAnsi="Arial" w:cs="Arial"/>
                <w:sz w:val="16"/>
                <w:szCs w:val="16"/>
              </w:rPr>
            </w:pPr>
            <w:r w:rsidRPr="00F165B6">
              <w:rPr>
                <w:rFonts w:ascii="Arial" w:hAnsi="Arial" w:cs="Arial"/>
                <w:sz w:val="16"/>
                <w:szCs w:val="16"/>
              </w:rPr>
              <w:t>Governance, structure, and processes</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FF8CAB"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C456B6"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B3F4EC0"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BCCBE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E83B6E"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3CE03A"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72CEE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77AEAF"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754FB5" w14:textId="77777777" w:rsidR="00F165B6" w:rsidRPr="00F165B6" w:rsidRDefault="00F165B6" w:rsidP="00F165B6">
            <w:pPr>
              <w:rPr>
                <w:rFonts w:ascii="Arial" w:hAnsi="Arial" w:cs="Arial"/>
                <w:sz w:val="16"/>
                <w:szCs w:val="16"/>
              </w:rPr>
            </w:pPr>
            <w:r w:rsidRPr="00F165B6">
              <w:rPr>
                <w:rFonts w:ascii="Arial" w:hAnsi="Arial" w:cs="Arial"/>
                <w:sz w:val="16"/>
                <w:szCs w:val="16"/>
              </w:rPr>
              <w:t>3.47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7FAE51"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4F31EB"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3ACBB5"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F165B6" w:rsidRPr="00F165B6" w14:paraId="336F4353"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74B848" w14:textId="77777777" w:rsidR="00F165B6" w:rsidRPr="00F165B6" w:rsidRDefault="00F165B6" w:rsidP="00F165B6">
            <w:pPr>
              <w:rPr>
                <w:rFonts w:ascii="Arial" w:hAnsi="Arial" w:cs="Arial"/>
                <w:sz w:val="16"/>
                <w:szCs w:val="16"/>
              </w:rPr>
            </w:pPr>
            <w:r w:rsidRPr="00F165B6">
              <w:rPr>
                <w:rFonts w:ascii="Arial" w:hAnsi="Arial" w:cs="Arial"/>
                <w:sz w:val="16"/>
                <w:szCs w:val="16"/>
              </w:rPr>
              <w:t>Capability development</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CE7791"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CDE579"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E906BC" w14:textId="77777777" w:rsidR="00F165B6" w:rsidRPr="00F165B6" w:rsidRDefault="00F165B6" w:rsidP="00F165B6">
            <w:pPr>
              <w:rPr>
                <w:rFonts w:ascii="Arial" w:hAnsi="Arial" w:cs="Arial"/>
                <w:sz w:val="16"/>
                <w:szCs w:val="16"/>
              </w:rPr>
            </w:pPr>
            <w:r w:rsidRPr="00F165B6">
              <w:rPr>
                <w:rFonts w:ascii="Arial" w:hAnsi="Arial" w:cs="Arial"/>
                <w:sz w:val="16"/>
                <w:szCs w:val="16"/>
              </w:rPr>
              <w:t>2.83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B4217C"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754B98"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E1CCE0"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7D923A"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5FA7A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AF1FFC" w14:textId="77777777" w:rsidR="00F165B6" w:rsidRPr="00F165B6" w:rsidRDefault="00F165B6" w:rsidP="00F165B6">
            <w:pPr>
              <w:rPr>
                <w:rFonts w:ascii="Arial" w:hAnsi="Arial" w:cs="Arial"/>
                <w:sz w:val="16"/>
                <w:szCs w:val="16"/>
              </w:rPr>
            </w:pPr>
            <w:r w:rsidRPr="00F165B6">
              <w:rPr>
                <w:rFonts w:ascii="Arial" w:hAnsi="Arial" w:cs="Arial"/>
                <w:sz w:val="16"/>
                <w:szCs w:val="16"/>
              </w:rPr>
              <w:t>3.76</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6AE57B"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F27ED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F8F22B"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F165B6" w:rsidRPr="00F165B6" w14:paraId="3CAAD347"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76899D"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Politics &amp; use of power</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8A2A4C"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856C6B"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9D114D" w14:textId="77777777" w:rsidR="00F165B6" w:rsidRPr="00F165B6" w:rsidRDefault="00F165B6" w:rsidP="00F165B6">
            <w:pPr>
              <w:rPr>
                <w:rFonts w:ascii="Arial" w:hAnsi="Arial" w:cs="Arial"/>
                <w:sz w:val="16"/>
                <w:szCs w:val="16"/>
              </w:rPr>
            </w:pPr>
            <w:r w:rsidRPr="00F165B6">
              <w:rPr>
                <w:rFonts w:ascii="Arial" w:hAnsi="Arial" w:cs="Arial"/>
                <w:sz w:val="16"/>
                <w:szCs w:val="16"/>
              </w:rPr>
              <w:t>2.57</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AD74F0"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6BFD58"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E2F0DC"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3F043D" w14:textId="77777777" w:rsidR="00F165B6" w:rsidRPr="00F165B6" w:rsidRDefault="00F165B6" w:rsidP="00F165B6">
            <w:pPr>
              <w:rPr>
                <w:rFonts w:ascii="Arial" w:hAnsi="Arial" w:cs="Arial"/>
                <w:sz w:val="16"/>
                <w:szCs w:val="16"/>
              </w:rPr>
            </w:pPr>
            <w:r w:rsidRPr="00F165B6">
              <w:rPr>
                <w:rFonts w:ascii="Arial" w:hAnsi="Arial" w:cs="Arial"/>
                <w:sz w:val="16"/>
                <w:szCs w:val="16"/>
              </w:rPr>
              <w:t>2.7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792433E"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12A8C5E" w14:textId="77777777" w:rsidR="00F165B6" w:rsidRPr="00F165B6" w:rsidRDefault="00F165B6" w:rsidP="00F165B6">
            <w:pPr>
              <w:rPr>
                <w:rFonts w:ascii="Arial" w:hAnsi="Arial" w:cs="Arial"/>
                <w:sz w:val="16"/>
                <w:szCs w:val="16"/>
              </w:rPr>
            </w:pPr>
            <w:r w:rsidRPr="00F165B6">
              <w:rPr>
                <w:rFonts w:ascii="Arial" w:hAnsi="Arial" w:cs="Arial"/>
                <w:sz w:val="16"/>
                <w:szCs w:val="16"/>
              </w:rPr>
              <w:t>3.53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57F31B"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15F726" w14:textId="77777777" w:rsidR="00F165B6" w:rsidRPr="00F165B6" w:rsidRDefault="00F165B6" w:rsidP="00F165B6">
            <w:pPr>
              <w:rPr>
                <w:rFonts w:ascii="Arial" w:hAnsi="Arial" w:cs="Arial"/>
                <w:sz w:val="16"/>
                <w:szCs w:val="16"/>
              </w:rPr>
            </w:pPr>
            <w:r w:rsidRPr="00F165B6">
              <w:rPr>
                <w:rFonts w:ascii="Arial" w:hAnsi="Arial" w:cs="Arial"/>
                <w:sz w:val="16"/>
                <w:szCs w:val="16"/>
              </w:rPr>
              <w:t>3.78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B74A51"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F165B6" w:rsidRPr="00F165B6" w14:paraId="47D4CBDA"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781A12"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Commercial management </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8CDEC3"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4A977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A261AD"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8A0213"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7E7B64"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507D73"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E9819D"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1E3FE6"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86288E" w14:textId="77777777" w:rsidR="00F165B6" w:rsidRPr="00F165B6" w:rsidRDefault="00F165B6" w:rsidP="00F165B6">
            <w:pPr>
              <w:rPr>
                <w:rFonts w:ascii="Arial" w:hAnsi="Arial" w:cs="Arial"/>
                <w:sz w:val="16"/>
                <w:szCs w:val="16"/>
              </w:rPr>
            </w:pPr>
            <w:r w:rsidRPr="00F165B6">
              <w:rPr>
                <w:rFonts w:ascii="Arial" w:hAnsi="Arial" w:cs="Arial"/>
                <w:sz w:val="16"/>
                <w:szCs w:val="16"/>
              </w:rPr>
              <w:t>3.78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CEACCC" w14:textId="77777777" w:rsidR="00F165B6" w:rsidRPr="00F165B6" w:rsidRDefault="00F165B6" w:rsidP="00F165B6">
            <w:pPr>
              <w:rPr>
                <w:rFonts w:ascii="Arial" w:hAnsi="Arial" w:cs="Arial"/>
                <w:sz w:val="16"/>
                <w:szCs w:val="16"/>
              </w:rPr>
            </w:pPr>
            <w:r w:rsidRPr="00F165B6">
              <w:rPr>
                <w:rFonts w:ascii="Arial" w:hAnsi="Arial" w:cs="Arial"/>
                <w:sz w:val="16"/>
                <w:szCs w:val="16"/>
              </w:rPr>
              <w:t> </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C7E674"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E0A989"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F165B6" w:rsidRPr="00F165B6" w14:paraId="6AAF377F"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9D575E" w14:textId="77777777" w:rsidR="00F165B6" w:rsidRPr="00F165B6" w:rsidRDefault="00F165B6" w:rsidP="00F165B6">
            <w:pPr>
              <w:rPr>
                <w:rFonts w:ascii="Arial" w:hAnsi="Arial" w:cs="Arial"/>
                <w:sz w:val="16"/>
                <w:szCs w:val="16"/>
              </w:rPr>
            </w:pPr>
            <w:r w:rsidRPr="00F165B6">
              <w:rPr>
                <w:rFonts w:ascii="Arial" w:hAnsi="Arial" w:cs="Arial"/>
                <w:sz w:val="16"/>
                <w:szCs w:val="16"/>
              </w:rPr>
              <w:t>Asset allocation</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2D7D94"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3754BB"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BA6C16" w14:textId="77777777" w:rsidR="00F165B6" w:rsidRPr="00F165B6" w:rsidRDefault="00F165B6" w:rsidP="00F165B6">
            <w:pPr>
              <w:rPr>
                <w:rFonts w:ascii="Arial" w:hAnsi="Arial" w:cs="Arial"/>
                <w:sz w:val="16"/>
                <w:szCs w:val="16"/>
              </w:rPr>
            </w:pPr>
            <w:r w:rsidRPr="00F165B6">
              <w:rPr>
                <w:rFonts w:ascii="Arial" w:hAnsi="Arial" w:cs="Arial"/>
                <w:sz w:val="16"/>
                <w:szCs w:val="16"/>
              </w:rPr>
              <w:t>3.17</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D18640"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17FB47"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0F84D9"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683932"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671BC4"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A0F78F" w14:textId="77777777" w:rsidR="00F165B6" w:rsidRPr="00F165B6" w:rsidRDefault="00F165B6" w:rsidP="00F165B6">
            <w:pPr>
              <w:rPr>
                <w:rFonts w:ascii="Arial" w:hAnsi="Arial" w:cs="Arial"/>
                <w:sz w:val="16"/>
                <w:szCs w:val="16"/>
              </w:rPr>
            </w:pPr>
            <w:r w:rsidRPr="00F165B6">
              <w:rPr>
                <w:rFonts w:ascii="Arial" w:hAnsi="Arial" w:cs="Arial"/>
                <w:sz w:val="16"/>
                <w:szCs w:val="16"/>
              </w:rPr>
              <w:t>3.47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45FC1E"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E5FC90"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170F36"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F165B6" w:rsidRPr="00F165B6" w14:paraId="1FE4465E" w14:textId="77777777" w:rsidTr="004F5D57">
        <w:trPr>
          <w:trHeight w:val="300"/>
        </w:trPr>
        <w:tc>
          <w:tcPr>
            <w:tcW w:w="24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F0FBC5" w14:textId="77777777" w:rsidR="00F165B6" w:rsidRPr="00F165B6" w:rsidRDefault="00F165B6" w:rsidP="00F165B6">
            <w:pPr>
              <w:rPr>
                <w:rFonts w:ascii="Arial" w:hAnsi="Arial" w:cs="Arial"/>
                <w:sz w:val="16"/>
                <w:szCs w:val="16"/>
              </w:rPr>
            </w:pPr>
            <w:r w:rsidRPr="00F165B6">
              <w:rPr>
                <w:rFonts w:ascii="Arial" w:hAnsi="Arial" w:cs="Arial"/>
                <w:sz w:val="16"/>
                <w:szCs w:val="16"/>
              </w:rPr>
              <w:t>Independence assurance</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F79F56"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A8A039"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5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179FD3" w14:textId="77777777" w:rsidR="00F165B6" w:rsidRPr="00F165B6" w:rsidRDefault="00F165B6" w:rsidP="00F165B6">
            <w:pPr>
              <w:rPr>
                <w:rFonts w:ascii="Arial" w:hAnsi="Arial" w:cs="Arial"/>
                <w:sz w:val="16"/>
                <w:szCs w:val="16"/>
              </w:rPr>
            </w:pPr>
            <w:r w:rsidRPr="00F165B6">
              <w:rPr>
                <w:rFonts w:ascii="Arial" w:hAnsi="Arial" w:cs="Arial"/>
                <w:sz w:val="16"/>
                <w:szCs w:val="16"/>
              </w:rPr>
              <w:t>2.83</w:t>
            </w:r>
          </w:p>
        </w:tc>
        <w:tc>
          <w:tcPr>
            <w:tcW w:w="5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C5B1188"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CBC6AE0"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5CBD09"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CCDBD0"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19705C"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F8634C" w14:textId="77777777" w:rsidR="00F165B6" w:rsidRPr="00F165B6" w:rsidRDefault="00F165B6" w:rsidP="00F165B6">
            <w:pPr>
              <w:rPr>
                <w:rFonts w:ascii="Arial" w:hAnsi="Arial" w:cs="Arial"/>
                <w:sz w:val="16"/>
                <w:szCs w:val="16"/>
              </w:rPr>
            </w:pPr>
            <w:r w:rsidRPr="00F165B6">
              <w:rPr>
                <w:rFonts w:ascii="Arial" w:hAnsi="Arial" w:cs="Arial"/>
                <w:sz w:val="16"/>
                <w:szCs w:val="16"/>
              </w:rPr>
              <w:t>3.47</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062756"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5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1FE816"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173F4E"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bl>
    <w:p w14:paraId="136C4304" w14:textId="77777777" w:rsidR="00F165B6" w:rsidRPr="00F165B6" w:rsidRDefault="00F165B6" w:rsidP="00F165B6">
      <w:pPr>
        <w:rPr>
          <w:rFonts w:ascii="Arial" w:hAnsi="Arial" w:cs="Arial"/>
        </w:rPr>
      </w:pPr>
      <w:r w:rsidRPr="00F165B6">
        <w:rPr>
          <w:rFonts w:ascii="Arial" w:hAnsi="Arial" w:cs="Arial"/>
        </w:rPr>
        <w:t>Not needed(1)</w:t>
      </w:r>
      <w:r w:rsidRPr="00F165B6">
        <w:rPr>
          <w:rFonts w:ascii="Arial" w:hAnsi="Arial" w:cs="Arial"/>
        </w:rPr>
        <w:tab/>
        <w:t>, Less needed(2), Needed(3),Very needed(4)Highly needed(5)</w:t>
      </w:r>
    </w:p>
    <w:p w14:paraId="3B53B324" w14:textId="77777777" w:rsidR="00F165B6" w:rsidRPr="00F165B6" w:rsidRDefault="00F165B6" w:rsidP="00F165B6">
      <w:pPr>
        <w:rPr>
          <w:rFonts w:ascii="Arial" w:hAnsi="Arial" w:cs="Arial"/>
        </w:rPr>
      </w:pPr>
    </w:p>
    <w:p w14:paraId="150C38E2" w14:textId="77777777" w:rsidR="00F165B6" w:rsidRPr="00F165B6" w:rsidRDefault="00F165B6" w:rsidP="00F165B6">
      <w:pPr>
        <w:rPr>
          <w:rFonts w:ascii="Arial" w:hAnsi="Arial" w:cs="Arial"/>
          <w:i/>
          <w:iCs/>
          <w:sz w:val="16"/>
          <w:szCs w:val="16"/>
        </w:rPr>
      </w:pPr>
      <w:r w:rsidRPr="00F165B6">
        <w:rPr>
          <w:rFonts w:ascii="Arial" w:hAnsi="Arial" w:cs="Arial"/>
          <w:i/>
          <w:iCs/>
          <w:sz w:val="16"/>
          <w:szCs w:val="16"/>
        </w:rPr>
        <w:t>Table 11.  Mean scores for degree of need for training and education for management competences for securing finance for real estate project development for the future at the disaggregate level</w:t>
      </w:r>
    </w:p>
    <w:tbl>
      <w:tblPr>
        <w:tblW w:w="9016" w:type="dxa"/>
        <w:tblCellMar>
          <w:left w:w="10" w:type="dxa"/>
          <w:right w:w="10" w:type="dxa"/>
        </w:tblCellMar>
        <w:tblLook w:val="0000" w:firstRow="0" w:lastRow="0" w:firstColumn="0" w:lastColumn="0" w:noHBand="0" w:noVBand="0"/>
      </w:tblPr>
      <w:tblGrid>
        <w:gridCol w:w="1557"/>
        <w:gridCol w:w="889"/>
        <w:gridCol w:w="596"/>
        <w:gridCol w:w="591"/>
        <w:gridCol w:w="596"/>
        <w:gridCol w:w="519"/>
        <w:gridCol w:w="579"/>
        <w:gridCol w:w="622"/>
        <w:gridCol w:w="579"/>
        <w:gridCol w:w="708"/>
        <w:gridCol w:w="579"/>
        <w:gridCol w:w="622"/>
        <w:gridCol w:w="579"/>
      </w:tblGrid>
      <w:tr w:rsidR="00431941" w:rsidRPr="00431941" w14:paraId="2FE26A94" w14:textId="77777777" w:rsidTr="004F5D57">
        <w:trPr>
          <w:trHeight w:val="465"/>
        </w:trPr>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EF08D"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 xml:space="preserve">Management competences </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EF869"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Germany N=5</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CADE9"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88E58"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UK N=20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9C9D7" w14:textId="77777777" w:rsidR="00F165B6" w:rsidRPr="00F165B6" w:rsidRDefault="00F165B6" w:rsidP="00F165B6">
            <w:pPr>
              <w:rPr>
                <w:rFonts w:ascii="Arial" w:hAnsi="Arial" w:cs="Arial"/>
                <w:b/>
                <w:bCs/>
                <w:sz w:val="16"/>
                <w:szCs w:val="16"/>
              </w:rPr>
            </w:pPr>
            <w:r w:rsidRPr="00F165B6">
              <w:rPr>
                <w:rFonts w:ascii="Arial" w:hAnsi="Arial" w:cs="Arial"/>
                <w:b/>
                <w:bCs/>
                <w:sz w:val="16"/>
                <w:szCs w:val="16"/>
              </w:rPr>
              <w:t>Rank</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13152" w14:textId="77777777" w:rsidR="00F165B6" w:rsidRPr="00F165B6" w:rsidRDefault="00F165B6" w:rsidP="00F165B6">
            <w:pPr>
              <w:rPr>
                <w:rFonts w:ascii="Arial" w:hAnsi="Arial" w:cs="Arial"/>
                <w:sz w:val="16"/>
                <w:szCs w:val="16"/>
              </w:rPr>
            </w:pPr>
            <w:r w:rsidRPr="00F165B6">
              <w:rPr>
                <w:rFonts w:ascii="Arial" w:hAnsi="Arial" w:cs="Arial"/>
                <w:sz w:val="16"/>
                <w:szCs w:val="16"/>
              </w:rPr>
              <w:t>US N= 8</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DE60F"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FD465" w14:textId="77777777" w:rsidR="00F165B6" w:rsidRPr="00F165B6" w:rsidRDefault="00F165B6" w:rsidP="00F165B6">
            <w:pPr>
              <w:rPr>
                <w:rFonts w:ascii="Arial" w:hAnsi="Arial" w:cs="Arial"/>
                <w:sz w:val="16"/>
                <w:szCs w:val="16"/>
              </w:rPr>
            </w:pPr>
            <w:r w:rsidRPr="00F165B6">
              <w:rPr>
                <w:rFonts w:ascii="Arial" w:hAnsi="Arial" w:cs="Arial"/>
                <w:sz w:val="16"/>
                <w:szCs w:val="16"/>
              </w:rPr>
              <w:t>China N= 11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05C7"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E6A08" w14:textId="77777777" w:rsidR="00F165B6" w:rsidRPr="00F165B6" w:rsidRDefault="00F165B6" w:rsidP="00F165B6">
            <w:pPr>
              <w:rPr>
                <w:rFonts w:ascii="Arial" w:hAnsi="Arial" w:cs="Arial"/>
                <w:sz w:val="16"/>
                <w:szCs w:val="16"/>
              </w:rPr>
            </w:pPr>
            <w:r w:rsidRPr="00F165B6">
              <w:rPr>
                <w:rFonts w:ascii="Arial" w:hAnsi="Arial" w:cs="Arial"/>
                <w:sz w:val="16"/>
                <w:szCs w:val="16"/>
              </w:rPr>
              <w:t>Nigeria  N= 26</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265400"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6C73" w14:textId="77777777" w:rsidR="00F165B6" w:rsidRPr="00F165B6" w:rsidRDefault="00F165B6" w:rsidP="00F165B6">
            <w:pPr>
              <w:rPr>
                <w:rFonts w:ascii="Arial" w:hAnsi="Arial" w:cs="Arial"/>
                <w:sz w:val="16"/>
                <w:szCs w:val="16"/>
              </w:rPr>
            </w:pPr>
            <w:r w:rsidRPr="00F165B6">
              <w:rPr>
                <w:rFonts w:ascii="Arial" w:hAnsi="Arial" w:cs="Arial"/>
                <w:sz w:val="16"/>
                <w:szCs w:val="16"/>
              </w:rPr>
              <w:t>South Africa N= 11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A6506" w14:textId="77777777" w:rsidR="00F165B6" w:rsidRPr="00F165B6" w:rsidRDefault="00F165B6" w:rsidP="00F165B6">
            <w:pPr>
              <w:rPr>
                <w:rFonts w:ascii="Arial" w:hAnsi="Arial" w:cs="Arial"/>
                <w:sz w:val="16"/>
                <w:szCs w:val="16"/>
              </w:rPr>
            </w:pPr>
            <w:r w:rsidRPr="00F165B6">
              <w:rPr>
                <w:rFonts w:ascii="Arial" w:hAnsi="Arial" w:cs="Arial"/>
                <w:sz w:val="16"/>
                <w:szCs w:val="16"/>
              </w:rPr>
              <w:t>Rank</w:t>
            </w:r>
          </w:p>
        </w:tc>
      </w:tr>
      <w:tr w:rsidR="00431941" w:rsidRPr="00431941" w14:paraId="2DEFC9C8"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1F699D"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competence</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C23683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616742"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C33D32"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0F887F"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F4481B"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7EF0B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1E5DCE5" w14:textId="77777777" w:rsidR="00F165B6" w:rsidRPr="00F165B6" w:rsidRDefault="00F165B6" w:rsidP="00F165B6">
            <w:pPr>
              <w:rPr>
                <w:rFonts w:ascii="Arial" w:hAnsi="Arial" w:cs="Arial"/>
                <w:sz w:val="16"/>
                <w:szCs w:val="16"/>
              </w:rPr>
            </w:pPr>
            <w:r w:rsidRPr="00F165B6">
              <w:rPr>
                <w:rFonts w:ascii="Arial" w:hAnsi="Arial" w:cs="Arial"/>
                <w:sz w:val="16"/>
                <w:szCs w:val="16"/>
              </w:rPr>
              <w:t>3.11</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58286A"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134193" w14:textId="77777777" w:rsidR="00F165B6" w:rsidRPr="00F165B6" w:rsidRDefault="00F165B6" w:rsidP="00F165B6">
            <w:pPr>
              <w:rPr>
                <w:rFonts w:ascii="Arial" w:hAnsi="Arial" w:cs="Arial"/>
                <w:sz w:val="16"/>
                <w:szCs w:val="16"/>
              </w:rPr>
            </w:pPr>
            <w:r w:rsidRPr="00F165B6">
              <w:rPr>
                <w:rFonts w:ascii="Arial" w:hAnsi="Arial" w:cs="Arial"/>
                <w:sz w:val="16"/>
                <w:szCs w:val="16"/>
              </w:rPr>
              <w:t>4.38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C780CB"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A49DCC"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4681D5"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r>
      <w:tr w:rsidR="00431941" w:rsidRPr="00431941" w14:paraId="74B4ABE8"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1CCBBB" w14:textId="77777777" w:rsidR="00F165B6" w:rsidRPr="00F165B6" w:rsidRDefault="00F165B6" w:rsidP="00F165B6">
            <w:pPr>
              <w:rPr>
                <w:rFonts w:ascii="Arial" w:hAnsi="Arial" w:cs="Arial"/>
                <w:sz w:val="16"/>
                <w:szCs w:val="16"/>
              </w:rPr>
            </w:pPr>
            <w:r w:rsidRPr="00F165B6">
              <w:rPr>
                <w:rFonts w:ascii="Arial" w:hAnsi="Arial" w:cs="Arial"/>
                <w:sz w:val="16"/>
                <w:szCs w:val="16"/>
              </w:rPr>
              <w:t>Result oriented</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C0A91C"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2491C2"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F8793F"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504173" w14:textId="77777777" w:rsidR="00F165B6" w:rsidRPr="00F165B6" w:rsidRDefault="00F165B6" w:rsidP="00F165B6">
            <w:pPr>
              <w:rPr>
                <w:rFonts w:ascii="Arial" w:hAnsi="Arial" w:cs="Arial"/>
                <w:sz w:val="16"/>
                <w:szCs w:val="16"/>
              </w:rPr>
            </w:pPr>
            <w:r w:rsidRPr="00F165B6">
              <w:rPr>
                <w:rFonts w:ascii="Arial" w:hAnsi="Arial" w:cs="Arial"/>
                <w:sz w:val="16"/>
                <w:szCs w:val="16"/>
              </w:rPr>
              <w:t> </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DEBB145"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FC6B6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B0FEE5"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2F851C"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126EFE" w14:textId="77777777" w:rsidR="00F165B6" w:rsidRPr="00F165B6" w:rsidRDefault="00F165B6" w:rsidP="00F165B6">
            <w:pPr>
              <w:rPr>
                <w:rFonts w:ascii="Arial" w:hAnsi="Arial" w:cs="Arial"/>
                <w:sz w:val="16"/>
                <w:szCs w:val="16"/>
              </w:rPr>
            </w:pPr>
            <w:r w:rsidRPr="00F165B6">
              <w:rPr>
                <w:rFonts w:ascii="Arial" w:hAnsi="Arial" w:cs="Arial"/>
                <w:sz w:val="16"/>
                <w:szCs w:val="16"/>
              </w:rPr>
              <w:t>4.12</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38EECD"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2DF0DD" w14:textId="77777777" w:rsidR="00F165B6" w:rsidRPr="00F165B6" w:rsidRDefault="00F165B6" w:rsidP="00F165B6">
            <w:pPr>
              <w:rPr>
                <w:rFonts w:ascii="Arial" w:hAnsi="Arial" w:cs="Arial"/>
                <w:sz w:val="16"/>
                <w:szCs w:val="16"/>
              </w:rPr>
            </w:pPr>
            <w:r w:rsidRPr="00F165B6">
              <w:rPr>
                <w:rFonts w:ascii="Arial" w:hAnsi="Arial" w:cs="Arial"/>
                <w:sz w:val="16"/>
                <w:szCs w:val="16"/>
              </w:rPr>
              <w:t>3.71</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7DFF36"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r>
      <w:tr w:rsidR="00431941" w:rsidRPr="00431941" w14:paraId="49CBEDED"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33D5B2" w14:textId="77777777" w:rsidR="00F165B6" w:rsidRPr="00F165B6" w:rsidRDefault="00F165B6" w:rsidP="00F165B6">
            <w:pPr>
              <w:rPr>
                <w:rFonts w:ascii="Arial" w:hAnsi="Arial" w:cs="Arial"/>
                <w:sz w:val="16"/>
                <w:szCs w:val="16"/>
              </w:rPr>
            </w:pPr>
            <w:r w:rsidRPr="00F165B6">
              <w:rPr>
                <w:rFonts w:ascii="Arial" w:hAnsi="Arial" w:cs="Arial"/>
                <w:sz w:val="16"/>
                <w:szCs w:val="16"/>
              </w:rPr>
              <w:t>Managerial competences</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99F597"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6F793A"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8A519A"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A696F3E"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DD5F6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A125D8"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3590E2"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03F788"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23BF68B" w14:textId="77777777" w:rsidR="00F165B6" w:rsidRPr="00F165B6" w:rsidRDefault="00F165B6" w:rsidP="00F165B6">
            <w:pPr>
              <w:rPr>
                <w:rFonts w:ascii="Arial" w:hAnsi="Arial" w:cs="Arial"/>
                <w:sz w:val="16"/>
                <w:szCs w:val="16"/>
              </w:rPr>
            </w:pPr>
            <w:r w:rsidRPr="00F165B6">
              <w:rPr>
                <w:rFonts w:ascii="Arial" w:hAnsi="Arial" w:cs="Arial"/>
                <w:sz w:val="16"/>
                <w:szCs w:val="16"/>
              </w:rPr>
              <w:t>4.18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6E200C"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D00F0C"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DE4362"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r>
      <w:tr w:rsidR="00431941" w:rsidRPr="00431941" w14:paraId="0F71841B"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738972" w14:textId="77777777" w:rsidR="00F165B6" w:rsidRPr="00F165B6" w:rsidRDefault="00F165B6" w:rsidP="00F165B6">
            <w:pPr>
              <w:rPr>
                <w:rFonts w:ascii="Arial" w:hAnsi="Arial" w:cs="Arial"/>
                <w:sz w:val="16"/>
                <w:szCs w:val="16"/>
              </w:rPr>
            </w:pPr>
            <w:r w:rsidRPr="00F165B6">
              <w:rPr>
                <w:rFonts w:ascii="Arial" w:hAnsi="Arial" w:cs="Arial"/>
                <w:sz w:val="16"/>
                <w:szCs w:val="16"/>
              </w:rPr>
              <w:t>Resourcefulness</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6CA6E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4C4A4F"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CB705E"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A2C4C8"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63DF3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77CB93"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C9AAE2"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AD69D5"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C1E007"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BC499A"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6089B7"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8FF331"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r>
      <w:tr w:rsidR="00431941" w:rsidRPr="00431941" w14:paraId="0112D05E"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E5C977" w14:textId="77777777" w:rsidR="00F165B6" w:rsidRPr="00F165B6" w:rsidRDefault="00F165B6" w:rsidP="00F165B6">
            <w:pPr>
              <w:rPr>
                <w:rFonts w:ascii="Arial" w:hAnsi="Arial" w:cs="Arial"/>
                <w:sz w:val="16"/>
                <w:szCs w:val="16"/>
              </w:rPr>
            </w:pPr>
            <w:r w:rsidRPr="00F165B6">
              <w:rPr>
                <w:rFonts w:ascii="Arial" w:hAnsi="Arial" w:cs="Arial"/>
                <w:sz w:val="16"/>
                <w:szCs w:val="16"/>
              </w:rPr>
              <w:t>Planning &amp; control</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6EA2E9" w14:textId="77777777" w:rsidR="00F165B6" w:rsidRPr="00F165B6" w:rsidRDefault="00F165B6" w:rsidP="00F165B6">
            <w:pPr>
              <w:rPr>
                <w:rFonts w:ascii="Arial" w:hAnsi="Arial" w:cs="Arial"/>
                <w:sz w:val="16"/>
                <w:szCs w:val="16"/>
              </w:rPr>
            </w:pPr>
            <w:r w:rsidRPr="00F165B6">
              <w:rPr>
                <w:rFonts w:ascii="Arial" w:hAnsi="Arial" w:cs="Arial"/>
                <w:sz w:val="16"/>
                <w:szCs w:val="16"/>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16CA5D3"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22800C" w14:textId="77777777" w:rsidR="00F165B6" w:rsidRPr="00F165B6" w:rsidRDefault="00F165B6" w:rsidP="00F165B6">
            <w:pPr>
              <w:rPr>
                <w:rFonts w:ascii="Arial" w:hAnsi="Arial" w:cs="Arial"/>
                <w:sz w:val="16"/>
                <w:szCs w:val="16"/>
              </w:rPr>
            </w:pPr>
            <w:r w:rsidRPr="00F165B6">
              <w:rPr>
                <w:rFonts w:ascii="Arial" w:hAnsi="Arial" w:cs="Arial"/>
                <w:sz w:val="16"/>
                <w:szCs w:val="16"/>
              </w:rPr>
              <w:t>3.6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971184"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87E7E5"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D80819"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BB5AA2" w14:textId="77777777" w:rsidR="00F165B6" w:rsidRPr="00F165B6" w:rsidRDefault="00F165B6" w:rsidP="00F165B6">
            <w:pPr>
              <w:rPr>
                <w:rFonts w:ascii="Arial" w:hAnsi="Arial" w:cs="Arial"/>
                <w:sz w:val="16"/>
                <w:szCs w:val="16"/>
              </w:rPr>
            </w:pPr>
            <w:r w:rsidRPr="00F165B6">
              <w:rPr>
                <w:rFonts w:ascii="Arial" w:hAnsi="Arial" w:cs="Arial"/>
                <w:sz w:val="16"/>
                <w:szCs w:val="16"/>
              </w:rPr>
              <w:t>2.63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90D17E"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2C1A40B"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BF0898"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0B99DD0"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E8124D"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r>
      <w:tr w:rsidR="00431941" w:rsidRPr="00431941" w14:paraId="77A083DB"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D0690F"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Negotiation </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5B4628" w14:textId="77777777" w:rsidR="00F165B6" w:rsidRPr="00F165B6" w:rsidRDefault="00F165B6" w:rsidP="00F165B6">
            <w:pPr>
              <w:rPr>
                <w:rFonts w:ascii="Arial" w:hAnsi="Arial" w:cs="Arial"/>
                <w:sz w:val="16"/>
                <w:szCs w:val="16"/>
              </w:rPr>
            </w:pPr>
            <w:r w:rsidRPr="00F165B6">
              <w:rPr>
                <w:rFonts w:ascii="Arial" w:hAnsi="Arial" w:cs="Arial"/>
                <w:sz w:val="16"/>
                <w:szCs w:val="16"/>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9F4C70"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4451B6" w14:textId="77777777" w:rsidR="00F165B6" w:rsidRPr="00F165B6" w:rsidRDefault="00F165B6" w:rsidP="00F165B6">
            <w:pPr>
              <w:rPr>
                <w:rFonts w:ascii="Arial" w:hAnsi="Arial" w:cs="Arial"/>
                <w:sz w:val="16"/>
                <w:szCs w:val="16"/>
              </w:rPr>
            </w:pPr>
            <w:r w:rsidRPr="00F165B6">
              <w:rPr>
                <w:rFonts w:ascii="Arial" w:hAnsi="Arial" w:cs="Arial"/>
                <w:sz w:val="16"/>
                <w:szCs w:val="16"/>
              </w:rPr>
              <w:t>3.6</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FF719B" w14:textId="77777777" w:rsidR="00F165B6" w:rsidRPr="00F165B6" w:rsidRDefault="00F165B6" w:rsidP="00F165B6">
            <w:pPr>
              <w:rPr>
                <w:rFonts w:ascii="Arial" w:hAnsi="Arial" w:cs="Arial"/>
                <w:sz w:val="16"/>
                <w:szCs w:val="16"/>
              </w:rPr>
            </w:pPr>
            <w:r w:rsidRPr="00F165B6">
              <w:rPr>
                <w:rFonts w:ascii="Arial" w:hAnsi="Arial" w:cs="Arial"/>
                <w:sz w:val="16"/>
                <w:szCs w:val="16"/>
              </w:rPr>
              <w:t> </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B633E0"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F12038"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6DEA52"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6C32DCC"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C0B510" w14:textId="77777777" w:rsidR="00F165B6" w:rsidRPr="00F165B6" w:rsidRDefault="00F165B6" w:rsidP="00F165B6">
            <w:pPr>
              <w:rPr>
                <w:rFonts w:ascii="Arial" w:hAnsi="Arial" w:cs="Arial"/>
                <w:sz w:val="16"/>
                <w:szCs w:val="16"/>
              </w:rPr>
            </w:pPr>
            <w:r w:rsidRPr="00F165B6">
              <w:rPr>
                <w:rFonts w:ascii="Arial" w:hAnsi="Arial" w:cs="Arial"/>
                <w:sz w:val="16"/>
                <w:szCs w:val="16"/>
              </w:rPr>
              <w:t>4.19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EF0B5E"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93E5D9"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E5815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r>
      <w:tr w:rsidR="00431941" w:rsidRPr="00431941" w14:paraId="4046CB3C"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EF55CD" w14:textId="77777777" w:rsidR="00F165B6" w:rsidRPr="00F165B6" w:rsidRDefault="00F165B6" w:rsidP="00F165B6">
            <w:pPr>
              <w:rPr>
                <w:rFonts w:ascii="Arial" w:hAnsi="Arial" w:cs="Arial"/>
                <w:sz w:val="16"/>
                <w:szCs w:val="16"/>
              </w:rPr>
            </w:pPr>
            <w:r w:rsidRPr="00F165B6">
              <w:rPr>
                <w:rFonts w:ascii="Arial" w:hAnsi="Arial" w:cs="Arial"/>
                <w:sz w:val="16"/>
                <w:szCs w:val="16"/>
              </w:rPr>
              <w:t>Technical competence</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BB9361"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11DE63"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8D300A" w14:textId="77777777" w:rsidR="00F165B6" w:rsidRPr="00F165B6" w:rsidRDefault="00F165B6" w:rsidP="00F165B6">
            <w:pPr>
              <w:rPr>
                <w:rFonts w:ascii="Arial" w:hAnsi="Arial" w:cs="Arial"/>
                <w:sz w:val="16"/>
                <w:szCs w:val="16"/>
              </w:rPr>
            </w:pPr>
            <w:r w:rsidRPr="00F165B6">
              <w:rPr>
                <w:rFonts w:ascii="Arial" w:hAnsi="Arial" w:cs="Arial"/>
                <w:sz w:val="16"/>
                <w:szCs w:val="16"/>
              </w:rPr>
              <w:t>3.83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78D2B0"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3788B9"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84F26E" w14:textId="77777777" w:rsidR="00F165B6" w:rsidRPr="00F165B6" w:rsidRDefault="00F165B6" w:rsidP="00F165B6">
            <w:pPr>
              <w:rPr>
                <w:rFonts w:ascii="Arial" w:hAnsi="Arial" w:cs="Arial"/>
                <w:sz w:val="16"/>
                <w:szCs w:val="16"/>
              </w:rPr>
            </w:pPr>
            <w:r w:rsidRPr="00F165B6">
              <w:rPr>
                <w:rFonts w:ascii="Arial" w:hAnsi="Arial" w:cs="Arial"/>
                <w:sz w:val="16"/>
                <w:szCs w:val="16"/>
              </w:rPr>
              <w:t>6</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553BE7"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E7F3DE"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837B84"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26580F"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10D20E1"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B2FAA7"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r>
      <w:tr w:rsidR="00431941" w:rsidRPr="00431941" w14:paraId="517A0518"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EF97D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management </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A0BAD1"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2BC842"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AE47C5"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042875"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90ECD1"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D9DF5F"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5B2A5C" w14:textId="77777777" w:rsidR="00F165B6" w:rsidRPr="00F165B6" w:rsidRDefault="00F165B6" w:rsidP="00F165B6">
            <w:pPr>
              <w:rPr>
                <w:rFonts w:ascii="Arial" w:hAnsi="Arial" w:cs="Arial"/>
                <w:sz w:val="16"/>
                <w:szCs w:val="16"/>
              </w:rPr>
            </w:pPr>
            <w:r w:rsidRPr="00F165B6">
              <w:rPr>
                <w:rFonts w:ascii="Arial" w:hAnsi="Arial" w:cs="Arial"/>
                <w:sz w:val="16"/>
                <w:szCs w:val="16"/>
              </w:rPr>
              <w:t>2.89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74E602"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4A8CBB9"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A9C2863"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C62FF0"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29D917"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r>
      <w:tr w:rsidR="00431941" w:rsidRPr="00431941" w14:paraId="0D51C88A"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1225D55" w14:textId="77777777" w:rsidR="00F165B6" w:rsidRPr="00F165B6" w:rsidRDefault="00F165B6" w:rsidP="00F165B6">
            <w:pPr>
              <w:rPr>
                <w:rFonts w:ascii="Arial" w:hAnsi="Arial" w:cs="Arial"/>
                <w:sz w:val="16"/>
                <w:szCs w:val="16"/>
              </w:rPr>
            </w:pPr>
            <w:r w:rsidRPr="00F165B6">
              <w:rPr>
                <w:rFonts w:ascii="Arial" w:hAnsi="Arial" w:cs="Arial"/>
                <w:sz w:val="16"/>
                <w:szCs w:val="16"/>
              </w:rPr>
              <w:t>Risk &amp; opportunity</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636A22"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EB758A"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2090B26"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FD6661"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4D6C36" w14:textId="77777777" w:rsidR="00F165B6" w:rsidRPr="00F165B6" w:rsidRDefault="00F165B6" w:rsidP="00F165B6">
            <w:pPr>
              <w:rPr>
                <w:rFonts w:ascii="Arial" w:hAnsi="Arial" w:cs="Arial"/>
                <w:sz w:val="16"/>
                <w:szCs w:val="16"/>
              </w:rPr>
            </w:pPr>
            <w:r w:rsidRPr="00F165B6">
              <w:rPr>
                <w:rFonts w:ascii="Arial" w:hAnsi="Arial" w:cs="Arial"/>
                <w:sz w:val="16"/>
                <w:szCs w:val="16"/>
              </w:rPr>
              <w:t>3.33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3D1D58"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9BAEFC"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94B03F"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3A2B4B"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9B9DE3"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04C570"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172777"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r>
      <w:tr w:rsidR="00431941" w:rsidRPr="00431941" w14:paraId="33CE2813"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87147A" w14:textId="77777777" w:rsidR="00F165B6" w:rsidRPr="00F165B6" w:rsidRDefault="00F165B6" w:rsidP="00F165B6">
            <w:pPr>
              <w:rPr>
                <w:rFonts w:ascii="Arial" w:hAnsi="Arial" w:cs="Arial"/>
                <w:sz w:val="16"/>
                <w:szCs w:val="16"/>
              </w:rPr>
            </w:pPr>
            <w:r w:rsidRPr="00F165B6">
              <w:rPr>
                <w:rFonts w:ascii="Arial" w:hAnsi="Arial" w:cs="Arial"/>
                <w:sz w:val="16"/>
                <w:szCs w:val="16"/>
              </w:rPr>
              <w:t>Compliance, standards &amp; regulations</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29449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393E82"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1FB932"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10A74D"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EF23A3"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372F5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209BBD"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0367CA"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B1B12F" w14:textId="77777777" w:rsidR="00F165B6" w:rsidRPr="00F165B6" w:rsidRDefault="00F165B6" w:rsidP="00F165B6">
            <w:pPr>
              <w:rPr>
                <w:rFonts w:ascii="Arial" w:hAnsi="Arial" w:cs="Arial"/>
                <w:sz w:val="16"/>
                <w:szCs w:val="16"/>
              </w:rPr>
            </w:pPr>
            <w:r w:rsidRPr="00F165B6">
              <w:rPr>
                <w:rFonts w:ascii="Arial" w:hAnsi="Arial" w:cs="Arial"/>
                <w:sz w:val="16"/>
                <w:szCs w:val="16"/>
              </w:rPr>
              <w:t>4.24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E73B34"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D71FB8"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E8A9FC"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r>
      <w:tr w:rsidR="00431941" w:rsidRPr="00431941" w14:paraId="5BD082CE" w14:textId="77777777" w:rsidTr="004F5D57">
        <w:trPr>
          <w:trHeight w:val="480"/>
        </w:trPr>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440BD" w14:textId="77777777" w:rsidR="00F165B6" w:rsidRPr="00F165B6" w:rsidRDefault="00F165B6" w:rsidP="00F165B6">
            <w:pPr>
              <w:rPr>
                <w:rFonts w:ascii="Arial" w:hAnsi="Arial" w:cs="Arial"/>
                <w:sz w:val="16"/>
                <w:szCs w:val="16"/>
              </w:rPr>
            </w:pPr>
            <w:r w:rsidRPr="00F165B6">
              <w:rPr>
                <w:rFonts w:ascii="Arial" w:hAnsi="Arial" w:cs="Arial"/>
                <w:sz w:val="16"/>
                <w:szCs w:val="16"/>
              </w:rPr>
              <w:t>Ethics, compliance, and professionalism</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945259"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E28094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F9E19C"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50E335"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293150"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55815C"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508236"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A018A7"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DE79A4" w14:textId="77777777" w:rsidR="00F165B6" w:rsidRPr="00F165B6" w:rsidRDefault="00F165B6" w:rsidP="00F165B6">
            <w:pPr>
              <w:rPr>
                <w:rFonts w:ascii="Arial" w:hAnsi="Arial" w:cs="Arial"/>
                <w:sz w:val="16"/>
                <w:szCs w:val="16"/>
              </w:rPr>
            </w:pPr>
            <w:r w:rsidRPr="00F165B6">
              <w:rPr>
                <w:rFonts w:ascii="Arial" w:hAnsi="Arial" w:cs="Arial"/>
                <w:sz w:val="16"/>
                <w:szCs w:val="16"/>
              </w:rPr>
              <w:t>4.06</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ED3A2F"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DDD9FD"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00B299"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r>
      <w:tr w:rsidR="00431941" w:rsidRPr="00431941" w14:paraId="17DC008F" w14:textId="77777777" w:rsidTr="004F5D57">
        <w:trPr>
          <w:trHeight w:val="690"/>
        </w:trPr>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6EFE7" w14:textId="77777777" w:rsidR="00F165B6" w:rsidRPr="00F165B6" w:rsidRDefault="00F165B6" w:rsidP="00F165B6">
            <w:pPr>
              <w:rPr>
                <w:rFonts w:ascii="Arial" w:hAnsi="Arial" w:cs="Arial"/>
                <w:sz w:val="16"/>
                <w:szCs w:val="16"/>
              </w:rPr>
            </w:pPr>
            <w:r w:rsidRPr="00F165B6">
              <w:rPr>
                <w:rFonts w:ascii="Arial" w:hAnsi="Arial" w:cs="Arial"/>
                <w:sz w:val="16"/>
                <w:szCs w:val="16"/>
              </w:rPr>
              <w:t>Political competence( self-confidence, social astuteness &amp; ability to influence others</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9E4D4D"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0881C1"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668979"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B4E84A"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4016B5"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0B3DD98"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48E0C4" w14:textId="77777777" w:rsidR="00F165B6" w:rsidRPr="00F165B6" w:rsidRDefault="00F165B6" w:rsidP="00F165B6">
            <w:pPr>
              <w:rPr>
                <w:rFonts w:ascii="Arial" w:hAnsi="Arial" w:cs="Arial"/>
                <w:sz w:val="16"/>
                <w:szCs w:val="16"/>
              </w:rPr>
            </w:pPr>
            <w:r w:rsidRPr="00F165B6">
              <w:rPr>
                <w:rFonts w:ascii="Arial" w:hAnsi="Arial" w:cs="Arial"/>
                <w:sz w:val="16"/>
                <w:szCs w:val="16"/>
              </w:rPr>
              <w:t>2.44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E3A328"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F71B35"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DBACC0"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7F1C31"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69407F"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r>
      <w:tr w:rsidR="00431941" w:rsidRPr="00431941" w14:paraId="43C9D8C5"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0E3F2B" w14:textId="77777777" w:rsidR="00F165B6" w:rsidRPr="00F165B6" w:rsidRDefault="00F165B6" w:rsidP="00F165B6">
            <w:pPr>
              <w:rPr>
                <w:rFonts w:ascii="Arial" w:hAnsi="Arial" w:cs="Arial"/>
                <w:sz w:val="16"/>
                <w:szCs w:val="16"/>
              </w:rPr>
            </w:pPr>
            <w:r w:rsidRPr="00F165B6">
              <w:rPr>
                <w:rFonts w:ascii="Arial" w:hAnsi="Arial" w:cs="Arial"/>
                <w:sz w:val="16"/>
                <w:szCs w:val="16"/>
              </w:rPr>
              <w:t>Business case</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9A50EE" w14:textId="77777777" w:rsidR="00F165B6" w:rsidRPr="00F165B6" w:rsidRDefault="00F165B6" w:rsidP="00F165B6">
            <w:pPr>
              <w:rPr>
                <w:rFonts w:ascii="Arial" w:hAnsi="Arial" w:cs="Arial"/>
                <w:sz w:val="16"/>
                <w:szCs w:val="16"/>
              </w:rPr>
            </w:pPr>
            <w:r w:rsidRPr="00F165B6">
              <w:rPr>
                <w:rFonts w:ascii="Arial" w:hAnsi="Arial" w:cs="Arial"/>
                <w:sz w:val="16"/>
                <w:szCs w:val="16"/>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1F7B20"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C34B19"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24DB11"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F504F9"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5CCB095"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9EFBBA" w14:textId="77777777" w:rsidR="00F165B6" w:rsidRPr="00F165B6" w:rsidRDefault="00F165B6" w:rsidP="00F165B6">
            <w:pPr>
              <w:rPr>
                <w:rFonts w:ascii="Arial" w:hAnsi="Arial" w:cs="Arial"/>
                <w:sz w:val="16"/>
                <w:szCs w:val="16"/>
              </w:rPr>
            </w:pPr>
            <w:r w:rsidRPr="00F165B6">
              <w:rPr>
                <w:rFonts w:ascii="Arial" w:hAnsi="Arial" w:cs="Arial"/>
                <w:sz w:val="16"/>
                <w:szCs w:val="16"/>
              </w:rPr>
              <w:t>2.25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62BDFDF"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C38248E" w14:textId="77777777" w:rsidR="00F165B6" w:rsidRPr="00F165B6" w:rsidRDefault="00F165B6" w:rsidP="00F165B6">
            <w:pPr>
              <w:rPr>
                <w:rFonts w:ascii="Arial" w:hAnsi="Arial" w:cs="Arial"/>
                <w:sz w:val="16"/>
                <w:szCs w:val="16"/>
              </w:rPr>
            </w:pPr>
            <w:r w:rsidRPr="00F165B6">
              <w:rPr>
                <w:rFonts w:ascii="Arial" w:hAnsi="Arial" w:cs="Arial"/>
                <w:sz w:val="16"/>
                <w:szCs w:val="16"/>
              </w:rPr>
              <w:t>3.87</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DF64C8"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2A169C" w14:textId="77777777" w:rsidR="00F165B6" w:rsidRPr="00F165B6" w:rsidRDefault="00F165B6" w:rsidP="00F165B6">
            <w:pPr>
              <w:rPr>
                <w:rFonts w:ascii="Arial" w:hAnsi="Arial" w:cs="Arial"/>
                <w:sz w:val="16"/>
                <w:szCs w:val="16"/>
              </w:rPr>
            </w:pPr>
            <w:r w:rsidRPr="00F165B6">
              <w:rPr>
                <w:rFonts w:ascii="Arial" w:hAnsi="Arial" w:cs="Arial"/>
                <w:sz w:val="16"/>
                <w:szCs w:val="16"/>
              </w:rPr>
              <w:t>4.29</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B2433A"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431941" w:rsidRPr="00431941" w14:paraId="23A2B04A" w14:textId="77777777" w:rsidTr="004F5D57">
        <w:trPr>
          <w:trHeight w:val="690"/>
        </w:trPr>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DC918" w14:textId="77777777" w:rsidR="00F165B6" w:rsidRPr="00F165B6" w:rsidRDefault="00F165B6" w:rsidP="00F165B6">
            <w:pPr>
              <w:rPr>
                <w:rFonts w:ascii="Arial" w:hAnsi="Arial" w:cs="Arial"/>
                <w:sz w:val="16"/>
                <w:szCs w:val="16"/>
              </w:rPr>
            </w:pPr>
            <w:r w:rsidRPr="00F165B6">
              <w:rPr>
                <w:rFonts w:ascii="Arial" w:hAnsi="Arial" w:cs="Arial"/>
                <w:sz w:val="16"/>
                <w:szCs w:val="16"/>
              </w:rPr>
              <w:t>Governance, structure, and processes</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687B28"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497469"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303D9E8" w14:textId="77777777" w:rsidR="00F165B6" w:rsidRPr="00F165B6" w:rsidRDefault="00F165B6" w:rsidP="00F165B6">
            <w:pPr>
              <w:rPr>
                <w:rFonts w:ascii="Arial" w:hAnsi="Arial" w:cs="Arial"/>
                <w:sz w:val="16"/>
                <w:szCs w:val="16"/>
              </w:rPr>
            </w:pPr>
            <w:r w:rsidRPr="00F165B6">
              <w:rPr>
                <w:rFonts w:ascii="Arial" w:hAnsi="Arial" w:cs="Arial"/>
                <w:sz w:val="16"/>
                <w:szCs w:val="16"/>
              </w:rPr>
              <w:t>2.83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CB5334"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43B507"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849DCB"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A63CD5" w14:textId="77777777" w:rsidR="00F165B6" w:rsidRPr="00F165B6" w:rsidRDefault="00F165B6" w:rsidP="00F165B6">
            <w:pPr>
              <w:rPr>
                <w:rFonts w:ascii="Arial" w:hAnsi="Arial" w:cs="Arial"/>
                <w:sz w:val="16"/>
                <w:szCs w:val="16"/>
              </w:rPr>
            </w:pPr>
            <w:r w:rsidRPr="00F165B6">
              <w:rPr>
                <w:rFonts w:ascii="Arial" w:hAnsi="Arial" w:cs="Arial"/>
                <w:sz w:val="16"/>
                <w:szCs w:val="16"/>
              </w:rPr>
              <w:t>2.22</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7860D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26F690" w14:textId="77777777" w:rsidR="00F165B6" w:rsidRPr="00F165B6" w:rsidRDefault="00F165B6" w:rsidP="00F165B6">
            <w:pPr>
              <w:rPr>
                <w:rFonts w:ascii="Arial" w:hAnsi="Arial" w:cs="Arial"/>
                <w:sz w:val="16"/>
                <w:szCs w:val="16"/>
              </w:rPr>
            </w:pPr>
            <w:r w:rsidRPr="00F165B6">
              <w:rPr>
                <w:rFonts w:ascii="Arial" w:hAnsi="Arial" w:cs="Arial"/>
                <w:sz w:val="16"/>
                <w:szCs w:val="16"/>
              </w:rPr>
              <w:t>3.65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CDB479"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916EB6"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50ED0D"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r>
      <w:tr w:rsidR="00431941" w:rsidRPr="00431941" w14:paraId="461CBA8D"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51D2F0" w14:textId="77777777" w:rsidR="00F165B6" w:rsidRPr="00F165B6" w:rsidRDefault="00F165B6" w:rsidP="00F165B6">
            <w:pPr>
              <w:rPr>
                <w:rFonts w:ascii="Arial" w:hAnsi="Arial" w:cs="Arial"/>
                <w:sz w:val="16"/>
                <w:szCs w:val="16"/>
              </w:rPr>
            </w:pPr>
            <w:r w:rsidRPr="00F165B6">
              <w:rPr>
                <w:rFonts w:ascii="Arial" w:hAnsi="Arial" w:cs="Arial"/>
                <w:sz w:val="16"/>
                <w:szCs w:val="16"/>
              </w:rPr>
              <w:t>Capability development</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51602AC"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717740"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F881E7"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9C68D6"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6EC57E" w14:textId="77777777" w:rsidR="00F165B6" w:rsidRPr="00F165B6" w:rsidRDefault="00F165B6" w:rsidP="00F165B6">
            <w:pPr>
              <w:rPr>
                <w:rFonts w:ascii="Arial" w:hAnsi="Arial" w:cs="Arial"/>
                <w:sz w:val="16"/>
                <w:szCs w:val="16"/>
              </w:rPr>
            </w:pPr>
            <w:r w:rsidRPr="00F165B6">
              <w:rPr>
                <w:rFonts w:ascii="Arial" w:hAnsi="Arial" w:cs="Arial"/>
                <w:sz w:val="16"/>
                <w:szCs w:val="16"/>
              </w:rPr>
              <w:t>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9B2E0A"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422978" w14:textId="77777777" w:rsidR="00F165B6" w:rsidRPr="00F165B6" w:rsidRDefault="00F165B6" w:rsidP="00F165B6">
            <w:pPr>
              <w:rPr>
                <w:rFonts w:ascii="Arial" w:hAnsi="Arial" w:cs="Arial"/>
                <w:sz w:val="16"/>
                <w:szCs w:val="16"/>
              </w:rPr>
            </w:pPr>
            <w:r w:rsidRPr="00F165B6">
              <w:rPr>
                <w:rFonts w:ascii="Arial" w:hAnsi="Arial" w:cs="Arial"/>
                <w:sz w:val="16"/>
                <w:szCs w:val="16"/>
              </w:rPr>
              <w:t>2.78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3DD9C1"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D78FEF"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B9C753"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208C9A" w14:textId="77777777" w:rsidR="00F165B6" w:rsidRPr="00F165B6" w:rsidRDefault="00F165B6" w:rsidP="00F165B6">
            <w:pPr>
              <w:rPr>
                <w:rFonts w:ascii="Arial" w:hAnsi="Arial" w:cs="Arial"/>
                <w:sz w:val="16"/>
                <w:szCs w:val="16"/>
              </w:rPr>
            </w:pPr>
            <w:r w:rsidRPr="00F165B6">
              <w:rPr>
                <w:rFonts w:ascii="Arial" w:hAnsi="Arial" w:cs="Arial"/>
                <w:sz w:val="16"/>
                <w:szCs w:val="16"/>
              </w:rPr>
              <w:t>3.88</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BEB46F" w14:textId="77777777" w:rsidR="00F165B6" w:rsidRPr="00F165B6" w:rsidRDefault="00F165B6" w:rsidP="00F165B6">
            <w:pPr>
              <w:rPr>
                <w:rFonts w:ascii="Arial" w:hAnsi="Arial" w:cs="Arial"/>
                <w:sz w:val="16"/>
                <w:szCs w:val="16"/>
              </w:rPr>
            </w:pPr>
            <w:r w:rsidRPr="00F165B6">
              <w:rPr>
                <w:rFonts w:ascii="Arial" w:hAnsi="Arial" w:cs="Arial"/>
                <w:sz w:val="16"/>
                <w:szCs w:val="16"/>
              </w:rPr>
              <w:t>9</w:t>
            </w:r>
          </w:p>
        </w:tc>
      </w:tr>
      <w:tr w:rsidR="00431941" w:rsidRPr="00431941" w14:paraId="4042517C"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72D7DDA" w14:textId="77777777" w:rsidR="00F165B6" w:rsidRPr="00F165B6" w:rsidRDefault="00F165B6" w:rsidP="00F165B6">
            <w:pPr>
              <w:rPr>
                <w:rFonts w:ascii="Arial" w:hAnsi="Arial" w:cs="Arial"/>
                <w:sz w:val="16"/>
                <w:szCs w:val="16"/>
              </w:rPr>
            </w:pPr>
            <w:r w:rsidRPr="00F165B6">
              <w:rPr>
                <w:rFonts w:ascii="Arial" w:hAnsi="Arial" w:cs="Arial"/>
                <w:sz w:val="16"/>
                <w:szCs w:val="16"/>
              </w:rPr>
              <w:t>Politics &amp; use of power</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41EABE"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D726A3"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F1E3C1" w14:textId="77777777" w:rsidR="00F165B6" w:rsidRPr="00F165B6" w:rsidRDefault="00F165B6" w:rsidP="00F165B6">
            <w:pPr>
              <w:rPr>
                <w:rFonts w:ascii="Arial" w:hAnsi="Arial" w:cs="Arial"/>
                <w:sz w:val="16"/>
                <w:szCs w:val="16"/>
              </w:rPr>
            </w:pPr>
            <w:r w:rsidRPr="00F165B6">
              <w:rPr>
                <w:rFonts w:ascii="Arial" w:hAnsi="Arial" w:cs="Arial"/>
                <w:sz w:val="16"/>
                <w:szCs w:val="16"/>
              </w:rPr>
              <w:t>2.83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BB20DC"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E83ED0"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BE6F75"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C69055"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9BC287" w14:textId="77777777" w:rsidR="00F165B6" w:rsidRPr="00F165B6" w:rsidRDefault="00F165B6" w:rsidP="00F165B6">
            <w:pPr>
              <w:rPr>
                <w:rFonts w:ascii="Arial" w:hAnsi="Arial" w:cs="Arial"/>
                <w:sz w:val="16"/>
                <w:szCs w:val="16"/>
              </w:rPr>
            </w:pPr>
            <w:r w:rsidRPr="00F165B6">
              <w:rPr>
                <w:rFonts w:ascii="Arial" w:hAnsi="Arial" w:cs="Arial"/>
                <w:sz w:val="16"/>
                <w:szCs w:val="16"/>
              </w:rPr>
              <w:t>14</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8290FB" w14:textId="77777777" w:rsidR="00F165B6" w:rsidRPr="00F165B6" w:rsidRDefault="00F165B6" w:rsidP="00F165B6">
            <w:pPr>
              <w:rPr>
                <w:rFonts w:ascii="Arial" w:hAnsi="Arial" w:cs="Arial"/>
                <w:sz w:val="16"/>
                <w:szCs w:val="16"/>
              </w:rPr>
            </w:pPr>
            <w:r w:rsidRPr="00F165B6">
              <w:rPr>
                <w:rFonts w:ascii="Arial" w:hAnsi="Arial" w:cs="Arial"/>
                <w:sz w:val="16"/>
                <w:szCs w:val="16"/>
              </w:rPr>
              <w:t>3.82</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00C226"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252B41"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F95BC4"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r>
      <w:tr w:rsidR="00431941" w:rsidRPr="00431941" w14:paraId="3136BD29"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3CCF73" w14:textId="77777777" w:rsidR="00F165B6" w:rsidRPr="00F165B6" w:rsidRDefault="00F165B6" w:rsidP="00F165B6">
            <w:pPr>
              <w:rPr>
                <w:rFonts w:ascii="Arial" w:hAnsi="Arial" w:cs="Arial"/>
                <w:sz w:val="16"/>
                <w:szCs w:val="16"/>
              </w:rPr>
            </w:pPr>
            <w:r w:rsidRPr="00F165B6">
              <w:rPr>
                <w:rFonts w:ascii="Arial" w:hAnsi="Arial" w:cs="Arial"/>
                <w:sz w:val="16"/>
                <w:szCs w:val="16"/>
              </w:rPr>
              <w:lastRenderedPageBreak/>
              <w:t xml:space="preserve">Commercial management </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EF3A9A" w14:textId="77777777" w:rsidR="00F165B6" w:rsidRPr="00F165B6" w:rsidRDefault="00F165B6" w:rsidP="00F165B6">
            <w:pPr>
              <w:rPr>
                <w:rFonts w:ascii="Arial" w:hAnsi="Arial" w:cs="Arial"/>
                <w:sz w:val="16"/>
                <w:szCs w:val="16"/>
              </w:rPr>
            </w:pPr>
            <w:r w:rsidRPr="00F165B6">
              <w:rPr>
                <w:rFonts w:ascii="Arial" w:hAnsi="Arial" w:cs="Arial"/>
                <w:sz w:val="16"/>
                <w:szCs w:val="16"/>
              </w:rPr>
              <w:t>0</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A81F4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6C3DD74" w14:textId="77777777" w:rsidR="00F165B6" w:rsidRPr="00F165B6" w:rsidRDefault="00F165B6" w:rsidP="00F165B6">
            <w:pPr>
              <w:rPr>
                <w:rFonts w:ascii="Arial" w:hAnsi="Arial" w:cs="Arial"/>
                <w:sz w:val="16"/>
                <w:szCs w:val="16"/>
              </w:rPr>
            </w:pPr>
            <w:r w:rsidRPr="00F165B6">
              <w:rPr>
                <w:rFonts w:ascii="Arial" w:hAnsi="Arial" w:cs="Arial"/>
                <w:sz w:val="16"/>
                <w:szCs w:val="16"/>
              </w:rPr>
              <w:t>3.4</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1360A3" w14:textId="77777777" w:rsidR="00F165B6" w:rsidRPr="00F165B6" w:rsidRDefault="00F165B6" w:rsidP="00F165B6">
            <w:pPr>
              <w:rPr>
                <w:rFonts w:ascii="Arial" w:hAnsi="Arial" w:cs="Arial"/>
                <w:sz w:val="16"/>
                <w:szCs w:val="16"/>
              </w:rPr>
            </w:pPr>
            <w:r w:rsidRPr="00F165B6">
              <w:rPr>
                <w:rFonts w:ascii="Arial" w:hAnsi="Arial" w:cs="Arial"/>
                <w:sz w:val="16"/>
                <w:szCs w:val="16"/>
              </w:rPr>
              <w:t>7</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6F4194"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33A80D" w14:textId="77777777" w:rsidR="00F165B6" w:rsidRPr="00F165B6" w:rsidRDefault="00F165B6" w:rsidP="00F165B6">
            <w:pPr>
              <w:rPr>
                <w:rFonts w:ascii="Arial" w:hAnsi="Arial" w:cs="Arial"/>
                <w:sz w:val="16"/>
                <w:szCs w:val="16"/>
              </w:rPr>
            </w:pPr>
            <w:r w:rsidRPr="00F165B6">
              <w:rPr>
                <w:rFonts w:ascii="Arial" w:hAnsi="Arial" w:cs="Arial"/>
                <w:sz w:val="16"/>
                <w:szCs w:val="16"/>
              </w:rPr>
              <w:t>13</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C2DA07" w14:textId="77777777" w:rsidR="00F165B6" w:rsidRPr="00F165B6" w:rsidRDefault="00F165B6" w:rsidP="00F165B6">
            <w:pPr>
              <w:rPr>
                <w:rFonts w:ascii="Arial" w:hAnsi="Arial" w:cs="Arial"/>
                <w:sz w:val="16"/>
                <w:szCs w:val="16"/>
              </w:rPr>
            </w:pPr>
            <w:r w:rsidRPr="00F165B6">
              <w:rPr>
                <w:rFonts w:ascii="Arial" w:hAnsi="Arial" w:cs="Arial"/>
                <w:sz w:val="16"/>
                <w:szCs w:val="16"/>
              </w:rPr>
              <w:t>3.25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233408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3FF408" w14:textId="77777777" w:rsidR="00F165B6" w:rsidRPr="00F165B6" w:rsidRDefault="00F165B6" w:rsidP="00F165B6">
            <w:pPr>
              <w:rPr>
                <w:rFonts w:ascii="Arial" w:hAnsi="Arial" w:cs="Arial"/>
                <w:sz w:val="16"/>
                <w:szCs w:val="16"/>
              </w:rPr>
            </w:pPr>
            <w:r w:rsidRPr="00F165B6">
              <w:rPr>
                <w:rFonts w:ascii="Arial" w:hAnsi="Arial" w:cs="Arial"/>
                <w:sz w:val="16"/>
                <w:szCs w:val="16"/>
              </w:rPr>
              <w:t>3.94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81A129" w14:textId="77777777" w:rsidR="00F165B6" w:rsidRPr="00F165B6" w:rsidRDefault="00F165B6" w:rsidP="00F165B6">
            <w:pPr>
              <w:rPr>
                <w:rFonts w:ascii="Arial" w:hAnsi="Arial" w:cs="Arial"/>
                <w:sz w:val="16"/>
                <w:szCs w:val="16"/>
              </w:rPr>
            </w:pPr>
            <w:r w:rsidRPr="00F165B6">
              <w:rPr>
                <w:rFonts w:ascii="Arial" w:hAnsi="Arial" w:cs="Arial"/>
                <w:sz w:val="16"/>
                <w:szCs w:val="16"/>
              </w:rPr>
              <w:t>12</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107BF6" w14:textId="77777777" w:rsidR="00F165B6" w:rsidRPr="00F165B6" w:rsidRDefault="00F165B6" w:rsidP="00F165B6">
            <w:pPr>
              <w:rPr>
                <w:rFonts w:ascii="Arial" w:hAnsi="Arial" w:cs="Arial"/>
                <w:sz w:val="16"/>
                <w:szCs w:val="16"/>
              </w:rPr>
            </w:pPr>
            <w:r w:rsidRPr="00F165B6">
              <w:rPr>
                <w:rFonts w:ascii="Arial" w:hAnsi="Arial" w:cs="Arial"/>
                <w:sz w:val="16"/>
                <w:szCs w:val="16"/>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A704C95" w14:textId="77777777" w:rsidR="00F165B6" w:rsidRPr="00F165B6" w:rsidRDefault="00F165B6" w:rsidP="00F165B6">
            <w:pPr>
              <w:rPr>
                <w:rFonts w:ascii="Arial" w:hAnsi="Arial" w:cs="Arial"/>
                <w:sz w:val="16"/>
                <w:szCs w:val="16"/>
              </w:rPr>
            </w:pPr>
            <w:r w:rsidRPr="00F165B6">
              <w:rPr>
                <w:rFonts w:ascii="Arial" w:hAnsi="Arial" w:cs="Arial"/>
                <w:sz w:val="16"/>
                <w:szCs w:val="16"/>
              </w:rPr>
              <w:t>5</w:t>
            </w:r>
          </w:p>
        </w:tc>
      </w:tr>
      <w:tr w:rsidR="00431941" w:rsidRPr="00431941" w14:paraId="70DC13E0"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C038DE3" w14:textId="77777777" w:rsidR="00F165B6" w:rsidRPr="00F165B6" w:rsidRDefault="00F165B6" w:rsidP="00F165B6">
            <w:pPr>
              <w:rPr>
                <w:rFonts w:ascii="Arial" w:hAnsi="Arial" w:cs="Arial"/>
                <w:sz w:val="16"/>
                <w:szCs w:val="16"/>
              </w:rPr>
            </w:pPr>
            <w:r w:rsidRPr="00F165B6">
              <w:rPr>
                <w:rFonts w:ascii="Arial" w:hAnsi="Arial" w:cs="Arial"/>
                <w:sz w:val="16"/>
                <w:szCs w:val="16"/>
              </w:rPr>
              <w:t>Asset allocation</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66F596"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E85734" w14:textId="77777777" w:rsidR="00F165B6" w:rsidRPr="00F165B6" w:rsidRDefault="00F165B6" w:rsidP="00F165B6">
            <w:pPr>
              <w:rPr>
                <w:rFonts w:ascii="Arial" w:hAnsi="Arial" w:cs="Arial"/>
                <w:sz w:val="16"/>
                <w:szCs w:val="16"/>
              </w:rPr>
            </w:pPr>
            <w:r w:rsidRPr="00F165B6">
              <w:rPr>
                <w:rFonts w:ascii="Arial" w:hAnsi="Arial" w:cs="Arial"/>
                <w:sz w:val="16"/>
                <w:szCs w:val="16"/>
              </w:rPr>
              <w:t>10</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664C51" w14:textId="77777777" w:rsidR="00F165B6" w:rsidRPr="00F165B6" w:rsidRDefault="00F165B6" w:rsidP="00F165B6">
            <w:pPr>
              <w:rPr>
                <w:rFonts w:ascii="Arial" w:hAnsi="Arial" w:cs="Arial"/>
                <w:sz w:val="16"/>
                <w:szCs w:val="16"/>
              </w:rPr>
            </w:pPr>
            <w:r w:rsidRPr="00F165B6">
              <w:rPr>
                <w:rFonts w:ascii="Arial" w:hAnsi="Arial" w:cs="Arial"/>
                <w:sz w:val="16"/>
                <w:szCs w:val="16"/>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8AA4E0" w14:textId="77777777" w:rsidR="00F165B6" w:rsidRPr="00F165B6" w:rsidRDefault="00F165B6" w:rsidP="00F165B6">
            <w:pPr>
              <w:rPr>
                <w:rFonts w:ascii="Arial" w:hAnsi="Arial" w:cs="Arial"/>
                <w:sz w:val="16"/>
                <w:szCs w:val="16"/>
              </w:rPr>
            </w:pPr>
            <w:r w:rsidRPr="00F165B6">
              <w:rPr>
                <w:rFonts w:ascii="Arial" w:hAnsi="Arial" w:cs="Arial"/>
                <w:sz w:val="16"/>
                <w:szCs w:val="16"/>
              </w:rPr>
              <w:t>16</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E42355" w14:textId="77777777" w:rsidR="00F165B6" w:rsidRPr="00F165B6" w:rsidRDefault="00F165B6" w:rsidP="00F165B6">
            <w:pPr>
              <w:rPr>
                <w:rFonts w:ascii="Arial" w:hAnsi="Arial" w:cs="Arial"/>
                <w:sz w:val="16"/>
                <w:szCs w:val="16"/>
              </w:rPr>
            </w:pPr>
            <w:r w:rsidRPr="00F165B6">
              <w:rPr>
                <w:rFonts w:ascii="Arial" w:hAnsi="Arial" w:cs="Arial"/>
                <w:sz w:val="16"/>
                <w:szCs w:val="16"/>
              </w:rPr>
              <w:t>3.5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2C3464" w14:textId="77777777" w:rsidR="00F165B6" w:rsidRPr="00F165B6" w:rsidRDefault="00F165B6" w:rsidP="00F165B6">
            <w:pPr>
              <w:rPr>
                <w:rFonts w:ascii="Arial" w:hAnsi="Arial" w:cs="Arial"/>
                <w:sz w:val="16"/>
                <w:szCs w:val="16"/>
              </w:rPr>
            </w:pPr>
            <w:r w:rsidRPr="00F165B6">
              <w:rPr>
                <w:rFonts w:ascii="Arial" w:hAnsi="Arial" w:cs="Arial"/>
                <w:sz w:val="16"/>
                <w:szCs w:val="16"/>
              </w:rPr>
              <w:t>8</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E2C93B" w14:textId="77777777" w:rsidR="00F165B6" w:rsidRPr="00F165B6" w:rsidRDefault="00F165B6" w:rsidP="00F165B6">
            <w:pPr>
              <w:rPr>
                <w:rFonts w:ascii="Arial" w:hAnsi="Arial" w:cs="Arial"/>
                <w:sz w:val="16"/>
                <w:szCs w:val="16"/>
              </w:rPr>
            </w:pPr>
            <w:r w:rsidRPr="00F165B6">
              <w:rPr>
                <w:rFonts w:ascii="Arial" w:hAnsi="Arial" w:cs="Arial"/>
                <w:sz w:val="16"/>
                <w:szCs w:val="16"/>
              </w:rPr>
              <w:t>2.56</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4E9B4C"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A89BA9" w14:textId="77777777" w:rsidR="00F165B6" w:rsidRPr="00F165B6" w:rsidRDefault="00F165B6" w:rsidP="00F165B6">
            <w:pPr>
              <w:rPr>
                <w:rFonts w:ascii="Arial" w:hAnsi="Arial" w:cs="Arial"/>
                <w:sz w:val="16"/>
                <w:szCs w:val="16"/>
              </w:rPr>
            </w:pPr>
            <w:r w:rsidRPr="00F165B6">
              <w:rPr>
                <w:rFonts w:ascii="Arial" w:hAnsi="Arial" w:cs="Arial"/>
                <w:sz w:val="16"/>
                <w:szCs w:val="16"/>
              </w:rPr>
              <w:t>3.65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686F33"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7EB1F9" w14:textId="77777777" w:rsidR="00F165B6" w:rsidRPr="00F165B6" w:rsidRDefault="00F165B6" w:rsidP="00F165B6">
            <w:pPr>
              <w:rPr>
                <w:rFonts w:ascii="Arial" w:hAnsi="Arial" w:cs="Arial"/>
                <w:sz w:val="16"/>
                <w:szCs w:val="16"/>
              </w:rPr>
            </w:pPr>
            <w:r w:rsidRPr="00F165B6">
              <w:rPr>
                <w:rFonts w:ascii="Arial" w:hAnsi="Arial" w:cs="Arial"/>
                <w:sz w:val="16"/>
                <w:szCs w:val="16"/>
              </w:rPr>
              <w:t>3.75</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7E6B03" w14:textId="77777777" w:rsidR="00F165B6" w:rsidRPr="00F165B6" w:rsidRDefault="00F165B6" w:rsidP="00F165B6">
            <w:pPr>
              <w:rPr>
                <w:rFonts w:ascii="Arial" w:hAnsi="Arial" w:cs="Arial"/>
                <w:sz w:val="16"/>
                <w:szCs w:val="16"/>
              </w:rPr>
            </w:pPr>
            <w:r w:rsidRPr="00F165B6">
              <w:rPr>
                <w:rFonts w:ascii="Arial" w:hAnsi="Arial" w:cs="Arial"/>
                <w:sz w:val="16"/>
                <w:szCs w:val="16"/>
              </w:rPr>
              <w:t>15</w:t>
            </w:r>
          </w:p>
        </w:tc>
      </w:tr>
      <w:tr w:rsidR="00431941" w:rsidRPr="00431941" w14:paraId="3B93BC19" w14:textId="77777777" w:rsidTr="004F5D57">
        <w:trPr>
          <w:trHeight w:val="300"/>
        </w:trPr>
        <w:tc>
          <w:tcPr>
            <w:tcW w:w="159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F364A5" w14:textId="77777777" w:rsidR="00F165B6" w:rsidRPr="00F165B6" w:rsidRDefault="00F165B6" w:rsidP="00F165B6">
            <w:pPr>
              <w:rPr>
                <w:rFonts w:ascii="Arial" w:hAnsi="Arial" w:cs="Arial"/>
                <w:sz w:val="16"/>
                <w:szCs w:val="16"/>
              </w:rPr>
            </w:pPr>
            <w:r w:rsidRPr="00F165B6">
              <w:rPr>
                <w:rFonts w:ascii="Arial" w:hAnsi="Arial" w:cs="Arial"/>
                <w:sz w:val="16"/>
                <w:szCs w:val="16"/>
              </w:rPr>
              <w:t>Independence assurance</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68F9EA"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485608" w14:textId="77777777" w:rsidR="00F165B6" w:rsidRPr="00F165B6" w:rsidRDefault="00F165B6" w:rsidP="00F165B6">
            <w:pPr>
              <w:rPr>
                <w:rFonts w:ascii="Arial" w:hAnsi="Arial" w:cs="Arial"/>
                <w:sz w:val="16"/>
                <w:szCs w:val="16"/>
              </w:rPr>
            </w:pPr>
            <w:r w:rsidRPr="00F165B6">
              <w:rPr>
                <w:rFonts w:ascii="Arial" w:hAnsi="Arial" w:cs="Arial"/>
                <w:sz w:val="16"/>
                <w:szCs w:val="16"/>
              </w:rPr>
              <w:t>11</w:t>
            </w:r>
          </w:p>
        </w:tc>
        <w:tc>
          <w:tcPr>
            <w:tcW w:w="59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194A72" w14:textId="77777777" w:rsidR="00F165B6" w:rsidRPr="00F165B6" w:rsidRDefault="00F165B6" w:rsidP="00F165B6">
            <w:pPr>
              <w:rPr>
                <w:rFonts w:ascii="Arial" w:hAnsi="Arial" w:cs="Arial"/>
                <w:sz w:val="16"/>
                <w:szCs w:val="16"/>
              </w:rPr>
            </w:pPr>
            <w:r w:rsidRPr="00F165B6">
              <w:rPr>
                <w:rFonts w:ascii="Arial" w:hAnsi="Arial" w:cs="Arial"/>
                <w:sz w:val="16"/>
                <w:szCs w:val="16"/>
              </w:rPr>
              <w:t>2.67</w:t>
            </w:r>
          </w:p>
        </w:tc>
        <w:tc>
          <w:tcPr>
            <w:tcW w:w="6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49D394"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469847" w14:textId="77777777" w:rsidR="00F165B6" w:rsidRPr="00F165B6" w:rsidRDefault="00F165B6" w:rsidP="00F165B6">
            <w:pPr>
              <w:rPr>
                <w:rFonts w:ascii="Arial" w:hAnsi="Arial" w:cs="Arial"/>
                <w:sz w:val="16"/>
                <w:szCs w:val="16"/>
              </w:rPr>
            </w:pPr>
            <w:r w:rsidRPr="00F165B6">
              <w:rPr>
                <w:rFonts w:ascii="Arial" w:hAnsi="Arial" w:cs="Arial"/>
                <w:sz w:val="16"/>
                <w:szCs w:val="16"/>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4CA885"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3E9D028" w14:textId="77777777" w:rsidR="00F165B6" w:rsidRPr="00F165B6" w:rsidRDefault="00F165B6" w:rsidP="00F165B6">
            <w:pPr>
              <w:rPr>
                <w:rFonts w:ascii="Arial" w:hAnsi="Arial" w:cs="Arial"/>
                <w:sz w:val="16"/>
                <w:szCs w:val="16"/>
              </w:rPr>
            </w:pPr>
            <w:r w:rsidRPr="00F165B6">
              <w:rPr>
                <w:rFonts w:ascii="Arial" w:hAnsi="Arial" w:cs="Arial"/>
                <w:sz w:val="16"/>
                <w:szCs w:val="16"/>
              </w:rPr>
              <w:t>2.33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E36034" w14:textId="77777777" w:rsidR="00F165B6" w:rsidRPr="00F165B6" w:rsidRDefault="00F165B6" w:rsidP="00F165B6">
            <w:pPr>
              <w:rPr>
                <w:rFonts w:ascii="Arial" w:hAnsi="Arial" w:cs="Arial"/>
                <w:sz w:val="16"/>
                <w:szCs w:val="16"/>
              </w:rPr>
            </w:pPr>
            <w:r w:rsidRPr="00F165B6">
              <w:rPr>
                <w:rFonts w:ascii="Arial" w:hAnsi="Arial" w:cs="Arial"/>
                <w:sz w:val="16"/>
                <w:szCs w:val="16"/>
              </w:rPr>
              <w:t>17</w:t>
            </w:r>
          </w:p>
        </w:tc>
        <w:tc>
          <w:tcPr>
            <w:tcW w:w="6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EE8448"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5558C61" w14:textId="77777777" w:rsidR="00F165B6" w:rsidRPr="00F165B6" w:rsidRDefault="00F165B6" w:rsidP="00F165B6">
            <w:pPr>
              <w:rPr>
                <w:rFonts w:ascii="Arial" w:hAnsi="Arial" w:cs="Arial"/>
                <w:sz w:val="16"/>
                <w:szCs w:val="16"/>
              </w:rPr>
            </w:pPr>
            <w:r w:rsidRPr="00F165B6">
              <w:rPr>
                <w:rFonts w:ascii="Arial" w:hAnsi="Arial" w:cs="Arial"/>
                <w:sz w:val="16"/>
                <w:szCs w:val="16"/>
              </w:rPr>
              <w:t>19</w:t>
            </w:r>
          </w:p>
        </w:tc>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F7575A" w14:textId="77777777" w:rsidR="00F165B6" w:rsidRPr="00F165B6" w:rsidRDefault="00F165B6" w:rsidP="00F165B6">
            <w:pPr>
              <w:rPr>
                <w:rFonts w:ascii="Arial" w:hAnsi="Arial" w:cs="Arial"/>
                <w:sz w:val="16"/>
                <w:szCs w:val="16"/>
              </w:rPr>
            </w:pPr>
            <w:r w:rsidRPr="00F165B6">
              <w:rPr>
                <w:rFonts w:ascii="Arial" w:hAnsi="Arial" w:cs="Arial"/>
                <w:sz w:val="16"/>
                <w:szCs w:val="16"/>
              </w:rPr>
              <w:t>3.63</w:t>
            </w:r>
          </w:p>
        </w:tc>
        <w:tc>
          <w:tcPr>
            <w:tcW w:w="5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DF0A1C" w14:textId="77777777" w:rsidR="00F165B6" w:rsidRPr="00F165B6" w:rsidRDefault="00F165B6" w:rsidP="00F165B6">
            <w:pPr>
              <w:rPr>
                <w:rFonts w:ascii="Arial" w:hAnsi="Arial" w:cs="Arial"/>
                <w:sz w:val="16"/>
                <w:szCs w:val="16"/>
              </w:rPr>
            </w:pPr>
            <w:r w:rsidRPr="00F165B6">
              <w:rPr>
                <w:rFonts w:ascii="Arial" w:hAnsi="Arial" w:cs="Arial"/>
                <w:sz w:val="16"/>
                <w:szCs w:val="16"/>
              </w:rPr>
              <w:t>18</w:t>
            </w:r>
          </w:p>
        </w:tc>
      </w:tr>
    </w:tbl>
    <w:p w14:paraId="2DA3E273" w14:textId="77777777" w:rsidR="00F165B6" w:rsidRPr="00F165B6" w:rsidRDefault="00F165B6" w:rsidP="00F165B6">
      <w:pPr>
        <w:rPr>
          <w:rFonts w:ascii="Arial" w:hAnsi="Arial" w:cs="Arial"/>
          <w:sz w:val="16"/>
          <w:szCs w:val="16"/>
        </w:rPr>
      </w:pPr>
      <w:r w:rsidRPr="00F165B6">
        <w:rPr>
          <w:rFonts w:ascii="Arial" w:hAnsi="Arial" w:cs="Arial"/>
          <w:sz w:val="16"/>
          <w:szCs w:val="16"/>
        </w:rPr>
        <w:t>Not needed(1), Less needed(2), Needed(3),Very needed(4)Highly needed(5)</w:t>
      </w:r>
    </w:p>
    <w:p w14:paraId="033327AE" w14:textId="5130B06F" w:rsidR="00F165B6" w:rsidRDefault="00F165B6" w:rsidP="00F165B6">
      <w:pPr>
        <w:rPr>
          <w:rFonts w:ascii="Arial" w:hAnsi="Arial" w:cs="Arial"/>
        </w:rPr>
      </w:pPr>
    </w:p>
    <w:p w14:paraId="53ED741B" w14:textId="578C0B38" w:rsidR="00592C5E" w:rsidRDefault="00592C5E" w:rsidP="00F165B6">
      <w:pPr>
        <w:rPr>
          <w:rFonts w:ascii="Arial" w:hAnsi="Arial" w:cs="Arial"/>
        </w:rPr>
      </w:pPr>
    </w:p>
    <w:p w14:paraId="32975443" w14:textId="77777777" w:rsidR="00592C5E" w:rsidRPr="00F165B6" w:rsidRDefault="00592C5E" w:rsidP="00F165B6">
      <w:pPr>
        <w:rPr>
          <w:rFonts w:ascii="Arial" w:hAnsi="Arial" w:cs="Arial"/>
        </w:rPr>
      </w:pPr>
    </w:p>
    <w:p w14:paraId="5C85DFC7" w14:textId="77777777" w:rsidR="00F165B6" w:rsidRPr="00F165B6" w:rsidRDefault="00F165B6" w:rsidP="00F165B6">
      <w:pPr>
        <w:rPr>
          <w:rFonts w:ascii="Arial" w:hAnsi="Arial" w:cs="Arial"/>
          <w:sz w:val="16"/>
          <w:szCs w:val="16"/>
        </w:rPr>
      </w:pPr>
      <w:r w:rsidRPr="00F165B6">
        <w:rPr>
          <w:rFonts w:ascii="Arial" w:hAnsi="Arial" w:cs="Arial"/>
          <w:i/>
          <w:iCs/>
          <w:sz w:val="16"/>
          <w:szCs w:val="16"/>
        </w:rPr>
        <w:t>Table11. : Spearman correlation coefficient test for the relationship between management level and importance of management competences for securing finance for real estate project development</w:t>
      </w:r>
    </w:p>
    <w:tbl>
      <w:tblPr>
        <w:tblW w:w="7880" w:type="dxa"/>
        <w:tblCellMar>
          <w:left w:w="10" w:type="dxa"/>
          <w:right w:w="10" w:type="dxa"/>
        </w:tblCellMar>
        <w:tblLook w:val="0000" w:firstRow="0" w:lastRow="0" w:firstColumn="0" w:lastColumn="0" w:noHBand="0" w:noVBand="0"/>
      </w:tblPr>
      <w:tblGrid>
        <w:gridCol w:w="5320"/>
        <w:gridCol w:w="2560"/>
      </w:tblGrid>
      <w:tr w:rsidR="00F165B6" w:rsidRPr="00F165B6" w14:paraId="2CE00BE0" w14:textId="77777777" w:rsidTr="004F5D57">
        <w:trPr>
          <w:trHeight w:val="300"/>
        </w:trPr>
        <w:tc>
          <w:tcPr>
            <w:tcW w:w="5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E6BD86" w14:textId="77777777" w:rsidR="00F165B6" w:rsidRPr="00F165B6" w:rsidRDefault="00F165B6" w:rsidP="00F165B6">
            <w:pPr>
              <w:rPr>
                <w:rFonts w:ascii="Arial" w:hAnsi="Arial" w:cs="Arial"/>
                <w:sz w:val="16"/>
                <w:szCs w:val="16"/>
              </w:rPr>
            </w:pPr>
            <w:r w:rsidRPr="00F165B6">
              <w:rPr>
                <w:rFonts w:ascii="Arial" w:hAnsi="Arial" w:cs="Arial"/>
                <w:sz w:val="16"/>
                <w:szCs w:val="16"/>
              </w:rPr>
              <w:t>Level of management/ job title</w:t>
            </w:r>
          </w:p>
        </w:tc>
        <w:tc>
          <w:tcPr>
            <w:tcW w:w="256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017B33"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643983CC"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A345AA1"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Result oriented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85AC8E" w14:textId="77777777" w:rsidR="00F165B6" w:rsidRPr="00F165B6" w:rsidRDefault="00F165B6" w:rsidP="00F165B6">
            <w:pPr>
              <w:rPr>
                <w:rFonts w:ascii="Arial" w:hAnsi="Arial" w:cs="Arial"/>
                <w:sz w:val="16"/>
                <w:szCs w:val="16"/>
              </w:rPr>
            </w:pPr>
            <w:r w:rsidRPr="00F165B6">
              <w:rPr>
                <w:rFonts w:ascii="Arial" w:hAnsi="Arial" w:cs="Arial"/>
                <w:sz w:val="16"/>
                <w:szCs w:val="16"/>
              </w:rPr>
              <w:t>1</w:t>
            </w:r>
          </w:p>
        </w:tc>
      </w:tr>
      <w:tr w:rsidR="00F165B6" w:rsidRPr="00F165B6" w14:paraId="432E5162"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821C81" w14:textId="77777777" w:rsidR="00F165B6" w:rsidRPr="00F165B6" w:rsidRDefault="00F165B6" w:rsidP="00F165B6">
            <w:pPr>
              <w:rPr>
                <w:rFonts w:ascii="Arial" w:hAnsi="Arial" w:cs="Arial"/>
                <w:sz w:val="16"/>
                <w:szCs w:val="16"/>
              </w:rPr>
            </w:pPr>
            <w:r w:rsidRPr="00F165B6">
              <w:rPr>
                <w:rFonts w:ascii="Arial" w:hAnsi="Arial" w:cs="Arial"/>
                <w:sz w:val="16"/>
                <w:szCs w:val="16"/>
              </w:rPr>
              <w:t>Business case</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8C29D9" w14:textId="77777777" w:rsidR="00F165B6" w:rsidRPr="00F165B6" w:rsidRDefault="00F165B6" w:rsidP="00F165B6">
            <w:pPr>
              <w:rPr>
                <w:rFonts w:ascii="Arial" w:hAnsi="Arial" w:cs="Arial"/>
                <w:sz w:val="16"/>
                <w:szCs w:val="16"/>
              </w:rPr>
            </w:pPr>
            <w:r w:rsidRPr="00F165B6">
              <w:rPr>
                <w:rFonts w:ascii="Arial" w:hAnsi="Arial" w:cs="Arial"/>
                <w:sz w:val="16"/>
                <w:szCs w:val="16"/>
              </w:rPr>
              <w:t>0.859</w:t>
            </w:r>
          </w:p>
        </w:tc>
      </w:tr>
      <w:tr w:rsidR="00F165B6" w:rsidRPr="00F165B6" w14:paraId="7D444310" w14:textId="77777777" w:rsidTr="004F5D57">
        <w:trPr>
          <w:trHeight w:val="465"/>
        </w:trPr>
        <w:tc>
          <w:tcPr>
            <w:tcW w:w="53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F4F77D" w14:textId="77777777" w:rsidR="00F165B6" w:rsidRPr="00F165B6" w:rsidRDefault="00F165B6" w:rsidP="00F165B6">
            <w:pPr>
              <w:rPr>
                <w:rFonts w:ascii="Arial" w:hAnsi="Arial" w:cs="Arial"/>
                <w:sz w:val="16"/>
                <w:szCs w:val="16"/>
              </w:rPr>
            </w:pPr>
            <w:r w:rsidRPr="00F165B6">
              <w:rPr>
                <w:rFonts w:ascii="Arial" w:hAnsi="Arial" w:cs="Arial"/>
                <w:sz w:val="16"/>
                <w:szCs w:val="16"/>
              </w:rPr>
              <w:t>Managerial competence (strategic thinking, initiative, intellectual capacity, participative management &amp; emotional maturity) only</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C75CE9" w14:textId="77777777" w:rsidR="00F165B6" w:rsidRPr="00F165B6" w:rsidRDefault="00F165B6" w:rsidP="00F165B6">
            <w:pPr>
              <w:rPr>
                <w:rFonts w:ascii="Arial" w:hAnsi="Arial" w:cs="Arial"/>
                <w:sz w:val="16"/>
                <w:szCs w:val="16"/>
              </w:rPr>
            </w:pPr>
            <w:r w:rsidRPr="00F165B6">
              <w:rPr>
                <w:rFonts w:ascii="Arial" w:hAnsi="Arial" w:cs="Arial"/>
                <w:sz w:val="16"/>
                <w:szCs w:val="16"/>
              </w:rPr>
              <w:t>0.852</w:t>
            </w:r>
          </w:p>
        </w:tc>
      </w:tr>
      <w:tr w:rsidR="00F165B6" w:rsidRPr="00F165B6" w14:paraId="74CE0A11"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CDB6B9"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Asset allocation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E79F0F" w14:textId="77777777" w:rsidR="00F165B6" w:rsidRPr="00F165B6" w:rsidRDefault="00F165B6" w:rsidP="00F165B6">
            <w:pPr>
              <w:rPr>
                <w:rFonts w:ascii="Arial" w:hAnsi="Arial" w:cs="Arial"/>
                <w:sz w:val="16"/>
                <w:szCs w:val="16"/>
              </w:rPr>
            </w:pPr>
            <w:r w:rsidRPr="00F165B6">
              <w:rPr>
                <w:rFonts w:ascii="Arial" w:hAnsi="Arial" w:cs="Arial"/>
                <w:sz w:val="16"/>
                <w:szCs w:val="16"/>
              </w:rPr>
              <w:t>0.796</w:t>
            </w:r>
          </w:p>
        </w:tc>
      </w:tr>
      <w:tr w:rsidR="00F165B6" w:rsidRPr="00F165B6" w14:paraId="36FD7897"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6525B0"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Planning and control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639FFE" w14:textId="77777777" w:rsidR="00F165B6" w:rsidRPr="00F165B6" w:rsidRDefault="00F165B6" w:rsidP="00F165B6">
            <w:pPr>
              <w:rPr>
                <w:rFonts w:ascii="Arial" w:hAnsi="Arial" w:cs="Arial"/>
                <w:sz w:val="16"/>
                <w:szCs w:val="16"/>
              </w:rPr>
            </w:pPr>
            <w:r w:rsidRPr="00F165B6">
              <w:rPr>
                <w:rFonts w:ascii="Arial" w:hAnsi="Arial" w:cs="Arial"/>
                <w:sz w:val="16"/>
                <w:szCs w:val="16"/>
              </w:rPr>
              <w:t>0.751</w:t>
            </w:r>
          </w:p>
        </w:tc>
      </w:tr>
      <w:tr w:rsidR="00F165B6" w:rsidRPr="00F165B6" w14:paraId="1B4FA708"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07FDDE"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Governance, structure and processes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EA2EC4B" w14:textId="77777777" w:rsidR="00F165B6" w:rsidRPr="00F165B6" w:rsidRDefault="00F165B6" w:rsidP="00F165B6">
            <w:pPr>
              <w:rPr>
                <w:rFonts w:ascii="Arial" w:hAnsi="Arial" w:cs="Arial"/>
                <w:sz w:val="16"/>
                <w:szCs w:val="16"/>
              </w:rPr>
            </w:pPr>
            <w:r w:rsidRPr="00F165B6">
              <w:rPr>
                <w:rFonts w:ascii="Arial" w:hAnsi="Arial" w:cs="Arial"/>
                <w:sz w:val="16"/>
                <w:szCs w:val="16"/>
              </w:rPr>
              <w:t>0.709</w:t>
            </w:r>
          </w:p>
        </w:tc>
      </w:tr>
      <w:tr w:rsidR="00F165B6" w:rsidRPr="00F165B6" w14:paraId="2B7F53CE"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C790B5" w14:textId="77777777" w:rsidR="00F165B6" w:rsidRPr="00F165B6" w:rsidRDefault="00F165B6" w:rsidP="00F165B6">
            <w:pPr>
              <w:rPr>
                <w:rFonts w:ascii="Arial" w:hAnsi="Arial" w:cs="Arial"/>
                <w:sz w:val="16"/>
                <w:szCs w:val="16"/>
              </w:rPr>
            </w:pPr>
            <w:r w:rsidRPr="00F165B6">
              <w:rPr>
                <w:rFonts w:ascii="Arial" w:hAnsi="Arial" w:cs="Arial"/>
                <w:sz w:val="16"/>
                <w:szCs w:val="16"/>
              </w:rPr>
              <w:t>Leadership competence</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074F70" w14:textId="77777777" w:rsidR="00F165B6" w:rsidRPr="00F165B6" w:rsidRDefault="00F165B6" w:rsidP="00F165B6">
            <w:pPr>
              <w:rPr>
                <w:rFonts w:ascii="Arial" w:hAnsi="Arial" w:cs="Arial"/>
                <w:sz w:val="16"/>
                <w:szCs w:val="16"/>
              </w:rPr>
            </w:pPr>
            <w:r w:rsidRPr="00F165B6">
              <w:rPr>
                <w:rFonts w:ascii="Arial" w:hAnsi="Arial" w:cs="Arial"/>
                <w:sz w:val="16"/>
                <w:szCs w:val="16"/>
              </w:rPr>
              <w:t>0.653</w:t>
            </w:r>
          </w:p>
        </w:tc>
      </w:tr>
      <w:tr w:rsidR="00F165B6" w:rsidRPr="00F165B6" w14:paraId="30E52A93"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EBED0B0"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Negotiation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958DB63" w14:textId="77777777" w:rsidR="00F165B6" w:rsidRPr="00F165B6" w:rsidRDefault="00F165B6" w:rsidP="00F165B6">
            <w:pPr>
              <w:rPr>
                <w:rFonts w:ascii="Arial" w:hAnsi="Arial" w:cs="Arial"/>
                <w:sz w:val="16"/>
                <w:szCs w:val="16"/>
              </w:rPr>
            </w:pPr>
            <w:r w:rsidRPr="00F165B6">
              <w:rPr>
                <w:rFonts w:ascii="Arial" w:hAnsi="Arial" w:cs="Arial"/>
                <w:sz w:val="16"/>
                <w:szCs w:val="16"/>
              </w:rPr>
              <w:t>0.615</w:t>
            </w:r>
          </w:p>
        </w:tc>
      </w:tr>
      <w:tr w:rsidR="00F165B6" w:rsidRPr="00F165B6" w14:paraId="5505CEE0"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9F196D"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Resourcefulness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9F4424" w14:textId="77777777" w:rsidR="00F165B6" w:rsidRPr="00F165B6" w:rsidRDefault="00F165B6" w:rsidP="00F165B6">
            <w:pPr>
              <w:rPr>
                <w:rFonts w:ascii="Arial" w:hAnsi="Arial" w:cs="Arial"/>
                <w:sz w:val="16"/>
                <w:szCs w:val="16"/>
              </w:rPr>
            </w:pPr>
            <w:r w:rsidRPr="00F165B6">
              <w:rPr>
                <w:rFonts w:ascii="Arial" w:hAnsi="Arial" w:cs="Arial"/>
                <w:sz w:val="16"/>
                <w:szCs w:val="16"/>
              </w:rPr>
              <w:t>0.569</w:t>
            </w:r>
          </w:p>
        </w:tc>
      </w:tr>
      <w:tr w:rsidR="00F165B6" w:rsidRPr="00F165B6" w14:paraId="2E60E0A9"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DE513F"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Technical competence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DDFD0FB" w14:textId="77777777" w:rsidR="00F165B6" w:rsidRPr="00F165B6" w:rsidRDefault="00F165B6" w:rsidP="00F165B6">
            <w:pPr>
              <w:rPr>
                <w:rFonts w:ascii="Arial" w:hAnsi="Arial" w:cs="Arial"/>
                <w:sz w:val="16"/>
                <w:szCs w:val="16"/>
              </w:rPr>
            </w:pPr>
            <w:r w:rsidRPr="00F165B6">
              <w:rPr>
                <w:rFonts w:ascii="Arial" w:hAnsi="Arial" w:cs="Arial"/>
                <w:sz w:val="16"/>
                <w:szCs w:val="16"/>
              </w:rPr>
              <w:t>0.518</w:t>
            </w:r>
          </w:p>
        </w:tc>
      </w:tr>
      <w:tr w:rsidR="00F165B6" w:rsidRPr="00F165B6" w14:paraId="04E0A6E8"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978511"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Ethics, compliance and professionalism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D8B691" w14:textId="77777777" w:rsidR="00F165B6" w:rsidRPr="00F165B6" w:rsidRDefault="00F165B6" w:rsidP="00F165B6">
            <w:pPr>
              <w:rPr>
                <w:rFonts w:ascii="Arial" w:hAnsi="Arial" w:cs="Arial"/>
                <w:sz w:val="16"/>
                <w:szCs w:val="16"/>
              </w:rPr>
            </w:pPr>
            <w:r w:rsidRPr="00F165B6">
              <w:rPr>
                <w:rFonts w:ascii="Arial" w:hAnsi="Arial" w:cs="Arial"/>
                <w:sz w:val="16"/>
                <w:szCs w:val="16"/>
              </w:rPr>
              <w:t>0.492</w:t>
            </w:r>
          </w:p>
        </w:tc>
      </w:tr>
      <w:tr w:rsidR="00F165B6" w:rsidRPr="00F165B6" w14:paraId="4D9F48C0"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96FB7AC" w14:textId="77777777" w:rsidR="00F165B6" w:rsidRPr="00F165B6" w:rsidRDefault="00F165B6" w:rsidP="00F165B6">
            <w:pPr>
              <w:rPr>
                <w:rFonts w:ascii="Arial" w:hAnsi="Arial" w:cs="Arial"/>
                <w:sz w:val="16"/>
                <w:szCs w:val="16"/>
              </w:rPr>
            </w:pPr>
            <w:r w:rsidRPr="00F165B6">
              <w:rPr>
                <w:rFonts w:ascii="Arial" w:hAnsi="Arial" w:cs="Arial"/>
                <w:sz w:val="16"/>
                <w:szCs w:val="16"/>
              </w:rPr>
              <w:t>Independent assurance</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E60D77" w14:textId="77777777" w:rsidR="00F165B6" w:rsidRPr="00F165B6" w:rsidRDefault="00F165B6" w:rsidP="00F165B6">
            <w:pPr>
              <w:rPr>
                <w:rFonts w:ascii="Arial" w:hAnsi="Arial" w:cs="Arial"/>
                <w:sz w:val="16"/>
                <w:szCs w:val="16"/>
              </w:rPr>
            </w:pPr>
            <w:r w:rsidRPr="00F165B6">
              <w:rPr>
                <w:rFonts w:ascii="Arial" w:hAnsi="Arial" w:cs="Arial"/>
                <w:sz w:val="16"/>
                <w:szCs w:val="16"/>
              </w:rPr>
              <w:t>0.434</w:t>
            </w:r>
          </w:p>
        </w:tc>
      </w:tr>
      <w:tr w:rsidR="00F165B6" w:rsidRPr="00F165B6" w14:paraId="1FD35F46"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B6C244"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Financial management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47A6B5" w14:textId="77777777" w:rsidR="00F165B6" w:rsidRPr="00F165B6" w:rsidRDefault="00F165B6" w:rsidP="00F165B6">
            <w:pPr>
              <w:rPr>
                <w:rFonts w:ascii="Arial" w:hAnsi="Arial" w:cs="Arial"/>
                <w:sz w:val="16"/>
                <w:szCs w:val="16"/>
              </w:rPr>
            </w:pPr>
            <w:r w:rsidRPr="00F165B6">
              <w:rPr>
                <w:rFonts w:ascii="Arial" w:hAnsi="Arial" w:cs="Arial"/>
                <w:sz w:val="16"/>
                <w:szCs w:val="16"/>
              </w:rPr>
              <w:t>0.334</w:t>
            </w:r>
          </w:p>
        </w:tc>
      </w:tr>
      <w:tr w:rsidR="00F165B6" w:rsidRPr="00F165B6" w14:paraId="39B761A5"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AFABB07"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Compliance, standards and regulations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E5B0AB" w14:textId="77777777" w:rsidR="00F165B6" w:rsidRPr="00F165B6" w:rsidRDefault="00F165B6" w:rsidP="00F165B6">
            <w:pPr>
              <w:rPr>
                <w:rFonts w:ascii="Arial" w:hAnsi="Arial" w:cs="Arial"/>
                <w:sz w:val="16"/>
                <w:szCs w:val="16"/>
              </w:rPr>
            </w:pPr>
            <w:r w:rsidRPr="00F165B6">
              <w:rPr>
                <w:rFonts w:ascii="Arial" w:hAnsi="Arial" w:cs="Arial"/>
                <w:sz w:val="16"/>
                <w:szCs w:val="16"/>
              </w:rPr>
              <w:t>0.161</w:t>
            </w:r>
          </w:p>
        </w:tc>
      </w:tr>
      <w:tr w:rsidR="00F165B6" w:rsidRPr="00F165B6" w14:paraId="3135B6E6"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29C265"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Commercial management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137329" w14:textId="77777777" w:rsidR="00F165B6" w:rsidRPr="00F165B6" w:rsidRDefault="00F165B6" w:rsidP="00F165B6">
            <w:pPr>
              <w:rPr>
                <w:rFonts w:ascii="Arial" w:hAnsi="Arial" w:cs="Arial"/>
                <w:sz w:val="16"/>
                <w:szCs w:val="16"/>
              </w:rPr>
            </w:pPr>
            <w:r w:rsidRPr="00F165B6">
              <w:rPr>
                <w:rFonts w:ascii="Arial" w:hAnsi="Arial" w:cs="Arial"/>
                <w:sz w:val="16"/>
                <w:szCs w:val="16"/>
              </w:rPr>
              <w:t>0.151</w:t>
            </w:r>
          </w:p>
        </w:tc>
      </w:tr>
      <w:tr w:rsidR="00F165B6" w:rsidRPr="00F165B6" w14:paraId="0BA2F034"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B66893"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Risk and opportunity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D6B323" w14:textId="77777777" w:rsidR="00F165B6" w:rsidRPr="00F165B6" w:rsidRDefault="00F165B6" w:rsidP="00F165B6">
            <w:pPr>
              <w:rPr>
                <w:rFonts w:ascii="Arial" w:hAnsi="Arial" w:cs="Arial"/>
                <w:sz w:val="16"/>
                <w:szCs w:val="16"/>
              </w:rPr>
            </w:pPr>
            <w:r w:rsidRPr="00F165B6">
              <w:rPr>
                <w:rFonts w:ascii="Arial" w:hAnsi="Arial" w:cs="Arial"/>
                <w:sz w:val="16"/>
                <w:szCs w:val="16"/>
              </w:rPr>
              <w:t>0.147</w:t>
            </w:r>
          </w:p>
        </w:tc>
      </w:tr>
      <w:tr w:rsidR="00F165B6" w:rsidRPr="00F165B6" w14:paraId="06A7C93B"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4E5ADFF" w14:textId="77777777" w:rsidR="00F165B6" w:rsidRPr="00F165B6" w:rsidRDefault="00F165B6" w:rsidP="00F165B6">
            <w:pPr>
              <w:rPr>
                <w:rFonts w:ascii="Arial" w:hAnsi="Arial" w:cs="Arial"/>
                <w:sz w:val="16"/>
                <w:szCs w:val="16"/>
              </w:rPr>
            </w:pPr>
            <w:r w:rsidRPr="00F165B6">
              <w:rPr>
                <w:rFonts w:ascii="Arial" w:hAnsi="Arial" w:cs="Arial"/>
                <w:sz w:val="16"/>
                <w:szCs w:val="16"/>
              </w:rPr>
              <w:t xml:space="preserve">Capability development </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50BE77" w14:textId="77777777" w:rsidR="00F165B6" w:rsidRPr="00F165B6" w:rsidRDefault="00F165B6" w:rsidP="00F165B6">
            <w:pPr>
              <w:rPr>
                <w:rFonts w:ascii="Arial" w:hAnsi="Arial" w:cs="Arial"/>
                <w:sz w:val="16"/>
                <w:szCs w:val="16"/>
              </w:rPr>
            </w:pPr>
            <w:r w:rsidRPr="00F165B6">
              <w:rPr>
                <w:rFonts w:ascii="Arial" w:hAnsi="Arial" w:cs="Arial"/>
                <w:sz w:val="16"/>
                <w:szCs w:val="16"/>
              </w:rPr>
              <w:t>0.143</w:t>
            </w:r>
          </w:p>
        </w:tc>
      </w:tr>
      <w:tr w:rsidR="00F165B6" w:rsidRPr="00F165B6" w14:paraId="09F01BA6" w14:textId="77777777" w:rsidTr="004F5D57">
        <w:trPr>
          <w:trHeight w:val="465"/>
        </w:trPr>
        <w:tc>
          <w:tcPr>
            <w:tcW w:w="53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DF826B" w14:textId="77777777" w:rsidR="00F165B6" w:rsidRPr="00F165B6" w:rsidRDefault="00F165B6" w:rsidP="00F165B6">
            <w:pPr>
              <w:rPr>
                <w:rFonts w:ascii="Arial" w:hAnsi="Arial" w:cs="Arial"/>
                <w:sz w:val="16"/>
                <w:szCs w:val="16"/>
              </w:rPr>
            </w:pPr>
            <w:r w:rsidRPr="00F165B6">
              <w:rPr>
                <w:rFonts w:ascii="Arial" w:hAnsi="Arial" w:cs="Arial"/>
                <w:sz w:val="16"/>
                <w:szCs w:val="16"/>
              </w:rPr>
              <w:t>Political competence (self-confidence, social astuteness and ability to influence others)</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9B4699" w14:textId="77777777" w:rsidR="00F165B6" w:rsidRPr="00F165B6" w:rsidRDefault="00F165B6" w:rsidP="00F165B6">
            <w:pPr>
              <w:rPr>
                <w:rFonts w:ascii="Arial" w:hAnsi="Arial" w:cs="Arial"/>
                <w:sz w:val="16"/>
                <w:szCs w:val="16"/>
              </w:rPr>
            </w:pPr>
            <w:r w:rsidRPr="00F165B6">
              <w:rPr>
                <w:rFonts w:ascii="Arial" w:hAnsi="Arial" w:cs="Arial"/>
                <w:sz w:val="16"/>
                <w:szCs w:val="16"/>
              </w:rPr>
              <w:t>0.118</w:t>
            </w:r>
          </w:p>
        </w:tc>
      </w:tr>
      <w:tr w:rsidR="00F165B6" w:rsidRPr="00F165B6" w14:paraId="5B12E0F5" w14:textId="77777777" w:rsidTr="004F5D57">
        <w:trPr>
          <w:trHeight w:val="300"/>
        </w:trPr>
        <w:tc>
          <w:tcPr>
            <w:tcW w:w="53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616E65" w14:textId="77777777" w:rsidR="00F165B6" w:rsidRPr="00F165B6" w:rsidRDefault="00F165B6" w:rsidP="00F165B6">
            <w:pPr>
              <w:rPr>
                <w:rFonts w:ascii="Arial" w:hAnsi="Arial" w:cs="Arial"/>
                <w:sz w:val="16"/>
                <w:szCs w:val="16"/>
              </w:rPr>
            </w:pPr>
            <w:r w:rsidRPr="00F165B6">
              <w:rPr>
                <w:rFonts w:ascii="Arial" w:hAnsi="Arial" w:cs="Arial"/>
                <w:sz w:val="16"/>
                <w:szCs w:val="16"/>
              </w:rPr>
              <w:t>Politics and use of power</w:t>
            </w:r>
          </w:p>
        </w:tc>
        <w:tc>
          <w:tcPr>
            <w:tcW w:w="25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3D4F048" w14:textId="77777777" w:rsidR="00F165B6" w:rsidRPr="00F165B6" w:rsidRDefault="00F165B6" w:rsidP="00F165B6">
            <w:pPr>
              <w:rPr>
                <w:rFonts w:ascii="Arial" w:hAnsi="Arial" w:cs="Arial"/>
                <w:sz w:val="16"/>
                <w:szCs w:val="16"/>
              </w:rPr>
            </w:pPr>
            <w:r w:rsidRPr="00F165B6">
              <w:rPr>
                <w:rFonts w:ascii="Arial" w:hAnsi="Arial" w:cs="Arial"/>
                <w:sz w:val="16"/>
                <w:szCs w:val="16"/>
              </w:rPr>
              <w:t>0.081</w:t>
            </w:r>
          </w:p>
        </w:tc>
      </w:tr>
    </w:tbl>
    <w:p w14:paraId="7E4CF8EF" w14:textId="77777777" w:rsidR="00F165B6" w:rsidRPr="00F165B6" w:rsidRDefault="00F165B6" w:rsidP="00F165B6">
      <w:pPr>
        <w:rPr>
          <w:rFonts w:ascii="Arial" w:hAnsi="Arial" w:cs="Arial"/>
        </w:rPr>
      </w:pPr>
    </w:p>
    <w:p w14:paraId="69F6D22C" w14:textId="77777777" w:rsidR="00F165B6" w:rsidRPr="00F165B6" w:rsidRDefault="00F165B6" w:rsidP="00F165B6">
      <w:pPr>
        <w:rPr>
          <w:rFonts w:ascii="Arial" w:hAnsi="Arial" w:cs="Arial"/>
        </w:rPr>
      </w:pPr>
    </w:p>
    <w:p w14:paraId="3CE9CACF" w14:textId="6F1A66A4" w:rsidR="00F165B6" w:rsidRDefault="00F165B6" w:rsidP="00F165B6">
      <w:pPr>
        <w:rPr>
          <w:rFonts w:ascii="Arial" w:hAnsi="Arial" w:cs="Arial"/>
        </w:rPr>
      </w:pPr>
      <w:bookmarkStart w:id="1611" w:name="_Hlk64919156"/>
      <w:r w:rsidRPr="00F165B6">
        <w:rPr>
          <w:rFonts w:ascii="Arial" w:hAnsi="Arial" w:cs="Arial"/>
        </w:rPr>
        <w:t xml:space="preserve">APPENDIX 2: LINK TO ONLINE QUESTIONNAIRE SURVEY  </w:t>
      </w:r>
    </w:p>
    <w:p w14:paraId="62E098C0" w14:textId="33EDA601" w:rsidR="008C1A31" w:rsidRDefault="00257087" w:rsidP="00F165B6">
      <w:pPr>
        <w:rPr>
          <w:rFonts w:ascii="Arial" w:hAnsi="Arial" w:cs="Arial"/>
        </w:rPr>
      </w:pPr>
      <w:hyperlink r:id="rId212" w:history="1">
        <w:r w:rsidR="008C1A31" w:rsidRPr="008C1A31">
          <w:rPr>
            <w:color w:val="0000FF"/>
            <w:u w:val="single"/>
          </w:rPr>
          <w:t>Questionnaire survey for thesis.pdf</w:t>
        </w:r>
      </w:hyperlink>
    </w:p>
    <w:p w14:paraId="11DF5FFE" w14:textId="77777777" w:rsidR="008C1A31" w:rsidRPr="00F165B6" w:rsidRDefault="008C1A31" w:rsidP="00F165B6">
      <w:pPr>
        <w:rPr>
          <w:rFonts w:ascii="Arial" w:hAnsi="Arial" w:cs="Arial"/>
        </w:rPr>
      </w:pPr>
    </w:p>
    <w:bookmarkEnd w:id="1611"/>
    <w:p w14:paraId="7E1AEBCA" w14:textId="72550EA1" w:rsidR="00B54365" w:rsidRDefault="00B54365" w:rsidP="00F165B6">
      <w:pPr>
        <w:rPr>
          <w:rFonts w:ascii="Arial" w:hAnsi="Arial" w:cs="Arial"/>
        </w:rPr>
      </w:pPr>
    </w:p>
    <w:p w14:paraId="441F1C17" w14:textId="77777777" w:rsidR="00484ACA" w:rsidRPr="00F165B6" w:rsidRDefault="00484ACA" w:rsidP="00F165B6">
      <w:pPr>
        <w:rPr>
          <w:rFonts w:ascii="Arial" w:hAnsi="Arial" w:cs="Arial"/>
        </w:rPr>
      </w:pPr>
    </w:p>
    <w:p w14:paraId="68026759" w14:textId="4D9F450F" w:rsidR="00F165B6" w:rsidRPr="00F165B6" w:rsidRDefault="00F165B6" w:rsidP="00F165B6">
      <w:pPr>
        <w:rPr>
          <w:rFonts w:ascii="Arial" w:hAnsi="Arial" w:cs="Arial"/>
        </w:rPr>
      </w:pPr>
      <w:r w:rsidRPr="00F165B6">
        <w:rPr>
          <w:rFonts w:ascii="Arial" w:hAnsi="Arial" w:cs="Arial"/>
        </w:rPr>
        <w:lastRenderedPageBreak/>
        <w:t xml:space="preserve">APPENDIX 3: </w:t>
      </w:r>
      <w:r w:rsidR="00683D93" w:rsidRPr="00F165B6">
        <w:rPr>
          <w:rFonts w:ascii="Arial" w:hAnsi="Arial" w:cs="Arial"/>
        </w:rPr>
        <w:t>SEMI</w:t>
      </w:r>
      <w:r w:rsidR="00683D93">
        <w:rPr>
          <w:rFonts w:ascii="Arial" w:hAnsi="Arial" w:cs="Arial"/>
        </w:rPr>
        <w:t>-</w:t>
      </w:r>
      <w:r w:rsidRPr="00F165B6">
        <w:rPr>
          <w:rFonts w:ascii="Arial" w:hAnsi="Arial" w:cs="Arial"/>
        </w:rPr>
        <w:t xml:space="preserve">STRUCTURED INTERVIEW QUESTIONS  </w:t>
      </w:r>
    </w:p>
    <w:p w14:paraId="3F43ACA1" w14:textId="77777777" w:rsidR="00F165B6" w:rsidRPr="00F165B6" w:rsidRDefault="00F165B6" w:rsidP="00F165B6">
      <w:pPr>
        <w:rPr>
          <w:rFonts w:ascii="Arial" w:hAnsi="Arial" w:cs="Arial"/>
          <w:b/>
        </w:rPr>
      </w:pPr>
      <w:r w:rsidRPr="00F165B6">
        <w:rPr>
          <w:rFonts w:ascii="Arial" w:hAnsi="Arial" w:cs="Arial"/>
          <w:b/>
        </w:rPr>
        <w:t xml:space="preserve">Securing Real Estate Project Development Finance in Developed and Emerging Economies </w:t>
      </w:r>
    </w:p>
    <w:p w14:paraId="22427A87" w14:textId="77777777" w:rsidR="00F165B6" w:rsidRPr="00F165B6" w:rsidRDefault="00F165B6" w:rsidP="00F165B6">
      <w:pPr>
        <w:rPr>
          <w:rFonts w:ascii="Arial" w:hAnsi="Arial" w:cs="Arial"/>
          <w:b/>
        </w:rPr>
      </w:pPr>
      <w:r w:rsidRPr="00F165B6">
        <w:rPr>
          <w:rFonts w:ascii="Arial" w:hAnsi="Arial" w:cs="Arial"/>
          <w:b/>
        </w:rPr>
        <w:t>Interview questions for managers in the real estate sector</w:t>
      </w:r>
    </w:p>
    <w:p w14:paraId="6B633EF1" w14:textId="77777777" w:rsidR="00F165B6" w:rsidRPr="00F165B6" w:rsidRDefault="00F165B6" w:rsidP="00F165B6">
      <w:pPr>
        <w:rPr>
          <w:rFonts w:ascii="Arial" w:hAnsi="Arial" w:cs="Arial"/>
        </w:rPr>
      </w:pPr>
    </w:p>
    <w:p w14:paraId="5972A2B4" w14:textId="77777777" w:rsidR="00F165B6" w:rsidRPr="00F165B6" w:rsidRDefault="00F165B6" w:rsidP="00F165B6">
      <w:pPr>
        <w:rPr>
          <w:rFonts w:ascii="Arial" w:hAnsi="Arial" w:cs="Arial"/>
        </w:rPr>
      </w:pPr>
      <w:r w:rsidRPr="00F165B6">
        <w:rPr>
          <w:rFonts w:ascii="Arial" w:hAnsi="Arial" w:cs="Arial"/>
        </w:rPr>
        <w:t>Name of Company:</w:t>
      </w:r>
    </w:p>
    <w:p w14:paraId="1DD8B6AC" w14:textId="77777777" w:rsidR="00F165B6" w:rsidRPr="00F165B6" w:rsidRDefault="00F165B6" w:rsidP="00F165B6">
      <w:pPr>
        <w:rPr>
          <w:rFonts w:ascii="Arial" w:hAnsi="Arial" w:cs="Arial"/>
        </w:rPr>
      </w:pPr>
      <w:r w:rsidRPr="00F165B6">
        <w:rPr>
          <w:rFonts w:ascii="Arial" w:hAnsi="Arial" w:cs="Arial"/>
        </w:rPr>
        <w:t>Company Address:</w:t>
      </w:r>
    </w:p>
    <w:p w14:paraId="1DE4B1D0" w14:textId="77777777" w:rsidR="00F165B6" w:rsidRPr="00F165B6" w:rsidRDefault="00F165B6" w:rsidP="00F165B6">
      <w:pPr>
        <w:rPr>
          <w:rFonts w:ascii="Arial" w:hAnsi="Arial" w:cs="Arial"/>
        </w:rPr>
      </w:pPr>
      <w:r w:rsidRPr="00F165B6">
        <w:rPr>
          <w:rFonts w:ascii="Arial" w:hAnsi="Arial" w:cs="Arial"/>
        </w:rPr>
        <w:t>Name of Manager:</w:t>
      </w:r>
    </w:p>
    <w:p w14:paraId="69863D6B" w14:textId="77777777" w:rsidR="00F165B6" w:rsidRPr="00F165B6" w:rsidRDefault="00F165B6" w:rsidP="00F165B6">
      <w:pPr>
        <w:rPr>
          <w:rFonts w:ascii="Arial" w:hAnsi="Arial" w:cs="Arial"/>
        </w:rPr>
      </w:pPr>
      <w:r w:rsidRPr="00F165B6">
        <w:rPr>
          <w:rFonts w:ascii="Arial" w:hAnsi="Arial" w:cs="Arial"/>
        </w:rPr>
        <w:t>Date:</w:t>
      </w:r>
    </w:p>
    <w:p w14:paraId="5DEF2F4D" w14:textId="77777777" w:rsidR="00F165B6" w:rsidRPr="00F165B6" w:rsidRDefault="00F165B6" w:rsidP="00F165B6">
      <w:pPr>
        <w:rPr>
          <w:rFonts w:ascii="Arial" w:hAnsi="Arial" w:cs="Arial"/>
        </w:rPr>
      </w:pPr>
      <w:r w:rsidRPr="00F165B6">
        <w:rPr>
          <w:rFonts w:ascii="Arial" w:hAnsi="Arial" w:cs="Arial"/>
        </w:rPr>
        <w:t>Commencement of Interview Time:</w:t>
      </w:r>
    </w:p>
    <w:p w14:paraId="3BF6795C" w14:textId="77777777" w:rsidR="00F165B6" w:rsidRPr="00F165B6" w:rsidRDefault="00F165B6" w:rsidP="00F165B6">
      <w:pPr>
        <w:rPr>
          <w:rFonts w:ascii="Arial" w:hAnsi="Arial" w:cs="Arial"/>
        </w:rPr>
      </w:pPr>
      <w:r w:rsidRPr="00F165B6">
        <w:rPr>
          <w:rFonts w:ascii="Arial" w:hAnsi="Arial" w:cs="Arial"/>
        </w:rPr>
        <w:t>End of Interview Time:</w:t>
      </w:r>
    </w:p>
    <w:p w14:paraId="799A96D6" w14:textId="77777777" w:rsidR="00F165B6" w:rsidRPr="00F165B6" w:rsidRDefault="00F165B6" w:rsidP="00F165B6">
      <w:pPr>
        <w:rPr>
          <w:rFonts w:ascii="Arial" w:hAnsi="Arial" w:cs="Arial"/>
        </w:rPr>
      </w:pPr>
      <w:r w:rsidRPr="00F165B6">
        <w:rPr>
          <w:rFonts w:ascii="Arial" w:hAnsi="Arial" w:cs="Arial"/>
        </w:rPr>
        <w:t>Total Interview Time:</w:t>
      </w:r>
    </w:p>
    <w:p w14:paraId="3A997678" w14:textId="77777777" w:rsidR="00F165B6" w:rsidRPr="00F165B6" w:rsidRDefault="00F165B6" w:rsidP="00F165B6">
      <w:pPr>
        <w:rPr>
          <w:rFonts w:ascii="Arial" w:hAnsi="Arial" w:cs="Arial"/>
        </w:rPr>
      </w:pPr>
    </w:p>
    <w:p w14:paraId="2C62B4A2" w14:textId="77777777" w:rsidR="00F165B6" w:rsidRPr="00F165B6" w:rsidRDefault="00F165B6" w:rsidP="00F165B6">
      <w:pPr>
        <w:rPr>
          <w:rFonts w:ascii="Arial" w:hAnsi="Arial" w:cs="Arial"/>
        </w:rPr>
      </w:pPr>
      <w:r w:rsidRPr="00F165B6">
        <w:rPr>
          <w:rFonts w:ascii="Arial" w:hAnsi="Arial" w:cs="Arial"/>
        </w:rPr>
        <w:t>The aim of this research is to develop a tool kit and set of guidance on strategic real estate project development financing to create awareness for the benefit of decision-makers in the real estate sector. Input is solicited from all professionals involved in financing decisions in the real estate development sector.</w:t>
      </w:r>
      <w:r w:rsidRPr="00F165B6">
        <w:rPr>
          <w:rFonts w:ascii="Arial" w:hAnsi="Arial" w:cs="Arial"/>
          <w:b/>
          <w:bCs/>
        </w:rPr>
        <w:t> Please be assured that this interview is strictly for research purpose. Individual responses will remain confidential. The identity of you and that of your company will remain strictly confidential.</w:t>
      </w:r>
    </w:p>
    <w:p w14:paraId="61B878ED" w14:textId="77777777" w:rsidR="00F165B6" w:rsidRPr="00F165B6" w:rsidRDefault="00F165B6" w:rsidP="00F165B6">
      <w:pPr>
        <w:rPr>
          <w:rFonts w:ascii="Arial" w:hAnsi="Arial" w:cs="Arial"/>
          <w:b/>
        </w:rPr>
      </w:pPr>
    </w:p>
    <w:p w14:paraId="7D040046" w14:textId="77777777" w:rsidR="00F165B6" w:rsidRPr="00F165B6" w:rsidRDefault="00F165B6" w:rsidP="00F165B6">
      <w:pPr>
        <w:rPr>
          <w:rFonts w:ascii="Arial" w:hAnsi="Arial" w:cs="Arial"/>
          <w:b/>
          <w:u w:val="single"/>
        </w:rPr>
      </w:pPr>
      <w:r w:rsidRPr="00F165B6">
        <w:rPr>
          <w:rFonts w:ascii="Arial" w:hAnsi="Arial" w:cs="Arial"/>
          <w:b/>
          <w:u w:val="single"/>
        </w:rPr>
        <w:t>Definition of key terms</w:t>
      </w:r>
    </w:p>
    <w:p w14:paraId="1D8B7804" w14:textId="77777777" w:rsidR="00F165B6" w:rsidRPr="00F165B6" w:rsidRDefault="00F165B6" w:rsidP="00F165B6">
      <w:pPr>
        <w:rPr>
          <w:rFonts w:ascii="Arial" w:hAnsi="Arial" w:cs="Arial"/>
          <w:b/>
          <w:u w:val="single"/>
        </w:rPr>
      </w:pPr>
    </w:p>
    <w:p w14:paraId="0A87EB3A" w14:textId="77777777" w:rsidR="00F165B6" w:rsidRPr="00F165B6" w:rsidRDefault="00F165B6" w:rsidP="00F165B6">
      <w:pPr>
        <w:rPr>
          <w:rFonts w:ascii="Arial" w:hAnsi="Arial" w:cs="Arial"/>
        </w:rPr>
      </w:pPr>
      <w:r w:rsidRPr="00F165B6">
        <w:rPr>
          <w:rFonts w:ascii="Arial" w:hAnsi="Arial" w:cs="Arial"/>
        </w:rPr>
        <w:t>Below are definitions of some key terms used in the questions.</w:t>
      </w:r>
    </w:p>
    <w:p w14:paraId="1B57C546" w14:textId="77777777" w:rsidR="00F165B6" w:rsidRPr="00F165B6" w:rsidRDefault="00F165B6" w:rsidP="00F165B6">
      <w:pPr>
        <w:rPr>
          <w:rFonts w:ascii="Arial" w:hAnsi="Arial" w:cs="Arial"/>
        </w:rPr>
      </w:pPr>
    </w:p>
    <w:p w14:paraId="1137C08F" w14:textId="043E5794" w:rsidR="00F165B6" w:rsidRPr="00F165B6" w:rsidRDefault="00F165B6" w:rsidP="00F165B6">
      <w:pPr>
        <w:rPr>
          <w:rFonts w:ascii="Arial" w:hAnsi="Arial" w:cs="Arial"/>
        </w:rPr>
      </w:pPr>
      <w:r w:rsidRPr="00F165B6">
        <w:rPr>
          <w:rFonts w:ascii="Arial" w:hAnsi="Arial" w:cs="Arial"/>
          <w:b/>
        </w:rPr>
        <w:t>Knowledge</w:t>
      </w:r>
      <w:r w:rsidRPr="00F165B6">
        <w:rPr>
          <w:rFonts w:ascii="Arial" w:hAnsi="Arial" w:cs="Arial"/>
        </w:rPr>
        <w:t xml:space="preserve">:  This study aligns its definition of knowledge with that of </w:t>
      </w:r>
      <w:r w:rsidR="00437DC3">
        <w:rPr>
          <w:rFonts w:ascii="Arial" w:hAnsi="Arial" w:cs="Arial"/>
        </w:rPr>
        <w:t xml:space="preserve">the </w:t>
      </w:r>
      <w:r w:rsidRPr="00F165B6">
        <w:rPr>
          <w:rFonts w:ascii="Arial" w:hAnsi="Arial" w:cs="Arial"/>
        </w:rPr>
        <w:t>International Project Management Association (IPMA, 2015). Knowledge is, therefore, the collection of information and experience that an individual possesses. An example could be, understanding the concept of cash flow.</w:t>
      </w:r>
    </w:p>
    <w:p w14:paraId="77E8A1FF" w14:textId="77777777" w:rsidR="00F165B6" w:rsidRPr="00F165B6" w:rsidRDefault="00F165B6" w:rsidP="00F165B6">
      <w:pPr>
        <w:rPr>
          <w:rFonts w:ascii="Arial" w:hAnsi="Arial" w:cs="Arial"/>
        </w:rPr>
      </w:pPr>
      <w:r w:rsidRPr="00F165B6">
        <w:rPr>
          <w:rFonts w:ascii="Arial" w:hAnsi="Arial" w:cs="Arial"/>
          <w:b/>
        </w:rPr>
        <w:t>Skills</w:t>
      </w:r>
      <w:r w:rsidRPr="00F165B6">
        <w:rPr>
          <w:rFonts w:ascii="Arial" w:hAnsi="Arial" w:cs="Arial"/>
        </w:rPr>
        <w:t>:  This study aligns its definition of skill with that of the Royal Institute of Chartered Surveyors (RICS, 2018) and the International Project Management Association (IPMA, 2015).  Skill is the application of Knowledge. Skills are specific capabilities that enable an individual to perform a task. An example of skill could be the ability to develop the cash flow statement for a business.</w:t>
      </w:r>
    </w:p>
    <w:p w14:paraId="178ED09D" w14:textId="689A2517" w:rsidR="00F165B6" w:rsidRPr="00F165B6" w:rsidRDefault="00F165B6" w:rsidP="00F165B6">
      <w:pPr>
        <w:rPr>
          <w:rFonts w:ascii="Arial" w:hAnsi="Arial" w:cs="Arial"/>
        </w:rPr>
      </w:pPr>
      <w:r w:rsidRPr="00F165B6">
        <w:rPr>
          <w:rFonts w:ascii="Arial" w:hAnsi="Arial" w:cs="Arial"/>
          <w:b/>
        </w:rPr>
        <w:t xml:space="preserve">Competence: </w:t>
      </w:r>
      <w:r w:rsidRPr="00F165B6">
        <w:rPr>
          <w:rFonts w:ascii="Arial" w:hAnsi="Arial" w:cs="Arial"/>
        </w:rPr>
        <w:t xml:space="preserve">Competence refers to being able to do something effectively. Competence enables the skilled personnel to be termed a professional (Lester, 2014). Competence depicts superior work performance (Boyatzis, 1982). To be competent or show competence, entails having some skills, knowledge and personality traits that lead to superior performance.  An individual becomes competent through a combination of education, </w:t>
      </w:r>
      <w:r w:rsidRPr="00F165B6">
        <w:rPr>
          <w:rFonts w:ascii="Arial" w:hAnsi="Arial" w:cs="Arial"/>
        </w:rPr>
        <w:lastRenderedPageBreak/>
        <w:t xml:space="preserve">training and work practice resulting in the ability to perform tasks and roles to the expected standards set by business and the industry. </w:t>
      </w:r>
    </w:p>
    <w:p w14:paraId="7A70C8E6" w14:textId="77777777" w:rsidR="00F165B6" w:rsidRPr="00F165B6" w:rsidRDefault="00F165B6" w:rsidP="00F165B6">
      <w:pPr>
        <w:rPr>
          <w:rFonts w:ascii="Arial" w:hAnsi="Arial" w:cs="Arial"/>
          <w:b/>
        </w:rPr>
      </w:pPr>
      <w:r w:rsidRPr="00F165B6">
        <w:rPr>
          <w:rFonts w:ascii="Arial" w:hAnsi="Arial" w:cs="Arial"/>
          <w:b/>
        </w:rPr>
        <w:t>Background: general information</w:t>
      </w:r>
    </w:p>
    <w:p w14:paraId="53D8253A" w14:textId="77777777" w:rsidR="00F165B6" w:rsidRPr="00F165B6" w:rsidRDefault="00F165B6" w:rsidP="00F165B6">
      <w:pPr>
        <w:numPr>
          <w:ilvl w:val="0"/>
          <w:numId w:val="292"/>
        </w:numPr>
        <w:rPr>
          <w:rFonts w:ascii="Arial" w:hAnsi="Arial" w:cs="Arial"/>
        </w:rPr>
      </w:pPr>
      <w:r w:rsidRPr="00F165B6">
        <w:rPr>
          <w:rFonts w:ascii="Arial" w:hAnsi="Arial" w:cs="Arial"/>
        </w:rPr>
        <w:t>In which country do you operate?</w:t>
      </w:r>
    </w:p>
    <w:p w14:paraId="2618FDB6" w14:textId="229829C0" w:rsidR="00F165B6" w:rsidRPr="00F165B6" w:rsidRDefault="00F165B6" w:rsidP="00F165B6">
      <w:pPr>
        <w:numPr>
          <w:ilvl w:val="0"/>
          <w:numId w:val="292"/>
        </w:numPr>
        <w:rPr>
          <w:rFonts w:ascii="Arial" w:hAnsi="Arial" w:cs="Arial"/>
        </w:rPr>
      </w:pPr>
      <w:r w:rsidRPr="00F165B6">
        <w:rPr>
          <w:rFonts w:ascii="Arial" w:hAnsi="Arial" w:cs="Arial"/>
        </w:rPr>
        <w:t xml:space="preserve">What is your company staff strength, </w:t>
      </w:r>
      <w:r w:rsidR="00905E3E" w:rsidRPr="00F165B6">
        <w:rPr>
          <w:rFonts w:ascii="Arial" w:hAnsi="Arial" w:cs="Arial"/>
        </w:rPr>
        <w:t>i.e.,</w:t>
      </w:r>
      <w:r w:rsidRPr="00F165B6">
        <w:rPr>
          <w:rFonts w:ascii="Arial" w:hAnsi="Arial" w:cs="Arial"/>
        </w:rPr>
        <w:t xml:space="preserve"> the number of staff?</w:t>
      </w:r>
    </w:p>
    <w:p w14:paraId="27C9E837" w14:textId="77777777" w:rsidR="00F165B6" w:rsidRPr="00F165B6" w:rsidRDefault="00F165B6" w:rsidP="00F165B6">
      <w:pPr>
        <w:numPr>
          <w:ilvl w:val="0"/>
          <w:numId w:val="292"/>
        </w:numPr>
        <w:rPr>
          <w:rFonts w:ascii="Arial" w:hAnsi="Arial" w:cs="Arial"/>
        </w:rPr>
      </w:pPr>
      <w:r w:rsidRPr="00F165B6">
        <w:rPr>
          <w:rFonts w:ascii="Arial" w:hAnsi="Arial" w:cs="Arial"/>
        </w:rPr>
        <w:t>Career path: Please kindly give me some insights into your education and previous work experiences in chronological order?</w:t>
      </w:r>
    </w:p>
    <w:p w14:paraId="75AAB404" w14:textId="77777777" w:rsidR="00F165B6" w:rsidRPr="00F165B6" w:rsidRDefault="00F165B6" w:rsidP="00F165B6">
      <w:pPr>
        <w:rPr>
          <w:rFonts w:ascii="Arial" w:hAnsi="Arial" w:cs="Arial"/>
          <w:b/>
        </w:rPr>
      </w:pPr>
      <w:r w:rsidRPr="00F165B6">
        <w:rPr>
          <w:rFonts w:ascii="Arial" w:hAnsi="Arial" w:cs="Arial"/>
          <w:b/>
        </w:rPr>
        <w:t>Section A: Real estate finance instruments</w:t>
      </w:r>
    </w:p>
    <w:p w14:paraId="30C8E7C7" w14:textId="722935C0" w:rsidR="00F165B6" w:rsidRPr="00F165B6" w:rsidRDefault="00F165B6" w:rsidP="00F165B6">
      <w:pPr>
        <w:numPr>
          <w:ilvl w:val="0"/>
          <w:numId w:val="292"/>
        </w:numPr>
        <w:rPr>
          <w:rFonts w:ascii="Arial" w:hAnsi="Arial" w:cs="Arial"/>
        </w:rPr>
      </w:pPr>
      <w:r w:rsidRPr="00F165B6">
        <w:rPr>
          <w:rFonts w:ascii="Arial" w:hAnsi="Arial" w:cs="Arial"/>
        </w:rPr>
        <w:t xml:space="preserve">Please give me some insights into the types/ sources of funding you use for your project development? </w:t>
      </w:r>
    </w:p>
    <w:p w14:paraId="46F2D594" w14:textId="31FFF6C5" w:rsidR="00F165B6" w:rsidRPr="00F165B6" w:rsidRDefault="00F165B6" w:rsidP="00F165B6">
      <w:pPr>
        <w:rPr>
          <w:rFonts w:ascii="Arial" w:hAnsi="Arial" w:cs="Arial"/>
          <w:b/>
        </w:rPr>
      </w:pPr>
      <w:r w:rsidRPr="00F165B6">
        <w:rPr>
          <w:rFonts w:ascii="Arial" w:hAnsi="Arial" w:cs="Arial"/>
          <w:b/>
        </w:rPr>
        <w:t>Section B: The challenges affecting and opportunities available to managers in real estate project financing.</w:t>
      </w:r>
    </w:p>
    <w:p w14:paraId="6CF85E90" w14:textId="77777777" w:rsidR="00F165B6" w:rsidRPr="00F165B6" w:rsidRDefault="00F165B6" w:rsidP="00F165B6">
      <w:pPr>
        <w:numPr>
          <w:ilvl w:val="0"/>
          <w:numId w:val="292"/>
        </w:numPr>
        <w:rPr>
          <w:rFonts w:ascii="Arial" w:hAnsi="Arial" w:cs="Arial"/>
        </w:rPr>
      </w:pPr>
      <w:r w:rsidRPr="00F165B6">
        <w:rPr>
          <w:rFonts w:ascii="Arial" w:hAnsi="Arial" w:cs="Arial"/>
        </w:rPr>
        <w:t xml:space="preserve">What are the major challenges you encounter in the process of securing funding for your project development? </w:t>
      </w:r>
    </w:p>
    <w:p w14:paraId="0F50A550" w14:textId="03B6CDBC" w:rsidR="00F165B6" w:rsidRPr="00F165B6" w:rsidRDefault="00905E3E" w:rsidP="00F165B6">
      <w:pPr>
        <w:numPr>
          <w:ilvl w:val="0"/>
          <w:numId w:val="292"/>
        </w:numPr>
        <w:rPr>
          <w:rFonts w:ascii="Arial" w:hAnsi="Arial" w:cs="Arial"/>
        </w:rPr>
      </w:pPr>
      <w:r>
        <w:rPr>
          <w:rFonts w:ascii="Arial" w:hAnsi="Arial" w:cs="Arial"/>
        </w:rPr>
        <w:t>Could you give</w:t>
      </w:r>
      <w:r w:rsidR="00F165B6" w:rsidRPr="00F165B6">
        <w:rPr>
          <w:rFonts w:ascii="Arial" w:hAnsi="Arial" w:cs="Arial"/>
        </w:rPr>
        <w:t xml:space="preserve"> me some specific examples of opportunities available to you that facilitates your ability to secure funding for </w:t>
      </w:r>
      <w:r>
        <w:rPr>
          <w:rFonts w:ascii="Arial" w:hAnsi="Arial" w:cs="Arial"/>
        </w:rPr>
        <w:t xml:space="preserve">real estate </w:t>
      </w:r>
      <w:r w:rsidR="00F165B6" w:rsidRPr="00F165B6">
        <w:rPr>
          <w:rFonts w:ascii="Arial" w:hAnsi="Arial" w:cs="Arial"/>
        </w:rPr>
        <w:t>project development?</w:t>
      </w:r>
    </w:p>
    <w:p w14:paraId="4A8F6375" w14:textId="4901614D" w:rsidR="00F165B6" w:rsidRPr="00F165B6" w:rsidRDefault="00F165B6" w:rsidP="00F165B6">
      <w:pPr>
        <w:rPr>
          <w:rFonts w:ascii="Arial" w:hAnsi="Arial" w:cs="Arial"/>
          <w:b/>
        </w:rPr>
      </w:pPr>
      <w:r w:rsidRPr="00F165B6">
        <w:rPr>
          <w:rFonts w:ascii="Arial" w:hAnsi="Arial" w:cs="Arial"/>
          <w:b/>
        </w:rPr>
        <w:t xml:space="preserve">Section C: Documentation </w:t>
      </w:r>
      <w:r w:rsidR="00905E3E" w:rsidRPr="00F165B6">
        <w:rPr>
          <w:rFonts w:ascii="Arial" w:hAnsi="Arial" w:cs="Arial"/>
          <w:b/>
        </w:rPr>
        <w:t>required,</w:t>
      </w:r>
      <w:r w:rsidRPr="00F165B6">
        <w:rPr>
          <w:rFonts w:ascii="Arial" w:hAnsi="Arial" w:cs="Arial"/>
          <w:b/>
        </w:rPr>
        <w:t xml:space="preserve"> and criteria funding institutions use in</w:t>
      </w:r>
    </w:p>
    <w:p w14:paraId="79E756CB" w14:textId="77777777" w:rsidR="00F165B6" w:rsidRPr="00F165B6" w:rsidRDefault="00F165B6" w:rsidP="00F165B6">
      <w:pPr>
        <w:rPr>
          <w:rFonts w:ascii="Arial" w:hAnsi="Arial" w:cs="Arial"/>
          <w:b/>
        </w:rPr>
      </w:pPr>
      <w:r w:rsidRPr="00F165B6">
        <w:rPr>
          <w:rFonts w:ascii="Arial" w:hAnsi="Arial" w:cs="Arial"/>
          <w:b/>
        </w:rPr>
        <w:t>lending for a real estate development</w:t>
      </w:r>
    </w:p>
    <w:p w14:paraId="3AF99B0A" w14:textId="5DDCE02B" w:rsidR="00F165B6" w:rsidRPr="00F165B6" w:rsidRDefault="00F165B6" w:rsidP="00F165B6">
      <w:pPr>
        <w:numPr>
          <w:ilvl w:val="0"/>
          <w:numId w:val="292"/>
        </w:numPr>
        <w:rPr>
          <w:rFonts w:ascii="Arial" w:hAnsi="Arial" w:cs="Arial"/>
        </w:rPr>
      </w:pPr>
      <w:r w:rsidRPr="00F165B6">
        <w:rPr>
          <w:rFonts w:ascii="Arial" w:hAnsi="Arial" w:cs="Arial"/>
        </w:rPr>
        <w:t>What are the main criteria required of you by funding institutions to avail you with you</w:t>
      </w:r>
      <w:r w:rsidR="00437DC3">
        <w:rPr>
          <w:rFonts w:ascii="Arial" w:hAnsi="Arial" w:cs="Arial"/>
        </w:rPr>
        <w:t>r</w:t>
      </w:r>
      <w:r w:rsidRPr="00F165B6">
        <w:rPr>
          <w:rFonts w:ascii="Arial" w:hAnsi="Arial" w:cs="Arial"/>
        </w:rPr>
        <w:t xml:space="preserve"> project development funds?</w:t>
      </w:r>
    </w:p>
    <w:p w14:paraId="14BD9AB0" w14:textId="77777777" w:rsidR="00F165B6" w:rsidRPr="00F165B6" w:rsidRDefault="00F165B6" w:rsidP="00F165B6">
      <w:pPr>
        <w:numPr>
          <w:ilvl w:val="0"/>
          <w:numId w:val="292"/>
        </w:numPr>
        <w:rPr>
          <w:rFonts w:ascii="Arial" w:hAnsi="Arial" w:cs="Arial"/>
        </w:rPr>
      </w:pPr>
      <w:r w:rsidRPr="00F165B6">
        <w:rPr>
          <w:rFonts w:ascii="Arial" w:hAnsi="Arial" w:cs="Arial"/>
        </w:rPr>
        <w:t xml:space="preserve">How challenging is it for you to provide these criteria? </w:t>
      </w:r>
    </w:p>
    <w:p w14:paraId="70CA0CFE" w14:textId="77777777" w:rsidR="00F165B6" w:rsidRPr="00F165B6" w:rsidRDefault="00F165B6" w:rsidP="00F165B6">
      <w:pPr>
        <w:rPr>
          <w:rFonts w:ascii="Arial" w:hAnsi="Arial" w:cs="Arial"/>
        </w:rPr>
      </w:pPr>
      <w:r w:rsidRPr="00F165B6">
        <w:rPr>
          <w:rFonts w:ascii="Arial" w:hAnsi="Arial" w:cs="Arial"/>
          <w:b/>
        </w:rPr>
        <w:t>Section D: Process map and decision-making process associated with funding for real estate project development.</w:t>
      </w:r>
    </w:p>
    <w:p w14:paraId="126168A8" w14:textId="43AAAC52" w:rsidR="00F165B6" w:rsidRPr="00F165B6" w:rsidRDefault="00F165B6" w:rsidP="00F165B6">
      <w:pPr>
        <w:numPr>
          <w:ilvl w:val="0"/>
          <w:numId w:val="292"/>
        </w:numPr>
        <w:rPr>
          <w:rFonts w:ascii="Arial" w:hAnsi="Arial" w:cs="Arial"/>
        </w:rPr>
      </w:pPr>
      <w:r w:rsidRPr="00F165B6">
        <w:rPr>
          <w:rFonts w:ascii="Arial" w:hAnsi="Arial" w:cs="Arial"/>
        </w:rPr>
        <w:t>Please give me some insights into the processes and key decisions you undertake when sourcing funding for your project development?</w:t>
      </w:r>
    </w:p>
    <w:p w14:paraId="0A67B23E" w14:textId="569509ED" w:rsidR="00F165B6" w:rsidRPr="00F165B6" w:rsidRDefault="00F165B6" w:rsidP="00F165B6">
      <w:pPr>
        <w:rPr>
          <w:rFonts w:ascii="Arial" w:hAnsi="Arial" w:cs="Arial"/>
          <w:b/>
        </w:rPr>
      </w:pPr>
      <w:r w:rsidRPr="00F165B6">
        <w:rPr>
          <w:rFonts w:ascii="Arial" w:hAnsi="Arial" w:cs="Arial"/>
        </w:rPr>
        <w:t xml:space="preserve"> </w:t>
      </w:r>
      <w:r w:rsidRPr="00F165B6">
        <w:rPr>
          <w:rFonts w:ascii="Arial" w:hAnsi="Arial" w:cs="Arial"/>
          <w:b/>
        </w:rPr>
        <w:t>Section E:  Skills the manager needs to secure funding for projects</w:t>
      </w:r>
    </w:p>
    <w:p w14:paraId="472DAFA4" w14:textId="77777777" w:rsidR="00F165B6" w:rsidRPr="00F165B6" w:rsidRDefault="00F165B6" w:rsidP="00F165B6">
      <w:pPr>
        <w:numPr>
          <w:ilvl w:val="0"/>
          <w:numId w:val="292"/>
        </w:numPr>
        <w:rPr>
          <w:rFonts w:ascii="Arial" w:hAnsi="Arial" w:cs="Arial"/>
        </w:rPr>
      </w:pPr>
      <w:r w:rsidRPr="00F165B6">
        <w:rPr>
          <w:rFonts w:ascii="Arial" w:hAnsi="Arial" w:cs="Arial"/>
        </w:rPr>
        <w:t xml:space="preserve">What specific skills do you have that facilitates your ability to secure funding for your real estate project development? </w:t>
      </w:r>
    </w:p>
    <w:p w14:paraId="3EB80C7B" w14:textId="77777777" w:rsidR="00F165B6" w:rsidRPr="00F165B6" w:rsidRDefault="00F165B6" w:rsidP="00F165B6">
      <w:pPr>
        <w:numPr>
          <w:ilvl w:val="0"/>
          <w:numId w:val="292"/>
        </w:numPr>
        <w:rPr>
          <w:rFonts w:ascii="Arial" w:hAnsi="Arial" w:cs="Arial"/>
        </w:rPr>
      </w:pPr>
      <w:r w:rsidRPr="00F165B6">
        <w:rPr>
          <w:rFonts w:ascii="Arial" w:hAnsi="Arial" w:cs="Arial"/>
        </w:rPr>
        <w:t>What skills do you need to secure project development funds that you do not presently have?</w:t>
      </w:r>
    </w:p>
    <w:p w14:paraId="35C3A5B9" w14:textId="77777777" w:rsidR="00F165B6" w:rsidRPr="00F165B6" w:rsidRDefault="00F165B6" w:rsidP="00F165B6">
      <w:pPr>
        <w:numPr>
          <w:ilvl w:val="0"/>
          <w:numId w:val="292"/>
        </w:numPr>
        <w:rPr>
          <w:rFonts w:ascii="Arial" w:hAnsi="Arial" w:cs="Arial"/>
        </w:rPr>
      </w:pPr>
      <w:r w:rsidRPr="00F165B6">
        <w:rPr>
          <w:rFonts w:ascii="Arial" w:hAnsi="Arial" w:cs="Arial"/>
        </w:rPr>
        <w:t xml:space="preserve">Which of these skills that you do not have will you want to be trained to acquire? </w:t>
      </w:r>
    </w:p>
    <w:p w14:paraId="3F484656" w14:textId="77777777" w:rsidR="00F165B6" w:rsidRPr="00F165B6" w:rsidRDefault="00F165B6" w:rsidP="00F165B6">
      <w:pPr>
        <w:rPr>
          <w:rFonts w:ascii="Arial" w:hAnsi="Arial" w:cs="Arial"/>
          <w:b/>
        </w:rPr>
      </w:pPr>
      <w:r w:rsidRPr="00F165B6">
        <w:rPr>
          <w:rFonts w:ascii="Arial" w:hAnsi="Arial" w:cs="Arial"/>
          <w:b/>
        </w:rPr>
        <w:t>Section F: Knowledge, the manager, needs to be able to secure funding for their projects.</w:t>
      </w:r>
    </w:p>
    <w:p w14:paraId="52BF2576" w14:textId="77777777" w:rsidR="00F165B6" w:rsidRPr="00F165B6" w:rsidRDefault="00F165B6" w:rsidP="00F165B6">
      <w:pPr>
        <w:numPr>
          <w:ilvl w:val="0"/>
          <w:numId w:val="292"/>
        </w:numPr>
        <w:rPr>
          <w:rFonts w:ascii="Arial" w:hAnsi="Arial" w:cs="Arial"/>
        </w:rPr>
      </w:pPr>
      <w:r w:rsidRPr="00F165B6">
        <w:rPr>
          <w:rFonts w:ascii="Arial" w:hAnsi="Arial" w:cs="Arial"/>
        </w:rPr>
        <w:t>What knowledge do you have that facilitates your ability to secure funding for your project development?</w:t>
      </w:r>
    </w:p>
    <w:p w14:paraId="0A0D0001" w14:textId="77777777" w:rsidR="00F165B6" w:rsidRPr="00F165B6" w:rsidRDefault="00F165B6" w:rsidP="00F165B6">
      <w:pPr>
        <w:numPr>
          <w:ilvl w:val="0"/>
          <w:numId w:val="292"/>
        </w:numPr>
        <w:rPr>
          <w:rFonts w:ascii="Arial" w:hAnsi="Arial" w:cs="Arial"/>
        </w:rPr>
      </w:pPr>
      <w:r w:rsidRPr="00F165B6">
        <w:rPr>
          <w:rFonts w:ascii="Arial" w:hAnsi="Arial" w:cs="Arial"/>
        </w:rPr>
        <w:t>What knowledge do you need to secure funding for your project development that you do not presently have?</w:t>
      </w:r>
    </w:p>
    <w:p w14:paraId="2FC5DB90" w14:textId="77777777" w:rsidR="00F165B6" w:rsidRPr="00F165B6" w:rsidRDefault="00F165B6" w:rsidP="00F165B6">
      <w:pPr>
        <w:numPr>
          <w:ilvl w:val="0"/>
          <w:numId w:val="293"/>
        </w:numPr>
        <w:rPr>
          <w:rFonts w:ascii="Arial" w:hAnsi="Arial" w:cs="Arial"/>
        </w:rPr>
      </w:pPr>
      <w:r w:rsidRPr="00F165B6">
        <w:rPr>
          <w:rFonts w:ascii="Arial" w:hAnsi="Arial" w:cs="Arial"/>
        </w:rPr>
        <w:t>Which of the knowledge that you do not have will you want to be trained to acquire?</w:t>
      </w:r>
    </w:p>
    <w:p w14:paraId="26B441CC" w14:textId="77777777" w:rsidR="00F165B6" w:rsidRPr="00F165B6" w:rsidRDefault="00F165B6" w:rsidP="00F165B6">
      <w:pPr>
        <w:rPr>
          <w:rFonts w:ascii="Arial" w:hAnsi="Arial" w:cs="Arial"/>
          <w:b/>
        </w:rPr>
      </w:pPr>
      <w:r w:rsidRPr="00F165B6">
        <w:rPr>
          <w:rFonts w:ascii="Arial" w:hAnsi="Arial" w:cs="Arial"/>
          <w:b/>
        </w:rPr>
        <w:lastRenderedPageBreak/>
        <w:t>Section G: Competences, the manager needs to secure funding for projects.</w:t>
      </w:r>
    </w:p>
    <w:p w14:paraId="6C4CEE46" w14:textId="77777777" w:rsidR="00F165B6" w:rsidRPr="00F165B6" w:rsidRDefault="00F165B6" w:rsidP="00F165B6">
      <w:pPr>
        <w:numPr>
          <w:ilvl w:val="0"/>
          <w:numId w:val="293"/>
        </w:numPr>
        <w:rPr>
          <w:rFonts w:ascii="Arial" w:hAnsi="Arial" w:cs="Arial"/>
        </w:rPr>
      </w:pPr>
      <w:r w:rsidRPr="00F165B6">
        <w:rPr>
          <w:rFonts w:ascii="Arial" w:hAnsi="Arial" w:cs="Arial"/>
        </w:rPr>
        <w:t>What competences do you have that facilitates your ability to secure funding for project development?</w:t>
      </w:r>
    </w:p>
    <w:p w14:paraId="5E5DD1FD" w14:textId="77777777" w:rsidR="00F165B6" w:rsidRPr="00F165B6" w:rsidRDefault="00F165B6" w:rsidP="00F165B6">
      <w:pPr>
        <w:numPr>
          <w:ilvl w:val="0"/>
          <w:numId w:val="293"/>
        </w:numPr>
        <w:rPr>
          <w:rFonts w:ascii="Arial" w:hAnsi="Arial" w:cs="Arial"/>
        </w:rPr>
      </w:pPr>
      <w:r w:rsidRPr="00F165B6">
        <w:rPr>
          <w:rFonts w:ascii="Arial" w:hAnsi="Arial" w:cs="Arial"/>
        </w:rPr>
        <w:t>What competences do you need to secure funding for project development that you do not have presently?</w:t>
      </w:r>
    </w:p>
    <w:p w14:paraId="504DB9BD" w14:textId="77777777" w:rsidR="00F165B6" w:rsidRPr="00F165B6" w:rsidRDefault="00F165B6" w:rsidP="00F165B6">
      <w:pPr>
        <w:numPr>
          <w:ilvl w:val="0"/>
          <w:numId w:val="293"/>
        </w:numPr>
        <w:rPr>
          <w:rFonts w:ascii="Arial" w:hAnsi="Arial" w:cs="Arial"/>
        </w:rPr>
      </w:pPr>
      <w:r w:rsidRPr="00F165B6">
        <w:rPr>
          <w:rFonts w:ascii="Arial" w:hAnsi="Arial" w:cs="Arial"/>
        </w:rPr>
        <w:t>Which of the competences that you do not have will you want to be trained to acquire?</w:t>
      </w:r>
    </w:p>
    <w:p w14:paraId="0E93B682" w14:textId="22A05CE5" w:rsidR="00F165B6" w:rsidRPr="00F165B6" w:rsidRDefault="00F165B6" w:rsidP="00F165B6">
      <w:pPr>
        <w:rPr>
          <w:rFonts w:ascii="Arial" w:hAnsi="Arial" w:cs="Arial"/>
          <w:b/>
        </w:rPr>
      </w:pPr>
      <w:r w:rsidRPr="00F165B6">
        <w:rPr>
          <w:rFonts w:ascii="Arial" w:hAnsi="Arial" w:cs="Arial"/>
          <w:b/>
        </w:rPr>
        <w:t xml:space="preserve">Section H: Manager’s education, </w:t>
      </w:r>
      <w:r w:rsidR="00705128" w:rsidRPr="00F165B6">
        <w:rPr>
          <w:rFonts w:ascii="Arial" w:hAnsi="Arial" w:cs="Arial"/>
          <w:b/>
        </w:rPr>
        <w:t>training,</w:t>
      </w:r>
      <w:r w:rsidRPr="00F165B6">
        <w:rPr>
          <w:rFonts w:ascii="Arial" w:hAnsi="Arial" w:cs="Arial"/>
          <w:b/>
        </w:rPr>
        <w:t xml:space="preserve"> and career development path (present &amp; future) that will facilitate access to real estate funding.</w:t>
      </w:r>
    </w:p>
    <w:p w14:paraId="0543CFBB" w14:textId="77777777" w:rsidR="00F165B6" w:rsidRPr="00F165B6" w:rsidRDefault="00F165B6" w:rsidP="00F165B6">
      <w:pPr>
        <w:rPr>
          <w:rFonts w:ascii="Arial" w:hAnsi="Arial" w:cs="Arial"/>
        </w:rPr>
      </w:pPr>
      <w:r w:rsidRPr="00F165B6">
        <w:rPr>
          <w:rFonts w:ascii="Arial" w:hAnsi="Arial" w:cs="Arial"/>
        </w:rPr>
        <w:t>20. What training and education do you have that facilitates your ability to secure funding for real estate project development?</w:t>
      </w:r>
    </w:p>
    <w:p w14:paraId="287F5D88" w14:textId="115338D5" w:rsidR="00F165B6" w:rsidRPr="00705128" w:rsidRDefault="00F165B6" w:rsidP="00E265C6">
      <w:pPr>
        <w:numPr>
          <w:ilvl w:val="0"/>
          <w:numId w:val="294"/>
        </w:numPr>
        <w:rPr>
          <w:rFonts w:ascii="Arial" w:hAnsi="Arial" w:cs="Arial"/>
        </w:rPr>
      </w:pPr>
      <w:r w:rsidRPr="00705128">
        <w:rPr>
          <w:rFonts w:ascii="Arial" w:hAnsi="Arial" w:cs="Arial"/>
        </w:rPr>
        <w:t xml:space="preserve">What training and education do you need for the future that will facilitate your ability to secure real estate project development funding? </w:t>
      </w:r>
    </w:p>
    <w:p w14:paraId="3933FBEE" w14:textId="77777777" w:rsidR="00F165B6" w:rsidRPr="00F165B6" w:rsidRDefault="00F165B6" w:rsidP="00F165B6">
      <w:pPr>
        <w:numPr>
          <w:ilvl w:val="0"/>
          <w:numId w:val="294"/>
        </w:numPr>
        <w:rPr>
          <w:rFonts w:ascii="Arial" w:hAnsi="Arial" w:cs="Arial"/>
        </w:rPr>
      </w:pPr>
      <w:r w:rsidRPr="00F165B6">
        <w:rPr>
          <w:rFonts w:ascii="Arial" w:hAnsi="Arial" w:cs="Arial"/>
        </w:rPr>
        <w:t>What training and education that would aid your ability to secure real estate project funding would you like to undertake?</w:t>
      </w:r>
    </w:p>
    <w:p w14:paraId="1A54A4EB" w14:textId="77777777" w:rsidR="00F165B6" w:rsidRPr="00F165B6" w:rsidRDefault="00F165B6" w:rsidP="00F165B6">
      <w:pPr>
        <w:rPr>
          <w:rFonts w:ascii="Arial" w:hAnsi="Arial" w:cs="Arial"/>
          <w:b/>
        </w:rPr>
      </w:pPr>
      <w:r w:rsidRPr="00F165B6">
        <w:rPr>
          <w:rFonts w:ascii="Arial" w:hAnsi="Arial" w:cs="Arial"/>
          <w:b/>
        </w:rPr>
        <w:t>Critical success factors for securing finance for real estate project development</w:t>
      </w:r>
    </w:p>
    <w:p w14:paraId="3C477B7A" w14:textId="01DA507C" w:rsidR="00F165B6" w:rsidRDefault="00F165B6" w:rsidP="00F165B6">
      <w:pPr>
        <w:numPr>
          <w:ilvl w:val="0"/>
          <w:numId w:val="294"/>
        </w:numPr>
        <w:rPr>
          <w:rFonts w:ascii="Arial" w:hAnsi="Arial" w:cs="Arial"/>
        </w:rPr>
      </w:pPr>
      <w:r w:rsidRPr="00F165B6">
        <w:rPr>
          <w:rFonts w:ascii="Arial" w:hAnsi="Arial" w:cs="Arial"/>
        </w:rPr>
        <w:t>Please</w:t>
      </w:r>
      <w:r w:rsidR="00705128">
        <w:rPr>
          <w:rFonts w:ascii="Arial" w:hAnsi="Arial" w:cs="Arial"/>
        </w:rPr>
        <w:t xml:space="preserve"> could you</w:t>
      </w:r>
      <w:r w:rsidRPr="00F165B6">
        <w:rPr>
          <w:rFonts w:ascii="Arial" w:hAnsi="Arial" w:cs="Arial"/>
        </w:rPr>
        <w:t xml:space="preserve"> give me some insights into the critical success factors for effectively securing finance for real estate project developments?</w:t>
      </w:r>
    </w:p>
    <w:p w14:paraId="66FB9DAD" w14:textId="77777777" w:rsidR="00437DC3" w:rsidRPr="00F165B6" w:rsidRDefault="00437DC3" w:rsidP="00437DC3">
      <w:pPr>
        <w:ind w:left="360"/>
        <w:rPr>
          <w:rFonts w:ascii="Arial" w:hAnsi="Arial" w:cs="Arial"/>
        </w:rPr>
      </w:pPr>
    </w:p>
    <w:p w14:paraId="031D24B8" w14:textId="77777777" w:rsidR="00F165B6" w:rsidRPr="00F165B6" w:rsidRDefault="00F165B6" w:rsidP="00F165B6">
      <w:pPr>
        <w:rPr>
          <w:rFonts w:ascii="Arial" w:hAnsi="Arial" w:cs="Arial"/>
        </w:rPr>
      </w:pPr>
      <w:r w:rsidRPr="00F165B6">
        <w:rPr>
          <w:rFonts w:ascii="Arial" w:hAnsi="Arial" w:cs="Arial"/>
        </w:rPr>
        <w:t>Thank you.</w:t>
      </w:r>
    </w:p>
    <w:p w14:paraId="433ADCFC" w14:textId="77777777" w:rsidR="00F165B6" w:rsidRPr="00F165B6" w:rsidRDefault="00F165B6" w:rsidP="00F165B6">
      <w:pPr>
        <w:rPr>
          <w:rFonts w:ascii="Arial" w:hAnsi="Arial" w:cs="Arial"/>
        </w:rPr>
      </w:pPr>
      <w:r w:rsidRPr="00F165B6">
        <w:rPr>
          <w:rFonts w:ascii="Arial" w:hAnsi="Arial" w:cs="Arial"/>
        </w:rPr>
        <w:t>Lucy Ogbenjuwa</w:t>
      </w:r>
    </w:p>
    <w:p w14:paraId="38ECB382" w14:textId="77777777" w:rsidR="00CD6352" w:rsidRPr="006B7E34" w:rsidRDefault="00CD6352">
      <w:pPr>
        <w:rPr>
          <w:rFonts w:ascii="Arial" w:hAnsi="Arial" w:cs="Arial"/>
        </w:rPr>
      </w:pPr>
    </w:p>
    <w:sectPr w:rsidR="00CD6352" w:rsidRPr="006B7E34" w:rsidSect="00CD6352">
      <w:footerReference w:type="default" r:id="rId213"/>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F1DB" w14:textId="77777777" w:rsidR="00257087" w:rsidRDefault="00257087">
      <w:pPr>
        <w:spacing w:after="0" w:line="240" w:lineRule="auto"/>
      </w:pPr>
      <w:r>
        <w:separator/>
      </w:r>
    </w:p>
  </w:endnote>
  <w:endnote w:type="continuationSeparator" w:id="0">
    <w:p w14:paraId="23AEC89A" w14:textId="77777777" w:rsidR="00257087" w:rsidRDefault="0025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277390"/>
      <w:docPartObj>
        <w:docPartGallery w:val="Page Numbers (Bottom of Page)"/>
        <w:docPartUnique/>
      </w:docPartObj>
    </w:sdtPr>
    <w:sdtEndPr>
      <w:rPr>
        <w:noProof/>
      </w:rPr>
    </w:sdtEndPr>
    <w:sdtContent>
      <w:p w14:paraId="6471654F" w14:textId="77777777" w:rsidR="004F5D57" w:rsidRDefault="004F5D57">
        <w:pPr>
          <w:pStyle w:val="Footer"/>
          <w:jc w:val="right"/>
        </w:pPr>
        <w:r>
          <w:fldChar w:fldCharType="begin"/>
        </w:r>
        <w:r>
          <w:instrText xml:space="preserve"> PAGE   \* MERGEFORMAT </w:instrText>
        </w:r>
        <w:r>
          <w:fldChar w:fldCharType="separate"/>
        </w:r>
        <w:r>
          <w:rPr>
            <w:noProof/>
          </w:rPr>
          <w:t>392</w:t>
        </w:r>
        <w:r>
          <w:rPr>
            <w:noProof/>
          </w:rPr>
          <w:fldChar w:fldCharType="end"/>
        </w:r>
      </w:p>
    </w:sdtContent>
  </w:sdt>
  <w:p w14:paraId="6D487611" w14:textId="77777777" w:rsidR="004F5D57" w:rsidRDefault="004F5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44833" w14:textId="77777777" w:rsidR="00257087" w:rsidRDefault="00257087">
      <w:pPr>
        <w:spacing w:after="0" w:line="240" w:lineRule="auto"/>
      </w:pPr>
      <w:r>
        <w:separator/>
      </w:r>
    </w:p>
  </w:footnote>
  <w:footnote w:type="continuationSeparator" w:id="0">
    <w:p w14:paraId="2AC4DA8D" w14:textId="77777777" w:rsidR="00257087" w:rsidRDefault="00257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829"/>
    <w:multiLevelType w:val="hybridMultilevel"/>
    <w:tmpl w:val="3946927C"/>
    <w:lvl w:ilvl="0" w:tplc="0809000F">
      <w:start w:val="1"/>
      <w:numFmt w:val="decimal"/>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 w15:restartNumberingAfterBreak="0">
    <w:nsid w:val="005602EB"/>
    <w:multiLevelType w:val="hybridMultilevel"/>
    <w:tmpl w:val="2666851C"/>
    <w:lvl w:ilvl="0" w:tplc="FB8246B6">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64C4D"/>
    <w:multiLevelType w:val="hybridMultilevel"/>
    <w:tmpl w:val="D6C25948"/>
    <w:lvl w:ilvl="0" w:tplc="580ACB70">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2F0B40"/>
    <w:multiLevelType w:val="hybridMultilevel"/>
    <w:tmpl w:val="74566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180732"/>
    <w:multiLevelType w:val="hybridMultilevel"/>
    <w:tmpl w:val="625CE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935F8E"/>
    <w:multiLevelType w:val="hybridMultilevel"/>
    <w:tmpl w:val="15ACA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8E162D"/>
    <w:multiLevelType w:val="multilevel"/>
    <w:tmpl w:val="CFA2FCD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45E4100"/>
    <w:multiLevelType w:val="hybridMultilevel"/>
    <w:tmpl w:val="B96AA820"/>
    <w:lvl w:ilvl="0" w:tplc="0809000F">
      <w:start w:val="1"/>
      <w:numFmt w:val="decimal"/>
      <w:lvlText w:val="%1."/>
      <w:lvlJc w:val="left"/>
      <w:pPr>
        <w:ind w:left="463" w:hanging="360"/>
      </w:p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8" w15:restartNumberingAfterBreak="0">
    <w:nsid w:val="05DA304A"/>
    <w:multiLevelType w:val="hybridMultilevel"/>
    <w:tmpl w:val="96E0B9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6AA55C8"/>
    <w:multiLevelType w:val="hybridMultilevel"/>
    <w:tmpl w:val="49B89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AB008F"/>
    <w:multiLevelType w:val="hybridMultilevel"/>
    <w:tmpl w:val="4ABA486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BC5CDD"/>
    <w:multiLevelType w:val="hybridMultilevel"/>
    <w:tmpl w:val="9CA4E044"/>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BC62CC"/>
    <w:multiLevelType w:val="hybridMultilevel"/>
    <w:tmpl w:val="EDE060B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C133E1"/>
    <w:multiLevelType w:val="hybridMultilevel"/>
    <w:tmpl w:val="E7E4D1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81254B9"/>
    <w:multiLevelType w:val="hybridMultilevel"/>
    <w:tmpl w:val="2A181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AA0262"/>
    <w:multiLevelType w:val="hybridMultilevel"/>
    <w:tmpl w:val="13CA7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95B0E34"/>
    <w:multiLevelType w:val="hybridMultilevel"/>
    <w:tmpl w:val="2296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6D46F8"/>
    <w:multiLevelType w:val="hybridMultilevel"/>
    <w:tmpl w:val="9302437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9732C55"/>
    <w:multiLevelType w:val="hybridMultilevel"/>
    <w:tmpl w:val="E0DA8E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97F09A9"/>
    <w:multiLevelType w:val="hybridMultilevel"/>
    <w:tmpl w:val="9418EFC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9912D74"/>
    <w:multiLevelType w:val="multilevel"/>
    <w:tmpl w:val="246A4298"/>
    <w:styleLink w:val="Style1"/>
    <w:lvl w:ilvl="0">
      <w:start w:val="1"/>
      <w:numFmt w:val="decimal"/>
      <w:lvlText w:val="%1."/>
      <w:lvlJc w:val="left"/>
      <w:pPr>
        <w:ind w:left="72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0A1D20AC"/>
    <w:multiLevelType w:val="hybridMultilevel"/>
    <w:tmpl w:val="532AF030"/>
    <w:lvl w:ilvl="0" w:tplc="FB8246B6">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A311E7B"/>
    <w:multiLevelType w:val="hybridMultilevel"/>
    <w:tmpl w:val="1AA224EA"/>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A632465"/>
    <w:multiLevelType w:val="multilevel"/>
    <w:tmpl w:val="DD464A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0A7856A6"/>
    <w:multiLevelType w:val="hybridMultilevel"/>
    <w:tmpl w:val="D060A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8968A3"/>
    <w:multiLevelType w:val="multilevel"/>
    <w:tmpl w:val="EE62AEF8"/>
    <w:numStyleLink w:val="Style5"/>
  </w:abstractNum>
  <w:abstractNum w:abstractNumId="26" w15:restartNumberingAfterBreak="0">
    <w:nsid w:val="0AA623BC"/>
    <w:multiLevelType w:val="hybridMultilevel"/>
    <w:tmpl w:val="4E3CD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B0E59D6"/>
    <w:multiLevelType w:val="hybridMultilevel"/>
    <w:tmpl w:val="6DE4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BD819B2"/>
    <w:multiLevelType w:val="multilevel"/>
    <w:tmpl w:val="EE62AEF8"/>
    <w:numStyleLink w:val="Style4"/>
  </w:abstractNum>
  <w:abstractNum w:abstractNumId="29" w15:restartNumberingAfterBreak="0">
    <w:nsid w:val="0C7B6C93"/>
    <w:multiLevelType w:val="hybridMultilevel"/>
    <w:tmpl w:val="30E090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C9024D2"/>
    <w:multiLevelType w:val="multilevel"/>
    <w:tmpl w:val="8584A0F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0D760D44"/>
    <w:multiLevelType w:val="hybridMultilevel"/>
    <w:tmpl w:val="3780A5E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E1B4155"/>
    <w:multiLevelType w:val="multilevel"/>
    <w:tmpl w:val="FB92AF66"/>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9"/>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0E201866"/>
    <w:multiLevelType w:val="hybridMultilevel"/>
    <w:tmpl w:val="7DC6A3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0E2301D1"/>
    <w:multiLevelType w:val="hybridMultilevel"/>
    <w:tmpl w:val="9ACE5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EAC0F32"/>
    <w:multiLevelType w:val="hybridMultilevel"/>
    <w:tmpl w:val="346A2CEA"/>
    <w:lvl w:ilvl="0" w:tplc="AAF4E6D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F1008A7"/>
    <w:multiLevelType w:val="hybridMultilevel"/>
    <w:tmpl w:val="481CB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F1014E1"/>
    <w:multiLevelType w:val="hybridMultilevel"/>
    <w:tmpl w:val="677A3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0F2236AC"/>
    <w:multiLevelType w:val="hybridMultilevel"/>
    <w:tmpl w:val="64600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F62451E"/>
    <w:multiLevelType w:val="hybridMultilevel"/>
    <w:tmpl w:val="C732472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0F766369"/>
    <w:multiLevelType w:val="hybridMultilevel"/>
    <w:tmpl w:val="F6E687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0FDB7A0D"/>
    <w:multiLevelType w:val="hybridMultilevel"/>
    <w:tmpl w:val="BEB83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FF14B59"/>
    <w:multiLevelType w:val="hybridMultilevel"/>
    <w:tmpl w:val="D6F63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0A06E1E"/>
    <w:multiLevelType w:val="hybridMultilevel"/>
    <w:tmpl w:val="81FE7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0D904F1"/>
    <w:multiLevelType w:val="hybridMultilevel"/>
    <w:tmpl w:val="32A8E82C"/>
    <w:lvl w:ilvl="0" w:tplc="FCB8C8D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0F36B8A"/>
    <w:multiLevelType w:val="hybridMultilevel"/>
    <w:tmpl w:val="CA3CEB32"/>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0F81C31"/>
    <w:multiLevelType w:val="hybridMultilevel"/>
    <w:tmpl w:val="835A7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13B2AD7"/>
    <w:multiLevelType w:val="hybridMultilevel"/>
    <w:tmpl w:val="844CF6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114C4704"/>
    <w:multiLevelType w:val="hybridMultilevel"/>
    <w:tmpl w:val="6770BA4E"/>
    <w:lvl w:ilvl="0" w:tplc="9A426C7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15B7F74"/>
    <w:multiLevelType w:val="hybridMultilevel"/>
    <w:tmpl w:val="90C0947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179094B"/>
    <w:multiLevelType w:val="hybridMultilevel"/>
    <w:tmpl w:val="6D20E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1ED764D"/>
    <w:multiLevelType w:val="hybridMultilevel"/>
    <w:tmpl w:val="85F0D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3710DA7"/>
    <w:multiLevelType w:val="hybridMultilevel"/>
    <w:tmpl w:val="EE2C9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3C22344"/>
    <w:multiLevelType w:val="hybridMultilevel"/>
    <w:tmpl w:val="1AE42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3E61989"/>
    <w:multiLevelType w:val="hybridMultilevel"/>
    <w:tmpl w:val="9C04D7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41631F9"/>
    <w:multiLevelType w:val="hybridMultilevel"/>
    <w:tmpl w:val="D020F6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49C5950"/>
    <w:multiLevelType w:val="hybridMultilevel"/>
    <w:tmpl w:val="3E4EB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4CE4EB3"/>
    <w:multiLevelType w:val="hybridMultilevel"/>
    <w:tmpl w:val="DABC1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4D740DA"/>
    <w:multiLevelType w:val="hybridMultilevel"/>
    <w:tmpl w:val="52286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4EF3B08"/>
    <w:multiLevelType w:val="hybridMultilevel"/>
    <w:tmpl w:val="695A21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539597C"/>
    <w:multiLevelType w:val="hybridMultilevel"/>
    <w:tmpl w:val="8070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57E25B3"/>
    <w:multiLevelType w:val="hybridMultilevel"/>
    <w:tmpl w:val="F710A1CC"/>
    <w:lvl w:ilvl="0" w:tplc="08090001">
      <w:start w:val="1"/>
      <w:numFmt w:val="bullet"/>
      <w:lvlText w:val=""/>
      <w:lvlJc w:val="left"/>
      <w:pPr>
        <w:ind w:left="227" w:hanging="227"/>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158F4963"/>
    <w:multiLevelType w:val="hybridMultilevel"/>
    <w:tmpl w:val="27286B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15AD45FB"/>
    <w:multiLevelType w:val="hybridMultilevel"/>
    <w:tmpl w:val="CBAE7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6207B38"/>
    <w:multiLevelType w:val="hybridMultilevel"/>
    <w:tmpl w:val="CADE2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62A0040"/>
    <w:multiLevelType w:val="hybridMultilevel"/>
    <w:tmpl w:val="66E4D01C"/>
    <w:lvl w:ilvl="0" w:tplc="0809000F">
      <w:start w:val="1"/>
      <w:numFmt w:val="decimal"/>
      <w:lvlText w:val="%1."/>
      <w:lvlJc w:val="left"/>
      <w:pPr>
        <w:ind w:left="720" w:hanging="360"/>
      </w:pPr>
    </w:lvl>
    <w:lvl w:ilvl="1" w:tplc="0809000F">
      <w:start w:val="1"/>
      <w:numFmt w:val="decimal"/>
      <w:lvlText w:val="%2."/>
      <w:lvlJc w:val="left"/>
      <w:pPr>
        <w:ind w:left="50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169176F2"/>
    <w:multiLevelType w:val="hybridMultilevel"/>
    <w:tmpl w:val="DFFC6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6B2644B"/>
    <w:multiLevelType w:val="hybridMultilevel"/>
    <w:tmpl w:val="AEA46F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7375511"/>
    <w:multiLevelType w:val="hybridMultilevel"/>
    <w:tmpl w:val="4BCA00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7F6742C"/>
    <w:multiLevelType w:val="hybridMultilevel"/>
    <w:tmpl w:val="F4921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8082AAE"/>
    <w:multiLevelType w:val="hybridMultilevel"/>
    <w:tmpl w:val="42201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97A248B"/>
    <w:multiLevelType w:val="hybridMultilevel"/>
    <w:tmpl w:val="624EC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99C265A"/>
    <w:multiLevelType w:val="hybridMultilevel"/>
    <w:tmpl w:val="FD02F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9CA0560"/>
    <w:multiLevelType w:val="hybridMultilevel"/>
    <w:tmpl w:val="A4EED7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A421185"/>
    <w:multiLevelType w:val="hybridMultilevel"/>
    <w:tmpl w:val="B12C8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A4C1BC3"/>
    <w:multiLevelType w:val="hybridMultilevel"/>
    <w:tmpl w:val="F3B61B7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AAB4897"/>
    <w:multiLevelType w:val="hybridMultilevel"/>
    <w:tmpl w:val="7B82C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AD04F62"/>
    <w:multiLevelType w:val="hybridMultilevel"/>
    <w:tmpl w:val="2E643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1B5A7C81"/>
    <w:multiLevelType w:val="hybridMultilevel"/>
    <w:tmpl w:val="76C4AA0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1C5072BC"/>
    <w:multiLevelType w:val="hybridMultilevel"/>
    <w:tmpl w:val="E42E7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CEB0D2D"/>
    <w:multiLevelType w:val="hybridMultilevel"/>
    <w:tmpl w:val="2FB6A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D37109B"/>
    <w:multiLevelType w:val="hybridMultilevel"/>
    <w:tmpl w:val="67ACC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1D4D59D7"/>
    <w:multiLevelType w:val="hybridMultilevel"/>
    <w:tmpl w:val="8F785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1DE04BE7"/>
    <w:multiLevelType w:val="hybridMultilevel"/>
    <w:tmpl w:val="A7E6A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1E025835"/>
    <w:multiLevelType w:val="multilevel"/>
    <w:tmpl w:val="226AAD9A"/>
    <w:lvl w:ilvl="0">
      <w:start w:val="1"/>
      <w:numFmt w:val="decimal"/>
      <w:lvlText w:val="%1."/>
      <w:lvlJc w:val="right"/>
      <w:pPr>
        <w:ind w:left="227" w:hanging="227"/>
      </w:pPr>
      <w:rPr>
        <w:rFonts w:ascii="Arial" w:hAnsi="Arial" w:cs="Arial" w:hint="default"/>
        <w:sz w:val="22"/>
      </w:rPr>
    </w:lvl>
    <w:lvl w:ilvl="1">
      <w:start w:val="8"/>
      <w:numFmt w:val="decimal"/>
      <w:isLgl/>
      <w:lvlText w:val="%1.%2."/>
      <w:lvlJc w:val="left"/>
      <w:pPr>
        <w:ind w:left="720" w:hanging="720"/>
      </w:pPr>
      <w:rPr>
        <w:rFonts w:eastAsiaTheme="majorEastAsia" w:cstheme="majorBidi" w:hint="default"/>
        <w:b/>
      </w:rPr>
    </w:lvl>
    <w:lvl w:ilvl="2">
      <w:start w:val="2"/>
      <w:numFmt w:val="decimal"/>
      <w:isLgl/>
      <w:lvlText w:val="%1.%2.%3."/>
      <w:lvlJc w:val="left"/>
      <w:pPr>
        <w:ind w:left="720" w:hanging="720"/>
      </w:pPr>
      <w:rPr>
        <w:rFonts w:eastAsiaTheme="majorEastAsia" w:cstheme="majorBidi" w:hint="default"/>
        <w:b/>
      </w:rPr>
    </w:lvl>
    <w:lvl w:ilvl="3">
      <w:start w:val="1"/>
      <w:numFmt w:val="decimal"/>
      <w:isLgl/>
      <w:lvlText w:val="%1.%2.%3.%4."/>
      <w:lvlJc w:val="left"/>
      <w:pPr>
        <w:ind w:left="1080" w:hanging="1080"/>
      </w:pPr>
      <w:rPr>
        <w:rFonts w:eastAsiaTheme="majorEastAsia" w:cstheme="majorBidi" w:hint="default"/>
        <w:b/>
      </w:rPr>
    </w:lvl>
    <w:lvl w:ilvl="4">
      <w:start w:val="1"/>
      <w:numFmt w:val="decimal"/>
      <w:isLgl/>
      <w:lvlText w:val="%1.%2.%3.%4.%5."/>
      <w:lvlJc w:val="left"/>
      <w:pPr>
        <w:ind w:left="1080" w:hanging="1080"/>
      </w:pPr>
      <w:rPr>
        <w:rFonts w:eastAsiaTheme="majorEastAsia" w:cstheme="majorBidi" w:hint="default"/>
        <w:b/>
      </w:rPr>
    </w:lvl>
    <w:lvl w:ilvl="5">
      <w:start w:val="1"/>
      <w:numFmt w:val="decimal"/>
      <w:isLgl/>
      <w:lvlText w:val="%1.%2.%3.%4.%5.%6."/>
      <w:lvlJc w:val="left"/>
      <w:pPr>
        <w:ind w:left="1440" w:hanging="1440"/>
      </w:pPr>
      <w:rPr>
        <w:rFonts w:eastAsiaTheme="majorEastAsia" w:cstheme="majorBidi" w:hint="default"/>
        <w:b/>
      </w:rPr>
    </w:lvl>
    <w:lvl w:ilvl="6">
      <w:start w:val="1"/>
      <w:numFmt w:val="decimal"/>
      <w:isLgl/>
      <w:lvlText w:val="%1.%2.%3.%4.%5.%6.%7."/>
      <w:lvlJc w:val="left"/>
      <w:pPr>
        <w:ind w:left="1440" w:hanging="1440"/>
      </w:pPr>
      <w:rPr>
        <w:rFonts w:eastAsiaTheme="majorEastAsia" w:cstheme="majorBidi" w:hint="default"/>
        <w:b/>
      </w:rPr>
    </w:lvl>
    <w:lvl w:ilvl="7">
      <w:start w:val="1"/>
      <w:numFmt w:val="decimal"/>
      <w:isLgl/>
      <w:lvlText w:val="%1.%2.%3.%4.%5.%6.%7.%8."/>
      <w:lvlJc w:val="left"/>
      <w:pPr>
        <w:ind w:left="1800" w:hanging="1800"/>
      </w:pPr>
      <w:rPr>
        <w:rFonts w:eastAsiaTheme="majorEastAsia" w:cstheme="majorBidi" w:hint="default"/>
        <w:b/>
      </w:rPr>
    </w:lvl>
    <w:lvl w:ilvl="8">
      <w:start w:val="1"/>
      <w:numFmt w:val="decimal"/>
      <w:isLgl/>
      <w:lvlText w:val="%1.%2.%3.%4.%5.%6.%7.%8.%9."/>
      <w:lvlJc w:val="left"/>
      <w:pPr>
        <w:ind w:left="2160" w:hanging="2160"/>
      </w:pPr>
      <w:rPr>
        <w:rFonts w:eastAsiaTheme="majorEastAsia" w:cstheme="majorBidi" w:hint="default"/>
        <w:b/>
      </w:rPr>
    </w:lvl>
  </w:abstractNum>
  <w:abstractNum w:abstractNumId="85" w15:restartNumberingAfterBreak="0">
    <w:nsid w:val="1E3A4415"/>
    <w:multiLevelType w:val="hybridMultilevel"/>
    <w:tmpl w:val="571C21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E8E6D8D"/>
    <w:multiLevelType w:val="hybridMultilevel"/>
    <w:tmpl w:val="0EA415C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1EAB4363"/>
    <w:multiLevelType w:val="hybridMultilevel"/>
    <w:tmpl w:val="F99ECB2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15:restartNumberingAfterBreak="0">
    <w:nsid w:val="1EC0503A"/>
    <w:multiLevelType w:val="hybridMultilevel"/>
    <w:tmpl w:val="32CE8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1F066955"/>
    <w:multiLevelType w:val="hybridMultilevel"/>
    <w:tmpl w:val="4C8286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1F4B42DD"/>
    <w:multiLevelType w:val="hybridMultilevel"/>
    <w:tmpl w:val="B6102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1F9A19AE"/>
    <w:multiLevelType w:val="hybridMultilevel"/>
    <w:tmpl w:val="E2A0B5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00D449D"/>
    <w:multiLevelType w:val="hybridMultilevel"/>
    <w:tmpl w:val="0270C47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037052E"/>
    <w:multiLevelType w:val="hybridMultilevel"/>
    <w:tmpl w:val="ECDEA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04F2803"/>
    <w:multiLevelType w:val="hybridMultilevel"/>
    <w:tmpl w:val="57C221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21684684"/>
    <w:multiLevelType w:val="hybridMultilevel"/>
    <w:tmpl w:val="D82A6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18D5AE7"/>
    <w:multiLevelType w:val="multilevel"/>
    <w:tmpl w:val="0EAAFEDC"/>
    <w:lvl w:ilvl="0">
      <w:start w:val="1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21E33E17"/>
    <w:multiLevelType w:val="multilevel"/>
    <w:tmpl w:val="66B6CD0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220F641A"/>
    <w:multiLevelType w:val="hybridMultilevel"/>
    <w:tmpl w:val="2F4612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23863E9"/>
    <w:multiLevelType w:val="hybridMultilevel"/>
    <w:tmpl w:val="4DECDFD2"/>
    <w:lvl w:ilvl="0" w:tplc="0809000F">
      <w:start w:val="1"/>
      <w:numFmt w:val="decimal"/>
      <w:lvlText w:val="%1."/>
      <w:lvlJc w:val="left"/>
      <w:pPr>
        <w:ind w:left="720" w:hanging="360"/>
      </w:p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23D02083"/>
    <w:multiLevelType w:val="hybridMultilevel"/>
    <w:tmpl w:val="0352C9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1" w15:restartNumberingAfterBreak="0">
    <w:nsid w:val="23D30111"/>
    <w:multiLevelType w:val="hybridMultilevel"/>
    <w:tmpl w:val="47364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4C02580"/>
    <w:multiLevelType w:val="hybridMultilevel"/>
    <w:tmpl w:val="8BF0E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4E46ABD"/>
    <w:multiLevelType w:val="hybridMultilevel"/>
    <w:tmpl w:val="2596490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25B728C1"/>
    <w:multiLevelType w:val="hybridMultilevel"/>
    <w:tmpl w:val="4BB24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26B36386"/>
    <w:multiLevelType w:val="hybridMultilevel"/>
    <w:tmpl w:val="B4E6596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6C64501"/>
    <w:multiLevelType w:val="hybridMultilevel"/>
    <w:tmpl w:val="DC7868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270F1883"/>
    <w:multiLevelType w:val="hybridMultilevel"/>
    <w:tmpl w:val="04048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720382E"/>
    <w:multiLevelType w:val="hybridMultilevel"/>
    <w:tmpl w:val="9CFA92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273A1043"/>
    <w:multiLevelType w:val="hybridMultilevel"/>
    <w:tmpl w:val="161EC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77B52FA"/>
    <w:multiLevelType w:val="hybridMultilevel"/>
    <w:tmpl w:val="0A3E3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27D70BC3"/>
    <w:multiLevelType w:val="hybridMultilevel"/>
    <w:tmpl w:val="F75AB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282A0F06"/>
    <w:multiLevelType w:val="hybridMultilevel"/>
    <w:tmpl w:val="0E7884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871399A"/>
    <w:multiLevelType w:val="multilevel"/>
    <w:tmpl w:val="769846A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15:restartNumberingAfterBreak="0">
    <w:nsid w:val="28AF0577"/>
    <w:multiLevelType w:val="hybridMultilevel"/>
    <w:tmpl w:val="BC6853C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28C707AE"/>
    <w:multiLevelType w:val="multilevel"/>
    <w:tmpl w:val="1590A4D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096688"/>
    <w:multiLevelType w:val="multilevel"/>
    <w:tmpl w:val="06067C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17" w15:restartNumberingAfterBreak="0">
    <w:nsid w:val="290C604B"/>
    <w:multiLevelType w:val="hybridMultilevel"/>
    <w:tmpl w:val="DD603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294D225D"/>
    <w:multiLevelType w:val="hybridMultilevel"/>
    <w:tmpl w:val="ED1E42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2A106377"/>
    <w:multiLevelType w:val="hybridMultilevel"/>
    <w:tmpl w:val="4D9E001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847E4758">
      <w:start w:val="1"/>
      <w:numFmt w:val="decimal"/>
      <w:lvlText w:val="%4"/>
      <w:lvlJc w:val="left"/>
      <w:pPr>
        <w:ind w:left="501"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2A263B58"/>
    <w:multiLevelType w:val="hybridMultilevel"/>
    <w:tmpl w:val="D7F20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2AC21FB8"/>
    <w:multiLevelType w:val="hybridMultilevel"/>
    <w:tmpl w:val="007836F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2ADA3556"/>
    <w:multiLevelType w:val="hybridMultilevel"/>
    <w:tmpl w:val="B9A8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ADD2405"/>
    <w:multiLevelType w:val="hybridMultilevel"/>
    <w:tmpl w:val="08725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2C660E16"/>
    <w:multiLevelType w:val="hybridMultilevel"/>
    <w:tmpl w:val="2ED40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2CBA1EC9"/>
    <w:multiLevelType w:val="hybridMultilevel"/>
    <w:tmpl w:val="7B2CB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2CC11770"/>
    <w:multiLevelType w:val="hybridMultilevel"/>
    <w:tmpl w:val="CBA2B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CCF47AE"/>
    <w:multiLevelType w:val="hybridMultilevel"/>
    <w:tmpl w:val="2C6A3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CFC0BFF"/>
    <w:multiLevelType w:val="hybridMultilevel"/>
    <w:tmpl w:val="BC42E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2D851260"/>
    <w:multiLevelType w:val="hybridMultilevel"/>
    <w:tmpl w:val="255448EA"/>
    <w:lvl w:ilvl="0" w:tplc="0809000F">
      <w:start w:val="1"/>
      <w:numFmt w:val="decimal"/>
      <w:lvlText w:val="%1."/>
      <w:lvlJc w:val="left"/>
      <w:pPr>
        <w:ind w:left="720" w:hanging="360"/>
      </w:p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2D8C0643"/>
    <w:multiLevelType w:val="hybridMultilevel"/>
    <w:tmpl w:val="BD3EAE88"/>
    <w:lvl w:ilvl="0" w:tplc="0809000F">
      <w:start w:val="1"/>
      <w:numFmt w:val="decimal"/>
      <w:lvlText w:val="%1."/>
      <w:lvlJc w:val="left"/>
      <w:pPr>
        <w:ind w:left="720" w:hanging="360"/>
      </w:pPr>
    </w:lvl>
    <w:lvl w:ilvl="1" w:tplc="0809000F">
      <w:start w:val="1"/>
      <w:numFmt w:val="decimal"/>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2E523A5C"/>
    <w:multiLevelType w:val="hybridMultilevel"/>
    <w:tmpl w:val="4210C7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2EA9499E"/>
    <w:multiLevelType w:val="hybridMultilevel"/>
    <w:tmpl w:val="ED928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EFB0656"/>
    <w:multiLevelType w:val="hybridMultilevel"/>
    <w:tmpl w:val="3A7CF8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2F6B5B41"/>
    <w:multiLevelType w:val="hybridMultilevel"/>
    <w:tmpl w:val="49BC0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FFB72E6"/>
    <w:multiLevelType w:val="hybridMultilevel"/>
    <w:tmpl w:val="E9E20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0172607"/>
    <w:multiLevelType w:val="hybridMultilevel"/>
    <w:tmpl w:val="36223D2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03065CF"/>
    <w:multiLevelType w:val="hybridMultilevel"/>
    <w:tmpl w:val="93F80DFA"/>
    <w:lvl w:ilvl="0" w:tplc="87F0A9DA">
      <w:start w:val="1"/>
      <w:numFmt w:val="decimal"/>
      <w:lvlText w:val="%1."/>
      <w:lvlJc w:val="left"/>
      <w:pPr>
        <w:ind w:left="227"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30403927"/>
    <w:multiLevelType w:val="hybridMultilevel"/>
    <w:tmpl w:val="9C36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04C0A31"/>
    <w:multiLevelType w:val="hybridMultilevel"/>
    <w:tmpl w:val="70723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304D3F8B"/>
    <w:multiLevelType w:val="hybridMultilevel"/>
    <w:tmpl w:val="0590C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1066FDC"/>
    <w:multiLevelType w:val="hybridMultilevel"/>
    <w:tmpl w:val="28906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15702E2"/>
    <w:multiLevelType w:val="hybridMultilevel"/>
    <w:tmpl w:val="7EEA4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15C5FDC"/>
    <w:multiLevelType w:val="hybridMultilevel"/>
    <w:tmpl w:val="A9FA6E9E"/>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16405ED"/>
    <w:multiLevelType w:val="hybridMultilevel"/>
    <w:tmpl w:val="118453E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15:restartNumberingAfterBreak="0">
    <w:nsid w:val="31A00EFF"/>
    <w:multiLevelType w:val="hybridMultilevel"/>
    <w:tmpl w:val="6C568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1C8151D"/>
    <w:multiLevelType w:val="hybridMultilevel"/>
    <w:tmpl w:val="710AE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31FB21F2"/>
    <w:multiLevelType w:val="hybridMultilevel"/>
    <w:tmpl w:val="FDA09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323C525C"/>
    <w:multiLevelType w:val="hybridMultilevel"/>
    <w:tmpl w:val="A31CE1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23C5F13"/>
    <w:multiLevelType w:val="hybridMultilevel"/>
    <w:tmpl w:val="56460C38"/>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0" w15:restartNumberingAfterBreak="0">
    <w:nsid w:val="32A64CDB"/>
    <w:multiLevelType w:val="hybridMultilevel"/>
    <w:tmpl w:val="41F23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32D14A4B"/>
    <w:multiLevelType w:val="hybridMultilevel"/>
    <w:tmpl w:val="0046F2A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3330795A"/>
    <w:multiLevelType w:val="hybridMultilevel"/>
    <w:tmpl w:val="998049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33451684"/>
    <w:multiLevelType w:val="hybridMultilevel"/>
    <w:tmpl w:val="D9F2C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334774CF"/>
    <w:multiLevelType w:val="hybridMultilevel"/>
    <w:tmpl w:val="F4EED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36B5969"/>
    <w:multiLevelType w:val="hybridMultilevel"/>
    <w:tmpl w:val="B1488E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3881885"/>
    <w:multiLevelType w:val="hybridMultilevel"/>
    <w:tmpl w:val="AF40A6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3935C4C"/>
    <w:multiLevelType w:val="multilevel"/>
    <w:tmpl w:val="DD464A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8" w15:restartNumberingAfterBreak="0">
    <w:nsid w:val="33DA6E2E"/>
    <w:multiLevelType w:val="hybridMultilevel"/>
    <w:tmpl w:val="6A00E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35194A4C"/>
    <w:multiLevelType w:val="hybridMultilevel"/>
    <w:tmpl w:val="0A98D2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35233D44"/>
    <w:multiLevelType w:val="hybridMultilevel"/>
    <w:tmpl w:val="33140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54A20C9"/>
    <w:multiLevelType w:val="hybridMultilevel"/>
    <w:tmpl w:val="83608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35CD40D1"/>
    <w:multiLevelType w:val="hybridMultilevel"/>
    <w:tmpl w:val="8BF223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603479F"/>
    <w:multiLevelType w:val="hybridMultilevel"/>
    <w:tmpl w:val="DAD0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65C1B7F"/>
    <w:multiLevelType w:val="hybridMultilevel"/>
    <w:tmpl w:val="246A4298"/>
    <w:lvl w:ilvl="0" w:tplc="0CFA0DD6">
      <w:start w:val="1"/>
      <w:numFmt w:val="decimal"/>
      <w:lvlText w:val="%1."/>
      <w:lvlJc w:val="left"/>
      <w:pPr>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5" w15:restartNumberingAfterBreak="0">
    <w:nsid w:val="36B509F8"/>
    <w:multiLevelType w:val="hybridMultilevel"/>
    <w:tmpl w:val="22F6B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36C30313"/>
    <w:multiLevelType w:val="hybridMultilevel"/>
    <w:tmpl w:val="523C48E0"/>
    <w:lvl w:ilvl="0" w:tplc="D78A46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7271920"/>
    <w:multiLevelType w:val="hybridMultilevel"/>
    <w:tmpl w:val="2AD46C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73E079B"/>
    <w:multiLevelType w:val="hybridMultilevel"/>
    <w:tmpl w:val="DFA8B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38485F4F"/>
    <w:multiLevelType w:val="hybridMultilevel"/>
    <w:tmpl w:val="31BA3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70" w:hanging="360"/>
      </w:pPr>
      <w:rPr>
        <w:rFonts w:ascii="Courier New" w:hAnsi="Courier New" w:cs="Courier New" w:hint="default"/>
      </w:rPr>
    </w:lvl>
    <w:lvl w:ilvl="2" w:tplc="08090005" w:tentative="1">
      <w:start w:val="1"/>
      <w:numFmt w:val="bullet"/>
      <w:lvlText w:val=""/>
      <w:lvlJc w:val="left"/>
      <w:pPr>
        <w:ind w:left="1090" w:hanging="360"/>
      </w:pPr>
      <w:rPr>
        <w:rFonts w:ascii="Wingdings" w:hAnsi="Wingdings" w:hint="default"/>
      </w:rPr>
    </w:lvl>
    <w:lvl w:ilvl="3" w:tplc="08090001" w:tentative="1">
      <w:start w:val="1"/>
      <w:numFmt w:val="bullet"/>
      <w:lvlText w:val=""/>
      <w:lvlJc w:val="left"/>
      <w:pPr>
        <w:ind w:left="1810" w:hanging="360"/>
      </w:pPr>
      <w:rPr>
        <w:rFonts w:ascii="Symbol" w:hAnsi="Symbol" w:hint="default"/>
      </w:rPr>
    </w:lvl>
    <w:lvl w:ilvl="4" w:tplc="08090003" w:tentative="1">
      <w:start w:val="1"/>
      <w:numFmt w:val="bullet"/>
      <w:lvlText w:val="o"/>
      <w:lvlJc w:val="left"/>
      <w:pPr>
        <w:ind w:left="2530" w:hanging="360"/>
      </w:pPr>
      <w:rPr>
        <w:rFonts w:ascii="Courier New" w:hAnsi="Courier New" w:cs="Courier New" w:hint="default"/>
      </w:rPr>
    </w:lvl>
    <w:lvl w:ilvl="5" w:tplc="08090005" w:tentative="1">
      <w:start w:val="1"/>
      <w:numFmt w:val="bullet"/>
      <w:lvlText w:val=""/>
      <w:lvlJc w:val="left"/>
      <w:pPr>
        <w:ind w:left="3250" w:hanging="360"/>
      </w:pPr>
      <w:rPr>
        <w:rFonts w:ascii="Wingdings" w:hAnsi="Wingdings" w:hint="default"/>
      </w:rPr>
    </w:lvl>
    <w:lvl w:ilvl="6" w:tplc="08090001" w:tentative="1">
      <w:start w:val="1"/>
      <w:numFmt w:val="bullet"/>
      <w:lvlText w:val=""/>
      <w:lvlJc w:val="left"/>
      <w:pPr>
        <w:ind w:left="3970" w:hanging="360"/>
      </w:pPr>
      <w:rPr>
        <w:rFonts w:ascii="Symbol" w:hAnsi="Symbol" w:hint="default"/>
      </w:rPr>
    </w:lvl>
    <w:lvl w:ilvl="7" w:tplc="08090003" w:tentative="1">
      <w:start w:val="1"/>
      <w:numFmt w:val="bullet"/>
      <w:lvlText w:val="o"/>
      <w:lvlJc w:val="left"/>
      <w:pPr>
        <w:ind w:left="4690" w:hanging="360"/>
      </w:pPr>
      <w:rPr>
        <w:rFonts w:ascii="Courier New" w:hAnsi="Courier New" w:cs="Courier New" w:hint="default"/>
      </w:rPr>
    </w:lvl>
    <w:lvl w:ilvl="8" w:tplc="08090005" w:tentative="1">
      <w:start w:val="1"/>
      <w:numFmt w:val="bullet"/>
      <w:lvlText w:val=""/>
      <w:lvlJc w:val="left"/>
      <w:pPr>
        <w:ind w:left="5410" w:hanging="360"/>
      </w:pPr>
      <w:rPr>
        <w:rFonts w:ascii="Wingdings" w:hAnsi="Wingdings" w:hint="default"/>
      </w:rPr>
    </w:lvl>
  </w:abstractNum>
  <w:abstractNum w:abstractNumId="170" w15:restartNumberingAfterBreak="0">
    <w:nsid w:val="385B2CAB"/>
    <w:multiLevelType w:val="hybridMultilevel"/>
    <w:tmpl w:val="B5D42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8636E7C"/>
    <w:multiLevelType w:val="hybridMultilevel"/>
    <w:tmpl w:val="AD508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91A5F06"/>
    <w:multiLevelType w:val="hybridMultilevel"/>
    <w:tmpl w:val="728C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39221F67"/>
    <w:multiLevelType w:val="multilevel"/>
    <w:tmpl w:val="8F20614E"/>
    <w:styleLink w:val="Styl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39484992"/>
    <w:multiLevelType w:val="hybridMultilevel"/>
    <w:tmpl w:val="79B81C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5" w15:restartNumberingAfterBreak="0">
    <w:nsid w:val="3962164B"/>
    <w:multiLevelType w:val="multilevel"/>
    <w:tmpl w:val="EE62AEF8"/>
    <w:styleLink w:val="Style4"/>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861"/>
        </w:tabs>
        <w:ind w:left="861" w:hanging="720"/>
      </w:pPr>
    </w:lvl>
    <w:lvl w:ilvl="3">
      <w:start w:val="1"/>
      <w:numFmt w:val="decimal"/>
      <w:lvlText w:val="%4."/>
      <w:lvlJc w:val="left"/>
      <w:pPr>
        <w:tabs>
          <w:tab w:val="num" w:pos="720"/>
        </w:tabs>
        <w:ind w:left="720" w:hanging="720"/>
      </w:pPr>
    </w:lvl>
    <w:lvl w:ilvl="4">
      <w:start w:val="1"/>
      <w:numFmt w:val="decimal"/>
      <w:lvlText w:val="%5."/>
      <w:lvlJc w:val="left"/>
      <w:pPr>
        <w:tabs>
          <w:tab w:val="num" w:pos="1145"/>
        </w:tabs>
        <w:ind w:left="1145"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39DD06B8"/>
    <w:multiLevelType w:val="hybridMultilevel"/>
    <w:tmpl w:val="DB1C6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39EB259A"/>
    <w:multiLevelType w:val="hybridMultilevel"/>
    <w:tmpl w:val="8CE0E8FC"/>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8" w15:restartNumberingAfterBreak="0">
    <w:nsid w:val="3A97041E"/>
    <w:multiLevelType w:val="multilevel"/>
    <w:tmpl w:val="294EDAA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3AB9017F"/>
    <w:multiLevelType w:val="multilevel"/>
    <w:tmpl w:val="36E8C05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0" w15:restartNumberingAfterBreak="0">
    <w:nsid w:val="3AC73663"/>
    <w:multiLevelType w:val="hybridMultilevel"/>
    <w:tmpl w:val="8A9CE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3B7946CC"/>
    <w:multiLevelType w:val="hybridMultilevel"/>
    <w:tmpl w:val="6B28428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3B846F4C"/>
    <w:multiLevelType w:val="multilevel"/>
    <w:tmpl w:val="1A1AE028"/>
    <w:lvl w:ilvl="0">
      <w:start w:val="1"/>
      <w:numFmt w:val="decimal"/>
      <w:lvlText w:val="%1."/>
      <w:lvlJc w:val="left"/>
      <w:pPr>
        <w:ind w:left="360" w:hanging="360"/>
      </w:pPr>
      <w:rPr>
        <w:b w:val="0"/>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3BAD2A4F"/>
    <w:multiLevelType w:val="hybridMultilevel"/>
    <w:tmpl w:val="AC28E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3C0E3150"/>
    <w:multiLevelType w:val="hybridMultilevel"/>
    <w:tmpl w:val="8BC0D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CD04B03"/>
    <w:multiLevelType w:val="hybridMultilevel"/>
    <w:tmpl w:val="0F62A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3D245F1A"/>
    <w:multiLevelType w:val="hybridMultilevel"/>
    <w:tmpl w:val="6CD809AC"/>
    <w:lvl w:ilvl="0" w:tplc="2A38F3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3D2E47E0"/>
    <w:multiLevelType w:val="hybridMultilevel"/>
    <w:tmpl w:val="4798F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3D4530D7"/>
    <w:multiLevelType w:val="hybridMultilevel"/>
    <w:tmpl w:val="C6DE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3DB33C95"/>
    <w:multiLevelType w:val="hybridMultilevel"/>
    <w:tmpl w:val="DEE6E1F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0" w15:restartNumberingAfterBreak="0">
    <w:nsid w:val="3DBD3113"/>
    <w:multiLevelType w:val="hybridMultilevel"/>
    <w:tmpl w:val="AD1A5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3DDC619A"/>
    <w:multiLevelType w:val="hybridMultilevel"/>
    <w:tmpl w:val="135AD472"/>
    <w:lvl w:ilvl="0" w:tplc="0809000F">
      <w:start w:val="1"/>
      <w:numFmt w:val="decimal"/>
      <w:lvlText w:val="%1."/>
      <w:lvlJc w:val="left"/>
      <w:pPr>
        <w:ind w:left="360" w:hanging="360"/>
      </w:pPr>
      <w:rPr>
        <w:rFonts w:hint="default"/>
      </w:rPr>
    </w:lvl>
    <w:lvl w:ilvl="1" w:tplc="08090001">
      <w:start w:val="1"/>
      <w:numFmt w:val="bullet"/>
      <w:lvlText w:val=""/>
      <w:lvlJc w:val="left"/>
      <w:pPr>
        <w:ind w:left="643"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3E2267DE"/>
    <w:multiLevelType w:val="hybridMultilevel"/>
    <w:tmpl w:val="091AA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3EB60395"/>
    <w:multiLevelType w:val="hybridMultilevel"/>
    <w:tmpl w:val="45461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3FAB36A6"/>
    <w:multiLevelType w:val="hybridMultilevel"/>
    <w:tmpl w:val="05E0B3F0"/>
    <w:styleLink w:val="Style1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95" w15:restartNumberingAfterBreak="0">
    <w:nsid w:val="40BF2047"/>
    <w:multiLevelType w:val="multilevel"/>
    <w:tmpl w:val="0B24B92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6" w15:restartNumberingAfterBreak="0">
    <w:nsid w:val="41256943"/>
    <w:multiLevelType w:val="hybridMultilevel"/>
    <w:tmpl w:val="D7AA5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4129130B"/>
    <w:multiLevelType w:val="hybridMultilevel"/>
    <w:tmpl w:val="A57AC6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8" w15:restartNumberingAfterBreak="0">
    <w:nsid w:val="412979C3"/>
    <w:multiLevelType w:val="hybridMultilevel"/>
    <w:tmpl w:val="FFCE3BE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4174481D"/>
    <w:multiLevelType w:val="hybridMultilevel"/>
    <w:tmpl w:val="731A2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41AB002D"/>
    <w:multiLevelType w:val="hybridMultilevel"/>
    <w:tmpl w:val="EC38C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22378F4"/>
    <w:multiLevelType w:val="hybridMultilevel"/>
    <w:tmpl w:val="D6A86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24F2176"/>
    <w:multiLevelType w:val="hybridMultilevel"/>
    <w:tmpl w:val="B6ECF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25573D7"/>
    <w:multiLevelType w:val="hybridMultilevel"/>
    <w:tmpl w:val="93B03B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42C3705A"/>
    <w:multiLevelType w:val="hybridMultilevel"/>
    <w:tmpl w:val="EAB6E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42DD6A54"/>
    <w:multiLevelType w:val="hybridMultilevel"/>
    <w:tmpl w:val="EBAA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433054AD"/>
    <w:multiLevelType w:val="hybridMultilevel"/>
    <w:tmpl w:val="1FAA359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43C057B7"/>
    <w:multiLevelType w:val="hybridMultilevel"/>
    <w:tmpl w:val="7D661554"/>
    <w:lvl w:ilvl="0" w:tplc="0809000F">
      <w:start w:val="1"/>
      <w:numFmt w:val="decimal"/>
      <w:lvlText w:val="%1."/>
      <w:lvlJc w:val="left"/>
      <w:pPr>
        <w:ind w:left="501"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466430F"/>
    <w:multiLevelType w:val="hybridMultilevel"/>
    <w:tmpl w:val="AA680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448D2AE7"/>
    <w:multiLevelType w:val="hybridMultilevel"/>
    <w:tmpl w:val="3E00DB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44DA2211"/>
    <w:multiLevelType w:val="hybridMultilevel"/>
    <w:tmpl w:val="5D644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44ED0CBE"/>
    <w:multiLevelType w:val="hybridMultilevel"/>
    <w:tmpl w:val="6450A562"/>
    <w:lvl w:ilvl="0" w:tplc="08090001">
      <w:start w:val="1"/>
      <w:numFmt w:val="bullet"/>
      <w:lvlText w:val=""/>
      <w:lvlJc w:val="left"/>
      <w:pPr>
        <w:ind w:left="360" w:hanging="360"/>
      </w:pPr>
      <w:rPr>
        <w:rFonts w:ascii="Symbol" w:hAnsi="Symbol" w:hint="default"/>
      </w:rPr>
    </w:lvl>
    <w:lvl w:ilvl="1" w:tplc="2788FD8C">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451201C9"/>
    <w:multiLevelType w:val="hybridMultilevel"/>
    <w:tmpl w:val="61AA1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451F02A8"/>
    <w:multiLevelType w:val="hybridMultilevel"/>
    <w:tmpl w:val="A4362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45366C4D"/>
    <w:multiLevelType w:val="hybridMultilevel"/>
    <w:tmpl w:val="45403CF2"/>
    <w:lvl w:ilvl="0" w:tplc="0809000F">
      <w:start w:val="1"/>
      <w:numFmt w:val="decimal"/>
      <w:lvlText w:val="%1."/>
      <w:lvlJc w:val="left"/>
      <w:pPr>
        <w:ind w:left="360" w:hanging="360"/>
      </w:pPr>
      <w:rPr>
        <w:rFonts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46241943"/>
    <w:multiLevelType w:val="hybridMultilevel"/>
    <w:tmpl w:val="BC9A0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46543B8F"/>
    <w:multiLevelType w:val="hybridMultilevel"/>
    <w:tmpl w:val="553EA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46B30C9D"/>
    <w:multiLevelType w:val="hybridMultilevel"/>
    <w:tmpl w:val="2750A33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46F0191C"/>
    <w:multiLevelType w:val="hybridMultilevel"/>
    <w:tmpl w:val="0E5AF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46FD148E"/>
    <w:multiLevelType w:val="hybridMultilevel"/>
    <w:tmpl w:val="6F4E75DA"/>
    <w:lvl w:ilvl="0" w:tplc="D004DD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47083697"/>
    <w:multiLevelType w:val="hybridMultilevel"/>
    <w:tmpl w:val="E71A7E1C"/>
    <w:lvl w:ilvl="0" w:tplc="0809000F">
      <w:start w:val="1"/>
      <w:numFmt w:val="decimal"/>
      <w:lvlText w:val="%1."/>
      <w:lvlJc w:val="left"/>
      <w:pPr>
        <w:ind w:left="463" w:hanging="360"/>
      </w:p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221" w15:restartNumberingAfterBreak="0">
    <w:nsid w:val="47095877"/>
    <w:multiLevelType w:val="hybridMultilevel"/>
    <w:tmpl w:val="20A0D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47DD3213"/>
    <w:multiLevelType w:val="hybridMultilevel"/>
    <w:tmpl w:val="92569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47EF4D9A"/>
    <w:multiLevelType w:val="hybridMultilevel"/>
    <w:tmpl w:val="7EB6A9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48D735D1"/>
    <w:multiLevelType w:val="hybridMultilevel"/>
    <w:tmpl w:val="CDAA8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15:restartNumberingAfterBreak="0">
    <w:nsid w:val="494C1AB4"/>
    <w:multiLevelType w:val="hybridMultilevel"/>
    <w:tmpl w:val="43CA0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4992223C"/>
    <w:multiLevelType w:val="hybridMultilevel"/>
    <w:tmpl w:val="1E121D3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A031736"/>
    <w:multiLevelType w:val="hybridMultilevel"/>
    <w:tmpl w:val="3AC0319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4A502BD1"/>
    <w:multiLevelType w:val="hybridMultilevel"/>
    <w:tmpl w:val="3E8CF4B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4A82234A"/>
    <w:multiLevelType w:val="hybridMultilevel"/>
    <w:tmpl w:val="171AA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4A9043C6"/>
    <w:multiLevelType w:val="hybridMultilevel"/>
    <w:tmpl w:val="6F686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4B75168B"/>
    <w:multiLevelType w:val="hybridMultilevel"/>
    <w:tmpl w:val="FB64CA1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4BB52645"/>
    <w:multiLevelType w:val="hybridMultilevel"/>
    <w:tmpl w:val="B23C3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4C302169"/>
    <w:multiLevelType w:val="hybridMultilevel"/>
    <w:tmpl w:val="06B8F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4C6C152B"/>
    <w:multiLevelType w:val="hybridMultilevel"/>
    <w:tmpl w:val="80C20226"/>
    <w:lvl w:ilvl="0" w:tplc="0809000F">
      <w:start w:val="1"/>
      <w:numFmt w:val="decimal"/>
      <w:lvlText w:val="%1."/>
      <w:lvlJc w:val="left"/>
      <w:pPr>
        <w:ind w:left="720" w:hanging="360"/>
      </w:pPr>
    </w:lvl>
    <w:lvl w:ilvl="1" w:tplc="0809000F">
      <w:start w:val="1"/>
      <w:numFmt w:val="decimal"/>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4C760436"/>
    <w:multiLevelType w:val="hybridMultilevel"/>
    <w:tmpl w:val="834A4820"/>
    <w:lvl w:ilvl="0" w:tplc="0809000F">
      <w:start w:val="1"/>
      <w:numFmt w:val="decimal"/>
      <w:lvlText w:val="%1."/>
      <w:lvlJc w:val="left"/>
      <w:pPr>
        <w:ind w:left="720" w:hanging="360"/>
      </w:p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4C7C6914"/>
    <w:multiLevelType w:val="multilevel"/>
    <w:tmpl w:val="C44C4B4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7" w15:restartNumberingAfterBreak="0">
    <w:nsid w:val="4C7F5DAD"/>
    <w:multiLevelType w:val="hybridMultilevel"/>
    <w:tmpl w:val="F68A9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C8D785F"/>
    <w:multiLevelType w:val="hybridMultilevel"/>
    <w:tmpl w:val="4C3AD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4CC03973"/>
    <w:multiLevelType w:val="hybridMultilevel"/>
    <w:tmpl w:val="F7307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4D2F4B97"/>
    <w:multiLevelType w:val="hybridMultilevel"/>
    <w:tmpl w:val="2BC48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4D8A70F6"/>
    <w:multiLevelType w:val="hybridMultilevel"/>
    <w:tmpl w:val="DEE6C694"/>
    <w:lvl w:ilvl="0" w:tplc="0809000F">
      <w:start w:val="1"/>
      <w:numFmt w:val="decimal"/>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242" w15:restartNumberingAfterBreak="0">
    <w:nsid w:val="4E182913"/>
    <w:multiLevelType w:val="hybridMultilevel"/>
    <w:tmpl w:val="21CA96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3" w15:restartNumberingAfterBreak="0">
    <w:nsid w:val="4F4E2AE0"/>
    <w:multiLevelType w:val="hybridMultilevel"/>
    <w:tmpl w:val="14148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4F914602"/>
    <w:multiLevelType w:val="hybridMultilevel"/>
    <w:tmpl w:val="17AA58D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4FA06B89"/>
    <w:multiLevelType w:val="hybridMultilevel"/>
    <w:tmpl w:val="59462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4FE07871"/>
    <w:multiLevelType w:val="hybridMultilevel"/>
    <w:tmpl w:val="A6580514"/>
    <w:lvl w:ilvl="0" w:tplc="30044F5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7" w15:restartNumberingAfterBreak="0">
    <w:nsid w:val="4FFD5D0A"/>
    <w:multiLevelType w:val="hybridMultilevel"/>
    <w:tmpl w:val="27BA8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50DD70B8"/>
    <w:multiLevelType w:val="hybridMultilevel"/>
    <w:tmpl w:val="1F289F5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9" w15:restartNumberingAfterBreak="0">
    <w:nsid w:val="51160FF1"/>
    <w:multiLevelType w:val="hybridMultilevel"/>
    <w:tmpl w:val="7332E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51283009"/>
    <w:multiLevelType w:val="hybridMultilevel"/>
    <w:tmpl w:val="19D6850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51700615"/>
    <w:multiLevelType w:val="hybridMultilevel"/>
    <w:tmpl w:val="03A2C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52097290"/>
    <w:multiLevelType w:val="hybridMultilevel"/>
    <w:tmpl w:val="A8402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522C3318"/>
    <w:multiLevelType w:val="hybridMultilevel"/>
    <w:tmpl w:val="94EA5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52637190"/>
    <w:multiLevelType w:val="multilevel"/>
    <w:tmpl w:val="DCE84AE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5" w15:restartNumberingAfterBreak="0">
    <w:nsid w:val="529319E0"/>
    <w:multiLevelType w:val="multilevel"/>
    <w:tmpl w:val="D7D0DE64"/>
    <w:lvl w:ilvl="0">
      <w:start w:val="1"/>
      <w:numFmt w:val="decimal"/>
      <w:lvlText w:val="%1."/>
      <w:lvlJc w:val="left"/>
      <w:pPr>
        <w:ind w:left="360" w:hanging="360"/>
      </w:pPr>
      <w:rPr>
        <w:rFonts w:hint="default"/>
      </w:rPr>
    </w:lvl>
    <w:lvl w:ilvl="1">
      <w:start w:val="7"/>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4."/>
      <w:lvlJc w:val="left"/>
      <w:pPr>
        <w:ind w:left="720" w:hanging="720"/>
      </w:pPr>
      <w:rPr>
        <w:rFonts w:asciiTheme="minorHAnsi" w:eastAsiaTheme="minorHAnsi" w:hAnsiTheme="minorHAnsi" w:cstheme="minorBidi"/>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6" w15:restartNumberingAfterBreak="0">
    <w:nsid w:val="529B4BD0"/>
    <w:multiLevelType w:val="hybridMultilevel"/>
    <w:tmpl w:val="7182E3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52AA0DC7"/>
    <w:multiLevelType w:val="hybridMultilevel"/>
    <w:tmpl w:val="85B4AD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52E97835"/>
    <w:multiLevelType w:val="hybridMultilevel"/>
    <w:tmpl w:val="98A0B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530078A2"/>
    <w:multiLevelType w:val="hybridMultilevel"/>
    <w:tmpl w:val="790EA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53094545"/>
    <w:multiLevelType w:val="hybridMultilevel"/>
    <w:tmpl w:val="6F963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53786D8B"/>
    <w:multiLevelType w:val="hybridMultilevel"/>
    <w:tmpl w:val="8782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2" w15:restartNumberingAfterBreak="0">
    <w:nsid w:val="539C4978"/>
    <w:multiLevelType w:val="hybridMultilevel"/>
    <w:tmpl w:val="A82623CC"/>
    <w:lvl w:ilvl="0" w:tplc="0809000F">
      <w:start w:val="1"/>
      <w:numFmt w:val="decimal"/>
      <w:lvlText w:val="%1."/>
      <w:lvlJc w:val="left"/>
      <w:pPr>
        <w:ind w:left="502"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53FC289E"/>
    <w:multiLevelType w:val="hybridMultilevel"/>
    <w:tmpl w:val="E01E763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541A2987"/>
    <w:multiLevelType w:val="hybridMultilevel"/>
    <w:tmpl w:val="A0D0C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54713F85"/>
    <w:multiLevelType w:val="multilevel"/>
    <w:tmpl w:val="4E10175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861"/>
        </w:tabs>
        <w:ind w:left="861" w:hanging="720"/>
      </w:pPr>
      <w:rPr>
        <w:rFonts w:hint="default"/>
      </w:rPr>
    </w:lvl>
    <w:lvl w:ilvl="3">
      <w:start w:val="1"/>
      <w:numFmt w:val="decimal"/>
      <w:lvlText w:val="%4."/>
      <w:lvlJc w:val="left"/>
      <w:pPr>
        <w:tabs>
          <w:tab w:val="num" w:pos="720"/>
        </w:tabs>
        <w:ind w:left="720" w:hanging="720"/>
      </w:pPr>
      <w:rPr>
        <w:rFonts w:hint="default"/>
      </w:rPr>
    </w:lvl>
    <w:lvl w:ilvl="4">
      <w:start w:val="1"/>
      <w:numFmt w:val="decimal"/>
      <w:lvlText w:val="%5."/>
      <w:lvlJc w:val="left"/>
      <w:pPr>
        <w:tabs>
          <w:tab w:val="num" w:pos="1145"/>
        </w:tabs>
        <w:ind w:left="1145"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6" w15:restartNumberingAfterBreak="0">
    <w:nsid w:val="552126E5"/>
    <w:multiLevelType w:val="hybridMultilevel"/>
    <w:tmpl w:val="C42448B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55C07B6A"/>
    <w:multiLevelType w:val="hybridMultilevel"/>
    <w:tmpl w:val="C5BC5A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55CB068B"/>
    <w:multiLevelType w:val="hybridMultilevel"/>
    <w:tmpl w:val="58320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56A5486F"/>
    <w:multiLevelType w:val="hybridMultilevel"/>
    <w:tmpl w:val="236AE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56C10105"/>
    <w:multiLevelType w:val="hybridMultilevel"/>
    <w:tmpl w:val="713EE6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572B5C8F"/>
    <w:multiLevelType w:val="hybridMultilevel"/>
    <w:tmpl w:val="86CCE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5774527E"/>
    <w:multiLevelType w:val="hybridMultilevel"/>
    <w:tmpl w:val="08F85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57EB07CB"/>
    <w:multiLevelType w:val="hybridMultilevel"/>
    <w:tmpl w:val="2AD0D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583231BC"/>
    <w:multiLevelType w:val="hybridMultilevel"/>
    <w:tmpl w:val="6FE03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58BA22FB"/>
    <w:multiLevelType w:val="hybridMultilevel"/>
    <w:tmpl w:val="757EF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597764C2"/>
    <w:multiLevelType w:val="hybridMultilevel"/>
    <w:tmpl w:val="419E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59A84B3E"/>
    <w:multiLevelType w:val="hybridMultilevel"/>
    <w:tmpl w:val="934E7C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59CB1CAC"/>
    <w:multiLevelType w:val="hybridMultilevel"/>
    <w:tmpl w:val="62A27A82"/>
    <w:lvl w:ilvl="0" w:tplc="0809000F">
      <w:start w:val="1"/>
      <w:numFmt w:val="decimal"/>
      <w:lvlText w:val="%1."/>
      <w:lvlJc w:val="left"/>
      <w:pPr>
        <w:ind w:left="720" w:hanging="360"/>
      </w:pPr>
    </w:lvl>
    <w:lvl w:ilvl="1" w:tplc="0809000F">
      <w:start w:val="1"/>
      <w:numFmt w:val="decimal"/>
      <w:lvlText w:val="%2."/>
      <w:lvlJc w:val="left"/>
      <w:pPr>
        <w:ind w:left="50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59D9135E"/>
    <w:multiLevelType w:val="hybridMultilevel"/>
    <w:tmpl w:val="6B2C0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5A1B02A6"/>
    <w:multiLevelType w:val="hybridMultilevel"/>
    <w:tmpl w:val="B172EAE2"/>
    <w:lvl w:ilvl="0" w:tplc="0809000F">
      <w:start w:val="1"/>
      <w:numFmt w:val="decimal"/>
      <w:lvlText w:val="%1."/>
      <w:lvlJc w:val="left"/>
      <w:pPr>
        <w:ind w:left="720" w:hanging="360"/>
      </w:pPr>
    </w:lvl>
    <w:lvl w:ilvl="1" w:tplc="08090001">
      <w:start w:val="1"/>
      <w:numFmt w:val="bullet"/>
      <w:lvlText w:val=""/>
      <w:lvlJc w:val="left"/>
      <w:pPr>
        <w:ind w:left="36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5AB64B64"/>
    <w:multiLevelType w:val="hybridMultilevel"/>
    <w:tmpl w:val="F70E6F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5ABA6918"/>
    <w:multiLevelType w:val="hybridMultilevel"/>
    <w:tmpl w:val="055CF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5ADC7331"/>
    <w:multiLevelType w:val="hybridMultilevel"/>
    <w:tmpl w:val="ECE6E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5AF94327"/>
    <w:multiLevelType w:val="hybridMultilevel"/>
    <w:tmpl w:val="0296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5B2F6108"/>
    <w:multiLevelType w:val="hybridMultilevel"/>
    <w:tmpl w:val="9B8AA02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5B4D6754"/>
    <w:multiLevelType w:val="hybridMultilevel"/>
    <w:tmpl w:val="92C4F586"/>
    <w:lvl w:ilvl="0" w:tplc="0809000F">
      <w:start w:val="1"/>
      <w:numFmt w:val="decimal"/>
      <w:lvlText w:val="%1."/>
      <w:lvlJc w:val="left"/>
      <w:pPr>
        <w:ind w:left="720" w:hanging="360"/>
      </w:pPr>
    </w:lvl>
    <w:lvl w:ilvl="1" w:tplc="0809000F">
      <w:start w:val="1"/>
      <w:numFmt w:val="decimal"/>
      <w:lvlText w:val="%2."/>
      <w:lvlJc w:val="left"/>
      <w:pPr>
        <w:ind w:left="50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B5800F3"/>
    <w:multiLevelType w:val="hybridMultilevel"/>
    <w:tmpl w:val="3CC498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8" w15:restartNumberingAfterBreak="0">
    <w:nsid w:val="5B5A6333"/>
    <w:multiLevelType w:val="hybridMultilevel"/>
    <w:tmpl w:val="E5323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5B5D3B29"/>
    <w:multiLevelType w:val="hybridMultilevel"/>
    <w:tmpl w:val="C302A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BB86B87"/>
    <w:multiLevelType w:val="multilevel"/>
    <w:tmpl w:val="D31A3294"/>
    <w:lvl w:ilvl="0">
      <w:start w:val="1"/>
      <w:numFmt w:val="decimal"/>
      <w:lvlText w:val="%1."/>
      <w:lvlJc w:val="left"/>
      <w:pPr>
        <w:tabs>
          <w:tab w:val="num" w:pos="720"/>
        </w:tabs>
        <w:ind w:left="284" w:hanging="284"/>
      </w:pPr>
      <w:rPr>
        <w:rFonts w:hint="default"/>
        <w:b w:val="0"/>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1" w15:restartNumberingAfterBreak="0">
    <w:nsid w:val="5C1567F5"/>
    <w:multiLevelType w:val="hybridMultilevel"/>
    <w:tmpl w:val="EA428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5C335745"/>
    <w:multiLevelType w:val="multilevel"/>
    <w:tmpl w:val="DD464A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3" w15:restartNumberingAfterBreak="0">
    <w:nsid w:val="5C52057E"/>
    <w:multiLevelType w:val="hybridMultilevel"/>
    <w:tmpl w:val="D52A427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5D3C159C"/>
    <w:multiLevelType w:val="hybridMultilevel"/>
    <w:tmpl w:val="7D3E5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5" w15:restartNumberingAfterBreak="0">
    <w:nsid w:val="5D46078C"/>
    <w:multiLevelType w:val="hybridMultilevel"/>
    <w:tmpl w:val="6A3869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6" w15:restartNumberingAfterBreak="0">
    <w:nsid w:val="5D474159"/>
    <w:multiLevelType w:val="hybridMultilevel"/>
    <w:tmpl w:val="8C422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5D8C170C"/>
    <w:multiLevelType w:val="hybridMultilevel"/>
    <w:tmpl w:val="D4A66A1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8" w15:restartNumberingAfterBreak="0">
    <w:nsid w:val="5DCF2847"/>
    <w:multiLevelType w:val="hybridMultilevel"/>
    <w:tmpl w:val="8CEA7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9" w15:restartNumberingAfterBreak="0">
    <w:nsid w:val="5E0D6834"/>
    <w:multiLevelType w:val="hybridMultilevel"/>
    <w:tmpl w:val="CF80F3DE"/>
    <w:lvl w:ilvl="0" w:tplc="0809000F">
      <w:start w:val="1"/>
      <w:numFmt w:val="decimal"/>
      <w:lvlText w:val="%1."/>
      <w:lvlJc w:val="left"/>
      <w:pPr>
        <w:ind w:left="720" w:hanging="360"/>
      </w:pPr>
    </w:lvl>
    <w:lvl w:ilvl="1" w:tplc="0809000F">
      <w:start w:val="1"/>
      <w:numFmt w:val="decimal"/>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5E2D2964"/>
    <w:multiLevelType w:val="hybridMultilevel"/>
    <w:tmpl w:val="349A4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15:restartNumberingAfterBreak="0">
    <w:nsid w:val="5EE821E0"/>
    <w:multiLevelType w:val="hybridMultilevel"/>
    <w:tmpl w:val="6CD46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5FED532F"/>
    <w:multiLevelType w:val="hybridMultilevel"/>
    <w:tmpl w:val="18B08F32"/>
    <w:lvl w:ilvl="0" w:tplc="0809000F">
      <w:start w:val="1"/>
      <w:numFmt w:val="decimal"/>
      <w:lvlText w:val="%1."/>
      <w:lvlJc w:val="left"/>
      <w:pPr>
        <w:ind w:left="720" w:hanging="360"/>
      </w:pPr>
    </w:lvl>
    <w:lvl w:ilvl="1" w:tplc="0809000F">
      <w:start w:val="1"/>
      <w:numFmt w:val="decimal"/>
      <w:lvlText w:val="%2."/>
      <w:lvlJc w:val="left"/>
      <w:pPr>
        <w:ind w:left="36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613C0AFE"/>
    <w:multiLevelType w:val="multilevel"/>
    <w:tmpl w:val="A8FC7E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4" w15:restartNumberingAfterBreak="0">
    <w:nsid w:val="61430D80"/>
    <w:multiLevelType w:val="hybridMultilevel"/>
    <w:tmpl w:val="45C2727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61A54D96"/>
    <w:multiLevelType w:val="hybridMultilevel"/>
    <w:tmpl w:val="737CFC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62C6145C"/>
    <w:multiLevelType w:val="hybridMultilevel"/>
    <w:tmpl w:val="69323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62F75E5D"/>
    <w:multiLevelType w:val="hybridMultilevel"/>
    <w:tmpl w:val="CA268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8" w15:restartNumberingAfterBreak="0">
    <w:nsid w:val="630B6152"/>
    <w:multiLevelType w:val="hybridMultilevel"/>
    <w:tmpl w:val="BAAE2D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9" w15:restartNumberingAfterBreak="0">
    <w:nsid w:val="63F45CB1"/>
    <w:multiLevelType w:val="multilevel"/>
    <w:tmpl w:val="8F20614E"/>
    <w:numStyleLink w:val="Style2"/>
  </w:abstractNum>
  <w:abstractNum w:abstractNumId="310" w15:restartNumberingAfterBreak="0">
    <w:nsid w:val="644C064F"/>
    <w:multiLevelType w:val="hybridMultilevel"/>
    <w:tmpl w:val="4D0E8B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645C6A93"/>
    <w:multiLevelType w:val="hybridMultilevel"/>
    <w:tmpl w:val="E07CB5F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2" w15:restartNumberingAfterBreak="0">
    <w:nsid w:val="649D3452"/>
    <w:multiLevelType w:val="hybridMultilevel"/>
    <w:tmpl w:val="C53AF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3" w15:restartNumberingAfterBreak="0">
    <w:nsid w:val="64F2692B"/>
    <w:multiLevelType w:val="multilevel"/>
    <w:tmpl w:val="C660E4E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4" w15:restartNumberingAfterBreak="0">
    <w:nsid w:val="654F4C63"/>
    <w:multiLevelType w:val="hybridMultilevel"/>
    <w:tmpl w:val="8F763E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65BF182E"/>
    <w:multiLevelType w:val="hybridMultilevel"/>
    <w:tmpl w:val="A79815B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316" w15:restartNumberingAfterBreak="0">
    <w:nsid w:val="65C20231"/>
    <w:multiLevelType w:val="hybridMultilevel"/>
    <w:tmpl w:val="A444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661C023F"/>
    <w:multiLevelType w:val="hybridMultilevel"/>
    <w:tmpl w:val="C2D876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6551E56"/>
    <w:multiLevelType w:val="hybridMultilevel"/>
    <w:tmpl w:val="15607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66F2316E"/>
    <w:multiLevelType w:val="hybridMultilevel"/>
    <w:tmpl w:val="732A8F78"/>
    <w:lvl w:ilvl="0" w:tplc="D6C0449C">
      <w:start w:val="1"/>
      <w:numFmt w:val="upperRoman"/>
      <w:lvlText w:val="%1."/>
      <w:lvlJc w:val="right"/>
      <w:pPr>
        <w:ind w:left="454" w:hanging="227"/>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20" w15:restartNumberingAfterBreak="0">
    <w:nsid w:val="66FD52C0"/>
    <w:multiLevelType w:val="hybridMultilevel"/>
    <w:tmpl w:val="CB8AE3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673B1464"/>
    <w:multiLevelType w:val="hybridMultilevel"/>
    <w:tmpl w:val="E2DC9714"/>
    <w:lvl w:ilvl="0" w:tplc="9D101F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2" w15:restartNumberingAfterBreak="0">
    <w:nsid w:val="673B19D6"/>
    <w:multiLevelType w:val="hybridMultilevel"/>
    <w:tmpl w:val="9B5807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15:restartNumberingAfterBreak="0">
    <w:nsid w:val="676431DB"/>
    <w:multiLevelType w:val="hybridMultilevel"/>
    <w:tmpl w:val="91FAB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4" w15:restartNumberingAfterBreak="0">
    <w:nsid w:val="676F65EF"/>
    <w:multiLevelType w:val="hybridMultilevel"/>
    <w:tmpl w:val="A2E0D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5" w15:restartNumberingAfterBreak="0">
    <w:nsid w:val="67EE5F86"/>
    <w:multiLevelType w:val="hybridMultilevel"/>
    <w:tmpl w:val="E8187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68221C62"/>
    <w:multiLevelType w:val="hybridMultilevel"/>
    <w:tmpl w:val="337ED824"/>
    <w:lvl w:ilvl="0" w:tplc="0809000F">
      <w:start w:val="1"/>
      <w:numFmt w:val="decimal"/>
      <w:lvlText w:val="%1."/>
      <w:lvlJc w:val="left"/>
      <w:pPr>
        <w:ind w:left="720" w:hanging="360"/>
      </w:pPr>
    </w:lvl>
    <w:lvl w:ilvl="1" w:tplc="F1B8A72E">
      <w:start w:val="1"/>
      <w:numFmt w:val="decimal"/>
      <w:lvlText w:val="%2."/>
      <w:lvlJc w:val="left"/>
      <w:pPr>
        <w:ind w:left="502"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68874074"/>
    <w:multiLevelType w:val="multilevel"/>
    <w:tmpl w:val="C988177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8" w15:restartNumberingAfterBreak="0">
    <w:nsid w:val="6A51608D"/>
    <w:multiLevelType w:val="hybridMultilevel"/>
    <w:tmpl w:val="868C3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6AF17B56"/>
    <w:multiLevelType w:val="hybridMultilevel"/>
    <w:tmpl w:val="E54EA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0" w15:restartNumberingAfterBreak="0">
    <w:nsid w:val="6AF34B06"/>
    <w:multiLevelType w:val="hybridMultilevel"/>
    <w:tmpl w:val="DBC249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1" w15:restartNumberingAfterBreak="0">
    <w:nsid w:val="6AFB63B1"/>
    <w:multiLevelType w:val="hybridMultilevel"/>
    <w:tmpl w:val="89CA701C"/>
    <w:lvl w:ilvl="0" w:tplc="0809000F">
      <w:start w:val="1"/>
      <w:numFmt w:val="decimal"/>
      <w:lvlText w:val="%1."/>
      <w:lvlJc w:val="left"/>
      <w:pPr>
        <w:ind w:left="720" w:hanging="360"/>
      </w:pPr>
    </w:lvl>
    <w:lvl w:ilvl="1" w:tplc="0809000F">
      <w:start w:val="1"/>
      <w:numFmt w:val="decimal"/>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6B8A5F4B"/>
    <w:multiLevelType w:val="multilevel"/>
    <w:tmpl w:val="2ABCE086"/>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861"/>
        </w:tabs>
        <w:ind w:left="861" w:hanging="720"/>
      </w:pPr>
    </w:lvl>
    <w:lvl w:ilvl="3">
      <w:start w:val="1"/>
      <w:numFmt w:val="decimal"/>
      <w:lvlText w:val="%4."/>
      <w:lvlJc w:val="left"/>
      <w:pPr>
        <w:tabs>
          <w:tab w:val="num" w:pos="720"/>
        </w:tabs>
        <w:ind w:left="720" w:hanging="720"/>
      </w:pPr>
    </w:lvl>
    <w:lvl w:ilvl="4">
      <w:start w:val="1"/>
      <w:numFmt w:val="decimal"/>
      <w:lvlText w:val="%5."/>
      <w:lvlJc w:val="left"/>
      <w:pPr>
        <w:tabs>
          <w:tab w:val="num" w:pos="1145"/>
        </w:tabs>
        <w:ind w:left="1145"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3" w15:restartNumberingAfterBreak="0">
    <w:nsid w:val="6C414FC7"/>
    <w:multiLevelType w:val="hybridMultilevel"/>
    <w:tmpl w:val="B140518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C7F1BC7"/>
    <w:multiLevelType w:val="hybridMultilevel"/>
    <w:tmpl w:val="D37A796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5" w15:restartNumberingAfterBreak="0">
    <w:nsid w:val="6CB3692B"/>
    <w:multiLevelType w:val="hybridMultilevel"/>
    <w:tmpl w:val="CF1E35B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6D1E6D58"/>
    <w:multiLevelType w:val="multilevel"/>
    <w:tmpl w:val="DD464A7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7" w15:restartNumberingAfterBreak="0">
    <w:nsid w:val="6DD674E4"/>
    <w:multiLevelType w:val="hybridMultilevel"/>
    <w:tmpl w:val="1EE6D4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8" w15:restartNumberingAfterBreak="0">
    <w:nsid w:val="6DEF376F"/>
    <w:multiLevelType w:val="hybridMultilevel"/>
    <w:tmpl w:val="BAD62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6EED4360"/>
    <w:multiLevelType w:val="hybridMultilevel"/>
    <w:tmpl w:val="193C90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6FAC61B0"/>
    <w:multiLevelType w:val="hybridMultilevel"/>
    <w:tmpl w:val="D58029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6FCC298C"/>
    <w:multiLevelType w:val="hybridMultilevel"/>
    <w:tmpl w:val="2316800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700C540C"/>
    <w:multiLevelType w:val="hybridMultilevel"/>
    <w:tmpl w:val="1598CA7A"/>
    <w:lvl w:ilvl="0" w:tplc="C1DEF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706A6D36"/>
    <w:multiLevelType w:val="hybridMultilevel"/>
    <w:tmpl w:val="F8404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70C91CE3"/>
    <w:multiLevelType w:val="hybridMultilevel"/>
    <w:tmpl w:val="D5A6D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5" w15:restartNumberingAfterBreak="0">
    <w:nsid w:val="70D85722"/>
    <w:multiLevelType w:val="multilevel"/>
    <w:tmpl w:val="F8D4A0B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6" w15:restartNumberingAfterBreak="0">
    <w:nsid w:val="70E67349"/>
    <w:multiLevelType w:val="hybridMultilevel"/>
    <w:tmpl w:val="206E5DAC"/>
    <w:lvl w:ilvl="0" w:tplc="08090001">
      <w:start w:val="1"/>
      <w:numFmt w:val="bullet"/>
      <w:lvlText w:val=""/>
      <w:lvlJc w:val="left"/>
      <w:pPr>
        <w:ind w:left="227" w:hanging="227"/>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7" w15:restartNumberingAfterBreak="0">
    <w:nsid w:val="70EF5839"/>
    <w:multiLevelType w:val="hybridMultilevel"/>
    <w:tmpl w:val="BC56E6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8" w15:restartNumberingAfterBreak="0">
    <w:nsid w:val="7126118F"/>
    <w:multiLevelType w:val="hybridMultilevel"/>
    <w:tmpl w:val="77C67F4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71AF1350"/>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0" w15:restartNumberingAfterBreak="0">
    <w:nsid w:val="71E41897"/>
    <w:multiLevelType w:val="hybridMultilevel"/>
    <w:tmpl w:val="16729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1" w15:restartNumberingAfterBreak="0">
    <w:nsid w:val="71F63FD8"/>
    <w:multiLevelType w:val="hybridMultilevel"/>
    <w:tmpl w:val="E98A0A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2" w15:restartNumberingAfterBreak="0">
    <w:nsid w:val="71FA464D"/>
    <w:multiLevelType w:val="multilevel"/>
    <w:tmpl w:val="EE62AEF8"/>
    <w:styleLink w:val="Style5"/>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861"/>
        </w:tabs>
        <w:ind w:left="861" w:hanging="720"/>
      </w:pPr>
    </w:lvl>
    <w:lvl w:ilvl="3">
      <w:start w:val="1"/>
      <w:numFmt w:val="decimal"/>
      <w:lvlText w:val="%4."/>
      <w:lvlJc w:val="left"/>
      <w:pPr>
        <w:tabs>
          <w:tab w:val="num" w:pos="720"/>
        </w:tabs>
        <w:ind w:left="720" w:hanging="720"/>
      </w:pPr>
    </w:lvl>
    <w:lvl w:ilvl="4">
      <w:start w:val="1"/>
      <w:numFmt w:val="decimal"/>
      <w:lvlText w:val="%5."/>
      <w:lvlJc w:val="left"/>
      <w:pPr>
        <w:tabs>
          <w:tab w:val="num" w:pos="1145"/>
        </w:tabs>
        <w:ind w:left="1145"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3" w15:restartNumberingAfterBreak="0">
    <w:nsid w:val="72823017"/>
    <w:multiLevelType w:val="hybridMultilevel"/>
    <w:tmpl w:val="1C3C8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4" w15:restartNumberingAfterBreak="0">
    <w:nsid w:val="728A65FC"/>
    <w:multiLevelType w:val="hybridMultilevel"/>
    <w:tmpl w:val="A822A9F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5" w15:restartNumberingAfterBreak="0">
    <w:nsid w:val="72AE4361"/>
    <w:multiLevelType w:val="hybridMultilevel"/>
    <w:tmpl w:val="0C7EA43E"/>
    <w:lvl w:ilvl="0" w:tplc="08090013">
      <w:start w:val="1"/>
      <w:numFmt w:val="upperRoman"/>
      <w:lvlText w:val="%1."/>
      <w:lvlJc w:val="righ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356" w15:restartNumberingAfterBreak="0">
    <w:nsid w:val="732C2C42"/>
    <w:multiLevelType w:val="hybridMultilevel"/>
    <w:tmpl w:val="417C8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73833CA0"/>
    <w:multiLevelType w:val="hybridMultilevel"/>
    <w:tmpl w:val="1370F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73D32DDF"/>
    <w:multiLevelType w:val="hybridMultilevel"/>
    <w:tmpl w:val="EE3C2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73E86695"/>
    <w:multiLevelType w:val="hybridMultilevel"/>
    <w:tmpl w:val="82102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0" w15:restartNumberingAfterBreak="0">
    <w:nsid w:val="74EA11F1"/>
    <w:multiLevelType w:val="hybridMultilevel"/>
    <w:tmpl w:val="103C411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52D1876"/>
    <w:multiLevelType w:val="hybridMultilevel"/>
    <w:tmpl w:val="F87A2AC2"/>
    <w:lvl w:ilvl="0" w:tplc="08090001">
      <w:start w:val="1"/>
      <w:numFmt w:val="bullet"/>
      <w:lvlText w:val=""/>
      <w:lvlJc w:val="left"/>
      <w:pPr>
        <w:ind w:left="360" w:hanging="360"/>
      </w:pPr>
      <w:rPr>
        <w:rFonts w:ascii="Symbol" w:hAnsi="Symbol" w:hint="default"/>
      </w:rPr>
    </w:lvl>
    <w:lvl w:ilvl="1" w:tplc="C5ACF220">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2" w15:restartNumberingAfterBreak="0">
    <w:nsid w:val="7566123D"/>
    <w:multiLevelType w:val="hybridMultilevel"/>
    <w:tmpl w:val="C290C1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3" w15:restartNumberingAfterBreak="0">
    <w:nsid w:val="75A04F76"/>
    <w:multiLevelType w:val="hybridMultilevel"/>
    <w:tmpl w:val="2398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75DD7D8E"/>
    <w:multiLevelType w:val="hybridMultilevel"/>
    <w:tmpl w:val="1B0C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765442F9"/>
    <w:multiLevelType w:val="hybridMultilevel"/>
    <w:tmpl w:val="189A337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76724FBB"/>
    <w:multiLevelType w:val="multilevel"/>
    <w:tmpl w:val="F2567736"/>
    <w:lvl w:ilvl="0">
      <w:start w:val="2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7" w15:restartNumberingAfterBreak="0">
    <w:nsid w:val="77A82C87"/>
    <w:multiLevelType w:val="hybridMultilevel"/>
    <w:tmpl w:val="037E44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8" w15:restartNumberingAfterBreak="0">
    <w:nsid w:val="77E43CE3"/>
    <w:multiLevelType w:val="hybridMultilevel"/>
    <w:tmpl w:val="3CF61596"/>
    <w:lvl w:ilvl="0" w:tplc="DAAA66FA">
      <w:start w:val="1"/>
      <w:numFmt w:val="decimal"/>
      <w:lvlText w:val="%1."/>
      <w:lvlJc w:val="left"/>
      <w:pPr>
        <w:ind w:left="227"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9" w15:restartNumberingAfterBreak="0">
    <w:nsid w:val="78180244"/>
    <w:multiLevelType w:val="hybridMultilevel"/>
    <w:tmpl w:val="225EE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78407354"/>
    <w:multiLevelType w:val="hybridMultilevel"/>
    <w:tmpl w:val="7EECB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1" w15:restartNumberingAfterBreak="0">
    <w:nsid w:val="78727D5B"/>
    <w:multiLevelType w:val="hybridMultilevel"/>
    <w:tmpl w:val="D46A5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79AB5B47"/>
    <w:multiLevelType w:val="hybridMultilevel"/>
    <w:tmpl w:val="E760F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79C31031"/>
    <w:multiLevelType w:val="hybridMultilevel"/>
    <w:tmpl w:val="25EC1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4" w15:restartNumberingAfterBreak="0">
    <w:nsid w:val="79CC63E0"/>
    <w:multiLevelType w:val="hybridMultilevel"/>
    <w:tmpl w:val="CA047DC0"/>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A0327E3"/>
    <w:multiLevelType w:val="hybridMultilevel"/>
    <w:tmpl w:val="D37A83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6" w15:restartNumberingAfterBreak="0">
    <w:nsid w:val="7A1B30A5"/>
    <w:multiLevelType w:val="hybridMultilevel"/>
    <w:tmpl w:val="B68819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7A1E27FD"/>
    <w:multiLevelType w:val="hybridMultilevel"/>
    <w:tmpl w:val="8F60C554"/>
    <w:lvl w:ilvl="0" w:tplc="0809000F">
      <w:start w:val="1"/>
      <w:numFmt w:val="decimal"/>
      <w:lvlText w:val="%1."/>
      <w:lvlJc w:val="left"/>
      <w:pPr>
        <w:ind w:left="720" w:hanging="360"/>
      </w:pPr>
    </w:lvl>
    <w:lvl w:ilvl="1" w:tplc="0809000F">
      <w:start w:val="1"/>
      <w:numFmt w:val="decimal"/>
      <w:lvlText w:val="%2."/>
      <w:lvlJc w:val="left"/>
      <w:pPr>
        <w:ind w:left="36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8" w15:restartNumberingAfterBreak="0">
    <w:nsid w:val="7A794064"/>
    <w:multiLevelType w:val="hybridMultilevel"/>
    <w:tmpl w:val="F1D4F45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9" w15:restartNumberingAfterBreak="0">
    <w:nsid w:val="7AED1689"/>
    <w:multiLevelType w:val="hybridMultilevel"/>
    <w:tmpl w:val="8C8EA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0" w15:restartNumberingAfterBreak="0">
    <w:nsid w:val="7B815ECE"/>
    <w:multiLevelType w:val="hybridMultilevel"/>
    <w:tmpl w:val="9C46B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7B96095F"/>
    <w:multiLevelType w:val="hybridMultilevel"/>
    <w:tmpl w:val="40C41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2" w15:restartNumberingAfterBreak="0">
    <w:nsid w:val="7C884495"/>
    <w:multiLevelType w:val="hybridMultilevel"/>
    <w:tmpl w:val="A662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7CE94653"/>
    <w:multiLevelType w:val="hybridMultilevel"/>
    <w:tmpl w:val="5FD03686"/>
    <w:lvl w:ilvl="0" w:tplc="0144FBB6">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4" w15:restartNumberingAfterBreak="0">
    <w:nsid w:val="7D9C196E"/>
    <w:multiLevelType w:val="hybridMultilevel"/>
    <w:tmpl w:val="73922714"/>
    <w:lvl w:ilvl="0" w:tplc="89BC5B7E">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5" w15:restartNumberingAfterBreak="0">
    <w:nsid w:val="7E0304CD"/>
    <w:multiLevelType w:val="multilevel"/>
    <w:tmpl w:val="C21C2E4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6" w15:restartNumberingAfterBreak="0">
    <w:nsid w:val="7E7A6E96"/>
    <w:multiLevelType w:val="hybridMultilevel"/>
    <w:tmpl w:val="651EC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7EE206AA"/>
    <w:multiLevelType w:val="hybridMultilevel"/>
    <w:tmpl w:val="A46C4F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8" w15:restartNumberingAfterBreak="0">
    <w:nsid w:val="7F1E7AD9"/>
    <w:multiLevelType w:val="hybridMultilevel"/>
    <w:tmpl w:val="54F4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9" w15:restartNumberingAfterBreak="0">
    <w:nsid w:val="7F4142CA"/>
    <w:multiLevelType w:val="multilevel"/>
    <w:tmpl w:val="154EB9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90" w15:restartNumberingAfterBreak="0">
    <w:nsid w:val="7F53782B"/>
    <w:multiLevelType w:val="multilevel"/>
    <w:tmpl w:val="63E83AF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3."/>
      <w:lvlJc w:val="left"/>
      <w:pPr>
        <w:tabs>
          <w:tab w:val="num" w:pos="861"/>
        </w:tabs>
        <w:ind w:left="861" w:hanging="720"/>
      </w:pPr>
      <w:rPr>
        <w:rFonts w:hint="default"/>
      </w:rPr>
    </w:lvl>
    <w:lvl w:ilvl="3">
      <w:start w:val="1"/>
      <w:numFmt w:val="decimal"/>
      <w:lvlText w:val="%4."/>
      <w:lvlJc w:val="left"/>
      <w:pPr>
        <w:tabs>
          <w:tab w:val="num" w:pos="720"/>
        </w:tabs>
        <w:ind w:left="720" w:hanging="720"/>
      </w:pPr>
      <w:rPr>
        <w:rFonts w:hint="default"/>
      </w:rPr>
    </w:lvl>
    <w:lvl w:ilvl="4">
      <w:start w:val="1"/>
      <w:numFmt w:val="decimal"/>
      <w:lvlText w:val="%5."/>
      <w:lvlJc w:val="left"/>
      <w:pPr>
        <w:tabs>
          <w:tab w:val="num" w:pos="1145"/>
        </w:tabs>
        <w:ind w:left="1145"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91" w15:restartNumberingAfterBreak="0">
    <w:nsid w:val="7F8C5F6B"/>
    <w:multiLevelType w:val="hybridMultilevel"/>
    <w:tmpl w:val="87681CD8"/>
    <w:lvl w:ilvl="0" w:tplc="338AA7A8">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7FF653C0"/>
    <w:multiLevelType w:val="hybridMultilevel"/>
    <w:tmpl w:val="49A0F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5"/>
  </w:num>
  <w:num w:numId="2">
    <w:abstractNumId w:val="324"/>
  </w:num>
  <w:num w:numId="3">
    <w:abstractNumId w:val="140"/>
  </w:num>
  <w:num w:numId="4">
    <w:abstractNumId w:val="87"/>
  </w:num>
  <w:num w:numId="5">
    <w:abstractNumId w:val="77"/>
  </w:num>
  <w:num w:numId="6">
    <w:abstractNumId w:val="213"/>
  </w:num>
  <w:num w:numId="7">
    <w:abstractNumId w:val="59"/>
  </w:num>
  <w:num w:numId="8">
    <w:abstractNumId w:val="194"/>
  </w:num>
  <w:num w:numId="9">
    <w:abstractNumId w:val="189"/>
  </w:num>
  <w:num w:numId="10">
    <w:abstractNumId w:val="315"/>
  </w:num>
  <w:num w:numId="11">
    <w:abstractNumId w:val="375"/>
  </w:num>
  <w:num w:numId="12">
    <w:abstractNumId w:val="311"/>
  </w:num>
  <w:num w:numId="13">
    <w:abstractNumId w:val="216"/>
  </w:num>
  <w:num w:numId="14">
    <w:abstractNumId w:val="307"/>
  </w:num>
  <w:num w:numId="15">
    <w:abstractNumId w:val="102"/>
  </w:num>
  <w:num w:numId="16">
    <w:abstractNumId w:val="116"/>
  </w:num>
  <w:num w:numId="17">
    <w:abstractNumId w:val="205"/>
  </w:num>
  <w:num w:numId="18">
    <w:abstractNumId w:val="75"/>
  </w:num>
  <w:num w:numId="19">
    <w:abstractNumId w:val="32"/>
  </w:num>
  <w:num w:numId="20">
    <w:abstractNumId w:val="242"/>
  </w:num>
  <w:num w:numId="21">
    <w:abstractNumId w:val="246"/>
  </w:num>
  <w:num w:numId="22">
    <w:abstractNumId w:val="319"/>
  </w:num>
  <w:num w:numId="23">
    <w:abstractNumId w:val="188"/>
  </w:num>
  <w:num w:numId="24">
    <w:abstractNumId w:val="84"/>
  </w:num>
  <w:num w:numId="25">
    <w:abstractNumId w:val="151"/>
  </w:num>
  <w:num w:numId="26">
    <w:abstractNumId w:val="135"/>
  </w:num>
  <w:num w:numId="27">
    <w:abstractNumId w:val="155"/>
  </w:num>
  <w:num w:numId="28">
    <w:abstractNumId w:val="271"/>
  </w:num>
  <w:num w:numId="29">
    <w:abstractNumId w:val="119"/>
  </w:num>
  <w:num w:numId="30">
    <w:abstractNumId w:val="206"/>
  </w:num>
  <w:num w:numId="31">
    <w:abstractNumId w:val="108"/>
  </w:num>
  <w:num w:numId="32">
    <w:abstractNumId w:val="56"/>
  </w:num>
  <w:num w:numId="33">
    <w:abstractNumId w:val="294"/>
  </w:num>
  <w:num w:numId="34">
    <w:abstractNumId w:val="187"/>
  </w:num>
  <w:num w:numId="35">
    <w:abstractNumId w:val="139"/>
  </w:num>
  <w:num w:numId="36">
    <w:abstractNumId w:val="384"/>
  </w:num>
  <w:num w:numId="37">
    <w:abstractNumId w:val="346"/>
  </w:num>
  <w:num w:numId="38">
    <w:abstractNumId w:val="137"/>
  </w:num>
  <w:num w:numId="39">
    <w:abstractNumId w:val="267"/>
  </w:num>
  <w:num w:numId="40">
    <w:abstractNumId w:val="223"/>
  </w:num>
  <w:num w:numId="41">
    <w:abstractNumId w:val="204"/>
  </w:num>
  <w:num w:numId="42">
    <w:abstractNumId w:val="272"/>
  </w:num>
  <w:num w:numId="43">
    <w:abstractNumId w:val="376"/>
  </w:num>
  <w:num w:numId="44">
    <w:abstractNumId w:val="123"/>
  </w:num>
  <w:num w:numId="45">
    <w:abstractNumId w:val="131"/>
  </w:num>
  <w:num w:numId="46">
    <w:abstractNumId w:val="161"/>
  </w:num>
  <w:num w:numId="47">
    <w:abstractNumId w:val="165"/>
  </w:num>
  <w:num w:numId="48">
    <w:abstractNumId w:val="252"/>
  </w:num>
  <w:num w:numId="49">
    <w:abstractNumId w:val="69"/>
  </w:num>
  <w:num w:numId="50">
    <w:abstractNumId w:val="379"/>
  </w:num>
  <w:num w:numId="51">
    <w:abstractNumId w:val="26"/>
  </w:num>
  <w:num w:numId="52">
    <w:abstractNumId w:val="388"/>
  </w:num>
  <w:num w:numId="53">
    <w:abstractNumId w:val="298"/>
  </w:num>
  <w:num w:numId="54">
    <w:abstractNumId w:val="238"/>
  </w:num>
  <w:num w:numId="55">
    <w:abstractNumId w:val="120"/>
  </w:num>
  <w:num w:numId="56">
    <w:abstractNumId w:val="226"/>
  </w:num>
  <w:num w:numId="57">
    <w:abstractNumId w:val="350"/>
  </w:num>
  <w:num w:numId="58">
    <w:abstractNumId w:val="211"/>
  </w:num>
  <w:num w:numId="59">
    <w:abstractNumId w:val="373"/>
  </w:num>
  <w:num w:numId="60">
    <w:abstractNumId w:val="300"/>
  </w:num>
  <w:num w:numId="61">
    <w:abstractNumId w:val="283"/>
  </w:num>
  <w:num w:numId="62">
    <w:abstractNumId w:val="359"/>
  </w:num>
  <w:num w:numId="63">
    <w:abstractNumId w:val="251"/>
  </w:num>
  <w:num w:numId="64">
    <w:abstractNumId w:val="169"/>
  </w:num>
  <w:num w:numId="65">
    <w:abstractNumId w:val="184"/>
  </w:num>
  <w:num w:numId="66">
    <w:abstractNumId w:val="157"/>
  </w:num>
  <w:num w:numId="67">
    <w:abstractNumId w:val="76"/>
  </w:num>
  <w:num w:numId="68">
    <w:abstractNumId w:val="145"/>
  </w:num>
  <w:num w:numId="69">
    <w:abstractNumId w:val="70"/>
  </w:num>
  <w:num w:numId="70">
    <w:abstractNumId w:val="199"/>
  </w:num>
  <w:num w:numId="71">
    <w:abstractNumId w:val="228"/>
  </w:num>
  <w:num w:numId="72">
    <w:abstractNumId w:val="381"/>
  </w:num>
  <w:num w:numId="73">
    <w:abstractNumId w:val="176"/>
  </w:num>
  <w:num w:numId="74">
    <w:abstractNumId w:val="72"/>
  </w:num>
  <w:num w:numId="75">
    <w:abstractNumId w:val="34"/>
  </w:num>
  <w:num w:numId="76">
    <w:abstractNumId w:val="330"/>
  </w:num>
  <w:num w:numId="77">
    <w:abstractNumId w:val="292"/>
  </w:num>
  <w:num w:numId="78">
    <w:abstractNumId w:val="23"/>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6"/>
  </w:num>
  <w:num w:numId="81">
    <w:abstractNumId w:val="25"/>
  </w:num>
  <w:num w:numId="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3"/>
  </w:num>
  <w:num w:numId="87">
    <w:abstractNumId w:val="18"/>
  </w:num>
  <w:num w:numId="88">
    <w:abstractNumId w:val="290"/>
  </w:num>
  <w:num w:numId="89">
    <w:abstractNumId w:val="338"/>
  </w:num>
  <w:num w:numId="90">
    <w:abstractNumId w:val="88"/>
  </w:num>
  <w:num w:numId="91">
    <w:abstractNumId w:val="104"/>
  </w:num>
  <w:num w:numId="92">
    <w:abstractNumId w:val="361"/>
  </w:num>
  <w:num w:numId="93">
    <w:abstractNumId w:val="192"/>
  </w:num>
  <w:num w:numId="94">
    <w:abstractNumId w:val="209"/>
  </w:num>
  <w:num w:numId="95">
    <w:abstractNumId w:val="220"/>
  </w:num>
  <w:num w:numId="96">
    <w:abstractNumId w:val="62"/>
  </w:num>
  <w:num w:numId="97">
    <w:abstractNumId w:val="91"/>
  </w:num>
  <w:num w:numId="98">
    <w:abstractNumId w:val="7"/>
  </w:num>
  <w:num w:numId="99">
    <w:abstractNumId w:val="281"/>
  </w:num>
  <w:num w:numId="100">
    <w:abstractNumId w:val="295"/>
  </w:num>
  <w:num w:numId="101">
    <w:abstractNumId w:val="362"/>
  </w:num>
  <w:num w:numId="102">
    <w:abstractNumId w:val="287"/>
  </w:num>
  <w:num w:numId="103">
    <w:abstractNumId w:val="185"/>
  </w:num>
  <w:num w:numId="104">
    <w:abstractNumId w:val="89"/>
  </w:num>
  <w:num w:numId="105">
    <w:abstractNumId w:val="148"/>
  </w:num>
  <w:num w:numId="106">
    <w:abstractNumId w:val="193"/>
  </w:num>
  <w:num w:numId="107">
    <w:abstractNumId w:val="111"/>
  </w:num>
  <w:num w:numId="108">
    <w:abstractNumId w:val="215"/>
  </w:num>
  <w:num w:numId="109">
    <w:abstractNumId w:val="180"/>
  </w:num>
  <w:num w:numId="110">
    <w:abstractNumId w:val="237"/>
  </w:num>
  <w:num w:numId="111">
    <w:abstractNumId w:val="66"/>
  </w:num>
  <w:num w:numId="112">
    <w:abstractNumId w:val="268"/>
  </w:num>
  <w:num w:numId="113">
    <w:abstractNumId w:val="279"/>
  </w:num>
  <w:num w:numId="114">
    <w:abstractNumId w:val="42"/>
  </w:num>
  <w:num w:numId="115">
    <w:abstractNumId w:val="296"/>
  </w:num>
  <w:num w:numId="116">
    <w:abstractNumId w:val="36"/>
  </w:num>
  <w:num w:numId="117">
    <w:abstractNumId w:val="147"/>
  </w:num>
  <w:num w:numId="118">
    <w:abstractNumId w:val="146"/>
  </w:num>
  <w:num w:numId="119">
    <w:abstractNumId w:val="164"/>
  </w:num>
  <w:num w:numId="120">
    <w:abstractNumId w:val="309"/>
  </w:num>
  <w:num w:numId="121">
    <w:abstractNumId w:val="239"/>
  </w:num>
  <w:num w:numId="122">
    <w:abstractNumId w:val="46"/>
  </w:num>
  <w:num w:numId="123">
    <w:abstractNumId w:val="9"/>
  </w:num>
  <w:num w:numId="124">
    <w:abstractNumId w:val="262"/>
  </w:num>
  <w:num w:numId="125">
    <w:abstractNumId w:val="288"/>
  </w:num>
  <w:num w:numId="126">
    <w:abstractNumId w:val="61"/>
  </w:num>
  <w:num w:numId="127">
    <w:abstractNumId w:val="301"/>
  </w:num>
  <w:num w:numId="128">
    <w:abstractNumId w:val="386"/>
  </w:num>
  <w:num w:numId="129">
    <w:abstractNumId w:val="264"/>
  </w:num>
  <w:num w:numId="130">
    <w:abstractNumId w:val="160"/>
  </w:num>
  <w:num w:numId="131">
    <w:abstractNumId w:val="328"/>
  </w:num>
  <w:num w:numId="132">
    <w:abstractNumId w:val="323"/>
  </w:num>
  <w:num w:numId="133">
    <w:abstractNumId w:val="196"/>
  </w:num>
  <w:num w:numId="134">
    <w:abstractNumId w:val="224"/>
  </w:num>
  <w:num w:numId="135">
    <w:abstractNumId w:val="291"/>
  </w:num>
  <w:num w:numId="136">
    <w:abstractNumId w:val="158"/>
  </w:num>
  <w:num w:numId="137">
    <w:abstractNumId w:val="172"/>
  </w:num>
  <w:num w:numId="138">
    <w:abstractNumId w:val="183"/>
  </w:num>
  <w:num w:numId="139">
    <w:abstractNumId w:val="41"/>
  </w:num>
  <w:num w:numId="140">
    <w:abstractNumId w:val="253"/>
  </w:num>
  <w:num w:numId="141">
    <w:abstractNumId w:val="249"/>
  </w:num>
  <w:num w:numId="142">
    <w:abstractNumId w:val="273"/>
  </w:num>
  <w:num w:numId="143">
    <w:abstractNumId w:val="329"/>
  </w:num>
  <w:num w:numId="144">
    <w:abstractNumId w:val="107"/>
  </w:num>
  <w:num w:numId="145">
    <w:abstractNumId w:val="201"/>
  </w:num>
  <w:num w:numId="146">
    <w:abstractNumId w:val="44"/>
  </w:num>
  <w:num w:numId="147">
    <w:abstractNumId w:val="341"/>
  </w:num>
  <w:num w:numId="148">
    <w:abstractNumId w:val="348"/>
  </w:num>
  <w:num w:numId="149">
    <w:abstractNumId w:val="370"/>
  </w:num>
  <w:num w:numId="150">
    <w:abstractNumId w:val="124"/>
  </w:num>
  <w:num w:numId="151">
    <w:abstractNumId w:val="240"/>
  </w:num>
  <w:num w:numId="152">
    <w:abstractNumId w:val="5"/>
  </w:num>
  <w:num w:numId="153">
    <w:abstractNumId w:val="225"/>
  </w:num>
  <w:num w:numId="154">
    <w:abstractNumId w:val="125"/>
  </w:num>
  <w:num w:numId="155">
    <w:abstractNumId w:val="380"/>
  </w:num>
  <w:num w:numId="156">
    <w:abstractNumId w:val="356"/>
  </w:num>
  <w:num w:numId="157">
    <w:abstractNumId w:val="274"/>
  </w:num>
  <w:num w:numId="158">
    <w:abstractNumId w:val="245"/>
  </w:num>
  <w:num w:numId="159">
    <w:abstractNumId w:val="243"/>
  </w:num>
  <w:num w:numId="160">
    <w:abstractNumId w:val="208"/>
  </w:num>
  <w:num w:numId="161">
    <w:abstractNumId w:val="392"/>
  </w:num>
  <w:num w:numId="162">
    <w:abstractNumId w:val="222"/>
  </w:num>
  <w:num w:numId="163">
    <w:abstractNumId w:val="275"/>
  </w:num>
  <w:num w:numId="164">
    <w:abstractNumId w:val="229"/>
  </w:num>
  <w:num w:numId="165">
    <w:abstractNumId w:val="134"/>
  </w:num>
  <w:num w:numId="166">
    <w:abstractNumId w:val="372"/>
  </w:num>
  <w:num w:numId="167">
    <w:abstractNumId w:val="57"/>
  </w:num>
  <w:num w:numId="168">
    <w:abstractNumId w:val="3"/>
  </w:num>
  <w:num w:numId="169">
    <w:abstractNumId w:val="74"/>
  </w:num>
  <w:num w:numId="170">
    <w:abstractNumId w:val="71"/>
  </w:num>
  <w:num w:numId="171">
    <w:abstractNumId w:val="212"/>
  </w:num>
  <w:num w:numId="172">
    <w:abstractNumId w:val="230"/>
  </w:num>
  <w:num w:numId="173">
    <w:abstractNumId w:val="210"/>
  </w:num>
  <w:num w:numId="174">
    <w:abstractNumId w:val="50"/>
  </w:num>
  <w:num w:numId="175">
    <w:abstractNumId w:val="60"/>
  </w:num>
  <w:num w:numId="176">
    <w:abstractNumId w:val="95"/>
  </w:num>
  <w:num w:numId="177">
    <w:abstractNumId w:val="80"/>
  </w:num>
  <w:num w:numId="178">
    <w:abstractNumId w:val="90"/>
  </w:num>
  <w:num w:numId="179">
    <w:abstractNumId w:val="282"/>
  </w:num>
  <w:num w:numId="180">
    <w:abstractNumId w:val="52"/>
  </w:num>
  <w:num w:numId="181">
    <w:abstractNumId w:val="4"/>
  </w:num>
  <w:num w:numId="182">
    <w:abstractNumId w:val="325"/>
  </w:num>
  <w:num w:numId="183">
    <w:abstractNumId w:val="170"/>
  </w:num>
  <w:num w:numId="184">
    <w:abstractNumId w:val="154"/>
  </w:num>
  <w:num w:numId="185">
    <w:abstractNumId w:val="259"/>
  </w:num>
  <w:num w:numId="186">
    <w:abstractNumId w:val="305"/>
  </w:num>
  <w:num w:numId="187">
    <w:abstractNumId w:val="306"/>
  </w:num>
  <w:num w:numId="188">
    <w:abstractNumId w:val="260"/>
  </w:num>
  <w:num w:numId="189">
    <w:abstractNumId w:val="191"/>
  </w:num>
  <w:num w:numId="190">
    <w:abstractNumId w:val="363"/>
  </w:num>
  <w:num w:numId="191">
    <w:abstractNumId w:val="126"/>
  </w:num>
  <w:num w:numId="192">
    <w:abstractNumId w:val="58"/>
  </w:num>
  <w:num w:numId="193">
    <w:abstractNumId w:val="247"/>
  </w:num>
  <w:num w:numId="194">
    <w:abstractNumId w:val="358"/>
  </w:num>
  <w:num w:numId="195">
    <w:abstractNumId w:val="63"/>
  </w:num>
  <w:num w:numId="196">
    <w:abstractNumId w:val="43"/>
  </w:num>
  <w:num w:numId="197">
    <w:abstractNumId w:val="289"/>
  </w:num>
  <w:num w:numId="198">
    <w:abstractNumId w:val="101"/>
  </w:num>
  <w:num w:numId="199">
    <w:abstractNumId w:val="232"/>
  </w:num>
  <w:num w:numId="200">
    <w:abstractNumId w:val="150"/>
  </w:num>
  <w:num w:numId="201">
    <w:abstractNumId w:val="369"/>
  </w:num>
  <w:num w:numId="202">
    <w:abstractNumId w:val="202"/>
  </w:num>
  <w:num w:numId="203">
    <w:abstractNumId w:val="357"/>
  </w:num>
  <w:num w:numId="204">
    <w:abstractNumId w:val="142"/>
  </w:num>
  <w:num w:numId="205">
    <w:abstractNumId w:val="81"/>
  </w:num>
  <w:num w:numId="206">
    <w:abstractNumId w:val="53"/>
  </w:num>
  <w:num w:numId="207">
    <w:abstractNumId w:val="218"/>
  </w:num>
  <w:num w:numId="208">
    <w:abstractNumId w:val="64"/>
  </w:num>
  <w:num w:numId="209">
    <w:abstractNumId w:val="171"/>
  </w:num>
  <w:num w:numId="210">
    <w:abstractNumId w:val="382"/>
  </w:num>
  <w:num w:numId="211">
    <w:abstractNumId w:val="83"/>
  </w:num>
  <w:num w:numId="212">
    <w:abstractNumId w:val="233"/>
  </w:num>
  <w:num w:numId="213">
    <w:abstractNumId w:val="14"/>
  </w:num>
  <w:num w:numId="214">
    <w:abstractNumId w:val="138"/>
  </w:num>
  <w:num w:numId="215">
    <w:abstractNumId w:val="344"/>
  </w:num>
  <w:num w:numId="216">
    <w:abstractNumId w:val="117"/>
  </w:num>
  <w:num w:numId="217">
    <w:abstractNumId w:val="79"/>
  </w:num>
  <w:num w:numId="218">
    <w:abstractNumId w:val="316"/>
  </w:num>
  <w:num w:numId="219">
    <w:abstractNumId w:val="261"/>
  </w:num>
  <w:num w:numId="220">
    <w:abstractNumId w:val="318"/>
  </w:num>
  <w:num w:numId="221">
    <w:abstractNumId w:val="13"/>
  </w:num>
  <w:num w:numId="222">
    <w:abstractNumId w:val="181"/>
  </w:num>
  <w:num w:numId="223">
    <w:abstractNumId w:val="248"/>
  </w:num>
  <w:num w:numId="224">
    <w:abstractNumId w:val="0"/>
  </w:num>
  <w:num w:numId="225">
    <w:abstractNumId w:val="122"/>
  </w:num>
  <w:num w:numId="226">
    <w:abstractNumId w:val="314"/>
  </w:num>
  <w:num w:numId="227">
    <w:abstractNumId w:val="27"/>
  </w:num>
  <w:num w:numId="228">
    <w:abstractNumId w:val="200"/>
  </w:num>
  <w:num w:numId="229">
    <w:abstractNumId w:val="16"/>
  </w:num>
  <w:num w:numId="230">
    <w:abstractNumId w:val="38"/>
  </w:num>
  <w:num w:numId="231">
    <w:abstractNumId w:val="364"/>
  </w:num>
  <w:num w:numId="232">
    <w:abstractNumId w:val="276"/>
  </w:num>
  <w:num w:numId="233">
    <w:abstractNumId w:val="368"/>
  </w:num>
  <w:num w:numId="234">
    <w:abstractNumId w:val="35"/>
  </w:num>
  <w:num w:numId="235">
    <w:abstractNumId w:val="186"/>
  </w:num>
  <w:num w:numId="236">
    <w:abstractNumId w:val="2"/>
  </w:num>
  <w:num w:numId="237">
    <w:abstractNumId w:val="166"/>
  </w:num>
  <w:num w:numId="238">
    <w:abstractNumId w:val="115"/>
  </w:num>
  <w:num w:numId="239">
    <w:abstractNumId w:val="303"/>
  </w:num>
  <w:num w:numId="240">
    <w:abstractNumId w:val="21"/>
  </w:num>
  <w:num w:numId="241">
    <w:abstractNumId w:val="1"/>
  </w:num>
  <w:num w:numId="242">
    <w:abstractNumId w:val="383"/>
  </w:num>
  <w:num w:numId="243">
    <w:abstractNumId w:val="321"/>
  </w:num>
  <w:num w:numId="244">
    <w:abstractNumId w:val="219"/>
  </w:num>
  <w:num w:numId="245">
    <w:abstractNumId w:val="342"/>
  </w:num>
  <w:num w:numId="246">
    <w:abstractNumId w:val="82"/>
  </w:num>
  <w:num w:numId="247">
    <w:abstractNumId w:val="258"/>
  </w:num>
  <w:num w:numId="248">
    <w:abstractNumId w:val="20"/>
  </w:num>
  <w:num w:numId="249">
    <w:abstractNumId w:val="173"/>
  </w:num>
  <w:num w:numId="250">
    <w:abstractNumId w:val="349"/>
  </w:num>
  <w:num w:numId="251">
    <w:abstractNumId w:val="284"/>
  </w:num>
  <w:num w:numId="252">
    <w:abstractNumId w:val="175"/>
  </w:num>
  <w:num w:numId="253">
    <w:abstractNumId w:val="28"/>
  </w:num>
  <w:num w:numId="254">
    <w:abstractNumId w:val="352"/>
  </w:num>
  <w:num w:numId="255">
    <w:abstractNumId w:val="265"/>
  </w:num>
  <w:num w:numId="256">
    <w:abstractNumId w:val="332"/>
  </w:num>
  <w:num w:numId="257">
    <w:abstractNumId w:val="10"/>
  </w:num>
  <w:num w:numId="258">
    <w:abstractNumId w:val="322"/>
  </w:num>
  <w:num w:numId="259">
    <w:abstractNumId w:val="100"/>
  </w:num>
  <w:num w:numId="260">
    <w:abstractNumId w:val="385"/>
  </w:num>
  <w:num w:numId="261">
    <w:abstractNumId w:val="178"/>
  </w:num>
  <w:num w:numId="262">
    <w:abstractNumId w:val="390"/>
  </w:num>
  <w:num w:numId="263">
    <w:abstractNumId w:val="355"/>
  </w:num>
  <w:num w:numId="264">
    <w:abstractNumId w:val="391"/>
  </w:num>
  <w:num w:numId="265">
    <w:abstractNumId w:val="48"/>
  </w:num>
  <w:num w:numId="266">
    <w:abstractNumId w:val="221"/>
  </w:num>
  <w:num w:numId="267">
    <w:abstractNumId w:val="24"/>
  </w:num>
  <w:num w:numId="268">
    <w:abstractNumId w:val="12"/>
  </w:num>
  <w:num w:numId="269">
    <w:abstractNumId w:val="109"/>
  </w:num>
  <w:num w:numId="270">
    <w:abstractNumId w:val="128"/>
  </w:num>
  <w:num w:numId="271">
    <w:abstractNumId w:val="280"/>
  </w:num>
  <w:num w:numId="272">
    <w:abstractNumId w:val="129"/>
  </w:num>
  <w:num w:numId="273">
    <w:abstractNumId w:val="235"/>
  </w:num>
  <w:num w:numId="274">
    <w:abstractNumId w:val="99"/>
  </w:num>
  <w:num w:numId="275">
    <w:abstractNumId w:val="37"/>
  </w:num>
  <w:num w:numId="276">
    <w:abstractNumId w:val="127"/>
  </w:num>
  <w:num w:numId="277">
    <w:abstractNumId w:val="365"/>
  </w:num>
  <w:num w:numId="278">
    <w:abstractNumId w:val="45"/>
  </w:num>
  <w:num w:numId="279">
    <w:abstractNumId w:val="163"/>
  </w:num>
  <w:num w:numId="280">
    <w:abstractNumId w:val="141"/>
  </w:num>
  <w:num w:numId="281">
    <w:abstractNumId w:val="190"/>
  </w:num>
  <w:num w:numId="282">
    <w:abstractNumId w:val="353"/>
  </w:num>
  <w:num w:numId="283">
    <w:abstractNumId w:val="33"/>
  </w:num>
  <w:num w:numId="284">
    <w:abstractNumId w:val="17"/>
  </w:num>
  <w:num w:numId="285">
    <w:abstractNumId w:val="132"/>
  </w:num>
  <w:num w:numId="286">
    <w:abstractNumId w:val="174"/>
  </w:num>
  <w:num w:numId="287">
    <w:abstractNumId w:val="197"/>
  </w:num>
  <w:num w:numId="288">
    <w:abstractNumId w:val="19"/>
  </w:num>
  <w:num w:numId="289">
    <w:abstractNumId w:val="6"/>
  </w:num>
  <w:num w:numId="290">
    <w:abstractNumId w:val="313"/>
  </w:num>
  <w:num w:numId="291">
    <w:abstractNumId w:val="312"/>
  </w:num>
  <w:num w:numId="292">
    <w:abstractNumId w:val="182"/>
  </w:num>
  <w:num w:numId="293">
    <w:abstractNumId w:val="96"/>
  </w:num>
  <w:num w:numId="294">
    <w:abstractNumId w:val="366"/>
  </w:num>
  <w:num w:numId="295">
    <w:abstractNumId w:val="93"/>
  </w:num>
  <w:num w:numId="296">
    <w:abstractNumId w:val="203"/>
  </w:num>
  <w:num w:numId="297">
    <w:abstractNumId w:val="133"/>
  </w:num>
  <w:num w:numId="298">
    <w:abstractNumId w:val="31"/>
  </w:num>
  <w:num w:numId="29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71"/>
  </w:num>
  <w:num w:numId="301">
    <w:abstractNumId w:val="86"/>
  </w:num>
  <w:num w:numId="302">
    <w:abstractNumId w:val="293"/>
  </w:num>
  <w:num w:numId="303">
    <w:abstractNumId w:val="167"/>
  </w:num>
  <w:num w:numId="304">
    <w:abstractNumId w:val="156"/>
  </w:num>
  <w:num w:numId="305">
    <w:abstractNumId w:val="286"/>
  </w:num>
  <w:num w:numId="306">
    <w:abstractNumId w:val="326"/>
  </w:num>
  <w:num w:numId="307">
    <w:abstractNumId w:val="55"/>
  </w:num>
  <w:num w:numId="308">
    <w:abstractNumId w:val="278"/>
  </w:num>
  <w:num w:numId="309">
    <w:abstractNumId w:val="266"/>
  </w:num>
  <w:num w:numId="310">
    <w:abstractNumId w:val="103"/>
  </w:num>
  <w:num w:numId="311">
    <w:abstractNumId w:val="374"/>
  </w:num>
  <w:num w:numId="312">
    <w:abstractNumId w:val="153"/>
  </w:num>
  <w:num w:numId="313">
    <w:abstractNumId w:val="339"/>
  </w:num>
  <w:num w:numId="314">
    <w:abstractNumId w:val="110"/>
  </w:num>
  <w:num w:numId="315">
    <w:abstractNumId w:val="54"/>
  </w:num>
  <w:num w:numId="316">
    <w:abstractNumId w:val="231"/>
  </w:num>
  <w:num w:numId="317">
    <w:abstractNumId w:val="162"/>
  </w:num>
  <w:num w:numId="318">
    <w:abstractNumId w:val="256"/>
  </w:num>
  <w:num w:numId="319">
    <w:abstractNumId w:val="65"/>
  </w:num>
  <w:num w:numId="320">
    <w:abstractNumId w:val="310"/>
  </w:num>
  <w:num w:numId="321">
    <w:abstractNumId w:val="331"/>
  </w:num>
  <w:num w:numId="322">
    <w:abstractNumId w:val="257"/>
  </w:num>
  <w:num w:numId="323">
    <w:abstractNumId w:val="234"/>
  </w:num>
  <w:num w:numId="324">
    <w:abstractNumId w:val="118"/>
  </w:num>
  <w:num w:numId="325">
    <w:abstractNumId w:val="11"/>
  </w:num>
  <w:num w:numId="326">
    <w:abstractNumId w:val="347"/>
  </w:num>
  <w:num w:numId="327">
    <w:abstractNumId w:val="94"/>
  </w:num>
  <w:num w:numId="328">
    <w:abstractNumId w:val="340"/>
  </w:num>
  <w:num w:numId="329">
    <w:abstractNumId w:val="317"/>
  </w:num>
  <w:num w:numId="330">
    <w:abstractNumId w:val="47"/>
  </w:num>
  <w:num w:numId="331">
    <w:abstractNumId w:val="308"/>
  </w:num>
  <w:num w:numId="332">
    <w:abstractNumId w:val="49"/>
  </w:num>
  <w:num w:numId="333">
    <w:abstractNumId w:val="207"/>
  </w:num>
  <w:num w:numId="334">
    <w:abstractNumId w:val="51"/>
  </w:num>
  <w:num w:numId="335">
    <w:abstractNumId w:val="112"/>
  </w:num>
  <w:num w:numId="336">
    <w:abstractNumId w:val="144"/>
  </w:num>
  <w:num w:numId="337">
    <w:abstractNumId w:val="214"/>
  </w:num>
  <w:num w:numId="338">
    <w:abstractNumId w:val="85"/>
  </w:num>
  <w:num w:numId="339">
    <w:abstractNumId w:val="250"/>
  </w:num>
  <w:num w:numId="340">
    <w:abstractNumId w:val="333"/>
  </w:num>
  <w:num w:numId="341">
    <w:abstractNumId w:val="67"/>
  </w:num>
  <w:num w:numId="342">
    <w:abstractNumId w:val="136"/>
  </w:num>
  <w:num w:numId="343">
    <w:abstractNumId w:val="106"/>
  </w:num>
  <w:num w:numId="344">
    <w:abstractNumId w:val="302"/>
  </w:num>
  <w:num w:numId="345">
    <w:abstractNumId w:val="299"/>
  </w:num>
  <w:num w:numId="346">
    <w:abstractNumId w:val="377"/>
  </w:num>
  <w:num w:numId="347">
    <w:abstractNumId w:val="130"/>
  </w:num>
  <w:num w:numId="348">
    <w:abstractNumId w:val="29"/>
  </w:num>
  <w:num w:numId="349">
    <w:abstractNumId w:val="198"/>
  </w:num>
  <w:num w:numId="350">
    <w:abstractNumId w:val="143"/>
  </w:num>
  <w:num w:numId="351">
    <w:abstractNumId w:val="227"/>
  </w:num>
  <w:num w:numId="352">
    <w:abstractNumId w:val="270"/>
  </w:num>
  <w:num w:numId="353">
    <w:abstractNumId w:val="105"/>
  </w:num>
  <w:num w:numId="354">
    <w:abstractNumId w:val="39"/>
  </w:num>
  <w:num w:numId="355">
    <w:abstractNumId w:val="40"/>
  </w:num>
  <w:num w:numId="356">
    <w:abstractNumId w:val="351"/>
  </w:num>
  <w:num w:numId="357">
    <w:abstractNumId w:val="360"/>
  </w:num>
  <w:num w:numId="358">
    <w:abstractNumId w:val="367"/>
  </w:num>
  <w:num w:numId="359">
    <w:abstractNumId w:val="387"/>
  </w:num>
  <w:num w:numId="360">
    <w:abstractNumId w:val="98"/>
  </w:num>
  <w:num w:numId="361">
    <w:abstractNumId w:val="179"/>
  </w:num>
  <w:num w:numId="362">
    <w:abstractNumId w:val="195"/>
  </w:num>
  <w:num w:numId="363">
    <w:abstractNumId w:val="263"/>
  </w:num>
  <w:num w:numId="364">
    <w:abstractNumId w:val="327"/>
  </w:num>
  <w:num w:numId="365">
    <w:abstractNumId w:val="22"/>
  </w:num>
  <w:num w:numId="366">
    <w:abstractNumId w:val="30"/>
  </w:num>
  <w:num w:numId="367">
    <w:abstractNumId w:val="354"/>
  </w:num>
  <w:num w:numId="368">
    <w:abstractNumId w:val="217"/>
  </w:num>
  <w:num w:numId="369">
    <w:abstractNumId w:val="254"/>
  </w:num>
  <w:num w:numId="370">
    <w:abstractNumId w:val="236"/>
  </w:num>
  <w:num w:numId="371">
    <w:abstractNumId w:val="8"/>
  </w:num>
  <w:num w:numId="372">
    <w:abstractNumId w:val="334"/>
  </w:num>
  <w:num w:numId="373">
    <w:abstractNumId w:val="244"/>
  </w:num>
  <w:num w:numId="374">
    <w:abstractNumId w:val="121"/>
  </w:num>
  <w:num w:numId="375">
    <w:abstractNumId w:val="149"/>
  </w:num>
  <w:num w:numId="376">
    <w:abstractNumId w:val="337"/>
  </w:num>
  <w:num w:numId="377">
    <w:abstractNumId w:val="378"/>
  </w:num>
  <w:num w:numId="378">
    <w:abstractNumId w:val="159"/>
  </w:num>
  <w:num w:numId="379">
    <w:abstractNumId w:val="297"/>
  </w:num>
  <w:num w:numId="380">
    <w:abstractNumId w:val="68"/>
  </w:num>
  <w:num w:numId="381">
    <w:abstractNumId w:val="152"/>
  </w:num>
  <w:num w:numId="382">
    <w:abstractNumId w:val="78"/>
  </w:num>
  <w:num w:numId="383">
    <w:abstractNumId w:val="285"/>
  </w:num>
  <w:num w:numId="384">
    <w:abstractNumId w:val="92"/>
  </w:num>
  <w:num w:numId="385">
    <w:abstractNumId w:val="277"/>
  </w:num>
  <w:num w:numId="386">
    <w:abstractNumId w:val="114"/>
  </w:num>
  <w:num w:numId="387">
    <w:abstractNumId w:val="73"/>
  </w:num>
  <w:num w:numId="388">
    <w:abstractNumId w:val="97"/>
  </w:num>
  <w:num w:numId="389">
    <w:abstractNumId w:val="345"/>
  </w:num>
  <w:num w:numId="390">
    <w:abstractNumId w:val="389"/>
  </w:num>
  <w:num w:numId="391">
    <w:abstractNumId w:val="269"/>
  </w:num>
  <w:num w:numId="392">
    <w:abstractNumId w:val="304"/>
  </w:num>
  <w:num w:numId="393">
    <w:abstractNumId w:val="241"/>
  </w:num>
  <w:num w:numId="394">
    <w:abstractNumId w:val="168"/>
  </w:num>
  <w:num w:numId="395">
    <w:abstractNumId w:val="177"/>
  </w:num>
  <w:num w:numId="396">
    <w:abstractNumId w:val="343"/>
  </w:num>
  <w:num w:numId="397">
    <w:abstractNumId w:val="15"/>
  </w:num>
  <w:num w:numId="398">
    <w:abstractNumId w:val="320"/>
  </w:num>
  <w:num w:numId="399">
    <w:abstractNumId w:val="335"/>
  </w:num>
  <w:numIdMacAtCleanup w:val="3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ysTCyMDGysDA1N7ZU0lEKTi0uzszPAykwNa4FAGZlI9MtAAAA"/>
  </w:docVars>
  <w:rsids>
    <w:rsidRoot w:val="00CD6352"/>
    <w:rsid w:val="00000135"/>
    <w:rsid w:val="0000120F"/>
    <w:rsid w:val="0000223B"/>
    <w:rsid w:val="00002263"/>
    <w:rsid w:val="00002667"/>
    <w:rsid w:val="0000322D"/>
    <w:rsid w:val="000039B5"/>
    <w:rsid w:val="00003BB5"/>
    <w:rsid w:val="00003DF0"/>
    <w:rsid w:val="0000478E"/>
    <w:rsid w:val="00005E07"/>
    <w:rsid w:val="000061D6"/>
    <w:rsid w:val="0000672C"/>
    <w:rsid w:val="000109F0"/>
    <w:rsid w:val="00010F73"/>
    <w:rsid w:val="0001262D"/>
    <w:rsid w:val="00012767"/>
    <w:rsid w:val="00012E6B"/>
    <w:rsid w:val="0001478B"/>
    <w:rsid w:val="00014F37"/>
    <w:rsid w:val="000154DC"/>
    <w:rsid w:val="00016281"/>
    <w:rsid w:val="00016419"/>
    <w:rsid w:val="00017251"/>
    <w:rsid w:val="000220D5"/>
    <w:rsid w:val="000229BB"/>
    <w:rsid w:val="00022C58"/>
    <w:rsid w:val="00022E05"/>
    <w:rsid w:val="00023B07"/>
    <w:rsid w:val="00023D95"/>
    <w:rsid w:val="00024F25"/>
    <w:rsid w:val="00025116"/>
    <w:rsid w:val="0002587C"/>
    <w:rsid w:val="00025C49"/>
    <w:rsid w:val="00026071"/>
    <w:rsid w:val="00026BE4"/>
    <w:rsid w:val="000273A8"/>
    <w:rsid w:val="000307E3"/>
    <w:rsid w:val="00032952"/>
    <w:rsid w:val="00033232"/>
    <w:rsid w:val="00033257"/>
    <w:rsid w:val="00033A22"/>
    <w:rsid w:val="000340E8"/>
    <w:rsid w:val="0003445A"/>
    <w:rsid w:val="000344C5"/>
    <w:rsid w:val="00034B65"/>
    <w:rsid w:val="00034BF5"/>
    <w:rsid w:val="00035307"/>
    <w:rsid w:val="00036016"/>
    <w:rsid w:val="00036759"/>
    <w:rsid w:val="00036B7B"/>
    <w:rsid w:val="000370DD"/>
    <w:rsid w:val="000374B3"/>
    <w:rsid w:val="00040AEE"/>
    <w:rsid w:val="00041D91"/>
    <w:rsid w:val="00041DCD"/>
    <w:rsid w:val="00041F7E"/>
    <w:rsid w:val="000424D2"/>
    <w:rsid w:val="000426CE"/>
    <w:rsid w:val="00042F72"/>
    <w:rsid w:val="00043179"/>
    <w:rsid w:val="00043552"/>
    <w:rsid w:val="0004360A"/>
    <w:rsid w:val="00043D7A"/>
    <w:rsid w:val="00044AE8"/>
    <w:rsid w:val="000452F9"/>
    <w:rsid w:val="0004689D"/>
    <w:rsid w:val="00050DDF"/>
    <w:rsid w:val="0005109A"/>
    <w:rsid w:val="000510F1"/>
    <w:rsid w:val="000511EE"/>
    <w:rsid w:val="00051741"/>
    <w:rsid w:val="00051E17"/>
    <w:rsid w:val="00052717"/>
    <w:rsid w:val="00052B03"/>
    <w:rsid w:val="000530F6"/>
    <w:rsid w:val="000531B5"/>
    <w:rsid w:val="000540C8"/>
    <w:rsid w:val="000552B1"/>
    <w:rsid w:val="00055B46"/>
    <w:rsid w:val="00056FE7"/>
    <w:rsid w:val="00057292"/>
    <w:rsid w:val="00057DAC"/>
    <w:rsid w:val="00060B2A"/>
    <w:rsid w:val="00061AE9"/>
    <w:rsid w:val="00062059"/>
    <w:rsid w:val="00062EE7"/>
    <w:rsid w:val="0006341B"/>
    <w:rsid w:val="00063F0D"/>
    <w:rsid w:val="00064B51"/>
    <w:rsid w:val="00064C0C"/>
    <w:rsid w:val="000650B5"/>
    <w:rsid w:val="00065727"/>
    <w:rsid w:val="00065D28"/>
    <w:rsid w:val="0006666D"/>
    <w:rsid w:val="00066D65"/>
    <w:rsid w:val="000675DF"/>
    <w:rsid w:val="00067C4C"/>
    <w:rsid w:val="00070055"/>
    <w:rsid w:val="000706BC"/>
    <w:rsid w:val="00070C6E"/>
    <w:rsid w:val="00071867"/>
    <w:rsid w:val="00072F32"/>
    <w:rsid w:val="0007323A"/>
    <w:rsid w:val="00073B76"/>
    <w:rsid w:val="00075667"/>
    <w:rsid w:val="00075941"/>
    <w:rsid w:val="00076668"/>
    <w:rsid w:val="000766C3"/>
    <w:rsid w:val="00076D6D"/>
    <w:rsid w:val="00076DC3"/>
    <w:rsid w:val="00077196"/>
    <w:rsid w:val="00077C35"/>
    <w:rsid w:val="00081800"/>
    <w:rsid w:val="00081BB9"/>
    <w:rsid w:val="00081DD5"/>
    <w:rsid w:val="00081F99"/>
    <w:rsid w:val="0008347D"/>
    <w:rsid w:val="0008353B"/>
    <w:rsid w:val="000836C1"/>
    <w:rsid w:val="00084607"/>
    <w:rsid w:val="00085091"/>
    <w:rsid w:val="000851DB"/>
    <w:rsid w:val="0008610B"/>
    <w:rsid w:val="000869DC"/>
    <w:rsid w:val="00090114"/>
    <w:rsid w:val="00090450"/>
    <w:rsid w:val="000905CC"/>
    <w:rsid w:val="00091C7B"/>
    <w:rsid w:val="00091D89"/>
    <w:rsid w:val="00091F11"/>
    <w:rsid w:val="000930AA"/>
    <w:rsid w:val="000944F4"/>
    <w:rsid w:val="00095BAC"/>
    <w:rsid w:val="000961F8"/>
    <w:rsid w:val="00096748"/>
    <w:rsid w:val="000972D8"/>
    <w:rsid w:val="00097B63"/>
    <w:rsid w:val="000A0026"/>
    <w:rsid w:val="000A089D"/>
    <w:rsid w:val="000A0A9C"/>
    <w:rsid w:val="000A0AAE"/>
    <w:rsid w:val="000A0E1B"/>
    <w:rsid w:val="000A113F"/>
    <w:rsid w:val="000A15DB"/>
    <w:rsid w:val="000A1E19"/>
    <w:rsid w:val="000A32D7"/>
    <w:rsid w:val="000A344D"/>
    <w:rsid w:val="000A3821"/>
    <w:rsid w:val="000A4261"/>
    <w:rsid w:val="000A560E"/>
    <w:rsid w:val="000A5DA3"/>
    <w:rsid w:val="000A6022"/>
    <w:rsid w:val="000A6BFA"/>
    <w:rsid w:val="000A6E76"/>
    <w:rsid w:val="000A6F92"/>
    <w:rsid w:val="000B03D8"/>
    <w:rsid w:val="000B08D0"/>
    <w:rsid w:val="000B10BE"/>
    <w:rsid w:val="000B2D80"/>
    <w:rsid w:val="000B2D9E"/>
    <w:rsid w:val="000B3A5F"/>
    <w:rsid w:val="000B3B89"/>
    <w:rsid w:val="000B4447"/>
    <w:rsid w:val="000B5273"/>
    <w:rsid w:val="000B5679"/>
    <w:rsid w:val="000B5B96"/>
    <w:rsid w:val="000B5BC5"/>
    <w:rsid w:val="000B6264"/>
    <w:rsid w:val="000B716D"/>
    <w:rsid w:val="000B76A6"/>
    <w:rsid w:val="000B7A9B"/>
    <w:rsid w:val="000B7A9F"/>
    <w:rsid w:val="000B7AA0"/>
    <w:rsid w:val="000C0452"/>
    <w:rsid w:val="000C0AEC"/>
    <w:rsid w:val="000C1B05"/>
    <w:rsid w:val="000C2835"/>
    <w:rsid w:val="000C3E03"/>
    <w:rsid w:val="000C4E20"/>
    <w:rsid w:val="000C5199"/>
    <w:rsid w:val="000C594A"/>
    <w:rsid w:val="000C683C"/>
    <w:rsid w:val="000C6B16"/>
    <w:rsid w:val="000C6C60"/>
    <w:rsid w:val="000C705D"/>
    <w:rsid w:val="000C7B22"/>
    <w:rsid w:val="000C7E88"/>
    <w:rsid w:val="000D2722"/>
    <w:rsid w:val="000D2F90"/>
    <w:rsid w:val="000D34B9"/>
    <w:rsid w:val="000D3E17"/>
    <w:rsid w:val="000D4C29"/>
    <w:rsid w:val="000D52FA"/>
    <w:rsid w:val="000D60BD"/>
    <w:rsid w:val="000D75E3"/>
    <w:rsid w:val="000D7E48"/>
    <w:rsid w:val="000E2732"/>
    <w:rsid w:val="000E293A"/>
    <w:rsid w:val="000E29EC"/>
    <w:rsid w:val="000E2B09"/>
    <w:rsid w:val="000E40FF"/>
    <w:rsid w:val="000E47BD"/>
    <w:rsid w:val="000E49AA"/>
    <w:rsid w:val="000E4B0B"/>
    <w:rsid w:val="000E5763"/>
    <w:rsid w:val="000E5DA2"/>
    <w:rsid w:val="000E5E23"/>
    <w:rsid w:val="000E6CC7"/>
    <w:rsid w:val="000E7835"/>
    <w:rsid w:val="000E7D83"/>
    <w:rsid w:val="000F06ED"/>
    <w:rsid w:val="000F09A4"/>
    <w:rsid w:val="000F0AC5"/>
    <w:rsid w:val="000F11A8"/>
    <w:rsid w:val="000F193C"/>
    <w:rsid w:val="000F2163"/>
    <w:rsid w:val="000F2DA2"/>
    <w:rsid w:val="000F3619"/>
    <w:rsid w:val="000F37B8"/>
    <w:rsid w:val="000F4106"/>
    <w:rsid w:val="000F47E9"/>
    <w:rsid w:val="000F4ADD"/>
    <w:rsid w:val="001005CF"/>
    <w:rsid w:val="001006E8"/>
    <w:rsid w:val="0010219A"/>
    <w:rsid w:val="00102397"/>
    <w:rsid w:val="001025B7"/>
    <w:rsid w:val="001026F6"/>
    <w:rsid w:val="00102C83"/>
    <w:rsid w:val="001031DF"/>
    <w:rsid w:val="0010411D"/>
    <w:rsid w:val="001041DB"/>
    <w:rsid w:val="00104550"/>
    <w:rsid w:val="001046B0"/>
    <w:rsid w:val="00104B4A"/>
    <w:rsid w:val="00106032"/>
    <w:rsid w:val="00106393"/>
    <w:rsid w:val="00106B63"/>
    <w:rsid w:val="00106D67"/>
    <w:rsid w:val="0010737D"/>
    <w:rsid w:val="00107521"/>
    <w:rsid w:val="001078A4"/>
    <w:rsid w:val="00110AB5"/>
    <w:rsid w:val="0011117E"/>
    <w:rsid w:val="001116F6"/>
    <w:rsid w:val="0011187A"/>
    <w:rsid w:val="001123EB"/>
    <w:rsid w:val="00112A93"/>
    <w:rsid w:val="00112DA4"/>
    <w:rsid w:val="00112E5F"/>
    <w:rsid w:val="0011337B"/>
    <w:rsid w:val="00113E79"/>
    <w:rsid w:val="0011436B"/>
    <w:rsid w:val="00115B0F"/>
    <w:rsid w:val="0011744A"/>
    <w:rsid w:val="0011760D"/>
    <w:rsid w:val="001204BD"/>
    <w:rsid w:val="00120D17"/>
    <w:rsid w:val="001212BC"/>
    <w:rsid w:val="00121516"/>
    <w:rsid w:val="00121E23"/>
    <w:rsid w:val="00122AEE"/>
    <w:rsid w:val="00122C64"/>
    <w:rsid w:val="00123080"/>
    <w:rsid w:val="00123109"/>
    <w:rsid w:val="001246FC"/>
    <w:rsid w:val="00124819"/>
    <w:rsid w:val="00125207"/>
    <w:rsid w:val="00125D0A"/>
    <w:rsid w:val="0012639D"/>
    <w:rsid w:val="001266D5"/>
    <w:rsid w:val="001268DC"/>
    <w:rsid w:val="0012700C"/>
    <w:rsid w:val="0012725D"/>
    <w:rsid w:val="001274D0"/>
    <w:rsid w:val="001275A3"/>
    <w:rsid w:val="00127622"/>
    <w:rsid w:val="00127F00"/>
    <w:rsid w:val="0013081C"/>
    <w:rsid w:val="00130ACD"/>
    <w:rsid w:val="001311B9"/>
    <w:rsid w:val="00131480"/>
    <w:rsid w:val="00131560"/>
    <w:rsid w:val="00132DFB"/>
    <w:rsid w:val="001332B0"/>
    <w:rsid w:val="0013335E"/>
    <w:rsid w:val="0013356F"/>
    <w:rsid w:val="00133A12"/>
    <w:rsid w:val="00133B97"/>
    <w:rsid w:val="001341FD"/>
    <w:rsid w:val="00134A43"/>
    <w:rsid w:val="00136A31"/>
    <w:rsid w:val="00136CCB"/>
    <w:rsid w:val="00136F39"/>
    <w:rsid w:val="001414E6"/>
    <w:rsid w:val="001418E8"/>
    <w:rsid w:val="00142544"/>
    <w:rsid w:val="001425C9"/>
    <w:rsid w:val="001427A5"/>
    <w:rsid w:val="00142E6E"/>
    <w:rsid w:val="001430ED"/>
    <w:rsid w:val="001440C7"/>
    <w:rsid w:val="00144862"/>
    <w:rsid w:val="001451FB"/>
    <w:rsid w:val="001454FD"/>
    <w:rsid w:val="001475FA"/>
    <w:rsid w:val="00150474"/>
    <w:rsid w:val="001533FE"/>
    <w:rsid w:val="00153BF9"/>
    <w:rsid w:val="0015418D"/>
    <w:rsid w:val="001541E7"/>
    <w:rsid w:val="0015421B"/>
    <w:rsid w:val="00154356"/>
    <w:rsid w:val="001559B2"/>
    <w:rsid w:val="001563FD"/>
    <w:rsid w:val="001568C6"/>
    <w:rsid w:val="00156C15"/>
    <w:rsid w:val="00157401"/>
    <w:rsid w:val="00157AE9"/>
    <w:rsid w:val="001605F6"/>
    <w:rsid w:val="00160DC8"/>
    <w:rsid w:val="0016104F"/>
    <w:rsid w:val="0016116F"/>
    <w:rsid w:val="00161824"/>
    <w:rsid w:val="00161BC2"/>
    <w:rsid w:val="00164028"/>
    <w:rsid w:val="0016426A"/>
    <w:rsid w:val="0016463A"/>
    <w:rsid w:val="00165F39"/>
    <w:rsid w:val="00166056"/>
    <w:rsid w:val="001663E9"/>
    <w:rsid w:val="00170B6C"/>
    <w:rsid w:val="00172647"/>
    <w:rsid w:val="00173455"/>
    <w:rsid w:val="00173794"/>
    <w:rsid w:val="00173DC0"/>
    <w:rsid w:val="0017401B"/>
    <w:rsid w:val="00174534"/>
    <w:rsid w:val="0017469C"/>
    <w:rsid w:val="00174AA6"/>
    <w:rsid w:val="00174B8A"/>
    <w:rsid w:val="00175B44"/>
    <w:rsid w:val="00175D87"/>
    <w:rsid w:val="001763CE"/>
    <w:rsid w:val="0018078E"/>
    <w:rsid w:val="00180BEC"/>
    <w:rsid w:val="00181FC3"/>
    <w:rsid w:val="001823C7"/>
    <w:rsid w:val="00182707"/>
    <w:rsid w:val="00182E0C"/>
    <w:rsid w:val="00182FD5"/>
    <w:rsid w:val="00183DBD"/>
    <w:rsid w:val="00183FF4"/>
    <w:rsid w:val="001847A2"/>
    <w:rsid w:val="00184AA5"/>
    <w:rsid w:val="00185958"/>
    <w:rsid w:val="00185F3F"/>
    <w:rsid w:val="001864FF"/>
    <w:rsid w:val="001866C4"/>
    <w:rsid w:val="00187853"/>
    <w:rsid w:val="00190255"/>
    <w:rsid w:val="001920B4"/>
    <w:rsid w:val="00193ACF"/>
    <w:rsid w:val="00193AD8"/>
    <w:rsid w:val="00194786"/>
    <w:rsid w:val="001950D5"/>
    <w:rsid w:val="00196645"/>
    <w:rsid w:val="00196C52"/>
    <w:rsid w:val="00196EDE"/>
    <w:rsid w:val="00197959"/>
    <w:rsid w:val="001A024C"/>
    <w:rsid w:val="001A0309"/>
    <w:rsid w:val="001A0BB1"/>
    <w:rsid w:val="001A165D"/>
    <w:rsid w:val="001A212E"/>
    <w:rsid w:val="001A2475"/>
    <w:rsid w:val="001A2690"/>
    <w:rsid w:val="001A3EB8"/>
    <w:rsid w:val="001A4A7D"/>
    <w:rsid w:val="001A4C44"/>
    <w:rsid w:val="001A4E90"/>
    <w:rsid w:val="001A58CC"/>
    <w:rsid w:val="001A6B6E"/>
    <w:rsid w:val="001A7F25"/>
    <w:rsid w:val="001B03E4"/>
    <w:rsid w:val="001B0A24"/>
    <w:rsid w:val="001B0F7F"/>
    <w:rsid w:val="001B1738"/>
    <w:rsid w:val="001B17AA"/>
    <w:rsid w:val="001B2AE0"/>
    <w:rsid w:val="001B3D2C"/>
    <w:rsid w:val="001B4863"/>
    <w:rsid w:val="001B4B65"/>
    <w:rsid w:val="001B7612"/>
    <w:rsid w:val="001B7EA6"/>
    <w:rsid w:val="001C09FF"/>
    <w:rsid w:val="001C0C80"/>
    <w:rsid w:val="001C0D5F"/>
    <w:rsid w:val="001C0EE0"/>
    <w:rsid w:val="001C1A76"/>
    <w:rsid w:val="001C1A8C"/>
    <w:rsid w:val="001C1F49"/>
    <w:rsid w:val="001C1FD4"/>
    <w:rsid w:val="001C240B"/>
    <w:rsid w:val="001C267D"/>
    <w:rsid w:val="001C2F75"/>
    <w:rsid w:val="001C3611"/>
    <w:rsid w:val="001C4B94"/>
    <w:rsid w:val="001C60A7"/>
    <w:rsid w:val="001C6709"/>
    <w:rsid w:val="001C72D5"/>
    <w:rsid w:val="001C7520"/>
    <w:rsid w:val="001D0839"/>
    <w:rsid w:val="001D1ABE"/>
    <w:rsid w:val="001D2557"/>
    <w:rsid w:val="001D2C19"/>
    <w:rsid w:val="001D32B0"/>
    <w:rsid w:val="001D34C7"/>
    <w:rsid w:val="001D412B"/>
    <w:rsid w:val="001D4366"/>
    <w:rsid w:val="001D4E3B"/>
    <w:rsid w:val="001D4E3F"/>
    <w:rsid w:val="001D5254"/>
    <w:rsid w:val="001D5647"/>
    <w:rsid w:val="001D572E"/>
    <w:rsid w:val="001D66F6"/>
    <w:rsid w:val="001D67C5"/>
    <w:rsid w:val="001D7DA1"/>
    <w:rsid w:val="001E0977"/>
    <w:rsid w:val="001E17F5"/>
    <w:rsid w:val="001E2433"/>
    <w:rsid w:val="001E27E7"/>
    <w:rsid w:val="001E3A1E"/>
    <w:rsid w:val="001E47D0"/>
    <w:rsid w:val="001E4CD8"/>
    <w:rsid w:val="001E501B"/>
    <w:rsid w:val="001E5A86"/>
    <w:rsid w:val="001E6200"/>
    <w:rsid w:val="001E789D"/>
    <w:rsid w:val="001E7C22"/>
    <w:rsid w:val="001E7C7E"/>
    <w:rsid w:val="001E7DC4"/>
    <w:rsid w:val="001F007B"/>
    <w:rsid w:val="001F0186"/>
    <w:rsid w:val="001F0392"/>
    <w:rsid w:val="001F0C4B"/>
    <w:rsid w:val="001F1437"/>
    <w:rsid w:val="001F1654"/>
    <w:rsid w:val="001F1A54"/>
    <w:rsid w:val="001F20E2"/>
    <w:rsid w:val="001F2F85"/>
    <w:rsid w:val="001F305C"/>
    <w:rsid w:val="001F3495"/>
    <w:rsid w:val="001F3B25"/>
    <w:rsid w:val="001F46D2"/>
    <w:rsid w:val="001F48BC"/>
    <w:rsid w:val="001F49F9"/>
    <w:rsid w:val="001F5295"/>
    <w:rsid w:val="001F6B9E"/>
    <w:rsid w:val="001F6C3E"/>
    <w:rsid w:val="001F746C"/>
    <w:rsid w:val="00200564"/>
    <w:rsid w:val="00201C1C"/>
    <w:rsid w:val="00201EDD"/>
    <w:rsid w:val="00202140"/>
    <w:rsid w:val="00202282"/>
    <w:rsid w:val="002026CC"/>
    <w:rsid w:val="00206169"/>
    <w:rsid w:val="00206561"/>
    <w:rsid w:val="002066FE"/>
    <w:rsid w:val="002075B5"/>
    <w:rsid w:val="00207DBF"/>
    <w:rsid w:val="00207E1D"/>
    <w:rsid w:val="00210396"/>
    <w:rsid w:val="00210AFB"/>
    <w:rsid w:val="00213E9C"/>
    <w:rsid w:val="00213F42"/>
    <w:rsid w:val="00214268"/>
    <w:rsid w:val="002148BE"/>
    <w:rsid w:val="00215490"/>
    <w:rsid w:val="00215BA7"/>
    <w:rsid w:val="00215D15"/>
    <w:rsid w:val="00215E4A"/>
    <w:rsid w:val="00216488"/>
    <w:rsid w:val="00216C83"/>
    <w:rsid w:val="0021730F"/>
    <w:rsid w:val="00217B7F"/>
    <w:rsid w:val="00217F24"/>
    <w:rsid w:val="00220A7C"/>
    <w:rsid w:val="002216B6"/>
    <w:rsid w:val="002219BE"/>
    <w:rsid w:val="00221E80"/>
    <w:rsid w:val="00223A83"/>
    <w:rsid w:val="00223E37"/>
    <w:rsid w:val="00224455"/>
    <w:rsid w:val="002248CD"/>
    <w:rsid w:val="00224AEC"/>
    <w:rsid w:val="00225135"/>
    <w:rsid w:val="002258CA"/>
    <w:rsid w:val="002269EC"/>
    <w:rsid w:val="00227056"/>
    <w:rsid w:val="002275DF"/>
    <w:rsid w:val="00231342"/>
    <w:rsid w:val="0023285C"/>
    <w:rsid w:val="00232936"/>
    <w:rsid w:val="00232D01"/>
    <w:rsid w:val="00232D95"/>
    <w:rsid w:val="00232EC7"/>
    <w:rsid w:val="00235223"/>
    <w:rsid w:val="00235255"/>
    <w:rsid w:val="002359E2"/>
    <w:rsid w:val="00236453"/>
    <w:rsid w:val="00236767"/>
    <w:rsid w:val="00236A38"/>
    <w:rsid w:val="00237027"/>
    <w:rsid w:val="00237984"/>
    <w:rsid w:val="00241614"/>
    <w:rsid w:val="002416E4"/>
    <w:rsid w:val="002417A7"/>
    <w:rsid w:val="00241A70"/>
    <w:rsid w:val="0024231A"/>
    <w:rsid w:val="00242D95"/>
    <w:rsid w:val="00243053"/>
    <w:rsid w:val="002436E9"/>
    <w:rsid w:val="00244547"/>
    <w:rsid w:val="00244575"/>
    <w:rsid w:val="00244706"/>
    <w:rsid w:val="002448D9"/>
    <w:rsid w:val="002449FC"/>
    <w:rsid w:val="00245095"/>
    <w:rsid w:val="002450EB"/>
    <w:rsid w:val="00245894"/>
    <w:rsid w:val="00245A41"/>
    <w:rsid w:val="00245F8D"/>
    <w:rsid w:val="00247797"/>
    <w:rsid w:val="00250163"/>
    <w:rsid w:val="002502B1"/>
    <w:rsid w:val="00250A99"/>
    <w:rsid w:val="00251194"/>
    <w:rsid w:val="0025137D"/>
    <w:rsid w:val="00251740"/>
    <w:rsid w:val="00253A34"/>
    <w:rsid w:val="00254418"/>
    <w:rsid w:val="00255AE5"/>
    <w:rsid w:val="00255E73"/>
    <w:rsid w:val="00255E74"/>
    <w:rsid w:val="00256162"/>
    <w:rsid w:val="002562FC"/>
    <w:rsid w:val="00256B14"/>
    <w:rsid w:val="00256C0E"/>
    <w:rsid w:val="00257087"/>
    <w:rsid w:val="0025779B"/>
    <w:rsid w:val="00260641"/>
    <w:rsid w:val="00260AF8"/>
    <w:rsid w:val="002618FC"/>
    <w:rsid w:val="00261CF0"/>
    <w:rsid w:val="002626FF"/>
    <w:rsid w:val="002637D5"/>
    <w:rsid w:val="002642CB"/>
    <w:rsid w:val="00264B7A"/>
    <w:rsid w:val="00265794"/>
    <w:rsid w:val="00266E38"/>
    <w:rsid w:val="00270055"/>
    <w:rsid w:val="00270078"/>
    <w:rsid w:val="002703C9"/>
    <w:rsid w:val="00270C0B"/>
    <w:rsid w:val="002720A8"/>
    <w:rsid w:val="002721E8"/>
    <w:rsid w:val="0027261E"/>
    <w:rsid w:val="002727B5"/>
    <w:rsid w:val="00272BD4"/>
    <w:rsid w:val="00273599"/>
    <w:rsid w:val="002736B0"/>
    <w:rsid w:val="002739A4"/>
    <w:rsid w:val="00273AA2"/>
    <w:rsid w:val="00273E5D"/>
    <w:rsid w:val="00274D9D"/>
    <w:rsid w:val="0027591A"/>
    <w:rsid w:val="00275963"/>
    <w:rsid w:val="00275F9C"/>
    <w:rsid w:val="002764C8"/>
    <w:rsid w:val="00276A65"/>
    <w:rsid w:val="00277188"/>
    <w:rsid w:val="002777D4"/>
    <w:rsid w:val="002815F8"/>
    <w:rsid w:val="00281C08"/>
    <w:rsid w:val="00284D9A"/>
    <w:rsid w:val="00285D8C"/>
    <w:rsid w:val="00285DB3"/>
    <w:rsid w:val="00286296"/>
    <w:rsid w:val="002871BB"/>
    <w:rsid w:val="0028783D"/>
    <w:rsid w:val="002901E6"/>
    <w:rsid w:val="002909BB"/>
    <w:rsid w:val="002911C2"/>
    <w:rsid w:val="002911EF"/>
    <w:rsid w:val="0029140E"/>
    <w:rsid w:val="002922CF"/>
    <w:rsid w:val="00292593"/>
    <w:rsid w:val="00293252"/>
    <w:rsid w:val="00293D56"/>
    <w:rsid w:val="00294289"/>
    <w:rsid w:val="002942DB"/>
    <w:rsid w:val="00294319"/>
    <w:rsid w:val="002950EE"/>
    <w:rsid w:val="00295710"/>
    <w:rsid w:val="00295A23"/>
    <w:rsid w:val="002974A8"/>
    <w:rsid w:val="00297935"/>
    <w:rsid w:val="00297994"/>
    <w:rsid w:val="002A0169"/>
    <w:rsid w:val="002A109E"/>
    <w:rsid w:val="002A1105"/>
    <w:rsid w:val="002A13AC"/>
    <w:rsid w:val="002A1EDE"/>
    <w:rsid w:val="002A22C2"/>
    <w:rsid w:val="002A3069"/>
    <w:rsid w:val="002A3A6B"/>
    <w:rsid w:val="002A4046"/>
    <w:rsid w:val="002A439D"/>
    <w:rsid w:val="002A43D9"/>
    <w:rsid w:val="002A4473"/>
    <w:rsid w:val="002A4EE8"/>
    <w:rsid w:val="002A5075"/>
    <w:rsid w:val="002A51A5"/>
    <w:rsid w:val="002A58CC"/>
    <w:rsid w:val="002A59D9"/>
    <w:rsid w:val="002A5CE9"/>
    <w:rsid w:val="002A5DB8"/>
    <w:rsid w:val="002A6770"/>
    <w:rsid w:val="002A67C0"/>
    <w:rsid w:val="002A6930"/>
    <w:rsid w:val="002A7265"/>
    <w:rsid w:val="002A787E"/>
    <w:rsid w:val="002B04F1"/>
    <w:rsid w:val="002B0818"/>
    <w:rsid w:val="002B15A3"/>
    <w:rsid w:val="002B1AE0"/>
    <w:rsid w:val="002B22C6"/>
    <w:rsid w:val="002B4160"/>
    <w:rsid w:val="002B520A"/>
    <w:rsid w:val="002B5ABD"/>
    <w:rsid w:val="002B6AF5"/>
    <w:rsid w:val="002C0233"/>
    <w:rsid w:val="002C07AC"/>
    <w:rsid w:val="002C234B"/>
    <w:rsid w:val="002C3197"/>
    <w:rsid w:val="002C32BA"/>
    <w:rsid w:val="002C3505"/>
    <w:rsid w:val="002C4118"/>
    <w:rsid w:val="002C43DC"/>
    <w:rsid w:val="002C513C"/>
    <w:rsid w:val="002C62D0"/>
    <w:rsid w:val="002C6B47"/>
    <w:rsid w:val="002C6EB0"/>
    <w:rsid w:val="002C743D"/>
    <w:rsid w:val="002C74FE"/>
    <w:rsid w:val="002C7BDE"/>
    <w:rsid w:val="002D07C8"/>
    <w:rsid w:val="002D0FB2"/>
    <w:rsid w:val="002D1257"/>
    <w:rsid w:val="002D15D5"/>
    <w:rsid w:val="002D1E80"/>
    <w:rsid w:val="002D1EB0"/>
    <w:rsid w:val="002D346F"/>
    <w:rsid w:val="002D384D"/>
    <w:rsid w:val="002D3959"/>
    <w:rsid w:val="002D3C18"/>
    <w:rsid w:val="002D4FC7"/>
    <w:rsid w:val="002D5D32"/>
    <w:rsid w:val="002D5E3A"/>
    <w:rsid w:val="002D5E83"/>
    <w:rsid w:val="002D78A9"/>
    <w:rsid w:val="002D7A28"/>
    <w:rsid w:val="002D7A55"/>
    <w:rsid w:val="002D7D54"/>
    <w:rsid w:val="002E0BEA"/>
    <w:rsid w:val="002E0C13"/>
    <w:rsid w:val="002E0F01"/>
    <w:rsid w:val="002E1665"/>
    <w:rsid w:val="002E1D92"/>
    <w:rsid w:val="002E2704"/>
    <w:rsid w:val="002E2746"/>
    <w:rsid w:val="002E310D"/>
    <w:rsid w:val="002E47A1"/>
    <w:rsid w:val="002E4B50"/>
    <w:rsid w:val="002E54C8"/>
    <w:rsid w:val="002E56C4"/>
    <w:rsid w:val="002E5AEA"/>
    <w:rsid w:val="002E6671"/>
    <w:rsid w:val="002E6ACD"/>
    <w:rsid w:val="002F05B0"/>
    <w:rsid w:val="002F0663"/>
    <w:rsid w:val="002F087E"/>
    <w:rsid w:val="002F0C5F"/>
    <w:rsid w:val="002F0E67"/>
    <w:rsid w:val="002F2420"/>
    <w:rsid w:val="002F2C21"/>
    <w:rsid w:val="002F347F"/>
    <w:rsid w:val="002F5647"/>
    <w:rsid w:val="002F5693"/>
    <w:rsid w:val="002F57F8"/>
    <w:rsid w:val="002F5B9C"/>
    <w:rsid w:val="002F5F71"/>
    <w:rsid w:val="002F7077"/>
    <w:rsid w:val="002F715D"/>
    <w:rsid w:val="002F7770"/>
    <w:rsid w:val="00300B67"/>
    <w:rsid w:val="00300B82"/>
    <w:rsid w:val="00302382"/>
    <w:rsid w:val="003041FF"/>
    <w:rsid w:val="00304550"/>
    <w:rsid w:val="00304DB5"/>
    <w:rsid w:val="00304E54"/>
    <w:rsid w:val="00304E7C"/>
    <w:rsid w:val="00306C85"/>
    <w:rsid w:val="00310165"/>
    <w:rsid w:val="00310511"/>
    <w:rsid w:val="0031132E"/>
    <w:rsid w:val="00312869"/>
    <w:rsid w:val="00313C7B"/>
    <w:rsid w:val="00314216"/>
    <w:rsid w:val="00314263"/>
    <w:rsid w:val="0031489B"/>
    <w:rsid w:val="00314D78"/>
    <w:rsid w:val="0031517A"/>
    <w:rsid w:val="00315659"/>
    <w:rsid w:val="003161F3"/>
    <w:rsid w:val="003164AA"/>
    <w:rsid w:val="00316FCC"/>
    <w:rsid w:val="00320A96"/>
    <w:rsid w:val="0032122F"/>
    <w:rsid w:val="0032260B"/>
    <w:rsid w:val="00322D64"/>
    <w:rsid w:val="00323227"/>
    <w:rsid w:val="00323811"/>
    <w:rsid w:val="003239CD"/>
    <w:rsid w:val="0032417D"/>
    <w:rsid w:val="00324B0D"/>
    <w:rsid w:val="00325B50"/>
    <w:rsid w:val="00326592"/>
    <w:rsid w:val="003268B8"/>
    <w:rsid w:val="00326D80"/>
    <w:rsid w:val="0032797B"/>
    <w:rsid w:val="003309AB"/>
    <w:rsid w:val="00330F65"/>
    <w:rsid w:val="00331066"/>
    <w:rsid w:val="00331C5C"/>
    <w:rsid w:val="0033394C"/>
    <w:rsid w:val="003339B6"/>
    <w:rsid w:val="003342B5"/>
    <w:rsid w:val="00335820"/>
    <w:rsid w:val="003366A7"/>
    <w:rsid w:val="00336E58"/>
    <w:rsid w:val="00337712"/>
    <w:rsid w:val="00337820"/>
    <w:rsid w:val="00337B9B"/>
    <w:rsid w:val="00337EDD"/>
    <w:rsid w:val="00340815"/>
    <w:rsid w:val="00341936"/>
    <w:rsid w:val="00341ACD"/>
    <w:rsid w:val="00341D75"/>
    <w:rsid w:val="00343954"/>
    <w:rsid w:val="00343C3A"/>
    <w:rsid w:val="00343F07"/>
    <w:rsid w:val="0034486C"/>
    <w:rsid w:val="003448FD"/>
    <w:rsid w:val="00346158"/>
    <w:rsid w:val="003475C4"/>
    <w:rsid w:val="0034799A"/>
    <w:rsid w:val="00347F7E"/>
    <w:rsid w:val="00350613"/>
    <w:rsid w:val="00350AF2"/>
    <w:rsid w:val="0035271C"/>
    <w:rsid w:val="00352A7B"/>
    <w:rsid w:val="0035381E"/>
    <w:rsid w:val="00353C1C"/>
    <w:rsid w:val="00354977"/>
    <w:rsid w:val="00354B01"/>
    <w:rsid w:val="0035590A"/>
    <w:rsid w:val="00355D91"/>
    <w:rsid w:val="00356001"/>
    <w:rsid w:val="00356502"/>
    <w:rsid w:val="00356897"/>
    <w:rsid w:val="00356C8B"/>
    <w:rsid w:val="00360FCA"/>
    <w:rsid w:val="003614CB"/>
    <w:rsid w:val="00361809"/>
    <w:rsid w:val="0036185E"/>
    <w:rsid w:val="00362382"/>
    <w:rsid w:val="00362A68"/>
    <w:rsid w:val="003638C8"/>
    <w:rsid w:val="00363FDA"/>
    <w:rsid w:val="00364177"/>
    <w:rsid w:val="003644E0"/>
    <w:rsid w:val="00364AAA"/>
    <w:rsid w:val="00364DDD"/>
    <w:rsid w:val="00365C92"/>
    <w:rsid w:val="003662C4"/>
    <w:rsid w:val="0036673F"/>
    <w:rsid w:val="00366858"/>
    <w:rsid w:val="00367590"/>
    <w:rsid w:val="00367820"/>
    <w:rsid w:val="0037040D"/>
    <w:rsid w:val="00370FB4"/>
    <w:rsid w:val="0037239B"/>
    <w:rsid w:val="003723A0"/>
    <w:rsid w:val="003747CC"/>
    <w:rsid w:val="00374A37"/>
    <w:rsid w:val="00374C4E"/>
    <w:rsid w:val="003753CF"/>
    <w:rsid w:val="00375CBF"/>
    <w:rsid w:val="00377370"/>
    <w:rsid w:val="00377396"/>
    <w:rsid w:val="00377C57"/>
    <w:rsid w:val="00380FB1"/>
    <w:rsid w:val="003814B8"/>
    <w:rsid w:val="00381967"/>
    <w:rsid w:val="00381F5D"/>
    <w:rsid w:val="003833DC"/>
    <w:rsid w:val="003834DD"/>
    <w:rsid w:val="003836FE"/>
    <w:rsid w:val="003838FC"/>
    <w:rsid w:val="00383D57"/>
    <w:rsid w:val="003844EE"/>
    <w:rsid w:val="0038498F"/>
    <w:rsid w:val="00384B9D"/>
    <w:rsid w:val="00384D11"/>
    <w:rsid w:val="00385059"/>
    <w:rsid w:val="00385093"/>
    <w:rsid w:val="00386BFC"/>
    <w:rsid w:val="00386C73"/>
    <w:rsid w:val="00387C4A"/>
    <w:rsid w:val="00387F93"/>
    <w:rsid w:val="00390C3B"/>
    <w:rsid w:val="00391C59"/>
    <w:rsid w:val="00391FC6"/>
    <w:rsid w:val="00392085"/>
    <w:rsid w:val="003925E6"/>
    <w:rsid w:val="00392AE1"/>
    <w:rsid w:val="00392F4C"/>
    <w:rsid w:val="00393D56"/>
    <w:rsid w:val="00393EF6"/>
    <w:rsid w:val="003950D2"/>
    <w:rsid w:val="003954F0"/>
    <w:rsid w:val="00395DA2"/>
    <w:rsid w:val="003968A9"/>
    <w:rsid w:val="003968B1"/>
    <w:rsid w:val="00396BDC"/>
    <w:rsid w:val="0039761D"/>
    <w:rsid w:val="00397AA0"/>
    <w:rsid w:val="00397BCD"/>
    <w:rsid w:val="003A0D86"/>
    <w:rsid w:val="003A142B"/>
    <w:rsid w:val="003A148B"/>
    <w:rsid w:val="003A1A44"/>
    <w:rsid w:val="003A1AB2"/>
    <w:rsid w:val="003A201E"/>
    <w:rsid w:val="003A208E"/>
    <w:rsid w:val="003A231D"/>
    <w:rsid w:val="003A2BF5"/>
    <w:rsid w:val="003A2E11"/>
    <w:rsid w:val="003A3A51"/>
    <w:rsid w:val="003A3F69"/>
    <w:rsid w:val="003A4053"/>
    <w:rsid w:val="003A437D"/>
    <w:rsid w:val="003A4553"/>
    <w:rsid w:val="003A4DAD"/>
    <w:rsid w:val="003A5503"/>
    <w:rsid w:val="003A5721"/>
    <w:rsid w:val="003A5AD1"/>
    <w:rsid w:val="003A5D0D"/>
    <w:rsid w:val="003A6EE1"/>
    <w:rsid w:val="003A7059"/>
    <w:rsid w:val="003A770C"/>
    <w:rsid w:val="003A77FE"/>
    <w:rsid w:val="003A7A72"/>
    <w:rsid w:val="003A7E9D"/>
    <w:rsid w:val="003B047D"/>
    <w:rsid w:val="003B1221"/>
    <w:rsid w:val="003B1394"/>
    <w:rsid w:val="003B16AD"/>
    <w:rsid w:val="003B1E85"/>
    <w:rsid w:val="003B270F"/>
    <w:rsid w:val="003B2F7E"/>
    <w:rsid w:val="003B4766"/>
    <w:rsid w:val="003B63CB"/>
    <w:rsid w:val="003B668C"/>
    <w:rsid w:val="003B792A"/>
    <w:rsid w:val="003B79AD"/>
    <w:rsid w:val="003C04E2"/>
    <w:rsid w:val="003C0B7B"/>
    <w:rsid w:val="003C0EB5"/>
    <w:rsid w:val="003C13FF"/>
    <w:rsid w:val="003C2863"/>
    <w:rsid w:val="003C292A"/>
    <w:rsid w:val="003C3E1B"/>
    <w:rsid w:val="003C442D"/>
    <w:rsid w:val="003C6358"/>
    <w:rsid w:val="003D0562"/>
    <w:rsid w:val="003D0723"/>
    <w:rsid w:val="003D1BC5"/>
    <w:rsid w:val="003D218B"/>
    <w:rsid w:val="003D3000"/>
    <w:rsid w:val="003D3236"/>
    <w:rsid w:val="003D3508"/>
    <w:rsid w:val="003D35E3"/>
    <w:rsid w:val="003D36B2"/>
    <w:rsid w:val="003D37FF"/>
    <w:rsid w:val="003D3C28"/>
    <w:rsid w:val="003D3FE0"/>
    <w:rsid w:val="003D5F9C"/>
    <w:rsid w:val="003D6533"/>
    <w:rsid w:val="003D6BE8"/>
    <w:rsid w:val="003D74AA"/>
    <w:rsid w:val="003D7972"/>
    <w:rsid w:val="003E03CB"/>
    <w:rsid w:val="003E20BC"/>
    <w:rsid w:val="003E3C1A"/>
    <w:rsid w:val="003E4CA6"/>
    <w:rsid w:val="003E4F37"/>
    <w:rsid w:val="003E53A5"/>
    <w:rsid w:val="003E567B"/>
    <w:rsid w:val="003E605B"/>
    <w:rsid w:val="003E629E"/>
    <w:rsid w:val="003E6650"/>
    <w:rsid w:val="003E674F"/>
    <w:rsid w:val="003E6F8E"/>
    <w:rsid w:val="003E79CA"/>
    <w:rsid w:val="003F004E"/>
    <w:rsid w:val="003F05B1"/>
    <w:rsid w:val="003F07A7"/>
    <w:rsid w:val="003F3157"/>
    <w:rsid w:val="003F315D"/>
    <w:rsid w:val="003F3A96"/>
    <w:rsid w:val="003F4917"/>
    <w:rsid w:val="003F5A8A"/>
    <w:rsid w:val="003F5C82"/>
    <w:rsid w:val="003F5DD5"/>
    <w:rsid w:val="003F6A86"/>
    <w:rsid w:val="003F6D2B"/>
    <w:rsid w:val="003F6EED"/>
    <w:rsid w:val="003F7607"/>
    <w:rsid w:val="003F7D09"/>
    <w:rsid w:val="004017EC"/>
    <w:rsid w:val="00401B86"/>
    <w:rsid w:val="00401E43"/>
    <w:rsid w:val="00402093"/>
    <w:rsid w:val="00402732"/>
    <w:rsid w:val="004034E7"/>
    <w:rsid w:val="004035E6"/>
    <w:rsid w:val="00403A50"/>
    <w:rsid w:val="00404860"/>
    <w:rsid w:val="004048C5"/>
    <w:rsid w:val="00404BD6"/>
    <w:rsid w:val="00404ED3"/>
    <w:rsid w:val="00404FF4"/>
    <w:rsid w:val="00405BC0"/>
    <w:rsid w:val="004061C6"/>
    <w:rsid w:val="00406563"/>
    <w:rsid w:val="00407710"/>
    <w:rsid w:val="0041049F"/>
    <w:rsid w:val="0041157B"/>
    <w:rsid w:val="004122B2"/>
    <w:rsid w:val="0041231E"/>
    <w:rsid w:val="00412927"/>
    <w:rsid w:val="00412984"/>
    <w:rsid w:val="00412D27"/>
    <w:rsid w:val="00413F87"/>
    <w:rsid w:val="00414848"/>
    <w:rsid w:val="004160EE"/>
    <w:rsid w:val="0041644B"/>
    <w:rsid w:val="00416468"/>
    <w:rsid w:val="0041652B"/>
    <w:rsid w:val="00416544"/>
    <w:rsid w:val="00416BDB"/>
    <w:rsid w:val="00416DE9"/>
    <w:rsid w:val="004172FF"/>
    <w:rsid w:val="00417CCA"/>
    <w:rsid w:val="00420492"/>
    <w:rsid w:val="0042089A"/>
    <w:rsid w:val="0042119C"/>
    <w:rsid w:val="004218B0"/>
    <w:rsid w:val="0042256D"/>
    <w:rsid w:val="00423061"/>
    <w:rsid w:val="004231B1"/>
    <w:rsid w:val="00423284"/>
    <w:rsid w:val="00424624"/>
    <w:rsid w:val="00424C1E"/>
    <w:rsid w:val="00424D81"/>
    <w:rsid w:val="0042586E"/>
    <w:rsid w:val="00426093"/>
    <w:rsid w:val="0042619C"/>
    <w:rsid w:val="00426CEB"/>
    <w:rsid w:val="0042718C"/>
    <w:rsid w:val="0042739E"/>
    <w:rsid w:val="00427B51"/>
    <w:rsid w:val="0043185D"/>
    <w:rsid w:val="00431941"/>
    <w:rsid w:val="00432C76"/>
    <w:rsid w:val="004336B7"/>
    <w:rsid w:val="00433F50"/>
    <w:rsid w:val="00434760"/>
    <w:rsid w:val="00435509"/>
    <w:rsid w:val="00435724"/>
    <w:rsid w:val="00436408"/>
    <w:rsid w:val="0043787E"/>
    <w:rsid w:val="00437D3A"/>
    <w:rsid w:val="00437DC3"/>
    <w:rsid w:val="004414C7"/>
    <w:rsid w:val="00442CE0"/>
    <w:rsid w:val="0044570B"/>
    <w:rsid w:val="00445AE4"/>
    <w:rsid w:val="00445B41"/>
    <w:rsid w:val="00447321"/>
    <w:rsid w:val="00447398"/>
    <w:rsid w:val="00450BEE"/>
    <w:rsid w:val="00451875"/>
    <w:rsid w:val="00451C3A"/>
    <w:rsid w:val="00452743"/>
    <w:rsid w:val="00453B7C"/>
    <w:rsid w:val="00453D23"/>
    <w:rsid w:val="004547C0"/>
    <w:rsid w:val="004550B8"/>
    <w:rsid w:val="00455CAC"/>
    <w:rsid w:val="00456D46"/>
    <w:rsid w:val="0045799D"/>
    <w:rsid w:val="00457F0E"/>
    <w:rsid w:val="0046073C"/>
    <w:rsid w:val="00460F21"/>
    <w:rsid w:val="004613DE"/>
    <w:rsid w:val="0046234E"/>
    <w:rsid w:val="0046283A"/>
    <w:rsid w:val="00462C24"/>
    <w:rsid w:val="0046499F"/>
    <w:rsid w:val="00465217"/>
    <w:rsid w:val="0046603F"/>
    <w:rsid w:val="00466603"/>
    <w:rsid w:val="00470378"/>
    <w:rsid w:val="00471EA0"/>
    <w:rsid w:val="004726CC"/>
    <w:rsid w:val="004728BB"/>
    <w:rsid w:val="004733B6"/>
    <w:rsid w:val="00473F74"/>
    <w:rsid w:val="00474034"/>
    <w:rsid w:val="004747FC"/>
    <w:rsid w:val="00474B94"/>
    <w:rsid w:val="00474E8B"/>
    <w:rsid w:val="00475262"/>
    <w:rsid w:val="00475B9B"/>
    <w:rsid w:val="004763CF"/>
    <w:rsid w:val="004771CD"/>
    <w:rsid w:val="004776E4"/>
    <w:rsid w:val="00477732"/>
    <w:rsid w:val="00477AE7"/>
    <w:rsid w:val="004806C5"/>
    <w:rsid w:val="004809E0"/>
    <w:rsid w:val="00482031"/>
    <w:rsid w:val="0048272B"/>
    <w:rsid w:val="00483132"/>
    <w:rsid w:val="004834A6"/>
    <w:rsid w:val="00483C13"/>
    <w:rsid w:val="00483CA4"/>
    <w:rsid w:val="00483D79"/>
    <w:rsid w:val="00484ACA"/>
    <w:rsid w:val="00484CCA"/>
    <w:rsid w:val="004855B0"/>
    <w:rsid w:val="004856FD"/>
    <w:rsid w:val="00485BBB"/>
    <w:rsid w:val="00485F78"/>
    <w:rsid w:val="004874EA"/>
    <w:rsid w:val="00487945"/>
    <w:rsid w:val="00487BA8"/>
    <w:rsid w:val="00490876"/>
    <w:rsid w:val="004921F3"/>
    <w:rsid w:val="0049271F"/>
    <w:rsid w:val="00493206"/>
    <w:rsid w:val="00494DFC"/>
    <w:rsid w:val="00496C9C"/>
    <w:rsid w:val="00496F18"/>
    <w:rsid w:val="00497067"/>
    <w:rsid w:val="00497BED"/>
    <w:rsid w:val="00497E46"/>
    <w:rsid w:val="004A0596"/>
    <w:rsid w:val="004A07F1"/>
    <w:rsid w:val="004A13D8"/>
    <w:rsid w:val="004A1658"/>
    <w:rsid w:val="004A2F9D"/>
    <w:rsid w:val="004A31AB"/>
    <w:rsid w:val="004A3E7F"/>
    <w:rsid w:val="004A440E"/>
    <w:rsid w:val="004A50DA"/>
    <w:rsid w:val="004A630B"/>
    <w:rsid w:val="004A65DE"/>
    <w:rsid w:val="004A6F3F"/>
    <w:rsid w:val="004A7C44"/>
    <w:rsid w:val="004A7ED9"/>
    <w:rsid w:val="004B1EC7"/>
    <w:rsid w:val="004B1F54"/>
    <w:rsid w:val="004B2F2E"/>
    <w:rsid w:val="004B2FAF"/>
    <w:rsid w:val="004B3569"/>
    <w:rsid w:val="004B59F2"/>
    <w:rsid w:val="004B5A21"/>
    <w:rsid w:val="004B6086"/>
    <w:rsid w:val="004B6A21"/>
    <w:rsid w:val="004B6C4B"/>
    <w:rsid w:val="004B71D5"/>
    <w:rsid w:val="004B7661"/>
    <w:rsid w:val="004B7990"/>
    <w:rsid w:val="004B7B51"/>
    <w:rsid w:val="004C01CE"/>
    <w:rsid w:val="004C1AC3"/>
    <w:rsid w:val="004C2254"/>
    <w:rsid w:val="004C23E1"/>
    <w:rsid w:val="004C2C3A"/>
    <w:rsid w:val="004C2DC8"/>
    <w:rsid w:val="004C35DA"/>
    <w:rsid w:val="004C3B09"/>
    <w:rsid w:val="004C447D"/>
    <w:rsid w:val="004C44BF"/>
    <w:rsid w:val="004C47F9"/>
    <w:rsid w:val="004C526C"/>
    <w:rsid w:val="004C59E4"/>
    <w:rsid w:val="004C5C53"/>
    <w:rsid w:val="004C60FB"/>
    <w:rsid w:val="004C6828"/>
    <w:rsid w:val="004C6D96"/>
    <w:rsid w:val="004C7623"/>
    <w:rsid w:val="004C7ABE"/>
    <w:rsid w:val="004C7F81"/>
    <w:rsid w:val="004D0239"/>
    <w:rsid w:val="004D045F"/>
    <w:rsid w:val="004D0CC4"/>
    <w:rsid w:val="004D149C"/>
    <w:rsid w:val="004D16F6"/>
    <w:rsid w:val="004D240C"/>
    <w:rsid w:val="004D3326"/>
    <w:rsid w:val="004D37CB"/>
    <w:rsid w:val="004D3898"/>
    <w:rsid w:val="004D3AC9"/>
    <w:rsid w:val="004D3AF2"/>
    <w:rsid w:val="004D47AA"/>
    <w:rsid w:val="004D5935"/>
    <w:rsid w:val="004D6508"/>
    <w:rsid w:val="004D769B"/>
    <w:rsid w:val="004D7E75"/>
    <w:rsid w:val="004E04E0"/>
    <w:rsid w:val="004E0961"/>
    <w:rsid w:val="004E17CF"/>
    <w:rsid w:val="004E1FBE"/>
    <w:rsid w:val="004E29F6"/>
    <w:rsid w:val="004E2C49"/>
    <w:rsid w:val="004E34D2"/>
    <w:rsid w:val="004E40FE"/>
    <w:rsid w:val="004E4F1F"/>
    <w:rsid w:val="004E5028"/>
    <w:rsid w:val="004E59E0"/>
    <w:rsid w:val="004E6168"/>
    <w:rsid w:val="004E637D"/>
    <w:rsid w:val="004E681D"/>
    <w:rsid w:val="004E7232"/>
    <w:rsid w:val="004E72C2"/>
    <w:rsid w:val="004F0036"/>
    <w:rsid w:val="004F1B5A"/>
    <w:rsid w:val="004F1C4C"/>
    <w:rsid w:val="004F3D45"/>
    <w:rsid w:val="004F59A1"/>
    <w:rsid w:val="004F5D57"/>
    <w:rsid w:val="004F631F"/>
    <w:rsid w:val="004F64DD"/>
    <w:rsid w:val="00501D71"/>
    <w:rsid w:val="00501FCA"/>
    <w:rsid w:val="0050238F"/>
    <w:rsid w:val="005025E5"/>
    <w:rsid w:val="00504939"/>
    <w:rsid w:val="00504E5A"/>
    <w:rsid w:val="00505C08"/>
    <w:rsid w:val="00506981"/>
    <w:rsid w:val="005102BD"/>
    <w:rsid w:val="00510479"/>
    <w:rsid w:val="0051133C"/>
    <w:rsid w:val="005118F5"/>
    <w:rsid w:val="00511938"/>
    <w:rsid w:val="0051196F"/>
    <w:rsid w:val="0051282A"/>
    <w:rsid w:val="00512979"/>
    <w:rsid w:val="00514203"/>
    <w:rsid w:val="00514E46"/>
    <w:rsid w:val="00515299"/>
    <w:rsid w:val="005153D4"/>
    <w:rsid w:val="00516A04"/>
    <w:rsid w:val="005204FB"/>
    <w:rsid w:val="0052097E"/>
    <w:rsid w:val="00520A86"/>
    <w:rsid w:val="0052121F"/>
    <w:rsid w:val="005218FD"/>
    <w:rsid w:val="00521E17"/>
    <w:rsid w:val="005220F1"/>
    <w:rsid w:val="005226CE"/>
    <w:rsid w:val="00522E4E"/>
    <w:rsid w:val="00523CC6"/>
    <w:rsid w:val="00523DAA"/>
    <w:rsid w:val="00524241"/>
    <w:rsid w:val="00524809"/>
    <w:rsid w:val="0052484C"/>
    <w:rsid w:val="00524E31"/>
    <w:rsid w:val="00525103"/>
    <w:rsid w:val="00525935"/>
    <w:rsid w:val="005266AD"/>
    <w:rsid w:val="005266ED"/>
    <w:rsid w:val="00526C4E"/>
    <w:rsid w:val="00526D00"/>
    <w:rsid w:val="005270F0"/>
    <w:rsid w:val="0052732C"/>
    <w:rsid w:val="005305DC"/>
    <w:rsid w:val="005309B7"/>
    <w:rsid w:val="005311B3"/>
    <w:rsid w:val="005313C5"/>
    <w:rsid w:val="005318EB"/>
    <w:rsid w:val="00533523"/>
    <w:rsid w:val="00533B1C"/>
    <w:rsid w:val="0053416B"/>
    <w:rsid w:val="005343A4"/>
    <w:rsid w:val="00536913"/>
    <w:rsid w:val="00536C00"/>
    <w:rsid w:val="00537D7B"/>
    <w:rsid w:val="0054052B"/>
    <w:rsid w:val="00541BEC"/>
    <w:rsid w:val="005429FA"/>
    <w:rsid w:val="00542C71"/>
    <w:rsid w:val="00542FA5"/>
    <w:rsid w:val="005438C3"/>
    <w:rsid w:val="005439EE"/>
    <w:rsid w:val="00543B02"/>
    <w:rsid w:val="00543D1F"/>
    <w:rsid w:val="0054456B"/>
    <w:rsid w:val="00544B06"/>
    <w:rsid w:val="00546A06"/>
    <w:rsid w:val="00546A53"/>
    <w:rsid w:val="00547F0D"/>
    <w:rsid w:val="00550177"/>
    <w:rsid w:val="00550203"/>
    <w:rsid w:val="00550C00"/>
    <w:rsid w:val="0055369B"/>
    <w:rsid w:val="0055488E"/>
    <w:rsid w:val="005549B0"/>
    <w:rsid w:val="00555408"/>
    <w:rsid w:val="00555BD9"/>
    <w:rsid w:val="00556571"/>
    <w:rsid w:val="005570CD"/>
    <w:rsid w:val="00557763"/>
    <w:rsid w:val="00557A3A"/>
    <w:rsid w:val="00557A40"/>
    <w:rsid w:val="005622BE"/>
    <w:rsid w:val="00562EF0"/>
    <w:rsid w:val="00563018"/>
    <w:rsid w:val="005631F3"/>
    <w:rsid w:val="00563369"/>
    <w:rsid w:val="00564184"/>
    <w:rsid w:val="005647F0"/>
    <w:rsid w:val="00565013"/>
    <w:rsid w:val="00565E9D"/>
    <w:rsid w:val="0056626A"/>
    <w:rsid w:val="00566C4A"/>
    <w:rsid w:val="005670AA"/>
    <w:rsid w:val="00570C8B"/>
    <w:rsid w:val="00572E33"/>
    <w:rsid w:val="00573160"/>
    <w:rsid w:val="00574642"/>
    <w:rsid w:val="005746F0"/>
    <w:rsid w:val="00574CAC"/>
    <w:rsid w:val="00575498"/>
    <w:rsid w:val="0057661C"/>
    <w:rsid w:val="005766F7"/>
    <w:rsid w:val="0057750A"/>
    <w:rsid w:val="00577C89"/>
    <w:rsid w:val="0058068F"/>
    <w:rsid w:val="00580A71"/>
    <w:rsid w:val="00580F6A"/>
    <w:rsid w:val="00581217"/>
    <w:rsid w:val="0058135D"/>
    <w:rsid w:val="00581E0C"/>
    <w:rsid w:val="00582384"/>
    <w:rsid w:val="00582389"/>
    <w:rsid w:val="0058329E"/>
    <w:rsid w:val="00583770"/>
    <w:rsid w:val="00583E94"/>
    <w:rsid w:val="005845C6"/>
    <w:rsid w:val="005859FA"/>
    <w:rsid w:val="005861E4"/>
    <w:rsid w:val="005867E6"/>
    <w:rsid w:val="0058686F"/>
    <w:rsid w:val="00587CA9"/>
    <w:rsid w:val="00587D8D"/>
    <w:rsid w:val="00590BDC"/>
    <w:rsid w:val="00591250"/>
    <w:rsid w:val="00591802"/>
    <w:rsid w:val="00591998"/>
    <w:rsid w:val="005929E5"/>
    <w:rsid w:val="00592C5E"/>
    <w:rsid w:val="00593140"/>
    <w:rsid w:val="0059386E"/>
    <w:rsid w:val="00594A06"/>
    <w:rsid w:val="00594B98"/>
    <w:rsid w:val="00595811"/>
    <w:rsid w:val="00595865"/>
    <w:rsid w:val="00597269"/>
    <w:rsid w:val="005973DA"/>
    <w:rsid w:val="00597AF8"/>
    <w:rsid w:val="005A146D"/>
    <w:rsid w:val="005A150E"/>
    <w:rsid w:val="005A16EE"/>
    <w:rsid w:val="005A1F5A"/>
    <w:rsid w:val="005A1FB9"/>
    <w:rsid w:val="005A2601"/>
    <w:rsid w:val="005A32C9"/>
    <w:rsid w:val="005A464A"/>
    <w:rsid w:val="005A48E0"/>
    <w:rsid w:val="005A4E82"/>
    <w:rsid w:val="005A540F"/>
    <w:rsid w:val="005A585B"/>
    <w:rsid w:val="005A61F9"/>
    <w:rsid w:val="005A718D"/>
    <w:rsid w:val="005A7CB7"/>
    <w:rsid w:val="005B06A9"/>
    <w:rsid w:val="005B19FC"/>
    <w:rsid w:val="005B1D91"/>
    <w:rsid w:val="005B2201"/>
    <w:rsid w:val="005B23AF"/>
    <w:rsid w:val="005B2588"/>
    <w:rsid w:val="005B38E8"/>
    <w:rsid w:val="005B398B"/>
    <w:rsid w:val="005B47E5"/>
    <w:rsid w:val="005B5275"/>
    <w:rsid w:val="005B6494"/>
    <w:rsid w:val="005B65CE"/>
    <w:rsid w:val="005B66B1"/>
    <w:rsid w:val="005B7CE5"/>
    <w:rsid w:val="005B7EC2"/>
    <w:rsid w:val="005C085E"/>
    <w:rsid w:val="005C0D36"/>
    <w:rsid w:val="005C0F41"/>
    <w:rsid w:val="005C128A"/>
    <w:rsid w:val="005C24F2"/>
    <w:rsid w:val="005C2663"/>
    <w:rsid w:val="005C2CC6"/>
    <w:rsid w:val="005C3066"/>
    <w:rsid w:val="005C3CF0"/>
    <w:rsid w:val="005C4880"/>
    <w:rsid w:val="005C4E2F"/>
    <w:rsid w:val="005C4FE6"/>
    <w:rsid w:val="005C5552"/>
    <w:rsid w:val="005C5D48"/>
    <w:rsid w:val="005C67EF"/>
    <w:rsid w:val="005C71E4"/>
    <w:rsid w:val="005C7294"/>
    <w:rsid w:val="005C7326"/>
    <w:rsid w:val="005C763F"/>
    <w:rsid w:val="005D164D"/>
    <w:rsid w:val="005D1D3E"/>
    <w:rsid w:val="005D5270"/>
    <w:rsid w:val="005D6218"/>
    <w:rsid w:val="005D62FF"/>
    <w:rsid w:val="005E00A8"/>
    <w:rsid w:val="005E28ED"/>
    <w:rsid w:val="005E3089"/>
    <w:rsid w:val="005E3F63"/>
    <w:rsid w:val="005E41CA"/>
    <w:rsid w:val="005E4534"/>
    <w:rsid w:val="005E4649"/>
    <w:rsid w:val="005E48DC"/>
    <w:rsid w:val="005E4DDC"/>
    <w:rsid w:val="005E551E"/>
    <w:rsid w:val="005E59A7"/>
    <w:rsid w:val="005E6303"/>
    <w:rsid w:val="005F00F8"/>
    <w:rsid w:val="005F072A"/>
    <w:rsid w:val="005F0799"/>
    <w:rsid w:val="005F0AF6"/>
    <w:rsid w:val="005F1F9C"/>
    <w:rsid w:val="005F280B"/>
    <w:rsid w:val="005F2D7C"/>
    <w:rsid w:val="005F3F56"/>
    <w:rsid w:val="005F4529"/>
    <w:rsid w:val="005F45CE"/>
    <w:rsid w:val="005F4ADE"/>
    <w:rsid w:val="005F4B8A"/>
    <w:rsid w:val="005F4FC8"/>
    <w:rsid w:val="005F5E14"/>
    <w:rsid w:val="005F66A6"/>
    <w:rsid w:val="005F6922"/>
    <w:rsid w:val="005F70E6"/>
    <w:rsid w:val="005F7438"/>
    <w:rsid w:val="005F7642"/>
    <w:rsid w:val="005F7F8B"/>
    <w:rsid w:val="00600099"/>
    <w:rsid w:val="0060019A"/>
    <w:rsid w:val="00601943"/>
    <w:rsid w:val="00601A6A"/>
    <w:rsid w:val="00601AF8"/>
    <w:rsid w:val="00601F92"/>
    <w:rsid w:val="0060283B"/>
    <w:rsid w:val="00602BFD"/>
    <w:rsid w:val="006037FF"/>
    <w:rsid w:val="00603C08"/>
    <w:rsid w:val="00605809"/>
    <w:rsid w:val="00606BEA"/>
    <w:rsid w:val="006071AB"/>
    <w:rsid w:val="00607F95"/>
    <w:rsid w:val="0061050A"/>
    <w:rsid w:val="00610AA3"/>
    <w:rsid w:val="00611549"/>
    <w:rsid w:val="0061155A"/>
    <w:rsid w:val="00613E3B"/>
    <w:rsid w:val="006141CB"/>
    <w:rsid w:val="0061450E"/>
    <w:rsid w:val="006152B8"/>
    <w:rsid w:val="006175AB"/>
    <w:rsid w:val="00617F6A"/>
    <w:rsid w:val="006203A1"/>
    <w:rsid w:val="00620614"/>
    <w:rsid w:val="0062077A"/>
    <w:rsid w:val="006211EE"/>
    <w:rsid w:val="0062181B"/>
    <w:rsid w:val="00621B40"/>
    <w:rsid w:val="006220AE"/>
    <w:rsid w:val="00622D6C"/>
    <w:rsid w:val="00622E9C"/>
    <w:rsid w:val="00624690"/>
    <w:rsid w:val="00624FC9"/>
    <w:rsid w:val="006250CB"/>
    <w:rsid w:val="006257A6"/>
    <w:rsid w:val="00626EB9"/>
    <w:rsid w:val="00630FE7"/>
    <w:rsid w:val="00631747"/>
    <w:rsid w:val="0063235D"/>
    <w:rsid w:val="00632E30"/>
    <w:rsid w:val="00632F1C"/>
    <w:rsid w:val="006334A2"/>
    <w:rsid w:val="00634B6C"/>
    <w:rsid w:val="006352DF"/>
    <w:rsid w:val="00635AC3"/>
    <w:rsid w:val="00635AE6"/>
    <w:rsid w:val="006361D2"/>
    <w:rsid w:val="0063648B"/>
    <w:rsid w:val="0063658B"/>
    <w:rsid w:val="00636935"/>
    <w:rsid w:val="00636FC4"/>
    <w:rsid w:val="00637832"/>
    <w:rsid w:val="00637C06"/>
    <w:rsid w:val="00640261"/>
    <w:rsid w:val="00640D31"/>
    <w:rsid w:val="00641A32"/>
    <w:rsid w:val="00641C8B"/>
    <w:rsid w:val="006424E7"/>
    <w:rsid w:val="0064343F"/>
    <w:rsid w:val="00643A02"/>
    <w:rsid w:val="00644C33"/>
    <w:rsid w:val="0064506F"/>
    <w:rsid w:val="00645B9C"/>
    <w:rsid w:val="00645FC5"/>
    <w:rsid w:val="00645FF7"/>
    <w:rsid w:val="006460D8"/>
    <w:rsid w:val="0064700F"/>
    <w:rsid w:val="0065132B"/>
    <w:rsid w:val="00652875"/>
    <w:rsid w:val="00652B6C"/>
    <w:rsid w:val="00652B91"/>
    <w:rsid w:val="00653EF5"/>
    <w:rsid w:val="0065490E"/>
    <w:rsid w:val="00656DA8"/>
    <w:rsid w:val="00656F8D"/>
    <w:rsid w:val="00657893"/>
    <w:rsid w:val="006578F0"/>
    <w:rsid w:val="006611BE"/>
    <w:rsid w:val="0066170E"/>
    <w:rsid w:val="00662298"/>
    <w:rsid w:val="00663846"/>
    <w:rsid w:val="00663971"/>
    <w:rsid w:val="00663C91"/>
    <w:rsid w:val="00663D99"/>
    <w:rsid w:val="0066412F"/>
    <w:rsid w:val="0066465C"/>
    <w:rsid w:val="00665224"/>
    <w:rsid w:val="00665560"/>
    <w:rsid w:val="00665A95"/>
    <w:rsid w:val="00665AC5"/>
    <w:rsid w:val="00666F3E"/>
    <w:rsid w:val="006677D2"/>
    <w:rsid w:val="00667A52"/>
    <w:rsid w:val="00667A8B"/>
    <w:rsid w:val="00667AC5"/>
    <w:rsid w:val="00667B43"/>
    <w:rsid w:val="00670194"/>
    <w:rsid w:val="0067024C"/>
    <w:rsid w:val="00670D22"/>
    <w:rsid w:val="00671571"/>
    <w:rsid w:val="00672353"/>
    <w:rsid w:val="0067256F"/>
    <w:rsid w:val="0067274C"/>
    <w:rsid w:val="00673165"/>
    <w:rsid w:val="006731F4"/>
    <w:rsid w:val="0067503B"/>
    <w:rsid w:val="00675108"/>
    <w:rsid w:val="006752C2"/>
    <w:rsid w:val="00675A36"/>
    <w:rsid w:val="00675BBE"/>
    <w:rsid w:val="006773C6"/>
    <w:rsid w:val="00677CFE"/>
    <w:rsid w:val="00677F42"/>
    <w:rsid w:val="00680F7B"/>
    <w:rsid w:val="0068317B"/>
    <w:rsid w:val="00683567"/>
    <w:rsid w:val="006837F2"/>
    <w:rsid w:val="00683D93"/>
    <w:rsid w:val="00683E73"/>
    <w:rsid w:val="00684369"/>
    <w:rsid w:val="0068440D"/>
    <w:rsid w:val="006844AF"/>
    <w:rsid w:val="006846B5"/>
    <w:rsid w:val="00684AFB"/>
    <w:rsid w:val="006858BA"/>
    <w:rsid w:val="00685F99"/>
    <w:rsid w:val="006860ED"/>
    <w:rsid w:val="00686D76"/>
    <w:rsid w:val="00686F82"/>
    <w:rsid w:val="00687E3D"/>
    <w:rsid w:val="0069021F"/>
    <w:rsid w:val="006904B6"/>
    <w:rsid w:val="006905B0"/>
    <w:rsid w:val="00691C8C"/>
    <w:rsid w:val="0069232E"/>
    <w:rsid w:val="0069285F"/>
    <w:rsid w:val="00693BC7"/>
    <w:rsid w:val="006941DB"/>
    <w:rsid w:val="00694274"/>
    <w:rsid w:val="00694E2D"/>
    <w:rsid w:val="00695605"/>
    <w:rsid w:val="006958FA"/>
    <w:rsid w:val="0069767B"/>
    <w:rsid w:val="00697AFB"/>
    <w:rsid w:val="00697DC2"/>
    <w:rsid w:val="006A07AD"/>
    <w:rsid w:val="006A0CBA"/>
    <w:rsid w:val="006A0E2D"/>
    <w:rsid w:val="006A1225"/>
    <w:rsid w:val="006A20CD"/>
    <w:rsid w:val="006A245D"/>
    <w:rsid w:val="006A25DD"/>
    <w:rsid w:val="006A2D32"/>
    <w:rsid w:val="006A3304"/>
    <w:rsid w:val="006A4DE9"/>
    <w:rsid w:val="006A4EB2"/>
    <w:rsid w:val="006A56BC"/>
    <w:rsid w:val="006A5A42"/>
    <w:rsid w:val="006A62F3"/>
    <w:rsid w:val="006B1222"/>
    <w:rsid w:val="006B12D4"/>
    <w:rsid w:val="006B1ACD"/>
    <w:rsid w:val="006B22C1"/>
    <w:rsid w:val="006B2338"/>
    <w:rsid w:val="006B2AEE"/>
    <w:rsid w:val="006B39BB"/>
    <w:rsid w:val="006B3D61"/>
    <w:rsid w:val="006B4039"/>
    <w:rsid w:val="006B41A0"/>
    <w:rsid w:val="006B5166"/>
    <w:rsid w:val="006B5C85"/>
    <w:rsid w:val="006B6045"/>
    <w:rsid w:val="006B6258"/>
    <w:rsid w:val="006B63E7"/>
    <w:rsid w:val="006B656E"/>
    <w:rsid w:val="006B6BC8"/>
    <w:rsid w:val="006B74FD"/>
    <w:rsid w:val="006B7E34"/>
    <w:rsid w:val="006C03F1"/>
    <w:rsid w:val="006C06C1"/>
    <w:rsid w:val="006C0994"/>
    <w:rsid w:val="006C0EBC"/>
    <w:rsid w:val="006C1488"/>
    <w:rsid w:val="006C1744"/>
    <w:rsid w:val="006C19AD"/>
    <w:rsid w:val="006C1A35"/>
    <w:rsid w:val="006C2AAF"/>
    <w:rsid w:val="006C4053"/>
    <w:rsid w:val="006C5412"/>
    <w:rsid w:val="006C5B50"/>
    <w:rsid w:val="006C7764"/>
    <w:rsid w:val="006C7B3E"/>
    <w:rsid w:val="006C7FA3"/>
    <w:rsid w:val="006D026B"/>
    <w:rsid w:val="006D10C9"/>
    <w:rsid w:val="006D15CC"/>
    <w:rsid w:val="006D1EA7"/>
    <w:rsid w:val="006D2107"/>
    <w:rsid w:val="006D23D7"/>
    <w:rsid w:val="006D3555"/>
    <w:rsid w:val="006D39F3"/>
    <w:rsid w:val="006D3BD0"/>
    <w:rsid w:val="006D4096"/>
    <w:rsid w:val="006D4931"/>
    <w:rsid w:val="006D4BF7"/>
    <w:rsid w:val="006D4C3C"/>
    <w:rsid w:val="006D5832"/>
    <w:rsid w:val="006D620C"/>
    <w:rsid w:val="006D6258"/>
    <w:rsid w:val="006D628A"/>
    <w:rsid w:val="006D6970"/>
    <w:rsid w:val="006D6BDD"/>
    <w:rsid w:val="006D6ECF"/>
    <w:rsid w:val="006D720B"/>
    <w:rsid w:val="006D7D73"/>
    <w:rsid w:val="006E019B"/>
    <w:rsid w:val="006E092B"/>
    <w:rsid w:val="006E1961"/>
    <w:rsid w:val="006E2F87"/>
    <w:rsid w:val="006E319E"/>
    <w:rsid w:val="006E3B97"/>
    <w:rsid w:val="006E4060"/>
    <w:rsid w:val="006E412C"/>
    <w:rsid w:val="006E4A15"/>
    <w:rsid w:val="006E6091"/>
    <w:rsid w:val="006E6651"/>
    <w:rsid w:val="006E742C"/>
    <w:rsid w:val="006E74A0"/>
    <w:rsid w:val="006E7BC4"/>
    <w:rsid w:val="006F046F"/>
    <w:rsid w:val="006F0E69"/>
    <w:rsid w:val="006F17AE"/>
    <w:rsid w:val="006F1CB0"/>
    <w:rsid w:val="006F23CE"/>
    <w:rsid w:val="006F2E02"/>
    <w:rsid w:val="006F308C"/>
    <w:rsid w:val="006F3A4B"/>
    <w:rsid w:val="006F3FE0"/>
    <w:rsid w:val="006F41E1"/>
    <w:rsid w:val="006F4331"/>
    <w:rsid w:val="006F44C8"/>
    <w:rsid w:val="006F4750"/>
    <w:rsid w:val="006F4F3A"/>
    <w:rsid w:val="006F5EA6"/>
    <w:rsid w:val="006F7A1F"/>
    <w:rsid w:val="006F7AB4"/>
    <w:rsid w:val="00700C2C"/>
    <w:rsid w:val="007039EC"/>
    <w:rsid w:val="0070402C"/>
    <w:rsid w:val="007042AD"/>
    <w:rsid w:val="00704AB7"/>
    <w:rsid w:val="00704AE7"/>
    <w:rsid w:val="00705128"/>
    <w:rsid w:val="00705839"/>
    <w:rsid w:val="007058A1"/>
    <w:rsid w:val="00705F9B"/>
    <w:rsid w:val="00706EFB"/>
    <w:rsid w:val="00706F68"/>
    <w:rsid w:val="0071139D"/>
    <w:rsid w:val="00711740"/>
    <w:rsid w:val="00711C38"/>
    <w:rsid w:val="00711CE8"/>
    <w:rsid w:val="00714571"/>
    <w:rsid w:val="007145EC"/>
    <w:rsid w:val="007147C6"/>
    <w:rsid w:val="00714AFC"/>
    <w:rsid w:val="00715486"/>
    <w:rsid w:val="007160AF"/>
    <w:rsid w:val="0071613E"/>
    <w:rsid w:val="00720421"/>
    <w:rsid w:val="00720859"/>
    <w:rsid w:val="00721C24"/>
    <w:rsid w:val="00721DEB"/>
    <w:rsid w:val="0072240F"/>
    <w:rsid w:val="00722D0F"/>
    <w:rsid w:val="007245A6"/>
    <w:rsid w:val="00724741"/>
    <w:rsid w:val="007248DD"/>
    <w:rsid w:val="00724F7A"/>
    <w:rsid w:val="00725A60"/>
    <w:rsid w:val="00726537"/>
    <w:rsid w:val="00726BDD"/>
    <w:rsid w:val="00730210"/>
    <w:rsid w:val="00730490"/>
    <w:rsid w:val="007305F7"/>
    <w:rsid w:val="007323C1"/>
    <w:rsid w:val="00732757"/>
    <w:rsid w:val="007327F5"/>
    <w:rsid w:val="007328AE"/>
    <w:rsid w:val="00732E8D"/>
    <w:rsid w:val="00734066"/>
    <w:rsid w:val="007341B9"/>
    <w:rsid w:val="00734983"/>
    <w:rsid w:val="00734CB3"/>
    <w:rsid w:val="0073595D"/>
    <w:rsid w:val="007369E6"/>
    <w:rsid w:val="007369FA"/>
    <w:rsid w:val="00737BD5"/>
    <w:rsid w:val="00737C3F"/>
    <w:rsid w:val="00737E44"/>
    <w:rsid w:val="0074063B"/>
    <w:rsid w:val="00741277"/>
    <w:rsid w:val="00741510"/>
    <w:rsid w:val="00741ED3"/>
    <w:rsid w:val="00741F97"/>
    <w:rsid w:val="00742BAE"/>
    <w:rsid w:val="00742BCE"/>
    <w:rsid w:val="00742EFD"/>
    <w:rsid w:val="007435CC"/>
    <w:rsid w:val="007448D3"/>
    <w:rsid w:val="00744DA2"/>
    <w:rsid w:val="00745572"/>
    <w:rsid w:val="00745796"/>
    <w:rsid w:val="007459ED"/>
    <w:rsid w:val="007459FE"/>
    <w:rsid w:val="0074725D"/>
    <w:rsid w:val="00750983"/>
    <w:rsid w:val="00751381"/>
    <w:rsid w:val="0075282B"/>
    <w:rsid w:val="00752EF4"/>
    <w:rsid w:val="0075511F"/>
    <w:rsid w:val="007557EF"/>
    <w:rsid w:val="00755811"/>
    <w:rsid w:val="00755E7E"/>
    <w:rsid w:val="00756A66"/>
    <w:rsid w:val="00757BA3"/>
    <w:rsid w:val="00757DD2"/>
    <w:rsid w:val="00760152"/>
    <w:rsid w:val="00760175"/>
    <w:rsid w:val="007604C2"/>
    <w:rsid w:val="00760BA0"/>
    <w:rsid w:val="007619CB"/>
    <w:rsid w:val="007625E7"/>
    <w:rsid w:val="00763106"/>
    <w:rsid w:val="00763196"/>
    <w:rsid w:val="007637A7"/>
    <w:rsid w:val="00763DDD"/>
    <w:rsid w:val="0076450C"/>
    <w:rsid w:val="007645A8"/>
    <w:rsid w:val="00764E2B"/>
    <w:rsid w:val="00765A0C"/>
    <w:rsid w:val="00765A64"/>
    <w:rsid w:val="00765BDA"/>
    <w:rsid w:val="00766AF6"/>
    <w:rsid w:val="00770CF3"/>
    <w:rsid w:val="007710FE"/>
    <w:rsid w:val="00771CBD"/>
    <w:rsid w:val="00771D8D"/>
    <w:rsid w:val="00771EE5"/>
    <w:rsid w:val="00772145"/>
    <w:rsid w:val="0077234E"/>
    <w:rsid w:val="00772741"/>
    <w:rsid w:val="0077326E"/>
    <w:rsid w:val="007733B3"/>
    <w:rsid w:val="00773778"/>
    <w:rsid w:val="00774D25"/>
    <w:rsid w:val="0077519F"/>
    <w:rsid w:val="00776080"/>
    <w:rsid w:val="0077631B"/>
    <w:rsid w:val="00776503"/>
    <w:rsid w:val="007765FF"/>
    <w:rsid w:val="00776AC4"/>
    <w:rsid w:val="00776FBD"/>
    <w:rsid w:val="007771C2"/>
    <w:rsid w:val="00777941"/>
    <w:rsid w:val="00780347"/>
    <w:rsid w:val="007803FC"/>
    <w:rsid w:val="00780DEA"/>
    <w:rsid w:val="007823FF"/>
    <w:rsid w:val="00782532"/>
    <w:rsid w:val="007825DD"/>
    <w:rsid w:val="00783CD8"/>
    <w:rsid w:val="00783F8A"/>
    <w:rsid w:val="00784038"/>
    <w:rsid w:val="00784774"/>
    <w:rsid w:val="00784DB5"/>
    <w:rsid w:val="00784EEB"/>
    <w:rsid w:val="00785412"/>
    <w:rsid w:val="00785B61"/>
    <w:rsid w:val="00787BB0"/>
    <w:rsid w:val="0079001F"/>
    <w:rsid w:val="007906CD"/>
    <w:rsid w:val="00790BA2"/>
    <w:rsid w:val="00790DDF"/>
    <w:rsid w:val="00790F2E"/>
    <w:rsid w:val="00791434"/>
    <w:rsid w:val="00791D00"/>
    <w:rsid w:val="007922FE"/>
    <w:rsid w:val="00792F5D"/>
    <w:rsid w:val="00794359"/>
    <w:rsid w:val="007952BD"/>
    <w:rsid w:val="007957E0"/>
    <w:rsid w:val="00795BE9"/>
    <w:rsid w:val="00796527"/>
    <w:rsid w:val="007965F6"/>
    <w:rsid w:val="007A108F"/>
    <w:rsid w:val="007A13EB"/>
    <w:rsid w:val="007A259A"/>
    <w:rsid w:val="007A25A9"/>
    <w:rsid w:val="007A26B2"/>
    <w:rsid w:val="007A285F"/>
    <w:rsid w:val="007A2A70"/>
    <w:rsid w:val="007A3C6F"/>
    <w:rsid w:val="007A4450"/>
    <w:rsid w:val="007A4A5C"/>
    <w:rsid w:val="007A5042"/>
    <w:rsid w:val="007A6086"/>
    <w:rsid w:val="007A60F3"/>
    <w:rsid w:val="007A7368"/>
    <w:rsid w:val="007A7B85"/>
    <w:rsid w:val="007B0EC8"/>
    <w:rsid w:val="007B20B7"/>
    <w:rsid w:val="007B2BC7"/>
    <w:rsid w:val="007B380D"/>
    <w:rsid w:val="007B5EAE"/>
    <w:rsid w:val="007B5FEB"/>
    <w:rsid w:val="007B714B"/>
    <w:rsid w:val="007B7DFA"/>
    <w:rsid w:val="007C0436"/>
    <w:rsid w:val="007C094D"/>
    <w:rsid w:val="007C0BED"/>
    <w:rsid w:val="007C1479"/>
    <w:rsid w:val="007C2D55"/>
    <w:rsid w:val="007C3042"/>
    <w:rsid w:val="007C49A2"/>
    <w:rsid w:val="007C5418"/>
    <w:rsid w:val="007C5820"/>
    <w:rsid w:val="007C63D9"/>
    <w:rsid w:val="007C6DE0"/>
    <w:rsid w:val="007C74DD"/>
    <w:rsid w:val="007C78B5"/>
    <w:rsid w:val="007C792D"/>
    <w:rsid w:val="007D0ABB"/>
    <w:rsid w:val="007D1621"/>
    <w:rsid w:val="007D1C5D"/>
    <w:rsid w:val="007D269C"/>
    <w:rsid w:val="007D2920"/>
    <w:rsid w:val="007D2AC6"/>
    <w:rsid w:val="007D38E1"/>
    <w:rsid w:val="007D390C"/>
    <w:rsid w:val="007D435E"/>
    <w:rsid w:val="007D5B62"/>
    <w:rsid w:val="007D5DD5"/>
    <w:rsid w:val="007E021B"/>
    <w:rsid w:val="007E02D9"/>
    <w:rsid w:val="007E0EB6"/>
    <w:rsid w:val="007E2D79"/>
    <w:rsid w:val="007E3067"/>
    <w:rsid w:val="007E3104"/>
    <w:rsid w:val="007E3267"/>
    <w:rsid w:val="007E3F29"/>
    <w:rsid w:val="007E4989"/>
    <w:rsid w:val="007E4BA9"/>
    <w:rsid w:val="007E4E7F"/>
    <w:rsid w:val="007E5DD5"/>
    <w:rsid w:val="007E67C0"/>
    <w:rsid w:val="007E6E69"/>
    <w:rsid w:val="007E6E76"/>
    <w:rsid w:val="007E765E"/>
    <w:rsid w:val="007E7E19"/>
    <w:rsid w:val="007F0CE5"/>
    <w:rsid w:val="007F1422"/>
    <w:rsid w:val="007F17AE"/>
    <w:rsid w:val="007F1DFE"/>
    <w:rsid w:val="007F2369"/>
    <w:rsid w:val="007F257C"/>
    <w:rsid w:val="007F3178"/>
    <w:rsid w:val="007F38B5"/>
    <w:rsid w:val="007F41AD"/>
    <w:rsid w:val="007F4411"/>
    <w:rsid w:val="007F5705"/>
    <w:rsid w:val="007F69B0"/>
    <w:rsid w:val="007F7024"/>
    <w:rsid w:val="007F742E"/>
    <w:rsid w:val="007F79F0"/>
    <w:rsid w:val="00800B91"/>
    <w:rsid w:val="0080128D"/>
    <w:rsid w:val="008013C3"/>
    <w:rsid w:val="00801820"/>
    <w:rsid w:val="0080197E"/>
    <w:rsid w:val="008028C0"/>
    <w:rsid w:val="00802ACC"/>
    <w:rsid w:val="008040DD"/>
    <w:rsid w:val="008047E5"/>
    <w:rsid w:val="00804EAC"/>
    <w:rsid w:val="008062FD"/>
    <w:rsid w:val="00806782"/>
    <w:rsid w:val="0080751B"/>
    <w:rsid w:val="00810321"/>
    <w:rsid w:val="008109E2"/>
    <w:rsid w:val="00810C2D"/>
    <w:rsid w:val="008111EE"/>
    <w:rsid w:val="008113D4"/>
    <w:rsid w:val="00813984"/>
    <w:rsid w:val="00814AAA"/>
    <w:rsid w:val="008152D6"/>
    <w:rsid w:val="00815564"/>
    <w:rsid w:val="00815DFD"/>
    <w:rsid w:val="00816932"/>
    <w:rsid w:val="00816CA1"/>
    <w:rsid w:val="0081709A"/>
    <w:rsid w:val="008172CC"/>
    <w:rsid w:val="00817432"/>
    <w:rsid w:val="00817CC0"/>
    <w:rsid w:val="00817FB3"/>
    <w:rsid w:val="008200EB"/>
    <w:rsid w:val="00821AB2"/>
    <w:rsid w:val="008222B5"/>
    <w:rsid w:val="00822A21"/>
    <w:rsid w:val="008252F9"/>
    <w:rsid w:val="00825CAA"/>
    <w:rsid w:val="008271BB"/>
    <w:rsid w:val="00827870"/>
    <w:rsid w:val="00827CA9"/>
    <w:rsid w:val="00827D5F"/>
    <w:rsid w:val="0083029F"/>
    <w:rsid w:val="0083038C"/>
    <w:rsid w:val="00831D3E"/>
    <w:rsid w:val="00832854"/>
    <w:rsid w:val="00833118"/>
    <w:rsid w:val="00833C58"/>
    <w:rsid w:val="00834756"/>
    <w:rsid w:val="00835C2E"/>
    <w:rsid w:val="00835DDF"/>
    <w:rsid w:val="008377E1"/>
    <w:rsid w:val="00840C01"/>
    <w:rsid w:val="008411C1"/>
    <w:rsid w:val="008411D8"/>
    <w:rsid w:val="008419C9"/>
    <w:rsid w:val="00842130"/>
    <w:rsid w:val="0084228E"/>
    <w:rsid w:val="00843D38"/>
    <w:rsid w:val="008441E6"/>
    <w:rsid w:val="00844931"/>
    <w:rsid w:val="008449D0"/>
    <w:rsid w:val="00845744"/>
    <w:rsid w:val="00845BAC"/>
    <w:rsid w:val="00846BA8"/>
    <w:rsid w:val="00847405"/>
    <w:rsid w:val="00847A65"/>
    <w:rsid w:val="00847CE4"/>
    <w:rsid w:val="00847F11"/>
    <w:rsid w:val="0085137C"/>
    <w:rsid w:val="008518E0"/>
    <w:rsid w:val="00851DB0"/>
    <w:rsid w:val="008539AE"/>
    <w:rsid w:val="00855055"/>
    <w:rsid w:val="00855B7E"/>
    <w:rsid w:val="008560AE"/>
    <w:rsid w:val="00856DDA"/>
    <w:rsid w:val="00856EA3"/>
    <w:rsid w:val="008571A3"/>
    <w:rsid w:val="008571EF"/>
    <w:rsid w:val="0085750C"/>
    <w:rsid w:val="00862E48"/>
    <w:rsid w:val="008638D3"/>
    <w:rsid w:val="00863D87"/>
    <w:rsid w:val="008644C7"/>
    <w:rsid w:val="008644E4"/>
    <w:rsid w:val="00864DD1"/>
    <w:rsid w:val="0086510A"/>
    <w:rsid w:val="00865AD1"/>
    <w:rsid w:val="00865E54"/>
    <w:rsid w:val="00866919"/>
    <w:rsid w:val="00866BA7"/>
    <w:rsid w:val="008672CA"/>
    <w:rsid w:val="00870D1C"/>
    <w:rsid w:val="00871A29"/>
    <w:rsid w:val="00871E66"/>
    <w:rsid w:val="00873A1B"/>
    <w:rsid w:val="00873F37"/>
    <w:rsid w:val="008743C4"/>
    <w:rsid w:val="00874A2C"/>
    <w:rsid w:val="00874DE3"/>
    <w:rsid w:val="00875970"/>
    <w:rsid w:val="00875BFD"/>
    <w:rsid w:val="008765EE"/>
    <w:rsid w:val="00876C14"/>
    <w:rsid w:val="00877015"/>
    <w:rsid w:val="008775D4"/>
    <w:rsid w:val="00877C3D"/>
    <w:rsid w:val="00880325"/>
    <w:rsid w:val="0088064A"/>
    <w:rsid w:val="00881517"/>
    <w:rsid w:val="008815B0"/>
    <w:rsid w:val="00882023"/>
    <w:rsid w:val="00882326"/>
    <w:rsid w:val="008832A8"/>
    <w:rsid w:val="008833F9"/>
    <w:rsid w:val="0088456D"/>
    <w:rsid w:val="00884A70"/>
    <w:rsid w:val="00885206"/>
    <w:rsid w:val="008853B1"/>
    <w:rsid w:val="0088641D"/>
    <w:rsid w:val="00886C94"/>
    <w:rsid w:val="008871FA"/>
    <w:rsid w:val="0088723D"/>
    <w:rsid w:val="00890A33"/>
    <w:rsid w:val="00891DB3"/>
    <w:rsid w:val="00892064"/>
    <w:rsid w:val="00892C37"/>
    <w:rsid w:val="0089333E"/>
    <w:rsid w:val="0089334E"/>
    <w:rsid w:val="00894024"/>
    <w:rsid w:val="00894085"/>
    <w:rsid w:val="00894A62"/>
    <w:rsid w:val="00895639"/>
    <w:rsid w:val="00895E81"/>
    <w:rsid w:val="00896461"/>
    <w:rsid w:val="008965AC"/>
    <w:rsid w:val="0089665D"/>
    <w:rsid w:val="008969DB"/>
    <w:rsid w:val="00896BD2"/>
    <w:rsid w:val="008A0183"/>
    <w:rsid w:val="008A1E45"/>
    <w:rsid w:val="008A25DF"/>
    <w:rsid w:val="008A2A72"/>
    <w:rsid w:val="008A3865"/>
    <w:rsid w:val="008A3CC3"/>
    <w:rsid w:val="008A4020"/>
    <w:rsid w:val="008A66AD"/>
    <w:rsid w:val="008A6DD4"/>
    <w:rsid w:val="008A70A8"/>
    <w:rsid w:val="008A7B04"/>
    <w:rsid w:val="008B0150"/>
    <w:rsid w:val="008B0508"/>
    <w:rsid w:val="008B0F05"/>
    <w:rsid w:val="008B19DF"/>
    <w:rsid w:val="008B28A9"/>
    <w:rsid w:val="008B38E0"/>
    <w:rsid w:val="008B3AA0"/>
    <w:rsid w:val="008B44F6"/>
    <w:rsid w:val="008B4904"/>
    <w:rsid w:val="008B4FDB"/>
    <w:rsid w:val="008B7A9C"/>
    <w:rsid w:val="008B7AE0"/>
    <w:rsid w:val="008C02E5"/>
    <w:rsid w:val="008C06D3"/>
    <w:rsid w:val="008C0AA3"/>
    <w:rsid w:val="008C0CCE"/>
    <w:rsid w:val="008C0E36"/>
    <w:rsid w:val="008C1104"/>
    <w:rsid w:val="008C133B"/>
    <w:rsid w:val="008C1845"/>
    <w:rsid w:val="008C1A31"/>
    <w:rsid w:val="008C3EB0"/>
    <w:rsid w:val="008C408C"/>
    <w:rsid w:val="008C4D9B"/>
    <w:rsid w:val="008C4EF0"/>
    <w:rsid w:val="008C541A"/>
    <w:rsid w:val="008C5C0B"/>
    <w:rsid w:val="008C5C42"/>
    <w:rsid w:val="008C633C"/>
    <w:rsid w:val="008C6BC5"/>
    <w:rsid w:val="008C6D89"/>
    <w:rsid w:val="008C6F08"/>
    <w:rsid w:val="008D09DD"/>
    <w:rsid w:val="008D211A"/>
    <w:rsid w:val="008D268E"/>
    <w:rsid w:val="008D3488"/>
    <w:rsid w:val="008D3512"/>
    <w:rsid w:val="008D3C79"/>
    <w:rsid w:val="008D4825"/>
    <w:rsid w:val="008D4A2A"/>
    <w:rsid w:val="008D4A4F"/>
    <w:rsid w:val="008D65A2"/>
    <w:rsid w:val="008D672D"/>
    <w:rsid w:val="008D68AD"/>
    <w:rsid w:val="008D785F"/>
    <w:rsid w:val="008D7910"/>
    <w:rsid w:val="008E0526"/>
    <w:rsid w:val="008E0F1B"/>
    <w:rsid w:val="008E13D0"/>
    <w:rsid w:val="008E3D2F"/>
    <w:rsid w:val="008E44AC"/>
    <w:rsid w:val="008E4A1D"/>
    <w:rsid w:val="008E5856"/>
    <w:rsid w:val="008E5B38"/>
    <w:rsid w:val="008E6A43"/>
    <w:rsid w:val="008E6D5F"/>
    <w:rsid w:val="008E6DD9"/>
    <w:rsid w:val="008E6FEF"/>
    <w:rsid w:val="008F17EF"/>
    <w:rsid w:val="008F1F63"/>
    <w:rsid w:val="008F25B1"/>
    <w:rsid w:val="008F3516"/>
    <w:rsid w:val="008F4C0F"/>
    <w:rsid w:val="008F54F6"/>
    <w:rsid w:val="008F5AC8"/>
    <w:rsid w:val="008F5B1B"/>
    <w:rsid w:val="008F5BD8"/>
    <w:rsid w:val="008F5DCB"/>
    <w:rsid w:val="008F60C6"/>
    <w:rsid w:val="008F617D"/>
    <w:rsid w:val="008F6452"/>
    <w:rsid w:val="008F6661"/>
    <w:rsid w:val="008F6C26"/>
    <w:rsid w:val="008F6DDE"/>
    <w:rsid w:val="008F755F"/>
    <w:rsid w:val="008F7DC1"/>
    <w:rsid w:val="008F7F91"/>
    <w:rsid w:val="009001EA"/>
    <w:rsid w:val="00900356"/>
    <w:rsid w:val="0090131F"/>
    <w:rsid w:val="0090142A"/>
    <w:rsid w:val="009014C3"/>
    <w:rsid w:val="009051E3"/>
    <w:rsid w:val="0090566C"/>
    <w:rsid w:val="00905E3E"/>
    <w:rsid w:val="00906596"/>
    <w:rsid w:val="0090673C"/>
    <w:rsid w:val="00907918"/>
    <w:rsid w:val="00907A15"/>
    <w:rsid w:val="0091001D"/>
    <w:rsid w:val="00911F39"/>
    <w:rsid w:val="00912540"/>
    <w:rsid w:val="0091317F"/>
    <w:rsid w:val="009133D4"/>
    <w:rsid w:val="00913BEB"/>
    <w:rsid w:val="00913D6B"/>
    <w:rsid w:val="009152C2"/>
    <w:rsid w:val="00915870"/>
    <w:rsid w:val="009164F4"/>
    <w:rsid w:val="009165FE"/>
    <w:rsid w:val="009167CC"/>
    <w:rsid w:val="0091687A"/>
    <w:rsid w:val="0091769B"/>
    <w:rsid w:val="00917926"/>
    <w:rsid w:val="00917C0B"/>
    <w:rsid w:val="00920199"/>
    <w:rsid w:val="0092110A"/>
    <w:rsid w:val="00921372"/>
    <w:rsid w:val="009215E5"/>
    <w:rsid w:val="00922092"/>
    <w:rsid w:val="009223F0"/>
    <w:rsid w:val="00922C6F"/>
    <w:rsid w:val="00922E79"/>
    <w:rsid w:val="00926349"/>
    <w:rsid w:val="009269AB"/>
    <w:rsid w:val="00926BDD"/>
    <w:rsid w:val="00927438"/>
    <w:rsid w:val="00927D99"/>
    <w:rsid w:val="00932576"/>
    <w:rsid w:val="009329AB"/>
    <w:rsid w:val="00933214"/>
    <w:rsid w:val="009334C7"/>
    <w:rsid w:val="00933FEA"/>
    <w:rsid w:val="00934027"/>
    <w:rsid w:val="009356DF"/>
    <w:rsid w:val="00936E16"/>
    <w:rsid w:val="0094020F"/>
    <w:rsid w:val="0094081D"/>
    <w:rsid w:val="009410D1"/>
    <w:rsid w:val="009416C6"/>
    <w:rsid w:val="00941948"/>
    <w:rsid w:val="0094219A"/>
    <w:rsid w:val="0094261C"/>
    <w:rsid w:val="00942A5E"/>
    <w:rsid w:val="0094357E"/>
    <w:rsid w:val="00943F8E"/>
    <w:rsid w:val="009459E2"/>
    <w:rsid w:val="00945FA2"/>
    <w:rsid w:val="00946F2A"/>
    <w:rsid w:val="00947032"/>
    <w:rsid w:val="009476C1"/>
    <w:rsid w:val="00950082"/>
    <w:rsid w:val="009502E3"/>
    <w:rsid w:val="0095032A"/>
    <w:rsid w:val="00950704"/>
    <w:rsid w:val="00950D25"/>
    <w:rsid w:val="00951E26"/>
    <w:rsid w:val="00952278"/>
    <w:rsid w:val="00952C10"/>
    <w:rsid w:val="00954056"/>
    <w:rsid w:val="009546ED"/>
    <w:rsid w:val="00954A91"/>
    <w:rsid w:val="00955A48"/>
    <w:rsid w:val="00955A8E"/>
    <w:rsid w:val="00956349"/>
    <w:rsid w:val="00956390"/>
    <w:rsid w:val="00956E85"/>
    <w:rsid w:val="0095796D"/>
    <w:rsid w:val="00957EC7"/>
    <w:rsid w:val="009600CE"/>
    <w:rsid w:val="0096081B"/>
    <w:rsid w:val="00960C34"/>
    <w:rsid w:val="00960D01"/>
    <w:rsid w:val="00960DA7"/>
    <w:rsid w:val="009611D5"/>
    <w:rsid w:val="00961541"/>
    <w:rsid w:val="00961994"/>
    <w:rsid w:val="009619EE"/>
    <w:rsid w:val="00961DDB"/>
    <w:rsid w:val="009621EF"/>
    <w:rsid w:val="00962B76"/>
    <w:rsid w:val="00965FA0"/>
    <w:rsid w:val="00966FED"/>
    <w:rsid w:val="00967201"/>
    <w:rsid w:val="00967C27"/>
    <w:rsid w:val="00970418"/>
    <w:rsid w:val="00970B15"/>
    <w:rsid w:val="00970C75"/>
    <w:rsid w:val="00971AE0"/>
    <w:rsid w:val="0097330F"/>
    <w:rsid w:val="00973434"/>
    <w:rsid w:val="00973A0E"/>
    <w:rsid w:val="00974726"/>
    <w:rsid w:val="0097481A"/>
    <w:rsid w:val="00975449"/>
    <w:rsid w:val="0097564C"/>
    <w:rsid w:val="00975FAD"/>
    <w:rsid w:val="00976298"/>
    <w:rsid w:val="00976FA5"/>
    <w:rsid w:val="009773B0"/>
    <w:rsid w:val="00980BE4"/>
    <w:rsid w:val="009812C6"/>
    <w:rsid w:val="009815B3"/>
    <w:rsid w:val="00981949"/>
    <w:rsid w:val="00981A61"/>
    <w:rsid w:val="00982006"/>
    <w:rsid w:val="009823F7"/>
    <w:rsid w:val="009826B8"/>
    <w:rsid w:val="0098368B"/>
    <w:rsid w:val="00983EAE"/>
    <w:rsid w:val="009842EE"/>
    <w:rsid w:val="00985311"/>
    <w:rsid w:val="0098621A"/>
    <w:rsid w:val="0098707A"/>
    <w:rsid w:val="009874C8"/>
    <w:rsid w:val="00987578"/>
    <w:rsid w:val="00987A03"/>
    <w:rsid w:val="00987A59"/>
    <w:rsid w:val="00990127"/>
    <w:rsid w:val="00991874"/>
    <w:rsid w:val="00993503"/>
    <w:rsid w:val="00994D8B"/>
    <w:rsid w:val="00994E41"/>
    <w:rsid w:val="00995B3D"/>
    <w:rsid w:val="0099678C"/>
    <w:rsid w:val="00996E45"/>
    <w:rsid w:val="0099709E"/>
    <w:rsid w:val="009971D6"/>
    <w:rsid w:val="00997245"/>
    <w:rsid w:val="00997E18"/>
    <w:rsid w:val="009A01C1"/>
    <w:rsid w:val="009A0220"/>
    <w:rsid w:val="009A0869"/>
    <w:rsid w:val="009A2A29"/>
    <w:rsid w:val="009A2F56"/>
    <w:rsid w:val="009A30D7"/>
    <w:rsid w:val="009A408A"/>
    <w:rsid w:val="009A4309"/>
    <w:rsid w:val="009A43ED"/>
    <w:rsid w:val="009A441C"/>
    <w:rsid w:val="009A54B3"/>
    <w:rsid w:val="009A553D"/>
    <w:rsid w:val="009A56C8"/>
    <w:rsid w:val="009A5AD4"/>
    <w:rsid w:val="009A66AB"/>
    <w:rsid w:val="009A731E"/>
    <w:rsid w:val="009A7702"/>
    <w:rsid w:val="009B01CC"/>
    <w:rsid w:val="009B05FE"/>
    <w:rsid w:val="009B0876"/>
    <w:rsid w:val="009B18C2"/>
    <w:rsid w:val="009B2953"/>
    <w:rsid w:val="009B317A"/>
    <w:rsid w:val="009B387A"/>
    <w:rsid w:val="009B393A"/>
    <w:rsid w:val="009B39CA"/>
    <w:rsid w:val="009B3EA7"/>
    <w:rsid w:val="009B4CDC"/>
    <w:rsid w:val="009B550A"/>
    <w:rsid w:val="009B582A"/>
    <w:rsid w:val="009B5D11"/>
    <w:rsid w:val="009B702D"/>
    <w:rsid w:val="009B75BA"/>
    <w:rsid w:val="009B7B17"/>
    <w:rsid w:val="009C0630"/>
    <w:rsid w:val="009C0B88"/>
    <w:rsid w:val="009C0CBA"/>
    <w:rsid w:val="009C1005"/>
    <w:rsid w:val="009C20DA"/>
    <w:rsid w:val="009C2C84"/>
    <w:rsid w:val="009C3476"/>
    <w:rsid w:val="009C489D"/>
    <w:rsid w:val="009C5BBB"/>
    <w:rsid w:val="009C64E1"/>
    <w:rsid w:val="009C65A7"/>
    <w:rsid w:val="009C6F37"/>
    <w:rsid w:val="009C792D"/>
    <w:rsid w:val="009C79A2"/>
    <w:rsid w:val="009D03A1"/>
    <w:rsid w:val="009D0FB3"/>
    <w:rsid w:val="009D1247"/>
    <w:rsid w:val="009D242B"/>
    <w:rsid w:val="009D29C6"/>
    <w:rsid w:val="009D2BE1"/>
    <w:rsid w:val="009D384B"/>
    <w:rsid w:val="009D59B6"/>
    <w:rsid w:val="009D5B7E"/>
    <w:rsid w:val="009D7097"/>
    <w:rsid w:val="009D723C"/>
    <w:rsid w:val="009D7C2F"/>
    <w:rsid w:val="009D7C93"/>
    <w:rsid w:val="009D7D20"/>
    <w:rsid w:val="009E1096"/>
    <w:rsid w:val="009E112E"/>
    <w:rsid w:val="009E2042"/>
    <w:rsid w:val="009E2CD4"/>
    <w:rsid w:val="009E2E5B"/>
    <w:rsid w:val="009E321E"/>
    <w:rsid w:val="009E369A"/>
    <w:rsid w:val="009E36D2"/>
    <w:rsid w:val="009E435A"/>
    <w:rsid w:val="009E614E"/>
    <w:rsid w:val="009E62D8"/>
    <w:rsid w:val="009E751B"/>
    <w:rsid w:val="009E7BAE"/>
    <w:rsid w:val="009E7E8A"/>
    <w:rsid w:val="009F00D6"/>
    <w:rsid w:val="009F0151"/>
    <w:rsid w:val="009F0476"/>
    <w:rsid w:val="009F0A87"/>
    <w:rsid w:val="009F0C3D"/>
    <w:rsid w:val="009F0DDE"/>
    <w:rsid w:val="009F1167"/>
    <w:rsid w:val="009F14F8"/>
    <w:rsid w:val="009F153B"/>
    <w:rsid w:val="009F188F"/>
    <w:rsid w:val="009F24D8"/>
    <w:rsid w:val="009F2D1E"/>
    <w:rsid w:val="009F38A2"/>
    <w:rsid w:val="009F4B1E"/>
    <w:rsid w:val="009F5275"/>
    <w:rsid w:val="009F5840"/>
    <w:rsid w:val="00A0077B"/>
    <w:rsid w:val="00A01E6C"/>
    <w:rsid w:val="00A02694"/>
    <w:rsid w:val="00A05AD4"/>
    <w:rsid w:val="00A05D42"/>
    <w:rsid w:val="00A05D55"/>
    <w:rsid w:val="00A061D8"/>
    <w:rsid w:val="00A06BCF"/>
    <w:rsid w:val="00A0748C"/>
    <w:rsid w:val="00A07B3C"/>
    <w:rsid w:val="00A11F92"/>
    <w:rsid w:val="00A120B3"/>
    <w:rsid w:val="00A12303"/>
    <w:rsid w:val="00A12A2F"/>
    <w:rsid w:val="00A12F6E"/>
    <w:rsid w:val="00A1305B"/>
    <w:rsid w:val="00A13D04"/>
    <w:rsid w:val="00A17ADB"/>
    <w:rsid w:val="00A204ED"/>
    <w:rsid w:val="00A20B70"/>
    <w:rsid w:val="00A214B3"/>
    <w:rsid w:val="00A22340"/>
    <w:rsid w:val="00A22DFD"/>
    <w:rsid w:val="00A22F2F"/>
    <w:rsid w:val="00A23431"/>
    <w:rsid w:val="00A23D0A"/>
    <w:rsid w:val="00A23D81"/>
    <w:rsid w:val="00A249B7"/>
    <w:rsid w:val="00A24CD1"/>
    <w:rsid w:val="00A26A94"/>
    <w:rsid w:val="00A27261"/>
    <w:rsid w:val="00A272D6"/>
    <w:rsid w:val="00A27A69"/>
    <w:rsid w:val="00A30B0E"/>
    <w:rsid w:val="00A312C4"/>
    <w:rsid w:val="00A32D47"/>
    <w:rsid w:val="00A33610"/>
    <w:rsid w:val="00A337DF"/>
    <w:rsid w:val="00A33D7A"/>
    <w:rsid w:val="00A3491F"/>
    <w:rsid w:val="00A34E47"/>
    <w:rsid w:val="00A34E7E"/>
    <w:rsid w:val="00A3591D"/>
    <w:rsid w:val="00A360E7"/>
    <w:rsid w:val="00A3658F"/>
    <w:rsid w:val="00A36DD2"/>
    <w:rsid w:val="00A376C7"/>
    <w:rsid w:val="00A37AD5"/>
    <w:rsid w:val="00A37BAF"/>
    <w:rsid w:val="00A40131"/>
    <w:rsid w:val="00A4148B"/>
    <w:rsid w:val="00A423D3"/>
    <w:rsid w:val="00A4240B"/>
    <w:rsid w:val="00A42F62"/>
    <w:rsid w:val="00A43721"/>
    <w:rsid w:val="00A43986"/>
    <w:rsid w:val="00A44C62"/>
    <w:rsid w:val="00A455AE"/>
    <w:rsid w:val="00A45DAA"/>
    <w:rsid w:val="00A46B3C"/>
    <w:rsid w:val="00A473CE"/>
    <w:rsid w:val="00A47A01"/>
    <w:rsid w:val="00A50379"/>
    <w:rsid w:val="00A51FD8"/>
    <w:rsid w:val="00A5254E"/>
    <w:rsid w:val="00A525A7"/>
    <w:rsid w:val="00A536C1"/>
    <w:rsid w:val="00A537CB"/>
    <w:rsid w:val="00A5391B"/>
    <w:rsid w:val="00A54C7D"/>
    <w:rsid w:val="00A55117"/>
    <w:rsid w:val="00A55B89"/>
    <w:rsid w:val="00A55D96"/>
    <w:rsid w:val="00A564B3"/>
    <w:rsid w:val="00A56542"/>
    <w:rsid w:val="00A5672C"/>
    <w:rsid w:val="00A56806"/>
    <w:rsid w:val="00A56AA6"/>
    <w:rsid w:val="00A5753D"/>
    <w:rsid w:val="00A6098C"/>
    <w:rsid w:val="00A60EB1"/>
    <w:rsid w:val="00A615C0"/>
    <w:rsid w:val="00A6211D"/>
    <w:rsid w:val="00A62774"/>
    <w:rsid w:val="00A6281E"/>
    <w:rsid w:val="00A62B60"/>
    <w:rsid w:val="00A63C48"/>
    <w:rsid w:val="00A653DC"/>
    <w:rsid w:val="00A659DD"/>
    <w:rsid w:val="00A66C23"/>
    <w:rsid w:val="00A66DAD"/>
    <w:rsid w:val="00A66F47"/>
    <w:rsid w:val="00A67857"/>
    <w:rsid w:val="00A67D6A"/>
    <w:rsid w:val="00A67D95"/>
    <w:rsid w:val="00A70AC9"/>
    <w:rsid w:val="00A70F19"/>
    <w:rsid w:val="00A71F30"/>
    <w:rsid w:val="00A71F69"/>
    <w:rsid w:val="00A7215C"/>
    <w:rsid w:val="00A7377B"/>
    <w:rsid w:val="00A7391A"/>
    <w:rsid w:val="00A74C1D"/>
    <w:rsid w:val="00A74ECD"/>
    <w:rsid w:val="00A75ADC"/>
    <w:rsid w:val="00A76E29"/>
    <w:rsid w:val="00A771A1"/>
    <w:rsid w:val="00A77626"/>
    <w:rsid w:val="00A77638"/>
    <w:rsid w:val="00A7795E"/>
    <w:rsid w:val="00A8012F"/>
    <w:rsid w:val="00A80C92"/>
    <w:rsid w:val="00A80D8D"/>
    <w:rsid w:val="00A81688"/>
    <w:rsid w:val="00A821EA"/>
    <w:rsid w:val="00A83A44"/>
    <w:rsid w:val="00A8534C"/>
    <w:rsid w:val="00A8612F"/>
    <w:rsid w:val="00A86BC7"/>
    <w:rsid w:val="00A86F7A"/>
    <w:rsid w:val="00A87638"/>
    <w:rsid w:val="00A87A16"/>
    <w:rsid w:val="00A90005"/>
    <w:rsid w:val="00A90C92"/>
    <w:rsid w:val="00A90F6E"/>
    <w:rsid w:val="00A9101E"/>
    <w:rsid w:val="00A919A3"/>
    <w:rsid w:val="00A9258A"/>
    <w:rsid w:val="00A92D8A"/>
    <w:rsid w:val="00A9310D"/>
    <w:rsid w:val="00A93BAD"/>
    <w:rsid w:val="00A93E5C"/>
    <w:rsid w:val="00A94DD5"/>
    <w:rsid w:val="00A94E03"/>
    <w:rsid w:val="00A95AA8"/>
    <w:rsid w:val="00A95C40"/>
    <w:rsid w:val="00A96693"/>
    <w:rsid w:val="00A97357"/>
    <w:rsid w:val="00A97734"/>
    <w:rsid w:val="00AA1A22"/>
    <w:rsid w:val="00AA254F"/>
    <w:rsid w:val="00AA2A11"/>
    <w:rsid w:val="00AA2CEA"/>
    <w:rsid w:val="00AA373D"/>
    <w:rsid w:val="00AA39B4"/>
    <w:rsid w:val="00AA3A83"/>
    <w:rsid w:val="00AA3AD3"/>
    <w:rsid w:val="00AA5699"/>
    <w:rsid w:val="00AA5827"/>
    <w:rsid w:val="00AA5CF5"/>
    <w:rsid w:val="00AA771C"/>
    <w:rsid w:val="00AB0500"/>
    <w:rsid w:val="00AB0932"/>
    <w:rsid w:val="00AB138A"/>
    <w:rsid w:val="00AB25E3"/>
    <w:rsid w:val="00AB2DA3"/>
    <w:rsid w:val="00AB3055"/>
    <w:rsid w:val="00AB3501"/>
    <w:rsid w:val="00AB6D06"/>
    <w:rsid w:val="00AB78CC"/>
    <w:rsid w:val="00AB7929"/>
    <w:rsid w:val="00AB79EC"/>
    <w:rsid w:val="00AC0E5E"/>
    <w:rsid w:val="00AC1881"/>
    <w:rsid w:val="00AC19A9"/>
    <w:rsid w:val="00AC1A2E"/>
    <w:rsid w:val="00AC3156"/>
    <w:rsid w:val="00AC3361"/>
    <w:rsid w:val="00AC3495"/>
    <w:rsid w:val="00AC353E"/>
    <w:rsid w:val="00AC398C"/>
    <w:rsid w:val="00AC4270"/>
    <w:rsid w:val="00AC459E"/>
    <w:rsid w:val="00AC621F"/>
    <w:rsid w:val="00AD01B9"/>
    <w:rsid w:val="00AD0241"/>
    <w:rsid w:val="00AD0B10"/>
    <w:rsid w:val="00AD1306"/>
    <w:rsid w:val="00AD1754"/>
    <w:rsid w:val="00AD38FB"/>
    <w:rsid w:val="00AD40B8"/>
    <w:rsid w:val="00AD4554"/>
    <w:rsid w:val="00AD4F72"/>
    <w:rsid w:val="00AD64EE"/>
    <w:rsid w:val="00AE0933"/>
    <w:rsid w:val="00AE0CE2"/>
    <w:rsid w:val="00AE12DB"/>
    <w:rsid w:val="00AE1969"/>
    <w:rsid w:val="00AE19E0"/>
    <w:rsid w:val="00AE1B15"/>
    <w:rsid w:val="00AE2CE8"/>
    <w:rsid w:val="00AE3014"/>
    <w:rsid w:val="00AE3379"/>
    <w:rsid w:val="00AE4B65"/>
    <w:rsid w:val="00AE54FE"/>
    <w:rsid w:val="00AE5C37"/>
    <w:rsid w:val="00AE5E5C"/>
    <w:rsid w:val="00AE7348"/>
    <w:rsid w:val="00AE7B08"/>
    <w:rsid w:val="00AF07D5"/>
    <w:rsid w:val="00AF0CA4"/>
    <w:rsid w:val="00AF0D40"/>
    <w:rsid w:val="00AF0FBE"/>
    <w:rsid w:val="00AF1BF2"/>
    <w:rsid w:val="00AF1F27"/>
    <w:rsid w:val="00AF29E1"/>
    <w:rsid w:val="00AF3150"/>
    <w:rsid w:val="00AF3564"/>
    <w:rsid w:val="00AF4145"/>
    <w:rsid w:val="00AF49A8"/>
    <w:rsid w:val="00AF4CDD"/>
    <w:rsid w:val="00AF4E93"/>
    <w:rsid w:val="00AF517C"/>
    <w:rsid w:val="00AF5232"/>
    <w:rsid w:val="00AF6144"/>
    <w:rsid w:val="00AF6235"/>
    <w:rsid w:val="00AF700B"/>
    <w:rsid w:val="00B00A83"/>
    <w:rsid w:val="00B00BD7"/>
    <w:rsid w:val="00B00D17"/>
    <w:rsid w:val="00B00EAF"/>
    <w:rsid w:val="00B014BF"/>
    <w:rsid w:val="00B02393"/>
    <w:rsid w:val="00B025D1"/>
    <w:rsid w:val="00B02B53"/>
    <w:rsid w:val="00B04990"/>
    <w:rsid w:val="00B05CE9"/>
    <w:rsid w:val="00B06ADB"/>
    <w:rsid w:val="00B06F5C"/>
    <w:rsid w:val="00B071A6"/>
    <w:rsid w:val="00B07624"/>
    <w:rsid w:val="00B07B4C"/>
    <w:rsid w:val="00B07DFF"/>
    <w:rsid w:val="00B07EBB"/>
    <w:rsid w:val="00B07F92"/>
    <w:rsid w:val="00B10003"/>
    <w:rsid w:val="00B1041A"/>
    <w:rsid w:val="00B10D86"/>
    <w:rsid w:val="00B116CD"/>
    <w:rsid w:val="00B11787"/>
    <w:rsid w:val="00B11F23"/>
    <w:rsid w:val="00B1254F"/>
    <w:rsid w:val="00B12951"/>
    <w:rsid w:val="00B130A6"/>
    <w:rsid w:val="00B135AC"/>
    <w:rsid w:val="00B14A7F"/>
    <w:rsid w:val="00B14FCD"/>
    <w:rsid w:val="00B1525B"/>
    <w:rsid w:val="00B153AC"/>
    <w:rsid w:val="00B162BF"/>
    <w:rsid w:val="00B16ECC"/>
    <w:rsid w:val="00B170FF"/>
    <w:rsid w:val="00B20037"/>
    <w:rsid w:val="00B20429"/>
    <w:rsid w:val="00B20E64"/>
    <w:rsid w:val="00B211CD"/>
    <w:rsid w:val="00B23716"/>
    <w:rsid w:val="00B23CD6"/>
    <w:rsid w:val="00B24A5A"/>
    <w:rsid w:val="00B24BDD"/>
    <w:rsid w:val="00B24E7D"/>
    <w:rsid w:val="00B25648"/>
    <w:rsid w:val="00B25A80"/>
    <w:rsid w:val="00B25E54"/>
    <w:rsid w:val="00B2664B"/>
    <w:rsid w:val="00B269B2"/>
    <w:rsid w:val="00B272CB"/>
    <w:rsid w:val="00B30651"/>
    <w:rsid w:val="00B30E3F"/>
    <w:rsid w:val="00B31E8E"/>
    <w:rsid w:val="00B32017"/>
    <w:rsid w:val="00B321A2"/>
    <w:rsid w:val="00B321F9"/>
    <w:rsid w:val="00B3266C"/>
    <w:rsid w:val="00B32B48"/>
    <w:rsid w:val="00B33993"/>
    <w:rsid w:val="00B33EF1"/>
    <w:rsid w:val="00B346A4"/>
    <w:rsid w:val="00B347C3"/>
    <w:rsid w:val="00B34D2B"/>
    <w:rsid w:val="00B35482"/>
    <w:rsid w:val="00B356D4"/>
    <w:rsid w:val="00B35D01"/>
    <w:rsid w:val="00B36A83"/>
    <w:rsid w:val="00B36E23"/>
    <w:rsid w:val="00B372D4"/>
    <w:rsid w:val="00B37DA6"/>
    <w:rsid w:val="00B37E32"/>
    <w:rsid w:val="00B4032E"/>
    <w:rsid w:val="00B40F95"/>
    <w:rsid w:val="00B41E28"/>
    <w:rsid w:val="00B443B5"/>
    <w:rsid w:val="00B45709"/>
    <w:rsid w:val="00B45AEB"/>
    <w:rsid w:val="00B46021"/>
    <w:rsid w:val="00B465F1"/>
    <w:rsid w:val="00B46A42"/>
    <w:rsid w:val="00B46C7A"/>
    <w:rsid w:val="00B50E4E"/>
    <w:rsid w:val="00B5365B"/>
    <w:rsid w:val="00B54365"/>
    <w:rsid w:val="00B54B4A"/>
    <w:rsid w:val="00B54CFF"/>
    <w:rsid w:val="00B5551A"/>
    <w:rsid w:val="00B557F8"/>
    <w:rsid w:val="00B55B5E"/>
    <w:rsid w:val="00B55B68"/>
    <w:rsid w:val="00B56889"/>
    <w:rsid w:val="00B570C4"/>
    <w:rsid w:val="00B571B6"/>
    <w:rsid w:val="00B57286"/>
    <w:rsid w:val="00B57955"/>
    <w:rsid w:val="00B605C7"/>
    <w:rsid w:val="00B605FD"/>
    <w:rsid w:val="00B62E4C"/>
    <w:rsid w:val="00B632B5"/>
    <w:rsid w:val="00B63A39"/>
    <w:rsid w:val="00B6472C"/>
    <w:rsid w:val="00B6492D"/>
    <w:rsid w:val="00B64A96"/>
    <w:rsid w:val="00B64D29"/>
    <w:rsid w:val="00B6609F"/>
    <w:rsid w:val="00B6660E"/>
    <w:rsid w:val="00B66779"/>
    <w:rsid w:val="00B67B15"/>
    <w:rsid w:val="00B70702"/>
    <w:rsid w:val="00B716EB"/>
    <w:rsid w:val="00B7274A"/>
    <w:rsid w:val="00B7316E"/>
    <w:rsid w:val="00B734EE"/>
    <w:rsid w:val="00B73510"/>
    <w:rsid w:val="00B7427B"/>
    <w:rsid w:val="00B775BB"/>
    <w:rsid w:val="00B77B20"/>
    <w:rsid w:val="00B80900"/>
    <w:rsid w:val="00B80F78"/>
    <w:rsid w:val="00B81D1C"/>
    <w:rsid w:val="00B82231"/>
    <w:rsid w:val="00B823AE"/>
    <w:rsid w:val="00B845DF"/>
    <w:rsid w:val="00B84829"/>
    <w:rsid w:val="00B84E5D"/>
    <w:rsid w:val="00B84F4A"/>
    <w:rsid w:val="00B871A5"/>
    <w:rsid w:val="00B87B4E"/>
    <w:rsid w:val="00B903B9"/>
    <w:rsid w:val="00B91DAD"/>
    <w:rsid w:val="00B92388"/>
    <w:rsid w:val="00B92931"/>
    <w:rsid w:val="00B92F08"/>
    <w:rsid w:val="00B9316A"/>
    <w:rsid w:val="00B933F9"/>
    <w:rsid w:val="00B93A84"/>
    <w:rsid w:val="00B93EDC"/>
    <w:rsid w:val="00B94B6B"/>
    <w:rsid w:val="00B9524E"/>
    <w:rsid w:val="00B97004"/>
    <w:rsid w:val="00B97407"/>
    <w:rsid w:val="00B97AA1"/>
    <w:rsid w:val="00BA00CA"/>
    <w:rsid w:val="00BA058B"/>
    <w:rsid w:val="00BA07DA"/>
    <w:rsid w:val="00BA1A81"/>
    <w:rsid w:val="00BA2795"/>
    <w:rsid w:val="00BA4051"/>
    <w:rsid w:val="00BA4A75"/>
    <w:rsid w:val="00BA4D32"/>
    <w:rsid w:val="00BA52F4"/>
    <w:rsid w:val="00BA592B"/>
    <w:rsid w:val="00BA592C"/>
    <w:rsid w:val="00BA5F50"/>
    <w:rsid w:val="00BA6056"/>
    <w:rsid w:val="00BA64C3"/>
    <w:rsid w:val="00BA69CE"/>
    <w:rsid w:val="00BA6F65"/>
    <w:rsid w:val="00BA73ED"/>
    <w:rsid w:val="00BA7D53"/>
    <w:rsid w:val="00BA7E2E"/>
    <w:rsid w:val="00BA7E50"/>
    <w:rsid w:val="00BA7EC7"/>
    <w:rsid w:val="00BB000C"/>
    <w:rsid w:val="00BB00B4"/>
    <w:rsid w:val="00BB0912"/>
    <w:rsid w:val="00BB0B96"/>
    <w:rsid w:val="00BB1318"/>
    <w:rsid w:val="00BB1394"/>
    <w:rsid w:val="00BB3C80"/>
    <w:rsid w:val="00BB3D6C"/>
    <w:rsid w:val="00BB4FC1"/>
    <w:rsid w:val="00BB52EC"/>
    <w:rsid w:val="00BB5BF6"/>
    <w:rsid w:val="00BB6134"/>
    <w:rsid w:val="00BB6A3B"/>
    <w:rsid w:val="00BB6B04"/>
    <w:rsid w:val="00BB6C67"/>
    <w:rsid w:val="00BB7B7A"/>
    <w:rsid w:val="00BB7C28"/>
    <w:rsid w:val="00BB7E1D"/>
    <w:rsid w:val="00BB7F9F"/>
    <w:rsid w:val="00BC03E6"/>
    <w:rsid w:val="00BC0535"/>
    <w:rsid w:val="00BC0EE4"/>
    <w:rsid w:val="00BC1177"/>
    <w:rsid w:val="00BC17D6"/>
    <w:rsid w:val="00BC1C24"/>
    <w:rsid w:val="00BC289E"/>
    <w:rsid w:val="00BC2975"/>
    <w:rsid w:val="00BC2A14"/>
    <w:rsid w:val="00BC539A"/>
    <w:rsid w:val="00BC54AD"/>
    <w:rsid w:val="00BC6EEF"/>
    <w:rsid w:val="00BC7775"/>
    <w:rsid w:val="00BD0C35"/>
    <w:rsid w:val="00BD0D18"/>
    <w:rsid w:val="00BD1F54"/>
    <w:rsid w:val="00BD3113"/>
    <w:rsid w:val="00BD3476"/>
    <w:rsid w:val="00BD3E03"/>
    <w:rsid w:val="00BD4038"/>
    <w:rsid w:val="00BD42A9"/>
    <w:rsid w:val="00BD4456"/>
    <w:rsid w:val="00BD5096"/>
    <w:rsid w:val="00BD55FE"/>
    <w:rsid w:val="00BD5E9A"/>
    <w:rsid w:val="00BD7B2F"/>
    <w:rsid w:val="00BE0A42"/>
    <w:rsid w:val="00BE195B"/>
    <w:rsid w:val="00BE1DAC"/>
    <w:rsid w:val="00BE243E"/>
    <w:rsid w:val="00BE2600"/>
    <w:rsid w:val="00BE3479"/>
    <w:rsid w:val="00BE3942"/>
    <w:rsid w:val="00BE3F24"/>
    <w:rsid w:val="00BE468D"/>
    <w:rsid w:val="00BE4E3B"/>
    <w:rsid w:val="00BE5968"/>
    <w:rsid w:val="00BE6273"/>
    <w:rsid w:val="00BE714C"/>
    <w:rsid w:val="00BE7559"/>
    <w:rsid w:val="00BE7C80"/>
    <w:rsid w:val="00BE7EA2"/>
    <w:rsid w:val="00BF0C6E"/>
    <w:rsid w:val="00BF1829"/>
    <w:rsid w:val="00BF1A7A"/>
    <w:rsid w:val="00BF2438"/>
    <w:rsid w:val="00BF24B7"/>
    <w:rsid w:val="00BF250A"/>
    <w:rsid w:val="00BF3067"/>
    <w:rsid w:val="00BF31F8"/>
    <w:rsid w:val="00BF37E4"/>
    <w:rsid w:val="00BF3ABB"/>
    <w:rsid w:val="00BF498A"/>
    <w:rsid w:val="00BF4BB9"/>
    <w:rsid w:val="00BF4C56"/>
    <w:rsid w:val="00BF5B11"/>
    <w:rsid w:val="00BF5EEE"/>
    <w:rsid w:val="00BF6225"/>
    <w:rsid w:val="00BF6FDD"/>
    <w:rsid w:val="00BF7BC7"/>
    <w:rsid w:val="00C01811"/>
    <w:rsid w:val="00C02371"/>
    <w:rsid w:val="00C02833"/>
    <w:rsid w:val="00C036F6"/>
    <w:rsid w:val="00C03C51"/>
    <w:rsid w:val="00C03C9A"/>
    <w:rsid w:val="00C04A41"/>
    <w:rsid w:val="00C04DEF"/>
    <w:rsid w:val="00C06473"/>
    <w:rsid w:val="00C06F59"/>
    <w:rsid w:val="00C07133"/>
    <w:rsid w:val="00C071D0"/>
    <w:rsid w:val="00C1087F"/>
    <w:rsid w:val="00C11720"/>
    <w:rsid w:val="00C12BB0"/>
    <w:rsid w:val="00C1468F"/>
    <w:rsid w:val="00C15079"/>
    <w:rsid w:val="00C15CD0"/>
    <w:rsid w:val="00C16D0C"/>
    <w:rsid w:val="00C17D94"/>
    <w:rsid w:val="00C17E21"/>
    <w:rsid w:val="00C2086B"/>
    <w:rsid w:val="00C20B8A"/>
    <w:rsid w:val="00C21F40"/>
    <w:rsid w:val="00C22A45"/>
    <w:rsid w:val="00C23339"/>
    <w:rsid w:val="00C2346B"/>
    <w:rsid w:val="00C23D7F"/>
    <w:rsid w:val="00C2406E"/>
    <w:rsid w:val="00C24321"/>
    <w:rsid w:val="00C24AEC"/>
    <w:rsid w:val="00C25A35"/>
    <w:rsid w:val="00C26EA9"/>
    <w:rsid w:val="00C30B35"/>
    <w:rsid w:val="00C3256B"/>
    <w:rsid w:val="00C33933"/>
    <w:rsid w:val="00C34C6E"/>
    <w:rsid w:val="00C372B1"/>
    <w:rsid w:val="00C379DB"/>
    <w:rsid w:val="00C37E8B"/>
    <w:rsid w:val="00C40C60"/>
    <w:rsid w:val="00C40E03"/>
    <w:rsid w:val="00C41E23"/>
    <w:rsid w:val="00C4242D"/>
    <w:rsid w:val="00C431D5"/>
    <w:rsid w:val="00C43275"/>
    <w:rsid w:val="00C4329A"/>
    <w:rsid w:val="00C437AE"/>
    <w:rsid w:val="00C437FD"/>
    <w:rsid w:val="00C4408C"/>
    <w:rsid w:val="00C4448F"/>
    <w:rsid w:val="00C445DC"/>
    <w:rsid w:val="00C448B6"/>
    <w:rsid w:val="00C45300"/>
    <w:rsid w:val="00C459F8"/>
    <w:rsid w:val="00C45F82"/>
    <w:rsid w:val="00C46595"/>
    <w:rsid w:val="00C466F3"/>
    <w:rsid w:val="00C468C6"/>
    <w:rsid w:val="00C4746A"/>
    <w:rsid w:val="00C5010B"/>
    <w:rsid w:val="00C50E7E"/>
    <w:rsid w:val="00C5154E"/>
    <w:rsid w:val="00C52625"/>
    <w:rsid w:val="00C52675"/>
    <w:rsid w:val="00C52D0D"/>
    <w:rsid w:val="00C52DED"/>
    <w:rsid w:val="00C52EC2"/>
    <w:rsid w:val="00C5347A"/>
    <w:rsid w:val="00C53F91"/>
    <w:rsid w:val="00C54943"/>
    <w:rsid w:val="00C54E24"/>
    <w:rsid w:val="00C5595E"/>
    <w:rsid w:val="00C56EA5"/>
    <w:rsid w:val="00C571D0"/>
    <w:rsid w:val="00C6021C"/>
    <w:rsid w:val="00C60B81"/>
    <w:rsid w:val="00C60FC1"/>
    <w:rsid w:val="00C6122C"/>
    <w:rsid w:val="00C61407"/>
    <w:rsid w:val="00C622DA"/>
    <w:rsid w:val="00C62684"/>
    <w:rsid w:val="00C6283F"/>
    <w:rsid w:val="00C62BDD"/>
    <w:rsid w:val="00C62FFC"/>
    <w:rsid w:val="00C63401"/>
    <w:rsid w:val="00C6382C"/>
    <w:rsid w:val="00C63C5A"/>
    <w:rsid w:val="00C64B3B"/>
    <w:rsid w:val="00C65002"/>
    <w:rsid w:val="00C65DCA"/>
    <w:rsid w:val="00C65ED3"/>
    <w:rsid w:val="00C661DF"/>
    <w:rsid w:val="00C66B4B"/>
    <w:rsid w:val="00C7024A"/>
    <w:rsid w:val="00C70AC8"/>
    <w:rsid w:val="00C70D4E"/>
    <w:rsid w:val="00C70EA6"/>
    <w:rsid w:val="00C71135"/>
    <w:rsid w:val="00C7137F"/>
    <w:rsid w:val="00C71F18"/>
    <w:rsid w:val="00C73AD9"/>
    <w:rsid w:val="00C746F3"/>
    <w:rsid w:val="00C74AEC"/>
    <w:rsid w:val="00C74D40"/>
    <w:rsid w:val="00C75033"/>
    <w:rsid w:val="00C750E5"/>
    <w:rsid w:val="00C752F5"/>
    <w:rsid w:val="00C7647C"/>
    <w:rsid w:val="00C779EE"/>
    <w:rsid w:val="00C8049A"/>
    <w:rsid w:val="00C80DBE"/>
    <w:rsid w:val="00C80FCD"/>
    <w:rsid w:val="00C817F6"/>
    <w:rsid w:val="00C82476"/>
    <w:rsid w:val="00C82C2E"/>
    <w:rsid w:val="00C83604"/>
    <w:rsid w:val="00C84E6D"/>
    <w:rsid w:val="00C85227"/>
    <w:rsid w:val="00C85705"/>
    <w:rsid w:val="00C86585"/>
    <w:rsid w:val="00C86AB1"/>
    <w:rsid w:val="00C87367"/>
    <w:rsid w:val="00C8778B"/>
    <w:rsid w:val="00C90F14"/>
    <w:rsid w:val="00C90F3D"/>
    <w:rsid w:val="00C91811"/>
    <w:rsid w:val="00C91D4A"/>
    <w:rsid w:val="00C92081"/>
    <w:rsid w:val="00C93C27"/>
    <w:rsid w:val="00C941F6"/>
    <w:rsid w:val="00C945BE"/>
    <w:rsid w:val="00C94D37"/>
    <w:rsid w:val="00C94D89"/>
    <w:rsid w:val="00C95BC5"/>
    <w:rsid w:val="00C97311"/>
    <w:rsid w:val="00C976B2"/>
    <w:rsid w:val="00C97C85"/>
    <w:rsid w:val="00CA04CA"/>
    <w:rsid w:val="00CA04CB"/>
    <w:rsid w:val="00CA1EFC"/>
    <w:rsid w:val="00CA2767"/>
    <w:rsid w:val="00CA30D7"/>
    <w:rsid w:val="00CA33AC"/>
    <w:rsid w:val="00CA54CB"/>
    <w:rsid w:val="00CA55C4"/>
    <w:rsid w:val="00CA5749"/>
    <w:rsid w:val="00CA579C"/>
    <w:rsid w:val="00CA5959"/>
    <w:rsid w:val="00CB00D3"/>
    <w:rsid w:val="00CB0FD5"/>
    <w:rsid w:val="00CB1489"/>
    <w:rsid w:val="00CB1D53"/>
    <w:rsid w:val="00CB25E6"/>
    <w:rsid w:val="00CB4FAE"/>
    <w:rsid w:val="00CB5175"/>
    <w:rsid w:val="00CB63E0"/>
    <w:rsid w:val="00CB6523"/>
    <w:rsid w:val="00CB746A"/>
    <w:rsid w:val="00CB7517"/>
    <w:rsid w:val="00CB75C0"/>
    <w:rsid w:val="00CC039B"/>
    <w:rsid w:val="00CC03A4"/>
    <w:rsid w:val="00CC0540"/>
    <w:rsid w:val="00CC2238"/>
    <w:rsid w:val="00CC2B30"/>
    <w:rsid w:val="00CC3B2E"/>
    <w:rsid w:val="00CC3D68"/>
    <w:rsid w:val="00CC3E16"/>
    <w:rsid w:val="00CC40C9"/>
    <w:rsid w:val="00CC4DAB"/>
    <w:rsid w:val="00CC544B"/>
    <w:rsid w:val="00CC5A21"/>
    <w:rsid w:val="00CC5A38"/>
    <w:rsid w:val="00CC6BE9"/>
    <w:rsid w:val="00CC6E5E"/>
    <w:rsid w:val="00CD009C"/>
    <w:rsid w:val="00CD13B8"/>
    <w:rsid w:val="00CD15A3"/>
    <w:rsid w:val="00CD2495"/>
    <w:rsid w:val="00CD2E49"/>
    <w:rsid w:val="00CD2E88"/>
    <w:rsid w:val="00CD3FF0"/>
    <w:rsid w:val="00CD50DB"/>
    <w:rsid w:val="00CD59E4"/>
    <w:rsid w:val="00CD60D6"/>
    <w:rsid w:val="00CD6297"/>
    <w:rsid w:val="00CD6352"/>
    <w:rsid w:val="00CD6452"/>
    <w:rsid w:val="00CD728F"/>
    <w:rsid w:val="00CD73D6"/>
    <w:rsid w:val="00CD7668"/>
    <w:rsid w:val="00CD7A6D"/>
    <w:rsid w:val="00CE0631"/>
    <w:rsid w:val="00CE1082"/>
    <w:rsid w:val="00CE14C1"/>
    <w:rsid w:val="00CE1C81"/>
    <w:rsid w:val="00CE23DB"/>
    <w:rsid w:val="00CE2425"/>
    <w:rsid w:val="00CE2863"/>
    <w:rsid w:val="00CE4DA4"/>
    <w:rsid w:val="00CE584A"/>
    <w:rsid w:val="00CE5E6C"/>
    <w:rsid w:val="00CE5F95"/>
    <w:rsid w:val="00CE63E9"/>
    <w:rsid w:val="00CE6B2B"/>
    <w:rsid w:val="00CE6BCD"/>
    <w:rsid w:val="00CE73F6"/>
    <w:rsid w:val="00CE753E"/>
    <w:rsid w:val="00CF0370"/>
    <w:rsid w:val="00CF0DD3"/>
    <w:rsid w:val="00CF1B8F"/>
    <w:rsid w:val="00CF244C"/>
    <w:rsid w:val="00CF29C1"/>
    <w:rsid w:val="00CF2ED8"/>
    <w:rsid w:val="00CF376B"/>
    <w:rsid w:val="00CF39B5"/>
    <w:rsid w:val="00CF3DEB"/>
    <w:rsid w:val="00CF46C9"/>
    <w:rsid w:val="00CF4956"/>
    <w:rsid w:val="00CF4D90"/>
    <w:rsid w:val="00CF5764"/>
    <w:rsid w:val="00CF6AFF"/>
    <w:rsid w:val="00D00B7F"/>
    <w:rsid w:val="00D01446"/>
    <w:rsid w:val="00D01648"/>
    <w:rsid w:val="00D01B04"/>
    <w:rsid w:val="00D020FB"/>
    <w:rsid w:val="00D024D2"/>
    <w:rsid w:val="00D02CEF"/>
    <w:rsid w:val="00D0351D"/>
    <w:rsid w:val="00D04A1A"/>
    <w:rsid w:val="00D055E0"/>
    <w:rsid w:val="00D067DC"/>
    <w:rsid w:val="00D06F16"/>
    <w:rsid w:val="00D07C79"/>
    <w:rsid w:val="00D114CD"/>
    <w:rsid w:val="00D1154D"/>
    <w:rsid w:val="00D136C6"/>
    <w:rsid w:val="00D152D8"/>
    <w:rsid w:val="00D158C1"/>
    <w:rsid w:val="00D15D3D"/>
    <w:rsid w:val="00D16196"/>
    <w:rsid w:val="00D16BFD"/>
    <w:rsid w:val="00D201DD"/>
    <w:rsid w:val="00D2093C"/>
    <w:rsid w:val="00D2098A"/>
    <w:rsid w:val="00D21FE9"/>
    <w:rsid w:val="00D2281F"/>
    <w:rsid w:val="00D2432E"/>
    <w:rsid w:val="00D24968"/>
    <w:rsid w:val="00D249F4"/>
    <w:rsid w:val="00D252FD"/>
    <w:rsid w:val="00D27491"/>
    <w:rsid w:val="00D27736"/>
    <w:rsid w:val="00D279E1"/>
    <w:rsid w:val="00D27A78"/>
    <w:rsid w:val="00D30128"/>
    <w:rsid w:val="00D3067F"/>
    <w:rsid w:val="00D30DB4"/>
    <w:rsid w:val="00D30E2D"/>
    <w:rsid w:val="00D3249A"/>
    <w:rsid w:val="00D3284F"/>
    <w:rsid w:val="00D33EBA"/>
    <w:rsid w:val="00D33EDB"/>
    <w:rsid w:val="00D3458B"/>
    <w:rsid w:val="00D34986"/>
    <w:rsid w:val="00D35C29"/>
    <w:rsid w:val="00D36081"/>
    <w:rsid w:val="00D36ACA"/>
    <w:rsid w:val="00D36AE0"/>
    <w:rsid w:val="00D36E07"/>
    <w:rsid w:val="00D410A3"/>
    <w:rsid w:val="00D41B82"/>
    <w:rsid w:val="00D43459"/>
    <w:rsid w:val="00D44174"/>
    <w:rsid w:val="00D44772"/>
    <w:rsid w:val="00D45A7C"/>
    <w:rsid w:val="00D45B9C"/>
    <w:rsid w:val="00D4693F"/>
    <w:rsid w:val="00D469FB"/>
    <w:rsid w:val="00D478DB"/>
    <w:rsid w:val="00D47B3C"/>
    <w:rsid w:val="00D47D2B"/>
    <w:rsid w:val="00D50F53"/>
    <w:rsid w:val="00D51A0D"/>
    <w:rsid w:val="00D52681"/>
    <w:rsid w:val="00D5349D"/>
    <w:rsid w:val="00D53DAE"/>
    <w:rsid w:val="00D53DE5"/>
    <w:rsid w:val="00D55A76"/>
    <w:rsid w:val="00D561E5"/>
    <w:rsid w:val="00D5663D"/>
    <w:rsid w:val="00D56CF0"/>
    <w:rsid w:val="00D6047F"/>
    <w:rsid w:val="00D63212"/>
    <w:rsid w:val="00D63F8D"/>
    <w:rsid w:val="00D63F9E"/>
    <w:rsid w:val="00D640AE"/>
    <w:rsid w:val="00D650AD"/>
    <w:rsid w:val="00D652B7"/>
    <w:rsid w:val="00D66C35"/>
    <w:rsid w:val="00D67CF1"/>
    <w:rsid w:val="00D7026F"/>
    <w:rsid w:val="00D70D6D"/>
    <w:rsid w:val="00D71093"/>
    <w:rsid w:val="00D72E98"/>
    <w:rsid w:val="00D7301A"/>
    <w:rsid w:val="00D74D24"/>
    <w:rsid w:val="00D76C4A"/>
    <w:rsid w:val="00D76D79"/>
    <w:rsid w:val="00D77591"/>
    <w:rsid w:val="00D779FC"/>
    <w:rsid w:val="00D8102F"/>
    <w:rsid w:val="00D81416"/>
    <w:rsid w:val="00D82080"/>
    <w:rsid w:val="00D8218D"/>
    <w:rsid w:val="00D83064"/>
    <w:rsid w:val="00D83D3D"/>
    <w:rsid w:val="00D8443E"/>
    <w:rsid w:val="00D845F6"/>
    <w:rsid w:val="00D85709"/>
    <w:rsid w:val="00D85D1C"/>
    <w:rsid w:val="00D85E1C"/>
    <w:rsid w:val="00D86186"/>
    <w:rsid w:val="00D909F7"/>
    <w:rsid w:val="00D915D8"/>
    <w:rsid w:val="00D916F4"/>
    <w:rsid w:val="00D91A90"/>
    <w:rsid w:val="00D933AD"/>
    <w:rsid w:val="00D93F96"/>
    <w:rsid w:val="00D94075"/>
    <w:rsid w:val="00D942F0"/>
    <w:rsid w:val="00D947F5"/>
    <w:rsid w:val="00D94914"/>
    <w:rsid w:val="00D94C53"/>
    <w:rsid w:val="00D95042"/>
    <w:rsid w:val="00D95517"/>
    <w:rsid w:val="00D95BCC"/>
    <w:rsid w:val="00D95E8F"/>
    <w:rsid w:val="00D96CA9"/>
    <w:rsid w:val="00D97A57"/>
    <w:rsid w:val="00DA0537"/>
    <w:rsid w:val="00DA1113"/>
    <w:rsid w:val="00DA15A6"/>
    <w:rsid w:val="00DA18CF"/>
    <w:rsid w:val="00DA32D9"/>
    <w:rsid w:val="00DA3ABF"/>
    <w:rsid w:val="00DA4345"/>
    <w:rsid w:val="00DA5436"/>
    <w:rsid w:val="00DA6382"/>
    <w:rsid w:val="00DA64D2"/>
    <w:rsid w:val="00DA6706"/>
    <w:rsid w:val="00DA6CD6"/>
    <w:rsid w:val="00DA6EE1"/>
    <w:rsid w:val="00DA7506"/>
    <w:rsid w:val="00DA7A55"/>
    <w:rsid w:val="00DB0822"/>
    <w:rsid w:val="00DB10AB"/>
    <w:rsid w:val="00DB13F4"/>
    <w:rsid w:val="00DB1526"/>
    <w:rsid w:val="00DB15E3"/>
    <w:rsid w:val="00DB1F3E"/>
    <w:rsid w:val="00DB2109"/>
    <w:rsid w:val="00DB26F0"/>
    <w:rsid w:val="00DB479F"/>
    <w:rsid w:val="00DB4CBF"/>
    <w:rsid w:val="00DB50E4"/>
    <w:rsid w:val="00DB5E84"/>
    <w:rsid w:val="00DB7268"/>
    <w:rsid w:val="00DC059B"/>
    <w:rsid w:val="00DC0A1A"/>
    <w:rsid w:val="00DC1308"/>
    <w:rsid w:val="00DC1671"/>
    <w:rsid w:val="00DC26E6"/>
    <w:rsid w:val="00DC3577"/>
    <w:rsid w:val="00DC378C"/>
    <w:rsid w:val="00DC3A72"/>
    <w:rsid w:val="00DC49C3"/>
    <w:rsid w:val="00DC4E16"/>
    <w:rsid w:val="00DC4FA3"/>
    <w:rsid w:val="00DC56DD"/>
    <w:rsid w:val="00DC631B"/>
    <w:rsid w:val="00DC65AE"/>
    <w:rsid w:val="00DC6884"/>
    <w:rsid w:val="00DC690C"/>
    <w:rsid w:val="00DC6FB8"/>
    <w:rsid w:val="00DC7156"/>
    <w:rsid w:val="00DC71D3"/>
    <w:rsid w:val="00DC79C1"/>
    <w:rsid w:val="00DD23C6"/>
    <w:rsid w:val="00DD2807"/>
    <w:rsid w:val="00DD2B7B"/>
    <w:rsid w:val="00DD3046"/>
    <w:rsid w:val="00DD3082"/>
    <w:rsid w:val="00DD378E"/>
    <w:rsid w:val="00DD429E"/>
    <w:rsid w:val="00DD5B25"/>
    <w:rsid w:val="00DD65B5"/>
    <w:rsid w:val="00DD674A"/>
    <w:rsid w:val="00DD6DAB"/>
    <w:rsid w:val="00DE093D"/>
    <w:rsid w:val="00DE19C1"/>
    <w:rsid w:val="00DE1A24"/>
    <w:rsid w:val="00DE2D60"/>
    <w:rsid w:val="00DE35C0"/>
    <w:rsid w:val="00DE3DD5"/>
    <w:rsid w:val="00DE3DF1"/>
    <w:rsid w:val="00DE45B1"/>
    <w:rsid w:val="00DE47DE"/>
    <w:rsid w:val="00DE4F85"/>
    <w:rsid w:val="00DE581F"/>
    <w:rsid w:val="00DE5B13"/>
    <w:rsid w:val="00DE69FE"/>
    <w:rsid w:val="00DE6B90"/>
    <w:rsid w:val="00DE772F"/>
    <w:rsid w:val="00DE7A09"/>
    <w:rsid w:val="00DF0E9D"/>
    <w:rsid w:val="00DF0FCD"/>
    <w:rsid w:val="00DF0FE6"/>
    <w:rsid w:val="00DF1947"/>
    <w:rsid w:val="00DF205D"/>
    <w:rsid w:val="00DF2E23"/>
    <w:rsid w:val="00DF320A"/>
    <w:rsid w:val="00DF37DA"/>
    <w:rsid w:val="00DF4AF1"/>
    <w:rsid w:val="00DF4F2A"/>
    <w:rsid w:val="00DF5DB8"/>
    <w:rsid w:val="00DF674D"/>
    <w:rsid w:val="00DF6F30"/>
    <w:rsid w:val="00DF715E"/>
    <w:rsid w:val="00DF756A"/>
    <w:rsid w:val="00DF78C1"/>
    <w:rsid w:val="00E00232"/>
    <w:rsid w:val="00E00D97"/>
    <w:rsid w:val="00E0175D"/>
    <w:rsid w:val="00E01BC6"/>
    <w:rsid w:val="00E026A7"/>
    <w:rsid w:val="00E031EA"/>
    <w:rsid w:val="00E0336B"/>
    <w:rsid w:val="00E0341C"/>
    <w:rsid w:val="00E03CFE"/>
    <w:rsid w:val="00E04E0C"/>
    <w:rsid w:val="00E04E87"/>
    <w:rsid w:val="00E05557"/>
    <w:rsid w:val="00E05601"/>
    <w:rsid w:val="00E05CC7"/>
    <w:rsid w:val="00E06861"/>
    <w:rsid w:val="00E06F62"/>
    <w:rsid w:val="00E10116"/>
    <w:rsid w:val="00E10408"/>
    <w:rsid w:val="00E12A19"/>
    <w:rsid w:val="00E13E07"/>
    <w:rsid w:val="00E14911"/>
    <w:rsid w:val="00E1512B"/>
    <w:rsid w:val="00E15B7F"/>
    <w:rsid w:val="00E203C9"/>
    <w:rsid w:val="00E20572"/>
    <w:rsid w:val="00E207F3"/>
    <w:rsid w:val="00E2088E"/>
    <w:rsid w:val="00E20EAD"/>
    <w:rsid w:val="00E22900"/>
    <w:rsid w:val="00E2375F"/>
    <w:rsid w:val="00E23784"/>
    <w:rsid w:val="00E24669"/>
    <w:rsid w:val="00E24D7B"/>
    <w:rsid w:val="00E25500"/>
    <w:rsid w:val="00E25662"/>
    <w:rsid w:val="00E2675B"/>
    <w:rsid w:val="00E268B2"/>
    <w:rsid w:val="00E26955"/>
    <w:rsid w:val="00E26EFD"/>
    <w:rsid w:val="00E30525"/>
    <w:rsid w:val="00E30D03"/>
    <w:rsid w:val="00E3122A"/>
    <w:rsid w:val="00E31552"/>
    <w:rsid w:val="00E31854"/>
    <w:rsid w:val="00E31C5C"/>
    <w:rsid w:val="00E31C8D"/>
    <w:rsid w:val="00E347C0"/>
    <w:rsid w:val="00E352CE"/>
    <w:rsid w:val="00E3553E"/>
    <w:rsid w:val="00E358C9"/>
    <w:rsid w:val="00E424A5"/>
    <w:rsid w:val="00E432AF"/>
    <w:rsid w:val="00E43C3B"/>
    <w:rsid w:val="00E43EAE"/>
    <w:rsid w:val="00E4402B"/>
    <w:rsid w:val="00E44B78"/>
    <w:rsid w:val="00E44BB7"/>
    <w:rsid w:val="00E45869"/>
    <w:rsid w:val="00E4647C"/>
    <w:rsid w:val="00E46952"/>
    <w:rsid w:val="00E46A44"/>
    <w:rsid w:val="00E46E70"/>
    <w:rsid w:val="00E47141"/>
    <w:rsid w:val="00E479C4"/>
    <w:rsid w:val="00E50405"/>
    <w:rsid w:val="00E50E58"/>
    <w:rsid w:val="00E50E92"/>
    <w:rsid w:val="00E50FC1"/>
    <w:rsid w:val="00E522C0"/>
    <w:rsid w:val="00E52EEA"/>
    <w:rsid w:val="00E52FD4"/>
    <w:rsid w:val="00E53758"/>
    <w:rsid w:val="00E53D4B"/>
    <w:rsid w:val="00E54573"/>
    <w:rsid w:val="00E54798"/>
    <w:rsid w:val="00E548D8"/>
    <w:rsid w:val="00E55E8E"/>
    <w:rsid w:val="00E55EFA"/>
    <w:rsid w:val="00E56689"/>
    <w:rsid w:val="00E56AF8"/>
    <w:rsid w:val="00E6023D"/>
    <w:rsid w:val="00E60617"/>
    <w:rsid w:val="00E61E0E"/>
    <w:rsid w:val="00E6321A"/>
    <w:rsid w:val="00E63A81"/>
    <w:rsid w:val="00E64460"/>
    <w:rsid w:val="00E65A0B"/>
    <w:rsid w:val="00E66248"/>
    <w:rsid w:val="00E669D2"/>
    <w:rsid w:val="00E66CC2"/>
    <w:rsid w:val="00E678C6"/>
    <w:rsid w:val="00E679DF"/>
    <w:rsid w:val="00E70A9C"/>
    <w:rsid w:val="00E710BF"/>
    <w:rsid w:val="00E71354"/>
    <w:rsid w:val="00E71537"/>
    <w:rsid w:val="00E71D31"/>
    <w:rsid w:val="00E72358"/>
    <w:rsid w:val="00E72F88"/>
    <w:rsid w:val="00E7324E"/>
    <w:rsid w:val="00E748B6"/>
    <w:rsid w:val="00E74C56"/>
    <w:rsid w:val="00E75F15"/>
    <w:rsid w:val="00E7787D"/>
    <w:rsid w:val="00E80469"/>
    <w:rsid w:val="00E80865"/>
    <w:rsid w:val="00E81DC8"/>
    <w:rsid w:val="00E828CD"/>
    <w:rsid w:val="00E8326A"/>
    <w:rsid w:val="00E8375C"/>
    <w:rsid w:val="00E838EE"/>
    <w:rsid w:val="00E83A01"/>
    <w:rsid w:val="00E83A57"/>
    <w:rsid w:val="00E83AA6"/>
    <w:rsid w:val="00E83B36"/>
    <w:rsid w:val="00E8443E"/>
    <w:rsid w:val="00E85190"/>
    <w:rsid w:val="00E85191"/>
    <w:rsid w:val="00E86596"/>
    <w:rsid w:val="00E86F35"/>
    <w:rsid w:val="00E87BA7"/>
    <w:rsid w:val="00E90FE2"/>
    <w:rsid w:val="00E930D6"/>
    <w:rsid w:val="00E93D2E"/>
    <w:rsid w:val="00E93F51"/>
    <w:rsid w:val="00E949C2"/>
    <w:rsid w:val="00E95A4E"/>
    <w:rsid w:val="00E963DD"/>
    <w:rsid w:val="00EA0A94"/>
    <w:rsid w:val="00EA17A2"/>
    <w:rsid w:val="00EA2295"/>
    <w:rsid w:val="00EA23C7"/>
    <w:rsid w:val="00EA2594"/>
    <w:rsid w:val="00EA259C"/>
    <w:rsid w:val="00EA3515"/>
    <w:rsid w:val="00EA3877"/>
    <w:rsid w:val="00EA3D5D"/>
    <w:rsid w:val="00EA3D98"/>
    <w:rsid w:val="00EA495B"/>
    <w:rsid w:val="00EA4C02"/>
    <w:rsid w:val="00EA4EC2"/>
    <w:rsid w:val="00EA4F2A"/>
    <w:rsid w:val="00EA5010"/>
    <w:rsid w:val="00EA5151"/>
    <w:rsid w:val="00EA53BF"/>
    <w:rsid w:val="00EA6632"/>
    <w:rsid w:val="00EA6B22"/>
    <w:rsid w:val="00EA7051"/>
    <w:rsid w:val="00EA79DC"/>
    <w:rsid w:val="00EB1849"/>
    <w:rsid w:val="00EB1ABE"/>
    <w:rsid w:val="00EB1DA9"/>
    <w:rsid w:val="00EB1E13"/>
    <w:rsid w:val="00EB209F"/>
    <w:rsid w:val="00EB2422"/>
    <w:rsid w:val="00EB27B9"/>
    <w:rsid w:val="00EB37C1"/>
    <w:rsid w:val="00EB3A71"/>
    <w:rsid w:val="00EB49BB"/>
    <w:rsid w:val="00EB50FB"/>
    <w:rsid w:val="00EB59D3"/>
    <w:rsid w:val="00EB5EFE"/>
    <w:rsid w:val="00EB61F2"/>
    <w:rsid w:val="00EB702F"/>
    <w:rsid w:val="00EB7110"/>
    <w:rsid w:val="00EB7D5D"/>
    <w:rsid w:val="00EC0308"/>
    <w:rsid w:val="00EC0DF3"/>
    <w:rsid w:val="00EC18A0"/>
    <w:rsid w:val="00EC1C11"/>
    <w:rsid w:val="00EC2803"/>
    <w:rsid w:val="00EC3481"/>
    <w:rsid w:val="00EC3545"/>
    <w:rsid w:val="00EC35FF"/>
    <w:rsid w:val="00EC3672"/>
    <w:rsid w:val="00EC3D8C"/>
    <w:rsid w:val="00EC40A0"/>
    <w:rsid w:val="00EC4357"/>
    <w:rsid w:val="00EC4B47"/>
    <w:rsid w:val="00EC4C87"/>
    <w:rsid w:val="00EC4E9D"/>
    <w:rsid w:val="00EC4F80"/>
    <w:rsid w:val="00EC51F7"/>
    <w:rsid w:val="00EC5EEF"/>
    <w:rsid w:val="00ED0882"/>
    <w:rsid w:val="00ED152E"/>
    <w:rsid w:val="00ED1A80"/>
    <w:rsid w:val="00ED2623"/>
    <w:rsid w:val="00ED2BA8"/>
    <w:rsid w:val="00ED30C7"/>
    <w:rsid w:val="00ED36AC"/>
    <w:rsid w:val="00ED378E"/>
    <w:rsid w:val="00ED461B"/>
    <w:rsid w:val="00ED5B1D"/>
    <w:rsid w:val="00ED77EC"/>
    <w:rsid w:val="00ED780D"/>
    <w:rsid w:val="00ED7899"/>
    <w:rsid w:val="00EE010A"/>
    <w:rsid w:val="00EE12EB"/>
    <w:rsid w:val="00EE1412"/>
    <w:rsid w:val="00EE1C21"/>
    <w:rsid w:val="00EE296A"/>
    <w:rsid w:val="00EE2B6E"/>
    <w:rsid w:val="00EE396B"/>
    <w:rsid w:val="00EE3D32"/>
    <w:rsid w:val="00EE4A03"/>
    <w:rsid w:val="00EE60BC"/>
    <w:rsid w:val="00EE655F"/>
    <w:rsid w:val="00EE69A9"/>
    <w:rsid w:val="00EE7A21"/>
    <w:rsid w:val="00EE7E20"/>
    <w:rsid w:val="00EF0535"/>
    <w:rsid w:val="00EF192A"/>
    <w:rsid w:val="00EF200E"/>
    <w:rsid w:val="00EF28A1"/>
    <w:rsid w:val="00EF29AB"/>
    <w:rsid w:val="00EF2EB1"/>
    <w:rsid w:val="00EF35F3"/>
    <w:rsid w:val="00EF38E2"/>
    <w:rsid w:val="00EF39BA"/>
    <w:rsid w:val="00EF48DD"/>
    <w:rsid w:val="00EF5D99"/>
    <w:rsid w:val="00EF5EE4"/>
    <w:rsid w:val="00EF6647"/>
    <w:rsid w:val="00EF7EA4"/>
    <w:rsid w:val="00F004AC"/>
    <w:rsid w:val="00F004C0"/>
    <w:rsid w:val="00F0089D"/>
    <w:rsid w:val="00F02D17"/>
    <w:rsid w:val="00F03F16"/>
    <w:rsid w:val="00F040E8"/>
    <w:rsid w:val="00F041A8"/>
    <w:rsid w:val="00F0662D"/>
    <w:rsid w:val="00F06C4D"/>
    <w:rsid w:val="00F0783B"/>
    <w:rsid w:val="00F102A1"/>
    <w:rsid w:val="00F10329"/>
    <w:rsid w:val="00F108BC"/>
    <w:rsid w:val="00F13FD2"/>
    <w:rsid w:val="00F165B6"/>
    <w:rsid w:val="00F16FD1"/>
    <w:rsid w:val="00F17294"/>
    <w:rsid w:val="00F17EC7"/>
    <w:rsid w:val="00F202AE"/>
    <w:rsid w:val="00F20B59"/>
    <w:rsid w:val="00F20BAA"/>
    <w:rsid w:val="00F21D90"/>
    <w:rsid w:val="00F236B4"/>
    <w:rsid w:val="00F2402C"/>
    <w:rsid w:val="00F245AD"/>
    <w:rsid w:val="00F24B7E"/>
    <w:rsid w:val="00F24D8B"/>
    <w:rsid w:val="00F2544A"/>
    <w:rsid w:val="00F25774"/>
    <w:rsid w:val="00F257A1"/>
    <w:rsid w:val="00F25C47"/>
    <w:rsid w:val="00F26886"/>
    <w:rsid w:val="00F26973"/>
    <w:rsid w:val="00F303B5"/>
    <w:rsid w:val="00F3221B"/>
    <w:rsid w:val="00F32968"/>
    <w:rsid w:val="00F32D52"/>
    <w:rsid w:val="00F32EF1"/>
    <w:rsid w:val="00F3367D"/>
    <w:rsid w:val="00F34050"/>
    <w:rsid w:val="00F34305"/>
    <w:rsid w:val="00F34740"/>
    <w:rsid w:val="00F34ADC"/>
    <w:rsid w:val="00F3520B"/>
    <w:rsid w:val="00F352E1"/>
    <w:rsid w:val="00F35CBE"/>
    <w:rsid w:val="00F36174"/>
    <w:rsid w:val="00F3620E"/>
    <w:rsid w:val="00F36F66"/>
    <w:rsid w:val="00F37492"/>
    <w:rsid w:val="00F37F0D"/>
    <w:rsid w:val="00F40A79"/>
    <w:rsid w:val="00F41467"/>
    <w:rsid w:val="00F41FB6"/>
    <w:rsid w:val="00F430D7"/>
    <w:rsid w:val="00F43414"/>
    <w:rsid w:val="00F4361D"/>
    <w:rsid w:val="00F439C1"/>
    <w:rsid w:val="00F448A6"/>
    <w:rsid w:val="00F44C50"/>
    <w:rsid w:val="00F44F21"/>
    <w:rsid w:val="00F45B5B"/>
    <w:rsid w:val="00F45E44"/>
    <w:rsid w:val="00F46085"/>
    <w:rsid w:val="00F46240"/>
    <w:rsid w:val="00F465E8"/>
    <w:rsid w:val="00F47112"/>
    <w:rsid w:val="00F50E6D"/>
    <w:rsid w:val="00F52292"/>
    <w:rsid w:val="00F531A7"/>
    <w:rsid w:val="00F53CC7"/>
    <w:rsid w:val="00F54C40"/>
    <w:rsid w:val="00F55800"/>
    <w:rsid w:val="00F55C50"/>
    <w:rsid w:val="00F55CD6"/>
    <w:rsid w:val="00F57B64"/>
    <w:rsid w:val="00F60EDD"/>
    <w:rsid w:val="00F615CD"/>
    <w:rsid w:val="00F61DE0"/>
    <w:rsid w:val="00F61FC2"/>
    <w:rsid w:val="00F6453D"/>
    <w:rsid w:val="00F64F43"/>
    <w:rsid w:val="00F65B32"/>
    <w:rsid w:val="00F65BAC"/>
    <w:rsid w:val="00F65DE3"/>
    <w:rsid w:val="00F66B99"/>
    <w:rsid w:val="00F66F90"/>
    <w:rsid w:val="00F67769"/>
    <w:rsid w:val="00F70529"/>
    <w:rsid w:val="00F708BB"/>
    <w:rsid w:val="00F71F5E"/>
    <w:rsid w:val="00F739B8"/>
    <w:rsid w:val="00F73BAC"/>
    <w:rsid w:val="00F74256"/>
    <w:rsid w:val="00F7604C"/>
    <w:rsid w:val="00F804B9"/>
    <w:rsid w:val="00F80B5A"/>
    <w:rsid w:val="00F81724"/>
    <w:rsid w:val="00F81C85"/>
    <w:rsid w:val="00F82A6B"/>
    <w:rsid w:val="00F82FBB"/>
    <w:rsid w:val="00F83470"/>
    <w:rsid w:val="00F84966"/>
    <w:rsid w:val="00F86A46"/>
    <w:rsid w:val="00F910CB"/>
    <w:rsid w:val="00F9114E"/>
    <w:rsid w:val="00F912FD"/>
    <w:rsid w:val="00F918F9"/>
    <w:rsid w:val="00F91DD5"/>
    <w:rsid w:val="00F93D37"/>
    <w:rsid w:val="00F94875"/>
    <w:rsid w:val="00F955E8"/>
    <w:rsid w:val="00F95B0D"/>
    <w:rsid w:val="00F95C49"/>
    <w:rsid w:val="00FA09CB"/>
    <w:rsid w:val="00FA0B37"/>
    <w:rsid w:val="00FA178A"/>
    <w:rsid w:val="00FA24F2"/>
    <w:rsid w:val="00FA2652"/>
    <w:rsid w:val="00FA2F51"/>
    <w:rsid w:val="00FA34EE"/>
    <w:rsid w:val="00FA386C"/>
    <w:rsid w:val="00FA3B60"/>
    <w:rsid w:val="00FA4037"/>
    <w:rsid w:val="00FA4BF0"/>
    <w:rsid w:val="00FA59D1"/>
    <w:rsid w:val="00FA6519"/>
    <w:rsid w:val="00FA6B6C"/>
    <w:rsid w:val="00FA6D62"/>
    <w:rsid w:val="00FA6F13"/>
    <w:rsid w:val="00FA722F"/>
    <w:rsid w:val="00FA723C"/>
    <w:rsid w:val="00FA782C"/>
    <w:rsid w:val="00FB03A3"/>
    <w:rsid w:val="00FB059C"/>
    <w:rsid w:val="00FB2859"/>
    <w:rsid w:val="00FB343E"/>
    <w:rsid w:val="00FB3479"/>
    <w:rsid w:val="00FB35AF"/>
    <w:rsid w:val="00FB373C"/>
    <w:rsid w:val="00FB3869"/>
    <w:rsid w:val="00FB4B75"/>
    <w:rsid w:val="00FB4CCA"/>
    <w:rsid w:val="00FB4F63"/>
    <w:rsid w:val="00FB6897"/>
    <w:rsid w:val="00FB7731"/>
    <w:rsid w:val="00FC0CD8"/>
    <w:rsid w:val="00FC1CB0"/>
    <w:rsid w:val="00FC1EAF"/>
    <w:rsid w:val="00FC2446"/>
    <w:rsid w:val="00FC2689"/>
    <w:rsid w:val="00FC2920"/>
    <w:rsid w:val="00FC2A50"/>
    <w:rsid w:val="00FC2B88"/>
    <w:rsid w:val="00FC36B3"/>
    <w:rsid w:val="00FC4419"/>
    <w:rsid w:val="00FC52DF"/>
    <w:rsid w:val="00FC54C6"/>
    <w:rsid w:val="00FC55E4"/>
    <w:rsid w:val="00FC592D"/>
    <w:rsid w:val="00FC594C"/>
    <w:rsid w:val="00FC626B"/>
    <w:rsid w:val="00FC7169"/>
    <w:rsid w:val="00FC7AD3"/>
    <w:rsid w:val="00FC7B4A"/>
    <w:rsid w:val="00FD0144"/>
    <w:rsid w:val="00FD058B"/>
    <w:rsid w:val="00FD1213"/>
    <w:rsid w:val="00FD1743"/>
    <w:rsid w:val="00FD207D"/>
    <w:rsid w:val="00FD2322"/>
    <w:rsid w:val="00FD300F"/>
    <w:rsid w:val="00FD3574"/>
    <w:rsid w:val="00FD44F0"/>
    <w:rsid w:val="00FD4A49"/>
    <w:rsid w:val="00FD4F12"/>
    <w:rsid w:val="00FD52E1"/>
    <w:rsid w:val="00FD5493"/>
    <w:rsid w:val="00FD6F16"/>
    <w:rsid w:val="00FD73B0"/>
    <w:rsid w:val="00FD7532"/>
    <w:rsid w:val="00FD7926"/>
    <w:rsid w:val="00FE03C2"/>
    <w:rsid w:val="00FE0F87"/>
    <w:rsid w:val="00FE1340"/>
    <w:rsid w:val="00FE1593"/>
    <w:rsid w:val="00FE1690"/>
    <w:rsid w:val="00FE2042"/>
    <w:rsid w:val="00FE24B9"/>
    <w:rsid w:val="00FE2D8A"/>
    <w:rsid w:val="00FE30D6"/>
    <w:rsid w:val="00FE3280"/>
    <w:rsid w:val="00FE365B"/>
    <w:rsid w:val="00FE3FED"/>
    <w:rsid w:val="00FE465C"/>
    <w:rsid w:val="00FE4835"/>
    <w:rsid w:val="00FE50BB"/>
    <w:rsid w:val="00FE5110"/>
    <w:rsid w:val="00FE53C3"/>
    <w:rsid w:val="00FE5B64"/>
    <w:rsid w:val="00FE5BA6"/>
    <w:rsid w:val="00FE5C20"/>
    <w:rsid w:val="00FE619F"/>
    <w:rsid w:val="00FE6275"/>
    <w:rsid w:val="00FE6BAE"/>
    <w:rsid w:val="00FE79A8"/>
    <w:rsid w:val="00FF01D7"/>
    <w:rsid w:val="00FF3237"/>
    <w:rsid w:val="00FF3F3A"/>
    <w:rsid w:val="00FF4965"/>
    <w:rsid w:val="00FF5233"/>
    <w:rsid w:val="00FF52DD"/>
    <w:rsid w:val="00FF662A"/>
    <w:rsid w:val="00FF7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5527E"/>
  <w15:chartTrackingRefBased/>
  <w15:docId w15:val="{B50D2FEE-7538-4706-97D7-31469C2F2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4C8"/>
    <w:pPr>
      <w:spacing w:after="120" w:line="276" w:lineRule="auto"/>
    </w:pPr>
  </w:style>
  <w:style w:type="paragraph" w:styleId="Heading1">
    <w:name w:val="heading 1"/>
    <w:basedOn w:val="Normal"/>
    <w:next w:val="Normal"/>
    <w:link w:val="Heading1Char"/>
    <w:uiPriority w:val="9"/>
    <w:qFormat/>
    <w:rsid w:val="00CD6352"/>
    <w:pPr>
      <w:keepNext/>
      <w:keepLines/>
      <w:numPr>
        <w:numId w:val="86"/>
      </w:numPr>
      <w:spacing w:before="480" w:after="0"/>
      <w:outlineLvl w:val="0"/>
    </w:pPr>
    <w:rPr>
      <w:rFonts w:ascii="Arial" w:eastAsiaTheme="majorEastAsia" w:hAnsi="Arial" w:cstheme="majorBidi"/>
      <w:b/>
      <w:bCs/>
      <w:sz w:val="24"/>
      <w:szCs w:val="28"/>
      <w:u w:val="single"/>
    </w:rPr>
  </w:style>
  <w:style w:type="paragraph" w:styleId="Heading2">
    <w:name w:val="heading 2"/>
    <w:basedOn w:val="Normal"/>
    <w:next w:val="Normal"/>
    <w:link w:val="Heading2Char"/>
    <w:uiPriority w:val="9"/>
    <w:unhideWhenUsed/>
    <w:qFormat/>
    <w:rsid w:val="00CD6352"/>
    <w:pPr>
      <w:keepNext/>
      <w:keepLines/>
      <w:numPr>
        <w:ilvl w:val="1"/>
        <w:numId w:val="86"/>
      </w:numPr>
      <w:spacing w:before="200" w:after="0"/>
      <w:outlineLvl w:val="1"/>
    </w:pPr>
    <w:rPr>
      <w:rFonts w:ascii="Arial" w:eastAsiaTheme="majorEastAsia" w:hAnsi="Arial" w:cstheme="majorBidi"/>
      <w:b/>
      <w:bCs/>
      <w:sz w:val="24"/>
      <w:szCs w:val="26"/>
      <w:u w:val="single"/>
    </w:rPr>
  </w:style>
  <w:style w:type="paragraph" w:styleId="Heading3">
    <w:name w:val="heading 3"/>
    <w:basedOn w:val="Normal"/>
    <w:next w:val="Normal"/>
    <w:link w:val="Heading3Char"/>
    <w:uiPriority w:val="9"/>
    <w:unhideWhenUsed/>
    <w:qFormat/>
    <w:rsid w:val="00CD6352"/>
    <w:pPr>
      <w:keepNext/>
      <w:keepLines/>
      <w:numPr>
        <w:ilvl w:val="2"/>
        <w:numId w:val="86"/>
      </w:numPr>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CD6352"/>
    <w:pPr>
      <w:keepNext/>
      <w:keepLines/>
      <w:numPr>
        <w:ilvl w:val="3"/>
        <w:numId w:val="8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6352"/>
    <w:pPr>
      <w:keepNext/>
      <w:keepLines/>
      <w:numPr>
        <w:ilvl w:val="4"/>
        <w:numId w:val="8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D6352"/>
    <w:pPr>
      <w:keepNext/>
      <w:keepLines/>
      <w:numPr>
        <w:ilvl w:val="5"/>
        <w:numId w:val="8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D6352"/>
    <w:pPr>
      <w:keepNext/>
      <w:keepLines/>
      <w:numPr>
        <w:ilvl w:val="6"/>
        <w:numId w:val="8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D6352"/>
    <w:pPr>
      <w:keepNext/>
      <w:keepLines/>
      <w:numPr>
        <w:ilvl w:val="7"/>
        <w:numId w:val="8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6352"/>
    <w:pPr>
      <w:keepNext/>
      <w:keepLines/>
      <w:numPr>
        <w:ilvl w:val="8"/>
        <w:numId w:val="8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352"/>
    <w:rPr>
      <w:rFonts w:ascii="Arial" w:eastAsiaTheme="majorEastAsia" w:hAnsi="Arial" w:cstheme="majorBidi"/>
      <w:b/>
      <w:bCs/>
      <w:sz w:val="24"/>
      <w:szCs w:val="28"/>
      <w:u w:val="single"/>
    </w:rPr>
  </w:style>
  <w:style w:type="character" w:customStyle="1" w:styleId="Heading2Char">
    <w:name w:val="Heading 2 Char"/>
    <w:basedOn w:val="DefaultParagraphFont"/>
    <w:link w:val="Heading2"/>
    <w:uiPriority w:val="9"/>
    <w:rsid w:val="00CD6352"/>
    <w:rPr>
      <w:rFonts w:ascii="Arial" w:eastAsiaTheme="majorEastAsia" w:hAnsi="Arial" w:cstheme="majorBidi"/>
      <w:b/>
      <w:bCs/>
      <w:sz w:val="24"/>
      <w:szCs w:val="26"/>
      <w:u w:val="single"/>
    </w:rPr>
  </w:style>
  <w:style w:type="character" w:customStyle="1" w:styleId="Heading3Char">
    <w:name w:val="Heading 3 Char"/>
    <w:basedOn w:val="DefaultParagraphFont"/>
    <w:link w:val="Heading3"/>
    <w:uiPriority w:val="9"/>
    <w:rsid w:val="00CD6352"/>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CD635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D635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D635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D635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D63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635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qFormat/>
    <w:rsid w:val="00CD6352"/>
    <w:pPr>
      <w:ind w:left="720"/>
      <w:contextualSpacing/>
    </w:pPr>
  </w:style>
  <w:style w:type="character" w:styleId="Hyperlink">
    <w:name w:val="Hyperlink"/>
    <w:basedOn w:val="DefaultParagraphFont"/>
    <w:uiPriority w:val="99"/>
    <w:unhideWhenUsed/>
    <w:rsid w:val="00CD6352"/>
    <w:rPr>
      <w:color w:val="0563C1" w:themeColor="hyperlink"/>
      <w:u w:val="single"/>
    </w:rPr>
  </w:style>
  <w:style w:type="table" w:styleId="TableGrid">
    <w:name w:val="Table Grid"/>
    <w:basedOn w:val="TableNormal"/>
    <w:uiPriority w:val="5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352"/>
    <w:rPr>
      <w:rFonts w:ascii="Tahoma" w:hAnsi="Tahoma" w:cs="Tahoma"/>
      <w:sz w:val="16"/>
      <w:szCs w:val="16"/>
    </w:rPr>
  </w:style>
  <w:style w:type="character" w:styleId="CommentReference">
    <w:name w:val="annotation reference"/>
    <w:basedOn w:val="DefaultParagraphFont"/>
    <w:uiPriority w:val="99"/>
    <w:semiHidden/>
    <w:unhideWhenUsed/>
    <w:rsid w:val="00CD6352"/>
    <w:rPr>
      <w:sz w:val="16"/>
      <w:szCs w:val="16"/>
    </w:rPr>
  </w:style>
  <w:style w:type="paragraph" w:styleId="CommentText">
    <w:name w:val="annotation text"/>
    <w:basedOn w:val="Normal"/>
    <w:link w:val="CommentTextChar"/>
    <w:uiPriority w:val="99"/>
    <w:semiHidden/>
    <w:unhideWhenUsed/>
    <w:rsid w:val="00CD6352"/>
    <w:pPr>
      <w:spacing w:line="240" w:lineRule="auto"/>
    </w:pPr>
    <w:rPr>
      <w:sz w:val="20"/>
      <w:szCs w:val="20"/>
    </w:rPr>
  </w:style>
  <w:style w:type="character" w:customStyle="1" w:styleId="CommentTextChar">
    <w:name w:val="Comment Text Char"/>
    <w:basedOn w:val="DefaultParagraphFont"/>
    <w:link w:val="CommentText"/>
    <w:uiPriority w:val="99"/>
    <w:semiHidden/>
    <w:rsid w:val="00CD6352"/>
    <w:rPr>
      <w:sz w:val="20"/>
      <w:szCs w:val="20"/>
    </w:rPr>
  </w:style>
  <w:style w:type="paragraph" w:styleId="CommentSubject">
    <w:name w:val="annotation subject"/>
    <w:basedOn w:val="CommentText"/>
    <w:next w:val="CommentText"/>
    <w:link w:val="CommentSubjectChar"/>
    <w:uiPriority w:val="99"/>
    <w:semiHidden/>
    <w:unhideWhenUsed/>
    <w:rsid w:val="00CD6352"/>
    <w:rPr>
      <w:b/>
      <w:bCs/>
    </w:rPr>
  </w:style>
  <w:style w:type="character" w:customStyle="1" w:styleId="CommentSubjectChar">
    <w:name w:val="Comment Subject Char"/>
    <w:basedOn w:val="CommentTextChar"/>
    <w:link w:val="CommentSubject"/>
    <w:uiPriority w:val="99"/>
    <w:semiHidden/>
    <w:rsid w:val="00CD6352"/>
    <w:rPr>
      <w:b/>
      <w:bCs/>
      <w:sz w:val="20"/>
      <w:szCs w:val="20"/>
    </w:rPr>
  </w:style>
  <w:style w:type="paragraph" w:styleId="FootnoteText">
    <w:name w:val="footnote text"/>
    <w:basedOn w:val="Normal"/>
    <w:link w:val="FootnoteTextChar"/>
    <w:uiPriority w:val="99"/>
    <w:semiHidden/>
    <w:unhideWhenUsed/>
    <w:rsid w:val="00CD63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6352"/>
    <w:rPr>
      <w:sz w:val="20"/>
      <w:szCs w:val="20"/>
    </w:rPr>
  </w:style>
  <w:style w:type="paragraph" w:styleId="NormalWeb">
    <w:name w:val="Normal (Web)"/>
    <w:basedOn w:val="Normal"/>
    <w:rsid w:val="00CD6352"/>
    <w:pPr>
      <w:suppressAutoHyphens/>
      <w:spacing w:before="280" w:after="280" w:line="240" w:lineRule="auto"/>
    </w:pPr>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CD6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52"/>
  </w:style>
  <w:style w:type="paragraph" w:styleId="Footer">
    <w:name w:val="footer"/>
    <w:basedOn w:val="Normal"/>
    <w:link w:val="FooterChar"/>
    <w:uiPriority w:val="99"/>
    <w:unhideWhenUsed/>
    <w:rsid w:val="00CD6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352"/>
  </w:style>
  <w:style w:type="table" w:customStyle="1" w:styleId="TableGrid1">
    <w:name w:val="Table Grid1"/>
    <w:basedOn w:val="TableNormal"/>
    <w:next w:val="TableGrid"/>
    <w:uiPriority w:val="5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D6352"/>
    <w:rPr>
      <w:i/>
      <w:iCs/>
      <w:color w:val="808080" w:themeColor="text1" w:themeTint="7F"/>
    </w:rPr>
  </w:style>
  <w:style w:type="paragraph" w:styleId="TOC1">
    <w:name w:val="toc 1"/>
    <w:basedOn w:val="Normal"/>
    <w:next w:val="Normal"/>
    <w:autoRedefine/>
    <w:uiPriority w:val="39"/>
    <w:unhideWhenUsed/>
    <w:rsid w:val="00CD635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D6352"/>
    <w:pPr>
      <w:spacing w:before="240" w:after="0"/>
    </w:pPr>
    <w:rPr>
      <w:b/>
      <w:bCs/>
      <w:sz w:val="20"/>
      <w:szCs w:val="20"/>
    </w:rPr>
  </w:style>
  <w:style w:type="paragraph" w:styleId="TOC3">
    <w:name w:val="toc 3"/>
    <w:basedOn w:val="Normal"/>
    <w:next w:val="Normal"/>
    <w:autoRedefine/>
    <w:uiPriority w:val="39"/>
    <w:unhideWhenUsed/>
    <w:rsid w:val="00CD6352"/>
    <w:pPr>
      <w:spacing w:after="0"/>
      <w:ind w:left="220"/>
    </w:pPr>
    <w:rPr>
      <w:sz w:val="20"/>
      <w:szCs w:val="20"/>
    </w:rPr>
  </w:style>
  <w:style w:type="paragraph" w:styleId="TOC4">
    <w:name w:val="toc 4"/>
    <w:basedOn w:val="Normal"/>
    <w:next w:val="Normal"/>
    <w:autoRedefine/>
    <w:uiPriority w:val="39"/>
    <w:unhideWhenUsed/>
    <w:rsid w:val="00CD6352"/>
    <w:pPr>
      <w:spacing w:after="0"/>
      <w:ind w:left="440"/>
    </w:pPr>
    <w:rPr>
      <w:sz w:val="20"/>
      <w:szCs w:val="20"/>
    </w:rPr>
  </w:style>
  <w:style w:type="paragraph" w:styleId="TOC5">
    <w:name w:val="toc 5"/>
    <w:basedOn w:val="Normal"/>
    <w:next w:val="Normal"/>
    <w:autoRedefine/>
    <w:uiPriority w:val="39"/>
    <w:unhideWhenUsed/>
    <w:rsid w:val="00CD6352"/>
    <w:pPr>
      <w:spacing w:after="0"/>
      <w:ind w:left="660"/>
    </w:pPr>
    <w:rPr>
      <w:sz w:val="20"/>
      <w:szCs w:val="20"/>
    </w:rPr>
  </w:style>
  <w:style w:type="paragraph" w:styleId="TOC6">
    <w:name w:val="toc 6"/>
    <w:basedOn w:val="Normal"/>
    <w:next w:val="Normal"/>
    <w:autoRedefine/>
    <w:uiPriority w:val="39"/>
    <w:unhideWhenUsed/>
    <w:rsid w:val="00CD6352"/>
    <w:pPr>
      <w:spacing w:after="0"/>
      <w:ind w:left="880"/>
    </w:pPr>
    <w:rPr>
      <w:sz w:val="20"/>
      <w:szCs w:val="20"/>
    </w:rPr>
  </w:style>
  <w:style w:type="paragraph" w:styleId="TOC7">
    <w:name w:val="toc 7"/>
    <w:basedOn w:val="Normal"/>
    <w:next w:val="Normal"/>
    <w:autoRedefine/>
    <w:uiPriority w:val="39"/>
    <w:unhideWhenUsed/>
    <w:rsid w:val="00CD6352"/>
    <w:pPr>
      <w:spacing w:after="0"/>
      <w:ind w:left="1100"/>
    </w:pPr>
    <w:rPr>
      <w:sz w:val="20"/>
      <w:szCs w:val="20"/>
    </w:rPr>
  </w:style>
  <w:style w:type="paragraph" w:styleId="TOC8">
    <w:name w:val="toc 8"/>
    <w:basedOn w:val="Normal"/>
    <w:next w:val="Normal"/>
    <w:autoRedefine/>
    <w:uiPriority w:val="39"/>
    <w:unhideWhenUsed/>
    <w:rsid w:val="00CD6352"/>
    <w:pPr>
      <w:spacing w:after="0"/>
      <w:ind w:left="1320"/>
    </w:pPr>
    <w:rPr>
      <w:sz w:val="20"/>
      <w:szCs w:val="20"/>
    </w:rPr>
  </w:style>
  <w:style w:type="paragraph" w:styleId="TOC9">
    <w:name w:val="toc 9"/>
    <w:basedOn w:val="Normal"/>
    <w:next w:val="Normal"/>
    <w:autoRedefine/>
    <w:uiPriority w:val="39"/>
    <w:unhideWhenUsed/>
    <w:rsid w:val="00CD6352"/>
    <w:pPr>
      <w:spacing w:after="0"/>
      <w:ind w:left="1540"/>
    </w:pPr>
    <w:rPr>
      <w:sz w:val="20"/>
      <w:szCs w:val="20"/>
    </w:rPr>
  </w:style>
  <w:style w:type="paragraph" w:styleId="TOCHeading">
    <w:name w:val="TOC Heading"/>
    <w:basedOn w:val="Heading1"/>
    <w:next w:val="Normal"/>
    <w:uiPriority w:val="39"/>
    <w:unhideWhenUsed/>
    <w:qFormat/>
    <w:rsid w:val="00CD6352"/>
    <w:pPr>
      <w:numPr>
        <w:numId w:val="0"/>
      </w:numPr>
      <w:spacing w:before="240" w:line="259" w:lineRule="auto"/>
      <w:outlineLvl w:val="9"/>
    </w:pPr>
    <w:rPr>
      <w:rFonts w:asciiTheme="majorHAnsi" w:hAnsiTheme="majorHAnsi"/>
      <w:b w:val="0"/>
      <w:bCs w:val="0"/>
      <w:color w:val="2F5496" w:themeColor="accent1" w:themeShade="BF"/>
      <w:sz w:val="32"/>
      <w:szCs w:val="32"/>
      <w:u w:val="none"/>
      <w:lang w:val="en-US"/>
    </w:rPr>
  </w:style>
  <w:style w:type="paragraph" w:styleId="NoSpacing">
    <w:name w:val="No Spacing"/>
    <w:link w:val="NoSpacingChar"/>
    <w:uiPriority w:val="1"/>
    <w:qFormat/>
    <w:rsid w:val="00CD63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D6352"/>
    <w:rPr>
      <w:rFonts w:eastAsiaTheme="minorEastAsia"/>
      <w:lang w:val="en-US"/>
    </w:rPr>
  </w:style>
  <w:style w:type="table" w:customStyle="1" w:styleId="TableGrid2">
    <w:name w:val="Table Grid2"/>
    <w:basedOn w:val="TableNormal"/>
    <w:next w:val="TableGrid"/>
    <w:uiPriority w:val="3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D635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6352"/>
    <w:rPr>
      <w:rFonts w:eastAsiaTheme="minorEastAsia"/>
      <w:color w:val="5A5A5A" w:themeColor="text1" w:themeTint="A5"/>
      <w:spacing w:val="15"/>
    </w:rPr>
  </w:style>
  <w:style w:type="character" w:styleId="Emphasis">
    <w:name w:val="Emphasis"/>
    <w:basedOn w:val="DefaultParagraphFont"/>
    <w:uiPriority w:val="20"/>
    <w:qFormat/>
    <w:rsid w:val="00CD6352"/>
    <w:rPr>
      <w:i/>
      <w:iCs/>
    </w:rPr>
  </w:style>
  <w:style w:type="character" w:styleId="IntenseEmphasis">
    <w:name w:val="Intense Emphasis"/>
    <w:basedOn w:val="DefaultParagraphFont"/>
    <w:uiPriority w:val="21"/>
    <w:qFormat/>
    <w:rsid w:val="00CD6352"/>
    <w:rPr>
      <w:i/>
      <w:iCs/>
      <w:color w:val="4472C4" w:themeColor="accent1"/>
    </w:rPr>
  </w:style>
  <w:style w:type="character" w:styleId="IntenseReference">
    <w:name w:val="Intense Reference"/>
    <w:basedOn w:val="DefaultParagraphFont"/>
    <w:uiPriority w:val="32"/>
    <w:qFormat/>
    <w:rsid w:val="00CD6352"/>
    <w:rPr>
      <w:b/>
      <w:bCs/>
      <w:smallCaps/>
      <w:color w:val="4472C4" w:themeColor="accent1"/>
      <w:spacing w:val="5"/>
    </w:rPr>
  </w:style>
  <w:style w:type="character" w:styleId="BookTitle">
    <w:name w:val="Book Title"/>
    <w:basedOn w:val="DefaultParagraphFont"/>
    <w:uiPriority w:val="33"/>
    <w:qFormat/>
    <w:rsid w:val="00CD6352"/>
    <w:rPr>
      <w:b/>
      <w:bCs/>
      <w:i/>
      <w:iCs/>
      <w:spacing w:val="5"/>
    </w:rPr>
  </w:style>
  <w:style w:type="character" w:styleId="SubtleReference">
    <w:name w:val="Subtle Reference"/>
    <w:basedOn w:val="DefaultParagraphFont"/>
    <w:uiPriority w:val="31"/>
    <w:qFormat/>
    <w:rsid w:val="00CD6352"/>
    <w:rPr>
      <w:smallCaps/>
      <w:color w:val="5A5A5A" w:themeColor="text1" w:themeTint="A5"/>
    </w:rPr>
  </w:style>
  <w:style w:type="paragraph" w:styleId="IntenseQuote">
    <w:name w:val="Intense Quote"/>
    <w:basedOn w:val="Normal"/>
    <w:next w:val="Normal"/>
    <w:link w:val="IntenseQuoteChar"/>
    <w:uiPriority w:val="30"/>
    <w:qFormat/>
    <w:rsid w:val="00CD635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D6352"/>
    <w:rPr>
      <w:i/>
      <w:iCs/>
      <w:color w:val="4472C4" w:themeColor="accent1"/>
    </w:rPr>
  </w:style>
  <w:style w:type="character" w:styleId="Strong">
    <w:name w:val="Strong"/>
    <w:basedOn w:val="DefaultParagraphFont"/>
    <w:qFormat/>
    <w:rsid w:val="00CD6352"/>
    <w:rPr>
      <w:b/>
      <w:bCs/>
    </w:rPr>
  </w:style>
  <w:style w:type="paragraph" w:styleId="Title">
    <w:name w:val="Title"/>
    <w:basedOn w:val="Normal"/>
    <w:next w:val="Normal"/>
    <w:link w:val="TitleChar"/>
    <w:uiPriority w:val="10"/>
    <w:qFormat/>
    <w:rsid w:val="00CD63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52"/>
    <w:rPr>
      <w:rFonts w:asciiTheme="majorHAnsi" w:eastAsiaTheme="majorEastAsia" w:hAnsiTheme="majorHAnsi" w:cstheme="majorBidi"/>
      <w:spacing w:val="-10"/>
      <w:kern w:val="28"/>
      <w:sz w:val="56"/>
      <w:szCs w:val="56"/>
    </w:rPr>
  </w:style>
  <w:style w:type="table" w:customStyle="1" w:styleId="TableGrid21">
    <w:name w:val="Table Grid21"/>
    <w:basedOn w:val="TableNormal"/>
    <w:next w:val="TableGrid"/>
    <w:uiPriority w:val="3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D63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CD63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1">
    <w:name w:val="Grid Table 5 Dark1"/>
    <w:basedOn w:val="TableNormal"/>
    <w:uiPriority w:val="50"/>
    <w:rsid w:val="00CD63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21">
    <w:name w:val="Grid Table 21"/>
    <w:basedOn w:val="TableNormal"/>
    <w:uiPriority w:val="47"/>
    <w:rsid w:val="00CD635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CD63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CD6352"/>
    <w:pPr>
      <w:spacing w:after="0"/>
    </w:pPr>
    <w:rPr>
      <w:i/>
      <w:iCs/>
      <w:sz w:val="20"/>
      <w:szCs w:val="20"/>
    </w:rPr>
  </w:style>
  <w:style w:type="paragraph" w:styleId="Caption">
    <w:name w:val="caption"/>
    <w:basedOn w:val="Normal"/>
    <w:next w:val="Normal"/>
    <w:unhideWhenUsed/>
    <w:qFormat/>
    <w:rsid w:val="00CD6352"/>
    <w:pPr>
      <w:spacing w:after="200" w:line="240" w:lineRule="auto"/>
    </w:pPr>
    <w:rPr>
      <w:i/>
      <w:iCs/>
      <w:color w:val="44546A" w:themeColor="text2"/>
      <w:sz w:val="18"/>
      <w:szCs w:val="18"/>
    </w:rPr>
  </w:style>
  <w:style w:type="table" w:customStyle="1" w:styleId="TableGrid6">
    <w:name w:val="Table Grid6"/>
    <w:basedOn w:val="TableNormal"/>
    <w:next w:val="TableGrid"/>
    <w:uiPriority w:val="39"/>
    <w:rsid w:val="00CD63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D63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6352"/>
    <w:rPr>
      <w:color w:val="954F72" w:themeColor="followedHyperlink"/>
      <w:u w:val="single"/>
    </w:rPr>
  </w:style>
  <w:style w:type="table" w:customStyle="1" w:styleId="PlainTable21">
    <w:name w:val="Plain Table 21"/>
    <w:basedOn w:val="TableNormal"/>
    <w:uiPriority w:val="42"/>
    <w:rsid w:val="00CD63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8">
    <w:name w:val="Table Grid8"/>
    <w:basedOn w:val="TableNormal"/>
    <w:next w:val="TableGrid"/>
    <w:uiPriority w:val="59"/>
    <w:rsid w:val="00CD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D6352"/>
    <w:rPr>
      <w:color w:val="605E5C"/>
      <w:shd w:val="clear" w:color="auto" w:fill="E1DFDD"/>
    </w:rPr>
  </w:style>
  <w:style w:type="paragraph" w:styleId="Quote">
    <w:name w:val="Quote"/>
    <w:basedOn w:val="Normal"/>
    <w:next w:val="Normal"/>
    <w:link w:val="QuoteChar"/>
    <w:uiPriority w:val="29"/>
    <w:qFormat/>
    <w:rsid w:val="00CD63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6352"/>
    <w:rPr>
      <w:i/>
      <w:iCs/>
      <w:color w:val="404040" w:themeColor="text1" w:themeTint="BF"/>
    </w:rPr>
  </w:style>
  <w:style w:type="numbering" w:customStyle="1" w:styleId="Style1">
    <w:name w:val="Style1"/>
    <w:uiPriority w:val="99"/>
    <w:rsid w:val="00CD6352"/>
    <w:pPr>
      <w:numPr>
        <w:numId w:val="248"/>
      </w:numPr>
    </w:pPr>
  </w:style>
  <w:style w:type="numbering" w:customStyle="1" w:styleId="Style2">
    <w:name w:val="Style2"/>
    <w:uiPriority w:val="99"/>
    <w:rsid w:val="00CD6352"/>
    <w:pPr>
      <w:numPr>
        <w:numId w:val="249"/>
      </w:numPr>
    </w:pPr>
  </w:style>
  <w:style w:type="numbering" w:customStyle="1" w:styleId="Style3">
    <w:name w:val="Style3"/>
    <w:uiPriority w:val="99"/>
    <w:rsid w:val="00CD6352"/>
    <w:pPr>
      <w:numPr>
        <w:numId w:val="250"/>
      </w:numPr>
    </w:pPr>
  </w:style>
  <w:style w:type="numbering" w:customStyle="1" w:styleId="Style4">
    <w:name w:val="Style4"/>
    <w:uiPriority w:val="99"/>
    <w:rsid w:val="00CD6352"/>
    <w:pPr>
      <w:numPr>
        <w:numId w:val="252"/>
      </w:numPr>
    </w:pPr>
  </w:style>
  <w:style w:type="numbering" w:customStyle="1" w:styleId="Style5">
    <w:name w:val="Style5"/>
    <w:uiPriority w:val="99"/>
    <w:rsid w:val="00CD6352"/>
    <w:pPr>
      <w:numPr>
        <w:numId w:val="254"/>
      </w:numPr>
    </w:pPr>
  </w:style>
  <w:style w:type="table" w:customStyle="1" w:styleId="TableGrid9">
    <w:name w:val="Table Grid9"/>
    <w:basedOn w:val="TableNormal"/>
    <w:next w:val="TableGrid"/>
    <w:uiPriority w:val="59"/>
    <w:rsid w:val="00B72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7274A"/>
  </w:style>
  <w:style w:type="numbering" w:customStyle="1" w:styleId="Style12">
    <w:name w:val="Style12"/>
    <w:uiPriority w:val="99"/>
    <w:rsid w:val="00BE714C"/>
    <w:pPr>
      <w:numPr>
        <w:numId w:val="8"/>
      </w:numPr>
    </w:pPr>
  </w:style>
  <w:style w:type="table" w:styleId="GridTable3">
    <w:name w:val="Grid Table 3"/>
    <w:basedOn w:val="TableNormal"/>
    <w:uiPriority w:val="48"/>
    <w:rsid w:val="00BC29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51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re.ac.uk/download/pdf/6908799.pdf" TargetMode="External"/><Relationship Id="rId21" Type="http://schemas.openxmlformats.org/officeDocument/2006/relationships/chart" Target="charts/chart4.xml"/><Relationship Id="rId42" Type="http://schemas.openxmlformats.org/officeDocument/2006/relationships/hyperlink" Target="https://0-doi-org.lispac.lsbu.ac.uk/10.1016/j.econmod.2013.10.037" TargetMode="External"/><Relationship Id="rId63" Type="http://schemas.openxmlformats.org/officeDocument/2006/relationships/hyperlink" Target="https://www.insidehousing.co.uk/news/news/england-needs-340000-new-homes-a-year-says-nhf-56355" TargetMode="External"/><Relationship Id="rId84" Type="http://schemas.openxmlformats.org/officeDocument/2006/relationships/hyperlink" Target="https://managecasa.com/articles/berlin-housing-market/" TargetMode="External"/><Relationship Id="rId138" Type="http://schemas.openxmlformats.org/officeDocument/2006/relationships/hyperlink" Target="https://doi.org/10.5176%2F2010-4804%2F1.1.29" TargetMode="External"/><Relationship Id="rId159" Type="http://schemas.openxmlformats.org/officeDocument/2006/relationships/hyperlink" Target="http://www.arcom.ac.uk/-docs/archive/2018-Indexed-Papers.pdf" TargetMode="External"/><Relationship Id="rId170" Type="http://schemas.openxmlformats.org/officeDocument/2006/relationships/hyperlink" Target="https://0-emeraldinsight-com.lispac.lsbu.ac.uk/author/Patterson%2C+Gary+A" TargetMode="External"/><Relationship Id="rId191" Type="http://schemas.openxmlformats.org/officeDocument/2006/relationships/hyperlink" Target="https://www.worldbank.org/en/country/china/overview" TargetMode="External"/><Relationship Id="rId205" Type="http://schemas.openxmlformats.org/officeDocument/2006/relationships/hyperlink" Target="https://www.canada.ca/en/financial-consumer-agency/services/financial-toolkit.html" TargetMode="External"/><Relationship Id="rId107" Type="http://schemas.openxmlformats.org/officeDocument/2006/relationships/hyperlink" Target="https://ssrn.com/abstract=243138" TargetMode="External"/><Relationship Id="rId11" Type="http://schemas.openxmlformats.org/officeDocument/2006/relationships/image" Target="media/image2.png"/><Relationship Id="rId32" Type="http://schemas.openxmlformats.org/officeDocument/2006/relationships/diagramData" Target="diagrams/data1.xml"/><Relationship Id="rId53" Type="http://schemas.openxmlformats.org/officeDocument/2006/relationships/hyperlink" Target="https://www.tandfonline.com/doi/abs/10.1080/00086495.2013.11672495?journalCode=rcbq20" TargetMode="External"/><Relationship Id="rId74" Type="http://schemas.openxmlformats.org/officeDocument/2006/relationships/hyperlink" Target="file:///C:/Users/smart/Downloads/Emerging%20International%20Real%20Estate%20Markets%20(December%202015)%20Short%20Paper.pdf" TargetMode="External"/><Relationship Id="rId128" Type="http://schemas.openxmlformats.org/officeDocument/2006/relationships/hyperlink" Target="https://www.bis.org/review/r040820e.pdf" TargetMode="External"/><Relationship Id="rId149" Type="http://schemas.openxmlformats.org/officeDocument/2006/relationships/hyperlink" Target="https://hdl.handle.net/1721.1%2F2068" TargetMode="External"/><Relationship Id="rId5" Type="http://schemas.openxmlformats.org/officeDocument/2006/relationships/settings" Target="settings.xml"/><Relationship Id="rId95" Type="http://schemas.openxmlformats.org/officeDocument/2006/relationships/hyperlink" Target="https://www.gfmag.com/magazine/january-2012/sector-report-real-estate-finance" TargetMode="External"/><Relationship Id="rId160" Type="http://schemas.openxmlformats.org/officeDocument/2006/relationships/hyperlink" Target="https://www.uaf.edu/files/uafgov/fsadmin-nulty5-19-10.pdf(accessed" TargetMode="External"/><Relationship Id="rId181" Type="http://schemas.openxmlformats.org/officeDocument/2006/relationships/hyperlink" Target="https://www.businessdayonline.com/aligning-world-bank-recommendation-housing-crisis/" TargetMode="External"/><Relationship Id="rId22" Type="http://schemas.openxmlformats.org/officeDocument/2006/relationships/chart" Target="charts/chart5.xml"/><Relationship Id="rId43" Type="http://schemas.openxmlformats.org/officeDocument/2006/relationships/hyperlink" Target="https://kissflow.com/finance/finance-process-mapping-basics/" TargetMode="External"/><Relationship Id="rId64" Type="http://schemas.openxmlformats.org/officeDocument/2006/relationships/hyperlink" Target="file:///C:/Users/ogbenjl2/Downloads/CBP-7706%20(1).pdf" TargetMode="External"/><Relationship Id="rId118" Type="http://schemas.openxmlformats.org/officeDocument/2006/relationships/hyperlink" Target="http://www.hrzone.com/hr-glossary/what-is-a-career-path" TargetMode="External"/><Relationship Id="rId139" Type="http://schemas.openxmlformats.org/officeDocument/2006/relationships/hyperlink" Target="https://www.mckinsey.com/featured-insights/urbanization/tackling-the-worlds-affordable-housing-challenge" TargetMode="External"/><Relationship Id="rId85" Type="http://schemas.openxmlformats.org/officeDocument/2006/relationships/hyperlink" Target="https://www.nytimes.com/1979/10/24/archives/british-abolish-controls-on-foreign-currency-some-outflows-are.html" TargetMode="External"/><Relationship Id="rId150" Type="http://schemas.openxmlformats.org/officeDocument/2006/relationships/hyperlink" Target="https://en.wikipedia.org/wiki/Digital_object_identifier" TargetMode="External"/><Relationship Id="rId171" Type="http://schemas.openxmlformats.org/officeDocument/2006/relationships/hyperlink" Target="http://usir.salford.ac.uk/44058/7/IRC2017_Proceedings_12102017_optimised.pdf" TargetMode="External"/><Relationship Id="rId192" Type="http://schemas.openxmlformats.org/officeDocument/2006/relationships/hyperlink" Target="http://ubosieleh.com/wp-content/uploads/2017/05/Nigeria-Real-Estate-Market-Review-Strategic-Outlook-2017.pdf" TargetMode="External"/><Relationship Id="rId206" Type="http://schemas.openxmlformats.org/officeDocument/2006/relationships/hyperlink" Target="https://en.wikipedia.org/wiki/Digital_object_identifier" TargetMode="External"/><Relationship Id="rId12" Type="http://schemas.openxmlformats.org/officeDocument/2006/relationships/image" Target="media/image3.png"/><Relationship Id="rId33" Type="http://schemas.openxmlformats.org/officeDocument/2006/relationships/diagramLayout" Target="diagrams/layout1.xml"/><Relationship Id="rId108" Type="http://schemas.openxmlformats.org/officeDocument/2006/relationships/hyperlink" Target="https://www.investopedia.com/terms/c/correlationcoefficient.asp" TargetMode="External"/><Relationship Id="rId129" Type="http://schemas.openxmlformats.org/officeDocument/2006/relationships/hyperlink" Target="https://www.uniassignment.com/essay-samples/economics/the-macroeconomics-of-residential-investment-factors-economics-essay.php" TargetMode="External"/><Relationship Id="rId54" Type="http://schemas.openxmlformats.org/officeDocument/2006/relationships/hyperlink" Target="https://0-doi-org.lispac.lsbu.ac.uk/10.1016/S2212-5671(15)01520-8" TargetMode="External"/><Relationship Id="rId75" Type="http://schemas.openxmlformats.org/officeDocument/2006/relationships/hyperlink" Target="http://usir.salford.ac.uk/44058/7/IRC2017_Proceedings_12102017_optimised.pdf" TargetMode="External"/><Relationship Id="rId96" Type="http://schemas.openxmlformats.org/officeDocument/2006/relationships/hyperlink" Target="https://blogs.wsj.com/privateequity/2014/08/07/sovereign-wealth-funds-pump-near-record-amount-of-cash-in-deals/" TargetMode="External"/><Relationship Id="rId140" Type="http://schemas.openxmlformats.org/officeDocument/2006/relationships/hyperlink" Target="https://web.archive.org/web/20140808032616/http://beta2.statssa.gov.za/publications/P0302/P03022014.pdf" TargetMode="External"/><Relationship Id="rId161" Type="http://schemas.openxmlformats.org/officeDocument/2006/relationships/hyperlink" Target="https://arpgweb.com/journal/journal/7/special_issue" TargetMode="External"/><Relationship Id="rId182" Type="http://schemas.openxmlformats.org/officeDocument/2006/relationships/hyperlink" Target="http://www.afrer.org/docs/pdf/Journal%20African%20Real%20Estate%20Research%202014.pdf" TargetMode="External"/><Relationship Id="rId6" Type="http://schemas.openxmlformats.org/officeDocument/2006/relationships/webSettings" Target="webSettings.xml"/><Relationship Id="rId23" Type="http://schemas.openxmlformats.org/officeDocument/2006/relationships/image" Target="media/image9.gif"/><Relationship Id="rId119" Type="http://schemas.openxmlformats.org/officeDocument/2006/relationships/hyperlink" Target="https://www.inflation.eu/inflation-rates/germany/historic-inflation/hicp-inflation-germany.aspx" TargetMode="External"/><Relationship Id="rId44" Type="http://schemas.openxmlformats.org/officeDocument/2006/relationships/hyperlink" Target="https://www.vanguardngr.com/2018/01/developers-unfold-potentials-lekki-property-market/" TargetMode="External"/><Relationship Id="rId65" Type="http://schemas.openxmlformats.org/officeDocument/2006/relationships/hyperlink" Target="https://academic.oup.com/iwc/article/23/1/4/693091" TargetMode="External"/><Relationship Id="rId86" Type="http://schemas.openxmlformats.org/officeDocument/2006/relationships/hyperlink" Target="http://speri.dept.shef.ac.uk/2017/12/07/capital-controls-are-back-on-the-agenda-but-why-did-britain-scrap-them-in-the-1970s/" TargetMode="External"/><Relationship Id="rId130" Type="http://schemas.openxmlformats.org/officeDocument/2006/relationships/hyperlink" Target="https://0-doi-org.lispac.lsbu.ac.uk/10.1016/j.dss.2016.04.006" TargetMode="External"/><Relationship Id="rId151" Type="http://schemas.openxmlformats.org/officeDocument/2006/relationships/hyperlink" Target="https://doi.org/10.1016%2F0304-405X%2884%2990023-0" TargetMode="External"/><Relationship Id="rId172" Type="http://schemas.openxmlformats.org/officeDocument/2006/relationships/hyperlink" Target="https://city-press.news24.com/News/housing-in-sa-3-faqs-" TargetMode="External"/><Relationship Id="rId193" Type="http://schemas.openxmlformats.org/officeDocument/2006/relationships/hyperlink" Target="https://www.premiumtimesng.com/features-and-interviews/199725-15-things-know-treasury-single-account-tsa.html" TargetMode="External"/><Relationship Id="rId207" Type="http://schemas.openxmlformats.org/officeDocument/2006/relationships/hyperlink" Target="https://doi.org/10.2139%2Fssrn.2747749" TargetMode="External"/><Relationship Id="rId13" Type="http://schemas.openxmlformats.org/officeDocument/2006/relationships/chart" Target="charts/chart1.xml"/><Relationship Id="rId109" Type="http://schemas.openxmlformats.org/officeDocument/2006/relationships/hyperlink" Target="http://www.who.int/healthsystems/" TargetMode="External"/><Relationship Id="rId34" Type="http://schemas.openxmlformats.org/officeDocument/2006/relationships/diagramQuickStyle" Target="diagrams/quickStyle1.xml"/><Relationship Id="rId55" Type="http://schemas.openxmlformats.org/officeDocument/2006/relationships/hyperlink" Target="https://www.apm.org.uk/media/2274/apm-competence-framework.pdf" TargetMode="External"/><Relationship Id="rId76" Type="http://schemas.openxmlformats.org/officeDocument/2006/relationships/hyperlink" Target="http://www.cesifo-group.de/de/ifoHome/facts/DICE/Banking-and-Financial-Markets/Banking/Comparative-Statistics.html" TargetMode="External"/><Relationship Id="rId97" Type="http://schemas.openxmlformats.org/officeDocument/2006/relationships/hyperlink" Target="https://pdfs.semanticscholar.org/8df1/1aafddb28b39d57155767f4282548e5833d0.pdf" TargetMode="External"/><Relationship Id="rId120" Type="http://schemas.openxmlformats.org/officeDocument/2006/relationships/hyperlink" Target="https://www.jll.de/content/dam/jll-com/documents/pdf/research/emea/germany/en/New-Business-Report-Real-Estate-Financing-JLL-Germany.pdf" TargetMode="External"/><Relationship Id="rId141" Type="http://schemas.openxmlformats.org/officeDocument/2006/relationships/hyperlink" Target="http://citeseerx.ist.psu.edu/viewdoc/download?doi=10.1.1.560.905&amp;rep=rep1&amp;type=pdf" TargetMode="External"/><Relationship Id="rId7" Type="http://schemas.openxmlformats.org/officeDocument/2006/relationships/footnotes" Target="footnotes.xml"/><Relationship Id="rId162" Type="http://schemas.openxmlformats.org/officeDocument/2006/relationships/hyperlink" Target="http://www.afrer.org/docs/pdf/Journal%20African%20Real%20Estate%20Research%202014.pdf" TargetMode="External"/><Relationship Id="rId183" Type="http://schemas.openxmlformats.org/officeDocument/2006/relationships/hyperlink" Target="http://www.arcom.ac.uk/-docs/archive/2018-Indexed-Papers.pdf" TargetMode="External"/><Relationship Id="rId24" Type="http://schemas.openxmlformats.org/officeDocument/2006/relationships/image" Target="media/image10.png"/><Relationship Id="rId45" Type="http://schemas.openxmlformats.org/officeDocument/2006/relationships/hyperlink" Target="https://www.iflr.com/Article/3196331/Nigerian-rules-on-private-equity-funds.html?ArticleId=3196331" TargetMode="External"/><Relationship Id="rId66" Type="http://schemas.openxmlformats.org/officeDocument/2006/relationships/hyperlink" Target="https://www.bbc.co.uk/news/uk-49787913" TargetMode="External"/><Relationship Id="rId87" Type="http://schemas.openxmlformats.org/officeDocument/2006/relationships/hyperlink" Target="https://econweb.ucsd.edu/~vcrawfor/CrawfordKnoer81EMT.pdf" TargetMode="External"/><Relationship Id="rId110" Type="http://schemas.openxmlformats.org/officeDocument/2006/relationships/hyperlink" Target="https://guardian.ng/property/developers-investors-opt-for-crowd-funding-to-finance-real-estate/" TargetMode="External"/><Relationship Id="rId131" Type="http://schemas.openxmlformats.org/officeDocument/2006/relationships/hyperlink" Target="https://gflec.org/wp-content/uploads/2014/12/economic-importance-financial-literacy-theory-evidence.pdf" TargetMode="External"/><Relationship Id="rId152" Type="http://schemas.openxmlformats.org/officeDocument/2006/relationships/hyperlink" Target="https://en.wikipedia.org/wiki/Handle_System" TargetMode="External"/><Relationship Id="rId173" Type="http://schemas.openxmlformats.org/officeDocument/2006/relationships/hyperlink" Target="https://doi.org/10.1016/j.ecolecon.2008.12.006" TargetMode="External"/><Relationship Id="rId194" Type="http://schemas.openxmlformats.org/officeDocument/2006/relationships/hyperlink" Target="http://www.arcom.ac.uk/-docs/archive/2018-Indexed-Papers.pdf" TargetMode="External"/><Relationship Id="rId208" Type="http://schemas.openxmlformats.org/officeDocument/2006/relationships/hyperlink" Target="https://en.wikipedia.org/wiki/Social_Science_Research_Network" TargetMode="External"/><Relationship Id="rId19" Type="http://schemas.openxmlformats.org/officeDocument/2006/relationships/chart" Target="charts/chart2.xml"/><Relationship Id="rId14" Type="http://schemas.openxmlformats.org/officeDocument/2006/relationships/image" Target="media/image4.jpeg"/><Relationship Id="rId30" Type="http://schemas.openxmlformats.org/officeDocument/2006/relationships/chart" Target="charts/chart7.xml"/><Relationship Id="rId35" Type="http://schemas.openxmlformats.org/officeDocument/2006/relationships/diagramColors" Target="diagrams/colors1.xml"/><Relationship Id="rId56" Type="http://schemas.openxmlformats.org/officeDocument/2006/relationships/hyperlink" Target="https://doi.org/10.1142/S1363919618500573" TargetMode="External"/><Relationship Id="rId77" Type="http://schemas.openxmlformats.org/officeDocument/2006/relationships/hyperlink" Target="https://www.investopedia.com/terms/b/behavioralist.asp" TargetMode="External"/><Relationship Id="rId100" Type="http://schemas.openxmlformats.org/officeDocument/2006/relationships/hyperlink" Target="http://eajournals.org/wp-content/uploads/Sources-of-Real-Estate-Finance-and-Their-Impact-on-Property-Development-in-Nigeria.pdf" TargetMode="External"/><Relationship Id="rId105" Type="http://schemas.openxmlformats.org/officeDocument/2006/relationships/hyperlink" Target="https://doi.org/10.2139%2Fssrn.243138" TargetMode="External"/><Relationship Id="rId126" Type="http://schemas.openxmlformats.org/officeDocument/2006/relationships/hyperlink" Target="http://etheses.lse.ac.uk/1429/1/U087133.pdf" TargetMode="External"/><Relationship Id="rId147" Type="http://schemas.openxmlformats.org/officeDocument/2006/relationships/hyperlink" Target="https://doi.org/10.1016%2F0304-405X%2884%2990023-0" TargetMode="External"/><Relationship Id="rId168" Type="http://schemas.openxmlformats.org/officeDocument/2006/relationships/hyperlink" Target="http://govandbusinessjournal.com.ng/growing-the-middle-class-in-Nigeria-a-" TargetMode="External"/><Relationship Id="rId8" Type="http://schemas.openxmlformats.org/officeDocument/2006/relationships/endnotes" Target="endnotes.xml"/><Relationship Id="rId51" Type="http://schemas.openxmlformats.org/officeDocument/2006/relationships/hyperlink" Target="http://citeseerx.ist.psu.edu/viewdoc/download?doi=10.1.1.983.8496&amp;rep=rep1&amp;type=pdf" TargetMode="External"/><Relationship Id="rId72" Type="http://schemas.openxmlformats.org/officeDocument/2006/relationships/hyperlink" Target="http://news.bbc.co.uk/1/hi/world/africa/7512700.stm" TargetMode="External"/><Relationship Id="rId93" Type="http://schemas.openxmlformats.org/officeDocument/2006/relationships/hyperlink" Target="https://www.economist.com/news/2003/11/20/not-by-rules-alone" TargetMode="External"/><Relationship Id="rId98" Type="http://schemas.openxmlformats.org/officeDocument/2006/relationships/hyperlink" Target="http://www.sciencewebpublishing.net/jeibm/archive/2016/1/pdf/Uchenna%20and%20Kalu.pdf" TargetMode="External"/><Relationship Id="rId121" Type="http://schemas.openxmlformats.org/officeDocument/2006/relationships/hyperlink" Target="https://www.lexology.com/library/detail.aspx?g=c6b0c850-0546-4f7d-a6a5-957e5e6eeea3" TargetMode="External"/><Relationship Id="rId142" Type="http://schemas.openxmlformats.org/officeDocument/2006/relationships/hyperlink" Target="http://dx.doi.org/10.2307/2392045" TargetMode="External"/><Relationship Id="rId163" Type="http://schemas.openxmlformats.org/officeDocument/2006/relationships/hyperlink" Target="https://www.premiumtimesng.com/news/headlines/242391-breaking-nigerian-economy-recession-statistics-bureau.html" TargetMode="External"/><Relationship Id="rId184" Type="http://schemas.openxmlformats.org/officeDocument/2006/relationships/hyperlink" Target="http://home.uchicago.edu/~vlima/courses/econ200/spring01/stigler.pdf" TargetMode="External"/><Relationship Id="rId189" Type="http://schemas.openxmlformats.org/officeDocument/2006/relationships/hyperlink" Target="https://tradingeconomics.com/" TargetMode="External"/><Relationship Id="rId3" Type="http://schemas.openxmlformats.org/officeDocument/2006/relationships/numbering" Target="numbering.xml"/><Relationship Id="rId214" Type="http://schemas.openxmlformats.org/officeDocument/2006/relationships/fontTable" Target="fontTable.xml"/><Relationship Id="rId25" Type="http://schemas.openxmlformats.org/officeDocument/2006/relationships/image" Target="media/image11.png"/><Relationship Id="rId46" Type="http://schemas.openxmlformats.org/officeDocument/2006/relationships/hyperlink" Target="https://newtelegraphonline.com/2017/11/reclamation-lagos-emerging-water-cities/" TargetMode="External"/><Relationship Id="rId67" Type="http://schemas.openxmlformats.org/officeDocument/2006/relationships/hyperlink" Target="https://doi.org/10.1016/j.jbankfin.2009.08.020" TargetMode="External"/><Relationship Id="rId116" Type="http://schemas.openxmlformats.org/officeDocument/2006/relationships/hyperlink" Target="https://www.investopedia.com/articles/03/073003.asp" TargetMode="External"/><Relationship Id="rId137" Type="http://schemas.openxmlformats.org/officeDocument/2006/relationships/hyperlink" Target="https://en.wikipedia.org/wiki/Digital_object_identifier" TargetMode="External"/><Relationship Id="rId158" Type="http://schemas.openxmlformats.org/officeDocument/2006/relationships/hyperlink" Target="https://www.vanguardngr.com/2012/09/lekki-a-time-bomb-waiting-to-explode/" TargetMode="External"/><Relationship Id="rId20" Type="http://schemas.openxmlformats.org/officeDocument/2006/relationships/chart" Target="charts/chart3.xml"/><Relationship Id="rId41" Type="http://schemas.microsoft.com/office/2007/relationships/diagramDrawing" Target="diagrams/drawing2.xml"/><Relationship Id="rId62" Type="http://schemas.openxmlformats.org/officeDocument/2006/relationships/hyperlink" Target="http://www.blackwellpublishing.com/content/BPL_Images/Journal_Samples/JOFI0022-1082~57~1~414%5C414.pdf" TargetMode="External"/><Relationship Id="rId83" Type="http://schemas.openxmlformats.org/officeDocument/2006/relationships/hyperlink" Target="https://bmchealthservres.biomedcentral.com/articles/10.1186/1472-6963-10-7" TargetMode="External"/><Relationship Id="rId88" Type="http://schemas.openxmlformats.org/officeDocument/2006/relationships/hyperlink" Target="https://acci.memberclicks.net/assets/docs/CIA/CIA2007/cudelawrencelyons_getfinanciallyfitafinancialeducationtoolki.pdf" TargetMode="External"/><Relationship Id="rId111" Type="http://schemas.openxmlformats.org/officeDocument/2006/relationships/hyperlink" Target="https://www.frontiersin.org/articles/10.3389/fpsyg.2015.01304/full" TargetMode="External"/><Relationship Id="rId132" Type="http://schemas.openxmlformats.org/officeDocument/2006/relationships/hyperlink" Target="https://www.emerald.com/insight/search?q=Damien%20Maguire" TargetMode="External"/><Relationship Id="rId153" Type="http://schemas.openxmlformats.org/officeDocument/2006/relationships/hyperlink" Target="https://hdl.handle.net/1721.1%2F2068" TargetMode="External"/><Relationship Id="rId174" Type="http://schemas.openxmlformats.org/officeDocument/2006/relationships/hyperlink" Target="https://www.thebalancecareers.com/critical-success-factors-in-business-2275171" TargetMode="External"/><Relationship Id="rId179" Type="http://schemas.openxmlformats.org/officeDocument/2006/relationships/hyperlink" Target="https://www.investopedia.com/articles/financial-careers/09/private-equity.asp" TargetMode="External"/><Relationship Id="rId195" Type="http://schemas.openxmlformats.org/officeDocument/2006/relationships/hyperlink" Target="https://scholar.google.com/scholar?hl=en&amp;as_sdt=0%2C5&amp;q=UN+Habitat%2C+2009&amp;btnG=" TargetMode="External"/><Relationship Id="rId209" Type="http://schemas.openxmlformats.org/officeDocument/2006/relationships/hyperlink" Target="https://ssrn.com/abstract=2747749" TargetMode="External"/><Relationship Id="rId190" Type="http://schemas.openxmlformats.org/officeDocument/2006/relationships/hyperlink" Target="https://data.worldbank.org/indicator/SP.DYN.TFRT.IN?end=2016&amp;locations=DE&amp;start=1960" TargetMode="External"/><Relationship Id="rId204" Type="http://schemas.openxmlformats.org/officeDocument/2006/relationships/hyperlink" Target="https://openknowledge.worldbank.org/bitstream/handle/10986/16294/798080WP050Too0Box0379791B00PUBLIC0.pdf;sequence=1" TargetMode="External"/><Relationship Id="rId15" Type="http://schemas.openxmlformats.org/officeDocument/2006/relationships/image" Target="media/image5.gif"/><Relationship Id="rId36" Type="http://schemas.microsoft.com/office/2007/relationships/diagramDrawing" Target="diagrams/drawing1.xml"/><Relationship Id="rId57" Type="http://schemas.openxmlformats.org/officeDocument/2006/relationships/hyperlink" Target="https://www.researchgate.net/publication/235266179_Socio-technical_systems_theory_An_intervention_strategy_for_organizational_development" TargetMode="External"/><Relationship Id="rId106" Type="http://schemas.openxmlformats.org/officeDocument/2006/relationships/hyperlink" Target="https://en.wikipedia.org/wiki/Social_Science_Research_Network" TargetMode="External"/><Relationship Id="rId127" Type="http://schemas.openxmlformats.org/officeDocument/2006/relationships/hyperlink" Target="https://0-doi-org.lispac.lsbu.ac.uk/10.1108/ECAM-10-2018-0440" TargetMode="External"/><Relationship Id="rId10" Type="http://schemas.openxmlformats.org/officeDocument/2006/relationships/hyperlink" Target="file:///C:\Users\lucyo\Desktop\New%20Desk%20top\HP%20DESKTOP%2011042021\Amuda\Final%20Thesis%2005022021\Update%20from%20VIVA\A%20guide%20for%20Securing%20Real%20Estate%20Project%20Development%20Finance%20in%20Developed%20and%20Emerging%20Economies.docx" TargetMode="External"/><Relationship Id="rId31" Type="http://schemas.openxmlformats.org/officeDocument/2006/relationships/image" Target="media/image15.png"/><Relationship Id="rId52" Type="http://schemas.openxmlformats.org/officeDocument/2006/relationships/hyperlink" Target="https://bloomfire.com/blog/implicit-tacit-explicit-knowledge/" TargetMode="External"/><Relationship Id="rId73" Type="http://schemas.openxmlformats.org/officeDocument/2006/relationships/hyperlink" Target="https://0-doi-org.lispac.lsbu.ac.uk/10.1016/j.landusepol.2018.06.013" TargetMode="External"/><Relationship Id="rId78" Type="http://schemas.openxmlformats.org/officeDocument/2006/relationships/hyperlink" Target="https://www.investopedia.com/terms/e/eurobond.asp" TargetMode="External"/><Relationship Id="rId94" Type="http://schemas.openxmlformats.org/officeDocument/2006/relationships/hyperlink" Target="https://www.thebalancecareers.com/career-path-definition-with-examples-2059765" TargetMode="External"/><Relationship Id="rId99" Type="http://schemas.openxmlformats.org/officeDocument/2006/relationships/hyperlink" Target="https://doi.org/10.1016/S0263-7863(99)00034-4" TargetMode="External"/><Relationship Id="rId101" Type="http://schemas.openxmlformats.org/officeDocument/2006/relationships/hyperlink" Target="http://blogs.worldbank.org/psd/six-financial-sector-challenges-emerging-and-developing-economies" TargetMode="External"/><Relationship Id="rId122" Type="http://schemas.openxmlformats.org/officeDocument/2006/relationships/hyperlink" Target="https://doi.org/10.1016/j.econmod.2015.10.015" TargetMode="External"/><Relationship Id="rId143" Type="http://schemas.openxmlformats.org/officeDocument/2006/relationships/hyperlink" Target="http://consiliacapital.com/sitemanager/uploads/ck_files/files/German%20listed%20real%20estate%20sector%20-%20disproportinoal%20representation.pdf" TargetMode="External"/><Relationship Id="rId148" Type="http://schemas.openxmlformats.org/officeDocument/2006/relationships/hyperlink" Target="https://en.wikipedia.org/wiki/Handle_System" TargetMode="External"/><Relationship Id="rId164" Type="http://schemas.openxmlformats.org/officeDocument/2006/relationships/hyperlink" Target="https://www.obalearn.com/5-basic-financial-skills-every-manager-know-understand/" TargetMode="External"/><Relationship Id="rId169" Type="http://schemas.openxmlformats.org/officeDocument/2006/relationships/hyperlink" Target="http://usir.salford.ac.uk/44058/7/IRC2017_Proceedings_12102017_optimised.pdf" TargetMode="External"/><Relationship Id="rId185" Type="http://schemas.openxmlformats.org/officeDocument/2006/relationships/hyperlink" Target="https://onlinelibrary.wiley.com/doi/abs/10.1111/j.1468-232X.1990.tb00752.x"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doi.org/10.1080/01621459.1972.10481232" TargetMode="External"/><Relationship Id="rId210" Type="http://schemas.openxmlformats.org/officeDocument/2006/relationships/hyperlink" Target="https://0-doi-org.lispac.lsbu.ac.uk/10.1016/j.renene.2009.09.016" TargetMode="External"/><Relationship Id="rId215" Type="http://schemas.openxmlformats.org/officeDocument/2006/relationships/theme" Target="theme/theme1.xml"/><Relationship Id="rId26" Type="http://schemas.openxmlformats.org/officeDocument/2006/relationships/image" Target="media/image12.png"/><Relationship Id="rId47" Type="http://schemas.openxmlformats.org/officeDocument/2006/relationships/hyperlink" Target="http://www.afresnet.net/about-site" TargetMode="External"/><Relationship Id="rId68" Type="http://schemas.openxmlformats.org/officeDocument/2006/relationships/hyperlink" Target="http://www.demographia.com/dhi.pdf" TargetMode="External"/><Relationship Id="rId89" Type="http://schemas.openxmlformats.org/officeDocument/2006/relationships/hyperlink" Target="https://www.recapitalnews.com/german-real-estate-bankers-pressure/" TargetMode="External"/><Relationship Id="rId112" Type="http://schemas.openxmlformats.org/officeDocument/2006/relationships/hyperlink" Target="https://www.researchgate.net/profile/Sepehr_Ghazinoory/publication/220256472_Fuzzy_SWOT_analysis/links/553e1ab80cf20184050dca1a.pdf" TargetMode="External"/><Relationship Id="rId133" Type="http://schemas.openxmlformats.org/officeDocument/2006/relationships/hyperlink" Target="https://www.emerald.com/insight/search?q=Andrew%20Axcell" TargetMode="External"/><Relationship Id="rId154" Type="http://schemas.openxmlformats.org/officeDocument/2006/relationships/hyperlink" Target="http://www.nigerianstat.gov.ng/(Accessed" TargetMode="External"/><Relationship Id="rId175" Type="http://schemas.openxmlformats.org/officeDocument/2006/relationships/hyperlink" Target="https://www.ribaplanofwork.com/" TargetMode="External"/><Relationship Id="rId196" Type="http://schemas.openxmlformats.org/officeDocument/2006/relationships/hyperlink" Target="file:///C:/Users/smart/Downloads/Water.org_Toolkit_4_-_WASH_Finance_Process_Risk_Mgmt_Pricing_Internal_Audit__Controls.pdf" TargetMode="External"/><Relationship Id="rId200" Type="http://schemas.openxmlformats.org/officeDocument/2006/relationships/hyperlink" Target="http://usir.salford.ac.uk/44058/7/IRC2017_Proceedings_12102017_optimised.pdf" TargetMode="External"/><Relationship Id="rId16" Type="http://schemas.openxmlformats.org/officeDocument/2006/relationships/image" Target="media/image6.png"/><Relationship Id="rId37" Type="http://schemas.openxmlformats.org/officeDocument/2006/relationships/diagramData" Target="diagrams/data2.xml"/><Relationship Id="rId58" Type="http://schemas.openxmlformats.org/officeDocument/2006/relationships/hyperlink" Target="https://www.repository.cam.ac.uk/bitstream/handle/1810/288412/19_05_Aristodemou_Tietze.pdf?sequence=3&amp;isAllowed=y" TargetMode="External"/><Relationship Id="rId79" Type="http://schemas.openxmlformats.org/officeDocument/2006/relationships/hyperlink" Target="https://www.investopedia.com/terms/m/modigliani-millertheorem.asp" TargetMode="External"/><Relationship Id="rId102" Type="http://schemas.openxmlformats.org/officeDocument/2006/relationships/hyperlink" Target="https://www.citylab.com/equity/2018/04/the-global-housing-crisis/557639/" TargetMode="External"/><Relationship Id="rId123" Type="http://schemas.openxmlformats.org/officeDocument/2006/relationships/hyperlink" Target="http://www.arcom.ac.uk/-docs/archive/2017-Indexed-Papers.pdf" TargetMode="External"/><Relationship Id="rId144" Type="http://schemas.openxmlformats.org/officeDocument/2006/relationships/hyperlink" Target="http://consiliacapital.com/sitemanager/uploads/ck_files/files/German%20listed%20real%20estate%20sector%20-%20disproportinoal%20representation.pdf" TargetMode="External"/><Relationship Id="rId90" Type="http://schemas.openxmlformats.org/officeDocument/2006/relationships/hyperlink" Target="https://www.globalpropertyguide.com/Africa/South-Africa/Price-History" TargetMode="External"/><Relationship Id="rId165" Type="http://schemas.openxmlformats.org/officeDocument/2006/relationships/hyperlink" Target="http://erepo.usiu.ac.ke/bitstream/handle/11732/651/ONSOMU%20VINCENT%20ONGERA%20MBA%202015.pdf?sequence=4&amp;isAllowed=y" TargetMode="External"/><Relationship Id="rId186" Type="http://schemas.openxmlformats.org/officeDocument/2006/relationships/hyperlink" Target="https://sphweb.bumc.bu.edu/otlt/MPH-Modules/BS/BS704_Nonparametric/BS704_Nonparametric_print.html" TargetMode="External"/><Relationship Id="rId211" Type="http://schemas.openxmlformats.org/officeDocument/2006/relationships/hyperlink" Target="file:///C:/Users/ogbenjul/Downloads/7006.pdf" TargetMode="External"/><Relationship Id="rId27" Type="http://schemas.openxmlformats.org/officeDocument/2006/relationships/image" Target="media/image13.png"/><Relationship Id="rId48" Type="http://schemas.openxmlformats.org/officeDocument/2006/relationships/hyperlink" Target="https://www.researchgate.net/publication/312187946_Strategic_Decision_Making_Process_Models_and_Theories" TargetMode="External"/><Relationship Id="rId69" Type="http://schemas.openxmlformats.org/officeDocument/2006/relationships/hyperlink" Target="https://www.researchgate.net/publication/279526238_Job_Matching_The_Key_to_Performance" TargetMode="External"/><Relationship Id="rId113" Type="http://schemas.openxmlformats.org/officeDocument/2006/relationships/hyperlink" Target="https://www.jll.co.uk/content/dam/jll-com/documents/pdf/research/global/JLL%20Transparency%20Report%202018%20FINAL.pdf" TargetMode="External"/><Relationship Id="rId134" Type="http://schemas.openxmlformats.org/officeDocument/2006/relationships/hyperlink" Target="https://www.emerald.com/insight/publication/issn/0958-868X" TargetMode="External"/><Relationship Id="rId80" Type="http://schemas.openxmlformats.org/officeDocument/2006/relationships/hyperlink" Target="http://choo.ischool.utoronto.ca/FIS/respub/chooIMreader.pdf" TargetMode="External"/><Relationship Id="rId155" Type="http://schemas.openxmlformats.org/officeDocument/2006/relationships/hyperlink" Target="https://ethos.bl.uk/ProcessOrderDetailsDirect.do?eprintId=322826&amp;thesisTitle=Money%2C+inflation+and+growth+in+South+Africa.&amp;documentId=24" TargetMode="External"/><Relationship Id="rId176" Type="http://schemas.openxmlformats.org/officeDocument/2006/relationships/hyperlink" Target="https://www.rics.org/uk/events/e-learning/e-learning/financial" TargetMode="External"/><Relationship Id="rId197" Type="http://schemas.openxmlformats.org/officeDocument/2006/relationships/hyperlink" Target="https://nextlevelbusiness.co.uk/equity-finance-options/" TargetMode="External"/><Relationship Id="rId201" Type="http://schemas.openxmlformats.org/officeDocument/2006/relationships/hyperlink" Target="https://pdfs.semanticscholar.org/befd/4b8abc0738244ee521b17ef1a0008d2e922f.pdf" TargetMode="External"/><Relationship Id="rId17" Type="http://schemas.openxmlformats.org/officeDocument/2006/relationships/image" Target="media/image7.png"/><Relationship Id="rId38" Type="http://schemas.openxmlformats.org/officeDocument/2006/relationships/diagramLayout" Target="diagrams/layout2.xml"/><Relationship Id="rId59" Type="http://schemas.openxmlformats.org/officeDocument/2006/relationships/hyperlink" Target="http://citeseerx.ist.psu.edu/viewdoc/download?doi=10.1.1.989.3396&amp;rep=rep1&amp;type=pdf" TargetMode="External"/><Relationship Id="rId103" Type="http://schemas.openxmlformats.org/officeDocument/2006/relationships/hyperlink" Target="https://doi.org/10.1016/j.worlddev.2013.08.005" TargetMode="External"/><Relationship Id="rId124" Type="http://schemas.openxmlformats.org/officeDocument/2006/relationships/hyperlink" Target="https://www.semanticscholar.org/paper/The-Strategic-Decision-Making-Process-in-Mergers-of-Lamb-Becker/3d8cdc871113d43e59f437778e9b0badfcab70d2" TargetMode="External"/><Relationship Id="rId70" Type="http://schemas.openxmlformats.org/officeDocument/2006/relationships/hyperlink" Target="https://en.wikipedia.org/wiki/Principles_of_Corporate_Finance" TargetMode="External"/><Relationship Id="rId91" Type="http://schemas.openxmlformats.org/officeDocument/2006/relationships/hyperlink" Target="https://www.globalpropertyguide.com/Africa/Nigeria/Price-History" TargetMode="External"/><Relationship Id="rId145" Type="http://schemas.openxmlformats.org/officeDocument/2006/relationships/hyperlink" Target="https://doi.org/10.1016/0304-405X(84)90023-0" TargetMode="External"/><Relationship Id="rId166" Type="http://schemas.openxmlformats.org/officeDocument/2006/relationships/hyperlink" Target="https://conservancy.umn.edu/handle/11299/199849" TargetMode="External"/><Relationship Id="rId187" Type="http://schemas.openxmlformats.org/officeDocument/2006/relationships/hyperlink" Target="https://www.investopedia.com/ask/answers/052215/does-tradeoff-model-or-pecking-order-play-greater-role-capital-budgeting.asp" TargetMode="External"/><Relationship Id="rId1" Type="http://schemas.openxmlformats.org/officeDocument/2006/relationships/customXml" Target="../customXml/item1.xml"/><Relationship Id="rId212" Type="http://schemas.openxmlformats.org/officeDocument/2006/relationships/hyperlink" Target="file:///C:\Users\lucyo\Desktop\New%20Desk%20top\HP%20DESKTOP%2011042021\Amuda\Final%20Thesis%2005022021\Questionnaire%20survey%20for%20thesis.pdf" TargetMode="External"/><Relationship Id="rId28" Type="http://schemas.openxmlformats.org/officeDocument/2006/relationships/image" Target="media/image14.png"/><Relationship Id="rId49" Type="http://schemas.openxmlformats.org/officeDocument/2006/relationships/hyperlink" Target="http://www.arcom.ac.uk/-docs/archive/2017-Indexed-Papers.pdf" TargetMode="External"/><Relationship Id="rId114" Type="http://schemas.openxmlformats.org/officeDocument/2006/relationships/hyperlink" Target="https://scholarworks.umass.edu/cgi/viewcontent.cgi?article=1079&amp;context=jhfm" TargetMode="External"/><Relationship Id="rId60" Type="http://schemas.openxmlformats.org/officeDocument/2006/relationships/hyperlink" Target="http://punchng.com/inflation-to-remain-high-in-nigeria-next-year-imf/" TargetMode="External"/><Relationship Id="rId81" Type="http://schemas.openxmlformats.org/officeDocument/2006/relationships/hyperlink" Target="https://doi.org/10.1016/j.jfs.2011.12.001" TargetMode="External"/><Relationship Id="rId135" Type="http://schemas.openxmlformats.org/officeDocument/2006/relationships/hyperlink" Target="https://doi.org/10.1108/09588689410063184" TargetMode="External"/><Relationship Id="rId156" Type="http://schemas.openxmlformats.org/officeDocument/2006/relationships/hyperlink" Target="http://www.usfinancialcapability.org/downloads/NFCS_2015_Report_Natl_Findings.pdf" TargetMode="External"/><Relationship Id="rId177" Type="http://schemas.openxmlformats.org/officeDocument/2006/relationships/hyperlink" Target="http://eprints.glos.ac.uk/5641/1/PHD_Final_thesis_Redacted_Signature_CV.pdf" TargetMode="External"/><Relationship Id="rId198" Type="http://schemas.openxmlformats.org/officeDocument/2006/relationships/hyperlink" Target="https://www.telegraph.co.uk/finance/businessclub/7779435/10-questions-Securing-equity-funding-for-your-business.html" TargetMode="External"/><Relationship Id="rId202" Type="http://schemas.openxmlformats.org/officeDocument/2006/relationships/hyperlink" Target="https://papers.ssrn.com/sol3/papers.cfm?abstract_id=2769384" TargetMode="External"/><Relationship Id="rId18" Type="http://schemas.openxmlformats.org/officeDocument/2006/relationships/image" Target="media/image8.png"/><Relationship Id="rId39" Type="http://schemas.openxmlformats.org/officeDocument/2006/relationships/diagramQuickStyle" Target="diagrams/quickStyle2.xml"/><Relationship Id="rId50" Type="http://schemas.openxmlformats.org/officeDocument/2006/relationships/hyperlink" Target="https://www.bloomberg.com/news/articles/2017-03-28/nigerian-mortgage-lenders-strain-as-loans-sour-on-job-losses" TargetMode="External"/><Relationship Id="rId104" Type="http://schemas.openxmlformats.org/officeDocument/2006/relationships/hyperlink" Target="https://en.wikipedia.org/wiki/Digital_object_identifier" TargetMode="External"/><Relationship Id="rId125" Type="http://schemas.openxmlformats.org/officeDocument/2006/relationships/hyperlink" Target="http://dx.doi.org/10.1016/" TargetMode="External"/><Relationship Id="rId146" Type="http://schemas.openxmlformats.org/officeDocument/2006/relationships/hyperlink" Target="https://en.wikipedia.org/wiki/Digital_object_identifier" TargetMode="External"/><Relationship Id="rId167" Type="http://schemas.openxmlformats.org/officeDocument/2006/relationships/hyperlink" Target="https://www.bloomberg.com/news/articles/2015-08-06/nigeria-central-bank-bans-foreign-currency-deposits-in-lenders-iczyeddh" TargetMode="External"/><Relationship Id="rId188" Type="http://schemas.openxmlformats.org/officeDocument/2006/relationships/hyperlink" Target="https://fred.stlouisfed.org/" TargetMode="External"/><Relationship Id="rId71" Type="http://schemas.openxmlformats.org/officeDocument/2006/relationships/hyperlink" Target="http://www.arcom.ac.uk/-docs/archive/2018-Indexed-Papers.pdf" TargetMode="External"/><Relationship Id="rId92" Type="http://schemas.openxmlformats.org/officeDocument/2006/relationships/hyperlink" Target="http://sosyalarastirmalar.com/cilt10/sayi51_pdf/6iksisat_kamu_isletme/gurel_emet.pdf" TargetMode="External"/><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hart" Target="charts/chart6.xml"/><Relationship Id="rId40" Type="http://schemas.openxmlformats.org/officeDocument/2006/relationships/diagramColors" Target="diagrams/colors2.xml"/><Relationship Id="rId115" Type="http://schemas.openxmlformats.org/officeDocument/2006/relationships/hyperlink" Target="https://www.globalpropertyguide.com/Asia/China" TargetMode="External"/><Relationship Id="rId136" Type="http://schemas.openxmlformats.org/officeDocument/2006/relationships/hyperlink" Target="http://dl4.globalstf.org/?wpsc-product=pecking-order-theory-of-capital-structure-empirical-evidence-from-dynamic-panel-data" TargetMode="External"/><Relationship Id="rId157" Type="http://schemas.openxmlformats.org/officeDocument/2006/relationships/hyperlink" Target="https://0-doi-org.lispac.lsbu.ac.uk/10.1007/BF02461315" TargetMode="External"/><Relationship Id="rId178" Type="http://schemas.openxmlformats.org/officeDocument/2006/relationships/hyperlink" Target="https://www" TargetMode="External"/><Relationship Id="rId61" Type="http://schemas.openxmlformats.org/officeDocument/2006/relationships/hyperlink" Target="Https://Www.Researchgate.Net/Search.Search.Html?Type=Publication&amp;Query=Financial%20knowledge" TargetMode="External"/><Relationship Id="rId82" Type="http://schemas.openxmlformats.org/officeDocument/2006/relationships/hyperlink" Target="http://www.ciob.org/sites/default/files/skills" TargetMode="External"/><Relationship Id="rId199" Type="http://schemas.openxmlformats.org/officeDocument/2006/relationships/hyperlink" Target="http://www.arcom.ac.uk/-docs/proceedings/ar2001-649-659_Wilson.pdf" TargetMode="External"/><Relationship Id="rId203" Type="http://schemas.openxmlformats.org/officeDocument/2006/relationships/hyperlink" Target="https://ethos.bl.uk/OrderDetails.do?did=1&amp;uin=uk.bl.ethos.33572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Arial" panose="020B0604020202020204" pitchFamily="34" charset="0"/>
                <a:cs typeface="Arial" panose="020B0604020202020204" pitchFamily="34" charset="0"/>
              </a:defRPr>
            </a:pPr>
            <a:r>
              <a:rPr lang="en-GB" sz="800">
                <a:latin typeface="Arial" panose="020B0604020202020204" pitchFamily="34" charset="0"/>
                <a:cs typeface="Arial" panose="020B0604020202020204" pitchFamily="34" charset="0"/>
              </a:rPr>
              <a:t>Gross Domestic Product in Germany</a:t>
            </a:r>
          </a:p>
        </c:rich>
      </c:tx>
      <c:overlay val="0"/>
    </c:title>
    <c:autoTitleDeleted val="0"/>
    <c:plotArea>
      <c:layout>
        <c:manualLayout>
          <c:layoutTarget val="inner"/>
          <c:xMode val="edge"/>
          <c:yMode val="edge"/>
          <c:x val="0.24281243265644425"/>
          <c:y val="0.12411614173228347"/>
          <c:w val="0.71157894736842109"/>
          <c:h val="0.71939566929133858"/>
        </c:manualLayout>
      </c:layout>
      <c:lineChart>
        <c:grouping val="standard"/>
        <c:varyColors val="0"/>
        <c:ser>
          <c:idx val="0"/>
          <c:order val="0"/>
          <c:marker>
            <c:symbol val="none"/>
          </c:marker>
          <c:cat>
            <c:numRef>
              <c:f>Sheet45!$A$8:$A$26</c:f>
              <c:numCache>
                <c:formatCode>mm/dd/yyyy</c:formatCode>
                <c:ptCount val="19"/>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numCache>
            </c:numRef>
          </c:cat>
          <c:val>
            <c:numRef>
              <c:f>Sheet45!$B$8:$B$26</c:f>
              <c:numCache>
                <c:formatCode>0.0</c:formatCode>
                <c:ptCount val="19"/>
                <c:pt idx="0">
                  <c:v>589672702500</c:v>
                </c:pt>
                <c:pt idx="1">
                  <c:v>600460590000</c:v>
                </c:pt>
                <c:pt idx="2">
                  <c:v>600621842500</c:v>
                </c:pt>
                <c:pt idx="3">
                  <c:v>596300245000</c:v>
                </c:pt>
                <c:pt idx="4">
                  <c:v>600444457500</c:v>
                </c:pt>
                <c:pt idx="5">
                  <c:v>605717455000</c:v>
                </c:pt>
                <c:pt idx="6">
                  <c:v>629228247500</c:v>
                </c:pt>
                <c:pt idx="7">
                  <c:v>650400892500</c:v>
                </c:pt>
                <c:pt idx="8">
                  <c:v>655706115000</c:v>
                </c:pt>
                <c:pt idx="9">
                  <c:v>619230507500</c:v>
                </c:pt>
                <c:pt idx="10">
                  <c:v>643660457500</c:v>
                </c:pt>
                <c:pt idx="11">
                  <c:v>667606657500</c:v>
                </c:pt>
                <c:pt idx="12">
                  <c:v>672218517500</c:v>
                </c:pt>
                <c:pt idx="13">
                  <c:v>676233722500</c:v>
                </c:pt>
                <c:pt idx="14">
                  <c:v>690972315000</c:v>
                </c:pt>
                <c:pt idx="15">
                  <c:v>701244175000</c:v>
                </c:pt>
                <c:pt idx="16">
                  <c:v>716369785000</c:v>
                </c:pt>
                <c:pt idx="17">
                  <c:v>733946450000</c:v>
                </c:pt>
                <c:pt idx="18">
                  <c:v>744589207500</c:v>
                </c:pt>
              </c:numCache>
            </c:numRef>
          </c:val>
          <c:smooth val="0"/>
          <c:extLst>
            <c:ext xmlns:c16="http://schemas.microsoft.com/office/drawing/2014/chart" uri="{C3380CC4-5D6E-409C-BE32-E72D297353CC}">
              <c16:uniqueId val="{00000000-5D12-42CE-91C7-FE1E2886557C}"/>
            </c:ext>
          </c:extLst>
        </c:ser>
        <c:dLbls>
          <c:showLegendKey val="0"/>
          <c:showVal val="0"/>
          <c:showCatName val="0"/>
          <c:showSerName val="0"/>
          <c:showPercent val="0"/>
          <c:showBubbleSize val="0"/>
        </c:dLbls>
        <c:smooth val="0"/>
        <c:axId val="837872640"/>
        <c:axId val="892413632"/>
      </c:lineChart>
      <c:dateAx>
        <c:axId val="837872640"/>
        <c:scaling>
          <c:orientation val="minMax"/>
        </c:scaling>
        <c:delete val="0"/>
        <c:axPos val="b"/>
        <c:title>
          <c:tx>
            <c:rich>
              <a:bodyPr/>
              <a:lstStyle/>
              <a:p>
                <a:pPr algn="l">
                  <a:defRPr sz="800" b="0">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Source: Organization for Economic Co-operation and Development/FRED</a:t>
                </a:r>
              </a:p>
            </c:rich>
          </c:tx>
          <c:overlay val="0"/>
        </c:title>
        <c:numFmt formatCode="[$-409]mmm\-yy;@" sourceLinked="0"/>
        <c:majorTickMark val="none"/>
        <c:minorTickMark val="none"/>
        <c:tickLblPos val="low"/>
        <c:crossAx val="892413632"/>
        <c:crosses val="autoZero"/>
        <c:auto val="1"/>
        <c:lblOffset val="100"/>
        <c:baseTimeUnit val="years"/>
        <c:majorUnit val="3"/>
        <c:majorTimeUnit val="years"/>
      </c:dateAx>
      <c:valAx>
        <c:axId val="892413632"/>
        <c:scaling>
          <c:orientation val="minMax"/>
          <c:min val="500000000000"/>
        </c:scaling>
        <c:delete val="0"/>
        <c:axPos val="l"/>
        <c:majorGridlines>
          <c:spPr>
            <a:ln>
              <a:prstDash val="sysDot"/>
            </a:ln>
          </c:spPr>
        </c:majorGridlines>
        <c:title>
          <c:tx>
            <c:rich>
              <a:bodyPr/>
              <a:lstStyle/>
              <a:p>
                <a:pPr>
                  <a:defRPr sz="800" b="0">
                    <a:latin typeface="Arial" panose="020B0604020202020204" pitchFamily="34" charset="0"/>
                    <a:cs typeface="Arial" panose="020B0604020202020204" pitchFamily="34" charset="0"/>
                  </a:defRPr>
                </a:pPr>
                <a:r>
                  <a:rPr lang="en-GB" sz="800">
                    <a:latin typeface="Arial" panose="020B0604020202020204" pitchFamily="34" charset="0"/>
                    <a:cs typeface="Arial" panose="020B0604020202020204" pitchFamily="34" charset="0"/>
                  </a:rPr>
                  <a:t>Chained 2010 Euros</a:t>
                </a:r>
              </a:p>
            </c:rich>
          </c:tx>
          <c:overlay val="0"/>
        </c:title>
        <c:numFmt formatCode="0.0" sourceLinked="1"/>
        <c:majorTickMark val="out"/>
        <c:minorTickMark val="none"/>
        <c:tickLblPos val="nextTo"/>
        <c:crossAx val="837872640"/>
        <c:crosses val="autoZero"/>
        <c:crossBetween val="between"/>
        <c:dispUnits>
          <c:builtInUnit val="billions"/>
          <c:dispUnitsLbl>
            <c:txPr>
              <a:bodyPr/>
              <a:lstStyle/>
              <a:p>
                <a:pPr>
                  <a:defRPr>
                    <a:latin typeface="Arial" panose="020B0604020202020204" pitchFamily="34" charset="0"/>
                    <a:cs typeface="Arial" panose="020B0604020202020204" pitchFamily="34" charset="0"/>
                  </a:defRPr>
                </a:pPr>
                <a:endParaRPr lang="en-US"/>
              </a:p>
            </c:txPr>
          </c:dispUnitsLbl>
        </c:dispUnits>
      </c:valAx>
    </c:plotArea>
    <c:plotVisOnly val="1"/>
    <c:dispBlanksAs val="gap"/>
    <c:showDLblsOverMax val="0"/>
  </c:chart>
  <c:spPr>
    <a:solidFill>
      <a:srgbClr val="DBE5F1"/>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UK Population</a:t>
            </a:r>
            <a:r>
              <a:rPr lang="en-US" sz="800" baseline="0">
                <a:latin typeface="Arial" panose="020B0604020202020204" pitchFamily="34" charset="0"/>
                <a:cs typeface="Arial" panose="020B0604020202020204" pitchFamily="34" charset="0"/>
              </a:rPr>
              <a:t> estimates ( 1951 to 2017) </a:t>
            </a:r>
            <a:endParaRPr lang="en-US" sz="800">
              <a:latin typeface="Arial" panose="020B0604020202020204" pitchFamily="34" charset="0"/>
              <a:cs typeface="Arial" panose="020B0604020202020204" pitchFamily="34" charset="0"/>
            </a:endParaRPr>
          </a:p>
        </c:rich>
      </c:tx>
      <c:layout>
        <c:manualLayout>
          <c:xMode val="edge"/>
          <c:yMode val="edge"/>
          <c:x val="0.24331687668703933"/>
          <c:y val="4.7702952480149496E-2"/>
        </c:manualLayout>
      </c:layout>
      <c:overlay val="0"/>
      <c:spPr>
        <a:noFill/>
        <a:ln>
          <a:noFill/>
        </a:ln>
        <a:effectLst/>
      </c:spPr>
    </c:title>
    <c:autoTitleDeleted val="0"/>
    <c:plotArea>
      <c:layout/>
      <c:lineChart>
        <c:grouping val="standard"/>
        <c:varyColors val="0"/>
        <c:ser>
          <c:idx val="0"/>
          <c:order val="0"/>
          <c:tx>
            <c:strRef>
              <c:f>Figure_1__UK_population_estimat!$B$7</c:f>
              <c:strCache>
                <c:ptCount val="1"/>
                <c:pt idx="0">
                  <c:v>Estimates</c:v>
                </c:pt>
              </c:strCache>
            </c:strRef>
          </c:tx>
          <c:spPr>
            <a:ln w="28575" cap="rnd">
              <a:solidFill>
                <a:schemeClr val="accent1"/>
              </a:solidFill>
              <a:round/>
            </a:ln>
            <a:effectLst/>
          </c:spPr>
          <c:marker>
            <c:symbol val="none"/>
          </c:marker>
          <c:cat>
            <c:numRef>
              <c:f>Figure_1__UK_population_estimat!$A$8:$A$74</c:f>
              <c:numCache>
                <c:formatCode>General</c:formatCode>
                <c:ptCount val="67"/>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pt idx="65">
                  <c:v>2016</c:v>
                </c:pt>
                <c:pt idx="66">
                  <c:v>2017</c:v>
                </c:pt>
              </c:numCache>
            </c:numRef>
          </c:cat>
          <c:val>
            <c:numRef>
              <c:f>Figure_1__UK_population_estimat!$B$8:$B$74</c:f>
              <c:numCache>
                <c:formatCode>General</c:formatCode>
                <c:ptCount val="67"/>
                <c:pt idx="0">
                  <c:v>50286900</c:v>
                </c:pt>
                <c:pt idx="1">
                  <c:v>50429200</c:v>
                </c:pt>
                <c:pt idx="2">
                  <c:v>50592900</c:v>
                </c:pt>
                <c:pt idx="3">
                  <c:v>50764900</c:v>
                </c:pt>
                <c:pt idx="4">
                  <c:v>50946100</c:v>
                </c:pt>
                <c:pt idx="5">
                  <c:v>51183500</c:v>
                </c:pt>
                <c:pt idx="6">
                  <c:v>51430200</c:v>
                </c:pt>
                <c:pt idx="7">
                  <c:v>51652500</c:v>
                </c:pt>
                <c:pt idx="8">
                  <c:v>51956300</c:v>
                </c:pt>
                <c:pt idx="9">
                  <c:v>52372500</c:v>
                </c:pt>
                <c:pt idx="10">
                  <c:v>52807400</c:v>
                </c:pt>
                <c:pt idx="11">
                  <c:v>53291800</c:v>
                </c:pt>
                <c:pt idx="12">
                  <c:v>53624900</c:v>
                </c:pt>
                <c:pt idx="13">
                  <c:v>53990800</c:v>
                </c:pt>
                <c:pt idx="14">
                  <c:v>54349500</c:v>
                </c:pt>
                <c:pt idx="15">
                  <c:v>54642700</c:v>
                </c:pt>
                <c:pt idx="16">
                  <c:v>54959000</c:v>
                </c:pt>
                <c:pt idx="17">
                  <c:v>55213500</c:v>
                </c:pt>
                <c:pt idx="18">
                  <c:v>55460600</c:v>
                </c:pt>
                <c:pt idx="19">
                  <c:v>55632200</c:v>
                </c:pt>
                <c:pt idx="20">
                  <c:v>55928000</c:v>
                </c:pt>
                <c:pt idx="21">
                  <c:v>56096700</c:v>
                </c:pt>
                <c:pt idx="22">
                  <c:v>56222900</c:v>
                </c:pt>
                <c:pt idx="23">
                  <c:v>56235600</c:v>
                </c:pt>
                <c:pt idx="24">
                  <c:v>56225700</c:v>
                </c:pt>
                <c:pt idx="25">
                  <c:v>56216100</c:v>
                </c:pt>
                <c:pt idx="26">
                  <c:v>56189900</c:v>
                </c:pt>
                <c:pt idx="27">
                  <c:v>56178000</c:v>
                </c:pt>
                <c:pt idx="28">
                  <c:v>56240100</c:v>
                </c:pt>
                <c:pt idx="29">
                  <c:v>56329700</c:v>
                </c:pt>
                <c:pt idx="30">
                  <c:v>56357500</c:v>
                </c:pt>
                <c:pt idx="31">
                  <c:v>56290700</c:v>
                </c:pt>
                <c:pt idx="32">
                  <c:v>56315700</c:v>
                </c:pt>
                <c:pt idx="33">
                  <c:v>56409300</c:v>
                </c:pt>
                <c:pt idx="34">
                  <c:v>56554000</c:v>
                </c:pt>
                <c:pt idx="35">
                  <c:v>56683800</c:v>
                </c:pt>
                <c:pt idx="36">
                  <c:v>56804000</c:v>
                </c:pt>
                <c:pt idx="37">
                  <c:v>56916400</c:v>
                </c:pt>
                <c:pt idx="38">
                  <c:v>57076500</c:v>
                </c:pt>
                <c:pt idx="39">
                  <c:v>57237500</c:v>
                </c:pt>
                <c:pt idx="40">
                  <c:v>57438700</c:v>
                </c:pt>
                <c:pt idx="41">
                  <c:v>57584500</c:v>
                </c:pt>
                <c:pt idx="42">
                  <c:v>57713900</c:v>
                </c:pt>
                <c:pt idx="43">
                  <c:v>57862100</c:v>
                </c:pt>
                <c:pt idx="44">
                  <c:v>58024800</c:v>
                </c:pt>
                <c:pt idx="45">
                  <c:v>58164400</c:v>
                </c:pt>
                <c:pt idx="46">
                  <c:v>58314200</c:v>
                </c:pt>
                <c:pt idx="47">
                  <c:v>58474900</c:v>
                </c:pt>
                <c:pt idx="48">
                  <c:v>58684400</c:v>
                </c:pt>
                <c:pt idx="49">
                  <c:v>58886100</c:v>
                </c:pt>
                <c:pt idx="50">
                  <c:v>59113000</c:v>
                </c:pt>
                <c:pt idx="51">
                  <c:v>59365700</c:v>
                </c:pt>
                <c:pt idx="52">
                  <c:v>59636700</c:v>
                </c:pt>
                <c:pt idx="53">
                  <c:v>59950400</c:v>
                </c:pt>
                <c:pt idx="54">
                  <c:v>60413300</c:v>
                </c:pt>
                <c:pt idx="55">
                  <c:v>60827100</c:v>
                </c:pt>
                <c:pt idx="56">
                  <c:v>61319100</c:v>
                </c:pt>
                <c:pt idx="57">
                  <c:v>61823800</c:v>
                </c:pt>
                <c:pt idx="58">
                  <c:v>62260500</c:v>
                </c:pt>
                <c:pt idx="59">
                  <c:v>62759500</c:v>
                </c:pt>
                <c:pt idx="60">
                  <c:v>63285100</c:v>
                </c:pt>
                <c:pt idx="61">
                  <c:v>63705000</c:v>
                </c:pt>
                <c:pt idx="62">
                  <c:v>64105700</c:v>
                </c:pt>
                <c:pt idx="63">
                  <c:v>64596800</c:v>
                </c:pt>
                <c:pt idx="64">
                  <c:v>65110000</c:v>
                </c:pt>
                <c:pt idx="65">
                  <c:v>65648100</c:v>
                </c:pt>
                <c:pt idx="66">
                  <c:v>66040200</c:v>
                </c:pt>
              </c:numCache>
            </c:numRef>
          </c:val>
          <c:smooth val="0"/>
          <c:extLst>
            <c:ext xmlns:c16="http://schemas.microsoft.com/office/drawing/2014/chart" uri="{C3380CC4-5D6E-409C-BE32-E72D297353CC}">
              <c16:uniqueId val="{00000000-8FB9-4B8A-A37C-28BB1E551A34}"/>
            </c:ext>
          </c:extLst>
        </c:ser>
        <c:dLbls>
          <c:showLegendKey val="0"/>
          <c:showVal val="0"/>
          <c:showCatName val="0"/>
          <c:showSerName val="0"/>
          <c:showPercent val="0"/>
          <c:showBubbleSize val="0"/>
        </c:dLbls>
        <c:smooth val="0"/>
        <c:axId val="837873152"/>
        <c:axId val="892417088"/>
      </c:lineChart>
      <c:catAx>
        <c:axId val="8378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2417088"/>
        <c:crosses val="autoZero"/>
        <c:auto val="1"/>
        <c:lblAlgn val="ctr"/>
        <c:lblOffset val="100"/>
        <c:noMultiLvlLbl val="0"/>
      </c:catAx>
      <c:valAx>
        <c:axId val="892417088"/>
        <c:scaling>
          <c:orientation val="minMax"/>
          <c:min val="5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787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82107555704473"/>
          <c:y val="4.037279885468862E-2"/>
          <c:w val="0.77446808510638299"/>
          <c:h val="0.80029377236936294"/>
        </c:manualLayout>
      </c:layout>
      <c:lineChart>
        <c:grouping val="standard"/>
        <c:varyColors val="0"/>
        <c:ser>
          <c:idx val="0"/>
          <c:order val="0"/>
          <c:tx>
            <c:v>UNDCONTSA</c:v>
          </c:tx>
          <c:spPr>
            <a:ln>
              <a:solidFill>
                <a:srgbClr val="708BA1"/>
              </a:solidFill>
              <a:prstDash val="solid"/>
            </a:ln>
          </c:spPr>
          <c:marker>
            <c:symbol val="none"/>
          </c:marker>
          <c:cat>
            <c:numRef>
              <c:f>Sheet16!$A$8:$A$27</c:f>
              <c:numCache>
                <c:formatCode>mm/dd/yyyy</c:formatCode>
                <c:ptCount val="20"/>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numCache>
            </c:numRef>
          </c:cat>
          <c:val>
            <c:numRef>
              <c:f>Sheet16!$B$8:$B$27</c:f>
              <c:numCache>
                <c:formatCode>0.0</c:formatCode>
                <c:ptCount val="20"/>
                <c:pt idx="0">
                  <c:v>981</c:v>
                </c:pt>
                <c:pt idx="1">
                  <c:v>1006</c:v>
                </c:pt>
                <c:pt idx="2">
                  <c:v>1019</c:v>
                </c:pt>
                <c:pt idx="3">
                  <c:v>1089</c:v>
                </c:pt>
                <c:pt idx="4">
                  <c:v>1236</c:v>
                </c:pt>
                <c:pt idx="5">
                  <c:v>1346</c:v>
                </c:pt>
                <c:pt idx="6">
                  <c:v>1356</c:v>
                </c:pt>
                <c:pt idx="7">
                  <c:v>1144</c:v>
                </c:pt>
                <c:pt idx="8">
                  <c:v>948</c:v>
                </c:pt>
                <c:pt idx="9">
                  <c:v>632</c:v>
                </c:pt>
                <c:pt idx="10">
                  <c:v>460</c:v>
                </c:pt>
                <c:pt idx="11">
                  <c:v>422</c:v>
                </c:pt>
                <c:pt idx="12">
                  <c:v>489</c:v>
                </c:pt>
                <c:pt idx="13">
                  <c:v>634</c:v>
                </c:pt>
                <c:pt idx="14">
                  <c:v>771</c:v>
                </c:pt>
                <c:pt idx="15">
                  <c:v>899</c:v>
                </c:pt>
                <c:pt idx="16">
                  <c:v>1018</c:v>
                </c:pt>
                <c:pt idx="17">
                  <c:v>1082</c:v>
                </c:pt>
                <c:pt idx="18">
                  <c:v>1128</c:v>
                </c:pt>
                <c:pt idx="19">
                  <c:v>#N/A</c:v>
                </c:pt>
              </c:numCache>
            </c:numRef>
          </c:val>
          <c:smooth val="0"/>
          <c:extLst>
            <c:ext xmlns:c16="http://schemas.microsoft.com/office/drawing/2014/chart" uri="{C3380CC4-5D6E-409C-BE32-E72D297353CC}">
              <c16:uniqueId val="{00000000-BD82-46B1-A0DE-9F10C47FD56C}"/>
            </c:ext>
          </c:extLst>
        </c:ser>
        <c:dLbls>
          <c:showLegendKey val="0"/>
          <c:showVal val="0"/>
          <c:showCatName val="0"/>
          <c:showSerName val="0"/>
          <c:showPercent val="0"/>
          <c:showBubbleSize val="0"/>
        </c:dLbls>
        <c:marker val="1"/>
        <c:smooth val="0"/>
        <c:axId val="841017856"/>
        <c:axId val="892414784"/>
      </c:lineChart>
      <c:lineChart>
        <c:grouping val="standard"/>
        <c:varyColors val="0"/>
        <c:ser>
          <c:idx val="1"/>
          <c:order val="1"/>
          <c:tx>
            <c:v>HOUST</c:v>
          </c:tx>
          <c:spPr>
            <a:ln>
              <a:solidFill>
                <a:srgbClr val="88AB59"/>
              </a:solidFill>
              <a:prstDash val="solid"/>
            </a:ln>
          </c:spPr>
          <c:marker>
            <c:symbol val="none"/>
          </c:marker>
          <c:cat>
            <c:numRef>
              <c:f>Sheet16!$C$8:$C$27</c:f>
              <c:numCache>
                <c:formatCode>mm/dd/yyyy</c:formatCode>
                <c:ptCount val="20"/>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numCache>
            </c:numRef>
          </c:cat>
          <c:val>
            <c:numRef>
              <c:f>Sheet16!$D$8:$D$27</c:f>
              <c:numCache>
                <c:formatCode>0.0</c:formatCode>
                <c:ptCount val="20"/>
                <c:pt idx="0">
                  <c:v>1573</c:v>
                </c:pt>
                <c:pt idx="1">
                  <c:v>1601</c:v>
                </c:pt>
                <c:pt idx="2">
                  <c:v>1710</c:v>
                </c:pt>
                <c:pt idx="3">
                  <c:v>1854</c:v>
                </c:pt>
                <c:pt idx="4">
                  <c:v>1950</c:v>
                </c:pt>
                <c:pt idx="5">
                  <c:v>2073</c:v>
                </c:pt>
                <c:pt idx="6">
                  <c:v>1812</c:v>
                </c:pt>
                <c:pt idx="7">
                  <c:v>1342</c:v>
                </c:pt>
                <c:pt idx="8">
                  <c:v>900</c:v>
                </c:pt>
                <c:pt idx="9">
                  <c:v>554</c:v>
                </c:pt>
                <c:pt idx="10">
                  <c:v>586</c:v>
                </c:pt>
                <c:pt idx="11">
                  <c:v>612</c:v>
                </c:pt>
                <c:pt idx="12">
                  <c:v>784</c:v>
                </c:pt>
                <c:pt idx="13">
                  <c:v>928</c:v>
                </c:pt>
                <c:pt idx="14">
                  <c:v>999</c:v>
                </c:pt>
                <c:pt idx="15">
                  <c:v>1107</c:v>
                </c:pt>
                <c:pt idx="16">
                  <c:v>1177</c:v>
                </c:pt>
                <c:pt idx="17">
                  <c:v>1208</c:v>
                </c:pt>
                <c:pt idx="18">
                  <c:v>1241</c:v>
                </c:pt>
                <c:pt idx="19">
                  <c:v>#N/A</c:v>
                </c:pt>
              </c:numCache>
            </c:numRef>
          </c:val>
          <c:smooth val="0"/>
          <c:extLst>
            <c:ext xmlns:c16="http://schemas.microsoft.com/office/drawing/2014/chart" uri="{C3380CC4-5D6E-409C-BE32-E72D297353CC}">
              <c16:uniqueId val="{00000001-BD82-46B1-A0DE-9F10C47FD56C}"/>
            </c:ext>
          </c:extLst>
        </c:ser>
        <c:dLbls>
          <c:showLegendKey val="0"/>
          <c:showVal val="0"/>
          <c:showCatName val="0"/>
          <c:showSerName val="0"/>
          <c:showPercent val="0"/>
          <c:showBubbleSize val="0"/>
        </c:dLbls>
        <c:marker val="1"/>
        <c:smooth val="0"/>
        <c:axId val="950637056"/>
        <c:axId val="892419392"/>
      </c:lineChart>
      <c:dateAx>
        <c:axId val="841017856"/>
        <c:scaling>
          <c:orientation val="minMax"/>
          <c:max val="43466"/>
          <c:min val="36526"/>
        </c:scaling>
        <c:delete val="0"/>
        <c:axPos val="b"/>
        <c:title>
          <c:tx>
            <c:rich>
              <a:bodyPr/>
              <a:lstStyle/>
              <a:p>
                <a:pPr algn="l">
                  <a:defRPr sz="800" b="0">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Source: U.S. Census Bureau, U.S. Department of Housing and Urban Development/FRED</a:t>
                </a:r>
              </a:p>
            </c:rich>
          </c:tx>
          <c:overlay val="0"/>
        </c:title>
        <c:numFmt formatCode="[$-409]mmm\-yy;@" sourceLinked="0"/>
        <c:majorTickMark val="none"/>
        <c:minorTickMark val="none"/>
        <c:tickLblPos val="low"/>
        <c:crossAx val="892414784"/>
        <c:crosses val="autoZero"/>
        <c:auto val="1"/>
        <c:lblOffset val="100"/>
        <c:baseTimeUnit val="years"/>
        <c:majorUnit val="3"/>
        <c:majorTimeUnit val="years"/>
      </c:dateAx>
      <c:valAx>
        <c:axId val="892414784"/>
        <c:scaling>
          <c:orientation val="minMax"/>
        </c:scaling>
        <c:delete val="0"/>
        <c:axPos val="l"/>
        <c:majorGridlines>
          <c:spPr>
            <a:ln>
              <a:prstDash val="sysDot"/>
            </a:ln>
          </c:spPr>
        </c:majorGridlines>
        <c:title>
          <c:tx>
            <c:rich>
              <a:bodyPr/>
              <a:lstStyle/>
              <a:p>
                <a:pPr>
                  <a:defRPr b="0"/>
                </a:pPr>
                <a:endParaRPr lang="en-GB"/>
              </a:p>
            </c:rich>
          </c:tx>
          <c:overlay val="0"/>
        </c:title>
        <c:numFmt formatCode="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841017856"/>
        <c:crosses val="autoZero"/>
        <c:crossBetween val="between"/>
      </c:valAx>
      <c:valAx>
        <c:axId val="892419392"/>
        <c:scaling>
          <c:orientation val="minMax"/>
        </c:scaling>
        <c:delete val="1"/>
        <c:axPos val="r"/>
        <c:numFmt formatCode="0.0" sourceLinked="1"/>
        <c:majorTickMark val="out"/>
        <c:minorTickMark val="none"/>
        <c:tickLblPos val="nextTo"/>
        <c:crossAx val="950637056"/>
        <c:crosses val="max"/>
        <c:crossBetween val="between"/>
      </c:valAx>
      <c:dateAx>
        <c:axId val="950637056"/>
        <c:scaling>
          <c:orientation val="minMax"/>
          <c:max val="43466"/>
          <c:min val="36526"/>
        </c:scaling>
        <c:delete val="0"/>
        <c:axPos val="t"/>
        <c:numFmt formatCode="mm/dd/yyyy" sourceLinked="1"/>
        <c:majorTickMark val="none"/>
        <c:minorTickMark val="none"/>
        <c:tickLblPos val="none"/>
        <c:crossAx val="892419392"/>
        <c:crosses val="max"/>
        <c:auto val="1"/>
        <c:lblOffset val="100"/>
        <c:baseTimeUnit val="years"/>
      </c:dateAx>
    </c:plotArea>
    <c:legend>
      <c:legendPos val="r"/>
      <c:layout>
        <c:manualLayout>
          <c:xMode val="edge"/>
          <c:yMode val="edge"/>
          <c:x val="0.14042553191489363"/>
          <c:y val="0.66909090909090907"/>
          <c:w val="0.17462807840509301"/>
          <c:h val="0.13151209735146743"/>
        </c:manualLayout>
      </c:layout>
      <c:overlay val="1"/>
      <c:spPr>
        <a:solidFill>
          <a:srgbClr val="FFFFFF"/>
        </a:solidFill>
        <a:ln>
          <a:solidFill>
            <a:srgbClr val="BFBFBF"/>
          </a:solid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DBE5F1"/>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Civilian Unemployment Rate</a:t>
            </a:r>
          </a:p>
        </c:rich>
      </c:tx>
      <c:overlay val="0"/>
    </c:title>
    <c:autoTitleDeleted val="0"/>
    <c:plotArea>
      <c:layout>
        <c:manualLayout>
          <c:layoutTarget val="inner"/>
          <c:xMode val="edge"/>
          <c:yMode val="edge"/>
          <c:x val="0.1360755905511811"/>
          <c:y val="0.12411614173228347"/>
          <c:w val="0.81894736842105265"/>
          <c:h val="0.71939566929133858"/>
        </c:manualLayout>
      </c:layout>
      <c:barChart>
        <c:barDir val="col"/>
        <c:grouping val="clustered"/>
        <c:varyColors val="0"/>
        <c:ser>
          <c:idx val="1"/>
          <c:order val="1"/>
          <c:spPr>
            <a:solidFill>
              <a:srgbClr val="C0C0C0"/>
            </a:solidFill>
          </c:spPr>
          <c:invertIfNegative val="0"/>
          <c:cat>
            <c:numRef>
              <c:f>Sheet1!$A$8:$A$27</c:f>
              <c:numCache>
                <c:formatCode>mm/dd/yyyy</c:formatCode>
                <c:ptCount val="20"/>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numCache>
            </c:numRef>
          </c:cat>
          <c:val>
            <c:numRef>
              <c:f>Sheet1!$D$8:$D$27</c:f>
              <c:numCache>
                <c:formatCode>General</c:formatCode>
                <c:ptCount val="20"/>
                <c:pt idx="0">
                  <c:v>0</c:v>
                </c:pt>
                <c:pt idx="1">
                  <c:v>1</c:v>
                </c:pt>
                <c:pt idx="2">
                  <c:v>0</c:v>
                </c:pt>
                <c:pt idx="3">
                  <c:v>0</c:v>
                </c:pt>
                <c:pt idx="4">
                  <c:v>0</c:v>
                </c:pt>
                <c:pt idx="5">
                  <c:v>0</c:v>
                </c:pt>
                <c:pt idx="6">
                  <c:v>0</c:v>
                </c:pt>
                <c:pt idx="7">
                  <c:v>1</c:v>
                </c:pt>
                <c:pt idx="8">
                  <c:v>1</c:v>
                </c:pt>
                <c:pt idx="9">
                  <c:v>1</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EE27-4D26-B25B-585C8D8D1B88}"/>
            </c:ext>
          </c:extLst>
        </c:ser>
        <c:dLbls>
          <c:showLegendKey val="0"/>
          <c:showVal val="0"/>
          <c:showCatName val="0"/>
          <c:showSerName val="0"/>
          <c:showPercent val="0"/>
          <c:showBubbleSize val="0"/>
        </c:dLbls>
        <c:gapWidth val="0"/>
        <c:axId val="950640128"/>
        <c:axId val="892430016"/>
      </c:barChart>
      <c:lineChart>
        <c:grouping val="standard"/>
        <c:varyColors val="0"/>
        <c:ser>
          <c:idx val="0"/>
          <c:order val="0"/>
          <c:marker>
            <c:symbol val="none"/>
          </c:marker>
          <c:cat>
            <c:numRef>
              <c:f>Sheet1!$A$8:$A$27</c:f>
              <c:numCache>
                <c:formatCode>mm/dd/yyyy</c:formatCode>
                <c:ptCount val="20"/>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numCache>
            </c:numRef>
          </c:cat>
          <c:val>
            <c:numRef>
              <c:f>Sheet1!$B$8:$B$27</c:f>
              <c:numCache>
                <c:formatCode>0.0</c:formatCode>
                <c:ptCount val="20"/>
                <c:pt idx="0">
                  <c:v>4</c:v>
                </c:pt>
                <c:pt idx="1">
                  <c:v>4.7</c:v>
                </c:pt>
                <c:pt idx="2">
                  <c:v>5.8</c:v>
                </c:pt>
                <c:pt idx="3">
                  <c:v>6</c:v>
                </c:pt>
                <c:pt idx="4">
                  <c:v>5.5</c:v>
                </c:pt>
                <c:pt idx="5">
                  <c:v>5.0999999999999996</c:v>
                </c:pt>
                <c:pt idx="6">
                  <c:v>4.5999999999999996</c:v>
                </c:pt>
                <c:pt idx="7">
                  <c:v>4.5999999999999996</c:v>
                </c:pt>
                <c:pt idx="8">
                  <c:v>5.8</c:v>
                </c:pt>
                <c:pt idx="9">
                  <c:v>9.3000000000000007</c:v>
                </c:pt>
                <c:pt idx="10">
                  <c:v>9.6</c:v>
                </c:pt>
                <c:pt idx="11">
                  <c:v>8.9</c:v>
                </c:pt>
                <c:pt idx="12">
                  <c:v>8.1</c:v>
                </c:pt>
                <c:pt idx="13">
                  <c:v>7.4</c:v>
                </c:pt>
                <c:pt idx="14">
                  <c:v>6.2</c:v>
                </c:pt>
                <c:pt idx="15">
                  <c:v>5.3</c:v>
                </c:pt>
                <c:pt idx="16">
                  <c:v>4.9000000000000004</c:v>
                </c:pt>
                <c:pt idx="17">
                  <c:v>4.4000000000000004</c:v>
                </c:pt>
                <c:pt idx="18">
                  <c:v>3.9</c:v>
                </c:pt>
                <c:pt idx="19">
                  <c:v>#N/A</c:v>
                </c:pt>
              </c:numCache>
            </c:numRef>
          </c:val>
          <c:smooth val="0"/>
          <c:extLst>
            <c:ext xmlns:c16="http://schemas.microsoft.com/office/drawing/2014/chart" uri="{C3380CC4-5D6E-409C-BE32-E72D297353CC}">
              <c16:uniqueId val="{00000001-EE27-4D26-B25B-585C8D8D1B88}"/>
            </c:ext>
          </c:extLst>
        </c:ser>
        <c:dLbls>
          <c:showLegendKey val="0"/>
          <c:showVal val="0"/>
          <c:showCatName val="0"/>
          <c:showSerName val="0"/>
          <c:showPercent val="0"/>
          <c:showBubbleSize val="0"/>
        </c:dLbls>
        <c:marker val="1"/>
        <c:smooth val="0"/>
        <c:axId val="950638592"/>
        <c:axId val="892418240"/>
      </c:lineChart>
      <c:dateAx>
        <c:axId val="950638592"/>
        <c:scaling>
          <c:orientation val="minMax"/>
        </c:scaling>
        <c:delete val="0"/>
        <c:axPos val="b"/>
        <c:title>
          <c:tx>
            <c:rich>
              <a:bodyPr/>
              <a:lstStyle/>
              <a:p>
                <a:pPr algn="l">
                  <a:defRPr sz="800" b="0"/>
                </a:pPr>
                <a:r>
                  <a:rPr lang="en-GB"/>
                  <a:t>Source: U.S. Bureau of Labor Statistics/FRED</a:t>
                </a:r>
              </a:p>
            </c:rich>
          </c:tx>
          <c:overlay val="0"/>
        </c:title>
        <c:numFmt formatCode="[$-409]mmm\-yy;@" sourceLinked="0"/>
        <c:majorTickMark val="none"/>
        <c:minorTickMark val="none"/>
        <c:tickLblPos val="low"/>
        <c:crossAx val="892418240"/>
        <c:crosses val="autoZero"/>
        <c:auto val="1"/>
        <c:lblOffset val="100"/>
        <c:baseTimeUnit val="years"/>
        <c:majorUnit val="3"/>
        <c:majorTimeUnit val="years"/>
      </c:dateAx>
      <c:valAx>
        <c:axId val="892418240"/>
        <c:scaling>
          <c:orientation val="minMax"/>
          <c:min val="2"/>
        </c:scaling>
        <c:delete val="0"/>
        <c:axPos val="l"/>
        <c:majorGridlines>
          <c:spPr>
            <a:ln>
              <a:prstDash val="sysDot"/>
            </a:ln>
          </c:spPr>
        </c:majorGridlines>
        <c:title>
          <c:tx>
            <c:rich>
              <a:bodyPr/>
              <a:lstStyle/>
              <a:p>
                <a:pPr>
                  <a:defRPr b="0"/>
                </a:pPr>
                <a:r>
                  <a:rPr lang="en-GB"/>
                  <a:t>Percent</a:t>
                </a:r>
              </a:p>
            </c:rich>
          </c:tx>
          <c:overlay val="0"/>
        </c:title>
        <c:numFmt formatCode="0.0" sourceLinked="1"/>
        <c:majorTickMark val="out"/>
        <c:minorTickMark val="none"/>
        <c:tickLblPos val="nextTo"/>
        <c:crossAx val="950638592"/>
        <c:crosses val="autoZero"/>
        <c:crossBetween val="between"/>
      </c:valAx>
      <c:valAx>
        <c:axId val="892430016"/>
        <c:scaling>
          <c:orientation val="minMax"/>
          <c:max val="1"/>
          <c:min val="0"/>
        </c:scaling>
        <c:delete val="0"/>
        <c:axPos val="r"/>
        <c:numFmt formatCode="General" sourceLinked="1"/>
        <c:majorTickMark val="none"/>
        <c:minorTickMark val="none"/>
        <c:tickLblPos val="none"/>
        <c:crossAx val="950640128"/>
        <c:crosses val="max"/>
        <c:crossBetween val="between"/>
      </c:valAx>
      <c:dateAx>
        <c:axId val="950640128"/>
        <c:scaling>
          <c:orientation val="minMax"/>
        </c:scaling>
        <c:delete val="1"/>
        <c:axPos val="b"/>
        <c:numFmt formatCode="mm/dd/yyyy" sourceLinked="1"/>
        <c:majorTickMark val="out"/>
        <c:minorTickMark val="none"/>
        <c:tickLblPos val="nextTo"/>
        <c:crossAx val="892430016"/>
        <c:crosses val="autoZero"/>
        <c:auto val="1"/>
        <c:lblOffset val="100"/>
        <c:baseTimeUnit val="years"/>
      </c:dateAx>
    </c:plotArea>
    <c:plotVisOnly val="1"/>
    <c:dispBlanksAs val="gap"/>
    <c:showDLblsOverMax val="0"/>
  </c:chart>
  <c:spPr>
    <a:solidFill>
      <a:srgbClr val="DBE5F1"/>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Total Population: All Ages including Armed Forces Overseas</a:t>
            </a:r>
          </a:p>
        </c:rich>
      </c:tx>
      <c:overlay val="0"/>
    </c:title>
    <c:autoTitleDeleted val="0"/>
    <c:plotArea>
      <c:layout>
        <c:manualLayout>
          <c:layoutTarget val="inner"/>
          <c:xMode val="edge"/>
          <c:yMode val="edge"/>
          <c:x val="0.17877032739328635"/>
          <c:y val="0.12411614173228347"/>
          <c:w val="0.77684210526315789"/>
          <c:h val="0.71939566929133858"/>
        </c:manualLayout>
      </c:layout>
      <c:lineChart>
        <c:grouping val="standard"/>
        <c:varyColors val="0"/>
        <c:ser>
          <c:idx val="0"/>
          <c:order val="0"/>
          <c:marker>
            <c:symbol val="none"/>
          </c:marker>
          <c:dLbls>
            <c:dLbl>
              <c:idx val="29"/>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DBE-4E0F-8B45-EF740FD662D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Sheet10!$A$8:$A$37</c:f>
              <c:numCache>
                <c:formatCode>mm/dd/yyyy</c:formatCode>
                <c:ptCount val="30"/>
                <c:pt idx="0">
                  <c:v>32874</c:v>
                </c:pt>
                <c:pt idx="1">
                  <c:v>33239</c:v>
                </c:pt>
                <c:pt idx="2">
                  <c:v>33604</c:v>
                </c:pt>
                <c:pt idx="3">
                  <c:v>33970</c:v>
                </c:pt>
                <c:pt idx="4">
                  <c:v>34335</c:v>
                </c:pt>
                <c:pt idx="5">
                  <c:v>34700</c:v>
                </c:pt>
                <c:pt idx="6">
                  <c:v>35065</c:v>
                </c:pt>
                <c:pt idx="7">
                  <c:v>35431</c:v>
                </c:pt>
                <c:pt idx="8">
                  <c:v>35796</c:v>
                </c:pt>
                <c:pt idx="9">
                  <c:v>36161</c:v>
                </c:pt>
                <c:pt idx="10">
                  <c:v>36526</c:v>
                </c:pt>
                <c:pt idx="11">
                  <c:v>36892</c:v>
                </c:pt>
                <c:pt idx="12">
                  <c:v>37257</c:v>
                </c:pt>
                <c:pt idx="13">
                  <c:v>37622</c:v>
                </c:pt>
                <c:pt idx="14">
                  <c:v>37987</c:v>
                </c:pt>
                <c:pt idx="15">
                  <c:v>38353</c:v>
                </c:pt>
                <c:pt idx="16">
                  <c:v>38718</c:v>
                </c:pt>
                <c:pt idx="17">
                  <c:v>39083</c:v>
                </c:pt>
                <c:pt idx="18">
                  <c:v>39448</c:v>
                </c:pt>
                <c:pt idx="19">
                  <c:v>39814</c:v>
                </c:pt>
                <c:pt idx="20">
                  <c:v>40179</c:v>
                </c:pt>
                <c:pt idx="21">
                  <c:v>40544</c:v>
                </c:pt>
                <c:pt idx="22">
                  <c:v>40909</c:v>
                </c:pt>
                <c:pt idx="23">
                  <c:v>41275</c:v>
                </c:pt>
                <c:pt idx="24">
                  <c:v>41640</c:v>
                </c:pt>
                <c:pt idx="25">
                  <c:v>42005</c:v>
                </c:pt>
                <c:pt idx="26">
                  <c:v>42370</c:v>
                </c:pt>
                <c:pt idx="27">
                  <c:v>42736</c:v>
                </c:pt>
                <c:pt idx="28">
                  <c:v>43101</c:v>
                </c:pt>
                <c:pt idx="29">
                  <c:v>43466</c:v>
                </c:pt>
              </c:numCache>
            </c:numRef>
          </c:cat>
          <c:val>
            <c:numRef>
              <c:f>Sheet10!$B$8:$B$37</c:f>
              <c:numCache>
                <c:formatCode>0.0</c:formatCode>
                <c:ptCount val="30"/>
                <c:pt idx="0">
                  <c:v>250047.41699999999</c:v>
                </c:pt>
                <c:pt idx="1">
                  <c:v>253391.83300000001</c:v>
                </c:pt>
                <c:pt idx="2">
                  <c:v>256777.16699999999</c:v>
                </c:pt>
                <c:pt idx="3">
                  <c:v>260146.41699999999</c:v>
                </c:pt>
                <c:pt idx="4">
                  <c:v>263324.58299999998</c:v>
                </c:pt>
                <c:pt idx="5">
                  <c:v>266458.16700000002</c:v>
                </c:pt>
                <c:pt idx="6">
                  <c:v>269580.66700000002</c:v>
                </c:pt>
                <c:pt idx="7">
                  <c:v>272822.08299999998</c:v>
                </c:pt>
                <c:pt idx="8">
                  <c:v>276022.33299999998</c:v>
                </c:pt>
                <c:pt idx="9">
                  <c:v>279194.91700000002</c:v>
                </c:pt>
                <c:pt idx="10">
                  <c:v>282295.91700000002</c:v>
                </c:pt>
                <c:pt idx="11">
                  <c:v>285215.91700000002</c:v>
                </c:pt>
                <c:pt idx="12">
                  <c:v>288019</c:v>
                </c:pt>
                <c:pt idx="13">
                  <c:v>290733.33299999998</c:v>
                </c:pt>
                <c:pt idx="14">
                  <c:v>293388.58299999998</c:v>
                </c:pt>
                <c:pt idx="15">
                  <c:v>296114.91700000002</c:v>
                </c:pt>
                <c:pt idx="16">
                  <c:v>298929.91700000002</c:v>
                </c:pt>
                <c:pt idx="17">
                  <c:v>301903.16700000002</c:v>
                </c:pt>
                <c:pt idx="18">
                  <c:v>304718</c:v>
                </c:pt>
                <c:pt idx="19">
                  <c:v>307373.75</c:v>
                </c:pt>
                <c:pt idx="20">
                  <c:v>309736.511</c:v>
                </c:pt>
                <c:pt idx="21">
                  <c:v>311940.74900000001</c:v>
                </c:pt>
                <c:pt idx="22">
                  <c:v>314163.10399999999</c:v>
                </c:pt>
                <c:pt idx="23">
                  <c:v>316329.299</c:v>
                </c:pt>
                <c:pt idx="24">
                  <c:v>318619.45299999998</c:v>
                </c:pt>
                <c:pt idx="25">
                  <c:v>320929.533</c:v>
                </c:pt>
                <c:pt idx="26">
                  <c:v>323224.62699999998</c:v>
                </c:pt>
                <c:pt idx="27">
                  <c:v>325326.016</c:v>
                </c:pt>
                <c:pt idx="28">
                  <c:v>327351.66399999999</c:v>
                </c:pt>
                <c:pt idx="29">
                  <c:v>329349.34000000003</c:v>
                </c:pt>
              </c:numCache>
            </c:numRef>
          </c:val>
          <c:smooth val="0"/>
          <c:extLst>
            <c:ext xmlns:c16="http://schemas.microsoft.com/office/drawing/2014/chart" uri="{C3380CC4-5D6E-409C-BE32-E72D297353CC}">
              <c16:uniqueId val="{00000001-BDBE-4E0F-8B45-EF740FD662DB}"/>
            </c:ext>
          </c:extLst>
        </c:ser>
        <c:dLbls>
          <c:showLegendKey val="0"/>
          <c:showVal val="0"/>
          <c:showCatName val="0"/>
          <c:showSerName val="0"/>
          <c:showPercent val="0"/>
          <c:showBubbleSize val="0"/>
        </c:dLbls>
        <c:smooth val="0"/>
        <c:axId val="840496640"/>
        <c:axId val="892428864"/>
      </c:lineChart>
      <c:dateAx>
        <c:axId val="840496640"/>
        <c:scaling>
          <c:orientation val="minMax"/>
          <c:max val="43101"/>
          <c:min val="32874"/>
        </c:scaling>
        <c:delete val="0"/>
        <c:axPos val="b"/>
        <c:title>
          <c:tx>
            <c:rich>
              <a:bodyPr/>
              <a:lstStyle/>
              <a:p>
                <a:pPr algn="l">
                  <a:defRPr sz="800" b="0"/>
                </a:pPr>
                <a:r>
                  <a:rPr lang="en-GB"/>
                  <a:t>Source: U.S. Census Bureau/FRED</a:t>
                </a:r>
              </a:p>
            </c:rich>
          </c:tx>
          <c:overlay val="0"/>
        </c:title>
        <c:numFmt formatCode="[$-409]mmm\-yy;@" sourceLinked="0"/>
        <c:majorTickMark val="none"/>
        <c:minorTickMark val="none"/>
        <c:tickLblPos val="low"/>
        <c:crossAx val="892428864"/>
        <c:crosses val="autoZero"/>
        <c:auto val="1"/>
        <c:lblOffset val="100"/>
        <c:baseTimeUnit val="years"/>
        <c:majorUnit val="4"/>
        <c:majorTimeUnit val="years"/>
      </c:dateAx>
      <c:valAx>
        <c:axId val="892428864"/>
        <c:scaling>
          <c:orientation val="minMax"/>
          <c:min val="240000"/>
        </c:scaling>
        <c:delete val="0"/>
        <c:axPos val="l"/>
        <c:majorGridlines>
          <c:spPr>
            <a:ln>
              <a:prstDash val="sysDot"/>
            </a:ln>
          </c:spPr>
        </c:majorGridlines>
        <c:title>
          <c:tx>
            <c:rich>
              <a:bodyPr/>
              <a:lstStyle/>
              <a:p>
                <a:pPr>
                  <a:defRPr b="0"/>
                </a:pPr>
                <a:r>
                  <a:rPr lang="en-GB"/>
                  <a:t>Thousands</a:t>
                </a:r>
              </a:p>
            </c:rich>
          </c:tx>
          <c:overlay val="0"/>
        </c:title>
        <c:numFmt formatCode="0.0" sourceLinked="1"/>
        <c:majorTickMark val="out"/>
        <c:minorTickMark val="none"/>
        <c:tickLblPos val="nextTo"/>
        <c:crossAx val="840496640"/>
        <c:crosses val="autoZero"/>
        <c:crossBetween val="between"/>
      </c:valAx>
    </c:plotArea>
    <c:plotVisOnly val="1"/>
    <c:dispBlanksAs val="gap"/>
    <c:showDLblsOverMax val="0"/>
  </c:chart>
  <c:spPr>
    <a:solidFill>
      <a:srgbClr val="DBE5F1"/>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Finance option for real estate project development at the</a:t>
            </a:r>
            <a:r>
              <a:rPr lang="en-US" sz="800" baseline="0">
                <a:latin typeface="Arial" panose="020B0604020202020204" pitchFamily="34" charset="0"/>
                <a:cs typeface="Arial" panose="020B0604020202020204" pitchFamily="34" charset="0"/>
              </a:rPr>
              <a:t> aggregate level</a:t>
            </a:r>
            <a:endParaRPr lang="en-US" sz="8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Sheet1!$A$4:$A$21</c:f>
              <c:strCache>
                <c:ptCount val="18"/>
                <c:pt idx="0">
                  <c:v>Bank loan</c:v>
                </c:pt>
                <c:pt idx="1">
                  <c:v>Cash flow from business operation/ undistributed profit</c:v>
                </c:pt>
                <c:pt idx="2">
                  <c:v>High net worth individuals</c:v>
                </c:pt>
                <c:pt idx="3">
                  <c:v>Equity fund</c:v>
                </c:pt>
                <c:pt idx="4">
                  <c:v>Joint venture</c:v>
                </c:pt>
                <c:pt idx="5">
                  <c:v>Mezzanine capital</c:v>
                </c:pt>
                <c:pt idx="6">
                  <c:v>Private equity ( private equity firms, pension funds and insurance companies)</c:v>
                </c:pt>
                <c:pt idx="7">
                  <c:v>Venture capital </c:v>
                </c:pt>
                <c:pt idx="8">
                  <c:v>Government grants and subsidies</c:v>
                </c:pt>
                <c:pt idx="9">
                  <c:v>Real estate investment trust ( REITS)</c:v>
                </c:pt>
                <c:pt idx="10">
                  <c:v>Bonds </c:v>
                </c:pt>
                <c:pt idx="11">
                  <c:v>Debt fund</c:v>
                </c:pt>
                <c:pt idx="12">
                  <c:v>Public equity ( Public listing &amp; IPO)</c:v>
                </c:pt>
                <c:pt idx="13">
                  <c:v>Sovereign wealth fund </c:v>
                </c:pt>
                <c:pt idx="14">
                  <c:v>Public-private partnership (PPP)</c:v>
                </c:pt>
                <c:pt idx="15">
                  <c:v>Debenture</c:v>
                </c:pt>
                <c:pt idx="16">
                  <c:v>Derivative</c:v>
                </c:pt>
                <c:pt idx="17">
                  <c:v>Equity crowdfunding</c:v>
                </c:pt>
              </c:strCache>
            </c:strRef>
          </c:cat>
          <c:val>
            <c:numRef>
              <c:f>Sheet1!$B$4:$B$21</c:f>
              <c:numCache>
                <c:formatCode>General</c:formatCode>
                <c:ptCount val="18"/>
                <c:pt idx="0">
                  <c:v>36.1</c:v>
                </c:pt>
                <c:pt idx="1">
                  <c:v>23</c:v>
                </c:pt>
                <c:pt idx="2">
                  <c:v>14.8</c:v>
                </c:pt>
                <c:pt idx="3">
                  <c:v>9.8000000000000007</c:v>
                </c:pt>
                <c:pt idx="4">
                  <c:v>9.8000000000000007</c:v>
                </c:pt>
                <c:pt idx="5">
                  <c:v>8.1999999999999993</c:v>
                </c:pt>
                <c:pt idx="6">
                  <c:v>8.1999999999999993</c:v>
                </c:pt>
                <c:pt idx="7">
                  <c:v>8.1999999999999993</c:v>
                </c:pt>
                <c:pt idx="8">
                  <c:v>6.6</c:v>
                </c:pt>
                <c:pt idx="9">
                  <c:v>6.6</c:v>
                </c:pt>
                <c:pt idx="10">
                  <c:v>4.9000000000000004</c:v>
                </c:pt>
                <c:pt idx="11">
                  <c:v>3.3</c:v>
                </c:pt>
                <c:pt idx="12">
                  <c:v>3.3</c:v>
                </c:pt>
                <c:pt idx="13">
                  <c:v>3.3</c:v>
                </c:pt>
                <c:pt idx="14">
                  <c:v>1.6</c:v>
                </c:pt>
                <c:pt idx="15">
                  <c:v>0</c:v>
                </c:pt>
                <c:pt idx="16">
                  <c:v>0</c:v>
                </c:pt>
                <c:pt idx="17">
                  <c:v>0</c:v>
                </c:pt>
              </c:numCache>
            </c:numRef>
          </c:val>
          <c:extLst>
            <c:ext xmlns:c16="http://schemas.microsoft.com/office/drawing/2014/chart" uri="{C3380CC4-5D6E-409C-BE32-E72D297353CC}">
              <c16:uniqueId val="{00000000-243D-4CBE-977F-A89B063AB5EC}"/>
            </c:ext>
          </c:extLst>
        </c:ser>
        <c:dLbls>
          <c:showLegendKey val="0"/>
          <c:showVal val="0"/>
          <c:showCatName val="0"/>
          <c:showSerName val="0"/>
          <c:showPercent val="0"/>
          <c:showBubbleSize val="0"/>
        </c:dLbls>
        <c:gapWidth val="150"/>
        <c:shape val="box"/>
        <c:axId val="986511872"/>
        <c:axId val="892433472"/>
        <c:axId val="0"/>
      </c:bar3DChart>
      <c:catAx>
        <c:axId val="986511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2433472"/>
        <c:crosses val="autoZero"/>
        <c:auto val="1"/>
        <c:lblAlgn val="ctr"/>
        <c:lblOffset val="100"/>
        <c:noMultiLvlLbl val="0"/>
      </c:catAx>
      <c:valAx>
        <c:axId val="892433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51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a:latin typeface="Arial" panose="020B0604020202020204" pitchFamily="34" charset="0"/>
                <a:cs typeface="Arial" panose="020B0604020202020204" pitchFamily="34" charset="0"/>
              </a:rPr>
              <a:t>Criteria always requested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Sheet1!$B$36</c:f>
              <c:strCache>
                <c:ptCount val="1"/>
                <c:pt idx="0">
                  <c:v>Always requested</c:v>
                </c:pt>
              </c:strCache>
            </c:strRef>
          </c:tx>
          <c:spPr>
            <a:solidFill>
              <a:schemeClr val="accent1"/>
            </a:solidFill>
            <a:ln>
              <a:noFill/>
            </a:ln>
            <a:effectLst/>
            <a:sp3d/>
          </c:spPr>
          <c:invertIfNegative val="0"/>
          <c:cat>
            <c:strRef>
              <c:f>Sheet1!$A$37:$A$53</c:f>
              <c:strCache>
                <c:ptCount val="17"/>
                <c:pt idx="0">
                  <c:v>Details of the proposed project</c:v>
                </c:pt>
                <c:pt idx="1">
                  <c:v>Contractual documentation on land acquisition / land title</c:v>
                </c:pt>
                <c:pt idx="2">
                  <c:v>Loan agreement</c:v>
                </c:pt>
                <c:pt idx="3">
                  <c:v>Feasibility report( economic &amp; technical feasibility)</c:v>
                </c:pt>
                <c:pt idx="4">
                  <c:v>Collateral to mitigate default risk</c:v>
                </c:pt>
                <c:pt idx="5">
                  <c:v>Due diligence</c:v>
                </c:pt>
                <c:pt idx="6">
                  <c:v>Capital base</c:v>
                </c:pt>
                <c:pt idx="7">
                  <c:v>Management capabilities / management profile</c:v>
                </c:pt>
                <c:pt idx="8">
                  <c:v>Cash flow</c:v>
                </c:pt>
                <c:pt idx="9">
                  <c:v>Track records( records of accomplishment</c:v>
                </c:pt>
                <c:pt idx="10">
                  <c:v>Audited financial reports/ independent audit committee</c:v>
                </c:pt>
                <c:pt idx="11">
                  <c:v>Necessary permits &amp; site clearance</c:v>
                </c:pt>
                <c:pt idx="12">
                  <c:v>Risk and returns</c:v>
                </c:pt>
                <c:pt idx="13">
                  <c:v>Indemnification</c:v>
                </c:pt>
                <c:pt idx="14">
                  <c:v>Usage of hedging instruments</c:v>
                </c:pt>
                <c:pt idx="15">
                  <c:v>Performance support guarantees</c:v>
                </c:pt>
                <c:pt idx="16">
                  <c:v>Criteria </c:v>
                </c:pt>
              </c:strCache>
            </c:strRef>
          </c:cat>
          <c:val>
            <c:numRef>
              <c:f>Sheet1!$B$37:$B$53</c:f>
              <c:numCache>
                <c:formatCode>General</c:formatCode>
                <c:ptCount val="17"/>
                <c:pt idx="0">
                  <c:v>63.8</c:v>
                </c:pt>
                <c:pt idx="1">
                  <c:v>61.7</c:v>
                </c:pt>
                <c:pt idx="2">
                  <c:v>59.6</c:v>
                </c:pt>
                <c:pt idx="3">
                  <c:v>56.5</c:v>
                </c:pt>
                <c:pt idx="4">
                  <c:v>55.1</c:v>
                </c:pt>
                <c:pt idx="5">
                  <c:v>47.8</c:v>
                </c:pt>
                <c:pt idx="6">
                  <c:v>47.8</c:v>
                </c:pt>
                <c:pt idx="7">
                  <c:v>46.8</c:v>
                </c:pt>
                <c:pt idx="8">
                  <c:v>46.8</c:v>
                </c:pt>
                <c:pt idx="9">
                  <c:v>45.7</c:v>
                </c:pt>
                <c:pt idx="10">
                  <c:v>44.9</c:v>
                </c:pt>
                <c:pt idx="11">
                  <c:v>44.7</c:v>
                </c:pt>
                <c:pt idx="12">
                  <c:v>37</c:v>
                </c:pt>
                <c:pt idx="13">
                  <c:v>25.5</c:v>
                </c:pt>
                <c:pt idx="14">
                  <c:v>15.6</c:v>
                </c:pt>
                <c:pt idx="15">
                  <c:v>15.6</c:v>
                </c:pt>
              </c:numCache>
            </c:numRef>
          </c:val>
          <c:extLst>
            <c:ext xmlns:c16="http://schemas.microsoft.com/office/drawing/2014/chart" uri="{C3380CC4-5D6E-409C-BE32-E72D297353CC}">
              <c16:uniqueId val="{00000000-B39F-4B03-A5B0-1EDAB9869560}"/>
            </c:ext>
          </c:extLst>
        </c:ser>
        <c:dLbls>
          <c:showLegendKey val="0"/>
          <c:showVal val="0"/>
          <c:showCatName val="0"/>
          <c:showSerName val="0"/>
          <c:showPercent val="0"/>
          <c:showBubbleSize val="0"/>
        </c:dLbls>
        <c:gapWidth val="150"/>
        <c:shape val="box"/>
        <c:axId val="1021553664"/>
        <c:axId val="892431168"/>
        <c:axId val="0"/>
      </c:bar3DChart>
      <c:catAx>
        <c:axId val="1021553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2431168"/>
        <c:crosses val="autoZero"/>
        <c:auto val="1"/>
        <c:lblAlgn val="ctr"/>
        <c:lblOffset val="100"/>
        <c:noMultiLvlLbl val="0"/>
      </c:catAx>
      <c:valAx>
        <c:axId val="89243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55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B374E3-8C2A-453B-BCC6-C197E37C6A35}"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en-US"/>
        </a:p>
      </dgm:t>
    </dgm:pt>
    <dgm:pt modelId="{BA758DB1-7E67-42A0-8AF9-C21358E8FB4A}">
      <dgm:prSet phldrT="[Text]" custT="1"/>
      <dgm:spPr/>
      <dgm:t>
        <a:bodyPr/>
        <a:lstStyle/>
        <a:p>
          <a:r>
            <a:rPr lang="en-US" sz="800">
              <a:latin typeface="Arial" panose="020B0604020202020204" pitchFamily="34" charset="0"/>
              <a:cs typeface="Arial" panose="020B0604020202020204" pitchFamily="34" charset="0"/>
            </a:rPr>
            <a:t>Finance for real estate project development </a:t>
          </a:r>
        </a:p>
      </dgm:t>
    </dgm:pt>
    <dgm:pt modelId="{51E10170-4182-4FB9-88E1-202D9E6D6B78}" type="parTrans" cxnId="{B580C206-3A19-4707-A18F-8163E6E7E3F5}">
      <dgm:prSet/>
      <dgm:spPr/>
      <dgm:t>
        <a:bodyPr/>
        <a:lstStyle/>
        <a:p>
          <a:endParaRPr lang="en-US"/>
        </a:p>
      </dgm:t>
    </dgm:pt>
    <dgm:pt modelId="{2D622AF9-6F9E-4EDC-85E9-3F9A2AB83AE3}" type="sibTrans" cxnId="{B580C206-3A19-4707-A18F-8163E6E7E3F5}">
      <dgm:prSet/>
      <dgm:spPr/>
      <dgm:t>
        <a:bodyPr/>
        <a:lstStyle/>
        <a:p>
          <a:endParaRPr lang="en-US"/>
        </a:p>
      </dgm:t>
    </dgm:pt>
    <dgm:pt modelId="{CAB88769-D1DD-4063-B42A-3ABA727F9346}">
      <dgm:prSet phldrT="[Text]" custT="1"/>
      <dgm:spPr/>
      <dgm:t>
        <a:bodyPr/>
        <a:lstStyle/>
        <a:p>
          <a:r>
            <a:rPr lang="en-US" sz="800">
              <a:latin typeface="Arial" panose="020B0604020202020204" pitchFamily="34" charset="0"/>
              <a:cs typeface="Arial" panose="020B0604020202020204" pitchFamily="34" charset="0"/>
            </a:rPr>
            <a:t>Equity</a:t>
          </a:r>
        </a:p>
      </dgm:t>
    </dgm:pt>
    <dgm:pt modelId="{7F076A35-83E6-4F5C-8C43-08B4A713EA82}" type="parTrans" cxnId="{779EEAEE-5F7E-4C07-9979-469EDDE153C4}">
      <dgm:prSet/>
      <dgm:spPr/>
      <dgm:t>
        <a:bodyPr/>
        <a:lstStyle/>
        <a:p>
          <a:endParaRPr lang="en-US"/>
        </a:p>
      </dgm:t>
    </dgm:pt>
    <dgm:pt modelId="{EA1D9256-FD15-442A-8667-508B18E20C10}" type="sibTrans" cxnId="{779EEAEE-5F7E-4C07-9979-469EDDE153C4}">
      <dgm:prSet/>
      <dgm:spPr/>
      <dgm:t>
        <a:bodyPr/>
        <a:lstStyle/>
        <a:p>
          <a:endParaRPr lang="en-US"/>
        </a:p>
      </dgm:t>
    </dgm:pt>
    <dgm:pt modelId="{F0E8ED8E-E576-40AA-858B-25D0514B036E}">
      <dgm:prSet phldrT="[Text]" custT="1"/>
      <dgm:spPr/>
      <dgm:t>
        <a:bodyPr/>
        <a:lstStyle/>
        <a:p>
          <a:r>
            <a:rPr lang="en-US" sz="800">
              <a:latin typeface="Arial" panose="020B0604020202020204" pitchFamily="34" charset="0"/>
              <a:cs typeface="Arial" panose="020B0604020202020204" pitchFamily="34" charset="0"/>
            </a:rPr>
            <a:t>Debt</a:t>
          </a:r>
        </a:p>
      </dgm:t>
    </dgm:pt>
    <dgm:pt modelId="{B5EA7402-DFE5-40A1-BF0D-A1E12A789863}" type="parTrans" cxnId="{A8631E1A-8B66-461B-85EF-C548084E0D72}">
      <dgm:prSet/>
      <dgm:spPr/>
      <dgm:t>
        <a:bodyPr/>
        <a:lstStyle/>
        <a:p>
          <a:endParaRPr lang="en-US"/>
        </a:p>
      </dgm:t>
    </dgm:pt>
    <dgm:pt modelId="{43FACB73-8A95-408D-A3F2-33F65075DA2B}" type="sibTrans" cxnId="{A8631E1A-8B66-461B-85EF-C548084E0D72}">
      <dgm:prSet/>
      <dgm:spPr/>
      <dgm:t>
        <a:bodyPr/>
        <a:lstStyle/>
        <a:p>
          <a:endParaRPr lang="en-US"/>
        </a:p>
      </dgm:t>
    </dgm:pt>
    <dgm:pt modelId="{7156CC1B-DFE6-41AB-AB20-9B0EB7F4C46A}">
      <dgm:prSet phldrT="[Text]" custT="1"/>
      <dgm:spPr/>
      <dgm:t>
        <a:bodyPr/>
        <a:lstStyle/>
        <a:p>
          <a:r>
            <a:rPr lang="en-US" sz="800">
              <a:latin typeface="Arial" panose="020B0604020202020204" pitchFamily="34" charset="0"/>
              <a:cs typeface="Arial" panose="020B0604020202020204" pitchFamily="34" charset="0"/>
            </a:rPr>
            <a:t>Creative &amp; innovative finance</a:t>
          </a:r>
        </a:p>
      </dgm:t>
    </dgm:pt>
    <dgm:pt modelId="{946B639B-C188-4C3A-B482-896BF3588D8B}" type="parTrans" cxnId="{3CC65B80-8532-4B5F-8EAC-C81C8CE886F7}">
      <dgm:prSet/>
      <dgm:spPr/>
      <dgm:t>
        <a:bodyPr/>
        <a:lstStyle/>
        <a:p>
          <a:endParaRPr lang="en-US"/>
        </a:p>
      </dgm:t>
    </dgm:pt>
    <dgm:pt modelId="{5B67BE88-70B7-4B72-B3C6-99164E3C6B32}" type="sibTrans" cxnId="{3CC65B80-8532-4B5F-8EAC-C81C8CE886F7}">
      <dgm:prSet/>
      <dgm:spPr/>
      <dgm:t>
        <a:bodyPr/>
        <a:lstStyle/>
        <a:p>
          <a:endParaRPr lang="en-US"/>
        </a:p>
      </dgm:t>
    </dgm:pt>
    <dgm:pt modelId="{110A9CBD-B6F7-4671-8F71-0BEC97A1D349}" type="pres">
      <dgm:prSet presAssocID="{ACB374E3-8C2A-453B-BCC6-C197E37C6A35}" presName="Name0" presStyleCnt="0">
        <dgm:presLayoutVars>
          <dgm:chMax val="1"/>
          <dgm:chPref val="1"/>
          <dgm:dir/>
          <dgm:animOne val="branch"/>
          <dgm:animLvl val="lvl"/>
        </dgm:presLayoutVars>
      </dgm:prSet>
      <dgm:spPr/>
    </dgm:pt>
    <dgm:pt modelId="{59F2F7BB-5076-45D6-8241-967924A07ECC}" type="pres">
      <dgm:prSet presAssocID="{BA758DB1-7E67-42A0-8AF9-C21358E8FB4A}" presName="singleCycle" presStyleCnt="0"/>
      <dgm:spPr/>
    </dgm:pt>
    <dgm:pt modelId="{1C235262-FAF6-420C-A0D0-8F1DF84EE557}" type="pres">
      <dgm:prSet presAssocID="{BA758DB1-7E67-42A0-8AF9-C21358E8FB4A}" presName="singleCenter" presStyleLbl="node1" presStyleIdx="0" presStyleCnt="4">
        <dgm:presLayoutVars>
          <dgm:chMax val="7"/>
          <dgm:chPref val="7"/>
        </dgm:presLayoutVars>
      </dgm:prSet>
      <dgm:spPr/>
    </dgm:pt>
    <dgm:pt modelId="{2CA54B64-EF51-4E06-8F04-5C6A9DB70F79}" type="pres">
      <dgm:prSet presAssocID="{7F076A35-83E6-4F5C-8C43-08B4A713EA82}" presName="Name56" presStyleLbl="parChTrans1D2" presStyleIdx="0" presStyleCnt="3"/>
      <dgm:spPr/>
    </dgm:pt>
    <dgm:pt modelId="{512F1FD8-FD6C-408B-AAFB-99513876AE54}" type="pres">
      <dgm:prSet presAssocID="{CAB88769-D1DD-4063-B42A-3ABA727F9346}" presName="text0" presStyleLbl="node1" presStyleIdx="1" presStyleCnt="4" custAng="0">
        <dgm:presLayoutVars>
          <dgm:bulletEnabled val="1"/>
        </dgm:presLayoutVars>
      </dgm:prSet>
      <dgm:spPr/>
    </dgm:pt>
    <dgm:pt modelId="{3F48EB5A-85E4-465C-A11B-6DF68C4E526A}" type="pres">
      <dgm:prSet presAssocID="{B5EA7402-DFE5-40A1-BF0D-A1E12A789863}" presName="Name56" presStyleLbl="parChTrans1D2" presStyleIdx="1" presStyleCnt="3"/>
      <dgm:spPr/>
    </dgm:pt>
    <dgm:pt modelId="{3B3D680F-7BD8-4ECE-9306-E8B3745C721B}" type="pres">
      <dgm:prSet presAssocID="{F0E8ED8E-E576-40AA-858B-25D0514B036E}" presName="text0" presStyleLbl="node1" presStyleIdx="2" presStyleCnt="4">
        <dgm:presLayoutVars>
          <dgm:bulletEnabled val="1"/>
        </dgm:presLayoutVars>
      </dgm:prSet>
      <dgm:spPr/>
    </dgm:pt>
    <dgm:pt modelId="{446F6A2A-5D68-486C-8B02-0F57DBF47C6F}" type="pres">
      <dgm:prSet presAssocID="{946B639B-C188-4C3A-B482-896BF3588D8B}" presName="Name56" presStyleLbl="parChTrans1D2" presStyleIdx="2" presStyleCnt="3"/>
      <dgm:spPr/>
    </dgm:pt>
    <dgm:pt modelId="{B98FE5DC-2546-4333-B21F-9E51280EB574}" type="pres">
      <dgm:prSet presAssocID="{7156CC1B-DFE6-41AB-AB20-9B0EB7F4C46A}" presName="text0" presStyleLbl="node1" presStyleIdx="3" presStyleCnt="4">
        <dgm:presLayoutVars>
          <dgm:bulletEnabled val="1"/>
        </dgm:presLayoutVars>
      </dgm:prSet>
      <dgm:spPr/>
    </dgm:pt>
  </dgm:ptLst>
  <dgm:cxnLst>
    <dgm:cxn modelId="{B580C206-3A19-4707-A18F-8163E6E7E3F5}" srcId="{ACB374E3-8C2A-453B-BCC6-C197E37C6A35}" destId="{BA758DB1-7E67-42A0-8AF9-C21358E8FB4A}" srcOrd="0" destOrd="0" parTransId="{51E10170-4182-4FB9-88E1-202D9E6D6B78}" sibTransId="{2D622AF9-6F9E-4EDC-85E9-3F9A2AB83AE3}"/>
    <dgm:cxn modelId="{0D558810-24F9-4C3D-991C-9A3495A91E79}" type="presOf" srcId="{B5EA7402-DFE5-40A1-BF0D-A1E12A789863}" destId="{3F48EB5A-85E4-465C-A11B-6DF68C4E526A}" srcOrd="0" destOrd="0" presId="urn:microsoft.com/office/officeart/2008/layout/RadialCluster"/>
    <dgm:cxn modelId="{A8631E1A-8B66-461B-85EF-C548084E0D72}" srcId="{BA758DB1-7E67-42A0-8AF9-C21358E8FB4A}" destId="{F0E8ED8E-E576-40AA-858B-25D0514B036E}" srcOrd="1" destOrd="0" parTransId="{B5EA7402-DFE5-40A1-BF0D-A1E12A789863}" sibTransId="{43FACB73-8A95-408D-A3F2-33F65075DA2B}"/>
    <dgm:cxn modelId="{85E2CD2D-481B-4352-86E7-DE15A5DDCD44}" type="presOf" srcId="{F0E8ED8E-E576-40AA-858B-25D0514B036E}" destId="{3B3D680F-7BD8-4ECE-9306-E8B3745C721B}" srcOrd="0" destOrd="0" presId="urn:microsoft.com/office/officeart/2008/layout/RadialCluster"/>
    <dgm:cxn modelId="{37B4275E-1461-4A62-AB5F-E7CCEC6A57D6}" type="presOf" srcId="{BA758DB1-7E67-42A0-8AF9-C21358E8FB4A}" destId="{1C235262-FAF6-420C-A0D0-8F1DF84EE557}" srcOrd="0" destOrd="0" presId="urn:microsoft.com/office/officeart/2008/layout/RadialCluster"/>
    <dgm:cxn modelId="{2D0F4974-58C3-431A-AB98-559B7713957D}" type="presOf" srcId="{946B639B-C188-4C3A-B482-896BF3588D8B}" destId="{446F6A2A-5D68-486C-8B02-0F57DBF47C6F}" srcOrd="0" destOrd="0" presId="urn:microsoft.com/office/officeart/2008/layout/RadialCluster"/>
    <dgm:cxn modelId="{8B7ACD55-F030-4A2D-8FD9-A029942B5750}" type="presOf" srcId="{7156CC1B-DFE6-41AB-AB20-9B0EB7F4C46A}" destId="{B98FE5DC-2546-4333-B21F-9E51280EB574}" srcOrd="0" destOrd="0" presId="urn:microsoft.com/office/officeart/2008/layout/RadialCluster"/>
    <dgm:cxn modelId="{3CC65B80-8532-4B5F-8EAC-C81C8CE886F7}" srcId="{BA758DB1-7E67-42A0-8AF9-C21358E8FB4A}" destId="{7156CC1B-DFE6-41AB-AB20-9B0EB7F4C46A}" srcOrd="2" destOrd="0" parTransId="{946B639B-C188-4C3A-B482-896BF3588D8B}" sibTransId="{5B67BE88-70B7-4B72-B3C6-99164E3C6B32}"/>
    <dgm:cxn modelId="{507C4B9D-9A78-4257-8B9C-C5599C0CBC30}" type="presOf" srcId="{CAB88769-D1DD-4063-B42A-3ABA727F9346}" destId="{512F1FD8-FD6C-408B-AAFB-99513876AE54}" srcOrd="0" destOrd="0" presId="urn:microsoft.com/office/officeart/2008/layout/RadialCluster"/>
    <dgm:cxn modelId="{AF81C5A4-A332-4493-8929-29DBB83AD8E4}" type="presOf" srcId="{7F076A35-83E6-4F5C-8C43-08B4A713EA82}" destId="{2CA54B64-EF51-4E06-8F04-5C6A9DB70F79}" srcOrd="0" destOrd="0" presId="urn:microsoft.com/office/officeart/2008/layout/RadialCluster"/>
    <dgm:cxn modelId="{C13BDEAB-87B2-4362-8750-9401E4EE217B}" type="presOf" srcId="{ACB374E3-8C2A-453B-BCC6-C197E37C6A35}" destId="{110A9CBD-B6F7-4671-8F71-0BEC97A1D349}" srcOrd="0" destOrd="0" presId="urn:microsoft.com/office/officeart/2008/layout/RadialCluster"/>
    <dgm:cxn modelId="{779EEAEE-5F7E-4C07-9979-469EDDE153C4}" srcId="{BA758DB1-7E67-42A0-8AF9-C21358E8FB4A}" destId="{CAB88769-D1DD-4063-B42A-3ABA727F9346}" srcOrd="0" destOrd="0" parTransId="{7F076A35-83E6-4F5C-8C43-08B4A713EA82}" sibTransId="{EA1D9256-FD15-442A-8667-508B18E20C10}"/>
    <dgm:cxn modelId="{CD4CED98-F830-41C1-94C0-BC87435337EB}" type="presParOf" srcId="{110A9CBD-B6F7-4671-8F71-0BEC97A1D349}" destId="{59F2F7BB-5076-45D6-8241-967924A07ECC}" srcOrd="0" destOrd="0" presId="urn:microsoft.com/office/officeart/2008/layout/RadialCluster"/>
    <dgm:cxn modelId="{3A3E8E0C-05E5-465A-BEE8-CE8401398D14}" type="presParOf" srcId="{59F2F7BB-5076-45D6-8241-967924A07ECC}" destId="{1C235262-FAF6-420C-A0D0-8F1DF84EE557}" srcOrd="0" destOrd="0" presId="urn:microsoft.com/office/officeart/2008/layout/RadialCluster"/>
    <dgm:cxn modelId="{C9BEE7FB-B907-443E-8CF6-F896D49B6791}" type="presParOf" srcId="{59F2F7BB-5076-45D6-8241-967924A07ECC}" destId="{2CA54B64-EF51-4E06-8F04-5C6A9DB70F79}" srcOrd="1" destOrd="0" presId="urn:microsoft.com/office/officeart/2008/layout/RadialCluster"/>
    <dgm:cxn modelId="{33C9F380-2E37-4D86-8823-B2FCD2F4A900}" type="presParOf" srcId="{59F2F7BB-5076-45D6-8241-967924A07ECC}" destId="{512F1FD8-FD6C-408B-AAFB-99513876AE54}" srcOrd="2" destOrd="0" presId="urn:microsoft.com/office/officeart/2008/layout/RadialCluster"/>
    <dgm:cxn modelId="{F6CE612E-8B99-4898-ADF0-FF3DC15B3D88}" type="presParOf" srcId="{59F2F7BB-5076-45D6-8241-967924A07ECC}" destId="{3F48EB5A-85E4-465C-A11B-6DF68C4E526A}" srcOrd="3" destOrd="0" presId="urn:microsoft.com/office/officeart/2008/layout/RadialCluster"/>
    <dgm:cxn modelId="{D9B1EF76-D0A7-4FFB-9B86-DCB58E19E14C}" type="presParOf" srcId="{59F2F7BB-5076-45D6-8241-967924A07ECC}" destId="{3B3D680F-7BD8-4ECE-9306-E8B3745C721B}" srcOrd="4" destOrd="0" presId="urn:microsoft.com/office/officeart/2008/layout/RadialCluster"/>
    <dgm:cxn modelId="{5F5FABB4-0838-4ABC-9F16-69184FF352C8}" type="presParOf" srcId="{59F2F7BB-5076-45D6-8241-967924A07ECC}" destId="{446F6A2A-5D68-486C-8B02-0F57DBF47C6F}" srcOrd="5" destOrd="0" presId="urn:microsoft.com/office/officeart/2008/layout/RadialCluster"/>
    <dgm:cxn modelId="{6E3D827D-6ACB-484D-A9A7-F7FAFE5E8322}" type="presParOf" srcId="{59F2F7BB-5076-45D6-8241-967924A07ECC}" destId="{B98FE5DC-2546-4333-B21F-9E51280EB574}" srcOrd="6" destOrd="0" presId="urn:microsoft.com/office/officeart/2008/layout/RadialCluster"/>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90FB88-8084-4AEF-9277-30C47C27F63E}" type="doc">
      <dgm:prSet loTypeId="urn:microsoft.com/office/officeart/2011/layout/HexagonRadial" loCatId="cycle" qsTypeId="urn:microsoft.com/office/officeart/2005/8/quickstyle/simple1" qsCatId="simple" csTypeId="urn:microsoft.com/office/officeart/2005/8/colors/accent0_1" csCatId="mainScheme" phldr="1"/>
      <dgm:spPr/>
      <dgm:t>
        <a:bodyPr/>
        <a:lstStyle/>
        <a:p>
          <a:endParaRPr lang="en-US"/>
        </a:p>
      </dgm:t>
    </dgm:pt>
    <dgm:pt modelId="{6FC6870B-DCA1-40DB-BDBC-86B64F50BE7E}">
      <dgm:prSet phldrT="[Text]"/>
      <dgm:spPr>
        <a:xfrm>
          <a:off x="2086903" y="1032449"/>
          <a:ext cx="1312287" cy="1135181"/>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a:ea typeface="+mn-ea"/>
              <a:cs typeface="+mn-cs"/>
            </a:rPr>
            <a:t>Career path for securing finance for real esatate project development</a:t>
          </a:r>
        </a:p>
      </dgm:t>
    </dgm:pt>
    <dgm:pt modelId="{0560BFFF-DA77-484C-968D-88B420ECA5B2}" type="parTrans" cxnId="{DBD3D86A-A80F-4A12-9018-ED47C28006B8}">
      <dgm:prSet/>
      <dgm:spPr/>
      <dgm:t>
        <a:bodyPr/>
        <a:lstStyle/>
        <a:p>
          <a:endParaRPr lang="en-US"/>
        </a:p>
      </dgm:t>
    </dgm:pt>
    <dgm:pt modelId="{25B3E75B-9AC1-4835-BD85-C82AAA264E30}" type="sibTrans" cxnId="{DBD3D86A-A80F-4A12-9018-ED47C28006B8}">
      <dgm:prSet/>
      <dgm:spPr/>
      <dgm:t>
        <a:bodyPr/>
        <a:lstStyle/>
        <a:p>
          <a:endParaRPr lang="en-US"/>
        </a:p>
      </dgm:t>
    </dgm:pt>
    <dgm:pt modelId="{4695807F-ACF0-4716-B1F1-D5D68B3CA04B}">
      <dgm:prSet phldrT="[Text]" custT="1"/>
      <dgm:spPr>
        <a:xfrm>
          <a:off x="2207784" y="0"/>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Strong finance back-ground</a:t>
          </a:r>
          <a:r>
            <a:rPr lang="en-US" sz="500">
              <a:solidFill>
                <a:sysClr val="windowText" lastClr="000000">
                  <a:hueOff val="0"/>
                  <a:satOff val="0"/>
                  <a:lumOff val="0"/>
                  <a:alphaOff val="0"/>
                </a:sysClr>
              </a:solidFill>
              <a:latin typeface="Calibri"/>
              <a:ea typeface="+mn-ea"/>
              <a:cs typeface="+mn-cs"/>
            </a:rPr>
            <a:t>.</a:t>
          </a:r>
        </a:p>
      </dgm:t>
    </dgm:pt>
    <dgm:pt modelId="{02EE2882-972E-4697-B185-C770198D2107}" type="parTrans" cxnId="{F066DE89-53A0-4648-BBF2-A870FC3CE754}">
      <dgm:prSet/>
      <dgm:spPr/>
      <dgm:t>
        <a:bodyPr/>
        <a:lstStyle/>
        <a:p>
          <a:endParaRPr lang="en-US"/>
        </a:p>
      </dgm:t>
    </dgm:pt>
    <dgm:pt modelId="{E8BACF4F-F655-4DC6-AFFA-77036A18DE60}" type="sibTrans" cxnId="{F066DE89-53A0-4648-BBF2-A870FC3CE754}">
      <dgm:prSet/>
      <dgm:spPr/>
      <dgm:t>
        <a:bodyPr/>
        <a:lstStyle/>
        <a:p>
          <a:endParaRPr lang="en-US"/>
        </a:p>
      </dgm:t>
    </dgm:pt>
    <dgm:pt modelId="{3C1F3F83-E435-42D9-A460-8C86E4C79BD3}">
      <dgm:prSet phldrT="[Text]" custT="1"/>
      <dgm:spPr>
        <a:xfrm>
          <a:off x="3194060" y="572231"/>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Specialisation ranging from real estate in-dustry analyst and real estate to pension fund man-agement</a:t>
          </a:r>
          <a:r>
            <a:rPr lang="en-US" sz="600">
              <a:solidFill>
                <a:sysClr val="windowText" lastClr="000000">
                  <a:hueOff val="0"/>
                  <a:satOff val="0"/>
                  <a:lumOff val="0"/>
                  <a:alphaOff val="0"/>
                </a:sysClr>
              </a:solidFill>
              <a:latin typeface="Calibri"/>
              <a:ea typeface="+mn-ea"/>
              <a:cs typeface="+mn-cs"/>
            </a:rPr>
            <a:t>.</a:t>
          </a:r>
        </a:p>
      </dgm:t>
    </dgm:pt>
    <dgm:pt modelId="{983997D7-3FBD-43F1-B599-609DB969CACA}" type="parTrans" cxnId="{07DF12F1-1CD9-4E9D-B3C7-082F7FE2FDDE}">
      <dgm:prSet/>
      <dgm:spPr/>
      <dgm:t>
        <a:bodyPr/>
        <a:lstStyle/>
        <a:p>
          <a:endParaRPr lang="en-US"/>
        </a:p>
      </dgm:t>
    </dgm:pt>
    <dgm:pt modelId="{0E7245AA-1866-4BF6-A173-9428F1DDAA55}" type="sibTrans" cxnId="{07DF12F1-1CD9-4E9D-B3C7-082F7FE2FDDE}">
      <dgm:prSet/>
      <dgm:spPr/>
      <dgm:t>
        <a:bodyPr/>
        <a:lstStyle/>
        <a:p>
          <a:endParaRPr lang="en-US"/>
        </a:p>
      </dgm:t>
    </dgm:pt>
    <dgm:pt modelId="{3E03EB71-7500-4410-8954-5A02B408A22D}">
      <dgm:prSet phldrT="[Text]" custT="1"/>
      <dgm:spPr>
        <a:xfrm>
          <a:off x="3194060" y="1697172"/>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Specialisation in commercial or /and retail real estate de-velopments</a:t>
          </a:r>
        </a:p>
      </dgm:t>
    </dgm:pt>
    <dgm:pt modelId="{9E1B6850-608C-4D65-AA80-6E806C5E110F}" type="parTrans" cxnId="{FBBADEBA-B476-4C07-A8C7-A7AA2B0A930C}">
      <dgm:prSet/>
      <dgm:spPr/>
      <dgm:t>
        <a:bodyPr/>
        <a:lstStyle/>
        <a:p>
          <a:endParaRPr lang="en-US"/>
        </a:p>
      </dgm:t>
    </dgm:pt>
    <dgm:pt modelId="{D6C40A67-8363-4D71-BB1C-A71D98E11470}" type="sibTrans" cxnId="{FBBADEBA-B476-4C07-A8C7-A7AA2B0A930C}">
      <dgm:prSet/>
      <dgm:spPr/>
      <dgm:t>
        <a:bodyPr/>
        <a:lstStyle/>
        <a:p>
          <a:endParaRPr lang="en-US"/>
        </a:p>
      </dgm:t>
    </dgm:pt>
    <dgm:pt modelId="{7068BF2F-E881-47F5-85D1-E259DF8E2A47}">
      <dgm:prSet phldrT="[Text]" custT="1"/>
      <dgm:spPr>
        <a:xfrm>
          <a:off x="2207784" y="2270043"/>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Good interna-tional work experiences across coun-tries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749117-A7C5-4844-80E7-95E35A8AE795}" type="parTrans" cxnId="{48BB4185-22A4-4D7C-BB93-D1B66D906B56}">
      <dgm:prSet/>
      <dgm:spPr/>
      <dgm:t>
        <a:bodyPr/>
        <a:lstStyle/>
        <a:p>
          <a:endParaRPr lang="en-US"/>
        </a:p>
      </dgm:t>
    </dgm:pt>
    <dgm:pt modelId="{4954DCA8-3D6E-4F9B-AAD3-18437A7EB60A}" type="sibTrans" cxnId="{48BB4185-22A4-4D7C-BB93-D1B66D906B56}">
      <dgm:prSet/>
      <dgm:spPr/>
      <dgm:t>
        <a:bodyPr/>
        <a:lstStyle/>
        <a:p>
          <a:endParaRPr lang="en-US"/>
        </a:p>
      </dgm:t>
    </dgm:pt>
    <dgm:pt modelId="{C54BC819-4F7C-48A2-ACF9-E2D5EA0199F5}">
      <dgm:prSet/>
      <dgm:spPr/>
      <dgm:t>
        <a:bodyPr/>
        <a:lstStyle/>
        <a:p>
          <a:endParaRPr lang="en-US"/>
        </a:p>
      </dgm:t>
    </dgm:pt>
    <dgm:pt modelId="{FA6CC924-6008-4992-8033-F6841F2E3479}" type="parTrans" cxnId="{90589677-465F-4F02-900E-17504D3C15BE}">
      <dgm:prSet/>
      <dgm:spPr/>
      <dgm:t>
        <a:bodyPr/>
        <a:lstStyle/>
        <a:p>
          <a:endParaRPr lang="en-US"/>
        </a:p>
      </dgm:t>
    </dgm:pt>
    <dgm:pt modelId="{8327B2C5-070C-461A-8472-83853D1798DA}" type="sibTrans" cxnId="{90589677-465F-4F02-900E-17504D3C15BE}">
      <dgm:prSet/>
      <dgm:spPr/>
      <dgm:t>
        <a:bodyPr/>
        <a:lstStyle/>
        <a:p>
          <a:endParaRPr lang="en-US"/>
        </a:p>
      </dgm:t>
    </dgm:pt>
    <dgm:pt modelId="{C2FF0F8D-63DB-41D5-A73E-02CCED888A11}">
      <dgm:prSet custT="1"/>
      <dgm:spPr>
        <a:xfrm>
          <a:off x="1216929" y="570951"/>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range of 4 to 17 years aver-age experi-ence in the real estate sector</a:t>
          </a:r>
        </a:p>
      </dgm:t>
    </dgm:pt>
    <dgm:pt modelId="{5A0E1725-30CA-4C8C-8B16-C32A6FC2FEBB}" type="parTrans" cxnId="{ABF1D16B-11AC-4DB8-8BB0-A583F61D53A8}">
      <dgm:prSet/>
      <dgm:spPr/>
      <dgm:t>
        <a:bodyPr/>
        <a:lstStyle/>
        <a:p>
          <a:endParaRPr lang="en-US"/>
        </a:p>
      </dgm:t>
    </dgm:pt>
    <dgm:pt modelId="{A8C83FA6-6363-4ACB-83B3-022DC8DACA72}" type="sibTrans" cxnId="{ABF1D16B-11AC-4DB8-8BB0-A583F61D53A8}">
      <dgm:prSet/>
      <dgm:spPr/>
      <dgm:t>
        <a:bodyPr/>
        <a:lstStyle/>
        <a:p>
          <a:endParaRPr lang="en-US"/>
        </a:p>
      </dgm:t>
    </dgm:pt>
    <dgm:pt modelId="{9B5889BA-9AF6-4020-9CB5-E563CD4C5F01}">
      <dgm:prSet/>
      <dgm:spPr/>
      <dgm:t>
        <a:bodyPr/>
        <a:lstStyle/>
        <a:p>
          <a:endParaRPr lang="en-US"/>
        </a:p>
      </dgm:t>
    </dgm:pt>
    <dgm:pt modelId="{6AE95ACE-EA70-4CEC-A191-883BACC75D19}" type="parTrans" cxnId="{F5FDD0AD-BCA0-4296-9C04-543E68C27829}">
      <dgm:prSet/>
      <dgm:spPr/>
      <dgm:t>
        <a:bodyPr/>
        <a:lstStyle/>
        <a:p>
          <a:endParaRPr lang="en-US"/>
        </a:p>
      </dgm:t>
    </dgm:pt>
    <dgm:pt modelId="{BC599127-05A0-4A0E-8A28-06C7966678DB}" type="sibTrans" cxnId="{F5FDD0AD-BCA0-4296-9C04-543E68C27829}">
      <dgm:prSet/>
      <dgm:spPr/>
      <dgm:t>
        <a:bodyPr/>
        <a:lstStyle/>
        <a:p>
          <a:endParaRPr lang="en-US"/>
        </a:p>
      </dgm:t>
    </dgm:pt>
    <dgm:pt modelId="{F6B9C654-07D8-4C09-8CEB-6276E53542CA}">
      <dgm:prSet/>
      <dgm:spPr/>
      <dgm:t>
        <a:bodyPr/>
        <a:lstStyle/>
        <a:p>
          <a:endParaRPr lang="en-US"/>
        </a:p>
      </dgm:t>
    </dgm:pt>
    <dgm:pt modelId="{5B5593F5-C796-4F95-9B6F-CDEDBAF6578D}" type="parTrans" cxnId="{9A673118-376C-4361-9FC5-045DD5B88568}">
      <dgm:prSet/>
      <dgm:spPr/>
      <dgm:t>
        <a:bodyPr/>
        <a:lstStyle/>
        <a:p>
          <a:endParaRPr lang="en-US"/>
        </a:p>
      </dgm:t>
    </dgm:pt>
    <dgm:pt modelId="{A6A9A067-6363-4FC2-B4C9-E6E1CAC311B0}" type="sibTrans" cxnId="{9A673118-376C-4361-9FC5-045DD5B88568}">
      <dgm:prSet/>
      <dgm:spPr/>
      <dgm:t>
        <a:bodyPr/>
        <a:lstStyle/>
        <a:p>
          <a:endParaRPr lang="en-US"/>
        </a:p>
      </dgm:t>
    </dgm:pt>
    <dgm:pt modelId="{86CDB015-CF60-4E6B-9961-7A756965F4A2}">
      <dgm:prSet/>
      <dgm:spPr/>
      <dgm:t>
        <a:bodyPr/>
        <a:lstStyle/>
        <a:p>
          <a:endParaRPr lang="en-US"/>
        </a:p>
      </dgm:t>
    </dgm:pt>
    <dgm:pt modelId="{1A76CE4B-2996-494E-A9D4-02D3148B0A53}" type="parTrans" cxnId="{BCA2D853-4175-4A04-9D35-C5ADA1FF43FF}">
      <dgm:prSet/>
      <dgm:spPr/>
      <dgm:t>
        <a:bodyPr/>
        <a:lstStyle/>
        <a:p>
          <a:endParaRPr lang="en-US"/>
        </a:p>
      </dgm:t>
    </dgm:pt>
    <dgm:pt modelId="{D8559424-B27F-48A0-9CB0-22CFD16943B3}" type="sibTrans" cxnId="{BCA2D853-4175-4A04-9D35-C5ADA1FF43FF}">
      <dgm:prSet/>
      <dgm:spPr/>
      <dgm:t>
        <a:bodyPr/>
        <a:lstStyle/>
        <a:p>
          <a:endParaRPr lang="en-US"/>
        </a:p>
      </dgm:t>
    </dgm:pt>
    <dgm:pt modelId="{E2D51483-74AE-4AC9-9C17-D5B6C0BD330D}">
      <dgm:prSet/>
      <dgm:spPr/>
      <dgm:t>
        <a:bodyPr/>
        <a:lstStyle/>
        <a:p>
          <a:endParaRPr lang="en-US"/>
        </a:p>
      </dgm:t>
    </dgm:pt>
    <dgm:pt modelId="{93B8C64E-8D3A-4007-B55A-5398F94F6AE6}" type="parTrans" cxnId="{4818C485-FCED-418A-8C70-C6D39874ADAC}">
      <dgm:prSet/>
      <dgm:spPr/>
      <dgm:t>
        <a:bodyPr/>
        <a:lstStyle/>
        <a:p>
          <a:endParaRPr lang="en-US"/>
        </a:p>
      </dgm:t>
    </dgm:pt>
    <dgm:pt modelId="{CA01FC0D-BAC2-4939-B7C0-088E9367B87D}" type="sibTrans" cxnId="{4818C485-FCED-418A-8C70-C6D39874ADAC}">
      <dgm:prSet/>
      <dgm:spPr/>
      <dgm:t>
        <a:bodyPr/>
        <a:lstStyle/>
        <a:p>
          <a:endParaRPr lang="en-US"/>
        </a:p>
      </dgm:t>
    </dgm:pt>
    <dgm:pt modelId="{3024DE3D-4131-4CC2-9FC5-EAFA54071AEE}">
      <dgm:prSet/>
      <dgm:spPr/>
      <dgm:t>
        <a:bodyPr/>
        <a:lstStyle/>
        <a:p>
          <a:endParaRPr lang="en-US"/>
        </a:p>
      </dgm:t>
    </dgm:pt>
    <dgm:pt modelId="{C1EC02FC-5473-4B79-8CB4-3742BEAA07E3}" type="parTrans" cxnId="{EFBA7516-FAC0-44A6-8B13-0B1B442272E3}">
      <dgm:prSet/>
      <dgm:spPr/>
      <dgm:t>
        <a:bodyPr/>
        <a:lstStyle/>
        <a:p>
          <a:endParaRPr lang="en-US"/>
        </a:p>
      </dgm:t>
    </dgm:pt>
    <dgm:pt modelId="{3DEE5195-ACA6-4BFB-BEC3-1DFC36811CCF}" type="sibTrans" cxnId="{EFBA7516-FAC0-44A6-8B13-0B1B442272E3}">
      <dgm:prSet/>
      <dgm:spPr/>
      <dgm:t>
        <a:bodyPr/>
        <a:lstStyle/>
        <a:p>
          <a:endParaRPr lang="en-US"/>
        </a:p>
      </dgm:t>
    </dgm:pt>
    <dgm:pt modelId="{61ACF8CC-80B7-46EE-84ED-D7737B4DAB57}">
      <dgm:prSet/>
      <dgm:spPr/>
      <dgm:t>
        <a:bodyPr/>
        <a:lstStyle/>
        <a:p>
          <a:endParaRPr lang="en-US"/>
        </a:p>
      </dgm:t>
    </dgm:pt>
    <dgm:pt modelId="{481AA86D-D273-4C11-8046-E227442DBFE7}" type="parTrans" cxnId="{613F99D3-762A-4979-B3D8-1D1527FA53F7}">
      <dgm:prSet/>
      <dgm:spPr/>
      <dgm:t>
        <a:bodyPr/>
        <a:lstStyle/>
        <a:p>
          <a:endParaRPr lang="en-US"/>
        </a:p>
      </dgm:t>
    </dgm:pt>
    <dgm:pt modelId="{FDCCEC7A-134C-4A96-B833-1F08CD4A8775}" type="sibTrans" cxnId="{613F99D3-762A-4979-B3D8-1D1527FA53F7}">
      <dgm:prSet/>
      <dgm:spPr/>
      <dgm:t>
        <a:bodyPr/>
        <a:lstStyle/>
        <a:p>
          <a:endParaRPr lang="en-US"/>
        </a:p>
      </dgm:t>
    </dgm:pt>
    <dgm:pt modelId="{B85B9892-D473-47B8-8D26-B3F80B2FAD4D}">
      <dgm:prSet/>
      <dgm:spPr/>
      <dgm:t>
        <a:bodyPr/>
        <a:lstStyle/>
        <a:p>
          <a:endParaRPr lang="en-US"/>
        </a:p>
      </dgm:t>
    </dgm:pt>
    <dgm:pt modelId="{60F58670-207A-4CEB-92EA-9E98F78A68BA}" type="parTrans" cxnId="{F395F016-8057-4D73-863A-E7BDCCE4F694}">
      <dgm:prSet/>
      <dgm:spPr/>
      <dgm:t>
        <a:bodyPr/>
        <a:lstStyle/>
        <a:p>
          <a:endParaRPr lang="en-US"/>
        </a:p>
      </dgm:t>
    </dgm:pt>
    <dgm:pt modelId="{A0DA543A-A5DF-4078-967A-C7AAC0DCD1D1}" type="sibTrans" cxnId="{F395F016-8057-4D73-863A-E7BDCCE4F694}">
      <dgm:prSet/>
      <dgm:spPr/>
      <dgm:t>
        <a:bodyPr/>
        <a:lstStyle/>
        <a:p>
          <a:endParaRPr lang="en-US"/>
        </a:p>
      </dgm:t>
    </dgm:pt>
    <dgm:pt modelId="{2C16F227-B7AE-4BEC-8C5D-5A4B25E7263D}">
      <dgm:prSet/>
      <dgm:spPr/>
      <dgm:t>
        <a:bodyPr/>
        <a:lstStyle/>
        <a:p>
          <a:endParaRPr lang="en-US"/>
        </a:p>
      </dgm:t>
    </dgm:pt>
    <dgm:pt modelId="{5854748C-7775-49D6-B6BB-9695FBB44B01}" type="parTrans" cxnId="{1D80BA58-CBAF-4C6A-96C9-8C08A1649FC7}">
      <dgm:prSet/>
      <dgm:spPr/>
      <dgm:t>
        <a:bodyPr/>
        <a:lstStyle/>
        <a:p>
          <a:endParaRPr lang="en-US"/>
        </a:p>
      </dgm:t>
    </dgm:pt>
    <dgm:pt modelId="{CCD52630-4FC4-4EC0-9FE4-91EA0B51AA95}" type="sibTrans" cxnId="{1D80BA58-CBAF-4C6A-96C9-8C08A1649FC7}">
      <dgm:prSet/>
      <dgm:spPr/>
      <dgm:t>
        <a:bodyPr/>
        <a:lstStyle/>
        <a:p>
          <a:endParaRPr lang="en-US"/>
        </a:p>
      </dgm:t>
    </dgm:pt>
    <dgm:pt modelId="{8C9CBF37-9D52-4CD7-BB61-C13FC0903E0A}">
      <dgm:prSet/>
      <dgm:spPr/>
      <dgm:t>
        <a:bodyPr/>
        <a:lstStyle/>
        <a:p>
          <a:endParaRPr lang="en-US"/>
        </a:p>
      </dgm:t>
    </dgm:pt>
    <dgm:pt modelId="{4E77A203-8F61-4111-8950-F7763FE36F00}" type="parTrans" cxnId="{3CE47290-540D-407A-B077-E675765C0017}">
      <dgm:prSet/>
      <dgm:spPr/>
      <dgm:t>
        <a:bodyPr/>
        <a:lstStyle/>
        <a:p>
          <a:endParaRPr lang="en-US"/>
        </a:p>
      </dgm:t>
    </dgm:pt>
    <dgm:pt modelId="{F5E09FC1-9D24-489A-B225-0C987E5B651F}" type="sibTrans" cxnId="{3CE47290-540D-407A-B077-E675765C0017}">
      <dgm:prSet/>
      <dgm:spPr/>
      <dgm:t>
        <a:bodyPr/>
        <a:lstStyle/>
        <a:p>
          <a:endParaRPr lang="en-US"/>
        </a:p>
      </dgm:t>
    </dgm:pt>
    <dgm:pt modelId="{9849D9F6-3E36-4C0C-812A-8A434E1A97AF}">
      <dgm:prSet custT="1"/>
      <dgm:spPr>
        <a:xfrm>
          <a:off x="1216929" y="1697812"/>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Academic specialisation with a strong emphasis on real estate, construction &amp; project finance, management &amp; finance</a:t>
          </a:r>
        </a:p>
      </dgm:t>
    </dgm:pt>
    <dgm:pt modelId="{E0AC53D6-ECDE-4C1C-9AFF-E61F125097A6}" type="parTrans" cxnId="{859A5802-ABCB-415B-9404-17A1C03E6AD6}">
      <dgm:prSet/>
      <dgm:spPr/>
      <dgm:t>
        <a:bodyPr/>
        <a:lstStyle/>
        <a:p>
          <a:endParaRPr lang="en-US"/>
        </a:p>
      </dgm:t>
    </dgm:pt>
    <dgm:pt modelId="{B60D8996-B874-4C44-B435-59550938F120}" type="sibTrans" cxnId="{859A5802-ABCB-415B-9404-17A1C03E6AD6}">
      <dgm:prSet/>
      <dgm:spPr/>
      <dgm:t>
        <a:bodyPr/>
        <a:lstStyle/>
        <a:p>
          <a:endParaRPr lang="en-US"/>
        </a:p>
      </dgm:t>
    </dgm:pt>
    <dgm:pt modelId="{5C2336A0-D013-4B9E-9F48-5DDBB719A71E}" type="pres">
      <dgm:prSet presAssocID="{4C90FB88-8084-4AEF-9277-30C47C27F63E}" presName="Name0" presStyleCnt="0">
        <dgm:presLayoutVars>
          <dgm:chMax val="1"/>
          <dgm:chPref val="1"/>
          <dgm:dir/>
          <dgm:animOne val="branch"/>
          <dgm:animLvl val="lvl"/>
        </dgm:presLayoutVars>
      </dgm:prSet>
      <dgm:spPr/>
    </dgm:pt>
    <dgm:pt modelId="{B9535F82-FF1E-415B-BAD4-655D6EC67F11}" type="pres">
      <dgm:prSet presAssocID="{6FC6870B-DCA1-40DB-BDBC-86B64F50BE7E}" presName="Parent" presStyleLbl="node0" presStyleIdx="0" presStyleCnt="1">
        <dgm:presLayoutVars>
          <dgm:chMax val="6"/>
          <dgm:chPref val="6"/>
        </dgm:presLayoutVars>
      </dgm:prSet>
      <dgm:spPr/>
    </dgm:pt>
    <dgm:pt modelId="{C64F2C3F-0BB6-4BD9-910C-3EC3DDD63760}" type="pres">
      <dgm:prSet presAssocID="{4695807F-ACF0-4716-B1F1-D5D68B3CA04B}" presName="Accent1" presStyleCnt="0"/>
      <dgm:spPr/>
    </dgm:pt>
    <dgm:pt modelId="{3D66159A-92A5-48CE-AB41-688E5AC0195E}" type="pres">
      <dgm:prSet presAssocID="{4695807F-ACF0-4716-B1F1-D5D68B3CA04B}" presName="Accent" presStyleLbl="bgShp" presStyleIdx="0" presStyleCnt="6"/>
      <dgm:spPr/>
    </dgm:pt>
    <dgm:pt modelId="{9F06C5F6-3546-41CB-9497-98AFDF96CF67}" type="pres">
      <dgm:prSet presAssocID="{4695807F-ACF0-4716-B1F1-D5D68B3CA04B}" presName="Child1" presStyleLbl="node1" presStyleIdx="0" presStyleCnt="6">
        <dgm:presLayoutVars>
          <dgm:chMax val="0"/>
          <dgm:chPref val="0"/>
          <dgm:bulletEnabled val="1"/>
        </dgm:presLayoutVars>
      </dgm:prSet>
      <dgm:spPr/>
    </dgm:pt>
    <dgm:pt modelId="{3391117E-4B1D-4E0B-963C-D232BA780DAA}" type="pres">
      <dgm:prSet presAssocID="{3C1F3F83-E435-42D9-A460-8C86E4C79BD3}" presName="Accent2" presStyleCnt="0"/>
      <dgm:spPr/>
    </dgm:pt>
    <dgm:pt modelId="{40F6748D-4505-4E11-94A6-556963CD355D}" type="pres">
      <dgm:prSet presAssocID="{3C1F3F83-E435-42D9-A460-8C86E4C79BD3}" presName="Accent" presStyleLbl="bgShp" presStyleIdx="1" presStyleCnt="6"/>
      <dgm:spPr>
        <a:xfrm>
          <a:off x="2908647" y="489341"/>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gm:spPr>
    </dgm:pt>
    <dgm:pt modelId="{5C1AD1DC-96ED-431D-BF35-4AE17A667E97}" type="pres">
      <dgm:prSet presAssocID="{3C1F3F83-E435-42D9-A460-8C86E4C79BD3}" presName="Child2" presStyleLbl="node1" presStyleIdx="1" presStyleCnt="6">
        <dgm:presLayoutVars>
          <dgm:chMax val="0"/>
          <dgm:chPref val="0"/>
          <dgm:bulletEnabled val="1"/>
        </dgm:presLayoutVars>
      </dgm:prSet>
      <dgm:spPr/>
    </dgm:pt>
    <dgm:pt modelId="{D5713408-2B2C-436A-808C-653C9BA710C8}" type="pres">
      <dgm:prSet presAssocID="{3E03EB71-7500-4410-8954-5A02B408A22D}" presName="Accent3" presStyleCnt="0"/>
      <dgm:spPr/>
    </dgm:pt>
    <dgm:pt modelId="{C478CC19-C304-4277-93C7-26903646E0D4}" type="pres">
      <dgm:prSet presAssocID="{3E03EB71-7500-4410-8954-5A02B408A22D}" presName="Accent" presStyleLbl="bgShp" presStyleIdx="2" presStyleCnt="6"/>
      <dgm:spPr>
        <a:xfrm>
          <a:off x="3486493" y="1286880"/>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gm:spPr>
    </dgm:pt>
    <dgm:pt modelId="{9B7F3BC9-540C-4349-98DF-11104F8AB742}" type="pres">
      <dgm:prSet presAssocID="{3E03EB71-7500-4410-8954-5A02B408A22D}" presName="Child3" presStyleLbl="node1" presStyleIdx="2" presStyleCnt="6">
        <dgm:presLayoutVars>
          <dgm:chMax val="0"/>
          <dgm:chPref val="0"/>
          <dgm:bulletEnabled val="1"/>
        </dgm:presLayoutVars>
      </dgm:prSet>
      <dgm:spPr/>
    </dgm:pt>
    <dgm:pt modelId="{17C2ECDE-E3DB-485A-84E2-6D6B8F0EFE7F}" type="pres">
      <dgm:prSet presAssocID="{7068BF2F-E881-47F5-85D1-E259DF8E2A47}" presName="Accent4" presStyleCnt="0"/>
      <dgm:spPr/>
    </dgm:pt>
    <dgm:pt modelId="{D8B57E40-CABD-46D8-838F-37369318546A}" type="pres">
      <dgm:prSet presAssocID="{7068BF2F-E881-47F5-85D1-E259DF8E2A47}" presName="Accent" presStyleLbl="bgShp" presStyleIdx="3" presStyleCnt="6"/>
      <dgm:spPr>
        <a:xfrm>
          <a:off x="3085084" y="2187153"/>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gm:spPr>
    </dgm:pt>
    <dgm:pt modelId="{750F1DC2-8135-4B89-9973-571EDC9E972B}" type="pres">
      <dgm:prSet presAssocID="{7068BF2F-E881-47F5-85D1-E259DF8E2A47}" presName="Child4" presStyleLbl="node1" presStyleIdx="3" presStyleCnt="6">
        <dgm:presLayoutVars>
          <dgm:chMax val="0"/>
          <dgm:chPref val="0"/>
          <dgm:bulletEnabled val="1"/>
        </dgm:presLayoutVars>
      </dgm:prSet>
      <dgm:spPr/>
    </dgm:pt>
    <dgm:pt modelId="{DAA109AA-712A-4AA4-B99E-727BF329075B}" type="pres">
      <dgm:prSet presAssocID="{9849D9F6-3E36-4C0C-812A-8A434E1A97AF}" presName="Accent5" presStyleCnt="0"/>
      <dgm:spPr/>
    </dgm:pt>
    <dgm:pt modelId="{C4E1D696-5473-458B-8CAB-5568240C3EFD}" type="pres">
      <dgm:prSet presAssocID="{9849D9F6-3E36-4C0C-812A-8A434E1A97AF}" presName="Accent" presStyleLbl="bgShp" presStyleIdx="4" presStyleCnt="6"/>
      <dgm:spPr>
        <a:xfrm>
          <a:off x="2089345" y="2280605"/>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gm:spPr>
    </dgm:pt>
    <dgm:pt modelId="{48F7D85F-D4C9-4D58-9F94-7AAC9A1BDAC9}" type="pres">
      <dgm:prSet presAssocID="{9849D9F6-3E36-4C0C-812A-8A434E1A97AF}" presName="Child5" presStyleLbl="node1" presStyleIdx="4" presStyleCnt="6">
        <dgm:presLayoutVars>
          <dgm:chMax val="0"/>
          <dgm:chPref val="0"/>
          <dgm:bulletEnabled val="1"/>
        </dgm:presLayoutVars>
      </dgm:prSet>
      <dgm:spPr/>
    </dgm:pt>
    <dgm:pt modelId="{F247F9DD-7F4B-4FBB-BE99-CB7156030CCF}" type="pres">
      <dgm:prSet presAssocID="{C2FF0F8D-63DB-41D5-A73E-02CCED888A11}" presName="Accent6" presStyleCnt="0"/>
      <dgm:spPr/>
    </dgm:pt>
    <dgm:pt modelId="{5C0E7DCC-73A2-47EA-AD99-9979AB193795}" type="pres">
      <dgm:prSet presAssocID="{C2FF0F8D-63DB-41D5-A73E-02CCED888A11}" presName="Accent" presStyleLbl="bgShp" presStyleIdx="5" presStyleCnt="6"/>
      <dgm:spPr>
        <a:xfrm>
          <a:off x="1502036" y="1483385"/>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gm:spPr>
    </dgm:pt>
    <dgm:pt modelId="{23178FB9-BA31-4681-A820-C7C61F8F162E}" type="pres">
      <dgm:prSet presAssocID="{C2FF0F8D-63DB-41D5-A73E-02CCED888A11}" presName="Child6" presStyleLbl="node1" presStyleIdx="5" presStyleCnt="6">
        <dgm:presLayoutVars>
          <dgm:chMax val="0"/>
          <dgm:chPref val="0"/>
          <dgm:bulletEnabled val="1"/>
        </dgm:presLayoutVars>
      </dgm:prSet>
      <dgm:spPr/>
    </dgm:pt>
  </dgm:ptLst>
  <dgm:cxnLst>
    <dgm:cxn modelId="{859A5802-ABCB-415B-9404-17A1C03E6AD6}" srcId="{6FC6870B-DCA1-40DB-BDBC-86B64F50BE7E}" destId="{9849D9F6-3E36-4C0C-812A-8A434E1A97AF}" srcOrd="4" destOrd="0" parTransId="{E0AC53D6-ECDE-4C1C-9AFF-E61F125097A6}" sibTransId="{B60D8996-B874-4C44-B435-59550938F120}"/>
    <dgm:cxn modelId="{EFBA7516-FAC0-44A6-8B13-0B1B442272E3}" srcId="{4C90FB88-8084-4AEF-9277-30C47C27F63E}" destId="{3024DE3D-4131-4CC2-9FC5-EAFA54071AEE}" srcOrd="6" destOrd="0" parTransId="{C1EC02FC-5473-4B79-8CB4-3742BEAA07E3}" sibTransId="{3DEE5195-ACA6-4BFB-BEC3-1DFC36811CCF}"/>
    <dgm:cxn modelId="{F395F016-8057-4D73-863A-E7BDCCE4F694}" srcId="{4C90FB88-8084-4AEF-9277-30C47C27F63E}" destId="{B85B9892-D473-47B8-8D26-B3F80B2FAD4D}" srcOrd="8" destOrd="0" parTransId="{60F58670-207A-4CEB-92EA-9E98F78A68BA}" sibTransId="{A0DA543A-A5DF-4078-967A-C7AAC0DCD1D1}"/>
    <dgm:cxn modelId="{9A673118-376C-4361-9FC5-045DD5B88568}" srcId="{4C90FB88-8084-4AEF-9277-30C47C27F63E}" destId="{F6B9C654-07D8-4C09-8CEB-6276E53542CA}" srcOrd="3" destOrd="0" parTransId="{5B5593F5-C796-4F95-9B6F-CDEDBAF6578D}" sibTransId="{A6A9A067-6363-4FC2-B4C9-E6E1CAC311B0}"/>
    <dgm:cxn modelId="{27CDE537-D215-4273-BB64-2BE18C5C000B}" type="presOf" srcId="{7068BF2F-E881-47F5-85D1-E259DF8E2A47}" destId="{750F1DC2-8135-4B89-9973-571EDC9E972B}" srcOrd="0" destOrd="0" presId="urn:microsoft.com/office/officeart/2011/layout/HexagonRadial"/>
    <dgm:cxn modelId="{D2BF0960-9131-4A1C-A11C-C62C376417D9}" type="presOf" srcId="{C2FF0F8D-63DB-41D5-A73E-02CCED888A11}" destId="{23178FB9-BA31-4681-A820-C7C61F8F162E}" srcOrd="0" destOrd="0" presId="urn:microsoft.com/office/officeart/2011/layout/HexagonRadial"/>
    <dgm:cxn modelId="{DBD3D86A-A80F-4A12-9018-ED47C28006B8}" srcId="{4C90FB88-8084-4AEF-9277-30C47C27F63E}" destId="{6FC6870B-DCA1-40DB-BDBC-86B64F50BE7E}" srcOrd="0" destOrd="0" parTransId="{0560BFFF-DA77-484C-968D-88B420ECA5B2}" sibTransId="{25B3E75B-9AC1-4835-BD85-C82AAA264E30}"/>
    <dgm:cxn modelId="{ABF1D16B-11AC-4DB8-8BB0-A583F61D53A8}" srcId="{6FC6870B-DCA1-40DB-BDBC-86B64F50BE7E}" destId="{C2FF0F8D-63DB-41D5-A73E-02CCED888A11}" srcOrd="5" destOrd="0" parTransId="{5A0E1725-30CA-4C8C-8B16-C32A6FC2FEBB}" sibTransId="{A8C83FA6-6363-4ACB-83B3-022DC8DACA72}"/>
    <dgm:cxn modelId="{BCA2D853-4175-4A04-9D35-C5ADA1FF43FF}" srcId="{4C90FB88-8084-4AEF-9277-30C47C27F63E}" destId="{86CDB015-CF60-4E6B-9961-7A756965F4A2}" srcOrd="4" destOrd="0" parTransId="{1A76CE4B-2996-494E-A9D4-02D3148B0A53}" sibTransId="{D8559424-B27F-48A0-9CB0-22CFD16943B3}"/>
    <dgm:cxn modelId="{90589677-465F-4F02-900E-17504D3C15BE}" srcId="{4C90FB88-8084-4AEF-9277-30C47C27F63E}" destId="{C54BC819-4F7C-48A2-ACF9-E2D5EA0199F5}" srcOrd="1" destOrd="0" parTransId="{FA6CC924-6008-4992-8033-F6841F2E3479}" sibTransId="{8327B2C5-070C-461A-8472-83853D1798DA}"/>
    <dgm:cxn modelId="{1D80BA58-CBAF-4C6A-96C9-8C08A1649FC7}" srcId="{4C90FB88-8084-4AEF-9277-30C47C27F63E}" destId="{2C16F227-B7AE-4BEC-8C5D-5A4B25E7263D}" srcOrd="9" destOrd="0" parTransId="{5854748C-7775-49D6-B6BB-9695FBB44B01}" sibTransId="{CCD52630-4FC4-4EC0-9FE4-91EA0B51AA95}"/>
    <dgm:cxn modelId="{7D0BDC7A-B5A5-4D31-BB26-420047F8151A}" type="presOf" srcId="{9849D9F6-3E36-4C0C-812A-8A434E1A97AF}" destId="{48F7D85F-D4C9-4D58-9F94-7AAC9A1BDAC9}" srcOrd="0" destOrd="0" presId="urn:microsoft.com/office/officeart/2011/layout/HexagonRadial"/>
    <dgm:cxn modelId="{48BB4185-22A4-4D7C-BB93-D1B66D906B56}" srcId="{6FC6870B-DCA1-40DB-BDBC-86B64F50BE7E}" destId="{7068BF2F-E881-47F5-85D1-E259DF8E2A47}" srcOrd="3" destOrd="0" parTransId="{8D749117-A7C5-4844-80E7-95E35A8AE795}" sibTransId="{4954DCA8-3D6E-4F9B-AAD3-18437A7EB60A}"/>
    <dgm:cxn modelId="{4818C485-FCED-418A-8C70-C6D39874ADAC}" srcId="{4C90FB88-8084-4AEF-9277-30C47C27F63E}" destId="{E2D51483-74AE-4AC9-9C17-D5B6C0BD330D}" srcOrd="5" destOrd="0" parTransId="{93B8C64E-8D3A-4007-B55A-5398F94F6AE6}" sibTransId="{CA01FC0D-BAC2-4939-B7C0-088E9367B87D}"/>
    <dgm:cxn modelId="{F066DE89-53A0-4648-BBF2-A870FC3CE754}" srcId="{6FC6870B-DCA1-40DB-BDBC-86B64F50BE7E}" destId="{4695807F-ACF0-4716-B1F1-D5D68B3CA04B}" srcOrd="0" destOrd="0" parTransId="{02EE2882-972E-4697-B185-C770198D2107}" sibTransId="{E8BACF4F-F655-4DC6-AFFA-77036A18DE60}"/>
    <dgm:cxn modelId="{3CE47290-540D-407A-B077-E675765C0017}" srcId="{4C90FB88-8084-4AEF-9277-30C47C27F63E}" destId="{8C9CBF37-9D52-4CD7-BB61-C13FC0903E0A}" srcOrd="10" destOrd="0" parTransId="{4E77A203-8F61-4111-8950-F7763FE36F00}" sibTransId="{F5E09FC1-9D24-489A-B225-0C987E5B651F}"/>
    <dgm:cxn modelId="{F5FDD0AD-BCA0-4296-9C04-543E68C27829}" srcId="{4C90FB88-8084-4AEF-9277-30C47C27F63E}" destId="{9B5889BA-9AF6-4020-9CB5-E563CD4C5F01}" srcOrd="2" destOrd="0" parTransId="{6AE95ACE-EA70-4CEC-A191-883BACC75D19}" sibTransId="{BC599127-05A0-4A0E-8A28-06C7966678DB}"/>
    <dgm:cxn modelId="{FBBADEBA-B476-4C07-A8C7-A7AA2B0A930C}" srcId="{6FC6870B-DCA1-40DB-BDBC-86B64F50BE7E}" destId="{3E03EB71-7500-4410-8954-5A02B408A22D}" srcOrd="2" destOrd="0" parTransId="{9E1B6850-608C-4D65-AA80-6E806C5E110F}" sibTransId="{D6C40A67-8363-4D71-BB1C-A71D98E11470}"/>
    <dgm:cxn modelId="{CCD984C5-AC15-4DA2-86A7-F04E80137989}" type="presOf" srcId="{3C1F3F83-E435-42D9-A460-8C86E4C79BD3}" destId="{5C1AD1DC-96ED-431D-BF35-4AE17A667E97}" srcOrd="0" destOrd="0" presId="urn:microsoft.com/office/officeart/2011/layout/HexagonRadial"/>
    <dgm:cxn modelId="{7A1248D3-141C-47B5-91B9-F314E4B041C5}" type="presOf" srcId="{6FC6870B-DCA1-40DB-BDBC-86B64F50BE7E}" destId="{B9535F82-FF1E-415B-BAD4-655D6EC67F11}" srcOrd="0" destOrd="0" presId="urn:microsoft.com/office/officeart/2011/layout/HexagonRadial"/>
    <dgm:cxn modelId="{613F99D3-762A-4979-B3D8-1D1527FA53F7}" srcId="{4C90FB88-8084-4AEF-9277-30C47C27F63E}" destId="{61ACF8CC-80B7-46EE-84ED-D7737B4DAB57}" srcOrd="7" destOrd="0" parTransId="{481AA86D-D273-4C11-8046-E227442DBFE7}" sibTransId="{FDCCEC7A-134C-4A96-B833-1F08CD4A8775}"/>
    <dgm:cxn modelId="{6FDC22EC-524C-4BD5-8987-25C4F3DE82AB}" type="presOf" srcId="{3E03EB71-7500-4410-8954-5A02B408A22D}" destId="{9B7F3BC9-540C-4349-98DF-11104F8AB742}" srcOrd="0" destOrd="0" presId="urn:microsoft.com/office/officeart/2011/layout/HexagonRadial"/>
    <dgm:cxn modelId="{07DF12F1-1CD9-4E9D-B3C7-082F7FE2FDDE}" srcId="{6FC6870B-DCA1-40DB-BDBC-86B64F50BE7E}" destId="{3C1F3F83-E435-42D9-A460-8C86E4C79BD3}" srcOrd="1" destOrd="0" parTransId="{983997D7-3FBD-43F1-B599-609DB969CACA}" sibTransId="{0E7245AA-1866-4BF6-A173-9428F1DDAA55}"/>
    <dgm:cxn modelId="{2413F9F2-F80D-4ADC-8D59-018D65F5A171}" type="presOf" srcId="{4C90FB88-8084-4AEF-9277-30C47C27F63E}" destId="{5C2336A0-D013-4B9E-9F48-5DDBB719A71E}" srcOrd="0" destOrd="0" presId="urn:microsoft.com/office/officeart/2011/layout/HexagonRadial"/>
    <dgm:cxn modelId="{B72471FC-13A1-42B4-A2F1-10FEA2EA5E8E}" type="presOf" srcId="{4695807F-ACF0-4716-B1F1-D5D68B3CA04B}" destId="{9F06C5F6-3546-41CB-9497-98AFDF96CF67}" srcOrd="0" destOrd="0" presId="urn:microsoft.com/office/officeart/2011/layout/HexagonRadial"/>
    <dgm:cxn modelId="{024766EB-3367-48E8-A29C-0E05BF9A66B9}" type="presParOf" srcId="{5C2336A0-D013-4B9E-9F48-5DDBB719A71E}" destId="{B9535F82-FF1E-415B-BAD4-655D6EC67F11}" srcOrd="0" destOrd="0" presId="urn:microsoft.com/office/officeart/2011/layout/HexagonRadial"/>
    <dgm:cxn modelId="{51AD4372-650F-4DEE-B83A-7B196403896F}" type="presParOf" srcId="{5C2336A0-D013-4B9E-9F48-5DDBB719A71E}" destId="{C64F2C3F-0BB6-4BD9-910C-3EC3DDD63760}" srcOrd="1" destOrd="0" presId="urn:microsoft.com/office/officeart/2011/layout/HexagonRadial"/>
    <dgm:cxn modelId="{3C40EF56-373A-405C-A61C-D18A1BE68558}" type="presParOf" srcId="{C64F2C3F-0BB6-4BD9-910C-3EC3DDD63760}" destId="{3D66159A-92A5-48CE-AB41-688E5AC0195E}" srcOrd="0" destOrd="0" presId="urn:microsoft.com/office/officeart/2011/layout/HexagonRadial"/>
    <dgm:cxn modelId="{EA0A6D81-ECF2-4E2F-B554-A1904CB51431}" type="presParOf" srcId="{5C2336A0-D013-4B9E-9F48-5DDBB719A71E}" destId="{9F06C5F6-3546-41CB-9497-98AFDF96CF67}" srcOrd="2" destOrd="0" presId="urn:microsoft.com/office/officeart/2011/layout/HexagonRadial"/>
    <dgm:cxn modelId="{446BA149-9E43-4171-BB1B-2123F21C46D2}" type="presParOf" srcId="{5C2336A0-D013-4B9E-9F48-5DDBB719A71E}" destId="{3391117E-4B1D-4E0B-963C-D232BA780DAA}" srcOrd="3" destOrd="0" presId="urn:microsoft.com/office/officeart/2011/layout/HexagonRadial"/>
    <dgm:cxn modelId="{AA5E7CC0-ACA2-472E-8AC8-17B41EAFEC14}" type="presParOf" srcId="{3391117E-4B1D-4E0B-963C-D232BA780DAA}" destId="{40F6748D-4505-4E11-94A6-556963CD355D}" srcOrd="0" destOrd="0" presId="urn:microsoft.com/office/officeart/2011/layout/HexagonRadial"/>
    <dgm:cxn modelId="{A004D468-9EBC-40A2-A6AB-66953D7C775C}" type="presParOf" srcId="{5C2336A0-D013-4B9E-9F48-5DDBB719A71E}" destId="{5C1AD1DC-96ED-431D-BF35-4AE17A667E97}" srcOrd="4" destOrd="0" presId="urn:microsoft.com/office/officeart/2011/layout/HexagonRadial"/>
    <dgm:cxn modelId="{945058A3-6D3F-48B5-8AFD-A0A57C3508D4}" type="presParOf" srcId="{5C2336A0-D013-4B9E-9F48-5DDBB719A71E}" destId="{D5713408-2B2C-436A-808C-653C9BA710C8}" srcOrd="5" destOrd="0" presId="urn:microsoft.com/office/officeart/2011/layout/HexagonRadial"/>
    <dgm:cxn modelId="{731E2D7E-A25E-4C61-B80A-7099D4A5AEA9}" type="presParOf" srcId="{D5713408-2B2C-436A-808C-653C9BA710C8}" destId="{C478CC19-C304-4277-93C7-26903646E0D4}" srcOrd="0" destOrd="0" presId="urn:microsoft.com/office/officeart/2011/layout/HexagonRadial"/>
    <dgm:cxn modelId="{E1E57830-68F7-48BA-9954-CB64D21CD589}" type="presParOf" srcId="{5C2336A0-D013-4B9E-9F48-5DDBB719A71E}" destId="{9B7F3BC9-540C-4349-98DF-11104F8AB742}" srcOrd="6" destOrd="0" presId="urn:microsoft.com/office/officeart/2011/layout/HexagonRadial"/>
    <dgm:cxn modelId="{22D6812D-2A36-486E-AA32-4A7EFEB739E7}" type="presParOf" srcId="{5C2336A0-D013-4B9E-9F48-5DDBB719A71E}" destId="{17C2ECDE-E3DB-485A-84E2-6D6B8F0EFE7F}" srcOrd="7" destOrd="0" presId="urn:microsoft.com/office/officeart/2011/layout/HexagonRadial"/>
    <dgm:cxn modelId="{F6A77B2F-DC53-47F4-9C08-4857B5945109}" type="presParOf" srcId="{17C2ECDE-E3DB-485A-84E2-6D6B8F0EFE7F}" destId="{D8B57E40-CABD-46D8-838F-37369318546A}" srcOrd="0" destOrd="0" presId="urn:microsoft.com/office/officeart/2011/layout/HexagonRadial"/>
    <dgm:cxn modelId="{BF27EEC8-7057-4488-A5E2-8CCCCA93E8F9}" type="presParOf" srcId="{5C2336A0-D013-4B9E-9F48-5DDBB719A71E}" destId="{750F1DC2-8135-4B89-9973-571EDC9E972B}" srcOrd="8" destOrd="0" presId="urn:microsoft.com/office/officeart/2011/layout/HexagonRadial"/>
    <dgm:cxn modelId="{A794C2C5-6D9B-462A-BD1F-3A65EE24E4B0}" type="presParOf" srcId="{5C2336A0-D013-4B9E-9F48-5DDBB719A71E}" destId="{DAA109AA-712A-4AA4-B99E-727BF329075B}" srcOrd="9" destOrd="0" presId="urn:microsoft.com/office/officeart/2011/layout/HexagonRadial"/>
    <dgm:cxn modelId="{6F2062DE-FF14-4601-8112-F5306E4BA7EE}" type="presParOf" srcId="{DAA109AA-712A-4AA4-B99E-727BF329075B}" destId="{C4E1D696-5473-458B-8CAB-5568240C3EFD}" srcOrd="0" destOrd="0" presId="urn:microsoft.com/office/officeart/2011/layout/HexagonRadial"/>
    <dgm:cxn modelId="{BF3E4FB0-8EEE-4065-80A0-C8C299641733}" type="presParOf" srcId="{5C2336A0-D013-4B9E-9F48-5DDBB719A71E}" destId="{48F7D85F-D4C9-4D58-9F94-7AAC9A1BDAC9}" srcOrd="10" destOrd="0" presId="urn:microsoft.com/office/officeart/2011/layout/HexagonRadial"/>
    <dgm:cxn modelId="{C6A3D255-88B5-46F7-962C-143C1283559F}" type="presParOf" srcId="{5C2336A0-D013-4B9E-9F48-5DDBB719A71E}" destId="{F247F9DD-7F4B-4FBB-BE99-CB7156030CCF}" srcOrd="11" destOrd="0" presId="urn:microsoft.com/office/officeart/2011/layout/HexagonRadial"/>
    <dgm:cxn modelId="{FFA32EF5-C894-4461-AF47-DD5DAFACB389}" type="presParOf" srcId="{F247F9DD-7F4B-4FBB-BE99-CB7156030CCF}" destId="{5C0E7DCC-73A2-47EA-AD99-9979AB193795}" srcOrd="0" destOrd="0" presId="urn:microsoft.com/office/officeart/2011/layout/HexagonRadial"/>
    <dgm:cxn modelId="{BBE02380-8DFC-42F3-83E4-82077A8933A9}" type="presParOf" srcId="{5C2336A0-D013-4B9E-9F48-5DDBB719A71E}" destId="{23178FB9-BA31-4681-A820-C7C61F8F162E}" srcOrd="12" destOrd="0" presId="urn:microsoft.com/office/officeart/2011/layout/HexagonRadial"/>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235262-FAF6-420C-A0D0-8F1DF84EE557}">
      <dsp:nvSpPr>
        <dsp:cNvPr id="0" name=""/>
        <dsp:cNvSpPr/>
      </dsp:nvSpPr>
      <dsp:spPr>
        <a:xfrm>
          <a:off x="2263139" y="1488936"/>
          <a:ext cx="960120" cy="9601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Finance for real estate project development </a:t>
          </a:r>
        </a:p>
      </dsp:txBody>
      <dsp:txXfrm>
        <a:off x="2310008" y="1535805"/>
        <a:ext cx="866382" cy="866382"/>
      </dsp:txXfrm>
    </dsp:sp>
    <dsp:sp modelId="{2CA54B64-EF51-4E06-8F04-5C6A9DB70F79}">
      <dsp:nvSpPr>
        <dsp:cNvPr id="0" name=""/>
        <dsp:cNvSpPr/>
      </dsp:nvSpPr>
      <dsp:spPr>
        <a:xfrm rot="16200000">
          <a:off x="2406457" y="1152194"/>
          <a:ext cx="673484" cy="0"/>
        </a:xfrm>
        <a:custGeom>
          <a:avLst/>
          <a:gdLst/>
          <a:ahLst/>
          <a:cxnLst/>
          <a:rect l="0" t="0" r="0" b="0"/>
          <a:pathLst>
            <a:path>
              <a:moveTo>
                <a:pt x="0" y="0"/>
              </a:moveTo>
              <a:lnTo>
                <a:pt x="67348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F1FD8-FD6C-408B-AAFB-99513876AE54}">
      <dsp:nvSpPr>
        <dsp:cNvPr id="0" name=""/>
        <dsp:cNvSpPr/>
      </dsp:nvSpPr>
      <dsp:spPr>
        <a:xfrm>
          <a:off x="2421559" y="172171"/>
          <a:ext cx="643280" cy="64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Equity</a:t>
          </a:r>
        </a:p>
      </dsp:txBody>
      <dsp:txXfrm>
        <a:off x="2452961" y="203573"/>
        <a:ext cx="580476" cy="580476"/>
      </dsp:txXfrm>
    </dsp:sp>
    <dsp:sp modelId="{3F48EB5A-85E4-465C-A11B-6DF68C4E526A}">
      <dsp:nvSpPr>
        <dsp:cNvPr id="0" name=""/>
        <dsp:cNvSpPr/>
      </dsp:nvSpPr>
      <dsp:spPr>
        <a:xfrm rot="1800000">
          <a:off x="3186453" y="2383524"/>
          <a:ext cx="549460" cy="0"/>
        </a:xfrm>
        <a:custGeom>
          <a:avLst/>
          <a:gdLst/>
          <a:ahLst/>
          <a:cxnLst/>
          <a:rect l="0" t="0" r="0" b="0"/>
          <a:pathLst>
            <a:path>
              <a:moveTo>
                <a:pt x="0" y="0"/>
              </a:moveTo>
              <a:lnTo>
                <a:pt x="54946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D680F-7BD8-4ECE-9306-E8B3745C721B}">
      <dsp:nvSpPr>
        <dsp:cNvPr id="0" name=""/>
        <dsp:cNvSpPr/>
      </dsp:nvSpPr>
      <dsp:spPr>
        <a:xfrm>
          <a:off x="3699106" y="2384948"/>
          <a:ext cx="643280" cy="64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Debt</a:t>
          </a:r>
        </a:p>
      </dsp:txBody>
      <dsp:txXfrm>
        <a:off x="3730508" y="2416350"/>
        <a:ext cx="580476" cy="580476"/>
      </dsp:txXfrm>
    </dsp:sp>
    <dsp:sp modelId="{446F6A2A-5D68-486C-8B02-0F57DBF47C6F}">
      <dsp:nvSpPr>
        <dsp:cNvPr id="0" name=""/>
        <dsp:cNvSpPr/>
      </dsp:nvSpPr>
      <dsp:spPr>
        <a:xfrm rot="9000000">
          <a:off x="1750486" y="2383524"/>
          <a:ext cx="549460" cy="0"/>
        </a:xfrm>
        <a:custGeom>
          <a:avLst/>
          <a:gdLst/>
          <a:ahLst/>
          <a:cxnLst/>
          <a:rect l="0" t="0" r="0" b="0"/>
          <a:pathLst>
            <a:path>
              <a:moveTo>
                <a:pt x="0" y="0"/>
              </a:moveTo>
              <a:lnTo>
                <a:pt x="54946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8FE5DC-2546-4333-B21F-9E51280EB574}">
      <dsp:nvSpPr>
        <dsp:cNvPr id="0" name=""/>
        <dsp:cNvSpPr/>
      </dsp:nvSpPr>
      <dsp:spPr>
        <a:xfrm>
          <a:off x="1144012" y="2384948"/>
          <a:ext cx="643280" cy="64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Creative &amp; innovative finance</a:t>
          </a:r>
        </a:p>
      </dsp:txBody>
      <dsp:txXfrm>
        <a:off x="1175414" y="2416350"/>
        <a:ext cx="580476" cy="5804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35F82-FF1E-415B-BAD4-655D6EC67F11}">
      <dsp:nvSpPr>
        <dsp:cNvPr id="0" name=""/>
        <dsp:cNvSpPr/>
      </dsp:nvSpPr>
      <dsp:spPr>
        <a:xfrm>
          <a:off x="2086903" y="1032449"/>
          <a:ext cx="1312287" cy="1135181"/>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a:ea typeface="+mn-ea"/>
              <a:cs typeface="+mn-cs"/>
            </a:rPr>
            <a:t>Career path for securing finance for real esatate project development</a:t>
          </a:r>
        </a:p>
      </dsp:txBody>
      <dsp:txXfrm>
        <a:off x="2304367" y="1220564"/>
        <a:ext cx="877359" cy="758951"/>
      </dsp:txXfrm>
    </dsp:sp>
    <dsp:sp modelId="{40F6748D-4505-4E11-94A6-556963CD355D}">
      <dsp:nvSpPr>
        <dsp:cNvPr id="0" name=""/>
        <dsp:cNvSpPr/>
      </dsp:nvSpPr>
      <dsp:spPr>
        <a:xfrm>
          <a:off x="2908647" y="489341"/>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9F06C5F6-3546-41CB-9497-98AFDF96CF67}">
      <dsp:nvSpPr>
        <dsp:cNvPr id="0" name=""/>
        <dsp:cNvSpPr/>
      </dsp:nvSpPr>
      <dsp:spPr>
        <a:xfrm>
          <a:off x="2207784" y="0"/>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Strong finance back-ground</a:t>
          </a:r>
          <a:r>
            <a:rPr lang="en-US" sz="500" kern="1200">
              <a:solidFill>
                <a:sysClr val="windowText" lastClr="000000">
                  <a:hueOff val="0"/>
                  <a:satOff val="0"/>
                  <a:lumOff val="0"/>
                  <a:alphaOff val="0"/>
                </a:sysClr>
              </a:solidFill>
              <a:latin typeface="Calibri"/>
              <a:ea typeface="+mn-ea"/>
              <a:cs typeface="+mn-cs"/>
            </a:rPr>
            <a:t>.</a:t>
          </a:r>
        </a:p>
      </dsp:txBody>
      <dsp:txXfrm>
        <a:off x="2386002" y="154180"/>
        <a:ext cx="718974" cy="621996"/>
      </dsp:txXfrm>
    </dsp:sp>
    <dsp:sp modelId="{C478CC19-C304-4277-93C7-26903646E0D4}">
      <dsp:nvSpPr>
        <dsp:cNvPr id="0" name=""/>
        <dsp:cNvSpPr/>
      </dsp:nvSpPr>
      <dsp:spPr>
        <a:xfrm>
          <a:off x="3486493" y="1286880"/>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5C1AD1DC-96ED-431D-BF35-4AE17A667E97}">
      <dsp:nvSpPr>
        <dsp:cNvPr id="0" name=""/>
        <dsp:cNvSpPr/>
      </dsp:nvSpPr>
      <dsp:spPr>
        <a:xfrm>
          <a:off x="3194060" y="572231"/>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Specialisation ranging from real estate in-dustry analyst and real estate to pension fund man-agement</a:t>
          </a:r>
          <a:r>
            <a:rPr lang="en-US" sz="600" kern="1200">
              <a:solidFill>
                <a:sysClr val="windowText" lastClr="000000">
                  <a:hueOff val="0"/>
                  <a:satOff val="0"/>
                  <a:lumOff val="0"/>
                  <a:alphaOff val="0"/>
                </a:sysClr>
              </a:solidFill>
              <a:latin typeface="Calibri"/>
              <a:ea typeface="+mn-ea"/>
              <a:cs typeface="+mn-cs"/>
            </a:rPr>
            <a:t>.</a:t>
          </a:r>
        </a:p>
      </dsp:txBody>
      <dsp:txXfrm>
        <a:off x="3372278" y="726411"/>
        <a:ext cx="718974" cy="621996"/>
      </dsp:txXfrm>
    </dsp:sp>
    <dsp:sp modelId="{D8B57E40-CABD-46D8-838F-37369318546A}">
      <dsp:nvSpPr>
        <dsp:cNvPr id="0" name=""/>
        <dsp:cNvSpPr/>
      </dsp:nvSpPr>
      <dsp:spPr>
        <a:xfrm>
          <a:off x="3085084" y="2187153"/>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9B7F3BC9-540C-4349-98DF-11104F8AB742}">
      <dsp:nvSpPr>
        <dsp:cNvPr id="0" name=""/>
        <dsp:cNvSpPr/>
      </dsp:nvSpPr>
      <dsp:spPr>
        <a:xfrm>
          <a:off x="3194060" y="1697172"/>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Specialisation in commercial or /and retail real estate de-velopments</a:t>
          </a:r>
        </a:p>
      </dsp:txBody>
      <dsp:txXfrm>
        <a:off x="3372278" y="1851352"/>
        <a:ext cx="718974" cy="621996"/>
      </dsp:txXfrm>
    </dsp:sp>
    <dsp:sp modelId="{C4E1D696-5473-458B-8CAB-5568240C3EFD}">
      <dsp:nvSpPr>
        <dsp:cNvPr id="0" name=""/>
        <dsp:cNvSpPr/>
      </dsp:nvSpPr>
      <dsp:spPr>
        <a:xfrm>
          <a:off x="2089345" y="2280605"/>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750F1DC2-8135-4B89-9973-571EDC9E972B}">
      <dsp:nvSpPr>
        <dsp:cNvPr id="0" name=""/>
        <dsp:cNvSpPr/>
      </dsp:nvSpPr>
      <dsp:spPr>
        <a:xfrm>
          <a:off x="2207784" y="2270043"/>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Good interna-tional work experiences across coun-tries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86002" y="2424223"/>
        <a:ext cx="718974" cy="621996"/>
      </dsp:txXfrm>
    </dsp:sp>
    <dsp:sp modelId="{5C0E7DCC-73A2-47EA-AD99-9979AB193795}">
      <dsp:nvSpPr>
        <dsp:cNvPr id="0" name=""/>
        <dsp:cNvSpPr/>
      </dsp:nvSpPr>
      <dsp:spPr>
        <a:xfrm>
          <a:off x="1502036" y="1483385"/>
          <a:ext cx="495122" cy="426613"/>
        </a:xfrm>
        <a:prstGeom prst="hexagon">
          <a:avLst>
            <a:gd name="adj" fmla="val 28900"/>
            <a:gd name="vf" fmla="val 11547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48F7D85F-D4C9-4D58-9F94-7AAC9A1BDAC9}">
      <dsp:nvSpPr>
        <dsp:cNvPr id="0" name=""/>
        <dsp:cNvSpPr/>
      </dsp:nvSpPr>
      <dsp:spPr>
        <a:xfrm>
          <a:off x="1216929" y="1697812"/>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Academic specialisation with a strong emphasis on real estate, construction &amp; project finance, management &amp; finance</a:t>
          </a:r>
        </a:p>
      </dsp:txBody>
      <dsp:txXfrm>
        <a:off x="1395147" y="1851992"/>
        <a:ext cx="718974" cy="621996"/>
      </dsp:txXfrm>
    </dsp:sp>
    <dsp:sp modelId="{23178FB9-BA31-4681-A820-C7C61F8F162E}">
      <dsp:nvSpPr>
        <dsp:cNvPr id="0" name=""/>
        <dsp:cNvSpPr/>
      </dsp:nvSpPr>
      <dsp:spPr>
        <a:xfrm>
          <a:off x="1216929" y="570951"/>
          <a:ext cx="1075410" cy="930356"/>
        </a:xfrm>
        <a:prstGeom prst="hexagon">
          <a:avLst>
            <a:gd name="adj" fmla="val 28570"/>
            <a:gd name="vf" fmla="val 11547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range of 4 to 17 years aver-age experi-ence in the real estate sector</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72D4E1-01CD-4C2E-95AA-1CD4F793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428</Pages>
  <Words>156029</Words>
  <Characters>889371</Characters>
  <Application>Microsoft Office Word</Application>
  <DocSecurity>0</DocSecurity>
  <Lines>7411</Lines>
  <Paragraphs>2086</Paragraphs>
  <ScaleCrop>false</ScaleCrop>
  <HeadingPairs>
    <vt:vector size="2" baseType="variant">
      <vt:variant>
        <vt:lpstr>Title</vt:lpstr>
      </vt:variant>
      <vt:variant>
        <vt:i4>1</vt:i4>
      </vt:variant>
    </vt:vector>
  </HeadingPairs>
  <TitlesOfParts>
    <vt:vector size="1" baseType="lpstr">
      <vt:lpstr>a guide for SECURING REAL ESTATE PROJECT DEVELOPMENT FINANCE IN DEVELOPED &amp; EMERGING            ECONOMIES</vt:lpstr>
    </vt:vector>
  </TitlesOfParts>
  <Company/>
  <LinksUpToDate>false</LinksUpToDate>
  <CharactersWithSpaces>1043314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ESTATE FINANCE &amp; ECONOMICS: A GUIDE TO SECURING FINANCE FOR REAL ESTATE PROJECT DEVELOPMENT IN DEVELOPED AND EMERGING ECONOMIES</dc:title>
  <dc:subject>Lucy Amuda Ogbenjuwa</dc:subject>
  <dc:creator>handsome_horses 1956</dc:creator>
  <cp:keywords/>
  <dc:description/>
  <cp:lastModifiedBy>Lucy Ogbenjuwa</cp:lastModifiedBy>
  <cp:revision>61</cp:revision>
  <dcterms:created xsi:type="dcterms:W3CDTF">2021-09-08T19:11:00Z</dcterms:created>
  <dcterms:modified xsi:type="dcterms:W3CDTF">2021-09-15T14:21:00Z</dcterms:modified>
</cp:coreProperties>
</file>